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B37DA" w14:textId="77777777" w:rsidR="00DE6387" w:rsidRPr="00485E06" w:rsidRDefault="00DE6387" w:rsidP="00DE6387">
      <w:pPr>
        <w:pStyle w:val="CommentText"/>
        <w:spacing w:line="276" w:lineRule="auto"/>
        <w:jc w:val="both"/>
        <w:rPr>
          <w:b/>
          <w:sz w:val="24"/>
          <w:szCs w:val="24"/>
        </w:rPr>
      </w:pPr>
      <w:r w:rsidRPr="00FE7802">
        <w:rPr>
          <w:b/>
          <w:sz w:val="24"/>
          <w:szCs w:val="24"/>
        </w:rPr>
        <w:t>Tiesneša, kas lietu izskatījis pirmās instances tiesā, tiesības piedalīties tās pašas lietas izskatīšanā Augstākās tiesas Administratīvo lietu departamenta kopsēdē</w:t>
      </w:r>
    </w:p>
    <w:p w14:paraId="5770B0F5" w14:textId="30A15927" w:rsidR="00687035" w:rsidRDefault="00DE6387" w:rsidP="00DE6387">
      <w:pPr>
        <w:spacing w:line="276" w:lineRule="auto"/>
        <w:jc w:val="both"/>
      </w:pPr>
      <w:r w:rsidRPr="002804E0">
        <w:t xml:space="preserve">Administratīvā procesa likuma 116.panta pirmajā daļā noteiktais aizliegumu pirmās instances tiesas tiesneša dalībai atkārtotā lietas izskatīšanā kasācijas instances tiesā neatbilst regulējuma mērķim, proti, nav attiecināms uz gadījumu, kad lieta tiek skatīta Augstākās tiesas Administratīvo lietu departamenta kopsēdē. </w:t>
      </w:r>
    </w:p>
    <w:p w14:paraId="51E43682" w14:textId="77777777" w:rsidR="00DE6387" w:rsidRPr="008E07FA" w:rsidRDefault="00DE6387" w:rsidP="00287404">
      <w:pPr>
        <w:spacing w:line="276" w:lineRule="auto"/>
        <w:jc w:val="right"/>
      </w:pPr>
    </w:p>
    <w:p w14:paraId="19417D06" w14:textId="6A625A06" w:rsidR="006F5D3B" w:rsidRDefault="006F5D3B" w:rsidP="00287404">
      <w:pPr>
        <w:spacing w:line="276" w:lineRule="auto"/>
        <w:jc w:val="center"/>
        <w:rPr>
          <w:b/>
        </w:rPr>
      </w:pPr>
      <w:r w:rsidRPr="008E07FA">
        <w:rPr>
          <w:b/>
        </w:rPr>
        <w:t>Latvijas Republikas Augstākā</w:t>
      </w:r>
      <w:r w:rsidR="00DE6387">
        <w:rPr>
          <w:b/>
        </w:rPr>
        <w:t>s</w:t>
      </w:r>
      <w:r w:rsidRPr="008E07FA">
        <w:rPr>
          <w:b/>
        </w:rPr>
        <w:t xml:space="preserve"> tiesa</w:t>
      </w:r>
      <w:r w:rsidR="00DE6387">
        <w:rPr>
          <w:b/>
        </w:rPr>
        <w:t>s</w:t>
      </w:r>
    </w:p>
    <w:p w14:paraId="5A249216" w14:textId="16409E50" w:rsidR="00DE6387" w:rsidRDefault="00DE6387" w:rsidP="00287404">
      <w:pPr>
        <w:spacing w:line="276" w:lineRule="auto"/>
        <w:jc w:val="center"/>
        <w:rPr>
          <w:b/>
        </w:rPr>
      </w:pPr>
      <w:r>
        <w:rPr>
          <w:b/>
        </w:rPr>
        <w:t>Administratīvo lietu departamenta</w:t>
      </w:r>
    </w:p>
    <w:p w14:paraId="34EC1D21" w14:textId="335DB47E" w:rsidR="00DE6387" w:rsidRPr="008E07FA" w:rsidRDefault="00DE6387" w:rsidP="00287404">
      <w:pPr>
        <w:spacing w:line="276" w:lineRule="auto"/>
        <w:jc w:val="center"/>
        <w:rPr>
          <w:b/>
        </w:rPr>
      </w:pPr>
      <w:proofErr w:type="gramStart"/>
      <w:r>
        <w:rPr>
          <w:b/>
        </w:rPr>
        <w:t>2018.gada</w:t>
      </w:r>
      <w:proofErr w:type="gramEnd"/>
      <w:r>
        <w:rPr>
          <w:b/>
        </w:rPr>
        <w:t xml:space="preserve"> 22.jūnija</w:t>
      </w:r>
    </w:p>
    <w:p w14:paraId="006616BE" w14:textId="2CE22456" w:rsidR="003047F5" w:rsidRDefault="00874DD1" w:rsidP="00287404">
      <w:pPr>
        <w:spacing w:line="276" w:lineRule="auto"/>
        <w:jc w:val="center"/>
        <w:rPr>
          <w:b/>
        </w:rPr>
      </w:pPr>
      <w:r w:rsidRPr="008E07FA">
        <w:rPr>
          <w:b/>
        </w:rPr>
        <w:t>LĒM</w:t>
      </w:r>
      <w:r w:rsidR="007F61F8" w:rsidRPr="008E07FA">
        <w:rPr>
          <w:b/>
        </w:rPr>
        <w:t>UMS</w:t>
      </w:r>
    </w:p>
    <w:p w14:paraId="7A98B38E" w14:textId="3EA95014" w:rsidR="00DE6387" w:rsidRDefault="00DE6387" w:rsidP="00287404">
      <w:pPr>
        <w:spacing w:line="276" w:lineRule="auto"/>
        <w:jc w:val="center"/>
        <w:rPr>
          <w:b/>
        </w:rPr>
      </w:pPr>
      <w:r>
        <w:rPr>
          <w:b/>
        </w:rPr>
        <w:t>Lieta Nr. A420341714, SKA-237/2018</w:t>
      </w:r>
    </w:p>
    <w:p w14:paraId="0071E091" w14:textId="735917B1" w:rsidR="00DE6387" w:rsidRPr="00DE6387" w:rsidRDefault="00DE6387" w:rsidP="00287404">
      <w:pPr>
        <w:spacing w:line="276" w:lineRule="auto"/>
        <w:jc w:val="center"/>
        <w:rPr>
          <w:b/>
          <w:u w:val="single"/>
        </w:rPr>
      </w:pPr>
      <w:r w:rsidRPr="00DE6387">
        <w:rPr>
          <w:u w:val="single"/>
        </w:rPr>
        <w:t>ECLI:LV:AT:2018:0622.A420341714.4.L</w:t>
      </w:r>
    </w:p>
    <w:p w14:paraId="2AF1857B" w14:textId="77777777" w:rsidR="003047F5" w:rsidRPr="008E07FA" w:rsidRDefault="003047F5" w:rsidP="00287404">
      <w:pPr>
        <w:spacing w:line="276" w:lineRule="auto"/>
        <w:jc w:val="center"/>
      </w:pPr>
    </w:p>
    <w:p w14:paraId="349E5594" w14:textId="77777777" w:rsidR="00B83937" w:rsidRDefault="00B83937" w:rsidP="00630CD1">
      <w:pPr>
        <w:spacing w:line="276" w:lineRule="auto"/>
        <w:ind w:firstLine="720"/>
        <w:jc w:val="both"/>
      </w:pPr>
      <w:r w:rsidRPr="008A7FEC">
        <w:t>Augstākā tiesa</w:t>
      </w:r>
      <w:r>
        <w:t xml:space="preserve"> </w:t>
      </w:r>
      <w:r w:rsidRPr="0094548B">
        <w:t xml:space="preserve">Administratīvo lietu departamenta kopsēdē </w:t>
      </w:r>
      <w:r w:rsidRPr="008A7FEC">
        <w:t>šādā sastāvā</w:t>
      </w:r>
      <w:r w:rsidRPr="00287404">
        <w:t>:</w:t>
      </w:r>
    </w:p>
    <w:p w14:paraId="4897C3E3" w14:textId="77777777" w:rsidR="00B83937" w:rsidRDefault="00B83937" w:rsidP="00630CD1">
      <w:pPr>
        <w:spacing w:line="276" w:lineRule="auto"/>
        <w:ind w:firstLine="720"/>
        <w:jc w:val="both"/>
      </w:pPr>
    </w:p>
    <w:p w14:paraId="1150EC8B" w14:textId="3945DF64" w:rsidR="00E14DA3" w:rsidRPr="008E07FA" w:rsidRDefault="00E14DA3" w:rsidP="00B83937">
      <w:pPr>
        <w:spacing w:line="276" w:lineRule="auto"/>
        <w:ind w:firstLine="993"/>
        <w:jc w:val="both"/>
      </w:pPr>
      <w:r w:rsidRPr="008E07FA">
        <w:t>tiesnese Anita Kovaļevska,</w:t>
      </w:r>
    </w:p>
    <w:p w14:paraId="73EC9E57" w14:textId="688F4611" w:rsidR="00630CD1" w:rsidRPr="008E07FA" w:rsidRDefault="00630CD1" w:rsidP="00B83937">
      <w:pPr>
        <w:spacing w:line="276" w:lineRule="auto"/>
        <w:ind w:firstLine="993"/>
        <w:jc w:val="both"/>
      </w:pPr>
      <w:r w:rsidRPr="008E07FA">
        <w:t>tiesnese Dzintra Amerika,</w:t>
      </w:r>
    </w:p>
    <w:p w14:paraId="57837161" w14:textId="77777777" w:rsidR="00630CD1" w:rsidRPr="008E07FA" w:rsidRDefault="00630CD1" w:rsidP="00B83937">
      <w:pPr>
        <w:spacing w:line="276" w:lineRule="auto"/>
        <w:ind w:firstLine="993"/>
        <w:jc w:val="both"/>
      </w:pPr>
      <w:r w:rsidRPr="008E07FA">
        <w:t>tiesnesis Andris Guļāns,</w:t>
      </w:r>
    </w:p>
    <w:p w14:paraId="68A18727" w14:textId="77777777" w:rsidR="00630CD1" w:rsidRPr="00B83937" w:rsidRDefault="00630CD1" w:rsidP="00B83937">
      <w:pPr>
        <w:spacing w:line="276" w:lineRule="auto"/>
        <w:ind w:firstLine="993"/>
        <w:jc w:val="both"/>
      </w:pPr>
      <w:r w:rsidRPr="00B83937">
        <w:t>tiesnese Vēsma Kakste,</w:t>
      </w:r>
    </w:p>
    <w:p w14:paraId="5BF7B6E6" w14:textId="77777777" w:rsidR="00630CD1" w:rsidRPr="00B83937" w:rsidRDefault="00630CD1" w:rsidP="00B83937">
      <w:pPr>
        <w:spacing w:line="276" w:lineRule="auto"/>
        <w:ind w:firstLine="993"/>
        <w:jc w:val="both"/>
      </w:pPr>
      <w:r w:rsidRPr="00B83937">
        <w:t>tiesnese Veronika Krūmiņa,</w:t>
      </w:r>
    </w:p>
    <w:p w14:paraId="663BF8AD" w14:textId="77777777" w:rsidR="00630CD1" w:rsidRPr="00B83937" w:rsidRDefault="00630CD1" w:rsidP="00B83937">
      <w:pPr>
        <w:spacing w:line="276" w:lineRule="auto"/>
        <w:ind w:firstLine="993"/>
        <w:jc w:val="both"/>
      </w:pPr>
      <w:r w:rsidRPr="00B83937">
        <w:t>tiesnese Līvija Slica,</w:t>
      </w:r>
    </w:p>
    <w:p w14:paraId="4E0269C5" w14:textId="77777777" w:rsidR="00630CD1" w:rsidRPr="00B83937" w:rsidRDefault="00630CD1" w:rsidP="00B83937">
      <w:pPr>
        <w:spacing w:line="276" w:lineRule="auto"/>
        <w:ind w:firstLine="993"/>
        <w:jc w:val="both"/>
      </w:pPr>
      <w:r w:rsidRPr="00B83937">
        <w:t>tiesnese Rudīte Vīduša</w:t>
      </w:r>
    </w:p>
    <w:p w14:paraId="262ACB6E" w14:textId="77777777" w:rsidR="00604A78" w:rsidRPr="00B83937" w:rsidRDefault="00604A78" w:rsidP="00287404">
      <w:pPr>
        <w:spacing w:line="276" w:lineRule="auto"/>
        <w:ind w:firstLine="720"/>
        <w:jc w:val="both"/>
      </w:pPr>
    </w:p>
    <w:p w14:paraId="52CAEFEF" w14:textId="27551844" w:rsidR="00604A78" w:rsidRPr="008E07FA" w:rsidRDefault="008F5F79" w:rsidP="00287404">
      <w:pPr>
        <w:spacing w:line="276" w:lineRule="auto"/>
        <w:ind w:firstLine="720"/>
        <w:jc w:val="both"/>
      </w:pPr>
      <w:r w:rsidRPr="008E07FA">
        <w:t xml:space="preserve">rakstveida procesā izskatīja </w:t>
      </w:r>
      <w:proofErr w:type="gramStart"/>
      <w:r w:rsidR="00DE6387">
        <w:t>[</w:t>
      </w:r>
      <w:proofErr w:type="gramEnd"/>
      <w:r w:rsidR="00DE6387">
        <w:t>pers. A]</w:t>
      </w:r>
      <w:r w:rsidR="00630CD1" w:rsidRPr="008E07FA">
        <w:t xml:space="preserve"> </w:t>
      </w:r>
      <w:proofErr w:type="gramStart"/>
      <w:r w:rsidR="00630CD1" w:rsidRPr="008E07FA">
        <w:t>(</w:t>
      </w:r>
      <w:proofErr w:type="gramEnd"/>
      <w:r w:rsidR="00DE6387">
        <w:t>[</w:t>
      </w:r>
      <w:r w:rsidR="00DE6387">
        <w:rPr>
          <w:i/>
          <w:iCs/>
        </w:rPr>
        <w:t>pers. A</w:t>
      </w:r>
      <w:r w:rsidR="00DE6387">
        <w:rPr>
          <w:iCs/>
        </w:rPr>
        <w:t>]</w:t>
      </w:r>
      <w:r w:rsidR="00630CD1" w:rsidRPr="008E07FA">
        <w:t xml:space="preserve">) </w:t>
      </w:r>
      <w:r w:rsidRPr="008E07FA">
        <w:t>pieteikto noraidījumu tiesnesei</w:t>
      </w:r>
      <w:r w:rsidR="00630CD1" w:rsidRPr="008E07FA">
        <w:t xml:space="preserve"> Ievai </w:t>
      </w:r>
      <w:proofErr w:type="spellStart"/>
      <w:r w:rsidR="00630CD1" w:rsidRPr="008E07FA">
        <w:t>Višķerei</w:t>
      </w:r>
      <w:proofErr w:type="spellEnd"/>
      <w:r w:rsidR="007F61F8" w:rsidRPr="008E07FA">
        <w:t>.</w:t>
      </w:r>
    </w:p>
    <w:p w14:paraId="4E638DC6" w14:textId="77777777" w:rsidR="007F61F8" w:rsidRPr="008E07FA" w:rsidRDefault="007F61F8" w:rsidP="00287404">
      <w:pPr>
        <w:spacing w:line="276" w:lineRule="auto"/>
        <w:ind w:firstLine="720"/>
        <w:jc w:val="both"/>
      </w:pPr>
    </w:p>
    <w:p w14:paraId="5C42B8A0" w14:textId="77777777" w:rsidR="003047F5" w:rsidRPr="008E07FA" w:rsidRDefault="003047F5" w:rsidP="00287404">
      <w:pPr>
        <w:spacing w:line="276" w:lineRule="auto"/>
        <w:jc w:val="center"/>
        <w:rPr>
          <w:b/>
        </w:rPr>
      </w:pPr>
      <w:r w:rsidRPr="008E07FA">
        <w:rPr>
          <w:b/>
        </w:rPr>
        <w:t>Aprakstošā daļa</w:t>
      </w:r>
    </w:p>
    <w:p w14:paraId="06B1A7D9" w14:textId="77777777" w:rsidR="00604A78" w:rsidRPr="008E07FA" w:rsidRDefault="00604A78" w:rsidP="00287404">
      <w:pPr>
        <w:spacing w:line="276" w:lineRule="auto"/>
        <w:ind w:firstLine="720"/>
        <w:jc w:val="both"/>
      </w:pPr>
    </w:p>
    <w:p w14:paraId="3AE9A29B" w14:textId="1892DD8D" w:rsidR="00630CD1" w:rsidRPr="008E07FA" w:rsidRDefault="003047F5" w:rsidP="00630CD1">
      <w:pPr>
        <w:spacing w:line="276" w:lineRule="auto"/>
        <w:ind w:firstLine="720"/>
        <w:jc w:val="both"/>
        <w:rPr>
          <w:color w:val="000000" w:themeColor="text1"/>
        </w:rPr>
      </w:pPr>
      <w:r w:rsidRPr="008E07FA">
        <w:rPr>
          <w:color w:val="000000" w:themeColor="text1"/>
        </w:rPr>
        <w:t>[1]</w:t>
      </w:r>
      <w:r w:rsidR="001452AC" w:rsidRPr="008E07FA">
        <w:rPr>
          <w:color w:val="000000" w:themeColor="text1"/>
        </w:rPr>
        <w:t xml:space="preserve"> </w:t>
      </w:r>
      <w:r w:rsidR="008F5F79" w:rsidRPr="008E07FA">
        <w:rPr>
          <w:color w:val="000000" w:themeColor="text1"/>
        </w:rPr>
        <w:t xml:space="preserve">Pieteicējs </w:t>
      </w:r>
      <w:r w:rsidR="00630CD1" w:rsidRPr="008E07FA">
        <w:rPr>
          <w:color w:val="000000" w:themeColor="text1"/>
        </w:rPr>
        <w:t xml:space="preserve">iesniedza kasācijas sūdzību par Administratīvās apgabaltiesas </w:t>
      </w:r>
      <w:proofErr w:type="gramStart"/>
      <w:r w:rsidR="00630CD1" w:rsidRPr="008E07FA">
        <w:rPr>
          <w:color w:val="000000" w:themeColor="text1"/>
        </w:rPr>
        <w:t>2016.gada</w:t>
      </w:r>
      <w:proofErr w:type="gramEnd"/>
      <w:r w:rsidR="00630CD1" w:rsidRPr="008E07FA">
        <w:rPr>
          <w:color w:val="000000" w:themeColor="text1"/>
        </w:rPr>
        <w:t xml:space="preserve"> 4.oktobra spriedumu.</w:t>
      </w:r>
    </w:p>
    <w:p w14:paraId="0A53ECBA" w14:textId="7B4FF5CC" w:rsidR="001477EF" w:rsidRPr="008E07FA" w:rsidRDefault="00630CD1" w:rsidP="001477EF">
      <w:pPr>
        <w:spacing w:line="276" w:lineRule="auto"/>
        <w:ind w:firstLine="720"/>
        <w:jc w:val="both"/>
        <w:rPr>
          <w:color w:val="000000" w:themeColor="text1"/>
        </w:rPr>
      </w:pPr>
      <w:r w:rsidRPr="008E07FA">
        <w:rPr>
          <w:color w:val="000000" w:themeColor="text1"/>
        </w:rPr>
        <w:t xml:space="preserve">Kasācijas </w:t>
      </w:r>
      <w:r w:rsidR="001477EF" w:rsidRPr="008E07FA">
        <w:rPr>
          <w:color w:val="000000" w:themeColor="text1"/>
        </w:rPr>
        <w:t>sūdzības izskatīšana</w:t>
      </w:r>
      <w:r w:rsidR="00183790" w:rsidRPr="008E07FA">
        <w:rPr>
          <w:color w:val="000000" w:themeColor="text1"/>
        </w:rPr>
        <w:t xml:space="preserve"> paredzēta</w:t>
      </w:r>
      <w:r w:rsidR="008F5F79" w:rsidRPr="008E07FA">
        <w:rPr>
          <w:color w:val="000000" w:themeColor="text1"/>
        </w:rPr>
        <w:t xml:space="preserve"> </w:t>
      </w:r>
      <w:r w:rsidRPr="008E07FA">
        <w:rPr>
          <w:color w:val="000000" w:themeColor="text1"/>
        </w:rPr>
        <w:t>Augstākās tiesas Administratīvo lietu departamenta kopsēdē</w:t>
      </w:r>
      <w:r w:rsidR="009042EE" w:rsidRPr="008E07FA">
        <w:rPr>
          <w:color w:val="000000" w:themeColor="text1"/>
        </w:rPr>
        <w:t xml:space="preserve"> </w:t>
      </w:r>
      <w:r w:rsidR="00183790" w:rsidRPr="008E07FA">
        <w:rPr>
          <w:color w:val="000000" w:themeColor="text1"/>
        </w:rPr>
        <w:t>šādā</w:t>
      </w:r>
      <w:r w:rsidR="008F5F79" w:rsidRPr="008E07FA">
        <w:rPr>
          <w:color w:val="000000" w:themeColor="text1"/>
        </w:rPr>
        <w:t xml:space="preserve"> </w:t>
      </w:r>
      <w:r w:rsidR="00183790" w:rsidRPr="008E07FA">
        <w:rPr>
          <w:color w:val="000000" w:themeColor="text1"/>
        </w:rPr>
        <w:t>tiesas sastāvā</w:t>
      </w:r>
      <w:r w:rsidR="008F5F79" w:rsidRPr="008E07FA">
        <w:rPr>
          <w:color w:val="000000" w:themeColor="text1"/>
        </w:rPr>
        <w:t xml:space="preserve">: </w:t>
      </w:r>
      <w:r w:rsidR="001477EF" w:rsidRPr="008E07FA">
        <w:rPr>
          <w:color w:val="000000" w:themeColor="text1"/>
        </w:rPr>
        <w:t>tiesnese Dzintra Amerika, tiesnesis Andris Guļāns, tiesnese Vēsma Kakste, tiesnese Anita Kovaļevska, tiesnese Veronika Krūmiņa, tiesnese Dace Mita, tiesnese Līvija Slica, tiesnese Ieva Višķere un tiesnese Rudīte Vīduša.</w:t>
      </w:r>
    </w:p>
    <w:p w14:paraId="3AE4CF69" w14:textId="77777777" w:rsidR="007410BA" w:rsidRPr="008E07FA" w:rsidRDefault="007410BA" w:rsidP="00183790">
      <w:pPr>
        <w:spacing w:line="276" w:lineRule="auto"/>
        <w:jc w:val="both"/>
        <w:rPr>
          <w:color w:val="000000" w:themeColor="text1"/>
        </w:rPr>
      </w:pPr>
    </w:p>
    <w:p w14:paraId="45201BFE" w14:textId="6ACE008A" w:rsidR="003A48C2" w:rsidRDefault="008F5F79" w:rsidP="003A48C2">
      <w:pPr>
        <w:spacing w:line="276" w:lineRule="auto"/>
        <w:ind w:firstLine="720"/>
        <w:jc w:val="both"/>
        <w:rPr>
          <w:b/>
        </w:rPr>
      </w:pPr>
      <w:r w:rsidRPr="008E07FA">
        <w:rPr>
          <w:color w:val="000000" w:themeColor="text1"/>
        </w:rPr>
        <w:t xml:space="preserve">[2] </w:t>
      </w:r>
      <w:r w:rsidR="00360732" w:rsidRPr="008E07FA">
        <w:rPr>
          <w:color w:val="000000" w:themeColor="text1"/>
        </w:rPr>
        <w:t xml:space="preserve">Pieteicējs </w:t>
      </w:r>
      <w:proofErr w:type="gramStart"/>
      <w:r w:rsidR="009733D7" w:rsidRPr="008E07FA">
        <w:rPr>
          <w:color w:val="000000" w:themeColor="text1"/>
        </w:rPr>
        <w:t>2</w:t>
      </w:r>
      <w:r w:rsidR="009042EE" w:rsidRPr="008E07FA">
        <w:rPr>
          <w:color w:val="000000" w:themeColor="text1"/>
        </w:rPr>
        <w:t>018.gada</w:t>
      </w:r>
      <w:proofErr w:type="gramEnd"/>
      <w:r w:rsidR="009042EE" w:rsidRPr="008E07FA">
        <w:rPr>
          <w:color w:val="000000" w:themeColor="text1"/>
        </w:rPr>
        <w:t xml:space="preserve"> 7.jūnijā</w:t>
      </w:r>
      <w:r w:rsidR="00360732" w:rsidRPr="008E07FA">
        <w:rPr>
          <w:color w:val="000000" w:themeColor="text1"/>
        </w:rPr>
        <w:t xml:space="preserve"> pieteica </w:t>
      </w:r>
      <w:r w:rsidR="00183790" w:rsidRPr="008E07FA">
        <w:rPr>
          <w:color w:val="000000" w:themeColor="text1"/>
        </w:rPr>
        <w:t>noraidījumu</w:t>
      </w:r>
      <w:r w:rsidR="00CF5D45" w:rsidRPr="008E07FA">
        <w:rPr>
          <w:color w:val="000000" w:themeColor="text1"/>
        </w:rPr>
        <w:t xml:space="preserve"> tiesnesei I. </w:t>
      </w:r>
      <w:proofErr w:type="spellStart"/>
      <w:r w:rsidR="00183790" w:rsidRPr="008E07FA">
        <w:rPr>
          <w:color w:val="000000" w:themeColor="text1"/>
        </w:rPr>
        <w:t>Viš</w:t>
      </w:r>
      <w:r w:rsidR="00074068" w:rsidRPr="008E07FA">
        <w:rPr>
          <w:color w:val="000000" w:themeColor="text1"/>
        </w:rPr>
        <w:t>ķerei</w:t>
      </w:r>
      <w:proofErr w:type="spellEnd"/>
      <w:r w:rsidR="00074068" w:rsidRPr="008E07FA">
        <w:rPr>
          <w:color w:val="000000" w:themeColor="text1"/>
        </w:rPr>
        <w:t>, pamatojoties uz Administratīvā procesa likuma 116.panta pirm</w:t>
      </w:r>
      <w:r w:rsidR="00E14DA3" w:rsidRPr="008E07FA">
        <w:rPr>
          <w:color w:val="000000" w:themeColor="text1"/>
        </w:rPr>
        <w:t>o</w:t>
      </w:r>
      <w:r w:rsidR="00074068" w:rsidRPr="008E07FA">
        <w:rPr>
          <w:color w:val="000000" w:themeColor="text1"/>
        </w:rPr>
        <w:t xml:space="preserve"> daļu. </w:t>
      </w:r>
      <w:r w:rsidR="009733D7" w:rsidRPr="008E07FA">
        <w:rPr>
          <w:color w:val="000000" w:themeColor="text1"/>
        </w:rPr>
        <w:t>Pieteicējs</w:t>
      </w:r>
      <w:r w:rsidR="00E14DA3" w:rsidRPr="008E07FA">
        <w:rPr>
          <w:color w:val="000000" w:themeColor="text1"/>
        </w:rPr>
        <w:t xml:space="preserve"> </w:t>
      </w:r>
      <w:r w:rsidR="005712D8" w:rsidRPr="008E07FA">
        <w:rPr>
          <w:color w:val="000000" w:themeColor="text1"/>
        </w:rPr>
        <w:t>norāda, ka tiesnese I. Višķere nedrīkst piedalīties lietas izskatīšanā</w:t>
      </w:r>
      <w:r w:rsidR="00E31B2F" w:rsidRPr="008E07FA">
        <w:rPr>
          <w:color w:val="000000" w:themeColor="text1"/>
        </w:rPr>
        <w:t xml:space="preserve"> Augstākās tiesas Administratīvo </w:t>
      </w:r>
      <w:r w:rsidR="00E31B2F" w:rsidRPr="008E07FA">
        <w:t>lietu departamenta kopsēdē</w:t>
      </w:r>
      <w:r w:rsidR="005712D8" w:rsidRPr="008E07FA">
        <w:t>, jo t</w:t>
      </w:r>
      <w:r w:rsidR="002C1410" w:rsidRPr="008E07FA">
        <w:t xml:space="preserve">iesnese </w:t>
      </w:r>
      <w:r w:rsidR="00074068" w:rsidRPr="008E07FA">
        <w:t xml:space="preserve">ir taisījusi spriedumu izskatāmajā lietā pirmās instances tiesā. </w:t>
      </w:r>
      <w:r w:rsidR="00E14DA3" w:rsidRPr="008E07FA">
        <w:rPr>
          <w:color w:val="000000" w:themeColor="text1"/>
        </w:rPr>
        <w:t>Administratīvā procesa likuma 116.panta trešā daļa pieļaujot tiesneša piedalīšanos lietas izskatīšanā Augstākās tiesas Administratīvo lietu departamenta kopsēdē tikai tādā gadījumā, ja šis tiesnesis ir piedalījies lietas izskatīšanā apelācijas instances tiesā, nevis pirmās instances tiesā.</w:t>
      </w:r>
    </w:p>
    <w:p w14:paraId="76F5C3E3" w14:textId="5D8B53F1" w:rsidR="003047F5" w:rsidRPr="008E07FA" w:rsidRDefault="003047F5" w:rsidP="00287404">
      <w:pPr>
        <w:spacing w:line="276" w:lineRule="auto"/>
        <w:jc w:val="center"/>
        <w:rPr>
          <w:b/>
        </w:rPr>
      </w:pPr>
      <w:r w:rsidRPr="008E07FA">
        <w:rPr>
          <w:b/>
        </w:rPr>
        <w:lastRenderedPageBreak/>
        <w:t>Motīvu daļa</w:t>
      </w:r>
    </w:p>
    <w:p w14:paraId="4D68C603" w14:textId="77777777" w:rsidR="00195D41" w:rsidRPr="008E07FA" w:rsidRDefault="00195D41" w:rsidP="00287404">
      <w:pPr>
        <w:spacing w:line="276" w:lineRule="auto"/>
        <w:ind w:firstLine="720"/>
        <w:jc w:val="both"/>
      </w:pPr>
    </w:p>
    <w:p w14:paraId="008982DB" w14:textId="589964FD" w:rsidR="00D13D38" w:rsidRPr="008E07FA" w:rsidRDefault="00195D41" w:rsidP="00517CAF">
      <w:pPr>
        <w:spacing w:line="276" w:lineRule="auto"/>
        <w:ind w:firstLine="720"/>
        <w:jc w:val="both"/>
      </w:pPr>
      <w:r w:rsidRPr="008E07FA">
        <w:t>[</w:t>
      </w:r>
      <w:r w:rsidR="005A0B31" w:rsidRPr="008E07FA">
        <w:t>3</w:t>
      </w:r>
      <w:r w:rsidRPr="008E07FA">
        <w:t>]</w:t>
      </w:r>
      <w:r w:rsidR="000D1366" w:rsidRPr="008E07FA">
        <w:t xml:space="preserve"> </w:t>
      </w:r>
      <w:r w:rsidR="00D13D38" w:rsidRPr="008E07FA">
        <w:t>Administratīvā procesa likuma 116</w:t>
      </w:r>
      <w:r w:rsidR="00D13D38">
        <w:t>.pant</w:t>
      </w:r>
      <w:r w:rsidR="0088139B">
        <w:t>ā ir noteikti</w:t>
      </w:r>
      <w:r w:rsidR="00D13D38">
        <w:t xml:space="preserve"> gadījum</w:t>
      </w:r>
      <w:r w:rsidR="0088139B">
        <w:t>i</w:t>
      </w:r>
      <w:r w:rsidR="00D13D38">
        <w:t>, ka</w:t>
      </w:r>
      <w:r w:rsidR="0088139B">
        <w:t>d tiesnesim ir</w:t>
      </w:r>
      <w:r w:rsidR="00D13D38">
        <w:t xml:space="preserve"> lie</w:t>
      </w:r>
      <w:r w:rsidR="0088139B">
        <w:t>gts</w:t>
      </w:r>
      <w:r w:rsidR="00D13D38" w:rsidRPr="00D13D38">
        <w:t xml:space="preserve"> piedalīties lietas atkārtotā izskatīšanā</w:t>
      </w:r>
      <w:r w:rsidR="00014845">
        <w:t xml:space="preserve">. </w:t>
      </w:r>
    </w:p>
    <w:p w14:paraId="75B15B58" w14:textId="77777777" w:rsidR="00BF47EF" w:rsidRDefault="005A0B31" w:rsidP="00D13D38">
      <w:pPr>
        <w:spacing w:line="276" w:lineRule="auto"/>
        <w:ind w:firstLine="720"/>
        <w:jc w:val="both"/>
      </w:pPr>
      <w:r w:rsidRPr="008E07FA">
        <w:t xml:space="preserve">Pieteicējs </w:t>
      </w:r>
      <w:r w:rsidR="00BF47EF">
        <w:t>uzskata</w:t>
      </w:r>
      <w:r w:rsidR="00BF47EF" w:rsidRPr="008E07FA">
        <w:t>, ka I. Višķere</w:t>
      </w:r>
      <w:r w:rsidR="00BF47EF" w:rsidRPr="00BF47EF">
        <w:t xml:space="preserve"> </w:t>
      </w:r>
      <w:r w:rsidR="00BF47EF">
        <w:t xml:space="preserve">nedrīkst </w:t>
      </w:r>
      <w:r w:rsidR="00BF47EF" w:rsidRPr="008E07FA">
        <w:t xml:space="preserve">piedalīties šīs lietas izskatīšanā Augstākās tiesas Administratīvo lietu departamenta kopsēdē, </w:t>
      </w:r>
      <w:r w:rsidR="00BF47EF">
        <w:t xml:space="preserve">jo viņa, </w:t>
      </w:r>
      <w:r w:rsidR="00BF47EF" w:rsidRPr="008E07FA">
        <w:t>savulaik būdama Administratīvās rajona tiesas tiesnese, ir taisījusi spriedumu izskatāmajā lietā pirmās instances tiesā</w:t>
      </w:r>
      <w:r w:rsidR="00BF47EF">
        <w:t>.</w:t>
      </w:r>
    </w:p>
    <w:p w14:paraId="0F3ABEBC" w14:textId="01C4FCC1" w:rsidR="00D13D38" w:rsidRDefault="005A0B31" w:rsidP="00BF47EF">
      <w:pPr>
        <w:spacing w:line="276" w:lineRule="auto"/>
        <w:ind w:firstLine="720"/>
        <w:jc w:val="both"/>
      </w:pPr>
      <w:r w:rsidRPr="008E07FA">
        <w:t>A</w:t>
      </w:r>
      <w:r w:rsidR="002C1410" w:rsidRPr="008E07FA">
        <w:t>dministratīvā procesa likuma 116</w:t>
      </w:r>
      <w:r w:rsidR="0007024A" w:rsidRPr="008E07FA">
        <w:t>.panta pirm</w:t>
      </w:r>
      <w:r w:rsidR="00BF47EF">
        <w:t xml:space="preserve">ā </w:t>
      </w:r>
      <w:r w:rsidR="005712D8" w:rsidRPr="008E07FA">
        <w:t>daļ</w:t>
      </w:r>
      <w:r w:rsidR="00BF47EF">
        <w:t>a</w:t>
      </w:r>
      <w:r w:rsidR="0007024A" w:rsidRPr="008E07FA">
        <w:t xml:space="preserve"> noteic</w:t>
      </w:r>
      <w:r w:rsidR="00DD0429" w:rsidRPr="008E07FA">
        <w:t>, ka</w:t>
      </w:r>
      <w:r w:rsidR="0007024A" w:rsidRPr="008E07FA">
        <w:t xml:space="preserve"> </w:t>
      </w:r>
      <w:r w:rsidR="00DD0429" w:rsidRPr="008E07FA">
        <w:t>tiesnesis, kas piedalījies lietas izskatīšanā pirmās instances tiesā, nedrīkst piedalīties šīs lietas izskatīšanā kasācijas instances tiesā</w:t>
      </w:r>
      <w:r w:rsidR="003C5708" w:rsidRPr="008E07FA">
        <w:t xml:space="preserve">. </w:t>
      </w:r>
      <w:r w:rsidR="00BF47EF">
        <w:t>N</w:t>
      </w:r>
      <w:r w:rsidR="00014845">
        <w:t xml:space="preserve">o šīs normas </w:t>
      </w:r>
      <w:r w:rsidR="00BD0E3C" w:rsidRPr="00014845">
        <w:t xml:space="preserve">gramatiskā formulējuma </w:t>
      </w:r>
      <w:r w:rsidR="00C73A9C">
        <w:t>varētu secināt</w:t>
      </w:r>
      <w:r w:rsidR="00BD0E3C" w:rsidRPr="00014845">
        <w:t xml:space="preserve">, ka </w:t>
      </w:r>
      <w:r w:rsidR="002D0677">
        <w:t xml:space="preserve">tajā ir noteikts absolūts </w:t>
      </w:r>
      <w:r w:rsidR="00B35BA0">
        <w:t>aizliegum</w:t>
      </w:r>
      <w:r w:rsidR="00014845">
        <w:t>s</w:t>
      </w:r>
      <w:r w:rsidR="00BD0E3C" w:rsidRPr="00014845">
        <w:t xml:space="preserve"> </w:t>
      </w:r>
      <w:r w:rsidR="00BF47EF">
        <w:t xml:space="preserve">piedalīties lietas </w:t>
      </w:r>
      <w:r w:rsidR="00BF47EF" w:rsidRPr="008E07FA">
        <w:t>izskatīšanā kasācijas instances</w:t>
      </w:r>
      <w:r w:rsidR="00BF47EF">
        <w:t xml:space="preserve"> tiesā</w:t>
      </w:r>
      <w:r w:rsidR="00BF47EF" w:rsidRPr="00014845">
        <w:t xml:space="preserve"> </w:t>
      </w:r>
      <w:r w:rsidR="00BD0E3C" w:rsidRPr="00014845">
        <w:t>tiesnesim</w:t>
      </w:r>
      <w:r w:rsidR="00014845">
        <w:t xml:space="preserve">, kas piedalījies </w:t>
      </w:r>
      <w:r w:rsidR="00BF47EF">
        <w:t xml:space="preserve">tās pašas </w:t>
      </w:r>
      <w:r w:rsidR="00BD0E3C" w:rsidRPr="008E07FA">
        <w:t>lietas izskatīšanā pirmās instances tiesā</w:t>
      </w:r>
      <w:r w:rsidR="00BD0E3C">
        <w:t>,</w:t>
      </w:r>
      <w:r w:rsidR="00517CAF">
        <w:t xml:space="preserve"> jo šajā gadījumā</w:t>
      </w:r>
      <w:r w:rsidR="002D0677">
        <w:t xml:space="preserve"> atšķirībā no</w:t>
      </w:r>
      <w:r w:rsidR="00517CAF">
        <w:t xml:space="preserve"> </w:t>
      </w:r>
      <w:r w:rsidR="00BD0E3C" w:rsidRPr="008E07FA">
        <w:t>A</w:t>
      </w:r>
      <w:r w:rsidR="00D0263C">
        <w:t xml:space="preserve">dministratīvā procesa likuma 116.panta </w:t>
      </w:r>
      <w:r w:rsidR="002D0677">
        <w:t>trešajā daļā ietvertā regulējuma</w:t>
      </w:r>
      <w:r w:rsidR="00BD0E3C">
        <w:t xml:space="preserve"> nav paredzēti izņēmumi.</w:t>
      </w:r>
    </w:p>
    <w:p w14:paraId="209BEBE9" w14:textId="77777777" w:rsidR="00BD0E3C" w:rsidRPr="008E07FA" w:rsidRDefault="00BD0E3C" w:rsidP="00D0263C">
      <w:pPr>
        <w:spacing w:line="276" w:lineRule="auto"/>
        <w:jc w:val="both"/>
      </w:pPr>
    </w:p>
    <w:p w14:paraId="41CB4BF8" w14:textId="7DE54244" w:rsidR="008152D6" w:rsidRDefault="00C44C69" w:rsidP="008152D6">
      <w:pPr>
        <w:spacing w:line="276" w:lineRule="auto"/>
        <w:ind w:firstLine="720"/>
        <w:jc w:val="both"/>
      </w:pPr>
      <w:r w:rsidRPr="008E07FA">
        <w:t xml:space="preserve">[4] </w:t>
      </w:r>
      <w:r w:rsidR="00BC338E" w:rsidRPr="008E07FA">
        <w:t xml:space="preserve">Saskaņā ar Administratīvā procesa likuma 116.panta trešo daļu tiesnesis, kas piedalījies lietas izskatīšanā apelācijas instances tiesā, nedrīkst piedalīties šīs lietas izskatīšanā kasācijas instances tiesā, izņemot gadījumu, kad lietu izskata Augstākās tiesas Administratīvo lietu departamenta kopsēdē. </w:t>
      </w:r>
      <w:r w:rsidR="00BF47EF">
        <w:t xml:space="preserve">Tātad šajā normā ir paredzēts izņēmums no aizlieguma piedalīties lietas izskatīšanā kasācijas instances tiesā tiesnesim, kurš ir piedalījies tās pašas lietas izskatīšanā zemākas instances tiesā. Šis izņēmums attiecas uz situāciju, kad lieta tiek skatīta </w:t>
      </w:r>
      <w:r w:rsidR="00ED0E71" w:rsidRPr="008E07FA">
        <w:t>Augstākās tiesas Administratīvo lietu departamenta kopsēdē.</w:t>
      </w:r>
    </w:p>
    <w:p w14:paraId="6ABCDE0A" w14:textId="2D1CF9F0" w:rsidR="00A0780D" w:rsidRPr="007870E5" w:rsidRDefault="00A0780D" w:rsidP="0088139B">
      <w:pPr>
        <w:spacing w:line="276" w:lineRule="auto"/>
        <w:ind w:firstLine="720"/>
        <w:jc w:val="both"/>
        <w:rPr>
          <w:color w:val="000000" w:themeColor="text1"/>
        </w:rPr>
      </w:pPr>
      <w:r w:rsidRPr="007870E5">
        <w:rPr>
          <w:color w:val="000000" w:themeColor="text1"/>
        </w:rPr>
        <w:t xml:space="preserve">Lai noskaidrotu </w:t>
      </w:r>
      <w:r w:rsidR="00FF09AD" w:rsidRPr="007870E5">
        <w:rPr>
          <w:color w:val="000000" w:themeColor="text1"/>
        </w:rPr>
        <w:t xml:space="preserve">šāda izņēmuma </w:t>
      </w:r>
      <w:r w:rsidR="0088139B" w:rsidRPr="007870E5">
        <w:rPr>
          <w:color w:val="000000" w:themeColor="text1"/>
        </w:rPr>
        <w:t>mērķi</w:t>
      </w:r>
      <w:r w:rsidR="008152D6" w:rsidRPr="007870E5">
        <w:rPr>
          <w:color w:val="000000" w:themeColor="text1"/>
        </w:rPr>
        <w:t>,</w:t>
      </w:r>
      <w:r w:rsidR="00D81503" w:rsidRPr="007870E5">
        <w:rPr>
          <w:color w:val="000000" w:themeColor="text1"/>
        </w:rPr>
        <w:t xml:space="preserve"> </w:t>
      </w:r>
      <w:r w:rsidRPr="007870E5">
        <w:rPr>
          <w:color w:val="000000" w:themeColor="text1"/>
        </w:rPr>
        <w:t>Administratīvā procesa likuma 116.panta trešā daļa jāanalizē</w:t>
      </w:r>
      <w:r w:rsidR="00D81503" w:rsidRPr="007870E5">
        <w:rPr>
          <w:color w:val="000000" w:themeColor="text1"/>
        </w:rPr>
        <w:t xml:space="preserve"> kopsakarā ar Administratīvā procesa likuma normām, kuras reglamentē kas</w:t>
      </w:r>
      <w:r w:rsidRPr="007870E5">
        <w:rPr>
          <w:color w:val="000000" w:themeColor="text1"/>
        </w:rPr>
        <w:t>ācijas instances lomu un uzdevumus</w:t>
      </w:r>
      <w:r w:rsidR="00D81503" w:rsidRPr="007870E5">
        <w:rPr>
          <w:color w:val="000000" w:themeColor="text1"/>
        </w:rPr>
        <w:t>, kā arī</w:t>
      </w:r>
      <w:r w:rsidR="00FE3E0B" w:rsidRPr="007870E5">
        <w:rPr>
          <w:color w:val="000000" w:themeColor="text1"/>
        </w:rPr>
        <w:t xml:space="preserve"> </w:t>
      </w:r>
      <w:r w:rsidR="00AE1052" w:rsidRPr="007870E5">
        <w:rPr>
          <w:color w:val="000000" w:themeColor="text1"/>
        </w:rPr>
        <w:t>k</w:t>
      </w:r>
      <w:r w:rsidR="0088139B" w:rsidRPr="007870E5">
        <w:rPr>
          <w:color w:val="000000" w:themeColor="text1"/>
        </w:rPr>
        <w:t>ā</w:t>
      </w:r>
      <w:r w:rsidRPr="007870E5">
        <w:rPr>
          <w:color w:val="000000" w:themeColor="text1"/>
        </w:rPr>
        <w:t>rtību</w:t>
      </w:r>
      <w:r w:rsidR="00AE1052" w:rsidRPr="007870E5">
        <w:rPr>
          <w:color w:val="000000" w:themeColor="text1"/>
        </w:rPr>
        <w:t xml:space="preserve">, kādā </w:t>
      </w:r>
      <w:r w:rsidR="00FE3E0B" w:rsidRPr="007870E5">
        <w:rPr>
          <w:color w:val="000000" w:themeColor="text1"/>
        </w:rPr>
        <w:t>l</w:t>
      </w:r>
      <w:r w:rsidR="00AE1052" w:rsidRPr="007870E5">
        <w:rPr>
          <w:color w:val="000000" w:themeColor="text1"/>
        </w:rPr>
        <w:t>ietas izskata</w:t>
      </w:r>
      <w:r w:rsidR="00FE3E0B" w:rsidRPr="007870E5">
        <w:rPr>
          <w:color w:val="000000" w:themeColor="text1"/>
        </w:rPr>
        <w:t xml:space="preserve"> kasācijas instancē. </w:t>
      </w:r>
    </w:p>
    <w:p w14:paraId="18D1CACB" w14:textId="471FEA87" w:rsidR="00121831" w:rsidRPr="007870E5" w:rsidRDefault="003F369D" w:rsidP="003F369D">
      <w:pPr>
        <w:spacing w:line="276" w:lineRule="auto"/>
        <w:ind w:firstLine="720"/>
        <w:jc w:val="both"/>
        <w:rPr>
          <w:color w:val="000000" w:themeColor="text1"/>
        </w:rPr>
      </w:pPr>
      <w:r w:rsidRPr="007870E5">
        <w:rPr>
          <w:color w:val="000000" w:themeColor="text1"/>
        </w:rPr>
        <w:t xml:space="preserve">Administratīvā procesa </w:t>
      </w:r>
      <w:r w:rsidR="00266C04" w:rsidRPr="007870E5">
        <w:rPr>
          <w:color w:val="000000" w:themeColor="text1"/>
        </w:rPr>
        <w:t>likum</w:t>
      </w:r>
      <w:r w:rsidR="00266C04">
        <w:rPr>
          <w:color w:val="000000" w:themeColor="text1"/>
        </w:rPr>
        <w:t>s</w:t>
      </w:r>
      <w:r w:rsidR="00266C04" w:rsidRPr="007870E5">
        <w:rPr>
          <w:color w:val="000000" w:themeColor="text1"/>
        </w:rPr>
        <w:t xml:space="preserve"> </w:t>
      </w:r>
      <w:r w:rsidRPr="007870E5">
        <w:rPr>
          <w:color w:val="000000" w:themeColor="text1"/>
        </w:rPr>
        <w:t xml:space="preserve">paredz, ka </w:t>
      </w:r>
      <w:r w:rsidR="006F39E4" w:rsidRPr="007870E5">
        <w:rPr>
          <w:color w:val="000000" w:themeColor="text1"/>
        </w:rPr>
        <w:t>A</w:t>
      </w:r>
      <w:r w:rsidRPr="007870E5">
        <w:rPr>
          <w:color w:val="000000" w:themeColor="text1"/>
        </w:rPr>
        <w:t>dministratīvo lietu departaments kā kasācijas instances tiesa</w:t>
      </w:r>
      <w:r w:rsidR="006F39E4" w:rsidRPr="007870E5">
        <w:rPr>
          <w:color w:val="000000" w:themeColor="text1"/>
        </w:rPr>
        <w:t xml:space="preserve"> ir </w:t>
      </w:r>
      <w:r w:rsidR="00121831" w:rsidRPr="007870E5">
        <w:rPr>
          <w:color w:val="000000" w:themeColor="text1"/>
        </w:rPr>
        <w:t>a</w:t>
      </w:r>
      <w:r w:rsidR="006F39E4" w:rsidRPr="007870E5">
        <w:rPr>
          <w:color w:val="000000" w:themeColor="text1"/>
        </w:rPr>
        <w:t xml:space="preserve">ugstākā tiesu </w:t>
      </w:r>
      <w:r w:rsidR="00121831" w:rsidRPr="007870E5">
        <w:rPr>
          <w:color w:val="000000" w:themeColor="text1"/>
        </w:rPr>
        <w:t>instance administratīvajās lietās</w:t>
      </w:r>
      <w:r w:rsidRPr="007870E5">
        <w:rPr>
          <w:color w:val="000000" w:themeColor="text1"/>
        </w:rPr>
        <w:t>.</w:t>
      </w:r>
      <w:r w:rsidR="00121831" w:rsidRPr="007870E5">
        <w:rPr>
          <w:color w:val="000000" w:themeColor="text1"/>
        </w:rPr>
        <w:t xml:space="preserve"> Kasācijas institūta būtiska iezīme ir tā, ka šajā instancē izšķiroša nozīme ir nevis </w:t>
      </w:r>
      <w:r w:rsidR="006D2FAC">
        <w:rPr>
          <w:color w:val="000000" w:themeColor="text1"/>
        </w:rPr>
        <w:t>procesa dalībnieku</w:t>
      </w:r>
      <w:r w:rsidR="006D2FAC" w:rsidRPr="007870E5">
        <w:rPr>
          <w:color w:val="000000" w:themeColor="text1"/>
        </w:rPr>
        <w:t xml:space="preserve"> </w:t>
      </w:r>
      <w:r w:rsidR="00121831" w:rsidRPr="007870E5">
        <w:rPr>
          <w:color w:val="000000" w:themeColor="text1"/>
        </w:rPr>
        <w:t xml:space="preserve">interesēm, kas ir pietiekami aizsargātas, lietu pēc būtības izskatot pirmajās divās tiesu instancēs, bet gan publiski tiesiskajām interesēm. Kasācijas instancē tiek skatīti tikai </w:t>
      </w:r>
      <w:proofErr w:type="spellStart"/>
      <w:r w:rsidR="00121831" w:rsidRPr="007870E5">
        <w:rPr>
          <w:i/>
          <w:color w:val="000000" w:themeColor="text1"/>
        </w:rPr>
        <w:t>quaestiones</w:t>
      </w:r>
      <w:proofErr w:type="spellEnd"/>
      <w:r w:rsidR="00121831" w:rsidRPr="007870E5">
        <w:rPr>
          <w:i/>
          <w:color w:val="000000" w:themeColor="text1"/>
        </w:rPr>
        <w:t xml:space="preserve"> </w:t>
      </w:r>
      <w:proofErr w:type="spellStart"/>
      <w:r w:rsidR="00121831" w:rsidRPr="007870E5">
        <w:rPr>
          <w:i/>
          <w:color w:val="000000" w:themeColor="text1"/>
        </w:rPr>
        <w:t>iuris</w:t>
      </w:r>
      <w:proofErr w:type="spellEnd"/>
      <w:r w:rsidR="00121831" w:rsidRPr="007870E5">
        <w:rPr>
          <w:color w:val="000000" w:themeColor="text1"/>
        </w:rPr>
        <w:t xml:space="preserve">, proti, jautājumi par materiālo un procesuālo normu piemērošanas pareizību. Viens no kasācijas </w:t>
      </w:r>
      <w:r w:rsidR="006F39E4" w:rsidRPr="007870E5">
        <w:rPr>
          <w:color w:val="000000" w:themeColor="text1"/>
        </w:rPr>
        <w:t xml:space="preserve">instances mērķiem ir sekmēt tiesību </w:t>
      </w:r>
      <w:r w:rsidR="00121831" w:rsidRPr="007870E5">
        <w:rPr>
          <w:color w:val="000000" w:themeColor="text1"/>
        </w:rPr>
        <w:t>normu vienveidīgu interpretāciju un piemērošanu (</w:t>
      </w:r>
      <w:r w:rsidR="00121831" w:rsidRPr="007870E5">
        <w:rPr>
          <w:i/>
          <w:color w:val="000000" w:themeColor="text1"/>
        </w:rPr>
        <w:t xml:space="preserve">Satversmes tiesas </w:t>
      </w:r>
      <w:proofErr w:type="gramStart"/>
      <w:r w:rsidR="00121831" w:rsidRPr="007870E5">
        <w:rPr>
          <w:i/>
          <w:color w:val="000000" w:themeColor="text1"/>
        </w:rPr>
        <w:t>2012.gada</w:t>
      </w:r>
      <w:proofErr w:type="gramEnd"/>
      <w:r w:rsidR="00121831" w:rsidRPr="007870E5">
        <w:rPr>
          <w:i/>
          <w:color w:val="000000" w:themeColor="text1"/>
        </w:rPr>
        <w:t xml:space="preserve"> 6.jūnija sprieduma lietā Nr. 2011-21-01 12.punkts</w:t>
      </w:r>
      <w:r w:rsidR="00121831" w:rsidRPr="007870E5">
        <w:rPr>
          <w:color w:val="000000" w:themeColor="text1"/>
        </w:rPr>
        <w:t>)</w:t>
      </w:r>
      <w:r w:rsidRPr="007870E5">
        <w:rPr>
          <w:color w:val="000000" w:themeColor="text1"/>
        </w:rPr>
        <w:t xml:space="preserve">. Līdz ar to </w:t>
      </w:r>
      <w:r w:rsidR="00695530" w:rsidRPr="007870E5">
        <w:rPr>
          <w:color w:val="000000" w:themeColor="text1"/>
        </w:rPr>
        <w:t xml:space="preserve">Administratīvo lietu departaments kā </w:t>
      </w:r>
      <w:r w:rsidRPr="007870E5">
        <w:rPr>
          <w:color w:val="000000" w:themeColor="text1"/>
        </w:rPr>
        <w:t>kasācijas instance pilda īpašu funkciju, kas arī nosaka šīs instances tiesas procesa īpatnības</w:t>
      </w:r>
      <w:r w:rsidR="00695530" w:rsidRPr="007870E5">
        <w:rPr>
          <w:color w:val="000000" w:themeColor="text1"/>
        </w:rPr>
        <w:t xml:space="preserve">. </w:t>
      </w:r>
    </w:p>
    <w:p w14:paraId="79D8BD1D" w14:textId="4284F743" w:rsidR="00FF09AD" w:rsidRPr="007870E5" w:rsidRDefault="00695530" w:rsidP="007D4B35">
      <w:pPr>
        <w:spacing w:line="276" w:lineRule="auto"/>
        <w:ind w:firstLine="720"/>
        <w:jc w:val="both"/>
        <w:rPr>
          <w:color w:val="000000" w:themeColor="text1"/>
        </w:rPr>
      </w:pPr>
      <w:r w:rsidRPr="007870E5">
        <w:rPr>
          <w:color w:val="000000" w:themeColor="text1"/>
        </w:rPr>
        <w:t>No Administratīvā procesa likuma 339.panta trešās daļas izriet, ka kasācijas instancē lietu var izskatīt gan trīs tiesnešu sastāvā, gan arī Augstākās tiesas Administratīvo lietu departamenta kopsēdē. Saskaņā ar Administratīvā procesa likuma 346.panta otro daļu lēmumu par lietas nodošanu izskatīšanai Augstākās tiesas Administratīvo lietu departamenta kopsēdē pieņem tad, ja tiesa</w:t>
      </w:r>
      <w:r w:rsidR="00DD3B47" w:rsidRPr="007870E5">
        <w:rPr>
          <w:color w:val="000000" w:themeColor="text1"/>
        </w:rPr>
        <w:t>, izskatot lietu trīs tiesnešu sastāvā,</w:t>
      </w:r>
      <w:r w:rsidRPr="007870E5">
        <w:rPr>
          <w:color w:val="000000" w:themeColor="text1"/>
        </w:rPr>
        <w:t xml:space="preserve"> nenonāk pie vienota viedokļa vai visi tiesneši uzskata, ka lieta izskatāma kopsēdē. </w:t>
      </w:r>
      <w:r w:rsidR="00DD3B47" w:rsidRPr="007870E5">
        <w:rPr>
          <w:color w:val="000000" w:themeColor="text1"/>
        </w:rPr>
        <w:t xml:space="preserve">No Administratīvā procesa likuma 338.panta ceturtās daļas un 346.panta otrās daļas izriet tas, ka var būt arī </w:t>
      </w:r>
      <w:r w:rsidR="00DD3B47" w:rsidRPr="007870E5">
        <w:rPr>
          <w:color w:val="000000" w:themeColor="text1"/>
        </w:rPr>
        <w:lastRenderedPageBreak/>
        <w:t>cits svarīgs iemesls, kas prasa lietas izskatīšanu Augstākās tiesas Administratīvo lietu departamenta kopsēdē, piemēram</w:t>
      </w:r>
      <w:r w:rsidR="000C3C77">
        <w:rPr>
          <w:color w:val="000000" w:themeColor="text1"/>
        </w:rPr>
        <w:t>,</w:t>
      </w:r>
      <w:r w:rsidR="00DD3B47" w:rsidRPr="007870E5">
        <w:rPr>
          <w:color w:val="000000" w:themeColor="text1"/>
        </w:rPr>
        <w:t xml:space="preserve"> izskatāmā tiesību jautājuma nozīmīgums vai nepieciešamība mainīt pastāvošo tiesu praksi. </w:t>
      </w:r>
      <w:r w:rsidR="00D66F81" w:rsidRPr="007870E5">
        <w:rPr>
          <w:color w:val="000000" w:themeColor="text1"/>
        </w:rPr>
        <w:t>Departamenta kopsēdē tiek nodrošināta maksimāli plaša dažādu viedokļu un iespējamo risinājumu izvērtēšana un līdz ar to vispusīga attiecīgajā lietā būtisko tiesību jautājumu apsvēršana. Tādējādi lietas izskatīšana departamenta kopsēdē ir paredzēta kā instruments, ar kura palīdzību var efektīvāk īstenot Augstākās tiesas kā kasācijas instances uzdevumu sekmēt vienveidīgu tiesību normu interpretāciju un piemērošanu un kurš mazina iespējamību, ka vēlāk būs nepieciešams atkāpties no iepriekš spriestā.</w:t>
      </w:r>
    </w:p>
    <w:p w14:paraId="5BB42382" w14:textId="296C5E52" w:rsidR="00213269" w:rsidRPr="008E07FA" w:rsidRDefault="0088139B" w:rsidP="00FF09AD">
      <w:pPr>
        <w:spacing w:line="276" w:lineRule="auto"/>
        <w:ind w:firstLine="720"/>
        <w:jc w:val="both"/>
      </w:pPr>
      <w:r>
        <w:t xml:space="preserve">Līdz ar to var secināt, ka </w:t>
      </w:r>
      <w:r w:rsidR="00213269" w:rsidRPr="008E07FA">
        <w:t xml:space="preserve">likumdevējs </w:t>
      </w:r>
      <w:r w:rsidRPr="008E07FA">
        <w:t>Administratīvā procesa likuma 116.p</w:t>
      </w:r>
      <w:r>
        <w:t>anta trešajā daļā</w:t>
      </w:r>
      <w:r w:rsidR="00213269" w:rsidRPr="008E07FA">
        <w:t xml:space="preserve"> nepārprotami ir piešķīris lielāku lomu</w:t>
      </w:r>
      <w:r w:rsidR="00C042AE">
        <w:t xml:space="preserve"> </w:t>
      </w:r>
      <w:r w:rsidR="007870E5">
        <w:t xml:space="preserve">nevis aizliegumam </w:t>
      </w:r>
      <w:r w:rsidR="007870E5" w:rsidRPr="00BF47EF">
        <w:t>piedalīties lietas izskatīšanā kasācijas instances tiesā tiesnesim, kurš ir</w:t>
      </w:r>
      <w:proofErr w:type="gramStart"/>
      <w:r w:rsidR="007870E5" w:rsidRPr="00BF47EF">
        <w:t xml:space="preserve"> piedalījies tās pašas lietas izskatīšanā</w:t>
      </w:r>
      <w:proofErr w:type="gramEnd"/>
      <w:r w:rsidR="007870E5" w:rsidRPr="00BF47EF">
        <w:t xml:space="preserve"> zemākas instances tiesā</w:t>
      </w:r>
      <w:r w:rsidR="007870E5">
        <w:t>, bet gan iepriekšminēto mērķu sasniegšanai, paredzot</w:t>
      </w:r>
      <w:r>
        <w:t xml:space="preserve"> </w:t>
      </w:r>
      <w:r w:rsidR="00C042AE">
        <w:t>lietas izskatīšan</w:t>
      </w:r>
      <w:r w:rsidR="007870E5">
        <w:t>u</w:t>
      </w:r>
      <w:r w:rsidR="00C042AE">
        <w:t xml:space="preserve"> maksimāli</w:t>
      </w:r>
      <w:r w:rsidR="00213269" w:rsidRPr="008E07FA">
        <w:t xml:space="preserve"> </w:t>
      </w:r>
      <w:r w:rsidR="00C042AE">
        <w:t xml:space="preserve">plašā </w:t>
      </w:r>
      <w:r w:rsidR="005E63BB" w:rsidRPr="008E07FA">
        <w:rPr>
          <w:shd w:val="clear" w:color="auto" w:fill="FFFFFF"/>
        </w:rPr>
        <w:t>tiesas sastāv</w:t>
      </w:r>
      <w:r w:rsidR="00C042AE">
        <w:rPr>
          <w:shd w:val="clear" w:color="auto" w:fill="FFFFFF"/>
        </w:rPr>
        <w:t xml:space="preserve">ā, </w:t>
      </w:r>
      <w:r w:rsidR="005E63BB">
        <w:t xml:space="preserve">kurā </w:t>
      </w:r>
      <w:r w:rsidR="007870E5">
        <w:t>tiek pārstāvēti</w:t>
      </w:r>
      <w:r w:rsidR="007870E5" w:rsidRPr="007870E5">
        <w:t xml:space="preserve"> dažād</w:t>
      </w:r>
      <w:r w:rsidR="007870E5">
        <w:t>i</w:t>
      </w:r>
      <w:r w:rsidR="007870E5" w:rsidRPr="007870E5">
        <w:t xml:space="preserve"> viedokļ</w:t>
      </w:r>
      <w:r w:rsidR="007870E5">
        <w:t>i</w:t>
      </w:r>
      <w:r w:rsidR="007870E5" w:rsidRPr="007870E5">
        <w:t xml:space="preserve"> un līdz ar to </w:t>
      </w:r>
      <w:r w:rsidR="007870E5">
        <w:t xml:space="preserve">sekmēta </w:t>
      </w:r>
      <w:r w:rsidR="007870E5" w:rsidRPr="007870E5">
        <w:t xml:space="preserve">vispusīga </w:t>
      </w:r>
      <w:r w:rsidR="007870E5">
        <w:t>lietas izskatīšana.</w:t>
      </w:r>
    </w:p>
    <w:p w14:paraId="62AB5651" w14:textId="77777777" w:rsidR="0088139B" w:rsidRDefault="0088139B" w:rsidP="003D725D">
      <w:pPr>
        <w:spacing w:line="276" w:lineRule="auto"/>
        <w:ind w:firstLine="720"/>
        <w:jc w:val="both"/>
      </w:pPr>
    </w:p>
    <w:p w14:paraId="1A2D4FBA" w14:textId="2E548F2B" w:rsidR="003D725D" w:rsidRDefault="0088139B" w:rsidP="003D725D">
      <w:pPr>
        <w:spacing w:line="276" w:lineRule="auto"/>
        <w:ind w:firstLine="720"/>
        <w:jc w:val="both"/>
      </w:pPr>
      <w:r>
        <w:t xml:space="preserve">[5] </w:t>
      </w:r>
      <w:r w:rsidR="00BC338E" w:rsidRPr="008E07FA">
        <w:t>Tā kā likumdevējs</w:t>
      </w:r>
      <w:r w:rsidR="007870E5">
        <w:t xml:space="preserve"> iepriekš minēto iemeslu dēļ</w:t>
      </w:r>
      <w:r w:rsidR="0099407E" w:rsidRPr="008E07FA">
        <w:t xml:space="preserve"> Administratīvā procesa likuma 116.p</w:t>
      </w:r>
      <w:r w:rsidR="00D3353C">
        <w:t xml:space="preserve">anta trešajā daļā ir paredzējis izņēmumu </w:t>
      </w:r>
      <w:r w:rsidR="00FE3E0B">
        <w:t xml:space="preserve">no </w:t>
      </w:r>
      <w:r w:rsidR="00D3353C">
        <w:t xml:space="preserve">aizlieguma </w:t>
      </w:r>
      <w:r>
        <w:t xml:space="preserve">piedalīties lietas izskatīšanā kasācijas instancē </w:t>
      </w:r>
      <w:r w:rsidR="0099407E" w:rsidRPr="008E07FA">
        <w:t>tiesnesi</w:t>
      </w:r>
      <w:r w:rsidR="00D3353C">
        <w:t>m</w:t>
      </w:r>
      <w:r w:rsidR="00FE3E0B">
        <w:t xml:space="preserve">, kurš </w:t>
      </w:r>
      <w:r>
        <w:t>ir taisījis spriedumu</w:t>
      </w:r>
      <w:r w:rsidR="0099407E" w:rsidRPr="008E07FA">
        <w:t>, par kuru</w:t>
      </w:r>
      <w:r w:rsidR="00FE3E0B">
        <w:t xml:space="preserve"> </w:t>
      </w:r>
      <w:r>
        <w:t>ir iesniegta kasācijas sūdzība</w:t>
      </w:r>
      <w:r w:rsidR="0099407E" w:rsidRPr="008E07FA">
        <w:t xml:space="preserve">, </w:t>
      </w:r>
      <w:r w:rsidR="0099407E" w:rsidRPr="00D3353C">
        <w:t xml:space="preserve">tad šāds izņēmums vēl jo vairāk </w:t>
      </w:r>
      <w:r w:rsidR="00BC338E" w:rsidRPr="00D3353C">
        <w:t>būtu</w:t>
      </w:r>
      <w:r w:rsidR="0099407E" w:rsidRPr="00D3353C">
        <w:t xml:space="preserve"> </w:t>
      </w:r>
      <w:r w:rsidR="00BC338E" w:rsidRPr="00D3353C">
        <w:t>attiecināms</w:t>
      </w:r>
      <w:r w:rsidR="00BC338E" w:rsidRPr="008E07FA">
        <w:t xml:space="preserve"> </w:t>
      </w:r>
      <w:r w:rsidR="00411EBC">
        <w:t xml:space="preserve">arī </w:t>
      </w:r>
      <w:r w:rsidR="0099407E" w:rsidRPr="008E07FA">
        <w:t>uz tiesnesi, kurš nav piedalīj</w:t>
      </w:r>
      <w:r w:rsidR="00FE3E0B">
        <w:t>ies kasācijas kārtībā pārsūdzēt</w:t>
      </w:r>
      <w:r>
        <w:t>ā</w:t>
      </w:r>
      <w:r w:rsidR="00FE3E0B">
        <w:t xml:space="preserve"> </w:t>
      </w:r>
      <w:r>
        <w:t>sprieduma taisīšanā</w:t>
      </w:r>
      <w:r w:rsidR="00BA06CF" w:rsidRPr="008E07FA">
        <w:t xml:space="preserve">, bet ir taisījis spriedumu </w:t>
      </w:r>
      <w:r w:rsidR="00B83937">
        <w:t xml:space="preserve">tikai </w:t>
      </w:r>
      <w:r w:rsidR="00BA06CF" w:rsidRPr="008E07FA">
        <w:t>pirmās instances tiesā</w:t>
      </w:r>
      <w:r w:rsidR="0099407E" w:rsidRPr="008E07FA">
        <w:t xml:space="preserve">. </w:t>
      </w:r>
      <w:r w:rsidR="003D725D">
        <w:t xml:space="preserve">Pretējs secinājums neļautu sasniegt mērķi, kuram paredzēta lietas izskatīšana </w:t>
      </w:r>
      <w:r w:rsidR="003D725D" w:rsidRPr="008152D6">
        <w:t>Augstākās tiesas Administratīvo lietu departamenta kopsēdē</w:t>
      </w:r>
      <w:r w:rsidR="003D725D">
        <w:t xml:space="preserve">. </w:t>
      </w:r>
    </w:p>
    <w:p w14:paraId="2D9955B1" w14:textId="54384348" w:rsidR="00B83937" w:rsidRDefault="00B83937" w:rsidP="003D725D">
      <w:pPr>
        <w:spacing w:line="276" w:lineRule="auto"/>
        <w:ind w:firstLine="720"/>
        <w:jc w:val="both"/>
      </w:pPr>
      <w:r>
        <w:t>Ņemot vērā minēto, var secināt, ka</w:t>
      </w:r>
      <w:r w:rsidR="00D3353C">
        <w:t xml:space="preserve"> </w:t>
      </w:r>
      <w:r w:rsidR="008152D6" w:rsidRPr="008E07FA">
        <w:t>Administratīvā procesa likuma 116.panta</w:t>
      </w:r>
      <w:r w:rsidR="008152D6">
        <w:t xml:space="preserve"> pirmās daļas vārdiskais formulējums pārāk plaši </w:t>
      </w:r>
      <w:r>
        <w:t>nosaka</w:t>
      </w:r>
      <w:r w:rsidR="008152D6">
        <w:t xml:space="preserve"> </w:t>
      </w:r>
      <w:r w:rsidR="0088139B">
        <w:t xml:space="preserve">aizliegumu </w:t>
      </w:r>
      <w:r w:rsidR="008152D6">
        <w:t xml:space="preserve">pirmās instances tiesas tiesneša </w:t>
      </w:r>
      <w:r w:rsidR="0088139B">
        <w:t>dalībai</w:t>
      </w:r>
      <w:r w:rsidR="008152D6">
        <w:t xml:space="preserve"> atkārtot</w:t>
      </w:r>
      <w:r w:rsidR="0088139B">
        <w:t>ā</w:t>
      </w:r>
      <w:r w:rsidR="008152D6">
        <w:t xml:space="preserve"> lietas izskatīšanā </w:t>
      </w:r>
      <w:r w:rsidR="008152D6" w:rsidRPr="008E07FA">
        <w:t>kasācijas instances</w:t>
      </w:r>
      <w:r w:rsidR="008152D6">
        <w:t xml:space="preserve"> tiesā, jo a</w:t>
      </w:r>
      <w:r w:rsidR="0088139B">
        <w:t>p</w:t>
      </w:r>
      <w:r w:rsidR="008152D6">
        <w:t xml:space="preserve">tver gadījumu, kad </w:t>
      </w:r>
      <w:r w:rsidR="008152D6" w:rsidRPr="008152D6">
        <w:t>liet</w:t>
      </w:r>
      <w:r>
        <w:t>a tiek skatīta</w:t>
      </w:r>
      <w:r w:rsidR="008152D6" w:rsidRPr="008152D6">
        <w:t xml:space="preserve"> Augstākās tiesas Administratīvo lietu departamenta kopsēdē</w:t>
      </w:r>
      <w:r w:rsidR="0088139B">
        <w:t>, lai gan atbilstoši regulējuma mērķim tas nebūtu jāaptver</w:t>
      </w:r>
      <w:r w:rsidR="008152D6">
        <w:t>.</w:t>
      </w:r>
      <w:r w:rsidR="00AE1052">
        <w:t xml:space="preserve"> </w:t>
      </w:r>
      <w:r>
        <w:t>Tādējādi</w:t>
      </w:r>
      <w:r w:rsidR="0088139B">
        <w:t xml:space="preserve"> ir nepieciešams veikt teleoloģisko redukciju un sašaurināt </w:t>
      </w:r>
      <w:r w:rsidR="0088139B" w:rsidRPr="0088139B">
        <w:t xml:space="preserve">Administratīvā procesa likuma 116.panta pirmās daļas </w:t>
      </w:r>
      <w:r w:rsidR="0088139B">
        <w:t xml:space="preserve">tvērumu, izslēdzot no tā </w:t>
      </w:r>
      <w:r>
        <w:t xml:space="preserve">gadījumu, kad lietas tiek izskatīta </w:t>
      </w:r>
      <w:r w:rsidRPr="008152D6">
        <w:t>Augstākās tiesas Administratīvo lietu departamenta kopsēdē</w:t>
      </w:r>
      <w:r>
        <w:t xml:space="preserve">. </w:t>
      </w:r>
    </w:p>
    <w:p w14:paraId="68181381" w14:textId="483977A6" w:rsidR="005A0B31" w:rsidRPr="008E07FA" w:rsidRDefault="005A0B31" w:rsidP="0051131A">
      <w:pPr>
        <w:spacing w:line="276" w:lineRule="auto"/>
        <w:ind w:firstLine="720"/>
        <w:jc w:val="both"/>
      </w:pPr>
      <w:r w:rsidRPr="008E07FA">
        <w:t xml:space="preserve">Ņemot vērā minēto, </w:t>
      </w:r>
      <w:r w:rsidR="00B83937">
        <w:t xml:space="preserve">var secināt, ka tiesnesis, kurš ir izskatījis attiecīgo lietu pirmās instances tiesā, ir tiesīgs piedalīties šīs lietas izskatīšanā </w:t>
      </w:r>
      <w:r w:rsidR="00B83937" w:rsidRPr="00B83937">
        <w:t>Augstākās tiesas Administratīvo lietu departamenta kopsēdē</w:t>
      </w:r>
      <w:r w:rsidR="00B83937">
        <w:t xml:space="preserve"> un </w:t>
      </w:r>
      <w:r w:rsidRPr="008E07FA">
        <w:t xml:space="preserve">pieteicēja minētie apsvērumi nav pamats tiesneses </w:t>
      </w:r>
      <w:r w:rsidR="009042EE" w:rsidRPr="008E07FA">
        <w:t>I. </w:t>
      </w:r>
      <w:proofErr w:type="spellStart"/>
      <w:r w:rsidR="009042EE" w:rsidRPr="008E07FA">
        <w:t>Višķeres</w:t>
      </w:r>
      <w:proofErr w:type="spellEnd"/>
      <w:r w:rsidRPr="008E07FA">
        <w:t xml:space="preserve"> noraidīšanai.</w:t>
      </w:r>
    </w:p>
    <w:p w14:paraId="37C4A443" w14:textId="77777777" w:rsidR="003A48C2" w:rsidRPr="008E07FA" w:rsidRDefault="003A48C2" w:rsidP="007410BA">
      <w:pPr>
        <w:spacing w:line="276" w:lineRule="auto"/>
        <w:ind w:firstLine="720"/>
        <w:jc w:val="both"/>
      </w:pPr>
    </w:p>
    <w:p w14:paraId="18B5BDF9" w14:textId="77777777" w:rsidR="003047F5" w:rsidRPr="008E07FA" w:rsidRDefault="006453E3" w:rsidP="00287404">
      <w:pPr>
        <w:spacing w:line="276" w:lineRule="auto"/>
        <w:jc w:val="center"/>
        <w:rPr>
          <w:b/>
        </w:rPr>
      </w:pPr>
      <w:r w:rsidRPr="008E07FA">
        <w:rPr>
          <w:b/>
        </w:rPr>
        <w:t>Rezolutīvā</w:t>
      </w:r>
      <w:r w:rsidR="003047F5" w:rsidRPr="008E07FA">
        <w:rPr>
          <w:b/>
        </w:rPr>
        <w:t xml:space="preserve"> daļa</w:t>
      </w:r>
    </w:p>
    <w:p w14:paraId="0F45BB19" w14:textId="77777777" w:rsidR="00195D41" w:rsidRPr="008E07FA" w:rsidRDefault="00195D41" w:rsidP="00287404">
      <w:pPr>
        <w:spacing w:line="276" w:lineRule="auto"/>
        <w:ind w:firstLine="720"/>
        <w:jc w:val="both"/>
      </w:pPr>
    </w:p>
    <w:p w14:paraId="0127660F" w14:textId="06C0EFC3" w:rsidR="007D7C2B" w:rsidRPr="008E07FA" w:rsidRDefault="00744130" w:rsidP="00C45287">
      <w:pPr>
        <w:spacing w:line="276" w:lineRule="auto"/>
        <w:ind w:firstLine="720"/>
        <w:jc w:val="both"/>
      </w:pPr>
      <w:r w:rsidRPr="008E07FA">
        <w:t xml:space="preserve">Pamatojoties uz </w:t>
      </w:r>
      <w:r w:rsidR="00A3648B" w:rsidRPr="008E07FA">
        <w:t>Administratīvā procesa likuma 119.panta ceturtās daļas 1.punktu</w:t>
      </w:r>
      <w:r w:rsidR="00471A2F" w:rsidRPr="008E07FA">
        <w:t xml:space="preserve">, </w:t>
      </w:r>
      <w:r w:rsidR="00065336" w:rsidRPr="008E07FA">
        <w:t>Augstākā tiesa</w:t>
      </w:r>
    </w:p>
    <w:p w14:paraId="27E3CED8" w14:textId="77777777" w:rsidR="003A48C2" w:rsidRPr="008E07FA" w:rsidRDefault="003A48C2" w:rsidP="00287404">
      <w:pPr>
        <w:spacing w:line="276" w:lineRule="auto"/>
        <w:ind w:firstLine="720"/>
        <w:jc w:val="both"/>
      </w:pPr>
    </w:p>
    <w:p w14:paraId="3DF88A98" w14:textId="77777777" w:rsidR="003047F5" w:rsidRPr="008E07FA" w:rsidRDefault="00287404" w:rsidP="00287404">
      <w:pPr>
        <w:spacing w:line="276" w:lineRule="auto"/>
        <w:jc w:val="center"/>
        <w:rPr>
          <w:b/>
          <w:bCs/>
          <w:spacing w:val="70"/>
        </w:rPr>
      </w:pPr>
      <w:r w:rsidRPr="008E07FA">
        <w:rPr>
          <w:b/>
        </w:rPr>
        <w:t>n</w:t>
      </w:r>
      <w:r w:rsidR="003047F5" w:rsidRPr="008E07FA">
        <w:rPr>
          <w:b/>
        </w:rPr>
        <w:t>o</w:t>
      </w:r>
      <w:r w:rsidR="00471A2F" w:rsidRPr="008E07FA">
        <w:rPr>
          <w:b/>
        </w:rPr>
        <w:t>lēm</w:t>
      </w:r>
      <w:r w:rsidR="003047F5" w:rsidRPr="008E07FA">
        <w:rPr>
          <w:b/>
        </w:rPr>
        <w:t>a</w:t>
      </w:r>
    </w:p>
    <w:p w14:paraId="5A85C3CC" w14:textId="3F1F5397" w:rsidR="00564007" w:rsidRPr="008E07FA" w:rsidRDefault="00A3648B" w:rsidP="00C45287">
      <w:pPr>
        <w:spacing w:line="276" w:lineRule="auto"/>
        <w:ind w:firstLine="720"/>
        <w:jc w:val="both"/>
        <w:rPr>
          <w:color w:val="000000"/>
        </w:rPr>
      </w:pPr>
      <w:bookmarkStart w:id="0" w:name="Dropdown12"/>
      <w:bookmarkStart w:id="1" w:name="_GoBack"/>
      <w:bookmarkEnd w:id="1"/>
      <w:r w:rsidRPr="008E07FA">
        <w:t xml:space="preserve">nepieņemt </w:t>
      </w:r>
      <w:r w:rsidR="00DE6387">
        <w:t>[pers. A]</w:t>
      </w:r>
      <w:r w:rsidR="009042EE" w:rsidRPr="008E07FA">
        <w:t xml:space="preserve"> </w:t>
      </w:r>
      <w:proofErr w:type="gramStart"/>
      <w:r w:rsidR="009042EE" w:rsidRPr="008E07FA">
        <w:t>(</w:t>
      </w:r>
      <w:proofErr w:type="gramEnd"/>
      <w:r w:rsidR="00DE6387">
        <w:t>[</w:t>
      </w:r>
      <w:r w:rsidR="00DE6387">
        <w:rPr>
          <w:i/>
          <w:iCs/>
        </w:rPr>
        <w:t>pers. A</w:t>
      </w:r>
      <w:r w:rsidR="00DE6387">
        <w:rPr>
          <w:iCs/>
        </w:rPr>
        <w:t>]</w:t>
      </w:r>
      <w:r w:rsidR="009042EE" w:rsidRPr="008E07FA">
        <w:t xml:space="preserve">) </w:t>
      </w:r>
      <w:r w:rsidRPr="008E07FA">
        <w:t>pieteikto noraidījumu tiesnesei</w:t>
      </w:r>
      <w:r w:rsidR="009042EE" w:rsidRPr="008E07FA">
        <w:t xml:space="preserve"> Ievai </w:t>
      </w:r>
      <w:proofErr w:type="spellStart"/>
      <w:r w:rsidR="009042EE" w:rsidRPr="008E07FA">
        <w:t>Višķerei</w:t>
      </w:r>
      <w:proofErr w:type="spellEnd"/>
      <w:r w:rsidR="00332BDC" w:rsidRPr="008E07FA">
        <w:rPr>
          <w:color w:val="000000"/>
        </w:rPr>
        <w:t>.</w:t>
      </w:r>
    </w:p>
    <w:p w14:paraId="58B5420D" w14:textId="77777777" w:rsidR="00195D41" w:rsidRPr="008E07FA" w:rsidRDefault="00471A2F" w:rsidP="00287404">
      <w:pPr>
        <w:spacing w:line="276" w:lineRule="auto"/>
        <w:ind w:firstLine="720"/>
        <w:jc w:val="both"/>
        <w:rPr>
          <w:color w:val="000000"/>
        </w:rPr>
      </w:pPr>
      <w:r w:rsidRPr="008E07FA">
        <w:rPr>
          <w:color w:val="000000"/>
        </w:rPr>
        <w:t>Lēmums</w:t>
      </w:r>
      <w:r w:rsidR="00564007" w:rsidRPr="008E07FA">
        <w:rPr>
          <w:color w:val="000000"/>
        </w:rPr>
        <w:t xml:space="preserve"> nav pārsūdzams</w:t>
      </w:r>
      <w:r w:rsidR="00195D41" w:rsidRPr="008E07FA">
        <w:rPr>
          <w:color w:val="000000"/>
        </w:rPr>
        <w:t>.</w:t>
      </w:r>
      <w:bookmarkEnd w:id="0"/>
    </w:p>
    <w:sectPr w:rsidR="00195D41" w:rsidRPr="008E07FA" w:rsidSect="003A48C2">
      <w:footerReference w:type="default" r:id="rId7"/>
      <w:pgSz w:w="11906" w:h="16838" w:code="9"/>
      <w:pgMar w:top="1418" w:right="1418"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8B11E" w14:textId="77777777" w:rsidR="00F91CBC" w:rsidRDefault="00F91CBC" w:rsidP="003047F5">
      <w:r>
        <w:separator/>
      </w:r>
    </w:p>
  </w:endnote>
  <w:endnote w:type="continuationSeparator" w:id="0">
    <w:p w14:paraId="1FF173B6" w14:textId="77777777" w:rsidR="00F91CBC" w:rsidRDefault="00F91CB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1835F5E2" w14:textId="77777777" w:rsidR="00C631ED" w:rsidRDefault="00C631ED"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0E49DE">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0E49DE">
              <w:rPr>
                <w:bCs/>
                <w:noProof/>
              </w:rPr>
              <w:t>3</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D138D" w14:textId="77777777" w:rsidR="00F91CBC" w:rsidRDefault="00F91CBC" w:rsidP="003047F5">
      <w:r>
        <w:separator/>
      </w:r>
    </w:p>
  </w:footnote>
  <w:footnote w:type="continuationSeparator" w:id="0">
    <w:p w14:paraId="36BC9BFA" w14:textId="77777777" w:rsidR="00F91CBC" w:rsidRDefault="00F91CB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570D"/>
    <w:rsid w:val="000073EC"/>
    <w:rsid w:val="00012B8F"/>
    <w:rsid w:val="00014845"/>
    <w:rsid w:val="00020A0A"/>
    <w:rsid w:val="00030396"/>
    <w:rsid w:val="00030BB1"/>
    <w:rsid w:val="00030C19"/>
    <w:rsid w:val="000361F6"/>
    <w:rsid w:val="000362D0"/>
    <w:rsid w:val="00043C30"/>
    <w:rsid w:val="00045078"/>
    <w:rsid w:val="00057FEF"/>
    <w:rsid w:val="00065336"/>
    <w:rsid w:val="00065377"/>
    <w:rsid w:val="00066CA0"/>
    <w:rsid w:val="00067814"/>
    <w:rsid w:val="00067DCC"/>
    <w:rsid w:val="00067EBC"/>
    <w:rsid w:val="0007024A"/>
    <w:rsid w:val="00070671"/>
    <w:rsid w:val="00074068"/>
    <w:rsid w:val="00075871"/>
    <w:rsid w:val="00086FD4"/>
    <w:rsid w:val="00090E24"/>
    <w:rsid w:val="000919C5"/>
    <w:rsid w:val="00097F4D"/>
    <w:rsid w:val="000A0776"/>
    <w:rsid w:val="000A2E3D"/>
    <w:rsid w:val="000B0C5B"/>
    <w:rsid w:val="000B12BC"/>
    <w:rsid w:val="000B473D"/>
    <w:rsid w:val="000B6226"/>
    <w:rsid w:val="000C3C77"/>
    <w:rsid w:val="000C4358"/>
    <w:rsid w:val="000C5CA5"/>
    <w:rsid w:val="000D1366"/>
    <w:rsid w:val="000D4763"/>
    <w:rsid w:val="000D5D30"/>
    <w:rsid w:val="000D7043"/>
    <w:rsid w:val="000E49DE"/>
    <w:rsid w:val="000E4F66"/>
    <w:rsid w:val="000E5238"/>
    <w:rsid w:val="000F0014"/>
    <w:rsid w:val="000F3BED"/>
    <w:rsid w:val="000F4FBA"/>
    <w:rsid w:val="00100C75"/>
    <w:rsid w:val="00105343"/>
    <w:rsid w:val="001108D8"/>
    <w:rsid w:val="0011410D"/>
    <w:rsid w:val="00121831"/>
    <w:rsid w:val="001270C9"/>
    <w:rsid w:val="0013473A"/>
    <w:rsid w:val="00136612"/>
    <w:rsid w:val="0013722C"/>
    <w:rsid w:val="00140BFC"/>
    <w:rsid w:val="001437A2"/>
    <w:rsid w:val="001452AC"/>
    <w:rsid w:val="001477EF"/>
    <w:rsid w:val="00152263"/>
    <w:rsid w:val="00154B90"/>
    <w:rsid w:val="00155FD1"/>
    <w:rsid w:val="00163154"/>
    <w:rsid w:val="001646E9"/>
    <w:rsid w:val="00164B82"/>
    <w:rsid w:val="00173DE5"/>
    <w:rsid w:val="00183790"/>
    <w:rsid w:val="00190EFF"/>
    <w:rsid w:val="0019238A"/>
    <w:rsid w:val="00192A69"/>
    <w:rsid w:val="00192D83"/>
    <w:rsid w:val="00195D41"/>
    <w:rsid w:val="001A0495"/>
    <w:rsid w:val="001A105D"/>
    <w:rsid w:val="001A2190"/>
    <w:rsid w:val="001B1073"/>
    <w:rsid w:val="001B31D3"/>
    <w:rsid w:val="001B4725"/>
    <w:rsid w:val="001C07BB"/>
    <w:rsid w:val="001C2137"/>
    <w:rsid w:val="001C243A"/>
    <w:rsid w:val="001D16A5"/>
    <w:rsid w:val="001D1713"/>
    <w:rsid w:val="001E2D45"/>
    <w:rsid w:val="001E3A09"/>
    <w:rsid w:val="001F2AF4"/>
    <w:rsid w:val="001F3843"/>
    <w:rsid w:val="001F7795"/>
    <w:rsid w:val="00213269"/>
    <w:rsid w:val="00215B8E"/>
    <w:rsid w:val="00216FA4"/>
    <w:rsid w:val="00231292"/>
    <w:rsid w:val="00233043"/>
    <w:rsid w:val="00237F92"/>
    <w:rsid w:val="002428FE"/>
    <w:rsid w:val="002453D3"/>
    <w:rsid w:val="00262953"/>
    <w:rsid w:val="00265E5C"/>
    <w:rsid w:val="00266C04"/>
    <w:rsid w:val="00272C86"/>
    <w:rsid w:val="0027469B"/>
    <w:rsid w:val="0028328F"/>
    <w:rsid w:val="00287404"/>
    <w:rsid w:val="00292FB5"/>
    <w:rsid w:val="002A3BD5"/>
    <w:rsid w:val="002B2722"/>
    <w:rsid w:val="002B5ED9"/>
    <w:rsid w:val="002B6F73"/>
    <w:rsid w:val="002C0537"/>
    <w:rsid w:val="002C0A6E"/>
    <w:rsid w:val="002C0F02"/>
    <w:rsid w:val="002C1410"/>
    <w:rsid w:val="002C16F6"/>
    <w:rsid w:val="002C1DBB"/>
    <w:rsid w:val="002C21E2"/>
    <w:rsid w:val="002C3086"/>
    <w:rsid w:val="002C7AF2"/>
    <w:rsid w:val="002C7F73"/>
    <w:rsid w:val="002D0677"/>
    <w:rsid w:val="002D42AA"/>
    <w:rsid w:val="002D711E"/>
    <w:rsid w:val="002D7E79"/>
    <w:rsid w:val="002E512D"/>
    <w:rsid w:val="002F1D80"/>
    <w:rsid w:val="002F3370"/>
    <w:rsid w:val="002F53FA"/>
    <w:rsid w:val="002F5970"/>
    <w:rsid w:val="00301519"/>
    <w:rsid w:val="00301B34"/>
    <w:rsid w:val="0030249B"/>
    <w:rsid w:val="003032F4"/>
    <w:rsid w:val="003047F5"/>
    <w:rsid w:val="003226BB"/>
    <w:rsid w:val="00332BDC"/>
    <w:rsid w:val="00337C6B"/>
    <w:rsid w:val="0034007F"/>
    <w:rsid w:val="00351233"/>
    <w:rsid w:val="0035346E"/>
    <w:rsid w:val="00354461"/>
    <w:rsid w:val="00357437"/>
    <w:rsid w:val="00360732"/>
    <w:rsid w:val="00363B18"/>
    <w:rsid w:val="00364EF0"/>
    <w:rsid w:val="0039654D"/>
    <w:rsid w:val="003A098F"/>
    <w:rsid w:val="003A2297"/>
    <w:rsid w:val="003A4775"/>
    <w:rsid w:val="003A48C2"/>
    <w:rsid w:val="003A759D"/>
    <w:rsid w:val="003A7D86"/>
    <w:rsid w:val="003B0EFE"/>
    <w:rsid w:val="003B27F0"/>
    <w:rsid w:val="003B3C99"/>
    <w:rsid w:val="003B4898"/>
    <w:rsid w:val="003B548E"/>
    <w:rsid w:val="003B56E0"/>
    <w:rsid w:val="003B5D12"/>
    <w:rsid w:val="003C5708"/>
    <w:rsid w:val="003D319B"/>
    <w:rsid w:val="003D42EF"/>
    <w:rsid w:val="003D725D"/>
    <w:rsid w:val="003E3606"/>
    <w:rsid w:val="003E468E"/>
    <w:rsid w:val="003E4F9A"/>
    <w:rsid w:val="003E6346"/>
    <w:rsid w:val="003F369D"/>
    <w:rsid w:val="003F4757"/>
    <w:rsid w:val="003F7CD2"/>
    <w:rsid w:val="00402214"/>
    <w:rsid w:val="004061FD"/>
    <w:rsid w:val="00411EBC"/>
    <w:rsid w:val="00414A88"/>
    <w:rsid w:val="00423552"/>
    <w:rsid w:val="0043182C"/>
    <w:rsid w:val="00433C43"/>
    <w:rsid w:val="004405F3"/>
    <w:rsid w:val="00442E50"/>
    <w:rsid w:val="00444730"/>
    <w:rsid w:val="00444A4A"/>
    <w:rsid w:val="00446DC3"/>
    <w:rsid w:val="00451E7E"/>
    <w:rsid w:val="00451EE2"/>
    <w:rsid w:val="00454EB6"/>
    <w:rsid w:val="00462D9E"/>
    <w:rsid w:val="004669ED"/>
    <w:rsid w:val="00471A2F"/>
    <w:rsid w:val="004760D4"/>
    <w:rsid w:val="00476C01"/>
    <w:rsid w:val="00480C1F"/>
    <w:rsid w:val="00483B9F"/>
    <w:rsid w:val="00486F52"/>
    <w:rsid w:val="00491DEC"/>
    <w:rsid w:val="00492B33"/>
    <w:rsid w:val="00497E84"/>
    <w:rsid w:val="004A3155"/>
    <w:rsid w:val="004A37F2"/>
    <w:rsid w:val="004A401A"/>
    <w:rsid w:val="004A771C"/>
    <w:rsid w:val="004B5A9D"/>
    <w:rsid w:val="004D003D"/>
    <w:rsid w:val="004D522E"/>
    <w:rsid w:val="004E01EC"/>
    <w:rsid w:val="004E4C2A"/>
    <w:rsid w:val="004E62CE"/>
    <w:rsid w:val="004F495D"/>
    <w:rsid w:val="004F602B"/>
    <w:rsid w:val="004F6A7F"/>
    <w:rsid w:val="005040D9"/>
    <w:rsid w:val="0051131A"/>
    <w:rsid w:val="00517CAF"/>
    <w:rsid w:val="005240F4"/>
    <w:rsid w:val="005317B2"/>
    <w:rsid w:val="005343ED"/>
    <w:rsid w:val="0055063C"/>
    <w:rsid w:val="00553345"/>
    <w:rsid w:val="00561A54"/>
    <w:rsid w:val="0056230B"/>
    <w:rsid w:val="00564007"/>
    <w:rsid w:val="00567599"/>
    <w:rsid w:val="005712D8"/>
    <w:rsid w:val="005723C1"/>
    <w:rsid w:val="00572870"/>
    <w:rsid w:val="00577595"/>
    <w:rsid w:val="00581A0A"/>
    <w:rsid w:val="00582C8E"/>
    <w:rsid w:val="005901E2"/>
    <w:rsid w:val="005974CD"/>
    <w:rsid w:val="005A0B31"/>
    <w:rsid w:val="005A1AD5"/>
    <w:rsid w:val="005B47B6"/>
    <w:rsid w:val="005B7510"/>
    <w:rsid w:val="005C522F"/>
    <w:rsid w:val="005C7466"/>
    <w:rsid w:val="005D06AC"/>
    <w:rsid w:val="005D15FA"/>
    <w:rsid w:val="005E04D7"/>
    <w:rsid w:val="005E2285"/>
    <w:rsid w:val="005E63BB"/>
    <w:rsid w:val="005E7172"/>
    <w:rsid w:val="005F073C"/>
    <w:rsid w:val="005F1173"/>
    <w:rsid w:val="006020D0"/>
    <w:rsid w:val="006030E8"/>
    <w:rsid w:val="00604A78"/>
    <w:rsid w:val="0060685F"/>
    <w:rsid w:val="00617E9F"/>
    <w:rsid w:val="00627CC9"/>
    <w:rsid w:val="00630CD1"/>
    <w:rsid w:val="00631EEB"/>
    <w:rsid w:val="006331A7"/>
    <w:rsid w:val="006369AB"/>
    <w:rsid w:val="006443C9"/>
    <w:rsid w:val="006453CE"/>
    <w:rsid w:val="006453E3"/>
    <w:rsid w:val="00645B64"/>
    <w:rsid w:val="00645B6E"/>
    <w:rsid w:val="006473AC"/>
    <w:rsid w:val="00650BC3"/>
    <w:rsid w:val="00652253"/>
    <w:rsid w:val="0065294D"/>
    <w:rsid w:val="00657751"/>
    <w:rsid w:val="00666F5D"/>
    <w:rsid w:val="00667630"/>
    <w:rsid w:val="00671780"/>
    <w:rsid w:val="00671BC3"/>
    <w:rsid w:val="00682F6B"/>
    <w:rsid w:val="00687035"/>
    <w:rsid w:val="006908D0"/>
    <w:rsid w:val="00695530"/>
    <w:rsid w:val="006A1367"/>
    <w:rsid w:val="006A72AC"/>
    <w:rsid w:val="006C7AC2"/>
    <w:rsid w:val="006D1639"/>
    <w:rsid w:val="006D2FAC"/>
    <w:rsid w:val="006D5FEF"/>
    <w:rsid w:val="006D7069"/>
    <w:rsid w:val="006E2E0C"/>
    <w:rsid w:val="006E344D"/>
    <w:rsid w:val="006E38D9"/>
    <w:rsid w:val="006E7125"/>
    <w:rsid w:val="006F1467"/>
    <w:rsid w:val="006F37B7"/>
    <w:rsid w:val="006F39E4"/>
    <w:rsid w:val="006F576D"/>
    <w:rsid w:val="006F5D3B"/>
    <w:rsid w:val="00705102"/>
    <w:rsid w:val="007062F0"/>
    <w:rsid w:val="007074CD"/>
    <w:rsid w:val="00730B9C"/>
    <w:rsid w:val="00730C66"/>
    <w:rsid w:val="00730EC1"/>
    <w:rsid w:val="007317FA"/>
    <w:rsid w:val="00736FA6"/>
    <w:rsid w:val="007410BA"/>
    <w:rsid w:val="00744130"/>
    <w:rsid w:val="00750886"/>
    <w:rsid w:val="007513E1"/>
    <w:rsid w:val="007630F4"/>
    <w:rsid w:val="0076354D"/>
    <w:rsid w:val="00770491"/>
    <w:rsid w:val="00772536"/>
    <w:rsid w:val="00772C19"/>
    <w:rsid w:val="00776DD3"/>
    <w:rsid w:val="00783F89"/>
    <w:rsid w:val="007870E5"/>
    <w:rsid w:val="00792FFE"/>
    <w:rsid w:val="007A37DD"/>
    <w:rsid w:val="007A47C2"/>
    <w:rsid w:val="007A7954"/>
    <w:rsid w:val="007C2941"/>
    <w:rsid w:val="007C6D33"/>
    <w:rsid w:val="007D4B35"/>
    <w:rsid w:val="007D7C2B"/>
    <w:rsid w:val="007E6143"/>
    <w:rsid w:val="007F123C"/>
    <w:rsid w:val="007F3168"/>
    <w:rsid w:val="007F61F8"/>
    <w:rsid w:val="007F743F"/>
    <w:rsid w:val="007F7597"/>
    <w:rsid w:val="0080072E"/>
    <w:rsid w:val="008007E9"/>
    <w:rsid w:val="00800ACE"/>
    <w:rsid w:val="008017FB"/>
    <w:rsid w:val="0080560A"/>
    <w:rsid w:val="00805BB4"/>
    <w:rsid w:val="00805C1A"/>
    <w:rsid w:val="00807ED1"/>
    <w:rsid w:val="0081143F"/>
    <w:rsid w:val="00811A23"/>
    <w:rsid w:val="00814E2B"/>
    <w:rsid w:val="00815085"/>
    <w:rsid w:val="008152D6"/>
    <w:rsid w:val="00817F46"/>
    <w:rsid w:val="008225F2"/>
    <w:rsid w:val="008313DD"/>
    <w:rsid w:val="008319B0"/>
    <w:rsid w:val="00833139"/>
    <w:rsid w:val="00837015"/>
    <w:rsid w:val="0083745A"/>
    <w:rsid w:val="00837903"/>
    <w:rsid w:val="00837C0D"/>
    <w:rsid w:val="00840ED4"/>
    <w:rsid w:val="00842941"/>
    <w:rsid w:val="00842A09"/>
    <w:rsid w:val="00845A3C"/>
    <w:rsid w:val="0085275E"/>
    <w:rsid w:val="00852B7C"/>
    <w:rsid w:val="00852E52"/>
    <w:rsid w:val="00862673"/>
    <w:rsid w:val="00862693"/>
    <w:rsid w:val="00862CBF"/>
    <w:rsid w:val="0087084E"/>
    <w:rsid w:val="008731FE"/>
    <w:rsid w:val="00873A7F"/>
    <w:rsid w:val="00874DD1"/>
    <w:rsid w:val="00875BCD"/>
    <w:rsid w:val="0087635F"/>
    <w:rsid w:val="0088139B"/>
    <w:rsid w:val="008831B2"/>
    <w:rsid w:val="00884B71"/>
    <w:rsid w:val="00885A32"/>
    <w:rsid w:val="008911D0"/>
    <w:rsid w:val="0089174C"/>
    <w:rsid w:val="00895BB7"/>
    <w:rsid w:val="008A1079"/>
    <w:rsid w:val="008A3769"/>
    <w:rsid w:val="008A54EB"/>
    <w:rsid w:val="008A57EE"/>
    <w:rsid w:val="008A67D3"/>
    <w:rsid w:val="008A6EE2"/>
    <w:rsid w:val="008A7FEC"/>
    <w:rsid w:val="008B0F4C"/>
    <w:rsid w:val="008B491C"/>
    <w:rsid w:val="008D4AFD"/>
    <w:rsid w:val="008D6DD4"/>
    <w:rsid w:val="008E07FA"/>
    <w:rsid w:val="008E2EC3"/>
    <w:rsid w:val="008F59C2"/>
    <w:rsid w:val="008F5F79"/>
    <w:rsid w:val="008F7ACE"/>
    <w:rsid w:val="009042EE"/>
    <w:rsid w:val="00904DF2"/>
    <w:rsid w:val="00905D6E"/>
    <w:rsid w:val="009137F6"/>
    <w:rsid w:val="0091784D"/>
    <w:rsid w:val="0093018D"/>
    <w:rsid w:val="00933C5D"/>
    <w:rsid w:val="00933E0F"/>
    <w:rsid w:val="0094371A"/>
    <w:rsid w:val="00943F3A"/>
    <w:rsid w:val="00946DDC"/>
    <w:rsid w:val="00946E07"/>
    <w:rsid w:val="009639F7"/>
    <w:rsid w:val="00965EA7"/>
    <w:rsid w:val="00965F24"/>
    <w:rsid w:val="009662E2"/>
    <w:rsid w:val="00970647"/>
    <w:rsid w:val="009729B3"/>
    <w:rsid w:val="009733D7"/>
    <w:rsid w:val="009805E2"/>
    <w:rsid w:val="00983A90"/>
    <w:rsid w:val="00985498"/>
    <w:rsid w:val="00987417"/>
    <w:rsid w:val="00990247"/>
    <w:rsid w:val="009925C6"/>
    <w:rsid w:val="00993D19"/>
    <w:rsid w:val="0099407E"/>
    <w:rsid w:val="009A1358"/>
    <w:rsid w:val="009A2253"/>
    <w:rsid w:val="009B61A3"/>
    <w:rsid w:val="009B6208"/>
    <w:rsid w:val="009C0E67"/>
    <w:rsid w:val="009C23E7"/>
    <w:rsid w:val="009D26CD"/>
    <w:rsid w:val="009D46A4"/>
    <w:rsid w:val="009D5835"/>
    <w:rsid w:val="009D6280"/>
    <w:rsid w:val="009D74CB"/>
    <w:rsid w:val="009E31E7"/>
    <w:rsid w:val="009E5B0D"/>
    <w:rsid w:val="009E6096"/>
    <w:rsid w:val="009F14D7"/>
    <w:rsid w:val="009F1A7F"/>
    <w:rsid w:val="00A00062"/>
    <w:rsid w:val="00A0333A"/>
    <w:rsid w:val="00A0780D"/>
    <w:rsid w:val="00A13E61"/>
    <w:rsid w:val="00A261F9"/>
    <w:rsid w:val="00A27436"/>
    <w:rsid w:val="00A31E86"/>
    <w:rsid w:val="00A34102"/>
    <w:rsid w:val="00A356F6"/>
    <w:rsid w:val="00A3648B"/>
    <w:rsid w:val="00A43269"/>
    <w:rsid w:val="00A437E1"/>
    <w:rsid w:val="00A44C46"/>
    <w:rsid w:val="00A45AA4"/>
    <w:rsid w:val="00A46BE5"/>
    <w:rsid w:val="00A519DD"/>
    <w:rsid w:val="00A5498E"/>
    <w:rsid w:val="00A574C3"/>
    <w:rsid w:val="00A65F9C"/>
    <w:rsid w:val="00A73AA3"/>
    <w:rsid w:val="00A75BFF"/>
    <w:rsid w:val="00A7607C"/>
    <w:rsid w:val="00A76596"/>
    <w:rsid w:val="00A831F1"/>
    <w:rsid w:val="00A835A9"/>
    <w:rsid w:val="00A84421"/>
    <w:rsid w:val="00A851D7"/>
    <w:rsid w:val="00A855D9"/>
    <w:rsid w:val="00A87F14"/>
    <w:rsid w:val="00A90B4A"/>
    <w:rsid w:val="00A9404A"/>
    <w:rsid w:val="00AA6DDA"/>
    <w:rsid w:val="00AB4E80"/>
    <w:rsid w:val="00AB7BC6"/>
    <w:rsid w:val="00AD4EFE"/>
    <w:rsid w:val="00AE1052"/>
    <w:rsid w:val="00AE1567"/>
    <w:rsid w:val="00AE30E8"/>
    <w:rsid w:val="00AF1A01"/>
    <w:rsid w:val="00AF4353"/>
    <w:rsid w:val="00AF76B8"/>
    <w:rsid w:val="00B00A8B"/>
    <w:rsid w:val="00B01507"/>
    <w:rsid w:val="00B075A8"/>
    <w:rsid w:val="00B10C99"/>
    <w:rsid w:val="00B11B22"/>
    <w:rsid w:val="00B11B80"/>
    <w:rsid w:val="00B27DFB"/>
    <w:rsid w:val="00B3327A"/>
    <w:rsid w:val="00B33339"/>
    <w:rsid w:val="00B35BA0"/>
    <w:rsid w:val="00B42AE1"/>
    <w:rsid w:val="00B43FAA"/>
    <w:rsid w:val="00B50C6E"/>
    <w:rsid w:val="00B523A7"/>
    <w:rsid w:val="00B53020"/>
    <w:rsid w:val="00B53185"/>
    <w:rsid w:val="00B56B13"/>
    <w:rsid w:val="00B633B6"/>
    <w:rsid w:val="00B74AA3"/>
    <w:rsid w:val="00B77146"/>
    <w:rsid w:val="00B83937"/>
    <w:rsid w:val="00B84EED"/>
    <w:rsid w:val="00B93D11"/>
    <w:rsid w:val="00B95692"/>
    <w:rsid w:val="00B95CE3"/>
    <w:rsid w:val="00B96FBD"/>
    <w:rsid w:val="00BA06CF"/>
    <w:rsid w:val="00BA180E"/>
    <w:rsid w:val="00BA6B8A"/>
    <w:rsid w:val="00BB33B4"/>
    <w:rsid w:val="00BB4182"/>
    <w:rsid w:val="00BB4900"/>
    <w:rsid w:val="00BC338E"/>
    <w:rsid w:val="00BD0E3C"/>
    <w:rsid w:val="00BE000E"/>
    <w:rsid w:val="00BE31B9"/>
    <w:rsid w:val="00BE57B8"/>
    <w:rsid w:val="00BE768E"/>
    <w:rsid w:val="00BF00E7"/>
    <w:rsid w:val="00BF14EC"/>
    <w:rsid w:val="00BF47EF"/>
    <w:rsid w:val="00BF4DC1"/>
    <w:rsid w:val="00BF5AE1"/>
    <w:rsid w:val="00BF6874"/>
    <w:rsid w:val="00C0214E"/>
    <w:rsid w:val="00C042AE"/>
    <w:rsid w:val="00C1079F"/>
    <w:rsid w:val="00C11A12"/>
    <w:rsid w:val="00C13882"/>
    <w:rsid w:val="00C21BCA"/>
    <w:rsid w:val="00C25ECF"/>
    <w:rsid w:val="00C26E66"/>
    <w:rsid w:val="00C35FB7"/>
    <w:rsid w:val="00C40C08"/>
    <w:rsid w:val="00C415AF"/>
    <w:rsid w:val="00C429F3"/>
    <w:rsid w:val="00C44C69"/>
    <w:rsid w:val="00C45287"/>
    <w:rsid w:val="00C47EA5"/>
    <w:rsid w:val="00C51156"/>
    <w:rsid w:val="00C528E7"/>
    <w:rsid w:val="00C54209"/>
    <w:rsid w:val="00C631ED"/>
    <w:rsid w:val="00C6375A"/>
    <w:rsid w:val="00C64AF7"/>
    <w:rsid w:val="00C70F5A"/>
    <w:rsid w:val="00C72608"/>
    <w:rsid w:val="00C736C0"/>
    <w:rsid w:val="00C73A9C"/>
    <w:rsid w:val="00C75110"/>
    <w:rsid w:val="00C870C4"/>
    <w:rsid w:val="00C904C8"/>
    <w:rsid w:val="00C96717"/>
    <w:rsid w:val="00C9711D"/>
    <w:rsid w:val="00CA2868"/>
    <w:rsid w:val="00CB30F2"/>
    <w:rsid w:val="00CC6A34"/>
    <w:rsid w:val="00CC6FA0"/>
    <w:rsid w:val="00CD1AA9"/>
    <w:rsid w:val="00CD441A"/>
    <w:rsid w:val="00CD4CA9"/>
    <w:rsid w:val="00CD4D58"/>
    <w:rsid w:val="00CD5FB8"/>
    <w:rsid w:val="00CD69B6"/>
    <w:rsid w:val="00CE21DB"/>
    <w:rsid w:val="00CE6D56"/>
    <w:rsid w:val="00CF5D45"/>
    <w:rsid w:val="00CF6A2A"/>
    <w:rsid w:val="00D0263C"/>
    <w:rsid w:val="00D04280"/>
    <w:rsid w:val="00D06F80"/>
    <w:rsid w:val="00D13D38"/>
    <w:rsid w:val="00D15826"/>
    <w:rsid w:val="00D228E5"/>
    <w:rsid w:val="00D24E59"/>
    <w:rsid w:val="00D3353C"/>
    <w:rsid w:val="00D37711"/>
    <w:rsid w:val="00D40D05"/>
    <w:rsid w:val="00D56D04"/>
    <w:rsid w:val="00D653EC"/>
    <w:rsid w:val="00D65BF0"/>
    <w:rsid w:val="00D65FEE"/>
    <w:rsid w:val="00D66055"/>
    <w:rsid w:val="00D660F1"/>
    <w:rsid w:val="00D66F81"/>
    <w:rsid w:val="00D7028E"/>
    <w:rsid w:val="00D70869"/>
    <w:rsid w:val="00D758C6"/>
    <w:rsid w:val="00D75981"/>
    <w:rsid w:val="00D81503"/>
    <w:rsid w:val="00D86935"/>
    <w:rsid w:val="00D972C4"/>
    <w:rsid w:val="00DA0F34"/>
    <w:rsid w:val="00DA5E20"/>
    <w:rsid w:val="00DB3196"/>
    <w:rsid w:val="00DB5FD3"/>
    <w:rsid w:val="00DB69BD"/>
    <w:rsid w:val="00DC21CA"/>
    <w:rsid w:val="00DC28DC"/>
    <w:rsid w:val="00DD0429"/>
    <w:rsid w:val="00DD3343"/>
    <w:rsid w:val="00DD3B47"/>
    <w:rsid w:val="00DE028A"/>
    <w:rsid w:val="00DE2B34"/>
    <w:rsid w:val="00DE6387"/>
    <w:rsid w:val="00E04906"/>
    <w:rsid w:val="00E07155"/>
    <w:rsid w:val="00E07A94"/>
    <w:rsid w:val="00E07CFE"/>
    <w:rsid w:val="00E1009B"/>
    <w:rsid w:val="00E1195B"/>
    <w:rsid w:val="00E14DA3"/>
    <w:rsid w:val="00E15A40"/>
    <w:rsid w:val="00E23C0A"/>
    <w:rsid w:val="00E25A39"/>
    <w:rsid w:val="00E3039A"/>
    <w:rsid w:val="00E31B2F"/>
    <w:rsid w:val="00E326EE"/>
    <w:rsid w:val="00E334C6"/>
    <w:rsid w:val="00E37D97"/>
    <w:rsid w:val="00E44305"/>
    <w:rsid w:val="00E55F1F"/>
    <w:rsid w:val="00E8021D"/>
    <w:rsid w:val="00E93830"/>
    <w:rsid w:val="00E9754E"/>
    <w:rsid w:val="00EA64DA"/>
    <w:rsid w:val="00EA7B99"/>
    <w:rsid w:val="00EB2B18"/>
    <w:rsid w:val="00EB7A25"/>
    <w:rsid w:val="00EC4765"/>
    <w:rsid w:val="00EC5248"/>
    <w:rsid w:val="00ED0E71"/>
    <w:rsid w:val="00EE085F"/>
    <w:rsid w:val="00EE683F"/>
    <w:rsid w:val="00EF2A1B"/>
    <w:rsid w:val="00EF2B2F"/>
    <w:rsid w:val="00EF3A4F"/>
    <w:rsid w:val="00EF67DE"/>
    <w:rsid w:val="00F025B0"/>
    <w:rsid w:val="00F0340D"/>
    <w:rsid w:val="00F0423C"/>
    <w:rsid w:val="00F05F6B"/>
    <w:rsid w:val="00F17B63"/>
    <w:rsid w:val="00F22416"/>
    <w:rsid w:val="00F24B54"/>
    <w:rsid w:val="00F31EF1"/>
    <w:rsid w:val="00F3795F"/>
    <w:rsid w:val="00F40CC4"/>
    <w:rsid w:val="00F416A7"/>
    <w:rsid w:val="00F426AF"/>
    <w:rsid w:val="00F502CE"/>
    <w:rsid w:val="00F53FFD"/>
    <w:rsid w:val="00F578F1"/>
    <w:rsid w:val="00F6057F"/>
    <w:rsid w:val="00F6110F"/>
    <w:rsid w:val="00F66413"/>
    <w:rsid w:val="00F715B9"/>
    <w:rsid w:val="00F73661"/>
    <w:rsid w:val="00F7449A"/>
    <w:rsid w:val="00F75E1C"/>
    <w:rsid w:val="00F85AB4"/>
    <w:rsid w:val="00F874EA"/>
    <w:rsid w:val="00F91CBC"/>
    <w:rsid w:val="00F97434"/>
    <w:rsid w:val="00FA07A8"/>
    <w:rsid w:val="00FA5942"/>
    <w:rsid w:val="00FA7704"/>
    <w:rsid w:val="00FB1083"/>
    <w:rsid w:val="00FB1332"/>
    <w:rsid w:val="00FB15F2"/>
    <w:rsid w:val="00FB48D6"/>
    <w:rsid w:val="00FB6570"/>
    <w:rsid w:val="00FC1610"/>
    <w:rsid w:val="00FC287C"/>
    <w:rsid w:val="00FC431A"/>
    <w:rsid w:val="00FC5AE2"/>
    <w:rsid w:val="00FD7B8C"/>
    <w:rsid w:val="00FE3E0B"/>
    <w:rsid w:val="00FE7FE9"/>
    <w:rsid w:val="00FF09AD"/>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A8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36084362">
      <w:bodyDiv w:val="1"/>
      <w:marLeft w:val="0"/>
      <w:marRight w:val="0"/>
      <w:marTop w:val="0"/>
      <w:marBottom w:val="0"/>
      <w:divBdr>
        <w:top w:val="none" w:sz="0" w:space="0" w:color="auto"/>
        <w:left w:val="none" w:sz="0" w:space="0" w:color="auto"/>
        <w:bottom w:val="none" w:sz="0" w:space="0" w:color="auto"/>
        <w:right w:val="none" w:sz="0" w:space="0" w:color="auto"/>
      </w:divBdr>
      <w:divsChild>
        <w:div w:id="437872053">
          <w:marLeft w:val="0"/>
          <w:marRight w:val="0"/>
          <w:marTop w:val="0"/>
          <w:marBottom w:val="0"/>
          <w:divBdr>
            <w:top w:val="none" w:sz="0" w:space="0" w:color="auto"/>
            <w:left w:val="none" w:sz="0" w:space="0" w:color="auto"/>
            <w:bottom w:val="none" w:sz="0" w:space="0" w:color="auto"/>
            <w:right w:val="none" w:sz="0" w:space="0" w:color="auto"/>
          </w:divBdr>
        </w:div>
        <w:div w:id="24984069">
          <w:marLeft w:val="0"/>
          <w:marRight w:val="0"/>
          <w:marTop w:val="0"/>
          <w:marBottom w:val="0"/>
          <w:divBdr>
            <w:top w:val="none" w:sz="0" w:space="0" w:color="auto"/>
            <w:left w:val="none" w:sz="0" w:space="0" w:color="auto"/>
            <w:bottom w:val="none" w:sz="0" w:space="0" w:color="auto"/>
            <w:right w:val="none" w:sz="0" w:space="0" w:color="auto"/>
          </w:divBdr>
        </w:div>
        <w:div w:id="1870096065">
          <w:marLeft w:val="0"/>
          <w:marRight w:val="0"/>
          <w:marTop w:val="0"/>
          <w:marBottom w:val="0"/>
          <w:divBdr>
            <w:top w:val="none" w:sz="0" w:space="0" w:color="auto"/>
            <w:left w:val="none" w:sz="0" w:space="0" w:color="auto"/>
            <w:bottom w:val="none" w:sz="0" w:space="0" w:color="auto"/>
            <w:right w:val="none" w:sz="0" w:space="0" w:color="auto"/>
          </w:divBdr>
        </w:div>
        <w:div w:id="853685969">
          <w:marLeft w:val="0"/>
          <w:marRight w:val="0"/>
          <w:marTop w:val="0"/>
          <w:marBottom w:val="0"/>
          <w:divBdr>
            <w:top w:val="none" w:sz="0" w:space="0" w:color="auto"/>
            <w:left w:val="none" w:sz="0" w:space="0" w:color="auto"/>
            <w:bottom w:val="none" w:sz="0" w:space="0" w:color="auto"/>
            <w:right w:val="none" w:sz="0" w:space="0" w:color="auto"/>
          </w:divBdr>
        </w:div>
        <w:div w:id="91360764">
          <w:marLeft w:val="0"/>
          <w:marRight w:val="0"/>
          <w:marTop w:val="0"/>
          <w:marBottom w:val="0"/>
          <w:divBdr>
            <w:top w:val="none" w:sz="0" w:space="0" w:color="auto"/>
            <w:left w:val="none" w:sz="0" w:space="0" w:color="auto"/>
            <w:bottom w:val="none" w:sz="0" w:space="0" w:color="auto"/>
            <w:right w:val="none" w:sz="0" w:space="0" w:color="auto"/>
          </w:divBdr>
        </w:div>
        <w:div w:id="2098599835">
          <w:marLeft w:val="0"/>
          <w:marRight w:val="0"/>
          <w:marTop w:val="0"/>
          <w:marBottom w:val="0"/>
          <w:divBdr>
            <w:top w:val="none" w:sz="0" w:space="0" w:color="auto"/>
            <w:left w:val="none" w:sz="0" w:space="0" w:color="auto"/>
            <w:bottom w:val="none" w:sz="0" w:space="0" w:color="auto"/>
            <w:right w:val="none" w:sz="0" w:space="0" w:color="auto"/>
          </w:divBdr>
        </w:div>
        <w:div w:id="633365574">
          <w:marLeft w:val="0"/>
          <w:marRight w:val="0"/>
          <w:marTop w:val="0"/>
          <w:marBottom w:val="0"/>
          <w:divBdr>
            <w:top w:val="none" w:sz="0" w:space="0" w:color="auto"/>
            <w:left w:val="none" w:sz="0" w:space="0" w:color="auto"/>
            <w:bottom w:val="none" w:sz="0" w:space="0" w:color="auto"/>
            <w:right w:val="none" w:sz="0" w:space="0" w:color="auto"/>
          </w:divBdr>
        </w:div>
        <w:div w:id="1874687195">
          <w:marLeft w:val="0"/>
          <w:marRight w:val="0"/>
          <w:marTop w:val="0"/>
          <w:marBottom w:val="0"/>
          <w:divBdr>
            <w:top w:val="none" w:sz="0" w:space="0" w:color="auto"/>
            <w:left w:val="none" w:sz="0" w:space="0" w:color="auto"/>
            <w:bottom w:val="none" w:sz="0" w:space="0" w:color="auto"/>
            <w:right w:val="none" w:sz="0" w:space="0" w:color="auto"/>
          </w:divBdr>
        </w:div>
        <w:div w:id="302278963">
          <w:marLeft w:val="0"/>
          <w:marRight w:val="0"/>
          <w:marTop w:val="0"/>
          <w:marBottom w:val="0"/>
          <w:divBdr>
            <w:top w:val="none" w:sz="0" w:space="0" w:color="auto"/>
            <w:left w:val="none" w:sz="0" w:space="0" w:color="auto"/>
            <w:bottom w:val="none" w:sz="0" w:space="0" w:color="auto"/>
            <w:right w:val="none" w:sz="0" w:space="0" w:color="auto"/>
          </w:divBdr>
        </w:div>
        <w:div w:id="1902251433">
          <w:marLeft w:val="0"/>
          <w:marRight w:val="0"/>
          <w:marTop w:val="0"/>
          <w:marBottom w:val="0"/>
          <w:divBdr>
            <w:top w:val="none" w:sz="0" w:space="0" w:color="auto"/>
            <w:left w:val="none" w:sz="0" w:space="0" w:color="auto"/>
            <w:bottom w:val="none" w:sz="0" w:space="0" w:color="auto"/>
            <w:right w:val="none" w:sz="0" w:space="0" w:color="auto"/>
          </w:divBdr>
        </w:div>
        <w:div w:id="337008157">
          <w:marLeft w:val="0"/>
          <w:marRight w:val="0"/>
          <w:marTop w:val="0"/>
          <w:marBottom w:val="0"/>
          <w:divBdr>
            <w:top w:val="none" w:sz="0" w:space="0" w:color="auto"/>
            <w:left w:val="none" w:sz="0" w:space="0" w:color="auto"/>
            <w:bottom w:val="none" w:sz="0" w:space="0" w:color="auto"/>
            <w:right w:val="none" w:sz="0" w:space="0" w:color="auto"/>
          </w:divBdr>
        </w:div>
        <w:div w:id="1126511150">
          <w:marLeft w:val="0"/>
          <w:marRight w:val="0"/>
          <w:marTop w:val="0"/>
          <w:marBottom w:val="0"/>
          <w:divBdr>
            <w:top w:val="none" w:sz="0" w:space="0" w:color="auto"/>
            <w:left w:val="none" w:sz="0" w:space="0" w:color="auto"/>
            <w:bottom w:val="none" w:sz="0" w:space="0" w:color="auto"/>
            <w:right w:val="none" w:sz="0" w:space="0" w:color="auto"/>
          </w:divBdr>
        </w:div>
        <w:div w:id="310330025">
          <w:marLeft w:val="0"/>
          <w:marRight w:val="0"/>
          <w:marTop w:val="0"/>
          <w:marBottom w:val="0"/>
          <w:divBdr>
            <w:top w:val="none" w:sz="0" w:space="0" w:color="auto"/>
            <w:left w:val="none" w:sz="0" w:space="0" w:color="auto"/>
            <w:bottom w:val="none" w:sz="0" w:space="0" w:color="auto"/>
            <w:right w:val="none" w:sz="0" w:space="0" w:color="auto"/>
          </w:divBdr>
        </w:div>
        <w:div w:id="1703968733">
          <w:marLeft w:val="0"/>
          <w:marRight w:val="0"/>
          <w:marTop w:val="0"/>
          <w:marBottom w:val="0"/>
          <w:divBdr>
            <w:top w:val="none" w:sz="0" w:space="0" w:color="auto"/>
            <w:left w:val="none" w:sz="0" w:space="0" w:color="auto"/>
            <w:bottom w:val="none" w:sz="0" w:space="0" w:color="auto"/>
            <w:right w:val="none" w:sz="0" w:space="0" w:color="auto"/>
          </w:divBdr>
        </w:div>
        <w:div w:id="32460155">
          <w:marLeft w:val="0"/>
          <w:marRight w:val="0"/>
          <w:marTop w:val="0"/>
          <w:marBottom w:val="0"/>
          <w:divBdr>
            <w:top w:val="none" w:sz="0" w:space="0" w:color="auto"/>
            <w:left w:val="none" w:sz="0" w:space="0" w:color="auto"/>
            <w:bottom w:val="none" w:sz="0" w:space="0" w:color="auto"/>
            <w:right w:val="none" w:sz="0" w:space="0" w:color="auto"/>
          </w:divBdr>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76269177">
      <w:bodyDiv w:val="1"/>
      <w:marLeft w:val="0"/>
      <w:marRight w:val="0"/>
      <w:marTop w:val="0"/>
      <w:marBottom w:val="0"/>
      <w:divBdr>
        <w:top w:val="none" w:sz="0" w:space="0" w:color="auto"/>
        <w:left w:val="none" w:sz="0" w:space="0" w:color="auto"/>
        <w:bottom w:val="none" w:sz="0" w:space="0" w:color="auto"/>
        <w:right w:val="none" w:sz="0" w:space="0" w:color="auto"/>
      </w:divBdr>
      <w:divsChild>
        <w:div w:id="1191455127">
          <w:marLeft w:val="0"/>
          <w:marRight w:val="0"/>
          <w:marTop w:val="0"/>
          <w:marBottom w:val="0"/>
          <w:divBdr>
            <w:top w:val="none" w:sz="0" w:space="0" w:color="auto"/>
            <w:left w:val="none" w:sz="0" w:space="0" w:color="auto"/>
            <w:bottom w:val="none" w:sz="0" w:space="0" w:color="auto"/>
            <w:right w:val="none" w:sz="0" w:space="0" w:color="auto"/>
          </w:divBdr>
        </w:div>
        <w:div w:id="292561264">
          <w:marLeft w:val="0"/>
          <w:marRight w:val="0"/>
          <w:marTop w:val="0"/>
          <w:marBottom w:val="0"/>
          <w:divBdr>
            <w:top w:val="none" w:sz="0" w:space="0" w:color="auto"/>
            <w:left w:val="none" w:sz="0" w:space="0" w:color="auto"/>
            <w:bottom w:val="none" w:sz="0" w:space="0" w:color="auto"/>
            <w:right w:val="none" w:sz="0" w:space="0" w:color="auto"/>
          </w:divBdr>
        </w:div>
        <w:div w:id="1254894280">
          <w:marLeft w:val="0"/>
          <w:marRight w:val="0"/>
          <w:marTop w:val="0"/>
          <w:marBottom w:val="0"/>
          <w:divBdr>
            <w:top w:val="none" w:sz="0" w:space="0" w:color="auto"/>
            <w:left w:val="none" w:sz="0" w:space="0" w:color="auto"/>
            <w:bottom w:val="none" w:sz="0" w:space="0" w:color="auto"/>
            <w:right w:val="none" w:sz="0" w:space="0" w:color="auto"/>
          </w:divBdr>
        </w:div>
        <w:div w:id="1219632431">
          <w:marLeft w:val="0"/>
          <w:marRight w:val="0"/>
          <w:marTop w:val="0"/>
          <w:marBottom w:val="0"/>
          <w:divBdr>
            <w:top w:val="none" w:sz="0" w:space="0" w:color="auto"/>
            <w:left w:val="none" w:sz="0" w:space="0" w:color="auto"/>
            <w:bottom w:val="none" w:sz="0" w:space="0" w:color="auto"/>
            <w:right w:val="none" w:sz="0" w:space="0" w:color="auto"/>
          </w:divBdr>
        </w:div>
        <w:div w:id="779380057">
          <w:marLeft w:val="0"/>
          <w:marRight w:val="0"/>
          <w:marTop w:val="0"/>
          <w:marBottom w:val="0"/>
          <w:divBdr>
            <w:top w:val="none" w:sz="0" w:space="0" w:color="auto"/>
            <w:left w:val="none" w:sz="0" w:space="0" w:color="auto"/>
            <w:bottom w:val="none" w:sz="0" w:space="0" w:color="auto"/>
            <w:right w:val="none" w:sz="0" w:space="0" w:color="auto"/>
          </w:divBdr>
        </w:div>
        <w:div w:id="642809672">
          <w:marLeft w:val="0"/>
          <w:marRight w:val="0"/>
          <w:marTop w:val="0"/>
          <w:marBottom w:val="0"/>
          <w:divBdr>
            <w:top w:val="none" w:sz="0" w:space="0" w:color="auto"/>
            <w:left w:val="none" w:sz="0" w:space="0" w:color="auto"/>
            <w:bottom w:val="none" w:sz="0" w:space="0" w:color="auto"/>
            <w:right w:val="none" w:sz="0" w:space="0" w:color="auto"/>
          </w:divBdr>
        </w:div>
        <w:div w:id="623074541">
          <w:marLeft w:val="0"/>
          <w:marRight w:val="0"/>
          <w:marTop w:val="0"/>
          <w:marBottom w:val="0"/>
          <w:divBdr>
            <w:top w:val="none" w:sz="0" w:space="0" w:color="auto"/>
            <w:left w:val="none" w:sz="0" w:space="0" w:color="auto"/>
            <w:bottom w:val="none" w:sz="0" w:space="0" w:color="auto"/>
            <w:right w:val="none" w:sz="0" w:space="0" w:color="auto"/>
          </w:divBdr>
        </w:div>
      </w:divsChild>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95867897">
      <w:bodyDiv w:val="1"/>
      <w:marLeft w:val="0"/>
      <w:marRight w:val="0"/>
      <w:marTop w:val="0"/>
      <w:marBottom w:val="0"/>
      <w:divBdr>
        <w:top w:val="none" w:sz="0" w:space="0" w:color="auto"/>
        <w:left w:val="none" w:sz="0" w:space="0" w:color="auto"/>
        <w:bottom w:val="none" w:sz="0" w:space="0" w:color="auto"/>
        <w:right w:val="none" w:sz="0" w:space="0" w:color="auto"/>
      </w:divBdr>
      <w:divsChild>
        <w:div w:id="344290635">
          <w:marLeft w:val="0"/>
          <w:marRight w:val="0"/>
          <w:marTop w:val="0"/>
          <w:marBottom w:val="0"/>
          <w:divBdr>
            <w:top w:val="none" w:sz="0" w:space="0" w:color="auto"/>
            <w:left w:val="none" w:sz="0" w:space="0" w:color="auto"/>
            <w:bottom w:val="none" w:sz="0" w:space="0" w:color="auto"/>
            <w:right w:val="none" w:sz="0" w:space="0" w:color="auto"/>
          </w:divBdr>
        </w:div>
        <w:div w:id="1682972588">
          <w:marLeft w:val="0"/>
          <w:marRight w:val="0"/>
          <w:marTop w:val="0"/>
          <w:marBottom w:val="0"/>
          <w:divBdr>
            <w:top w:val="none" w:sz="0" w:space="0" w:color="auto"/>
            <w:left w:val="none" w:sz="0" w:space="0" w:color="auto"/>
            <w:bottom w:val="none" w:sz="0" w:space="0" w:color="auto"/>
            <w:right w:val="none" w:sz="0" w:space="0" w:color="auto"/>
          </w:divBdr>
        </w:div>
        <w:div w:id="443503128">
          <w:marLeft w:val="0"/>
          <w:marRight w:val="0"/>
          <w:marTop w:val="0"/>
          <w:marBottom w:val="0"/>
          <w:divBdr>
            <w:top w:val="none" w:sz="0" w:space="0" w:color="auto"/>
            <w:left w:val="none" w:sz="0" w:space="0" w:color="auto"/>
            <w:bottom w:val="none" w:sz="0" w:space="0" w:color="auto"/>
            <w:right w:val="none" w:sz="0" w:space="0" w:color="auto"/>
          </w:divBdr>
        </w:div>
        <w:div w:id="187642637">
          <w:marLeft w:val="0"/>
          <w:marRight w:val="0"/>
          <w:marTop w:val="0"/>
          <w:marBottom w:val="0"/>
          <w:divBdr>
            <w:top w:val="none" w:sz="0" w:space="0" w:color="auto"/>
            <w:left w:val="none" w:sz="0" w:space="0" w:color="auto"/>
            <w:bottom w:val="none" w:sz="0" w:space="0" w:color="auto"/>
            <w:right w:val="none" w:sz="0" w:space="0" w:color="auto"/>
          </w:divBdr>
        </w:div>
        <w:div w:id="54672263">
          <w:marLeft w:val="0"/>
          <w:marRight w:val="0"/>
          <w:marTop w:val="0"/>
          <w:marBottom w:val="0"/>
          <w:divBdr>
            <w:top w:val="none" w:sz="0" w:space="0" w:color="auto"/>
            <w:left w:val="none" w:sz="0" w:space="0" w:color="auto"/>
            <w:bottom w:val="none" w:sz="0" w:space="0" w:color="auto"/>
            <w:right w:val="none" w:sz="0" w:space="0" w:color="auto"/>
          </w:divBdr>
        </w:div>
        <w:div w:id="942765699">
          <w:marLeft w:val="0"/>
          <w:marRight w:val="0"/>
          <w:marTop w:val="0"/>
          <w:marBottom w:val="0"/>
          <w:divBdr>
            <w:top w:val="none" w:sz="0" w:space="0" w:color="auto"/>
            <w:left w:val="none" w:sz="0" w:space="0" w:color="auto"/>
            <w:bottom w:val="none" w:sz="0" w:space="0" w:color="auto"/>
            <w:right w:val="none" w:sz="0" w:space="0" w:color="auto"/>
          </w:divBdr>
        </w:div>
        <w:div w:id="978456154">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39055724">
      <w:bodyDiv w:val="1"/>
      <w:marLeft w:val="0"/>
      <w:marRight w:val="0"/>
      <w:marTop w:val="0"/>
      <w:marBottom w:val="0"/>
      <w:divBdr>
        <w:top w:val="none" w:sz="0" w:space="0" w:color="auto"/>
        <w:left w:val="none" w:sz="0" w:space="0" w:color="auto"/>
        <w:bottom w:val="none" w:sz="0" w:space="0" w:color="auto"/>
        <w:right w:val="none" w:sz="0" w:space="0" w:color="auto"/>
      </w:divBdr>
      <w:divsChild>
        <w:div w:id="710230498">
          <w:marLeft w:val="0"/>
          <w:marRight w:val="0"/>
          <w:marTop w:val="0"/>
          <w:marBottom w:val="0"/>
          <w:divBdr>
            <w:top w:val="none" w:sz="0" w:space="0" w:color="auto"/>
            <w:left w:val="none" w:sz="0" w:space="0" w:color="auto"/>
            <w:bottom w:val="none" w:sz="0" w:space="0" w:color="auto"/>
            <w:right w:val="none" w:sz="0" w:space="0" w:color="auto"/>
          </w:divBdr>
        </w:div>
        <w:div w:id="345837414">
          <w:marLeft w:val="0"/>
          <w:marRight w:val="0"/>
          <w:marTop w:val="0"/>
          <w:marBottom w:val="0"/>
          <w:divBdr>
            <w:top w:val="none" w:sz="0" w:space="0" w:color="auto"/>
            <w:left w:val="none" w:sz="0" w:space="0" w:color="auto"/>
            <w:bottom w:val="none" w:sz="0" w:space="0" w:color="auto"/>
            <w:right w:val="none" w:sz="0" w:space="0" w:color="auto"/>
          </w:divBdr>
        </w:div>
        <w:div w:id="1330257166">
          <w:marLeft w:val="0"/>
          <w:marRight w:val="0"/>
          <w:marTop w:val="0"/>
          <w:marBottom w:val="0"/>
          <w:divBdr>
            <w:top w:val="none" w:sz="0" w:space="0" w:color="auto"/>
            <w:left w:val="none" w:sz="0" w:space="0" w:color="auto"/>
            <w:bottom w:val="none" w:sz="0" w:space="0" w:color="auto"/>
            <w:right w:val="none" w:sz="0" w:space="0" w:color="auto"/>
          </w:divBdr>
        </w:div>
      </w:divsChild>
    </w:div>
    <w:div w:id="831027696">
      <w:bodyDiv w:val="1"/>
      <w:marLeft w:val="0"/>
      <w:marRight w:val="0"/>
      <w:marTop w:val="0"/>
      <w:marBottom w:val="0"/>
      <w:divBdr>
        <w:top w:val="none" w:sz="0" w:space="0" w:color="auto"/>
        <w:left w:val="none" w:sz="0" w:space="0" w:color="auto"/>
        <w:bottom w:val="none" w:sz="0" w:space="0" w:color="auto"/>
        <w:right w:val="none" w:sz="0" w:space="0" w:color="auto"/>
      </w:divBdr>
    </w:div>
    <w:div w:id="874931823">
      <w:bodyDiv w:val="1"/>
      <w:marLeft w:val="0"/>
      <w:marRight w:val="0"/>
      <w:marTop w:val="0"/>
      <w:marBottom w:val="0"/>
      <w:divBdr>
        <w:top w:val="none" w:sz="0" w:space="0" w:color="auto"/>
        <w:left w:val="none" w:sz="0" w:space="0" w:color="auto"/>
        <w:bottom w:val="none" w:sz="0" w:space="0" w:color="auto"/>
        <w:right w:val="none" w:sz="0" w:space="0" w:color="auto"/>
      </w:divBdr>
      <w:divsChild>
        <w:div w:id="1733119336">
          <w:marLeft w:val="0"/>
          <w:marRight w:val="0"/>
          <w:marTop w:val="0"/>
          <w:marBottom w:val="0"/>
          <w:divBdr>
            <w:top w:val="none" w:sz="0" w:space="0" w:color="auto"/>
            <w:left w:val="none" w:sz="0" w:space="0" w:color="auto"/>
            <w:bottom w:val="none" w:sz="0" w:space="0" w:color="auto"/>
            <w:right w:val="none" w:sz="0" w:space="0" w:color="auto"/>
          </w:divBdr>
        </w:div>
        <w:div w:id="851528424">
          <w:marLeft w:val="0"/>
          <w:marRight w:val="0"/>
          <w:marTop w:val="0"/>
          <w:marBottom w:val="0"/>
          <w:divBdr>
            <w:top w:val="none" w:sz="0" w:space="0" w:color="auto"/>
            <w:left w:val="none" w:sz="0" w:space="0" w:color="auto"/>
            <w:bottom w:val="none" w:sz="0" w:space="0" w:color="auto"/>
            <w:right w:val="none" w:sz="0" w:space="0" w:color="auto"/>
          </w:divBdr>
        </w:div>
      </w:divsChild>
    </w:div>
    <w:div w:id="1194003244">
      <w:bodyDiv w:val="1"/>
      <w:marLeft w:val="0"/>
      <w:marRight w:val="0"/>
      <w:marTop w:val="0"/>
      <w:marBottom w:val="0"/>
      <w:divBdr>
        <w:top w:val="none" w:sz="0" w:space="0" w:color="auto"/>
        <w:left w:val="none" w:sz="0" w:space="0" w:color="auto"/>
        <w:bottom w:val="none" w:sz="0" w:space="0" w:color="auto"/>
        <w:right w:val="none" w:sz="0" w:space="0" w:color="auto"/>
      </w:divBdr>
      <w:divsChild>
        <w:div w:id="1202866337">
          <w:marLeft w:val="0"/>
          <w:marRight w:val="0"/>
          <w:marTop w:val="0"/>
          <w:marBottom w:val="0"/>
          <w:divBdr>
            <w:top w:val="none" w:sz="0" w:space="0" w:color="auto"/>
            <w:left w:val="none" w:sz="0" w:space="0" w:color="auto"/>
            <w:bottom w:val="none" w:sz="0" w:space="0" w:color="auto"/>
            <w:right w:val="none" w:sz="0" w:space="0" w:color="auto"/>
          </w:divBdr>
        </w:div>
        <w:div w:id="1911572137">
          <w:marLeft w:val="0"/>
          <w:marRight w:val="0"/>
          <w:marTop w:val="0"/>
          <w:marBottom w:val="0"/>
          <w:divBdr>
            <w:top w:val="none" w:sz="0" w:space="0" w:color="auto"/>
            <w:left w:val="none" w:sz="0" w:space="0" w:color="auto"/>
            <w:bottom w:val="none" w:sz="0" w:space="0" w:color="auto"/>
            <w:right w:val="none" w:sz="0" w:space="0" w:color="auto"/>
          </w:divBdr>
        </w:div>
        <w:div w:id="1354963293">
          <w:marLeft w:val="0"/>
          <w:marRight w:val="0"/>
          <w:marTop w:val="0"/>
          <w:marBottom w:val="0"/>
          <w:divBdr>
            <w:top w:val="none" w:sz="0" w:space="0" w:color="auto"/>
            <w:left w:val="none" w:sz="0" w:space="0" w:color="auto"/>
            <w:bottom w:val="none" w:sz="0" w:space="0" w:color="auto"/>
            <w:right w:val="none" w:sz="0" w:space="0" w:color="auto"/>
          </w:divBdr>
        </w:div>
        <w:div w:id="636489540">
          <w:marLeft w:val="0"/>
          <w:marRight w:val="0"/>
          <w:marTop w:val="0"/>
          <w:marBottom w:val="0"/>
          <w:divBdr>
            <w:top w:val="none" w:sz="0" w:space="0" w:color="auto"/>
            <w:left w:val="none" w:sz="0" w:space="0" w:color="auto"/>
            <w:bottom w:val="none" w:sz="0" w:space="0" w:color="auto"/>
            <w:right w:val="none" w:sz="0" w:space="0" w:color="auto"/>
          </w:divBdr>
        </w:div>
        <w:div w:id="613362058">
          <w:marLeft w:val="0"/>
          <w:marRight w:val="0"/>
          <w:marTop w:val="0"/>
          <w:marBottom w:val="0"/>
          <w:divBdr>
            <w:top w:val="none" w:sz="0" w:space="0" w:color="auto"/>
            <w:left w:val="none" w:sz="0" w:space="0" w:color="auto"/>
            <w:bottom w:val="none" w:sz="0" w:space="0" w:color="auto"/>
            <w:right w:val="none" w:sz="0" w:space="0" w:color="auto"/>
          </w:divBdr>
        </w:div>
        <w:div w:id="500238920">
          <w:marLeft w:val="0"/>
          <w:marRight w:val="0"/>
          <w:marTop w:val="0"/>
          <w:marBottom w:val="0"/>
          <w:divBdr>
            <w:top w:val="none" w:sz="0" w:space="0" w:color="auto"/>
            <w:left w:val="none" w:sz="0" w:space="0" w:color="auto"/>
            <w:bottom w:val="none" w:sz="0" w:space="0" w:color="auto"/>
            <w:right w:val="none" w:sz="0" w:space="0" w:color="auto"/>
          </w:divBdr>
        </w:div>
        <w:div w:id="1862741621">
          <w:marLeft w:val="0"/>
          <w:marRight w:val="0"/>
          <w:marTop w:val="0"/>
          <w:marBottom w:val="0"/>
          <w:divBdr>
            <w:top w:val="none" w:sz="0" w:space="0" w:color="auto"/>
            <w:left w:val="none" w:sz="0" w:space="0" w:color="auto"/>
            <w:bottom w:val="none" w:sz="0" w:space="0" w:color="auto"/>
            <w:right w:val="none" w:sz="0" w:space="0" w:color="auto"/>
          </w:divBdr>
        </w:div>
        <w:div w:id="1303271053">
          <w:marLeft w:val="0"/>
          <w:marRight w:val="0"/>
          <w:marTop w:val="0"/>
          <w:marBottom w:val="0"/>
          <w:divBdr>
            <w:top w:val="none" w:sz="0" w:space="0" w:color="auto"/>
            <w:left w:val="none" w:sz="0" w:space="0" w:color="auto"/>
            <w:bottom w:val="none" w:sz="0" w:space="0" w:color="auto"/>
            <w:right w:val="none" w:sz="0" w:space="0" w:color="auto"/>
          </w:divBdr>
        </w:div>
        <w:div w:id="232814321">
          <w:marLeft w:val="0"/>
          <w:marRight w:val="0"/>
          <w:marTop w:val="0"/>
          <w:marBottom w:val="0"/>
          <w:divBdr>
            <w:top w:val="none" w:sz="0" w:space="0" w:color="auto"/>
            <w:left w:val="none" w:sz="0" w:space="0" w:color="auto"/>
            <w:bottom w:val="none" w:sz="0" w:space="0" w:color="auto"/>
            <w:right w:val="none" w:sz="0" w:space="0" w:color="auto"/>
          </w:divBdr>
        </w:div>
        <w:div w:id="720442836">
          <w:marLeft w:val="0"/>
          <w:marRight w:val="0"/>
          <w:marTop w:val="0"/>
          <w:marBottom w:val="0"/>
          <w:divBdr>
            <w:top w:val="none" w:sz="0" w:space="0" w:color="auto"/>
            <w:left w:val="none" w:sz="0" w:space="0" w:color="auto"/>
            <w:bottom w:val="none" w:sz="0" w:space="0" w:color="auto"/>
            <w:right w:val="none" w:sz="0" w:space="0" w:color="auto"/>
          </w:divBdr>
        </w:div>
        <w:div w:id="1927642885">
          <w:marLeft w:val="0"/>
          <w:marRight w:val="0"/>
          <w:marTop w:val="0"/>
          <w:marBottom w:val="0"/>
          <w:divBdr>
            <w:top w:val="none" w:sz="0" w:space="0" w:color="auto"/>
            <w:left w:val="none" w:sz="0" w:space="0" w:color="auto"/>
            <w:bottom w:val="none" w:sz="0" w:space="0" w:color="auto"/>
            <w:right w:val="none" w:sz="0" w:space="0" w:color="auto"/>
          </w:divBdr>
        </w:div>
        <w:div w:id="166478786">
          <w:marLeft w:val="0"/>
          <w:marRight w:val="0"/>
          <w:marTop w:val="0"/>
          <w:marBottom w:val="0"/>
          <w:divBdr>
            <w:top w:val="none" w:sz="0" w:space="0" w:color="auto"/>
            <w:left w:val="none" w:sz="0" w:space="0" w:color="auto"/>
            <w:bottom w:val="none" w:sz="0" w:space="0" w:color="auto"/>
            <w:right w:val="none" w:sz="0" w:space="0" w:color="auto"/>
          </w:divBdr>
        </w:div>
        <w:div w:id="187187103">
          <w:marLeft w:val="0"/>
          <w:marRight w:val="0"/>
          <w:marTop w:val="0"/>
          <w:marBottom w:val="0"/>
          <w:divBdr>
            <w:top w:val="none" w:sz="0" w:space="0" w:color="auto"/>
            <w:left w:val="none" w:sz="0" w:space="0" w:color="auto"/>
            <w:bottom w:val="none" w:sz="0" w:space="0" w:color="auto"/>
            <w:right w:val="none" w:sz="0" w:space="0" w:color="auto"/>
          </w:divBdr>
        </w:div>
        <w:div w:id="1512450716">
          <w:marLeft w:val="0"/>
          <w:marRight w:val="0"/>
          <w:marTop w:val="0"/>
          <w:marBottom w:val="0"/>
          <w:divBdr>
            <w:top w:val="none" w:sz="0" w:space="0" w:color="auto"/>
            <w:left w:val="none" w:sz="0" w:space="0" w:color="auto"/>
            <w:bottom w:val="none" w:sz="0" w:space="0" w:color="auto"/>
            <w:right w:val="none" w:sz="0" w:space="0" w:color="auto"/>
          </w:divBdr>
        </w:div>
        <w:div w:id="710766038">
          <w:marLeft w:val="0"/>
          <w:marRight w:val="0"/>
          <w:marTop w:val="0"/>
          <w:marBottom w:val="0"/>
          <w:divBdr>
            <w:top w:val="none" w:sz="0" w:space="0" w:color="auto"/>
            <w:left w:val="none" w:sz="0" w:space="0" w:color="auto"/>
            <w:bottom w:val="none" w:sz="0" w:space="0" w:color="auto"/>
            <w:right w:val="none" w:sz="0" w:space="0" w:color="auto"/>
          </w:divBdr>
        </w:div>
      </w:divsChild>
    </w:div>
    <w:div w:id="1512527046">
      <w:bodyDiv w:val="1"/>
      <w:marLeft w:val="0"/>
      <w:marRight w:val="0"/>
      <w:marTop w:val="0"/>
      <w:marBottom w:val="0"/>
      <w:divBdr>
        <w:top w:val="none" w:sz="0" w:space="0" w:color="auto"/>
        <w:left w:val="none" w:sz="0" w:space="0" w:color="auto"/>
        <w:bottom w:val="none" w:sz="0" w:space="0" w:color="auto"/>
        <w:right w:val="none" w:sz="0" w:space="0" w:color="auto"/>
      </w:divBdr>
      <w:divsChild>
        <w:div w:id="1022129393">
          <w:marLeft w:val="0"/>
          <w:marRight w:val="0"/>
          <w:marTop w:val="0"/>
          <w:marBottom w:val="0"/>
          <w:divBdr>
            <w:top w:val="none" w:sz="0" w:space="0" w:color="auto"/>
            <w:left w:val="none" w:sz="0" w:space="0" w:color="auto"/>
            <w:bottom w:val="none" w:sz="0" w:space="0" w:color="auto"/>
            <w:right w:val="none" w:sz="0" w:space="0" w:color="auto"/>
          </w:divBdr>
        </w:div>
        <w:div w:id="1812286108">
          <w:marLeft w:val="0"/>
          <w:marRight w:val="0"/>
          <w:marTop w:val="0"/>
          <w:marBottom w:val="0"/>
          <w:divBdr>
            <w:top w:val="none" w:sz="0" w:space="0" w:color="auto"/>
            <w:left w:val="none" w:sz="0" w:space="0" w:color="auto"/>
            <w:bottom w:val="none" w:sz="0" w:space="0" w:color="auto"/>
            <w:right w:val="none" w:sz="0" w:space="0" w:color="auto"/>
          </w:divBdr>
        </w:div>
      </w:divsChild>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4331589">
      <w:bodyDiv w:val="1"/>
      <w:marLeft w:val="0"/>
      <w:marRight w:val="0"/>
      <w:marTop w:val="0"/>
      <w:marBottom w:val="0"/>
      <w:divBdr>
        <w:top w:val="none" w:sz="0" w:space="0" w:color="auto"/>
        <w:left w:val="none" w:sz="0" w:space="0" w:color="auto"/>
        <w:bottom w:val="none" w:sz="0" w:space="0" w:color="auto"/>
        <w:right w:val="none" w:sz="0" w:space="0" w:color="auto"/>
      </w:divBdr>
      <w:divsChild>
        <w:div w:id="611324069">
          <w:marLeft w:val="0"/>
          <w:marRight w:val="0"/>
          <w:marTop w:val="0"/>
          <w:marBottom w:val="0"/>
          <w:divBdr>
            <w:top w:val="none" w:sz="0" w:space="0" w:color="auto"/>
            <w:left w:val="none" w:sz="0" w:space="0" w:color="auto"/>
            <w:bottom w:val="none" w:sz="0" w:space="0" w:color="auto"/>
            <w:right w:val="none" w:sz="0" w:space="0" w:color="auto"/>
          </w:divBdr>
        </w:div>
        <w:div w:id="411245098">
          <w:marLeft w:val="0"/>
          <w:marRight w:val="0"/>
          <w:marTop w:val="0"/>
          <w:marBottom w:val="0"/>
          <w:divBdr>
            <w:top w:val="none" w:sz="0" w:space="0" w:color="auto"/>
            <w:left w:val="none" w:sz="0" w:space="0" w:color="auto"/>
            <w:bottom w:val="none" w:sz="0" w:space="0" w:color="auto"/>
            <w:right w:val="none" w:sz="0" w:space="0" w:color="auto"/>
          </w:divBdr>
        </w:div>
        <w:div w:id="1387995830">
          <w:marLeft w:val="0"/>
          <w:marRight w:val="0"/>
          <w:marTop w:val="0"/>
          <w:marBottom w:val="0"/>
          <w:divBdr>
            <w:top w:val="none" w:sz="0" w:space="0" w:color="auto"/>
            <w:left w:val="none" w:sz="0" w:space="0" w:color="auto"/>
            <w:bottom w:val="none" w:sz="0" w:space="0" w:color="auto"/>
            <w:right w:val="none" w:sz="0" w:space="0" w:color="auto"/>
          </w:divBdr>
        </w:div>
        <w:div w:id="961766040">
          <w:marLeft w:val="0"/>
          <w:marRight w:val="0"/>
          <w:marTop w:val="0"/>
          <w:marBottom w:val="0"/>
          <w:divBdr>
            <w:top w:val="none" w:sz="0" w:space="0" w:color="auto"/>
            <w:left w:val="none" w:sz="0" w:space="0" w:color="auto"/>
            <w:bottom w:val="none" w:sz="0" w:space="0" w:color="auto"/>
            <w:right w:val="none" w:sz="0" w:space="0" w:color="auto"/>
          </w:divBdr>
        </w:div>
        <w:div w:id="330184618">
          <w:marLeft w:val="0"/>
          <w:marRight w:val="0"/>
          <w:marTop w:val="0"/>
          <w:marBottom w:val="0"/>
          <w:divBdr>
            <w:top w:val="none" w:sz="0" w:space="0" w:color="auto"/>
            <w:left w:val="none" w:sz="0" w:space="0" w:color="auto"/>
            <w:bottom w:val="none" w:sz="0" w:space="0" w:color="auto"/>
            <w:right w:val="none" w:sz="0" w:space="0" w:color="auto"/>
          </w:divBdr>
        </w:div>
        <w:div w:id="136579428">
          <w:marLeft w:val="0"/>
          <w:marRight w:val="0"/>
          <w:marTop w:val="0"/>
          <w:marBottom w:val="0"/>
          <w:divBdr>
            <w:top w:val="none" w:sz="0" w:space="0" w:color="auto"/>
            <w:left w:val="none" w:sz="0" w:space="0" w:color="auto"/>
            <w:bottom w:val="none" w:sz="0" w:space="0" w:color="auto"/>
            <w:right w:val="none" w:sz="0" w:space="0" w:color="auto"/>
          </w:divBdr>
        </w:div>
        <w:div w:id="1305427065">
          <w:marLeft w:val="0"/>
          <w:marRight w:val="0"/>
          <w:marTop w:val="0"/>
          <w:marBottom w:val="0"/>
          <w:divBdr>
            <w:top w:val="none" w:sz="0" w:space="0" w:color="auto"/>
            <w:left w:val="none" w:sz="0" w:space="0" w:color="auto"/>
            <w:bottom w:val="none" w:sz="0" w:space="0" w:color="auto"/>
            <w:right w:val="none" w:sz="0" w:space="0" w:color="auto"/>
          </w:divBdr>
        </w:div>
        <w:div w:id="225605480">
          <w:marLeft w:val="0"/>
          <w:marRight w:val="0"/>
          <w:marTop w:val="0"/>
          <w:marBottom w:val="0"/>
          <w:divBdr>
            <w:top w:val="none" w:sz="0" w:space="0" w:color="auto"/>
            <w:left w:val="none" w:sz="0" w:space="0" w:color="auto"/>
            <w:bottom w:val="none" w:sz="0" w:space="0" w:color="auto"/>
            <w:right w:val="none" w:sz="0" w:space="0" w:color="auto"/>
          </w:divBdr>
        </w:div>
        <w:div w:id="1892690156">
          <w:marLeft w:val="0"/>
          <w:marRight w:val="0"/>
          <w:marTop w:val="0"/>
          <w:marBottom w:val="0"/>
          <w:divBdr>
            <w:top w:val="none" w:sz="0" w:space="0" w:color="auto"/>
            <w:left w:val="none" w:sz="0" w:space="0" w:color="auto"/>
            <w:bottom w:val="none" w:sz="0" w:space="0" w:color="auto"/>
            <w:right w:val="none" w:sz="0" w:space="0" w:color="auto"/>
          </w:divBdr>
        </w:div>
        <w:div w:id="1730107481">
          <w:marLeft w:val="0"/>
          <w:marRight w:val="0"/>
          <w:marTop w:val="0"/>
          <w:marBottom w:val="0"/>
          <w:divBdr>
            <w:top w:val="none" w:sz="0" w:space="0" w:color="auto"/>
            <w:left w:val="none" w:sz="0" w:space="0" w:color="auto"/>
            <w:bottom w:val="none" w:sz="0" w:space="0" w:color="auto"/>
            <w:right w:val="none" w:sz="0" w:space="0" w:color="auto"/>
          </w:divBdr>
        </w:div>
        <w:div w:id="2009867552">
          <w:marLeft w:val="0"/>
          <w:marRight w:val="0"/>
          <w:marTop w:val="0"/>
          <w:marBottom w:val="0"/>
          <w:divBdr>
            <w:top w:val="none" w:sz="0" w:space="0" w:color="auto"/>
            <w:left w:val="none" w:sz="0" w:space="0" w:color="auto"/>
            <w:bottom w:val="none" w:sz="0" w:space="0" w:color="auto"/>
            <w:right w:val="none" w:sz="0" w:space="0" w:color="auto"/>
          </w:divBdr>
        </w:div>
        <w:div w:id="1276133233">
          <w:marLeft w:val="0"/>
          <w:marRight w:val="0"/>
          <w:marTop w:val="0"/>
          <w:marBottom w:val="0"/>
          <w:divBdr>
            <w:top w:val="none" w:sz="0" w:space="0" w:color="auto"/>
            <w:left w:val="none" w:sz="0" w:space="0" w:color="auto"/>
            <w:bottom w:val="none" w:sz="0" w:space="0" w:color="auto"/>
            <w:right w:val="none" w:sz="0" w:space="0" w:color="auto"/>
          </w:divBdr>
        </w:div>
        <w:div w:id="1792552574">
          <w:marLeft w:val="0"/>
          <w:marRight w:val="0"/>
          <w:marTop w:val="0"/>
          <w:marBottom w:val="0"/>
          <w:divBdr>
            <w:top w:val="none" w:sz="0" w:space="0" w:color="auto"/>
            <w:left w:val="none" w:sz="0" w:space="0" w:color="auto"/>
            <w:bottom w:val="none" w:sz="0" w:space="0" w:color="auto"/>
            <w:right w:val="none" w:sz="0" w:space="0" w:color="auto"/>
          </w:divBdr>
        </w:div>
        <w:div w:id="978069802">
          <w:marLeft w:val="0"/>
          <w:marRight w:val="0"/>
          <w:marTop w:val="0"/>
          <w:marBottom w:val="0"/>
          <w:divBdr>
            <w:top w:val="none" w:sz="0" w:space="0" w:color="auto"/>
            <w:left w:val="none" w:sz="0" w:space="0" w:color="auto"/>
            <w:bottom w:val="none" w:sz="0" w:space="0" w:color="auto"/>
            <w:right w:val="none" w:sz="0" w:space="0" w:color="auto"/>
          </w:divBdr>
        </w:div>
        <w:div w:id="1058431435">
          <w:marLeft w:val="0"/>
          <w:marRight w:val="0"/>
          <w:marTop w:val="0"/>
          <w:marBottom w:val="0"/>
          <w:divBdr>
            <w:top w:val="none" w:sz="0" w:space="0" w:color="auto"/>
            <w:left w:val="none" w:sz="0" w:space="0" w:color="auto"/>
            <w:bottom w:val="none" w:sz="0" w:space="0" w:color="auto"/>
            <w:right w:val="none" w:sz="0" w:space="0" w:color="auto"/>
          </w:divBdr>
        </w:div>
        <w:div w:id="1094743964">
          <w:marLeft w:val="0"/>
          <w:marRight w:val="0"/>
          <w:marTop w:val="0"/>
          <w:marBottom w:val="0"/>
          <w:divBdr>
            <w:top w:val="none" w:sz="0" w:space="0" w:color="auto"/>
            <w:left w:val="none" w:sz="0" w:space="0" w:color="auto"/>
            <w:bottom w:val="none" w:sz="0" w:space="0" w:color="auto"/>
            <w:right w:val="none" w:sz="0" w:space="0" w:color="auto"/>
          </w:divBdr>
        </w:div>
        <w:div w:id="1335259577">
          <w:marLeft w:val="0"/>
          <w:marRight w:val="0"/>
          <w:marTop w:val="0"/>
          <w:marBottom w:val="0"/>
          <w:divBdr>
            <w:top w:val="none" w:sz="0" w:space="0" w:color="auto"/>
            <w:left w:val="none" w:sz="0" w:space="0" w:color="auto"/>
            <w:bottom w:val="none" w:sz="0" w:space="0" w:color="auto"/>
            <w:right w:val="none" w:sz="0" w:space="0" w:color="auto"/>
          </w:divBdr>
        </w:div>
        <w:div w:id="1664040218">
          <w:marLeft w:val="0"/>
          <w:marRight w:val="0"/>
          <w:marTop w:val="0"/>
          <w:marBottom w:val="0"/>
          <w:divBdr>
            <w:top w:val="none" w:sz="0" w:space="0" w:color="auto"/>
            <w:left w:val="none" w:sz="0" w:space="0" w:color="auto"/>
            <w:bottom w:val="none" w:sz="0" w:space="0" w:color="auto"/>
            <w:right w:val="none" w:sz="0" w:space="0" w:color="auto"/>
          </w:divBdr>
        </w:div>
        <w:div w:id="460345195">
          <w:marLeft w:val="0"/>
          <w:marRight w:val="0"/>
          <w:marTop w:val="0"/>
          <w:marBottom w:val="0"/>
          <w:divBdr>
            <w:top w:val="none" w:sz="0" w:space="0" w:color="auto"/>
            <w:left w:val="none" w:sz="0" w:space="0" w:color="auto"/>
            <w:bottom w:val="none" w:sz="0" w:space="0" w:color="auto"/>
            <w:right w:val="none" w:sz="0" w:space="0" w:color="auto"/>
          </w:divBdr>
        </w:div>
      </w:divsChild>
    </w:div>
    <w:div w:id="1844205225">
      <w:bodyDiv w:val="1"/>
      <w:marLeft w:val="0"/>
      <w:marRight w:val="0"/>
      <w:marTop w:val="0"/>
      <w:marBottom w:val="0"/>
      <w:divBdr>
        <w:top w:val="none" w:sz="0" w:space="0" w:color="auto"/>
        <w:left w:val="none" w:sz="0" w:space="0" w:color="auto"/>
        <w:bottom w:val="none" w:sz="0" w:space="0" w:color="auto"/>
        <w:right w:val="none" w:sz="0" w:space="0" w:color="auto"/>
      </w:divBdr>
      <w:divsChild>
        <w:div w:id="1166359286">
          <w:marLeft w:val="0"/>
          <w:marRight w:val="0"/>
          <w:marTop w:val="0"/>
          <w:marBottom w:val="0"/>
          <w:divBdr>
            <w:top w:val="none" w:sz="0" w:space="0" w:color="auto"/>
            <w:left w:val="none" w:sz="0" w:space="0" w:color="auto"/>
            <w:bottom w:val="none" w:sz="0" w:space="0" w:color="auto"/>
            <w:right w:val="none" w:sz="0" w:space="0" w:color="auto"/>
          </w:divBdr>
        </w:div>
        <w:div w:id="270741388">
          <w:marLeft w:val="0"/>
          <w:marRight w:val="0"/>
          <w:marTop w:val="0"/>
          <w:marBottom w:val="0"/>
          <w:divBdr>
            <w:top w:val="none" w:sz="0" w:space="0" w:color="auto"/>
            <w:left w:val="none" w:sz="0" w:space="0" w:color="auto"/>
            <w:bottom w:val="none" w:sz="0" w:space="0" w:color="auto"/>
            <w:right w:val="none" w:sz="0" w:space="0" w:color="auto"/>
          </w:divBdr>
        </w:div>
        <w:div w:id="442193966">
          <w:marLeft w:val="0"/>
          <w:marRight w:val="0"/>
          <w:marTop w:val="0"/>
          <w:marBottom w:val="0"/>
          <w:divBdr>
            <w:top w:val="none" w:sz="0" w:space="0" w:color="auto"/>
            <w:left w:val="none" w:sz="0" w:space="0" w:color="auto"/>
            <w:bottom w:val="none" w:sz="0" w:space="0" w:color="auto"/>
            <w:right w:val="none" w:sz="0" w:space="0" w:color="auto"/>
          </w:divBdr>
        </w:div>
      </w:divsChild>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 w:id="20611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014E7-E487-42BB-8E49-CF192891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5359</Words>
  <Characters>3055</Characters>
  <Application>Microsoft Office Word</Application>
  <DocSecurity>0</DocSecurity>
  <Lines>25</Lines>
  <Paragraphs>16</Paragraphs>
  <ScaleCrop>false</ScaleCrop>
  <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2018-06-26T05:33:00Z</dcterms:created>
  <dcterms:modified xsi:type="dcterms:W3CDTF">2018-06-26T05:46:00Z</dcterms:modified>
</cp:coreProperties>
</file>