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C4123" w14:textId="77777777" w:rsidR="00DD322E" w:rsidRDefault="00DD322E" w:rsidP="00AC22C3">
      <w:pPr>
        <w:spacing w:line="276" w:lineRule="auto"/>
        <w:jc w:val="both"/>
        <w:rPr>
          <w:b/>
          <w:bCs/>
        </w:rPr>
      </w:pPr>
      <w:bookmarkStart w:id="0" w:name="_Hlk529365510"/>
      <w:r>
        <w:rPr>
          <w:b/>
          <w:bCs/>
        </w:rPr>
        <w:t xml:space="preserve">Apgādnieka zaudējuma pensijas apmēra noteikšanai piemērojamās tiesību </w:t>
      </w:r>
      <w:proofErr w:type="spellStart"/>
      <w:r>
        <w:rPr>
          <w:b/>
          <w:bCs/>
        </w:rPr>
        <w:t>normas</w:t>
      </w:r>
    </w:p>
    <w:p w14:paraId="60D5B1E2" w14:textId="7AEE1FF0" w:rsidR="00687035" w:rsidRDefault="00AC22C3" w:rsidP="00AC22C3">
      <w:pPr>
        <w:spacing w:line="276" w:lineRule="auto"/>
        <w:jc w:val="both"/>
      </w:pPr>
      <w:r>
        <w:t>Likum</w:t>
      </w:r>
      <w:proofErr w:type="spellEnd"/>
      <w:r>
        <w:t xml:space="preserve">a „Par valsts pensijām” </w:t>
      </w:r>
      <w:proofErr w:type="gramStart"/>
      <w:r>
        <w:t>23.pantā</w:t>
      </w:r>
      <w:proofErr w:type="gramEnd"/>
      <w:r>
        <w:t xml:space="preserve"> minētās apgādnieka iespējamās vecuma pensijas apmēra noteikšanai ir piemērojamas arī likuma pārejas noteikumu normas. Lai kādu no tām nepiemērotu, ir jābūt skaidram </w:t>
      </w:r>
      <w:bookmarkStart w:id="1" w:name="_GoBack"/>
      <w:bookmarkEnd w:id="1"/>
      <w:r>
        <w:t xml:space="preserve">un pamatotam iemeslam, kāpēc konkrētā norma atšķirībā no pārējām pārejas noteikumu normām konkrētajā gadījumā nevar tikt piemērota. </w:t>
      </w:r>
      <w:bookmarkEnd w:id="0"/>
    </w:p>
    <w:p w14:paraId="27D3F070" w14:textId="77777777" w:rsidR="00AC22C3" w:rsidRPr="005731D5" w:rsidRDefault="00AC22C3" w:rsidP="00287404">
      <w:pPr>
        <w:spacing w:line="276" w:lineRule="auto"/>
        <w:jc w:val="right"/>
      </w:pPr>
    </w:p>
    <w:p w14:paraId="01160612" w14:textId="1DB239A6" w:rsidR="00BE507D" w:rsidRDefault="00BE507D" w:rsidP="00BE507D">
      <w:pPr>
        <w:spacing w:line="276" w:lineRule="auto"/>
        <w:jc w:val="center"/>
        <w:rPr>
          <w:b/>
        </w:rPr>
      </w:pPr>
      <w:r w:rsidRPr="005731D5">
        <w:rPr>
          <w:b/>
        </w:rPr>
        <w:t>Latvijas Republikas Augstākā</w:t>
      </w:r>
      <w:r w:rsidR="00AC22C3">
        <w:rPr>
          <w:b/>
        </w:rPr>
        <w:t>s</w:t>
      </w:r>
      <w:r w:rsidRPr="005731D5">
        <w:rPr>
          <w:b/>
        </w:rPr>
        <w:t xml:space="preserve"> tiesa</w:t>
      </w:r>
      <w:r w:rsidR="00AC22C3">
        <w:rPr>
          <w:b/>
        </w:rPr>
        <w:t>s</w:t>
      </w:r>
    </w:p>
    <w:p w14:paraId="595A49E7" w14:textId="744BEE4D" w:rsidR="00AC22C3" w:rsidRDefault="00AC22C3" w:rsidP="00BE507D">
      <w:pPr>
        <w:spacing w:line="276" w:lineRule="auto"/>
        <w:jc w:val="center"/>
        <w:rPr>
          <w:b/>
        </w:rPr>
      </w:pPr>
      <w:r>
        <w:rPr>
          <w:b/>
        </w:rPr>
        <w:t>Administratīvo lietu departamenta</w:t>
      </w:r>
    </w:p>
    <w:p w14:paraId="2001EEA5" w14:textId="167F5BE2" w:rsidR="00AC22C3" w:rsidRPr="005731D5" w:rsidRDefault="00AC22C3" w:rsidP="00BE507D">
      <w:pPr>
        <w:spacing w:line="276" w:lineRule="auto"/>
        <w:jc w:val="center"/>
        <w:rPr>
          <w:b/>
        </w:rPr>
      </w:pPr>
      <w:proofErr w:type="gramStart"/>
      <w:r>
        <w:rPr>
          <w:b/>
        </w:rPr>
        <w:t>2018.gada</w:t>
      </w:r>
      <w:proofErr w:type="gramEnd"/>
      <w:r>
        <w:rPr>
          <w:b/>
        </w:rPr>
        <w:t xml:space="preserve"> 31.oktobra</w:t>
      </w:r>
    </w:p>
    <w:p w14:paraId="44F38148" w14:textId="2EF4B0B0" w:rsidR="00BE507D" w:rsidRDefault="00BE507D" w:rsidP="00BE507D">
      <w:pPr>
        <w:spacing w:line="276" w:lineRule="auto"/>
        <w:jc w:val="center"/>
        <w:rPr>
          <w:b/>
        </w:rPr>
      </w:pPr>
      <w:r w:rsidRPr="005731D5">
        <w:rPr>
          <w:b/>
        </w:rPr>
        <w:t>SPRIEDUMS</w:t>
      </w:r>
    </w:p>
    <w:p w14:paraId="7C2B23A1" w14:textId="6ED2375D" w:rsidR="00AC22C3" w:rsidRDefault="00AC22C3" w:rsidP="00BE507D">
      <w:pPr>
        <w:spacing w:line="276" w:lineRule="auto"/>
        <w:jc w:val="center"/>
        <w:rPr>
          <w:b/>
        </w:rPr>
      </w:pPr>
      <w:r>
        <w:rPr>
          <w:b/>
        </w:rPr>
        <w:t>Lieta Nr. A420313616, SKA-666/2018</w:t>
      </w:r>
    </w:p>
    <w:p w14:paraId="11A2D9FB" w14:textId="3CFC18CD" w:rsidR="00AC22C3" w:rsidRPr="00AC22C3" w:rsidRDefault="00AC22C3" w:rsidP="00BE507D">
      <w:pPr>
        <w:spacing w:line="276" w:lineRule="auto"/>
        <w:jc w:val="center"/>
        <w:rPr>
          <w:b/>
          <w:u w:val="single"/>
        </w:rPr>
      </w:pPr>
      <w:r w:rsidRPr="00AC22C3">
        <w:rPr>
          <w:u w:val="single"/>
        </w:rPr>
        <w:t>ECLI:LV:AT:2018:1031.A420313616.3.S</w:t>
      </w:r>
    </w:p>
    <w:p w14:paraId="1F935AD1" w14:textId="77777777" w:rsidR="00BE507D" w:rsidRPr="005731D5" w:rsidRDefault="00BE507D" w:rsidP="00BE507D">
      <w:pPr>
        <w:spacing w:line="276" w:lineRule="auto"/>
        <w:jc w:val="center"/>
      </w:pPr>
    </w:p>
    <w:p w14:paraId="5E27C1DD" w14:textId="77777777" w:rsidR="00F14DBA" w:rsidRPr="005731D5" w:rsidRDefault="00F14DBA" w:rsidP="00F14DBA">
      <w:pPr>
        <w:spacing w:line="276" w:lineRule="auto"/>
        <w:ind w:firstLine="720"/>
        <w:jc w:val="both"/>
      </w:pPr>
      <w:r w:rsidRPr="005731D5">
        <w:t>Augstākā tiesa šādā sastāvā:</w:t>
      </w:r>
    </w:p>
    <w:p w14:paraId="36452EC0" w14:textId="77777777" w:rsidR="00F14DBA" w:rsidRPr="005731D5" w:rsidRDefault="00F14DBA" w:rsidP="00F14DBA">
      <w:pPr>
        <w:spacing w:line="276" w:lineRule="auto"/>
        <w:ind w:firstLine="1134"/>
        <w:jc w:val="both"/>
      </w:pPr>
      <w:r w:rsidRPr="005731D5">
        <w:t>tiesnese Anita Kovaļevska,</w:t>
      </w:r>
    </w:p>
    <w:p w14:paraId="171F5212" w14:textId="77777777" w:rsidR="00F14DBA" w:rsidRPr="005731D5" w:rsidRDefault="00F14DBA" w:rsidP="00F14DBA">
      <w:pPr>
        <w:spacing w:line="276" w:lineRule="auto"/>
        <w:ind w:firstLine="1134"/>
        <w:jc w:val="both"/>
      </w:pPr>
      <w:r w:rsidRPr="005731D5">
        <w:t>tiesnesis Andris Guļāns,</w:t>
      </w:r>
    </w:p>
    <w:p w14:paraId="279C399C" w14:textId="77777777" w:rsidR="00F14DBA" w:rsidRPr="005731D5" w:rsidRDefault="00F14DBA" w:rsidP="00F14DBA">
      <w:pPr>
        <w:spacing w:line="276" w:lineRule="auto"/>
        <w:ind w:firstLine="1134"/>
        <w:jc w:val="both"/>
      </w:pPr>
      <w:r w:rsidRPr="005731D5">
        <w:t>tiesnese Veronika Krūmiņa</w:t>
      </w:r>
    </w:p>
    <w:p w14:paraId="26F47F94" w14:textId="77777777" w:rsidR="00BE507D" w:rsidRPr="005731D5" w:rsidRDefault="00BE507D" w:rsidP="00BE507D">
      <w:pPr>
        <w:spacing w:line="276" w:lineRule="auto"/>
        <w:ind w:firstLine="567"/>
        <w:jc w:val="both"/>
      </w:pPr>
    </w:p>
    <w:p w14:paraId="0CCF0944" w14:textId="1EE40DC0" w:rsidR="00BE507D" w:rsidRPr="005731D5" w:rsidRDefault="00BE507D" w:rsidP="00F3481C">
      <w:pPr>
        <w:spacing w:line="276" w:lineRule="auto"/>
        <w:ind w:firstLine="567"/>
        <w:jc w:val="both"/>
      </w:pPr>
      <w:r w:rsidRPr="005731D5">
        <w:t xml:space="preserve">rakstveida procesā izskatīja administratīvo lietu, kas ierosināta, pamatojoties uz </w:t>
      </w:r>
      <w:proofErr w:type="gramStart"/>
      <w:r w:rsidR="00D80D4B">
        <w:t>[</w:t>
      </w:r>
      <w:proofErr w:type="gramEnd"/>
      <w:r w:rsidR="00D80D4B">
        <w:t>pers. A]</w:t>
      </w:r>
      <w:r w:rsidR="00F3481C">
        <w:t xml:space="preserve"> pieteikumu par labvēlīgāka administratīvā akta izdošanu par apgādnieka zaudējuma pensiju</w:t>
      </w:r>
      <w:r w:rsidRPr="005731D5">
        <w:t xml:space="preserve">, sakarā ar </w:t>
      </w:r>
      <w:proofErr w:type="gramStart"/>
      <w:r w:rsidR="00D80D4B">
        <w:t>[</w:t>
      </w:r>
      <w:proofErr w:type="gramEnd"/>
      <w:r w:rsidR="00D80D4B">
        <w:t>pers. A]</w:t>
      </w:r>
      <w:r w:rsidRPr="005731D5">
        <w:t xml:space="preserve"> kasācijas sūdzību par Administratīvās </w:t>
      </w:r>
      <w:r w:rsidR="0098494B">
        <w:t>apgabal</w:t>
      </w:r>
      <w:r w:rsidRPr="005731D5">
        <w:t xml:space="preserve">tiesas </w:t>
      </w:r>
      <w:proofErr w:type="gramStart"/>
      <w:r w:rsidRPr="005731D5">
        <w:t>201</w:t>
      </w:r>
      <w:r w:rsidR="00D80E82" w:rsidRPr="005731D5">
        <w:t>7</w:t>
      </w:r>
      <w:r w:rsidRPr="005731D5">
        <w:t>.gada</w:t>
      </w:r>
      <w:proofErr w:type="gramEnd"/>
      <w:r w:rsidRPr="005731D5">
        <w:t xml:space="preserve"> </w:t>
      </w:r>
      <w:r w:rsidR="00F3481C">
        <w:t>26</w:t>
      </w:r>
      <w:r w:rsidR="00D80E82" w:rsidRPr="005731D5">
        <w:t>.</w:t>
      </w:r>
      <w:r w:rsidR="00F3481C">
        <w:t>jūnija</w:t>
      </w:r>
      <w:r w:rsidRPr="005731D5">
        <w:t xml:space="preserve"> spriedumu.</w:t>
      </w:r>
    </w:p>
    <w:p w14:paraId="7DA32787" w14:textId="77777777" w:rsidR="007F61F8" w:rsidRPr="005731D5" w:rsidRDefault="007F61F8" w:rsidP="00287404">
      <w:pPr>
        <w:spacing w:line="276" w:lineRule="auto"/>
        <w:ind w:firstLine="720"/>
        <w:jc w:val="both"/>
      </w:pPr>
    </w:p>
    <w:p w14:paraId="77305E3A" w14:textId="77777777" w:rsidR="003047F5" w:rsidRPr="005731D5" w:rsidRDefault="003047F5" w:rsidP="00287404">
      <w:pPr>
        <w:spacing w:line="276" w:lineRule="auto"/>
        <w:jc w:val="center"/>
        <w:rPr>
          <w:b/>
        </w:rPr>
      </w:pPr>
      <w:r w:rsidRPr="005731D5">
        <w:rPr>
          <w:b/>
        </w:rPr>
        <w:t>Aprakstošā daļa</w:t>
      </w:r>
    </w:p>
    <w:p w14:paraId="159BBE66" w14:textId="77777777" w:rsidR="00604A78" w:rsidRPr="005731D5" w:rsidRDefault="00604A78" w:rsidP="00287404">
      <w:pPr>
        <w:spacing w:line="276" w:lineRule="auto"/>
        <w:ind w:firstLine="720"/>
        <w:jc w:val="both"/>
      </w:pPr>
    </w:p>
    <w:p w14:paraId="4CD722F0" w14:textId="079B6BE6" w:rsidR="00F3481C" w:rsidRDefault="003047F5" w:rsidP="00AF7AE4">
      <w:pPr>
        <w:spacing w:line="276" w:lineRule="auto"/>
        <w:ind w:firstLine="720"/>
        <w:jc w:val="both"/>
      </w:pPr>
      <w:r w:rsidRPr="005731D5">
        <w:t>[1]</w:t>
      </w:r>
      <w:r w:rsidR="001452AC" w:rsidRPr="005731D5">
        <w:t xml:space="preserve"> </w:t>
      </w:r>
      <w:r w:rsidR="00F3481C">
        <w:t xml:space="preserve">Ar Valsts sociālās apdrošināšanas aģentūras </w:t>
      </w:r>
      <w:proofErr w:type="gramStart"/>
      <w:r w:rsidR="00F3481C">
        <w:t>2016.gada</w:t>
      </w:r>
      <w:proofErr w:type="gramEnd"/>
      <w:r w:rsidR="00F3481C">
        <w:t xml:space="preserve"> 24.augusta lēmumu atstāts negrozīts zemākas iestādes lēmums, ar kuru nolemts piešķirt pieteicējas meitai </w:t>
      </w:r>
      <w:r w:rsidR="005227F2">
        <w:t>no 2016.gada 4.jūnija līdz 2022.gada 4.jūlijam</w:t>
      </w:r>
      <w:r w:rsidR="005227F2" w:rsidRPr="00F3481C">
        <w:t xml:space="preserve"> </w:t>
      </w:r>
      <w:r w:rsidR="00F3481C" w:rsidRPr="00F3481C">
        <w:t>apgādnieka zaudējuma pensij</w:t>
      </w:r>
      <w:r w:rsidR="00F3481C">
        <w:t>u</w:t>
      </w:r>
      <w:r w:rsidR="00F3481C" w:rsidRPr="00F3481C">
        <w:t xml:space="preserve"> </w:t>
      </w:r>
      <w:r w:rsidR="00F3481C">
        <w:t xml:space="preserve">89,08 </w:t>
      </w:r>
      <w:r w:rsidR="00F3481C" w:rsidRPr="00F3481C">
        <w:rPr>
          <w:i/>
        </w:rPr>
        <w:t>euro</w:t>
      </w:r>
      <w:r w:rsidR="00F3481C">
        <w:rPr>
          <w:i/>
        </w:rPr>
        <w:t xml:space="preserve"> </w:t>
      </w:r>
      <w:r w:rsidR="00F3481C">
        <w:t>mēnesī</w:t>
      </w:r>
      <w:r w:rsidR="005227F2">
        <w:t>, t.i., 50</w:t>
      </w:r>
      <w:r w:rsidR="00E57B03">
        <w:t> procentu</w:t>
      </w:r>
      <w:r w:rsidR="005227F2">
        <w:t xml:space="preserve"> apmērā no mirušā apgādnieka iespējamās vecuma pensijas 178,15 </w:t>
      </w:r>
      <w:r w:rsidR="005227F2" w:rsidRPr="005227F2">
        <w:rPr>
          <w:i/>
        </w:rPr>
        <w:t>euro</w:t>
      </w:r>
      <w:r w:rsidR="005227F2">
        <w:t>.</w:t>
      </w:r>
    </w:p>
    <w:p w14:paraId="10398013" w14:textId="4E18F967" w:rsidR="00F3481C" w:rsidRDefault="00F3481C" w:rsidP="00AF7AE4">
      <w:pPr>
        <w:spacing w:line="276" w:lineRule="auto"/>
        <w:ind w:firstLine="720"/>
        <w:jc w:val="both"/>
      </w:pPr>
      <w:r>
        <w:t>Pieteicēja, uzskatot, ka apgādnieka zaudējuma pensijas aprēķinā bija jāņem vērā meitas tēvam piešķirtā invalidit</w:t>
      </w:r>
      <w:r w:rsidR="00AF7AE4">
        <w:t>ātes pensija</w:t>
      </w:r>
      <w:r w:rsidR="005227F2">
        <w:t xml:space="preserve"> un šī pensija nedrīkst būt mazāka par valsts noteikto minimālo uzturlīdzekļu apmēru</w:t>
      </w:r>
      <w:r>
        <w:t>, vērsās administratīvajā tiesā.</w:t>
      </w:r>
    </w:p>
    <w:p w14:paraId="6ED59AEB" w14:textId="77777777" w:rsidR="00F3481C" w:rsidRDefault="00F3481C" w:rsidP="00AF7AE4">
      <w:pPr>
        <w:spacing w:line="276" w:lineRule="auto"/>
        <w:ind w:firstLine="720"/>
        <w:jc w:val="both"/>
      </w:pPr>
    </w:p>
    <w:p w14:paraId="06AED863" w14:textId="5E8715C7" w:rsidR="00AF7AE4" w:rsidRDefault="00AF7AE4" w:rsidP="00AF7AE4">
      <w:pPr>
        <w:spacing w:line="276" w:lineRule="auto"/>
        <w:ind w:firstLine="720"/>
        <w:jc w:val="both"/>
      </w:pPr>
      <w:r w:rsidRPr="00AF7AE4">
        <w:rPr>
          <w:lang w:eastAsia="lv-LV"/>
        </w:rPr>
        <w:t xml:space="preserve">[2] Izskatot lietu sakarā ar pieteicējas apelācijas sūdzību, Administratīvā apgabaltiesa ar </w:t>
      </w:r>
      <w:proofErr w:type="gramStart"/>
      <w:r w:rsidRPr="00AF7AE4">
        <w:rPr>
          <w:lang w:eastAsia="lv-LV"/>
        </w:rPr>
        <w:t>2017.gada</w:t>
      </w:r>
      <w:proofErr w:type="gramEnd"/>
      <w:r w:rsidRPr="00AF7AE4">
        <w:rPr>
          <w:lang w:eastAsia="lv-LV"/>
        </w:rPr>
        <w:t xml:space="preserve"> </w:t>
      </w:r>
      <w:r>
        <w:t>26</w:t>
      </w:r>
      <w:r w:rsidRPr="005731D5">
        <w:t>.</w:t>
      </w:r>
      <w:r>
        <w:t>jūnija</w:t>
      </w:r>
      <w:r w:rsidRPr="00AF7AE4">
        <w:rPr>
          <w:lang w:eastAsia="lv-LV"/>
        </w:rPr>
        <w:t xml:space="preserve"> spriedumu pieteikumu noraidīja. Spriedums</w:t>
      </w:r>
      <w:r w:rsidR="006578F9" w:rsidRPr="006578F9">
        <w:rPr>
          <w:lang w:eastAsia="lv-LV"/>
        </w:rPr>
        <w:t>, ņemot vērā pievienošanos rajon</w:t>
      </w:r>
      <w:r w:rsidR="006578F9">
        <w:rPr>
          <w:lang w:eastAsia="lv-LV"/>
        </w:rPr>
        <w:t>a tiesas sprieduma motivācijai,</w:t>
      </w:r>
      <w:r w:rsidRPr="00AF7AE4">
        <w:rPr>
          <w:lang w:eastAsia="lv-LV"/>
        </w:rPr>
        <w:t xml:space="preserve"> pamatots ar turpmāk minētajiem </w:t>
      </w:r>
      <w:r w:rsidRPr="005731D5">
        <w:t>apsvērumiem</w:t>
      </w:r>
      <w:r>
        <w:t>.</w:t>
      </w:r>
    </w:p>
    <w:p w14:paraId="050E4C73" w14:textId="5D172DDC" w:rsidR="00AF7AE4" w:rsidRDefault="00AF7AE4" w:rsidP="00AF7AE4">
      <w:pPr>
        <w:spacing w:line="276" w:lineRule="auto"/>
        <w:ind w:firstLine="720"/>
        <w:jc w:val="both"/>
      </w:pPr>
      <w:r>
        <w:t xml:space="preserve">[2.1] Aģentūra pārsūdzēto lēmumu pieņēmusi, ievērojot likuma „Par valsts pensijām” </w:t>
      </w:r>
      <w:proofErr w:type="gramStart"/>
      <w:r>
        <w:t>23.panta</w:t>
      </w:r>
      <w:proofErr w:type="gramEnd"/>
      <w:r>
        <w:t xml:space="preserve"> pirmās daļas 1.punkta un trešās daļas nosacījumus, kā arī nosacījumus vecuma pensijas aprēķināšanai, kas ietverti likuma „Par valsts pensijām” 12.panta pirmajā daļā, 13.pantā un pārejas noteikumu 13.punktā. </w:t>
      </w:r>
      <w:r w:rsidR="0013178F">
        <w:t>Līdz ar to</w:t>
      </w:r>
      <w:r>
        <w:t xml:space="preserve"> pārsūdzētais lēmums ir tiesisks.</w:t>
      </w:r>
    </w:p>
    <w:p w14:paraId="72D4900A" w14:textId="29A19ACC" w:rsidR="00AF7AE4" w:rsidRDefault="00AF7AE4" w:rsidP="00AF7AE4">
      <w:pPr>
        <w:spacing w:line="276" w:lineRule="auto"/>
        <w:ind w:firstLine="720"/>
        <w:jc w:val="both"/>
      </w:pPr>
      <w:r>
        <w:t>[2.2] Nav pamatots pieteicējas arguments, ka aģentūrai apgādnieka zaudējuma pensija pieteicējas meitai bija jāaprēķina no mirušajam apgādniekam piešķirtās invaliditātes pensijas, kas apmēra ziņā ir lielāka nekā prognozējamā vecuma pensija. Saskaņā ar likuma „Par valsts pensijām” pārejas noteikumu 19.punktu invaliditātes pensijas vietā piešķirtā vecuma pensija invaliditātes laikā nedrīkst būt mazāka par invaliditātes pensiju, kas saņemta līdz vecuma pensijas piešķiršanas dienai. Taču š</w:t>
      </w:r>
      <w:r w:rsidR="00644740">
        <w:t xml:space="preserve">īs </w:t>
      </w:r>
      <w:r>
        <w:t>norm</w:t>
      </w:r>
      <w:r w:rsidR="00644740">
        <w:t>as</w:t>
      </w:r>
      <w:r>
        <w:t xml:space="preserve"> mērķis ir personas, kurai arī pēc vecuma pensijas </w:t>
      </w:r>
      <w:r>
        <w:lastRenderedPageBreak/>
        <w:t>piešķiršanas saglabājas invaliditāte, sociālā aizsardzība, proti, tāda stāvokļa nodrošināšana, lai nesamazinātos sakarā ar invaliditāti tai noteiktais sociālais nodrošinājums.</w:t>
      </w:r>
      <w:r w:rsidR="00644740">
        <w:t xml:space="preserve"> Tas izriet no Latvijas Republikas 5.Saeimas </w:t>
      </w:r>
      <w:proofErr w:type="gramStart"/>
      <w:r w:rsidR="00644740">
        <w:t>1995.gada</w:t>
      </w:r>
      <w:proofErr w:type="gramEnd"/>
      <w:r w:rsidR="00644740">
        <w:t xml:space="preserve"> 19.oktobra un 1995.</w:t>
      </w:r>
      <w:r>
        <w:t>gada</w:t>
      </w:r>
      <w:r w:rsidR="00644740">
        <w:t xml:space="preserve"> </w:t>
      </w:r>
      <w:r>
        <w:t>2.novembra sēžu stenogrammās fiksēt</w:t>
      </w:r>
      <w:r w:rsidR="00644740">
        <w:t>ā</w:t>
      </w:r>
      <w:r>
        <w:t>, ka deputāts</w:t>
      </w:r>
      <w:r w:rsidR="00644740">
        <w:t xml:space="preserve"> </w:t>
      </w:r>
      <w:r w:rsidR="0081254E">
        <w:t>[pers. B]</w:t>
      </w:r>
      <w:r>
        <w:t xml:space="preserve">, ziņojot par </w:t>
      </w:r>
      <w:r w:rsidR="00644740">
        <w:t>likumprojektu</w:t>
      </w:r>
      <w:r>
        <w:t xml:space="preserve"> „Par</w:t>
      </w:r>
      <w:r w:rsidR="00644740">
        <w:t xml:space="preserve"> valsts pensijām” cita</w:t>
      </w:r>
      <w:r>
        <w:t>starp</w:t>
      </w:r>
      <w:r w:rsidR="00644740">
        <w:t xml:space="preserve"> </w:t>
      </w:r>
      <w:r>
        <w:t xml:space="preserve">norādījis, ka </w:t>
      </w:r>
      <w:r w:rsidR="00644740">
        <w:t xml:space="preserve">šā likumprojekta </w:t>
      </w:r>
      <w:proofErr w:type="gramStart"/>
      <w:r w:rsidR="00644740">
        <w:t>17.</w:t>
      </w:r>
      <w:r>
        <w:t>pantā</w:t>
      </w:r>
      <w:proofErr w:type="gramEnd"/>
      <w:r>
        <w:t xml:space="preserve"> iekļautais nosacījums par invaliditātes pensijas izmaksu</w:t>
      </w:r>
      <w:r w:rsidR="00644740">
        <w:t xml:space="preserve"> </w:t>
      </w:r>
      <w:r>
        <w:t>pārtraukšanu sakarā ar noteiktu vecuma sasniegšanu ir saistīts ar to, ka vecuma</w:t>
      </w:r>
      <w:r w:rsidR="00644740">
        <w:t xml:space="preserve"> </w:t>
      </w:r>
      <w:r>
        <w:t>pensijas apmērs ir paredzēts lielāks nekā invaliditātes pensijas apmērs</w:t>
      </w:r>
      <w:r w:rsidR="0013178F">
        <w:t>; l</w:t>
      </w:r>
      <w:r w:rsidR="00644740">
        <w:t xml:space="preserve">ai to </w:t>
      </w:r>
      <w:r>
        <w:t xml:space="preserve">nodrošinātu, likumprojektā ir </w:t>
      </w:r>
      <w:r w:rsidR="00644740">
        <w:t>ietverts pārejas noteikumu 19.</w:t>
      </w:r>
      <w:r>
        <w:t>punkts, t.i., tāda norma, kas nepieļauj saņemt vecuma pensiju,</w:t>
      </w:r>
      <w:r w:rsidR="00644740">
        <w:t xml:space="preserve"> </w:t>
      </w:r>
      <w:r>
        <w:t xml:space="preserve">kura ir mazāka nekā invaliditātes pensija. </w:t>
      </w:r>
      <w:r w:rsidR="00644740">
        <w:t xml:space="preserve">Tātad </w:t>
      </w:r>
      <w:r>
        <w:t>likuma „Par valsts pensijām” pārejas noteikumu</w:t>
      </w:r>
      <w:r w:rsidR="00644740">
        <w:t xml:space="preserve"> 19.</w:t>
      </w:r>
      <w:r>
        <w:t>punktā ietvertā tiesību norma ir saistīta tieši ar konkrētu personu</w:t>
      </w:r>
      <w:r w:rsidR="00644740">
        <w:t xml:space="preserve"> aizsardzību, kurām</w:t>
      </w:r>
      <w:r>
        <w:t xml:space="preserve"> invaliditātes pensijas vietā, sasniedzot vecuma pensijas piešķiršanai noteikto</w:t>
      </w:r>
      <w:r w:rsidR="00644740">
        <w:t xml:space="preserve"> </w:t>
      </w:r>
      <w:r>
        <w:t xml:space="preserve">vecumu, tiek piešķirta vecuma pensija, un </w:t>
      </w:r>
      <w:r w:rsidR="00644740">
        <w:t xml:space="preserve">tā </w:t>
      </w:r>
      <w:r>
        <w:t>nav piemērojama apgādnieka zaudējuma</w:t>
      </w:r>
      <w:r w:rsidR="00644740">
        <w:t xml:space="preserve"> </w:t>
      </w:r>
      <w:r>
        <w:t>pensijas piešķiršanas gadījumā apgādnieka zaudējuma pensijas apmēra noteikšanai,</w:t>
      </w:r>
      <w:r w:rsidR="00644740">
        <w:t xml:space="preserve"> </w:t>
      </w:r>
      <w:r>
        <w:t>aprēķinot mirušā apgādnieka iespējamo vecuma pensiju.</w:t>
      </w:r>
    </w:p>
    <w:p w14:paraId="7AB6B78C" w14:textId="14E27468" w:rsidR="00AF7AE4" w:rsidRDefault="00644740" w:rsidP="00AF7AE4">
      <w:pPr>
        <w:spacing w:line="276" w:lineRule="auto"/>
        <w:ind w:firstLine="720"/>
        <w:jc w:val="both"/>
      </w:pPr>
      <w:r>
        <w:t>Pieteicējas</w:t>
      </w:r>
      <w:r w:rsidR="00AF7AE4">
        <w:t xml:space="preserve"> gadījums arī nav netipisks, </w:t>
      </w:r>
      <w:proofErr w:type="gramStart"/>
      <w:r w:rsidR="00AF7AE4">
        <w:t>lai tiesai būtu iemesls domāt, ka</w:t>
      </w:r>
      <w:r>
        <w:t xml:space="preserve"> </w:t>
      </w:r>
      <w:r w:rsidR="00AF7AE4">
        <w:t>likumdevējs tādas situācijas iestāšanās iespējamību likumdošanas procesā nebūtu</w:t>
      </w:r>
      <w:r>
        <w:t xml:space="preserve"> </w:t>
      </w:r>
      <w:r w:rsidR="00AF7AE4">
        <w:t>paredzējis</w:t>
      </w:r>
      <w:proofErr w:type="gramEnd"/>
      <w:r w:rsidR="00AF7AE4">
        <w:t xml:space="preserve"> un apsvēris.</w:t>
      </w:r>
    </w:p>
    <w:p w14:paraId="287CBBEC" w14:textId="70870ED3" w:rsidR="00AF7AE4" w:rsidRDefault="00644740" w:rsidP="00AF7AE4">
      <w:pPr>
        <w:spacing w:line="276" w:lineRule="auto"/>
        <w:ind w:firstLine="720"/>
        <w:jc w:val="both"/>
      </w:pPr>
      <w:r>
        <w:t xml:space="preserve">[2.3] </w:t>
      </w:r>
      <w:r w:rsidR="00AF7AE4">
        <w:t xml:space="preserve">Latvijas Republikas Satversmes (turpmāk – Satversme) </w:t>
      </w:r>
      <w:proofErr w:type="gramStart"/>
      <w:r w:rsidR="00AF7AE4">
        <w:t>109.pants</w:t>
      </w:r>
      <w:proofErr w:type="gramEnd"/>
      <w:r>
        <w:t xml:space="preserve"> </w:t>
      </w:r>
      <w:r w:rsidR="00AF7AE4">
        <w:t>noteic, ka ikvienam ir tiesības uz sociālo nodrošinājumu vecuma, darbnespējas,</w:t>
      </w:r>
      <w:r>
        <w:t xml:space="preserve"> </w:t>
      </w:r>
      <w:r w:rsidR="00AF7AE4">
        <w:t>bezdarba un citos likumā noteiktajos gadījumos.</w:t>
      </w:r>
      <w:r>
        <w:t xml:space="preserve"> </w:t>
      </w:r>
      <w:r w:rsidR="00AF7AE4">
        <w:t>Viens no šiem citiem likumā noteiktajiem gadījumiem ir tiesības uz sociālo</w:t>
      </w:r>
      <w:r>
        <w:t xml:space="preserve"> </w:t>
      </w:r>
      <w:r w:rsidR="00AF7AE4">
        <w:t>nodrošinājumu zaudēta apgādnieka gadījumā.</w:t>
      </w:r>
      <w:r w:rsidR="006578F9">
        <w:t xml:space="preserve"> </w:t>
      </w:r>
      <w:r>
        <w:t>L</w:t>
      </w:r>
      <w:r w:rsidR="00AF7AE4">
        <w:t>ikumā „Par valsts pensijām” paredzot kārtību, kādā</w:t>
      </w:r>
      <w:r>
        <w:t xml:space="preserve"> </w:t>
      </w:r>
      <w:r w:rsidR="00AF7AE4">
        <w:t>piešķirama un aprēķināma apgādnieka zaudējuma pensija, likumdevējs ir veicis</w:t>
      </w:r>
      <w:r>
        <w:t xml:space="preserve"> </w:t>
      </w:r>
      <w:r w:rsidR="00AF7AE4">
        <w:t>pasākumus, lai garantētu apgādājamam tiesības uz sociālo nodrošinājumu zaudēta</w:t>
      </w:r>
      <w:r>
        <w:t xml:space="preserve"> </w:t>
      </w:r>
      <w:r w:rsidR="00AF7AE4">
        <w:t>apgādnieka gadījumā. Sociālā nodrošinājuma apmēram šajā gadījumā nav nozīmes,</w:t>
      </w:r>
      <w:r>
        <w:t xml:space="preserve"> </w:t>
      </w:r>
      <w:r w:rsidR="00AF7AE4">
        <w:t>jo atbilstoši Satversmes tiesas sniegtajām atziņām, svarīgi ir garantēt personām</w:t>
      </w:r>
      <w:r>
        <w:t xml:space="preserve"> </w:t>
      </w:r>
      <w:r w:rsidR="00AF7AE4">
        <w:t xml:space="preserve">iespēju īstenot sociālās tiesības vismaz minimālā apmērā. Līdz ar to </w:t>
      </w:r>
      <w:r>
        <w:t xml:space="preserve">izskatāmajā lietā nav </w:t>
      </w:r>
      <w:r w:rsidR="00AF7AE4">
        <w:t>konstatēja</w:t>
      </w:r>
      <w:r>
        <w:t>ms</w:t>
      </w:r>
      <w:r w:rsidR="00AF7AE4">
        <w:t xml:space="preserve"> acīmredzam</w:t>
      </w:r>
      <w:r>
        <w:t>s</w:t>
      </w:r>
      <w:r w:rsidR="00AF7AE4">
        <w:t xml:space="preserve"> pamattiesību aizskārum</w:t>
      </w:r>
      <w:r>
        <w:t>s</w:t>
      </w:r>
      <w:r w:rsidR="00AF7AE4">
        <w:t>, apgādnieka</w:t>
      </w:r>
      <w:r>
        <w:t xml:space="preserve"> </w:t>
      </w:r>
      <w:r w:rsidR="00AF7AE4">
        <w:t>zaudējuma pensijas aprēķināšanu veicot likuma „Par valsts pensijām” noteiktajā</w:t>
      </w:r>
      <w:r>
        <w:t xml:space="preserve"> </w:t>
      </w:r>
      <w:r w:rsidR="00AF7AE4">
        <w:t>kārtībā.</w:t>
      </w:r>
    </w:p>
    <w:p w14:paraId="0FCC7CFB" w14:textId="279E6BE3" w:rsidR="006578F9" w:rsidRPr="0013178F" w:rsidRDefault="006578F9" w:rsidP="006578F9">
      <w:pPr>
        <w:spacing w:line="276" w:lineRule="auto"/>
        <w:ind w:firstLine="720"/>
        <w:jc w:val="both"/>
      </w:pPr>
      <w:r>
        <w:t xml:space="preserve">[2.4] Likuma </w:t>
      </w:r>
      <w:r w:rsidRPr="006578F9">
        <w:t>„Par valsts pensijām”</w:t>
      </w:r>
      <w:r>
        <w:t xml:space="preserve"> </w:t>
      </w:r>
      <w:proofErr w:type="gramStart"/>
      <w:r>
        <w:t>23.panta</w:t>
      </w:r>
      <w:proofErr w:type="gramEnd"/>
      <w:r>
        <w:t xml:space="preserve"> </w:t>
      </w:r>
      <w:r w:rsidR="0013178F">
        <w:t>pirmā</w:t>
      </w:r>
      <w:r>
        <w:t xml:space="preserve"> daļa paredz, ka </w:t>
      </w:r>
      <w:r w:rsidR="0013178F" w:rsidRPr="0013178F">
        <w:t>mirušā apgādnieka ģimenes locekļiem apgādnieka zaudējuma pensijas apmērs katram bērnam nedrīkst būt mazāks par 65 procentiem no valsts sociālā nodrošinājuma pabalsta</w:t>
      </w:r>
      <w:r>
        <w:t xml:space="preserve">. Minētā tiesību norma garantē </w:t>
      </w:r>
      <w:r w:rsidRPr="0013178F">
        <w:t>personas sociālo tiesību nodrošināšanu, nosakot arī valsts garantēto minimālo pabalsta apmēru.</w:t>
      </w:r>
    </w:p>
    <w:p w14:paraId="0B8E8D9D" w14:textId="495B3972" w:rsidR="00AF7AE4" w:rsidRDefault="006578F9" w:rsidP="006578F9">
      <w:pPr>
        <w:spacing w:line="276" w:lineRule="auto"/>
        <w:ind w:firstLine="720"/>
        <w:jc w:val="both"/>
      </w:pPr>
      <w:r w:rsidRPr="0013178F">
        <w:t xml:space="preserve">Saskaņā ar Ministru kabineta </w:t>
      </w:r>
      <w:proofErr w:type="gramStart"/>
      <w:r w:rsidRPr="0013178F">
        <w:t>2009.gada</w:t>
      </w:r>
      <w:proofErr w:type="gramEnd"/>
      <w:r w:rsidRPr="0013178F">
        <w:t xml:space="preserve"> 22.decembra noteikumu Nr. 1065 ,,Noteikumi par valsts sociālā nodrošinājuma pabalsta un apbedīšanas pabalsta apmēru, tā pārskatīšanas kārtību un pabalstu piešķiršanas un izmaksas kārtību” 2.1.apakšpunktu valsts sociālā nodrošinājuma pabalsta apmērs (gan 2016. gadā, gan lietas izskatīšanas laikā) ir 64,03 </w:t>
      </w:r>
      <w:r w:rsidRPr="0013178F">
        <w:rPr>
          <w:i/>
        </w:rPr>
        <w:t>euro</w:t>
      </w:r>
      <w:r w:rsidRPr="0013178F">
        <w:t xml:space="preserve"> mēnesī. Tādējādi minimālais apgādnieka zaudējuma pensijas apmērs ir 41,62 </w:t>
      </w:r>
      <w:r w:rsidRPr="0013178F">
        <w:rPr>
          <w:i/>
        </w:rPr>
        <w:t>euro</w:t>
      </w:r>
      <w:r w:rsidRPr="0013178F">
        <w:t xml:space="preserve"> mēnesī.</w:t>
      </w:r>
      <w:r>
        <w:t xml:space="preserve"> Pieteicējas meitai piešķirtā apgādnieka zaudējuma pensija ir lielāka par minimāli garantēto un ir aprēķināta atbilstoši spēkā esošajām tiesību normām. Normatīvie akti neparedz personai tiesības uz apgādnieka zaudējuma pensijas noteikšanu atkarībā no apgādniekam iepriekš piešķirtās invaliditātes pensijas. Arī pieteicējas norāde uz Bērnu tiesību aizsardzības likumu, kas satur vispārīgo tiesisko regulējumu par bērnu tiesību aizsardzību un to interešu ievērošanu, konkrētajā gadījumā nav pamats apgādnieka zaudējuma pensijas apmēra pārskatīšanai, jo pārsūdzētais lēmums izdots, piemērojot konkrēto faktisko situāciju reglamentējošas speciālās tiesību normas, un tas ir pamatots un tiesisks.</w:t>
      </w:r>
    </w:p>
    <w:p w14:paraId="22515D7A" w14:textId="77777777" w:rsidR="006578F9" w:rsidRDefault="006578F9" w:rsidP="006578F9">
      <w:pPr>
        <w:spacing w:line="276" w:lineRule="auto"/>
        <w:ind w:firstLine="720"/>
        <w:jc w:val="both"/>
      </w:pPr>
    </w:p>
    <w:p w14:paraId="1A0EA7D9" w14:textId="0919B4D4" w:rsidR="005A1AD5" w:rsidRPr="005731D5" w:rsidRDefault="005A1AD5" w:rsidP="00AF7AE4">
      <w:pPr>
        <w:spacing w:line="276" w:lineRule="auto"/>
        <w:ind w:firstLine="720"/>
        <w:jc w:val="both"/>
      </w:pPr>
      <w:r w:rsidRPr="005731D5">
        <w:lastRenderedPageBreak/>
        <w:t>[</w:t>
      </w:r>
      <w:r w:rsidR="006578F9">
        <w:t>3</w:t>
      </w:r>
      <w:r w:rsidRPr="005731D5">
        <w:t xml:space="preserve">] </w:t>
      </w:r>
      <w:r w:rsidR="004D1723" w:rsidRPr="004D1723">
        <w:rPr>
          <w:lang w:eastAsia="lv-LV"/>
        </w:rPr>
        <w:t>Pieteicēja par apgabaltiesas spriedumu iesniedza kasācijas sūdzību, norādot turpmāk minētos argumentus.</w:t>
      </w:r>
    </w:p>
    <w:p w14:paraId="49CE0695" w14:textId="77777777" w:rsidR="004D1723" w:rsidRDefault="00F853B6" w:rsidP="00287404">
      <w:pPr>
        <w:spacing w:line="276" w:lineRule="auto"/>
        <w:ind w:firstLine="720"/>
        <w:jc w:val="both"/>
      </w:pPr>
      <w:r w:rsidRPr="005731D5">
        <w:t>[</w:t>
      </w:r>
      <w:r w:rsidR="004D1723">
        <w:t>3</w:t>
      </w:r>
      <w:r w:rsidRPr="005731D5">
        <w:t xml:space="preserve">.1] </w:t>
      </w:r>
      <w:r w:rsidR="004B5866" w:rsidRPr="005731D5">
        <w:t xml:space="preserve">Tiesa </w:t>
      </w:r>
      <w:r w:rsidR="004D1723">
        <w:t>ir nepareizi izpratusi un interpretējusi likumu</w:t>
      </w:r>
      <w:r w:rsidR="004D1723" w:rsidRPr="004D1723">
        <w:t xml:space="preserve"> „Par valsts pensijām”</w:t>
      </w:r>
      <w:r w:rsidR="004D1723">
        <w:t>. Tiesa nav vadījusies no bērna vislabākajām interesēm, un tas ir novedis pie lietas nepareizas izspriešanas.</w:t>
      </w:r>
    </w:p>
    <w:p w14:paraId="5317E909" w14:textId="001BC7CC" w:rsidR="00F20D0E" w:rsidRDefault="004B5866" w:rsidP="00E27730">
      <w:pPr>
        <w:spacing w:line="276" w:lineRule="auto"/>
        <w:ind w:firstLine="720"/>
        <w:jc w:val="both"/>
      </w:pPr>
      <w:r w:rsidRPr="005731D5">
        <w:t>[</w:t>
      </w:r>
      <w:r w:rsidR="004D1723">
        <w:t>3</w:t>
      </w:r>
      <w:r w:rsidRPr="005731D5">
        <w:t xml:space="preserve">.2] </w:t>
      </w:r>
      <w:r w:rsidR="004D1723">
        <w:t>Mirušajam apgādniekam bija noteikta pirmās grupas invaliditāte un aprēķināta invaliditātes pensija 509,10</w:t>
      </w:r>
      <w:r w:rsidR="00AC63E0">
        <w:t> </w:t>
      </w:r>
      <w:r w:rsidR="004D1723" w:rsidRPr="004D1723">
        <w:rPr>
          <w:i/>
        </w:rPr>
        <w:t>euro</w:t>
      </w:r>
      <w:r w:rsidR="004D1723">
        <w:t xml:space="preserve">. Mirušajam apgādniekam sasniedzot iespējamo pensijas vecumu, invaliditāte varētu saglabāties. Līdz ar to saskaņā ar </w:t>
      </w:r>
      <w:r w:rsidR="004D1723" w:rsidRPr="004D1723">
        <w:t>likuma „Par valsts pensijām” pārejas noteikumu 19.punkt</w:t>
      </w:r>
      <w:r w:rsidR="004D1723">
        <w:t>u vecuma pensija viņam tiktu noteikta invaliditātes pensijas apmērā</w:t>
      </w:r>
      <w:r w:rsidR="00AC63E0">
        <w:t> </w:t>
      </w:r>
      <w:r w:rsidR="004D1723">
        <w:t>– 509,10</w:t>
      </w:r>
      <w:r w:rsidR="00AC63E0">
        <w:t> </w:t>
      </w:r>
      <w:r w:rsidR="004D1723" w:rsidRPr="004D1723">
        <w:rPr>
          <w:i/>
        </w:rPr>
        <w:t>euro</w:t>
      </w:r>
      <w:r w:rsidR="004D1723">
        <w:t xml:space="preserve">. </w:t>
      </w:r>
      <w:r w:rsidR="00F20D0E">
        <w:t>Tā</w:t>
      </w:r>
      <w:proofErr w:type="gramStart"/>
      <w:r w:rsidR="00F20D0E">
        <w:t xml:space="preserve"> kā, aprēķinot iespējamo vecuma pensiju, tiek pieņemts, ka mirušā apgādnieka </w:t>
      </w:r>
      <w:r w:rsidR="00F20D0E" w:rsidRPr="00F20D0E">
        <w:t>apdrošināšanas iemaksu algas</w:t>
      </w:r>
      <w:r w:rsidR="00F20D0E">
        <w:t xml:space="preserve"> laikā pēc viņa nāves būtu tāda</w:t>
      </w:r>
      <w:r w:rsidR="00F20D0E" w:rsidRPr="00F20D0E">
        <w:t xml:space="preserve">, kāda </w:t>
      </w:r>
      <w:r w:rsidR="00F20D0E">
        <w:t xml:space="preserve">tā </w:t>
      </w:r>
      <w:r w:rsidR="00F20D0E" w:rsidRPr="00F20D0E">
        <w:t>apgādniekam</w:t>
      </w:r>
      <w:proofErr w:type="gramEnd"/>
      <w:r w:rsidR="00F20D0E" w:rsidRPr="00F20D0E">
        <w:t xml:space="preserve"> vidēji bija darba vai tam pielīdzinātajos periodos</w:t>
      </w:r>
      <w:r w:rsidR="00F20D0E">
        <w:t xml:space="preserve">, tad tiek akceptēta mirušās personas datu apstrāde kā dzīvai personai. Nav pamata šo principu neattiecināt arī uz to apstākli, ka mirušajam apgādniekam iespējamā vecuma pensija tiktu noteikta atbilstoši </w:t>
      </w:r>
      <w:r w:rsidR="00F20D0E" w:rsidRPr="00F20D0E">
        <w:t>likuma „Par valsts pensijām” pārejas noteikumu 19.punktu</w:t>
      </w:r>
      <w:r w:rsidR="00F20D0E">
        <w:t xml:space="preserve"> invaliditātes pensijas apmērā.</w:t>
      </w:r>
    </w:p>
    <w:p w14:paraId="27EEE09A" w14:textId="08509E4E" w:rsidR="009867DF" w:rsidRDefault="00F20D0E" w:rsidP="00E27730">
      <w:pPr>
        <w:spacing w:line="276" w:lineRule="auto"/>
        <w:ind w:firstLine="720"/>
        <w:jc w:val="both"/>
      </w:pPr>
      <w:r>
        <w:t xml:space="preserve">[3.3] Apgabaltiesa spriedumā ir atsaukusies uz </w:t>
      </w:r>
      <w:r w:rsidRPr="00F20D0E">
        <w:t xml:space="preserve">Ministru kabineta </w:t>
      </w:r>
      <w:proofErr w:type="gramStart"/>
      <w:r w:rsidRPr="00F20D0E">
        <w:t>2009.gada</w:t>
      </w:r>
      <w:proofErr w:type="gramEnd"/>
      <w:r w:rsidRPr="00F20D0E">
        <w:t xml:space="preserve"> 22.decembra noteikumu Nr.</w:t>
      </w:r>
      <w:r>
        <w:t> </w:t>
      </w:r>
      <w:r w:rsidRPr="00F20D0E">
        <w:t>1065 ,,Noteikumi par valsts sociālā nodrošinājuma pabalsta un apbedīšanas pabalsta apmēru, tā pārskatīšanas kārtību un pabalstu piešķiršanas un izmaksas kārtību” 2.1.apakšpunktu</w:t>
      </w:r>
      <w:r>
        <w:t xml:space="preserve">, lai gan tajā laikā jau bija stājušies spēkā </w:t>
      </w:r>
      <w:r w:rsidRPr="00F20D0E">
        <w:t>Ministru kabineta 20</w:t>
      </w:r>
      <w:r>
        <w:t>17</w:t>
      </w:r>
      <w:r w:rsidRPr="00F20D0E">
        <w:t>.gada 2</w:t>
      </w:r>
      <w:r>
        <w:t>1</w:t>
      </w:r>
      <w:r w:rsidRPr="00F20D0E">
        <w:t>.</w:t>
      </w:r>
      <w:r>
        <w:t>marta</w:t>
      </w:r>
      <w:r w:rsidRPr="00F20D0E">
        <w:t xml:space="preserve"> noteikum</w:t>
      </w:r>
      <w:r>
        <w:t>i</w:t>
      </w:r>
      <w:r w:rsidRPr="00F20D0E">
        <w:t xml:space="preserve"> Nr.</w:t>
      </w:r>
      <w:r>
        <w:t> </w:t>
      </w:r>
      <w:r w:rsidRPr="00F20D0E">
        <w:t>1</w:t>
      </w:r>
      <w:r>
        <w:t>5</w:t>
      </w:r>
      <w:r w:rsidRPr="00F20D0E">
        <w:t>6 ,,Noteikumi par apgādnieka zaudējuma pensijas, atlīdzības par apgādnieka zaudējumu un valsts sociālā nodrošinājuma pabalsta apgādnieka zaudējuma gadījumā minimālo apmēru un tā pārskatīšanas kārtību”</w:t>
      </w:r>
      <w:r>
        <w:t xml:space="preserve">. Atbilstoši šiem Ministru kabineta noteikumiem minimālais apgādnieka zaudējuma pensijas apmērs ir paaugstināts. </w:t>
      </w:r>
      <w:r w:rsidR="009867DF">
        <w:t xml:space="preserve">Tādējādi likumdevējs ir netieši atzinis </w:t>
      </w:r>
      <w:proofErr w:type="spellStart"/>
      <w:r w:rsidR="009867DF">
        <w:t>atzinis</w:t>
      </w:r>
      <w:proofErr w:type="spellEnd"/>
      <w:r w:rsidR="009867DF">
        <w:t>, ka līdzšinējā apgādnieka zaudējuma pensijas aprēķina kārtība bija diskriminējoša, jo paredzēja zemāku minimālo apgādnieka zaudējuma pensijas apmēru, salīdzinot ar minimālo uzturlīdzekļu apmēru.</w:t>
      </w:r>
    </w:p>
    <w:p w14:paraId="21A49195" w14:textId="77777777" w:rsidR="009867DF" w:rsidRDefault="009867DF" w:rsidP="00E27730">
      <w:pPr>
        <w:spacing w:line="276" w:lineRule="auto"/>
        <w:ind w:firstLine="720"/>
        <w:jc w:val="both"/>
      </w:pPr>
    </w:p>
    <w:p w14:paraId="7A1A4F36" w14:textId="77777777" w:rsidR="00053060" w:rsidRDefault="00B75DDD" w:rsidP="00287404">
      <w:pPr>
        <w:spacing w:line="276" w:lineRule="auto"/>
        <w:ind w:firstLine="720"/>
        <w:jc w:val="both"/>
      </w:pPr>
      <w:r w:rsidRPr="005731D5">
        <w:t>[</w:t>
      </w:r>
      <w:r w:rsidR="005227F2">
        <w:t>4</w:t>
      </w:r>
      <w:r w:rsidRPr="005731D5">
        <w:t xml:space="preserve">] </w:t>
      </w:r>
      <w:r w:rsidR="005227F2">
        <w:t>Aģentūra</w:t>
      </w:r>
      <w:r w:rsidRPr="005731D5">
        <w:t xml:space="preserve"> paskaidrojumā par kasācijas sūdzību norāda, ka t</w:t>
      </w:r>
      <w:r w:rsidR="005227F2">
        <w:t>ā nav pamatota, jo tiesa ir izvērtējusi visus lietas apstākļus un nav pārkāpusi ne materiālo, ne procesuālo tiesību normas</w:t>
      </w:r>
      <w:r w:rsidR="00053060">
        <w:t>.</w:t>
      </w:r>
    </w:p>
    <w:p w14:paraId="174CC46D" w14:textId="77777777" w:rsidR="0065522A" w:rsidRPr="005731D5" w:rsidRDefault="0065522A" w:rsidP="00287404">
      <w:pPr>
        <w:spacing w:line="276" w:lineRule="auto"/>
        <w:ind w:firstLine="720"/>
        <w:jc w:val="both"/>
      </w:pPr>
    </w:p>
    <w:p w14:paraId="31230F1D" w14:textId="77777777" w:rsidR="003047F5" w:rsidRPr="005731D5" w:rsidRDefault="003047F5" w:rsidP="00287404">
      <w:pPr>
        <w:spacing w:line="276" w:lineRule="auto"/>
        <w:jc w:val="center"/>
        <w:rPr>
          <w:b/>
        </w:rPr>
      </w:pPr>
      <w:r w:rsidRPr="005731D5">
        <w:rPr>
          <w:b/>
        </w:rPr>
        <w:t>Motīvu daļa</w:t>
      </w:r>
    </w:p>
    <w:p w14:paraId="29079112" w14:textId="77777777" w:rsidR="00195D41" w:rsidRDefault="00195D41" w:rsidP="00287404">
      <w:pPr>
        <w:spacing w:line="276" w:lineRule="auto"/>
        <w:ind w:firstLine="720"/>
        <w:jc w:val="both"/>
      </w:pPr>
    </w:p>
    <w:p w14:paraId="65E0AAC4" w14:textId="747AD731" w:rsidR="001878BC" w:rsidRDefault="001878BC" w:rsidP="00287404">
      <w:pPr>
        <w:spacing w:line="276" w:lineRule="auto"/>
        <w:ind w:firstLine="720"/>
        <w:jc w:val="both"/>
      </w:pPr>
      <w:r>
        <w:t xml:space="preserve">[5] Lietā ir strīds par apgādnieka zaudējuma pensijas apmēru. Šī pensija ir viena no likumā </w:t>
      </w:r>
      <w:r w:rsidRPr="001878BC">
        <w:t>„Par valsts pensijām”</w:t>
      </w:r>
      <w:r>
        <w:t xml:space="preserve"> paredzētajām valsts pensijām. Tā</w:t>
      </w:r>
      <w:r w:rsidRPr="001878BC">
        <w:t xml:space="preserve"> ir sociālās apdrošināšanas pakalpojums, kas tiek izmaksāts sociālā riska iestāšanās gadījumā, proti, ja zaudēti ienākumi sakarā ar apgādnieka nāvi</w:t>
      </w:r>
      <w:r>
        <w:t xml:space="preserve"> (</w:t>
      </w:r>
      <w:r w:rsidRPr="001878BC">
        <w:rPr>
          <w:i/>
        </w:rPr>
        <w:t xml:space="preserve">Augstākās tiesas </w:t>
      </w:r>
      <w:proofErr w:type="gramStart"/>
      <w:r w:rsidRPr="001878BC">
        <w:rPr>
          <w:i/>
        </w:rPr>
        <w:t>2016.gada</w:t>
      </w:r>
      <w:proofErr w:type="gramEnd"/>
      <w:r w:rsidRPr="001878BC">
        <w:rPr>
          <w:i/>
        </w:rPr>
        <w:t xml:space="preserve"> 17.marta sprieduma lietā Nr.</w:t>
      </w:r>
      <w:r w:rsidR="00AC63E0">
        <w:rPr>
          <w:i/>
        </w:rPr>
        <w:t> </w:t>
      </w:r>
      <w:r w:rsidRPr="001878BC">
        <w:rPr>
          <w:i/>
        </w:rPr>
        <w:t xml:space="preserve">SKA-185/2016 (A420294213) </w:t>
      </w:r>
      <w:r>
        <w:rPr>
          <w:i/>
        </w:rPr>
        <w:t>7</w:t>
      </w:r>
      <w:r w:rsidRPr="001878BC">
        <w:rPr>
          <w:i/>
        </w:rPr>
        <w:t>.punkts</w:t>
      </w:r>
      <w:r>
        <w:t>)</w:t>
      </w:r>
      <w:r w:rsidRPr="001878BC">
        <w:t>.</w:t>
      </w:r>
    </w:p>
    <w:p w14:paraId="369DC427" w14:textId="00587A7B" w:rsidR="001878BC" w:rsidRDefault="001878BC" w:rsidP="00287404">
      <w:pPr>
        <w:spacing w:line="276" w:lineRule="auto"/>
        <w:ind w:firstLine="720"/>
        <w:jc w:val="both"/>
      </w:pPr>
      <w:r>
        <w:t>L</w:t>
      </w:r>
      <w:r w:rsidRPr="001878BC">
        <w:t>ikum</w:t>
      </w:r>
      <w:r>
        <w:t>a</w:t>
      </w:r>
      <w:r w:rsidRPr="001878BC">
        <w:t xml:space="preserve"> „Par valsts pensijām”</w:t>
      </w:r>
      <w:r>
        <w:t xml:space="preserve"> 18.</w:t>
      </w:r>
      <w:r w:rsidR="0075042B">
        <w:t>–</w:t>
      </w:r>
      <w:proofErr w:type="gramStart"/>
      <w:r>
        <w:t>21.pants</w:t>
      </w:r>
      <w:proofErr w:type="gramEnd"/>
      <w:r>
        <w:t xml:space="preserve"> nosaka, kurām personām ir tiesības uz apgādnieka zaudējuma pensiju. Sa</w:t>
      </w:r>
      <w:r w:rsidR="005515A0">
        <w:t xml:space="preserve">vukārt šā likuma </w:t>
      </w:r>
      <w:proofErr w:type="gramStart"/>
      <w:r w:rsidR="005515A0">
        <w:t>23.pants</w:t>
      </w:r>
      <w:proofErr w:type="gramEnd"/>
      <w:r w:rsidR="005515A0">
        <w:t xml:space="preserve"> regulē a</w:t>
      </w:r>
      <w:r w:rsidR="005515A0" w:rsidRPr="005515A0">
        <w:t>pgādnieka zaudējuma pensijas aprēķināšana</w:t>
      </w:r>
      <w:r w:rsidR="005515A0">
        <w:t xml:space="preserve">s kārtību. Atbilstoši šā panta pirmajai daļai </w:t>
      </w:r>
      <w:r w:rsidR="005515A0" w:rsidRPr="005515A0">
        <w:t xml:space="preserve">apgādnieka zaudējuma pensijas apmēru aprēķina </w:t>
      </w:r>
      <w:r w:rsidR="005515A0">
        <w:t xml:space="preserve">noteiktu procentu apmērā </w:t>
      </w:r>
      <w:r w:rsidR="005515A0" w:rsidRPr="005515A0">
        <w:t>no apgādnieka iespējamās vecuma pensijas</w:t>
      </w:r>
      <w:r w:rsidR="005515A0">
        <w:t>. Šā panta trešajā daļā ir paredzēts, ka i</w:t>
      </w:r>
      <w:r w:rsidR="005515A0" w:rsidRPr="005515A0">
        <w:t xml:space="preserve">espējamā vecuma pensija aprēķināma šā likuma </w:t>
      </w:r>
      <w:proofErr w:type="gramStart"/>
      <w:r w:rsidR="005515A0" w:rsidRPr="005515A0">
        <w:t>12.panta</w:t>
      </w:r>
      <w:proofErr w:type="gramEnd"/>
      <w:r w:rsidR="005515A0" w:rsidRPr="005515A0">
        <w:t xml:space="preserve"> pirmajā un otrajā daļā noteiktajā kārtībā, pieņemot, ka līdz mēnesim, kurā apgādnieks sasniegtu vecuma pensijas piešķiršanai nepieciešamo vecumu, ir veiktas apdrošināšanas iemaksas no tādas apdrošināšanas iemaksu algas, kāda apgādniekam vidēji bija darba vai tam pielīdzinātajos periodos, bet tad, ja vidējā apdrošināšanas iemaksu alga šajos periodos ir bijusi mazāka par </w:t>
      </w:r>
      <w:r w:rsidR="005515A0" w:rsidRPr="005515A0">
        <w:lastRenderedPageBreak/>
        <w:t>40</w:t>
      </w:r>
      <w:r w:rsidR="0075042B">
        <w:t> </w:t>
      </w:r>
      <w:r w:rsidR="005515A0" w:rsidRPr="005515A0">
        <w:t>procentiem no valstī noteiktās vidējās apdrošināšanas iemaksu algas (kalendāra gadā, kas beidzas gadu pirms tā gada, kurā tiek piešķirta pensija), vai arī tad, ja apgādniekam pēc šā likuma spēkā stāšanās vispār nav bijis darba un tam pielīdzināto periodu, — no valstī noteiktās vidējās apdrošināšanas iemaksu algas 40 procentiem (kalendāra gadā, kas beidzas gadu pirms tā gada, kurā tiek piešķirta pensija).</w:t>
      </w:r>
    </w:p>
    <w:p w14:paraId="77041663" w14:textId="77777777" w:rsidR="001878BC" w:rsidRDefault="001878BC" w:rsidP="00287404">
      <w:pPr>
        <w:spacing w:line="276" w:lineRule="auto"/>
        <w:ind w:firstLine="720"/>
        <w:jc w:val="both"/>
      </w:pPr>
    </w:p>
    <w:p w14:paraId="483AF082" w14:textId="2B1AF004" w:rsidR="005515A0" w:rsidRDefault="005515A0" w:rsidP="00287404">
      <w:pPr>
        <w:spacing w:line="276" w:lineRule="auto"/>
        <w:ind w:firstLine="720"/>
        <w:jc w:val="both"/>
      </w:pPr>
      <w:r>
        <w:t xml:space="preserve">[6] Pieteicēja uzskata, ka apgādnieka iespējamās vecuma pensijas apmēra noteikšanā ir jāņem vērā arī </w:t>
      </w:r>
      <w:r w:rsidRPr="005515A0">
        <w:t>likum</w:t>
      </w:r>
      <w:r>
        <w:t>a</w:t>
      </w:r>
      <w:r w:rsidRPr="005515A0">
        <w:t xml:space="preserve"> „Par valsts pensijām”</w:t>
      </w:r>
      <w:r>
        <w:t xml:space="preserve"> pārejas noteikumu 19.punkts, atbilstoši kuram i</w:t>
      </w:r>
      <w:r w:rsidRPr="005515A0">
        <w:t>nvaliditātes pensijas vietā piešķirtā vecuma pensija invaliditātes laikā nedrīkst būt mazāka par invaliditātes pensiju, kas saņemt</w:t>
      </w:r>
      <w:r>
        <w:t>a</w:t>
      </w:r>
      <w:r w:rsidRPr="005515A0">
        <w:t xml:space="preserve"> līdz vecuma pensijas piešķiršanas dienai.</w:t>
      </w:r>
    </w:p>
    <w:p w14:paraId="3224863C" w14:textId="77777777" w:rsidR="005515A0" w:rsidRDefault="005515A0" w:rsidP="00287404">
      <w:pPr>
        <w:spacing w:line="276" w:lineRule="auto"/>
        <w:ind w:firstLine="720"/>
        <w:jc w:val="both"/>
      </w:pPr>
      <w:r>
        <w:t xml:space="preserve">Aģentūra un apgabaltiesa tam nepiekrīt, jo uzskata, ka </w:t>
      </w:r>
      <w:r w:rsidRPr="005515A0">
        <w:t>likum</w:t>
      </w:r>
      <w:r>
        <w:t>ā</w:t>
      </w:r>
      <w:r w:rsidRPr="005515A0">
        <w:t xml:space="preserve"> „Par valsts pensijām”</w:t>
      </w:r>
      <w:r>
        <w:t xml:space="preserve"> tas nav noteikts.</w:t>
      </w:r>
    </w:p>
    <w:p w14:paraId="54FB0A77" w14:textId="2F5778D5" w:rsidR="00764D78" w:rsidRDefault="005515A0" w:rsidP="00287404">
      <w:pPr>
        <w:spacing w:line="276" w:lineRule="auto"/>
        <w:ind w:firstLine="720"/>
        <w:jc w:val="both"/>
      </w:pPr>
      <w:r>
        <w:t xml:space="preserve">Augstākā tiesa konstatē, ka </w:t>
      </w:r>
      <w:r w:rsidRPr="005515A0">
        <w:t>likum</w:t>
      </w:r>
      <w:r>
        <w:t>a</w:t>
      </w:r>
      <w:r w:rsidRPr="005515A0">
        <w:t xml:space="preserve"> „Par valsts pensijām”</w:t>
      </w:r>
      <w:r>
        <w:t xml:space="preserve"> </w:t>
      </w:r>
      <w:proofErr w:type="gramStart"/>
      <w:r>
        <w:t>23.pantā</w:t>
      </w:r>
      <w:proofErr w:type="gramEnd"/>
      <w:r>
        <w:t xml:space="preserve">, kas regulē apgādnieka zaudējuma pensijas aprēķināšanas kārtību, tiešām nav norādes uz </w:t>
      </w:r>
      <w:r w:rsidRPr="005515A0">
        <w:t>likuma „Par valsts pensi</w:t>
      </w:r>
      <w:r>
        <w:t>jām” pārejas noteikumu 19.punktu. T</w:t>
      </w:r>
      <w:r w:rsidR="00764D78">
        <w:t>omēr</w:t>
      </w:r>
      <w:r>
        <w:t xml:space="preserve"> tas nevar būt pamats secinājumam, ka šī norma izskatāmajā lietā nav piemērojama</w:t>
      </w:r>
      <w:r w:rsidR="00764D78">
        <w:t>. Jāņem vērā, ka likuma</w:t>
      </w:r>
      <w:r w:rsidR="00764D78" w:rsidRPr="00764D78">
        <w:t xml:space="preserve"> „Par valsts pensijām”</w:t>
      </w:r>
      <w:r w:rsidR="00764D78">
        <w:t xml:space="preserve"> pamattekstā netiek iekļautas atsauces uz šā likuma pārejas noteikumiem. Vienlaikus šobrīd personas tiesību uz vecuma pensiju noteikšanai un personai izmaksājamā vecuma pensijas apmēra noteikšanā tiek piemērota virkne </w:t>
      </w:r>
      <w:r w:rsidR="00764D78" w:rsidRPr="00764D78">
        <w:t>likuma „Par valsts pensijām”</w:t>
      </w:r>
      <w:r w:rsidR="00764D78">
        <w:t xml:space="preserve"> pārejas noteikumu normas. Piemēram, šā likuma pārejas noteikumu 1. un 2.punktā ir noteikts, kādi darba vai tam pielīdzināti periodi veido personas apdrošināšanas stāžu līdz </w:t>
      </w:r>
      <w:proofErr w:type="gramStart"/>
      <w:r w:rsidR="00764D78">
        <w:t>1995.gada</w:t>
      </w:r>
      <w:proofErr w:type="gramEnd"/>
      <w:r w:rsidR="00764D78">
        <w:t xml:space="preserve"> 31.decembrim</w:t>
      </w:r>
      <w:r w:rsidR="00661F0F">
        <w:t>; 8.un 8.</w:t>
      </w:r>
      <w:r w:rsidR="00661F0F" w:rsidRPr="00661F0F">
        <w:rPr>
          <w:vertAlign w:val="superscript"/>
        </w:rPr>
        <w:t>1</w:t>
      </w:r>
      <w:r w:rsidR="00661F0F">
        <w:t xml:space="preserve">punkts </w:t>
      </w:r>
      <w:r w:rsidR="00E26A2F">
        <w:t xml:space="preserve">nosaka </w:t>
      </w:r>
      <w:r w:rsidR="00661F0F">
        <w:t>vecuma pensijas piešķiršanai nepieciešamo vecumu pārejas periodā, savukārt 8.</w:t>
      </w:r>
      <w:r w:rsidR="00661F0F" w:rsidRPr="00661F0F">
        <w:rPr>
          <w:vertAlign w:val="superscript"/>
        </w:rPr>
        <w:t>2</w:t>
      </w:r>
      <w:r w:rsidR="00661F0F">
        <w:t xml:space="preserve">punkts </w:t>
      </w:r>
      <w:r w:rsidR="00E26A2F">
        <w:t xml:space="preserve">nosaka </w:t>
      </w:r>
      <w:r w:rsidR="00661F0F" w:rsidRPr="00661F0F">
        <w:t>vecuma pensijas piešķiršanai nepieciešam</w:t>
      </w:r>
      <w:r w:rsidR="00661F0F">
        <w:t>o apdrošināšanas stāžu pārejas periodā. L</w:t>
      </w:r>
      <w:r w:rsidR="00661F0F" w:rsidRPr="00661F0F">
        <w:t>ikuma „Par valsts pensijām” pārejas noteikumu</w:t>
      </w:r>
      <w:r w:rsidR="00661F0F">
        <w:t xml:space="preserve"> 13.punktā ir ietverta speciāla formula vecuma pensijas aprēķināšanai pārejas periodā. Līdz ar to šobrīd vecuma pensijas aprēķināšanu regulē nevis tikai </w:t>
      </w:r>
      <w:r w:rsidR="00661F0F" w:rsidRPr="00661F0F">
        <w:t>likuma „Par valsts pensijām”</w:t>
      </w:r>
      <w:r w:rsidR="00661F0F">
        <w:t xml:space="preserve"> 12.pants, uz kuru ir atsauce šā likuma 23.panta trešajā daļā, bet arī pārejas noteikumu normas. Tādējādi šobrīd </w:t>
      </w:r>
      <w:r w:rsidR="00661F0F" w:rsidRPr="00661F0F">
        <w:t xml:space="preserve">likuma „Par valsts pensijām” </w:t>
      </w:r>
      <w:r w:rsidR="00661F0F">
        <w:t>pamattekstā ietvertais regulējums un pārejas noteikumu normas veido vienotu un nedalāmu regulējumu, kas ir izmantojams, lai noteiktu personai izmaksājamo vecuma pensijas apmēru.</w:t>
      </w:r>
    </w:p>
    <w:p w14:paraId="3C11F881" w14:textId="62E2B43C" w:rsidR="00661F0F" w:rsidRDefault="00661F0F" w:rsidP="00287404">
      <w:pPr>
        <w:spacing w:line="276" w:lineRule="auto"/>
        <w:ind w:firstLine="720"/>
        <w:jc w:val="both"/>
      </w:pPr>
      <w:r w:rsidRPr="00661F0F">
        <w:t>Likum</w:t>
      </w:r>
      <w:r>
        <w:t>s</w:t>
      </w:r>
      <w:r w:rsidRPr="00661F0F">
        <w:t xml:space="preserve"> „Par valsts pensijām”</w:t>
      </w:r>
      <w:r>
        <w:t xml:space="preserve"> nenoteic, ka tā </w:t>
      </w:r>
      <w:proofErr w:type="gramStart"/>
      <w:r>
        <w:t>23.pantā</w:t>
      </w:r>
      <w:proofErr w:type="gramEnd"/>
      <w:r>
        <w:t xml:space="preserve"> minētās apgādnieka iespējamās vecuma pensijas</w:t>
      </w:r>
      <w:r w:rsidR="00EE4CDF">
        <w:t xml:space="preserve"> apmēra noteikšanā šobrīd likuma pārejas noteikumu normas nebūtu izmantojamas. Arī no aģentūras pieņemtajiem lēmumiem ir redzams, kā </w:t>
      </w:r>
      <w:r w:rsidR="00EE4CDF" w:rsidRPr="00EE4CDF">
        <w:t>likuma „Par valsts pensijām”</w:t>
      </w:r>
      <w:r w:rsidR="00EE4CDF">
        <w:t xml:space="preserve"> pārejas noteikumu normas ir izmantotas </w:t>
      </w:r>
      <w:r w:rsidR="00EE4CDF" w:rsidRPr="00EE4CDF">
        <w:t>apgādnieka iespējamās vecuma pensijas apmēra noteikšanā</w:t>
      </w:r>
      <w:r w:rsidR="00EE4CDF">
        <w:t>, jo aģentūras lēmumos ir tieša atsauce, piemēram uz pārejas noteikumu 13.punktu.</w:t>
      </w:r>
    </w:p>
    <w:p w14:paraId="2E295A5C" w14:textId="481F6131" w:rsidR="00EE4CDF" w:rsidRDefault="00EE4CDF" w:rsidP="00287404">
      <w:pPr>
        <w:spacing w:line="276" w:lineRule="auto"/>
        <w:ind w:firstLine="720"/>
        <w:jc w:val="both"/>
      </w:pPr>
      <w:r>
        <w:t>Ņemot vērā minēto, Augstākā tiesa atzīst, ka l</w:t>
      </w:r>
      <w:r w:rsidRPr="00EE4CDF">
        <w:t>ikum</w:t>
      </w:r>
      <w:r>
        <w:t>a</w:t>
      </w:r>
      <w:r w:rsidRPr="00EE4CDF">
        <w:t xml:space="preserve"> „Par valsts pensijām” </w:t>
      </w:r>
      <w:proofErr w:type="gramStart"/>
      <w:r w:rsidRPr="00EE4CDF">
        <w:t>23.pantā</w:t>
      </w:r>
      <w:proofErr w:type="gramEnd"/>
      <w:r w:rsidRPr="00EE4CDF">
        <w:t xml:space="preserve"> minētās apgādnieka iespējamās vecuma pensijas apmēra noteikšan</w:t>
      </w:r>
      <w:r>
        <w:t>ai ir piemērojamas arī likuma pārejas noteikumu normas. Lai kādu no tām nepiemērotu, ir jābūt skaidram un pamatotam iemeslam</w:t>
      </w:r>
      <w:r w:rsidR="00761071">
        <w:t>, kāpēc konkrētā norma atšķirībā no pārējām pārejas noteikumu normām konkrētajā gadījumā nevar tikt piemērota</w:t>
      </w:r>
      <w:r>
        <w:t>.</w:t>
      </w:r>
    </w:p>
    <w:p w14:paraId="40008198" w14:textId="77777777" w:rsidR="00EE4CDF" w:rsidRDefault="00EE4CDF" w:rsidP="00287404">
      <w:pPr>
        <w:spacing w:line="276" w:lineRule="auto"/>
        <w:ind w:firstLine="720"/>
        <w:jc w:val="both"/>
      </w:pPr>
    </w:p>
    <w:p w14:paraId="6E787BCF" w14:textId="5B43572E" w:rsidR="00EE4CDF" w:rsidRDefault="00EE4CDF" w:rsidP="00287404">
      <w:pPr>
        <w:spacing w:line="276" w:lineRule="auto"/>
        <w:ind w:firstLine="720"/>
        <w:jc w:val="both"/>
      </w:pPr>
      <w:r>
        <w:t xml:space="preserve">[7] Vienīgais aģentūras un </w:t>
      </w:r>
      <w:proofErr w:type="spellStart"/>
      <w:r>
        <w:t>apagabltiesas</w:t>
      </w:r>
      <w:proofErr w:type="spellEnd"/>
      <w:r>
        <w:t xml:space="preserve"> norādītais iemesls </w:t>
      </w:r>
      <w:r w:rsidRPr="00EE4CDF">
        <w:t>likuma „Par valsts pensi</w:t>
      </w:r>
      <w:r>
        <w:t>jām” pārejas noteikumu 19.punkta nepiemērošanai apgādnieka iespējamās vecuma pensijas apmēra noteikšanā ir tas, ka šīs normas mērķis ir tieši vecuma pensijas saņēmēja – personas ar invaliditāti aizsardzība, nevis citu personu aizsardzība.</w:t>
      </w:r>
    </w:p>
    <w:p w14:paraId="542AECF5" w14:textId="38CB8C88" w:rsidR="00761071" w:rsidRDefault="00EE4CDF" w:rsidP="00287404">
      <w:pPr>
        <w:spacing w:line="276" w:lineRule="auto"/>
        <w:ind w:firstLine="720"/>
        <w:jc w:val="both"/>
      </w:pPr>
      <w:r>
        <w:lastRenderedPageBreak/>
        <w:t xml:space="preserve">Augstākā tiesa piekrīt tam, ka primārais </w:t>
      </w:r>
      <w:r w:rsidRPr="00EE4CDF">
        <w:t>likuma „Par valsts pensijām” pārejas noteikumu 19.punkta</w:t>
      </w:r>
      <w:r>
        <w:t xml:space="preserve"> mērķis ir tieši paša vecuma pensijas saņēmēja aizsardzība. Taču tas </w:t>
      </w:r>
      <w:r w:rsidR="00761071">
        <w:t xml:space="preserve">neizslēdz to, ka šai normai var būt arī sekundārs mērķis </w:t>
      </w:r>
      <w:r w:rsidR="00E26A2F">
        <w:t>–</w:t>
      </w:r>
      <w:r w:rsidR="00761071">
        <w:t xml:space="preserve"> kalpot arī personas ar invaliditāti apgādājamo aizsardzībai. </w:t>
      </w:r>
      <w:r w:rsidR="00987467">
        <w:t xml:space="preserve">Arī 5.Saeimas deputāta </w:t>
      </w:r>
      <w:proofErr w:type="gramStart"/>
      <w:r w:rsidR="0081254E">
        <w:t>[</w:t>
      </w:r>
      <w:proofErr w:type="gramEnd"/>
      <w:r w:rsidR="0081254E">
        <w:t>pers. B]</w:t>
      </w:r>
      <w:r w:rsidR="00987467">
        <w:t xml:space="preserve"> teiktais, uz ko spriedumā ir atsaukusies apgabaltiesa, neliecina par to, ka šai normai nevarētu būt iepriekš minētais sekundārais mērķis.</w:t>
      </w:r>
      <w:r w:rsidR="007A00E8">
        <w:t xml:space="preserve"> Līdz ar to tas nevar tikt atzī</w:t>
      </w:r>
      <w:r w:rsidR="00761071">
        <w:t xml:space="preserve">ts par skaidru un pamatotu iemeslu, kas pierāda, ka </w:t>
      </w:r>
      <w:r w:rsidR="00761071" w:rsidRPr="00761071">
        <w:t>likuma „Par valsts pensijām” pārejas noteikumu 19.punkt</w:t>
      </w:r>
      <w:r w:rsidR="00761071">
        <w:t>s nevar tikt piemērots izskatāmajā gadījumā.</w:t>
      </w:r>
    </w:p>
    <w:p w14:paraId="6AD5896D" w14:textId="77777777" w:rsidR="00987467" w:rsidRDefault="00987467" w:rsidP="00987467">
      <w:pPr>
        <w:spacing w:line="276" w:lineRule="auto"/>
        <w:ind w:firstLine="720"/>
        <w:jc w:val="both"/>
      </w:pPr>
    </w:p>
    <w:p w14:paraId="59950D2E" w14:textId="63FC201F" w:rsidR="003865B3" w:rsidRPr="005731D5" w:rsidRDefault="00F71954" w:rsidP="00D06273">
      <w:pPr>
        <w:spacing w:line="276" w:lineRule="auto"/>
        <w:ind w:firstLine="720"/>
        <w:jc w:val="both"/>
      </w:pPr>
      <w:r w:rsidRPr="005731D5">
        <w:t>[</w:t>
      </w:r>
      <w:r w:rsidR="0098494B">
        <w:t>8</w:t>
      </w:r>
      <w:r w:rsidRPr="005731D5">
        <w:t xml:space="preserve">] </w:t>
      </w:r>
      <w:r w:rsidR="0098494B">
        <w:t xml:space="preserve">Ņemot vērā minēto, Augstākā tiesa secina, ka apgabaltiesa nepareizi </w:t>
      </w:r>
      <w:r w:rsidR="00E26A2F">
        <w:t xml:space="preserve">ir </w:t>
      </w:r>
      <w:r w:rsidR="0098494B">
        <w:t xml:space="preserve">interpretējusi </w:t>
      </w:r>
      <w:r w:rsidR="0098494B" w:rsidRPr="0098494B">
        <w:t>likuma</w:t>
      </w:r>
      <w:r w:rsidR="0098494B">
        <w:t xml:space="preserve"> „Par valsts pensijām” </w:t>
      </w:r>
      <w:proofErr w:type="gramStart"/>
      <w:r w:rsidR="0098494B">
        <w:t>23.panta</w:t>
      </w:r>
      <w:proofErr w:type="gramEnd"/>
      <w:r w:rsidR="0098494B">
        <w:t xml:space="preserve"> pirmo un trešo daļu un līdz ar to nepamatoti nav piemērojusi tiesību normu, kuru vajadzēja piemērot, proti, </w:t>
      </w:r>
      <w:r w:rsidR="0098494B" w:rsidRPr="0098494B">
        <w:t>likuma „Par valsts pensijām” pārejas noteikumu 19.punkt</w:t>
      </w:r>
      <w:r w:rsidR="00761071">
        <w:t>u</w:t>
      </w:r>
      <w:r w:rsidR="0098494B">
        <w:t>.</w:t>
      </w:r>
    </w:p>
    <w:p w14:paraId="1149BA8C" w14:textId="77777777" w:rsidR="00D562D5" w:rsidRPr="005731D5" w:rsidRDefault="00D562D5" w:rsidP="00BE505C">
      <w:pPr>
        <w:spacing w:line="276" w:lineRule="auto"/>
        <w:jc w:val="both"/>
      </w:pPr>
    </w:p>
    <w:p w14:paraId="54865085" w14:textId="77777777" w:rsidR="003047F5" w:rsidRPr="005731D5" w:rsidRDefault="006453E3" w:rsidP="00287404">
      <w:pPr>
        <w:spacing w:line="276" w:lineRule="auto"/>
        <w:jc w:val="center"/>
        <w:rPr>
          <w:b/>
        </w:rPr>
      </w:pPr>
      <w:r w:rsidRPr="005731D5">
        <w:rPr>
          <w:b/>
        </w:rPr>
        <w:t>Rezolutīvā</w:t>
      </w:r>
      <w:r w:rsidR="003047F5" w:rsidRPr="005731D5">
        <w:rPr>
          <w:b/>
        </w:rPr>
        <w:t xml:space="preserve"> daļa</w:t>
      </w:r>
    </w:p>
    <w:p w14:paraId="3FCBD8FB" w14:textId="77777777" w:rsidR="00195D41" w:rsidRPr="005731D5" w:rsidRDefault="00195D41" w:rsidP="00287404">
      <w:pPr>
        <w:spacing w:line="276" w:lineRule="auto"/>
        <w:ind w:firstLine="720"/>
        <w:jc w:val="both"/>
      </w:pPr>
    </w:p>
    <w:p w14:paraId="623883FA" w14:textId="77777777" w:rsidR="0098494B" w:rsidRDefault="0098494B" w:rsidP="0098494B">
      <w:pPr>
        <w:spacing w:line="276" w:lineRule="auto"/>
        <w:ind w:firstLine="720"/>
        <w:jc w:val="both"/>
      </w:pPr>
      <w:r w:rsidRPr="00744130">
        <w:t xml:space="preserve">Pamatojoties uz Administratīvā procesa likuma </w:t>
      </w:r>
      <w:r w:rsidRPr="00395889">
        <w:t>129.</w:t>
      </w:r>
      <w:proofErr w:type="gramStart"/>
      <w:r w:rsidRPr="00395889">
        <w:rPr>
          <w:vertAlign w:val="superscript"/>
        </w:rPr>
        <w:t>1</w:t>
      </w:r>
      <w:r w:rsidRPr="00395889">
        <w:t>panta</w:t>
      </w:r>
      <w:proofErr w:type="gramEnd"/>
      <w:r w:rsidRPr="00395889">
        <w:t xml:space="preserve"> pirmās daļas 1.punktu,</w:t>
      </w:r>
      <w:r>
        <w:t xml:space="preserve"> </w:t>
      </w:r>
      <w:r w:rsidRPr="00744130">
        <w:t xml:space="preserve">348.panta </w:t>
      </w:r>
      <w:r>
        <w:t>pirmās daļas 2</w:t>
      </w:r>
      <w:r w:rsidRPr="00744130">
        <w:t>.punktu un 351.pantu</w:t>
      </w:r>
      <w:r w:rsidRPr="007F61F8">
        <w:t>, Augstākā tiesa</w:t>
      </w:r>
    </w:p>
    <w:p w14:paraId="2D2BF5D2" w14:textId="77777777" w:rsidR="0098494B" w:rsidRPr="00287404" w:rsidRDefault="0098494B" w:rsidP="0098494B">
      <w:pPr>
        <w:spacing w:line="276" w:lineRule="auto"/>
        <w:ind w:firstLine="720"/>
        <w:jc w:val="both"/>
      </w:pPr>
    </w:p>
    <w:p w14:paraId="0A8257A1" w14:textId="77777777" w:rsidR="0098494B" w:rsidRPr="00287404" w:rsidRDefault="0098494B" w:rsidP="0098494B">
      <w:pPr>
        <w:spacing w:line="276" w:lineRule="auto"/>
        <w:jc w:val="center"/>
        <w:rPr>
          <w:b/>
          <w:bCs/>
          <w:spacing w:val="70"/>
        </w:rPr>
      </w:pPr>
      <w:r>
        <w:rPr>
          <w:b/>
        </w:rPr>
        <w:t>n</w:t>
      </w:r>
      <w:r w:rsidRPr="00287404">
        <w:rPr>
          <w:b/>
        </w:rPr>
        <w:t>o</w:t>
      </w:r>
      <w:r>
        <w:rPr>
          <w:b/>
        </w:rPr>
        <w:t>spried</w:t>
      </w:r>
      <w:r w:rsidRPr="00287404">
        <w:rPr>
          <w:b/>
        </w:rPr>
        <w:t>a</w:t>
      </w:r>
      <w:r>
        <w:rPr>
          <w:b/>
        </w:rPr>
        <w:t>:</w:t>
      </w:r>
    </w:p>
    <w:p w14:paraId="456862E7" w14:textId="77777777" w:rsidR="0098494B" w:rsidRPr="00287404" w:rsidRDefault="0098494B" w:rsidP="0098494B">
      <w:pPr>
        <w:spacing w:line="276" w:lineRule="auto"/>
        <w:ind w:firstLine="720"/>
        <w:jc w:val="both"/>
        <w:rPr>
          <w:color w:val="000000"/>
        </w:rPr>
      </w:pPr>
    </w:p>
    <w:p w14:paraId="50A70039" w14:textId="422A4928" w:rsidR="0098494B" w:rsidRDefault="0098494B" w:rsidP="0098494B">
      <w:pPr>
        <w:spacing w:line="276" w:lineRule="auto"/>
        <w:ind w:firstLine="720"/>
        <w:jc w:val="both"/>
        <w:rPr>
          <w:color w:val="000000"/>
        </w:rPr>
      </w:pPr>
      <w:r>
        <w:rPr>
          <w:color w:val="000000"/>
        </w:rPr>
        <w:t>atcelt</w:t>
      </w:r>
      <w:r w:rsidRPr="00C45287">
        <w:rPr>
          <w:color w:val="000000"/>
        </w:rPr>
        <w:t xml:space="preserve"> </w:t>
      </w:r>
      <w:r w:rsidRPr="007F61F8">
        <w:rPr>
          <w:color w:val="000000"/>
        </w:rPr>
        <w:t xml:space="preserve">Administratīvās </w:t>
      </w:r>
      <w:r>
        <w:t xml:space="preserve">apgabaltiesas </w:t>
      </w:r>
      <w:proofErr w:type="gramStart"/>
      <w:r w:rsidRPr="005731D5">
        <w:t>2017.gada</w:t>
      </w:r>
      <w:proofErr w:type="gramEnd"/>
      <w:r w:rsidRPr="005731D5">
        <w:t xml:space="preserve"> </w:t>
      </w:r>
      <w:r>
        <w:t>26</w:t>
      </w:r>
      <w:r w:rsidRPr="005731D5">
        <w:t>.</w:t>
      </w:r>
      <w:r>
        <w:t>jūnija</w:t>
      </w:r>
      <w:r w:rsidRPr="007F61F8">
        <w:rPr>
          <w:color w:val="000000"/>
        </w:rPr>
        <w:t xml:space="preserve"> spriedumu</w:t>
      </w:r>
      <w:r w:rsidRPr="00EB2B18">
        <w:t xml:space="preserve"> </w:t>
      </w:r>
      <w:r w:rsidRPr="00EB2B18">
        <w:rPr>
          <w:color w:val="000000"/>
        </w:rPr>
        <w:t xml:space="preserve">un nosūtīt lietu jaunai izskatīšanai </w:t>
      </w:r>
      <w:r>
        <w:rPr>
          <w:color w:val="000000"/>
        </w:rPr>
        <w:t>apelācijas instances</w:t>
      </w:r>
      <w:r w:rsidRPr="00EB2B18">
        <w:rPr>
          <w:color w:val="000000"/>
        </w:rPr>
        <w:t xml:space="preserve"> tiesai</w:t>
      </w:r>
      <w:r>
        <w:rPr>
          <w:color w:val="000000"/>
        </w:rPr>
        <w:t>;</w:t>
      </w:r>
    </w:p>
    <w:p w14:paraId="31C06F69" w14:textId="0CE203AB" w:rsidR="0098494B" w:rsidRDefault="0098494B" w:rsidP="0098494B">
      <w:pPr>
        <w:spacing w:line="276" w:lineRule="auto"/>
        <w:ind w:firstLine="720"/>
        <w:jc w:val="both"/>
        <w:rPr>
          <w:color w:val="000000"/>
        </w:rPr>
      </w:pPr>
      <w:r w:rsidRPr="00395889">
        <w:rPr>
          <w:color w:val="000000"/>
        </w:rPr>
        <w:t xml:space="preserve">atmaksāt </w:t>
      </w:r>
      <w:proofErr w:type="gramStart"/>
      <w:r w:rsidR="00D80D4B">
        <w:t>[</w:t>
      </w:r>
      <w:proofErr w:type="gramEnd"/>
      <w:r w:rsidR="00D80D4B">
        <w:t>pers. A]</w:t>
      </w:r>
      <w:r w:rsidRPr="00395889">
        <w:rPr>
          <w:color w:val="000000"/>
        </w:rPr>
        <w:t xml:space="preserve"> drošības naudu 7</w:t>
      </w:r>
      <w:r>
        <w:rPr>
          <w:color w:val="000000"/>
        </w:rPr>
        <w:t>0</w:t>
      </w:r>
      <w:r w:rsidRPr="00395889">
        <w:rPr>
          <w:color w:val="000000"/>
        </w:rPr>
        <w:t xml:space="preserve"> </w:t>
      </w:r>
      <w:r w:rsidRPr="00395889">
        <w:rPr>
          <w:i/>
          <w:color w:val="000000"/>
        </w:rPr>
        <w:t>euro</w:t>
      </w:r>
      <w:r w:rsidRPr="00395889">
        <w:rPr>
          <w:color w:val="000000"/>
        </w:rPr>
        <w:t>.</w:t>
      </w:r>
    </w:p>
    <w:p w14:paraId="37CBFD9B" w14:textId="47FB1A43" w:rsidR="00EF299E" w:rsidRPr="005731D5" w:rsidRDefault="0098494B" w:rsidP="0074158E">
      <w:pPr>
        <w:spacing w:line="276" w:lineRule="auto"/>
        <w:ind w:firstLine="720"/>
        <w:jc w:val="both"/>
      </w:pPr>
      <w:r w:rsidRPr="00DC5F44">
        <w:t>Spriedums nav pārsūdzams.</w:t>
      </w:r>
    </w:p>
    <w:sectPr w:rsidR="00EF299E" w:rsidRPr="005731D5" w:rsidSect="007D7C2B">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1A79A" w14:textId="77777777" w:rsidR="00E33D1A" w:rsidRDefault="00E33D1A" w:rsidP="003047F5">
      <w:r>
        <w:separator/>
      </w:r>
    </w:p>
  </w:endnote>
  <w:endnote w:type="continuationSeparator" w:id="0">
    <w:p w14:paraId="030E8D5A" w14:textId="77777777" w:rsidR="00E33D1A" w:rsidRDefault="00E33D1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617602"/>
      <w:docPartObj>
        <w:docPartGallery w:val="Page Numbers (Bottom of Page)"/>
        <w:docPartUnique/>
      </w:docPartObj>
    </w:sdtPr>
    <w:sdtEndPr/>
    <w:sdtContent>
      <w:sdt>
        <w:sdtPr>
          <w:id w:val="1594736012"/>
          <w:docPartObj>
            <w:docPartGallery w:val="Page Numbers (Top of Page)"/>
            <w:docPartUnique/>
          </w:docPartObj>
        </w:sdtPr>
        <w:sdtEndPr/>
        <w:sdtContent>
          <w:p w14:paraId="1DDDD646" w14:textId="77777777" w:rsidR="00B555E6" w:rsidRDefault="00B555E6"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3A5B59">
              <w:rPr>
                <w:bCs/>
                <w:noProof/>
              </w:rPr>
              <w:t>5</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3A5B59">
              <w:rPr>
                <w:bCs/>
                <w:noProof/>
              </w:rPr>
              <w:t>5</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CAC02" w14:textId="77777777" w:rsidR="00E33D1A" w:rsidRDefault="00E33D1A" w:rsidP="003047F5">
      <w:r>
        <w:separator/>
      </w:r>
    </w:p>
  </w:footnote>
  <w:footnote w:type="continuationSeparator" w:id="0">
    <w:p w14:paraId="11DD58F5" w14:textId="77777777" w:rsidR="00E33D1A" w:rsidRDefault="00E33D1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73EC"/>
    <w:rsid w:val="00012B8F"/>
    <w:rsid w:val="00015DF8"/>
    <w:rsid w:val="00030396"/>
    <w:rsid w:val="00030BB1"/>
    <w:rsid w:val="00030C19"/>
    <w:rsid w:val="00031F27"/>
    <w:rsid w:val="000361F6"/>
    <w:rsid w:val="000362D0"/>
    <w:rsid w:val="00043C30"/>
    <w:rsid w:val="00045078"/>
    <w:rsid w:val="00053060"/>
    <w:rsid w:val="0005442B"/>
    <w:rsid w:val="00065377"/>
    <w:rsid w:val="00066CA0"/>
    <w:rsid w:val="00067814"/>
    <w:rsid w:val="00067DCC"/>
    <w:rsid w:val="00086FD4"/>
    <w:rsid w:val="00090E24"/>
    <w:rsid w:val="000919C5"/>
    <w:rsid w:val="00097F4D"/>
    <w:rsid w:val="000A0776"/>
    <w:rsid w:val="000A2E3D"/>
    <w:rsid w:val="000A4E1D"/>
    <w:rsid w:val="000B0C5B"/>
    <w:rsid w:val="000B12BC"/>
    <w:rsid w:val="000B2A55"/>
    <w:rsid w:val="000B6226"/>
    <w:rsid w:val="000B6E27"/>
    <w:rsid w:val="000C4358"/>
    <w:rsid w:val="000C5CA5"/>
    <w:rsid w:val="000D0769"/>
    <w:rsid w:val="000D413F"/>
    <w:rsid w:val="000D4763"/>
    <w:rsid w:val="000D7C20"/>
    <w:rsid w:val="000E5238"/>
    <w:rsid w:val="000F0014"/>
    <w:rsid w:val="000F3BED"/>
    <w:rsid w:val="000F4FBA"/>
    <w:rsid w:val="00100C75"/>
    <w:rsid w:val="00105343"/>
    <w:rsid w:val="001108D8"/>
    <w:rsid w:val="0011091F"/>
    <w:rsid w:val="00114710"/>
    <w:rsid w:val="001270C9"/>
    <w:rsid w:val="0013178F"/>
    <w:rsid w:val="0013473A"/>
    <w:rsid w:val="00136C12"/>
    <w:rsid w:val="0013722C"/>
    <w:rsid w:val="00140BFC"/>
    <w:rsid w:val="001452AC"/>
    <w:rsid w:val="00150BF8"/>
    <w:rsid w:val="00152263"/>
    <w:rsid w:val="00154B90"/>
    <w:rsid w:val="00155FD1"/>
    <w:rsid w:val="00157234"/>
    <w:rsid w:val="00161F5F"/>
    <w:rsid w:val="001646E9"/>
    <w:rsid w:val="00164B82"/>
    <w:rsid w:val="001878BC"/>
    <w:rsid w:val="00190DA6"/>
    <w:rsid w:val="0019238A"/>
    <w:rsid w:val="00192A69"/>
    <w:rsid w:val="00195D41"/>
    <w:rsid w:val="001976F9"/>
    <w:rsid w:val="001A0495"/>
    <w:rsid w:val="001A105D"/>
    <w:rsid w:val="001B1073"/>
    <w:rsid w:val="001C07BB"/>
    <w:rsid w:val="001D16A5"/>
    <w:rsid w:val="001D1713"/>
    <w:rsid w:val="001E2D45"/>
    <w:rsid w:val="001E3A09"/>
    <w:rsid w:val="001F2AF4"/>
    <w:rsid w:val="001F3843"/>
    <w:rsid w:val="001F74BD"/>
    <w:rsid w:val="001F7795"/>
    <w:rsid w:val="00216FA4"/>
    <w:rsid w:val="0022523C"/>
    <w:rsid w:val="002265DF"/>
    <w:rsid w:val="00231292"/>
    <w:rsid w:val="00237F92"/>
    <w:rsid w:val="002453D3"/>
    <w:rsid w:val="00247F99"/>
    <w:rsid w:val="00265E5C"/>
    <w:rsid w:val="00266292"/>
    <w:rsid w:val="002725F4"/>
    <w:rsid w:val="00272C86"/>
    <w:rsid w:val="0027469B"/>
    <w:rsid w:val="0028328F"/>
    <w:rsid w:val="00287404"/>
    <w:rsid w:val="002A3BD5"/>
    <w:rsid w:val="002B2722"/>
    <w:rsid w:val="002B6F73"/>
    <w:rsid w:val="002C0537"/>
    <w:rsid w:val="002C0A6E"/>
    <w:rsid w:val="002C0F02"/>
    <w:rsid w:val="002C21E2"/>
    <w:rsid w:val="002C3086"/>
    <w:rsid w:val="002C7F73"/>
    <w:rsid w:val="002D3FF5"/>
    <w:rsid w:val="002D42AA"/>
    <w:rsid w:val="002D4499"/>
    <w:rsid w:val="002D711E"/>
    <w:rsid w:val="002D7E79"/>
    <w:rsid w:val="002E512D"/>
    <w:rsid w:val="002F1D80"/>
    <w:rsid w:val="002F3370"/>
    <w:rsid w:val="002F53FA"/>
    <w:rsid w:val="002F5970"/>
    <w:rsid w:val="00301519"/>
    <w:rsid w:val="00301B34"/>
    <w:rsid w:val="003032F4"/>
    <w:rsid w:val="003047F5"/>
    <w:rsid w:val="00316CA5"/>
    <w:rsid w:val="003327C6"/>
    <w:rsid w:val="00332BDC"/>
    <w:rsid w:val="00337C6B"/>
    <w:rsid w:val="003449EF"/>
    <w:rsid w:val="00345055"/>
    <w:rsid w:val="00351233"/>
    <w:rsid w:val="0035346E"/>
    <w:rsid w:val="00354461"/>
    <w:rsid w:val="00357437"/>
    <w:rsid w:val="00363B18"/>
    <w:rsid w:val="00363BD0"/>
    <w:rsid w:val="00364EF0"/>
    <w:rsid w:val="003865B3"/>
    <w:rsid w:val="0039183B"/>
    <w:rsid w:val="00391CAB"/>
    <w:rsid w:val="0039654D"/>
    <w:rsid w:val="003A098F"/>
    <w:rsid w:val="003A4775"/>
    <w:rsid w:val="003A55C2"/>
    <w:rsid w:val="003A5B59"/>
    <w:rsid w:val="003A759D"/>
    <w:rsid w:val="003A7D86"/>
    <w:rsid w:val="003B0EFE"/>
    <w:rsid w:val="003B27F0"/>
    <w:rsid w:val="003B3C99"/>
    <w:rsid w:val="003B4898"/>
    <w:rsid w:val="003B56E0"/>
    <w:rsid w:val="003C181A"/>
    <w:rsid w:val="003C45F0"/>
    <w:rsid w:val="003D42EF"/>
    <w:rsid w:val="003D4E8A"/>
    <w:rsid w:val="003D6C7A"/>
    <w:rsid w:val="003E468E"/>
    <w:rsid w:val="003E4F9A"/>
    <w:rsid w:val="003E6346"/>
    <w:rsid w:val="003F7CD2"/>
    <w:rsid w:val="00400743"/>
    <w:rsid w:val="00400EB3"/>
    <w:rsid w:val="00402214"/>
    <w:rsid w:val="004061FD"/>
    <w:rsid w:val="00413238"/>
    <w:rsid w:val="00417519"/>
    <w:rsid w:val="00423552"/>
    <w:rsid w:val="0043182C"/>
    <w:rsid w:val="00431F49"/>
    <w:rsid w:val="00433C43"/>
    <w:rsid w:val="004405F3"/>
    <w:rsid w:val="00442E50"/>
    <w:rsid w:val="00444A4A"/>
    <w:rsid w:val="00446DC3"/>
    <w:rsid w:val="00451EE2"/>
    <w:rsid w:val="004521E6"/>
    <w:rsid w:val="00454EB6"/>
    <w:rsid w:val="00462D9E"/>
    <w:rsid w:val="004760D4"/>
    <w:rsid w:val="00480C1F"/>
    <w:rsid w:val="00482846"/>
    <w:rsid w:val="00483B9F"/>
    <w:rsid w:val="004855D0"/>
    <w:rsid w:val="00486F52"/>
    <w:rsid w:val="00491DEC"/>
    <w:rsid w:val="00492B33"/>
    <w:rsid w:val="00497E84"/>
    <w:rsid w:val="004A3155"/>
    <w:rsid w:val="004A37F2"/>
    <w:rsid w:val="004A401A"/>
    <w:rsid w:val="004A7413"/>
    <w:rsid w:val="004A771C"/>
    <w:rsid w:val="004B5866"/>
    <w:rsid w:val="004B5A9D"/>
    <w:rsid w:val="004C05B7"/>
    <w:rsid w:val="004D003D"/>
    <w:rsid w:val="004D05B9"/>
    <w:rsid w:val="004D1723"/>
    <w:rsid w:val="004D522E"/>
    <w:rsid w:val="004E4C2A"/>
    <w:rsid w:val="004E62CE"/>
    <w:rsid w:val="004F3CB4"/>
    <w:rsid w:val="004F495D"/>
    <w:rsid w:val="004F602B"/>
    <w:rsid w:val="004F6A7F"/>
    <w:rsid w:val="004F7DEE"/>
    <w:rsid w:val="00500208"/>
    <w:rsid w:val="00520BF9"/>
    <w:rsid w:val="005227F2"/>
    <w:rsid w:val="005240F4"/>
    <w:rsid w:val="005317B2"/>
    <w:rsid w:val="005515A0"/>
    <w:rsid w:val="005518C8"/>
    <w:rsid w:val="00553345"/>
    <w:rsid w:val="00553DB5"/>
    <w:rsid w:val="00561A54"/>
    <w:rsid w:val="0056230B"/>
    <w:rsid w:val="00564007"/>
    <w:rsid w:val="00567599"/>
    <w:rsid w:val="005723C1"/>
    <w:rsid w:val="00572870"/>
    <w:rsid w:val="005731D5"/>
    <w:rsid w:val="00577595"/>
    <w:rsid w:val="00581A0A"/>
    <w:rsid w:val="00582C8E"/>
    <w:rsid w:val="005901E2"/>
    <w:rsid w:val="005A1AD5"/>
    <w:rsid w:val="005A3AAD"/>
    <w:rsid w:val="005B1B97"/>
    <w:rsid w:val="005B47B6"/>
    <w:rsid w:val="005B7510"/>
    <w:rsid w:val="005B7639"/>
    <w:rsid w:val="005C1292"/>
    <w:rsid w:val="005C522F"/>
    <w:rsid w:val="005C7466"/>
    <w:rsid w:val="005D06AC"/>
    <w:rsid w:val="005E0257"/>
    <w:rsid w:val="005E04D7"/>
    <w:rsid w:val="005E2285"/>
    <w:rsid w:val="005E3020"/>
    <w:rsid w:val="005E5442"/>
    <w:rsid w:val="005E64E5"/>
    <w:rsid w:val="005E7172"/>
    <w:rsid w:val="005F073C"/>
    <w:rsid w:val="005F1173"/>
    <w:rsid w:val="006020D0"/>
    <w:rsid w:val="006030E8"/>
    <w:rsid w:val="00604A78"/>
    <w:rsid w:val="0060685F"/>
    <w:rsid w:val="00611CB5"/>
    <w:rsid w:val="00627949"/>
    <w:rsid w:val="00627CC9"/>
    <w:rsid w:val="00631EEB"/>
    <w:rsid w:val="006331A7"/>
    <w:rsid w:val="006369AB"/>
    <w:rsid w:val="00637083"/>
    <w:rsid w:val="006424A2"/>
    <w:rsid w:val="006443C9"/>
    <w:rsid w:val="00644740"/>
    <w:rsid w:val="006453CE"/>
    <w:rsid w:val="006453E3"/>
    <w:rsid w:val="00645B64"/>
    <w:rsid w:val="00645B6E"/>
    <w:rsid w:val="006473AC"/>
    <w:rsid w:val="0065294D"/>
    <w:rsid w:val="0065522A"/>
    <w:rsid w:val="00657751"/>
    <w:rsid w:val="006578F9"/>
    <w:rsid w:val="00661F0F"/>
    <w:rsid w:val="0066505B"/>
    <w:rsid w:val="00666F5D"/>
    <w:rsid w:val="00667630"/>
    <w:rsid w:val="00671780"/>
    <w:rsid w:val="00671BC3"/>
    <w:rsid w:val="00671E4B"/>
    <w:rsid w:val="00681DDC"/>
    <w:rsid w:val="00682F6B"/>
    <w:rsid w:val="00687035"/>
    <w:rsid w:val="006908D0"/>
    <w:rsid w:val="006A1367"/>
    <w:rsid w:val="006B147A"/>
    <w:rsid w:val="006B20A9"/>
    <w:rsid w:val="006B4984"/>
    <w:rsid w:val="006B7602"/>
    <w:rsid w:val="006C7AC2"/>
    <w:rsid w:val="006D1639"/>
    <w:rsid w:val="006D3499"/>
    <w:rsid w:val="006D5FEF"/>
    <w:rsid w:val="006E2E0C"/>
    <w:rsid w:val="006E344D"/>
    <w:rsid w:val="006E7125"/>
    <w:rsid w:val="006F192A"/>
    <w:rsid w:val="006F37B7"/>
    <w:rsid w:val="006F576D"/>
    <w:rsid w:val="006F5D3B"/>
    <w:rsid w:val="006F728F"/>
    <w:rsid w:val="00705102"/>
    <w:rsid w:val="007062F0"/>
    <w:rsid w:val="007157DC"/>
    <w:rsid w:val="00730B9C"/>
    <w:rsid w:val="00730EC1"/>
    <w:rsid w:val="007317FA"/>
    <w:rsid w:val="00736FA6"/>
    <w:rsid w:val="00737C58"/>
    <w:rsid w:val="007410BA"/>
    <w:rsid w:val="0074158E"/>
    <w:rsid w:val="00744130"/>
    <w:rsid w:val="00745C15"/>
    <w:rsid w:val="0075042B"/>
    <w:rsid w:val="00750886"/>
    <w:rsid w:val="007513E1"/>
    <w:rsid w:val="00761071"/>
    <w:rsid w:val="007630F4"/>
    <w:rsid w:val="00764D78"/>
    <w:rsid w:val="00770491"/>
    <w:rsid w:val="00772536"/>
    <w:rsid w:val="00772C19"/>
    <w:rsid w:val="00776DD3"/>
    <w:rsid w:val="007804AD"/>
    <w:rsid w:val="00783F89"/>
    <w:rsid w:val="00792CA7"/>
    <w:rsid w:val="00792FFE"/>
    <w:rsid w:val="007941B5"/>
    <w:rsid w:val="007A00E8"/>
    <w:rsid w:val="007A37DD"/>
    <w:rsid w:val="007A5E2A"/>
    <w:rsid w:val="007A7954"/>
    <w:rsid w:val="007B6108"/>
    <w:rsid w:val="007C2941"/>
    <w:rsid w:val="007C2FD5"/>
    <w:rsid w:val="007D0DEA"/>
    <w:rsid w:val="007D7C2B"/>
    <w:rsid w:val="007E6143"/>
    <w:rsid w:val="007F123C"/>
    <w:rsid w:val="007F3168"/>
    <w:rsid w:val="007F5090"/>
    <w:rsid w:val="007F61F8"/>
    <w:rsid w:val="007F743F"/>
    <w:rsid w:val="007F7597"/>
    <w:rsid w:val="0080072E"/>
    <w:rsid w:val="008007E9"/>
    <w:rsid w:val="008017FB"/>
    <w:rsid w:val="0080560A"/>
    <w:rsid w:val="00805BB4"/>
    <w:rsid w:val="00807ED1"/>
    <w:rsid w:val="00811A23"/>
    <w:rsid w:val="0081254E"/>
    <w:rsid w:val="00815085"/>
    <w:rsid w:val="008225F2"/>
    <w:rsid w:val="008313DD"/>
    <w:rsid w:val="00831738"/>
    <w:rsid w:val="008319B0"/>
    <w:rsid w:val="00833139"/>
    <w:rsid w:val="00837015"/>
    <w:rsid w:val="00837903"/>
    <w:rsid w:val="00837C0D"/>
    <w:rsid w:val="00840ED4"/>
    <w:rsid w:val="00842941"/>
    <w:rsid w:val="00842A09"/>
    <w:rsid w:val="00845A3C"/>
    <w:rsid w:val="008507D5"/>
    <w:rsid w:val="0085275E"/>
    <w:rsid w:val="00852B7C"/>
    <w:rsid w:val="00852E52"/>
    <w:rsid w:val="0085474C"/>
    <w:rsid w:val="00855B82"/>
    <w:rsid w:val="00862673"/>
    <w:rsid w:val="00862693"/>
    <w:rsid w:val="0087084E"/>
    <w:rsid w:val="00873A7F"/>
    <w:rsid w:val="00875BCD"/>
    <w:rsid w:val="0087635F"/>
    <w:rsid w:val="008831B2"/>
    <w:rsid w:val="00884B71"/>
    <w:rsid w:val="008911D0"/>
    <w:rsid w:val="0089174C"/>
    <w:rsid w:val="008A3769"/>
    <w:rsid w:val="008A54EB"/>
    <w:rsid w:val="008A57EE"/>
    <w:rsid w:val="008A67D3"/>
    <w:rsid w:val="008B0F4C"/>
    <w:rsid w:val="008B491C"/>
    <w:rsid w:val="008B4E2A"/>
    <w:rsid w:val="008C6CF1"/>
    <w:rsid w:val="008D4AFD"/>
    <w:rsid w:val="008D6DD4"/>
    <w:rsid w:val="008E2EC3"/>
    <w:rsid w:val="008E4AC3"/>
    <w:rsid w:val="008E518D"/>
    <w:rsid w:val="008E69E9"/>
    <w:rsid w:val="008F59C2"/>
    <w:rsid w:val="008F7ACE"/>
    <w:rsid w:val="00904DF2"/>
    <w:rsid w:val="00907692"/>
    <w:rsid w:val="00916FB4"/>
    <w:rsid w:val="0091784D"/>
    <w:rsid w:val="0093018D"/>
    <w:rsid w:val="0093325D"/>
    <w:rsid w:val="00933E0F"/>
    <w:rsid w:val="0094371A"/>
    <w:rsid w:val="00946E07"/>
    <w:rsid w:val="009525B6"/>
    <w:rsid w:val="00962A99"/>
    <w:rsid w:val="009639F7"/>
    <w:rsid w:val="00965EA7"/>
    <w:rsid w:val="00965F24"/>
    <w:rsid w:val="009662E2"/>
    <w:rsid w:val="009805E2"/>
    <w:rsid w:val="00983A90"/>
    <w:rsid w:val="0098494B"/>
    <w:rsid w:val="00985778"/>
    <w:rsid w:val="009867DF"/>
    <w:rsid w:val="00986FA3"/>
    <w:rsid w:val="00987417"/>
    <w:rsid w:val="00987467"/>
    <w:rsid w:val="00990247"/>
    <w:rsid w:val="009925C6"/>
    <w:rsid w:val="00993D19"/>
    <w:rsid w:val="009B067A"/>
    <w:rsid w:val="009B4D13"/>
    <w:rsid w:val="009B6208"/>
    <w:rsid w:val="009C05E2"/>
    <w:rsid w:val="009C0E67"/>
    <w:rsid w:val="009C23E7"/>
    <w:rsid w:val="009D26CD"/>
    <w:rsid w:val="009D46A4"/>
    <w:rsid w:val="009D5835"/>
    <w:rsid w:val="009D6280"/>
    <w:rsid w:val="009D74CB"/>
    <w:rsid w:val="009E5B0D"/>
    <w:rsid w:val="009E6096"/>
    <w:rsid w:val="00A00062"/>
    <w:rsid w:val="00A27436"/>
    <w:rsid w:val="00A31E86"/>
    <w:rsid w:val="00A34102"/>
    <w:rsid w:val="00A43269"/>
    <w:rsid w:val="00A437E1"/>
    <w:rsid w:val="00A44C46"/>
    <w:rsid w:val="00A45AA4"/>
    <w:rsid w:val="00A46BE5"/>
    <w:rsid w:val="00A5498E"/>
    <w:rsid w:val="00A605D4"/>
    <w:rsid w:val="00A677DC"/>
    <w:rsid w:val="00A73AA3"/>
    <w:rsid w:val="00A75BFF"/>
    <w:rsid w:val="00A76596"/>
    <w:rsid w:val="00A765BC"/>
    <w:rsid w:val="00A8165E"/>
    <w:rsid w:val="00A831F1"/>
    <w:rsid w:val="00A835A9"/>
    <w:rsid w:val="00A84421"/>
    <w:rsid w:val="00A851D7"/>
    <w:rsid w:val="00A855D9"/>
    <w:rsid w:val="00A87F14"/>
    <w:rsid w:val="00A90B4A"/>
    <w:rsid w:val="00A9404A"/>
    <w:rsid w:val="00AA6DDA"/>
    <w:rsid w:val="00AB7BC6"/>
    <w:rsid w:val="00AC0285"/>
    <w:rsid w:val="00AC22C3"/>
    <w:rsid w:val="00AC63E0"/>
    <w:rsid w:val="00AC75D0"/>
    <w:rsid w:val="00AD4EFE"/>
    <w:rsid w:val="00AD754F"/>
    <w:rsid w:val="00AE1567"/>
    <w:rsid w:val="00AF151A"/>
    <w:rsid w:val="00AF2853"/>
    <w:rsid w:val="00AF4353"/>
    <w:rsid w:val="00AF76B8"/>
    <w:rsid w:val="00AF7AE4"/>
    <w:rsid w:val="00B00A8B"/>
    <w:rsid w:val="00B01507"/>
    <w:rsid w:val="00B03963"/>
    <w:rsid w:val="00B0715A"/>
    <w:rsid w:val="00B075A8"/>
    <w:rsid w:val="00B11B22"/>
    <w:rsid w:val="00B11B80"/>
    <w:rsid w:val="00B26701"/>
    <w:rsid w:val="00B27DFB"/>
    <w:rsid w:val="00B3327A"/>
    <w:rsid w:val="00B33339"/>
    <w:rsid w:val="00B42AE1"/>
    <w:rsid w:val="00B43FAA"/>
    <w:rsid w:val="00B50C6E"/>
    <w:rsid w:val="00B51CA5"/>
    <w:rsid w:val="00B53020"/>
    <w:rsid w:val="00B53185"/>
    <w:rsid w:val="00B538B8"/>
    <w:rsid w:val="00B555E6"/>
    <w:rsid w:val="00B5678E"/>
    <w:rsid w:val="00B56B13"/>
    <w:rsid w:val="00B57A3F"/>
    <w:rsid w:val="00B633B6"/>
    <w:rsid w:val="00B74AA3"/>
    <w:rsid w:val="00B75DDD"/>
    <w:rsid w:val="00B77146"/>
    <w:rsid w:val="00B93BC8"/>
    <w:rsid w:val="00B93D11"/>
    <w:rsid w:val="00B95692"/>
    <w:rsid w:val="00B96FBD"/>
    <w:rsid w:val="00BA1098"/>
    <w:rsid w:val="00BA6B8A"/>
    <w:rsid w:val="00BB33B4"/>
    <w:rsid w:val="00BB4182"/>
    <w:rsid w:val="00BB4900"/>
    <w:rsid w:val="00BB590A"/>
    <w:rsid w:val="00BC0810"/>
    <w:rsid w:val="00BC28D8"/>
    <w:rsid w:val="00BC47BE"/>
    <w:rsid w:val="00BD492B"/>
    <w:rsid w:val="00BE000E"/>
    <w:rsid w:val="00BE31B9"/>
    <w:rsid w:val="00BE505C"/>
    <w:rsid w:val="00BE507D"/>
    <w:rsid w:val="00BE768E"/>
    <w:rsid w:val="00BF3EBE"/>
    <w:rsid w:val="00BF57DF"/>
    <w:rsid w:val="00BF5AE1"/>
    <w:rsid w:val="00BF65AA"/>
    <w:rsid w:val="00BF6874"/>
    <w:rsid w:val="00BF6E2A"/>
    <w:rsid w:val="00C0214E"/>
    <w:rsid w:val="00C1079F"/>
    <w:rsid w:val="00C11A12"/>
    <w:rsid w:val="00C13882"/>
    <w:rsid w:val="00C14825"/>
    <w:rsid w:val="00C20391"/>
    <w:rsid w:val="00C21BCA"/>
    <w:rsid w:val="00C27FED"/>
    <w:rsid w:val="00C35BF5"/>
    <w:rsid w:val="00C35FB7"/>
    <w:rsid w:val="00C415AF"/>
    <w:rsid w:val="00C429F3"/>
    <w:rsid w:val="00C45287"/>
    <w:rsid w:val="00C47EA5"/>
    <w:rsid w:val="00C51156"/>
    <w:rsid w:val="00C528E7"/>
    <w:rsid w:val="00C54209"/>
    <w:rsid w:val="00C57C6B"/>
    <w:rsid w:val="00C60925"/>
    <w:rsid w:val="00C631ED"/>
    <w:rsid w:val="00C6375A"/>
    <w:rsid w:val="00C644B5"/>
    <w:rsid w:val="00C64657"/>
    <w:rsid w:val="00C70F5A"/>
    <w:rsid w:val="00C72608"/>
    <w:rsid w:val="00C736C0"/>
    <w:rsid w:val="00C75110"/>
    <w:rsid w:val="00C82FAC"/>
    <w:rsid w:val="00C870C4"/>
    <w:rsid w:val="00C904C8"/>
    <w:rsid w:val="00C955E0"/>
    <w:rsid w:val="00C96717"/>
    <w:rsid w:val="00CA2868"/>
    <w:rsid w:val="00CB30F2"/>
    <w:rsid w:val="00CC0097"/>
    <w:rsid w:val="00CC4101"/>
    <w:rsid w:val="00CD1AA9"/>
    <w:rsid w:val="00CD441A"/>
    <w:rsid w:val="00CD4CA9"/>
    <w:rsid w:val="00CD4D58"/>
    <w:rsid w:val="00CD5FB8"/>
    <w:rsid w:val="00CE21DB"/>
    <w:rsid w:val="00CF6A2A"/>
    <w:rsid w:val="00D04280"/>
    <w:rsid w:val="00D06273"/>
    <w:rsid w:val="00D06F80"/>
    <w:rsid w:val="00D15826"/>
    <w:rsid w:val="00D1690B"/>
    <w:rsid w:val="00D222EE"/>
    <w:rsid w:val="00D2444B"/>
    <w:rsid w:val="00D24E59"/>
    <w:rsid w:val="00D354A0"/>
    <w:rsid w:val="00D37711"/>
    <w:rsid w:val="00D562D5"/>
    <w:rsid w:val="00D56D04"/>
    <w:rsid w:val="00D65BF0"/>
    <w:rsid w:val="00D7028E"/>
    <w:rsid w:val="00D70869"/>
    <w:rsid w:val="00D758C6"/>
    <w:rsid w:val="00D75F5C"/>
    <w:rsid w:val="00D80D4B"/>
    <w:rsid w:val="00D80E82"/>
    <w:rsid w:val="00D81260"/>
    <w:rsid w:val="00D972C4"/>
    <w:rsid w:val="00DA0F34"/>
    <w:rsid w:val="00DA1FBE"/>
    <w:rsid w:val="00DA5E20"/>
    <w:rsid w:val="00DB3196"/>
    <w:rsid w:val="00DB5FD3"/>
    <w:rsid w:val="00DB69BD"/>
    <w:rsid w:val="00DC28DC"/>
    <w:rsid w:val="00DD322E"/>
    <w:rsid w:val="00DD3343"/>
    <w:rsid w:val="00DE028A"/>
    <w:rsid w:val="00DE2B34"/>
    <w:rsid w:val="00DF2446"/>
    <w:rsid w:val="00E04906"/>
    <w:rsid w:val="00E07155"/>
    <w:rsid w:val="00E07CFE"/>
    <w:rsid w:val="00E1009B"/>
    <w:rsid w:val="00E1195B"/>
    <w:rsid w:val="00E15A40"/>
    <w:rsid w:val="00E23C0A"/>
    <w:rsid w:val="00E25A39"/>
    <w:rsid w:val="00E26A2F"/>
    <w:rsid w:val="00E27730"/>
    <w:rsid w:val="00E3039A"/>
    <w:rsid w:val="00E326EE"/>
    <w:rsid w:val="00E334C6"/>
    <w:rsid w:val="00E33D1A"/>
    <w:rsid w:val="00E44305"/>
    <w:rsid w:val="00E57B03"/>
    <w:rsid w:val="00E72045"/>
    <w:rsid w:val="00E76FE1"/>
    <w:rsid w:val="00E8021D"/>
    <w:rsid w:val="00E83F62"/>
    <w:rsid w:val="00E93830"/>
    <w:rsid w:val="00E9754E"/>
    <w:rsid w:val="00EA3737"/>
    <w:rsid w:val="00EA64DA"/>
    <w:rsid w:val="00EA7B99"/>
    <w:rsid w:val="00EB2B18"/>
    <w:rsid w:val="00EB7A25"/>
    <w:rsid w:val="00EC3AA7"/>
    <w:rsid w:val="00EC5248"/>
    <w:rsid w:val="00EC624E"/>
    <w:rsid w:val="00EE31F7"/>
    <w:rsid w:val="00EE4CDF"/>
    <w:rsid w:val="00EE683F"/>
    <w:rsid w:val="00EF299E"/>
    <w:rsid w:val="00EF2A1B"/>
    <w:rsid w:val="00EF2B2F"/>
    <w:rsid w:val="00EF67DE"/>
    <w:rsid w:val="00F0340D"/>
    <w:rsid w:val="00F0423C"/>
    <w:rsid w:val="00F05F6B"/>
    <w:rsid w:val="00F14DBA"/>
    <w:rsid w:val="00F17B63"/>
    <w:rsid w:val="00F20D0E"/>
    <w:rsid w:val="00F24B54"/>
    <w:rsid w:val="00F31AA9"/>
    <w:rsid w:val="00F3481C"/>
    <w:rsid w:val="00F40CC4"/>
    <w:rsid w:val="00F416A7"/>
    <w:rsid w:val="00F426AF"/>
    <w:rsid w:val="00F502CE"/>
    <w:rsid w:val="00F53FFD"/>
    <w:rsid w:val="00F578F1"/>
    <w:rsid w:val="00F6057F"/>
    <w:rsid w:val="00F66413"/>
    <w:rsid w:val="00F71954"/>
    <w:rsid w:val="00F72170"/>
    <w:rsid w:val="00F73661"/>
    <w:rsid w:val="00F7449A"/>
    <w:rsid w:val="00F75E1C"/>
    <w:rsid w:val="00F853B6"/>
    <w:rsid w:val="00F874EA"/>
    <w:rsid w:val="00F94B3B"/>
    <w:rsid w:val="00F97434"/>
    <w:rsid w:val="00FA07A8"/>
    <w:rsid w:val="00FA5942"/>
    <w:rsid w:val="00FA72A9"/>
    <w:rsid w:val="00FA7704"/>
    <w:rsid w:val="00FB1332"/>
    <w:rsid w:val="00FB15F2"/>
    <w:rsid w:val="00FB48D6"/>
    <w:rsid w:val="00FB6570"/>
    <w:rsid w:val="00FC002C"/>
    <w:rsid w:val="00FC0A61"/>
    <w:rsid w:val="00FC1610"/>
    <w:rsid w:val="00FC287C"/>
    <w:rsid w:val="00FC431A"/>
    <w:rsid w:val="00FC5AE2"/>
    <w:rsid w:val="00FD1A20"/>
    <w:rsid w:val="00FD2F22"/>
    <w:rsid w:val="00FD7B8C"/>
    <w:rsid w:val="00FE7741"/>
    <w:rsid w:val="00FF1EC0"/>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90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247F99"/>
    <w:rPr>
      <w:sz w:val="16"/>
      <w:szCs w:val="16"/>
    </w:rPr>
  </w:style>
  <w:style w:type="paragraph" w:styleId="CommentText">
    <w:name w:val="annotation text"/>
    <w:basedOn w:val="Normal"/>
    <w:link w:val="CommentTextChar"/>
    <w:uiPriority w:val="99"/>
    <w:semiHidden/>
    <w:unhideWhenUsed/>
    <w:rsid w:val="00247F99"/>
    <w:rPr>
      <w:sz w:val="20"/>
      <w:szCs w:val="20"/>
    </w:rPr>
  </w:style>
  <w:style w:type="character" w:customStyle="1" w:styleId="CommentTextChar">
    <w:name w:val="Comment Text Char"/>
    <w:basedOn w:val="DefaultParagraphFont"/>
    <w:link w:val="CommentText"/>
    <w:uiPriority w:val="99"/>
    <w:semiHidden/>
    <w:rsid w:val="00247F9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47F99"/>
    <w:rPr>
      <w:b/>
      <w:bCs/>
    </w:rPr>
  </w:style>
  <w:style w:type="character" w:customStyle="1" w:styleId="CommentSubjectChar">
    <w:name w:val="Comment Subject Char"/>
    <w:basedOn w:val="CommentTextChar"/>
    <w:link w:val="CommentSubject"/>
    <w:uiPriority w:val="99"/>
    <w:semiHidden/>
    <w:rsid w:val="00247F99"/>
    <w:rPr>
      <w:rFonts w:eastAsia="Times New Roman" w:cs="Times New Roman"/>
      <w:b/>
      <w:bCs/>
      <w:sz w:val="20"/>
      <w:szCs w:val="20"/>
      <w:lang w:eastAsia="ru-RU"/>
    </w:rPr>
  </w:style>
  <w:style w:type="paragraph" w:customStyle="1" w:styleId="s30eec3f8">
    <w:name w:val="s30eec3f8"/>
    <w:basedOn w:val="Normal"/>
    <w:rsid w:val="00D06273"/>
    <w:pPr>
      <w:spacing w:before="100" w:beforeAutospacing="1" w:after="100" w:afterAutospacing="1"/>
    </w:pPr>
    <w:rPr>
      <w:lang w:eastAsia="lv-LV"/>
    </w:rPr>
  </w:style>
  <w:style w:type="character" w:customStyle="1" w:styleId="sb8d990e2">
    <w:name w:val="sb8d990e2"/>
    <w:basedOn w:val="DefaultParagraphFont"/>
    <w:rsid w:val="00D06273"/>
  </w:style>
  <w:style w:type="paragraph" w:customStyle="1" w:styleId="sc9a68b25">
    <w:name w:val="sc9a68b25"/>
    <w:basedOn w:val="Normal"/>
    <w:rsid w:val="00D06273"/>
    <w:pPr>
      <w:spacing w:before="100" w:beforeAutospacing="1" w:after="100" w:afterAutospacing="1"/>
    </w:pPr>
    <w:rPr>
      <w:lang w:eastAsia="lv-LV"/>
    </w:rPr>
  </w:style>
  <w:style w:type="character" w:customStyle="1" w:styleId="sdfc50a6a">
    <w:name w:val="sdfc50a6a"/>
    <w:basedOn w:val="DefaultParagraphFont"/>
    <w:rsid w:val="00D06273"/>
  </w:style>
  <w:style w:type="character" w:customStyle="1" w:styleId="wordhighlighted">
    <w:name w:val="wordhighlighted"/>
    <w:basedOn w:val="DefaultParagraphFont"/>
    <w:rsid w:val="00D06273"/>
  </w:style>
  <w:style w:type="character" w:customStyle="1" w:styleId="column">
    <w:name w:val="column"/>
    <w:basedOn w:val="DefaultParagraphFont"/>
    <w:rsid w:val="00D06273"/>
  </w:style>
  <w:style w:type="character" w:customStyle="1" w:styleId="s6b621b36">
    <w:name w:val="s6b621b36"/>
    <w:basedOn w:val="DefaultParagraphFont"/>
    <w:rsid w:val="0048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20141785">
      <w:bodyDiv w:val="1"/>
      <w:marLeft w:val="0"/>
      <w:marRight w:val="0"/>
      <w:marTop w:val="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 w:id="366952793">
          <w:marLeft w:val="0"/>
          <w:marRight w:val="0"/>
          <w:marTop w:val="0"/>
          <w:marBottom w:val="0"/>
          <w:divBdr>
            <w:top w:val="none" w:sz="0" w:space="0" w:color="auto"/>
            <w:left w:val="none" w:sz="0" w:space="0" w:color="auto"/>
            <w:bottom w:val="none" w:sz="0" w:space="0" w:color="auto"/>
            <w:right w:val="none" w:sz="0" w:space="0" w:color="auto"/>
          </w:divBdr>
        </w:div>
      </w:divsChild>
    </w:div>
    <w:div w:id="257713769">
      <w:bodyDiv w:val="1"/>
      <w:marLeft w:val="0"/>
      <w:marRight w:val="0"/>
      <w:marTop w:val="0"/>
      <w:marBottom w:val="0"/>
      <w:divBdr>
        <w:top w:val="none" w:sz="0" w:space="0" w:color="auto"/>
        <w:left w:val="none" w:sz="0" w:space="0" w:color="auto"/>
        <w:bottom w:val="none" w:sz="0" w:space="0" w:color="auto"/>
        <w:right w:val="none" w:sz="0" w:space="0" w:color="auto"/>
      </w:divBdr>
      <w:divsChild>
        <w:div w:id="1631745545">
          <w:marLeft w:val="0"/>
          <w:marRight w:val="0"/>
          <w:marTop w:val="0"/>
          <w:marBottom w:val="0"/>
          <w:divBdr>
            <w:top w:val="none" w:sz="0" w:space="0" w:color="auto"/>
            <w:left w:val="none" w:sz="0" w:space="0" w:color="auto"/>
            <w:bottom w:val="none" w:sz="0" w:space="0" w:color="auto"/>
            <w:right w:val="none" w:sz="0" w:space="0" w:color="auto"/>
          </w:divBdr>
        </w:div>
        <w:div w:id="1783305651">
          <w:marLeft w:val="0"/>
          <w:marRight w:val="0"/>
          <w:marTop w:val="0"/>
          <w:marBottom w:val="0"/>
          <w:divBdr>
            <w:top w:val="none" w:sz="0" w:space="0" w:color="auto"/>
            <w:left w:val="none" w:sz="0" w:space="0" w:color="auto"/>
            <w:bottom w:val="none" w:sz="0" w:space="0" w:color="auto"/>
            <w:right w:val="none" w:sz="0" w:space="0" w:color="auto"/>
          </w:divBdr>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68579276">
      <w:bodyDiv w:val="1"/>
      <w:marLeft w:val="0"/>
      <w:marRight w:val="0"/>
      <w:marTop w:val="0"/>
      <w:marBottom w:val="0"/>
      <w:divBdr>
        <w:top w:val="none" w:sz="0" w:space="0" w:color="auto"/>
        <w:left w:val="none" w:sz="0" w:space="0" w:color="auto"/>
        <w:bottom w:val="none" w:sz="0" w:space="0" w:color="auto"/>
        <w:right w:val="none" w:sz="0" w:space="0" w:color="auto"/>
      </w:divBdr>
      <w:divsChild>
        <w:div w:id="686954757">
          <w:marLeft w:val="0"/>
          <w:marRight w:val="0"/>
          <w:marTop w:val="0"/>
          <w:marBottom w:val="0"/>
          <w:divBdr>
            <w:top w:val="none" w:sz="0" w:space="0" w:color="auto"/>
            <w:left w:val="none" w:sz="0" w:space="0" w:color="auto"/>
            <w:bottom w:val="none" w:sz="0" w:space="0" w:color="auto"/>
            <w:right w:val="none" w:sz="0" w:space="0" w:color="auto"/>
          </w:divBdr>
        </w:div>
        <w:div w:id="1835611644">
          <w:marLeft w:val="0"/>
          <w:marRight w:val="0"/>
          <w:marTop w:val="0"/>
          <w:marBottom w:val="0"/>
          <w:divBdr>
            <w:top w:val="none" w:sz="0" w:space="0" w:color="auto"/>
            <w:left w:val="none" w:sz="0" w:space="0" w:color="auto"/>
            <w:bottom w:val="none" w:sz="0" w:space="0" w:color="auto"/>
            <w:right w:val="none" w:sz="0" w:space="0" w:color="auto"/>
          </w:divBdr>
        </w:div>
      </w:divsChild>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965307304">
      <w:bodyDiv w:val="1"/>
      <w:marLeft w:val="0"/>
      <w:marRight w:val="0"/>
      <w:marTop w:val="0"/>
      <w:marBottom w:val="0"/>
      <w:divBdr>
        <w:top w:val="none" w:sz="0" w:space="0" w:color="auto"/>
        <w:left w:val="none" w:sz="0" w:space="0" w:color="auto"/>
        <w:bottom w:val="none" w:sz="0" w:space="0" w:color="auto"/>
        <w:right w:val="none" w:sz="0" w:space="0" w:color="auto"/>
      </w:divBdr>
    </w:div>
    <w:div w:id="1092582901">
      <w:bodyDiv w:val="1"/>
      <w:marLeft w:val="0"/>
      <w:marRight w:val="0"/>
      <w:marTop w:val="0"/>
      <w:marBottom w:val="0"/>
      <w:divBdr>
        <w:top w:val="none" w:sz="0" w:space="0" w:color="auto"/>
        <w:left w:val="none" w:sz="0" w:space="0" w:color="auto"/>
        <w:bottom w:val="none" w:sz="0" w:space="0" w:color="auto"/>
        <w:right w:val="none" w:sz="0" w:space="0" w:color="auto"/>
      </w:divBdr>
    </w:div>
    <w:div w:id="1109547687">
      <w:bodyDiv w:val="1"/>
      <w:marLeft w:val="0"/>
      <w:marRight w:val="0"/>
      <w:marTop w:val="0"/>
      <w:marBottom w:val="0"/>
      <w:divBdr>
        <w:top w:val="none" w:sz="0" w:space="0" w:color="auto"/>
        <w:left w:val="none" w:sz="0" w:space="0" w:color="auto"/>
        <w:bottom w:val="none" w:sz="0" w:space="0" w:color="auto"/>
        <w:right w:val="none" w:sz="0" w:space="0" w:color="auto"/>
      </w:divBdr>
    </w:div>
    <w:div w:id="1141730991">
      <w:bodyDiv w:val="1"/>
      <w:marLeft w:val="0"/>
      <w:marRight w:val="0"/>
      <w:marTop w:val="0"/>
      <w:marBottom w:val="0"/>
      <w:divBdr>
        <w:top w:val="none" w:sz="0" w:space="0" w:color="auto"/>
        <w:left w:val="none" w:sz="0" w:space="0" w:color="auto"/>
        <w:bottom w:val="none" w:sz="0" w:space="0" w:color="auto"/>
        <w:right w:val="none" w:sz="0" w:space="0" w:color="auto"/>
      </w:divBdr>
      <w:divsChild>
        <w:div w:id="2099714442">
          <w:marLeft w:val="0"/>
          <w:marRight w:val="0"/>
          <w:marTop w:val="0"/>
          <w:marBottom w:val="0"/>
          <w:divBdr>
            <w:top w:val="none" w:sz="0" w:space="0" w:color="auto"/>
            <w:left w:val="none" w:sz="0" w:space="0" w:color="auto"/>
            <w:bottom w:val="none" w:sz="0" w:space="0" w:color="auto"/>
            <w:right w:val="none" w:sz="0" w:space="0" w:color="auto"/>
          </w:divBdr>
        </w:div>
        <w:div w:id="1559435127">
          <w:marLeft w:val="0"/>
          <w:marRight w:val="0"/>
          <w:marTop w:val="0"/>
          <w:marBottom w:val="0"/>
          <w:divBdr>
            <w:top w:val="none" w:sz="0" w:space="0" w:color="auto"/>
            <w:left w:val="none" w:sz="0" w:space="0" w:color="auto"/>
            <w:bottom w:val="none" w:sz="0" w:space="0" w:color="auto"/>
            <w:right w:val="none" w:sz="0" w:space="0" w:color="auto"/>
          </w:divBdr>
        </w:div>
      </w:divsChild>
    </w:div>
    <w:div w:id="1398433128">
      <w:bodyDiv w:val="1"/>
      <w:marLeft w:val="0"/>
      <w:marRight w:val="0"/>
      <w:marTop w:val="0"/>
      <w:marBottom w:val="0"/>
      <w:divBdr>
        <w:top w:val="none" w:sz="0" w:space="0" w:color="auto"/>
        <w:left w:val="none" w:sz="0" w:space="0" w:color="auto"/>
        <w:bottom w:val="none" w:sz="0" w:space="0" w:color="auto"/>
        <w:right w:val="none" w:sz="0" w:space="0" w:color="auto"/>
      </w:divBdr>
    </w:div>
    <w:div w:id="1423263699">
      <w:bodyDiv w:val="1"/>
      <w:marLeft w:val="0"/>
      <w:marRight w:val="0"/>
      <w:marTop w:val="0"/>
      <w:marBottom w:val="0"/>
      <w:divBdr>
        <w:top w:val="none" w:sz="0" w:space="0" w:color="auto"/>
        <w:left w:val="none" w:sz="0" w:space="0" w:color="auto"/>
        <w:bottom w:val="none" w:sz="0" w:space="0" w:color="auto"/>
        <w:right w:val="none" w:sz="0" w:space="0" w:color="auto"/>
      </w:divBdr>
    </w:div>
    <w:div w:id="1455057810">
      <w:bodyDiv w:val="1"/>
      <w:marLeft w:val="0"/>
      <w:marRight w:val="0"/>
      <w:marTop w:val="0"/>
      <w:marBottom w:val="0"/>
      <w:divBdr>
        <w:top w:val="none" w:sz="0" w:space="0" w:color="auto"/>
        <w:left w:val="none" w:sz="0" w:space="0" w:color="auto"/>
        <w:bottom w:val="none" w:sz="0" w:space="0" w:color="auto"/>
        <w:right w:val="none" w:sz="0" w:space="0" w:color="auto"/>
      </w:divBdr>
    </w:div>
    <w:div w:id="1488473061">
      <w:bodyDiv w:val="1"/>
      <w:marLeft w:val="0"/>
      <w:marRight w:val="0"/>
      <w:marTop w:val="0"/>
      <w:marBottom w:val="0"/>
      <w:divBdr>
        <w:top w:val="none" w:sz="0" w:space="0" w:color="auto"/>
        <w:left w:val="none" w:sz="0" w:space="0" w:color="auto"/>
        <w:bottom w:val="none" w:sz="0" w:space="0" w:color="auto"/>
        <w:right w:val="none" w:sz="0" w:space="0" w:color="auto"/>
      </w:divBdr>
    </w:div>
    <w:div w:id="1569413217">
      <w:bodyDiv w:val="1"/>
      <w:marLeft w:val="0"/>
      <w:marRight w:val="0"/>
      <w:marTop w:val="0"/>
      <w:marBottom w:val="0"/>
      <w:divBdr>
        <w:top w:val="none" w:sz="0" w:space="0" w:color="auto"/>
        <w:left w:val="none" w:sz="0" w:space="0" w:color="auto"/>
        <w:bottom w:val="none" w:sz="0" w:space="0" w:color="auto"/>
        <w:right w:val="none" w:sz="0" w:space="0" w:color="auto"/>
      </w:divBdr>
      <w:divsChild>
        <w:div w:id="211234942">
          <w:marLeft w:val="0"/>
          <w:marRight w:val="0"/>
          <w:marTop w:val="0"/>
          <w:marBottom w:val="0"/>
          <w:divBdr>
            <w:top w:val="none" w:sz="0" w:space="0" w:color="auto"/>
            <w:left w:val="none" w:sz="0" w:space="0" w:color="auto"/>
            <w:bottom w:val="none" w:sz="0" w:space="0" w:color="auto"/>
            <w:right w:val="none" w:sz="0" w:space="0" w:color="auto"/>
          </w:divBdr>
        </w:div>
        <w:div w:id="1801991848">
          <w:marLeft w:val="0"/>
          <w:marRight w:val="0"/>
          <w:marTop w:val="0"/>
          <w:marBottom w:val="0"/>
          <w:divBdr>
            <w:top w:val="none" w:sz="0" w:space="0" w:color="auto"/>
            <w:left w:val="none" w:sz="0" w:space="0" w:color="auto"/>
            <w:bottom w:val="none" w:sz="0" w:space="0" w:color="auto"/>
            <w:right w:val="none" w:sz="0" w:space="0" w:color="auto"/>
          </w:divBdr>
        </w:div>
      </w:divsChild>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836064906">
      <w:bodyDiv w:val="1"/>
      <w:marLeft w:val="0"/>
      <w:marRight w:val="0"/>
      <w:marTop w:val="0"/>
      <w:marBottom w:val="0"/>
      <w:divBdr>
        <w:top w:val="none" w:sz="0" w:space="0" w:color="auto"/>
        <w:left w:val="none" w:sz="0" w:space="0" w:color="auto"/>
        <w:bottom w:val="none" w:sz="0" w:space="0" w:color="auto"/>
        <w:right w:val="none" w:sz="0" w:space="0" w:color="auto"/>
      </w:divBdr>
    </w:div>
    <w:div w:id="1866359716">
      <w:bodyDiv w:val="1"/>
      <w:marLeft w:val="0"/>
      <w:marRight w:val="0"/>
      <w:marTop w:val="0"/>
      <w:marBottom w:val="0"/>
      <w:divBdr>
        <w:top w:val="none" w:sz="0" w:space="0" w:color="auto"/>
        <w:left w:val="none" w:sz="0" w:space="0" w:color="auto"/>
        <w:bottom w:val="none" w:sz="0" w:space="0" w:color="auto"/>
        <w:right w:val="none" w:sz="0" w:space="0" w:color="auto"/>
      </w:divBdr>
    </w:div>
    <w:div w:id="1874540708">
      <w:bodyDiv w:val="1"/>
      <w:marLeft w:val="0"/>
      <w:marRight w:val="0"/>
      <w:marTop w:val="0"/>
      <w:marBottom w:val="0"/>
      <w:divBdr>
        <w:top w:val="none" w:sz="0" w:space="0" w:color="auto"/>
        <w:left w:val="none" w:sz="0" w:space="0" w:color="auto"/>
        <w:bottom w:val="none" w:sz="0" w:space="0" w:color="auto"/>
        <w:right w:val="none" w:sz="0" w:space="0" w:color="auto"/>
      </w:divBdr>
    </w:div>
    <w:div w:id="189453766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3">
          <w:marLeft w:val="0"/>
          <w:marRight w:val="0"/>
          <w:marTop w:val="0"/>
          <w:marBottom w:val="0"/>
          <w:divBdr>
            <w:top w:val="none" w:sz="0" w:space="0" w:color="auto"/>
            <w:left w:val="none" w:sz="0" w:space="0" w:color="auto"/>
            <w:bottom w:val="none" w:sz="0" w:space="0" w:color="auto"/>
            <w:right w:val="none" w:sz="0" w:space="0" w:color="auto"/>
          </w:divBdr>
        </w:div>
        <w:div w:id="1113400088">
          <w:marLeft w:val="0"/>
          <w:marRight w:val="0"/>
          <w:marTop w:val="0"/>
          <w:marBottom w:val="0"/>
          <w:divBdr>
            <w:top w:val="none" w:sz="0" w:space="0" w:color="auto"/>
            <w:left w:val="none" w:sz="0" w:space="0" w:color="auto"/>
            <w:bottom w:val="none" w:sz="0" w:space="0" w:color="auto"/>
            <w:right w:val="none" w:sz="0" w:space="0" w:color="auto"/>
          </w:divBdr>
        </w:div>
      </w:divsChild>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42645371">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3268-200B-426A-B51F-B5217091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9492</Words>
  <Characters>5412</Characters>
  <Application>Microsoft Office Word</Application>
  <DocSecurity>0</DocSecurity>
  <Lines>45</Lines>
  <Paragraphs>29</Paragraphs>
  <ScaleCrop>false</ScaleCrop>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2018-11-08T11:37:00Z</dcterms:created>
  <dcterms:modified xsi:type="dcterms:W3CDTF">2018-11-14T10:38:00Z</dcterms:modified>
</cp:coreProperties>
</file>