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5A61" w:rsidRDefault="00E1620D" w:rsidP="00E1620D">
      <w:pPr>
        <w:pStyle w:val="BodyText2"/>
        <w:spacing w:line="276" w:lineRule="auto"/>
        <w:rPr>
          <w:noProof/>
          <w:szCs w:val="24"/>
          <w:lang w:eastAsia="lv-LV"/>
        </w:rPr>
      </w:pPr>
      <w:r>
        <w:rPr>
          <w:b/>
        </w:rPr>
        <w:t>Ā</w:t>
      </w:r>
      <w:r w:rsidRPr="004F5985">
        <w:rPr>
          <w:b/>
        </w:rPr>
        <w:t>rvalsts komersanta tiesības prasīt samaksātā pievienotās vērtības nodokļu atmaksu par Latvijā saņemtajiem pakalpojumiem</w:t>
      </w:r>
    </w:p>
    <w:p w:rsidR="00E1620D" w:rsidRPr="00B01678" w:rsidRDefault="00E1620D" w:rsidP="00E1620D">
      <w:pPr>
        <w:pStyle w:val="BodyText2"/>
        <w:spacing w:line="276" w:lineRule="auto"/>
        <w:jc w:val="right"/>
        <w:rPr>
          <w:szCs w:val="24"/>
        </w:rPr>
      </w:pPr>
    </w:p>
    <w:p w:rsidR="00425ED6" w:rsidRDefault="00425ED6" w:rsidP="00425ED6">
      <w:pPr>
        <w:spacing w:line="276" w:lineRule="auto"/>
        <w:jc w:val="center"/>
        <w:rPr>
          <w:b/>
        </w:rPr>
      </w:pPr>
      <w:r w:rsidRPr="00E1620D">
        <w:rPr>
          <w:b/>
        </w:rPr>
        <w:t>Latvijas Republikas Senāt</w:t>
      </w:r>
      <w:r w:rsidR="00C84714">
        <w:rPr>
          <w:b/>
        </w:rPr>
        <w:t>a</w:t>
      </w:r>
    </w:p>
    <w:p w:rsidR="00E1620D" w:rsidRDefault="00E1620D" w:rsidP="00425ED6">
      <w:pPr>
        <w:spacing w:line="276" w:lineRule="auto"/>
        <w:jc w:val="center"/>
        <w:rPr>
          <w:b/>
        </w:rPr>
      </w:pPr>
      <w:r>
        <w:rPr>
          <w:b/>
        </w:rPr>
        <w:t>Administratīvo lietu departamenta</w:t>
      </w:r>
    </w:p>
    <w:p w:rsidR="00E1620D" w:rsidRPr="00E1620D" w:rsidRDefault="00E1620D" w:rsidP="00425ED6">
      <w:pPr>
        <w:spacing w:line="276" w:lineRule="auto"/>
        <w:jc w:val="center"/>
        <w:rPr>
          <w:b/>
        </w:rPr>
      </w:pPr>
      <w:proofErr w:type="gramStart"/>
      <w:r>
        <w:rPr>
          <w:b/>
        </w:rPr>
        <w:t>2019.gada</w:t>
      </w:r>
      <w:proofErr w:type="gramEnd"/>
      <w:r>
        <w:rPr>
          <w:b/>
        </w:rPr>
        <w:t xml:space="preserve"> 22.janvāra</w:t>
      </w:r>
    </w:p>
    <w:p w:rsidR="00425ED6" w:rsidRDefault="00425ED6" w:rsidP="00425ED6">
      <w:pPr>
        <w:spacing w:line="276" w:lineRule="auto"/>
        <w:jc w:val="center"/>
        <w:rPr>
          <w:b/>
        </w:rPr>
      </w:pPr>
      <w:r>
        <w:rPr>
          <w:b/>
        </w:rPr>
        <w:t>SPRIEDUMS</w:t>
      </w:r>
    </w:p>
    <w:p w:rsidR="00E1620D" w:rsidRDefault="00E1620D" w:rsidP="00425ED6">
      <w:pPr>
        <w:spacing w:line="276" w:lineRule="auto"/>
        <w:jc w:val="center"/>
        <w:rPr>
          <w:b/>
        </w:rPr>
      </w:pPr>
      <w:r>
        <w:rPr>
          <w:b/>
        </w:rPr>
        <w:t>Lieta Nr. A420538012, SKA-76/2019</w:t>
      </w:r>
    </w:p>
    <w:p w:rsidR="00E1620D" w:rsidRPr="00E1620D" w:rsidRDefault="00C84714" w:rsidP="00425ED6">
      <w:pPr>
        <w:spacing w:line="276" w:lineRule="auto"/>
        <w:jc w:val="center"/>
        <w:rPr>
          <w:b/>
          <w:u w:val="single"/>
        </w:rPr>
      </w:pPr>
      <w:hyperlink r:id="rId8" w:history="1">
        <w:r w:rsidR="00E1620D" w:rsidRPr="00C84714">
          <w:rPr>
            <w:rStyle w:val="Hyperlink"/>
            <w:rFonts w:ascii="TimesNewRomanPSMT" w:eastAsiaTheme="minorHAnsi" w:hAnsi="TimesNewRomanPSMT" w:cs="TimesNewRomanPSMT"/>
            <w:lang w:eastAsia="en-US"/>
          </w:rPr>
          <w:t>ECLI:LV:AT:2019:01</w:t>
        </w:r>
        <w:r w:rsidR="00E1620D" w:rsidRPr="00C84714">
          <w:rPr>
            <w:rStyle w:val="Hyperlink"/>
            <w:rFonts w:ascii="TimesNewRomanPSMT" w:eastAsiaTheme="minorHAnsi" w:hAnsi="TimesNewRomanPSMT" w:cs="TimesNewRomanPSMT"/>
            <w:lang w:eastAsia="en-US"/>
          </w:rPr>
          <w:t>2</w:t>
        </w:r>
        <w:r w:rsidR="00E1620D" w:rsidRPr="00C84714">
          <w:rPr>
            <w:rStyle w:val="Hyperlink"/>
            <w:rFonts w:ascii="TimesNewRomanPSMT" w:eastAsiaTheme="minorHAnsi" w:hAnsi="TimesNewRomanPSMT" w:cs="TimesNewRomanPSMT"/>
            <w:lang w:eastAsia="en-US"/>
          </w:rPr>
          <w:t>2.A420538012.2.S</w:t>
        </w:r>
      </w:hyperlink>
    </w:p>
    <w:p w:rsidR="00425ED6" w:rsidRDefault="00425ED6" w:rsidP="00425ED6">
      <w:pPr>
        <w:spacing w:line="276" w:lineRule="auto"/>
        <w:ind w:firstLine="567"/>
        <w:jc w:val="center"/>
      </w:pPr>
    </w:p>
    <w:p w:rsidR="00425ED6" w:rsidRDefault="00425ED6" w:rsidP="00425ED6">
      <w:pPr>
        <w:spacing w:line="276" w:lineRule="auto"/>
        <w:ind w:firstLine="567"/>
        <w:jc w:val="both"/>
      </w:pPr>
      <w:r w:rsidRPr="00043E06">
        <w:t>Tiesa šādā</w:t>
      </w:r>
      <w:r w:rsidRPr="0015480A">
        <w:t xml:space="preserve"> sastāvā: se</w:t>
      </w:r>
      <w:r w:rsidRPr="00043E06">
        <w:t>nator</w:t>
      </w:r>
      <w:r>
        <w:t>es</w:t>
      </w:r>
      <w:r w:rsidRPr="00043E06">
        <w:t xml:space="preserve"> </w:t>
      </w:r>
      <w:r>
        <w:t>Līvija Slica</w:t>
      </w:r>
      <w:r w:rsidRPr="00043E06">
        <w:t xml:space="preserve">, </w:t>
      </w:r>
      <w:r>
        <w:t>Ieva Višķere, Rudīte Vīduša</w:t>
      </w:r>
    </w:p>
    <w:p w:rsidR="00AD5A61" w:rsidRPr="00654FAF" w:rsidRDefault="00AD5A61" w:rsidP="00425ED6">
      <w:pPr>
        <w:spacing w:line="276" w:lineRule="auto"/>
        <w:ind w:firstLine="567"/>
        <w:jc w:val="both"/>
      </w:pPr>
    </w:p>
    <w:p w:rsidR="00A7026C" w:rsidRPr="00EE64DD" w:rsidRDefault="00A7026C" w:rsidP="00425ED6">
      <w:pPr>
        <w:spacing w:line="276" w:lineRule="auto"/>
        <w:ind w:firstLine="567"/>
        <w:jc w:val="both"/>
      </w:pPr>
      <w:r>
        <w:t xml:space="preserve">rakstveida procesā </w:t>
      </w:r>
      <w:r w:rsidRPr="00EE64DD">
        <w:t xml:space="preserve">izskatīja </w:t>
      </w:r>
      <w:r>
        <w:t xml:space="preserve">administratīvo lietu, kas ierosināta, pamatojoties uz </w:t>
      </w:r>
      <w:r w:rsidRPr="00D42326">
        <w:rPr>
          <w:i/>
        </w:rPr>
        <w:t>OÜ</w:t>
      </w:r>
      <w:r w:rsidR="00D42326" w:rsidRPr="00D42326">
        <w:rPr>
          <w:i/>
        </w:rPr>
        <w:t> </w:t>
      </w:r>
      <w:proofErr w:type="spellStart"/>
      <w:r w:rsidRPr="00D42326">
        <w:rPr>
          <w:i/>
        </w:rPr>
        <w:t>Brändikultuur</w:t>
      </w:r>
      <w:proofErr w:type="spellEnd"/>
      <w:r>
        <w:t xml:space="preserve"> pieteikumu par pienākuma uzlikšanu Valsts ieņēmumu dienestam izdot labvēlīgu administratīvo aktu, sakarā ar Valsts ieņēmumu dienesta kasācijas sūdzību par Administratīvās apgabaltiesas </w:t>
      </w:r>
      <w:proofErr w:type="gramStart"/>
      <w:r>
        <w:t>2016.gada</w:t>
      </w:r>
      <w:proofErr w:type="gramEnd"/>
      <w:r>
        <w:t xml:space="preserve"> 3.novembra spriedumu.</w:t>
      </w:r>
    </w:p>
    <w:p w:rsidR="00AD5A61" w:rsidRPr="00B01678" w:rsidRDefault="00AD5A61" w:rsidP="00A7026C">
      <w:pPr>
        <w:spacing w:line="276" w:lineRule="auto"/>
        <w:jc w:val="both"/>
        <w:rPr>
          <w:b/>
        </w:rPr>
      </w:pPr>
    </w:p>
    <w:p w:rsidR="00AD5A61" w:rsidRPr="00B01678" w:rsidRDefault="00AD5A61" w:rsidP="00B01678">
      <w:pPr>
        <w:spacing w:line="276" w:lineRule="auto"/>
        <w:jc w:val="center"/>
        <w:outlineLvl w:val="0"/>
        <w:rPr>
          <w:b/>
        </w:rPr>
      </w:pPr>
      <w:r w:rsidRPr="00B01678">
        <w:rPr>
          <w:b/>
        </w:rPr>
        <w:t>Aprakstošā daļa</w:t>
      </w:r>
    </w:p>
    <w:p w:rsidR="00AD5A61" w:rsidRPr="00B01678" w:rsidRDefault="00AD5A61" w:rsidP="00B01678">
      <w:pPr>
        <w:spacing w:line="276" w:lineRule="auto"/>
        <w:ind w:firstLine="567"/>
        <w:jc w:val="center"/>
        <w:rPr>
          <w:b/>
        </w:rPr>
      </w:pPr>
    </w:p>
    <w:p w:rsidR="00A7026C" w:rsidRDefault="00883138" w:rsidP="00A7026C">
      <w:pPr>
        <w:pStyle w:val="NormalWeb"/>
        <w:spacing w:before="0" w:beforeAutospacing="0" w:after="0" w:afterAutospacing="0" w:line="276" w:lineRule="auto"/>
        <w:ind w:firstLine="567"/>
        <w:jc w:val="both"/>
      </w:pPr>
      <w:r w:rsidRPr="00B01678">
        <w:t>[1]</w:t>
      </w:r>
      <w:r>
        <w:t> </w:t>
      </w:r>
      <w:r w:rsidR="00A7026C">
        <w:t>Pieteicēj</w:t>
      </w:r>
      <w:r w:rsidR="00DA2E52">
        <w:t>s</w:t>
      </w:r>
      <w:r w:rsidR="00A7026C">
        <w:t xml:space="preserve"> Igaunijas komersants </w:t>
      </w:r>
      <w:r w:rsidR="00A7026C" w:rsidRPr="00F774E3">
        <w:rPr>
          <w:i/>
        </w:rPr>
        <w:t>OÜ</w:t>
      </w:r>
      <w:r w:rsidR="00F774E3">
        <w:rPr>
          <w:i/>
        </w:rPr>
        <w:t> </w:t>
      </w:r>
      <w:proofErr w:type="spellStart"/>
      <w:r w:rsidR="00A7026C" w:rsidRPr="00F774E3">
        <w:rPr>
          <w:i/>
        </w:rPr>
        <w:t>Brändikultuur</w:t>
      </w:r>
      <w:proofErr w:type="spellEnd"/>
      <w:r w:rsidR="00A7026C">
        <w:t>, kas reģistrēts Igaunijas Republikas pievienotās vērtības nodokļa ma</w:t>
      </w:r>
      <w:bookmarkStart w:id="0" w:name="_GoBack"/>
      <w:bookmarkEnd w:id="0"/>
      <w:r w:rsidR="00A7026C">
        <w:t>ksātāju reģistrā,</w:t>
      </w:r>
      <w:r w:rsidR="00A7026C" w:rsidRPr="004C3ECA">
        <w:t xml:space="preserve"> </w:t>
      </w:r>
      <w:proofErr w:type="gramStart"/>
      <w:r w:rsidR="00A7026C">
        <w:t>2011.gada</w:t>
      </w:r>
      <w:proofErr w:type="gramEnd"/>
      <w:r w:rsidR="00A7026C">
        <w:t xml:space="preserve"> 9.martā noslēdza līgumu ar Igaunijas komersantu </w:t>
      </w:r>
      <w:r w:rsidR="00A7026C" w:rsidRPr="00F774E3">
        <w:rPr>
          <w:i/>
        </w:rPr>
        <w:t>OÜ</w:t>
      </w:r>
      <w:r w:rsidR="00F774E3" w:rsidRPr="00F774E3">
        <w:rPr>
          <w:i/>
        </w:rPr>
        <w:t> </w:t>
      </w:r>
      <w:proofErr w:type="spellStart"/>
      <w:r w:rsidR="00A7026C" w:rsidRPr="00F774E3">
        <w:rPr>
          <w:i/>
        </w:rPr>
        <w:t>Elme</w:t>
      </w:r>
      <w:proofErr w:type="spellEnd"/>
      <w:r w:rsidR="00A7026C" w:rsidRPr="00F774E3">
        <w:rPr>
          <w:i/>
        </w:rPr>
        <w:t xml:space="preserve"> </w:t>
      </w:r>
      <w:proofErr w:type="spellStart"/>
      <w:r w:rsidR="00A7026C" w:rsidRPr="00F774E3">
        <w:rPr>
          <w:i/>
        </w:rPr>
        <w:t>Metall</w:t>
      </w:r>
      <w:proofErr w:type="spellEnd"/>
      <w:r w:rsidR="00A7026C">
        <w:t xml:space="preserve"> par konferences organizēšanu un vadību </w:t>
      </w:r>
      <w:r w:rsidR="00755226">
        <w:t xml:space="preserve">viesnīcā </w:t>
      </w:r>
      <w:r w:rsidR="00755226" w:rsidRPr="00755226">
        <w:t>„</w:t>
      </w:r>
      <w:proofErr w:type="spellStart"/>
      <w:r w:rsidR="00A7026C" w:rsidRPr="00755226">
        <w:t>Baltic</w:t>
      </w:r>
      <w:proofErr w:type="spellEnd"/>
      <w:r w:rsidR="00A7026C" w:rsidRPr="00755226">
        <w:t xml:space="preserve"> </w:t>
      </w:r>
      <w:proofErr w:type="spellStart"/>
      <w:r w:rsidR="00A7026C" w:rsidRPr="00755226">
        <w:t>Beach</w:t>
      </w:r>
      <w:proofErr w:type="spellEnd"/>
      <w:r w:rsidR="00A7026C" w:rsidRPr="00755226">
        <w:t xml:space="preserve"> </w:t>
      </w:r>
      <w:proofErr w:type="spellStart"/>
      <w:r w:rsidR="00A7026C" w:rsidRPr="00755226">
        <w:t>Hotel</w:t>
      </w:r>
      <w:proofErr w:type="spellEnd"/>
      <w:r w:rsidR="00755226" w:rsidRPr="00755226">
        <w:t>”</w:t>
      </w:r>
      <w:r w:rsidR="00A7026C">
        <w:t xml:space="preserve"> Jūrmalā 2011.gada 15.–17.aprīlī. SIA „BBH </w:t>
      </w:r>
      <w:proofErr w:type="spellStart"/>
      <w:r w:rsidR="00A7026C">
        <w:t>Investments</w:t>
      </w:r>
      <w:proofErr w:type="spellEnd"/>
      <w:r w:rsidR="00A7026C">
        <w:t>” 2011.gada 27.aprīlī izsniedza pieteicēja</w:t>
      </w:r>
      <w:r w:rsidR="00B92BDB">
        <w:t>m</w:t>
      </w:r>
      <w:r w:rsidR="00A7026C">
        <w:t xml:space="preserve"> rēķinu par sniegtajiem pakalpojumiem – </w:t>
      </w:r>
      <w:r w:rsidR="00A7026C" w:rsidRPr="003238A6">
        <w:t>naktsmītni, restorāna pakalpojumiem un konferenču telpu</w:t>
      </w:r>
      <w:r w:rsidR="00F446D1">
        <w:t xml:space="preserve"> nomu</w:t>
      </w:r>
      <w:r w:rsidR="00B92BDB">
        <w:t>. Pieteicējs</w:t>
      </w:r>
      <w:r w:rsidR="00A7026C">
        <w:t xml:space="preserve"> rēķinu samaksāja un </w:t>
      </w:r>
      <w:r w:rsidR="00A7026C" w:rsidRPr="004C3ECA">
        <w:t xml:space="preserve">2011.gada 5.jūlijā </w:t>
      </w:r>
      <w:r w:rsidR="00A7026C">
        <w:t>lūdza Valsts ieņēmumu dienestu</w:t>
      </w:r>
      <w:r w:rsidR="00DA2E52">
        <w:t xml:space="preserve"> (turpmāk – dienests)</w:t>
      </w:r>
      <w:r w:rsidR="00A7026C">
        <w:t xml:space="preserve"> atmaksāt rēķinā norādīto un pieteicēja samaksāto pievienotās vērtības nodokli – </w:t>
      </w:r>
      <w:r w:rsidR="00A7026C" w:rsidRPr="00440DC0">
        <w:t>3070</w:t>
      </w:r>
      <w:r w:rsidR="00A7026C">
        <w:t>,</w:t>
      </w:r>
      <w:r w:rsidR="00A7026C" w:rsidRPr="00440DC0">
        <w:t>77</w:t>
      </w:r>
      <w:r w:rsidR="00A7026C">
        <w:t xml:space="preserve"> </w:t>
      </w:r>
      <w:proofErr w:type="spellStart"/>
      <w:r w:rsidR="00A7026C" w:rsidRPr="00440DC0">
        <w:rPr>
          <w:i/>
        </w:rPr>
        <w:t>euro</w:t>
      </w:r>
      <w:proofErr w:type="spellEnd"/>
      <w:r w:rsidR="001F2E03">
        <w:t>.</w:t>
      </w:r>
    </w:p>
    <w:p w:rsidR="00A7026C" w:rsidRDefault="00A7026C" w:rsidP="00A7026C">
      <w:pPr>
        <w:pStyle w:val="NormalWeb"/>
        <w:spacing w:before="0" w:beforeAutospacing="0" w:after="0" w:afterAutospacing="0" w:line="276" w:lineRule="auto"/>
        <w:ind w:firstLine="567"/>
        <w:jc w:val="both"/>
      </w:pPr>
    </w:p>
    <w:p w:rsidR="00A7026C" w:rsidRDefault="00A7026C" w:rsidP="00A7026C">
      <w:pPr>
        <w:pStyle w:val="NormalWeb"/>
        <w:spacing w:before="0" w:beforeAutospacing="0" w:after="0" w:afterAutospacing="0" w:line="276" w:lineRule="auto"/>
        <w:ind w:firstLine="567"/>
        <w:jc w:val="both"/>
      </w:pPr>
      <w:r>
        <w:t>[2] Valsts ieņēmumu dienests atteica pieteicēja</w:t>
      </w:r>
      <w:r w:rsidR="00B92BDB">
        <w:t>m</w:t>
      </w:r>
      <w:r>
        <w:t xml:space="preserve"> atmaksāt pievienotās vērtības nodokli, jo pakalpojuma sniegšanas vieta ir konferenc</w:t>
      </w:r>
      <w:r w:rsidR="00B92BDB">
        <w:t>es norises vieta, bet pieteicējs</w:t>
      </w:r>
      <w:r>
        <w:t xml:space="preserve"> pirms pakalpojuma sniegšanas nav reģistrējies Latvijas Republikā ar pievienotās vērtības nodokli apliekamo personu reģistrā. Šād</w:t>
      </w:r>
      <w:r w:rsidR="00A25371">
        <w:t>s pienākums pamatots ar likuma „</w:t>
      </w:r>
      <w:r>
        <w:t xml:space="preserve">Par pievienotās vērtības nodokli” </w:t>
      </w:r>
      <w:proofErr w:type="gramStart"/>
      <w:r>
        <w:t>26.panta</w:t>
      </w:r>
      <w:proofErr w:type="gramEnd"/>
      <w:r>
        <w:t xml:space="preserve"> </w:t>
      </w:r>
      <w:r w:rsidR="00A25371">
        <w:t>12.</w:t>
      </w:r>
      <w:r>
        <w:t>daļu un 4.</w:t>
      </w:r>
      <w:r w:rsidRPr="00440DC0">
        <w:rPr>
          <w:vertAlign w:val="superscript"/>
        </w:rPr>
        <w:t>1</w:t>
      </w:r>
      <w:r>
        <w:t xml:space="preserve">panta </w:t>
      </w:r>
      <w:r w:rsidR="00A25371">
        <w:t>6</w:t>
      </w:r>
      <w:r w:rsidR="00335448">
        <w:t>.</w:t>
      </w:r>
      <w:r w:rsidR="00A25371">
        <w:rPr>
          <w:vertAlign w:val="superscript"/>
        </w:rPr>
        <w:t>1</w:t>
      </w:r>
      <w:r>
        <w:t>daļu</w:t>
      </w:r>
      <w:r w:rsidR="00A25371">
        <w:t>.</w:t>
      </w:r>
    </w:p>
    <w:p w:rsidR="00883138" w:rsidRDefault="00883138" w:rsidP="00883138">
      <w:pPr>
        <w:spacing w:line="276" w:lineRule="auto"/>
        <w:ind w:firstLine="567"/>
        <w:jc w:val="both"/>
      </w:pPr>
    </w:p>
    <w:p w:rsidR="00A7026C" w:rsidRDefault="000157DE" w:rsidP="00A7026C">
      <w:pPr>
        <w:spacing w:line="276" w:lineRule="auto"/>
        <w:ind w:firstLine="567"/>
        <w:jc w:val="both"/>
      </w:pPr>
      <w:r w:rsidRPr="00297080">
        <w:t>[</w:t>
      </w:r>
      <w:r w:rsidR="00883138" w:rsidRPr="00297080">
        <w:t>3</w:t>
      </w:r>
      <w:r w:rsidRPr="00297080">
        <w:t>]</w:t>
      </w:r>
      <w:r w:rsidR="00883138" w:rsidRPr="00297080">
        <w:t> </w:t>
      </w:r>
      <w:r w:rsidR="00A7026C">
        <w:t>Pieteicēj</w:t>
      </w:r>
      <w:r w:rsidR="00B92BDB">
        <w:t>s</w:t>
      </w:r>
      <w:r w:rsidR="00A7026C">
        <w:t xml:space="preserve"> iesniedza pieteikumu par labvēlīga administratīvā akta izdošanu un </w:t>
      </w:r>
      <w:r w:rsidR="00DA2E52">
        <w:t xml:space="preserve">mantisko zaudējumu </w:t>
      </w:r>
      <w:r w:rsidR="00A7026C">
        <w:t>atlīdzinā</w:t>
      </w:r>
      <w:r w:rsidR="00B92BDB">
        <w:t>šanu. Pieteicējs</w:t>
      </w:r>
      <w:r w:rsidR="00A7026C">
        <w:t xml:space="preserve"> uzskata, ka ta</w:t>
      </w:r>
      <w:r w:rsidR="00B92BDB">
        <w:t>m</w:t>
      </w:r>
      <w:r w:rsidR="00A7026C">
        <w:t xml:space="preserve"> pirms pakalpojuma sniegšanas nebija jāreģistrējas Latvijas Republikā ar pievienotās vērtības nodokli apliekamo personu reģistrā.</w:t>
      </w:r>
    </w:p>
    <w:p w:rsidR="00AD5A61" w:rsidRPr="00B01678" w:rsidRDefault="00AD5A61" w:rsidP="00A7026C">
      <w:pPr>
        <w:spacing w:line="276" w:lineRule="auto"/>
        <w:jc w:val="both"/>
      </w:pPr>
    </w:p>
    <w:p w:rsidR="007E11FB" w:rsidRDefault="00AD5A61" w:rsidP="007E11FB">
      <w:pPr>
        <w:spacing w:line="276" w:lineRule="auto"/>
        <w:ind w:firstLine="567"/>
        <w:jc w:val="both"/>
      </w:pPr>
      <w:r w:rsidRPr="00B01678">
        <w:t>[</w:t>
      </w:r>
      <w:r w:rsidR="00E01941">
        <w:t>4</w:t>
      </w:r>
      <w:r w:rsidRPr="00B01678">
        <w:t>] </w:t>
      </w:r>
      <w:r w:rsidR="00A25371">
        <w:t>A</w:t>
      </w:r>
      <w:r w:rsidR="00A7026C" w:rsidRPr="004C3ECA">
        <w:t xml:space="preserve">r Administratīvās apgabaltiesas </w:t>
      </w:r>
      <w:proofErr w:type="gramStart"/>
      <w:r w:rsidR="00A7026C" w:rsidRPr="004C3ECA">
        <w:t>2016.gada</w:t>
      </w:r>
      <w:proofErr w:type="gramEnd"/>
      <w:r w:rsidR="00A7026C" w:rsidRPr="004C3ECA">
        <w:t xml:space="preserve"> 3.novembra spriedumu </w:t>
      </w:r>
      <w:r w:rsidR="00A7026C">
        <w:t>pieteicēja pieteikums apmierināts</w:t>
      </w:r>
      <w:r w:rsidR="003238A6" w:rsidRPr="003238A6">
        <w:t xml:space="preserve"> </w:t>
      </w:r>
      <w:r w:rsidR="003238A6">
        <w:t xml:space="preserve">daļā par pievienotās vērtības nodokļa 3070,77 </w:t>
      </w:r>
      <w:proofErr w:type="spellStart"/>
      <w:r w:rsidR="003238A6">
        <w:rPr>
          <w:i/>
        </w:rPr>
        <w:t>euro</w:t>
      </w:r>
      <w:proofErr w:type="spellEnd"/>
      <w:r w:rsidR="003238A6">
        <w:t xml:space="preserve"> atmaksu un mantisko zaudējumu atlīdzināšanu par juridisko palīdzību </w:t>
      </w:r>
      <w:r w:rsidR="00520519">
        <w:t>201,34</w:t>
      </w:r>
      <w:r w:rsidR="003238A6">
        <w:t xml:space="preserve"> </w:t>
      </w:r>
      <w:proofErr w:type="spellStart"/>
      <w:r w:rsidR="003238A6">
        <w:rPr>
          <w:i/>
        </w:rPr>
        <w:t>euro</w:t>
      </w:r>
      <w:proofErr w:type="spellEnd"/>
      <w:r w:rsidR="003238A6">
        <w:t xml:space="preserve"> un par tulkošanu 847,98 </w:t>
      </w:r>
      <w:proofErr w:type="spellStart"/>
      <w:r w:rsidR="003238A6">
        <w:rPr>
          <w:i/>
        </w:rPr>
        <w:t>euro</w:t>
      </w:r>
      <w:proofErr w:type="spellEnd"/>
      <w:r w:rsidR="003238A6">
        <w:t xml:space="preserve">. </w:t>
      </w:r>
      <w:r w:rsidR="007E11FB">
        <w:t>Spriedumā norādīti turpmāk minētie argumenti.</w:t>
      </w:r>
    </w:p>
    <w:p w:rsidR="00C56702" w:rsidRDefault="007E11FB" w:rsidP="00C56702">
      <w:pPr>
        <w:spacing w:line="276" w:lineRule="auto"/>
        <w:ind w:firstLine="567"/>
        <w:jc w:val="both"/>
      </w:pPr>
      <w:r>
        <w:t>[</w:t>
      </w:r>
      <w:r w:rsidR="00C56702">
        <w:t>4.1</w:t>
      </w:r>
      <w:r>
        <w:t>] </w:t>
      </w:r>
      <w:r w:rsidRPr="00755226">
        <w:rPr>
          <w:i/>
          <w:color w:val="000000"/>
        </w:rPr>
        <w:t>OÜ</w:t>
      </w:r>
      <w:r w:rsidR="00755226" w:rsidRPr="00755226">
        <w:rPr>
          <w:i/>
          <w:color w:val="000000"/>
        </w:rPr>
        <w:t> </w:t>
      </w:r>
      <w:proofErr w:type="spellStart"/>
      <w:r w:rsidRPr="00755226">
        <w:rPr>
          <w:i/>
          <w:color w:val="000000"/>
        </w:rPr>
        <w:t>Elme</w:t>
      </w:r>
      <w:proofErr w:type="spellEnd"/>
      <w:r w:rsidRPr="00755226">
        <w:rPr>
          <w:i/>
          <w:color w:val="000000"/>
        </w:rPr>
        <w:t xml:space="preserve"> </w:t>
      </w:r>
      <w:proofErr w:type="spellStart"/>
      <w:r w:rsidRPr="00755226">
        <w:rPr>
          <w:i/>
          <w:color w:val="000000"/>
        </w:rPr>
        <w:t>Metall</w:t>
      </w:r>
      <w:proofErr w:type="spellEnd"/>
      <w:r w:rsidR="00755226">
        <w:rPr>
          <w:color w:val="000000"/>
        </w:rPr>
        <w:t xml:space="preserve"> </w:t>
      </w:r>
      <w:r w:rsidRPr="009C2E5E">
        <w:rPr>
          <w:color w:val="000000"/>
        </w:rPr>
        <w:t>mērķis bija saņe</w:t>
      </w:r>
      <w:r>
        <w:rPr>
          <w:color w:val="000000"/>
        </w:rPr>
        <w:t xml:space="preserve">mt vienotu pakalpojumu – konferences organizēšanas un vadības </w:t>
      </w:r>
      <w:r w:rsidRPr="009C2E5E">
        <w:rPr>
          <w:color w:val="000000"/>
        </w:rPr>
        <w:t xml:space="preserve">pakalpojumu, nevis vairākus patstāvīgus pakalpojumus (restorānu </w:t>
      </w:r>
      <w:r w:rsidRPr="009C2E5E">
        <w:rPr>
          <w:color w:val="000000"/>
        </w:rPr>
        <w:lastRenderedPageBreak/>
        <w:t>(ēdināšanas) pakalpojumu, naktsmītnes pakalpojum</w:t>
      </w:r>
      <w:r>
        <w:rPr>
          <w:color w:val="000000"/>
        </w:rPr>
        <w:t>u</w:t>
      </w:r>
      <w:r w:rsidRPr="009C2E5E">
        <w:rPr>
          <w:color w:val="000000"/>
        </w:rPr>
        <w:t>, konferenču telpu pakalpojumu).</w:t>
      </w:r>
      <w:r>
        <w:rPr>
          <w:color w:val="000000"/>
        </w:rPr>
        <w:t xml:space="preserve"> </w:t>
      </w:r>
      <w:r w:rsidR="00755226" w:rsidRPr="00755226">
        <w:rPr>
          <w:i/>
          <w:color w:val="000000"/>
        </w:rPr>
        <w:t>OÜ </w:t>
      </w:r>
      <w:proofErr w:type="spellStart"/>
      <w:r w:rsidR="00755226" w:rsidRPr="00755226">
        <w:rPr>
          <w:i/>
          <w:color w:val="000000"/>
        </w:rPr>
        <w:t>Elme</w:t>
      </w:r>
      <w:proofErr w:type="spellEnd"/>
      <w:r w:rsidR="00755226" w:rsidRPr="00755226">
        <w:rPr>
          <w:i/>
          <w:color w:val="000000"/>
        </w:rPr>
        <w:t xml:space="preserve"> </w:t>
      </w:r>
      <w:proofErr w:type="spellStart"/>
      <w:r w:rsidR="00755226" w:rsidRPr="00755226">
        <w:rPr>
          <w:i/>
          <w:color w:val="000000"/>
        </w:rPr>
        <w:t>Metall</w:t>
      </w:r>
      <w:proofErr w:type="spellEnd"/>
      <w:r w:rsidRPr="009C2E5E">
        <w:rPr>
          <w:color w:val="000000"/>
        </w:rPr>
        <w:t xml:space="preserve"> saņemtais pakalpojums ir uzskatāms par vienotu pak</w:t>
      </w:r>
      <w:r>
        <w:rPr>
          <w:color w:val="000000"/>
        </w:rPr>
        <w:t xml:space="preserve">alpojumu, kas sniegts (saņemts) </w:t>
      </w:r>
      <w:r w:rsidRPr="009C2E5E">
        <w:rPr>
          <w:color w:val="000000"/>
        </w:rPr>
        <w:t>SIA</w:t>
      </w:r>
      <w:r w:rsidR="00520519">
        <w:rPr>
          <w:color w:val="000000"/>
        </w:rPr>
        <w:t> </w:t>
      </w:r>
      <w:r w:rsidRPr="009C2E5E">
        <w:rPr>
          <w:color w:val="000000"/>
        </w:rPr>
        <w:t xml:space="preserve">„BBH </w:t>
      </w:r>
      <w:proofErr w:type="spellStart"/>
      <w:r w:rsidRPr="009C2E5E">
        <w:rPr>
          <w:color w:val="000000"/>
        </w:rPr>
        <w:t>Investments</w:t>
      </w:r>
      <w:proofErr w:type="spellEnd"/>
      <w:r w:rsidRPr="009C2E5E">
        <w:rPr>
          <w:color w:val="000000"/>
        </w:rPr>
        <w:t>” viesnīcā „</w:t>
      </w:r>
      <w:proofErr w:type="spellStart"/>
      <w:r w:rsidRPr="009C2E5E">
        <w:rPr>
          <w:color w:val="000000"/>
        </w:rPr>
        <w:t>Baltic</w:t>
      </w:r>
      <w:proofErr w:type="spellEnd"/>
      <w:r w:rsidRPr="009C2E5E">
        <w:rPr>
          <w:color w:val="000000"/>
        </w:rPr>
        <w:t xml:space="preserve"> </w:t>
      </w:r>
      <w:proofErr w:type="spellStart"/>
      <w:r w:rsidRPr="009C2E5E">
        <w:rPr>
          <w:color w:val="000000"/>
        </w:rPr>
        <w:t>Beach</w:t>
      </w:r>
      <w:proofErr w:type="spellEnd"/>
      <w:r w:rsidRPr="009C2E5E">
        <w:rPr>
          <w:color w:val="000000"/>
        </w:rPr>
        <w:t xml:space="preserve"> </w:t>
      </w:r>
      <w:proofErr w:type="spellStart"/>
      <w:r w:rsidRPr="009C2E5E">
        <w:rPr>
          <w:color w:val="000000"/>
        </w:rPr>
        <w:t>Hotel</w:t>
      </w:r>
      <w:proofErr w:type="spellEnd"/>
      <w:r w:rsidRPr="009C2E5E">
        <w:rPr>
          <w:color w:val="000000"/>
        </w:rPr>
        <w:t xml:space="preserve">”. Ņemot vērā Eiropas Savienības </w:t>
      </w:r>
      <w:r w:rsidR="003238A6">
        <w:rPr>
          <w:color w:val="000000"/>
        </w:rPr>
        <w:t>T</w:t>
      </w:r>
      <w:r w:rsidRPr="009C2E5E">
        <w:rPr>
          <w:color w:val="000000"/>
        </w:rPr>
        <w:t>iesas judikatūrā noteikto, konferences organizēšanas pakalpojums ir galvenais pakalpojums, jo konkrētajā gadījumā galveno pakalpojumu veido vairāki papildpakalpojumi (ēdināšana, izmitināšana, konferences telpu pakalpoj</w:t>
      </w:r>
      <w:r>
        <w:rPr>
          <w:color w:val="000000"/>
        </w:rPr>
        <w:t xml:space="preserve">ums), kas nav klienta mērķis un </w:t>
      </w:r>
      <w:r w:rsidRPr="009C2E5E">
        <w:rPr>
          <w:color w:val="000000"/>
        </w:rPr>
        <w:t>kas ļa</w:t>
      </w:r>
      <w:r>
        <w:rPr>
          <w:color w:val="000000"/>
        </w:rPr>
        <w:t>uj izmantot galveno pakalpojumu.</w:t>
      </w:r>
    </w:p>
    <w:p w:rsidR="00C56702" w:rsidRDefault="007E11FB" w:rsidP="00C56702">
      <w:pPr>
        <w:spacing w:line="276" w:lineRule="auto"/>
        <w:ind w:firstLine="567"/>
        <w:jc w:val="both"/>
      </w:pPr>
      <w:r>
        <w:rPr>
          <w:color w:val="000000"/>
        </w:rPr>
        <w:t>[</w:t>
      </w:r>
      <w:r w:rsidR="00C56702">
        <w:rPr>
          <w:color w:val="000000"/>
        </w:rPr>
        <w:t>4.2</w:t>
      </w:r>
      <w:r>
        <w:rPr>
          <w:color w:val="000000"/>
        </w:rPr>
        <w:t xml:space="preserve">] No </w:t>
      </w:r>
      <w:r w:rsidRPr="009C2E5E">
        <w:rPr>
          <w:color w:val="000000"/>
        </w:rPr>
        <w:t>Eiropas Savienības Tiesas judikatūras izriet, ka tikai tiem pakalpojumiem, kas ir pietiekami tieši saistīti ar nekustamo īpašumu, ir piemērojams</w:t>
      </w:r>
      <w:r>
        <w:rPr>
          <w:color w:val="000000"/>
        </w:rPr>
        <w:t xml:space="preserve"> </w:t>
      </w:r>
      <w:r w:rsidRPr="004F7E91">
        <w:t xml:space="preserve">Padomes </w:t>
      </w:r>
      <w:proofErr w:type="gramStart"/>
      <w:r w:rsidRPr="004F7E91">
        <w:t>2006.gada</w:t>
      </w:r>
      <w:proofErr w:type="gramEnd"/>
      <w:r w:rsidRPr="004F7E91">
        <w:t xml:space="preserve"> 28.novembra direktīvas </w:t>
      </w:r>
      <w:r w:rsidRPr="006D26C2">
        <w:t>2006/112/EK</w:t>
      </w:r>
      <w:r w:rsidRPr="004F7E91">
        <w:t xml:space="preserve"> par kopējo pievienotās vērtības nodokļa sistēmu </w:t>
      </w:r>
      <w:r>
        <w:t xml:space="preserve">(turpmāk – </w:t>
      </w:r>
      <w:r w:rsidRPr="00483703">
        <w:t xml:space="preserve">direktīva 2006/112/EK) </w:t>
      </w:r>
      <w:r w:rsidRPr="00483703">
        <w:rPr>
          <w:color w:val="000000"/>
        </w:rPr>
        <w:t>4</w:t>
      </w:r>
      <w:r w:rsidRPr="007E11FB">
        <w:rPr>
          <w:color w:val="000000"/>
        </w:rPr>
        <w:t>7.pants</w:t>
      </w:r>
      <w:r>
        <w:rPr>
          <w:color w:val="000000"/>
        </w:rPr>
        <w:t>.</w:t>
      </w:r>
      <w:r w:rsidR="00520519">
        <w:rPr>
          <w:color w:val="000000"/>
        </w:rPr>
        <w:t xml:space="preserve"> </w:t>
      </w:r>
      <w:r w:rsidRPr="009C2E5E">
        <w:rPr>
          <w:color w:val="000000"/>
        </w:rPr>
        <w:t>Tā kā konferences organizēšanas pakalpojums nav tieši saistīts ar nekustamo īpašumu (nekustamais īpašums pats par sevi nav pakalpojuma priekšmets, kā arī nekustamais īpašums nav pakalpojuma galvenais elements), pakalpojuma sniegšanas vieta nav nekustamā īpašuma atrašanās vieta.</w:t>
      </w:r>
    </w:p>
    <w:p w:rsidR="00C56702" w:rsidRDefault="007E11FB" w:rsidP="00C56702">
      <w:pPr>
        <w:spacing w:line="276" w:lineRule="auto"/>
        <w:ind w:firstLine="567"/>
        <w:jc w:val="both"/>
      </w:pPr>
      <w:r>
        <w:rPr>
          <w:color w:val="000000"/>
        </w:rPr>
        <w:t>[</w:t>
      </w:r>
      <w:r w:rsidR="00C56702">
        <w:rPr>
          <w:color w:val="000000"/>
        </w:rPr>
        <w:t>4.3] </w:t>
      </w:r>
      <w:r w:rsidRPr="009C2E5E">
        <w:rPr>
          <w:color w:val="000000"/>
        </w:rPr>
        <w:t xml:space="preserve">Direktīvas 2006/112/EK </w:t>
      </w:r>
      <w:proofErr w:type="gramStart"/>
      <w:r w:rsidRPr="009C2E5E">
        <w:rPr>
          <w:color w:val="000000"/>
        </w:rPr>
        <w:t>44.pants</w:t>
      </w:r>
      <w:proofErr w:type="gramEnd"/>
      <w:r w:rsidRPr="009C2E5E">
        <w:rPr>
          <w:color w:val="000000"/>
        </w:rPr>
        <w:t xml:space="preserve"> noteic, ka pakalpojuma vieta nodokļa maksātājam, kas darbojas kā tāds, ir vieta, kura ir nodokļa maksātāja saimnieciskās darbības pastāvīgā vieta. Tomēr, ja pakalpojumus sniedz nodokļa maksātāja pastāvīgās iestādes vietā, kas nav viņa saimnieciskās darbības pastāvīgā vieta, šo pakalpojumu sniegšanas vieta ir vieta, kur atrodas šī pastāvīgā iestāde</w:t>
      </w:r>
      <w:r w:rsidRPr="00C1385B">
        <w:rPr>
          <w:color w:val="000000"/>
        </w:rPr>
        <w:t>. Ja šādas saimnieciskās darbības pastāvīgās vietas vai pastāvīgās iestādes vietas nav, pakalpojumu sniegšanas vieta ir vieta, kur nodokļa maksātājam, kas saņem šos pakalpojumus, ir pastāvīgā adrese vai parastā uzturēšanās vieta.</w:t>
      </w:r>
    </w:p>
    <w:p w:rsidR="00635F99" w:rsidRDefault="007E11FB" w:rsidP="00635F99">
      <w:pPr>
        <w:spacing w:line="276" w:lineRule="auto"/>
        <w:ind w:firstLine="567"/>
        <w:jc w:val="both"/>
      </w:pPr>
      <w:r w:rsidRPr="009C2E5E">
        <w:rPr>
          <w:color w:val="000000"/>
        </w:rPr>
        <w:t xml:space="preserve">Ievērojot minētās tiesību normas saturu un to, ka pieteicējs – </w:t>
      </w:r>
      <w:r w:rsidR="00C56702">
        <w:rPr>
          <w:color w:val="000000"/>
        </w:rPr>
        <w:t xml:space="preserve">ar nodokli </w:t>
      </w:r>
      <w:r w:rsidRPr="009C2E5E">
        <w:rPr>
          <w:color w:val="000000"/>
        </w:rPr>
        <w:t xml:space="preserve">apliekamā persona, kas veic saimniecisko darbību, </w:t>
      </w:r>
      <w:r w:rsidR="00335448">
        <w:rPr>
          <w:color w:val="000000"/>
        </w:rPr>
        <w:t xml:space="preserve">– </w:t>
      </w:r>
      <w:r w:rsidRPr="009C2E5E">
        <w:rPr>
          <w:color w:val="000000"/>
        </w:rPr>
        <w:t xml:space="preserve">ir sniedzis citam Igaunijas </w:t>
      </w:r>
      <w:r>
        <w:rPr>
          <w:color w:val="000000"/>
        </w:rPr>
        <w:t>komersantam</w:t>
      </w:r>
      <w:r w:rsidRPr="009C2E5E">
        <w:rPr>
          <w:color w:val="000000"/>
        </w:rPr>
        <w:t xml:space="preserve"> </w:t>
      </w:r>
      <w:r w:rsidR="00755226" w:rsidRPr="00755226">
        <w:rPr>
          <w:i/>
          <w:color w:val="000000"/>
        </w:rPr>
        <w:t>OÜ </w:t>
      </w:r>
      <w:proofErr w:type="spellStart"/>
      <w:r w:rsidR="00755226" w:rsidRPr="00755226">
        <w:rPr>
          <w:i/>
          <w:color w:val="000000"/>
        </w:rPr>
        <w:t>Elme</w:t>
      </w:r>
      <w:proofErr w:type="spellEnd"/>
      <w:r w:rsidR="00755226" w:rsidRPr="00755226">
        <w:rPr>
          <w:i/>
          <w:color w:val="000000"/>
        </w:rPr>
        <w:t xml:space="preserve"> </w:t>
      </w:r>
      <w:proofErr w:type="spellStart"/>
      <w:r w:rsidR="00755226" w:rsidRPr="00755226">
        <w:rPr>
          <w:i/>
          <w:color w:val="000000"/>
        </w:rPr>
        <w:t>Metall</w:t>
      </w:r>
      <w:proofErr w:type="spellEnd"/>
      <w:r w:rsidRPr="009C2E5E">
        <w:rPr>
          <w:color w:val="000000"/>
        </w:rPr>
        <w:t xml:space="preserve"> </w:t>
      </w:r>
      <w:r>
        <w:rPr>
          <w:color w:val="000000"/>
        </w:rPr>
        <w:t>–</w:t>
      </w:r>
      <w:r w:rsidRPr="009C2E5E">
        <w:rPr>
          <w:color w:val="000000"/>
        </w:rPr>
        <w:t xml:space="preserve"> </w:t>
      </w:r>
      <w:r>
        <w:rPr>
          <w:color w:val="000000"/>
        </w:rPr>
        <w:t xml:space="preserve">ar nodokli </w:t>
      </w:r>
      <w:r w:rsidRPr="009C2E5E">
        <w:rPr>
          <w:color w:val="000000"/>
        </w:rPr>
        <w:t>apliekamai personai, kas veic saimniecisko darbību,</w:t>
      </w:r>
      <w:r w:rsidR="00335448" w:rsidRPr="00335448">
        <w:rPr>
          <w:color w:val="000000"/>
        </w:rPr>
        <w:t xml:space="preserve"> </w:t>
      </w:r>
      <w:r w:rsidR="00335448">
        <w:rPr>
          <w:color w:val="000000"/>
        </w:rPr>
        <w:t xml:space="preserve">– </w:t>
      </w:r>
      <w:r w:rsidRPr="009C2E5E">
        <w:rPr>
          <w:color w:val="000000"/>
        </w:rPr>
        <w:t>konferences organizēšanas pakalpojumus, tad šo pakalpojumu sniegšanas vieta ir vieta, kur ir r</w:t>
      </w:r>
      <w:r>
        <w:rPr>
          <w:color w:val="000000"/>
        </w:rPr>
        <w:t xml:space="preserve">eģistrēts pakalpojumu saņēmējs – </w:t>
      </w:r>
      <w:r w:rsidR="00755226" w:rsidRPr="00755226">
        <w:rPr>
          <w:i/>
          <w:color w:val="000000"/>
        </w:rPr>
        <w:t>OÜ </w:t>
      </w:r>
      <w:proofErr w:type="spellStart"/>
      <w:r w:rsidR="00755226" w:rsidRPr="00755226">
        <w:rPr>
          <w:i/>
          <w:color w:val="000000"/>
        </w:rPr>
        <w:t>Elme</w:t>
      </w:r>
      <w:proofErr w:type="spellEnd"/>
      <w:r w:rsidR="00755226" w:rsidRPr="00755226">
        <w:rPr>
          <w:i/>
          <w:color w:val="000000"/>
        </w:rPr>
        <w:t xml:space="preserve"> </w:t>
      </w:r>
      <w:proofErr w:type="spellStart"/>
      <w:r w:rsidR="00755226" w:rsidRPr="00755226">
        <w:rPr>
          <w:i/>
          <w:color w:val="000000"/>
        </w:rPr>
        <w:t>Metall</w:t>
      </w:r>
      <w:proofErr w:type="spellEnd"/>
      <w:r>
        <w:rPr>
          <w:color w:val="000000"/>
        </w:rPr>
        <w:t xml:space="preserve"> –</w:t>
      </w:r>
      <w:r w:rsidRPr="009C2E5E">
        <w:rPr>
          <w:color w:val="000000"/>
        </w:rPr>
        <w:t xml:space="preserve"> un pieteicējam nav pienākum</w:t>
      </w:r>
      <w:r w:rsidR="00335448">
        <w:rPr>
          <w:color w:val="000000"/>
        </w:rPr>
        <w:t>a</w:t>
      </w:r>
      <w:r w:rsidRPr="009C2E5E">
        <w:rPr>
          <w:color w:val="000000"/>
        </w:rPr>
        <w:t xml:space="preserve"> reģistrēties dienesta ar </w:t>
      </w:r>
      <w:r>
        <w:rPr>
          <w:color w:val="000000"/>
        </w:rPr>
        <w:t>pievienotās vērtības nodokli</w:t>
      </w:r>
      <w:r w:rsidRPr="009C2E5E">
        <w:rPr>
          <w:color w:val="000000"/>
        </w:rPr>
        <w:t xml:space="preserve"> apliekamo personu reģistrā.</w:t>
      </w:r>
    </w:p>
    <w:p w:rsidR="007E11FB" w:rsidRDefault="007E11FB" w:rsidP="00635F99">
      <w:pPr>
        <w:spacing w:line="276" w:lineRule="auto"/>
        <w:ind w:firstLine="567"/>
        <w:jc w:val="both"/>
        <w:rPr>
          <w:color w:val="000000"/>
        </w:rPr>
      </w:pPr>
      <w:r>
        <w:rPr>
          <w:color w:val="000000"/>
        </w:rPr>
        <w:t>[</w:t>
      </w:r>
      <w:r w:rsidR="00635F99">
        <w:rPr>
          <w:color w:val="000000"/>
        </w:rPr>
        <w:t>4.4</w:t>
      </w:r>
      <w:r>
        <w:rPr>
          <w:color w:val="000000"/>
        </w:rPr>
        <w:t>] </w:t>
      </w:r>
      <w:r w:rsidRPr="009C2E5E">
        <w:rPr>
          <w:color w:val="000000"/>
        </w:rPr>
        <w:t>Tā kā pieteicēj</w:t>
      </w:r>
      <w:r>
        <w:rPr>
          <w:color w:val="000000"/>
        </w:rPr>
        <w:t>s ir sniedzis</w:t>
      </w:r>
      <w:r w:rsidRPr="009C2E5E">
        <w:rPr>
          <w:color w:val="000000"/>
        </w:rPr>
        <w:t xml:space="preserve"> konferences organizēšanas pakalpojumu (vienotu pakalpoju</w:t>
      </w:r>
      <w:r w:rsidR="00335448">
        <w:rPr>
          <w:color w:val="000000"/>
        </w:rPr>
        <w:t>mu) un pieteicējam nav pienākuma</w:t>
      </w:r>
      <w:r w:rsidRPr="009C2E5E">
        <w:rPr>
          <w:color w:val="000000"/>
        </w:rPr>
        <w:t xml:space="preserve"> reģistrēties dienesta ar </w:t>
      </w:r>
      <w:r>
        <w:rPr>
          <w:color w:val="000000"/>
        </w:rPr>
        <w:t>pievienotās vērtības nodokli</w:t>
      </w:r>
      <w:r w:rsidRPr="009C2E5E">
        <w:rPr>
          <w:color w:val="000000"/>
        </w:rPr>
        <w:t xml:space="preserve"> apliekamo</w:t>
      </w:r>
      <w:r>
        <w:rPr>
          <w:color w:val="000000"/>
        </w:rPr>
        <w:t xml:space="preserve"> personu reģistrā, tad izpildās </w:t>
      </w:r>
      <w:r w:rsidRPr="009C2E5E">
        <w:rPr>
          <w:color w:val="000000"/>
        </w:rPr>
        <w:t>likuma „Par pievienotās vērtības nodokli” 12.</w:t>
      </w:r>
      <w:r w:rsidRPr="009C2E5E">
        <w:rPr>
          <w:color w:val="000000"/>
          <w:vertAlign w:val="superscript"/>
        </w:rPr>
        <w:t>5</w:t>
      </w:r>
      <w:r w:rsidRPr="009C2E5E">
        <w:rPr>
          <w:color w:val="000000"/>
        </w:rPr>
        <w:t>panta pirmās daļas 2. un 3.punkta nosacījumi. Līdz ar to izpildās visi likuma „Par pievienotās vērtības nodokli” 12.</w:t>
      </w:r>
      <w:proofErr w:type="gramStart"/>
      <w:r w:rsidRPr="009C2E5E">
        <w:rPr>
          <w:color w:val="000000"/>
          <w:vertAlign w:val="superscript"/>
        </w:rPr>
        <w:t>5</w:t>
      </w:r>
      <w:r w:rsidRPr="009C2E5E">
        <w:rPr>
          <w:color w:val="000000"/>
        </w:rPr>
        <w:t>panta</w:t>
      </w:r>
      <w:proofErr w:type="gramEnd"/>
      <w:r w:rsidRPr="009C2E5E">
        <w:rPr>
          <w:color w:val="000000"/>
        </w:rPr>
        <w:t xml:space="preserve"> pirmās daļas nosacījumi, kas ir p</w:t>
      </w:r>
      <w:r>
        <w:rPr>
          <w:color w:val="000000"/>
        </w:rPr>
        <w:t>riekšnoteikums, lai pieteicējam atbilstoši SIA</w:t>
      </w:r>
      <w:r w:rsidR="00B92BDB">
        <w:rPr>
          <w:color w:val="000000"/>
        </w:rPr>
        <w:t> </w:t>
      </w:r>
      <w:r>
        <w:rPr>
          <w:color w:val="000000"/>
        </w:rPr>
        <w:t xml:space="preserve">„BBH </w:t>
      </w:r>
      <w:proofErr w:type="spellStart"/>
      <w:r>
        <w:rPr>
          <w:color w:val="000000"/>
        </w:rPr>
        <w:t>Investments</w:t>
      </w:r>
      <w:proofErr w:type="spellEnd"/>
      <w:r>
        <w:rPr>
          <w:color w:val="000000"/>
        </w:rPr>
        <w:t xml:space="preserve">” </w:t>
      </w:r>
      <w:r w:rsidRPr="009C2E5E">
        <w:rPr>
          <w:color w:val="000000"/>
        </w:rPr>
        <w:t xml:space="preserve">2011.gada 27.aprīļa rēķinam atmaksātu </w:t>
      </w:r>
      <w:r>
        <w:rPr>
          <w:color w:val="000000"/>
        </w:rPr>
        <w:t xml:space="preserve">pievienotās vērtības nodokli </w:t>
      </w:r>
      <w:r w:rsidRPr="009C2E5E">
        <w:rPr>
          <w:color w:val="000000"/>
        </w:rPr>
        <w:t>par 2011.gada janvāri – jūniju 3070,77 </w:t>
      </w:r>
      <w:proofErr w:type="spellStart"/>
      <w:r w:rsidRPr="008452E6">
        <w:rPr>
          <w:i/>
          <w:iCs/>
          <w:color w:val="000000"/>
        </w:rPr>
        <w:t>euro</w:t>
      </w:r>
      <w:proofErr w:type="spellEnd"/>
      <w:r>
        <w:rPr>
          <w:color w:val="000000"/>
        </w:rPr>
        <w:t xml:space="preserve">. Dienesta </w:t>
      </w:r>
      <w:r w:rsidRPr="009C2E5E">
        <w:rPr>
          <w:color w:val="000000"/>
        </w:rPr>
        <w:t>atteikums atmaksāt pieteicējam pievi</w:t>
      </w:r>
      <w:r>
        <w:rPr>
          <w:color w:val="000000"/>
        </w:rPr>
        <w:t xml:space="preserve">enotās vērtības nodokli </w:t>
      </w:r>
      <w:r w:rsidRPr="009C2E5E">
        <w:rPr>
          <w:color w:val="000000"/>
        </w:rPr>
        <w:t>ir prettiesisks.</w:t>
      </w:r>
    </w:p>
    <w:p w:rsidR="00C900AC" w:rsidRPr="00B92BDB" w:rsidRDefault="00483703" w:rsidP="00C900AC">
      <w:pPr>
        <w:spacing w:line="276" w:lineRule="auto"/>
        <w:ind w:firstLine="567"/>
        <w:jc w:val="both"/>
        <w:rPr>
          <w:i/>
        </w:rPr>
      </w:pPr>
      <w:r w:rsidRPr="00B92BDB">
        <w:t>[4.5]</w:t>
      </w:r>
      <w:r w:rsidR="00B92BDB">
        <w:t> </w:t>
      </w:r>
      <w:r w:rsidR="00C900AC" w:rsidRPr="00B92BDB">
        <w:t xml:space="preserve">Pieteicējs </w:t>
      </w:r>
      <w:r w:rsidR="00C900AC" w:rsidRPr="009C2E5E">
        <w:rPr>
          <w:color w:val="000000"/>
        </w:rPr>
        <w:t xml:space="preserve">lūdz atlīdzināt mantiskos </w:t>
      </w:r>
      <w:r w:rsidR="00C900AC" w:rsidRPr="00B92BDB">
        <w:t>zaudējumus, kas radušies saistībā ar juridiskās palīdzības sniegšanu un tulkošanas pakalpojumiem.</w:t>
      </w:r>
    </w:p>
    <w:p w:rsidR="00C900AC" w:rsidRDefault="00C900AC" w:rsidP="00C900AC">
      <w:pPr>
        <w:shd w:val="clear" w:color="auto" w:fill="FFFFFF"/>
        <w:spacing w:line="276" w:lineRule="auto"/>
        <w:ind w:firstLine="567"/>
        <w:jc w:val="both"/>
        <w:rPr>
          <w:color w:val="000000"/>
        </w:rPr>
      </w:pPr>
      <w:r w:rsidRPr="00B92BDB">
        <w:t xml:space="preserve">Ministru kabineta </w:t>
      </w:r>
      <w:proofErr w:type="gramStart"/>
      <w:r w:rsidRPr="00B92BDB">
        <w:t>2011.gada</w:t>
      </w:r>
      <w:proofErr w:type="gramEnd"/>
      <w:r w:rsidRPr="00B92BDB">
        <w:t xml:space="preserve"> 8.novembra </w:t>
      </w:r>
      <w:r w:rsidRPr="009C2E5E">
        <w:rPr>
          <w:color w:val="000000"/>
        </w:rPr>
        <w:t>noteikumi Nr.</w:t>
      </w:r>
      <w:r>
        <w:rPr>
          <w:color w:val="000000"/>
        </w:rPr>
        <w:t> </w:t>
      </w:r>
      <w:r w:rsidRPr="009C2E5E">
        <w:rPr>
          <w:color w:val="000000"/>
        </w:rPr>
        <w:t>859 „Noteikumi par privātpersonai atlīdzināmo juridiskās palīdzības izmaksu maksimālo apmēru”</w:t>
      </w:r>
      <w:r>
        <w:rPr>
          <w:color w:val="000000"/>
        </w:rPr>
        <w:t xml:space="preserve"> (turpmāk – noteikumi Nr. 859) </w:t>
      </w:r>
      <w:r w:rsidRPr="009C2E5E">
        <w:rPr>
          <w:color w:val="000000"/>
        </w:rPr>
        <w:t>nosaka, kādā apmērā personām atlīdzināmi juridiskās palīdzības izdevumi</w:t>
      </w:r>
      <w:r w:rsidR="00B92BDB">
        <w:rPr>
          <w:color w:val="000000"/>
        </w:rPr>
        <w:t xml:space="preserve">, </w:t>
      </w:r>
      <w:r w:rsidRPr="009C2E5E">
        <w:rPr>
          <w:color w:val="000000"/>
        </w:rPr>
        <w:t xml:space="preserve">nosakot atlīdzināmo izmaksu maksimālo apmēru. </w:t>
      </w:r>
    </w:p>
    <w:p w:rsidR="00C900AC" w:rsidRDefault="00C900AC" w:rsidP="00B9537F">
      <w:pPr>
        <w:shd w:val="clear" w:color="auto" w:fill="FFFFFF"/>
        <w:spacing w:line="276" w:lineRule="auto"/>
        <w:ind w:firstLine="567"/>
        <w:jc w:val="both"/>
        <w:rPr>
          <w:color w:val="000000"/>
        </w:rPr>
      </w:pPr>
      <w:r w:rsidRPr="009C2E5E">
        <w:rPr>
          <w:color w:val="000000"/>
        </w:rPr>
        <w:t>Kā pierādījumus izdevumiem, kas saistīti ar juridisko palīdzību, pieteicējs</w:t>
      </w:r>
      <w:r>
        <w:rPr>
          <w:color w:val="000000"/>
        </w:rPr>
        <w:t xml:space="preserve"> </w:t>
      </w:r>
      <w:proofErr w:type="spellStart"/>
      <w:r>
        <w:rPr>
          <w:color w:val="000000"/>
        </w:rPr>
        <w:t>citstarp</w:t>
      </w:r>
      <w:proofErr w:type="spellEnd"/>
      <w:r w:rsidRPr="009C2E5E">
        <w:rPr>
          <w:color w:val="000000"/>
        </w:rPr>
        <w:t xml:space="preserve"> ir iesniedzis </w:t>
      </w:r>
      <w:r w:rsidRPr="00B92BDB">
        <w:rPr>
          <w:i/>
          <w:color w:val="000000"/>
        </w:rPr>
        <w:t>OÜ</w:t>
      </w:r>
      <w:r w:rsidR="00B92BDB">
        <w:rPr>
          <w:i/>
          <w:color w:val="000000"/>
        </w:rPr>
        <w:t> </w:t>
      </w:r>
      <w:r w:rsidRPr="00B92BDB">
        <w:rPr>
          <w:i/>
          <w:color w:val="000000"/>
        </w:rPr>
        <w:t>,,</w:t>
      </w:r>
      <w:proofErr w:type="spellStart"/>
      <w:r w:rsidRPr="00B92BDB">
        <w:rPr>
          <w:i/>
          <w:color w:val="000000"/>
        </w:rPr>
        <w:t>Advokaadibüroo</w:t>
      </w:r>
      <w:proofErr w:type="spellEnd"/>
      <w:r w:rsidRPr="00B92BDB">
        <w:rPr>
          <w:i/>
          <w:color w:val="000000"/>
        </w:rPr>
        <w:t xml:space="preserve"> </w:t>
      </w:r>
      <w:proofErr w:type="spellStart"/>
      <w:r w:rsidRPr="00B92BDB">
        <w:rPr>
          <w:i/>
          <w:color w:val="000000"/>
        </w:rPr>
        <w:t>Lillo</w:t>
      </w:r>
      <w:proofErr w:type="spellEnd"/>
      <w:r w:rsidRPr="00B92BDB">
        <w:rPr>
          <w:i/>
          <w:color w:val="000000"/>
        </w:rPr>
        <w:t xml:space="preserve"> &amp; </w:t>
      </w:r>
      <w:proofErr w:type="spellStart"/>
      <w:r w:rsidRPr="00B92BDB">
        <w:rPr>
          <w:i/>
          <w:color w:val="000000"/>
        </w:rPr>
        <w:t>Partnerid</w:t>
      </w:r>
      <w:proofErr w:type="spellEnd"/>
      <w:r w:rsidRPr="00B92BDB">
        <w:rPr>
          <w:i/>
          <w:color w:val="000000"/>
        </w:rPr>
        <w:t>”</w:t>
      </w:r>
      <w:r w:rsidRPr="009C2E5E">
        <w:rPr>
          <w:color w:val="000000"/>
        </w:rPr>
        <w:t xml:space="preserve"> izrakstītus rēķinus.</w:t>
      </w:r>
      <w:r w:rsidR="00B9537F">
        <w:rPr>
          <w:color w:val="000000"/>
        </w:rPr>
        <w:t xml:space="preserve"> </w:t>
      </w:r>
      <w:r>
        <w:rPr>
          <w:color w:val="000000"/>
        </w:rPr>
        <w:t>A</w:t>
      </w:r>
      <w:r w:rsidRPr="009C2E5E">
        <w:rPr>
          <w:color w:val="000000"/>
        </w:rPr>
        <w:t xml:space="preserve">tbilstoši </w:t>
      </w:r>
      <w:proofErr w:type="gramStart"/>
      <w:r w:rsidRPr="009C2E5E">
        <w:rPr>
          <w:color w:val="000000"/>
        </w:rPr>
        <w:t>2012.gada</w:t>
      </w:r>
      <w:proofErr w:type="gramEnd"/>
      <w:r w:rsidRPr="009C2E5E">
        <w:rPr>
          <w:color w:val="000000"/>
        </w:rPr>
        <w:t xml:space="preserve"> 7.septembra rēķina</w:t>
      </w:r>
      <w:r>
        <w:rPr>
          <w:color w:val="000000"/>
        </w:rPr>
        <w:t>m</w:t>
      </w:r>
      <w:r w:rsidRPr="009C2E5E">
        <w:rPr>
          <w:color w:val="000000"/>
        </w:rPr>
        <w:t xml:space="preserve"> Nr.</w:t>
      </w:r>
      <w:r>
        <w:rPr>
          <w:color w:val="000000"/>
        </w:rPr>
        <w:t> </w:t>
      </w:r>
      <w:r w:rsidRPr="009C2E5E">
        <w:rPr>
          <w:color w:val="000000"/>
        </w:rPr>
        <w:t>442-2012, pirmkārt, ir sniegta juridiska konsultācija (iepazīstināšana ar pārsūdzēto lēmumu divu stundu garumā</w:t>
      </w:r>
      <w:r>
        <w:rPr>
          <w:color w:val="000000"/>
        </w:rPr>
        <w:t>)</w:t>
      </w:r>
      <w:r w:rsidRPr="009C2E5E">
        <w:rPr>
          <w:color w:val="000000"/>
        </w:rPr>
        <w:t>, un, otrkārt, par pārsūdzēto lēmumu ir sagatavots pieteikums tiesai. Līdz ar to pieteicējam atbilstoši noteikumu Nr.</w:t>
      </w:r>
      <w:r>
        <w:rPr>
          <w:color w:val="000000"/>
        </w:rPr>
        <w:t> </w:t>
      </w:r>
      <w:r w:rsidRPr="009C2E5E">
        <w:rPr>
          <w:color w:val="000000"/>
        </w:rPr>
        <w:t xml:space="preserve">859 3.1.apakšpunktam </w:t>
      </w:r>
      <w:r w:rsidRPr="009C2E5E">
        <w:rPr>
          <w:color w:val="000000"/>
        </w:rPr>
        <w:lastRenderedPageBreak/>
        <w:t>atlīdzināmas izmaksas par divu stundu ilgu juridisko konsultāciju un atbilstoši 3.2.apakšpunktam – izmaksas pa</w:t>
      </w:r>
      <w:r>
        <w:rPr>
          <w:color w:val="000000"/>
        </w:rPr>
        <w:t>r pieteikuma sagatavošanu</w:t>
      </w:r>
      <w:r w:rsidRPr="009C2E5E">
        <w:rPr>
          <w:color w:val="000000"/>
        </w:rPr>
        <w:t>.</w:t>
      </w:r>
      <w:r w:rsidR="00B9537F">
        <w:rPr>
          <w:color w:val="000000"/>
        </w:rPr>
        <w:t xml:space="preserve"> </w:t>
      </w:r>
      <w:proofErr w:type="gramStart"/>
      <w:r w:rsidRPr="009C2E5E">
        <w:rPr>
          <w:color w:val="000000"/>
        </w:rPr>
        <w:t>2014.gada</w:t>
      </w:r>
      <w:proofErr w:type="gramEnd"/>
      <w:r w:rsidRPr="009C2E5E">
        <w:rPr>
          <w:color w:val="000000"/>
        </w:rPr>
        <w:t xml:space="preserve"> 17.aprīļa rēķin</w:t>
      </w:r>
      <w:r w:rsidR="00DA31AB">
        <w:rPr>
          <w:color w:val="000000"/>
        </w:rPr>
        <w:t>ā</w:t>
      </w:r>
      <w:r w:rsidRPr="009C2E5E">
        <w:rPr>
          <w:color w:val="000000"/>
        </w:rPr>
        <w:t xml:space="preserve"> Nr.</w:t>
      </w:r>
      <w:r>
        <w:rPr>
          <w:color w:val="000000"/>
        </w:rPr>
        <w:t> </w:t>
      </w:r>
      <w:r w:rsidRPr="009C2E5E">
        <w:rPr>
          <w:color w:val="000000"/>
        </w:rPr>
        <w:t>241-2014 nav precīzi norādīts, ka notikusi iepazīstināšana ar Administratīvās rajona tiesa</w:t>
      </w:r>
      <w:r>
        <w:rPr>
          <w:color w:val="000000"/>
        </w:rPr>
        <w:t xml:space="preserve">s 2014.gada 18.marta spriedumu </w:t>
      </w:r>
      <w:r w:rsidRPr="009C2E5E">
        <w:rPr>
          <w:color w:val="000000"/>
        </w:rPr>
        <w:t>šajā lietā, tomēr rēķinā norādītais datums (2014.gada 18.marts) pakalpojuma aprakstā atbilst sprieduma datumam. Tāpat no minētā rēķina var secināt, ka ir notikusi a</w:t>
      </w:r>
      <w:r>
        <w:rPr>
          <w:color w:val="000000"/>
        </w:rPr>
        <w:t>pelācijas sūdzības sagatavošana</w:t>
      </w:r>
      <w:r w:rsidRPr="009C2E5E">
        <w:rPr>
          <w:color w:val="000000"/>
        </w:rPr>
        <w:t>. Līdz ar to pieteicējam atbilstoši noteikumu Nr.</w:t>
      </w:r>
      <w:r>
        <w:rPr>
          <w:color w:val="000000"/>
        </w:rPr>
        <w:t> </w:t>
      </w:r>
      <w:r w:rsidRPr="009C2E5E">
        <w:rPr>
          <w:color w:val="000000"/>
        </w:rPr>
        <w:t>859 3.1.apakšpunktam atlīdzināmas izmaksas par divu stundu ilgu juridisko konsultāciju (iepazīstināšana ar pirmās instances ties</w:t>
      </w:r>
      <w:r>
        <w:rPr>
          <w:color w:val="000000"/>
        </w:rPr>
        <w:t xml:space="preserve">as spriedumu) </w:t>
      </w:r>
      <w:r w:rsidRPr="009C2E5E">
        <w:rPr>
          <w:color w:val="000000"/>
        </w:rPr>
        <w:t>un atbilstoši 3.3.apakšpunktam – izmaksas par apelāc</w:t>
      </w:r>
      <w:r w:rsidR="00EA5EF8">
        <w:rPr>
          <w:color w:val="000000"/>
        </w:rPr>
        <w:t>ijas sūdzības sastādīšanu.</w:t>
      </w:r>
    </w:p>
    <w:p w:rsidR="00A7026C" w:rsidRPr="00DA31AB" w:rsidRDefault="00C900AC" w:rsidP="009558C7">
      <w:pPr>
        <w:shd w:val="clear" w:color="auto" w:fill="FFFFFF"/>
        <w:spacing w:line="276" w:lineRule="auto"/>
        <w:ind w:firstLine="567"/>
        <w:jc w:val="both"/>
        <w:rPr>
          <w:color w:val="000000"/>
        </w:rPr>
      </w:pPr>
      <w:r w:rsidRPr="009C2E5E">
        <w:rPr>
          <w:color w:val="000000"/>
        </w:rPr>
        <w:t>Pieteicējs ir Igaunijas uzņēmums, kurš savu interešu pārstāvībai un aizsardzībai lietā ir pilnvarojis zvērinātu advokātu R.</w:t>
      </w:r>
      <w:r>
        <w:rPr>
          <w:color w:val="000000"/>
        </w:rPr>
        <w:t> </w:t>
      </w:r>
      <w:proofErr w:type="spellStart"/>
      <w:r w:rsidRPr="009C2E5E">
        <w:rPr>
          <w:color w:val="000000"/>
        </w:rPr>
        <w:t>Kūlmi</w:t>
      </w:r>
      <w:proofErr w:type="spellEnd"/>
      <w:r w:rsidRPr="009C2E5E">
        <w:rPr>
          <w:color w:val="000000"/>
        </w:rPr>
        <w:t xml:space="preserve"> no </w:t>
      </w:r>
      <w:r w:rsidRPr="00B92BDB">
        <w:rPr>
          <w:i/>
          <w:color w:val="000000"/>
        </w:rPr>
        <w:t>OÜ</w:t>
      </w:r>
      <w:proofErr w:type="gramStart"/>
      <w:r w:rsidRPr="00B92BDB">
        <w:rPr>
          <w:i/>
          <w:color w:val="000000"/>
        </w:rPr>
        <w:t xml:space="preserve"> ,,</w:t>
      </w:r>
      <w:proofErr w:type="spellStart"/>
      <w:proofErr w:type="gramEnd"/>
      <w:r w:rsidRPr="00B92BDB">
        <w:rPr>
          <w:i/>
          <w:color w:val="000000"/>
        </w:rPr>
        <w:t>Advokaadibüroo</w:t>
      </w:r>
      <w:proofErr w:type="spellEnd"/>
      <w:r w:rsidRPr="00B92BDB">
        <w:rPr>
          <w:i/>
          <w:color w:val="000000"/>
        </w:rPr>
        <w:t xml:space="preserve"> </w:t>
      </w:r>
      <w:proofErr w:type="spellStart"/>
      <w:r w:rsidRPr="00B92BDB">
        <w:rPr>
          <w:i/>
          <w:color w:val="000000"/>
        </w:rPr>
        <w:t>Lillo</w:t>
      </w:r>
      <w:proofErr w:type="spellEnd"/>
      <w:r w:rsidRPr="00B92BDB">
        <w:rPr>
          <w:i/>
          <w:color w:val="000000"/>
        </w:rPr>
        <w:t xml:space="preserve"> &amp; </w:t>
      </w:r>
      <w:proofErr w:type="spellStart"/>
      <w:r w:rsidRPr="00B92BDB">
        <w:rPr>
          <w:i/>
          <w:color w:val="000000"/>
        </w:rPr>
        <w:t>Partnerid</w:t>
      </w:r>
      <w:proofErr w:type="spellEnd"/>
      <w:r w:rsidRPr="00B92BDB">
        <w:rPr>
          <w:i/>
          <w:color w:val="000000"/>
        </w:rPr>
        <w:t>”</w:t>
      </w:r>
      <w:r w:rsidRPr="009C2E5E">
        <w:rPr>
          <w:color w:val="000000"/>
        </w:rPr>
        <w:t>. Ņemot vērā, ka zvērināts advokāts R.</w:t>
      </w:r>
      <w:r>
        <w:rPr>
          <w:color w:val="000000"/>
        </w:rPr>
        <w:t> </w:t>
      </w:r>
      <w:proofErr w:type="spellStart"/>
      <w:r w:rsidRPr="009C2E5E">
        <w:rPr>
          <w:color w:val="000000"/>
        </w:rPr>
        <w:t>Kūlme</w:t>
      </w:r>
      <w:proofErr w:type="spellEnd"/>
      <w:r w:rsidRPr="009C2E5E">
        <w:rPr>
          <w:color w:val="000000"/>
        </w:rPr>
        <w:t xml:space="preserve"> un pieteicējs nepārvalda latviešu valodu, tad gan zvērināts advokāts, gan pieteicējs ir izmantojis tulkošanas biroja pakalpojumus, kas ir tulkojis ar pieteicēja aizstāvību saistītus dienesta un tiesas dokumentus. </w:t>
      </w:r>
      <w:r>
        <w:rPr>
          <w:color w:val="000000"/>
        </w:rPr>
        <w:t>I</w:t>
      </w:r>
      <w:r w:rsidRPr="009C2E5E">
        <w:rPr>
          <w:color w:val="000000"/>
        </w:rPr>
        <w:t>zdevumi, kas radušies ar tulkošanas pakalpojuma izmantošanu, ir tiešā cēloņsakarībā ar prettiesisko administratīvo aktu. Noteikumos Nr.</w:t>
      </w:r>
      <w:r>
        <w:rPr>
          <w:color w:val="000000"/>
        </w:rPr>
        <w:t> </w:t>
      </w:r>
      <w:r w:rsidRPr="009C2E5E">
        <w:rPr>
          <w:color w:val="000000"/>
        </w:rPr>
        <w:t xml:space="preserve">859 nav paredzēts atlīdzināt izdevumus, kas saistīti ar tulkošanas pakalpojumiem. Līdz ar to pieteicēja prasījums šajā daļā jāvērtē atbilstoši vispārīgajai mantisko zaudējumu atlīdzināšanas kārtībai, kas noteikta </w:t>
      </w:r>
      <w:r w:rsidRPr="00254AEF">
        <w:t>Valsts pārvaldes iestāžu nodarīt</w:t>
      </w:r>
      <w:r>
        <w:t>o zaudējumu atlīdzināšanas</w:t>
      </w:r>
      <w:r w:rsidRPr="009C2E5E">
        <w:rPr>
          <w:color w:val="000000"/>
        </w:rPr>
        <w:t xml:space="preserve"> likumā</w:t>
      </w:r>
      <w:r w:rsidR="009558C7">
        <w:rPr>
          <w:color w:val="000000"/>
        </w:rPr>
        <w:t xml:space="preserve"> (turpmāk – Zaudējumu atlīdzināšanas likums)</w:t>
      </w:r>
      <w:r w:rsidRPr="009C2E5E">
        <w:rPr>
          <w:color w:val="000000"/>
        </w:rPr>
        <w:t>.</w:t>
      </w:r>
      <w:r w:rsidR="002419F7">
        <w:rPr>
          <w:color w:val="000000"/>
        </w:rPr>
        <w:t xml:space="preserve"> </w:t>
      </w:r>
      <w:r w:rsidR="00DA31AB">
        <w:rPr>
          <w:color w:val="000000"/>
        </w:rPr>
        <w:t>Vairāki</w:t>
      </w:r>
      <w:r w:rsidR="00B957BC">
        <w:rPr>
          <w:color w:val="000000"/>
        </w:rPr>
        <w:t xml:space="preserve"> </w:t>
      </w:r>
      <w:r w:rsidR="00B957BC" w:rsidRPr="00F446D1">
        <w:rPr>
          <w:i/>
          <w:color w:val="000000"/>
        </w:rPr>
        <w:t>OÜ ,,</w:t>
      </w:r>
      <w:proofErr w:type="spellStart"/>
      <w:r w:rsidR="00B957BC" w:rsidRPr="00F446D1">
        <w:rPr>
          <w:i/>
          <w:color w:val="000000"/>
        </w:rPr>
        <w:t>Tõlkebüroo</w:t>
      </w:r>
      <w:proofErr w:type="spellEnd"/>
      <w:r w:rsidR="00B957BC" w:rsidRPr="00F446D1">
        <w:rPr>
          <w:i/>
          <w:color w:val="000000"/>
        </w:rPr>
        <w:t xml:space="preserve"> </w:t>
      </w:r>
      <w:proofErr w:type="spellStart"/>
      <w:r w:rsidR="00B957BC" w:rsidRPr="00F446D1">
        <w:rPr>
          <w:i/>
          <w:color w:val="000000"/>
        </w:rPr>
        <w:t>Pangloss</w:t>
      </w:r>
      <w:proofErr w:type="spellEnd"/>
      <w:r w:rsidR="00B957BC" w:rsidRPr="00F446D1">
        <w:rPr>
          <w:i/>
          <w:color w:val="000000"/>
        </w:rPr>
        <w:t>”</w:t>
      </w:r>
      <w:r>
        <w:rPr>
          <w:color w:val="000000"/>
        </w:rPr>
        <w:t xml:space="preserve"> </w:t>
      </w:r>
      <w:r w:rsidRPr="009C2E5E">
        <w:rPr>
          <w:color w:val="000000"/>
        </w:rPr>
        <w:t>rēķini izrakstīti par šajā lietā esošo tiesas dokumentu (arī ar tiesvedību saistīto) tulkošanu. Līdz ar to pieteicējam ir atlīdzināmi mantiskie zaudējumi, kas radušies par tulkošanu</w:t>
      </w:r>
      <w:r w:rsidR="002419F7">
        <w:rPr>
          <w:color w:val="000000"/>
        </w:rPr>
        <w:t xml:space="preserve"> 847,98 </w:t>
      </w:r>
      <w:proofErr w:type="spellStart"/>
      <w:r w:rsidRPr="008452E6">
        <w:rPr>
          <w:i/>
          <w:iCs/>
          <w:color w:val="000000"/>
        </w:rPr>
        <w:t>euro</w:t>
      </w:r>
      <w:proofErr w:type="spellEnd"/>
      <w:r>
        <w:rPr>
          <w:color w:val="000000"/>
        </w:rPr>
        <w:t xml:space="preserve"> </w:t>
      </w:r>
      <w:r w:rsidRPr="009C2E5E">
        <w:rPr>
          <w:color w:val="000000"/>
        </w:rPr>
        <w:t>apmērā.</w:t>
      </w:r>
    </w:p>
    <w:p w:rsidR="00DA31AB" w:rsidRDefault="00DA31AB" w:rsidP="00A7026C">
      <w:pPr>
        <w:spacing w:line="276" w:lineRule="auto"/>
        <w:ind w:firstLine="567"/>
        <w:jc w:val="both"/>
      </w:pPr>
    </w:p>
    <w:p w:rsidR="00EC091C" w:rsidRDefault="00AD5A61" w:rsidP="00A7026C">
      <w:pPr>
        <w:spacing w:line="276" w:lineRule="auto"/>
        <w:ind w:firstLine="567"/>
        <w:jc w:val="both"/>
      </w:pPr>
      <w:r w:rsidRPr="007423F7">
        <w:t>[</w:t>
      </w:r>
      <w:r w:rsidR="00DA31AB">
        <w:t>5</w:t>
      </w:r>
      <w:r w:rsidRPr="007423F7">
        <w:t>]</w:t>
      </w:r>
      <w:r w:rsidR="007423F7">
        <w:t> </w:t>
      </w:r>
      <w:r w:rsidR="00F446D1">
        <w:t>D</w:t>
      </w:r>
      <w:r w:rsidR="00A7026C">
        <w:t>ienests iesniedz</w:t>
      </w:r>
      <w:r w:rsidR="00A25371">
        <w:t>a</w:t>
      </w:r>
      <w:r w:rsidR="00A7026C">
        <w:t xml:space="preserve"> kasācijas sūdzību par </w:t>
      </w:r>
      <w:r w:rsidR="00A25371">
        <w:t>apgabal</w:t>
      </w:r>
      <w:r w:rsidR="00A7026C">
        <w:t>tiesas spriedumu</w:t>
      </w:r>
      <w:r w:rsidR="007E11FB">
        <w:t xml:space="preserve"> daļā, ar kuru pieteikums apmierināts</w:t>
      </w:r>
      <w:r w:rsidR="00A7026C" w:rsidRPr="004C3ECA">
        <w:t>. Kasācijas sūdzīb</w:t>
      </w:r>
      <w:r w:rsidR="00A7026C">
        <w:t>a</w:t>
      </w:r>
      <w:r w:rsidR="00A7026C" w:rsidRPr="004C3ECA">
        <w:t xml:space="preserve"> </w:t>
      </w:r>
      <w:r w:rsidR="00A7026C">
        <w:t xml:space="preserve">pamatota ar </w:t>
      </w:r>
      <w:r w:rsidR="00EC091C">
        <w:t>turpmāk minētajiem argumentiem.</w:t>
      </w:r>
    </w:p>
    <w:p w:rsidR="00F446D1" w:rsidRDefault="00EC091C" w:rsidP="00A7026C">
      <w:pPr>
        <w:spacing w:line="276" w:lineRule="auto"/>
        <w:ind w:firstLine="567"/>
        <w:jc w:val="both"/>
      </w:pPr>
      <w:r>
        <w:t>[5.1] </w:t>
      </w:r>
      <w:r w:rsidR="00F446D1">
        <w:t xml:space="preserve">Dienests, atsaucoties uz Padomes </w:t>
      </w:r>
      <w:proofErr w:type="gramStart"/>
      <w:r w:rsidR="00F446D1">
        <w:t>2008.gada</w:t>
      </w:r>
      <w:proofErr w:type="gramEnd"/>
      <w:r w:rsidR="00F446D1">
        <w:t xml:space="preserve"> 12.februāra direktīvas 2008/9/EK </w:t>
      </w:r>
      <w:r w:rsidR="00335448">
        <w:t>,</w:t>
      </w:r>
      <w:r w:rsidR="00F446D1">
        <w:t xml:space="preserve">ar ko nosaka sīki izstrādātus noteikumus Eiropas Savienības 2006.gada 28.novembra direktīvā 2006/112/EK paredzētajai </w:t>
      </w:r>
      <w:r w:rsidR="00F446D1">
        <w:rPr>
          <w:shd w:val="clear" w:color="auto" w:fill="FFFFFF"/>
        </w:rPr>
        <w:t xml:space="preserve">pievienotās vērtības nodokļa atmaksāšanai nodokļa maksātājiem, kas neveic uzņēmējdarbību attiecīgās valsts teritorijā, bet veic uzņēmējdarbību citā dalībvalstī (turpmāk – direktīva 2008/9/EK) 3. un 5.pantu, kā arī </w:t>
      </w:r>
      <w:r w:rsidR="00F446D1">
        <w:t>likuma „</w:t>
      </w:r>
      <w:r w:rsidR="00F446D1" w:rsidRPr="00FA466D">
        <w:t xml:space="preserve">Par pievienotās </w:t>
      </w:r>
      <w:r w:rsidR="00F446D1" w:rsidRPr="004F7E91">
        <w:t>vērtības nodokli”</w:t>
      </w:r>
      <w:r w:rsidR="00F446D1">
        <w:t xml:space="preserve"> 12.</w:t>
      </w:r>
      <w:r w:rsidR="00F446D1">
        <w:rPr>
          <w:vertAlign w:val="superscript"/>
        </w:rPr>
        <w:t>5</w:t>
      </w:r>
      <w:r w:rsidR="00F446D1">
        <w:t>panta pirmo daļu, norādījis, ka</w:t>
      </w:r>
      <w:r w:rsidR="00335448">
        <w:t>,</w:t>
      </w:r>
      <w:r w:rsidR="00F446D1">
        <w:t xml:space="preserve"> lai citas dalībvalsts nodokļu maksātājam atmaksātu pievienotās vērtības nodokli par Latvijā saņemtajiem pakalpojumiem, vispirms ir jākonstatē, </w:t>
      </w:r>
      <w:r w:rsidR="00F446D1" w:rsidRPr="00C1385B">
        <w:t>vai šis nodokļu maksātājs Latvijā nav veicis ar pievienotās vērtības nodokli apliekamus darījumus, kuru veikšanai būtu jāreģistrējas dienesta ar pievienotās vērtības nodokli apliekamo personu reģistrā.</w:t>
      </w:r>
    </w:p>
    <w:p w:rsidR="00F446D1" w:rsidRPr="00F446D1" w:rsidRDefault="00F446D1" w:rsidP="00A7026C">
      <w:pPr>
        <w:spacing w:line="276" w:lineRule="auto"/>
        <w:ind w:firstLine="567"/>
        <w:jc w:val="both"/>
      </w:pPr>
      <w:r>
        <w:t>Viesnīcas (naktsmītnes), restorānu un ēdināšanas, konferenču telpu nomas un transporta pakalpojumu sniegšana likuma „</w:t>
      </w:r>
      <w:r w:rsidRPr="00FA466D">
        <w:t xml:space="preserve">Par pievienotās </w:t>
      </w:r>
      <w:r w:rsidRPr="004F7E91">
        <w:t>vērtības nodokli”</w:t>
      </w:r>
      <w:r>
        <w:t xml:space="preserve"> izpratnē ir ar </w:t>
      </w:r>
      <w:r w:rsidR="00834FA5" w:rsidRPr="00834FA5">
        <w:t>pievienotās vērtības nodokli apliekam</w:t>
      </w:r>
      <w:r w:rsidR="00834FA5">
        <w:t>i</w:t>
      </w:r>
      <w:r w:rsidR="00834FA5" w:rsidRPr="00834FA5">
        <w:t xml:space="preserve"> darījum</w:t>
      </w:r>
      <w:r w:rsidR="00834FA5">
        <w:t>i, ko pamatoti konstatējusi arī tiesa.</w:t>
      </w:r>
    </w:p>
    <w:p w:rsidR="00834FA5" w:rsidRDefault="00834FA5" w:rsidP="00A7026C">
      <w:pPr>
        <w:spacing w:line="276" w:lineRule="auto"/>
        <w:ind w:firstLine="567"/>
        <w:jc w:val="both"/>
      </w:pPr>
      <w:r>
        <w:t>[5.2] Nosakot attiecīgā darījuma veikšan</w:t>
      </w:r>
      <w:r w:rsidR="00335448">
        <w:t>as</w:t>
      </w:r>
      <w:r>
        <w:t xml:space="preserve"> vietu, t</w:t>
      </w:r>
      <w:r w:rsidR="00A7026C">
        <w:t>iesa nepareizi piemērojusi likuma</w:t>
      </w:r>
      <w:r w:rsidR="00A25371">
        <w:t xml:space="preserve"> „</w:t>
      </w:r>
      <w:r w:rsidR="00A7026C" w:rsidRPr="00FA466D">
        <w:t xml:space="preserve">Par pievienotās </w:t>
      </w:r>
      <w:r w:rsidR="00A7026C" w:rsidRPr="004F7E91">
        <w:t>vērtības nodokli” 4.</w:t>
      </w:r>
      <w:proofErr w:type="gramStart"/>
      <w:r w:rsidR="00A7026C" w:rsidRPr="00766042">
        <w:rPr>
          <w:vertAlign w:val="superscript"/>
        </w:rPr>
        <w:t>1</w:t>
      </w:r>
      <w:r w:rsidR="00A7026C" w:rsidRPr="004F7E91">
        <w:t>panta</w:t>
      </w:r>
      <w:proofErr w:type="gramEnd"/>
      <w:r w:rsidR="00A7026C" w:rsidRPr="004F7E91">
        <w:t xml:space="preserve"> astoto</w:t>
      </w:r>
      <w:r w:rsidR="00766042">
        <w:t>, devīto</w:t>
      </w:r>
      <w:r w:rsidR="00A7026C" w:rsidRPr="004F7E91">
        <w:t xml:space="preserve"> un </w:t>
      </w:r>
      <w:r w:rsidR="00335448">
        <w:t xml:space="preserve">astoņpadsmito </w:t>
      </w:r>
      <w:r w:rsidR="00A7026C" w:rsidRPr="004F7E91">
        <w:t xml:space="preserve">daļu, kā arī </w:t>
      </w:r>
      <w:r w:rsidR="006D26C2" w:rsidRPr="004F7E91">
        <w:t>direkt</w:t>
      </w:r>
      <w:r w:rsidR="006D26C2">
        <w:t>īva</w:t>
      </w:r>
      <w:r w:rsidR="00922E77">
        <w:t>s</w:t>
      </w:r>
      <w:r w:rsidR="006D26C2" w:rsidRPr="004F7E91">
        <w:t xml:space="preserve"> </w:t>
      </w:r>
      <w:r w:rsidR="006D26C2" w:rsidRPr="006D26C2">
        <w:t>2006/112/EK</w:t>
      </w:r>
      <w:r w:rsidR="006D26C2">
        <w:t xml:space="preserve"> </w:t>
      </w:r>
      <w:r w:rsidR="00A7026C" w:rsidRPr="004F7E91">
        <w:t>44.pantu.</w:t>
      </w:r>
    </w:p>
    <w:p w:rsidR="00483703" w:rsidRDefault="00834FA5" w:rsidP="00A7026C">
      <w:pPr>
        <w:spacing w:line="276" w:lineRule="auto"/>
        <w:ind w:firstLine="567"/>
        <w:jc w:val="both"/>
      </w:pPr>
      <w:r>
        <w:t xml:space="preserve">Pieteicējs ir saņēmis iekšzemē ar nekustamo īpašumu saistītus pakalpojumus – </w:t>
      </w:r>
      <w:r w:rsidRPr="004F7E91">
        <w:t>naktsmītnes un konferenču telpu nomas</w:t>
      </w:r>
      <w:r>
        <w:t xml:space="preserve"> pakalpojumu, kā arī restorāna pakalpojumus – un tos tālāk savā vārdā, iekļaujot izrakstītajā rēķinā par konferences organizēšanas pakalpojumiem un saņemot pilnu samaksu par šo pakalpojumu sniegšanu, sniedzis Igaunijas komersantam </w:t>
      </w:r>
      <w:r w:rsidRPr="00755226">
        <w:rPr>
          <w:i/>
          <w:color w:val="000000"/>
        </w:rPr>
        <w:t>OÜ </w:t>
      </w:r>
      <w:proofErr w:type="spellStart"/>
      <w:r w:rsidRPr="00755226">
        <w:rPr>
          <w:i/>
          <w:color w:val="000000"/>
        </w:rPr>
        <w:t>Elme</w:t>
      </w:r>
      <w:proofErr w:type="spellEnd"/>
      <w:r w:rsidRPr="00755226">
        <w:rPr>
          <w:i/>
          <w:color w:val="000000"/>
        </w:rPr>
        <w:t xml:space="preserve"> </w:t>
      </w:r>
      <w:proofErr w:type="spellStart"/>
      <w:r w:rsidRPr="00755226">
        <w:rPr>
          <w:i/>
          <w:color w:val="000000"/>
        </w:rPr>
        <w:t>Metall</w:t>
      </w:r>
      <w:proofErr w:type="spellEnd"/>
      <w:r>
        <w:rPr>
          <w:color w:val="000000"/>
        </w:rPr>
        <w:t xml:space="preserve">. </w:t>
      </w:r>
      <w:r w:rsidR="00A7026C">
        <w:t>Tā kā l</w:t>
      </w:r>
      <w:r w:rsidR="00A7026C" w:rsidRPr="004F7E91">
        <w:t xml:space="preserve">ikuma </w:t>
      </w:r>
      <w:r w:rsidR="00766042">
        <w:t>„</w:t>
      </w:r>
      <w:r w:rsidR="00A7026C" w:rsidRPr="004F7E91">
        <w:t xml:space="preserve">Par pievienotās vērtības nodokli” izpratnē pieteicējs ir sniedzis </w:t>
      </w:r>
      <w:r w:rsidR="00A7026C" w:rsidRPr="004F7E91">
        <w:lastRenderedPageBreak/>
        <w:t>pakalpoj</w:t>
      </w:r>
      <w:r w:rsidR="00A7026C">
        <w:t xml:space="preserve">umus citam Igaunijas </w:t>
      </w:r>
      <w:r w:rsidR="00922E77">
        <w:t>komersantam</w:t>
      </w:r>
      <w:r w:rsidR="00A7026C">
        <w:t xml:space="preserve"> </w:t>
      </w:r>
      <w:r w:rsidR="00755226" w:rsidRPr="00755226">
        <w:rPr>
          <w:i/>
          <w:color w:val="000000"/>
        </w:rPr>
        <w:t>OÜ </w:t>
      </w:r>
      <w:proofErr w:type="spellStart"/>
      <w:r w:rsidR="00755226" w:rsidRPr="00755226">
        <w:rPr>
          <w:i/>
          <w:color w:val="000000"/>
        </w:rPr>
        <w:t>Elme</w:t>
      </w:r>
      <w:proofErr w:type="spellEnd"/>
      <w:r w:rsidR="00755226" w:rsidRPr="00755226">
        <w:rPr>
          <w:i/>
          <w:color w:val="000000"/>
        </w:rPr>
        <w:t xml:space="preserve"> </w:t>
      </w:r>
      <w:proofErr w:type="spellStart"/>
      <w:r w:rsidR="00755226" w:rsidRPr="00755226">
        <w:rPr>
          <w:i/>
          <w:color w:val="000000"/>
        </w:rPr>
        <w:t>Metall</w:t>
      </w:r>
      <w:proofErr w:type="spellEnd"/>
      <w:r w:rsidR="00755226">
        <w:rPr>
          <w:color w:val="000000"/>
        </w:rPr>
        <w:t xml:space="preserve"> </w:t>
      </w:r>
      <w:r w:rsidR="00A7026C" w:rsidRPr="004F7E91">
        <w:t>un šo pakalpojumu sniegšanas vieta ir iekš</w:t>
      </w:r>
      <w:r w:rsidR="00A7026C">
        <w:t>zeme</w:t>
      </w:r>
      <w:r>
        <w:t xml:space="preserve"> (</w:t>
      </w:r>
      <w:r w:rsidR="00766042">
        <w:t>Latvija</w:t>
      </w:r>
      <w:r w:rsidR="005241D2">
        <w:t>)</w:t>
      </w:r>
      <w:r w:rsidR="00766042">
        <w:t>,</w:t>
      </w:r>
      <w:r w:rsidR="00A7026C">
        <w:t xml:space="preserve"> tad</w:t>
      </w:r>
      <w:r w:rsidR="00A7026C" w:rsidRPr="004F7E91">
        <w:t xml:space="preserve"> </w:t>
      </w:r>
      <w:r w:rsidR="00A7026C">
        <w:t>s</w:t>
      </w:r>
      <w:r w:rsidR="00A7026C" w:rsidRPr="004F7E91">
        <w:t>askaņā</w:t>
      </w:r>
      <w:r w:rsidR="00766042">
        <w:t xml:space="preserve"> ar likuma „</w:t>
      </w:r>
      <w:r w:rsidR="00A7026C" w:rsidRPr="004F7E91">
        <w:t xml:space="preserve">Par pievienotās vērtības nodokli” </w:t>
      </w:r>
      <w:proofErr w:type="gramStart"/>
      <w:r w:rsidR="00A7026C" w:rsidRPr="004F7E91">
        <w:t>26.panta</w:t>
      </w:r>
      <w:proofErr w:type="gramEnd"/>
      <w:r w:rsidR="00A7026C" w:rsidRPr="004F7E91">
        <w:t xml:space="preserve"> </w:t>
      </w:r>
      <w:r w:rsidR="00335448">
        <w:t xml:space="preserve">divpadsmito </w:t>
      </w:r>
      <w:r w:rsidR="00A7026C" w:rsidRPr="004F7E91">
        <w:t>daļu pirms minēto pakalpojumu sniegšanas pieteicējam bija jāreģistrējas dienestā ar pievienotās vērtības nodokli apliekamo personu reģistrā.</w:t>
      </w:r>
      <w:r>
        <w:t xml:space="preserve"> </w:t>
      </w:r>
    </w:p>
    <w:p w:rsidR="00834FA5" w:rsidRDefault="00834FA5" w:rsidP="00A7026C">
      <w:pPr>
        <w:spacing w:line="276" w:lineRule="auto"/>
        <w:ind w:firstLine="567"/>
        <w:jc w:val="both"/>
      </w:pPr>
      <w:r>
        <w:t>Pieteicējam nav tiesību prasīt pievienotās vērtības nodokļa atmaksu, jo neizpildās likuma „</w:t>
      </w:r>
      <w:r w:rsidRPr="00FA466D">
        <w:t>Par p</w:t>
      </w:r>
      <w:r w:rsidR="00C568DA">
        <w:t>i</w:t>
      </w:r>
      <w:r w:rsidRPr="00FA466D">
        <w:t xml:space="preserve">evienotās </w:t>
      </w:r>
      <w:r w:rsidRPr="004F7E91">
        <w:t>vērtības nodokli”</w:t>
      </w:r>
      <w:r>
        <w:t xml:space="preserve"> 12.</w:t>
      </w:r>
      <w:r>
        <w:rPr>
          <w:vertAlign w:val="superscript"/>
        </w:rPr>
        <w:t>5</w:t>
      </w:r>
      <w:r>
        <w:t>panta pirmās daļas 3.punkta nosacījums.</w:t>
      </w:r>
    </w:p>
    <w:p w:rsidR="00834FA5" w:rsidRPr="005241D2" w:rsidRDefault="00834FA5" w:rsidP="00A7026C">
      <w:pPr>
        <w:spacing w:line="276" w:lineRule="auto"/>
        <w:ind w:firstLine="567"/>
        <w:jc w:val="both"/>
      </w:pPr>
      <w:r>
        <w:t>[5.3</w:t>
      </w:r>
      <w:r w:rsidR="00EC091C">
        <w:t>] </w:t>
      </w:r>
      <w:r>
        <w:t>Tiesas secinājums, ka</w:t>
      </w:r>
      <w:r w:rsidR="005241D2">
        <w:t xml:space="preserve"> pieteicēja</w:t>
      </w:r>
      <w:r>
        <w:t xml:space="preserve"> pakalp</w:t>
      </w:r>
      <w:r w:rsidR="005241D2">
        <w:t xml:space="preserve">ojuma sniegšanas vieta ir pakalpojuma saņēmēja </w:t>
      </w:r>
      <w:r w:rsidR="005241D2" w:rsidRPr="00755226">
        <w:rPr>
          <w:i/>
          <w:color w:val="000000"/>
        </w:rPr>
        <w:t>OÜ </w:t>
      </w:r>
      <w:proofErr w:type="spellStart"/>
      <w:r w:rsidR="005241D2" w:rsidRPr="00755226">
        <w:rPr>
          <w:i/>
          <w:color w:val="000000"/>
        </w:rPr>
        <w:t>Elme</w:t>
      </w:r>
      <w:proofErr w:type="spellEnd"/>
      <w:r w:rsidR="005241D2" w:rsidRPr="00755226">
        <w:rPr>
          <w:i/>
          <w:color w:val="000000"/>
        </w:rPr>
        <w:t xml:space="preserve"> </w:t>
      </w:r>
      <w:proofErr w:type="spellStart"/>
      <w:r w:rsidR="005241D2" w:rsidRPr="00755226">
        <w:rPr>
          <w:i/>
          <w:color w:val="000000"/>
        </w:rPr>
        <w:t>Metall</w:t>
      </w:r>
      <w:proofErr w:type="spellEnd"/>
      <w:r w:rsidR="005241D2">
        <w:rPr>
          <w:i/>
          <w:color w:val="000000"/>
        </w:rPr>
        <w:t xml:space="preserve"> </w:t>
      </w:r>
      <w:r w:rsidR="005241D2">
        <w:rPr>
          <w:color w:val="000000"/>
        </w:rPr>
        <w:t xml:space="preserve">reģistrācijas vieta, t.i., Igaunija, ir balstīts tikai uz </w:t>
      </w:r>
      <w:r w:rsidR="005241D2" w:rsidRPr="009C2E5E">
        <w:rPr>
          <w:color w:val="000000"/>
        </w:rPr>
        <w:t>Eiropas Savienības Tiesas</w:t>
      </w:r>
      <w:r w:rsidR="005241D2">
        <w:rPr>
          <w:color w:val="000000"/>
        </w:rPr>
        <w:t xml:space="preserve"> </w:t>
      </w:r>
      <w:proofErr w:type="gramStart"/>
      <w:r w:rsidR="005241D2">
        <w:rPr>
          <w:color w:val="000000"/>
        </w:rPr>
        <w:t>2013.gada</w:t>
      </w:r>
      <w:proofErr w:type="gramEnd"/>
      <w:r w:rsidR="005241D2">
        <w:rPr>
          <w:color w:val="000000"/>
        </w:rPr>
        <w:t xml:space="preserve"> 27.jūnija sprieduma lietā C-155/12 atziņām. Minētajā spriedumā analizētā situācija nav salīdzināma ar konkrētās lietas apstākļiem. </w:t>
      </w:r>
    </w:p>
    <w:p w:rsidR="00672D41" w:rsidRDefault="005241D2" w:rsidP="00A7026C">
      <w:pPr>
        <w:spacing w:line="276" w:lineRule="auto"/>
        <w:ind w:firstLine="567"/>
        <w:jc w:val="both"/>
      </w:pPr>
      <w:r>
        <w:t>[5.4] </w:t>
      </w:r>
      <w:r w:rsidR="00EC091C">
        <w:t>T</w:t>
      </w:r>
      <w:r w:rsidR="00CD423A">
        <w:t xml:space="preserve">iesa nepareizi interpretēja noteikumu Nr. 859 normas un izdarīja neloģiskus secinājumus, ka pieteicējam </w:t>
      </w:r>
      <w:r w:rsidR="00EC091C">
        <w:t xml:space="preserve">atbilstoši </w:t>
      </w:r>
      <w:proofErr w:type="gramStart"/>
      <w:r w:rsidR="00EC091C" w:rsidRPr="009C2E5E">
        <w:rPr>
          <w:color w:val="000000"/>
        </w:rPr>
        <w:t>2012.gada</w:t>
      </w:r>
      <w:proofErr w:type="gramEnd"/>
      <w:r w:rsidR="00EC091C" w:rsidRPr="009C2E5E">
        <w:rPr>
          <w:color w:val="000000"/>
        </w:rPr>
        <w:t xml:space="preserve"> 7.septembra rēķina</w:t>
      </w:r>
      <w:r w:rsidR="00EC091C">
        <w:rPr>
          <w:color w:val="000000"/>
        </w:rPr>
        <w:t>m</w:t>
      </w:r>
      <w:r w:rsidR="00EC091C" w:rsidRPr="009C2E5E">
        <w:rPr>
          <w:color w:val="000000"/>
        </w:rPr>
        <w:t xml:space="preserve"> Nr.</w:t>
      </w:r>
      <w:r w:rsidR="00EC091C">
        <w:rPr>
          <w:color w:val="000000"/>
        </w:rPr>
        <w:t> </w:t>
      </w:r>
      <w:r w:rsidR="00EC091C" w:rsidRPr="009C2E5E">
        <w:rPr>
          <w:color w:val="000000"/>
        </w:rPr>
        <w:t>442-2012</w:t>
      </w:r>
      <w:r w:rsidR="00EC091C">
        <w:rPr>
          <w:color w:val="000000"/>
        </w:rPr>
        <w:t xml:space="preserve"> un </w:t>
      </w:r>
      <w:r w:rsidR="00EC091C" w:rsidRPr="009C2E5E">
        <w:rPr>
          <w:color w:val="000000"/>
        </w:rPr>
        <w:t>2014.gada 17.aprīļa rēķin</w:t>
      </w:r>
      <w:r w:rsidR="00EC091C">
        <w:rPr>
          <w:color w:val="000000"/>
        </w:rPr>
        <w:t>am</w:t>
      </w:r>
      <w:r w:rsidR="00EC091C" w:rsidRPr="009C2E5E">
        <w:rPr>
          <w:color w:val="000000"/>
        </w:rPr>
        <w:t xml:space="preserve"> Nr.</w:t>
      </w:r>
      <w:r w:rsidR="00EC091C">
        <w:rPr>
          <w:color w:val="000000"/>
        </w:rPr>
        <w:t> </w:t>
      </w:r>
      <w:r w:rsidR="00EC091C" w:rsidRPr="009C2E5E">
        <w:rPr>
          <w:color w:val="000000"/>
        </w:rPr>
        <w:t xml:space="preserve">241-2014 </w:t>
      </w:r>
      <w:r w:rsidR="00CD423A">
        <w:t>ir atmaksājamas juridisko pakalpojumu izmaksas gan par divām stundām juridisk</w:t>
      </w:r>
      <w:r w:rsidR="00EC091C">
        <w:t>o</w:t>
      </w:r>
      <w:r w:rsidR="00CD423A">
        <w:t xml:space="preserve"> konsultācij</w:t>
      </w:r>
      <w:r w:rsidR="00EC091C">
        <w:t>u</w:t>
      </w:r>
      <w:r w:rsidR="00CD423A">
        <w:t>, gan par pieteikuma</w:t>
      </w:r>
      <w:r w:rsidR="00EC091C">
        <w:t>/</w:t>
      </w:r>
      <w:r w:rsidR="00CD423A">
        <w:t>apelācijas sūdzības sagatavošanu, kaut arī rēķinos</w:t>
      </w:r>
      <w:r w:rsidR="00EC091C">
        <w:t xml:space="preserve"> norādītais</w:t>
      </w:r>
      <w:r w:rsidR="00CD423A">
        <w:t xml:space="preserve"> kopējais patērēto stundu skaits – divas stundas – norādīts par abām šīm darbībām. </w:t>
      </w:r>
    </w:p>
    <w:p w:rsidR="00CD423A" w:rsidRPr="00672D41" w:rsidRDefault="005241D2" w:rsidP="00A7026C">
      <w:pPr>
        <w:spacing w:line="276" w:lineRule="auto"/>
        <w:ind w:firstLine="567"/>
        <w:jc w:val="both"/>
      </w:pPr>
      <w:r>
        <w:t>[5.5</w:t>
      </w:r>
      <w:r w:rsidR="00EC091C">
        <w:t>] D</w:t>
      </w:r>
      <w:r w:rsidR="00CD423A">
        <w:t>okumentu iesniegšanu valsts valodā valsts iestādēs un ties</w:t>
      </w:r>
      <w:r w:rsidR="00C21252">
        <w:t>ā</w:t>
      </w:r>
      <w:r w:rsidR="00CD423A">
        <w:t>s nosaka normatīvie akti. Tā kā šādu prasību ir noteicis likumdevējs, nevar uzskatīt, ka tā ir cēloņsakarībā ar dienesta rīc</w:t>
      </w:r>
      <w:r w:rsidR="00C21252">
        <w:t xml:space="preserve">ību. </w:t>
      </w:r>
      <w:r w:rsidR="00CD423A">
        <w:t>Turklāt administratīvajā procesā nav paredzēts</w:t>
      </w:r>
      <w:r w:rsidR="009A30CA" w:rsidRPr="009A30CA">
        <w:t xml:space="preserve"> </w:t>
      </w:r>
      <w:r w:rsidR="009A30CA">
        <w:t>nodrošināt tulku</w:t>
      </w:r>
      <w:r w:rsidR="00CD423A">
        <w:t xml:space="preserve"> juridiskajai personai</w:t>
      </w:r>
      <w:r w:rsidR="00C21252">
        <w:t xml:space="preserve">, lai process notiktu komercsabiedrības amatpersonai saprotamā valodā, jo juridiskās personas darbību </w:t>
      </w:r>
      <w:r>
        <w:t xml:space="preserve">īsteno </w:t>
      </w:r>
      <w:r w:rsidR="00C21252">
        <w:t>ar pārstāvja palīdzību</w:t>
      </w:r>
      <w:r>
        <w:t>.</w:t>
      </w:r>
      <w:r w:rsidR="00C21252">
        <w:t xml:space="preserve"> Tādējādi juridisk</w:t>
      </w:r>
      <w:r w:rsidR="00335448">
        <w:t>aj</w:t>
      </w:r>
      <w:r w:rsidR="00C21252">
        <w:t>ai personai, veicot komercdarbību citā valstī, ir jānodrošina sev</w:t>
      </w:r>
      <w:r w:rsidR="009A30CA">
        <w:t xml:space="preserve"> tāds</w:t>
      </w:r>
      <w:r w:rsidR="00C21252">
        <w:t xml:space="preserve"> pārstāvi</w:t>
      </w:r>
      <w:r w:rsidR="009A30CA">
        <w:t>s</w:t>
      </w:r>
      <w:r w:rsidR="00C21252">
        <w:t xml:space="preserve">, kuram tā uzticas un kurš saprot attiecīgās valsts valodu. </w:t>
      </w:r>
      <w:r w:rsidR="00EC091C">
        <w:t>T</w:t>
      </w:r>
      <w:r w:rsidR="00C21252">
        <w:t>iesa, secinot, ka šis prasījums ir jāvērtē atbilstoši vispārīgajai mantisko zaudējumu atlīdzināšanas kārtībai</w:t>
      </w:r>
      <w:r>
        <w:t>,</w:t>
      </w:r>
      <w:r w:rsidR="00EC091C">
        <w:t xml:space="preserve"> </w:t>
      </w:r>
      <w:r w:rsidR="00C21252">
        <w:t>nav ņēmusi vērā Administratīvā procesa likuma 110.pantu.</w:t>
      </w:r>
    </w:p>
    <w:p w:rsidR="00AD5A61" w:rsidRPr="00B01678" w:rsidRDefault="00AD5A61" w:rsidP="007D68C0">
      <w:pPr>
        <w:spacing w:line="276" w:lineRule="auto"/>
        <w:ind w:firstLine="567"/>
        <w:jc w:val="both"/>
      </w:pPr>
    </w:p>
    <w:p w:rsidR="00AD5A61" w:rsidRPr="00B01678" w:rsidRDefault="00AD5A61" w:rsidP="007D68C0">
      <w:pPr>
        <w:spacing w:line="276" w:lineRule="auto"/>
        <w:jc w:val="center"/>
        <w:outlineLvl w:val="0"/>
        <w:rPr>
          <w:rFonts w:ascii="TimesNewRomanPSMT" w:eastAsiaTheme="minorHAnsi" w:hAnsi="TimesNewRomanPSMT" w:cs="TimesNewRomanPSMT"/>
          <w:b/>
          <w:lang w:eastAsia="en-US"/>
        </w:rPr>
      </w:pPr>
      <w:r w:rsidRPr="00B01678">
        <w:rPr>
          <w:rFonts w:ascii="TimesNewRomanPSMT" w:eastAsiaTheme="minorHAnsi" w:hAnsi="TimesNewRomanPSMT" w:cs="TimesNewRomanPSMT"/>
          <w:b/>
          <w:lang w:eastAsia="en-US"/>
        </w:rPr>
        <w:t>Motīvu daļa</w:t>
      </w:r>
    </w:p>
    <w:p w:rsidR="00AD5A61" w:rsidRPr="007D68C0" w:rsidRDefault="00AD5A61" w:rsidP="007D68C0">
      <w:pPr>
        <w:spacing w:line="276" w:lineRule="auto"/>
        <w:ind w:firstLine="567"/>
        <w:jc w:val="both"/>
        <w:rPr>
          <w:rFonts w:ascii="TimesNewRomanPSMT" w:eastAsiaTheme="minorHAnsi" w:hAnsi="TimesNewRomanPSMT" w:cs="TimesNewRomanPSMT"/>
          <w:lang w:eastAsia="en-US"/>
        </w:rPr>
      </w:pPr>
    </w:p>
    <w:p w:rsidR="00FF3EE4" w:rsidRDefault="007D68C0" w:rsidP="00C568DA">
      <w:pPr>
        <w:spacing w:line="276" w:lineRule="auto"/>
        <w:ind w:firstLine="567"/>
        <w:jc w:val="both"/>
        <w:rPr>
          <w:shd w:val="clear" w:color="auto" w:fill="FFFFFF"/>
        </w:rPr>
      </w:pPr>
      <w:r w:rsidRPr="00C568DA">
        <w:rPr>
          <w:rFonts w:eastAsiaTheme="minorHAnsi"/>
          <w:lang w:eastAsia="en-US"/>
        </w:rPr>
        <w:t>[</w:t>
      </w:r>
      <w:r w:rsidR="00297080" w:rsidRPr="00C568DA">
        <w:rPr>
          <w:rFonts w:eastAsiaTheme="minorHAnsi"/>
          <w:lang w:eastAsia="en-US"/>
        </w:rPr>
        <w:t>6</w:t>
      </w:r>
      <w:r w:rsidRPr="00C568DA">
        <w:rPr>
          <w:rFonts w:eastAsiaTheme="minorHAnsi"/>
          <w:lang w:eastAsia="en-US"/>
        </w:rPr>
        <w:t>]</w:t>
      </w:r>
      <w:r w:rsidR="00DB3DBB" w:rsidRPr="00C568DA">
        <w:rPr>
          <w:rFonts w:eastAsiaTheme="minorHAnsi"/>
          <w:lang w:eastAsia="en-US"/>
        </w:rPr>
        <w:t> </w:t>
      </w:r>
      <w:r w:rsidR="00C568DA">
        <w:rPr>
          <w:rFonts w:eastAsiaTheme="minorHAnsi"/>
          <w:lang w:eastAsia="en-US"/>
        </w:rPr>
        <w:t xml:space="preserve">Kā pamatoti kasācijas sūdzībā norādījis dienests, </w:t>
      </w:r>
      <w:r w:rsidR="00FF3EE4" w:rsidRPr="00C568DA">
        <w:rPr>
          <w:rFonts w:eastAsiaTheme="minorHAnsi"/>
          <w:lang w:eastAsia="en-US"/>
        </w:rPr>
        <w:t xml:space="preserve">likuma </w:t>
      </w:r>
      <w:r w:rsidR="00FF3EE4" w:rsidRPr="00C568DA">
        <w:t>„Par pievienotās vērtības nodokli” 12.</w:t>
      </w:r>
      <w:proofErr w:type="gramStart"/>
      <w:r w:rsidR="00FF3EE4" w:rsidRPr="00C568DA">
        <w:rPr>
          <w:vertAlign w:val="superscript"/>
        </w:rPr>
        <w:t>5</w:t>
      </w:r>
      <w:r w:rsidR="00FF3EE4" w:rsidRPr="00C568DA">
        <w:t>pant</w:t>
      </w:r>
      <w:r w:rsidR="00FF3EE4">
        <w:t>ā</w:t>
      </w:r>
      <w:proofErr w:type="gramEnd"/>
      <w:r w:rsidR="00FF3EE4">
        <w:t xml:space="preserve"> iekļautas tiesību normas, kas izriet no </w:t>
      </w:r>
      <w:r w:rsidR="00FF3EE4">
        <w:rPr>
          <w:shd w:val="clear" w:color="auto" w:fill="FFFFFF"/>
        </w:rPr>
        <w:t xml:space="preserve">direktīvas 2008/9/EK 3. un 5.panta. </w:t>
      </w:r>
    </w:p>
    <w:p w:rsidR="00C568DA" w:rsidRPr="00C568DA" w:rsidRDefault="00C568DA" w:rsidP="00C568DA">
      <w:pPr>
        <w:spacing w:line="276" w:lineRule="auto"/>
        <w:ind w:firstLine="567"/>
        <w:jc w:val="both"/>
      </w:pPr>
      <w:r w:rsidRPr="00C568DA">
        <w:rPr>
          <w:rFonts w:eastAsiaTheme="minorHAnsi"/>
          <w:lang w:eastAsia="en-US"/>
        </w:rPr>
        <w:t xml:space="preserve">Atbilstoši likuma </w:t>
      </w:r>
      <w:r w:rsidRPr="00C568DA">
        <w:t>„Par pievienotās vērtības nodokli” 12.</w:t>
      </w:r>
      <w:r w:rsidRPr="00C568DA">
        <w:rPr>
          <w:vertAlign w:val="superscript"/>
        </w:rPr>
        <w:t>5</w:t>
      </w:r>
      <w:r w:rsidRPr="00C568DA">
        <w:t>panta pirmajai daļai citas dalībvalsts apliekamajai personai atmaksā samaksāto nodokli par iekšzemē iegādātajām precēm, saņemtajiem pakalpojumiem un par preču importu apliekamo darījumu nodrošināšanai citā dalībvalstī, ja laika periodā, par kuru pieprasa atmaksāt nodokli, šī persona:</w:t>
      </w:r>
    </w:p>
    <w:p w:rsidR="00C568DA" w:rsidRPr="00C568DA" w:rsidRDefault="00C568DA" w:rsidP="00C568DA">
      <w:pPr>
        <w:pStyle w:val="tv213"/>
        <w:shd w:val="clear" w:color="auto" w:fill="FFFFFF"/>
        <w:spacing w:before="0" w:beforeAutospacing="0" w:after="0" w:afterAutospacing="0" w:line="276" w:lineRule="auto"/>
        <w:ind w:firstLine="567"/>
        <w:jc w:val="both"/>
      </w:pPr>
      <w:r w:rsidRPr="00C568DA">
        <w:t>1) ir bijusi reģistrēta citas dalībvalsts ar pievienotās vērtības nodokli apliekamo personu reģistrā;</w:t>
      </w:r>
    </w:p>
    <w:p w:rsidR="00C568DA" w:rsidRPr="00C568DA" w:rsidRDefault="00C568DA" w:rsidP="00C568DA">
      <w:pPr>
        <w:pStyle w:val="tv213"/>
        <w:shd w:val="clear" w:color="auto" w:fill="FFFFFF"/>
        <w:spacing w:before="0" w:beforeAutospacing="0" w:after="0" w:afterAutospacing="0" w:line="276" w:lineRule="auto"/>
        <w:ind w:firstLine="567"/>
        <w:jc w:val="both"/>
      </w:pPr>
      <w:r w:rsidRPr="00C568DA">
        <w:t>2) nav veikusi saskaņā ar spēkā esošajiem normatīvajiem aktiem reģistrējamu saimniecisko darbību iekšzemē;</w:t>
      </w:r>
    </w:p>
    <w:p w:rsidR="00C568DA" w:rsidRDefault="00C568DA" w:rsidP="00C568DA">
      <w:pPr>
        <w:pStyle w:val="tv213"/>
        <w:shd w:val="clear" w:color="auto" w:fill="FFFFFF"/>
        <w:spacing w:before="0" w:beforeAutospacing="0" w:after="0" w:afterAutospacing="0" w:line="276" w:lineRule="auto"/>
        <w:ind w:firstLine="567"/>
        <w:jc w:val="both"/>
      </w:pPr>
      <w:r w:rsidRPr="00C568DA">
        <w:t>3) nav veikusi iekšzemē apliekamus darījumus, kuru veikšanai būtu jāreģistrējas Valsts ieņēmumu dienesta ar pievienotās vērtības nodokli apliekamo personu reģistrā.</w:t>
      </w:r>
    </w:p>
    <w:p w:rsidR="00C1385B" w:rsidRDefault="00FF3EE4" w:rsidP="00C568DA">
      <w:pPr>
        <w:pStyle w:val="tv213"/>
        <w:shd w:val="clear" w:color="auto" w:fill="FFFFFF"/>
        <w:spacing w:before="0" w:beforeAutospacing="0" w:after="0" w:afterAutospacing="0" w:line="276" w:lineRule="auto"/>
        <w:ind w:firstLine="567"/>
        <w:jc w:val="both"/>
      </w:pPr>
      <w:r>
        <w:t>No kasācijas sūdzības izriet, ka</w:t>
      </w:r>
      <w:r w:rsidR="00906E29">
        <w:t xml:space="preserve">, dienesta ieskatā, </w:t>
      </w:r>
      <w:r>
        <w:t xml:space="preserve">pieteicējam nav tiesību prasīt atmaksāt pievienotās vērtības nodokli par iekšzemē saņemtajiem </w:t>
      </w:r>
      <w:r w:rsidR="00906E29">
        <w:t>naktsmītnes</w:t>
      </w:r>
      <w:r>
        <w:t>,</w:t>
      </w:r>
      <w:r w:rsidRPr="004F7E91">
        <w:t xml:space="preserve"> konferenču telpu nomas</w:t>
      </w:r>
      <w:r>
        <w:t xml:space="preserve"> un restorāna pakalpojumiem</w:t>
      </w:r>
      <w:r w:rsidR="00906E29">
        <w:t xml:space="preserve">, jo neizpildās </w:t>
      </w:r>
      <w:r w:rsidR="00906E29" w:rsidRPr="00C568DA">
        <w:t>„Par pievienotās vērtības nodokli” 12.</w:t>
      </w:r>
      <w:r w:rsidR="00906E29" w:rsidRPr="00C568DA">
        <w:rPr>
          <w:vertAlign w:val="superscript"/>
        </w:rPr>
        <w:t>5</w:t>
      </w:r>
      <w:r w:rsidR="00906E29" w:rsidRPr="00C568DA">
        <w:t>panta</w:t>
      </w:r>
      <w:r w:rsidR="00906E29">
        <w:t xml:space="preserve"> pirmās daļas 3.punkta nosacījums</w:t>
      </w:r>
      <w:r w:rsidR="00B45A38">
        <w:t>.</w:t>
      </w:r>
      <w:r w:rsidR="003F4EEF">
        <w:t xml:space="preserve"> </w:t>
      </w:r>
      <w:r w:rsidR="00B45A38">
        <w:t>P</w:t>
      </w:r>
      <w:r w:rsidR="003F4EEF">
        <w:t>roti, pieteicējs ir veicis iekšzem</w:t>
      </w:r>
      <w:r w:rsidR="00335448">
        <w:t>ē</w:t>
      </w:r>
      <w:r w:rsidR="003F4EEF">
        <w:t xml:space="preserve"> apliekamus darījumus, be</w:t>
      </w:r>
      <w:r w:rsidR="00B45A38">
        <w:t>t</w:t>
      </w:r>
      <w:r w:rsidR="003F4EEF">
        <w:t xml:space="preserve"> nav reģistrējies dienesta ar pievienotās </w:t>
      </w:r>
      <w:r w:rsidR="00B45A38" w:rsidRPr="00C568DA">
        <w:t>vērtības nodokli apliekamo personu reģistrā</w:t>
      </w:r>
      <w:r w:rsidR="00906E29">
        <w:t xml:space="preserve">. </w:t>
      </w:r>
    </w:p>
    <w:p w:rsidR="00C1385B" w:rsidRDefault="00C1385B" w:rsidP="00C568DA">
      <w:pPr>
        <w:pStyle w:val="tv213"/>
        <w:shd w:val="clear" w:color="auto" w:fill="FFFFFF"/>
        <w:spacing w:before="0" w:beforeAutospacing="0" w:after="0" w:afterAutospacing="0" w:line="276" w:lineRule="auto"/>
        <w:ind w:firstLine="567"/>
        <w:jc w:val="both"/>
      </w:pPr>
      <w:r>
        <w:t xml:space="preserve">Iestādes procesa laikā dienests </w:t>
      </w:r>
      <w:r w:rsidR="00617E2E">
        <w:t>minēto</w:t>
      </w:r>
      <w:r w:rsidR="00B45A38">
        <w:t xml:space="preserve"> secinājumu</w:t>
      </w:r>
      <w:r>
        <w:t xml:space="preserve"> pamatoja ar </w:t>
      </w:r>
      <w:r w:rsidRPr="004F7E91">
        <w:t>direkt</w:t>
      </w:r>
      <w:r>
        <w:t>īvas</w:t>
      </w:r>
      <w:r w:rsidRPr="004F7E91">
        <w:t xml:space="preserve"> </w:t>
      </w:r>
      <w:r w:rsidRPr="006D26C2">
        <w:t>2006/112/EK</w:t>
      </w:r>
      <w:r>
        <w:t xml:space="preserve"> </w:t>
      </w:r>
      <w:proofErr w:type="gramStart"/>
      <w:r>
        <w:t>53.pantu</w:t>
      </w:r>
      <w:proofErr w:type="gramEnd"/>
      <w:r w:rsidR="003173B3">
        <w:t xml:space="preserve"> un l</w:t>
      </w:r>
      <w:r w:rsidR="003173B3" w:rsidRPr="005F1E2D">
        <w:t>ikuma „Par pievienotās vērtības nodokli” 4.</w:t>
      </w:r>
      <w:r w:rsidR="003173B3" w:rsidRPr="005F1E2D">
        <w:rPr>
          <w:vertAlign w:val="superscript"/>
        </w:rPr>
        <w:t>1</w:t>
      </w:r>
      <w:r w:rsidR="003173B3" w:rsidRPr="005F1E2D">
        <w:t>panta</w:t>
      </w:r>
      <w:r w:rsidR="003173B3">
        <w:t xml:space="preserve"> </w:t>
      </w:r>
      <w:r w:rsidR="00335448">
        <w:t>6.</w:t>
      </w:r>
      <w:r w:rsidR="00335448">
        <w:rPr>
          <w:vertAlign w:val="superscript"/>
        </w:rPr>
        <w:t>1</w:t>
      </w:r>
      <w:r w:rsidR="003173B3">
        <w:t>daļu</w:t>
      </w:r>
      <w:r w:rsidR="00B45A38">
        <w:t>, norādot, ka</w:t>
      </w:r>
      <w:r>
        <w:t xml:space="preserve"> konferences </w:t>
      </w:r>
      <w:r>
        <w:lastRenderedPageBreak/>
        <w:t>organizēšanas pakalpojuma sniegšanas vieta ir vieta, kur faktiski noti</w:t>
      </w:r>
      <w:r w:rsidR="00B45A38">
        <w:t>e</w:t>
      </w:r>
      <w:r>
        <w:t>k pasākums. Taču no lietas materiāliem secināms, ka tiesvedības laikā šis pamatojums vairs netiek uzturēts</w:t>
      </w:r>
      <w:r w:rsidR="00B45A38">
        <w:t>.</w:t>
      </w:r>
      <w:r w:rsidR="00617E2E">
        <w:t xml:space="preserve"> </w:t>
      </w:r>
      <w:r w:rsidR="00B45A38">
        <w:t>D</w:t>
      </w:r>
      <w:r w:rsidR="00906E29">
        <w:t>ienest</w:t>
      </w:r>
      <w:r w:rsidR="00B45A38">
        <w:t>a</w:t>
      </w:r>
      <w:r w:rsidR="00906E29">
        <w:t xml:space="preserve"> </w:t>
      </w:r>
      <w:r w:rsidR="00617E2E">
        <w:t>arguments</w:t>
      </w:r>
      <w:r w:rsidR="00B45A38">
        <w:t xml:space="preserve">, kāpēc attiecībā uz pieteicēju neizpildās visi priekšnoteikumi labvēlīga administratīvā akta izdošanai, </w:t>
      </w:r>
      <w:r w:rsidR="00617E2E">
        <w:t>ir tāds</w:t>
      </w:r>
      <w:r w:rsidR="00906E29">
        <w:t xml:space="preserve">, ka </w:t>
      </w:r>
      <w:r w:rsidR="00B45A38">
        <w:t>pieteicējs Latvijā</w:t>
      </w:r>
      <w:r w:rsidR="00906E29">
        <w:t xml:space="preserve"> saņemtos pakalpojumus tālāk savā vārdā, iekļaujot izrakstītajā rēķinā par konferences organizēšanas pakalpojumiem un saņemot pilnu samaksu par šo pakalpojumu sniegšanu, sniedzis Igaunijas komersantam </w:t>
      </w:r>
      <w:r w:rsidR="00906E29" w:rsidRPr="00755226">
        <w:rPr>
          <w:i/>
          <w:color w:val="000000"/>
        </w:rPr>
        <w:t>OÜ </w:t>
      </w:r>
      <w:proofErr w:type="spellStart"/>
      <w:r w:rsidR="00906E29" w:rsidRPr="00755226">
        <w:rPr>
          <w:i/>
          <w:color w:val="000000"/>
        </w:rPr>
        <w:t>Elme</w:t>
      </w:r>
      <w:proofErr w:type="spellEnd"/>
      <w:r w:rsidR="00906E29" w:rsidRPr="00755226">
        <w:rPr>
          <w:i/>
          <w:color w:val="000000"/>
        </w:rPr>
        <w:t xml:space="preserve"> </w:t>
      </w:r>
      <w:proofErr w:type="spellStart"/>
      <w:r w:rsidR="00906E29" w:rsidRPr="00755226">
        <w:rPr>
          <w:i/>
          <w:color w:val="000000"/>
        </w:rPr>
        <w:t>Metall</w:t>
      </w:r>
      <w:proofErr w:type="spellEnd"/>
      <w:r w:rsidR="00906E29">
        <w:rPr>
          <w:color w:val="000000"/>
        </w:rPr>
        <w:t xml:space="preserve"> </w:t>
      </w:r>
      <w:r w:rsidRPr="004F7E91">
        <w:t>un šo pakalpojumu sniegšanas vieta ir iekš</w:t>
      </w:r>
      <w:r>
        <w:t>zeme (Latvija), jo pakalpojumi ir saistīti ar nekustamo īpašumu.</w:t>
      </w:r>
    </w:p>
    <w:p w:rsidR="00906E29" w:rsidRPr="005F1E2D" w:rsidRDefault="00C1385B" w:rsidP="00C568DA">
      <w:pPr>
        <w:pStyle w:val="tv213"/>
        <w:shd w:val="clear" w:color="auto" w:fill="FFFFFF"/>
        <w:spacing w:before="0" w:beforeAutospacing="0" w:after="0" w:afterAutospacing="0" w:line="276" w:lineRule="auto"/>
        <w:ind w:firstLine="567"/>
        <w:jc w:val="both"/>
      </w:pPr>
      <w:r w:rsidRPr="005F1E2D">
        <w:t xml:space="preserve"> </w:t>
      </w:r>
    </w:p>
    <w:p w:rsidR="00617E2E" w:rsidRPr="00C2500F" w:rsidRDefault="00617E2E" w:rsidP="00B55761">
      <w:pPr>
        <w:pStyle w:val="NormalWeb"/>
        <w:spacing w:before="0" w:beforeAutospacing="0" w:after="0" w:afterAutospacing="0" w:line="276" w:lineRule="auto"/>
        <w:ind w:firstLine="567"/>
        <w:jc w:val="both"/>
      </w:pPr>
      <w:r w:rsidRPr="005F1E2D">
        <w:t>[</w:t>
      </w:r>
      <w:r w:rsidR="009F37B3" w:rsidRPr="005F1E2D">
        <w:t>7</w:t>
      </w:r>
      <w:r w:rsidR="00476246" w:rsidRPr="005F1E2D">
        <w:t>] </w:t>
      </w:r>
      <w:r w:rsidR="003173B3">
        <w:t>Atbilstoši l</w:t>
      </w:r>
      <w:r w:rsidR="00A7026C" w:rsidRPr="005F1E2D">
        <w:t xml:space="preserve">ikuma </w:t>
      </w:r>
      <w:r w:rsidR="00755226" w:rsidRPr="005F1E2D">
        <w:t>„</w:t>
      </w:r>
      <w:r w:rsidR="00A7026C" w:rsidRPr="005F1E2D">
        <w:t xml:space="preserve">Par pievienotās vērtības nodokli” </w:t>
      </w:r>
      <w:r w:rsidRPr="005F1E2D">
        <w:t>4.</w:t>
      </w:r>
      <w:r w:rsidRPr="005F1E2D">
        <w:rPr>
          <w:vertAlign w:val="superscript"/>
        </w:rPr>
        <w:t>1</w:t>
      </w:r>
      <w:r w:rsidRPr="005F1E2D">
        <w:t>panta</w:t>
      </w:r>
      <w:r w:rsidR="00526241">
        <w:t xml:space="preserve"> astot</w:t>
      </w:r>
      <w:r w:rsidR="003173B3">
        <w:t>ajai</w:t>
      </w:r>
      <w:r w:rsidR="00526241">
        <w:t xml:space="preserve"> daļa</w:t>
      </w:r>
      <w:r w:rsidR="003173B3">
        <w:t xml:space="preserve">i </w:t>
      </w:r>
      <w:r w:rsidR="00526241">
        <w:t>a</w:t>
      </w:r>
      <w:r w:rsidR="005F1E2D" w:rsidRPr="005F1E2D">
        <w:rPr>
          <w:shd w:val="clear" w:color="auto" w:fill="FFFFFF"/>
        </w:rPr>
        <w:t xml:space="preserve">r nekustamo īpašumu saistīto pakalpojumu, </w:t>
      </w:r>
      <w:r w:rsidR="003173B3" w:rsidRPr="00C2500F">
        <w:rPr>
          <w:shd w:val="clear" w:color="auto" w:fill="FFFFFF"/>
        </w:rPr>
        <w:t>tostarp</w:t>
      </w:r>
      <w:r w:rsidR="005F1E2D" w:rsidRPr="00C2500F">
        <w:rPr>
          <w:shd w:val="clear" w:color="auto" w:fill="FFFFFF"/>
        </w:rPr>
        <w:t xml:space="preserve"> viesu izmitināšanas pakalpojum</w:t>
      </w:r>
      <w:r w:rsidR="00335448">
        <w:rPr>
          <w:shd w:val="clear" w:color="auto" w:fill="FFFFFF"/>
        </w:rPr>
        <w:t>u un</w:t>
      </w:r>
      <w:r w:rsidR="005F1E2D" w:rsidRPr="00C2500F">
        <w:rPr>
          <w:shd w:val="clear" w:color="auto" w:fill="FFFFFF"/>
        </w:rPr>
        <w:t xml:space="preserve"> nekustamā īpašuma nomas pakalpojumu, sniegšanas vieta ir tā vieta, kur šis nekustamais īpašums atrodas.</w:t>
      </w:r>
    </w:p>
    <w:p w:rsidR="00617E2E" w:rsidRPr="00C2500F" w:rsidRDefault="003173B3" w:rsidP="00B55761">
      <w:pPr>
        <w:pStyle w:val="NormalWeb"/>
        <w:spacing w:before="0" w:beforeAutospacing="0" w:after="0" w:afterAutospacing="0" w:line="276" w:lineRule="auto"/>
        <w:ind w:firstLine="567"/>
        <w:jc w:val="both"/>
      </w:pPr>
      <w:r w:rsidRPr="00C2500F">
        <w:t>Likuma 4.</w:t>
      </w:r>
      <w:r w:rsidRPr="00C2500F">
        <w:rPr>
          <w:vertAlign w:val="superscript"/>
        </w:rPr>
        <w:t>1</w:t>
      </w:r>
      <w:r w:rsidRPr="00C2500F">
        <w:t xml:space="preserve">panta </w:t>
      </w:r>
      <w:r w:rsidR="00335448">
        <w:rPr>
          <w:shd w:val="clear" w:color="auto" w:fill="FFFFFF"/>
        </w:rPr>
        <w:t xml:space="preserve">astoņpadsmitā </w:t>
      </w:r>
      <w:r w:rsidRPr="00C2500F">
        <w:rPr>
          <w:shd w:val="clear" w:color="auto" w:fill="FFFFFF"/>
        </w:rPr>
        <w:t>daļa paredz, ka r</w:t>
      </w:r>
      <w:r w:rsidR="005F1E2D" w:rsidRPr="00C2500F">
        <w:rPr>
          <w:shd w:val="clear" w:color="auto" w:fill="FFFFFF"/>
        </w:rPr>
        <w:t>estorānu un ēdināšanas pakalpojumu sniegšanas vieta, izņemot gadījumus, kad šos pakalpojumus sniedz uz kuģiem, gaisakuģos vai vilcienos pasažieru pārvadāšanas posmā Eiropas Savienības teritorijā, ir tā vieta, kur faktiski tiek sniegti šie pakalpojumi.</w:t>
      </w:r>
    </w:p>
    <w:p w:rsidR="00617E2E" w:rsidRDefault="008B7B83" w:rsidP="00B55761">
      <w:pPr>
        <w:pStyle w:val="NormalWeb"/>
        <w:spacing w:before="0" w:beforeAutospacing="0" w:after="0" w:afterAutospacing="0" w:line="276" w:lineRule="auto"/>
        <w:ind w:firstLine="567"/>
        <w:jc w:val="both"/>
      </w:pPr>
      <w:r w:rsidRPr="00C2500F">
        <w:t>A</w:t>
      </w:r>
      <w:r w:rsidR="003F4EEF" w:rsidRPr="00C2500F">
        <w:t xml:space="preserve">plūkojot atsevišķi katru no </w:t>
      </w:r>
      <w:r w:rsidRPr="00C2500F">
        <w:t>strīdus</w:t>
      </w:r>
      <w:r w:rsidR="003F4EEF" w:rsidRPr="00C2500F">
        <w:t xml:space="preserve"> pakalpojumu veidiem – viesu izmitināšanas</w:t>
      </w:r>
      <w:r w:rsidR="003F4EEF">
        <w:t xml:space="preserve"> pakalpojumu, nekustamā īpašuma nomas pakalpojumu un ēdināšanas pakalpojumu, no minētajām tiesību normām izriet, ka to sniegšanas vieta ir nosakāma</w:t>
      </w:r>
      <w:r>
        <w:t xml:space="preserve"> attiecīgi</w:t>
      </w:r>
      <w:r w:rsidR="003F4EEF">
        <w:t xml:space="preserve"> pēc nekustamā īpašuma atrašanās vietas un faktiskās pakalpojuma sniegšanas vietas.</w:t>
      </w:r>
      <w:r>
        <w:t xml:space="preserve"> </w:t>
      </w:r>
    </w:p>
    <w:p w:rsidR="009C5188" w:rsidRPr="009C5188" w:rsidRDefault="008B7B83" w:rsidP="00B55761">
      <w:pPr>
        <w:pStyle w:val="NormalWeb"/>
        <w:spacing w:before="0" w:beforeAutospacing="0" w:after="0" w:afterAutospacing="0" w:line="276" w:lineRule="auto"/>
        <w:ind w:firstLine="567"/>
        <w:jc w:val="both"/>
      </w:pPr>
      <w:r>
        <w:t xml:space="preserve">Dienests uzskata, ka apgabaltiesa ir nepareizi piemērojusi šīs tiesību normas, jo nepiekrīt apgabaltiesas secinājumiem, ka konferences organizēšanas </w:t>
      </w:r>
      <w:r w:rsidR="00A349C8">
        <w:t xml:space="preserve">un vadības </w:t>
      </w:r>
      <w:r>
        <w:t>pakalpojums ir vienota darījuma galvenais pakalpojums, bet minētie strīdus pakalpojumi ir papildpakalpojumi, kas to veido.</w:t>
      </w:r>
      <w:r w:rsidR="00181592">
        <w:t xml:space="preserve"> </w:t>
      </w:r>
      <w:r w:rsidRPr="00545BC4">
        <w:t>Minētais arguments nav pamatots turpmāk norādīto apsvērumu dēļ.</w:t>
      </w:r>
    </w:p>
    <w:p w:rsidR="009C5188" w:rsidRPr="009C5188" w:rsidRDefault="009C5188" w:rsidP="00B55761">
      <w:pPr>
        <w:pStyle w:val="NormalWeb"/>
        <w:spacing w:before="0" w:beforeAutospacing="0" w:after="0" w:afterAutospacing="0" w:line="276" w:lineRule="auto"/>
        <w:ind w:firstLine="567"/>
        <w:jc w:val="both"/>
      </w:pPr>
    </w:p>
    <w:p w:rsidR="00C2500F" w:rsidRDefault="009C5188" w:rsidP="00B55761">
      <w:pPr>
        <w:pStyle w:val="NormalWeb"/>
        <w:spacing w:before="0" w:beforeAutospacing="0" w:after="0" w:afterAutospacing="0" w:line="276" w:lineRule="auto"/>
        <w:ind w:firstLine="567"/>
        <w:jc w:val="both"/>
        <w:rPr>
          <w:color w:val="000000"/>
        </w:rPr>
      </w:pPr>
      <w:r>
        <w:t xml:space="preserve">[8] Vispārīgi </w:t>
      </w:r>
      <w:r w:rsidRPr="006D7363">
        <w:t xml:space="preserve">no </w:t>
      </w:r>
      <w:r>
        <w:t>direktīvas 2006/11</w:t>
      </w:r>
      <w:r w:rsidR="00B46CCF">
        <w:t>2</w:t>
      </w:r>
      <w:r>
        <w:t>/EK 2.</w:t>
      </w:r>
      <w:r w:rsidRPr="006D7363">
        <w:t>panta izriet, ka katrs pakalpojums parasti ir jāuzskata par atsevišķu un neatkarīgu</w:t>
      </w:r>
      <w:r>
        <w:t xml:space="preserve"> (</w:t>
      </w:r>
      <w:r w:rsidRPr="009C5188">
        <w:rPr>
          <w:i/>
        </w:rPr>
        <w:t xml:space="preserve">Eiropas Savienības Tiesas 2008.gada 21.februāra sprieduma lietā </w:t>
      </w:r>
      <w:proofErr w:type="spellStart"/>
      <w:r w:rsidRPr="009C5188">
        <w:rPr>
          <w:i/>
        </w:rPr>
        <w:t>Part</w:t>
      </w:r>
      <w:proofErr w:type="spellEnd"/>
      <w:r w:rsidRPr="009C5188">
        <w:rPr>
          <w:i/>
        </w:rPr>
        <w:t xml:space="preserve"> </w:t>
      </w:r>
      <w:proofErr w:type="spellStart"/>
      <w:r w:rsidRPr="009C5188">
        <w:rPr>
          <w:i/>
        </w:rPr>
        <w:t>Service</w:t>
      </w:r>
      <w:proofErr w:type="spellEnd"/>
      <w:r w:rsidRPr="009C5188">
        <w:rPr>
          <w:i/>
        </w:rPr>
        <w:t>, C-425/06, ECLI:EU:C:2008:10</w:t>
      </w:r>
      <w:r w:rsidR="00335448">
        <w:rPr>
          <w:i/>
        </w:rPr>
        <w:t>8</w:t>
      </w:r>
      <w:r w:rsidRPr="009C5188">
        <w:rPr>
          <w:i/>
        </w:rPr>
        <w:t>, 50.punkts</w:t>
      </w:r>
      <w:r>
        <w:t>). Tomēr, ja pakalpojums ietver vairākus citu pakalpojumu elementus, ir jāvērtē, vai šis pakalpojums ir jāuzskata par tādu, ko veido viens vienots pakalpojums vai vairāki atsevišķi un neatkarīgi pakalpojumi, kas pievienotās vērtības nodokļa mērķiem ir jāaplūko atsevišķi</w:t>
      </w:r>
      <w:r w:rsidR="00C2500F">
        <w:t>.</w:t>
      </w:r>
      <w:r w:rsidR="00181592">
        <w:t xml:space="preserve"> Eiropas Savienības Tiesas judikatūrā, tostarp apgabaltiesas spriedumā minētajā </w:t>
      </w:r>
      <w:proofErr w:type="gramStart"/>
      <w:r w:rsidR="00181592">
        <w:rPr>
          <w:color w:val="000000"/>
        </w:rPr>
        <w:t>2013.gada</w:t>
      </w:r>
      <w:proofErr w:type="gramEnd"/>
      <w:r w:rsidR="00181592">
        <w:rPr>
          <w:color w:val="000000"/>
        </w:rPr>
        <w:t xml:space="preserve"> 27.jūnija spriedum</w:t>
      </w:r>
      <w:r w:rsidR="00335448">
        <w:rPr>
          <w:color w:val="000000"/>
        </w:rPr>
        <w:t>ā</w:t>
      </w:r>
      <w:r w:rsidR="00181592">
        <w:rPr>
          <w:color w:val="000000"/>
        </w:rPr>
        <w:t xml:space="preserve"> lietā C-155/12, ir norādīti kritēriji, kā jāveic šis izvērtējums. </w:t>
      </w:r>
      <w:r w:rsidR="00C2500F">
        <w:t xml:space="preserve">Lai arī faktiskie apstākļi </w:t>
      </w:r>
      <w:r w:rsidR="00181592">
        <w:t>un</w:t>
      </w:r>
      <w:r w:rsidR="00C2500F">
        <w:t xml:space="preserve"> pakalpojuma veid</w:t>
      </w:r>
      <w:r w:rsidR="00181592">
        <w:t>s</w:t>
      </w:r>
      <w:r w:rsidR="00C2500F">
        <w:t xml:space="preserve"> minētajā </w:t>
      </w:r>
      <w:r w:rsidR="00181592">
        <w:t xml:space="preserve">Eiropas Savienības Tiesas </w:t>
      </w:r>
      <w:r w:rsidR="00C2500F">
        <w:t>lietā atšķiras no izskatāmās lietas</w:t>
      </w:r>
      <w:r w:rsidR="00181592">
        <w:t xml:space="preserve"> apstākļiem</w:t>
      </w:r>
      <w:r w:rsidR="00C2500F">
        <w:t xml:space="preserve">, apgabaltiesa ir pamatoti ir atsaukusies uz spriedumā ietvertajā atziņām, </w:t>
      </w:r>
      <w:r w:rsidR="00181592">
        <w:t xml:space="preserve">jo tās ir vispārīgas un balstītas jau pastāvošajā Eiropas Savienības Tiesas </w:t>
      </w:r>
      <w:r w:rsidR="00C2500F">
        <w:t>judikatūr</w:t>
      </w:r>
      <w:r w:rsidR="00181592">
        <w:t>ā. Proti, tās nav piemērojamas tikai vienas konkrētās lietas apstākļiem</w:t>
      </w:r>
      <w:r w:rsidR="00C2500F">
        <w:t>.</w:t>
      </w:r>
      <w:r w:rsidR="00181592">
        <w:t xml:space="preserve"> Tāpēc nav pamatots kasācijas sūdzības arguments, ka apgabaltiesa </w:t>
      </w:r>
      <w:r w:rsidR="00B87356">
        <w:t>nepamatoti atsaukusies uz</w:t>
      </w:r>
      <w:r w:rsidR="00B87356" w:rsidRPr="00B87356">
        <w:t xml:space="preserve"> </w:t>
      </w:r>
      <w:r w:rsidR="00B87356">
        <w:t>Eiropas Savienības Tiesas</w:t>
      </w:r>
      <w:r w:rsidR="00C2500F">
        <w:t xml:space="preserve"> </w:t>
      </w:r>
      <w:proofErr w:type="gramStart"/>
      <w:r w:rsidR="00B87356">
        <w:rPr>
          <w:color w:val="000000"/>
        </w:rPr>
        <w:t>2013.gada</w:t>
      </w:r>
      <w:proofErr w:type="gramEnd"/>
      <w:r w:rsidR="00B87356">
        <w:rPr>
          <w:color w:val="000000"/>
        </w:rPr>
        <w:t xml:space="preserve"> 27.jūnija spriedumu lietā C-155/12.</w:t>
      </w:r>
    </w:p>
    <w:p w:rsidR="00B87356" w:rsidRDefault="00B87356" w:rsidP="00B55761">
      <w:pPr>
        <w:pStyle w:val="NormalWeb"/>
        <w:spacing w:before="0" w:beforeAutospacing="0" w:after="0" w:afterAutospacing="0" w:line="276" w:lineRule="auto"/>
        <w:ind w:firstLine="567"/>
        <w:jc w:val="both"/>
        <w:rPr>
          <w:color w:val="000000"/>
        </w:rPr>
      </w:pPr>
    </w:p>
    <w:p w:rsidR="00571370" w:rsidRDefault="00B87356" w:rsidP="00B55761">
      <w:pPr>
        <w:pStyle w:val="NormalWeb"/>
        <w:spacing w:before="0" w:beforeAutospacing="0" w:after="0" w:afterAutospacing="0" w:line="276" w:lineRule="auto"/>
        <w:ind w:firstLine="567"/>
        <w:jc w:val="both"/>
      </w:pPr>
      <w:r w:rsidRPr="00B87356">
        <w:t xml:space="preserve">[9] No Eiropas Savienības </w:t>
      </w:r>
      <w:r>
        <w:t>T</w:t>
      </w:r>
      <w:r w:rsidRPr="00B87356">
        <w:t xml:space="preserve">iesas judikatūras izriet, ka noteiktos apstākļos </w:t>
      </w:r>
      <w:r>
        <w:t>v</w:t>
      </w:r>
      <w:r w:rsidRPr="00BC25EA">
        <w:t>airāki formāli nošķirti pakalpojumi, kas var tikt sniegti atsevišķi un tādējādi ir atsevišķi apliekami ar nodokli vai no tā atbrīvojami, ir jāuzskata par vienu vienotu darījumu, ja tie nav neatkarīgi</w:t>
      </w:r>
      <w:r>
        <w:t xml:space="preserve"> (</w:t>
      </w:r>
      <w:r w:rsidRPr="00B87356">
        <w:rPr>
          <w:i/>
        </w:rPr>
        <w:t xml:space="preserve">Eiropas Savienības Tiesas </w:t>
      </w:r>
      <w:proofErr w:type="gramStart"/>
      <w:r w:rsidRPr="00B87356">
        <w:rPr>
          <w:i/>
        </w:rPr>
        <w:t>2013.gada</w:t>
      </w:r>
      <w:proofErr w:type="gramEnd"/>
      <w:r w:rsidRPr="00B87356">
        <w:rPr>
          <w:i/>
        </w:rPr>
        <w:t xml:space="preserve"> 27.jūnija spriedum</w:t>
      </w:r>
      <w:r w:rsidR="000F0BB8">
        <w:rPr>
          <w:i/>
        </w:rPr>
        <w:t>a</w:t>
      </w:r>
      <w:r w:rsidRPr="00B87356">
        <w:rPr>
          <w:i/>
        </w:rPr>
        <w:t xml:space="preserve"> lietā RR </w:t>
      </w:r>
      <w:proofErr w:type="spellStart"/>
      <w:r w:rsidRPr="00B87356">
        <w:rPr>
          <w:i/>
        </w:rPr>
        <w:t>Donnelley</w:t>
      </w:r>
      <w:proofErr w:type="spellEnd"/>
      <w:r w:rsidRPr="00B87356">
        <w:rPr>
          <w:i/>
        </w:rPr>
        <w:t xml:space="preserve"> </w:t>
      </w:r>
      <w:proofErr w:type="spellStart"/>
      <w:r w:rsidRPr="00B87356">
        <w:rPr>
          <w:i/>
        </w:rPr>
        <w:t>Global</w:t>
      </w:r>
      <w:proofErr w:type="spellEnd"/>
      <w:r w:rsidRPr="00B87356">
        <w:rPr>
          <w:i/>
        </w:rPr>
        <w:t xml:space="preserve"> </w:t>
      </w:r>
      <w:proofErr w:type="spellStart"/>
      <w:r w:rsidRPr="00B87356">
        <w:rPr>
          <w:i/>
        </w:rPr>
        <w:t>Turnkey</w:t>
      </w:r>
      <w:proofErr w:type="spellEnd"/>
      <w:r w:rsidRPr="00B87356">
        <w:rPr>
          <w:i/>
        </w:rPr>
        <w:t xml:space="preserve"> </w:t>
      </w:r>
      <w:proofErr w:type="spellStart"/>
      <w:r w:rsidRPr="00B87356">
        <w:rPr>
          <w:i/>
        </w:rPr>
        <w:t>Solutions</w:t>
      </w:r>
      <w:proofErr w:type="spellEnd"/>
      <w:r w:rsidRPr="00B87356">
        <w:rPr>
          <w:i/>
        </w:rPr>
        <w:t xml:space="preserve"> </w:t>
      </w:r>
      <w:proofErr w:type="spellStart"/>
      <w:r w:rsidRPr="00B87356">
        <w:rPr>
          <w:i/>
        </w:rPr>
        <w:t>Poland</w:t>
      </w:r>
      <w:proofErr w:type="spellEnd"/>
      <w:r w:rsidRPr="00B87356">
        <w:rPr>
          <w:i/>
        </w:rPr>
        <w:t>, C-155/12, ECLI:EU:C:2013:434, 20.punkts</w:t>
      </w:r>
      <w:r>
        <w:t xml:space="preserve"> </w:t>
      </w:r>
      <w:r w:rsidRPr="00B87356">
        <w:rPr>
          <w:i/>
        </w:rPr>
        <w:t>un</w:t>
      </w:r>
      <w:r>
        <w:rPr>
          <w:i/>
        </w:rPr>
        <w:t xml:space="preserve"> tajā minētā judikatūra</w:t>
      </w:r>
      <w:r>
        <w:t>).</w:t>
      </w:r>
      <w:r w:rsidR="000F0BB8" w:rsidRPr="000F0BB8">
        <w:t xml:space="preserve"> </w:t>
      </w:r>
      <w:r w:rsidR="000F0BB8">
        <w:t xml:space="preserve">Pakalpojumi </w:t>
      </w:r>
      <w:r w:rsidR="000F0BB8">
        <w:lastRenderedPageBreak/>
        <w:t xml:space="preserve">nav neatkarīgi, ja, piemēram, </w:t>
      </w:r>
      <w:r w:rsidR="000F0BB8" w:rsidRPr="00A16DE1">
        <w:t>vienkāršas objektīvas analīzes rezultātā tiek konstatēts, ka viens vai vairāki pakalpojumi veido galveno pakalpojumu un ka viens vai pārējie pakalpojumi veido vienu vai vairākus</w:t>
      </w:r>
      <w:r w:rsidR="000F0BB8" w:rsidRPr="000F0BB8">
        <w:t xml:space="preserve"> </w:t>
      </w:r>
      <w:r w:rsidR="000F0BB8" w:rsidRPr="00A16DE1">
        <w:t>papildpakalpojumus tādā veidā, ka tie ir apliekami ar nodokli tāpat kā galvenais pakalpojums</w:t>
      </w:r>
      <w:r w:rsidR="000F0BB8">
        <w:t xml:space="preserve"> (</w:t>
      </w:r>
      <w:r w:rsidR="000F0BB8" w:rsidRPr="000F0BB8">
        <w:rPr>
          <w:i/>
        </w:rPr>
        <w:t xml:space="preserve">Eiropas Savienības Tiesas 2008.gada 21.februāra spriedums lietā </w:t>
      </w:r>
      <w:proofErr w:type="spellStart"/>
      <w:r w:rsidR="000F0BB8" w:rsidRPr="000F0BB8">
        <w:rPr>
          <w:i/>
        </w:rPr>
        <w:t>Part</w:t>
      </w:r>
      <w:proofErr w:type="spellEnd"/>
      <w:r w:rsidR="000F0BB8" w:rsidRPr="000F0BB8">
        <w:rPr>
          <w:i/>
        </w:rPr>
        <w:t xml:space="preserve"> </w:t>
      </w:r>
      <w:proofErr w:type="spellStart"/>
      <w:r w:rsidR="000F0BB8" w:rsidRPr="000F0BB8">
        <w:rPr>
          <w:i/>
        </w:rPr>
        <w:t>Service</w:t>
      </w:r>
      <w:proofErr w:type="spellEnd"/>
      <w:r w:rsidR="000F0BB8" w:rsidRPr="000F0BB8">
        <w:rPr>
          <w:i/>
        </w:rPr>
        <w:t>, C-425/06, ECLI:EU:C:2008:10</w:t>
      </w:r>
      <w:r w:rsidR="00335448">
        <w:rPr>
          <w:i/>
        </w:rPr>
        <w:t>8</w:t>
      </w:r>
      <w:r w:rsidR="000F0BB8" w:rsidRPr="000F0BB8">
        <w:rPr>
          <w:i/>
        </w:rPr>
        <w:t>, 52.punkts</w:t>
      </w:r>
      <w:r w:rsidR="000F0BB8">
        <w:t xml:space="preserve">). Eiropas Savienības Tiesa ir nospriedusi, ka </w:t>
      </w:r>
      <w:r w:rsidR="000F0BB8" w:rsidRPr="000B722D">
        <w:t>pakalpojums ir jāuzskata par vienotu, ja divi vai vairāki elementi vai nodokļu maksātāja iesniegtie akti ir tik cieši saistīti, ka tie objektīvi veido vienu, ekonomiski nedalāmu pakalpojumu, kura sadalīšana būtu mākslīga</w:t>
      </w:r>
      <w:r w:rsidR="000F0BB8">
        <w:t xml:space="preserve"> (</w:t>
      </w:r>
      <w:r w:rsidR="000F0BB8" w:rsidRPr="00B87356">
        <w:rPr>
          <w:i/>
        </w:rPr>
        <w:t>Eiropas Savienības Tiesas 2013.gada 27.jūnija spriedum</w:t>
      </w:r>
      <w:r w:rsidR="000F0BB8">
        <w:rPr>
          <w:i/>
        </w:rPr>
        <w:t>a</w:t>
      </w:r>
      <w:r w:rsidR="000F0BB8" w:rsidRPr="00B87356">
        <w:rPr>
          <w:i/>
        </w:rPr>
        <w:t xml:space="preserve"> lietā RR </w:t>
      </w:r>
      <w:proofErr w:type="spellStart"/>
      <w:r w:rsidR="000F0BB8" w:rsidRPr="00B87356">
        <w:rPr>
          <w:i/>
        </w:rPr>
        <w:t>Donnelley</w:t>
      </w:r>
      <w:proofErr w:type="spellEnd"/>
      <w:r w:rsidR="000F0BB8" w:rsidRPr="00B87356">
        <w:rPr>
          <w:i/>
        </w:rPr>
        <w:t xml:space="preserve"> </w:t>
      </w:r>
      <w:proofErr w:type="spellStart"/>
      <w:r w:rsidR="000F0BB8" w:rsidRPr="00B87356">
        <w:rPr>
          <w:i/>
        </w:rPr>
        <w:t>Global</w:t>
      </w:r>
      <w:proofErr w:type="spellEnd"/>
      <w:r w:rsidR="000F0BB8" w:rsidRPr="00B87356">
        <w:rPr>
          <w:i/>
        </w:rPr>
        <w:t xml:space="preserve"> </w:t>
      </w:r>
      <w:proofErr w:type="spellStart"/>
      <w:r w:rsidR="000F0BB8" w:rsidRPr="00B87356">
        <w:rPr>
          <w:i/>
        </w:rPr>
        <w:t>Turnkey</w:t>
      </w:r>
      <w:proofErr w:type="spellEnd"/>
      <w:r w:rsidR="000F0BB8" w:rsidRPr="00B87356">
        <w:rPr>
          <w:i/>
        </w:rPr>
        <w:t xml:space="preserve"> </w:t>
      </w:r>
      <w:proofErr w:type="spellStart"/>
      <w:r w:rsidR="000F0BB8" w:rsidRPr="00B87356">
        <w:rPr>
          <w:i/>
        </w:rPr>
        <w:t>Solutions</w:t>
      </w:r>
      <w:proofErr w:type="spellEnd"/>
      <w:r w:rsidR="000F0BB8" w:rsidRPr="00B87356">
        <w:rPr>
          <w:i/>
        </w:rPr>
        <w:t xml:space="preserve"> </w:t>
      </w:r>
      <w:proofErr w:type="spellStart"/>
      <w:r w:rsidR="000F0BB8" w:rsidRPr="00B87356">
        <w:rPr>
          <w:i/>
        </w:rPr>
        <w:t>Poland</w:t>
      </w:r>
      <w:proofErr w:type="spellEnd"/>
      <w:r w:rsidR="000F0BB8" w:rsidRPr="00B87356">
        <w:rPr>
          <w:i/>
        </w:rPr>
        <w:t>, C-155/12, ECLI:EU:C:2013:434, 2</w:t>
      </w:r>
      <w:r w:rsidR="000F0BB8">
        <w:rPr>
          <w:i/>
        </w:rPr>
        <w:t>1</w:t>
      </w:r>
      <w:r w:rsidR="000F0BB8" w:rsidRPr="00B87356">
        <w:rPr>
          <w:i/>
        </w:rPr>
        <w:t>.punkts</w:t>
      </w:r>
      <w:r w:rsidR="000F0BB8">
        <w:t xml:space="preserve"> </w:t>
      </w:r>
      <w:r w:rsidR="000F0BB8" w:rsidRPr="00B87356">
        <w:rPr>
          <w:i/>
        </w:rPr>
        <w:t>un</w:t>
      </w:r>
      <w:r w:rsidR="000F0BB8">
        <w:rPr>
          <w:i/>
        </w:rPr>
        <w:t xml:space="preserve"> tajā minētā judikatūra</w:t>
      </w:r>
      <w:r w:rsidR="000F0BB8">
        <w:t xml:space="preserve">). </w:t>
      </w:r>
      <w:r w:rsidR="000F0BB8" w:rsidRPr="00A16DE1">
        <w:t>Pakalpojums ir uzskatāms par papildpakalpojumu, ja tas pats par sevi nav klienta mērķis, bet veids, kā visērtāk saņemt pakalpojumu sniedzēja galveno pakalpojumu</w:t>
      </w:r>
      <w:r w:rsidR="000F0BB8">
        <w:t xml:space="preserve"> (</w:t>
      </w:r>
      <w:r w:rsidR="00F9638C" w:rsidRPr="00F9638C">
        <w:rPr>
          <w:i/>
        </w:rPr>
        <w:t xml:space="preserve">Eiropas Savienības Tiesas 2008.gada 21.februāra sprieduma lietā </w:t>
      </w:r>
      <w:proofErr w:type="spellStart"/>
      <w:r w:rsidR="00F9638C" w:rsidRPr="00F9638C">
        <w:rPr>
          <w:i/>
        </w:rPr>
        <w:t>Part</w:t>
      </w:r>
      <w:proofErr w:type="spellEnd"/>
      <w:r w:rsidR="00F9638C" w:rsidRPr="00F9638C">
        <w:rPr>
          <w:i/>
        </w:rPr>
        <w:t xml:space="preserve"> </w:t>
      </w:r>
      <w:proofErr w:type="spellStart"/>
      <w:r w:rsidR="00F9638C" w:rsidRPr="00F9638C">
        <w:rPr>
          <w:i/>
        </w:rPr>
        <w:t>Service</w:t>
      </w:r>
      <w:proofErr w:type="spellEnd"/>
      <w:r w:rsidR="00F9638C" w:rsidRPr="00F9638C">
        <w:rPr>
          <w:i/>
        </w:rPr>
        <w:t>, C-425/06, ECLI:EU:C:2008:10</w:t>
      </w:r>
      <w:r w:rsidR="00335448">
        <w:rPr>
          <w:i/>
        </w:rPr>
        <w:t>8</w:t>
      </w:r>
      <w:r w:rsidR="00F9638C" w:rsidRPr="00F9638C">
        <w:rPr>
          <w:i/>
        </w:rPr>
        <w:t xml:space="preserve">, 52.punkts, 2013.gada 27.jūnija sprieduma lietā RR </w:t>
      </w:r>
      <w:proofErr w:type="spellStart"/>
      <w:r w:rsidR="00F9638C" w:rsidRPr="00F9638C">
        <w:rPr>
          <w:i/>
        </w:rPr>
        <w:t>Donnelley</w:t>
      </w:r>
      <w:proofErr w:type="spellEnd"/>
      <w:r w:rsidR="00F9638C" w:rsidRPr="00F9638C">
        <w:rPr>
          <w:i/>
        </w:rPr>
        <w:t xml:space="preserve"> </w:t>
      </w:r>
      <w:proofErr w:type="spellStart"/>
      <w:r w:rsidR="00F9638C" w:rsidRPr="00F9638C">
        <w:rPr>
          <w:i/>
        </w:rPr>
        <w:t>Global</w:t>
      </w:r>
      <w:proofErr w:type="spellEnd"/>
      <w:r w:rsidR="00F9638C" w:rsidRPr="00F9638C">
        <w:rPr>
          <w:i/>
        </w:rPr>
        <w:t xml:space="preserve"> </w:t>
      </w:r>
      <w:proofErr w:type="spellStart"/>
      <w:r w:rsidR="00F9638C" w:rsidRPr="00F9638C">
        <w:rPr>
          <w:i/>
        </w:rPr>
        <w:t>Turnkey</w:t>
      </w:r>
      <w:proofErr w:type="spellEnd"/>
      <w:r w:rsidR="00F9638C" w:rsidRPr="00F9638C">
        <w:rPr>
          <w:i/>
        </w:rPr>
        <w:t xml:space="preserve"> </w:t>
      </w:r>
      <w:proofErr w:type="spellStart"/>
      <w:r w:rsidR="00F9638C" w:rsidRPr="00F9638C">
        <w:rPr>
          <w:i/>
        </w:rPr>
        <w:t>Solutions</w:t>
      </w:r>
      <w:proofErr w:type="spellEnd"/>
      <w:r w:rsidR="00F9638C" w:rsidRPr="00F9638C">
        <w:rPr>
          <w:i/>
        </w:rPr>
        <w:t xml:space="preserve"> </w:t>
      </w:r>
      <w:proofErr w:type="spellStart"/>
      <w:r w:rsidR="00F9638C" w:rsidRPr="00F9638C">
        <w:rPr>
          <w:i/>
        </w:rPr>
        <w:t>Poland</w:t>
      </w:r>
      <w:proofErr w:type="spellEnd"/>
      <w:r w:rsidR="00F9638C" w:rsidRPr="00F9638C">
        <w:rPr>
          <w:i/>
        </w:rPr>
        <w:t>, C-155/12, ECLI:EU:C:2013:434, 22.punkts</w:t>
      </w:r>
      <w:r w:rsidR="000F0BB8">
        <w:t>)</w:t>
      </w:r>
      <w:r w:rsidR="000F0BB8" w:rsidRPr="00A16DE1">
        <w:t>.</w:t>
      </w:r>
      <w:r w:rsidR="00F9638C">
        <w:t xml:space="preserve"> </w:t>
      </w:r>
    </w:p>
    <w:p w:rsidR="00C2500F" w:rsidRDefault="0027568A" w:rsidP="00B55761">
      <w:pPr>
        <w:pStyle w:val="NormalWeb"/>
        <w:spacing w:before="0" w:beforeAutospacing="0" w:after="0" w:afterAutospacing="0" w:line="276" w:lineRule="auto"/>
        <w:ind w:firstLine="567"/>
        <w:jc w:val="both"/>
      </w:pPr>
      <w:r w:rsidRPr="00BE052F">
        <w:t>Ņemot vērā dubulto apstākli, ka, pirmkārt, katrs pakalpojums parasti ir jāuzskata par nošķirtu un neatkarīgu un ka, otrkārt, darījums, kas veido vienu pakalpojumu no ekonomiskā viedokļa, lai nepasliktinātu</w:t>
      </w:r>
      <w:r>
        <w:t xml:space="preserve"> pievienotās vērtības nodokļa </w:t>
      </w:r>
      <w:r w:rsidRPr="00BE052F">
        <w:t>sistēmas funkcionalitāti, nebūtu mākslīgi sadalāms, ir svarīgi meklēt attiecīgajam darījumam raksturīgus elementus, lai noteiktu, vai sniegtie pakalpojumi ir vairāki nošķirti galvenie pakalpojumi vai vienots pakalpojums</w:t>
      </w:r>
      <w:r w:rsidRPr="0027568A">
        <w:t xml:space="preserve"> </w:t>
      </w:r>
      <w:r>
        <w:t>(</w:t>
      </w:r>
      <w:r w:rsidRPr="0027568A">
        <w:rPr>
          <w:i/>
        </w:rPr>
        <w:t>Eiropas Savienības Tiesas 2012.gada 27.septembra spriedum</w:t>
      </w:r>
      <w:r>
        <w:rPr>
          <w:i/>
        </w:rPr>
        <w:t>a</w:t>
      </w:r>
      <w:r w:rsidRPr="0027568A">
        <w:rPr>
          <w:i/>
        </w:rPr>
        <w:t xml:space="preserve"> lietā </w:t>
      </w:r>
      <w:proofErr w:type="spellStart"/>
      <w:r w:rsidRPr="0027568A">
        <w:rPr>
          <w:i/>
        </w:rPr>
        <w:t>Field</w:t>
      </w:r>
      <w:proofErr w:type="spellEnd"/>
      <w:r w:rsidRPr="0027568A">
        <w:rPr>
          <w:i/>
        </w:rPr>
        <w:t xml:space="preserve"> </w:t>
      </w:r>
      <w:proofErr w:type="spellStart"/>
      <w:r w:rsidRPr="0027568A">
        <w:rPr>
          <w:i/>
        </w:rPr>
        <w:t>Fisher</w:t>
      </w:r>
      <w:proofErr w:type="spellEnd"/>
      <w:r w:rsidRPr="0027568A">
        <w:rPr>
          <w:i/>
        </w:rPr>
        <w:t xml:space="preserve"> </w:t>
      </w:r>
      <w:proofErr w:type="spellStart"/>
      <w:r w:rsidRPr="0027568A">
        <w:rPr>
          <w:i/>
        </w:rPr>
        <w:t>Waterhouse</w:t>
      </w:r>
      <w:proofErr w:type="spellEnd"/>
      <w:r w:rsidRPr="0027568A">
        <w:rPr>
          <w:i/>
        </w:rPr>
        <w:t>, C‑392/11, ECLI:EU:C:2012:597, 18.punkts</w:t>
      </w:r>
      <w:r>
        <w:t>).</w:t>
      </w:r>
      <w:r w:rsidR="00571370" w:rsidRPr="00571370">
        <w:t xml:space="preserve"> </w:t>
      </w:r>
      <w:r w:rsidR="00571370">
        <w:t>J</w:t>
      </w:r>
      <w:r w:rsidR="00571370" w:rsidRPr="00C63E72">
        <w:t>a darījumu veido virkne elementu un darbību, ir jāņem vērā visi apstākļi, kuros attiecīgais darījums tiek veikts, lai noteiktu, vai pastāv divi vai vairāki atsevišķi pakalpojumi, vai vienots pakalpojums</w:t>
      </w:r>
      <w:r w:rsidR="00571370">
        <w:t xml:space="preserve"> (</w:t>
      </w:r>
      <w:r w:rsidR="00571370" w:rsidRPr="00571370">
        <w:rPr>
          <w:i/>
        </w:rPr>
        <w:t>Eiropas Savienības Tiesas 2012.gada 19.jūlija spriedum</w:t>
      </w:r>
      <w:r w:rsidR="00571370">
        <w:rPr>
          <w:i/>
        </w:rPr>
        <w:t>a</w:t>
      </w:r>
      <w:r w:rsidR="00571370" w:rsidRPr="00571370">
        <w:rPr>
          <w:i/>
        </w:rPr>
        <w:t xml:space="preserve"> lietā </w:t>
      </w:r>
      <w:proofErr w:type="spellStart"/>
      <w:r w:rsidR="00571370" w:rsidRPr="00571370">
        <w:rPr>
          <w:i/>
        </w:rPr>
        <w:t>Deutsche</w:t>
      </w:r>
      <w:proofErr w:type="spellEnd"/>
      <w:r w:rsidR="00571370" w:rsidRPr="00571370">
        <w:rPr>
          <w:i/>
        </w:rPr>
        <w:t xml:space="preserve"> </w:t>
      </w:r>
      <w:proofErr w:type="spellStart"/>
      <w:r w:rsidR="00571370" w:rsidRPr="00571370">
        <w:rPr>
          <w:i/>
        </w:rPr>
        <w:t>Bank</w:t>
      </w:r>
      <w:proofErr w:type="spellEnd"/>
      <w:r w:rsidR="00571370" w:rsidRPr="00571370">
        <w:rPr>
          <w:i/>
        </w:rPr>
        <w:t>, C‑44/11, ECLI:EU:C:2012:484, 18.punkts</w:t>
      </w:r>
      <w:r w:rsidR="00571370">
        <w:rPr>
          <w:i/>
        </w:rPr>
        <w:t xml:space="preserve"> un tajā minētā judikatūra</w:t>
      </w:r>
      <w:r w:rsidR="00571370">
        <w:t>).</w:t>
      </w:r>
    </w:p>
    <w:p w:rsidR="00571370" w:rsidRDefault="00571370" w:rsidP="000D214A">
      <w:pPr>
        <w:pStyle w:val="NormalWeb"/>
        <w:spacing w:before="0" w:beforeAutospacing="0" w:after="0" w:afterAutospacing="0" w:line="276" w:lineRule="auto"/>
        <w:ind w:firstLine="567"/>
        <w:jc w:val="both"/>
      </w:pPr>
    </w:p>
    <w:p w:rsidR="00545BC4" w:rsidRDefault="00571370" w:rsidP="000D214A">
      <w:pPr>
        <w:pStyle w:val="NormalWeb"/>
        <w:spacing w:before="0" w:beforeAutospacing="0" w:after="0" w:afterAutospacing="0" w:line="276" w:lineRule="auto"/>
        <w:ind w:firstLine="567"/>
        <w:jc w:val="both"/>
      </w:pPr>
      <w:r w:rsidRPr="000D214A">
        <w:t>[</w:t>
      </w:r>
      <w:r w:rsidR="00545BC4">
        <w:t>10</w:t>
      </w:r>
      <w:r w:rsidRPr="000D214A">
        <w:t>]</w:t>
      </w:r>
      <w:r w:rsidR="000D214A" w:rsidRPr="000D214A">
        <w:t> </w:t>
      </w:r>
      <w:r w:rsidR="000D214A">
        <w:t xml:space="preserve">Apgabaltiesa spriedumā ir vērtējusi pieteicēja darījuma ar Igaunijas komersantu </w:t>
      </w:r>
      <w:r w:rsidR="000D214A" w:rsidRPr="00755226">
        <w:rPr>
          <w:i/>
          <w:color w:val="000000"/>
        </w:rPr>
        <w:t>OÜ </w:t>
      </w:r>
      <w:proofErr w:type="spellStart"/>
      <w:r w:rsidR="000D214A" w:rsidRPr="00755226">
        <w:rPr>
          <w:i/>
          <w:color w:val="000000"/>
        </w:rPr>
        <w:t>Elme</w:t>
      </w:r>
      <w:proofErr w:type="spellEnd"/>
      <w:r w:rsidR="000D214A" w:rsidRPr="00755226">
        <w:rPr>
          <w:i/>
          <w:color w:val="000000"/>
        </w:rPr>
        <w:t xml:space="preserve"> </w:t>
      </w:r>
      <w:proofErr w:type="spellStart"/>
      <w:r w:rsidR="000D214A" w:rsidRPr="00755226">
        <w:rPr>
          <w:i/>
          <w:color w:val="000000"/>
        </w:rPr>
        <w:t>Metall</w:t>
      </w:r>
      <w:proofErr w:type="spellEnd"/>
      <w:r w:rsidR="000D214A">
        <w:rPr>
          <w:i/>
          <w:color w:val="000000"/>
        </w:rPr>
        <w:t xml:space="preserve"> </w:t>
      </w:r>
      <w:r w:rsidR="000D214A">
        <w:rPr>
          <w:color w:val="000000"/>
        </w:rPr>
        <w:t xml:space="preserve">elementus. </w:t>
      </w:r>
      <w:r w:rsidR="000D214A">
        <w:t xml:space="preserve">Pieteicējs organizējis korporatīvu pasākumu citam Igaunijas komersantam Latvijas teritorijā. Šis pakalpojums ir bijis saistīts ar pasākuma organizēšanu, transporta organizēšanu, ēdināšanas pakalpojumiem, kā arī no viesnīcas pirktiem naktsmītnes un telpu nomas pakalpojumiem. Naktsmītnes, konferenču telpas nomas un restorāna pakalpojumu sagādāšana nav bijis </w:t>
      </w:r>
      <w:r w:rsidR="00545BC4">
        <w:t xml:space="preserve">darījuma </w:t>
      </w:r>
      <w:r w:rsidR="000D214A">
        <w:t>mērķis, tie ir kalpoj</w:t>
      </w:r>
      <w:r w:rsidR="00545BC4">
        <w:t>uši</w:t>
      </w:r>
      <w:r w:rsidR="000D214A">
        <w:t>, lai efektīvāk īstenotu korporatīvo pasākumu.</w:t>
      </w:r>
      <w:r w:rsidR="00545BC4">
        <w:t xml:space="preserve"> </w:t>
      </w:r>
    </w:p>
    <w:p w:rsidR="00A83FE4" w:rsidRDefault="00545BC4" w:rsidP="00602736">
      <w:pPr>
        <w:pStyle w:val="NormalWeb"/>
        <w:spacing w:before="0" w:beforeAutospacing="0" w:after="0" w:afterAutospacing="0" w:line="276" w:lineRule="auto"/>
        <w:ind w:firstLine="567"/>
        <w:jc w:val="both"/>
      </w:pPr>
      <w:r>
        <w:t xml:space="preserve">Senāts atzīst, ka apgabaltiesa </w:t>
      </w:r>
      <w:r w:rsidR="000D214A">
        <w:rPr>
          <w:color w:val="000000"/>
        </w:rPr>
        <w:t xml:space="preserve">pamatoti </w:t>
      </w:r>
      <w:r>
        <w:rPr>
          <w:color w:val="000000"/>
        </w:rPr>
        <w:t>secinājusi, ka</w:t>
      </w:r>
      <w:r w:rsidR="000D214A">
        <w:rPr>
          <w:color w:val="000000"/>
        </w:rPr>
        <w:t xml:space="preserve"> </w:t>
      </w:r>
      <w:r w:rsidR="000D214A" w:rsidRPr="000D214A">
        <w:t>konferences organizēšanas</w:t>
      </w:r>
      <w:r w:rsidR="000D214A">
        <w:t xml:space="preserve"> un vadības </w:t>
      </w:r>
      <w:r w:rsidR="000D214A" w:rsidRPr="000D214A">
        <w:t>pakalpojums ietvēra vairākus savstarpēji saistītus pakalpojumus, kuri tika sniegti viena kopīgā mērķa sasniegšanai.</w:t>
      </w:r>
      <w:r>
        <w:t xml:space="preserve"> Ko</w:t>
      </w:r>
      <w:r w:rsidRPr="000D214A">
        <w:t>nferences organizēšanas</w:t>
      </w:r>
      <w:r>
        <w:t xml:space="preserve"> un vadības </w:t>
      </w:r>
      <w:r w:rsidRPr="000D214A">
        <w:t>pakalpojums</w:t>
      </w:r>
      <w:r>
        <w:t xml:space="preserve"> ir galvenais pakalpojums, ko veido vairāki papildpakalpojumi, kas paši par sevi nav klienta mērķis.</w:t>
      </w:r>
      <w:r w:rsidR="00602736">
        <w:t xml:space="preserve"> Tā kā visi pieteicēja Igaunijas komersantam </w:t>
      </w:r>
      <w:r w:rsidR="00602736" w:rsidRPr="00755226">
        <w:rPr>
          <w:i/>
          <w:color w:val="000000"/>
        </w:rPr>
        <w:t>OÜ </w:t>
      </w:r>
      <w:proofErr w:type="spellStart"/>
      <w:r w:rsidR="00602736" w:rsidRPr="00755226">
        <w:rPr>
          <w:i/>
          <w:color w:val="000000"/>
        </w:rPr>
        <w:t>Elme</w:t>
      </w:r>
      <w:proofErr w:type="spellEnd"/>
      <w:r w:rsidR="00602736" w:rsidRPr="00755226">
        <w:rPr>
          <w:i/>
          <w:color w:val="000000"/>
        </w:rPr>
        <w:t xml:space="preserve"> </w:t>
      </w:r>
      <w:proofErr w:type="spellStart"/>
      <w:r w:rsidR="00602736" w:rsidRPr="00755226">
        <w:rPr>
          <w:i/>
          <w:color w:val="000000"/>
        </w:rPr>
        <w:t>Metall</w:t>
      </w:r>
      <w:proofErr w:type="spellEnd"/>
      <w:r w:rsidR="00602736">
        <w:t xml:space="preserve"> sniegtie </w:t>
      </w:r>
      <w:r w:rsidR="00A83FE4">
        <w:t>pakalpojumi ir savstarpēji saistīti un</w:t>
      </w:r>
      <w:r w:rsidR="00A83FE4" w:rsidRPr="00F05C86">
        <w:t xml:space="preserve"> tie objektīvi veido vienu, ekonomiski nedalāmu pakalpojumu, kura sadalīšana būtu mākslīga</w:t>
      </w:r>
      <w:r w:rsidR="00602736">
        <w:t>, Senāta ieskatā, šī</w:t>
      </w:r>
      <w:r w:rsidR="00A83FE4">
        <w:t xml:space="preserve"> vienotā pakalpojuma papildpakalpojumus nevajadzētu skatīt kā atsevišķus pakalpojumus. </w:t>
      </w:r>
    </w:p>
    <w:p w:rsidR="00602736" w:rsidRDefault="00602736" w:rsidP="00602736">
      <w:pPr>
        <w:pStyle w:val="NormalWeb"/>
        <w:spacing w:before="0" w:beforeAutospacing="0" w:after="0" w:afterAutospacing="0" w:line="276" w:lineRule="auto"/>
        <w:ind w:firstLine="567"/>
        <w:jc w:val="both"/>
      </w:pPr>
    </w:p>
    <w:p w:rsidR="00602736" w:rsidRDefault="006D26C2" w:rsidP="000D214A">
      <w:pPr>
        <w:pStyle w:val="NormalWeb"/>
        <w:spacing w:before="0" w:beforeAutospacing="0" w:after="0" w:afterAutospacing="0" w:line="276" w:lineRule="auto"/>
        <w:ind w:firstLine="567"/>
        <w:jc w:val="both"/>
      </w:pPr>
      <w:r w:rsidRPr="00602736">
        <w:t>[</w:t>
      </w:r>
      <w:r w:rsidR="00602736" w:rsidRPr="00602736">
        <w:t>11</w:t>
      </w:r>
      <w:r w:rsidRPr="00602736">
        <w:t>] </w:t>
      </w:r>
      <w:r w:rsidR="00602736" w:rsidRPr="00602736">
        <w:t>D</w:t>
      </w:r>
      <w:r w:rsidR="00A7026C" w:rsidRPr="00602736">
        <w:t>ienest</w:t>
      </w:r>
      <w:r w:rsidR="00335448">
        <w:t>s</w:t>
      </w:r>
      <w:r w:rsidR="00A7026C" w:rsidRPr="00602736">
        <w:t xml:space="preserve"> kasācijas sūdzībā iztei</w:t>
      </w:r>
      <w:r w:rsidR="00602736" w:rsidRPr="00602736">
        <w:t>cis</w:t>
      </w:r>
      <w:r w:rsidR="00A7026C" w:rsidRPr="00602736">
        <w:t xml:space="preserve"> argumentu, ka, pat atzīstot, ka </w:t>
      </w:r>
      <w:r w:rsidR="00602736" w:rsidRPr="00602736">
        <w:t>konferences organizēšanas un vadības pakalpojums</w:t>
      </w:r>
      <w:r w:rsidR="00A7026C" w:rsidRPr="00602736">
        <w:t xml:space="preserve"> ir uzskatām</w:t>
      </w:r>
      <w:r w:rsidR="00602736" w:rsidRPr="00602736">
        <w:t>s</w:t>
      </w:r>
      <w:r w:rsidR="00A7026C" w:rsidRPr="00602736">
        <w:t xml:space="preserve"> par vienotu pakalpojumu, konferences </w:t>
      </w:r>
      <w:r w:rsidR="00A7026C" w:rsidRPr="00602736">
        <w:lastRenderedPageBreak/>
        <w:t xml:space="preserve">sniegšanas pakalpojumi konkrētajā gadījumā ietilpst </w:t>
      </w:r>
      <w:r w:rsidRPr="00602736">
        <w:t>d</w:t>
      </w:r>
      <w:r w:rsidR="00A7026C" w:rsidRPr="00602736">
        <w:t xml:space="preserve">irektīvas 2006/112/EK </w:t>
      </w:r>
      <w:proofErr w:type="gramStart"/>
      <w:r w:rsidR="00A7026C" w:rsidRPr="00602736">
        <w:t>47.panta</w:t>
      </w:r>
      <w:proofErr w:type="gramEnd"/>
      <w:r w:rsidR="00A7026C" w:rsidRPr="00602736">
        <w:t xml:space="preserve"> piemērošanas jomā</w:t>
      </w:r>
      <w:r w:rsidR="00602736">
        <w:t xml:space="preserve">. </w:t>
      </w:r>
    </w:p>
    <w:p w:rsidR="00986B6B" w:rsidRPr="00986B6B" w:rsidRDefault="00986B6B" w:rsidP="00986B6B">
      <w:pPr>
        <w:pStyle w:val="NormalWeb"/>
        <w:spacing w:before="0" w:beforeAutospacing="0" w:after="0" w:afterAutospacing="0" w:line="276" w:lineRule="auto"/>
        <w:ind w:firstLine="567"/>
        <w:jc w:val="both"/>
      </w:pPr>
      <w:r>
        <w:t xml:space="preserve">Direktīvas 2006/112/EK </w:t>
      </w:r>
      <w:proofErr w:type="gramStart"/>
      <w:r>
        <w:t>47.pants</w:t>
      </w:r>
      <w:proofErr w:type="gramEnd"/>
      <w:r>
        <w:t xml:space="preserve"> paredz, ka p</w:t>
      </w:r>
      <w:r w:rsidRPr="00986B6B">
        <w:rPr>
          <w:shd w:val="clear" w:color="auto" w:fill="FFFFFF"/>
        </w:rPr>
        <w:t>akalpojumiem, kas saistīti ar nekustamo īpašumu, tostarp ekspertu un nekustamā īpašuma aģentu pakalpojumiem, izmitināšana viesnīcu nozarē vai līdzīgas funkcijas nozarēs, piemēram, tūristu nometnēs vai zemesgabalos, kas izveidoti par nometnes vietām, kā arī tiesību piešķiršana nekustamā īpašuma izmantošanai un būvdarbu sagatavošanas un koordinācijas pakalpojumiem, piemēram, arhitektu un būvdarbu uzraudzības uzņēmumu pakalpojumiem, pakalpojumu sniegšanas vieta ir vieta, kur atrodas nekustamais īpašums.</w:t>
      </w:r>
    </w:p>
    <w:p w:rsidR="00A349C8" w:rsidRDefault="00A349C8" w:rsidP="00602736">
      <w:pPr>
        <w:pStyle w:val="NormalWeb"/>
        <w:spacing w:before="0" w:beforeAutospacing="0" w:after="0" w:afterAutospacing="0" w:line="276" w:lineRule="auto"/>
        <w:ind w:firstLine="567"/>
        <w:jc w:val="both"/>
      </w:pPr>
      <w:r>
        <w:t>Kā redzams no minētās</w:t>
      </w:r>
      <w:r w:rsidR="00F859F3">
        <w:t xml:space="preserve"> tiesību</w:t>
      </w:r>
      <w:r>
        <w:t xml:space="preserve"> normas</w:t>
      </w:r>
      <w:r w:rsidR="00F859F3">
        <w:t>,</w:t>
      </w:r>
      <w:r>
        <w:t xml:space="preserve"> izmitināšana viesnīcu nozarē tiek atzīta par pakalpojumu, kas saistīts ar nekustamo īpašumu un tā sniegšanas vieta ir vieta, kur atrodas attiecīgais nekustamais īpašums – viesnīcas ēka. </w:t>
      </w:r>
      <w:r w:rsidR="003F47B0">
        <w:t>Taču k</w:t>
      </w:r>
      <w:r w:rsidR="00F859F3">
        <w:t xml:space="preserve">onkrētajā gadījumā jānorāda, ka, pirmkārt, jau tika secināts, ka naktsmītnes pakalpojums bija tikai papildpakalpojums, kas nav nodalāms no pieteicēja Igaunijas komersantam </w:t>
      </w:r>
      <w:r w:rsidR="00F859F3" w:rsidRPr="00755226">
        <w:rPr>
          <w:i/>
          <w:color w:val="000000"/>
        </w:rPr>
        <w:t>OÜ </w:t>
      </w:r>
      <w:proofErr w:type="spellStart"/>
      <w:r w:rsidR="00F859F3" w:rsidRPr="00755226">
        <w:rPr>
          <w:i/>
          <w:color w:val="000000"/>
        </w:rPr>
        <w:t>Elme</w:t>
      </w:r>
      <w:proofErr w:type="spellEnd"/>
      <w:r w:rsidR="00F859F3" w:rsidRPr="00755226">
        <w:rPr>
          <w:i/>
          <w:color w:val="000000"/>
        </w:rPr>
        <w:t xml:space="preserve"> </w:t>
      </w:r>
      <w:proofErr w:type="spellStart"/>
      <w:r w:rsidR="00F859F3" w:rsidRPr="00755226">
        <w:rPr>
          <w:i/>
          <w:color w:val="000000"/>
        </w:rPr>
        <w:t>Metall</w:t>
      </w:r>
      <w:proofErr w:type="spellEnd"/>
      <w:r w:rsidR="00F859F3">
        <w:t xml:space="preserve"> sniegtā ko</w:t>
      </w:r>
      <w:r w:rsidR="00F859F3" w:rsidRPr="000D214A">
        <w:t>nferences organizēšanas</w:t>
      </w:r>
      <w:r w:rsidR="00F859F3">
        <w:t xml:space="preserve"> un vadības </w:t>
      </w:r>
      <w:r w:rsidR="00F859F3" w:rsidRPr="000D214A">
        <w:t>pakalpojum</w:t>
      </w:r>
      <w:r w:rsidR="00F859F3">
        <w:t>a. Otrkārt, pieteic</w:t>
      </w:r>
      <w:r w:rsidR="003F47B0">
        <w:t>ējs viesnīcas, konferenču telpu nomas un ēdināšanas pakalpojumu nav sniedzis savā vārdā, bet tie galvenā pakalpojuma ietvaros ir organizēti cita Igaunijas komersanta vārdā un labā, jo par to tiek sniegts norēķins. Pieteicējs būtībā</w:t>
      </w:r>
      <w:r w:rsidR="00F859F3">
        <w:t xml:space="preserve"> </w:t>
      </w:r>
      <w:r w:rsidR="003F47B0">
        <w:t xml:space="preserve">pilda </w:t>
      </w:r>
      <w:r w:rsidR="00F859F3">
        <w:t>starpnie</w:t>
      </w:r>
      <w:r w:rsidR="003F47B0">
        <w:t xml:space="preserve">ka pienākumus </w:t>
      </w:r>
      <w:r w:rsidR="00F859F3">
        <w:t xml:space="preserve">citas dalībvalsts teritorijā (Latvijā) </w:t>
      </w:r>
      <w:r w:rsidR="003F47B0">
        <w:t xml:space="preserve">par labu savam klientam – </w:t>
      </w:r>
      <w:r w:rsidR="00F859F3">
        <w:t>komersantam, kur</w:t>
      </w:r>
      <w:r w:rsidR="00335448">
        <w:t>a</w:t>
      </w:r>
      <w:r w:rsidR="00F859F3">
        <w:t xml:space="preserve"> pastāvīgā adrese ir </w:t>
      </w:r>
      <w:r w:rsidR="003F47B0">
        <w:t xml:space="preserve">Igaunija. </w:t>
      </w:r>
    </w:p>
    <w:p w:rsidR="00E01990" w:rsidRDefault="003F47B0" w:rsidP="00602736">
      <w:pPr>
        <w:pStyle w:val="NormalWeb"/>
        <w:spacing w:before="0" w:beforeAutospacing="0" w:after="0" w:afterAutospacing="0" w:line="276" w:lineRule="auto"/>
        <w:ind w:firstLine="567"/>
        <w:jc w:val="both"/>
      </w:pPr>
      <w:r>
        <w:t xml:space="preserve">Ievērojot minēto, Senāts atzīst, ka nav pamata attiecībā uz </w:t>
      </w:r>
      <w:r w:rsidRPr="00602736">
        <w:t xml:space="preserve">konferences organizēšanas un vadības </w:t>
      </w:r>
      <w:r>
        <w:t xml:space="preserve">pakalpojumu piemērot direktīvas 2006/112/EK </w:t>
      </w:r>
      <w:proofErr w:type="gramStart"/>
      <w:r>
        <w:t>47.pantu</w:t>
      </w:r>
      <w:proofErr w:type="gramEnd"/>
      <w:r>
        <w:t xml:space="preserve">. Apgabaltiesa ir pamatoti atzinusi, ka pakalpojuma sniegšanas vietas noteikšanai konkrētajā gadījumā ir piemērojama vispārīgā norma </w:t>
      </w:r>
      <w:r w:rsidR="00335448">
        <w:t xml:space="preserve">– </w:t>
      </w:r>
      <w:r>
        <w:t xml:space="preserve">direktīvas 2006/112/EK </w:t>
      </w:r>
      <w:proofErr w:type="gramStart"/>
      <w:r>
        <w:t>44.pants</w:t>
      </w:r>
      <w:proofErr w:type="gramEnd"/>
      <w:r w:rsidR="00E01990">
        <w:t xml:space="preserve">, saskaņā ar kuru </w:t>
      </w:r>
      <w:r w:rsidR="000D214A" w:rsidRPr="00986B6B">
        <w:t xml:space="preserve">pakalpojumu sniegšanas vieta ir vieta, kur nodokļa maksātājam, kas saņem šos pakalpojumus, ir pastāvīgā adrese vai parastā uzturēšanās vieta. </w:t>
      </w:r>
      <w:r w:rsidR="00E01990">
        <w:t xml:space="preserve">Konkrētajā gadījumā tā ir </w:t>
      </w:r>
      <w:r w:rsidR="00E01990" w:rsidRPr="00602736">
        <w:t xml:space="preserve">konferences organizēšanas un vadības </w:t>
      </w:r>
      <w:r w:rsidR="00E01990">
        <w:t xml:space="preserve">pakalpojuma saņēmēja Igaunijas komersantam </w:t>
      </w:r>
      <w:r w:rsidR="00E01990" w:rsidRPr="00755226">
        <w:rPr>
          <w:i/>
          <w:color w:val="000000"/>
        </w:rPr>
        <w:t>OÜ </w:t>
      </w:r>
      <w:proofErr w:type="spellStart"/>
      <w:r w:rsidR="00E01990" w:rsidRPr="00755226">
        <w:rPr>
          <w:i/>
          <w:color w:val="000000"/>
        </w:rPr>
        <w:t>Elme</w:t>
      </w:r>
      <w:proofErr w:type="spellEnd"/>
      <w:r w:rsidR="00E01990" w:rsidRPr="00755226">
        <w:rPr>
          <w:i/>
          <w:color w:val="000000"/>
        </w:rPr>
        <w:t xml:space="preserve"> </w:t>
      </w:r>
      <w:proofErr w:type="spellStart"/>
      <w:r w:rsidR="00E01990" w:rsidRPr="00755226">
        <w:rPr>
          <w:i/>
          <w:color w:val="000000"/>
        </w:rPr>
        <w:t>Metall</w:t>
      </w:r>
      <w:proofErr w:type="spellEnd"/>
      <w:r w:rsidR="00E01990">
        <w:rPr>
          <w:i/>
          <w:color w:val="000000"/>
        </w:rPr>
        <w:t xml:space="preserve"> </w:t>
      </w:r>
      <w:r w:rsidR="00E01990" w:rsidRPr="00986B6B">
        <w:t>pastāvīgā adrese</w:t>
      </w:r>
      <w:r w:rsidR="00E01990">
        <w:t xml:space="preserve"> – Igaunija. Tas nozīmē, ka pieteicējs nav veicis apliekamus darījumus iekšzemē.</w:t>
      </w:r>
    </w:p>
    <w:p w:rsidR="000D214A" w:rsidRDefault="000D214A" w:rsidP="000D214A">
      <w:pPr>
        <w:spacing w:line="276" w:lineRule="auto"/>
        <w:ind w:firstLine="567"/>
        <w:jc w:val="both"/>
      </w:pPr>
    </w:p>
    <w:p w:rsidR="008B7B83" w:rsidRDefault="008B7B83" w:rsidP="000D214A">
      <w:pPr>
        <w:pStyle w:val="NormalWeb"/>
        <w:spacing w:before="0" w:beforeAutospacing="0" w:after="0" w:afterAutospacing="0" w:line="276" w:lineRule="auto"/>
        <w:ind w:firstLine="567"/>
        <w:jc w:val="both"/>
        <w:rPr>
          <w:shd w:val="clear" w:color="auto" w:fill="FFFFFF"/>
        </w:rPr>
      </w:pPr>
      <w:r w:rsidRPr="00E01990">
        <w:rPr>
          <w:shd w:val="clear" w:color="auto" w:fill="FFFFFF"/>
        </w:rPr>
        <w:t>[</w:t>
      </w:r>
      <w:r w:rsidR="00E01990" w:rsidRPr="00E01990">
        <w:rPr>
          <w:shd w:val="clear" w:color="auto" w:fill="FFFFFF"/>
        </w:rPr>
        <w:t>12</w:t>
      </w:r>
      <w:r w:rsidRPr="00E01990">
        <w:rPr>
          <w:shd w:val="clear" w:color="auto" w:fill="FFFFFF"/>
        </w:rPr>
        <w:t xml:space="preserve">] Dienests kasācijas sūdzībā arī norādījis, ka apgabaltiesa nepareizi piemērojusi arī </w:t>
      </w:r>
      <w:r w:rsidRPr="00E01990">
        <w:t>likuma „Par pievienotās vērtības nodokli” 4.</w:t>
      </w:r>
      <w:r w:rsidRPr="00E01990">
        <w:rPr>
          <w:vertAlign w:val="superscript"/>
        </w:rPr>
        <w:t>1</w:t>
      </w:r>
      <w:r w:rsidRPr="00E01990">
        <w:t>panta devīto daļu, kas noteic p</w:t>
      </w:r>
      <w:r w:rsidRPr="00E01990">
        <w:rPr>
          <w:shd w:val="clear" w:color="auto" w:fill="FFFFFF"/>
        </w:rPr>
        <w:t>asažieru transporta pakalpojuma sniegšanas vietu. Minētais arguments nav pamatots, jo apgabaltiesa šo normu vispār nav piemērojusi un lietā nav strīda par pievienotās vērtības nodokļa atmaksu par transporta pakalpojumiem.</w:t>
      </w:r>
    </w:p>
    <w:p w:rsidR="008B7B83" w:rsidRDefault="008B7B83" w:rsidP="000D214A">
      <w:pPr>
        <w:pStyle w:val="NormalWeb"/>
        <w:spacing w:before="0" w:beforeAutospacing="0" w:after="0" w:afterAutospacing="0" w:line="276" w:lineRule="auto"/>
        <w:ind w:firstLine="567"/>
        <w:jc w:val="both"/>
      </w:pPr>
    </w:p>
    <w:p w:rsidR="00F0518C" w:rsidRPr="009A30CA" w:rsidRDefault="00483703" w:rsidP="000D214A">
      <w:pPr>
        <w:pStyle w:val="NormalWeb"/>
        <w:spacing w:before="0" w:beforeAutospacing="0" w:after="0" w:afterAutospacing="0" w:line="276" w:lineRule="auto"/>
        <w:ind w:firstLine="567"/>
        <w:jc w:val="both"/>
      </w:pPr>
      <w:r w:rsidRPr="009A30CA">
        <w:t>[</w:t>
      </w:r>
      <w:r w:rsidR="00E01990">
        <w:t>13</w:t>
      </w:r>
      <w:r w:rsidRPr="009A30CA">
        <w:t>]</w:t>
      </w:r>
      <w:r w:rsidR="00F0518C" w:rsidRPr="009A30CA">
        <w:t> </w:t>
      </w:r>
      <w:r w:rsidR="00A663C2" w:rsidRPr="009A30CA">
        <w:t>Dienests kasācijas sūdzībā ir iebildis pret apgabaltiesas secinājumiem par pieteicēja</w:t>
      </w:r>
      <w:r w:rsidR="009374FA">
        <w:t>m atlīdzināmajiem</w:t>
      </w:r>
      <w:r w:rsidR="00A663C2" w:rsidRPr="009A30CA">
        <w:t xml:space="preserve"> izdevum</w:t>
      </w:r>
      <w:r w:rsidR="009374FA">
        <w:t>iem</w:t>
      </w:r>
      <w:r w:rsidR="00A663C2" w:rsidRPr="009A30CA">
        <w:t xml:space="preserve"> </w:t>
      </w:r>
      <w:r w:rsidR="0037489D" w:rsidRPr="009A30CA">
        <w:t xml:space="preserve">par juridisko palīdzību </w:t>
      </w:r>
      <w:r w:rsidR="00112DB7" w:rsidRPr="009A30CA">
        <w:t>saistībā ar</w:t>
      </w:r>
      <w:r w:rsidR="0037489D" w:rsidRPr="009A30CA">
        <w:t xml:space="preserve"> </w:t>
      </w:r>
      <w:r w:rsidR="00A663C2" w:rsidRPr="009A30CA">
        <w:rPr>
          <w:i/>
        </w:rPr>
        <w:t>OÜ</w:t>
      </w:r>
      <w:r w:rsidR="009374FA">
        <w:rPr>
          <w:i/>
        </w:rPr>
        <w:t> </w:t>
      </w:r>
      <w:r w:rsidR="00A663C2" w:rsidRPr="009A30CA">
        <w:rPr>
          <w:i/>
        </w:rPr>
        <w:t>,,</w:t>
      </w:r>
      <w:proofErr w:type="spellStart"/>
      <w:r w:rsidR="00A663C2" w:rsidRPr="009A30CA">
        <w:rPr>
          <w:i/>
        </w:rPr>
        <w:t>Advokaadibüroo</w:t>
      </w:r>
      <w:proofErr w:type="spellEnd"/>
      <w:r w:rsidR="00A663C2" w:rsidRPr="009A30CA">
        <w:rPr>
          <w:i/>
        </w:rPr>
        <w:t xml:space="preserve"> </w:t>
      </w:r>
      <w:proofErr w:type="spellStart"/>
      <w:r w:rsidR="00A663C2" w:rsidRPr="009A30CA">
        <w:rPr>
          <w:i/>
        </w:rPr>
        <w:t>Lillo</w:t>
      </w:r>
      <w:proofErr w:type="spellEnd"/>
      <w:r w:rsidR="00A663C2" w:rsidRPr="009A30CA">
        <w:rPr>
          <w:i/>
        </w:rPr>
        <w:t xml:space="preserve"> &amp; </w:t>
      </w:r>
      <w:proofErr w:type="spellStart"/>
      <w:r w:rsidR="00A663C2" w:rsidRPr="009A30CA">
        <w:rPr>
          <w:i/>
        </w:rPr>
        <w:t>Partnerid</w:t>
      </w:r>
      <w:proofErr w:type="spellEnd"/>
      <w:r w:rsidR="00A663C2" w:rsidRPr="009A30CA">
        <w:rPr>
          <w:i/>
        </w:rPr>
        <w:t>”</w:t>
      </w:r>
      <w:r w:rsidR="00A663C2" w:rsidRPr="009A30CA">
        <w:t xml:space="preserve"> </w:t>
      </w:r>
      <w:proofErr w:type="gramStart"/>
      <w:r w:rsidR="00D0443A" w:rsidRPr="009A30CA">
        <w:t>2012.gada</w:t>
      </w:r>
      <w:proofErr w:type="gramEnd"/>
      <w:r w:rsidR="00D0443A" w:rsidRPr="009A30CA">
        <w:t xml:space="preserve"> 7.septembra rēķin</w:t>
      </w:r>
      <w:r w:rsidR="00112DB7" w:rsidRPr="009A30CA">
        <w:t>u</w:t>
      </w:r>
      <w:r w:rsidR="00A663C2" w:rsidRPr="009A30CA">
        <w:t xml:space="preserve"> Nr. 442-2012 un 2014.gada 17.aprīļa rēķin</w:t>
      </w:r>
      <w:r w:rsidR="00112DB7" w:rsidRPr="009A30CA">
        <w:t>u</w:t>
      </w:r>
      <w:r w:rsidR="00A663C2" w:rsidRPr="009A30CA">
        <w:t xml:space="preserve"> Nr. 241-2014</w:t>
      </w:r>
      <w:r w:rsidR="00112DB7" w:rsidRPr="009A30CA">
        <w:t xml:space="preserve">. </w:t>
      </w:r>
    </w:p>
    <w:p w:rsidR="002C42F1" w:rsidRDefault="002C42F1" w:rsidP="000D214A">
      <w:pPr>
        <w:pStyle w:val="NormalWeb"/>
        <w:spacing w:before="0" w:beforeAutospacing="0" w:after="0" w:afterAutospacing="0" w:line="276" w:lineRule="auto"/>
        <w:ind w:firstLine="567"/>
        <w:jc w:val="both"/>
      </w:pPr>
      <w:r>
        <w:t>N</w:t>
      </w:r>
      <w:r w:rsidR="00441430" w:rsidRPr="009A30CA">
        <w:t xml:space="preserve">oteikumu Nr. 859 3.punktā ir noteikts </w:t>
      </w:r>
      <w:r w:rsidR="00AE7B51" w:rsidRPr="009A30CA">
        <w:t>maksimāl</w:t>
      </w:r>
      <w:r w:rsidR="001F4A10" w:rsidRPr="009A30CA">
        <w:t>ais</w:t>
      </w:r>
      <w:r w:rsidR="00AE7B51" w:rsidRPr="009A30CA">
        <w:t xml:space="preserve"> </w:t>
      </w:r>
      <w:r w:rsidR="00441430" w:rsidRPr="009A30CA">
        <w:t>atlīdzināmo izdevumu apmērs par konkrētu juridisko pakalpojumu,</w:t>
      </w:r>
      <w:r w:rsidR="009374FA">
        <w:t xml:space="preserve"> tostarp par sniegto juridisko konsultāciju (3.1.apakšpunkts) un pieteikuma, apelācijas sūdzības un kasācijas sūdzības sastādīšanu (3.2.-</w:t>
      </w:r>
      <w:proofErr w:type="gramStart"/>
      <w:r w:rsidR="009374FA">
        <w:t>3.4.apakšpunkti</w:t>
      </w:r>
      <w:proofErr w:type="gramEnd"/>
      <w:r w:rsidR="009374FA">
        <w:t xml:space="preserve">.). </w:t>
      </w:r>
      <w:r w:rsidRPr="009A30CA">
        <w:t xml:space="preserve">Iepazīstoties ar </w:t>
      </w:r>
      <w:r w:rsidR="009374FA">
        <w:t xml:space="preserve">minētajiem </w:t>
      </w:r>
      <w:r w:rsidRPr="009A30CA">
        <w:t>rēķiniem, konstatējams, ka katrā no tiem ir norādīts</w:t>
      </w:r>
      <w:r>
        <w:t xml:space="preserve"> sniegto juridisko pakalpojumu veids, </w:t>
      </w:r>
      <w:r w:rsidRPr="009A30CA">
        <w:t xml:space="preserve">patērētais laiks un </w:t>
      </w:r>
      <w:r w:rsidR="00C568DA">
        <w:t>pakalpojumu kopējā</w:t>
      </w:r>
      <w:r w:rsidRPr="009A30CA">
        <w:t xml:space="preserve"> summa. </w:t>
      </w:r>
      <w:r>
        <w:t>R</w:t>
      </w:r>
      <w:r w:rsidRPr="009A30CA">
        <w:t>ēķin</w:t>
      </w:r>
      <w:r>
        <w:t>i</w:t>
      </w:r>
      <w:r w:rsidRPr="009A30CA">
        <w:t xml:space="preserve"> attiecas uz vairākiem juridiskās palīdzības pakalpojumiem (konsultācija un dokumenta sastādīšana)</w:t>
      </w:r>
      <w:r w:rsidR="009374FA">
        <w:t xml:space="preserve">. Var piekrist dienestam, ka no rēķiniem </w:t>
      </w:r>
      <w:r w:rsidRPr="009A30CA">
        <w:t xml:space="preserve">nav iespējams viennozīmīgi noteikt katram no </w:t>
      </w:r>
      <w:r w:rsidR="00C568DA">
        <w:t>juridiskajiem pakalpojumiem</w:t>
      </w:r>
      <w:r w:rsidRPr="009A30CA">
        <w:t xml:space="preserve"> patērēto laiku un tā izmaksas</w:t>
      </w:r>
      <w:r w:rsidR="009374FA">
        <w:t xml:space="preserve">. Taču tas, ka tiesa ir noteikusi atlīdzinājumu </w:t>
      </w:r>
      <w:r w:rsidR="009374FA">
        <w:lastRenderedPageBreak/>
        <w:t>attiecīgi par rēķinā norādītajām juridisko konsultāciju stundām, kā arī atsevišķi par katru sastādīto dokumentu – pieteikumu un apelācijas sūdzību</w:t>
      </w:r>
      <w:r w:rsidR="00C568DA">
        <w:t xml:space="preserve"> –</w:t>
      </w:r>
      <w:r w:rsidR="009374FA">
        <w:t>, nav pretrunā ar n</w:t>
      </w:r>
      <w:r w:rsidR="009374FA" w:rsidRPr="009A30CA">
        <w:t>oteikumu Nr. 859</w:t>
      </w:r>
      <w:r w:rsidR="009374FA">
        <w:t xml:space="preserve"> 3.punkta regulējumu</w:t>
      </w:r>
      <w:r w:rsidR="00C568DA">
        <w:t>, jo tiesa ir konstatējusi abu pakalpojuma veidu sniegšanu pieteicējam</w:t>
      </w:r>
      <w:r w:rsidRPr="009A30CA">
        <w:t>.</w:t>
      </w:r>
      <w:r w:rsidR="00C568DA">
        <w:t xml:space="preserve"> </w:t>
      </w:r>
    </w:p>
    <w:p w:rsidR="00BF5272" w:rsidRPr="009A30CA" w:rsidRDefault="00BF5272" w:rsidP="00BF5272">
      <w:pPr>
        <w:pStyle w:val="NormalWeb"/>
        <w:spacing w:before="0" w:beforeAutospacing="0" w:after="0" w:afterAutospacing="0" w:line="276" w:lineRule="auto"/>
        <w:ind w:firstLine="567"/>
        <w:jc w:val="both"/>
      </w:pPr>
    </w:p>
    <w:p w:rsidR="00BF5272" w:rsidRPr="009A30CA" w:rsidRDefault="00BF5272" w:rsidP="00BF5272">
      <w:pPr>
        <w:pStyle w:val="NormalWeb"/>
        <w:spacing w:before="0" w:beforeAutospacing="0" w:after="0" w:afterAutospacing="0" w:line="276" w:lineRule="auto"/>
        <w:ind w:firstLine="567"/>
        <w:jc w:val="both"/>
      </w:pPr>
      <w:r w:rsidRPr="009A30CA">
        <w:t>[</w:t>
      </w:r>
      <w:r w:rsidR="00E01990">
        <w:t>14</w:t>
      </w:r>
      <w:r w:rsidRPr="009A30CA">
        <w:t xml:space="preserve">] Dienests kasācijas sūdzībā iebilst pret spriedumu daļā par </w:t>
      </w:r>
      <w:r w:rsidR="00996488" w:rsidRPr="009A30CA">
        <w:t xml:space="preserve">mantisko </w:t>
      </w:r>
      <w:r w:rsidRPr="009A30CA">
        <w:t>zaudējumu</w:t>
      </w:r>
      <w:r w:rsidR="00996488" w:rsidRPr="009A30CA">
        <w:t>, kas radušies saistībā ar</w:t>
      </w:r>
      <w:r w:rsidR="005241D2" w:rsidRPr="009A30CA">
        <w:t xml:space="preserve"> </w:t>
      </w:r>
      <w:r w:rsidR="00996488" w:rsidRPr="009A30CA">
        <w:t>tulkošanu,</w:t>
      </w:r>
      <w:r w:rsidRPr="009A30CA">
        <w:t xml:space="preserve"> </w:t>
      </w:r>
      <w:r w:rsidR="00996488" w:rsidRPr="009A30CA">
        <w:t>atlīdzinā</w:t>
      </w:r>
      <w:r w:rsidR="009558C7" w:rsidRPr="009A30CA">
        <w:t>šanu</w:t>
      </w:r>
      <w:r w:rsidR="00996488" w:rsidRPr="009A30CA">
        <w:t xml:space="preserve">, uzskatot, ka šādi zaudējumi pieteicējam kā juridiskai personai </w:t>
      </w:r>
      <w:r w:rsidR="005241D2" w:rsidRPr="009A30CA">
        <w:t>nav</w:t>
      </w:r>
      <w:r w:rsidR="00996488" w:rsidRPr="009A30CA">
        <w:t xml:space="preserve"> atlīdzinā</w:t>
      </w:r>
      <w:r w:rsidR="005241D2" w:rsidRPr="009A30CA">
        <w:t>m</w:t>
      </w:r>
      <w:r w:rsidR="00996488" w:rsidRPr="009A30CA">
        <w:t>i.</w:t>
      </w:r>
    </w:p>
    <w:p w:rsidR="005241D2" w:rsidRPr="009A30CA" w:rsidRDefault="009558C7" w:rsidP="00E648DB">
      <w:pPr>
        <w:tabs>
          <w:tab w:val="left" w:pos="284"/>
        </w:tabs>
        <w:spacing w:line="276" w:lineRule="auto"/>
        <w:ind w:firstLine="567"/>
        <w:jc w:val="both"/>
      </w:pPr>
      <w:r w:rsidRPr="009A30CA">
        <w:t xml:space="preserve">Saskaņā ar Administratīvā procesa likuma </w:t>
      </w:r>
      <w:proofErr w:type="gramStart"/>
      <w:r w:rsidRPr="009A30CA">
        <w:t>92.pantu</w:t>
      </w:r>
      <w:proofErr w:type="gramEnd"/>
      <w:r w:rsidRPr="009A30CA">
        <w:t xml:space="preserve"> ikviens ir tiesīgs prasīt atbilstīgu atlīdzinājumu par kaitējumu vai mantiskajiem zaudējumiem, kas viņam nodarīti ar administratīvo aktu vai iestādes faktisko rīcību.</w:t>
      </w:r>
    </w:p>
    <w:p w:rsidR="000D7E89" w:rsidRPr="009A30CA" w:rsidRDefault="009558C7" w:rsidP="00E648DB">
      <w:pPr>
        <w:tabs>
          <w:tab w:val="left" w:pos="284"/>
        </w:tabs>
        <w:spacing w:line="276" w:lineRule="auto"/>
        <w:ind w:firstLine="567"/>
        <w:jc w:val="both"/>
      </w:pPr>
      <w:r w:rsidRPr="009A30CA">
        <w:t>Zaudējumu atlīdzināšanas likuma</w:t>
      </w:r>
      <w:r w:rsidR="00E648DB" w:rsidRPr="009A30CA">
        <w:t xml:space="preserve"> </w:t>
      </w:r>
      <w:proofErr w:type="gramStart"/>
      <w:r w:rsidR="00081AE5" w:rsidRPr="009A30CA">
        <w:t>5.pants</w:t>
      </w:r>
      <w:proofErr w:type="gramEnd"/>
      <w:r w:rsidR="00081AE5" w:rsidRPr="009A30CA">
        <w:t xml:space="preserve"> paredz, ka tiesības uz zaudējuma atlīdzinājumu ir cietušajam, proti, privātpersonai, kas ir prettiesiska administratīvā akta adresāts vai trešā persona Administratīvā procesa likuma izpratnē, kā arī privātpersonai, pret kuru ir tieši vērsta vai kuru tieši skar iestādes prettiesiska faktiskā rīcība. Likuma </w:t>
      </w:r>
      <w:proofErr w:type="gramStart"/>
      <w:r w:rsidRPr="009A30CA">
        <w:t>6.pants</w:t>
      </w:r>
      <w:proofErr w:type="gramEnd"/>
      <w:r w:rsidRPr="009A30CA">
        <w:t xml:space="preserve"> pirmā daļa noteic, ka tiesības uz zaudējumu atlīdzinājumu rodas, ja starp iestādes prettiesisko rīcību un cietušajam nodarīto zaudējumu pastāv tieša cēloņsakarība – objektīva saikne starp iestādes rīcību un tās radītajām laika ziņā sekojošām zaudējumu nodarošām sekām.</w:t>
      </w:r>
      <w:r w:rsidR="00A43D2F" w:rsidRPr="009A30CA">
        <w:t xml:space="preserve"> Likuma </w:t>
      </w:r>
      <w:proofErr w:type="gramStart"/>
      <w:r w:rsidRPr="009A30CA">
        <w:t>7.panta</w:t>
      </w:r>
      <w:proofErr w:type="gramEnd"/>
      <w:r w:rsidR="00911041" w:rsidRPr="009A30CA">
        <w:t xml:space="preserve"> pirmā daļa paredz, ka mantiskais zaudējums šā likuma izpratnē ir katrs mantiski novērtējams pametums, kas cietušajam radies iestādes prettiesiska administratīvā akta vai prettiesiskas faktiskās rīcības dēļ. </w:t>
      </w:r>
      <w:r w:rsidR="009A30CA" w:rsidRPr="009A30CA">
        <w:t>Šā p</w:t>
      </w:r>
      <w:r w:rsidR="00911041" w:rsidRPr="009A30CA">
        <w:t>anta</w:t>
      </w:r>
      <w:r w:rsidRPr="009A30CA">
        <w:t xml:space="preserve"> trešā daļa noteic, ka mantiskais zaudējums ir arī zaudējums, kas saistīts ar administratīvā akta atcelšanu, iestādes faktiskās rīcības novēršanu vai tās seku likvidēšanu, zaudējuma samazināšanu vai likvidēšanu. </w:t>
      </w:r>
    </w:p>
    <w:p w:rsidR="00A43D2F" w:rsidRPr="009A30CA" w:rsidRDefault="00911041" w:rsidP="00376F60">
      <w:pPr>
        <w:spacing w:line="276" w:lineRule="auto"/>
        <w:ind w:firstLine="567"/>
        <w:jc w:val="both"/>
      </w:pPr>
      <w:r w:rsidRPr="009A30CA">
        <w:t>No minētā iziet, ka vispārīgi</w:t>
      </w:r>
      <w:r w:rsidR="00081AE5" w:rsidRPr="009A30CA">
        <w:t xml:space="preserve"> jebkurai privātpersonai, tostarp arī privāto tiesību juridiskajai personai, </w:t>
      </w:r>
      <w:r w:rsidRPr="009A30CA">
        <w:t xml:space="preserve">ir </w:t>
      </w:r>
      <w:r w:rsidR="00081AE5" w:rsidRPr="009A30CA">
        <w:t xml:space="preserve">tiesības saņemt atlīdzinājumu par </w:t>
      </w:r>
      <w:r w:rsidRPr="009A30CA">
        <w:t>izdevumi</w:t>
      </w:r>
      <w:r w:rsidR="00081AE5" w:rsidRPr="009A30CA">
        <w:t>em</w:t>
      </w:r>
      <w:r w:rsidRPr="009A30CA">
        <w:t xml:space="preserve">, kas </w:t>
      </w:r>
      <w:r w:rsidR="00081AE5" w:rsidRPr="009A30CA">
        <w:t xml:space="preserve">ir bijuši objektīvi nepieciešami, lai panāktu iestādes izdota prettiesiska lēmuma atcelšanu. </w:t>
      </w:r>
      <w:r w:rsidR="00F1074E" w:rsidRPr="009A30CA">
        <w:t>Gadījumā, ja prettiesiska lēmuma atcelšanai ir nepieciešama tiesas iesaiste, arī izdevumi, kas saistīti ar likumā noteikto prasību ievērošanu, var tikt atzīti par objektīvi nepieciešamiem. Līdz ar to tulkošanas izdevumi, k</w:t>
      </w:r>
      <w:r w:rsidR="000D7E89" w:rsidRPr="009A30CA">
        <w:t xml:space="preserve">urus </w:t>
      </w:r>
      <w:r w:rsidR="00F1074E" w:rsidRPr="009A30CA">
        <w:t xml:space="preserve">radījusi nepieciešamība tiesāties sakarā ar prettiesiska </w:t>
      </w:r>
      <w:r w:rsidR="00A43D2F" w:rsidRPr="009A30CA">
        <w:t>lēmuma</w:t>
      </w:r>
      <w:r w:rsidR="00F1074E" w:rsidRPr="009A30CA">
        <w:t xml:space="preserve"> izdošanu, nav izslēdzami no atlīdzināmo zaudējumu loka. </w:t>
      </w:r>
      <w:r w:rsidR="00A43D2F" w:rsidRPr="009A30CA">
        <w:t xml:space="preserve">Par to, ka tulka izmantošana </w:t>
      </w:r>
      <w:r w:rsidR="00E648DB" w:rsidRPr="009A30CA">
        <w:t xml:space="preserve">administratīvajā procesā </w:t>
      </w:r>
      <w:r w:rsidR="00A43D2F" w:rsidRPr="009A30CA">
        <w:t>var būt objektīvi nepieciešama ne tikai fizisk</w:t>
      </w:r>
      <w:r w:rsidR="00B86067">
        <w:t>aj</w:t>
      </w:r>
      <w:r w:rsidR="00A43D2F" w:rsidRPr="009A30CA">
        <w:t xml:space="preserve">ai personai, bet arī juridiskajai personai, </w:t>
      </w:r>
      <w:r w:rsidR="00E648DB" w:rsidRPr="009A30CA">
        <w:t xml:space="preserve">citastarp </w:t>
      </w:r>
      <w:r w:rsidR="00A43D2F" w:rsidRPr="009A30CA">
        <w:t>liecina arī Administratīvā procesa likuma 110.panta piektā daļa, kas paredz, ka tiesa pēc sava ieskata var nodrošināt tulku arī juridiskajai personai.</w:t>
      </w:r>
    </w:p>
    <w:p w:rsidR="00376F60" w:rsidRPr="009A30CA" w:rsidRDefault="00914C8E" w:rsidP="00376F60">
      <w:pPr>
        <w:spacing w:line="276" w:lineRule="auto"/>
        <w:ind w:firstLine="567"/>
        <w:jc w:val="both"/>
      </w:pPr>
      <w:r w:rsidRPr="009A30CA">
        <w:t>Ņemot vērā, ka likumdevējs nav noteicis īpašu kārtību šādu izdevumu atlīdzināšanai vai to maksimālo apmēru, apgabaltiesa pamatoti konstatējusi, ka tie jāvērtē atbilstoši vispārīgajai mantisko zaudējumu atlīdzināšanas kārtībai</w:t>
      </w:r>
      <w:r w:rsidR="00376F60" w:rsidRPr="009A30CA">
        <w:t xml:space="preserve">. </w:t>
      </w:r>
      <w:r w:rsidRPr="009A30CA">
        <w:t xml:space="preserve">Vienlaikus katrā gadījumā ir individuāli izvērtējams, vai tiešām konkrētais tulkošanas </w:t>
      </w:r>
      <w:r w:rsidR="00376F60" w:rsidRPr="009A30CA">
        <w:t xml:space="preserve">pakalpojums ir bijis nepieciešams un vai nav konstatējama personas līdzatbildība, </w:t>
      </w:r>
      <w:r w:rsidR="00A43D2F" w:rsidRPr="009A30CA">
        <w:t>tostarp</w:t>
      </w:r>
      <w:r w:rsidR="00376F60" w:rsidRPr="009A30CA">
        <w:t xml:space="preserve">, vai tulkošanas </w:t>
      </w:r>
      <w:r w:rsidRPr="009A30CA">
        <w:t>pakalpojums ir saistīts ar konkr</w:t>
      </w:r>
      <w:r w:rsidR="00376F60" w:rsidRPr="009A30CA">
        <w:t>ēto lietu, vai tas</w:t>
      </w:r>
      <w:r w:rsidRPr="009A30CA">
        <w:t xml:space="preserve"> ir bijis nepieciešams procesuālo tiesību pilnvērtīgai </w:t>
      </w:r>
      <w:r w:rsidR="00376F60" w:rsidRPr="009A30CA">
        <w:t xml:space="preserve">īstenošanai, vai pati persona nav nevajadzīgi palielinājusi zaudējumu apmēru, pieprasot un saņemot nevajadzīgu tulkošanas pakalpojumu. </w:t>
      </w:r>
      <w:r w:rsidR="009A30CA" w:rsidRPr="009A30CA">
        <w:t>Dienests kasācijas sūdzībā nav norādījis iebildumus pret apgabaltiesas veikto pierādījumu vērtējumu attiecībā uz konkrētu izdevumu saistību ar lietu.</w:t>
      </w:r>
    </w:p>
    <w:p w:rsidR="00A43D2F" w:rsidRPr="009A30CA" w:rsidRDefault="00A43D2F" w:rsidP="00A43D2F">
      <w:pPr>
        <w:spacing w:line="276" w:lineRule="auto"/>
        <w:ind w:firstLine="567"/>
        <w:jc w:val="both"/>
      </w:pPr>
      <w:r w:rsidRPr="009A30CA">
        <w:t>Ievērojot minēto, dienesta viedoklis, ka juridisk</w:t>
      </w:r>
      <w:r w:rsidR="00B86067">
        <w:t>aj</w:t>
      </w:r>
      <w:r w:rsidRPr="009A30CA">
        <w:t xml:space="preserve">ai personai nevar tikt atlīdzināti mantiskie zaudējumi, kas radušies saistībā ar tulkošanu, nav pamatots. </w:t>
      </w:r>
    </w:p>
    <w:p w:rsidR="00A663C2" w:rsidRPr="00F0518C" w:rsidRDefault="00A663C2" w:rsidP="00A7026C">
      <w:pPr>
        <w:pStyle w:val="NormalWeb"/>
        <w:spacing w:before="0" w:beforeAutospacing="0" w:after="0" w:afterAutospacing="0" w:line="276" w:lineRule="auto"/>
        <w:ind w:firstLine="567"/>
        <w:jc w:val="both"/>
      </w:pPr>
    </w:p>
    <w:p w:rsidR="00E01990" w:rsidRPr="00E35F55" w:rsidRDefault="00A7026C" w:rsidP="00E01990">
      <w:pPr>
        <w:keepNext/>
        <w:spacing w:line="276" w:lineRule="auto"/>
        <w:ind w:firstLine="567"/>
        <w:jc w:val="both"/>
      </w:pPr>
      <w:r>
        <w:lastRenderedPageBreak/>
        <w:t>[</w:t>
      </w:r>
      <w:r w:rsidR="00E01990">
        <w:t>15</w:t>
      </w:r>
      <w:r>
        <w:t>] </w:t>
      </w:r>
      <w:r w:rsidR="00E01990">
        <w:t>Ievērojot minēto, Senāts atzīst, ka apgabaltiesas spriedums ir atstājams negrozīts, bet dienesta kasācijas sūdzība noraidāma.</w:t>
      </w:r>
    </w:p>
    <w:p w:rsidR="005A1EFC" w:rsidRPr="0031687A" w:rsidRDefault="005A1EFC" w:rsidP="005A1EFC">
      <w:pPr>
        <w:pStyle w:val="NormalWeb"/>
        <w:spacing w:before="0" w:beforeAutospacing="0" w:after="0" w:afterAutospacing="0" w:line="276" w:lineRule="auto"/>
        <w:ind w:firstLine="567"/>
        <w:jc w:val="both"/>
      </w:pPr>
    </w:p>
    <w:p w:rsidR="005A1EFC" w:rsidRDefault="005A1EFC" w:rsidP="005A1EFC">
      <w:pPr>
        <w:spacing w:line="276" w:lineRule="auto"/>
        <w:jc w:val="center"/>
        <w:rPr>
          <w:b/>
        </w:rPr>
      </w:pPr>
    </w:p>
    <w:p w:rsidR="00425ED6" w:rsidRPr="0082381C" w:rsidRDefault="00425ED6" w:rsidP="00425ED6">
      <w:pPr>
        <w:spacing w:line="276" w:lineRule="auto"/>
        <w:jc w:val="center"/>
        <w:rPr>
          <w:b/>
        </w:rPr>
      </w:pPr>
      <w:r w:rsidRPr="0082381C">
        <w:rPr>
          <w:b/>
        </w:rPr>
        <w:t>Rezolutīvā daļa</w:t>
      </w:r>
    </w:p>
    <w:p w:rsidR="00425ED6" w:rsidRPr="0082381C" w:rsidRDefault="00425ED6" w:rsidP="00425ED6">
      <w:pPr>
        <w:spacing w:line="276" w:lineRule="auto"/>
        <w:ind w:firstLine="567"/>
        <w:jc w:val="both"/>
        <w:rPr>
          <w:bCs/>
          <w:spacing w:val="70"/>
        </w:rPr>
      </w:pPr>
    </w:p>
    <w:p w:rsidR="00425ED6" w:rsidRPr="0082381C" w:rsidRDefault="00425ED6" w:rsidP="00425ED6">
      <w:pPr>
        <w:tabs>
          <w:tab w:val="left" w:pos="6660"/>
        </w:tabs>
        <w:spacing w:line="276" w:lineRule="auto"/>
        <w:ind w:firstLine="709"/>
        <w:rPr>
          <w:strike/>
        </w:rPr>
      </w:pPr>
      <w:r w:rsidRPr="005F2D4D">
        <w:t xml:space="preserve">Pamatojoties uz Administratīvā procesa </w:t>
      </w:r>
      <w:r w:rsidRPr="009124BA">
        <w:t>likuma 348.panta pirmās daļas 1.punktu un 351.pantu,</w:t>
      </w:r>
      <w:r w:rsidRPr="0082381C">
        <w:t xml:space="preserve"> </w:t>
      </w:r>
      <w:r w:rsidRPr="00043E06">
        <w:t>Senāts</w:t>
      </w:r>
    </w:p>
    <w:p w:rsidR="00425ED6" w:rsidRPr="0082381C" w:rsidRDefault="00425ED6" w:rsidP="00425ED6">
      <w:pPr>
        <w:spacing w:line="276" w:lineRule="auto"/>
        <w:ind w:firstLine="567"/>
        <w:jc w:val="both"/>
      </w:pPr>
    </w:p>
    <w:p w:rsidR="00425ED6" w:rsidRPr="0082381C" w:rsidRDefault="00425ED6" w:rsidP="00425ED6">
      <w:pPr>
        <w:spacing w:line="276" w:lineRule="auto"/>
        <w:jc w:val="center"/>
        <w:rPr>
          <w:b/>
        </w:rPr>
      </w:pPr>
      <w:r w:rsidRPr="0082381C">
        <w:rPr>
          <w:b/>
        </w:rPr>
        <w:t>nosprieda:</w:t>
      </w:r>
    </w:p>
    <w:p w:rsidR="00425ED6" w:rsidRPr="0082381C" w:rsidRDefault="00425ED6" w:rsidP="00425ED6">
      <w:pPr>
        <w:spacing w:line="276" w:lineRule="auto"/>
        <w:jc w:val="center"/>
        <w:rPr>
          <w:b/>
        </w:rPr>
      </w:pPr>
    </w:p>
    <w:p w:rsidR="00E01990" w:rsidRPr="00501610" w:rsidRDefault="00E01990" w:rsidP="00E01990">
      <w:pPr>
        <w:keepNext/>
        <w:tabs>
          <w:tab w:val="left" w:pos="2700"/>
          <w:tab w:val="left" w:pos="6660"/>
        </w:tabs>
        <w:spacing w:line="276" w:lineRule="auto"/>
        <w:ind w:firstLine="567"/>
      </w:pPr>
      <w:r>
        <w:rPr>
          <w:color w:val="000000"/>
        </w:rPr>
        <w:t>A</w:t>
      </w:r>
      <w:r w:rsidRPr="00501610">
        <w:rPr>
          <w:color w:val="000000"/>
        </w:rPr>
        <w:t>t</w:t>
      </w:r>
      <w:r>
        <w:rPr>
          <w:color w:val="000000"/>
        </w:rPr>
        <w:t>stāt negrozītu</w:t>
      </w:r>
      <w:r w:rsidRPr="00501610">
        <w:t xml:space="preserve"> Administratīvās apgabaltiesas </w:t>
      </w:r>
      <w:proofErr w:type="gramStart"/>
      <w:r w:rsidRPr="00B237ED">
        <w:t>2016.gada</w:t>
      </w:r>
      <w:proofErr w:type="gramEnd"/>
      <w:r w:rsidRPr="00B237ED">
        <w:t xml:space="preserve"> </w:t>
      </w:r>
      <w:r>
        <w:rPr>
          <w:color w:val="000000"/>
        </w:rPr>
        <w:t>3.novembra</w:t>
      </w:r>
      <w:r w:rsidRPr="00B237ED">
        <w:t xml:space="preserve"> </w:t>
      </w:r>
      <w:r w:rsidRPr="00501610">
        <w:t>spriedumu</w:t>
      </w:r>
      <w:r>
        <w:t>, bet Valsts ieņēmumu dienesta</w:t>
      </w:r>
      <w:r w:rsidRPr="00B237ED">
        <w:t xml:space="preserve"> </w:t>
      </w:r>
      <w:r w:rsidRPr="005F2D4D">
        <w:t xml:space="preserve">kasācijas </w:t>
      </w:r>
      <w:r>
        <w:t>sūdzības noraidīt.</w:t>
      </w:r>
      <w:r w:rsidRPr="00A908B5">
        <w:t xml:space="preserve"> </w:t>
      </w:r>
    </w:p>
    <w:p w:rsidR="00B4594A" w:rsidRPr="00D35D02" w:rsidRDefault="00425ED6" w:rsidP="00D35D02">
      <w:pPr>
        <w:spacing w:line="276" w:lineRule="auto"/>
        <w:ind w:firstLine="567"/>
        <w:jc w:val="both"/>
        <w:rPr>
          <w:color w:val="000000"/>
        </w:rPr>
      </w:pPr>
      <w:r w:rsidRPr="0049789F">
        <w:rPr>
          <w:color w:val="000000"/>
        </w:rPr>
        <w:t>Spriedums nav pārsūdzams.</w:t>
      </w:r>
    </w:p>
    <w:sectPr w:rsidR="00B4594A" w:rsidRPr="00D35D02" w:rsidSect="00007FE6">
      <w:footerReference w:type="default" r:id="rId9"/>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312B4" w:rsidRDefault="00E312B4" w:rsidP="00AF1B68">
      <w:r>
        <w:separator/>
      </w:r>
    </w:p>
  </w:endnote>
  <w:endnote w:type="continuationSeparator" w:id="0">
    <w:p w:rsidR="00E312B4" w:rsidRDefault="00E312B4" w:rsidP="00AF1B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1B68" w:rsidRDefault="00AF1B68" w:rsidP="00AF1B68">
    <w:pPr>
      <w:pStyle w:val="Footer"/>
      <w:jc w:val="center"/>
    </w:pPr>
    <w:r w:rsidRPr="00391D55">
      <w:rPr>
        <w:rStyle w:val="PageNumber"/>
      </w:rPr>
      <w:fldChar w:fldCharType="begin"/>
    </w:r>
    <w:r w:rsidRPr="00391D55">
      <w:rPr>
        <w:rStyle w:val="PageNumber"/>
      </w:rPr>
      <w:instrText xml:space="preserve"> PAGE </w:instrText>
    </w:r>
    <w:r w:rsidRPr="00391D55">
      <w:rPr>
        <w:rStyle w:val="PageNumber"/>
      </w:rPr>
      <w:fldChar w:fldCharType="separate"/>
    </w:r>
    <w:r w:rsidR="009B593F">
      <w:rPr>
        <w:rStyle w:val="PageNumber"/>
        <w:noProof/>
      </w:rPr>
      <w:t>9</w:t>
    </w:r>
    <w:r w:rsidRPr="00391D55">
      <w:rPr>
        <w:rStyle w:val="PageNumber"/>
      </w:rPr>
      <w:fldChar w:fldCharType="end"/>
    </w:r>
    <w:r w:rsidR="00AD5A61">
      <w:rPr>
        <w:rStyle w:val="PageNumber"/>
      </w:rPr>
      <w:t xml:space="preserve"> n</w:t>
    </w:r>
    <w:r w:rsidRPr="00391D55">
      <w:rPr>
        <w:rStyle w:val="PageNumber"/>
      </w:rPr>
      <w:t xml:space="preserve">o </w:t>
    </w:r>
    <w:r w:rsidRPr="00391D55">
      <w:rPr>
        <w:rStyle w:val="PageNumber"/>
      </w:rPr>
      <w:fldChar w:fldCharType="begin"/>
    </w:r>
    <w:r w:rsidRPr="00391D55">
      <w:rPr>
        <w:rStyle w:val="PageNumber"/>
      </w:rPr>
      <w:instrText xml:space="preserve"> NUMPAGES </w:instrText>
    </w:r>
    <w:r w:rsidRPr="00391D55">
      <w:rPr>
        <w:rStyle w:val="PageNumber"/>
      </w:rPr>
      <w:fldChar w:fldCharType="separate"/>
    </w:r>
    <w:r w:rsidR="009B593F">
      <w:rPr>
        <w:rStyle w:val="PageNumber"/>
        <w:noProof/>
      </w:rPr>
      <w:t>9</w:t>
    </w:r>
    <w:r w:rsidRPr="00391D55">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312B4" w:rsidRDefault="00E312B4" w:rsidP="00AF1B68">
      <w:r>
        <w:separator/>
      </w:r>
    </w:p>
  </w:footnote>
  <w:footnote w:type="continuationSeparator" w:id="0">
    <w:p w:rsidR="00E312B4" w:rsidRDefault="00E312B4" w:rsidP="00AF1B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797848"/>
    <w:multiLevelType w:val="multilevel"/>
    <w:tmpl w:val="4EB29B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0E84EAF"/>
    <w:multiLevelType w:val="multilevel"/>
    <w:tmpl w:val="7DD0F4C2"/>
    <w:lvl w:ilvl="0">
      <w:start w:val="1"/>
      <w:numFmt w:val="decimal"/>
      <w:lvlText w:val="[%1]"/>
      <w:lvlJc w:val="left"/>
      <w:pPr>
        <w:tabs>
          <w:tab w:val="num" w:pos="0"/>
        </w:tabs>
        <w:ind w:left="0" w:firstLine="851"/>
      </w:pPr>
      <w:rPr>
        <w:rFonts w:ascii="Times New Roman" w:hAnsi="Times New Roman" w:cs="Times New Roman" w:hint="default"/>
      </w:rPr>
    </w:lvl>
    <w:lvl w:ilvl="1">
      <w:start w:val="1"/>
      <w:numFmt w:val="decimal"/>
      <w:lvlText w:val="[%1.%2]"/>
      <w:lvlJc w:val="left"/>
      <w:pPr>
        <w:tabs>
          <w:tab w:val="num" w:pos="360"/>
        </w:tabs>
        <w:ind w:left="0" w:firstLine="851"/>
      </w:pPr>
      <w:rPr>
        <w:rFonts w:ascii="Times New Roman" w:hAnsi="Times New Roman" w:cs="Times New Roman" w:hint="default"/>
        <w:sz w:val="24"/>
        <w:szCs w:val="24"/>
      </w:rPr>
    </w:lvl>
    <w:lvl w:ilvl="2">
      <w:start w:val="1"/>
      <w:numFmt w:val="decimal"/>
      <w:lvlText w:val="%3)"/>
      <w:lvlJc w:val="left"/>
      <w:pPr>
        <w:tabs>
          <w:tab w:val="num" w:pos="927"/>
        </w:tabs>
        <w:ind w:left="927"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7786177C"/>
    <w:multiLevelType w:val="multilevel"/>
    <w:tmpl w:val="3348C8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E08504F"/>
    <w:multiLevelType w:val="multilevel"/>
    <w:tmpl w:val="4A4242B8"/>
    <w:lvl w:ilvl="0">
      <w:start w:val="1"/>
      <w:numFmt w:val="decimal"/>
      <w:lvlText w:val="[%1]"/>
      <w:lvlJc w:val="left"/>
      <w:pPr>
        <w:tabs>
          <w:tab w:val="num" w:pos="0"/>
        </w:tabs>
        <w:ind w:left="0" w:firstLine="851"/>
      </w:pPr>
      <w:rPr>
        <w:i w:val="0"/>
      </w:rPr>
    </w:lvl>
    <w:lvl w:ilvl="1">
      <w:start w:val="1"/>
      <w:numFmt w:val="decimal"/>
      <w:lvlText w:val="[%1.%2]"/>
      <w:lvlJc w:val="left"/>
      <w:pPr>
        <w:tabs>
          <w:tab w:val="num" w:pos="360"/>
        </w:tabs>
        <w:ind w:left="0" w:firstLine="851"/>
      </w:pPr>
      <w:rPr>
        <w:i w:val="0"/>
        <w:sz w:val="24"/>
        <w:szCs w:val="24"/>
      </w:rPr>
    </w:lvl>
    <w:lvl w:ilvl="2">
      <w:start w:val="1"/>
      <w:numFmt w:val="decimal"/>
      <w:lvlText w:val="%3)"/>
      <w:lvlJc w:val="left"/>
      <w:pPr>
        <w:tabs>
          <w:tab w:val="num" w:pos="927"/>
        </w:tabs>
        <w:ind w:left="927" w:hanging="36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23DA"/>
    <w:rsid w:val="00007FE6"/>
    <w:rsid w:val="000157DE"/>
    <w:rsid w:val="00031F99"/>
    <w:rsid w:val="00032925"/>
    <w:rsid w:val="00036426"/>
    <w:rsid w:val="0006254D"/>
    <w:rsid w:val="00064728"/>
    <w:rsid w:val="00065762"/>
    <w:rsid w:val="00065D9A"/>
    <w:rsid w:val="000679C5"/>
    <w:rsid w:val="00081AE5"/>
    <w:rsid w:val="00094879"/>
    <w:rsid w:val="00096E78"/>
    <w:rsid w:val="000A23E3"/>
    <w:rsid w:val="000B41F0"/>
    <w:rsid w:val="000D214A"/>
    <w:rsid w:val="000D4B19"/>
    <w:rsid w:val="000D7E89"/>
    <w:rsid w:val="000F0BB8"/>
    <w:rsid w:val="000F594B"/>
    <w:rsid w:val="00112DB7"/>
    <w:rsid w:val="00116C28"/>
    <w:rsid w:val="00123DCA"/>
    <w:rsid w:val="00144746"/>
    <w:rsid w:val="0014796A"/>
    <w:rsid w:val="00164806"/>
    <w:rsid w:val="00181592"/>
    <w:rsid w:val="001A23DA"/>
    <w:rsid w:val="001B2C03"/>
    <w:rsid w:val="001C3506"/>
    <w:rsid w:val="001D654E"/>
    <w:rsid w:val="001E2D0C"/>
    <w:rsid w:val="001F2E03"/>
    <w:rsid w:val="001F4A10"/>
    <w:rsid w:val="0021077F"/>
    <w:rsid w:val="002227EA"/>
    <w:rsid w:val="00232138"/>
    <w:rsid w:val="00236668"/>
    <w:rsid w:val="002419F7"/>
    <w:rsid w:val="0026374C"/>
    <w:rsid w:val="00265D5C"/>
    <w:rsid w:val="0026650D"/>
    <w:rsid w:val="0027568A"/>
    <w:rsid w:val="00275C97"/>
    <w:rsid w:val="00297080"/>
    <w:rsid w:val="002A3C77"/>
    <w:rsid w:val="002C42F1"/>
    <w:rsid w:val="002C66EE"/>
    <w:rsid w:val="002C6977"/>
    <w:rsid w:val="002D4006"/>
    <w:rsid w:val="002F7B8A"/>
    <w:rsid w:val="00301D7B"/>
    <w:rsid w:val="003173B3"/>
    <w:rsid w:val="003238A6"/>
    <w:rsid w:val="00335448"/>
    <w:rsid w:val="00367BAC"/>
    <w:rsid w:val="0037489D"/>
    <w:rsid w:val="00376F60"/>
    <w:rsid w:val="003D3958"/>
    <w:rsid w:val="003F47B0"/>
    <w:rsid w:val="003F4EEF"/>
    <w:rsid w:val="004013D3"/>
    <w:rsid w:val="00425ED6"/>
    <w:rsid w:val="00441430"/>
    <w:rsid w:val="0044270F"/>
    <w:rsid w:val="00450185"/>
    <w:rsid w:val="00454EEB"/>
    <w:rsid w:val="00455707"/>
    <w:rsid w:val="00457D23"/>
    <w:rsid w:val="00470540"/>
    <w:rsid w:val="00476246"/>
    <w:rsid w:val="00483703"/>
    <w:rsid w:val="00484B21"/>
    <w:rsid w:val="004A2E7C"/>
    <w:rsid w:val="004A56B9"/>
    <w:rsid w:val="004A6B5B"/>
    <w:rsid w:val="004C232A"/>
    <w:rsid w:val="004C6A61"/>
    <w:rsid w:val="004C7F8B"/>
    <w:rsid w:val="004D3DE2"/>
    <w:rsid w:val="004F2AF6"/>
    <w:rsid w:val="00510691"/>
    <w:rsid w:val="00514102"/>
    <w:rsid w:val="005162C8"/>
    <w:rsid w:val="00520519"/>
    <w:rsid w:val="005241D2"/>
    <w:rsid w:val="00526241"/>
    <w:rsid w:val="00534305"/>
    <w:rsid w:val="00540D14"/>
    <w:rsid w:val="0054571E"/>
    <w:rsid w:val="00545BC4"/>
    <w:rsid w:val="00571370"/>
    <w:rsid w:val="0058189D"/>
    <w:rsid w:val="005933B8"/>
    <w:rsid w:val="005A1EFC"/>
    <w:rsid w:val="005D4490"/>
    <w:rsid w:val="005F1E2D"/>
    <w:rsid w:val="00602736"/>
    <w:rsid w:val="0060563C"/>
    <w:rsid w:val="00617E2E"/>
    <w:rsid w:val="00635F99"/>
    <w:rsid w:val="00645CB9"/>
    <w:rsid w:val="00654FAF"/>
    <w:rsid w:val="00660763"/>
    <w:rsid w:val="00661193"/>
    <w:rsid w:val="00672D41"/>
    <w:rsid w:val="00681372"/>
    <w:rsid w:val="00686DC8"/>
    <w:rsid w:val="0068775A"/>
    <w:rsid w:val="006A4499"/>
    <w:rsid w:val="006D26C2"/>
    <w:rsid w:val="006E70E5"/>
    <w:rsid w:val="006E7F73"/>
    <w:rsid w:val="006F6A70"/>
    <w:rsid w:val="00705685"/>
    <w:rsid w:val="00731047"/>
    <w:rsid w:val="007423F7"/>
    <w:rsid w:val="007458D2"/>
    <w:rsid w:val="00755226"/>
    <w:rsid w:val="00766042"/>
    <w:rsid w:val="007849FB"/>
    <w:rsid w:val="007B6E7B"/>
    <w:rsid w:val="007C35FC"/>
    <w:rsid w:val="007D47BE"/>
    <w:rsid w:val="007D68C0"/>
    <w:rsid w:val="007E11FB"/>
    <w:rsid w:val="007E1D26"/>
    <w:rsid w:val="008234EC"/>
    <w:rsid w:val="0082777D"/>
    <w:rsid w:val="00834FA5"/>
    <w:rsid w:val="0084020F"/>
    <w:rsid w:val="00843A16"/>
    <w:rsid w:val="00853215"/>
    <w:rsid w:val="00861D85"/>
    <w:rsid w:val="00883138"/>
    <w:rsid w:val="0088518E"/>
    <w:rsid w:val="008A4BFA"/>
    <w:rsid w:val="008B077A"/>
    <w:rsid w:val="008B2742"/>
    <w:rsid w:val="008B72A5"/>
    <w:rsid w:val="008B7B83"/>
    <w:rsid w:val="008C1AEE"/>
    <w:rsid w:val="00906E29"/>
    <w:rsid w:val="00911041"/>
    <w:rsid w:val="00914C8E"/>
    <w:rsid w:val="00922E77"/>
    <w:rsid w:val="009374FA"/>
    <w:rsid w:val="0095567D"/>
    <w:rsid w:val="009558C7"/>
    <w:rsid w:val="0096785A"/>
    <w:rsid w:val="00986B6B"/>
    <w:rsid w:val="00996488"/>
    <w:rsid w:val="009979B6"/>
    <w:rsid w:val="009A30CA"/>
    <w:rsid w:val="009B593F"/>
    <w:rsid w:val="009C45B0"/>
    <w:rsid w:val="009C5188"/>
    <w:rsid w:val="009D36C4"/>
    <w:rsid w:val="009E1990"/>
    <w:rsid w:val="009F37B3"/>
    <w:rsid w:val="00A14E95"/>
    <w:rsid w:val="00A25371"/>
    <w:rsid w:val="00A31FB8"/>
    <w:rsid w:val="00A349C8"/>
    <w:rsid w:val="00A43D2F"/>
    <w:rsid w:val="00A459B5"/>
    <w:rsid w:val="00A54642"/>
    <w:rsid w:val="00A663C2"/>
    <w:rsid w:val="00A7026C"/>
    <w:rsid w:val="00A711F4"/>
    <w:rsid w:val="00A83FE4"/>
    <w:rsid w:val="00AA4DE5"/>
    <w:rsid w:val="00AA58D1"/>
    <w:rsid w:val="00AB63F8"/>
    <w:rsid w:val="00AD21AE"/>
    <w:rsid w:val="00AD5A61"/>
    <w:rsid w:val="00AE7B51"/>
    <w:rsid w:val="00AF1B68"/>
    <w:rsid w:val="00B01678"/>
    <w:rsid w:val="00B15971"/>
    <w:rsid w:val="00B21E69"/>
    <w:rsid w:val="00B35C2E"/>
    <w:rsid w:val="00B44E7F"/>
    <w:rsid w:val="00B4594A"/>
    <w:rsid w:val="00B45A38"/>
    <w:rsid w:val="00B46CCF"/>
    <w:rsid w:val="00B55761"/>
    <w:rsid w:val="00B62451"/>
    <w:rsid w:val="00B86067"/>
    <w:rsid w:val="00B8619F"/>
    <w:rsid w:val="00B864D3"/>
    <w:rsid w:val="00B87356"/>
    <w:rsid w:val="00B92BDB"/>
    <w:rsid w:val="00B9537F"/>
    <w:rsid w:val="00B957BC"/>
    <w:rsid w:val="00BA3CA6"/>
    <w:rsid w:val="00BA5868"/>
    <w:rsid w:val="00BF5272"/>
    <w:rsid w:val="00C01DF8"/>
    <w:rsid w:val="00C1385B"/>
    <w:rsid w:val="00C15CAF"/>
    <w:rsid w:val="00C17937"/>
    <w:rsid w:val="00C21252"/>
    <w:rsid w:val="00C2170A"/>
    <w:rsid w:val="00C2500F"/>
    <w:rsid w:val="00C2558B"/>
    <w:rsid w:val="00C25ED2"/>
    <w:rsid w:val="00C460DB"/>
    <w:rsid w:val="00C56702"/>
    <w:rsid w:val="00C568DA"/>
    <w:rsid w:val="00C62B5B"/>
    <w:rsid w:val="00C66915"/>
    <w:rsid w:val="00C72F63"/>
    <w:rsid w:val="00C84714"/>
    <w:rsid w:val="00C900AC"/>
    <w:rsid w:val="00CA7D0C"/>
    <w:rsid w:val="00CD2305"/>
    <w:rsid w:val="00CD423A"/>
    <w:rsid w:val="00CD7657"/>
    <w:rsid w:val="00CE0CAA"/>
    <w:rsid w:val="00CF4FCB"/>
    <w:rsid w:val="00D0443A"/>
    <w:rsid w:val="00D06860"/>
    <w:rsid w:val="00D26759"/>
    <w:rsid w:val="00D35D02"/>
    <w:rsid w:val="00D42326"/>
    <w:rsid w:val="00D627E4"/>
    <w:rsid w:val="00D71FE8"/>
    <w:rsid w:val="00D737E2"/>
    <w:rsid w:val="00DA1DE5"/>
    <w:rsid w:val="00DA2E52"/>
    <w:rsid w:val="00DA31AB"/>
    <w:rsid w:val="00DA37DA"/>
    <w:rsid w:val="00DA53C5"/>
    <w:rsid w:val="00DB3DBB"/>
    <w:rsid w:val="00DB5FC0"/>
    <w:rsid w:val="00DF1188"/>
    <w:rsid w:val="00E01941"/>
    <w:rsid w:val="00E01990"/>
    <w:rsid w:val="00E1620D"/>
    <w:rsid w:val="00E239A6"/>
    <w:rsid w:val="00E312B4"/>
    <w:rsid w:val="00E32599"/>
    <w:rsid w:val="00E33E5C"/>
    <w:rsid w:val="00E37A05"/>
    <w:rsid w:val="00E615E0"/>
    <w:rsid w:val="00E648DB"/>
    <w:rsid w:val="00E67C28"/>
    <w:rsid w:val="00E775D1"/>
    <w:rsid w:val="00EA5EF8"/>
    <w:rsid w:val="00EC091C"/>
    <w:rsid w:val="00ED330F"/>
    <w:rsid w:val="00F0518C"/>
    <w:rsid w:val="00F05A43"/>
    <w:rsid w:val="00F1074E"/>
    <w:rsid w:val="00F446D1"/>
    <w:rsid w:val="00F550FF"/>
    <w:rsid w:val="00F56768"/>
    <w:rsid w:val="00F774E3"/>
    <w:rsid w:val="00F859F3"/>
    <w:rsid w:val="00F860BA"/>
    <w:rsid w:val="00F86200"/>
    <w:rsid w:val="00F9638C"/>
    <w:rsid w:val="00FA23BC"/>
    <w:rsid w:val="00FA7BA5"/>
    <w:rsid w:val="00FB6A2C"/>
    <w:rsid w:val="00FD048E"/>
    <w:rsid w:val="00FF31AF"/>
    <w:rsid w:val="00FF3EE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C6DCC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D5A61"/>
    <w:pPr>
      <w:spacing w:after="0" w:line="240" w:lineRule="auto"/>
    </w:pPr>
    <w:rPr>
      <w:rFonts w:eastAsia="Times New Roman" w:cs="Times New Roman"/>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2D4006"/>
    <w:rPr>
      <w:b/>
      <w:bCs/>
    </w:rPr>
  </w:style>
  <w:style w:type="paragraph" w:styleId="NormalWeb">
    <w:name w:val="Normal (Web)"/>
    <w:basedOn w:val="Normal"/>
    <w:uiPriority w:val="99"/>
    <w:unhideWhenUsed/>
    <w:rsid w:val="002D4006"/>
    <w:pPr>
      <w:spacing w:before="100" w:beforeAutospacing="1" w:after="100" w:afterAutospacing="1"/>
    </w:pPr>
  </w:style>
  <w:style w:type="character" w:customStyle="1" w:styleId="apple-converted-space">
    <w:name w:val="apple-converted-space"/>
    <w:basedOn w:val="DefaultParagraphFont"/>
    <w:rsid w:val="002D4006"/>
  </w:style>
  <w:style w:type="character" w:styleId="Emphasis">
    <w:name w:val="Emphasis"/>
    <w:basedOn w:val="DefaultParagraphFont"/>
    <w:uiPriority w:val="20"/>
    <w:qFormat/>
    <w:rsid w:val="002D4006"/>
    <w:rPr>
      <w:i/>
      <w:iCs/>
    </w:rPr>
  </w:style>
  <w:style w:type="character" w:styleId="Hyperlink">
    <w:name w:val="Hyperlink"/>
    <w:basedOn w:val="DefaultParagraphFont"/>
    <w:uiPriority w:val="99"/>
    <w:unhideWhenUsed/>
    <w:rsid w:val="002D4006"/>
    <w:rPr>
      <w:color w:val="0000FF"/>
      <w:u w:val="single"/>
    </w:rPr>
  </w:style>
  <w:style w:type="paragraph" w:styleId="BodyText2">
    <w:name w:val="Body Text 2"/>
    <w:basedOn w:val="Normal"/>
    <w:link w:val="BodyText2Char"/>
    <w:uiPriority w:val="99"/>
    <w:semiHidden/>
    <w:unhideWhenUsed/>
    <w:rsid w:val="00D737E2"/>
    <w:pPr>
      <w:spacing w:after="120" w:line="480" w:lineRule="auto"/>
    </w:pPr>
    <w:rPr>
      <w:rFonts w:eastAsiaTheme="minorHAnsi" w:cstheme="minorBidi"/>
      <w:szCs w:val="22"/>
      <w:lang w:eastAsia="en-US"/>
    </w:rPr>
  </w:style>
  <w:style w:type="character" w:customStyle="1" w:styleId="BodyText2Char">
    <w:name w:val="Body Text 2 Char"/>
    <w:basedOn w:val="DefaultParagraphFont"/>
    <w:link w:val="BodyText2"/>
    <w:uiPriority w:val="99"/>
    <w:semiHidden/>
    <w:rsid w:val="00D737E2"/>
  </w:style>
  <w:style w:type="paragraph" w:styleId="ListParagraph">
    <w:name w:val="List Paragraph"/>
    <w:basedOn w:val="Normal"/>
    <w:uiPriority w:val="34"/>
    <w:qFormat/>
    <w:rsid w:val="00F550FF"/>
    <w:pPr>
      <w:spacing w:after="160" w:line="259" w:lineRule="auto"/>
      <w:ind w:left="720"/>
      <w:contextualSpacing/>
    </w:pPr>
    <w:rPr>
      <w:rFonts w:eastAsiaTheme="minorHAnsi" w:cstheme="minorBidi"/>
      <w:szCs w:val="22"/>
      <w:lang w:eastAsia="en-US"/>
    </w:rPr>
  </w:style>
  <w:style w:type="paragraph" w:styleId="Header">
    <w:name w:val="header"/>
    <w:basedOn w:val="Normal"/>
    <w:link w:val="HeaderChar"/>
    <w:uiPriority w:val="99"/>
    <w:unhideWhenUsed/>
    <w:rsid w:val="00AF1B68"/>
    <w:pPr>
      <w:tabs>
        <w:tab w:val="center" w:pos="4680"/>
        <w:tab w:val="right" w:pos="9360"/>
      </w:tabs>
    </w:pPr>
    <w:rPr>
      <w:rFonts w:eastAsiaTheme="minorHAnsi" w:cstheme="minorBidi"/>
      <w:szCs w:val="22"/>
      <w:lang w:eastAsia="en-US"/>
    </w:rPr>
  </w:style>
  <w:style w:type="character" w:customStyle="1" w:styleId="HeaderChar">
    <w:name w:val="Header Char"/>
    <w:basedOn w:val="DefaultParagraphFont"/>
    <w:link w:val="Header"/>
    <w:uiPriority w:val="99"/>
    <w:rsid w:val="00AF1B68"/>
  </w:style>
  <w:style w:type="paragraph" w:styleId="Footer">
    <w:name w:val="footer"/>
    <w:basedOn w:val="Normal"/>
    <w:link w:val="FooterChar"/>
    <w:uiPriority w:val="99"/>
    <w:unhideWhenUsed/>
    <w:rsid w:val="00AF1B68"/>
    <w:pPr>
      <w:tabs>
        <w:tab w:val="center" w:pos="4680"/>
        <w:tab w:val="right" w:pos="9360"/>
      </w:tabs>
    </w:pPr>
    <w:rPr>
      <w:rFonts w:eastAsiaTheme="minorHAnsi" w:cstheme="minorBidi"/>
      <w:szCs w:val="22"/>
      <w:lang w:eastAsia="en-US"/>
    </w:rPr>
  </w:style>
  <w:style w:type="character" w:customStyle="1" w:styleId="FooterChar">
    <w:name w:val="Footer Char"/>
    <w:basedOn w:val="DefaultParagraphFont"/>
    <w:link w:val="Footer"/>
    <w:uiPriority w:val="99"/>
    <w:rsid w:val="00AF1B68"/>
  </w:style>
  <w:style w:type="character" w:styleId="PageNumber">
    <w:name w:val="page number"/>
    <w:basedOn w:val="DefaultParagraphFont"/>
    <w:rsid w:val="00AF1B68"/>
  </w:style>
  <w:style w:type="paragraph" w:customStyle="1" w:styleId="tv213">
    <w:name w:val="tv213"/>
    <w:basedOn w:val="Normal"/>
    <w:rsid w:val="00AD5A61"/>
    <w:pPr>
      <w:spacing w:before="100" w:beforeAutospacing="1" w:after="100" w:afterAutospacing="1"/>
    </w:pPr>
  </w:style>
  <w:style w:type="paragraph" w:customStyle="1" w:styleId="c01pointnumerotealtn">
    <w:name w:val="c01pointnumerotealtn"/>
    <w:basedOn w:val="Normal"/>
    <w:rsid w:val="00AD5A61"/>
    <w:pPr>
      <w:spacing w:before="100" w:beforeAutospacing="1" w:after="100" w:afterAutospacing="1"/>
    </w:pPr>
  </w:style>
  <w:style w:type="paragraph" w:customStyle="1" w:styleId="labojumupamats">
    <w:name w:val="labojumu_pamats"/>
    <w:basedOn w:val="Normal"/>
    <w:rsid w:val="00B35C2E"/>
    <w:pPr>
      <w:spacing w:before="100" w:beforeAutospacing="1" w:after="100" w:afterAutospacing="1"/>
    </w:pPr>
  </w:style>
  <w:style w:type="paragraph" w:styleId="BalloonText">
    <w:name w:val="Balloon Text"/>
    <w:basedOn w:val="Normal"/>
    <w:link w:val="BalloonTextChar"/>
    <w:uiPriority w:val="99"/>
    <w:semiHidden/>
    <w:unhideWhenUsed/>
    <w:rsid w:val="004427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270F"/>
    <w:rPr>
      <w:rFonts w:ascii="Segoe UI" w:eastAsia="Times New Roman" w:hAnsi="Segoe UI" w:cs="Segoe UI"/>
      <w:sz w:val="18"/>
      <w:szCs w:val="18"/>
      <w:lang w:eastAsia="lv-LV"/>
    </w:rPr>
  </w:style>
  <w:style w:type="table" w:styleId="TableGrid">
    <w:name w:val="Table Grid"/>
    <w:basedOn w:val="TableNormal"/>
    <w:uiPriority w:val="39"/>
    <w:rsid w:val="00425ED6"/>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0D214A"/>
    <w:rPr>
      <w:rFonts w:eastAsiaTheme="minorHAnsi" w:cstheme="minorBidi"/>
      <w:sz w:val="20"/>
      <w:szCs w:val="20"/>
      <w:lang w:eastAsia="en-US"/>
    </w:rPr>
  </w:style>
  <w:style w:type="character" w:customStyle="1" w:styleId="FootnoteTextChar">
    <w:name w:val="Footnote Text Char"/>
    <w:basedOn w:val="DefaultParagraphFont"/>
    <w:link w:val="FootnoteText"/>
    <w:uiPriority w:val="99"/>
    <w:rsid w:val="000D214A"/>
    <w:rPr>
      <w:sz w:val="20"/>
      <w:szCs w:val="20"/>
    </w:rPr>
  </w:style>
  <w:style w:type="character" w:styleId="FootnoteReference">
    <w:name w:val="footnote reference"/>
    <w:basedOn w:val="DefaultParagraphFont"/>
    <w:uiPriority w:val="99"/>
    <w:semiHidden/>
    <w:unhideWhenUsed/>
    <w:rsid w:val="000D214A"/>
    <w:rPr>
      <w:vertAlign w:val="superscript"/>
    </w:rPr>
  </w:style>
  <w:style w:type="paragraph" w:customStyle="1" w:styleId="norm">
    <w:name w:val="norm"/>
    <w:basedOn w:val="Normal"/>
    <w:rsid w:val="00986B6B"/>
    <w:pPr>
      <w:spacing w:before="100" w:beforeAutospacing="1" w:after="100" w:afterAutospacing="1"/>
    </w:pPr>
  </w:style>
  <w:style w:type="character" w:styleId="UnresolvedMention">
    <w:name w:val="Unresolved Mention"/>
    <w:basedOn w:val="DefaultParagraphFont"/>
    <w:uiPriority w:val="99"/>
    <w:semiHidden/>
    <w:unhideWhenUsed/>
    <w:rsid w:val="00C84714"/>
    <w:rPr>
      <w:color w:val="605E5C"/>
      <w:shd w:val="clear" w:color="auto" w:fill="E1DFDD"/>
    </w:rPr>
  </w:style>
  <w:style w:type="character" w:styleId="FollowedHyperlink">
    <w:name w:val="FollowedHyperlink"/>
    <w:basedOn w:val="DefaultParagraphFont"/>
    <w:uiPriority w:val="99"/>
    <w:semiHidden/>
    <w:unhideWhenUsed/>
    <w:rsid w:val="00C8471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057634">
      <w:bodyDiv w:val="1"/>
      <w:marLeft w:val="0"/>
      <w:marRight w:val="0"/>
      <w:marTop w:val="0"/>
      <w:marBottom w:val="0"/>
      <w:divBdr>
        <w:top w:val="none" w:sz="0" w:space="0" w:color="auto"/>
        <w:left w:val="none" w:sz="0" w:space="0" w:color="auto"/>
        <w:bottom w:val="none" w:sz="0" w:space="0" w:color="auto"/>
        <w:right w:val="none" w:sz="0" w:space="0" w:color="auto"/>
      </w:divBdr>
    </w:div>
    <w:div w:id="139928676">
      <w:bodyDiv w:val="1"/>
      <w:marLeft w:val="0"/>
      <w:marRight w:val="0"/>
      <w:marTop w:val="0"/>
      <w:marBottom w:val="0"/>
      <w:divBdr>
        <w:top w:val="none" w:sz="0" w:space="0" w:color="auto"/>
        <w:left w:val="none" w:sz="0" w:space="0" w:color="auto"/>
        <w:bottom w:val="none" w:sz="0" w:space="0" w:color="auto"/>
        <w:right w:val="none" w:sz="0" w:space="0" w:color="auto"/>
      </w:divBdr>
    </w:div>
    <w:div w:id="244463348">
      <w:bodyDiv w:val="1"/>
      <w:marLeft w:val="0"/>
      <w:marRight w:val="0"/>
      <w:marTop w:val="0"/>
      <w:marBottom w:val="0"/>
      <w:divBdr>
        <w:top w:val="none" w:sz="0" w:space="0" w:color="auto"/>
        <w:left w:val="none" w:sz="0" w:space="0" w:color="auto"/>
        <w:bottom w:val="none" w:sz="0" w:space="0" w:color="auto"/>
        <w:right w:val="none" w:sz="0" w:space="0" w:color="auto"/>
      </w:divBdr>
    </w:div>
    <w:div w:id="270480529">
      <w:bodyDiv w:val="1"/>
      <w:marLeft w:val="0"/>
      <w:marRight w:val="0"/>
      <w:marTop w:val="0"/>
      <w:marBottom w:val="0"/>
      <w:divBdr>
        <w:top w:val="none" w:sz="0" w:space="0" w:color="auto"/>
        <w:left w:val="none" w:sz="0" w:space="0" w:color="auto"/>
        <w:bottom w:val="none" w:sz="0" w:space="0" w:color="auto"/>
        <w:right w:val="none" w:sz="0" w:space="0" w:color="auto"/>
      </w:divBdr>
      <w:divsChild>
        <w:div w:id="1274171367">
          <w:marLeft w:val="0"/>
          <w:marRight w:val="0"/>
          <w:marTop w:val="480"/>
          <w:marBottom w:val="240"/>
          <w:divBdr>
            <w:top w:val="none" w:sz="0" w:space="0" w:color="auto"/>
            <w:left w:val="none" w:sz="0" w:space="0" w:color="auto"/>
            <w:bottom w:val="none" w:sz="0" w:space="0" w:color="auto"/>
            <w:right w:val="none" w:sz="0" w:space="0" w:color="auto"/>
          </w:divBdr>
        </w:div>
        <w:div w:id="30814295">
          <w:marLeft w:val="0"/>
          <w:marRight w:val="0"/>
          <w:marTop w:val="0"/>
          <w:marBottom w:val="567"/>
          <w:divBdr>
            <w:top w:val="none" w:sz="0" w:space="0" w:color="auto"/>
            <w:left w:val="none" w:sz="0" w:space="0" w:color="auto"/>
            <w:bottom w:val="none" w:sz="0" w:space="0" w:color="auto"/>
            <w:right w:val="none" w:sz="0" w:space="0" w:color="auto"/>
          </w:divBdr>
        </w:div>
      </w:divsChild>
    </w:div>
    <w:div w:id="352148172">
      <w:bodyDiv w:val="1"/>
      <w:marLeft w:val="0"/>
      <w:marRight w:val="0"/>
      <w:marTop w:val="0"/>
      <w:marBottom w:val="0"/>
      <w:divBdr>
        <w:top w:val="none" w:sz="0" w:space="0" w:color="auto"/>
        <w:left w:val="none" w:sz="0" w:space="0" w:color="auto"/>
        <w:bottom w:val="none" w:sz="0" w:space="0" w:color="auto"/>
        <w:right w:val="none" w:sz="0" w:space="0" w:color="auto"/>
      </w:divBdr>
    </w:div>
    <w:div w:id="446433142">
      <w:bodyDiv w:val="1"/>
      <w:marLeft w:val="0"/>
      <w:marRight w:val="0"/>
      <w:marTop w:val="0"/>
      <w:marBottom w:val="0"/>
      <w:divBdr>
        <w:top w:val="none" w:sz="0" w:space="0" w:color="auto"/>
        <w:left w:val="none" w:sz="0" w:space="0" w:color="auto"/>
        <w:bottom w:val="none" w:sz="0" w:space="0" w:color="auto"/>
        <w:right w:val="none" w:sz="0" w:space="0" w:color="auto"/>
      </w:divBdr>
    </w:div>
    <w:div w:id="940911272">
      <w:bodyDiv w:val="1"/>
      <w:marLeft w:val="0"/>
      <w:marRight w:val="0"/>
      <w:marTop w:val="0"/>
      <w:marBottom w:val="0"/>
      <w:divBdr>
        <w:top w:val="none" w:sz="0" w:space="0" w:color="auto"/>
        <w:left w:val="none" w:sz="0" w:space="0" w:color="auto"/>
        <w:bottom w:val="none" w:sz="0" w:space="0" w:color="auto"/>
        <w:right w:val="none" w:sz="0" w:space="0" w:color="auto"/>
      </w:divBdr>
    </w:div>
    <w:div w:id="1271813834">
      <w:bodyDiv w:val="1"/>
      <w:marLeft w:val="0"/>
      <w:marRight w:val="0"/>
      <w:marTop w:val="0"/>
      <w:marBottom w:val="0"/>
      <w:divBdr>
        <w:top w:val="none" w:sz="0" w:space="0" w:color="auto"/>
        <w:left w:val="none" w:sz="0" w:space="0" w:color="auto"/>
        <w:bottom w:val="none" w:sz="0" w:space="0" w:color="auto"/>
        <w:right w:val="none" w:sz="0" w:space="0" w:color="auto"/>
      </w:divBdr>
      <w:divsChild>
        <w:div w:id="2126002041">
          <w:marLeft w:val="0"/>
          <w:marRight w:val="0"/>
          <w:marTop w:val="0"/>
          <w:marBottom w:val="0"/>
          <w:divBdr>
            <w:top w:val="none" w:sz="0" w:space="0" w:color="auto"/>
            <w:left w:val="none" w:sz="0" w:space="0" w:color="auto"/>
            <w:bottom w:val="none" w:sz="0" w:space="0" w:color="auto"/>
            <w:right w:val="none" w:sz="0" w:space="0" w:color="auto"/>
          </w:divBdr>
        </w:div>
        <w:div w:id="1037314793">
          <w:marLeft w:val="0"/>
          <w:marRight w:val="0"/>
          <w:marTop w:val="0"/>
          <w:marBottom w:val="0"/>
          <w:divBdr>
            <w:top w:val="none" w:sz="0" w:space="0" w:color="auto"/>
            <w:left w:val="none" w:sz="0" w:space="0" w:color="auto"/>
            <w:bottom w:val="none" w:sz="0" w:space="0" w:color="auto"/>
            <w:right w:val="none" w:sz="0" w:space="0" w:color="auto"/>
          </w:divBdr>
        </w:div>
      </w:divsChild>
    </w:div>
    <w:div w:id="1577087759">
      <w:bodyDiv w:val="1"/>
      <w:marLeft w:val="0"/>
      <w:marRight w:val="0"/>
      <w:marTop w:val="0"/>
      <w:marBottom w:val="0"/>
      <w:divBdr>
        <w:top w:val="none" w:sz="0" w:space="0" w:color="auto"/>
        <w:left w:val="none" w:sz="0" w:space="0" w:color="auto"/>
        <w:bottom w:val="none" w:sz="0" w:space="0" w:color="auto"/>
        <w:right w:val="none" w:sz="0" w:space="0" w:color="auto"/>
      </w:divBdr>
    </w:div>
    <w:div w:id="1631593602">
      <w:bodyDiv w:val="1"/>
      <w:marLeft w:val="0"/>
      <w:marRight w:val="0"/>
      <w:marTop w:val="0"/>
      <w:marBottom w:val="0"/>
      <w:divBdr>
        <w:top w:val="none" w:sz="0" w:space="0" w:color="auto"/>
        <w:left w:val="none" w:sz="0" w:space="0" w:color="auto"/>
        <w:bottom w:val="none" w:sz="0" w:space="0" w:color="auto"/>
        <w:right w:val="none" w:sz="0" w:space="0" w:color="auto"/>
      </w:divBdr>
    </w:div>
    <w:div w:id="1700934815">
      <w:bodyDiv w:val="1"/>
      <w:marLeft w:val="0"/>
      <w:marRight w:val="0"/>
      <w:marTop w:val="0"/>
      <w:marBottom w:val="0"/>
      <w:divBdr>
        <w:top w:val="none" w:sz="0" w:space="0" w:color="auto"/>
        <w:left w:val="none" w:sz="0" w:space="0" w:color="auto"/>
        <w:bottom w:val="none" w:sz="0" w:space="0" w:color="auto"/>
        <w:right w:val="none" w:sz="0" w:space="0" w:color="auto"/>
      </w:divBdr>
    </w:div>
    <w:div w:id="1733456958">
      <w:bodyDiv w:val="1"/>
      <w:marLeft w:val="0"/>
      <w:marRight w:val="0"/>
      <w:marTop w:val="0"/>
      <w:marBottom w:val="0"/>
      <w:divBdr>
        <w:top w:val="none" w:sz="0" w:space="0" w:color="auto"/>
        <w:left w:val="none" w:sz="0" w:space="0" w:color="auto"/>
        <w:bottom w:val="none" w:sz="0" w:space="0" w:color="auto"/>
        <w:right w:val="none" w:sz="0" w:space="0" w:color="auto"/>
      </w:divBdr>
      <w:divsChild>
        <w:div w:id="800653358">
          <w:marLeft w:val="0"/>
          <w:marRight w:val="0"/>
          <w:marTop w:val="0"/>
          <w:marBottom w:val="0"/>
          <w:divBdr>
            <w:top w:val="none" w:sz="0" w:space="0" w:color="auto"/>
            <w:left w:val="none" w:sz="0" w:space="0" w:color="auto"/>
            <w:bottom w:val="none" w:sz="0" w:space="0" w:color="auto"/>
            <w:right w:val="none" w:sz="0" w:space="0" w:color="auto"/>
          </w:divBdr>
        </w:div>
        <w:div w:id="2006130896">
          <w:marLeft w:val="0"/>
          <w:marRight w:val="0"/>
          <w:marTop w:val="0"/>
          <w:marBottom w:val="0"/>
          <w:divBdr>
            <w:top w:val="none" w:sz="0" w:space="0" w:color="auto"/>
            <w:left w:val="none" w:sz="0" w:space="0" w:color="auto"/>
            <w:bottom w:val="none" w:sz="0" w:space="0" w:color="auto"/>
            <w:right w:val="none" w:sz="0" w:space="0" w:color="auto"/>
          </w:divBdr>
        </w:div>
      </w:divsChild>
    </w:div>
    <w:div w:id="1851676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eclinolemumi/ECLI:LV:AT:2019:0122.A420538012.2.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D4F205-B6CB-42B7-8949-8ED6C094C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18264</Words>
  <Characters>10412</Characters>
  <Application>Microsoft Office Word</Application>
  <DocSecurity>0</DocSecurity>
  <Lines>86</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2019-02-13T07:04:00Z</dcterms:created>
  <dcterms:modified xsi:type="dcterms:W3CDTF">2019-02-21T06:23:00Z</dcterms:modified>
</cp:coreProperties>
</file>