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E3" w:rsidRPr="00FF1630" w:rsidRDefault="00CA3BE3" w:rsidP="00CA3BE3">
      <w:pPr>
        <w:spacing w:line="276" w:lineRule="auto"/>
        <w:jc w:val="both"/>
        <w:rPr>
          <w:b/>
        </w:rPr>
      </w:pPr>
      <w:proofErr w:type="gramStart"/>
      <w:r w:rsidRPr="00FF1630">
        <w:rPr>
          <w:b/>
        </w:rPr>
        <w:t>Lēmuma par būves atzīšanu par vidi degradējošu spēkā es</w:t>
      </w:r>
      <w:bookmarkStart w:id="0" w:name="_GoBack"/>
      <w:bookmarkEnd w:id="0"/>
      <w:r w:rsidRPr="00FF1630">
        <w:rPr>
          <w:b/>
        </w:rPr>
        <w:t>ības ilgums</w:t>
      </w:r>
      <w:proofErr w:type="gramEnd"/>
    </w:p>
    <w:p w:rsidR="00CA3BE3" w:rsidRPr="00FF1630" w:rsidRDefault="00CA3BE3" w:rsidP="00CA3BE3">
      <w:pPr>
        <w:spacing w:line="276" w:lineRule="auto"/>
        <w:jc w:val="both"/>
      </w:pPr>
      <w:r w:rsidRPr="00FF1630">
        <w:t>1. Normas, ar kuru paredzēta nekustamā īpašuma nodokļa papildu likme vidi degradējošām būvēm, mērķis ir veicināt šādu būvju sakārtošanu.</w:t>
      </w:r>
    </w:p>
    <w:p w:rsidR="00CA3BE3" w:rsidRPr="00FF1630" w:rsidRDefault="00CA3BE3" w:rsidP="00CA3BE3">
      <w:pPr>
        <w:spacing w:line="276" w:lineRule="auto"/>
        <w:jc w:val="both"/>
      </w:pPr>
      <w:r w:rsidRPr="00FF1630">
        <w:t xml:space="preserve">2. Lēmums par būves atzīšanu par vidi degradējošu pastāv spēkā tik ilgi, kamēr būve atbilst šādas būves pazīmēm. Iestādei nav uzliekams pienākums katru gadu pieņemt jaunu lēmumu par būves statusu neatkarīgi no tā, vai ir mainījies tās stāvoklis. Vienlaikus, pieņemot lēmumu par nodokli, iestādei un tiesai ir jāpārbauda, vai būve joprojām pēc būtības atbilst vidi degradējošas būves statusam. </w:t>
      </w:r>
    </w:p>
    <w:p w:rsidR="00806BBB" w:rsidRDefault="00806BBB" w:rsidP="00CA3BE3">
      <w:pPr>
        <w:spacing w:line="276" w:lineRule="auto"/>
        <w:jc w:val="both"/>
      </w:pPr>
    </w:p>
    <w:p w:rsidR="00CA3BE3" w:rsidRPr="00FF1630" w:rsidRDefault="00CA3BE3" w:rsidP="00CA3BE3">
      <w:pPr>
        <w:spacing w:line="276" w:lineRule="auto"/>
        <w:jc w:val="both"/>
        <w:rPr>
          <w:b/>
        </w:rPr>
      </w:pPr>
      <w:r w:rsidRPr="00FF1630">
        <w:rPr>
          <w:b/>
        </w:rPr>
        <w:t>Būvatļaujas vidi degradējošām ēkām ietekme uz papildu nekustamā īpašuma nodokļa aprēķināšanu</w:t>
      </w:r>
    </w:p>
    <w:p w:rsidR="00CA3BE3" w:rsidRDefault="00CA3BE3" w:rsidP="00CA3BE3">
      <w:pPr>
        <w:spacing w:line="276" w:lineRule="auto"/>
        <w:jc w:val="both"/>
      </w:pPr>
      <w:r w:rsidRPr="00FF1630">
        <w:t xml:space="preserve">Apstāklis, ka personai ir izdota būvatļauja ēkas pārbūvei, pats par sevi nenozīmē, ka ēkai vairs nav iespējams piemērot vidi degradējošu statusu un papildu nodokli. Ja būvatļaujas izdošana pati par sevi liegtu piemērot papildlikmi, tas nepamatoti liegtu ietekmēt gadījumus, kad persona, piemēram, faktiski ilgstoši neuzsāk būvdarbus un vienlaikus nenovērš būves degradējošo stāvokli. </w:t>
      </w:r>
    </w:p>
    <w:p w:rsidR="00806BBB" w:rsidRPr="002767BF" w:rsidRDefault="00806BBB" w:rsidP="00CA3BE3">
      <w:pPr>
        <w:spacing w:line="276" w:lineRule="auto"/>
        <w:jc w:val="right"/>
      </w:pPr>
    </w:p>
    <w:p w:rsidR="00806BBB" w:rsidRDefault="00806BBB" w:rsidP="00806BBB">
      <w:pPr>
        <w:spacing w:line="276" w:lineRule="auto"/>
        <w:jc w:val="center"/>
        <w:rPr>
          <w:b/>
        </w:rPr>
      </w:pPr>
      <w:r w:rsidRPr="002767BF">
        <w:rPr>
          <w:b/>
        </w:rPr>
        <w:t xml:space="preserve">Latvijas Republikas </w:t>
      </w:r>
      <w:r>
        <w:rPr>
          <w:b/>
        </w:rPr>
        <w:t>Senāt</w:t>
      </w:r>
      <w:r w:rsidR="00A05697">
        <w:rPr>
          <w:b/>
        </w:rPr>
        <w:t>a</w:t>
      </w:r>
    </w:p>
    <w:p w:rsidR="00A05697" w:rsidRDefault="00A05697" w:rsidP="00806BBB">
      <w:pPr>
        <w:spacing w:line="276" w:lineRule="auto"/>
        <w:jc w:val="center"/>
        <w:rPr>
          <w:b/>
        </w:rPr>
      </w:pPr>
      <w:r>
        <w:rPr>
          <w:b/>
        </w:rPr>
        <w:t>Administratīvo lietu departamenta</w:t>
      </w:r>
    </w:p>
    <w:p w:rsidR="00CA3BE3" w:rsidRPr="002767BF" w:rsidRDefault="00CA3BE3" w:rsidP="00806BBB">
      <w:pPr>
        <w:spacing w:line="276" w:lineRule="auto"/>
        <w:jc w:val="center"/>
        <w:rPr>
          <w:b/>
        </w:rPr>
      </w:pPr>
      <w:proofErr w:type="gramStart"/>
      <w:r>
        <w:rPr>
          <w:b/>
        </w:rPr>
        <w:t>2019.gada</w:t>
      </w:r>
      <w:proofErr w:type="gramEnd"/>
      <w:r>
        <w:rPr>
          <w:b/>
        </w:rPr>
        <w:t xml:space="preserve"> 22.marta</w:t>
      </w:r>
    </w:p>
    <w:p w:rsidR="00806BBB" w:rsidRDefault="00806BBB" w:rsidP="00806BBB">
      <w:pPr>
        <w:spacing w:line="276" w:lineRule="auto"/>
        <w:jc w:val="center"/>
        <w:rPr>
          <w:b/>
        </w:rPr>
      </w:pPr>
      <w:r w:rsidRPr="002767BF">
        <w:rPr>
          <w:b/>
        </w:rPr>
        <w:t>RĪCĪBAS SĒDES LĒMUMS</w:t>
      </w:r>
    </w:p>
    <w:p w:rsidR="00CA3BE3" w:rsidRDefault="00CA3BE3" w:rsidP="00806BBB">
      <w:pPr>
        <w:spacing w:line="276" w:lineRule="auto"/>
        <w:jc w:val="center"/>
        <w:rPr>
          <w:b/>
        </w:rPr>
      </w:pPr>
      <w:r>
        <w:rPr>
          <w:b/>
        </w:rPr>
        <w:t>Lieta Nr. A420349716, SKA-673/2019</w:t>
      </w:r>
    </w:p>
    <w:p w:rsidR="00CA3BE3" w:rsidRPr="009D56CC" w:rsidRDefault="008B66EA" w:rsidP="00806BBB">
      <w:pPr>
        <w:spacing w:line="276" w:lineRule="auto"/>
        <w:jc w:val="center"/>
        <w:rPr>
          <w:b/>
          <w:color w:val="0000FF"/>
          <w:u w:val="single"/>
        </w:rPr>
      </w:pPr>
      <w:hyperlink r:id="rId7" w:history="1">
        <w:r w:rsidR="00CA3BE3" w:rsidRPr="009D56CC">
          <w:rPr>
            <w:rStyle w:val="Hyperlink"/>
            <w:color w:val="0000FF"/>
          </w:rPr>
          <w:t>ECLI:LV:AT:2019:0322.A420349716.13.L</w:t>
        </w:r>
      </w:hyperlink>
    </w:p>
    <w:p w:rsidR="00806BBB" w:rsidRPr="002767BF" w:rsidRDefault="00806BBB" w:rsidP="00806BBB">
      <w:pPr>
        <w:spacing w:line="276" w:lineRule="auto"/>
        <w:jc w:val="center"/>
      </w:pPr>
    </w:p>
    <w:p w:rsidR="00806BBB" w:rsidRDefault="00806BBB" w:rsidP="00806BBB">
      <w:pPr>
        <w:spacing w:line="276" w:lineRule="auto"/>
        <w:ind w:firstLine="720"/>
        <w:jc w:val="both"/>
      </w:pPr>
      <w:r w:rsidRPr="002767BF">
        <w:t>[1] </w:t>
      </w:r>
      <w:proofErr w:type="gramStart"/>
      <w:r>
        <w:t>Senātā</w:t>
      </w:r>
      <w:r w:rsidRPr="002767BF">
        <w:t xml:space="preserve"> saņemta </w:t>
      </w:r>
      <w:r>
        <w:t>pieteicējas</w:t>
      </w:r>
      <w:proofErr w:type="gramEnd"/>
      <w:r>
        <w:t xml:space="preserve"> </w:t>
      </w:r>
      <w:r w:rsidR="00CA3BE3">
        <w:t>[pers. A]</w:t>
      </w:r>
      <w:r>
        <w:t xml:space="preserve"> </w:t>
      </w:r>
      <w:r w:rsidRPr="002767BF">
        <w:t xml:space="preserve">kasācijas sūdzība par Administratīvās </w:t>
      </w:r>
      <w:r>
        <w:t xml:space="preserve">apgabaltiesas </w:t>
      </w:r>
      <w:proofErr w:type="gramStart"/>
      <w:r w:rsidRPr="002767BF">
        <w:t>201</w:t>
      </w:r>
      <w:r>
        <w:t>8</w:t>
      </w:r>
      <w:r w:rsidRPr="002767BF">
        <w:t>.gada</w:t>
      </w:r>
      <w:proofErr w:type="gramEnd"/>
      <w:r w:rsidRPr="002767BF">
        <w:t xml:space="preserve"> </w:t>
      </w:r>
      <w:r>
        <w:t xml:space="preserve">12.aprīļa </w:t>
      </w:r>
      <w:r w:rsidRPr="002767BF">
        <w:t xml:space="preserve">spriedumu, ar kuru </w:t>
      </w:r>
      <w:r>
        <w:t>noraidīts pieteicējas pieteikums par Rīgas domes 2016.gada 2.novembra lēmuma Nr. 2-30/RD-16-417-ap atcelšanu.</w:t>
      </w:r>
    </w:p>
    <w:p w:rsidR="00806BBB" w:rsidRDefault="002D179B" w:rsidP="00806BBB">
      <w:pPr>
        <w:spacing w:line="276" w:lineRule="auto"/>
        <w:ind w:firstLine="720"/>
        <w:jc w:val="both"/>
      </w:pPr>
      <w:r>
        <w:t xml:space="preserve">Pieteicējai </w:t>
      </w:r>
      <w:r w:rsidR="00D14163">
        <w:t>pieder</w:t>
      </w:r>
      <w:r>
        <w:t xml:space="preserve"> nekustam</w:t>
      </w:r>
      <w:r w:rsidR="00D14163">
        <w:t>ais</w:t>
      </w:r>
      <w:r>
        <w:t xml:space="preserve"> īpašum</w:t>
      </w:r>
      <w:r w:rsidR="00D14163">
        <w:t>s</w:t>
      </w:r>
      <w:r>
        <w:t xml:space="preserve"> (zeme un dzīvojamā māja) </w:t>
      </w:r>
      <w:r w:rsidR="00CA3BE3">
        <w:t>[adrese]</w:t>
      </w:r>
      <w:r>
        <w:t xml:space="preserve">, Rīgā. </w:t>
      </w:r>
      <w:r w:rsidR="00806BBB">
        <w:t xml:space="preserve">Rīgas domes Vidi degradējošu būvju komisija </w:t>
      </w:r>
      <w:proofErr w:type="gramStart"/>
      <w:r w:rsidR="00806BBB">
        <w:t>2014.gada</w:t>
      </w:r>
      <w:proofErr w:type="gramEnd"/>
      <w:r w:rsidR="00806BBB">
        <w:t xml:space="preserve"> 29.aprīlī </w:t>
      </w:r>
      <w:r w:rsidR="00532F2A">
        <w:t>to</w:t>
      </w:r>
      <w:r>
        <w:t xml:space="preserve"> </w:t>
      </w:r>
      <w:r w:rsidR="00806BBB">
        <w:t>atz</w:t>
      </w:r>
      <w:r w:rsidR="00532F2A">
        <w:t>ina</w:t>
      </w:r>
      <w:r w:rsidR="00806BBB">
        <w:t xml:space="preserve"> par B kategorijas vidi degradējošu būvi. </w:t>
      </w:r>
      <w:r w:rsidR="00966236">
        <w:t xml:space="preserve">Sakarā ar to ar pārsūdzēto lēmumu </w:t>
      </w:r>
      <w:r w:rsidR="00806BBB">
        <w:t>pieteicējai aprēķinā</w:t>
      </w:r>
      <w:r w:rsidR="00966236">
        <w:t>ts</w:t>
      </w:r>
      <w:r w:rsidR="00806BBB">
        <w:t xml:space="preserve"> papildu nekustamā īpašuma nodokli</w:t>
      </w:r>
      <w:r w:rsidR="00966236">
        <w:t>s</w:t>
      </w:r>
      <w:r w:rsidR="00806BBB">
        <w:t xml:space="preserve"> par </w:t>
      </w:r>
      <w:proofErr w:type="gramStart"/>
      <w:r w:rsidR="00806BBB">
        <w:t>2014.gada</w:t>
      </w:r>
      <w:proofErr w:type="gramEnd"/>
      <w:r w:rsidR="00806BBB">
        <w:t xml:space="preserve"> jūniju</w:t>
      </w:r>
      <w:r w:rsidR="008115D8">
        <w:t>–</w:t>
      </w:r>
      <w:r w:rsidR="00806BBB">
        <w:t>decembri, 2015. un 2016.gadu. Apgabaltiesa noraidīja pieteikumu par šā lēmuma atcelšanu</w:t>
      </w:r>
      <w:r w:rsidR="00532F2A">
        <w:t xml:space="preserve">, </w:t>
      </w:r>
      <w:r w:rsidR="00806BBB">
        <w:t>atz</w:t>
      </w:r>
      <w:r w:rsidR="00532F2A">
        <w:t>īstot</w:t>
      </w:r>
      <w:r w:rsidR="00806BBB">
        <w:t>, ka iestāde bija tiesīga aprēķināt papildu nodokli par iepriekš</w:t>
      </w:r>
      <w:r>
        <w:t>ējo periodu</w:t>
      </w:r>
      <w:r w:rsidR="00806BBB">
        <w:t xml:space="preserve">, </w:t>
      </w:r>
      <w:r>
        <w:t xml:space="preserve">pamatojoties uz likuma </w:t>
      </w:r>
      <w:r w:rsidR="00AE1909">
        <w:t>„</w:t>
      </w:r>
      <w:r>
        <w:t xml:space="preserve">Par nodokļiem un nodevām” </w:t>
      </w:r>
      <w:proofErr w:type="gramStart"/>
      <w:r>
        <w:t>23.panta</w:t>
      </w:r>
      <w:proofErr w:type="gramEnd"/>
      <w:r>
        <w:t xml:space="preserve"> otro daļu. Tāpat tiesa atzina, ka, lai arī strīdus īpašumā ir uzsākts būvniecības process, ēkas stāvoklis joprojām saglabā vidi degradējošas ēkas pazīmes.</w:t>
      </w:r>
    </w:p>
    <w:p w:rsidR="002D179B" w:rsidRDefault="002D179B" w:rsidP="00806BBB">
      <w:pPr>
        <w:spacing w:line="276" w:lineRule="auto"/>
        <w:ind w:firstLine="720"/>
        <w:jc w:val="both"/>
      </w:pPr>
    </w:p>
    <w:p w:rsidR="00806BBB" w:rsidRPr="002767BF" w:rsidRDefault="00806BBB" w:rsidP="00806BBB">
      <w:pPr>
        <w:spacing w:line="276" w:lineRule="auto"/>
        <w:ind w:firstLine="720"/>
        <w:jc w:val="both"/>
      </w:pPr>
      <w:r w:rsidRPr="002767BF">
        <w:t>[2] Saskaņā ar Administratīvā procesa likuma 338.</w:t>
      </w:r>
      <w:r w:rsidRPr="002767BF">
        <w:rPr>
          <w:vertAlign w:val="superscript"/>
        </w:rPr>
        <w:t>1</w:t>
      </w:r>
      <w:r w:rsidRPr="002767BF">
        <w:t>panta otrās daļas 2.punktu tiesnešu kolēģija var atteikties ierosināt kasācijas tiesvedību, ja, izvērtējot kasācijas sūdzībā minētos argumentus, nerodas šaubas par pārsūdzētā sprieduma tiesiskumu un izskatāmajai lietai nav nozīmes judikatūras veidošanā.</w:t>
      </w:r>
    </w:p>
    <w:p w:rsidR="00806BBB" w:rsidRDefault="00806BBB" w:rsidP="00806BBB">
      <w:pPr>
        <w:spacing w:line="276" w:lineRule="auto"/>
        <w:ind w:firstLine="720"/>
        <w:jc w:val="both"/>
      </w:pPr>
      <w:r w:rsidRPr="002767BF">
        <w:t>Izvērtējusi pieteicēja</w:t>
      </w:r>
      <w:r>
        <w:t>s</w:t>
      </w:r>
      <w:r w:rsidRPr="002767BF">
        <w:t xml:space="preserve"> iesniegto kasācijas sūdzību, </w:t>
      </w:r>
      <w:r>
        <w:t>senatoru</w:t>
      </w:r>
      <w:r w:rsidRPr="002767BF">
        <w:t xml:space="preserve"> kolēģija atzīst, ka tajā norādītie argumenti nerada šaubas par pārsūdzētā tiesas sprieduma tiesiskumu. </w:t>
      </w:r>
    </w:p>
    <w:p w:rsidR="00806BBB" w:rsidRDefault="00806BBB" w:rsidP="00806BBB">
      <w:pPr>
        <w:spacing w:line="276" w:lineRule="auto"/>
        <w:ind w:firstLine="720"/>
        <w:jc w:val="both"/>
      </w:pPr>
    </w:p>
    <w:p w:rsidR="00535D90" w:rsidRDefault="00934184" w:rsidP="00806BBB">
      <w:pPr>
        <w:spacing w:line="276" w:lineRule="auto"/>
        <w:ind w:firstLine="720"/>
        <w:jc w:val="both"/>
      </w:pPr>
      <w:r>
        <w:t xml:space="preserve">[3] </w:t>
      </w:r>
      <w:r w:rsidR="00535D90">
        <w:t xml:space="preserve">Pieteicēja norāda, ka atbilstoši Administratīvā procesa likuma </w:t>
      </w:r>
      <w:proofErr w:type="gramStart"/>
      <w:r w:rsidR="00E6174D">
        <w:t>1.panta</w:t>
      </w:r>
      <w:proofErr w:type="gramEnd"/>
      <w:r w:rsidR="00E6174D">
        <w:t xml:space="preserve"> </w:t>
      </w:r>
      <w:r w:rsidR="00535D90">
        <w:t xml:space="preserve">trešās daļas 3.punktam </w:t>
      </w:r>
      <w:proofErr w:type="spellStart"/>
      <w:r w:rsidR="00535D90">
        <w:t>starplēmums</w:t>
      </w:r>
      <w:proofErr w:type="spellEnd"/>
      <w:r w:rsidR="00535D90">
        <w:t xml:space="preserve"> var tikt izmantots tikai konkrēta (viena) administratīvā procesa ietvaros. Pretēji tam </w:t>
      </w:r>
      <w:r>
        <w:t xml:space="preserve">konkrēto </w:t>
      </w:r>
      <w:proofErr w:type="spellStart"/>
      <w:r>
        <w:t>starplēmumu</w:t>
      </w:r>
      <w:proofErr w:type="spellEnd"/>
      <w:r>
        <w:t xml:space="preserve"> </w:t>
      </w:r>
      <w:r w:rsidR="00D14163">
        <w:t xml:space="preserve">(par būves atzīšanu par vidi degradējošu) </w:t>
      </w:r>
      <w:r>
        <w:t xml:space="preserve">iestāde </w:t>
      </w:r>
      <w:r>
        <w:lastRenderedPageBreak/>
        <w:t>izmanto</w:t>
      </w:r>
      <w:r w:rsidR="00535D90">
        <w:t>jot</w:t>
      </w:r>
      <w:r>
        <w:t xml:space="preserve"> vairākos administratīvajos procesos, proti, arī turpmāk par katru gadu nosakot nodokļa maksājumu</w:t>
      </w:r>
      <w:r w:rsidR="00535D90">
        <w:t>. Pieteicējas ieskatā, iestādei</w:t>
      </w:r>
      <w:r>
        <w:t xml:space="preserve"> pirms katra lēmuma par nodokļa maksājuma noteikšanu bija jāizdod jauns </w:t>
      </w:r>
      <w:proofErr w:type="spellStart"/>
      <w:r>
        <w:t>starplēmums</w:t>
      </w:r>
      <w:proofErr w:type="spellEnd"/>
      <w:r>
        <w:t xml:space="preserve"> par būves atzīšanu par vidi degradējošu. </w:t>
      </w:r>
    </w:p>
    <w:p w:rsidR="00535D90" w:rsidRDefault="00934184" w:rsidP="00806BBB">
      <w:pPr>
        <w:spacing w:line="276" w:lineRule="auto"/>
        <w:ind w:firstLine="720"/>
        <w:jc w:val="both"/>
      </w:pPr>
      <w:r>
        <w:t xml:space="preserve">Pieteicējas apsvērumi nav pareizi. Šajā lietā pārsūdzētais lēmums par nodokļa maksājuma noteikšanu ir pirmais </w:t>
      </w:r>
      <w:proofErr w:type="gramStart"/>
      <w:r>
        <w:t>pēc lēmuma par būves atzīšanu par vidi degradējošu pieņemšanas</w:t>
      </w:r>
      <w:proofErr w:type="gramEnd"/>
      <w:r>
        <w:t xml:space="preserve">. Tādēļ, pat ievērojot pieteicējas koncepciju, nav iespējams teikt, ka šis </w:t>
      </w:r>
      <w:proofErr w:type="spellStart"/>
      <w:r>
        <w:t>starplēmums</w:t>
      </w:r>
      <w:proofErr w:type="spellEnd"/>
      <w:r>
        <w:t xml:space="preserve"> n</w:t>
      </w:r>
      <w:r w:rsidR="00E6174D">
        <w:t>evar</w:t>
      </w:r>
      <w:r>
        <w:t xml:space="preserve"> kalpo</w:t>
      </w:r>
      <w:r w:rsidR="00E6174D">
        <w:t>t</w:t>
      </w:r>
      <w:r>
        <w:t xml:space="preserve"> tieši pārsūdzētā lēmuma pieņemšanai. Šīs lietas priekšmets nav </w:t>
      </w:r>
      <w:r w:rsidR="00E6174D">
        <w:t xml:space="preserve">to </w:t>
      </w:r>
      <w:r>
        <w:t>lēmum</w:t>
      </w:r>
      <w:r w:rsidR="00E6174D">
        <w:t xml:space="preserve">u tiesiskuma pārbaude, ar kuriem papildu </w:t>
      </w:r>
      <w:r>
        <w:t xml:space="preserve">nodokļa </w:t>
      </w:r>
      <w:r w:rsidR="00E6174D">
        <w:t>sa</w:t>
      </w:r>
      <w:r>
        <w:t>maks</w:t>
      </w:r>
      <w:r w:rsidR="00E6174D">
        <w:t xml:space="preserve">as pienākums </w:t>
      </w:r>
      <w:r>
        <w:t>noteik</w:t>
      </w:r>
      <w:r w:rsidR="00E6174D">
        <w:t>ts</w:t>
      </w:r>
      <w:r>
        <w:t xml:space="preserve"> par turpmāk</w:t>
      </w:r>
      <w:r w:rsidR="00535D90">
        <w:t>aj</w:t>
      </w:r>
      <w:r>
        <w:t xml:space="preserve">iem periodiem. Turklāt nav pareizs </w:t>
      </w:r>
      <w:r w:rsidR="00E6174D">
        <w:t xml:space="preserve">arī </w:t>
      </w:r>
      <w:r w:rsidR="00535D90">
        <w:t>uzskats</w:t>
      </w:r>
      <w:r>
        <w:t xml:space="preserve">, ka lēmums var būt </w:t>
      </w:r>
      <w:proofErr w:type="spellStart"/>
      <w:r>
        <w:t>starplēmums</w:t>
      </w:r>
      <w:proofErr w:type="spellEnd"/>
      <w:r>
        <w:t xml:space="preserve"> tikai vienā administratīvajā procesā.</w:t>
      </w:r>
      <w:r w:rsidR="00EE22E0">
        <w:t xml:space="preserve"> </w:t>
      </w:r>
      <w:r w:rsidR="001350E1">
        <w:t xml:space="preserve">Tas neizriet ne no Administratīvā procesa likuma </w:t>
      </w:r>
      <w:proofErr w:type="gramStart"/>
      <w:r w:rsidR="001350E1">
        <w:t>1.panta</w:t>
      </w:r>
      <w:proofErr w:type="gramEnd"/>
      <w:r w:rsidR="001350E1">
        <w:t xml:space="preserve"> trešās daļas 3.punkta, ne pieteicējas norādītās judikatūras. </w:t>
      </w:r>
      <w:r w:rsidR="00EE22E0">
        <w:t xml:space="preserve">Senāts ir norādījis, ka, vērtējot administratīvā akta par nekustamā īpašuma nodokļa paaugstinātas likmes piemērošanu pamatojumu, jāvērtē, vai attiecīgā būve atbilst tiesību normā minētajam statusam. Tas, kādā tiesiskā formā pašvaldībai ir jākonstatē un jāpierāda būves stāvoklis, likumā </w:t>
      </w:r>
      <w:r w:rsidR="00AE1909">
        <w:t>„</w:t>
      </w:r>
      <w:r w:rsidR="00EE22E0">
        <w:t xml:space="preserve">Par nekustamā īpašuma nodokli” nav noteikts. Rīgas dome izvēlējusies to darīt ar atsevišķu lēmumu. Tādēļ šādu lēmumu par ēkas klasificēšanu var uzskatīt par </w:t>
      </w:r>
      <w:proofErr w:type="spellStart"/>
      <w:r w:rsidR="00EE22E0">
        <w:t>starplēmumu</w:t>
      </w:r>
      <w:proofErr w:type="spellEnd"/>
      <w:r w:rsidR="00EE22E0">
        <w:t xml:space="preserve"> šajā procesā (</w:t>
      </w:r>
      <w:r w:rsidR="00EE22E0" w:rsidRPr="008115D8">
        <w:t>piemēram,</w:t>
      </w:r>
      <w:r w:rsidR="00EE22E0" w:rsidRPr="00EE22E0">
        <w:rPr>
          <w:i/>
        </w:rPr>
        <w:t xml:space="preserve"> Senāta </w:t>
      </w:r>
      <w:proofErr w:type="gramStart"/>
      <w:r w:rsidR="00EE22E0" w:rsidRPr="00EE22E0">
        <w:rPr>
          <w:i/>
        </w:rPr>
        <w:t>2015.gada</w:t>
      </w:r>
      <w:proofErr w:type="gramEnd"/>
      <w:r w:rsidR="00EE22E0" w:rsidRPr="00EE22E0">
        <w:rPr>
          <w:i/>
        </w:rPr>
        <w:t xml:space="preserve"> 14.oktobra sprieduma lietā Nr. SKA-576/2015 8.punkts, 2016.gada 16.februāra sprieduma lietā Nr. SKA-125/2016 7.punkts</w:t>
      </w:r>
      <w:r w:rsidR="00EE22E0">
        <w:t>).</w:t>
      </w:r>
      <w:r w:rsidR="005538CF">
        <w:t xml:space="preserve"> Lēmums par būves atzīšanu par vidi degradējošu pastāv spēkā tik ilgi, kamēr būve atbilst šādas būves pazīmēm. Iestādei nav uzliekams pienākums katru gadu pieņemt jaunu lēmumu par b</w:t>
      </w:r>
      <w:r w:rsidR="00535D90">
        <w:t>ūves statusu</w:t>
      </w:r>
      <w:r w:rsidR="005538CF">
        <w:t xml:space="preserve"> neatkarīgi no tā, vai ir mainīj</w:t>
      </w:r>
      <w:r w:rsidR="00535D90">
        <w:t>ies</w:t>
      </w:r>
      <w:r w:rsidR="005538CF">
        <w:t xml:space="preserve"> tās stāvoklis. Vienlaikus, pieņemot lēmumu par nodokli, iestādei un tiesai ir jāpārbauda, vai būve joprojām </w:t>
      </w:r>
      <w:r w:rsidR="00535D90">
        <w:t xml:space="preserve">pēc būtības </w:t>
      </w:r>
      <w:r w:rsidR="005538CF">
        <w:t xml:space="preserve">atbilst vidi degradējošas </w:t>
      </w:r>
      <w:r w:rsidR="00B43633">
        <w:t>būves</w:t>
      </w:r>
      <w:r w:rsidR="005538CF">
        <w:t xml:space="preserve"> statusam. Tiesa tieši tā ir rīkojusies. Tā nav formāli balstījusies uz iestādes lēmumu par </w:t>
      </w:r>
      <w:r w:rsidR="00B43633">
        <w:t>būves</w:t>
      </w:r>
      <w:r w:rsidR="005538CF">
        <w:t xml:space="preserve"> statusu, bet </w:t>
      </w:r>
      <w:r w:rsidR="008115D8">
        <w:t xml:space="preserve">ir </w:t>
      </w:r>
      <w:r w:rsidR="005538CF">
        <w:t xml:space="preserve">pārbaudījusi un konstatējusi, ka </w:t>
      </w:r>
      <w:r w:rsidR="00535D90">
        <w:t xml:space="preserve">laikā, par kuru noteikts </w:t>
      </w:r>
      <w:r w:rsidR="00E6174D">
        <w:t xml:space="preserve">papildu </w:t>
      </w:r>
      <w:r w:rsidR="00535D90">
        <w:t xml:space="preserve">nodokļa maksājums, </w:t>
      </w:r>
      <w:r w:rsidR="00B43633">
        <w:t>tā</w:t>
      </w:r>
      <w:r w:rsidR="005538CF">
        <w:t xml:space="preserve"> </w:t>
      </w:r>
      <w:r w:rsidR="00535D90">
        <w:t>bijusi v</w:t>
      </w:r>
      <w:r w:rsidR="005538CF">
        <w:t xml:space="preserve">idi degradējoša. Pieteicēja nav norādījusi, vai un kāpēc šis tiesas vērtējums pēc būtības ir nepareizs.  </w:t>
      </w:r>
    </w:p>
    <w:p w:rsidR="00A34ABF" w:rsidRDefault="00A34ABF" w:rsidP="00806BBB">
      <w:pPr>
        <w:spacing w:line="276" w:lineRule="auto"/>
        <w:ind w:firstLine="720"/>
        <w:jc w:val="both"/>
      </w:pPr>
    </w:p>
    <w:p w:rsidR="00E92C09" w:rsidRDefault="008079B3" w:rsidP="00806BBB">
      <w:pPr>
        <w:spacing w:line="276" w:lineRule="auto"/>
        <w:ind w:firstLine="720"/>
        <w:jc w:val="both"/>
      </w:pPr>
      <w:r>
        <w:t>[</w:t>
      </w:r>
      <w:r w:rsidR="003423A1">
        <w:t>4</w:t>
      </w:r>
      <w:r>
        <w:t xml:space="preserve">] </w:t>
      </w:r>
      <w:r w:rsidR="002D179B">
        <w:t xml:space="preserve">Pieteicēja norāda, ka īpašumu nopirkusi kā būvniecības stadijā esošu objektu. Būvatļauja būves rekonstrukcijai izsniegta </w:t>
      </w:r>
      <w:proofErr w:type="gramStart"/>
      <w:r w:rsidR="002D179B">
        <w:t>2007.gadā</w:t>
      </w:r>
      <w:proofErr w:type="gramEnd"/>
      <w:r w:rsidR="002D179B">
        <w:t>, tās derīguma termiņš vairākkārt pagarināts. Šobrīd noteikts, ka tā</w:t>
      </w:r>
      <w:r w:rsidR="00F37E0B">
        <w:t xml:space="preserve"> </w:t>
      </w:r>
      <w:r w:rsidR="002D179B">
        <w:t xml:space="preserve">ir </w:t>
      </w:r>
      <w:r w:rsidR="00F37E0B">
        <w:t xml:space="preserve">derīga līdz </w:t>
      </w:r>
      <w:r w:rsidR="002D179B">
        <w:t>2019.gada 5.februāri</w:t>
      </w:r>
      <w:r w:rsidR="00532F2A">
        <w:t>m</w:t>
      </w:r>
      <w:r w:rsidR="00F37E0B">
        <w:t xml:space="preserve"> ar tiesībām to pagarināt līdz 2022.gada 1.oktobrim. </w:t>
      </w:r>
      <w:r w:rsidR="00B43633">
        <w:t>P</w:t>
      </w:r>
      <w:r w:rsidR="00F37E0B">
        <w:t xml:space="preserve">ieteicējas ieskatā, </w:t>
      </w:r>
      <w:r w:rsidR="00B43633">
        <w:t>saņemot būvatļauju, vidi degradējošais statuss vairs nav piemērojams. T</w:t>
      </w:r>
      <w:r w:rsidR="00806BBB">
        <w:t>iesa</w:t>
      </w:r>
      <w:r w:rsidR="00F37E0B">
        <w:t xml:space="preserve">i bija jāpiemēro likuma </w:t>
      </w:r>
      <w:r w:rsidR="00AE1909">
        <w:t>„</w:t>
      </w:r>
      <w:r w:rsidR="00F37E0B">
        <w:t xml:space="preserve">Par nekustamā īpašuma nodokli” </w:t>
      </w:r>
      <w:proofErr w:type="gramStart"/>
      <w:r w:rsidR="00F37E0B">
        <w:t>3.panta</w:t>
      </w:r>
      <w:proofErr w:type="gramEnd"/>
      <w:r w:rsidR="00F37E0B">
        <w:t xml:space="preserve"> 1.</w:t>
      </w:r>
      <w:r w:rsidR="00F37E0B">
        <w:rPr>
          <w:vertAlign w:val="superscript"/>
        </w:rPr>
        <w:t>6</w:t>
      </w:r>
      <w:r w:rsidR="00F37E0B">
        <w:t>daļa</w:t>
      </w:r>
      <w:r w:rsidR="00B43633">
        <w:t xml:space="preserve"> (</w:t>
      </w:r>
      <w:r w:rsidR="00B43633" w:rsidRPr="005D3644">
        <w:rPr>
          <w:i/>
        </w:rPr>
        <w:t>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trīs procentu apmērā</w:t>
      </w:r>
      <w:r w:rsidR="00B43633">
        <w:t>).</w:t>
      </w:r>
    </w:p>
    <w:p w:rsidR="00B07D91" w:rsidRDefault="00E92C09" w:rsidP="00B07D91">
      <w:pPr>
        <w:spacing w:line="276" w:lineRule="auto"/>
        <w:ind w:firstLine="720"/>
        <w:jc w:val="both"/>
      </w:pPr>
      <w:r>
        <w:t xml:space="preserve">Tiesa </w:t>
      </w:r>
      <w:r w:rsidR="00BF1C53">
        <w:t xml:space="preserve">ir pareizi </w:t>
      </w:r>
      <w:r>
        <w:t>atzinusi, ka apstāklis, ka pieteicējai ir izdota būvatļauja ēkas pārbūv</w:t>
      </w:r>
      <w:r w:rsidR="00BF1C53">
        <w:t>e</w:t>
      </w:r>
      <w:r>
        <w:t>i, pats par sevi nenozīmē, ka ēka</w:t>
      </w:r>
      <w:r w:rsidR="00BF1C53">
        <w:t>i</w:t>
      </w:r>
      <w:r>
        <w:t xml:space="preserve"> vairs nav </w:t>
      </w:r>
      <w:r w:rsidR="00BF1C53">
        <w:t xml:space="preserve">iespējams piemērot </w:t>
      </w:r>
      <w:r>
        <w:t>vidi degradējošu</w:t>
      </w:r>
      <w:r w:rsidR="00BF1C53">
        <w:t xml:space="preserve"> statusu un papildu nodokli. </w:t>
      </w:r>
      <w:r w:rsidR="00367A6D">
        <w:t xml:space="preserve">Normas, ar kuru paredzēta papildu likme vidi degradējošām būvēm, mērķis ir veicināt šādu būvju sakārtošanu. Ja būvatļaujas izdošana pati par sevi liegtu piemērot papildlikmi, </w:t>
      </w:r>
      <w:r w:rsidR="005D3644">
        <w:t xml:space="preserve">tas nepamatoti liegtu ietekmēt </w:t>
      </w:r>
      <w:r w:rsidR="00367A6D">
        <w:t>gadījum</w:t>
      </w:r>
      <w:r w:rsidR="005D3644">
        <w:t>u</w:t>
      </w:r>
      <w:r w:rsidR="00367A6D">
        <w:t xml:space="preserve">s, kad persona, piemēram, faktiski ilgstoši </w:t>
      </w:r>
      <w:r w:rsidR="005D3644">
        <w:t xml:space="preserve">neuzsāk </w:t>
      </w:r>
      <w:r w:rsidR="00367A6D">
        <w:t>būvdarbus un vienlaikus nenovēr</w:t>
      </w:r>
      <w:r w:rsidR="005D3644">
        <w:t>š</w:t>
      </w:r>
      <w:r w:rsidR="00367A6D">
        <w:t xml:space="preserve"> degradējošo stāvokli</w:t>
      </w:r>
      <w:r w:rsidR="005D3644">
        <w:t xml:space="preserve">. </w:t>
      </w:r>
      <w:r w:rsidR="00BF1C53">
        <w:t xml:space="preserve">Tiesa nav atzinusi, ka būvniecības laikā principā ir saglabājams attiecīgais statuss. No tiesas vērtējuma ir secināms, ka atbilstību šādam statusam </w:t>
      </w:r>
      <w:r w:rsidR="00A8600F">
        <w:t xml:space="preserve">šajā gadījumā </w:t>
      </w:r>
      <w:r w:rsidR="00BF1C53">
        <w:t xml:space="preserve">rada nevis būves kā būvobjekta stāvoklis, bet tieši </w:t>
      </w:r>
      <w:r w:rsidR="005D3644">
        <w:t>tās</w:t>
      </w:r>
      <w:r w:rsidR="00BF1C53">
        <w:t xml:space="preserve"> vidi degradējošas pazīmes</w:t>
      </w:r>
      <w:r w:rsidR="00A8600F">
        <w:t>, tiesa uz t</w:t>
      </w:r>
      <w:r w:rsidR="00384BD8">
        <w:t>ām</w:t>
      </w:r>
      <w:r w:rsidR="00A8600F">
        <w:t xml:space="preserve"> </w:t>
      </w:r>
      <w:r w:rsidR="00384BD8">
        <w:t xml:space="preserve">detalizēti </w:t>
      </w:r>
      <w:r w:rsidR="00A8600F">
        <w:t xml:space="preserve">norādījusi, </w:t>
      </w:r>
      <w:r w:rsidR="00384BD8">
        <w:t>aptverot</w:t>
      </w:r>
      <w:r w:rsidR="00A8600F">
        <w:t xml:space="preserve"> visus lietā aktuālos periodus </w:t>
      </w:r>
      <w:proofErr w:type="gramStart"/>
      <w:r w:rsidR="00BF1C53">
        <w:t>(</w:t>
      </w:r>
      <w:proofErr w:type="gramEnd"/>
      <w:r w:rsidR="00A8600F">
        <w:t xml:space="preserve">piemēram, ēka ir brīvi pieejama, ēkas sienās ir plaisas un citi bojājumi, aizsargsiets, </w:t>
      </w:r>
      <w:r w:rsidR="00A8600F">
        <w:lastRenderedPageBreak/>
        <w:t xml:space="preserve">ar kuru nosegta ēka, vietām ir bojāts, tas nenosedz ēku visā tās apjomā, no ēkas krīt būvelementi, uz fasādes aug krūmi u.c.). </w:t>
      </w:r>
      <w:r w:rsidR="00B07D91">
        <w:t xml:space="preserve">Tāpat tiesa norādījusi uz likuma </w:t>
      </w:r>
      <w:r w:rsidR="00AE1909">
        <w:t>„</w:t>
      </w:r>
      <w:r w:rsidR="00B07D91">
        <w:t>Par nekustamā īpašuma nodokli” 3.panta 1.</w:t>
      </w:r>
      <w:r w:rsidR="00B07D91">
        <w:rPr>
          <w:vertAlign w:val="superscript"/>
        </w:rPr>
        <w:t>6</w:t>
      </w:r>
      <w:r w:rsidR="00B07D91">
        <w:t>daļas</w:t>
      </w:r>
      <w:r w:rsidR="00384BD8">
        <w:t xml:space="preserve"> mērķi</w:t>
      </w:r>
      <w:r w:rsidR="005D3644">
        <w:t xml:space="preserve"> pasargāt sabiedrību un vidi no ilgstoša būvniecības procesa, kā arī dzīves kvalitātes pasliktināšanās ilgstošu būvdarbu dēļ, kad būve noteiktā laikā netiek p</w:t>
      </w:r>
      <w:r w:rsidR="00B43633">
        <w:t xml:space="preserve">abeigta un nodota ekspluatācijā. </w:t>
      </w:r>
      <w:r w:rsidR="00384BD8">
        <w:t>Pieteicēja nav izteikusi argumentus ne par tiesas vērtētajiem apstākļiem</w:t>
      </w:r>
      <w:r w:rsidR="00F1630B">
        <w:t xml:space="preserve"> pēc būtības</w:t>
      </w:r>
      <w:r w:rsidR="00384BD8">
        <w:t>, ne tiesas apsvērumiem par minētās normas piemērošanu.</w:t>
      </w:r>
      <w:r w:rsidR="00F1630B">
        <w:t xml:space="preserve"> Norāde, ka minētā norma nepārprotami aizliedz iestādei klasificēt par vidi degradējošām, sagruvušām vai cilvēku drošību apdraudošām būvniecības stadijā esošās būves paaugstinātas nekustamā īpašuma nodokļa likmes piemērošanai, kasācijas sūdzībā nav pamatota. </w:t>
      </w:r>
      <w:r w:rsidR="00B07D91">
        <w:t xml:space="preserve"> </w:t>
      </w:r>
    </w:p>
    <w:p w:rsidR="00F1630B" w:rsidRDefault="00F1630B" w:rsidP="00B07D91">
      <w:pPr>
        <w:spacing w:line="276" w:lineRule="auto"/>
        <w:ind w:firstLine="720"/>
        <w:jc w:val="both"/>
      </w:pPr>
      <w:r>
        <w:t xml:space="preserve">Ievērojot minēto, </w:t>
      </w:r>
      <w:r w:rsidR="005D19C9">
        <w:t xml:space="preserve">ir secināms, ka </w:t>
      </w:r>
      <w:r w:rsidR="002B2104">
        <w:t xml:space="preserve">argumentus par privātpersonas tiesību ievērošanas principa pārkāpumu </w:t>
      </w:r>
      <w:r w:rsidR="005D19C9">
        <w:t xml:space="preserve">pieteicēja </w:t>
      </w:r>
      <w:r w:rsidR="002B2104">
        <w:t xml:space="preserve">ir balstījusi uz nepareizu izpratni par </w:t>
      </w:r>
      <w:r w:rsidR="005D19C9">
        <w:t xml:space="preserve">tiesību normu, kurās paredzētas </w:t>
      </w:r>
      <w:r w:rsidR="002B2104">
        <w:t>papildlikmes</w:t>
      </w:r>
      <w:r w:rsidR="005D19C9">
        <w:t xml:space="preserve"> (</w:t>
      </w:r>
      <w:r w:rsidR="002B2104">
        <w:t>sakarā ar vidi degradējošo statusu un sakarā ar ilgstošu būvniecību</w:t>
      </w:r>
      <w:r w:rsidR="005D19C9">
        <w:t xml:space="preserve">), </w:t>
      </w:r>
      <w:r w:rsidR="002B2104">
        <w:t xml:space="preserve">atšķirīgajiem </w:t>
      </w:r>
      <w:r w:rsidR="005D19C9">
        <w:t xml:space="preserve">tiesiskajiem pamatiem un </w:t>
      </w:r>
      <w:r w:rsidR="002B2104">
        <w:t>mērķiem.</w:t>
      </w:r>
    </w:p>
    <w:p w:rsidR="00DA39CC" w:rsidRDefault="00DA39CC" w:rsidP="00B07D91">
      <w:pPr>
        <w:spacing w:line="276" w:lineRule="auto"/>
        <w:ind w:firstLine="720"/>
        <w:jc w:val="both"/>
      </w:pPr>
      <w:r>
        <w:t>Tāpat šeit nav saskatāms tiesiskās paļāvības principa pārkāpums. Apstāklis, ka personai ir izsniegta būvatļauja, personai rada tiesības būvēt. Izsniegta būvatļauja nekādā veidā neregulē un nerada tiesisku paļāvību, ka persona līdz ar to drīkst būvi neuzturēt attiecīgajiem apstākļiem atbilstošā stāvoklī.</w:t>
      </w:r>
    </w:p>
    <w:p w:rsidR="00776F19" w:rsidRDefault="00776F19" w:rsidP="00B07D91">
      <w:pPr>
        <w:spacing w:line="276" w:lineRule="auto"/>
        <w:ind w:firstLine="720"/>
        <w:jc w:val="both"/>
      </w:pPr>
    </w:p>
    <w:p w:rsidR="00776F19" w:rsidRDefault="00776F19" w:rsidP="00BC1B07">
      <w:pPr>
        <w:spacing w:line="276" w:lineRule="auto"/>
        <w:ind w:firstLine="720"/>
        <w:jc w:val="both"/>
      </w:pPr>
      <w:r>
        <w:t>[</w:t>
      </w:r>
      <w:r w:rsidR="003423A1">
        <w:t>5</w:t>
      </w:r>
      <w:r>
        <w:t xml:space="preserve">] Šajā lietā nav izmantojamas Senāta </w:t>
      </w:r>
      <w:proofErr w:type="gramStart"/>
      <w:r>
        <w:t>2007.gada</w:t>
      </w:r>
      <w:proofErr w:type="gramEnd"/>
      <w:r>
        <w:t xml:space="preserve"> 20.decembra </w:t>
      </w:r>
      <w:r w:rsidR="00BC1B07">
        <w:t>lēmuma lietā Nr.</w:t>
      </w:r>
      <w:r w:rsidR="00AE1909">
        <w:t> </w:t>
      </w:r>
      <w:r w:rsidR="00BC1B07">
        <w:t>SKA-715/2007 atziņas, uz kurām atsaucas pieteicēja. Minētais lēmums ir taisīts sakarā ar personas pieteikumu par pagaidu noregulējumu, tas ir, vai ir pamatoti liegt iestādei veikt nodokļu parāda piespiedu piedziņu līdz galīgā tiesas nolēmuma spēkā stāšanās brīdim. Senāts atzina, ka nodoklim un nodokļa soda naudai ir atšķirīgs raksturs un mērķis, tādēļ atšķirīgi ir vērtējams arī jautājums par iespēju piemērot pagaidu noregulējumu attiecībā uz nodokli un attiecībā uz nodokļa soda naudu. Pieteicējas izmantotie argumenti minētajā lietā attiecas uz nodokļa soda naudu un izteikti tieši pagaidu noregulējuma kontekstā. Savukārt izskatāmajā lietā runa ir par paš</w:t>
      </w:r>
      <w:r w:rsidR="003423A1">
        <w:t>a</w:t>
      </w:r>
      <w:r w:rsidR="00BC1B07">
        <w:t xml:space="preserve"> nodokļa </w:t>
      </w:r>
      <w:r w:rsidR="003423A1">
        <w:t xml:space="preserve">noteikšanas </w:t>
      </w:r>
      <w:r w:rsidR="00BC1B07">
        <w:t xml:space="preserve">pamatotību. </w:t>
      </w:r>
      <w:r w:rsidR="00EA379A">
        <w:t xml:space="preserve">Valstij un pašvaldībai pretēji pieteicējas norādītajam tieši nav tiesību izvairīties no nodokļa samaksas pienākuma noteikšanas, ja attiecīgais nodoklis ir paredzēts likumā. </w:t>
      </w:r>
      <w:r w:rsidR="00BC1B07">
        <w:t xml:space="preserve"> </w:t>
      </w:r>
    </w:p>
    <w:p w:rsidR="00EA379A" w:rsidRDefault="00EA379A" w:rsidP="00BC1B07">
      <w:pPr>
        <w:spacing w:line="276" w:lineRule="auto"/>
        <w:ind w:firstLine="720"/>
        <w:jc w:val="both"/>
      </w:pPr>
    </w:p>
    <w:p w:rsidR="000D63CE" w:rsidRDefault="00EA379A" w:rsidP="00BC1B07">
      <w:pPr>
        <w:spacing w:line="276" w:lineRule="auto"/>
        <w:ind w:firstLine="720"/>
        <w:jc w:val="both"/>
      </w:pPr>
      <w:r>
        <w:t>[</w:t>
      </w:r>
      <w:r w:rsidR="003423A1">
        <w:t>6</w:t>
      </w:r>
      <w:r>
        <w:t xml:space="preserve">] Pieteicējas arguments par vienlīdzības principa pārkāpumu nav saprotams. </w:t>
      </w:r>
      <w:r w:rsidR="000D63CE">
        <w:t xml:space="preserve">Pieteicēja norāda: </w:t>
      </w:r>
      <w:r w:rsidR="00AE1909">
        <w:t>„</w:t>
      </w:r>
      <w:r w:rsidR="000D63CE">
        <w:t>Vienlīdzības principa pārkāpums</w:t>
      </w:r>
      <w:r w:rsidR="00DA39CC">
        <w:t xml:space="preserve"> izpaužas apstāklī, ka Administratīvā apgabaltiesa, sagatavojot Spriedumu, neizvērtēja </w:t>
      </w:r>
      <w:r w:rsidR="000D63CE">
        <w:t xml:space="preserve">faktu, ka </w:t>
      </w:r>
      <w:proofErr w:type="gramStart"/>
      <w:r w:rsidR="00CA3BE3">
        <w:t>[</w:t>
      </w:r>
      <w:proofErr w:type="gramEnd"/>
      <w:r w:rsidR="00CA3BE3">
        <w:t>pers. A]</w:t>
      </w:r>
      <w:r w:rsidR="00DA39CC">
        <w:t xml:space="preserve">, </w:t>
      </w:r>
      <w:r w:rsidR="000D63CE">
        <w:t>salīdzinot to ar atbildētāju – Rīgas domi –</w:t>
      </w:r>
      <w:r w:rsidR="008115D8">
        <w:t>,</w:t>
      </w:r>
      <w:r w:rsidR="000D63CE">
        <w:t xml:space="preserve"> ir ievērojami mazāk aizsargātā stāvoklī jeb nesalīdzināmā stāvoklī. </w:t>
      </w:r>
      <w:r w:rsidR="00CA3BE3">
        <w:t>[pers. A]</w:t>
      </w:r>
      <w:r w:rsidR="00DA39CC">
        <w:t xml:space="preserve"> </w:t>
      </w:r>
      <w:r w:rsidR="000D63CE">
        <w:t>rīcībā nav tādu resursu, naudas līdzekļu, pieejamās informācijas kopuma, cilvēkresursu, politiskā un ekonomiskā potenciāla u.tml. kā Rīgas d</w:t>
      </w:r>
      <w:r w:rsidR="00DA39CC">
        <w:t>o</w:t>
      </w:r>
      <w:r w:rsidR="000D63CE">
        <w:t xml:space="preserve">mei. </w:t>
      </w:r>
      <w:r w:rsidR="00DA39CC">
        <w:t xml:space="preserve">Līdz ar to, </w:t>
      </w:r>
      <w:r w:rsidR="000D63CE">
        <w:t xml:space="preserve">tiesai atzīstot, ka šajā lietā primāri ir jāvērtē Rīgas domes intereses iekasēt nodokļus, nevis privātpersonas intereses normāli </w:t>
      </w:r>
      <w:r w:rsidR="00DA39CC">
        <w:t xml:space="preserve">realizēt </w:t>
      </w:r>
      <w:r w:rsidR="000D63CE">
        <w:t>tai piederoša nekustamā īpašuma sakārtošanu, pamatojoties uz spēkā esošu būvatļauju, tika pārkāpts vienlīdzības princips.</w:t>
      </w:r>
      <w:r w:rsidR="00DA39CC">
        <w:t>”.</w:t>
      </w:r>
      <w:r w:rsidR="000D63CE">
        <w:t xml:space="preserve"> </w:t>
      </w:r>
    </w:p>
    <w:p w:rsidR="000D63CE" w:rsidRDefault="00EA379A" w:rsidP="00BC1B07">
      <w:pPr>
        <w:spacing w:line="276" w:lineRule="auto"/>
        <w:ind w:firstLine="720"/>
        <w:jc w:val="both"/>
      </w:pPr>
      <w:r>
        <w:t xml:space="preserve">Vienlīdzības princips nozīmē, ka, pastāvot vienādiem faktiskajiem un tiesiskajiem lietas apstākļiem, iestāde un tiesa pieņem vienādus lēmumus (pastāvot atšķirīgiem faktiskajiem vai tiesiskajiem lietas apstākļiem, – atšķirīgus lēmumus). Tas nozīmē, ka </w:t>
      </w:r>
      <w:r w:rsidR="000D63CE">
        <w:t xml:space="preserve">ir jāsalīdzina faktiskie un tiesiskie apstākļi, kādos ir jau pieņemti lēmumi vai ir pieņemami lēmumi attiecībā uz privātpersonām. Vienlīdzības principa piemērošanas ietvaros nav veicams privātpersonas un publiskās personas tiesisko interešu salīdzinājums. </w:t>
      </w:r>
    </w:p>
    <w:p w:rsidR="00DA39CC" w:rsidRDefault="00DA39CC" w:rsidP="00BC1B07">
      <w:pPr>
        <w:spacing w:line="276" w:lineRule="auto"/>
        <w:ind w:firstLine="720"/>
        <w:jc w:val="both"/>
      </w:pPr>
    </w:p>
    <w:p w:rsidR="008079B3" w:rsidRDefault="00806BBB" w:rsidP="008079B3">
      <w:pPr>
        <w:spacing w:line="276" w:lineRule="auto"/>
        <w:ind w:firstLine="720"/>
        <w:jc w:val="both"/>
      </w:pPr>
      <w:r>
        <w:lastRenderedPageBreak/>
        <w:t>[</w:t>
      </w:r>
      <w:r w:rsidR="003423A1">
        <w:t>7</w:t>
      </w:r>
      <w:r w:rsidR="008079B3">
        <w:t>] Senāts jau ir atzinis, ka iestādes lēmums par būves atzīšanu par vidi degradējošu nav administratīvais akts (</w:t>
      </w:r>
      <w:r w:rsidR="008079B3" w:rsidRPr="008115D8">
        <w:t>piemēram,</w:t>
      </w:r>
      <w:r w:rsidR="008079B3" w:rsidRPr="00EE22E0">
        <w:rPr>
          <w:i/>
        </w:rPr>
        <w:t xml:space="preserve"> Senāta </w:t>
      </w:r>
      <w:proofErr w:type="gramStart"/>
      <w:r w:rsidR="008079B3" w:rsidRPr="00EE22E0">
        <w:rPr>
          <w:i/>
        </w:rPr>
        <w:t>2015.gada</w:t>
      </w:r>
      <w:proofErr w:type="gramEnd"/>
      <w:r w:rsidR="008079B3" w:rsidRPr="00EE22E0">
        <w:rPr>
          <w:i/>
        </w:rPr>
        <w:t xml:space="preserve"> 14.oktobra sprieduma lietā Nr. SKA-576/2015 8.punkts, 2016.gada 16.februāra sprieduma lietā Nr. SKA-125/2016 7.</w:t>
      </w:r>
      <w:r w:rsidR="008079B3">
        <w:rPr>
          <w:i/>
        </w:rPr>
        <w:t>–9.</w:t>
      </w:r>
      <w:r w:rsidR="008079B3" w:rsidRPr="00EE22E0">
        <w:rPr>
          <w:i/>
        </w:rPr>
        <w:t>punkts</w:t>
      </w:r>
      <w:r w:rsidR="008079B3">
        <w:t xml:space="preserve">). Līdz ar to pašvaldības saistošo noteikumu normas, kurās noteikts, ka šis lēmums ir administratīvais akts, netiek piemērotas. </w:t>
      </w:r>
    </w:p>
    <w:p w:rsidR="008079B3" w:rsidRDefault="008079B3" w:rsidP="008079B3">
      <w:pPr>
        <w:spacing w:line="276" w:lineRule="auto"/>
        <w:ind w:firstLine="720"/>
        <w:jc w:val="both"/>
      </w:pPr>
      <w:r>
        <w:t xml:space="preserve">Pieteicēja, lūdzot atkāpties no šādas Senāta judikatūras, nav norādījusi tam pamatojumu. Senatoru kolēģija tādu pamatu nesaskata. </w:t>
      </w:r>
    </w:p>
    <w:p w:rsidR="00806BBB" w:rsidRDefault="008079B3" w:rsidP="00806BBB">
      <w:pPr>
        <w:spacing w:line="276" w:lineRule="auto"/>
        <w:ind w:firstLine="720"/>
        <w:jc w:val="both"/>
      </w:pPr>
      <w:r>
        <w:t>Šai l</w:t>
      </w:r>
      <w:r w:rsidR="00806BBB">
        <w:t>ietai nav nozīmes judikatūras veidošan</w:t>
      </w:r>
      <w:r>
        <w:t xml:space="preserve">ā, jo tajā nav risināmi sarežģīti tiesību jautājumi. </w:t>
      </w:r>
      <w:r w:rsidR="00806BBB">
        <w:t>Līdz ar to ir atsakāms ierosināt kasācijas tiesvedību.</w:t>
      </w:r>
    </w:p>
    <w:p w:rsidR="00CA3BE3" w:rsidRDefault="00CA3BE3" w:rsidP="00806BBB">
      <w:pPr>
        <w:spacing w:line="276" w:lineRule="auto"/>
        <w:ind w:firstLine="720"/>
        <w:jc w:val="both"/>
      </w:pPr>
    </w:p>
    <w:p w:rsidR="00806BBB" w:rsidRPr="002767BF" w:rsidRDefault="00806BBB" w:rsidP="00806BBB">
      <w:pPr>
        <w:spacing w:line="276" w:lineRule="auto"/>
        <w:jc w:val="center"/>
        <w:rPr>
          <w:b/>
        </w:rPr>
      </w:pPr>
      <w:r w:rsidRPr="002767BF">
        <w:rPr>
          <w:b/>
        </w:rPr>
        <w:t>Rezolutīvā daļa</w:t>
      </w:r>
    </w:p>
    <w:p w:rsidR="00806BBB" w:rsidRPr="002767BF" w:rsidRDefault="00806BBB" w:rsidP="00806BBB">
      <w:pPr>
        <w:spacing w:line="276" w:lineRule="auto"/>
        <w:rPr>
          <w:bCs/>
        </w:rPr>
      </w:pPr>
      <w:r w:rsidRPr="002767BF">
        <w:rPr>
          <w:bCs/>
        </w:rPr>
        <w:tab/>
      </w:r>
    </w:p>
    <w:p w:rsidR="00806BBB" w:rsidRPr="002767BF" w:rsidRDefault="00806BBB" w:rsidP="00806BBB">
      <w:pPr>
        <w:spacing w:line="276" w:lineRule="auto"/>
        <w:ind w:firstLine="720"/>
        <w:jc w:val="both"/>
        <w:rPr>
          <w:bCs/>
        </w:rPr>
      </w:pPr>
      <w:r w:rsidRPr="002767BF">
        <w:t>Pamatojoties uz Administratīvā procesa likuma 338.panta otro daļu un 338.</w:t>
      </w:r>
      <w:r w:rsidRPr="002767BF">
        <w:rPr>
          <w:vertAlign w:val="superscript"/>
        </w:rPr>
        <w:t>1</w:t>
      </w:r>
      <w:r w:rsidRPr="002767BF">
        <w:t xml:space="preserve">panta otrās daļas 2.punktu, </w:t>
      </w:r>
      <w:r>
        <w:t>senatoru</w:t>
      </w:r>
      <w:r w:rsidRPr="002767BF">
        <w:t xml:space="preserve"> kolēģija</w:t>
      </w:r>
    </w:p>
    <w:p w:rsidR="00806BBB" w:rsidRPr="002767BF" w:rsidRDefault="00806BBB" w:rsidP="00806BBB">
      <w:pPr>
        <w:spacing w:line="276" w:lineRule="auto"/>
        <w:jc w:val="center"/>
        <w:rPr>
          <w:b/>
          <w:bCs/>
        </w:rPr>
      </w:pPr>
      <w:r w:rsidRPr="002767BF">
        <w:rPr>
          <w:b/>
          <w:bCs/>
        </w:rPr>
        <w:t>nolēma</w:t>
      </w:r>
    </w:p>
    <w:p w:rsidR="00806BBB" w:rsidRPr="002767BF" w:rsidRDefault="00806BBB" w:rsidP="00806BBB">
      <w:pPr>
        <w:spacing w:line="276" w:lineRule="auto"/>
      </w:pPr>
    </w:p>
    <w:p w:rsidR="00806BBB" w:rsidRDefault="00806BBB" w:rsidP="00806BBB">
      <w:pPr>
        <w:spacing w:line="276" w:lineRule="auto"/>
        <w:ind w:firstLine="720"/>
        <w:jc w:val="both"/>
      </w:pPr>
      <w:r w:rsidRPr="002767BF">
        <w:t xml:space="preserve">Atteikt ierosināt kasācijas tiesvedību sakarā ar </w:t>
      </w:r>
      <w:proofErr w:type="gramStart"/>
      <w:r w:rsidR="00CA3BE3">
        <w:t>[</w:t>
      </w:r>
      <w:proofErr w:type="gramEnd"/>
      <w:r w:rsidR="00CA3BE3">
        <w:t>pers. A]</w:t>
      </w:r>
      <w:r>
        <w:t xml:space="preserve"> </w:t>
      </w:r>
      <w:r w:rsidRPr="002767BF">
        <w:t xml:space="preserve">kasācijas sūdzība par Administratīvās </w:t>
      </w:r>
      <w:r>
        <w:t xml:space="preserve">apgabaltiesas </w:t>
      </w:r>
      <w:proofErr w:type="gramStart"/>
      <w:r w:rsidRPr="002767BF">
        <w:t>201</w:t>
      </w:r>
      <w:r>
        <w:t>8</w:t>
      </w:r>
      <w:r w:rsidRPr="002767BF">
        <w:t>.gada</w:t>
      </w:r>
      <w:proofErr w:type="gramEnd"/>
      <w:r w:rsidRPr="002767BF">
        <w:t xml:space="preserve"> </w:t>
      </w:r>
      <w:r w:rsidR="008079B3">
        <w:t xml:space="preserve">12.aprīļa </w:t>
      </w:r>
      <w:r w:rsidRPr="002767BF">
        <w:t>spriedumu.</w:t>
      </w:r>
    </w:p>
    <w:p w:rsidR="00806BBB" w:rsidRDefault="00806BBB" w:rsidP="00806BBB">
      <w:pPr>
        <w:spacing w:line="276" w:lineRule="auto"/>
        <w:ind w:firstLine="720"/>
        <w:jc w:val="both"/>
        <w:rPr>
          <w:bCs/>
        </w:rPr>
      </w:pPr>
      <w:r w:rsidRPr="002767BF">
        <w:t xml:space="preserve">Lēmums </w:t>
      </w:r>
      <w:r w:rsidRPr="002767BF">
        <w:rPr>
          <w:bCs/>
        </w:rPr>
        <w:t>nav pārsūdzams.</w:t>
      </w:r>
    </w:p>
    <w:p w:rsidR="003F567E" w:rsidRDefault="003F567E"/>
    <w:p w:rsidR="003F567E" w:rsidRDefault="003F567E"/>
    <w:p w:rsidR="003F567E" w:rsidRDefault="003F567E">
      <w:pPr>
        <w:sectPr w:rsidR="003F567E" w:rsidSect="00BC1B07">
          <w:footerReference w:type="default" r:id="rId8"/>
          <w:pgSz w:w="11906" w:h="16838" w:code="9"/>
          <w:pgMar w:top="1021" w:right="1134" w:bottom="1021" w:left="1701" w:header="709" w:footer="567" w:gutter="0"/>
          <w:cols w:space="708"/>
          <w:docGrid w:linePitch="360"/>
        </w:sectPr>
      </w:pPr>
    </w:p>
    <w:p w:rsidR="003F567E" w:rsidRDefault="003F567E" w:rsidP="003F567E">
      <w:pPr>
        <w:ind w:firstLine="709"/>
        <w:jc w:val="both"/>
      </w:pPr>
      <w:r>
        <w:t>Senatore V. Kakste</w:t>
      </w:r>
    </w:p>
    <w:p w:rsidR="003F567E" w:rsidRDefault="003F567E" w:rsidP="003F567E">
      <w:pPr>
        <w:ind w:firstLine="567"/>
        <w:jc w:val="both"/>
      </w:pPr>
      <w:r>
        <w:br w:type="column"/>
      </w:r>
      <w:r>
        <w:t>Senatore V. Krūmiņa</w:t>
      </w:r>
    </w:p>
    <w:p w:rsidR="006E043B" w:rsidRDefault="003F567E" w:rsidP="003F567E">
      <w:pPr>
        <w:ind w:firstLine="426"/>
        <w:jc w:val="both"/>
      </w:pPr>
      <w:r>
        <w:br w:type="column"/>
      </w:r>
      <w:r>
        <w:t>Senatore I. Višķere</w:t>
      </w:r>
    </w:p>
    <w:sectPr w:rsidR="006E043B" w:rsidSect="003F567E">
      <w:type w:val="continuous"/>
      <w:pgSz w:w="11906" w:h="16838" w:code="9"/>
      <w:pgMar w:top="1021" w:right="1134" w:bottom="1021" w:left="1701" w:header="709" w:footer="567" w:gutter="0"/>
      <w:cols w:num="3"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5C3" w:rsidRDefault="00ED25C3">
      <w:r>
        <w:separator/>
      </w:r>
    </w:p>
  </w:endnote>
  <w:endnote w:type="continuationSeparator" w:id="0">
    <w:p w:rsidR="00ED25C3" w:rsidRDefault="00ED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rsidR="00BC1B07" w:rsidRDefault="00BC1B07" w:rsidP="00BC1B07">
            <w:pPr>
              <w:pStyle w:val="Footer"/>
              <w:jc w:val="center"/>
            </w:pPr>
            <w:r w:rsidRPr="00B3327A">
              <w:rPr>
                <w:bCs/>
              </w:rPr>
              <w:fldChar w:fldCharType="begin"/>
            </w:r>
            <w:r w:rsidRPr="00B3327A">
              <w:rPr>
                <w:bCs/>
              </w:rPr>
              <w:instrText xml:space="preserve"> PAGE </w:instrText>
            </w:r>
            <w:r w:rsidRPr="00B3327A">
              <w:rPr>
                <w:bCs/>
              </w:rPr>
              <w:fldChar w:fldCharType="separate"/>
            </w:r>
            <w:r w:rsidR="005C42B0">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5C42B0">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5C3" w:rsidRDefault="00ED25C3">
      <w:r>
        <w:separator/>
      </w:r>
    </w:p>
  </w:footnote>
  <w:footnote w:type="continuationSeparator" w:id="0">
    <w:p w:rsidR="00ED25C3" w:rsidRDefault="00ED2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BB"/>
    <w:rsid w:val="000D63CE"/>
    <w:rsid w:val="001350E1"/>
    <w:rsid w:val="002B2104"/>
    <w:rsid w:val="002D179B"/>
    <w:rsid w:val="003423A1"/>
    <w:rsid w:val="00367A6D"/>
    <w:rsid w:val="00384BD8"/>
    <w:rsid w:val="003F567E"/>
    <w:rsid w:val="00532F2A"/>
    <w:rsid w:val="00535D90"/>
    <w:rsid w:val="005538CF"/>
    <w:rsid w:val="005C42B0"/>
    <w:rsid w:val="005D19C9"/>
    <w:rsid w:val="005D3644"/>
    <w:rsid w:val="006E043B"/>
    <w:rsid w:val="00776F19"/>
    <w:rsid w:val="00797BF9"/>
    <w:rsid w:val="00806BBB"/>
    <w:rsid w:val="008079B3"/>
    <w:rsid w:val="008115D8"/>
    <w:rsid w:val="008B66EA"/>
    <w:rsid w:val="00934184"/>
    <w:rsid w:val="00966236"/>
    <w:rsid w:val="009D56CC"/>
    <w:rsid w:val="00A05697"/>
    <w:rsid w:val="00A30272"/>
    <w:rsid w:val="00A34ABF"/>
    <w:rsid w:val="00A8600F"/>
    <w:rsid w:val="00AE1909"/>
    <w:rsid w:val="00B07D91"/>
    <w:rsid w:val="00B11113"/>
    <w:rsid w:val="00B43633"/>
    <w:rsid w:val="00B618F6"/>
    <w:rsid w:val="00BC1B07"/>
    <w:rsid w:val="00BF1C53"/>
    <w:rsid w:val="00CA3BE3"/>
    <w:rsid w:val="00D14163"/>
    <w:rsid w:val="00DA39CC"/>
    <w:rsid w:val="00DD78DA"/>
    <w:rsid w:val="00E30DDE"/>
    <w:rsid w:val="00E6174D"/>
    <w:rsid w:val="00E92C09"/>
    <w:rsid w:val="00EA379A"/>
    <w:rsid w:val="00ED25C3"/>
    <w:rsid w:val="00EE22E0"/>
    <w:rsid w:val="00F1630B"/>
    <w:rsid w:val="00F37E0B"/>
    <w:rsid w:val="00F867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E3E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BBB"/>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6BBB"/>
    <w:pPr>
      <w:tabs>
        <w:tab w:val="center" w:pos="4153"/>
        <w:tab w:val="right" w:pos="8306"/>
      </w:tabs>
    </w:pPr>
  </w:style>
  <w:style w:type="character" w:customStyle="1" w:styleId="FooterChar">
    <w:name w:val="Footer Char"/>
    <w:basedOn w:val="DefaultParagraphFont"/>
    <w:link w:val="Footer"/>
    <w:uiPriority w:val="99"/>
    <w:rsid w:val="00806BBB"/>
    <w:rPr>
      <w:rFonts w:eastAsia="Times New Roman" w:cs="Times New Roman"/>
      <w:szCs w:val="24"/>
      <w:lang w:eastAsia="ru-RU"/>
    </w:rPr>
  </w:style>
  <w:style w:type="table" w:styleId="TableGrid">
    <w:name w:val="Table Grid"/>
    <w:basedOn w:val="TableNormal"/>
    <w:uiPriority w:val="39"/>
    <w:rsid w:val="0080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909"/>
    <w:rPr>
      <w:rFonts w:ascii="Segoe UI" w:eastAsia="Times New Roman" w:hAnsi="Segoe UI" w:cs="Segoe UI"/>
      <w:sz w:val="18"/>
      <w:szCs w:val="18"/>
      <w:lang w:eastAsia="ru-RU"/>
    </w:rPr>
  </w:style>
  <w:style w:type="character" w:styleId="Hyperlink">
    <w:name w:val="Hyperlink"/>
    <w:basedOn w:val="DefaultParagraphFont"/>
    <w:uiPriority w:val="99"/>
    <w:unhideWhenUsed/>
    <w:rsid w:val="00CA3BE3"/>
    <w:rPr>
      <w:color w:val="0563C1" w:themeColor="hyperlink"/>
      <w:u w:val="single"/>
    </w:rPr>
  </w:style>
  <w:style w:type="character" w:styleId="UnresolvedMention">
    <w:name w:val="Unresolved Mention"/>
    <w:basedOn w:val="DefaultParagraphFont"/>
    <w:uiPriority w:val="99"/>
    <w:semiHidden/>
    <w:unhideWhenUsed/>
    <w:rsid w:val="00CA3BE3"/>
    <w:rPr>
      <w:color w:val="605E5C"/>
      <w:shd w:val="clear" w:color="auto" w:fill="E1DFDD"/>
    </w:rPr>
  </w:style>
  <w:style w:type="character" w:styleId="FollowedHyperlink">
    <w:name w:val="FollowedHyperlink"/>
    <w:basedOn w:val="DefaultParagraphFont"/>
    <w:uiPriority w:val="99"/>
    <w:semiHidden/>
    <w:unhideWhenUsed/>
    <w:rsid w:val="00CA3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22.A420349716.1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167E-49B8-41B6-94E9-74A05270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7431</Words>
  <Characters>4236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2019-04-04T07:10:00Z</dcterms:created>
  <dcterms:modified xsi:type="dcterms:W3CDTF">2019-04-05T05:49:00Z</dcterms:modified>
</cp:coreProperties>
</file>