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EA" w:rsidRPr="00651C63" w:rsidRDefault="00651C63" w:rsidP="00651C63">
      <w:pPr>
        <w:autoSpaceDE w:val="0"/>
        <w:autoSpaceDN w:val="0"/>
        <w:adjustRightInd w:val="0"/>
        <w:spacing w:after="0" w:line="276" w:lineRule="auto"/>
        <w:jc w:val="both"/>
        <w:rPr>
          <w:rFonts w:cs="Times New Roman"/>
          <w:b/>
          <w:szCs w:val="24"/>
        </w:rPr>
      </w:pPr>
      <w:r w:rsidRPr="00651C63">
        <w:rPr>
          <w:rFonts w:cs="Times New Roman"/>
          <w:b/>
          <w:szCs w:val="24"/>
        </w:rPr>
        <w:t>Tiesā iesniegts kaitējuma kompensācijas pieteikums vienošanās procesā</w:t>
      </w:r>
    </w:p>
    <w:p w:rsidR="00651C63" w:rsidRDefault="00651C63" w:rsidP="00651C63">
      <w:pPr>
        <w:autoSpaceDE w:val="0"/>
        <w:autoSpaceDN w:val="0"/>
        <w:adjustRightInd w:val="0"/>
        <w:spacing w:after="0" w:line="276" w:lineRule="auto"/>
        <w:jc w:val="both"/>
        <w:rPr>
          <w:rFonts w:cs="Times New Roman"/>
          <w:szCs w:val="24"/>
        </w:rPr>
      </w:pPr>
    </w:p>
    <w:p w:rsidR="00462860" w:rsidRPr="00651C63" w:rsidRDefault="00651C63" w:rsidP="00651C63">
      <w:pPr>
        <w:autoSpaceDE w:val="0"/>
        <w:autoSpaceDN w:val="0"/>
        <w:adjustRightInd w:val="0"/>
        <w:spacing w:after="0" w:line="276" w:lineRule="auto"/>
        <w:jc w:val="both"/>
      </w:pPr>
      <w:r w:rsidRPr="002B34AC">
        <w:rPr>
          <w:rFonts w:cs="Times New Roman"/>
          <w:szCs w:val="24"/>
        </w:rPr>
        <w:t xml:space="preserve">Ja kompensācijas pieteikums, ievērojot Kriminālprocesa likuma </w:t>
      </w:r>
      <w:proofErr w:type="gramStart"/>
      <w:r w:rsidRPr="002B34AC">
        <w:rPr>
          <w:rFonts w:cs="Times New Roman"/>
          <w:szCs w:val="24"/>
        </w:rPr>
        <w:t>351.panta</w:t>
      </w:r>
      <w:proofErr w:type="gramEnd"/>
      <w:r w:rsidRPr="002B34AC">
        <w:rPr>
          <w:rFonts w:cs="Times New Roman"/>
          <w:szCs w:val="24"/>
        </w:rPr>
        <w:t xml:space="preserve"> pirmajā daļā noteiktās prasības, iesniegts laikā, kad krimināllieta par pirmstiesas procesā slēgtu vienošanos atrodas tiesā</w:t>
      </w:r>
      <w:r>
        <w:rPr>
          <w:rFonts w:cs="Times New Roman"/>
          <w:szCs w:val="24"/>
        </w:rPr>
        <w:t xml:space="preserve"> un nav izskatīta, tiesai jādod iespēja </w:t>
      </w:r>
      <w:r w:rsidRPr="002B34AC">
        <w:rPr>
          <w:rFonts w:cs="Times New Roman"/>
          <w:szCs w:val="24"/>
        </w:rPr>
        <w:t>prokuroram ar apsūdzēto noslēgt papildu vienošanos par kaitējuma apmēru un tā atlīdzināšanu.</w:t>
      </w:r>
    </w:p>
    <w:p w:rsidR="00462860" w:rsidRPr="00203447" w:rsidRDefault="00462860" w:rsidP="00462860">
      <w:pPr>
        <w:spacing w:after="0" w:line="276" w:lineRule="auto"/>
        <w:jc w:val="center"/>
        <w:rPr>
          <w:rFonts w:eastAsia="Calibri"/>
          <w:szCs w:val="24"/>
        </w:rPr>
      </w:pPr>
    </w:p>
    <w:p w:rsidR="00651C63" w:rsidRPr="00651C63" w:rsidRDefault="00462860" w:rsidP="00651C63">
      <w:pPr>
        <w:spacing w:after="0" w:line="276" w:lineRule="auto"/>
        <w:jc w:val="center"/>
        <w:rPr>
          <w:b/>
          <w:szCs w:val="24"/>
        </w:rPr>
      </w:pPr>
      <w:r w:rsidRPr="00651C63">
        <w:rPr>
          <w:b/>
          <w:szCs w:val="24"/>
        </w:rPr>
        <w:t>Latvijas Republikas Senāt</w:t>
      </w:r>
      <w:r w:rsidR="00651C63" w:rsidRPr="00651C63">
        <w:rPr>
          <w:b/>
          <w:szCs w:val="24"/>
        </w:rPr>
        <w:t>a</w:t>
      </w:r>
    </w:p>
    <w:p w:rsidR="00651C63" w:rsidRPr="00651C63" w:rsidRDefault="00651C63" w:rsidP="00651C63">
      <w:pPr>
        <w:spacing w:after="0" w:line="276" w:lineRule="auto"/>
        <w:jc w:val="center"/>
        <w:rPr>
          <w:b/>
          <w:szCs w:val="24"/>
        </w:rPr>
      </w:pPr>
      <w:r w:rsidRPr="00651C63">
        <w:rPr>
          <w:b/>
          <w:szCs w:val="24"/>
        </w:rPr>
        <w:t>Krimināllietu departamenta</w:t>
      </w:r>
    </w:p>
    <w:p w:rsidR="00462860" w:rsidRPr="00651C63" w:rsidRDefault="00651C63" w:rsidP="00651C63">
      <w:pPr>
        <w:spacing w:after="0" w:line="276" w:lineRule="auto"/>
        <w:jc w:val="center"/>
        <w:rPr>
          <w:b/>
          <w:szCs w:val="24"/>
        </w:rPr>
      </w:pPr>
      <w:proofErr w:type="gramStart"/>
      <w:r w:rsidRPr="00651C63">
        <w:rPr>
          <w:b/>
          <w:szCs w:val="24"/>
        </w:rPr>
        <w:t>2019.gada</w:t>
      </w:r>
      <w:proofErr w:type="gramEnd"/>
      <w:r w:rsidRPr="00651C63">
        <w:rPr>
          <w:b/>
          <w:szCs w:val="24"/>
        </w:rPr>
        <w:t xml:space="preserve"> </w:t>
      </w:r>
      <w:r>
        <w:rPr>
          <w:b/>
          <w:szCs w:val="24"/>
        </w:rPr>
        <w:t>[..]</w:t>
      </w:r>
    </w:p>
    <w:p w:rsidR="00462860" w:rsidRPr="00651C63" w:rsidRDefault="00462860" w:rsidP="00651C63">
      <w:pPr>
        <w:spacing w:after="0" w:line="276" w:lineRule="auto"/>
        <w:jc w:val="center"/>
        <w:rPr>
          <w:b/>
          <w:szCs w:val="24"/>
        </w:rPr>
      </w:pPr>
      <w:r w:rsidRPr="00651C63">
        <w:rPr>
          <w:b/>
          <w:szCs w:val="24"/>
        </w:rPr>
        <w:t>LĒMUMS</w:t>
      </w:r>
      <w:r w:rsidR="00651C63">
        <w:rPr>
          <w:rStyle w:val="FootnoteReference"/>
          <w:b/>
          <w:szCs w:val="24"/>
        </w:rPr>
        <w:footnoteReference w:id="1"/>
      </w:r>
    </w:p>
    <w:p w:rsidR="00651C63" w:rsidRPr="00651C63" w:rsidRDefault="00651C63" w:rsidP="00651C63">
      <w:pPr>
        <w:spacing w:after="0" w:line="276" w:lineRule="auto"/>
        <w:jc w:val="center"/>
        <w:rPr>
          <w:b/>
          <w:szCs w:val="24"/>
        </w:rPr>
      </w:pPr>
      <w:r w:rsidRPr="00651C63">
        <w:rPr>
          <w:b/>
          <w:szCs w:val="24"/>
        </w:rPr>
        <w:t>Lieta</w:t>
      </w:r>
      <w:r w:rsidRPr="00651C63">
        <w:rPr>
          <w:b/>
          <w:szCs w:val="24"/>
          <w:lang w:val="en-US"/>
        </w:rPr>
        <w:t xml:space="preserve"> </w:t>
      </w:r>
      <w:r w:rsidRPr="00651C63">
        <w:rPr>
          <w:b/>
          <w:szCs w:val="24"/>
        </w:rPr>
        <w:t>Nr. </w:t>
      </w:r>
      <w:r>
        <w:rPr>
          <w:b/>
          <w:szCs w:val="24"/>
        </w:rPr>
        <w:t>[..]</w:t>
      </w:r>
      <w:r w:rsidRPr="00651C63">
        <w:rPr>
          <w:b/>
          <w:szCs w:val="24"/>
        </w:rPr>
        <w:t>, SKK-</w:t>
      </w:r>
      <w:r>
        <w:rPr>
          <w:b/>
          <w:szCs w:val="24"/>
        </w:rPr>
        <w:t>[B]</w:t>
      </w:r>
      <w:r w:rsidRPr="00651C63">
        <w:rPr>
          <w:b/>
          <w:szCs w:val="24"/>
        </w:rPr>
        <w:t>/2019</w:t>
      </w:r>
    </w:p>
    <w:p w:rsidR="00651C63" w:rsidRPr="00651C63" w:rsidRDefault="00651C63" w:rsidP="00651C63">
      <w:pPr>
        <w:spacing w:after="0" w:line="276" w:lineRule="auto"/>
        <w:jc w:val="center"/>
        <w:rPr>
          <w:rFonts w:cs="Times New Roman"/>
          <w:szCs w:val="24"/>
        </w:rPr>
      </w:pPr>
      <w:r w:rsidRPr="00651C63">
        <w:rPr>
          <w:rFonts w:cs="Times New Roman"/>
          <w:color w:val="000000"/>
          <w:szCs w:val="24"/>
          <w:shd w:val="clear" w:color="auto" w:fill="FFFFFF"/>
        </w:rPr>
        <w:t>ECLI:LV:AT:2019:</w:t>
      </w:r>
      <w:r>
        <w:rPr>
          <w:rFonts w:cs="Times New Roman"/>
          <w:color w:val="000000"/>
          <w:szCs w:val="24"/>
          <w:shd w:val="clear" w:color="auto" w:fill="FFFFFF"/>
        </w:rPr>
        <w:t>[..]</w:t>
      </w:r>
    </w:p>
    <w:p w:rsidR="00651C63" w:rsidRDefault="00651C63" w:rsidP="00651C63">
      <w:pPr>
        <w:spacing w:after="0" w:line="276" w:lineRule="auto"/>
        <w:jc w:val="right"/>
      </w:pPr>
    </w:p>
    <w:p w:rsidR="00462860" w:rsidRDefault="00462860" w:rsidP="00462860">
      <w:pPr>
        <w:spacing w:after="0" w:line="276" w:lineRule="auto"/>
        <w:jc w:val="center"/>
      </w:pPr>
    </w:p>
    <w:p w:rsidR="00462860" w:rsidRDefault="00462860" w:rsidP="00462860">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Pēteris </w:t>
      </w:r>
      <w:proofErr w:type="spellStart"/>
      <w:r>
        <w:t>Dzalbe</w:t>
      </w:r>
      <w:proofErr w:type="spellEnd"/>
      <w:r w:rsidRPr="001A4084">
        <w:t>,</w:t>
      </w:r>
      <w:r>
        <w:t xml:space="preserve"> Anita Nusberga</w:t>
      </w:r>
    </w:p>
    <w:p w:rsidR="00462860" w:rsidRPr="001A4084" w:rsidRDefault="00462860" w:rsidP="00462860">
      <w:pPr>
        <w:suppressAutoHyphens/>
        <w:spacing w:after="0" w:line="276" w:lineRule="auto"/>
        <w:ind w:firstLine="720"/>
        <w:jc w:val="both"/>
        <w:rPr>
          <w:rFonts w:eastAsia="Calibri"/>
        </w:rPr>
      </w:pPr>
    </w:p>
    <w:p w:rsidR="00462860" w:rsidRDefault="00462860" w:rsidP="00462860">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t xml:space="preserve">cietušā </w:t>
      </w:r>
      <w:r w:rsidR="00651C63">
        <w:t>[pers. A]</w:t>
      </w:r>
      <w:r>
        <w:t xml:space="preserve"> pārstāvja </w:t>
      </w:r>
      <w:r w:rsidR="00651C63">
        <w:t>[pers. B]</w:t>
      </w:r>
      <w:r>
        <w:t xml:space="preserve"> kasācijas sūdzību par </w:t>
      </w:r>
      <w:r w:rsidR="00651C63">
        <w:t>[pirmās instances]</w:t>
      </w:r>
      <w:r>
        <w:t xml:space="preserve"> tiesas </w:t>
      </w:r>
      <w:proofErr w:type="gramStart"/>
      <w:r>
        <w:t>2018.gada</w:t>
      </w:r>
      <w:proofErr w:type="gramEnd"/>
      <w:r>
        <w:t xml:space="preserve"> </w:t>
      </w:r>
      <w:r w:rsidR="00651C63">
        <w:t>[..]</w:t>
      </w:r>
      <w:r>
        <w:t xml:space="preserve"> spriedumu.</w:t>
      </w:r>
    </w:p>
    <w:p w:rsidR="00462860" w:rsidRDefault="00462860" w:rsidP="00462860">
      <w:pPr>
        <w:spacing w:after="0" w:line="276" w:lineRule="auto"/>
        <w:jc w:val="both"/>
      </w:pPr>
    </w:p>
    <w:p w:rsidR="00462860" w:rsidRPr="008A5055" w:rsidRDefault="00462860" w:rsidP="00462860">
      <w:pPr>
        <w:spacing w:after="0" w:line="276" w:lineRule="auto"/>
        <w:jc w:val="center"/>
        <w:rPr>
          <w:b/>
        </w:rPr>
      </w:pPr>
      <w:r w:rsidRPr="008A5055">
        <w:rPr>
          <w:b/>
        </w:rPr>
        <w:t>Aprakstošā daļa</w:t>
      </w:r>
    </w:p>
    <w:p w:rsidR="00462860" w:rsidRPr="008A5055" w:rsidRDefault="00462860" w:rsidP="002F414D">
      <w:pPr>
        <w:spacing w:after="0" w:line="276" w:lineRule="auto"/>
        <w:jc w:val="center"/>
        <w:rPr>
          <w:b/>
        </w:rPr>
      </w:pPr>
    </w:p>
    <w:p w:rsidR="00462860" w:rsidRDefault="00462860" w:rsidP="002F414D">
      <w:pPr>
        <w:autoSpaceDE w:val="0"/>
        <w:autoSpaceDN w:val="0"/>
        <w:adjustRightInd w:val="0"/>
        <w:spacing w:after="0" w:line="276" w:lineRule="auto"/>
        <w:ind w:left="720"/>
        <w:jc w:val="both"/>
        <w:rPr>
          <w:szCs w:val="24"/>
        </w:rPr>
      </w:pPr>
      <w:r w:rsidRPr="00E97689">
        <w:rPr>
          <w:szCs w:val="24"/>
        </w:rPr>
        <w:t xml:space="preserve">[1] Ar </w:t>
      </w:r>
      <w:r w:rsidR="00651C63">
        <w:rPr>
          <w:szCs w:val="24"/>
        </w:rPr>
        <w:t>[pirmās instances]</w:t>
      </w:r>
      <w:r w:rsidR="004038CA">
        <w:rPr>
          <w:szCs w:val="24"/>
        </w:rPr>
        <w:t xml:space="preserve"> </w:t>
      </w:r>
      <w:r w:rsidRPr="00C12130">
        <w:rPr>
          <w:szCs w:val="24"/>
        </w:rPr>
        <w:t xml:space="preserve">tiesas </w:t>
      </w:r>
      <w:proofErr w:type="gramStart"/>
      <w:r w:rsidRPr="00C12130">
        <w:rPr>
          <w:szCs w:val="24"/>
        </w:rPr>
        <w:t>201</w:t>
      </w:r>
      <w:r>
        <w:rPr>
          <w:szCs w:val="24"/>
        </w:rPr>
        <w:t>8</w:t>
      </w:r>
      <w:r w:rsidRPr="00C12130">
        <w:rPr>
          <w:szCs w:val="24"/>
        </w:rPr>
        <w:t>.gada</w:t>
      </w:r>
      <w:proofErr w:type="gramEnd"/>
      <w:r w:rsidRPr="00C12130">
        <w:rPr>
          <w:szCs w:val="24"/>
        </w:rPr>
        <w:t xml:space="preserve"> </w:t>
      </w:r>
      <w:r w:rsidR="00651C63">
        <w:rPr>
          <w:szCs w:val="24"/>
        </w:rPr>
        <w:t>[..]</w:t>
      </w:r>
      <w:r>
        <w:rPr>
          <w:szCs w:val="24"/>
        </w:rPr>
        <w:t xml:space="preserve"> </w:t>
      </w:r>
      <w:r w:rsidRPr="00C12130">
        <w:rPr>
          <w:szCs w:val="24"/>
        </w:rPr>
        <w:t>spriedumu</w:t>
      </w:r>
    </w:p>
    <w:p w:rsidR="004038CA" w:rsidRPr="004659DB" w:rsidRDefault="004038CA" w:rsidP="002F414D">
      <w:pPr>
        <w:autoSpaceDE w:val="0"/>
        <w:autoSpaceDN w:val="0"/>
        <w:adjustRightInd w:val="0"/>
        <w:spacing w:after="0" w:line="276" w:lineRule="auto"/>
        <w:ind w:left="720"/>
        <w:jc w:val="both"/>
      </w:pPr>
      <w:r>
        <w:rPr>
          <w:szCs w:val="24"/>
        </w:rPr>
        <w:t xml:space="preserve">apstiprināta prokurora un apsūdzētā noslēgtā vienošanās par vainas atzīšanu un sodu un </w:t>
      </w:r>
      <w:r w:rsidR="00651C63">
        <w:t>[pers. C]</w:t>
      </w:r>
      <w:r>
        <w:t xml:space="preserve">, personas kods </w:t>
      </w:r>
      <w:r w:rsidR="00651C63">
        <w:t>[..]</w:t>
      </w:r>
      <w:r w:rsidRPr="004659DB">
        <w:t>,</w:t>
      </w:r>
    </w:p>
    <w:p w:rsidR="004038CA" w:rsidRDefault="004038CA" w:rsidP="002F414D">
      <w:pPr>
        <w:spacing w:after="0" w:line="276" w:lineRule="auto"/>
        <w:ind w:firstLine="720"/>
        <w:jc w:val="both"/>
        <w:rPr>
          <w:szCs w:val="24"/>
        </w:rPr>
      </w:pPr>
      <w:r w:rsidRPr="00E97689">
        <w:rPr>
          <w:szCs w:val="24"/>
        </w:rPr>
        <w:t xml:space="preserve">atzīts par vainīgu Krimināllikuma </w:t>
      </w:r>
      <w:proofErr w:type="gramStart"/>
      <w:r>
        <w:rPr>
          <w:szCs w:val="24"/>
        </w:rPr>
        <w:t>270.panta</w:t>
      </w:r>
      <w:proofErr w:type="gramEnd"/>
      <w:r>
        <w:rPr>
          <w:szCs w:val="24"/>
        </w:rPr>
        <w:t xml:space="preserve"> pirmajā</w:t>
      </w:r>
      <w:r w:rsidRPr="00E97689">
        <w:rPr>
          <w:szCs w:val="24"/>
        </w:rPr>
        <w:t xml:space="preserve"> daļā</w:t>
      </w:r>
      <w:r>
        <w:rPr>
          <w:szCs w:val="24"/>
        </w:rPr>
        <w:t xml:space="preserve"> </w:t>
      </w:r>
      <w:r w:rsidRPr="00E97689">
        <w:rPr>
          <w:szCs w:val="24"/>
        </w:rPr>
        <w:t xml:space="preserve">paredzētajā noziedzīgajā nodarījumā un sodīts ar brīvības atņemšanu uz </w:t>
      </w:r>
      <w:r w:rsidRPr="004038CA">
        <w:rPr>
          <w:szCs w:val="24"/>
        </w:rPr>
        <w:t>6 mēnešiem</w:t>
      </w:r>
      <w:r>
        <w:rPr>
          <w:szCs w:val="24"/>
        </w:rPr>
        <w:t>;</w:t>
      </w:r>
    </w:p>
    <w:p w:rsidR="004038CA" w:rsidRDefault="004038CA" w:rsidP="002F414D">
      <w:pPr>
        <w:spacing w:after="0" w:line="276" w:lineRule="auto"/>
        <w:ind w:firstLine="720"/>
        <w:jc w:val="both"/>
      </w:pPr>
      <w:r w:rsidRPr="00E97689">
        <w:rPr>
          <w:szCs w:val="24"/>
        </w:rPr>
        <w:t xml:space="preserve">atzīts par vainīgu Krimināllikuma </w:t>
      </w:r>
      <w:proofErr w:type="gramStart"/>
      <w:r>
        <w:rPr>
          <w:szCs w:val="24"/>
        </w:rPr>
        <w:t>126.panta</w:t>
      </w:r>
      <w:proofErr w:type="gramEnd"/>
      <w:r>
        <w:rPr>
          <w:szCs w:val="24"/>
        </w:rPr>
        <w:t xml:space="preserve"> otrās daļas 1.punktā </w:t>
      </w:r>
      <w:r w:rsidRPr="00E97689">
        <w:rPr>
          <w:szCs w:val="24"/>
        </w:rPr>
        <w:t xml:space="preserve">paredzētajā noziedzīgajā nodarījumā un sodīts ar brīvības atņemšanu uz </w:t>
      </w:r>
      <w:r>
        <w:t xml:space="preserve">1 gadu 4 mēnešiem. </w:t>
      </w:r>
    </w:p>
    <w:p w:rsidR="004038CA" w:rsidRDefault="004038CA" w:rsidP="002F414D">
      <w:pPr>
        <w:spacing w:after="0" w:line="276" w:lineRule="auto"/>
        <w:ind w:firstLine="720"/>
        <w:jc w:val="both"/>
      </w:pPr>
      <w:r>
        <w:t xml:space="preserve">Saskaņā ar Krimināllikuma </w:t>
      </w:r>
      <w:proofErr w:type="gramStart"/>
      <w:r>
        <w:t>50.panta</w:t>
      </w:r>
      <w:proofErr w:type="gramEnd"/>
      <w:r>
        <w:t xml:space="preserve"> pirmo daļu galīgais sods noteikts brīvības atņemšana uz 1 gadu 6 mēnešiem. </w:t>
      </w:r>
    </w:p>
    <w:p w:rsidR="004038CA" w:rsidRDefault="004038CA" w:rsidP="002F414D">
      <w:pPr>
        <w:spacing w:after="0" w:line="276" w:lineRule="auto"/>
        <w:ind w:firstLine="720"/>
        <w:jc w:val="both"/>
      </w:pPr>
      <w:r>
        <w:t xml:space="preserve">Saskaņā ar Krimināllikuma </w:t>
      </w:r>
      <w:proofErr w:type="gramStart"/>
      <w:r>
        <w:t>55.pantu</w:t>
      </w:r>
      <w:proofErr w:type="gramEnd"/>
      <w:r>
        <w:t xml:space="preserve"> </w:t>
      </w:r>
      <w:r w:rsidR="00651C63">
        <w:t>[pers. C]</w:t>
      </w:r>
      <w:r>
        <w:t xml:space="preserve"> ar brīvības atņemšanas sodu notiesāts nosacīti ar pārbaudes laiku uz 2 gadiem.</w:t>
      </w:r>
    </w:p>
    <w:p w:rsidR="004038CA" w:rsidRDefault="004038CA" w:rsidP="002F414D">
      <w:pPr>
        <w:spacing w:after="0" w:line="276" w:lineRule="auto"/>
        <w:ind w:firstLine="720"/>
        <w:jc w:val="both"/>
        <w:rPr>
          <w:szCs w:val="24"/>
        </w:rPr>
      </w:pPr>
    </w:p>
    <w:p w:rsidR="002F414D" w:rsidRDefault="004038CA" w:rsidP="002F414D">
      <w:pPr>
        <w:spacing w:after="0" w:line="276" w:lineRule="auto"/>
        <w:ind w:firstLine="720"/>
        <w:jc w:val="both"/>
        <w:rPr>
          <w:szCs w:val="24"/>
        </w:rPr>
      </w:pPr>
      <w:r w:rsidRPr="00E97689">
        <w:rPr>
          <w:szCs w:val="24"/>
        </w:rPr>
        <w:t xml:space="preserve">[2] </w:t>
      </w:r>
      <w:r w:rsidR="003F50A6">
        <w:rPr>
          <w:szCs w:val="24"/>
        </w:rPr>
        <w:t>[..]</w:t>
      </w:r>
    </w:p>
    <w:p w:rsidR="002F414D" w:rsidRDefault="002F414D" w:rsidP="002F414D">
      <w:pPr>
        <w:autoSpaceDE w:val="0"/>
        <w:autoSpaceDN w:val="0"/>
        <w:adjustRightInd w:val="0"/>
        <w:spacing w:after="0" w:line="276" w:lineRule="auto"/>
        <w:ind w:firstLine="720"/>
        <w:jc w:val="both"/>
        <w:rPr>
          <w:szCs w:val="24"/>
        </w:rPr>
      </w:pPr>
    </w:p>
    <w:p w:rsidR="002F414D" w:rsidRDefault="002F414D" w:rsidP="00462860">
      <w:pPr>
        <w:autoSpaceDE w:val="0"/>
        <w:autoSpaceDN w:val="0"/>
        <w:adjustRightInd w:val="0"/>
        <w:spacing w:after="0" w:line="276" w:lineRule="auto"/>
        <w:ind w:firstLine="720"/>
        <w:jc w:val="both"/>
        <w:rPr>
          <w:rFonts w:cs="Times New Roman"/>
          <w:szCs w:val="24"/>
        </w:rPr>
      </w:pPr>
      <w:r w:rsidRPr="00E97689">
        <w:rPr>
          <w:szCs w:val="24"/>
        </w:rPr>
        <w:t xml:space="preserve">[3] </w:t>
      </w:r>
      <w:r w:rsidRPr="00E97689">
        <w:rPr>
          <w:iCs/>
          <w:szCs w:val="24"/>
        </w:rPr>
        <w:t xml:space="preserve">Kasācijas sūdzību par </w:t>
      </w:r>
      <w:r w:rsidR="008E1B42">
        <w:t>[pirmās instances]</w:t>
      </w:r>
      <w:r>
        <w:t xml:space="preserve"> tiesas </w:t>
      </w:r>
      <w:proofErr w:type="gramStart"/>
      <w:r>
        <w:t>2018.gada</w:t>
      </w:r>
      <w:proofErr w:type="gramEnd"/>
      <w:r>
        <w:t xml:space="preserve"> </w:t>
      </w:r>
      <w:r w:rsidR="008E1B42">
        <w:t>[..]</w:t>
      </w:r>
      <w:r>
        <w:t xml:space="preserve"> spriedumu</w:t>
      </w:r>
      <w:r w:rsidRPr="00E97689">
        <w:rPr>
          <w:szCs w:val="24"/>
        </w:rPr>
        <w:t xml:space="preserve"> </w:t>
      </w:r>
      <w:r w:rsidRPr="00E97689">
        <w:rPr>
          <w:iCs/>
          <w:szCs w:val="24"/>
        </w:rPr>
        <w:t>iesniedz</w:t>
      </w:r>
      <w:r w:rsidR="006B18D8">
        <w:rPr>
          <w:iCs/>
          <w:szCs w:val="24"/>
        </w:rPr>
        <w:t>a</w:t>
      </w:r>
      <w:r w:rsidRPr="00E97689">
        <w:rPr>
          <w:szCs w:val="24"/>
        </w:rPr>
        <w:t xml:space="preserve"> </w:t>
      </w:r>
      <w:r>
        <w:t xml:space="preserve">cietušā </w:t>
      </w:r>
      <w:r w:rsidR="008E1B42">
        <w:t>[pers. A]</w:t>
      </w:r>
      <w:r>
        <w:t xml:space="preserve"> pārstāvis </w:t>
      </w:r>
      <w:r w:rsidR="008E1B42">
        <w:t>[pers. B]</w:t>
      </w:r>
      <w:r w:rsidRPr="00E97689">
        <w:rPr>
          <w:szCs w:val="24"/>
        </w:rPr>
        <w:t>,</w:t>
      </w:r>
      <w:r>
        <w:rPr>
          <w:szCs w:val="24"/>
        </w:rPr>
        <w:t xml:space="preserve"> lūdzot atcelt pilnībā pirmās instances tiesas spriedumu un nodot lietu jaunai izskatīšanai.</w:t>
      </w:r>
      <w:r w:rsidR="00E56E68">
        <w:rPr>
          <w:szCs w:val="24"/>
        </w:rPr>
        <w:t xml:space="preserve"> </w:t>
      </w:r>
      <w:r w:rsidR="00462860" w:rsidRPr="008A5055">
        <w:rPr>
          <w:rFonts w:cs="Times New Roman"/>
          <w:szCs w:val="24"/>
        </w:rPr>
        <w:t xml:space="preserve">Kasācijas </w:t>
      </w:r>
      <w:r w:rsidR="00462860">
        <w:rPr>
          <w:rFonts w:cs="Times New Roman"/>
          <w:szCs w:val="24"/>
        </w:rPr>
        <w:t xml:space="preserve">sūdzības autors norāda, ka </w:t>
      </w:r>
      <w:r>
        <w:rPr>
          <w:rFonts w:cs="Times New Roman"/>
          <w:szCs w:val="24"/>
        </w:rPr>
        <w:t>tiesa nepareizi piemērojusi gan materiālās, gan procesuālās tiesību normas.</w:t>
      </w:r>
    </w:p>
    <w:p w:rsidR="002F414D" w:rsidRDefault="00E56E68" w:rsidP="00462860">
      <w:pPr>
        <w:autoSpaceDE w:val="0"/>
        <w:autoSpaceDN w:val="0"/>
        <w:adjustRightInd w:val="0"/>
        <w:spacing w:after="0" w:line="276" w:lineRule="auto"/>
        <w:ind w:firstLine="720"/>
        <w:jc w:val="both"/>
        <w:rPr>
          <w:szCs w:val="24"/>
        </w:rPr>
      </w:pPr>
      <w:r w:rsidRPr="008A5055">
        <w:rPr>
          <w:rFonts w:cs="Times New Roman"/>
          <w:szCs w:val="24"/>
        </w:rPr>
        <w:t>[</w:t>
      </w:r>
      <w:r>
        <w:rPr>
          <w:rFonts w:cs="Times New Roman"/>
          <w:szCs w:val="24"/>
        </w:rPr>
        <w:t>3.1</w:t>
      </w:r>
      <w:r w:rsidRPr="008A5055">
        <w:rPr>
          <w:rFonts w:cs="Times New Roman"/>
          <w:szCs w:val="24"/>
        </w:rPr>
        <w:t xml:space="preserve">] </w:t>
      </w:r>
      <w:r w:rsidR="002F414D">
        <w:rPr>
          <w:rFonts w:cs="Times New Roman"/>
          <w:szCs w:val="24"/>
        </w:rPr>
        <w:t>Pārstāvja ieskatā, tiesa nepareizi kvalificēj</w:t>
      </w:r>
      <w:r w:rsidR="006B18D8">
        <w:rPr>
          <w:rFonts w:cs="Times New Roman"/>
          <w:szCs w:val="24"/>
        </w:rPr>
        <w:t>a</w:t>
      </w:r>
      <w:r w:rsidR="002F414D">
        <w:rPr>
          <w:rFonts w:cs="Times New Roman"/>
          <w:szCs w:val="24"/>
        </w:rPr>
        <w:t xml:space="preserve"> noziedzīgo nodarījumu pēc</w:t>
      </w:r>
      <w:r w:rsidR="002F414D" w:rsidRPr="002F414D">
        <w:rPr>
          <w:szCs w:val="24"/>
        </w:rPr>
        <w:t xml:space="preserve"> </w:t>
      </w:r>
      <w:r w:rsidR="002F414D" w:rsidRPr="00E97689">
        <w:rPr>
          <w:szCs w:val="24"/>
        </w:rPr>
        <w:t xml:space="preserve">Krimināllikuma </w:t>
      </w:r>
      <w:proofErr w:type="gramStart"/>
      <w:r w:rsidR="002F414D">
        <w:rPr>
          <w:szCs w:val="24"/>
        </w:rPr>
        <w:t>126.panta</w:t>
      </w:r>
      <w:proofErr w:type="gramEnd"/>
      <w:r w:rsidR="002F414D">
        <w:rPr>
          <w:szCs w:val="24"/>
        </w:rPr>
        <w:t xml:space="preserve"> otrās daļas 1.punkta.</w:t>
      </w:r>
    </w:p>
    <w:p w:rsidR="00E960A5" w:rsidRDefault="002F414D" w:rsidP="00CB73C5">
      <w:pPr>
        <w:autoSpaceDE w:val="0"/>
        <w:autoSpaceDN w:val="0"/>
        <w:adjustRightInd w:val="0"/>
        <w:spacing w:after="0" w:line="276" w:lineRule="auto"/>
        <w:ind w:firstLine="720"/>
        <w:jc w:val="both"/>
        <w:rPr>
          <w:szCs w:val="24"/>
        </w:rPr>
      </w:pPr>
      <w:r>
        <w:rPr>
          <w:szCs w:val="24"/>
        </w:rPr>
        <w:t>Kasācijas sūdzības autors izklāst</w:t>
      </w:r>
      <w:r w:rsidR="00E960A5">
        <w:rPr>
          <w:szCs w:val="24"/>
        </w:rPr>
        <w:t>a</w:t>
      </w:r>
      <w:r>
        <w:rPr>
          <w:szCs w:val="24"/>
        </w:rPr>
        <w:t xml:space="preserve"> notikuma apstākļus un </w:t>
      </w:r>
      <w:r w:rsidR="006B18D8">
        <w:rPr>
          <w:szCs w:val="24"/>
        </w:rPr>
        <w:t>uzskata</w:t>
      </w:r>
      <w:r>
        <w:rPr>
          <w:szCs w:val="24"/>
        </w:rPr>
        <w:t xml:space="preserve">, ka apsūdzētā darbības būtu kvalificējamas kā </w:t>
      </w:r>
      <w:r w:rsidR="006B18D8">
        <w:rPr>
          <w:szCs w:val="24"/>
        </w:rPr>
        <w:t>četri</w:t>
      </w:r>
      <w:r>
        <w:rPr>
          <w:szCs w:val="24"/>
        </w:rPr>
        <w:t xml:space="preserve"> patstāvīgi noziedzīgi nodarījumi</w:t>
      </w:r>
      <w:r w:rsidR="006B18D8">
        <w:rPr>
          <w:szCs w:val="24"/>
        </w:rPr>
        <w:t xml:space="preserve"> – divi noziedzīgi nodarījumi pēc</w:t>
      </w:r>
      <w:r>
        <w:rPr>
          <w:szCs w:val="24"/>
        </w:rPr>
        <w:t xml:space="preserve"> </w:t>
      </w:r>
      <w:r w:rsidRPr="00E97689">
        <w:rPr>
          <w:szCs w:val="24"/>
        </w:rPr>
        <w:lastRenderedPageBreak/>
        <w:t xml:space="preserve">Krimināllikuma </w:t>
      </w:r>
      <w:proofErr w:type="gramStart"/>
      <w:r>
        <w:rPr>
          <w:szCs w:val="24"/>
        </w:rPr>
        <w:t>269.panta</w:t>
      </w:r>
      <w:proofErr w:type="gramEnd"/>
      <w:r>
        <w:rPr>
          <w:szCs w:val="24"/>
        </w:rPr>
        <w:t xml:space="preserve"> pirmās daļas</w:t>
      </w:r>
      <w:r w:rsidR="00E960A5">
        <w:rPr>
          <w:szCs w:val="24"/>
        </w:rPr>
        <w:t xml:space="preserve"> </w:t>
      </w:r>
      <w:r w:rsidR="00CB73C5">
        <w:rPr>
          <w:szCs w:val="24"/>
        </w:rPr>
        <w:t>un divi</w:t>
      </w:r>
      <w:r w:rsidR="00E960A5">
        <w:rPr>
          <w:szCs w:val="24"/>
        </w:rPr>
        <w:t xml:space="preserve"> noziedzīgi nodarījumi</w:t>
      </w:r>
      <w:r w:rsidR="00CB73C5">
        <w:rPr>
          <w:szCs w:val="24"/>
        </w:rPr>
        <w:t xml:space="preserve"> pēc Krimināllikuma </w:t>
      </w:r>
      <w:r>
        <w:rPr>
          <w:szCs w:val="24"/>
        </w:rPr>
        <w:t>270.panta pirmās daļas</w:t>
      </w:r>
      <w:r w:rsidR="00E960A5">
        <w:rPr>
          <w:szCs w:val="24"/>
        </w:rPr>
        <w:t xml:space="preserve"> un 126.panta otrās daļas 1.punkta.</w:t>
      </w:r>
    </w:p>
    <w:p w:rsidR="00E960A5" w:rsidRDefault="00E960A5" w:rsidP="00462860">
      <w:pPr>
        <w:autoSpaceDE w:val="0"/>
        <w:autoSpaceDN w:val="0"/>
        <w:adjustRightInd w:val="0"/>
        <w:spacing w:after="0" w:line="276" w:lineRule="auto"/>
        <w:ind w:firstLine="720"/>
        <w:jc w:val="both"/>
        <w:rPr>
          <w:szCs w:val="24"/>
        </w:rPr>
      </w:pPr>
      <w:r>
        <w:rPr>
          <w:szCs w:val="24"/>
        </w:rPr>
        <w:t xml:space="preserve">Pārstāvja ieskatā, pirmstiesas kriminālprocesā </w:t>
      </w:r>
      <w:r w:rsidR="00CB73C5">
        <w:rPr>
          <w:szCs w:val="24"/>
        </w:rPr>
        <w:t xml:space="preserve">apsūdzētais </w:t>
      </w:r>
      <w:r>
        <w:rPr>
          <w:szCs w:val="24"/>
        </w:rPr>
        <w:t>nepamatoti</w:t>
      </w:r>
      <w:r w:rsidR="00CB73C5">
        <w:rPr>
          <w:szCs w:val="24"/>
        </w:rPr>
        <w:t xml:space="preserve"> nav saukts pie kriminālatbildības </w:t>
      </w:r>
      <w:r>
        <w:rPr>
          <w:szCs w:val="24"/>
        </w:rPr>
        <w:t xml:space="preserve">pēc </w:t>
      </w:r>
      <w:r w:rsidRPr="00E97689">
        <w:rPr>
          <w:szCs w:val="24"/>
        </w:rPr>
        <w:t xml:space="preserve">Krimināllikuma </w:t>
      </w:r>
      <w:proofErr w:type="gramStart"/>
      <w:r>
        <w:rPr>
          <w:szCs w:val="24"/>
        </w:rPr>
        <w:t>269.panta</w:t>
      </w:r>
      <w:proofErr w:type="gramEnd"/>
      <w:r>
        <w:rPr>
          <w:szCs w:val="24"/>
        </w:rPr>
        <w:t xml:space="preserve"> pirmās daļas</w:t>
      </w:r>
      <w:r w:rsidR="00CB73C5">
        <w:rPr>
          <w:szCs w:val="24"/>
        </w:rPr>
        <w:t>. T</w:t>
      </w:r>
      <w:r>
        <w:rPr>
          <w:szCs w:val="24"/>
        </w:rPr>
        <w:t>iesa nepamatoti apstiprināj</w:t>
      </w:r>
      <w:r w:rsidR="00CB73C5">
        <w:rPr>
          <w:szCs w:val="24"/>
        </w:rPr>
        <w:t>a</w:t>
      </w:r>
      <w:r>
        <w:rPr>
          <w:szCs w:val="24"/>
        </w:rPr>
        <w:t xml:space="preserve"> vienošanos ar nepareizu apsūdzētā darbību kvalifikāciju.</w:t>
      </w:r>
    </w:p>
    <w:p w:rsidR="00E56E68" w:rsidRDefault="00E960A5" w:rsidP="00E56E68">
      <w:pPr>
        <w:autoSpaceDE w:val="0"/>
        <w:autoSpaceDN w:val="0"/>
        <w:adjustRightInd w:val="0"/>
        <w:spacing w:after="0" w:line="276" w:lineRule="auto"/>
        <w:ind w:firstLine="720"/>
        <w:jc w:val="both"/>
        <w:rPr>
          <w:rFonts w:cs="Times New Roman"/>
          <w:szCs w:val="24"/>
        </w:rPr>
      </w:pPr>
      <w:r w:rsidRPr="008A5055">
        <w:rPr>
          <w:rFonts w:cs="Times New Roman"/>
          <w:szCs w:val="24"/>
        </w:rPr>
        <w:t>[</w:t>
      </w:r>
      <w:r>
        <w:rPr>
          <w:rFonts w:cs="Times New Roman"/>
          <w:szCs w:val="24"/>
        </w:rPr>
        <w:t>3.2</w:t>
      </w:r>
      <w:r w:rsidRPr="008A5055">
        <w:rPr>
          <w:rFonts w:cs="Times New Roman"/>
          <w:szCs w:val="24"/>
        </w:rPr>
        <w:t>]</w:t>
      </w:r>
      <w:r>
        <w:rPr>
          <w:rFonts w:cs="Times New Roman"/>
          <w:szCs w:val="24"/>
        </w:rPr>
        <w:t xml:space="preserve"> Tiesa </w:t>
      </w:r>
      <w:r w:rsidR="00CB73C5">
        <w:rPr>
          <w:rFonts w:cs="Times New Roman"/>
          <w:szCs w:val="24"/>
        </w:rPr>
        <w:t xml:space="preserve">nepareizi piemēroja </w:t>
      </w:r>
      <w:r>
        <w:rPr>
          <w:rFonts w:cs="Times New Roman"/>
          <w:szCs w:val="24"/>
        </w:rPr>
        <w:t xml:space="preserve">Kriminālprocesa likuma 350., </w:t>
      </w:r>
      <w:proofErr w:type="gramStart"/>
      <w:r>
        <w:rPr>
          <w:rFonts w:cs="Times New Roman"/>
          <w:szCs w:val="24"/>
        </w:rPr>
        <w:t>351.pant</w:t>
      </w:r>
      <w:r w:rsidR="00CB73C5">
        <w:rPr>
          <w:rFonts w:cs="Times New Roman"/>
          <w:szCs w:val="24"/>
        </w:rPr>
        <w:t>u</w:t>
      </w:r>
      <w:proofErr w:type="gramEnd"/>
      <w:r w:rsidR="00CB73C5">
        <w:rPr>
          <w:rFonts w:cs="Times New Roman"/>
          <w:szCs w:val="24"/>
        </w:rPr>
        <w:t xml:space="preserve">. </w:t>
      </w:r>
      <w:r w:rsidR="00E56E68">
        <w:rPr>
          <w:rFonts w:cs="Times New Roman"/>
          <w:szCs w:val="24"/>
        </w:rPr>
        <w:t xml:space="preserve">Tiesas spriedums neatbilst </w:t>
      </w:r>
      <w:r w:rsidR="00E56E68" w:rsidRPr="00E960A5">
        <w:rPr>
          <w:rFonts w:cs="Times New Roman"/>
          <w:szCs w:val="24"/>
        </w:rPr>
        <w:t>Kriminālprocesa</w:t>
      </w:r>
      <w:r w:rsidR="00E56E68">
        <w:rPr>
          <w:rFonts w:cs="Times New Roman"/>
          <w:szCs w:val="24"/>
        </w:rPr>
        <w:t xml:space="preserve"> likuma </w:t>
      </w:r>
      <w:proofErr w:type="gramStart"/>
      <w:r w:rsidR="00E56E68">
        <w:rPr>
          <w:rFonts w:cs="Times New Roman"/>
          <w:szCs w:val="24"/>
        </w:rPr>
        <w:t>512.panta</w:t>
      </w:r>
      <w:proofErr w:type="gramEnd"/>
      <w:r w:rsidR="00E56E68">
        <w:rPr>
          <w:rFonts w:cs="Times New Roman"/>
          <w:szCs w:val="24"/>
        </w:rPr>
        <w:t xml:space="preserve"> prasībām.</w:t>
      </w:r>
    </w:p>
    <w:p w:rsidR="00E960A5" w:rsidRDefault="00E960A5" w:rsidP="00462860">
      <w:pPr>
        <w:autoSpaceDE w:val="0"/>
        <w:autoSpaceDN w:val="0"/>
        <w:adjustRightInd w:val="0"/>
        <w:spacing w:after="0" w:line="276" w:lineRule="auto"/>
        <w:ind w:firstLine="720"/>
        <w:jc w:val="both"/>
        <w:rPr>
          <w:rFonts w:cs="Times New Roman"/>
          <w:szCs w:val="24"/>
        </w:rPr>
      </w:pPr>
      <w:r>
        <w:rPr>
          <w:rFonts w:cs="Times New Roman"/>
          <w:szCs w:val="24"/>
        </w:rPr>
        <w:t xml:space="preserve">Cietušais līdz tiesas izmeklēšanas uzsākšanai </w:t>
      </w:r>
      <w:proofErr w:type="gramStart"/>
      <w:r>
        <w:rPr>
          <w:rFonts w:cs="Times New Roman"/>
          <w:szCs w:val="24"/>
        </w:rPr>
        <w:t>2018.gada</w:t>
      </w:r>
      <w:proofErr w:type="gramEnd"/>
      <w:r>
        <w:rPr>
          <w:rFonts w:cs="Times New Roman"/>
          <w:szCs w:val="24"/>
        </w:rPr>
        <w:t xml:space="preserve"> 26.jūnijā tiesā iesniedza kaitējuma kompensācijas pieteikumu, taču tiesa spriedumā nepamatoti norādīj</w:t>
      </w:r>
      <w:r w:rsidR="00CB73C5">
        <w:rPr>
          <w:rFonts w:cs="Times New Roman"/>
          <w:szCs w:val="24"/>
        </w:rPr>
        <w:t>a</w:t>
      </w:r>
      <w:r>
        <w:rPr>
          <w:rFonts w:cs="Times New Roman"/>
          <w:szCs w:val="24"/>
        </w:rPr>
        <w:t>, ka cietušais kaitējuma kompensāciju kriminālprocesā nav pieteicis.</w:t>
      </w:r>
    </w:p>
    <w:p w:rsidR="00E960A5" w:rsidRDefault="00E960A5" w:rsidP="00E960A5">
      <w:pPr>
        <w:autoSpaceDE w:val="0"/>
        <w:autoSpaceDN w:val="0"/>
        <w:adjustRightInd w:val="0"/>
        <w:spacing w:after="0" w:line="276" w:lineRule="auto"/>
        <w:ind w:firstLine="720"/>
        <w:jc w:val="both"/>
        <w:rPr>
          <w:rFonts w:cs="Times New Roman"/>
          <w:szCs w:val="24"/>
        </w:rPr>
      </w:pPr>
      <w:r>
        <w:rPr>
          <w:rFonts w:cs="Times New Roman"/>
          <w:szCs w:val="24"/>
        </w:rPr>
        <w:t>Pārstāvja ieskatā, tiesa nepamatot</w:t>
      </w:r>
      <w:r w:rsidR="00CB73C5">
        <w:rPr>
          <w:rFonts w:cs="Times New Roman"/>
          <w:szCs w:val="24"/>
        </w:rPr>
        <w:t>i atzina</w:t>
      </w:r>
      <w:r>
        <w:rPr>
          <w:rFonts w:cs="Times New Roman"/>
          <w:szCs w:val="24"/>
        </w:rPr>
        <w:t>, ka</w:t>
      </w:r>
      <w:r w:rsidRPr="00E960A5">
        <w:rPr>
          <w:rFonts w:cs="Times New Roman"/>
          <w:szCs w:val="24"/>
        </w:rPr>
        <w:t xml:space="preserve"> Kriminālprocesa</w:t>
      </w:r>
      <w:r w:rsidR="00720797">
        <w:rPr>
          <w:rFonts w:cs="Times New Roman"/>
          <w:szCs w:val="24"/>
        </w:rPr>
        <w:t xml:space="preserve"> likuma</w:t>
      </w:r>
      <w:r w:rsidRPr="00E960A5">
        <w:rPr>
          <w:rFonts w:cs="Times New Roman"/>
          <w:szCs w:val="24"/>
        </w:rPr>
        <w:t xml:space="preserve"> 540.</w:t>
      </w:r>
      <w:proofErr w:type="gramStart"/>
      <w:r w:rsidRPr="00E960A5">
        <w:rPr>
          <w:rFonts w:cs="Times New Roman"/>
          <w:szCs w:val="24"/>
          <w:vertAlign w:val="superscript"/>
        </w:rPr>
        <w:t>1</w:t>
      </w:r>
      <w:r>
        <w:rPr>
          <w:rFonts w:cs="Times New Roman"/>
          <w:szCs w:val="24"/>
        </w:rPr>
        <w:t>panta</w:t>
      </w:r>
      <w:proofErr w:type="gramEnd"/>
      <w:r>
        <w:rPr>
          <w:rFonts w:cs="Times New Roman"/>
          <w:szCs w:val="24"/>
        </w:rPr>
        <w:t xml:space="preserve"> otrās daļas 1.punkts </w:t>
      </w:r>
      <w:r w:rsidRPr="00E960A5">
        <w:rPr>
          <w:rFonts w:cs="Times New Roman"/>
          <w:szCs w:val="24"/>
        </w:rPr>
        <w:t>neparedz cietušajam tiesības iesniegt kaitējuma</w:t>
      </w:r>
      <w:r>
        <w:rPr>
          <w:rFonts w:cs="Times New Roman"/>
          <w:szCs w:val="24"/>
        </w:rPr>
        <w:t xml:space="preserve"> </w:t>
      </w:r>
      <w:r w:rsidRPr="00E960A5">
        <w:rPr>
          <w:rFonts w:cs="Times New Roman"/>
          <w:szCs w:val="24"/>
        </w:rPr>
        <w:t>kompensāciju krimināllietā, kurā pirmstiesas procesā ir noslēgta vienošanās, un krimināllieta</w:t>
      </w:r>
      <w:r>
        <w:rPr>
          <w:rFonts w:cs="Times New Roman"/>
          <w:szCs w:val="24"/>
        </w:rPr>
        <w:t xml:space="preserve"> </w:t>
      </w:r>
      <w:r w:rsidRPr="00E960A5">
        <w:rPr>
          <w:rFonts w:cs="Times New Roman"/>
          <w:szCs w:val="24"/>
        </w:rPr>
        <w:t>jau atrodas tiesā</w:t>
      </w:r>
      <w:r>
        <w:rPr>
          <w:rFonts w:cs="Times New Roman"/>
          <w:szCs w:val="24"/>
        </w:rPr>
        <w:t>.</w:t>
      </w:r>
    </w:p>
    <w:p w:rsidR="00720797" w:rsidRDefault="00720797" w:rsidP="00462860">
      <w:pPr>
        <w:autoSpaceDE w:val="0"/>
        <w:autoSpaceDN w:val="0"/>
        <w:adjustRightInd w:val="0"/>
        <w:spacing w:after="0" w:line="276" w:lineRule="auto"/>
        <w:ind w:firstLine="720"/>
        <w:jc w:val="both"/>
        <w:rPr>
          <w:rFonts w:cs="Times New Roman"/>
          <w:szCs w:val="24"/>
        </w:rPr>
      </w:pPr>
    </w:p>
    <w:p w:rsidR="00462860" w:rsidRPr="008A5055" w:rsidRDefault="00462860" w:rsidP="00462860">
      <w:pPr>
        <w:tabs>
          <w:tab w:val="left" w:pos="-3120"/>
        </w:tabs>
        <w:suppressAutoHyphens/>
        <w:spacing w:after="0" w:line="276" w:lineRule="auto"/>
        <w:jc w:val="center"/>
        <w:rPr>
          <w:rFonts w:cs="Times New Roman"/>
          <w:b/>
          <w:szCs w:val="24"/>
        </w:rPr>
      </w:pPr>
      <w:r w:rsidRPr="008A5055">
        <w:rPr>
          <w:rFonts w:cs="Times New Roman"/>
          <w:b/>
          <w:szCs w:val="24"/>
        </w:rPr>
        <w:t>Motīvu daļa</w:t>
      </w:r>
    </w:p>
    <w:p w:rsidR="00462860" w:rsidRPr="008A5055" w:rsidRDefault="00462860" w:rsidP="00462860">
      <w:pPr>
        <w:spacing w:after="0" w:line="276" w:lineRule="auto"/>
        <w:jc w:val="center"/>
        <w:rPr>
          <w:rFonts w:cs="Times New Roman"/>
          <w:b/>
          <w:szCs w:val="24"/>
        </w:rPr>
      </w:pPr>
    </w:p>
    <w:p w:rsidR="00D83AD9" w:rsidRDefault="00462860" w:rsidP="00462860">
      <w:pPr>
        <w:spacing w:after="0" w:line="276" w:lineRule="auto"/>
        <w:ind w:firstLine="709"/>
        <w:jc w:val="both"/>
        <w:rPr>
          <w:szCs w:val="24"/>
        </w:rPr>
      </w:pPr>
      <w:r>
        <w:rPr>
          <w:szCs w:val="24"/>
        </w:rPr>
        <w:t>[</w:t>
      </w:r>
      <w:r w:rsidR="00E56E68">
        <w:rPr>
          <w:szCs w:val="24"/>
        </w:rPr>
        <w:t>4</w:t>
      </w:r>
      <w:r>
        <w:rPr>
          <w:szCs w:val="24"/>
        </w:rPr>
        <w:t>]</w:t>
      </w:r>
      <w:r w:rsidRPr="008E23E9">
        <w:rPr>
          <w:szCs w:val="24"/>
        </w:rPr>
        <w:t xml:space="preserve"> </w:t>
      </w:r>
      <w:r>
        <w:rPr>
          <w:szCs w:val="24"/>
        </w:rPr>
        <w:t>Senāts</w:t>
      </w:r>
      <w:r w:rsidRPr="008E23E9">
        <w:rPr>
          <w:szCs w:val="24"/>
        </w:rPr>
        <w:t xml:space="preserve"> atz</w:t>
      </w:r>
      <w:r>
        <w:rPr>
          <w:szCs w:val="24"/>
        </w:rPr>
        <w:t xml:space="preserve">īst, ka </w:t>
      </w:r>
      <w:r w:rsidR="008E1B42">
        <w:t>[pirmās instances]</w:t>
      </w:r>
      <w:r w:rsidR="00D83AD9">
        <w:t xml:space="preserve"> tiesas </w:t>
      </w:r>
      <w:proofErr w:type="gramStart"/>
      <w:r w:rsidR="00D83AD9">
        <w:t>2018.gada</w:t>
      </w:r>
      <w:proofErr w:type="gramEnd"/>
      <w:r w:rsidR="00D83AD9">
        <w:t xml:space="preserve"> </w:t>
      </w:r>
      <w:r w:rsidR="008E1B42">
        <w:t>[..]</w:t>
      </w:r>
      <w:r w:rsidR="00D83AD9">
        <w:t xml:space="preserve"> spriedums</w:t>
      </w:r>
      <w:r w:rsidR="00D83AD9" w:rsidRPr="008E23E9">
        <w:rPr>
          <w:szCs w:val="24"/>
        </w:rPr>
        <w:t xml:space="preserve"> </w:t>
      </w:r>
      <w:r w:rsidRPr="008E23E9">
        <w:rPr>
          <w:szCs w:val="24"/>
        </w:rPr>
        <w:t>atceļams pilnībā un lieta nosūtāma jaunai izskatīšanai</w:t>
      </w:r>
      <w:r w:rsidR="00D83AD9">
        <w:rPr>
          <w:szCs w:val="24"/>
        </w:rPr>
        <w:t xml:space="preserve"> pirmās instances tiesā.</w:t>
      </w:r>
    </w:p>
    <w:p w:rsidR="00D50457" w:rsidRDefault="00462860" w:rsidP="00462860">
      <w:pPr>
        <w:spacing w:after="0" w:line="276" w:lineRule="auto"/>
        <w:ind w:firstLine="709"/>
        <w:jc w:val="both"/>
        <w:rPr>
          <w:szCs w:val="24"/>
        </w:rPr>
      </w:pPr>
      <w:r w:rsidRPr="008E23E9">
        <w:rPr>
          <w:szCs w:val="24"/>
        </w:rPr>
        <w:t>[</w:t>
      </w:r>
      <w:r w:rsidR="00E56E68">
        <w:rPr>
          <w:szCs w:val="24"/>
        </w:rPr>
        <w:t>4</w:t>
      </w:r>
      <w:r w:rsidRPr="008E23E9">
        <w:rPr>
          <w:szCs w:val="24"/>
        </w:rPr>
        <w:t xml:space="preserve">.1] </w:t>
      </w:r>
      <w:r w:rsidR="00D50457">
        <w:rPr>
          <w:szCs w:val="24"/>
        </w:rPr>
        <w:t>Viens no kriminālprocesa pamatprincipiem ir tiesības uz kompensāciju par radīto kaitējumu.</w:t>
      </w:r>
    </w:p>
    <w:p w:rsidR="00D50457" w:rsidRDefault="00D50457" w:rsidP="00462860">
      <w:pPr>
        <w:spacing w:after="0" w:line="276" w:lineRule="auto"/>
        <w:ind w:firstLine="709"/>
        <w:jc w:val="both"/>
        <w:rPr>
          <w:szCs w:val="24"/>
        </w:rPr>
      </w:pPr>
      <w:r>
        <w:rPr>
          <w:szCs w:val="24"/>
        </w:rPr>
        <w:t xml:space="preserve">Kriminālprocesa likuma </w:t>
      </w:r>
      <w:proofErr w:type="gramStart"/>
      <w:r>
        <w:rPr>
          <w:szCs w:val="24"/>
        </w:rPr>
        <w:t>22.pants</w:t>
      </w:r>
      <w:proofErr w:type="gramEnd"/>
      <w:r>
        <w:rPr>
          <w:szCs w:val="24"/>
        </w:rPr>
        <w:t xml:space="preserve"> noteic, ka p</w:t>
      </w:r>
      <w:r w:rsidRPr="00D50457">
        <w:rPr>
          <w:szCs w:val="24"/>
        </w:rPr>
        <w:t>ersonai, kurai ar noziedzīgu nodarījumu radīts kaitējums, ņemot vērā tās morālo aizskārumu, fiziskās ciešanas un mantisko zaudējumu, tiek garantētas procesuālās iespējas morālas un materiālas kompensācijas pieprasīšanai un saņemšanai.</w:t>
      </w:r>
    </w:p>
    <w:p w:rsidR="00D83AD9" w:rsidRDefault="00462860" w:rsidP="00462860">
      <w:pPr>
        <w:spacing w:after="0" w:line="276" w:lineRule="auto"/>
        <w:ind w:firstLine="709"/>
        <w:jc w:val="both"/>
        <w:rPr>
          <w:szCs w:val="24"/>
        </w:rPr>
      </w:pPr>
      <w:r>
        <w:rPr>
          <w:szCs w:val="24"/>
        </w:rPr>
        <w:t xml:space="preserve">Kriminālprocesa likuma </w:t>
      </w:r>
      <w:proofErr w:type="gramStart"/>
      <w:r w:rsidR="00D83AD9">
        <w:rPr>
          <w:szCs w:val="24"/>
        </w:rPr>
        <w:t>351.panta</w:t>
      </w:r>
      <w:proofErr w:type="gramEnd"/>
      <w:r w:rsidR="00D83AD9">
        <w:rPr>
          <w:szCs w:val="24"/>
        </w:rPr>
        <w:t xml:space="preserve"> pirmās daļas pirmajā teikumā norādīts, ka</w:t>
      </w:r>
      <w:r w:rsidR="00D83AD9" w:rsidRPr="00D83AD9">
        <w:t xml:space="preserve"> </w:t>
      </w:r>
      <w:r w:rsidR="00D83AD9">
        <w:rPr>
          <w:szCs w:val="24"/>
        </w:rPr>
        <w:t>c</w:t>
      </w:r>
      <w:r w:rsidR="00D83AD9" w:rsidRPr="00D83AD9">
        <w:rPr>
          <w:szCs w:val="24"/>
        </w:rPr>
        <w:t>ietušajam ir tiesības iesniegt pieteikumu par radītā kaitējuma kompensāciju jebkurā kriminālprocesa stadijā līdz tiesas izmeklēšanas uzsākšanai pirmās instances tiesā.</w:t>
      </w:r>
    </w:p>
    <w:p w:rsidR="00D50457" w:rsidRDefault="00D50457" w:rsidP="00D50457">
      <w:pPr>
        <w:spacing w:after="0" w:line="276" w:lineRule="auto"/>
        <w:ind w:firstLine="709"/>
        <w:jc w:val="both"/>
        <w:rPr>
          <w:szCs w:val="24"/>
        </w:rPr>
      </w:pPr>
      <w:r>
        <w:rPr>
          <w:szCs w:val="24"/>
        </w:rPr>
        <w:t xml:space="preserve">Kriminālprocesa likuma </w:t>
      </w:r>
      <w:proofErr w:type="gramStart"/>
      <w:r>
        <w:rPr>
          <w:szCs w:val="24"/>
        </w:rPr>
        <w:t>543.panta</w:t>
      </w:r>
      <w:proofErr w:type="gramEnd"/>
      <w:r>
        <w:rPr>
          <w:szCs w:val="24"/>
        </w:rPr>
        <w:t xml:space="preserve"> trešās daļas 7.punktā noteikts, ka, taisot spriedumu vienošanās procesā, sprieduma rezolutīvajā daļā jānorāda tiesas lēmumu par kaitējuma kompensāciju</w:t>
      </w:r>
      <w:r w:rsidRPr="00F34BC5">
        <w:rPr>
          <w:szCs w:val="24"/>
        </w:rPr>
        <w:t>, tai skaitā valsts izmaksātās kompensācijas apmēru</w:t>
      </w:r>
      <w:r>
        <w:rPr>
          <w:szCs w:val="24"/>
        </w:rPr>
        <w:t>.</w:t>
      </w:r>
    </w:p>
    <w:p w:rsidR="00E11D07" w:rsidRDefault="00D83AD9" w:rsidP="00462860">
      <w:pPr>
        <w:spacing w:after="0" w:line="276" w:lineRule="auto"/>
        <w:ind w:firstLine="709"/>
        <w:jc w:val="both"/>
        <w:rPr>
          <w:szCs w:val="24"/>
        </w:rPr>
      </w:pPr>
      <w:r>
        <w:rPr>
          <w:szCs w:val="24"/>
        </w:rPr>
        <w:t xml:space="preserve">Kasācijas instances tiesa </w:t>
      </w:r>
      <w:r w:rsidR="00D50457">
        <w:rPr>
          <w:szCs w:val="24"/>
        </w:rPr>
        <w:t>atzīst</w:t>
      </w:r>
      <w:r>
        <w:rPr>
          <w:szCs w:val="24"/>
        </w:rPr>
        <w:t>, ka, izskatot lietu un apstiprinot prokurora un apsūdzētā noslēgto vienošanos, tiesa pārkāp</w:t>
      </w:r>
      <w:r w:rsidR="00D50457">
        <w:rPr>
          <w:szCs w:val="24"/>
        </w:rPr>
        <w:t>a</w:t>
      </w:r>
      <w:r>
        <w:rPr>
          <w:szCs w:val="24"/>
        </w:rPr>
        <w:t xml:space="preserve"> Kriminālprocesa likuma </w:t>
      </w:r>
      <w:proofErr w:type="gramStart"/>
      <w:r w:rsidR="00D50457">
        <w:rPr>
          <w:szCs w:val="24"/>
        </w:rPr>
        <w:t>22.panta</w:t>
      </w:r>
      <w:proofErr w:type="gramEnd"/>
      <w:r w:rsidR="00D50457">
        <w:rPr>
          <w:szCs w:val="24"/>
        </w:rPr>
        <w:t>, 351.panta pirmās daļas, 543.panta trešā</w:t>
      </w:r>
      <w:r w:rsidR="00AD296C">
        <w:rPr>
          <w:szCs w:val="24"/>
        </w:rPr>
        <w:t>s</w:t>
      </w:r>
      <w:r w:rsidR="00D50457">
        <w:rPr>
          <w:szCs w:val="24"/>
        </w:rPr>
        <w:t xml:space="preserve"> daļas</w:t>
      </w:r>
      <w:r w:rsidR="00AD296C">
        <w:rPr>
          <w:szCs w:val="24"/>
        </w:rPr>
        <w:t xml:space="preserve"> 7.punkta </w:t>
      </w:r>
      <w:r>
        <w:rPr>
          <w:szCs w:val="24"/>
        </w:rPr>
        <w:t>prasības, kas konkrētajā lietā atzīstams par Kriminālprocesa likuma būtisku pārkāpumu šā likuma 575.panta trešās daļas izpratnē</w:t>
      </w:r>
      <w:r w:rsidR="00E11D07">
        <w:rPr>
          <w:szCs w:val="24"/>
        </w:rPr>
        <w:t xml:space="preserve">, </w:t>
      </w:r>
      <w:r w:rsidR="00EA03C8">
        <w:rPr>
          <w:szCs w:val="24"/>
        </w:rPr>
        <w:t xml:space="preserve">un </w:t>
      </w:r>
      <w:r w:rsidR="00E11D07">
        <w:rPr>
          <w:szCs w:val="24"/>
        </w:rPr>
        <w:t>noveda pie nelikumīga nolēmuma</w:t>
      </w:r>
      <w:r w:rsidR="00EA03C8">
        <w:rPr>
          <w:szCs w:val="24"/>
        </w:rPr>
        <w:t>,</w:t>
      </w:r>
      <w:r w:rsidR="00E11D07">
        <w:rPr>
          <w:szCs w:val="24"/>
        </w:rPr>
        <w:t xml:space="preserve"> un ir pamats sprieduma atcelšanai.</w:t>
      </w:r>
    </w:p>
    <w:p w:rsidR="00E11D07" w:rsidRDefault="00E11D07" w:rsidP="00E11D07">
      <w:pPr>
        <w:spacing w:after="0" w:line="276" w:lineRule="auto"/>
        <w:ind w:firstLine="709"/>
        <w:jc w:val="both"/>
        <w:rPr>
          <w:szCs w:val="24"/>
        </w:rPr>
      </w:pPr>
      <w:r>
        <w:rPr>
          <w:szCs w:val="24"/>
        </w:rPr>
        <w:t xml:space="preserve">No lietā esošajiem dokumentiem redzams, ka prokurors pirmstiesas kriminālprocesā noslēdza vienošanos ar apsūdzēto </w:t>
      </w:r>
      <w:r w:rsidR="008E1B42">
        <w:rPr>
          <w:szCs w:val="24"/>
        </w:rPr>
        <w:t>[pers. C]</w:t>
      </w:r>
      <w:r>
        <w:rPr>
          <w:szCs w:val="24"/>
        </w:rPr>
        <w:t xml:space="preserve"> par vainas atzīšanu un sodu. Lieta nosūtīta tiesai </w:t>
      </w:r>
      <w:proofErr w:type="gramStart"/>
      <w:r>
        <w:rPr>
          <w:szCs w:val="24"/>
        </w:rPr>
        <w:t>2018.gada</w:t>
      </w:r>
      <w:proofErr w:type="gramEnd"/>
      <w:r>
        <w:rPr>
          <w:szCs w:val="24"/>
        </w:rPr>
        <w:t xml:space="preserve"> </w:t>
      </w:r>
      <w:r w:rsidR="008E1B42">
        <w:rPr>
          <w:szCs w:val="24"/>
        </w:rPr>
        <w:t>[..]</w:t>
      </w:r>
      <w:r w:rsidR="00D83AD9">
        <w:rPr>
          <w:szCs w:val="24"/>
        </w:rPr>
        <w:t>.</w:t>
      </w:r>
      <w:r w:rsidR="00AD296C">
        <w:rPr>
          <w:szCs w:val="24"/>
        </w:rPr>
        <w:t xml:space="preserve"> </w:t>
      </w:r>
      <w:r>
        <w:rPr>
          <w:szCs w:val="24"/>
        </w:rPr>
        <w:t>Cietušais kaitējuma kompensācij</w:t>
      </w:r>
      <w:r w:rsidR="00EA03C8">
        <w:rPr>
          <w:szCs w:val="24"/>
        </w:rPr>
        <w:t>as pieteikumu</w:t>
      </w:r>
      <w:r>
        <w:rPr>
          <w:szCs w:val="24"/>
        </w:rPr>
        <w:t xml:space="preserve"> tiesā iesniedz</w:t>
      </w:r>
      <w:r w:rsidR="00AD296C">
        <w:rPr>
          <w:szCs w:val="24"/>
        </w:rPr>
        <w:t>a</w:t>
      </w:r>
      <w:r>
        <w:rPr>
          <w:szCs w:val="24"/>
        </w:rPr>
        <w:t xml:space="preserve"> </w:t>
      </w:r>
      <w:proofErr w:type="gramStart"/>
      <w:r>
        <w:rPr>
          <w:szCs w:val="24"/>
        </w:rPr>
        <w:t>2018.gada</w:t>
      </w:r>
      <w:proofErr w:type="gramEnd"/>
      <w:r>
        <w:rPr>
          <w:szCs w:val="24"/>
        </w:rPr>
        <w:t xml:space="preserve"> </w:t>
      </w:r>
      <w:r w:rsidR="008E1B42">
        <w:rPr>
          <w:szCs w:val="24"/>
        </w:rPr>
        <w:t>[..]</w:t>
      </w:r>
      <w:r>
        <w:rPr>
          <w:szCs w:val="24"/>
        </w:rPr>
        <w:t xml:space="preserve"> (</w:t>
      </w:r>
      <w:r w:rsidRPr="00EA03C8">
        <w:rPr>
          <w:i/>
          <w:szCs w:val="24"/>
        </w:rPr>
        <w:t>2.sējuma 15.–18.lapa</w:t>
      </w:r>
      <w:r>
        <w:rPr>
          <w:szCs w:val="24"/>
        </w:rPr>
        <w:t>).</w:t>
      </w:r>
    </w:p>
    <w:p w:rsidR="00AD296C" w:rsidRDefault="00E11D07" w:rsidP="00E11D07">
      <w:pPr>
        <w:spacing w:after="0" w:line="276" w:lineRule="auto"/>
        <w:ind w:firstLine="709"/>
        <w:jc w:val="both"/>
        <w:rPr>
          <w:szCs w:val="24"/>
        </w:rPr>
      </w:pPr>
      <w:r>
        <w:rPr>
          <w:szCs w:val="24"/>
        </w:rPr>
        <w:t xml:space="preserve">Lieta izskatīta tiesas sēdē un spriedums taisīts </w:t>
      </w:r>
      <w:proofErr w:type="gramStart"/>
      <w:r>
        <w:rPr>
          <w:szCs w:val="24"/>
        </w:rPr>
        <w:t>2018.gada</w:t>
      </w:r>
      <w:proofErr w:type="gramEnd"/>
      <w:r>
        <w:rPr>
          <w:szCs w:val="24"/>
        </w:rPr>
        <w:t xml:space="preserve"> </w:t>
      </w:r>
      <w:r w:rsidR="008E1B42">
        <w:rPr>
          <w:szCs w:val="24"/>
        </w:rPr>
        <w:t>[..]</w:t>
      </w:r>
      <w:r>
        <w:rPr>
          <w:szCs w:val="24"/>
        </w:rPr>
        <w:t>.</w:t>
      </w:r>
    </w:p>
    <w:p w:rsidR="00AD296C" w:rsidRDefault="00AD296C" w:rsidP="00AD296C">
      <w:pPr>
        <w:spacing w:after="0" w:line="276" w:lineRule="auto"/>
        <w:ind w:firstLine="709"/>
        <w:jc w:val="both"/>
        <w:rPr>
          <w:szCs w:val="24"/>
        </w:rPr>
      </w:pPr>
      <w:r>
        <w:rPr>
          <w:szCs w:val="24"/>
        </w:rPr>
        <w:t xml:space="preserve">Augstākās tiesas Senāts </w:t>
      </w:r>
      <w:proofErr w:type="gramStart"/>
      <w:r>
        <w:rPr>
          <w:szCs w:val="24"/>
        </w:rPr>
        <w:t>2010.gada</w:t>
      </w:r>
      <w:proofErr w:type="gramEnd"/>
      <w:r>
        <w:rPr>
          <w:szCs w:val="24"/>
        </w:rPr>
        <w:t xml:space="preserve"> 7.jūnija lēmumā lietā Nr. SKK-252/2010 atzina, ka vienošanās par nodarītā kaitējuma atlīdzināšanu ir būtiska vienošanās protokola sastāvdaļa </w:t>
      </w:r>
      <w:r w:rsidRPr="006D2117">
        <w:rPr>
          <w:szCs w:val="24"/>
        </w:rPr>
        <w:t>(</w:t>
      </w:r>
      <w:r w:rsidRPr="00F34BC5">
        <w:rPr>
          <w:i/>
          <w:szCs w:val="24"/>
        </w:rPr>
        <w:t>Augstākās tiesas Senāta 2010.gada 7.jūnija lēmums lietā Nr. SKK</w:t>
      </w:r>
      <w:r w:rsidRPr="00F34BC5">
        <w:rPr>
          <w:i/>
          <w:szCs w:val="24"/>
        </w:rPr>
        <w:noBreakHyphen/>
        <w:t>252/2010 (15830511106)</w:t>
      </w:r>
      <w:r w:rsidRPr="00F34BC5">
        <w:rPr>
          <w:szCs w:val="24"/>
        </w:rPr>
        <w:t>).</w:t>
      </w:r>
    </w:p>
    <w:p w:rsidR="00F34BC5" w:rsidRDefault="00E11D07" w:rsidP="00462860">
      <w:pPr>
        <w:spacing w:after="0" w:line="276" w:lineRule="auto"/>
        <w:ind w:firstLine="709"/>
        <w:jc w:val="both"/>
        <w:rPr>
          <w:szCs w:val="24"/>
        </w:rPr>
      </w:pPr>
      <w:r>
        <w:rPr>
          <w:szCs w:val="24"/>
        </w:rPr>
        <w:t xml:space="preserve">Kriminālprocesa likuma </w:t>
      </w:r>
      <w:proofErr w:type="gramStart"/>
      <w:r>
        <w:rPr>
          <w:szCs w:val="24"/>
        </w:rPr>
        <w:t>437.panta</w:t>
      </w:r>
      <w:proofErr w:type="gramEnd"/>
      <w:r>
        <w:rPr>
          <w:szCs w:val="24"/>
        </w:rPr>
        <w:t xml:space="preserve"> pirmās daļas 6.punkts noteic, ka</w:t>
      </w:r>
      <w:r w:rsidR="00F34BC5">
        <w:rPr>
          <w:szCs w:val="24"/>
        </w:rPr>
        <w:t xml:space="preserve"> v</w:t>
      </w:r>
      <w:r w:rsidRPr="00E11D07">
        <w:rPr>
          <w:szCs w:val="24"/>
        </w:rPr>
        <w:t>ienošanās protokolā norāda ar noziedzīgu nodarījumu radītā kaitējuma apmēru un vienošanos par tā atlīdzināšanu</w:t>
      </w:r>
      <w:r w:rsidR="00F34BC5">
        <w:rPr>
          <w:szCs w:val="24"/>
        </w:rPr>
        <w:t>.</w:t>
      </w:r>
    </w:p>
    <w:p w:rsidR="00461D46" w:rsidRDefault="00F34BC5" w:rsidP="00F34BC5">
      <w:pPr>
        <w:spacing w:after="0" w:line="276" w:lineRule="auto"/>
        <w:ind w:firstLine="709"/>
        <w:jc w:val="both"/>
        <w:rPr>
          <w:szCs w:val="24"/>
        </w:rPr>
      </w:pPr>
      <w:r>
        <w:rPr>
          <w:szCs w:val="24"/>
        </w:rPr>
        <w:lastRenderedPageBreak/>
        <w:t xml:space="preserve">Senāts jau iepriekš savos lēmumos izteicis atziņas kā jārīkojas tiesai gadījumā, kad prokurors un apsūdzētais noslēguši vienošanos par vainas atzīšanu un sodu, bet cietušais kaitējuma kompensācijas pieteikumu iesniedzis tiesā, ievērojot Kriminālprocesa likuma </w:t>
      </w:r>
      <w:proofErr w:type="gramStart"/>
      <w:r>
        <w:rPr>
          <w:szCs w:val="24"/>
        </w:rPr>
        <w:t>351.panta</w:t>
      </w:r>
      <w:proofErr w:type="gramEnd"/>
      <w:r>
        <w:rPr>
          <w:szCs w:val="24"/>
        </w:rPr>
        <w:t xml:space="preserve"> pirmajā daļā</w:t>
      </w:r>
      <w:r w:rsidR="00461D46">
        <w:rPr>
          <w:szCs w:val="24"/>
        </w:rPr>
        <w:t xml:space="preserve"> noteiktās prasības.</w:t>
      </w:r>
    </w:p>
    <w:p w:rsidR="00461D46" w:rsidRDefault="00461D46" w:rsidP="00F34BC5">
      <w:pPr>
        <w:spacing w:after="0" w:line="276" w:lineRule="auto"/>
        <w:ind w:firstLine="709"/>
        <w:jc w:val="both"/>
        <w:rPr>
          <w:szCs w:val="24"/>
        </w:rPr>
      </w:pPr>
      <w:r>
        <w:rPr>
          <w:szCs w:val="24"/>
        </w:rPr>
        <w:t xml:space="preserve">Senāts norādīja, ka gadījumā, ja </w:t>
      </w:r>
      <w:r w:rsidR="000A52F4" w:rsidRPr="000A52F4">
        <w:rPr>
          <w:szCs w:val="24"/>
        </w:rPr>
        <w:t>kompensācijas pieteikums iesniegts laikā, kad krimināllieta par pirmstiesas procesā slēgtu vienošanos atrodas tiesā, tiesai jādod iespēja līdz tiesas izmeklēšanas sākumam prokuroram ar apsūdzēto noslēgt papildus vienošanos par kaitējuma apmēru un tā atlīdzināšanu</w:t>
      </w:r>
      <w:r w:rsidR="000A52F4">
        <w:rPr>
          <w:szCs w:val="24"/>
        </w:rPr>
        <w:t xml:space="preserve"> (</w:t>
      </w:r>
      <w:r w:rsidR="000A52F4" w:rsidRPr="00F34BC5">
        <w:rPr>
          <w:i/>
          <w:szCs w:val="24"/>
        </w:rPr>
        <w:t xml:space="preserve">Augstākās tiesas Senāta </w:t>
      </w:r>
      <w:proofErr w:type="gramStart"/>
      <w:r w:rsidR="000A52F4" w:rsidRPr="00F34BC5">
        <w:rPr>
          <w:i/>
          <w:szCs w:val="24"/>
        </w:rPr>
        <w:t>20</w:t>
      </w:r>
      <w:r w:rsidR="000A52F4">
        <w:rPr>
          <w:i/>
          <w:szCs w:val="24"/>
        </w:rPr>
        <w:t>06</w:t>
      </w:r>
      <w:r w:rsidR="000A52F4" w:rsidRPr="00F34BC5">
        <w:rPr>
          <w:i/>
          <w:szCs w:val="24"/>
        </w:rPr>
        <w:t>.gada</w:t>
      </w:r>
      <w:proofErr w:type="gramEnd"/>
      <w:r w:rsidR="000A52F4" w:rsidRPr="00F34BC5">
        <w:rPr>
          <w:i/>
          <w:szCs w:val="24"/>
        </w:rPr>
        <w:t xml:space="preserve"> </w:t>
      </w:r>
      <w:r w:rsidR="008A3223">
        <w:rPr>
          <w:i/>
          <w:szCs w:val="24"/>
        </w:rPr>
        <w:t>27.aprīļa</w:t>
      </w:r>
      <w:r w:rsidR="000A52F4" w:rsidRPr="00F34BC5">
        <w:rPr>
          <w:i/>
          <w:szCs w:val="24"/>
        </w:rPr>
        <w:t xml:space="preserve"> lēmums lietā Nr. SKK</w:t>
      </w:r>
      <w:r w:rsidR="000A52F4" w:rsidRPr="00F34BC5">
        <w:rPr>
          <w:i/>
          <w:szCs w:val="24"/>
        </w:rPr>
        <w:noBreakHyphen/>
      </w:r>
      <w:r w:rsidR="000A52F4">
        <w:rPr>
          <w:i/>
          <w:szCs w:val="24"/>
        </w:rPr>
        <w:t>241</w:t>
      </w:r>
      <w:r w:rsidR="000A52F4" w:rsidRPr="00F34BC5">
        <w:rPr>
          <w:i/>
          <w:szCs w:val="24"/>
        </w:rPr>
        <w:t>/20</w:t>
      </w:r>
      <w:r w:rsidR="000A52F4">
        <w:rPr>
          <w:i/>
          <w:szCs w:val="24"/>
        </w:rPr>
        <w:t>06</w:t>
      </w:r>
      <w:r w:rsidR="000A52F4" w:rsidRPr="00F34BC5">
        <w:rPr>
          <w:i/>
          <w:szCs w:val="24"/>
        </w:rPr>
        <w:t xml:space="preserve"> (</w:t>
      </w:r>
      <w:r w:rsidR="00AC5B9C">
        <w:rPr>
          <w:i/>
          <w:szCs w:val="24"/>
        </w:rPr>
        <w:t>4</w:t>
      </w:r>
      <w:r w:rsidR="00DE0798" w:rsidRPr="00DE0798">
        <w:rPr>
          <w:i/>
          <w:szCs w:val="24"/>
        </w:rPr>
        <w:t>1130075405</w:t>
      </w:r>
      <w:r w:rsidR="000A52F4" w:rsidRPr="00F34BC5">
        <w:rPr>
          <w:i/>
          <w:szCs w:val="24"/>
        </w:rPr>
        <w:t>)</w:t>
      </w:r>
      <w:r w:rsidR="000A52F4">
        <w:rPr>
          <w:i/>
          <w:szCs w:val="24"/>
        </w:rPr>
        <w:t xml:space="preserve">, </w:t>
      </w:r>
      <w:r w:rsidR="000A52F4" w:rsidRPr="00F34BC5">
        <w:rPr>
          <w:i/>
          <w:szCs w:val="24"/>
        </w:rPr>
        <w:t>Augstākās tiesas Senāta 20</w:t>
      </w:r>
      <w:r w:rsidR="000A52F4">
        <w:rPr>
          <w:i/>
          <w:szCs w:val="24"/>
        </w:rPr>
        <w:t>09</w:t>
      </w:r>
      <w:r w:rsidR="000A52F4" w:rsidRPr="00F34BC5">
        <w:rPr>
          <w:i/>
          <w:szCs w:val="24"/>
        </w:rPr>
        <w:t xml:space="preserve">.gada </w:t>
      </w:r>
      <w:r w:rsidR="000A52F4">
        <w:rPr>
          <w:i/>
          <w:szCs w:val="24"/>
        </w:rPr>
        <w:t>23.februāra</w:t>
      </w:r>
      <w:r w:rsidR="000A52F4" w:rsidRPr="00F34BC5">
        <w:rPr>
          <w:i/>
          <w:szCs w:val="24"/>
        </w:rPr>
        <w:t xml:space="preserve"> lēmums lietā Nr. SKK</w:t>
      </w:r>
      <w:r w:rsidR="000A52F4" w:rsidRPr="00F34BC5">
        <w:rPr>
          <w:i/>
          <w:szCs w:val="24"/>
        </w:rPr>
        <w:noBreakHyphen/>
      </w:r>
      <w:r w:rsidR="000A52F4">
        <w:rPr>
          <w:i/>
          <w:szCs w:val="24"/>
        </w:rPr>
        <w:t>70</w:t>
      </w:r>
      <w:r w:rsidR="000A52F4" w:rsidRPr="00F34BC5">
        <w:rPr>
          <w:i/>
          <w:szCs w:val="24"/>
        </w:rPr>
        <w:t>/20</w:t>
      </w:r>
      <w:r w:rsidR="000A52F4">
        <w:rPr>
          <w:i/>
          <w:szCs w:val="24"/>
        </w:rPr>
        <w:t>09</w:t>
      </w:r>
      <w:r w:rsidR="000A52F4" w:rsidRPr="00F34BC5">
        <w:rPr>
          <w:i/>
          <w:szCs w:val="24"/>
        </w:rPr>
        <w:t xml:space="preserve"> (158</w:t>
      </w:r>
      <w:r w:rsidR="00161CC0">
        <w:rPr>
          <w:i/>
          <w:szCs w:val="24"/>
        </w:rPr>
        <w:t>30112</w:t>
      </w:r>
      <w:r w:rsidR="000A52F4">
        <w:rPr>
          <w:i/>
          <w:szCs w:val="24"/>
        </w:rPr>
        <w:t>005</w:t>
      </w:r>
      <w:r w:rsidR="000A52F4" w:rsidRPr="00F34BC5">
        <w:rPr>
          <w:i/>
          <w:szCs w:val="24"/>
        </w:rPr>
        <w:t>)</w:t>
      </w:r>
      <w:r w:rsidR="00297C86">
        <w:rPr>
          <w:i/>
          <w:szCs w:val="24"/>
        </w:rPr>
        <w:t xml:space="preserve">, Augstākās tiesas 2014.gada 18.februāra lēmums lietā Nr. SKK-118/2014 </w:t>
      </w:r>
      <w:r w:rsidR="00297C86" w:rsidRPr="00F34BC5">
        <w:rPr>
          <w:i/>
          <w:szCs w:val="24"/>
        </w:rPr>
        <w:t>(</w:t>
      </w:r>
      <w:r w:rsidR="00297C86" w:rsidRPr="00297C86">
        <w:rPr>
          <w:i/>
          <w:szCs w:val="24"/>
        </w:rPr>
        <w:t>11502000113</w:t>
      </w:r>
      <w:r w:rsidR="00297C86" w:rsidRPr="00F34BC5">
        <w:rPr>
          <w:i/>
          <w:szCs w:val="24"/>
        </w:rPr>
        <w:t>)</w:t>
      </w:r>
      <w:r w:rsidR="000A52F4" w:rsidRPr="00F34BC5">
        <w:rPr>
          <w:szCs w:val="24"/>
        </w:rPr>
        <w:t>).</w:t>
      </w:r>
    </w:p>
    <w:p w:rsidR="00461D46" w:rsidRDefault="00AD296C" w:rsidP="00F34BC5">
      <w:pPr>
        <w:spacing w:after="0" w:line="276" w:lineRule="auto"/>
        <w:ind w:firstLine="709"/>
        <w:jc w:val="both"/>
        <w:rPr>
          <w:szCs w:val="24"/>
        </w:rPr>
      </w:pPr>
      <w:r>
        <w:rPr>
          <w:szCs w:val="24"/>
        </w:rPr>
        <w:t>[</w:t>
      </w:r>
      <w:r w:rsidR="00E56E68">
        <w:rPr>
          <w:szCs w:val="24"/>
        </w:rPr>
        <w:t>4</w:t>
      </w:r>
      <w:r>
        <w:rPr>
          <w:szCs w:val="24"/>
        </w:rPr>
        <w:t xml:space="preserve">.2] </w:t>
      </w:r>
      <w:r w:rsidR="00461D46">
        <w:rPr>
          <w:szCs w:val="24"/>
        </w:rPr>
        <w:t>Pārējā daļā, proti, par noziedzīgā nodarījuma kvalifikāciju un noziedzīgā nodarījuma aprakstu (apsūdzību) cietušā pārstāvja kasācijas sūdzība noraidāma šādu iemeslu dēļ.</w:t>
      </w:r>
    </w:p>
    <w:p w:rsidR="00DE0798" w:rsidRPr="00DE0798" w:rsidRDefault="00DE0798" w:rsidP="00DE0798">
      <w:pPr>
        <w:spacing w:after="0" w:line="276" w:lineRule="auto"/>
        <w:ind w:firstLine="709"/>
        <w:jc w:val="both"/>
        <w:rPr>
          <w:szCs w:val="24"/>
        </w:rPr>
      </w:pPr>
      <w:r w:rsidRPr="00DE0798">
        <w:rPr>
          <w:szCs w:val="24"/>
        </w:rPr>
        <w:t xml:space="preserve">Kriminālprocesa likuma </w:t>
      </w:r>
      <w:proofErr w:type="gramStart"/>
      <w:r w:rsidRPr="00DE0798">
        <w:rPr>
          <w:szCs w:val="24"/>
        </w:rPr>
        <w:t>7.panta</w:t>
      </w:r>
      <w:proofErr w:type="gramEnd"/>
      <w:r w:rsidRPr="00DE0798">
        <w:rPr>
          <w:szCs w:val="24"/>
        </w:rPr>
        <w:t xml:space="preserve"> pirmā daļa noteic, ka apsūdzības funkciju kriminālprocesā valsts vārdā īsteno prokurors.</w:t>
      </w:r>
    </w:p>
    <w:p w:rsidR="00DE0798" w:rsidRPr="00DE0798" w:rsidRDefault="00DE0798" w:rsidP="00DE0798">
      <w:pPr>
        <w:spacing w:after="0" w:line="276" w:lineRule="auto"/>
        <w:ind w:firstLine="709"/>
        <w:jc w:val="both"/>
        <w:rPr>
          <w:szCs w:val="24"/>
        </w:rPr>
      </w:pPr>
      <w:r w:rsidRPr="00DE0798">
        <w:rPr>
          <w:szCs w:val="24"/>
        </w:rPr>
        <w:tab/>
        <w:t xml:space="preserve">Atbilstoši Kriminālprocesa likuma </w:t>
      </w:r>
      <w:proofErr w:type="gramStart"/>
      <w:r w:rsidRPr="00DE0798">
        <w:rPr>
          <w:szCs w:val="24"/>
        </w:rPr>
        <w:t>43.panta</w:t>
      </w:r>
      <w:proofErr w:type="gramEnd"/>
      <w:r w:rsidRPr="00DE0798">
        <w:rPr>
          <w:szCs w:val="24"/>
        </w:rPr>
        <w:t xml:space="preserve"> pirmās daļas 9.punktam prokuroram, uzturot apsūdzību pirmās vai apelācijas instances tiesā, ir pienākums un tiesības pārsūdzēt tiesas nolēmumus, ja ir pamats to darīt.</w:t>
      </w:r>
    </w:p>
    <w:p w:rsidR="00DE0798" w:rsidRPr="00DE0798" w:rsidRDefault="00DE0798" w:rsidP="00DE0798">
      <w:pPr>
        <w:spacing w:after="0" w:line="276" w:lineRule="auto"/>
        <w:ind w:firstLine="709"/>
        <w:jc w:val="both"/>
        <w:rPr>
          <w:szCs w:val="24"/>
        </w:rPr>
      </w:pPr>
      <w:r w:rsidRPr="00DE0798">
        <w:rPr>
          <w:szCs w:val="24"/>
        </w:rPr>
        <w:tab/>
        <w:t xml:space="preserve">Kriminālprocesa likuma </w:t>
      </w:r>
      <w:proofErr w:type="gramStart"/>
      <w:r w:rsidRPr="00DE0798">
        <w:rPr>
          <w:szCs w:val="24"/>
        </w:rPr>
        <w:t>17.pants</w:t>
      </w:r>
      <w:proofErr w:type="gramEnd"/>
      <w:r w:rsidRPr="00DE0798">
        <w:rPr>
          <w:szCs w:val="24"/>
        </w:rPr>
        <w:t xml:space="preserve"> noteic, ka cilvēka tiesību ierobežojumu kontroles funkcija pirmstiesas procesā un apsūdzības, aizstāvības un tiesas spriešanas funkcijas kriminālprocesā ir nodalītas. </w:t>
      </w:r>
    </w:p>
    <w:p w:rsidR="00461D46" w:rsidRDefault="00DE0798" w:rsidP="00DE0798">
      <w:pPr>
        <w:spacing w:after="0" w:line="276" w:lineRule="auto"/>
        <w:ind w:firstLine="709"/>
        <w:jc w:val="both"/>
        <w:rPr>
          <w:szCs w:val="24"/>
        </w:rPr>
      </w:pPr>
      <w:r w:rsidRPr="00DE0798">
        <w:rPr>
          <w:szCs w:val="24"/>
        </w:rPr>
        <w:tab/>
        <w:t xml:space="preserve">No minēto </w:t>
      </w:r>
      <w:r w:rsidR="00CB73C5">
        <w:rPr>
          <w:szCs w:val="24"/>
        </w:rPr>
        <w:t>normu</w:t>
      </w:r>
      <w:r w:rsidRPr="00DE0798">
        <w:rPr>
          <w:szCs w:val="24"/>
        </w:rPr>
        <w:t xml:space="preserve"> satura izriet, ka kriminālprocesā tikai prokurors valsts vārdā var īstenot apsūdzības funkciju</w:t>
      </w:r>
      <w:proofErr w:type="gramStart"/>
      <w:r w:rsidRPr="00DE0798">
        <w:rPr>
          <w:szCs w:val="24"/>
        </w:rPr>
        <w:t xml:space="preserve"> un</w:t>
      </w:r>
      <w:proofErr w:type="gramEnd"/>
      <w:r w:rsidRPr="00DE0798">
        <w:rPr>
          <w:szCs w:val="24"/>
        </w:rPr>
        <w:t xml:space="preserve"> prokuroram ir pienākums un tiesības pārsūdzēt tiesas nolēmumus, ja ir pamats to darīt.</w:t>
      </w:r>
    </w:p>
    <w:p w:rsidR="00DE0798" w:rsidRDefault="00DE0798" w:rsidP="00DE0798">
      <w:pPr>
        <w:spacing w:after="0" w:line="276" w:lineRule="auto"/>
        <w:ind w:firstLine="709"/>
        <w:jc w:val="both"/>
        <w:rPr>
          <w:szCs w:val="24"/>
        </w:rPr>
      </w:pPr>
      <w:r w:rsidRPr="00DE0798">
        <w:rPr>
          <w:szCs w:val="24"/>
        </w:rPr>
        <w:t xml:space="preserve">Konkrētajā lietā prokurors par </w:t>
      </w:r>
      <w:r>
        <w:rPr>
          <w:szCs w:val="24"/>
        </w:rPr>
        <w:t>pirmās</w:t>
      </w:r>
      <w:r w:rsidRPr="00DE0798">
        <w:rPr>
          <w:szCs w:val="24"/>
        </w:rPr>
        <w:t xml:space="preserve"> instances tiesas spriedumu kasācijas protestu n</w:t>
      </w:r>
      <w:r w:rsidR="00D70C56">
        <w:rPr>
          <w:szCs w:val="24"/>
        </w:rPr>
        <w:t>eiesniedza</w:t>
      </w:r>
      <w:r w:rsidR="00CB73C5">
        <w:rPr>
          <w:szCs w:val="24"/>
        </w:rPr>
        <w:t>. Noziedzīgo nodarījumu kvalifikāciju neapstrīdēja un p</w:t>
      </w:r>
      <w:r>
        <w:rPr>
          <w:szCs w:val="24"/>
        </w:rPr>
        <w:t>rotestu n</w:t>
      </w:r>
      <w:r w:rsidR="00490094">
        <w:rPr>
          <w:szCs w:val="24"/>
        </w:rPr>
        <w:t>eiesniedza</w:t>
      </w:r>
      <w:r>
        <w:rPr>
          <w:szCs w:val="24"/>
        </w:rPr>
        <w:t xml:space="preserve"> arī </w:t>
      </w:r>
      <w:r w:rsidR="00CB73C5">
        <w:rPr>
          <w:szCs w:val="24"/>
        </w:rPr>
        <w:t xml:space="preserve">amatā augstāks </w:t>
      </w:r>
      <w:r>
        <w:rPr>
          <w:szCs w:val="24"/>
        </w:rPr>
        <w:t>prokurors.</w:t>
      </w:r>
    </w:p>
    <w:p w:rsidR="005D4090" w:rsidRDefault="00DE0798" w:rsidP="004735D9">
      <w:pPr>
        <w:spacing w:after="0" w:line="276" w:lineRule="auto"/>
        <w:ind w:firstLine="709"/>
        <w:jc w:val="both"/>
        <w:rPr>
          <w:szCs w:val="24"/>
        </w:rPr>
      </w:pPr>
      <w:r>
        <w:rPr>
          <w:szCs w:val="24"/>
        </w:rPr>
        <w:t xml:space="preserve">Augstākā tiesa </w:t>
      </w:r>
      <w:proofErr w:type="gramStart"/>
      <w:r>
        <w:rPr>
          <w:szCs w:val="24"/>
        </w:rPr>
        <w:t>2018.gada</w:t>
      </w:r>
      <w:proofErr w:type="gramEnd"/>
      <w:r>
        <w:rPr>
          <w:szCs w:val="24"/>
        </w:rPr>
        <w:t xml:space="preserve"> 21.jūnija </w:t>
      </w:r>
      <w:r w:rsidR="004735D9">
        <w:rPr>
          <w:szCs w:val="24"/>
        </w:rPr>
        <w:t xml:space="preserve">lēmumā </w:t>
      </w:r>
      <w:r>
        <w:rPr>
          <w:szCs w:val="24"/>
        </w:rPr>
        <w:t>iztei</w:t>
      </w:r>
      <w:r w:rsidR="00CB73C5">
        <w:rPr>
          <w:szCs w:val="24"/>
        </w:rPr>
        <w:t>ca</w:t>
      </w:r>
      <w:r>
        <w:rPr>
          <w:szCs w:val="24"/>
        </w:rPr>
        <w:t xml:space="preserve"> atz</w:t>
      </w:r>
      <w:r w:rsidR="004735D9">
        <w:rPr>
          <w:szCs w:val="24"/>
        </w:rPr>
        <w:t>iņu</w:t>
      </w:r>
      <w:r>
        <w:rPr>
          <w:szCs w:val="24"/>
        </w:rPr>
        <w:t>, ka p</w:t>
      </w:r>
      <w:r w:rsidRPr="00DE0798">
        <w:rPr>
          <w:szCs w:val="24"/>
        </w:rPr>
        <w:t>rokuroram ir ekskluzīva funkcija valsts apsūdzības uzturēšanā. Ja prokurors likumā noteiktajā kārtībā apelācijas instances tiesas nolēmumu nav noprotestējis, atzīstams, ka prokurors ir piekritis apelācijas instances tiesas nolēmumam</w:t>
      </w:r>
      <w:r w:rsidR="005D4090" w:rsidRPr="005D4090">
        <w:rPr>
          <w:i/>
          <w:szCs w:val="24"/>
        </w:rPr>
        <w:t xml:space="preserve"> </w:t>
      </w:r>
      <w:r w:rsidR="005D4090" w:rsidRPr="005D4090">
        <w:rPr>
          <w:szCs w:val="24"/>
        </w:rPr>
        <w:t>(</w:t>
      </w:r>
      <w:r w:rsidR="005D4090">
        <w:rPr>
          <w:i/>
          <w:szCs w:val="24"/>
        </w:rPr>
        <w:t xml:space="preserve">Augstākās tiesas </w:t>
      </w:r>
      <w:proofErr w:type="gramStart"/>
      <w:r w:rsidR="005D4090">
        <w:rPr>
          <w:i/>
          <w:szCs w:val="24"/>
        </w:rPr>
        <w:t>2018.gada</w:t>
      </w:r>
      <w:proofErr w:type="gramEnd"/>
      <w:r w:rsidR="005D4090">
        <w:rPr>
          <w:i/>
          <w:szCs w:val="24"/>
        </w:rPr>
        <w:t xml:space="preserve"> 21.jūn</w:t>
      </w:r>
      <w:r w:rsidR="00AC5B9C">
        <w:rPr>
          <w:i/>
          <w:szCs w:val="24"/>
        </w:rPr>
        <w:t>ija lēmums lietā Nr. SKK-23/2018</w:t>
      </w:r>
      <w:r w:rsidR="005D4090">
        <w:rPr>
          <w:i/>
          <w:szCs w:val="24"/>
        </w:rPr>
        <w:t xml:space="preserve"> </w:t>
      </w:r>
      <w:r w:rsidR="005D4090" w:rsidRPr="00F34BC5">
        <w:rPr>
          <w:i/>
          <w:szCs w:val="24"/>
        </w:rPr>
        <w:t>(</w:t>
      </w:r>
      <w:r w:rsidR="005D4090">
        <w:rPr>
          <w:i/>
          <w:szCs w:val="24"/>
        </w:rPr>
        <w:t>15830722711</w:t>
      </w:r>
      <w:r w:rsidR="005D4090" w:rsidRPr="00F34BC5">
        <w:rPr>
          <w:i/>
          <w:szCs w:val="24"/>
        </w:rPr>
        <w:t>)</w:t>
      </w:r>
      <w:r w:rsidR="005D4090">
        <w:rPr>
          <w:i/>
          <w:szCs w:val="24"/>
        </w:rPr>
        <w:t xml:space="preserve">, </w:t>
      </w:r>
      <w:r w:rsidR="005D4090" w:rsidRPr="005D4090">
        <w:rPr>
          <w:i/>
          <w:szCs w:val="24"/>
        </w:rPr>
        <w:t>ECLI:LV:AT:2018:0621.15830722711.1.L</w:t>
      </w:r>
      <w:r w:rsidR="005D4090" w:rsidRPr="00F34BC5">
        <w:rPr>
          <w:szCs w:val="24"/>
        </w:rPr>
        <w:t>).</w:t>
      </w:r>
    </w:p>
    <w:p w:rsidR="00CB73C5" w:rsidRDefault="00CB73C5" w:rsidP="00CB73C5">
      <w:pPr>
        <w:spacing w:after="0" w:line="276" w:lineRule="auto"/>
        <w:ind w:firstLine="709"/>
        <w:jc w:val="both"/>
        <w:rPr>
          <w:szCs w:val="24"/>
        </w:rPr>
      </w:pPr>
      <w:proofErr w:type="gramStart"/>
      <w:r>
        <w:rPr>
          <w:szCs w:val="24"/>
        </w:rPr>
        <w:t>Neskatoties uz to, ka</w:t>
      </w:r>
      <w:proofErr w:type="gramEnd"/>
      <w:r>
        <w:rPr>
          <w:szCs w:val="24"/>
        </w:rPr>
        <w:t xml:space="preserve"> norādītajā lēmumā vērtētas prokurora funkcijas apelācijas instances tiesā, lēmumā izteiktās atziņas ir piemērojamas arī izskatāmajā lietā.</w:t>
      </w:r>
    </w:p>
    <w:p w:rsidR="00033B64" w:rsidRDefault="00DE0798" w:rsidP="00F34BC5">
      <w:pPr>
        <w:spacing w:after="0" w:line="276" w:lineRule="auto"/>
        <w:ind w:firstLine="709"/>
        <w:jc w:val="both"/>
        <w:rPr>
          <w:szCs w:val="24"/>
        </w:rPr>
      </w:pPr>
      <w:r w:rsidRPr="00DE0798">
        <w:rPr>
          <w:szCs w:val="24"/>
        </w:rPr>
        <w:tab/>
      </w:r>
      <w:r w:rsidR="00461D46">
        <w:rPr>
          <w:szCs w:val="24"/>
        </w:rPr>
        <w:t>Ievērojot to, ka tiesas spriedum</w:t>
      </w:r>
      <w:r w:rsidR="00033B64">
        <w:rPr>
          <w:szCs w:val="24"/>
        </w:rPr>
        <w:t>u</w:t>
      </w:r>
      <w:r w:rsidR="00461D46">
        <w:rPr>
          <w:szCs w:val="24"/>
        </w:rPr>
        <w:t>, ar kuru apstiprināta noslēgtā vienošanās par vainas atzīšanu un sodu</w:t>
      </w:r>
      <w:r w:rsidR="00033B64">
        <w:rPr>
          <w:szCs w:val="24"/>
        </w:rPr>
        <w:t>, var atcelt tikai pilnībā, nevis kādā tā daļā, pirmās instances tiesas spriedums atceļams pilnībā un lieta nosūtāma jaunai izskatīšanai pirmās instances tiesā.</w:t>
      </w:r>
    </w:p>
    <w:p w:rsidR="00033B64" w:rsidRDefault="00033B64" w:rsidP="00F34BC5">
      <w:pPr>
        <w:spacing w:after="0" w:line="276" w:lineRule="auto"/>
        <w:ind w:firstLine="709"/>
        <w:jc w:val="both"/>
        <w:rPr>
          <w:szCs w:val="24"/>
        </w:rPr>
      </w:pPr>
    </w:p>
    <w:p w:rsidR="00033B64" w:rsidRDefault="00033B64" w:rsidP="00545E0D">
      <w:pPr>
        <w:spacing w:after="0" w:line="276" w:lineRule="auto"/>
        <w:ind w:right="-6" w:firstLine="709"/>
        <w:jc w:val="both"/>
      </w:pPr>
      <w:r w:rsidRPr="00964B37">
        <w:t>[</w:t>
      </w:r>
      <w:r w:rsidR="00EA03C8">
        <w:t>5</w:t>
      </w:r>
      <w:r w:rsidRPr="00964B37">
        <w:t xml:space="preserve">] </w:t>
      </w:r>
      <w:r>
        <w:t xml:space="preserve">Apsūdzētajam </w:t>
      </w:r>
      <w:r w:rsidR="008E1B42">
        <w:t>[pers. C]</w:t>
      </w:r>
      <w:r>
        <w:t xml:space="preserve"> pirmstiesas kriminālprocesā piemērots</w:t>
      </w:r>
      <w:r>
        <w:rPr>
          <w:szCs w:val="24"/>
        </w:rPr>
        <w:t xml:space="preserve"> drošības līdzek</w:t>
      </w:r>
      <w:r w:rsidR="00545E0D">
        <w:rPr>
          <w:szCs w:val="24"/>
        </w:rPr>
        <w:t>lis </w:t>
      </w:r>
      <w:r>
        <w:rPr>
          <w:szCs w:val="24"/>
        </w:rPr>
        <w:t xml:space="preserve">– </w:t>
      </w:r>
      <w:r w:rsidR="00545E0D">
        <w:rPr>
          <w:szCs w:val="24"/>
        </w:rPr>
        <w:t>nodošana policijas uzraudzībā.</w:t>
      </w:r>
    </w:p>
    <w:p w:rsidR="00033B64" w:rsidRDefault="00033B64" w:rsidP="00033B64">
      <w:pPr>
        <w:autoSpaceDE w:val="0"/>
        <w:autoSpaceDN w:val="0"/>
        <w:adjustRightInd w:val="0"/>
        <w:spacing w:after="0" w:line="276" w:lineRule="auto"/>
        <w:ind w:firstLine="709"/>
        <w:jc w:val="both"/>
        <w:rPr>
          <w:rFonts w:eastAsia="Calibri"/>
          <w:bCs/>
        </w:rPr>
      </w:pPr>
      <w:r>
        <w:t xml:space="preserve">Senāts </w:t>
      </w:r>
      <w:r w:rsidRPr="00751A08">
        <w:rPr>
          <w:rFonts w:eastAsia="Calibri"/>
        </w:rPr>
        <w:t xml:space="preserve">atzīst, </w:t>
      </w:r>
      <w:r w:rsidR="008E1B42">
        <w:t>[pers. C]</w:t>
      </w:r>
      <w:r w:rsidR="00545E0D">
        <w:t xml:space="preserve"> </w:t>
      </w:r>
      <w:r>
        <w:rPr>
          <w:rFonts w:eastAsia="Calibri"/>
        </w:rPr>
        <w:t xml:space="preserve">jāturpina piemērot </w:t>
      </w:r>
      <w:r w:rsidRPr="00751A08">
        <w:rPr>
          <w:rFonts w:eastAsia="Calibri"/>
        </w:rPr>
        <w:t>minēt</w:t>
      </w:r>
      <w:r w:rsidR="00545E0D">
        <w:rPr>
          <w:rFonts w:eastAsia="Calibri"/>
        </w:rPr>
        <w:t>ais</w:t>
      </w:r>
      <w:r>
        <w:rPr>
          <w:rFonts w:eastAsia="Calibri"/>
        </w:rPr>
        <w:t xml:space="preserve"> </w:t>
      </w:r>
      <w:r w:rsidRPr="00751A08">
        <w:rPr>
          <w:rFonts w:eastAsia="Calibri"/>
        </w:rPr>
        <w:t>drošības līdzek</w:t>
      </w:r>
      <w:r w:rsidR="002F051E">
        <w:rPr>
          <w:rFonts w:eastAsia="Calibri"/>
        </w:rPr>
        <w:t>lis</w:t>
      </w:r>
      <w:r w:rsidRPr="00751A08">
        <w:rPr>
          <w:rFonts w:eastAsia="Calibri"/>
          <w:bCs/>
        </w:rPr>
        <w:t xml:space="preserve">, jo nav konstatēti apstākļi, kas saskaņā ar Kriminālprocesa likuma </w:t>
      </w:r>
      <w:proofErr w:type="gramStart"/>
      <w:r w:rsidRPr="00751A08">
        <w:rPr>
          <w:rFonts w:eastAsia="Calibri"/>
          <w:bCs/>
        </w:rPr>
        <w:t>249.panta</w:t>
      </w:r>
      <w:proofErr w:type="gramEnd"/>
      <w:r w:rsidRPr="00751A08">
        <w:rPr>
          <w:rFonts w:eastAsia="Calibri"/>
          <w:bCs/>
        </w:rPr>
        <w:t xml:space="preserve"> pirmo daļu varētu būt par pamatu piemērot</w:t>
      </w:r>
      <w:r w:rsidR="002F051E">
        <w:rPr>
          <w:rFonts w:eastAsia="Calibri"/>
          <w:bCs/>
        </w:rPr>
        <w:t>ā</w:t>
      </w:r>
      <w:r w:rsidRPr="00751A08">
        <w:rPr>
          <w:rFonts w:eastAsia="Calibri"/>
          <w:bCs/>
        </w:rPr>
        <w:t xml:space="preserve"> drošības līdzekļ</w:t>
      </w:r>
      <w:r w:rsidR="002F051E">
        <w:rPr>
          <w:rFonts w:eastAsia="Calibri"/>
          <w:bCs/>
        </w:rPr>
        <w:t>a</w:t>
      </w:r>
      <w:r w:rsidRPr="00751A08">
        <w:rPr>
          <w:rFonts w:eastAsia="Calibri"/>
          <w:bCs/>
        </w:rPr>
        <w:t xml:space="preserve"> atcelšanai vai grozīšanai.</w:t>
      </w:r>
      <w:r w:rsidR="005D4090">
        <w:rPr>
          <w:rFonts w:eastAsia="Calibri"/>
          <w:bCs/>
        </w:rPr>
        <w:t xml:space="preserve"> Norādītais drošības līdzeklis konkrētajā lietā atzīstams par samērīgu.</w:t>
      </w:r>
    </w:p>
    <w:p w:rsidR="00F34BC5" w:rsidRDefault="00F34BC5" w:rsidP="00F34BC5">
      <w:pPr>
        <w:spacing w:after="0" w:line="276" w:lineRule="auto"/>
        <w:ind w:firstLine="709"/>
        <w:jc w:val="both"/>
        <w:rPr>
          <w:szCs w:val="24"/>
        </w:rPr>
      </w:pPr>
    </w:p>
    <w:p w:rsidR="00462860" w:rsidRDefault="00462860" w:rsidP="00462860">
      <w:pPr>
        <w:spacing w:after="0" w:line="276" w:lineRule="auto"/>
        <w:jc w:val="center"/>
        <w:rPr>
          <w:b/>
          <w:szCs w:val="24"/>
        </w:rPr>
      </w:pPr>
      <w:r w:rsidRPr="008E23E9">
        <w:rPr>
          <w:b/>
          <w:szCs w:val="24"/>
        </w:rPr>
        <w:lastRenderedPageBreak/>
        <w:t>Rezolutīvā daļa</w:t>
      </w:r>
    </w:p>
    <w:p w:rsidR="00462860" w:rsidRPr="008E23E9" w:rsidRDefault="00462860" w:rsidP="00462860">
      <w:pPr>
        <w:spacing w:after="0" w:line="276" w:lineRule="auto"/>
        <w:jc w:val="center"/>
        <w:rPr>
          <w:b/>
          <w:szCs w:val="24"/>
        </w:rPr>
      </w:pPr>
    </w:p>
    <w:p w:rsidR="00462860" w:rsidRPr="008E23E9" w:rsidRDefault="00462860" w:rsidP="00462860">
      <w:pPr>
        <w:spacing w:after="0" w:line="276" w:lineRule="auto"/>
        <w:ind w:firstLine="709"/>
        <w:jc w:val="both"/>
        <w:rPr>
          <w:b/>
          <w:szCs w:val="24"/>
        </w:rPr>
      </w:pPr>
      <w:r w:rsidRPr="008E23E9">
        <w:rPr>
          <w:szCs w:val="24"/>
        </w:rPr>
        <w:t>P</w:t>
      </w:r>
      <w:r w:rsidRPr="008E23E9">
        <w:rPr>
          <w:bCs/>
          <w:szCs w:val="24"/>
        </w:rPr>
        <w:t xml:space="preserve">amatojoties uz Kriminālprocesa likuma 585. un </w:t>
      </w:r>
      <w:proofErr w:type="gramStart"/>
      <w:r w:rsidRPr="008E23E9">
        <w:rPr>
          <w:bCs/>
          <w:szCs w:val="24"/>
        </w:rPr>
        <w:t>587.pantu</w:t>
      </w:r>
      <w:proofErr w:type="gramEnd"/>
      <w:r w:rsidRPr="008E23E9">
        <w:rPr>
          <w:bCs/>
          <w:szCs w:val="24"/>
        </w:rPr>
        <w:t>, tiesa</w:t>
      </w:r>
    </w:p>
    <w:p w:rsidR="00462860" w:rsidRDefault="00462860" w:rsidP="00462860">
      <w:pPr>
        <w:spacing w:after="0" w:line="276" w:lineRule="auto"/>
        <w:rPr>
          <w:b/>
          <w:szCs w:val="24"/>
        </w:rPr>
      </w:pPr>
    </w:p>
    <w:p w:rsidR="00462860" w:rsidRDefault="00462860" w:rsidP="00462860">
      <w:pPr>
        <w:spacing w:after="0" w:line="276" w:lineRule="auto"/>
        <w:jc w:val="center"/>
        <w:rPr>
          <w:b/>
          <w:szCs w:val="24"/>
        </w:rPr>
      </w:pPr>
      <w:r w:rsidRPr="008E23E9">
        <w:rPr>
          <w:b/>
          <w:szCs w:val="24"/>
        </w:rPr>
        <w:t>nolēma:</w:t>
      </w:r>
    </w:p>
    <w:p w:rsidR="00462860" w:rsidRPr="008E23E9" w:rsidRDefault="00462860" w:rsidP="00462860">
      <w:pPr>
        <w:spacing w:after="0" w:line="276" w:lineRule="auto"/>
        <w:jc w:val="center"/>
        <w:rPr>
          <w:b/>
          <w:szCs w:val="24"/>
        </w:rPr>
      </w:pPr>
    </w:p>
    <w:p w:rsidR="00462860" w:rsidRPr="008E23E9" w:rsidRDefault="00462860" w:rsidP="00062E1F">
      <w:pPr>
        <w:autoSpaceDE w:val="0"/>
        <w:autoSpaceDN w:val="0"/>
        <w:adjustRightInd w:val="0"/>
        <w:spacing w:after="0" w:line="276" w:lineRule="auto"/>
        <w:ind w:firstLine="720"/>
        <w:jc w:val="both"/>
        <w:rPr>
          <w:szCs w:val="24"/>
        </w:rPr>
      </w:pPr>
      <w:r w:rsidRPr="008E23E9">
        <w:rPr>
          <w:szCs w:val="24"/>
        </w:rPr>
        <w:t xml:space="preserve">atcelt </w:t>
      </w:r>
      <w:r>
        <w:rPr>
          <w:szCs w:val="24"/>
        </w:rPr>
        <w:t xml:space="preserve">pilnībā </w:t>
      </w:r>
      <w:r w:rsidR="008E1B42">
        <w:t>[pirmās instances]</w:t>
      </w:r>
      <w:r w:rsidR="00062E1F">
        <w:t xml:space="preserve"> tiesas </w:t>
      </w:r>
      <w:proofErr w:type="gramStart"/>
      <w:r w:rsidR="00062E1F">
        <w:t>2018.gada</w:t>
      </w:r>
      <w:proofErr w:type="gramEnd"/>
      <w:r w:rsidR="00062E1F">
        <w:t xml:space="preserve"> </w:t>
      </w:r>
      <w:r w:rsidR="008E1B42">
        <w:t>[..]</w:t>
      </w:r>
      <w:r w:rsidR="00062E1F">
        <w:t xml:space="preserve"> spriedumu </w:t>
      </w:r>
      <w:r w:rsidRPr="008E23E9">
        <w:rPr>
          <w:szCs w:val="24"/>
        </w:rPr>
        <w:t xml:space="preserve">un lietu nosūtīt jaunai izskatīšanai </w:t>
      </w:r>
      <w:r w:rsidR="008E1B42">
        <w:t>[pirmās instances</w:t>
      </w:r>
      <w:r w:rsidR="00F8490E">
        <w:t>]</w:t>
      </w:r>
      <w:bookmarkStart w:id="0" w:name="_GoBack"/>
      <w:bookmarkEnd w:id="0"/>
      <w:r w:rsidR="00EA03C8">
        <w:t xml:space="preserve"> tiesā</w:t>
      </w:r>
      <w:r w:rsidRPr="008E23E9">
        <w:rPr>
          <w:szCs w:val="24"/>
        </w:rPr>
        <w:t>.</w:t>
      </w:r>
    </w:p>
    <w:p w:rsidR="00462860" w:rsidRDefault="00462860" w:rsidP="00462860">
      <w:pPr>
        <w:spacing w:after="0" w:line="276" w:lineRule="auto"/>
        <w:ind w:firstLine="720"/>
        <w:jc w:val="both"/>
      </w:pPr>
      <w:r w:rsidRPr="00490780">
        <w:t>Apsūdzētajam</w:t>
      </w:r>
      <w:r>
        <w:t xml:space="preserve"> </w:t>
      </w:r>
      <w:r w:rsidR="008E1B42">
        <w:t>[pers. C]</w:t>
      </w:r>
      <w:r>
        <w:t xml:space="preserve"> turpināt piemērot </w:t>
      </w:r>
      <w:r w:rsidRPr="00490780">
        <w:t>drošības līdzek</w:t>
      </w:r>
      <w:r w:rsidR="00062E1F">
        <w:t>li</w:t>
      </w:r>
      <w:r w:rsidRPr="00490780">
        <w:t xml:space="preserve"> – </w:t>
      </w:r>
      <w:r w:rsidR="00062E1F">
        <w:rPr>
          <w:szCs w:val="24"/>
        </w:rPr>
        <w:t>nodošanu policijas uzraudzībā</w:t>
      </w:r>
      <w:r>
        <w:t>.</w:t>
      </w:r>
    </w:p>
    <w:p w:rsidR="00462860" w:rsidRPr="008E23E9" w:rsidRDefault="00462860" w:rsidP="00462860">
      <w:pPr>
        <w:spacing w:after="0" w:line="276" w:lineRule="auto"/>
        <w:ind w:firstLine="709"/>
        <w:jc w:val="both"/>
        <w:rPr>
          <w:szCs w:val="24"/>
        </w:rPr>
      </w:pPr>
      <w:r w:rsidRPr="00AA5989">
        <w:rPr>
          <w:szCs w:val="24"/>
        </w:rPr>
        <w:t>Lēmums nav pārsūdzams.</w:t>
      </w:r>
    </w:p>
    <w:p w:rsidR="00D61503" w:rsidRDefault="00D61503"/>
    <w:sectPr w:rsidR="00D61503" w:rsidSect="00C64445">
      <w:footerReference w:type="even" r:id="rId8"/>
      <w:footerReference w:type="default" r:id="rId9"/>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C13" w:rsidRDefault="007D0C13">
      <w:pPr>
        <w:spacing w:after="0" w:line="240" w:lineRule="auto"/>
      </w:pPr>
      <w:r>
        <w:separator/>
      </w:r>
    </w:p>
  </w:endnote>
  <w:endnote w:type="continuationSeparator" w:id="0">
    <w:p w:rsidR="007D0C13" w:rsidRDefault="007D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DB" w:rsidRDefault="00461D46" w:rsidP="00F33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333DB" w:rsidRDefault="00237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DB" w:rsidRPr="00A50AA2" w:rsidRDefault="00461D46" w:rsidP="00A50AA2">
    <w:pPr>
      <w:pStyle w:val="Footer"/>
      <w:jc w:val="center"/>
      <w:rPr>
        <w:szCs w:val="24"/>
      </w:rPr>
    </w:pPr>
    <w:r w:rsidRPr="00A50AA2">
      <w:rPr>
        <w:rStyle w:val="PageNumber"/>
        <w:szCs w:val="24"/>
      </w:rPr>
      <w:fldChar w:fldCharType="begin"/>
    </w:r>
    <w:r w:rsidRPr="00A50AA2">
      <w:rPr>
        <w:rStyle w:val="PageNumber"/>
        <w:szCs w:val="24"/>
      </w:rPr>
      <w:instrText xml:space="preserve"> PAGE </w:instrText>
    </w:r>
    <w:r w:rsidRPr="00A50AA2">
      <w:rPr>
        <w:rStyle w:val="PageNumber"/>
        <w:szCs w:val="24"/>
      </w:rPr>
      <w:fldChar w:fldCharType="separate"/>
    </w:r>
    <w:r w:rsidR="001F175B">
      <w:rPr>
        <w:rStyle w:val="PageNumber"/>
        <w:noProof/>
        <w:szCs w:val="24"/>
      </w:rPr>
      <w:t>1</w:t>
    </w:r>
    <w:r w:rsidRPr="00A50AA2">
      <w:rPr>
        <w:rStyle w:val="PageNumber"/>
        <w:szCs w:val="24"/>
      </w:rPr>
      <w:fldChar w:fldCharType="end"/>
    </w:r>
    <w:r w:rsidRPr="00A50AA2">
      <w:rPr>
        <w:rStyle w:val="PageNumber"/>
        <w:szCs w:val="24"/>
      </w:rPr>
      <w:t xml:space="preserve"> no </w:t>
    </w:r>
    <w:r w:rsidR="00E56E68">
      <w:rPr>
        <w:rStyle w:val="PageNumber"/>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C13" w:rsidRDefault="007D0C13">
      <w:pPr>
        <w:spacing w:after="0" w:line="240" w:lineRule="auto"/>
      </w:pPr>
      <w:r>
        <w:separator/>
      </w:r>
    </w:p>
  </w:footnote>
  <w:footnote w:type="continuationSeparator" w:id="0">
    <w:p w:rsidR="007D0C13" w:rsidRDefault="007D0C13">
      <w:pPr>
        <w:spacing w:after="0" w:line="240" w:lineRule="auto"/>
      </w:pPr>
      <w:r>
        <w:continuationSeparator/>
      </w:r>
    </w:p>
  </w:footnote>
  <w:footnote w:id="1">
    <w:p w:rsidR="00651C63" w:rsidRDefault="00651C63">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60"/>
    <w:rsid w:val="00033B64"/>
    <w:rsid w:val="00062E1F"/>
    <w:rsid w:val="000A52F4"/>
    <w:rsid w:val="000F526A"/>
    <w:rsid w:val="0015443C"/>
    <w:rsid w:val="00161CC0"/>
    <w:rsid w:val="0019709D"/>
    <w:rsid w:val="001F175B"/>
    <w:rsid w:val="002063EA"/>
    <w:rsid w:val="00277A02"/>
    <w:rsid w:val="00297C86"/>
    <w:rsid w:val="002F051E"/>
    <w:rsid w:val="002F414D"/>
    <w:rsid w:val="00363E2F"/>
    <w:rsid w:val="003A166C"/>
    <w:rsid w:val="003F50A6"/>
    <w:rsid w:val="004038CA"/>
    <w:rsid w:val="00432694"/>
    <w:rsid w:val="00454AFD"/>
    <w:rsid w:val="00461D46"/>
    <w:rsid w:val="00462860"/>
    <w:rsid w:val="004735D9"/>
    <w:rsid w:val="00486FDB"/>
    <w:rsid w:val="00490094"/>
    <w:rsid w:val="00541F5A"/>
    <w:rsid w:val="00545E0D"/>
    <w:rsid w:val="005A4CB9"/>
    <w:rsid w:val="005D4090"/>
    <w:rsid w:val="006477C5"/>
    <w:rsid w:val="00651C63"/>
    <w:rsid w:val="00654406"/>
    <w:rsid w:val="006B18D8"/>
    <w:rsid w:val="006F1C73"/>
    <w:rsid w:val="007169AB"/>
    <w:rsid w:val="00720797"/>
    <w:rsid w:val="007D0C13"/>
    <w:rsid w:val="00876DBB"/>
    <w:rsid w:val="008A3223"/>
    <w:rsid w:val="008E1B42"/>
    <w:rsid w:val="00931F6C"/>
    <w:rsid w:val="009A69EC"/>
    <w:rsid w:val="009B7051"/>
    <w:rsid w:val="00A23A53"/>
    <w:rsid w:val="00AA284E"/>
    <w:rsid w:val="00AC5B9C"/>
    <w:rsid w:val="00AD296C"/>
    <w:rsid w:val="00B54EE0"/>
    <w:rsid w:val="00CA0CFD"/>
    <w:rsid w:val="00CB30BB"/>
    <w:rsid w:val="00CB73C5"/>
    <w:rsid w:val="00D50457"/>
    <w:rsid w:val="00D61503"/>
    <w:rsid w:val="00D70C56"/>
    <w:rsid w:val="00D83AD9"/>
    <w:rsid w:val="00DE0798"/>
    <w:rsid w:val="00E11D07"/>
    <w:rsid w:val="00E56E68"/>
    <w:rsid w:val="00E960A5"/>
    <w:rsid w:val="00EA03C8"/>
    <w:rsid w:val="00EB0718"/>
    <w:rsid w:val="00F27CF1"/>
    <w:rsid w:val="00F34BC5"/>
    <w:rsid w:val="00F8490E"/>
    <w:rsid w:val="00FA56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1F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60"/>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28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2860"/>
    <w:rPr>
      <w:szCs w:val="22"/>
    </w:rPr>
  </w:style>
  <w:style w:type="character" w:styleId="PageNumber">
    <w:name w:val="page number"/>
    <w:basedOn w:val="DefaultParagraphFont"/>
    <w:rsid w:val="00462860"/>
    <w:rPr>
      <w:rFonts w:cs="Times New Roman"/>
    </w:rPr>
  </w:style>
  <w:style w:type="paragraph" w:styleId="Header">
    <w:name w:val="header"/>
    <w:basedOn w:val="Normal"/>
    <w:link w:val="HeaderChar"/>
    <w:uiPriority w:val="99"/>
    <w:unhideWhenUsed/>
    <w:rsid w:val="004628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2860"/>
    <w:rPr>
      <w:szCs w:val="22"/>
    </w:rPr>
  </w:style>
  <w:style w:type="table" w:styleId="TableGrid">
    <w:name w:val="Table Grid"/>
    <w:basedOn w:val="TableNormal"/>
    <w:uiPriority w:val="39"/>
    <w:rsid w:val="00462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860"/>
    <w:pPr>
      <w:ind w:left="720"/>
      <w:contextualSpacing/>
    </w:pPr>
  </w:style>
  <w:style w:type="character" w:styleId="Hyperlink">
    <w:name w:val="Hyperlink"/>
    <w:basedOn w:val="DefaultParagraphFont"/>
    <w:uiPriority w:val="99"/>
    <w:unhideWhenUsed/>
    <w:rsid w:val="00462860"/>
    <w:rPr>
      <w:color w:val="0563C1" w:themeColor="hyperlink"/>
      <w:u w:val="single"/>
    </w:rPr>
  </w:style>
  <w:style w:type="paragraph" w:styleId="BalloonText">
    <w:name w:val="Balloon Text"/>
    <w:basedOn w:val="Normal"/>
    <w:link w:val="BalloonTextChar"/>
    <w:uiPriority w:val="99"/>
    <w:semiHidden/>
    <w:unhideWhenUsed/>
    <w:rsid w:val="00161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CC0"/>
    <w:rPr>
      <w:rFonts w:ascii="Segoe UI" w:hAnsi="Segoe UI" w:cs="Segoe UI"/>
      <w:sz w:val="18"/>
      <w:szCs w:val="18"/>
    </w:rPr>
  </w:style>
  <w:style w:type="paragraph" w:styleId="FootnoteText">
    <w:name w:val="footnote text"/>
    <w:basedOn w:val="Normal"/>
    <w:link w:val="FootnoteTextChar"/>
    <w:uiPriority w:val="99"/>
    <w:semiHidden/>
    <w:unhideWhenUsed/>
    <w:rsid w:val="00651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C63"/>
    <w:rPr>
      <w:sz w:val="20"/>
      <w:szCs w:val="20"/>
    </w:rPr>
  </w:style>
  <w:style w:type="character" w:styleId="FootnoteReference">
    <w:name w:val="footnote reference"/>
    <w:basedOn w:val="DefaultParagraphFont"/>
    <w:uiPriority w:val="99"/>
    <w:semiHidden/>
    <w:unhideWhenUsed/>
    <w:rsid w:val="00651C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2692-D335-4631-A2AF-4A977BBF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5717</Words>
  <Characters>3260</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2019-04-30T11:49:00Z</dcterms:created>
  <dcterms:modified xsi:type="dcterms:W3CDTF">2019-04-30T11:49:00Z</dcterms:modified>
</cp:coreProperties>
</file>