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DA8" w:rsidRDefault="00C74DA8" w:rsidP="00C74DA8">
      <w:pPr>
        <w:spacing w:line="276" w:lineRule="auto"/>
        <w:jc w:val="both"/>
        <w:rPr>
          <w:b/>
        </w:rPr>
      </w:pPr>
      <w:r>
        <w:rPr>
          <w:b/>
        </w:rPr>
        <w:t>Pašvaldības kompetence attiecībā uz totalizatora un derību organizēšanas vietu atvēršanu</w:t>
      </w:r>
    </w:p>
    <w:p w:rsidR="00A37AC7" w:rsidRDefault="00C74DA8" w:rsidP="00C74DA8">
      <w:pPr>
        <w:spacing w:line="276" w:lineRule="auto"/>
        <w:jc w:val="both"/>
      </w:pPr>
      <w:r>
        <w:t xml:space="preserve">Pašvaldības novērtējumam attiecībā uz totalizatora un derību organizēšanas vietu atvēršanu izvirzāmas tādas pašas prasības, kā lemjot par atļaujām citu azartspēļu gadījumā. Tas nozīmē, ka pašvaldībai, piepildot ar saturu nenoteikto juridisko jēdzienu „būtisks valsts un attiecīgās administratīvās teritorijas iedzīvotāju interešu aizskārums”, visi konkrēto vietu raksturojošie apstākļi jāvērtē kompleksi, vienlaikus raugoties, vai azartspēļu pakalpojumu sniegšanas iespēja attiecīgajā administratīvajā teritorijā faktiski netiek izslēgta, pamatojot šādu lēmumu ar vispārīgu vērtību aizsardzību. </w:t>
      </w:r>
    </w:p>
    <w:p w:rsidR="00C74DA8" w:rsidRPr="00963005" w:rsidRDefault="00C74DA8" w:rsidP="00C74DA8">
      <w:pPr>
        <w:jc w:val="right"/>
      </w:pPr>
    </w:p>
    <w:p w:rsidR="00BF3B5D" w:rsidRDefault="00BF3B5D" w:rsidP="00BF3B5D">
      <w:pPr>
        <w:spacing w:line="276" w:lineRule="auto"/>
        <w:jc w:val="center"/>
        <w:rPr>
          <w:b/>
        </w:rPr>
      </w:pPr>
      <w:r w:rsidRPr="00963005">
        <w:rPr>
          <w:b/>
        </w:rPr>
        <w:t>La</w:t>
      </w:r>
      <w:r w:rsidR="00D81445" w:rsidRPr="00963005">
        <w:rPr>
          <w:b/>
        </w:rPr>
        <w:t>tvijas Republikas Senāt</w:t>
      </w:r>
      <w:r w:rsidR="00C74DA8">
        <w:rPr>
          <w:b/>
        </w:rPr>
        <w:t>a</w:t>
      </w:r>
    </w:p>
    <w:p w:rsidR="00C74DA8" w:rsidRDefault="00C74DA8" w:rsidP="00BF3B5D">
      <w:pPr>
        <w:spacing w:line="276" w:lineRule="auto"/>
        <w:jc w:val="center"/>
        <w:rPr>
          <w:b/>
        </w:rPr>
      </w:pPr>
      <w:r>
        <w:rPr>
          <w:b/>
        </w:rPr>
        <w:t>Administratīvo lietu departamenta</w:t>
      </w:r>
    </w:p>
    <w:p w:rsidR="00C74DA8" w:rsidRPr="00963005" w:rsidRDefault="00C74DA8" w:rsidP="00BF3B5D">
      <w:pPr>
        <w:spacing w:line="276" w:lineRule="auto"/>
        <w:jc w:val="center"/>
        <w:rPr>
          <w:b/>
        </w:rPr>
      </w:pPr>
      <w:proofErr w:type="gramStart"/>
      <w:r>
        <w:rPr>
          <w:b/>
        </w:rPr>
        <w:t>2019.gada</w:t>
      </w:r>
      <w:proofErr w:type="gramEnd"/>
      <w:r>
        <w:rPr>
          <w:b/>
        </w:rPr>
        <w:t xml:space="preserve"> 9.aprīļa</w:t>
      </w:r>
    </w:p>
    <w:p w:rsidR="00BF3B5D" w:rsidRDefault="00086276" w:rsidP="00BF3B5D">
      <w:pPr>
        <w:spacing w:line="276" w:lineRule="auto"/>
        <w:jc w:val="center"/>
        <w:rPr>
          <w:b/>
        </w:rPr>
      </w:pPr>
      <w:r w:rsidRPr="00963005">
        <w:rPr>
          <w:b/>
        </w:rPr>
        <w:t>SPRIEDUMS</w:t>
      </w:r>
    </w:p>
    <w:p w:rsidR="00C74DA8" w:rsidRDefault="00C74DA8" w:rsidP="00BF3B5D">
      <w:pPr>
        <w:spacing w:line="276" w:lineRule="auto"/>
        <w:jc w:val="center"/>
        <w:rPr>
          <w:b/>
        </w:rPr>
      </w:pPr>
      <w:r>
        <w:rPr>
          <w:b/>
        </w:rPr>
        <w:t>Lieta Nr. A420154016, SKA-407/2019</w:t>
      </w:r>
    </w:p>
    <w:p w:rsidR="00C74DA8" w:rsidRPr="00963005" w:rsidRDefault="00C74DA8" w:rsidP="00BF3B5D">
      <w:pPr>
        <w:spacing w:line="276" w:lineRule="auto"/>
        <w:jc w:val="center"/>
        <w:rPr>
          <w:b/>
        </w:rPr>
      </w:pPr>
      <w:hyperlink r:id="rId7" w:history="1">
        <w:r w:rsidRPr="00C74DA8">
          <w:rPr>
            <w:rStyle w:val="Hyperlink"/>
          </w:rPr>
          <w:t>ECLI:LV:AT:2019:0409.A420154016.4.S</w:t>
        </w:r>
      </w:hyperlink>
    </w:p>
    <w:p w:rsidR="00BF3B5D" w:rsidRPr="00963005" w:rsidRDefault="00BF3B5D" w:rsidP="00BF3B5D">
      <w:pPr>
        <w:spacing w:line="276" w:lineRule="auto"/>
        <w:jc w:val="center"/>
      </w:pPr>
    </w:p>
    <w:p w:rsidR="00D924F8" w:rsidRPr="00963005" w:rsidRDefault="00D81445" w:rsidP="00DB59DA">
      <w:pPr>
        <w:spacing w:line="276" w:lineRule="auto"/>
        <w:ind w:firstLine="567"/>
        <w:jc w:val="both"/>
      </w:pPr>
      <w:r w:rsidRPr="00963005">
        <w:t>T</w:t>
      </w:r>
      <w:r w:rsidR="00BF3B5D" w:rsidRPr="00963005">
        <w:t xml:space="preserve">iesa šādā sastāvā: </w:t>
      </w:r>
      <w:r w:rsidR="006E5C8C">
        <w:t>senatori</w:t>
      </w:r>
      <w:r w:rsidR="00D924F8" w:rsidRPr="00963005">
        <w:t xml:space="preserve"> </w:t>
      </w:r>
      <w:r w:rsidR="006E5C8C">
        <w:t>Rudīte Vīduša</w:t>
      </w:r>
      <w:r w:rsidR="00552980" w:rsidRPr="00963005">
        <w:t xml:space="preserve">, </w:t>
      </w:r>
      <w:r w:rsidR="006E5C8C">
        <w:t>Dzintra Amerika,</w:t>
      </w:r>
      <w:r w:rsidR="00E97EA1">
        <w:t xml:space="preserve"> </w:t>
      </w:r>
      <w:r w:rsidR="006E5C8C">
        <w:t>Valters Poķis</w:t>
      </w:r>
    </w:p>
    <w:p w:rsidR="00D4365D" w:rsidRPr="00963005" w:rsidRDefault="00D4365D" w:rsidP="00DB59DA">
      <w:pPr>
        <w:tabs>
          <w:tab w:val="left" w:pos="2700"/>
        </w:tabs>
        <w:spacing w:line="276" w:lineRule="auto"/>
        <w:ind w:firstLine="567"/>
        <w:jc w:val="both"/>
      </w:pPr>
    </w:p>
    <w:p w:rsidR="00C53109" w:rsidRPr="00963005" w:rsidRDefault="007F76C8" w:rsidP="00DB59DA">
      <w:pPr>
        <w:spacing w:line="276" w:lineRule="auto"/>
        <w:ind w:firstLine="567"/>
        <w:jc w:val="both"/>
      </w:pPr>
      <w:r w:rsidRPr="00963005">
        <w:t xml:space="preserve">rakstveida procesā izskatīja administratīvo lietu, kas ierosināta, pamatojoties uz </w:t>
      </w:r>
      <w:r w:rsidR="00272AB9" w:rsidRPr="00963005">
        <w:t>SIA </w:t>
      </w:r>
      <w:r w:rsidR="00B3525E" w:rsidRPr="004F096F">
        <w:t>„</w:t>
      </w:r>
      <w:r w:rsidR="00272AB9" w:rsidRPr="00963005">
        <w:t>JOKER LTD</w:t>
      </w:r>
      <w:r w:rsidR="00145ACA" w:rsidRPr="00963005">
        <w:t>”</w:t>
      </w:r>
      <w:r w:rsidR="00801871" w:rsidRPr="00963005">
        <w:t xml:space="preserve"> </w:t>
      </w:r>
      <w:r w:rsidR="00D924F8" w:rsidRPr="00963005">
        <w:t>pieteikumu p</w:t>
      </w:r>
      <w:r w:rsidR="0046557E" w:rsidRPr="00963005">
        <w:t xml:space="preserve">ar </w:t>
      </w:r>
      <w:r w:rsidR="00145ACA" w:rsidRPr="00963005">
        <w:t>labvēlīga administratīvā akta izdošanu</w:t>
      </w:r>
      <w:r w:rsidR="004D1767">
        <w:t>, ar kuru tiktu atļauta totalizatora un derību likmju pieņemšanas vietas atvēršana</w:t>
      </w:r>
      <w:r w:rsidR="00B43C17" w:rsidRPr="00963005">
        <w:t xml:space="preserve">, </w:t>
      </w:r>
      <w:r w:rsidR="00D924F8" w:rsidRPr="00963005">
        <w:t xml:space="preserve">sakarā ar </w:t>
      </w:r>
      <w:r w:rsidR="00F94335" w:rsidRPr="00963005">
        <w:t>Iecavas novada domes</w:t>
      </w:r>
      <w:r w:rsidR="0046557E" w:rsidRPr="00963005">
        <w:t xml:space="preserve"> kasācijas</w:t>
      </w:r>
      <w:r w:rsidR="00D924F8" w:rsidRPr="00963005">
        <w:t xml:space="preserve"> sūdzību par Ad</w:t>
      </w:r>
      <w:r w:rsidR="00D90726" w:rsidRPr="00963005">
        <w:t xml:space="preserve">ministratīvās apgabaltiesas </w:t>
      </w:r>
      <w:proofErr w:type="gramStart"/>
      <w:r w:rsidR="00D90726" w:rsidRPr="00963005">
        <w:t>201</w:t>
      </w:r>
      <w:r w:rsidR="006E5C8C">
        <w:t>7</w:t>
      </w:r>
      <w:r w:rsidR="00D90726" w:rsidRPr="00963005">
        <w:t>.gada</w:t>
      </w:r>
      <w:proofErr w:type="gramEnd"/>
      <w:r w:rsidR="00D90726" w:rsidRPr="00963005">
        <w:t xml:space="preserve"> </w:t>
      </w:r>
      <w:r w:rsidR="006E5C8C">
        <w:t>6.o</w:t>
      </w:r>
      <w:r w:rsidR="00272AB9" w:rsidRPr="00963005">
        <w:t>ktobra</w:t>
      </w:r>
      <w:r w:rsidR="00D924F8" w:rsidRPr="00963005">
        <w:t xml:space="preserve"> spriedumu</w:t>
      </w:r>
      <w:r w:rsidR="00B43C17" w:rsidRPr="00963005">
        <w:t>.</w:t>
      </w:r>
    </w:p>
    <w:p w:rsidR="00BE29DF" w:rsidRPr="00963005" w:rsidRDefault="00BE29DF" w:rsidP="00DB59DA">
      <w:pPr>
        <w:spacing w:line="276" w:lineRule="auto"/>
        <w:ind w:firstLine="567"/>
        <w:jc w:val="both"/>
      </w:pPr>
    </w:p>
    <w:p w:rsidR="00BF3B5D" w:rsidRPr="00963005" w:rsidRDefault="00BF3B5D" w:rsidP="00D133FC">
      <w:pPr>
        <w:spacing w:line="276" w:lineRule="auto"/>
        <w:jc w:val="center"/>
        <w:rPr>
          <w:b/>
        </w:rPr>
      </w:pPr>
      <w:r w:rsidRPr="00963005">
        <w:rPr>
          <w:b/>
        </w:rPr>
        <w:t>Aprakstošā daļa</w:t>
      </w:r>
    </w:p>
    <w:p w:rsidR="00BF3B5D" w:rsidRPr="00963005" w:rsidRDefault="00BF3B5D" w:rsidP="00DB59DA">
      <w:pPr>
        <w:spacing w:line="276" w:lineRule="auto"/>
        <w:ind w:firstLine="567"/>
        <w:jc w:val="both"/>
        <w:rPr>
          <w:highlight w:val="yellow"/>
        </w:rPr>
      </w:pPr>
    </w:p>
    <w:p w:rsidR="00120395" w:rsidRPr="00963005" w:rsidRDefault="005F39DA" w:rsidP="00DB59DA">
      <w:pPr>
        <w:spacing w:line="276" w:lineRule="auto"/>
        <w:ind w:firstLine="567"/>
        <w:jc w:val="both"/>
        <w:rPr>
          <w:color w:val="000000"/>
        </w:rPr>
      </w:pPr>
      <w:r w:rsidRPr="00963005">
        <w:t>[1] </w:t>
      </w:r>
      <w:r w:rsidR="00D256C3" w:rsidRPr="00963005">
        <w:t xml:space="preserve">Iecavas novada dome ar </w:t>
      </w:r>
      <w:proofErr w:type="gramStart"/>
      <w:r w:rsidR="00D256C3" w:rsidRPr="00963005">
        <w:t>2014.gada</w:t>
      </w:r>
      <w:proofErr w:type="gramEnd"/>
      <w:r w:rsidR="00D256C3" w:rsidRPr="00963005">
        <w:t xml:space="preserve"> 14.janvāra lēmumu atteica pieteicējai SIA </w:t>
      </w:r>
      <w:r w:rsidR="00B3525E" w:rsidRPr="004F096F">
        <w:t>„</w:t>
      </w:r>
      <w:r w:rsidR="00D256C3" w:rsidRPr="00963005">
        <w:t xml:space="preserve">JOKER LTD” </w:t>
      </w:r>
      <w:r w:rsidR="006E5C8C">
        <w:t>izsniegt atļauju totalizatora un derību likmju pieņemšanas vietas atvēršanai</w:t>
      </w:r>
      <w:r w:rsidR="00120395" w:rsidRPr="00963005">
        <w:t xml:space="preserve"> Rīgas ielā 16, Iecavā, </w:t>
      </w:r>
      <w:r w:rsidR="00120395" w:rsidRPr="00963005">
        <w:rPr>
          <w:color w:val="000000"/>
        </w:rPr>
        <w:t>jo tas būtiski aizskartu pašvaldības iedzīvotāju intereses.</w:t>
      </w:r>
    </w:p>
    <w:p w:rsidR="00D256C3" w:rsidRPr="00963005" w:rsidRDefault="00D256C3" w:rsidP="00DB59DA">
      <w:pPr>
        <w:spacing w:line="276" w:lineRule="auto"/>
        <w:ind w:firstLine="567"/>
        <w:jc w:val="both"/>
      </w:pPr>
    </w:p>
    <w:p w:rsidR="00B521B2" w:rsidRDefault="005A5AAC" w:rsidP="00B521B2">
      <w:pPr>
        <w:spacing w:line="276" w:lineRule="auto"/>
        <w:ind w:firstLine="567"/>
        <w:jc w:val="both"/>
        <w:rPr>
          <w:color w:val="000000"/>
        </w:rPr>
      </w:pPr>
      <w:r w:rsidRPr="00963005">
        <w:t>[2] </w:t>
      </w:r>
      <w:r w:rsidR="00E21059" w:rsidRPr="00963005">
        <w:t xml:space="preserve">Pieteicēja </w:t>
      </w:r>
      <w:r w:rsidR="006E5C8C">
        <w:t>vērsās</w:t>
      </w:r>
      <w:r w:rsidR="00E21059" w:rsidRPr="00963005">
        <w:t xml:space="preserve"> </w:t>
      </w:r>
      <w:r w:rsidR="006E5C8C">
        <w:t xml:space="preserve">Administratīvajā rajona </w:t>
      </w:r>
      <w:r w:rsidR="00E21059" w:rsidRPr="00963005">
        <w:t>tiesā</w:t>
      </w:r>
      <w:r w:rsidR="006E5C8C">
        <w:t xml:space="preserve"> ar</w:t>
      </w:r>
      <w:r w:rsidR="00E21059" w:rsidRPr="00963005">
        <w:t xml:space="preserve"> pieteikumu par labvēlīga administratīvā akta izdošanu</w:t>
      </w:r>
      <w:r w:rsidR="004E5BFA" w:rsidRPr="00963005">
        <w:t>.</w:t>
      </w:r>
    </w:p>
    <w:p w:rsidR="00B521B2" w:rsidRDefault="00B521B2" w:rsidP="00B521B2">
      <w:pPr>
        <w:spacing w:line="276" w:lineRule="auto"/>
        <w:ind w:firstLine="567"/>
        <w:jc w:val="both"/>
        <w:rPr>
          <w:color w:val="000000"/>
        </w:rPr>
      </w:pPr>
    </w:p>
    <w:p w:rsidR="006E5C8C" w:rsidRPr="00B521B2" w:rsidRDefault="00D924F8" w:rsidP="00B521B2">
      <w:pPr>
        <w:spacing w:line="276" w:lineRule="auto"/>
        <w:ind w:firstLine="567"/>
        <w:jc w:val="both"/>
        <w:rPr>
          <w:color w:val="000000"/>
        </w:rPr>
      </w:pPr>
      <w:r w:rsidRPr="00963005">
        <w:t>[3</w:t>
      </w:r>
      <w:r w:rsidR="009B1C87" w:rsidRPr="00963005">
        <w:t>] </w:t>
      </w:r>
      <w:r w:rsidR="006E5C8C" w:rsidRPr="006E5C8C">
        <w:rPr>
          <w:lang w:eastAsia="ru-RU"/>
        </w:rPr>
        <w:t>Izskatījusi lietu apelācijas kārtībā, Administratīvā apgabaltiesa</w:t>
      </w:r>
      <w:r w:rsidR="005C570E" w:rsidRPr="00963005">
        <w:t xml:space="preserve"> ar </w:t>
      </w:r>
      <w:proofErr w:type="gramStart"/>
      <w:r w:rsidR="006E5C8C">
        <w:t>2017</w:t>
      </w:r>
      <w:r w:rsidR="00147C63" w:rsidRPr="00963005">
        <w:t>.gada</w:t>
      </w:r>
      <w:proofErr w:type="gramEnd"/>
      <w:r w:rsidR="00147C63" w:rsidRPr="00963005">
        <w:t xml:space="preserve"> </w:t>
      </w:r>
      <w:r w:rsidR="006E5C8C">
        <w:t>6</w:t>
      </w:r>
      <w:r w:rsidR="00147C63" w:rsidRPr="00963005">
        <w:t>.oktobra</w:t>
      </w:r>
      <w:r w:rsidR="00B559DA" w:rsidRPr="00963005">
        <w:t xml:space="preserve"> spriedumu pieteikumu </w:t>
      </w:r>
      <w:r w:rsidR="00147C63" w:rsidRPr="00963005">
        <w:t>apmierināja</w:t>
      </w:r>
      <w:r w:rsidR="00B559DA" w:rsidRPr="00963005">
        <w:t xml:space="preserve">. </w:t>
      </w:r>
      <w:r w:rsidR="006E5C8C" w:rsidRPr="006E5C8C">
        <w:rPr>
          <w:lang w:eastAsia="ru-RU"/>
        </w:rPr>
        <w:t>Spriedums pamatots ar turpmāk minētajiem apsvērumiem, k</w:t>
      </w:r>
      <w:r w:rsidR="004D1767">
        <w:rPr>
          <w:lang w:eastAsia="ru-RU"/>
        </w:rPr>
        <w:t>as</w:t>
      </w:r>
      <w:r w:rsidR="006E5C8C" w:rsidRPr="006E5C8C">
        <w:rPr>
          <w:lang w:eastAsia="ru-RU"/>
        </w:rPr>
        <w:t xml:space="preserve"> ietver arī Administratīvās rajona tiesas spriedumā ietverto motivāciju, kurai apgabaltiesa pievienojusies.</w:t>
      </w:r>
    </w:p>
    <w:p w:rsidR="003308FC" w:rsidRPr="00963005" w:rsidRDefault="006E5C8C" w:rsidP="006E5C8C">
      <w:pPr>
        <w:spacing w:line="276" w:lineRule="auto"/>
        <w:ind w:firstLine="567"/>
        <w:jc w:val="both"/>
      </w:pPr>
      <w:r w:rsidRPr="00963005">
        <w:t xml:space="preserve"> </w:t>
      </w:r>
      <w:r w:rsidR="00D924F8" w:rsidRPr="00963005">
        <w:t>[3.1] </w:t>
      </w:r>
      <w:r w:rsidR="003308FC" w:rsidRPr="00963005">
        <w:t xml:space="preserve">Azartspēļu un izložu likuma </w:t>
      </w:r>
      <w:proofErr w:type="gramStart"/>
      <w:r w:rsidR="003308FC" w:rsidRPr="00963005">
        <w:t>42.panta</w:t>
      </w:r>
      <w:proofErr w:type="gramEnd"/>
      <w:r w:rsidR="003308FC" w:rsidRPr="00963005">
        <w:t xml:space="preserve"> trešā daļa noteic</w:t>
      </w:r>
      <w:r w:rsidR="004D1767">
        <w:t>:</w:t>
      </w:r>
      <w:r w:rsidR="003308FC" w:rsidRPr="00963005">
        <w:t xml:space="preserve"> ja azartspēles paredzēts rīkot vietā, uz kuru nav attiecināmi Azartspēļu un izložu likuma </w:t>
      </w:r>
      <w:proofErr w:type="gramStart"/>
      <w:r w:rsidR="003308FC" w:rsidRPr="00963005">
        <w:t>41.panta</w:t>
      </w:r>
      <w:proofErr w:type="gramEnd"/>
      <w:r w:rsidR="003308FC" w:rsidRPr="00963005">
        <w:t xml:space="preserve"> otrajā daļā noteiktie ierobežojumi, par atļauju organizēt azartspēles katrā konkrētajā gadījumā lemj pašvaldības dome (padome), izvērtējot to, vai azartspēļu organizēšana konkrētajā vietā nerada būtisku valsts un attiecīgās administratīvās teritorijas iedzīvotāju interešu aizskārumu.</w:t>
      </w:r>
    </w:p>
    <w:p w:rsidR="00566210" w:rsidRDefault="004A5632" w:rsidP="00566210">
      <w:pPr>
        <w:spacing w:line="276" w:lineRule="auto"/>
        <w:ind w:firstLine="567"/>
        <w:jc w:val="both"/>
      </w:pPr>
      <w:r w:rsidRPr="00963005">
        <w:t>[3.2] </w:t>
      </w:r>
      <w:r w:rsidR="00A94D82" w:rsidRPr="00963005">
        <w:t xml:space="preserve">Jēdziens </w:t>
      </w:r>
      <w:r w:rsidR="00B3525E" w:rsidRPr="004F096F">
        <w:t>„</w:t>
      </w:r>
      <w:r w:rsidR="00A94D82" w:rsidRPr="00963005">
        <w:t>būtisks iedzīvotāju interešu aizskārums” ir atklāts juridisks jēdziens.</w:t>
      </w:r>
      <w:r w:rsidR="00566210" w:rsidRPr="00566210">
        <w:rPr>
          <w:color w:val="000000"/>
          <w:sz w:val="28"/>
          <w:szCs w:val="28"/>
          <w:shd w:val="clear" w:color="auto" w:fill="FFFFFF"/>
        </w:rPr>
        <w:t xml:space="preserve"> </w:t>
      </w:r>
      <w:r w:rsidR="00566210" w:rsidRPr="00566210">
        <w:t>Pašvaldībai ir ar likumu piešķirta novērtējuma brīvība, kuru pārbaudīt tiesā ir iespējams tikai ierobežoti. Taču novērtējuma brīvībai ir robežas. Tās nosaka patvaļas aizlieguma un procesuālā taisnīguma princip</w:t>
      </w:r>
      <w:r w:rsidR="00566210">
        <w:t>i.</w:t>
      </w:r>
    </w:p>
    <w:p w:rsidR="00566210" w:rsidRDefault="005C4E14" w:rsidP="00A771C8">
      <w:pPr>
        <w:spacing w:line="276" w:lineRule="auto"/>
        <w:ind w:firstLine="567"/>
        <w:jc w:val="both"/>
      </w:pPr>
      <w:r w:rsidRPr="00963005">
        <w:lastRenderedPageBreak/>
        <w:t>[3.3] </w:t>
      </w:r>
      <w:r w:rsidR="00566210" w:rsidRPr="00566210">
        <w:t xml:space="preserve">Kā izriet no Azartspēļu un izložu likuma </w:t>
      </w:r>
      <w:proofErr w:type="gramStart"/>
      <w:r w:rsidR="00566210" w:rsidRPr="00566210">
        <w:t>41.panta</w:t>
      </w:r>
      <w:proofErr w:type="gramEnd"/>
      <w:r w:rsidR="00566210" w:rsidRPr="00566210">
        <w:t xml:space="preserve"> otrās daļas, tad pretēji citām azartspēlēm derības un totalizatoru ir pieļauts organizēt publisko pasākumu vietās arī pasākumu norises laikā (5.punkts), kā arī bāros un kafejnīcās (8.punkts). Tāpat derības un totalizatoru ir pieļauts organizēt veikalos, kultūras iestādēs, dzelzceļa stacijās, autoostās, lidostās, ostās, ja šīs vietas ir nodalītas no pārējās ēkas daļas un tām ir atsevišķas ieejas (7.punkts).</w:t>
      </w:r>
    </w:p>
    <w:p w:rsidR="0071016B" w:rsidRDefault="00CC6513" w:rsidP="00A771C8">
      <w:pPr>
        <w:spacing w:line="276" w:lineRule="auto"/>
        <w:ind w:firstLine="567"/>
        <w:jc w:val="both"/>
      </w:pPr>
      <w:r>
        <w:t>L</w:t>
      </w:r>
      <w:r w:rsidR="00566210" w:rsidRPr="00566210">
        <w:t>ikumdevējs ir not</w:t>
      </w:r>
      <w:r w:rsidR="00566210">
        <w:t>e</w:t>
      </w:r>
      <w:r w:rsidR="00566210" w:rsidRPr="00566210">
        <w:t>icis vieglākas prasības derību likmju pieņe</w:t>
      </w:r>
      <w:r>
        <w:t>mšanas vietām vai totalizatoram</w:t>
      </w:r>
      <w:r w:rsidR="00566210">
        <w:t xml:space="preserve">. </w:t>
      </w:r>
      <w:r w:rsidR="00391DDC" w:rsidRPr="00391DDC">
        <w:t>Attiecīgi pašvaldībai savs aizliegums ierīkot totalizatora vai derību pieņemšanas vietu ir vēl jo rūpīgāk jāpārdomā un jāmotivē.</w:t>
      </w:r>
      <w:r w:rsidR="00391DDC">
        <w:t xml:space="preserve"> </w:t>
      </w:r>
      <w:r w:rsidR="00566210">
        <w:t>J</w:t>
      </w:r>
      <w:r w:rsidR="00566210" w:rsidRPr="00566210">
        <w:t xml:space="preserve">a likumdevējs ir pieļāvis šādu azartspēļu vietas ierīkošanu pat kultūras objektos, </w:t>
      </w:r>
      <w:r w:rsidR="008243FC" w:rsidRPr="008243FC">
        <w:t>tad vēl jo vairāk tāda drīkst būt šim objektam blakus un lielākā attālumā no tā, ja vien netiek konstatēti citi apstākļi, kas liecina par būtiska aizskāruma esību. Līdz ar to arguments par pieteicējas īpašuma atrašanos netālu no kultūras nama nav pietiekams, lai atteiktu pieteicējai labvēlīga administratīvā akta izdošanu.</w:t>
      </w:r>
    </w:p>
    <w:p w:rsidR="0099586D" w:rsidRDefault="0071016B" w:rsidP="00A771C8">
      <w:pPr>
        <w:spacing w:line="276" w:lineRule="auto"/>
        <w:ind w:firstLine="567"/>
        <w:jc w:val="both"/>
      </w:pPr>
      <w:r>
        <w:t xml:space="preserve">[3.4] </w:t>
      </w:r>
      <w:r w:rsidR="0099586D">
        <w:t>I</w:t>
      </w:r>
      <w:r w:rsidR="0099586D" w:rsidRPr="0099586D">
        <w:t xml:space="preserve">zvērtējot </w:t>
      </w:r>
      <w:r w:rsidR="0099586D">
        <w:t>pašvaldības noteikto</w:t>
      </w:r>
      <w:r w:rsidR="0099586D" w:rsidRPr="0099586D">
        <w:t xml:space="preserve"> kritēriju</w:t>
      </w:r>
      <w:r w:rsidR="0099586D">
        <w:t>, kā dēļ tā ir atteikusi atļaujas izsniegšanu,</w:t>
      </w:r>
      <w:r w:rsidR="0099586D" w:rsidRPr="0099586D">
        <w:t xml:space="preserve"> ietekmi katrā konkrētajā gadījumā, ir jāņem vērā likumdevēja pieļautie izņēmumi attiecībā uz totalizator</w:t>
      </w:r>
      <w:r w:rsidR="0099586D">
        <w:t>a vai derību pieņemšanas vietu.</w:t>
      </w:r>
      <w:r w:rsidR="0099586D" w:rsidRPr="0099586D">
        <w:t xml:space="preserve"> </w:t>
      </w:r>
      <w:r w:rsidR="0099586D">
        <w:t>N</w:t>
      </w:r>
      <w:r w:rsidR="0099586D" w:rsidRPr="0099586D">
        <w:t xml:space="preserve">o </w:t>
      </w:r>
      <w:r w:rsidR="0099586D">
        <w:t>t</w:t>
      </w:r>
      <w:r w:rsidR="0099586D" w:rsidRPr="0099586D">
        <w:t>ā izriet, ka ne publisko pasākumu norisei tās tuvumā, ne kultūras iestāžu tuvumam, ne sabiedrības kustības lielai intensitātei (kas parasti raksturīga dzelzceļa stacijām, autoostām, lidostām, ostām) un pat ne personu, kas nav mērķauditorija, esībai tās tiešā tuvumā (kas jo īpaši attiecināms uz bāriem un kafejnīcām) nevar piešķirt tik lielu nozīmi, kā tas ir citu azartspēļu gadījumā.</w:t>
      </w:r>
    </w:p>
    <w:p w:rsidR="0099586D" w:rsidRDefault="0099586D" w:rsidP="0099586D">
      <w:pPr>
        <w:spacing w:line="276" w:lineRule="auto"/>
        <w:ind w:firstLine="567"/>
        <w:jc w:val="both"/>
      </w:pPr>
      <w:r>
        <w:t>[3.5] Attiecīgās atšķirības izriet jau no totalizatora un derību pieņemšanas vietas būtības un vizuālās uztveres, proti, tajā nav azartspēļu automātu, kāršu, ruletes vai kauliņu spēles galdu, bet tajā ir izvietoti televizoru ekrāni ar sporta spēļu atspoguļojumu, proti, iekārtas, kas ir ierastas un visiem pieejamas un kas pašas par sevi neatspoguļo neko amorālu, sabiedrības vērtībām pretēju vai psihi degradējošu, kā to savā lēmumā un apelācijas sūdzībā vairākkārt uzsver pašvaldība.</w:t>
      </w:r>
    </w:p>
    <w:p w:rsidR="0099586D" w:rsidRDefault="0099586D" w:rsidP="0099586D">
      <w:pPr>
        <w:spacing w:line="276" w:lineRule="auto"/>
        <w:ind w:firstLine="567"/>
        <w:jc w:val="both"/>
      </w:pPr>
      <w:r>
        <w:t>Jāņem vērā tiesu praksē vairākkārt atzīt</w:t>
      </w:r>
      <w:r w:rsidR="00737BFA">
        <w:t>ais</w:t>
      </w:r>
      <w:r>
        <w:t>, ka, tieši apzinoties sabiedrības atšķirīgo attieksmi pret azartspēlēm</w:t>
      </w:r>
      <w:r w:rsidR="00093FC9">
        <w:t xml:space="preserve"> un azartspēļu negatīvo ietekmi</w:t>
      </w:r>
      <w:r>
        <w:t xml:space="preserve"> un vēloties līdzsvarot to personu intereses, kuras piedāvā azartspēļu pakalpojumus un apzināti tos izmanto, ar tās sabiedrības daļas interesēm, kurai šādi pakalpojumi nav pieņemami un ir viņu intereses aizskaroši, likumdevējs pieņēma grozījumus Azartspēļu un izložu likumā, nododot pašvaldību kompetencē izšķirt jautājumu, kuros gadījumos šis komercdarbības veids ir atļaujams konkrētā vietā un kuros nav.</w:t>
      </w:r>
    </w:p>
    <w:p w:rsidR="008243FC" w:rsidRDefault="00855AFA" w:rsidP="00A771C8">
      <w:pPr>
        <w:spacing w:line="276" w:lineRule="auto"/>
        <w:ind w:firstLine="567"/>
        <w:jc w:val="both"/>
      </w:pPr>
      <w:r>
        <w:t>[3.6</w:t>
      </w:r>
      <w:r w:rsidR="0099586D">
        <w:t xml:space="preserve">] </w:t>
      </w:r>
      <w:r w:rsidR="0071016B">
        <w:t>Iepriekš minētais</w:t>
      </w:r>
      <w:r w:rsidR="00B06D40" w:rsidRPr="00B06D40">
        <w:t xml:space="preserve"> secinājums attiecināms arī uz argumentu, kas skar iedzīvotāju plūsmas esību Iecavas centrā.</w:t>
      </w:r>
      <w:r w:rsidR="00B06D40">
        <w:t xml:space="preserve"> </w:t>
      </w:r>
    </w:p>
    <w:p w:rsidR="00566210" w:rsidRDefault="00855AFA" w:rsidP="00AB3D0E">
      <w:pPr>
        <w:spacing w:line="276" w:lineRule="auto"/>
        <w:ind w:firstLine="567"/>
        <w:jc w:val="both"/>
      </w:pPr>
      <w:r>
        <w:t>[3.7</w:t>
      </w:r>
      <w:r w:rsidR="00566210">
        <w:t xml:space="preserve">] </w:t>
      </w:r>
      <w:r w:rsidR="00AB3D0E">
        <w:t>K</w:t>
      </w:r>
      <w:r w:rsidR="00AB3D0E" w:rsidRPr="00AB3D0E">
        <w:t>ultūras namam (Rīgas ielā 18, Iecavā) blakus no otras puses (Rīgas ielā 20, Iecavā) jau ir izvietota un darbojas cita azart</w:t>
      </w:r>
      <w:r w:rsidR="00AB3D0E">
        <w:t>spēļu zāle.</w:t>
      </w:r>
    </w:p>
    <w:p w:rsidR="00AB3D0E" w:rsidRDefault="00AB3D0E" w:rsidP="00AB3D0E">
      <w:pPr>
        <w:spacing w:line="276" w:lineRule="auto"/>
        <w:ind w:firstLine="567"/>
        <w:jc w:val="both"/>
      </w:pPr>
      <w:r>
        <w:t>A</w:t>
      </w:r>
      <w:r w:rsidRPr="00AB3D0E">
        <w:t xml:space="preserve">tbildētājas </w:t>
      </w:r>
      <w:r>
        <w:t>norādītais,</w:t>
      </w:r>
      <w:r w:rsidRPr="00AB3D0E">
        <w:t xml:space="preserve"> ka SIA „</w:t>
      </w:r>
      <w:proofErr w:type="spellStart"/>
      <w:r w:rsidRPr="00AB3D0E">
        <w:t>Alfor</w:t>
      </w:r>
      <w:proofErr w:type="spellEnd"/>
      <w:r w:rsidRPr="00AB3D0E">
        <w:t xml:space="preserve">” spēļu zāles atļauja izsniegta </w:t>
      </w:r>
      <w:proofErr w:type="gramStart"/>
      <w:r w:rsidRPr="00AB3D0E">
        <w:t>citos tiesiskajos apstākļos</w:t>
      </w:r>
      <w:proofErr w:type="gramEnd"/>
      <w:r w:rsidRPr="00AB3D0E">
        <w:t>, kad pašvaldībai vēl nebija piešķirta izvēles brīvība šādu atļauju izsniegšanā</w:t>
      </w:r>
      <w:r>
        <w:t xml:space="preserve">, ir </w:t>
      </w:r>
      <w:r w:rsidRPr="00AB3D0E">
        <w:t xml:space="preserve">vērtējams kritiski kopsakarā ar </w:t>
      </w:r>
      <w:r w:rsidR="00613B3B">
        <w:t>Senāta</w:t>
      </w:r>
      <w:r w:rsidRPr="00AB3D0E">
        <w:t xml:space="preserve"> atziņām līdzī</w:t>
      </w:r>
      <w:r w:rsidR="00825274">
        <w:t>gās lietās.</w:t>
      </w:r>
      <w:r w:rsidRPr="00AB3D0E">
        <w:t xml:space="preserve"> Azartspēļu un izložu likuma </w:t>
      </w:r>
      <w:proofErr w:type="gramStart"/>
      <w:r w:rsidRPr="00AB3D0E">
        <w:t>42.panta</w:t>
      </w:r>
      <w:proofErr w:type="gramEnd"/>
      <w:r w:rsidRPr="00AB3D0E">
        <w:t xml:space="preserve"> sestā daļa jau kopš 2006.gada 4.jūlija deva tiesības pašvaldībām, tostarp atbildētājai, atcelt izsniegtās atļaujas azartspēļu vietu darbībai, ja azartspēļu organizēšana konkrētajā vietā rada būtisku valsts un attiecīgās administratīvās teritorijas iedzīvotāju interešu aizskārumu.</w:t>
      </w:r>
    </w:p>
    <w:p w:rsidR="00825274" w:rsidRDefault="002107F0" w:rsidP="00AB3D0E">
      <w:pPr>
        <w:spacing w:line="276" w:lineRule="auto"/>
        <w:ind w:firstLine="567"/>
        <w:jc w:val="both"/>
      </w:pPr>
      <w:r>
        <w:t>V</w:t>
      </w:r>
      <w:r w:rsidRPr="002107F0">
        <w:t>eselības veicināšanas programm</w:t>
      </w:r>
      <w:r>
        <w:t>a</w:t>
      </w:r>
      <w:r w:rsidR="009E2C40">
        <w:t>s esība</w:t>
      </w:r>
      <w:r w:rsidRPr="002107F0">
        <w:t xml:space="preserve"> neizskaidro, kāpēc vienam komersantam tiek dota priekšroka salīdzinājumā ar citu komersantu, </w:t>
      </w:r>
      <w:r>
        <w:t>kurš darbojas tajā pašā jomā.</w:t>
      </w:r>
      <w:r w:rsidRPr="002107F0">
        <w:t xml:space="preserve"> </w:t>
      </w:r>
      <w:r>
        <w:t>A</w:t>
      </w:r>
      <w:r w:rsidRPr="002107F0">
        <w:t>pstāklis, ka SIA „</w:t>
      </w:r>
      <w:proofErr w:type="spellStart"/>
      <w:r w:rsidRPr="002107F0">
        <w:t>Alfor</w:t>
      </w:r>
      <w:proofErr w:type="spellEnd"/>
      <w:r w:rsidRPr="002107F0">
        <w:t>” atļauja ir tikusi izsniegta agrāk, aktuālajā periodā nemaina to pašu apstākļu pastāvēšanu, kas šobrīd tiek attiecināti uz pieteicēju.</w:t>
      </w:r>
    </w:p>
    <w:p w:rsidR="002107F0" w:rsidRDefault="002107F0" w:rsidP="002107F0">
      <w:pPr>
        <w:spacing w:line="276" w:lineRule="auto"/>
        <w:ind w:firstLine="567"/>
        <w:jc w:val="both"/>
      </w:pPr>
      <w:r>
        <w:lastRenderedPageBreak/>
        <w:t>Ja pašvaldība uzskatītu, ka teritorijā, kurā jau atrodas spēļu zāle, azartspēles organizēt vispār nav pieļaujams, pašvaldība būtu īstenojusi savas likumā paredzētās tiesības, proti, būtu atcēlusi iepriekš izsniegto azartspēļu organizēšanas atļauju. Tomēr nekādas darbības par SIA</w:t>
      </w:r>
      <w:r w:rsidR="009E2C40">
        <w:t> </w:t>
      </w:r>
      <w:r>
        <w:t>„</w:t>
      </w:r>
      <w:proofErr w:type="spellStart"/>
      <w:r>
        <w:t>Alfor</w:t>
      </w:r>
      <w:proofErr w:type="spellEnd"/>
      <w:r>
        <w:t>” izsniegtās atļaujas atcelšanu pašvaldība nav veikusi.</w:t>
      </w:r>
    </w:p>
    <w:p w:rsidR="00AB3D0E" w:rsidRDefault="002107F0" w:rsidP="002107F0">
      <w:pPr>
        <w:spacing w:line="276" w:lineRule="auto"/>
        <w:ind w:firstLine="567"/>
        <w:jc w:val="both"/>
      </w:pPr>
      <w:r>
        <w:t>Minētais norāda uz to, ka pašvaldība tomēr nav konstatējusi būtisku iedzīvotāju interešu aizskārumu.</w:t>
      </w:r>
    </w:p>
    <w:p w:rsidR="00855AFA" w:rsidRDefault="00855AFA" w:rsidP="002107F0">
      <w:pPr>
        <w:spacing w:line="276" w:lineRule="auto"/>
        <w:ind w:firstLine="567"/>
        <w:jc w:val="both"/>
      </w:pPr>
      <w:r>
        <w:t xml:space="preserve">[3.8] Tāpat </w:t>
      </w:r>
      <w:r w:rsidR="00093FC9">
        <w:t>jāņem</w:t>
      </w:r>
      <w:r w:rsidRPr="00855AFA">
        <w:t xml:space="preserve"> vērā, ka ne lēmuma pieņemšanas brīdī spēkā</w:t>
      </w:r>
      <w:r w:rsidR="00093FC9">
        <w:t xml:space="preserve"> esošajā teritorijas plānojumā, kas </w:t>
      </w:r>
      <w:r w:rsidRPr="00855AFA">
        <w:t xml:space="preserve">apstiprināts ar Iecavas novada domes </w:t>
      </w:r>
      <w:proofErr w:type="gramStart"/>
      <w:r w:rsidRPr="00855AFA">
        <w:t>2008.gada</w:t>
      </w:r>
      <w:proofErr w:type="gramEnd"/>
      <w:r w:rsidRPr="00855AFA">
        <w:t xml:space="preserve"> 8.aprīļa</w:t>
      </w:r>
      <w:r w:rsidR="00093FC9">
        <w:t xml:space="preserve"> saistošajiem noteikumiem Nr.</w:t>
      </w:r>
      <w:r w:rsidR="00504004">
        <w:t> </w:t>
      </w:r>
      <w:r w:rsidR="00093FC9">
        <w:t>10 (turpmāk – 2008.gada teritorijas plānojums),</w:t>
      </w:r>
      <w:r w:rsidRPr="00855AFA">
        <w:t xml:space="preserve"> ne arī pašlaik spēk</w:t>
      </w:r>
      <w:r w:rsidR="00B14CB7">
        <w:t xml:space="preserve">ā esošajā teritorijas plānojumā, kas </w:t>
      </w:r>
      <w:r w:rsidRPr="00855AFA">
        <w:t>apstiprināts ar 2017.gada 16.maij</w:t>
      </w:r>
      <w:r w:rsidR="00B14CB7">
        <w:t>a saistošajiem noteikumiem Nr.</w:t>
      </w:r>
      <w:r w:rsidR="00504004">
        <w:t> </w:t>
      </w:r>
      <w:r w:rsidR="00B14CB7">
        <w:t>5 (turpmāk – 2017.gada teritorijas plānojums)</w:t>
      </w:r>
      <w:r w:rsidR="00504004">
        <w:t>,</w:t>
      </w:r>
      <w:r w:rsidRPr="00855AFA">
        <w:t xml:space="preserve"> pašvaldība nav uzskatījusi par nepieciešamu noteikt jebkādus ierobežojumus azartspēļu objektu izvietošanai attiecīg</w:t>
      </w:r>
      <w:r w:rsidR="00093FC9">
        <w:t xml:space="preserve">ajā vietā, kā tas ir bijis, </w:t>
      </w:r>
      <w:proofErr w:type="spellStart"/>
      <w:r w:rsidR="00093FC9">
        <w:t>cit</w:t>
      </w:r>
      <w:r w:rsidRPr="00855AFA">
        <w:t>starp</w:t>
      </w:r>
      <w:proofErr w:type="spellEnd"/>
      <w:r w:rsidRPr="00855AFA">
        <w:t>, citos gadījumos, uz kuriem atsaucas pati atbildētāja</w:t>
      </w:r>
      <w:r>
        <w:t>.</w:t>
      </w:r>
    </w:p>
    <w:p w:rsidR="00FC66A4" w:rsidRDefault="00855AFA" w:rsidP="002107F0">
      <w:pPr>
        <w:spacing w:line="276" w:lineRule="auto"/>
        <w:ind w:firstLine="567"/>
        <w:jc w:val="both"/>
      </w:pPr>
      <w:r>
        <w:t>[3.9</w:t>
      </w:r>
      <w:r w:rsidR="0099586D">
        <w:t>]</w:t>
      </w:r>
      <w:r w:rsidR="00FC66A4">
        <w:t xml:space="preserve"> P</w:t>
      </w:r>
      <w:r w:rsidR="00FC66A4" w:rsidRPr="00FC66A4">
        <w:t>ašvaldībai ir jānoteic vispārīgi kritēriji, skaidri noteikti un pamatoti attālumi (</w:t>
      </w:r>
      <w:proofErr w:type="gramStart"/>
      <w:r w:rsidR="00FC66A4" w:rsidRPr="00FC66A4">
        <w:t xml:space="preserve">ja tā grib vadīties no </w:t>
      </w:r>
      <w:r w:rsidR="009E2C40">
        <w:t xml:space="preserve">šādiem </w:t>
      </w:r>
      <w:r w:rsidR="00FC66A4" w:rsidRPr="00FC66A4">
        <w:t>apsvērumiem</w:t>
      </w:r>
      <w:proofErr w:type="gramEnd"/>
      <w:r w:rsidR="00FC66A4" w:rsidRPr="00FC66A4">
        <w:t>), kas piemērojami vienlīdz visiem komersantiem</w:t>
      </w:r>
      <w:r w:rsidR="00FC66A4">
        <w:t>.</w:t>
      </w:r>
      <w:r w:rsidR="00FC66A4" w:rsidRPr="00FC66A4">
        <w:t xml:space="preserve"> </w:t>
      </w:r>
      <w:r w:rsidR="00FC66A4">
        <w:t xml:space="preserve">Uz objektīvu kritēriju nepieciešamību norādījusi arī Eiropas Savienības Tiesa </w:t>
      </w:r>
      <w:proofErr w:type="gramStart"/>
      <w:r w:rsidR="00FC66A4">
        <w:t>2010.gada</w:t>
      </w:r>
      <w:proofErr w:type="gramEnd"/>
      <w:r w:rsidR="00FC66A4">
        <w:t xml:space="preserve"> 3.jūnija spriedumā lietā Nr. C-203/08.</w:t>
      </w:r>
    </w:p>
    <w:p w:rsidR="00FC66A4" w:rsidRDefault="00FC66A4" w:rsidP="002107F0">
      <w:pPr>
        <w:spacing w:line="276" w:lineRule="auto"/>
        <w:ind w:firstLine="567"/>
        <w:jc w:val="both"/>
      </w:pPr>
      <w:r>
        <w:t>[3.</w:t>
      </w:r>
      <w:r w:rsidR="00855AFA">
        <w:t>10</w:t>
      </w:r>
      <w:r>
        <w:t>] A</w:t>
      </w:r>
      <w:r w:rsidRPr="00FC66A4">
        <w:t xml:space="preserve">pstāklis, ka iecerētajai azartspēļu zāles vietai blakus atrodas kultūras nams un Pestīšanas armijas zupas virtuve, kā arī gar to </w:t>
      </w:r>
      <w:r>
        <w:t>ir sabiedrības kustības liela intensitāte (aktivitāte)</w:t>
      </w:r>
      <w:r w:rsidRPr="00FC66A4">
        <w:t>, ir pamatots tikai tad, ja pastāv apstākļi, kas liecina, ka palielinās risks, ka var pieaugt tādu azartspēļu zālē nokļuvušo personu skaits, kurām nemaz nav bijis nolūk</w:t>
      </w:r>
      <w:r w:rsidR="00102A88">
        <w:t>a</w:t>
      </w:r>
      <w:r w:rsidRPr="00FC66A4">
        <w:t xml:space="preserve"> tur doties, un vieta nav saderīga ar citu organizāciju piedāvātajām vērtībām. </w:t>
      </w:r>
      <w:r>
        <w:t>Šajā gadījumā</w:t>
      </w:r>
      <w:r w:rsidR="00093FC9">
        <w:t xml:space="preserve"> arguments, ka</w:t>
      </w:r>
      <w:r>
        <w:t xml:space="preserve"> </w:t>
      </w:r>
      <w:r w:rsidRPr="00FC66A4">
        <w:t>derību likmju pieņemšanas vietas un totalizatora atrašanās intensīvas gājēju plūsmas maršrutā radīs nepilngadīgu personu – bērnu un jauniešu – vilinājumu ieiet šāda veida iestādē, nav p</w:t>
      </w:r>
      <w:r>
        <w:t>amatots.</w:t>
      </w:r>
    </w:p>
    <w:p w:rsidR="00522829" w:rsidRDefault="00855AFA" w:rsidP="00522829">
      <w:pPr>
        <w:spacing w:line="276" w:lineRule="auto"/>
        <w:ind w:firstLine="567"/>
        <w:jc w:val="both"/>
      </w:pPr>
      <w:r>
        <w:t>[3.11</w:t>
      </w:r>
      <w:r w:rsidR="00FC66A4">
        <w:t>]</w:t>
      </w:r>
      <w:r w:rsidR="00522829">
        <w:t xml:space="preserve"> Sabiedrības viedoklis pats par sevi, lai arī ir nozīmīgs pašvaldības attīstības virzienu noteikšanā, nav pietiekams nelabvēlīga administratīvā akta pamatojumā, kas atbildētājam jāpiepilda ar konkrētiem faktiem un to izvērtējumu.</w:t>
      </w:r>
    </w:p>
    <w:p w:rsidR="00522829" w:rsidRDefault="00522829" w:rsidP="00522829">
      <w:pPr>
        <w:spacing w:line="276" w:lineRule="auto"/>
        <w:ind w:firstLine="567"/>
        <w:jc w:val="both"/>
      </w:pPr>
      <w:r>
        <w:t>Aptaujas anketas satur arī norādi par to, ka ar pieteicējas darbības uzsākšanu šajā vietā palielināsies noziedzības līmenis ci</w:t>
      </w:r>
      <w:r w:rsidR="00093FC9">
        <w:t xml:space="preserve">emā, ko atsevišķas personas </w:t>
      </w:r>
      <w:r>
        <w:t xml:space="preserve">bija atzīmējušas kā savas nepiekrišanas iemeslu. Taču šāds arguments </w:t>
      </w:r>
      <w:r w:rsidRPr="00522829">
        <w:t>ir pārāk vispārīgs un nenorāda uz konkrētu būtisku sabiedriskās kārtības un drošības apdraudējumu tiešā pieteicējas azartspēļu organizēšanas vietas tuvumā.</w:t>
      </w:r>
    </w:p>
    <w:p w:rsidR="00E92CDB" w:rsidRPr="00963005" w:rsidRDefault="00E92CDB" w:rsidP="00E92CDB">
      <w:pPr>
        <w:spacing w:line="276" w:lineRule="auto"/>
        <w:ind w:firstLine="567"/>
        <w:jc w:val="both"/>
      </w:pPr>
    </w:p>
    <w:p w:rsidR="00DB41AE" w:rsidRPr="00963005" w:rsidRDefault="00D924F8" w:rsidP="00DB59DA">
      <w:pPr>
        <w:spacing w:line="276" w:lineRule="auto"/>
        <w:ind w:firstLine="567"/>
        <w:jc w:val="both"/>
      </w:pPr>
      <w:r w:rsidRPr="00963005">
        <w:t>[4] </w:t>
      </w:r>
      <w:r w:rsidR="00DB41AE" w:rsidRPr="00963005">
        <w:t xml:space="preserve">Iecavas novada dome </w:t>
      </w:r>
      <w:r w:rsidR="00DD0E8F" w:rsidRPr="00963005">
        <w:t xml:space="preserve">par apgabaltiesas spriedumu </w:t>
      </w:r>
      <w:r w:rsidR="00DB41AE" w:rsidRPr="00963005">
        <w:t>iesniegusi kasācijas sūdzību, kas pamatota ar turpmāk minētajiem argumentiem.</w:t>
      </w:r>
    </w:p>
    <w:p w:rsidR="007F060F" w:rsidRPr="00963005" w:rsidRDefault="00760CEC" w:rsidP="00DB59DA">
      <w:pPr>
        <w:spacing w:line="276" w:lineRule="auto"/>
        <w:ind w:firstLine="567"/>
        <w:jc w:val="both"/>
      </w:pPr>
      <w:r w:rsidRPr="00963005">
        <w:t>[4.1] </w:t>
      </w:r>
      <w:r w:rsidR="00FF6344" w:rsidRPr="00963005">
        <w:t>Tiesību normas konkrēti nenosaka, kā organizē izvē</w:t>
      </w:r>
      <w:r w:rsidR="009859CE" w:rsidRPr="00963005">
        <w:t>r</w:t>
      </w:r>
      <w:r w:rsidR="00FF6344" w:rsidRPr="00963005">
        <w:t>tēšanu</w:t>
      </w:r>
      <w:r w:rsidR="009859CE" w:rsidRPr="00963005">
        <w:t xml:space="preserve"> par to, vai azartspēļu organizēšana konkrētajā vietā nerada būtisku valsts un attiecīgās administratīvās teritorijas iedzīvotāju interešu aizskārumu. Pašvaldībai ir izvēles brīvība izvēlēties metodes, ar kādām tā </w:t>
      </w:r>
      <w:r w:rsidR="008D30C0">
        <w:t>īsteno</w:t>
      </w:r>
      <w:r w:rsidR="009859CE" w:rsidRPr="00963005">
        <w:t xml:space="preserve"> savu Azartspēļu un izložu likuma </w:t>
      </w:r>
      <w:proofErr w:type="gramStart"/>
      <w:r w:rsidR="009859CE" w:rsidRPr="00963005">
        <w:t>42.panta</w:t>
      </w:r>
      <w:proofErr w:type="gramEnd"/>
      <w:r w:rsidR="009859CE" w:rsidRPr="00963005">
        <w:t xml:space="preserve"> trešajā daļā noteikto izvērtēšanas pienākumu.</w:t>
      </w:r>
      <w:r w:rsidR="007F060F" w:rsidRPr="00963005">
        <w:t xml:space="preserve"> </w:t>
      </w:r>
    </w:p>
    <w:p w:rsidR="007F060F" w:rsidRPr="00963005" w:rsidRDefault="007F060F" w:rsidP="00DB59DA">
      <w:pPr>
        <w:spacing w:line="276" w:lineRule="auto"/>
        <w:ind w:firstLine="567"/>
        <w:jc w:val="both"/>
      </w:pPr>
      <w:r w:rsidRPr="00963005">
        <w:t>Apgabaltiesa jau pamatos nepareizi interpretējusi materiālo tiesību normu par pašvaldības tiesībām izvērtēt konkrēto situāciju</w:t>
      </w:r>
      <w:r w:rsidR="00634486">
        <w:t>,</w:t>
      </w:r>
      <w:r w:rsidRPr="00963005">
        <w:t xml:space="preserve"> tai pieejamām metodēm un veidiem.</w:t>
      </w:r>
    </w:p>
    <w:p w:rsidR="00B14CB7" w:rsidRDefault="004A206E" w:rsidP="00DB59DA">
      <w:pPr>
        <w:spacing w:line="276" w:lineRule="auto"/>
        <w:ind w:firstLine="567"/>
        <w:jc w:val="both"/>
      </w:pPr>
      <w:r w:rsidRPr="00963005">
        <w:t>Iecavas novada dome</w:t>
      </w:r>
      <w:r w:rsidR="00F0320A" w:rsidRPr="00963005">
        <w:t xml:space="preserve"> ir pietiekami rūpīgi analizējusi apstākļu kopumu </w:t>
      </w:r>
      <w:r w:rsidR="00B14CB7">
        <w:t>atbilstoši spēkā esošajiem normatīvajiem aktiem un pieejamajai judikatūrai</w:t>
      </w:r>
      <w:r w:rsidR="00205272" w:rsidRPr="00963005">
        <w:t xml:space="preserve">. </w:t>
      </w:r>
    </w:p>
    <w:p w:rsidR="004A22AE" w:rsidRPr="00963005" w:rsidRDefault="00570B90" w:rsidP="00DB59DA">
      <w:pPr>
        <w:spacing w:line="276" w:lineRule="auto"/>
        <w:ind w:firstLine="567"/>
        <w:jc w:val="both"/>
      </w:pPr>
      <w:r w:rsidRPr="00963005">
        <w:t>[4.2</w:t>
      </w:r>
      <w:r w:rsidR="007F060F" w:rsidRPr="00963005">
        <w:t>] </w:t>
      </w:r>
      <w:r w:rsidR="00746579" w:rsidRPr="00963005">
        <w:t xml:space="preserve">Apgabaltiesa </w:t>
      </w:r>
      <w:r w:rsidR="004A22AE" w:rsidRPr="00963005">
        <w:t>atsaukusies uz Senāta spriedumiem, kuros analizēta iedzīvotāju plūsma</w:t>
      </w:r>
      <w:r w:rsidR="004A206E" w:rsidRPr="00963005">
        <w:t>s</w:t>
      </w:r>
      <w:r w:rsidR="004A22AE" w:rsidRPr="00963005">
        <w:t xml:space="preserve"> intensitāte pilsētās, taču nav ņēmusi vērā ļoti būtisku apstākli, ka Iecava nav pilsēta, bet gan novads, lauku teritorija, kurā iedzīvotājiem ir pavisam citādi pārvietoša</w:t>
      </w:r>
      <w:r w:rsidR="002B7E22" w:rsidRPr="00963005">
        <w:t xml:space="preserve">nās paradumi </w:t>
      </w:r>
      <w:r w:rsidR="002B7E22" w:rsidRPr="00963005">
        <w:lastRenderedPageBreak/>
        <w:t>un maršruti</w:t>
      </w:r>
      <w:proofErr w:type="gramStart"/>
      <w:r w:rsidR="002B7E22" w:rsidRPr="00963005">
        <w:t xml:space="preserve"> </w:t>
      </w:r>
      <w:r w:rsidR="008D30C0">
        <w:t>ne</w:t>
      </w:r>
      <w:r w:rsidR="002B7E22" w:rsidRPr="00963005">
        <w:t>kā liel</w:t>
      </w:r>
      <w:r w:rsidR="004A22AE" w:rsidRPr="00963005">
        <w:t>ās pilsētās</w:t>
      </w:r>
      <w:proofErr w:type="gramEnd"/>
      <w:r w:rsidR="004A22AE" w:rsidRPr="00963005">
        <w:t>, un arī apbūves b</w:t>
      </w:r>
      <w:r w:rsidR="008D30C0">
        <w:t>l</w:t>
      </w:r>
      <w:r w:rsidR="004A22AE" w:rsidRPr="00963005">
        <w:t>īvums ir pavisam citādāks nekā pilsētās. Šī būtiskā apstākļa – Iecavai nav pilsētas status</w:t>
      </w:r>
      <w:r w:rsidR="00A771C8">
        <w:t>a</w:t>
      </w:r>
      <w:r w:rsidR="004A22AE" w:rsidRPr="00963005">
        <w:t xml:space="preserve"> – neņemšana vērā varēja novest pie lietas nepareizas izspriešanas.</w:t>
      </w:r>
      <w:r w:rsidRPr="00963005">
        <w:t xml:space="preserve"> Senāta spriedumos nav analizētas</w:t>
      </w:r>
      <w:r w:rsidR="004A22AE" w:rsidRPr="00963005">
        <w:t xml:space="preserve"> jēdziena</w:t>
      </w:r>
      <w:r w:rsidR="008D30C0">
        <w:t xml:space="preserve"> </w:t>
      </w:r>
      <w:r w:rsidR="008D30C0" w:rsidRPr="004F096F">
        <w:t>„</w:t>
      </w:r>
      <w:r w:rsidR="004A22AE" w:rsidRPr="00963005">
        <w:t>intensīva gājēju plūsma” atšķirības lielpilsētās un laukos.</w:t>
      </w:r>
    </w:p>
    <w:p w:rsidR="00B14CB7" w:rsidRDefault="00570B90" w:rsidP="00B14CB7">
      <w:pPr>
        <w:spacing w:line="276" w:lineRule="auto"/>
        <w:ind w:firstLine="567"/>
        <w:jc w:val="both"/>
      </w:pPr>
      <w:r w:rsidRPr="00963005">
        <w:t>[4.3</w:t>
      </w:r>
      <w:r w:rsidR="004A22AE" w:rsidRPr="00963005">
        <w:t>] </w:t>
      </w:r>
      <w:r w:rsidR="00B14CB7">
        <w:t>Tiesa vispār nav apskatījusi Iecavas novada teritorijas plānojumā minētos mērķus</w:t>
      </w:r>
      <w:proofErr w:type="gramStart"/>
      <w:r w:rsidR="00B14CB7">
        <w:t xml:space="preserve"> un</w:t>
      </w:r>
      <w:proofErr w:type="gramEnd"/>
      <w:r w:rsidR="00B14CB7">
        <w:t xml:space="preserve"> attīstības perspektīvas. Tiesa izdarījusi kļūdainus secinājumus, neiepazīstoties ar pašlaik spēkā esošo </w:t>
      </w:r>
      <w:proofErr w:type="gramStart"/>
      <w:r w:rsidR="00B14CB7">
        <w:t>2017.gada</w:t>
      </w:r>
      <w:proofErr w:type="gramEnd"/>
      <w:r w:rsidR="00B14CB7">
        <w:t xml:space="preserve"> teritorijas plānojumu, konkrēti ar tā 394. un 395.punktu. 395.punktā </w:t>
      </w:r>
      <w:r w:rsidR="00227B23">
        <w:t>nepārprotami noteikts, ka</w:t>
      </w:r>
      <w:r w:rsidR="00B14CB7">
        <w:t xml:space="preserve"> Iecavas ciema sabiedr</w:t>
      </w:r>
      <w:r w:rsidR="00227B23">
        <w:t xml:space="preserve">iskā centra apbūves teritorijā nedrīkst </w:t>
      </w:r>
      <w:r w:rsidR="00B14CB7">
        <w:t>atrasties jaunas azartspēļu vietas.</w:t>
      </w:r>
    </w:p>
    <w:p w:rsidR="00B14CB7" w:rsidRDefault="00DD0E8F" w:rsidP="00B14CB7">
      <w:pPr>
        <w:spacing w:line="276" w:lineRule="auto"/>
        <w:ind w:firstLine="567"/>
        <w:jc w:val="both"/>
      </w:pPr>
      <w:r>
        <w:t>Turklāt</w:t>
      </w:r>
      <w:r w:rsidR="00B14CB7">
        <w:t xml:space="preserve"> dome paskaidrojumos gan pirmās instances tiesai, gan apelācijas instances tiesai norādījusi, ka </w:t>
      </w:r>
      <w:proofErr w:type="gramStart"/>
      <w:r w:rsidR="00B14CB7">
        <w:t>2008.gada</w:t>
      </w:r>
      <w:proofErr w:type="gramEnd"/>
      <w:r w:rsidR="00B14CB7">
        <w:t xml:space="preserve"> teritorijas plānojums tiek pārstrādāts un tajos tiks iestrādātas prasības azartspēļu atrašanās vietām ciema teritorijā.</w:t>
      </w:r>
    </w:p>
    <w:p w:rsidR="00533F50" w:rsidRPr="00963005" w:rsidRDefault="00B14CB7" w:rsidP="00DB59DA">
      <w:pPr>
        <w:spacing w:line="276" w:lineRule="auto"/>
        <w:ind w:firstLine="567"/>
        <w:jc w:val="both"/>
      </w:pPr>
      <w:r>
        <w:t>[4.4]</w:t>
      </w:r>
      <w:r w:rsidR="00BB2186">
        <w:t xml:space="preserve"> Apgabaltiesa minētos</w:t>
      </w:r>
      <w:r w:rsidR="00244911" w:rsidRPr="00963005">
        <w:t xml:space="preserve"> apstākļus nav ņēmusi vērā</w:t>
      </w:r>
      <w:r w:rsidR="003C751B" w:rsidRPr="00963005">
        <w:t>, un</w:t>
      </w:r>
      <w:r w:rsidR="00244911" w:rsidRPr="00963005">
        <w:t xml:space="preserve"> tas ir novedis pie lietas nepareizas</w:t>
      </w:r>
      <w:r w:rsidR="003C751B" w:rsidRPr="00963005">
        <w:t xml:space="preserve"> izspriešanas</w:t>
      </w:r>
      <w:r w:rsidR="009C7CA0">
        <w:t>, un</w:t>
      </w:r>
      <w:r w:rsidR="00244911" w:rsidRPr="00963005">
        <w:t xml:space="preserve"> ir pārkāpta Administratīvā procesa likuma </w:t>
      </w:r>
      <w:proofErr w:type="gramStart"/>
      <w:r w:rsidR="00244911" w:rsidRPr="00963005">
        <w:t>154.panta</w:t>
      </w:r>
      <w:proofErr w:type="gramEnd"/>
      <w:r w:rsidR="00244911" w:rsidRPr="00963005">
        <w:t xml:space="preserve"> pirmā daļa.</w:t>
      </w:r>
    </w:p>
    <w:p w:rsidR="00F0320A" w:rsidRPr="00963005" w:rsidRDefault="00F0320A" w:rsidP="00DB59DA">
      <w:pPr>
        <w:spacing w:line="276" w:lineRule="auto"/>
        <w:ind w:firstLine="567"/>
        <w:jc w:val="both"/>
      </w:pPr>
    </w:p>
    <w:p w:rsidR="00B707BB" w:rsidRPr="00963005" w:rsidRDefault="0077539D" w:rsidP="00DB59DA">
      <w:pPr>
        <w:spacing w:line="276" w:lineRule="auto"/>
        <w:ind w:firstLine="567"/>
        <w:jc w:val="both"/>
      </w:pPr>
      <w:r w:rsidRPr="00963005">
        <w:t>[5] </w:t>
      </w:r>
      <w:r w:rsidR="00F0181B" w:rsidRPr="00963005">
        <w:t>Pieteicēja</w:t>
      </w:r>
      <w:r w:rsidR="00B707BB" w:rsidRPr="00963005">
        <w:t xml:space="preserve"> paskaidrojumos kasācijas sūdzību neatzīst.</w:t>
      </w:r>
    </w:p>
    <w:p w:rsidR="0077539D" w:rsidRPr="00963005" w:rsidRDefault="0077539D" w:rsidP="00DB59DA">
      <w:pPr>
        <w:spacing w:line="276" w:lineRule="auto"/>
        <w:ind w:firstLine="567"/>
        <w:jc w:val="both"/>
      </w:pPr>
    </w:p>
    <w:p w:rsidR="006D4097" w:rsidRDefault="0059279A" w:rsidP="00F86D42">
      <w:pPr>
        <w:spacing w:line="276" w:lineRule="auto"/>
        <w:jc w:val="center"/>
        <w:rPr>
          <w:b/>
        </w:rPr>
      </w:pPr>
      <w:r w:rsidRPr="00963005">
        <w:rPr>
          <w:b/>
        </w:rPr>
        <w:t>M</w:t>
      </w:r>
      <w:r w:rsidR="004765D7" w:rsidRPr="00963005">
        <w:rPr>
          <w:b/>
        </w:rPr>
        <w:t>otīvu daļa</w:t>
      </w:r>
    </w:p>
    <w:p w:rsidR="00774714" w:rsidRDefault="00774714" w:rsidP="00F86D42">
      <w:pPr>
        <w:spacing w:line="276" w:lineRule="auto"/>
        <w:jc w:val="center"/>
        <w:rPr>
          <w:b/>
        </w:rPr>
      </w:pPr>
    </w:p>
    <w:p w:rsidR="00774714" w:rsidRPr="006D4097" w:rsidRDefault="00774714" w:rsidP="00F86D42">
      <w:pPr>
        <w:spacing w:line="276" w:lineRule="auto"/>
        <w:jc w:val="center"/>
        <w:rPr>
          <w:b/>
        </w:rPr>
      </w:pPr>
      <w:r>
        <w:rPr>
          <w:b/>
        </w:rPr>
        <w:t>I</w:t>
      </w:r>
    </w:p>
    <w:p w:rsidR="006D4097" w:rsidRPr="00963005" w:rsidRDefault="006D4097" w:rsidP="00DB59DA">
      <w:pPr>
        <w:spacing w:line="276" w:lineRule="auto"/>
        <w:ind w:firstLine="567"/>
        <w:jc w:val="both"/>
        <w:rPr>
          <w:lang w:eastAsia="en-US"/>
        </w:rPr>
      </w:pPr>
    </w:p>
    <w:p w:rsidR="001877D2" w:rsidRDefault="00231C1F" w:rsidP="001877D2">
      <w:pPr>
        <w:spacing w:line="276" w:lineRule="auto"/>
        <w:ind w:firstLine="567"/>
        <w:jc w:val="both"/>
      </w:pPr>
      <w:r w:rsidRPr="00963005">
        <w:t>[6</w:t>
      </w:r>
      <w:r w:rsidR="002A6845" w:rsidRPr="00963005">
        <w:t>]</w:t>
      </w:r>
      <w:r w:rsidR="00F04153" w:rsidRPr="00963005">
        <w:t> </w:t>
      </w:r>
      <w:r w:rsidR="00FD7405">
        <w:t xml:space="preserve">Azartspēļu un izložu likuma </w:t>
      </w:r>
      <w:proofErr w:type="gramStart"/>
      <w:r w:rsidR="00FD7405">
        <w:t>41</w:t>
      </w:r>
      <w:r w:rsidR="001877D2">
        <w:t>.panta</w:t>
      </w:r>
      <w:proofErr w:type="gramEnd"/>
      <w:r w:rsidR="001877D2">
        <w:t xml:space="preserve"> otrajā daļā </w:t>
      </w:r>
      <w:r w:rsidR="0044389F">
        <w:t>uzskaitīti</w:t>
      </w:r>
      <w:r w:rsidR="000F1A8F">
        <w:t xml:space="preserve"> </w:t>
      </w:r>
      <w:r w:rsidR="000F1A8F" w:rsidRPr="000F1A8F">
        <w:t>vispārīg</w:t>
      </w:r>
      <w:r w:rsidR="000F1A8F">
        <w:t>i aizliegumi, kad azartspēļu, tostarp arī totalizatoru un derību organizēšana</w:t>
      </w:r>
      <w:r w:rsidR="00DD0E8F">
        <w:t>,</w:t>
      </w:r>
      <w:r w:rsidR="000F1A8F">
        <w:t xml:space="preserve"> nav atļauta.</w:t>
      </w:r>
      <w:r w:rsidR="0044389F">
        <w:t xml:space="preserve"> </w:t>
      </w:r>
      <w:r w:rsidR="001877D2">
        <w:t>Kā pareizi norāda Admini</w:t>
      </w:r>
      <w:r w:rsidR="000F1A8F">
        <w:t xml:space="preserve">stratīvā apgabaltiesa, </w:t>
      </w:r>
      <w:r w:rsidR="001877D2">
        <w:t xml:space="preserve">totalizatoru un derību </w:t>
      </w:r>
      <w:r w:rsidR="000F1A8F">
        <w:t>pieņemšanas vietu ierīkošanai noteikti</w:t>
      </w:r>
      <w:r w:rsidR="001877D2">
        <w:t xml:space="preserve"> </w:t>
      </w:r>
      <w:r w:rsidR="0000425E">
        <w:t>atsevišķi</w:t>
      </w:r>
      <w:r w:rsidR="00AA1F16">
        <w:t xml:space="preserve"> izņēmumi no </w:t>
      </w:r>
      <w:r w:rsidR="000F1A8F">
        <w:t xml:space="preserve">minētajā normā </w:t>
      </w:r>
      <w:r w:rsidR="00AA1F16">
        <w:t>noteiktajiem aizliegumiem.</w:t>
      </w:r>
      <w:r w:rsidR="001877D2">
        <w:t xml:space="preserve"> </w:t>
      </w:r>
      <w:r w:rsidR="006B486A">
        <w:t>Tā</w:t>
      </w:r>
      <w:r w:rsidR="001877D2">
        <w:t xml:space="preserve"> saskaņā ar Azartspēļu un izložu likuma </w:t>
      </w:r>
      <w:proofErr w:type="gramStart"/>
      <w:r w:rsidR="001877D2">
        <w:t>41.panta</w:t>
      </w:r>
      <w:proofErr w:type="gramEnd"/>
      <w:r w:rsidR="001877D2">
        <w:t xml:space="preserve"> otro daļu </w:t>
      </w:r>
      <w:r w:rsidR="001877D2" w:rsidRPr="001877D2">
        <w:t>totalizatoru un der</w:t>
      </w:r>
      <w:r w:rsidR="001877D2">
        <w:t>ības iespējams organizēt p</w:t>
      </w:r>
      <w:r w:rsidR="001877D2" w:rsidRPr="001877D2">
        <w:t>ublisko pasākumu rīkošanas vietās šo pasākumu norises laikā</w:t>
      </w:r>
      <w:r w:rsidR="001877D2">
        <w:t xml:space="preserve"> (5.punkts)</w:t>
      </w:r>
      <w:r w:rsidR="00895BC4">
        <w:t xml:space="preserve">, </w:t>
      </w:r>
      <w:r w:rsidR="00895BC4" w:rsidRPr="00895BC4">
        <w:t>veikalos, kultūras iestādēs, dzelzceļa stacijās, autoostās, lidostās, ostās</w:t>
      </w:r>
      <w:r w:rsidR="00AA1F16">
        <w:t xml:space="preserve"> (7.punkts, </w:t>
      </w:r>
      <w:r w:rsidR="00895BC4">
        <w:t>taču šis izņēmums attiecas ne tikai uz totalizatoriem un derībām, bet arī spēļu zālēm</w:t>
      </w:r>
      <w:r w:rsidR="00AA1F16">
        <w:t>)</w:t>
      </w:r>
      <w:r w:rsidR="00895BC4">
        <w:t>, kā arī totalizatoru un derības iespējams organizēt</w:t>
      </w:r>
      <w:r w:rsidR="001877D2">
        <w:t xml:space="preserve"> </w:t>
      </w:r>
      <w:r w:rsidR="001877D2" w:rsidRPr="001877D2">
        <w:t>bāros un kafejnīcās</w:t>
      </w:r>
      <w:r w:rsidR="001877D2">
        <w:t xml:space="preserve"> (8.punkts).</w:t>
      </w:r>
    </w:p>
    <w:p w:rsidR="002C3F42" w:rsidRDefault="0044389F" w:rsidP="002C3F42">
      <w:pPr>
        <w:spacing w:line="276" w:lineRule="auto"/>
        <w:ind w:firstLine="567"/>
        <w:jc w:val="both"/>
      </w:pPr>
      <w:r>
        <w:t>Vienlaikus saskaņā ar</w:t>
      </w:r>
      <w:r w:rsidR="00FD7405">
        <w:t xml:space="preserve"> Azartspēļu</w:t>
      </w:r>
      <w:r>
        <w:t xml:space="preserve"> un izložu likuma </w:t>
      </w:r>
      <w:proofErr w:type="gramStart"/>
      <w:r>
        <w:t>42.panta</w:t>
      </w:r>
      <w:proofErr w:type="gramEnd"/>
      <w:r>
        <w:t xml:space="preserve"> trešo daļu</w:t>
      </w:r>
      <w:r w:rsidR="00FD7405">
        <w:t xml:space="preserve"> gadījumā, ja azartspēles paredzēts rīkot vietā, uz kuru nav attiecināmi šā likuma 41.panta otrajā daļā noteiktie ierobežojumi, par atļauju organizēt azartspēles katrā konkrētajā gadījumā lemj pašvaldības dome (padome), izvērtējot to, vai azartspēļu organizēšana konkrētajā vietā nerada būtisku valsts un attiecīgās administratīvās teritorijas iedzīvotāju interešu aizskārumu.</w:t>
      </w:r>
    </w:p>
    <w:p w:rsidR="005E7884" w:rsidRDefault="005E7884" w:rsidP="00B939CE">
      <w:pPr>
        <w:spacing w:line="276" w:lineRule="auto"/>
        <w:ind w:firstLine="567"/>
        <w:jc w:val="both"/>
      </w:pPr>
    </w:p>
    <w:p w:rsidR="00481414" w:rsidRDefault="005E7884" w:rsidP="00B939CE">
      <w:pPr>
        <w:spacing w:line="276" w:lineRule="auto"/>
        <w:ind w:firstLine="567"/>
        <w:jc w:val="both"/>
      </w:pPr>
      <w:r>
        <w:t xml:space="preserve">[7] </w:t>
      </w:r>
      <w:r w:rsidR="008E6920" w:rsidRPr="008E6920">
        <w:t>Administratīvā</w:t>
      </w:r>
      <w:r w:rsidR="0019120A">
        <w:t xml:space="preserve"> apgabaltiesa</w:t>
      </w:r>
      <w:r w:rsidR="008E6920" w:rsidRPr="008E6920">
        <w:t xml:space="preserve"> </w:t>
      </w:r>
      <w:r w:rsidR="0019120A">
        <w:t>spriedumā norādījusi, ka</w:t>
      </w:r>
      <w:r w:rsidR="00DD0E8F">
        <w:t>,</w:t>
      </w:r>
      <w:r w:rsidR="008E6920" w:rsidRPr="008E6920">
        <w:t xml:space="preserve"> </w:t>
      </w:r>
      <w:r w:rsidR="00481414">
        <w:t xml:space="preserve">tā kā attiecībā uz totalizatoru un derību organizēšanu Azartspēļu un izložu likuma </w:t>
      </w:r>
      <w:proofErr w:type="gramStart"/>
      <w:r w:rsidR="00481414">
        <w:t>41.panta</w:t>
      </w:r>
      <w:proofErr w:type="gramEnd"/>
      <w:r w:rsidR="00481414">
        <w:t xml:space="preserve"> otrajā daļā noteikti izņēmumi, tad</w:t>
      </w:r>
      <w:r w:rsidR="008E6920" w:rsidRPr="008E6920">
        <w:t xml:space="preserve"> pašvaldībai</w:t>
      </w:r>
      <w:r w:rsidR="00481414">
        <w:t>, piemērojot Azartspēļu un izložu likuma 42.panta trešo daļu,</w:t>
      </w:r>
      <w:r w:rsidR="008E6920" w:rsidRPr="008E6920">
        <w:t xml:space="preserve"> aizliegums ierīkot </w:t>
      </w:r>
      <w:r w:rsidR="00CE1279">
        <w:t>šo azartspēļu</w:t>
      </w:r>
      <w:r w:rsidR="008E6920" w:rsidRPr="008E6920">
        <w:t xml:space="preserve"> vietu ir vēl jo rūpīgāk jāpārdomā un jāmotivē.</w:t>
      </w:r>
      <w:r w:rsidR="00AA1F16">
        <w:t xml:space="preserve"> </w:t>
      </w:r>
      <w:r w:rsidR="0019120A" w:rsidRPr="0019120A">
        <w:t>Senāta ieskatā</w:t>
      </w:r>
      <w:r w:rsidR="00DD0E8F">
        <w:t>,</w:t>
      </w:r>
      <w:r w:rsidR="0019120A" w:rsidRPr="0019120A">
        <w:t xml:space="preserve"> </w:t>
      </w:r>
      <w:r w:rsidR="0019120A">
        <w:t xml:space="preserve">šis apgalvojums </w:t>
      </w:r>
      <w:r w:rsidR="0019120A" w:rsidRPr="0019120A">
        <w:t xml:space="preserve">nav </w:t>
      </w:r>
      <w:r w:rsidR="00BC5D14">
        <w:t xml:space="preserve">pilnībā </w:t>
      </w:r>
      <w:r w:rsidR="0019120A" w:rsidRPr="0019120A">
        <w:t>pareizs</w:t>
      </w:r>
      <w:r w:rsidR="0019120A">
        <w:t>.</w:t>
      </w:r>
      <w:r w:rsidR="0019120A" w:rsidRPr="0019120A">
        <w:t xml:space="preserve"> </w:t>
      </w:r>
      <w:r w:rsidR="00AA1F16">
        <w:t>Neapšaubāmi, m</w:t>
      </w:r>
      <w:r w:rsidR="008E6920">
        <w:t>inētās tiesību normas ir savstarpēji saistītas un tās ir jāa</w:t>
      </w:r>
      <w:r w:rsidR="00321F99">
        <w:t>plūko kopsakarā, bet ne tā</w:t>
      </w:r>
      <w:r w:rsidR="008E6920">
        <w:t>, kā to norāda Administratīvā apgabaltiesa. Tas, ka Azartspēļu un izložu likuma 41.panta otrajā daļā paredz</w:t>
      </w:r>
      <w:r w:rsidR="00AA1F16">
        <w:t>ēti atsevišķi izņēmumi</w:t>
      </w:r>
      <w:r w:rsidR="008E6920">
        <w:t xml:space="preserve"> attiecībā uz </w:t>
      </w:r>
      <w:r w:rsidR="00063A4E">
        <w:t xml:space="preserve">aizliegumu </w:t>
      </w:r>
      <w:r w:rsidR="002C3F42">
        <w:t xml:space="preserve">ierīkot </w:t>
      </w:r>
      <w:r w:rsidR="008E6920">
        <w:t>totalizatoru un derību pieņemšanas viet</w:t>
      </w:r>
      <w:r w:rsidR="002C3F42">
        <w:t>u</w:t>
      </w:r>
      <w:r w:rsidR="008E6920">
        <w:t>, n</w:t>
      </w:r>
      <w:r w:rsidR="00BC5D14">
        <w:t xml:space="preserve">enozīmē, ka pašvaldībai jebkurā gadījumā, </w:t>
      </w:r>
      <w:r w:rsidR="008E6920">
        <w:t xml:space="preserve">lemjot par </w:t>
      </w:r>
      <w:r w:rsidR="00063A4E">
        <w:t>šāda aizlieguma nepieciešamību</w:t>
      </w:r>
      <w:r w:rsidR="008E6920">
        <w:t xml:space="preserve">, tas būtu </w:t>
      </w:r>
      <w:r w:rsidR="00B939CE">
        <w:t xml:space="preserve">jāpamato </w:t>
      </w:r>
      <w:r w:rsidR="008E6920">
        <w:t>īpašāk nekā citos gadījumos.</w:t>
      </w:r>
    </w:p>
    <w:p w:rsidR="00BC5D14" w:rsidRDefault="00BC5D14" w:rsidP="00BC5D14">
      <w:pPr>
        <w:spacing w:line="276" w:lineRule="auto"/>
        <w:ind w:firstLine="567"/>
        <w:jc w:val="both"/>
      </w:pPr>
      <w:r>
        <w:lastRenderedPageBreak/>
        <w:t xml:space="preserve">Citāda situācija varētu būt, ja komersants būtu vēlējies organizēt totalizatoru vai derības, piemēram, bārā vai kafejnīcā, vai </w:t>
      </w:r>
      <w:r w:rsidRPr="00546EAF">
        <w:t>pu</w:t>
      </w:r>
      <w:r>
        <w:t>bliska pasākuma rīkošanas vietā</w:t>
      </w:r>
      <w:r w:rsidRPr="00546EAF">
        <w:t xml:space="preserve"> š</w:t>
      </w:r>
      <w:r w:rsidR="00DD0E8F">
        <w:t>ā</w:t>
      </w:r>
      <w:r w:rsidRPr="00546EAF">
        <w:t xml:space="preserve"> pasākum</w:t>
      </w:r>
      <w:r>
        <w:t>a</w:t>
      </w:r>
      <w:r w:rsidRPr="00546EAF">
        <w:t xml:space="preserve"> norises laikā</w:t>
      </w:r>
      <w:r>
        <w:t xml:space="preserve">, bet pašvaldība, piemērojot Azartspēļu un izložu likuma </w:t>
      </w:r>
      <w:proofErr w:type="gramStart"/>
      <w:r>
        <w:t>42.panta</w:t>
      </w:r>
      <w:proofErr w:type="gramEnd"/>
      <w:r>
        <w:t xml:space="preserve"> trešo daļu, būtu to liegusi.</w:t>
      </w:r>
      <w:r w:rsidRPr="006D4097">
        <w:t xml:space="preserve"> </w:t>
      </w:r>
      <w:r>
        <w:t xml:space="preserve">Vispirms Senāts atzīmē, ka Azartspēļu un izložu likuma </w:t>
      </w:r>
      <w:proofErr w:type="gramStart"/>
      <w:r>
        <w:t>41.panta</w:t>
      </w:r>
      <w:proofErr w:type="gramEnd"/>
      <w:r>
        <w:t xml:space="preserve"> otrās daļas 5., 7. un 8.punkts tomēr neizslēdz iespēju pašvaldībai kā svarīgākas pretnostatīt iedzīvotāju intereses un aizliegt organizēt minētās azartspēles. Taču</w:t>
      </w:r>
      <w:r w:rsidR="002805D2">
        <w:t>,</w:t>
      </w:r>
      <w:r>
        <w:t xml:space="preserve"> tā kā šādā gadījumā pašvaldība, </w:t>
      </w:r>
      <w:proofErr w:type="gramStart"/>
      <w:r>
        <w:t>neskatoties uz to, ka</w:t>
      </w:r>
      <w:proofErr w:type="gramEnd"/>
      <w:r>
        <w:t xml:space="preserve"> likumdevējs ir veicis apsvērumus par azartspēļu pieļaujamību minētajās vietās, tomēr rīkotos pretēji, tad loģiski sagaidāms, ka tā sniegtu detalizētu un izvērstu skaidrojumu savai rīcībai.</w:t>
      </w:r>
    </w:p>
    <w:p w:rsidR="008B29F0" w:rsidRDefault="008B29F0" w:rsidP="00B939CE">
      <w:pPr>
        <w:spacing w:line="276" w:lineRule="auto"/>
        <w:ind w:firstLine="567"/>
        <w:jc w:val="both"/>
      </w:pPr>
    </w:p>
    <w:p w:rsidR="008D0F9B" w:rsidRDefault="008B29F0" w:rsidP="008B29F0">
      <w:pPr>
        <w:spacing w:line="276" w:lineRule="auto"/>
        <w:ind w:firstLine="567"/>
        <w:jc w:val="both"/>
      </w:pPr>
      <w:r>
        <w:t>[</w:t>
      </w:r>
      <w:r w:rsidR="005E7884">
        <w:t>8</w:t>
      </w:r>
      <w:r>
        <w:t xml:space="preserve">] </w:t>
      </w:r>
      <w:r w:rsidRPr="008B29F0">
        <w:t xml:space="preserve">No </w:t>
      </w:r>
      <w:r>
        <w:t xml:space="preserve">Azartspēļu un izložu likuma </w:t>
      </w:r>
      <w:proofErr w:type="gramStart"/>
      <w:r>
        <w:t>42.panta</w:t>
      </w:r>
      <w:proofErr w:type="gramEnd"/>
      <w:r>
        <w:t xml:space="preserve"> trešās daļas</w:t>
      </w:r>
      <w:r w:rsidRPr="008B29F0">
        <w:t xml:space="preserve"> secināms, ka pašvaldībai sabiedrības intereses jāvērtē, aplūkojot konkrētu azartspēļu organizēšanas vietu. </w:t>
      </w:r>
      <w:r w:rsidR="00B13509">
        <w:t>P</w:t>
      </w:r>
      <w:r w:rsidRPr="008B29F0">
        <w:t>ieņemot individuālo lēmumu, jāņem vērā likumdevēja iezīmētais leģitīmais m</w:t>
      </w:r>
      <w:r w:rsidR="00B13509">
        <w:t xml:space="preserve">ērķis ierobežojumu noteikšanai, </w:t>
      </w:r>
      <w:r w:rsidRPr="008B29F0">
        <w:t>kas tieši noteikts Azartspēļu un izložu</w:t>
      </w:r>
      <w:r w:rsidR="00B13509">
        <w:t xml:space="preserve"> likuma </w:t>
      </w:r>
      <w:proofErr w:type="gramStart"/>
      <w:r w:rsidR="00B13509">
        <w:t>2.panta</w:t>
      </w:r>
      <w:proofErr w:type="gramEnd"/>
      <w:r w:rsidR="00B13509">
        <w:t xml:space="preserve"> pirmajā daļā</w:t>
      </w:r>
      <w:r w:rsidRPr="008B29F0">
        <w:t xml:space="preserve"> un netieši izriet no tiem ierobežojumiem, kas skaidri noteikti </w:t>
      </w:r>
      <w:r w:rsidR="00B13509">
        <w:t>likuma 41.panta otrajā daļā</w:t>
      </w:r>
      <w:r w:rsidR="008D0F9B">
        <w:t xml:space="preserve"> (</w:t>
      </w:r>
      <w:r w:rsidR="005A4F5E">
        <w:rPr>
          <w:i/>
        </w:rPr>
        <w:t>Senāta</w:t>
      </w:r>
      <w:r w:rsidR="008D0F9B" w:rsidRPr="008D0F9B">
        <w:rPr>
          <w:i/>
        </w:rPr>
        <w:t xml:space="preserve"> 2012.gada 14.decembra spri</w:t>
      </w:r>
      <w:r w:rsidR="008D0F9B">
        <w:rPr>
          <w:i/>
        </w:rPr>
        <w:t xml:space="preserve">eduma lietā </w:t>
      </w:r>
      <w:r w:rsidR="00BD1330">
        <w:rPr>
          <w:i/>
        </w:rPr>
        <w:t>Nr. </w:t>
      </w:r>
      <w:r w:rsidR="008D0F9B">
        <w:rPr>
          <w:i/>
        </w:rPr>
        <w:t>SKA-9/2012 (</w:t>
      </w:r>
      <w:r w:rsidR="008D0F9B" w:rsidRPr="008D0F9B">
        <w:rPr>
          <w:i/>
        </w:rPr>
        <w:t>A42565807</w:t>
      </w:r>
      <w:r w:rsidR="008D0F9B">
        <w:rPr>
          <w:i/>
        </w:rPr>
        <w:t>) 10</w:t>
      </w:r>
      <w:r w:rsidR="008D0F9B" w:rsidRPr="008D0F9B">
        <w:rPr>
          <w:i/>
        </w:rPr>
        <w:t>.punkts</w:t>
      </w:r>
      <w:r w:rsidR="008D0F9B">
        <w:t>).</w:t>
      </w:r>
    </w:p>
    <w:p w:rsidR="008B29F0" w:rsidRDefault="008B29F0" w:rsidP="008B29F0">
      <w:pPr>
        <w:spacing w:line="276" w:lineRule="auto"/>
        <w:ind w:firstLine="567"/>
        <w:jc w:val="both"/>
      </w:pPr>
      <w:r w:rsidRPr="008B29F0">
        <w:t xml:space="preserve">Ņemams vērā, ka Azartspēļu un izložu likuma </w:t>
      </w:r>
      <w:proofErr w:type="gramStart"/>
      <w:r w:rsidRPr="008B29F0">
        <w:t>41.panta</w:t>
      </w:r>
      <w:proofErr w:type="gramEnd"/>
      <w:r w:rsidRPr="008B29F0">
        <w:t xml:space="preserve"> otrās daļas </w:t>
      </w:r>
      <w:r w:rsidR="005A4F5E">
        <w:t xml:space="preserve">5., </w:t>
      </w:r>
      <w:r w:rsidRPr="008B29F0">
        <w:t>7.</w:t>
      </w:r>
      <w:r w:rsidR="005A4F5E">
        <w:t xml:space="preserve"> un 8.punkts vispārīgi pieļauj publisko pasākumu rīkošanas vietās šo pasākumu norises laikā,</w:t>
      </w:r>
      <w:r w:rsidRPr="008B29F0">
        <w:t xml:space="preserve"> veikalos, kultūras iestādēs, dzelzceļa stacijās, autoostās, lidostās, ostās </w:t>
      </w:r>
      <w:r w:rsidR="005A4F5E">
        <w:t>un bāros un kafejnīcās ierīkot</w:t>
      </w:r>
      <w:r w:rsidRPr="008B29F0">
        <w:t xml:space="preserve"> </w:t>
      </w:r>
      <w:r w:rsidR="005A4F5E">
        <w:t>azartspēļu (totalizatoru un derību) organizēšanas vietas</w:t>
      </w:r>
      <w:r w:rsidRPr="008B29F0">
        <w:t>. Tātad likumdevējs pats šeit ir apsvēris, ka sabiedrības kustības liela intensitāte</w:t>
      </w:r>
      <w:r w:rsidR="005A4F5E">
        <w:t xml:space="preserve">, kā arī </w:t>
      </w:r>
      <w:r w:rsidR="005A4F5E" w:rsidRPr="005A4F5E">
        <w:t>personu, kas nav</w:t>
      </w:r>
      <w:r w:rsidR="005A4F5E">
        <w:t xml:space="preserve"> šo azartspēļu mērķauditorija, esība viet</w:t>
      </w:r>
      <w:r w:rsidR="009C7B3A">
        <w:t>ā</w:t>
      </w:r>
      <w:r w:rsidR="005A4F5E">
        <w:t>s, kur tiek organizētas azartspēles,</w:t>
      </w:r>
      <w:r w:rsidR="005A4F5E" w:rsidRPr="005A4F5E">
        <w:t xml:space="preserve"> tiešā tuvumā</w:t>
      </w:r>
      <w:r w:rsidR="00F86D42">
        <w:t>,</w:t>
      </w:r>
      <w:r w:rsidRPr="008B29F0">
        <w:t xml:space="preserve"> tomēr </w:t>
      </w:r>
      <w:r w:rsidR="00BF08C6">
        <w:t>pat</w:t>
      </w:r>
      <w:r w:rsidR="00321F99">
        <w:t>i</w:t>
      </w:r>
      <w:r w:rsidR="00BF08C6">
        <w:t xml:space="preserve"> par sevi nevar būt par</w:t>
      </w:r>
      <w:r w:rsidRPr="008B29F0">
        <w:t xml:space="preserve"> šķērsli azartspēļu organizēšanas vietas ierīkošanai</w:t>
      </w:r>
      <w:r w:rsidR="00F86D42">
        <w:t xml:space="preserve"> </w:t>
      </w:r>
      <w:r w:rsidR="005A4F5E">
        <w:t>(</w:t>
      </w:r>
      <w:r w:rsidR="005A4F5E">
        <w:rPr>
          <w:i/>
        </w:rPr>
        <w:t>sal.</w:t>
      </w:r>
      <w:r w:rsidR="005A4F5E" w:rsidRPr="005A4F5E">
        <w:rPr>
          <w:i/>
        </w:rPr>
        <w:t xml:space="preserve"> Senāta 2012.gada 14.decembra sprieduma lietā </w:t>
      </w:r>
      <w:r w:rsidR="00613B3B">
        <w:rPr>
          <w:i/>
        </w:rPr>
        <w:t>Nr. </w:t>
      </w:r>
      <w:r w:rsidR="005A4F5E" w:rsidRPr="005A4F5E">
        <w:rPr>
          <w:i/>
        </w:rPr>
        <w:t>SKA-9/2012 (A42565807) 10.punkts</w:t>
      </w:r>
      <w:r w:rsidR="005A4F5E">
        <w:t>).</w:t>
      </w:r>
      <w:r w:rsidR="003078A6">
        <w:t xml:space="preserve"> No sprieduma redzams, ka apgabaltiesa to arī ņēmusi vērā</w:t>
      </w:r>
      <w:r w:rsidR="009C0920">
        <w:t>. Papildus apgabaltiesa norādījusi, „j</w:t>
      </w:r>
      <w:r w:rsidR="009C0920" w:rsidRPr="009C0920">
        <w:t>a likumdevējs ir pieļāvis šādu azartspēļu vietas ierīkošanu pat kultūras objektos, tad vēl jo vairāk tāda drīkst būt šim objektam blakus un lielākā attālumā no tā, ja vien netiek konstatēti citi apstākļi, kas liecina par būtiska aizskāruma esību.</w:t>
      </w:r>
      <w:r w:rsidR="009C0920">
        <w:t>”</w:t>
      </w:r>
    </w:p>
    <w:p w:rsidR="00842A82" w:rsidRDefault="003078A6" w:rsidP="009C7459">
      <w:pPr>
        <w:spacing w:line="276" w:lineRule="auto"/>
        <w:ind w:firstLine="567"/>
        <w:jc w:val="both"/>
      </w:pPr>
      <w:r>
        <w:t>Taču</w:t>
      </w:r>
      <w:r w:rsidR="009C7B3A">
        <w:t>,</w:t>
      </w:r>
      <w:r>
        <w:t xml:space="preserve"> </w:t>
      </w:r>
      <w:proofErr w:type="gramStart"/>
      <w:r w:rsidR="003A539E">
        <w:t>Senāta ieskatā</w:t>
      </w:r>
      <w:r w:rsidR="009C7B3A">
        <w:t>,</w:t>
      </w:r>
      <w:proofErr w:type="gramEnd"/>
      <w:r w:rsidR="003A539E">
        <w:t xml:space="preserve"> </w:t>
      </w:r>
      <w:r w:rsidR="009C0920">
        <w:t xml:space="preserve">tiesa nepareizi secina, ka no iepriekš minētā izriet, ka šiem apstākļiem nevar piešķirt tik lielu nozīmi, kā tas ir citu azartspēļu gadījumā. </w:t>
      </w:r>
      <w:r w:rsidR="00842A82">
        <w:t>No Azartspēļu un izložu likuma neizriet, ka l</w:t>
      </w:r>
      <w:r w:rsidR="004729F8">
        <w:t>ikumdev</w:t>
      </w:r>
      <w:r w:rsidR="00842A82">
        <w:t xml:space="preserve">ējs </w:t>
      </w:r>
      <w:r w:rsidR="009A192F">
        <w:t>a</w:t>
      </w:r>
      <w:r w:rsidR="00842A82">
        <w:t>zartsp</w:t>
      </w:r>
      <w:r w:rsidR="009A192F">
        <w:t>ēles būtu tādā veidā diferencējis.</w:t>
      </w:r>
      <w:r w:rsidR="00220121">
        <w:t xml:space="preserve"> Pirmkārt,</w:t>
      </w:r>
      <w:r w:rsidR="009C7459">
        <w:t xml:space="preserve"> likumdevējs, pieņemot Azartspēļu un izložu likumu, vērtējis situ</w:t>
      </w:r>
      <w:r w:rsidR="001E00A0">
        <w:t xml:space="preserve">āciju </w:t>
      </w:r>
      <w:r w:rsidR="009C7459">
        <w:t>azartspēļu nozarē kopum</w:t>
      </w:r>
      <w:r w:rsidR="001E00A0">
        <w:t>ā. Saeima a</w:t>
      </w:r>
      <w:r w:rsidR="009C7459">
        <w:t>tz</w:t>
      </w:r>
      <w:r w:rsidR="00D51E49">
        <w:t>inusi</w:t>
      </w:r>
      <w:r w:rsidR="009C7459">
        <w:t>, ka līdzšinējais regulējums nav pietiekams, novērojama sabiedrības nelabvēlīga un neapmierināta attieksme</w:t>
      </w:r>
      <w:r w:rsidR="009C7459" w:rsidRPr="009C7459">
        <w:t xml:space="preserve"> pret azart</w:t>
      </w:r>
      <w:r w:rsidR="009C7459">
        <w:t>spēlēm kā uzņēmējdarbības veidu,</w:t>
      </w:r>
      <w:r w:rsidR="00613B3B">
        <w:t xml:space="preserve"> </w:t>
      </w:r>
      <w:r w:rsidR="009C7459">
        <w:t>un ir nepieciešams i</w:t>
      </w:r>
      <w:r w:rsidR="009C7459" w:rsidRPr="009C7459">
        <w:t>zvirzīt un noteikt paaugstinātas ierobe</w:t>
      </w:r>
      <w:r w:rsidR="009C7459">
        <w:t xml:space="preserve">žojošas prasības pret šo nozari </w:t>
      </w:r>
      <w:proofErr w:type="gramStart"/>
      <w:r w:rsidR="009C7459">
        <w:t>(</w:t>
      </w:r>
      <w:proofErr w:type="gramEnd"/>
      <w:r w:rsidR="00BF6CD1">
        <w:t xml:space="preserve">8.Saeimas </w:t>
      </w:r>
      <w:r w:rsidR="00D51E49">
        <w:t>l</w:t>
      </w:r>
      <w:r w:rsidR="009C7459">
        <w:t xml:space="preserve">ikumprojekta </w:t>
      </w:r>
      <w:r w:rsidR="00BF6CD1">
        <w:t xml:space="preserve">Nr. 1419 </w:t>
      </w:r>
      <w:r w:rsidR="00D51E49">
        <w:t>„</w:t>
      </w:r>
      <w:r w:rsidR="009C7459">
        <w:t>Azartspēļu un izložu likums</w:t>
      </w:r>
      <w:r w:rsidR="00D51E49">
        <w:t>”</w:t>
      </w:r>
      <w:r w:rsidR="009C7459">
        <w:t xml:space="preserve"> anotācija </w:t>
      </w:r>
      <w:r w:rsidR="00BF6CD1" w:rsidRPr="008B06B3">
        <w:rPr>
          <w:i/>
        </w:rPr>
        <w:t>http://saeima.lv/L_Saeima8/index.htm</w:t>
      </w:r>
      <w:r w:rsidR="009C7459">
        <w:t xml:space="preserve">). Otrkārt, </w:t>
      </w:r>
      <w:r w:rsidR="00220121">
        <w:t>gan derības, gan totalizators tiek definētas kā azartspēles (</w:t>
      </w:r>
      <w:r w:rsidR="009C7459">
        <w:t xml:space="preserve">Azartspēļu un izložu likuma </w:t>
      </w:r>
      <w:r w:rsidR="00220121">
        <w:t xml:space="preserve">1.panta 5. </w:t>
      </w:r>
      <w:r w:rsidR="009C7459">
        <w:t>un 18.punkts).</w:t>
      </w:r>
      <w:r w:rsidR="00E70886">
        <w:t xml:space="preserve"> Tātad tās netiek izslēgtas no to spēļu loka</w:t>
      </w:r>
      <w:r w:rsidR="008F4D1E">
        <w:t>,</w:t>
      </w:r>
      <w:r w:rsidR="00E70886">
        <w:t xml:space="preserve"> k</w:t>
      </w:r>
      <w:r w:rsidR="008F4D1E">
        <w:t>uru</w:t>
      </w:r>
      <w:r w:rsidR="00E70886">
        <w:t xml:space="preserve"> sekas var morāli un finansiāli kaitēm indivīdam un sabiedrībai.</w:t>
      </w:r>
      <w:r w:rsidR="009C7459">
        <w:t xml:space="preserve"> Treškārt, likumdevējs, paredzot jau iepriekš minētos izņēmumus</w:t>
      </w:r>
      <w:r w:rsidR="00D51E49" w:rsidRPr="00D51E49">
        <w:t xml:space="preserve"> </w:t>
      </w:r>
      <w:r w:rsidR="00D51E49">
        <w:t>Azartspēļu un izložu likuma 41.panta otrajā daļā</w:t>
      </w:r>
      <w:r w:rsidR="009C7459">
        <w:t>, atzinis, ka attiecīgās vietas un ēku faktiskās lietošanas veids tom</w:t>
      </w:r>
      <w:r w:rsidR="005D7217">
        <w:t>ēr var būt</w:t>
      </w:r>
      <w:r w:rsidR="009C7459">
        <w:t xml:space="preserve"> savietojams ar totalizatoru un derību organizēšanu. </w:t>
      </w:r>
      <w:r w:rsidR="005D7217">
        <w:t>Proti, normā minētās vietas ir tādas, kuru faktiskā izmantošana, mērķis ar kādu cilvēki uz tām dodas, var atbilst totalizatora un derību pieņemšanas vietas būtībai, jo īpaši b</w:t>
      </w:r>
      <w:r w:rsidR="00CA3301">
        <w:t>āros</w:t>
      </w:r>
      <w:r w:rsidR="005D7217">
        <w:t>, kafejn</w:t>
      </w:r>
      <w:r w:rsidR="00CA3301">
        <w:t>īcās vai publiskajos</w:t>
      </w:r>
      <w:r w:rsidR="005D7217">
        <w:t xml:space="preserve"> pas</w:t>
      </w:r>
      <w:r w:rsidR="00CA3301">
        <w:t>ākumos</w:t>
      </w:r>
      <w:r w:rsidR="005D7217">
        <w:t>. Piemēram, nereti bāros un kafejnīcās tiek translētas sporta spēles, kas ir tā nozare, kurā</w:t>
      </w:r>
      <w:r w:rsidR="0039782E">
        <w:t xml:space="preserve"> ir ierasta totalizatoru un derību pieņemšana</w:t>
      </w:r>
      <w:r w:rsidR="00CF4309">
        <w:t xml:space="preserve">. Arī publiskie pasākumi var tikt rīkoti par tādiem notikumiem, piemēram, dziesmu konkursi, kuros ir ierasts pieņemt un iemaksāt likmes, </w:t>
      </w:r>
      <w:r w:rsidR="00CF4309">
        <w:lastRenderedPageBreak/>
        <w:t>prognozējot viena vai otra apstākļa iestāšanos vai gluži pretēji neiestāšanos (derības un totalizators).</w:t>
      </w:r>
      <w:r w:rsidR="006E2B29">
        <w:t xml:space="preserve"> Ceturtkārt, tas, ka totalizatora un derību pieņemšanas vietas vizuālais noformējums ir neitrālāks </w:t>
      </w:r>
      <w:r w:rsidR="008F4D1E">
        <w:t>ne</w:t>
      </w:r>
      <w:r w:rsidR="006E2B29">
        <w:t>kā, piemēram, spēļu zāļu, neliecina par ko mazāk amorālu, sabiedrības vērtībām pretēju vai psihi degradējošu</w:t>
      </w:r>
      <w:r w:rsidR="00E24E37">
        <w:t>. Pēdējais</w:t>
      </w:r>
      <w:r w:rsidR="006E2B29">
        <w:t xml:space="preserve"> minētais tiek saistīts ne ar azartspēļu noform</w:t>
      </w:r>
      <w:r w:rsidR="00E24E37">
        <w:t>ējumu, bet gan</w:t>
      </w:r>
      <w:r w:rsidR="006E2B29">
        <w:t xml:space="preserve"> azartspēļu, tostarp totalizatoru, derību, </w:t>
      </w:r>
      <w:r w:rsidR="00EF450D">
        <w:t xml:space="preserve">negatīvajām </w:t>
      </w:r>
      <w:r w:rsidR="006E2B29">
        <w:t>sekām, kas var morāli un finansiāli kaitēt indivīdam un sabiedrībai.</w:t>
      </w:r>
    </w:p>
    <w:p w:rsidR="00CC2E7E" w:rsidRDefault="00747218" w:rsidP="00116704">
      <w:pPr>
        <w:spacing w:line="276" w:lineRule="auto"/>
        <w:ind w:firstLine="567"/>
        <w:jc w:val="both"/>
      </w:pPr>
      <w:r>
        <w:t>Tādējādi j</w:t>
      </w:r>
      <w:r w:rsidR="00E1147A">
        <w:t>ebkurā gadījumā pašvaldība šos</w:t>
      </w:r>
      <w:r w:rsidR="00CC2E7E">
        <w:t xml:space="preserve"> apstākļ</w:t>
      </w:r>
      <w:r w:rsidR="00E1147A">
        <w:t xml:space="preserve">us </w:t>
      </w:r>
      <w:r w:rsidR="00CC2E7E">
        <w:t xml:space="preserve">var ņemt vērā un vērtēt, lemjot par azartspēļu organizēšanu konkrētajā vietā. </w:t>
      </w:r>
      <w:r w:rsidR="00116704">
        <w:t>Pašvaldības novērtējumam a</w:t>
      </w:r>
      <w:r w:rsidR="00BA4C90">
        <w:t>rī attiecībā uz totalizatora un derību organizēšanas vietu atvēršanu</w:t>
      </w:r>
      <w:r w:rsidR="00116704">
        <w:t xml:space="preserve"> izvirzāmas tādas pašas prasības, kā lemjot par atļaujām citu azartspēļu gadījumā. Tas nozīmē, ka p</w:t>
      </w:r>
      <w:r w:rsidR="00BA4C90">
        <w:t>ašvaldībai</w:t>
      </w:r>
      <w:r w:rsidR="005E7884">
        <w:t xml:space="preserve">, piepildot ar saturu nenoteikto juridisko jēdzienu „būtisks </w:t>
      </w:r>
      <w:r w:rsidR="005E7884" w:rsidRPr="00FE257E">
        <w:t>valsts un attiecīgās administratīvās teritorijas</w:t>
      </w:r>
      <w:r w:rsidR="005E7884">
        <w:t xml:space="preserve"> iedzīvotāju interešu aizskārums”,</w:t>
      </w:r>
      <w:r w:rsidR="00BA4C90">
        <w:t xml:space="preserve"> </w:t>
      </w:r>
      <w:r w:rsidR="00797669">
        <w:t>visi konkrēto vietu raksturojošie apstākļi jāvērtē kompleksi</w:t>
      </w:r>
      <w:r w:rsidR="001646E1">
        <w:t>, vienlaikus</w:t>
      </w:r>
      <w:r w:rsidR="00EF450D">
        <w:t xml:space="preserve"> raugoties</w:t>
      </w:r>
      <w:r w:rsidR="00BA4C90">
        <w:t>, vai</w:t>
      </w:r>
      <w:r w:rsidR="00BA4C90" w:rsidRPr="00BA4C90">
        <w:t xml:space="preserve"> </w:t>
      </w:r>
      <w:r w:rsidR="00797669">
        <w:t xml:space="preserve">azartspēļu </w:t>
      </w:r>
      <w:r w:rsidR="00BA4C90" w:rsidRPr="00BA4C90">
        <w:t xml:space="preserve">pakalpojumu sniegšanas iespēja attiecīgajā administratīvajā teritorijā faktiski </w:t>
      </w:r>
      <w:r w:rsidR="00BA4C90">
        <w:t>ne</w:t>
      </w:r>
      <w:r w:rsidR="00BA4C90" w:rsidRPr="00BA4C90">
        <w:t>tiek izslēgta, pamatojot šādu lēmumu a</w:t>
      </w:r>
      <w:r w:rsidR="00BA4C90">
        <w:t>r vispārīgu vērtību aizsardzību.</w:t>
      </w:r>
    </w:p>
    <w:p w:rsidR="00DE4B69" w:rsidRDefault="00DE4B69" w:rsidP="00116704">
      <w:pPr>
        <w:spacing w:line="276" w:lineRule="auto"/>
        <w:ind w:firstLine="567"/>
        <w:jc w:val="both"/>
      </w:pPr>
    </w:p>
    <w:p w:rsidR="00DE4B69" w:rsidRPr="005A4F5E" w:rsidRDefault="00DE4B69" w:rsidP="00116704">
      <w:pPr>
        <w:spacing w:line="276" w:lineRule="auto"/>
        <w:ind w:firstLine="567"/>
        <w:jc w:val="both"/>
      </w:pPr>
      <w:r>
        <w:t>[9] Ievērojot to, ka apgabaltiesas spriedums balstīts uz nepareizi identificētiem kritērijiem, kā būtu jāvērtē totalizatoru un derību likmju pieņemšanas vietas atļaušana, tas varēja novest pie nepareiza lietas izskatīšanas rezultāta.</w:t>
      </w:r>
    </w:p>
    <w:p w:rsidR="008B29F0" w:rsidRDefault="008B29F0" w:rsidP="002C3F42">
      <w:pPr>
        <w:spacing w:line="276" w:lineRule="auto"/>
        <w:ind w:firstLine="567"/>
        <w:jc w:val="both"/>
      </w:pPr>
    </w:p>
    <w:p w:rsidR="006D4097" w:rsidRDefault="006D4097" w:rsidP="006D4097">
      <w:pPr>
        <w:spacing w:line="276" w:lineRule="auto"/>
        <w:jc w:val="center"/>
        <w:rPr>
          <w:b/>
        </w:rPr>
      </w:pPr>
      <w:r>
        <w:rPr>
          <w:b/>
        </w:rPr>
        <w:t>II</w:t>
      </w:r>
    </w:p>
    <w:p w:rsidR="00162921" w:rsidRPr="006D4097" w:rsidRDefault="00162921" w:rsidP="006D4097">
      <w:pPr>
        <w:spacing w:line="276" w:lineRule="auto"/>
        <w:jc w:val="center"/>
        <w:rPr>
          <w:b/>
        </w:rPr>
      </w:pPr>
    </w:p>
    <w:p w:rsidR="001F4746" w:rsidRDefault="00945A80" w:rsidP="001F4746">
      <w:pPr>
        <w:spacing w:line="276" w:lineRule="auto"/>
        <w:ind w:firstLine="540"/>
        <w:jc w:val="both"/>
        <w:rPr>
          <w:lang w:eastAsia="en-US"/>
        </w:rPr>
      </w:pPr>
      <w:r>
        <w:rPr>
          <w:lang w:eastAsia="en-US"/>
        </w:rPr>
        <w:t>[</w:t>
      </w:r>
      <w:r w:rsidR="00DE4B69">
        <w:rPr>
          <w:lang w:eastAsia="en-US"/>
        </w:rPr>
        <w:t>10</w:t>
      </w:r>
      <w:r>
        <w:rPr>
          <w:lang w:eastAsia="en-US"/>
        </w:rPr>
        <w:t>] Senāts jau iepriekš ir konstatējis</w:t>
      </w:r>
      <w:r w:rsidR="006723D2">
        <w:rPr>
          <w:lang w:eastAsia="en-US"/>
        </w:rPr>
        <w:t>,</w:t>
      </w:r>
      <w:r>
        <w:rPr>
          <w:lang w:eastAsia="en-US"/>
        </w:rPr>
        <w:t xml:space="preserve"> ka</w:t>
      </w:r>
      <w:r w:rsidR="005A7327">
        <w:rPr>
          <w:lang w:eastAsia="en-US"/>
        </w:rPr>
        <w:t xml:space="preserve"> a</w:t>
      </w:r>
      <w:r w:rsidR="00D17F95">
        <w:rPr>
          <w:lang w:eastAsia="en-US"/>
        </w:rPr>
        <w:t xml:space="preserve">r </w:t>
      </w:r>
      <w:r w:rsidR="005E7884">
        <w:rPr>
          <w:lang w:eastAsia="en-US"/>
        </w:rPr>
        <w:t xml:space="preserve">iepriekš </w:t>
      </w:r>
      <w:r w:rsidR="0082714E">
        <w:rPr>
          <w:lang w:eastAsia="en-US"/>
        </w:rPr>
        <w:t>minēto</w:t>
      </w:r>
      <w:r w:rsidR="00D17F95">
        <w:rPr>
          <w:lang w:eastAsia="en-US"/>
        </w:rPr>
        <w:t xml:space="preserve"> regulējumu </w:t>
      </w:r>
      <w:r w:rsidR="00A53385">
        <w:rPr>
          <w:lang w:eastAsia="en-US"/>
        </w:rPr>
        <w:t xml:space="preserve">pašvaldībām </w:t>
      </w:r>
      <w:r w:rsidR="00AB7592">
        <w:rPr>
          <w:lang w:eastAsia="en-US"/>
        </w:rPr>
        <w:t>tika</w:t>
      </w:r>
      <w:r w:rsidR="00A53385">
        <w:rPr>
          <w:lang w:eastAsia="en-US"/>
        </w:rPr>
        <w:t xml:space="preserve"> piešķirta plaša </w:t>
      </w:r>
      <w:r w:rsidR="00B13C0C">
        <w:rPr>
          <w:lang w:eastAsia="en-US"/>
        </w:rPr>
        <w:t>kompetence</w:t>
      </w:r>
      <w:r w:rsidR="0041279B">
        <w:rPr>
          <w:lang w:eastAsia="en-US"/>
        </w:rPr>
        <w:t xml:space="preserve">. Pirmkārt, </w:t>
      </w:r>
      <w:r w:rsidR="006723D2">
        <w:rPr>
          <w:lang w:eastAsia="en-US"/>
        </w:rPr>
        <w:t>azartspēļu organizēšanas</w:t>
      </w:r>
      <w:r w:rsidR="00B13C0C">
        <w:rPr>
          <w:lang w:eastAsia="en-US"/>
        </w:rPr>
        <w:t xml:space="preserve"> atļauju </w:t>
      </w:r>
      <w:r w:rsidR="0041279B">
        <w:rPr>
          <w:lang w:eastAsia="en-US"/>
        </w:rPr>
        <w:t xml:space="preserve">izsniegšanā pašvaldības var vadīties no tā, </w:t>
      </w:r>
      <w:r w:rsidR="00A53385" w:rsidRPr="00963005">
        <w:rPr>
          <w:lang w:eastAsia="en-US"/>
        </w:rPr>
        <w:t xml:space="preserve">vai azartspēļu organizēšana konkrētajā vietā </w:t>
      </w:r>
      <w:r w:rsidR="00340F62">
        <w:rPr>
          <w:lang w:eastAsia="en-US"/>
        </w:rPr>
        <w:t xml:space="preserve">tās administratīvajā teritorijā </w:t>
      </w:r>
      <w:r w:rsidR="00A53385" w:rsidRPr="00963005">
        <w:rPr>
          <w:lang w:eastAsia="en-US"/>
        </w:rPr>
        <w:t>rada būtisku valsts un attiecīgās administratīvās teritorijas iedzīvotāju interešu aizskārumu</w:t>
      </w:r>
      <w:r w:rsidR="0041279B">
        <w:rPr>
          <w:lang w:eastAsia="en-US"/>
        </w:rPr>
        <w:t>. Otrkārt, l</w:t>
      </w:r>
      <w:r w:rsidR="00A32868">
        <w:rPr>
          <w:lang w:eastAsia="en-US"/>
        </w:rPr>
        <w:t>ikumdevējs ir atstājis pašvaldību ziņā arī to, kādā veidā t</w:t>
      </w:r>
      <w:r w:rsidR="001F4746">
        <w:rPr>
          <w:lang w:eastAsia="en-US"/>
        </w:rPr>
        <w:t xml:space="preserve">ām nodotā kompetence īstenojama </w:t>
      </w:r>
      <w:r w:rsidR="001F4746" w:rsidRPr="00503D16">
        <w:t>(</w:t>
      </w:r>
      <w:r w:rsidR="001F4746" w:rsidRPr="00503D16">
        <w:rPr>
          <w:i/>
        </w:rPr>
        <w:t xml:space="preserve">Senāta </w:t>
      </w:r>
      <w:proofErr w:type="gramStart"/>
      <w:r w:rsidR="001F4746" w:rsidRPr="00503D16">
        <w:rPr>
          <w:i/>
        </w:rPr>
        <w:t>2010.gada</w:t>
      </w:r>
      <w:proofErr w:type="gramEnd"/>
      <w:r w:rsidR="001F4746" w:rsidRPr="00503D16">
        <w:rPr>
          <w:i/>
        </w:rPr>
        <w:t xml:space="preserve"> 17.jūnija sprieduma lietā Nr. SKA-227/2010 (A42546107) 8.</w:t>
      </w:r>
      <w:r w:rsidR="001F4746">
        <w:rPr>
          <w:i/>
        </w:rPr>
        <w:t xml:space="preserve"> un 9.</w:t>
      </w:r>
      <w:r w:rsidR="001F4746" w:rsidRPr="00503D16">
        <w:rPr>
          <w:i/>
        </w:rPr>
        <w:t>punkts, 2019.gada 30.janvāra sprieduma lietā Nr.</w:t>
      </w:r>
      <w:r w:rsidR="001F4746" w:rsidRPr="00503D16">
        <w:rPr>
          <w:rFonts w:hint="eastAsia"/>
          <w:i/>
        </w:rPr>
        <w:t> SKA-51/2019</w:t>
      </w:r>
      <w:r w:rsidR="00570633">
        <w:rPr>
          <w:i/>
        </w:rPr>
        <w:t xml:space="preserve">, </w:t>
      </w:r>
      <w:r w:rsidR="001F4746" w:rsidRPr="00503D16">
        <w:rPr>
          <w:i/>
        </w:rPr>
        <w:t>LV:AT:2019:0130.A420224514.2.S</w:t>
      </w:r>
      <w:r w:rsidR="00570633">
        <w:rPr>
          <w:i/>
        </w:rPr>
        <w:t>,</w:t>
      </w:r>
      <w:r w:rsidR="001F4746" w:rsidRPr="00503D16">
        <w:rPr>
          <w:i/>
        </w:rPr>
        <w:t xml:space="preserve"> 8.punkts</w:t>
      </w:r>
      <w:r w:rsidR="001F4746" w:rsidRPr="00503D16">
        <w:t>)</w:t>
      </w:r>
      <w:r w:rsidR="001F4746">
        <w:t>.</w:t>
      </w:r>
    </w:p>
    <w:p w:rsidR="00162921" w:rsidRDefault="00774830" w:rsidP="00D96DD2">
      <w:pPr>
        <w:spacing w:line="276" w:lineRule="auto"/>
        <w:ind w:firstLine="540"/>
        <w:jc w:val="both"/>
        <w:rPr>
          <w:lang w:eastAsia="en-US"/>
        </w:rPr>
      </w:pPr>
      <w:r>
        <w:rPr>
          <w:lang w:eastAsia="en-US"/>
        </w:rPr>
        <w:t>Īstenojot savu kompetenci, pašvaldībai ir j</w:t>
      </w:r>
      <w:r w:rsidR="005435C3">
        <w:rPr>
          <w:lang w:eastAsia="en-US"/>
        </w:rPr>
        <w:t>ā</w:t>
      </w:r>
      <w:r>
        <w:rPr>
          <w:lang w:eastAsia="en-US"/>
        </w:rPr>
        <w:t>samēro divas konkurējošas intereses. No vienas puses</w:t>
      </w:r>
      <w:r w:rsidR="003C3005">
        <w:rPr>
          <w:lang w:eastAsia="en-US"/>
        </w:rPr>
        <w:t>,</w:t>
      </w:r>
      <w:r>
        <w:rPr>
          <w:lang w:eastAsia="en-US"/>
        </w:rPr>
        <w:t xml:space="preserve"> tā ir komersanta (azartspēļu organizētāja) pakalpojumu sniegšanas brīvība. No otras puses</w:t>
      </w:r>
      <w:r w:rsidR="003C3005">
        <w:rPr>
          <w:lang w:eastAsia="en-US"/>
        </w:rPr>
        <w:t xml:space="preserve"> –</w:t>
      </w:r>
      <w:r>
        <w:rPr>
          <w:lang w:eastAsia="en-US"/>
        </w:rPr>
        <w:t xml:space="preserve"> </w:t>
      </w:r>
      <w:r w:rsidR="00162921">
        <w:rPr>
          <w:lang w:eastAsia="en-US"/>
        </w:rPr>
        <w:t xml:space="preserve">valsts un </w:t>
      </w:r>
      <w:r>
        <w:rPr>
          <w:lang w:eastAsia="en-US"/>
        </w:rPr>
        <w:t>attiecīgās teritorijas iedzīvotāju intereses.</w:t>
      </w:r>
      <w:r w:rsidR="005435C3">
        <w:rPr>
          <w:lang w:eastAsia="en-US"/>
        </w:rPr>
        <w:t xml:space="preserve"> </w:t>
      </w:r>
    </w:p>
    <w:p w:rsidR="00774830" w:rsidRDefault="00162921" w:rsidP="00162921">
      <w:pPr>
        <w:spacing w:line="276" w:lineRule="auto"/>
        <w:ind w:firstLine="540"/>
        <w:jc w:val="both"/>
        <w:rPr>
          <w:lang w:eastAsia="en-US"/>
        </w:rPr>
      </w:pPr>
      <w:r>
        <w:rPr>
          <w:lang w:eastAsia="en-US"/>
        </w:rPr>
        <w:t>No Eiropas Savienības Tiesas un Senāta prakses izriet, ka g</w:t>
      </w:r>
      <w:r w:rsidR="005435C3">
        <w:rPr>
          <w:lang w:eastAsia="en-US"/>
        </w:rPr>
        <w:t>adījumā</w:t>
      </w:r>
      <w:r w:rsidR="00D96DD2">
        <w:rPr>
          <w:lang w:eastAsia="en-US"/>
        </w:rPr>
        <w:t xml:space="preserve">, </w:t>
      </w:r>
      <w:r w:rsidR="005435C3">
        <w:rPr>
          <w:lang w:eastAsia="en-US"/>
        </w:rPr>
        <w:t>k</w:t>
      </w:r>
      <w:r>
        <w:rPr>
          <w:lang w:eastAsia="en-US"/>
        </w:rPr>
        <w:t xml:space="preserve">ad tiek </w:t>
      </w:r>
      <w:r w:rsidR="00774830">
        <w:rPr>
          <w:lang w:eastAsia="en-US"/>
        </w:rPr>
        <w:t>ierobežota komersanta pakalpojumu sniegšanas brīv</w:t>
      </w:r>
      <w:r w:rsidR="00D96DD2">
        <w:rPr>
          <w:lang w:eastAsia="en-US"/>
        </w:rPr>
        <w:t xml:space="preserve">ība, </w:t>
      </w:r>
      <w:r w:rsidR="00650AFF">
        <w:rPr>
          <w:lang w:eastAsia="en-US"/>
        </w:rPr>
        <w:t xml:space="preserve">pašvaldībai </w:t>
      </w:r>
      <w:r w:rsidR="00D96DD2" w:rsidRPr="00D96DD2">
        <w:rPr>
          <w:lang w:eastAsia="en-US"/>
        </w:rPr>
        <w:t>jāņem vērā zināmi priekšnoteikumi</w:t>
      </w:r>
      <w:r w:rsidR="00D96DD2">
        <w:rPr>
          <w:lang w:eastAsia="en-US"/>
        </w:rPr>
        <w:t>.</w:t>
      </w:r>
      <w:r>
        <w:rPr>
          <w:lang w:eastAsia="en-US"/>
        </w:rPr>
        <w:t xml:space="preserve"> I</w:t>
      </w:r>
      <w:r w:rsidR="00650AFF">
        <w:rPr>
          <w:lang w:eastAsia="en-US"/>
        </w:rPr>
        <w:t>erobežojumiem ir jāatbilst samērīguma prasībām</w:t>
      </w:r>
      <w:r w:rsidR="003C3005">
        <w:rPr>
          <w:lang w:eastAsia="en-US"/>
        </w:rPr>
        <w:t>,</w:t>
      </w:r>
      <w:r w:rsidR="00650AFF">
        <w:rPr>
          <w:lang w:eastAsia="en-US"/>
        </w:rPr>
        <w:t xml:space="preserve"> un tie ir jāpiemēro nediskriminējošā veidā. Tāpat ierobežojumiem ir jābūt piemērotiem, lai nodrošinātu izvirzīto mērķu sasniegšanu tādējādi, ka šiem ierobežojumiem ir saskaņotā un sistemātiskā veidā jāveicina ar derībām saistīto darbību ierobežošana. </w:t>
      </w:r>
      <w:r w:rsidR="0021656F">
        <w:rPr>
          <w:lang w:eastAsia="en-US"/>
        </w:rPr>
        <w:t>T</w:t>
      </w:r>
      <w:r w:rsidR="00D813D1">
        <w:rPr>
          <w:lang w:eastAsia="en-US"/>
        </w:rPr>
        <w:t xml:space="preserve">ātad </w:t>
      </w:r>
      <w:r w:rsidR="0021656F">
        <w:rPr>
          <w:lang w:eastAsia="en-US"/>
        </w:rPr>
        <w:t>b</w:t>
      </w:r>
      <w:r w:rsidR="00774830" w:rsidRPr="00333AEF">
        <w:rPr>
          <w:lang w:eastAsia="en-US"/>
        </w:rPr>
        <w:t>ūtiski</w:t>
      </w:r>
      <w:r w:rsidR="00D96DD2">
        <w:rPr>
          <w:lang w:eastAsia="en-US"/>
        </w:rPr>
        <w:t xml:space="preserve"> ir</w:t>
      </w:r>
      <w:r w:rsidR="00774830" w:rsidRPr="00333AEF">
        <w:rPr>
          <w:lang w:eastAsia="en-US"/>
        </w:rPr>
        <w:t xml:space="preserve"> ņemt vērā, vai ierobežojuma iemesli ir pamatoti (ir balstīti vispārējo interešu aizsardzībā), vai tie ir samērīgi (t.sk., patiešām sasniedz to mērķi, kam tie paredzēti) un ir ievērots vienlīdzīgas attieksmes princips (pret komersantiem, kuri var p</w:t>
      </w:r>
      <w:r w:rsidR="009635C6">
        <w:rPr>
          <w:lang w:eastAsia="en-US"/>
        </w:rPr>
        <w:t xml:space="preserve">retendēt uz atļauju saņemšanu) </w:t>
      </w:r>
      <w:r w:rsidR="00774830" w:rsidRPr="003A0B7D">
        <w:rPr>
          <w:lang w:eastAsia="en-US"/>
        </w:rPr>
        <w:t>(</w:t>
      </w:r>
      <w:r w:rsidR="00774830" w:rsidRPr="003A0B7D">
        <w:rPr>
          <w:i/>
          <w:lang w:eastAsia="en-US"/>
        </w:rPr>
        <w:t xml:space="preserve">Eiropas Savienības Tiesas 2010.gada 3.jūnija sprieduma lietā </w:t>
      </w:r>
      <w:r w:rsidR="00570633">
        <w:rPr>
          <w:i/>
          <w:lang w:eastAsia="en-US"/>
        </w:rPr>
        <w:t>„</w:t>
      </w:r>
      <w:proofErr w:type="spellStart"/>
      <w:r w:rsidR="00570633" w:rsidRPr="00570633">
        <w:rPr>
          <w:i/>
          <w:lang w:eastAsia="en-US"/>
        </w:rPr>
        <w:t>Ladbrokes</w:t>
      </w:r>
      <w:proofErr w:type="spellEnd"/>
      <w:r w:rsidR="00570633">
        <w:rPr>
          <w:i/>
          <w:lang w:eastAsia="en-US"/>
        </w:rPr>
        <w:t xml:space="preserve">” </w:t>
      </w:r>
      <w:r w:rsidR="00774830" w:rsidRPr="003A0B7D">
        <w:rPr>
          <w:i/>
          <w:lang w:eastAsia="en-US"/>
        </w:rPr>
        <w:t>C-258/08</w:t>
      </w:r>
      <w:r w:rsidR="00570633">
        <w:rPr>
          <w:i/>
          <w:lang w:eastAsia="en-US"/>
        </w:rPr>
        <w:t xml:space="preserve">, </w:t>
      </w:r>
      <w:r w:rsidR="00570633" w:rsidRPr="00570633">
        <w:rPr>
          <w:i/>
          <w:lang w:eastAsia="en-US"/>
        </w:rPr>
        <w:t>EU:C:2010:308</w:t>
      </w:r>
      <w:r w:rsidR="00570633">
        <w:rPr>
          <w:i/>
          <w:lang w:eastAsia="en-US"/>
        </w:rPr>
        <w:t>,</w:t>
      </w:r>
      <w:r w:rsidR="00774830" w:rsidRPr="003A0B7D">
        <w:rPr>
          <w:i/>
          <w:lang w:eastAsia="en-US"/>
        </w:rPr>
        <w:t xml:space="preserve"> 19., 20., 21.punkts, Eiropas Savienības Tiesas 2010.gada 3.jūnija sprieduma lietā</w:t>
      </w:r>
      <w:r w:rsidR="00570633">
        <w:rPr>
          <w:i/>
          <w:lang w:eastAsia="en-US"/>
        </w:rPr>
        <w:t xml:space="preserve"> „</w:t>
      </w:r>
      <w:proofErr w:type="spellStart"/>
      <w:r w:rsidR="00570633">
        <w:rPr>
          <w:i/>
          <w:lang w:eastAsia="en-US"/>
        </w:rPr>
        <w:t>Sporting</w:t>
      </w:r>
      <w:proofErr w:type="spellEnd"/>
      <w:r w:rsidR="00570633">
        <w:rPr>
          <w:i/>
          <w:lang w:eastAsia="en-US"/>
        </w:rPr>
        <w:t xml:space="preserve"> </w:t>
      </w:r>
      <w:proofErr w:type="spellStart"/>
      <w:r w:rsidR="00570633">
        <w:rPr>
          <w:i/>
          <w:lang w:eastAsia="en-US"/>
        </w:rPr>
        <w:t>Exchange</w:t>
      </w:r>
      <w:proofErr w:type="spellEnd"/>
      <w:r w:rsidR="00570633">
        <w:rPr>
          <w:i/>
          <w:lang w:eastAsia="en-US"/>
        </w:rPr>
        <w:t>”</w:t>
      </w:r>
      <w:r w:rsidR="00774830" w:rsidRPr="003A0B7D">
        <w:rPr>
          <w:i/>
          <w:lang w:eastAsia="en-US"/>
        </w:rPr>
        <w:t xml:space="preserve"> C-203/08</w:t>
      </w:r>
      <w:r w:rsidR="00570633">
        <w:rPr>
          <w:i/>
          <w:lang w:eastAsia="en-US"/>
        </w:rPr>
        <w:t xml:space="preserve">, </w:t>
      </w:r>
      <w:r w:rsidR="00570633" w:rsidRPr="00570633">
        <w:rPr>
          <w:i/>
          <w:lang w:eastAsia="en-US"/>
        </w:rPr>
        <w:t>EU:C:2010:307</w:t>
      </w:r>
      <w:r w:rsidR="00570633">
        <w:rPr>
          <w:i/>
          <w:lang w:eastAsia="en-US"/>
        </w:rPr>
        <w:t>,</w:t>
      </w:r>
      <w:r w:rsidR="00774830" w:rsidRPr="003A0B7D">
        <w:rPr>
          <w:i/>
          <w:lang w:eastAsia="en-US"/>
        </w:rPr>
        <w:t xml:space="preserve"> 26., 28.punkts, 2012.gada 19.jūlija sprieduma lietā </w:t>
      </w:r>
      <w:r w:rsidR="00570633">
        <w:rPr>
          <w:i/>
          <w:lang w:eastAsia="en-US"/>
        </w:rPr>
        <w:t>„</w:t>
      </w:r>
      <w:proofErr w:type="spellStart"/>
      <w:r w:rsidR="00570633">
        <w:rPr>
          <w:i/>
          <w:lang w:eastAsia="en-US"/>
        </w:rPr>
        <w:t>Garkalns</w:t>
      </w:r>
      <w:proofErr w:type="spellEnd"/>
      <w:r w:rsidR="00570633">
        <w:rPr>
          <w:i/>
          <w:lang w:eastAsia="en-US"/>
        </w:rPr>
        <w:t xml:space="preserve">” </w:t>
      </w:r>
      <w:r w:rsidR="00774830" w:rsidRPr="003A0B7D">
        <w:rPr>
          <w:i/>
          <w:lang w:eastAsia="en-US"/>
        </w:rPr>
        <w:t>C-470/11</w:t>
      </w:r>
      <w:r w:rsidR="00570633">
        <w:rPr>
          <w:i/>
          <w:lang w:eastAsia="en-US"/>
        </w:rPr>
        <w:t xml:space="preserve">, </w:t>
      </w:r>
      <w:r w:rsidR="00774830" w:rsidRPr="003A0B7D">
        <w:rPr>
          <w:i/>
          <w:lang w:eastAsia="en-US"/>
        </w:rPr>
        <w:t xml:space="preserve"> </w:t>
      </w:r>
      <w:r w:rsidR="00570633" w:rsidRPr="00570633">
        <w:rPr>
          <w:i/>
          <w:lang w:eastAsia="en-US"/>
        </w:rPr>
        <w:t>EU:C:2012:505</w:t>
      </w:r>
      <w:r w:rsidR="00570633">
        <w:rPr>
          <w:i/>
          <w:lang w:eastAsia="en-US"/>
        </w:rPr>
        <w:t xml:space="preserve">, </w:t>
      </w:r>
      <w:r w:rsidR="00774830" w:rsidRPr="003A0B7D">
        <w:rPr>
          <w:i/>
          <w:lang w:eastAsia="en-US"/>
        </w:rPr>
        <w:t>42.–44.punkts,</w:t>
      </w:r>
      <w:r w:rsidR="00774830" w:rsidRPr="003A0B7D">
        <w:rPr>
          <w:i/>
        </w:rPr>
        <w:t xml:space="preserve"> Senāta 2019.gada 30.janvāra sprieduma lietā Nr.</w:t>
      </w:r>
      <w:r w:rsidR="00774830" w:rsidRPr="003A0B7D">
        <w:rPr>
          <w:rFonts w:hint="eastAsia"/>
          <w:i/>
        </w:rPr>
        <w:t> SKA-51/2019</w:t>
      </w:r>
      <w:r w:rsidR="00570633">
        <w:rPr>
          <w:i/>
        </w:rPr>
        <w:t>,</w:t>
      </w:r>
      <w:r w:rsidR="00774830" w:rsidRPr="003A0B7D">
        <w:rPr>
          <w:rFonts w:hint="eastAsia"/>
          <w:i/>
        </w:rPr>
        <w:t xml:space="preserve"> </w:t>
      </w:r>
      <w:r w:rsidR="00774830" w:rsidRPr="003A0B7D">
        <w:rPr>
          <w:i/>
        </w:rPr>
        <w:t>LV:AT:2019:0130.A420224514.2.S</w:t>
      </w:r>
      <w:r w:rsidR="00570633">
        <w:rPr>
          <w:i/>
        </w:rPr>
        <w:t>,</w:t>
      </w:r>
      <w:r w:rsidR="00774830" w:rsidRPr="003A0B7D">
        <w:rPr>
          <w:i/>
        </w:rPr>
        <w:t xml:space="preserve"> 8.punkts)</w:t>
      </w:r>
      <w:r w:rsidR="00774830" w:rsidRPr="003A0B7D">
        <w:t>.</w:t>
      </w:r>
      <w:r w:rsidR="00774830">
        <w:rPr>
          <w:i/>
          <w:lang w:eastAsia="en-US"/>
        </w:rPr>
        <w:t xml:space="preserve"> </w:t>
      </w:r>
    </w:p>
    <w:p w:rsidR="00D32830" w:rsidRDefault="00D32830" w:rsidP="00D32830">
      <w:pPr>
        <w:spacing w:line="276" w:lineRule="auto"/>
        <w:ind w:firstLine="540"/>
        <w:jc w:val="both"/>
        <w:rPr>
          <w:lang w:eastAsia="en-US"/>
        </w:rPr>
      </w:pPr>
    </w:p>
    <w:p w:rsidR="004315C6" w:rsidRDefault="00ED2390" w:rsidP="004315C6">
      <w:pPr>
        <w:spacing w:line="276" w:lineRule="auto"/>
        <w:ind w:firstLine="567"/>
        <w:jc w:val="both"/>
        <w:rPr>
          <w:lang w:eastAsia="en-US"/>
        </w:rPr>
      </w:pPr>
      <w:r>
        <w:rPr>
          <w:lang w:eastAsia="en-US"/>
        </w:rPr>
        <w:t>[</w:t>
      </w:r>
      <w:r w:rsidR="00D32830">
        <w:rPr>
          <w:lang w:eastAsia="en-US"/>
        </w:rPr>
        <w:t>1</w:t>
      </w:r>
      <w:r w:rsidR="00DE4B69">
        <w:rPr>
          <w:lang w:eastAsia="en-US"/>
        </w:rPr>
        <w:t>1</w:t>
      </w:r>
      <w:r>
        <w:rPr>
          <w:lang w:eastAsia="en-US"/>
        </w:rPr>
        <w:t xml:space="preserve">] </w:t>
      </w:r>
      <w:r w:rsidR="00D32830">
        <w:rPr>
          <w:lang w:eastAsia="en-US"/>
        </w:rPr>
        <w:t>Izskatāmajā gadījumā</w:t>
      </w:r>
      <w:r w:rsidR="004315C6">
        <w:rPr>
          <w:lang w:eastAsia="en-US"/>
        </w:rPr>
        <w:t xml:space="preserve"> </w:t>
      </w:r>
      <w:r w:rsidR="00D32830">
        <w:rPr>
          <w:lang w:eastAsia="en-US"/>
        </w:rPr>
        <w:t>pašvaldība</w:t>
      </w:r>
      <w:r w:rsidR="004315C6">
        <w:rPr>
          <w:lang w:eastAsia="en-US"/>
        </w:rPr>
        <w:t xml:space="preserve">, lemjot, ka pieteicējai nav izsniedzama atļauja </w:t>
      </w:r>
      <w:r w:rsidR="00D32830">
        <w:rPr>
          <w:lang w:eastAsia="en-US"/>
        </w:rPr>
        <w:t>totalizatoru un derību</w:t>
      </w:r>
      <w:r w:rsidR="004315C6">
        <w:rPr>
          <w:lang w:eastAsia="en-US"/>
        </w:rPr>
        <w:t xml:space="preserve"> organizēšanai konkrētajā vietā, atsaukusies uz sabiedrības kustības lielu intensitāti (aktivitāti), kultūras, izglītības, reliģisko organizāciju iestāžu un daudzdzīvokļu ēku tuvumu, iedzīvotāju negatīvu attieksmi pret azartspēlēm, kā arī pašvaldības deklarētajiem pilsētas attīstības mērķiem un perspektīvu.</w:t>
      </w:r>
    </w:p>
    <w:p w:rsidR="00D32830" w:rsidRPr="00D32830" w:rsidRDefault="00D32830" w:rsidP="00D32830">
      <w:pPr>
        <w:spacing w:line="276" w:lineRule="auto"/>
        <w:ind w:firstLine="567"/>
        <w:jc w:val="both"/>
        <w:rPr>
          <w:lang w:eastAsia="en-US"/>
        </w:rPr>
      </w:pPr>
      <w:r>
        <w:rPr>
          <w:lang w:eastAsia="en-US"/>
        </w:rPr>
        <w:t xml:space="preserve">Kopumā no iestādes norādītā </w:t>
      </w:r>
      <w:r w:rsidR="00912D2C">
        <w:rPr>
          <w:lang w:eastAsia="en-US"/>
        </w:rPr>
        <w:t xml:space="preserve">iespējams </w:t>
      </w:r>
      <w:r>
        <w:rPr>
          <w:lang w:eastAsia="en-US"/>
        </w:rPr>
        <w:t>secinā</w:t>
      </w:r>
      <w:r w:rsidR="00912D2C">
        <w:rPr>
          <w:lang w:eastAsia="en-US"/>
        </w:rPr>
        <w:t>t</w:t>
      </w:r>
      <w:r>
        <w:rPr>
          <w:lang w:eastAsia="en-US"/>
        </w:rPr>
        <w:t xml:space="preserve">, ka galvenais motīvs iestādes nostājai liegt pieteicējai totalizatora un derību pieņemšanas vietas atvēršanu </w:t>
      </w:r>
      <w:r w:rsidRPr="00FC4BF6">
        <w:rPr>
          <w:lang w:eastAsia="en-US"/>
        </w:rPr>
        <w:t xml:space="preserve">ir ar iepriekš minētajiem objektiem un </w:t>
      </w:r>
      <w:r w:rsidR="00912D2C">
        <w:rPr>
          <w:lang w:eastAsia="en-US"/>
        </w:rPr>
        <w:t xml:space="preserve">konkrētajām </w:t>
      </w:r>
      <w:r w:rsidRPr="00FC4BF6">
        <w:rPr>
          <w:lang w:eastAsia="en-US"/>
        </w:rPr>
        <w:t xml:space="preserve">azartspēlēm saistāmo vērtību nesaderība, </w:t>
      </w:r>
      <w:r w:rsidR="00912D2C">
        <w:rPr>
          <w:lang w:eastAsia="en-US"/>
        </w:rPr>
        <w:t xml:space="preserve">ko apstiprina ne vien pašvaldības analizētie apstākļi, bet </w:t>
      </w:r>
      <w:r w:rsidRPr="00FC4BF6">
        <w:rPr>
          <w:lang w:eastAsia="en-US"/>
        </w:rPr>
        <w:t>arī</w:t>
      </w:r>
      <w:r w:rsidR="00912D2C">
        <w:rPr>
          <w:lang w:eastAsia="en-US"/>
        </w:rPr>
        <w:t xml:space="preserve"> no</w:t>
      </w:r>
      <w:r w:rsidRPr="00FC4BF6">
        <w:rPr>
          <w:lang w:eastAsia="en-US"/>
        </w:rPr>
        <w:t xml:space="preserve"> </w:t>
      </w:r>
      <w:proofErr w:type="gramStart"/>
      <w:r w:rsidR="00912D2C">
        <w:rPr>
          <w:lang w:eastAsia="en-US"/>
        </w:rPr>
        <w:t>2017.gada</w:t>
      </w:r>
      <w:proofErr w:type="gramEnd"/>
      <w:r w:rsidR="00912D2C">
        <w:rPr>
          <w:lang w:eastAsia="en-US"/>
        </w:rPr>
        <w:t xml:space="preserve"> teritorijas plānojuma</w:t>
      </w:r>
      <w:r w:rsidRPr="00FC4BF6">
        <w:rPr>
          <w:lang w:eastAsia="en-US"/>
        </w:rPr>
        <w:t xml:space="preserve"> izrieto</w:t>
      </w:r>
      <w:r>
        <w:rPr>
          <w:lang w:eastAsia="en-US"/>
        </w:rPr>
        <w:t>šie</w:t>
      </w:r>
      <w:r w:rsidRPr="00FC4BF6">
        <w:rPr>
          <w:lang w:eastAsia="en-US"/>
        </w:rPr>
        <w:t xml:space="preserve"> teritorijas</w:t>
      </w:r>
      <w:r>
        <w:rPr>
          <w:lang w:eastAsia="en-US"/>
        </w:rPr>
        <w:t xml:space="preserve"> (Iecavas ciema sabiedriskā centra)</w:t>
      </w:r>
      <w:r w:rsidRPr="00FC4BF6">
        <w:rPr>
          <w:lang w:eastAsia="en-US"/>
        </w:rPr>
        <w:t xml:space="preserve"> attīstības mēr</w:t>
      </w:r>
      <w:r>
        <w:rPr>
          <w:lang w:eastAsia="en-US"/>
        </w:rPr>
        <w:t>ķi</w:t>
      </w:r>
      <w:r w:rsidRPr="00FC4BF6">
        <w:rPr>
          <w:lang w:eastAsia="en-US"/>
        </w:rPr>
        <w:t xml:space="preserve"> un perspekt</w:t>
      </w:r>
      <w:r>
        <w:rPr>
          <w:lang w:eastAsia="en-US"/>
        </w:rPr>
        <w:t>īvas</w:t>
      </w:r>
      <w:r w:rsidRPr="00FC4BF6">
        <w:rPr>
          <w:lang w:eastAsia="en-US"/>
        </w:rPr>
        <w:t xml:space="preserve">. </w:t>
      </w:r>
      <w:r w:rsidR="00912D2C">
        <w:rPr>
          <w:lang w:eastAsia="en-US"/>
        </w:rPr>
        <w:t>Pašvaldības</w:t>
      </w:r>
      <w:r w:rsidRPr="00BC156F">
        <w:rPr>
          <w:lang w:eastAsia="en-US"/>
        </w:rPr>
        <w:t xml:space="preserve"> norādītais nerunā tik daudz par risku, kas varētu radīt šos objektus apmeklējušo cilvēku iespējamu tūlītēju pievēršanos azartspēlēm, cik vispār par attiecīgā pašvaldības rajona vides izmaiņām un ietekmi uz cilvēku morāles un vērtību izpratni</w:t>
      </w:r>
      <w:r>
        <w:rPr>
          <w:lang w:eastAsia="en-US"/>
        </w:rPr>
        <w:t xml:space="preserve">. </w:t>
      </w:r>
    </w:p>
    <w:p w:rsidR="00D32830" w:rsidRDefault="00D32830" w:rsidP="00AB4D8B">
      <w:pPr>
        <w:spacing w:line="276" w:lineRule="auto"/>
        <w:ind w:firstLine="567"/>
        <w:jc w:val="both"/>
        <w:rPr>
          <w:highlight w:val="yellow"/>
          <w:lang w:eastAsia="en-US"/>
        </w:rPr>
      </w:pPr>
    </w:p>
    <w:p w:rsidR="00D32830" w:rsidRDefault="00D32830" w:rsidP="00AB4D8B">
      <w:pPr>
        <w:spacing w:line="276" w:lineRule="auto"/>
        <w:ind w:firstLine="567"/>
        <w:jc w:val="both"/>
        <w:rPr>
          <w:lang w:eastAsia="en-US"/>
        </w:rPr>
      </w:pPr>
      <w:r w:rsidRPr="00D32830">
        <w:rPr>
          <w:lang w:eastAsia="en-US"/>
        </w:rPr>
        <w:t>[1</w:t>
      </w:r>
      <w:r w:rsidR="00DE4B69">
        <w:rPr>
          <w:lang w:eastAsia="en-US"/>
        </w:rPr>
        <w:t>2</w:t>
      </w:r>
      <w:r w:rsidRPr="00D32830">
        <w:rPr>
          <w:lang w:eastAsia="en-US"/>
        </w:rPr>
        <w:t xml:space="preserve">] </w:t>
      </w:r>
      <w:r w:rsidR="004315C6" w:rsidRPr="00D32830">
        <w:rPr>
          <w:lang w:eastAsia="en-US"/>
        </w:rPr>
        <w:t xml:space="preserve">Senāts </w:t>
      </w:r>
      <w:r>
        <w:rPr>
          <w:lang w:eastAsia="en-US"/>
        </w:rPr>
        <w:t>līdzīgās lietās atzinis</w:t>
      </w:r>
      <w:r w:rsidR="004315C6" w:rsidRPr="00D32830">
        <w:rPr>
          <w:lang w:eastAsia="en-US"/>
        </w:rPr>
        <w:t xml:space="preserve">, ka iedzīvotāju vispārīga negatīva attieksme pret azartspēlēm nav pamatots kritērijs ierobežojumam, jo ir pārāk nekonkrēts. </w:t>
      </w:r>
      <w:r w:rsidRPr="00D32830">
        <w:rPr>
          <w:lang w:eastAsia="en-US"/>
        </w:rPr>
        <w:t>Š</w:t>
      </w:r>
      <w:r w:rsidR="004315C6" w:rsidRPr="00D32830">
        <w:rPr>
          <w:lang w:eastAsia="en-US"/>
        </w:rPr>
        <w:t xml:space="preserve">āds kritērijs pats par sevi nav piemērojams, jo tas vienmēr novestu pie ierobežojuma piemērošanas, tā kā attiecībā uz azartspēļu rīkošanu kāda sabiedrības daļa vienmēr būs noraidoša. </w:t>
      </w:r>
      <w:r w:rsidRPr="00D32830">
        <w:rPr>
          <w:lang w:eastAsia="en-US"/>
        </w:rPr>
        <w:t>Kritērijs par</w:t>
      </w:r>
      <w:r w:rsidR="004315C6" w:rsidRPr="00D32830">
        <w:rPr>
          <w:lang w:eastAsia="en-US"/>
        </w:rPr>
        <w:t xml:space="preserve"> sabiedrības kustības lielu intensitāti (aktivitāti)</w:t>
      </w:r>
      <w:r w:rsidRPr="00D32830">
        <w:rPr>
          <w:lang w:eastAsia="en-US"/>
        </w:rPr>
        <w:t>,</w:t>
      </w:r>
      <w:r w:rsidR="004315C6" w:rsidRPr="00D32830">
        <w:rPr>
          <w:lang w:eastAsia="en-US"/>
        </w:rPr>
        <w:t xml:space="preserve"> var būt pamatots vienīgi tad, ja pastāv apstākļi, kas liecina, ka palielinās risks, ka var pieaugt tādu azartspēļu zālē nokļuvušo personu skaits, kurām tur nemaz nav bijis nolūks doties, un vieta nav saderīga ar citu organizāciju piedāvātajām vērtībām. Savukārt kultūras, izglītības un reliģisko organizāciju tuvums ir pamatots</w:t>
      </w:r>
      <w:r w:rsidRPr="00D32830">
        <w:rPr>
          <w:lang w:eastAsia="en-US"/>
        </w:rPr>
        <w:t xml:space="preserve"> kritērijs, jo var provocēt </w:t>
      </w:r>
      <w:proofErr w:type="spellStart"/>
      <w:r w:rsidRPr="00D32830">
        <w:rPr>
          <w:lang w:eastAsia="en-US"/>
        </w:rPr>
        <w:t>cit</w:t>
      </w:r>
      <w:r w:rsidR="004315C6" w:rsidRPr="00D32830">
        <w:rPr>
          <w:lang w:eastAsia="en-US"/>
        </w:rPr>
        <w:t>starp</w:t>
      </w:r>
      <w:proofErr w:type="spellEnd"/>
      <w:r w:rsidR="004315C6" w:rsidRPr="00D32830">
        <w:rPr>
          <w:lang w:eastAsia="en-US"/>
        </w:rPr>
        <w:t xml:space="preserve"> tieši nepilngadīgo personu interesi par azartspēlēm un tādējādi radīt kaitīgu ietekmi un pretrunas starp azartspēļu un kultūras, izglītības vai reliģisko organizāciju piedāvātajām vērtībām. Nav šaubu</w:t>
      </w:r>
      <w:r w:rsidR="004315C6" w:rsidRPr="00D32830">
        <w:t xml:space="preserve">, ka azartspēļu un baznīcas piedāvātās vērtības nav saderīgas </w:t>
      </w:r>
      <w:r w:rsidR="004315C6" w:rsidRPr="00D32830">
        <w:rPr>
          <w:lang w:eastAsia="en-US"/>
        </w:rPr>
        <w:t>(</w:t>
      </w:r>
      <w:r w:rsidR="004315C6" w:rsidRPr="00D32830">
        <w:rPr>
          <w:i/>
          <w:lang w:eastAsia="en-US"/>
        </w:rPr>
        <w:t>Senāta 2010.gada 17.jūnija sprieduma lietā Nr. SKA-227/2010 10.punkts, 2010.gada 22.jūnija sprieduma lietā Nr. SKA-318/2010 14.punkts, 2010.gada 14.oktobra sprieduma lietā Nr. </w:t>
      </w:r>
      <w:r w:rsidR="00E53018" w:rsidRPr="00D32830">
        <w:rPr>
          <w:i/>
          <w:lang w:eastAsia="en-US"/>
        </w:rPr>
        <w:t>SKA-40</w:t>
      </w:r>
      <w:r w:rsidR="004315C6" w:rsidRPr="00D32830">
        <w:rPr>
          <w:i/>
          <w:lang w:eastAsia="en-US"/>
        </w:rPr>
        <w:t>4/2010 8.punkts, 2012.gada 30.oktobra sprieduma lietā Nr. SKA-5/2012 10.punkts</w:t>
      </w:r>
      <w:r w:rsidR="004315C6" w:rsidRPr="00D32830">
        <w:rPr>
          <w:lang w:eastAsia="en-US"/>
        </w:rPr>
        <w:t>).</w:t>
      </w:r>
    </w:p>
    <w:p w:rsidR="00D32830" w:rsidRDefault="002B13EB" w:rsidP="00D32830">
      <w:pPr>
        <w:spacing w:line="276" w:lineRule="auto"/>
        <w:ind w:firstLine="567"/>
        <w:jc w:val="both"/>
        <w:rPr>
          <w:lang w:eastAsia="en-US"/>
        </w:rPr>
      </w:pPr>
      <w:r>
        <w:rPr>
          <w:lang w:eastAsia="en-US"/>
        </w:rPr>
        <w:t xml:space="preserve">Senāts arī </w:t>
      </w:r>
      <w:r w:rsidR="00AB4D8B">
        <w:rPr>
          <w:lang w:eastAsia="en-US"/>
        </w:rPr>
        <w:t>atzinis, ka, salīdzinot pašvaldības argumentus ar tās teritorijas plānojumu, būtu iespēja izvērtēt pilsētas ilgtermiņa mērķus pilsētas teritorijas attīstībā un, iespējams, tādējādi novērstu šaubas par pašvaldības atteikuma pamatotību (</w:t>
      </w:r>
      <w:r w:rsidR="00AB4D8B" w:rsidRPr="00AB4D8B">
        <w:rPr>
          <w:i/>
          <w:lang w:eastAsia="en-US"/>
        </w:rPr>
        <w:t xml:space="preserve">Senāta </w:t>
      </w:r>
      <w:proofErr w:type="gramStart"/>
      <w:r w:rsidR="00AB4D8B" w:rsidRPr="00AB4D8B">
        <w:rPr>
          <w:i/>
          <w:lang w:eastAsia="en-US"/>
        </w:rPr>
        <w:t>2010.gada</w:t>
      </w:r>
      <w:proofErr w:type="gramEnd"/>
      <w:r w:rsidR="00AB4D8B" w:rsidRPr="00AB4D8B">
        <w:rPr>
          <w:i/>
          <w:lang w:eastAsia="en-US"/>
        </w:rPr>
        <w:t xml:space="preserve"> 18.jūnija sprieduma lietā Nr. SKA-289/2010 (</w:t>
      </w:r>
      <w:r w:rsidR="00AB4D8B" w:rsidRPr="00AB4D8B">
        <w:rPr>
          <w:i/>
        </w:rPr>
        <w:t>A42545506)</w:t>
      </w:r>
      <w:r w:rsidR="00AB4D8B" w:rsidRPr="00AB4D8B">
        <w:rPr>
          <w:i/>
          <w:lang w:eastAsia="en-US"/>
        </w:rPr>
        <w:t xml:space="preserve"> 10.punkts, 2013.gada 12.decembra rīcības sēdes lēmuma lietā Nr. SKA-668/2013 (A42565807) 7.punkts</w:t>
      </w:r>
      <w:r w:rsidR="00AB4D8B">
        <w:rPr>
          <w:lang w:eastAsia="en-US"/>
        </w:rPr>
        <w:t>) .</w:t>
      </w:r>
    </w:p>
    <w:p w:rsidR="00BC156F" w:rsidRDefault="00BC156F" w:rsidP="00DB59DA">
      <w:pPr>
        <w:spacing w:line="276" w:lineRule="auto"/>
        <w:ind w:firstLine="567"/>
        <w:jc w:val="both"/>
        <w:rPr>
          <w:highlight w:val="yellow"/>
          <w:lang w:eastAsia="en-US"/>
        </w:rPr>
      </w:pPr>
    </w:p>
    <w:p w:rsidR="00AB4D8B" w:rsidRDefault="00373B2B" w:rsidP="00C82866">
      <w:pPr>
        <w:spacing w:line="276" w:lineRule="auto"/>
        <w:ind w:firstLine="567"/>
        <w:jc w:val="both"/>
        <w:rPr>
          <w:lang w:eastAsia="en-US"/>
        </w:rPr>
      </w:pPr>
      <w:r w:rsidRPr="00E53018">
        <w:rPr>
          <w:lang w:eastAsia="en-US"/>
        </w:rPr>
        <w:t>[</w:t>
      </w:r>
      <w:r w:rsidR="00D32830">
        <w:rPr>
          <w:lang w:eastAsia="en-US"/>
        </w:rPr>
        <w:t>1</w:t>
      </w:r>
      <w:r w:rsidR="00DE4B69">
        <w:rPr>
          <w:lang w:eastAsia="en-US"/>
        </w:rPr>
        <w:t>3</w:t>
      </w:r>
      <w:r w:rsidRPr="00E53018">
        <w:rPr>
          <w:lang w:eastAsia="en-US"/>
        </w:rPr>
        <w:t xml:space="preserve">] </w:t>
      </w:r>
      <w:r w:rsidR="00AB4D8B" w:rsidRPr="00E53018">
        <w:rPr>
          <w:lang w:eastAsia="en-US"/>
        </w:rPr>
        <w:t xml:space="preserve">Apgabaltiesa spriedumā ir </w:t>
      </w:r>
      <w:r w:rsidR="00D32830">
        <w:rPr>
          <w:lang w:eastAsia="en-US"/>
        </w:rPr>
        <w:t>atsaukusies uz Senāta atzīto par iedzīvotāju intensīvu plūsmu kā kritēriju, lai</w:t>
      </w:r>
      <w:r w:rsidR="00C82866">
        <w:rPr>
          <w:lang w:eastAsia="en-US"/>
        </w:rPr>
        <w:t xml:space="preserve"> liegtu azartspēļu organizēšanu. Taču tiesa</w:t>
      </w:r>
      <w:r w:rsidR="00AB4D8B" w:rsidRPr="00E53018">
        <w:rPr>
          <w:lang w:eastAsia="en-US"/>
        </w:rPr>
        <w:t xml:space="preserve"> </w:t>
      </w:r>
      <w:r w:rsidR="00753926">
        <w:rPr>
          <w:lang w:eastAsia="en-US"/>
        </w:rPr>
        <w:t xml:space="preserve">izvērtējumu veikusi tikai daļēji. </w:t>
      </w:r>
      <w:r w:rsidR="00570633">
        <w:rPr>
          <w:lang w:eastAsia="en-US"/>
        </w:rPr>
        <w:t>Tiesa norādījusi</w:t>
      </w:r>
      <w:r w:rsidR="00753926">
        <w:rPr>
          <w:lang w:eastAsia="en-US"/>
        </w:rPr>
        <w:t>, ka šis kritērijs pats par sevi nav pietiekams apstāklis, lai ierobežotu t</w:t>
      </w:r>
      <w:r w:rsidR="00570633">
        <w:rPr>
          <w:lang w:eastAsia="en-US"/>
        </w:rPr>
        <w:t>iesības organizēt azartspēles, un</w:t>
      </w:r>
      <w:r w:rsidR="00753926">
        <w:rPr>
          <w:lang w:eastAsia="en-US"/>
        </w:rPr>
        <w:t xml:space="preserve"> secin</w:t>
      </w:r>
      <w:r w:rsidR="00570633">
        <w:rPr>
          <w:lang w:eastAsia="en-US"/>
        </w:rPr>
        <w:t>ājusi,</w:t>
      </w:r>
      <w:r w:rsidR="00753926">
        <w:rPr>
          <w:lang w:eastAsia="en-US"/>
        </w:rPr>
        <w:t xml:space="preserve"> ka izskatāmajā gadījumā nav konstatējami apstākļi, ka varētu pieaugt tādu personu skaits, kurām </w:t>
      </w:r>
      <w:proofErr w:type="gramStart"/>
      <w:r w:rsidR="00753926">
        <w:rPr>
          <w:lang w:eastAsia="en-US"/>
        </w:rPr>
        <w:t>nebija mērķis</w:t>
      </w:r>
      <w:proofErr w:type="gramEnd"/>
      <w:r w:rsidR="00753926">
        <w:rPr>
          <w:lang w:eastAsia="en-US"/>
        </w:rPr>
        <w:t xml:space="preserve"> nokļūt azartspēļu organizēšanas vietā. </w:t>
      </w:r>
      <w:r w:rsidR="00570633">
        <w:rPr>
          <w:lang w:eastAsia="en-US"/>
        </w:rPr>
        <w:t xml:space="preserve">Taču </w:t>
      </w:r>
      <w:r w:rsidR="00753926">
        <w:rPr>
          <w:lang w:eastAsia="en-US"/>
        </w:rPr>
        <w:t xml:space="preserve">Administratīvā apgabaltiesa nav </w:t>
      </w:r>
      <w:r w:rsidR="00570633">
        <w:rPr>
          <w:lang w:eastAsia="en-US"/>
        </w:rPr>
        <w:t xml:space="preserve">pietiekami </w:t>
      </w:r>
      <w:r w:rsidR="00753926">
        <w:rPr>
          <w:lang w:eastAsia="en-US"/>
        </w:rPr>
        <w:t xml:space="preserve">pēc būtības </w:t>
      </w:r>
      <w:r w:rsidR="00570633">
        <w:rPr>
          <w:lang w:eastAsia="en-US"/>
        </w:rPr>
        <w:t xml:space="preserve">pārbaudījusi </w:t>
      </w:r>
      <w:r w:rsidR="00AB4D8B" w:rsidRPr="00E53018">
        <w:rPr>
          <w:lang w:eastAsia="en-US"/>
        </w:rPr>
        <w:t>apstākļus par objektu, kas atrodas konkrētajā rajonā, saderību</w:t>
      </w:r>
      <w:r w:rsidR="00753926" w:rsidRPr="00753926">
        <w:rPr>
          <w:lang w:eastAsia="en-US"/>
        </w:rPr>
        <w:t xml:space="preserve"> </w:t>
      </w:r>
      <w:r w:rsidR="00753926" w:rsidRPr="00E53018">
        <w:rPr>
          <w:lang w:eastAsia="en-US"/>
        </w:rPr>
        <w:t>jeb pašvaldības vēlmi saglabāt kādas teritorijas vidi, kurā pēc būtības neiekļaujas azartspēles</w:t>
      </w:r>
      <w:r w:rsidR="00AB4D8B" w:rsidRPr="00E53018">
        <w:rPr>
          <w:lang w:eastAsia="en-US"/>
        </w:rPr>
        <w:t>.</w:t>
      </w:r>
    </w:p>
    <w:p w:rsidR="0039198C" w:rsidRDefault="0039198C" w:rsidP="0039198C">
      <w:pPr>
        <w:spacing w:line="276" w:lineRule="auto"/>
        <w:ind w:firstLine="567"/>
        <w:jc w:val="both"/>
        <w:rPr>
          <w:lang w:eastAsia="en-US"/>
        </w:rPr>
      </w:pPr>
    </w:p>
    <w:p w:rsidR="00D53E7F" w:rsidRDefault="00D53E7F" w:rsidP="00D53E7F">
      <w:pPr>
        <w:spacing w:line="276" w:lineRule="auto"/>
        <w:ind w:firstLine="567"/>
        <w:jc w:val="both"/>
        <w:rPr>
          <w:lang w:eastAsia="en-US"/>
        </w:rPr>
      </w:pPr>
      <w:r>
        <w:rPr>
          <w:lang w:eastAsia="en-US"/>
        </w:rPr>
        <w:t xml:space="preserve">[14] </w:t>
      </w:r>
      <w:r w:rsidR="00DE4B69">
        <w:rPr>
          <w:lang w:eastAsia="en-US"/>
        </w:rPr>
        <w:t xml:space="preserve">Šajā sakarā būtisks ir </w:t>
      </w:r>
      <w:r>
        <w:rPr>
          <w:lang w:eastAsia="en-US"/>
        </w:rPr>
        <w:t>Iecavas novada dome</w:t>
      </w:r>
      <w:r w:rsidR="00DE4B69">
        <w:rPr>
          <w:lang w:eastAsia="en-US"/>
        </w:rPr>
        <w:t>s</w:t>
      </w:r>
      <w:r>
        <w:rPr>
          <w:lang w:eastAsia="en-US"/>
        </w:rPr>
        <w:t xml:space="preserve"> kasācijas sūdzīb</w:t>
      </w:r>
      <w:r w:rsidR="00DE4B69">
        <w:rPr>
          <w:lang w:eastAsia="en-US"/>
        </w:rPr>
        <w:t>as arguments, ka</w:t>
      </w:r>
      <w:r>
        <w:rPr>
          <w:lang w:eastAsia="en-US"/>
        </w:rPr>
        <w:t xml:space="preserve"> </w:t>
      </w:r>
      <w:proofErr w:type="gramStart"/>
      <w:r>
        <w:rPr>
          <w:lang w:eastAsia="en-US"/>
        </w:rPr>
        <w:t>2017.gada</w:t>
      </w:r>
      <w:proofErr w:type="gramEnd"/>
      <w:r>
        <w:rPr>
          <w:lang w:eastAsia="en-US"/>
        </w:rPr>
        <w:t xml:space="preserve"> teritorijas plānojumā, kas ir īstenojams no 2017.gada 1.augusta, ir noteiktas prasības </w:t>
      </w:r>
      <w:r>
        <w:rPr>
          <w:lang w:eastAsia="en-US"/>
        </w:rPr>
        <w:lastRenderedPageBreak/>
        <w:t xml:space="preserve">Iecavas ciema sabiedriskā centra apbūvei. Saskaņā ar </w:t>
      </w:r>
      <w:proofErr w:type="gramStart"/>
      <w:r>
        <w:rPr>
          <w:lang w:eastAsia="en-US"/>
        </w:rPr>
        <w:t>2017.gada</w:t>
      </w:r>
      <w:proofErr w:type="gramEnd"/>
      <w:r>
        <w:rPr>
          <w:lang w:eastAsia="en-US"/>
        </w:rPr>
        <w:t xml:space="preserve"> teritorijas plānojuma sadaļas „Teritorijas izmantošanas un apbūves noteikumi” 395.punktu Iecavas ciema sabiedriskā centra teritorijā aizliegts izvietot </w:t>
      </w:r>
      <w:proofErr w:type="spellStart"/>
      <w:r>
        <w:rPr>
          <w:lang w:eastAsia="en-US"/>
        </w:rPr>
        <w:t>citstarp</w:t>
      </w:r>
      <w:proofErr w:type="spellEnd"/>
      <w:r>
        <w:rPr>
          <w:lang w:eastAsia="en-US"/>
        </w:rPr>
        <w:t xml:space="preserve"> azartspēļu vietas. Pašvaldība norāda, ka gan paskaidrojumos pirmās instances tiesai, gan apelācijas sūdzībā ir vērsusi tiesas uzmanību, ka </w:t>
      </w:r>
      <w:proofErr w:type="gramStart"/>
      <w:r>
        <w:rPr>
          <w:lang w:eastAsia="en-US"/>
        </w:rPr>
        <w:t>2008.gada</w:t>
      </w:r>
      <w:proofErr w:type="gramEnd"/>
      <w:r>
        <w:rPr>
          <w:lang w:eastAsia="en-US"/>
        </w:rPr>
        <w:t xml:space="preserve"> teritorijas plānojums tiek pārstrādāts un jaunajā teritorijas plānojumā tiks iestrādātas prasības azartspēļu atrašanās vietām ciema teritorijā.</w:t>
      </w:r>
    </w:p>
    <w:p w:rsidR="00DE4B69" w:rsidRDefault="00D53E7F" w:rsidP="00D53E7F">
      <w:pPr>
        <w:spacing w:line="276" w:lineRule="auto"/>
        <w:ind w:firstLine="567"/>
        <w:jc w:val="both"/>
        <w:rPr>
          <w:lang w:eastAsia="en-US"/>
        </w:rPr>
      </w:pPr>
      <w:r>
        <w:rPr>
          <w:lang w:eastAsia="en-US"/>
        </w:rPr>
        <w:t>Tādējādi, kā izriet no atbildētājas minētās normas, Iecavas novada dome ir noteikusi konkrētu ierobežojumu azartspēļu izvietošanai attiecīgajā vietā</w:t>
      </w:r>
      <w:r w:rsidR="003D6E94">
        <w:rPr>
          <w:lang w:eastAsia="en-US"/>
        </w:rPr>
        <w:t xml:space="preserve">, un tas apstiprina </w:t>
      </w:r>
      <w:r w:rsidR="00DE4B69">
        <w:rPr>
          <w:lang w:eastAsia="en-US"/>
        </w:rPr>
        <w:t xml:space="preserve">atbildētājas </w:t>
      </w:r>
      <w:r w:rsidR="003D6E94">
        <w:rPr>
          <w:lang w:eastAsia="en-US"/>
        </w:rPr>
        <w:t>vēlmi noteiktu kultūras, reliģisko u.c. objektu tuvumā neizvietot azartspēļu vietas kā ar šādiem objektiem nesaderīgas.</w:t>
      </w:r>
      <w:r w:rsidR="00DE4B69">
        <w:rPr>
          <w:lang w:eastAsia="en-US"/>
        </w:rPr>
        <w:t xml:space="preserve"> </w:t>
      </w:r>
    </w:p>
    <w:p w:rsidR="00D53E7F" w:rsidRDefault="00D53E7F" w:rsidP="00D53E7F">
      <w:pPr>
        <w:spacing w:line="276" w:lineRule="auto"/>
        <w:ind w:firstLine="567"/>
        <w:jc w:val="both"/>
        <w:rPr>
          <w:lang w:eastAsia="en-US"/>
        </w:rPr>
      </w:pPr>
      <w:r>
        <w:rPr>
          <w:lang w:eastAsia="en-US"/>
        </w:rPr>
        <w:t xml:space="preserve">No </w:t>
      </w:r>
      <w:proofErr w:type="gramStart"/>
      <w:r>
        <w:rPr>
          <w:lang w:eastAsia="en-US"/>
        </w:rPr>
        <w:t>2017.gada</w:t>
      </w:r>
      <w:proofErr w:type="gramEnd"/>
      <w:r>
        <w:rPr>
          <w:lang w:eastAsia="en-US"/>
        </w:rPr>
        <w:t xml:space="preserve"> teritorijas plānojuma „Funkcionālais zonējums” redzams, ka strīdus vieta, proti, Rīgas iela 16, Iecava, atrodas Iecavas ciema sabiedriskā centra teritorijā. Līdz ar to nav saprotams Administratīvās apgabaltiesas secinājums par trūkumiem pašvaldības teritorijas plānojumā.</w:t>
      </w:r>
    </w:p>
    <w:p w:rsidR="00D53E7F" w:rsidRDefault="00D53E7F" w:rsidP="00D53E7F">
      <w:pPr>
        <w:spacing w:line="276" w:lineRule="auto"/>
        <w:ind w:firstLine="567"/>
        <w:jc w:val="both"/>
        <w:rPr>
          <w:highlight w:val="yellow"/>
          <w:lang w:eastAsia="en-US"/>
        </w:rPr>
      </w:pPr>
    </w:p>
    <w:p w:rsidR="00A53385" w:rsidRDefault="00AB4D8B" w:rsidP="00DB59DA">
      <w:pPr>
        <w:spacing w:line="276" w:lineRule="auto"/>
        <w:ind w:firstLine="567"/>
        <w:jc w:val="both"/>
        <w:rPr>
          <w:lang w:eastAsia="en-US"/>
        </w:rPr>
      </w:pPr>
      <w:r w:rsidRPr="00753926">
        <w:rPr>
          <w:lang w:eastAsia="en-US"/>
        </w:rPr>
        <w:t>[</w:t>
      </w:r>
      <w:r w:rsidR="00753926" w:rsidRPr="00753926">
        <w:rPr>
          <w:lang w:eastAsia="en-US"/>
        </w:rPr>
        <w:t>1</w:t>
      </w:r>
      <w:r w:rsidR="003D6E94">
        <w:rPr>
          <w:lang w:eastAsia="en-US"/>
        </w:rPr>
        <w:t>5</w:t>
      </w:r>
      <w:r w:rsidRPr="00753926">
        <w:rPr>
          <w:lang w:eastAsia="en-US"/>
        </w:rPr>
        <w:t xml:space="preserve">] </w:t>
      </w:r>
      <w:r w:rsidR="00D53E7F">
        <w:rPr>
          <w:lang w:eastAsia="en-US"/>
        </w:rPr>
        <w:t>Apgabaltiesa ir kritiski vērtējusi atbildētājas pamatojumu atteikumam izsniegt pieteicējai atļauju, l</w:t>
      </w:r>
      <w:r w:rsidR="000C1864" w:rsidRPr="00753926">
        <w:rPr>
          <w:lang w:eastAsia="en-US"/>
        </w:rPr>
        <w:t xml:space="preserve">ietā ir </w:t>
      </w:r>
      <w:r w:rsidR="00753926" w:rsidRPr="00753926">
        <w:rPr>
          <w:lang w:eastAsia="en-US"/>
        </w:rPr>
        <w:t>ziņas</w:t>
      </w:r>
      <w:r w:rsidR="000C1864" w:rsidRPr="00753926">
        <w:rPr>
          <w:lang w:eastAsia="en-US"/>
        </w:rPr>
        <w:t>, ka netālu</w:t>
      </w:r>
      <w:r w:rsidR="00313595" w:rsidRPr="00753926">
        <w:rPr>
          <w:lang w:eastAsia="en-US"/>
        </w:rPr>
        <w:t xml:space="preserve">, t.i., </w:t>
      </w:r>
      <w:r w:rsidR="00373B2B" w:rsidRPr="00753926">
        <w:rPr>
          <w:lang w:eastAsia="en-US"/>
        </w:rPr>
        <w:t>Rīgas ielā 20, Iecavā</w:t>
      </w:r>
      <w:r w:rsidR="00AB7592" w:rsidRPr="00753926">
        <w:rPr>
          <w:lang w:eastAsia="en-US"/>
        </w:rPr>
        <w:t>,</w:t>
      </w:r>
      <w:r w:rsidR="000C1864" w:rsidRPr="00753926">
        <w:rPr>
          <w:lang w:eastAsia="en-US"/>
        </w:rPr>
        <w:t xml:space="preserve"> atrodas cita</w:t>
      </w:r>
      <w:r w:rsidR="00FC4BF6" w:rsidRPr="00753926">
        <w:rPr>
          <w:lang w:eastAsia="en-US"/>
        </w:rPr>
        <w:t>m komersantam piederoša</w:t>
      </w:r>
      <w:r w:rsidR="000C1864" w:rsidRPr="00753926">
        <w:rPr>
          <w:lang w:eastAsia="en-US"/>
        </w:rPr>
        <w:t xml:space="preserve"> spēļu zāle</w:t>
      </w:r>
      <w:r w:rsidR="0008206B" w:rsidRPr="00753926">
        <w:rPr>
          <w:lang w:eastAsia="en-US"/>
        </w:rPr>
        <w:t>, kuras atvēršanai atļauja izsniegta agrāk.</w:t>
      </w:r>
    </w:p>
    <w:p w:rsidR="0039198C" w:rsidRDefault="0039198C" w:rsidP="0039198C">
      <w:pPr>
        <w:spacing w:line="276" w:lineRule="auto"/>
        <w:ind w:firstLine="567"/>
        <w:jc w:val="both"/>
        <w:rPr>
          <w:lang w:eastAsia="en-US"/>
        </w:rPr>
      </w:pPr>
      <w:r>
        <w:rPr>
          <w:lang w:eastAsia="en-US"/>
        </w:rPr>
        <w:t>Šādiem apgabaltiesas apsvērumiem nav pamata nepiekrist. Kā jau norādīts iepriekš, l</w:t>
      </w:r>
      <w:r w:rsidRPr="00D96920">
        <w:rPr>
          <w:lang w:eastAsia="en-US"/>
        </w:rPr>
        <w:t>ai ievērotu vienlīdzīgas attieksmes principu, azartspēļu izsniegšanas sistēmai ir jābūt pamatotai ar nediskriminējošiem un iepriekš zināmiem objektīviem kritērijiem, lai nodrošinātu, ka iestāžu rīcības brīvības izmantošana tiek ierobežota tādā veidā, lai tā netiktu izmantota patvaļīgi un lai atsevišķiem pakalpojuma sniedzējiem neradītu nepamatotas priekšrocības.</w:t>
      </w:r>
    </w:p>
    <w:p w:rsidR="0039198C" w:rsidRDefault="00ED7B47" w:rsidP="0039198C">
      <w:pPr>
        <w:spacing w:line="276" w:lineRule="auto"/>
        <w:ind w:firstLine="567"/>
        <w:jc w:val="both"/>
        <w:rPr>
          <w:lang w:eastAsia="en-US"/>
        </w:rPr>
      </w:pPr>
      <w:r>
        <w:rPr>
          <w:lang w:eastAsia="en-US"/>
        </w:rPr>
        <w:t>C</w:t>
      </w:r>
      <w:r w:rsidR="0039198C">
        <w:rPr>
          <w:lang w:eastAsia="en-US"/>
        </w:rPr>
        <w:t xml:space="preserve">itas spēļu zāles darbības turpināšana nelielā attālumā </w:t>
      </w:r>
      <w:r w:rsidR="00D53E7F">
        <w:rPr>
          <w:lang w:eastAsia="en-US"/>
        </w:rPr>
        <w:t xml:space="preserve">uzrāda pretrunas pašvaldības nostājā. Kā </w:t>
      </w:r>
      <w:r w:rsidR="00AB2B89">
        <w:rPr>
          <w:lang w:eastAsia="en-US"/>
        </w:rPr>
        <w:t>Senāts norādījis</w:t>
      </w:r>
      <w:r w:rsidR="00D53E7F">
        <w:rPr>
          <w:lang w:eastAsia="en-US"/>
        </w:rPr>
        <w:t xml:space="preserve"> citā lietā starp šiem pašiem procesa dalībniekiem</w:t>
      </w:r>
      <w:r>
        <w:rPr>
          <w:lang w:eastAsia="en-US"/>
        </w:rPr>
        <w:t xml:space="preserve"> (</w:t>
      </w:r>
      <w:r w:rsidRPr="00D96920">
        <w:rPr>
          <w:i/>
          <w:lang w:eastAsia="en-US"/>
        </w:rPr>
        <w:t xml:space="preserve">Senāta </w:t>
      </w:r>
      <w:proofErr w:type="gramStart"/>
      <w:r w:rsidRPr="00D96920">
        <w:rPr>
          <w:i/>
          <w:lang w:eastAsia="en-US"/>
        </w:rPr>
        <w:t>2019.gada</w:t>
      </w:r>
      <w:proofErr w:type="gramEnd"/>
      <w:r w:rsidRPr="00D96920">
        <w:rPr>
          <w:i/>
          <w:lang w:eastAsia="en-US"/>
        </w:rPr>
        <w:t xml:space="preserve"> 30.janvāra sprieduma lietā Nr.</w:t>
      </w:r>
      <w:r w:rsidRPr="00D96920">
        <w:rPr>
          <w:rFonts w:hint="eastAsia"/>
          <w:i/>
          <w:lang w:eastAsia="en-US"/>
        </w:rPr>
        <w:t> SKA-51/2019</w:t>
      </w:r>
      <w:r>
        <w:rPr>
          <w:i/>
          <w:lang w:eastAsia="en-US"/>
        </w:rPr>
        <w:t xml:space="preserve">, </w:t>
      </w:r>
      <w:r w:rsidRPr="00D96920">
        <w:rPr>
          <w:i/>
          <w:lang w:eastAsia="en-US"/>
        </w:rPr>
        <w:t>LV:AT:2019:0130.A420224514.2.S</w:t>
      </w:r>
      <w:r>
        <w:rPr>
          <w:i/>
          <w:lang w:eastAsia="en-US"/>
        </w:rPr>
        <w:t>,</w:t>
      </w:r>
      <w:r w:rsidRPr="00D96920">
        <w:rPr>
          <w:i/>
          <w:lang w:eastAsia="en-US"/>
        </w:rPr>
        <w:t xml:space="preserve"> 12.punkts</w:t>
      </w:r>
      <w:r>
        <w:rPr>
          <w:lang w:eastAsia="en-US"/>
        </w:rPr>
        <w:t>)</w:t>
      </w:r>
      <w:r w:rsidR="00AB2B89">
        <w:rPr>
          <w:lang w:eastAsia="en-US"/>
        </w:rPr>
        <w:t xml:space="preserve">, </w:t>
      </w:r>
      <w:r w:rsidR="0039198C">
        <w:rPr>
          <w:lang w:eastAsia="en-US"/>
        </w:rPr>
        <w:t>ja pašvaldība</w:t>
      </w:r>
      <w:r w:rsidR="00D96920" w:rsidRPr="00D96920">
        <w:rPr>
          <w:lang w:eastAsia="en-US"/>
        </w:rPr>
        <w:t xml:space="preserve"> ir apzinājusi teritorijas, kurās atzīst azartspēļu nepieļaujamību sabiedrisko interešu vārdā, tad tai konsekventi ir jārīkojas</w:t>
      </w:r>
      <w:r w:rsidR="0039198C">
        <w:rPr>
          <w:lang w:eastAsia="en-US"/>
        </w:rPr>
        <w:t>,</w:t>
      </w:r>
      <w:r w:rsidR="00D96920" w:rsidRPr="00D96920">
        <w:rPr>
          <w:lang w:eastAsia="en-US"/>
        </w:rPr>
        <w:t xml:space="preserve"> gan lemjot par jaunu atļauju izsniegšanu, gan attiecībā uz jau izsniegtajām atļaujām. Pretējā gadījumā var rasties šaubas, vai ierobežojums ir balstīts patiesos nolūkos rūpēties par iedzīvotāju interesēm, kā arī par vienlīdzīgas attieksmes principa ievērošanu.</w:t>
      </w:r>
    </w:p>
    <w:p w:rsidR="002D6BD6" w:rsidRDefault="002D6BD6" w:rsidP="0039198C">
      <w:pPr>
        <w:spacing w:line="276" w:lineRule="auto"/>
        <w:ind w:firstLine="567"/>
        <w:jc w:val="both"/>
        <w:rPr>
          <w:lang w:eastAsia="en-US"/>
        </w:rPr>
      </w:pPr>
      <w:r>
        <w:rPr>
          <w:lang w:eastAsia="en-US"/>
        </w:rPr>
        <w:t xml:space="preserve">Vienlaikus jāņem vērā, ka tiesa nevar uzdot izdot administratīvo aktu, kas ir pretrunā ar spēkā esošiem pašvaldības saistošajiem noteikumiem (sal.: </w:t>
      </w:r>
      <w:r w:rsidRPr="00ED7B47">
        <w:rPr>
          <w:i/>
          <w:lang w:eastAsia="en-US"/>
        </w:rPr>
        <w:t xml:space="preserve">Senāta </w:t>
      </w:r>
      <w:proofErr w:type="gramStart"/>
      <w:r w:rsidRPr="00ED7B47">
        <w:rPr>
          <w:i/>
          <w:lang w:eastAsia="en-US"/>
        </w:rPr>
        <w:t>2017.gada</w:t>
      </w:r>
      <w:proofErr w:type="gramEnd"/>
      <w:r w:rsidRPr="00ED7B47">
        <w:rPr>
          <w:i/>
          <w:lang w:eastAsia="en-US"/>
        </w:rPr>
        <w:t xml:space="preserve"> 24.februāra sprieduma lietā Nr. SKA-34/2017 (A420415312) 6.punkt</w:t>
      </w:r>
      <w:r w:rsidR="00ED7B47">
        <w:rPr>
          <w:i/>
          <w:lang w:eastAsia="en-US"/>
        </w:rPr>
        <w:t>s</w:t>
      </w:r>
      <w:r>
        <w:rPr>
          <w:lang w:eastAsia="en-US"/>
        </w:rPr>
        <w:t xml:space="preserve">). </w:t>
      </w:r>
      <w:r w:rsidR="00ED7B47">
        <w:rPr>
          <w:lang w:eastAsia="en-US"/>
        </w:rPr>
        <w:t xml:space="preserve">Spēļu zāles darbība teritorijā, kur to liedz teritorijas plānojums, </w:t>
      </w:r>
      <w:r>
        <w:rPr>
          <w:lang w:eastAsia="en-US"/>
        </w:rPr>
        <w:t xml:space="preserve">būtu pamats pašvaldībai rīkoties, novēršot </w:t>
      </w:r>
      <w:r w:rsidR="00ED7B47">
        <w:rPr>
          <w:lang w:eastAsia="en-US"/>
        </w:rPr>
        <w:t xml:space="preserve">pretrunas ar spēkā esošajiem normatīvajiem aktiem, kā rezultātā privileģētā stāvoklī atrodas viens konkrēts tirgus dalībnieks (sal.: </w:t>
      </w:r>
      <w:r w:rsidR="00ED7B47" w:rsidRPr="00ED7B47">
        <w:rPr>
          <w:i/>
          <w:lang w:eastAsia="en-US"/>
        </w:rPr>
        <w:t>turpat, 7.punkts</w:t>
      </w:r>
      <w:r w:rsidR="00ED7B47">
        <w:rPr>
          <w:i/>
          <w:lang w:eastAsia="en-US"/>
        </w:rPr>
        <w:t>, kā arī tajā pašā lietā pieņemtais blakus lēmums</w:t>
      </w:r>
      <w:r w:rsidR="00ED7B47">
        <w:rPr>
          <w:lang w:eastAsia="en-US"/>
        </w:rPr>
        <w:t>).</w:t>
      </w:r>
    </w:p>
    <w:p w:rsidR="00067D3C" w:rsidRDefault="00067D3C" w:rsidP="00DB59DA">
      <w:pPr>
        <w:spacing w:line="276" w:lineRule="auto"/>
        <w:ind w:firstLine="567"/>
        <w:jc w:val="both"/>
        <w:rPr>
          <w:lang w:eastAsia="en-US"/>
        </w:rPr>
      </w:pPr>
    </w:p>
    <w:p w:rsidR="00067D3C" w:rsidRDefault="00067D3C" w:rsidP="00067D3C">
      <w:pPr>
        <w:spacing w:line="276" w:lineRule="auto"/>
        <w:ind w:firstLine="567"/>
        <w:jc w:val="both"/>
        <w:rPr>
          <w:lang w:eastAsia="en-US"/>
        </w:rPr>
      </w:pPr>
      <w:r>
        <w:rPr>
          <w:lang w:eastAsia="en-US"/>
        </w:rPr>
        <w:t>[1</w:t>
      </w:r>
      <w:r w:rsidR="00C72D08">
        <w:rPr>
          <w:lang w:eastAsia="en-US"/>
        </w:rPr>
        <w:t>6</w:t>
      </w:r>
      <w:r>
        <w:rPr>
          <w:lang w:eastAsia="en-US"/>
        </w:rPr>
        <w:t xml:space="preserve">] </w:t>
      </w:r>
      <w:r w:rsidR="00071FD0">
        <w:rPr>
          <w:lang w:eastAsia="en-US"/>
        </w:rPr>
        <w:t>Ņ</w:t>
      </w:r>
      <w:r w:rsidR="00E24C3B">
        <w:rPr>
          <w:lang w:eastAsia="en-US"/>
        </w:rPr>
        <w:t xml:space="preserve">emot vērā, ka tiesa ir lēmusi </w:t>
      </w:r>
      <w:r w:rsidR="00AE47B4">
        <w:rPr>
          <w:lang w:eastAsia="en-US"/>
        </w:rPr>
        <w:t>par</w:t>
      </w:r>
      <w:r w:rsidR="00E24C3B">
        <w:rPr>
          <w:lang w:eastAsia="en-US"/>
        </w:rPr>
        <w:t xml:space="preserve"> labvēlīg</w:t>
      </w:r>
      <w:r w:rsidR="00AE47B4">
        <w:rPr>
          <w:lang w:eastAsia="en-US"/>
        </w:rPr>
        <w:t>a</w:t>
      </w:r>
      <w:r w:rsidR="00E24C3B">
        <w:rPr>
          <w:lang w:eastAsia="en-US"/>
        </w:rPr>
        <w:t xml:space="preserve"> administratīv</w:t>
      </w:r>
      <w:r w:rsidR="00AE47B4">
        <w:rPr>
          <w:lang w:eastAsia="en-US"/>
        </w:rPr>
        <w:t>ā</w:t>
      </w:r>
      <w:r w:rsidR="00E24C3B">
        <w:rPr>
          <w:lang w:eastAsia="en-US"/>
        </w:rPr>
        <w:t xml:space="preserve"> akt</w:t>
      </w:r>
      <w:r w:rsidR="00AE47B4">
        <w:rPr>
          <w:lang w:eastAsia="en-US"/>
        </w:rPr>
        <w:t>a</w:t>
      </w:r>
      <w:r w:rsidR="00E24C3B">
        <w:rPr>
          <w:lang w:eastAsia="en-US"/>
        </w:rPr>
        <w:t xml:space="preserve">, </w:t>
      </w:r>
      <w:proofErr w:type="gramStart"/>
      <w:r w:rsidR="00E24C3B">
        <w:rPr>
          <w:lang w:eastAsia="en-US"/>
        </w:rPr>
        <w:t>ar kuru tiktu atļaut</w:t>
      </w:r>
      <w:r w:rsidR="00AE47B4">
        <w:rPr>
          <w:lang w:eastAsia="en-US"/>
        </w:rPr>
        <w:t>a</w:t>
      </w:r>
      <w:r w:rsidR="00E24C3B">
        <w:rPr>
          <w:lang w:eastAsia="en-US"/>
        </w:rPr>
        <w:t xml:space="preserve"> </w:t>
      </w:r>
      <w:r w:rsidR="0017696C">
        <w:rPr>
          <w:lang w:eastAsia="en-US"/>
        </w:rPr>
        <w:t>totalizatora un derību pieņemšanas vietas</w:t>
      </w:r>
      <w:r w:rsidR="00AE47B4">
        <w:rPr>
          <w:lang w:eastAsia="en-US"/>
        </w:rPr>
        <w:t xml:space="preserve"> atvēršana</w:t>
      </w:r>
      <w:r w:rsidR="00E24C3B">
        <w:rPr>
          <w:lang w:eastAsia="en-US"/>
        </w:rPr>
        <w:t xml:space="preserve"> konkrētajā vietā, </w:t>
      </w:r>
      <w:r w:rsidR="00AE47B4">
        <w:rPr>
          <w:lang w:eastAsia="en-US"/>
        </w:rPr>
        <w:t>izdošanu</w:t>
      </w:r>
      <w:r w:rsidR="00AE47B4" w:rsidRPr="00414306">
        <w:rPr>
          <w:lang w:eastAsia="en-US"/>
        </w:rPr>
        <w:t xml:space="preserve">, </w:t>
      </w:r>
      <w:r w:rsidR="00E24C3B" w:rsidRPr="00414306">
        <w:rPr>
          <w:lang w:eastAsia="en-US"/>
        </w:rPr>
        <w:t xml:space="preserve">tiesas </w:t>
      </w:r>
      <w:r w:rsidR="00444348" w:rsidRPr="00414306">
        <w:rPr>
          <w:lang w:eastAsia="en-US"/>
        </w:rPr>
        <w:t>veiktais</w:t>
      </w:r>
      <w:proofErr w:type="gramEnd"/>
      <w:r w:rsidR="00444348" w:rsidRPr="00414306">
        <w:rPr>
          <w:lang w:eastAsia="en-US"/>
        </w:rPr>
        <w:t xml:space="preserve"> </w:t>
      </w:r>
      <w:r w:rsidR="00E24C3B" w:rsidRPr="00414306">
        <w:rPr>
          <w:lang w:eastAsia="en-US"/>
        </w:rPr>
        <w:t>izvērtējums nav pietiekams.</w:t>
      </w:r>
      <w:r w:rsidR="00E24C3B">
        <w:rPr>
          <w:lang w:eastAsia="en-US"/>
        </w:rPr>
        <w:t xml:space="preserve"> Lemjot par labvēlīga administratīvā akta izdošanu, tiesa nevar aprobežoties vienīgi ar jau izdotajā administratīvajā aktā ietverto pamatojumu, </w:t>
      </w:r>
      <w:r w:rsidR="00071FD0">
        <w:rPr>
          <w:lang w:eastAsia="en-US"/>
        </w:rPr>
        <w:t>ja tas neaptver visus būtiskos apstākļus</w:t>
      </w:r>
      <w:r w:rsidR="00C8224D">
        <w:rPr>
          <w:lang w:eastAsia="en-US"/>
        </w:rPr>
        <w:t xml:space="preserve">. Tai </w:t>
      </w:r>
      <w:r w:rsidR="00E24C3B">
        <w:rPr>
          <w:lang w:eastAsia="en-US"/>
        </w:rPr>
        <w:t xml:space="preserve">ir jāizvērtē, vai nepastāv tiesiski šķēršļi </w:t>
      </w:r>
      <w:r w:rsidR="00C8224D">
        <w:rPr>
          <w:lang w:eastAsia="en-US"/>
        </w:rPr>
        <w:t>akta</w:t>
      </w:r>
      <w:r w:rsidR="00E24C3B">
        <w:rPr>
          <w:lang w:eastAsia="en-US"/>
        </w:rPr>
        <w:t xml:space="preserve"> izdošanai.</w:t>
      </w:r>
      <w:r w:rsidR="00E250B5">
        <w:rPr>
          <w:lang w:eastAsia="en-US"/>
        </w:rPr>
        <w:t xml:space="preserve"> </w:t>
      </w:r>
    </w:p>
    <w:p w:rsidR="00E45D45" w:rsidRDefault="002D6BD6" w:rsidP="00DB59DA">
      <w:pPr>
        <w:spacing w:line="276" w:lineRule="auto"/>
        <w:ind w:firstLine="567"/>
        <w:jc w:val="both"/>
      </w:pPr>
      <w:r>
        <w:t>Ievērojot iepriekš minētos apsvērumus,</w:t>
      </w:r>
      <w:r w:rsidR="006E35C1" w:rsidRPr="00963005">
        <w:t xml:space="preserve"> </w:t>
      </w:r>
      <w:r w:rsidR="00431456">
        <w:t xml:space="preserve">apgabaltiesas </w:t>
      </w:r>
      <w:r w:rsidR="006E35C1" w:rsidRPr="00963005">
        <w:t xml:space="preserve">spriedums ir </w:t>
      </w:r>
      <w:r w:rsidR="00431456">
        <w:t>atceļams un lieta nosūtāma jaunai izskatīšanai pēc būtības.</w:t>
      </w:r>
    </w:p>
    <w:p w:rsidR="002D6BD6" w:rsidRDefault="002D6BD6" w:rsidP="00DB59DA">
      <w:pPr>
        <w:spacing w:line="276" w:lineRule="auto"/>
        <w:ind w:firstLine="567"/>
        <w:jc w:val="both"/>
      </w:pPr>
    </w:p>
    <w:p w:rsidR="00DE4B69" w:rsidRDefault="00DE4B69" w:rsidP="00DE4B69">
      <w:pPr>
        <w:spacing w:line="276" w:lineRule="auto"/>
        <w:ind w:firstLine="567"/>
        <w:jc w:val="both"/>
      </w:pPr>
      <w:r>
        <w:lastRenderedPageBreak/>
        <w:t>[1</w:t>
      </w:r>
      <w:r w:rsidR="00C72D08">
        <w:t>7</w:t>
      </w:r>
      <w:r>
        <w:t>] Iecavas novada dome kasācijas sūdzībā norāda, ka apgabaltiesa savu spriedumu motivējusi, atsaucoties uz Senāta nolēmumiem par azartspēļu organizēšanu pilsētu teritorijās, taču Iecava nav pilsēta. Ciemā, lauku teritorijā, esot citi iedzīvotāju pārvietošanās paradumi.</w:t>
      </w:r>
    </w:p>
    <w:p w:rsidR="00DE4B69" w:rsidRDefault="00DE4B69" w:rsidP="00DE4B69">
      <w:pPr>
        <w:spacing w:line="276" w:lineRule="auto"/>
        <w:ind w:firstLine="567"/>
        <w:jc w:val="both"/>
      </w:pPr>
      <w:r>
        <w:t>Senāts kasācijas sūdzībā tomēr neatrod skaidrojumu, kādā ziņā šie iedzīvotāju pārvietošanās paradumi būtu atšķirīgi un kādēļ tieši būtu jāskatās atšķirīgi uz ciemiem. Līdz ar to, ja Iecavas novada dome vēlas ar šādiem apsvērumiem pamatot liegumu atvērt totalizatora un derību likmju pieņemšanas vietu, tai ir saprotami savs viedoklis jāizskaidro.</w:t>
      </w:r>
    </w:p>
    <w:p w:rsidR="002A6845" w:rsidRPr="00963005" w:rsidRDefault="002A6845" w:rsidP="00067D3C">
      <w:pPr>
        <w:spacing w:line="276" w:lineRule="auto"/>
        <w:jc w:val="both"/>
      </w:pPr>
    </w:p>
    <w:p w:rsidR="007F76C8" w:rsidRPr="00963005" w:rsidRDefault="007F76C8" w:rsidP="00D05042">
      <w:pPr>
        <w:spacing w:line="276" w:lineRule="auto"/>
        <w:jc w:val="center"/>
        <w:rPr>
          <w:b/>
        </w:rPr>
      </w:pPr>
      <w:r w:rsidRPr="00963005">
        <w:rPr>
          <w:b/>
        </w:rPr>
        <w:t>Rezolutīvā daļa</w:t>
      </w:r>
    </w:p>
    <w:p w:rsidR="007F76C8" w:rsidRPr="00963005" w:rsidRDefault="007F76C8" w:rsidP="00DB59DA">
      <w:pPr>
        <w:spacing w:line="276" w:lineRule="auto"/>
        <w:ind w:firstLine="567"/>
        <w:jc w:val="both"/>
      </w:pPr>
    </w:p>
    <w:p w:rsidR="00277406" w:rsidRPr="00963005" w:rsidRDefault="00277406" w:rsidP="00DB59DA">
      <w:pPr>
        <w:spacing w:line="276" w:lineRule="auto"/>
        <w:ind w:firstLine="567"/>
        <w:jc w:val="both"/>
        <w:rPr>
          <w:color w:val="000000"/>
        </w:rPr>
      </w:pPr>
      <w:r w:rsidRPr="00963005">
        <w:t xml:space="preserve">Pamatojoties uz Administratīvā procesa likuma </w:t>
      </w:r>
      <w:r w:rsidR="00EA5A54">
        <w:t>129.</w:t>
      </w:r>
      <w:proofErr w:type="gramStart"/>
      <w:r w:rsidR="00EA5A54">
        <w:rPr>
          <w:vertAlign w:val="superscript"/>
        </w:rPr>
        <w:t>1</w:t>
      </w:r>
      <w:r w:rsidR="00EA5A54">
        <w:t>panta</w:t>
      </w:r>
      <w:proofErr w:type="gramEnd"/>
      <w:r w:rsidR="00EA5A54">
        <w:t xml:space="preserve"> pirmās daļas 1.punktu, </w:t>
      </w:r>
      <w:r w:rsidRPr="00963005">
        <w:t xml:space="preserve">348.panta pirmās daļas </w:t>
      </w:r>
      <w:r w:rsidR="00CF7290">
        <w:t>2</w:t>
      </w:r>
      <w:r w:rsidRPr="00963005">
        <w:t>.punktu</w:t>
      </w:r>
      <w:r w:rsidR="00EA5A54">
        <w:t xml:space="preserve"> </w:t>
      </w:r>
      <w:r w:rsidRPr="00963005">
        <w:t>un 351.pantu</w:t>
      </w:r>
      <w:r w:rsidR="00B879D0" w:rsidRPr="00963005">
        <w:t>,</w:t>
      </w:r>
      <w:r w:rsidR="00B879D0" w:rsidRPr="00963005">
        <w:rPr>
          <w:color w:val="000000"/>
        </w:rPr>
        <w:t xml:space="preserve"> </w:t>
      </w:r>
      <w:r w:rsidR="00924BFD" w:rsidRPr="00963005">
        <w:rPr>
          <w:color w:val="000000"/>
        </w:rPr>
        <w:t>Senāts</w:t>
      </w:r>
    </w:p>
    <w:p w:rsidR="007F76C8" w:rsidRPr="00963005" w:rsidRDefault="007F76C8" w:rsidP="00DB59DA">
      <w:pPr>
        <w:spacing w:line="276" w:lineRule="auto"/>
        <w:ind w:firstLine="567"/>
        <w:jc w:val="both"/>
      </w:pPr>
    </w:p>
    <w:p w:rsidR="007F76C8" w:rsidRPr="00963005" w:rsidRDefault="00D924F8" w:rsidP="00D05042">
      <w:pPr>
        <w:tabs>
          <w:tab w:val="left" w:pos="2700"/>
          <w:tab w:val="left" w:pos="6660"/>
        </w:tabs>
        <w:spacing w:line="276" w:lineRule="auto"/>
        <w:jc w:val="center"/>
        <w:rPr>
          <w:b/>
        </w:rPr>
      </w:pPr>
      <w:bookmarkStart w:id="0" w:name="Dropdown14"/>
      <w:r w:rsidRPr="00963005">
        <w:rPr>
          <w:b/>
        </w:rPr>
        <w:t>n</w:t>
      </w:r>
      <w:r w:rsidR="007F76C8" w:rsidRPr="00963005">
        <w:rPr>
          <w:b/>
        </w:rPr>
        <w:t>osprieda</w:t>
      </w:r>
      <w:bookmarkEnd w:id="0"/>
    </w:p>
    <w:p w:rsidR="007F76C8" w:rsidRPr="00963005" w:rsidRDefault="007F76C8" w:rsidP="00DB59DA">
      <w:pPr>
        <w:tabs>
          <w:tab w:val="left" w:pos="2700"/>
          <w:tab w:val="left" w:pos="6660"/>
        </w:tabs>
        <w:spacing w:line="276" w:lineRule="auto"/>
        <w:ind w:firstLine="567"/>
        <w:jc w:val="both"/>
        <w:rPr>
          <w:bCs/>
          <w:spacing w:val="70"/>
          <w:highlight w:val="yellow"/>
        </w:rPr>
      </w:pPr>
    </w:p>
    <w:p w:rsidR="00277406" w:rsidRDefault="004D1767" w:rsidP="00DB59DA">
      <w:pPr>
        <w:tabs>
          <w:tab w:val="left" w:pos="2700"/>
          <w:tab w:val="left" w:pos="6660"/>
        </w:tabs>
        <w:spacing w:line="276" w:lineRule="auto"/>
        <w:ind w:firstLine="567"/>
        <w:jc w:val="both"/>
      </w:pPr>
      <w:r>
        <w:t>a</w:t>
      </w:r>
      <w:r w:rsidR="00277406" w:rsidRPr="00963005">
        <w:t>t</w:t>
      </w:r>
      <w:r w:rsidR="00CF7290">
        <w:t>celt</w:t>
      </w:r>
      <w:r w:rsidR="00277406" w:rsidRPr="00963005">
        <w:t xml:space="preserve"> Administratīvās</w:t>
      </w:r>
      <w:r w:rsidR="00231E04">
        <w:t xml:space="preserve"> apgabaltiesas </w:t>
      </w:r>
      <w:proofErr w:type="gramStart"/>
      <w:r w:rsidR="00231E04">
        <w:t>2017</w:t>
      </w:r>
      <w:r w:rsidR="00277406" w:rsidRPr="00963005">
        <w:t>.gada</w:t>
      </w:r>
      <w:proofErr w:type="gramEnd"/>
      <w:r w:rsidR="00277406" w:rsidRPr="00963005">
        <w:t xml:space="preserve"> </w:t>
      </w:r>
      <w:r w:rsidR="00231E04">
        <w:rPr>
          <w:color w:val="000000"/>
        </w:rPr>
        <w:t>6</w:t>
      </w:r>
      <w:r w:rsidR="00365C29" w:rsidRPr="00963005">
        <w:rPr>
          <w:color w:val="000000"/>
        </w:rPr>
        <w:t>.oktobra</w:t>
      </w:r>
      <w:r w:rsidR="00277406" w:rsidRPr="00963005">
        <w:rPr>
          <w:color w:val="000000"/>
        </w:rPr>
        <w:t xml:space="preserve"> </w:t>
      </w:r>
      <w:r w:rsidR="00277406" w:rsidRPr="00963005">
        <w:t>spriedumu</w:t>
      </w:r>
      <w:r w:rsidR="00CF7290">
        <w:t xml:space="preserve"> un nosūtīt lietu jaunai izskatīšanai Administratīvajai apgabaltiesai</w:t>
      </w:r>
      <w:r>
        <w:t>;</w:t>
      </w:r>
    </w:p>
    <w:p w:rsidR="00CF7290" w:rsidRDefault="004D1767" w:rsidP="00DB59DA">
      <w:pPr>
        <w:tabs>
          <w:tab w:val="left" w:pos="2700"/>
          <w:tab w:val="left" w:pos="6660"/>
        </w:tabs>
        <w:spacing w:line="276" w:lineRule="auto"/>
        <w:ind w:firstLine="567"/>
        <w:jc w:val="both"/>
      </w:pPr>
      <w:r>
        <w:t>a</w:t>
      </w:r>
      <w:r w:rsidR="00CF7290" w:rsidRPr="00EA5A54">
        <w:t>tmaksāt</w:t>
      </w:r>
      <w:r w:rsidR="00CF7290">
        <w:t xml:space="preserve"> </w:t>
      </w:r>
      <w:r w:rsidR="00EA5A54" w:rsidRPr="00963005">
        <w:t>Iecavas novada dome</w:t>
      </w:r>
      <w:r w:rsidR="00EA5A54">
        <w:t xml:space="preserve">i drošības naudu </w:t>
      </w:r>
      <w:r w:rsidR="00231E04">
        <w:t>70</w:t>
      </w:r>
      <w:r w:rsidR="00601216">
        <w:t xml:space="preserve"> </w:t>
      </w:r>
      <w:proofErr w:type="spellStart"/>
      <w:r w:rsidR="00601216" w:rsidRPr="00601216">
        <w:rPr>
          <w:i/>
        </w:rPr>
        <w:t>euro</w:t>
      </w:r>
      <w:proofErr w:type="spellEnd"/>
      <w:r w:rsidR="00601216">
        <w:t>.</w:t>
      </w:r>
    </w:p>
    <w:p w:rsidR="000C6F73" w:rsidRPr="009F25E6" w:rsidRDefault="00277406" w:rsidP="009F25E6">
      <w:pPr>
        <w:spacing w:line="276" w:lineRule="auto"/>
        <w:ind w:firstLine="567"/>
        <w:jc w:val="both"/>
        <w:rPr>
          <w:bCs/>
        </w:rPr>
      </w:pPr>
      <w:r w:rsidRPr="00963005">
        <w:t xml:space="preserve">Spriedums </w:t>
      </w:r>
      <w:r w:rsidRPr="00963005">
        <w:rPr>
          <w:bCs/>
        </w:rPr>
        <w:t>nav pārsūdzams.</w:t>
      </w:r>
      <w:bookmarkStart w:id="1" w:name="_GoBack"/>
      <w:bookmarkEnd w:id="1"/>
    </w:p>
    <w:p w:rsidR="000C6F73" w:rsidRPr="0003324A" w:rsidRDefault="000C6F73" w:rsidP="00CD548F">
      <w:pPr>
        <w:spacing w:line="276" w:lineRule="auto"/>
        <w:ind w:firstLine="567"/>
        <w:rPr>
          <w:color w:val="FFFFFF"/>
        </w:rPr>
      </w:pPr>
    </w:p>
    <w:sectPr w:rsidR="000C6F73" w:rsidRPr="0003324A" w:rsidSect="006D4097">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EF9" w:rsidRDefault="002B2EF9">
      <w:r>
        <w:separator/>
      </w:r>
    </w:p>
  </w:endnote>
  <w:endnote w:type="continuationSeparator" w:id="0">
    <w:p w:rsidR="002B2EF9" w:rsidRDefault="002B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96C" w:rsidRDefault="0017696C"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696C" w:rsidRDefault="00176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96C" w:rsidRDefault="0017696C"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38D7">
      <w:rPr>
        <w:rStyle w:val="PageNumber"/>
        <w:noProof/>
      </w:rPr>
      <w:t>9</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ED38D7">
      <w:rPr>
        <w:rStyle w:val="PageNumber"/>
        <w:noProof/>
      </w:rPr>
      <w:t>9</w:t>
    </w:r>
    <w:r w:rsidRPr="00AB25C7">
      <w:rPr>
        <w:rStyle w:val="PageNumber"/>
      </w:rPr>
      <w:fldChar w:fldCharType="end"/>
    </w:r>
  </w:p>
  <w:p w:rsidR="0017696C" w:rsidRDefault="0017696C"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EF9" w:rsidRDefault="002B2EF9">
      <w:r>
        <w:separator/>
      </w:r>
    </w:p>
  </w:footnote>
  <w:footnote w:type="continuationSeparator" w:id="0">
    <w:p w:rsidR="002B2EF9" w:rsidRDefault="002B2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10FA"/>
    <w:rsid w:val="000015B2"/>
    <w:rsid w:val="000017A4"/>
    <w:rsid w:val="000023BC"/>
    <w:rsid w:val="0000271B"/>
    <w:rsid w:val="000029A7"/>
    <w:rsid w:val="00003410"/>
    <w:rsid w:val="000034CF"/>
    <w:rsid w:val="00003C9F"/>
    <w:rsid w:val="00003DF5"/>
    <w:rsid w:val="0000425E"/>
    <w:rsid w:val="000042B9"/>
    <w:rsid w:val="00005388"/>
    <w:rsid w:val="00006231"/>
    <w:rsid w:val="00007216"/>
    <w:rsid w:val="00007EA7"/>
    <w:rsid w:val="000105E1"/>
    <w:rsid w:val="0001227C"/>
    <w:rsid w:val="0001236E"/>
    <w:rsid w:val="00012762"/>
    <w:rsid w:val="000127DC"/>
    <w:rsid w:val="00013B6E"/>
    <w:rsid w:val="00014A04"/>
    <w:rsid w:val="000155BA"/>
    <w:rsid w:val="000155E8"/>
    <w:rsid w:val="00015650"/>
    <w:rsid w:val="00015A37"/>
    <w:rsid w:val="00015AC8"/>
    <w:rsid w:val="00015B31"/>
    <w:rsid w:val="00016014"/>
    <w:rsid w:val="000162F2"/>
    <w:rsid w:val="00016ACC"/>
    <w:rsid w:val="0001705B"/>
    <w:rsid w:val="000170D5"/>
    <w:rsid w:val="00017A4E"/>
    <w:rsid w:val="000202AA"/>
    <w:rsid w:val="000202F5"/>
    <w:rsid w:val="000203A9"/>
    <w:rsid w:val="00020ACA"/>
    <w:rsid w:val="000217FB"/>
    <w:rsid w:val="00021CA9"/>
    <w:rsid w:val="00022788"/>
    <w:rsid w:val="000227EB"/>
    <w:rsid w:val="000227F8"/>
    <w:rsid w:val="00022A1F"/>
    <w:rsid w:val="00024A45"/>
    <w:rsid w:val="000254EA"/>
    <w:rsid w:val="00025BAF"/>
    <w:rsid w:val="00025E44"/>
    <w:rsid w:val="00026BBF"/>
    <w:rsid w:val="0002742A"/>
    <w:rsid w:val="0003027A"/>
    <w:rsid w:val="00030B78"/>
    <w:rsid w:val="00031C56"/>
    <w:rsid w:val="000327DE"/>
    <w:rsid w:val="0003324A"/>
    <w:rsid w:val="00033453"/>
    <w:rsid w:val="00034CA6"/>
    <w:rsid w:val="00034D85"/>
    <w:rsid w:val="0003511B"/>
    <w:rsid w:val="000357CD"/>
    <w:rsid w:val="00035936"/>
    <w:rsid w:val="00035D21"/>
    <w:rsid w:val="00036D80"/>
    <w:rsid w:val="000378B2"/>
    <w:rsid w:val="000378F1"/>
    <w:rsid w:val="00037923"/>
    <w:rsid w:val="00040480"/>
    <w:rsid w:val="000405F5"/>
    <w:rsid w:val="00040F3B"/>
    <w:rsid w:val="0004147B"/>
    <w:rsid w:val="000414DD"/>
    <w:rsid w:val="000417EB"/>
    <w:rsid w:val="000426BA"/>
    <w:rsid w:val="00042ABB"/>
    <w:rsid w:val="00042E04"/>
    <w:rsid w:val="00043035"/>
    <w:rsid w:val="00043B11"/>
    <w:rsid w:val="00043E8C"/>
    <w:rsid w:val="00044C9A"/>
    <w:rsid w:val="00045685"/>
    <w:rsid w:val="00046C46"/>
    <w:rsid w:val="0004732C"/>
    <w:rsid w:val="000476BA"/>
    <w:rsid w:val="000478BF"/>
    <w:rsid w:val="00050ABA"/>
    <w:rsid w:val="00051576"/>
    <w:rsid w:val="0005214D"/>
    <w:rsid w:val="000526D7"/>
    <w:rsid w:val="0005270A"/>
    <w:rsid w:val="00052C10"/>
    <w:rsid w:val="00053364"/>
    <w:rsid w:val="000561F2"/>
    <w:rsid w:val="00056C30"/>
    <w:rsid w:val="00057583"/>
    <w:rsid w:val="000577B4"/>
    <w:rsid w:val="00057D03"/>
    <w:rsid w:val="00060340"/>
    <w:rsid w:val="00060D65"/>
    <w:rsid w:val="00061CBC"/>
    <w:rsid w:val="00061CDA"/>
    <w:rsid w:val="00061D43"/>
    <w:rsid w:val="000636BE"/>
    <w:rsid w:val="00063A16"/>
    <w:rsid w:val="00063A4E"/>
    <w:rsid w:val="00063E0B"/>
    <w:rsid w:val="0006442B"/>
    <w:rsid w:val="00064A78"/>
    <w:rsid w:val="00064DA7"/>
    <w:rsid w:val="00064F7C"/>
    <w:rsid w:val="00065C1D"/>
    <w:rsid w:val="00065FBB"/>
    <w:rsid w:val="000667B5"/>
    <w:rsid w:val="00066CB4"/>
    <w:rsid w:val="00067D3C"/>
    <w:rsid w:val="00067E27"/>
    <w:rsid w:val="00070237"/>
    <w:rsid w:val="00070A2C"/>
    <w:rsid w:val="00070B91"/>
    <w:rsid w:val="00070F95"/>
    <w:rsid w:val="00071363"/>
    <w:rsid w:val="00071FD0"/>
    <w:rsid w:val="000722EC"/>
    <w:rsid w:val="000723B0"/>
    <w:rsid w:val="000725A6"/>
    <w:rsid w:val="00072718"/>
    <w:rsid w:val="00072B6B"/>
    <w:rsid w:val="00072E88"/>
    <w:rsid w:val="00075B92"/>
    <w:rsid w:val="00075BBB"/>
    <w:rsid w:val="0008138C"/>
    <w:rsid w:val="00081458"/>
    <w:rsid w:val="00081D5B"/>
    <w:rsid w:val="0008206B"/>
    <w:rsid w:val="00082095"/>
    <w:rsid w:val="00083C18"/>
    <w:rsid w:val="0008521F"/>
    <w:rsid w:val="00085924"/>
    <w:rsid w:val="00086276"/>
    <w:rsid w:val="0008665A"/>
    <w:rsid w:val="0008705D"/>
    <w:rsid w:val="00090699"/>
    <w:rsid w:val="000916DD"/>
    <w:rsid w:val="00092271"/>
    <w:rsid w:val="00093B58"/>
    <w:rsid w:val="00093FC9"/>
    <w:rsid w:val="000959A2"/>
    <w:rsid w:val="00095B48"/>
    <w:rsid w:val="000965D1"/>
    <w:rsid w:val="00097549"/>
    <w:rsid w:val="0009784E"/>
    <w:rsid w:val="0009789E"/>
    <w:rsid w:val="000A1BD2"/>
    <w:rsid w:val="000A1FC1"/>
    <w:rsid w:val="000A2BFA"/>
    <w:rsid w:val="000A33D4"/>
    <w:rsid w:val="000A3664"/>
    <w:rsid w:val="000A3B79"/>
    <w:rsid w:val="000A418B"/>
    <w:rsid w:val="000A4E53"/>
    <w:rsid w:val="000A5724"/>
    <w:rsid w:val="000A5847"/>
    <w:rsid w:val="000A718F"/>
    <w:rsid w:val="000A793A"/>
    <w:rsid w:val="000A7AAE"/>
    <w:rsid w:val="000A7CFA"/>
    <w:rsid w:val="000A7D4E"/>
    <w:rsid w:val="000A7DA6"/>
    <w:rsid w:val="000B01F5"/>
    <w:rsid w:val="000B0EF0"/>
    <w:rsid w:val="000B120E"/>
    <w:rsid w:val="000B19C5"/>
    <w:rsid w:val="000B211E"/>
    <w:rsid w:val="000B27BC"/>
    <w:rsid w:val="000B3118"/>
    <w:rsid w:val="000B3575"/>
    <w:rsid w:val="000B3AA8"/>
    <w:rsid w:val="000B3C03"/>
    <w:rsid w:val="000B3C9B"/>
    <w:rsid w:val="000B58F1"/>
    <w:rsid w:val="000B5A8E"/>
    <w:rsid w:val="000B6113"/>
    <w:rsid w:val="000B6EA2"/>
    <w:rsid w:val="000B6EDA"/>
    <w:rsid w:val="000B7FD5"/>
    <w:rsid w:val="000C04D2"/>
    <w:rsid w:val="000C1864"/>
    <w:rsid w:val="000C2BD9"/>
    <w:rsid w:val="000C2EAF"/>
    <w:rsid w:val="000C4688"/>
    <w:rsid w:val="000C567E"/>
    <w:rsid w:val="000C5783"/>
    <w:rsid w:val="000C5BCD"/>
    <w:rsid w:val="000C6A10"/>
    <w:rsid w:val="000C6F73"/>
    <w:rsid w:val="000C7893"/>
    <w:rsid w:val="000C7B20"/>
    <w:rsid w:val="000D0D16"/>
    <w:rsid w:val="000D0E0A"/>
    <w:rsid w:val="000D2024"/>
    <w:rsid w:val="000D20B2"/>
    <w:rsid w:val="000D3220"/>
    <w:rsid w:val="000D37F6"/>
    <w:rsid w:val="000D3CF2"/>
    <w:rsid w:val="000D4302"/>
    <w:rsid w:val="000D4B95"/>
    <w:rsid w:val="000D4DEA"/>
    <w:rsid w:val="000D5670"/>
    <w:rsid w:val="000D5F67"/>
    <w:rsid w:val="000D7EF6"/>
    <w:rsid w:val="000D7FAD"/>
    <w:rsid w:val="000E046B"/>
    <w:rsid w:val="000E0D43"/>
    <w:rsid w:val="000E1225"/>
    <w:rsid w:val="000E1DA6"/>
    <w:rsid w:val="000E20DE"/>
    <w:rsid w:val="000E22B2"/>
    <w:rsid w:val="000E3C64"/>
    <w:rsid w:val="000E3DD8"/>
    <w:rsid w:val="000E3F8F"/>
    <w:rsid w:val="000E4579"/>
    <w:rsid w:val="000E46D2"/>
    <w:rsid w:val="000E4EEB"/>
    <w:rsid w:val="000E4F67"/>
    <w:rsid w:val="000E5269"/>
    <w:rsid w:val="000E6EC9"/>
    <w:rsid w:val="000E7015"/>
    <w:rsid w:val="000E707F"/>
    <w:rsid w:val="000E7584"/>
    <w:rsid w:val="000E7838"/>
    <w:rsid w:val="000E7E9A"/>
    <w:rsid w:val="000F0E19"/>
    <w:rsid w:val="000F1A8F"/>
    <w:rsid w:val="000F1D5B"/>
    <w:rsid w:val="000F24CE"/>
    <w:rsid w:val="000F2A86"/>
    <w:rsid w:val="000F2B2F"/>
    <w:rsid w:val="000F2DDB"/>
    <w:rsid w:val="000F3AD2"/>
    <w:rsid w:val="000F3E2B"/>
    <w:rsid w:val="000F4946"/>
    <w:rsid w:val="000F4F31"/>
    <w:rsid w:val="000F596C"/>
    <w:rsid w:val="000F64A6"/>
    <w:rsid w:val="000F664F"/>
    <w:rsid w:val="000F67C5"/>
    <w:rsid w:val="000F6C8E"/>
    <w:rsid w:val="00100668"/>
    <w:rsid w:val="001007E9"/>
    <w:rsid w:val="00100A7C"/>
    <w:rsid w:val="001010F2"/>
    <w:rsid w:val="00102A88"/>
    <w:rsid w:val="00102D4C"/>
    <w:rsid w:val="00102DAD"/>
    <w:rsid w:val="001035E5"/>
    <w:rsid w:val="00104B13"/>
    <w:rsid w:val="00105B85"/>
    <w:rsid w:val="0010690B"/>
    <w:rsid w:val="00107937"/>
    <w:rsid w:val="00107D72"/>
    <w:rsid w:val="00110606"/>
    <w:rsid w:val="00110A5D"/>
    <w:rsid w:val="00110AB9"/>
    <w:rsid w:val="00110DBE"/>
    <w:rsid w:val="00111593"/>
    <w:rsid w:val="00112AAC"/>
    <w:rsid w:val="00113290"/>
    <w:rsid w:val="00113582"/>
    <w:rsid w:val="00113B60"/>
    <w:rsid w:val="00113E94"/>
    <w:rsid w:val="00114CEE"/>
    <w:rsid w:val="00114D68"/>
    <w:rsid w:val="00115B0E"/>
    <w:rsid w:val="00115BA2"/>
    <w:rsid w:val="00116704"/>
    <w:rsid w:val="001169AF"/>
    <w:rsid w:val="00117444"/>
    <w:rsid w:val="00117969"/>
    <w:rsid w:val="00117C8B"/>
    <w:rsid w:val="00117D43"/>
    <w:rsid w:val="00120395"/>
    <w:rsid w:val="00121B7E"/>
    <w:rsid w:val="00121FB7"/>
    <w:rsid w:val="00122943"/>
    <w:rsid w:val="00123E64"/>
    <w:rsid w:val="00124810"/>
    <w:rsid w:val="00124B05"/>
    <w:rsid w:val="001253E7"/>
    <w:rsid w:val="00125AC3"/>
    <w:rsid w:val="00126545"/>
    <w:rsid w:val="0013031A"/>
    <w:rsid w:val="00130E99"/>
    <w:rsid w:val="00131197"/>
    <w:rsid w:val="00131D61"/>
    <w:rsid w:val="00132CAB"/>
    <w:rsid w:val="00132FB6"/>
    <w:rsid w:val="001330A3"/>
    <w:rsid w:val="00133216"/>
    <w:rsid w:val="001338A3"/>
    <w:rsid w:val="00133AD3"/>
    <w:rsid w:val="00134CA5"/>
    <w:rsid w:val="00135464"/>
    <w:rsid w:val="00135826"/>
    <w:rsid w:val="00135C89"/>
    <w:rsid w:val="00136422"/>
    <w:rsid w:val="0013679F"/>
    <w:rsid w:val="00137440"/>
    <w:rsid w:val="00137854"/>
    <w:rsid w:val="00137A15"/>
    <w:rsid w:val="001400A9"/>
    <w:rsid w:val="00141219"/>
    <w:rsid w:val="00141C08"/>
    <w:rsid w:val="00142683"/>
    <w:rsid w:val="00142774"/>
    <w:rsid w:val="0014339D"/>
    <w:rsid w:val="00144444"/>
    <w:rsid w:val="0014466F"/>
    <w:rsid w:val="00145ACA"/>
    <w:rsid w:val="00146A55"/>
    <w:rsid w:val="0014710B"/>
    <w:rsid w:val="00147C63"/>
    <w:rsid w:val="00147D61"/>
    <w:rsid w:val="00150A14"/>
    <w:rsid w:val="00150DB7"/>
    <w:rsid w:val="0015129A"/>
    <w:rsid w:val="00151CEB"/>
    <w:rsid w:val="001521EB"/>
    <w:rsid w:val="001528C9"/>
    <w:rsid w:val="00152AD9"/>
    <w:rsid w:val="00153023"/>
    <w:rsid w:val="00153086"/>
    <w:rsid w:val="00153ADD"/>
    <w:rsid w:val="00154BC8"/>
    <w:rsid w:val="001564B1"/>
    <w:rsid w:val="00156F47"/>
    <w:rsid w:val="00157A18"/>
    <w:rsid w:val="001600B3"/>
    <w:rsid w:val="0016078B"/>
    <w:rsid w:val="00160CD4"/>
    <w:rsid w:val="00160DFC"/>
    <w:rsid w:val="00161CC3"/>
    <w:rsid w:val="00161E89"/>
    <w:rsid w:val="001621F5"/>
    <w:rsid w:val="00162535"/>
    <w:rsid w:val="00162921"/>
    <w:rsid w:val="00162C21"/>
    <w:rsid w:val="00163B46"/>
    <w:rsid w:val="00163BA9"/>
    <w:rsid w:val="00163EB4"/>
    <w:rsid w:val="001646E1"/>
    <w:rsid w:val="00164CCD"/>
    <w:rsid w:val="0016529D"/>
    <w:rsid w:val="00165721"/>
    <w:rsid w:val="00165F07"/>
    <w:rsid w:val="00166838"/>
    <w:rsid w:val="00166F85"/>
    <w:rsid w:val="00172669"/>
    <w:rsid w:val="00172BD6"/>
    <w:rsid w:val="00172C0E"/>
    <w:rsid w:val="00172D68"/>
    <w:rsid w:val="00172DA9"/>
    <w:rsid w:val="00173D9A"/>
    <w:rsid w:val="001749C5"/>
    <w:rsid w:val="00175407"/>
    <w:rsid w:val="00175FB2"/>
    <w:rsid w:val="001766CB"/>
    <w:rsid w:val="00176913"/>
    <w:rsid w:val="0017696C"/>
    <w:rsid w:val="00176BB8"/>
    <w:rsid w:val="00177CF7"/>
    <w:rsid w:val="00177F7C"/>
    <w:rsid w:val="001808A4"/>
    <w:rsid w:val="00180CEC"/>
    <w:rsid w:val="00180D9F"/>
    <w:rsid w:val="0018169B"/>
    <w:rsid w:val="00181918"/>
    <w:rsid w:val="00183043"/>
    <w:rsid w:val="00184A56"/>
    <w:rsid w:val="00184E0B"/>
    <w:rsid w:val="001855F7"/>
    <w:rsid w:val="00185BA5"/>
    <w:rsid w:val="00185CC6"/>
    <w:rsid w:val="00185D58"/>
    <w:rsid w:val="00186C0A"/>
    <w:rsid w:val="001877D2"/>
    <w:rsid w:val="00190217"/>
    <w:rsid w:val="00190322"/>
    <w:rsid w:val="00190601"/>
    <w:rsid w:val="0019087A"/>
    <w:rsid w:val="0019120A"/>
    <w:rsid w:val="001918B5"/>
    <w:rsid w:val="00191A08"/>
    <w:rsid w:val="00191E63"/>
    <w:rsid w:val="0019279A"/>
    <w:rsid w:val="001939FB"/>
    <w:rsid w:val="00194F76"/>
    <w:rsid w:val="00195697"/>
    <w:rsid w:val="00195BD1"/>
    <w:rsid w:val="00195EAB"/>
    <w:rsid w:val="00196CE2"/>
    <w:rsid w:val="00196ECE"/>
    <w:rsid w:val="001A01FC"/>
    <w:rsid w:val="001A07D3"/>
    <w:rsid w:val="001A125B"/>
    <w:rsid w:val="001A1F24"/>
    <w:rsid w:val="001A2022"/>
    <w:rsid w:val="001A2B68"/>
    <w:rsid w:val="001A2D5F"/>
    <w:rsid w:val="001A43D0"/>
    <w:rsid w:val="001A4A60"/>
    <w:rsid w:val="001A4BAE"/>
    <w:rsid w:val="001A6B77"/>
    <w:rsid w:val="001A738E"/>
    <w:rsid w:val="001B03BF"/>
    <w:rsid w:val="001B0CEF"/>
    <w:rsid w:val="001B10E8"/>
    <w:rsid w:val="001B1FB3"/>
    <w:rsid w:val="001B21E4"/>
    <w:rsid w:val="001B2B2A"/>
    <w:rsid w:val="001B44AD"/>
    <w:rsid w:val="001B4CDE"/>
    <w:rsid w:val="001B4D86"/>
    <w:rsid w:val="001B565C"/>
    <w:rsid w:val="001B5A47"/>
    <w:rsid w:val="001B6078"/>
    <w:rsid w:val="001B615B"/>
    <w:rsid w:val="001B6934"/>
    <w:rsid w:val="001B6EAB"/>
    <w:rsid w:val="001B7759"/>
    <w:rsid w:val="001B7DF6"/>
    <w:rsid w:val="001C12EC"/>
    <w:rsid w:val="001C1323"/>
    <w:rsid w:val="001C1847"/>
    <w:rsid w:val="001C1A27"/>
    <w:rsid w:val="001C21BA"/>
    <w:rsid w:val="001C2320"/>
    <w:rsid w:val="001C27A4"/>
    <w:rsid w:val="001C2B5B"/>
    <w:rsid w:val="001C2DE8"/>
    <w:rsid w:val="001C38D8"/>
    <w:rsid w:val="001C47B0"/>
    <w:rsid w:val="001C4E57"/>
    <w:rsid w:val="001C6977"/>
    <w:rsid w:val="001C69F9"/>
    <w:rsid w:val="001C6AA1"/>
    <w:rsid w:val="001C6ABC"/>
    <w:rsid w:val="001D0480"/>
    <w:rsid w:val="001D0BF0"/>
    <w:rsid w:val="001D19EA"/>
    <w:rsid w:val="001D1FEC"/>
    <w:rsid w:val="001D2389"/>
    <w:rsid w:val="001D2D2E"/>
    <w:rsid w:val="001D4011"/>
    <w:rsid w:val="001D44DF"/>
    <w:rsid w:val="001D4F15"/>
    <w:rsid w:val="001D51A7"/>
    <w:rsid w:val="001D602F"/>
    <w:rsid w:val="001D60D9"/>
    <w:rsid w:val="001D6EE8"/>
    <w:rsid w:val="001D781C"/>
    <w:rsid w:val="001E00A0"/>
    <w:rsid w:val="001E07AA"/>
    <w:rsid w:val="001E14D7"/>
    <w:rsid w:val="001E1AB2"/>
    <w:rsid w:val="001E26B4"/>
    <w:rsid w:val="001E2F5D"/>
    <w:rsid w:val="001E2FB3"/>
    <w:rsid w:val="001E376B"/>
    <w:rsid w:val="001E3A40"/>
    <w:rsid w:val="001E3DEA"/>
    <w:rsid w:val="001E4B52"/>
    <w:rsid w:val="001E5311"/>
    <w:rsid w:val="001E5BD1"/>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746"/>
    <w:rsid w:val="001F49A1"/>
    <w:rsid w:val="001F4D75"/>
    <w:rsid w:val="001F4F1B"/>
    <w:rsid w:val="001F5166"/>
    <w:rsid w:val="001F57D7"/>
    <w:rsid w:val="001F6805"/>
    <w:rsid w:val="001F6AA7"/>
    <w:rsid w:val="001F7208"/>
    <w:rsid w:val="001F7940"/>
    <w:rsid w:val="002009C5"/>
    <w:rsid w:val="0020150C"/>
    <w:rsid w:val="002015FE"/>
    <w:rsid w:val="002017E0"/>
    <w:rsid w:val="00201A6B"/>
    <w:rsid w:val="00201FB7"/>
    <w:rsid w:val="002020B3"/>
    <w:rsid w:val="0020349E"/>
    <w:rsid w:val="00203C37"/>
    <w:rsid w:val="00204D69"/>
    <w:rsid w:val="00205272"/>
    <w:rsid w:val="002073D9"/>
    <w:rsid w:val="002079EE"/>
    <w:rsid w:val="00207C63"/>
    <w:rsid w:val="002105D7"/>
    <w:rsid w:val="002107F0"/>
    <w:rsid w:val="00211156"/>
    <w:rsid w:val="002112D2"/>
    <w:rsid w:val="00212498"/>
    <w:rsid w:val="002125F6"/>
    <w:rsid w:val="00212663"/>
    <w:rsid w:val="002126CF"/>
    <w:rsid w:val="00213D68"/>
    <w:rsid w:val="00214628"/>
    <w:rsid w:val="00214B36"/>
    <w:rsid w:val="002155B5"/>
    <w:rsid w:val="00215FD8"/>
    <w:rsid w:val="00216559"/>
    <w:rsid w:val="0021656F"/>
    <w:rsid w:val="00216A77"/>
    <w:rsid w:val="0021733F"/>
    <w:rsid w:val="002200D4"/>
    <w:rsid w:val="002200FC"/>
    <w:rsid w:val="00220121"/>
    <w:rsid w:val="0022058F"/>
    <w:rsid w:val="00221942"/>
    <w:rsid w:val="0022313D"/>
    <w:rsid w:val="00223446"/>
    <w:rsid w:val="00224459"/>
    <w:rsid w:val="00224E7B"/>
    <w:rsid w:val="002257A3"/>
    <w:rsid w:val="00225DBA"/>
    <w:rsid w:val="00225F25"/>
    <w:rsid w:val="00226677"/>
    <w:rsid w:val="0022673E"/>
    <w:rsid w:val="00226AC0"/>
    <w:rsid w:val="00227B23"/>
    <w:rsid w:val="00227CF0"/>
    <w:rsid w:val="0023014B"/>
    <w:rsid w:val="00230AD6"/>
    <w:rsid w:val="00230DF3"/>
    <w:rsid w:val="002314EB"/>
    <w:rsid w:val="00231C1F"/>
    <w:rsid w:val="00231E04"/>
    <w:rsid w:val="00231FC6"/>
    <w:rsid w:val="002337BD"/>
    <w:rsid w:val="0023380A"/>
    <w:rsid w:val="002338C8"/>
    <w:rsid w:val="0023396F"/>
    <w:rsid w:val="002351DA"/>
    <w:rsid w:val="00235E73"/>
    <w:rsid w:val="00235F2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4911"/>
    <w:rsid w:val="00246FBF"/>
    <w:rsid w:val="002472A5"/>
    <w:rsid w:val="0024748A"/>
    <w:rsid w:val="002476E1"/>
    <w:rsid w:val="00247B47"/>
    <w:rsid w:val="002501D9"/>
    <w:rsid w:val="00250CE0"/>
    <w:rsid w:val="00250E45"/>
    <w:rsid w:val="002515D5"/>
    <w:rsid w:val="00251779"/>
    <w:rsid w:val="002527B6"/>
    <w:rsid w:val="0025294D"/>
    <w:rsid w:val="00252AC0"/>
    <w:rsid w:val="0025318C"/>
    <w:rsid w:val="00253632"/>
    <w:rsid w:val="002537E5"/>
    <w:rsid w:val="00253C81"/>
    <w:rsid w:val="002540FE"/>
    <w:rsid w:val="002542CA"/>
    <w:rsid w:val="00254FE5"/>
    <w:rsid w:val="00256196"/>
    <w:rsid w:val="00256406"/>
    <w:rsid w:val="002564C5"/>
    <w:rsid w:val="002572F3"/>
    <w:rsid w:val="00257A11"/>
    <w:rsid w:val="00257AD3"/>
    <w:rsid w:val="00260295"/>
    <w:rsid w:val="00261001"/>
    <w:rsid w:val="00261765"/>
    <w:rsid w:val="002617DA"/>
    <w:rsid w:val="00261AB2"/>
    <w:rsid w:val="00262D5C"/>
    <w:rsid w:val="00262E58"/>
    <w:rsid w:val="00263996"/>
    <w:rsid w:val="00264443"/>
    <w:rsid w:val="00265605"/>
    <w:rsid w:val="00265B58"/>
    <w:rsid w:val="00265EA7"/>
    <w:rsid w:val="002675F3"/>
    <w:rsid w:val="0026765D"/>
    <w:rsid w:val="0026768D"/>
    <w:rsid w:val="002677B5"/>
    <w:rsid w:val="00267A2C"/>
    <w:rsid w:val="00270B4A"/>
    <w:rsid w:val="00271EC4"/>
    <w:rsid w:val="00272AB9"/>
    <w:rsid w:val="00272EC3"/>
    <w:rsid w:val="00273002"/>
    <w:rsid w:val="002735F7"/>
    <w:rsid w:val="00273A8F"/>
    <w:rsid w:val="00273FA3"/>
    <w:rsid w:val="00274497"/>
    <w:rsid w:val="002746A1"/>
    <w:rsid w:val="00274B17"/>
    <w:rsid w:val="00275A19"/>
    <w:rsid w:val="00276034"/>
    <w:rsid w:val="00276758"/>
    <w:rsid w:val="00276B6E"/>
    <w:rsid w:val="00277321"/>
    <w:rsid w:val="00277406"/>
    <w:rsid w:val="0027791B"/>
    <w:rsid w:val="00280335"/>
    <w:rsid w:val="002805D2"/>
    <w:rsid w:val="00281858"/>
    <w:rsid w:val="00281FF0"/>
    <w:rsid w:val="00282B48"/>
    <w:rsid w:val="00282DB2"/>
    <w:rsid w:val="002831B6"/>
    <w:rsid w:val="00283AE1"/>
    <w:rsid w:val="00283D97"/>
    <w:rsid w:val="002840AE"/>
    <w:rsid w:val="002841BD"/>
    <w:rsid w:val="00285837"/>
    <w:rsid w:val="00285A34"/>
    <w:rsid w:val="002866B8"/>
    <w:rsid w:val="00286A86"/>
    <w:rsid w:val="00286EC9"/>
    <w:rsid w:val="002870F7"/>
    <w:rsid w:val="00287C5E"/>
    <w:rsid w:val="00287FF0"/>
    <w:rsid w:val="0029051B"/>
    <w:rsid w:val="00290796"/>
    <w:rsid w:val="0029115A"/>
    <w:rsid w:val="00291E46"/>
    <w:rsid w:val="00291E5E"/>
    <w:rsid w:val="00292153"/>
    <w:rsid w:val="00292C86"/>
    <w:rsid w:val="00293710"/>
    <w:rsid w:val="00293FE4"/>
    <w:rsid w:val="002945B4"/>
    <w:rsid w:val="00294D71"/>
    <w:rsid w:val="00295271"/>
    <w:rsid w:val="00296029"/>
    <w:rsid w:val="00296D0D"/>
    <w:rsid w:val="002A07E2"/>
    <w:rsid w:val="002A1144"/>
    <w:rsid w:val="002A28C5"/>
    <w:rsid w:val="002A2F75"/>
    <w:rsid w:val="002A38D4"/>
    <w:rsid w:val="002A4BD2"/>
    <w:rsid w:val="002A4D7F"/>
    <w:rsid w:val="002A65BD"/>
    <w:rsid w:val="002A6845"/>
    <w:rsid w:val="002B13EB"/>
    <w:rsid w:val="002B1688"/>
    <w:rsid w:val="002B2045"/>
    <w:rsid w:val="002B2576"/>
    <w:rsid w:val="002B2EF9"/>
    <w:rsid w:val="002B3173"/>
    <w:rsid w:val="002B32CA"/>
    <w:rsid w:val="002B3726"/>
    <w:rsid w:val="002B3882"/>
    <w:rsid w:val="002B3D40"/>
    <w:rsid w:val="002B427F"/>
    <w:rsid w:val="002B4DC6"/>
    <w:rsid w:val="002B5514"/>
    <w:rsid w:val="002B560B"/>
    <w:rsid w:val="002B58E0"/>
    <w:rsid w:val="002B5F28"/>
    <w:rsid w:val="002B67BE"/>
    <w:rsid w:val="002B6980"/>
    <w:rsid w:val="002B7588"/>
    <w:rsid w:val="002B7E22"/>
    <w:rsid w:val="002B7E49"/>
    <w:rsid w:val="002C063F"/>
    <w:rsid w:val="002C106B"/>
    <w:rsid w:val="002C2C1B"/>
    <w:rsid w:val="002C3176"/>
    <w:rsid w:val="002C3AE5"/>
    <w:rsid w:val="002C3F42"/>
    <w:rsid w:val="002C3F50"/>
    <w:rsid w:val="002C4C6E"/>
    <w:rsid w:val="002C52F4"/>
    <w:rsid w:val="002C53B2"/>
    <w:rsid w:val="002C5543"/>
    <w:rsid w:val="002C61BB"/>
    <w:rsid w:val="002C62F1"/>
    <w:rsid w:val="002C6C9A"/>
    <w:rsid w:val="002C7893"/>
    <w:rsid w:val="002C7A3F"/>
    <w:rsid w:val="002C7CF7"/>
    <w:rsid w:val="002D0B2E"/>
    <w:rsid w:val="002D0B33"/>
    <w:rsid w:val="002D13BD"/>
    <w:rsid w:val="002D23E2"/>
    <w:rsid w:val="002D24AE"/>
    <w:rsid w:val="002D2689"/>
    <w:rsid w:val="002D2E4C"/>
    <w:rsid w:val="002D3691"/>
    <w:rsid w:val="002D450A"/>
    <w:rsid w:val="002D4E3E"/>
    <w:rsid w:val="002D5213"/>
    <w:rsid w:val="002D5815"/>
    <w:rsid w:val="002D5AD9"/>
    <w:rsid w:val="002D5F62"/>
    <w:rsid w:val="002D64CF"/>
    <w:rsid w:val="002D6584"/>
    <w:rsid w:val="002D6BD6"/>
    <w:rsid w:val="002D6C0E"/>
    <w:rsid w:val="002D6F04"/>
    <w:rsid w:val="002E0D14"/>
    <w:rsid w:val="002E2E91"/>
    <w:rsid w:val="002E36D5"/>
    <w:rsid w:val="002E54D8"/>
    <w:rsid w:val="002E5536"/>
    <w:rsid w:val="002E5BC0"/>
    <w:rsid w:val="002E639D"/>
    <w:rsid w:val="002E6D6A"/>
    <w:rsid w:val="002E7212"/>
    <w:rsid w:val="002E7310"/>
    <w:rsid w:val="002E79EF"/>
    <w:rsid w:val="002E7E36"/>
    <w:rsid w:val="002E7FB3"/>
    <w:rsid w:val="002F00C6"/>
    <w:rsid w:val="002F0D12"/>
    <w:rsid w:val="002F0E07"/>
    <w:rsid w:val="002F1695"/>
    <w:rsid w:val="002F357A"/>
    <w:rsid w:val="002F3BEB"/>
    <w:rsid w:val="002F4CF8"/>
    <w:rsid w:val="002F4FBE"/>
    <w:rsid w:val="002F5716"/>
    <w:rsid w:val="002F5999"/>
    <w:rsid w:val="002F5AE9"/>
    <w:rsid w:val="002F66A0"/>
    <w:rsid w:val="002F7BCA"/>
    <w:rsid w:val="00300CED"/>
    <w:rsid w:val="00302372"/>
    <w:rsid w:val="0030281C"/>
    <w:rsid w:val="00302A27"/>
    <w:rsid w:val="00303017"/>
    <w:rsid w:val="00303A17"/>
    <w:rsid w:val="00303A2E"/>
    <w:rsid w:val="00304A71"/>
    <w:rsid w:val="00304C3C"/>
    <w:rsid w:val="00305564"/>
    <w:rsid w:val="003058A6"/>
    <w:rsid w:val="00305BC6"/>
    <w:rsid w:val="00306564"/>
    <w:rsid w:val="00306DA7"/>
    <w:rsid w:val="00306EE8"/>
    <w:rsid w:val="00307434"/>
    <w:rsid w:val="003078A6"/>
    <w:rsid w:val="003079C4"/>
    <w:rsid w:val="00307A9F"/>
    <w:rsid w:val="00307DEF"/>
    <w:rsid w:val="0031033F"/>
    <w:rsid w:val="00310AFF"/>
    <w:rsid w:val="00311ACF"/>
    <w:rsid w:val="00311C4B"/>
    <w:rsid w:val="0031241B"/>
    <w:rsid w:val="00312CEA"/>
    <w:rsid w:val="00312FBF"/>
    <w:rsid w:val="00313595"/>
    <w:rsid w:val="003138C3"/>
    <w:rsid w:val="00313B0E"/>
    <w:rsid w:val="00313DB2"/>
    <w:rsid w:val="003142A9"/>
    <w:rsid w:val="003155DF"/>
    <w:rsid w:val="0031673A"/>
    <w:rsid w:val="00317E43"/>
    <w:rsid w:val="0032054C"/>
    <w:rsid w:val="00320F71"/>
    <w:rsid w:val="00321144"/>
    <w:rsid w:val="00321F99"/>
    <w:rsid w:val="0032234C"/>
    <w:rsid w:val="003223E3"/>
    <w:rsid w:val="003229A3"/>
    <w:rsid w:val="003230D9"/>
    <w:rsid w:val="00323392"/>
    <w:rsid w:val="00323421"/>
    <w:rsid w:val="00323890"/>
    <w:rsid w:val="0032498B"/>
    <w:rsid w:val="0032739F"/>
    <w:rsid w:val="00327CBD"/>
    <w:rsid w:val="0033050B"/>
    <w:rsid w:val="003308FC"/>
    <w:rsid w:val="00330BC1"/>
    <w:rsid w:val="00332976"/>
    <w:rsid w:val="00332E58"/>
    <w:rsid w:val="00333069"/>
    <w:rsid w:val="00333AEF"/>
    <w:rsid w:val="00333C5A"/>
    <w:rsid w:val="00334AAF"/>
    <w:rsid w:val="00335143"/>
    <w:rsid w:val="00335978"/>
    <w:rsid w:val="00335AD6"/>
    <w:rsid w:val="00335F2A"/>
    <w:rsid w:val="00336554"/>
    <w:rsid w:val="0033677D"/>
    <w:rsid w:val="00336C34"/>
    <w:rsid w:val="0033713A"/>
    <w:rsid w:val="00337A5D"/>
    <w:rsid w:val="0034002E"/>
    <w:rsid w:val="00340724"/>
    <w:rsid w:val="003408B4"/>
    <w:rsid w:val="00340CFE"/>
    <w:rsid w:val="00340F62"/>
    <w:rsid w:val="00342236"/>
    <w:rsid w:val="00342744"/>
    <w:rsid w:val="00343E13"/>
    <w:rsid w:val="00343E6E"/>
    <w:rsid w:val="00344294"/>
    <w:rsid w:val="0034482F"/>
    <w:rsid w:val="00344891"/>
    <w:rsid w:val="00344EF6"/>
    <w:rsid w:val="00345C9B"/>
    <w:rsid w:val="00346AF1"/>
    <w:rsid w:val="003476DB"/>
    <w:rsid w:val="00347B95"/>
    <w:rsid w:val="003502CA"/>
    <w:rsid w:val="0035135C"/>
    <w:rsid w:val="00351360"/>
    <w:rsid w:val="00351497"/>
    <w:rsid w:val="00351520"/>
    <w:rsid w:val="00351796"/>
    <w:rsid w:val="00351D55"/>
    <w:rsid w:val="00351F59"/>
    <w:rsid w:val="0035200B"/>
    <w:rsid w:val="003522F0"/>
    <w:rsid w:val="00352860"/>
    <w:rsid w:val="0035299A"/>
    <w:rsid w:val="003539C6"/>
    <w:rsid w:val="00354026"/>
    <w:rsid w:val="00355558"/>
    <w:rsid w:val="00355813"/>
    <w:rsid w:val="00356F0C"/>
    <w:rsid w:val="0035717D"/>
    <w:rsid w:val="00357336"/>
    <w:rsid w:val="003573EE"/>
    <w:rsid w:val="00357797"/>
    <w:rsid w:val="00357927"/>
    <w:rsid w:val="00357DA6"/>
    <w:rsid w:val="003602E9"/>
    <w:rsid w:val="003609F7"/>
    <w:rsid w:val="0036120A"/>
    <w:rsid w:val="00361E87"/>
    <w:rsid w:val="00362388"/>
    <w:rsid w:val="0036245E"/>
    <w:rsid w:val="0036278D"/>
    <w:rsid w:val="00362E10"/>
    <w:rsid w:val="00363099"/>
    <w:rsid w:val="00363838"/>
    <w:rsid w:val="00363EE9"/>
    <w:rsid w:val="003640FE"/>
    <w:rsid w:val="00364A2F"/>
    <w:rsid w:val="00365490"/>
    <w:rsid w:val="00365C29"/>
    <w:rsid w:val="00366144"/>
    <w:rsid w:val="00366224"/>
    <w:rsid w:val="00366841"/>
    <w:rsid w:val="003671C6"/>
    <w:rsid w:val="00367641"/>
    <w:rsid w:val="003679DA"/>
    <w:rsid w:val="00367B06"/>
    <w:rsid w:val="00367C6A"/>
    <w:rsid w:val="00367D1C"/>
    <w:rsid w:val="003702B2"/>
    <w:rsid w:val="00371231"/>
    <w:rsid w:val="00371C19"/>
    <w:rsid w:val="00371D3E"/>
    <w:rsid w:val="00372048"/>
    <w:rsid w:val="00372746"/>
    <w:rsid w:val="00372A03"/>
    <w:rsid w:val="003732DC"/>
    <w:rsid w:val="00373B20"/>
    <w:rsid w:val="00373B2B"/>
    <w:rsid w:val="003748CA"/>
    <w:rsid w:val="003751AF"/>
    <w:rsid w:val="00375879"/>
    <w:rsid w:val="00376C54"/>
    <w:rsid w:val="00377862"/>
    <w:rsid w:val="00377D60"/>
    <w:rsid w:val="003802B8"/>
    <w:rsid w:val="00381E26"/>
    <w:rsid w:val="00381F40"/>
    <w:rsid w:val="003822D7"/>
    <w:rsid w:val="003824D7"/>
    <w:rsid w:val="00382958"/>
    <w:rsid w:val="0038296A"/>
    <w:rsid w:val="003833AC"/>
    <w:rsid w:val="00384414"/>
    <w:rsid w:val="003847E1"/>
    <w:rsid w:val="00384CCC"/>
    <w:rsid w:val="003851E1"/>
    <w:rsid w:val="00385EFF"/>
    <w:rsid w:val="0038683C"/>
    <w:rsid w:val="00387979"/>
    <w:rsid w:val="00390E18"/>
    <w:rsid w:val="00390E95"/>
    <w:rsid w:val="00391800"/>
    <w:rsid w:val="0039198C"/>
    <w:rsid w:val="00391DA2"/>
    <w:rsid w:val="00391DDC"/>
    <w:rsid w:val="00391FC9"/>
    <w:rsid w:val="003948AF"/>
    <w:rsid w:val="003957A4"/>
    <w:rsid w:val="003961B7"/>
    <w:rsid w:val="0039623C"/>
    <w:rsid w:val="003962EE"/>
    <w:rsid w:val="00397770"/>
    <w:rsid w:val="0039782E"/>
    <w:rsid w:val="00397E95"/>
    <w:rsid w:val="003A0B7D"/>
    <w:rsid w:val="003A1449"/>
    <w:rsid w:val="003A1B70"/>
    <w:rsid w:val="003A2035"/>
    <w:rsid w:val="003A2E46"/>
    <w:rsid w:val="003A345E"/>
    <w:rsid w:val="003A3846"/>
    <w:rsid w:val="003A3D8A"/>
    <w:rsid w:val="003A44A0"/>
    <w:rsid w:val="003A4E3D"/>
    <w:rsid w:val="003A539E"/>
    <w:rsid w:val="003A5445"/>
    <w:rsid w:val="003A5BE6"/>
    <w:rsid w:val="003A5DF2"/>
    <w:rsid w:val="003A6191"/>
    <w:rsid w:val="003A70BB"/>
    <w:rsid w:val="003A73C7"/>
    <w:rsid w:val="003B01A9"/>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47D"/>
    <w:rsid w:val="003B5581"/>
    <w:rsid w:val="003B568D"/>
    <w:rsid w:val="003B5A9F"/>
    <w:rsid w:val="003B5B29"/>
    <w:rsid w:val="003B5F04"/>
    <w:rsid w:val="003B6557"/>
    <w:rsid w:val="003B66B8"/>
    <w:rsid w:val="003B66F5"/>
    <w:rsid w:val="003B70B8"/>
    <w:rsid w:val="003B78C5"/>
    <w:rsid w:val="003B7A1F"/>
    <w:rsid w:val="003C0396"/>
    <w:rsid w:val="003C0434"/>
    <w:rsid w:val="003C0588"/>
    <w:rsid w:val="003C198E"/>
    <w:rsid w:val="003C2494"/>
    <w:rsid w:val="003C249F"/>
    <w:rsid w:val="003C2909"/>
    <w:rsid w:val="003C2A81"/>
    <w:rsid w:val="003C2EF9"/>
    <w:rsid w:val="003C3005"/>
    <w:rsid w:val="003C334C"/>
    <w:rsid w:val="003C3C81"/>
    <w:rsid w:val="003C4494"/>
    <w:rsid w:val="003C522F"/>
    <w:rsid w:val="003C6017"/>
    <w:rsid w:val="003C6A57"/>
    <w:rsid w:val="003C6D4C"/>
    <w:rsid w:val="003C6FB6"/>
    <w:rsid w:val="003C70CF"/>
    <w:rsid w:val="003C751B"/>
    <w:rsid w:val="003C7A39"/>
    <w:rsid w:val="003C7DDF"/>
    <w:rsid w:val="003D0048"/>
    <w:rsid w:val="003D0A2B"/>
    <w:rsid w:val="003D0E62"/>
    <w:rsid w:val="003D129D"/>
    <w:rsid w:val="003D130F"/>
    <w:rsid w:val="003D196E"/>
    <w:rsid w:val="003D1B48"/>
    <w:rsid w:val="003D2C4D"/>
    <w:rsid w:val="003D30E3"/>
    <w:rsid w:val="003D3FB1"/>
    <w:rsid w:val="003D509B"/>
    <w:rsid w:val="003D55EA"/>
    <w:rsid w:val="003D57FB"/>
    <w:rsid w:val="003D607E"/>
    <w:rsid w:val="003D6E94"/>
    <w:rsid w:val="003D6F8A"/>
    <w:rsid w:val="003D70F0"/>
    <w:rsid w:val="003D7FB2"/>
    <w:rsid w:val="003E016E"/>
    <w:rsid w:val="003E085D"/>
    <w:rsid w:val="003E0AA6"/>
    <w:rsid w:val="003E0CDA"/>
    <w:rsid w:val="003E10B3"/>
    <w:rsid w:val="003E309D"/>
    <w:rsid w:val="003E3596"/>
    <w:rsid w:val="003E383F"/>
    <w:rsid w:val="003E4608"/>
    <w:rsid w:val="003E4925"/>
    <w:rsid w:val="003E4C18"/>
    <w:rsid w:val="003E4CF7"/>
    <w:rsid w:val="003E6E0A"/>
    <w:rsid w:val="003E7959"/>
    <w:rsid w:val="003E79BB"/>
    <w:rsid w:val="003F0403"/>
    <w:rsid w:val="003F27BA"/>
    <w:rsid w:val="003F479A"/>
    <w:rsid w:val="003F4C3C"/>
    <w:rsid w:val="003F584B"/>
    <w:rsid w:val="003F5990"/>
    <w:rsid w:val="003F5D89"/>
    <w:rsid w:val="003F5E66"/>
    <w:rsid w:val="003F6CC8"/>
    <w:rsid w:val="003F6DA5"/>
    <w:rsid w:val="003F7C38"/>
    <w:rsid w:val="00400207"/>
    <w:rsid w:val="00400767"/>
    <w:rsid w:val="00400E52"/>
    <w:rsid w:val="00401745"/>
    <w:rsid w:val="00401FA2"/>
    <w:rsid w:val="00402084"/>
    <w:rsid w:val="004037BE"/>
    <w:rsid w:val="0040491F"/>
    <w:rsid w:val="004051A7"/>
    <w:rsid w:val="0040564F"/>
    <w:rsid w:val="0040588C"/>
    <w:rsid w:val="004060A3"/>
    <w:rsid w:val="0040694D"/>
    <w:rsid w:val="00407437"/>
    <w:rsid w:val="00407750"/>
    <w:rsid w:val="004077AB"/>
    <w:rsid w:val="00407BDD"/>
    <w:rsid w:val="00410350"/>
    <w:rsid w:val="00410E1B"/>
    <w:rsid w:val="00411484"/>
    <w:rsid w:val="00411CD2"/>
    <w:rsid w:val="00411CE6"/>
    <w:rsid w:val="0041235A"/>
    <w:rsid w:val="0041279B"/>
    <w:rsid w:val="004128C4"/>
    <w:rsid w:val="0041353E"/>
    <w:rsid w:val="004136D2"/>
    <w:rsid w:val="0041404E"/>
    <w:rsid w:val="00414306"/>
    <w:rsid w:val="004143B6"/>
    <w:rsid w:val="0041490C"/>
    <w:rsid w:val="00414A49"/>
    <w:rsid w:val="00415B76"/>
    <w:rsid w:val="00416B6F"/>
    <w:rsid w:val="00417451"/>
    <w:rsid w:val="00417D86"/>
    <w:rsid w:val="004202C1"/>
    <w:rsid w:val="004209F2"/>
    <w:rsid w:val="00421622"/>
    <w:rsid w:val="004227C1"/>
    <w:rsid w:val="00422E64"/>
    <w:rsid w:val="004238E3"/>
    <w:rsid w:val="00423C78"/>
    <w:rsid w:val="00424665"/>
    <w:rsid w:val="004248F8"/>
    <w:rsid w:val="00424EA6"/>
    <w:rsid w:val="004258BD"/>
    <w:rsid w:val="00425DCF"/>
    <w:rsid w:val="00425F89"/>
    <w:rsid w:val="00426C12"/>
    <w:rsid w:val="0042736B"/>
    <w:rsid w:val="00427541"/>
    <w:rsid w:val="00427653"/>
    <w:rsid w:val="004276AB"/>
    <w:rsid w:val="004276D2"/>
    <w:rsid w:val="00427786"/>
    <w:rsid w:val="004302C1"/>
    <w:rsid w:val="00431456"/>
    <w:rsid w:val="004315C6"/>
    <w:rsid w:val="00431E22"/>
    <w:rsid w:val="00433578"/>
    <w:rsid w:val="004343FB"/>
    <w:rsid w:val="00435194"/>
    <w:rsid w:val="00435B9E"/>
    <w:rsid w:val="0043642F"/>
    <w:rsid w:val="00436682"/>
    <w:rsid w:val="00436A34"/>
    <w:rsid w:val="00436CFE"/>
    <w:rsid w:val="00440121"/>
    <w:rsid w:val="004413C4"/>
    <w:rsid w:val="00441AEE"/>
    <w:rsid w:val="00441B22"/>
    <w:rsid w:val="00441B5E"/>
    <w:rsid w:val="00441BA4"/>
    <w:rsid w:val="00443135"/>
    <w:rsid w:val="00443498"/>
    <w:rsid w:val="0044389F"/>
    <w:rsid w:val="00444348"/>
    <w:rsid w:val="004457D9"/>
    <w:rsid w:val="00445D78"/>
    <w:rsid w:val="00446AE1"/>
    <w:rsid w:val="00446E42"/>
    <w:rsid w:val="00447000"/>
    <w:rsid w:val="0044761B"/>
    <w:rsid w:val="00447E94"/>
    <w:rsid w:val="00450AF2"/>
    <w:rsid w:val="0045122D"/>
    <w:rsid w:val="00452C56"/>
    <w:rsid w:val="00453425"/>
    <w:rsid w:val="004538CC"/>
    <w:rsid w:val="00453AAF"/>
    <w:rsid w:val="00453DC4"/>
    <w:rsid w:val="004544AE"/>
    <w:rsid w:val="00455FDA"/>
    <w:rsid w:val="0045680F"/>
    <w:rsid w:val="00456904"/>
    <w:rsid w:val="00456BA0"/>
    <w:rsid w:val="004572F1"/>
    <w:rsid w:val="00460795"/>
    <w:rsid w:val="00460B77"/>
    <w:rsid w:val="004610EB"/>
    <w:rsid w:val="00461272"/>
    <w:rsid w:val="004629E3"/>
    <w:rsid w:val="00463024"/>
    <w:rsid w:val="0046557E"/>
    <w:rsid w:val="004655B2"/>
    <w:rsid w:val="00465853"/>
    <w:rsid w:val="0046598B"/>
    <w:rsid w:val="00465BE2"/>
    <w:rsid w:val="00465F3C"/>
    <w:rsid w:val="00466BCB"/>
    <w:rsid w:val="0046714C"/>
    <w:rsid w:val="004672C0"/>
    <w:rsid w:val="00467502"/>
    <w:rsid w:val="0046791F"/>
    <w:rsid w:val="004710B5"/>
    <w:rsid w:val="00471D9D"/>
    <w:rsid w:val="004729F8"/>
    <w:rsid w:val="00473D30"/>
    <w:rsid w:val="00473EB1"/>
    <w:rsid w:val="00473EE7"/>
    <w:rsid w:val="00473F8F"/>
    <w:rsid w:val="0047519E"/>
    <w:rsid w:val="004752E7"/>
    <w:rsid w:val="00476412"/>
    <w:rsid w:val="004765D7"/>
    <w:rsid w:val="00476AC4"/>
    <w:rsid w:val="00477112"/>
    <w:rsid w:val="00477170"/>
    <w:rsid w:val="00477927"/>
    <w:rsid w:val="00477E8F"/>
    <w:rsid w:val="00480130"/>
    <w:rsid w:val="00480BB8"/>
    <w:rsid w:val="00480DA5"/>
    <w:rsid w:val="00481414"/>
    <w:rsid w:val="004816F9"/>
    <w:rsid w:val="00481EBD"/>
    <w:rsid w:val="0048202E"/>
    <w:rsid w:val="00482D35"/>
    <w:rsid w:val="004835BF"/>
    <w:rsid w:val="00483983"/>
    <w:rsid w:val="00483A4D"/>
    <w:rsid w:val="00483B65"/>
    <w:rsid w:val="00483C1E"/>
    <w:rsid w:val="004841FA"/>
    <w:rsid w:val="00485271"/>
    <w:rsid w:val="00485451"/>
    <w:rsid w:val="00485D75"/>
    <w:rsid w:val="00486EA8"/>
    <w:rsid w:val="00487660"/>
    <w:rsid w:val="00487692"/>
    <w:rsid w:val="00490174"/>
    <w:rsid w:val="00490394"/>
    <w:rsid w:val="00490BAE"/>
    <w:rsid w:val="00491632"/>
    <w:rsid w:val="00491D8E"/>
    <w:rsid w:val="00492499"/>
    <w:rsid w:val="0049283E"/>
    <w:rsid w:val="00492930"/>
    <w:rsid w:val="00492AB0"/>
    <w:rsid w:val="00493A68"/>
    <w:rsid w:val="00493E16"/>
    <w:rsid w:val="0049476A"/>
    <w:rsid w:val="0049485E"/>
    <w:rsid w:val="00494AD2"/>
    <w:rsid w:val="00495267"/>
    <w:rsid w:val="00495E3F"/>
    <w:rsid w:val="004A1391"/>
    <w:rsid w:val="004A16F3"/>
    <w:rsid w:val="004A195E"/>
    <w:rsid w:val="004A1C35"/>
    <w:rsid w:val="004A1EAA"/>
    <w:rsid w:val="004A206E"/>
    <w:rsid w:val="004A2250"/>
    <w:rsid w:val="004A22AE"/>
    <w:rsid w:val="004A2D9E"/>
    <w:rsid w:val="004A34E5"/>
    <w:rsid w:val="004A381C"/>
    <w:rsid w:val="004A4123"/>
    <w:rsid w:val="004A45A2"/>
    <w:rsid w:val="004A45B6"/>
    <w:rsid w:val="004A4646"/>
    <w:rsid w:val="004A4AB3"/>
    <w:rsid w:val="004A4F13"/>
    <w:rsid w:val="004A52EA"/>
    <w:rsid w:val="004A54BD"/>
    <w:rsid w:val="004A5632"/>
    <w:rsid w:val="004A597A"/>
    <w:rsid w:val="004A5B74"/>
    <w:rsid w:val="004A676C"/>
    <w:rsid w:val="004B0787"/>
    <w:rsid w:val="004B0AE2"/>
    <w:rsid w:val="004B1D11"/>
    <w:rsid w:val="004B238F"/>
    <w:rsid w:val="004B2B10"/>
    <w:rsid w:val="004B4D6A"/>
    <w:rsid w:val="004B661C"/>
    <w:rsid w:val="004B6E66"/>
    <w:rsid w:val="004C0235"/>
    <w:rsid w:val="004C0714"/>
    <w:rsid w:val="004C0741"/>
    <w:rsid w:val="004C1C23"/>
    <w:rsid w:val="004C1F59"/>
    <w:rsid w:val="004C21FB"/>
    <w:rsid w:val="004C3E45"/>
    <w:rsid w:val="004C5183"/>
    <w:rsid w:val="004C6EFB"/>
    <w:rsid w:val="004C7232"/>
    <w:rsid w:val="004C787A"/>
    <w:rsid w:val="004C7B95"/>
    <w:rsid w:val="004D015E"/>
    <w:rsid w:val="004D0439"/>
    <w:rsid w:val="004D098E"/>
    <w:rsid w:val="004D1767"/>
    <w:rsid w:val="004D2C9C"/>
    <w:rsid w:val="004D353D"/>
    <w:rsid w:val="004D47ED"/>
    <w:rsid w:val="004D559E"/>
    <w:rsid w:val="004D5D47"/>
    <w:rsid w:val="004D6625"/>
    <w:rsid w:val="004D6745"/>
    <w:rsid w:val="004D67CD"/>
    <w:rsid w:val="004E1351"/>
    <w:rsid w:val="004E1C21"/>
    <w:rsid w:val="004E31A3"/>
    <w:rsid w:val="004E37D7"/>
    <w:rsid w:val="004E3DF7"/>
    <w:rsid w:val="004E3E7A"/>
    <w:rsid w:val="004E3E92"/>
    <w:rsid w:val="004E5BFA"/>
    <w:rsid w:val="004E6667"/>
    <w:rsid w:val="004E69CF"/>
    <w:rsid w:val="004F096F"/>
    <w:rsid w:val="004F0A0D"/>
    <w:rsid w:val="004F2044"/>
    <w:rsid w:val="004F29E3"/>
    <w:rsid w:val="004F2D08"/>
    <w:rsid w:val="004F42E6"/>
    <w:rsid w:val="004F51E1"/>
    <w:rsid w:val="004F54FF"/>
    <w:rsid w:val="004F5651"/>
    <w:rsid w:val="004F56AB"/>
    <w:rsid w:val="004F5740"/>
    <w:rsid w:val="004F5CEE"/>
    <w:rsid w:val="004F77D3"/>
    <w:rsid w:val="005004D5"/>
    <w:rsid w:val="005010DF"/>
    <w:rsid w:val="005018C5"/>
    <w:rsid w:val="00501B31"/>
    <w:rsid w:val="00501CF0"/>
    <w:rsid w:val="00501DEF"/>
    <w:rsid w:val="00502582"/>
    <w:rsid w:val="00502706"/>
    <w:rsid w:val="00502900"/>
    <w:rsid w:val="00503401"/>
    <w:rsid w:val="005035A4"/>
    <w:rsid w:val="00503D16"/>
    <w:rsid w:val="00504004"/>
    <w:rsid w:val="005044B3"/>
    <w:rsid w:val="005051EF"/>
    <w:rsid w:val="005055D5"/>
    <w:rsid w:val="005055E9"/>
    <w:rsid w:val="00505E2C"/>
    <w:rsid w:val="0050660D"/>
    <w:rsid w:val="00506634"/>
    <w:rsid w:val="00507365"/>
    <w:rsid w:val="0050796C"/>
    <w:rsid w:val="00507F44"/>
    <w:rsid w:val="005109C3"/>
    <w:rsid w:val="00512A9F"/>
    <w:rsid w:val="00513AFE"/>
    <w:rsid w:val="00513D0C"/>
    <w:rsid w:val="00513F2B"/>
    <w:rsid w:val="00514285"/>
    <w:rsid w:val="00514EB4"/>
    <w:rsid w:val="005155BB"/>
    <w:rsid w:val="0051578F"/>
    <w:rsid w:val="00515992"/>
    <w:rsid w:val="00515B60"/>
    <w:rsid w:val="00515FC1"/>
    <w:rsid w:val="005172DB"/>
    <w:rsid w:val="00517716"/>
    <w:rsid w:val="00517DD6"/>
    <w:rsid w:val="005200BB"/>
    <w:rsid w:val="005202EB"/>
    <w:rsid w:val="005209AD"/>
    <w:rsid w:val="00521B3A"/>
    <w:rsid w:val="00521D1B"/>
    <w:rsid w:val="00521FA5"/>
    <w:rsid w:val="005226D7"/>
    <w:rsid w:val="00522829"/>
    <w:rsid w:val="00522B6F"/>
    <w:rsid w:val="00523532"/>
    <w:rsid w:val="0052359C"/>
    <w:rsid w:val="00523DEB"/>
    <w:rsid w:val="0052457D"/>
    <w:rsid w:val="00524D0B"/>
    <w:rsid w:val="0052543E"/>
    <w:rsid w:val="00526CB2"/>
    <w:rsid w:val="0052731E"/>
    <w:rsid w:val="00527B59"/>
    <w:rsid w:val="00527BBC"/>
    <w:rsid w:val="00530170"/>
    <w:rsid w:val="005315DB"/>
    <w:rsid w:val="00532098"/>
    <w:rsid w:val="005328DB"/>
    <w:rsid w:val="00532E82"/>
    <w:rsid w:val="005332BC"/>
    <w:rsid w:val="005334A7"/>
    <w:rsid w:val="00533F50"/>
    <w:rsid w:val="00534710"/>
    <w:rsid w:val="00534BB6"/>
    <w:rsid w:val="00535CEF"/>
    <w:rsid w:val="0053671B"/>
    <w:rsid w:val="00536E90"/>
    <w:rsid w:val="005373D4"/>
    <w:rsid w:val="005374DA"/>
    <w:rsid w:val="005407AF"/>
    <w:rsid w:val="00540D5E"/>
    <w:rsid w:val="00541A8A"/>
    <w:rsid w:val="005435C3"/>
    <w:rsid w:val="0054584A"/>
    <w:rsid w:val="00546402"/>
    <w:rsid w:val="00546478"/>
    <w:rsid w:val="00546597"/>
    <w:rsid w:val="005468C0"/>
    <w:rsid w:val="00546EAF"/>
    <w:rsid w:val="0054711A"/>
    <w:rsid w:val="00547AD7"/>
    <w:rsid w:val="00547D7F"/>
    <w:rsid w:val="00547DA7"/>
    <w:rsid w:val="00550289"/>
    <w:rsid w:val="0055178A"/>
    <w:rsid w:val="00551D1F"/>
    <w:rsid w:val="00551E5C"/>
    <w:rsid w:val="005521EB"/>
    <w:rsid w:val="005524BE"/>
    <w:rsid w:val="00552980"/>
    <w:rsid w:val="00552E39"/>
    <w:rsid w:val="005537E1"/>
    <w:rsid w:val="00554362"/>
    <w:rsid w:val="00554777"/>
    <w:rsid w:val="00554DF7"/>
    <w:rsid w:val="0055511E"/>
    <w:rsid w:val="00555245"/>
    <w:rsid w:val="0055536E"/>
    <w:rsid w:val="00556370"/>
    <w:rsid w:val="005565DE"/>
    <w:rsid w:val="00556FD9"/>
    <w:rsid w:val="00557B63"/>
    <w:rsid w:val="00560C30"/>
    <w:rsid w:val="00560E8A"/>
    <w:rsid w:val="00562A3F"/>
    <w:rsid w:val="0056391F"/>
    <w:rsid w:val="00564B2D"/>
    <w:rsid w:val="00564BB1"/>
    <w:rsid w:val="00565DAE"/>
    <w:rsid w:val="00566210"/>
    <w:rsid w:val="0056667F"/>
    <w:rsid w:val="00566777"/>
    <w:rsid w:val="005668AC"/>
    <w:rsid w:val="00567090"/>
    <w:rsid w:val="00567691"/>
    <w:rsid w:val="00570633"/>
    <w:rsid w:val="00570B90"/>
    <w:rsid w:val="00571688"/>
    <w:rsid w:val="0057210B"/>
    <w:rsid w:val="00572A0F"/>
    <w:rsid w:val="00572AA4"/>
    <w:rsid w:val="005730A5"/>
    <w:rsid w:val="00575167"/>
    <w:rsid w:val="005753A8"/>
    <w:rsid w:val="00575667"/>
    <w:rsid w:val="00575DF9"/>
    <w:rsid w:val="00576383"/>
    <w:rsid w:val="005763B5"/>
    <w:rsid w:val="005765DA"/>
    <w:rsid w:val="005765E2"/>
    <w:rsid w:val="005767B8"/>
    <w:rsid w:val="00576F5F"/>
    <w:rsid w:val="00576FD8"/>
    <w:rsid w:val="0057724D"/>
    <w:rsid w:val="0058020C"/>
    <w:rsid w:val="00580225"/>
    <w:rsid w:val="005802F5"/>
    <w:rsid w:val="0058148E"/>
    <w:rsid w:val="00581AD2"/>
    <w:rsid w:val="00581F68"/>
    <w:rsid w:val="00582913"/>
    <w:rsid w:val="00582D1D"/>
    <w:rsid w:val="005833A7"/>
    <w:rsid w:val="00583A22"/>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38BB"/>
    <w:rsid w:val="00593A32"/>
    <w:rsid w:val="0059409D"/>
    <w:rsid w:val="005942F6"/>
    <w:rsid w:val="00594676"/>
    <w:rsid w:val="00595033"/>
    <w:rsid w:val="005951E1"/>
    <w:rsid w:val="005960B6"/>
    <w:rsid w:val="00596B7F"/>
    <w:rsid w:val="005977A8"/>
    <w:rsid w:val="00597D72"/>
    <w:rsid w:val="005A09FF"/>
    <w:rsid w:val="005A0AB2"/>
    <w:rsid w:val="005A1609"/>
    <w:rsid w:val="005A22E8"/>
    <w:rsid w:val="005A28EE"/>
    <w:rsid w:val="005A3AA8"/>
    <w:rsid w:val="005A3BD5"/>
    <w:rsid w:val="005A3DB4"/>
    <w:rsid w:val="005A4F5E"/>
    <w:rsid w:val="005A5008"/>
    <w:rsid w:val="005A58E6"/>
    <w:rsid w:val="005A5AAC"/>
    <w:rsid w:val="005A601E"/>
    <w:rsid w:val="005A64B7"/>
    <w:rsid w:val="005A6668"/>
    <w:rsid w:val="005A6AD8"/>
    <w:rsid w:val="005A7327"/>
    <w:rsid w:val="005A7523"/>
    <w:rsid w:val="005A76C4"/>
    <w:rsid w:val="005B00D6"/>
    <w:rsid w:val="005B0191"/>
    <w:rsid w:val="005B0574"/>
    <w:rsid w:val="005B1CF0"/>
    <w:rsid w:val="005B22BE"/>
    <w:rsid w:val="005B3364"/>
    <w:rsid w:val="005B38EB"/>
    <w:rsid w:val="005B3B2B"/>
    <w:rsid w:val="005B3DB2"/>
    <w:rsid w:val="005B4429"/>
    <w:rsid w:val="005B4985"/>
    <w:rsid w:val="005B527D"/>
    <w:rsid w:val="005B5CE1"/>
    <w:rsid w:val="005B7195"/>
    <w:rsid w:val="005B72E2"/>
    <w:rsid w:val="005C0350"/>
    <w:rsid w:val="005C162F"/>
    <w:rsid w:val="005C1680"/>
    <w:rsid w:val="005C1689"/>
    <w:rsid w:val="005C18AC"/>
    <w:rsid w:val="005C1D36"/>
    <w:rsid w:val="005C2305"/>
    <w:rsid w:val="005C2C6B"/>
    <w:rsid w:val="005C2D15"/>
    <w:rsid w:val="005C30C9"/>
    <w:rsid w:val="005C32FD"/>
    <w:rsid w:val="005C3A47"/>
    <w:rsid w:val="005C4263"/>
    <w:rsid w:val="005C4E14"/>
    <w:rsid w:val="005C570E"/>
    <w:rsid w:val="005C57D7"/>
    <w:rsid w:val="005C5A11"/>
    <w:rsid w:val="005C5DD3"/>
    <w:rsid w:val="005C5E70"/>
    <w:rsid w:val="005C7034"/>
    <w:rsid w:val="005D09B6"/>
    <w:rsid w:val="005D0E1A"/>
    <w:rsid w:val="005D5504"/>
    <w:rsid w:val="005D55A2"/>
    <w:rsid w:val="005D574F"/>
    <w:rsid w:val="005D5CF0"/>
    <w:rsid w:val="005D6FE2"/>
    <w:rsid w:val="005D7217"/>
    <w:rsid w:val="005E0354"/>
    <w:rsid w:val="005E0526"/>
    <w:rsid w:val="005E1691"/>
    <w:rsid w:val="005E1B48"/>
    <w:rsid w:val="005E1F75"/>
    <w:rsid w:val="005E2DFE"/>
    <w:rsid w:val="005E334D"/>
    <w:rsid w:val="005E42E5"/>
    <w:rsid w:val="005E4687"/>
    <w:rsid w:val="005E60DF"/>
    <w:rsid w:val="005E61FE"/>
    <w:rsid w:val="005E6548"/>
    <w:rsid w:val="005E671D"/>
    <w:rsid w:val="005E7884"/>
    <w:rsid w:val="005E7A63"/>
    <w:rsid w:val="005E7CE9"/>
    <w:rsid w:val="005F1784"/>
    <w:rsid w:val="005F2461"/>
    <w:rsid w:val="005F2BBB"/>
    <w:rsid w:val="005F2CED"/>
    <w:rsid w:val="005F34DA"/>
    <w:rsid w:val="005F35FA"/>
    <w:rsid w:val="005F39DA"/>
    <w:rsid w:val="005F444D"/>
    <w:rsid w:val="005F4BDF"/>
    <w:rsid w:val="005F7E0D"/>
    <w:rsid w:val="0060100D"/>
    <w:rsid w:val="006011EA"/>
    <w:rsid w:val="00601216"/>
    <w:rsid w:val="00601244"/>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0782D"/>
    <w:rsid w:val="0061105F"/>
    <w:rsid w:val="00611884"/>
    <w:rsid w:val="00611E64"/>
    <w:rsid w:val="00613129"/>
    <w:rsid w:val="00613906"/>
    <w:rsid w:val="00613B3B"/>
    <w:rsid w:val="00614265"/>
    <w:rsid w:val="006148E7"/>
    <w:rsid w:val="00614D07"/>
    <w:rsid w:val="00614ECF"/>
    <w:rsid w:val="00614F52"/>
    <w:rsid w:val="00616168"/>
    <w:rsid w:val="006202BC"/>
    <w:rsid w:val="0062159E"/>
    <w:rsid w:val="00621639"/>
    <w:rsid w:val="0062211C"/>
    <w:rsid w:val="00622D62"/>
    <w:rsid w:val="0062341A"/>
    <w:rsid w:val="006235BB"/>
    <w:rsid w:val="0062369C"/>
    <w:rsid w:val="00623DD2"/>
    <w:rsid w:val="00624BF7"/>
    <w:rsid w:val="0062503E"/>
    <w:rsid w:val="00625418"/>
    <w:rsid w:val="0062636D"/>
    <w:rsid w:val="006265E1"/>
    <w:rsid w:val="00626EC2"/>
    <w:rsid w:val="00630340"/>
    <w:rsid w:val="00630ACA"/>
    <w:rsid w:val="00630E69"/>
    <w:rsid w:val="00631293"/>
    <w:rsid w:val="00631380"/>
    <w:rsid w:val="0063197F"/>
    <w:rsid w:val="006327D3"/>
    <w:rsid w:val="00633271"/>
    <w:rsid w:val="00633E0B"/>
    <w:rsid w:val="006340FE"/>
    <w:rsid w:val="00634486"/>
    <w:rsid w:val="00635371"/>
    <w:rsid w:val="0063571B"/>
    <w:rsid w:val="006372B8"/>
    <w:rsid w:val="00637A49"/>
    <w:rsid w:val="0064046D"/>
    <w:rsid w:val="00640AB3"/>
    <w:rsid w:val="00640E91"/>
    <w:rsid w:val="00641C0E"/>
    <w:rsid w:val="00642005"/>
    <w:rsid w:val="006434A7"/>
    <w:rsid w:val="006443F9"/>
    <w:rsid w:val="00644925"/>
    <w:rsid w:val="00644F43"/>
    <w:rsid w:val="00645A36"/>
    <w:rsid w:val="006471D3"/>
    <w:rsid w:val="00650AFF"/>
    <w:rsid w:val="006515F5"/>
    <w:rsid w:val="00653A92"/>
    <w:rsid w:val="00653D42"/>
    <w:rsid w:val="0065437D"/>
    <w:rsid w:val="00654CD7"/>
    <w:rsid w:val="00654D50"/>
    <w:rsid w:val="00655166"/>
    <w:rsid w:val="006551D7"/>
    <w:rsid w:val="006554D8"/>
    <w:rsid w:val="006555A8"/>
    <w:rsid w:val="00655C0B"/>
    <w:rsid w:val="006568B2"/>
    <w:rsid w:val="0065690D"/>
    <w:rsid w:val="00656A1F"/>
    <w:rsid w:val="0065735B"/>
    <w:rsid w:val="006577F9"/>
    <w:rsid w:val="006601E8"/>
    <w:rsid w:val="00660D0F"/>
    <w:rsid w:val="006614BF"/>
    <w:rsid w:val="00661C76"/>
    <w:rsid w:val="00662A72"/>
    <w:rsid w:val="0066408E"/>
    <w:rsid w:val="0066482B"/>
    <w:rsid w:val="00665B97"/>
    <w:rsid w:val="00666034"/>
    <w:rsid w:val="00667977"/>
    <w:rsid w:val="00667B34"/>
    <w:rsid w:val="006705AE"/>
    <w:rsid w:val="00671B47"/>
    <w:rsid w:val="006723D2"/>
    <w:rsid w:val="00672E44"/>
    <w:rsid w:val="00673C67"/>
    <w:rsid w:val="00673CD7"/>
    <w:rsid w:val="00673D86"/>
    <w:rsid w:val="00675CF8"/>
    <w:rsid w:val="00677239"/>
    <w:rsid w:val="006807A1"/>
    <w:rsid w:val="00681678"/>
    <w:rsid w:val="00681E3E"/>
    <w:rsid w:val="0068362C"/>
    <w:rsid w:val="006843B2"/>
    <w:rsid w:val="00685262"/>
    <w:rsid w:val="00685996"/>
    <w:rsid w:val="006859D7"/>
    <w:rsid w:val="00685C79"/>
    <w:rsid w:val="00685F92"/>
    <w:rsid w:val="00686B71"/>
    <w:rsid w:val="00687022"/>
    <w:rsid w:val="00687AEE"/>
    <w:rsid w:val="00687C8D"/>
    <w:rsid w:val="0069101B"/>
    <w:rsid w:val="0069149B"/>
    <w:rsid w:val="00691E75"/>
    <w:rsid w:val="00692195"/>
    <w:rsid w:val="006926FC"/>
    <w:rsid w:val="0069272D"/>
    <w:rsid w:val="00692994"/>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0EB8"/>
    <w:rsid w:val="006A0F46"/>
    <w:rsid w:val="006A21B8"/>
    <w:rsid w:val="006A25F2"/>
    <w:rsid w:val="006A2BAA"/>
    <w:rsid w:val="006A3FDD"/>
    <w:rsid w:val="006A46A7"/>
    <w:rsid w:val="006A4A9C"/>
    <w:rsid w:val="006A4B37"/>
    <w:rsid w:val="006A4D02"/>
    <w:rsid w:val="006A5072"/>
    <w:rsid w:val="006A511F"/>
    <w:rsid w:val="006A51D3"/>
    <w:rsid w:val="006A5CB5"/>
    <w:rsid w:val="006A5D88"/>
    <w:rsid w:val="006A6340"/>
    <w:rsid w:val="006A672C"/>
    <w:rsid w:val="006B05D9"/>
    <w:rsid w:val="006B0A22"/>
    <w:rsid w:val="006B20DE"/>
    <w:rsid w:val="006B265E"/>
    <w:rsid w:val="006B31C2"/>
    <w:rsid w:val="006B3279"/>
    <w:rsid w:val="006B341D"/>
    <w:rsid w:val="006B3674"/>
    <w:rsid w:val="006B3902"/>
    <w:rsid w:val="006B466E"/>
    <w:rsid w:val="006B486A"/>
    <w:rsid w:val="006B4A63"/>
    <w:rsid w:val="006B5A60"/>
    <w:rsid w:val="006B62AB"/>
    <w:rsid w:val="006B6610"/>
    <w:rsid w:val="006B66A8"/>
    <w:rsid w:val="006B73A9"/>
    <w:rsid w:val="006B7B5B"/>
    <w:rsid w:val="006C0A47"/>
    <w:rsid w:val="006C0BEF"/>
    <w:rsid w:val="006C1272"/>
    <w:rsid w:val="006C145F"/>
    <w:rsid w:val="006C1D53"/>
    <w:rsid w:val="006C2099"/>
    <w:rsid w:val="006C30A4"/>
    <w:rsid w:val="006C3891"/>
    <w:rsid w:val="006C3F8A"/>
    <w:rsid w:val="006C3FA7"/>
    <w:rsid w:val="006C4273"/>
    <w:rsid w:val="006C434F"/>
    <w:rsid w:val="006C46D0"/>
    <w:rsid w:val="006C5682"/>
    <w:rsid w:val="006C619E"/>
    <w:rsid w:val="006C6E71"/>
    <w:rsid w:val="006C7395"/>
    <w:rsid w:val="006C7C27"/>
    <w:rsid w:val="006D0AB4"/>
    <w:rsid w:val="006D13B6"/>
    <w:rsid w:val="006D1473"/>
    <w:rsid w:val="006D2C16"/>
    <w:rsid w:val="006D2E42"/>
    <w:rsid w:val="006D34FB"/>
    <w:rsid w:val="006D4097"/>
    <w:rsid w:val="006D4697"/>
    <w:rsid w:val="006D61B7"/>
    <w:rsid w:val="006D6A9B"/>
    <w:rsid w:val="006D7934"/>
    <w:rsid w:val="006D7DDC"/>
    <w:rsid w:val="006E06F6"/>
    <w:rsid w:val="006E1F8E"/>
    <w:rsid w:val="006E214A"/>
    <w:rsid w:val="006E2B29"/>
    <w:rsid w:val="006E31E7"/>
    <w:rsid w:val="006E330A"/>
    <w:rsid w:val="006E35C1"/>
    <w:rsid w:val="006E4610"/>
    <w:rsid w:val="006E4647"/>
    <w:rsid w:val="006E4837"/>
    <w:rsid w:val="006E4C6A"/>
    <w:rsid w:val="006E4DBE"/>
    <w:rsid w:val="006E5235"/>
    <w:rsid w:val="006E52A2"/>
    <w:rsid w:val="006E5616"/>
    <w:rsid w:val="006E5ACB"/>
    <w:rsid w:val="006E5C8C"/>
    <w:rsid w:val="006E69E8"/>
    <w:rsid w:val="006E7499"/>
    <w:rsid w:val="006E7747"/>
    <w:rsid w:val="006F0348"/>
    <w:rsid w:val="006F0B52"/>
    <w:rsid w:val="006F0BEC"/>
    <w:rsid w:val="006F1817"/>
    <w:rsid w:val="006F2F07"/>
    <w:rsid w:val="006F3566"/>
    <w:rsid w:val="006F3BA6"/>
    <w:rsid w:val="006F3BDB"/>
    <w:rsid w:val="006F3D1F"/>
    <w:rsid w:val="006F4510"/>
    <w:rsid w:val="006F4CAB"/>
    <w:rsid w:val="006F5565"/>
    <w:rsid w:val="006F5D02"/>
    <w:rsid w:val="006F6C3B"/>
    <w:rsid w:val="006F7142"/>
    <w:rsid w:val="006F742B"/>
    <w:rsid w:val="006F75F3"/>
    <w:rsid w:val="006F7697"/>
    <w:rsid w:val="00700115"/>
    <w:rsid w:val="00700CB8"/>
    <w:rsid w:val="00701718"/>
    <w:rsid w:val="007019E2"/>
    <w:rsid w:val="00703986"/>
    <w:rsid w:val="00703D82"/>
    <w:rsid w:val="007048C7"/>
    <w:rsid w:val="00706017"/>
    <w:rsid w:val="00706655"/>
    <w:rsid w:val="00707251"/>
    <w:rsid w:val="00707F94"/>
    <w:rsid w:val="0071016B"/>
    <w:rsid w:val="007106F4"/>
    <w:rsid w:val="00710B08"/>
    <w:rsid w:val="00710BF2"/>
    <w:rsid w:val="00710C96"/>
    <w:rsid w:val="0071165B"/>
    <w:rsid w:val="0071230F"/>
    <w:rsid w:val="00712D15"/>
    <w:rsid w:val="007132AF"/>
    <w:rsid w:val="0071395F"/>
    <w:rsid w:val="00713EE8"/>
    <w:rsid w:val="00713FF2"/>
    <w:rsid w:val="00717569"/>
    <w:rsid w:val="00717E86"/>
    <w:rsid w:val="007203E0"/>
    <w:rsid w:val="00720DC2"/>
    <w:rsid w:val="00721FD2"/>
    <w:rsid w:val="0072258D"/>
    <w:rsid w:val="00722FF7"/>
    <w:rsid w:val="00723762"/>
    <w:rsid w:val="007245E3"/>
    <w:rsid w:val="00725B9F"/>
    <w:rsid w:val="007261B7"/>
    <w:rsid w:val="00726E14"/>
    <w:rsid w:val="007277AE"/>
    <w:rsid w:val="00727AB9"/>
    <w:rsid w:val="00727ED7"/>
    <w:rsid w:val="00730A4F"/>
    <w:rsid w:val="007319C3"/>
    <w:rsid w:val="00732361"/>
    <w:rsid w:val="00732521"/>
    <w:rsid w:val="007332D1"/>
    <w:rsid w:val="00733D5A"/>
    <w:rsid w:val="00734060"/>
    <w:rsid w:val="00734A7D"/>
    <w:rsid w:val="007350B0"/>
    <w:rsid w:val="00735137"/>
    <w:rsid w:val="0073623D"/>
    <w:rsid w:val="00737BFA"/>
    <w:rsid w:val="00737C30"/>
    <w:rsid w:val="0074112E"/>
    <w:rsid w:val="00741591"/>
    <w:rsid w:val="00741644"/>
    <w:rsid w:val="0074228D"/>
    <w:rsid w:val="00742F46"/>
    <w:rsid w:val="007433C5"/>
    <w:rsid w:val="00743F5E"/>
    <w:rsid w:val="00744290"/>
    <w:rsid w:val="00744B47"/>
    <w:rsid w:val="00744C05"/>
    <w:rsid w:val="00744D2F"/>
    <w:rsid w:val="0074530A"/>
    <w:rsid w:val="00745665"/>
    <w:rsid w:val="007456A6"/>
    <w:rsid w:val="00745FCB"/>
    <w:rsid w:val="00746579"/>
    <w:rsid w:val="00746ECF"/>
    <w:rsid w:val="00747218"/>
    <w:rsid w:val="0074733A"/>
    <w:rsid w:val="00747864"/>
    <w:rsid w:val="00750072"/>
    <w:rsid w:val="007501FA"/>
    <w:rsid w:val="007508B8"/>
    <w:rsid w:val="00750A16"/>
    <w:rsid w:val="00751176"/>
    <w:rsid w:val="00751ADB"/>
    <w:rsid w:val="00751EFC"/>
    <w:rsid w:val="00752552"/>
    <w:rsid w:val="00752E6E"/>
    <w:rsid w:val="00752F56"/>
    <w:rsid w:val="007533D0"/>
    <w:rsid w:val="00753926"/>
    <w:rsid w:val="00753BD5"/>
    <w:rsid w:val="00753C58"/>
    <w:rsid w:val="0075410B"/>
    <w:rsid w:val="007545BB"/>
    <w:rsid w:val="00754A6E"/>
    <w:rsid w:val="00754C18"/>
    <w:rsid w:val="00755DE0"/>
    <w:rsid w:val="0075702E"/>
    <w:rsid w:val="0075782E"/>
    <w:rsid w:val="00757DE7"/>
    <w:rsid w:val="00757E44"/>
    <w:rsid w:val="007606CA"/>
    <w:rsid w:val="00760C7B"/>
    <w:rsid w:val="00760CEC"/>
    <w:rsid w:val="00762AD2"/>
    <w:rsid w:val="00763154"/>
    <w:rsid w:val="00764B5B"/>
    <w:rsid w:val="00765115"/>
    <w:rsid w:val="007651C6"/>
    <w:rsid w:val="00766132"/>
    <w:rsid w:val="0076671E"/>
    <w:rsid w:val="00766BB9"/>
    <w:rsid w:val="00766FA0"/>
    <w:rsid w:val="007670C1"/>
    <w:rsid w:val="0076724D"/>
    <w:rsid w:val="007673B2"/>
    <w:rsid w:val="00767A6D"/>
    <w:rsid w:val="00767C1E"/>
    <w:rsid w:val="00770989"/>
    <w:rsid w:val="007721FD"/>
    <w:rsid w:val="007734BD"/>
    <w:rsid w:val="007734F0"/>
    <w:rsid w:val="00774192"/>
    <w:rsid w:val="007741A4"/>
    <w:rsid w:val="007743EA"/>
    <w:rsid w:val="00774714"/>
    <w:rsid w:val="00774823"/>
    <w:rsid w:val="00774830"/>
    <w:rsid w:val="00775090"/>
    <w:rsid w:val="00775182"/>
    <w:rsid w:val="0077539D"/>
    <w:rsid w:val="00775625"/>
    <w:rsid w:val="00775939"/>
    <w:rsid w:val="007765E5"/>
    <w:rsid w:val="00776695"/>
    <w:rsid w:val="00776F35"/>
    <w:rsid w:val="00777F22"/>
    <w:rsid w:val="007801B6"/>
    <w:rsid w:val="0078143F"/>
    <w:rsid w:val="00781E58"/>
    <w:rsid w:val="00781E88"/>
    <w:rsid w:val="00782590"/>
    <w:rsid w:val="00782EB8"/>
    <w:rsid w:val="007833BE"/>
    <w:rsid w:val="00784D49"/>
    <w:rsid w:val="00785434"/>
    <w:rsid w:val="00785E10"/>
    <w:rsid w:val="00786857"/>
    <w:rsid w:val="00786964"/>
    <w:rsid w:val="00786E37"/>
    <w:rsid w:val="007877D8"/>
    <w:rsid w:val="00790B08"/>
    <w:rsid w:val="00793233"/>
    <w:rsid w:val="007937B1"/>
    <w:rsid w:val="00793812"/>
    <w:rsid w:val="00794495"/>
    <w:rsid w:val="00794D1D"/>
    <w:rsid w:val="007955DC"/>
    <w:rsid w:val="0079643A"/>
    <w:rsid w:val="00797669"/>
    <w:rsid w:val="007976F9"/>
    <w:rsid w:val="00797C67"/>
    <w:rsid w:val="00797F9C"/>
    <w:rsid w:val="007A080C"/>
    <w:rsid w:val="007A1276"/>
    <w:rsid w:val="007A140B"/>
    <w:rsid w:val="007A26B0"/>
    <w:rsid w:val="007A297A"/>
    <w:rsid w:val="007A2C69"/>
    <w:rsid w:val="007A3630"/>
    <w:rsid w:val="007A52DC"/>
    <w:rsid w:val="007A53AB"/>
    <w:rsid w:val="007A57E7"/>
    <w:rsid w:val="007A595F"/>
    <w:rsid w:val="007A5F28"/>
    <w:rsid w:val="007A66C0"/>
    <w:rsid w:val="007A6978"/>
    <w:rsid w:val="007A793C"/>
    <w:rsid w:val="007A7C31"/>
    <w:rsid w:val="007B11B9"/>
    <w:rsid w:val="007B18B2"/>
    <w:rsid w:val="007B1D68"/>
    <w:rsid w:val="007B247D"/>
    <w:rsid w:val="007B25A2"/>
    <w:rsid w:val="007B2FBA"/>
    <w:rsid w:val="007B4D61"/>
    <w:rsid w:val="007B57E4"/>
    <w:rsid w:val="007B5A20"/>
    <w:rsid w:val="007B5C2F"/>
    <w:rsid w:val="007B5F07"/>
    <w:rsid w:val="007B61DB"/>
    <w:rsid w:val="007B6658"/>
    <w:rsid w:val="007B6B4D"/>
    <w:rsid w:val="007B7813"/>
    <w:rsid w:val="007B7A8D"/>
    <w:rsid w:val="007B7E31"/>
    <w:rsid w:val="007C00B5"/>
    <w:rsid w:val="007C00FC"/>
    <w:rsid w:val="007C06EB"/>
    <w:rsid w:val="007C09C6"/>
    <w:rsid w:val="007C1219"/>
    <w:rsid w:val="007C1822"/>
    <w:rsid w:val="007C2112"/>
    <w:rsid w:val="007C2A25"/>
    <w:rsid w:val="007C3282"/>
    <w:rsid w:val="007C3861"/>
    <w:rsid w:val="007C479B"/>
    <w:rsid w:val="007C4EC3"/>
    <w:rsid w:val="007C4FA1"/>
    <w:rsid w:val="007C510E"/>
    <w:rsid w:val="007C584B"/>
    <w:rsid w:val="007C63F5"/>
    <w:rsid w:val="007C6846"/>
    <w:rsid w:val="007C711A"/>
    <w:rsid w:val="007D03BE"/>
    <w:rsid w:val="007D0C4A"/>
    <w:rsid w:val="007D0FE0"/>
    <w:rsid w:val="007D11C1"/>
    <w:rsid w:val="007D19D2"/>
    <w:rsid w:val="007D319B"/>
    <w:rsid w:val="007D3EA4"/>
    <w:rsid w:val="007D4425"/>
    <w:rsid w:val="007D4BEA"/>
    <w:rsid w:val="007D4C06"/>
    <w:rsid w:val="007D4D16"/>
    <w:rsid w:val="007D58CA"/>
    <w:rsid w:val="007D5927"/>
    <w:rsid w:val="007D72E3"/>
    <w:rsid w:val="007D7799"/>
    <w:rsid w:val="007D797F"/>
    <w:rsid w:val="007E0018"/>
    <w:rsid w:val="007E09EE"/>
    <w:rsid w:val="007E162E"/>
    <w:rsid w:val="007E1ACF"/>
    <w:rsid w:val="007E1CAC"/>
    <w:rsid w:val="007E282C"/>
    <w:rsid w:val="007E2F59"/>
    <w:rsid w:val="007E3720"/>
    <w:rsid w:val="007E3F2B"/>
    <w:rsid w:val="007E400C"/>
    <w:rsid w:val="007E4DDE"/>
    <w:rsid w:val="007E55E3"/>
    <w:rsid w:val="007E61CA"/>
    <w:rsid w:val="007E62E8"/>
    <w:rsid w:val="007E67CB"/>
    <w:rsid w:val="007E7532"/>
    <w:rsid w:val="007E7CD4"/>
    <w:rsid w:val="007F060F"/>
    <w:rsid w:val="007F0BE6"/>
    <w:rsid w:val="007F152C"/>
    <w:rsid w:val="007F3568"/>
    <w:rsid w:val="007F35D8"/>
    <w:rsid w:val="007F51FC"/>
    <w:rsid w:val="007F5631"/>
    <w:rsid w:val="007F56A5"/>
    <w:rsid w:val="007F627C"/>
    <w:rsid w:val="007F6EB7"/>
    <w:rsid w:val="007F76C8"/>
    <w:rsid w:val="007F7FA8"/>
    <w:rsid w:val="00801871"/>
    <w:rsid w:val="008019D5"/>
    <w:rsid w:val="00801E38"/>
    <w:rsid w:val="008026DB"/>
    <w:rsid w:val="008035EC"/>
    <w:rsid w:val="0080479C"/>
    <w:rsid w:val="00805360"/>
    <w:rsid w:val="008079CA"/>
    <w:rsid w:val="00810A0F"/>
    <w:rsid w:val="00814F43"/>
    <w:rsid w:val="008156CD"/>
    <w:rsid w:val="008158B2"/>
    <w:rsid w:val="00815B9E"/>
    <w:rsid w:val="00815FD3"/>
    <w:rsid w:val="008166DC"/>
    <w:rsid w:val="008166F9"/>
    <w:rsid w:val="008169E8"/>
    <w:rsid w:val="00816E62"/>
    <w:rsid w:val="00817519"/>
    <w:rsid w:val="00817C6B"/>
    <w:rsid w:val="00817E98"/>
    <w:rsid w:val="0082020D"/>
    <w:rsid w:val="00820699"/>
    <w:rsid w:val="008208C6"/>
    <w:rsid w:val="008222C8"/>
    <w:rsid w:val="00822717"/>
    <w:rsid w:val="008231EE"/>
    <w:rsid w:val="008238DA"/>
    <w:rsid w:val="0082437E"/>
    <w:rsid w:val="008243FC"/>
    <w:rsid w:val="00825274"/>
    <w:rsid w:val="00825543"/>
    <w:rsid w:val="00826C9E"/>
    <w:rsid w:val="00826F9C"/>
    <w:rsid w:val="0082714E"/>
    <w:rsid w:val="00827C9C"/>
    <w:rsid w:val="00830417"/>
    <w:rsid w:val="00830C34"/>
    <w:rsid w:val="00830D2A"/>
    <w:rsid w:val="00831112"/>
    <w:rsid w:val="00831DF1"/>
    <w:rsid w:val="00831E82"/>
    <w:rsid w:val="008320A2"/>
    <w:rsid w:val="0083216D"/>
    <w:rsid w:val="00832979"/>
    <w:rsid w:val="00832D4D"/>
    <w:rsid w:val="00832DCF"/>
    <w:rsid w:val="00833F2E"/>
    <w:rsid w:val="008347C5"/>
    <w:rsid w:val="008353C1"/>
    <w:rsid w:val="008355FF"/>
    <w:rsid w:val="00835888"/>
    <w:rsid w:val="0083612A"/>
    <w:rsid w:val="0083796A"/>
    <w:rsid w:val="00837C7B"/>
    <w:rsid w:val="00840CED"/>
    <w:rsid w:val="00840E0F"/>
    <w:rsid w:val="00841828"/>
    <w:rsid w:val="008421B6"/>
    <w:rsid w:val="008426FF"/>
    <w:rsid w:val="008428EB"/>
    <w:rsid w:val="00842A13"/>
    <w:rsid w:val="00842A82"/>
    <w:rsid w:val="00842FC2"/>
    <w:rsid w:val="008437AE"/>
    <w:rsid w:val="00843AF7"/>
    <w:rsid w:val="00843F58"/>
    <w:rsid w:val="008450E1"/>
    <w:rsid w:val="008462F4"/>
    <w:rsid w:val="008468BA"/>
    <w:rsid w:val="00846E75"/>
    <w:rsid w:val="00847401"/>
    <w:rsid w:val="00847FA0"/>
    <w:rsid w:val="00850AA7"/>
    <w:rsid w:val="00850C52"/>
    <w:rsid w:val="00851AC8"/>
    <w:rsid w:val="00852E5A"/>
    <w:rsid w:val="008541A7"/>
    <w:rsid w:val="0085503C"/>
    <w:rsid w:val="00855AFA"/>
    <w:rsid w:val="00855B81"/>
    <w:rsid w:val="00855D63"/>
    <w:rsid w:val="00856368"/>
    <w:rsid w:val="00856C64"/>
    <w:rsid w:val="00857845"/>
    <w:rsid w:val="00860F25"/>
    <w:rsid w:val="00861AF2"/>
    <w:rsid w:val="008634F9"/>
    <w:rsid w:val="0086539C"/>
    <w:rsid w:val="008653F3"/>
    <w:rsid w:val="008658D3"/>
    <w:rsid w:val="00866FBB"/>
    <w:rsid w:val="008675F5"/>
    <w:rsid w:val="00867CE5"/>
    <w:rsid w:val="00870798"/>
    <w:rsid w:val="008707A3"/>
    <w:rsid w:val="00871658"/>
    <w:rsid w:val="00871AAB"/>
    <w:rsid w:val="0087280A"/>
    <w:rsid w:val="0087423B"/>
    <w:rsid w:val="008742C0"/>
    <w:rsid w:val="00874536"/>
    <w:rsid w:val="00874A09"/>
    <w:rsid w:val="00874EE1"/>
    <w:rsid w:val="00875C03"/>
    <w:rsid w:val="00876365"/>
    <w:rsid w:val="00876983"/>
    <w:rsid w:val="00876B6C"/>
    <w:rsid w:val="00876BF1"/>
    <w:rsid w:val="00876BF9"/>
    <w:rsid w:val="00876C8D"/>
    <w:rsid w:val="00877367"/>
    <w:rsid w:val="00877A12"/>
    <w:rsid w:val="00877D43"/>
    <w:rsid w:val="00877FFB"/>
    <w:rsid w:val="00881214"/>
    <w:rsid w:val="008813AD"/>
    <w:rsid w:val="00881438"/>
    <w:rsid w:val="008835E9"/>
    <w:rsid w:val="0088498E"/>
    <w:rsid w:val="00884B1C"/>
    <w:rsid w:val="008865BE"/>
    <w:rsid w:val="008866AD"/>
    <w:rsid w:val="0089007C"/>
    <w:rsid w:val="008902BF"/>
    <w:rsid w:val="00890A92"/>
    <w:rsid w:val="00891A0E"/>
    <w:rsid w:val="00891B03"/>
    <w:rsid w:val="00891CDC"/>
    <w:rsid w:val="00891D0F"/>
    <w:rsid w:val="0089257B"/>
    <w:rsid w:val="008927C3"/>
    <w:rsid w:val="00892906"/>
    <w:rsid w:val="0089368C"/>
    <w:rsid w:val="008941AA"/>
    <w:rsid w:val="008944C6"/>
    <w:rsid w:val="00894982"/>
    <w:rsid w:val="00894F74"/>
    <w:rsid w:val="00895BC4"/>
    <w:rsid w:val="008961E5"/>
    <w:rsid w:val="00896B52"/>
    <w:rsid w:val="00896BE5"/>
    <w:rsid w:val="0089762A"/>
    <w:rsid w:val="00897E5F"/>
    <w:rsid w:val="008A006B"/>
    <w:rsid w:val="008A04FF"/>
    <w:rsid w:val="008A0D73"/>
    <w:rsid w:val="008A0D9C"/>
    <w:rsid w:val="008A0E9D"/>
    <w:rsid w:val="008A1813"/>
    <w:rsid w:val="008A1C94"/>
    <w:rsid w:val="008A3E3E"/>
    <w:rsid w:val="008A4EE3"/>
    <w:rsid w:val="008A54EC"/>
    <w:rsid w:val="008A5524"/>
    <w:rsid w:val="008A6293"/>
    <w:rsid w:val="008A6495"/>
    <w:rsid w:val="008A6B61"/>
    <w:rsid w:val="008A6DC5"/>
    <w:rsid w:val="008A7863"/>
    <w:rsid w:val="008A7961"/>
    <w:rsid w:val="008A7EDD"/>
    <w:rsid w:val="008A7EE7"/>
    <w:rsid w:val="008B0152"/>
    <w:rsid w:val="008B06B3"/>
    <w:rsid w:val="008B0F0B"/>
    <w:rsid w:val="008B29F0"/>
    <w:rsid w:val="008B2A0A"/>
    <w:rsid w:val="008B2A6F"/>
    <w:rsid w:val="008B33CC"/>
    <w:rsid w:val="008B3448"/>
    <w:rsid w:val="008B3587"/>
    <w:rsid w:val="008B4F5F"/>
    <w:rsid w:val="008B52B6"/>
    <w:rsid w:val="008B5487"/>
    <w:rsid w:val="008B5B60"/>
    <w:rsid w:val="008B648C"/>
    <w:rsid w:val="008B69A4"/>
    <w:rsid w:val="008C00A8"/>
    <w:rsid w:val="008C06C8"/>
    <w:rsid w:val="008C1E4A"/>
    <w:rsid w:val="008C2FC0"/>
    <w:rsid w:val="008C4275"/>
    <w:rsid w:val="008C4FEE"/>
    <w:rsid w:val="008C5109"/>
    <w:rsid w:val="008C658D"/>
    <w:rsid w:val="008C65ED"/>
    <w:rsid w:val="008C7D94"/>
    <w:rsid w:val="008D0870"/>
    <w:rsid w:val="008D0AE4"/>
    <w:rsid w:val="008D0CCA"/>
    <w:rsid w:val="008D0F9B"/>
    <w:rsid w:val="008D30C0"/>
    <w:rsid w:val="008D35FA"/>
    <w:rsid w:val="008D39E5"/>
    <w:rsid w:val="008D487A"/>
    <w:rsid w:val="008D4EB9"/>
    <w:rsid w:val="008D5406"/>
    <w:rsid w:val="008D5D88"/>
    <w:rsid w:val="008D60A0"/>
    <w:rsid w:val="008D72E9"/>
    <w:rsid w:val="008E0254"/>
    <w:rsid w:val="008E0562"/>
    <w:rsid w:val="008E14CA"/>
    <w:rsid w:val="008E1505"/>
    <w:rsid w:val="008E226C"/>
    <w:rsid w:val="008E23C4"/>
    <w:rsid w:val="008E28D4"/>
    <w:rsid w:val="008E611E"/>
    <w:rsid w:val="008E6153"/>
    <w:rsid w:val="008E630E"/>
    <w:rsid w:val="008E64B7"/>
    <w:rsid w:val="008E68D4"/>
    <w:rsid w:val="008E6920"/>
    <w:rsid w:val="008E698D"/>
    <w:rsid w:val="008E6BD6"/>
    <w:rsid w:val="008E6D5C"/>
    <w:rsid w:val="008E7704"/>
    <w:rsid w:val="008E7E3F"/>
    <w:rsid w:val="008F045D"/>
    <w:rsid w:val="008F0568"/>
    <w:rsid w:val="008F079C"/>
    <w:rsid w:val="008F0A6B"/>
    <w:rsid w:val="008F0B94"/>
    <w:rsid w:val="008F27BA"/>
    <w:rsid w:val="008F2F18"/>
    <w:rsid w:val="008F3D12"/>
    <w:rsid w:val="008F3DEE"/>
    <w:rsid w:val="008F40EB"/>
    <w:rsid w:val="008F4D1E"/>
    <w:rsid w:val="008F5B73"/>
    <w:rsid w:val="008F748C"/>
    <w:rsid w:val="0090042A"/>
    <w:rsid w:val="00901EFC"/>
    <w:rsid w:val="00902235"/>
    <w:rsid w:val="00902385"/>
    <w:rsid w:val="00902BBE"/>
    <w:rsid w:val="009030AB"/>
    <w:rsid w:val="0090390A"/>
    <w:rsid w:val="00904A66"/>
    <w:rsid w:val="00904B23"/>
    <w:rsid w:val="00905021"/>
    <w:rsid w:val="0090610B"/>
    <w:rsid w:val="009070BB"/>
    <w:rsid w:val="00907260"/>
    <w:rsid w:val="00907C2E"/>
    <w:rsid w:val="00910BE0"/>
    <w:rsid w:val="00910C3D"/>
    <w:rsid w:val="009111C7"/>
    <w:rsid w:val="00911A08"/>
    <w:rsid w:val="00911EF9"/>
    <w:rsid w:val="0091209F"/>
    <w:rsid w:val="009124A5"/>
    <w:rsid w:val="00912924"/>
    <w:rsid w:val="00912C82"/>
    <w:rsid w:val="00912D2C"/>
    <w:rsid w:val="00912E59"/>
    <w:rsid w:val="009132F9"/>
    <w:rsid w:val="00913A74"/>
    <w:rsid w:val="00913CF3"/>
    <w:rsid w:val="00913D67"/>
    <w:rsid w:val="00914092"/>
    <w:rsid w:val="00914AF5"/>
    <w:rsid w:val="0091674A"/>
    <w:rsid w:val="00917616"/>
    <w:rsid w:val="0091769B"/>
    <w:rsid w:val="0092035C"/>
    <w:rsid w:val="00920D02"/>
    <w:rsid w:val="0092139A"/>
    <w:rsid w:val="00921702"/>
    <w:rsid w:val="0092310B"/>
    <w:rsid w:val="00923477"/>
    <w:rsid w:val="00924B39"/>
    <w:rsid w:val="00924BFD"/>
    <w:rsid w:val="00925181"/>
    <w:rsid w:val="0092581F"/>
    <w:rsid w:val="00927E61"/>
    <w:rsid w:val="00927F6E"/>
    <w:rsid w:val="0093129F"/>
    <w:rsid w:val="009317EA"/>
    <w:rsid w:val="00932A32"/>
    <w:rsid w:val="00932E40"/>
    <w:rsid w:val="00933293"/>
    <w:rsid w:val="0093339D"/>
    <w:rsid w:val="00933B46"/>
    <w:rsid w:val="00933C7E"/>
    <w:rsid w:val="00933E67"/>
    <w:rsid w:val="00933F04"/>
    <w:rsid w:val="00934FE9"/>
    <w:rsid w:val="00935050"/>
    <w:rsid w:val="0093597D"/>
    <w:rsid w:val="00935F7C"/>
    <w:rsid w:val="009368CF"/>
    <w:rsid w:val="009373D4"/>
    <w:rsid w:val="00937AC6"/>
    <w:rsid w:val="00937E05"/>
    <w:rsid w:val="009403B8"/>
    <w:rsid w:val="00940A13"/>
    <w:rsid w:val="00941323"/>
    <w:rsid w:val="0094177C"/>
    <w:rsid w:val="009417DC"/>
    <w:rsid w:val="00941E43"/>
    <w:rsid w:val="009420B8"/>
    <w:rsid w:val="00942184"/>
    <w:rsid w:val="0094223C"/>
    <w:rsid w:val="00942E17"/>
    <w:rsid w:val="00943144"/>
    <w:rsid w:val="00943483"/>
    <w:rsid w:val="0094366F"/>
    <w:rsid w:val="009436AC"/>
    <w:rsid w:val="00943DF9"/>
    <w:rsid w:val="009446BF"/>
    <w:rsid w:val="00944D6C"/>
    <w:rsid w:val="009459BB"/>
    <w:rsid w:val="00945A80"/>
    <w:rsid w:val="00950B3A"/>
    <w:rsid w:val="009513CD"/>
    <w:rsid w:val="009527AE"/>
    <w:rsid w:val="0095307B"/>
    <w:rsid w:val="0095529C"/>
    <w:rsid w:val="00955365"/>
    <w:rsid w:val="00955935"/>
    <w:rsid w:val="00955DA1"/>
    <w:rsid w:val="00955E1B"/>
    <w:rsid w:val="00956C97"/>
    <w:rsid w:val="00956D2E"/>
    <w:rsid w:val="0095787D"/>
    <w:rsid w:val="00957B6D"/>
    <w:rsid w:val="00960F9E"/>
    <w:rsid w:val="00961049"/>
    <w:rsid w:val="009618AB"/>
    <w:rsid w:val="00961EF9"/>
    <w:rsid w:val="00962163"/>
    <w:rsid w:val="009621DE"/>
    <w:rsid w:val="00963005"/>
    <w:rsid w:val="00963121"/>
    <w:rsid w:val="009635C6"/>
    <w:rsid w:val="00964689"/>
    <w:rsid w:val="00965531"/>
    <w:rsid w:val="00965EF8"/>
    <w:rsid w:val="00966242"/>
    <w:rsid w:val="00966762"/>
    <w:rsid w:val="00966A5D"/>
    <w:rsid w:val="00967176"/>
    <w:rsid w:val="00967A39"/>
    <w:rsid w:val="00971424"/>
    <w:rsid w:val="00971AAF"/>
    <w:rsid w:val="00973579"/>
    <w:rsid w:val="00973DE2"/>
    <w:rsid w:val="00974AC2"/>
    <w:rsid w:val="00974CBA"/>
    <w:rsid w:val="00975871"/>
    <w:rsid w:val="00975C28"/>
    <w:rsid w:val="0097650F"/>
    <w:rsid w:val="00977387"/>
    <w:rsid w:val="009775B0"/>
    <w:rsid w:val="00980351"/>
    <w:rsid w:val="00980C9A"/>
    <w:rsid w:val="00981AC9"/>
    <w:rsid w:val="00981E15"/>
    <w:rsid w:val="00982FF0"/>
    <w:rsid w:val="00983123"/>
    <w:rsid w:val="009836B0"/>
    <w:rsid w:val="0098395E"/>
    <w:rsid w:val="00983A97"/>
    <w:rsid w:val="00983ABA"/>
    <w:rsid w:val="00983D0D"/>
    <w:rsid w:val="00984538"/>
    <w:rsid w:val="00984A33"/>
    <w:rsid w:val="009852C4"/>
    <w:rsid w:val="009859CE"/>
    <w:rsid w:val="00985E63"/>
    <w:rsid w:val="00986617"/>
    <w:rsid w:val="00986D03"/>
    <w:rsid w:val="009903D5"/>
    <w:rsid w:val="009905FD"/>
    <w:rsid w:val="00990832"/>
    <w:rsid w:val="00990C34"/>
    <w:rsid w:val="00990E69"/>
    <w:rsid w:val="009911EF"/>
    <w:rsid w:val="00991AB1"/>
    <w:rsid w:val="00991B72"/>
    <w:rsid w:val="00992034"/>
    <w:rsid w:val="009922D6"/>
    <w:rsid w:val="009929B4"/>
    <w:rsid w:val="00992CE1"/>
    <w:rsid w:val="00992DB2"/>
    <w:rsid w:val="009939F0"/>
    <w:rsid w:val="0099476B"/>
    <w:rsid w:val="009957F0"/>
    <w:rsid w:val="0099586D"/>
    <w:rsid w:val="009959AA"/>
    <w:rsid w:val="00997B47"/>
    <w:rsid w:val="00997DCF"/>
    <w:rsid w:val="009A0233"/>
    <w:rsid w:val="009A09EC"/>
    <w:rsid w:val="009A0B96"/>
    <w:rsid w:val="009A13BE"/>
    <w:rsid w:val="009A1843"/>
    <w:rsid w:val="009A192F"/>
    <w:rsid w:val="009A1AC6"/>
    <w:rsid w:val="009A4542"/>
    <w:rsid w:val="009A4721"/>
    <w:rsid w:val="009A4A77"/>
    <w:rsid w:val="009A4AEB"/>
    <w:rsid w:val="009A567E"/>
    <w:rsid w:val="009A66A7"/>
    <w:rsid w:val="009A6A73"/>
    <w:rsid w:val="009A6C1C"/>
    <w:rsid w:val="009A7F3A"/>
    <w:rsid w:val="009B0096"/>
    <w:rsid w:val="009B041D"/>
    <w:rsid w:val="009B09EE"/>
    <w:rsid w:val="009B139B"/>
    <w:rsid w:val="009B1C87"/>
    <w:rsid w:val="009B20FE"/>
    <w:rsid w:val="009B24A3"/>
    <w:rsid w:val="009B2FE0"/>
    <w:rsid w:val="009B3EF3"/>
    <w:rsid w:val="009B47B3"/>
    <w:rsid w:val="009B492B"/>
    <w:rsid w:val="009B563E"/>
    <w:rsid w:val="009B5BE0"/>
    <w:rsid w:val="009B61B8"/>
    <w:rsid w:val="009B663A"/>
    <w:rsid w:val="009B6F08"/>
    <w:rsid w:val="009B734C"/>
    <w:rsid w:val="009C077E"/>
    <w:rsid w:val="009C08B3"/>
    <w:rsid w:val="009C0920"/>
    <w:rsid w:val="009C09FA"/>
    <w:rsid w:val="009C12A5"/>
    <w:rsid w:val="009C1A24"/>
    <w:rsid w:val="009C225C"/>
    <w:rsid w:val="009C2CF4"/>
    <w:rsid w:val="009C3ACF"/>
    <w:rsid w:val="009C3BB6"/>
    <w:rsid w:val="009C4B70"/>
    <w:rsid w:val="009C4D1E"/>
    <w:rsid w:val="009C501B"/>
    <w:rsid w:val="009C52C8"/>
    <w:rsid w:val="009C5707"/>
    <w:rsid w:val="009C5C04"/>
    <w:rsid w:val="009C5E1A"/>
    <w:rsid w:val="009C5E8B"/>
    <w:rsid w:val="009C6A7D"/>
    <w:rsid w:val="009C6BB6"/>
    <w:rsid w:val="009C721C"/>
    <w:rsid w:val="009C7459"/>
    <w:rsid w:val="009C77E3"/>
    <w:rsid w:val="009C791E"/>
    <w:rsid w:val="009C7B3A"/>
    <w:rsid w:val="009C7CA0"/>
    <w:rsid w:val="009D0BB0"/>
    <w:rsid w:val="009D1029"/>
    <w:rsid w:val="009D1318"/>
    <w:rsid w:val="009D13B3"/>
    <w:rsid w:val="009D2875"/>
    <w:rsid w:val="009D3818"/>
    <w:rsid w:val="009D472B"/>
    <w:rsid w:val="009D4866"/>
    <w:rsid w:val="009D4B37"/>
    <w:rsid w:val="009D50CE"/>
    <w:rsid w:val="009D57E9"/>
    <w:rsid w:val="009D5A3D"/>
    <w:rsid w:val="009D5B44"/>
    <w:rsid w:val="009D5D5B"/>
    <w:rsid w:val="009D6308"/>
    <w:rsid w:val="009D6750"/>
    <w:rsid w:val="009D69BA"/>
    <w:rsid w:val="009D6D46"/>
    <w:rsid w:val="009D73EB"/>
    <w:rsid w:val="009D7810"/>
    <w:rsid w:val="009E015E"/>
    <w:rsid w:val="009E02A7"/>
    <w:rsid w:val="009E0D52"/>
    <w:rsid w:val="009E184F"/>
    <w:rsid w:val="009E1912"/>
    <w:rsid w:val="009E299F"/>
    <w:rsid w:val="009E2C40"/>
    <w:rsid w:val="009E3489"/>
    <w:rsid w:val="009E3B7C"/>
    <w:rsid w:val="009E4282"/>
    <w:rsid w:val="009E46D8"/>
    <w:rsid w:val="009E5B87"/>
    <w:rsid w:val="009E5EDB"/>
    <w:rsid w:val="009E6108"/>
    <w:rsid w:val="009E6A3D"/>
    <w:rsid w:val="009E731D"/>
    <w:rsid w:val="009E73AA"/>
    <w:rsid w:val="009E73C3"/>
    <w:rsid w:val="009E7EF4"/>
    <w:rsid w:val="009F0D3A"/>
    <w:rsid w:val="009F0E3C"/>
    <w:rsid w:val="009F10C6"/>
    <w:rsid w:val="009F215E"/>
    <w:rsid w:val="009F25E6"/>
    <w:rsid w:val="009F2ECD"/>
    <w:rsid w:val="009F3264"/>
    <w:rsid w:val="009F4572"/>
    <w:rsid w:val="009F5120"/>
    <w:rsid w:val="009F534B"/>
    <w:rsid w:val="009F6B29"/>
    <w:rsid w:val="009F733D"/>
    <w:rsid w:val="009F74B0"/>
    <w:rsid w:val="009F7BD4"/>
    <w:rsid w:val="00A0034D"/>
    <w:rsid w:val="00A00AC8"/>
    <w:rsid w:val="00A00F53"/>
    <w:rsid w:val="00A0216A"/>
    <w:rsid w:val="00A02596"/>
    <w:rsid w:val="00A02B58"/>
    <w:rsid w:val="00A03BF3"/>
    <w:rsid w:val="00A03F9E"/>
    <w:rsid w:val="00A040C5"/>
    <w:rsid w:val="00A04226"/>
    <w:rsid w:val="00A045CE"/>
    <w:rsid w:val="00A04DE2"/>
    <w:rsid w:val="00A05574"/>
    <w:rsid w:val="00A05B9F"/>
    <w:rsid w:val="00A06870"/>
    <w:rsid w:val="00A06EC5"/>
    <w:rsid w:val="00A06F7A"/>
    <w:rsid w:val="00A07209"/>
    <w:rsid w:val="00A07292"/>
    <w:rsid w:val="00A075AE"/>
    <w:rsid w:val="00A10F14"/>
    <w:rsid w:val="00A1182C"/>
    <w:rsid w:val="00A1211C"/>
    <w:rsid w:val="00A14A46"/>
    <w:rsid w:val="00A14E7D"/>
    <w:rsid w:val="00A15C56"/>
    <w:rsid w:val="00A15D7C"/>
    <w:rsid w:val="00A162F6"/>
    <w:rsid w:val="00A16ACD"/>
    <w:rsid w:val="00A17170"/>
    <w:rsid w:val="00A1748D"/>
    <w:rsid w:val="00A17844"/>
    <w:rsid w:val="00A20A1E"/>
    <w:rsid w:val="00A20EB0"/>
    <w:rsid w:val="00A217DE"/>
    <w:rsid w:val="00A21FE3"/>
    <w:rsid w:val="00A22A8C"/>
    <w:rsid w:val="00A23225"/>
    <w:rsid w:val="00A23537"/>
    <w:rsid w:val="00A244AB"/>
    <w:rsid w:val="00A25012"/>
    <w:rsid w:val="00A25142"/>
    <w:rsid w:val="00A2692A"/>
    <w:rsid w:val="00A26CFE"/>
    <w:rsid w:val="00A27148"/>
    <w:rsid w:val="00A272C5"/>
    <w:rsid w:val="00A27397"/>
    <w:rsid w:val="00A274C4"/>
    <w:rsid w:val="00A27F53"/>
    <w:rsid w:val="00A304B4"/>
    <w:rsid w:val="00A30A73"/>
    <w:rsid w:val="00A31DF9"/>
    <w:rsid w:val="00A31EF3"/>
    <w:rsid w:val="00A325D1"/>
    <w:rsid w:val="00A3267C"/>
    <w:rsid w:val="00A32868"/>
    <w:rsid w:val="00A32E9A"/>
    <w:rsid w:val="00A342C6"/>
    <w:rsid w:val="00A348AF"/>
    <w:rsid w:val="00A35920"/>
    <w:rsid w:val="00A36024"/>
    <w:rsid w:val="00A360B2"/>
    <w:rsid w:val="00A3653C"/>
    <w:rsid w:val="00A374DF"/>
    <w:rsid w:val="00A37AC7"/>
    <w:rsid w:val="00A40A24"/>
    <w:rsid w:val="00A40E32"/>
    <w:rsid w:val="00A41DA3"/>
    <w:rsid w:val="00A42527"/>
    <w:rsid w:val="00A42FF2"/>
    <w:rsid w:val="00A434E3"/>
    <w:rsid w:val="00A4400B"/>
    <w:rsid w:val="00A448D6"/>
    <w:rsid w:val="00A44C0C"/>
    <w:rsid w:val="00A4505F"/>
    <w:rsid w:val="00A45940"/>
    <w:rsid w:val="00A466F3"/>
    <w:rsid w:val="00A47272"/>
    <w:rsid w:val="00A473ED"/>
    <w:rsid w:val="00A47499"/>
    <w:rsid w:val="00A4759B"/>
    <w:rsid w:val="00A5072B"/>
    <w:rsid w:val="00A50A38"/>
    <w:rsid w:val="00A52006"/>
    <w:rsid w:val="00A5277B"/>
    <w:rsid w:val="00A528DE"/>
    <w:rsid w:val="00A52CAC"/>
    <w:rsid w:val="00A52F41"/>
    <w:rsid w:val="00A52FD1"/>
    <w:rsid w:val="00A53385"/>
    <w:rsid w:val="00A5359D"/>
    <w:rsid w:val="00A536C2"/>
    <w:rsid w:val="00A54384"/>
    <w:rsid w:val="00A552B0"/>
    <w:rsid w:val="00A55791"/>
    <w:rsid w:val="00A56897"/>
    <w:rsid w:val="00A57516"/>
    <w:rsid w:val="00A60800"/>
    <w:rsid w:val="00A60B87"/>
    <w:rsid w:val="00A60C1E"/>
    <w:rsid w:val="00A61E48"/>
    <w:rsid w:val="00A61EBB"/>
    <w:rsid w:val="00A620B0"/>
    <w:rsid w:val="00A6214B"/>
    <w:rsid w:val="00A621E7"/>
    <w:rsid w:val="00A627AB"/>
    <w:rsid w:val="00A6319D"/>
    <w:rsid w:val="00A63843"/>
    <w:rsid w:val="00A64903"/>
    <w:rsid w:val="00A64B0A"/>
    <w:rsid w:val="00A64C94"/>
    <w:rsid w:val="00A652F9"/>
    <w:rsid w:val="00A66073"/>
    <w:rsid w:val="00A664CF"/>
    <w:rsid w:val="00A66898"/>
    <w:rsid w:val="00A66DC4"/>
    <w:rsid w:val="00A678C0"/>
    <w:rsid w:val="00A7017D"/>
    <w:rsid w:val="00A711E6"/>
    <w:rsid w:val="00A715C7"/>
    <w:rsid w:val="00A72AFB"/>
    <w:rsid w:val="00A73679"/>
    <w:rsid w:val="00A73A18"/>
    <w:rsid w:val="00A75281"/>
    <w:rsid w:val="00A771C8"/>
    <w:rsid w:val="00A773EC"/>
    <w:rsid w:val="00A77847"/>
    <w:rsid w:val="00A80959"/>
    <w:rsid w:val="00A80B2B"/>
    <w:rsid w:val="00A815C2"/>
    <w:rsid w:val="00A8192C"/>
    <w:rsid w:val="00A8302F"/>
    <w:rsid w:val="00A8306E"/>
    <w:rsid w:val="00A84A8E"/>
    <w:rsid w:val="00A8508C"/>
    <w:rsid w:val="00A85E9F"/>
    <w:rsid w:val="00A87B7A"/>
    <w:rsid w:val="00A9217B"/>
    <w:rsid w:val="00A929F4"/>
    <w:rsid w:val="00A9335C"/>
    <w:rsid w:val="00A94D82"/>
    <w:rsid w:val="00A9584D"/>
    <w:rsid w:val="00A95926"/>
    <w:rsid w:val="00A95ED6"/>
    <w:rsid w:val="00A962D4"/>
    <w:rsid w:val="00A96D1A"/>
    <w:rsid w:val="00A97CD6"/>
    <w:rsid w:val="00AA0BF1"/>
    <w:rsid w:val="00AA0DE3"/>
    <w:rsid w:val="00AA12F9"/>
    <w:rsid w:val="00AA1A04"/>
    <w:rsid w:val="00AA1E52"/>
    <w:rsid w:val="00AA1F16"/>
    <w:rsid w:val="00AA1FF6"/>
    <w:rsid w:val="00AA27B1"/>
    <w:rsid w:val="00AA2A0B"/>
    <w:rsid w:val="00AA2CF8"/>
    <w:rsid w:val="00AA3222"/>
    <w:rsid w:val="00AA338E"/>
    <w:rsid w:val="00AA3890"/>
    <w:rsid w:val="00AA398C"/>
    <w:rsid w:val="00AA3B74"/>
    <w:rsid w:val="00AA42F0"/>
    <w:rsid w:val="00AA4C09"/>
    <w:rsid w:val="00AA5316"/>
    <w:rsid w:val="00AA6D4F"/>
    <w:rsid w:val="00AA72AD"/>
    <w:rsid w:val="00AA734E"/>
    <w:rsid w:val="00AB0617"/>
    <w:rsid w:val="00AB076A"/>
    <w:rsid w:val="00AB0792"/>
    <w:rsid w:val="00AB0CE3"/>
    <w:rsid w:val="00AB1857"/>
    <w:rsid w:val="00AB19BF"/>
    <w:rsid w:val="00AB25C7"/>
    <w:rsid w:val="00AB2B89"/>
    <w:rsid w:val="00AB2EDF"/>
    <w:rsid w:val="00AB3D0E"/>
    <w:rsid w:val="00AB416B"/>
    <w:rsid w:val="00AB42AE"/>
    <w:rsid w:val="00AB42B2"/>
    <w:rsid w:val="00AB4D8B"/>
    <w:rsid w:val="00AB4F6A"/>
    <w:rsid w:val="00AB51D6"/>
    <w:rsid w:val="00AB5B4A"/>
    <w:rsid w:val="00AB5DD4"/>
    <w:rsid w:val="00AB728C"/>
    <w:rsid w:val="00AB7592"/>
    <w:rsid w:val="00AB7AB5"/>
    <w:rsid w:val="00AC0298"/>
    <w:rsid w:val="00AC08E0"/>
    <w:rsid w:val="00AC08F5"/>
    <w:rsid w:val="00AC2494"/>
    <w:rsid w:val="00AC31DB"/>
    <w:rsid w:val="00AC344F"/>
    <w:rsid w:val="00AC3462"/>
    <w:rsid w:val="00AC34DA"/>
    <w:rsid w:val="00AC365F"/>
    <w:rsid w:val="00AC3856"/>
    <w:rsid w:val="00AC3C02"/>
    <w:rsid w:val="00AC3DB3"/>
    <w:rsid w:val="00AC45B6"/>
    <w:rsid w:val="00AC48E6"/>
    <w:rsid w:val="00AC50FC"/>
    <w:rsid w:val="00AC5D45"/>
    <w:rsid w:val="00AC5E68"/>
    <w:rsid w:val="00AC6090"/>
    <w:rsid w:val="00AC6715"/>
    <w:rsid w:val="00AC67E0"/>
    <w:rsid w:val="00AC7237"/>
    <w:rsid w:val="00AC7241"/>
    <w:rsid w:val="00AC7537"/>
    <w:rsid w:val="00AC7B20"/>
    <w:rsid w:val="00AC7F88"/>
    <w:rsid w:val="00AD0066"/>
    <w:rsid w:val="00AD0781"/>
    <w:rsid w:val="00AD11BA"/>
    <w:rsid w:val="00AD19FD"/>
    <w:rsid w:val="00AD1CE2"/>
    <w:rsid w:val="00AD34F1"/>
    <w:rsid w:val="00AD43D9"/>
    <w:rsid w:val="00AD44AB"/>
    <w:rsid w:val="00AD5611"/>
    <w:rsid w:val="00AD611B"/>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7B4"/>
    <w:rsid w:val="00AE4B68"/>
    <w:rsid w:val="00AE4DE0"/>
    <w:rsid w:val="00AE4F91"/>
    <w:rsid w:val="00AE57D2"/>
    <w:rsid w:val="00AE63DE"/>
    <w:rsid w:val="00AE64B0"/>
    <w:rsid w:val="00AE747D"/>
    <w:rsid w:val="00AE76F8"/>
    <w:rsid w:val="00AF029B"/>
    <w:rsid w:val="00AF04A4"/>
    <w:rsid w:val="00AF19F6"/>
    <w:rsid w:val="00AF3D31"/>
    <w:rsid w:val="00AF49C8"/>
    <w:rsid w:val="00AF4EEB"/>
    <w:rsid w:val="00AF5569"/>
    <w:rsid w:val="00AF557D"/>
    <w:rsid w:val="00AF5D95"/>
    <w:rsid w:val="00AF62D8"/>
    <w:rsid w:val="00AF6AEA"/>
    <w:rsid w:val="00AF6F7E"/>
    <w:rsid w:val="00AF76F3"/>
    <w:rsid w:val="00AF77DF"/>
    <w:rsid w:val="00B001FD"/>
    <w:rsid w:val="00B00321"/>
    <w:rsid w:val="00B00CF1"/>
    <w:rsid w:val="00B024E6"/>
    <w:rsid w:val="00B026A8"/>
    <w:rsid w:val="00B029E6"/>
    <w:rsid w:val="00B036B3"/>
    <w:rsid w:val="00B041BF"/>
    <w:rsid w:val="00B04CA0"/>
    <w:rsid w:val="00B05083"/>
    <w:rsid w:val="00B06772"/>
    <w:rsid w:val="00B067E8"/>
    <w:rsid w:val="00B06D40"/>
    <w:rsid w:val="00B1008E"/>
    <w:rsid w:val="00B1098F"/>
    <w:rsid w:val="00B10F66"/>
    <w:rsid w:val="00B11854"/>
    <w:rsid w:val="00B119FF"/>
    <w:rsid w:val="00B120EA"/>
    <w:rsid w:val="00B12AB6"/>
    <w:rsid w:val="00B12C6B"/>
    <w:rsid w:val="00B133C5"/>
    <w:rsid w:val="00B13509"/>
    <w:rsid w:val="00B138C5"/>
    <w:rsid w:val="00B13C0C"/>
    <w:rsid w:val="00B13D12"/>
    <w:rsid w:val="00B14220"/>
    <w:rsid w:val="00B1440F"/>
    <w:rsid w:val="00B1485B"/>
    <w:rsid w:val="00B14CB7"/>
    <w:rsid w:val="00B1723C"/>
    <w:rsid w:val="00B1783E"/>
    <w:rsid w:val="00B205ED"/>
    <w:rsid w:val="00B20649"/>
    <w:rsid w:val="00B20714"/>
    <w:rsid w:val="00B20885"/>
    <w:rsid w:val="00B20921"/>
    <w:rsid w:val="00B20A3E"/>
    <w:rsid w:val="00B2151A"/>
    <w:rsid w:val="00B217C0"/>
    <w:rsid w:val="00B2251D"/>
    <w:rsid w:val="00B22840"/>
    <w:rsid w:val="00B23775"/>
    <w:rsid w:val="00B23C9A"/>
    <w:rsid w:val="00B23D79"/>
    <w:rsid w:val="00B23F74"/>
    <w:rsid w:val="00B2436E"/>
    <w:rsid w:val="00B24644"/>
    <w:rsid w:val="00B24BE6"/>
    <w:rsid w:val="00B24C9B"/>
    <w:rsid w:val="00B25234"/>
    <w:rsid w:val="00B258D1"/>
    <w:rsid w:val="00B25920"/>
    <w:rsid w:val="00B2721F"/>
    <w:rsid w:val="00B30112"/>
    <w:rsid w:val="00B305AB"/>
    <w:rsid w:val="00B30E12"/>
    <w:rsid w:val="00B31322"/>
    <w:rsid w:val="00B32277"/>
    <w:rsid w:val="00B327B2"/>
    <w:rsid w:val="00B32EE5"/>
    <w:rsid w:val="00B335D4"/>
    <w:rsid w:val="00B341AA"/>
    <w:rsid w:val="00B3525E"/>
    <w:rsid w:val="00B35A45"/>
    <w:rsid w:val="00B3623A"/>
    <w:rsid w:val="00B36D5E"/>
    <w:rsid w:val="00B37D7A"/>
    <w:rsid w:val="00B40C20"/>
    <w:rsid w:val="00B4115D"/>
    <w:rsid w:val="00B4216B"/>
    <w:rsid w:val="00B42235"/>
    <w:rsid w:val="00B4286B"/>
    <w:rsid w:val="00B42F08"/>
    <w:rsid w:val="00B436FC"/>
    <w:rsid w:val="00B439D4"/>
    <w:rsid w:val="00B43C17"/>
    <w:rsid w:val="00B4406B"/>
    <w:rsid w:val="00B448C1"/>
    <w:rsid w:val="00B45AB9"/>
    <w:rsid w:val="00B4644F"/>
    <w:rsid w:val="00B46684"/>
    <w:rsid w:val="00B46DBB"/>
    <w:rsid w:val="00B46F3D"/>
    <w:rsid w:val="00B47065"/>
    <w:rsid w:val="00B47157"/>
    <w:rsid w:val="00B4724B"/>
    <w:rsid w:val="00B47806"/>
    <w:rsid w:val="00B50261"/>
    <w:rsid w:val="00B50A89"/>
    <w:rsid w:val="00B51653"/>
    <w:rsid w:val="00B5172F"/>
    <w:rsid w:val="00B51D40"/>
    <w:rsid w:val="00B521B2"/>
    <w:rsid w:val="00B52F92"/>
    <w:rsid w:val="00B52FE4"/>
    <w:rsid w:val="00B537E3"/>
    <w:rsid w:val="00B53F48"/>
    <w:rsid w:val="00B54001"/>
    <w:rsid w:val="00B540EC"/>
    <w:rsid w:val="00B54180"/>
    <w:rsid w:val="00B54F74"/>
    <w:rsid w:val="00B554B8"/>
    <w:rsid w:val="00B555E9"/>
    <w:rsid w:val="00B559DA"/>
    <w:rsid w:val="00B5672A"/>
    <w:rsid w:val="00B56A62"/>
    <w:rsid w:val="00B56F55"/>
    <w:rsid w:val="00B5781F"/>
    <w:rsid w:val="00B57DAD"/>
    <w:rsid w:val="00B60184"/>
    <w:rsid w:val="00B606CC"/>
    <w:rsid w:val="00B609DB"/>
    <w:rsid w:val="00B60A30"/>
    <w:rsid w:val="00B6176F"/>
    <w:rsid w:val="00B61964"/>
    <w:rsid w:val="00B61AE9"/>
    <w:rsid w:val="00B61EF4"/>
    <w:rsid w:val="00B6365E"/>
    <w:rsid w:val="00B63C3E"/>
    <w:rsid w:val="00B63C72"/>
    <w:rsid w:val="00B64D41"/>
    <w:rsid w:val="00B6525E"/>
    <w:rsid w:val="00B65A19"/>
    <w:rsid w:val="00B66658"/>
    <w:rsid w:val="00B66B7C"/>
    <w:rsid w:val="00B673E7"/>
    <w:rsid w:val="00B6770C"/>
    <w:rsid w:val="00B67D3E"/>
    <w:rsid w:val="00B7038A"/>
    <w:rsid w:val="00B704AF"/>
    <w:rsid w:val="00B707BB"/>
    <w:rsid w:val="00B71714"/>
    <w:rsid w:val="00B7228B"/>
    <w:rsid w:val="00B7256A"/>
    <w:rsid w:val="00B72946"/>
    <w:rsid w:val="00B7377A"/>
    <w:rsid w:val="00B73B4E"/>
    <w:rsid w:val="00B753AE"/>
    <w:rsid w:val="00B75E31"/>
    <w:rsid w:val="00B7624C"/>
    <w:rsid w:val="00B7663F"/>
    <w:rsid w:val="00B76B53"/>
    <w:rsid w:val="00B7703A"/>
    <w:rsid w:val="00B801D7"/>
    <w:rsid w:val="00B80C28"/>
    <w:rsid w:val="00B814D8"/>
    <w:rsid w:val="00B826CA"/>
    <w:rsid w:val="00B83BAB"/>
    <w:rsid w:val="00B83FE7"/>
    <w:rsid w:val="00B842C7"/>
    <w:rsid w:val="00B852BB"/>
    <w:rsid w:val="00B8657E"/>
    <w:rsid w:val="00B87066"/>
    <w:rsid w:val="00B879D0"/>
    <w:rsid w:val="00B87B7F"/>
    <w:rsid w:val="00B9042D"/>
    <w:rsid w:val="00B90F3B"/>
    <w:rsid w:val="00B90F47"/>
    <w:rsid w:val="00B914A8"/>
    <w:rsid w:val="00B9204C"/>
    <w:rsid w:val="00B92C77"/>
    <w:rsid w:val="00B92FA0"/>
    <w:rsid w:val="00B93126"/>
    <w:rsid w:val="00B935F0"/>
    <w:rsid w:val="00B937FA"/>
    <w:rsid w:val="00B939CE"/>
    <w:rsid w:val="00B9424C"/>
    <w:rsid w:val="00B9438B"/>
    <w:rsid w:val="00B958D0"/>
    <w:rsid w:val="00B970CC"/>
    <w:rsid w:val="00B975DB"/>
    <w:rsid w:val="00B97B52"/>
    <w:rsid w:val="00B97C3A"/>
    <w:rsid w:val="00B97E47"/>
    <w:rsid w:val="00BA015F"/>
    <w:rsid w:val="00BA09B4"/>
    <w:rsid w:val="00BA0AAE"/>
    <w:rsid w:val="00BA16F3"/>
    <w:rsid w:val="00BA181E"/>
    <w:rsid w:val="00BA22C6"/>
    <w:rsid w:val="00BA2F55"/>
    <w:rsid w:val="00BA3129"/>
    <w:rsid w:val="00BA32C0"/>
    <w:rsid w:val="00BA364A"/>
    <w:rsid w:val="00BA373E"/>
    <w:rsid w:val="00BA403D"/>
    <w:rsid w:val="00BA476E"/>
    <w:rsid w:val="00BA4C71"/>
    <w:rsid w:val="00BA4C90"/>
    <w:rsid w:val="00BA583D"/>
    <w:rsid w:val="00BA5A86"/>
    <w:rsid w:val="00BA5D4A"/>
    <w:rsid w:val="00BA6D3A"/>
    <w:rsid w:val="00BA755B"/>
    <w:rsid w:val="00BA7E52"/>
    <w:rsid w:val="00BB03D2"/>
    <w:rsid w:val="00BB1067"/>
    <w:rsid w:val="00BB1442"/>
    <w:rsid w:val="00BB153E"/>
    <w:rsid w:val="00BB1D76"/>
    <w:rsid w:val="00BB2186"/>
    <w:rsid w:val="00BB2432"/>
    <w:rsid w:val="00BB28CB"/>
    <w:rsid w:val="00BB33A4"/>
    <w:rsid w:val="00BB3411"/>
    <w:rsid w:val="00BB36F7"/>
    <w:rsid w:val="00BB44E4"/>
    <w:rsid w:val="00BB4835"/>
    <w:rsid w:val="00BB5B97"/>
    <w:rsid w:val="00BB7FA1"/>
    <w:rsid w:val="00BC0302"/>
    <w:rsid w:val="00BC07FE"/>
    <w:rsid w:val="00BC0C9A"/>
    <w:rsid w:val="00BC156F"/>
    <w:rsid w:val="00BC1915"/>
    <w:rsid w:val="00BC1BD8"/>
    <w:rsid w:val="00BC20F9"/>
    <w:rsid w:val="00BC2F29"/>
    <w:rsid w:val="00BC3005"/>
    <w:rsid w:val="00BC349E"/>
    <w:rsid w:val="00BC3508"/>
    <w:rsid w:val="00BC46C8"/>
    <w:rsid w:val="00BC4E57"/>
    <w:rsid w:val="00BC5D14"/>
    <w:rsid w:val="00BC78E9"/>
    <w:rsid w:val="00BD0291"/>
    <w:rsid w:val="00BD0947"/>
    <w:rsid w:val="00BD1330"/>
    <w:rsid w:val="00BD2305"/>
    <w:rsid w:val="00BD2BCB"/>
    <w:rsid w:val="00BD2C11"/>
    <w:rsid w:val="00BD2E08"/>
    <w:rsid w:val="00BD4151"/>
    <w:rsid w:val="00BD4BF1"/>
    <w:rsid w:val="00BD5C55"/>
    <w:rsid w:val="00BD6043"/>
    <w:rsid w:val="00BD654B"/>
    <w:rsid w:val="00BD6A2C"/>
    <w:rsid w:val="00BD6DED"/>
    <w:rsid w:val="00BD70A2"/>
    <w:rsid w:val="00BD73D2"/>
    <w:rsid w:val="00BE0DE6"/>
    <w:rsid w:val="00BE14B5"/>
    <w:rsid w:val="00BE241B"/>
    <w:rsid w:val="00BE29DF"/>
    <w:rsid w:val="00BE313C"/>
    <w:rsid w:val="00BE392F"/>
    <w:rsid w:val="00BE3E46"/>
    <w:rsid w:val="00BE43A5"/>
    <w:rsid w:val="00BE4E91"/>
    <w:rsid w:val="00BE505E"/>
    <w:rsid w:val="00BE5E9E"/>
    <w:rsid w:val="00BE67B2"/>
    <w:rsid w:val="00BE6CFA"/>
    <w:rsid w:val="00BE76A1"/>
    <w:rsid w:val="00BE789C"/>
    <w:rsid w:val="00BF026F"/>
    <w:rsid w:val="00BF046F"/>
    <w:rsid w:val="00BF08C6"/>
    <w:rsid w:val="00BF0FBC"/>
    <w:rsid w:val="00BF190E"/>
    <w:rsid w:val="00BF1F63"/>
    <w:rsid w:val="00BF2689"/>
    <w:rsid w:val="00BF365F"/>
    <w:rsid w:val="00BF3B5D"/>
    <w:rsid w:val="00BF481F"/>
    <w:rsid w:val="00BF48C0"/>
    <w:rsid w:val="00BF4FFB"/>
    <w:rsid w:val="00BF52D0"/>
    <w:rsid w:val="00BF55CA"/>
    <w:rsid w:val="00BF63FA"/>
    <w:rsid w:val="00BF6CD1"/>
    <w:rsid w:val="00BF6FA4"/>
    <w:rsid w:val="00BF72BA"/>
    <w:rsid w:val="00BF744C"/>
    <w:rsid w:val="00C0102B"/>
    <w:rsid w:val="00C01241"/>
    <w:rsid w:val="00C0194C"/>
    <w:rsid w:val="00C0313D"/>
    <w:rsid w:val="00C034A4"/>
    <w:rsid w:val="00C03917"/>
    <w:rsid w:val="00C03B84"/>
    <w:rsid w:val="00C03D35"/>
    <w:rsid w:val="00C03E8C"/>
    <w:rsid w:val="00C0582D"/>
    <w:rsid w:val="00C068B6"/>
    <w:rsid w:val="00C07779"/>
    <w:rsid w:val="00C07AB9"/>
    <w:rsid w:val="00C10089"/>
    <w:rsid w:val="00C115CF"/>
    <w:rsid w:val="00C11A78"/>
    <w:rsid w:val="00C11D80"/>
    <w:rsid w:val="00C12CD3"/>
    <w:rsid w:val="00C13069"/>
    <w:rsid w:val="00C14EDF"/>
    <w:rsid w:val="00C1638D"/>
    <w:rsid w:val="00C16DCE"/>
    <w:rsid w:val="00C1732B"/>
    <w:rsid w:val="00C2020B"/>
    <w:rsid w:val="00C20CC2"/>
    <w:rsid w:val="00C20CE0"/>
    <w:rsid w:val="00C20D63"/>
    <w:rsid w:val="00C210C1"/>
    <w:rsid w:val="00C21AB3"/>
    <w:rsid w:val="00C21D9F"/>
    <w:rsid w:val="00C22038"/>
    <w:rsid w:val="00C2218E"/>
    <w:rsid w:val="00C23C93"/>
    <w:rsid w:val="00C25AE7"/>
    <w:rsid w:val="00C25E60"/>
    <w:rsid w:val="00C267D0"/>
    <w:rsid w:val="00C26E64"/>
    <w:rsid w:val="00C2734E"/>
    <w:rsid w:val="00C27387"/>
    <w:rsid w:val="00C30F9F"/>
    <w:rsid w:val="00C30FBB"/>
    <w:rsid w:val="00C31038"/>
    <w:rsid w:val="00C3239A"/>
    <w:rsid w:val="00C32492"/>
    <w:rsid w:val="00C3343E"/>
    <w:rsid w:val="00C34FE9"/>
    <w:rsid w:val="00C3526F"/>
    <w:rsid w:val="00C35F9C"/>
    <w:rsid w:val="00C360B5"/>
    <w:rsid w:val="00C365F6"/>
    <w:rsid w:val="00C36A4D"/>
    <w:rsid w:val="00C37622"/>
    <w:rsid w:val="00C37F00"/>
    <w:rsid w:val="00C402CC"/>
    <w:rsid w:val="00C403A8"/>
    <w:rsid w:val="00C408BB"/>
    <w:rsid w:val="00C40C48"/>
    <w:rsid w:val="00C41724"/>
    <w:rsid w:val="00C41D41"/>
    <w:rsid w:val="00C420EE"/>
    <w:rsid w:val="00C426CB"/>
    <w:rsid w:val="00C42EFC"/>
    <w:rsid w:val="00C4335C"/>
    <w:rsid w:val="00C434DB"/>
    <w:rsid w:val="00C43B1C"/>
    <w:rsid w:val="00C449AF"/>
    <w:rsid w:val="00C44CAA"/>
    <w:rsid w:val="00C45E3D"/>
    <w:rsid w:val="00C46F41"/>
    <w:rsid w:val="00C4771B"/>
    <w:rsid w:val="00C47DF2"/>
    <w:rsid w:val="00C51453"/>
    <w:rsid w:val="00C5256C"/>
    <w:rsid w:val="00C527B5"/>
    <w:rsid w:val="00C52F2D"/>
    <w:rsid w:val="00C53109"/>
    <w:rsid w:val="00C53188"/>
    <w:rsid w:val="00C531FC"/>
    <w:rsid w:val="00C532BA"/>
    <w:rsid w:val="00C53CA1"/>
    <w:rsid w:val="00C54375"/>
    <w:rsid w:val="00C5457E"/>
    <w:rsid w:val="00C54A74"/>
    <w:rsid w:val="00C56169"/>
    <w:rsid w:val="00C56D6D"/>
    <w:rsid w:val="00C56E78"/>
    <w:rsid w:val="00C57A42"/>
    <w:rsid w:val="00C6028B"/>
    <w:rsid w:val="00C60352"/>
    <w:rsid w:val="00C6042B"/>
    <w:rsid w:val="00C619CE"/>
    <w:rsid w:val="00C620CF"/>
    <w:rsid w:val="00C6212B"/>
    <w:rsid w:val="00C6315C"/>
    <w:rsid w:val="00C638F6"/>
    <w:rsid w:val="00C641A2"/>
    <w:rsid w:val="00C64A22"/>
    <w:rsid w:val="00C64D99"/>
    <w:rsid w:val="00C64E96"/>
    <w:rsid w:val="00C65963"/>
    <w:rsid w:val="00C65C7A"/>
    <w:rsid w:val="00C65F53"/>
    <w:rsid w:val="00C666A5"/>
    <w:rsid w:val="00C6682D"/>
    <w:rsid w:val="00C66B4C"/>
    <w:rsid w:val="00C6787B"/>
    <w:rsid w:val="00C70176"/>
    <w:rsid w:val="00C70C26"/>
    <w:rsid w:val="00C70D2B"/>
    <w:rsid w:val="00C715CB"/>
    <w:rsid w:val="00C71D05"/>
    <w:rsid w:val="00C71D0C"/>
    <w:rsid w:val="00C72D08"/>
    <w:rsid w:val="00C72D62"/>
    <w:rsid w:val="00C73A06"/>
    <w:rsid w:val="00C74DA8"/>
    <w:rsid w:val="00C74E13"/>
    <w:rsid w:val="00C75BFD"/>
    <w:rsid w:val="00C75EAF"/>
    <w:rsid w:val="00C7692B"/>
    <w:rsid w:val="00C77277"/>
    <w:rsid w:val="00C81BFF"/>
    <w:rsid w:val="00C81FDA"/>
    <w:rsid w:val="00C8224D"/>
    <w:rsid w:val="00C82347"/>
    <w:rsid w:val="00C824CA"/>
    <w:rsid w:val="00C82501"/>
    <w:rsid w:val="00C82866"/>
    <w:rsid w:val="00C8314A"/>
    <w:rsid w:val="00C83890"/>
    <w:rsid w:val="00C83C38"/>
    <w:rsid w:val="00C83C6E"/>
    <w:rsid w:val="00C842ED"/>
    <w:rsid w:val="00C8458D"/>
    <w:rsid w:val="00C847CC"/>
    <w:rsid w:val="00C84CF4"/>
    <w:rsid w:val="00C85035"/>
    <w:rsid w:val="00C8583B"/>
    <w:rsid w:val="00C86609"/>
    <w:rsid w:val="00C86CD5"/>
    <w:rsid w:val="00C86E51"/>
    <w:rsid w:val="00C872C1"/>
    <w:rsid w:val="00C87565"/>
    <w:rsid w:val="00C87AB4"/>
    <w:rsid w:val="00C92425"/>
    <w:rsid w:val="00C928F5"/>
    <w:rsid w:val="00C92CA3"/>
    <w:rsid w:val="00C92E90"/>
    <w:rsid w:val="00C93198"/>
    <w:rsid w:val="00C9356C"/>
    <w:rsid w:val="00C937A1"/>
    <w:rsid w:val="00C93985"/>
    <w:rsid w:val="00C93A83"/>
    <w:rsid w:val="00C94107"/>
    <w:rsid w:val="00C9482B"/>
    <w:rsid w:val="00C94CC3"/>
    <w:rsid w:val="00C9513E"/>
    <w:rsid w:val="00C951C6"/>
    <w:rsid w:val="00C95811"/>
    <w:rsid w:val="00C959D1"/>
    <w:rsid w:val="00C96FA5"/>
    <w:rsid w:val="00C97B10"/>
    <w:rsid w:val="00C97D5A"/>
    <w:rsid w:val="00C97DFE"/>
    <w:rsid w:val="00CA01A3"/>
    <w:rsid w:val="00CA0487"/>
    <w:rsid w:val="00CA092E"/>
    <w:rsid w:val="00CA1BDC"/>
    <w:rsid w:val="00CA1E5C"/>
    <w:rsid w:val="00CA2229"/>
    <w:rsid w:val="00CA2418"/>
    <w:rsid w:val="00CA25B4"/>
    <w:rsid w:val="00CA2753"/>
    <w:rsid w:val="00CA2816"/>
    <w:rsid w:val="00CA3192"/>
    <w:rsid w:val="00CA3301"/>
    <w:rsid w:val="00CA330F"/>
    <w:rsid w:val="00CA43F9"/>
    <w:rsid w:val="00CA484D"/>
    <w:rsid w:val="00CA4CD9"/>
    <w:rsid w:val="00CA5A47"/>
    <w:rsid w:val="00CA5C6C"/>
    <w:rsid w:val="00CA5D81"/>
    <w:rsid w:val="00CA6187"/>
    <w:rsid w:val="00CA655B"/>
    <w:rsid w:val="00CA6831"/>
    <w:rsid w:val="00CA6C25"/>
    <w:rsid w:val="00CB116B"/>
    <w:rsid w:val="00CB11CE"/>
    <w:rsid w:val="00CB17C5"/>
    <w:rsid w:val="00CB25A0"/>
    <w:rsid w:val="00CB2710"/>
    <w:rsid w:val="00CB2969"/>
    <w:rsid w:val="00CB2F2B"/>
    <w:rsid w:val="00CB305A"/>
    <w:rsid w:val="00CB3C4E"/>
    <w:rsid w:val="00CB51AD"/>
    <w:rsid w:val="00CB560B"/>
    <w:rsid w:val="00CB5B9D"/>
    <w:rsid w:val="00CB63C4"/>
    <w:rsid w:val="00CB72BA"/>
    <w:rsid w:val="00CB78D5"/>
    <w:rsid w:val="00CB7920"/>
    <w:rsid w:val="00CC0006"/>
    <w:rsid w:val="00CC0394"/>
    <w:rsid w:val="00CC0D7E"/>
    <w:rsid w:val="00CC0E39"/>
    <w:rsid w:val="00CC160E"/>
    <w:rsid w:val="00CC17C6"/>
    <w:rsid w:val="00CC17CE"/>
    <w:rsid w:val="00CC26C6"/>
    <w:rsid w:val="00CC2E7E"/>
    <w:rsid w:val="00CC3898"/>
    <w:rsid w:val="00CC4F85"/>
    <w:rsid w:val="00CC6513"/>
    <w:rsid w:val="00CC752D"/>
    <w:rsid w:val="00CD04D1"/>
    <w:rsid w:val="00CD05E7"/>
    <w:rsid w:val="00CD06E3"/>
    <w:rsid w:val="00CD23B1"/>
    <w:rsid w:val="00CD2761"/>
    <w:rsid w:val="00CD27AE"/>
    <w:rsid w:val="00CD2A0C"/>
    <w:rsid w:val="00CD342B"/>
    <w:rsid w:val="00CD3DE0"/>
    <w:rsid w:val="00CD548F"/>
    <w:rsid w:val="00CD5AE7"/>
    <w:rsid w:val="00CD6E0E"/>
    <w:rsid w:val="00CD6FB8"/>
    <w:rsid w:val="00CD75AC"/>
    <w:rsid w:val="00CE1279"/>
    <w:rsid w:val="00CE1319"/>
    <w:rsid w:val="00CE14E2"/>
    <w:rsid w:val="00CE19D4"/>
    <w:rsid w:val="00CE1AEC"/>
    <w:rsid w:val="00CE1D00"/>
    <w:rsid w:val="00CE22FE"/>
    <w:rsid w:val="00CE3096"/>
    <w:rsid w:val="00CE3322"/>
    <w:rsid w:val="00CE52F1"/>
    <w:rsid w:val="00CE6358"/>
    <w:rsid w:val="00CE66CD"/>
    <w:rsid w:val="00CE6F46"/>
    <w:rsid w:val="00CE709C"/>
    <w:rsid w:val="00CF0DC7"/>
    <w:rsid w:val="00CF1E2E"/>
    <w:rsid w:val="00CF247A"/>
    <w:rsid w:val="00CF273A"/>
    <w:rsid w:val="00CF27CE"/>
    <w:rsid w:val="00CF2F6F"/>
    <w:rsid w:val="00CF37EA"/>
    <w:rsid w:val="00CF3BEE"/>
    <w:rsid w:val="00CF3E8E"/>
    <w:rsid w:val="00CF4008"/>
    <w:rsid w:val="00CF4309"/>
    <w:rsid w:val="00CF5928"/>
    <w:rsid w:val="00CF63A9"/>
    <w:rsid w:val="00CF6E90"/>
    <w:rsid w:val="00CF701F"/>
    <w:rsid w:val="00CF7290"/>
    <w:rsid w:val="00CF7384"/>
    <w:rsid w:val="00CF744B"/>
    <w:rsid w:val="00CF7BAE"/>
    <w:rsid w:val="00CF7D35"/>
    <w:rsid w:val="00D00178"/>
    <w:rsid w:val="00D01437"/>
    <w:rsid w:val="00D01643"/>
    <w:rsid w:val="00D0243C"/>
    <w:rsid w:val="00D02E0B"/>
    <w:rsid w:val="00D03504"/>
    <w:rsid w:val="00D0354F"/>
    <w:rsid w:val="00D04A06"/>
    <w:rsid w:val="00D04A0D"/>
    <w:rsid w:val="00D05042"/>
    <w:rsid w:val="00D05267"/>
    <w:rsid w:val="00D05AEC"/>
    <w:rsid w:val="00D05D3B"/>
    <w:rsid w:val="00D05FD7"/>
    <w:rsid w:val="00D06271"/>
    <w:rsid w:val="00D078AE"/>
    <w:rsid w:val="00D100D5"/>
    <w:rsid w:val="00D1125B"/>
    <w:rsid w:val="00D11717"/>
    <w:rsid w:val="00D11878"/>
    <w:rsid w:val="00D118D4"/>
    <w:rsid w:val="00D11B03"/>
    <w:rsid w:val="00D133FC"/>
    <w:rsid w:val="00D13AB0"/>
    <w:rsid w:val="00D13E8A"/>
    <w:rsid w:val="00D1430B"/>
    <w:rsid w:val="00D14594"/>
    <w:rsid w:val="00D154D2"/>
    <w:rsid w:val="00D15F6B"/>
    <w:rsid w:val="00D16283"/>
    <w:rsid w:val="00D16833"/>
    <w:rsid w:val="00D16FAC"/>
    <w:rsid w:val="00D17B90"/>
    <w:rsid w:val="00D17F95"/>
    <w:rsid w:val="00D21197"/>
    <w:rsid w:val="00D2154F"/>
    <w:rsid w:val="00D2170D"/>
    <w:rsid w:val="00D218B9"/>
    <w:rsid w:val="00D22446"/>
    <w:rsid w:val="00D225AA"/>
    <w:rsid w:val="00D23AC8"/>
    <w:rsid w:val="00D24164"/>
    <w:rsid w:val="00D245BC"/>
    <w:rsid w:val="00D251D5"/>
    <w:rsid w:val="00D256C3"/>
    <w:rsid w:val="00D2591F"/>
    <w:rsid w:val="00D25AA6"/>
    <w:rsid w:val="00D26744"/>
    <w:rsid w:val="00D26C7A"/>
    <w:rsid w:val="00D26E06"/>
    <w:rsid w:val="00D27604"/>
    <w:rsid w:val="00D3037C"/>
    <w:rsid w:val="00D309B3"/>
    <w:rsid w:val="00D31412"/>
    <w:rsid w:val="00D31A82"/>
    <w:rsid w:val="00D31DD2"/>
    <w:rsid w:val="00D32830"/>
    <w:rsid w:val="00D330DB"/>
    <w:rsid w:val="00D3336C"/>
    <w:rsid w:val="00D33462"/>
    <w:rsid w:val="00D33B9B"/>
    <w:rsid w:val="00D33C77"/>
    <w:rsid w:val="00D33D79"/>
    <w:rsid w:val="00D350E0"/>
    <w:rsid w:val="00D357E0"/>
    <w:rsid w:val="00D374EF"/>
    <w:rsid w:val="00D376DF"/>
    <w:rsid w:val="00D42DFC"/>
    <w:rsid w:val="00D4313C"/>
    <w:rsid w:val="00D4365D"/>
    <w:rsid w:val="00D43C63"/>
    <w:rsid w:val="00D43F41"/>
    <w:rsid w:val="00D44255"/>
    <w:rsid w:val="00D44479"/>
    <w:rsid w:val="00D45482"/>
    <w:rsid w:val="00D45DB6"/>
    <w:rsid w:val="00D4665B"/>
    <w:rsid w:val="00D47036"/>
    <w:rsid w:val="00D478C2"/>
    <w:rsid w:val="00D479A8"/>
    <w:rsid w:val="00D50165"/>
    <w:rsid w:val="00D501BD"/>
    <w:rsid w:val="00D5061C"/>
    <w:rsid w:val="00D50D47"/>
    <w:rsid w:val="00D50F11"/>
    <w:rsid w:val="00D51E49"/>
    <w:rsid w:val="00D52AFF"/>
    <w:rsid w:val="00D52F6C"/>
    <w:rsid w:val="00D531FE"/>
    <w:rsid w:val="00D534A7"/>
    <w:rsid w:val="00D53613"/>
    <w:rsid w:val="00D53941"/>
    <w:rsid w:val="00D53CA0"/>
    <w:rsid w:val="00D53E7F"/>
    <w:rsid w:val="00D54BD4"/>
    <w:rsid w:val="00D54F90"/>
    <w:rsid w:val="00D5552C"/>
    <w:rsid w:val="00D570B9"/>
    <w:rsid w:val="00D57769"/>
    <w:rsid w:val="00D600B5"/>
    <w:rsid w:val="00D616DB"/>
    <w:rsid w:val="00D61EDD"/>
    <w:rsid w:val="00D623AC"/>
    <w:rsid w:val="00D623EB"/>
    <w:rsid w:val="00D62F48"/>
    <w:rsid w:val="00D6360C"/>
    <w:rsid w:val="00D63AF9"/>
    <w:rsid w:val="00D64866"/>
    <w:rsid w:val="00D6586E"/>
    <w:rsid w:val="00D65AF9"/>
    <w:rsid w:val="00D6740D"/>
    <w:rsid w:val="00D67AEA"/>
    <w:rsid w:val="00D67F57"/>
    <w:rsid w:val="00D70984"/>
    <w:rsid w:val="00D70C1E"/>
    <w:rsid w:val="00D72B59"/>
    <w:rsid w:val="00D7331B"/>
    <w:rsid w:val="00D73667"/>
    <w:rsid w:val="00D74149"/>
    <w:rsid w:val="00D74FEB"/>
    <w:rsid w:val="00D75DE1"/>
    <w:rsid w:val="00D76034"/>
    <w:rsid w:val="00D7624E"/>
    <w:rsid w:val="00D763CA"/>
    <w:rsid w:val="00D76672"/>
    <w:rsid w:val="00D76A07"/>
    <w:rsid w:val="00D76C5E"/>
    <w:rsid w:val="00D77E18"/>
    <w:rsid w:val="00D803FB"/>
    <w:rsid w:val="00D809B5"/>
    <w:rsid w:val="00D813D1"/>
    <w:rsid w:val="00D81445"/>
    <w:rsid w:val="00D827C2"/>
    <w:rsid w:val="00D8354D"/>
    <w:rsid w:val="00D843DD"/>
    <w:rsid w:val="00D85DB0"/>
    <w:rsid w:val="00D86403"/>
    <w:rsid w:val="00D8685F"/>
    <w:rsid w:val="00D8787C"/>
    <w:rsid w:val="00D903EC"/>
    <w:rsid w:val="00D90726"/>
    <w:rsid w:val="00D90E4D"/>
    <w:rsid w:val="00D91167"/>
    <w:rsid w:val="00D91708"/>
    <w:rsid w:val="00D91851"/>
    <w:rsid w:val="00D91FA0"/>
    <w:rsid w:val="00D91FCF"/>
    <w:rsid w:val="00D92477"/>
    <w:rsid w:val="00D924F8"/>
    <w:rsid w:val="00D92B14"/>
    <w:rsid w:val="00D92BE8"/>
    <w:rsid w:val="00D93905"/>
    <w:rsid w:val="00D9408F"/>
    <w:rsid w:val="00D94808"/>
    <w:rsid w:val="00D948C4"/>
    <w:rsid w:val="00D94911"/>
    <w:rsid w:val="00D94B1B"/>
    <w:rsid w:val="00D953FB"/>
    <w:rsid w:val="00D95413"/>
    <w:rsid w:val="00D96693"/>
    <w:rsid w:val="00D96920"/>
    <w:rsid w:val="00D96DD2"/>
    <w:rsid w:val="00D97845"/>
    <w:rsid w:val="00D97EF1"/>
    <w:rsid w:val="00DA0265"/>
    <w:rsid w:val="00DA048C"/>
    <w:rsid w:val="00DA0C96"/>
    <w:rsid w:val="00DA1844"/>
    <w:rsid w:val="00DA281D"/>
    <w:rsid w:val="00DA364B"/>
    <w:rsid w:val="00DA3B4D"/>
    <w:rsid w:val="00DA3CC2"/>
    <w:rsid w:val="00DA4417"/>
    <w:rsid w:val="00DA5006"/>
    <w:rsid w:val="00DA5E7A"/>
    <w:rsid w:val="00DA7824"/>
    <w:rsid w:val="00DB0961"/>
    <w:rsid w:val="00DB0A8E"/>
    <w:rsid w:val="00DB1194"/>
    <w:rsid w:val="00DB1697"/>
    <w:rsid w:val="00DB1BD6"/>
    <w:rsid w:val="00DB1C7E"/>
    <w:rsid w:val="00DB328B"/>
    <w:rsid w:val="00DB3778"/>
    <w:rsid w:val="00DB41AE"/>
    <w:rsid w:val="00DB4299"/>
    <w:rsid w:val="00DB44E9"/>
    <w:rsid w:val="00DB563B"/>
    <w:rsid w:val="00DB59DA"/>
    <w:rsid w:val="00DB642E"/>
    <w:rsid w:val="00DB7922"/>
    <w:rsid w:val="00DB7EEC"/>
    <w:rsid w:val="00DC0055"/>
    <w:rsid w:val="00DC02C6"/>
    <w:rsid w:val="00DC08A0"/>
    <w:rsid w:val="00DC0977"/>
    <w:rsid w:val="00DC1531"/>
    <w:rsid w:val="00DC1835"/>
    <w:rsid w:val="00DC1D67"/>
    <w:rsid w:val="00DC22DB"/>
    <w:rsid w:val="00DC2472"/>
    <w:rsid w:val="00DC2C43"/>
    <w:rsid w:val="00DC3176"/>
    <w:rsid w:val="00DC3953"/>
    <w:rsid w:val="00DC45E8"/>
    <w:rsid w:val="00DC4689"/>
    <w:rsid w:val="00DC47E0"/>
    <w:rsid w:val="00DC5079"/>
    <w:rsid w:val="00DC5C08"/>
    <w:rsid w:val="00DC725D"/>
    <w:rsid w:val="00DC7515"/>
    <w:rsid w:val="00DC7F79"/>
    <w:rsid w:val="00DD0E8F"/>
    <w:rsid w:val="00DD0F4C"/>
    <w:rsid w:val="00DD16D6"/>
    <w:rsid w:val="00DD1915"/>
    <w:rsid w:val="00DD1B5C"/>
    <w:rsid w:val="00DD1C11"/>
    <w:rsid w:val="00DD2036"/>
    <w:rsid w:val="00DD20B3"/>
    <w:rsid w:val="00DD2806"/>
    <w:rsid w:val="00DD3B8A"/>
    <w:rsid w:val="00DD3D31"/>
    <w:rsid w:val="00DD3E0D"/>
    <w:rsid w:val="00DD3F80"/>
    <w:rsid w:val="00DD4270"/>
    <w:rsid w:val="00DD502F"/>
    <w:rsid w:val="00DD56FC"/>
    <w:rsid w:val="00DD641C"/>
    <w:rsid w:val="00DD7D42"/>
    <w:rsid w:val="00DD7F64"/>
    <w:rsid w:val="00DE0163"/>
    <w:rsid w:val="00DE058A"/>
    <w:rsid w:val="00DE0A95"/>
    <w:rsid w:val="00DE13AB"/>
    <w:rsid w:val="00DE16D6"/>
    <w:rsid w:val="00DE1B4B"/>
    <w:rsid w:val="00DE3083"/>
    <w:rsid w:val="00DE4813"/>
    <w:rsid w:val="00DE4B69"/>
    <w:rsid w:val="00DE4DFA"/>
    <w:rsid w:val="00DE4E46"/>
    <w:rsid w:val="00DE4FC0"/>
    <w:rsid w:val="00DE518F"/>
    <w:rsid w:val="00DE5945"/>
    <w:rsid w:val="00DE59D6"/>
    <w:rsid w:val="00DE7B57"/>
    <w:rsid w:val="00DF00EC"/>
    <w:rsid w:val="00DF0182"/>
    <w:rsid w:val="00DF0294"/>
    <w:rsid w:val="00DF041E"/>
    <w:rsid w:val="00DF19ED"/>
    <w:rsid w:val="00DF1B1D"/>
    <w:rsid w:val="00DF1FFB"/>
    <w:rsid w:val="00DF244A"/>
    <w:rsid w:val="00DF2934"/>
    <w:rsid w:val="00DF30F3"/>
    <w:rsid w:val="00DF33E2"/>
    <w:rsid w:val="00DF3829"/>
    <w:rsid w:val="00DF4539"/>
    <w:rsid w:val="00DF491A"/>
    <w:rsid w:val="00DF4AF3"/>
    <w:rsid w:val="00DF5220"/>
    <w:rsid w:val="00DF6278"/>
    <w:rsid w:val="00DF656E"/>
    <w:rsid w:val="00DF6F7E"/>
    <w:rsid w:val="00DF7530"/>
    <w:rsid w:val="00DF7F12"/>
    <w:rsid w:val="00E008FD"/>
    <w:rsid w:val="00E0108F"/>
    <w:rsid w:val="00E012D2"/>
    <w:rsid w:val="00E01539"/>
    <w:rsid w:val="00E02A7A"/>
    <w:rsid w:val="00E036C5"/>
    <w:rsid w:val="00E03802"/>
    <w:rsid w:val="00E03909"/>
    <w:rsid w:val="00E041A4"/>
    <w:rsid w:val="00E04397"/>
    <w:rsid w:val="00E0496A"/>
    <w:rsid w:val="00E04B6F"/>
    <w:rsid w:val="00E04BB5"/>
    <w:rsid w:val="00E0603C"/>
    <w:rsid w:val="00E06E6E"/>
    <w:rsid w:val="00E0753F"/>
    <w:rsid w:val="00E10B8D"/>
    <w:rsid w:val="00E10FF2"/>
    <w:rsid w:val="00E1147A"/>
    <w:rsid w:val="00E115DF"/>
    <w:rsid w:val="00E1215F"/>
    <w:rsid w:val="00E127A9"/>
    <w:rsid w:val="00E12C8E"/>
    <w:rsid w:val="00E12D3A"/>
    <w:rsid w:val="00E1458E"/>
    <w:rsid w:val="00E15AFB"/>
    <w:rsid w:val="00E15D48"/>
    <w:rsid w:val="00E162DA"/>
    <w:rsid w:val="00E17398"/>
    <w:rsid w:val="00E20441"/>
    <w:rsid w:val="00E21059"/>
    <w:rsid w:val="00E221D8"/>
    <w:rsid w:val="00E230B2"/>
    <w:rsid w:val="00E24C3B"/>
    <w:rsid w:val="00E24D40"/>
    <w:rsid w:val="00E24E37"/>
    <w:rsid w:val="00E250B5"/>
    <w:rsid w:val="00E254A4"/>
    <w:rsid w:val="00E2559F"/>
    <w:rsid w:val="00E26170"/>
    <w:rsid w:val="00E269ED"/>
    <w:rsid w:val="00E26A96"/>
    <w:rsid w:val="00E300DE"/>
    <w:rsid w:val="00E302CD"/>
    <w:rsid w:val="00E30A13"/>
    <w:rsid w:val="00E30B72"/>
    <w:rsid w:val="00E31BA5"/>
    <w:rsid w:val="00E31C5C"/>
    <w:rsid w:val="00E3238B"/>
    <w:rsid w:val="00E32471"/>
    <w:rsid w:val="00E3266C"/>
    <w:rsid w:val="00E33DBC"/>
    <w:rsid w:val="00E34C7F"/>
    <w:rsid w:val="00E3662D"/>
    <w:rsid w:val="00E36D1E"/>
    <w:rsid w:val="00E379E1"/>
    <w:rsid w:val="00E37A5A"/>
    <w:rsid w:val="00E40C5B"/>
    <w:rsid w:val="00E414DB"/>
    <w:rsid w:val="00E41AE0"/>
    <w:rsid w:val="00E42357"/>
    <w:rsid w:val="00E438A6"/>
    <w:rsid w:val="00E44383"/>
    <w:rsid w:val="00E455B0"/>
    <w:rsid w:val="00E45D45"/>
    <w:rsid w:val="00E46CFE"/>
    <w:rsid w:val="00E502DD"/>
    <w:rsid w:val="00E508E5"/>
    <w:rsid w:val="00E51066"/>
    <w:rsid w:val="00E5136F"/>
    <w:rsid w:val="00E51934"/>
    <w:rsid w:val="00E5246E"/>
    <w:rsid w:val="00E5289C"/>
    <w:rsid w:val="00E52A7B"/>
    <w:rsid w:val="00E53018"/>
    <w:rsid w:val="00E539A9"/>
    <w:rsid w:val="00E54679"/>
    <w:rsid w:val="00E54D93"/>
    <w:rsid w:val="00E551AD"/>
    <w:rsid w:val="00E56B2D"/>
    <w:rsid w:val="00E56B77"/>
    <w:rsid w:val="00E56C69"/>
    <w:rsid w:val="00E57790"/>
    <w:rsid w:val="00E60452"/>
    <w:rsid w:val="00E60DF6"/>
    <w:rsid w:val="00E61C51"/>
    <w:rsid w:val="00E632DA"/>
    <w:rsid w:val="00E633A4"/>
    <w:rsid w:val="00E63521"/>
    <w:rsid w:val="00E6395E"/>
    <w:rsid w:val="00E63F7B"/>
    <w:rsid w:val="00E63FFF"/>
    <w:rsid w:val="00E6402C"/>
    <w:rsid w:val="00E640AA"/>
    <w:rsid w:val="00E663D2"/>
    <w:rsid w:val="00E664D1"/>
    <w:rsid w:val="00E66840"/>
    <w:rsid w:val="00E66F03"/>
    <w:rsid w:val="00E674BA"/>
    <w:rsid w:val="00E67583"/>
    <w:rsid w:val="00E678D2"/>
    <w:rsid w:val="00E67A8D"/>
    <w:rsid w:val="00E70154"/>
    <w:rsid w:val="00E70886"/>
    <w:rsid w:val="00E7095F"/>
    <w:rsid w:val="00E70EAD"/>
    <w:rsid w:val="00E71889"/>
    <w:rsid w:val="00E71DDB"/>
    <w:rsid w:val="00E726CF"/>
    <w:rsid w:val="00E727FC"/>
    <w:rsid w:val="00E72928"/>
    <w:rsid w:val="00E72D84"/>
    <w:rsid w:val="00E72DD4"/>
    <w:rsid w:val="00E7310B"/>
    <w:rsid w:val="00E7396C"/>
    <w:rsid w:val="00E73A2A"/>
    <w:rsid w:val="00E73BCA"/>
    <w:rsid w:val="00E73D75"/>
    <w:rsid w:val="00E74067"/>
    <w:rsid w:val="00E74305"/>
    <w:rsid w:val="00E7491A"/>
    <w:rsid w:val="00E74E86"/>
    <w:rsid w:val="00E75533"/>
    <w:rsid w:val="00E7569D"/>
    <w:rsid w:val="00E75795"/>
    <w:rsid w:val="00E7587B"/>
    <w:rsid w:val="00E75AEC"/>
    <w:rsid w:val="00E75CA6"/>
    <w:rsid w:val="00E764AC"/>
    <w:rsid w:val="00E76B60"/>
    <w:rsid w:val="00E76FB2"/>
    <w:rsid w:val="00E8045C"/>
    <w:rsid w:val="00E80EEC"/>
    <w:rsid w:val="00E81F43"/>
    <w:rsid w:val="00E82685"/>
    <w:rsid w:val="00E82780"/>
    <w:rsid w:val="00E82CEA"/>
    <w:rsid w:val="00E83BEF"/>
    <w:rsid w:val="00E83FB9"/>
    <w:rsid w:val="00E842EB"/>
    <w:rsid w:val="00E84659"/>
    <w:rsid w:val="00E84936"/>
    <w:rsid w:val="00E8509D"/>
    <w:rsid w:val="00E85DB7"/>
    <w:rsid w:val="00E85EC6"/>
    <w:rsid w:val="00E8607F"/>
    <w:rsid w:val="00E860B3"/>
    <w:rsid w:val="00E86892"/>
    <w:rsid w:val="00E86CA3"/>
    <w:rsid w:val="00E90842"/>
    <w:rsid w:val="00E9131F"/>
    <w:rsid w:val="00E9165C"/>
    <w:rsid w:val="00E91868"/>
    <w:rsid w:val="00E91C57"/>
    <w:rsid w:val="00E92023"/>
    <w:rsid w:val="00E92CDB"/>
    <w:rsid w:val="00E943E3"/>
    <w:rsid w:val="00E94A5C"/>
    <w:rsid w:val="00E95C53"/>
    <w:rsid w:val="00E95CBC"/>
    <w:rsid w:val="00E9625C"/>
    <w:rsid w:val="00E96369"/>
    <w:rsid w:val="00E97091"/>
    <w:rsid w:val="00E973AA"/>
    <w:rsid w:val="00E978F1"/>
    <w:rsid w:val="00E97A59"/>
    <w:rsid w:val="00E97AD4"/>
    <w:rsid w:val="00E97D28"/>
    <w:rsid w:val="00E97EA1"/>
    <w:rsid w:val="00EA008D"/>
    <w:rsid w:val="00EA1664"/>
    <w:rsid w:val="00EA1B15"/>
    <w:rsid w:val="00EA1D43"/>
    <w:rsid w:val="00EA2219"/>
    <w:rsid w:val="00EA23A0"/>
    <w:rsid w:val="00EA2730"/>
    <w:rsid w:val="00EA35D1"/>
    <w:rsid w:val="00EA411E"/>
    <w:rsid w:val="00EA5161"/>
    <w:rsid w:val="00EA52AF"/>
    <w:rsid w:val="00EA5A54"/>
    <w:rsid w:val="00EA5A58"/>
    <w:rsid w:val="00EA5B5A"/>
    <w:rsid w:val="00EA5E7B"/>
    <w:rsid w:val="00EA6221"/>
    <w:rsid w:val="00EA6BDF"/>
    <w:rsid w:val="00EA6D29"/>
    <w:rsid w:val="00EA6F25"/>
    <w:rsid w:val="00EA75E8"/>
    <w:rsid w:val="00EA7636"/>
    <w:rsid w:val="00EA7AB5"/>
    <w:rsid w:val="00EA7CCB"/>
    <w:rsid w:val="00EA7F20"/>
    <w:rsid w:val="00EB0D23"/>
    <w:rsid w:val="00EB16D4"/>
    <w:rsid w:val="00EB1CF9"/>
    <w:rsid w:val="00EB2EA0"/>
    <w:rsid w:val="00EB38BD"/>
    <w:rsid w:val="00EB411E"/>
    <w:rsid w:val="00EB4442"/>
    <w:rsid w:val="00EB59AD"/>
    <w:rsid w:val="00EB5E9E"/>
    <w:rsid w:val="00EB6174"/>
    <w:rsid w:val="00EB68CB"/>
    <w:rsid w:val="00EB6E08"/>
    <w:rsid w:val="00EB6E60"/>
    <w:rsid w:val="00EB7788"/>
    <w:rsid w:val="00EB7C18"/>
    <w:rsid w:val="00EB7ED5"/>
    <w:rsid w:val="00EC0796"/>
    <w:rsid w:val="00EC0E80"/>
    <w:rsid w:val="00EC1CB3"/>
    <w:rsid w:val="00EC1D3E"/>
    <w:rsid w:val="00EC22BD"/>
    <w:rsid w:val="00EC249D"/>
    <w:rsid w:val="00EC36E1"/>
    <w:rsid w:val="00EC3742"/>
    <w:rsid w:val="00EC49C4"/>
    <w:rsid w:val="00EC49FA"/>
    <w:rsid w:val="00EC5500"/>
    <w:rsid w:val="00EC57AD"/>
    <w:rsid w:val="00EC61AE"/>
    <w:rsid w:val="00EC6C5A"/>
    <w:rsid w:val="00EC6F5C"/>
    <w:rsid w:val="00ED1D9C"/>
    <w:rsid w:val="00ED2390"/>
    <w:rsid w:val="00ED38D7"/>
    <w:rsid w:val="00ED3B76"/>
    <w:rsid w:val="00ED3F02"/>
    <w:rsid w:val="00ED4237"/>
    <w:rsid w:val="00ED4A17"/>
    <w:rsid w:val="00ED5C60"/>
    <w:rsid w:val="00ED5D72"/>
    <w:rsid w:val="00ED66D9"/>
    <w:rsid w:val="00ED6DD4"/>
    <w:rsid w:val="00ED7004"/>
    <w:rsid w:val="00ED786A"/>
    <w:rsid w:val="00ED7A25"/>
    <w:rsid w:val="00ED7ADE"/>
    <w:rsid w:val="00ED7B47"/>
    <w:rsid w:val="00ED7E11"/>
    <w:rsid w:val="00EE0335"/>
    <w:rsid w:val="00EE0F06"/>
    <w:rsid w:val="00EE1862"/>
    <w:rsid w:val="00EE1DBC"/>
    <w:rsid w:val="00EE354F"/>
    <w:rsid w:val="00EE418A"/>
    <w:rsid w:val="00EE492E"/>
    <w:rsid w:val="00EE4D12"/>
    <w:rsid w:val="00EE4D57"/>
    <w:rsid w:val="00EE4D8B"/>
    <w:rsid w:val="00EE5015"/>
    <w:rsid w:val="00EE520C"/>
    <w:rsid w:val="00EE5287"/>
    <w:rsid w:val="00EE54F8"/>
    <w:rsid w:val="00EE6BE5"/>
    <w:rsid w:val="00EE7056"/>
    <w:rsid w:val="00EE711F"/>
    <w:rsid w:val="00EE7A86"/>
    <w:rsid w:val="00EF0B26"/>
    <w:rsid w:val="00EF0D11"/>
    <w:rsid w:val="00EF104C"/>
    <w:rsid w:val="00EF11EB"/>
    <w:rsid w:val="00EF35B3"/>
    <w:rsid w:val="00EF3B68"/>
    <w:rsid w:val="00EF3E91"/>
    <w:rsid w:val="00EF40B6"/>
    <w:rsid w:val="00EF450D"/>
    <w:rsid w:val="00EF4D00"/>
    <w:rsid w:val="00EF561A"/>
    <w:rsid w:val="00EF5629"/>
    <w:rsid w:val="00EF5817"/>
    <w:rsid w:val="00EF5F8D"/>
    <w:rsid w:val="00EF6C7C"/>
    <w:rsid w:val="00EF74C1"/>
    <w:rsid w:val="00F011BD"/>
    <w:rsid w:val="00F013D7"/>
    <w:rsid w:val="00F0181B"/>
    <w:rsid w:val="00F0202E"/>
    <w:rsid w:val="00F02196"/>
    <w:rsid w:val="00F02F6D"/>
    <w:rsid w:val="00F031E9"/>
    <w:rsid w:val="00F0320A"/>
    <w:rsid w:val="00F037AB"/>
    <w:rsid w:val="00F037E8"/>
    <w:rsid w:val="00F04153"/>
    <w:rsid w:val="00F0454D"/>
    <w:rsid w:val="00F0478D"/>
    <w:rsid w:val="00F04823"/>
    <w:rsid w:val="00F06E08"/>
    <w:rsid w:val="00F072DF"/>
    <w:rsid w:val="00F0761E"/>
    <w:rsid w:val="00F077A2"/>
    <w:rsid w:val="00F10DA9"/>
    <w:rsid w:val="00F11BAD"/>
    <w:rsid w:val="00F11DAA"/>
    <w:rsid w:val="00F12168"/>
    <w:rsid w:val="00F124C2"/>
    <w:rsid w:val="00F12711"/>
    <w:rsid w:val="00F13101"/>
    <w:rsid w:val="00F13286"/>
    <w:rsid w:val="00F1374C"/>
    <w:rsid w:val="00F137B7"/>
    <w:rsid w:val="00F13B91"/>
    <w:rsid w:val="00F13BE6"/>
    <w:rsid w:val="00F13DF8"/>
    <w:rsid w:val="00F13E88"/>
    <w:rsid w:val="00F1441D"/>
    <w:rsid w:val="00F148C4"/>
    <w:rsid w:val="00F14CB1"/>
    <w:rsid w:val="00F1591D"/>
    <w:rsid w:val="00F15D8F"/>
    <w:rsid w:val="00F1687B"/>
    <w:rsid w:val="00F17468"/>
    <w:rsid w:val="00F17EDB"/>
    <w:rsid w:val="00F20086"/>
    <w:rsid w:val="00F20743"/>
    <w:rsid w:val="00F210E5"/>
    <w:rsid w:val="00F213DB"/>
    <w:rsid w:val="00F22216"/>
    <w:rsid w:val="00F22868"/>
    <w:rsid w:val="00F229D2"/>
    <w:rsid w:val="00F22F7F"/>
    <w:rsid w:val="00F233C8"/>
    <w:rsid w:val="00F237C5"/>
    <w:rsid w:val="00F2440E"/>
    <w:rsid w:val="00F247B9"/>
    <w:rsid w:val="00F24D5C"/>
    <w:rsid w:val="00F2520E"/>
    <w:rsid w:val="00F25534"/>
    <w:rsid w:val="00F25D94"/>
    <w:rsid w:val="00F25FAD"/>
    <w:rsid w:val="00F26F32"/>
    <w:rsid w:val="00F273E4"/>
    <w:rsid w:val="00F27E45"/>
    <w:rsid w:val="00F31D90"/>
    <w:rsid w:val="00F31F94"/>
    <w:rsid w:val="00F3259A"/>
    <w:rsid w:val="00F3276D"/>
    <w:rsid w:val="00F32770"/>
    <w:rsid w:val="00F327E2"/>
    <w:rsid w:val="00F32B44"/>
    <w:rsid w:val="00F33627"/>
    <w:rsid w:val="00F33FDE"/>
    <w:rsid w:val="00F3498A"/>
    <w:rsid w:val="00F353B2"/>
    <w:rsid w:val="00F355F9"/>
    <w:rsid w:val="00F35D34"/>
    <w:rsid w:val="00F35D70"/>
    <w:rsid w:val="00F35E0C"/>
    <w:rsid w:val="00F36314"/>
    <w:rsid w:val="00F3655B"/>
    <w:rsid w:val="00F36675"/>
    <w:rsid w:val="00F37669"/>
    <w:rsid w:val="00F37859"/>
    <w:rsid w:val="00F37867"/>
    <w:rsid w:val="00F400E4"/>
    <w:rsid w:val="00F419AC"/>
    <w:rsid w:val="00F423CC"/>
    <w:rsid w:val="00F42597"/>
    <w:rsid w:val="00F4273F"/>
    <w:rsid w:val="00F42A56"/>
    <w:rsid w:val="00F42B41"/>
    <w:rsid w:val="00F436D4"/>
    <w:rsid w:val="00F452DD"/>
    <w:rsid w:val="00F456FA"/>
    <w:rsid w:val="00F4684A"/>
    <w:rsid w:val="00F46B23"/>
    <w:rsid w:val="00F46D97"/>
    <w:rsid w:val="00F46DCB"/>
    <w:rsid w:val="00F47FE3"/>
    <w:rsid w:val="00F50639"/>
    <w:rsid w:val="00F50BF7"/>
    <w:rsid w:val="00F5135C"/>
    <w:rsid w:val="00F52CA7"/>
    <w:rsid w:val="00F538E8"/>
    <w:rsid w:val="00F54725"/>
    <w:rsid w:val="00F54A4B"/>
    <w:rsid w:val="00F55B95"/>
    <w:rsid w:val="00F561F5"/>
    <w:rsid w:val="00F566F7"/>
    <w:rsid w:val="00F575BC"/>
    <w:rsid w:val="00F60151"/>
    <w:rsid w:val="00F60E24"/>
    <w:rsid w:val="00F614EB"/>
    <w:rsid w:val="00F619BF"/>
    <w:rsid w:val="00F6305E"/>
    <w:rsid w:val="00F636A9"/>
    <w:rsid w:val="00F645F3"/>
    <w:rsid w:val="00F64B72"/>
    <w:rsid w:val="00F64E33"/>
    <w:rsid w:val="00F64EF9"/>
    <w:rsid w:val="00F6525D"/>
    <w:rsid w:val="00F6539D"/>
    <w:rsid w:val="00F721FE"/>
    <w:rsid w:val="00F72A3C"/>
    <w:rsid w:val="00F72E05"/>
    <w:rsid w:val="00F73072"/>
    <w:rsid w:val="00F738DE"/>
    <w:rsid w:val="00F73F08"/>
    <w:rsid w:val="00F74452"/>
    <w:rsid w:val="00F744EF"/>
    <w:rsid w:val="00F751CB"/>
    <w:rsid w:val="00F758EF"/>
    <w:rsid w:val="00F800C2"/>
    <w:rsid w:val="00F804BC"/>
    <w:rsid w:val="00F80555"/>
    <w:rsid w:val="00F81598"/>
    <w:rsid w:val="00F81BB1"/>
    <w:rsid w:val="00F81BC3"/>
    <w:rsid w:val="00F8216F"/>
    <w:rsid w:val="00F8313C"/>
    <w:rsid w:val="00F833A4"/>
    <w:rsid w:val="00F83DE4"/>
    <w:rsid w:val="00F840D6"/>
    <w:rsid w:val="00F84749"/>
    <w:rsid w:val="00F84B1B"/>
    <w:rsid w:val="00F84EC9"/>
    <w:rsid w:val="00F85D73"/>
    <w:rsid w:val="00F85E2E"/>
    <w:rsid w:val="00F85FAD"/>
    <w:rsid w:val="00F86D42"/>
    <w:rsid w:val="00F87744"/>
    <w:rsid w:val="00F87A8F"/>
    <w:rsid w:val="00F87C15"/>
    <w:rsid w:val="00F9007A"/>
    <w:rsid w:val="00F90807"/>
    <w:rsid w:val="00F908B9"/>
    <w:rsid w:val="00F90ADE"/>
    <w:rsid w:val="00F90ED9"/>
    <w:rsid w:val="00F91977"/>
    <w:rsid w:val="00F92B22"/>
    <w:rsid w:val="00F92D95"/>
    <w:rsid w:val="00F93511"/>
    <w:rsid w:val="00F93864"/>
    <w:rsid w:val="00F94335"/>
    <w:rsid w:val="00F944E3"/>
    <w:rsid w:val="00F94A41"/>
    <w:rsid w:val="00F950A5"/>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5323"/>
    <w:rsid w:val="00FA584F"/>
    <w:rsid w:val="00FA5E8C"/>
    <w:rsid w:val="00FA5ECE"/>
    <w:rsid w:val="00FA69CB"/>
    <w:rsid w:val="00FA6E4A"/>
    <w:rsid w:val="00FA769D"/>
    <w:rsid w:val="00FB06E2"/>
    <w:rsid w:val="00FB08ED"/>
    <w:rsid w:val="00FB0BAC"/>
    <w:rsid w:val="00FB1D85"/>
    <w:rsid w:val="00FB2A1F"/>
    <w:rsid w:val="00FB36FF"/>
    <w:rsid w:val="00FB3E21"/>
    <w:rsid w:val="00FB5200"/>
    <w:rsid w:val="00FB5396"/>
    <w:rsid w:val="00FB553E"/>
    <w:rsid w:val="00FB596B"/>
    <w:rsid w:val="00FB5EA7"/>
    <w:rsid w:val="00FB6B56"/>
    <w:rsid w:val="00FB6EF3"/>
    <w:rsid w:val="00FB7090"/>
    <w:rsid w:val="00FC002F"/>
    <w:rsid w:val="00FC09AA"/>
    <w:rsid w:val="00FC0F77"/>
    <w:rsid w:val="00FC110E"/>
    <w:rsid w:val="00FC13B9"/>
    <w:rsid w:val="00FC252D"/>
    <w:rsid w:val="00FC28CF"/>
    <w:rsid w:val="00FC2A63"/>
    <w:rsid w:val="00FC304E"/>
    <w:rsid w:val="00FC3713"/>
    <w:rsid w:val="00FC41C6"/>
    <w:rsid w:val="00FC4BF6"/>
    <w:rsid w:val="00FC5151"/>
    <w:rsid w:val="00FC549B"/>
    <w:rsid w:val="00FC5E4E"/>
    <w:rsid w:val="00FC66A4"/>
    <w:rsid w:val="00FC6F08"/>
    <w:rsid w:val="00FC7899"/>
    <w:rsid w:val="00FC7C22"/>
    <w:rsid w:val="00FD072C"/>
    <w:rsid w:val="00FD075F"/>
    <w:rsid w:val="00FD0A5F"/>
    <w:rsid w:val="00FD219C"/>
    <w:rsid w:val="00FD277A"/>
    <w:rsid w:val="00FD32E1"/>
    <w:rsid w:val="00FD3B57"/>
    <w:rsid w:val="00FD3E8E"/>
    <w:rsid w:val="00FD40C1"/>
    <w:rsid w:val="00FD5732"/>
    <w:rsid w:val="00FD59F2"/>
    <w:rsid w:val="00FD604C"/>
    <w:rsid w:val="00FD6A86"/>
    <w:rsid w:val="00FD6D5B"/>
    <w:rsid w:val="00FD6FB2"/>
    <w:rsid w:val="00FD7405"/>
    <w:rsid w:val="00FD7881"/>
    <w:rsid w:val="00FD7AED"/>
    <w:rsid w:val="00FE02CD"/>
    <w:rsid w:val="00FE0351"/>
    <w:rsid w:val="00FE06A7"/>
    <w:rsid w:val="00FE079A"/>
    <w:rsid w:val="00FE1046"/>
    <w:rsid w:val="00FE1A3A"/>
    <w:rsid w:val="00FE1FD2"/>
    <w:rsid w:val="00FE257E"/>
    <w:rsid w:val="00FE2E61"/>
    <w:rsid w:val="00FE3412"/>
    <w:rsid w:val="00FE3878"/>
    <w:rsid w:val="00FE3D9A"/>
    <w:rsid w:val="00FE410F"/>
    <w:rsid w:val="00FE42A3"/>
    <w:rsid w:val="00FE54AE"/>
    <w:rsid w:val="00FE6EF4"/>
    <w:rsid w:val="00FE6F4C"/>
    <w:rsid w:val="00FE7139"/>
    <w:rsid w:val="00FE75F1"/>
    <w:rsid w:val="00FF06A6"/>
    <w:rsid w:val="00FF0753"/>
    <w:rsid w:val="00FF0BF0"/>
    <w:rsid w:val="00FF0DFF"/>
    <w:rsid w:val="00FF2AB7"/>
    <w:rsid w:val="00FF2BA0"/>
    <w:rsid w:val="00FF3120"/>
    <w:rsid w:val="00FF317B"/>
    <w:rsid w:val="00FF36AC"/>
    <w:rsid w:val="00FF38A4"/>
    <w:rsid w:val="00FF3A8F"/>
    <w:rsid w:val="00FF3B59"/>
    <w:rsid w:val="00FF3C5D"/>
    <w:rsid w:val="00FF4117"/>
    <w:rsid w:val="00FF4D58"/>
    <w:rsid w:val="00FF58FE"/>
    <w:rsid w:val="00FF5938"/>
    <w:rsid w:val="00FF5F2D"/>
    <w:rsid w:val="00FF624C"/>
    <w:rsid w:val="00FF6281"/>
    <w:rsid w:val="00FF6344"/>
    <w:rsid w:val="00FF68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B53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rsid w:val="00FD7405"/>
    <w:rPr>
      <w:color w:val="954F72"/>
      <w:u w:val="single"/>
    </w:rPr>
  </w:style>
  <w:style w:type="character" w:styleId="UnresolvedMention">
    <w:name w:val="Unresolved Mention"/>
    <w:basedOn w:val="DefaultParagraphFont"/>
    <w:uiPriority w:val="99"/>
    <w:semiHidden/>
    <w:unhideWhenUsed/>
    <w:rsid w:val="00C74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358508414">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409.A420154016.4.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18858</Words>
  <Characters>10750</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2019-04-26T11:15:00Z</dcterms:created>
  <dcterms:modified xsi:type="dcterms:W3CDTF">2019-04-26T11:23:00Z</dcterms:modified>
</cp:coreProperties>
</file>