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836F4" w14:textId="77777777" w:rsidR="00E3737F" w:rsidRDefault="00E3737F" w:rsidP="00E3737F">
      <w:pPr>
        <w:spacing w:line="276" w:lineRule="auto"/>
        <w:jc w:val="both"/>
        <w:rPr>
          <w:b/>
        </w:rPr>
      </w:pPr>
      <w:r>
        <w:rPr>
          <w:b/>
        </w:rPr>
        <w:t>Pievienotās vērtības nodokļa priekšnodokļa atskaitīšana par avansa maksājumu</w:t>
      </w:r>
    </w:p>
    <w:p w14:paraId="615F356C" w14:textId="5133ECA9" w:rsidR="002D4B1E" w:rsidRDefault="00E3737F" w:rsidP="00E3737F">
      <w:pPr>
        <w:spacing w:line="276" w:lineRule="auto"/>
        <w:jc w:val="both"/>
      </w:pPr>
      <w:r>
        <w:t xml:space="preserve">Vispārīgi avansa maksājums ir pielīdzināms pakalpojuma saņemšanai un rada pamatu priekšnodokļa atskaitīšanai, tomēr šīs tiesības nav absolūtas un ir vērtējamas kopsakarā ar pievienotās vērtības nodokļa sistēmas būtību. Proti, priekšnodokļa atskaitīšana ir atsakāma vai koriģējama gadījumā, ja pakalpojums nav sniegts vai konstatējama pievienotās vērtības nodokļa sistēmas ļaunprātīga izmantošana. </w:t>
      </w:r>
    </w:p>
    <w:p w14:paraId="500AFAB1" w14:textId="77777777" w:rsidR="00E3737F" w:rsidRPr="007B5098" w:rsidRDefault="00E3737F" w:rsidP="00E3737F"/>
    <w:p w14:paraId="1C916546" w14:textId="37545A65" w:rsidR="002D4B1E" w:rsidRPr="007B5098" w:rsidRDefault="002D4B1E" w:rsidP="00E73E49">
      <w:pPr>
        <w:spacing w:line="276" w:lineRule="auto"/>
        <w:jc w:val="center"/>
        <w:rPr>
          <w:b/>
        </w:rPr>
      </w:pPr>
      <w:r w:rsidRPr="007B5098">
        <w:rPr>
          <w:b/>
        </w:rPr>
        <w:t>Latvijas Republikas Senāt</w:t>
      </w:r>
      <w:r w:rsidR="007B5098" w:rsidRPr="007B5098">
        <w:rPr>
          <w:b/>
        </w:rPr>
        <w:t>a</w:t>
      </w:r>
    </w:p>
    <w:p w14:paraId="3A1CA76A" w14:textId="3F054028" w:rsidR="007B5098" w:rsidRPr="007B5098" w:rsidRDefault="007B5098" w:rsidP="00E73E49">
      <w:pPr>
        <w:spacing w:line="276" w:lineRule="auto"/>
        <w:jc w:val="center"/>
        <w:rPr>
          <w:b/>
        </w:rPr>
      </w:pPr>
      <w:r w:rsidRPr="007B5098">
        <w:rPr>
          <w:b/>
        </w:rPr>
        <w:t>Administratīvo lietu departamenta</w:t>
      </w:r>
    </w:p>
    <w:p w14:paraId="477B0E2E" w14:textId="5907A9C5" w:rsidR="007B5098" w:rsidRPr="007B5098" w:rsidRDefault="007B5098" w:rsidP="00E73E49">
      <w:pPr>
        <w:spacing w:line="276" w:lineRule="auto"/>
        <w:jc w:val="center"/>
        <w:rPr>
          <w:b/>
        </w:rPr>
      </w:pPr>
      <w:r w:rsidRPr="007B5098">
        <w:rPr>
          <w:b/>
        </w:rPr>
        <w:t>2019.gada 26.aprīļa</w:t>
      </w:r>
    </w:p>
    <w:p w14:paraId="10E6FDA2" w14:textId="4905A18D" w:rsidR="002D4B1E" w:rsidRPr="007B5098" w:rsidRDefault="002D4B1E" w:rsidP="00E73E49">
      <w:pPr>
        <w:spacing w:line="276" w:lineRule="auto"/>
        <w:jc w:val="center"/>
        <w:rPr>
          <w:b/>
        </w:rPr>
      </w:pPr>
      <w:r w:rsidRPr="007B5098">
        <w:rPr>
          <w:b/>
        </w:rPr>
        <w:t>SPRIEDUMS</w:t>
      </w:r>
    </w:p>
    <w:p w14:paraId="78136ADF" w14:textId="5197B1DE" w:rsidR="007B5098" w:rsidRPr="007B5098" w:rsidRDefault="007B5098" w:rsidP="00E73E49">
      <w:pPr>
        <w:spacing w:line="276" w:lineRule="auto"/>
        <w:jc w:val="center"/>
        <w:rPr>
          <w:b/>
        </w:rPr>
      </w:pPr>
      <w:r w:rsidRPr="007B5098">
        <w:rPr>
          <w:b/>
        </w:rPr>
        <w:t>Lieta Nr. A420377013, SKA-16/2019</w:t>
      </w:r>
    </w:p>
    <w:p w14:paraId="438F7B5F" w14:textId="4BC137CC" w:rsidR="007B5098" w:rsidRPr="007B5098" w:rsidRDefault="00A5397D" w:rsidP="00E73E49">
      <w:pPr>
        <w:spacing w:line="276" w:lineRule="auto"/>
        <w:jc w:val="center"/>
        <w:rPr>
          <w:b/>
          <w:color w:val="0000FF"/>
        </w:rPr>
      </w:pPr>
      <w:hyperlink r:id="rId8" w:history="1">
        <w:r w:rsidR="007B5098" w:rsidRPr="007B5098">
          <w:rPr>
            <w:rStyle w:val="Hyperlink"/>
            <w:color w:val="0000FF"/>
          </w:rPr>
          <w:t>ECLI:LV:AT:2019:0426.A420377013.2.S</w:t>
        </w:r>
      </w:hyperlink>
    </w:p>
    <w:p w14:paraId="05C13F94" w14:textId="77777777" w:rsidR="002D4B1E" w:rsidRPr="00B508BE" w:rsidRDefault="002D4B1E" w:rsidP="00E73E49">
      <w:pPr>
        <w:spacing w:line="276" w:lineRule="auto"/>
        <w:jc w:val="center"/>
      </w:pPr>
    </w:p>
    <w:p w14:paraId="61B0D027" w14:textId="77777777" w:rsidR="002D4B1E" w:rsidRPr="00B508BE" w:rsidRDefault="002D4B1E" w:rsidP="00E73E49">
      <w:pPr>
        <w:spacing w:line="276" w:lineRule="auto"/>
        <w:ind w:firstLine="567"/>
        <w:jc w:val="both"/>
        <w:rPr>
          <w:color w:val="000000"/>
        </w:rPr>
      </w:pPr>
      <w:r w:rsidRPr="00B508BE">
        <w:t xml:space="preserve">Tiesa šādā sastāvā: senatori </w:t>
      </w:r>
      <w:r w:rsidRPr="00B508BE">
        <w:rPr>
          <w:color w:val="000000"/>
        </w:rPr>
        <w:t>Dzintra Amerika, Valters Poķis, Rudīte Vīduša</w:t>
      </w:r>
    </w:p>
    <w:p w14:paraId="572E5BA2" w14:textId="77777777" w:rsidR="002D4B1E" w:rsidRPr="00B508BE" w:rsidRDefault="002D4B1E" w:rsidP="00E73E49">
      <w:pPr>
        <w:spacing w:line="276" w:lineRule="auto"/>
        <w:ind w:firstLine="567"/>
        <w:jc w:val="both"/>
      </w:pPr>
    </w:p>
    <w:p w14:paraId="287E2C2C" w14:textId="718A98AA" w:rsidR="002D4B1E" w:rsidRPr="00B508BE" w:rsidRDefault="002D4B1E" w:rsidP="00E73E49">
      <w:pPr>
        <w:spacing w:line="276" w:lineRule="auto"/>
        <w:ind w:firstLine="567"/>
        <w:jc w:val="both"/>
      </w:pPr>
      <w:r w:rsidRPr="00B508BE">
        <w:t>rakstveida procesā izskatīja administratīvo lietu, kas ierosināta pēc SIA „</w:t>
      </w:r>
      <w:r w:rsidR="003B339A" w:rsidRPr="00B508BE">
        <w:t>Māju koks</w:t>
      </w:r>
      <w:r w:rsidRPr="00B508BE">
        <w:t xml:space="preserve">” pieteikuma par Valsts ieņēmumu dienesta </w:t>
      </w:r>
      <w:r w:rsidRPr="00B508BE">
        <w:rPr>
          <w:rFonts w:eastAsiaTheme="minorEastAsia"/>
          <w:lang w:eastAsia="en-US"/>
        </w:rPr>
        <w:t>201</w:t>
      </w:r>
      <w:r w:rsidR="003B339A" w:rsidRPr="00B508BE">
        <w:rPr>
          <w:rFonts w:eastAsiaTheme="minorEastAsia"/>
          <w:lang w:eastAsia="en-US"/>
        </w:rPr>
        <w:t>3</w:t>
      </w:r>
      <w:r w:rsidRPr="00B508BE">
        <w:rPr>
          <w:rFonts w:eastAsiaTheme="minorEastAsia"/>
          <w:lang w:eastAsia="en-US"/>
        </w:rPr>
        <w:t xml:space="preserve">.gada </w:t>
      </w:r>
      <w:r w:rsidR="003B339A" w:rsidRPr="00B508BE">
        <w:rPr>
          <w:rFonts w:eastAsiaTheme="minorEastAsia"/>
          <w:lang w:eastAsia="en-US"/>
        </w:rPr>
        <w:t>17.aprīļa</w:t>
      </w:r>
      <w:r w:rsidRPr="00B508BE">
        <w:rPr>
          <w:rFonts w:eastAsiaTheme="minorEastAsia"/>
          <w:lang w:eastAsia="en-US"/>
        </w:rPr>
        <w:t xml:space="preserve"> lēmuma Nr. 22.</w:t>
      </w:r>
      <w:r w:rsidR="003B339A" w:rsidRPr="00B508BE">
        <w:rPr>
          <w:rFonts w:eastAsiaTheme="minorEastAsia"/>
          <w:lang w:eastAsia="en-US"/>
        </w:rPr>
        <w:t>9</w:t>
      </w:r>
      <w:r w:rsidRPr="00B508BE">
        <w:rPr>
          <w:rFonts w:eastAsiaTheme="minorEastAsia"/>
          <w:lang w:eastAsia="en-US"/>
        </w:rPr>
        <w:t>/</w:t>
      </w:r>
      <w:r w:rsidR="003B339A" w:rsidRPr="00B508BE">
        <w:rPr>
          <w:rFonts w:eastAsiaTheme="minorEastAsia"/>
          <w:lang w:eastAsia="en-US"/>
        </w:rPr>
        <w:t>L-10489</w:t>
      </w:r>
      <w:r w:rsidRPr="00B508BE">
        <w:rPr>
          <w:rFonts w:eastAsiaTheme="minorEastAsia"/>
          <w:lang w:eastAsia="en-US"/>
        </w:rPr>
        <w:t xml:space="preserve"> atcelšanu</w:t>
      </w:r>
      <w:r w:rsidRPr="00B508BE">
        <w:t>, sakarā ar SIA „</w:t>
      </w:r>
      <w:r w:rsidR="003B339A" w:rsidRPr="00B508BE">
        <w:t>Māju koks</w:t>
      </w:r>
      <w:r w:rsidRPr="00B508BE">
        <w:t xml:space="preserve">” kasācijas sūdzību par Administratīvās apgabaltiesas </w:t>
      </w:r>
      <w:r w:rsidRPr="00B508BE">
        <w:rPr>
          <w:rFonts w:eastAsiaTheme="minorEastAsia"/>
          <w:lang w:eastAsia="en-US"/>
        </w:rPr>
        <w:t>201</w:t>
      </w:r>
      <w:r w:rsidR="003B339A" w:rsidRPr="00B508BE">
        <w:rPr>
          <w:rFonts w:eastAsiaTheme="minorEastAsia"/>
          <w:lang w:eastAsia="en-US"/>
        </w:rPr>
        <w:t>6</w:t>
      </w:r>
      <w:r w:rsidRPr="00B508BE">
        <w:rPr>
          <w:rFonts w:eastAsiaTheme="minorEastAsia"/>
          <w:lang w:eastAsia="en-US"/>
        </w:rPr>
        <w:t xml:space="preserve">.gada </w:t>
      </w:r>
      <w:r w:rsidR="003B339A" w:rsidRPr="00B508BE">
        <w:rPr>
          <w:rFonts w:eastAsiaTheme="minorEastAsia"/>
          <w:lang w:eastAsia="en-US"/>
        </w:rPr>
        <w:t>5.maija</w:t>
      </w:r>
      <w:r w:rsidRPr="00B508BE">
        <w:t xml:space="preserve"> spriedumu.</w:t>
      </w:r>
    </w:p>
    <w:p w14:paraId="0B71510E" w14:textId="77777777" w:rsidR="002D4B1E" w:rsidRPr="00B508BE" w:rsidRDefault="002D4B1E" w:rsidP="00E73E49">
      <w:pPr>
        <w:spacing w:line="276" w:lineRule="auto"/>
        <w:ind w:firstLine="567"/>
        <w:jc w:val="center"/>
        <w:rPr>
          <w:b/>
        </w:rPr>
      </w:pPr>
    </w:p>
    <w:p w14:paraId="153F3AFD" w14:textId="77777777" w:rsidR="002D4B1E" w:rsidRPr="00B508BE" w:rsidRDefault="002D4B1E" w:rsidP="00E73E49">
      <w:pPr>
        <w:spacing w:line="276" w:lineRule="auto"/>
        <w:jc w:val="center"/>
        <w:rPr>
          <w:b/>
        </w:rPr>
      </w:pPr>
      <w:r w:rsidRPr="00B508BE">
        <w:rPr>
          <w:b/>
        </w:rPr>
        <w:t>Aprakstošā daļa</w:t>
      </w:r>
    </w:p>
    <w:p w14:paraId="35C6B887" w14:textId="77777777" w:rsidR="002D4B1E" w:rsidRPr="00B508BE" w:rsidRDefault="002D4B1E" w:rsidP="00E73E49">
      <w:pPr>
        <w:spacing w:line="276" w:lineRule="auto"/>
      </w:pPr>
    </w:p>
    <w:p w14:paraId="584810EC" w14:textId="736CE89D" w:rsidR="00821967" w:rsidRPr="00B508BE" w:rsidRDefault="00291B8E" w:rsidP="00E73E49">
      <w:pPr>
        <w:pStyle w:val="NormalWeb"/>
        <w:tabs>
          <w:tab w:val="left" w:pos="1134"/>
        </w:tabs>
        <w:spacing w:line="276" w:lineRule="auto"/>
        <w:ind w:firstLine="567"/>
        <w:jc w:val="both"/>
      </w:pPr>
      <w:r w:rsidRPr="00B508BE">
        <w:t>[1] </w:t>
      </w:r>
      <w:r w:rsidR="00821967" w:rsidRPr="00B508BE">
        <w:t>Pieteicēja</w:t>
      </w:r>
      <w:r w:rsidR="00535901" w:rsidRPr="00B508BE">
        <w:t xml:space="preserve"> SIA „Māju koks”</w:t>
      </w:r>
      <w:r w:rsidR="00821967" w:rsidRPr="00B508BE">
        <w:t xml:space="preserve"> 2010.gada jūnija pievienotās vērtības nodokļa deklarācijā kā priekšnodokli atskaitīja 7561,82</w:t>
      </w:r>
      <w:r w:rsidR="00874FD3" w:rsidRPr="00B508BE">
        <w:t xml:space="preserve"> Ls</w:t>
      </w:r>
      <w:r w:rsidR="00821967" w:rsidRPr="00B508BE">
        <w:t>, pamatojoties uz SIA „</w:t>
      </w:r>
      <w:proofErr w:type="spellStart"/>
      <w:r w:rsidR="00821967" w:rsidRPr="00B508BE">
        <w:t>Argente</w:t>
      </w:r>
      <w:proofErr w:type="spellEnd"/>
      <w:r w:rsidR="00821967" w:rsidRPr="00B508BE">
        <w:t xml:space="preserve"> Projekts” izrakstīto rēķinu.</w:t>
      </w:r>
    </w:p>
    <w:p w14:paraId="15BBCF45" w14:textId="04CB0F52" w:rsidR="002D4B1E" w:rsidRPr="00B508BE" w:rsidRDefault="002D4B1E" w:rsidP="00E73E49">
      <w:pPr>
        <w:spacing w:line="276" w:lineRule="auto"/>
        <w:ind w:firstLine="567"/>
        <w:jc w:val="both"/>
      </w:pPr>
      <w:r w:rsidRPr="00B508BE">
        <w:t>Valsts ieņēmumu dienests</w:t>
      </w:r>
      <w:r w:rsidR="00874FD3" w:rsidRPr="00B508BE">
        <w:t>,</w:t>
      </w:r>
      <w:r w:rsidRPr="00B508BE">
        <w:t xml:space="preserve"> veic</w:t>
      </w:r>
      <w:r w:rsidR="00291B8E" w:rsidRPr="00B508BE">
        <w:t>ot</w:t>
      </w:r>
      <w:r w:rsidRPr="00B508BE">
        <w:t xml:space="preserve"> pieteicējai </w:t>
      </w:r>
      <w:r w:rsidR="00291B8E" w:rsidRPr="00B508BE">
        <w:t xml:space="preserve">datu atbilstības pārbaudi par 2010.gada jūniju, konstatēja neatbilstības starp </w:t>
      </w:r>
      <w:r w:rsidR="00874FD3" w:rsidRPr="00B508BE">
        <w:t>pieteicējas</w:t>
      </w:r>
      <w:r w:rsidR="00291B8E" w:rsidRPr="00B508BE">
        <w:t xml:space="preserve"> pievienotās vērtības nodokļa deklarācijā norādīto un nodokļu administr</w:t>
      </w:r>
      <w:r w:rsidR="00BF0B78" w:rsidRPr="00B508BE">
        <w:t>ācijas rīcībā esošo informāciju.</w:t>
      </w:r>
      <w:r w:rsidR="00291B8E" w:rsidRPr="00B508BE">
        <w:t xml:space="preserve"> Pārbaudes</w:t>
      </w:r>
      <w:r w:rsidRPr="00B508BE">
        <w:t xml:space="preserve"> rezultātā ar </w:t>
      </w:r>
      <w:r w:rsidR="00DA5000" w:rsidRPr="00B508BE">
        <w:t xml:space="preserve">Valsts ieņēmumu </w:t>
      </w:r>
      <w:r w:rsidRPr="00B508BE">
        <w:t xml:space="preserve">dienesta </w:t>
      </w:r>
      <w:r w:rsidR="00DA5000" w:rsidRPr="00B508BE">
        <w:rPr>
          <w:rFonts w:eastAsiaTheme="minorEastAsia"/>
          <w:lang w:eastAsia="en-US"/>
        </w:rPr>
        <w:t>2013.gada 17.aprīļa lēmumu Nr. 22.9/L</w:t>
      </w:r>
      <w:r w:rsidR="00A82F92" w:rsidRPr="00B508BE">
        <w:rPr>
          <w:rFonts w:eastAsiaTheme="minorEastAsia"/>
          <w:lang w:eastAsia="en-US"/>
        </w:rPr>
        <w:noBreakHyphen/>
      </w:r>
      <w:r w:rsidR="00DA5000" w:rsidRPr="00B508BE">
        <w:rPr>
          <w:rFonts w:eastAsiaTheme="minorEastAsia"/>
          <w:lang w:eastAsia="en-US"/>
        </w:rPr>
        <w:t>10489</w:t>
      </w:r>
      <w:r w:rsidRPr="00B508BE">
        <w:t xml:space="preserve"> pieteicējai </w:t>
      </w:r>
      <w:r w:rsidR="00DA5000" w:rsidRPr="00B508BE">
        <w:t>papildu nomaksai budžetā noteikts pievienotās vērtības nodoklis un saistībā ar to aprēķināta nokavējuma nauda</w:t>
      </w:r>
      <w:r w:rsidRPr="00B508BE">
        <w:t xml:space="preserve">. </w:t>
      </w:r>
      <w:r w:rsidR="00BF0B78" w:rsidRPr="00B508BE">
        <w:t>Lēmumā secināts, ka pieteicējas darījumu partnere SIA „</w:t>
      </w:r>
      <w:proofErr w:type="spellStart"/>
      <w:r w:rsidR="00BF0B78" w:rsidRPr="00B508BE">
        <w:t>Argente</w:t>
      </w:r>
      <w:proofErr w:type="spellEnd"/>
      <w:r w:rsidR="00BF0B78" w:rsidRPr="00B508BE">
        <w:t xml:space="preserve"> Projekts” nav sniegusi pieteicējai </w:t>
      </w:r>
      <w:r w:rsidR="00874FD3" w:rsidRPr="00B508BE">
        <w:t xml:space="preserve">jumta remonta </w:t>
      </w:r>
      <w:r w:rsidR="00BF0B78" w:rsidRPr="00B508BE">
        <w:t>pakalpojumu.</w:t>
      </w:r>
    </w:p>
    <w:p w14:paraId="610B3945" w14:textId="77777777" w:rsidR="002D4B1E" w:rsidRPr="00B508BE" w:rsidRDefault="002D4B1E" w:rsidP="00E73E49">
      <w:pPr>
        <w:pStyle w:val="NormalWeb"/>
        <w:tabs>
          <w:tab w:val="left" w:pos="1134"/>
        </w:tabs>
        <w:spacing w:line="276" w:lineRule="auto"/>
        <w:ind w:firstLine="567"/>
        <w:jc w:val="both"/>
      </w:pPr>
    </w:p>
    <w:p w14:paraId="06A0F68B" w14:textId="7D1782EB" w:rsidR="002D4B1E" w:rsidRPr="00B508BE" w:rsidRDefault="002D4B1E" w:rsidP="00E73E49">
      <w:pPr>
        <w:pStyle w:val="NormalWeb"/>
        <w:tabs>
          <w:tab w:val="left" w:pos="1134"/>
        </w:tabs>
        <w:spacing w:line="276" w:lineRule="auto"/>
        <w:ind w:firstLine="567"/>
        <w:jc w:val="both"/>
      </w:pPr>
      <w:r w:rsidRPr="00B508BE">
        <w:t>[2] Pieteicēja vērsās tiesā ar pieteikumu par minētā lēmuma atcelšanu.</w:t>
      </w:r>
    </w:p>
    <w:p w14:paraId="681EEA3E" w14:textId="77777777" w:rsidR="002D4B1E" w:rsidRPr="00B508BE" w:rsidRDefault="002D4B1E" w:rsidP="00E73E49">
      <w:pPr>
        <w:pStyle w:val="NormalWeb"/>
        <w:tabs>
          <w:tab w:val="left" w:pos="1134"/>
        </w:tabs>
        <w:spacing w:line="276" w:lineRule="auto"/>
        <w:ind w:firstLine="567"/>
        <w:jc w:val="both"/>
      </w:pPr>
    </w:p>
    <w:p w14:paraId="050D2BC3" w14:textId="122929D4" w:rsidR="002D4B1E" w:rsidRPr="00B508BE" w:rsidRDefault="002D4B1E" w:rsidP="00E73E49">
      <w:pPr>
        <w:pStyle w:val="NormalWeb"/>
        <w:tabs>
          <w:tab w:val="left" w:pos="1134"/>
        </w:tabs>
        <w:spacing w:line="276" w:lineRule="auto"/>
        <w:ind w:firstLine="567"/>
        <w:jc w:val="both"/>
      </w:pPr>
      <w:r w:rsidRPr="00B508BE">
        <w:t xml:space="preserve">[3] Administratīvā apgabaltiesa, izskatot lietu apelācijas kārtībā, ar </w:t>
      </w:r>
      <w:r w:rsidRPr="00B508BE">
        <w:rPr>
          <w:rFonts w:eastAsiaTheme="minorEastAsia"/>
          <w:lang w:eastAsia="en-US"/>
        </w:rPr>
        <w:t>201</w:t>
      </w:r>
      <w:r w:rsidR="00AC2FEB" w:rsidRPr="00B508BE">
        <w:rPr>
          <w:rFonts w:eastAsiaTheme="minorEastAsia"/>
          <w:lang w:eastAsia="en-US"/>
        </w:rPr>
        <w:t>6</w:t>
      </w:r>
      <w:r w:rsidRPr="00B508BE">
        <w:rPr>
          <w:rFonts w:eastAsiaTheme="minorEastAsia"/>
          <w:lang w:eastAsia="en-US"/>
        </w:rPr>
        <w:t xml:space="preserve">.gada </w:t>
      </w:r>
      <w:r w:rsidR="00AC2FEB" w:rsidRPr="00B508BE">
        <w:rPr>
          <w:rFonts w:eastAsiaTheme="minorEastAsia"/>
          <w:lang w:eastAsia="en-US"/>
        </w:rPr>
        <w:t>5.maija</w:t>
      </w:r>
      <w:r w:rsidRPr="00B508BE">
        <w:t xml:space="preserve"> spriedumu pieteikumu noraidīja. Tiesas spriedums pamatots ar turpmāk norādītajiem argumentiem. </w:t>
      </w:r>
    </w:p>
    <w:p w14:paraId="246CF119" w14:textId="6571B649" w:rsidR="00645DEE" w:rsidRPr="00B508BE" w:rsidRDefault="002D4B1E" w:rsidP="00E73E49">
      <w:pPr>
        <w:spacing w:line="276" w:lineRule="auto"/>
        <w:ind w:firstLine="567"/>
        <w:jc w:val="both"/>
        <w:rPr>
          <w:rFonts w:eastAsiaTheme="minorHAnsi" w:cstheme="minorBidi"/>
          <w:szCs w:val="22"/>
          <w:lang w:eastAsia="en-US"/>
        </w:rPr>
      </w:pPr>
      <w:r w:rsidRPr="00B508BE">
        <w:t>[3.1] </w:t>
      </w:r>
      <w:r w:rsidR="00645DEE" w:rsidRPr="00B508BE">
        <w:rPr>
          <w:rFonts w:eastAsiaTheme="minorHAnsi" w:cstheme="minorBidi"/>
          <w:szCs w:val="22"/>
          <w:lang w:eastAsia="en-US"/>
        </w:rPr>
        <w:t>2010.gada 26.aprīlī pieteicēja ir noslēgusi uzņēmuma līgumu ar SIA</w:t>
      </w:r>
      <w:r w:rsidR="00A23921" w:rsidRPr="00B508BE">
        <w:rPr>
          <w:rFonts w:eastAsiaTheme="minorHAnsi" w:cstheme="minorBidi"/>
          <w:szCs w:val="22"/>
          <w:lang w:eastAsia="en-US"/>
        </w:rPr>
        <w:t> </w:t>
      </w:r>
      <w:r w:rsidR="00645DEE" w:rsidRPr="00B508BE">
        <w:rPr>
          <w:rFonts w:eastAsiaTheme="minorHAnsi" w:cstheme="minorBidi"/>
          <w:szCs w:val="22"/>
          <w:lang w:eastAsia="en-US"/>
        </w:rPr>
        <w:t>„</w:t>
      </w:r>
      <w:proofErr w:type="spellStart"/>
      <w:r w:rsidR="00645DEE" w:rsidRPr="00B508BE">
        <w:rPr>
          <w:rFonts w:eastAsiaTheme="minorHAnsi" w:cstheme="minorBidi"/>
          <w:szCs w:val="22"/>
          <w:lang w:eastAsia="en-US"/>
        </w:rPr>
        <w:t>Argente</w:t>
      </w:r>
      <w:proofErr w:type="spellEnd"/>
      <w:r w:rsidR="00A23921" w:rsidRPr="00B508BE">
        <w:rPr>
          <w:rFonts w:eastAsiaTheme="minorHAnsi" w:cstheme="minorBidi"/>
          <w:szCs w:val="22"/>
          <w:lang w:eastAsia="en-US"/>
        </w:rPr>
        <w:t> </w:t>
      </w:r>
      <w:r w:rsidR="00645DEE" w:rsidRPr="00B508BE">
        <w:rPr>
          <w:rFonts w:eastAsiaTheme="minorHAnsi" w:cstheme="minorBidi"/>
          <w:szCs w:val="22"/>
          <w:lang w:eastAsia="en-US"/>
        </w:rPr>
        <w:t xml:space="preserve">Projekts” par </w:t>
      </w:r>
      <w:r w:rsidR="00965474">
        <w:rPr>
          <w:rFonts w:eastAsiaTheme="minorHAnsi" w:cstheme="minorBidi"/>
          <w:szCs w:val="22"/>
          <w:lang w:eastAsia="en-US"/>
        </w:rPr>
        <w:t>būv</w:t>
      </w:r>
      <w:r w:rsidR="00965474" w:rsidRPr="00B508BE">
        <w:rPr>
          <w:rFonts w:eastAsiaTheme="minorHAnsi" w:cstheme="minorBidi"/>
          <w:szCs w:val="22"/>
          <w:lang w:eastAsia="en-US"/>
        </w:rPr>
        <w:t xml:space="preserve">niecības </w:t>
      </w:r>
      <w:r w:rsidR="00645DEE" w:rsidRPr="00B508BE">
        <w:rPr>
          <w:rFonts w:eastAsiaTheme="minorHAnsi" w:cstheme="minorBidi"/>
          <w:szCs w:val="22"/>
          <w:lang w:eastAsia="en-US"/>
        </w:rPr>
        <w:t>darbiem –  jumta remontu. Darbi objektā bija jāuzsāk 2010.gada 27.aprīlī un jāpabeidz 27.septembrī. 2010.gada 2.jūnijā pieteicēja SIA</w:t>
      </w:r>
      <w:r w:rsidR="00A23921" w:rsidRPr="00B508BE">
        <w:rPr>
          <w:rFonts w:eastAsiaTheme="minorHAnsi" w:cstheme="minorBidi"/>
          <w:szCs w:val="22"/>
          <w:lang w:eastAsia="en-US"/>
        </w:rPr>
        <w:t> </w:t>
      </w:r>
      <w:r w:rsidR="00645DEE" w:rsidRPr="00B508BE">
        <w:rPr>
          <w:rFonts w:eastAsiaTheme="minorHAnsi" w:cstheme="minorBidi"/>
          <w:szCs w:val="22"/>
          <w:lang w:eastAsia="en-US"/>
        </w:rPr>
        <w:t>„</w:t>
      </w:r>
      <w:proofErr w:type="spellStart"/>
      <w:r w:rsidR="00645DEE" w:rsidRPr="00B508BE">
        <w:rPr>
          <w:rFonts w:eastAsiaTheme="minorHAnsi" w:cstheme="minorBidi"/>
          <w:szCs w:val="22"/>
          <w:lang w:eastAsia="en-US"/>
        </w:rPr>
        <w:t>Argente</w:t>
      </w:r>
      <w:proofErr w:type="spellEnd"/>
      <w:r w:rsidR="00A23921" w:rsidRPr="00B508BE">
        <w:rPr>
          <w:rFonts w:eastAsiaTheme="minorHAnsi" w:cstheme="minorBidi"/>
          <w:szCs w:val="22"/>
          <w:lang w:eastAsia="en-US"/>
        </w:rPr>
        <w:t> </w:t>
      </w:r>
      <w:r w:rsidR="00645DEE" w:rsidRPr="00B508BE">
        <w:rPr>
          <w:rFonts w:eastAsiaTheme="minorHAnsi" w:cstheme="minorBidi"/>
          <w:szCs w:val="22"/>
          <w:lang w:eastAsia="en-US"/>
        </w:rPr>
        <w:t>Projekts” saskaņā ar avansa rēķinu samaksāja 43 570,51</w:t>
      </w:r>
      <w:r w:rsidR="00A060D4" w:rsidRPr="00B508BE">
        <w:rPr>
          <w:rFonts w:eastAsiaTheme="minorHAnsi" w:cstheme="minorBidi"/>
          <w:szCs w:val="22"/>
          <w:lang w:eastAsia="en-US"/>
        </w:rPr>
        <w:t> Ls</w:t>
      </w:r>
      <w:r w:rsidR="00645DEE" w:rsidRPr="00B508BE">
        <w:rPr>
          <w:rFonts w:eastAsiaTheme="minorHAnsi" w:cstheme="minorBidi"/>
          <w:szCs w:val="22"/>
          <w:lang w:eastAsia="en-US"/>
        </w:rPr>
        <w:t>. 2010.gada 9.augustā starp piet</w:t>
      </w:r>
      <w:r w:rsidR="00A060D4" w:rsidRPr="00B508BE">
        <w:rPr>
          <w:rFonts w:eastAsiaTheme="minorHAnsi" w:cstheme="minorBidi"/>
          <w:szCs w:val="22"/>
          <w:lang w:eastAsia="en-US"/>
        </w:rPr>
        <w:t>e</w:t>
      </w:r>
      <w:r w:rsidR="00645DEE" w:rsidRPr="00B508BE">
        <w:rPr>
          <w:rFonts w:eastAsiaTheme="minorHAnsi" w:cstheme="minorBidi"/>
          <w:szCs w:val="22"/>
          <w:lang w:eastAsia="en-US"/>
        </w:rPr>
        <w:t>icēju un SIA „</w:t>
      </w:r>
      <w:proofErr w:type="spellStart"/>
      <w:r w:rsidR="00645DEE" w:rsidRPr="00B508BE">
        <w:rPr>
          <w:rFonts w:eastAsiaTheme="minorHAnsi" w:cstheme="minorBidi"/>
          <w:szCs w:val="22"/>
          <w:lang w:eastAsia="en-US"/>
        </w:rPr>
        <w:t>Argente</w:t>
      </w:r>
      <w:proofErr w:type="spellEnd"/>
      <w:r w:rsidR="00645DEE" w:rsidRPr="00B508BE">
        <w:rPr>
          <w:rFonts w:eastAsiaTheme="minorHAnsi" w:cstheme="minorBidi"/>
          <w:szCs w:val="22"/>
          <w:lang w:eastAsia="en-US"/>
        </w:rPr>
        <w:t xml:space="preserve"> Projekts” para</w:t>
      </w:r>
      <w:r w:rsidR="00A060D4" w:rsidRPr="00B508BE">
        <w:rPr>
          <w:rFonts w:eastAsiaTheme="minorHAnsi" w:cstheme="minorBidi"/>
          <w:szCs w:val="22"/>
          <w:lang w:eastAsia="en-US"/>
        </w:rPr>
        <w:t>kstīts nodošanas–pieņemšanas akts.</w:t>
      </w:r>
    </w:p>
    <w:p w14:paraId="242842F9" w14:textId="1AB48642" w:rsidR="00A060D4" w:rsidRPr="00B508BE" w:rsidRDefault="00A060D4"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lastRenderedPageBreak/>
        <w:t>2010.gada 1.jūnijā SIA „Centība V” ir izrakstījusi SIA „</w:t>
      </w:r>
      <w:proofErr w:type="spellStart"/>
      <w:r w:rsidRPr="00B508BE">
        <w:rPr>
          <w:rFonts w:eastAsiaTheme="minorHAnsi" w:cstheme="minorBidi"/>
          <w:szCs w:val="22"/>
          <w:lang w:eastAsia="en-US"/>
        </w:rPr>
        <w:t>Argente</w:t>
      </w:r>
      <w:proofErr w:type="spellEnd"/>
      <w:r w:rsidRPr="00B508BE">
        <w:rPr>
          <w:rFonts w:eastAsiaTheme="minorHAnsi" w:cstheme="minorBidi"/>
          <w:szCs w:val="22"/>
          <w:lang w:eastAsia="en-US"/>
        </w:rPr>
        <w:t xml:space="preserve"> Projekts” rēķinu par darbiem, kas veicami no 2010.gada 27.aprīļa līdz 2010.gada 9.augustam, 43 470,52 Ls (t.sk. 7544,47 Ls pievienotās vērtības nodoklis).</w:t>
      </w:r>
    </w:p>
    <w:p w14:paraId="026A03FC" w14:textId="658EA858" w:rsidR="00645DEE" w:rsidRPr="00B508BE" w:rsidRDefault="00645DEE"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[3.2] SIA „</w:t>
      </w:r>
      <w:proofErr w:type="spellStart"/>
      <w:r w:rsidRPr="00B508BE">
        <w:rPr>
          <w:rFonts w:eastAsiaTheme="minorHAnsi" w:cstheme="minorBidi"/>
          <w:szCs w:val="22"/>
          <w:lang w:eastAsia="en-US"/>
        </w:rPr>
        <w:t>Argente</w:t>
      </w:r>
      <w:proofErr w:type="spellEnd"/>
      <w:r w:rsidRPr="00B508BE">
        <w:rPr>
          <w:rFonts w:eastAsiaTheme="minorHAnsi" w:cstheme="minorBidi"/>
          <w:szCs w:val="22"/>
          <w:lang w:eastAsia="en-US"/>
        </w:rPr>
        <w:t xml:space="preserve"> Projekts” auditējamajā periodā kā darba ņēmējus reģistrējusi valdes locekli </w:t>
      </w:r>
      <w:r w:rsidR="00F84B6C">
        <w:rPr>
          <w:rFonts w:eastAsiaTheme="minorHAnsi" w:cstheme="minorBidi"/>
          <w:szCs w:val="22"/>
          <w:lang w:eastAsia="en-US"/>
        </w:rPr>
        <w:t>[pers. A]</w:t>
      </w:r>
      <w:r w:rsidRPr="00B508BE">
        <w:rPr>
          <w:rFonts w:eastAsiaTheme="minorHAnsi" w:cstheme="minorBidi"/>
          <w:szCs w:val="22"/>
          <w:lang w:eastAsia="en-US"/>
        </w:rPr>
        <w:t xml:space="preserve"> un darbinieku </w:t>
      </w:r>
      <w:r w:rsidR="00F84B6C">
        <w:rPr>
          <w:rFonts w:eastAsiaTheme="minorHAnsi" w:cstheme="minorBidi"/>
          <w:szCs w:val="22"/>
          <w:lang w:eastAsia="en-US"/>
        </w:rPr>
        <w:t>[pers. B]</w:t>
      </w:r>
      <w:r w:rsidRPr="00B508BE">
        <w:rPr>
          <w:rFonts w:eastAsiaTheme="minorHAnsi" w:cstheme="minorBidi"/>
          <w:szCs w:val="22"/>
          <w:lang w:eastAsia="en-US"/>
        </w:rPr>
        <w:t>. Līdz ar to SIA „</w:t>
      </w:r>
      <w:proofErr w:type="spellStart"/>
      <w:r w:rsidRPr="00B508BE">
        <w:rPr>
          <w:rFonts w:eastAsiaTheme="minorHAnsi" w:cstheme="minorBidi"/>
          <w:szCs w:val="22"/>
          <w:lang w:eastAsia="en-US"/>
        </w:rPr>
        <w:t>Argente</w:t>
      </w:r>
      <w:proofErr w:type="spellEnd"/>
      <w:r w:rsidRPr="00B508BE">
        <w:rPr>
          <w:rFonts w:eastAsiaTheme="minorHAnsi" w:cstheme="minorBidi"/>
          <w:szCs w:val="22"/>
          <w:lang w:eastAsia="en-US"/>
        </w:rPr>
        <w:t xml:space="preserve"> Projekts” nebija darbaspēka resursu, lai veiktu rēķinā norādītos būvniecības darbus noteiktajā apjomā. </w:t>
      </w:r>
    </w:p>
    <w:p w14:paraId="29051212" w14:textId="5AA97100" w:rsidR="00D077FA" w:rsidRPr="00B508BE" w:rsidRDefault="00645DEE"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 xml:space="preserve">No </w:t>
      </w:r>
      <w:r w:rsidR="00D077FA" w:rsidRPr="00B508BE">
        <w:rPr>
          <w:rFonts w:eastAsiaTheme="minorHAnsi" w:cstheme="minorBidi"/>
          <w:szCs w:val="22"/>
          <w:lang w:eastAsia="en-US"/>
        </w:rPr>
        <w:t>SIA „</w:t>
      </w:r>
      <w:proofErr w:type="spellStart"/>
      <w:r w:rsidR="00D077FA" w:rsidRPr="00B508BE">
        <w:rPr>
          <w:rFonts w:eastAsiaTheme="minorHAnsi" w:cstheme="minorBidi"/>
          <w:szCs w:val="22"/>
          <w:lang w:eastAsia="en-US"/>
        </w:rPr>
        <w:t>Argente</w:t>
      </w:r>
      <w:proofErr w:type="spellEnd"/>
      <w:r w:rsidR="00D077FA" w:rsidRPr="00B508BE">
        <w:rPr>
          <w:rFonts w:eastAsiaTheme="minorHAnsi" w:cstheme="minorBidi"/>
          <w:szCs w:val="22"/>
          <w:lang w:eastAsia="en-US"/>
        </w:rPr>
        <w:t xml:space="preserve"> Projekts” amatpersonas </w:t>
      </w:r>
      <w:r w:rsidR="00F84B6C">
        <w:rPr>
          <w:rFonts w:eastAsiaTheme="minorHAnsi" w:cstheme="minorBidi"/>
          <w:szCs w:val="22"/>
          <w:lang w:eastAsia="en-US"/>
        </w:rPr>
        <w:t>[pers. A]</w:t>
      </w:r>
      <w:r w:rsidRPr="00B508BE">
        <w:rPr>
          <w:rFonts w:eastAsiaTheme="minorHAnsi" w:cstheme="minorBidi"/>
          <w:szCs w:val="22"/>
          <w:lang w:eastAsia="en-US"/>
        </w:rPr>
        <w:t xml:space="preserve"> paskaidrojuma un liecības tiesas sēdē izriet, ka minētais uzņēmums ir bijis tikai starpnieks un j</w:t>
      </w:r>
      <w:r w:rsidR="00D077FA" w:rsidRPr="00B508BE">
        <w:rPr>
          <w:rFonts w:eastAsiaTheme="minorHAnsi" w:cstheme="minorBidi"/>
          <w:szCs w:val="22"/>
          <w:lang w:eastAsia="en-US"/>
        </w:rPr>
        <w:t>umta remonta darbus veikusi SIA „Centība V”.</w:t>
      </w:r>
    </w:p>
    <w:p w14:paraId="5DA62EB3" w14:textId="628995D5" w:rsidR="00645DEE" w:rsidRPr="00B508BE" w:rsidRDefault="00D077FA"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 xml:space="preserve">Savukārt </w:t>
      </w:r>
      <w:r w:rsidR="000610DD" w:rsidRPr="00B508BE">
        <w:rPr>
          <w:rFonts w:eastAsiaTheme="minorHAnsi" w:cstheme="minorBidi"/>
          <w:szCs w:val="22"/>
          <w:lang w:eastAsia="en-US"/>
        </w:rPr>
        <w:t>Valsts ieņēmumu dienests pārbaudē konstatējis, ka</w:t>
      </w:r>
      <w:r w:rsidR="00645DEE" w:rsidRPr="00B508BE">
        <w:rPr>
          <w:rFonts w:eastAsiaTheme="minorHAnsi" w:cstheme="minorBidi"/>
          <w:szCs w:val="22"/>
          <w:lang w:eastAsia="en-US"/>
        </w:rPr>
        <w:t xml:space="preserve"> SIA „Centība V” nevarēja sniegt SIA „</w:t>
      </w:r>
      <w:proofErr w:type="spellStart"/>
      <w:r w:rsidR="00645DEE" w:rsidRPr="00B508BE">
        <w:rPr>
          <w:rFonts w:eastAsiaTheme="minorHAnsi" w:cstheme="minorBidi"/>
          <w:szCs w:val="22"/>
          <w:lang w:eastAsia="en-US"/>
        </w:rPr>
        <w:t>Argente</w:t>
      </w:r>
      <w:proofErr w:type="spellEnd"/>
      <w:r w:rsidR="00645DEE" w:rsidRPr="00B508BE">
        <w:rPr>
          <w:rFonts w:eastAsiaTheme="minorHAnsi" w:cstheme="minorBidi"/>
          <w:szCs w:val="22"/>
          <w:lang w:eastAsia="en-US"/>
        </w:rPr>
        <w:t xml:space="preserve"> Projekts” </w:t>
      </w:r>
      <w:r w:rsidR="00965474">
        <w:rPr>
          <w:rFonts w:eastAsiaTheme="minorHAnsi" w:cstheme="minorBidi"/>
          <w:szCs w:val="22"/>
          <w:lang w:eastAsia="en-US"/>
        </w:rPr>
        <w:t>būv</w:t>
      </w:r>
      <w:r w:rsidR="00965474" w:rsidRPr="00B508BE">
        <w:rPr>
          <w:rFonts w:eastAsiaTheme="minorHAnsi" w:cstheme="minorBidi"/>
          <w:szCs w:val="22"/>
          <w:lang w:eastAsia="en-US"/>
        </w:rPr>
        <w:t xml:space="preserve">niecības </w:t>
      </w:r>
      <w:r w:rsidR="00645DEE" w:rsidRPr="00B508BE">
        <w:rPr>
          <w:rFonts w:eastAsiaTheme="minorHAnsi" w:cstheme="minorBidi"/>
          <w:szCs w:val="22"/>
          <w:lang w:eastAsia="en-US"/>
        </w:rPr>
        <w:t>pakalpojumus turpmāk minēto apsvērumu dēļ. Nav skaidrs, kā SIA „Centība V”, 2010.gada 1.jūnijā noformējot rēķinu par pakalpojuma sniegšanu 2010.gada 27.aprīlī – 9.augustā, varēja zināt, ka paredzētie darbi objektā tiks pabeigti tieši 2010.gada 9.augustā. Turklāt SIA „</w:t>
      </w:r>
      <w:proofErr w:type="spellStart"/>
      <w:r w:rsidR="00645DEE" w:rsidRPr="00B508BE">
        <w:rPr>
          <w:rFonts w:eastAsiaTheme="minorHAnsi" w:cstheme="minorBidi"/>
          <w:szCs w:val="22"/>
          <w:lang w:eastAsia="en-US"/>
        </w:rPr>
        <w:t>Argente</w:t>
      </w:r>
      <w:proofErr w:type="spellEnd"/>
      <w:r w:rsidR="00645DEE" w:rsidRPr="00B508BE">
        <w:rPr>
          <w:rFonts w:eastAsiaTheme="minorHAnsi" w:cstheme="minorBidi"/>
          <w:szCs w:val="22"/>
          <w:lang w:eastAsia="en-US"/>
        </w:rPr>
        <w:t xml:space="preserve"> Projekts” līgumu ar SIA</w:t>
      </w:r>
      <w:r w:rsidR="00965474">
        <w:rPr>
          <w:rFonts w:eastAsiaTheme="minorHAnsi" w:cstheme="minorBidi"/>
          <w:szCs w:val="22"/>
          <w:lang w:eastAsia="en-US"/>
        </w:rPr>
        <w:t> </w:t>
      </w:r>
      <w:r w:rsidR="00645DEE" w:rsidRPr="00B508BE">
        <w:rPr>
          <w:rFonts w:eastAsiaTheme="minorHAnsi" w:cstheme="minorBidi"/>
          <w:szCs w:val="22"/>
          <w:lang w:eastAsia="en-US"/>
        </w:rPr>
        <w:t xml:space="preserve">„Centība V” par darbu veikšanu objektā noformēja </w:t>
      </w:r>
      <w:r w:rsidR="00FF5DF8" w:rsidRPr="00B508BE">
        <w:rPr>
          <w:rFonts w:eastAsiaTheme="minorHAnsi" w:cstheme="minorBidi"/>
          <w:szCs w:val="22"/>
          <w:lang w:eastAsia="en-US"/>
        </w:rPr>
        <w:t>2010.gada 5.janvārī</w:t>
      </w:r>
      <w:r w:rsidR="00FF5DF8">
        <w:rPr>
          <w:rFonts w:eastAsiaTheme="minorHAnsi" w:cstheme="minorBidi"/>
          <w:szCs w:val="22"/>
          <w:lang w:eastAsia="en-US"/>
        </w:rPr>
        <w:t>,</w:t>
      </w:r>
      <w:r w:rsidR="00FF5DF8" w:rsidRPr="00B508BE">
        <w:rPr>
          <w:rFonts w:eastAsiaTheme="minorHAnsi" w:cstheme="minorBidi"/>
          <w:szCs w:val="22"/>
          <w:lang w:eastAsia="en-US"/>
        </w:rPr>
        <w:t xml:space="preserve"> t.i., </w:t>
      </w:r>
      <w:r w:rsidR="00645DEE" w:rsidRPr="00B508BE">
        <w:rPr>
          <w:rFonts w:eastAsiaTheme="minorHAnsi" w:cstheme="minorBidi"/>
          <w:szCs w:val="22"/>
          <w:lang w:eastAsia="en-US"/>
        </w:rPr>
        <w:t>agrāk, , nekā pieteicēja minēto darbu izpildei nolīga SIA „</w:t>
      </w:r>
      <w:proofErr w:type="spellStart"/>
      <w:r w:rsidR="00645DEE" w:rsidRPr="00B508BE">
        <w:rPr>
          <w:rFonts w:eastAsiaTheme="minorHAnsi" w:cstheme="minorBidi"/>
          <w:szCs w:val="22"/>
          <w:lang w:eastAsia="en-US"/>
        </w:rPr>
        <w:t>Argente</w:t>
      </w:r>
      <w:proofErr w:type="spellEnd"/>
      <w:r w:rsidR="00645DEE" w:rsidRPr="00B508BE">
        <w:rPr>
          <w:rFonts w:eastAsiaTheme="minorHAnsi" w:cstheme="minorBidi"/>
          <w:szCs w:val="22"/>
          <w:lang w:eastAsia="en-US"/>
        </w:rPr>
        <w:t xml:space="preserve"> Projekts”</w:t>
      </w:r>
      <w:r w:rsidR="00D41EE3" w:rsidRPr="00B508BE">
        <w:rPr>
          <w:rFonts w:eastAsiaTheme="minorHAnsi" w:cstheme="minorBidi"/>
          <w:szCs w:val="22"/>
          <w:lang w:eastAsia="en-US"/>
        </w:rPr>
        <w:t>.</w:t>
      </w:r>
    </w:p>
    <w:p w14:paraId="4B5A845C" w14:textId="1581D028" w:rsidR="00645DEE" w:rsidRPr="00B508BE" w:rsidRDefault="00645DEE"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 xml:space="preserve">Tāpat </w:t>
      </w:r>
      <w:r w:rsidR="00F84B6C">
        <w:rPr>
          <w:rFonts w:eastAsiaTheme="minorHAnsi" w:cstheme="minorBidi"/>
          <w:szCs w:val="22"/>
          <w:lang w:eastAsia="en-US"/>
        </w:rPr>
        <w:t>[pers. A]</w:t>
      </w:r>
      <w:r w:rsidRPr="00B508BE">
        <w:rPr>
          <w:rFonts w:eastAsiaTheme="minorHAnsi" w:cstheme="minorBidi"/>
          <w:szCs w:val="22"/>
          <w:lang w:eastAsia="en-US"/>
        </w:rPr>
        <w:t xml:space="preserve"> nevarēja sniegt detalizētu informāciju par saņemtajiem un realizētajiem pakalpojumiem. </w:t>
      </w:r>
      <w:r w:rsidR="00F84B6C">
        <w:rPr>
          <w:rFonts w:eastAsiaTheme="minorHAnsi" w:cstheme="minorBidi"/>
          <w:szCs w:val="22"/>
          <w:lang w:eastAsia="en-US"/>
        </w:rPr>
        <w:t>[pers. A]</w:t>
      </w:r>
      <w:r w:rsidRPr="00B508BE">
        <w:rPr>
          <w:rFonts w:eastAsiaTheme="minorHAnsi" w:cstheme="minorBidi"/>
          <w:szCs w:val="22"/>
          <w:lang w:eastAsia="en-US"/>
        </w:rPr>
        <w:t xml:space="preserve"> nav personīgi pazīstams ar SIA „Centība V” amatpersonu un nav apmeklējis objektu, jo uzticēja šos darbus darījuma partnera atbildīgajiem darbiniekiem. Savukārt </w:t>
      </w:r>
      <w:r w:rsidR="00F84B6C">
        <w:rPr>
          <w:rFonts w:eastAsiaTheme="minorHAnsi" w:cstheme="minorBidi"/>
          <w:szCs w:val="22"/>
          <w:lang w:eastAsia="en-US"/>
        </w:rPr>
        <w:t>[pers. B]</w:t>
      </w:r>
      <w:r w:rsidRPr="00B508BE">
        <w:rPr>
          <w:rFonts w:eastAsiaTheme="minorHAnsi" w:cstheme="minorBidi"/>
          <w:szCs w:val="22"/>
          <w:lang w:eastAsia="en-US"/>
        </w:rPr>
        <w:t xml:space="preserve"> norādījis, ka no darba līguma noslēgšanas (2010.gada 9.februāra) viņš nav iesaistīts būvobjektos vai citā saimnieciskajā darbībā.</w:t>
      </w:r>
    </w:p>
    <w:p w14:paraId="6A949682" w14:textId="722E45C9" w:rsidR="00645DEE" w:rsidRPr="00B508BE" w:rsidRDefault="00982EA1"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[3.</w:t>
      </w:r>
      <w:r w:rsidR="00CF64D5" w:rsidRPr="00B508BE">
        <w:rPr>
          <w:rFonts w:eastAsiaTheme="minorHAnsi" w:cstheme="minorBidi"/>
          <w:szCs w:val="22"/>
          <w:lang w:eastAsia="en-US"/>
        </w:rPr>
        <w:t>3</w:t>
      </w:r>
      <w:r w:rsidRPr="00B508BE">
        <w:rPr>
          <w:rFonts w:eastAsiaTheme="minorHAnsi" w:cstheme="minorBidi"/>
          <w:szCs w:val="22"/>
          <w:lang w:eastAsia="en-US"/>
        </w:rPr>
        <w:t>] </w:t>
      </w:r>
      <w:r w:rsidR="00645DEE" w:rsidRPr="00B508BE">
        <w:rPr>
          <w:rFonts w:eastAsiaTheme="minorHAnsi" w:cstheme="minorBidi"/>
          <w:szCs w:val="22"/>
          <w:lang w:eastAsia="en-US"/>
        </w:rPr>
        <w:t>SIA „Centība V” 2010.gada janvārī – jūnijā deklarēja darījumus ar vienīgo darījumu partneri SIA „</w:t>
      </w:r>
      <w:proofErr w:type="spellStart"/>
      <w:r w:rsidR="00645DEE" w:rsidRPr="00B508BE">
        <w:rPr>
          <w:rFonts w:eastAsiaTheme="minorHAnsi" w:cstheme="minorBidi"/>
          <w:szCs w:val="22"/>
          <w:lang w:eastAsia="en-US"/>
        </w:rPr>
        <w:t>Palbroks</w:t>
      </w:r>
      <w:proofErr w:type="spellEnd"/>
      <w:r w:rsidR="00645DEE" w:rsidRPr="00B508BE">
        <w:rPr>
          <w:rFonts w:eastAsiaTheme="minorHAnsi" w:cstheme="minorBidi"/>
          <w:szCs w:val="22"/>
          <w:lang w:eastAsia="en-US"/>
        </w:rPr>
        <w:t>”. Saskaņā ar SIA „</w:t>
      </w:r>
      <w:proofErr w:type="spellStart"/>
      <w:r w:rsidR="00645DEE" w:rsidRPr="00B508BE">
        <w:rPr>
          <w:rFonts w:eastAsiaTheme="minorHAnsi" w:cstheme="minorBidi"/>
          <w:szCs w:val="22"/>
          <w:lang w:eastAsia="en-US"/>
        </w:rPr>
        <w:t>Palbroks</w:t>
      </w:r>
      <w:proofErr w:type="spellEnd"/>
      <w:r w:rsidR="00645DEE" w:rsidRPr="00B508BE">
        <w:rPr>
          <w:rFonts w:eastAsiaTheme="minorHAnsi" w:cstheme="minorBidi"/>
          <w:szCs w:val="22"/>
          <w:lang w:eastAsia="en-US"/>
        </w:rPr>
        <w:t xml:space="preserve">” amatpersonas </w:t>
      </w:r>
      <w:r w:rsidR="00F84B6C">
        <w:rPr>
          <w:rFonts w:eastAsiaTheme="minorHAnsi" w:cstheme="minorBidi"/>
          <w:szCs w:val="22"/>
          <w:lang w:eastAsia="en-US"/>
        </w:rPr>
        <w:t>[pers. C]</w:t>
      </w:r>
      <w:r w:rsidR="00645DEE" w:rsidRPr="00B508BE">
        <w:rPr>
          <w:rFonts w:eastAsiaTheme="minorHAnsi" w:cstheme="minorBidi"/>
          <w:szCs w:val="22"/>
          <w:lang w:eastAsia="en-US"/>
        </w:rPr>
        <w:t xml:space="preserve"> sniegto paskaidrojumu sabiedrība ir fiktīva un tajā faktiski netika veikta saimnieciskā darbība. Tādējādi nav pamata uzskatīt, ka SIA „</w:t>
      </w:r>
      <w:proofErr w:type="spellStart"/>
      <w:r w:rsidR="00645DEE" w:rsidRPr="00B508BE">
        <w:rPr>
          <w:rFonts w:eastAsiaTheme="minorHAnsi" w:cstheme="minorBidi"/>
          <w:szCs w:val="22"/>
          <w:lang w:eastAsia="en-US"/>
        </w:rPr>
        <w:t>Palbroks</w:t>
      </w:r>
      <w:proofErr w:type="spellEnd"/>
      <w:r w:rsidR="00645DEE" w:rsidRPr="00B508BE">
        <w:rPr>
          <w:rFonts w:eastAsiaTheme="minorHAnsi" w:cstheme="minorBidi"/>
          <w:szCs w:val="22"/>
          <w:lang w:eastAsia="en-US"/>
        </w:rPr>
        <w:t xml:space="preserve">” deklarētie darījumi ar SIA „Centība V” ir notikuši. </w:t>
      </w:r>
    </w:p>
    <w:p w14:paraId="615EF84E" w14:textId="1F3CFD54" w:rsidR="00645DEE" w:rsidRPr="00B508BE" w:rsidRDefault="00714055"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[3.</w:t>
      </w:r>
      <w:r w:rsidR="00CF64D5" w:rsidRPr="00B508BE">
        <w:rPr>
          <w:rFonts w:eastAsiaTheme="minorHAnsi" w:cstheme="minorBidi"/>
          <w:szCs w:val="22"/>
          <w:lang w:eastAsia="en-US"/>
        </w:rPr>
        <w:t>4</w:t>
      </w:r>
      <w:r w:rsidRPr="00B508BE">
        <w:rPr>
          <w:rFonts w:eastAsiaTheme="minorHAnsi" w:cstheme="minorBidi"/>
          <w:szCs w:val="22"/>
          <w:lang w:eastAsia="en-US"/>
        </w:rPr>
        <w:t>] </w:t>
      </w:r>
      <w:r w:rsidR="00645DEE" w:rsidRPr="00B508BE">
        <w:rPr>
          <w:rFonts w:eastAsiaTheme="minorHAnsi" w:cstheme="minorBidi"/>
          <w:szCs w:val="22"/>
          <w:lang w:eastAsia="en-US"/>
        </w:rPr>
        <w:t>SIA „Centība V” un SIA „</w:t>
      </w:r>
      <w:proofErr w:type="spellStart"/>
      <w:r w:rsidR="00645DEE" w:rsidRPr="00B508BE">
        <w:rPr>
          <w:rFonts w:eastAsiaTheme="minorHAnsi" w:cstheme="minorBidi"/>
          <w:szCs w:val="22"/>
          <w:lang w:eastAsia="en-US"/>
        </w:rPr>
        <w:t>Palbroks</w:t>
      </w:r>
      <w:proofErr w:type="spellEnd"/>
      <w:r w:rsidR="00645DEE" w:rsidRPr="00B508BE">
        <w:rPr>
          <w:rFonts w:eastAsiaTheme="minorHAnsi" w:cstheme="minorBidi"/>
          <w:szCs w:val="22"/>
          <w:lang w:eastAsia="en-US"/>
        </w:rPr>
        <w:t xml:space="preserve">” nav darbaspēka resursu darījuma nodrošināšanai. 2010.gada aprīlī – augustā </w:t>
      </w:r>
      <w:r w:rsidR="00914D54" w:rsidRPr="00B508BE">
        <w:rPr>
          <w:rFonts w:eastAsiaTheme="minorHAnsi" w:cstheme="minorBidi"/>
          <w:szCs w:val="22"/>
          <w:lang w:eastAsia="en-US"/>
        </w:rPr>
        <w:t>katra</w:t>
      </w:r>
      <w:r w:rsidR="00645DEE" w:rsidRPr="00B508BE">
        <w:rPr>
          <w:rFonts w:eastAsiaTheme="minorHAnsi" w:cstheme="minorBidi"/>
          <w:szCs w:val="22"/>
          <w:lang w:eastAsia="en-US"/>
        </w:rPr>
        <w:t xml:space="preserve"> reģistrējušas vienu darba ņēmēju, attiecīgi amatpersonu </w:t>
      </w:r>
      <w:r w:rsidR="00CA6B87">
        <w:rPr>
          <w:rFonts w:eastAsiaTheme="minorHAnsi" w:cstheme="minorBidi"/>
          <w:szCs w:val="22"/>
          <w:lang w:eastAsia="en-US"/>
        </w:rPr>
        <w:t>[pers. D]</w:t>
      </w:r>
      <w:r w:rsidR="00645DEE" w:rsidRPr="00B508BE">
        <w:rPr>
          <w:rFonts w:eastAsiaTheme="minorHAnsi" w:cstheme="minorBidi"/>
          <w:szCs w:val="22"/>
          <w:lang w:eastAsia="en-US"/>
        </w:rPr>
        <w:t xml:space="preserve"> un </w:t>
      </w:r>
      <w:r w:rsidR="00F84B6C">
        <w:rPr>
          <w:rFonts w:eastAsiaTheme="minorHAnsi" w:cstheme="minorBidi"/>
          <w:szCs w:val="22"/>
          <w:lang w:eastAsia="en-US"/>
        </w:rPr>
        <w:t>[pers. C]</w:t>
      </w:r>
      <w:r w:rsidR="00645DEE" w:rsidRPr="00B508BE">
        <w:rPr>
          <w:rFonts w:eastAsiaTheme="minorHAnsi" w:cstheme="minorBidi"/>
          <w:szCs w:val="22"/>
          <w:lang w:eastAsia="en-US"/>
        </w:rPr>
        <w:t xml:space="preserve">. </w:t>
      </w:r>
      <w:r w:rsidR="00CA6B87">
        <w:rPr>
          <w:rFonts w:eastAsiaTheme="minorHAnsi" w:cstheme="minorBidi"/>
          <w:szCs w:val="22"/>
          <w:lang w:eastAsia="en-US"/>
        </w:rPr>
        <w:t>[pers. D]</w:t>
      </w:r>
      <w:r w:rsidR="00645DEE" w:rsidRPr="00B508BE">
        <w:rPr>
          <w:rFonts w:eastAsiaTheme="minorHAnsi" w:cstheme="minorBidi"/>
          <w:szCs w:val="22"/>
          <w:lang w:eastAsia="en-US"/>
        </w:rPr>
        <w:t xml:space="preserve"> uzaicinājumu ierasties </w:t>
      </w:r>
      <w:r w:rsidR="00885E55" w:rsidRPr="00B508BE">
        <w:rPr>
          <w:rFonts w:eastAsiaTheme="minorHAnsi" w:cstheme="minorBidi"/>
          <w:szCs w:val="22"/>
          <w:lang w:eastAsia="en-US"/>
        </w:rPr>
        <w:t xml:space="preserve">Valsts ieņēmumu </w:t>
      </w:r>
      <w:r w:rsidR="00645DEE" w:rsidRPr="00B508BE">
        <w:rPr>
          <w:rFonts w:eastAsiaTheme="minorHAnsi" w:cstheme="minorBidi"/>
          <w:szCs w:val="22"/>
          <w:lang w:eastAsia="en-US"/>
        </w:rPr>
        <w:t>dienestā un sniegt paskaidrojumu atstāja bez ievērības. SI</w:t>
      </w:r>
      <w:r w:rsidR="00885E55" w:rsidRPr="00B508BE">
        <w:rPr>
          <w:rFonts w:eastAsiaTheme="minorHAnsi" w:cstheme="minorBidi"/>
          <w:szCs w:val="22"/>
          <w:lang w:eastAsia="en-US"/>
        </w:rPr>
        <w:t>A „</w:t>
      </w:r>
      <w:proofErr w:type="spellStart"/>
      <w:r w:rsidR="00885E55" w:rsidRPr="00B508BE">
        <w:rPr>
          <w:rFonts w:eastAsiaTheme="minorHAnsi" w:cstheme="minorBidi"/>
          <w:szCs w:val="22"/>
          <w:lang w:eastAsia="en-US"/>
        </w:rPr>
        <w:t>Palbroks</w:t>
      </w:r>
      <w:proofErr w:type="spellEnd"/>
      <w:r w:rsidR="00885E55" w:rsidRPr="00B508BE">
        <w:rPr>
          <w:rFonts w:eastAsiaTheme="minorHAnsi" w:cstheme="minorBidi"/>
          <w:szCs w:val="22"/>
          <w:lang w:eastAsia="en-US"/>
        </w:rPr>
        <w:t>” nebija reģistrēta b</w:t>
      </w:r>
      <w:r w:rsidR="00645DEE" w:rsidRPr="00B508BE">
        <w:rPr>
          <w:rFonts w:eastAsiaTheme="minorHAnsi" w:cstheme="minorBidi"/>
          <w:szCs w:val="22"/>
          <w:lang w:eastAsia="en-US"/>
        </w:rPr>
        <w:t xml:space="preserve">ūvkomersantu reģistrā, bet SIA „Centība V” 2009.gada 9.februārī beidzies atļaujas termiņš veikt būvniecības darbus. Līdz ar to minētās sabiedrības nevarēja sniegt </w:t>
      </w:r>
      <w:r w:rsidR="00FF5DF8">
        <w:rPr>
          <w:rFonts w:eastAsiaTheme="minorHAnsi" w:cstheme="minorBidi"/>
          <w:szCs w:val="22"/>
          <w:lang w:eastAsia="en-US"/>
        </w:rPr>
        <w:t>būv</w:t>
      </w:r>
      <w:r w:rsidR="00FF5DF8" w:rsidRPr="00B508BE">
        <w:rPr>
          <w:rFonts w:eastAsiaTheme="minorHAnsi" w:cstheme="minorBidi"/>
          <w:szCs w:val="22"/>
          <w:lang w:eastAsia="en-US"/>
        </w:rPr>
        <w:t xml:space="preserve">niecības </w:t>
      </w:r>
      <w:r w:rsidR="00645DEE" w:rsidRPr="00B508BE">
        <w:rPr>
          <w:rFonts w:eastAsiaTheme="minorHAnsi" w:cstheme="minorBidi"/>
          <w:szCs w:val="22"/>
          <w:lang w:eastAsia="en-US"/>
        </w:rPr>
        <w:t>pakalpojumus, kuru veikšanai saskaņā ar normatīvaj</w:t>
      </w:r>
      <w:r w:rsidR="00885E55" w:rsidRPr="00B508BE">
        <w:rPr>
          <w:rFonts w:eastAsiaTheme="minorHAnsi" w:cstheme="minorBidi"/>
          <w:szCs w:val="22"/>
          <w:lang w:eastAsia="en-US"/>
        </w:rPr>
        <w:t>iem aktiem nepieciešama derīga b</w:t>
      </w:r>
      <w:r w:rsidR="00645DEE" w:rsidRPr="00B508BE">
        <w:rPr>
          <w:rFonts w:eastAsiaTheme="minorHAnsi" w:cstheme="minorBidi"/>
          <w:szCs w:val="22"/>
          <w:lang w:eastAsia="en-US"/>
        </w:rPr>
        <w:t xml:space="preserve">ūvkomersanta reģistrācijas apliecība. </w:t>
      </w:r>
    </w:p>
    <w:p w14:paraId="1368A493" w14:textId="3DC2CB51" w:rsidR="00645DEE" w:rsidRPr="00B508BE" w:rsidRDefault="00645DEE"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Saskaņā ar Ceļu satiksmes drošības direkcijas datiem SIA „Centība V” un SIA „</w:t>
      </w:r>
      <w:proofErr w:type="spellStart"/>
      <w:r w:rsidRPr="00B508BE">
        <w:rPr>
          <w:rFonts w:eastAsiaTheme="minorHAnsi" w:cstheme="minorBidi"/>
          <w:szCs w:val="22"/>
          <w:lang w:eastAsia="en-US"/>
        </w:rPr>
        <w:t>Palbroks</w:t>
      </w:r>
      <w:proofErr w:type="spellEnd"/>
      <w:r w:rsidRPr="00B508BE">
        <w:rPr>
          <w:rFonts w:eastAsiaTheme="minorHAnsi" w:cstheme="minorBidi"/>
          <w:szCs w:val="22"/>
          <w:lang w:eastAsia="en-US"/>
        </w:rPr>
        <w:t xml:space="preserve">” nav reģistrēti transportlīdzekļi. Līdz ar to minētajām sabiedrībām nav materiāltehnisko resursu </w:t>
      </w:r>
      <w:r w:rsidR="00FF5DF8">
        <w:rPr>
          <w:rFonts w:eastAsiaTheme="minorHAnsi" w:cstheme="minorBidi"/>
          <w:szCs w:val="22"/>
          <w:lang w:eastAsia="en-US"/>
        </w:rPr>
        <w:t>būv</w:t>
      </w:r>
      <w:r w:rsidR="00FF5DF8" w:rsidRPr="00B508BE">
        <w:rPr>
          <w:rFonts w:eastAsiaTheme="minorHAnsi" w:cstheme="minorBidi"/>
          <w:szCs w:val="22"/>
          <w:lang w:eastAsia="en-US"/>
        </w:rPr>
        <w:t xml:space="preserve">niecības </w:t>
      </w:r>
      <w:r w:rsidRPr="00B508BE">
        <w:rPr>
          <w:rFonts w:eastAsiaTheme="minorHAnsi" w:cstheme="minorBidi"/>
          <w:szCs w:val="22"/>
          <w:lang w:eastAsia="en-US"/>
        </w:rPr>
        <w:t>preču piegāžu nodrošināšanai. SIA „Centība V” un SIA „</w:t>
      </w:r>
      <w:proofErr w:type="spellStart"/>
      <w:r w:rsidRPr="00B508BE">
        <w:rPr>
          <w:rFonts w:eastAsiaTheme="minorHAnsi" w:cstheme="minorBidi"/>
          <w:szCs w:val="22"/>
          <w:lang w:eastAsia="en-US"/>
        </w:rPr>
        <w:t>Palbroks</w:t>
      </w:r>
      <w:proofErr w:type="spellEnd"/>
      <w:r w:rsidRPr="00B508BE">
        <w:rPr>
          <w:rFonts w:eastAsiaTheme="minorHAnsi" w:cstheme="minorBidi"/>
          <w:szCs w:val="22"/>
          <w:lang w:eastAsia="en-US"/>
        </w:rPr>
        <w:t xml:space="preserve">” nav reģistrētas arī struktūrvienības. </w:t>
      </w:r>
    </w:p>
    <w:p w14:paraId="307E65E2" w14:textId="0D595D69" w:rsidR="00645DEE" w:rsidRPr="00B508BE" w:rsidRDefault="00645DEE"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Ņemot vērā minēto, nav gūts apstiprinājums, ka minētās sabiedrības varēja nodrošināt tās norādīto saimniecisko darbību. SIA „</w:t>
      </w:r>
      <w:proofErr w:type="spellStart"/>
      <w:r w:rsidRPr="00B508BE">
        <w:rPr>
          <w:rFonts w:eastAsiaTheme="minorHAnsi" w:cstheme="minorBidi"/>
          <w:szCs w:val="22"/>
          <w:lang w:eastAsia="en-US"/>
        </w:rPr>
        <w:t>Palbroks</w:t>
      </w:r>
      <w:proofErr w:type="spellEnd"/>
      <w:r w:rsidRPr="00B508BE">
        <w:rPr>
          <w:rFonts w:eastAsiaTheme="minorHAnsi" w:cstheme="minorBidi"/>
          <w:szCs w:val="22"/>
          <w:lang w:eastAsia="en-US"/>
        </w:rPr>
        <w:t>” un SIA „Centība V” 2010.gada 16.jūlijā un 3.septembrī ir izslēgtas no</w:t>
      </w:r>
      <w:r w:rsidR="00885E55" w:rsidRPr="00B508BE">
        <w:rPr>
          <w:rFonts w:eastAsiaTheme="minorHAnsi" w:cstheme="minorBidi"/>
          <w:szCs w:val="22"/>
          <w:lang w:eastAsia="en-US"/>
        </w:rPr>
        <w:t xml:space="preserve"> Valsts ieņēmumu</w:t>
      </w:r>
      <w:r w:rsidRPr="00B508BE">
        <w:rPr>
          <w:rFonts w:eastAsiaTheme="minorHAnsi" w:cstheme="minorBidi"/>
          <w:szCs w:val="22"/>
          <w:lang w:eastAsia="en-US"/>
        </w:rPr>
        <w:t xml:space="preserve"> dienesta ar pievienotās vērtības nodokļa apliekamo personu reģistra sakarā ar dokumentu neiesniegšanu nodokļa aprēķinu pārbaudei. </w:t>
      </w:r>
    </w:p>
    <w:p w14:paraId="02C3A881" w14:textId="1FD03B87" w:rsidR="002D4B1E" w:rsidRPr="00B508BE" w:rsidRDefault="00BE1785" w:rsidP="00E73E49">
      <w:pPr>
        <w:spacing w:line="276" w:lineRule="auto"/>
        <w:ind w:firstLine="567"/>
        <w:jc w:val="both"/>
        <w:rPr>
          <w:lang w:eastAsia="lv-LV"/>
        </w:rPr>
      </w:pPr>
      <w:r w:rsidRPr="00B508BE">
        <w:rPr>
          <w:rFonts w:eastAsiaTheme="minorHAnsi" w:cstheme="minorBidi"/>
          <w:szCs w:val="22"/>
          <w:lang w:eastAsia="en-US"/>
        </w:rPr>
        <w:t>[3.</w:t>
      </w:r>
      <w:r w:rsidR="00A05F34" w:rsidRPr="00B508BE">
        <w:rPr>
          <w:rFonts w:eastAsiaTheme="minorHAnsi" w:cstheme="minorBidi"/>
          <w:szCs w:val="22"/>
          <w:lang w:eastAsia="en-US"/>
        </w:rPr>
        <w:t>5</w:t>
      </w:r>
      <w:r w:rsidRPr="00B508BE">
        <w:rPr>
          <w:rFonts w:eastAsiaTheme="minorHAnsi" w:cstheme="minorBidi"/>
          <w:szCs w:val="22"/>
          <w:lang w:eastAsia="en-US"/>
        </w:rPr>
        <w:t xml:space="preserve">] No minētā izriet, ka </w:t>
      </w:r>
      <w:r w:rsidR="00885E55" w:rsidRPr="00B508BE">
        <w:rPr>
          <w:rFonts w:eastAsiaTheme="minorHAnsi" w:cstheme="minorBidi"/>
          <w:szCs w:val="22"/>
          <w:lang w:eastAsia="en-US"/>
        </w:rPr>
        <w:t xml:space="preserve">Valsts ieņēmumu </w:t>
      </w:r>
      <w:r w:rsidRPr="00B508BE">
        <w:rPr>
          <w:rFonts w:eastAsiaTheme="minorHAnsi" w:cstheme="minorBidi"/>
          <w:szCs w:val="22"/>
          <w:lang w:eastAsia="en-US"/>
        </w:rPr>
        <w:t xml:space="preserve">dienests ir pareizi secinājis, ka </w:t>
      </w:r>
      <w:r w:rsidRPr="00B508BE">
        <w:t>SIA „</w:t>
      </w:r>
      <w:proofErr w:type="spellStart"/>
      <w:r w:rsidRPr="00B508BE">
        <w:t>Argente</w:t>
      </w:r>
      <w:proofErr w:type="spellEnd"/>
      <w:r w:rsidRPr="00B508BE">
        <w:t xml:space="preserve"> Projekts” faktiski nav sniegusi pakalpojumus pieteicējai.</w:t>
      </w:r>
      <w:r w:rsidR="005B0605" w:rsidRPr="00B508BE">
        <w:t xml:space="preserve"> Vienlaikus lietā netiek apšaubīts, ka jumta remonta darbi ir notikuši, tādējādi pārbaudāms, vai pieteicēja zināja</w:t>
      </w:r>
      <w:r w:rsidR="00644657" w:rsidRPr="00B508BE">
        <w:rPr>
          <w:lang w:eastAsia="lv-LV"/>
        </w:rPr>
        <w:t xml:space="preserve"> par iesaistīšanos pievienotās vērtības nodokļa nepamatotas samazināšanas shēmā.</w:t>
      </w:r>
    </w:p>
    <w:p w14:paraId="5ABC1AD7" w14:textId="2CB926CB" w:rsidR="005C7F57" w:rsidRPr="00B508BE" w:rsidRDefault="00B16EE4" w:rsidP="00E73E49">
      <w:pPr>
        <w:spacing w:line="276" w:lineRule="auto"/>
        <w:ind w:firstLine="567"/>
        <w:jc w:val="both"/>
        <w:rPr>
          <w:rFonts w:eastAsiaTheme="minorHAnsi" w:cstheme="minorBidi"/>
          <w:szCs w:val="22"/>
          <w:lang w:eastAsia="en-US"/>
        </w:rPr>
      </w:pPr>
      <w:r w:rsidRPr="00B508BE">
        <w:rPr>
          <w:lang w:eastAsia="lv-LV"/>
        </w:rPr>
        <w:lastRenderedPageBreak/>
        <w:t>[3.</w:t>
      </w:r>
      <w:r w:rsidR="00B67D80" w:rsidRPr="00B508BE">
        <w:rPr>
          <w:lang w:eastAsia="lv-LV"/>
        </w:rPr>
        <w:t>6</w:t>
      </w:r>
      <w:r w:rsidRPr="00B508BE">
        <w:rPr>
          <w:lang w:eastAsia="lv-LV"/>
        </w:rPr>
        <w:t>] </w:t>
      </w:r>
      <w:r w:rsidR="00B67D80" w:rsidRPr="00B508BE">
        <w:rPr>
          <w:rFonts w:eastAsiaTheme="minorHAnsi" w:cstheme="minorBidi"/>
          <w:szCs w:val="22"/>
          <w:lang w:eastAsia="en-US"/>
        </w:rPr>
        <w:t>No liecinieku</w:t>
      </w:r>
      <w:r w:rsidR="005C7F57" w:rsidRPr="00B508BE">
        <w:rPr>
          <w:rFonts w:eastAsiaTheme="minorHAnsi" w:cstheme="minorBidi"/>
          <w:szCs w:val="22"/>
          <w:lang w:eastAsia="en-US"/>
        </w:rPr>
        <w:t xml:space="preserve"> </w:t>
      </w:r>
      <w:r w:rsidR="00CA6B87">
        <w:rPr>
          <w:rFonts w:eastAsiaTheme="minorHAnsi" w:cstheme="minorBidi"/>
          <w:szCs w:val="22"/>
          <w:lang w:eastAsia="en-US"/>
        </w:rPr>
        <w:t>[pers. E]</w:t>
      </w:r>
      <w:r w:rsidR="005C7F57" w:rsidRPr="00B508BE">
        <w:rPr>
          <w:rFonts w:eastAsiaTheme="minorHAnsi" w:cstheme="minorBidi"/>
          <w:szCs w:val="22"/>
          <w:lang w:eastAsia="en-US"/>
        </w:rPr>
        <w:t xml:space="preserve"> un </w:t>
      </w:r>
      <w:r w:rsidR="00F84B6C">
        <w:rPr>
          <w:rFonts w:eastAsiaTheme="minorHAnsi" w:cstheme="minorBidi"/>
          <w:szCs w:val="22"/>
          <w:lang w:eastAsia="en-US"/>
        </w:rPr>
        <w:t>[pers. A]</w:t>
      </w:r>
      <w:r w:rsidR="005C7F57" w:rsidRPr="00B508BE">
        <w:rPr>
          <w:rFonts w:eastAsiaTheme="minorHAnsi" w:cstheme="minorBidi"/>
          <w:szCs w:val="22"/>
          <w:lang w:eastAsia="en-US"/>
        </w:rPr>
        <w:t xml:space="preserve"> liecībām izriet, ka pieteicējas un SIA</w:t>
      </w:r>
      <w:r w:rsidR="00A96485" w:rsidRPr="00B508BE">
        <w:rPr>
          <w:rFonts w:eastAsiaTheme="minorHAnsi" w:cstheme="minorBidi"/>
          <w:szCs w:val="22"/>
          <w:lang w:eastAsia="en-US"/>
        </w:rPr>
        <w:t> </w:t>
      </w:r>
      <w:r w:rsidR="005C7F57" w:rsidRPr="00B508BE">
        <w:rPr>
          <w:rFonts w:eastAsiaTheme="minorHAnsi" w:cstheme="minorBidi"/>
          <w:szCs w:val="22"/>
          <w:lang w:eastAsia="en-US"/>
        </w:rPr>
        <w:t>„</w:t>
      </w:r>
      <w:proofErr w:type="spellStart"/>
      <w:r w:rsidR="005C7F57" w:rsidRPr="00B508BE">
        <w:rPr>
          <w:rFonts w:eastAsiaTheme="minorHAnsi" w:cstheme="minorBidi"/>
          <w:szCs w:val="22"/>
          <w:lang w:eastAsia="en-US"/>
        </w:rPr>
        <w:t>Argente</w:t>
      </w:r>
      <w:proofErr w:type="spellEnd"/>
      <w:r w:rsidR="005C7F57" w:rsidRPr="00B508BE">
        <w:rPr>
          <w:rFonts w:eastAsiaTheme="minorHAnsi" w:cstheme="minorBidi"/>
          <w:szCs w:val="22"/>
          <w:lang w:eastAsia="en-US"/>
        </w:rPr>
        <w:t xml:space="preserve"> Projekts” amatpersonas pirms strīdus darījuma noslēgšanas </w:t>
      </w:r>
      <w:r w:rsidR="00B67D80" w:rsidRPr="00B508BE">
        <w:rPr>
          <w:rFonts w:eastAsiaTheme="minorHAnsi" w:cstheme="minorBidi"/>
          <w:szCs w:val="22"/>
          <w:lang w:eastAsia="en-US"/>
        </w:rPr>
        <w:t>ne</w:t>
      </w:r>
      <w:r w:rsidR="005C7F57" w:rsidRPr="00B508BE">
        <w:rPr>
          <w:rFonts w:eastAsiaTheme="minorHAnsi" w:cstheme="minorBidi"/>
          <w:szCs w:val="22"/>
          <w:lang w:eastAsia="en-US"/>
        </w:rPr>
        <w:t>bija savstarpēji pazīstamas, proti, pieteicēja ir uzticējusi jumta remonta darbu veikšanu pilnīgi nepazīstamai Rīgas</w:t>
      </w:r>
      <w:r w:rsidR="00B67D80" w:rsidRPr="00B508BE">
        <w:rPr>
          <w:rFonts w:eastAsiaTheme="minorHAnsi" w:cstheme="minorBidi"/>
          <w:szCs w:val="22"/>
          <w:lang w:eastAsia="en-US"/>
        </w:rPr>
        <w:t xml:space="preserve"> firmai, jo tās piedāvājums bijis</w:t>
      </w:r>
      <w:r w:rsidR="005C7F57" w:rsidRPr="00B508BE">
        <w:rPr>
          <w:rFonts w:eastAsiaTheme="minorHAnsi" w:cstheme="minorBidi"/>
          <w:szCs w:val="22"/>
          <w:lang w:eastAsia="en-US"/>
        </w:rPr>
        <w:t xml:space="preserve"> vislētākais. Tomēr </w:t>
      </w:r>
      <w:r w:rsidR="00B67D80" w:rsidRPr="00B508BE">
        <w:rPr>
          <w:rFonts w:eastAsiaTheme="minorHAnsi" w:cstheme="minorBidi"/>
          <w:szCs w:val="22"/>
          <w:lang w:eastAsia="en-US"/>
        </w:rPr>
        <w:t xml:space="preserve">liecības par to, ka darījumā iesaistīto uzņēmumu amatpersonas nav bijušas pazīstamas, turpmāk minēto apsvērumu dēļ </w:t>
      </w:r>
      <w:r w:rsidR="005C7F57" w:rsidRPr="00B508BE">
        <w:rPr>
          <w:rFonts w:eastAsiaTheme="minorHAnsi" w:cstheme="minorBidi"/>
          <w:szCs w:val="22"/>
          <w:lang w:eastAsia="en-US"/>
        </w:rPr>
        <w:t>vērtējam</w:t>
      </w:r>
      <w:r w:rsidR="00B67D80" w:rsidRPr="00B508BE">
        <w:rPr>
          <w:rFonts w:eastAsiaTheme="minorHAnsi" w:cstheme="minorBidi"/>
          <w:szCs w:val="22"/>
          <w:lang w:eastAsia="en-US"/>
        </w:rPr>
        <w:t>a</w:t>
      </w:r>
      <w:r w:rsidR="005C7F57" w:rsidRPr="00B508BE">
        <w:rPr>
          <w:rFonts w:eastAsiaTheme="minorHAnsi" w:cstheme="minorBidi"/>
          <w:szCs w:val="22"/>
          <w:lang w:eastAsia="en-US"/>
        </w:rPr>
        <w:t xml:space="preserve">s kritiski. </w:t>
      </w:r>
    </w:p>
    <w:p w14:paraId="7D5E928D" w14:textId="74FEA7F5" w:rsidR="005C7F57" w:rsidRPr="00B508BE" w:rsidRDefault="005C7F57"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[3.</w:t>
      </w:r>
      <w:r w:rsidR="00B67D80" w:rsidRPr="00B508BE">
        <w:rPr>
          <w:rFonts w:eastAsiaTheme="minorHAnsi" w:cstheme="minorBidi"/>
          <w:szCs w:val="22"/>
          <w:lang w:eastAsia="en-US"/>
        </w:rPr>
        <w:t>7</w:t>
      </w:r>
      <w:r w:rsidRPr="00B508BE">
        <w:rPr>
          <w:rFonts w:eastAsiaTheme="minorHAnsi" w:cstheme="minorBidi"/>
          <w:szCs w:val="22"/>
          <w:lang w:eastAsia="en-US"/>
        </w:rPr>
        <w:t>] No ekonomiski saimnieciskā viedokļa nav izskaidrojams apstāklis, kāpēc pieteicējai avansā būtu jāsamaksā SIA „</w:t>
      </w:r>
      <w:proofErr w:type="spellStart"/>
      <w:r w:rsidRPr="00B508BE">
        <w:rPr>
          <w:rFonts w:eastAsiaTheme="minorHAnsi" w:cstheme="minorBidi"/>
          <w:szCs w:val="22"/>
          <w:lang w:eastAsia="en-US"/>
        </w:rPr>
        <w:t>Argente</w:t>
      </w:r>
      <w:proofErr w:type="spellEnd"/>
      <w:r w:rsidRPr="00B508BE">
        <w:rPr>
          <w:rFonts w:eastAsiaTheme="minorHAnsi" w:cstheme="minorBidi"/>
          <w:szCs w:val="22"/>
          <w:lang w:eastAsia="en-US"/>
        </w:rPr>
        <w:t xml:space="preserve"> Projekts” visa līgumā pielīgtā summa par vēl nepabeigtiem </w:t>
      </w:r>
      <w:r w:rsidR="00FF5DF8">
        <w:rPr>
          <w:rFonts w:eastAsiaTheme="minorHAnsi" w:cstheme="minorBidi"/>
          <w:szCs w:val="22"/>
          <w:lang w:eastAsia="en-US"/>
        </w:rPr>
        <w:t>būv</w:t>
      </w:r>
      <w:r w:rsidR="00FF5DF8" w:rsidRPr="00B508BE">
        <w:rPr>
          <w:rFonts w:eastAsiaTheme="minorHAnsi" w:cstheme="minorBidi"/>
          <w:szCs w:val="22"/>
          <w:lang w:eastAsia="en-US"/>
        </w:rPr>
        <w:t xml:space="preserve">niecības </w:t>
      </w:r>
      <w:r w:rsidRPr="00B508BE">
        <w:rPr>
          <w:rFonts w:eastAsiaTheme="minorHAnsi" w:cstheme="minorBidi"/>
          <w:szCs w:val="22"/>
          <w:lang w:eastAsia="en-US"/>
        </w:rPr>
        <w:t xml:space="preserve">darbiem pilnīgi nepazīstamam uzņēmumam. </w:t>
      </w:r>
    </w:p>
    <w:p w14:paraId="3029335E" w14:textId="77777777" w:rsidR="005C7F57" w:rsidRPr="00B508BE" w:rsidRDefault="005C7F57" w:rsidP="00E73E49">
      <w:pPr>
        <w:spacing w:line="276" w:lineRule="auto"/>
        <w:ind w:firstLine="567"/>
        <w:jc w:val="both"/>
        <w:rPr>
          <w:rFonts w:eastAsiaTheme="minorHAnsi" w:cstheme="minorBidi"/>
          <w:szCs w:val="22"/>
          <w:lang w:eastAsia="en-US"/>
        </w:rPr>
      </w:pPr>
      <w:r w:rsidRPr="00B508BE">
        <w:rPr>
          <w:rFonts w:eastAsiaTheme="minorHAnsi" w:cstheme="minorBidi"/>
          <w:szCs w:val="22"/>
          <w:lang w:eastAsia="en-US"/>
        </w:rPr>
        <w:t>Pieteicējas pārstāve tiesas sēdē paskaidroja, ka pieteicēja, ņemot vērā, ka darbi jau bija uzsākti un bija atvesti materiāli, paļāvās, ka darbi tiks pabeigti, un tāpēc veica avansa maksājumu. Minētajam paskaidrojumam nav piešķirama ticamība, jo nav loģiska izskaidrojuma, kāpēc pieteicēja ir uzticējusies pilnīgi svešam uzņēmumam no Rīgas, ar kuru nekad iepriekš nav sadarbojusies, vēl jo vairāk, ņemot vērā, ka šādu samaksas kārtību neparedz pušu noslēgtais līgums. Šāda rīcība neatbilst parastajai uzņēmējdarbībai.</w:t>
      </w:r>
    </w:p>
    <w:p w14:paraId="15ACE325" w14:textId="197E0A11" w:rsidR="00D508D8" w:rsidRPr="00B508BE" w:rsidRDefault="00D508D8" w:rsidP="00E73E49">
      <w:pPr>
        <w:spacing w:line="276" w:lineRule="auto"/>
        <w:ind w:firstLine="567"/>
        <w:jc w:val="both"/>
      </w:pPr>
      <w:r w:rsidRPr="00B508BE">
        <w:rPr>
          <w:rFonts w:eastAsiaTheme="minorHAnsi" w:cstheme="minorBidi"/>
          <w:szCs w:val="22"/>
          <w:lang w:eastAsia="en-US"/>
        </w:rPr>
        <w:t>[3.</w:t>
      </w:r>
      <w:r w:rsidR="00B67D80" w:rsidRPr="00B508BE">
        <w:rPr>
          <w:rFonts w:eastAsiaTheme="minorHAnsi" w:cstheme="minorBidi"/>
          <w:szCs w:val="22"/>
          <w:lang w:eastAsia="en-US"/>
        </w:rPr>
        <w:t>8</w:t>
      </w:r>
      <w:r w:rsidRPr="00B508BE">
        <w:rPr>
          <w:rFonts w:eastAsiaTheme="minorHAnsi" w:cstheme="minorBidi"/>
          <w:szCs w:val="22"/>
          <w:lang w:eastAsia="en-US"/>
        </w:rPr>
        <w:t>] </w:t>
      </w:r>
      <w:r w:rsidRPr="00B508BE">
        <w:t>To, ka starp pieteicēju un SIA „</w:t>
      </w:r>
      <w:proofErr w:type="spellStart"/>
      <w:r w:rsidRPr="00B508BE">
        <w:t>Argente</w:t>
      </w:r>
      <w:proofErr w:type="spellEnd"/>
      <w:r w:rsidRPr="00B508BE">
        <w:t xml:space="preserve"> Projekts” ir bijusi netipiska uzticēšanās, apliecina arī liecinieku </w:t>
      </w:r>
      <w:r w:rsidR="00CA6B87">
        <w:t>[pers. E]</w:t>
      </w:r>
      <w:r w:rsidRPr="00B508BE">
        <w:t xml:space="preserve"> un </w:t>
      </w:r>
      <w:r w:rsidR="00F84B6C">
        <w:t>[pers. A]</w:t>
      </w:r>
      <w:r w:rsidRPr="00B508BE">
        <w:t xml:space="preserve"> liecības, kas apstiprina, ka darbi objektā netika pieņemti, piedaloties pasūtītāja un izpildītāja pārstāvjiem. </w:t>
      </w:r>
      <w:r w:rsidR="00CA6B87">
        <w:t>[pers. E]</w:t>
      </w:r>
      <w:r w:rsidRPr="00B508BE">
        <w:t xml:space="preserve"> savās liecībās norādīja, ka darbi tika pārbaudīti tikai vizuāli. Savukārt </w:t>
      </w:r>
      <w:r w:rsidR="00F84B6C">
        <w:t>[pers. A]</w:t>
      </w:r>
      <w:r w:rsidRPr="00B508BE">
        <w:t xml:space="preserve"> par jumta remonta darbiem esot interesējies, telefoniski apjautājoties pasūtītājiem, vai nav kādu pretenziju.</w:t>
      </w:r>
    </w:p>
    <w:p w14:paraId="2424B72E" w14:textId="6FCCDB5A" w:rsidR="00F858F0" w:rsidRPr="00B508BE" w:rsidRDefault="00F858F0" w:rsidP="00E73E49">
      <w:pPr>
        <w:spacing w:line="276" w:lineRule="auto"/>
        <w:ind w:firstLine="567"/>
        <w:jc w:val="both"/>
      </w:pPr>
      <w:r w:rsidRPr="00B508BE">
        <w:t>Tāpat lietā ir konstatējamas pretrunas par to, kā pieteicējas un SIA „</w:t>
      </w:r>
      <w:proofErr w:type="spellStart"/>
      <w:r w:rsidRPr="00B508BE">
        <w:t>Argente</w:t>
      </w:r>
      <w:proofErr w:type="spellEnd"/>
      <w:r w:rsidRPr="00B508BE">
        <w:t xml:space="preserve"> Projekts” amatpersonas ir parakstījušas dokumentus, jo</w:t>
      </w:r>
      <w:r w:rsidR="00F84B6C">
        <w:t xml:space="preserve"> [pers. A]</w:t>
      </w:r>
      <w:r w:rsidRPr="00B508BE">
        <w:t xml:space="preserve"> tiesas sēdē liecināja, ka visus dokumentus sūtījis pa pastu, savukārt </w:t>
      </w:r>
      <w:r w:rsidR="00CA6B87">
        <w:t>[pers. E]</w:t>
      </w:r>
      <w:r w:rsidRPr="00B508BE">
        <w:t xml:space="preserve"> liecināja, ka dokumentus pieteicējai ir vedis SIA „</w:t>
      </w:r>
      <w:proofErr w:type="spellStart"/>
      <w:r w:rsidRPr="00B508BE">
        <w:t>Argente</w:t>
      </w:r>
      <w:proofErr w:type="spellEnd"/>
      <w:r w:rsidRPr="00B508BE">
        <w:t xml:space="preserve"> Projekts” pārstāvis. </w:t>
      </w:r>
      <w:r w:rsidR="000B0630" w:rsidRPr="00B508BE">
        <w:t>Minētās pretrunas liecina par to, ka darījums faktiski nav noticis, jo gadījumā, ja tas būtu patiešām noticis, amatpersonām, kas ir piedalījušās darījuma noslēgšanā, būtu jāzina, kā ir tikuši noformēti un parakstīti dokumenti.</w:t>
      </w:r>
    </w:p>
    <w:p w14:paraId="643119A9" w14:textId="687E516C" w:rsidR="009013C3" w:rsidRPr="00B508BE" w:rsidRDefault="009013C3" w:rsidP="00E73E49">
      <w:pPr>
        <w:spacing w:line="276" w:lineRule="auto"/>
        <w:ind w:firstLine="567"/>
        <w:jc w:val="both"/>
      </w:pPr>
      <w:r w:rsidRPr="00B508BE">
        <w:t>[3.</w:t>
      </w:r>
      <w:r w:rsidR="00A3219B" w:rsidRPr="00B508BE">
        <w:t>9</w:t>
      </w:r>
      <w:r w:rsidRPr="00B508BE">
        <w:t>]</w:t>
      </w:r>
      <w:r w:rsidR="00ED7DF5" w:rsidRPr="00B508BE">
        <w:t> </w:t>
      </w:r>
      <w:r w:rsidRPr="00B508BE">
        <w:t>Ievērojot iepriekš minēto, lietā ir pierādīts, ka darījums starp pieteicēju un SIA</w:t>
      </w:r>
      <w:r w:rsidR="00AC291B" w:rsidRPr="00B508BE">
        <w:t> </w:t>
      </w:r>
      <w:r w:rsidRPr="00B508BE">
        <w:t>„</w:t>
      </w:r>
      <w:proofErr w:type="spellStart"/>
      <w:r w:rsidRPr="00B508BE">
        <w:t>Argente</w:t>
      </w:r>
      <w:proofErr w:type="spellEnd"/>
      <w:r w:rsidRPr="00B508BE">
        <w:t xml:space="preserve"> Projekts” </w:t>
      </w:r>
      <w:r w:rsidR="006B5B34" w:rsidRPr="00B508BE">
        <w:t>bija</w:t>
      </w:r>
      <w:r w:rsidRPr="00B508BE">
        <w:t xml:space="preserve"> fiktīvs, proti, ar mērķi gūt fiskālas priekšrocības, turklāt lietā konstatēt</w:t>
      </w:r>
      <w:r w:rsidR="00237F96" w:rsidRPr="00B508BE">
        <w:t xml:space="preserve">ie apstākļi – </w:t>
      </w:r>
      <w:r w:rsidRPr="00B508BE">
        <w:t xml:space="preserve">neizskaidrojamā uzticēšanās, gan pieņemot </w:t>
      </w:r>
      <w:r w:rsidR="00FF5DF8">
        <w:t>būv</w:t>
      </w:r>
      <w:r w:rsidR="00FF5DF8" w:rsidRPr="00B508BE">
        <w:t xml:space="preserve">niecības </w:t>
      </w:r>
      <w:r w:rsidRPr="00B508BE">
        <w:t>darbus, gan veicot priekšlaicīgu samaksu par vēl nepabeigtajie</w:t>
      </w:r>
      <w:r w:rsidR="00237F96" w:rsidRPr="00B508BE">
        <w:t>m darbiem –</w:t>
      </w:r>
      <w:r w:rsidRPr="00B508BE">
        <w:t xml:space="preserve"> apliecina, ka pieteicēja </w:t>
      </w:r>
      <w:r w:rsidR="00237F96" w:rsidRPr="00B508BE">
        <w:t>zināja</w:t>
      </w:r>
      <w:r w:rsidRPr="00B508BE">
        <w:t>, ka piedalās pretlikumīgā nodokļu optimizācijas shēmā.</w:t>
      </w:r>
    </w:p>
    <w:p w14:paraId="2723FE5C" w14:textId="77777777" w:rsidR="002D4B1E" w:rsidRPr="00B508BE" w:rsidRDefault="002D4B1E" w:rsidP="00E73E49">
      <w:pPr>
        <w:pStyle w:val="NormalWeb"/>
        <w:tabs>
          <w:tab w:val="left" w:pos="1134"/>
        </w:tabs>
        <w:spacing w:line="276" w:lineRule="auto"/>
        <w:jc w:val="both"/>
      </w:pPr>
    </w:p>
    <w:p w14:paraId="2AE1D5D1" w14:textId="77777777" w:rsidR="002D4B1E" w:rsidRPr="00B508BE" w:rsidRDefault="002D4B1E" w:rsidP="00E73E49">
      <w:pPr>
        <w:pStyle w:val="NormalWeb"/>
        <w:tabs>
          <w:tab w:val="left" w:pos="1134"/>
        </w:tabs>
        <w:spacing w:line="276" w:lineRule="auto"/>
        <w:ind w:firstLine="567"/>
        <w:jc w:val="both"/>
      </w:pPr>
      <w:r w:rsidRPr="00B508BE">
        <w:t>[4] Pieteicēja iesniedza kasācijas sūdzību par Administratīvās apgabaltiesas spriedumu. Kasācijas sūdzībā norādīti turpmāk minētie argumenti.</w:t>
      </w:r>
    </w:p>
    <w:p w14:paraId="3271D7D7" w14:textId="3A00B066" w:rsidR="002D4B1E" w:rsidRPr="00B508BE" w:rsidRDefault="002D4B1E" w:rsidP="00E73E49">
      <w:pPr>
        <w:spacing w:line="276" w:lineRule="auto"/>
        <w:ind w:firstLine="567"/>
        <w:jc w:val="both"/>
      </w:pPr>
      <w:r w:rsidRPr="00B508BE">
        <w:t>[4.1] </w:t>
      </w:r>
      <w:r w:rsidR="00445F29" w:rsidRPr="00B508BE">
        <w:t xml:space="preserve">Apgabaltiesa nepamatoti nav pati nopratinājusi lieciniekus </w:t>
      </w:r>
      <w:r w:rsidR="00CA6B87">
        <w:t>[pers. E]</w:t>
      </w:r>
      <w:r w:rsidR="00445F29" w:rsidRPr="00B508BE">
        <w:t xml:space="preserve"> un </w:t>
      </w:r>
      <w:r w:rsidR="00F84B6C">
        <w:t>[pers. A]</w:t>
      </w:r>
      <w:r w:rsidR="00445F29" w:rsidRPr="00B508BE">
        <w:t xml:space="preserve">, bet </w:t>
      </w:r>
      <w:r w:rsidR="00FF5DF8">
        <w:t xml:space="preserve">ir </w:t>
      </w:r>
      <w:r w:rsidR="00445F29" w:rsidRPr="00B508BE">
        <w:t>atsaukusies uz pirmās instances tiesā sniegtajām liecībām, īpaši ņemot vērā, ka apgabaltiesa nepiešķīra ticamību šīm liecībām</w:t>
      </w:r>
      <w:r w:rsidR="00262678" w:rsidRPr="00B508BE">
        <w:t>, kā arī neguva pārliecību par atsevišķiem lietas apstākļiem.</w:t>
      </w:r>
    </w:p>
    <w:p w14:paraId="0830E208" w14:textId="09409C2A" w:rsidR="00262678" w:rsidRPr="00B508BE" w:rsidRDefault="00262678" w:rsidP="00E73E49">
      <w:pPr>
        <w:spacing w:line="276" w:lineRule="auto"/>
        <w:ind w:firstLine="567"/>
        <w:jc w:val="both"/>
      </w:pPr>
      <w:r w:rsidRPr="00B508BE">
        <w:t>[4.2] Izvērtējot SIA „</w:t>
      </w:r>
      <w:proofErr w:type="spellStart"/>
      <w:r w:rsidRPr="00B508BE">
        <w:t>Argente</w:t>
      </w:r>
      <w:proofErr w:type="spellEnd"/>
      <w:r w:rsidRPr="00B508BE">
        <w:t xml:space="preserve"> Projekts” jau paveiktos darbus, pieteicējai neradās šaubas</w:t>
      </w:r>
      <w:r w:rsidR="00893586" w:rsidRPr="00B508BE">
        <w:t xml:space="preserve"> par darbu kvalitāti</w:t>
      </w:r>
      <w:r w:rsidRPr="00B508BE">
        <w:t>,</w:t>
      </w:r>
      <w:r w:rsidR="00893586" w:rsidRPr="00B508BE">
        <w:t xml:space="preserve"> kā arī to, ka</w:t>
      </w:r>
      <w:r w:rsidRPr="00B508BE">
        <w:t xml:space="preserve"> darbi tiks pabeigti</w:t>
      </w:r>
      <w:r w:rsidR="00893586" w:rsidRPr="00B508BE">
        <w:t xml:space="preserve"> termiņā</w:t>
      </w:r>
      <w:r w:rsidRPr="00B508BE">
        <w:t>, tādēļ pieteicēja samaksāja avansa maksājumu vēl pirms darbu pabeigšanas.</w:t>
      </w:r>
    </w:p>
    <w:p w14:paraId="047EC3A2" w14:textId="77777777" w:rsidR="00F40EF7" w:rsidRPr="00B508BE" w:rsidRDefault="00A833AE" w:rsidP="00E73E49">
      <w:pPr>
        <w:spacing w:line="276" w:lineRule="auto"/>
        <w:ind w:firstLine="567"/>
        <w:jc w:val="both"/>
        <w:rPr>
          <w:bCs/>
        </w:rPr>
      </w:pPr>
      <w:r w:rsidRPr="00B508BE">
        <w:t xml:space="preserve">[4.3] Likuma „Par pievienotās vērtības </w:t>
      </w:r>
      <w:r w:rsidR="000E7ACE" w:rsidRPr="00B508BE">
        <w:t xml:space="preserve">nodokli” 10.panta pirmās daļas </w:t>
      </w:r>
      <w:r w:rsidRPr="00B508BE">
        <w:t>1.punkta, 1.</w:t>
      </w:r>
      <w:r w:rsidRPr="00B508BE">
        <w:rPr>
          <w:vertAlign w:val="superscript"/>
        </w:rPr>
        <w:t>2</w:t>
      </w:r>
      <w:r w:rsidRPr="00B508BE">
        <w:t>daļas un 8.panta 2.</w:t>
      </w:r>
      <w:r w:rsidRPr="00B508BE">
        <w:rPr>
          <w:vertAlign w:val="superscript"/>
        </w:rPr>
        <w:t>1</w:t>
      </w:r>
      <w:r w:rsidR="000E7ACE" w:rsidRPr="00B508BE">
        <w:t>daļas izpratnē</w:t>
      </w:r>
      <w:r w:rsidRPr="00B508BE">
        <w:t xml:space="preserve"> avansa veikšana ir pielīdzināma pakalpojuma saņemšanai, tādējādi šajā gadījumā priekšnodokļa </w:t>
      </w:r>
      <w:r w:rsidR="00FB6D2C" w:rsidRPr="00B508BE">
        <w:t>atskaitīšana</w:t>
      </w:r>
      <w:r w:rsidRPr="00B508BE">
        <w:t xml:space="preserve"> ir pamatota.</w:t>
      </w:r>
    </w:p>
    <w:p w14:paraId="4EE148CD" w14:textId="0E23DEAB" w:rsidR="00A833AE" w:rsidRPr="00B508BE" w:rsidRDefault="004D524B" w:rsidP="00E73E49">
      <w:pPr>
        <w:spacing w:line="276" w:lineRule="auto"/>
        <w:ind w:firstLine="567"/>
        <w:jc w:val="both"/>
      </w:pPr>
      <w:r w:rsidRPr="00B508BE">
        <w:rPr>
          <w:bCs/>
        </w:rPr>
        <w:t>Pieteicējai šajā gadījumā neradās šaubas par pakalpojuma sniegšanu atbilstoši līguma noteikumiem, tādējādi nebija pamata pārvērtēt priekšnodokļa atskaitīšanas pamatotīb</w:t>
      </w:r>
      <w:r w:rsidR="005E5BE2" w:rsidRPr="00B508BE">
        <w:rPr>
          <w:bCs/>
        </w:rPr>
        <w:t>u</w:t>
      </w:r>
      <w:r w:rsidRPr="00B508BE">
        <w:rPr>
          <w:bCs/>
        </w:rPr>
        <w:t>.</w:t>
      </w:r>
    </w:p>
    <w:p w14:paraId="10150560" w14:textId="6E2AB184" w:rsidR="000D0F8A" w:rsidRPr="00B508BE" w:rsidRDefault="007C7B51" w:rsidP="00E73E49">
      <w:pPr>
        <w:spacing w:line="276" w:lineRule="auto"/>
        <w:ind w:firstLine="567"/>
        <w:jc w:val="both"/>
        <w:rPr>
          <w:color w:val="000000" w:themeColor="text1"/>
        </w:rPr>
      </w:pPr>
      <w:r w:rsidRPr="00B508BE">
        <w:rPr>
          <w:color w:val="000000" w:themeColor="text1"/>
        </w:rPr>
        <w:lastRenderedPageBreak/>
        <w:t>[4.4] </w:t>
      </w:r>
      <w:r w:rsidR="00C27C54" w:rsidRPr="00B508BE">
        <w:rPr>
          <w:color w:val="000000" w:themeColor="text1"/>
        </w:rPr>
        <w:t>Apgabaltiesa spriedumā atsaucas uz</w:t>
      </w:r>
      <w:r w:rsidR="00885E55" w:rsidRPr="00B508BE">
        <w:rPr>
          <w:color w:val="000000" w:themeColor="text1"/>
        </w:rPr>
        <w:t xml:space="preserve"> Valsts ieņēmumu</w:t>
      </w:r>
      <w:r w:rsidR="00C27C54" w:rsidRPr="00B508BE">
        <w:rPr>
          <w:color w:val="000000" w:themeColor="text1"/>
        </w:rPr>
        <w:t xml:space="preserve"> dienesta audita ietvaros norādītajiem dokumentiem saistībā ar darījumiem starp SIA „</w:t>
      </w:r>
      <w:proofErr w:type="spellStart"/>
      <w:r w:rsidR="00C27C54" w:rsidRPr="00B508BE">
        <w:t>Argente</w:t>
      </w:r>
      <w:proofErr w:type="spellEnd"/>
      <w:r w:rsidR="00C27C54" w:rsidRPr="00B508BE">
        <w:t xml:space="preserve"> Projekts</w:t>
      </w:r>
      <w:r w:rsidR="0045131C" w:rsidRPr="00B508BE">
        <w:rPr>
          <w:color w:val="000000" w:themeColor="text1"/>
        </w:rPr>
        <w:t>” un SIA</w:t>
      </w:r>
      <w:r w:rsidR="00885E55" w:rsidRPr="00B508BE">
        <w:rPr>
          <w:color w:val="000000" w:themeColor="text1"/>
        </w:rPr>
        <w:t> </w:t>
      </w:r>
      <w:r w:rsidR="0045131C" w:rsidRPr="00B508BE">
        <w:rPr>
          <w:color w:val="000000" w:themeColor="text1"/>
        </w:rPr>
        <w:t>„Centība</w:t>
      </w:r>
      <w:r w:rsidR="00C27C54" w:rsidRPr="00B508BE">
        <w:rPr>
          <w:color w:val="000000" w:themeColor="text1"/>
        </w:rPr>
        <w:t xml:space="preserve"> V” un SIA</w:t>
      </w:r>
      <w:r w:rsidR="0045131C" w:rsidRPr="00B508BE">
        <w:rPr>
          <w:color w:val="000000" w:themeColor="text1"/>
        </w:rPr>
        <w:t> </w:t>
      </w:r>
      <w:r w:rsidR="00C27C54" w:rsidRPr="00B508BE">
        <w:rPr>
          <w:color w:val="000000" w:themeColor="text1"/>
        </w:rPr>
        <w:t>„</w:t>
      </w:r>
      <w:proofErr w:type="spellStart"/>
      <w:r w:rsidR="00C27C54" w:rsidRPr="00B508BE">
        <w:rPr>
          <w:color w:val="000000" w:themeColor="text1"/>
        </w:rPr>
        <w:t>Palbroks</w:t>
      </w:r>
      <w:proofErr w:type="spellEnd"/>
      <w:r w:rsidR="00C27C54" w:rsidRPr="00B508BE">
        <w:rPr>
          <w:color w:val="000000" w:themeColor="text1"/>
        </w:rPr>
        <w:t>”, taču šie dokumenti neatrodas lietas materiālos. Tāpat apgabaltiesa ir atstājusi bez ievērības faktu, ka dienests nav pēc tiesas pieprasījuma iesniedzis starp SIA „</w:t>
      </w:r>
      <w:proofErr w:type="spellStart"/>
      <w:r w:rsidR="00C27C54" w:rsidRPr="00B508BE">
        <w:t>Argente</w:t>
      </w:r>
      <w:proofErr w:type="spellEnd"/>
      <w:r w:rsidR="00C27C54" w:rsidRPr="00B508BE">
        <w:t xml:space="preserve"> Projekts</w:t>
      </w:r>
      <w:r w:rsidR="00A50EA5" w:rsidRPr="00B508BE">
        <w:rPr>
          <w:color w:val="000000" w:themeColor="text1"/>
        </w:rPr>
        <w:t>” un SIA „Centība</w:t>
      </w:r>
      <w:r w:rsidR="00C27C54" w:rsidRPr="00B508BE">
        <w:rPr>
          <w:color w:val="000000" w:themeColor="text1"/>
        </w:rPr>
        <w:t xml:space="preserve"> V” 2010.gada 5.janvārī noslēgto līgum</w:t>
      </w:r>
      <w:r w:rsidR="00E956CE" w:rsidRPr="00B508BE">
        <w:rPr>
          <w:color w:val="000000" w:themeColor="text1"/>
        </w:rPr>
        <w:t>u</w:t>
      </w:r>
      <w:r w:rsidR="00C27C54" w:rsidRPr="00B508BE">
        <w:rPr>
          <w:color w:val="000000" w:themeColor="text1"/>
        </w:rPr>
        <w:t xml:space="preserve">, norādot, ka dienesta rīcībā šāda dokumenta nav. </w:t>
      </w:r>
    </w:p>
    <w:p w14:paraId="7754B92D" w14:textId="20E772B3" w:rsidR="00494AB2" w:rsidRPr="00B508BE" w:rsidRDefault="00494AB2" w:rsidP="00E73E49">
      <w:pPr>
        <w:spacing w:line="276" w:lineRule="auto"/>
        <w:ind w:firstLine="567"/>
        <w:jc w:val="both"/>
      </w:pPr>
      <w:r w:rsidRPr="00B508BE">
        <w:rPr>
          <w:color w:val="000000" w:themeColor="text1"/>
        </w:rPr>
        <w:t>[4.5] </w:t>
      </w:r>
      <w:r w:rsidR="00885E55" w:rsidRPr="00B508BE">
        <w:rPr>
          <w:color w:val="000000" w:themeColor="text1"/>
        </w:rPr>
        <w:t>Valsts ieņēmumu d</w:t>
      </w:r>
      <w:r w:rsidRPr="00B508BE">
        <w:rPr>
          <w:color w:val="000000" w:themeColor="text1"/>
        </w:rPr>
        <w:t xml:space="preserve">ienests nav pierādījis, ka pieteicēja zināja, </w:t>
      </w:r>
      <w:r w:rsidRPr="00B508BE">
        <w:t>ka piedalās pretlikumīgā nodokļu optimizācijas shēmā.</w:t>
      </w:r>
      <w:r w:rsidR="002B239A" w:rsidRPr="00B508BE">
        <w:t xml:space="preserve"> Arī Administratīvās rajona tiesas 2013.gada 29.jūlija lēmumā, ar kuru apmierināts pieteicējas lūgums par lēmuma darbības apturēšanu, ir atzīts, ka dienests </w:t>
      </w:r>
      <w:r w:rsidR="005712B0" w:rsidRPr="00B508BE">
        <w:t>nav norādījis uz konkrētiem pierādījumiem, kas liecinātu par to, ka pieteicēja zināja, ka iesaistīta nepamatotā nodokļa samazināšanas plānā.</w:t>
      </w:r>
    </w:p>
    <w:p w14:paraId="7D7A0D47" w14:textId="7AE3E264" w:rsidR="002715EE" w:rsidRPr="00B508BE" w:rsidRDefault="00092356" w:rsidP="00E73E49">
      <w:pPr>
        <w:spacing w:line="276" w:lineRule="auto"/>
        <w:ind w:firstLine="567"/>
        <w:jc w:val="both"/>
      </w:pPr>
      <w:r w:rsidRPr="00B508BE">
        <w:t>[4.6] </w:t>
      </w:r>
      <w:r w:rsidR="002715EE" w:rsidRPr="00B508BE">
        <w:t>No SIA „</w:t>
      </w:r>
      <w:proofErr w:type="spellStart"/>
      <w:r w:rsidR="002715EE" w:rsidRPr="00B508BE">
        <w:t>Argente</w:t>
      </w:r>
      <w:proofErr w:type="spellEnd"/>
      <w:r w:rsidR="002715EE" w:rsidRPr="00B508BE">
        <w:t xml:space="preserve"> Projekts” valdes locekļa liecībām izriet, ka pieteicējai bija vairāki pretendenti darbu veikšanai, savukārt SIA „</w:t>
      </w:r>
      <w:proofErr w:type="spellStart"/>
      <w:r w:rsidR="002715EE" w:rsidRPr="00B508BE">
        <w:t>Argente</w:t>
      </w:r>
      <w:proofErr w:type="spellEnd"/>
      <w:r w:rsidR="002715EE" w:rsidRPr="00B508BE">
        <w:t xml:space="preserve"> Projekts”, meklējot jaunus objektus, pati atrada pieteicēju un piedāvāja veikt jumta remontu.</w:t>
      </w:r>
      <w:r w:rsidR="00BB532C" w:rsidRPr="00B508BE">
        <w:t xml:space="preserve"> Līgums tika noslēgts ar</w:t>
      </w:r>
      <w:r w:rsidR="002715EE" w:rsidRPr="00B508BE">
        <w:t xml:space="preserve"> </w:t>
      </w:r>
      <w:r w:rsidR="00BB532C" w:rsidRPr="00B508BE">
        <w:t>SIA</w:t>
      </w:r>
      <w:r w:rsidR="00E47B6A" w:rsidRPr="00B508BE">
        <w:t> </w:t>
      </w:r>
      <w:r w:rsidR="00BB532C" w:rsidRPr="00B508BE">
        <w:t>„</w:t>
      </w:r>
      <w:proofErr w:type="spellStart"/>
      <w:r w:rsidR="00BB532C" w:rsidRPr="00B508BE">
        <w:t>Argente</w:t>
      </w:r>
      <w:proofErr w:type="spellEnd"/>
      <w:r w:rsidR="00E47B6A" w:rsidRPr="00B508BE">
        <w:t> </w:t>
      </w:r>
      <w:r w:rsidR="00BB532C" w:rsidRPr="00B508BE">
        <w:t xml:space="preserve">Projekts”, jo </w:t>
      </w:r>
      <w:r w:rsidR="00FD4118" w:rsidRPr="00B508BE">
        <w:t>tā piedāvāja viszemāko cenu</w:t>
      </w:r>
      <w:r w:rsidR="00BB532C" w:rsidRPr="00B508BE">
        <w:t>.</w:t>
      </w:r>
    </w:p>
    <w:p w14:paraId="56FF909B" w14:textId="4EEBE6AD" w:rsidR="00092356" w:rsidRPr="00B508BE" w:rsidRDefault="00BB532C" w:rsidP="00E73E49">
      <w:pPr>
        <w:spacing w:line="276" w:lineRule="auto"/>
        <w:ind w:firstLine="567"/>
        <w:jc w:val="both"/>
      </w:pPr>
      <w:r w:rsidRPr="00B508BE">
        <w:t>No minētā izriet, ka p</w:t>
      </w:r>
      <w:r w:rsidR="00DF2ABF" w:rsidRPr="00B508BE">
        <w:t>ieteicēja nebija informēta, ka tiek iesaistīta darījumā ar fiktīvu uzņēmumu, jo darījumu partneru amatpersona</w:t>
      </w:r>
      <w:r w:rsidR="00B10DB7" w:rsidRPr="00B508BE">
        <w:t>s</w:t>
      </w:r>
      <w:r w:rsidR="00DF2ABF" w:rsidRPr="00B508BE">
        <w:t xml:space="preserve"> iepriekš nebija pazīstamas, turklāt pirms darījuma noslēgšanas pieteicēja pārbaudīja SIA „</w:t>
      </w:r>
      <w:proofErr w:type="spellStart"/>
      <w:r w:rsidR="00DF2ABF" w:rsidRPr="00B508BE">
        <w:t>Argente</w:t>
      </w:r>
      <w:proofErr w:type="spellEnd"/>
      <w:r w:rsidR="00DF2ABF" w:rsidRPr="00B508BE">
        <w:t xml:space="preserve"> Projekts” reģistrāciju </w:t>
      </w:r>
      <w:r w:rsidR="0015161B" w:rsidRPr="00B508BE">
        <w:t>publiskajos reģistros, tostarp komercreģistrā un būvkomersantu reģistrā.</w:t>
      </w:r>
    </w:p>
    <w:p w14:paraId="25A50D8B" w14:textId="502565C2" w:rsidR="00DE1667" w:rsidRDefault="00DE1667" w:rsidP="00E73E49">
      <w:pPr>
        <w:spacing w:line="276" w:lineRule="auto"/>
        <w:ind w:firstLine="567"/>
        <w:jc w:val="both"/>
      </w:pPr>
      <w:r w:rsidRPr="00B508BE">
        <w:t>[4.7]</w:t>
      </w:r>
      <w:r w:rsidR="00444B42" w:rsidRPr="00B508BE">
        <w:t> Vi</w:t>
      </w:r>
      <w:r w:rsidR="00B54EE9" w:rsidRPr="00B508BE">
        <w:t>sus ar strīdus darījumu saistīto</w:t>
      </w:r>
      <w:r w:rsidR="00444B42" w:rsidRPr="00B508BE">
        <w:t>s dokumentus parakstīja SIA „</w:t>
      </w:r>
      <w:proofErr w:type="spellStart"/>
      <w:r w:rsidR="00444B42" w:rsidRPr="00B508BE">
        <w:t>Argente</w:t>
      </w:r>
      <w:proofErr w:type="spellEnd"/>
      <w:r w:rsidR="00444B42" w:rsidRPr="00B508BE">
        <w:t xml:space="preserve"> Projekts” valdes loceklis, kas atbilstoši reģistros norādītajai informācijai bija tiesīgs pārstāvēt sabiedrību</w:t>
      </w:r>
      <w:r w:rsidR="00B54EE9">
        <w:t xml:space="preserve"> un kuš</w:t>
      </w:r>
      <w:r w:rsidR="00285832">
        <w:t xml:space="preserve"> arī apliecina strīdus darījuma faktisko esību.</w:t>
      </w:r>
      <w:r w:rsidR="00630117">
        <w:t xml:space="preserve"> Pieteicējai nebija nekāda pamata šaubām par SIA „</w:t>
      </w:r>
      <w:proofErr w:type="spellStart"/>
      <w:r w:rsidR="00630117">
        <w:t>Argente</w:t>
      </w:r>
      <w:proofErr w:type="spellEnd"/>
      <w:r w:rsidR="00630117">
        <w:t xml:space="preserve"> Projekts” rīcības liku</w:t>
      </w:r>
      <w:r w:rsidR="00B54EE9">
        <w:t>mību strīdus darījuma ietvaros.</w:t>
      </w:r>
    </w:p>
    <w:p w14:paraId="571E8871" w14:textId="616B986A" w:rsidR="00FD2104" w:rsidRDefault="00FD2104" w:rsidP="00E73E49">
      <w:pPr>
        <w:spacing w:line="276" w:lineRule="auto"/>
        <w:ind w:firstLine="567"/>
        <w:jc w:val="both"/>
      </w:pPr>
      <w:r>
        <w:t>[4.8] </w:t>
      </w:r>
      <w:r w:rsidR="00A93E65">
        <w:t xml:space="preserve">Apgabaltiesa </w:t>
      </w:r>
      <w:r w:rsidR="006F54B2">
        <w:t>atstāja</w:t>
      </w:r>
      <w:r w:rsidR="00A93E65">
        <w:t xml:space="preserve"> bez ievērības pretendenta SIA „Jēkabpils PMK” 2014.gada 10.septembra vēstuli, kas pierāda, ka pieteicēja pirms darbu veikšanas uzdošanas ir aptaujājusi vairākus pretendentus par piedāvāto cenu attiecīgo darbu veikšanai.</w:t>
      </w:r>
    </w:p>
    <w:p w14:paraId="54721890" w14:textId="77777777" w:rsidR="002D4B1E" w:rsidRDefault="002D4B1E" w:rsidP="00E73E49">
      <w:pPr>
        <w:pStyle w:val="NormalWeb"/>
        <w:spacing w:line="276" w:lineRule="auto"/>
        <w:jc w:val="both"/>
        <w:rPr>
          <w:color w:val="000000" w:themeColor="text1"/>
        </w:rPr>
      </w:pPr>
    </w:p>
    <w:p w14:paraId="382534C3" w14:textId="77777777" w:rsidR="002D4B1E" w:rsidRPr="002A6421" w:rsidRDefault="002D4B1E" w:rsidP="00E73E49">
      <w:pPr>
        <w:spacing w:line="276" w:lineRule="auto"/>
        <w:ind w:firstLine="567"/>
        <w:jc w:val="both"/>
        <w:rPr>
          <w:lang w:eastAsia="lv-LV"/>
        </w:rPr>
      </w:pPr>
      <w:r>
        <w:rPr>
          <w:lang w:eastAsia="lv-LV"/>
        </w:rPr>
        <w:t>[5] </w:t>
      </w:r>
      <w:r w:rsidRPr="002A6421">
        <w:rPr>
          <w:lang w:eastAsia="lv-LV"/>
        </w:rPr>
        <w:t xml:space="preserve">Paskaidrojumos par kasācijas sūdzību </w:t>
      </w:r>
      <w:r>
        <w:t xml:space="preserve">Valsts ieņēmumu </w:t>
      </w:r>
      <w:r w:rsidRPr="002A6421">
        <w:rPr>
          <w:lang w:eastAsia="lv-LV"/>
        </w:rPr>
        <w:t>dienests norāda, ka apgabaltiesas spriedums ir tiesisks un pamatots, bet kasācijas sūdzība ir nepamatota.</w:t>
      </w:r>
    </w:p>
    <w:p w14:paraId="0665FEA0" w14:textId="77777777" w:rsidR="002D4B1E" w:rsidRPr="0021114D" w:rsidRDefault="002D4B1E" w:rsidP="00E73E49">
      <w:pPr>
        <w:pStyle w:val="NormalWeb"/>
        <w:tabs>
          <w:tab w:val="left" w:pos="1134"/>
        </w:tabs>
        <w:spacing w:line="276" w:lineRule="auto"/>
        <w:jc w:val="both"/>
      </w:pPr>
    </w:p>
    <w:p w14:paraId="11E5F52D" w14:textId="77777777" w:rsidR="002D4B1E" w:rsidRDefault="002D4B1E" w:rsidP="00E73E49">
      <w:pPr>
        <w:spacing w:line="276" w:lineRule="auto"/>
        <w:jc w:val="center"/>
        <w:rPr>
          <w:b/>
          <w:lang w:eastAsia="lv-LV"/>
        </w:rPr>
      </w:pPr>
      <w:r w:rsidRPr="0021114D">
        <w:rPr>
          <w:b/>
          <w:lang w:eastAsia="lv-LV"/>
        </w:rPr>
        <w:t>Motīvu daļa</w:t>
      </w:r>
    </w:p>
    <w:p w14:paraId="3DFB89E7" w14:textId="77777777" w:rsidR="002D4B1E" w:rsidRDefault="002D4B1E" w:rsidP="00E73E49">
      <w:pPr>
        <w:spacing w:line="276" w:lineRule="auto"/>
        <w:jc w:val="center"/>
        <w:rPr>
          <w:b/>
          <w:lang w:eastAsia="lv-LV"/>
        </w:rPr>
      </w:pPr>
    </w:p>
    <w:p w14:paraId="75E6327D" w14:textId="6B7956CA" w:rsidR="002D4B1E" w:rsidRPr="0088691F" w:rsidRDefault="002D4B1E" w:rsidP="00E73E49">
      <w:pPr>
        <w:spacing w:line="276" w:lineRule="auto"/>
        <w:ind w:firstLine="567"/>
        <w:jc w:val="both"/>
      </w:pPr>
      <w:r w:rsidRPr="0088691F">
        <w:t>[6] Lietā izšķirams jautājums par to, vai pieteicēja bija tiesīga atskaitīt priekšnodokli, pamatojoties uz SIA „</w:t>
      </w:r>
      <w:proofErr w:type="spellStart"/>
      <w:r w:rsidR="008E5A5E">
        <w:t>Argente</w:t>
      </w:r>
      <w:proofErr w:type="spellEnd"/>
      <w:r w:rsidR="008E5A5E">
        <w:t xml:space="preserve"> Projekts</w:t>
      </w:r>
      <w:r w:rsidRPr="0088691F">
        <w:t>” vārdā izrakstītajiem</w:t>
      </w:r>
      <w:r w:rsidR="008E5A5E">
        <w:t xml:space="preserve"> avansa </w:t>
      </w:r>
      <w:r w:rsidRPr="0088691F">
        <w:t>rēķiniem par pakalpojumu sniegšanu.</w:t>
      </w:r>
    </w:p>
    <w:p w14:paraId="1B2BE1DE" w14:textId="77777777" w:rsidR="002D4B1E" w:rsidRPr="0088691F" w:rsidRDefault="002D4B1E" w:rsidP="00E73E49">
      <w:pPr>
        <w:spacing w:line="276" w:lineRule="auto"/>
        <w:ind w:firstLine="567"/>
        <w:jc w:val="both"/>
      </w:pPr>
      <w:r w:rsidRPr="0088691F">
        <w:rPr>
          <w:lang w:eastAsia="lv-LV"/>
        </w:rPr>
        <w:t>Likuma „Par pievienotās vērtības nodokli” 10.panta pirmās daļas 1.punkts noteic, ka t</w:t>
      </w:r>
      <w:r w:rsidRPr="0088691F">
        <w: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7D84D03F" w14:textId="2D646499" w:rsidR="002D4B1E" w:rsidRDefault="007F608D" w:rsidP="00E73E49">
      <w:pPr>
        <w:spacing w:line="276" w:lineRule="auto"/>
        <w:ind w:firstLine="567"/>
        <w:jc w:val="both"/>
        <w:rPr>
          <w:rFonts w:eastAsiaTheme="minorHAnsi"/>
          <w:lang w:eastAsia="en-US"/>
        </w:rPr>
      </w:pPr>
      <w:r>
        <w:t>No m</w:t>
      </w:r>
      <w:r w:rsidR="002D4B1E" w:rsidRPr="0088691F">
        <w:t xml:space="preserve">inētās normas izriet, ka </w:t>
      </w:r>
      <w:r w:rsidR="002D4B1E" w:rsidRPr="0088691F">
        <w:rPr>
          <w:rFonts w:eastAsiaTheme="minorHAnsi"/>
          <w:lang w:eastAsia="en-US"/>
        </w:rPr>
        <w:t xml:space="preserve">priekšnodokli var atskaitīt tikai tad, ja </w:t>
      </w:r>
      <w:r w:rsidR="002D4B1E">
        <w:rPr>
          <w:rFonts w:eastAsiaTheme="minorHAnsi"/>
          <w:lang w:eastAsia="en-US"/>
        </w:rPr>
        <w:t>pakalpojums</w:t>
      </w:r>
      <w:r w:rsidR="002D4B1E" w:rsidRPr="0088691F">
        <w:rPr>
          <w:rFonts w:eastAsiaTheme="minorHAnsi"/>
          <w:lang w:eastAsia="en-US"/>
        </w:rPr>
        <w:t>, par kuru atskaita priekšnodokli, ir reāli saņ</w:t>
      </w:r>
      <w:r w:rsidR="002D4B1E">
        <w:rPr>
          <w:rFonts w:eastAsiaTheme="minorHAnsi"/>
          <w:lang w:eastAsia="en-US"/>
        </w:rPr>
        <w:t>emts</w:t>
      </w:r>
      <w:r w:rsidR="002D4B1E" w:rsidRPr="0088691F">
        <w:rPr>
          <w:rFonts w:eastAsiaTheme="minorHAnsi"/>
          <w:lang w:eastAsia="en-US"/>
        </w:rPr>
        <w:t xml:space="preserve"> </w:t>
      </w:r>
      <w:r w:rsidR="002D4B1E">
        <w:rPr>
          <w:rFonts w:eastAsiaTheme="minorHAnsi"/>
          <w:lang w:eastAsia="en-US"/>
        </w:rPr>
        <w:t xml:space="preserve">un to ir sniegusi nodokļu rēķinā norādītā </w:t>
      </w:r>
      <w:r w:rsidR="002D4B1E" w:rsidRPr="0088691F">
        <w:rPr>
          <w:rFonts w:eastAsiaTheme="minorHAnsi"/>
          <w:lang w:eastAsia="en-US"/>
        </w:rPr>
        <w:t>ar pievienotās vērtības nodokli</w:t>
      </w:r>
      <w:r w:rsidR="002D4B1E">
        <w:rPr>
          <w:rFonts w:eastAsiaTheme="minorHAnsi"/>
          <w:lang w:eastAsia="en-US"/>
        </w:rPr>
        <w:t xml:space="preserve"> apliekamā</w:t>
      </w:r>
      <w:r w:rsidR="002D4B1E" w:rsidRPr="0088691F">
        <w:rPr>
          <w:rFonts w:eastAsiaTheme="minorHAnsi"/>
          <w:lang w:eastAsia="en-US"/>
        </w:rPr>
        <w:t xml:space="preserve"> persona. </w:t>
      </w:r>
      <w:r w:rsidR="002D4B1E">
        <w:rPr>
          <w:rFonts w:eastAsiaTheme="minorHAnsi"/>
          <w:lang w:eastAsia="en-US"/>
        </w:rPr>
        <w:t xml:space="preserve">Gadījumā, ja </w:t>
      </w:r>
      <w:r w:rsidR="002D4B1E" w:rsidRPr="0088691F">
        <w:rPr>
          <w:rFonts w:eastAsiaTheme="minorHAnsi"/>
          <w:lang w:eastAsia="en-US"/>
        </w:rPr>
        <w:t xml:space="preserve">tiek konstatēts, ka </w:t>
      </w:r>
      <w:r w:rsidR="002D4B1E">
        <w:rPr>
          <w:rFonts w:eastAsiaTheme="minorHAnsi"/>
          <w:lang w:eastAsia="en-US"/>
        </w:rPr>
        <w:t>pakalpojums ir saņemts</w:t>
      </w:r>
      <w:r w:rsidR="002D4B1E" w:rsidRPr="0088691F">
        <w:rPr>
          <w:rFonts w:eastAsiaTheme="minorHAnsi"/>
          <w:lang w:eastAsia="en-US"/>
        </w:rPr>
        <w:t xml:space="preserve">, taču to nav sniedzis nodokļa rēķinā norādītais darījumu partneris, nodokļa maksātājam tiesības uz priekšnodokļa atskaitījumiem </w:t>
      </w:r>
      <w:r w:rsidR="002D4B1E">
        <w:rPr>
          <w:rFonts w:eastAsiaTheme="minorHAnsi"/>
          <w:lang w:eastAsia="en-US"/>
        </w:rPr>
        <w:t xml:space="preserve">var liegt tikai tad, ja </w:t>
      </w:r>
      <w:r w:rsidR="002D4B1E" w:rsidRPr="0088691F">
        <w:rPr>
          <w:rFonts w:eastAsiaTheme="minorHAnsi"/>
          <w:lang w:eastAsia="en-US"/>
        </w:rPr>
        <w:t xml:space="preserve">tiek konstatēts, ka nodokļa maksātājs </w:t>
      </w:r>
      <w:r w:rsidR="002D4B1E" w:rsidRPr="0088691F">
        <w:rPr>
          <w:rFonts w:eastAsiaTheme="minorHAnsi"/>
          <w:lang w:eastAsia="en-US"/>
        </w:rPr>
        <w:lastRenderedPageBreak/>
        <w:t>zināja vai tam vajadzēja zināt par iesaistīšanos ļaunprātīgajos darījumos, kuru patiesais mērķis ir nepamatotu fiskālu priekšrocību iegūšana.</w:t>
      </w:r>
    </w:p>
    <w:p w14:paraId="6B35EF7B" w14:textId="77777777" w:rsidR="002D4B1E" w:rsidRPr="0088691F" w:rsidRDefault="002D4B1E" w:rsidP="00E73E49">
      <w:pPr>
        <w:spacing w:line="276" w:lineRule="auto"/>
        <w:ind w:firstLine="567"/>
        <w:jc w:val="both"/>
        <w:rPr>
          <w:rFonts w:eastAsiaTheme="minorHAnsi"/>
          <w:lang w:eastAsia="en-US"/>
        </w:rPr>
      </w:pPr>
      <w:r>
        <w:rPr>
          <w:rFonts w:eastAsiaTheme="minorHAnsi"/>
          <w:lang w:eastAsia="en-US"/>
        </w:rPr>
        <w:t>Tas, vai ir izpildījušies normā noteiktie priekšnoteikumi priekšnodokļa atskaitīšanai, noskaidrojams, citstarp pārbaudot lietas faktiskos apstākļus un novērtējot pierādījumus lietā.</w:t>
      </w:r>
    </w:p>
    <w:p w14:paraId="286D5844" w14:textId="77777777" w:rsidR="00BD5944" w:rsidRDefault="00BD5944" w:rsidP="00BD5944">
      <w:pPr>
        <w:spacing w:line="276" w:lineRule="auto"/>
        <w:ind w:firstLine="567"/>
        <w:jc w:val="both"/>
      </w:pPr>
      <w:r>
        <w:t>Administratīvā apgabaltiesa, novērtējot lietā iegūtos pierādījumus, neguva apstiprinājumu, ka strīdus darbus veica SIA „</w:t>
      </w:r>
      <w:proofErr w:type="spellStart"/>
      <w:r>
        <w:t>Argente</w:t>
      </w:r>
      <w:proofErr w:type="spellEnd"/>
      <w:r>
        <w:t xml:space="preserve"> Projekts” vai tās piesaistītā SIA „Centība V”. Tāpat apgabaltiesai šajā gadījumā neradās šaubas, ka pieteicēja zināja, ka tā savā grāmatvedībā iegrāmato tādus darījumus, kuru patiesais mērķis ir vienīgi nepamatotu fiskālu priekšrocību gūšana.</w:t>
      </w:r>
    </w:p>
    <w:p w14:paraId="05DFF92E" w14:textId="58B5AC84" w:rsidR="00BD5944" w:rsidRDefault="00BD5944" w:rsidP="00BD5944">
      <w:pPr>
        <w:spacing w:line="276" w:lineRule="auto"/>
        <w:ind w:firstLine="567"/>
        <w:jc w:val="both"/>
        <w:rPr>
          <w:lang w:eastAsia="lv-LV"/>
        </w:rPr>
      </w:pPr>
      <w:r>
        <w:rPr>
          <w:lang w:eastAsia="en-US"/>
        </w:rPr>
        <w:t xml:space="preserve">Senāts, pārbaudot apgabaltiesas spriedumu, atzīst, ka </w:t>
      </w:r>
      <w:r w:rsidR="00FF5DF8">
        <w:rPr>
          <w:lang w:eastAsia="lv-LV"/>
        </w:rPr>
        <w:t>kasācijas sūdzības argumenti nerada pamatu sprieduma atcelšanai.</w:t>
      </w:r>
    </w:p>
    <w:p w14:paraId="388AF3BC" w14:textId="77777777" w:rsidR="00236635" w:rsidRDefault="00236635" w:rsidP="00E73E49">
      <w:pPr>
        <w:spacing w:line="276" w:lineRule="auto"/>
        <w:ind w:firstLine="567"/>
        <w:jc w:val="both"/>
        <w:rPr>
          <w:lang w:eastAsia="lv-LV"/>
        </w:rPr>
      </w:pPr>
    </w:p>
    <w:p w14:paraId="5634F6B5" w14:textId="1496C814" w:rsidR="00236635" w:rsidRDefault="00747EFE" w:rsidP="00E73E49">
      <w:pPr>
        <w:spacing w:line="276" w:lineRule="auto"/>
        <w:ind w:firstLine="567"/>
        <w:jc w:val="both"/>
        <w:rPr>
          <w:rFonts w:eastAsiaTheme="minorHAnsi"/>
          <w:lang w:eastAsia="lv-LV"/>
        </w:rPr>
      </w:pPr>
      <w:r>
        <w:rPr>
          <w:rFonts w:eastAsiaTheme="minorHAnsi"/>
          <w:lang w:eastAsia="lv-LV"/>
        </w:rPr>
        <w:t>[7] </w:t>
      </w:r>
      <w:r w:rsidR="00236635">
        <w:rPr>
          <w:rFonts w:eastAsiaTheme="minorHAnsi"/>
          <w:lang w:eastAsia="lv-LV"/>
        </w:rPr>
        <w:t>Ir nepamatots kasācijas sūdzības arguments attiecībā uz liecinieku atkārtota</w:t>
      </w:r>
      <w:r w:rsidR="00E24917">
        <w:rPr>
          <w:rFonts w:eastAsiaTheme="minorHAnsi"/>
          <w:lang w:eastAsia="lv-LV"/>
        </w:rPr>
        <w:t>s nopratināšanas nepieciešamību</w:t>
      </w:r>
      <w:r w:rsidR="00236635">
        <w:rPr>
          <w:rFonts w:eastAsiaTheme="minorHAnsi"/>
          <w:lang w:eastAsia="lv-LV"/>
        </w:rPr>
        <w:t xml:space="preserve"> gadījumā, ja tiesa atzīst, ka </w:t>
      </w:r>
      <w:r w:rsidR="00FF5DF8">
        <w:rPr>
          <w:rFonts w:eastAsiaTheme="minorHAnsi"/>
          <w:lang w:eastAsia="lv-LV"/>
        </w:rPr>
        <w:t xml:space="preserve">liecībām </w:t>
      </w:r>
      <w:r w:rsidR="00236635">
        <w:rPr>
          <w:rFonts w:eastAsiaTheme="minorHAnsi"/>
          <w:lang w:eastAsia="lv-LV"/>
        </w:rPr>
        <w:t xml:space="preserve">nav piešķirama ticamība un nav gūstama pārliecība par atsevišķiem lietas apstākļiem. </w:t>
      </w:r>
      <w:r w:rsidR="00691175">
        <w:rPr>
          <w:rFonts w:eastAsiaTheme="minorHAnsi"/>
          <w:lang w:eastAsia="lv-LV"/>
        </w:rPr>
        <w:t>Pretēji pieteicējas uzskata</w:t>
      </w:r>
      <w:r w:rsidR="00E24917">
        <w:rPr>
          <w:rFonts w:eastAsiaTheme="minorHAnsi"/>
          <w:lang w:eastAsia="lv-LV"/>
        </w:rPr>
        <w:t>m</w:t>
      </w:r>
      <w:r w:rsidR="00691175">
        <w:rPr>
          <w:rFonts w:eastAsiaTheme="minorHAnsi"/>
          <w:lang w:eastAsia="lv-LV"/>
        </w:rPr>
        <w:t xml:space="preserve"> minētie tiesas secinājumi nav saistīti ar pierādījumu nepietiekamību, bet gan </w:t>
      </w:r>
      <w:r w:rsidR="000F5323">
        <w:rPr>
          <w:rFonts w:eastAsiaTheme="minorHAnsi"/>
          <w:lang w:eastAsia="lv-LV"/>
        </w:rPr>
        <w:t>atspoguļo tiesas pierādījumu novērtē</w:t>
      </w:r>
      <w:r w:rsidR="00391F28">
        <w:rPr>
          <w:rFonts w:eastAsiaTheme="minorHAnsi"/>
          <w:lang w:eastAsia="lv-LV"/>
        </w:rPr>
        <w:t>šanas</w:t>
      </w:r>
      <w:r w:rsidR="00CF579B">
        <w:rPr>
          <w:rFonts w:eastAsiaTheme="minorHAnsi"/>
          <w:lang w:eastAsia="lv-LV"/>
        </w:rPr>
        <w:t xml:space="preserve"> rezultātā</w:t>
      </w:r>
      <w:r w:rsidR="000F5323">
        <w:rPr>
          <w:rFonts w:eastAsiaTheme="minorHAnsi"/>
          <w:lang w:eastAsia="lv-LV"/>
        </w:rPr>
        <w:t xml:space="preserve"> izveidojušos nostāju</w:t>
      </w:r>
      <w:r w:rsidR="00082C1F">
        <w:rPr>
          <w:rFonts w:eastAsiaTheme="minorHAnsi"/>
          <w:lang w:eastAsia="lv-LV"/>
        </w:rPr>
        <w:t xml:space="preserve"> par attiecīgajām liecībām kā par pierādījumiem</w:t>
      </w:r>
      <w:r w:rsidR="00AC56B5">
        <w:rPr>
          <w:rFonts w:eastAsiaTheme="minorHAnsi"/>
          <w:lang w:eastAsia="lv-LV"/>
        </w:rPr>
        <w:t xml:space="preserve"> lietā.</w:t>
      </w:r>
      <w:r w:rsidR="00187C59">
        <w:rPr>
          <w:rFonts w:eastAsiaTheme="minorHAnsi"/>
          <w:lang w:eastAsia="lv-LV"/>
        </w:rPr>
        <w:t xml:space="preserve"> P</w:t>
      </w:r>
      <w:r w:rsidR="001672E0">
        <w:rPr>
          <w:rFonts w:eastAsiaTheme="minorHAnsi"/>
          <w:lang w:eastAsia="lv-LV"/>
        </w:rPr>
        <w:t xml:space="preserve">roti, tiesa </w:t>
      </w:r>
      <w:r w:rsidR="00187C59">
        <w:rPr>
          <w:rFonts w:eastAsiaTheme="minorHAnsi"/>
          <w:lang w:eastAsia="lv-LV"/>
        </w:rPr>
        <w:t xml:space="preserve">šīm liecinieku liecībām </w:t>
      </w:r>
      <w:r w:rsidR="001672E0" w:rsidRPr="001672E0">
        <w:rPr>
          <w:rFonts w:eastAsiaTheme="minorHAnsi"/>
          <w:lang w:eastAsia="lv-LV"/>
        </w:rPr>
        <w:t xml:space="preserve">nav piešķīrusi ticamību kā pierādījumiem, kas </w:t>
      </w:r>
      <w:r w:rsidR="001672E0">
        <w:rPr>
          <w:rFonts w:eastAsiaTheme="minorHAnsi"/>
          <w:lang w:eastAsia="lv-LV"/>
        </w:rPr>
        <w:t xml:space="preserve">kopsakarā ar citiem lietas apstākļiem </w:t>
      </w:r>
      <w:r w:rsidR="001672E0" w:rsidRPr="001672E0">
        <w:rPr>
          <w:rFonts w:eastAsiaTheme="minorHAnsi"/>
          <w:lang w:eastAsia="lv-LV"/>
        </w:rPr>
        <w:t>apliecinātu</w:t>
      </w:r>
      <w:r w:rsidR="00C62D49">
        <w:rPr>
          <w:rFonts w:eastAsiaTheme="minorHAnsi"/>
          <w:lang w:eastAsia="lv-LV"/>
        </w:rPr>
        <w:t xml:space="preserve"> strīdus darījuma atbilstību tam</w:t>
      </w:r>
      <w:r w:rsidR="00E27AD5">
        <w:rPr>
          <w:rFonts w:eastAsiaTheme="minorHAnsi"/>
          <w:lang w:eastAsia="lv-LV"/>
        </w:rPr>
        <w:t>, kā tas tiek atspoguļots darījuma dokumentos</w:t>
      </w:r>
      <w:r w:rsidR="00C62D49">
        <w:rPr>
          <w:rFonts w:eastAsiaTheme="minorHAnsi"/>
          <w:lang w:eastAsia="lv-LV"/>
        </w:rPr>
        <w:t>.</w:t>
      </w:r>
    </w:p>
    <w:p w14:paraId="45B5456B" w14:textId="0F684347" w:rsidR="00236635" w:rsidRDefault="005916A4" w:rsidP="00E73E49">
      <w:pPr>
        <w:spacing w:line="276" w:lineRule="auto"/>
        <w:ind w:firstLine="567"/>
        <w:jc w:val="both"/>
        <w:rPr>
          <w:lang w:eastAsia="lv-LV"/>
        </w:rPr>
      </w:pPr>
      <w:r>
        <w:rPr>
          <w:lang w:eastAsia="lv-LV"/>
        </w:rPr>
        <w:t>Tādējādi šajā gadījumā nav konstatējams apgabaltiesas pā</w:t>
      </w:r>
      <w:r w:rsidR="002333FB">
        <w:rPr>
          <w:lang w:eastAsia="lv-LV"/>
        </w:rPr>
        <w:t>rkāpums</w:t>
      </w:r>
      <w:r w:rsidR="00E24917">
        <w:rPr>
          <w:lang w:eastAsia="lv-LV"/>
        </w:rPr>
        <w:t xml:space="preserve">, atkārtoti nenopratinot </w:t>
      </w:r>
      <w:r w:rsidR="005173B2">
        <w:rPr>
          <w:lang w:eastAsia="lv-LV"/>
        </w:rPr>
        <w:t>liecinieku</w:t>
      </w:r>
      <w:r w:rsidR="00E24917">
        <w:rPr>
          <w:lang w:eastAsia="lv-LV"/>
        </w:rPr>
        <w:t>s</w:t>
      </w:r>
      <w:r w:rsidR="005173B2">
        <w:rPr>
          <w:lang w:eastAsia="lv-LV"/>
        </w:rPr>
        <w:t>.</w:t>
      </w:r>
    </w:p>
    <w:p w14:paraId="3EB44E47" w14:textId="77777777" w:rsidR="00035C5A" w:rsidRDefault="00035C5A" w:rsidP="00E73E49">
      <w:pPr>
        <w:spacing w:line="276" w:lineRule="auto"/>
        <w:ind w:firstLine="567"/>
        <w:jc w:val="both"/>
        <w:rPr>
          <w:lang w:eastAsia="lv-LV"/>
        </w:rPr>
      </w:pPr>
    </w:p>
    <w:p w14:paraId="6EDC33A3" w14:textId="77867470" w:rsidR="00DD3315" w:rsidRDefault="00747EFE" w:rsidP="00E73E49">
      <w:pPr>
        <w:spacing w:line="276" w:lineRule="auto"/>
        <w:ind w:firstLine="567"/>
        <w:jc w:val="both"/>
        <w:rPr>
          <w:lang w:eastAsia="lv-LV"/>
        </w:rPr>
      </w:pPr>
      <w:r>
        <w:rPr>
          <w:lang w:eastAsia="lv-LV"/>
        </w:rPr>
        <w:t>[8] </w:t>
      </w:r>
      <w:r w:rsidR="00DD3315">
        <w:rPr>
          <w:lang w:eastAsia="lv-LV"/>
        </w:rPr>
        <w:t>Apgabaltiesa ir atzinusi par pareizu Valsts ieņēmumu dienesta</w:t>
      </w:r>
      <w:r w:rsidR="00916643">
        <w:rPr>
          <w:lang w:eastAsia="lv-LV"/>
        </w:rPr>
        <w:t xml:space="preserve"> šīs lietas un </w:t>
      </w:r>
      <w:r w:rsidR="00916643">
        <w:t>SIA</w:t>
      </w:r>
      <w:r w:rsidR="000C398F">
        <w:t> </w:t>
      </w:r>
      <w:r w:rsidR="00916643">
        <w:t>„</w:t>
      </w:r>
      <w:proofErr w:type="spellStart"/>
      <w:r w:rsidR="00916643">
        <w:t>Argente</w:t>
      </w:r>
      <w:proofErr w:type="spellEnd"/>
      <w:r w:rsidR="00916643">
        <w:t xml:space="preserve"> Projekts” audita ietvaros izdarīto</w:t>
      </w:r>
      <w:r w:rsidR="00DD3315">
        <w:rPr>
          <w:lang w:eastAsia="lv-LV"/>
        </w:rPr>
        <w:t xml:space="preserve"> secinājumu, ka ne</w:t>
      </w:r>
      <w:r w:rsidR="0043122B">
        <w:rPr>
          <w:lang w:eastAsia="lv-LV"/>
        </w:rPr>
        <w:t xml:space="preserve"> SIA „Centība V”, ne</w:t>
      </w:r>
      <w:r w:rsidR="00DD3315">
        <w:rPr>
          <w:lang w:eastAsia="lv-LV"/>
        </w:rPr>
        <w:t xml:space="preserve"> SIA</w:t>
      </w:r>
      <w:r w:rsidR="00FB31DD">
        <w:rPr>
          <w:lang w:eastAsia="lv-LV"/>
        </w:rPr>
        <w:t> </w:t>
      </w:r>
      <w:r w:rsidR="00DD3315">
        <w:rPr>
          <w:lang w:eastAsia="lv-LV"/>
        </w:rPr>
        <w:t>„</w:t>
      </w:r>
      <w:proofErr w:type="spellStart"/>
      <w:r w:rsidR="00DD3315">
        <w:rPr>
          <w:lang w:eastAsia="lv-LV"/>
        </w:rPr>
        <w:t>Palbroks</w:t>
      </w:r>
      <w:proofErr w:type="spellEnd"/>
      <w:r w:rsidR="00DD3315">
        <w:rPr>
          <w:lang w:eastAsia="lv-LV"/>
        </w:rPr>
        <w:t>” nav varējušas sniegt SIA „</w:t>
      </w:r>
      <w:proofErr w:type="spellStart"/>
      <w:r w:rsidR="00DD3315">
        <w:rPr>
          <w:lang w:eastAsia="lv-LV"/>
        </w:rPr>
        <w:t>Argente</w:t>
      </w:r>
      <w:proofErr w:type="spellEnd"/>
      <w:r w:rsidR="00DD3315">
        <w:rPr>
          <w:lang w:eastAsia="lv-LV"/>
        </w:rPr>
        <w:t xml:space="preserve"> Projekts” strīdus </w:t>
      </w:r>
      <w:r w:rsidR="00FF5DF8">
        <w:rPr>
          <w:lang w:eastAsia="lv-LV"/>
        </w:rPr>
        <w:t xml:space="preserve">būvniecības </w:t>
      </w:r>
      <w:r w:rsidR="00DD3315">
        <w:rPr>
          <w:lang w:eastAsia="lv-LV"/>
        </w:rPr>
        <w:t>pakalpojumus.</w:t>
      </w:r>
      <w:r w:rsidR="00151CBB">
        <w:rPr>
          <w:lang w:eastAsia="lv-LV"/>
        </w:rPr>
        <w:t xml:space="preserve"> </w:t>
      </w:r>
      <w:r w:rsidR="00454E7A">
        <w:rPr>
          <w:lang w:eastAsia="lv-LV"/>
        </w:rPr>
        <w:t>Minētais</w:t>
      </w:r>
      <w:r w:rsidR="00151CBB">
        <w:rPr>
          <w:lang w:eastAsia="lv-LV"/>
        </w:rPr>
        <w:t xml:space="preserve"> dienesta secinājums, kas ir atrefe</w:t>
      </w:r>
      <w:r w:rsidR="00454E7A">
        <w:rPr>
          <w:lang w:eastAsia="lv-LV"/>
        </w:rPr>
        <w:t xml:space="preserve">rēts apgabaltiesas spriedumā, </w:t>
      </w:r>
      <w:r w:rsidR="00454E7A">
        <w:t>citstarp tika pamatots ar SIA „</w:t>
      </w:r>
      <w:proofErr w:type="spellStart"/>
      <w:r w:rsidR="00454E7A">
        <w:t>Argente</w:t>
      </w:r>
      <w:proofErr w:type="spellEnd"/>
      <w:r w:rsidR="00454E7A">
        <w:t xml:space="preserve"> Projekts” un SIA „Centība V” sta</w:t>
      </w:r>
      <w:r w:rsidR="001F033D">
        <w:t>rpā noformēto dokumentu analīzi.</w:t>
      </w:r>
      <w:r w:rsidR="00474B16">
        <w:t xml:space="preserve"> Proti,</w:t>
      </w:r>
      <w:r w:rsidR="001F033D">
        <w:t xml:space="preserve"> SIA</w:t>
      </w:r>
      <w:r w:rsidR="005173B2">
        <w:t> „Centība </w:t>
      </w:r>
      <w:r w:rsidR="001F033D">
        <w:t>V” 2010.gada 1.jūnijā izrakstīt</w:t>
      </w:r>
      <w:r w:rsidR="00474B16">
        <w:t>ajā</w:t>
      </w:r>
      <w:r w:rsidR="001F033D">
        <w:t xml:space="preserve"> rē</w:t>
      </w:r>
      <w:r w:rsidR="00474B16">
        <w:t>ķinā</w:t>
      </w:r>
      <w:r w:rsidR="001F033D">
        <w:t xml:space="preserve"> </w:t>
      </w:r>
      <w:r w:rsidR="00474B16">
        <w:t>atspoguļotā informācija par pakalpojumu sniegšanas laiku, kā arī starp SIA „</w:t>
      </w:r>
      <w:proofErr w:type="spellStart"/>
      <w:r w:rsidR="00474B16">
        <w:t>Argente</w:t>
      </w:r>
      <w:proofErr w:type="spellEnd"/>
      <w:r w:rsidR="00474B16">
        <w:t xml:space="preserve"> Projekts” un SIA „Centība V” līguma par darbu veikšanas objektā noslēgšanas datums, bija vieni no dienesta un arī tiesas pārliecību veidojošiem apstākļiem attiecībā uz SIA „</w:t>
      </w:r>
      <w:proofErr w:type="spellStart"/>
      <w:r w:rsidR="00474B16">
        <w:t>Argente</w:t>
      </w:r>
      <w:proofErr w:type="spellEnd"/>
      <w:r w:rsidR="00474B16">
        <w:t xml:space="preserve"> Projekts” un SIA „Centība V” savstarpēja darījuma neesību.</w:t>
      </w:r>
    </w:p>
    <w:p w14:paraId="76FBAC3C" w14:textId="09E1D3E4" w:rsidR="00346E24" w:rsidRDefault="00804A67" w:rsidP="00E73E49">
      <w:pPr>
        <w:spacing w:line="276" w:lineRule="auto"/>
        <w:ind w:firstLine="567"/>
        <w:jc w:val="both"/>
      </w:pPr>
      <w:r>
        <w:rPr>
          <w:lang w:eastAsia="lv-LV"/>
        </w:rPr>
        <w:t xml:space="preserve">Pieteicēja norāda, ka </w:t>
      </w:r>
      <w:r w:rsidR="003769E0">
        <w:rPr>
          <w:color w:val="000000" w:themeColor="text1"/>
        </w:rPr>
        <w:t>dokumenti saistībā ar darījumiem starp SIA „</w:t>
      </w:r>
      <w:proofErr w:type="spellStart"/>
      <w:r w:rsidR="003769E0">
        <w:t>Argente</w:t>
      </w:r>
      <w:proofErr w:type="spellEnd"/>
      <w:r w:rsidR="003769E0">
        <w:t xml:space="preserve"> Projekts</w:t>
      </w:r>
      <w:r w:rsidR="003769E0">
        <w:rPr>
          <w:color w:val="000000" w:themeColor="text1"/>
        </w:rPr>
        <w:t>” un SIA „Centībā V” un SIA „</w:t>
      </w:r>
      <w:proofErr w:type="spellStart"/>
      <w:r w:rsidR="003769E0">
        <w:rPr>
          <w:color w:val="000000" w:themeColor="text1"/>
        </w:rPr>
        <w:t>Palbroks</w:t>
      </w:r>
      <w:proofErr w:type="spellEnd"/>
      <w:r w:rsidR="003769E0">
        <w:rPr>
          <w:color w:val="000000" w:themeColor="text1"/>
        </w:rPr>
        <w:t>”,</w:t>
      </w:r>
      <w:r w:rsidR="004F46A5">
        <w:rPr>
          <w:color w:val="000000" w:themeColor="text1"/>
        </w:rPr>
        <w:t xml:space="preserve"> uz kuriem ir norādīts apgabaltiesas spriedumā, atreferējot minēto dienesta secinājumu, neatrodas lietas materiālos.</w:t>
      </w:r>
    </w:p>
    <w:p w14:paraId="2B7B2978" w14:textId="378A8109" w:rsidR="003769E0" w:rsidRPr="00346E24" w:rsidRDefault="00346E24" w:rsidP="00E73E49">
      <w:pPr>
        <w:spacing w:line="276" w:lineRule="auto"/>
        <w:ind w:firstLine="567"/>
        <w:jc w:val="both"/>
      </w:pPr>
      <w:r>
        <w:t xml:space="preserve">Administratīvā procesa likuma 247.panta otrā daļa paredz, ka tiesa spriedumu pamato ar apstākļiem, kuri nodibināti ar pierādījumiem lietā. No minētā izriet, ka tiesa nevar balstīt savu spriedumu uz tādiem pierādījumiem, kuri neatrodas lietā. </w:t>
      </w:r>
    </w:p>
    <w:p w14:paraId="22F3F7A7" w14:textId="7C2DF055" w:rsidR="00E20774" w:rsidRDefault="00AF5870" w:rsidP="00E73E49">
      <w:pPr>
        <w:spacing w:line="276" w:lineRule="auto"/>
        <w:ind w:firstLine="567"/>
        <w:jc w:val="both"/>
      </w:pPr>
      <w:r>
        <w:rPr>
          <w:color w:val="000000" w:themeColor="text1"/>
        </w:rPr>
        <w:t>Izvērtējot minēto pieteicēja</w:t>
      </w:r>
      <w:r w:rsidR="001A6A9C">
        <w:rPr>
          <w:color w:val="000000" w:themeColor="text1"/>
        </w:rPr>
        <w:t>s</w:t>
      </w:r>
      <w:r>
        <w:rPr>
          <w:color w:val="000000" w:themeColor="text1"/>
        </w:rPr>
        <w:t xml:space="preserve"> argumentu kopsakarā ar apgabaltiesas spriedumā norādīto un lietā esošajiem materiāliem, secināms, ka </w:t>
      </w:r>
      <w:r w:rsidR="00023AAB">
        <w:rPr>
          <w:color w:val="000000" w:themeColor="text1"/>
        </w:rPr>
        <w:t xml:space="preserve">pieteicējas </w:t>
      </w:r>
      <w:r w:rsidR="00023AAB">
        <w:t xml:space="preserve">arguments </w:t>
      </w:r>
      <w:r w:rsidR="00E20774">
        <w:rPr>
          <w:color w:val="000000" w:themeColor="text1"/>
        </w:rPr>
        <w:t>nav pamatots. Vispirms norādāms, ka ne dienests, ne tiesa, analizējot SIA „</w:t>
      </w:r>
      <w:proofErr w:type="spellStart"/>
      <w:r w:rsidR="00E20774">
        <w:rPr>
          <w:color w:val="000000" w:themeColor="text1"/>
        </w:rPr>
        <w:t>Palbroks</w:t>
      </w:r>
      <w:proofErr w:type="spellEnd"/>
      <w:r w:rsidR="00E20774">
        <w:rPr>
          <w:color w:val="000000" w:themeColor="text1"/>
        </w:rPr>
        <w:t>” spēju sniegt st</w:t>
      </w:r>
      <w:r w:rsidR="0043122B">
        <w:rPr>
          <w:color w:val="000000" w:themeColor="text1"/>
        </w:rPr>
        <w:t>rīdus pakalpojumus, nav atsaukuš</w:t>
      </w:r>
      <w:r w:rsidR="00E20774">
        <w:rPr>
          <w:color w:val="000000" w:themeColor="text1"/>
        </w:rPr>
        <w:t xml:space="preserve">ies vai norādījuši uz jebkādiem </w:t>
      </w:r>
      <w:r w:rsidR="00FF5DF8">
        <w:rPr>
          <w:color w:val="000000" w:themeColor="text1"/>
        </w:rPr>
        <w:t xml:space="preserve">darījumu </w:t>
      </w:r>
      <w:r w:rsidR="00E20774">
        <w:rPr>
          <w:color w:val="000000" w:themeColor="text1"/>
        </w:rPr>
        <w:t>apliecinošiem dokumentiem, tādējādi pieteicēja</w:t>
      </w:r>
      <w:r w:rsidR="0043122B">
        <w:rPr>
          <w:color w:val="000000" w:themeColor="text1"/>
        </w:rPr>
        <w:t>s</w:t>
      </w:r>
      <w:r w:rsidR="00E20774">
        <w:rPr>
          <w:color w:val="000000" w:themeColor="text1"/>
        </w:rPr>
        <w:t xml:space="preserve"> arguments šajā daļā neatbilst patiesībai. Savukārt attiecībā uz dokumentiem, kas apliecina darījumu starp SIA „</w:t>
      </w:r>
      <w:proofErr w:type="spellStart"/>
      <w:r w:rsidR="00E20774">
        <w:t>Argente</w:t>
      </w:r>
      <w:proofErr w:type="spellEnd"/>
      <w:r w:rsidR="00E20774">
        <w:t xml:space="preserve"> Projekts</w:t>
      </w:r>
      <w:r w:rsidR="0043122B">
        <w:rPr>
          <w:color w:val="000000" w:themeColor="text1"/>
        </w:rPr>
        <w:t>” un SIA „Centība</w:t>
      </w:r>
      <w:r w:rsidR="00E20774">
        <w:rPr>
          <w:color w:val="000000" w:themeColor="text1"/>
        </w:rPr>
        <w:t xml:space="preserve"> V”, secināms, ka lietas </w:t>
      </w:r>
      <w:r w:rsidR="00E20774">
        <w:rPr>
          <w:color w:val="000000" w:themeColor="text1"/>
        </w:rPr>
        <w:lastRenderedPageBreak/>
        <w:t xml:space="preserve">materiālos ir </w:t>
      </w:r>
      <w:r w:rsidR="00E20774">
        <w:t xml:space="preserve">SIA „Centība V” 2010.gada 1.jūnijā izrakstītais rēķins, kas atbilstoši rēķinā norādītajai informācijai tika izdots saskaņā ar līgumu par strīdus pakalpojumu sniegšanu. </w:t>
      </w:r>
    </w:p>
    <w:p w14:paraId="16B1C599" w14:textId="7674F78C" w:rsidR="00023AAB" w:rsidRDefault="00972FDA" w:rsidP="00E73E49">
      <w:pPr>
        <w:spacing w:line="276" w:lineRule="auto"/>
        <w:ind w:firstLine="567"/>
        <w:jc w:val="both"/>
      </w:pPr>
      <w:r>
        <w:t xml:space="preserve">Tādējādi </w:t>
      </w:r>
      <w:r w:rsidR="00023AAB">
        <w:t>pēc būtības</w:t>
      </w:r>
      <w:r>
        <w:t xml:space="preserve"> pieteicējas</w:t>
      </w:r>
      <w:r w:rsidR="00D726D2">
        <w:t xml:space="preserve"> arguments</w:t>
      </w:r>
      <w:r w:rsidR="00023AAB">
        <w:t xml:space="preserve"> ir vērsts uz to, ka lietas materiālos neatrodas starp SIA „</w:t>
      </w:r>
      <w:proofErr w:type="spellStart"/>
      <w:r w:rsidR="00023AAB">
        <w:t>Argente</w:t>
      </w:r>
      <w:proofErr w:type="spellEnd"/>
      <w:r w:rsidR="00023AAB">
        <w:t xml:space="preserve"> Projekts” un SIA „Centība V” </w:t>
      </w:r>
      <w:r w:rsidR="008D46EF">
        <w:t xml:space="preserve">noslēgts </w:t>
      </w:r>
      <w:r w:rsidR="00023AAB">
        <w:t>l</w:t>
      </w:r>
      <w:r w:rsidR="001A5E5B">
        <w:t>īgums</w:t>
      </w:r>
      <w:r w:rsidR="00023AAB">
        <w:t xml:space="preserve"> par darbu veikšan</w:t>
      </w:r>
      <w:r w:rsidR="007B27A0">
        <w:t>u</w:t>
      </w:r>
      <w:r w:rsidR="00023AAB">
        <w:t xml:space="preserve"> objektā</w:t>
      </w:r>
      <w:r w:rsidR="004644B9">
        <w:t>. Minēto apliecina arī turpmākie pieteicējas iebildumi attiecībā uz to, ka tiesa ir atstājusi bez ievērības faktu, ka dienests nav iesniedzis minēto līgumu pēc tiesas piepras</w:t>
      </w:r>
      <w:r w:rsidR="00D44035">
        <w:t xml:space="preserve">ījuma. </w:t>
      </w:r>
    </w:p>
    <w:p w14:paraId="5FAD6EBB" w14:textId="06BEF146" w:rsidR="00F514CB" w:rsidRDefault="00FF24CB" w:rsidP="00E73E49">
      <w:pPr>
        <w:spacing w:line="276" w:lineRule="auto"/>
        <w:ind w:firstLine="567"/>
        <w:jc w:val="both"/>
      </w:pPr>
      <w:r>
        <w:t xml:space="preserve">No tiesas sprieduma argumentācijas </w:t>
      </w:r>
      <w:r w:rsidR="009070A0">
        <w:t>neizriet</w:t>
      </w:r>
      <w:r>
        <w:t>, ka minētais starp SIA „</w:t>
      </w:r>
      <w:proofErr w:type="spellStart"/>
      <w:r>
        <w:t>Argente</w:t>
      </w:r>
      <w:proofErr w:type="spellEnd"/>
      <w:r>
        <w:t xml:space="preserve"> Projekts” un SIA „Centība V” noslēgtais līgumus </w:t>
      </w:r>
      <w:r w:rsidR="009070A0">
        <w:t>tika</w:t>
      </w:r>
      <w:r>
        <w:t xml:space="preserve"> </w:t>
      </w:r>
      <w:r w:rsidR="00462C15">
        <w:t xml:space="preserve">vērtēts pēc tā satura, </w:t>
      </w:r>
      <w:r w:rsidR="009070A0">
        <w:t>bet, kā jau tika norādīts, šaubas par darījuma esību radīja</w:t>
      </w:r>
      <w:r w:rsidR="00462C15">
        <w:t xml:space="preserve"> līguma noslēgšanas datums, kas ir atspoguļots SIA „Centība V” 2010.gada 1.jūnija </w:t>
      </w:r>
      <w:r w:rsidR="009070A0">
        <w:t xml:space="preserve">izrakstītajā </w:t>
      </w:r>
      <w:r w:rsidR="00462C15">
        <w:t>rēķinā. Proti, pēc būtības</w:t>
      </w:r>
      <w:r w:rsidR="00D42945">
        <w:t xml:space="preserve"> lietā ir analizēti</w:t>
      </w:r>
      <w:r w:rsidR="00462C15">
        <w:t xml:space="preserve"> tikai </w:t>
      </w:r>
      <w:r w:rsidR="00D42945">
        <w:t>lietas materiālos esošie dokumenti</w:t>
      </w:r>
      <w:r w:rsidR="00462C15">
        <w:t xml:space="preserve"> un tajos norādīt</w:t>
      </w:r>
      <w:r w:rsidR="00D42945">
        <w:t>ā</w:t>
      </w:r>
      <w:r w:rsidR="00462C15">
        <w:t xml:space="preserve"> informācij</w:t>
      </w:r>
      <w:r w:rsidR="00D42945">
        <w:t>a</w:t>
      </w:r>
      <w:r w:rsidR="00462C15">
        <w:t>,</w:t>
      </w:r>
      <w:r w:rsidR="00D42945">
        <w:t xml:space="preserve"> kas tostarp ietvēra</w:t>
      </w:r>
      <w:r w:rsidR="00462C15">
        <w:t xml:space="preserve"> atsauci uz minēto līgumu.</w:t>
      </w:r>
      <w:r w:rsidR="009E3704">
        <w:t xml:space="preserve"> Tādējādi šajā gadījumā nav konstatējams, ka tiesa būtu atsaukusies uz tādu </w:t>
      </w:r>
      <w:r w:rsidR="007C1EC9">
        <w:t xml:space="preserve">dokumentu, kas neatrodas lietas materiālos. </w:t>
      </w:r>
    </w:p>
    <w:p w14:paraId="70DC9143" w14:textId="408DC6CE" w:rsidR="00457DC3" w:rsidRDefault="007C1EC9" w:rsidP="00E73E49">
      <w:pPr>
        <w:spacing w:line="276" w:lineRule="auto"/>
        <w:ind w:firstLine="567"/>
        <w:jc w:val="both"/>
        <w:rPr>
          <w:lang w:eastAsia="lv-LV"/>
        </w:rPr>
      </w:pPr>
      <w:r>
        <w:t>Pieteicējas kasācijas sūdzībā arī nav paskaidrots</w:t>
      </w:r>
      <w:r w:rsidR="00D16407">
        <w:t>,</w:t>
      </w:r>
      <w:r>
        <w:t xml:space="preserve"> kā tieši minētā līguma neesība lietas materiālos var ietekmēt </w:t>
      </w:r>
      <w:r w:rsidR="00D16407">
        <w:t>lietas iznākumu</w:t>
      </w:r>
      <w:r>
        <w:t xml:space="preserve">, īpaši ņemot vērā, ka tiesas secinājums, ka </w:t>
      </w:r>
      <w:r w:rsidR="0043122B">
        <w:rPr>
          <w:lang w:eastAsia="lv-LV"/>
        </w:rPr>
        <w:t>ne SIA „Centība V”, ne</w:t>
      </w:r>
      <w:r>
        <w:rPr>
          <w:lang w:eastAsia="lv-LV"/>
        </w:rPr>
        <w:t xml:space="preserve"> SIA „</w:t>
      </w:r>
      <w:proofErr w:type="spellStart"/>
      <w:r>
        <w:rPr>
          <w:lang w:eastAsia="lv-LV"/>
        </w:rPr>
        <w:t>Palbroks</w:t>
      </w:r>
      <w:proofErr w:type="spellEnd"/>
      <w:r>
        <w:rPr>
          <w:lang w:eastAsia="lv-LV"/>
        </w:rPr>
        <w:t>” nav varējušas sniegt SIA „</w:t>
      </w:r>
      <w:proofErr w:type="spellStart"/>
      <w:r>
        <w:rPr>
          <w:lang w:eastAsia="lv-LV"/>
        </w:rPr>
        <w:t>Argente</w:t>
      </w:r>
      <w:proofErr w:type="spellEnd"/>
      <w:r>
        <w:rPr>
          <w:lang w:eastAsia="lv-LV"/>
        </w:rPr>
        <w:t xml:space="preserve"> Projekts” strīdus </w:t>
      </w:r>
      <w:r w:rsidR="003D1F10">
        <w:rPr>
          <w:lang w:eastAsia="lv-LV"/>
        </w:rPr>
        <w:t xml:space="preserve">būvniecības </w:t>
      </w:r>
      <w:r>
        <w:rPr>
          <w:lang w:eastAsia="lv-LV"/>
        </w:rPr>
        <w:t>pakalpojumus, ir pamatots</w:t>
      </w:r>
      <w:r w:rsidR="001A5CEA">
        <w:rPr>
          <w:lang w:eastAsia="lv-LV"/>
        </w:rPr>
        <w:t xml:space="preserve"> tostarp</w:t>
      </w:r>
      <w:r>
        <w:rPr>
          <w:lang w:eastAsia="lv-LV"/>
        </w:rPr>
        <w:t xml:space="preserve"> ar vir</w:t>
      </w:r>
      <w:r w:rsidR="0013791F">
        <w:rPr>
          <w:lang w:eastAsia="lv-LV"/>
        </w:rPr>
        <w:t>kni citu apstākļu un pierādījumiem</w:t>
      </w:r>
      <w:r>
        <w:rPr>
          <w:lang w:eastAsia="lv-LV"/>
        </w:rPr>
        <w:t xml:space="preserve"> lietā, par kuru izvērtēšanu pieteicēja nav iebildusi.</w:t>
      </w:r>
    </w:p>
    <w:p w14:paraId="3FD99E55" w14:textId="77777777" w:rsidR="00F776D7" w:rsidRDefault="00F776D7" w:rsidP="00E73E49">
      <w:pPr>
        <w:spacing w:line="276" w:lineRule="auto"/>
        <w:jc w:val="both"/>
        <w:rPr>
          <w:lang w:eastAsia="lv-LV"/>
        </w:rPr>
      </w:pPr>
    </w:p>
    <w:p w14:paraId="4B433A9E" w14:textId="52ABBA58" w:rsidR="00E956CE" w:rsidRDefault="0085728A" w:rsidP="00E73E49">
      <w:pPr>
        <w:spacing w:line="276" w:lineRule="auto"/>
        <w:ind w:firstLine="567"/>
        <w:jc w:val="both"/>
      </w:pPr>
      <w:r>
        <w:rPr>
          <w:lang w:eastAsia="lv-LV"/>
        </w:rPr>
        <w:t>[</w:t>
      </w:r>
      <w:r w:rsidR="00C90BBF">
        <w:rPr>
          <w:lang w:eastAsia="lv-LV"/>
        </w:rPr>
        <w:t>9</w:t>
      </w:r>
      <w:r>
        <w:rPr>
          <w:lang w:eastAsia="lv-LV"/>
        </w:rPr>
        <w:t>] </w:t>
      </w:r>
      <w:r w:rsidR="00E956CE" w:rsidRPr="00CE13B6">
        <w:t xml:space="preserve">Pieteicēja kasācijas sūdzībā norādījusi, ka tiesai bija jāņem vērā apstāklis, ka </w:t>
      </w:r>
      <w:r w:rsidR="00134090">
        <w:t xml:space="preserve">avansa veikšana ir pielīdzināma pakalpojuma saņemšanai, tādējādi šajā gadījumā priekšnodokļa </w:t>
      </w:r>
      <w:r w:rsidR="00134090" w:rsidRPr="007613B4">
        <w:t>atskaitīšana ir pamatota</w:t>
      </w:r>
      <w:r w:rsidR="00134090">
        <w:t>.</w:t>
      </w:r>
    </w:p>
    <w:p w14:paraId="4DCABFE1" w14:textId="143021D2" w:rsidR="0085728A" w:rsidRDefault="0044208F" w:rsidP="00E73E49">
      <w:pPr>
        <w:autoSpaceDE w:val="0"/>
        <w:autoSpaceDN w:val="0"/>
        <w:adjustRightInd w:val="0"/>
        <w:spacing w:line="276" w:lineRule="auto"/>
        <w:ind w:firstLine="567"/>
        <w:jc w:val="both"/>
      </w:pPr>
      <w:r>
        <w:t>Likuma</w:t>
      </w:r>
      <w:r w:rsidR="00D147C1">
        <w:t xml:space="preserve"> „Par pievienotās vērtības nodokli”</w:t>
      </w:r>
      <w:r>
        <w:t xml:space="preserve"> 10.panta 1.</w:t>
      </w:r>
      <w:r w:rsidRPr="00D147C1">
        <w:rPr>
          <w:vertAlign w:val="superscript"/>
        </w:rPr>
        <w:t>2</w:t>
      </w:r>
      <w:r>
        <w:t>daļa noteic, ka nodokļa rēķinos norādītās summas par saņemtajiem pakalpojumiem atskaitāmas pēc pakalpojuma un nodokļa rēķina saņemšanas vai pēc nodokļa rēķinā norādītās nodokļa summas samaksas avansā. Likuma 8.panta 2.</w:t>
      </w:r>
      <w:r w:rsidRPr="00D147C1">
        <w:rPr>
          <w:vertAlign w:val="superscript"/>
        </w:rPr>
        <w:t>1</w:t>
      </w:r>
      <w:r>
        <w:t xml:space="preserve">daļa noteic, ka pakalpojuma sniegšana ir notikusi, ja pakalpojums saņemts vai atlīdzība par pakalpojumu veikta avansā. </w:t>
      </w:r>
    </w:p>
    <w:p w14:paraId="5E197EC4" w14:textId="2BC198C9" w:rsidR="00CA3630" w:rsidRPr="0013791F" w:rsidRDefault="00CA3630" w:rsidP="00E73E49">
      <w:pPr>
        <w:autoSpaceDE w:val="0"/>
        <w:autoSpaceDN w:val="0"/>
        <w:adjustRightInd w:val="0"/>
        <w:spacing w:line="276" w:lineRule="auto"/>
        <w:ind w:firstLine="567"/>
        <w:jc w:val="both"/>
        <w:rPr>
          <w:lang w:eastAsia="en-US"/>
        </w:rPr>
      </w:pPr>
      <w:r w:rsidRPr="0013791F">
        <w:rPr>
          <w:lang w:eastAsia="en-US"/>
        </w:rPr>
        <w:t xml:space="preserve">Tāpat kā likums „Par pievienotās vērtības nodokli”, arī </w:t>
      </w:r>
      <w:r w:rsidR="0013791F" w:rsidRPr="0013791F">
        <w:rPr>
          <w:shd w:val="clear" w:color="auto" w:fill="FFFFFF"/>
        </w:rPr>
        <w:t xml:space="preserve">Padomes 2006.gada 28.novembra direktīva Nr. 2006/112/EK par kopējo pievienotās vērtības nodokļa sistēmu </w:t>
      </w:r>
      <w:r w:rsidRPr="0013791F">
        <w:rPr>
          <w:lang w:eastAsia="en-US"/>
        </w:rPr>
        <w:t>paredz priekšnodokļa atskaitīšanas tiesības pēc avansa saņemšanas, skaidrāk nenosakot sekas</w:t>
      </w:r>
      <w:r w:rsidRPr="00CE13B6">
        <w:rPr>
          <w:lang w:eastAsia="en-US"/>
        </w:rPr>
        <w:t xml:space="preserve"> </w:t>
      </w:r>
      <w:r w:rsidRPr="0013791F">
        <w:rPr>
          <w:lang w:eastAsia="en-US"/>
        </w:rPr>
        <w:t>gadījumā, ja neseko darījuma izpilde saskaņā ar darījuma dokumentiem (direktīvas 65.pants).</w:t>
      </w:r>
    </w:p>
    <w:p w14:paraId="161C7DF9" w14:textId="319BC0E8" w:rsidR="00CA3630" w:rsidRPr="0013791F" w:rsidRDefault="00CA3630" w:rsidP="00E73E49">
      <w:pPr>
        <w:spacing w:line="276" w:lineRule="auto"/>
        <w:ind w:firstLine="567"/>
        <w:jc w:val="both"/>
        <w:rPr>
          <w:lang w:eastAsia="en-US"/>
        </w:rPr>
      </w:pPr>
      <w:r w:rsidRPr="0013791F">
        <w:rPr>
          <w:lang w:eastAsia="en-US"/>
        </w:rPr>
        <w:t xml:space="preserve">Eiropas Savienības Tiesa ir analizējusi pievienotās vērtības nodokļa piemērošanu gadījumos, kad pēc avansa samaksas netiek saņemts attiecīgais pakalpojums vai saņemta attiecīga prece. Tiesa norādīja, ka vispārējs princips ir, ka nodokļa </w:t>
      </w:r>
      <w:proofErr w:type="spellStart"/>
      <w:r w:rsidRPr="0013791F">
        <w:rPr>
          <w:lang w:eastAsia="en-US"/>
        </w:rPr>
        <w:t>iekasējamības</w:t>
      </w:r>
      <w:proofErr w:type="spellEnd"/>
      <w:r w:rsidRPr="0013791F">
        <w:rPr>
          <w:lang w:eastAsia="en-US"/>
        </w:rPr>
        <w:t xml:space="preserve"> gadījums iestājas un nodoklis kļūst iekasējams tad, kad faktiski ir veikta preču piegāde vai pakalpojumu sniegšana. Norma, saskaņā ar kuru, ja avansa maksājums izdarāms pirms preču piegādes vai pakalpojuma sniegšanas, nodoklis kļūst iekasējams līdz ar maksājuma saņemšanu un par saņemto summu, ir atkāpe no vispārīgā noteikuma, un t</w:t>
      </w:r>
      <w:r w:rsidR="0070397F" w:rsidRPr="0013791F">
        <w:rPr>
          <w:lang w:eastAsia="en-US"/>
        </w:rPr>
        <w:t xml:space="preserve">āpēc tā ir interpretējama šauri. Tiesības uz atskaitījumu par vēlāk veiktām darbībām saglabātos </w:t>
      </w:r>
      <w:r w:rsidR="0013791F">
        <w:rPr>
          <w:lang w:eastAsia="en-US"/>
        </w:rPr>
        <w:t>tikai tad, ja tās tiek veiktas</w:t>
      </w:r>
      <w:r w:rsidR="0070397F" w:rsidRPr="0013791F">
        <w:rPr>
          <w:lang w:eastAsia="en-US"/>
        </w:rPr>
        <w:t xml:space="preserve"> </w:t>
      </w:r>
      <w:r w:rsidRPr="0013791F">
        <w:rPr>
          <w:lang w:eastAsia="en-US"/>
        </w:rPr>
        <w:t>(</w:t>
      </w:r>
      <w:r w:rsidRPr="0013791F">
        <w:rPr>
          <w:i/>
          <w:lang w:eastAsia="en-US"/>
        </w:rPr>
        <w:t>Eiropas Savienības Tiesas 2014.gada 13.marta spriedums „</w:t>
      </w:r>
      <w:r w:rsidRPr="0013791F">
        <w:rPr>
          <w:bCs/>
          <w:i/>
          <w:iCs/>
          <w:shd w:val="clear" w:color="auto" w:fill="FFFFFF"/>
        </w:rPr>
        <w:t>FIRIN OOD”</w:t>
      </w:r>
      <w:r w:rsidRPr="0013791F">
        <w:rPr>
          <w:i/>
          <w:lang w:eastAsia="en-US"/>
        </w:rPr>
        <w:t xml:space="preserve"> lietā Nr. C-107/13, </w:t>
      </w:r>
      <w:r w:rsidRPr="0013791F">
        <w:rPr>
          <w:i/>
          <w:shd w:val="clear" w:color="auto" w:fill="FFFFFF"/>
        </w:rPr>
        <w:t xml:space="preserve">ECLI:EU:C:2014:151, </w:t>
      </w:r>
      <w:r w:rsidRPr="0013791F">
        <w:rPr>
          <w:i/>
          <w:iCs/>
          <w:lang w:eastAsia="en-US"/>
        </w:rPr>
        <w:t>35.punkts</w:t>
      </w:r>
      <w:r w:rsidRPr="0013791F">
        <w:rPr>
          <w:lang w:eastAsia="en-US"/>
        </w:rPr>
        <w:t>).</w:t>
      </w:r>
    </w:p>
    <w:p w14:paraId="6F15A8B5" w14:textId="1A10AF25" w:rsidR="002D4B1E" w:rsidRDefault="0013791F" w:rsidP="00E73E49">
      <w:pPr>
        <w:spacing w:line="276" w:lineRule="auto"/>
        <w:ind w:firstLine="567"/>
        <w:jc w:val="both"/>
      </w:pPr>
      <w:r w:rsidRPr="0013791F">
        <w:rPr>
          <w:lang w:eastAsia="en-US"/>
        </w:rPr>
        <w:t xml:space="preserve">Eiropas Savienības </w:t>
      </w:r>
      <w:r w:rsidR="00A72E4A">
        <w:rPr>
          <w:lang w:eastAsia="en-US"/>
        </w:rPr>
        <w:t>Tiesa tāpat norāda, ka</w:t>
      </w:r>
      <w:r w:rsidR="00A72E4A">
        <w:t xml:space="preserve"> cīņa pret krāpniecību, izvairīšanos no nodokļu samaksas un iespējamu ļaunprātīgu rīcību ir mērķis, kurš ir atzīts un veicināts ar direktīvu. Tādēļ ieinteresētās personas nevar atsaukties uz Savienības tiesībām krāpnieciskā vai ļaunprātīgā nolūkā. Tādējādi iestādēm un valsts tiesām atskaitīšanas tiesības ir jāatsaka, ja, ņemot vērā objektīvus elementus, ir pierādīts, ka atsaukšanās uz šīm tiesībām ir krāpnieciska </w:t>
      </w:r>
      <w:r w:rsidR="00A72E4A">
        <w:lastRenderedPageBreak/>
        <w:t>vai ļaunprātīga. Tomēr kompetentajām nodokļu iestādēm ir juridiski pietiekami jāpierāda objektīvie elementi, kas ļauj secināt, ka nodokļu maksātājs zināja vai tam bija jāzina, ka darījums, kurš ir norādīts, lai pamatotu tiesības uz atskaitīšanu, ir iesaistīts krāpšanā, ko izdarījis piegādātājs vai cits uzņēmējs, kas iepriekš vai vēlāk ir iesaistījies piegāžu ķēdē (</w:t>
      </w:r>
      <w:r w:rsidRPr="0013791F">
        <w:rPr>
          <w:i/>
        </w:rPr>
        <w:t>turpat,</w:t>
      </w:r>
      <w:r w:rsidR="00255039">
        <w:rPr>
          <w:i/>
          <w:lang w:eastAsia="en-US"/>
        </w:rPr>
        <w:t xml:space="preserve"> </w:t>
      </w:r>
      <w:r w:rsidR="00A72E4A">
        <w:rPr>
          <w:i/>
          <w:iCs/>
          <w:lang w:eastAsia="en-US"/>
        </w:rPr>
        <w:t>40</w:t>
      </w:r>
      <w:r w:rsidR="003D1F10">
        <w:rPr>
          <w:i/>
          <w:iCs/>
          <w:lang w:eastAsia="en-US"/>
        </w:rPr>
        <w:t>.–</w:t>
      </w:r>
      <w:r w:rsidR="00A72E4A">
        <w:rPr>
          <w:i/>
          <w:iCs/>
          <w:lang w:eastAsia="en-US"/>
        </w:rPr>
        <w:t>44</w:t>
      </w:r>
      <w:r w:rsidR="00A72E4A" w:rsidRPr="00CE13B6">
        <w:rPr>
          <w:i/>
          <w:iCs/>
          <w:lang w:eastAsia="en-US"/>
        </w:rPr>
        <w:t>.punkts</w:t>
      </w:r>
      <w:r w:rsidR="00A72E4A">
        <w:t>).</w:t>
      </w:r>
    </w:p>
    <w:p w14:paraId="543A8DD1" w14:textId="011CE15B" w:rsidR="0013791F" w:rsidRDefault="0095761B" w:rsidP="00E73E49">
      <w:pPr>
        <w:spacing w:line="276" w:lineRule="auto"/>
        <w:ind w:firstLine="567"/>
        <w:jc w:val="both"/>
        <w:rPr>
          <w:rFonts w:eastAsiaTheme="minorEastAsia"/>
          <w:lang w:eastAsia="en-US"/>
        </w:rPr>
      </w:pPr>
      <w:r>
        <w:rPr>
          <w:lang w:eastAsia="en-US"/>
        </w:rPr>
        <w:t>Ievērojot minēto</w:t>
      </w:r>
      <w:r w:rsidR="00723FCC">
        <w:t xml:space="preserve">, </w:t>
      </w:r>
      <w:r w:rsidR="003D1F10">
        <w:t xml:space="preserve">vispārīgi </w:t>
      </w:r>
      <w:r w:rsidR="00D3458A">
        <w:t>avansa maksājums ir pielīdzināms pakalpojuma saņemšanai un rada pamatu priekšnodokļa atskaitīšanai, tomēr</w:t>
      </w:r>
      <w:r w:rsidR="00B108DB">
        <w:t xml:space="preserve"> šīs tiesības nav absolūtas un </w:t>
      </w:r>
      <w:r w:rsidR="003D1F10">
        <w:t xml:space="preserve">ir </w:t>
      </w:r>
      <w:r w:rsidR="00B108DB">
        <w:t>vērtējamas kopsakarā ar pievienotās vērtības nodokļa sistēmas būtību.</w:t>
      </w:r>
      <w:r w:rsidR="00D3458A">
        <w:t xml:space="preserve"> Proti, priekšnodokļa atskaitīšana ir atsakāma vai koriģējama gadījumā, ja pakalpojums nav sniegts vai</w:t>
      </w:r>
      <w:r>
        <w:t xml:space="preserve"> konstatējama </w:t>
      </w:r>
      <w:r w:rsidRPr="00862A97">
        <w:rPr>
          <w:rFonts w:eastAsiaTheme="minorEastAsia"/>
          <w:lang w:eastAsia="en-US"/>
        </w:rPr>
        <w:t>pievienotās vērtī</w:t>
      </w:r>
      <w:r>
        <w:rPr>
          <w:rFonts w:eastAsiaTheme="minorEastAsia"/>
          <w:lang w:eastAsia="en-US"/>
        </w:rPr>
        <w:t>bas nodokļa sistēmas ļaunprātīga izmantošana.</w:t>
      </w:r>
    </w:p>
    <w:p w14:paraId="2FF69282" w14:textId="17B5045C" w:rsidR="00723FCC" w:rsidRDefault="000B2776" w:rsidP="00E73E49">
      <w:pPr>
        <w:spacing w:line="276" w:lineRule="auto"/>
        <w:ind w:firstLine="567"/>
        <w:jc w:val="both"/>
      </w:pPr>
      <w:r>
        <w:rPr>
          <w:rFonts w:eastAsiaTheme="minorEastAsia"/>
          <w:lang w:eastAsia="en-US"/>
        </w:rPr>
        <w:t xml:space="preserve">Ņemot vērā, ka šajā gadījumā ir secināts, ka darījums starp pieteicēju un </w:t>
      </w:r>
      <w:r w:rsidRPr="00862A97">
        <w:rPr>
          <w:rFonts w:eastAsiaTheme="minorEastAsia"/>
          <w:lang w:eastAsia="en-US"/>
        </w:rPr>
        <w:t>SIA „</w:t>
      </w:r>
      <w:proofErr w:type="spellStart"/>
      <w:r>
        <w:t>Argente</w:t>
      </w:r>
      <w:proofErr w:type="spellEnd"/>
      <w:r>
        <w:t xml:space="preserve"> Projekts</w:t>
      </w:r>
      <w:r w:rsidRPr="00862A97">
        <w:rPr>
          <w:rFonts w:eastAsiaTheme="minorEastAsia"/>
          <w:lang w:eastAsia="en-US"/>
        </w:rPr>
        <w:t>”</w:t>
      </w:r>
      <w:r w:rsidR="00F616C5">
        <w:rPr>
          <w:rFonts w:eastAsiaTheme="minorEastAsia"/>
          <w:lang w:eastAsia="en-US"/>
        </w:rPr>
        <w:t xml:space="preserve"> nav noticis</w:t>
      </w:r>
      <w:r>
        <w:rPr>
          <w:rFonts w:eastAsiaTheme="minorEastAsia"/>
          <w:lang w:eastAsia="en-US"/>
        </w:rPr>
        <w:t xml:space="preserve"> un pieteicēja zināja par iesaistīšanos </w:t>
      </w:r>
      <w:r w:rsidRPr="00862A97">
        <w:rPr>
          <w:rFonts w:eastAsiaTheme="minorEastAsia"/>
          <w:lang w:eastAsia="en-US"/>
        </w:rPr>
        <w:t>pievienotās vērtī</w:t>
      </w:r>
      <w:r>
        <w:rPr>
          <w:rFonts w:eastAsiaTheme="minorEastAsia"/>
          <w:lang w:eastAsia="en-US"/>
        </w:rPr>
        <w:t>bas nodokļa sistēmas ļaunprātīgā izmantošan</w:t>
      </w:r>
      <w:r w:rsidR="00BB484D">
        <w:rPr>
          <w:rFonts w:eastAsiaTheme="minorEastAsia"/>
          <w:lang w:eastAsia="en-US"/>
        </w:rPr>
        <w:t>ā, tai nav pamata atsaukties uz priekšnodokļa atskaitīšanas tiesībām</w:t>
      </w:r>
      <w:r>
        <w:rPr>
          <w:rFonts w:eastAsiaTheme="minorEastAsia"/>
          <w:lang w:eastAsia="en-US"/>
        </w:rPr>
        <w:t>.</w:t>
      </w:r>
    </w:p>
    <w:p w14:paraId="108CD8CC" w14:textId="77777777" w:rsidR="00862A97" w:rsidRDefault="00862A97" w:rsidP="00E73E49">
      <w:pPr>
        <w:spacing w:line="276" w:lineRule="auto"/>
        <w:ind w:firstLine="567"/>
        <w:jc w:val="both"/>
      </w:pPr>
    </w:p>
    <w:p w14:paraId="53B86834" w14:textId="637F6529" w:rsidR="000F3581" w:rsidRDefault="00B4498A" w:rsidP="00E73E49">
      <w:pPr>
        <w:spacing w:line="276" w:lineRule="auto"/>
        <w:ind w:firstLine="567"/>
        <w:jc w:val="both"/>
        <w:rPr>
          <w:rFonts w:eastAsiaTheme="minorEastAsia"/>
          <w:lang w:eastAsia="en-US"/>
        </w:rPr>
      </w:pPr>
      <w:r>
        <w:rPr>
          <w:rFonts w:eastAsiaTheme="minorEastAsia"/>
          <w:lang w:eastAsia="en-US"/>
        </w:rPr>
        <w:t>[</w:t>
      </w:r>
      <w:r w:rsidR="00171541">
        <w:rPr>
          <w:rFonts w:eastAsiaTheme="minorEastAsia"/>
          <w:lang w:eastAsia="en-US"/>
        </w:rPr>
        <w:t>10</w:t>
      </w:r>
      <w:r w:rsidR="00483215">
        <w:rPr>
          <w:rFonts w:eastAsiaTheme="minorEastAsia"/>
          <w:lang w:eastAsia="en-US"/>
        </w:rPr>
        <w:t>] </w:t>
      </w:r>
      <w:r w:rsidR="000F3581">
        <w:rPr>
          <w:rFonts w:eastAsiaTheme="minorEastAsia"/>
          <w:lang w:eastAsia="en-US"/>
        </w:rPr>
        <w:t xml:space="preserve">Pieteicēja norāda, ka </w:t>
      </w:r>
      <w:r w:rsidR="00885E55">
        <w:rPr>
          <w:rFonts w:eastAsiaTheme="minorEastAsia"/>
          <w:lang w:eastAsia="en-US"/>
        </w:rPr>
        <w:t xml:space="preserve">Valsts ieņēmumu </w:t>
      </w:r>
      <w:r w:rsidR="000F3581">
        <w:rPr>
          <w:rFonts w:eastAsiaTheme="minorEastAsia"/>
          <w:lang w:eastAsia="en-US"/>
        </w:rPr>
        <w:t xml:space="preserve">dienests nav pierādījis, ka pieteicēja zināja par iesaistīšanos </w:t>
      </w:r>
      <w:r w:rsidR="000F3581" w:rsidRPr="00862A97">
        <w:rPr>
          <w:rFonts w:eastAsiaTheme="minorEastAsia"/>
          <w:lang w:eastAsia="en-US"/>
        </w:rPr>
        <w:t>pievienotās vērtī</w:t>
      </w:r>
      <w:r w:rsidR="000F3581">
        <w:rPr>
          <w:rFonts w:eastAsiaTheme="minorEastAsia"/>
          <w:lang w:eastAsia="en-US"/>
        </w:rPr>
        <w:t>bas nodokļa sistēmas ļaunprātīgā izmantošanā, savukārt tiesas secinājum</w:t>
      </w:r>
      <w:r w:rsidR="00BD5944">
        <w:rPr>
          <w:rFonts w:eastAsiaTheme="minorEastAsia"/>
          <w:lang w:eastAsia="en-US"/>
        </w:rPr>
        <w:t>i</w:t>
      </w:r>
      <w:r w:rsidR="000F3581">
        <w:rPr>
          <w:rFonts w:eastAsiaTheme="minorEastAsia"/>
          <w:lang w:eastAsia="en-US"/>
        </w:rPr>
        <w:t xml:space="preserve"> šajā sakarā nav pareizi.</w:t>
      </w:r>
      <w:r w:rsidR="000F3581" w:rsidRPr="00862A97">
        <w:rPr>
          <w:rFonts w:eastAsiaTheme="minorEastAsia"/>
          <w:lang w:eastAsia="en-US"/>
        </w:rPr>
        <w:t xml:space="preserve"> </w:t>
      </w:r>
    </w:p>
    <w:p w14:paraId="45D1B57D" w14:textId="1B81913C" w:rsidR="005040D8" w:rsidRDefault="005040D8" w:rsidP="00E73E49">
      <w:pPr>
        <w:spacing w:line="276" w:lineRule="auto"/>
        <w:ind w:firstLine="567"/>
        <w:jc w:val="both"/>
        <w:rPr>
          <w:rFonts w:eastAsiaTheme="minorEastAsia"/>
          <w:lang w:eastAsia="en-US"/>
        </w:rPr>
      </w:pPr>
      <w:r>
        <w:rPr>
          <w:lang w:eastAsia="lv-LV"/>
        </w:rPr>
        <w:t>K</w:t>
      </w:r>
      <w:r w:rsidRPr="00325ABD">
        <w:rPr>
          <w:lang w:eastAsia="lv-LV"/>
        </w:rPr>
        <w:t>asācijas instances tiesa neveic kontroli pār iestādes lēmuma tiesiskumu</w:t>
      </w:r>
      <w:r>
        <w:rPr>
          <w:lang w:eastAsia="lv-LV"/>
        </w:rPr>
        <w:t>, savukārt attiecībā uz tiesas spriedumā secināto norādāms turpmāk minētais.</w:t>
      </w:r>
    </w:p>
    <w:p w14:paraId="77A68B45" w14:textId="59BC1E26" w:rsidR="00862A97" w:rsidRPr="00862A97" w:rsidRDefault="00862A97" w:rsidP="00E73E49">
      <w:pPr>
        <w:spacing w:line="276" w:lineRule="auto"/>
        <w:ind w:firstLine="567"/>
        <w:jc w:val="both"/>
        <w:rPr>
          <w:rFonts w:eastAsiaTheme="minorEastAsia"/>
          <w:lang w:eastAsia="en-US"/>
        </w:rPr>
      </w:pPr>
      <w:r w:rsidRPr="00862A97">
        <w:rPr>
          <w:rFonts w:eastAsiaTheme="minorEastAsia"/>
          <w:lang w:eastAsia="en-US"/>
        </w:rPr>
        <w:t>Lietā noskaidrots, ka noformēt</w:t>
      </w:r>
      <w:r w:rsidR="00B2410C">
        <w:rPr>
          <w:rFonts w:eastAsiaTheme="minorEastAsia"/>
          <w:lang w:eastAsia="en-US"/>
        </w:rPr>
        <w:t>ajā</w:t>
      </w:r>
      <w:r w:rsidRPr="00862A97">
        <w:rPr>
          <w:rFonts w:eastAsiaTheme="minorEastAsia"/>
          <w:lang w:eastAsia="en-US"/>
        </w:rPr>
        <w:t xml:space="preserve"> līgum</w:t>
      </w:r>
      <w:r w:rsidR="00B2410C">
        <w:rPr>
          <w:rFonts w:eastAsiaTheme="minorEastAsia"/>
          <w:lang w:eastAsia="en-US"/>
        </w:rPr>
        <w:t>ā</w:t>
      </w:r>
      <w:r w:rsidRPr="00862A97">
        <w:rPr>
          <w:rFonts w:eastAsiaTheme="minorEastAsia"/>
          <w:lang w:eastAsia="en-US"/>
        </w:rPr>
        <w:t xml:space="preserve"> minētos darbus</w:t>
      </w:r>
      <w:r>
        <w:rPr>
          <w:rFonts w:eastAsiaTheme="minorEastAsia"/>
          <w:lang w:eastAsia="en-US"/>
        </w:rPr>
        <w:t xml:space="preserve"> nav veikusi </w:t>
      </w:r>
      <w:r w:rsidRPr="00862A97">
        <w:rPr>
          <w:rFonts w:eastAsiaTheme="minorEastAsia"/>
          <w:lang w:eastAsia="en-US"/>
        </w:rPr>
        <w:t>pieteicējas tieš</w:t>
      </w:r>
      <w:r>
        <w:rPr>
          <w:rFonts w:eastAsiaTheme="minorEastAsia"/>
          <w:lang w:eastAsia="en-US"/>
        </w:rPr>
        <w:t>ā</w:t>
      </w:r>
      <w:r w:rsidRPr="00862A97">
        <w:rPr>
          <w:rFonts w:eastAsiaTheme="minorEastAsia"/>
          <w:lang w:eastAsia="en-US"/>
        </w:rPr>
        <w:t xml:space="preserve"> darījum</w:t>
      </w:r>
      <w:r>
        <w:rPr>
          <w:rFonts w:eastAsiaTheme="minorEastAsia"/>
          <w:lang w:eastAsia="en-US"/>
        </w:rPr>
        <w:t>a</w:t>
      </w:r>
      <w:r w:rsidRPr="00862A97">
        <w:rPr>
          <w:rFonts w:eastAsiaTheme="minorEastAsia"/>
          <w:lang w:eastAsia="en-US"/>
        </w:rPr>
        <w:t xml:space="preserve"> partner</w:t>
      </w:r>
      <w:r>
        <w:rPr>
          <w:rFonts w:eastAsiaTheme="minorEastAsia"/>
          <w:lang w:eastAsia="en-US"/>
        </w:rPr>
        <w:t>e</w:t>
      </w:r>
      <w:r w:rsidRPr="00862A97">
        <w:rPr>
          <w:rFonts w:eastAsiaTheme="minorEastAsia"/>
          <w:lang w:eastAsia="en-US"/>
        </w:rPr>
        <w:t xml:space="preserve"> SIA „</w:t>
      </w:r>
      <w:proofErr w:type="spellStart"/>
      <w:r>
        <w:t>Argente</w:t>
      </w:r>
      <w:proofErr w:type="spellEnd"/>
      <w:r>
        <w:t xml:space="preserve"> Projekts</w:t>
      </w:r>
      <w:r w:rsidRPr="00862A97">
        <w:rPr>
          <w:rFonts w:eastAsiaTheme="minorEastAsia"/>
          <w:lang w:eastAsia="en-US"/>
        </w:rPr>
        <w:t>”</w:t>
      </w:r>
      <w:r>
        <w:rPr>
          <w:rFonts w:eastAsiaTheme="minorEastAsia"/>
          <w:lang w:eastAsia="en-US"/>
        </w:rPr>
        <w:t xml:space="preserve">. </w:t>
      </w:r>
      <w:r w:rsidRPr="00862A97">
        <w:rPr>
          <w:rFonts w:eastAsiaTheme="minorEastAsia"/>
          <w:lang w:eastAsia="en-US"/>
        </w:rPr>
        <w:t>No spriedumā atspoguļotajām pieteicējas darījum</w:t>
      </w:r>
      <w:r w:rsidR="00580B2C">
        <w:rPr>
          <w:rFonts w:eastAsiaTheme="minorEastAsia"/>
          <w:lang w:eastAsia="en-US"/>
        </w:rPr>
        <w:t>a</w:t>
      </w:r>
      <w:r w:rsidRPr="00862A97">
        <w:rPr>
          <w:rFonts w:eastAsiaTheme="minorEastAsia"/>
          <w:lang w:eastAsia="en-US"/>
        </w:rPr>
        <w:t xml:space="preserve"> partner</w:t>
      </w:r>
      <w:r w:rsidR="00580B2C">
        <w:rPr>
          <w:rFonts w:eastAsiaTheme="minorEastAsia"/>
          <w:lang w:eastAsia="en-US"/>
        </w:rPr>
        <w:t>es</w:t>
      </w:r>
      <w:r w:rsidRPr="00862A97">
        <w:rPr>
          <w:rFonts w:eastAsiaTheme="minorEastAsia"/>
          <w:lang w:eastAsia="en-US"/>
        </w:rPr>
        <w:t xml:space="preserve"> amatperson</w:t>
      </w:r>
      <w:r w:rsidR="00580B2C">
        <w:rPr>
          <w:rFonts w:eastAsiaTheme="minorEastAsia"/>
          <w:lang w:eastAsia="en-US"/>
        </w:rPr>
        <w:t>as</w:t>
      </w:r>
      <w:r w:rsidRPr="00862A97">
        <w:rPr>
          <w:rFonts w:eastAsiaTheme="minorEastAsia"/>
          <w:lang w:eastAsia="en-US"/>
        </w:rPr>
        <w:t xml:space="preserve"> liecībām izriet, ka darbu veikšana uzticēta </w:t>
      </w:r>
      <w:r>
        <w:rPr>
          <w:rFonts w:eastAsiaTheme="minorEastAsia"/>
          <w:lang w:eastAsia="en-US"/>
        </w:rPr>
        <w:t>citam uzņēmumam</w:t>
      </w:r>
      <w:r w:rsidRPr="00862A97">
        <w:rPr>
          <w:rFonts w:eastAsiaTheme="minorEastAsia"/>
          <w:lang w:eastAsia="en-US"/>
        </w:rPr>
        <w:t xml:space="preserve"> un faktiski tieš</w:t>
      </w:r>
      <w:r>
        <w:rPr>
          <w:rFonts w:eastAsiaTheme="minorEastAsia"/>
          <w:lang w:eastAsia="en-US"/>
        </w:rPr>
        <w:t xml:space="preserve">ā </w:t>
      </w:r>
      <w:r w:rsidRPr="00862A97">
        <w:rPr>
          <w:rFonts w:eastAsiaTheme="minorEastAsia"/>
          <w:lang w:eastAsia="en-US"/>
        </w:rPr>
        <w:t>darījum</w:t>
      </w:r>
      <w:r>
        <w:rPr>
          <w:rFonts w:eastAsiaTheme="minorEastAsia"/>
          <w:lang w:eastAsia="en-US"/>
        </w:rPr>
        <w:t>a</w:t>
      </w:r>
      <w:r w:rsidRPr="00862A97">
        <w:rPr>
          <w:rFonts w:eastAsiaTheme="minorEastAsia"/>
          <w:lang w:eastAsia="en-US"/>
        </w:rPr>
        <w:t xml:space="preserve"> partne</w:t>
      </w:r>
      <w:r>
        <w:rPr>
          <w:rFonts w:eastAsiaTheme="minorEastAsia"/>
          <w:lang w:eastAsia="en-US"/>
        </w:rPr>
        <w:t>re</w:t>
      </w:r>
      <w:r w:rsidRPr="00862A97">
        <w:rPr>
          <w:rFonts w:eastAsiaTheme="minorEastAsia"/>
          <w:lang w:eastAsia="en-US"/>
        </w:rPr>
        <w:t xml:space="preserve"> darboju</w:t>
      </w:r>
      <w:r>
        <w:rPr>
          <w:rFonts w:eastAsiaTheme="minorEastAsia"/>
          <w:lang w:eastAsia="en-US"/>
        </w:rPr>
        <w:t>s</w:t>
      </w:r>
      <w:r w:rsidRPr="00862A97">
        <w:rPr>
          <w:rFonts w:eastAsiaTheme="minorEastAsia"/>
          <w:lang w:eastAsia="en-US"/>
        </w:rPr>
        <w:t>ies kā starpnie</w:t>
      </w:r>
      <w:r>
        <w:rPr>
          <w:rFonts w:eastAsiaTheme="minorEastAsia"/>
          <w:lang w:eastAsia="en-US"/>
        </w:rPr>
        <w:t>ce</w:t>
      </w:r>
      <w:r w:rsidRPr="00862A97">
        <w:rPr>
          <w:rFonts w:eastAsiaTheme="minorEastAsia"/>
          <w:lang w:eastAsia="en-US"/>
        </w:rPr>
        <w:t>.</w:t>
      </w:r>
    </w:p>
    <w:p w14:paraId="025723FE" w14:textId="2A15A242" w:rsidR="00862A97" w:rsidRPr="00862A97" w:rsidRDefault="00862A97" w:rsidP="00E73E49">
      <w:pPr>
        <w:spacing w:line="276" w:lineRule="auto"/>
        <w:ind w:firstLine="567"/>
        <w:jc w:val="both"/>
        <w:rPr>
          <w:rFonts w:eastAsiaTheme="minorEastAsia"/>
          <w:lang w:eastAsia="en-US"/>
        </w:rPr>
      </w:pPr>
      <w:r w:rsidRPr="00862A97">
        <w:rPr>
          <w:rFonts w:eastAsiaTheme="minorEastAsia"/>
          <w:lang w:eastAsia="en-US"/>
        </w:rPr>
        <w:t xml:space="preserve">Vispārīgi ir pieļaujama iespēja, ka persona, kura uzņemas sniegt pakalpojumus, veicamo darbu izpildi uztic saviem apakšuzņēmējiem. Tāpat ir iespējams, ka persona (tiešais darījumu partneris) darbojas vienīgi kā starpnieks, kas piemeklē nepieciešamo pakalpojumu sniedzēju vai preču piegādātāju, kurš tad arī faktiski paveic nepieciešamos darbus vai piegādā preces. Šāda komercprakse pati par sevi nenorāda uz nodokļu maksātāja vai tā darījumu partneru nosodāmām darbībām vai iesaisti krāpšanā. </w:t>
      </w:r>
    </w:p>
    <w:p w14:paraId="640C6864" w14:textId="1689F223" w:rsidR="00862A97" w:rsidRPr="00862A97" w:rsidRDefault="00862A97" w:rsidP="00E73E49">
      <w:pPr>
        <w:spacing w:line="276" w:lineRule="auto"/>
        <w:ind w:firstLine="567"/>
        <w:jc w:val="both"/>
        <w:rPr>
          <w:rFonts w:eastAsiaTheme="minorEastAsia"/>
          <w:lang w:eastAsia="en-US"/>
        </w:rPr>
      </w:pPr>
      <w:r w:rsidRPr="00862A97">
        <w:rPr>
          <w:rFonts w:eastAsiaTheme="minorEastAsia"/>
          <w:lang w:eastAsia="en-US"/>
        </w:rPr>
        <w:t>Tomēr jāņem vērā, ka lietā ir strīds par to, vai pieteicēja apzināti iesaistījusies pievienotās vērtības nodokļa sistēmas ļaunprātīgā izmantošanā ar mērķi gūt fiskālas priekšrocības. Šajā ziņā lietu patieso norises gaitu raksturo pazīmes par pieteicējas iesaisti pievienotās vērtības nodokļa sistēmas ļaunp</w:t>
      </w:r>
      <w:bookmarkStart w:id="0" w:name="_GoBack"/>
      <w:bookmarkEnd w:id="0"/>
      <w:r w:rsidRPr="00862A97">
        <w:rPr>
          <w:rFonts w:eastAsiaTheme="minorEastAsia"/>
          <w:lang w:eastAsia="en-US"/>
        </w:rPr>
        <w:t>rātīgā izmantošanā.</w:t>
      </w:r>
    </w:p>
    <w:p w14:paraId="4B0DA91C" w14:textId="741B0C9E" w:rsidR="00862A97" w:rsidRPr="00862A97" w:rsidRDefault="007A77A1" w:rsidP="00E73E49">
      <w:pPr>
        <w:spacing w:line="276" w:lineRule="auto"/>
        <w:ind w:firstLine="567"/>
        <w:jc w:val="both"/>
        <w:rPr>
          <w:rFonts w:eastAsiaTheme="minorEastAsia"/>
          <w:lang w:eastAsia="en-US"/>
        </w:rPr>
      </w:pPr>
      <w:r>
        <w:rPr>
          <w:rFonts w:eastAsiaTheme="minorEastAsia"/>
          <w:lang w:eastAsia="en-US"/>
        </w:rPr>
        <w:t>P</w:t>
      </w:r>
      <w:r w:rsidR="00862A97" w:rsidRPr="00862A97">
        <w:rPr>
          <w:rFonts w:eastAsiaTheme="minorEastAsia"/>
          <w:lang w:eastAsia="en-US"/>
        </w:rPr>
        <w:t>ieteicējas rīcības patiesos mērķus var atklāt tas, vai un kā tās rīcība atbilst izpratnei par normālu – komercdarbības jēgai atbilstošu – darījumu partneru izvēles un darījumu izpildes kontroles procesu. Komercdarbība pēc būtības ir tāda saimniekošana, kas vērsta uz peļņas gūšanu. Tā neapšaubāmi ietver saimniecisku apsvērumu izdarīšanu savas rīcības plānošanā, tostarp darījumu partneru izvēlē, lai izvērtētu un novērstu potenciālos ekonomiskos vai saimnieciskās darbības ilgtspējības riskus. Līdz ar to grūti izskaidrojamai vienaldzībai, vieglprātībai vai paviršībai, kas raksturo darījumu partnera izvēli</w:t>
      </w:r>
      <w:r w:rsidR="002E5C2A">
        <w:rPr>
          <w:rFonts w:eastAsiaTheme="minorEastAsia"/>
          <w:lang w:eastAsia="en-US"/>
        </w:rPr>
        <w:t xml:space="preserve"> vai citus ar darījumu saistītus apstākļus</w:t>
      </w:r>
      <w:r w:rsidR="00862A97" w:rsidRPr="00862A97">
        <w:rPr>
          <w:rFonts w:eastAsiaTheme="minorEastAsia"/>
          <w:lang w:eastAsia="en-US"/>
        </w:rPr>
        <w:t>, var būt būtiska nozīme, noskaidrojot darījuma patieso raksturu. Atbilstoši tiesas līdzšinējai nostājai šādas attieksmes demonstrēšana uz izpildītāju var tikt vērtēta kritiski (</w:t>
      </w:r>
      <w:r w:rsidR="002E5C2A">
        <w:rPr>
          <w:rFonts w:eastAsiaTheme="minorEastAsia"/>
          <w:i/>
          <w:lang w:eastAsia="en-US"/>
        </w:rPr>
        <w:t>Senāta</w:t>
      </w:r>
      <w:r w:rsidR="00862A97" w:rsidRPr="00862A97">
        <w:rPr>
          <w:rFonts w:eastAsiaTheme="minorEastAsia"/>
          <w:i/>
          <w:lang w:eastAsia="en-US"/>
        </w:rPr>
        <w:t xml:space="preserve"> 201</w:t>
      </w:r>
      <w:r w:rsidR="00921F41">
        <w:rPr>
          <w:rFonts w:eastAsiaTheme="minorEastAsia"/>
          <w:i/>
          <w:lang w:eastAsia="en-US"/>
        </w:rPr>
        <w:t>4</w:t>
      </w:r>
      <w:r w:rsidR="00862A97" w:rsidRPr="00862A97">
        <w:rPr>
          <w:rFonts w:eastAsiaTheme="minorEastAsia"/>
          <w:i/>
          <w:lang w:eastAsia="en-US"/>
        </w:rPr>
        <w:t>.gada 11.septembra lēmuma lietā Nr.</w:t>
      </w:r>
      <w:r w:rsidR="00BD5944">
        <w:rPr>
          <w:rFonts w:eastAsiaTheme="minorEastAsia"/>
          <w:i/>
          <w:lang w:eastAsia="en-US"/>
        </w:rPr>
        <w:t> </w:t>
      </w:r>
      <w:r w:rsidR="00862A97" w:rsidRPr="00862A97">
        <w:rPr>
          <w:rFonts w:eastAsiaTheme="minorEastAsia"/>
          <w:i/>
          <w:lang w:eastAsia="en-US"/>
        </w:rPr>
        <w:t>SKA-522/2014</w:t>
      </w:r>
      <w:r w:rsidR="00595C99">
        <w:rPr>
          <w:rFonts w:eastAsiaTheme="minorEastAsia"/>
          <w:i/>
          <w:lang w:eastAsia="en-US"/>
        </w:rPr>
        <w:t xml:space="preserve"> (</w:t>
      </w:r>
      <w:r w:rsidR="00595C99" w:rsidRPr="00595C99">
        <w:rPr>
          <w:rFonts w:eastAsiaTheme="minorEastAsia"/>
          <w:i/>
          <w:lang w:eastAsia="en-US"/>
        </w:rPr>
        <w:t>A420506611</w:t>
      </w:r>
      <w:r w:rsidR="00595C99">
        <w:rPr>
          <w:rFonts w:eastAsiaTheme="minorEastAsia"/>
          <w:i/>
          <w:lang w:eastAsia="en-US"/>
        </w:rPr>
        <w:t>)</w:t>
      </w:r>
      <w:r w:rsidR="00862A97" w:rsidRPr="00862A97">
        <w:rPr>
          <w:rFonts w:eastAsiaTheme="minorEastAsia"/>
          <w:i/>
          <w:lang w:eastAsia="en-US"/>
        </w:rPr>
        <w:t xml:space="preserve"> 12.punkt</w:t>
      </w:r>
      <w:r w:rsidR="00595C99">
        <w:rPr>
          <w:rFonts w:eastAsiaTheme="minorEastAsia"/>
          <w:i/>
          <w:lang w:eastAsia="en-US"/>
        </w:rPr>
        <w:t>s</w:t>
      </w:r>
      <w:r w:rsidR="00862A97" w:rsidRPr="00862A97">
        <w:rPr>
          <w:rFonts w:eastAsiaTheme="minorEastAsia"/>
          <w:lang w:eastAsia="en-US"/>
        </w:rPr>
        <w:t xml:space="preserve">). Persona, protams, nevar tikt sodīta vienīgi par nesaprātīgu risku, taču norādes, kas liek to atzīt par saimnieciskajai realitātei neatbilstošu, ir viens no vērā ņemamiem apsvērumiem, vērtējot </w:t>
      </w:r>
      <w:r w:rsidR="00862A97" w:rsidRPr="00862A97">
        <w:rPr>
          <w:rFonts w:eastAsiaTheme="minorEastAsia"/>
          <w:lang w:eastAsia="en-US"/>
        </w:rPr>
        <w:lastRenderedPageBreak/>
        <w:t>personas lomu faktiskajai darījuma norisei neatbilstošu dokumentu noformēšanā</w:t>
      </w:r>
      <w:r w:rsidR="0080773A">
        <w:rPr>
          <w:rFonts w:eastAsiaTheme="minorEastAsia"/>
          <w:lang w:eastAsia="en-US"/>
        </w:rPr>
        <w:t xml:space="preserve"> (</w:t>
      </w:r>
      <w:r w:rsidR="0080773A" w:rsidRPr="0080773A">
        <w:rPr>
          <w:i/>
        </w:rPr>
        <w:t>Senāta 2016.gada 30.marta sprieduma lietā Nr. SKA-151/2016 (A420436712) 8.punkts</w:t>
      </w:r>
      <w:r w:rsidR="0080773A">
        <w:rPr>
          <w:rFonts w:eastAsiaTheme="minorEastAsia"/>
          <w:lang w:eastAsia="en-US"/>
        </w:rPr>
        <w:t>)</w:t>
      </w:r>
      <w:r w:rsidR="00862A97" w:rsidRPr="00862A97">
        <w:rPr>
          <w:rFonts w:eastAsiaTheme="minorEastAsia"/>
          <w:lang w:eastAsia="en-US"/>
        </w:rPr>
        <w:t>.</w:t>
      </w:r>
    </w:p>
    <w:p w14:paraId="661D6D6A" w14:textId="77777777" w:rsidR="00862A97" w:rsidRPr="00862A97" w:rsidRDefault="00862A97" w:rsidP="00E73E49">
      <w:pPr>
        <w:spacing w:line="276" w:lineRule="auto"/>
        <w:jc w:val="both"/>
        <w:rPr>
          <w:rFonts w:eastAsiaTheme="minorEastAsia"/>
          <w:lang w:eastAsia="en-US"/>
        </w:rPr>
      </w:pPr>
    </w:p>
    <w:p w14:paraId="11FB57F9" w14:textId="75959521" w:rsidR="00862A97" w:rsidRPr="00862A97" w:rsidRDefault="00555371" w:rsidP="00E73E49">
      <w:pPr>
        <w:spacing w:line="276" w:lineRule="auto"/>
        <w:ind w:firstLine="567"/>
        <w:jc w:val="both"/>
        <w:rPr>
          <w:rFonts w:eastAsiaTheme="minorEastAsia"/>
          <w:lang w:eastAsia="en-US"/>
        </w:rPr>
      </w:pPr>
      <w:r>
        <w:rPr>
          <w:rFonts w:eastAsiaTheme="minorEastAsia"/>
          <w:lang w:eastAsia="en-US"/>
        </w:rPr>
        <w:t>[1</w:t>
      </w:r>
      <w:r w:rsidR="008C03A4">
        <w:rPr>
          <w:rFonts w:eastAsiaTheme="minorEastAsia"/>
          <w:lang w:eastAsia="en-US"/>
        </w:rPr>
        <w:t>1</w:t>
      </w:r>
      <w:r>
        <w:rPr>
          <w:rFonts w:eastAsiaTheme="minorEastAsia"/>
          <w:lang w:eastAsia="en-US"/>
        </w:rPr>
        <w:t>] </w:t>
      </w:r>
      <w:r w:rsidR="00195D3A">
        <w:rPr>
          <w:rFonts w:eastAsiaTheme="minorEastAsia"/>
          <w:lang w:eastAsia="en-US"/>
        </w:rPr>
        <w:t>A</w:t>
      </w:r>
      <w:r w:rsidR="00862A97" w:rsidRPr="00862A97">
        <w:rPr>
          <w:rFonts w:eastAsiaTheme="minorEastAsia"/>
          <w:lang w:eastAsia="en-US"/>
        </w:rPr>
        <w:t>tbilstoši darījuma dokumentiem pieteicēja</w:t>
      </w:r>
      <w:r w:rsidR="006C37E8">
        <w:rPr>
          <w:rFonts w:eastAsiaTheme="minorEastAsia"/>
          <w:lang w:eastAsia="en-US"/>
        </w:rPr>
        <w:t>s</w:t>
      </w:r>
      <w:r w:rsidR="00862A97" w:rsidRPr="00862A97">
        <w:rPr>
          <w:rFonts w:eastAsiaTheme="minorEastAsia"/>
          <w:lang w:eastAsia="en-US"/>
        </w:rPr>
        <w:t xml:space="preserve"> iegādā</w:t>
      </w:r>
      <w:r w:rsidR="006C37E8">
        <w:rPr>
          <w:rFonts w:eastAsiaTheme="minorEastAsia"/>
          <w:lang w:eastAsia="en-US"/>
        </w:rPr>
        <w:t>tais</w:t>
      </w:r>
      <w:r w:rsidR="00862A97" w:rsidRPr="00862A97">
        <w:rPr>
          <w:rFonts w:eastAsiaTheme="minorEastAsia"/>
          <w:lang w:eastAsia="en-US"/>
        </w:rPr>
        <w:t xml:space="preserve"> pakalpojum</w:t>
      </w:r>
      <w:r w:rsidR="006C37E8">
        <w:rPr>
          <w:rFonts w:eastAsiaTheme="minorEastAsia"/>
          <w:lang w:eastAsia="en-US"/>
        </w:rPr>
        <w:t>s ir jumta remonts, precīzi – lēzenā jumta renovācija angāra tipa ēkai</w:t>
      </w:r>
      <w:r w:rsidR="00862A97" w:rsidRPr="00862A97">
        <w:rPr>
          <w:rFonts w:eastAsiaTheme="minorEastAsia"/>
          <w:lang w:eastAsia="en-US"/>
        </w:rPr>
        <w:t xml:space="preserve">. </w:t>
      </w:r>
      <w:r w:rsidR="00B30E91">
        <w:rPr>
          <w:rFonts w:eastAsiaTheme="minorEastAsia"/>
          <w:lang w:eastAsia="en-US"/>
        </w:rPr>
        <w:t>Attiecīgie darbi tostarp ietvēra ruberoīda jumta seguma demontā</w:t>
      </w:r>
      <w:r w:rsidR="0082390E">
        <w:rPr>
          <w:rFonts w:eastAsiaTheme="minorEastAsia"/>
          <w:lang w:eastAsia="en-US"/>
        </w:rPr>
        <w:t xml:space="preserve">žu, </w:t>
      </w:r>
      <w:r w:rsidR="00B30E91">
        <w:rPr>
          <w:rFonts w:eastAsiaTheme="minorEastAsia"/>
          <w:lang w:eastAsia="en-US"/>
        </w:rPr>
        <w:t xml:space="preserve">ventilācijas izvadu demontāžu, ventilācijas izvadu aizbetonējumu, </w:t>
      </w:r>
      <w:proofErr w:type="spellStart"/>
      <w:r w:rsidR="00B30E91">
        <w:rPr>
          <w:rFonts w:eastAsiaTheme="minorEastAsia"/>
          <w:lang w:eastAsia="en-US"/>
        </w:rPr>
        <w:t>keramzītbetona</w:t>
      </w:r>
      <w:proofErr w:type="spellEnd"/>
      <w:r w:rsidR="00B30E91">
        <w:rPr>
          <w:rFonts w:eastAsiaTheme="minorEastAsia"/>
          <w:lang w:eastAsia="en-US"/>
        </w:rPr>
        <w:t xml:space="preserve"> profilējošā slāņa labošanu un paaugstinātas izturības ruberoīda jumta seguma uzklāšanu. </w:t>
      </w:r>
      <w:r w:rsidR="00CD0AFF">
        <w:rPr>
          <w:rFonts w:eastAsiaTheme="minorEastAsia"/>
          <w:lang w:eastAsia="en-US"/>
        </w:rPr>
        <w:t>No minētā izriet, ka attiecīgais pakalpojums ir samērā specifisks un</w:t>
      </w:r>
      <w:r w:rsidR="00F96505">
        <w:rPr>
          <w:rFonts w:eastAsiaTheme="minorEastAsia"/>
          <w:lang w:eastAsia="en-US"/>
        </w:rPr>
        <w:t xml:space="preserve"> </w:t>
      </w:r>
      <w:r w:rsidR="00862A97" w:rsidRPr="00862A97">
        <w:rPr>
          <w:rFonts w:eastAsiaTheme="minorEastAsia"/>
          <w:lang w:eastAsia="en-US"/>
        </w:rPr>
        <w:t xml:space="preserve">darbu veikšanai </w:t>
      </w:r>
      <w:r w:rsidR="00CD0AFF">
        <w:rPr>
          <w:rFonts w:eastAsiaTheme="minorEastAsia"/>
          <w:lang w:eastAsia="en-US"/>
        </w:rPr>
        <w:t>ir</w:t>
      </w:r>
      <w:r w:rsidR="00862A97" w:rsidRPr="00862A97">
        <w:rPr>
          <w:rFonts w:eastAsiaTheme="minorEastAsia"/>
          <w:lang w:eastAsia="en-US"/>
        </w:rPr>
        <w:t xml:space="preserve"> nepieciešamas īpašas zināšanas </w:t>
      </w:r>
      <w:r w:rsidR="00BD5944">
        <w:rPr>
          <w:rFonts w:eastAsiaTheme="minorEastAsia"/>
          <w:lang w:eastAsia="en-US"/>
        </w:rPr>
        <w:t>un</w:t>
      </w:r>
      <w:r w:rsidR="00862A97" w:rsidRPr="00862A97">
        <w:rPr>
          <w:rFonts w:eastAsiaTheme="minorEastAsia"/>
          <w:lang w:eastAsia="en-US"/>
        </w:rPr>
        <w:t xml:space="preserve"> iemaņas. </w:t>
      </w:r>
      <w:r w:rsidR="00F96505">
        <w:rPr>
          <w:rFonts w:eastAsiaTheme="minorEastAsia"/>
          <w:lang w:eastAsia="en-US"/>
        </w:rPr>
        <w:t>Š</w:t>
      </w:r>
      <w:r w:rsidR="00862A97" w:rsidRPr="00862A97">
        <w:rPr>
          <w:rFonts w:eastAsiaTheme="minorEastAsia"/>
          <w:lang w:eastAsia="en-US"/>
        </w:rPr>
        <w:t>ādu pakalpojumu ne</w:t>
      </w:r>
      <w:r w:rsidR="00BD5944">
        <w:rPr>
          <w:rFonts w:eastAsiaTheme="minorEastAsia"/>
          <w:lang w:eastAsia="en-US"/>
        </w:rPr>
        <w:t>var nodrošināt ikviena persona.</w:t>
      </w:r>
    </w:p>
    <w:p w14:paraId="0F0CA540" w14:textId="36351750" w:rsidR="00F07E09" w:rsidRDefault="00EC4940" w:rsidP="00E73E49">
      <w:pPr>
        <w:spacing w:line="276" w:lineRule="auto"/>
        <w:ind w:firstLine="567"/>
        <w:jc w:val="both"/>
        <w:rPr>
          <w:rFonts w:eastAsiaTheme="minorEastAsia"/>
          <w:lang w:eastAsia="en-US"/>
        </w:rPr>
      </w:pPr>
      <w:r>
        <w:rPr>
          <w:rFonts w:eastAsiaTheme="minorEastAsia"/>
          <w:lang w:eastAsia="en-US"/>
        </w:rPr>
        <w:t>Šajā gadījumā pieteicēja norāda, ka ir noslēgusi darījumu ar pilnīgi nepazīstamu uzņēmumu SIA „</w:t>
      </w:r>
      <w:proofErr w:type="spellStart"/>
      <w:r w:rsidR="002C4B58">
        <w:t>Argente</w:t>
      </w:r>
      <w:proofErr w:type="spellEnd"/>
      <w:r w:rsidR="002C4B58">
        <w:t xml:space="preserve"> Projekts</w:t>
      </w:r>
      <w:r>
        <w:rPr>
          <w:rFonts w:eastAsiaTheme="minorEastAsia"/>
          <w:lang w:eastAsia="en-US"/>
        </w:rPr>
        <w:t>”. Savu rīcību pieteicēja pamato ar to, ka tas bija viens no vairākiem pretendentiem un spēj</w:t>
      </w:r>
      <w:r w:rsidR="00763D35">
        <w:rPr>
          <w:rFonts w:eastAsiaTheme="minorEastAsia"/>
          <w:lang w:eastAsia="en-US"/>
        </w:rPr>
        <w:t>a piedāvāt viszemāko pakalpojuma</w:t>
      </w:r>
      <w:r>
        <w:rPr>
          <w:rFonts w:eastAsiaTheme="minorEastAsia"/>
          <w:lang w:eastAsia="en-US"/>
        </w:rPr>
        <w:t xml:space="preserve"> cenu.</w:t>
      </w:r>
      <w:r w:rsidR="00A22EDB">
        <w:rPr>
          <w:rFonts w:eastAsiaTheme="minorEastAsia"/>
          <w:lang w:eastAsia="en-US"/>
        </w:rPr>
        <w:t xml:space="preserve"> Apgabaltiesa ir atzinusi, ka minētie piete</w:t>
      </w:r>
      <w:r w:rsidR="00BD5944">
        <w:rPr>
          <w:rFonts w:eastAsiaTheme="minorEastAsia"/>
          <w:lang w:eastAsia="en-US"/>
        </w:rPr>
        <w:t>icējas paskaidrojumi nav ticami</w:t>
      </w:r>
      <w:r w:rsidR="009E0476">
        <w:rPr>
          <w:rFonts w:eastAsiaTheme="minorEastAsia"/>
          <w:lang w:eastAsia="en-US"/>
        </w:rPr>
        <w:t xml:space="preserve">, </w:t>
      </w:r>
      <w:r w:rsidR="003D1F10">
        <w:rPr>
          <w:rFonts w:eastAsiaTheme="minorEastAsia"/>
          <w:lang w:eastAsia="en-US"/>
        </w:rPr>
        <w:t>citstarp</w:t>
      </w:r>
      <w:r w:rsidR="009E0476">
        <w:rPr>
          <w:rFonts w:eastAsiaTheme="minorEastAsia"/>
          <w:lang w:eastAsia="en-US"/>
        </w:rPr>
        <w:t xml:space="preserve"> ņemot vērā, ka </w:t>
      </w:r>
      <w:r w:rsidR="00F07E09">
        <w:rPr>
          <w:rFonts w:eastAsiaTheme="minorEastAsia"/>
          <w:lang w:eastAsia="en-US"/>
        </w:rPr>
        <w:t>SIA</w:t>
      </w:r>
      <w:r w:rsidR="00892772">
        <w:rPr>
          <w:rFonts w:eastAsiaTheme="minorEastAsia"/>
          <w:lang w:eastAsia="en-US"/>
        </w:rPr>
        <w:t> </w:t>
      </w:r>
      <w:r w:rsidR="00F07E09">
        <w:rPr>
          <w:rFonts w:eastAsiaTheme="minorEastAsia"/>
          <w:lang w:eastAsia="en-US"/>
        </w:rPr>
        <w:t>„</w:t>
      </w:r>
      <w:proofErr w:type="spellStart"/>
      <w:r w:rsidR="00F07E09">
        <w:t>Argente</w:t>
      </w:r>
      <w:proofErr w:type="spellEnd"/>
      <w:r w:rsidR="00892772">
        <w:t> </w:t>
      </w:r>
      <w:r w:rsidR="00F07E09">
        <w:t>Projekts</w:t>
      </w:r>
      <w:r w:rsidR="00F07E09">
        <w:rPr>
          <w:rFonts w:eastAsiaTheme="minorEastAsia"/>
          <w:lang w:eastAsia="en-US"/>
        </w:rPr>
        <w:t>”</w:t>
      </w:r>
      <w:r w:rsidR="00F07E09" w:rsidRPr="00862A97">
        <w:rPr>
          <w:rFonts w:eastAsiaTheme="minorEastAsia"/>
          <w:lang w:eastAsia="en-US"/>
        </w:rPr>
        <w:t xml:space="preserve"> </w:t>
      </w:r>
      <w:r w:rsidR="00F07E09">
        <w:rPr>
          <w:rFonts w:eastAsiaTheme="minorEastAsia"/>
          <w:lang w:eastAsia="en-US"/>
        </w:rPr>
        <w:t>nebija kompetenta attiecīgo pakalpojumu veikšanā, be</w:t>
      </w:r>
      <w:r w:rsidR="00BD5944">
        <w:rPr>
          <w:rFonts w:eastAsiaTheme="minorEastAsia"/>
          <w:lang w:eastAsia="en-US"/>
        </w:rPr>
        <w:t>t darbojās tikai kā starpniece.</w:t>
      </w:r>
    </w:p>
    <w:p w14:paraId="4DB0D896" w14:textId="64FEA183" w:rsidR="00D4404A" w:rsidRDefault="00AA1B1E" w:rsidP="00E73E49">
      <w:pPr>
        <w:spacing w:line="276" w:lineRule="auto"/>
        <w:ind w:firstLine="567"/>
        <w:jc w:val="both"/>
        <w:rPr>
          <w:rFonts w:eastAsiaTheme="minorEastAsia"/>
          <w:lang w:eastAsia="en-US"/>
        </w:rPr>
      </w:pPr>
      <w:r>
        <w:rPr>
          <w:rFonts w:eastAsiaTheme="minorEastAsia"/>
          <w:lang w:eastAsia="en-US"/>
        </w:rPr>
        <w:t>N</w:t>
      </w:r>
      <w:r w:rsidR="007F70B9">
        <w:rPr>
          <w:rFonts w:eastAsiaTheme="minorEastAsia"/>
          <w:lang w:eastAsia="en-US"/>
        </w:rPr>
        <w:t xml:space="preserve">av konstatējams, ka </w:t>
      </w:r>
      <w:r w:rsidR="00862A97" w:rsidRPr="00862A97">
        <w:rPr>
          <w:rFonts w:eastAsiaTheme="minorEastAsia"/>
          <w:lang w:eastAsia="en-US"/>
        </w:rPr>
        <w:t xml:space="preserve">pieteicēja pirms darījumu noslēgšanas </w:t>
      </w:r>
      <w:r w:rsidR="007F70B9">
        <w:rPr>
          <w:rFonts w:eastAsiaTheme="minorEastAsia"/>
          <w:lang w:eastAsia="en-US"/>
        </w:rPr>
        <w:t>būtu pārliecinājusies</w:t>
      </w:r>
      <w:r w:rsidR="00BD5944">
        <w:rPr>
          <w:rFonts w:eastAsiaTheme="minorEastAsia"/>
          <w:lang w:eastAsia="en-US"/>
        </w:rPr>
        <w:t xml:space="preserve"> par to, vai darījumu partneri</w:t>
      </w:r>
      <w:r w:rsidR="00862A97" w:rsidRPr="00862A97">
        <w:rPr>
          <w:rFonts w:eastAsiaTheme="minorEastAsia"/>
          <w:lang w:eastAsia="en-US"/>
        </w:rPr>
        <w:t>m ir atbilstoša kompetence un kvalifikācija,</w:t>
      </w:r>
      <w:r w:rsidR="00E046CD">
        <w:rPr>
          <w:rFonts w:eastAsiaTheme="minorEastAsia"/>
          <w:lang w:eastAsia="en-US"/>
        </w:rPr>
        <w:t xml:space="preserve"> un vai tas spēs nodrošināt attiecīgo pakalpojumu,</w:t>
      </w:r>
      <w:r w:rsidR="00862A97" w:rsidRPr="00862A97">
        <w:rPr>
          <w:rFonts w:eastAsiaTheme="minorEastAsia"/>
          <w:lang w:eastAsia="en-US"/>
        </w:rPr>
        <w:t xml:space="preserve"> proti, ja potenciālais </w:t>
      </w:r>
      <w:r w:rsidR="00BD5944">
        <w:rPr>
          <w:rFonts w:eastAsiaTheme="minorEastAsia"/>
          <w:lang w:eastAsia="en-US"/>
        </w:rPr>
        <w:t xml:space="preserve">darījuma </w:t>
      </w:r>
      <w:r w:rsidR="00862A97" w:rsidRPr="00862A97">
        <w:rPr>
          <w:rFonts w:eastAsiaTheme="minorEastAsia"/>
          <w:lang w:eastAsia="en-US"/>
        </w:rPr>
        <w:t xml:space="preserve">partneris piedāvāja pakalpojumu, pieteicēja paļāvās, ka tas ir arī spējīgs to veikt. </w:t>
      </w:r>
    </w:p>
    <w:p w14:paraId="68CEF710" w14:textId="64F58E90" w:rsidR="00D4404A" w:rsidRDefault="00684818" w:rsidP="00E73E49">
      <w:pPr>
        <w:spacing w:line="276" w:lineRule="auto"/>
        <w:ind w:firstLine="567"/>
        <w:jc w:val="both"/>
        <w:rPr>
          <w:rFonts w:eastAsiaTheme="minorEastAsia"/>
          <w:lang w:eastAsia="en-US"/>
        </w:rPr>
      </w:pPr>
      <w:r>
        <w:rPr>
          <w:rFonts w:eastAsiaTheme="minorEastAsia"/>
          <w:lang w:eastAsia="en-US"/>
        </w:rPr>
        <w:t xml:space="preserve">Šajā sakarā jānorāda, </w:t>
      </w:r>
      <w:r w:rsidR="00BD5944">
        <w:rPr>
          <w:rFonts w:eastAsiaTheme="minorEastAsia"/>
          <w:lang w:eastAsia="en-US"/>
        </w:rPr>
        <w:t>ka pretēji pieteicējas uzskatam</w:t>
      </w:r>
      <w:r>
        <w:rPr>
          <w:rFonts w:eastAsiaTheme="minorEastAsia"/>
          <w:lang w:eastAsia="en-US"/>
        </w:rPr>
        <w:t xml:space="preserve"> </w:t>
      </w:r>
      <w:r w:rsidRPr="00684818">
        <w:rPr>
          <w:rFonts w:eastAsiaTheme="minorEastAsia"/>
          <w:lang w:eastAsia="en-US"/>
        </w:rPr>
        <w:t xml:space="preserve">nav pietiekami atsaukties vienīgi uz formālo datu </w:t>
      </w:r>
      <w:r>
        <w:rPr>
          <w:rFonts w:eastAsiaTheme="minorEastAsia"/>
          <w:lang w:eastAsia="en-US"/>
        </w:rPr>
        <w:t xml:space="preserve">par darījuma partneri pārbaudi, proti, </w:t>
      </w:r>
      <w:r w:rsidRPr="00684818">
        <w:rPr>
          <w:rFonts w:eastAsiaTheme="minorEastAsia"/>
          <w:lang w:eastAsia="en-US"/>
        </w:rPr>
        <w:t>tā reģistrēšanu</w:t>
      </w:r>
      <w:r>
        <w:rPr>
          <w:rFonts w:eastAsiaTheme="minorEastAsia"/>
          <w:lang w:eastAsia="en-US"/>
        </w:rPr>
        <w:t xml:space="preserve"> komercreģistrā,</w:t>
      </w:r>
      <w:r w:rsidRPr="00684818">
        <w:rPr>
          <w:rFonts w:eastAsiaTheme="minorEastAsia"/>
          <w:lang w:eastAsia="en-US"/>
        </w:rPr>
        <w:t xml:space="preserve"> pievienotās vērtības no</w:t>
      </w:r>
      <w:r>
        <w:rPr>
          <w:rFonts w:eastAsiaTheme="minorEastAsia"/>
          <w:lang w:eastAsia="en-US"/>
        </w:rPr>
        <w:t>dokļa maksātāju reģistrā u.tml</w:t>
      </w:r>
      <w:r w:rsidRPr="00684818">
        <w:rPr>
          <w:rFonts w:eastAsiaTheme="minorEastAsia"/>
          <w:lang w:eastAsia="en-US"/>
        </w:rPr>
        <w:t xml:space="preserve">. </w:t>
      </w:r>
      <w:r>
        <w:rPr>
          <w:rFonts w:eastAsiaTheme="minorEastAsia"/>
          <w:lang w:eastAsia="en-US"/>
        </w:rPr>
        <w:t>Pieteicējai</w:t>
      </w:r>
      <w:r w:rsidRPr="00684818">
        <w:rPr>
          <w:rFonts w:eastAsiaTheme="minorEastAsia"/>
          <w:lang w:eastAsia="en-US"/>
        </w:rPr>
        <w:t xml:space="preserve"> ir jāspēj sniegt skaidru darījuma un tā noslēgšanas apstākļu raksturojumu,</w:t>
      </w:r>
      <w:r>
        <w:rPr>
          <w:rFonts w:eastAsiaTheme="minorEastAsia"/>
          <w:lang w:eastAsia="en-US"/>
        </w:rPr>
        <w:t xml:space="preserve"> tostarp jāspēj ticami </w:t>
      </w:r>
      <w:r w:rsidR="00D4404A">
        <w:rPr>
          <w:rFonts w:eastAsiaTheme="minorEastAsia"/>
          <w:lang w:eastAsia="en-US"/>
        </w:rPr>
        <w:t xml:space="preserve">paskaidrot darījuma </w:t>
      </w:r>
      <w:r w:rsidR="00BD5944">
        <w:rPr>
          <w:rFonts w:eastAsiaTheme="minorEastAsia"/>
          <w:lang w:eastAsia="en-US"/>
        </w:rPr>
        <w:t>partnera izvēli</w:t>
      </w:r>
      <w:r w:rsidR="00D4404A">
        <w:rPr>
          <w:rFonts w:eastAsiaTheme="minorEastAsia"/>
          <w:lang w:eastAsia="en-US"/>
        </w:rPr>
        <w:t>,</w:t>
      </w:r>
      <w:r w:rsidRPr="00684818">
        <w:rPr>
          <w:rFonts w:eastAsiaTheme="minorEastAsia"/>
          <w:lang w:eastAsia="en-US"/>
        </w:rPr>
        <w:t xml:space="preserve"> īpaši ņemot vērā</w:t>
      </w:r>
      <w:r w:rsidR="00D4404A">
        <w:rPr>
          <w:rFonts w:eastAsiaTheme="minorEastAsia"/>
          <w:lang w:eastAsia="en-US"/>
        </w:rPr>
        <w:t xml:space="preserve"> meklētā pakalpojuma specifisko raksturu</w:t>
      </w:r>
      <w:r w:rsidR="00A85F5B">
        <w:rPr>
          <w:rFonts w:eastAsiaTheme="minorEastAsia"/>
          <w:lang w:eastAsia="en-US"/>
        </w:rPr>
        <w:t xml:space="preserve"> un to, ka atbilst</w:t>
      </w:r>
      <w:r w:rsidR="00BD5944">
        <w:rPr>
          <w:rFonts w:eastAsiaTheme="minorEastAsia"/>
          <w:lang w:eastAsia="en-US"/>
        </w:rPr>
        <w:t>oši pieteicējas paskaidrojumiem</w:t>
      </w:r>
      <w:r w:rsidR="00A85F5B">
        <w:rPr>
          <w:rFonts w:eastAsiaTheme="minorEastAsia"/>
          <w:lang w:eastAsia="en-US"/>
        </w:rPr>
        <w:t xml:space="preserve"> attiecīgais darījuma partneris tai iepriekš nebija zināms</w:t>
      </w:r>
      <w:r w:rsidRPr="00684818">
        <w:rPr>
          <w:rFonts w:eastAsiaTheme="minorEastAsia"/>
          <w:lang w:eastAsia="en-US"/>
        </w:rPr>
        <w:t xml:space="preserve"> (</w:t>
      </w:r>
      <w:r w:rsidR="00D4404A" w:rsidRPr="00D4404A">
        <w:rPr>
          <w:rFonts w:eastAsiaTheme="minorEastAsia"/>
          <w:i/>
          <w:lang w:eastAsia="en-US"/>
        </w:rPr>
        <w:t>Senāta</w:t>
      </w:r>
      <w:r w:rsidRPr="00D4404A">
        <w:rPr>
          <w:rFonts w:eastAsiaTheme="minorEastAsia"/>
          <w:i/>
          <w:lang w:eastAsia="en-US"/>
        </w:rPr>
        <w:t xml:space="preserve"> 2016.gada 20.oktobra sprieduma lietā Nr.</w:t>
      </w:r>
      <w:r w:rsidR="00BD5944">
        <w:rPr>
          <w:rFonts w:eastAsiaTheme="minorEastAsia"/>
          <w:i/>
          <w:lang w:eastAsia="en-US"/>
        </w:rPr>
        <w:t> </w:t>
      </w:r>
      <w:r w:rsidRPr="00D4404A">
        <w:rPr>
          <w:rFonts w:eastAsiaTheme="minorEastAsia"/>
          <w:i/>
          <w:lang w:eastAsia="en-US"/>
        </w:rPr>
        <w:t>SKA-223/2016</w:t>
      </w:r>
      <w:r w:rsidR="00D4404A" w:rsidRPr="00D4404A">
        <w:rPr>
          <w:rFonts w:eastAsiaTheme="minorEastAsia"/>
          <w:i/>
          <w:lang w:eastAsia="en-US"/>
        </w:rPr>
        <w:t xml:space="preserve"> (</w:t>
      </w:r>
      <w:r w:rsidR="00D4404A" w:rsidRPr="00D4404A">
        <w:rPr>
          <w:i/>
        </w:rPr>
        <w:t>A420573510</w:t>
      </w:r>
      <w:r w:rsidR="00D4404A" w:rsidRPr="00D4404A">
        <w:rPr>
          <w:rFonts w:eastAsiaTheme="minorEastAsia"/>
          <w:i/>
          <w:lang w:eastAsia="en-US"/>
        </w:rPr>
        <w:t>)</w:t>
      </w:r>
      <w:r w:rsidR="00D4404A">
        <w:rPr>
          <w:rFonts w:eastAsiaTheme="minorEastAsia"/>
          <w:i/>
          <w:lang w:eastAsia="en-US"/>
        </w:rPr>
        <w:t xml:space="preserve"> 8.punkts</w:t>
      </w:r>
      <w:r w:rsidRPr="00684818">
        <w:rPr>
          <w:rFonts w:eastAsiaTheme="minorEastAsia"/>
          <w:lang w:eastAsia="en-US"/>
        </w:rPr>
        <w:t>).</w:t>
      </w:r>
    </w:p>
    <w:p w14:paraId="48F221F3" w14:textId="0EC58F88" w:rsidR="00385F78" w:rsidRDefault="00385F78" w:rsidP="00E73E49">
      <w:pPr>
        <w:spacing w:line="276" w:lineRule="auto"/>
        <w:ind w:firstLine="567"/>
        <w:jc w:val="both"/>
        <w:rPr>
          <w:rFonts w:eastAsiaTheme="minorEastAsia"/>
          <w:lang w:eastAsia="en-US"/>
        </w:rPr>
      </w:pPr>
      <w:r>
        <w:rPr>
          <w:rFonts w:eastAsiaTheme="minorEastAsia"/>
          <w:lang w:eastAsia="en-US"/>
        </w:rPr>
        <w:t xml:space="preserve">Apgabaltiesa tāpat atzina, ka no ekonomiski saimnieciskā viedokļa nav izskaidrojams apstāklis, </w:t>
      </w:r>
      <w:r w:rsidRPr="00385F78">
        <w:rPr>
          <w:rFonts w:eastAsiaTheme="minorEastAsia"/>
          <w:lang w:eastAsia="en-US"/>
        </w:rPr>
        <w:t xml:space="preserve">kāpēc </w:t>
      </w:r>
      <w:r w:rsidRPr="00385F78">
        <w:rPr>
          <w:rFonts w:eastAsiaTheme="minorHAnsi" w:cstheme="minorBidi"/>
          <w:szCs w:val="22"/>
          <w:lang w:eastAsia="en-US"/>
        </w:rPr>
        <w:t>pieteicējai avansā būtu jāsamaksā SIA „</w:t>
      </w:r>
      <w:proofErr w:type="spellStart"/>
      <w:r w:rsidRPr="00385F78">
        <w:rPr>
          <w:rFonts w:eastAsiaTheme="minorHAnsi" w:cstheme="minorBidi"/>
          <w:szCs w:val="22"/>
          <w:lang w:eastAsia="en-US"/>
        </w:rPr>
        <w:t>Argente</w:t>
      </w:r>
      <w:proofErr w:type="spellEnd"/>
      <w:r w:rsidRPr="00385F78">
        <w:rPr>
          <w:rFonts w:eastAsiaTheme="minorHAnsi" w:cstheme="minorBidi"/>
          <w:szCs w:val="22"/>
          <w:lang w:eastAsia="en-US"/>
        </w:rPr>
        <w:t xml:space="preserve"> Projekts” visa līgumā pielīgtā </w:t>
      </w:r>
      <w:r w:rsidRPr="00A04AD0">
        <w:rPr>
          <w:rFonts w:eastAsiaTheme="minorHAnsi" w:cstheme="minorBidi"/>
          <w:szCs w:val="22"/>
          <w:lang w:eastAsia="en-US"/>
        </w:rPr>
        <w:t xml:space="preserve">summa par vēl nepabeigtiem </w:t>
      </w:r>
      <w:r w:rsidR="003D1F10">
        <w:rPr>
          <w:rFonts w:eastAsiaTheme="minorHAnsi" w:cstheme="minorBidi"/>
          <w:szCs w:val="22"/>
          <w:lang w:eastAsia="en-US"/>
        </w:rPr>
        <w:t>būv</w:t>
      </w:r>
      <w:r w:rsidR="003D1F10" w:rsidRPr="00A04AD0">
        <w:rPr>
          <w:rFonts w:eastAsiaTheme="minorHAnsi" w:cstheme="minorBidi"/>
          <w:szCs w:val="22"/>
          <w:lang w:eastAsia="en-US"/>
        </w:rPr>
        <w:t xml:space="preserve">niecības </w:t>
      </w:r>
      <w:r w:rsidRPr="00A04AD0">
        <w:rPr>
          <w:rFonts w:eastAsiaTheme="minorHAnsi" w:cstheme="minorBidi"/>
          <w:szCs w:val="22"/>
          <w:lang w:eastAsia="en-US"/>
        </w:rPr>
        <w:t>darbiem pilnīgi nepazīstamam uzņēmumam, īpaši ņemot vērā, ka šādu samaksas kārtību neparedz līguma noteikumi.</w:t>
      </w:r>
      <w:r w:rsidR="00A04AD0" w:rsidRPr="00A04AD0">
        <w:rPr>
          <w:rFonts w:eastAsiaTheme="minorHAnsi" w:cstheme="minorBidi"/>
          <w:szCs w:val="22"/>
          <w:lang w:eastAsia="en-US"/>
        </w:rPr>
        <w:t xml:space="preserve"> Ņemot vērā minētos apstākļus</w:t>
      </w:r>
      <w:r w:rsidR="00A74A15">
        <w:rPr>
          <w:rFonts w:eastAsiaTheme="minorHAnsi" w:cstheme="minorBidi"/>
          <w:szCs w:val="22"/>
          <w:lang w:eastAsia="en-US"/>
        </w:rPr>
        <w:t>,</w:t>
      </w:r>
      <w:r w:rsidR="00A04AD0" w:rsidRPr="00A04AD0">
        <w:rPr>
          <w:rFonts w:eastAsiaTheme="minorHAnsi" w:cstheme="minorBidi"/>
          <w:szCs w:val="22"/>
          <w:lang w:eastAsia="en-US"/>
        </w:rPr>
        <w:t xml:space="preserve"> tiesa neatzina par ticamu pieteicējas paskaidrojumu par </w:t>
      </w:r>
      <w:r w:rsidR="004C0C65">
        <w:rPr>
          <w:rFonts w:eastAsiaTheme="minorHAnsi" w:cstheme="minorBidi"/>
          <w:szCs w:val="22"/>
          <w:lang w:eastAsia="en-US"/>
        </w:rPr>
        <w:t xml:space="preserve">īpašu </w:t>
      </w:r>
      <w:r w:rsidR="00A04AD0" w:rsidRPr="00A04AD0">
        <w:rPr>
          <w:rFonts w:eastAsiaTheme="minorHAnsi" w:cstheme="minorBidi"/>
          <w:szCs w:val="22"/>
          <w:lang w:eastAsia="en-US"/>
        </w:rPr>
        <w:t>uzticēšanos SIA</w:t>
      </w:r>
      <w:r w:rsidR="008B0A8D">
        <w:rPr>
          <w:rFonts w:eastAsiaTheme="minorHAnsi" w:cstheme="minorBidi"/>
          <w:szCs w:val="22"/>
          <w:lang w:eastAsia="en-US"/>
        </w:rPr>
        <w:t> </w:t>
      </w:r>
      <w:r w:rsidR="00A04AD0" w:rsidRPr="00A04AD0">
        <w:rPr>
          <w:rFonts w:eastAsiaTheme="minorHAnsi" w:cstheme="minorBidi"/>
          <w:szCs w:val="22"/>
          <w:lang w:eastAsia="en-US"/>
        </w:rPr>
        <w:t>„</w:t>
      </w:r>
      <w:proofErr w:type="spellStart"/>
      <w:r w:rsidR="00A04AD0" w:rsidRPr="00A04AD0">
        <w:rPr>
          <w:rFonts w:eastAsiaTheme="minorHAnsi" w:cstheme="minorBidi"/>
          <w:szCs w:val="22"/>
          <w:lang w:eastAsia="en-US"/>
        </w:rPr>
        <w:t>Argente</w:t>
      </w:r>
      <w:proofErr w:type="spellEnd"/>
      <w:r w:rsidR="008B0A8D">
        <w:rPr>
          <w:rFonts w:eastAsiaTheme="minorHAnsi" w:cstheme="minorBidi"/>
          <w:szCs w:val="22"/>
          <w:lang w:eastAsia="en-US"/>
        </w:rPr>
        <w:t> </w:t>
      </w:r>
      <w:r w:rsidR="00A04AD0" w:rsidRPr="00A04AD0">
        <w:rPr>
          <w:rFonts w:eastAsiaTheme="minorHAnsi" w:cstheme="minorBidi"/>
          <w:szCs w:val="22"/>
          <w:lang w:eastAsia="en-US"/>
        </w:rPr>
        <w:t>Projekts”</w:t>
      </w:r>
      <w:r w:rsidR="00FF1122">
        <w:rPr>
          <w:rFonts w:eastAsiaTheme="minorHAnsi" w:cstheme="minorBidi"/>
          <w:szCs w:val="22"/>
          <w:lang w:eastAsia="en-US"/>
        </w:rPr>
        <w:t>, jo tai nav roda</w:t>
      </w:r>
      <w:r w:rsidR="0095058F">
        <w:rPr>
          <w:rFonts w:eastAsiaTheme="minorHAnsi" w:cstheme="minorBidi"/>
          <w:szCs w:val="22"/>
          <w:lang w:eastAsia="en-US"/>
        </w:rPr>
        <w:t>m</w:t>
      </w:r>
      <w:r w:rsidR="00FF1122">
        <w:rPr>
          <w:rFonts w:eastAsiaTheme="minorHAnsi" w:cstheme="minorBidi"/>
          <w:szCs w:val="22"/>
          <w:lang w:eastAsia="en-US"/>
        </w:rPr>
        <w:t xml:space="preserve">s loģisks izskaidrojums atbilstoši </w:t>
      </w:r>
      <w:r w:rsidR="0095058F">
        <w:rPr>
          <w:rFonts w:eastAsiaTheme="minorHAnsi" w:cstheme="minorBidi"/>
          <w:szCs w:val="22"/>
          <w:lang w:eastAsia="en-US"/>
        </w:rPr>
        <w:t>saprātīgajai komercpraksei.</w:t>
      </w:r>
    </w:p>
    <w:p w14:paraId="4ACEBF55" w14:textId="7D6ED767" w:rsidR="00F4282C" w:rsidRDefault="00FF1122" w:rsidP="00E73E49">
      <w:pPr>
        <w:spacing w:line="276" w:lineRule="auto"/>
        <w:ind w:firstLine="567"/>
        <w:jc w:val="both"/>
        <w:rPr>
          <w:rFonts w:eastAsiaTheme="minorEastAsia"/>
          <w:lang w:eastAsia="en-US"/>
        </w:rPr>
      </w:pPr>
      <w:r>
        <w:rPr>
          <w:rFonts w:eastAsiaTheme="minorEastAsia"/>
          <w:lang w:eastAsia="en-US"/>
        </w:rPr>
        <w:t xml:space="preserve">Apgabaltiesa tāpat atzinusi, ka uz netipisku uzticēšanos starp pieteicēju un </w:t>
      </w:r>
      <w:r w:rsidRPr="00385F78">
        <w:rPr>
          <w:rFonts w:eastAsiaTheme="minorHAnsi" w:cstheme="minorBidi"/>
          <w:szCs w:val="22"/>
          <w:lang w:eastAsia="en-US"/>
        </w:rPr>
        <w:t>SIA</w:t>
      </w:r>
      <w:r w:rsidR="00A84886">
        <w:rPr>
          <w:rFonts w:eastAsiaTheme="minorHAnsi" w:cstheme="minorBidi"/>
          <w:szCs w:val="22"/>
          <w:lang w:eastAsia="en-US"/>
        </w:rPr>
        <w:t> </w:t>
      </w:r>
      <w:r w:rsidRPr="00385F78">
        <w:rPr>
          <w:rFonts w:eastAsiaTheme="minorHAnsi" w:cstheme="minorBidi"/>
          <w:szCs w:val="22"/>
          <w:lang w:eastAsia="en-US"/>
        </w:rPr>
        <w:t>„</w:t>
      </w:r>
      <w:proofErr w:type="spellStart"/>
      <w:r w:rsidRPr="00385F78">
        <w:rPr>
          <w:rFonts w:eastAsiaTheme="minorHAnsi" w:cstheme="minorBidi"/>
          <w:szCs w:val="22"/>
          <w:lang w:eastAsia="en-US"/>
        </w:rPr>
        <w:t>Argente</w:t>
      </w:r>
      <w:proofErr w:type="spellEnd"/>
      <w:r w:rsidR="00A84886">
        <w:rPr>
          <w:rFonts w:eastAsiaTheme="minorHAnsi" w:cstheme="minorBidi"/>
          <w:szCs w:val="22"/>
          <w:lang w:eastAsia="en-US"/>
        </w:rPr>
        <w:t> </w:t>
      </w:r>
      <w:r w:rsidRPr="00385F78">
        <w:rPr>
          <w:rFonts w:eastAsiaTheme="minorHAnsi" w:cstheme="minorBidi"/>
          <w:szCs w:val="22"/>
          <w:lang w:eastAsia="en-US"/>
        </w:rPr>
        <w:t>Projekts”</w:t>
      </w:r>
      <w:r>
        <w:rPr>
          <w:rFonts w:eastAsiaTheme="minorHAnsi" w:cstheme="minorBidi"/>
          <w:szCs w:val="22"/>
          <w:lang w:eastAsia="en-US"/>
        </w:rPr>
        <w:t xml:space="preserve"> norāda arī citi lietas apstākļi, tostarp darbu veikšanas kontrole</w:t>
      </w:r>
      <w:r w:rsidR="00A84886">
        <w:rPr>
          <w:rFonts w:eastAsiaTheme="minorHAnsi" w:cstheme="minorBidi"/>
          <w:szCs w:val="22"/>
          <w:lang w:eastAsia="en-US"/>
        </w:rPr>
        <w:t>s process</w:t>
      </w:r>
      <w:r>
        <w:rPr>
          <w:rFonts w:eastAsiaTheme="minorHAnsi" w:cstheme="minorBidi"/>
          <w:szCs w:val="22"/>
          <w:lang w:eastAsia="en-US"/>
        </w:rPr>
        <w:t xml:space="preserve"> un darbu pieņemšana.</w:t>
      </w:r>
    </w:p>
    <w:p w14:paraId="67A4E289" w14:textId="4C200D34" w:rsidR="00BD5944" w:rsidRPr="00F46BDA" w:rsidRDefault="00F4282C" w:rsidP="00E73E49">
      <w:pPr>
        <w:spacing w:line="276" w:lineRule="auto"/>
        <w:ind w:firstLine="567"/>
        <w:jc w:val="both"/>
        <w:rPr>
          <w:rFonts w:eastAsiaTheme="minorEastAsia"/>
          <w:color w:val="0070C0"/>
          <w:lang w:eastAsia="en-US"/>
        </w:rPr>
      </w:pPr>
      <w:r w:rsidRPr="00F4282C">
        <w:rPr>
          <w:rFonts w:eastAsiaTheme="minorEastAsia"/>
          <w:lang w:eastAsia="en-US"/>
        </w:rPr>
        <w:t xml:space="preserve">Izvērtējot visus minētos lietas apstākļus un pierādījumus kopsakarā no saprātīgas komercprakses viedokļa, apgabaltiesai neradās šaubas, ka </w:t>
      </w:r>
      <w:r w:rsidRPr="00F4282C">
        <w:t>darījuma starp pieteicēju un SIA „</w:t>
      </w:r>
      <w:proofErr w:type="spellStart"/>
      <w:r w:rsidRPr="00F4282C">
        <w:t>Argente</w:t>
      </w:r>
      <w:proofErr w:type="spellEnd"/>
      <w:r w:rsidRPr="00F4282C">
        <w:t xml:space="preserve"> Projekts” mērķis bija gūt fiskālas priekšrocības,</w:t>
      </w:r>
      <w:r w:rsidR="00936DCE">
        <w:t xml:space="preserve"> un pieteicēja apzināti iesaistījās pievienotās vērtības nodokļa sistēmas ļaunprātīgā izmantošanā</w:t>
      </w:r>
      <w:r w:rsidRPr="00F4282C">
        <w:t>.</w:t>
      </w:r>
      <w:r w:rsidRPr="00F4282C">
        <w:rPr>
          <w:rFonts w:eastAsiaTheme="minorEastAsia"/>
          <w:lang w:eastAsia="en-US"/>
        </w:rPr>
        <w:t xml:space="preserve"> </w:t>
      </w:r>
      <w:r>
        <w:rPr>
          <w:rFonts w:eastAsiaTheme="minorEastAsia"/>
          <w:lang w:eastAsia="en-US"/>
        </w:rPr>
        <w:t xml:space="preserve">Senāts nesaskata kļūdas </w:t>
      </w:r>
      <w:r w:rsidR="000C58E4">
        <w:rPr>
          <w:rFonts w:eastAsiaTheme="minorEastAsia"/>
          <w:lang w:eastAsia="en-US"/>
        </w:rPr>
        <w:t xml:space="preserve">šajā </w:t>
      </w:r>
      <w:r>
        <w:rPr>
          <w:rFonts w:eastAsiaTheme="minorEastAsia"/>
          <w:lang w:eastAsia="en-US"/>
        </w:rPr>
        <w:t>tiesas apstākļu un pierādījumu novērtējumā.</w:t>
      </w:r>
      <w:r w:rsidR="00B71E10">
        <w:rPr>
          <w:rFonts w:eastAsiaTheme="minorEastAsia"/>
          <w:lang w:eastAsia="en-US"/>
        </w:rPr>
        <w:t xml:space="preserve"> </w:t>
      </w:r>
      <w:r w:rsidR="00BD5944" w:rsidRPr="003D1BE1">
        <w:rPr>
          <w:color w:val="000000" w:themeColor="text1"/>
        </w:rPr>
        <w:t>Vēl jo vairāk apstākļos, kādos, pēc darījuma dalībnieku sniegtās informācijas, tika nodibinātas darījuma attiecības (SIA „</w:t>
      </w:r>
      <w:proofErr w:type="spellStart"/>
      <w:r w:rsidR="00BD5944" w:rsidRPr="003D1BE1">
        <w:rPr>
          <w:color w:val="000000" w:themeColor="text1"/>
        </w:rPr>
        <w:t>Argente</w:t>
      </w:r>
      <w:proofErr w:type="spellEnd"/>
      <w:r w:rsidR="00BD5944" w:rsidRPr="003D1BE1">
        <w:rPr>
          <w:color w:val="000000" w:themeColor="text1"/>
        </w:rPr>
        <w:t xml:space="preserve"> Projekts” amatpersona pati uzrunāja pieteicēju, braucot garām objektam, iegriežoties pie pieteicējas un pajautājot, vai nav nepieciešams jumta remonts), kā arī ņemot vērā to, ka pieteicējas un SIA „</w:t>
      </w:r>
      <w:proofErr w:type="spellStart"/>
      <w:r w:rsidR="00BD5944" w:rsidRPr="003D1BE1">
        <w:rPr>
          <w:color w:val="000000" w:themeColor="text1"/>
        </w:rPr>
        <w:t>Argente</w:t>
      </w:r>
      <w:proofErr w:type="spellEnd"/>
      <w:r w:rsidR="00BD5944" w:rsidRPr="003D1BE1">
        <w:rPr>
          <w:color w:val="000000" w:themeColor="text1"/>
        </w:rPr>
        <w:t xml:space="preserve"> Projekts” amatpersonu paskaidrojumi un liecības par darījuma noslēgšanas un </w:t>
      </w:r>
      <w:r w:rsidR="00BD5944" w:rsidRPr="003D1BE1">
        <w:rPr>
          <w:color w:val="000000" w:themeColor="text1"/>
        </w:rPr>
        <w:lastRenderedPageBreak/>
        <w:t>īstenošanas apstākļiem ir ļoti vispārīgas, tāpat ņemot vērā, ka jumta remonts prasa specifiskas zināšanas, prasmes un materiālos resursus, apgabaltiesas secinājums par to, ka pieteicējas uzticība šādam darījumu partnerim ir netipiska un ir pretēja parastai komercpraksei, atbilst loģikas likumiem un nav patvaļīgs</w:t>
      </w:r>
      <w:r w:rsidR="00F46BDA" w:rsidRPr="003D1BE1">
        <w:rPr>
          <w:color w:val="000000" w:themeColor="text1"/>
        </w:rPr>
        <w:t>, kā arī atbilst jau iepriekš minētajai Senāta praksei.</w:t>
      </w:r>
    </w:p>
    <w:p w14:paraId="66E0CBAB" w14:textId="6965FF5F" w:rsidR="0018455B" w:rsidRDefault="0095058F" w:rsidP="00E73E49">
      <w:pPr>
        <w:spacing w:line="276" w:lineRule="auto"/>
        <w:ind w:firstLine="567"/>
        <w:jc w:val="both"/>
        <w:rPr>
          <w:lang w:eastAsia="lv-LV"/>
        </w:rPr>
      </w:pPr>
      <w:r w:rsidRPr="0018455B">
        <w:t xml:space="preserve">Savukārt no kasācijas </w:t>
      </w:r>
      <w:r w:rsidR="00AA058B" w:rsidRPr="0018455B">
        <w:t>sūdzības</w:t>
      </w:r>
      <w:r w:rsidRPr="0018455B">
        <w:t xml:space="preserve"> izriet, ka</w:t>
      </w:r>
      <w:r w:rsidR="00F46BDA">
        <w:t>,</w:t>
      </w:r>
      <w:r w:rsidRPr="0018455B">
        <w:t xml:space="preserve"> pieteicējas ieskatā, tiesai, novērtējot lietas apstākļus un pierādījumus</w:t>
      </w:r>
      <w:r w:rsidR="003D1F10">
        <w:t>,</w:t>
      </w:r>
      <w:r w:rsidRPr="0018455B">
        <w:t xml:space="preserve"> vajadzēja nonākt pie cita secinājuma</w:t>
      </w:r>
      <w:r w:rsidR="00AA058B" w:rsidRPr="0018455B">
        <w:t xml:space="preserve">, proti, pēc būtības pieteicēja pauž </w:t>
      </w:r>
      <w:r w:rsidR="007A77A1">
        <w:t xml:space="preserve">vien </w:t>
      </w:r>
      <w:r w:rsidR="00AA058B">
        <w:t xml:space="preserve">neapmierinātību </w:t>
      </w:r>
      <w:r w:rsidR="009F3792">
        <w:t>p</w:t>
      </w:r>
      <w:r w:rsidR="00AA058B">
        <w:t>ar minēto tiesas secinājumu</w:t>
      </w:r>
      <w:r w:rsidR="00C02372">
        <w:t xml:space="preserve">. </w:t>
      </w:r>
      <w:r w:rsidR="0018455B" w:rsidRPr="00CC7E7B">
        <w:rPr>
          <w:rFonts w:eastAsiaTheme="minorHAnsi"/>
          <w:lang w:eastAsia="lv-LV"/>
        </w:rPr>
        <w:t>P</w:t>
      </w:r>
      <w:r w:rsidR="0018455B" w:rsidRPr="00CC7E7B">
        <w:rPr>
          <w:rFonts w:eastAsia="Calibri"/>
          <w:lang w:eastAsia="lv-LV"/>
        </w:rPr>
        <w:t>ierādījumu pārvērtēšana</w:t>
      </w:r>
      <w:r w:rsidR="0018455B" w:rsidRPr="00CC7E7B">
        <w:rPr>
          <w:rFonts w:eastAsiaTheme="minorHAnsi"/>
          <w:lang w:eastAsia="lv-LV"/>
        </w:rPr>
        <w:t xml:space="preserve"> atbilstoši</w:t>
      </w:r>
      <w:r w:rsidR="0018455B" w:rsidRPr="00CC7E7B">
        <w:rPr>
          <w:rFonts w:eastAsia="Calibri"/>
          <w:lang w:eastAsia="lv-LV"/>
        </w:rPr>
        <w:t xml:space="preserve"> Administratīvā procesa likuma 325.pant</w:t>
      </w:r>
      <w:r w:rsidR="0018455B" w:rsidRPr="00CC7E7B">
        <w:rPr>
          <w:rFonts w:eastAsiaTheme="minorHAnsi"/>
          <w:lang w:eastAsia="lv-LV"/>
        </w:rPr>
        <w:t>am</w:t>
      </w:r>
      <w:r w:rsidR="0018455B" w:rsidRPr="00CC7E7B">
        <w:rPr>
          <w:rFonts w:eastAsia="Calibri"/>
          <w:lang w:eastAsia="lv-LV"/>
        </w:rPr>
        <w:t xml:space="preserve"> nav kasācijas instances tiesas kompetencē.</w:t>
      </w:r>
      <w:r w:rsidR="0018455B" w:rsidRPr="00CC7E7B">
        <w:rPr>
          <w:lang w:eastAsia="lv-LV"/>
        </w:rPr>
        <w:t xml:space="preserve"> Sen</w:t>
      </w:r>
      <w:r w:rsidR="00F46BDA">
        <w:rPr>
          <w:lang w:eastAsia="lv-LV"/>
        </w:rPr>
        <w:t>āts</w:t>
      </w:r>
      <w:r w:rsidR="0018455B" w:rsidRPr="00CC7E7B">
        <w:rPr>
          <w:lang w:eastAsia="lv-LV"/>
        </w:rPr>
        <w:t xml:space="preserve"> atzīst, ka apgabaltiesas izdarītais pierādījumu novērtējums atbilst Administratīvā procesa likuma 154.panta prasībām. </w:t>
      </w:r>
      <w:r w:rsidR="00F46BDA">
        <w:rPr>
          <w:lang w:eastAsia="en-US"/>
        </w:rPr>
        <w:t>Tas vien, ka pieteicējai</w:t>
      </w:r>
      <w:r w:rsidR="0018455B" w:rsidRPr="00CC7E7B">
        <w:rPr>
          <w:lang w:eastAsia="en-US"/>
        </w:rPr>
        <w:t xml:space="preserve"> ir atšķirīgs viedoklis par pierādījumu pietiekamību un vērtējumu, </w:t>
      </w:r>
      <w:r w:rsidR="0018455B" w:rsidRPr="00CC7E7B">
        <w:rPr>
          <w:lang w:eastAsia="lv-LV"/>
        </w:rPr>
        <w:t>nav pietiekami, lai apšaubītu tiesas sprieduma tiesiskumu.</w:t>
      </w:r>
    </w:p>
    <w:p w14:paraId="4C03BE5F" w14:textId="77777777" w:rsidR="008C03A4" w:rsidRDefault="008C03A4" w:rsidP="00E73E49">
      <w:pPr>
        <w:spacing w:line="276" w:lineRule="auto"/>
        <w:ind w:firstLine="567"/>
        <w:jc w:val="both"/>
        <w:rPr>
          <w:lang w:eastAsia="lv-LV"/>
        </w:rPr>
      </w:pPr>
    </w:p>
    <w:p w14:paraId="19C38942" w14:textId="77777777" w:rsidR="00336DF0" w:rsidRDefault="008C03A4" w:rsidP="00FA0A91">
      <w:pPr>
        <w:spacing w:line="276" w:lineRule="auto"/>
        <w:ind w:firstLine="567"/>
        <w:jc w:val="both"/>
        <w:rPr>
          <w:lang w:eastAsia="lv-LV"/>
        </w:rPr>
      </w:pPr>
      <w:r>
        <w:rPr>
          <w:lang w:eastAsia="lv-LV"/>
        </w:rPr>
        <w:t>[12]</w:t>
      </w:r>
      <w:r w:rsidR="004A2B38">
        <w:rPr>
          <w:lang w:eastAsia="lv-LV"/>
        </w:rPr>
        <w:t> </w:t>
      </w:r>
      <w:r w:rsidR="00FA0A91">
        <w:rPr>
          <w:lang w:eastAsia="lv-LV"/>
        </w:rPr>
        <w:t>Pieteicēja norāda, ka tiesa nav vērtējusi SIA „Jēkabpils PMK” vēstuli, kas apliecina, ka pieteicēja pirms remontdarbu veikšanas ir aptaujājusi vairākus pretendentus par cenu piedāvājumu attiecīgo darbu veik</w:t>
      </w:r>
      <w:r w:rsidR="00336DF0">
        <w:rPr>
          <w:lang w:eastAsia="lv-LV"/>
        </w:rPr>
        <w:t>šanai.</w:t>
      </w:r>
    </w:p>
    <w:p w14:paraId="05412FA3" w14:textId="55513A0D" w:rsidR="00FA0A91" w:rsidRDefault="00336DF0" w:rsidP="00FA0A91">
      <w:pPr>
        <w:spacing w:line="276" w:lineRule="auto"/>
        <w:ind w:firstLine="567"/>
        <w:jc w:val="both"/>
      </w:pPr>
      <w:r>
        <w:rPr>
          <w:lang w:eastAsia="lv-LV"/>
        </w:rPr>
        <w:t>Senāts vērš uzmanību, ka apgabaltiesa pārbaudīja to, vai ir patiesi noticis darījums starp pieteicēju un SIA „</w:t>
      </w:r>
      <w:proofErr w:type="spellStart"/>
      <w:r>
        <w:rPr>
          <w:lang w:eastAsia="lv-LV"/>
        </w:rPr>
        <w:t>Argente</w:t>
      </w:r>
      <w:proofErr w:type="spellEnd"/>
      <w:r>
        <w:rPr>
          <w:lang w:eastAsia="lv-LV"/>
        </w:rPr>
        <w:t xml:space="preserve"> Projekts”. Pieteicēja nenorāda, kā SIA „Jēkabpils PMK” apliecinājums, ka pieteicēja ir interesējusies par iespēju veikt jumta remontu un tā izmaksām, var ietekmēt tiesas secinājumu par to, ka darījums starp pieteicēju un SIA „</w:t>
      </w:r>
      <w:proofErr w:type="spellStart"/>
      <w:r>
        <w:rPr>
          <w:lang w:eastAsia="lv-LV"/>
        </w:rPr>
        <w:t>Argente</w:t>
      </w:r>
      <w:proofErr w:type="spellEnd"/>
      <w:r>
        <w:rPr>
          <w:lang w:eastAsia="lv-LV"/>
        </w:rPr>
        <w:t xml:space="preserve"> Projekts” nav noticis un ka pieteicēja to zināja, it īpaši to apsvērumu gaismā, uz kuru pamata minētais secinājums balstīts.</w:t>
      </w:r>
      <w:r w:rsidR="00FA0A91">
        <w:rPr>
          <w:lang w:eastAsia="lv-LV"/>
        </w:rPr>
        <w:t xml:space="preserve"> </w:t>
      </w:r>
      <w:r w:rsidR="00CC0C67">
        <w:rPr>
          <w:lang w:eastAsia="lv-LV"/>
        </w:rPr>
        <w:t>Arī Senāts nesaskata, ka šīs vēstules nenovērtēšana varēja novest pie lietas nepareizas izspriešanas, tā kā šī vēstule nekādi neraksturo darījuma attiecības starp pieteicēju un SIA „</w:t>
      </w:r>
      <w:proofErr w:type="spellStart"/>
      <w:r w:rsidR="00CC0C67">
        <w:rPr>
          <w:lang w:eastAsia="lv-LV"/>
        </w:rPr>
        <w:t>Argente</w:t>
      </w:r>
      <w:proofErr w:type="spellEnd"/>
      <w:r w:rsidR="00CC0C67">
        <w:rPr>
          <w:lang w:eastAsia="lv-LV"/>
        </w:rPr>
        <w:t xml:space="preserve"> Projekts”. Ievērojot minēto, šis pieteicējas arguments nerada pamatu sprieduma atcelšanai.</w:t>
      </w:r>
    </w:p>
    <w:p w14:paraId="0D40B912" w14:textId="77777777" w:rsidR="00F46BDA" w:rsidRDefault="00F46BDA" w:rsidP="00E73E49">
      <w:pPr>
        <w:spacing w:line="276" w:lineRule="auto"/>
        <w:ind w:firstLine="567"/>
        <w:jc w:val="both"/>
      </w:pPr>
    </w:p>
    <w:p w14:paraId="2CF6258F" w14:textId="1502DFCD" w:rsidR="002D4B1E" w:rsidRDefault="002D4B1E" w:rsidP="00E73E49">
      <w:pPr>
        <w:spacing w:line="276" w:lineRule="auto"/>
        <w:ind w:firstLine="567"/>
        <w:jc w:val="both"/>
      </w:pPr>
      <w:r>
        <w:t>[1</w:t>
      </w:r>
      <w:r w:rsidR="008F02A4">
        <w:t>3</w:t>
      </w:r>
      <w:r>
        <w:t xml:space="preserve">] Apkopojot minēto, pārsūdzētais apgabaltiesas spriedums atstājams negrozīts, bet kasācijas sūdzība ir noraidāma. </w:t>
      </w:r>
    </w:p>
    <w:p w14:paraId="7A0BB7E3" w14:textId="77777777" w:rsidR="002D4B1E" w:rsidRDefault="002D4B1E" w:rsidP="00E73E49">
      <w:pPr>
        <w:spacing w:line="276" w:lineRule="auto"/>
        <w:rPr>
          <w:b/>
        </w:rPr>
      </w:pPr>
    </w:p>
    <w:p w14:paraId="2E9A709C" w14:textId="77777777" w:rsidR="002D4B1E" w:rsidRPr="0021114D" w:rsidRDefault="002D4B1E" w:rsidP="00E73E49">
      <w:pPr>
        <w:spacing w:line="276" w:lineRule="auto"/>
        <w:jc w:val="center"/>
        <w:rPr>
          <w:b/>
        </w:rPr>
      </w:pPr>
      <w:r w:rsidRPr="0021114D">
        <w:rPr>
          <w:b/>
        </w:rPr>
        <w:t>Rezolutīvā daļa</w:t>
      </w:r>
    </w:p>
    <w:p w14:paraId="75DECEEF" w14:textId="77777777" w:rsidR="002D4B1E" w:rsidRPr="0021114D" w:rsidRDefault="002D4B1E" w:rsidP="00E73E49">
      <w:pPr>
        <w:spacing w:line="276" w:lineRule="auto"/>
        <w:ind w:firstLine="567"/>
        <w:jc w:val="both"/>
        <w:rPr>
          <w:bCs/>
          <w:spacing w:val="70"/>
        </w:rPr>
      </w:pPr>
    </w:p>
    <w:p w14:paraId="7FB5A4DA" w14:textId="77777777" w:rsidR="002D4B1E" w:rsidRPr="000D2507" w:rsidRDefault="002D4B1E" w:rsidP="00E73E49">
      <w:pPr>
        <w:spacing w:line="276" w:lineRule="auto"/>
        <w:ind w:firstLine="720"/>
        <w:jc w:val="both"/>
      </w:pPr>
      <w:r w:rsidRPr="000D2507">
        <w:t xml:space="preserve">Pamatojoties uz Administratīvā procesa likuma 348.panta pirmās daļas 1.punktu un 351.pantu, </w:t>
      </w:r>
      <w:r>
        <w:t>Senāts</w:t>
      </w:r>
    </w:p>
    <w:p w14:paraId="7B099D5B" w14:textId="77777777" w:rsidR="002D4B1E" w:rsidRPr="00C926FD" w:rsidRDefault="002D4B1E" w:rsidP="00E73E49">
      <w:pPr>
        <w:tabs>
          <w:tab w:val="left" w:pos="2700"/>
          <w:tab w:val="left" w:pos="6660"/>
        </w:tabs>
        <w:spacing w:line="276" w:lineRule="auto"/>
        <w:jc w:val="center"/>
        <w:rPr>
          <w:b/>
        </w:rPr>
      </w:pPr>
      <w:r w:rsidRPr="00C926FD">
        <w:rPr>
          <w:b/>
        </w:rPr>
        <w:t>nosprieda</w:t>
      </w:r>
    </w:p>
    <w:p w14:paraId="3AE69496" w14:textId="77777777" w:rsidR="002D4B1E" w:rsidRPr="00C926FD" w:rsidRDefault="002D4B1E" w:rsidP="00E73E49">
      <w:pPr>
        <w:tabs>
          <w:tab w:val="left" w:pos="2700"/>
          <w:tab w:val="left" w:pos="6660"/>
        </w:tabs>
        <w:spacing w:line="276" w:lineRule="auto"/>
        <w:ind w:firstLine="567"/>
        <w:jc w:val="center"/>
        <w:rPr>
          <w:b/>
          <w:bCs/>
          <w:spacing w:val="70"/>
        </w:rPr>
      </w:pPr>
    </w:p>
    <w:p w14:paraId="3ADF00F4" w14:textId="196F3F9E" w:rsidR="002D4B1E" w:rsidRPr="00C926FD" w:rsidRDefault="002D4B1E" w:rsidP="00E73E49">
      <w:pPr>
        <w:spacing w:line="276" w:lineRule="auto"/>
        <w:ind w:firstLine="567"/>
        <w:jc w:val="both"/>
      </w:pPr>
      <w:r>
        <w:t>a</w:t>
      </w:r>
      <w:r w:rsidRPr="00C926FD">
        <w:t>tstāt negrozītu Ad</w:t>
      </w:r>
      <w:r>
        <w:t>ministratīvās apgabaltiesas 201</w:t>
      </w:r>
      <w:r w:rsidR="008C239A">
        <w:t>6</w:t>
      </w:r>
      <w:r>
        <w:t xml:space="preserve">.gada </w:t>
      </w:r>
      <w:r w:rsidR="008C239A">
        <w:t>5.maija</w:t>
      </w:r>
      <w:r w:rsidRPr="00C926FD">
        <w:t xml:space="preserve"> spriedumu, bet </w:t>
      </w:r>
      <w:r>
        <w:rPr>
          <w:color w:val="000000"/>
          <w:lang w:eastAsia="lv-LV"/>
        </w:rPr>
        <w:t>SIA „</w:t>
      </w:r>
      <w:r w:rsidR="008C239A">
        <w:rPr>
          <w:color w:val="000000"/>
          <w:lang w:eastAsia="lv-LV"/>
        </w:rPr>
        <w:t>Māju koks</w:t>
      </w:r>
      <w:r>
        <w:rPr>
          <w:color w:val="000000"/>
          <w:lang w:eastAsia="lv-LV"/>
        </w:rPr>
        <w:t>”</w:t>
      </w:r>
      <w:r>
        <w:t xml:space="preserve"> kasācijas sūdzību noraidīt.</w:t>
      </w:r>
    </w:p>
    <w:p w14:paraId="2E8F5ABA" w14:textId="2FEB780E" w:rsidR="002D4B1E" w:rsidRPr="00E3737F" w:rsidRDefault="002D4B1E" w:rsidP="00E3737F">
      <w:pPr>
        <w:spacing w:line="276" w:lineRule="auto"/>
        <w:ind w:firstLine="567"/>
        <w:jc w:val="both"/>
        <w:rPr>
          <w:bCs/>
          <w:lang w:eastAsia="lv-LV"/>
        </w:rPr>
      </w:pPr>
      <w:r w:rsidRPr="0021114D">
        <w:rPr>
          <w:bCs/>
          <w:lang w:eastAsia="lv-LV"/>
        </w:rPr>
        <w:t>Spriedums nav pārsūdzams.</w:t>
      </w:r>
    </w:p>
    <w:sectPr w:rsidR="002D4B1E" w:rsidRPr="00E3737F" w:rsidSect="005B7F00">
      <w:footerReference w:type="default" r:id="rId9"/>
      <w:pgSz w:w="11906" w:h="16838" w:code="9"/>
      <w:pgMar w:top="1134" w:right="1134" w:bottom="1134" w:left="1701"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50B1" w14:textId="77777777" w:rsidR="00A5397D" w:rsidRDefault="00A5397D" w:rsidP="003047F5">
      <w:r>
        <w:separator/>
      </w:r>
    </w:p>
  </w:endnote>
  <w:endnote w:type="continuationSeparator" w:id="0">
    <w:p w14:paraId="1949DB51" w14:textId="77777777" w:rsidR="00A5397D" w:rsidRDefault="00A5397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0E02AA88"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D1BE1">
      <w:rPr>
        <w:rStyle w:val="PageNumber"/>
        <w:noProof/>
      </w:rPr>
      <w:t>9</w:t>
    </w:r>
    <w:r w:rsidRPr="009F0E55">
      <w:rPr>
        <w:rStyle w:val="PageNumber"/>
      </w:rPr>
      <w:fldChar w:fldCharType="end"/>
    </w:r>
    <w:r w:rsidRPr="009F0E55">
      <w:rPr>
        <w:rStyle w:val="PageNumber"/>
      </w:rPr>
      <w:t xml:space="preserve"> no </w:t>
    </w:r>
    <w:r w:rsidR="00494531">
      <w:rPr>
        <w:rStyle w:val="PageNumber"/>
        <w:noProof/>
      </w:rPr>
      <w:fldChar w:fldCharType="begin"/>
    </w:r>
    <w:r w:rsidR="00494531">
      <w:rPr>
        <w:rStyle w:val="PageNumber"/>
        <w:noProof/>
      </w:rPr>
      <w:instrText xml:space="preserve"> SECTIONPAGES   \* MERGEFORMAT </w:instrText>
    </w:r>
    <w:r w:rsidR="00494531">
      <w:rPr>
        <w:rStyle w:val="PageNumber"/>
        <w:noProof/>
      </w:rPr>
      <w:fldChar w:fldCharType="separate"/>
    </w:r>
    <w:r w:rsidR="00921F41">
      <w:rPr>
        <w:rStyle w:val="PageNumber"/>
        <w:noProof/>
      </w:rPr>
      <w:t>9</w:t>
    </w:r>
    <w:r w:rsidR="0049453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EABE" w14:textId="77777777" w:rsidR="00A5397D" w:rsidRDefault="00A5397D" w:rsidP="003047F5">
      <w:r>
        <w:separator/>
      </w:r>
    </w:p>
  </w:footnote>
  <w:footnote w:type="continuationSeparator" w:id="0">
    <w:p w14:paraId="59C403F0" w14:textId="77777777" w:rsidR="00A5397D" w:rsidRDefault="00A5397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10F50"/>
    <w:rsid w:val="00021028"/>
    <w:rsid w:val="00021B4D"/>
    <w:rsid w:val="00021D4E"/>
    <w:rsid w:val="00021FF6"/>
    <w:rsid w:val="00023936"/>
    <w:rsid w:val="00023AAB"/>
    <w:rsid w:val="000262EA"/>
    <w:rsid w:val="00026527"/>
    <w:rsid w:val="000267FC"/>
    <w:rsid w:val="00026FD4"/>
    <w:rsid w:val="000311BD"/>
    <w:rsid w:val="00033B3C"/>
    <w:rsid w:val="000340EF"/>
    <w:rsid w:val="000350D8"/>
    <w:rsid w:val="00035108"/>
    <w:rsid w:val="00035B19"/>
    <w:rsid w:val="00035C5A"/>
    <w:rsid w:val="00036CD2"/>
    <w:rsid w:val="00037071"/>
    <w:rsid w:val="00037FDE"/>
    <w:rsid w:val="00046B13"/>
    <w:rsid w:val="00052C27"/>
    <w:rsid w:val="000551C2"/>
    <w:rsid w:val="00055CD2"/>
    <w:rsid w:val="000610DD"/>
    <w:rsid w:val="000617ED"/>
    <w:rsid w:val="000644AB"/>
    <w:rsid w:val="00066121"/>
    <w:rsid w:val="000667CC"/>
    <w:rsid w:val="00066DFC"/>
    <w:rsid w:val="00076661"/>
    <w:rsid w:val="00082C1F"/>
    <w:rsid w:val="00086463"/>
    <w:rsid w:val="0008679E"/>
    <w:rsid w:val="00087116"/>
    <w:rsid w:val="00092356"/>
    <w:rsid w:val="00092466"/>
    <w:rsid w:val="00095457"/>
    <w:rsid w:val="000B0630"/>
    <w:rsid w:val="000B0A3A"/>
    <w:rsid w:val="000B2776"/>
    <w:rsid w:val="000B33B0"/>
    <w:rsid w:val="000B4867"/>
    <w:rsid w:val="000C08D3"/>
    <w:rsid w:val="000C25E4"/>
    <w:rsid w:val="000C398F"/>
    <w:rsid w:val="000C58E4"/>
    <w:rsid w:val="000C5A6C"/>
    <w:rsid w:val="000D0F8A"/>
    <w:rsid w:val="000D10F3"/>
    <w:rsid w:val="000D1E83"/>
    <w:rsid w:val="000D1F75"/>
    <w:rsid w:val="000D4E5A"/>
    <w:rsid w:val="000E0085"/>
    <w:rsid w:val="000E2360"/>
    <w:rsid w:val="000E3D28"/>
    <w:rsid w:val="000E57FE"/>
    <w:rsid w:val="000E7ACE"/>
    <w:rsid w:val="000E7F43"/>
    <w:rsid w:val="000F3581"/>
    <w:rsid w:val="000F5323"/>
    <w:rsid w:val="0010571B"/>
    <w:rsid w:val="00107E4C"/>
    <w:rsid w:val="001108D8"/>
    <w:rsid w:val="001117A1"/>
    <w:rsid w:val="00114776"/>
    <w:rsid w:val="00116F55"/>
    <w:rsid w:val="0012135A"/>
    <w:rsid w:val="00131479"/>
    <w:rsid w:val="00134090"/>
    <w:rsid w:val="00136322"/>
    <w:rsid w:val="0013791F"/>
    <w:rsid w:val="0014149B"/>
    <w:rsid w:val="00144050"/>
    <w:rsid w:val="00150B74"/>
    <w:rsid w:val="0015161B"/>
    <w:rsid w:val="00151CBB"/>
    <w:rsid w:val="00154C0D"/>
    <w:rsid w:val="001557B2"/>
    <w:rsid w:val="00155DEA"/>
    <w:rsid w:val="00162F1A"/>
    <w:rsid w:val="00163D8A"/>
    <w:rsid w:val="001646E9"/>
    <w:rsid w:val="00164F3C"/>
    <w:rsid w:val="00165394"/>
    <w:rsid w:val="001665DF"/>
    <w:rsid w:val="001672E0"/>
    <w:rsid w:val="001709A7"/>
    <w:rsid w:val="00171541"/>
    <w:rsid w:val="0017253F"/>
    <w:rsid w:val="00172A45"/>
    <w:rsid w:val="001831A0"/>
    <w:rsid w:val="0018455B"/>
    <w:rsid w:val="00184CA4"/>
    <w:rsid w:val="00185784"/>
    <w:rsid w:val="001876D5"/>
    <w:rsid w:val="00187B5B"/>
    <w:rsid w:val="00187C59"/>
    <w:rsid w:val="0019238A"/>
    <w:rsid w:val="00195518"/>
    <w:rsid w:val="00195D3A"/>
    <w:rsid w:val="00195F38"/>
    <w:rsid w:val="001A0495"/>
    <w:rsid w:val="001A0953"/>
    <w:rsid w:val="001A0D60"/>
    <w:rsid w:val="001A30E4"/>
    <w:rsid w:val="001A3303"/>
    <w:rsid w:val="001A5CEA"/>
    <w:rsid w:val="001A5E5B"/>
    <w:rsid w:val="001A6A9C"/>
    <w:rsid w:val="001A75DF"/>
    <w:rsid w:val="001B69B7"/>
    <w:rsid w:val="001B6B24"/>
    <w:rsid w:val="001B7D1C"/>
    <w:rsid w:val="001C1EBA"/>
    <w:rsid w:val="001C1F7B"/>
    <w:rsid w:val="001C7500"/>
    <w:rsid w:val="001C789E"/>
    <w:rsid w:val="001D1442"/>
    <w:rsid w:val="001D3D64"/>
    <w:rsid w:val="001D5380"/>
    <w:rsid w:val="001D5862"/>
    <w:rsid w:val="001D5AE4"/>
    <w:rsid w:val="001D6DA5"/>
    <w:rsid w:val="001E07F3"/>
    <w:rsid w:val="001E2195"/>
    <w:rsid w:val="001E2E87"/>
    <w:rsid w:val="001E3A09"/>
    <w:rsid w:val="001E42AE"/>
    <w:rsid w:val="001E47A9"/>
    <w:rsid w:val="001E4876"/>
    <w:rsid w:val="001E5EDC"/>
    <w:rsid w:val="001E6514"/>
    <w:rsid w:val="001E68A3"/>
    <w:rsid w:val="001E6A6A"/>
    <w:rsid w:val="001E7413"/>
    <w:rsid w:val="001E7ACE"/>
    <w:rsid w:val="001F033D"/>
    <w:rsid w:val="001F5A6A"/>
    <w:rsid w:val="002062F9"/>
    <w:rsid w:val="0021145A"/>
    <w:rsid w:val="00214818"/>
    <w:rsid w:val="0021604D"/>
    <w:rsid w:val="00217A19"/>
    <w:rsid w:val="00226EC3"/>
    <w:rsid w:val="002333FB"/>
    <w:rsid w:val="00236635"/>
    <w:rsid w:val="00237130"/>
    <w:rsid w:val="00237F92"/>
    <w:rsid w:val="00237F96"/>
    <w:rsid w:val="002411BD"/>
    <w:rsid w:val="002417C0"/>
    <w:rsid w:val="002470A7"/>
    <w:rsid w:val="002518F2"/>
    <w:rsid w:val="00254022"/>
    <w:rsid w:val="0025488E"/>
    <w:rsid w:val="00255039"/>
    <w:rsid w:val="002572C5"/>
    <w:rsid w:val="00257F6F"/>
    <w:rsid w:val="002609F2"/>
    <w:rsid w:val="00261FA1"/>
    <w:rsid w:val="00262678"/>
    <w:rsid w:val="002626B5"/>
    <w:rsid w:val="00263418"/>
    <w:rsid w:val="0026430D"/>
    <w:rsid w:val="002715EE"/>
    <w:rsid w:val="00271E45"/>
    <w:rsid w:val="0027469B"/>
    <w:rsid w:val="00274B02"/>
    <w:rsid w:val="00274EA4"/>
    <w:rsid w:val="00276173"/>
    <w:rsid w:val="002768A5"/>
    <w:rsid w:val="00285832"/>
    <w:rsid w:val="002907B1"/>
    <w:rsid w:val="00291B8E"/>
    <w:rsid w:val="00293462"/>
    <w:rsid w:val="00293F4C"/>
    <w:rsid w:val="00296F77"/>
    <w:rsid w:val="002977D3"/>
    <w:rsid w:val="00297B15"/>
    <w:rsid w:val="002A358C"/>
    <w:rsid w:val="002A35BE"/>
    <w:rsid w:val="002A3D9C"/>
    <w:rsid w:val="002A5500"/>
    <w:rsid w:val="002A5C23"/>
    <w:rsid w:val="002B084E"/>
    <w:rsid w:val="002B0874"/>
    <w:rsid w:val="002B239A"/>
    <w:rsid w:val="002B3A02"/>
    <w:rsid w:val="002B6653"/>
    <w:rsid w:val="002B7389"/>
    <w:rsid w:val="002B7F6C"/>
    <w:rsid w:val="002C2101"/>
    <w:rsid w:val="002C3CDE"/>
    <w:rsid w:val="002C4B35"/>
    <w:rsid w:val="002C4B58"/>
    <w:rsid w:val="002C4B90"/>
    <w:rsid w:val="002C5BCF"/>
    <w:rsid w:val="002D082C"/>
    <w:rsid w:val="002D20F6"/>
    <w:rsid w:val="002D449C"/>
    <w:rsid w:val="002D4B1E"/>
    <w:rsid w:val="002D64A2"/>
    <w:rsid w:val="002D6F41"/>
    <w:rsid w:val="002D7EB0"/>
    <w:rsid w:val="002E228E"/>
    <w:rsid w:val="002E2F1A"/>
    <w:rsid w:val="002E3304"/>
    <w:rsid w:val="002E3641"/>
    <w:rsid w:val="002E5C2A"/>
    <w:rsid w:val="002F0C19"/>
    <w:rsid w:val="002F6A7F"/>
    <w:rsid w:val="002F6D18"/>
    <w:rsid w:val="002F7142"/>
    <w:rsid w:val="003007A2"/>
    <w:rsid w:val="00301A51"/>
    <w:rsid w:val="00304653"/>
    <w:rsid w:val="003047F5"/>
    <w:rsid w:val="00306386"/>
    <w:rsid w:val="00312FAE"/>
    <w:rsid w:val="00313433"/>
    <w:rsid w:val="003149C0"/>
    <w:rsid w:val="003230F4"/>
    <w:rsid w:val="00324680"/>
    <w:rsid w:val="003251B3"/>
    <w:rsid w:val="00326708"/>
    <w:rsid w:val="00333967"/>
    <w:rsid w:val="00336DF0"/>
    <w:rsid w:val="003407BF"/>
    <w:rsid w:val="003433D2"/>
    <w:rsid w:val="00346AA6"/>
    <w:rsid w:val="00346E24"/>
    <w:rsid w:val="0035346E"/>
    <w:rsid w:val="00365747"/>
    <w:rsid w:val="00366027"/>
    <w:rsid w:val="00371044"/>
    <w:rsid w:val="00371CA4"/>
    <w:rsid w:val="00372FCA"/>
    <w:rsid w:val="003766BD"/>
    <w:rsid w:val="003769E0"/>
    <w:rsid w:val="0038060B"/>
    <w:rsid w:val="00381F75"/>
    <w:rsid w:val="00385F78"/>
    <w:rsid w:val="003863AE"/>
    <w:rsid w:val="00387112"/>
    <w:rsid w:val="0038760C"/>
    <w:rsid w:val="00391F28"/>
    <w:rsid w:val="003922F9"/>
    <w:rsid w:val="00392699"/>
    <w:rsid w:val="003936C1"/>
    <w:rsid w:val="00394FCD"/>
    <w:rsid w:val="00397B12"/>
    <w:rsid w:val="003A1DC8"/>
    <w:rsid w:val="003A3F76"/>
    <w:rsid w:val="003A4FD5"/>
    <w:rsid w:val="003A5E7D"/>
    <w:rsid w:val="003A7A14"/>
    <w:rsid w:val="003B04DC"/>
    <w:rsid w:val="003B18DF"/>
    <w:rsid w:val="003B2095"/>
    <w:rsid w:val="003B3182"/>
    <w:rsid w:val="003B339A"/>
    <w:rsid w:val="003B41EF"/>
    <w:rsid w:val="003B4696"/>
    <w:rsid w:val="003C2BD8"/>
    <w:rsid w:val="003C3276"/>
    <w:rsid w:val="003C7890"/>
    <w:rsid w:val="003C7DA1"/>
    <w:rsid w:val="003D0C13"/>
    <w:rsid w:val="003D1BE1"/>
    <w:rsid w:val="003D1F10"/>
    <w:rsid w:val="003D2362"/>
    <w:rsid w:val="003D30B4"/>
    <w:rsid w:val="003D4A46"/>
    <w:rsid w:val="003D7FF1"/>
    <w:rsid w:val="003E12F1"/>
    <w:rsid w:val="003E1F9F"/>
    <w:rsid w:val="003E2DAB"/>
    <w:rsid w:val="003E3044"/>
    <w:rsid w:val="003F34DB"/>
    <w:rsid w:val="0040161C"/>
    <w:rsid w:val="00401696"/>
    <w:rsid w:val="00402BA8"/>
    <w:rsid w:val="0040335E"/>
    <w:rsid w:val="00403BFF"/>
    <w:rsid w:val="004061B8"/>
    <w:rsid w:val="00406C93"/>
    <w:rsid w:val="0041757A"/>
    <w:rsid w:val="004179E9"/>
    <w:rsid w:val="004225CB"/>
    <w:rsid w:val="004244CE"/>
    <w:rsid w:val="0042485F"/>
    <w:rsid w:val="00424B84"/>
    <w:rsid w:val="00425B81"/>
    <w:rsid w:val="00426006"/>
    <w:rsid w:val="00430D00"/>
    <w:rsid w:val="0043122B"/>
    <w:rsid w:val="0043182C"/>
    <w:rsid w:val="00432496"/>
    <w:rsid w:val="0043401C"/>
    <w:rsid w:val="00435E90"/>
    <w:rsid w:val="004366C6"/>
    <w:rsid w:val="00436A2C"/>
    <w:rsid w:val="00440F9F"/>
    <w:rsid w:val="0044159F"/>
    <w:rsid w:val="0044208F"/>
    <w:rsid w:val="00444B42"/>
    <w:rsid w:val="00445F29"/>
    <w:rsid w:val="00446E9A"/>
    <w:rsid w:val="00450CA8"/>
    <w:rsid w:val="0045131C"/>
    <w:rsid w:val="0045167D"/>
    <w:rsid w:val="004548AD"/>
    <w:rsid w:val="00454E7A"/>
    <w:rsid w:val="004551CB"/>
    <w:rsid w:val="00455ADA"/>
    <w:rsid w:val="00457DC3"/>
    <w:rsid w:val="004607D6"/>
    <w:rsid w:val="00462C15"/>
    <w:rsid w:val="00462C80"/>
    <w:rsid w:val="004640A1"/>
    <w:rsid w:val="004644B9"/>
    <w:rsid w:val="00467AC8"/>
    <w:rsid w:val="00470F1D"/>
    <w:rsid w:val="00471FAC"/>
    <w:rsid w:val="00474185"/>
    <w:rsid w:val="00474B16"/>
    <w:rsid w:val="00477302"/>
    <w:rsid w:val="00480A1F"/>
    <w:rsid w:val="00480D5E"/>
    <w:rsid w:val="004810D8"/>
    <w:rsid w:val="00483215"/>
    <w:rsid w:val="004919D5"/>
    <w:rsid w:val="00491DEC"/>
    <w:rsid w:val="00494531"/>
    <w:rsid w:val="0049457E"/>
    <w:rsid w:val="00494AB2"/>
    <w:rsid w:val="004A0289"/>
    <w:rsid w:val="004A2B38"/>
    <w:rsid w:val="004A389A"/>
    <w:rsid w:val="004A4903"/>
    <w:rsid w:val="004A5D1F"/>
    <w:rsid w:val="004B1A38"/>
    <w:rsid w:val="004B685E"/>
    <w:rsid w:val="004C0C65"/>
    <w:rsid w:val="004C1CD2"/>
    <w:rsid w:val="004C2E98"/>
    <w:rsid w:val="004C4D16"/>
    <w:rsid w:val="004C5CCF"/>
    <w:rsid w:val="004C68A8"/>
    <w:rsid w:val="004C7175"/>
    <w:rsid w:val="004C7403"/>
    <w:rsid w:val="004D06CC"/>
    <w:rsid w:val="004D4158"/>
    <w:rsid w:val="004D4F22"/>
    <w:rsid w:val="004D51AA"/>
    <w:rsid w:val="004D524B"/>
    <w:rsid w:val="004D71E2"/>
    <w:rsid w:val="004E4793"/>
    <w:rsid w:val="004E5539"/>
    <w:rsid w:val="004E55AF"/>
    <w:rsid w:val="004E6488"/>
    <w:rsid w:val="004E756C"/>
    <w:rsid w:val="004F46A5"/>
    <w:rsid w:val="004F5366"/>
    <w:rsid w:val="005004A2"/>
    <w:rsid w:val="005034B5"/>
    <w:rsid w:val="00503CA5"/>
    <w:rsid w:val="005040D8"/>
    <w:rsid w:val="005054FD"/>
    <w:rsid w:val="00505B7C"/>
    <w:rsid w:val="00513A2A"/>
    <w:rsid w:val="00516248"/>
    <w:rsid w:val="005173B2"/>
    <w:rsid w:val="0052072F"/>
    <w:rsid w:val="00521A02"/>
    <w:rsid w:val="00521A96"/>
    <w:rsid w:val="00523008"/>
    <w:rsid w:val="00525941"/>
    <w:rsid w:val="00527591"/>
    <w:rsid w:val="00530044"/>
    <w:rsid w:val="00530A15"/>
    <w:rsid w:val="00535901"/>
    <w:rsid w:val="005429AB"/>
    <w:rsid w:val="005432CE"/>
    <w:rsid w:val="0054371C"/>
    <w:rsid w:val="00543AA3"/>
    <w:rsid w:val="00543E46"/>
    <w:rsid w:val="0054666E"/>
    <w:rsid w:val="00546751"/>
    <w:rsid w:val="00547A12"/>
    <w:rsid w:val="00550BC5"/>
    <w:rsid w:val="00555371"/>
    <w:rsid w:val="005610C8"/>
    <w:rsid w:val="005624F2"/>
    <w:rsid w:val="0056584F"/>
    <w:rsid w:val="0056753D"/>
    <w:rsid w:val="005712B0"/>
    <w:rsid w:val="00571B3B"/>
    <w:rsid w:val="00571C50"/>
    <w:rsid w:val="00575A8F"/>
    <w:rsid w:val="00577F12"/>
    <w:rsid w:val="00580339"/>
    <w:rsid w:val="00580B2C"/>
    <w:rsid w:val="00583A46"/>
    <w:rsid w:val="00583D23"/>
    <w:rsid w:val="00584B5E"/>
    <w:rsid w:val="00585055"/>
    <w:rsid w:val="00587AF2"/>
    <w:rsid w:val="005916A4"/>
    <w:rsid w:val="00592270"/>
    <w:rsid w:val="005949B9"/>
    <w:rsid w:val="00595C99"/>
    <w:rsid w:val="005975E1"/>
    <w:rsid w:val="005A2590"/>
    <w:rsid w:val="005A2CC7"/>
    <w:rsid w:val="005A2EA9"/>
    <w:rsid w:val="005A62B3"/>
    <w:rsid w:val="005A7F75"/>
    <w:rsid w:val="005B0605"/>
    <w:rsid w:val="005B06CA"/>
    <w:rsid w:val="005B2BCB"/>
    <w:rsid w:val="005B5F5F"/>
    <w:rsid w:val="005B698D"/>
    <w:rsid w:val="005B7F00"/>
    <w:rsid w:val="005C1EF1"/>
    <w:rsid w:val="005C20F8"/>
    <w:rsid w:val="005C7011"/>
    <w:rsid w:val="005C76D9"/>
    <w:rsid w:val="005C7F57"/>
    <w:rsid w:val="005E2076"/>
    <w:rsid w:val="005E5272"/>
    <w:rsid w:val="005E57F5"/>
    <w:rsid w:val="005E5BE2"/>
    <w:rsid w:val="005E5DFB"/>
    <w:rsid w:val="005F0F11"/>
    <w:rsid w:val="005F1D6B"/>
    <w:rsid w:val="005F584C"/>
    <w:rsid w:val="005F6473"/>
    <w:rsid w:val="006011C3"/>
    <w:rsid w:val="00602D84"/>
    <w:rsid w:val="0060369A"/>
    <w:rsid w:val="006079C9"/>
    <w:rsid w:val="00610302"/>
    <w:rsid w:val="00610F66"/>
    <w:rsid w:val="00611C03"/>
    <w:rsid w:val="00612ADA"/>
    <w:rsid w:val="00613C25"/>
    <w:rsid w:val="00622ADC"/>
    <w:rsid w:val="006265F2"/>
    <w:rsid w:val="00630117"/>
    <w:rsid w:val="00630CA0"/>
    <w:rsid w:val="00634076"/>
    <w:rsid w:val="0063580A"/>
    <w:rsid w:val="00640497"/>
    <w:rsid w:val="006412D7"/>
    <w:rsid w:val="006414D4"/>
    <w:rsid w:val="00644657"/>
    <w:rsid w:val="006454A3"/>
    <w:rsid w:val="00645DEE"/>
    <w:rsid w:val="00652B04"/>
    <w:rsid w:val="00653B0E"/>
    <w:rsid w:val="006558FE"/>
    <w:rsid w:val="006576FA"/>
    <w:rsid w:val="00660873"/>
    <w:rsid w:val="00660AF2"/>
    <w:rsid w:val="006617E9"/>
    <w:rsid w:val="00664010"/>
    <w:rsid w:val="00666F2B"/>
    <w:rsid w:val="0067156A"/>
    <w:rsid w:val="00674140"/>
    <w:rsid w:val="0067505D"/>
    <w:rsid w:val="00675E38"/>
    <w:rsid w:val="006778D5"/>
    <w:rsid w:val="00677F17"/>
    <w:rsid w:val="00677FE3"/>
    <w:rsid w:val="00681DD1"/>
    <w:rsid w:val="00684818"/>
    <w:rsid w:val="00684B80"/>
    <w:rsid w:val="006854FA"/>
    <w:rsid w:val="00691175"/>
    <w:rsid w:val="00696B53"/>
    <w:rsid w:val="006A30D8"/>
    <w:rsid w:val="006A5CEC"/>
    <w:rsid w:val="006B0E46"/>
    <w:rsid w:val="006B203C"/>
    <w:rsid w:val="006B5B34"/>
    <w:rsid w:val="006C199D"/>
    <w:rsid w:val="006C37E8"/>
    <w:rsid w:val="006C424B"/>
    <w:rsid w:val="006C4DDB"/>
    <w:rsid w:val="006C584C"/>
    <w:rsid w:val="006C6198"/>
    <w:rsid w:val="006C6378"/>
    <w:rsid w:val="006C657B"/>
    <w:rsid w:val="006D04EC"/>
    <w:rsid w:val="006E2062"/>
    <w:rsid w:val="006E2C25"/>
    <w:rsid w:val="006E4025"/>
    <w:rsid w:val="006E517F"/>
    <w:rsid w:val="006E5236"/>
    <w:rsid w:val="006F0894"/>
    <w:rsid w:val="006F22D8"/>
    <w:rsid w:val="006F54B2"/>
    <w:rsid w:val="006F5D3B"/>
    <w:rsid w:val="006F7E46"/>
    <w:rsid w:val="00701662"/>
    <w:rsid w:val="007035AF"/>
    <w:rsid w:val="0070397F"/>
    <w:rsid w:val="00704845"/>
    <w:rsid w:val="00706957"/>
    <w:rsid w:val="00712390"/>
    <w:rsid w:val="00714055"/>
    <w:rsid w:val="00715293"/>
    <w:rsid w:val="00723FCC"/>
    <w:rsid w:val="00724836"/>
    <w:rsid w:val="00724D2D"/>
    <w:rsid w:val="00730AAE"/>
    <w:rsid w:val="00731E5C"/>
    <w:rsid w:val="00732267"/>
    <w:rsid w:val="00734934"/>
    <w:rsid w:val="00735A6C"/>
    <w:rsid w:val="007473F3"/>
    <w:rsid w:val="00747EFE"/>
    <w:rsid w:val="00751B2A"/>
    <w:rsid w:val="00751C9A"/>
    <w:rsid w:val="007542F3"/>
    <w:rsid w:val="00756423"/>
    <w:rsid w:val="0075646A"/>
    <w:rsid w:val="007613B4"/>
    <w:rsid w:val="00762C54"/>
    <w:rsid w:val="00763A06"/>
    <w:rsid w:val="00763D35"/>
    <w:rsid w:val="007717A7"/>
    <w:rsid w:val="007740F3"/>
    <w:rsid w:val="007749A9"/>
    <w:rsid w:val="00781DFD"/>
    <w:rsid w:val="00782AEF"/>
    <w:rsid w:val="00784B19"/>
    <w:rsid w:val="00787167"/>
    <w:rsid w:val="00790CDF"/>
    <w:rsid w:val="00793D5A"/>
    <w:rsid w:val="007965C8"/>
    <w:rsid w:val="007A3274"/>
    <w:rsid w:val="007A34F8"/>
    <w:rsid w:val="007A42A6"/>
    <w:rsid w:val="007A6A87"/>
    <w:rsid w:val="007A77A1"/>
    <w:rsid w:val="007B03A9"/>
    <w:rsid w:val="007B04EA"/>
    <w:rsid w:val="007B27A0"/>
    <w:rsid w:val="007B2E18"/>
    <w:rsid w:val="007B2EA8"/>
    <w:rsid w:val="007B5098"/>
    <w:rsid w:val="007B63AE"/>
    <w:rsid w:val="007C1265"/>
    <w:rsid w:val="007C1EC9"/>
    <w:rsid w:val="007C226E"/>
    <w:rsid w:val="007C4985"/>
    <w:rsid w:val="007C4C9E"/>
    <w:rsid w:val="007C7B51"/>
    <w:rsid w:val="007D1AE2"/>
    <w:rsid w:val="007E0535"/>
    <w:rsid w:val="007E726D"/>
    <w:rsid w:val="007F176A"/>
    <w:rsid w:val="007F608D"/>
    <w:rsid w:val="007F70B9"/>
    <w:rsid w:val="00803067"/>
    <w:rsid w:val="00804A67"/>
    <w:rsid w:val="00806881"/>
    <w:rsid w:val="0080773A"/>
    <w:rsid w:val="008135B4"/>
    <w:rsid w:val="00820684"/>
    <w:rsid w:val="00821419"/>
    <w:rsid w:val="00821967"/>
    <w:rsid w:val="00821E25"/>
    <w:rsid w:val="00822C33"/>
    <w:rsid w:val="0082390E"/>
    <w:rsid w:val="00825BA3"/>
    <w:rsid w:val="00827B46"/>
    <w:rsid w:val="00830E2B"/>
    <w:rsid w:val="00836284"/>
    <w:rsid w:val="00836F8C"/>
    <w:rsid w:val="00840F7E"/>
    <w:rsid w:val="008414C6"/>
    <w:rsid w:val="00841EF5"/>
    <w:rsid w:val="00842343"/>
    <w:rsid w:val="00842902"/>
    <w:rsid w:val="008430F5"/>
    <w:rsid w:val="00843F7B"/>
    <w:rsid w:val="00845FCF"/>
    <w:rsid w:val="00846A81"/>
    <w:rsid w:val="008506D2"/>
    <w:rsid w:val="00856D30"/>
    <w:rsid w:val="0085728A"/>
    <w:rsid w:val="00862A97"/>
    <w:rsid w:val="00863C25"/>
    <w:rsid w:val="00874FD3"/>
    <w:rsid w:val="008757D6"/>
    <w:rsid w:val="00883299"/>
    <w:rsid w:val="0088522B"/>
    <w:rsid w:val="00885E55"/>
    <w:rsid w:val="0088691F"/>
    <w:rsid w:val="00892179"/>
    <w:rsid w:val="00892772"/>
    <w:rsid w:val="00893586"/>
    <w:rsid w:val="00895DCC"/>
    <w:rsid w:val="008A28C8"/>
    <w:rsid w:val="008B056D"/>
    <w:rsid w:val="008B0A8D"/>
    <w:rsid w:val="008B0CDD"/>
    <w:rsid w:val="008B2ECF"/>
    <w:rsid w:val="008B3554"/>
    <w:rsid w:val="008B46A7"/>
    <w:rsid w:val="008B4808"/>
    <w:rsid w:val="008B495E"/>
    <w:rsid w:val="008B537A"/>
    <w:rsid w:val="008B76F8"/>
    <w:rsid w:val="008B786B"/>
    <w:rsid w:val="008C03A4"/>
    <w:rsid w:val="008C0F99"/>
    <w:rsid w:val="008C1199"/>
    <w:rsid w:val="008C239A"/>
    <w:rsid w:val="008D0D10"/>
    <w:rsid w:val="008D3CD3"/>
    <w:rsid w:val="008D46EF"/>
    <w:rsid w:val="008E59FD"/>
    <w:rsid w:val="008E5A5E"/>
    <w:rsid w:val="008E7BE5"/>
    <w:rsid w:val="008F02A4"/>
    <w:rsid w:val="008F4501"/>
    <w:rsid w:val="008F7855"/>
    <w:rsid w:val="008F7E24"/>
    <w:rsid w:val="008F7FA2"/>
    <w:rsid w:val="00900283"/>
    <w:rsid w:val="009013C3"/>
    <w:rsid w:val="00901D49"/>
    <w:rsid w:val="0090217F"/>
    <w:rsid w:val="0090232A"/>
    <w:rsid w:val="0090456F"/>
    <w:rsid w:val="009070A0"/>
    <w:rsid w:val="0091046E"/>
    <w:rsid w:val="00911193"/>
    <w:rsid w:val="0091158C"/>
    <w:rsid w:val="009118D2"/>
    <w:rsid w:val="00912DA8"/>
    <w:rsid w:val="009135D6"/>
    <w:rsid w:val="009136FD"/>
    <w:rsid w:val="00914D54"/>
    <w:rsid w:val="009154B6"/>
    <w:rsid w:val="009160AC"/>
    <w:rsid w:val="00916643"/>
    <w:rsid w:val="00921F41"/>
    <w:rsid w:val="009229FE"/>
    <w:rsid w:val="00924F7D"/>
    <w:rsid w:val="00932509"/>
    <w:rsid w:val="00936DCE"/>
    <w:rsid w:val="009504E1"/>
    <w:rsid w:val="0095051F"/>
    <w:rsid w:val="00950525"/>
    <w:rsid w:val="0095058F"/>
    <w:rsid w:val="0095761B"/>
    <w:rsid w:val="009604BF"/>
    <w:rsid w:val="009639F7"/>
    <w:rsid w:val="009647AE"/>
    <w:rsid w:val="00965474"/>
    <w:rsid w:val="00966BF1"/>
    <w:rsid w:val="00972FDA"/>
    <w:rsid w:val="009749F5"/>
    <w:rsid w:val="00976DEE"/>
    <w:rsid w:val="00982EA1"/>
    <w:rsid w:val="0098511D"/>
    <w:rsid w:val="0099431B"/>
    <w:rsid w:val="009A530C"/>
    <w:rsid w:val="009B04D1"/>
    <w:rsid w:val="009B4935"/>
    <w:rsid w:val="009B5F78"/>
    <w:rsid w:val="009B63E5"/>
    <w:rsid w:val="009B7121"/>
    <w:rsid w:val="009C25A8"/>
    <w:rsid w:val="009C54F8"/>
    <w:rsid w:val="009D0376"/>
    <w:rsid w:val="009D1240"/>
    <w:rsid w:val="009D2402"/>
    <w:rsid w:val="009D43CE"/>
    <w:rsid w:val="009D4F6E"/>
    <w:rsid w:val="009D50DF"/>
    <w:rsid w:val="009D6D0D"/>
    <w:rsid w:val="009E0470"/>
    <w:rsid w:val="009E0476"/>
    <w:rsid w:val="009E06F8"/>
    <w:rsid w:val="009E0705"/>
    <w:rsid w:val="009E2A8F"/>
    <w:rsid w:val="009E3704"/>
    <w:rsid w:val="009E59CF"/>
    <w:rsid w:val="009E7C7F"/>
    <w:rsid w:val="009F3792"/>
    <w:rsid w:val="009F5E94"/>
    <w:rsid w:val="009F62F3"/>
    <w:rsid w:val="009F729A"/>
    <w:rsid w:val="00A00062"/>
    <w:rsid w:val="00A02AE5"/>
    <w:rsid w:val="00A02DBC"/>
    <w:rsid w:val="00A04AD0"/>
    <w:rsid w:val="00A05F34"/>
    <w:rsid w:val="00A060D4"/>
    <w:rsid w:val="00A06B48"/>
    <w:rsid w:val="00A1445F"/>
    <w:rsid w:val="00A22E37"/>
    <w:rsid w:val="00A22EDB"/>
    <w:rsid w:val="00A23921"/>
    <w:rsid w:val="00A23CF6"/>
    <w:rsid w:val="00A2442B"/>
    <w:rsid w:val="00A2653A"/>
    <w:rsid w:val="00A27092"/>
    <w:rsid w:val="00A27AD1"/>
    <w:rsid w:val="00A3018D"/>
    <w:rsid w:val="00A3219B"/>
    <w:rsid w:val="00A32910"/>
    <w:rsid w:val="00A33A49"/>
    <w:rsid w:val="00A378B3"/>
    <w:rsid w:val="00A428AD"/>
    <w:rsid w:val="00A44547"/>
    <w:rsid w:val="00A44841"/>
    <w:rsid w:val="00A50EA5"/>
    <w:rsid w:val="00A5397D"/>
    <w:rsid w:val="00A542C3"/>
    <w:rsid w:val="00A548D9"/>
    <w:rsid w:val="00A57267"/>
    <w:rsid w:val="00A57474"/>
    <w:rsid w:val="00A6006F"/>
    <w:rsid w:val="00A6340B"/>
    <w:rsid w:val="00A65468"/>
    <w:rsid w:val="00A6596A"/>
    <w:rsid w:val="00A65B6E"/>
    <w:rsid w:val="00A704F2"/>
    <w:rsid w:val="00A7204C"/>
    <w:rsid w:val="00A72E4A"/>
    <w:rsid w:val="00A741C5"/>
    <w:rsid w:val="00A74455"/>
    <w:rsid w:val="00A74A15"/>
    <w:rsid w:val="00A74F88"/>
    <w:rsid w:val="00A75FF1"/>
    <w:rsid w:val="00A765F1"/>
    <w:rsid w:val="00A778DB"/>
    <w:rsid w:val="00A8043F"/>
    <w:rsid w:val="00A82CF9"/>
    <w:rsid w:val="00A82F92"/>
    <w:rsid w:val="00A831F1"/>
    <w:rsid w:val="00A833AE"/>
    <w:rsid w:val="00A84567"/>
    <w:rsid w:val="00A84886"/>
    <w:rsid w:val="00A84BF9"/>
    <w:rsid w:val="00A8594F"/>
    <w:rsid w:val="00A85F5B"/>
    <w:rsid w:val="00A901FD"/>
    <w:rsid w:val="00A90DB0"/>
    <w:rsid w:val="00A91511"/>
    <w:rsid w:val="00A93E65"/>
    <w:rsid w:val="00A9435D"/>
    <w:rsid w:val="00A96485"/>
    <w:rsid w:val="00AA058B"/>
    <w:rsid w:val="00AA1A1B"/>
    <w:rsid w:val="00AA1B1E"/>
    <w:rsid w:val="00AA5B85"/>
    <w:rsid w:val="00AA7806"/>
    <w:rsid w:val="00AB2CD7"/>
    <w:rsid w:val="00AB3C10"/>
    <w:rsid w:val="00AB7848"/>
    <w:rsid w:val="00AB7872"/>
    <w:rsid w:val="00AC291B"/>
    <w:rsid w:val="00AC2FEB"/>
    <w:rsid w:val="00AC56B5"/>
    <w:rsid w:val="00AC7687"/>
    <w:rsid w:val="00AC787D"/>
    <w:rsid w:val="00AD2C11"/>
    <w:rsid w:val="00AD4436"/>
    <w:rsid w:val="00AD5058"/>
    <w:rsid w:val="00AD54A1"/>
    <w:rsid w:val="00AD595D"/>
    <w:rsid w:val="00AE08D6"/>
    <w:rsid w:val="00AE2D0D"/>
    <w:rsid w:val="00AF0339"/>
    <w:rsid w:val="00AF2FC8"/>
    <w:rsid w:val="00AF370E"/>
    <w:rsid w:val="00AF45E8"/>
    <w:rsid w:val="00AF5870"/>
    <w:rsid w:val="00AF5FF7"/>
    <w:rsid w:val="00AF7DFD"/>
    <w:rsid w:val="00AF7F53"/>
    <w:rsid w:val="00B00478"/>
    <w:rsid w:val="00B034B3"/>
    <w:rsid w:val="00B04E52"/>
    <w:rsid w:val="00B108DB"/>
    <w:rsid w:val="00B10DA8"/>
    <w:rsid w:val="00B10DB7"/>
    <w:rsid w:val="00B110C3"/>
    <w:rsid w:val="00B16EE4"/>
    <w:rsid w:val="00B16FAA"/>
    <w:rsid w:val="00B17B0C"/>
    <w:rsid w:val="00B20FD2"/>
    <w:rsid w:val="00B2410C"/>
    <w:rsid w:val="00B25DB2"/>
    <w:rsid w:val="00B2682C"/>
    <w:rsid w:val="00B30E91"/>
    <w:rsid w:val="00B367A9"/>
    <w:rsid w:val="00B43DA4"/>
    <w:rsid w:val="00B4498A"/>
    <w:rsid w:val="00B508BE"/>
    <w:rsid w:val="00B52297"/>
    <w:rsid w:val="00B54E7D"/>
    <w:rsid w:val="00B54EE9"/>
    <w:rsid w:val="00B5549C"/>
    <w:rsid w:val="00B61152"/>
    <w:rsid w:val="00B620FF"/>
    <w:rsid w:val="00B634EE"/>
    <w:rsid w:val="00B64F52"/>
    <w:rsid w:val="00B65D73"/>
    <w:rsid w:val="00B669DA"/>
    <w:rsid w:val="00B67D80"/>
    <w:rsid w:val="00B71E10"/>
    <w:rsid w:val="00B738E4"/>
    <w:rsid w:val="00B75BCD"/>
    <w:rsid w:val="00B77D4A"/>
    <w:rsid w:val="00B80E9F"/>
    <w:rsid w:val="00B84B2C"/>
    <w:rsid w:val="00B84D51"/>
    <w:rsid w:val="00B84D66"/>
    <w:rsid w:val="00B857C8"/>
    <w:rsid w:val="00B904E1"/>
    <w:rsid w:val="00B94C56"/>
    <w:rsid w:val="00B968AC"/>
    <w:rsid w:val="00B9751D"/>
    <w:rsid w:val="00B975DC"/>
    <w:rsid w:val="00BA0DA1"/>
    <w:rsid w:val="00BA4478"/>
    <w:rsid w:val="00BA49CC"/>
    <w:rsid w:val="00BA74F6"/>
    <w:rsid w:val="00BB0F44"/>
    <w:rsid w:val="00BB1563"/>
    <w:rsid w:val="00BB4182"/>
    <w:rsid w:val="00BB42F2"/>
    <w:rsid w:val="00BB484D"/>
    <w:rsid w:val="00BB532C"/>
    <w:rsid w:val="00BB750C"/>
    <w:rsid w:val="00BC3A06"/>
    <w:rsid w:val="00BC3B48"/>
    <w:rsid w:val="00BC4EEA"/>
    <w:rsid w:val="00BC5775"/>
    <w:rsid w:val="00BC7E30"/>
    <w:rsid w:val="00BD0C3D"/>
    <w:rsid w:val="00BD4A38"/>
    <w:rsid w:val="00BD5944"/>
    <w:rsid w:val="00BD64AA"/>
    <w:rsid w:val="00BE16B9"/>
    <w:rsid w:val="00BE1785"/>
    <w:rsid w:val="00BE3925"/>
    <w:rsid w:val="00BE4D28"/>
    <w:rsid w:val="00BE623C"/>
    <w:rsid w:val="00BE688F"/>
    <w:rsid w:val="00BE6B28"/>
    <w:rsid w:val="00BE7E4D"/>
    <w:rsid w:val="00BF0B78"/>
    <w:rsid w:val="00BF2831"/>
    <w:rsid w:val="00BF3427"/>
    <w:rsid w:val="00BF6C6E"/>
    <w:rsid w:val="00BF7050"/>
    <w:rsid w:val="00C01DD9"/>
    <w:rsid w:val="00C02372"/>
    <w:rsid w:val="00C02E68"/>
    <w:rsid w:val="00C047CE"/>
    <w:rsid w:val="00C078F7"/>
    <w:rsid w:val="00C10D4F"/>
    <w:rsid w:val="00C1268C"/>
    <w:rsid w:val="00C1321B"/>
    <w:rsid w:val="00C1428A"/>
    <w:rsid w:val="00C14939"/>
    <w:rsid w:val="00C16605"/>
    <w:rsid w:val="00C17329"/>
    <w:rsid w:val="00C1753F"/>
    <w:rsid w:val="00C21093"/>
    <w:rsid w:val="00C224B8"/>
    <w:rsid w:val="00C273BB"/>
    <w:rsid w:val="00C27C54"/>
    <w:rsid w:val="00C417EC"/>
    <w:rsid w:val="00C4394B"/>
    <w:rsid w:val="00C43D3B"/>
    <w:rsid w:val="00C4578E"/>
    <w:rsid w:val="00C45AD2"/>
    <w:rsid w:val="00C50FC4"/>
    <w:rsid w:val="00C51627"/>
    <w:rsid w:val="00C52D00"/>
    <w:rsid w:val="00C544D8"/>
    <w:rsid w:val="00C57FA9"/>
    <w:rsid w:val="00C62D49"/>
    <w:rsid w:val="00C63E1F"/>
    <w:rsid w:val="00C64965"/>
    <w:rsid w:val="00C658B2"/>
    <w:rsid w:val="00C70ABE"/>
    <w:rsid w:val="00C7433D"/>
    <w:rsid w:val="00C75667"/>
    <w:rsid w:val="00C77F37"/>
    <w:rsid w:val="00C81713"/>
    <w:rsid w:val="00C823AB"/>
    <w:rsid w:val="00C83A8D"/>
    <w:rsid w:val="00C853C6"/>
    <w:rsid w:val="00C85D3B"/>
    <w:rsid w:val="00C85F89"/>
    <w:rsid w:val="00C8721B"/>
    <w:rsid w:val="00C906CE"/>
    <w:rsid w:val="00C90BBF"/>
    <w:rsid w:val="00C90C7B"/>
    <w:rsid w:val="00C9499F"/>
    <w:rsid w:val="00C96AFA"/>
    <w:rsid w:val="00CA3630"/>
    <w:rsid w:val="00CA4719"/>
    <w:rsid w:val="00CA6B87"/>
    <w:rsid w:val="00CA6F0D"/>
    <w:rsid w:val="00CB0CCA"/>
    <w:rsid w:val="00CB16FD"/>
    <w:rsid w:val="00CB72C2"/>
    <w:rsid w:val="00CC0C67"/>
    <w:rsid w:val="00CC118E"/>
    <w:rsid w:val="00CD0AFF"/>
    <w:rsid w:val="00CD12B9"/>
    <w:rsid w:val="00CD1BEB"/>
    <w:rsid w:val="00CD617E"/>
    <w:rsid w:val="00CE2395"/>
    <w:rsid w:val="00CF060E"/>
    <w:rsid w:val="00CF078A"/>
    <w:rsid w:val="00CF0A57"/>
    <w:rsid w:val="00CF2EDA"/>
    <w:rsid w:val="00CF4AFF"/>
    <w:rsid w:val="00CF579B"/>
    <w:rsid w:val="00CF64D5"/>
    <w:rsid w:val="00CF71D7"/>
    <w:rsid w:val="00D06DDD"/>
    <w:rsid w:val="00D077FA"/>
    <w:rsid w:val="00D147C1"/>
    <w:rsid w:val="00D16407"/>
    <w:rsid w:val="00D17A72"/>
    <w:rsid w:val="00D2247B"/>
    <w:rsid w:val="00D26C7D"/>
    <w:rsid w:val="00D3210B"/>
    <w:rsid w:val="00D322F8"/>
    <w:rsid w:val="00D32DC0"/>
    <w:rsid w:val="00D3458A"/>
    <w:rsid w:val="00D350A4"/>
    <w:rsid w:val="00D359A5"/>
    <w:rsid w:val="00D3639B"/>
    <w:rsid w:val="00D37530"/>
    <w:rsid w:val="00D4009B"/>
    <w:rsid w:val="00D41EE3"/>
    <w:rsid w:val="00D42812"/>
    <w:rsid w:val="00D42945"/>
    <w:rsid w:val="00D43973"/>
    <w:rsid w:val="00D44035"/>
    <w:rsid w:val="00D4404A"/>
    <w:rsid w:val="00D44DFC"/>
    <w:rsid w:val="00D508D8"/>
    <w:rsid w:val="00D50B3A"/>
    <w:rsid w:val="00D5393A"/>
    <w:rsid w:val="00D54062"/>
    <w:rsid w:val="00D57F24"/>
    <w:rsid w:val="00D62970"/>
    <w:rsid w:val="00D6299D"/>
    <w:rsid w:val="00D7028E"/>
    <w:rsid w:val="00D70C7D"/>
    <w:rsid w:val="00D71A24"/>
    <w:rsid w:val="00D726D2"/>
    <w:rsid w:val="00D72B46"/>
    <w:rsid w:val="00D76362"/>
    <w:rsid w:val="00D84A82"/>
    <w:rsid w:val="00D86D7B"/>
    <w:rsid w:val="00D873C2"/>
    <w:rsid w:val="00D93416"/>
    <w:rsid w:val="00D94440"/>
    <w:rsid w:val="00DA4A2B"/>
    <w:rsid w:val="00DA5000"/>
    <w:rsid w:val="00DA64EB"/>
    <w:rsid w:val="00DA657F"/>
    <w:rsid w:val="00DB0BB8"/>
    <w:rsid w:val="00DB14E2"/>
    <w:rsid w:val="00DB1BA9"/>
    <w:rsid w:val="00DB1F6C"/>
    <w:rsid w:val="00DB2147"/>
    <w:rsid w:val="00DB2FC1"/>
    <w:rsid w:val="00DB4C15"/>
    <w:rsid w:val="00DC2053"/>
    <w:rsid w:val="00DC56EF"/>
    <w:rsid w:val="00DD0ED9"/>
    <w:rsid w:val="00DD1FAF"/>
    <w:rsid w:val="00DD26BA"/>
    <w:rsid w:val="00DD3315"/>
    <w:rsid w:val="00DE101F"/>
    <w:rsid w:val="00DE1391"/>
    <w:rsid w:val="00DE1667"/>
    <w:rsid w:val="00DE341C"/>
    <w:rsid w:val="00DE5363"/>
    <w:rsid w:val="00DE7A9B"/>
    <w:rsid w:val="00DE7F7B"/>
    <w:rsid w:val="00DF13D8"/>
    <w:rsid w:val="00DF247F"/>
    <w:rsid w:val="00DF2A11"/>
    <w:rsid w:val="00DF2ABF"/>
    <w:rsid w:val="00DF3534"/>
    <w:rsid w:val="00DF3E84"/>
    <w:rsid w:val="00DF6BD1"/>
    <w:rsid w:val="00E02F46"/>
    <w:rsid w:val="00E03A92"/>
    <w:rsid w:val="00E046CD"/>
    <w:rsid w:val="00E04BFA"/>
    <w:rsid w:val="00E04F38"/>
    <w:rsid w:val="00E07F69"/>
    <w:rsid w:val="00E102D8"/>
    <w:rsid w:val="00E126B2"/>
    <w:rsid w:val="00E13A5E"/>
    <w:rsid w:val="00E1420E"/>
    <w:rsid w:val="00E15A27"/>
    <w:rsid w:val="00E16CDA"/>
    <w:rsid w:val="00E20774"/>
    <w:rsid w:val="00E20986"/>
    <w:rsid w:val="00E20EC7"/>
    <w:rsid w:val="00E24917"/>
    <w:rsid w:val="00E272F1"/>
    <w:rsid w:val="00E27AD5"/>
    <w:rsid w:val="00E32695"/>
    <w:rsid w:val="00E32BA7"/>
    <w:rsid w:val="00E32E99"/>
    <w:rsid w:val="00E334D6"/>
    <w:rsid w:val="00E35198"/>
    <w:rsid w:val="00E3737F"/>
    <w:rsid w:val="00E4080B"/>
    <w:rsid w:val="00E47B6A"/>
    <w:rsid w:val="00E54068"/>
    <w:rsid w:val="00E55679"/>
    <w:rsid w:val="00E56677"/>
    <w:rsid w:val="00E624A8"/>
    <w:rsid w:val="00E661A6"/>
    <w:rsid w:val="00E737DF"/>
    <w:rsid w:val="00E73E49"/>
    <w:rsid w:val="00E76F03"/>
    <w:rsid w:val="00E771EB"/>
    <w:rsid w:val="00E77B58"/>
    <w:rsid w:val="00E83DFA"/>
    <w:rsid w:val="00E8425C"/>
    <w:rsid w:val="00E846DE"/>
    <w:rsid w:val="00E84E81"/>
    <w:rsid w:val="00E91840"/>
    <w:rsid w:val="00E92FD5"/>
    <w:rsid w:val="00E956CE"/>
    <w:rsid w:val="00EA07AF"/>
    <w:rsid w:val="00EA1C41"/>
    <w:rsid w:val="00EA3035"/>
    <w:rsid w:val="00EA4F9C"/>
    <w:rsid w:val="00EA5EFE"/>
    <w:rsid w:val="00EA6525"/>
    <w:rsid w:val="00EA66EC"/>
    <w:rsid w:val="00EA6819"/>
    <w:rsid w:val="00EB07E8"/>
    <w:rsid w:val="00EB1C09"/>
    <w:rsid w:val="00EB6F3E"/>
    <w:rsid w:val="00EC4940"/>
    <w:rsid w:val="00EC539A"/>
    <w:rsid w:val="00ED16CD"/>
    <w:rsid w:val="00ED4DE6"/>
    <w:rsid w:val="00ED55F9"/>
    <w:rsid w:val="00ED577D"/>
    <w:rsid w:val="00ED68DD"/>
    <w:rsid w:val="00ED70D3"/>
    <w:rsid w:val="00ED7DF5"/>
    <w:rsid w:val="00EE08C5"/>
    <w:rsid w:val="00EE0D72"/>
    <w:rsid w:val="00EE1D5A"/>
    <w:rsid w:val="00EE2BBB"/>
    <w:rsid w:val="00EE3A71"/>
    <w:rsid w:val="00EE545B"/>
    <w:rsid w:val="00EE5B3F"/>
    <w:rsid w:val="00EE683F"/>
    <w:rsid w:val="00EE6FE0"/>
    <w:rsid w:val="00EE729D"/>
    <w:rsid w:val="00EF1349"/>
    <w:rsid w:val="00EF3597"/>
    <w:rsid w:val="00EF40AA"/>
    <w:rsid w:val="00EF5865"/>
    <w:rsid w:val="00EF7531"/>
    <w:rsid w:val="00F0375E"/>
    <w:rsid w:val="00F0423D"/>
    <w:rsid w:val="00F067B0"/>
    <w:rsid w:val="00F06E57"/>
    <w:rsid w:val="00F077CA"/>
    <w:rsid w:val="00F07E09"/>
    <w:rsid w:val="00F1190C"/>
    <w:rsid w:val="00F148CB"/>
    <w:rsid w:val="00F1713D"/>
    <w:rsid w:val="00F17193"/>
    <w:rsid w:val="00F227F1"/>
    <w:rsid w:val="00F40EF7"/>
    <w:rsid w:val="00F417F8"/>
    <w:rsid w:val="00F41C51"/>
    <w:rsid w:val="00F4282C"/>
    <w:rsid w:val="00F43FAD"/>
    <w:rsid w:val="00F455C9"/>
    <w:rsid w:val="00F46BDA"/>
    <w:rsid w:val="00F504E2"/>
    <w:rsid w:val="00F512AE"/>
    <w:rsid w:val="00F514CB"/>
    <w:rsid w:val="00F51BD6"/>
    <w:rsid w:val="00F53D7C"/>
    <w:rsid w:val="00F54EA0"/>
    <w:rsid w:val="00F616C5"/>
    <w:rsid w:val="00F61BC0"/>
    <w:rsid w:val="00F6449C"/>
    <w:rsid w:val="00F65A42"/>
    <w:rsid w:val="00F711CB"/>
    <w:rsid w:val="00F71B37"/>
    <w:rsid w:val="00F731CE"/>
    <w:rsid w:val="00F73D7F"/>
    <w:rsid w:val="00F776D7"/>
    <w:rsid w:val="00F808C7"/>
    <w:rsid w:val="00F81426"/>
    <w:rsid w:val="00F81FDE"/>
    <w:rsid w:val="00F8264C"/>
    <w:rsid w:val="00F826F8"/>
    <w:rsid w:val="00F84B6C"/>
    <w:rsid w:val="00F858F0"/>
    <w:rsid w:val="00F921BC"/>
    <w:rsid w:val="00F93136"/>
    <w:rsid w:val="00F96505"/>
    <w:rsid w:val="00F97921"/>
    <w:rsid w:val="00FA02AD"/>
    <w:rsid w:val="00FA0A91"/>
    <w:rsid w:val="00FA2350"/>
    <w:rsid w:val="00FB1FC4"/>
    <w:rsid w:val="00FB2AEE"/>
    <w:rsid w:val="00FB31DD"/>
    <w:rsid w:val="00FB4132"/>
    <w:rsid w:val="00FB6A21"/>
    <w:rsid w:val="00FB6D2C"/>
    <w:rsid w:val="00FB7088"/>
    <w:rsid w:val="00FC27E9"/>
    <w:rsid w:val="00FC2E39"/>
    <w:rsid w:val="00FC451D"/>
    <w:rsid w:val="00FC51D5"/>
    <w:rsid w:val="00FC5AE2"/>
    <w:rsid w:val="00FD2104"/>
    <w:rsid w:val="00FD2C74"/>
    <w:rsid w:val="00FD4118"/>
    <w:rsid w:val="00FD5283"/>
    <w:rsid w:val="00FD59E0"/>
    <w:rsid w:val="00FD7973"/>
    <w:rsid w:val="00FE2AFC"/>
    <w:rsid w:val="00FE2F9D"/>
    <w:rsid w:val="00FE7EA2"/>
    <w:rsid w:val="00FF1122"/>
    <w:rsid w:val="00FF24CB"/>
    <w:rsid w:val="00FF359B"/>
    <w:rsid w:val="00FF5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7B5098"/>
    <w:rPr>
      <w:color w:val="0563C1" w:themeColor="hyperlink"/>
      <w:u w:val="single"/>
    </w:rPr>
  </w:style>
  <w:style w:type="character" w:styleId="UnresolvedMention">
    <w:name w:val="Unresolved Mention"/>
    <w:basedOn w:val="DefaultParagraphFont"/>
    <w:uiPriority w:val="99"/>
    <w:semiHidden/>
    <w:unhideWhenUsed/>
    <w:rsid w:val="007B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426.A420377013.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1284-4E48-4771-8D83-87F1A30A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19258</Words>
  <Characters>10978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2019-05-20T10:24:00Z</dcterms:created>
  <dcterms:modified xsi:type="dcterms:W3CDTF">2019-05-20T11:14:00Z</dcterms:modified>
</cp:coreProperties>
</file>