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D1D87" w14:textId="77777777" w:rsidR="00B45C3A" w:rsidRPr="00B45C3A" w:rsidRDefault="00B45C3A" w:rsidP="00B45C3A">
      <w:pPr>
        <w:shd w:val="clear" w:color="auto" w:fill="FFFFFF"/>
        <w:jc w:val="both"/>
        <w:rPr>
          <w:b/>
          <w:bCs/>
          <w:sz w:val="24"/>
          <w:szCs w:val="24"/>
        </w:rPr>
      </w:pPr>
      <w:bookmarkStart w:id="0" w:name="_GoBack"/>
      <w:bookmarkEnd w:id="0"/>
      <w:r w:rsidRPr="00B45C3A">
        <w:rPr>
          <w:b/>
          <w:bCs/>
          <w:sz w:val="24"/>
          <w:szCs w:val="24"/>
        </w:rPr>
        <w:t>Cietušais Krimināllikuma 130.panta otrajā daļā paredzētajā noziedzīgajā nodarījumā</w:t>
      </w:r>
    </w:p>
    <w:p w14:paraId="59F2C059" w14:textId="77777777" w:rsidR="00B45C3A" w:rsidRDefault="00B45C3A" w:rsidP="00B45C3A">
      <w:pPr>
        <w:shd w:val="clear" w:color="auto" w:fill="FFFFFF"/>
        <w:jc w:val="both"/>
        <w:rPr>
          <w:sz w:val="24"/>
          <w:szCs w:val="24"/>
        </w:rPr>
      </w:pPr>
    </w:p>
    <w:p w14:paraId="50C9FD5C" w14:textId="77777777" w:rsidR="00B45C3A" w:rsidRDefault="00B45C3A" w:rsidP="00AE620F">
      <w:pPr>
        <w:shd w:val="clear" w:color="auto" w:fill="FFFFFF"/>
        <w:spacing w:line="276" w:lineRule="auto"/>
        <w:jc w:val="both"/>
        <w:rPr>
          <w:sz w:val="24"/>
          <w:szCs w:val="24"/>
        </w:rPr>
      </w:pPr>
      <w:r>
        <w:rPr>
          <w:sz w:val="24"/>
          <w:szCs w:val="24"/>
        </w:rPr>
        <w:t>Nav pamata izbeigt uzsāktu kriminālprocesu saskaņā ar Kriminālprocesa likuma 377.panta 8.punktu, ja konstatēts, ka kriminālprocesa uzsākšanas brīdī nav bijis zināms cietušajam nodarītais miesas bojājumu smagums, kriminālprocess uzsākts par Krimināllikuma 13.nodaļā paredzētiem noziedzīgiem nodarījumiem, persona atzīta par cietušo, kā arī tā nav paudusi vēlmi, lai apsūdzēto nesauktu pie kriminālatbildības par nodarītajiem miesas bojājumiem.</w:t>
      </w:r>
    </w:p>
    <w:p w14:paraId="700982E4" w14:textId="77777777" w:rsidR="00B45C3A" w:rsidRDefault="00B45C3A" w:rsidP="00B45C3A">
      <w:pPr>
        <w:shd w:val="clear" w:color="auto" w:fill="FFFFFF"/>
        <w:jc w:val="both"/>
        <w:rPr>
          <w:rFonts w:eastAsia="Times New Roman"/>
          <w:b/>
          <w:bCs/>
          <w:sz w:val="24"/>
          <w:szCs w:val="24"/>
        </w:rPr>
      </w:pPr>
    </w:p>
    <w:p w14:paraId="37EF682E" w14:textId="77777777" w:rsidR="00B45C3A" w:rsidRDefault="00B45C3A" w:rsidP="00B45C3A">
      <w:pPr>
        <w:shd w:val="clear" w:color="auto" w:fill="FFFFFF"/>
        <w:jc w:val="center"/>
        <w:rPr>
          <w:rFonts w:eastAsia="Times New Roman"/>
          <w:b/>
          <w:bCs/>
          <w:sz w:val="24"/>
          <w:szCs w:val="24"/>
        </w:rPr>
      </w:pPr>
    </w:p>
    <w:p w14:paraId="767C7038" w14:textId="77777777" w:rsidR="00B45C3A" w:rsidRDefault="00B45C3A" w:rsidP="00F40358">
      <w:pPr>
        <w:shd w:val="clear" w:color="auto" w:fill="FFFFFF"/>
        <w:spacing w:line="276" w:lineRule="auto"/>
        <w:jc w:val="center"/>
        <w:rPr>
          <w:rFonts w:eastAsia="Times New Roman"/>
          <w:b/>
          <w:bCs/>
          <w:sz w:val="24"/>
          <w:szCs w:val="24"/>
        </w:rPr>
      </w:pPr>
      <w:r>
        <w:rPr>
          <w:rFonts w:eastAsia="Times New Roman"/>
          <w:b/>
          <w:bCs/>
          <w:sz w:val="24"/>
          <w:szCs w:val="24"/>
        </w:rPr>
        <w:t>Latvijas Republikas Senāta</w:t>
      </w:r>
    </w:p>
    <w:p w14:paraId="1EEA0770" w14:textId="77777777" w:rsidR="00B45C3A" w:rsidRDefault="00B45C3A" w:rsidP="00F40358">
      <w:pPr>
        <w:shd w:val="clear" w:color="auto" w:fill="FFFFFF"/>
        <w:spacing w:line="276" w:lineRule="auto"/>
        <w:jc w:val="center"/>
        <w:rPr>
          <w:rFonts w:eastAsia="Times New Roman"/>
          <w:b/>
          <w:bCs/>
          <w:sz w:val="24"/>
          <w:szCs w:val="24"/>
        </w:rPr>
      </w:pPr>
      <w:r>
        <w:rPr>
          <w:rFonts w:eastAsia="Times New Roman"/>
          <w:b/>
          <w:bCs/>
          <w:sz w:val="24"/>
          <w:szCs w:val="24"/>
        </w:rPr>
        <w:t>Krimināllietu departamenta</w:t>
      </w:r>
    </w:p>
    <w:p w14:paraId="132C072B" w14:textId="77777777" w:rsidR="00B45C3A" w:rsidRPr="00B45C3A" w:rsidRDefault="00543EF1" w:rsidP="00F40358">
      <w:pPr>
        <w:shd w:val="clear" w:color="auto" w:fill="FFFFFF"/>
        <w:spacing w:line="276" w:lineRule="auto"/>
        <w:jc w:val="center"/>
        <w:rPr>
          <w:rFonts w:eastAsia="Times New Roman"/>
          <w:b/>
          <w:bCs/>
          <w:sz w:val="24"/>
          <w:szCs w:val="24"/>
        </w:rPr>
      </w:pPr>
      <w:r w:rsidRPr="00B45C3A">
        <w:rPr>
          <w:rFonts w:eastAsia="Times New Roman"/>
          <w:b/>
          <w:bCs/>
          <w:sz w:val="24"/>
          <w:szCs w:val="24"/>
        </w:rPr>
        <w:t>2019.gada 16.maij</w:t>
      </w:r>
      <w:r w:rsidR="00B45C3A" w:rsidRPr="00B45C3A">
        <w:rPr>
          <w:rFonts w:eastAsia="Times New Roman"/>
          <w:b/>
          <w:bCs/>
          <w:sz w:val="24"/>
          <w:szCs w:val="24"/>
        </w:rPr>
        <w:t>a</w:t>
      </w:r>
    </w:p>
    <w:p w14:paraId="1B1BA7EF" w14:textId="77777777" w:rsidR="00B45C3A" w:rsidRPr="00B45C3A" w:rsidRDefault="00B45C3A" w:rsidP="00F40358">
      <w:pPr>
        <w:shd w:val="clear" w:color="auto" w:fill="FFFFFF"/>
        <w:spacing w:line="276" w:lineRule="auto"/>
        <w:jc w:val="center"/>
        <w:rPr>
          <w:b/>
          <w:bCs/>
          <w:spacing w:val="-2"/>
          <w:sz w:val="24"/>
          <w:szCs w:val="24"/>
        </w:rPr>
      </w:pPr>
      <w:r w:rsidRPr="00B45C3A">
        <w:rPr>
          <w:rFonts w:eastAsia="Times New Roman"/>
          <w:b/>
          <w:bCs/>
          <w:sz w:val="24"/>
          <w:szCs w:val="24"/>
        </w:rPr>
        <w:t>LĒMUMS</w:t>
      </w:r>
    </w:p>
    <w:p w14:paraId="0F062EDB" w14:textId="77777777" w:rsidR="00B45C3A" w:rsidRPr="00B45C3A" w:rsidRDefault="00B45C3A" w:rsidP="00F40358">
      <w:pPr>
        <w:shd w:val="clear" w:color="auto" w:fill="FFFFFF"/>
        <w:spacing w:line="276" w:lineRule="auto"/>
        <w:jc w:val="center"/>
        <w:rPr>
          <w:b/>
          <w:bCs/>
        </w:rPr>
      </w:pPr>
      <w:r w:rsidRPr="00B45C3A">
        <w:rPr>
          <w:b/>
          <w:bCs/>
          <w:spacing w:val="-2"/>
          <w:sz w:val="24"/>
          <w:szCs w:val="24"/>
        </w:rPr>
        <w:t>Lieta Nr. 11100018516, SKK-104/2019</w:t>
      </w:r>
    </w:p>
    <w:p w14:paraId="7B402F6B" w14:textId="77777777" w:rsidR="00FD35A4" w:rsidRPr="00B45C3A" w:rsidRDefault="00C9614E" w:rsidP="00F40358">
      <w:pPr>
        <w:shd w:val="clear" w:color="auto" w:fill="FFFFFF"/>
        <w:spacing w:line="276" w:lineRule="auto"/>
        <w:jc w:val="center"/>
        <w:rPr>
          <w:spacing w:val="-2"/>
          <w:sz w:val="24"/>
          <w:szCs w:val="24"/>
        </w:rPr>
      </w:pPr>
      <w:hyperlink r:id="rId6" w:history="1">
        <w:r w:rsidR="00B45C3A" w:rsidRPr="00B45C3A">
          <w:rPr>
            <w:rStyle w:val="Hyperlink"/>
            <w:spacing w:val="-2"/>
            <w:sz w:val="24"/>
            <w:szCs w:val="24"/>
          </w:rPr>
          <w:t>ECLI:LV:AT:2019:0516.11100018516.3.L</w:t>
        </w:r>
      </w:hyperlink>
    </w:p>
    <w:p w14:paraId="68680DFC" w14:textId="77777777" w:rsidR="00B45C3A" w:rsidRDefault="00B45C3A">
      <w:pPr>
        <w:shd w:val="clear" w:color="auto" w:fill="FFFFFF"/>
        <w:spacing w:line="322" w:lineRule="exact"/>
        <w:jc w:val="center"/>
      </w:pPr>
    </w:p>
    <w:p w14:paraId="7AED6EF6" w14:textId="77777777" w:rsidR="00FD35A4" w:rsidRDefault="00543EF1" w:rsidP="00AE620F">
      <w:pPr>
        <w:shd w:val="clear" w:color="auto" w:fill="FFFFFF"/>
        <w:spacing w:before="336" w:line="276" w:lineRule="auto"/>
        <w:ind w:left="710"/>
      </w:pPr>
      <w:r>
        <w:rPr>
          <w:sz w:val="24"/>
          <w:szCs w:val="24"/>
        </w:rPr>
        <w:t xml:space="preserve">Tiesa </w:t>
      </w:r>
      <w:r>
        <w:rPr>
          <w:rFonts w:eastAsia="Times New Roman"/>
          <w:sz w:val="24"/>
          <w:szCs w:val="24"/>
        </w:rPr>
        <w:t xml:space="preserve">šādā sastāvā: senatori Pēteris </w:t>
      </w:r>
      <w:proofErr w:type="spellStart"/>
      <w:r>
        <w:rPr>
          <w:rFonts w:eastAsia="Times New Roman"/>
          <w:sz w:val="24"/>
          <w:szCs w:val="24"/>
        </w:rPr>
        <w:t>Dzalbe</w:t>
      </w:r>
      <w:proofErr w:type="spellEnd"/>
      <w:r>
        <w:rPr>
          <w:rFonts w:eastAsia="Times New Roman"/>
          <w:sz w:val="24"/>
          <w:szCs w:val="24"/>
        </w:rPr>
        <w:t>, Artūrs Freibergs, Anita Poļakova</w:t>
      </w:r>
    </w:p>
    <w:p w14:paraId="01C6BB39" w14:textId="77777777" w:rsidR="00FD35A4" w:rsidRDefault="00543EF1" w:rsidP="00AE620F">
      <w:pPr>
        <w:shd w:val="clear" w:color="auto" w:fill="FFFFFF"/>
        <w:spacing w:before="317" w:line="276" w:lineRule="auto"/>
        <w:ind w:left="5"/>
      </w:pPr>
      <w:r>
        <w:rPr>
          <w:sz w:val="24"/>
          <w:szCs w:val="24"/>
        </w:rPr>
        <w:t>izskat</w:t>
      </w:r>
      <w:r>
        <w:rPr>
          <w:rFonts w:eastAsia="Times New Roman"/>
          <w:sz w:val="24"/>
          <w:szCs w:val="24"/>
        </w:rPr>
        <w:t xml:space="preserve">īja rakstveida procesā krimināllietu sakarā ar apsūdzētā </w:t>
      </w:r>
      <w:r w:rsidR="00B45C3A">
        <w:rPr>
          <w:rFonts w:eastAsia="Times New Roman"/>
          <w:sz w:val="24"/>
          <w:szCs w:val="24"/>
        </w:rPr>
        <w:t>[pers. A]</w:t>
      </w:r>
      <w:r>
        <w:rPr>
          <w:rFonts w:eastAsia="Times New Roman"/>
          <w:sz w:val="24"/>
          <w:szCs w:val="24"/>
        </w:rPr>
        <w:t xml:space="preserve"> aizstāvja Guntara Sīmaņa kasācijas sūdzību par Vidzemes apgabaltiesas 2018.gada 11.oktobra lēmumu.</w:t>
      </w:r>
    </w:p>
    <w:p w14:paraId="400923E4" w14:textId="77777777" w:rsidR="00FD35A4" w:rsidRDefault="00543EF1" w:rsidP="00AE620F">
      <w:pPr>
        <w:shd w:val="clear" w:color="auto" w:fill="FFFFFF"/>
        <w:spacing w:before="283" w:line="276" w:lineRule="auto"/>
        <w:ind w:left="5"/>
        <w:jc w:val="center"/>
      </w:pPr>
      <w:r>
        <w:rPr>
          <w:b/>
          <w:bCs/>
          <w:sz w:val="24"/>
          <w:szCs w:val="24"/>
        </w:rPr>
        <w:t>Apraksto</w:t>
      </w:r>
      <w:r>
        <w:rPr>
          <w:rFonts w:eastAsia="Times New Roman"/>
          <w:b/>
          <w:bCs/>
          <w:sz w:val="24"/>
          <w:szCs w:val="24"/>
        </w:rPr>
        <w:t>šā daļa</w:t>
      </w:r>
    </w:p>
    <w:p w14:paraId="39B2C5C9" w14:textId="77777777" w:rsidR="00FD35A4" w:rsidRDefault="00543EF1" w:rsidP="00AE620F">
      <w:pPr>
        <w:shd w:val="clear" w:color="auto" w:fill="FFFFFF"/>
        <w:spacing w:before="235" w:line="276" w:lineRule="auto"/>
        <w:ind w:left="710" w:right="2880"/>
      </w:pPr>
      <w:r>
        <w:rPr>
          <w:spacing w:val="-1"/>
          <w:sz w:val="24"/>
          <w:szCs w:val="24"/>
        </w:rPr>
        <w:t>[1] Ar Vidzemes rajona tiesas 2018.gada 5.j</w:t>
      </w:r>
      <w:r>
        <w:rPr>
          <w:rFonts w:eastAsia="Times New Roman"/>
          <w:spacing w:val="-1"/>
          <w:sz w:val="24"/>
          <w:szCs w:val="24"/>
        </w:rPr>
        <w:t xml:space="preserve">ūnija spriedumu </w:t>
      </w:r>
      <w:r w:rsidR="00B45C3A">
        <w:rPr>
          <w:rFonts w:eastAsia="Times New Roman"/>
          <w:sz w:val="24"/>
          <w:szCs w:val="24"/>
        </w:rPr>
        <w:t>[pers. A]</w:t>
      </w:r>
      <w:r>
        <w:rPr>
          <w:rFonts w:eastAsia="Times New Roman"/>
          <w:sz w:val="24"/>
          <w:szCs w:val="24"/>
        </w:rPr>
        <w:t xml:space="preserve">, personas kods </w:t>
      </w:r>
      <w:r w:rsidR="00B45C3A">
        <w:rPr>
          <w:rFonts w:eastAsia="Times New Roman"/>
          <w:sz w:val="24"/>
          <w:szCs w:val="24"/>
        </w:rPr>
        <w:t>[..]</w:t>
      </w:r>
      <w:r>
        <w:rPr>
          <w:rFonts w:eastAsia="Times New Roman"/>
          <w:sz w:val="24"/>
          <w:szCs w:val="24"/>
        </w:rPr>
        <w:t>,</w:t>
      </w:r>
    </w:p>
    <w:p w14:paraId="1A5A8657" w14:textId="77777777" w:rsidR="00FD35A4" w:rsidRDefault="00543EF1" w:rsidP="00AE620F">
      <w:pPr>
        <w:shd w:val="clear" w:color="auto" w:fill="FFFFFF"/>
        <w:spacing w:line="276" w:lineRule="auto"/>
        <w:ind w:right="5" w:firstLine="710"/>
        <w:jc w:val="both"/>
      </w:pPr>
      <w:r>
        <w:rPr>
          <w:spacing w:val="-1"/>
          <w:sz w:val="24"/>
          <w:szCs w:val="24"/>
        </w:rPr>
        <w:t>atz</w:t>
      </w:r>
      <w:r>
        <w:rPr>
          <w:rFonts w:eastAsia="Times New Roman"/>
          <w:spacing w:val="-1"/>
          <w:sz w:val="24"/>
          <w:szCs w:val="24"/>
        </w:rPr>
        <w:t xml:space="preserve">īts par vainīgu Krimināllikuma 130.panta otrajā daļā paredzētajā noziedzīgajā nodarījumā </w:t>
      </w:r>
      <w:r>
        <w:rPr>
          <w:rFonts w:eastAsia="Times New Roman"/>
          <w:sz w:val="24"/>
          <w:szCs w:val="24"/>
        </w:rPr>
        <w:t>un sodīts ar piespiedu darbu uz 80 stundām.</w:t>
      </w:r>
    </w:p>
    <w:p w14:paraId="1DE074AD" w14:textId="77777777" w:rsidR="00FD35A4" w:rsidRDefault="00543EF1" w:rsidP="00AE620F">
      <w:pPr>
        <w:shd w:val="clear" w:color="auto" w:fill="FFFFFF"/>
        <w:spacing w:before="317" w:line="276" w:lineRule="auto"/>
        <w:ind w:right="5" w:firstLine="710"/>
        <w:jc w:val="both"/>
      </w:pPr>
      <w:r>
        <w:rPr>
          <w:sz w:val="24"/>
          <w:szCs w:val="24"/>
        </w:rPr>
        <w:t>[2] Ar pirm</w:t>
      </w:r>
      <w:r>
        <w:rPr>
          <w:rFonts w:eastAsia="Times New Roman"/>
          <w:sz w:val="24"/>
          <w:szCs w:val="24"/>
        </w:rPr>
        <w:t xml:space="preserve">ās instances tiesas spriedumu </w:t>
      </w:r>
      <w:r w:rsidR="00B45C3A">
        <w:rPr>
          <w:rFonts w:eastAsia="Times New Roman"/>
          <w:sz w:val="24"/>
          <w:szCs w:val="24"/>
        </w:rPr>
        <w:t>[pers. A]</w:t>
      </w:r>
      <w:r>
        <w:rPr>
          <w:rFonts w:eastAsia="Times New Roman"/>
          <w:sz w:val="24"/>
          <w:szCs w:val="24"/>
        </w:rPr>
        <w:t xml:space="preserve"> atzīts par vainīgu un sodīts par viegla miesas bojājuma tīšu nodarīšanu cietušajam </w:t>
      </w:r>
      <w:r w:rsidR="00B45C3A">
        <w:rPr>
          <w:rFonts w:eastAsia="Times New Roman"/>
          <w:sz w:val="24"/>
          <w:szCs w:val="24"/>
        </w:rPr>
        <w:t>[pers. B]</w:t>
      </w:r>
      <w:r>
        <w:rPr>
          <w:rFonts w:eastAsia="Times New Roman"/>
          <w:sz w:val="24"/>
          <w:szCs w:val="24"/>
        </w:rPr>
        <w:t xml:space="preserve"> (uzvārds mainīts uz </w:t>
      </w:r>
      <w:r w:rsidR="00B45C3A">
        <w:rPr>
          <w:rFonts w:eastAsia="Times New Roman"/>
          <w:sz w:val="24"/>
          <w:szCs w:val="24"/>
        </w:rPr>
        <w:t>[Uzvārds]</w:t>
      </w:r>
      <w:r>
        <w:rPr>
          <w:rFonts w:eastAsia="Times New Roman"/>
          <w:sz w:val="24"/>
          <w:szCs w:val="24"/>
        </w:rPr>
        <w:t>).</w:t>
      </w:r>
    </w:p>
    <w:p w14:paraId="46E8C5BF" w14:textId="77777777" w:rsidR="00FD35A4" w:rsidRDefault="00B45C3A" w:rsidP="00AE620F">
      <w:pPr>
        <w:shd w:val="clear" w:color="auto" w:fill="FFFFFF"/>
        <w:spacing w:before="10" w:line="276" w:lineRule="auto"/>
        <w:ind w:left="710"/>
      </w:pPr>
      <w:r>
        <w:rPr>
          <w:sz w:val="24"/>
          <w:szCs w:val="24"/>
        </w:rPr>
        <w:t>[Pers. A]</w:t>
      </w:r>
      <w:r w:rsidR="00543EF1">
        <w:rPr>
          <w:rFonts w:eastAsia="Times New Roman"/>
          <w:sz w:val="24"/>
          <w:szCs w:val="24"/>
        </w:rPr>
        <w:t xml:space="preserve"> darbības kvalificētas pēc Krimināllikuma 130.panta otrās daļas.</w:t>
      </w:r>
    </w:p>
    <w:p w14:paraId="6AF7135D" w14:textId="77777777" w:rsidR="00FD35A4" w:rsidRDefault="00543EF1" w:rsidP="00AE620F">
      <w:pPr>
        <w:shd w:val="clear" w:color="auto" w:fill="FFFFFF"/>
        <w:spacing w:before="322" w:line="276" w:lineRule="auto"/>
        <w:ind w:right="5" w:firstLine="710"/>
        <w:jc w:val="both"/>
      </w:pPr>
      <w:r>
        <w:rPr>
          <w:sz w:val="24"/>
          <w:szCs w:val="24"/>
        </w:rPr>
        <w:t>[3] Ar Vidzemes apgabaltiesas 2018.gada 11.oktobra l</w:t>
      </w:r>
      <w:r>
        <w:rPr>
          <w:rFonts w:eastAsia="Times New Roman"/>
          <w:sz w:val="24"/>
          <w:szCs w:val="24"/>
        </w:rPr>
        <w:t xml:space="preserve">ēmumu, izskatot krimināllietu apelācijas kārtībā sakarā ar apsūdzētā </w:t>
      </w:r>
      <w:r w:rsidR="00B45C3A">
        <w:rPr>
          <w:rFonts w:eastAsia="Times New Roman"/>
          <w:sz w:val="24"/>
          <w:szCs w:val="24"/>
        </w:rPr>
        <w:t>[pers. A]</w:t>
      </w:r>
      <w:r>
        <w:rPr>
          <w:rFonts w:eastAsia="Times New Roman"/>
          <w:sz w:val="24"/>
          <w:szCs w:val="24"/>
        </w:rPr>
        <w:t xml:space="preserve"> aizstāvja apelācijas sūdzību, Vidzemes rajona tiesas 2018.gada 5.jūnija spriedums atstāts negrozīts.</w:t>
      </w:r>
    </w:p>
    <w:p w14:paraId="23AED4F7" w14:textId="77777777" w:rsidR="00FD35A4" w:rsidRDefault="00543EF1" w:rsidP="00AE620F">
      <w:pPr>
        <w:shd w:val="clear" w:color="auto" w:fill="FFFFFF"/>
        <w:spacing w:before="317" w:line="276" w:lineRule="auto"/>
        <w:ind w:firstLine="710"/>
        <w:jc w:val="both"/>
      </w:pPr>
      <w:r>
        <w:rPr>
          <w:sz w:val="24"/>
          <w:szCs w:val="24"/>
        </w:rPr>
        <w:t>[4] Par apel</w:t>
      </w:r>
      <w:r>
        <w:rPr>
          <w:rFonts w:eastAsia="Times New Roman"/>
          <w:sz w:val="24"/>
          <w:szCs w:val="24"/>
        </w:rPr>
        <w:t xml:space="preserve">ācijas instances tiesas lēmumu kasācijas sūdzību iesniedzis apsūdzētā </w:t>
      </w:r>
      <w:r w:rsidR="00B45C3A">
        <w:rPr>
          <w:rFonts w:eastAsia="Times New Roman"/>
          <w:sz w:val="24"/>
          <w:szCs w:val="24"/>
        </w:rPr>
        <w:t>[pers. A]</w:t>
      </w:r>
      <w:r>
        <w:rPr>
          <w:rFonts w:eastAsia="Times New Roman"/>
          <w:sz w:val="24"/>
          <w:szCs w:val="24"/>
        </w:rPr>
        <w:t xml:space="preserve"> aizstāvis G. Sīmanis, kurš lūdz atcelt Vidzemes apgabaltiesas 2018.gada 11.oktobra lēmumu un nosūtīt lietu jaunai izskatīšanai Vidzemes apgabaltiesā.</w:t>
      </w:r>
    </w:p>
    <w:p w14:paraId="052CDD14" w14:textId="77777777" w:rsidR="00FD35A4" w:rsidRDefault="00543EF1" w:rsidP="00AE620F">
      <w:pPr>
        <w:shd w:val="clear" w:color="auto" w:fill="FFFFFF"/>
        <w:spacing w:line="276" w:lineRule="auto"/>
        <w:ind w:right="10" w:firstLine="710"/>
        <w:jc w:val="both"/>
      </w:pPr>
      <w:r>
        <w:rPr>
          <w:spacing w:val="-1"/>
          <w:sz w:val="24"/>
          <w:szCs w:val="24"/>
        </w:rPr>
        <w:t>Aizst</w:t>
      </w:r>
      <w:r>
        <w:rPr>
          <w:rFonts w:eastAsia="Times New Roman"/>
          <w:spacing w:val="-1"/>
          <w:sz w:val="24"/>
          <w:szCs w:val="24"/>
        </w:rPr>
        <w:t xml:space="preserve">āvis G. Sīmanis uzskata, ka apelācijas instances tiesa pieļāvusi Kriminālprocesa likuma </w:t>
      </w:r>
      <w:r>
        <w:rPr>
          <w:rFonts w:eastAsia="Times New Roman"/>
          <w:sz w:val="24"/>
          <w:szCs w:val="24"/>
        </w:rPr>
        <w:t>būtisku pārkāpumu, kas novedis pie nelikumīga nolēmuma, jo nav piemērojusi Kriminālprocesa likuma 377.panta 8.punktu.</w:t>
      </w:r>
    </w:p>
    <w:p w14:paraId="2529F779" w14:textId="77777777" w:rsidR="00FD35A4" w:rsidRDefault="00543EF1" w:rsidP="00AE620F">
      <w:pPr>
        <w:shd w:val="clear" w:color="auto" w:fill="FFFFFF"/>
        <w:spacing w:line="276" w:lineRule="auto"/>
        <w:ind w:right="5" w:firstLine="710"/>
        <w:jc w:val="both"/>
      </w:pPr>
      <w:r>
        <w:rPr>
          <w:sz w:val="24"/>
          <w:szCs w:val="24"/>
        </w:rPr>
        <w:t>Kas</w:t>
      </w:r>
      <w:r>
        <w:rPr>
          <w:rFonts w:eastAsia="Times New Roman"/>
          <w:sz w:val="24"/>
          <w:szCs w:val="24"/>
        </w:rPr>
        <w:t>ācijas sūdzībā aizstāvis norāda, ka procesa virzītājs uzsācis kriminālprocesu, pārkāpjot Kriminālprocesa likuma 7.panta otrajā daļā noteikto, proti, ka par Krimināllikuma 130.panta otrajā</w:t>
      </w:r>
    </w:p>
    <w:p w14:paraId="5607A111" w14:textId="77777777" w:rsidR="00FD35A4" w:rsidRDefault="00FD35A4" w:rsidP="00AE620F">
      <w:pPr>
        <w:shd w:val="clear" w:color="auto" w:fill="FFFFFF"/>
        <w:spacing w:line="276" w:lineRule="auto"/>
        <w:ind w:right="5" w:firstLine="710"/>
        <w:jc w:val="both"/>
        <w:sectPr w:rsidR="00FD35A4">
          <w:type w:val="continuous"/>
          <w:pgSz w:w="11909" w:h="16834"/>
          <w:pgMar w:top="1378" w:right="571" w:bottom="360" w:left="1714" w:header="720" w:footer="720" w:gutter="0"/>
          <w:cols w:space="60"/>
          <w:noEndnote/>
        </w:sectPr>
      </w:pPr>
    </w:p>
    <w:p w14:paraId="7DBAE748" w14:textId="77777777" w:rsidR="00FD35A4" w:rsidRDefault="00543EF1" w:rsidP="00AE620F">
      <w:pPr>
        <w:shd w:val="clear" w:color="auto" w:fill="FFFFFF"/>
        <w:spacing w:line="276" w:lineRule="auto"/>
        <w:jc w:val="both"/>
      </w:pPr>
      <w:r>
        <w:rPr>
          <w:sz w:val="24"/>
          <w:szCs w:val="24"/>
        </w:rPr>
        <w:lastRenderedPageBreak/>
        <w:t>da</w:t>
      </w:r>
      <w:r>
        <w:rPr>
          <w:rFonts w:eastAsia="Times New Roman"/>
          <w:sz w:val="24"/>
          <w:szCs w:val="24"/>
        </w:rPr>
        <w:t>ļā paredzēto noziedzīgo nodarījumu kriminālprocesu uzsāk, ja saņemts tās personas pieteikums, kurai nodarīts kaitējums, un Kriminālprocesa likuma 377.panta 8.punktā noteikto, ka kriminālprocesu nedrīkst uzsākt, bet uzsākts ir jāizbeidz, ja nav cietušās personas pieteikuma tādā kriminālprocesā, kuru var uzsākt tikai uz šīs personas pieteikuma pamata.</w:t>
      </w:r>
    </w:p>
    <w:p w14:paraId="0647BAC2" w14:textId="77777777" w:rsidR="00FD35A4" w:rsidRDefault="00543EF1" w:rsidP="00AE620F">
      <w:pPr>
        <w:shd w:val="clear" w:color="auto" w:fill="FFFFFF"/>
        <w:spacing w:line="276" w:lineRule="auto"/>
        <w:ind w:right="5" w:firstLine="710"/>
        <w:jc w:val="both"/>
      </w:pPr>
      <w:r>
        <w:rPr>
          <w:sz w:val="24"/>
          <w:szCs w:val="24"/>
        </w:rPr>
        <w:t>Aizst</w:t>
      </w:r>
      <w:r>
        <w:rPr>
          <w:rFonts w:eastAsia="Times New Roman"/>
          <w:sz w:val="24"/>
          <w:szCs w:val="24"/>
        </w:rPr>
        <w:t>āvja G. Sīmaņa ieskatā, apelācijas instances tiesa nepamatoti atzinusi, ka kriminālprocess šajā gadījumā uzsākts likumīgi pēc noziedzīgu nodarījumu objekta saskaņā ar Krimināllikuma 13.nodaļu.</w:t>
      </w:r>
    </w:p>
    <w:p w14:paraId="08D452DC" w14:textId="77777777" w:rsidR="00FD35A4" w:rsidRDefault="00543EF1" w:rsidP="00AE620F">
      <w:pPr>
        <w:shd w:val="clear" w:color="auto" w:fill="FFFFFF"/>
        <w:spacing w:before="326" w:line="276" w:lineRule="auto"/>
        <w:ind w:left="4546"/>
      </w:pPr>
      <w:r>
        <w:rPr>
          <w:b/>
          <w:bCs/>
          <w:sz w:val="24"/>
          <w:szCs w:val="24"/>
        </w:rPr>
        <w:t>Mot</w:t>
      </w:r>
      <w:r>
        <w:rPr>
          <w:rFonts w:eastAsia="Times New Roman"/>
          <w:b/>
          <w:bCs/>
          <w:sz w:val="24"/>
          <w:szCs w:val="24"/>
        </w:rPr>
        <w:t>īvu daļa</w:t>
      </w:r>
    </w:p>
    <w:p w14:paraId="547B861B" w14:textId="77777777" w:rsidR="00FD35A4" w:rsidRDefault="00543EF1" w:rsidP="00AE620F">
      <w:pPr>
        <w:shd w:val="clear" w:color="auto" w:fill="FFFFFF"/>
        <w:spacing w:before="326" w:line="276" w:lineRule="auto"/>
        <w:ind w:firstLine="710"/>
        <w:jc w:val="both"/>
      </w:pPr>
      <w:r>
        <w:rPr>
          <w:sz w:val="24"/>
          <w:szCs w:val="24"/>
        </w:rPr>
        <w:t>[5] Kas</w:t>
      </w:r>
      <w:r>
        <w:rPr>
          <w:rFonts w:eastAsia="Times New Roman"/>
          <w:sz w:val="24"/>
          <w:szCs w:val="24"/>
        </w:rPr>
        <w:t xml:space="preserve">ācijas instances tiesa atzīst, ka Vidzemes apgabaltiesas 2018.gada 11.oktobra lēmums atstājams negrozīts, bet apsūdzētā </w:t>
      </w:r>
      <w:r w:rsidR="00B03CBC">
        <w:rPr>
          <w:rFonts w:eastAsia="Times New Roman"/>
          <w:sz w:val="24"/>
          <w:szCs w:val="24"/>
        </w:rPr>
        <w:t>[pers. A]</w:t>
      </w:r>
      <w:r>
        <w:rPr>
          <w:rFonts w:eastAsia="Times New Roman"/>
          <w:sz w:val="24"/>
          <w:szCs w:val="24"/>
        </w:rPr>
        <w:t xml:space="preserve"> aizstāvja G. Sīmaņa kasācijas sūdzība noraidāma.</w:t>
      </w:r>
    </w:p>
    <w:p w14:paraId="21D49EE4" w14:textId="77777777" w:rsidR="00B03CBC" w:rsidRDefault="00B03CBC" w:rsidP="00AE620F">
      <w:pPr>
        <w:shd w:val="clear" w:color="auto" w:fill="FFFFFF"/>
        <w:spacing w:line="276" w:lineRule="auto"/>
        <w:ind w:right="5" w:firstLine="768"/>
        <w:jc w:val="both"/>
        <w:rPr>
          <w:sz w:val="24"/>
          <w:szCs w:val="24"/>
        </w:rPr>
      </w:pPr>
    </w:p>
    <w:p w14:paraId="74E04593" w14:textId="77777777" w:rsidR="00FD35A4" w:rsidRDefault="00543EF1" w:rsidP="00AE620F">
      <w:pPr>
        <w:shd w:val="clear" w:color="auto" w:fill="FFFFFF"/>
        <w:spacing w:line="276" w:lineRule="auto"/>
        <w:ind w:right="5" w:firstLine="768"/>
        <w:jc w:val="both"/>
      </w:pPr>
      <w:r>
        <w:rPr>
          <w:sz w:val="24"/>
          <w:szCs w:val="24"/>
        </w:rPr>
        <w:t>[6] No aizst</w:t>
      </w:r>
      <w:r>
        <w:rPr>
          <w:rFonts w:eastAsia="Times New Roman"/>
          <w:sz w:val="24"/>
          <w:szCs w:val="24"/>
        </w:rPr>
        <w:t>āvja G.Sīmaņa kasācijas sūdzības redzams, ka kasācijas sūdzībā atkārtoti aizstāvja apelācijas sūdzībā izteiktie argumenti par Kriminālprocesa likuma 377.panta 8.punkta piemērošanas nepieciešamību.</w:t>
      </w:r>
    </w:p>
    <w:p w14:paraId="5ADA13CF" w14:textId="77777777" w:rsidR="00FD35A4" w:rsidRDefault="00543EF1" w:rsidP="00AE620F">
      <w:pPr>
        <w:shd w:val="clear" w:color="auto" w:fill="FFFFFF"/>
        <w:spacing w:line="276" w:lineRule="auto"/>
        <w:ind w:right="5" w:firstLine="710"/>
        <w:jc w:val="both"/>
      </w:pPr>
      <w:r>
        <w:rPr>
          <w:sz w:val="24"/>
          <w:szCs w:val="24"/>
        </w:rPr>
        <w:t>[6.1] Kas</w:t>
      </w:r>
      <w:r>
        <w:rPr>
          <w:rFonts w:eastAsia="Times New Roman"/>
          <w:sz w:val="24"/>
          <w:szCs w:val="24"/>
        </w:rPr>
        <w:t xml:space="preserve">ācijas instances tiesa konstatē, ka apelācijas instances tiesa noraidīja aizstāvja argumentus, pamatojot savu atzinumu ar Kriminālprocesa likuma 370.pantu, 369.panta otrās daļas 3.punktu un to, ka cietušais </w:t>
      </w:r>
      <w:r w:rsidR="00B03CBC">
        <w:rPr>
          <w:rFonts w:eastAsia="Times New Roman"/>
          <w:sz w:val="24"/>
          <w:szCs w:val="24"/>
        </w:rPr>
        <w:t>[pers. B]</w:t>
      </w:r>
      <w:r>
        <w:rPr>
          <w:rFonts w:eastAsia="Times New Roman"/>
          <w:sz w:val="24"/>
          <w:szCs w:val="24"/>
        </w:rPr>
        <w:t xml:space="preserve"> ieradies policijā, lai ziņotu par piekaušanu un sauktu </w:t>
      </w:r>
      <w:r w:rsidR="00B03CBC">
        <w:rPr>
          <w:rFonts w:eastAsia="Times New Roman"/>
          <w:sz w:val="24"/>
          <w:szCs w:val="24"/>
        </w:rPr>
        <w:t>[pers. A]</w:t>
      </w:r>
      <w:r>
        <w:rPr>
          <w:rFonts w:eastAsia="Times New Roman"/>
          <w:sz w:val="24"/>
          <w:szCs w:val="24"/>
        </w:rPr>
        <w:t xml:space="preserve"> pie likumā noteiktās atbildības par nodarītajiem miesas bojājumiem, cietušais nemainīgi paudis savu gribu panākt tiesisko attiecību taisnīgu noregulēšanu kriminālprocesa ietvaros.</w:t>
      </w:r>
    </w:p>
    <w:p w14:paraId="7B36CC54" w14:textId="77777777" w:rsidR="00FD35A4" w:rsidRDefault="00543EF1" w:rsidP="00AE620F">
      <w:pPr>
        <w:shd w:val="clear" w:color="auto" w:fill="FFFFFF"/>
        <w:spacing w:line="276" w:lineRule="auto"/>
        <w:ind w:left="710"/>
      </w:pPr>
      <w:r>
        <w:rPr>
          <w:spacing w:val="-1"/>
          <w:sz w:val="24"/>
          <w:szCs w:val="24"/>
        </w:rPr>
        <w:t>Kas</w:t>
      </w:r>
      <w:r>
        <w:rPr>
          <w:rFonts w:eastAsia="Times New Roman"/>
          <w:spacing w:val="-1"/>
          <w:sz w:val="24"/>
          <w:szCs w:val="24"/>
        </w:rPr>
        <w:t>ācijas instances tiesai nav tiesiska pamata apšaubīt apelācijas instances tiesas atzinumus.</w:t>
      </w:r>
    </w:p>
    <w:p w14:paraId="0049B472" w14:textId="77777777" w:rsidR="00FD35A4" w:rsidRDefault="00543EF1" w:rsidP="00AE620F">
      <w:pPr>
        <w:shd w:val="clear" w:color="auto" w:fill="FFFFFF"/>
        <w:spacing w:line="276" w:lineRule="auto"/>
        <w:ind w:right="5" w:firstLine="710"/>
        <w:jc w:val="both"/>
      </w:pPr>
      <w:r>
        <w:rPr>
          <w:sz w:val="24"/>
          <w:szCs w:val="24"/>
        </w:rPr>
        <w:t>[6.2] Krimin</w:t>
      </w:r>
      <w:r>
        <w:rPr>
          <w:rFonts w:eastAsia="Times New Roman"/>
          <w:sz w:val="24"/>
          <w:szCs w:val="24"/>
        </w:rPr>
        <w:t>ālprocesa likuma 7.panta otrajā daļā noteikts, ka par Krimināllikuma 130.panta otrajā daļā paredzēto nodarījumu kriminālprocesu uzsāk, ja saņemts tās personas pieteikums, kurai nodarīts kaitējums.</w:t>
      </w:r>
    </w:p>
    <w:p w14:paraId="269C2BB1" w14:textId="77777777" w:rsidR="00FD35A4" w:rsidRDefault="00543EF1" w:rsidP="00AE620F">
      <w:pPr>
        <w:shd w:val="clear" w:color="auto" w:fill="FFFFFF"/>
        <w:spacing w:line="276" w:lineRule="auto"/>
        <w:ind w:right="5" w:firstLine="710"/>
        <w:jc w:val="both"/>
      </w:pPr>
      <w:r>
        <w:rPr>
          <w:sz w:val="24"/>
          <w:szCs w:val="24"/>
        </w:rPr>
        <w:t>[6.3] Krimin</w:t>
      </w:r>
      <w:r>
        <w:rPr>
          <w:rFonts w:eastAsia="Times New Roman"/>
          <w:sz w:val="24"/>
          <w:szCs w:val="24"/>
        </w:rPr>
        <w:t>ālprocesa likuma 369.pantā noteikti kriminālprocesa uzsākšanas iemesli, šā panta otrās daļas 1. un 3.punktā noteikts, ka kriminālprocesa uzsākšanas iemesli ir ziņas, kuras norāda uz iespējama noziedzīga nodarījuma izdarīšanu, ko iesniegusi noziedzīga nodarījuma rezultātā cietusī persona kā iesniegumu, vai ārstniecības personas vai iestādes iesniegušas kā ziņojumu par traumām, slimībām vai nāves gadījumiem, kuru cēlonis varētu būt noziedzīgs nodarījums.</w:t>
      </w:r>
    </w:p>
    <w:p w14:paraId="5044FA92" w14:textId="77777777" w:rsidR="00FD35A4" w:rsidRDefault="00543EF1" w:rsidP="00AE620F">
      <w:pPr>
        <w:shd w:val="clear" w:color="auto" w:fill="FFFFFF"/>
        <w:spacing w:line="276" w:lineRule="auto"/>
        <w:ind w:right="10" w:firstLine="710"/>
        <w:jc w:val="both"/>
      </w:pPr>
      <w:r>
        <w:rPr>
          <w:sz w:val="24"/>
          <w:szCs w:val="24"/>
        </w:rPr>
        <w:t>No krimin</w:t>
      </w:r>
      <w:r>
        <w:rPr>
          <w:rFonts w:eastAsia="Times New Roman"/>
          <w:sz w:val="24"/>
          <w:szCs w:val="24"/>
        </w:rPr>
        <w:t>āllietas materiāliem redzams, ka konkrētajā gadījumā ziņas, kuras norāda uz iespējama noziedzīga nodarījuma izdarīšanu, valsts policijai sniegusi ārstniecības iestāde (</w:t>
      </w:r>
      <w:r>
        <w:rPr>
          <w:rFonts w:eastAsia="Times New Roman"/>
          <w:i/>
          <w:iCs/>
          <w:sz w:val="24"/>
          <w:szCs w:val="24"/>
        </w:rPr>
        <w:t>1.sējuma 2.lapa</w:t>
      </w:r>
      <w:r>
        <w:rPr>
          <w:rFonts w:eastAsia="Times New Roman"/>
          <w:sz w:val="24"/>
          <w:szCs w:val="24"/>
        </w:rPr>
        <w:t>).</w:t>
      </w:r>
    </w:p>
    <w:p w14:paraId="014D9007" w14:textId="77777777" w:rsidR="00FD35A4" w:rsidRDefault="00543EF1" w:rsidP="00AE620F">
      <w:pPr>
        <w:shd w:val="clear" w:color="auto" w:fill="FFFFFF"/>
        <w:spacing w:line="276" w:lineRule="auto"/>
        <w:ind w:right="10" w:firstLine="710"/>
        <w:jc w:val="both"/>
      </w:pPr>
      <w:r>
        <w:rPr>
          <w:sz w:val="24"/>
          <w:szCs w:val="24"/>
        </w:rPr>
        <w:t>[6.4] Krimin</w:t>
      </w:r>
      <w:r>
        <w:rPr>
          <w:rFonts w:eastAsia="Times New Roman"/>
          <w:sz w:val="24"/>
          <w:szCs w:val="24"/>
        </w:rPr>
        <w:t xml:space="preserve">ālprocesa likuma 370.panta pirmā un otrā daļa noteic, ka pamats uzsākt kriminālprocesu ir tad, ja pastāv reāla iespēja, ka noticis noziedzīgs nodarījums, vai ja saņemtās </w:t>
      </w:r>
      <w:r>
        <w:rPr>
          <w:rFonts w:eastAsia="Times New Roman"/>
          <w:spacing w:val="-1"/>
          <w:sz w:val="24"/>
          <w:szCs w:val="24"/>
        </w:rPr>
        <w:t xml:space="preserve">ziņas satur informāciju par iespējamu notikušu noziedzīgu nodarījumu un tās ir iespējams pārbaudīt </w:t>
      </w:r>
      <w:r>
        <w:rPr>
          <w:rFonts w:eastAsia="Times New Roman"/>
          <w:sz w:val="24"/>
          <w:szCs w:val="24"/>
        </w:rPr>
        <w:t>tikai kriminālprocesa līdzekļiem un metodēm.</w:t>
      </w:r>
    </w:p>
    <w:p w14:paraId="179B1FFB" w14:textId="77777777" w:rsidR="00FD35A4" w:rsidRDefault="00543EF1" w:rsidP="00AE620F">
      <w:pPr>
        <w:shd w:val="clear" w:color="auto" w:fill="FFFFFF"/>
        <w:spacing w:line="276" w:lineRule="auto"/>
        <w:ind w:right="5" w:firstLine="710"/>
        <w:jc w:val="both"/>
      </w:pPr>
      <w:r>
        <w:rPr>
          <w:sz w:val="24"/>
          <w:szCs w:val="24"/>
        </w:rPr>
        <w:t>No krimin</w:t>
      </w:r>
      <w:r>
        <w:rPr>
          <w:rFonts w:eastAsia="Times New Roman"/>
          <w:sz w:val="24"/>
          <w:szCs w:val="24"/>
        </w:rPr>
        <w:t>āllietas materiāliem redzams, ka atbilstoši Kriminālprocesa likuma 372.panta otrajai daļai 2016.gada 6.augustā kriminālprocesā pieņemts lēmums rezolūcijas veidā par kriminālprocesa uzsākšanu.</w:t>
      </w:r>
    </w:p>
    <w:p w14:paraId="3526A5F2" w14:textId="77777777" w:rsidR="00FD35A4" w:rsidRDefault="00B03CBC" w:rsidP="00AE620F">
      <w:pPr>
        <w:shd w:val="clear" w:color="auto" w:fill="FFFFFF"/>
        <w:spacing w:line="276" w:lineRule="auto"/>
        <w:ind w:left="710"/>
      </w:pPr>
      <w:r>
        <w:rPr>
          <w:spacing w:val="-1"/>
          <w:sz w:val="24"/>
          <w:szCs w:val="24"/>
        </w:rPr>
        <w:t>[Pers. B]</w:t>
      </w:r>
      <w:r w:rsidR="00543EF1">
        <w:rPr>
          <w:spacing w:val="-1"/>
          <w:sz w:val="24"/>
          <w:szCs w:val="24"/>
        </w:rPr>
        <w:t xml:space="preserve"> 2016.gada 6.august</w:t>
      </w:r>
      <w:r w:rsidR="00543EF1">
        <w:rPr>
          <w:rFonts w:eastAsia="Times New Roman"/>
          <w:spacing w:val="-1"/>
          <w:sz w:val="24"/>
          <w:szCs w:val="24"/>
        </w:rPr>
        <w:t>ā atzīts par cietušo un nopratināts par notikuma apstākļiem.</w:t>
      </w:r>
    </w:p>
    <w:p w14:paraId="26B8F804" w14:textId="77777777" w:rsidR="00FD35A4" w:rsidRDefault="00543EF1" w:rsidP="00AE620F">
      <w:pPr>
        <w:shd w:val="clear" w:color="auto" w:fill="FFFFFF"/>
        <w:spacing w:line="276" w:lineRule="auto"/>
        <w:ind w:right="5" w:firstLine="710"/>
        <w:jc w:val="both"/>
      </w:pPr>
      <w:r>
        <w:rPr>
          <w:sz w:val="24"/>
          <w:szCs w:val="24"/>
        </w:rPr>
        <w:t>Krimin</w:t>
      </w:r>
      <w:r>
        <w:rPr>
          <w:rFonts w:eastAsia="Times New Roman"/>
          <w:sz w:val="24"/>
          <w:szCs w:val="24"/>
        </w:rPr>
        <w:t>ālprocesa uzsākšanas brīdī nav bijis zināms cietušajam nodarīto miesas bojājumu smagums, bet tikai diagnoze – deguna kaula lūzums, tāpēc kriminālprocess uzsākts par Krimināllikuma 13.nodaļā paredzētiem noziedzīgiem nodarījumiem, proti, noziedzīgiem nodarījumiem pret personas veselību.</w:t>
      </w:r>
    </w:p>
    <w:p w14:paraId="210F6B0A" w14:textId="77777777" w:rsidR="00FD35A4" w:rsidRDefault="00543EF1" w:rsidP="00AE620F">
      <w:pPr>
        <w:shd w:val="clear" w:color="auto" w:fill="FFFFFF"/>
        <w:spacing w:before="168" w:line="276" w:lineRule="auto"/>
        <w:jc w:val="center"/>
      </w:pPr>
      <w:r>
        <w:rPr>
          <w:sz w:val="24"/>
          <w:szCs w:val="24"/>
        </w:rPr>
        <w:t>2</w:t>
      </w:r>
    </w:p>
    <w:p w14:paraId="678A1597" w14:textId="77777777" w:rsidR="00FD35A4" w:rsidRDefault="00FD35A4" w:rsidP="00AE620F">
      <w:pPr>
        <w:shd w:val="clear" w:color="auto" w:fill="FFFFFF"/>
        <w:spacing w:before="168" w:line="276" w:lineRule="auto"/>
        <w:jc w:val="center"/>
        <w:sectPr w:rsidR="00FD35A4">
          <w:pgSz w:w="11909" w:h="16834"/>
          <w:pgMar w:top="831" w:right="571" w:bottom="360" w:left="1714" w:header="720" w:footer="720" w:gutter="0"/>
          <w:cols w:space="60"/>
          <w:noEndnote/>
        </w:sectPr>
      </w:pPr>
    </w:p>
    <w:p w14:paraId="376B37D5" w14:textId="77777777" w:rsidR="00FD35A4" w:rsidRDefault="00543EF1" w:rsidP="00AE620F">
      <w:pPr>
        <w:shd w:val="clear" w:color="auto" w:fill="FFFFFF"/>
        <w:spacing w:line="276" w:lineRule="auto"/>
        <w:ind w:firstLine="710"/>
        <w:jc w:val="both"/>
      </w:pPr>
      <w:r>
        <w:rPr>
          <w:sz w:val="24"/>
          <w:szCs w:val="24"/>
        </w:rPr>
        <w:lastRenderedPageBreak/>
        <w:t>Ar 2016.gada 13.septembra tiesu medic</w:t>
      </w:r>
      <w:r>
        <w:rPr>
          <w:rFonts w:eastAsia="Times New Roman"/>
          <w:sz w:val="24"/>
          <w:szCs w:val="24"/>
        </w:rPr>
        <w:t xml:space="preserve">īniskās ekspertīzes eksperta atzinumu Nr.296 cietušajam </w:t>
      </w:r>
      <w:r w:rsidR="00B03CBC">
        <w:rPr>
          <w:rFonts w:eastAsia="Times New Roman"/>
          <w:sz w:val="24"/>
          <w:szCs w:val="24"/>
        </w:rPr>
        <w:t>[pers. B]</w:t>
      </w:r>
      <w:r>
        <w:rPr>
          <w:rFonts w:eastAsia="Times New Roman"/>
          <w:sz w:val="24"/>
          <w:szCs w:val="24"/>
        </w:rPr>
        <w:t xml:space="preserve"> konstatēti viegli miesas bojājumi, kas izraisa īslaicīgu veselības traucējumu no 7 dienām līdz 21 dienai. Norādītais deva pamatu noziedzīgo nodarījumu kvalificēt pēc Krimināllikuma 130.panta otrās daļas.</w:t>
      </w:r>
    </w:p>
    <w:p w14:paraId="2749ACD0" w14:textId="77777777" w:rsidR="00FD35A4" w:rsidRDefault="00543EF1" w:rsidP="00AE620F">
      <w:pPr>
        <w:shd w:val="clear" w:color="auto" w:fill="FFFFFF"/>
        <w:spacing w:line="276" w:lineRule="auto"/>
        <w:ind w:firstLine="710"/>
        <w:jc w:val="both"/>
      </w:pPr>
      <w:r>
        <w:rPr>
          <w:spacing w:val="-1"/>
          <w:sz w:val="24"/>
          <w:szCs w:val="24"/>
        </w:rPr>
        <w:t>Nevien</w:t>
      </w:r>
      <w:r>
        <w:rPr>
          <w:rFonts w:eastAsia="Times New Roman"/>
          <w:spacing w:val="-1"/>
          <w:sz w:val="24"/>
          <w:szCs w:val="24"/>
        </w:rPr>
        <w:t xml:space="preserve">ā no lietā esošajiem dokumentiem cietušais nav izteicis domu, ka nevēlas, lai </w:t>
      </w:r>
      <w:r w:rsidR="00B03CBC">
        <w:rPr>
          <w:rFonts w:eastAsia="Times New Roman"/>
          <w:spacing w:val="-1"/>
          <w:sz w:val="24"/>
          <w:szCs w:val="24"/>
        </w:rPr>
        <w:t>[pers. A]</w:t>
      </w:r>
      <w:r>
        <w:rPr>
          <w:rFonts w:eastAsia="Times New Roman"/>
          <w:spacing w:val="-1"/>
          <w:sz w:val="24"/>
          <w:szCs w:val="24"/>
        </w:rPr>
        <w:t xml:space="preserve"> </w:t>
      </w:r>
      <w:r>
        <w:rPr>
          <w:rFonts w:eastAsia="Times New Roman"/>
          <w:sz w:val="24"/>
          <w:szCs w:val="24"/>
        </w:rPr>
        <w:t>nesauktu pie kriminālatbildības par nodarītajiem miesas bojājumiem.</w:t>
      </w:r>
    </w:p>
    <w:p w14:paraId="50777783" w14:textId="77777777" w:rsidR="00FD35A4" w:rsidRDefault="00543EF1" w:rsidP="00AE620F">
      <w:pPr>
        <w:shd w:val="clear" w:color="auto" w:fill="FFFFFF"/>
        <w:spacing w:line="276" w:lineRule="auto"/>
        <w:ind w:right="5" w:firstLine="710"/>
        <w:jc w:val="both"/>
      </w:pPr>
      <w:r>
        <w:rPr>
          <w:sz w:val="24"/>
          <w:szCs w:val="24"/>
        </w:rPr>
        <w:t>[6.5] L</w:t>
      </w:r>
      <w:r>
        <w:rPr>
          <w:rFonts w:eastAsia="Times New Roman"/>
          <w:sz w:val="24"/>
          <w:szCs w:val="24"/>
        </w:rPr>
        <w:t>īdz ar to kasācijas instances tiesa atzīst, ka konkrētajā lietā nav Kriminālprocesa likuma 377.panta 8.punktā paredzētais kriminālprocesu nepieļaujošais apstāklis.</w:t>
      </w:r>
    </w:p>
    <w:p w14:paraId="1230AF2A" w14:textId="77777777" w:rsidR="00FD35A4" w:rsidRDefault="00543EF1" w:rsidP="00AE620F">
      <w:pPr>
        <w:shd w:val="clear" w:color="auto" w:fill="FFFFFF"/>
        <w:spacing w:before="658" w:line="276" w:lineRule="auto"/>
        <w:jc w:val="center"/>
      </w:pPr>
      <w:r>
        <w:rPr>
          <w:b/>
          <w:bCs/>
          <w:sz w:val="24"/>
          <w:szCs w:val="24"/>
        </w:rPr>
        <w:t>Rezolut</w:t>
      </w:r>
      <w:r>
        <w:rPr>
          <w:rFonts w:eastAsia="Times New Roman"/>
          <w:b/>
          <w:bCs/>
          <w:sz w:val="24"/>
          <w:szCs w:val="24"/>
        </w:rPr>
        <w:t>īvā daļa</w:t>
      </w:r>
    </w:p>
    <w:p w14:paraId="70BC982D" w14:textId="77777777" w:rsidR="00FD35A4" w:rsidRDefault="00543EF1" w:rsidP="00AE620F">
      <w:pPr>
        <w:shd w:val="clear" w:color="auto" w:fill="FFFFFF"/>
        <w:spacing w:before="331" w:line="276" w:lineRule="auto"/>
        <w:ind w:left="5"/>
      </w:pPr>
      <w:r>
        <w:rPr>
          <w:spacing w:val="-1"/>
          <w:sz w:val="24"/>
          <w:szCs w:val="24"/>
        </w:rPr>
        <w:t>Pamatojoties uz Krimin</w:t>
      </w:r>
      <w:r>
        <w:rPr>
          <w:rFonts w:eastAsia="Times New Roman"/>
          <w:spacing w:val="-1"/>
          <w:sz w:val="24"/>
          <w:szCs w:val="24"/>
        </w:rPr>
        <w:t>ālprocesa likuma 585., 587.pantu, tiesa</w:t>
      </w:r>
    </w:p>
    <w:p w14:paraId="0E26DFDA" w14:textId="77777777" w:rsidR="00FD35A4" w:rsidRDefault="00543EF1" w:rsidP="00AE620F">
      <w:pPr>
        <w:shd w:val="clear" w:color="auto" w:fill="FFFFFF"/>
        <w:spacing w:before="648" w:line="276" w:lineRule="auto"/>
        <w:jc w:val="center"/>
      </w:pPr>
      <w:r>
        <w:rPr>
          <w:b/>
          <w:bCs/>
          <w:sz w:val="24"/>
          <w:szCs w:val="24"/>
        </w:rPr>
        <w:t>nol</w:t>
      </w:r>
      <w:r>
        <w:rPr>
          <w:rFonts w:eastAsia="Times New Roman"/>
          <w:b/>
          <w:bCs/>
          <w:sz w:val="24"/>
          <w:szCs w:val="24"/>
        </w:rPr>
        <w:t>ēma:</w:t>
      </w:r>
    </w:p>
    <w:p w14:paraId="04665816" w14:textId="77777777" w:rsidR="003D48CE" w:rsidRDefault="00543EF1" w:rsidP="00F553A4">
      <w:pPr>
        <w:shd w:val="clear" w:color="auto" w:fill="FFFFFF"/>
        <w:spacing w:line="276" w:lineRule="auto"/>
        <w:ind w:firstLine="720"/>
        <w:rPr>
          <w:rFonts w:eastAsia="Times New Roman"/>
          <w:sz w:val="24"/>
          <w:szCs w:val="24"/>
        </w:rPr>
      </w:pPr>
      <w:r>
        <w:rPr>
          <w:sz w:val="24"/>
          <w:szCs w:val="24"/>
        </w:rPr>
        <w:t>atst</w:t>
      </w:r>
      <w:r>
        <w:rPr>
          <w:rFonts w:eastAsia="Times New Roman"/>
          <w:sz w:val="24"/>
          <w:szCs w:val="24"/>
        </w:rPr>
        <w:t xml:space="preserve">āt negrozītu Vidzemes apgabaltiesas 2018.gada 11.oktobra lēmumu, bet apsūdzētā </w:t>
      </w:r>
      <w:r w:rsidR="00B03CBC">
        <w:rPr>
          <w:rFonts w:eastAsia="Times New Roman"/>
          <w:sz w:val="24"/>
          <w:szCs w:val="24"/>
        </w:rPr>
        <w:t>[pers. A]</w:t>
      </w:r>
      <w:r>
        <w:rPr>
          <w:rFonts w:eastAsia="Times New Roman"/>
          <w:sz w:val="24"/>
          <w:szCs w:val="24"/>
        </w:rPr>
        <w:t xml:space="preserve"> aizstāvja Guntara Sīmaņa kasācijas sūdzību noraidīt. </w:t>
      </w:r>
    </w:p>
    <w:p w14:paraId="654DE5B5" w14:textId="77777777" w:rsidR="00FD35A4" w:rsidRDefault="00543EF1" w:rsidP="00F553A4">
      <w:pPr>
        <w:shd w:val="clear" w:color="auto" w:fill="FFFFFF"/>
        <w:spacing w:line="276" w:lineRule="auto"/>
        <w:ind w:firstLine="720"/>
      </w:pPr>
      <w:r>
        <w:rPr>
          <w:rFonts w:eastAsia="Times New Roman"/>
          <w:sz w:val="24"/>
          <w:szCs w:val="24"/>
        </w:rPr>
        <w:t>Lēmums nav pārsūdzams.</w:t>
      </w:r>
    </w:p>
    <w:p w14:paraId="787246EA" w14:textId="77777777" w:rsidR="00543EF1" w:rsidRDefault="00543EF1">
      <w:pPr>
        <w:shd w:val="clear" w:color="auto" w:fill="FFFFFF"/>
        <w:spacing w:before="7776"/>
        <w:jc w:val="center"/>
      </w:pPr>
    </w:p>
    <w:sectPr w:rsidR="00543EF1">
      <w:pgSz w:w="11909" w:h="16834"/>
      <w:pgMar w:top="831" w:right="571" w:bottom="360" w:left="171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3CE6F" w14:textId="77777777" w:rsidR="00D85E36" w:rsidRDefault="00D85E36" w:rsidP="00D85E36">
      <w:r>
        <w:separator/>
      </w:r>
    </w:p>
  </w:endnote>
  <w:endnote w:type="continuationSeparator" w:id="0">
    <w:p w14:paraId="5DDE52B2" w14:textId="77777777" w:rsidR="00D85E36" w:rsidRDefault="00D85E36" w:rsidP="00D8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76A01" w14:textId="77777777" w:rsidR="00D85E36" w:rsidRDefault="00D85E36" w:rsidP="00D85E36">
      <w:r>
        <w:separator/>
      </w:r>
    </w:p>
  </w:footnote>
  <w:footnote w:type="continuationSeparator" w:id="0">
    <w:p w14:paraId="7BA53D36" w14:textId="77777777" w:rsidR="00D85E36" w:rsidRDefault="00D85E36" w:rsidP="00D85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F1"/>
    <w:rsid w:val="003D48CE"/>
    <w:rsid w:val="00543EF1"/>
    <w:rsid w:val="00AE620F"/>
    <w:rsid w:val="00B03CBC"/>
    <w:rsid w:val="00B45C3A"/>
    <w:rsid w:val="00C9614E"/>
    <w:rsid w:val="00D85E36"/>
    <w:rsid w:val="00F40358"/>
    <w:rsid w:val="00F553A4"/>
    <w:rsid w:val="00FD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66815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C3A"/>
    <w:rPr>
      <w:color w:val="0563C1" w:themeColor="hyperlink"/>
      <w:u w:val="single"/>
    </w:rPr>
  </w:style>
  <w:style w:type="character" w:styleId="UnresolvedMention">
    <w:name w:val="Unresolved Mention"/>
    <w:basedOn w:val="DefaultParagraphFont"/>
    <w:uiPriority w:val="99"/>
    <w:semiHidden/>
    <w:unhideWhenUsed/>
    <w:rsid w:val="00B45C3A"/>
    <w:rPr>
      <w:color w:val="605E5C"/>
      <w:shd w:val="clear" w:color="auto" w:fill="E1DFDD"/>
    </w:rPr>
  </w:style>
  <w:style w:type="paragraph" w:styleId="Header">
    <w:name w:val="header"/>
    <w:basedOn w:val="Normal"/>
    <w:link w:val="HeaderChar"/>
    <w:uiPriority w:val="99"/>
    <w:unhideWhenUsed/>
    <w:rsid w:val="00D85E36"/>
    <w:pPr>
      <w:tabs>
        <w:tab w:val="center" w:pos="4153"/>
        <w:tab w:val="right" w:pos="8306"/>
      </w:tabs>
    </w:pPr>
  </w:style>
  <w:style w:type="character" w:customStyle="1" w:styleId="HeaderChar">
    <w:name w:val="Header Char"/>
    <w:basedOn w:val="DefaultParagraphFont"/>
    <w:link w:val="Header"/>
    <w:uiPriority w:val="99"/>
    <w:rsid w:val="00D85E36"/>
    <w:rPr>
      <w:rFonts w:ascii="Times New Roman" w:hAnsi="Times New Roman" w:cs="Times New Roman"/>
      <w:sz w:val="20"/>
      <w:szCs w:val="20"/>
    </w:rPr>
  </w:style>
  <w:style w:type="paragraph" w:styleId="Footer">
    <w:name w:val="footer"/>
    <w:basedOn w:val="Normal"/>
    <w:link w:val="FooterChar"/>
    <w:uiPriority w:val="99"/>
    <w:unhideWhenUsed/>
    <w:rsid w:val="00D85E36"/>
    <w:pPr>
      <w:tabs>
        <w:tab w:val="center" w:pos="4153"/>
        <w:tab w:val="right" w:pos="8306"/>
      </w:tabs>
    </w:pPr>
  </w:style>
  <w:style w:type="character" w:customStyle="1" w:styleId="FooterChar">
    <w:name w:val="Footer Char"/>
    <w:basedOn w:val="DefaultParagraphFont"/>
    <w:link w:val="Footer"/>
    <w:uiPriority w:val="99"/>
    <w:rsid w:val="00D85E3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83157.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2019-06-10T12:50:00Z</dcterms:created>
  <dcterms:modified xsi:type="dcterms:W3CDTF">2019-06-10T12:50:00Z</dcterms:modified>
</cp:coreProperties>
</file>