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CB669" w14:textId="24CAE594" w:rsidR="00832CFF" w:rsidRPr="00136C9A" w:rsidRDefault="00136C9A" w:rsidP="00136C9A">
      <w:pPr>
        <w:pStyle w:val="BodyText2"/>
        <w:spacing w:line="276" w:lineRule="auto"/>
        <w:jc w:val="both"/>
        <w:outlineLvl w:val="0"/>
        <w:rPr>
          <w:rFonts w:ascii="Times New Roman" w:hAnsi="Times New Roman"/>
          <w:b/>
          <w:bCs/>
          <w:sz w:val="24"/>
          <w:szCs w:val="24"/>
        </w:rPr>
      </w:pPr>
      <w:r w:rsidRPr="00136C9A">
        <w:rPr>
          <w:rFonts w:ascii="Times New Roman" w:hAnsi="Times New Roman"/>
          <w:b/>
          <w:bCs/>
          <w:sz w:val="24"/>
          <w:szCs w:val="24"/>
        </w:rPr>
        <w:t>Krimināllietas iztiesāšana apsūdzētā prombūtnē (</w:t>
      </w:r>
      <w:proofErr w:type="spellStart"/>
      <w:r w:rsidRPr="00136C9A">
        <w:rPr>
          <w:rFonts w:ascii="Times New Roman" w:hAnsi="Times New Roman"/>
          <w:b/>
          <w:bCs/>
          <w:i/>
          <w:iCs/>
          <w:sz w:val="24"/>
          <w:szCs w:val="24"/>
        </w:rPr>
        <w:t>in</w:t>
      </w:r>
      <w:proofErr w:type="spellEnd"/>
      <w:r w:rsidRPr="00136C9A">
        <w:rPr>
          <w:rFonts w:ascii="Times New Roman" w:hAnsi="Times New Roman"/>
          <w:b/>
          <w:bCs/>
          <w:i/>
          <w:iCs/>
          <w:sz w:val="24"/>
          <w:szCs w:val="24"/>
        </w:rPr>
        <w:t xml:space="preserve"> </w:t>
      </w:r>
      <w:proofErr w:type="spellStart"/>
      <w:r w:rsidRPr="00136C9A">
        <w:rPr>
          <w:rFonts w:ascii="Times New Roman" w:hAnsi="Times New Roman"/>
          <w:b/>
          <w:bCs/>
          <w:i/>
          <w:iCs/>
          <w:sz w:val="24"/>
          <w:szCs w:val="24"/>
        </w:rPr>
        <w:t>absentia</w:t>
      </w:r>
      <w:proofErr w:type="spellEnd"/>
      <w:r w:rsidRPr="00136C9A">
        <w:rPr>
          <w:rFonts w:ascii="Times New Roman" w:hAnsi="Times New Roman"/>
          <w:b/>
          <w:bCs/>
          <w:sz w:val="24"/>
          <w:szCs w:val="24"/>
        </w:rPr>
        <w:t>)</w:t>
      </w:r>
    </w:p>
    <w:p w14:paraId="16D61744" w14:textId="33C60CF0" w:rsidR="00136C9A" w:rsidRDefault="00136C9A" w:rsidP="00136C9A">
      <w:pPr>
        <w:pStyle w:val="BodyText2"/>
        <w:spacing w:line="276" w:lineRule="auto"/>
        <w:jc w:val="both"/>
        <w:outlineLvl w:val="0"/>
        <w:rPr>
          <w:rFonts w:ascii="Times New Roman" w:hAnsi="Times New Roman"/>
          <w:sz w:val="24"/>
          <w:szCs w:val="24"/>
        </w:rPr>
      </w:pPr>
    </w:p>
    <w:p w14:paraId="34A0B7E8" w14:textId="77777777" w:rsidR="00136C9A" w:rsidRPr="009C0738" w:rsidRDefault="00136C9A" w:rsidP="00136C9A">
      <w:pPr>
        <w:jc w:val="both"/>
      </w:pPr>
      <w:r w:rsidRPr="009C0738">
        <w:t>Ja tiesai ir zināms, ka apsūdzētais atrodas ārvalstī un ir ievietots stacionārā, tai nav pamata atzīt, ka apsūdzētā atrašanās vieta nav zināma un ka lietu tādēļ var iztiesāt apsūdzētā prombūtnē (</w:t>
      </w:r>
      <w:proofErr w:type="spellStart"/>
      <w:r w:rsidRPr="009C0738">
        <w:rPr>
          <w:i/>
          <w:iCs/>
        </w:rPr>
        <w:t>in</w:t>
      </w:r>
      <w:proofErr w:type="spellEnd"/>
      <w:r w:rsidRPr="009C0738">
        <w:rPr>
          <w:i/>
          <w:iCs/>
        </w:rPr>
        <w:t xml:space="preserve"> </w:t>
      </w:r>
      <w:proofErr w:type="spellStart"/>
      <w:r w:rsidRPr="009C0738">
        <w:rPr>
          <w:i/>
          <w:iCs/>
        </w:rPr>
        <w:t>absentia</w:t>
      </w:r>
      <w:proofErr w:type="spellEnd"/>
      <w:r w:rsidRPr="009C0738">
        <w:t>).</w:t>
      </w:r>
    </w:p>
    <w:p w14:paraId="711DB09C" w14:textId="77777777" w:rsidR="00136C9A" w:rsidRDefault="00136C9A" w:rsidP="00136C9A">
      <w:pPr>
        <w:pStyle w:val="BodyText2"/>
        <w:spacing w:line="276" w:lineRule="auto"/>
        <w:jc w:val="both"/>
        <w:outlineLvl w:val="0"/>
        <w:rPr>
          <w:rFonts w:ascii="Times New Roman" w:hAnsi="Times New Roman"/>
          <w:sz w:val="24"/>
          <w:szCs w:val="24"/>
        </w:rPr>
      </w:pPr>
    </w:p>
    <w:p w14:paraId="55661AC1" w14:textId="24355CE4" w:rsidR="004F7024" w:rsidRPr="009E6006" w:rsidRDefault="00136C9A" w:rsidP="00136C9A">
      <w:pPr>
        <w:pStyle w:val="BodyText2"/>
        <w:spacing w:line="276" w:lineRule="auto"/>
        <w:jc w:val="both"/>
        <w:outlineLvl w:val="0"/>
        <w:rPr>
          <w:rFonts w:ascii="Times New Roman" w:hAnsi="Times New Roman"/>
          <w:sz w:val="24"/>
          <w:szCs w:val="24"/>
        </w:rPr>
      </w:pPr>
      <w:r w:rsidRPr="009C0738">
        <w:rPr>
          <w:rFonts w:ascii="Times New Roman" w:hAnsi="Times New Roman"/>
          <w:sz w:val="24"/>
          <w:szCs w:val="24"/>
        </w:rPr>
        <w:t>Tiesai nav pamata atzīt, ka apsūdzētais uz tiesas sēdi nav ieradies neattaisnojoša iemesla dēļ, ja tiesai iesniegtas izziņas no slimnīcas, kas apstiprina, ka apsūdzētais slimnīcā ievietots vairākkārt.</w:t>
      </w:r>
    </w:p>
    <w:p w14:paraId="491D4511" w14:textId="365473DC" w:rsidR="004F7024" w:rsidRDefault="004F7024" w:rsidP="004F7024">
      <w:pPr>
        <w:pStyle w:val="BodyText2"/>
        <w:spacing w:line="276" w:lineRule="auto"/>
        <w:jc w:val="center"/>
      </w:pPr>
    </w:p>
    <w:p w14:paraId="1B762C35" w14:textId="77777777" w:rsidR="00136C9A" w:rsidRPr="00136C9A" w:rsidRDefault="004F7024" w:rsidP="004F7024">
      <w:pPr>
        <w:spacing w:line="276" w:lineRule="auto"/>
        <w:jc w:val="center"/>
        <w:rPr>
          <w:b/>
        </w:rPr>
      </w:pPr>
      <w:r w:rsidRPr="00136C9A">
        <w:rPr>
          <w:b/>
        </w:rPr>
        <w:t>Latvijas Republikas Senāt</w:t>
      </w:r>
      <w:r w:rsidR="00136C9A" w:rsidRPr="00136C9A">
        <w:rPr>
          <w:b/>
        </w:rPr>
        <w:t>a</w:t>
      </w:r>
      <w:r w:rsidRPr="00136C9A">
        <w:rPr>
          <w:b/>
        </w:rPr>
        <w:t xml:space="preserve"> </w:t>
      </w:r>
    </w:p>
    <w:p w14:paraId="296097B0" w14:textId="77777777" w:rsidR="00136C9A" w:rsidRPr="00136C9A" w:rsidRDefault="00136C9A" w:rsidP="00136C9A">
      <w:pPr>
        <w:spacing w:line="276" w:lineRule="auto"/>
        <w:jc w:val="center"/>
        <w:outlineLvl w:val="0"/>
        <w:rPr>
          <w:b/>
        </w:rPr>
      </w:pPr>
      <w:r w:rsidRPr="00136C9A">
        <w:rPr>
          <w:b/>
        </w:rPr>
        <w:t>Krimināllietu departamenta</w:t>
      </w:r>
    </w:p>
    <w:p w14:paraId="02EF66AF" w14:textId="2105425D" w:rsidR="004F7024" w:rsidRPr="00136C9A" w:rsidRDefault="00136C9A" w:rsidP="00136C9A">
      <w:pPr>
        <w:spacing w:line="276" w:lineRule="auto"/>
        <w:jc w:val="center"/>
        <w:outlineLvl w:val="0"/>
        <w:rPr>
          <w:bCs/>
        </w:rPr>
      </w:pPr>
      <w:r w:rsidRPr="00136C9A">
        <w:rPr>
          <w:b/>
        </w:rPr>
        <w:t>2019.gada 24.maija</w:t>
      </w:r>
    </w:p>
    <w:p w14:paraId="7919E0B9" w14:textId="77777777" w:rsidR="00136C9A" w:rsidRPr="00136C9A" w:rsidRDefault="006B520A" w:rsidP="006B520A">
      <w:pPr>
        <w:spacing w:line="276" w:lineRule="auto"/>
        <w:jc w:val="center"/>
        <w:rPr>
          <w:b/>
        </w:rPr>
      </w:pPr>
      <w:r w:rsidRPr="00136C9A">
        <w:rPr>
          <w:b/>
        </w:rPr>
        <w:t>LĒMUMS</w:t>
      </w:r>
      <w:r w:rsidR="00136C9A" w:rsidRPr="00136C9A">
        <w:rPr>
          <w:b/>
        </w:rPr>
        <w:t xml:space="preserve"> </w:t>
      </w:r>
    </w:p>
    <w:p w14:paraId="35430252" w14:textId="329BE312" w:rsidR="006B520A" w:rsidRPr="00136C9A" w:rsidRDefault="00136C9A" w:rsidP="006B520A">
      <w:pPr>
        <w:spacing w:line="276" w:lineRule="auto"/>
        <w:jc w:val="center"/>
        <w:rPr>
          <w:b/>
        </w:rPr>
      </w:pPr>
      <w:r w:rsidRPr="00136C9A">
        <w:rPr>
          <w:b/>
        </w:rPr>
        <w:t>Lieta Nr. 11370042010, SKK–22/2019</w:t>
      </w:r>
    </w:p>
    <w:p w14:paraId="2162F25F" w14:textId="472628A0" w:rsidR="00136C9A" w:rsidRPr="00136C9A" w:rsidRDefault="00022463" w:rsidP="006B520A">
      <w:pPr>
        <w:spacing w:line="276" w:lineRule="auto"/>
        <w:jc w:val="center"/>
        <w:rPr>
          <w:bCs/>
        </w:rPr>
      </w:pPr>
      <w:hyperlink r:id="rId8" w:history="1">
        <w:r w:rsidR="00136C9A" w:rsidRPr="00136C9A">
          <w:rPr>
            <w:rStyle w:val="Hyperlink"/>
            <w:bCs/>
            <w:shd w:val="clear" w:color="auto" w:fill="FFFFFF"/>
          </w:rPr>
          <w:t>ECLI:LV:AT:2019:0524.11370042010.2.L</w:t>
        </w:r>
      </w:hyperlink>
    </w:p>
    <w:p w14:paraId="7325797A" w14:textId="77777777" w:rsidR="00EA5684" w:rsidRPr="00136C9A" w:rsidRDefault="00EA5684" w:rsidP="008D786F">
      <w:pPr>
        <w:spacing w:line="276" w:lineRule="auto"/>
        <w:ind w:firstLine="567"/>
        <w:jc w:val="center"/>
      </w:pPr>
    </w:p>
    <w:p w14:paraId="7FB226D1" w14:textId="316DBD47" w:rsidR="00EA5684" w:rsidRPr="00A45415" w:rsidRDefault="004F7024" w:rsidP="004F7024">
      <w:pPr>
        <w:spacing w:line="276" w:lineRule="auto"/>
        <w:ind w:firstLine="709"/>
      </w:pPr>
      <w:r>
        <w:t>Tiesa šādā sastāvā</w:t>
      </w:r>
      <w:r w:rsidRPr="007E0DE2">
        <w:t xml:space="preserve">: </w:t>
      </w:r>
      <w:r>
        <w:t xml:space="preserve">senatori Aija Branta, </w:t>
      </w:r>
      <w:r w:rsidR="00BE5F89">
        <w:t>Artūrs Freibergs</w:t>
      </w:r>
      <w:r>
        <w:t xml:space="preserve">, </w:t>
      </w:r>
      <w:r w:rsidR="004967F8">
        <w:t>A</w:t>
      </w:r>
      <w:r w:rsidR="006C2141">
        <w:t xml:space="preserve">nita </w:t>
      </w:r>
      <w:r w:rsidR="00BE5F89">
        <w:t>Nusberg</w:t>
      </w:r>
      <w:r w:rsidR="006C2141">
        <w:t>a</w:t>
      </w:r>
    </w:p>
    <w:p w14:paraId="70881689" w14:textId="77777777" w:rsidR="00EA5684" w:rsidRPr="009E6006" w:rsidRDefault="00EA5684" w:rsidP="008D786F">
      <w:pPr>
        <w:tabs>
          <w:tab w:val="left" w:pos="-3120"/>
        </w:tabs>
        <w:suppressAutoHyphens/>
        <w:spacing w:line="276" w:lineRule="auto"/>
        <w:ind w:firstLine="567"/>
        <w:jc w:val="both"/>
      </w:pPr>
    </w:p>
    <w:p w14:paraId="2FD5744A" w14:textId="0BCF2387" w:rsidR="00EA5684" w:rsidRPr="009E6006" w:rsidRDefault="00EA5684" w:rsidP="004F7024">
      <w:pPr>
        <w:tabs>
          <w:tab w:val="left" w:pos="-3120"/>
        </w:tabs>
        <w:suppressAutoHyphens/>
        <w:spacing w:line="276" w:lineRule="auto"/>
        <w:ind w:firstLine="709"/>
        <w:jc w:val="both"/>
      </w:pPr>
      <w:r w:rsidRPr="009E6006">
        <w:t>izskatīja rakstveida procesā krimināllietu sakarā ar</w:t>
      </w:r>
      <w:r w:rsidR="00C35617">
        <w:t xml:space="preserve"> </w:t>
      </w:r>
      <w:r w:rsidR="006C2141">
        <w:t>Aizkraukles prokuratūras prokurora J</w:t>
      </w:r>
      <w:r w:rsidR="00B5739D">
        <w:t>āņa</w:t>
      </w:r>
      <w:r w:rsidR="006C2141">
        <w:t xml:space="preserve"> </w:t>
      </w:r>
      <w:proofErr w:type="spellStart"/>
      <w:r w:rsidR="006C2141">
        <w:t>Dubera</w:t>
      </w:r>
      <w:proofErr w:type="spellEnd"/>
      <w:r w:rsidRPr="009E6006">
        <w:t xml:space="preserve"> kasācijas </w:t>
      </w:r>
      <w:r w:rsidR="006C2141">
        <w:t>protest</w:t>
      </w:r>
      <w:r w:rsidR="00C35617">
        <w:t>u</w:t>
      </w:r>
      <w:r w:rsidRPr="009E6006">
        <w:t xml:space="preserve"> </w:t>
      </w:r>
      <w:r w:rsidR="006C2141">
        <w:t xml:space="preserve">un apsūdzētā </w:t>
      </w:r>
      <w:r w:rsidR="00136C9A">
        <w:t>[pers. A]</w:t>
      </w:r>
      <w:r w:rsidR="009F688E">
        <w:t xml:space="preserve"> </w:t>
      </w:r>
      <w:r w:rsidR="006C2141">
        <w:t xml:space="preserve">aizstāvja Ivara Krauzes kasācijas sūdzību </w:t>
      </w:r>
      <w:r w:rsidRPr="009E6006">
        <w:t xml:space="preserve">par </w:t>
      </w:r>
      <w:r w:rsidR="006C2141">
        <w:t>Zemgale</w:t>
      </w:r>
      <w:r w:rsidR="00C35617">
        <w:t>s</w:t>
      </w:r>
      <w:r w:rsidR="00094530">
        <w:t xml:space="preserve"> apgabaltiesas</w:t>
      </w:r>
      <w:r w:rsidRPr="009E6006">
        <w:t xml:space="preserve"> 201</w:t>
      </w:r>
      <w:r w:rsidR="00EC3D10">
        <w:t>8</w:t>
      </w:r>
      <w:r w:rsidRPr="009E6006">
        <w:t xml:space="preserve">.gada </w:t>
      </w:r>
      <w:r w:rsidR="00386E54">
        <w:t>2</w:t>
      </w:r>
      <w:r w:rsidR="006C2141">
        <w:t>3</w:t>
      </w:r>
      <w:r w:rsidR="00094530">
        <w:t>.</w:t>
      </w:r>
      <w:r w:rsidR="006C2141">
        <w:t>maij</w:t>
      </w:r>
      <w:r w:rsidR="00094530">
        <w:t>a</w:t>
      </w:r>
      <w:r w:rsidRPr="009E6006">
        <w:t xml:space="preserve"> </w:t>
      </w:r>
      <w:r w:rsidR="00363927">
        <w:t>lēmumu</w:t>
      </w:r>
      <w:r w:rsidRPr="009E6006">
        <w:t>.</w:t>
      </w:r>
    </w:p>
    <w:p w14:paraId="2ADB11BA" w14:textId="77777777" w:rsidR="00EA5684" w:rsidRPr="009E6006" w:rsidRDefault="00EA5684" w:rsidP="008D786F">
      <w:pPr>
        <w:suppressAutoHyphens/>
        <w:spacing w:line="276" w:lineRule="auto"/>
        <w:ind w:firstLine="567"/>
      </w:pPr>
    </w:p>
    <w:p w14:paraId="3143D40E" w14:textId="77777777" w:rsidR="00EA5684" w:rsidRPr="009E6006" w:rsidRDefault="00EA5684" w:rsidP="008D786F">
      <w:pPr>
        <w:spacing w:line="276" w:lineRule="auto"/>
        <w:jc w:val="center"/>
        <w:rPr>
          <w:b/>
        </w:rPr>
      </w:pPr>
      <w:r w:rsidRPr="009E6006">
        <w:rPr>
          <w:b/>
        </w:rPr>
        <w:t>Aprakstošā daļa</w:t>
      </w:r>
    </w:p>
    <w:p w14:paraId="122ADB81" w14:textId="77777777" w:rsidR="00EA5684" w:rsidRPr="009E6006" w:rsidRDefault="00EA5684" w:rsidP="008D786F">
      <w:pPr>
        <w:suppressAutoHyphens/>
        <w:spacing w:line="276" w:lineRule="auto"/>
        <w:ind w:firstLine="567"/>
        <w:rPr>
          <w:b/>
        </w:rPr>
      </w:pPr>
    </w:p>
    <w:p w14:paraId="1133A31B" w14:textId="6E51078A" w:rsidR="00EA5684" w:rsidRPr="009E6006" w:rsidRDefault="00EA5684" w:rsidP="008D786F">
      <w:pPr>
        <w:pStyle w:val="ListParagraph"/>
        <w:numPr>
          <w:ilvl w:val="0"/>
          <w:numId w:val="1"/>
        </w:numPr>
        <w:tabs>
          <w:tab w:val="left" w:pos="993"/>
        </w:tabs>
        <w:spacing w:line="276" w:lineRule="auto"/>
        <w:ind w:left="0" w:firstLine="567"/>
        <w:jc w:val="both"/>
      </w:pPr>
      <w:r w:rsidRPr="009E6006">
        <w:t xml:space="preserve">Ar </w:t>
      </w:r>
      <w:r w:rsidR="00FC7BEE">
        <w:t>Bauskas</w:t>
      </w:r>
      <w:r w:rsidR="00386E54">
        <w:t xml:space="preserve"> rajona</w:t>
      </w:r>
      <w:r w:rsidRPr="009E6006">
        <w:t xml:space="preserve"> tiesas 201</w:t>
      </w:r>
      <w:r w:rsidR="00FC7BEE">
        <w:t>6</w:t>
      </w:r>
      <w:r w:rsidRPr="009E6006">
        <w:t xml:space="preserve">.gada </w:t>
      </w:r>
      <w:r w:rsidR="00FC7BEE">
        <w:t>19</w:t>
      </w:r>
      <w:r w:rsidR="00094530">
        <w:t>.</w:t>
      </w:r>
      <w:r w:rsidR="00FC7BEE">
        <w:t>oktobr</w:t>
      </w:r>
      <w:r w:rsidR="00094530">
        <w:t>a</w:t>
      </w:r>
      <w:r w:rsidRPr="009E6006">
        <w:t xml:space="preserve"> spriedumu</w:t>
      </w:r>
    </w:p>
    <w:p w14:paraId="050501FA" w14:textId="57625ED7" w:rsidR="00EA5684" w:rsidRPr="009E6006" w:rsidRDefault="0092737A" w:rsidP="008D786F">
      <w:pPr>
        <w:pStyle w:val="tv213"/>
        <w:spacing w:before="0" w:beforeAutospacing="0" w:after="0" w:afterAutospacing="0" w:line="276" w:lineRule="auto"/>
        <w:ind w:firstLine="567"/>
        <w:jc w:val="both"/>
      </w:pPr>
      <w:r>
        <w:t xml:space="preserve">[1.1] </w:t>
      </w:r>
      <w:r w:rsidR="00136C9A">
        <w:t>[pers. A]</w:t>
      </w:r>
      <w:r w:rsidR="000C04EC">
        <w:t>,</w:t>
      </w:r>
      <w:r w:rsidR="00EA5684" w:rsidRPr="009E6006">
        <w:t xml:space="preserve"> personas kods </w:t>
      </w:r>
      <w:r w:rsidR="00136C9A">
        <w:t>[..]</w:t>
      </w:r>
      <w:r w:rsidR="00EA5684" w:rsidRPr="009E6006">
        <w:t>,</w:t>
      </w:r>
    </w:p>
    <w:p w14:paraId="2C298C05" w14:textId="6CBBB851" w:rsidR="00AB52C5" w:rsidRDefault="00EA5684" w:rsidP="008D786F">
      <w:pPr>
        <w:spacing w:line="276" w:lineRule="auto"/>
        <w:ind w:firstLine="567"/>
        <w:jc w:val="both"/>
      </w:pPr>
      <w:r w:rsidRPr="009E6006">
        <w:t xml:space="preserve">atzīts par vainīgu </w:t>
      </w:r>
      <w:r w:rsidR="00AB52C5">
        <w:t xml:space="preserve">Krimināllikuma </w:t>
      </w:r>
      <w:r w:rsidR="006C2141">
        <w:t>175</w:t>
      </w:r>
      <w:r w:rsidR="00AB52C5">
        <w:t xml:space="preserve">.panta </w:t>
      </w:r>
      <w:r w:rsidR="006C2141">
        <w:t>ceturt</w:t>
      </w:r>
      <w:r w:rsidR="00C35617">
        <w:t>a</w:t>
      </w:r>
      <w:r w:rsidR="00AB52C5">
        <w:t>jā daļā</w:t>
      </w:r>
      <w:r w:rsidR="006C2141">
        <w:t xml:space="preserve"> (likuma redakcijā līdz 2013.ga</w:t>
      </w:r>
      <w:r w:rsidR="009F688E">
        <w:t>d</w:t>
      </w:r>
      <w:r w:rsidR="006C2141">
        <w:t>a 1.aprīlim)</w:t>
      </w:r>
      <w:r w:rsidR="00C35617">
        <w:t xml:space="preserve"> </w:t>
      </w:r>
      <w:r w:rsidR="00AB52C5">
        <w:t xml:space="preserve">paredzētajā noziedzīgajā nodarījumā un sodīts ar brīvības atņemšanu uz </w:t>
      </w:r>
      <w:r w:rsidR="006C2141">
        <w:t>2</w:t>
      </w:r>
      <w:r w:rsidR="00AB52C5">
        <w:t xml:space="preserve"> gadiem</w:t>
      </w:r>
      <w:r w:rsidR="006C2141">
        <w:t xml:space="preserve"> un policijas kontroli uz 1 gadu.</w:t>
      </w:r>
    </w:p>
    <w:p w14:paraId="5A6C65A3" w14:textId="71D8334D" w:rsidR="00FC7BEE" w:rsidRDefault="006C2141" w:rsidP="00FC7BEE">
      <w:pPr>
        <w:spacing w:line="276" w:lineRule="auto"/>
        <w:ind w:firstLine="567"/>
        <w:jc w:val="both"/>
      </w:pPr>
      <w:r>
        <w:t xml:space="preserve">Saskaņā ar Krimināllikuma 51.pantu </w:t>
      </w:r>
      <w:r w:rsidR="009F688E">
        <w:t xml:space="preserve">galīgais </w:t>
      </w:r>
      <w:r>
        <w:t>sods noteikts brīvības atņemšana uz 6 gadiem 8 mēnešiem un policijas kontrole uz 1 gadu.</w:t>
      </w:r>
    </w:p>
    <w:p w14:paraId="073C6215" w14:textId="7C691661" w:rsidR="006C2141" w:rsidRDefault="00136C9A" w:rsidP="008D786F">
      <w:pPr>
        <w:spacing w:line="276" w:lineRule="auto"/>
        <w:ind w:firstLine="567"/>
        <w:jc w:val="both"/>
      </w:pPr>
      <w:r>
        <w:t>[Pers. A]</w:t>
      </w:r>
      <w:r w:rsidR="00057214">
        <w:t xml:space="preserve"> a</w:t>
      </w:r>
      <w:r w:rsidR="006C2141">
        <w:t>psūdzībā pēc Krimināllikuma 20.panta 2., 3. un 4.</w:t>
      </w:r>
      <w:r w:rsidR="00363927">
        <w:t>daļas</w:t>
      </w:r>
      <w:r w:rsidR="006C2141">
        <w:t xml:space="preserve"> un 179.panta trešās daļas (likuma redakcijā līdz 2013.gada 1.aprīlim)</w:t>
      </w:r>
      <w:r w:rsidR="00674D58">
        <w:t xml:space="preserve"> </w:t>
      </w:r>
      <w:r w:rsidR="006C2141">
        <w:t>atzīts par nevainīgu un attaisnots.</w:t>
      </w:r>
    </w:p>
    <w:p w14:paraId="7C6B287B" w14:textId="53D7CC99" w:rsidR="0092737A" w:rsidRDefault="00136C9A" w:rsidP="008D786F">
      <w:pPr>
        <w:spacing w:line="276" w:lineRule="auto"/>
        <w:ind w:firstLine="567"/>
        <w:jc w:val="both"/>
      </w:pPr>
      <w:r>
        <w:t>[Pers. A]</w:t>
      </w:r>
      <w:r w:rsidR="00057214">
        <w:t xml:space="preserve"> piemērotie d</w:t>
      </w:r>
      <w:r w:rsidR="0092737A">
        <w:t xml:space="preserve">rošības līdzekļi – drošības nauda 10 000 </w:t>
      </w:r>
      <w:proofErr w:type="spellStart"/>
      <w:r w:rsidR="0092737A">
        <w:t>e</w:t>
      </w:r>
      <w:r w:rsidR="0092737A" w:rsidRPr="0092737A">
        <w:rPr>
          <w:i/>
          <w:iCs/>
        </w:rPr>
        <w:t>uro</w:t>
      </w:r>
      <w:proofErr w:type="spellEnd"/>
      <w:r w:rsidR="0092737A">
        <w:t xml:space="preserve"> un aizliegums izbraukt no valsts – grozīti uz apcietinājumu.</w:t>
      </w:r>
    </w:p>
    <w:p w14:paraId="47AC7E8E" w14:textId="77777777" w:rsidR="0092737A" w:rsidRDefault="0092737A" w:rsidP="008D786F">
      <w:pPr>
        <w:spacing w:line="276" w:lineRule="auto"/>
        <w:ind w:firstLine="567"/>
        <w:jc w:val="both"/>
      </w:pPr>
      <w:r>
        <w:t xml:space="preserve">Cietušā SIA </w:t>
      </w:r>
      <w:proofErr w:type="spellStart"/>
      <w:r w:rsidRPr="0092737A">
        <w:rPr>
          <w:i/>
          <w:iCs/>
        </w:rPr>
        <w:t>Swedbank</w:t>
      </w:r>
      <w:proofErr w:type="spellEnd"/>
      <w:r>
        <w:rPr>
          <w:i/>
          <w:iCs/>
        </w:rPr>
        <w:t xml:space="preserve"> Līzings</w:t>
      </w:r>
      <w:r>
        <w:t xml:space="preserve"> kaitējuma kompensācija atstāta bez izskatīšanas.</w:t>
      </w:r>
    </w:p>
    <w:p w14:paraId="60FC098D" w14:textId="504EDC2D" w:rsidR="0092737A" w:rsidRDefault="0092737A" w:rsidP="008D786F">
      <w:pPr>
        <w:spacing w:line="276" w:lineRule="auto"/>
        <w:ind w:firstLine="567"/>
        <w:jc w:val="both"/>
      </w:pPr>
      <w:r>
        <w:t xml:space="preserve">Cietušā VAS </w:t>
      </w:r>
      <w:r w:rsidRPr="0092737A">
        <w:rPr>
          <w:i/>
          <w:iCs/>
        </w:rPr>
        <w:t>Hipotēku un Zemes banka</w:t>
      </w:r>
      <w:r>
        <w:t xml:space="preserve"> kaitējuma kompensāciju 25</w:t>
      </w:r>
      <w:r w:rsidR="00674D58">
        <w:t> </w:t>
      </w:r>
      <w:r>
        <w:t xml:space="preserve">097,91 </w:t>
      </w:r>
      <w:proofErr w:type="spellStart"/>
      <w:r w:rsidRPr="0092737A">
        <w:rPr>
          <w:i/>
          <w:iCs/>
        </w:rPr>
        <w:t>euro</w:t>
      </w:r>
      <w:proofErr w:type="spellEnd"/>
      <w:r>
        <w:t xml:space="preserve"> noraidīt</w:t>
      </w:r>
      <w:r w:rsidR="00674D58">
        <w:t>a</w:t>
      </w:r>
      <w:r>
        <w:t xml:space="preserve">. </w:t>
      </w:r>
    </w:p>
    <w:p w14:paraId="01EDBF15" w14:textId="3BD9E129" w:rsidR="0092737A" w:rsidRDefault="0092737A" w:rsidP="008D786F">
      <w:pPr>
        <w:spacing w:line="276" w:lineRule="auto"/>
        <w:ind w:firstLine="567"/>
        <w:jc w:val="both"/>
      </w:pPr>
      <w:r>
        <w:t xml:space="preserve">[1.2] </w:t>
      </w:r>
      <w:r w:rsidR="00136C9A">
        <w:t>[Pers. B]</w:t>
      </w:r>
      <w:r>
        <w:t>, personas kods</w:t>
      </w:r>
      <w:r w:rsidR="00363927">
        <w:t xml:space="preserve"> </w:t>
      </w:r>
      <w:r w:rsidR="00136C9A">
        <w:t>[..]</w:t>
      </w:r>
      <w:r>
        <w:t>,</w:t>
      </w:r>
    </w:p>
    <w:p w14:paraId="3D140170" w14:textId="553F6917" w:rsidR="004667EF" w:rsidRDefault="0092737A" w:rsidP="004667EF">
      <w:pPr>
        <w:spacing w:line="276" w:lineRule="auto"/>
        <w:ind w:firstLine="567"/>
        <w:jc w:val="both"/>
      </w:pPr>
      <w:r>
        <w:t>apsūdzībā pēc Krimināllikuma 179.panta trešās daļas (likuma redakcijā līdz 2013.gada 1.aprīlim) atzīta par nevainīgu un attaisnota.</w:t>
      </w:r>
    </w:p>
    <w:p w14:paraId="7CAF7CBB" w14:textId="77777777" w:rsidR="004667EF" w:rsidRDefault="004667EF" w:rsidP="004667EF">
      <w:pPr>
        <w:spacing w:line="276" w:lineRule="auto"/>
        <w:ind w:firstLine="567"/>
        <w:jc w:val="both"/>
      </w:pPr>
    </w:p>
    <w:p w14:paraId="560E351B" w14:textId="7FE026B5" w:rsidR="004667EF" w:rsidRDefault="004667EF" w:rsidP="008D786F">
      <w:pPr>
        <w:spacing w:line="276" w:lineRule="auto"/>
        <w:ind w:firstLine="567"/>
        <w:jc w:val="both"/>
      </w:pPr>
      <w:r>
        <w:t xml:space="preserve">[2] Pirmstiesas procesā </w:t>
      </w:r>
      <w:r w:rsidR="00136C9A">
        <w:t>[pers. B]</w:t>
      </w:r>
      <w:r w:rsidR="0091725C">
        <w:t xml:space="preserve"> celta apsūdzība pēc Krimināllikuma 179.panta trešās daļas par to, ka viņa personu grupā pēc iepriekšējas vienošanās izšķērdēja viņas pārziņā esošo </w:t>
      </w:r>
      <w:r w:rsidR="0091725C">
        <w:lastRenderedPageBreak/>
        <w:t xml:space="preserve">svešu mantu lielā apmērā. </w:t>
      </w:r>
      <w:r w:rsidR="00136C9A">
        <w:t>[Pers. A]</w:t>
      </w:r>
      <w:r w:rsidR="0091725C">
        <w:t xml:space="preserve"> pirmstiesas procesā</w:t>
      </w:r>
      <w:r>
        <w:t xml:space="preserve"> celta apsūdzība pēc Kr</w:t>
      </w:r>
      <w:r w:rsidR="00363927">
        <w:t xml:space="preserve">imināllikuma 20.panta 2., 3., </w:t>
      </w:r>
      <w:r>
        <w:t>4.</w:t>
      </w:r>
      <w:r w:rsidR="00363927">
        <w:t>daļas</w:t>
      </w:r>
      <w:r>
        <w:t xml:space="preserve"> un 179.panta  trešās daļas par to, ka viņš uzkūdīja, organizēja un atbalstīja </w:t>
      </w:r>
      <w:r w:rsidR="00136C9A">
        <w:t>[pers. B]</w:t>
      </w:r>
      <w:r w:rsidR="0091725C">
        <w:t xml:space="preserve"> viņas pārziņā esošās mantas izšķērdēšanu lielā apmērā.</w:t>
      </w:r>
    </w:p>
    <w:p w14:paraId="1765DA7A" w14:textId="4E71A4E8" w:rsidR="004667EF" w:rsidRDefault="0092737A" w:rsidP="004667EF">
      <w:pPr>
        <w:spacing w:line="276" w:lineRule="auto"/>
        <w:ind w:firstLine="567"/>
        <w:jc w:val="both"/>
      </w:pPr>
      <w:r>
        <w:t xml:space="preserve">  Ar </w:t>
      </w:r>
      <w:r w:rsidR="0091725C">
        <w:t>minēto</w:t>
      </w:r>
      <w:r>
        <w:t xml:space="preserve"> spriedumu </w:t>
      </w:r>
      <w:r w:rsidR="00136C9A">
        <w:t>[pers. A]</w:t>
      </w:r>
      <w:r>
        <w:t xml:space="preserve"> atzīts par vainīgu </w:t>
      </w:r>
      <w:r w:rsidR="0091725C">
        <w:t xml:space="preserve">arī </w:t>
      </w:r>
      <w:r>
        <w:t>Krimināllikuma 175.panta ceturtajā daļā paredzētajā noziedzīgaj</w:t>
      </w:r>
      <w:r w:rsidR="00802389">
        <w:t xml:space="preserve">ā </w:t>
      </w:r>
      <w:r>
        <w:t xml:space="preserve">nodarījumā </w:t>
      </w:r>
      <w:r w:rsidR="00802389">
        <w:t>par svešas kustamas mantas slepenu nolaupīšanu lielā apmērā.</w:t>
      </w:r>
    </w:p>
    <w:p w14:paraId="081BFCDD" w14:textId="6BE41F20" w:rsidR="007B57BF" w:rsidRDefault="0092737A" w:rsidP="004667EF">
      <w:pPr>
        <w:spacing w:line="276" w:lineRule="auto"/>
        <w:ind w:firstLine="709"/>
        <w:jc w:val="both"/>
      </w:pPr>
      <w:r>
        <w:t xml:space="preserve"> </w:t>
      </w:r>
    </w:p>
    <w:p w14:paraId="34C057FE" w14:textId="2AEA1B42" w:rsidR="007B57BF" w:rsidRDefault="007B57BF" w:rsidP="004F7024">
      <w:pPr>
        <w:spacing w:line="276" w:lineRule="auto"/>
        <w:ind w:firstLine="709"/>
        <w:jc w:val="both"/>
      </w:pPr>
      <w:r>
        <w:t>[</w:t>
      </w:r>
      <w:r w:rsidR="00386E54">
        <w:t>3</w:t>
      </w:r>
      <w:r>
        <w:t xml:space="preserve">] Ar </w:t>
      </w:r>
      <w:r w:rsidR="004667EF">
        <w:t>Zemgales</w:t>
      </w:r>
      <w:r>
        <w:t xml:space="preserve"> apgabaltiesas 201</w:t>
      </w:r>
      <w:r w:rsidR="00386E54">
        <w:t>8</w:t>
      </w:r>
      <w:r>
        <w:t>.gada</w:t>
      </w:r>
      <w:r w:rsidR="00386E54">
        <w:t xml:space="preserve"> 2</w:t>
      </w:r>
      <w:r w:rsidR="004667EF">
        <w:t>3</w:t>
      </w:r>
      <w:r w:rsidR="005F5CD8">
        <w:t>.</w:t>
      </w:r>
      <w:r w:rsidR="004667EF">
        <w:t>maij</w:t>
      </w:r>
      <w:r w:rsidR="00386E54">
        <w:t>a</w:t>
      </w:r>
      <w:r>
        <w:t xml:space="preserve"> </w:t>
      </w:r>
      <w:r w:rsidR="004667EF">
        <w:t>lēm</w:t>
      </w:r>
      <w:r>
        <w:t>umu, iztiesājot lietu apelācijas kār</w:t>
      </w:r>
      <w:r w:rsidR="005F5CD8">
        <w:t xml:space="preserve">tībā sakarā ar </w:t>
      </w:r>
      <w:r w:rsidR="004667EF">
        <w:t>Aizkraukles rajona prokuratūras prokurora J.</w:t>
      </w:r>
      <w:r w:rsidR="00674D58">
        <w:t> </w:t>
      </w:r>
      <w:proofErr w:type="spellStart"/>
      <w:r w:rsidR="004667EF">
        <w:t>Dubera</w:t>
      </w:r>
      <w:proofErr w:type="spellEnd"/>
      <w:r w:rsidR="004667EF">
        <w:t xml:space="preserve"> </w:t>
      </w:r>
      <w:r w:rsidR="00363927">
        <w:t>apelācijas</w:t>
      </w:r>
      <w:r w:rsidR="004667EF">
        <w:t xml:space="preserve"> </w:t>
      </w:r>
      <w:r w:rsidR="004667EF" w:rsidRPr="00CB258D">
        <w:t xml:space="preserve">protestu un apsūdzētā </w:t>
      </w:r>
      <w:r w:rsidR="00136C9A">
        <w:t>[pers. A]</w:t>
      </w:r>
      <w:r w:rsidR="004667EF" w:rsidRPr="00CB258D">
        <w:t xml:space="preserve"> aizst</w:t>
      </w:r>
      <w:r w:rsidR="00C5254B" w:rsidRPr="00CB258D">
        <w:t>āvja I.</w:t>
      </w:r>
      <w:r w:rsidR="00674D58" w:rsidRPr="00CB258D">
        <w:t> </w:t>
      </w:r>
      <w:r w:rsidR="00C5254B" w:rsidRPr="00CB258D">
        <w:t xml:space="preserve">Krauzes </w:t>
      </w:r>
      <w:r w:rsidR="00363927">
        <w:t>apelācijas</w:t>
      </w:r>
      <w:r w:rsidR="00C5254B" w:rsidRPr="00CB258D">
        <w:t xml:space="preserve"> sūdzību</w:t>
      </w:r>
      <w:r w:rsidRPr="00CB258D">
        <w:t>,</w:t>
      </w:r>
      <w:r>
        <w:t xml:space="preserve"> </w:t>
      </w:r>
      <w:r w:rsidR="00C5254B">
        <w:t>Bauskas</w:t>
      </w:r>
      <w:r w:rsidR="00B45651">
        <w:t xml:space="preserve"> rajona</w:t>
      </w:r>
      <w:r>
        <w:t xml:space="preserve"> tiesas 201</w:t>
      </w:r>
      <w:r w:rsidR="00C5254B">
        <w:t>6</w:t>
      </w:r>
      <w:r>
        <w:t xml:space="preserve">.gada </w:t>
      </w:r>
      <w:r w:rsidR="00C5254B">
        <w:t>19</w:t>
      </w:r>
      <w:r w:rsidR="005F5CD8">
        <w:t>.</w:t>
      </w:r>
      <w:r w:rsidR="00C5254B">
        <w:t>oktobr</w:t>
      </w:r>
      <w:r w:rsidR="005F5CD8">
        <w:t>a</w:t>
      </w:r>
      <w:r>
        <w:t xml:space="preserve"> spriedums </w:t>
      </w:r>
      <w:r w:rsidR="005F5CD8">
        <w:t>at</w:t>
      </w:r>
      <w:r w:rsidR="00C5254B">
        <w:t xml:space="preserve">celts daļā par </w:t>
      </w:r>
      <w:r w:rsidR="00136C9A">
        <w:t>[pers. A]</w:t>
      </w:r>
      <w:r w:rsidR="00C5254B">
        <w:t xml:space="preserve"> atzīšanu par vainīgu un sodīšanu pēc Krimināllikuma 175.panta ceturtās daļa</w:t>
      </w:r>
      <w:r w:rsidR="00FD42E7">
        <w:t>s</w:t>
      </w:r>
      <w:r w:rsidR="009E380B">
        <w:t>, daļā</w:t>
      </w:r>
      <w:r w:rsidR="00C5254B">
        <w:t xml:space="preserve"> </w:t>
      </w:r>
      <w:r w:rsidR="009E380B">
        <w:t>par</w:t>
      </w:r>
      <w:r w:rsidR="00C5254B">
        <w:t xml:space="preserve"> </w:t>
      </w:r>
      <w:r w:rsidR="00136C9A">
        <w:t>[pers. A]</w:t>
      </w:r>
      <w:r w:rsidR="00FD42E7">
        <w:t xml:space="preserve"> </w:t>
      </w:r>
      <w:r w:rsidR="00674D58">
        <w:t xml:space="preserve">noteikto </w:t>
      </w:r>
      <w:r w:rsidR="00FD42E7">
        <w:t xml:space="preserve">galīgo </w:t>
      </w:r>
      <w:r w:rsidR="00C5254B">
        <w:t>sod</w:t>
      </w:r>
      <w:r w:rsidR="00674D58">
        <w:t>u</w:t>
      </w:r>
      <w:r w:rsidR="00C5254B">
        <w:t xml:space="preserve"> saskaņā ar Krimināllikuma 51.pantu</w:t>
      </w:r>
      <w:r w:rsidR="00674D58">
        <w:t>,</w:t>
      </w:r>
      <w:r w:rsidR="009E380B">
        <w:t xml:space="preserve"> </w:t>
      </w:r>
      <w:r w:rsidR="00FD42E7">
        <w:t xml:space="preserve">un daļā par </w:t>
      </w:r>
      <w:r w:rsidR="009E380B">
        <w:t>rīcību ar drošības naudu 1</w:t>
      </w:r>
      <w:r w:rsidR="00055DB3">
        <w:t>4 228,72</w:t>
      </w:r>
      <w:r w:rsidR="009E380B">
        <w:t xml:space="preserve"> 000 </w:t>
      </w:r>
      <w:proofErr w:type="spellStart"/>
      <w:r w:rsidR="009E380B" w:rsidRPr="009E380B">
        <w:rPr>
          <w:i/>
          <w:iCs/>
        </w:rPr>
        <w:t>euro</w:t>
      </w:r>
      <w:proofErr w:type="spellEnd"/>
      <w:r w:rsidR="009E380B">
        <w:t xml:space="preserve"> un kriminālliet</w:t>
      </w:r>
      <w:r w:rsidR="00674D58">
        <w:t>a</w:t>
      </w:r>
      <w:r w:rsidR="009E380B">
        <w:t xml:space="preserve"> nosūtīt</w:t>
      </w:r>
      <w:r w:rsidR="00674D58">
        <w:t xml:space="preserve">a </w:t>
      </w:r>
      <w:r w:rsidR="009E380B">
        <w:t>jaunai izskatīšanai pirmās instances tiesā.</w:t>
      </w:r>
    </w:p>
    <w:p w14:paraId="0C7D5A68" w14:textId="75A26C0C" w:rsidR="009E380B" w:rsidRDefault="009E380B" w:rsidP="004F7024">
      <w:pPr>
        <w:spacing w:line="276" w:lineRule="auto"/>
        <w:ind w:firstLine="709"/>
        <w:jc w:val="both"/>
      </w:pPr>
      <w:r>
        <w:t xml:space="preserve">Nolemts turpināt </w:t>
      </w:r>
      <w:r w:rsidR="00136C9A">
        <w:t>[pers. A]</w:t>
      </w:r>
      <w:r>
        <w:t xml:space="preserve"> piemēroto drošības līdzekli – apcietinājumu</w:t>
      </w:r>
      <w:r w:rsidR="00AA3292">
        <w:t xml:space="preserve"> –</w:t>
      </w:r>
      <w:r w:rsidR="002A5FAE">
        <w:t>, bet drošības naudu – 1</w:t>
      </w:r>
      <w:r w:rsidR="00055DB3">
        <w:t>4 228,72</w:t>
      </w:r>
      <w:r w:rsidR="002A5FAE">
        <w:t xml:space="preserve"> </w:t>
      </w:r>
      <w:proofErr w:type="spellStart"/>
      <w:r w:rsidR="002A5FAE" w:rsidRPr="002A5FAE">
        <w:rPr>
          <w:i/>
          <w:iCs/>
        </w:rPr>
        <w:t>euro</w:t>
      </w:r>
      <w:proofErr w:type="spellEnd"/>
      <w:r w:rsidR="002A5FAE">
        <w:t xml:space="preserve"> – ieskaitīt valsts budžetā</w:t>
      </w:r>
      <w:r>
        <w:t>.</w:t>
      </w:r>
    </w:p>
    <w:p w14:paraId="0F7E1366" w14:textId="5C2487FC" w:rsidR="00C94514" w:rsidRDefault="00C94514" w:rsidP="004F7024">
      <w:pPr>
        <w:spacing w:line="276" w:lineRule="auto"/>
        <w:ind w:firstLine="709"/>
        <w:jc w:val="both"/>
      </w:pPr>
      <w:r>
        <w:t>Pārējā daļā pirmās instances tiesas spriedums atstāts negrozīts.</w:t>
      </w:r>
    </w:p>
    <w:p w14:paraId="29BEAE70" w14:textId="32077206" w:rsidR="00F91AD3" w:rsidRDefault="00F91AD3" w:rsidP="004F7024">
      <w:pPr>
        <w:spacing w:line="276" w:lineRule="auto"/>
        <w:ind w:firstLine="709"/>
        <w:jc w:val="both"/>
      </w:pPr>
    </w:p>
    <w:p w14:paraId="62AE22F9" w14:textId="6D2FB064" w:rsidR="00F91AD3" w:rsidRDefault="00F91AD3" w:rsidP="004F7024">
      <w:pPr>
        <w:spacing w:line="276" w:lineRule="auto"/>
        <w:ind w:firstLine="709"/>
        <w:jc w:val="both"/>
      </w:pPr>
      <w:r>
        <w:t>[</w:t>
      </w:r>
      <w:r w:rsidR="00057214">
        <w:t>4</w:t>
      </w:r>
      <w:r>
        <w:t xml:space="preserve">] Par Zemgales apgabaltiesas 2018.gada 23.maija </w:t>
      </w:r>
      <w:r w:rsidR="00363927">
        <w:t>lēmumu</w:t>
      </w:r>
      <w:r>
        <w:t xml:space="preserve"> kasācijas protestu iesniedzis Aizkraukles rajona prokuratūras prokurors J. </w:t>
      </w:r>
      <w:proofErr w:type="spellStart"/>
      <w:r>
        <w:t>Duberis</w:t>
      </w:r>
      <w:proofErr w:type="spellEnd"/>
      <w:r>
        <w:t>, bet</w:t>
      </w:r>
      <w:r w:rsidRPr="00F91AD3">
        <w:t xml:space="preserve"> </w:t>
      </w:r>
      <w:r>
        <w:t xml:space="preserve">kasācijas sūdzību iesniedzis apsūdzētā </w:t>
      </w:r>
      <w:r w:rsidR="00136C9A">
        <w:t>[pers. A]</w:t>
      </w:r>
      <w:r>
        <w:t xml:space="preserve"> aizstāvis I. Krauze. </w:t>
      </w:r>
    </w:p>
    <w:p w14:paraId="5E664866" w14:textId="77777777" w:rsidR="00552C6F" w:rsidRDefault="00552C6F" w:rsidP="009E380B">
      <w:pPr>
        <w:spacing w:line="276" w:lineRule="auto"/>
        <w:jc w:val="both"/>
      </w:pPr>
    </w:p>
    <w:p w14:paraId="14F448CC" w14:textId="26C297B8" w:rsidR="00B03726" w:rsidRDefault="00552C6F" w:rsidP="009E380B">
      <w:pPr>
        <w:spacing w:line="276" w:lineRule="auto"/>
        <w:ind w:firstLine="709"/>
        <w:jc w:val="both"/>
      </w:pPr>
      <w:r>
        <w:t>[</w:t>
      </w:r>
      <w:r w:rsidR="00057214">
        <w:t>5</w:t>
      </w:r>
      <w:r>
        <w:t xml:space="preserve">] </w:t>
      </w:r>
      <w:r w:rsidR="00F91AD3">
        <w:t>Kasācijas protestā lūgts</w:t>
      </w:r>
      <w:r w:rsidR="00895F71">
        <w:t xml:space="preserve"> atcelt </w:t>
      </w:r>
      <w:r w:rsidR="00057214">
        <w:t>Zemgales apgabaltiesas 2018.gada 23.maija spriedumu</w:t>
      </w:r>
      <w:r w:rsidR="00895F71">
        <w:t xml:space="preserve"> sakarā ar apelācijas instances tiesas pieļautajiem Krimināl</w:t>
      </w:r>
      <w:r w:rsidR="008C6B2E">
        <w:t>p</w:t>
      </w:r>
      <w:r w:rsidR="00895F71">
        <w:t>rocesa likuma</w:t>
      </w:r>
      <w:r w:rsidR="008C6B2E">
        <w:t xml:space="preserve"> būtiskiem pārkāpumiem un Kriminālprocesa likuma 574.panta otrās daļas (domājams</w:t>
      </w:r>
      <w:r w:rsidR="00AA3292">
        <w:t xml:space="preserve"> –</w:t>
      </w:r>
      <w:r w:rsidR="008C6B2E">
        <w:t xml:space="preserve"> 2.punktā</w:t>
      </w:r>
      <w:r w:rsidR="00C94514">
        <w:t>)</w:t>
      </w:r>
      <w:r w:rsidR="008C6B2E">
        <w:t xml:space="preserve"> norād</w:t>
      </w:r>
      <w:r w:rsidR="00C94514">
        <w:t>īto</w:t>
      </w:r>
      <w:r w:rsidR="008C6B2E">
        <w:t xml:space="preserve"> pārkāpumu. </w:t>
      </w:r>
      <w:r w:rsidR="00B03726">
        <w:t xml:space="preserve">Savu lūgumu </w:t>
      </w:r>
      <w:r w:rsidR="00F91AD3">
        <w:t>prokurors</w:t>
      </w:r>
      <w:r w:rsidR="00B03726">
        <w:t xml:space="preserve"> pamatojis ar turpmāk norādītajiem argumentiem.</w:t>
      </w:r>
    </w:p>
    <w:p w14:paraId="03F1C55E" w14:textId="0422AB25" w:rsidR="00F91AD3" w:rsidRDefault="00F91AD3" w:rsidP="009E380B">
      <w:pPr>
        <w:spacing w:line="276" w:lineRule="auto"/>
        <w:ind w:firstLine="709"/>
        <w:jc w:val="both"/>
      </w:pPr>
      <w:r>
        <w:t>[</w:t>
      </w:r>
      <w:r w:rsidR="00057214">
        <w:t>5</w:t>
      </w:r>
      <w:r>
        <w:t>.1] </w:t>
      </w:r>
      <w:r w:rsidR="001B0FA5">
        <w:t>A</w:t>
      </w:r>
      <w:r>
        <w:t>tzīstot apsūdzētā neierašanos</w:t>
      </w:r>
      <w:r w:rsidR="002A5F1F">
        <w:t xml:space="preserve"> </w:t>
      </w:r>
      <w:r w:rsidR="00970835">
        <w:t xml:space="preserve">uz tiesas sēdi </w:t>
      </w:r>
      <w:r>
        <w:t>par neattaisnojošu, tiesa nepamatoti n</w:t>
      </w:r>
      <w:r w:rsidR="00AA3292">
        <w:t xml:space="preserve">av </w:t>
      </w:r>
      <w:r>
        <w:t>piemēroj</w:t>
      </w:r>
      <w:r w:rsidR="00AA3292">
        <w:t>usi</w:t>
      </w:r>
      <w:r>
        <w:t xml:space="preserve"> Kriminālprocesa likuma 560.panta treš</w:t>
      </w:r>
      <w:r w:rsidR="00885640">
        <w:t>o</w:t>
      </w:r>
      <w:r>
        <w:t xml:space="preserve"> daļu, kas paredz atstāt bez izskatīšanas aizstāvja </w:t>
      </w:r>
      <w:r w:rsidR="00BA30E2">
        <w:t xml:space="preserve">iesniegto </w:t>
      </w:r>
      <w:r>
        <w:t>apelācijas sūdzību</w:t>
      </w:r>
      <w:r w:rsidR="00D2109F">
        <w:t>, ja apsūdzētais uz tiesas sēdi neierodas bez attaisnojoša iemesla</w:t>
      </w:r>
      <w:r>
        <w:t>.</w:t>
      </w:r>
    </w:p>
    <w:p w14:paraId="01EDAD9B" w14:textId="660C8F6D" w:rsidR="00C106C1" w:rsidRDefault="00BA30E2" w:rsidP="00C106C1">
      <w:pPr>
        <w:spacing w:line="276" w:lineRule="auto"/>
        <w:ind w:firstLine="709"/>
        <w:jc w:val="both"/>
      </w:pPr>
      <w:r w:rsidRPr="00BE5F89">
        <w:t>[</w:t>
      </w:r>
      <w:r w:rsidR="00057214" w:rsidRPr="00BE5F89">
        <w:t>5</w:t>
      </w:r>
      <w:r w:rsidRPr="00BE5F89">
        <w:t>.2]</w:t>
      </w:r>
      <w:r>
        <w:t xml:space="preserve"> </w:t>
      </w:r>
      <w:r w:rsidR="00D2109F">
        <w:t>A</w:t>
      </w:r>
      <w:r w:rsidR="005617A7">
        <w:t>tz</w:t>
      </w:r>
      <w:r w:rsidR="00D2109F">
        <w:t>īstot, ka ir</w:t>
      </w:r>
      <w:r w:rsidR="00B41F5A">
        <w:t xml:space="preserve"> sašaurinātas </w:t>
      </w:r>
      <w:r w:rsidR="00136C9A">
        <w:t>[pers. C]</w:t>
      </w:r>
      <w:r w:rsidR="00B41F5A">
        <w:t xml:space="preserve"> tiesības tikt atzītam par cietušo</w:t>
      </w:r>
      <w:r w:rsidR="00D2109F">
        <w:t xml:space="preserve"> un šā iemesla dēļ atceļot pirmās instances tiesas spriedumu daļā par </w:t>
      </w:r>
      <w:r w:rsidR="00136C9A">
        <w:t>[pers. A]</w:t>
      </w:r>
      <w:r w:rsidR="00D2109F">
        <w:t xml:space="preserve"> atzīšanu par vainīgu</w:t>
      </w:r>
      <w:r w:rsidR="00834275">
        <w:t xml:space="preserve"> Krimināllikuma 175.panta ceturtajā daļā paredzētajā noziedzīgajā nodarījumā</w:t>
      </w:r>
      <w:r w:rsidR="00D2109F">
        <w:t>, apelācijas instances tiesa nav izvērtējusi apstāk</w:t>
      </w:r>
      <w:r w:rsidR="00834275">
        <w:t>l</w:t>
      </w:r>
      <w:r w:rsidR="00D2109F">
        <w:t xml:space="preserve">i, ka lietas nosūtīšana </w:t>
      </w:r>
      <w:r w:rsidR="00834275">
        <w:t xml:space="preserve">atkārtotai </w:t>
      </w:r>
      <w:r w:rsidR="00D2109F">
        <w:t>izskatīšanai pirmās instances tiesā var izraisīt</w:t>
      </w:r>
      <w:r w:rsidR="00834275">
        <w:t xml:space="preserve"> Kriminālprocesa likuma </w:t>
      </w:r>
      <w:r w:rsidR="00D2109F">
        <w:t>14.panta pārkāpum</w:t>
      </w:r>
      <w:r w:rsidR="00834275">
        <w:t>u</w:t>
      </w:r>
      <w:r w:rsidR="00D2109F">
        <w:t xml:space="preserve">. Turklāt, ja </w:t>
      </w:r>
      <w:r w:rsidR="00136C9A">
        <w:t>[pers. C]</w:t>
      </w:r>
      <w:r w:rsidR="00D2109F">
        <w:t xml:space="preserve"> uzskatīja, ka </w:t>
      </w:r>
      <w:r w:rsidR="00136C9A">
        <w:t>[pers. A]</w:t>
      </w:r>
      <w:r w:rsidR="00834275">
        <w:t xml:space="preserve"> </w:t>
      </w:r>
      <w:r w:rsidR="00D2109F">
        <w:t xml:space="preserve">darbību rezultātā viņam nodarīts materiāls </w:t>
      </w:r>
      <w:r w:rsidR="00885640">
        <w:t>zaud</w:t>
      </w:r>
      <w:r w:rsidR="00D2109F">
        <w:t>ējums,</w:t>
      </w:r>
      <w:r w:rsidR="00834275">
        <w:t xml:space="preserve"> viņš</w:t>
      </w:r>
      <w:r w:rsidR="00391C30">
        <w:t xml:space="preserve"> jau sākot no 2009.gada oktobra varēja vērsties policijā ar lūgumu atzīt viņu par cietušo</w:t>
      </w:r>
      <w:r w:rsidR="00834275">
        <w:t xml:space="preserve">. Minētās tiesības </w:t>
      </w:r>
      <w:r w:rsidR="00207FE3">
        <w:t>[pers. C]</w:t>
      </w:r>
      <w:r w:rsidR="00391C30">
        <w:t xml:space="preserve"> nav izmantojis.</w:t>
      </w:r>
      <w:r w:rsidR="00970835">
        <w:t xml:space="preserve"> </w:t>
      </w:r>
    </w:p>
    <w:p w14:paraId="64A4F458" w14:textId="13EB8724" w:rsidR="00834275" w:rsidRDefault="00A003BE" w:rsidP="00C106C1">
      <w:pPr>
        <w:spacing w:line="276" w:lineRule="auto"/>
        <w:ind w:firstLine="709"/>
        <w:jc w:val="both"/>
      </w:pPr>
      <w:r>
        <w:t>[</w:t>
      </w:r>
      <w:r w:rsidR="00F34A5E">
        <w:t>5</w:t>
      </w:r>
      <w:r>
        <w:t xml:space="preserve">.3] Attaisnojot </w:t>
      </w:r>
      <w:r w:rsidR="00207FE3">
        <w:t>[pers. A]</w:t>
      </w:r>
      <w:r>
        <w:t xml:space="preserve"> apsūdzībā pēc Krimināllikuma 20.panta 2., 3. un 4.</w:t>
      </w:r>
      <w:r w:rsidR="00363927">
        <w:t>daļas</w:t>
      </w:r>
      <w:r>
        <w:t xml:space="preserve"> un 179.panta trešās daļas un </w:t>
      </w:r>
      <w:r w:rsidR="00207FE3">
        <w:t>[pers. B]</w:t>
      </w:r>
      <w:r>
        <w:t xml:space="preserve"> pēc Krimināllikuma 179.panta trešās daļas, apelācijas instances tiesa pieļāvusi Kriminālprocesa likuma 574.panta 2.punktā norādīto Krimināllikuma pārkāpumu, </w:t>
      </w:r>
      <w:r w:rsidR="00082610">
        <w:t>jo nepareizi interpretējusi Krimināllikuma 179.pant</w:t>
      </w:r>
      <w:r w:rsidR="00885640">
        <w:t>u</w:t>
      </w:r>
      <w:r w:rsidR="00834275">
        <w:t>.</w:t>
      </w:r>
    </w:p>
    <w:p w14:paraId="1260F5E7" w14:textId="1B3F4072" w:rsidR="00A003BE" w:rsidRDefault="00834275" w:rsidP="00C106C1">
      <w:pPr>
        <w:spacing w:line="276" w:lineRule="auto"/>
        <w:ind w:firstLine="709"/>
        <w:jc w:val="both"/>
      </w:pPr>
      <w:r>
        <w:t xml:space="preserve">[5.4] Nesniedzot lietā iegūto pierādījumu </w:t>
      </w:r>
      <w:r w:rsidR="00C94514">
        <w:t>vērtējumu</w:t>
      </w:r>
      <w:r>
        <w:t xml:space="preserve">, ko nebija veikusi arī pirmās instances tiesa, kā arī neizvērtējot protestā </w:t>
      </w:r>
      <w:r w:rsidR="0037321C">
        <w:t>minēt</w:t>
      </w:r>
      <w:r>
        <w:t xml:space="preserve">os argumentus, apelācijas instances tiesa pieļāvusi Kriminālprocesa likuma 564.panta ceturtajā daļā noteikto prasību pārkāpumu. </w:t>
      </w:r>
      <w:r w:rsidR="00484AF0">
        <w:t xml:space="preserve">Tā kā </w:t>
      </w:r>
      <w:r w:rsidR="00484AF0">
        <w:lastRenderedPageBreak/>
        <w:t>ne pirmās instances tiesa, ne apelācijas instances tiesa nav izvērtējusi visus lietā iegūtos pierādījumus, pieļauts arī Kriminālprocesa likuma 15.panta pārkāpums, proti, pārkāptas tiesības uz taisnīgu tiesu.</w:t>
      </w:r>
    </w:p>
    <w:p w14:paraId="6F15D6BC" w14:textId="4D520893" w:rsidR="007B57BF" w:rsidRDefault="007B57BF" w:rsidP="00BB0A75">
      <w:pPr>
        <w:spacing w:line="276" w:lineRule="auto"/>
        <w:jc w:val="both"/>
      </w:pPr>
    </w:p>
    <w:p w14:paraId="222E080B" w14:textId="5D67351D" w:rsidR="00FA0037" w:rsidRDefault="00C5254B" w:rsidP="00674A50">
      <w:pPr>
        <w:spacing w:line="276" w:lineRule="auto"/>
        <w:ind w:firstLine="709"/>
        <w:jc w:val="both"/>
      </w:pPr>
      <w:r>
        <w:t>[</w:t>
      </w:r>
      <w:r w:rsidR="00F34A5E">
        <w:t>6</w:t>
      </w:r>
      <w:r>
        <w:t>] Par Zemgales apgabaltiesas 2018.gada 23.maija lēmumu kasācijas sūdzību iesnie</w:t>
      </w:r>
      <w:r w:rsidR="00674A50">
        <w:t>d</w:t>
      </w:r>
      <w:r>
        <w:t xml:space="preserve">zis apsūdzētā </w:t>
      </w:r>
      <w:r w:rsidR="00207FE3">
        <w:t>[pers. A]</w:t>
      </w:r>
      <w:r>
        <w:t xml:space="preserve"> aizstāvis I.</w:t>
      </w:r>
      <w:r w:rsidR="00BB0A75">
        <w:t> </w:t>
      </w:r>
      <w:r>
        <w:t>Krauze</w:t>
      </w:r>
      <w:r w:rsidR="00674A50">
        <w:t xml:space="preserve">, </w:t>
      </w:r>
      <w:r>
        <w:t xml:space="preserve"> </w:t>
      </w:r>
      <w:r w:rsidR="00674A50">
        <w:t>l</w:t>
      </w:r>
      <w:r>
        <w:t xml:space="preserve">ūdzot atcelt apelācijas instances tiesas </w:t>
      </w:r>
      <w:r w:rsidR="00C106C1">
        <w:t>no</w:t>
      </w:r>
      <w:r>
        <w:t xml:space="preserve">lēmumu daļā par </w:t>
      </w:r>
      <w:r w:rsidR="00207FE3">
        <w:t>[pers. A]</w:t>
      </w:r>
      <w:r>
        <w:t xml:space="preserve"> iepriekš piemērotā drošības līdzekļa – drošības nauda 1</w:t>
      </w:r>
      <w:r w:rsidR="00055DB3">
        <w:t>4 228,72</w:t>
      </w:r>
      <w:r>
        <w:t xml:space="preserve"> </w:t>
      </w:r>
      <w:proofErr w:type="spellStart"/>
      <w:r w:rsidRPr="009E380B">
        <w:rPr>
          <w:i/>
          <w:iCs/>
        </w:rPr>
        <w:t>euro</w:t>
      </w:r>
      <w:proofErr w:type="spellEnd"/>
      <w:r>
        <w:t xml:space="preserve"> – ieskaitīšanu valsts budžetā un drošības līdzekļa – apcietinājum</w:t>
      </w:r>
      <w:r w:rsidR="00044077">
        <w:t>s</w:t>
      </w:r>
      <w:r>
        <w:t xml:space="preserve"> – saglabāšanu un šajā daļā nosūtīt lietu jaunai izskatīšanai apelācijas instances tiesā</w:t>
      </w:r>
      <w:r w:rsidR="00570AB9">
        <w:t xml:space="preserve"> sakarā ar</w:t>
      </w:r>
      <w:r w:rsidR="00C106C1">
        <w:t xml:space="preserve"> </w:t>
      </w:r>
      <w:r w:rsidR="00570AB9">
        <w:t>pieļautajiem Kriminālprocesa likuma 1. un 14.panta, 244.panta otrās daļas, 511.panta otrās daļas un 512.panta otrās daļas pārkāpumiem, kas atzīstami par būtiskiem pārkāpumiem šā likuma 575.pan</w:t>
      </w:r>
      <w:r w:rsidR="00044077">
        <w:t>ta</w:t>
      </w:r>
      <w:r w:rsidR="00570AB9">
        <w:t xml:space="preserve"> trešās daļas izpratnē un noveduši pie nelikumīga sprieduma. </w:t>
      </w:r>
      <w:r w:rsidR="00674A50">
        <w:t>S</w:t>
      </w:r>
      <w:r w:rsidR="00FA0037">
        <w:t>avu lūgumu aizstāvis pamatojis ar turpmāk norādītajiem argumentiem.</w:t>
      </w:r>
      <w:r w:rsidR="00570AB9">
        <w:t xml:space="preserve"> </w:t>
      </w:r>
    </w:p>
    <w:p w14:paraId="15E8278A" w14:textId="24151FCE" w:rsidR="00674A50" w:rsidRDefault="00FA0037" w:rsidP="00674A50">
      <w:pPr>
        <w:spacing w:line="276" w:lineRule="auto"/>
        <w:ind w:firstLine="709"/>
        <w:jc w:val="both"/>
      </w:pPr>
      <w:r>
        <w:t>[</w:t>
      </w:r>
      <w:r w:rsidR="00F34A5E">
        <w:t>6</w:t>
      </w:r>
      <w:r>
        <w:t>.1] </w:t>
      </w:r>
      <w:r w:rsidR="00674A50">
        <w:t xml:space="preserve">Atzīstot, ka </w:t>
      </w:r>
      <w:r w:rsidR="00207FE3">
        <w:t>[pers. A]</w:t>
      </w:r>
      <w:r w:rsidR="00674A50">
        <w:t xml:space="preserve"> uz tiesas sēdi nav ieradies neattaisnojošu iemeslu dēļ, proti, ka viņš atrodas ārvalstī un viņa atrašanās vieta nav zināma, apelācijas instances tiesa nav izvērtējusi aizstāvības iesniegtajos dokumentos ietvertās ziņas, ka </w:t>
      </w:r>
      <w:r w:rsidR="00207FE3">
        <w:t>[pers. A]</w:t>
      </w:r>
      <w:r w:rsidR="00674A50">
        <w:t xml:space="preserve"> sakarā ar saslimšanu </w:t>
      </w:r>
      <w:r w:rsidR="00885640">
        <w:t xml:space="preserve">ārvalstī </w:t>
      </w:r>
      <w:r w:rsidR="00674A50">
        <w:t xml:space="preserve">ievietots ārstniecības iestādē. Tā kā apelācijas instances tiesai bija zināma </w:t>
      </w:r>
      <w:r w:rsidR="00207FE3">
        <w:t>[pers. A]</w:t>
      </w:r>
      <w:r w:rsidR="00674A50">
        <w:t xml:space="preserve"> atrašanās vieta, </w:t>
      </w:r>
      <w:r w:rsidR="00D71E06">
        <w:t>tai nebija pamats lietu iztiesāt apsūdzētā prombūtnē</w:t>
      </w:r>
      <w:r w:rsidR="00674A50">
        <w:t>.</w:t>
      </w:r>
    </w:p>
    <w:p w14:paraId="49730765" w14:textId="34180485" w:rsidR="00CF2589" w:rsidRDefault="00D71E06" w:rsidP="00674A50">
      <w:pPr>
        <w:spacing w:line="276" w:lineRule="auto"/>
        <w:ind w:firstLine="709"/>
        <w:jc w:val="both"/>
      </w:pPr>
      <w:r>
        <w:t>[6.2] </w:t>
      </w:r>
      <w:r w:rsidR="00044077">
        <w:t>A</w:t>
      </w:r>
      <w:r>
        <w:t xml:space="preserve">pelācijas instances tiesai nebija pamats </w:t>
      </w:r>
      <w:r w:rsidR="00885640">
        <w:t xml:space="preserve">arī </w:t>
      </w:r>
      <w:r>
        <w:t xml:space="preserve">atzīt, ka </w:t>
      </w:r>
      <w:r w:rsidR="00207FE3">
        <w:t>[pers. A]</w:t>
      </w:r>
      <w:r w:rsidR="00044077">
        <w:t>, neierodoties uz pirmās instances tiesas</w:t>
      </w:r>
      <w:r w:rsidR="00816897">
        <w:t xml:space="preserve"> sprieduma pasludināšanu</w:t>
      </w:r>
      <w:r w:rsidR="00044077">
        <w:t xml:space="preserve"> un apelācijas instances tiesas sēdi,</w:t>
      </w:r>
      <w:r>
        <w:t xml:space="preserve"> nav pildījis savu</w:t>
      </w:r>
      <w:r w:rsidR="00044077">
        <w:t>s</w:t>
      </w:r>
      <w:r>
        <w:t xml:space="preserve"> pienākumu</w:t>
      </w:r>
      <w:r w:rsidR="00044077">
        <w:t>s</w:t>
      </w:r>
      <w:r>
        <w:t>, un minētā iemesla dēļ atcelt pirmās instances tiesas spriedumu daļā par rīcību ar drošības naudu.</w:t>
      </w:r>
    </w:p>
    <w:p w14:paraId="1E16E742" w14:textId="36F4B4B7" w:rsidR="00570AB9" w:rsidRDefault="00816897" w:rsidP="00570AB9">
      <w:pPr>
        <w:spacing w:line="276" w:lineRule="auto"/>
        <w:ind w:firstLine="709"/>
        <w:jc w:val="both"/>
      </w:pPr>
      <w:r>
        <w:t>P</w:t>
      </w:r>
      <w:r w:rsidR="003E1345">
        <w:t>irmās instances tiesa apcietinājuma piemērošanu</w:t>
      </w:r>
      <w:r>
        <w:t xml:space="preserve"> </w:t>
      </w:r>
      <w:r w:rsidR="00207FE3">
        <w:t>[pers. A]</w:t>
      </w:r>
      <w:r w:rsidR="003E1345">
        <w:t xml:space="preserve"> pamatoj</w:t>
      </w:r>
      <w:r w:rsidR="00484AF0">
        <w:t>a</w:t>
      </w:r>
      <w:r w:rsidR="003E1345">
        <w:t xml:space="preserve"> ar Kriminālprocesa likuma 272.panta ceturtajā daļā noteikto, nevis tādēļ, ka </w:t>
      </w:r>
      <w:r w:rsidR="00207FE3">
        <w:t>[pers. A]</w:t>
      </w:r>
      <w:r w:rsidR="003E1345">
        <w:t xml:space="preserve"> pārkāpis viņam piemēroto</w:t>
      </w:r>
      <w:r>
        <w:t>s</w:t>
      </w:r>
      <w:r w:rsidR="003E1345">
        <w:t xml:space="preserve"> drošības līdzekļus. Arī uz apelācijas</w:t>
      </w:r>
      <w:r w:rsidR="00363927">
        <w:t xml:space="preserve"> instances tiesas sēdi</w:t>
      </w:r>
      <w:r w:rsidR="003E1345">
        <w:t xml:space="preserve"> </w:t>
      </w:r>
      <w:r w:rsidR="00207FE3">
        <w:t>[pers. A]</w:t>
      </w:r>
      <w:r>
        <w:t xml:space="preserve"> </w:t>
      </w:r>
      <w:r w:rsidR="003E1345">
        <w:t>neieradās attaisnojoš</w:t>
      </w:r>
      <w:r w:rsidR="00885640">
        <w:t>a</w:t>
      </w:r>
      <w:r w:rsidR="003E1345">
        <w:t xml:space="preserve"> iemesl</w:t>
      </w:r>
      <w:r w:rsidR="00885640">
        <w:t>a</w:t>
      </w:r>
      <w:r w:rsidR="003E1345">
        <w:t xml:space="preserve"> dēļ, proti, sakarā ar </w:t>
      </w:r>
      <w:r w:rsidR="00484AF0">
        <w:t xml:space="preserve">viņa </w:t>
      </w:r>
      <w:r w:rsidR="003E1345">
        <w:t>ievietošanu stacionārā. Lietā nav pierādījumu</w:t>
      </w:r>
      <w:r w:rsidR="00D71E06">
        <w:t xml:space="preserve"> tam</w:t>
      </w:r>
      <w:r w:rsidR="003E1345">
        <w:t xml:space="preserve">, ka </w:t>
      </w:r>
      <w:r w:rsidR="00207FE3">
        <w:t>[pers. A]</w:t>
      </w:r>
      <w:r w:rsidR="003E1345">
        <w:t xml:space="preserve"> izbraucis no valsts laikā, kad bija spēkā viņam piemērotais drošības līdzeklis – aizliegums izbraukt no valsts.</w:t>
      </w:r>
      <w:r w:rsidR="0071169D">
        <w:t xml:space="preserve"> Līdz ar to nepamatots ir apelācijas instances tiesas secinājums, ka </w:t>
      </w:r>
      <w:r w:rsidR="00207FE3">
        <w:t>[pers. A]</w:t>
      </w:r>
      <w:r w:rsidR="0071169D">
        <w:t xml:space="preserve"> turpina pārkāpt viņam noteikto drošības līdzekli.</w:t>
      </w:r>
    </w:p>
    <w:p w14:paraId="335F716B" w14:textId="4C2EA8FC" w:rsidR="00287EBC" w:rsidRDefault="00287EBC" w:rsidP="00570AB9">
      <w:pPr>
        <w:spacing w:line="276" w:lineRule="auto"/>
        <w:ind w:firstLine="709"/>
        <w:jc w:val="both"/>
      </w:pPr>
      <w:r>
        <w:t>[</w:t>
      </w:r>
      <w:r w:rsidR="00F34A5E">
        <w:t>6</w:t>
      </w:r>
      <w:r>
        <w:t>.3] </w:t>
      </w:r>
      <w:r w:rsidR="00816897">
        <w:t>A</w:t>
      </w:r>
      <w:r>
        <w:t xml:space="preserve">tstājot negrozītu ar pirmās instances tiesas spriedumu piemēroto drošības līdzekli </w:t>
      </w:r>
      <w:r w:rsidR="0037321C">
        <w:t xml:space="preserve">– </w:t>
      </w:r>
      <w:r>
        <w:t xml:space="preserve">apcietinājumu, apelācijas instances tiesa nav </w:t>
      </w:r>
      <w:r w:rsidR="00885640">
        <w:t>ņēmusi vērā visus</w:t>
      </w:r>
      <w:r>
        <w:t xml:space="preserve"> Kriminālprocesa likuma 244.panta otrajā daļā norādītos apstākļus, bet tikai to, ka </w:t>
      </w:r>
      <w:r w:rsidR="00207FE3">
        <w:t>[pers. A]</w:t>
      </w:r>
      <w:r>
        <w:t xml:space="preserve"> ir apsūdzēts sevišķi smaga nozieguma izdarīšanā.</w:t>
      </w:r>
    </w:p>
    <w:p w14:paraId="35BF4404" w14:textId="09DF69B5" w:rsidR="00CF2589" w:rsidRDefault="00287EBC" w:rsidP="00570AB9">
      <w:pPr>
        <w:spacing w:line="276" w:lineRule="auto"/>
        <w:ind w:firstLine="709"/>
        <w:jc w:val="both"/>
      </w:pPr>
      <w:r>
        <w:t>[</w:t>
      </w:r>
      <w:r w:rsidR="004B5AC6">
        <w:t>6</w:t>
      </w:r>
      <w:r>
        <w:t xml:space="preserve">.4] Aizstāvis arī uzskata, ka šajā kriminālprocesā ir pārkāptas apsūdzētā tiesības uz kriminālprocesa pabeigšanu saprātīgā termiņā, kas noteiktas Kriminālprocesa likuma 14.pantā. Līdz ar </w:t>
      </w:r>
      <w:r w:rsidR="00816897">
        <w:t xml:space="preserve">to apcietinājuma </w:t>
      </w:r>
      <w:r>
        <w:t xml:space="preserve">saglabāšana </w:t>
      </w:r>
      <w:r w:rsidR="00207FE3">
        <w:t>[pers. A]</w:t>
      </w:r>
      <w:r w:rsidR="00816897">
        <w:t xml:space="preserve"> </w:t>
      </w:r>
      <w:r>
        <w:t>nav attaisnojama ar kriminālprocesa interesēm, turklāt arī tādēļ, ka notiesājoš</w:t>
      </w:r>
      <w:r w:rsidR="00363927">
        <w:t>ais</w:t>
      </w:r>
      <w:r>
        <w:t xml:space="preserve"> spriedums ir atcelts.</w:t>
      </w:r>
    </w:p>
    <w:p w14:paraId="15997CB7" w14:textId="09DE9CF4" w:rsidR="00CA3774" w:rsidRDefault="00CA3774" w:rsidP="00570AB9">
      <w:pPr>
        <w:spacing w:line="276" w:lineRule="auto"/>
        <w:ind w:firstLine="709"/>
        <w:jc w:val="both"/>
      </w:pPr>
    </w:p>
    <w:p w14:paraId="3C37E52D" w14:textId="5D5F76A5" w:rsidR="00CA3774" w:rsidRDefault="00CA3774" w:rsidP="00570AB9">
      <w:pPr>
        <w:spacing w:line="276" w:lineRule="auto"/>
        <w:ind w:firstLine="709"/>
        <w:jc w:val="both"/>
      </w:pPr>
      <w:r>
        <w:t>[7] Atbilstoši Kriminālprocesa likuma 5</w:t>
      </w:r>
      <w:r w:rsidR="00297A9E">
        <w:t>78</w:t>
      </w:r>
      <w:r>
        <w:t xml:space="preserve">.panta otrajā daļā noteiktajam apsūdzētā </w:t>
      </w:r>
      <w:r w:rsidR="00207FE3">
        <w:t>[pers. B]</w:t>
      </w:r>
      <w:r>
        <w:t xml:space="preserve"> iesniegusi iebildumus pret kasācijas protestu</w:t>
      </w:r>
      <w:r w:rsidR="000D4959">
        <w:t xml:space="preserve">. Iebildumos </w:t>
      </w:r>
      <w:r w:rsidR="00207FE3">
        <w:t>[pers. B]</w:t>
      </w:r>
      <w:r w:rsidR="000D4959">
        <w:t xml:space="preserve"> izteikusi alternatīvu lūgumu, proti, vai nu atteikt pārbaudīt kasācijas kārtībā apelācijas instances tiesas nolēmumu daļā par viņas attaisnošanu, vai arī šajā daļā kasācijas protestu noraidīt.</w:t>
      </w:r>
    </w:p>
    <w:p w14:paraId="6E115C8E" w14:textId="6D13BFFE" w:rsidR="008F0652" w:rsidRDefault="00E42067" w:rsidP="00570AB9">
      <w:pPr>
        <w:spacing w:line="276" w:lineRule="auto"/>
        <w:ind w:firstLine="709"/>
        <w:jc w:val="both"/>
      </w:pPr>
      <w:r>
        <w:t xml:space="preserve">Apsūdzētā </w:t>
      </w:r>
      <w:r w:rsidR="00207FE3">
        <w:t>[pers. B]</w:t>
      </w:r>
      <w:r>
        <w:t xml:space="preserve"> uzskata, ka </w:t>
      </w:r>
      <w:r w:rsidR="00816897">
        <w:t xml:space="preserve">viņa pamatoti attaisnota </w:t>
      </w:r>
      <w:r w:rsidR="0037321C">
        <w:t xml:space="preserve">apsūdzībā </w:t>
      </w:r>
      <w:r w:rsidR="00816897">
        <w:t>pēc Krimināllikuma 179.panta trešās daļas</w:t>
      </w:r>
      <w:r w:rsidR="00212F6E">
        <w:t>, bet prokurors tikai formāli norādījis uz Kriminālprocesa likuma 15.panta un 564.panta ceturtās daļas pārkāpumu un Krimināllikuma panta nepareizu piemērošanu.</w:t>
      </w:r>
    </w:p>
    <w:p w14:paraId="4763047A" w14:textId="32329F68" w:rsidR="00E42067" w:rsidRDefault="00207FE3" w:rsidP="008F0652">
      <w:pPr>
        <w:spacing w:line="276" w:lineRule="auto"/>
        <w:ind w:firstLine="709"/>
        <w:jc w:val="both"/>
      </w:pPr>
      <w:r>
        <w:lastRenderedPageBreak/>
        <w:t>[Pers. B]</w:t>
      </w:r>
      <w:r w:rsidR="008F0652">
        <w:t xml:space="preserve"> </w:t>
      </w:r>
      <w:r w:rsidR="00212F6E">
        <w:t xml:space="preserve">arī </w:t>
      </w:r>
      <w:r w:rsidR="008F0652">
        <w:t xml:space="preserve">uzskata, ka kasācijas protests daļā par </w:t>
      </w:r>
      <w:r>
        <w:t>[pers. A]</w:t>
      </w:r>
      <w:r w:rsidR="008F0652">
        <w:t xml:space="preserve"> attaisnošanu apsūdzībā pēc Krimināllikuma 20.panta otrās, trešās un ceturtās daļas un 179.panta trešās daļas ir pamatots. </w:t>
      </w:r>
      <w:r w:rsidR="00212F6E">
        <w:t>Vienlaikus</w:t>
      </w:r>
      <w:r w:rsidR="008F0652">
        <w:t xml:space="preserve"> </w:t>
      </w:r>
      <w:r>
        <w:t>[pers. B]</w:t>
      </w:r>
      <w:r w:rsidR="0037321C">
        <w:t xml:space="preserve"> norāda, ka </w:t>
      </w:r>
      <w:r w:rsidR="008F0652">
        <w:t>pirmās instances tiesa</w:t>
      </w:r>
      <w:r w:rsidR="00212F6E">
        <w:t xml:space="preserve"> un</w:t>
      </w:r>
      <w:r w:rsidR="008F0652">
        <w:t xml:space="preserve"> apelācijas instances tiesa</w:t>
      </w:r>
      <w:r w:rsidR="00212F6E">
        <w:t xml:space="preserve"> </w:t>
      </w:r>
      <w:r w:rsidR="008F0652">
        <w:t xml:space="preserve">nav </w:t>
      </w:r>
      <w:r w:rsidR="000D4959">
        <w:t xml:space="preserve">apsvērušas iespēju notiesāt </w:t>
      </w:r>
      <w:r>
        <w:t>[pers. A]</w:t>
      </w:r>
      <w:r w:rsidR="008F0652">
        <w:t xml:space="preserve"> par grupā ar </w:t>
      </w:r>
      <w:r>
        <w:t>[pers. D]</w:t>
      </w:r>
      <w:r w:rsidR="008F0652">
        <w:t xml:space="preserve"> izdarītu Krimināllikuma 177.panta trešajā daļā paredzēto noziedzīgo nodarījumu.</w:t>
      </w:r>
    </w:p>
    <w:p w14:paraId="20980E74" w14:textId="5337151E" w:rsidR="008F0652" w:rsidRDefault="008F0652" w:rsidP="00297A9E">
      <w:pPr>
        <w:spacing w:line="276" w:lineRule="auto"/>
        <w:ind w:firstLine="709"/>
        <w:jc w:val="both"/>
      </w:pPr>
      <w:r>
        <w:t xml:space="preserve">Apsūdzētā </w:t>
      </w:r>
      <w:r w:rsidR="00207FE3">
        <w:t>[pers. B]</w:t>
      </w:r>
      <w:r>
        <w:t xml:space="preserve"> lūgusi pieņemt blakus lēmumu </w:t>
      </w:r>
      <w:r w:rsidR="000D4959">
        <w:t xml:space="preserve">par </w:t>
      </w:r>
      <w:r>
        <w:t>izmeklēšanas iestāžu (policijas un prokuratūras) pirmstiesas procesā</w:t>
      </w:r>
      <w:r w:rsidR="000D4959">
        <w:t xml:space="preserve"> pieļautajiem pārkāpumiem</w:t>
      </w:r>
      <w:r w:rsidR="00212F6E">
        <w:t>, noklausoties</w:t>
      </w:r>
      <w:r w:rsidR="000D4959">
        <w:t xml:space="preserve"> klienta-aizstāvja telefonsarun</w:t>
      </w:r>
      <w:r w:rsidR="00212F6E">
        <w:t>as</w:t>
      </w:r>
      <w:r w:rsidR="000D4959">
        <w:t xml:space="preserve"> un</w:t>
      </w:r>
      <w:r w:rsidR="00212F6E">
        <w:t xml:space="preserve"> pievienojot šo sarunu</w:t>
      </w:r>
      <w:r w:rsidR="000D4959">
        <w:t xml:space="preserve"> audioierakstu lietas materiāliem. </w:t>
      </w:r>
      <w:r>
        <w:t xml:space="preserve"> </w:t>
      </w:r>
    </w:p>
    <w:p w14:paraId="68CD3AEA" w14:textId="77777777" w:rsidR="00577ADD" w:rsidRDefault="00577ADD" w:rsidP="004F7024">
      <w:pPr>
        <w:spacing w:line="276" w:lineRule="auto"/>
        <w:ind w:firstLine="709"/>
        <w:jc w:val="both"/>
      </w:pPr>
    </w:p>
    <w:p w14:paraId="245A0E62" w14:textId="77777777" w:rsidR="0049585A" w:rsidRPr="00473F47" w:rsidRDefault="0049585A" w:rsidP="008D786F">
      <w:pPr>
        <w:spacing w:line="276" w:lineRule="auto"/>
        <w:jc w:val="center"/>
        <w:rPr>
          <w:b/>
        </w:rPr>
      </w:pPr>
      <w:r w:rsidRPr="00344D64">
        <w:rPr>
          <w:b/>
        </w:rPr>
        <w:t>Motīvu daļa</w:t>
      </w:r>
    </w:p>
    <w:p w14:paraId="2DE6843E" w14:textId="77777777" w:rsidR="0049585A" w:rsidRDefault="0049585A" w:rsidP="008D786F">
      <w:pPr>
        <w:pStyle w:val="tv213"/>
        <w:spacing w:before="0" w:beforeAutospacing="0" w:after="0" w:afterAutospacing="0" w:line="276" w:lineRule="auto"/>
        <w:ind w:firstLine="567"/>
        <w:jc w:val="both"/>
      </w:pPr>
    </w:p>
    <w:p w14:paraId="0AE9576F" w14:textId="61A110EE" w:rsidR="00280280" w:rsidRDefault="0049585A" w:rsidP="00C94514">
      <w:pPr>
        <w:pStyle w:val="tv213"/>
        <w:spacing w:before="0" w:beforeAutospacing="0" w:after="0" w:afterAutospacing="0" w:line="276" w:lineRule="auto"/>
        <w:ind w:firstLine="709"/>
        <w:jc w:val="both"/>
      </w:pPr>
      <w:r>
        <w:t>[</w:t>
      </w:r>
      <w:r w:rsidR="00297A9E">
        <w:t>8</w:t>
      </w:r>
      <w:r>
        <w:t xml:space="preserve">] </w:t>
      </w:r>
      <w:r w:rsidR="00212F6E">
        <w:t xml:space="preserve">Kasācijas instances tiesa atzīst, ka Zemgales apgabaltiesas 2018.gada 23.maija </w:t>
      </w:r>
      <w:r w:rsidR="00363927">
        <w:t>lēmums</w:t>
      </w:r>
      <w:r w:rsidR="00212F6E">
        <w:t xml:space="preserve"> atceļams </w:t>
      </w:r>
      <w:r w:rsidR="00280280">
        <w:t xml:space="preserve">daļā </w:t>
      </w:r>
      <w:r w:rsidR="00C94514">
        <w:t xml:space="preserve">ar kuru atcelts Bauskas rajona tiesas 2016.gada 19.oktobra spriedums </w:t>
      </w:r>
      <w:r w:rsidR="00D45A12">
        <w:t xml:space="preserve">daļā </w:t>
      </w:r>
      <w:r w:rsidR="00C94514">
        <w:t xml:space="preserve">par </w:t>
      </w:r>
      <w:r w:rsidR="00207FE3">
        <w:t>[pers. A]</w:t>
      </w:r>
      <w:r w:rsidR="00C94514">
        <w:t xml:space="preserve"> atzīšanu par vainīgu un sodīšanu pēc Krimināllikuma 175.panta ceturtā</w:t>
      </w:r>
      <w:r w:rsidR="00D45A12">
        <w:t>s daļas un</w:t>
      </w:r>
      <w:r w:rsidR="00C94514">
        <w:t xml:space="preserve"> </w:t>
      </w:r>
      <w:r w:rsidR="00207FE3">
        <w:t>[pers. A]</w:t>
      </w:r>
      <w:r w:rsidR="00C94514">
        <w:t xml:space="preserve"> noteikto galīgo sodu saskaņā ar Krimināllikuma 51.pan</w:t>
      </w:r>
      <w:r w:rsidR="005E047E">
        <w:t>t</w:t>
      </w:r>
      <w:r w:rsidR="00C94514">
        <w:t>u</w:t>
      </w:r>
      <w:r w:rsidR="00D45A12">
        <w:t xml:space="preserve"> un</w:t>
      </w:r>
      <w:r w:rsidR="005E047E">
        <w:t xml:space="preserve"> lietas</w:t>
      </w:r>
      <w:r w:rsidR="008B6EAD">
        <w:t xml:space="preserve"> nosūtīšanu izskatīšanai </w:t>
      </w:r>
      <w:r w:rsidR="00D45A12">
        <w:t>Bauskas rajona</w:t>
      </w:r>
      <w:r w:rsidR="008B6EAD">
        <w:t xml:space="preserve"> tiesā</w:t>
      </w:r>
      <w:r w:rsidR="00D45A12">
        <w:t>.</w:t>
      </w:r>
      <w:r w:rsidR="008B6EAD">
        <w:t xml:space="preserve"> </w:t>
      </w:r>
    </w:p>
    <w:p w14:paraId="0F9076FA" w14:textId="77777777" w:rsidR="00E93D98" w:rsidRDefault="00E93D98" w:rsidP="00E93D98">
      <w:pPr>
        <w:pStyle w:val="tv213"/>
        <w:spacing w:before="0" w:beforeAutospacing="0" w:after="0" w:afterAutospacing="0" w:line="276" w:lineRule="auto"/>
        <w:ind w:firstLine="709"/>
        <w:jc w:val="both"/>
      </w:pPr>
    </w:p>
    <w:p w14:paraId="59BF6C25" w14:textId="6E82FCCF" w:rsidR="00391C30" w:rsidRDefault="00E93D98" w:rsidP="00E93D98">
      <w:pPr>
        <w:pStyle w:val="tv213"/>
        <w:spacing w:before="0" w:beforeAutospacing="0" w:after="0" w:afterAutospacing="0" w:line="276" w:lineRule="auto"/>
        <w:ind w:firstLine="709"/>
        <w:jc w:val="both"/>
      </w:pPr>
      <w:r>
        <w:t>[9] </w:t>
      </w:r>
      <w:r w:rsidR="00391C30">
        <w:t xml:space="preserve">Kriminālprocesa likuma 511.panta otrā daļa noteic, ka spriedumam jābūt tiesiskam un pamatotam. Spriedums ir tiesisks un pamatots, ja tas atbilst Kriminālprocesa likuma 512.panta nosacījumiem, tostarp minētā panta pirmajai daļai, kas noteic, ka tiesa, taisot spriedumu, pamatojas uz materiālo un procesuālo tiesību normām. </w:t>
      </w:r>
    </w:p>
    <w:p w14:paraId="1FA4BD28" w14:textId="6C0C10C2" w:rsidR="00391C30" w:rsidRDefault="00391C30" w:rsidP="00391C30">
      <w:pPr>
        <w:pStyle w:val="tv213"/>
        <w:spacing w:before="0" w:beforeAutospacing="0" w:after="0" w:afterAutospacing="0" w:line="276" w:lineRule="auto"/>
        <w:ind w:firstLine="709"/>
        <w:jc w:val="both"/>
      </w:pPr>
      <w:r>
        <w:t>Kasācijas instances</w:t>
      </w:r>
      <w:r w:rsidRPr="00E12298">
        <w:t xml:space="preserve"> tiesa atzīst, ka, iztiesājot </w:t>
      </w:r>
      <w:r>
        <w:t>krimināl</w:t>
      </w:r>
      <w:r w:rsidRPr="00E12298">
        <w:t>lietu, apelācijas instances tiesa minēt</w:t>
      </w:r>
      <w:r w:rsidR="002560C3">
        <w:t>o</w:t>
      </w:r>
      <w:r w:rsidRPr="00E12298">
        <w:t xml:space="preserve"> </w:t>
      </w:r>
      <w:r>
        <w:t xml:space="preserve">procesuālo tiesību normas nav </w:t>
      </w:r>
      <w:r w:rsidRPr="00E12298">
        <w:t>ievērojusi.</w:t>
      </w:r>
    </w:p>
    <w:p w14:paraId="1AFF8A01" w14:textId="77777777" w:rsidR="005C2628" w:rsidRDefault="005C2628" w:rsidP="00391C30">
      <w:pPr>
        <w:spacing w:line="276" w:lineRule="auto"/>
        <w:jc w:val="both"/>
      </w:pPr>
    </w:p>
    <w:p w14:paraId="1083B329" w14:textId="60326DB1" w:rsidR="00D6376C" w:rsidRDefault="00015778" w:rsidP="004B5AC6">
      <w:pPr>
        <w:spacing w:line="276" w:lineRule="auto"/>
        <w:ind w:firstLine="709"/>
        <w:jc w:val="both"/>
      </w:pPr>
      <w:r>
        <w:t>[</w:t>
      </w:r>
      <w:r w:rsidR="00E93D98">
        <w:t>10</w:t>
      </w:r>
      <w:r>
        <w:t>]</w:t>
      </w:r>
      <w:r w:rsidR="00C8710F">
        <w:t> </w:t>
      </w:r>
      <w:r w:rsidR="008B3C84">
        <w:t>P</w:t>
      </w:r>
      <w:r>
        <w:t>amatojoties uz Kriminālprocesa likuma 465.panta pirm</w:t>
      </w:r>
      <w:r w:rsidR="00DB7007">
        <w:t>o daļ</w:t>
      </w:r>
      <w:r w:rsidR="003C240C">
        <w:t>u</w:t>
      </w:r>
      <w:r w:rsidR="007014AE">
        <w:t>,</w:t>
      </w:r>
      <w:r w:rsidR="00DB7007">
        <w:t xml:space="preserve"> </w:t>
      </w:r>
      <w:r w:rsidR="008B3C84">
        <w:t>apelācijas instances tiesa</w:t>
      </w:r>
      <w:r>
        <w:t xml:space="preserve"> lietu iztiesājusi apsūdzētā </w:t>
      </w:r>
      <w:r w:rsidR="00207FE3">
        <w:t>[pers. A]</w:t>
      </w:r>
      <w:r>
        <w:t xml:space="preserve"> prombūtnē (</w:t>
      </w:r>
      <w:proofErr w:type="spellStart"/>
      <w:r w:rsidRPr="00015778">
        <w:rPr>
          <w:i/>
          <w:iCs/>
        </w:rPr>
        <w:t>in</w:t>
      </w:r>
      <w:proofErr w:type="spellEnd"/>
      <w:r w:rsidRPr="00015778">
        <w:rPr>
          <w:i/>
          <w:iCs/>
        </w:rPr>
        <w:t xml:space="preserve"> </w:t>
      </w:r>
      <w:proofErr w:type="spellStart"/>
      <w:r w:rsidRPr="00015778">
        <w:rPr>
          <w:i/>
          <w:iCs/>
        </w:rPr>
        <w:t>absentia</w:t>
      </w:r>
      <w:proofErr w:type="spellEnd"/>
      <w:r>
        <w:t>).</w:t>
      </w:r>
    </w:p>
    <w:p w14:paraId="2596F1BE" w14:textId="36C841B9" w:rsidR="007014AE" w:rsidRDefault="000A6AE1" w:rsidP="000A6AE1">
      <w:pPr>
        <w:spacing w:line="276" w:lineRule="auto"/>
        <w:ind w:firstLine="709"/>
        <w:jc w:val="both"/>
      </w:pPr>
      <w:r>
        <w:t xml:space="preserve">Lemjot jautājumu par iespējamību iztiesāt krimināllietu apsūdzētā </w:t>
      </w:r>
      <w:r w:rsidR="00207FE3">
        <w:t>[pers. A]</w:t>
      </w:r>
      <w:r>
        <w:t xml:space="preserve"> prombūtnē, apelācijas instances tiesa, atsaucoties uz </w:t>
      </w:r>
      <w:r w:rsidR="00207FE3">
        <w:t>[pilsētas]</w:t>
      </w:r>
      <w:r w:rsidR="002E656B">
        <w:t xml:space="preserve"> (Ukraina)</w:t>
      </w:r>
      <w:r>
        <w:t xml:space="preserve"> Centrālās rajona slimnīcas izziņu, atzinusi, ka viņš atrodas ārvalstī, un, ka nav zināma viņa konkrēta atrašanās vieta. </w:t>
      </w:r>
      <w:r w:rsidR="007014AE">
        <w:t>Turklāt</w:t>
      </w:r>
      <w:r>
        <w:t xml:space="preserve">, ņemot vērā to, ka trūkst informācijas par </w:t>
      </w:r>
      <w:r w:rsidR="00207FE3">
        <w:t>[pers. A]</w:t>
      </w:r>
      <w:r>
        <w:t xml:space="preserve"> veselības stāvokli, apelācijas instances tiesa viņa neierašanos tiesā atzinusi </w:t>
      </w:r>
      <w:r w:rsidRPr="00212F6E">
        <w:t>par neattaisnojošu.</w:t>
      </w:r>
      <w:r w:rsidR="007014AE">
        <w:t xml:space="preserve"> </w:t>
      </w:r>
    </w:p>
    <w:p w14:paraId="6500927F" w14:textId="30C028EF" w:rsidR="00391C30" w:rsidRDefault="00391C30" w:rsidP="00391C30">
      <w:pPr>
        <w:pStyle w:val="tv213"/>
        <w:shd w:val="clear" w:color="auto" w:fill="FFFFFF"/>
        <w:spacing w:before="0" w:beforeAutospacing="0" w:after="0" w:afterAutospacing="0" w:line="276" w:lineRule="auto"/>
        <w:ind w:firstLine="709"/>
        <w:jc w:val="both"/>
      </w:pPr>
      <w:r>
        <w:t>Atbilstoši Kriminālprocesa likuma 465.panta pirmajā daļā noteiktajam krimināllietu tiesa var iztiesāt apsūdzētā prombūtnē (</w:t>
      </w:r>
      <w:proofErr w:type="spellStart"/>
      <w:r w:rsidRPr="004B5AC6">
        <w:rPr>
          <w:i/>
          <w:iCs/>
        </w:rPr>
        <w:t>in</w:t>
      </w:r>
      <w:proofErr w:type="spellEnd"/>
      <w:r w:rsidRPr="004B5AC6">
        <w:rPr>
          <w:i/>
          <w:iCs/>
        </w:rPr>
        <w:t xml:space="preserve"> </w:t>
      </w:r>
      <w:proofErr w:type="spellStart"/>
      <w:r w:rsidRPr="004B5AC6">
        <w:rPr>
          <w:i/>
          <w:iCs/>
        </w:rPr>
        <w:t>absentia</w:t>
      </w:r>
      <w:proofErr w:type="spellEnd"/>
      <w:r>
        <w:t>) vienā no likumā norādītajiem gadījumiem. Proti, ja apsūdzētā atrašanās vieta nav zināma un tas norādīts informācijā par meklēšanas rezultātu, vai ja apsūdzētais atrodas ārvalstī un viņa ierašanos tiesā nav iespējams nodrošināt.</w:t>
      </w:r>
    </w:p>
    <w:p w14:paraId="22802B0E" w14:textId="73D3DB42" w:rsidR="00F16834" w:rsidRDefault="000A6AE1" w:rsidP="002E656B">
      <w:pPr>
        <w:pStyle w:val="tv213"/>
        <w:shd w:val="clear" w:color="auto" w:fill="FFFFFF"/>
        <w:spacing w:before="0" w:beforeAutospacing="0" w:after="0" w:afterAutospacing="0" w:line="276" w:lineRule="auto"/>
        <w:ind w:firstLine="709"/>
        <w:jc w:val="both"/>
        <w:rPr>
          <w:color w:val="000000"/>
        </w:rPr>
      </w:pPr>
      <w:r>
        <w:rPr>
          <w:color w:val="000000"/>
        </w:rPr>
        <w:t>N</w:t>
      </w:r>
      <w:r w:rsidR="00F16834">
        <w:rPr>
          <w:color w:val="000000"/>
        </w:rPr>
        <w:t>eiespējamība nodrošināt apsūdzētā piedalīšanos iztiesāšanā saistāma ar atzinumu, ka lietas izskatīšana apsūdzētā prombūtnē (</w:t>
      </w:r>
      <w:proofErr w:type="spellStart"/>
      <w:r w:rsidR="00F16834">
        <w:rPr>
          <w:i/>
          <w:color w:val="000000"/>
        </w:rPr>
        <w:t>in</w:t>
      </w:r>
      <w:proofErr w:type="spellEnd"/>
      <w:r w:rsidR="00F16834">
        <w:rPr>
          <w:i/>
          <w:color w:val="000000"/>
        </w:rPr>
        <w:t xml:space="preserve"> </w:t>
      </w:r>
      <w:proofErr w:type="spellStart"/>
      <w:r w:rsidR="00F16834">
        <w:rPr>
          <w:i/>
          <w:color w:val="000000"/>
        </w:rPr>
        <w:t>absentia</w:t>
      </w:r>
      <w:proofErr w:type="spellEnd"/>
      <w:r w:rsidR="00F16834">
        <w:rPr>
          <w:color w:val="000000"/>
        </w:rPr>
        <w:t xml:space="preserve">) ir izņēmuma situācija un apsūdzētā piedalīšanās nav panākama ne ar kādiem procesuālajiem līdzekļiem, proti, viņa piedalīšanos nevar nodrošināt. Tādējādi šī lietas iztiesāšanas forma īstenojama tad, kad kompetentās valsts institūcijas ir veikušas visus iespējamos saprātīgos procesuālos pasākumus, tai skaitā meklēšanas pasākumus, starptautiskās sadarbības pasākumus, saprātīgu lietas iztiesāšanas atlikšanu, apturēšanu, tehnisko līdzekļu pielietojumu u.tml., lai nodrošinātu apsūdzētā piedalīšanos, taču tas nav spējis nodrošināt apsūdzētā ierašanos iztiesāšanā. </w:t>
      </w:r>
      <w:r>
        <w:rPr>
          <w:color w:val="000000"/>
        </w:rPr>
        <w:t>Tādējādi s</w:t>
      </w:r>
      <w:r w:rsidR="00F16834">
        <w:rPr>
          <w:color w:val="000000"/>
        </w:rPr>
        <w:t xml:space="preserve">ituācijas, kad apsūdzētā ierašanos nav iespējams nodrošināt, saistāmas ar objektīvi pastāvošiem, nepārvaramiem šķēršļiem, piemēram, ārvalsts atteikums izdot personu un uz apsūdzēto </w:t>
      </w:r>
      <w:r w:rsidR="00F16834">
        <w:rPr>
          <w:color w:val="000000"/>
        </w:rPr>
        <w:lastRenderedPageBreak/>
        <w:t>attiecināms liegums iebraukt Latvijā u.tml. Taču tās nav saistāmas ar pārejošiem šķēršļiem personas piedalīšanās nodrošināšanai. Piemēram, ārvalstīs esoša apsūdzētā slimība, kas liedz ierasties tiesā (</w:t>
      </w:r>
      <w:r w:rsidR="00235C94" w:rsidRPr="00235C94">
        <w:rPr>
          <w:i/>
          <w:color w:val="000000"/>
        </w:rPr>
        <w:t>Strada</w:t>
      </w:r>
      <w:r w:rsidR="00832CFF">
        <w:rPr>
          <w:i/>
          <w:color w:val="000000"/>
        </w:rPr>
        <w:t xml:space="preserve">–Rozenberga </w:t>
      </w:r>
      <w:r w:rsidR="00235C94" w:rsidRPr="00235C94">
        <w:rPr>
          <w:i/>
          <w:color w:val="000000"/>
        </w:rPr>
        <w:t>K., Tiesu prakse Kriminālprocesa likuma 464. un 465.panta piemērošanā, Augstākā tiesa: 2017, Rīga</w:t>
      </w:r>
      <w:r w:rsidR="00832CFF">
        <w:rPr>
          <w:i/>
          <w:color w:val="000000"/>
        </w:rPr>
        <w:t>. pieejams:</w:t>
      </w:r>
      <w:r w:rsidR="00832CFF" w:rsidRPr="00832CFF">
        <w:rPr>
          <w:lang w:eastAsia="en-US"/>
        </w:rPr>
        <w:t xml:space="preserve"> </w:t>
      </w:r>
      <w:hyperlink r:id="rId9" w:history="1">
        <w:r w:rsidR="00832CFF" w:rsidRPr="00832CFF">
          <w:rPr>
            <w:i/>
            <w:color w:val="000000" w:themeColor="text1"/>
            <w:lang w:eastAsia="en-US"/>
          </w:rPr>
          <w:t>http://www.at.gov.lv/lv/judikatura/tiesu-prakses-apkopojumi/kriminaltiesibas</w:t>
        </w:r>
      </w:hyperlink>
      <w:r w:rsidR="00F16834">
        <w:rPr>
          <w:color w:val="000000"/>
        </w:rPr>
        <w:t>).</w:t>
      </w:r>
    </w:p>
    <w:p w14:paraId="1B11BD03" w14:textId="45590EFA" w:rsidR="00893915" w:rsidRDefault="00893915" w:rsidP="00893915">
      <w:pPr>
        <w:pStyle w:val="tv213"/>
        <w:shd w:val="clear" w:color="auto" w:fill="FFFFFF"/>
        <w:spacing w:before="0" w:beforeAutospacing="0" w:after="0" w:afterAutospacing="0" w:line="276" w:lineRule="auto"/>
        <w:ind w:firstLine="709"/>
        <w:jc w:val="both"/>
        <w:rPr>
          <w:color w:val="000000"/>
        </w:rPr>
      </w:pPr>
      <w:r>
        <w:rPr>
          <w:color w:val="000000"/>
        </w:rPr>
        <w:t>Judikatūrā iepriekš izteiktas atziņas par iespējamību lietu izskatīt apsūdzētā prombūtnē (</w:t>
      </w:r>
      <w:proofErr w:type="spellStart"/>
      <w:r w:rsidRPr="0083020E">
        <w:rPr>
          <w:i/>
          <w:iCs/>
          <w:color w:val="000000"/>
        </w:rPr>
        <w:t>in</w:t>
      </w:r>
      <w:proofErr w:type="spellEnd"/>
      <w:r w:rsidRPr="0083020E">
        <w:rPr>
          <w:i/>
          <w:iCs/>
          <w:color w:val="000000"/>
        </w:rPr>
        <w:t xml:space="preserve"> </w:t>
      </w:r>
      <w:proofErr w:type="spellStart"/>
      <w:r w:rsidRPr="0083020E">
        <w:rPr>
          <w:i/>
          <w:iCs/>
          <w:color w:val="000000"/>
        </w:rPr>
        <w:t>absentia</w:t>
      </w:r>
      <w:proofErr w:type="spellEnd"/>
      <w:r>
        <w:rPr>
          <w:color w:val="000000"/>
        </w:rPr>
        <w:t>) atzīstot, ka, l</w:t>
      </w:r>
      <w:r w:rsidRPr="002E4D25">
        <w:rPr>
          <w:iCs/>
          <w:color w:val="000000"/>
        </w:rPr>
        <w:t xml:space="preserve">emjot par apstākļu esību, </w:t>
      </w:r>
      <w:r>
        <w:rPr>
          <w:iCs/>
          <w:color w:val="000000"/>
        </w:rPr>
        <w:t>kad</w:t>
      </w:r>
      <w:r w:rsidRPr="002E4D25">
        <w:rPr>
          <w:iCs/>
          <w:color w:val="000000"/>
        </w:rPr>
        <w:t xml:space="preserve"> apsūdzētā ierašanos tiesā nav iespējams nodrošināt, tiesai ir jāizsmeļ visi Kriminālprocesa likumā paredzētie līdzekļi, kas saistīti ar procesa virzību, piespiedu līdzekļi un sankcijas, tehniskie </w:t>
      </w:r>
      <w:r w:rsidRPr="00F27807">
        <w:rPr>
          <w:iCs/>
          <w:color w:val="000000"/>
        </w:rPr>
        <w:t>līdzekļi, ievērojot kriminālprocesa pamatprincipus un nepiešķirot kādam no tiem prioritāti bez to izvērtēšanas, lai sasniegtu Kriminālprocesa likuma 1.pantā definēto likuma mērķi</w:t>
      </w:r>
      <w:r>
        <w:rPr>
          <w:iCs/>
          <w:color w:val="000000"/>
        </w:rPr>
        <w:t xml:space="preserve"> (</w:t>
      </w:r>
      <w:r w:rsidRPr="008C2D3A">
        <w:rPr>
          <w:i/>
          <w:color w:val="000000"/>
        </w:rPr>
        <w:t xml:space="preserve">Augstākās tiesas 2015.gada </w:t>
      </w:r>
      <w:r w:rsidR="004C1B63">
        <w:rPr>
          <w:i/>
          <w:color w:val="000000"/>
        </w:rPr>
        <w:t xml:space="preserve"> 14.maija </w:t>
      </w:r>
      <w:r w:rsidRPr="008C2D3A">
        <w:rPr>
          <w:i/>
          <w:color w:val="000000"/>
        </w:rPr>
        <w:t>lēmums lietā Nr. SKK-47/2015</w:t>
      </w:r>
      <w:r>
        <w:rPr>
          <w:i/>
          <w:color w:val="000000"/>
        </w:rPr>
        <w:t xml:space="preserve"> (</w:t>
      </w:r>
      <w:r w:rsidR="002A5C08">
        <w:rPr>
          <w:i/>
          <w:color w:val="000000"/>
        </w:rPr>
        <w:t>12507000607</w:t>
      </w:r>
      <w:r>
        <w:rPr>
          <w:i/>
          <w:color w:val="000000"/>
        </w:rPr>
        <w:t>),</w:t>
      </w:r>
      <w:r w:rsidRPr="008C2D3A">
        <w:rPr>
          <w:i/>
          <w:color w:val="000000"/>
        </w:rPr>
        <w:t xml:space="preserve"> 2015.gada </w:t>
      </w:r>
      <w:r w:rsidR="000D21A5">
        <w:rPr>
          <w:i/>
          <w:color w:val="000000"/>
        </w:rPr>
        <w:t xml:space="preserve">28.maija </w:t>
      </w:r>
      <w:r w:rsidRPr="008C2D3A">
        <w:rPr>
          <w:i/>
          <w:color w:val="000000"/>
        </w:rPr>
        <w:t>lēmums lietā Nr. SKK-74/2015</w:t>
      </w:r>
      <w:r>
        <w:rPr>
          <w:i/>
          <w:color w:val="000000"/>
        </w:rPr>
        <w:t xml:space="preserve"> (</w:t>
      </w:r>
      <w:r w:rsidR="000D21A5">
        <w:rPr>
          <w:i/>
          <w:color w:val="000000"/>
        </w:rPr>
        <w:t>11370030105</w:t>
      </w:r>
      <w:r>
        <w:rPr>
          <w:i/>
          <w:color w:val="000000"/>
        </w:rPr>
        <w:t>)</w:t>
      </w:r>
      <w:r>
        <w:rPr>
          <w:color w:val="000000"/>
        </w:rPr>
        <w:t xml:space="preserve">). </w:t>
      </w:r>
    </w:p>
    <w:p w14:paraId="1AC05BE0" w14:textId="390E6F74" w:rsidR="00F16834" w:rsidRDefault="004C09F4" w:rsidP="000A6AE1">
      <w:pPr>
        <w:spacing w:line="276" w:lineRule="auto"/>
        <w:ind w:firstLine="720"/>
        <w:jc w:val="both"/>
        <w:rPr>
          <w:color w:val="000000"/>
        </w:rPr>
      </w:pPr>
      <w:r>
        <w:rPr>
          <w:color w:val="000000"/>
        </w:rPr>
        <w:t>I</w:t>
      </w:r>
      <w:r w:rsidR="00F16834">
        <w:rPr>
          <w:color w:val="000000"/>
        </w:rPr>
        <w:t xml:space="preserve">zskatāmajā lietā konstatēts, ka apelācijas instances tiesai bija zināma apsūdzētā </w:t>
      </w:r>
      <w:r w:rsidR="00207FE3">
        <w:rPr>
          <w:color w:val="000000"/>
        </w:rPr>
        <w:t>[pers. A]</w:t>
      </w:r>
      <w:r w:rsidR="00F16834">
        <w:rPr>
          <w:color w:val="000000"/>
        </w:rPr>
        <w:t xml:space="preserve"> atrašanās vieta, proti, ka viņš atrodas ārvalstī</w:t>
      </w:r>
      <w:r w:rsidR="00893915">
        <w:rPr>
          <w:color w:val="000000"/>
        </w:rPr>
        <w:t xml:space="preserve"> – Ukrainā</w:t>
      </w:r>
      <w:r w:rsidR="00F16834">
        <w:rPr>
          <w:color w:val="000000"/>
        </w:rPr>
        <w:t xml:space="preserve">, un, ir ievietots stacionārā. </w:t>
      </w:r>
      <w:r w:rsidR="003A1187">
        <w:rPr>
          <w:color w:val="000000"/>
        </w:rPr>
        <w:t xml:space="preserve">Līdz ar to apelācijas instances tiesai nebija pamata atzīt, ka </w:t>
      </w:r>
      <w:r w:rsidR="002E656B">
        <w:rPr>
          <w:color w:val="000000"/>
        </w:rPr>
        <w:t xml:space="preserve">apsūdzētā atrašanās vieta nav zināma. Turklāt, ja apelācijas instances tiesa uzskatīja, ka apsūdzētā atrašanās vieta tai nav zināma, bija jāizsludina viņa meklēšana. Apelācijas instances tiesai nebija pamata arī atzīt, ka </w:t>
      </w:r>
      <w:r w:rsidR="003A1187">
        <w:rPr>
          <w:color w:val="000000"/>
        </w:rPr>
        <w:t xml:space="preserve">apsūdzētais </w:t>
      </w:r>
      <w:r w:rsidR="008F738D">
        <w:rPr>
          <w:color w:val="000000"/>
        </w:rPr>
        <w:t xml:space="preserve">uz tiesas sēdi </w:t>
      </w:r>
      <w:r w:rsidR="003A1187">
        <w:rPr>
          <w:color w:val="000000"/>
        </w:rPr>
        <w:t xml:space="preserve">nav ieradies </w:t>
      </w:r>
      <w:r w:rsidR="008F738D">
        <w:rPr>
          <w:color w:val="000000"/>
        </w:rPr>
        <w:t>neattaisnojoša</w:t>
      </w:r>
      <w:r w:rsidR="003A1187">
        <w:rPr>
          <w:color w:val="000000"/>
        </w:rPr>
        <w:t xml:space="preserve"> iemesla</w:t>
      </w:r>
      <w:r w:rsidR="00363927">
        <w:rPr>
          <w:color w:val="000000"/>
        </w:rPr>
        <w:t xml:space="preserve"> dēļ</w:t>
      </w:r>
      <w:r w:rsidR="002E656B">
        <w:rPr>
          <w:color w:val="000000"/>
        </w:rPr>
        <w:t xml:space="preserve">, jo tiesas sēdē apsūdzētā aizstāvji iesniedza tiesai izziņas no </w:t>
      </w:r>
      <w:r w:rsidR="00207FE3">
        <w:rPr>
          <w:color w:val="000000"/>
        </w:rPr>
        <w:t>[pilsētas]</w:t>
      </w:r>
      <w:r w:rsidR="002E656B">
        <w:rPr>
          <w:color w:val="000000"/>
        </w:rPr>
        <w:t xml:space="preserve"> Centrālās rajona slimnīcas, un šajā</w:t>
      </w:r>
      <w:r w:rsidR="00363927">
        <w:rPr>
          <w:color w:val="000000"/>
        </w:rPr>
        <w:t>s</w:t>
      </w:r>
      <w:r w:rsidR="002E656B">
        <w:rPr>
          <w:color w:val="000000"/>
        </w:rPr>
        <w:t xml:space="preserve"> izziņās norādītais apstiprina, ka apsūdzētais slimnīcā ievietots vairākkārt.</w:t>
      </w:r>
      <w:r w:rsidR="003A1187">
        <w:rPr>
          <w:color w:val="000000"/>
        </w:rPr>
        <w:t xml:space="preserve"> </w:t>
      </w:r>
    </w:p>
    <w:p w14:paraId="61331D1F" w14:textId="14426312" w:rsidR="002E656B" w:rsidRDefault="002E656B" w:rsidP="000A6AE1">
      <w:pPr>
        <w:spacing w:line="276" w:lineRule="auto"/>
        <w:ind w:firstLine="720"/>
        <w:jc w:val="both"/>
        <w:rPr>
          <w:color w:val="000000"/>
        </w:rPr>
      </w:pPr>
      <w:r>
        <w:rPr>
          <w:color w:val="000000"/>
        </w:rPr>
        <w:t xml:space="preserve">Līdz ar to kasācijas instances tiesa konstatē, ka, pārkāpjot Kriminālprocesa likuma 465.panta pirmo daļu, apelācijas instances tiesa nepamatoti lietu iztiesājusi apsūdzētā </w:t>
      </w:r>
      <w:r w:rsidR="00207FE3">
        <w:rPr>
          <w:color w:val="000000"/>
        </w:rPr>
        <w:t>[pers. A]</w:t>
      </w:r>
      <w:r>
        <w:rPr>
          <w:color w:val="000000"/>
        </w:rPr>
        <w:t xml:space="preserve"> prombūtnē (</w:t>
      </w:r>
      <w:proofErr w:type="spellStart"/>
      <w:r w:rsidRPr="002E656B">
        <w:rPr>
          <w:i/>
          <w:iCs/>
          <w:color w:val="000000"/>
        </w:rPr>
        <w:t>in</w:t>
      </w:r>
      <w:proofErr w:type="spellEnd"/>
      <w:r w:rsidRPr="002E656B">
        <w:rPr>
          <w:i/>
          <w:iCs/>
          <w:color w:val="000000"/>
        </w:rPr>
        <w:t xml:space="preserve"> </w:t>
      </w:r>
      <w:proofErr w:type="spellStart"/>
      <w:r w:rsidRPr="002E656B">
        <w:rPr>
          <w:i/>
          <w:iCs/>
          <w:color w:val="000000"/>
        </w:rPr>
        <w:t>absentia</w:t>
      </w:r>
      <w:proofErr w:type="spellEnd"/>
      <w:r>
        <w:rPr>
          <w:color w:val="000000"/>
        </w:rPr>
        <w:t>).</w:t>
      </w:r>
    </w:p>
    <w:p w14:paraId="28768818" w14:textId="310B4628" w:rsidR="0083020E" w:rsidRDefault="0083020E" w:rsidP="00657B54">
      <w:pPr>
        <w:spacing w:line="276" w:lineRule="auto"/>
        <w:ind w:firstLine="720"/>
        <w:jc w:val="both"/>
        <w:rPr>
          <w:color w:val="000000"/>
        </w:rPr>
      </w:pPr>
    </w:p>
    <w:p w14:paraId="67B33392" w14:textId="281E1D55" w:rsidR="00A20A5D" w:rsidRDefault="0083020E" w:rsidP="00A20A5D">
      <w:pPr>
        <w:spacing w:line="276" w:lineRule="auto"/>
        <w:ind w:firstLine="720"/>
        <w:jc w:val="both"/>
        <w:rPr>
          <w:color w:val="000000"/>
        </w:rPr>
      </w:pPr>
      <w:r>
        <w:rPr>
          <w:color w:val="000000"/>
        </w:rPr>
        <w:t>[</w:t>
      </w:r>
      <w:r w:rsidR="002560C3">
        <w:rPr>
          <w:color w:val="000000"/>
        </w:rPr>
        <w:t>1</w:t>
      </w:r>
      <w:r w:rsidR="002E656B">
        <w:rPr>
          <w:color w:val="000000"/>
        </w:rPr>
        <w:t>1</w:t>
      </w:r>
      <w:r>
        <w:rPr>
          <w:color w:val="000000"/>
        </w:rPr>
        <w:t>]</w:t>
      </w:r>
      <w:r w:rsidR="0029480E">
        <w:rPr>
          <w:color w:val="000000"/>
        </w:rPr>
        <w:t> </w:t>
      </w:r>
      <w:r w:rsidR="002E656B">
        <w:rPr>
          <w:color w:val="000000"/>
        </w:rPr>
        <w:t>Kasācijas instances tiesa atzīst, ka apelācijas instances tiesa pārkāpusi arī Kriminālprocesa likuma 562.pant</w:t>
      </w:r>
      <w:r w:rsidR="00A20A5D">
        <w:rPr>
          <w:color w:val="000000"/>
        </w:rPr>
        <w:t>a pirmo daļu, kas noteic,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r w:rsidR="00A20A5D" w:rsidRPr="00566190">
        <w:rPr>
          <w:color w:val="000000"/>
        </w:rPr>
        <w:t xml:space="preserve"> </w:t>
      </w:r>
    </w:p>
    <w:p w14:paraId="01577D46" w14:textId="15B956BE" w:rsidR="009C0F55" w:rsidRDefault="002E656B" w:rsidP="00104913">
      <w:pPr>
        <w:spacing w:line="276" w:lineRule="auto"/>
        <w:ind w:firstLine="720"/>
        <w:jc w:val="both"/>
        <w:rPr>
          <w:color w:val="000000"/>
        </w:rPr>
      </w:pPr>
      <w:r>
        <w:rPr>
          <w:color w:val="000000"/>
        </w:rPr>
        <w:t xml:space="preserve"> </w:t>
      </w:r>
      <w:r w:rsidR="00104913">
        <w:rPr>
          <w:color w:val="000000"/>
        </w:rPr>
        <w:t>Par pirmās instances tiesas spriedumu</w:t>
      </w:r>
      <w:r w:rsidR="009C0F55">
        <w:rPr>
          <w:color w:val="000000"/>
        </w:rPr>
        <w:t xml:space="preserve"> </w:t>
      </w:r>
      <w:r w:rsidR="00104913">
        <w:rPr>
          <w:color w:val="000000"/>
        </w:rPr>
        <w:t>a</w:t>
      </w:r>
      <w:r w:rsidR="009C0F55">
        <w:rPr>
          <w:color w:val="000000"/>
        </w:rPr>
        <w:t>pelācijas sūdzību iesniedz</w:t>
      </w:r>
      <w:r w:rsidR="004854FF">
        <w:rPr>
          <w:color w:val="000000"/>
        </w:rPr>
        <w:t>a</w:t>
      </w:r>
      <w:r w:rsidR="009C0F55">
        <w:rPr>
          <w:color w:val="000000"/>
        </w:rPr>
        <w:t xml:space="preserve"> apsūdzētā </w:t>
      </w:r>
      <w:r w:rsidR="00207FE3">
        <w:rPr>
          <w:color w:val="000000"/>
        </w:rPr>
        <w:t>[pers. A]</w:t>
      </w:r>
      <w:r w:rsidR="009C0F55">
        <w:rPr>
          <w:color w:val="000000"/>
        </w:rPr>
        <w:t xml:space="preserve"> aizstāvis I. Krauze, sūdzībā lūdzot </w:t>
      </w:r>
      <w:r w:rsidR="00104913">
        <w:rPr>
          <w:color w:val="000000"/>
        </w:rPr>
        <w:t>to atcelt</w:t>
      </w:r>
      <w:r w:rsidR="009C0F55">
        <w:rPr>
          <w:color w:val="000000"/>
        </w:rPr>
        <w:t xml:space="preserve"> daļā par </w:t>
      </w:r>
      <w:r w:rsidR="00207FE3">
        <w:rPr>
          <w:color w:val="000000"/>
        </w:rPr>
        <w:t>[pers. A]</w:t>
      </w:r>
      <w:r w:rsidR="009C0F55">
        <w:rPr>
          <w:color w:val="000000"/>
        </w:rPr>
        <w:t xml:space="preserve"> atzīšanu par vainīgu apsūdzībā pēc Krimināllikuma 175.panta ceturtās daļas un viņu attaisnot.</w:t>
      </w:r>
    </w:p>
    <w:p w14:paraId="464807EF" w14:textId="184FD6C9" w:rsidR="00A20A5D" w:rsidRDefault="00A20A5D" w:rsidP="00104913">
      <w:pPr>
        <w:spacing w:line="276" w:lineRule="auto"/>
        <w:ind w:firstLine="720"/>
        <w:jc w:val="both"/>
        <w:rPr>
          <w:color w:val="000000"/>
        </w:rPr>
      </w:pPr>
      <w:r>
        <w:rPr>
          <w:color w:val="000000"/>
        </w:rPr>
        <w:t xml:space="preserve">Apelācijas instances tiesa šajā daļā apsūdzētajam </w:t>
      </w:r>
      <w:r w:rsidR="00207FE3">
        <w:rPr>
          <w:color w:val="000000"/>
        </w:rPr>
        <w:t>[pers. A]</w:t>
      </w:r>
      <w:r>
        <w:rPr>
          <w:color w:val="000000"/>
        </w:rPr>
        <w:t xml:space="preserve"> celtās apsūdzības pamatotību neizvērtēja, bet nosūtīja lietu jaunai iz</w:t>
      </w:r>
      <w:r w:rsidR="005C2BA5">
        <w:rPr>
          <w:color w:val="000000"/>
        </w:rPr>
        <w:t>tiesāšanai</w:t>
      </w:r>
      <w:r>
        <w:rPr>
          <w:color w:val="000000"/>
        </w:rPr>
        <w:t xml:space="preserve"> pirmās instances tiesā. Turklāt spriedumā apelācijas instances tiesa norādīja, ka lietā par cietušo atzīstams </w:t>
      </w:r>
      <w:r w:rsidR="00207FE3">
        <w:rPr>
          <w:color w:val="000000"/>
        </w:rPr>
        <w:t>[pers. C]</w:t>
      </w:r>
      <w:r>
        <w:rPr>
          <w:color w:val="000000"/>
        </w:rPr>
        <w:t xml:space="preserve">. Tādējādi bez kasācijas sūdzībā minēto argumentu izvērtēšanas apelācijas instances tiesa prezumējusi, ka apsūdzētā </w:t>
      </w:r>
      <w:r w:rsidR="00207FE3">
        <w:rPr>
          <w:color w:val="000000"/>
        </w:rPr>
        <w:t>[pers. A]</w:t>
      </w:r>
      <w:r w:rsidR="005C2BA5">
        <w:rPr>
          <w:color w:val="000000"/>
        </w:rPr>
        <w:t xml:space="preserve"> </w:t>
      </w:r>
      <w:r>
        <w:rPr>
          <w:color w:val="000000"/>
        </w:rPr>
        <w:t>vainīgums ir pierādīts ārpus saprātīgām šaubām, jo pirmās instances tiesa viņu atzinusi par vainīgu Krimināllikuma 17</w:t>
      </w:r>
      <w:r w:rsidR="00363927">
        <w:rPr>
          <w:color w:val="000000"/>
        </w:rPr>
        <w:t>5.panta ceturtajā daļā paredzēta</w:t>
      </w:r>
      <w:r>
        <w:rPr>
          <w:color w:val="000000"/>
        </w:rPr>
        <w:t>jā noziedzīgajā nodarījumā</w:t>
      </w:r>
      <w:r w:rsidR="005C2BA5">
        <w:rPr>
          <w:color w:val="000000"/>
        </w:rPr>
        <w:t>. Turklāt pirmās instances tiesa</w:t>
      </w:r>
      <w:r w:rsidR="008F738D">
        <w:rPr>
          <w:color w:val="000000"/>
        </w:rPr>
        <w:t>,</w:t>
      </w:r>
      <w:r w:rsidR="005C2BA5">
        <w:rPr>
          <w:color w:val="000000"/>
        </w:rPr>
        <w:t xml:space="preserve"> ņemot vērā prokurora tiesas sēdē grozīto apsūdzību, atzina, ka materiālais kaitējums nav nodarīts SIA</w:t>
      </w:r>
      <w:r w:rsidR="008F738D">
        <w:rPr>
          <w:color w:val="000000"/>
        </w:rPr>
        <w:t xml:space="preserve"> </w:t>
      </w:r>
      <w:r w:rsidR="008F738D" w:rsidRPr="008F738D">
        <w:rPr>
          <w:i/>
          <w:iCs/>
          <w:color w:val="000000"/>
        </w:rPr>
        <w:t>Hipotēku un zemes banka</w:t>
      </w:r>
      <w:r w:rsidR="005C2BA5">
        <w:rPr>
          <w:color w:val="000000"/>
        </w:rPr>
        <w:t xml:space="preserve">, bet </w:t>
      </w:r>
      <w:r w:rsidR="00207FE3">
        <w:rPr>
          <w:color w:val="000000"/>
        </w:rPr>
        <w:t>[pers. C]</w:t>
      </w:r>
      <w:r w:rsidR="005C2BA5">
        <w:rPr>
          <w:color w:val="000000"/>
        </w:rPr>
        <w:t xml:space="preserve">, </w:t>
      </w:r>
      <w:r w:rsidR="008F738D">
        <w:rPr>
          <w:color w:val="000000"/>
        </w:rPr>
        <w:t xml:space="preserve">un no apsūdzētā </w:t>
      </w:r>
      <w:r w:rsidR="00207FE3">
        <w:rPr>
          <w:color w:val="000000"/>
        </w:rPr>
        <w:t>[pers. A]</w:t>
      </w:r>
      <w:r w:rsidR="005C2BA5">
        <w:rPr>
          <w:color w:val="000000"/>
        </w:rPr>
        <w:t xml:space="preserve"> kaitējuma kompensāciju nepiedzina.</w:t>
      </w:r>
    </w:p>
    <w:p w14:paraId="654416DB" w14:textId="4B9D0D79" w:rsidR="002346A4" w:rsidRDefault="004854FF" w:rsidP="008F738D">
      <w:pPr>
        <w:spacing w:line="276" w:lineRule="auto"/>
        <w:ind w:firstLine="720"/>
        <w:jc w:val="both"/>
        <w:rPr>
          <w:color w:val="000000"/>
        </w:rPr>
      </w:pPr>
      <w:r>
        <w:rPr>
          <w:color w:val="000000"/>
        </w:rPr>
        <w:t xml:space="preserve">Sava atzinuma pamatošanai par nepieciešamību </w:t>
      </w:r>
      <w:r w:rsidR="00A10F04">
        <w:rPr>
          <w:color w:val="000000"/>
        </w:rPr>
        <w:t xml:space="preserve">lietu </w:t>
      </w:r>
      <w:r>
        <w:rPr>
          <w:color w:val="000000"/>
        </w:rPr>
        <w:t>nosūt</w:t>
      </w:r>
      <w:r w:rsidR="00A10F04">
        <w:rPr>
          <w:color w:val="000000"/>
        </w:rPr>
        <w:t>īt</w:t>
      </w:r>
      <w:r>
        <w:rPr>
          <w:color w:val="000000"/>
        </w:rPr>
        <w:t xml:space="preserve"> jaunai iz</w:t>
      </w:r>
      <w:r w:rsidR="005C2BA5">
        <w:rPr>
          <w:color w:val="000000"/>
        </w:rPr>
        <w:t>tiesāšanai</w:t>
      </w:r>
      <w:r>
        <w:rPr>
          <w:color w:val="000000"/>
        </w:rPr>
        <w:t xml:space="preserve"> pirmās instances tiesā, apelācijas instances tiesa</w:t>
      </w:r>
      <w:r w:rsidR="008F738D">
        <w:rPr>
          <w:color w:val="000000"/>
        </w:rPr>
        <w:t xml:space="preserve"> tostarp</w:t>
      </w:r>
      <w:r w:rsidR="002346A4">
        <w:rPr>
          <w:color w:val="000000"/>
        </w:rPr>
        <w:t xml:space="preserve"> atsaukusies</w:t>
      </w:r>
      <w:r w:rsidR="008F738D">
        <w:rPr>
          <w:color w:val="000000"/>
        </w:rPr>
        <w:t xml:space="preserve"> arī</w:t>
      </w:r>
      <w:r w:rsidR="002346A4">
        <w:rPr>
          <w:color w:val="000000"/>
        </w:rPr>
        <w:t xml:space="preserve"> uz liecinieka </w:t>
      </w:r>
      <w:r w:rsidR="00207FE3">
        <w:rPr>
          <w:color w:val="000000"/>
        </w:rPr>
        <w:t>[pers. C]</w:t>
      </w:r>
      <w:r w:rsidR="002346A4">
        <w:rPr>
          <w:color w:val="000000"/>
        </w:rPr>
        <w:t xml:space="preserve"> un viņa </w:t>
      </w:r>
      <w:r w:rsidR="002346A4">
        <w:rPr>
          <w:color w:val="000000"/>
        </w:rPr>
        <w:lastRenderedPageBreak/>
        <w:t xml:space="preserve">pārstāvja – advokāta A. Pundura iesniegumiem, kas datēti attiecīgi ar 2017.gada 17. un 23.augustu (10 mēnešus pēc pirmās instances tiesas sprieduma pasludināšanas), kuros izteikts lūgums atcelt pirmās instances tiesas spriedumu un nosūtīt lietu jaunai izskatīšanai, lai novērstu </w:t>
      </w:r>
      <w:r w:rsidR="00207FE3">
        <w:rPr>
          <w:color w:val="000000"/>
        </w:rPr>
        <w:t>[pers. C]</w:t>
      </w:r>
      <w:r w:rsidR="002346A4">
        <w:rPr>
          <w:color w:val="000000"/>
        </w:rPr>
        <w:t xml:space="preserve"> kā cietušā tiesību pārkāpumu. Proti, apelācijas instances tiesa savu atzinumu pamatojusi arī ar lūgum</w:t>
      </w:r>
      <w:r w:rsidR="008F738D">
        <w:rPr>
          <w:color w:val="000000"/>
        </w:rPr>
        <w:t>u</w:t>
      </w:r>
      <w:r w:rsidR="002346A4">
        <w:rPr>
          <w:color w:val="000000"/>
        </w:rPr>
        <w:t>, ko izteikušas personas, kurām šajā konkrētajā lietā nebija tiesiska pamata paust viedokli par pirmās instances tiesas</w:t>
      </w:r>
      <w:r w:rsidR="00C94514">
        <w:rPr>
          <w:color w:val="000000"/>
        </w:rPr>
        <w:t xml:space="preserve"> sprieduma</w:t>
      </w:r>
      <w:r w:rsidR="002346A4">
        <w:rPr>
          <w:color w:val="000000"/>
        </w:rPr>
        <w:t xml:space="preserve"> likumību un pamatotību.</w:t>
      </w:r>
      <w:r w:rsidR="00B52199">
        <w:rPr>
          <w:color w:val="000000"/>
        </w:rPr>
        <w:t xml:space="preserve"> Vienlaikus apelācijas instances tiesa nav izvērtējusi pirmās instances tiesas spriedumā norādīto apstākli, proti, ka </w:t>
      </w:r>
      <w:r w:rsidR="00207FE3">
        <w:rPr>
          <w:color w:val="000000"/>
        </w:rPr>
        <w:t>[pers. C]</w:t>
      </w:r>
      <w:r w:rsidR="00B52199">
        <w:rPr>
          <w:color w:val="000000"/>
        </w:rPr>
        <w:t xml:space="preserve">, ja viņš uzskatīja, ka </w:t>
      </w:r>
      <w:r w:rsidR="002B0F11">
        <w:rPr>
          <w:color w:val="000000"/>
        </w:rPr>
        <w:t xml:space="preserve">viņam nozieguma rezultātā ir nodarīts kaitējums, jau no 2009.gada bija tiesības vērsties tiesībsargājošās iestādēs. </w:t>
      </w:r>
      <w:r w:rsidR="00B52199">
        <w:rPr>
          <w:color w:val="000000"/>
        </w:rPr>
        <w:t xml:space="preserve"> </w:t>
      </w:r>
    </w:p>
    <w:p w14:paraId="28360BDC" w14:textId="77777777" w:rsidR="005E047E" w:rsidRDefault="005E047E" w:rsidP="002346A4">
      <w:pPr>
        <w:spacing w:line="276" w:lineRule="auto"/>
        <w:ind w:firstLine="720"/>
        <w:jc w:val="both"/>
        <w:rPr>
          <w:color w:val="000000"/>
        </w:rPr>
      </w:pPr>
      <w:r>
        <w:rPr>
          <w:color w:val="000000"/>
        </w:rPr>
        <w:t>A</w:t>
      </w:r>
      <w:r w:rsidR="00D444A9">
        <w:rPr>
          <w:color w:val="000000"/>
        </w:rPr>
        <w:t>tbilstoši Kriminālprocesa likuma 566.pantā noteiktajam, ja apelācijas instances tiesa, izskatot lietu, konstatē šā likuma pārkāpumu, kas katrā ziņā izraisa sprieduma atcelšanu, vai kādu citu būtisku šā likuma pārkāpumu, kuru tā pati nevar novērst, nepārkāpjot apsūdzētā tiesības uz aizstāvību, tā pieņem lēmumu par pirmās instances tiesas sprieduma atcelšanu pilnībā vai kādā tā daļā un lietas nosūtīšanu jaunai izsk</w:t>
      </w:r>
      <w:r w:rsidR="00C94514">
        <w:rPr>
          <w:color w:val="000000"/>
        </w:rPr>
        <w:t>atīšanai pirmās instances tiesā</w:t>
      </w:r>
      <w:r>
        <w:rPr>
          <w:color w:val="000000"/>
        </w:rPr>
        <w:t>.</w:t>
      </w:r>
    </w:p>
    <w:p w14:paraId="3C1D6F7C" w14:textId="3C71CA05" w:rsidR="00D444A9" w:rsidRDefault="00117CC5" w:rsidP="002346A4">
      <w:pPr>
        <w:spacing w:line="276" w:lineRule="auto"/>
        <w:ind w:firstLine="720"/>
        <w:jc w:val="both"/>
        <w:rPr>
          <w:color w:val="000000"/>
        </w:rPr>
      </w:pPr>
      <w:r>
        <w:rPr>
          <w:color w:val="000000"/>
        </w:rPr>
        <w:t>I</w:t>
      </w:r>
      <w:r w:rsidR="00D444A9">
        <w:rPr>
          <w:color w:val="000000"/>
        </w:rPr>
        <w:t>zskatāmajā lietā apelācijas instances tiesa šādu pārkāpumu nav konstatējusi.</w:t>
      </w:r>
    </w:p>
    <w:p w14:paraId="4F30D508" w14:textId="6FE1355C" w:rsidR="00F37B00" w:rsidRDefault="00D444A9" w:rsidP="002346A4">
      <w:pPr>
        <w:spacing w:line="276" w:lineRule="auto"/>
        <w:ind w:firstLine="720"/>
        <w:jc w:val="both"/>
        <w:rPr>
          <w:color w:val="000000"/>
        </w:rPr>
      </w:pPr>
      <w:r>
        <w:rPr>
          <w:color w:val="000000"/>
        </w:rPr>
        <w:t xml:space="preserve">Turklāt apelācijas instances tiesa nav motivējusi, kāpēc tā noraida </w:t>
      </w:r>
      <w:r w:rsidR="008F738D">
        <w:rPr>
          <w:color w:val="000000"/>
        </w:rPr>
        <w:t xml:space="preserve">pirmās instances tiesas </w:t>
      </w:r>
      <w:r w:rsidR="00117CC5">
        <w:rPr>
          <w:color w:val="000000"/>
        </w:rPr>
        <w:t>atzinumu,</w:t>
      </w:r>
      <w:r w:rsidR="00055DB3">
        <w:rPr>
          <w:color w:val="000000"/>
        </w:rPr>
        <w:t xml:space="preserve"> k</w:t>
      </w:r>
      <w:r w:rsidR="00B52199">
        <w:rPr>
          <w:color w:val="000000"/>
        </w:rPr>
        <w:t>as</w:t>
      </w:r>
      <w:r w:rsidR="00055DB3">
        <w:rPr>
          <w:color w:val="000000"/>
        </w:rPr>
        <w:t xml:space="preserve"> pamatots ar</w:t>
      </w:r>
      <w:r w:rsidR="00117CC5">
        <w:rPr>
          <w:color w:val="000000"/>
        </w:rPr>
        <w:t xml:space="preserve"> atsau</w:t>
      </w:r>
      <w:r w:rsidR="00B52199">
        <w:rPr>
          <w:color w:val="000000"/>
        </w:rPr>
        <w:t>ci</w:t>
      </w:r>
      <w:r w:rsidR="00117CC5">
        <w:rPr>
          <w:color w:val="000000"/>
        </w:rPr>
        <w:t xml:space="preserve"> uz </w:t>
      </w:r>
      <w:r w:rsidR="002346A4">
        <w:rPr>
          <w:color w:val="000000"/>
        </w:rPr>
        <w:t>Kriminālprocesa likuma 96.panta ceturt</w:t>
      </w:r>
      <w:r w:rsidR="00117CC5">
        <w:rPr>
          <w:color w:val="000000"/>
        </w:rPr>
        <w:t>o</w:t>
      </w:r>
      <w:r w:rsidR="002346A4">
        <w:rPr>
          <w:color w:val="000000"/>
        </w:rPr>
        <w:t xml:space="preserve"> daļ</w:t>
      </w:r>
      <w:r w:rsidR="00117CC5">
        <w:rPr>
          <w:color w:val="000000"/>
        </w:rPr>
        <w:t>u</w:t>
      </w:r>
      <w:r w:rsidR="00F37B00">
        <w:rPr>
          <w:color w:val="000000"/>
        </w:rPr>
        <w:t>, ka tiesa var atzīt personu par cietušo krimināllietas iztiesāšanā līdz tiesas izmeklēšanas sākumam pirmās instances tiesā</w:t>
      </w:r>
      <w:r w:rsidR="00117CC5">
        <w:rPr>
          <w:color w:val="000000"/>
        </w:rPr>
        <w:t xml:space="preserve">. Līdz ar to apelācijas instances tiesa </w:t>
      </w:r>
      <w:r w:rsidR="00B52199">
        <w:rPr>
          <w:color w:val="000000"/>
        </w:rPr>
        <w:t>pārkāpusi</w:t>
      </w:r>
      <w:r w:rsidR="00117CC5">
        <w:rPr>
          <w:color w:val="000000"/>
        </w:rPr>
        <w:t xml:space="preserve"> Kriminālprocesa likuma 564.panta ceturtajā daļā noteikto, ka</w:t>
      </w:r>
      <w:r w:rsidR="00B52199">
        <w:rPr>
          <w:color w:val="000000"/>
        </w:rPr>
        <w:t xml:space="preserve"> nolēmuma motīvu daļā norāda pierādījumus, kas apstiprina apelācijas instances tiesas atzinumu, motīvus, kāpēc apelācijas instances tiesa noraida kādus pierādījumus, un  likumus, pēc kuriem tā vadās. </w:t>
      </w:r>
      <w:r w:rsidR="00117CC5">
        <w:rPr>
          <w:color w:val="000000"/>
        </w:rPr>
        <w:t xml:space="preserve"> </w:t>
      </w:r>
      <w:r w:rsidR="00F37B00">
        <w:rPr>
          <w:color w:val="000000"/>
        </w:rPr>
        <w:t xml:space="preserve"> </w:t>
      </w:r>
    </w:p>
    <w:p w14:paraId="6A040D36" w14:textId="77777777" w:rsidR="00117CC5" w:rsidRDefault="00117CC5" w:rsidP="00117CC5">
      <w:pPr>
        <w:spacing w:line="276" w:lineRule="auto"/>
        <w:ind w:firstLine="720"/>
        <w:jc w:val="both"/>
        <w:rPr>
          <w:color w:val="000000"/>
        </w:rPr>
      </w:pPr>
    </w:p>
    <w:p w14:paraId="0E4BF14F" w14:textId="40EF27B7" w:rsidR="008931D3" w:rsidRDefault="00D444A9" w:rsidP="00117CC5">
      <w:pPr>
        <w:spacing w:line="276" w:lineRule="auto"/>
        <w:ind w:firstLine="720"/>
        <w:jc w:val="both"/>
        <w:rPr>
          <w:color w:val="000000"/>
        </w:rPr>
      </w:pPr>
      <w:r>
        <w:rPr>
          <w:color w:val="000000"/>
        </w:rPr>
        <w:t>[12]</w:t>
      </w:r>
      <w:r w:rsidR="00363927">
        <w:rPr>
          <w:color w:val="000000"/>
        </w:rPr>
        <w:t xml:space="preserve"> </w:t>
      </w:r>
      <w:r>
        <w:rPr>
          <w:color w:val="000000"/>
        </w:rPr>
        <w:t xml:space="preserve">Kasācijas instances tiesa atzīst, ka </w:t>
      </w:r>
      <w:r w:rsidR="008931D3">
        <w:rPr>
          <w:color w:val="000000"/>
        </w:rPr>
        <w:t xml:space="preserve">apelācijas instances tiesas spriedums daļā par </w:t>
      </w:r>
      <w:r w:rsidR="00207FE3">
        <w:rPr>
          <w:color w:val="000000"/>
        </w:rPr>
        <w:t>[pers. B]</w:t>
      </w:r>
      <w:r>
        <w:rPr>
          <w:color w:val="000000"/>
        </w:rPr>
        <w:t xml:space="preserve"> </w:t>
      </w:r>
      <w:r w:rsidR="008931D3">
        <w:rPr>
          <w:color w:val="000000"/>
        </w:rPr>
        <w:t xml:space="preserve">atzīšanu par nevainīgu </w:t>
      </w:r>
      <w:r>
        <w:rPr>
          <w:color w:val="000000"/>
        </w:rPr>
        <w:t>apsūdzībā pēc Krimināllikuma 179.panta trešās daļas</w:t>
      </w:r>
      <w:r w:rsidR="008931D3">
        <w:rPr>
          <w:color w:val="000000"/>
        </w:rPr>
        <w:t xml:space="preserve"> un attaisnošanu</w:t>
      </w:r>
      <w:r>
        <w:rPr>
          <w:color w:val="000000"/>
        </w:rPr>
        <w:t xml:space="preserve"> </w:t>
      </w:r>
      <w:r w:rsidR="008931D3">
        <w:rPr>
          <w:color w:val="000000"/>
        </w:rPr>
        <w:t xml:space="preserve">un </w:t>
      </w:r>
      <w:r w:rsidR="00207FE3">
        <w:rPr>
          <w:color w:val="000000"/>
        </w:rPr>
        <w:t>[pers. A]</w:t>
      </w:r>
      <w:r w:rsidR="008931D3">
        <w:rPr>
          <w:color w:val="000000"/>
        </w:rPr>
        <w:t xml:space="preserve"> atzīšanu par nevainīgu apsūdzībā pēc Krimināllikuma 20.panta otrās, trešās un ceturtās daļas un 179.panta trešās daļas un attaisnošanu ir atstājams negrozīts, bet prokurora protests </w:t>
      </w:r>
      <w:r w:rsidR="00117CC5">
        <w:rPr>
          <w:color w:val="000000"/>
        </w:rPr>
        <w:t xml:space="preserve">šajā daļā </w:t>
      </w:r>
      <w:r w:rsidR="008931D3">
        <w:rPr>
          <w:color w:val="000000"/>
        </w:rPr>
        <w:t>noraidāms.</w:t>
      </w:r>
      <w:r w:rsidR="00453901">
        <w:rPr>
          <w:color w:val="000000"/>
        </w:rPr>
        <w:t xml:space="preserve"> Senāts konstatē, ka prokurora kasācijas protestā šajā daļā nav izklāstīti tādi argumenti, kas varētu būt par pamatu apelācijas instances tiesas nolēmuma atcelšanai vai grozīšanai.</w:t>
      </w:r>
    </w:p>
    <w:p w14:paraId="113F3EBA" w14:textId="77777777" w:rsidR="002B0F11" w:rsidRDefault="00453901" w:rsidP="002B0F11">
      <w:pPr>
        <w:spacing w:line="276" w:lineRule="auto"/>
        <w:ind w:firstLine="720"/>
        <w:jc w:val="both"/>
        <w:rPr>
          <w:color w:val="000000"/>
        </w:rPr>
      </w:pPr>
      <w:r>
        <w:rPr>
          <w:color w:val="000000"/>
        </w:rPr>
        <w:t>Atzīstot, ka pirmās instances tiesa</w:t>
      </w:r>
      <w:r w:rsidR="00CD0D80">
        <w:rPr>
          <w:color w:val="000000"/>
        </w:rPr>
        <w:t xml:space="preserve"> lietā iegūtos pierādījumus ir izvērtējusi atbilstoši Kriminālprocesa likuma normās noteiktajam, apelācijas instances tiesa, pamatojoties uz Kriminālprocesa likuma 564.panta sesto daļu, atzinusi par iespējamu neatkārtot pirmās instances tiesas spriedumā minētos pierādījumus un atzinumus. </w:t>
      </w:r>
      <w:r w:rsidR="004673B4">
        <w:rPr>
          <w:color w:val="000000"/>
        </w:rPr>
        <w:t>Vienlaikus apelācijas instances tiesa izvērtējusi arī apelācijas protestā minētos argumentus</w:t>
      </w:r>
      <w:r w:rsidR="00CD0D80">
        <w:rPr>
          <w:color w:val="000000"/>
        </w:rPr>
        <w:t>, kas atkārtoti arī kasācijas protestā,</w:t>
      </w:r>
      <w:r w:rsidR="00001DF8">
        <w:rPr>
          <w:color w:val="000000"/>
        </w:rPr>
        <w:t xml:space="preserve"> un tos motivēti noraidījusi.</w:t>
      </w:r>
      <w:r w:rsidR="00E87AB5">
        <w:rPr>
          <w:color w:val="000000"/>
        </w:rPr>
        <w:t xml:space="preserve"> </w:t>
      </w:r>
    </w:p>
    <w:p w14:paraId="5217AD72" w14:textId="20ADA502" w:rsidR="00001DF8" w:rsidRDefault="00E87AB5" w:rsidP="008C62DC">
      <w:pPr>
        <w:spacing w:line="276" w:lineRule="auto"/>
        <w:ind w:firstLine="720"/>
        <w:jc w:val="both"/>
        <w:rPr>
          <w:color w:val="000000"/>
        </w:rPr>
      </w:pPr>
      <w:r>
        <w:rPr>
          <w:color w:val="000000"/>
        </w:rPr>
        <w:t xml:space="preserve">Kasācijas instances tiesa </w:t>
      </w:r>
      <w:r w:rsidR="002B0F11">
        <w:rPr>
          <w:color w:val="000000"/>
        </w:rPr>
        <w:t>atzīst, ka protestā izteiktais apgalvojums par abu tiesu instanču pieļautajiem Kriminālprocesa likuma normu pārkāpumiem, izvērtēj</w:t>
      </w:r>
      <w:r w:rsidR="00363927">
        <w:rPr>
          <w:color w:val="000000"/>
        </w:rPr>
        <w:t>ot pierādījumus, nav argumentēts</w:t>
      </w:r>
      <w:r w:rsidR="008C62DC">
        <w:rPr>
          <w:color w:val="000000"/>
        </w:rPr>
        <w:t xml:space="preserve">. Vienlaikus protestā nav izvērtēti apelācijas instances tiesas spriedumā minētie argumenti par apsūdzētajam </w:t>
      </w:r>
      <w:r w:rsidR="00207FE3">
        <w:rPr>
          <w:color w:val="000000"/>
        </w:rPr>
        <w:t>[pers. A]</w:t>
      </w:r>
      <w:r w:rsidR="008C62DC">
        <w:rPr>
          <w:color w:val="000000"/>
        </w:rPr>
        <w:t xml:space="preserve"> celtās apsūdzības pamatotību pēc Krimināllikuma 179.panta. </w:t>
      </w:r>
    </w:p>
    <w:p w14:paraId="7B5FFE69" w14:textId="46FF8C1C" w:rsidR="009C0F55" w:rsidRDefault="002B0F11" w:rsidP="00224DF1">
      <w:pPr>
        <w:spacing w:line="276" w:lineRule="auto"/>
        <w:ind w:firstLine="720"/>
        <w:jc w:val="both"/>
        <w:rPr>
          <w:color w:val="000000"/>
        </w:rPr>
      </w:pPr>
      <w:r>
        <w:rPr>
          <w:color w:val="000000"/>
        </w:rPr>
        <w:t>Atbilstoši Kriminālprocesa likuma 569.panta pirmajā un trešajā daļā noteiktajam kasācijas instances tiesa pierādījumus lietā no jauna neizvērtē</w:t>
      </w:r>
      <w:r w:rsidR="008C62DC">
        <w:rPr>
          <w:color w:val="000000"/>
        </w:rPr>
        <w:t>, savukārt apelācijas instances tiesas pieļautus pārkāpumus pierādījumu izvērtēšanā</w:t>
      </w:r>
      <w:r w:rsidR="005E047E">
        <w:rPr>
          <w:color w:val="000000"/>
        </w:rPr>
        <w:t>, izskatot lietu</w:t>
      </w:r>
      <w:r w:rsidR="008C62DC">
        <w:rPr>
          <w:color w:val="000000"/>
        </w:rPr>
        <w:t xml:space="preserve"> šajā daļā</w:t>
      </w:r>
      <w:r w:rsidR="005E047E">
        <w:rPr>
          <w:color w:val="000000"/>
        </w:rPr>
        <w:t>,</w:t>
      </w:r>
      <w:r w:rsidR="008C62DC">
        <w:rPr>
          <w:color w:val="000000"/>
        </w:rPr>
        <w:t xml:space="preserve"> kasācijas instances tiesa nekonstatē.</w:t>
      </w:r>
    </w:p>
    <w:p w14:paraId="10F8B6BC" w14:textId="358F8626" w:rsidR="00031497" w:rsidRPr="006F54A3" w:rsidRDefault="00031497" w:rsidP="006F54A3">
      <w:pPr>
        <w:spacing w:line="276" w:lineRule="auto"/>
        <w:ind w:firstLine="720"/>
        <w:jc w:val="both"/>
        <w:rPr>
          <w:color w:val="000000"/>
        </w:rPr>
      </w:pPr>
      <w:r w:rsidRPr="008C62DC">
        <w:rPr>
          <w:color w:val="000000"/>
        </w:rPr>
        <w:lastRenderedPageBreak/>
        <w:t>[</w:t>
      </w:r>
      <w:r w:rsidR="00001DF8" w:rsidRPr="008C62DC">
        <w:rPr>
          <w:color w:val="000000"/>
        </w:rPr>
        <w:t>13</w:t>
      </w:r>
      <w:r w:rsidRPr="008C62DC">
        <w:rPr>
          <w:color w:val="000000"/>
        </w:rPr>
        <w:t xml:space="preserve">] Pirmstiesas procesā apsūdzētajam </w:t>
      </w:r>
      <w:r w:rsidR="00207FE3">
        <w:rPr>
          <w:color w:val="000000"/>
        </w:rPr>
        <w:t>[pers. A]</w:t>
      </w:r>
      <w:r w:rsidRPr="008C62DC">
        <w:rPr>
          <w:color w:val="000000"/>
        </w:rPr>
        <w:t xml:space="preserve"> piemēroti drošības līdzekļi –</w:t>
      </w:r>
      <w:r>
        <w:rPr>
          <w:color w:val="000000"/>
        </w:rPr>
        <w:t xml:space="preserve"> drošības nauda un aizliegums izbraukt no valsts.</w:t>
      </w:r>
    </w:p>
    <w:p w14:paraId="3086F41C" w14:textId="4E0A1A46" w:rsidR="00031497" w:rsidRDefault="006F54A3" w:rsidP="00031497">
      <w:pPr>
        <w:spacing w:line="276" w:lineRule="auto"/>
        <w:ind w:firstLine="720"/>
        <w:jc w:val="both"/>
        <w:rPr>
          <w:color w:val="000000"/>
        </w:rPr>
      </w:pPr>
      <w:r>
        <w:rPr>
          <w:color w:val="000000"/>
        </w:rPr>
        <w:t>Ar p</w:t>
      </w:r>
      <w:r w:rsidR="00031497">
        <w:rPr>
          <w:color w:val="000000"/>
        </w:rPr>
        <w:t>irmās instances tiesa</w:t>
      </w:r>
      <w:r>
        <w:rPr>
          <w:color w:val="000000"/>
        </w:rPr>
        <w:t xml:space="preserve">s spriedumu apsūdzētajam </w:t>
      </w:r>
      <w:r w:rsidR="00207FE3">
        <w:rPr>
          <w:color w:val="000000"/>
        </w:rPr>
        <w:t>[pers. A]</w:t>
      </w:r>
      <w:r w:rsidR="00031497">
        <w:rPr>
          <w:color w:val="000000"/>
        </w:rPr>
        <w:t xml:space="preserve"> piemērot</w:t>
      </w:r>
      <w:r w:rsidR="000C3639">
        <w:rPr>
          <w:color w:val="000000"/>
        </w:rPr>
        <w:t>s drošības</w:t>
      </w:r>
      <w:r w:rsidR="00031497">
        <w:rPr>
          <w:color w:val="000000"/>
        </w:rPr>
        <w:t xml:space="preserve"> līdzek</w:t>
      </w:r>
      <w:r w:rsidR="000C3639">
        <w:rPr>
          <w:color w:val="000000"/>
        </w:rPr>
        <w:t>lis –</w:t>
      </w:r>
      <w:r w:rsidR="00031497">
        <w:rPr>
          <w:color w:val="000000"/>
        </w:rPr>
        <w:t xml:space="preserve"> apcietinājum</w:t>
      </w:r>
      <w:r w:rsidR="000C3639">
        <w:rPr>
          <w:color w:val="000000"/>
        </w:rPr>
        <w:t>s</w:t>
      </w:r>
      <w:r w:rsidR="00DD2CD1">
        <w:rPr>
          <w:color w:val="000000"/>
        </w:rPr>
        <w:t>,</w:t>
      </w:r>
      <w:r w:rsidR="00031497">
        <w:rPr>
          <w:color w:val="000000"/>
        </w:rPr>
        <w:t xml:space="preserve"> un nol</w:t>
      </w:r>
      <w:r w:rsidR="00DD2CD1">
        <w:rPr>
          <w:color w:val="000000"/>
        </w:rPr>
        <w:t>emts</w:t>
      </w:r>
      <w:r w:rsidR="00031497">
        <w:rPr>
          <w:color w:val="000000"/>
        </w:rPr>
        <w:t xml:space="preserve"> viņu apcietināt tiesas sēžu zālē. Savukārt </w:t>
      </w:r>
      <w:r w:rsidR="00DD2CD1">
        <w:rPr>
          <w:color w:val="000000"/>
        </w:rPr>
        <w:t xml:space="preserve">drošības </w:t>
      </w:r>
      <w:r w:rsidR="00031497">
        <w:rPr>
          <w:color w:val="000000"/>
        </w:rPr>
        <w:t>naudu</w:t>
      </w:r>
      <w:r w:rsidR="00DD2CD1">
        <w:rPr>
          <w:color w:val="000000"/>
        </w:rPr>
        <w:t xml:space="preserve"> – 1</w:t>
      </w:r>
      <w:r w:rsidR="00001DF8">
        <w:rPr>
          <w:color w:val="000000"/>
        </w:rPr>
        <w:t>4 228,72</w:t>
      </w:r>
      <w:r w:rsidR="00DD2CD1">
        <w:rPr>
          <w:color w:val="000000"/>
        </w:rPr>
        <w:t xml:space="preserve"> </w:t>
      </w:r>
      <w:proofErr w:type="spellStart"/>
      <w:r w:rsidR="00DD2CD1" w:rsidRPr="00DD2CD1">
        <w:rPr>
          <w:i/>
          <w:iCs/>
          <w:color w:val="000000"/>
        </w:rPr>
        <w:t>euro</w:t>
      </w:r>
      <w:proofErr w:type="spellEnd"/>
      <w:r w:rsidR="007F38AA">
        <w:rPr>
          <w:color w:val="000000"/>
        </w:rPr>
        <w:t xml:space="preserve"> – </w:t>
      </w:r>
      <w:r w:rsidR="00031497">
        <w:rPr>
          <w:color w:val="000000"/>
        </w:rPr>
        <w:t xml:space="preserve">pirmās instances tiesa </w:t>
      </w:r>
      <w:r w:rsidR="00DD2CD1">
        <w:rPr>
          <w:color w:val="000000"/>
        </w:rPr>
        <w:t>no</w:t>
      </w:r>
      <w:r w:rsidR="00031497">
        <w:rPr>
          <w:color w:val="000000"/>
        </w:rPr>
        <w:t>lēm</w:t>
      </w:r>
      <w:r w:rsidR="00117CC5">
        <w:rPr>
          <w:color w:val="000000"/>
        </w:rPr>
        <w:t>usi</w:t>
      </w:r>
      <w:r w:rsidR="00031497">
        <w:rPr>
          <w:color w:val="000000"/>
        </w:rPr>
        <w:t xml:space="preserve"> atdot </w:t>
      </w:r>
      <w:r w:rsidR="00207FE3">
        <w:rPr>
          <w:color w:val="000000"/>
        </w:rPr>
        <w:t>[</w:t>
      </w:r>
      <w:bookmarkStart w:id="0" w:name="_GoBack"/>
      <w:r w:rsidR="00207FE3">
        <w:rPr>
          <w:color w:val="000000"/>
        </w:rPr>
        <w:t>pers. E</w:t>
      </w:r>
      <w:bookmarkEnd w:id="0"/>
      <w:r w:rsidR="00207FE3">
        <w:rPr>
          <w:color w:val="000000"/>
        </w:rPr>
        <w:t>]</w:t>
      </w:r>
      <w:r w:rsidR="00031497">
        <w:rPr>
          <w:color w:val="000000"/>
        </w:rPr>
        <w:t xml:space="preserve"> pēc sprieduma stāšanās spēkā.</w:t>
      </w:r>
    </w:p>
    <w:p w14:paraId="07D07650" w14:textId="05D44AA9" w:rsidR="00031497" w:rsidRDefault="00031497" w:rsidP="00423159">
      <w:pPr>
        <w:spacing w:line="276" w:lineRule="auto"/>
        <w:ind w:firstLine="720"/>
        <w:jc w:val="both"/>
        <w:rPr>
          <w:color w:val="000000"/>
        </w:rPr>
      </w:pPr>
      <w:r>
        <w:rPr>
          <w:color w:val="000000"/>
        </w:rPr>
        <w:t>Apelācijas instances tiesa</w:t>
      </w:r>
      <w:r w:rsidR="00423159">
        <w:rPr>
          <w:color w:val="000000"/>
        </w:rPr>
        <w:t>, atceļot</w:t>
      </w:r>
      <w:r>
        <w:rPr>
          <w:color w:val="000000"/>
        </w:rPr>
        <w:t xml:space="preserve"> pirmās instances t</w:t>
      </w:r>
      <w:r w:rsidR="00363927">
        <w:rPr>
          <w:color w:val="000000"/>
        </w:rPr>
        <w:t>iesas spriedumu daļā un nosūtot</w:t>
      </w:r>
      <w:r>
        <w:rPr>
          <w:color w:val="000000"/>
        </w:rPr>
        <w:t xml:space="preserve"> lietu jaunai izskatīšanai</w:t>
      </w:r>
      <w:r w:rsidR="00DD2CD1">
        <w:rPr>
          <w:color w:val="000000"/>
        </w:rPr>
        <w:t xml:space="preserve"> pirmās</w:t>
      </w:r>
      <w:r>
        <w:rPr>
          <w:color w:val="000000"/>
        </w:rPr>
        <w:t xml:space="preserve"> instances tiesā</w:t>
      </w:r>
      <w:r w:rsidR="00363927">
        <w:rPr>
          <w:color w:val="000000"/>
        </w:rPr>
        <w:t>, atzina</w:t>
      </w:r>
      <w:r w:rsidR="00423159">
        <w:rPr>
          <w:color w:val="000000"/>
        </w:rPr>
        <w:t xml:space="preserve">, ka apsūdzētajam </w:t>
      </w:r>
      <w:r w:rsidR="00887139">
        <w:rPr>
          <w:color w:val="000000"/>
        </w:rPr>
        <w:t>[pers. A]</w:t>
      </w:r>
      <w:r w:rsidR="00423159">
        <w:rPr>
          <w:color w:val="000000"/>
        </w:rPr>
        <w:t xml:space="preserve"> turpināms piemērotais drošības līdzeklis – apcietinājums. Sava atzinuma pamatošanai apelācijas instances tiesa norādījusi, ka apsūdzētais pārkāpis viņam iepriekš piemēroto mazāk ierobežojošo drošības līdzekli, </w:t>
      </w:r>
      <w:r w:rsidR="000C3639">
        <w:rPr>
          <w:color w:val="000000"/>
        </w:rPr>
        <w:t>un, ka viņš</w:t>
      </w:r>
      <w:r w:rsidR="00423159">
        <w:rPr>
          <w:color w:val="000000"/>
        </w:rPr>
        <w:t xml:space="preserve"> ir apsūdzēts par sevišķi smaga nozieguma izdarīšanu.</w:t>
      </w:r>
      <w:r>
        <w:rPr>
          <w:color w:val="000000"/>
        </w:rPr>
        <w:t xml:space="preserve"> </w:t>
      </w:r>
      <w:r w:rsidR="00423159">
        <w:rPr>
          <w:color w:val="000000"/>
        </w:rPr>
        <w:t>Turklāt</w:t>
      </w:r>
      <w:r>
        <w:rPr>
          <w:color w:val="000000"/>
        </w:rPr>
        <w:t xml:space="preserve"> drošības līdzekli – drošības naud</w:t>
      </w:r>
      <w:r w:rsidR="007F38AA">
        <w:rPr>
          <w:color w:val="000000"/>
        </w:rPr>
        <w:t>a</w:t>
      </w:r>
      <w:r>
        <w:rPr>
          <w:color w:val="000000"/>
        </w:rPr>
        <w:t xml:space="preserve"> – apelācijas instances tiesa nolēmusi ieskaitīt valsts budžetā.</w:t>
      </w:r>
    </w:p>
    <w:p w14:paraId="319BDCA8" w14:textId="45CC4979" w:rsidR="00031497" w:rsidRDefault="00423159" w:rsidP="00DD2CD1">
      <w:pPr>
        <w:spacing w:line="276" w:lineRule="auto"/>
        <w:ind w:firstLine="720"/>
        <w:jc w:val="both"/>
        <w:rPr>
          <w:color w:val="000000"/>
        </w:rPr>
      </w:pPr>
      <w:r>
        <w:rPr>
          <w:color w:val="000000"/>
        </w:rPr>
        <w:t>Kasācijas instances tiesa norāda, ka a</w:t>
      </w:r>
      <w:r w:rsidR="00DD2CD1">
        <w:rPr>
          <w:color w:val="000000"/>
        </w:rPr>
        <w:t xml:space="preserve">tbilstoši </w:t>
      </w:r>
      <w:r w:rsidR="00894719">
        <w:rPr>
          <w:color w:val="000000"/>
        </w:rPr>
        <w:t>Kriminālprocesa likuma 257.pantā noteiktajam d</w:t>
      </w:r>
      <w:r w:rsidR="00031497">
        <w:rPr>
          <w:color w:val="000000"/>
        </w:rPr>
        <w:t xml:space="preserve">rošības nauda tiek piemērota, lai nodrošinātu aizdomās turētā vai apsūdzētā ierašanos pēc procesa virzītāja uzaicinājuma un citu likumā noteikto procesuālo pienākumu izpildi. </w:t>
      </w:r>
      <w:r w:rsidR="007F38AA">
        <w:rPr>
          <w:color w:val="000000"/>
        </w:rPr>
        <w:t xml:space="preserve">Savukārt, ja aizdomās turētais vai apsūdzētais nepilda procesuālos pienākumus vai izdara jaunu tīšu noziedzīgu nodarījumu, </w:t>
      </w:r>
      <w:r w:rsidR="004A68ED">
        <w:rPr>
          <w:color w:val="000000"/>
        </w:rPr>
        <w:t>d</w:t>
      </w:r>
      <w:r w:rsidR="00031497">
        <w:rPr>
          <w:color w:val="000000"/>
        </w:rPr>
        <w:t>rošības nauda ar procesa virzītāja lēmumu ieskaitāma valsts budžetā</w:t>
      </w:r>
      <w:r w:rsidR="004A68ED">
        <w:rPr>
          <w:color w:val="000000"/>
        </w:rPr>
        <w:t>.</w:t>
      </w:r>
      <w:r w:rsidR="00031497">
        <w:rPr>
          <w:color w:val="000000"/>
        </w:rPr>
        <w:t xml:space="preserve"> </w:t>
      </w:r>
      <w:r w:rsidR="000C3639">
        <w:rPr>
          <w:color w:val="000000"/>
        </w:rPr>
        <w:t>C</w:t>
      </w:r>
      <w:r w:rsidR="00031497">
        <w:rPr>
          <w:color w:val="000000"/>
        </w:rPr>
        <w:t>itos drošības līdzekļa atcelšanas vai grozīšanas gadījumos</w:t>
      </w:r>
      <w:r w:rsidR="004A68ED">
        <w:rPr>
          <w:color w:val="000000"/>
        </w:rPr>
        <w:t xml:space="preserve"> drošības nauda</w:t>
      </w:r>
      <w:r w:rsidR="00031497">
        <w:rPr>
          <w:color w:val="000000"/>
        </w:rPr>
        <w:t xml:space="preserve"> atdodama tās devējam.</w:t>
      </w:r>
    </w:p>
    <w:p w14:paraId="6B1973DE" w14:textId="2FFC5BA1" w:rsidR="00055462" w:rsidRDefault="00055462" w:rsidP="00501DA3">
      <w:pPr>
        <w:spacing w:line="276" w:lineRule="auto"/>
        <w:ind w:firstLine="720"/>
        <w:jc w:val="both"/>
        <w:rPr>
          <w:color w:val="000000"/>
        </w:rPr>
      </w:pPr>
      <w:r>
        <w:rPr>
          <w:color w:val="000000"/>
        </w:rPr>
        <w:t>Apelācijas instances tiesa</w:t>
      </w:r>
      <w:r w:rsidR="002E2CE5">
        <w:rPr>
          <w:color w:val="000000"/>
        </w:rPr>
        <w:t xml:space="preserve">, atceļot </w:t>
      </w:r>
      <w:r w:rsidR="002C099C">
        <w:rPr>
          <w:color w:val="000000"/>
        </w:rPr>
        <w:t>pirmās instances tiesas spriedumu daļā par rīcību ar drošības naudu, atzinusi, ka</w:t>
      </w:r>
      <w:r w:rsidR="00363927">
        <w:rPr>
          <w:color w:val="000000"/>
        </w:rPr>
        <w:t>,</w:t>
      </w:r>
      <w:r>
        <w:rPr>
          <w:color w:val="000000"/>
        </w:rPr>
        <w:t xml:space="preserve"> </w:t>
      </w:r>
      <w:r w:rsidR="00363927">
        <w:rPr>
          <w:color w:val="000000"/>
        </w:rPr>
        <w:t xml:space="preserve">neierodoties uz pirmās instances tiesas sēdi, </w:t>
      </w:r>
      <w:r>
        <w:rPr>
          <w:color w:val="000000"/>
        </w:rPr>
        <w:t xml:space="preserve">apsūdzētais </w:t>
      </w:r>
      <w:r w:rsidR="002C099C">
        <w:rPr>
          <w:color w:val="000000"/>
        </w:rPr>
        <w:t>nav pildījis</w:t>
      </w:r>
      <w:r w:rsidR="00363927">
        <w:rPr>
          <w:color w:val="000000"/>
        </w:rPr>
        <w:t xml:space="preserve"> savus procesuālos pienākumus</w:t>
      </w:r>
      <w:r>
        <w:rPr>
          <w:color w:val="000000"/>
        </w:rPr>
        <w:t xml:space="preserve">. Turklāt arī apelācijas instances tiesā </w:t>
      </w:r>
      <w:r w:rsidR="002C099C">
        <w:rPr>
          <w:color w:val="000000"/>
        </w:rPr>
        <w:t>apsūdzētais nav ieradies neattaisnojošu iemeslu dēļ, tādēļ lieta iztiesāta viņa prombūtnē.</w:t>
      </w:r>
      <w:r>
        <w:rPr>
          <w:color w:val="000000"/>
        </w:rPr>
        <w:t xml:space="preserve"> </w:t>
      </w:r>
    </w:p>
    <w:p w14:paraId="436CF591" w14:textId="681F4138" w:rsidR="00031497" w:rsidRDefault="008D08AB" w:rsidP="00501DA3">
      <w:pPr>
        <w:spacing w:line="276" w:lineRule="auto"/>
        <w:ind w:firstLine="720"/>
        <w:jc w:val="both"/>
        <w:rPr>
          <w:color w:val="000000"/>
        </w:rPr>
      </w:pPr>
      <w:r>
        <w:rPr>
          <w:color w:val="000000"/>
        </w:rPr>
        <w:t>A</w:t>
      </w:r>
      <w:r w:rsidR="00031497">
        <w:rPr>
          <w:color w:val="000000"/>
        </w:rPr>
        <w:t>izstāvis sūdzībā pamatoti norādījis, ka</w:t>
      </w:r>
      <w:r>
        <w:rPr>
          <w:color w:val="000000"/>
        </w:rPr>
        <w:t xml:space="preserve"> </w:t>
      </w:r>
      <w:r w:rsidR="00031497">
        <w:rPr>
          <w:color w:val="000000"/>
        </w:rPr>
        <w:t xml:space="preserve">pirmās instances tiesa </w:t>
      </w:r>
      <w:r w:rsidR="00887139">
        <w:rPr>
          <w:color w:val="000000"/>
        </w:rPr>
        <w:t>[pers. A]</w:t>
      </w:r>
      <w:r w:rsidR="0046777B">
        <w:rPr>
          <w:color w:val="000000"/>
        </w:rPr>
        <w:t xml:space="preserve"> piemērotos </w:t>
      </w:r>
      <w:r w:rsidR="00031497">
        <w:rPr>
          <w:color w:val="000000"/>
        </w:rPr>
        <w:t xml:space="preserve">drošības līdzekļus grozījusi </w:t>
      </w:r>
      <w:r>
        <w:rPr>
          <w:color w:val="000000"/>
        </w:rPr>
        <w:t>pamatojoties uz Kriminālprocesa likuma 272.panta ceturtajā daļā noteik</w:t>
      </w:r>
      <w:r w:rsidR="0046777B">
        <w:rPr>
          <w:color w:val="000000"/>
        </w:rPr>
        <w:t>to</w:t>
      </w:r>
      <w:r>
        <w:rPr>
          <w:color w:val="000000"/>
        </w:rPr>
        <w:t xml:space="preserve">, </w:t>
      </w:r>
      <w:r w:rsidR="00031497">
        <w:rPr>
          <w:color w:val="000000"/>
        </w:rPr>
        <w:t xml:space="preserve">nevis tādēļ, ka </w:t>
      </w:r>
      <w:r w:rsidR="00887139">
        <w:rPr>
          <w:color w:val="000000"/>
        </w:rPr>
        <w:t>[pers. A]</w:t>
      </w:r>
      <w:r w:rsidR="00031497">
        <w:rPr>
          <w:color w:val="000000"/>
        </w:rPr>
        <w:t xml:space="preserve"> </w:t>
      </w:r>
      <w:r>
        <w:rPr>
          <w:color w:val="000000"/>
        </w:rPr>
        <w:t>nav pildījis procesuālos pienākumus vai izdarījis jaunu noziedzīgu nodarījumu</w:t>
      </w:r>
      <w:r w:rsidR="00C94514">
        <w:rPr>
          <w:color w:val="000000"/>
        </w:rPr>
        <w:t>. N</w:t>
      </w:r>
      <w:r w:rsidR="00031497">
        <w:rPr>
          <w:color w:val="000000"/>
        </w:rPr>
        <w:t>e pirmstiesas procesā, ne lietas iztiesāšan</w:t>
      </w:r>
      <w:r w:rsidR="00423159">
        <w:rPr>
          <w:color w:val="000000"/>
        </w:rPr>
        <w:t>as laikā</w:t>
      </w:r>
      <w:r w:rsidR="00031497">
        <w:rPr>
          <w:color w:val="000000"/>
        </w:rPr>
        <w:t xml:space="preserve"> pirmās instances tiesā apsūdzētais </w:t>
      </w:r>
      <w:r w:rsidR="00887139">
        <w:rPr>
          <w:color w:val="000000"/>
        </w:rPr>
        <w:t>[pers. A]</w:t>
      </w:r>
      <w:r>
        <w:rPr>
          <w:color w:val="000000"/>
        </w:rPr>
        <w:t xml:space="preserve"> nav </w:t>
      </w:r>
      <w:r w:rsidR="00031497">
        <w:rPr>
          <w:color w:val="000000"/>
        </w:rPr>
        <w:t>pārkāp</w:t>
      </w:r>
      <w:r>
        <w:rPr>
          <w:color w:val="000000"/>
        </w:rPr>
        <w:t>is</w:t>
      </w:r>
      <w:r w:rsidR="00031497">
        <w:rPr>
          <w:color w:val="000000"/>
        </w:rPr>
        <w:t xml:space="preserve"> viņam izraudzītos drošības līdzekļus</w:t>
      </w:r>
      <w:r w:rsidR="004A68ED">
        <w:rPr>
          <w:color w:val="000000"/>
        </w:rPr>
        <w:t>.</w:t>
      </w:r>
      <w:r w:rsidR="00031497">
        <w:rPr>
          <w:color w:val="000000"/>
        </w:rPr>
        <w:t xml:space="preserve"> </w:t>
      </w:r>
      <w:r w:rsidR="00423159">
        <w:rPr>
          <w:color w:val="000000"/>
        </w:rPr>
        <w:t xml:space="preserve">Ierašanās uz sprieduma pasludināšanu likumā nav noteikta kā obligāta. </w:t>
      </w:r>
      <w:r w:rsidR="004A68ED">
        <w:rPr>
          <w:color w:val="000000"/>
        </w:rPr>
        <w:t xml:space="preserve">Savukārt </w:t>
      </w:r>
      <w:r w:rsidR="00423159">
        <w:rPr>
          <w:color w:val="000000"/>
        </w:rPr>
        <w:t xml:space="preserve">apsūdzētā neierašanās apelācijas instances tiesā nav atzīstama par neattaisnotu, jo atbilstoši lietai pievienotajiem dokumentiem, viņš atradies </w:t>
      </w:r>
      <w:r w:rsidR="004A68ED">
        <w:rPr>
          <w:color w:val="000000"/>
        </w:rPr>
        <w:t>medicīnas iestādē</w:t>
      </w:r>
      <w:r w:rsidR="00423159">
        <w:rPr>
          <w:color w:val="000000"/>
        </w:rPr>
        <w:t xml:space="preserve"> ārvalstī</w:t>
      </w:r>
      <w:r w:rsidR="004A68ED">
        <w:rPr>
          <w:color w:val="000000"/>
        </w:rPr>
        <w:t>.</w:t>
      </w:r>
    </w:p>
    <w:p w14:paraId="01E2EAF2" w14:textId="26524947" w:rsidR="000C3639" w:rsidRDefault="000C3639" w:rsidP="00031497">
      <w:pPr>
        <w:spacing w:line="276" w:lineRule="auto"/>
        <w:ind w:firstLine="720"/>
        <w:jc w:val="both"/>
        <w:rPr>
          <w:color w:val="000000"/>
        </w:rPr>
      </w:pPr>
    </w:p>
    <w:p w14:paraId="30E60912" w14:textId="20343FBE" w:rsidR="000C3639" w:rsidRDefault="000C3639" w:rsidP="000C3639">
      <w:pPr>
        <w:spacing w:line="276" w:lineRule="auto"/>
        <w:ind w:firstLine="709"/>
        <w:jc w:val="both"/>
      </w:pPr>
      <w:r>
        <w:rPr>
          <w:color w:val="000000"/>
        </w:rPr>
        <w:t>[14]</w:t>
      </w:r>
      <w:r w:rsidRPr="000C3639">
        <w:t xml:space="preserve"> </w:t>
      </w:r>
      <w:r>
        <w:t>Kasācijas instances tiesa atzīst, ka apelā</w:t>
      </w:r>
      <w:r w:rsidR="00C94514">
        <w:t>cijas instances tiesas pieļautais</w:t>
      </w:r>
      <w:r>
        <w:t xml:space="preserve"> Kriminālprocesa likuma 511.panta otrās daļas, 512.panta pirmās daļas un 564.panta ceturtās daļas pārkāpums atzīstams par Kriminālprocesa likuma būtisku pārkāpumu šā likuma 575.panta trešās daļas izpratnē, kas norādītajā daļā noveda pie nelikumīga nolēmuma.</w:t>
      </w:r>
    </w:p>
    <w:p w14:paraId="66DE5DF6" w14:textId="09D10CBF" w:rsidR="00C218CF" w:rsidRDefault="000C3639" w:rsidP="000C3639">
      <w:pPr>
        <w:spacing w:line="276" w:lineRule="auto"/>
        <w:ind w:firstLine="720"/>
        <w:jc w:val="both"/>
        <w:rPr>
          <w:color w:val="000000"/>
        </w:rPr>
      </w:pPr>
      <w:r>
        <w:rPr>
          <w:color w:val="000000"/>
        </w:rPr>
        <w:t> </w:t>
      </w:r>
    </w:p>
    <w:p w14:paraId="7F6BC343" w14:textId="0A59FDBC" w:rsidR="00F7708C" w:rsidRDefault="004C7C16" w:rsidP="0046777B">
      <w:pPr>
        <w:spacing w:line="276" w:lineRule="auto"/>
        <w:ind w:firstLine="720"/>
        <w:jc w:val="both"/>
        <w:rPr>
          <w:color w:val="000000"/>
        </w:rPr>
      </w:pPr>
      <w:r>
        <w:rPr>
          <w:color w:val="000000"/>
        </w:rPr>
        <w:t>[1</w:t>
      </w:r>
      <w:r w:rsidR="000C3639">
        <w:rPr>
          <w:color w:val="000000"/>
        </w:rPr>
        <w:t>5</w:t>
      </w:r>
      <w:r>
        <w:rPr>
          <w:color w:val="000000"/>
        </w:rPr>
        <w:t>] Atbilstoši Kriminālprocesa likuma</w:t>
      </w:r>
      <w:r w:rsidR="00A96F0C">
        <w:rPr>
          <w:color w:val="000000"/>
        </w:rPr>
        <w:t xml:space="preserve"> 588.panta 3.</w:t>
      </w:r>
      <w:r w:rsidR="00A96F0C">
        <w:rPr>
          <w:color w:val="000000"/>
          <w:vertAlign w:val="superscript"/>
        </w:rPr>
        <w:t>1</w:t>
      </w:r>
      <w:r w:rsidR="00A96F0C">
        <w:rPr>
          <w:color w:val="000000"/>
        </w:rPr>
        <w:t>daļā</w:t>
      </w:r>
      <w:r>
        <w:rPr>
          <w:color w:val="000000"/>
        </w:rPr>
        <w:t xml:space="preserve"> noteiktajam, ja kasācijas instances tiesa</w:t>
      </w:r>
      <w:r w:rsidR="00A96F0C">
        <w:rPr>
          <w:color w:val="000000"/>
        </w:rPr>
        <w:t xml:space="preserve"> pieņem lēmumu atcelt apelācijas instances tiesas nolēmumu pilnībā vai tā daļā un nosūtīt lietu jaunai izskatīšanai, tai jāizlemj jautājums par drošības līdzekli.</w:t>
      </w:r>
    </w:p>
    <w:p w14:paraId="6FD41CDF" w14:textId="03FE872C" w:rsidR="00F7708C" w:rsidRDefault="00F7708C" w:rsidP="00F7708C">
      <w:pPr>
        <w:spacing w:line="276" w:lineRule="auto"/>
        <w:ind w:firstLine="720"/>
        <w:jc w:val="both"/>
        <w:rPr>
          <w:color w:val="000000"/>
        </w:rPr>
      </w:pPr>
      <w:r>
        <w:rPr>
          <w:color w:val="000000"/>
        </w:rPr>
        <w:t xml:space="preserve">Kasācijas instances tiesa atzīst, ka apsūdzētajam </w:t>
      </w:r>
      <w:r w:rsidR="00887139">
        <w:rPr>
          <w:color w:val="000000"/>
        </w:rPr>
        <w:t>[pers. </w:t>
      </w:r>
      <w:r w:rsidR="00887139">
        <w:t>A]</w:t>
      </w:r>
      <w:r>
        <w:rPr>
          <w:color w:val="000000"/>
        </w:rPr>
        <w:t xml:space="preserve"> turpināms piemērot viņam ar pirmās instances tiesas spriedumu noteiktais drošības līdzeklis – apcietinājums.</w:t>
      </w:r>
    </w:p>
    <w:p w14:paraId="302C253F" w14:textId="4FFEBCF1" w:rsidR="00F7708C" w:rsidRPr="00F7708C" w:rsidRDefault="00F7708C" w:rsidP="00F7708C">
      <w:pPr>
        <w:spacing w:line="276" w:lineRule="auto"/>
        <w:ind w:firstLine="720"/>
        <w:jc w:val="both"/>
        <w:rPr>
          <w:color w:val="000000"/>
        </w:rPr>
      </w:pPr>
      <w:r>
        <w:t xml:space="preserve">Saskaņā ar Kriminālprocesa likuma 272.pantā noteikto apcietinājumu var piemērot personai, kura tiek apsūdzēta par smaga nozieguma izdarīšanu. Izskatāmajā lietā </w:t>
      </w:r>
      <w:r w:rsidR="00887139">
        <w:t>[pers. A]</w:t>
      </w:r>
      <w:r>
        <w:t xml:space="preserve"> apsūdzēts smag</w:t>
      </w:r>
      <w:r w:rsidR="002C099C">
        <w:t>a</w:t>
      </w:r>
      <w:r>
        <w:t xml:space="preserve"> noziegum</w:t>
      </w:r>
      <w:r w:rsidR="002C099C">
        <w:t>a</w:t>
      </w:r>
      <w:r>
        <w:t xml:space="preserve"> izdarīšanā</w:t>
      </w:r>
      <w:r w:rsidR="003D5F7B">
        <w:t xml:space="preserve"> atbildība par kuru paredzēta Krimināllikuma 175.panta </w:t>
      </w:r>
      <w:r w:rsidR="003D5F7B">
        <w:lastRenderedPageBreak/>
        <w:t>ceturtajā daļā</w:t>
      </w:r>
      <w:r>
        <w:t>. Līdz ar to uz viņu attiecas likumā minētais nosacījums</w:t>
      </w:r>
      <w:r w:rsidR="002C099C">
        <w:t xml:space="preserve"> apcietinājuma piemērošanas turpināšanai.</w:t>
      </w:r>
      <w:r>
        <w:t xml:space="preserve"> </w:t>
      </w:r>
    </w:p>
    <w:p w14:paraId="3C574DD3" w14:textId="08C2312D" w:rsidR="00AD132D" w:rsidRDefault="00AD132D" w:rsidP="00CA3BFC">
      <w:pPr>
        <w:suppressAutoHyphens/>
        <w:autoSpaceDN w:val="0"/>
        <w:spacing w:line="276" w:lineRule="auto"/>
        <w:ind w:right="-6"/>
        <w:jc w:val="both"/>
        <w:textAlignment w:val="baseline"/>
        <w:rPr>
          <w:rFonts w:eastAsia="Calibri"/>
        </w:rPr>
      </w:pPr>
    </w:p>
    <w:p w14:paraId="7C51614E" w14:textId="77777777" w:rsidR="0049585A" w:rsidRPr="00473F47" w:rsidRDefault="0049585A" w:rsidP="008D786F">
      <w:pPr>
        <w:pStyle w:val="tv213"/>
        <w:spacing w:before="0" w:beforeAutospacing="0" w:after="0" w:afterAutospacing="0" w:line="276" w:lineRule="auto"/>
        <w:jc w:val="center"/>
        <w:rPr>
          <w:b/>
        </w:rPr>
      </w:pPr>
      <w:r w:rsidRPr="00473F47">
        <w:rPr>
          <w:b/>
        </w:rPr>
        <w:t>Rezolutīvā daļa</w:t>
      </w:r>
    </w:p>
    <w:p w14:paraId="590EDC61" w14:textId="77777777" w:rsidR="00D557F5" w:rsidRDefault="00D557F5" w:rsidP="00945A75">
      <w:pPr>
        <w:pStyle w:val="tv213"/>
        <w:spacing w:before="0" w:beforeAutospacing="0" w:after="0" w:afterAutospacing="0" w:line="276" w:lineRule="auto"/>
        <w:ind w:firstLine="709"/>
        <w:jc w:val="both"/>
      </w:pPr>
    </w:p>
    <w:p w14:paraId="6712C4A4" w14:textId="0851A410" w:rsidR="006C5780" w:rsidRPr="00CA3BFC" w:rsidRDefault="0049585A" w:rsidP="00CA3BFC">
      <w:pPr>
        <w:pStyle w:val="tv213"/>
        <w:spacing w:before="0" w:beforeAutospacing="0" w:after="0" w:afterAutospacing="0" w:line="276" w:lineRule="auto"/>
        <w:ind w:firstLine="709"/>
        <w:jc w:val="both"/>
      </w:pPr>
      <w:r w:rsidRPr="00473F47">
        <w:t>Pamatojoties uz Krim</w:t>
      </w:r>
      <w:r w:rsidR="00CF5657">
        <w:t>inālprocesa likuma 585. un 587.</w:t>
      </w:r>
      <w:r w:rsidRPr="00473F47">
        <w:t xml:space="preserve">pantu, </w:t>
      </w:r>
      <w:r w:rsidR="00DE0016">
        <w:t>tiesa</w:t>
      </w:r>
    </w:p>
    <w:p w14:paraId="560EBB44" w14:textId="77777777" w:rsidR="006C5780" w:rsidRDefault="006C5780" w:rsidP="008D786F">
      <w:pPr>
        <w:pStyle w:val="tv213"/>
        <w:spacing w:before="0" w:beforeAutospacing="0" w:after="0" w:afterAutospacing="0" w:line="276" w:lineRule="auto"/>
        <w:jc w:val="center"/>
        <w:rPr>
          <w:b/>
        </w:rPr>
      </w:pPr>
    </w:p>
    <w:p w14:paraId="0E330AEE" w14:textId="77777777" w:rsidR="0049585A" w:rsidRDefault="00D153E1" w:rsidP="008D786F">
      <w:pPr>
        <w:pStyle w:val="tv213"/>
        <w:spacing w:before="0" w:beforeAutospacing="0" w:after="0" w:afterAutospacing="0" w:line="276" w:lineRule="auto"/>
        <w:jc w:val="center"/>
        <w:rPr>
          <w:b/>
        </w:rPr>
      </w:pPr>
      <w:r>
        <w:rPr>
          <w:b/>
        </w:rPr>
        <w:t>nolēma:</w:t>
      </w:r>
    </w:p>
    <w:p w14:paraId="5736FD2A" w14:textId="77777777" w:rsidR="0049585A" w:rsidRPr="00473F47" w:rsidRDefault="0049585A" w:rsidP="00945A75">
      <w:pPr>
        <w:tabs>
          <w:tab w:val="left" w:pos="-3120"/>
        </w:tabs>
        <w:suppressAutoHyphens/>
        <w:spacing w:line="276" w:lineRule="auto"/>
        <w:ind w:firstLine="709"/>
      </w:pPr>
    </w:p>
    <w:p w14:paraId="08F7EA59" w14:textId="67958F24" w:rsidR="00CC5C84" w:rsidRDefault="00015778" w:rsidP="00CC5C84">
      <w:pPr>
        <w:pStyle w:val="tv213"/>
        <w:spacing w:before="0" w:beforeAutospacing="0" w:after="0" w:afterAutospacing="0" w:line="276" w:lineRule="auto"/>
        <w:ind w:firstLine="709"/>
        <w:jc w:val="both"/>
      </w:pPr>
      <w:r>
        <w:t xml:space="preserve">atcelt </w:t>
      </w:r>
      <w:r w:rsidR="00691A9A">
        <w:t>Zemgales</w:t>
      </w:r>
      <w:r w:rsidR="001E029C">
        <w:t xml:space="preserve"> apgabaltiesas 2018.gada</w:t>
      </w:r>
      <w:r>
        <w:t xml:space="preserve"> </w:t>
      </w:r>
      <w:r w:rsidR="00691A9A">
        <w:t>23</w:t>
      </w:r>
      <w:r w:rsidR="00D81EA1">
        <w:t>.</w:t>
      </w:r>
      <w:r w:rsidR="00691A9A">
        <w:t>maij</w:t>
      </w:r>
      <w:r w:rsidR="00D81EA1">
        <w:t xml:space="preserve">a </w:t>
      </w:r>
      <w:r w:rsidR="005E047E">
        <w:t>lēmumu</w:t>
      </w:r>
      <w:r w:rsidR="00CC5C84">
        <w:t xml:space="preserve"> </w:t>
      </w:r>
      <w:r w:rsidR="008B6EAD">
        <w:t>daļā</w:t>
      </w:r>
      <w:r w:rsidR="00D45A12">
        <w:t>,</w:t>
      </w:r>
      <w:r w:rsidR="008B6EAD">
        <w:t xml:space="preserve"> </w:t>
      </w:r>
      <w:r w:rsidR="005E047E">
        <w:t>ar kuru atcelts Bauskas rajona tiesas 2016.ga</w:t>
      </w:r>
      <w:r w:rsidR="008B6EAD">
        <w:t xml:space="preserve">da 19.oktobra spriedums </w:t>
      </w:r>
      <w:r w:rsidR="00CC5C84">
        <w:t xml:space="preserve">daļā par </w:t>
      </w:r>
      <w:r w:rsidR="00887139">
        <w:t>[pers. A]</w:t>
      </w:r>
      <w:r w:rsidR="00CC5C84">
        <w:t xml:space="preserve"> atzīšanu par vainīgu un sodīšanu pēc Krimināllikuma 175.panta ceturtās daļas un </w:t>
      </w:r>
      <w:r w:rsidR="00887139">
        <w:t>[pers. A]</w:t>
      </w:r>
      <w:r w:rsidR="00832CFF">
        <w:t xml:space="preserve"> </w:t>
      </w:r>
      <w:r w:rsidR="00CC5C84">
        <w:t>noteikts gal</w:t>
      </w:r>
      <w:r w:rsidR="00D45A12">
        <w:t xml:space="preserve">īgais sods </w:t>
      </w:r>
      <w:r w:rsidR="00CC5C84">
        <w:t>saskaņā ar Krimināllikuma 51.pantu un lieta nosūtīta izskatīšanai Bauskas rajona tiesā. Atceltajā daļā lietu nosūtīt jaunai izskatīšanai Zemgales apgabaltiesā.</w:t>
      </w:r>
    </w:p>
    <w:p w14:paraId="4601B300" w14:textId="576B9EC5" w:rsidR="004C2410" w:rsidRDefault="00CC5C84" w:rsidP="00CC5C84">
      <w:pPr>
        <w:pStyle w:val="tv213"/>
        <w:spacing w:before="0" w:beforeAutospacing="0" w:after="0" w:afterAutospacing="0" w:line="276" w:lineRule="auto"/>
        <w:ind w:firstLine="709"/>
        <w:jc w:val="both"/>
      </w:pPr>
      <w:r>
        <w:t>Atcelt Zemgales apgabaltiesas 2018.gada 23.maija lēmumu d</w:t>
      </w:r>
      <w:r w:rsidR="008B6EAD">
        <w:t xml:space="preserve">aļā </w:t>
      </w:r>
      <w:r w:rsidR="003D5F7B">
        <w:t>par drošības līdzekļa –</w:t>
      </w:r>
      <w:r w:rsidR="004843B9">
        <w:t xml:space="preserve"> drošības naud</w:t>
      </w:r>
      <w:r w:rsidR="003D5F7B">
        <w:t>a</w:t>
      </w:r>
      <w:r w:rsidR="004843B9">
        <w:t xml:space="preserve"> 14 228,72 </w:t>
      </w:r>
      <w:proofErr w:type="spellStart"/>
      <w:r w:rsidR="004843B9" w:rsidRPr="004843B9">
        <w:rPr>
          <w:i/>
          <w:iCs/>
        </w:rPr>
        <w:t>euro</w:t>
      </w:r>
      <w:proofErr w:type="spellEnd"/>
      <w:r w:rsidR="004843B9">
        <w:t xml:space="preserve"> </w:t>
      </w:r>
      <w:r w:rsidR="003D5F7B">
        <w:t xml:space="preserve">– </w:t>
      </w:r>
      <w:r w:rsidR="004843B9">
        <w:t>ieskaitī</w:t>
      </w:r>
      <w:r w:rsidR="003D5F7B">
        <w:t>šanu</w:t>
      </w:r>
      <w:r w:rsidR="004843B9">
        <w:t xml:space="preserve"> valsts budžetā</w:t>
      </w:r>
      <w:r w:rsidR="004C2410">
        <w:t>.</w:t>
      </w:r>
    </w:p>
    <w:p w14:paraId="5485AD3C" w14:textId="61259590" w:rsidR="005E047E" w:rsidRDefault="005E047E" w:rsidP="00334DAF">
      <w:pPr>
        <w:pStyle w:val="tv213"/>
        <w:spacing w:before="0" w:beforeAutospacing="0" w:after="0" w:afterAutospacing="0" w:line="276" w:lineRule="auto"/>
        <w:ind w:firstLine="709"/>
        <w:jc w:val="both"/>
      </w:pPr>
      <w:r>
        <w:t>Pārējā daļā Zemgales apgabaltiesas 2018.gada 23.maija lēmumu atstāt negrozītu.</w:t>
      </w:r>
    </w:p>
    <w:p w14:paraId="033451FC" w14:textId="111EEEDF" w:rsidR="008C62DC" w:rsidRDefault="008C62DC" w:rsidP="00334DAF">
      <w:pPr>
        <w:pStyle w:val="tv213"/>
        <w:spacing w:before="0" w:beforeAutospacing="0" w:after="0" w:afterAutospacing="0" w:line="276" w:lineRule="auto"/>
        <w:ind w:firstLine="709"/>
        <w:jc w:val="both"/>
      </w:pPr>
      <w:r>
        <w:t xml:space="preserve">Apsūdzētajam </w:t>
      </w:r>
      <w:r w:rsidR="00887139">
        <w:t>[pers.</w:t>
      </w:r>
      <w:r w:rsidR="001D15ED">
        <w:t> </w:t>
      </w:r>
      <w:r w:rsidR="00887139">
        <w:t>A]</w:t>
      </w:r>
      <w:r>
        <w:t xml:space="preserve"> turpināt piemērot d</w:t>
      </w:r>
      <w:r w:rsidR="00832CFF">
        <w:t>rošības līdzekli – apcietinājums</w:t>
      </w:r>
      <w:r>
        <w:t>.</w:t>
      </w:r>
    </w:p>
    <w:p w14:paraId="1EDA625C" w14:textId="77777777" w:rsidR="00EC6AFA" w:rsidRDefault="0049585A" w:rsidP="00945A75">
      <w:pPr>
        <w:tabs>
          <w:tab w:val="left" w:pos="-3120"/>
        </w:tabs>
        <w:suppressAutoHyphens/>
        <w:spacing w:line="276" w:lineRule="auto"/>
        <w:ind w:firstLine="709"/>
        <w:jc w:val="both"/>
        <w:rPr>
          <w:color w:val="000000"/>
        </w:rPr>
      </w:pPr>
      <w:r w:rsidRPr="00473F47">
        <w:rPr>
          <w:color w:val="000000"/>
        </w:rPr>
        <w:t>Lēmums nav pārsū</w:t>
      </w:r>
      <w:r w:rsidR="00193C8E">
        <w:rPr>
          <w:color w:val="000000"/>
        </w:rPr>
        <w:t>dzams.</w:t>
      </w:r>
    </w:p>
    <w:p w14:paraId="2239C925" w14:textId="77777777" w:rsidR="008C62DC" w:rsidRDefault="008C62DC" w:rsidP="002560C3">
      <w:pPr>
        <w:pStyle w:val="tv213"/>
        <w:shd w:val="clear" w:color="auto" w:fill="FFFFFF"/>
        <w:spacing w:before="0" w:beforeAutospacing="0" w:after="0" w:afterAutospacing="0" w:line="276" w:lineRule="auto"/>
        <w:ind w:firstLine="709"/>
        <w:jc w:val="both"/>
        <w:rPr>
          <w:highlight w:val="yellow"/>
        </w:rPr>
      </w:pPr>
    </w:p>
    <w:sectPr w:rsidR="008C62DC" w:rsidSect="00363927">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CF24C" w14:textId="77777777" w:rsidR="002421AC" w:rsidRDefault="002421AC" w:rsidP="0049585A">
      <w:r>
        <w:separator/>
      </w:r>
    </w:p>
  </w:endnote>
  <w:endnote w:type="continuationSeparator" w:id="0">
    <w:p w14:paraId="254C2194" w14:textId="77777777" w:rsidR="002421AC" w:rsidRDefault="002421AC" w:rsidP="0049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altName w:val="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339226"/>
      <w:docPartObj>
        <w:docPartGallery w:val="Page Numbers (Bottom of Page)"/>
        <w:docPartUnique/>
      </w:docPartObj>
    </w:sdtPr>
    <w:sdtEndPr>
      <w:rPr>
        <w:noProof/>
      </w:rPr>
    </w:sdtEndPr>
    <w:sdtContent>
      <w:p w14:paraId="6E925053" w14:textId="5831FF48" w:rsidR="002B0F11" w:rsidRDefault="002B0F11" w:rsidP="0049585A">
        <w:pPr>
          <w:pStyle w:val="Footer"/>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832CFF">
          <w:rPr>
            <w:rStyle w:val="PageNumber"/>
            <w:noProof/>
          </w:rPr>
          <w:t>7</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22463">
          <w:rPr>
            <w:rStyle w:val="PageNumber"/>
            <w:noProof/>
          </w:rPr>
          <w:t>8</w:t>
        </w:r>
        <w:r>
          <w:rPr>
            <w:rStyle w:val="PageNumber"/>
            <w:noProof/>
          </w:rPr>
          <w:fldChar w:fldCharType="end"/>
        </w:r>
      </w:p>
    </w:sdtContent>
  </w:sdt>
  <w:p w14:paraId="7E2066E0" w14:textId="77777777" w:rsidR="002B0F11" w:rsidRDefault="002B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25CB2" w14:textId="77777777" w:rsidR="002421AC" w:rsidRDefault="002421AC" w:rsidP="0049585A">
      <w:r>
        <w:separator/>
      </w:r>
    </w:p>
  </w:footnote>
  <w:footnote w:type="continuationSeparator" w:id="0">
    <w:p w14:paraId="54CC6DC3" w14:textId="77777777" w:rsidR="002421AC" w:rsidRDefault="002421AC" w:rsidP="00495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C6A"/>
    <w:multiLevelType w:val="multilevel"/>
    <w:tmpl w:val="72209B4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lowerLetter"/>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84"/>
    <w:rsid w:val="00001DF8"/>
    <w:rsid w:val="00005234"/>
    <w:rsid w:val="0000609F"/>
    <w:rsid w:val="00006FB3"/>
    <w:rsid w:val="0000770D"/>
    <w:rsid w:val="00010569"/>
    <w:rsid w:val="000109A3"/>
    <w:rsid w:val="00010A0C"/>
    <w:rsid w:val="00015778"/>
    <w:rsid w:val="00020B0C"/>
    <w:rsid w:val="00022463"/>
    <w:rsid w:val="0002304A"/>
    <w:rsid w:val="00023266"/>
    <w:rsid w:val="00025752"/>
    <w:rsid w:val="00025BB0"/>
    <w:rsid w:val="0002758B"/>
    <w:rsid w:val="0002766D"/>
    <w:rsid w:val="00027F39"/>
    <w:rsid w:val="00030075"/>
    <w:rsid w:val="00031497"/>
    <w:rsid w:val="00034C3B"/>
    <w:rsid w:val="00035005"/>
    <w:rsid w:val="000367A7"/>
    <w:rsid w:val="000373CD"/>
    <w:rsid w:val="00037530"/>
    <w:rsid w:val="000401C4"/>
    <w:rsid w:val="00040642"/>
    <w:rsid w:val="00040837"/>
    <w:rsid w:val="000416D6"/>
    <w:rsid w:val="00044077"/>
    <w:rsid w:val="000454E9"/>
    <w:rsid w:val="00045AC2"/>
    <w:rsid w:val="00045C2E"/>
    <w:rsid w:val="00046982"/>
    <w:rsid w:val="00046A1C"/>
    <w:rsid w:val="00046F26"/>
    <w:rsid w:val="000477C4"/>
    <w:rsid w:val="00051296"/>
    <w:rsid w:val="000531D9"/>
    <w:rsid w:val="00053254"/>
    <w:rsid w:val="00055462"/>
    <w:rsid w:val="00055DB3"/>
    <w:rsid w:val="00057214"/>
    <w:rsid w:val="0005790E"/>
    <w:rsid w:val="000630C9"/>
    <w:rsid w:val="00063ACF"/>
    <w:rsid w:val="00063FEE"/>
    <w:rsid w:val="000646AA"/>
    <w:rsid w:val="00064FD9"/>
    <w:rsid w:val="00065A32"/>
    <w:rsid w:val="000672DD"/>
    <w:rsid w:val="00071525"/>
    <w:rsid w:val="00072BC4"/>
    <w:rsid w:val="00076557"/>
    <w:rsid w:val="00080E09"/>
    <w:rsid w:val="00081BA7"/>
    <w:rsid w:val="00082162"/>
    <w:rsid w:val="00082610"/>
    <w:rsid w:val="000842AE"/>
    <w:rsid w:val="000861AF"/>
    <w:rsid w:val="0009004A"/>
    <w:rsid w:val="00094530"/>
    <w:rsid w:val="00095147"/>
    <w:rsid w:val="000A32CE"/>
    <w:rsid w:val="000A668C"/>
    <w:rsid w:val="000A6AE1"/>
    <w:rsid w:val="000B1932"/>
    <w:rsid w:val="000B2134"/>
    <w:rsid w:val="000B4400"/>
    <w:rsid w:val="000B4BA4"/>
    <w:rsid w:val="000B649D"/>
    <w:rsid w:val="000C04EC"/>
    <w:rsid w:val="000C1568"/>
    <w:rsid w:val="000C2D66"/>
    <w:rsid w:val="000C3639"/>
    <w:rsid w:val="000D21A5"/>
    <w:rsid w:val="000D4959"/>
    <w:rsid w:val="000D6C77"/>
    <w:rsid w:val="000D79A0"/>
    <w:rsid w:val="000E248D"/>
    <w:rsid w:val="000E56B4"/>
    <w:rsid w:val="000E6289"/>
    <w:rsid w:val="000E6347"/>
    <w:rsid w:val="000F36A3"/>
    <w:rsid w:val="000F4B0B"/>
    <w:rsid w:val="000F5DA7"/>
    <w:rsid w:val="000F6803"/>
    <w:rsid w:val="000F6CE2"/>
    <w:rsid w:val="000F6FF0"/>
    <w:rsid w:val="00100CC5"/>
    <w:rsid w:val="00102044"/>
    <w:rsid w:val="00103756"/>
    <w:rsid w:val="00104913"/>
    <w:rsid w:val="00107001"/>
    <w:rsid w:val="0010702F"/>
    <w:rsid w:val="001109E7"/>
    <w:rsid w:val="001129C9"/>
    <w:rsid w:val="00115C84"/>
    <w:rsid w:val="00117CC5"/>
    <w:rsid w:val="0012017D"/>
    <w:rsid w:val="00121087"/>
    <w:rsid w:val="001239AD"/>
    <w:rsid w:val="00124989"/>
    <w:rsid w:val="00124A5E"/>
    <w:rsid w:val="00127166"/>
    <w:rsid w:val="00136C9A"/>
    <w:rsid w:val="00142FA4"/>
    <w:rsid w:val="0014568F"/>
    <w:rsid w:val="001517D5"/>
    <w:rsid w:val="00152D5E"/>
    <w:rsid w:val="00152ED1"/>
    <w:rsid w:val="00153580"/>
    <w:rsid w:val="001543B9"/>
    <w:rsid w:val="00156341"/>
    <w:rsid w:val="001612EE"/>
    <w:rsid w:val="001655BD"/>
    <w:rsid w:val="001660D9"/>
    <w:rsid w:val="00167569"/>
    <w:rsid w:val="0016796A"/>
    <w:rsid w:val="00172563"/>
    <w:rsid w:val="001759D9"/>
    <w:rsid w:val="00175EB3"/>
    <w:rsid w:val="00177541"/>
    <w:rsid w:val="00182A79"/>
    <w:rsid w:val="00183353"/>
    <w:rsid w:val="00187EC5"/>
    <w:rsid w:val="0019359F"/>
    <w:rsid w:val="0019383C"/>
    <w:rsid w:val="00193C8E"/>
    <w:rsid w:val="001944BB"/>
    <w:rsid w:val="00195A2C"/>
    <w:rsid w:val="001A0E00"/>
    <w:rsid w:val="001A0FE2"/>
    <w:rsid w:val="001A104F"/>
    <w:rsid w:val="001A62E2"/>
    <w:rsid w:val="001A722B"/>
    <w:rsid w:val="001B0FA5"/>
    <w:rsid w:val="001B21CB"/>
    <w:rsid w:val="001B2AEA"/>
    <w:rsid w:val="001B2FF5"/>
    <w:rsid w:val="001B4A9C"/>
    <w:rsid w:val="001B4C55"/>
    <w:rsid w:val="001B7FEC"/>
    <w:rsid w:val="001C1447"/>
    <w:rsid w:val="001C2056"/>
    <w:rsid w:val="001C26D8"/>
    <w:rsid w:val="001C4AD6"/>
    <w:rsid w:val="001C4C04"/>
    <w:rsid w:val="001C52E6"/>
    <w:rsid w:val="001C7145"/>
    <w:rsid w:val="001D0C85"/>
    <w:rsid w:val="001D15ED"/>
    <w:rsid w:val="001D2644"/>
    <w:rsid w:val="001D2681"/>
    <w:rsid w:val="001D70B2"/>
    <w:rsid w:val="001D7C40"/>
    <w:rsid w:val="001E029C"/>
    <w:rsid w:val="001E1C29"/>
    <w:rsid w:val="001E214C"/>
    <w:rsid w:val="001E26AD"/>
    <w:rsid w:val="001E2F0A"/>
    <w:rsid w:val="001E38B7"/>
    <w:rsid w:val="001E3BD1"/>
    <w:rsid w:val="001E4F74"/>
    <w:rsid w:val="001E5325"/>
    <w:rsid w:val="001E62B1"/>
    <w:rsid w:val="001E6E64"/>
    <w:rsid w:val="001F5A0E"/>
    <w:rsid w:val="001F64D9"/>
    <w:rsid w:val="00200DBC"/>
    <w:rsid w:val="00201704"/>
    <w:rsid w:val="00202AFC"/>
    <w:rsid w:val="0020519F"/>
    <w:rsid w:val="00207165"/>
    <w:rsid w:val="00207FE3"/>
    <w:rsid w:val="00211C38"/>
    <w:rsid w:val="00211C94"/>
    <w:rsid w:val="00212A1E"/>
    <w:rsid w:val="00212F6E"/>
    <w:rsid w:val="002154C2"/>
    <w:rsid w:val="00216886"/>
    <w:rsid w:val="00216A0E"/>
    <w:rsid w:val="00217F7F"/>
    <w:rsid w:val="0022379E"/>
    <w:rsid w:val="00224DF1"/>
    <w:rsid w:val="0022588E"/>
    <w:rsid w:val="0023322E"/>
    <w:rsid w:val="00234555"/>
    <w:rsid w:val="002346A4"/>
    <w:rsid w:val="00235C94"/>
    <w:rsid w:val="00237594"/>
    <w:rsid w:val="00240A80"/>
    <w:rsid w:val="002421AC"/>
    <w:rsid w:val="00244CAF"/>
    <w:rsid w:val="002462C0"/>
    <w:rsid w:val="00250748"/>
    <w:rsid w:val="002533B0"/>
    <w:rsid w:val="002560C3"/>
    <w:rsid w:val="002609F9"/>
    <w:rsid w:val="00260E9B"/>
    <w:rsid w:val="00261F73"/>
    <w:rsid w:val="00264CC2"/>
    <w:rsid w:val="0026558C"/>
    <w:rsid w:val="00267106"/>
    <w:rsid w:val="0027302F"/>
    <w:rsid w:val="00274408"/>
    <w:rsid w:val="002779A5"/>
    <w:rsid w:val="00277FC9"/>
    <w:rsid w:val="0028024E"/>
    <w:rsid w:val="00280280"/>
    <w:rsid w:val="00281686"/>
    <w:rsid w:val="00283717"/>
    <w:rsid w:val="00287436"/>
    <w:rsid w:val="002879DA"/>
    <w:rsid w:val="00287DD5"/>
    <w:rsid w:val="00287EBC"/>
    <w:rsid w:val="00291154"/>
    <w:rsid w:val="0029480E"/>
    <w:rsid w:val="00295C81"/>
    <w:rsid w:val="00297A9E"/>
    <w:rsid w:val="002A0217"/>
    <w:rsid w:val="002A0C9A"/>
    <w:rsid w:val="002A18FC"/>
    <w:rsid w:val="002A1DCC"/>
    <w:rsid w:val="002A317A"/>
    <w:rsid w:val="002A32D3"/>
    <w:rsid w:val="002A5C08"/>
    <w:rsid w:val="002A5F1F"/>
    <w:rsid w:val="002A5FAE"/>
    <w:rsid w:val="002A656F"/>
    <w:rsid w:val="002A65F4"/>
    <w:rsid w:val="002B0F11"/>
    <w:rsid w:val="002B4372"/>
    <w:rsid w:val="002B477D"/>
    <w:rsid w:val="002B6B1F"/>
    <w:rsid w:val="002C099C"/>
    <w:rsid w:val="002C158C"/>
    <w:rsid w:val="002C18BB"/>
    <w:rsid w:val="002C4319"/>
    <w:rsid w:val="002C786F"/>
    <w:rsid w:val="002D2DDD"/>
    <w:rsid w:val="002D738F"/>
    <w:rsid w:val="002E026F"/>
    <w:rsid w:val="002E0BBB"/>
    <w:rsid w:val="002E0C33"/>
    <w:rsid w:val="002E1DB8"/>
    <w:rsid w:val="002E2CE5"/>
    <w:rsid w:val="002E4D25"/>
    <w:rsid w:val="002E57DE"/>
    <w:rsid w:val="002E5E88"/>
    <w:rsid w:val="002E656B"/>
    <w:rsid w:val="002E7FD9"/>
    <w:rsid w:val="002F083F"/>
    <w:rsid w:val="002F34DC"/>
    <w:rsid w:val="002F4B42"/>
    <w:rsid w:val="002F72B7"/>
    <w:rsid w:val="00302176"/>
    <w:rsid w:val="0030286F"/>
    <w:rsid w:val="00310637"/>
    <w:rsid w:val="00310BC0"/>
    <w:rsid w:val="003128B5"/>
    <w:rsid w:val="003161FA"/>
    <w:rsid w:val="003172A8"/>
    <w:rsid w:val="003217B6"/>
    <w:rsid w:val="003222BE"/>
    <w:rsid w:val="0032492B"/>
    <w:rsid w:val="00326C1A"/>
    <w:rsid w:val="00327727"/>
    <w:rsid w:val="0033174C"/>
    <w:rsid w:val="00331BB8"/>
    <w:rsid w:val="00334137"/>
    <w:rsid w:val="00334DAF"/>
    <w:rsid w:val="003401E9"/>
    <w:rsid w:val="003403AC"/>
    <w:rsid w:val="00352CE4"/>
    <w:rsid w:val="0035360E"/>
    <w:rsid w:val="00354149"/>
    <w:rsid w:val="003544C8"/>
    <w:rsid w:val="003548E0"/>
    <w:rsid w:val="00355D8F"/>
    <w:rsid w:val="003611CC"/>
    <w:rsid w:val="00361A7E"/>
    <w:rsid w:val="00362AC7"/>
    <w:rsid w:val="00363927"/>
    <w:rsid w:val="00367891"/>
    <w:rsid w:val="00370359"/>
    <w:rsid w:val="0037063D"/>
    <w:rsid w:val="00372700"/>
    <w:rsid w:val="0037321C"/>
    <w:rsid w:val="0037794B"/>
    <w:rsid w:val="003831D6"/>
    <w:rsid w:val="003849B1"/>
    <w:rsid w:val="00384D7C"/>
    <w:rsid w:val="00385576"/>
    <w:rsid w:val="003856A6"/>
    <w:rsid w:val="00385B25"/>
    <w:rsid w:val="00385EA8"/>
    <w:rsid w:val="003861D7"/>
    <w:rsid w:val="00386E54"/>
    <w:rsid w:val="00391C30"/>
    <w:rsid w:val="00393CCF"/>
    <w:rsid w:val="00394522"/>
    <w:rsid w:val="00396F41"/>
    <w:rsid w:val="003A1187"/>
    <w:rsid w:val="003A6D36"/>
    <w:rsid w:val="003A7543"/>
    <w:rsid w:val="003A7698"/>
    <w:rsid w:val="003B0779"/>
    <w:rsid w:val="003B1069"/>
    <w:rsid w:val="003C058C"/>
    <w:rsid w:val="003C240C"/>
    <w:rsid w:val="003C2989"/>
    <w:rsid w:val="003C2B44"/>
    <w:rsid w:val="003C2B62"/>
    <w:rsid w:val="003C66D0"/>
    <w:rsid w:val="003C7887"/>
    <w:rsid w:val="003D1666"/>
    <w:rsid w:val="003D1A87"/>
    <w:rsid w:val="003D1B7D"/>
    <w:rsid w:val="003D2071"/>
    <w:rsid w:val="003D3211"/>
    <w:rsid w:val="003D33EE"/>
    <w:rsid w:val="003D3FFE"/>
    <w:rsid w:val="003D4EFA"/>
    <w:rsid w:val="003D5F7B"/>
    <w:rsid w:val="003E1345"/>
    <w:rsid w:val="003E1F42"/>
    <w:rsid w:val="003E21F6"/>
    <w:rsid w:val="003E3293"/>
    <w:rsid w:val="003E6E26"/>
    <w:rsid w:val="003E6E9D"/>
    <w:rsid w:val="003E7E50"/>
    <w:rsid w:val="003F186A"/>
    <w:rsid w:val="003F2361"/>
    <w:rsid w:val="003F4013"/>
    <w:rsid w:val="003F4025"/>
    <w:rsid w:val="003F42DC"/>
    <w:rsid w:val="003F43DA"/>
    <w:rsid w:val="003F4866"/>
    <w:rsid w:val="003F518D"/>
    <w:rsid w:val="003F53A0"/>
    <w:rsid w:val="003F57AF"/>
    <w:rsid w:val="003F592F"/>
    <w:rsid w:val="003F7CED"/>
    <w:rsid w:val="003F7F90"/>
    <w:rsid w:val="00400D17"/>
    <w:rsid w:val="00405F1D"/>
    <w:rsid w:val="004110F9"/>
    <w:rsid w:val="004140C5"/>
    <w:rsid w:val="00422FF6"/>
    <w:rsid w:val="0042301D"/>
    <w:rsid w:val="00423159"/>
    <w:rsid w:val="0042788D"/>
    <w:rsid w:val="00427EE7"/>
    <w:rsid w:val="00430C48"/>
    <w:rsid w:val="00431578"/>
    <w:rsid w:val="00432538"/>
    <w:rsid w:val="00435122"/>
    <w:rsid w:val="0044434B"/>
    <w:rsid w:val="00445E85"/>
    <w:rsid w:val="00447FAC"/>
    <w:rsid w:val="00450B4D"/>
    <w:rsid w:val="00451880"/>
    <w:rsid w:val="00453901"/>
    <w:rsid w:val="00454973"/>
    <w:rsid w:val="0046168E"/>
    <w:rsid w:val="004629F4"/>
    <w:rsid w:val="00463144"/>
    <w:rsid w:val="004667EF"/>
    <w:rsid w:val="004673B4"/>
    <w:rsid w:val="0046777B"/>
    <w:rsid w:val="00467814"/>
    <w:rsid w:val="004707DE"/>
    <w:rsid w:val="00474A02"/>
    <w:rsid w:val="0047507C"/>
    <w:rsid w:val="0047508C"/>
    <w:rsid w:val="004755EC"/>
    <w:rsid w:val="00475C80"/>
    <w:rsid w:val="00476806"/>
    <w:rsid w:val="0048002A"/>
    <w:rsid w:val="00481CC4"/>
    <w:rsid w:val="0048233F"/>
    <w:rsid w:val="00483C1C"/>
    <w:rsid w:val="004843B9"/>
    <w:rsid w:val="0048440E"/>
    <w:rsid w:val="00484AF0"/>
    <w:rsid w:val="0048529C"/>
    <w:rsid w:val="004854FF"/>
    <w:rsid w:val="004865CE"/>
    <w:rsid w:val="00493495"/>
    <w:rsid w:val="00493D69"/>
    <w:rsid w:val="00493F01"/>
    <w:rsid w:val="0049585A"/>
    <w:rsid w:val="00496097"/>
    <w:rsid w:val="004967F8"/>
    <w:rsid w:val="00496BBD"/>
    <w:rsid w:val="004972D4"/>
    <w:rsid w:val="00497A2F"/>
    <w:rsid w:val="004A2701"/>
    <w:rsid w:val="004A47C8"/>
    <w:rsid w:val="004A68ED"/>
    <w:rsid w:val="004B2AFB"/>
    <w:rsid w:val="004B3B36"/>
    <w:rsid w:val="004B4552"/>
    <w:rsid w:val="004B5AC6"/>
    <w:rsid w:val="004B6E31"/>
    <w:rsid w:val="004B7BF0"/>
    <w:rsid w:val="004C09F4"/>
    <w:rsid w:val="004C1347"/>
    <w:rsid w:val="004C1B63"/>
    <w:rsid w:val="004C1EC8"/>
    <w:rsid w:val="004C2410"/>
    <w:rsid w:val="004C2473"/>
    <w:rsid w:val="004C3025"/>
    <w:rsid w:val="004C3435"/>
    <w:rsid w:val="004C552B"/>
    <w:rsid w:val="004C61D3"/>
    <w:rsid w:val="004C7C16"/>
    <w:rsid w:val="004D0A29"/>
    <w:rsid w:val="004D2AD7"/>
    <w:rsid w:val="004D381A"/>
    <w:rsid w:val="004D4A6F"/>
    <w:rsid w:val="004D4AFE"/>
    <w:rsid w:val="004D51BB"/>
    <w:rsid w:val="004D7695"/>
    <w:rsid w:val="004D7962"/>
    <w:rsid w:val="004E313B"/>
    <w:rsid w:val="004F2535"/>
    <w:rsid w:val="004F3110"/>
    <w:rsid w:val="004F7024"/>
    <w:rsid w:val="00501DA3"/>
    <w:rsid w:val="005060E1"/>
    <w:rsid w:val="00507E91"/>
    <w:rsid w:val="00510B20"/>
    <w:rsid w:val="00515480"/>
    <w:rsid w:val="00515F70"/>
    <w:rsid w:val="005161C4"/>
    <w:rsid w:val="005264AC"/>
    <w:rsid w:val="0053030D"/>
    <w:rsid w:val="00532250"/>
    <w:rsid w:val="00534076"/>
    <w:rsid w:val="005352C6"/>
    <w:rsid w:val="0054352F"/>
    <w:rsid w:val="00546809"/>
    <w:rsid w:val="0054694B"/>
    <w:rsid w:val="00550510"/>
    <w:rsid w:val="00550A95"/>
    <w:rsid w:val="005514CC"/>
    <w:rsid w:val="005520DF"/>
    <w:rsid w:val="00552C6F"/>
    <w:rsid w:val="005538E5"/>
    <w:rsid w:val="0055499C"/>
    <w:rsid w:val="005554E1"/>
    <w:rsid w:val="00555528"/>
    <w:rsid w:val="005559AE"/>
    <w:rsid w:val="00556A88"/>
    <w:rsid w:val="005617A7"/>
    <w:rsid w:val="00561FB6"/>
    <w:rsid w:val="0056507C"/>
    <w:rsid w:val="00565218"/>
    <w:rsid w:val="00566190"/>
    <w:rsid w:val="0056676C"/>
    <w:rsid w:val="00567AB6"/>
    <w:rsid w:val="00570930"/>
    <w:rsid w:val="00570AB9"/>
    <w:rsid w:val="0057240E"/>
    <w:rsid w:val="00572DDE"/>
    <w:rsid w:val="005735DF"/>
    <w:rsid w:val="0057363A"/>
    <w:rsid w:val="0057523C"/>
    <w:rsid w:val="00576309"/>
    <w:rsid w:val="00577ADD"/>
    <w:rsid w:val="005806B8"/>
    <w:rsid w:val="00582812"/>
    <w:rsid w:val="00591789"/>
    <w:rsid w:val="00597BEF"/>
    <w:rsid w:val="005A1C8F"/>
    <w:rsid w:val="005A1D1F"/>
    <w:rsid w:val="005A34C1"/>
    <w:rsid w:val="005A35C2"/>
    <w:rsid w:val="005A3892"/>
    <w:rsid w:val="005A6597"/>
    <w:rsid w:val="005A67E7"/>
    <w:rsid w:val="005A7B77"/>
    <w:rsid w:val="005A7C1B"/>
    <w:rsid w:val="005B1C91"/>
    <w:rsid w:val="005B523C"/>
    <w:rsid w:val="005B79C1"/>
    <w:rsid w:val="005B7ADD"/>
    <w:rsid w:val="005C02AF"/>
    <w:rsid w:val="005C0FE5"/>
    <w:rsid w:val="005C2571"/>
    <w:rsid w:val="005C2628"/>
    <w:rsid w:val="005C2BA5"/>
    <w:rsid w:val="005C392B"/>
    <w:rsid w:val="005C4BBB"/>
    <w:rsid w:val="005C5191"/>
    <w:rsid w:val="005D0618"/>
    <w:rsid w:val="005D1CF2"/>
    <w:rsid w:val="005D5352"/>
    <w:rsid w:val="005D5D8E"/>
    <w:rsid w:val="005D7E1F"/>
    <w:rsid w:val="005E047E"/>
    <w:rsid w:val="005E1086"/>
    <w:rsid w:val="005E1ADC"/>
    <w:rsid w:val="005E1DFE"/>
    <w:rsid w:val="005E26AB"/>
    <w:rsid w:val="005E4B63"/>
    <w:rsid w:val="005E5148"/>
    <w:rsid w:val="005E6142"/>
    <w:rsid w:val="005E69F3"/>
    <w:rsid w:val="005F5CD8"/>
    <w:rsid w:val="005F7E03"/>
    <w:rsid w:val="0060165C"/>
    <w:rsid w:val="0060275D"/>
    <w:rsid w:val="00604771"/>
    <w:rsid w:val="00604FD2"/>
    <w:rsid w:val="00610A59"/>
    <w:rsid w:val="0061351A"/>
    <w:rsid w:val="0062125E"/>
    <w:rsid w:val="00621B59"/>
    <w:rsid w:val="00623CCE"/>
    <w:rsid w:val="006243E2"/>
    <w:rsid w:val="0062469B"/>
    <w:rsid w:val="0062480C"/>
    <w:rsid w:val="00632691"/>
    <w:rsid w:val="00632F10"/>
    <w:rsid w:val="00634147"/>
    <w:rsid w:val="00636EC9"/>
    <w:rsid w:val="00637DAC"/>
    <w:rsid w:val="006410B5"/>
    <w:rsid w:val="006420AB"/>
    <w:rsid w:val="00643EA2"/>
    <w:rsid w:val="0064574A"/>
    <w:rsid w:val="00646B2F"/>
    <w:rsid w:val="00646E79"/>
    <w:rsid w:val="0065105F"/>
    <w:rsid w:val="00653D69"/>
    <w:rsid w:val="00655236"/>
    <w:rsid w:val="00655E75"/>
    <w:rsid w:val="00657B44"/>
    <w:rsid w:val="00657B54"/>
    <w:rsid w:val="0066108F"/>
    <w:rsid w:val="00661BE5"/>
    <w:rsid w:val="00663388"/>
    <w:rsid w:val="00663B92"/>
    <w:rsid w:val="00663EB9"/>
    <w:rsid w:val="0066431D"/>
    <w:rsid w:val="00670336"/>
    <w:rsid w:val="00670D42"/>
    <w:rsid w:val="00674A50"/>
    <w:rsid w:val="00674D58"/>
    <w:rsid w:val="00674DF9"/>
    <w:rsid w:val="00675C86"/>
    <w:rsid w:val="00677FE8"/>
    <w:rsid w:val="00682DDC"/>
    <w:rsid w:val="00684629"/>
    <w:rsid w:val="006870DD"/>
    <w:rsid w:val="00687ABB"/>
    <w:rsid w:val="00691A9A"/>
    <w:rsid w:val="006946EB"/>
    <w:rsid w:val="006951F0"/>
    <w:rsid w:val="006A030C"/>
    <w:rsid w:val="006A0EE2"/>
    <w:rsid w:val="006A3939"/>
    <w:rsid w:val="006A5D48"/>
    <w:rsid w:val="006A6EBB"/>
    <w:rsid w:val="006B2DDB"/>
    <w:rsid w:val="006B520A"/>
    <w:rsid w:val="006B7FD9"/>
    <w:rsid w:val="006C17D9"/>
    <w:rsid w:val="006C2141"/>
    <w:rsid w:val="006C3C62"/>
    <w:rsid w:val="006C5780"/>
    <w:rsid w:val="006C695B"/>
    <w:rsid w:val="006C6B52"/>
    <w:rsid w:val="006C6C9D"/>
    <w:rsid w:val="006D03E9"/>
    <w:rsid w:val="006D22E4"/>
    <w:rsid w:val="006D2484"/>
    <w:rsid w:val="006D2D12"/>
    <w:rsid w:val="006D586B"/>
    <w:rsid w:val="006D67BB"/>
    <w:rsid w:val="006D7393"/>
    <w:rsid w:val="006E03AD"/>
    <w:rsid w:val="006E42DB"/>
    <w:rsid w:val="006E5830"/>
    <w:rsid w:val="006E6F81"/>
    <w:rsid w:val="006E7355"/>
    <w:rsid w:val="006F0150"/>
    <w:rsid w:val="006F046E"/>
    <w:rsid w:val="006F1DAB"/>
    <w:rsid w:val="006F34B1"/>
    <w:rsid w:val="006F462E"/>
    <w:rsid w:val="006F4C60"/>
    <w:rsid w:val="006F54A3"/>
    <w:rsid w:val="006F67DF"/>
    <w:rsid w:val="007014AE"/>
    <w:rsid w:val="00702AFE"/>
    <w:rsid w:val="00703C51"/>
    <w:rsid w:val="00704B9D"/>
    <w:rsid w:val="007051EE"/>
    <w:rsid w:val="00705FB9"/>
    <w:rsid w:val="00706ACA"/>
    <w:rsid w:val="00710431"/>
    <w:rsid w:val="0071169D"/>
    <w:rsid w:val="00712FAE"/>
    <w:rsid w:val="00716806"/>
    <w:rsid w:val="007212FD"/>
    <w:rsid w:val="00721304"/>
    <w:rsid w:val="00723916"/>
    <w:rsid w:val="00723C43"/>
    <w:rsid w:val="007267F6"/>
    <w:rsid w:val="007276D1"/>
    <w:rsid w:val="007279CA"/>
    <w:rsid w:val="00730387"/>
    <w:rsid w:val="0073234A"/>
    <w:rsid w:val="00732593"/>
    <w:rsid w:val="007373EE"/>
    <w:rsid w:val="007401CE"/>
    <w:rsid w:val="007407A5"/>
    <w:rsid w:val="007420F3"/>
    <w:rsid w:val="00742848"/>
    <w:rsid w:val="00743D18"/>
    <w:rsid w:val="00745994"/>
    <w:rsid w:val="007462D4"/>
    <w:rsid w:val="007504D0"/>
    <w:rsid w:val="0075081F"/>
    <w:rsid w:val="00750E61"/>
    <w:rsid w:val="00755E37"/>
    <w:rsid w:val="007572B6"/>
    <w:rsid w:val="00760655"/>
    <w:rsid w:val="007614DE"/>
    <w:rsid w:val="0076559B"/>
    <w:rsid w:val="00766632"/>
    <w:rsid w:val="0076722D"/>
    <w:rsid w:val="0077087F"/>
    <w:rsid w:val="0077303A"/>
    <w:rsid w:val="00774924"/>
    <w:rsid w:val="00774D61"/>
    <w:rsid w:val="007813C3"/>
    <w:rsid w:val="00785814"/>
    <w:rsid w:val="007879C3"/>
    <w:rsid w:val="00787C88"/>
    <w:rsid w:val="007900C0"/>
    <w:rsid w:val="00795A71"/>
    <w:rsid w:val="007A08CB"/>
    <w:rsid w:val="007A0964"/>
    <w:rsid w:val="007A27B8"/>
    <w:rsid w:val="007A4021"/>
    <w:rsid w:val="007A66A6"/>
    <w:rsid w:val="007A709F"/>
    <w:rsid w:val="007B143F"/>
    <w:rsid w:val="007B57BF"/>
    <w:rsid w:val="007B661B"/>
    <w:rsid w:val="007B6EF0"/>
    <w:rsid w:val="007C1DC6"/>
    <w:rsid w:val="007C27F9"/>
    <w:rsid w:val="007C3639"/>
    <w:rsid w:val="007C65A7"/>
    <w:rsid w:val="007C7AF4"/>
    <w:rsid w:val="007D234A"/>
    <w:rsid w:val="007D2D6E"/>
    <w:rsid w:val="007D3C6B"/>
    <w:rsid w:val="007D4FF0"/>
    <w:rsid w:val="007E099C"/>
    <w:rsid w:val="007E1ADB"/>
    <w:rsid w:val="007E27C3"/>
    <w:rsid w:val="007E4592"/>
    <w:rsid w:val="007E5792"/>
    <w:rsid w:val="007E5A2D"/>
    <w:rsid w:val="007F1F62"/>
    <w:rsid w:val="007F2408"/>
    <w:rsid w:val="007F2600"/>
    <w:rsid w:val="007F3819"/>
    <w:rsid w:val="007F38AA"/>
    <w:rsid w:val="007F46D8"/>
    <w:rsid w:val="007F740A"/>
    <w:rsid w:val="00801D2B"/>
    <w:rsid w:val="00802389"/>
    <w:rsid w:val="008074FA"/>
    <w:rsid w:val="008128F6"/>
    <w:rsid w:val="008135B5"/>
    <w:rsid w:val="008139C2"/>
    <w:rsid w:val="00814C6A"/>
    <w:rsid w:val="00814EF9"/>
    <w:rsid w:val="0081597C"/>
    <w:rsid w:val="00816897"/>
    <w:rsid w:val="008230D2"/>
    <w:rsid w:val="00826282"/>
    <w:rsid w:val="008268F0"/>
    <w:rsid w:val="008275B6"/>
    <w:rsid w:val="00827C7A"/>
    <w:rsid w:val="0083020E"/>
    <w:rsid w:val="008311CF"/>
    <w:rsid w:val="00832CFF"/>
    <w:rsid w:val="0083339E"/>
    <w:rsid w:val="0083350E"/>
    <w:rsid w:val="00834275"/>
    <w:rsid w:val="00835A8E"/>
    <w:rsid w:val="00835C2E"/>
    <w:rsid w:val="00837A49"/>
    <w:rsid w:val="00837BE7"/>
    <w:rsid w:val="008414B8"/>
    <w:rsid w:val="0084284F"/>
    <w:rsid w:val="00850078"/>
    <w:rsid w:val="00852293"/>
    <w:rsid w:val="00853A1D"/>
    <w:rsid w:val="0085583F"/>
    <w:rsid w:val="00856FBE"/>
    <w:rsid w:val="00857DFF"/>
    <w:rsid w:val="00861A76"/>
    <w:rsid w:val="008651E6"/>
    <w:rsid w:val="0086575B"/>
    <w:rsid w:val="00876664"/>
    <w:rsid w:val="00876E87"/>
    <w:rsid w:val="00882922"/>
    <w:rsid w:val="0088460E"/>
    <w:rsid w:val="00885640"/>
    <w:rsid w:val="00887139"/>
    <w:rsid w:val="00891B95"/>
    <w:rsid w:val="00891FD1"/>
    <w:rsid w:val="00892314"/>
    <w:rsid w:val="00892749"/>
    <w:rsid w:val="008931D3"/>
    <w:rsid w:val="00893915"/>
    <w:rsid w:val="00894719"/>
    <w:rsid w:val="00895F71"/>
    <w:rsid w:val="008968E6"/>
    <w:rsid w:val="008A3EBB"/>
    <w:rsid w:val="008A3FCE"/>
    <w:rsid w:val="008A449E"/>
    <w:rsid w:val="008A5B01"/>
    <w:rsid w:val="008A703E"/>
    <w:rsid w:val="008B394B"/>
    <w:rsid w:val="008B3C84"/>
    <w:rsid w:val="008B3D01"/>
    <w:rsid w:val="008B5B6E"/>
    <w:rsid w:val="008B5F09"/>
    <w:rsid w:val="008B6C7E"/>
    <w:rsid w:val="008B6E58"/>
    <w:rsid w:val="008B6EAD"/>
    <w:rsid w:val="008B70E8"/>
    <w:rsid w:val="008B7FFA"/>
    <w:rsid w:val="008C2D3A"/>
    <w:rsid w:val="008C62DC"/>
    <w:rsid w:val="008C6B2E"/>
    <w:rsid w:val="008D08AB"/>
    <w:rsid w:val="008D0DA0"/>
    <w:rsid w:val="008D27F3"/>
    <w:rsid w:val="008D2A13"/>
    <w:rsid w:val="008D3A06"/>
    <w:rsid w:val="008D51FA"/>
    <w:rsid w:val="008D691F"/>
    <w:rsid w:val="008D786F"/>
    <w:rsid w:val="008E14BC"/>
    <w:rsid w:val="008E362F"/>
    <w:rsid w:val="008E444D"/>
    <w:rsid w:val="008E5E4D"/>
    <w:rsid w:val="008E62B2"/>
    <w:rsid w:val="008F0652"/>
    <w:rsid w:val="008F11C6"/>
    <w:rsid w:val="008F213F"/>
    <w:rsid w:val="008F3E69"/>
    <w:rsid w:val="008F637E"/>
    <w:rsid w:val="008F738D"/>
    <w:rsid w:val="00900664"/>
    <w:rsid w:val="00902005"/>
    <w:rsid w:val="009038AB"/>
    <w:rsid w:val="00903E2D"/>
    <w:rsid w:val="00910A00"/>
    <w:rsid w:val="009129D6"/>
    <w:rsid w:val="00913E4E"/>
    <w:rsid w:val="00914CF8"/>
    <w:rsid w:val="0091725C"/>
    <w:rsid w:val="00917F68"/>
    <w:rsid w:val="00920548"/>
    <w:rsid w:val="00921392"/>
    <w:rsid w:val="00921462"/>
    <w:rsid w:val="00923C23"/>
    <w:rsid w:val="009265A8"/>
    <w:rsid w:val="0092679F"/>
    <w:rsid w:val="0092737A"/>
    <w:rsid w:val="009306F1"/>
    <w:rsid w:val="00930BE8"/>
    <w:rsid w:val="0093123C"/>
    <w:rsid w:val="00932460"/>
    <w:rsid w:val="00932742"/>
    <w:rsid w:val="0093307D"/>
    <w:rsid w:val="00933923"/>
    <w:rsid w:val="00936306"/>
    <w:rsid w:val="00941CDD"/>
    <w:rsid w:val="00945335"/>
    <w:rsid w:val="00945A75"/>
    <w:rsid w:val="00952D9E"/>
    <w:rsid w:val="009558E6"/>
    <w:rsid w:val="00955DC3"/>
    <w:rsid w:val="00955F2D"/>
    <w:rsid w:val="009575EC"/>
    <w:rsid w:val="0096062C"/>
    <w:rsid w:val="009628B4"/>
    <w:rsid w:val="0096393E"/>
    <w:rsid w:val="00964546"/>
    <w:rsid w:val="00965F7B"/>
    <w:rsid w:val="00966F7B"/>
    <w:rsid w:val="0097030A"/>
    <w:rsid w:val="00970835"/>
    <w:rsid w:val="00972716"/>
    <w:rsid w:val="00972BB2"/>
    <w:rsid w:val="00973600"/>
    <w:rsid w:val="00974B02"/>
    <w:rsid w:val="00982225"/>
    <w:rsid w:val="00982379"/>
    <w:rsid w:val="009848F8"/>
    <w:rsid w:val="00987E11"/>
    <w:rsid w:val="0099146E"/>
    <w:rsid w:val="0099207F"/>
    <w:rsid w:val="009953F6"/>
    <w:rsid w:val="009978DD"/>
    <w:rsid w:val="009A1AC4"/>
    <w:rsid w:val="009A2F19"/>
    <w:rsid w:val="009A3347"/>
    <w:rsid w:val="009A376D"/>
    <w:rsid w:val="009A3B72"/>
    <w:rsid w:val="009A4E20"/>
    <w:rsid w:val="009A5F16"/>
    <w:rsid w:val="009A6EC2"/>
    <w:rsid w:val="009A7C7E"/>
    <w:rsid w:val="009B026A"/>
    <w:rsid w:val="009B092B"/>
    <w:rsid w:val="009B0BC9"/>
    <w:rsid w:val="009B123A"/>
    <w:rsid w:val="009B23BD"/>
    <w:rsid w:val="009B2CFF"/>
    <w:rsid w:val="009B3E5F"/>
    <w:rsid w:val="009B6BD3"/>
    <w:rsid w:val="009B6D9B"/>
    <w:rsid w:val="009C0F55"/>
    <w:rsid w:val="009C33FA"/>
    <w:rsid w:val="009C723A"/>
    <w:rsid w:val="009D1020"/>
    <w:rsid w:val="009D17E2"/>
    <w:rsid w:val="009D2125"/>
    <w:rsid w:val="009D3A6B"/>
    <w:rsid w:val="009D4595"/>
    <w:rsid w:val="009D466B"/>
    <w:rsid w:val="009D63E4"/>
    <w:rsid w:val="009D775C"/>
    <w:rsid w:val="009E06A5"/>
    <w:rsid w:val="009E2263"/>
    <w:rsid w:val="009E29C6"/>
    <w:rsid w:val="009E380B"/>
    <w:rsid w:val="009E6006"/>
    <w:rsid w:val="009F1C12"/>
    <w:rsid w:val="009F3423"/>
    <w:rsid w:val="009F688E"/>
    <w:rsid w:val="00A003BE"/>
    <w:rsid w:val="00A00E79"/>
    <w:rsid w:val="00A0265C"/>
    <w:rsid w:val="00A02AF9"/>
    <w:rsid w:val="00A106AA"/>
    <w:rsid w:val="00A10F04"/>
    <w:rsid w:val="00A11245"/>
    <w:rsid w:val="00A11EB6"/>
    <w:rsid w:val="00A12580"/>
    <w:rsid w:val="00A12C88"/>
    <w:rsid w:val="00A15710"/>
    <w:rsid w:val="00A1689F"/>
    <w:rsid w:val="00A17C52"/>
    <w:rsid w:val="00A20A5D"/>
    <w:rsid w:val="00A21432"/>
    <w:rsid w:val="00A24A4D"/>
    <w:rsid w:val="00A2555C"/>
    <w:rsid w:val="00A25D8C"/>
    <w:rsid w:val="00A27035"/>
    <w:rsid w:val="00A27846"/>
    <w:rsid w:val="00A322C9"/>
    <w:rsid w:val="00A334ED"/>
    <w:rsid w:val="00A3388E"/>
    <w:rsid w:val="00A351CF"/>
    <w:rsid w:val="00A372A2"/>
    <w:rsid w:val="00A4067C"/>
    <w:rsid w:val="00A40A6D"/>
    <w:rsid w:val="00A4355B"/>
    <w:rsid w:val="00A45415"/>
    <w:rsid w:val="00A454C3"/>
    <w:rsid w:val="00A50C9A"/>
    <w:rsid w:val="00A515A3"/>
    <w:rsid w:val="00A57C6F"/>
    <w:rsid w:val="00A60189"/>
    <w:rsid w:val="00A60D46"/>
    <w:rsid w:val="00A62597"/>
    <w:rsid w:val="00A657B7"/>
    <w:rsid w:val="00A65B13"/>
    <w:rsid w:val="00A70A36"/>
    <w:rsid w:val="00A73C26"/>
    <w:rsid w:val="00A75748"/>
    <w:rsid w:val="00A75930"/>
    <w:rsid w:val="00A75FEF"/>
    <w:rsid w:val="00A7680A"/>
    <w:rsid w:val="00A777A3"/>
    <w:rsid w:val="00A77B98"/>
    <w:rsid w:val="00A80240"/>
    <w:rsid w:val="00A83441"/>
    <w:rsid w:val="00A90B76"/>
    <w:rsid w:val="00A9141D"/>
    <w:rsid w:val="00A92311"/>
    <w:rsid w:val="00A94E84"/>
    <w:rsid w:val="00A95437"/>
    <w:rsid w:val="00A96F0C"/>
    <w:rsid w:val="00A9767B"/>
    <w:rsid w:val="00AA1FFE"/>
    <w:rsid w:val="00AA3292"/>
    <w:rsid w:val="00AA4001"/>
    <w:rsid w:val="00AA4974"/>
    <w:rsid w:val="00AB0017"/>
    <w:rsid w:val="00AB2290"/>
    <w:rsid w:val="00AB2436"/>
    <w:rsid w:val="00AB2732"/>
    <w:rsid w:val="00AB50C8"/>
    <w:rsid w:val="00AB5218"/>
    <w:rsid w:val="00AB52C5"/>
    <w:rsid w:val="00AB64BC"/>
    <w:rsid w:val="00AC00F6"/>
    <w:rsid w:val="00AC068F"/>
    <w:rsid w:val="00AC2EB0"/>
    <w:rsid w:val="00AC2F77"/>
    <w:rsid w:val="00AC37E3"/>
    <w:rsid w:val="00AC3952"/>
    <w:rsid w:val="00AC3BA6"/>
    <w:rsid w:val="00AC5E50"/>
    <w:rsid w:val="00AC7F6F"/>
    <w:rsid w:val="00AD0733"/>
    <w:rsid w:val="00AD0CAA"/>
    <w:rsid w:val="00AD132D"/>
    <w:rsid w:val="00AE7129"/>
    <w:rsid w:val="00AE74A2"/>
    <w:rsid w:val="00AE7B32"/>
    <w:rsid w:val="00AF0BBF"/>
    <w:rsid w:val="00AF5AED"/>
    <w:rsid w:val="00AF5CB9"/>
    <w:rsid w:val="00AF72E4"/>
    <w:rsid w:val="00B03726"/>
    <w:rsid w:val="00B03D74"/>
    <w:rsid w:val="00B03FB1"/>
    <w:rsid w:val="00B04B1A"/>
    <w:rsid w:val="00B04F2B"/>
    <w:rsid w:val="00B04FF6"/>
    <w:rsid w:val="00B05926"/>
    <w:rsid w:val="00B073EA"/>
    <w:rsid w:val="00B07741"/>
    <w:rsid w:val="00B10A88"/>
    <w:rsid w:val="00B151AD"/>
    <w:rsid w:val="00B17AAF"/>
    <w:rsid w:val="00B17E54"/>
    <w:rsid w:val="00B22C29"/>
    <w:rsid w:val="00B24579"/>
    <w:rsid w:val="00B26489"/>
    <w:rsid w:val="00B314F6"/>
    <w:rsid w:val="00B33BB7"/>
    <w:rsid w:val="00B34E95"/>
    <w:rsid w:val="00B36C1D"/>
    <w:rsid w:val="00B41F5A"/>
    <w:rsid w:val="00B4314F"/>
    <w:rsid w:val="00B444E6"/>
    <w:rsid w:val="00B44C1F"/>
    <w:rsid w:val="00B44DB5"/>
    <w:rsid w:val="00B45651"/>
    <w:rsid w:val="00B46F86"/>
    <w:rsid w:val="00B47F7E"/>
    <w:rsid w:val="00B47FD7"/>
    <w:rsid w:val="00B509B0"/>
    <w:rsid w:val="00B50BA5"/>
    <w:rsid w:val="00B511A4"/>
    <w:rsid w:val="00B516A8"/>
    <w:rsid w:val="00B52199"/>
    <w:rsid w:val="00B5298F"/>
    <w:rsid w:val="00B52C59"/>
    <w:rsid w:val="00B53141"/>
    <w:rsid w:val="00B54D28"/>
    <w:rsid w:val="00B56638"/>
    <w:rsid w:val="00B5710C"/>
    <w:rsid w:val="00B5739D"/>
    <w:rsid w:val="00B57B14"/>
    <w:rsid w:val="00B60569"/>
    <w:rsid w:val="00B60927"/>
    <w:rsid w:val="00B63EEC"/>
    <w:rsid w:val="00B658CC"/>
    <w:rsid w:val="00B66B44"/>
    <w:rsid w:val="00B66FE0"/>
    <w:rsid w:val="00B67241"/>
    <w:rsid w:val="00B672F2"/>
    <w:rsid w:val="00B67AC8"/>
    <w:rsid w:val="00B700B1"/>
    <w:rsid w:val="00B71591"/>
    <w:rsid w:val="00B7239D"/>
    <w:rsid w:val="00B724F8"/>
    <w:rsid w:val="00B72EC7"/>
    <w:rsid w:val="00B74216"/>
    <w:rsid w:val="00B74D97"/>
    <w:rsid w:val="00B76961"/>
    <w:rsid w:val="00B76F13"/>
    <w:rsid w:val="00B8045E"/>
    <w:rsid w:val="00B80F8E"/>
    <w:rsid w:val="00B816D7"/>
    <w:rsid w:val="00B849F0"/>
    <w:rsid w:val="00B851D9"/>
    <w:rsid w:val="00B85F47"/>
    <w:rsid w:val="00B87EB5"/>
    <w:rsid w:val="00B923D8"/>
    <w:rsid w:val="00B973B8"/>
    <w:rsid w:val="00B974A6"/>
    <w:rsid w:val="00BA00B6"/>
    <w:rsid w:val="00BA01F3"/>
    <w:rsid w:val="00BA1DE8"/>
    <w:rsid w:val="00BA30E2"/>
    <w:rsid w:val="00BA363A"/>
    <w:rsid w:val="00BA45EA"/>
    <w:rsid w:val="00BA48A8"/>
    <w:rsid w:val="00BB0A75"/>
    <w:rsid w:val="00BB0E98"/>
    <w:rsid w:val="00BB1CF1"/>
    <w:rsid w:val="00BB52DB"/>
    <w:rsid w:val="00BB6507"/>
    <w:rsid w:val="00BB73A7"/>
    <w:rsid w:val="00BC0D56"/>
    <w:rsid w:val="00BC4B40"/>
    <w:rsid w:val="00BC5D36"/>
    <w:rsid w:val="00BC6A4D"/>
    <w:rsid w:val="00BD08F4"/>
    <w:rsid w:val="00BD0A75"/>
    <w:rsid w:val="00BD0B47"/>
    <w:rsid w:val="00BD4D85"/>
    <w:rsid w:val="00BD72E7"/>
    <w:rsid w:val="00BE5F89"/>
    <w:rsid w:val="00BE6222"/>
    <w:rsid w:val="00BE6314"/>
    <w:rsid w:val="00BE6E28"/>
    <w:rsid w:val="00BF3D24"/>
    <w:rsid w:val="00BF43DA"/>
    <w:rsid w:val="00C01BE8"/>
    <w:rsid w:val="00C02425"/>
    <w:rsid w:val="00C02BA7"/>
    <w:rsid w:val="00C03E84"/>
    <w:rsid w:val="00C05579"/>
    <w:rsid w:val="00C06540"/>
    <w:rsid w:val="00C106C1"/>
    <w:rsid w:val="00C10ECF"/>
    <w:rsid w:val="00C11057"/>
    <w:rsid w:val="00C14002"/>
    <w:rsid w:val="00C15606"/>
    <w:rsid w:val="00C166DD"/>
    <w:rsid w:val="00C20885"/>
    <w:rsid w:val="00C218CF"/>
    <w:rsid w:val="00C22269"/>
    <w:rsid w:val="00C22CAF"/>
    <w:rsid w:val="00C22EB0"/>
    <w:rsid w:val="00C25A5B"/>
    <w:rsid w:val="00C264CD"/>
    <w:rsid w:val="00C32F17"/>
    <w:rsid w:val="00C336F9"/>
    <w:rsid w:val="00C34172"/>
    <w:rsid w:val="00C3438F"/>
    <w:rsid w:val="00C35617"/>
    <w:rsid w:val="00C373BE"/>
    <w:rsid w:val="00C4008E"/>
    <w:rsid w:val="00C41A31"/>
    <w:rsid w:val="00C41E9F"/>
    <w:rsid w:val="00C42822"/>
    <w:rsid w:val="00C454A4"/>
    <w:rsid w:val="00C45882"/>
    <w:rsid w:val="00C46E42"/>
    <w:rsid w:val="00C52042"/>
    <w:rsid w:val="00C5254B"/>
    <w:rsid w:val="00C54E6E"/>
    <w:rsid w:val="00C55062"/>
    <w:rsid w:val="00C67295"/>
    <w:rsid w:val="00C72390"/>
    <w:rsid w:val="00C726B5"/>
    <w:rsid w:val="00C72788"/>
    <w:rsid w:val="00C72AF5"/>
    <w:rsid w:val="00C74A18"/>
    <w:rsid w:val="00C754E3"/>
    <w:rsid w:val="00C7648E"/>
    <w:rsid w:val="00C76B46"/>
    <w:rsid w:val="00C77277"/>
    <w:rsid w:val="00C8065A"/>
    <w:rsid w:val="00C829E3"/>
    <w:rsid w:val="00C84D79"/>
    <w:rsid w:val="00C8710F"/>
    <w:rsid w:val="00C8763E"/>
    <w:rsid w:val="00C94514"/>
    <w:rsid w:val="00CA02B1"/>
    <w:rsid w:val="00CA3774"/>
    <w:rsid w:val="00CA3BFC"/>
    <w:rsid w:val="00CA4841"/>
    <w:rsid w:val="00CA7B5E"/>
    <w:rsid w:val="00CA7BCA"/>
    <w:rsid w:val="00CB1EDF"/>
    <w:rsid w:val="00CB227D"/>
    <w:rsid w:val="00CB258D"/>
    <w:rsid w:val="00CB2AE1"/>
    <w:rsid w:val="00CB6915"/>
    <w:rsid w:val="00CB69F9"/>
    <w:rsid w:val="00CC26BD"/>
    <w:rsid w:val="00CC5C84"/>
    <w:rsid w:val="00CD0738"/>
    <w:rsid w:val="00CD0D80"/>
    <w:rsid w:val="00CD0DDC"/>
    <w:rsid w:val="00CD4205"/>
    <w:rsid w:val="00CD4D89"/>
    <w:rsid w:val="00CD619E"/>
    <w:rsid w:val="00CD64C4"/>
    <w:rsid w:val="00CE0672"/>
    <w:rsid w:val="00CE292C"/>
    <w:rsid w:val="00CE34C8"/>
    <w:rsid w:val="00CE75EC"/>
    <w:rsid w:val="00CE77D7"/>
    <w:rsid w:val="00CF14BE"/>
    <w:rsid w:val="00CF1715"/>
    <w:rsid w:val="00CF2371"/>
    <w:rsid w:val="00CF2589"/>
    <w:rsid w:val="00CF30E1"/>
    <w:rsid w:val="00CF5657"/>
    <w:rsid w:val="00CF5E14"/>
    <w:rsid w:val="00D0330D"/>
    <w:rsid w:val="00D033DC"/>
    <w:rsid w:val="00D053E4"/>
    <w:rsid w:val="00D0635C"/>
    <w:rsid w:val="00D10CD3"/>
    <w:rsid w:val="00D113DC"/>
    <w:rsid w:val="00D11620"/>
    <w:rsid w:val="00D11F19"/>
    <w:rsid w:val="00D128E5"/>
    <w:rsid w:val="00D134F5"/>
    <w:rsid w:val="00D13D5E"/>
    <w:rsid w:val="00D153E1"/>
    <w:rsid w:val="00D16CE6"/>
    <w:rsid w:val="00D2109F"/>
    <w:rsid w:val="00D21372"/>
    <w:rsid w:val="00D2151F"/>
    <w:rsid w:val="00D22D78"/>
    <w:rsid w:val="00D30152"/>
    <w:rsid w:val="00D31C42"/>
    <w:rsid w:val="00D34D47"/>
    <w:rsid w:val="00D35733"/>
    <w:rsid w:val="00D374CB"/>
    <w:rsid w:val="00D40604"/>
    <w:rsid w:val="00D4229C"/>
    <w:rsid w:val="00D43F61"/>
    <w:rsid w:val="00D444A9"/>
    <w:rsid w:val="00D45589"/>
    <w:rsid w:val="00D45A12"/>
    <w:rsid w:val="00D46532"/>
    <w:rsid w:val="00D50D92"/>
    <w:rsid w:val="00D54F66"/>
    <w:rsid w:val="00D55636"/>
    <w:rsid w:val="00D557F5"/>
    <w:rsid w:val="00D55BDB"/>
    <w:rsid w:val="00D57782"/>
    <w:rsid w:val="00D57AD5"/>
    <w:rsid w:val="00D6376C"/>
    <w:rsid w:val="00D70713"/>
    <w:rsid w:val="00D70E03"/>
    <w:rsid w:val="00D71E06"/>
    <w:rsid w:val="00D723F7"/>
    <w:rsid w:val="00D730B1"/>
    <w:rsid w:val="00D750F5"/>
    <w:rsid w:val="00D756D8"/>
    <w:rsid w:val="00D8007A"/>
    <w:rsid w:val="00D802DA"/>
    <w:rsid w:val="00D81EA1"/>
    <w:rsid w:val="00D8295A"/>
    <w:rsid w:val="00D82C94"/>
    <w:rsid w:val="00D861E2"/>
    <w:rsid w:val="00D86F16"/>
    <w:rsid w:val="00D87846"/>
    <w:rsid w:val="00D878FD"/>
    <w:rsid w:val="00D91770"/>
    <w:rsid w:val="00D91F37"/>
    <w:rsid w:val="00D92394"/>
    <w:rsid w:val="00D954C3"/>
    <w:rsid w:val="00D961E6"/>
    <w:rsid w:val="00D97AAD"/>
    <w:rsid w:val="00DA19AE"/>
    <w:rsid w:val="00DA2A37"/>
    <w:rsid w:val="00DA3609"/>
    <w:rsid w:val="00DA3F78"/>
    <w:rsid w:val="00DA4469"/>
    <w:rsid w:val="00DA5850"/>
    <w:rsid w:val="00DA7FF8"/>
    <w:rsid w:val="00DB7007"/>
    <w:rsid w:val="00DC0701"/>
    <w:rsid w:val="00DC1B49"/>
    <w:rsid w:val="00DC1CAD"/>
    <w:rsid w:val="00DC3BE8"/>
    <w:rsid w:val="00DC5E64"/>
    <w:rsid w:val="00DC72D2"/>
    <w:rsid w:val="00DD06B5"/>
    <w:rsid w:val="00DD1B8C"/>
    <w:rsid w:val="00DD1BD4"/>
    <w:rsid w:val="00DD2CD1"/>
    <w:rsid w:val="00DD2DC6"/>
    <w:rsid w:val="00DD3567"/>
    <w:rsid w:val="00DD396E"/>
    <w:rsid w:val="00DD4E67"/>
    <w:rsid w:val="00DD5BBD"/>
    <w:rsid w:val="00DE0016"/>
    <w:rsid w:val="00DE0A05"/>
    <w:rsid w:val="00DE0EC7"/>
    <w:rsid w:val="00DE5C94"/>
    <w:rsid w:val="00DE6EBE"/>
    <w:rsid w:val="00DF2718"/>
    <w:rsid w:val="00DF3F9E"/>
    <w:rsid w:val="00DF5288"/>
    <w:rsid w:val="00DF6F57"/>
    <w:rsid w:val="00DF7C91"/>
    <w:rsid w:val="00E10D98"/>
    <w:rsid w:val="00E14204"/>
    <w:rsid w:val="00E25252"/>
    <w:rsid w:val="00E254BB"/>
    <w:rsid w:val="00E27AE3"/>
    <w:rsid w:val="00E3032A"/>
    <w:rsid w:val="00E354AA"/>
    <w:rsid w:val="00E41379"/>
    <w:rsid w:val="00E41384"/>
    <w:rsid w:val="00E42067"/>
    <w:rsid w:val="00E45205"/>
    <w:rsid w:val="00E46548"/>
    <w:rsid w:val="00E503EE"/>
    <w:rsid w:val="00E50A29"/>
    <w:rsid w:val="00E50B3F"/>
    <w:rsid w:val="00E51C27"/>
    <w:rsid w:val="00E619B4"/>
    <w:rsid w:val="00E633CD"/>
    <w:rsid w:val="00E63C47"/>
    <w:rsid w:val="00E64BF3"/>
    <w:rsid w:val="00E65154"/>
    <w:rsid w:val="00E67A5D"/>
    <w:rsid w:val="00E72DE5"/>
    <w:rsid w:val="00E73AFA"/>
    <w:rsid w:val="00E80568"/>
    <w:rsid w:val="00E84185"/>
    <w:rsid w:val="00E87AB5"/>
    <w:rsid w:val="00E93D98"/>
    <w:rsid w:val="00E94845"/>
    <w:rsid w:val="00E96D75"/>
    <w:rsid w:val="00E974F6"/>
    <w:rsid w:val="00E9760A"/>
    <w:rsid w:val="00E97FF4"/>
    <w:rsid w:val="00EA1DA0"/>
    <w:rsid w:val="00EA285B"/>
    <w:rsid w:val="00EA2F0B"/>
    <w:rsid w:val="00EA41C1"/>
    <w:rsid w:val="00EA5614"/>
    <w:rsid w:val="00EA5684"/>
    <w:rsid w:val="00EA57FC"/>
    <w:rsid w:val="00EA5B2F"/>
    <w:rsid w:val="00EA610E"/>
    <w:rsid w:val="00EA66C6"/>
    <w:rsid w:val="00EB01AD"/>
    <w:rsid w:val="00EB057F"/>
    <w:rsid w:val="00EB2FFE"/>
    <w:rsid w:val="00EB31CD"/>
    <w:rsid w:val="00EB365F"/>
    <w:rsid w:val="00EB51AE"/>
    <w:rsid w:val="00EB6375"/>
    <w:rsid w:val="00EB6655"/>
    <w:rsid w:val="00EB66FC"/>
    <w:rsid w:val="00EB6C55"/>
    <w:rsid w:val="00EC2BE8"/>
    <w:rsid w:val="00EC3D10"/>
    <w:rsid w:val="00EC3D80"/>
    <w:rsid w:val="00EC4260"/>
    <w:rsid w:val="00EC6AFA"/>
    <w:rsid w:val="00EC6CFE"/>
    <w:rsid w:val="00ED4BBB"/>
    <w:rsid w:val="00ED7E8C"/>
    <w:rsid w:val="00EE032D"/>
    <w:rsid w:val="00EE4AAF"/>
    <w:rsid w:val="00EE5F75"/>
    <w:rsid w:val="00EF4D45"/>
    <w:rsid w:val="00F00054"/>
    <w:rsid w:val="00F00839"/>
    <w:rsid w:val="00F02D9A"/>
    <w:rsid w:val="00F03FE4"/>
    <w:rsid w:val="00F05EAA"/>
    <w:rsid w:val="00F06002"/>
    <w:rsid w:val="00F0720E"/>
    <w:rsid w:val="00F077C4"/>
    <w:rsid w:val="00F1055F"/>
    <w:rsid w:val="00F1093B"/>
    <w:rsid w:val="00F1161A"/>
    <w:rsid w:val="00F1349F"/>
    <w:rsid w:val="00F15601"/>
    <w:rsid w:val="00F16499"/>
    <w:rsid w:val="00F16834"/>
    <w:rsid w:val="00F17694"/>
    <w:rsid w:val="00F17C4A"/>
    <w:rsid w:val="00F2041D"/>
    <w:rsid w:val="00F23549"/>
    <w:rsid w:val="00F254DB"/>
    <w:rsid w:val="00F2717F"/>
    <w:rsid w:val="00F27807"/>
    <w:rsid w:val="00F30E23"/>
    <w:rsid w:val="00F311FF"/>
    <w:rsid w:val="00F32FA8"/>
    <w:rsid w:val="00F3385A"/>
    <w:rsid w:val="00F3397F"/>
    <w:rsid w:val="00F33F55"/>
    <w:rsid w:val="00F34A5E"/>
    <w:rsid w:val="00F34D83"/>
    <w:rsid w:val="00F361CA"/>
    <w:rsid w:val="00F36632"/>
    <w:rsid w:val="00F36905"/>
    <w:rsid w:val="00F36BDB"/>
    <w:rsid w:val="00F371B7"/>
    <w:rsid w:val="00F37B00"/>
    <w:rsid w:val="00F40DD4"/>
    <w:rsid w:val="00F45B98"/>
    <w:rsid w:val="00F47269"/>
    <w:rsid w:val="00F51A2C"/>
    <w:rsid w:val="00F540EC"/>
    <w:rsid w:val="00F56064"/>
    <w:rsid w:val="00F5629F"/>
    <w:rsid w:val="00F57920"/>
    <w:rsid w:val="00F61494"/>
    <w:rsid w:val="00F66B12"/>
    <w:rsid w:val="00F725BC"/>
    <w:rsid w:val="00F76F7F"/>
    <w:rsid w:val="00F7708C"/>
    <w:rsid w:val="00F77A48"/>
    <w:rsid w:val="00F80387"/>
    <w:rsid w:val="00F803CF"/>
    <w:rsid w:val="00F81541"/>
    <w:rsid w:val="00F81AA3"/>
    <w:rsid w:val="00F84D36"/>
    <w:rsid w:val="00F856C8"/>
    <w:rsid w:val="00F87694"/>
    <w:rsid w:val="00F909A4"/>
    <w:rsid w:val="00F91004"/>
    <w:rsid w:val="00F91AD3"/>
    <w:rsid w:val="00FA0037"/>
    <w:rsid w:val="00FA066A"/>
    <w:rsid w:val="00FA4BE8"/>
    <w:rsid w:val="00FA4EAF"/>
    <w:rsid w:val="00FA5906"/>
    <w:rsid w:val="00FA693F"/>
    <w:rsid w:val="00FB0CD0"/>
    <w:rsid w:val="00FB10E1"/>
    <w:rsid w:val="00FB5A4D"/>
    <w:rsid w:val="00FB6913"/>
    <w:rsid w:val="00FB6EDB"/>
    <w:rsid w:val="00FC43B6"/>
    <w:rsid w:val="00FC7BEE"/>
    <w:rsid w:val="00FD09A5"/>
    <w:rsid w:val="00FD160B"/>
    <w:rsid w:val="00FD250C"/>
    <w:rsid w:val="00FD2BA5"/>
    <w:rsid w:val="00FD3B2C"/>
    <w:rsid w:val="00FD42E7"/>
    <w:rsid w:val="00FD52E4"/>
    <w:rsid w:val="00FD681F"/>
    <w:rsid w:val="00FF1248"/>
    <w:rsid w:val="00FF160B"/>
    <w:rsid w:val="00FF1BEA"/>
    <w:rsid w:val="00FF218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56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8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57B54"/>
    <w:pPr>
      <w:keepNext/>
      <w:spacing w:before="240" w:after="60"/>
      <w:outlineLvl w:val="1"/>
    </w:pPr>
    <w:rPr>
      <w:rFonts w:ascii="Times" w:hAnsi="Times"/>
      <w:b/>
      <w:bCs/>
      <w:iCs/>
      <w:sz w:val="28"/>
      <w:szCs w:val="28"/>
    </w:rPr>
  </w:style>
  <w:style w:type="paragraph" w:styleId="Heading3">
    <w:name w:val="heading 3"/>
    <w:basedOn w:val="Normal"/>
    <w:next w:val="Normal"/>
    <w:link w:val="Heading3Char"/>
    <w:uiPriority w:val="9"/>
    <w:semiHidden/>
    <w:unhideWhenUsed/>
    <w:qFormat/>
    <w:rsid w:val="00657B54"/>
    <w:pPr>
      <w:keepNext/>
      <w:spacing w:before="240" w:after="60"/>
      <w:outlineLvl w:val="2"/>
    </w:pPr>
    <w:rPr>
      <w:rFonts w:ascii="Times" w:hAnsi="Times"/>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A5684"/>
    <w:pPr>
      <w:jc w:val="right"/>
    </w:pPr>
    <w:rPr>
      <w:rFonts w:ascii="Garamond" w:hAnsi="Garamond"/>
      <w:sz w:val="28"/>
      <w:szCs w:val="28"/>
    </w:rPr>
  </w:style>
  <w:style w:type="character" w:customStyle="1" w:styleId="BodyText2Char">
    <w:name w:val="Body Text 2 Char"/>
    <w:basedOn w:val="DefaultParagraphFont"/>
    <w:link w:val="BodyText2"/>
    <w:rsid w:val="00EA5684"/>
    <w:rPr>
      <w:rFonts w:ascii="Garamond" w:eastAsia="Times New Roman" w:hAnsi="Garamond" w:cs="Times New Roman"/>
      <w:sz w:val="28"/>
      <w:szCs w:val="28"/>
    </w:rPr>
  </w:style>
  <w:style w:type="paragraph" w:customStyle="1" w:styleId="tv213">
    <w:name w:val="tv213"/>
    <w:basedOn w:val="Normal"/>
    <w:rsid w:val="00EA5684"/>
    <w:pPr>
      <w:spacing w:before="100" w:beforeAutospacing="1" w:after="100" w:afterAutospacing="1"/>
    </w:pPr>
    <w:rPr>
      <w:lang w:eastAsia="lv-LV"/>
    </w:rPr>
  </w:style>
  <w:style w:type="paragraph" w:styleId="ListParagraph">
    <w:name w:val="List Paragraph"/>
    <w:basedOn w:val="Normal"/>
    <w:uiPriority w:val="34"/>
    <w:qFormat/>
    <w:rsid w:val="00EA5684"/>
    <w:pPr>
      <w:ind w:left="720"/>
      <w:contextualSpacing/>
    </w:pPr>
  </w:style>
  <w:style w:type="paragraph" w:styleId="BalloonText">
    <w:name w:val="Balloon Text"/>
    <w:basedOn w:val="Normal"/>
    <w:link w:val="BalloonTextChar"/>
    <w:uiPriority w:val="99"/>
    <w:semiHidden/>
    <w:unhideWhenUsed/>
    <w:rsid w:val="00EA5684"/>
    <w:rPr>
      <w:rFonts w:ascii="Tahoma" w:hAnsi="Tahoma" w:cs="Tahoma"/>
      <w:sz w:val="16"/>
      <w:szCs w:val="16"/>
    </w:rPr>
  </w:style>
  <w:style w:type="character" w:customStyle="1" w:styleId="BalloonTextChar">
    <w:name w:val="Balloon Text Char"/>
    <w:basedOn w:val="DefaultParagraphFont"/>
    <w:link w:val="BalloonText"/>
    <w:uiPriority w:val="99"/>
    <w:semiHidden/>
    <w:rsid w:val="00EA568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514CC"/>
    <w:rPr>
      <w:sz w:val="16"/>
      <w:szCs w:val="16"/>
    </w:rPr>
  </w:style>
  <w:style w:type="paragraph" w:styleId="CommentText">
    <w:name w:val="annotation text"/>
    <w:basedOn w:val="Normal"/>
    <w:link w:val="CommentTextChar"/>
    <w:uiPriority w:val="99"/>
    <w:semiHidden/>
    <w:unhideWhenUsed/>
    <w:rsid w:val="005514CC"/>
    <w:rPr>
      <w:sz w:val="20"/>
      <w:szCs w:val="20"/>
    </w:rPr>
  </w:style>
  <w:style w:type="character" w:customStyle="1" w:styleId="CommentTextChar">
    <w:name w:val="Comment Text Char"/>
    <w:basedOn w:val="DefaultParagraphFont"/>
    <w:link w:val="CommentText"/>
    <w:uiPriority w:val="99"/>
    <w:semiHidden/>
    <w:rsid w:val="005514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4CC"/>
    <w:rPr>
      <w:b/>
      <w:bCs/>
    </w:rPr>
  </w:style>
  <w:style w:type="character" w:customStyle="1" w:styleId="CommentSubjectChar">
    <w:name w:val="Comment Subject Char"/>
    <w:basedOn w:val="CommentTextChar"/>
    <w:link w:val="CommentSubject"/>
    <w:uiPriority w:val="99"/>
    <w:semiHidden/>
    <w:rsid w:val="005514C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9585A"/>
    <w:pPr>
      <w:tabs>
        <w:tab w:val="center" w:pos="4153"/>
        <w:tab w:val="right" w:pos="8306"/>
      </w:tabs>
    </w:pPr>
  </w:style>
  <w:style w:type="character" w:customStyle="1" w:styleId="HeaderChar">
    <w:name w:val="Header Char"/>
    <w:basedOn w:val="DefaultParagraphFont"/>
    <w:link w:val="Header"/>
    <w:uiPriority w:val="99"/>
    <w:rsid w:val="0049585A"/>
    <w:rPr>
      <w:rFonts w:ascii="Times New Roman" w:eastAsia="Times New Roman" w:hAnsi="Times New Roman" w:cs="Times New Roman"/>
      <w:sz w:val="24"/>
      <w:szCs w:val="24"/>
    </w:rPr>
  </w:style>
  <w:style w:type="paragraph" w:styleId="Footer">
    <w:name w:val="footer"/>
    <w:basedOn w:val="Normal"/>
    <w:link w:val="FooterChar"/>
    <w:unhideWhenUsed/>
    <w:rsid w:val="0049585A"/>
    <w:pPr>
      <w:tabs>
        <w:tab w:val="center" w:pos="4153"/>
        <w:tab w:val="right" w:pos="8306"/>
      </w:tabs>
    </w:pPr>
  </w:style>
  <w:style w:type="character" w:customStyle="1" w:styleId="FooterChar">
    <w:name w:val="Footer Char"/>
    <w:basedOn w:val="DefaultParagraphFont"/>
    <w:link w:val="Footer"/>
    <w:uiPriority w:val="99"/>
    <w:rsid w:val="0049585A"/>
    <w:rPr>
      <w:rFonts w:ascii="Times New Roman" w:eastAsia="Times New Roman" w:hAnsi="Times New Roman" w:cs="Times New Roman"/>
      <w:sz w:val="24"/>
      <w:szCs w:val="24"/>
    </w:rPr>
  </w:style>
  <w:style w:type="character" w:styleId="PageNumber">
    <w:name w:val="page number"/>
    <w:basedOn w:val="DefaultParagraphFont"/>
    <w:rsid w:val="0049585A"/>
  </w:style>
  <w:style w:type="paragraph" w:styleId="NormalWeb">
    <w:name w:val="Normal (Web)"/>
    <w:basedOn w:val="Normal"/>
    <w:uiPriority w:val="99"/>
    <w:semiHidden/>
    <w:unhideWhenUsed/>
    <w:rsid w:val="00D723F7"/>
    <w:pPr>
      <w:spacing w:before="100" w:beforeAutospacing="1" w:after="100" w:afterAutospacing="1"/>
    </w:pPr>
    <w:rPr>
      <w:lang w:val="en-US"/>
    </w:rPr>
  </w:style>
  <w:style w:type="table" w:styleId="TableGrid">
    <w:name w:val="Table Grid"/>
    <w:basedOn w:val="TableNormal"/>
    <w:uiPriority w:val="39"/>
    <w:rsid w:val="00A9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57B54"/>
    <w:rPr>
      <w:rFonts w:ascii="Times" w:eastAsia="Times New Roman" w:hAnsi="Times" w:cs="Times New Roman"/>
      <w:b/>
      <w:bCs/>
      <w:iCs/>
      <w:sz w:val="28"/>
      <w:szCs w:val="28"/>
    </w:rPr>
  </w:style>
  <w:style w:type="character" w:customStyle="1" w:styleId="Heading3Char">
    <w:name w:val="Heading 3 Char"/>
    <w:basedOn w:val="DefaultParagraphFont"/>
    <w:link w:val="Heading3"/>
    <w:uiPriority w:val="9"/>
    <w:semiHidden/>
    <w:rsid w:val="00657B54"/>
    <w:rPr>
      <w:rFonts w:ascii="Times" w:eastAsia="Times New Roman" w:hAnsi="Times" w:cs="Times New Roman"/>
      <w:b/>
      <w:bCs/>
      <w:sz w:val="24"/>
      <w:szCs w:val="26"/>
    </w:rPr>
  </w:style>
  <w:style w:type="paragraph" w:customStyle="1" w:styleId="labojumupamats">
    <w:name w:val="labojumu_pamats"/>
    <w:basedOn w:val="Normal"/>
    <w:rsid w:val="00F909A4"/>
    <w:pPr>
      <w:spacing w:before="100" w:beforeAutospacing="1" w:after="100" w:afterAutospacing="1"/>
    </w:pPr>
    <w:rPr>
      <w:lang w:val="en-US"/>
    </w:rPr>
  </w:style>
  <w:style w:type="character" w:styleId="Hyperlink">
    <w:name w:val="Hyperlink"/>
    <w:basedOn w:val="DefaultParagraphFont"/>
    <w:uiPriority w:val="99"/>
    <w:unhideWhenUsed/>
    <w:rsid w:val="00F909A4"/>
    <w:rPr>
      <w:color w:val="0000FF"/>
      <w:u w:val="single"/>
    </w:rPr>
  </w:style>
  <w:style w:type="character" w:styleId="UnresolvedMention">
    <w:name w:val="Unresolved Mention"/>
    <w:basedOn w:val="DefaultParagraphFont"/>
    <w:uiPriority w:val="99"/>
    <w:semiHidden/>
    <w:unhideWhenUsed/>
    <w:rsid w:val="00136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75770">
      <w:bodyDiv w:val="1"/>
      <w:marLeft w:val="0"/>
      <w:marRight w:val="0"/>
      <w:marTop w:val="0"/>
      <w:marBottom w:val="0"/>
      <w:divBdr>
        <w:top w:val="none" w:sz="0" w:space="0" w:color="auto"/>
        <w:left w:val="none" w:sz="0" w:space="0" w:color="auto"/>
        <w:bottom w:val="none" w:sz="0" w:space="0" w:color="auto"/>
        <w:right w:val="none" w:sz="0" w:space="0" w:color="auto"/>
      </w:divBdr>
    </w:div>
    <w:div w:id="1155730892">
      <w:bodyDiv w:val="1"/>
      <w:marLeft w:val="0"/>
      <w:marRight w:val="0"/>
      <w:marTop w:val="0"/>
      <w:marBottom w:val="0"/>
      <w:divBdr>
        <w:top w:val="none" w:sz="0" w:space="0" w:color="auto"/>
        <w:left w:val="none" w:sz="0" w:space="0" w:color="auto"/>
        <w:bottom w:val="none" w:sz="0" w:space="0" w:color="auto"/>
        <w:right w:val="none" w:sz="0" w:space="0" w:color="auto"/>
      </w:divBdr>
    </w:div>
    <w:div w:id="1279213634">
      <w:bodyDiv w:val="1"/>
      <w:marLeft w:val="0"/>
      <w:marRight w:val="0"/>
      <w:marTop w:val="0"/>
      <w:marBottom w:val="0"/>
      <w:divBdr>
        <w:top w:val="none" w:sz="0" w:space="0" w:color="auto"/>
        <w:left w:val="none" w:sz="0" w:space="0" w:color="auto"/>
        <w:bottom w:val="none" w:sz="0" w:space="0" w:color="auto"/>
        <w:right w:val="none" w:sz="0" w:space="0" w:color="auto"/>
      </w:divBdr>
    </w:div>
    <w:div w:id="168489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34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gov.lv/lv/judikatura/tiesu-prakses-apkopojumi/kriminal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A4BF-6A6F-48FB-87D1-980660B4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15729</Words>
  <Characters>8967</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2019-06-12T08:50:00Z</dcterms:created>
  <dcterms:modified xsi:type="dcterms:W3CDTF">2019-06-12T08:50:00Z</dcterms:modified>
</cp:coreProperties>
</file>