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8BC" w:rsidRDefault="004876B8" w:rsidP="004876B8">
      <w:pPr>
        <w:spacing w:line="276" w:lineRule="auto"/>
        <w:jc w:val="both"/>
        <w:rPr>
          <w:b/>
          <w:bCs/>
        </w:rPr>
      </w:pPr>
      <w:r w:rsidRPr="004876B8">
        <w:rPr>
          <w:b/>
          <w:bCs/>
        </w:rPr>
        <w:t>Krimināllikuma 319.pantā (Valsts amatpersonas bezdarbība) paredzētā noziedzīg</w:t>
      </w:r>
      <w:r w:rsidR="00EF1E05">
        <w:rPr>
          <w:b/>
          <w:bCs/>
        </w:rPr>
        <w:t>ā</w:t>
      </w:r>
      <w:bookmarkStart w:id="0" w:name="_GoBack"/>
      <w:bookmarkEnd w:id="0"/>
      <w:r w:rsidRPr="004876B8">
        <w:rPr>
          <w:b/>
          <w:bCs/>
        </w:rPr>
        <w:t xml:space="preserve"> nodarījuma sastāva kvalificējošā pazīme - smagas sekas</w:t>
      </w:r>
      <w:r w:rsidR="009178BC" w:rsidRPr="004876B8">
        <w:rPr>
          <w:b/>
          <w:bCs/>
        </w:rPr>
        <w:t xml:space="preserve"> </w:t>
      </w:r>
      <w:r w:rsidR="009178BC" w:rsidRPr="004876B8">
        <w:rPr>
          <w:b/>
          <w:bCs/>
        </w:rPr>
        <w:tab/>
      </w:r>
    </w:p>
    <w:p w:rsidR="004876B8" w:rsidRPr="004876B8" w:rsidRDefault="004876B8" w:rsidP="004876B8">
      <w:pPr>
        <w:spacing w:line="276" w:lineRule="auto"/>
        <w:jc w:val="both"/>
        <w:rPr>
          <w:b/>
          <w:bCs/>
        </w:rPr>
      </w:pPr>
    </w:p>
    <w:p w:rsidR="007D14FA" w:rsidRDefault="009178BC" w:rsidP="009178BC">
      <w:pPr>
        <w:pStyle w:val="BodyText2"/>
        <w:spacing w:line="276" w:lineRule="auto"/>
        <w:ind w:left="2160" w:firstLine="720"/>
        <w:jc w:val="left"/>
        <w:rPr>
          <w:rFonts w:ascii="Times New Roman" w:hAnsi="Times New Roman"/>
          <w:color w:val="FFFFFF"/>
          <w:sz w:val="24"/>
          <w:szCs w:val="24"/>
        </w:rPr>
      </w:pPr>
      <w:r>
        <w:rPr>
          <w:rFonts w:ascii="Times New Roman" w:hAnsi="Times New Roman"/>
          <w:color w:val="FFFFFF"/>
          <w:sz w:val="24"/>
          <w:szCs w:val="24"/>
        </w:rPr>
        <w:t xml:space="preserve">            </w:t>
      </w:r>
    </w:p>
    <w:p w:rsidR="004876B8" w:rsidRPr="004876B8" w:rsidRDefault="00036346" w:rsidP="009178BC">
      <w:pPr>
        <w:spacing w:line="276" w:lineRule="auto"/>
        <w:jc w:val="center"/>
        <w:rPr>
          <w:b/>
        </w:rPr>
      </w:pPr>
      <w:r w:rsidRPr="004876B8">
        <w:rPr>
          <w:b/>
        </w:rPr>
        <w:t>La</w:t>
      </w:r>
      <w:r w:rsidR="006B1C24" w:rsidRPr="004876B8">
        <w:rPr>
          <w:b/>
        </w:rPr>
        <w:t>tvijas Republikas Senāt</w:t>
      </w:r>
      <w:r w:rsidR="004876B8" w:rsidRPr="004876B8">
        <w:rPr>
          <w:b/>
        </w:rPr>
        <w:t xml:space="preserve">a </w:t>
      </w:r>
    </w:p>
    <w:p w:rsidR="004876B8" w:rsidRPr="004876B8" w:rsidRDefault="004876B8" w:rsidP="004876B8">
      <w:pPr>
        <w:spacing w:line="276" w:lineRule="auto"/>
        <w:jc w:val="center"/>
        <w:rPr>
          <w:b/>
        </w:rPr>
      </w:pPr>
      <w:r w:rsidRPr="004876B8">
        <w:rPr>
          <w:b/>
        </w:rPr>
        <w:t>Krimināllietu departamenta</w:t>
      </w:r>
    </w:p>
    <w:p w:rsidR="00036346" w:rsidRPr="004876B8" w:rsidRDefault="004876B8" w:rsidP="004876B8">
      <w:pPr>
        <w:spacing w:line="276" w:lineRule="auto"/>
        <w:jc w:val="center"/>
        <w:rPr>
          <w:b/>
        </w:rPr>
      </w:pPr>
      <w:r w:rsidRPr="004876B8">
        <w:rPr>
          <w:b/>
        </w:rPr>
        <w:t>2019.gada 25.aprīļa</w:t>
      </w:r>
    </w:p>
    <w:p w:rsidR="00036346" w:rsidRPr="004876B8" w:rsidRDefault="00036346" w:rsidP="00036346">
      <w:pPr>
        <w:spacing w:line="276" w:lineRule="auto"/>
        <w:jc w:val="center"/>
        <w:rPr>
          <w:b/>
        </w:rPr>
      </w:pPr>
      <w:r w:rsidRPr="004876B8">
        <w:rPr>
          <w:b/>
        </w:rPr>
        <w:t>LĒMUMS</w:t>
      </w:r>
    </w:p>
    <w:p w:rsidR="004876B8" w:rsidRDefault="004876B8" w:rsidP="00036346">
      <w:pPr>
        <w:spacing w:line="276" w:lineRule="auto"/>
        <w:jc w:val="center"/>
      </w:pPr>
      <w:r w:rsidRPr="004876B8">
        <w:rPr>
          <w:b/>
        </w:rPr>
        <w:t>Lieta Nr. 13870003305</w:t>
      </w:r>
      <w:r w:rsidR="009D12D9">
        <w:rPr>
          <w:b/>
        </w:rPr>
        <w:t>,</w:t>
      </w:r>
      <w:r w:rsidRPr="004876B8">
        <w:rPr>
          <w:b/>
        </w:rPr>
        <w:t xml:space="preserve"> SKK-18/2019</w:t>
      </w:r>
    </w:p>
    <w:p w:rsidR="004876B8" w:rsidRPr="004876B8" w:rsidRDefault="002D1D5E" w:rsidP="00036346">
      <w:pPr>
        <w:spacing w:line="276" w:lineRule="auto"/>
        <w:jc w:val="center"/>
        <w:rPr>
          <w:b/>
        </w:rPr>
      </w:pPr>
      <w:hyperlink r:id="rId8" w:history="1">
        <w:r w:rsidR="004876B8" w:rsidRPr="004876B8">
          <w:rPr>
            <w:rStyle w:val="Hyperlink"/>
            <w:shd w:val="clear" w:color="auto" w:fill="FFFFFF"/>
          </w:rPr>
          <w:t>ECLI:LV:AT:2019:0425.13870003305.3.L</w:t>
        </w:r>
      </w:hyperlink>
    </w:p>
    <w:p w:rsidR="00036346" w:rsidRDefault="00036346" w:rsidP="00036346">
      <w:pPr>
        <w:spacing w:line="276" w:lineRule="auto"/>
      </w:pPr>
    </w:p>
    <w:p w:rsidR="00036346" w:rsidRDefault="009178BC" w:rsidP="009178BC">
      <w:pPr>
        <w:spacing w:line="276" w:lineRule="auto"/>
        <w:ind w:firstLine="720"/>
        <w:jc w:val="both"/>
      </w:pPr>
      <w:r>
        <w:t>Tiesa šādā sastāvā: senatori</w:t>
      </w:r>
      <w:r w:rsidR="00036346">
        <w:t xml:space="preserve"> Pēteris Opincāns,</w:t>
      </w:r>
      <w:r>
        <w:t xml:space="preserve"> </w:t>
      </w:r>
      <w:r w:rsidR="00036346">
        <w:t>Artūrs Freibergs,</w:t>
      </w:r>
      <w:r>
        <w:t xml:space="preserve"> </w:t>
      </w:r>
      <w:r w:rsidR="00036346">
        <w:t>Anita Nusberga</w:t>
      </w:r>
    </w:p>
    <w:p w:rsidR="00036346" w:rsidRDefault="00036346" w:rsidP="00036346">
      <w:pPr>
        <w:tabs>
          <w:tab w:val="left" w:pos="567"/>
        </w:tabs>
        <w:spacing w:line="276" w:lineRule="auto"/>
        <w:jc w:val="both"/>
      </w:pPr>
      <w:r>
        <w:tab/>
      </w:r>
    </w:p>
    <w:p w:rsidR="00036346" w:rsidRDefault="00036346" w:rsidP="00036346">
      <w:pPr>
        <w:tabs>
          <w:tab w:val="left" w:pos="567"/>
        </w:tabs>
        <w:spacing w:line="276" w:lineRule="auto"/>
        <w:jc w:val="both"/>
      </w:pPr>
      <w:r>
        <w:t>izskatīja rakstveida procesā krimināllietu sakarā ar</w:t>
      </w:r>
      <w:r w:rsidRPr="00BE7A67">
        <w:t xml:space="preserve"> </w:t>
      </w:r>
      <w:r>
        <w:t>Rīgas tiesu apgabala prokurat</w:t>
      </w:r>
      <w:r w:rsidR="00847328">
        <w:t xml:space="preserve">ūras prokurores </w:t>
      </w:r>
      <w:proofErr w:type="spellStart"/>
      <w:r w:rsidR="00847328">
        <w:t>Zinaidas</w:t>
      </w:r>
      <w:proofErr w:type="spellEnd"/>
      <w:r w:rsidR="00847328">
        <w:t xml:space="preserve"> </w:t>
      </w:r>
      <w:proofErr w:type="spellStart"/>
      <w:r w:rsidR="00847328">
        <w:t>Pavlovas</w:t>
      </w:r>
      <w:proofErr w:type="spellEnd"/>
      <w:r>
        <w:t xml:space="preserve"> kasācijas protestu un apsūdzētā </w:t>
      </w:r>
      <w:r w:rsidR="005E7EBC">
        <w:t>[pers. A]</w:t>
      </w:r>
      <w:r>
        <w:t xml:space="preserve"> kasācijas sūdzību par Rīgas apgabaltiesas 2018.gada 16.maija spriedumu.</w:t>
      </w:r>
    </w:p>
    <w:p w:rsidR="00036346" w:rsidRDefault="00036346" w:rsidP="00036346">
      <w:pPr>
        <w:pStyle w:val="Heading2"/>
        <w:spacing w:before="0"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036346" w:rsidRDefault="00036346" w:rsidP="00036346">
      <w:pPr>
        <w:pStyle w:val="Heading2"/>
        <w:spacing w:before="0" w:after="0" w:line="276" w:lineRule="auto"/>
        <w:ind w:left="-360"/>
        <w:jc w:val="center"/>
        <w:rPr>
          <w:rFonts w:ascii="Times New Roman" w:hAnsi="Times New Roman" w:cs="Times New Roman"/>
          <w:i w:val="0"/>
          <w:sz w:val="24"/>
          <w:szCs w:val="24"/>
        </w:rPr>
      </w:pPr>
      <w:r>
        <w:rPr>
          <w:rFonts w:ascii="Times New Roman" w:hAnsi="Times New Roman" w:cs="Times New Roman"/>
          <w:i w:val="0"/>
          <w:sz w:val="24"/>
          <w:szCs w:val="24"/>
        </w:rPr>
        <w:t>Aprakstošā daļa</w:t>
      </w:r>
    </w:p>
    <w:p w:rsidR="00036346" w:rsidRDefault="00036346" w:rsidP="00036346">
      <w:pPr>
        <w:spacing w:line="276" w:lineRule="auto"/>
        <w:jc w:val="both"/>
      </w:pPr>
    </w:p>
    <w:p w:rsidR="00036346" w:rsidRDefault="00036346" w:rsidP="00FE1E59">
      <w:pPr>
        <w:spacing w:line="276" w:lineRule="auto"/>
        <w:ind w:firstLine="709"/>
        <w:jc w:val="both"/>
      </w:pPr>
      <w:r>
        <w:t>[1] Ar Rīgas pilsētas Pārdaugavas tiesas 2017.gada 15.jūnija spriedumu</w:t>
      </w:r>
    </w:p>
    <w:p w:rsidR="009C52AF" w:rsidRPr="00036346" w:rsidRDefault="005E7EBC" w:rsidP="00FE1E59">
      <w:pPr>
        <w:spacing w:line="276" w:lineRule="auto"/>
        <w:ind w:firstLine="709"/>
        <w:jc w:val="both"/>
      </w:pPr>
      <w:r>
        <w:t>[pers. A]</w:t>
      </w:r>
      <w:r w:rsidR="00036346">
        <w:t xml:space="preserve">, personas kods </w:t>
      </w:r>
      <w:r>
        <w:t>[..]</w:t>
      </w:r>
      <w:r w:rsidR="00036346">
        <w:t>,</w:t>
      </w:r>
    </w:p>
    <w:p w:rsidR="002773EB" w:rsidRDefault="00D505EE" w:rsidP="00FE1E59">
      <w:pPr>
        <w:spacing w:line="276" w:lineRule="auto"/>
        <w:ind w:firstLine="709"/>
        <w:jc w:val="both"/>
      </w:pPr>
      <w:r>
        <w:t xml:space="preserve">atzīts par </w:t>
      </w:r>
      <w:r w:rsidR="009F766E">
        <w:t>vain</w:t>
      </w:r>
      <w:r w:rsidR="00B84D7A">
        <w:t xml:space="preserve">īgu Krimināllikuma </w:t>
      </w:r>
      <w:r w:rsidR="00036346">
        <w:t xml:space="preserve">319.panta otrajā daļā (likuma redakcijā līdz 2005.gada 1.janvārim) </w:t>
      </w:r>
      <w:r w:rsidR="00B84D7A">
        <w:t>paredzētajā noziedzīgā nodarījumā un sodīts</w:t>
      </w:r>
      <w:r w:rsidR="00036346">
        <w:t xml:space="preserve"> ar naudas sodu 20 minimālo mēnešalgu apmērā.</w:t>
      </w:r>
    </w:p>
    <w:p w:rsidR="00551518" w:rsidRDefault="00B84D7A" w:rsidP="00FE1E59">
      <w:pPr>
        <w:spacing w:line="276" w:lineRule="auto"/>
        <w:ind w:firstLine="709"/>
        <w:jc w:val="both"/>
      </w:pPr>
      <w:r>
        <w:t>Saskaņā ar Krimināllik</w:t>
      </w:r>
      <w:r w:rsidR="00A85515">
        <w:t xml:space="preserve">uma </w:t>
      </w:r>
      <w:r w:rsidR="00036346">
        <w:t>59</w:t>
      </w:r>
      <w:r w:rsidR="00A85515">
        <w:t xml:space="preserve">.panta </w:t>
      </w:r>
      <w:r w:rsidR="00036346">
        <w:t xml:space="preserve">trešo daļu un 58.panta piekto daļu </w:t>
      </w:r>
      <w:r w:rsidR="005E7EBC">
        <w:t>[pers. A]</w:t>
      </w:r>
      <w:r w:rsidR="00551518">
        <w:t xml:space="preserve"> atbrīvots no soda. </w:t>
      </w:r>
    </w:p>
    <w:p w:rsidR="00A16492" w:rsidRDefault="00A16492" w:rsidP="00FE1E59">
      <w:pPr>
        <w:spacing w:line="276" w:lineRule="auto"/>
        <w:ind w:firstLine="709"/>
        <w:jc w:val="both"/>
      </w:pPr>
      <w:r>
        <w:t xml:space="preserve">No </w:t>
      </w:r>
      <w:r w:rsidR="005E7EBC">
        <w:t>[pers. A]</w:t>
      </w:r>
      <w:r>
        <w:t xml:space="preserve"> valsts labā piedzīta materiālā kaitējuma kompensācija 82</w:t>
      </w:r>
      <w:r w:rsidR="003306F0">
        <w:t> </w:t>
      </w:r>
      <w:r>
        <w:t>196,45 </w:t>
      </w:r>
      <w:proofErr w:type="spellStart"/>
      <w:r w:rsidRPr="00A16492">
        <w:rPr>
          <w:i/>
        </w:rPr>
        <w:t>euro</w:t>
      </w:r>
      <w:proofErr w:type="spellEnd"/>
      <w:r>
        <w:t xml:space="preserve">. </w:t>
      </w:r>
    </w:p>
    <w:p w:rsidR="00551518" w:rsidRDefault="00551518" w:rsidP="00FE1E59">
      <w:pPr>
        <w:spacing w:line="276" w:lineRule="auto"/>
        <w:ind w:firstLine="709"/>
        <w:jc w:val="both"/>
      </w:pPr>
    </w:p>
    <w:p w:rsidR="00D955E5" w:rsidRDefault="00D955E5" w:rsidP="00FE1E59">
      <w:pPr>
        <w:spacing w:line="276" w:lineRule="auto"/>
        <w:ind w:firstLine="709"/>
        <w:jc w:val="both"/>
      </w:pPr>
      <w:r>
        <w:t xml:space="preserve">[2] </w:t>
      </w:r>
      <w:r w:rsidR="005C5D58">
        <w:rPr>
          <w:rFonts w:ascii="TimesNewRomanPSMT" w:hAnsi="TimesNewRomanPSMT" w:cs="TimesNewRomanPSMT"/>
          <w:lang w:eastAsia="lv-LV"/>
        </w:rPr>
        <w:t xml:space="preserve">Ar </w:t>
      </w:r>
      <w:r w:rsidR="00A85515">
        <w:rPr>
          <w:rFonts w:ascii="TimesNewRomanPSMT" w:hAnsi="TimesNewRomanPSMT" w:cs="TimesNewRomanPSMT"/>
          <w:lang w:eastAsia="lv-LV"/>
        </w:rPr>
        <w:t xml:space="preserve">Rīgas pilsētas </w:t>
      </w:r>
      <w:r w:rsidR="00551518">
        <w:rPr>
          <w:rFonts w:ascii="TimesNewRomanPSMT" w:hAnsi="TimesNewRomanPSMT" w:cs="TimesNewRomanPSMT"/>
          <w:lang w:eastAsia="lv-LV"/>
        </w:rPr>
        <w:t xml:space="preserve">Pārdaugavas tiesas 2017.gada 15.jūnija spriedumu </w:t>
      </w:r>
      <w:r w:rsidR="005E7EBC">
        <w:rPr>
          <w:rFonts w:ascii="TimesNewRomanPSMT" w:hAnsi="TimesNewRomanPSMT" w:cs="TimesNewRomanPSMT"/>
          <w:lang w:eastAsia="lv-LV"/>
        </w:rPr>
        <w:t>[pers. A]</w:t>
      </w:r>
      <w:r w:rsidR="00551518">
        <w:rPr>
          <w:rFonts w:ascii="TimesNewRomanPSMT" w:hAnsi="TimesNewRomanPSMT" w:cs="TimesNewRomanPSMT"/>
          <w:lang w:eastAsia="lv-LV"/>
        </w:rPr>
        <w:t xml:space="preserve"> </w:t>
      </w:r>
      <w:r>
        <w:rPr>
          <w:rFonts w:ascii="TimesNewRomanPSMT" w:hAnsi="TimesNewRomanPSMT" w:cs="TimesNewRomanPSMT"/>
          <w:lang w:eastAsia="lv-LV"/>
        </w:rPr>
        <w:t xml:space="preserve">atzīts </w:t>
      </w:r>
      <w:r>
        <w:t>par vainīgu</w:t>
      </w:r>
      <w:r>
        <w:rPr>
          <w:rFonts w:ascii="TimesNewRomanPSMT" w:hAnsi="TimesNewRomanPSMT" w:cs="TimesNewRomanPSMT"/>
          <w:lang w:eastAsia="lv-LV"/>
        </w:rPr>
        <w:t xml:space="preserve"> un sodīts pēc Krimināllikuma </w:t>
      </w:r>
      <w:r w:rsidR="00551518">
        <w:t>319.panta otrās daļas</w:t>
      </w:r>
      <w:r>
        <w:rPr>
          <w:rFonts w:ascii="TimesNewRomanPSMT" w:hAnsi="TimesNewRomanPSMT" w:cs="TimesNewRomanPSMT"/>
          <w:lang w:eastAsia="lv-LV"/>
        </w:rPr>
        <w:t xml:space="preserve"> par to</w:t>
      </w:r>
      <w:r w:rsidR="00551518">
        <w:t xml:space="preserve">, </w:t>
      </w:r>
      <w:r w:rsidR="00551518" w:rsidRPr="00551518">
        <w:t>ka</w:t>
      </w:r>
      <w:r w:rsidR="00551518">
        <w:t xml:space="preserve"> viņš</w:t>
      </w:r>
      <w:r w:rsidR="000005EC">
        <w:t>,</w:t>
      </w:r>
      <w:r w:rsidR="0031347C">
        <w:t xml:space="preserve"> būdams valsts amatpersona,</w:t>
      </w:r>
      <w:r w:rsidR="00551518" w:rsidRPr="00551518">
        <w:t xml:space="preserve"> neizpildīja tam pēc likuma uzliktos pienākumus, tas ir, tīši neizdarīja darbības, kuras tam pēc likuma un uzliktā pienākuma jāizdara, lai novērstu kaitējumu valsts varai, pārvaldības kārtībai un ar likumu aizsargātām personas tiesībām un interesēm, un ar to valsts varai, pārvaldības kārtībai, kā arī ar likumu aizsargātām personas tiesībām un interesēm radīja būtisku</w:t>
      </w:r>
      <w:r w:rsidR="00D451E3">
        <w:t xml:space="preserve"> kaitējumu, kā arī tas izraisīja</w:t>
      </w:r>
      <w:r w:rsidR="00551518" w:rsidRPr="00551518">
        <w:t xml:space="preserve"> smagas sekas.</w:t>
      </w:r>
    </w:p>
    <w:p w:rsidR="00100291" w:rsidRPr="006A1B70" w:rsidRDefault="00100291" w:rsidP="00FE1E59">
      <w:pPr>
        <w:spacing w:line="276" w:lineRule="auto"/>
        <w:ind w:firstLine="709"/>
        <w:jc w:val="both"/>
      </w:pPr>
    </w:p>
    <w:p w:rsidR="00461DA4" w:rsidRDefault="007172F0" w:rsidP="00FE1E59">
      <w:pPr>
        <w:spacing w:line="276" w:lineRule="auto"/>
        <w:ind w:firstLine="709"/>
        <w:jc w:val="both"/>
        <w:rPr>
          <w:rFonts w:ascii="TimesNewRomanPSMT" w:hAnsi="TimesNewRomanPSMT" w:cs="TimesNewRomanPSMT"/>
          <w:lang w:eastAsia="lv-LV"/>
        </w:rPr>
      </w:pPr>
      <w:r>
        <w:t>[</w:t>
      </w:r>
      <w:r w:rsidR="00B86DF3">
        <w:t>3</w:t>
      </w:r>
      <w:r w:rsidR="00D5178A">
        <w:t>]</w:t>
      </w:r>
      <w:r w:rsidR="00006F66">
        <w:t> </w:t>
      </w:r>
      <w:r w:rsidR="001B0961">
        <w:t>Ar</w:t>
      </w:r>
      <w:r w:rsidR="00006F66">
        <w:t xml:space="preserve"> </w:t>
      </w:r>
      <w:r w:rsidR="00100291">
        <w:t>Rīgas</w:t>
      </w:r>
      <w:r w:rsidR="001B0961">
        <w:t xml:space="preserve"> apgabaltiesas 2018.gada </w:t>
      </w:r>
      <w:r w:rsidR="00551518">
        <w:t xml:space="preserve">16.maija </w:t>
      </w:r>
      <w:r w:rsidR="00100291">
        <w:t>spriedumu</w:t>
      </w:r>
      <w:r w:rsidR="001B0961">
        <w:t xml:space="preserve"> </w:t>
      </w:r>
      <w:r w:rsidR="00551518">
        <w:t>Rīgas pilsētas Pārdaugavas tiesas</w:t>
      </w:r>
      <w:r w:rsidR="00461DA4">
        <w:t xml:space="preserve"> 2017.gada 15.jūnija </w:t>
      </w:r>
      <w:r w:rsidR="00100291">
        <w:t>spriedums</w:t>
      </w:r>
      <w:r w:rsidR="00461DA4">
        <w:rPr>
          <w:rFonts w:ascii="TimesNewRomanPSMT" w:hAnsi="TimesNewRomanPSMT" w:cs="TimesNewRomanPSMT"/>
          <w:lang w:eastAsia="lv-LV"/>
        </w:rPr>
        <w:t xml:space="preserve"> atcelts daļā par </w:t>
      </w:r>
      <w:r w:rsidR="005E7EBC">
        <w:rPr>
          <w:rFonts w:ascii="TimesNewRomanPSMT" w:hAnsi="TimesNewRomanPSMT" w:cs="TimesNewRomanPSMT"/>
          <w:lang w:eastAsia="lv-LV"/>
        </w:rPr>
        <w:t>[pers. </w:t>
      </w:r>
      <w:r w:rsidR="005E7EBC">
        <w:t>A]</w:t>
      </w:r>
      <w:r w:rsidR="00461DA4">
        <w:rPr>
          <w:rFonts w:ascii="TimesNewRomanPSMT" w:hAnsi="TimesNewRomanPSMT" w:cs="TimesNewRomanPSMT"/>
          <w:lang w:eastAsia="lv-LV"/>
        </w:rPr>
        <w:t xml:space="preserve"> atzīšanu par vainīgu un sodīšanu pēc Krimināllikuma 319.panta otrās daļas (likuma redakcijā līdz 2005.gada 1.janvārim), daļā pa</w:t>
      </w:r>
      <w:r w:rsidR="000A2166">
        <w:rPr>
          <w:rFonts w:ascii="TimesNewRomanPSMT" w:hAnsi="TimesNewRomanPSMT" w:cs="TimesNewRomanPSMT"/>
          <w:lang w:eastAsia="lv-LV"/>
        </w:rPr>
        <w:t>r kaitējuma kompensācijas 82</w:t>
      </w:r>
      <w:r w:rsidR="003306F0">
        <w:rPr>
          <w:rFonts w:ascii="TimesNewRomanPSMT" w:hAnsi="TimesNewRomanPSMT" w:cs="TimesNewRomanPSMT"/>
          <w:lang w:eastAsia="lv-LV"/>
        </w:rPr>
        <w:t> </w:t>
      </w:r>
      <w:r w:rsidR="000A2166">
        <w:rPr>
          <w:rFonts w:ascii="TimesNewRomanPSMT" w:hAnsi="TimesNewRomanPSMT" w:cs="TimesNewRomanPSMT"/>
          <w:lang w:eastAsia="lv-LV"/>
        </w:rPr>
        <w:t>196,</w:t>
      </w:r>
      <w:r w:rsidR="00461DA4">
        <w:rPr>
          <w:rFonts w:ascii="TimesNewRomanPSMT" w:hAnsi="TimesNewRomanPSMT" w:cs="TimesNewRomanPSMT"/>
          <w:lang w:eastAsia="lv-LV"/>
        </w:rPr>
        <w:t>45</w:t>
      </w:r>
      <w:r w:rsidR="000A2166">
        <w:rPr>
          <w:rFonts w:ascii="TimesNewRomanPSMT" w:hAnsi="TimesNewRomanPSMT" w:cs="TimesNewRomanPSMT"/>
          <w:lang w:eastAsia="lv-LV"/>
        </w:rPr>
        <w:t> </w:t>
      </w:r>
      <w:proofErr w:type="spellStart"/>
      <w:r w:rsidR="00461DA4" w:rsidRPr="000A2166">
        <w:rPr>
          <w:rFonts w:ascii="TimesNewRomanPSMT" w:hAnsi="TimesNewRomanPSMT" w:cs="TimesNewRomanPSMT"/>
          <w:i/>
          <w:lang w:eastAsia="lv-LV"/>
        </w:rPr>
        <w:t>euro</w:t>
      </w:r>
      <w:proofErr w:type="spellEnd"/>
      <w:r w:rsidR="00461DA4">
        <w:rPr>
          <w:rFonts w:ascii="TimesNewRomanPSMT" w:hAnsi="TimesNewRomanPSMT" w:cs="TimesNewRomanPSMT"/>
          <w:lang w:eastAsia="lv-LV"/>
        </w:rPr>
        <w:t xml:space="preserve"> piedziņu valsts labā.</w:t>
      </w:r>
    </w:p>
    <w:p w:rsidR="000A2166" w:rsidRDefault="005E7EBC" w:rsidP="00FE1E59">
      <w:pPr>
        <w:spacing w:line="276" w:lineRule="auto"/>
        <w:ind w:firstLine="709"/>
        <w:jc w:val="both"/>
      </w:pPr>
      <w:r>
        <w:rPr>
          <w:rFonts w:ascii="TimesNewRomanPSMT" w:hAnsi="TimesNewRomanPSMT" w:cs="TimesNewRomanPSMT"/>
          <w:lang w:eastAsia="lv-LV"/>
        </w:rPr>
        <w:t>[Pers. A]</w:t>
      </w:r>
      <w:r w:rsidR="007D117B">
        <w:rPr>
          <w:rFonts w:ascii="TimesNewRomanPSMT" w:hAnsi="TimesNewRomanPSMT" w:cs="TimesNewRomanPSMT"/>
          <w:lang w:eastAsia="lv-LV"/>
        </w:rPr>
        <w:t xml:space="preserve"> </w:t>
      </w:r>
      <w:r w:rsidR="007D117B">
        <w:t>atzīts par vainīgu Krimināllikuma 319.panta otrajā daļā (likuma redakcijā līdz 2005.gada 1.janvārim) par</w:t>
      </w:r>
      <w:r w:rsidR="00103612">
        <w:t>edzētajā noziedzīgā nodarījumā un, piemērojot</w:t>
      </w:r>
      <w:r w:rsidR="007D117B">
        <w:t xml:space="preserve"> Krimināllikuma 58.panta pie</w:t>
      </w:r>
      <w:r w:rsidR="00103612">
        <w:t xml:space="preserve">kto daļu un 59.panta trešo daļu, </w:t>
      </w:r>
      <w:r w:rsidR="007D117B">
        <w:t>atbrīvots no soda.</w:t>
      </w:r>
      <w:r w:rsidR="00F5228B">
        <w:t xml:space="preserve"> </w:t>
      </w:r>
    </w:p>
    <w:p w:rsidR="00F5228B" w:rsidRDefault="00F5228B" w:rsidP="00FE1E59">
      <w:pPr>
        <w:spacing w:line="276" w:lineRule="auto"/>
        <w:ind w:firstLine="709"/>
        <w:jc w:val="both"/>
        <w:rPr>
          <w:rFonts w:ascii="TimesNewRomanPSMT" w:hAnsi="TimesNewRomanPSMT" w:cs="TimesNewRomanPSMT"/>
          <w:lang w:eastAsia="lv-LV"/>
        </w:rPr>
      </w:pPr>
      <w:r>
        <w:t xml:space="preserve">No </w:t>
      </w:r>
      <w:r w:rsidR="005E7EBC">
        <w:t>[pers. A]</w:t>
      </w:r>
      <w:r>
        <w:t xml:space="preserve"> </w:t>
      </w:r>
      <w:r w:rsidR="005E7EBC">
        <w:t>[..]</w:t>
      </w:r>
      <w:r>
        <w:t xml:space="preserve"> pilsēt</w:t>
      </w:r>
      <w:r w:rsidR="00FE1E59">
        <w:t>as domes labā piedzīta</w:t>
      </w:r>
      <w:r>
        <w:t xml:space="preserve"> materiālā </w:t>
      </w:r>
      <w:r w:rsidR="000A2166">
        <w:t>kaitējuma kompensācija 82</w:t>
      </w:r>
      <w:r w:rsidR="0031347C">
        <w:t> </w:t>
      </w:r>
      <w:r w:rsidR="000A2166">
        <w:t>196,45 </w:t>
      </w:r>
      <w:proofErr w:type="spellStart"/>
      <w:r w:rsidRPr="000A2166">
        <w:rPr>
          <w:i/>
        </w:rPr>
        <w:t>euro</w:t>
      </w:r>
      <w:proofErr w:type="spellEnd"/>
      <w:r>
        <w:t>.</w:t>
      </w:r>
      <w:r w:rsidR="006B1C24">
        <w:rPr>
          <w:rFonts w:ascii="TimesNewRomanPSMT" w:hAnsi="TimesNewRomanPSMT" w:cs="TimesNewRomanPSMT"/>
          <w:lang w:eastAsia="lv-LV"/>
        </w:rPr>
        <w:t xml:space="preserve"> </w:t>
      </w:r>
    </w:p>
    <w:p w:rsidR="00100291" w:rsidRDefault="00100291" w:rsidP="00FE1E59">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lastRenderedPageBreak/>
        <w:t>Pārējā daļā pirmās instances tiesas spriedums atstāts negrozīts.</w:t>
      </w:r>
    </w:p>
    <w:p w:rsidR="00100291" w:rsidRPr="00100291" w:rsidRDefault="00100291" w:rsidP="00FE1E59">
      <w:pPr>
        <w:spacing w:line="276" w:lineRule="auto"/>
        <w:ind w:firstLine="709"/>
        <w:jc w:val="both"/>
      </w:pPr>
    </w:p>
    <w:p w:rsidR="00CB40C4" w:rsidRDefault="00BA3FB2" w:rsidP="00FE1E59">
      <w:pPr>
        <w:spacing w:line="276" w:lineRule="auto"/>
        <w:ind w:firstLine="709"/>
        <w:jc w:val="both"/>
      </w:pPr>
      <w:r>
        <w:t>[4]</w:t>
      </w:r>
      <w:r w:rsidR="00C5000E">
        <w:t xml:space="preserve"> </w:t>
      </w:r>
      <w:r w:rsidR="00A86277">
        <w:t>Prokurore Z. Pavlova p</w:t>
      </w:r>
      <w:r w:rsidR="00CB6A15">
        <w:t>ar Rīgas apgabaltiesas 2018.gada 16.maija spriedumu iesniegusi kasācijas protestu, kurā lūdz atcelt</w:t>
      </w:r>
      <w:r w:rsidR="00BD1A9E">
        <w:t xml:space="preserve"> pilnībā</w:t>
      </w:r>
      <w:r w:rsidR="00CB6A15">
        <w:t xml:space="preserve"> apelāc</w:t>
      </w:r>
      <w:r w:rsidR="00BD1A9E">
        <w:t>ijas instances tiesas spriedumu</w:t>
      </w:r>
      <w:r w:rsidR="00CB6A15">
        <w:t xml:space="preserve"> un lietu nosūtīt jaunai izskatīšanai.</w:t>
      </w:r>
    </w:p>
    <w:p w:rsidR="00CB6A15" w:rsidRDefault="006B1C24" w:rsidP="00FE1E59">
      <w:pPr>
        <w:spacing w:line="276" w:lineRule="auto"/>
        <w:ind w:firstLine="709"/>
        <w:jc w:val="both"/>
      </w:pPr>
      <w:r>
        <w:t>Protests pamatots ar šādiem argumentiem.</w:t>
      </w:r>
    </w:p>
    <w:p w:rsidR="006B1C24" w:rsidRDefault="006B1C24" w:rsidP="00FE1E59">
      <w:pPr>
        <w:spacing w:line="276" w:lineRule="auto"/>
        <w:ind w:firstLine="709"/>
        <w:jc w:val="both"/>
      </w:pPr>
      <w:r>
        <w:t>[4.1] Prokurore uzskata, ka apelācijas instances tiesa, taisot spriedumu, nav ievērojusi Kriminālprocesa likuma 124.,</w:t>
      </w:r>
      <w:r w:rsidR="005C538C">
        <w:t xml:space="preserve"> 127.–</w:t>
      </w:r>
      <w:r>
        <w:t>130.panta prasības. Spriedums neatbilst arī Kriminālprocesa likuma 511.,</w:t>
      </w:r>
      <w:r w:rsidR="00A16492">
        <w:t xml:space="preserve"> </w:t>
      </w:r>
      <w:r w:rsidR="000005EC">
        <w:t>512.panta,</w:t>
      </w:r>
      <w:r w:rsidR="00A16492">
        <w:t xml:space="preserve"> </w:t>
      </w:r>
      <w:r>
        <w:t>527.panta otrās daļas 2.punkta, 564.panta ceturtās un astotās daļas prasībām.</w:t>
      </w:r>
      <w:r w:rsidR="00BD1A9E">
        <w:t xml:space="preserve"> Minētie pārkāpumi atzīstami par Kriminālprocesa likuma būtiskiem pārkāpumiem šā likuma 575.panta trešās daļas izpratnē, kas noveda pie nelikumīga sprieduma.</w:t>
      </w:r>
    </w:p>
    <w:p w:rsidR="00227736" w:rsidRDefault="00227736" w:rsidP="00FE1E59">
      <w:pPr>
        <w:spacing w:line="276" w:lineRule="auto"/>
        <w:ind w:firstLine="709"/>
        <w:jc w:val="both"/>
      </w:pPr>
      <w:r>
        <w:t>Apelācijas instances tiesa sprieduma motīvu daļā nav norādījusi pierādījumus, kas apstiprina tiesas atzinumu, ka apsūdzētais noziedzīgo nodarījumu izdarījis aiz nolaidības</w:t>
      </w:r>
      <w:r w:rsidR="00884B72">
        <w:t xml:space="preserve">, </w:t>
      </w:r>
      <w:r w:rsidR="00AF325D">
        <w:t>proti</w:t>
      </w:r>
      <w:r>
        <w:t>, aiz noziedzīgas nevērības.</w:t>
      </w:r>
    </w:p>
    <w:p w:rsidR="00227736" w:rsidRDefault="009D54D6" w:rsidP="00FE1E59">
      <w:pPr>
        <w:spacing w:line="276" w:lineRule="auto"/>
        <w:ind w:firstLine="709"/>
        <w:jc w:val="both"/>
      </w:pPr>
      <w:r>
        <w:t xml:space="preserve">[4.2] </w:t>
      </w:r>
      <w:r w:rsidR="00227736">
        <w:t>Tie</w:t>
      </w:r>
      <w:r w:rsidR="00CB1C25">
        <w:t>sa, taisot jaunu spriedumu, nav ievērojusi</w:t>
      </w:r>
      <w:r w:rsidR="00227736">
        <w:t xml:space="preserve"> Kriminālprocesa likuma 564.panta astotās daļas p</w:t>
      </w:r>
      <w:r w:rsidR="00CB1C25">
        <w:t>rasības. Tiesa nepamatoti atzinusi</w:t>
      </w:r>
      <w:r w:rsidR="00227736">
        <w:t xml:space="preserve">, ka no apsūdzības izslēdzama kvalificējošā pazīme – būtiska kaitējuma nodarīšana. </w:t>
      </w:r>
      <w:r w:rsidR="004C4478">
        <w:t>Spriedumā</w:t>
      </w:r>
      <w:r w:rsidR="00227736">
        <w:t xml:space="preserve"> </w:t>
      </w:r>
      <w:r w:rsidR="004C4478">
        <w:t>nav</w:t>
      </w:r>
      <w:r w:rsidR="00227736">
        <w:t xml:space="preserve"> </w:t>
      </w:r>
      <w:r w:rsidR="004C4478">
        <w:t>norādīti</w:t>
      </w:r>
      <w:r w:rsidR="00227736">
        <w:t xml:space="preserve"> </w:t>
      </w:r>
      <w:r w:rsidR="004C4478">
        <w:t>motīvi</w:t>
      </w:r>
      <w:r w:rsidR="00227736">
        <w:t xml:space="preserve">, </w:t>
      </w:r>
      <w:r w:rsidR="004C4478">
        <w:t>kādēļ tiesa noraida apsūdzība</w:t>
      </w:r>
      <w:r w:rsidR="00AF325D">
        <w:t>s</w:t>
      </w:r>
      <w:r w:rsidR="004C4478">
        <w:t xml:space="preserve"> pierādījumus tam, ka </w:t>
      </w:r>
      <w:r w:rsidR="005E7EBC">
        <w:t>[pers. A]</w:t>
      </w:r>
      <w:r w:rsidR="004C4478">
        <w:t xml:space="preserve"> pieļ</w:t>
      </w:r>
      <w:r w:rsidR="00227736">
        <w:t>autās bezdarbības rezultātā ti</w:t>
      </w:r>
      <w:r w:rsidR="004C4478">
        <w:t xml:space="preserve">ka radīts būtisks kaitējums </w:t>
      </w:r>
      <w:r w:rsidR="00AB67D1">
        <w:t>[..]</w:t>
      </w:r>
      <w:r w:rsidR="004C4478">
        <w:t xml:space="preserve"> pilsētas pašvaldības iedzīvotāju</w:t>
      </w:r>
      <w:r w:rsidR="00AF325D">
        <w:t xml:space="preserve"> interesēm un tiesībām uz pašvaldības palīdzības saņemšanu dzīvokļa jautājuma risināšanā, kā arī radīja būtisku kaitējumu pārvaldības kārtībai.</w:t>
      </w:r>
    </w:p>
    <w:p w:rsidR="00160BD5" w:rsidRDefault="009D54D6" w:rsidP="00FE1E59">
      <w:pPr>
        <w:spacing w:line="276" w:lineRule="auto"/>
        <w:ind w:firstLine="709"/>
        <w:jc w:val="both"/>
      </w:pPr>
      <w:r>
        <w:t xml:space="preserve">[4.3] </w:t>
      </w:r>
      <w:r w:rsidR="00AF325D">
        <w:t xml:space="preserve">Kasācijas protesta papildinājumos </w:t>
      </w:r>
      <w:r w:rsidR="00B06397">
        <w:t>pro</w:t>
      </w:r>
      <w:r w:rsidR="00466925">
        <w:t xml:space="preserve">kurore norāda, ka tiesa kļūdainu secinājumu par </w:t>
      </w:r>
      <w:r w:rsidR="005E7EBC">
        <w:t>[pers. A]</w:t>
      </w:r>
      <w:r w:rsidR="00B06397">
        <w:t xml:space="preserve"> attieksmi pret sava nodarījuma izraisītajām sekām projicēja uz apsūdzētā psihisko attieksmi pret pieļauto bezdarbību.</w:t>
      </w:r>
      <w:r w:rsidR="00160BD5">
        <w:t xml:space="preserve"> Prokurore atsaucas uz Augstākā</w:t>
      </w:r>
      <w:r w:rsidR="00A16492">
        <w:t>s tiesas 2014.gada apkopojumā „</w:t>
      </w:r>
      <w:r w:rsidR="000005EC">
        <w:t>Tiesu prakse krimināllietās pēc</w:t>
      </w:r>
      <w:r w:rsidR="00160BD5">
        <w:t xml:space="preserve"> Krimināllikuma 317.panta otrās daļas, 318.panta otrās daļas un 319.panta otrās daļas</w:t>
      </w:r>
      <w:r w:rsidR="00DE1DD0">
        <w:t>”</w:t>
      </w:r>
      <w:r w:rsidR="00160BD5">
        <w:t xml:space="preserve"> norādīto, ka vainīgā psihiskā attieksme pret sava nodarījuma izraisītajām kaitīgajām sekām neietekmē noziedzīgā nodarījuma atzīšanu par izdarītu ar nodomu (tīši).</w:t>
      </w:r>
    </w:p>
    <w:p w:rsidR="00AF325D" w:rsidRDefault="00160BD5" w:rsidP="00FE1E59">
      <w:pPr>
        <w:spacing w:line="276" w:lineRule="auto"/>
        <w:ind w:firstLine="709"/>
        <w:jc w:val="both"/>
      </w:pPr>
      <w:r>
        <w:t>Prokurore uzskata, ka apsūdzētais nevarēja neparedzēt kaitīgu seku iestāšanos viņa kā amatpersonas bezdarbības rezultātā</w:t>
      </w:r>
      <w:r w:rsidR="00805E89">
        <w:t xml:space="preserve">. Tiesas spriedumā netika norādīti pierādījumi, ar kuriem pamatoti tiesas atzinumi par apsūdzētā vainas formu, kā arī par vainīgā attieksmi pret kaitīgajām </w:t>
      </w:r>
      <w:r w:rsidR="00CB1C25">
        <w:t>sekām. Tiesa nepamatoti secinājusi</w:t>
      </w:r>
      <w:r w:rsidR="00805E89">
        <w:t>, ka no apsūdzības izslēdzama norāde uz kvalificējošo pazīmi – būtiska kaitējuma nodarīšana, jo kļūdaini piemēroja</w:t>
      </w:r>
      <w:r w:rsidR="00A16492">
        <w:t xml:space="preserve"> 2012.gada 13.decembra likuma „</w:t>
      </w:r>
      <w:r w:rsidR="00805E89">
        <w:t>Grozījumi Krimināllikumā</w:t>
      </w:r>
      <w:r w:rsidR="00DE1DD0">
        <w:t>”</w:t>
      </w:r>
      <w:r w:rsidR="00805E89">
        <w:t xml:space="preserve"> pārejas noteikumu 1.punkta nosacījumus. Pēc norādītā likuma spēkā stāšanās dienas Krimin</w:t>
      </w:r>
      <w:r w:rsidR="000A2166">
        <w:t xml:space="preserve">āllikuma 319.pantā, tāpat kā </w:t>
      </w:r>
      <w:r w:rsidR="005E7EBC">
        <w:t>[pers. A]</w:t>
      </w:r>
      <w:r w:rsidR="00805E89">
        <w:t xml:space="preserve"> inkriminētā noziedzīgā nodarījuma izdarīšanas laikā, ir paredzēta atbildība par būtiska kaitējuma radīšanu</w:t>
      </w:r>
      <w:r w:rsidR="00A06DBA">
        <w:t xml:space="preserve"> pārvaldības kārtībai un ar likumu aizsargātām personas interesēm. Tiesa neņēma vērā, ka smagas sekas un būtisks kaitējums ir divas patstāvīgas nodarījuma kaitīguma izpausmes. Prokurore uzskata, ka konkrētajā lietā smagas sekas izpaudās kaitējuma nodarīšanā </w:t>
      </w:r>
      <w:r w:rsidR="00AB67D1">
        <w:t>[..]</w:t>
      </w:r>
      <w:r w:rsidR="00A06DBA">
        <w:t xml:space="preserve"> pašvaldības mantiskajām interesēm, savukārt valsts amatpersonas bezdarbības rezultātā būtisks kaitējums tika nodarīts pārvaldības kārtībai un ar likumu aizsargātām personu interesēm un tiesībām uz </w:t>
      </w:r>
      <w:r w:rsidR="00AB67D1">
        <w:t>[..]</w:t>
      </w:r>
      <w:r w:rsidR="00A06DBA">
        <w:t xml:space="preserve"> pašvaldības palīdzību dzīvokļa jautājumu risināšanā.</w:t>
      </w:r>
    </w:p>
    <w:p w:rsidR="0014388B" w:rsidRDefault="009D54D6" w:rsidP="00FE1E59">
      <w:pPr>
        <w:spacing w:line="276" w:lineRule="auto"/>
        <w:ind w:firstLine="709"/>
        <w:jc w:val="both"/>
      </w:pPr>
      <w:r>
        <w:t xml:space="preserve">[4.4] </w:t>
      </w:r>
      <w:r w:rsidR="0014388B">
        <w:t>Protesta iesniedzēja uzskata spriedumu par pretrunīgu, jo sprieduma motīvu d</w:t>
      </w:r>
      <w:r w:rsidR="00BD1A9E">
        <w:t>aļā</w:t>
      </w:r>
      <w:r w:rsidR="0014388B">
        <w:t xml:space="preserve"> sniegtais secinājums par to, ka </w:t>
      </w:r>
      <w:r w:rsidR="005E7EBC">
        <w:t>[pers. A]</w:t>
      </w:r>
      <w:r w:rsidR="0014388B">
        <w:t xml:space="preserve"> inkriminētās darb</w:t>
      </w:r>
      <w:r w:rsidR="00BD1A9E">
        <w:t>ības bija j</w:t>
      </w:r>
      <w:r w:rsidR="0014388B">
        <w:t xml:space="preserve">āizdara, lai novērstu kaitējumu ne </w:t>
      </w:r>
      <w:r w:rsidR="00862985">
        <w:t>tikai pār</w:t>
      </w:r>
      <w:r w:rsidR="0014388B">
        <w:t>valdības kār</w:t>
      </w:r>
      <w:r w:rsidR="00862985">
        <w:t>tī</w:t>
      </w:r>
      <w:r w:rsidR="00CB1C25">
        <w:t>bai, bet arī</w:t>
      </w:r>
      <w:r w:rsidR="0014388B">
        <w:t>, lai nov</w:t>
      </w:r>
      <w:r w:rsidR="00862985">
        <w:t>ērstu kaitē</w:t>
      </w:r>
      <w:r w:rsidR="0014388B">
        <w:t>jumu ar</w:t>
      </w:r>
      <w:r w:rsidR="00862985">
        <w:t>ī ar lik</w:t>
      </w:r>
      <w:r w:rsidR="0014388B">
        <w:t>umu aizsargātām</w:t>
      </w:r>
      <w:r w:rsidR="00862985">
        <w:t xml:space="preserve"> </w:t>
      </w:r>
      <w:r w:rsidR="00862985">
        <w:lastRenderedPageBreak/>
        <w:t xml:space="preserve">personu interesēm un tiesībām, nav atspoguļots </w:t>
      </w:r>
      <w:r w:rsidR="001310CB">
        <w:t xml:space="preserve">no jauna sniegtā </w:t>
      </w:r>
      <w:r w:rsidR="00862985">
        <w:t>pierādītā noziedzīgā nodarījuma aprakstā.</w:t>
      </w:r>
    </w:p>
    <w:p w:rsidR="00A86277" w:rsidRDefault="00A86277" w:rsidP="00FE1E59">
      <w:pPr>
        <w:spacing w:line="276" w:lineRule="auto"/>
        <w:ind w:firstLine="709"/>
        <w:jc w:val="both"/>
      </w:pPr>
    </w:p>
    <w:p w:rsidR="00A86277" w:rsidRDefault="00A86277" w:rsidP="00FE1E59">
      <w:pPr>
        <w:spacing w:line="276" w:lineRule="auto"/>
        <w:ind w:firstLine="709"/>
        <w:jc w:val="both"/>
      </w:pPr>
      <w:r>
        <w:t xml:space="preserve">[5] Apsūdzētais </w:t>
      </w:r>
      <w:r w:rsidR="005E7EBC">
        <w:t>[pers. A]</w:t>
      </w:r>
      <w:r>
        <w:t xml:space="preserve"> par tiesas spriedumu iesniedzis kasācijas sūdzību, kurā lūdz atcelt Rīgas apgabaltiesas 2018.gada 16.maija spriedumu un lietu nosūtīt jaunai izskatīšanai apelācijas instances tiesā.</w:t>
      </w:r>
    </w:p>
    <w:p w:rsidR="00A86277" w:rsidRDefault="00A86277" w:rsidP="00FE1E59">
      <w:pPr>
        <w:spacing w:line="276" w:lineRule="auto"/>
        <w:ind w:firstLine="709"/>
        <w:jc w:val="both"/>
      </w:pPr>
      <w:r>
        <w:t>Sūdzība pamatota ar šādiem argumentiem.</w:t>
      </w:r>
    </w:p>
    <w:p w:rsidR="00F957A0" w:rsidRDefault="00A86277" w:rsidP="00FE1E59">
      <w:pPr>
        <w:spacing w:line="276" w:lineRule="auto"/>
        <w:ind w:firstLine="709"/>
        <w:jc w:val="both"/>
      </w:pPr>
      <w:r>
        <w:t xml:space="preserve">[5.1] </w:t>
      </w:r>
      <w:r w:rsidR="00F957A0">
        <w:t>Sūdzības iesniedzējs norāda, ka tiesa, izskatot krimināllietu, ir pārkāpusi Kriminālprocesa likuma 19., 20., 124., 127., 225., 511., 527</w:t>
      </w:r>
      <w:r w:rsidR="00CB1C25">
        <w:t>.</w:t>
      </w:r>
      <w:r w:rsidR="00F957A0">
        <w:t>, 562.pantu, kā arī nepareizi piemērojusi Krimināllikuma 319.panta trešo daļu.</w:t>
      </w:r>
    </w:p>
    <w:p w:rsidR="00262802" w:rsidRDefault="009D54D6" w:rsidP="00FE1E59">
      <w:pPr>
        <w:spacing w:line="276" w:lineRule="auto"/>
        <w:ind w:firstLine="709"/>
        <w:jc w:val="both"/>
      </w:pPr>
      <w:r>
        <w:t xml:space="preserve">[5.2] </w:t>
      </w:r>
      <w:r w:rsidR="00262802">
        <w:t>Apsūdzētais atsaucas uz Augstākā</w:t>
      </w:r>
      <w:r w:rsidR="00FE1E59">
        <w:t>s tiesas 2014.gada apkopojumu „</w:t>
      </w:r>
      <w:r w:rsidR="00262802">
        <w:t>Tiesu prakse krimināllietās pēc Krimināllikuma 317.panta otrās daļas, 318.panta otrās daļas un 319.panta otrās daļas”, kur norādīts, ka Krimināllikuma 319.pant</w:t>
      </w:r>
      <w:r w:rsidR="00726783">
        <w:t>ā</w:t>
      </w:r>
      <w:r w:rsidR="00262802">
        <w:t xml:space="preserve"> paredzētā noziedzīgā nodarījuma objektīvo pusi raksturo šādas pazīmes :</w:t>
      </w:r>
    </w:p>
    <w:p w:rsidR="00262802" w:rsidRDefault="00262802" w:rsidP="00FE1E59">
      <w:pPr>
        <w:pStyle w:val="ListParagraph"/>
        <w:numPr>
          <w:ilvl w:val="0"/>
          <w:numId w:val="2"/>
        </w:numPr>
        <w:spacing w:line="276" w:lineRule="auto"/>
        <w:ind w:firstLine="709"/>
        <w:jc w:val="both"/>
      </w:pPr>
      <w:r>
        <w:t>valsts amatpersona pieļauj bezdarbību, tas ir, neizpilda darbības, kuras tai pēc likuma vai uzlikta pienākuma bija jāizdara;</w:t>
      </w:r>
    </w:p>
    <w:p w:rsidR="00262802" w:rsidRDefault="00262802" w:rsidP="00FE1E59">
      <w:pPr>
        <w:pStyle w:val="ListParagraph"/>
        <w:numPr>
          <w:ilvl w:val="0"/>
          <w:numId w:val="2"/>
        </w:numPr>
        <w:spacing w:line="276" w:lineRule="auto"/>
        <w:ind w:firstLine="709"/>
        <w:jc w:val="both"/>
      </w:pPr>
      <w:r>
        <w:t>darbības bija jāizdara, lai novērstu kaitējumu valsts varai vai pārvaldības kārtībai vai ar likumu aizsargātām personas interesēm. Būtiski konstatēt ne tikai bezdarbībai piemītošo objektīvo kritēriju, tas ir, ka valsts amatpersona nepilda tai uzlikto pienākumu, bet arī obligāto subjekt</w:t>
      </w:r>
      <w:r w:rsidR="00193210">
        <w:t>īvo krit</w:t>
      </w:r>
      <w:r>
        <w:t>ēriju</w:t>
      </w:r>
      <w:r w:rsidR="00193210">
        <w:t>, kas norāda uz to, ka personai bija iespēja šādas darbības veikt.</w:t>
      </w:r>
    </w:p>
    <w:p w:rsidR="00193210" w:rsidRDefault="00193210" w:rsidP="00FE1E59">
      <w:pPr>
        <w:spacing w:line="276" w:lineRule="auto"/>
        <w:ind w:firstLine="709"/>
        <w:jc w:val="both"/>
      </w:pPr>
      <w:r>
        <w:t>Apsūdzībā par Krimināllikuma 319.pantā paredzēto noziedzīgo nodarījumu izdarīšanu precīzi jānorāda, kādos likumos, citos normatīvajos aktos, bet valsts amatpersonas bezdarbības gadījumos – arī kādā uzliktā uzdevumā piešķirtās pilnvaras ir pārkāptas vai arī nav izpildītas noteiktas darbības, kas valsts amatpersonai bija jāizdara.</w:t>
      </w:r>
      <w:r w:rsidR="00766190">
        <w:t xml:space="preserve"> Par nepareizu atzīstama prakse, kad, apsūdzot personu valsts amatpersonas bezdarbībā, tiek norādīts, kādos normatīvajos aktos ietvertos priekšrakstus apsūdzētais ir pārkāpis, nevis kādas konkrētajā likumā vai uzliktajā uzdevumā noteiktās darbības nav izdarījis.</w:t>
      </w:r>
    </w:p>
    <w:p w:rsidR="00317D9A" w:rsidRDefault="00317D9A" w:rsidP="00FE1E59">
      <w:pPr>
        <w:spacing w:line="276" w:lineRule="auto"/>
        <w:ind w:firstLine="709"/>
        <w:jc w:val="both"/>
      </w:pPr>
      <w:r>
        <w:t>Sūdzībā norādīts, ka domes lēmumu neparakstīšana ir domes priekšsēdētāja tiesības, bet nav pienākums. Atbilstoši likuma „Par pašvaldībām” 48.panta otrajai daļai, ja domes priekšsēdētājs neizmanto paredzētās tiesības, viņš nav saucams pie atbildības.</w:t>
      </w:r>
    </w:p>
    <w:p w:rsidR="00317D9A" w:rsidRDefault="00EB7FC8" w:rsidP="00FE1E59">
      <w:pPr>
        <w:spacing w:line="276" w:lineRule="auto"/>
        <w:ind w:firstLine="709"/>
        <w:jc w:val="both"/>
      </w:pPr>
      <w:r>
        <w:t>A</w:t>
      </w:r>
      <w:r w:rsidR="00317D9A">
        <w:t>p</w:t>
      </w:r>
      <w:r>
        <w:t>sūdzē</w:t>
      </w:r>
      <w:r w:rsidR="00317D9A">
        <w:t>tais atsaucas uz Administratīvās apgabaltiesas 2006.gada 16.jūnija spriedumu liet</w:t>
      </w:r>
      <w:r>
        <w:t>ā</w:t>
      </w:r>
      <w:r w:rsidR="00052781">
        <w:t xml:space="preserve"> Nr.</w:t>
      </w:r>
      <w:r w:rsidR="00FE1E59">
        <w:t> </w:t>
      </w:r>
      <w:r w:rsidR="00052781">
        <w:t>A</w:t>
      </w:r>
      <w:r w:rsidR="00317D9A">
        <w:t>20778304, kur izteikta atziņa, ka pašvaldības vad</w:t>
      </w:r>
      <w:r>
        <w:t>īt</w:t>
      </w:r>
      <w:r w:rsidR="00FE1E59">
        <w:t>ājs likuma „</w:t>
      </w:r>
      <w:r w:rsidR="00317D9A">
        <w:t>Par pašvald</w:t>
      </w:r>
      <w:r>
        <w:t>ībā</w:t>
      </w:r>
      <w:r w:rsidR="00317D9A">
        <w:t>m” 62.panta otrās da</w:t>
      </w:r>
      <w:r>
        <w:t>ļ</w:t>
      </w:r>
      <w:r w:rsidR="00052781">
        <w:t>as 1.punkt</w:t>
      </w:r>
      <w:r>
        <w:t>ā minēto pien</w:t>
      </w:r>
      <w:r w:rsidR="00317D9A">
        <w:t>ākumu – vadīt vietējās pašvaldības domes ( padomes</w:t>
      </w:r>
      <w:r>
        <w:t xml:space="preserve">) darbu, pilnībā ir izpildījis tikai tad, kad ir nodrošinājis tās darbības tiesiskumu tik lielā mērā, cik tas ir atkarīgs no viņa. </w:t>
      </w:r>
      <w:r w:rsidR="00AB67D1">
        <w:t>[..]</w:t>
      </w:r>
      <w:r>
        <w:t xml:space="preserve"> pilsētas domes amatpersonas vai speciālisti, kuru pienākums bija deputātus, tajā skaitā</w:t>
      </w:r>
      <w:r w:rsidR="00726783">
        <w:t>,</w:t>
      </w:r>
      <w:r>
        <w:t xml:space="preserve"> domes priekšsēdētāju, atbilstoši informēt par apsūdzībā norādīto lēmumu par dzīvojamo platību privatizācijas neatbilstību normatīvo aktu prasībām, nav snieguš</w:t>
      </w:r>
      <w:r w:rsidR="003306F0">
        <w:t>i</w:t>
      </w:r>
      <w:r>
        <w:t xml:space="preserve"> ziņas, ka tiek pārkāptas privatizāciju regulējošas tiesību normas.</w:t>
      </w:r>
      <w:r w:rsidR="00C6316E">
        <w:t xml:space="preserve"> </w:t>
      </w:r>
      <w:r w:rsidR="005E7EBC">
        <w:t>[Pers. A]</w:t>
      </w:r>
      <w:r w:rsidR="00905CF4">
        <w:t xml:space="preserve"> nebija pa</w:t>
      </w:r>
      <w:r w:rsidR="00C6316E">
        <w:t>mata apšaub</w:t>
      </w:r>
      <w:r w:rsidR="00905CF4">
        <w:t>īt pi</w:t>
      </w:r>
      <w:r w:rsidR="00C6316E">
        <w:t>eņemto l</w:t>
      </w:r>
      <w:r w:rsidR="00905CF4">
        <w:t>ēmumu ti</w:t>
      </w:r>
      <w:r w:rsidR="00C6316E">
        <w:t>esiskumu</w:t>
      </w:r>
      <w:r w:rsidR="003306F0">
        <w:t>.</w:t>
      </w:r>
      <w:r w:rsidR="00FE1E59">
        <w:t xml:space="preserve"> </w:t>
      </w:r>
      <w:r w:rsidR="003306F0">
        <w:t>A</w:t>
      </w:r>
      <w:r w:rsidR="00FE1E59">
        <w:t xml:space="preserve">tzīstams, ka </w:t>
      </w:r>
      <w:r w:rsidR="005E7EBC">
        <w:t>[pers. A]</w:t>
      </w:r>
      <w:r w:rsidR="00905CF4">
        <w:t xml:space="preserve"> bija nodrošinājis domes darbības tiesiskumu, cik tas bija atkarīgs no viņa.</w:t>
      </w:r>
    </w:p>
    <w:p w:rsidR="00102DCE" w:rsidRDefault="009D54D6" w:rsidP="00FE1E59">
      <w:pPr>
        <w:spacing w:line="276" w:lineRule="auto"/>
        <w:ind w:firstLine="709"/>
        <w:jc w:val="both"/>
      </w:pPr>
      <w:r>
        <w:t xml:space="preserve">[5.3] </w:t>
      </w:r>
      <w:r w:rsidR="00102DCE">
        <w:t>Apelācijas instances tiesa nav vērtējusi apelācija</w:t>
      </w:r>
      <w:r w:rsidR="00DE1DD0">
        <w:t>s</w:t>
      </w:r>
      <w:r w:rsidR="00052781">
        <w:t xml:space="preserve"> sūdzības motīvus par likuma „</w:t>
      </w:r>
      <w:r w:rsidR="00102DCE">
        <w:t>Par p</w:t>
      </w:r>
      <w:r w:rsidR="000005EC">
        <w:t>ašvaldībām</w:t>
      </w:r>
      <w:r w:rsidR="00102DCE">
        <w:t xml:space="preserve">” 48.panta otrās daļas tiesisko dabu un attiecināmību uz lietas apstākļiem, tajā skaitā to, ka dome un pašvaldība nav identiski jēdzieni. Atbilstoši 2001.gada 18.jūlija </w:t>
      </w:r>
      <w:r w:rsidR="007A1FBE">
        <w:t>[..]</w:t>
      </w:r>
      <w:r w:rsidR="00102DCE">
        <w:t xml:space="preserve"> pilsētas domes pašvaldības</w:t>
      </w:r>
      <w:r w:rsidR="00FE1E59">
        <w:t xml:space="preserve"> īpašumu pārvaldes nolikuma Nr. </w:t>
      </w:r>
      <w:r w:rsidR="00102DCE">
        <w:t>37 3.4.2</w:t>
      </w:r>
      <w:r w:rsidR="00616C30">
        <w:t>.</w:t>
      </w:r>
      <w:r w:rsidR="00102DCE">
        <w:t xml:space="preserve">punktam šī pārvalde ir </w:t>
      </w:r>
      <w:r w:rsidR="00102DCE">
        <w:lastRenderedPageBreak/>
        <w:t>pakļauta domes izpilddirektoram, kurš organizē pašvaldības palīdzības sniegšanu dzīvokļu jautājumu risināšanā, bet pārvalde un tās darbinieki ir atbildīgi gan par īres, gan privatizācijas tiesiskumu.</w:t>
      </w:r>
      <w:r w:rsidR="00FE1E59">
        <w:t xml:space="preserve"> </w:t>
      </w:r>
      <w:r w:rsidR="007A1FBE">
        <w:t>[Pers. A]</w:t>
      </w:r>
      <w:r w:rsidR="002E1F12">
        <w:t xml:space="preserve"> bija pamats paļauties uz domes izpilddirektora darbības tiesiskumu īres un privatizācijas jautājumos. Minētajam ir nozīme lietā, jo subjektīvo pusi Krimināllikuma 319.pantā raksturo kā nodoms, tā arī neuzmanība. Tiesa spriedumā nav motivējusi, kāpēc </w:t>
      </w:r>
      <w:r w:rsidR="007A1FBE">
        <w:t>[pers. A]</w:t>
      </w:r>
      <w:r w:rsidR="002E1F12">
        <w:t xml:space="preserve"> vajadzēja paredzēt, ka privatizācija var būt nelikumīga.</w:t>
      </w:r>
    </w:p>
    <w:p w:rsidR="00DA5BAD" w:rsidRDefault="009D54D6" w:rsidP="00FE1E59">
      <w:pPr>
        <w:spacing w:line="276" w:lineRule="auto"/>
        <w:ind w:firstLine="709"/>
        <w:jc w:val="both"/>
      </w:pPr>
      <w:r>
        <w:t xml:space="preserve">[5.4] </w:t>
      </w:r>
      <w:r w:rsidR="009A4A5B">
        <w:t xml:space="preserve">Apelācijas instances tiesa atzinusi, ka amatpersonas pienākumu nepildīšanas rezultātā ir radušās smagas sekas – </w:t>
      </w:r>
      <w:r w:rsidR="007A1FBE">
        <w:t>[..]</w:t>
      </w:r>
      <w:r w:rsidR="009A4A5B">
        <w:t xml:space="preserve"> pilsētas domei radīts zaudējums lielā apmērā 101</w:t>
      </w:r>
      <w:r w:rsidR="003306F0">
        <w:t> </w:t>
      </w:r>
      <w:r w:rsidR="009A4A5B">
        <w:t>692,64</w:t>
      </w:r>
      <w:r w:rsidR="009A4A5B" w:rsidRPr="00FE1E59">
        <w:rPr>
          <w:i/>
        </w:rPr>
        <w:t xml:space="preserve"> </w:t>
      </w:r>
      <w:proofErr w:type="spellStart"/>
      <w:r w:rsidR="009A4A5B" w:rsidRPr="00FE1E59">
        <w:rPr>
          <w:i/>
        </w:rPr>
        <w:t>euro</w:t>
      </w:r>
      <w:proofErr w:type="spellEnd"/>
      <w:r w:rsidR="009A4A5B">
        <w:t>, ko veido nelikumīgi privatizēto nekustamo īpašumu kopējā kadastrālā vērtība saskaņā ar Valsts zemes dienesta izziņām par nekustamā īpašuma valsts kadastra informācijas datiem pēc stāvokļa 2003. un 2004.gadā.</w:t>
      </w:r>
      <w:r w:rsidR="00867658">
        <w:t xml:space="preserve"> Apsūdzētais norāda, ka materiālais vai cita veida kaitējums netika nodarīts, jo dzīvojamo telpu privatizācijas rezultātā tika samaksāts par dzīvojamām telpām. Privatizācijas rezultātā </w:t>
      </w:r>
      <w:r w:rsidR="007A1FBE">
        <w:t>[..]</w:t>
      </w:r>
      <w:r w:rsidR="00867658">
        <w:t xml:space="preserve"> pilsētas dome saņēma valsts vērtspapīrus, bet tiesa, izskatot jautājumu par kaitējuma esamību, šos apstākļus nav vērtējusi.</w:t>
      </w:r>
      <w:r w:rsidR="00850705">
        <w:t xml:space="preserve"> </w:t>
      </w:r>
    </w:p>
    <w:p w:rsidR="009A4A5B" w:rsidRDefault="00850705" w:rsidP="00FE1E59">
      <w:pPr>
        <w:spacing w:line="276" w:lineRule="auto"/>
        <w:ind w:firstLine="709"/>
        <w:jc w:val="both"/>
      </w:pPr>
      <w:r>
        <w:t>Zaudējumu apmēra noteikšanā ir jāvadās no objektu privatizācijas vērtības. Tiesa nevarēja noteikt objektu vērtību pēc to kadastrālās vērtības</w:t>
      </w:r>
      <w:r w:rsidR="003306F0">
        <w:t>.</w:t>
      </w:r>
      <w:r>
        <w:t xml:space="preserve"> </w:t>
      </w:r>
      <w:r w:rsidR="003306F0">
        <w:t>L</w:t>
      </w:r>
      <w:r>
        <w:t xml:space="preserve">ietai ir pievienoti pierādījumi par minēto objektu bilances vērtību. Ņemot vērā objektu faktisko stāvokli, tie nevarēja būt izmantoti atbilstoši likuma </w:t>
      </w:r>
      <w:r w:rsidR="009E4266">
        <w:t>„</w:t>
      </w:r>
      <w:r>
        <w:t>Par pašvaldību palīdzību dzīvokļa jautājumu risināšanā” 16.pantā noteiktajiem kritērijiem.</w:t>
      </w:r>
    </w:p>
    <w:p w:rsidR="005B7101" w:rsidRDefault="009D54D6" w:rsidP="00FE1E59">
      <w:pPr>
        <w:spacing w:line="276" w:lineRule="auto"/>
        <w:ind w:firstLine="709"/>
        <w:jc w:val="both"/>
      </w:pPr>
      <w:r>
        <w:t xml:space="preserve">[5.5] </w:t>
      </w:r>
      <w:r w:rsidR="00B52C2C">
        <w:t>Pē</w:t>
      </w:r>
      <w:r w:rsidR="00DF5C6F">
        <w:t>c Krimināllikuma 319.panta otrā</w:t>
      </w:r>
      <w:r w:rsidR="00B52C2C">
        <w:t>s daļas atbildība iestājas tika</w:t>
      </w:r>
      <w:r w:rsidR="002B63FF">
        <w:t>i gadījumā, ja bezdarbība radījusi</w:t>
      </w:r>
      <w:r w:rsidR="00B52C2C">
        <w:t xml:space="preserve"> kaitējumu pārvaldes kārtībai un ar likumu aizsargātām persona</w:t>
      </w:r>
      <w:r w:rsidR="00580C7E">
        <w:t>s tiesībām un interesēm,</w:t>
      </w:r>
      <w:r w:rsidR="00B52C2C">
        <w:t xml:space="preserve"> izraisot smagas sekas. Konkrētās dzīvojamās telpas nebija izmantojam</w:t>
      </w:r>
      <w:r w:rsidR="00222D2B">
        <w:t>a</w:t>
      </w:r>
      <w:r w:rsidR="00B52C2C">
        <w:t xml:space="preserve">s dzīvošanai, prasīja ieguldījumus, tādēļ netika piedāvātas rindā gaidošajiem. Ņemot vērā, ka dzīvojamās telpas neatbilda noteiktajām prasībām, tās nevarēja piedāvāt </w:t>
      </w:r>
      <w:r w:rsidR="007A1FBE">
        <w:t>[pilsētas]</w:t>
      </w:r>
      <w:r w:rsidR="00B52C2C">
        <w:t xml:space="preserve"> iedzīvotājiem, kuri atradās sarakstos un lūdza palīdzību dzīvokļu jautājumos. </w:t>
      </w:r>
    </w:p>
    <w:p w:rsidR="00B52C2C" w:rsidRDefault="00B52C2C" w:rsidP="00FE1E59">
      <w:pPr>
        <w:spacing w:line="276" w:lineRule="auto"/>
        <w:ind w:firstLine="709"/>
        <w:jc w:val="both"/>
      </w:pPr>
      <w:r>
        <w:t>Tiesas spriedumā nav norādīta motivācija, kāds kaitējums bija novēršams ar likumu aizsargātām personas tiesībām un interesēm.</w:t>
      </w:r>
      <w:r w:rsidR="00A516A0">
        <w:t xml:space="preserve"> Valsts zemes dienesta uzziņa par objektu kadastrālo vērtību nav ticams pierādījums, jo objekta privatizācijas vērtību veido celtniecības izmaksas, piemaksa vai atlaide par dzīvojamās mājas atrašanās vietu, piemaksa vai atlaide par dzīvokļa, neapdzīvojamās telpas un māk</w:t>
      </w:r>
      <w:r w:rsidR="00D40A87">
        <w:t xml:space="preserve">slinieka darbnīcas izvietojumu </w:t>
      </w:r>
      <w:r w:rsidR="00A516A0">
        <w:t>attiecīgajā dzīvojamajā mājā un citiem nemantiskiem faktoriem, tā zemes gabala kadastrālā vērtība, uz kura uzcelta dzīvojamā māja.</w:t>
      </w:r>
    </w:p>
    <w:p w:rsidR="00270839" w:rsidRDefault="005B7101" w:rsidP="00FE1E59">
      <w:pPr>
        <w:spacing w:line="276" w:lineRule="auto"/>
        <w:ind w:firstLine="709"/>
        <w:jc w:val="both"/>
      </w:pPr>
      <w:r>
        <w:t xml:space="preserve">[5.6] </w:t>
      </w:r>
      <w:r w:rsidR="008B31AB">
        <w:t>Sūdzības iesniedzējs</w:t>
      </w:r>
      <w:r w:rsidR="00580C7E">
        <w:t xml:space="preserve"> papildus</w:t>
      </w:r>
      <w:r w:rsidR="008B31AB">
        <w:t xml:space="preserve"> norāda, ka t</w:t>
      </w:r>
      <w:r w:rsidR="00270839">
        <w:t>iesa nav konstatējusi noziedzīgā nodarījuma motīvu.</w:t>
      </w:r>
    </w:p>
    <w:p w:rsidR="005B7101" w:rsidRDefault="005B7101" w:rsidP="00D40A87">
      <w:pPr>
        <w:spacing w:line="276" w:lineRule="auto"/>
        <w:ind w:left="3600" w:firstLine="720"/>
        <w:rPr>
          <w:rFonts w:eastAsia="Times New Roman"/>
          <w:b/>
        </w:rPr>
      </w:pPr>
    </w:p>
    <w:p w:rsidR="003A67D1" w:rsidRDefault="00677CD8" w:rsidP="00D40A87">
      <w:pPr>
        <w:spacing w:line="276" w:lineRule="auto"/>
        <w:ind w:left="3600" w:firstLine="720"/>
        <w:rPr>
          <w:rFonts w:eastAsia="Times New Roman"/>
          <w:b/>
        </w:rPr>
      </w:pPr>
      <w:r>
        <w:rPr>
          <w:rFonts w:eastAsia="Times New Roman"/>
          <w:b/>
        </w:rPr>
        <w:t>Motīvu daļa</w:t>
      </w:r>
    </w:p>
    <w:p w:rsidR="009D54D6" w:rsidRDefault="009D54D6" w:rsidP="00E40FD6">
      <w:pPr>
        <w:spacing w:line="276" w:lineRule="auto"/>
        <w:jc w:val="both"/>
        <w:rPr>
          <w:rFonts w:eastAsia="Times New Roman"/>
        </w:rPr>
      </w:pPr>
    </w:p>
    <w:p w:rsidR="00D40A87" w:rsidRDefault="009D54D6" w:rsidP="00FE1E59">
      <w:pPr>
        <w:spacing w:line="276" w:lineRule="auto"/>
        <w:ind w:firstLine="709"/>
        <w:jc w:val="both"/>
        <w:rPr>
          <w:rFonts w:eastAsia="Times New Roman"/>
        </w:rPr>
      </w:pPr>
      <w:r>
        <w:rPr>
          <w:rFonts w:eastAsia="Times New Roman"/>
        </w:rPr>
        <w:t xml:space="preserve">[6] </w:t>
      </w:r>
      <w:r w:rsidR="00D40A87" w:rsidRPr="00D40A87">
        <w:rPr>
          <w:rFonts w:eastAsia="Times New Roman"/>
        </w:rPr>
        <w:t>Kas</w:t>
      </w:r>
      <w:r w:rsidR="00D40A87">
        <w:rPr>
          <w:rFonts w:eastAsia="Times New Roman"/>
        </w:rPr>
        <w:t xml:space="preserve">ācijas </w:t>
      </w:r>
      <w:r w:rsidR="00D40A87" w:rsidRPr="00D40A87">
        <w:rPr>
          <w:rFonts w:eastAsia="Times New Roman"/>
        </w:rPr>
        <w:t>instances tiesa atzīst, ka</w:t>
      </w:r>
      <w:r w:rsidR="00D40A87">
        <w:rPr>
          <w:rFonts w:eastAsia="Times New Roman"/>
        </w:rPr>
        <w:t xml:space="preserve"> apelācijas instances tiesas spriedums atstājams negrozīts, bet prokurora kasācijas protests un apsūdzētā </w:t>
      </w:r>
      <w:r w:rsidR="007A1FBE">
        <w:rPr>
          <w:rFonts w:eastAsia="Times New Roman"/>
        </w:rPr>
        <w:t>[pers. A]</w:t>
      </w:r>
      <w:r w:rsidR="00580C7E">
        <w:rPr>
          <w:rFonts w:eastAsia="Times New Roman"/>
        </w:rPr>
        <w:t xml:space="preserve"> kasācijas sūdzība noraidāmi</w:t>
      </w:r>
      <w:r w:rsidR="00D40A87">
        <w:rPr>
          <w:rFonts w:eastAsia="Times New Roman"/>
        </w:rPr>
        <w:t>.</w:t>
      </w:r>
    </w:p>
    <w:p w:rsidR="00AC299F" w:rsidRDefault="00E85C3B" w:rsidP="00FE1E59">
      <w:pPr>
        <w:spacing w:line="276" w:lineRule="auto"/>
        <w:ind w:firstLine="709"/>
        <w:jc w:val="both"/>
        <w:rPr>
          <w:rFonts w:eastAsia="Times New Roman"/>
        </w:rPr>
      </w:pPr>
      <w:r>
        <w:rPr>
          <w:rFonts w:eastAsia="Times New Roman"/>
        </w:rPr>
        <w:t xml:space="preserve">[6.1] </w:t>
      </w:r>
      <w:r w:rsidR="00F7326C">
        <w:rPr>
          <w:rFonts w:eastAsia="Times New Roman"/>
        </w:rPr>
        <w:t>Senāta ieskatā, apelācijas instances tiesa, iztiesājot krimināllietu, nav pieļāvusi</w:t>
      </w:r>
      <w:r w:rsidR="00FE1E59">
        <w:rPr>
          <w:rFonts w:eastAsia="Times New Roman"/>
        </w:rPr>
        <w:t xml:space="preserve"> prokurores Z. </w:t>
      </w:r>
      <w:proofErr w:type="spellStart"/>
      <w:r w:rsidR="006331A3">
        <w:rPr>
          <w:rFonts w:eastAsia="Times New Roman"/>
        </w:rPr>
        <w:t>Pav</w:t>
      </w:r>
      <w:r w:rsidR="009D54D6">
        <w:rPr>
          <w:rFonts w:eastAsia="Times New Roman"/>
        </w:rPr>
        <w:t>lovas</w:t>
      </w:r>
      <w:proofErr w:type="spellEnd"/>
      <w:r w:rsidR="009D54D6">
        <w:rPr>
          <w:rFonts w:eastAsia="Times New Roman"/>
        </w:rPr>
        <w:t xml:space="preserve"> kasācijas protestā </w:t>
      </w:r>
      <w:r w:rsidR="00AC299F">
        <w:rPr>
          <w:rFonts w:eastAsia="Times New Roman"/>
        </w:rPr>
        <w:t>norādītos Kriminālprocesa likuma pārkāpumus.</w:t>
      </w:r>
    </w:p>
    <w:p w:rsidR="00E85C3B" w:rsidRDefault="000F3D64" w:rsidP="00FE1E59">
      <w:pPr>
        <w:spacing w:line="276" w:lineRule="auto"/>
        <w:ind w:firstLine="709"/>
        <w:jc w:val="both"/>
        <w:rPr>
          <w:rFonts w:eastAsia="Times New Roman"/>
        </w:rPr>
      </w:pPr>
      <w:r>
        <w:rPr>
          <w:rFonts w:eastAsia="Times New Roman"/>
        </w:rPr>
        <w:t xml:space="preserve">[6.1.1] </w:t>
      </w:r>
      <w:r w:rsidR="000005EC">
        <w:rPr>
          <w:rFonts w:eastAsia="Times New Roman"/>
        </w:rPr>
        <w:t>T</w:t>
      </w:r>
      <w:r w:rsidR="00AC299F">
        <w:rPr>
          <w:rFonts w:eastAsia="Times New Roman"/>
        </w:rPr>
        <w:t>iesa pamatoti no apsūdzības izslēgusi kvalificējošo pazīmi – būtiska kaitējuma nodarīšana. Tēze par to, ka, konstatējot ar nodarījumu radītās smagās sekas, izslēdz nepieciešamību vēl papildus konstatēt būtisku kaitējumu, nostip</w:t>
      </w:r>
      <w:r w:rsidR="00580C7E">
        <w:rPr>
          <w:rFonts w:eastAsia="Times New Roman"/>
        </w:rPr>
        <w:t>rināta Augstākās tiesas Senāta K</w:t>
      </w:r>
      <w:r w:rsidR="00AC299F">
        <w:rPr>
          <w:rFonts w:eastAsia="Times New Roman"/>
        </w:rPr>
        <w:t>rimināllietu departamenta 2013.gada 3.jūlija lēmumā lietā Nr.</w:t>
      </w:r>
      <w:r w:rsidR="00FE1E59">
        <w:rPr>
          <w:rFonts w:eastAsia="Times New Roman"/>
        </w:rPr>
        <w:t> </w:t>
      </w:r>
      <w:r w:rsidR="00AC299F">
        <w:rPr>
          <w:rFonts w:eastAsia="Times New Roman"/>
        </w:rPr>
        <w:t>SKK-333/2013.</w:t>
      </w:r>
      <w:r w:rsidR="00A27652">
        <w:rPr>
          <w:rFonts w:eastAsia="Times New Roman"/>
        </w:rPr>
        <w:t xml:space="preserve"> No minētā </w:t>
      </w:r>
      <w:r w:rsidR="00A27652">
        <w:rPr>
          <w:rFonts w:eastAsia="Times New Roman"/>
        </w:rPr>
        <w:lastRenderedPageBreak/>
        <w:t>izriet, ja</w:t>
      </w:r>
      <w:r w:rsidR="00580C7E">
        <w:rPr>
          <w:rFonts w:eastAsia="Times New Roman"/>
        </w:rPr>
        <w:t xml:space="preserve"> noziedzīga</w:t>
      </w:r>
      <w:r w:rsidR="00A27652">
        <w:rPr>
          <w:rFonts w:eastAsia="Times New Roman"/>
        </w:rPr>
        <w:t xml:space="preserve"> nodarījuma rezultātā ir iestājušās smagas sekas, kas pēc sava rakstura ir īpaši kaitīgs seku veids, nav nepieciešamības vēl papildus konstatēt</w:t>
      </w:r>
      <w:r w:rsidR="00DD73AA">
        <w:rPr>
          <w:rFonts w:eastAsia="Times New Roman"/>
        </w:rPr>
        <w:t xml:space="preserve"> būtisku kaitējumu, kas raksturīgs kā sekas ar mazāku kaitīguma pakāpi.</w:t>
      </w:r>
    </w:p>
    <w:p w:rsidR="00E85C3B" w:rsidRDefault="000F3D64" w:rsidP="00FE1E59">
      <w:pPr>
        <w:spacing w:line="276" w:lineRule="auto"/>
        <w:ind w:firstLine="709"/>
        <w:jc w:val="both"/>
        <w:rPr>
          <w:rFonts w:eastAsia="Times New Roman"/>
        </w:rPr>
      </w:pPr>
      <w:r>
        <w:rPr>
          <w:rFonts w:eastAsia="Times New Roman"/>
        </w:rPr>
        <w:t xml:space="preserve">[6.1.2] </w:t>
      </w:r>
      <w:r w:rsidR="00882DB3">
        <w:rPr>
          <w:rFonts w:eastAsia="Times New Roman"/>
        </w:rPr>
        <w:t xml:space="preserve">Prokurore apšaubījusi apelācijas instances tiesas atzinumu par </w:t>
      </w:r>
      <w:r w:rsidR="003D3FDF">
        <w:rPr>
          <w:rFonts w:eastAsia="Times New Roman"/>
        </w:rPr>
        <w:t>apsūdzētā attieksmi pret sekām</w:t>
      </w:r>
      <w:r w:rsidR="00FE1E59">
        <w:rPr>
          <w:rFonts w:eastAsia="Times New Roman"/>
        </w:rPr>
        <w:t>,</w:t>
      </w:r>
      <w:r w:rsidR="003D3FDF">
        <w:rPr>
          <w:rFonts w:eastAsia="Times New Roman"/>
        </w:rPr>
        <w:t xml:space="preserve"> proti par to,</w:t>
      </w:r>
      <w:r w:rsidR="00FE1E59">
        <w:rPr>
          <w:rFonts w:eastAsia="Times New Roman"/>
        </w:rPr>
        <w:t xml:space="preserve"> ka apsūdzētais </w:t>
      </w:r>
      <w:r w:rsidR="007A1FBE">
        <w:rPr>
          <w:rFonts w:eastAsia="Times New Roman"/>
        </w:rPr>
        <w:t>[pers. A]</w:t>
      </w:r>
      <w:r w:rsidR="00882DB3">
        <w:rPr>
          <w:rFonts w:eastAsia="Times New Roman"/>
        </w:rPr>
        <w:t xml:space="preserve"> noziedzīgu nodarījumu izdarījis aiz noziedzīgas nevērības. Prokurores ieskatā, apsūdzētais nevarēja neparedzēt kaitīgu seku iestāšanos viņa k</w:t>
      </w:r>
      <w:r w:rsidR="00075176">
        <w:rPr>
          <w:rFonts w:eastAsia="Times New Roman"/>
        </w:rPr>
        <w:t>ā amatper</w:t>
      </w:r>
      <w:r w:rsidR="00882DB3">
        <w:rPr>
          <w:rFonts w:eastAsia="Times New Roman"/>
        </w:rPr>
        <w:t>sonas bezdarbības rezultātā.</w:t>
      </w:r>
      <w:r w:rsidR="004042EC">
        <w:rPr>
          <w:rFonts w:eastAsia="Times New Roman"/>
        </w:rPr>
        <w:t xml:space="preserve"> Apelācijas instances tiesa atzinusi, ka </w:t>
      </w:r>
      <w:r w:rsidR="007A1FBE">
        <w:rPr>
          <w:rFonts w:eastAsia="Times New Roman"/>
        </w:rPr>
        <w:t>[pers. </w:t>
      </w:r>
      <w:r w:rsidR="007A1FBE">
        <w:t>A]</w:t>
      </w:r>
      <w:r w:rsidR="00FE1E59">
        <w:rPr>
          <w:rFonts w:eastAsia="Times New Roman"/>
        </w:rPr>
        <w:t xml:space="preserve"> zināja par </w:t>
      </w:r>
      <w:r w:rsidR="007A1FBE">
        <w:rPr>
          <w:rFonts w:eastAsia="Times New Roman"/>
        </w:rPr>
        <w:t>[pers. B]</w:t>
      </w:r>
      <w:r w:rsidR="004042EC">
        <w:rPr>
          <w:rFonts w:eastAsia="Times New Roman"/>
        </w:rPr>
        <w:t xml:space="preserve"> izteiktajām aizdomām par nelikumīgu dzīvokļu izīrēšanu un privatizāciju </w:t>
      </w:r>
      <w:r w:rsidR="007A1FBE">
        <w:rPr>
          <w:rFonts w:eastAsia="Times New Roman"/>
        </w:rPr>
        <w:t>[pers. C]</w:t>
      </w:r>
      <w:r w:rsidR="00FE1E59">
        <w:rPr>
          <w:rFonts w:eastAsia="Times New Roman"/>
        </w:rPr>
        <w:t xml:space="preserve">, </w:t>
      </w:r>
      <w:r w:rsidR="007A1FBE">
        <w:rPr>
          <w:rFonts w:eastAsia="Times New Roman"/>
        </w:rPr>
        <w:t>[pers. D]</w:t>
      </w:r>
      <w:r w:rsidR="004042EC">
        <w:rPr>
          <w:rFonts w:eastAsia="Times New Roman"/>
        </w:rPr>
        <w:t xml:space="preserve"> un </w:t>
      </w:r>
      <w:r w:rsidR="007A1FBE">
        <w:rPr>
          <w:rFonts w:eastAsia="Times New Roman"/>
        </w:rPr>
        <w:t>[pers. E]</w:t>
      </w:r>
      <w:r w:rsidR="004042EC">
        <w:rPr>
          <w:rFonts w:eastAsia="Times New Roman"/>
        </w:rPr>
        <w:t>. To zinot, viņš nav paredzējis smagu seku iestāšanās iespēju, kaut gan pēc nodarījuma konkrētajiem apstākļiem viņam vajadzēja un viņš varēja kaitīgās sekas paredzēt.</w:t>
      </w:r>
    </w:p>
    <w:p w:rsidR="003D3FDF" w:rsidRDefault="003D3FDF" w:rsidP="003D3FDF">
      <w:pPr>
        <w:spacing w:line="276" w:lineRule="auto"/>
        <w:ind w:firstLine="709"/>
        <w:jc w:val="both"/>
        <w:rPr>
          <w:rFonts w:eastAsia="Times New Roman"/>
        </w:rPr>
      </w:pPr>
      <w:r>
        <w:rPr>
          <w:rFonts w:eastAsia="Times New Roman"/>
        </w:rPr>
        <w:t>„No subjektīvās puses valsts amatpersonas bezdarbība raksturojas ar tiešu nodomu, jo valsts amatpersona apzinās, ka neizpilda tai ar īpašu uzdevumu uzliktos pienākumus vai neizdara darbības, kuras tai pēc likuma vai cita normatīva akta ir jāveic, un to apzināti pieļauj. Pret sekām – būtisku kaitējumu – iespējams abas vainas formas –</w:t>
      </w:r>
      <w:r w:rsidR="00FF5A03">
        <w:rPr>
          <w:rFonts w:eastAsia="Times New Roman"/>
        </w:rPr>
        <w:t xml:space="preserve"> gan nodoms, gan neuzmanība.</w:t>
      </w:r>
      <w:r w:rsidR="003D1B9A">
        <w:rPr>
          <w:rFonts w:eastAsia="Times New Roman"/>
        </w:rPr>
        <w:t>” (</w:t>
      </w:r>
      <w:r w:rsidR="003D1B9A" w:rsidRPr="003D1B9A">
        <w:rPr>
          <w:rFonts w:eastAsia="Times New Roman"/>
          <w:i/>
        </w:rPr>
        <w:t>sk.</w:t>
      </w:r>
      <w:r w:rsidR="003D1B9A">
        <w:rPr>
          <w:rFonts w:eastAsia="Times New Roman"/>
        </w:rPr>
        <w:t> </w:t>
      </w:r>
      <w:r w:rsidR="00FF5A03" w:rsidRPr="003D1B9A">
        <w:rPr>
          <w:rFonts w:eastAsia="Times New Roman"/>
          <w:i/>
        </w:rPr>
        <w:t>Krastiņš</w:t>
      </w:r>
      <w:r w:rsidR="00FF5A03" w:rsidRPr="00FF5A03">
        <w:rPr>
          <w:rFonts w:eastAsia="Times New Roman"/>
          <w:i/>
        </w:rPr>
        <w:t xml:space="preserve"> </w:t>
      </w:r>
      <w:r w:rsidR="00FF5A03">
        <w:rPr>
          <w:rFonts w:eastAsia="Times New Roman"/>
          <w:i/>
        </w:rPr>
        <w:t>U.,</w:t>
      </w:r>
      <w:r w:rsidR="00FF5A03" w:rsidRPr="003D1B9A">
        <w:rPr>
          <w:rFonts w:eastAsia="Times New Roman"/>
          <w:i/>
        </w:rPr>
        <w:t xml:space="preserve"> </w:t>
      </w:r>
      <w:proofErr w:type="spellStart"/>
      <w:r w:rsidR="00FF5A03" w:rsidRPr="003D1B9A">
        <w:rPr>
          <w:rFonts w:eastAsia="Times New Roman"/>
          <w:i/>
        </w:rPr>
        <w:t>Liholaja</w:t>
      </w:r>
      <w:proofErr w:type="spellEnd"/>
      <w:r w:rsidR="00FF5A03" w:rsidRPr="00FF5A03">
        <w:rPr>
          <w:rFonts w:eastAsia="Times New Roman"/>
          <w:i/>
        </w:rPr>
        <w:t xml:space="preserve"> </w:t>
      </w:r>
      <w:r w:rsidR="00FF5A03" w:rsidRPr="003D1B9A">
        <w:rPr>
          <w:rFonts w:eastAsia="Times New Roman"/>
          <w:i/>
        </w:rPr>
        <w:t xml:space="preserve">V., </w:t>
      </w:r>
      <w:proofErr w:type="spellStart"/>
      <w:r w:rsidR="00FF5A03" w:rsidRPr="003D1B9A">
        <w:rPr>
          <w:rFonts w:eastAsia="Times New Roman"/>
          <w:i/>
        </w:rPr>
        <w:t>Hamkova</w:t>
      </w:r>
      <w:proofErr w:type="spellEnd"/>
      <w:r w:rsidR="00FF5A03" w:rsidRPr="003D1B9A">
        <w:rPr>
          <w:rFonts w:eastAsia="Times New Roman"/>
          <w:i/>
        </w:rPr>
        <w:t xml:space="preserve"> D</w:t>
      </w:r>
      <w:r w:rsidR="00FF5A03">
        <w:rPr>
          <w:rFonts w:eastAsia="Times New Roman"/>
          <w:i/>
        </w:rPr>
        <w:t>.</w:t>
      </w:r>
      <w:r w:rsidR="00FF5A03" w:rsidRPr="003D1B9A">
        <w:rPr>
          <w:rFonts w:eastAsia="Times New Roman"/>
          <w:i/>
        </w:rPr>
        <w:t xml:space="preserve"> </w:t>
      </w:r>
      <w:r w:rsidRPr="003D1B9A">
        <w:rPr>
          <w:rFonts w:eastAsia="Times New Roman"/>
          <w:i/>
        </w:rPr>
        <w:t>Krimināllikuma komentāri. Trešā daļa ( XVIII-XX</w:t>
      </w:r>
      <w:r w:rsidR="00FF5A03">
        <w:rPr>
          <w:rFonts w:eastAsia="Times New Roman"/>
          <w:i/>
        </w:rPr>
        <w:t>V nodaļa). Rīga:</w:t>
      </w:r>
      <w:r w:rsidRPr="003D1B9A">
        <w:rPr>
          <w:rFonts w:eastAsia="Times New Roman"/>
          <w:i/>
        </w:rPr>
        <w:t xml:space="preserve"> Tiesu namu aģentūra,</w:t>
      </w:r>
      <w:r w:rsidR="00FF5A03">
        <w:rPr>
          <w:rFonts w:eastAsia="Times New Roman"/>
          <w:i/>
        </w:rPr>
        <w:t xml:space="preserve"> </w:t>
      </w:r>
      <w:r w:rsidRPr="003D1B9A">
        <w:rPr>
          <w:rFonts w:eastAsia="Times New Roman"/>
          <w:i/>
        </w:rPr>
        <w:t>2016, 588.lapa</w:t>
      </w:r>
      <w:r>
        <w:rPr>
          <w:rFonts w:eastAsia="Times New Roman"/>
        </w:rPr>
        <w:t>).</w:t>
      </w:r>
    </w:p>
    <w:p w:rsidR="00F434B2" w:rsidRDefault="00F434B2" w:rsidP="003D3FDF">
      <w:pPr>
        <w:spacing w:line="276" w:lineRule="auto"/>
        <w:ind w:firstLine="709"/>
        <w:jc w:val="both"/>
        <w:rPr>
          <w:rFonts w:eastAsia="Times New Roman"/>
        </w:rPr>
      </w:pPr>
      <w:r>
        <w:rPr>
          <w:rFonts w:eastAsia="Times New Roman"/>
        </w:rPr>
        <w:t>Senātam nav pamata apšaubīt tiesas secin</w:t>
      </w:r>
      <w:r w:rsidR="000005EC">
        <w:rPr>
          <w:rFonts w:eastAsia="Times New Roman"/>
        </w:rPr>
        <w:t xml:space="preserve">ājumu, ka attiecībā pret sekām </w:t>
      </w:r>
      <w:r w:rsidR="007A1FBE">
        <w:rPr>
          <w:rFonts w:eastAsia="Times New Roman"/>
        </w:rPr>
        <w:t>[pers. A]</w:t>
      </w:r>
      <w:r w:rsidR="000005EC">
        <w:rPr>
          <w:rFonts w:eastAsia="Times New Roman"/>
        </w:rPr>
        <w:t xml:space="preserve"> ir pieļāvis neuzmanību.</w:t>
      </w:r>
    </w:p>
    <w:p w:rsidR="00614325" w:rsidRDefault="000F3D64" w:rsidP="000005EC">
      <w:pPr>
        <w:spacing w:line="276" w:lineRule="auto"/>
        <w:ind w:firstLine="709"/>
        <w:jc w:val="both"/>
        <w:rPr>
          <w:rFonts w:eastAsia="Times New Roman"/>
        </w:rPr>
      </w:pPr>
      <w:r>
        <w:rPr>
          <w:rFonts w:eastAsia="Times New Roman"/>
        </w:rPr>
        <w:t xml:space="preserve">[6.1.3] </w:t>
      </w:r>
      <w:r w:rsidR="006628B6">
        <w:rPr>
          <w:rFonts w:eastAsia="Times New Roman"/>
        </w:rPr>
        <w:t>P</w:t>
      </w:r>
      <w:r w:rsidR="00614325">
        <w:rPr>
          <w:rFonts w:eastAsia="Times New Roman"/>
        </w:rPr>
        <w:t>rokurore</w:t>
      </w:r>
      <w:r w:rsidR="006628B6">
        <w:rPr>
          <w:rFonts w:eastAsia="Times New Roman"/>
        </w:rPr>
        <w:t xml:space="preserve"> uzskata, ka</w:t>
      </w:r>
      <w:r w:rsidR="00614325">
        <w:rPr>
          <w:rFonts w:eastAsia="Times New Roman"/>
        </w:rPr>
        <w:t xml:space="preserve"> spriedum</w:t>
      </w:r>
      <w:r w:rsidR="006628B6">
        <w:rPr>
          <w:rFonts w:eastAsia="Times New Roman"/>
        </w:rPr>
        <w:t>s ir</w:t>
      </w:r>
      <w:r w:rsidR="00614325">
        <w:rPr>
          <w:rFonts w:eastAsia="Times New Roman"/>
        </w:rPr>
        <w:t xml:space="preserve"> pretrun</w:t>
      </w:r>
      <w:r w:rsidR="006628B6">
        <w:rPr>
          <w:rFonts w:eastAsia="Times New Roman"/>
        </w:rPr>
        <w:t>īgs tādēļ</w:t>
      </w:r>
      <w:r w:rsidR="00614325">
        <w:rPr>
          <w:rFonts w:eastAsia="Times New Roman"/>
        </w:rPr>
        <w:t>, ka sprieduma motīvu daļā sniegtais secinājums par to, ka</w:t>
      </w:r>
      <w:r w:rsidR="006628B6">
        <w:rPr>
          <w:rFonts w:eastAsia="Times New Roman"/>
        </w:rPr>
        <w:t xml:space="preserve"> </w:t>
      </w:r>
      <w:r w:rsidR="007A1FBE">
        <w:rPr>
          <w:rFonts w:eastAsia="Times New Roman"/>
        </w:rPr>
        <w:t>[pers. </w:t>
      </w:r>
      <w:r w:rsidR="007A1FBE">
        <w:t>A]</w:t>
      </w:r>
      <w:r w:rsidR="006628B6">
        <w:rPr>
          <w:rFonts w:eastAsia="Times New Roman"/>
        </w:rPr>
        <w:t xml:space="preserve"> inkriminētās darbības bija jāizdara, lai novērstu kaitējumu ne tikai pārvaldības kārtībai, bet arī lai novērstu kaitējumu ar likumu aizsargātām personu interesēm un tiesībām, nav atspoguļots </w:t>
      </w:r>
      <w:r w:rsidR="00E068DD">
        <w:rPr>
          <w:rFonts w:eastAsia="Times New Roman"/>
        </w:rPr>
        <w:t>jaunajā</w:t>
      </w:r>
      <w:r w:rsidR="006628B6">
        <w:rPr>
          <w:rFonts w:eastAsia="Times New Roman"/>
        </w:rPr>
        <w:t xml:space="preserve"> pierādītā noziedzīgā nodarījuma aprakstā.</w:t>
      </w:r>
    </w:p>
    <w:p w:rsidR="006628B6" w:rsidRDefault="006628B6" w:rsidP="00FE1E59">
      <w:pPr>
        <w:spacing w:line="276" w:lineRule="auto"/>
        <w:ind w:firstLine="709"/>
        <w:jc w:val="both"/>
        <w:rPr>
          <w:rFonts w:eastAsia="Times New Roman"/>
        </w:rPr>
      </w:pPr>
      <w:r>
        <w:rPr>
          <w:rFonts w:eastAsia="Times New Roman"/>
        </w:rPr>
        <w:t>Senāts atzīst, ka prokurores norāde ir nepamatota, jo no jauna sniegtā noziedzīgā nodarījuma aprakstā ir</w:t>
      </w:r>
      <w:r w:rsidR="002E5991">
        <w:rPr>
          <w:rFonts w:eastAsia="Times New Roman"/>
        </w:rPr>
        <w:t xml:space="preserve"> norādīts gan par kaitējuma novēršanu pārvaldības kārtībai, gan ar likumu aizsargātām personas tiesībām un interesēm. Ar 2012.gada 13.decembra likumu „Grozījumi Krimināllikumā” tika ieviestas izmaiņas arī Krimināllikuma 319.pantā. Likumdevējs ietvēra precizējumu, ka</w:t>
      </w:r>
      <w:r w:rsidR="00F24681">
        <w:rPr>
          <w:rFonts w:eastAsia="Times New Roman"/>
        </w:rPr>
        <w:t xml:space="preserve"> kaitējums var tikt nodarīts minētā panta dispozīcijā uzskaitītajām interesēm</w:t>
      </w:r>
      <w:r w:rsidR="001D0273">
        <w:rPr>
          <w:rFonts w:eastAsia="Times New Roman"/>
        </w:rPr>
        <w:t>,</w:t>
      </w:r>
      <w:r w:rsidR="00F24681">
        <w:rPr>
          <w:rFonts w:eastAsia="Times New Roman"/>
        </w:rPr>
        <w:t xml:space="preserve"> nevis tiesībām. Attiecīgi kaitējuma nodarīšanu tiesībām tiesai vajadzēja izslēgt no noziedzīgā nodarījuma apraksta, taču tiesa to nav izdarījusi. Senāts uzskata, ka minētais pārkāpums nav atzīstams par būtisku pārkāpumu un nav novedis</w:t>
      </w:r>
      <w:r w:rsidR="005F10DD">
        <w:rPr>
          <w:rFonts w:eastAsia="Times New Roman"/>
        </w:rPr>
        <w:t xml:space="preserve"> lietā</w:t>
      </w:r>
      <w:r w:rsidR="00F24681">
        <w:rPr>
          <w:rFonts w:eastAsia="Times New Roman"/>
        </w:rPr>
        <w:t xml:space="preserve"> pie nelikumīga nolēmuma.</w:t>
      </w:r>
    </w:p>
    <w:p w:rsidR="009E4266" w:rsidRDefault="009E4266" w:rsidP="00FE1E59">
      <w:pPr>
        <w:spacing w:line="276" w:lineRule="auto"/>
        <w:ind w:firstLine="709"/>
        <w:jc w:val="both"/>
        <w:rPr>
          <w:rFonts w:eastAsia="Times New Roman"/>
        </w:rPr>
      </w:pPr>
    </w:p>
    <w:p w:rsidR="000F3D64" w:rsidRDefault="000F3D64" w:rsidP="00FE1E59">
      <w:pPr>
        <w:spacing w:line="276" w:lineRule="auto"/>
        <w:ind w:firstLine="709"/>
        <w:jc w:val="both"/>
        <w:rPr>
          <w:rFonts w:eastAsia="Times New Roman"/>
        </w:rPr>
      </w:pPr>
      <w:r>
        <w:rPr>
          <w:rFonts w:eastAsia="Times New Roman"/>
        </w:rPr>
        <w:t>[7] Kasācijas instances tiesa atzīst, ka</w:t>
      </w:r>
      <w:r w:rsidR="009D3DE2">
        <w:rPr>
          <w:rFonts w:eastAsia="Times New Roman"/>
        </w:rPr>
        <w:t xml:space="preserve"> apsūdzētā</w:t>
      </w:r>
      <w:r w:rsidR="00504969">
        <w:rPr>
          <w:rFonts w:eastAsia="Times New Roman"/>
        </w:rPr>
        <w:t xml:space="preserve"> </w:t>
      </w:r>
      <w:r w:rsidR="007A1FBE">
        <w:rPr>
          <w:rFonts w:eastAsia="Times New Roman"/>
        </w:rPr>
        <w:t>[pers. A]</w:t>
      </w:r>
      <w:r w:rsidR="00504969">
        <w:rPr>
          <w:rFonts w:eastAsia="Times New Roman"/>
        </w:rPr>
        <w:t xml:space="preserve"> kasācijas sūdzība noraidāma, jo </w:t>
      </w:r>
      <w:r>
        <w:rPr>
          <w:rFonts w:eastAsia="Times New Roman"/>
        </w:rPr>
        <w:t>apelācijas instances t</w:t>
      </w:r>
      <w:r w:rsidR="009E4266">
        <w:rPr>
          <w:rFonts w:eastAsia="Times New Roman"/>
        </w:rPr>
        <w:t>iesa</w:t>
      </w:r>
      <w:r w:rsidR="00504969">
        <w:rPr>
          <w:rFonts w:eastAsia="Times New Roman"/>
        </w:rPr>
        <w:t>, iztiesājot lietu, nav pieļāvusi</w:t>
      </w:r>
      <w:r w:rsidR="003477A2">
        <w:rPr>
          <w:rFonts w:eastAsia="Times New Roman"/>
        </w:rPr>
        <w:t xml:space="preserve"> Krimināllikuma pārkāpumu</w:t>
      </w:r>
      <w:r w:rsidR="00504969">
        <w:rPr>
          <w:rFonts w:eastAsia="Times New Roman"/>
        </w:rPr>
        <w:t>s</w:t>
      </w:r>
      <w:r w:rsidR="003477A2">
        <w:rPr>
          <w:rFonts w:eastAsia="Times New Roman"/>
        </w:rPr>
        <w:t xml:space="preserve"> un</w:t>
      </w:r>
      <w:r w:rsidR="00504969">
        <w:rPr>
          <w:rFonts w:eastAsia="Times New Roman"/>
        </w:rPr>
        <w:t xml:space="preserve"> tādus</w:t>
      </w:r>
      <w:r w:rsidR="009D3DE2">
        <w:rPr>
          <w:rFonts w:eastAsia="Times New Roman"/>
        </w:rPr>
        <w:t xml:space="preserve"> Kriminālprocesa likuma pārkāpumus, kas varētu būt par pamatu apelācijas instances tiesas nolēmuma atcelšanai vai grozīšanai.</w:t>
      </w:r>
    </w:p>
    <w:p w:rsidR="000E59DE" w:rsidRDefault="006E0EAD" w:rsidP="00FE1E59">
      <w:pPr>
        <w:spacing w:line="276" w:lineRule="auto"/>
        <w:ind w:firstLine="709"/>
        <w:jc w:val="both"/>
        <w:rPr>
          <w:rFonts w:eastAsia="Times New Roman"/>
        </w:rPr>
      </w:pPr>
      <w:r>
        <w:rPr>
          <w:rFonts w:eastAsia="Times New Roman"/>
        </w:rPr>
        <w:t xml:space="preserve">[7.1] </w:t>
      </w:r>
      <w:r w:rsidR="009E4266">
        <w:rPr>
          <w:rFonts w:eastAsia="Times New Roman"/>
        </w:rPr>
        <w:t xml:space="preserve">No apsūdzētā </w:t>
      </w:r>
      <w:r w:rsidR="007A1FBE">
        <w:rPr>
          <w:rFonts w:eastAsia="Times New Roman"/>
        </w:rPr>
        <w:t>[pers. A]</w:t>
      </w:r>
      <w:r w:rsidR="000A477F">
        <w:rPr>
          <w:rFonts w:eastAsia="Times New Roman"/>
        </w:rPr>
        <w:t xml:space="preserve"> kasācijas sūdzības redzams, ka kasācijas sūdzībā pamatā atkārtoti apsūdzētā apelācijas sūdzībā izteiktie argumenti par pierādījumu vērtēšanu, noziedzīga nodarījuma objektīvo un subjektīvo pusi, kurus apelācijas instances tiesa ir izvērtējusi un motivēti noraidījusi.</w:t>
      </w:r>
    </w:p>
    <w:p w:rsidR="000E59DE" w:rsidRDefault="000E59DE" w:rsidP="00FE1E59">
      <w:pPr>
        <w:spacing w:line="276" w:lineRule="auto"/>
        <w:ind w:firstLine="709"/>
        <w:jc w:val="both"/>
        <w:rPr>
          <w:rFonts w:eastAsia="Times New Roman"/>
        </w:rPr>
      </w:pPr>
      <w:r>
        <w:rPr>
          <w:rFonts w:eastAsia="Times New Roman"/>
        </w:rPr>
        <w:t>Atbilstoši Kriminālprocesa likuma 569.panta pirmajai un trešajai daļai kasācijas instances tiesa lietas faktiskos apstākļus nenoskaidro, pierādījumus lietā no jauna neizvērtē, lietu pēc būtības neizskata. Pierādījumu attiecināmību, ticamību un pietiekamību vērtē tiesa, ka</w:t>
      </w:r>
      <w:r w:rsidR="00525CA0">
        <w:rPr>
          <w:rFonts w:eastAsia="Times New Roman"/>
        </w:rPr>
        <w:t>s</w:t>
      </w:r>
      <w:r>
        <w:rPr>
          <w:rFonts w:eastAsia="Times New Roman"/>
        </w:rPr>
        <w:t xml:space="preserve"> izskata lietu pēc būtības. Jautājums, vai lietā esošie pierādījumi ir vai nav pietiekami </w:t>
      </w:r>
      <w:r>
        <w:rPr>
          <w:rFonts w:eastAsia="Times New Roman"/>
        </w:rPr>
        <w:lastRenderedPageBreak/>
        <w:t>apsūdzētā vain</w:t>
      </w:r>
      <w:r w:rsidR="00F6491E">
        <w:rPr>
          <w:rFonts w:eastAsia="Times New Roman"/>
        </w:rPr>
        <w:t>īguma kons</w:t>
      </w:r>
      <w:r>
        <w:rPr>
          <w:rFonts w:eastAsia="Times New Roman"/>
        </w:rPr>
        <w:t>tatēšanai, ir būtības jautājums, kas kasācijas kārtībā nav pārbaudāms. Citāda pierādījumu vērtēšana kasācija</w:t>
      </w:r>
      <w:r w:rsidR="009D3DE2">
        <w:rPr>
          <w:rFonts w:eastAsia="Times New Roman"/>
        </w:rPr>
        <w:t>s</w:t>
      </w:r>
      <w:r>
        <w:rPr>
          <w:rFonts w:eastAsia="Times New Roman"/>
        </w:rPr>
        <w:t xml:space="preserve"> sūdzībā,</w:t>
      </w:r>
      <w:r w:rsidR="00F6491E">
        <w:rPr>
          <w:rFonts w:eastAsia="Times New Roman"/>
        </w:rPr>
        <w:t xml:space="preserve"> nekā</w:t>
      </w:r>
      <w:r>
        <w:rPr>
          <w:rFonts w:eastAsia="Times New Roman"/>
        </w:rPr>
        <w:t xml:space="preserve"> tos vērtējusi apel</w:t>
      </w:r>
      <w:r w:rsidR="00F6491E">
        <w:rPr>
          <w:rFonts w:eastAsia="Times New Roman"/>
        </w:rPr>
        <w:t xml:space="preserve">ācijas </w:t>
      </w:r>
      <w:r>
        <w:rPr>
          <w:rFonts w:eastAsia="Times New Roman"/>
        </w:rPr>
        <w:t>instances</w:t>
      </w:r>
      <w:r w:rsidR="009D3DE2">
        <w:rPr>
          <w:rFonts w:eastAsia="Times New Roman"/>
        </w:rPr>
        <w:t xml:space="preserve"> tiesa, nevar būt par pamatu ti</w:t>
      </w:r>
      <w:r>
        <w:rPr>
          <w:rFonts w:eastAsia="Times New Roman"/>
        </w:rPr>
        <w:t>esas nolēmuma atcelšanai, ja tiesa pierā</w:t>
      </w:r>
      <w:r w:rsidR="00F6491E">
        <w:rPr>
          <w:rFonts w:eastAsia="Times New Roman"/>
        </w:rPr>
        <w:t>dī</w:t>
      </w:r>
      <w:r w:rsidR="009D3DE2">
        <w:rPr>
          <w:rFonts w:eastAsia="Times New Roman"/>
        </w:rPr>
        <w:t>jumu vērtēšanā nav pieļāvusi K</w:t>
      </w:r>
      <w:r>
        <w:rPr>
          <w:rFonts w:eastAsia="Times New Roman"/>
        </w:rPr>
        <w:t>riminālprocesa likuma pārkāpumus.</w:t>
      </w:r>
    </w:p>
    <w:p w:rsidR="00F6491E" w:rsidRDefault="00F6491E" w:rsidP="00FE1E59">
      <w:pPr>
        <w:spacing w:line="276" w:lineRule="auto"/>
        <w:ind w:firstLine="709"/>
        <w:jc w:val="both"/>
        <w:rPr>
          <w:rFonts w:eastAsia="Times New Roman"/>
        </w:rPr>
      </w:pPr>
      <w:r>
        <w:rPr>
          <w:rFonts w:eastAsia="Times New Roman"/>
        </w:rPr>
        <w:t>Kasācijas instances tiesa konkrētajā lietā nekonstatē Kriminālprocesa likuma</w:t>
      </w:r>
      <w:r w:rsidR="000005EC">
        <w:rPr>
          <w:rFonts w:eastAsia="Times New Roman"/>
        </w:rPr>
        <w:t xml:space="preserve"> būtiskus pārkāpumus.</w:t>
      </w:r>
    </w:p>
    <w:p w:rsidR="00F6491E" w:rsidRDefault="009D3DE2" w:rsidP="00FE1E59">
      <w:pPr>
        <w:spacing w:line="276" w:lineRule="auto"/>
        <w:ind w:firstLine="709"/>
        <w:jc w:val="both"/>
        <w:rPr>
          <w:rFonts w:eastAsia="Times New Roman"/>
        </w:rPr>
      </w:pPr>
      <w:r>
        <w:rPr>
          <w:rFonts w:eastAsia="Times New Roman"/>
        </w:rPr>
        <w:t xml:space="preserve">[7.2] </w:t>
      </w:r>
      <w:r w:rsidR="00F6491E">
        <w:rPr>
          <w:rFonts w:eastAsia="Times New Roman"/>
        </w:rPr>
        <w:t>Atbilstoši Krimināllikuma</w:t>
      </w:r>
      <w:r w:rsidR="00FE1E59">
        <w:rPr>
          <w:rFonts w:eastAsia="Times New Roman"/>
        </w:rPr>
        <w:t xml:space="preserve"> 1.</w:t>
      </w:r>
      <w:r w:rsidR="00F6491E">
        <w:rPr>
          <w:rFonts w:eastAsia="Times New Roman"/>
        </w:rPr>
        <w:t>panta pirmās daļas noteikumiem pie kriminālatbildības saucama un sodāma tāda persona, kura ir vainīga noziedzīga nodarījuma izdarīšanā, tas ir, kura ar nodomu (tīši) vai aiz neuzmanības izdarījusi šajā likumā paredzētu nodarījumu, kam ir noziedzīga nodarījuma sastāva pazīmes.</w:t>
      </w:r>
    </w:p>
    <w:p w:rsidR="00F6491E" w:rsidRDefault="00F6491E" w:rsidP="00FE1E59">
      <w:pPr>
        <w:spacing w:line="276" w:lineRule="auto"/>
        <w:ind w:firstLine="709"/>
        <w:jc w:val="both"/>
        <w:rPr>
          <w:rFonts w:eastAsia="Times New Roman"/>
        </w:rPr>
      </w:pPr>
      <w:r>
        <w:rPr>
          <w:rFonts w:eastAsia="Times New Roman"/>
        </w:rPr>
        <w:t>Noziedzīga nodarījuma kvalifikācija ir pilnīgas atbilstības konstatēšana starp nodarījuma faktiskajām pazīmēm un Krimināllikuma normā paredzētā noziedzī</w:t>
      </w:r>
      <w:r w:rsidR="00FE1E59">
        <w:rPr>
          <w:rFonts w:eastAsia="Times New Roman"/>
        </w:rPr>
        <w:t>gā nodarījuma sastāva pazīmēm (</w:t>
      </w:r>
      <w:r w:rsidR="00FE1E59" w:rsidRPr="00FE1E59">
        <w:rPr>
          <w:rFonts w:eastAsia="Times New Roman"/>
          <w:i/>
        </w:rPr>
        <w:t xml:space="preserve">sk. </w:t>
      </w:r>
      <w:r w:rsidRPr="00FE1E59">
        <w:rPr>
          <w:rFonts w:eastAsia="Times New Roman"/>
          <w:i/>
        </w:rPr>
        <w:t>Krastiņš</w:t>
      </w:r>
      <w:r w:rsidR="00FF5A03">
        <w:rPr>
          <w:rFonts w:eastAsia="Times New Roman"/>
          <w:i/>
        </w:rPr>
        <w:t> </w:t>
      </w:r>
      <w:r w:rsidR="00FF5A03" w:rsidRPr="00FE1E59">
        <w:rPr>
          <w:rFonts w:eastAsia="Times New Roman"/>
          <w:i/>
        </w:rPr>
        <w:t>U.</w:t>
      </w:r>
      <w:r w:rsidRPr="00FE1E59">
        <w:rPr>
          <w:rFonts w:eastAsia="Times New Roman"/>
          <w:i/>
        </w:rPr>
        <w:t xml:space="preserve"> Noziedzīgs nodarījums</w:t>
      </w:r>
      <w:r w:rsidR="00FF5A03">
        <w:rPr>
          <w:rFonts w:eastAsia="Times New Roman"/>
          <w:i/>
        </w:rPr>
        <w:t xml:space="preserve">. </w:t>
      </w:r>
      <w:r w:rsidRPr="00FE1E59">
        <w:rPr>
          <w:rFonts w:eastAsia="Times New Roman"/>
          <w:i/>
        </w:rPr>
        <w:t>Rīga: Tiesu namu aģentūra, 2000, 26.lpp.-27.lpp.).</w:t>
      </w:r>
    </w:p>
    <w:p w:rsidR="00F6491E" w:rsidRDefault="00F6491E" w:rsidP="00FE1E59">
      <w:pPr>
        <w:spacing w:line="276" w:lineRule="auto"/>
        <w:ind w:firstLine="709"/>
        <w:jc w:val="both"/>
        <w:rPr>
          <w:rFonts w:eastAsia="Times New Roman"/>
        </w:rPr>
      </w:pPr>
      <w:r>
        <w:rPr>
          <w:rFonts w:eastAsia="Times New Roman"/>
        </w:rPr>
        <w:t xml:space="preserve">No apelācijas instances tiesas </w:t>
      </w:r>
      <w:r w:rsidR="001D0273">
        <w:rPr>
          <w:rFonts w:eastAsia="Times New Roman"/>
        </w:rPr>
        <w:t>sprieduma</w:t>
      </w:r>
      <w:r>
        <w:rPr>
          <w:rFonts w:eastAsia="Times New Roman"/>
        </w:rPr>
        <w:t xml:space="preserve"> redzams, ka </w:t>
      </w:r>
      <w:r w:rsidR="00E12262">
        <w:rPr>
          <w:rFonts w:eastAsia="Times New Roman"/>
        </w:rPr>
        <w:t xml:space="preserve">tiesa, pamatojoties uz konkrētiem lietā iegūtiem un tiesas sēdē pārbaudītiem pierādījumiem, konstatējusi apsūdzētā </w:t>
      </w:r>
      <w:r w:rsidR="007A1FBE">
        <w:rPr>
          <w:rFonts w:eastAsia="Times New Roman"/>
        </w:rPr>
        <w:t>[pers. A]</w:t>
      </w:r>
      <w:r w:rsidR="00E12262">
        <w:rPr>
          <w:rFonts w:eastAsia="Times New Roman"/>
        </w:rPr>
        <w:t xml:space="preserve"> darbībās visas nepieciešamās un obligātās Krimināllikuma 319.panta otrajā daļā paredzētā noziedzīgā nodarījuma sastāva pazīmes. Tiesa ir pārbaudījusi visus lietā iegūtos pierādījumus, kuriem ir nozīme lietas izspriešanā.</w:t>
      </w:r>
    </w:p>
    <w:p w:rsidR="00504969" w:rsidRDefault="00504969" w:rsidP="00FE1E59">
      <w:pPr>
        <w:spacing w:line="276" w:lineRule="auto"/>
        <w:ind w:firstLine="709"/>
        <w:jc w:val="both"/>
        <w:rPr>
          <w:rFonts w:eastAsia="Times New Roman"/>
        </w:rPr>
      </w:pPr>
      <w:r>
        <w:rPr>
          <w:rFonts w:eastAsia="Times New Roman"/>
        </w:rPr>
        <w:t xml:space="preserve">Kasācijas sūdzības iesniedzēja subjektīvais viedoklis par citādu lietā iegūto pierādījumu novērtējumu, ja pierādījumu vērtēšanā apelācijas instances tiesā nav pieļauti Kriminālprocesa likuma pārkāpumi, nevar būt par pamatu tiesas nolēmuma atcelšanai. </w:t>
      </w:r>
    </w:p>
    <w:p w:rsidR="004967D0" w:rsidRDefault="004967D0" w:rsidP="00FE1E59">
      <w:pPr>
        <w:spacing w:line="276" w:lineRule="auto"/>
        <w:ind w:firstLine="709"/>
        <w:jc w:val="both"/>
        <w:rPr>
          <w:rFonts w:eastAsia="Times New Roman"/>
        </w:rPr>
      </w:pPr>
      <w:r>
        <w:rPr>
          <w:rFonts w:eastAsia="Times New Roman"/>
        </w:rPr>
        <w:t>Kasācijas instances tiesai nav tiesiska pamata apšaubīt apelācijas instances tiesas atzinumus, kas pamatoti ar Kriminālprocesa likuma noteiktajā kārtībā novērtētajiem pierādījumiem.</w:t>
      </w:r>
    </w:p>
    <w:p w:rsidR="00DA6EA4" w:rsidRDefault="009D3DE2" w:rsidP="00FE1E59">
      <w:pPr>
        <w:spacing w:line="276" w:lineRule="auto"/>
        <w:ind w:firstLine="709"/>
        <w:jc w:val="both"/>
        <w:rPr>
          <w:rFonts w:eastAsia="Times New Roman"/>
        </w:rPr>
      </w:pPr>
      <w:r>
        <w:rPr>
          <w:rFonts w:eastAsia="Times New Roman"/>
        </w:rPr>
        <w:t xml:space="preserve">[7.3] </w:t>
      </w:r>
      <w:r w:rsidR="005F10DD">
        <w:rPr>
          <w:rFonts w:eastAsia="Times New Roman"/>
        </w:rPr>
        <w:t>Kasācijas sūdzības autors vērš</w:t>
      </w:r>
      <w:r w:rsidR="00DA6EA4">
        <w:rPr>
          <w:rFonts w:eastAsia="Times New Roman"/>
        </w:rPr>
        <w:t xml:space="preserve"> uzmanību uz to, ka tiesa nav konstatējusi noziedzīgā nodarījuma motīvu. Senāts norāda, Krimināllikuma 319.panta otrās daļas dispozīcijā motīvs nav ietverts obligāto nodarījuma sastāva pazīmju skaitā</w:t>
      </w:r>
      <w:r w:rsidR="000005EC">
        <w:rPr>
          <w:rFonts w:eastAsia="Times New Roman"/>
        </w:rPr>
        <w:t>, tādēļ tā nenoskaidrošana</w:t>
      </w:r>
      <w:r w:rsidR="00DA6EA4">
        <w:rPr>
          <w:rFonts w:eastAsia="Times New Roman"/>
        </w:rPr>
        <w:t xml:space="preserve"> neietekmē noziedzīgā nodarījuma kvalifikāciju.</w:t>
      </w:r>
    </w:p>
    <w:p w:rsidR="00DA6EA4" w:rsidRDefault="00DA6EA4" w:rsidP="00FE1E59">
      <w:pPr>
        <w:spacing w:line="276" w:lineRule="auto"/>
        <w:ind w:firstLine="709"/>
        <w:jc w:val="both"/>
        <w:rPr>
          <w:rFonts w:eastAsia="Times New Roman"/>
        </w:rPr>
      </w:pPr>
      <w:r>
        <w:rPr>
          <w:rFonts w:eastAsia="Times New Roman"/>
        </w:rPr>
        <w:t>Šādu viedokli ir izteikuši arī tiesību zinātnieki.</w:t>
      </w:r>
      <w:r w:rsidR="00FE1E59">
        <w:rPr>
          <w:rFonts w:eastAsia="Times New Roman"/>
        </w:rPr>
        <w:t xml:space="preserve"> „</w:t>
      </w:r>
      <w:r>
        <w:rPr>
          <w:rFonts w:eastAsia="Times New Roman"/>
        </w:rPr>
        <w:t>Kā noziedzīga nodarījuma sast</w:t>
      </w:r>
      <w:r w:rsidR="001A7318">
        <w:rPr>
          <w:rFonts w:eastAsia="Times New Roman"/>
        </w:rPr>
        <w:t>āva subjekt</w:t>
      </w:r>
      <w:r>
        <w:rPr>
          <w:rFonts w:eastAsia="Times New Roman"/>
        </w:rPr>
        <w:t>īv</w:t>
      </w:r>
      <w:r w:rsidR="001A7318">
        <w:rPr>
          <w:rFonts w:eastAsia="Times New Roman"/>
        </w:rPr>
        <w:t xml:space="preserve">ās </w:t>
      </w:r>
      <w:r>
        <w:rPr>
          <w:rFonts w:eastAsia="Times New Roman"/>
        </w:rPr>
        <w:t>puses pazīm</w:t>
      </w:r>
      <w:r w:rsidR="001A7318">
        <w:rPr>
          <w:rFonts w:eastAsia="Times New Roman"/>
        </w:rPr>
        <w:t>ēm motī</w:t>
      </w:r>
      <w:r>
        <w:rPr>
          <w:rFonts w:eastAsia="Times New Roman"/>
        </w:rPr>
        <w:t>vam un mērķim var būt divējāda nozīme:</w:t>
      </w:r>
    </w:p>
    <w:p w:rsidR="00DA6EA4" w:rsidRDefault="00DA6EA4" w:rsidP="00FE1E59">
      <w:pPr>
        <w:pStyle w:val="ListParagraph"/>
        <w:numPr>
          <w:ilvl w:val="0"/>
          <w:numId w:val="3"/>
        </w:numPr>
        <w:spacing w:line="276" w:lineRule="auto"/>
        <w:ind w:firstLine="709"/>
        <w:jc w:val="both"/>
        <w:rPr>
          <w:rFonts w:eastAsia="Times New Roman"/>
        </w:rPr>
      </w:pPr>
      <w:r>
        <w:rPr>
          <w:rFonts w:eastAsia="Times New Roman"/>
        </w:rPr>
        <w:t>motīvam un mērķim var būt noziedzīga nodarījuma sastāva oblig</w:t>
      </w:r>
      <w:r w:rsidR="001A7318">
        <w:rPr>
          <w:rFonts w:eastAsia="Times New Roman"/>
        </w:rPr>
        <w:t>ā</w:t>
      </w:r>
      <w:r>
        <w:rPr>
          <w:rFonts w:eastAsia="Times New Roman"/>
        </w:rPr>
        <w:t>tās pazīmes nozīme, tas</w:t>
      </w:r>
      <w:r w:rsidR="001A7318">
        <w:rPr>
          <w:rFonts w:eastAsia="Times New Roman"/>
        </w:rPr>
        <w:t xml:space="preserve"> i</w:t>
      </w:r>
      <w:r>
        <w:rPr>
          <w:rFonts w:eastAsia="Times New Roman"/>
        </w:rPr>
        <w:t>etekmē nodarījuma kvalifikāciju;</w:t>
      </w:r>
    </w:p>
    <w:p w:rsidR="009D3DE2" w:rsidRDefault="001A7318" w:rsidP="00FE1E59">
      <w:pPr>
        <w:pStyle w:val="ListParagraph"/>
        <w:numPr>
          <w:ilvl w:val="0"/>
          <w:numId w:val="3"/>
        </w:numPr>
        <w:spacing w:line="276" w:lineRule="auto"/>
        <w:ind w:firstLine="709"/>
        <w:jc w:val="both"/>
        <w:rPr>
          <w:rFonts w:eastAsia="Times New Roman"/>
        </w:rPr>
      </w:pPr>
      <w:r>
        <w:rPr>
          <w:rFonts w:eastAsia="Times New Roman"/>
        </w:rPr>
        <w:t>motīvs un mērķis neietekmē noziedzīgā nodarījuma kvalifikāciju, ja tie Krimināllikuma sevišķās daļas panta dispozīcijā nav ietverti kā obligāti nodarījuma sastāva pazīmju skaitā” (</w:t>
      </w:r>
      <w:r w:rsidR="00FE1E59" w:rsidRPr="00FE1E59">
        <w:rPr>
          <w:rFonts w:eastAsia="Times New Roman"/>
          <w:i/>
        </w:rPr>
        <w:t xml:space="preserve">sk. </w:t>
      </w:r>
      <w:r w:rsidRPr="00FE1E59">
        <w:rPr>
          <w:rFonts w:eastAsia="Times New Roman"/>
          <w:i/>
        </w:rPr>
        <w:t>Krastiņš</w:t>
      </w:r>
      <w:r w:rsidR="00FF5A03" w:rsidRPr="00FF5A03">
        <w:rPr>
          <w:rFonts w:eastAsia="Times New Roman"/>
          <w:i/>
        </w:rPr>
        <w:t xml:space="preserve"> </w:t>
      </w:r>
      <w:r w:rsidR="00FF5A03" w:rsidRPr="00FE1E59">
        <w:rPr>
          <w:rFonts w:eastAsia="Times New Roman"/>
          <w:i/>
        </w:rPr>
        <w:t>U.</w:t>
      </w:r>
      <w:r w:rsidR="00FF5A03">
        <w:rPr>
          <w:rFonts w:eastAsia="Times New Roman"/>
          <w:i/>
        </w:rPr>
        <w:t xml:space="preserve"> Noziedzīgs nodarījums. </w:t>
      </w:r>
      <w:r w:rsidRPr="00FE1E59">
        <w:rPr>
          <w:rFonts w:eastAsia="Times New Roman"/>
          <w:i/>
        </w:rPr>
        <w:t>Rīga: T</w:t>
      </w:r>
      <w:r w:rsidR="00FF5A03">
        <w:rPr>
          <w:rFonts w:eastAsia="Times New Roman"/>
          <w:i/>
        </w:rPr>
        <w:t>iesu namu aģentūra</w:t>
      </w:r>
      <w:r w:rsidRPr="00FE1E59">
        <w:rPr>
          <w:rFonts w:eastAsia="Times New Roman"/>
          <w:i/>
        </w:rPr>
        <w:t>, 2000,</w:t>
      </w:r>
      <w:r w:rsidR="00FF5A03">
        <w:rPr>
          <w:rFonts w:eastAsia="Times New Roman"/>
          <w:i/>
        </w:rPr>
        <w:t xml:space="preserve"> </w:t>
      </w:r>
      <w:r w:rsidRPr="00FE1E59">
        <w:rPr>
          <w:rFonts w:eastAsia="Times New Roman"/>
          <w:i/>
        </w:rPr>
        <w:t>111.lpp</w:t>
      </w:r>
      <w:r>
        <w:rPr>
          <w:rFonts w:eastAsia="Times New Roman"/>
        </w:rPr>
        <w:t>).</w:t>
      </w:r>
    </w:p>
    <w:p w:rsidR="002B28AE" w:rsidRDefault="002B28AE" w:rsidP="00FE1E59">
      <w:pPr>
        <w:pStyle w:val="ListParagraph"/>
        <w:spacing w:line="276" w:lineRule="auto"/>
        <w:ind w:left="1080" w:firstLine="709"/>
        <w:jc w:val="both"/>
        <w:rPr>
          <w:rFonts w:eastAsia="Times New Roman"/>
        </w:rPr>
      </w:pPr>
    </w:p>
    <w:p w:rsidR="005F10DD" w:rsidRDefault="002B28AE" w:rsidP="00FE1E59">
      <w:pPr>
        <w:pStyle w:val="ListParagraph"/>
        <w:spacing w:line="276" w:lineRule="auto"/>
        <w:ind w:left="0" w:firstLine="709"/>
        <w:jc w:val="both"/>
        <w:rPr>
          <w:rFonts w:eastAsia="Times New Roman"/>
        </w:rPr>
      </w:pPr>
      <w:r>
        <w:rPr>
          <w:rFonts w:eastAsia="Times New Roman"/>
        </w:rPr>
        <w:t xml:space="preserve">[8] </w:t>
      </w:r>
      <w:r w:rsidR="005F10DD">
        <w:rPr>
          <w:rFonts w:eastAsia="Times New Roman"/>
        </w:rPr>
        <w:t xml:space="preserve">Ievērojot minēto, Senāts atzīst, ka apelācijas instances tiesas </w:t>
      </w:r>
      <w:r>
        <w:rPr>
          <w:rFonts w:eastAsia="Times New Roman"/>
        </w:rPr>
        <w:t>spriedums atbilst Kriminālprocesa likuma 511.,</w:t>
      </w:r>
      <w:r w:rsidR="00FE1E59">
        <w:rPr>
          <w:rFonts w:eastAsia="Times New Roman"/>
        </w:rPr>
        <w:t xml:space="preserve"> </w:t>
      </w:r>
      <w:r>
        <w:rPr>
          <w:rFonts w:eastAsia="Times New Roman"/>
        </w:rPr>
        <w:t>512. un 564.panta prasībām. Iztiesājot lietu, apelācijas instances tiesa nav pieļāvusi Krimināllikuma pārkāpumus un Kriminālprocesa likuma būtiskus pārkāpumus šā likuma 575.panta trešās daļas izpratnē, kuri varētu būt par pamatu apelācijas instances tiesas sprieduma atcelšanai vai grozīšanai, tādēļ apelācijas instances tiesas spriedums atstājams negrozīts.</w:t>
      </w:r>
    </w:p>
    <w:p w:rsidR="009D3DE2" w:rsidRDefault="009D3DE2" w:rsidP="009D3DE2">
      <w:pPr>
        <w:pStyle w:val="ListParagraph"/>
        <w:spacing w:line="276" w:lineRule="auto"/>
        <w:ind w:left="1080"/>
        <w:jc w:val="both"/>
        <w:rPr>
          <w:rFonts w:eastAsia="Times New Roman"/>
        </w:rPr>
      </w:pPr>
    </w:p>
    <w:p w:rsidR="00E25EA3" w:rsidRPr="00FE1E59" w:rsidRDefault="00E25EA3" w:rsidP="00FE1E59">
      <w:pPr>
        <w:spacing w:line="276" w:lineRule="auto"/>
        <w:jc w:val="center"/>
        <w:rPr>
          <w:rFonts w:eastAsia="Times New Roman"/>
        </w:rPr>
      </w:pPr>
      <w:r w:rsidRPr="00FE1E59">
        <w:rPr>
          <w:b/>
        </w:rPr>
        <w:lastRenderedPageBreak/>
        <w:t>Rezolutīvā daļa</w:t>
      </w:r>
    </w:p>
    <w:p w:rsidR="00E25EA3" w:rsidRDefault="00E25EA3" w:rsidP="007F0164">
      <w:pPr>
        <w:tabs>
          <w:tab w:val="left" w:pos="0"/>
          <w:tab w:val="left" w:pos="709"/>
        </w:tabs>
        <w:spacing w:line="276" w:lineRule="auto"/>
        <w:jc w:val="both"/>
      </w:pPr>
    </w:p>
    <w:p w:rsidR="0071644D" w:rsidRDefault="00E25EA3" w:rsidP="00FE1E59">
      <w:pPr>
        <w:tabs>
          <w:tab w:val="left" w:pos="0"/>
          <w:tab w:val="left" w:pos="709"/>
        </w:tabs>
        <w:spacing w:line="276" w:lineRule="auto"/>
        <w:ind w:firstLine="709"/>
        <w:jc w:val="both"/>
      </w:pPr>
      <w:r>
        <w:t>Pamatojoties uz Kriminālpr</w:t>
      </w:r>
      <w:r w:rsidR="009178BC">
        <w:t xml:space="preserve">ocesa likuma 585. un 587.pantu, </w:t>
      </w:r>
      <w:r>
        <w:t>tiesa</w:t>
      </w:r>
    </w:p>
    <w:p w:rsidR="0090255F" w:rsidRDefault="0090255F" w:rsidP="00FE1E59">
      <w:pPr>
        <w:tabs>
          <w:tab w:val="left" w:pos="0"/>
          <w:tab w:val="left" w:pos="6660"/>
        </w:tabs>
        <w:spacing w:line="276" w:lineRule="auto"/>
        <w:ind w:firstLine="709"/>
        <w:rPr>
          <w:b/>
        </w:rPr>
      </w:pPr>
    </w:p>
    <w:p w:rsidR="008C65E6" w:rsidRDefault="00E25EA3" w:rsidP="00FE1E59">
      <w:pPr>
        <w:tabs>
          <w:tab w:val="left" w:pos="0"/>
          <w:tab w:val="left" w:pos="6660"/>
        </w:tabs>
        <w:spacing w:line="276" w:lineRule="auto"/>
        <w:jc w:val="center"/>
        <w:rPr>
          <w:b/>
        </w:rPr>
      </w:pPr>
      <w:r>
        <w:rPr>
          <w:b/>
        </w:rPr>
        <w:t>n</w:t>
      </w:r>
      <w:r w:rsidRPr="00091760">
        <w:rPr>
          <w:b/>
        </w:rPr>
        <w:t>olēma</w:t>
      </w:r>
      <w:r>
        <w:rPr>
          <w:b/>
        </w:rPr>
        <w:t>:</w:t>
      </w:r>
    </w:p>
    <w:p w:rsidR="00006F66" w:rsidRDefault="00006F66" w:rsidP="00FE1E59">
      <w:pPr>
        <w:tabs>
          <w:tab w:val="left" w:pos="0"/>
          <w:tab w:val="left" w:pos="6660"/>
        </w:tabs>
        <w:spacing w:line="276" w:lineRule="auto"/>
        <w:ind w:firstLine="709"/>
        <w:jc w:val="both"/>
        <w:rPr>
          <w:b/>
        </w:rPr>
      </w:pPr>
    </w:p>
    <w:p w:rsidR="00DF4CAF" w:rsidRDefault="00AD2A56" w:rsidP="00DF4CAF">
      <w:pPr>
        <w:tabs>
          <w:tab w:val="left" w:pos="0"/>
          <w:tab w:val="left" w:pos="709"/>
          <w:tab w:val="left" w:pos="851"/>
          <w:tab w:val="left" w:pos="993"/>
        </w:tabs>
        <w:spacing w:line="276" w:lineRule="auto"/>
        <w:ind w:firstLine="709"/>
        <w:jc w:val="both"/>
      </w:pPr>
      <w:r>
        <w:rPr>
          <w:rFonts w:eastAsia="Times New Roman"/>
        </w:rPr>
        <w:t>atstāt negrozītu Rīgas apgabalties</w:t>
      </w:r>
      <w:r w:rsidR="00525CA0">
        <w:rPr>
          <w:rFonts w:eastAsia="Times New Roman"/>
        </w:rPr>
        <w:t xml:space="preserve">as 2018.gada 16.maija spriedumu, </w:t>
      </w:r>
      <w:r w:rsidR="00525CA0">
        <w:t xml:space="preserve">bet prokurores </w:t>
      </w:r>
      <w:proofErr w:type="spellStart"/>
      <w:r w:rsidR="00DF4CAF">
        <w:t>Zinaidas</w:t>
      </w:r>
      <w:proofErr w:type="spellEnd"/>
      <w:r w:rsidR="00DF4CAF">
        <w:t xml:space="preserve"> </w:t>
      </w:r>
      <w:proofErr w:type="spellStart"/>
      <w:r w:rsidR="00DF4CAF">
        <w:t>Pavlovas</w:t>
      </w:r>
      <w:proofErr w:type="spellEnd"/>
      <w:r w:rsidR="00DF4CAF">
        <w:t xml:space="preserve"> kasācijas protestu un apsūdzētā</w:t>
      </w:r>
      <w:r w:rsidR="00525CA0">
        <w:t xml:space="preserve"> </w:t>
      </w:r>
      <w:r w:rsidR="007A1FBE">
        <w:t>[pers. A]</w:t>
      </w:r>
      <w:r w:rsidR="00DF4CAF">
        <w:t xml:space="preserve"> kasācijas sūdzību noraidīt.</w:t>
      </w:r>
    </w:p>
    <w:p w:rsidR="00006F66" w:rsidRPr="00AD2A56" w:rsidRDefault="007D14FA" w:rsidP="00DF4CAF">
      <w:pPr>
        <w:tabs>
          <w:tab w:val="left" w:pos="0"/>
          <w:tab w:val="left" w:pos="709"/>
          <w:tab w:val="left" w:pos="851"/>
          <w:tab w:val="left" w:pos="993"/>
        </w:tabs>
        <w:spacing w:line="276" w:lineRule="auto"/>
        <w:ind w:firstLine="709"/>
        <w:jc w:val="both"/>
      </w:pPr>
      <w:r w:rsidRPr="007D14FA">
        <w:t>Lēmums nav pārsūdzams.</w:t>
      </w:r>
    </w:p>
    <w:p w:rsidR="00006F66" w:rsidRDefault="00006F66" w:rsidP="00006F66">
      <w:pPr>
        <w:tabs>
          <w:tab w:val="left" w:pos="0"/>
          <w:tab w:val="left" w:pos="709"/>
          <w:tab w:val="left" w:pos="6660"/>
        </w:tabs>
        <w:spacing w:line="276" w:lineRule="auto"/>
      </w:pPr>
    </w:p>
    <w:p w:rsidR="005A140E" w:rsidRDefault="005A140E" w:rsidP="00006F66">
      <w:pPr>
        <w:tabs>
          <w:tab w:val="left" w:pos="0"/>
          <w:tab w:val="left" w:pos="709"/>
          <w:tab w:val="left" w:pos="6660"/>
        </w:tabs>
        <w:spacing w:line="276" w:lineRule="auto"/>
      </w:pPr>
    </w:p>
    <w:sectPr w:rsidR="005A140E" w:rsidSect="00FE1E59">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C2C" w:rsidRDefault="00B52C2C" w:rsidP="00FB25DA">
      <w:r>
        <w:separator/>
      </w:r>
    </w:p>
  </w:endnote>
  <w:endnote w:type="continuationSeparator" w:id="0">
    <w:p w:rsidR="00B52C2C" w:rsidRDefault="00B52C2C" w:rsidP="00FB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49733"/>
      <w:docPartObj>
        <w:docPartGallery w:val="Page Numbers (Bottom of Page)"/>
        <w:docPartUnique/>
      </w:docPartObj>
    </w:sdtPr>
    <w:sdtEndPr/>
    <w:sdtContent>
      <w:sdt>
        <w:sdtPr>
          <w:id w:val="-1577820094"/>
          <w:docPartObj>
            <w:docPartGallery w:val="Page Numbers (Top of Page)"/>
            <w:docPartUnique/>
          </w:docPartObj>
        </w:sdtPr>
        <w:sdtEndPr/>
        <w:sdtContent>
          <w:p w:rsidR="00B52C2C" w:rsidRDefault="00B52C2C">
            <w:pPr>
              <w:pStyle w:val="Footer"/>
              <w:jc w:val="center"/>
            </w:pPr>
            <w:r w:rsidRPr="00EA176A">
              <w:rPr>
                <w:bCs/>
              </w:rPr>
              <w:fldChar w:fldCharType="begin"/>
            </w:r>
            <w:r w:rsidRPr="00EA176A">
              <w:rPr>
                <w:bCs/>
              </w:rPr>
              <w:instrText xml:space="preserve"> PAGE </w:instrText>
            </w:r>
            <w:r w:rsidRPr="00EA176A">
              <w:rPr>
                <w:bCs/>
              </w:rPr>
              <w:fldChar w:fldCharType="separate"/>
            </w:r>
            <w:r w:rsidR="00986AEA">
              <w:rPr>
                <w:bCs/>
                <w:noProof/>
              </w:rPr>
              <w:t>7</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sidR="00986AEA">
              <w:rPr>
                <w:bCs/>
                <w:noProof/>
              </w:rPr>
              <w:t>7</w:t>
            </w:r>
            <w:r w:rsidRPr="00EA176A">
              <w:rPr>
                <w:bCs/>
              </w:rPr>
              <w:fldChar w:fldCharType="end"/>
            </w:r>
          </w:p>
        </w:sdtContent>
      </w:sdt>
    </w:sdtContent>
  </w:sdt>
  <w:p w:rsidR="00B52C2C" w:rsidRDefault="00B52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C2C" w:rsidRDefault="00B52C2C" w:rsidP="00FB25DA">
      <w:r>
        <w:separator/>
      </w:r>
    </w:p>
  </w:footnote>
  <w:footnote w:type="continuationSeparator" w:id="0">
    <w:p w:rsidR="00B52C2C" w:rsidRDefault="00B52C2C" w:rsidP="00FB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3D4"/>
    <w:multiLevelType w:val="hybridMultilevel"/>
    <w:tmpl w:val="5A7A808C"/>
    <w:lvl w:ilvl="0" w:tplc="964457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B6653D3"/>
    <w:multiLevelType w:val="hybridMultilevel"/>
    <w:tmpl w:val="61A6A602"/>
    <w:lvl w:ilvl="0" w:tplc="C0644B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EE036C5"/>
    <w:multiLevelType w:val="hybridMultilevel"/>
    <w:tmpl w:val="8908A0D8"/>
    <w:lvl w:ilvl="0" w:tplc="444EC3F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1"/>
    <w:rsid w:val="000005EC"/>
    <w:rsid w:val="00006F66"/>
    <w:rsid w:val="00023789"/>
    <w:rsid w:val="00036346"/>
    <w:rsid w:val="000409B4"/>
    <w:rsid w:val="00044486"/>
    <w:rsid w:val="00045612"/>
    <w:rsid w:val="0005057C"/>
    <w:rsid w:val="00052781"/>
    <w:rsid w:val="000602B1"/>
    <w:rsid w:val="00064731"/>
    <w:rsid w:val="00070C8F"/>
    <w:rsid w:val="00070DE6"/>
    <w:rsid w:val="00070DED"/>
    <w:rsid w:val="00075176"/>
    <w:rsid w:val="0008631B"/>
    <w:rsid w:val="00086520"/>
    <w:rsid w:val="00090829"/>
    <w:rsid w:val="00091F48"/>
    <w:rsid w:val="00095783"/>
    <w:rsid w:val="000A2166"/>
    <w:rsid w:val="000A477F"/>
    <w:rsid w:val="000D15E1"/>
    <w:rsid w:val="000D4C81"/>
    <w:rsid w:val="000D5BA3"/>
    <w:rsid w:val="000E59DE"/>
    <w:rsid w:val="000E7A41"/>
    <w:rsid w:val="000F2E25"/>
    <w:rsid w:val="000F3D64"/>
    <w:rsid w:val="00100291"/>
    <w:rsid w:val="00102DCE"/>
    <w:rsid w:val="00103612"/>
    <w:rsid w:val="00107FE7"/>
    <w:rsid w:val="001109D8"/>
    <w:rsid w:val="00114773"/>
    <w:rsid w:val="001310CB"/>
    <w:rsid w:val="00136188"/>
    <w:rsid w:val="00141962"/>
    <w:rsid w:val="0014388B"/>
    <w:rsid w:val="00143AC6"/>
    <w:rsid w:val="001451E2"/>
    <w:rsid w:val="001546E8"/>
    <w:rsid w:val="00160BD5"/>
    <w:rsid w:val="00161CC1"/>
    <w:rsid w:val="00170981"/>
    <w:rsid w:val="00170E28"/>
    <w:rsid w:val="00174A60"/>
    <w:rsid w:val="001755F9"/>
    <w:rsid w:val="00176083"/>
    <w:rsid w:val="001859FA"/>
    <w:rsid w:val="00185E75"/>
    <w:rsid w:val="00193210"/>
    <w:rsid w:val="0019665B"/>
    <w:rsid w:val="00196F00"/>
    <w:rsid w:val="001A5E6F"/>
    <w:rsid w:val="001A7318"/>
    <w:rsid w:val="001B0961"/>
    <w:rsid w:val="001B155E"/>
    <w:rsid w:val="001B3987"/>
    <w:rsid w:val="001C1492"/>
    <w:rsid w:val="001C1DF3"/>
    <w:rsid w:val="001C4240"/>
    <w:rsid w:val="001D0273"/>
    <w:rsid w:val="001D70A8"/>
    <w:rsid w:val="001E4CB7"/>
    <w:rsid w:val="001F2A8D"/>
    <w:rsid w:val="001F59EC"/>
    <w:rsid w:val="00207563"/>
    <w:rsid w:val="00222D2B"/>
    <w:rsid w:val="00223C39"/>
    <w:rsid w:val="00227736"/>
    <w:rsid w:val="00233521"/>
    <w:rsid w:val="00243C73"/>
    <w:rsid w:val="0025294E"/>
    <w:rsid w:val="00260439"/>
    <w:rsid w:val="00262802"/>
    <w:rsid w:val="002630F6"/>
    <w:rsid w:val="00264DDE"/>
    <w:rsid w:val="00270839"/>
    <w:rsid w:val="00274C31"/>
    <w:rsid w:val="00274D56"/>
    <w:rsid w:val="002756A1"/>
    <w:rsid w:val="002761AB"/>
    <w:rsid w:val="002773EB"/>
    <w:rsid w:val="002808ED"/>
    <w:rsid w:val="00280B40"/>
    <w:rsid w:val="00286BDB"/>
    <w:rsid w:val="00291779"/>
    <w:rsid w:val="00295957"/>
    <w:rsid w:val="002A0353"/>
    <w:rsid w:val="002B28AE"/>
    <w:rsid w:val="002B3F3E"/>
    <w:rsid w:val="002B4C9B"/>
    <w:rsid w:val="002B63FF"/>
    <w:rsid w:val="002B7D79"/>
    <w:rsid w:val="002C0F08"/>
    <w:rsid w:val="002C1562"/>
    <w:rsid w:val="002D1D5E"/>
    <w:rsid w:val="002D4F61"/>
    <w:rsid w:val="002D688F"/>
    <w:rsid w:val="002E1F12"/>
    <w:rsid w:val="002E2622"/>
    <w:rsid w:val="002E5991"/>
    <w:rsid w:val="002F2551"/>
    <w:rsid w:val="002F770E"/>
    <w:rsid w:val="00304921"/>
    <w:rsid w:val="003075DF"/>
    <w:rsid w:val="0031347C"/>
    <w:rsid w:val="00317D9A"/>
    <w:rsid w:val="003306F0"/>
    <w:rsid w:val="00333397"/>
    <w:rsid w:val="0033728B"/>
    <w:rsid w:val="003477A2"/>
    <w:rsid w:val="00352031"/>
    <w:rsid w:val="00353FAC"/>
    <w:rsid w:val="003602A1"/>
    <w:rsid w:val="00363849"/>
    <w:rsid w:val="00383E4B"/>
    <w:rsid w:val="0039140E"/>
    <w:rsid w:val="003A67D1"/>
    <w:rsid w:val="003B094F"/>
    <w:rsid w:val="003B0AB8"/>
    <w:rsid w:val="003B3949"/>
    <w:rsid w:val="003B4231"/>
    <w:rsid w:val="003C1501"/>
    <w:rsid w:val="003D1B9A"/>
    <w:rsid w:val="003D3FDF"/>
    <w:rsid w:val="003D5D93"/>
    <w:rsid w:val="003E14AF"/>
    <w:rsid w:val="003E3F2D"/>
    <w:rsid w:val="003E70B0"/>
    <w:rsid w:val="003E74C5"/>
    <w:rsid w:val="003F05F7"/>
    <w:rsid w:val="003F4C73"/>
    <w:rsid w:val="003F6644"/>
    <w:rsid w:val="0040239F"/>
    <w:rsid w:val="004042EC"/>
    <w:rsid w:val="00411337"/>
    <w:rsid w:val="00413E5E"/>
    <w:rsid w:val="00416546"/>
    <w:rsid w:val="00416B70"/>
    <w:rsid w:val="0042248E"/>
    <w:rsid w:val="00423014"/>
    <w:rsid w:val="00434873"/>
    <w:rsid w:val="00436C15"/>
    <w:rsid w:val="00441440"/>
    <w:rsid w:val="00454333"/>
    <w:rsid w:val="004600EB"/>
    <w:rsid w:val="00461DA4"/>
    <w:rsid w:val="00466925"/>
    <w:rsid w:val="004669BF"/>
    <w:rsid w:val="00470D93"/>
    <w:rsid w:val="00477BE9"/>
    <w:rsid w:val="00487666"/>
    <w:rsid w:val="004876B8"/>
    <w:rsid w:val="00487819"/>
    <w:rsid w:val="004967D0"/>
    <w:rsid w:val="004A0C88"/>
    <w:rsid w:val="004A6CC1"/>
    <w:rsid w:val="004C0AF2"/>
    <w:rsid w:val="004C4478"/>
    <w:rsid w:val="004C478A"/>
    <w:rsid w:val="004D2146"/>
    <w:rsid w:val="004D21BE"/>
    <w:rsid w:val="004D7816"/>
    <w:rsid w:val="004E0ADE"/>
    <w:rsid w:val="004E3EE2"/>
    <w:rsid w:val="004E4383"/>
    <w:rsid w:val="004F54D3"/>
    <w:rsid w:val="004F5C8F"/>
    <w:rsid w:val="00500F71"/>
    <w:rsid w:val="0050281E"/>
    <w:rsid w:val="00504969"/>
    <w:rsid w:val="00515A38"/>
    <w:rsid w:val="00521AEA"/>
    <w:rsid w:val="00523BAA"/>
    <w:rsid w:val="00525CA0"/>
    <w:rsid w:val="005307E7"/>
    <w:rsid w:val="0053247E"/>
    <w:rsid w:val="00541741"/>
    <w:rsid w:val="00551518"/>
    <w:rsid w:val="005545DB"/>
    <w:rsid w:val="00556BAD"/>
    <w:rsid w:val="00560DAD"/>
    <w:rsid w:val="00564DAC"/>
    <w:rsid w:val="00577DFD"/>
    <w:rsid w:val="00580633"/>
    <w:rsid w:val="00580C7E"/>
    <w:rsid w:val="00596973"/>
    <w:rsid w:val="005A0483"/>
    <w:rsid w:val="005A0BCF"/>
    <w:rsid w:val="005A140E"/>
    <w:rsid w:val="005A1935"/>
    <w:rsid w:val="005A206F"/>
    <w:rsid w:val="005A620A"/>
    <w:rsid w:val="005B3E66"/>
    <w:rsid w:val="005B7101"/>
    <w:rsid w:val="005B7C65"/>
    <w:rsid w:val="005C290C"/>
    <w:rsid w:val="005C538C"/>
    <w:rsid w:val="005C5D58"/>
    <w:rsid w:val="005C7958"/>
    <w:rsid w:val="005C7CAC"/>
    <w:rsid w:val="005D05E2"/>
    <w:rsid w:val="005D338F"/>
    <w:rsid w:val="005D40BB"/>
    <w:rsid w:val="005E7EBC"/>
    <w:rsid w:val="005F10DD"/>
    <w:rsid w:val="0060069A"/>
    <w:rsid w:val="00602145"/>
    <w:rsid w:val="006056A2"/>
    <w:rsid w:val="00614325"/>
    <w:rsid w:val="00616C30"/>
    <w:rsid w:val="00616D82"/>
    <w:rsid w:val="00620580"/>
    <w:rsid w:val="006331A3"/>
    <w:rsid w:val="00635726"/>
    <w:rsid w:val="0064448C"/>
    <w:rsid w:val="00657520"/>
    <w:rsid w:val="00657ED7"/>
    <w:rsid w:val="00660F19"/>
    <w:rsid w:val="006628B6"/>
    <w:rsid w:val="006670B5"/>
    <w:rsid w:val="006700D3"/>
    <w:rsid w:val="00677CD8"/>
    <w:rsid w:val="00691573"/>
    <w:rsid w:val="006A1B70"/>
    <w:rsid w:val="006A237E"/>
    <w:rsid w:val="006B0751"/>
    <w:rsid w:val="006B1C24"/>
    <w:rsid w:val="006B4C28"/>
    <w:rsid w:val="006B793F"/>
    <w:rsid w:val="006C09C4"/>
    <w:rsid w:val="006D030D"/>
    <w:rsid w:val="006E0EAD"/>
    <w:rsid w:val="006E145D"/>
    <w:rsid w:val="006F49F6"/>
    <w:rsid w:val="006F750D"/>
    <w:rsid w:val="00701913"/>
    <w:rsid w:val="00702709"/>
    <w:rsid w:val="0071489E"/>
    <w:rsid w:val="0071644D"/>
    <w:rsid w:val="007172F0"/>
    <w:rsid w:val="00726783"/>
    <w:rsid w:val="00727AEE"/>
    <w:rsid w:val="007311D9"/>
    <w:rsid w:val="00731A5F"/>
    <w:rsid w:val="00740784"/>
    <w:rsid w:val="00741C56"/>
    <w:rsid w:val="007631B3"/>
    <w:rsid w:val="0076342D"/>
    <w:rsid w:val="00765E94"/>
    <w:rsid w:val="00766190"/>
    <w:rsid w:val="0077466E"/>
    <w:rsid w:val="007842BB"/>
    <w:rsid w:val="007A1FBE"/>
    <w:rsid w:val="007A6C95"/>
    <w:rsid w:val="007B502A"/>
    <w:rsid w:val="007B586D"/>
    <w:rsid w:val="007C1005"/>
    <w:rsid w:val="007C45F3"/>
    <w:rsid w:val="007D117B"/>
    <w:rsid w:val="007D14FA"/>
    <w:rsid w:val="007D20D2"/>
    <w:rsid w:val="007D6BCA"/>
    <w:rsid w:val="007D6FE6"/>
    <w:rsid w:val="007E16DC"/>
    <w:rsid w:val="007E6011"/>
    <w:rsid w:val="007F0164"/>
    <w:rsid w:val="007F4A60"/>
    <w:rsid w:val="00805E89"/>
    <w:rsid w:val="008068DB"/>
    <w:rsid w:val="0081271E"/>
    <w:rsid w:val="00814CB8"/>
    <w:rsid w:val="00826162"/>
    <w:rsid w:val="00847328"/>
    <w:rsid w:val="00850705"/>
    <w:rsid w:val="008526A6"/>
    <w:rsid w:val="0085591F"/>
    <w:rsid w:val="0086001E"/>
    <w:rsid w:val="00862985"/>
    <w:rsid w:val="00867658"/>
    <w:rsid w:val="0087065E"/>
    <w:rsid w:val="00873494"/>
    <w:rsid w:val="00880020"/>
    <w:rsid w:val="00882DB3"/>
    <w:rsid w:val="00884B72"/>
    <w:rsid w:val="0088637B"/>
    <w:rsid w:val="00886DCF"/>
    <w:rsid w:val="008922BC"/>
    <w:rsid w:val="008B0548"/>
    <w:rsid w:val="008B31AB"/>
    <w:rsid w:val="008B4357"/>
    <w:rsid w:val="008C65E6"/>
    <w:rsid w:val="008D2AD8"/>
    <w:rsid w:val="008D6710"/>
    <w:rsid w:val="008D6E5A"/>
    <w:rsid w:val="0090255F"/>
    <w:rsid w:val="00904CC0"/>
    <w:rsid w:val="00905CF4"/>
    <w:rsid w:val="009178BC"/>
    <w:rsid w:val="00924D59"/>
    <w:rsid w:val="00927E48"/>
    <w:rsid w:val="0093304A"/>
    <w:rsid w:val="00936133"/>
    <w:rsid w:val="009436BE"/>
    <w:rsid w:val="00944AB2"/>
    <w:rsid w:val="00956F14"/>
    <w:rsid w:val="0096080F"/>
    <w:rsid w:val="00961F87"/>
    <w:rsid w:val="0096701C"/>
    <w:rsid w:val="00986AEA"/>
    <w:rsid w:val="009A2FC4"/>
    <w:rsid w:val="009A4A5B"/>
    <w:rsid w:val="009B0610"/>
    <w:rsid w:val="009B192D"/>
    <w:rsid w:val="009B40B0"/>
    <w:rsid w:val="009C4957"/>
    <w:rsid w:val="009C52AF"/>
    <w:rsid w:val="009D12D9"/>
    <w:rsid w:val="009D161B"/>
    <w:rsid w:val="009D3DE2"/>
    <w:rsid w:val="009D54D6"/>
    <w:rsid w:val="009D74A0"/>
    <w:rsid w:val="009E373E"/>
    <w:rsid w:val="009E4266"/>
    <w:rsid w:val="009E4B86"/>
    <w:rsid w:val="009E5114"/>
    <w:rsid w:val="009F062A"/>
    <w:rsid w:val="009F06FC"/>
    <w:rsid w:val="009F0D49"/>
    <w:rsid w:val="009F35E5"/>
    <w:rsid w:val="009F4F95"/>
    <w:rsid w:val="009F6778"/>
    <w:rsid w:val="009F766E"/>
    <w:rsid w:val="00A06DBA"/>
    <w:rsid w:val="00A12D46"/>
    <w:rsid w:val="00A16492"/>
    <w:rsid w:val="00A24C3F"/>
    <w:rsid w:val="00A27652"/>
    <w:rsid w:val="00A31EF0"/>
    <w:rsid w:val="00A516A0"/>
    <w:rsid w:val="00A539D7"/>
    <w:rsid w:val="00A56719"/>
    <w:rsid w:val="00A5789C"/>
    <w:rsid w:val="00A67609"/>
    <w:rsid w:val="00A67DC4"/>
    <w:rsid w:val="00A740B7"/>
    <w:rsid w:val="00A75DC7"/>
    <w:rsid w:val="00A80D2D"/>
    <w:rsid w:val="00A824EA"/>
    <w:rsid w:val="00A85515"/>
    <w:rsid w:val="00A86277"/>
    <w:rsid w:val="00A920CA"/>
    <w:rsid w:val="00A9357B"/>
    <w:rsid w:val="00AA1555"/>
    <w:rsid w:val="00AB67D1"/>
    <w:rsid w:val="00AC299F"/>
    <w:rsid w:val="00AC66F8"/>
    <w:rsid w:val="00AD2A56"/>
    <w:rsid w:val="00AE04A5"/>
    <w:rsid w:val="00AE131C"/>
    <w:rsid w:val="00AE1D3A"/>
    <w:rsid w:val="00AF011C"/>
    <w:rsid w:val="00AF01E5"/>
    <w:rsid w:val="00AF2E13"/>
    <w:rsid w:val="00AF325D"/>
    <w:rsid w:val="00AF7324"/>
    <w:rsid w:val="00AF7DF0"/>
    <w:rsid w:val="00B06397"/>
    <w:rsid w:val="00B31C3E"/>
    <w:rsid w:val="00B35B2B"/>
    <w:rsid w:val="00B43722"/>
    <w:rsid w:val="00B44B01"/>
    <w:rsid w:val="00B506A4"/>
    <w:rsid w:val="00B51B9A"/>
    <w:rsid w:val="00B52C2C"/>
    <w:rsid w:val="00B52F21"/>
    <w:rsid w:val="00B534C2"/>
    <w:rsid w:val="00B55167"/>
    <w:rsid w:val="00B5761E"/>
    <w:rsid w:val="00B67BAE"/>
    <w:rsid w:val="00B84D7A"/>
    <w:rsid w:val="00B86DF3"/>
    <w:rsid w:val="00B970AA"/>
    <w:rsid w:val="00BA37D3"/>
    <w:rsid w:val="00BA3FB2"/>
    <w:rsid w:val="00BA71F3"/>
    <w:rsid w:val="00BB5CB2"/>
    <w:rsid w:val="00BD1A9E"/>
    <w:rsid w:val="00BD4BFF"/>
    <w:rsid w:val="00BE4ED7"/>
    <w:rsid w:val="00C11478"/>
    <w:rsid w:val="00C22EA6"/>
    <w:rsid w:val="00C327D0"/>
    <w:rsid w:val="00C32A18"/>
    <w:rsid w:val="00C33E97"/>
    <w:rsid w:val="00C5000E"/>
    <w:rsid w:val="00C5658B"/>
    <w:rsid w:val="00C56E0A"/>
    <w:rsid w:val="00C57B4E"/>
    <w:rsid w:val="00C6316E"/>
    <w:rsid w:val="00C63440"/>
    <w:rsid w:val="00C6789A"/>
    <w:rsid w:val="00C70804"/>
    <w:rsid w:val="00C72360"/>
    <w:rsid w:val="00C77C21"/>
    <w:rsid w:val="00C81A30"/>
    <w:rsid w:val="00C82769"/>
    <w:rsid w:val="00C83318"/>
    <w:rsid w:val="00CA597E"/>
    <w:rsid w:val="00CA7EC2"/>
    <w:rsid w:val="00CB1C25"/>
    <w:rsid w:val="00CB20E3"/>
    <w:rsid w:val="00CB40C4"/>
    <w:rsid w:val="00CB67E9"/>
    <w:rsid w:val="00CB6A15"/>
    <w:rsid w:val="00CC08B8"/>
    <w:rsid w:val="00CC3E22"/>
    <w:rsid w:val="00CE14CB"/>
    <w:rsid w:val="00CE32D3"/>
    <w:rsid w:val="00CE4B8F"/>
    <w:rsid w:val="00CE6F19"/>
    <w:rsid w:val="00CE72B9"/>
    <w:rsid w:val="00CF30F5"/>
    <w:rsid w:val="00CF4BA8"/>
    <w:rsid w:val="00D01FF4"/>
    <w:rsid w:val="00D1151F"/>
    <w:rsid w:val="00D13043"/>
    <w:rsid w:val="00D15612"/>
    <w:rsid w:val="00D15C7C"/>
    <w:rsid w:val="00D40A87"/>
    <w:rsid w:val="00D416AC"/>
    <w:rsid w:val="00D428AE"/>
    <w:rsid w:val="00D451E3"/>
    <w:rsid w:val="00D505EE"/>
    <w:rsid w:val="00D5178A"/>
    <w:rsid w:val="00D70D1F"/>
    <w:rsid w:val="00D771DE"/>
    <w:rsid w:val="00D777E8"/>
    <w:rsid w:val="00D955E5"/>
    <w:rsid w:val="00DA45A6"/>
    <w:rsid w:val="00DA5BAD"/>
    <w:rsid w:val="00DA6EA4"/>
    <w:rsid w:val="00DA713E"/>
    <w:rsid w:val="00DC2513"/>
    <w:rsid w:val="00DD73AA"/>
    <w:rsid w:val="00DD760B"/>
    <w:rsid w:val="00DE1DD0"/>
    <w:rsid w:val="00DF4CAF"/>
    <w:rsid w:val="00DF5C6F"/>
    <w:rsid w:val="00DF63BC"/>
    <w:rsid w:val="00E02396"/>
    <w:rsid w:val="00E068DD"/>
    <w:rsid w:val="00E07920"/>
    <w:rsid w:val="00E102BB"/>
    <w:rsid w:val="00E10D8C"/>
    <w:rsid w:val="00E11716"/>
    <w:rsid w:val="00E12262"/>
    <w:rsid w:val="00E165DD"/>
    <w:rsid w:val="00E17195"/>
    <w:rsid w:val="00E22BC9"/>
    <w:rsid w:val="00E232BE"/>
    <w:rsid w:val="00E25EA3"/>
    <w:rsid w:val="00E40FD6"/>
    <w:rsid w:val="00E632A4"/>
    <w:rsid w:val="00E65EC6"/>
    <w:rsid w:val="00E707B5"/>
    <w:rsid w:val="00E85C3B"/>
    <w:rsid w:val="00E920E2"/>
    <w:rsid w:val="00EA176A"/>
    <w:rsid w:val="00EB1631"/>
    <w:rsid w:val="00EB486C"/>
    <w:rsid w:val="00EB7FC8"/>
    <w:rsid w:val="00EC1604"/>
    <w:rsid w:val="00EC7994"/>
    <w:rsid w:val="00ED61C3"/>
    <w:rsid w:val="00EE5683"/>
    <w:rsid w:val="00EF1E05"/>
    <w:rsid w:val="00EF5C84"/>
    <w:rsid w:val="00F031E2"/>
    <w:rsid w:val="00F03CB8"/>
    <w:rsid w:val="00F1692F"/>
    <w:rsid w:val="00F17D05"/>
    <w:rsid w:val="00F24681"/>
    <w:rsid w:val="00F32B8A"/>
    <w:rsid w:val="00F3733E"/>
    <w:rsid w:val="00F434B2"/>
    <w:rsid w:val="00F452AD"/>
    <w:rsid w:val="00F463D1"/>
    <w:rsid w:val="00F51A97"/>
    <w:rsid w:val="00F5228B"/>
    <w:rsid w:val="00F55742"/>
    <w:rsid w:val="00F5675C"/>
    <w:rsid w:val="00F62B13"/>
    <w:rsid w:val="00F6304A"/>
    <w:rsid w:val="00F63526"/>
    <w:rsid w:val="00F6491E"/>
    <w:rsid w:val="00F7326C"/>
    <w:rsid w:val="00F80041"/>
    <w:rsid w:val="00F81CBD"/>
    <w:rsid w:val="00F83797"/>
    <w:rsid w:val="00F8615F"/>
    <w:rsid w:val="00F957A0"/>
    <w:rsid w:val="00F978DF"/>
    <w:rsid w:val="00FA2F86"/>
    <w:rsid w:val="00FA3BF1"/>
    <w:rsid w:val="00FA405E"/>
    <w:rsid w:val="00FB1A35"/>
    <w:rsid w:val="00FB2213"/>
    <w:rsid w:val="00FB25DA"/>
    <w:rsid w:val="00FD3E0D"/>
    <w:rsid w:val="00FE1E59"/>
    <w:rsid w:val="00FF040B"/>
    <w:rsid w:val="00FF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35B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31"/>
    <w:pPr>
      <w:spacing w:after="0" w:line="240" w:lineRule="auto"/>
    </w:pPr>
    <w:rPr>
      <w:rFonts w:ascii="Times New Roman" w:eastAsia="Calibri" w:hAnsi="Times New Roman" w:cs="Times New Roman"/>
      <w:szCs w:val="24"/>
      <w:lang w:val="lv-LV"/>
    </w:rPr>
  </w:style>
  <w:style w:type="paragraph" w:styleId="Heading2">
    <w:name w:val="heading 2"/>
    <w:basedOn w:val="Normal"/>
    <w:next w:val="Normal"/>
    <w:link w:val="Heading2Char"/>
    <w:semiHidden/>
    <w:unhideWhenUsed/>
    <w:qFormat/>
    <w:rsid w:val="003B423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B4231"/>
    <w:rPr>
      <w:rFonts w:ascii="Arial" w:eastAsia="Calibri" w:hAnsi="Arial" w:cs="Arial"/>
      <w:b/>
      <w:bCs/>
      <w:i/>
      <w:iCs/>
      <w:sz w:val="28"/>
      <w:szCs w:val="28"/>
      <w:lang w:val="lv-LV"/>
    </w:rPr>
  </w:style>
  <w:style w:type="paragraph" w:styleId="BodyText2">
    <w:name w:val="Body Text 2"/>
    <w:basedOn w:val="Normal"/>
    <w:link w:val="BodyText2Char"/>
    <w:semiHidden/>
    <w:unhideWhenUsed/>
    <w:rsid w:val="003B4231"/>
    <w:pPr>
      <w:jc w:val="right"/>
    </w:pPr>
    <w:rPr>
      <w:rFonts w:ascii="Garamond" w:hAnsi="Garamond"/>
      <w:sz w:val="28"/>
      <w:szCs w:val="28"/>
    </w:rPr>
  </w:style>
  <w:style w:type="character" w:customStyle="1" w:styleId="BodyText2Char">
    <w:name w:val="Body Text 2 Char"/>
    <w:basedOn w:val="DefaultParagraphFont"/>
    <w:link w:val="BodyText2"/>
    <w:semiHidden/>
    <w:rsid w:val="003B4231"/>
    <w:rPr>
      <w:rFonts w:ascii="Garamond" w:eastAsia="Calibri" w:hAnsi="Garamond" w:cs="Times New Roman"/>
      <w:sz w:val="28"/>
      <w:szCs w:val="28"/>
      <w:lang w:val="lv-LV"/>
    </w:rPr>
  </w:style>
  <w:style w:type="paragraph" w:styleId="ListParagraph">
    <w:name w:val="List Paragraph"/>
    <w:basedOn w:val="Normal"/>
    <w:uiPriority w:val="34"/>
    <w:qFormat/>
    <w:rsid w:val="00765E94"/>
    <w:pPr>
      <w:ind w:left="720"/>
      <w:contextualSpacing/>
    </w:pPr>
  </w:style>
  <w:style w:type="paragraph" w:styleId="Header">
    <w:name w:val="header"/>
    <w:basedOn w:val="Normal"/>
    <w:link w:val="HeaderChar"/>
    <w:uiPriority w:val="99"/>
    <w:unhideWhenUsed/>
    <w:rsid w:val="00FB25DA"/>
    <w:pPr>
      <w:tabs>
        <w:tab w:val="center" w:pos="4320"/>
        <w:tab w:val="right" w:pos="8640"/>
      </w:tabs>
    </w:pPr>
  </w:style>
  <w:style w:type="character" w:customStyle="1" w:styleId="HeaderChar">
    <w:name w:val="Header Char"/>
    <w:basedOn w:val="DefaultParagraphFont"/>
    <w:link w:val="Header"/>
    <w:uiPriority w:val="99"/>
    <w:rsid w:val="00FB25DA"/>
    <w:rPr>
      <w:rFonts w:ascii="Times New Roman" w:eastAsia="Calibri" w:hAnsi="Times New Roman" w:cs="Times New Roman"/>
      <w:szCs w:val="24"/>
      <w:lang w:val="lv-LV"/>
    </w:rPr>
  </w:style>
  <w:style w:type="paragraph" w:styleId="Footer">
    <w:name w:val="footer"/>
    <w:basedOn w:val="Normal"/>
    <w:link w:val="FooterChar"/>
    <w:uiPriority w:val="99"/>
    <w:unhideWhenUsed/>
    <w:rsid w:val="00FB25DA"/>
    <w:pPr>
      <w:tabs>
        <w:tab w:val="center" w:pos="4320"/>
        <w:tab w:val="right" w:pos="8640"/>
      </w:tabs>
    </w:pPr>
  </w:style>
  <w:style w:type="character" w:customStyle="1" w:styleId="FooterChar">
    <w:name w:val="Footer Char"/>
    <w:basedOn w:val="DefaultParagraphFont"/>
    <w:link w:val="Footer"/>
    <w:uiPriority w:val="99"/>
    <w:rsid w:val="00FB25DA"/>
    <w:rPr>
      <w:rFonts w:ascii="Times New Roman" w:eastAsia="Calibri" w:hAnsi="Times New Roman" w:cs="Times New Roman"/>
      <w:szCs w:val="24"/>
      <w:lang w:val="lv-LV"/>
    </w:rPr>
  </w:style>
  <w:style w:type="paragraph" w:styleId="BalloonText">
    <w:name w:val="Balloon Text"/>
    <w:basedOn w:val="Normal"/>
    <w:link w:val="BalloonTextChar"/>
    <w:uiPriority w:val="99"/>
    <w:semiHidden/>
    <w:unhideWhenUsed/>
    <w:rsid w:val="007D14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4FA"/>
    <w:rPr>
      <w:rFonts w:ascii="Segoe UI" w:eastAsia="Calibri" w:hAnsi="Segoe UI" w:cs="Segoe UI"/>
      <w:sz w:val="18"/>
      <w:szCs w:val="18"/>
      <w:lang w:val="lv-LV"/>
    </w:rPr>
  </w:style>
  <w:style w:type="character" w:styleId="Hyperlink">
    <w:name w:val="Hyperlink"/>
    <w:basedOn w:val="DefaultParagraphFont"/>
    <w:uiPriority w:val="99"/>
    <w:unhideWhenUsed/>
    <w:rsid w:val="004876B8"/>
    <w:rPr>
      <w:color w:val="0563C1" w:themeColor="hyperlink"/>
      <w:u w:val="single"/>
    </w:rPr>
  </w:style>
  <w:style w:type="character" w:styleId="UnresolvedMention">
    <w:name w:val="Unresolved Mention"/>
    <w:basedOn w:val="DefaultParagraphFont"/>
    <w:uiPriority w:val="99"/>
    <w:semiHidden/>
    <w:unhideWhenUsed/>
    <w:rsid w:val="00487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25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8139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3E2F8-6579-4A23-B2D1-E988E8FE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12778</Words>
  <Characters>7284</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2019-06-12T13:05:00Z</dcterms:created>
  <dcterms:modified xsi:type="dcterms:W3CDTF">2019-06-12T13:05:00Z</dcterms:modified>
</cp:coreProperties>
</file>