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78BC" w:rsidRPr="00540D55" w:rsidRDefault="00540D55" w:rsidP="00540D55">
      <w:pPr>
        <w:spacing w:line="276" w:lineRule="auto"/>
        <w:jc w:val="both"/>
        <w:rPr>
          <w:b/>
          <w:bCs/>
        </w:rPr>
      </w:pPr>
      <w:bookmarkStart w:id="0" w:name="_GoBack"/>
      <w:bookmarkEnd w:id="0"/>
      <w:r w:rsidRPr="00540D55">
        <w:rPr>
          <w:b/>
          <w:bCs/>
        </w:rPr>
        <w:t>Pašvaldības kapitālsabiedrības valdes loceklis atzīstams par valsts amatpersonu Krimināllikuma 316.panta izpratnē</w:t>
      </w:r>
    </w:p>
    <w:p w:rsidR="009178BC" w:rsidRDefault="009178BC" w:rsidP="009178BC">
      <w:pPr>
        <w:spacing w:line="276" w:lineRule="auto"/>
        <w:ind w:left="720" w:firstLine="720"/>
        <w:jc w:val="right"/>
      </w:pPr>
      <w:r>
        <w:t xml:space="preserve">    </w:t>
      </w:r>
      <w:r>
        <w:tab/>
      </w:r>
    </w:p>
    <w:p w:rsidR="007D14FA" w:rsidRDefault="009178BC" w:rsidP="009178BC">
      <w:pPr>
        <w:pStyle w:val="BodyText2"/>
        <w:spacing w:line="276" w:lineRule="auto"/>
        <w:ind w:left="2160" w:firstLine="720"/>
        <w:jc w:val="left"/>
        <w:rPr>
          <w:rFonts w:ascii="Times New Roman" w:hAnsi="Times New Roman"/>
          <w:color w:val="FFFFFF"/>
          <w:sz w:val="24"/>
          <w:szCs w:val="24"/>
        </w:rPr>
      </w:pPr>
      <w:r>
        <w:rPr>
          <w:rFonts w:ascii="Times New Roman" w:hAnsi="Times New Roman"/>
          <w:color w:val="FFFFFF"/>
          <w:sz w:val="24"/>
          <w:szCs w:val="24"/>
        </w:rPr>
        <w:t xml:space="preserve">            </w:t>
      </w:r>
    </w:p>
    <w:p w:rsidR="00540D55" w:rsidRPr="00540D55" w:rsidRDefault="00036346" w:rsidP="009178BC">
      <w:pPr>
        <w:spacing w:line="276" w:lineRule="auto"/>
        <w:jc w:val="center"/>
        <w:rPr>
          <w:b/>
        </w:rPr>
      </w:pPr>
      <w:r w:rsidRPr="00540D55">
        <w:rPr>
          <w:b/>
        </w:rPr>
        <w:t>La</w:t>
      </w:r>
      <w:r w:rsidR="006B1C24" w:rsidRPr="00540D55">
        <w:rPr>
          <w:b/>
        </w:rPr>
        <w:t>tvijas Republikas Senāt</w:t>
      </w:r>
      <w:r w:rsidR="00540D55" w:rsidRPr="00540D55">
        <w:rPr>
          <w:b/>
        </w:rPr>
        <w:t xml:space="preserve">a </w:t>
      </w:r>
    </w:p>
    <w:p w:rsidR="00540D55" w:rsidRPr="00540D55" w:rsidRDefault="00540D55" w:rsidP="009178BC">
      <w:pPr>
        <w:spacing w:line="276" w:lineRule="auto"/>
        <w:jc w:val="center"/>
        <w:rPr>
          <w:b/>
        </w:rPr>
      </w:pPr>
      <w:r w:rsidRPr="00540D55">
        <w:rPr>
          <w:b/>
        </w:rPr>
        <w:t>Krimināllietu departamenta</w:t>
      </w:r>
    </w:p>
    <w:p w:rsidR="00036346" w:rsidRPr="00540D55" w:rsidRDefault="00540D55" w:rsidP="009178BC">
      <w:pPr>
        <w:spacing w:line="276" w:lineRule="auto"/>
        <w:jc w:val="center"/>
        <w:rPr>
          <w:b/>
        </w:rPr>
      </w:pPr>
      <w:r w:rsidRPr="00540D55">
        <w:rPr>
          <w:b/>
        </w:rPr>
        <w:t>2019.gada 27.maija</w:t>
      </w:r>
    </w:p>
    <w:p w:rsidR="00540D55" w:rsidRPr="00540D55" w:rsidRDefault="00036346" w:rsidP="00036346">
      <w:pPr>
        <w:spacing w:line="276" w:lineRule="auto"/>
        <w:jc w:val="center"/>
        <w:rPr>
          <w:b/>
        </w:rPr>
      </w:pPr>
      <w:r w:rsidRPr="00540D55">
        <w:rPr>
          <w:b/>
        </w:rPr>
        <w:t>LĒMUMS</w:t>
      </w:r>
      <w:r w:rsidR="00540D55" w:rsidRPr="00540D55">
        <w:rPr>
          <w:b/>
        </w:rPr>
        <w:t xml:space="preserve"> </w:t>
      </w:r>
    </w:p>
    <w:p w:rsidR="00036346" w:rsidRPr="00540D55" w:rsidRDefault="00540D55" w:rsidP="00036346">
      <w:pPr>
        <w:spacing w:line="276" w:lineRule="auto"/>
        <w:jc w:val="center"/>
        <w:rPr>
          <w:b/>
        </w:rPr>
      </w:pPr>
      <w:r w:rsidRPr="00540D55">
        <w:rPr>
          <w:b/>
        </w:rPr>
        <w:t>Lieta Nr. 11514000216, SKK-80/2019</w:t>
      </w:r>
    </w:p>
    <w:p w:rsidR="00540D55" w:rsidRPr="00540D55" w:rsidRDefault="004F5EB8" w:rsidP="00036346">
      <w:pPr>
        <w:spacing w:line="276" w:lineRule="auto"/>
        <w:jc w:val="center"/>
        <w:rPr>
          <w:b/>
        </w:rPr>
      </w:pPr>
      <w:hyperlink r:id="rId8" w:history="1">
        <w:r w:rsidR="00540D55" w:rsidRPr="00540D55">
          <w:rPr>
            <w:rStyle w:val="Hyperlink"/>
            <w:shd w:val="clear" w:color="auto" w:fill="FFFFFF"/>
          </w:rPr>
          <w:t>ECLI:LV:AT:2019:0527.11514000216.3.L</w:t>
        </w:r>
      </w:hyperlink>
    </w:p>
    <w:p w:rsidR="00036346" w:rsidRDefault="00036346" w:rsidP="00036346">
      <w:pPr>
        <w:spacing w:line="276" w:lineRule="auto"/>
        <w:jc w:val="center"/>
      </w:pPr>
    </w:p>
    <w:p w:rsidR="00036346" w:rsidRDefault="00036346" w:rsidP="00036346">
      <w:pPr>
        <w:spacing w:line="276" w:lineRule="auto"/>
      </w:pPr>
    </w:p>
    <w:p w:rsidR="00036346" w:rsidRDefault="009178BC" w:rsidP="009178BC">
      <w:pPr>
        <w:spacing w:line="276" w:lineRule="auto"/>
        <w:ind w:firstLine="720"/>
        <w:jc w:val="both"/>
      </w:pPr>
      <w:r>
        <w:t>Tiesa šādā sastāvā: senatori</w:t>
      </w:r>
      <w:r w:rsidR="00036346">
        <w:t xml:space="preserve"> Pēteris Opincāns,</w:t>
      </w:r>
      <w:r>
        <w:t xml:space="preserve"> </w:t>
      </w:r>
      <w:r w:rsidR="00036346">
        <w:t>Artūrs Freibergs,</w:t>
      </w:r>
      <w:r>
        <w:t xml:space="preserve"> </w:t>
      </w:r>
      <w:r w:rsidR="00802DAE">
        <w:t xml:space="preserve">Pēteris </w:t>
      </w:r>
      <w:proofErr w:type="spellStart"/>
      <w:r w:rsidR="00802DAE">
        <w:t>Dzalbe</w:t>
      </w:r>
      <w:proofErr w:type="spellEnd"/>
    </w:p>
    <w:p w:rsidR="00036346" w:rsidRDefault="00036346" w:rsidP="00036346">
      <w:pPr>
        <w:tabs>
          <w:tab w:val="left" w:pos="567"/>
        </w:tabs>
        <w:spacing w:line="276" w:lineRule="auto"/>
        <w:jc w:val="both"/>
      </w:pPr>
      <w:r>
        <w:tab/>
      </w:r>
    </w:p>
    <w:p w:rsidR="00036346" w:rsidRDefault="00036346" w:rsidP="00036346">
      <w:pPr>
        <w:tabs>
          <w:tab w:val="left" w:pos="567"/>
        </w:tabs>
        <w:spacing w:line="276" w:lineRule="auto"/>
        <w:jc w:val="both"/>
      </w:pPr>
      <w:r>
        <w:t>izskatīja rakstveida procesā krimināllietu sakarā ar</w:t>
      </w:r>
      <w:r w:rsidRPr="00BE7A67">
        <w:t xml:space="preserve"> </w:t>
      </w:r>
      <w:r>
        <w:t xml:space="preserve">apsūdzētā </w:t>
      </w:r>
      <w:r w:rsidR="00540D55">
        <w:t>[pers. A]</w:t>
      </w:r>
      <w:r w:rsidR="00F84750">
        <w:t xml:space="preserve"> un viņa</w:t>
      </w:r>
      <w:r w:rsidR="00802DAE">
        <w:t xml:space="preserve"> aizstāvja Normunda Duļevska</w:t>
      </w:r>
      <w:r>
        <w:t xml:space="preserve"> kasācijas sūdzību par Rīgas apgabaltiesas 2018.gada </w:t>
      </w:r>
      <w:r w:rsidR="00802DAE">
        <w:t>13.septembra</w:t>
      </w:r>
      <w:r>
        <w:t xml:space="preserve"> </w:t>
      </w:r>
      <w:r w:rsidR="00516B58">
        <w:t>lēmumu</w:t>
      </w:r>
      <w:r>
        <w:t>.</w:t>
      </w:r>
    </w:p>
    <w:p w:rsidR="00036346" w:rsidRDefault="00036346" w:rsidP="00036346">
      <w:pPr>
        <w:pStyle w:val="Heading2"/>
        <w:spacing w:before="0" w:after="0" w:line="276"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036346" w:rsidRDefault="00036346" w:rsidP="00036346">
      <w:pPr>
        <w:pStyle w:val="Heading2"/>
        <w:spacing w:before="0" w:after="0" w:line="276" w:lineRule="auto"/>
        <w:ind w:left="-360"/>
        <w:jc w:val="center"/>
        <w:rPr>
          <w:rFonts w:ascii="Times New Roman" w:hAnsi="Times New Roman" w:cs="Times New Roman"/>
          <w:i w:val="0"/>
          <w:sz w:val="24"/>
          <w:szCs w:val="24"/>
        </w:rPr>
      </w:pPr>
      <w:r>
        <w:rPr>
          <w:rFonts w:ascii="Times New Roman" w:hAnsi="Times New Roman" w:cs="Times New Roman"/>
          <w:i w:val="0"/>
          <w:sz w:val="24"/>
          <w:szCs w:val="24"/>
        </w:rPr>
        <w:t>Aprakstošā daļa</w:t>
      </w:r>
    </w:p>
    <w:p w:rsidR="00036346" w:rsidRDefault="00036346" w:rsidP="00036346">
      <w:pPr>
        <w:spacing w:line="276" w:lineRule="auto"/>
        <w:jc w:val="both"/>
      </w:pPr>
    </w:p>
    <w:p w:rsidR="00036346" w:rsidRDefault="00036346" w:rsidP="00FE1E59">
      <w:pPr>
        <w:spacing w:line="276" w:lineRule="auto"/>
        <w:ind w:firstLine="709"/>
        <w:jc w:val="both"/>
      </w:pPr>
      <w:r>
        <w:t xml:space="preserve">[1] Ar </w:t>
      </w:r>
      <w:r w:rsidR="00802DAE">
        <w:t>Rīgas rajona</w:t>
      </w:r>
      <w:r>
        <w:t xml:space="preserve"> tiesas 201</w:t>
      </w:r>
      <w:r w:rsidR="00802DAE">
        <w:t>8</w:t>
      </w:r>
      <w:r>
        <w:t xml:space="preserve">.gada </w:t>
      </w:r>
      <w:r w:rsidR="00802DAE">
        <w:t>2.marta</w:t>
      </w:r>
      <w:r>
        <w:t xml:space="preserve"> spriedumu</w:t>
      </w:r>
    </w:p>
    <w:p w:rsidR="009C52AF" w:rsidRPr="00036346" w:rsidRDefault="00540D55" w:rsidP="00FE1E59">
      <w:pPr>
        <w:spacing w:line="276" w:lineRule="auto"/>
        <w:ind w:firstLine="709"/>
        <w:jc w:val="both"/>
      </w:pPr>
      <w:r>
        <w:t>[pers. A]</w:t>
      </w:r>
      <w:r w:rsidR="00036346">
        <w:t xml:space="preserve">, personas kods </w:t>
      </w:r>
      <w:r>
        <w:t>[..]</w:t>
      </w:r>
      <w:r w:rsidR="00036346">
        <w:t>,</w:t>
      </w:r>
    </w:p>
    <w:p w:rsidR="002773EB" w:rsidRDefault="00D505EE" w:rsidP="00FE1E59">
      <w:pPr>
        <w:spacing w:line="276" w:lineRule="auto"/>
        <w:ind w:firstLine="709"/>
        <w:jc w:val="both"/>
      </w:pPr>
      <w:r>
        <w:t xml:space="preserve">atzīts par </w:t>
      </w:r>
      <w:r w:rsidR="009F766E">
        <w:t>vain</w:t>
      </w:r>
      <w:r w:rsidR="00B84D7A">
        <w:t xml:space="preserve">īgu Krimināllikuma </w:t>
      </w:r>
      <w:r w:rsidR="00036346">
        <w:t>31</w:t>
      </w:r>
      <w:r w:rsidR="00802DAE">
        <w:t>8</w:t>
      </w:r>
      <w:r w:rsidR="00036346">
        <w:t xml:space="preserve">.panta otrajā daļā (likuma redakcijā līdz </w:t>
      </w:r>
      <w:r w:rsidR="00802DAE">
        <w:t>2013.gada 31.martam</w:t>
      </w:r>
      <w:r w:rsidR="00036346">
        <w:t xml:space="preserve">) </w:t>
      </w:r>
      <w:r w:rsidR="007D1ADD">
        <w:t>paredzētajā noziedzīgajā</w:t>
      </w:r>
      <w:r w:rsidR="00B84D7A">
        <w:t xml:space="preserve"> nodarījumā un sodīts</w:t>
      </w:r>
      <w:r w:rsidR="00036346">
        <w:t xml:space="preserve"> ar </w:t>
      </w:r>
      <w:r w:rsidR="00802DAE">
        <w:t xml:space="preserve">piespiedu darbu uz 200 stundām, atņemot tiesības ieņemt valdes locekļa vai priekšsēdētāja amatu valsts vai pašvaldību kapitālsabiedrībās uz 3 gadiem. </w:t>
      </w:r>
    </w:p>
    <w:p w:rsidR="00A16492" w:rsidRDefault="00A16492" w:rsidP="00FE1E59">
      <w:pPr>
        <w:spacing w:line="276" w:lineRule="auto"/>
        <w:ind w:firstLine="709"/>
        <w:jc w:val="both"/>
      </w:pPr>
      <w:r>
        <w:t xml:space="preserve">No </w:t>
      </w:r>
      <w:r w:rsidR="00540D55">
        <w:t>[pers. A]</w:t>
      </w:r>
      <w:r>
        <w:t xml:space="preserve"> </w:t>
      </w:r>
      <w:r w:rsidR="00540D55">
        <w:t>[..]</w:t>
      </w:r>
      <w:r w:rsidR="00802DAE">
        <w:t xml:space="preserve"> pilsētas domes</w:t>
      </w:r>
      <w:r>
        <w:t xml:space="preserve"> labā piedzīta materiālā kaitējuma kompensācija </w:t>
      </w:r>
      <w:r w:rsidR="00162021">
        <w:t>35 958,16</w:t>
      </w:r>
      <w:r>
        <w:t> </w:t>
      </w:r>
      <w:proofErr w:type="spellStart"/>
      <w:r w:rsidRPr="00A16492">
        <w:rPr>
          <w:i/>
        </w:rPr>
        <w:t>euro</w:t>
      </w:r>
      <w:proofErr w:type="spellEnd"/>
      <w:r>
        <w:t xml:space="preserve">. </w:t>
      </w:r>
    </w:p>
    <w:p w:rsidR="00551518" w:rsidRDefault="00551518" w:rsidP="00FE1E59">
      <w:pPr>
        <w:spacing w:line="276" w:lineRule="auto"/>
        <w:ind w:firstLine="709"/>
        <w:jc w:val="both"/>
      </w:pPr>
    </w:p>
    <w:p w:rsidR="00D955E5" w:rsidRDefault="00D955E5" w:rsidP="00FE1E59">
      <w:pPr>
        <w:spacing w:line="276" w:lineRule="auto"/>
        <w:ind w:firstLine="709"/>
        <w:jc w:val="both"/>
      </w:pPr>
      <w:r>
        <w:t xml:space="preserve">[2] </w:t>
      </w:r>
      <w:r w:rsidR="005C5D58">
        <w:rPr>
          <w:rFonts w:ascii="TimesNewRomanPSMT" w:hAnsi="TimesNewRomanPSMT" w:cs="TimesNewRomanPSMT"/>
          <w:lang w:eastAsia="lv-LV"/>
        </w:rPr>
        <w:t xml:space="preserve">Ar </w:t>
      </w:r>
      <w:r w:rsidR="00A85515">
        <w:rPr>
          <w:rFonts w:ascii="TimesNewRomanPSMT" w:hAnsi="TimesNewRomanPSMT" w:cs="TimesNewRomanPSMT"/>
          <w:lang w:eastAsia="lv-LV"/>
        </w:rPr>
        <w:t xml:space="preserve">Rīgas </w:t>
      </w:r>
      <w:r w:rsidR="00162021">
        <w:rPr>
          <w:rFonts w:ascii="TimesNewRomanPSMT" w:hAnsi="TimesNewRomanPSMT" w:cs="TimesNewRomanPSMT"/>
          <w:lang w:eastAsia="lv-LV"/>
        </w:rPr>
        <w:t>rajona tiesas</w:t>
      </w:r>
      <w:r w:rsidR="00551518">
        <w:rPr>
          <w:rFonts w:ascii="TimesNewRomanPSMT" w:hAnsi="TimesNewRomanPSMT" w:cs="TimesNewRomanPSMT"/>
          <w:lang w:eastAsia="lv-LV"/>
        </w:rPr>
        <w:t xml:space="preserve"> </w:t>
      </w:r>
      <w:r w:rsidR="00162021">
        <w:rPr>
          <w:rFonts w:ascii="TimesNewRomanPSMT" w:hAnsi="TimesNewRomanPSMT" w:cs="TimesNewRomanPSMT"/>
          <w:lang w:eastAsia="lv-LV"/>
        </w:rPr>
        <w:t>2018.gada 2.marta</w:t>
      </w:r>
      <w:r w:rsidR="00551518">
        <w:rPr>
          <w:rFonts w:ascii="TimesNewRomanPSMT" w:hAnsi="TimesNewRomanPSMT" w:cs="TimesNewRomanPSMT"/>
          <w:lang w:eastAsia="lv-LV"/>
        </w:rPr>
        <w:t xml:space="preserve"> spriedumu </w:t>
      </w:r>
      <w:r w:rsidR="00540D55">
        <w:rPr>
          <w:rFonts w:ascii="TimesNewRomanPSMT" w:hAnsi="TimesNewRomanPSMT" w:cs="TimesNewRomanPSMT"/>
          <w:lang w:eastAsia="lv-LV"/>
        </w:rPr>
        <w:t>[pers. A]</w:t>
      </w:r>
      <w:r w:rsidR="00551518">
        <w:rPr>
          <w:rFonts w:ascii="TimesNewRomanPSMT" w:hAnsi="TimesNewRomanPSMT" w:cs="TimesNewRomanPSMT"/>
          <w:lang w:eastAsia="lv-LV"/>
        </w:rPr>
        <w:t xml:space="preserve"> </w:t>
      </w:r>
      <w:r>
        <w:rPr>
          <w:rFonts w:ascii="TimesNewRomanPSMT" w:hAnsi="TimesNewRomanPSMT" w:cs="TimesNewRomanPSMT"/>
          <w:lang w:eastAsia="lv-LV"/>
        </w:rPr>
        <w:t xml:space="preserve">atzīts </w:t>
      </w:r>
      <w:r>
        <w:t>par vainīgu</w:t>
      </w:r>
      <w:r>
        <w:rPr>
          <w:rFonts w:ascii="TimesNewRomanPSMT" w:hAnsi="TimesNewRomanPSMT" w:cs="TimesNewRomanPSMT"/>
          <w:lang w:eastAsia="lv-LV"/>
        </w:rPr>
        <w:t xml:space="preserve"> un sodīts pēc Krimināllikuma </w:t>
      </w:r>
      <w:r w:rsidR="00162021">
        <w:t>318</w:t>
      </w:r>
      <w:r w:rsidR="00551518">
        <w:t>.panta otrās daļas</w:t>
      </w:r>
      <w:r>
        <w:rPr>
          <w:rFonts w:ascii="TimesNewRomanPSMT" w:hAnsi="TimesNewRomanPSMT" w:cs="TimesNewRomanPSMT"/>
          <w:lang w:eastAsia="lv-LV"/>
        </w:rPr>
        <w:t xml:space="preserve"> par to</w:t>
      </w:r>
      <w:r w:rsidR="00551518">
        <w:t xml:space="preserve">, </w:t>
      </w:r>
      <w:r w:rsidR="00551518" w:rsidRPr="00551518">
        <w:t>ka</w:t>
      </w:r>
      <w:r w:rsidR="00551518">
        <w:t xml:space="preserve"> viņš</w:t>
      </w:r>
      <w:r w:rsidR="000005EC">
        <w:t>,</w:t>
      </w:r>
      <w:r w:rsidR="0031347C">
        <w:t xml:space="preserve"> būdams valsts amatpersona,</w:t>
      </w:r>
      <w:r w:rsidR="00551518" w:rsidRPr="00551518">
        <w:t xml:space="preserve"> </w:t>
      </w:r>
      <w:r w:rsidR="00162021">
        <w:t xml:space="preserve">ļaunprātīgi izmantojot dienesta stāvokli, izdarīja tīšas darbības, kas izraisīja smagas sekas. </w:t>
      </w:r>
    </w:p>
    <w:p w:rsidR="00100291" w:rsidRPr="006A1B70" w:rsidRDefault="00100291" w:rsidP="00FE1E59">
      <w:pPr>
        <w:spacing w:line="276" w:lineRule="auto"/>
        <w:ind w:firstLine="709"/>
        <w:jc w:val="both"/>
      </w:pPr>
    </w:p>
    <w:p w:rsidR="00100291" w:rsidRDefault="007172F0" w:rsidP="00162021">
      <w:pPr>
        <w:spacing w:line="276" w:lineRule="auto"/>
        <w:ind w:firstLine="709"/>
        <w:jc w:val="both"/>
        <w:rPr>
          <w:rFonts w:ascii="TimesNewRomanPSMT" w:hAnsi="TimesNewRomanPSMT" w:cs="TimesNewRomanPSMT"/>
          <w:lang w:eastAsia="lv-LV"/>
        </w:rPr>
      </w:pPr>
      <w:r>
        <w:t>[</w:t>
      </w:r>
      <w:r w:rsidR="00B86DF3">
        <w:t>3</w:t>
      </w:r>
      <w:r w:rsidR="00D5178A">
        <w:t>]</w:t>
      </w:r>
      <w:r w:rsidR="00006F66">
        <w:t> </w:t>
      </w:r>
      <w:r w:rsidR="001B0961">
        <w:t>Ar</w:t>
      </w:r>
      <w:r w:rsidR="00006F66">
        <w:t xml:space="preserve"> </w:t>
      </w:r>
      <w:r w:rsidR="00100291">
        <w:t>Rīgas</w:t>
      </w:r>
      <w:r w:rsidR="001B0961">
        <w:t xml:space="preserve"> apgabaltiesas 2018.gada </w:t>
      </w:r>
      <w:r w:rsidR="00162021">
        <w:t>13.septembra</w:t>
      </w:r>
      <w:r w:rsidR="00551518">
        <w:t xml:space="preserve"> </w:t>
      </w:r>
      <w:r w:rsidR="00162021">
        <w:t>lēmumu</w:t>
      </w:r>
      <w:r w:rsidR="001B0961">
        <w:t xml:space="preserve"> </w:t>
      </w:r>
      <w:r w:rsidR="00551518">
        <w:t xml:space="preserve">Rīgas </w:t>
      </w:r>
      <w:r w:rsidR="00162021">
        <w:t>rajona tiesas 2018.gada 2.marta</w:t>
      </w:r>
      <w:r w:rsidR="00461DA4">
        <w:t xml:space="preserve"> </w:t>
      </w:r>
      <w:r w:rsidR="00100291">
        <w:t>spriedums</w:t>
      </w:r>
      <w:r w:rsidR="00461DA4">
        <w:rPr>
          <w:rFonts w:ascii="TimesNewRomanPSMT" w:hAnsi="TimesNewRomanPSMT" w:cs="TimesNewRomanPSMT"/>
          <w:lang w:eastAsia="lv-LV"/>
        </w:rPr>
        <w:t xml:space="preserve"> </w:t>
      </w:r>
      <w:r w:rsidR="00162021">
        <w:rPr>
          <w:rFonts w:ascii="TimesNewRomanPSMT" w:hAnsi="TimesNewRomanPSMT" w:cs="TimesNewRomanPSMT"/>
          <w:lang w:eastAsia="lv-LV"/>
        </w:rPr>
        <w:t xml:space="preserve">atstāts negrozīts. </w:t>
      </w:r>
    </w:p>
    <w:p w:rsidR="00100291" w:rsidRPr="00100291" w:rsidRDefault="00100291" w:rsidP="00FE1E59">
      <w:pPr>
        <w:spacing w:line="276" w:lineRule="auto"/>
        <w:ind w:firstLine="709"/>
        <w:jc w:val="both"/>
      </w:pPr>
    </w:p>
    <w:p w:rsidR="008174CE" w:rsidRPr="00483C48" w:rsidRDefault="00BA3FB2" w:rsidP="008174CE">
      <w:pPr>
        <w:spacing w:line="276" w:lineRule="auto"/>
        <w:ind w:firstLine="709"/>
        <w:jc w:val="both"/>
        <w:rPr>
          <w:lang w:eastAsia="lv-LV"/>
        </w:rPr>
      </w:pPr>
      <w:r>
        <w:t>[4]</w:t>
      </w:r>
      <w:r w:rsidR="00C5000E">
        <w:t xml:space="preserve"> </w:t>
      </w:r>
      <w:r w:rsidR="00F84750">
        <w:rPr>
          <w:lang w:eastAsia="lv-LV"/>
        </w:rPr>
        <w:t>Apsūdzētais</w:t>
      </w:r>
      <w:r w:rsidR="008174CE" w:rsidRPr="00483C48">
        <w:rPr>
          <w:lang w:eastAsia="lv-LV"/>
        </w:rPr>
        <w:t xml:space="preserve"> </w:t>
      </w:r>
      <w:r w:rsidR="00540D55">
        <w:rPr>
          <w:lang w:eastAsia="lv-LV"/>
        </w:rPr>
        <w:t>[pers. A]</w:t>
      </w:r>
      <w:r w:rsidR="00F84750">
        <w:rPr>
          <w:lang w:eastAsia="lv-LV"/>
        </w:rPr>
        <w:t xml:space="preserve"> un viņa</w:t>
      </w:r>
      <w:r w:rsidR="008174CE">
        <w:rPr>
          <w:lang w:eastAsia="lv-LV"/>
        </w:rPr>
        <w:t xml:space="preserve"> </w:t>
      </w:r>
      <w:r w:rsidR="008174CE" w:rsidRPr="00483C48">
        <w:rPr>
          <w:lang w:eastAsia="lv-LV"/>
        </w:rPr>
        <w:t xml:space="preserve">aizstāvis </w:t>
      </w:r>
      <w:r w:rsidR="008174CE">
        <w:rPr>
          <w:lang w:eastAsia="lv-LV"/>
        </w:rPr>
        <w:t xml:space="preserve">N. Duļevskis </w:t>
      </w:r>
      <w:r w:rsidR="008174CE" w:rsidRPr="00483C48">
        <w:rPr>
          <w:lang w:eastAsia="lv-LV"/>
        </w:rPr>
        <w:t xml:space="preserve">par Rīgas apgabaltiesas 2018.gada </w:t>
      </w:r>
      <w:r w:rsidR="008174CE">
        <w:rPr>
          <w:lang w:eastAsia="lv-LV"/>
        </w:rPr>
        <w:t>13.septembra</w:t>
      </w:r>
      <w:r w:rsidR="008174CE" w:rsidRPr="00483C48">
        <w:rPr>
          <w:lang w:eastAsia="lv-LV"/>
        </w:rPr>
        <w:t xml:space="preserve"> </w:t>
      </w:r>
      <w:r w:rsidR="008174CE">
        <w:rPr>
          <w:lang w:eastAsia="lv-LV"/>
        </w:rPr>
        <w:t>lēmumu</w:t>
      </w:r>
      <w:r w:rsidR="00F84750">
        <w:rPr>
          <w:lang w:eastAsia="lv-LV"/>
        </w:rPr>
        <w:t xml:space="preserve"> iesnieguši</w:t>
      </w:r>
      <w:r w:rsidR="008174CE" w:rsidRPr="00483C48">
        <w:rPr>
          <w:lang w:eastAsia="lv-LV"/>
        </w:rPr>
        <w:t xml:space="preserve"> kasācijas sūdzību, kurā </w:t>
      </w:r>
      <w:r w:rsidR="007D1ADD">
        <w:rPr>
          <w:lang w:eastAsia="lv-LV"/>
        </w:rPr>
        <w:t xml:space="preserve">lūdz </w:t>
      </w:r>
      <w:r w:rsidR="008174CE" w:rsidRPr="00C9434C">
        <w:t xml:space="preserve">atcelt apelācijas instances tiesas </w:t>
      </w:r>
      <w:r w:rsidR="00162021">
        <w:t>lēmumu</w:t>
      </w:r>
      <w:r w:rsidR="008174CE" w:rsidRPr="00C9434C">
        <w:t xml:space="preserve"> un nosūtīt lietu jaunai izskatīšanai apelācijas instances tiesā.</w:t>
      </w:r>
    </w:p>
    <w:p w:rsidR="008174CE" w:rsidRPr="00483C48" w:rsidRDefault="00993C57" w:rsidP="008174CE">
      <w:pPr>
        <w:spacing w:line="276" w:lineRule="auto"/>
        <w:ind w:firstLine="709"/>
        <w:jc w:val="both"/>
        <w:rPr>
          <w:lang w:eastAsia="lv-LV"/>
        </w:rPr>
      </w:pPr>
      <w:r>
        <w:rPr>
          <w:lang w:eastAsia="lv-LV"/>
        </w:rPr>
        <w:t>Sūdzība pamatota</w:t>
      </w:r>
      <w:r w:rsidR="008174CE" w:rsidRPr="00483C48">
        <w:rPr>
          <w:lang w:eastAsia="lv-LV"/>
        </w:rPr>
        <w:t xml:space="preserve"> ar šādiem argumentiem. </w:t>
      </w:r>
    </w:p>
    <w:p w:rsidR="0014388B" w:rsidRDefault="008174CE" w:rsidP="008174CE">
      <w:pPr>
        <w:spacing w:line="276" w:lineRule="auto"/>
        <w:ind w:firstLine="709"/>
        <w:jc w:val="both"/>
      </w:pPr>
      <w:r>
        <w:t>[4.1] </w:t>
      </w:r>
      <w:r w:rsidR="00162021">
        <w:t>Likums „Par valsts un pašvaldību institūciju amatpersonu un darbinieku atlīdzību 2009.gadā” neattiecas uz SIA „</w:t>
      </w:r>
      <w:r w:rsidR="00540D55">
        <w:t>[Nosaukums]</w:t>
      </w:r>
      <w:r w:rsidR="00162021">
        <w:t xml:space="preserve">”. Likums tika pieņemts Saeimā 2008.gada 12.decembrī steidzamības kārtībā. Saeimas sēdē finanšu ministrs norādījis, ka „šis lēmums vienlīdz skar visus valsts pārvaldē strādājošos un tos, kas tiek finansēti no budžeta”. </w:t>
      </w:r>
      <w:r w:rsidR="00D30FE1">
        <w:t>Likumprojekta anotācijā norādīts, ka „</w:t>
      </w:r>
      <w:r w:rsidR="00C931BE">
        <w:t>l</w:t>
      </w:r>
      <w:r w:rsidR="00D30FE1">
        <w:t xml:space="preserve">ikumprojekts paredz būtiskus ierobežojumus valsts un </w:t>
      </w:r>
      <w:r w:rsidR="00D30FE1">
        <w:lastRenderedPageBreak/>
        <w:t>pašvaldību budžeta finansēto institūciju amatpersonu un darbinieku atlīdzības noteikšanā 2009.gadā”. SIA „</w:t>
      </w:r>
      <w:r w:rsidR="00540D55">
        <w:t>[Nosaukums]</w:t>
      </w:r>
      <w:r w:rsidR="00D30FE1">
        <w:t>” 2009.gadā nebija no valsts vai pašvaldības budžeta finansēta institūcija. Tādēļ šis likums uz SIA „</w:t>
      </w:r>
      <w:r w:rsidR="00540D55">
        <w:t>[Nosaukums]</w:t>
      </w:r>
      <w:r w:rsidR="00155B0E">
        <w:t>” nav attiecināms</w:t>
      </w:r>
      <w:r w:rsidR="00D30FE1">
        <w:t xml:space="preserve">. </w:t>
      </w:r>
      <w:r w:rsidR="00540D55">
        <w:t>[Pers. A]</w:t>
      </w:r>
      <w:r w:rsidR="00D30FE1">
        <w:t>, dzirdot finanšu ministra Saeimas sēdē norādīto, nebija pamata uzskatīt, ka likumprojekts attieksies arī uz SIA „</w:t>
      </w:r>
      <w:r w:rsidR="00540D55">
        <w:t>[Nosaukums]</w:t>
      </w:r>
      <w:r w:rsidR="00D30FE1">
        <w:t xml:space="preserve">”. </w:t>
      </w:r>
    </w:p>
    <w:p w:rsidR="003403BE" w:rsidRDefault="003403BE" w:rsidP="008174CE">
      <w:pPr>
        <w:spacing w:line="276" w:lineRule="auto"/>
        <w:ind w:firstLine="709"/>
        <w:jc w:val="both"/>
      </w:pPr>
      <w:r>
        <w:t>[4.2] Apsūdzībā Darba likuma pārkāpumi nav norādīti. Krim</w:t>
      </w:r>
      <w:r w:rsidR="00155B0E">
        <w:t>ināllikuma 3</w:t>
      </w:r>
      <w:r>
        <w:t xml:space="preserve">18.pantā paredzētais noziedzīgais nodarījums var tikt izdarīts tīši, pārkāpjot noteikto kārtību. </w:t>
      </w:r>
      <w:r w:rsidR="003C1C58">
        <w:t xml:space="preserve">Apsūdzībā nav norādīts, ka </w:t>
      </w:r>
      <w:r w:rsidR="00540D55">
        <w:t>[pers. A]</w:t>
      </w:r>
      <w:r w:rsidR="003C1C58">
        <w:t xml:space="preserve"> apzinājās, ka izmaksā prēmijas vai maksājuma izdarīšana ir prettiesiska. </w:t>
      </w:r>
      <w:r w:rsidR="00543912">
        <w:t xml:space="preserve">Parakstot rīkojumu par piemaksu izmaksu, </w:t>
      </w:r>
      <w:r w:rsidR="00540D55">
        <w:t>[pers. A]</w:t>
      </w:r>
      <w:r w:rsidR="00543912">
        <w:t xml:space="preserve"> apzinājās, ka izmaksā piemaksas. Lietā nav iegūti pretēji pierādījumi</w:t>
      </w:r>
      <w:r w:rsidR="00EC5B7E">
        <w:t xml:space="preserve">. Ja piemaksu izmaksa būtu aizliegta, tad </w:t>
      </w:r>
      <w:r w:rsidR="00540D55">
        <w:t>[pers. A]</w:t>
      </w:r>
      <w:r w:rsidR="00EC5B7E">
        <w:t xml:space="preserve"> subjektīvā attieksme pret to varētu būt arī ļaunprātīga.</w:t>
      </w:r>
      <w:r w:rsidR="00533B12">
        <w:t xml:space="preserve"> Lietā nav ziņu, ka </w:t>
      </w:r>
      <w:r w:rsidR="00540D55">
        <w:t>[pers. A]</w:t>
      </w:r>
      <w:r w:rsidR="00533B12">
        <w:t xml:space="preserve"> būtu apzinājies un varējis apzināties, ka piemaksu izmaksa var tikt atzīta par prēmiju izmaksu. Piemaksu atzīšana par prēmijām ir tiesību jautājums, nevis attieksmes jautājums. </w:t>
      </w:r>
    </w:p>
    <w:p w:rsidR="001C14C7" w:rsidRDefault="001C14C7" w:rsidP="008174CE">
      <w:pPr>
        <w:spacing w:line="276" w:lineRule="auto"/>
        <w:ind w:firstLine="709"/>
        <w:jc w:val="both"/>
      </w:pPr>
      <w:r>
        <w:t>Likumam un tiesību normām jābūt gan pietiekami paredzamiem, gan saprotamiem (</w:t>
      </w:r>
      <w:r w:rsidRPr="00C87FAB">
        <w:rPr>
          <w:i/>
        </w:rPr>
        <w:t>sk. </w:t>
      </w:r>
      <w:proofErr w:type="spellStart"/>
      <w:r w:rsidR="00C87FAB" w:rsidRPr="00C87FAB">
        <w:rPr>
          <w:i/>
        </w:rPr>
        <w:t>Liholaja</w:t>
      </w:r>
      <w:proofErr w:type="spellEnd"/>
      <w:r w:rsidR="00C87FAB" w:rsidRPr="00C87FAB">
        <w:rPr>
          <w:i/>
        </w:rPr>
        <w:t xml:space="preserve"> V. Par valsts amatpersonas jēdzienu Krimināllikuma 316.panta pirmās daļas izpratnē. Jurista Vārds, 20.03.2018., Nr. 12</w:t>
      </w:r>
      <w:r>
        <w:t>)</w:t>
      </w:r>
      <w:r w:rsidR="00C87FAB">
        <w:t xml:space="preserve">. </w:t>
      </w:r>
      <w:r w:rsidR="00155B0E">
        <w:t>Tiesiskais regulējums apsūdzībā norādītajā laikā nebija pietiekami paredzams un</w:t>
      </w:r>
      <w:r w:rsidR="00C81601">
        <w:t xml:space="preserve"> saprotams. </w:t>
      </w:r>
      <w:r w:rsidR="00045319">
        <w:t xml:space="preserve">Apelācijas instances tiesas lēmums nesatur Krimināllikuma 9.panta prasībām atbilstošu vērtējumu par to, vai un kāpēc </w:t>
      </w:r>
      <w:r w:rsidR="00540D55">
        <w:t>[pers. A]</w:t>
      </w:r>
      <w:r w:rsidR="00045319">
        <w:t xml:space="preserve"> inkriminētās darbības izdarītas ar tiešu vai netiešu nodomu. </w:t>
      </w:r>
      <w:r w:rsidR="00203E1C">
        <w:t xml:space="preserve">Līdz ar to tiesa pieļāvusi Kriminālprocesa likuma 574.panta 1.punktā norādīto Krimināllikuma pārkāpumu. </w:t>
      </w:r>
    </w:p>
    <w:p w:rsidR="00782729" w:rsidRDefault="00782729" w:rsidP="008174CE">
      <w:pPr>
        <w:spacing w:line="276" w:lineRule="auto"/>
        <w:ind w:firstLine="709"/>
        <w:jc w:val="both"/>
      </w:pPr>
      <w:r>
        <w:t>[4.3] </w:t>
      </w:r>
      <w:r w:rsidR="00223FFD">
        <w:t>Prasījuma tiesības ir tikai uzņēmumam, ja tam nodarīti zaudējumi, nevis uzņēmuma kapitāla daļu īpašniekam par uzņēmumam iespējami nodarītiem zaudējumiem. Atbilstoši Darba likuma 78.panta trešajai daļai kapitāla daļu turētājs varēja</w:t>
      </w:r>
      <w:r w:rsidR="00155B0E">
        <w:t xml:space="preserve"> uzdot</w:t>
      </w:r>
      <w:r w:rsidR="00223FFD">
        <w:t xml:space="preserve"> un SIA „</w:t>
      </w:r>
      <w:r w:rsidR="00540D55">
        <w:t>[Nosaukums]</w:t>
      </w:r>
      <w:r w:rsidR="00223FFD">
        <w:t xml:space="preserve">” 2 gadu termiņā varēja uzdot darbiniekiem atmaksāt nepamatoti saņemtos maksājumus, tādējādi novēršot jebkādus zaudējumus. Atbilstoši Civillikuma 1776.pantam cietušajam nav tiesību prasīt tādu zaudējumu atlīdzību, ja pats cietušais tos varēja novērst. </w:t>
      </w:r>
      <w:r w:rsidR="00540D55">
        <w:t>[Pilsētas]</w:t>
      </w:r>
      <w:r w:rsidR="006B0E01">
        <w:t xml:space="preserve"> dome varēja novērst zaudējumus, tādēļ nevar prasīt kaitējuma kompensāciju no </w:t>
      </w:r>
      <w:r w:rsidR="00540D55">
        <w:t>[pers. A]</w:t>
      </w:r>
      <w:r w:rsidR="006B0E01">
        <w:t xml:space="preserve">. </w:t>
      </w:r>
      <w:r w:rsidR="00666B3D">
        <w:t>Turklāt kaitējuma kompensācijā iekļauti tādi nodokļu maksājumi, piemēram, iedzīvotāju ienākuma nodoklis, ko inkriminētā noziedzīgā nodarījuma rezultātā saņēma pats cietušais. Atbilstoši Krimināllikuma 70.</w:t>
      </w:r>
      <w:r w:rsidR="00666B3D" w:rsidRPr="00666B3D">
        <w:rPr>
          <w:vertAlign w:val="superscript"/>
        </w:rPr>
        <w:t>11</w:t>
      </w:r>
      <w:r w:rsidR="00666B3D">
        <w:t>pantam šī summa jāatdod īpašniekam – SIA „</w:t>
      </w:r>
      <w:r w:rsidR="005A0138">
        <w:t>[Nosaukums]</w:t>
      </w:r>
      <w:r w:rsidR="00666B3D">
        <w:t>”, un par</w:t>
      </w:r>
      <w:r w:rsidR="00B829ED">
        <w:t xml:space="preserve"> šo summu jāsamazina iespējamā kaitējuma summa</w:t>
      </w:r>
      <w:r w:rsidR="00666B3D">
        <w:t xml:space="preserve">. </w:t>
      </w:r>
    </w:p>
    <w:p w:rsidR="008174CE" w:rsidRDefault="005F5D07" w:rsidP="002C21AF">
      <w:pPr>
        <w:spacing w:line="276" w:lineRule="auto"/>
        <w:ind w:firstLine="709"/>
        <w:jc w:val="both"/>
      </w:pPr>
      <w:r>
        <w:t xml:space="preserve">Jāņem vērā, ka cietušais </w:t>
      </w:r>
      <w:r w:rsidR="00103859">
        <w:t xml:space="preserve">2010.gada augustā </w:t>
      </w:r>
      <w:r>
        <w:t>uzdeva piemaksas iekļaut algā, ko tā brīža valdes loceklis izdarīja, lai gan 2010.gadā bija spēkā aizliegums izmaksā</w:t>
      </w:r>
      <w:r w:rsidR="00177349">
        <w:t>t piemaksas un</w:t>
      </w:r>
      <w:r w:rsidR="00155B0E">
        <w:t xml:space="preserve"> prēmijas, kā arī</w:t>
      </w:r>
      <w:r>
        <w:t xml:space="preserve"> palielināt darba algas. </w:t>
      </w:r>
      <w:r w:rsidR="002C21AF">
        <w:t xml:space="preserve">Cietušā faktiskā rīcība apliecina, ka zaudējumi netika nodarīti. </w:t>
      </w:r>
    </w:p>
    <w:p w:rsidR="005159CD" w:rsidRDefault="0048486E" w:rsidP="005159CD">
      <w:pPr>
        <w:spacing w:line="276" w:lineRule="auto"/>
        <w:ind w:firstLine="709"/>
        <w:jc w:val="both"/>
      </w:pPr>
      <w:r>
        <w:t>[4.4] </w:t>
      </w:r>
      <w:r w:rsidR="00155B0E">
        <w:t>Sūdzības iesniedzēji atsaucas</w:t>
      </w:r>
      <w:r w:rsidR="00276CB4">
        <w:t xml:space="preserve"> </w:t>
      </w:r>
      <w:r w:rsidR="005159CD">
        <w:t xml:space="preserve">uz </w:t>
      </w:r>
      <w:r w:rsidR="00155B0E">
        <w:t>Augstākās tiesas tiesu prakses apkopojumu „Tiesu prakse krimināllietās par valsts amatpersonu un uzņēmumu (uzņēmējsabiedrību) vai organizāciju atbildīgo darbinieku izdarītiem noziedzīgiem nodarījumiem (2002.-2003.)”,</w:t>
      </w:r>
      <w:r w:rsidR="005159CD">
        <w:t xml:space="preserve"> kur norādīts, ka atbilstoši Krimināllikumam, valsts amatpersonas jē</w:t>
      </w:r>
      <w:r w:rsidR="0016669A">
        <w:t>dziens jānorobežo no uzņēmuma (</w:t>
      </w:r>
      <w:r w:rsidR="005159CD">
        <w:t>uzņēmējsabiedrības) vai organizācijas atbildīga darbinieka izpratnes – ja dienesta pilnvaru pārsniegšanu, dienesta stāvokļa ļaunprātīgu izmantošanu vai nolaidību veic uzņēmuma (uzņēmējsabiedrības) vai organizācijas atbildīgs darbinieks, kuram nepiemīt valsts amatpersonas statuss, nodarījums kvalificējams atbilstoši Krimināllikuma 196., 197.pant</w:t>
      </w:r>
      <w:r w:rsidR="0016669A">
        <w:t>am</w:t>
      </w:r>
      <w:r w:rsidR="005159CD">
        <w:t xml:space="preserve"> kā noziedzī</w:t>
      </w:r>
      <w:r w:rsidR="0016669A">
        <w:t>gs nodarījums tautsaimniecībā (</w:t>
      </w:r>
      <w:r w:rsidR="005159CD">
        <w:t>privātajā sektorā).</w:t>
      </w:r>
    </w:p>
    <w:p w:rsidR="00E3202A" w:rsidRDefault="003C7260" w:rsidP="00E3202A">
      <w:pPr>
        <w:spacing w:line="276" w:lineRule="auto"/>
        <w:ind w:firstLine="709"/>
        <w:jc w:val="both"/>
      </w:pPr>
      <w:r>
        <w:lastRenderedPageBreak/>
        <w:t>Ar 2013.gada grozījumiem</w:t>
      </w:r>
      <w:r w:rsidR="00C66C5B">
        <w:t xml:space="preserve"> Krimināllikuma 316.pantā noteikts, ka valsts amatpersonu lokā var būt arī valsts vai pašvaldību kapitālsabiedrību valdes locekļi. Tomēr, ņemot vērā apdraudējuma objektu, šādu nodarījumu nav iespējams kvalificēt pēc Krimināllikuma XXIV nodaļas panta, ja valdes loceklim nav to pazīmju, kas raksturīgas amatpersonai un nodarījums ir noticis ārpus publisko tiesību jomas. </w:t>
      </w:r>
    </w:p>
    <w:p w:rsidR="003C7260" w:rsidRDefault="00F75DBF" w:rsidP="00F32916">
      <w:pPr>
        <w:spacing w:line="276" w:lineRule="auto"/>
        <w:ind w:firstLine="709"/>
        <w:jc w:val="both"/>
      </w:pPr>
      <w:r>
        <w:t xml:space="preserve">[4.5] </w:t>
      </w:r>
      <w:r w:rsidR="003C7260">
        <w:t>Sūdzības autori</w:t>
      </w:r>
      <w:r w:rsidR="00E3202A">
        <w:t xml:space="preserve"> uzskata, ka Kr</w:t>
      </w:r>
      <w:r w:rsidR="003C7260">
        <w:t>imināllikuma 316.panta izpratnē</w:t>
      </w:r>
      <w:r w:rsidR="00E3202A">
        <w:t xml:space="preserve"> lēmumu pieņemšana</w:t>
      </w:r>
      <w:r w:rsidR="003C7260">
        <w:t xml:space="preserve"> pašvaldības kapitālsabiedrībā par atalgojuma izmaksu</w:t>
      </w:r>
      <w:r w:rsidR="00E3202A">
        <w:t xml:space="preserve"> darbiniekiem nav saistāma ar valsts pārvaldes interešu apdraudējumu. </w:t>
      </w:r>
      <w:r w:rsidR="00BF0A22">
        <w:t xml:space="preserve">Tādēļ inkriminētais nodarījums ir kvalificēts nepareizi. </w:t>
      </w:r>
      <w:r w:rsidR="00E67F0B">
        <w:t>Jāņem vērā, ka 2009.gadā, kad veiktas faktiskās darbības, likuma redakcij</w:t>
      </w:r>
      <w:r w:rsidR="00F32916">
        <w:t>a</w:t>
      </w:r>
      <w:r w:rsidR="00E67F0B">
        <w:t xml:space="preserve"> neietvēra tādu uzskaitījumu, kāds </w:t>
      </w:r>
      <w:r w:rsidR="00F32916">
        <w:t xml:space="preserve">tas </w:t>
      </w:r>
      <w:r w:rsidR="00E67F0B">
        <w:t>ir šobr</w:t>
      </w:r>
      <w:r w:rsidR="00BE20E4">
        <w:t>īd.</w:t>
      </w:r>
    </w:p>
    <w:p w:rsidR="00E3202A" w:rsidRDefault="003C7260" w:rsidP="00F32916">
      <w:pPr>
        <w:spacing w:line="276" w:lineRule="auto"/>
        <w:ind w:firstLine="709"/>
        <w:jc w:val="both"/>
      </w:pPr>
      <w:r>
        <w:t>Sūdzības iesniedzēji atsaucas uz ti</w:t>
      </w:r>
      <w:r w:rsidR="003600B7">
        <w:t>esību zinātnieces profesores V. </w:t>
      </w:r>
      <w:proofErr w:type="spellStart"/>
      <w:r>
        <w:t>Liholajas</w:t>
      </w:r>
      <w:proofErr w:type="spellEnd"/>
      <w:r>
        <w:t xml:space="preserve"> viedokli, ka deleģēti pārvaldes uzdevumi sa</w:t>
      </w:r>
      <w:r w:rsidR="003F1E94">
        <w:t>istāmi</w:t>
      </w:r>
      <w:r>
        <w:t xml:space="preserve"> ar amatpersonas statusu valsts vai pašvaldības kapit</w:t>
      </w:r>
      <w:r w:rsidR="003F1E94">
        <w:t>ālsabiedr</w:t>
      </w:r>
      <w:r>
        <w:t>īb</w:t>
      </w:r>
      <w:r w:rsidR="003F1E94">
        <w:t>ā Krimin</w:t>
      </w:r>
      <w:r>
        <w:t>āllikuma izpratnē.</w:t>
      </w:r>
      <w:r w:rsidR="003F1E94">
        <w:t xml:space="preserve"> Ja nav šo funkciju veikšanas pēc būtības vai rīcības ar valsts vai pašvaldības mantu vai finanšu līdzekļiem, tad nevar runāt par valsts amatpersona</w:t>
      </w:r>
      <w:r w:rsidR="00993C57">
        <w:t>s</w:t>
      </w:r>
      <w:r w:rsidR="003F1E94">
        <w:t xml:space="preserve"> statusu Krimināllikuma 316.panta izpratnē, iespējams, paliek vie</w:t>
      </w:r>
      <w:r w:rsidR="0016669A">
        <w:t>n amatpersonas statuss likuma „</w:t>
      </w:r>
      <w:r w:rsidR="003F1E94">
        <w:t>Par interešu konflikta novēr</w:t>
      </w:r>
      <w:r w:rsidR="0016669A">
        <w:t>šanu valsts amatpersonu darbībā</w:t>
      </w:r>
      <w:r w:rsidR="003F1E94">
        <w:t>” izpratnē.</w:t>
      </w:r>
      <w:r w:rsidR="00BE20E4">
        <w:t xml:space="preserve"> </w:t>
      </w:r>
    </w:p>
    <w:p w:rsidR="00C900E3" w:rsidRDefault="00F75DBF" w:rsidP="00F32916">
      <w:pPr>
        <w:spacing w:line="276" w:lineRule="auto"/>
        <w:ind w:firstLine="709"/>
        <w:jc w:val="both"/>
      </w:pPr>
      <w:r>
        <w:t xml:space="preserve">[4.6] </w:t>
      </w:r>
      <w:r w:rsidR="003C7260">
        <w:t>Gadījumā</w:t>
      </w:r>
      <w:r w:rsidR="00B47949">
        <w:t xml:space="preserve">, ja Krimināllikuma 316.panta grozījumus atzīst par precizējošiem, nevis papildinošiem attiecībā uz valsts vai pašvaldību valdes locekļiem kā amatpersonām Krimināllikuma izpratnē, </w:t>
      </w:r>
      <w:r w:rsidR="00993C57">
        <w:t xml:space="preserve">attiecībā uz </w:t>
      </w:r>
      <w:r w:rsidR="00540D55">
        <w:t>[pers. A]</w:t>
      </w:r>
      <w:r w:rsidR="00993C57">
        <w:t xml:space="preserve"> nav attiecināms </w:t>
      </w:r>
      <w:r w:rsidR="00B47949">
        <w:t xml:space="preserve">pārvaldes </w:t>
      </w:r>
      <w:r w:rsidR="00993C57">
        <w:t>uzdevumu veikšanas kritērijs,</w:t>
      </w:r>
      <w:r w:rsidR="00B47949">
        <w:t xml:space="preserve"> rīcība ar valsts vai pašvaldību līdzekļiem, ne</w:t>
      </w:r>
      <w:r w:rsidR="00993C57">
        <w:t>dz arī</w:t>
      </w:r>
      <w:r w:rsidR="00B47949">
        <w:t xml:space="preserve"> citi tiesību doktrīnā izvirzīti kritēriji</w:t>
      </w:r>
      <w:r w:rsidR="00BF3A2F">
        <w:t>.</w:t>
      </w:r>
    </w:p>
    <w:p w:rsidR="00B47949" w:rsidRDefault="00C900E3" w:rsidP="00F32916">
      <w:pPr>
        <w:spacing w:line="276" w:lineRule="auto"/>
        <w:ind w:firstLine="709"/>
        <w:jc w:val="both"/>
      </w:pPr>
      <w:r>
        <w:t>Krimināllietā nav nodibināts, ka SIA „</w:t>
      </w:r>
      <w:r w:rsidR="00540D55">
        <w:t>[Nosaukums]</w:t>
      </w:r>
      <w:r>
        <w:t>”, darbojoties privāto tiesību jomā, veica deleģētas pārvaldes funkcijas. Tādēļ nav pamata SIA „</w:t>
      </w:r>
      <w:r w:rsidR="00540D55">
        <w:t>[Nosaukums]</w:t>
      </w:r>
      <w:r>
        <w:t xml:space="preserve">” valdes locekli atzīt par amatpersonu Krimināllikuma 316.panta izpratnē. </w:t>
      </w:r>
      <w:r w:rsidR="00F6050D">
        <w:t xml:space="preserve">Lietā nav iegūtas ziņas, ka </w:t>
      </w:r>
      <w:r w:rsidR="00540D55">
        <w:t>[pers. A]</w:t>
      </w:r>
      <w:r w:rsidR="00F6050D">
        <w:t xml:space="preserve"> būtu rīkojies ar valsts vai pašvaldību mantu. Apsūdzības aicinātie liecinieki norādīja un apstiprināja </w:t>
      </w:r>
      <w:r w:rsidR="00FF3E2A">
        <w:t>[pers. A]</w:t>
      </w:r>
      <w:r w:rsidR="00F6050D">
        <w:t xml:space="preserve"> liecināto, ka SIA „</w:t>
      </w:r>
      <w:r w:rsidR="00FF3E2A">
        <w:t>[Nosaukums]</w:t>
      </w:r>
      <w:r w:rsidR="00F6050D">
        <w:t xml:space="preserve">” veica saimniecisko darbību, paši guva ienākumus, kas kalpoja atalgojuma izmaksai, tajā skaitā, tiem maksājumiem, kurus prokuratūra kļūdaini lūdz atzīt par prēmijām. </w:t>
      </w:r>
      <w:r w:rsidR="00FF3E2A">
        <w:t>[Pilsētas]</w:t>
      </w:r>
      <w:r w:rsidR="00666DB1">
        <w:t xml:space="preserve"> domes 2009.gada 12.februāra saistošajos noteikumos Nr. 3, ar kuriem apstiprināts </w:t>
      </w:r>
      <w:r w:rsidR="00FF3E2A">
        <w:t>[Pilsētas]</w:t>
      </w:r>
      <w:r w:rsidR="00666DB1">
        <w:t xml:space="preserve"> domes budžets 2009.gadam, SIA „</w:t>
      </w:r>
      <w:r w:rsidR="00FF3E2A">
        <w:t>[Nosaukums]</w:t>
      </w:r>
      <w:r w:rsidR="00666DB1">
        <w:t xml:space="preserve">” nav minēts. </w:t>
      </w:r>
      <w:r w:rsidR="00566855">
        <w:t xml:space="preserve">Tas apliecina </w:t>
      </w:r>
      <w:r w:rsidR="00FF3E2A">
        <w:t>[pers. A]</w:t>
      </w:r>
      <w:r w:rsidR="00566855">
        <w:t xml:space="preserve"> apgalvojumu,</w:t>
      </w:r>
      <w:r w:rsidR="003F1E94">
        <w:t xml:space="preserve"> </w:t>
      </w:r>
      <w:r w:rsidR="003524F3">
        <w:t xml:space="preserve">ka </w:t>
      </w:r>
      <w:r w:rsidR="003F1E94">
        <w:t>viņš</w:t>
      </w:r>
      <w:r w:rsidR="00566855">
        <w:t xml:space="preserve"> nav rīkojies ar valsts vai pašvaldība</w:t>
      </w:r>
      <w:r w:rsidR="003524F3">
        <w:t>s mantu vai finanšu līdzekļiem.</w:t>
      </w:r>
    </w:p>
    <w:p w:rsidR="001D5AA5" w:rsidRDefault="001D5AA5" w:rsidP="00F32916">
      <w:pPr>
        <w:spacing w:line="276" w:lineRule="auto"/>
        <w:ind w:firstLine="709"/>
        <w:jc w:val="both"/>
      </w:pPr>
      <w:r>
        <w:t>Apelācijas instances tiesas nolēmums nav atbilstošs Kr</w:t>
      </w:r>
      <w:r w:rsidR="00725CEE">
        <w:t>imināllikuma 316.panta prasībām, tādēļ lietā pieļauts</w:t>
      </w:r>
      <w:r>
        <w:t xml:space="preserve"> Kriminālprocesa li</w:t>
      </w:r>
      <w:r w:rsidR="00725CEE">
        <w:t>kuma 574.panta 1.punktā norādītais Krimināllikuma pārkāpums</w:t>
      </w:r>
      <w:r>
        <w:t xml:space="preserve">. </w:t>
      </w:r>
    </w:p>
    <w:p w:rsidR="008174CE" w:rsidRDefault="008174CE" w:rsidP="008174CE">
      <w:pPr>
        <w:spacing w:line="276" w:lineRule="auto"/>
        <w:ind w:firstLine="709"/>
        <w:jc w:val="both"/>
      </w:pPr>
    </w:p>
    <w:p w:rsidR="003A67D1" w:rsidRDefault="00677CD8" w:rsidP="00725CEE">
      <w:pPr>
        <w:spacing w:line="276" w:lineRule="auto"/>
        <w:ind w:left="3600" w:firstLine="720"/>
        <w:rPr>
          <w:rFonts w:eastAsia="Times New Roman"/>
          <w:b/>
        </w:rPr>
      </w:pPr>
      <w:r>
        <w:rPr>
          <w:rFonts w:eastAsia="Times New Roman"/>
          <w:b/>
        </w:rPr>
        <w:t>Motīvu daļa</w:t>
      </w:r>
    </w:p>
    <w:p w:rsidR="009D54D6" w:rsidRDefault="009D54D6" w:rsidP="00E40FD6">
      <w:pPr>
        <w:spacing w:line="276" w:lineRule="auto"/>
        <w:jc w:val="both"/>
        <w:rPr>
          <w:rFonts w:eastAsia="Times New Roman"/>
        </w:rPr>
      </w:pPr>
    </w:p>
    <w:p w:rsidR="005F10DD" w:rsidRDefault="00E90972" w:rsidP="008174CE">
      <w:pPr>
        <w:spacing w:line="276" w:lineRule="auto"/>
        <w:ind w:firstLine="709"/>
        <w:jc w:val="both"/>
        <w:rPr>
          <w:rFonts w:eastAsia="Times New Roman"/>
        </w:rPr>
      </w:pPr>
      <w:r>
        <w:rPr>
          <w:rFonts w:eastAsia="Times New Roman"/>
        </w:rPr>
        <w:t>[5</w:t>
      </w:r>
      <w:r w:rsidR="009D54D6">
        <w:rPr>
          <w:rFonts w:eastAsia="Times New Roman"/>
        </w:rPr>
        <w:t xml:space="preserve">] </w:t>
      </w:r>
      <w:r w:rsidR="00D40A87" w:rsidRPr="00D40A87">
        <w:rPr>
          <w:rFonts w:eastAsia="Times New Roman"/>
        </w:rPr>
        <w:t>Kas</w:t>
      </w:r>
      <w:r w:rsidR="00D40A87">
        <w:rPr>
          <w:rFonts w:eastAsia="Times New Roman"/>
        </w:rPr>
        <w:t xml:space="preserve">ācijas </w:t>
      </w:r>
      <w:r w:rsidR="00D40A87" w:rsidRPr="00D40A87">
        <w:rPr>
          <w:rFonts w:eastAsia="Times New Roman"/>
        </w:rPr>
        <w:t>instances tiesa atzīst, ka</w:t>
      </w:r>
      <w:r w:rsidR="00D40A87">
        <w:rPr>
          <w:rFonts w:eastAsia="Times New Roman"/>
        </w:rPr>
        <w:t xml:space="preserve"> </w:t>
      </w:r>
      <w:r w:rsidR="00AB6B6D">
        <w:rPr>
          <w:rFonts w:eastAsia="Times New Roman"/>
        </w:rPr>
        <w:t xml:space="preserve">apelācijas instances tiesas lēmums atstājams negrozīts, bet apsūdzētā </w:t>
      </w:r>
      <w:r w:rsidR="00FF3E2A">
        <w:rPr>
          <w:rFonts w:eastAsia="Times New Roman"/>
        </w:rPr>
        <w:t>[pers. </w:t>
      </w:r>
      <w:r w:rsidR="00FF3E2A">
        <w:t>A]</w:t>
      </w:r>
      <w:r w:rsidR="00AB6B6D">
        <w:rPr>
          <w:rFonts w:eastAsia="Times New Roman"/>
        </w:rPr>
        <w:t xml:space="preserve"> un viņa aizstāvja N.</w:t>
      </w:r>
      <w:r w:rsidR="004C2150">
        <w:rPr>
          <w:rFonts w:eastAsia="Times New Roman"/>
        </w:rPr>
        <w:t> </w:t>
      </w:r>
      <w:r w:rsidR="00AB6B6D">
        <w:rPr>
          <w:rFonts w:eastAsia="Times New Roman"/>
        </w:rPr>
        <w:t>Duļevska kasācijas sūdzība noraidāma.</w:t>
      </w:r>
    </w:p>
    <w:p w:rsidR="00AB6B6D" w:rsidRDefault="00AB6B6D" w:rsidP="008174CE">
      <w:pPr>
        <w:spacing w:line="276" w:lineRule="auto"/>
        <w:ind w:firstLine="709"/>
        <w:jc w:val="both"/>
        <w:rPr>
          <w:rFonts w:eastAsia="Times New Roman"/>
        </w:rPr>
      </w:pPr>
      <w:r>
        <w:rPr>
          <w:rFonts w:eastAsia="Times New Roman"/>
        </w:rPr>
        <w:t>Senāts atzīst, ka apelācijas instances tiesa, iztiesājot lietu, nav pieļāvusi Krimināllikuma pārkāpumus un tādus Kriminālprocesa likuma pārkāpumus, kas varētu būt par pamatu apelācijas instances tiesas lēmuma atcelšanai vai grozīšanai.</w:t>
      </w:r>
    </w:p>
    <w:p w:rsidR="00F75DBF" w:rsidRDefault="00F75DBF" w:rsidP="008174CE">
      <w:pPr>
        <w:spacing w:line="276" w:lineRule="auto"/>
        <w:ind w:firstLine="709"/>
        <w:jc w:val="both"/>
        <w:rPr>
          <w:rFonts w:eastAsia="Times New Roman"/>
        </w:rPr>
      </w:pPr>
      <w:r>
        <w:rPr>
          <w:rFonts w:eastAsia="Times New Roman"/>
        </w:rPr>
        <w:t>[5.1] Kasācijas sūdzībā pamatā ir atkārtoti apelācijas sūdzības motīvi, kurus apelācijas instances tiesa ir izvērtējusi un motivēti noraidījusi. Kasācijas sūdzības autoru norādes uz Kriminālprocesa likuma pārkāpumiem nav pa</w:t>
      </w:r>
      <w:r w:rsidR="00FA4019">
        <w:rPr>
          <w:rFonts w:eastAsia="Times New Roman"/>
        </w:rPr>
        <w:t>matotas un</w:t>
      </w:r>
      <w:r w:rsidR="00725CEE">
        <w:rPr>
          <w:rFonts w:eastAsia="Times New Roman"/>
        </w:rPr>
        <w:t xml:space="preserve"> tās </w:t>
      </w:r>
      <w:r w:rsidR="00FA4019">
        <w:rPr>
          <w:rFonts w:eastAsia="Times New Roman"/>
        </w:rPr>
        <w:t xml:space="preserve">saistītas ar </w:t>
      </w:r>
      <w:r>
        <w:rPr>
          <w:rFonts w:eastAsia="Times New Roman"/>
        </w:rPr>
        <w:t>vēlmi atkārtoti izvērtēt pierādījumus kasācijas instances tiesā</w:t>
      </w:r>
      <w:r w:rsidR="004C2150">
        <w:rPr>
          <w:rFonts w:eastAsia="Times New Roman"/>
        </w:rPr>
        <w:t>,</w:t>
      </w:r>
      <w:r>
        <w:rPr>
          <w:rFonts w:eastAsia="Times New Roman"/>
        </w:rPr>
        <w:t xml:space="preserve"> un panākt apelācijas instances tiesas nolēmuma </w:t>
      </w:r>
      <w:r>
        <w:rPr>
          <w:rFonts w:eastAsia="Times New Roman"/>
        </w:rPr>
        <w:lastRenderedPageBreak/>
        <w:t>atcelšanu nevis juridisku, bet faktisku iemeslu dēļ, kas ir pretrunā ar Kriminālprocesa likuma 569.panta pirmo daļu.</w:t>
      </w:r>
    </w:p>
    <w:p w:rsidR="0048676E" w:rsidRDefault="00AB6B6D" w:rsidP="008174CE">
      <w:pPr>
        <w:spacing w:line="276" w:lineRule="auto"/>
        <w:ind w:firstLine="709"/>
        <w:jc w:val="both"/>
        <w:rPr>
          <w:rFonts w:eastAsia="Times New Roman"/>
        </w:rPr>
      </w:pPr>
      <w:r>
        <w:rPr>
          <w:rFonts w:eastAsia="Times New Roman"/>
        </w:rPr>
        <w:t>Apelācijas instances tiesa atzinusi, ka pirmās instances tiesa, pamatojoties uz pārbaudītiem un spriedumā izvērtētiem pierādījumiem, konstatējusi</w:t>
      </w:r>
      <w:r w:rsidR="00C51949">
        <w:rPr>
          <w:rFonts w:eastAsia="Times New Roman"/>
        </w:rPr>
        <w:t xml:space="preserve"> </w:t>
      </w:r>
      <w:r w:rsidR="00FF3E2A">
        <w:rPr>
          <w:rFonts w:eastAsia="Times New Roman"/>
        </w:rPr>
        <w:t>[pers. </w:t>
      </w:r>
      <w:r w:rsidR="00FF3E2A">
        <w:t>A]</w:t>
      </w:r>
      <w:r w:rsidR="0048676E">
        <w:rPr>
          <w:rFonts w:eastAsia="Times New Roman"/>
        </w:rPr>
        <w:t xml:space="preserve"> darbībās visas nepieciešamās Krimināllikuma 318.panta otrajā daļā paredzētā noziedzīgā nodarījuma sastāva pazīmes.</w:t>
      </w:r>
      <w:r w:rsidR="00FA4019">
        <w:rPr>
          <w:rFonts w:eastAsia="Times New Roman"/>
        </w:rPr>
        <w:t xml:space="preserve"> Rīgas apgabaltiesai</w:t>
      </w:r>
      <w:r w:rsidR="00EB4A96">
        <w:rPr>
          <w:rFonts w:eastAsia="Times New Roman"/>
        </w:rPr>
        <w:t xml:space="preserve"> nav radušās šaubas par pirmās instances tiesas taisītā notiesājošā spr</w:t>
      </w:r>
      <w:r w:rsidR="00E74D9E">
        <w:rPr>
          <w:rFonts w:eastAsia="Times New Roman"/>
        </w:rPr>
        <w:t>ieduma tiesiskumu un pamatotību.</w:t>
      </w:r>
    </w:p>
    <w:p w:rsidR="00E05584" w:rsidRDefault="00BD4B35" w:rsidP="0017380F">
      <w:pPr>
        <w:spacing w:line="276" w:lineRule="auto"/>
        <w:ind w:firstLine="709"/>
        <w:jc w:val="both"/>
        <w:rPr>
          <w:rFonts w:eastAsia="Times New Roman"/>
        </w:rPr>
      </w:pPr>
      <w:r>
        <w:rPr>
          <w:rFonts w:eastAsia="Times New Roman"/>
        </w:rPr>
        <w:t xml:space="preserve">[5.2] </w:t>
      </w:r>
      <w:r w:rsidR="00FA4019">
        <w:rPr>
          <w:rFonts w:eastAsia="Times New Roman"/>
        </w:rPr>
        <w:t xml:space="preserve">Konkrētajā lietā </w:t>
      </w:r>
      <w:r w:rsidR="00E74D9E">
        <w:rPr>
          <w:rFonts w:eastAsia="Times New Roman"/>
        </w:rPr>
        <w:t>jautājums</w:t>
      </w:r>
      <w:r w:rsidR="00FA4019">
        <w:rPr>
          <w:rFonts w:eastAsia="Times New Roman"/>
        </w:rPr>
        <w:t>, uz kuru jāatbild kasācijas instances tiesai,</w:t>
      </w:r>
      <w:r w:rsidR="00E74D9E">
        <w:rPr>
          <w:rFonts w:eastAsia="Times New Roman"/>
        </w:rPr>
        <w:t xml:space="preserve"> ir par Krimināllikuma 316.panta interpretāciju</w:t>
      </w:r>
      <w:r w:rsidR="004C6C8B">
        <w:rPr>
          <w:rFonts w:eastAsia="Times New Roman"/>
        </w:rPr>
        <w:t xml:space="preserve">, proti, vai </w:t>
      </w:r>
      <w:r w:rsidR="00FF3E2A">
        <w:rPr>
          <w:rFonts w:eastAsia="Times New Roman"/>
        </w:rPr>
        <w:t>[pers. </w:t>
      </w:r>
      <w:r w:rsidR="00FF3E2A">
        <w:t>A]</w:t>
      </w:r>
      <w:r w:rsidR="004C6C8B">
        <w:rPr>
          <w:rFonts w:eastAsia="Times New Roman"/>
        </w:rPr>
        <w:t xml:space="preserve"> viņam inkriminētā noziedzīgā nodarījuma izdarīšanas laikā bija valsts amatpersona.</w:t>
      </w:r>
    </w:p>
    <w:p w:rsidR="003666DE" w:rsidRDefault="003B3BFE" w:rsidP="0017380F">
      <w:pPr>
        <w:spacing w:line="276" w:lineRule="auto"/>
        <w:ind w:firstLine="709"/>
        <w:jc w:val="both"/>
        <w:rPr>
          <w:rFonts w:eastAsia="Times New Roman"/>
        </w:rPr>
      </w:pPr>
      <w:r>
        <w:rPr>
          <w:rFonts w:eastAsia="Times New Roman"/>
        </w:rPr>
        <w:t>2002.gada 25.aprīļa likuma „</w:t>
      </w:r>
      <w:r w:rsidR="0017380F">
        <w:rPr>
          <w:rFonts w:eastAsia="Times New Roman"/>
        </w:rPr>
        <w:t>Par interešu konflikta novēršanu valsts amatpersonu darbībā” 4.panta pirmās daļas 19.punktā noteikts, ka par valsts amatpersonu uzskatāms pašvaldības kapitālsabiedrības padomes vai valdes loceklis.</w:t>
      </w:r>
    </w:p>
    <w:p w:rsidR="003666DE" w:rsidRDefault="003666DE" w:rsidP="000A4AAB">
      <w:pPr>
        <w:spacing w:line="276" w:lineRule="auto"/>
        <w:ind w:firstLine="709"/>
        <w:jc w:val="both"/>
        <w:rPr>
          <w:rFonts w:eastAsia="Times New Roman"/>
        </w:rPr>
      </w:pPr>
      <w:r>
        <w:rPr>
          <w:rFonts w:eastAsia="Times New Roman"/>
        </w:rPr>
        <w:t>Sistēmiski tulkojot Krimināllikuma 316.pantu par valsts amatpersonas jēdzienu, Senāts</w:t>
      </w:r>
      <w:r w:rsidR="00F81D67">
        <w:rPr>
          <w:rFonts w:eastAsia="Times New Roman"/>
        </w:rPr>
        <w:t xml:space="preserve"> jau</w:t>
      </w:r>
      <w:r>
        <w:rPr>
          <w:rFonts w:eastAsia="Times New Roman"/>
        </w:rPr>
        <w:t xml:space="preserve"> ir norādījis, ka </w:t>
      </w:r>
      <w:r w:rsidR="003B3BFE">
        <w:rPr>
          <w:rFonts w:eastAsia="Times New Roman"/>
        </w:rPr>
        <w:t>tostarp jāņem vērā arī likums „</w:t>
      </w:r>
      <w:r>
        <w:rPr>
          <w:rFonts w:eastAsia="Times New Roman"/>
        </w:rPr>
        <w:t>Par interešu konflikta novēršanu valsts amatpersonu darbībā”, kurā sniegts valsts amatpersonas jēdziena skaidrojums un kurā atklāts tā saturs. Turklāt jāņem vērā Satversmes tiesas 2003.ga</w:t>
      </w:r>
      <w:r w:rsidR="00275B72">
        <w:rPr>
          <w:rFonts w:eastAsia="Times New Roman"/>
        </w:rPr>
        <w:t>da 29.oktobra spriedumā Nr.2003-</w:t>
      </w:r>
      <w:r>
        <w:rPr>
          <w:rFonts w:eastAsia="Times New Roman"/>
        </w:rPr>
        <w:t>05-01</w:t>
      </w:r>
      <w:r w:rsidR="00904AEF">
        <w:rPr>
          <w:rFonts w:eastAsia="Times New Roman"/>
        </w:rPr>
        <w:t xml:space="preserve"> izteiktais atzinums, ka Krimināllikumā valsts amatpersonas jēdziens ir noteikts vispārīgi, savukārt likumā </w:t>
      </w:r>
      <w:r w:rsidR="003B3BFE">
        <w:rPr>
          <w:rFonts w:eastAsia="Times New Roman"/>
        </w:rPr>
        <w:t>„</w:t>
      </w:r>
      <w:r w:rsidR="00904AEF">
        <w:rPr>
          <w:rFonts w:eastAsia="Times New Roman"/>
        </w:rPr>
        <w:t>Par interešu konflikta novēršanu valsts amatpersonu rīcībā”</w:t>
      </w:r>
      <w:r>
        <w:rPr>
          <w:rFonts w:eastAsia="Times New Roman"/>
        </w:rPr>
        <w:t xml:space="preserve"> </w:t>
      </w:r>
      <w:r w:rsidR="00904AEF">
        <w:rPr>
          <w:rFonts w:eastAsia="Times New Roman"/>
        </w:rPr>
        <w:t>ir ietverts gan vispārīgais definējums, gan konkretizēts plašs valsts amatpersonu loks. Kaut arī interešu konflikta novēršanas likums ir vērsts uz pienākumu un atbildības apjomu, kas valsts amatpersonai ir neapšaubāmi lielāks nekā ikvienai citai personai, tomēr minētās personas pēc būtības atbilst Krimināllikuma 316.pantā ietvertajam valsts amatpersonas jēdzienam.</w:t>
      </w:r>
      <w:r w:rsidR="00A27656">
        <w:rPr>
          <w:rFonts w:eastAsia="Times New Roman"/>
        </w:rPr>
        <w:t xml:space="preserve"> Valsts amatpersonas jēdziena skaidrojums likum</w:t>
      </w:r>
      <w:r w:rsidR="00993225">
        <w:rPr>
          <w:rFonts w:eastAsia="Times New Roman"/>
        </w:rPr>
        <w:t>ā par „</w:t>
      </w:r>
      <w:r w:rsidR="00A27656">
        <w:rPr>
          <w:rFonts w:eastAsia="Times New Roman"/>
        </w:rPr>
        <w:t>Par interešu konflikta novēršanu valsts amatpersonu darbībā” atbilst Krimināllikuma 316.panta pirmajā daļā noteiktajam (</w:t>
      </w:r>
      <w:r w:rsidR="003B3BFE" w:rsidRPr="003B3BFE">
        <w:rPr>
          <w:rFonts w:eastAsia="Times New Roman"/>
          <w:i/>
        </w:rPr>
        <w:t>sk. </w:t>
      </w:r>
      <w:r w:rsidR="00993225" w:rsidRPr="003B3BFE">
        <w:rPr>
          <w:rFonts w:eastAsia="Times New Roman"/>
          <w:i/>
        </w:rPr>
        <w:t xml:space="preserve">Augstākās tiesas </w:t>
      </w:r>
      <w:r w:rsidR="003B3BFE" w:rsidRPr="003B3BFE">
        <w:rPr>
          <w:rFonts w:eastAsia="Times New Roman"/>
          <w:i/>
        </w:rPr>
        <w:t xml:space="preserve">2019.gada 25.aprīļa </w:t>
      </w:r>
      <w:r w:rsidR="00993225" w:rsidRPr="003B3BFE">
        <w:rPr>
          <w:rFonts w:eastAsia="Times New Roman"/>
          <w:i/>
        </w:rPr>
        <w:t>lēmumu lietā Nr.</w:t>
      </w:r>
      <w:r w:rsidR="003B3BFE" w:rsidRPr="003B3BFE">
        <w:rPr>
          <w:rFonts w:eastAsia="Times New Roman"/>
          <w:i/>
        </w:rPr>
        <w:t> </w:t>
      </w:r>
      <w:r w:rsidR="00256FAD">
        <w:rPr>
          <w:rFonts w:eastAsia="Times New Roman"/>
          <w:i/>
        </w:rPr>
        <w:t>SKK-33/2019 (</w:t>
      </w:r>
      <w:r w:rsidR="00256FAD" w:rsidRPr="00256FAD">
        <w:rPr>
          <w:rFonts w:eastAsia="Times New Roman"/>
          <w:i/>
        </w:rPr>
        <w:t>ECLI:LV:AT:2019:0425.12812000713.2.L</w:t>
      </w:r>
      <w:r w:rsidR="00993225" w:rsidRPr="003B3BFE">
        <w:rPr>
          <w:rFonts w:eastAsia="Times New Roman"/>
          <w:i/>
        </w:rPr>
        <w:t>)</w:t>
      </w:r>
      <w:r w:rsidR="00993225">
        <w:rPr>
          <w:rFonts w:eastAsia="Times New Roman"/>
        </w:rPr>
        <w:t>).</w:t>
      </w:r>
    </w:p>
    <w:p w:rsidR="00445F25" w:rsidRDefault="009347B0" w:rsidP="00993225">
      <w:pPr>
        <w:spacing w:line="276" w:lineRule="auto"/>
        <w:ind w:firstLine="709"/>
        <w:jc w:val="both"/>
        <w:rPr>
          <w:rFonts w:eastAsia="Times New Roman"/>
        </w:rPr>
      </w:pPr>
      <w:r>
        <w:rPr>
          <w:rFonts w:eastAsia="Times New Roman"/>
        </w:rPr>
        <w:t>Senāts konkrētajā lietā atzīst par pamatotiem tiesas</w:t>
      </w:r>
      <w:r w:rsidR="00725CEE">
        <w:rPr>
          <w:rFonts w:eastAsia="Times New Roman"/>
        </w:rPr>
        <w:t xml:space="preserve"> lēmumā minētos</w:t>
      </w:r>
      <w:r>
        <w:rPr>
          <w:rFonts w:eastAsia="Times New Roman"/>
        </w:rPr>
        <w:t xml:space="preserve"> secin</w:t>
      </w:r>
      <w:r w:rsidR="00FA4019">
        <w:rPr>
          <w:rFonts w:eastAsia="Times New Roman"/>
        </w:rPr>
        <w:t>ājumus, ka:</w:t>
      </w:r>
    </w:p>
    <w:p w:rsidR="00445F25" w:rsidRPr="00445F25" w:rsidRDefault="009347B0" w:rsidP="00445F25">
      <w:pPr>
        <w:pStyle w:val="ListParagraph"/>
        <w:numPr>
          <w:ilvl w:val="0"/>
          <w:numId w:val="4"/>
        </w:numPr>
        <w:spacing w:line="276" w:lineRule="auto"/>
        <w:jc w:val="both"/>
        <w:rPr>
          <w:rFonts w:eastAsia="Times New Roman"/>
        </w:rPr>
      </w:pPr>
      <w:r w:rsidRPr="00445F25">
        <w:rPr>
          <w:rFonts w:eastAsia="Times New Roman"/>
        </w:rPr>
        <w:t>pašvaldības kapitālsabiedrības valdes loceklis atzīstams par valsts amatpersonu Krimināllikuma 316.panta izpratn</w:t>
      </w:r>
      <w:r w:rsidR="00445F25" w:rsidRPr="00445F25">
        <w:rPr>
          <w:rFonts w:eastAsia="Times New Roman"/>
        </w:rPr>
        <w:t>ē;</w:t>
      </w:r>
    </w:p>
    <w:p w:rsidR="00445F25" w:rsidRDefault="00445F25" w:rsidP="00445F25">
      <w:pPr>
        <w:pStyle w:val="ListParagraph"/>
        <w:numPr>
          <w:ilvl w:val="0"/>
          <w:numId w:val="4"/>
        </w:numPr>
        <w:spacing w:line="276" w:lineRule="auto"/>
        <w:jc w:val="both"/>
        <w:rPr>
          <w:rFonts w:eastAsia="Times New Roman"/>
        </w:rPr>
      </w:pPr>
      <w:r>
        <w:rPr>
          <w:rFonts w:eastAsia="Times New Roman"/>
        </w:rPr>
        <w:t xml:space="preserve">izdodot rīkojumus par </w:t>
      </w:r>
      <w:r w:rsidR="000A4AAB">
        <w:rPr>
          <w:rFonts w:eastAsia="Times New Roman"/>
        </w:rPr>
        <w:t xml:space="preserve">motivējošām </w:t>
      </w:r>
      <w:r w:rsidR="00C97E08">
        <w:rPr>
          <w:rFonts w:eastAsia="Times New Roman"/>
        </w:rPr>
        <w:t xml:space="preserve">piemaksām, </w:t>
      </w:r>
      <w:r w:rsidR="00FF3E2A">
        <w:rPr>
          <w:rFonts w:eastAsia="Times New Roman"/>
        </w:rPr>
        <w:t>[pers. A]</w:t>
      </w:r>
      <w:r>
        <w:rPr>
          <w:rFonts w:eastAsia="Times New Roman"/>
        </w:rPr>
        <w:t xml:space="preserve"> rīkojās ar pašvaldības kapitālsabiedrības mantu;</w:t>
      </w:r>
    </w:p>
    <w:p w:rsidR="0017380F" w:rsidRPr="00445F25" w:rsidRDefault="00445F25" w:rsidP="00445F25">
      <w:pPr>
        <w:pStyle w:val="ListParagraph"/>
        <w:numPr>
          <w:ilvl w:val="0"/>
          <w:numId w:val="4"/>
        </w:numPr>
        <w:spacing w:line="276" w:lineRule="auto"/>
        <w:jc w:val="both"/>
        <w:rPr>
          <w:rFonts w:eastAsia="Times New Roman"/>
        </w:rPr>
      </w:pPr>
      <w:r>
        <w:rPr>
          <w:rFonts w:eastAsia="Times New Roman"/>
        </w:rPr>
        <w:t>Krimināllikuma 316.pant</w:t>
      </w:r>
      <w:r w:rsidR="00725CEE">
        <w:rPr>
          <w:rFonts w:eastAsia="Times New Roman"/>
        </w:rPr>
        <w:t>a pirmās daļas jaunā redakcija, proti,</w:t>
      </w:r>
      <w:r>
        <w:rPr>
          <w:rFonts w:eastAsia="Times New Roman"/>
        </w:rPr>
        <w:t xml:space="preserve"> 2014.gada 15.</w:t>
      </w:r>
      <w:r w:rsidR="00725CEE">
        <w:rPr>
          <w:rFonts w:eastAsia="Times New Roman"/>
        </w:rPr>
        <w:t>maija likuma</w:t>
      </w:r>
      <w:r w:rsidR="00500F18">
        <w:rPr>
          <w:rFonts w:eastAsia="Times New Roman"/>
        </w:rPr>
        <w:t xml:space="preserve"> „</w:t>
      </w:r>
      <w:r>
        <w:rPr>
          <w:rFonts w:eastAsia="Times New Roman"/>
        </w:rPr>
        <w:t>Grozījumi Krimināllikumā”</w:t>
      </w:r>
      <w:r w:rsidR="00725CEE">
        <w:rPr>
          <w:rFonts w:eastAsia="Times New Roman"/>
        </w:rPr>
        <w:t xml:space="preserve"> redakcija</w:t>
      </w:r>
      <w:r w:rsidR="00174467">
        <w:rPr>
          <w:rFonts w:eastAsia="Times New Roman"/>
        </w:rPr>
        <w:t xml:space="preserve"> nav radījusi jaunu tiesisko stāvokli, bet ir precizējusi personu loku, kuri atzīstami par valsts amatpersonām.</w:t>
      </w:r>
    </w:p>
    <w:p w:rsidR="0017380F" w:rsidRDefault="000F459A" w:rsidP="00993225">
      <w:pPr>
        <w:spacing w:line="276" w:lineRule="auto"/>
        <w:ind w:firstLine="709"/>
        <w:jc w:val="both"/>
        <w:rPr>
          <w:rFonts w:eastAsia="Times New Roman"/>
        </w:rPr>
      </w:pPr>
      <w:r>
        <w:rPr>
          <w:rFonts w:eastAsia="Times New Roman"/>
        </w:rPr>
        <w:t>Apelācijas instances tiesa</w:t>
      </w:r>
      <w:r w:rsidR="007A0CDC">
        <w:rPr>
          <w:rFonts w:eastAsia="Times New Roman"/>
        </w:rPr>
        <w:t xml:space="preserve"> pamatoti</w:t>
      </w:r>
      <w:r w:rsidR="000A4AAB">
        <w:rPr>
          <w:rFonts w:eastAsia="Times New Roman"/>
        </w:rPr>
        <w:t xml:space="preserve"> secinājusi</w:t>
      </w:r>
      <w:r w:rsidR="00A2592A">
        <w:rPr>
          <w:rFonts w:eastAsia="Times New Roman"/>
        </w:rPr>
        <w:t xml:space="preserve">, ka apsūdzētais </w:t>
      </w:r>
      <w:r w:rsidR="00FF3E2A">
        <w:rPr>
          <w:rFonts w:eastAsia="Times New Roman"/>
        </w:rPr>
        <w:t>[pers. A]</w:t>
      </w:r>
      <w:r>
        <w:rPr>
          <w:rFonts w:eastAsia="Times New Roman"/>
        </w:rPr>
        <w:t>, kurš bija pašvaldības kapitālsabiedrības SIA</w:t>
      </w:r>
      <w:r w:rsidR="00A2592A">
        <w:rPr>
          <w:rFonts w:eastAsia="Times New Roman"/>
        </w:rPr>
        <w:t> </w:t>
      </w:r>
      <w:r>
        <w:rPr>
          <w:rFonts w:eastAsia="Times New Roman"/>
        </w:rPr>
        <w:t>„</w:t>
      </w:r>
      <w:r w:rsidR="00FF3E2A">
        <w:rPr>
          <w:rFonts w:eastAsia="Times New Roman"/>
        </w:rPr>
        <w:t>[Nosaukums]</w:t>
      </w:r>
      <w:r>
        <w:rPr>
          <w:rFonts w:eastAsia="Times New Roman"/>
        </w:rPr>
        <w:t xml:space="preserve">” valdes priekšsēdētājs, atzīstams par valsts amatpersonu Krimināllikuma 316.panta izpratnē. </w:t>
      </w:r>
    </w:p>
    <w:p w:rsidR="0048676E" w:rsidRDefault="00D0446D" w:rsidP="005D1B9F">
      <w:pPr>
        <w:spacing w:line="276" w:lineRule="auto"/>
        <w:ind w:firstLine="709"/>
        <w:jc w:val="both"/>
        <w:rPr>
          <w:rFonts w:eastAsia="Times New Roman"/>
        </w:rPr>
      </w:pPr>
      <w:r>
        <w:rPr>
          <w:rFonts w:eastAsia="Times New Roman"/>
        </w:rPr>
        <w:t>[5.3</w:t>
      </w:r>
      <w:r w:rsidR="00F75DBF">
        <w:rPr>
          <w:rFonts w:eastAsia="Times New Roman"/>
        </w:rPr>
        <w:t>]</w:t>
      </w:r>
      <w:r w:rsidR="005D1B9F">
        <w:rPr>
          <w:rFonts w:eastAsia="Times New Roman"/>
        </w:rPr>
        <w:t xml:space="preserve"> Tiesas lēmumā pierādījumi vispusīgi un detalizēti analizēti un izvērtēti to kopumā un savstarpējā sakarībā.</w:t>
      </w:r>
      <w:r w:rsidR="00AB6B6D">
        <w:rPr>
          <w:rFonts w:eastAsia="Times New Roman"/>
        </w:rPr>
        <w:t xml:space="preserve"> </w:t>
      </w:r>
      <w:r w:rsidR="0048676E">
        <w:rPr>
          <w:rFonts w:eastAsia="Times New Roman"/>
        </w:rPr>
        <w:t>Pierādījumu ticamības jēdziens</w:t>
      </w:r>
      <w:r w:rsidR="006B0800">
        <w:rPr>
          <w:rFonts w:eastAsia="Times New Roman"/>
        </w:rPr>
        <w:t xml:space="preserve"> un novērtēšanas prasības ir ietvertas Kriminālprocesa likuma 128.pantā, taču izvēle, kuriem pierādījumiem ticēt, bet</w:t>
      </w:r>
      <w:r w:rsidR="00FD447A">
        <w:rPr>
          <w:rFonts w:eastAsia="Times New Roman"/>
        </w:rPr>
        <w:t>,</w:t>
      </w:r>
      <w:r w:rsidR="006B0800">
        <w:rPr>
          <w:rFonts w:eastAsia="Times New Roman"/>
        </w:rPr>
        <w:t xml:space="preserve"> kuriem neticēt, ir tās tiesas kompetencē, kas izspriež lietu pēc būtības. Arī jautājums</w:t>
      </w:r>
      <w:r w:rsidR="00F75DBF">
        <w:rPr>
          <w:rFonts w:eastAsia="Times New Roman"/>
        </w:rPr>
        <w:t xml:space="preserve"> par to, vai lietā esošie pierādī</w:t>
      </w:r>
      <w:r w:rsidR="006B0800">
        <w:rPr>
          <w:rFonts w:eastAsia="Times New Roman"/>
        </w:rPr>
        <w:t xml:space="preserve">jumi ir vai nav pietiekami apsūdzētā vainīguma konstatēšanai, ir būtības jautājums, kas kasācijas kārtībā nav pārbaudāms. Kriminālprocesa likuma prasību pārkāpumus pierādījumu </w:t>
      </w:r>
      <w:r w:rsidR="006B0800">
        <w:rPr>
          <w:rFonts w:eastAsia="Times New Roman"/>
        </w:rPr>
        <w:lastRenderedPageBreak/>
        <w:t>vērtēšanā, kas varētu būt par pamatu apelācijas instances tiesas lēmuma atcelšanai,</w:t>
      </w:r>
      <w:r w:rsidR="006B0800" w:rsidRPr="006B0800">
        <w:rPr>
          <w:rFonts w:eastAsia="Times New Roman"/>
        </w:rPr>
        <w:t xml:space="preserve"> </w:t>
      </w:r>
      <w:r w:rsidR="006B0800">
        <w:rPr>
          <w:rFonts w:eastAsia="Times New Roman"/>
        </w:rPr>
        <w:t>Senāts nekonstatē.</w:t>
      </w:r>
    </w:p>
    <w:p w:rsidR="006B0800" w:rsidRDefault="006B0800" w:rsidP="0048676E">
      <w:pPr>
        <w:spacing w:line="276" w:lineRule="auto"/>
        <w:ind w:firstLine="709"/>
        <w:jc w:val="both"/>
        <w:rPr>
          <w:rFonts w:eastAsia="Times New Roman"/>
        </w:rPr>
      </w:pPr>
      <w:r>
        <w:rPr>
          <w:rFonts w:eastAsia="Times New Roman"/>
        </w:rPr>
        <w:t>Atbilstoši Kriminālprocesa likuma 569.pantam kasācijas instances tiesa lietu pēc būtības neiztiesā, lietas faktiskos apstākļus neskaidro un pierādījumus lietā no jauna neizvērtē.</w:t>
      </w:r>
    </w:p>
    <w:p w:rsidR="005D1B9F" w:rsidRDefault="00D0446D" w:rsidP="0048676E">
      <w:pPr>
        <w:spacing w:line="276" w:lineRule="auto"/>
        <w:ind w:firstLine="709"/>
        <w:jc w:val="both"/>
        <w:rPr>
          <w:rFonts w:eastAsia="Times New Roman"/>
        </w:rPr>
      </w:pPr>
      <w:r>
        <w:rPr>
          <w:rFonts w:eastAsia="Times New Roman"/>
        </w:rPr>
        <w:t>[5.4</w:t>
      </w:r>
      <w:r w:rsidR="005D1B9F">
        <w:rPr>
          <w:rFonts w:eastAsia="Times New Roman"/>
        </w:rPr>
        <w:t>] Kasācijas sūdzībā izteiktie argumenti par Krimināllikuma 316.panta</w:t>
      </w:r>
      <w:r w:rsidR="001D72BD">
        <w:rPr>
          <w:rFonts w:eastAsia="Times New Roman"/>
        </w:rPr>
        <w:t xml:space="preserve"> citādu</w:t>
      </w:r>
      <w:r w:rsidR="00E74D9E">
        <w:rPr>
          <w:rFonts w:eastAsia="Times New Roman"/>
        </w:rPr>
        <w:t xml:space="preserve"> interpretāciju nevar būt par pamatu apelācijas instances tiesas lēmuma atcelšanai vai grozīšanai.</w:t>
      </w:r>
    </w:p>
    <w:p w:rsidR="00D0446D" w:rsidRDefault="00D0446D" w:rsidP="00D0446D">
      <w:pPr>
        <w:spacing w:line="276" w:lineRule="auto"/>
        <w:jc w:val="both"/>
        <w:rPr>
          <w:rFonts w:eastAsia="Times New Roman"/>
        </w:rPr>
      </w:pPr>
      <w:r>
        <w:rPr>
          <w:rFonts w:eastAsia="Times New Roman"/>
        </w:rPr>
        <w:t>Apelācijas instances tiesas lēmums ir tiesisks un pamatots – tas atbilst Kriminālprocesa likuma 511.,</w:t>
      </w:r>
      <w:r w:rsidR="00696441">
        <w:rPr>
          <w:rFonts w:eastAsia="Times New Roman"/>
        </w:rPr>
        <w:t xml:space="preserve"> </w:t>
      </w:r>
      <w:r w:rsidR="00FA4019">
        <w:rPr>
          <w:rFonts w:eastAsia="Times New Roman"/>
        </w:rPr>
        <w:t>512.</w:t>
      </w:r>
      <w:r w:rsidR="000A4AAB">
        <w:rPr>
          <w:rFonts w:eastAsia="Times New Roman"/>
        </w:rPr>
        <w:t>,</w:t>
      </w:r>
      <w:r w:rsidR="00696441">
        <w:rPr>
          <w:rFonts w:eastAsia="Times New Roman"/>
        </w:rPr>
        <w:t xml:space="preserve"> </w:t>
      </w:r>
      <w:r w:rsidR="000A4AAB">
        <w:rPr>
          <w:rFonts w:eastAsia="Times New Roman"/>
        </w:rPr>
        <w:t>564.pantā noteiktajām prasībām, tādēļ atstājams negrozīts.</w:t>
      </w:r>
    </w:p>
    <w:p w:rsidR="008174CE" w:rsidRDefault="008174CE" w:rsidP="008174CE">
      <w:pPr>
        <w:spacing w:line="276" w:lineRule="auto"/>
        <w:ind w:firstLine="709"/>
        <w:jc w:val="both"/>
        <w:rPr>
          <w:rFonts w:eastAsia="Times New Roman"/>
        </w:rPr>
      </w:pPr>
    </w:p>
    <w:p w:rsidR="00E25EA3" w:rsidRPr="00FE1E59" w:rsidRDefault="00D0446D" w:rsidP="00D0446D">
      <w:pPr>
        <w:spacing w:line="276" w:lineRule="auto"/>
        <w:ind w:left="2880" w:firstLine="720"/>
        <w:rPr>
          <w:rFonts w:eastAsia="Times New Roman"/>
        </w:rPr>
      </w:pPr>
      <w:r>
        <w:rPr>
          <w:rFonts w:eastAsia="Times New Roman"/>
        </w:rPr>
        <w:t xml:space="preserve">   </w:t>
      </w:r>
      <w:r w:rsidR="00E25EA3" w:rsidRPr="00FE1E59">
        <w:rPr>
          <w:b/>
        </w:rPr>
        <w:t>Rezolutīvā daļa</w:t>
      </w:r>
    </w:p>
    <w:p w:rsidR="00E25EA3" w:rsidRDefault="00E25EA3" w:rsidP="007F0164">
      <w:pPr>
        <w:tabs>
          <w:tab w:val="left" w:pos="0"/>
          <w:tab w:val="left" w:pos="709"/>
        </w:tabs>
        <w:spacing w:line="276" w:lineRule="auto"/>
        <w:jc w:val="both"/>
      </w:pPr>
    </w:p>
    <w:p w:rsidR="0071644D" w:rsidRDefault="00E25EA3" w:rsidP="00FE1E59">
      <w:pPr>
        <w:tabs>
          <w:tab w:val="left" w:pos="0"/>
          <w:tab w:val="left" w:pos="709"/>
        </w:tabs>
        <w:spacing w:line="276" w:lineRule="auto"/>
        <w:ind w:firstLine="709"/>
        <w:jc w:val="both"/>
      </w:pPr>
      <w:r>
        <w:t>Pamatojoties uz Kriminālpr</w:t>
      </w:r>
      <w:r w:rsidR="009178BC">
        <w:t xml:space="preserve">ocesa likuma 585. un 587.pantu, </w:t>
      </w:r>
      <w:r>
        <w:t>tiesa</w:t>
      </w:r>
    </w:p>
    <w:p w:rsidR="0090255F" w:rsidRDefault="0090255F" w:rsidP="00FE1E59">
      <w:pPr>
        <w:tabs>
          <w:tab w:val="left" w:pos="0"/>
          <w:tab w:val="left" w:pos="6660"/>
        </w:tabs>
        <w:spacing w:line="276" w:lineRule="auto"/>
        <w:ind w:firstLine="709"/>
        <w:rPr>
          <w:b/>
        </w:rPr>
      </w:pPr>
    </w:p>
    <w:p w:rsidR="008C65E6" w:rsidRDefault="00E25EA3" w:rsidP="00FE1E59">
      <w:pPr>
        <w:tabs>
          <w:tab w:val="left" w:pos="0"/>
          <w:tab w:val="left" w:pos="6660"/>
        </w:tabs>
        <w:spacing w:line="276" w:lineRule="auto"/>
        <w:jc w:val="center"/>
        <w:rPr>
          <w:b/>
        </w:rPr>
      </w:pPr>
      <w:r>
        <w:rPr>
          <w:b/>
        </w:rPr>
        <w:t>n</w:t>
      </w:r>
      <w:r w:rsidRPr="00091760">
        <w:rPr>
          <w:b/>
        </w:rPr>
        <w:t>olēma</w:t>
      </w:r>
      <w:r>
        <w:rPr>
          <w:b/>
        </w:rPr>
        <w:t>:</w:t>
      </w:r>
    </w:p>
    <w:p w:rsidR="00006F66" w:rsidRDefault="00006F66" w:rsidP="00FE1E59">
      <w:pPr>
        <w:tabs>
          <w:tab w:val="left" w:pos="0"/>
          <w:tab w:val="left" w:pos="6660"/>
        </w:tabs>
        <w:spacing w:line="276" w:lineRule="auto"/>
        <w:ind w:firstLine="709"/>
        <w:jc w:val="both"/>
        <w:rPr>
          <w:b/>
        </w:rPr>
      </w:pPr>
    </w:p>
    <w:p w:rsidR="00BD4B35" w:rsidRPr="00BD4B35" w:rsidRDefault="00BD4B35" w:rsidP="00FE1E59">
      <w:pPr>
        <w:tabs>
          <w:tab w:val="left" w:pos="0"/>
          <w:tab w:val="left" w:pos="6660"/>
        </w:tabs>
        <w:spacing w:line="276" w:lineRule="auto"/>
        <w:ind w:firstLine="709"/>
        <w:jc w:val="both"/>
      </w:pPr>
      <w:r>
        <w:t xml:space="preserve">Rīgas apgabaltiesas 2018.gada 13.septembra lēmumu </w:t>
      </w:r>
      <w:r w:rsidRPr="00BD4B35">
        <w:t>atstāt negrozītu</w:t>
      </w:r>
      <w:r w:rsidR="00FA4019">
        <w:t xml:space="preserve">, bet apsūdzētā </w:t>
      </w:r>
      <w:r w:rsidR="00FF3E2A">
        <w:t>[pers. A]</w:t>
      </w:r>
      <w:r w:rsidR="00FA4019">
        <w:t xml:space="preserve"> un viņa aizstāvja Normunda Duļevska kasācijas sūdzību noraidīt.</w:t>
      </w:r>
      <w:r>
        <w:t xml:space="preserve"> </w:t>
      </w:r>
    </w:p>
    <w:p w:rsidR="00006F66" w:rsidRPr="00BD4B35" w:rsidRDefault="00BD4B35" w:rsidP="00BD4B35">
      <w:pPr>
        <w:tabs>
          <w:tab w:val="left" w:pos="0"/>
          <w:tab w:val="left" w:pos="709"/>
          <w:tab w:val="left" w:pos="851"/>
          <w:tab w:val="left" w:pos="993"/>
        </w:tabs>
        <w:spacing w:line="276" w:lineRule="auto"/>
        <w:jc w:val="both"/>
        <w:rPr>
          <w:rFonts w:eastAsia="Times New Roman"/>
        </w:rPr>
      </w:pPr>
      <w:r>
        <w:rPr>
          <w:rFonts w:eastAsia="Times New Roman"/>
        </w:rPr>
        <w:tab/>
      </w:r>
      <w:r w:rsidR="007D14FA" w:rsidRPr="007D14FA">
        <w:t>Lēmums nav pārsūdzams.</w:t>
      </w:r>
    </w:p>
    <w:p w:rsidR="00006F66" w:rsidRDefault="00006F66" w:rsidP="00006F66">
      <w:pPr>
        <w:tabs>
          <w:tab w:val="left" w:pos="0"/>
          <w:tab w:val="left" w:pos="709"/>
          <w:tab w:val="left" w:pos="6660"/>
        </w:tabs>
        <w:spacing w:line="276" w:lineRule="auto"/>
      </w:pPr>
    </w:p>
    <w:sectPr w:rsidR="00006F66" w:rsidSect="00FE1E59">
      <w:foot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2C2C" w:rsidRDefault="00B52C2C" w:rsidP="00FB25DA">
      <w:r>
        <w:separator/>
      </w:r>
    </w:p>
  </w:endnote>
  <w:endnote w:type="continuationSeparator" w:id="0">
    <w:p w:rsidR="00B52C2C" w:rsidRDefault="00B52C2C" w:rsidP="00FB2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549733"/>
      <w:docPartObj>
        <w:docPartGallery w:val="Page Numbers (Bottom of Page)"/>
        <w:docPartUnique/>
      </w:docPartObj>
    </w:sdtPr>
    <w:sdtEndPr/>
    <w:sdtContent>
      <w:sdt>
        <w:sdtPr>
          <w:id w:val="-1577820094"/>
          <w:docPartObj>
            <w:docPartGallery w:val="Page Numbers (Top of Page)"/>
            <w:docPartUnique/>
          </w:docPartObj>
        </w:sdtPr>
        <w:sdtEndPr/>
        <w:sdtContent>
          <w:p w:rsidR="00B52C2C" w:rsidRDefault="00B52C2C">
            <w:pPr>
              <w:pStyle w:val="Footer"/>
              <w:jc w:val="center"/>
            </w:pPr>
            <w:r w:rsidRPr="00EA176A">
              <w:rPr>
                <w:bCs/>
              </w:rPr>
              <w:fldChar w:fldCharType="begin"/>
            </w:r>
            <w:r w:rsidRPr="00EA176A">
              <w:rPr>
                <w:bCs/>
              </w:rPr>
              <w:instrText xml:space="preserve"> PAGE </w:instrText>
            </w:r>
            <w:r w:rsidRPr="00EA176A">
              <w:rPr>
                <w:bCs/>
              </w:rPr>
              <w:fldChar w:fldCharType="separate"/>
            </w:r>
            <w:r w:rsidR="00876EC1">
              <w:rPr>
                <w:bCs/>
                <w:noProof/>
              </w:rPr>
              <w:t>1</w:t>
            </w:r>
            <w:r w:rsidRPr="00EA176A">
              <w:rPr>
                <w:bCs/>
              </w:rPr>
              <w:fldChar w:fldCharType="end"/>
            </w:r>
            <w:r w:rsidRPr="00EA176A">
              <w:t xml:space="preserve"> no </w:t>
            </w:r>
            <w:r w:rsidRPr="00EA176A">
              <w:rPr>
                <w:bCs/>
              </w:rPr>
              <w:fldChar w:fldCharType="begin"/>
            </w:r>
            <w:r w:rsidRPr="00EA176A">
              <w:rPr>
                <w:bCs/>
              </w:rPr>
              <w:instrText xml:space="preserve"> NUMPAGES  </w:instrText>
            </w:r>
            <w:r w:rsidRPr="00EA176A">
              <w:rPr>
                <w:bCs/>
              </w:rPr>
              <w:fldChar w:fldCharType="separate"/>
            </w:r>
            <w:r w:rsidR="00876EC1">
              <w:rPr>
                <w:bCs/>
                <w:noProof/>
              </w:rPr>
              <w:t>5</w:t>
            </w:r>
            <w:r w:rsidRPr="00EA176A">
              <w:rPr>
                <w:bCs/>
              </w:rPr>
              <w:fldChar w:fldCharType="end"/>
            </w:r>
          </w:p>
        </w:sdtContent>
      </w:sdt>
    </w:sdtContent>
  </w:sdt>
  <w:p w:rsidR="00B52C2C" w:rsidRDefault="00B52C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2C2C" w:rsidRDefault="00B52C2C" w:rsidP="00FB25DA">
      <w:r>
        <w:separator/>
      </w:r>
    </w:p>
  </w:footnote>
  <w:footnote w:type="continuationSeparator" w:id="0">
    <w:p w:rsidR="00B52C2C" w:rsidRDefault="00B52C2C" w:rsidP="00FB2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203D4"/>
    <w:multiLevelType w:val="hybridMultilevel"/>
    <w:tmpl w:val="5A7A808C"/>
    <w:lvl w:ilvl="0" w:tplc="964457B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4B6653D3"/>
    <w:multiLevelType w:val="hybridMultilevel"/>
    <w:tmpl w:val="61A6A602"/>
    <w:lvl w:ilvl="0" w:tplc="C0644B5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5E8F5397"/>
    <w:multiLevelType w:val="hybridMultilevel"/>
    <w:tmpl w:val="865021D0"/>
    <w:lvl w:ilvl="0" w:tplc="77382FEA">
      <w:start w:val="1"/>
      <w:numFmt w:val="decimal"/>
      <w:lvlText w:val="%1)"/>
      <w:lvlJc w:val="left"/>
      <w:pPr>
        <w:ind w:left="1129" w:hanging="360"/>
      </w:pPr>
      <w:rPr>
        <w:rFonts w:hint="default"/>
      </w:rPr>
    </w:lvl>
    <w:lvl w:ilvl="1" w:tplc="04260019" w:tentative="1">
      <w:start w:val="1"/>
      <w:numFmt w:val="lowerLetter"/>
      <w:lvlText w:val="%2."/>
      <w:lvlJc w:val="left"/>
      <w:pPr>
        <w:ind w:left="1849" w:hanging="360"/>
      </w:pPr>
    </w:lvl>
    <w:lvl w:ilvl="2" w:tplc="0426001B" w:tentative="1">
      <w:start w:val="1"/>
      <w:numFmt w:val="lowerRoman"/>
      <w:lvlText w:val="%3."/>
      <w:lvlJc w:val="right"/>
      <w:pPr>
        <w:ind w:left="2569" w:hanging="180"/>
      </w:pPr>
    </w:lvl>
    <w:lvl w:ilvl="3" w:tplc="0426000F" w:tentative="1">
      <w:start w:val="1"/>
      <w:numFmt w:val="decimal"/>
      <w:lvlText w:val="%4."/>
      <w:lvlJc w:val="left"/>
      <w:pPr>
        <w:ind w:left="3289" w:hanging="360"/>
      </w:pPr>
    </w:lvl>
    <w:lvl w:ilvl="4" w:tplc="04260019" w:tentative="1">
      <w:start w:val="1"/>
      <w:numFmt w:val="lowerLetter"/>
      <w:lvlText w:val="%5."/>
      <w:lvlJc w:val="left"/>
      <w:pPr>
        <w:ind w:left="4009" w:hanging="360"/>
      </w:pPr>
    </w:lvl>
    <w:lvl w:ilvl="5" w:tplc="0426001B" w:tentative="1">
      <w:start w:val="1"/>
      <w:numFmt w:val="lowerRoman"/>
      <w:lvlText w:val="%6."/>
      <w:lvlJc w:val="right"/>
      <w:pPr>
        <w:ind w:left="4729" w:hanging="180"/>
      </w:pPr>
    </w:lvl>
    <w:lvl w:ilvl="6" w:tplc="0426000F" w:tentative="1">
      <w:start w:val="1"/>
      <w:numFmt w:val="decimal"/>
      <w:lvlText w:val="%7."/>
      <w:lvlJc w:val="left"/>
      <w:pPr>
        <w:ind w:left="5449" w:hanging="360"/>
      </w:pPr>
    </w:lvl>
    <w:lvl w:ilvl="7" w:tplc="04260019" w:tentative="1">
      <w:start w:val="1"/>
      <w:numFmt w:val="lowerLetter"/>
      <w:lvlText w:val="%8."/>
      <w:lvlJc w:val="left"/>
      <w:pPr>
        <w:ind w:left="6169" w:hanging="360"/>
      </w:pPr>
    </w:lvl>
    <w:lvl w:ilvl="8" w:tplc="0426001B" w:tentative="1">
      <w:start w:val="1"/>
      <w:numFmt w:val="lowerRoman"/>
      <w:lvlText w:val="%9."/>
      <w:lvlJc w:val="right"/>
      <w:pPr>
        <w:ind w:left="6889" w:hanging="180"/>
      </w:pPr>
    </w:lvl>
  </w:abstractNum>
  <w:abstractNum w:abstractNumId="3" w15:restartNumberingAfterBreak="0">
    <w:nsid w:val="7EE036C5"/>
    <w:multiLevelType w:val="hybridMultilevel"/>
    <w:tmpl w:val="8908A0D8"/>
    <w:lvl w:ilvl="0" w:tplc="444EC3F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231"/>
    <w:rsid w:val="000005EC"/>
    <w:rsid w:val="00006F66"/>
    <w:rsid w:val="00023789"/>
    <w:rsid w:val="00036346"/>
    <w:rsid w:val="000409B4"/>
    <w:rsid w:val="00044486"/>
    <w:rsid w:val="00045319"/>
    <w:rsid w:val="00045612"/>
    <w:rsid w:val="0005057C"/>
    <w:rsid w:val="00051396"/>
    <w:rsid w:val="00052781"/>
    <w:rsid w:val="00064731"/>
    <w:rsid w:val="00070C8F"/>
    <w:rsid w:val="00070DE6"/>
    <w:rsid w:val="00070DED"/>
    <w:rsid w:val="00075176"/>
    <w:rsid w:val="0008631B"/>
    <w:rsid w:val="00086520"/>
    <w:rsid w:val="00090829"/>
    <w:rsid w:val="00091F48"/>
    <w:rsid w:val="00095783"/>
    <w:rsid w:val="000A2166"/>
    <w:rsid w:val="000A477F"/>
    <w:rsid w:val="000A4AAB"/>
    <w:rsid w:val="000D15E1"/>
    <w:rsid w:val="000D4C81"/>
    <w:rsid w:val="000D5BA3"/>
    <w:rsid w:val="000E59DE"/>
    <w:rsid w:val="000E7A41"/>
    <w:rsid w:val="000F2E25"/>
    <w:rsid w:val="000F3D64"/>
    <w:rsid w:val="000F459A"/>
    <w:rsid w:val="00100291"/>
    <w:rsid w:val="00102DCE"/>
    <w:rsid w:val="00103612"/>
    <w:rsid w:val="00103859"/>
    <w:rsid w:val="00107FE7"/>
    <w:rsid w:val="001109D8"/>
    <w:rsid w:val="00114773"/>
    <w:rsid w:val="001310CB"/>
    <w:rsid w:val="00136188"/>
    <w:rsid w:val="00141962"/>
    <w:rsid w:val="0014388B"/>
    <w:rsid w:val="00143AC6"/>
    <w:rsid w:val="001451E2"/>
    <w:rsid w:val="001546E8"/>
    <w:rsid w:val="0015546A"/>
    <w:rsid w:val="00155B0E"/>
    <w:rsid w:val="00160BD5"/>
    <w:rsid w:val="00161CC1"/>
    <w:rsid w:val="00162021"/>
    <w:rsid w:val="0016669A"/>
    <w:rsid w:val="00170981"/>
    <w:rsid w:val="00170E28"/>
    <w:rsid w:val="0017380F"/>
    <w:rsid w:val="00174467"/>
    <w:rsid w:val="00174A60"/>
    <w:rsid w:val="001755F9"/>
    <w:rsid w:val="00176083"/>
    <w:rsid w:val="00177349"/>
    <w:rsid w:val="001859FA"/>
    <w:rsid w:val="00185E75"/>
    <w:rsid w:val="00193210"/>
    <w:rsid w:val="0019665B"/>
    <w:rsid w:val="00196F00"/>
    <w:rsid w:val="001A5E6F"/>
    <w:rsid w:val="001A7318"/>
    <w:rsid w:val="001B0961"/>
    <w:rsid w:val="001B155E"/>
    <w:rsid w:val="001B3987"/>
    <w:rsid w:val="001C1492"/>
    <w:rsid w:val="001C14C7"/>
    <w:rsid w:val="001C1DF3"/>
    <w:rsid w:val="001C4240"/>
    <w:rsid w:val="001D0273"/>
    <w:rsid w:val="001D5AA5"/>
    <w:rsid w:val="001D70A8"/>
    <w:rsid w:val="001D72BD"/>
    <w:rsid w:val="001E4CB7"/>
    <w:rsid w:val="001F2A8D"/>
    <w:rsid w:val="001F59EC"/>
    <w:rsid w:val="00203E1C"/>
    <w:rsid w:val="00207563"/>
    <w:rsid w:val="00222D2B"/>
    <w:rsid w:val="00223C39"/>
    <w:rsid w:val="00223FFD"/>
    <w:rsid w:val="00227736"/>
    <w:rsid w:val="00233521"/>
    <w:rsid w:val="00243C73"/>
    <w:rsid w:val="0025294E"/>
    <w:rsid w:val="00256FAD"/>
    <w:rsid w:val="00260439"/>
    <w:rsid w:val="00262268"/>
    <w:rsid w:val="00262802"/>
    <w:rsid w:val="002630F6"/>
    <w:rsid w:val="00264DDE"/>
    <w:rsid w:val="00270839"/>
    <w:rsid w:val="00274C31"/>
    <w:rsid w:val="00274D56"/>
    <w:rsid w:val="002756A1"/>
    <w:rsid w:val="00275B72"/>
    <w:rsid w:val="002761AB"/>
    <w:rsid w:val="00276CB4"/>
    <w:rsid w:val="002773EB"/>
    <w:rsid w:val="002808ED"/>
    <w:rsid w:val="00280B40"/>
    <w:rsid w:val="002851BE"/>
    <w:rsid w:val="00286BDB"/>
    <w:rsid w:val="00291779"/>
    <w:rsid w:val="00295957"/>
    <w:rsid w:val="002A0353"/>
    <w:rsid w:val="002B28AE"/>
    <w:rsid w:val="002B3F3E"/>
    <w:rsid w:val="002B4C9B"/>
    <w:rsid w:val="002B63FF"/>
    <w:rsid w:val="002B7D79"/>
    <w:rsid w:val="002C0F08"/>
    <w:rsid w:val="002C1562"/>
    <w:rsid w:val="002C21AF"/>
    <w:rsid w:val="002D4F61"/>
    <w:rsid w:val="002D688F"/>
    <w:rsid w:val="002E1F12"/>
    <w:rsid w:val="002E2622"/>
    <w:rsid w:val="002E5991"/>
    <w:rsid w:val="002F2551"/>
    <w:rsid w:val="002F770E"/>
    <w:rsid w:val="0030150D"/>
    <w:rsid w:val="00304921"/>
    <w:rsid w:val="003075DF"/>
    <w:rsid w:val="00310498"/>
    <w:rsid w:val="0031347C"/>
    <w:rsid w:val="00317D9A"/>
    <w:rsid w:val="003306F0"/>
    <w:rsid w:val="00333397"/>
    <w:rsid w:val="0033728B"/>
    <w:rsid w:val="003403BE"/>
    <w:rsid w:val="003477A2"/>
    <w:rsid w:val="00352031"/>
    <w:rsid w:val="003524F3"/>
    <w:rsid w:val="00353FAC"/>
    <w:rsid w:val="003600B7"/>
    <w:rsid w:val="003602A1"/>
    <w:rsid w:val="00363849"/>
    <w:rsid w:val="003666DE"/>
    <w:rsid w:val="00383E4B"/>
    <w:rsid w:val="0039140E"/>
    <w:rsid w:val="003A67D1"/>
    <w:rsid w:val="003B094F"/>
    <w:rsid w:val="003B0AB8"/>
    <w:rsid w:val="003B3949"/>
    <w:rsid w:val="003B3BFE"/>
    <w:rsid w:val="003B4231"/>
    <w:rsid w:val="003C1C58"/>
    <w:rsid w:val="003C7260"/>
    <w:rsid w:val="003D1B9A"/>
    <w:rsid w:val="003D3FDF"/>
    <w:rsid w:val="003D5D93"/>
    <w:rsid w:val="003E14AF"/>
    <w:rsid w:val="003E3F2D"/>
    <w:rsid w:val="003E70B0"/>
    <w:rsid w:val="003E74C5"/>
    <w:rsid w:val="003F05F7"/>
    <w:rsid w:val="003F1E94"/>
    <w:rsid w:val="003F4C73"/>
    <w:rsid w:val="003F6644"/>
    <w:rsid w:val="0040239F"/>
    <w:rsid w:val="004042EC"/>
    <w:rsid w:val="00404841"/>
    <w:rsid w:val="00411337"/>
    <w:rsid w:val="00413E5E"/>
    <w:rsid w:val="00416546"/>
    <w:rsid w:val="00416B70"/>
    <w:rsid w:val="0042248E"/>
    <w:rsid w:val="00423014"/>
    <w:rsid w:val="00434873"/>
    <w:rsid w:val="00436C15"/>
    <w:rsid w:val="00441440"/>
    <w:rsid w:val="00445F25"/>
    <w:rsid w:val="00454333"/>
    <w:rsid w:val="004600EB"/>
    <w:rsid w:val="00461DA4"/>
    <w:rsid w:val="00466925"/>
    <w:rsid w:val="004669BF"/>
    <w:rsid w:val="00470D93"/>
    <w:rsid w:val="00477BE9"/>
    <w:rsid w:val="0048486E"/>
    <w:rsid w:val="0048676E"/>
    <w:rsid w:val="00487666"/>
    <w:rsid w:val="00487819"/>
    <w:rsid w:val="004967D0"/>
    <w:rsid w:val="004A0C88"/>
    <w:rsid w:val="004A6CC1"/>
    <w:rsid w:val="004C0AF2"/>
    <w:rsid w:val="004C2150"/>
    <w:rsid w:val="004C4478"/>
    <w:rsid w:val="004C478A"/>
    <w:rsid w:val="004C6C8B"/>
    <w:rsid w:val="004D2146"/>
    <w:rsid w:val="004D21BE"/>
    <w:rsid w:val="004D7816"/>
    <w:rsid w:val="004E0ADE"/>
    <w:rsid w:val="004E3EE2"/>
    <w:rsid w:val="004E4383"/>
    <w:rsid w:val="004F54D3"/>
    <w:rsid w:val="004F5C8F"/>
    <w:rsid w:val="004F5EB8"/>
    <w:rsid w:val="00500F18"/>
    <w:rsid w:val="00500F71"/>
    <w:rsid w:val="0050281E"/>
    <w:rsid w:val="00504969"/>
    <w:rsid w:val="005159CD"/>
    <w:rsid w:val="00515A38"/>
    <w:rsid w:val="00516B58"/>
    <w:rsid w:val="00521AEA"/>
    <w:rsid w:val="00523BAA"/>
    <w:rsid w:val="00525CA0"/>
    <w:rsid w:val="005307E7"/>
    <w:rsid w:val="0053247E"/>
    <w:rsid w:val="00533B12"/>
    <w:rsid w:val="005405E4"/>
    <w:rsid w:val="00540D55"/>
    <w:rsid w:val="00541741"/>
    <w:rsid w:val="00543912"/>
    <w:rsid w:val="00551518"/>
    <w:rsid w:val="005545DB"/>
    <w:rsid w:val="00556BAD"/>
    <w:rsid w:val="00560DAD"/>
    <w:rsid w:val="00564DAC"/>
    <w:rsid w:val="00566855"/>
    <w:rsid w:val="00577DFD"/>
    <w:rsid w:val="00580633"/>
    <w:rsid w:val="00580C7E"/>
    <w:rsid w:val="00596973"/>
    <w:rsid w:val="005A0138"/>
    <w:rsid w:val="005A0483"/>
    <w:rsid w:val="005A0BCF"/>
    <w:rsid w:val="005A140E"/>
    <w:rsid w:val="005A1935"/>
    <w:rsid w:val="005A206F"/>
    <w:rsid w:val="005A620A"/>
    <w:rsid w:val="005B3E66"/>
    <w:rsid w:val="005B7101"/>
    <w:rsid w:val="005B7C65"/>
    <w:rsid w:val="005C290C"/>
    <w:rsid w:val="005C538C"/>
    <w:rsid w:val="005C5D58"/>
    <w:rsid w:val="005C7958"/>
    <w:rsid w:val="005C7CAC"/>
    <w:rsid w:val="005D05E2"/>
    <w:rsid w:val="005D1B9F"/>
    <w:rsid w:val="005D338F"/>
    <w:rsid w:val="005D40BB"/>
    <w:rsid w:val="005D5EFA"/>
    <w:rsid w:val="005F10DD"/>
    <w:rsid w:val="005F5D07"/>
    <w:rsid w:val="0060069A"/>
    <w:rsid w:val="00602145"/>
    <w:rsid w:val="006056A2"/>
    <w:rsid w:val="00614325"/>
    <w:rsid w:val="00616C30"/>
    <w:rsid w:val="00616D82"/>
    <w:rsid w:val="00620580"/>
    <w:rsid w:val="006331A3"/>
    <w:rsid w:val="00635726"/>
    <w:rsid w:val="00636EDF"/>
    <w:rsid w:val="00636F75"/>
    <w:rsid w:val="0064448C"/>
    <w:rsid w:val="00657520"/>
    <w:rsid w:val="00657ED7"/>
    <w:rsid w:val="00660F19"/>
    <w:rsid w:val="006628B6"/>
    <w:rsid w:val="00666B3D"/>
    <w:rsid w:val="00666DB1"/>
    <w:rsid w:val="006670B5"/>
    <w:rsid w:val="006700D3"/>
    <w:rsid w:val="00677CD8"/>
    <w:rsid w:val="00691573"/>
    <w:rsid w:val="00696441"/>
    <w:rsid w:val="006A1B70"/>
    <w:rsid w:val="006A237E"/>
    <w:rsid w:val="006B0751"/>
    <w:rsid w:val="006B0800"/>
    <w:rsid w:val="006B0E01"/>
    <w:rsid w:val="006B1C24"/>
    <w:rsid w:val="006B4C28"/>
    <w:rsid w:val="006B793F"/>
    <w:rsid w:val="006C09C4"/>
    <w:rsid w:val="006D030D"/>
    <w:rsid w:val="006E0EAD"/>
    <w:rsid w:val="006E145D"/>
    <w:rsid w:val="006E234A"/>
    <w:rsid w:val="006F49F6"/>
    <w:rsid w:val="006F750D"/>
    <w:rsid w:val="00701913"/>
    <w:rsid w:val="00702709"/>
    <w:rsid w:val="0071489E"/>
    <w:rsid w:val="0071644D"/>
    <w:rsid w:val="007172F0"/>
    <w:rsid w:val="00725CEE"/>
    <w:rsid w:val="00726783"/>
    <w:rsid w:val="00727AEE"/>
    <w:rsid w:val="007311D9"/>
    <w:rsid w:val="00731A5F"/>
    <w:rsid w:val="00740784"/>
    <w:rsid w:val="00741C56"/>
    <w:rsid w:val="00742B6E"/>
    <w:rsid w:val="007631B3"/>
    <w:rsid w:val="0076342D"/>
    <w:rsid w:val="00765E94"/>
    <w:rsid w:val="00766190"/>
    <w:rsid w:val="0077466E"/>
    <w:rsid w:val="00782729"/>
    <w:rsid w:val="007842BB"/>
    <w:rsid w:val="007A0CDC"/>
    <w:rsid w:val="007A6C95"/>
    <w:rsid w:val="007B0408"/>
    <w:rsid w:val="007B502A"/>
    <w:rsid w:val="007B586D"/>
    <w:rsid w:val="007C1005"/>
    <w:rsid w:val="007C45F3"/>
    <w:rsid w:val="007D117B"/>
    <w:rsid w:val="007D14FA"/>
    <w:rsid w:val="007D1ADD"/>
    <w:rsid w:val="007D20D2"/>
    <w:rsid w:val="007D6BCA"/>
    <w:rsid w:val="007D6FE6"/>
    <w:rsid w:val="007E16DC"/>
    <w:rsid w:val="007E6011"/>
    <w:rsid w:val="007F0164"/>
    <w:rsid w:val="007F4A60"/>
    <w:rsid w:val="00802DAE"/>
    <w:rsid w:val="00805E89"/>
    <w:rsid w:val="008068DB"/>
    <w:rsid w:val="00811530"/>
    <w:rsid w:val="0081271E"/>
    <w:rsid w:val="00814CB8"/>
    <w:rsid w:val="008174CE"/>
    <w:rsid w:val="00826162"/>
    <w:rsid w:val="00827EF3"/>
    <w:rsid w:val="00847328"/>
    <w:rsid w:val="00850705"/>
    <w:rsid w:val="008526A6"/>
    <w:rsid w:val="0085591F"/>
    <w:rsid w:val="0086001E"/>
    <w:rsid w:val="00862985"/>
    <w:rsid w:val="00867658"/>
    <w:rsid w:val="0087065E"/>
    <w:rsid w:val="00873494"/>
    <w:rsid w:val="00876EC1"/>
    <w:rsid w:val="00880020"/>
    <w:rsid w:val="00882DB3"/>
    <w:rsid w:val="00884B72"/>
    <w:rsid w:val="0088637B"/>
    <w:rsid w:val="00886DCF"/>
    <w:rsid w:val="008922BC"/>
    <w:rsid w:val="00895F96"/>
    <w:rsid w:val="008B0548"/>
    <w:rsid w:val="008B31AB"/>
    <w:rsid w:val="008B4357"/>
    <w:rsid w:val="008C65E6"/>
    <w:rsid w:val="008D2AD8"/>
    <w:rsid w:val="008D6710"/>
    <w:rsid w:val="008D6E5A"/>
    <w:rsid w:val="0090255F"/>
    <w:rsid w:val="00904AEF"/>
    <w:rsid w:val="00904CC0"/>
    <w:rsid w:val="00905CF4"/>
    <w:rsid w:val="009178BC"/>
    <w:rsid w:val="00924D59"/>
    <w:rsid w:val="00927E48"/>
    <w:rsid w:val="0093304A"/>
    <w:rsid w:val="009347B0"/>
    <w:rsid w:val="00936133"/>
    <w:rsid w:val="00942E8D"/>
    <w:rsid w:val="009436BE"/>
    <w:rsid w:val="00944AB2"/>
    <w:rsid w:val="00956F14"/>
    <w:rsid w:val="0096080F"/>
    <w:rsid w:val="00961F87"/>
    <w:rsid w:val="0096701C"/>
    <w:rsid w:val="00986AEA"/>
    <w:rsid w:val="00993225"/>
    <w:rsid w:val="0099336D"/>
    <w:rsid w:val="00993C57"/>
    <w:rsid w:val="009A2FC4"/>
    <w:rsid w:val="009A4A5B"/>
    <w:rsid w:val="009B0610"/>
    <w:rsid w:val="009B192D"/>
    <w:rsid w:val="009B40B0"/>
    <w:rsid w:val="009C4957"/>
    <w:rsid w:val="009C52AF"/>
    <w:rsid w:val="009D161B"/>
    <w:rsid w:val="009D3DE2"/>
    <w:rsid w:val="009D54D6"/>
    <w:rsid w:val="009D74A0"/>
    <w:rsid w:val="009E373E"/>
    <w:rsid w:val="009E4266"/>
    <w:rsid w:val="009E4B86"/>
    <w:rsid w:val="009E5114"/>
    <w:rsid w:val="009F062A"/>
    <w:rsid w:val="009F06FC"/>
    <w:rsid w:val="009F0D49"/>
    <w:rsid w:val="009F35E5"/>
    <w:rsid w:val="009F4F95"/>
    <w:rsid w:val="009F6778"/>
    <w:rsid w:val="009F766E"/>
    <w:rsid w:val="00A06DBA"/>
    <w:rsid w:val="00A12D46"/>
    <w:rsid w:val="00A16492"/>
    <w:rsid w:val="00A24C3F"/>
    <w:rsid w:val="00A2592A"/>
    <w:rsid w:val="00A27652"/>
    <w:rsid w:val="00A27656"/>
    <w:rsid w:val="00A31EF0"/>
    <w:rsid w:val="00A516A0"/>
    <w:rsid w:val="00A539D7"/>
    <w:rsid w:val="00A56719"/>
    <w:rsid w:val="00A5789C"/>
    <w:rsid w:val="00A67609"/>
    <w:rsid w:val="00A67DC4"/>
    <w:rsid w:val="00A740B7"/>
    <w:rsid w:val="00A75DC7"/>
    <w:rsid w:val="00A80D2D"/>
    <w:rsid w:val="00A824EA"/>
    <w:rsid w:val="00A85515"/>
    <w:rsid w:val="00A86277"/>
    <w:rsid w:val="00A920CA"/>
    <w:rsid w:val="00A9357B"/>
    <w:rsid w:val="00AB6B6D"/>
    <w:rsid w:val="00AC299F"/>
    <w:rsid w:val="00AC66F8"/>
    <w:rsid w:val="00AD2A56"/>
    <w:rsid w:val="00AE04A5"/>
    <w:rsid w:val="00AE131C"/>
    <w:rsid w:val="00AE1D3A"/>
    <w:rsid w:val="00AF011C"/>
    <w:rsid w:val="00AF01E5"/>
    <w:rsid w:val="00AF2E13"/>
    <w:rsid w:val="00AF325D"/>
    <w:rsid w:val="00AF7324"/>
    <w:rsid w:val="00AF7DF0"/>
    <w:rsid w:val="00B06397"/>
    <w:rsid w:val="00B31C3E"/>
    <w:rsid w:val="00B35B2B"/>
    <w:rsid w:val="00B43722"/>
    <w:rsid w:val="00B44B01"/>
    <w:rsid w:val="00B47949"/>
    <w:rsid w:val="00B506A4"/>
    <w:rsid w:val="00B51B9A"/>
    <w:rsid w:val="00B52C2C"/>
    <w:rsid w:val="00B52F21"/>
    <w:rsid w:val="00B534C2"/>
    <w:rsid w:val="00B55167"/>
    <w:rsid w:val="00B5761E"/>
    <w:rsid w:val="00B67BAE"/>
    <w:rsid w:val="00B829ED"/>
    <w:rsid w:val="00B83F4B"/>
    <w:rsid w:val="00B84D7A"/>
    <w:rsid w:val="00B86DF3"/>
    <w:rsid w:val="00B970AA"/>
    <w:rsid w:val="00BA37D3"/>
    <w:rsid w:val="00BA3FB2"/>
    <w:rsid w:val="00BA71F3"/>
    <w:rsid w:val="00BB5CB2"/>
    <w:rsid w:val="00BD1A9E"/>
    <w:rsid w:val="00BD4B35"/>
    <w:rsid w:val="00BD4BFF"/>
    <w:rsid w:val="00BE20E4"/>
    <w:rsid w:val="00BE4ED7"/>
    <w:rsid w:val="00BF0A22"/>
    <w:rsid w:val="00BF3A2F"/>
    <w:rsid w:val="00BF71BA"/>
    <w:rsid w:val="00C06C43"/>
    <w:rsid w:val="00C11478"/>
    <w:rsid w:val="00C22EA6"/>
    <w:rsid w:val="00C327D0"/>
    <w:rsid w:val="00C32A18"/>
    <w:rsid w:val="00C33E97"/>
    <w:rsid w:val="00C5000E"/>
    <w:rsid w:val="00C50D49"/>
    <w:rsid w:val="00C51949"/>
    <w:rsid w:val="00C5658B"/>
    <w:rsid w:val="00C56E0A"/>
    <w:rsid w:val="00C57B4E"/>
    <w:rsid w:val="00C6316E"/>
    <w:rsid w:val="00C63440"/>
    <w:rsid w:val="00C66C5B"/>
    <w:rsid w:val="00C6789A"/>
    <w:rsid w:val="00C70804"/>
    <w:rsid w:val="00C72360"/>
    <w:rsid w:val="00C77C21"/>
    <w:rsid w:val="00C81601"/>
    <w:rsid w:val="00C81A30"/>
    <w:rsid w:val="00C82769"/>
    <w:rsid w:val="00C83318"/>
    <w:rsid w:val="00C87FAB"/>
    <w:rsid w:val="00C900E3"/>
    <w:rsid w:val="00C931BE"/>
    <w:rsid w:val="00C97E08"/>
    <w:rsid w:val="00CA597E"/>
    <w:rsid w:val="00CA7EC2"/>
    <w:rsid w:val="00CB1C25"/>
    <w:rsid w:val="00CB20E3"/>
    <w:rsid w:val="00CB40C4"/>
    <w:rsid w:val="00CB67E9"/>
    <w:rsid w:val="00CB6A15"/>
    <w:rsid w:val="00CC08B8"/>
    <w:rsid w:val="00CC3E22"/>
    <w:rsid w:val="00CD0DC8"/>
    <w:rsid w:val="00CE14CB"/>
    <w:rsid w:val="00CE32D3"/>
    <w:rsid w:val="00CE4B8F"/>
    <w:rsid w:val="00CE6F19"/>
    <w:rsid w:val="00CE72B9"/>
    <w:rsid w:val="00CF30F5"/>
    <w:rsid w:val="00CF4BA8"/>
    <w:rsid w:val="00D01FF4"/>
    <w:rsid w:val="00D0446D"/>
    <w:rsid w:val="00D1151F"/>
    <w:rsid w:val="00D13043"/>
    <w:rsid w:val="00D15612"/>
    <w:rsid w:val="00D15C7C"/>
    <w:rsid w:val="00D30FE1"/>
    <w:rsid w:val="00D40A87"/>
    <w:rsid w:val="00D416AC"/>
    <w:rsid w:val="00D428AE"/>
    <w:rsid w:val="00D451E3"/>
    <w:rsid w:val="00D505EE"/>
    <w:rsid w:val="00D5178A"/>
    <w:rsid w:val="00D70D1F"/>
    <w:rsid w:val="00D771DE"/>
    <w:rsid w:val="00D777E8"/>
    <w:rsid w:val="00D955E5"/>
    <w:rsid w:val="00DA45A6"/>
    <w:rsid w:val="00DA5BAD"/>
    <w:rsid w:val="00DA6EA4"/>
    <w:rsid w:val="00DA713E"/>
    <w:rsid w:val="00DC2513"/>
    <w:rsid w:val="00DC4795"/>
    <w:rsid w:val="00DD73AA"/>
    <w:rsid w:val="00DD760B"/>
    <w:rsid w:val="00DE0557"/>
    <w:rsid w:val="00DE1DD0"/>
    <w:rsid w:val="00DF4CAF"/>
    <w:rsid w:val="00DF5C6F"/>
    <w:rsid w:val="00DF63BC"/>
    <w:rsid w:val="00E02396"/>
    <w:rsid w:val="00E05584"/>
    <w:rsid w:val="00E068DD"/>
    <w:rsid w:val="00E07920"/>
    <w:rsid w:val="00E102BB"/>
    <w:rsid w:val="00E10D8C"/>
    <w:rsid w:val="00E12262"/>
    <w:rsid w:val="00E165DD"/>
    <w:rsid w:val="00E17195"/>
    <w:rsid w:val="00E22BC9"/>
    <w:rsid w:val="00E232BE"/>
    <w:rsid w:val="00E25EA3"/>
    <w:rsid w:val="00E3202A"/>
    <w:rsid w:val="00E40FD6"/>
    <w:rsid w:val="00E632A4"/>
    <w:rsid w:val="00E65EC6"/>
    <w:rsid w:val="00E67F0B"/>
    <w:rsid w:val="00E707B5"/>
    <w:rsid w:val="00E74D9E"/>
    <w:rsid w:val="00E85C3B"/>
    <w:rsid w:val="00E90972"/>
    <w:rsid w:val="00E920E2"/>
    <w:rsid w:val="00E95C8D"/>
    <w:rsid w:val="00EA176A"/>
    <w:rsid w:val="00EB1631"/>
    <w:rsid w:val="00EB486C"/>
    <w:rsid w:val="00EB4A96"/>
    <w:rsid w:val="00EB7FC8"/>
    <w:rsid w:val="00EC1604"/>
    <w:rsid w:val="00EC5B7E"/>
    <w:rsid w:val="00EC7994"/>
    <w:rsid w:val="00ED61C3"/>
    <w:rsid w:val="00EE5683"/>
    <w:rsid w:val="00EF5C84"/>
    <w:rsid w:val="00F031E2"/>
    <w:rsid w:val="00F03CB8"/>
    <w:rsid w:val="00F1692F"/>
    <w:rsid w:val="00F17D05"/>
    <w:rsid w:val="00F24681"/>
    <w:rsid w:val="00F32916"/>
    <w:rsid w:val="00F32B8A"/>
    <w:rsid w:val="00F3733E"/>
    <w:rsid w:val="00F434B2"/>
    <w:rsid w:val="00F452AD"/>
    <w:rsid w:val="00F463D1"/>
    <w:rsid w:val="00F51A97"/>
    <w:rsid w:val="00F5228B"/>
    <w:rsid w:val="00F55742"/>
    <w:rsid w:val="00F5675C"/>
    <w:rsid w:val="00F6050D"/>
    <w:rsid w:val="00F62B13"/>
    <w:rsid w:val="00F6304A"/>
    <w:rsid w:val="00F63526"/>
    <w:rsid w:val="00F6491E"/>
    <w:rsid w:val="00F7326C"/>
    <w:rsid w:val="00F75DBF"/>
    <w:rsid w:val="00F80041"/>
    <w:rsid w:val="00F81CBD"/>
    <w:rsid w:val="00F81D67"/>
    <w:rsid w:val="00F83797"/>
    <w:rsid w:val="00F84750"/>
    <w:rsid w:val="00F8615F"/>
    <w:rsid w:val="00F957A0"/>
    <w:rsid w:val="00F978DF"/>
    <w:rsid w:val="00FA2F86"/>
    <w:rsid w:val="00FA3BF1"/>
    <w:rsid w:val="00FA4019"/>
    <w:rsid w:val="00FA405E"/>
    <w:rsid w:val="00FB1A35"/>
    <w:rsid w:val="00FB21C5"/>
    <w:rsid w:val="00FB2213"/>
    <w:rsid w:val="00FB25DA"/>
    <w:rsid w:val="00FD3E0D"/>
    <w:rsid w:val="00FD447A"/>
    <w:rsid w:val="00FE1E59"/>
    <w:rsid w:val="00FF040B"/>
    <w:rsid w:val="00FF3E2A"/>
    <w:rsid w:val="00FF5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231"/>
    <w:pPr>
      <w:spacing w:after="0" w:line="240" w:lineRule="auto"/>
    </w:pPr>
    <w:rPr>
      <w:rFonts w:ascii="Times New Roman" w:eastAsia="Calibri" w:hAnsi="Times New Roman" w:cs="Times New Roman"/>
      <w:szCs w:val="24"/>
      <w:lang w:val="lv-LV"/>
    </w:rPr>
  </w:style>
  <w:style w:type="paragraph" w:styleId="Heading2">
    <w:name w:val="heading 2"/>
    <w:basedOn w:val="Normal"/>
    <w:next w:val="Normal"/>
    <w:link w:val="Heading2Char"/>
    <w:semiHidden/>
    <w:unhideWhenUsed/>
    <w:qFormat/>
    <w:rsid w:val="003B423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3B4231"/>
    <w:rPr>
      <w:rFonts w:ascii="Arial" w:eastAsia="Calibri" w:hAnsi="Arial" w:cs="Arial"/>
      <w:b/>
      <w:bCs/>
      <w:i/>
      <w:iCs/>
      <w:sz w:val="28"/>
      <w:szCs w:val="28"/>
      <w:lang w:val="lv-LV"/>
    </w:rPr>
  </w:style>
  <w:style w:type="paragraph" w:styleId="BodyText2">
    <w:name w:val="Body Text 2"/>
    <w:basedOn w:val="Normal"/>
    <w:link w:val="BodyText2Char"/>
    <w:semiHidden/>
    <w:unhideWhenUsed/>
    <w:rsid w:val="003B4231"/>
    <w:pPr>
      <w:jc w:val="right"/>
    </w:pPr>
    <w:rPr>
      <w:rFonts w:ascii="Garamond" w:hAnsi="Garamond"/>
      <w:sz w:val="28"/>
      <w:szCs w:val="28"/>
    </w:rPr>
  </w:style>
  <w:style w:type="character" w:customStyle="1" w:styleId="BodyText2Char">
    <w:name w:val="Body Text 2 Char"/>
    <w:basedOn w:val="DefaultParagraphFont"/>
    <w:link w:val="BodyText2"/>
    <w:semiHidden/>
    <w:rsid w:val="003B4231"/>
    <w:rPr>
      <w:rFonts w:ascii="Garamond" w:eastAsia="Calibri" w:hAnsi="Garamond" w:cs="Times New Roman"/>
      <w:sz w:val="28"/>
      <w:szCs w:val="28"/>
      <w:lang w:val="lv-LV"/>
    </w:rPr>
  </w:style>
  <w:style w:type="paragraph" w:styleId="ListParagraph">
    <w:name w:val="List Paragraph"/>
    <w:basedOn w:val="Normal"/>
    <w:uiPriority w:val="34"/>
    <w:qFormat/>
    <w:rsid w:val="00765E94"/>
    <w:pPr>
      <w:ind w:left="720"/>
      <w:contextualSpacing/>
    </w:pPr>
  </w:style>
  <w:style w:type="paragraph" w:styleId="Header">
    <w:name w:val="header"/>
    <w:basedOn w:val="Normal"/>
    <w:link w:val="HeaderChar"/>
    <w:uiPriority w:val="99"/>
    <w:unhideWhenUsed/>
    <w:rsid w:val="00FB25DA"/>
    <w:pPr>
      <w:tabs>
        <w:tab w:val="center" w:pos="4320"/>
        <w:tab w:val="right" w:pos="8640"/>
      </w:tabs>
    </w:pPr>
  </w:style>
  <w:style w:type="character" w:customStyle="1" w:styleId="HeaderChar">
    <w:name w:val="Header Char"/>
    <w:basedOn w:val="DefaultParagraphFont"/>
    <w:link w:val="Header"/>
    <w:uiPriority w:val="99"/>
    <w:rsid w:val="00FB25DA"/>
    <w:rPr>
      <w:rFonts w:ascii="Times New Roman" w:eastAsia="Calibri" w:hAnsi="Times New Roman" w:cs="Times New Roman"/>
      <w:szCs w:val="24"/>
      <w:lang w:val="lv-LV"/>
    </w:rPr>
  </w:style>
  <w:style w:type="paragraph" w:styleId="Footer">
    <w:name w:val="footer"/>
    <w:basedOn w:val="Normal"/>
    <w:link w:val="FooterChar"/>
    <w:uiPriority w:val="99"/>
    <w:unhideWhenUsed/>
    <w:rsid w:val="00FB25DA"/>
    <w:pPr>
      <w:tabs>
        <w:tab w:val="center" w:pos="4320"/>
        <w:tab w:val="right" w:pos="8640"/>
      </w:tabs>
    </w:pPr>
  </w:style>
  <w:style w:type="character" w:customStyle="1" w:styleId="FooterChar">
    <w:name w:val="Footer Char"/>
    <w:basedOn w:val="DefaultParagraphFont"/>
    <w:link w:val="Footer"/>
    <w:uiPriority w:val="99"/>
    <w:rsid w:val="00FB25DA"/>
    <w:rPr>
      <w:rFonts w:ascii="Times New Roman" w:eastAsia="Calibri" w:hAnsi="Times New Roman" w:cs="Times New Roman"/>
      <w:szCs w:val="24"/>
      <w:lang w:val="lv-LV"/>
    </w:rPr>
  </w:style>
  <w:style w:type="paragraph" w:styleId="BalloonText">
    <w:name w:val="Balloon Text"/>
    <w:basedOn w:val="Normal"/>
    <w:link w:val="BalloonTextChar"/>
    <w:uiPriority w:val="99"/>
    <w:semiHidden/>
    <w:unhideWhenUsed/>
    <w:rsid w:val="007D14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4FA"/>
    <w:rPr>
      <w:rFonts w:ascii="Segoe UI" w:eastAsia="Calibri" w:hAnsi="Segoe UI" w:cs="Segoe UI"/>
      <w:sz w:val="18"/>
      <w:szCs w:val="18"/>
      <w:lang w:val="lv-LV"/>
    </w:rPr>
  </w:style>
  <w:style w:type="character" w:styleId="Hyperlink">
    <w:name w:val="Hyperlink"/>
    <w:basedOn w:val="DefaultParagraphFont"/>
    <w:uiPriority w:val="99"/>
    <w:unhideWhenUsed/>
    <w:rsid w:val="00540D55"/>
    <w:rPr>
      <w:color w:val="0563C1" w:themeColor="hyperlink"/>
      <w:u w:val="single"/>
    </w:rPr>
  </w:style>
  <w:style w:type="character" w:styleId="UnresolvedMention">
    <w:name w:val="Unresolved Mention"/>
    <w:basedOn w:val="DefaultParagraphFont"/>
    <w:uiPriority w:val="99"/>
    <w:semiHidden/>
    <w:unhideWhenUsed/>
    <w:rsid w:val="00540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425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383728.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03CAB-E50A-4D4E-A404-2A0FFCEF8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8817</Words>
  <Characters>5026</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2019-06-12T13:02:00Z</dcterms:created>
  <dcterms:modified xsi:type="dcterms:W3CDTF">2019-06-12T13:02:00Z</dcterms:modified>
</cp:coreProperties>
</file>