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58E1" w:rsidRPr="00C858E1" w:rsidRDefault="00C858E1" w:rsidP="00C858E1">
      <w:pPr>
        <w:rPr>
          <w:b/>
          <w:bCs/>
          <w:sz w:val="22"/>
          <w:szCs w:val="22"/>
        </w:rPr>
      </w:pPr>
      <w:bookmarkStart w:id="0" w:name="_GoBack"/>
      <w:bookmarkEnd w:id="0"/>
      <w:proofErr w:type="spellStart"/>
      <w:r w:rsidRPr="00C858E1">
        <w:rPr>
          <w:b/>
          <w:bCs/>
        </w:rPr>
        <w:t>Faktorizēta</w:t>
      </w:r>
      <w:proofErr w:type="spellEnd"/>
      <w:r w:rsidRPr="00C858E1">
        <w:rPr>
          <w:b/>
          <w:bCs/>
        </w:rPr>
        <w:t xml:space="preserve"> prasījuma izpilde</w:t>
      </w:r>
    </w:p>
    <w:p w:rsidR="003538F2" w:rsidRDefault="003538F2" w:rsidP="004026A6">
      <w:pPr>
        <w:spacing w:line="276" w:lineRule="auto"/>
        <w:jc w:val="right"/>
      </w:pPr>
    </w:p>
    <w:p w:rsidR="00C858E1" w:rsidRPr="005D7E61" w:rsidRDefault="00C858E1" w:rsidP="00C858E1">
      <w:pPr>
        <w:shd w:val="clear" w:color="auto" w:fill="FFFFFF"/>
        <w:spacing w:line="276" w:lineRule="auto"/>
        <w:jc w:val="center"/>
        <w:rPr>
          <w:rStyle w:val="Strong"/>
        </w:rPr>
      </w:pPr>
      <w:r w:rsidRPr="005D7E61">
        <w:rPr>
          <w:rStyle w:val="Strong"/>
          <w:color w:val="000000"/>
        </w:rPr>
        <w:t xml:space="preserve">Latvijas </w:t>
      </w:r>
      <w:r w:rsidRPr="005D7E61">
        <w:rPr>
          <w:rStyle w:val="Strong"/>
        </w:rPr>
        <w:t>Republikas Senāta</w:t>
      </w:r>
    </w:p>
    <w:p w:rsidR="00C858E1" w:rsidRPr="005D7E61" w:rsidRDefault="00C858E1" w:rsidP="00C858E1">
      <w:pPr>
        <w:shd w:val="clear" w:color="auto" w:fill="FFFFFF"/>
        <w:spacing w:line="276" w:lineRule="auto"/>
        <w:jc w:val="center"/>
        <w:rPr>
          <w:rStyle w:val="Strong"/>
          <w:color w:val="000000"/>
        </w:rPr>
      </w:pPr>
      <w:r w:rsidRPr="005D7E61">
        <w:rPr>
          <w:rStyle w:val="Strong"/>
          <w:color w:val="000000"/>
        </w:rPr>
        <w:t xml:space="preserve">Civillietu departamenta </w:t>
      </w:r>
    </w:p>
    <w:p w:rsidR="00C858E1" w:rsidRPr="005D7E61" w:rsidRDefault="00C858E1" w:rsidP="00C858E1">
      <w:pPr>
        <w:shd w:val="clear" w:color="auto" w:fill="FFFFFF"/>
        <w:spacing w:line="276" w:lineRule="auto"/>
        <w:jc w:val="center"/>
        <w:rPr>
          <w:rStyle w:val="Strong"/>
          <w:color w:val="000000"/>
        </w:rPr>
      </w:pPr>
      <w:r w:rsidRPr="005D7E61">
        <w:rPr>
          <w:rStyle w:val="Strong"/>
          <w:color w:val="000000"/>
        </w:rPr>
        <w:t>201</w:t>
      </w:r>
      <w:r>
        <w:rPr>
          <w:rStyle w:val="Strong"/>
          <w:color w:val="000000"/>
        </w:rPr>
        <w:t>9</w:t>
      </w:r>
      <w:r w:rsidRPr="005D7E61">
        <w:rPr>
          <w:rStyle w:val="Strong"/>
          <w:color w:val="000000"/>
        </w:rPr>
        <w:t>.gada 2.</w:t>
      </w:r>
      <w:r>
        <w:rPr>
          <w:rStyle w:val="Strong"/>
          <w:color w:val="000000"/>
        </w:rPr>
        <w:t>jūlij</w:t>
      </w:r>
      <w:r w:rsidRPr="005D7E61">
        <w:rPr>
          <w:rStyle w:val="Strong"/>
          <w:color w:val="000000"/>
        </w:rPr>
        <w:t>a</w:t>
      </w:r>
    </w:p>
    <w:p w:rsidR="00C858E1" w:rsidRPr="005D7E61" w:rsidRDefault="00C858E1" w:rsidP="00C858E1">
      <w:pPr>
        <w:shd w:val="clear" w:color="auto" w:fill="FFFFFF"/>
        <w:spacing w:line="276" w:lineRule="auto"/>
        <w:jc w:val="center"/>
        <w:rPr>
          <w:rStyle w:val="Strong"/>
          <w:color w:val="000000"/>
        </w:rPr>
      </w:pPr>
      <w:r w:rsidRPr="005D7E61">
        <w:rPr>
          <w:rStyle w:val="Strong"/>
          <w:color w:val="000000"/>
        </w:rPr>
        <w:t>SPRIEDUMS</w:t>
      </w:r>
    </w:p>
    <w:p w:rsidR="00C858E1" w:rsidRPr="005D7E61" w:rsidRDefault="00C858E1" w:rsidP="00C858E1">
      <w:pPr>
        <w:shd w:val="clear" w:color="auto" w:fill="FFFFFF"/>
        <w:spacing w:line="276" w:lineRule="auto"/>
        <w:jc w:val="center"/>
        <w:rPr>
          <w:rStyle w:val="Strong"/>
          <w:color w:val="000000"/>
        </w:rPr>
      </w:pPr>
      <w:r w:rsidRPr="005D7E61">
        <w:rPr>
          <w:rStyle w:val="Strong"/>
          <w:color w:val="000000"/>
        </w:rPr>
        <w:t>Lieta Nr. C3</w:t>
      </w:r>
      <w:r>
        <w:rPr>
          <w:rStyle w:val="Strong"/>
          <w:color w:val="000000"/>
        </w:rPr>
        <w:t>1440414</w:t>
      </w:r>
      <w:r w:rsidRPr="005D7E61">
        <w:rPr>
          <w:rStyle w:val="Strong"/>
          <w:color w:val="000000"/>
        </w:rPr>
        <w:t>, SKC-</w:t>
      </w:r>
      <w:r>
        <w:rPr>
          <w:rStyle w:val="Strong"/>
          <w:color w:val="000000"/>
        </w:rPr>
        <w:t>60</w:t>
      </w:r>
      <w:r w:rsidRPr="005D7E61">
        <w:rPr>
          <w:rStyle w:val="Strong"/>
          <w:color w:val="000000"/>
        </w:rPr>
        <w:t>/201</w:t>
      </w:r>
      <w:r>
        <w:rPr>
          <w:rStyle w:val="Strong"/>
          <w:color w:val="000000"/>
        </w:rPr>
        <w:t>9</w:t>
      </w:r>
    </w:p>
    <w:p w:rsidR="003538F2" w:rsidRPr="00C858E1" w:rsidRDefault="00C858E1" w:rsidP="00C858E1">
      <w:pPr>
        <w:pStyle w:val="BodyText2"/>
        <w:spacing w:line="276" w:lineRule="auto"/>
        <w:jc w:val="center"/>
        <w:rPr>
          <w:rFonts w:ascii="Times New Roman" w:hAnsi="Times New Roman"/>
          <w:sz w:val="24"/>
          <w:szCs w:val="24"/>
        </w:rPr>
      </w:pPr>
      <w:hyperlink r:id="rId8" w:history="1">
        <w:r w:rsidRPr="00C858E1">
          <w:rPr>
            <w:rStyle w:val="Hyperlink"/>
            <w:rFonts w:ascii="Times New Roman" w:hAnsi="Times New Roman"/>
            <w:sz w:val="24"/>
            <w:szCs w:val="24"/>
            <w:lang w:val="lv-LV"/>
          </w:rPr>
          <w:t>ECLI:LV:AT:2019:0</w:t>
        </w:r>
        <w:r>
          <w:rPr>
            <w:rStyle w:val="Hyperlink"/>
            <w:rFonts w:ascii="Times New Roman" w:hAnsi="Times New Roman"/>
            <w:sz w:val="24"/>
            <w:szCs w:val="24"/>
            <w:lang w:val="lv-LV"/>
          </w:rPr>
          <w:t>702</w:t>
        </w:r>
        <w:r w:rsidRPr="00C858E1">
          <w:rPr>
            <w:rStyle w:val="Hyperlink"/>
            <w:rFonts w:ascii="Times New Roman" w:hAnsi="Times New Roman"/>
            <w:sz w:val="24"/>
            <w:szCs w:val="24"/>
            <w:lang w:val="lv-LV"/>
          </w:rPr>
          <w:t>.C3</w:t>
        </w:r>
        <w:r>
          <w:rPr>
            <w:rStyle w:val="Hyperlink"/>
            <w:rFonts w:ascii="Times New Roman" w:hAnsi="Times New Roman"/>
            <w:sz w:val="24"/>
            <w:szCs w:val="24"/>
            <w:lang w:val="lv-LV"/>
          </w:rPr>
          <w:t>1440414</w:t>
        </w:r>
        <w:r w:rsidRPr="00C858E1">
          <w:rPr>
            <w:rStyle w:val="Hyperlink"/>
            <w:rFonts w:ascii="Times New Roman" w:hAnsi="Times New Roman"/>
            <w:sz w:val="24"/>
            <w:szCs w:val="24"/>
            <w:lang w:val="lv-LV"/>
          </w:rPr>
          <w:t>.</w:t>
        </w:r>
        <w:r>
          <w:rPr>
            <w:rStyle w:val="Hyperlink"/>
            <w:rFonts w:ascii="Times New Roman" w:hAnsi="Times New Roman"/>
            <w:sz w:val="24"/>
            <w:szCs w:val="24"/>
            <w:lang w:val="lv-LV"/>
          </w:rPr>
          <w:t>3</w:t>
        </w:r>
        <w:r w:rsidRPr="00C858E1">
          <w:rPr>
            <w:rStyle w:val="Hyperlink"/>
            <w:rFonts w:ascii="Times New Roman" w:hAnsi="Times New Roman"/>
            <w:sz w:val="24"/>
            <w:szCs w:val="24"/>
            <w:lang w:val="lv-LV"/>
          </w:rPr>
          <w:t>.S</w:t>
        </w:r>
      </w:hyperlink>
    </w:p>
    <w:p w:rsidR="003538F2" w:rsidRDefault="003538F2" w:rsidP="003538F2">
      <w:pPr>
        <w:spacing w:line="276" w:lineRule="auto"/>
        <w:ind w:firstLine="567"/>
        <w:jc w:val="both"/>
      </w:pPr>
    </w:p>
    <w:p w:rsidR="0014389E" w:rsidRDefault="00DC1EAC" w:rsidP="003D73E2">
      <w:pPr>
        <w:spacing w:line="276" w:lineRule="auto"/>
        <w:ind w:firstLine="567"/>
        <w:jc w:val="both"/>
      </w:pPr>
      <w:r>
        <w:t>Senāts</w:t>
      </w:r>
      <w:r w:rsidR="003D73E2">
        <w:t xml:space="preserve"> šādā sastāvā</w:t>
      </w:r>
      <w:r w:rsidR="003D73E2" w:rsidRPr="007E0DE2">
        <w:t xml:space="preserve">: </w:t>
      </w:r>
    </w:p>
    <w:p w:rsidR="0014389E" w:rsidRDefault="00A91546" w:rsidP="003D73E2">
      <w:pPr>
        <w:spacing w:line="276" w:lineRule="auto"/>
        <w:ind w:firstLine="567"/>
        <w:jc w:val="both"/>
      </w:pPr>
      <w:r>
        <w:t>senatore</w:t>
      </w:r>
      <w:r w:rsidR="003D73E2">
        <w:t xml:space="preserve"> </w:t>
      </w:r>
      <w:r>
        <w:t>Anita Čerņavska</w:t>
      </w:r>
      <w:r w:rsidR="003D73E2">
        <w:t xml:space="preserve">, </w:t>
      </w:r>
    </w:p>
    <w:p w:rsidR="00645A9C" w:rsidRDefault="0014389E" w:rsidP="003D73E2">
      <w:pPr>
        <w:spacing w:line="276" w:lineRule="auto"/>
        <w:ind w:firstLine="567"/>
        <w:jc w:val="both"/>
      </w:pPr>
      <w:r>
        <w:t>senator</w:t>
      </w:r>
      <w:r w:rsidR="00A91546">
        <w:t>s</w:t>
      </w:r>
      <w:r>
        <w:t xml:space="preserve"> </w:t>
      </w:r>
      <w:r w:rsidR="00645A9C">
        <w:t>Valerijs Maksimovs,</w:t>
      </w:r>
    </w:p>
    <w:p w:rsidR="00406E3A" w:rsidRPr="003209D6" w:rsidRDefault="00645A9C" w:rsidP="00976463">
      <w:pPr>
        <w:spacing w:line="276" w:lineRule="auto"/>
        <w:ind w:firstLine="567"/>
        <w:jc w:val="both"/>
      </w:pPr>
      <w:r>
        <w:t xml:space="preserve">senators </w:t>
      </w:r>
      <w:r w:rsidR="00A91546">
        <w:t>Aigars Strupišs</w:t>
      </w:r>
    </w:p>
    <w:p w:rsidR="009A7C70" w:rsidRPr="003843C4" w:rsidRDefault="004C67C9" w:rsidP="0055639E">
      <w:pPr>
        <w:spacing w:line="276" w:lineRule="auto"/>
        <w:ind w:firstLine="567"/>
        <w:jc w:val="both"/>
      </w:pPr>
      <w:r w:rsidRPr="004C67C9">
        <w:t xml:space="preserve">rakstveida procesā izskatīja </w:t>
      </w:r>
      <w:r w:rsidR="00D72BBB">
        <w:t>AS </w:t>
      </w:r>
      <w:r w:rsidR="00593A8C">
        <w:t>„LP</w:t>
      </w:r>
      <w:r w:rsidR="009D3F7F">
        <w:t xml:space="preserve">B </w:t>
      </w:r>
      <w:proofErr w:type="spellStart"/>
      <w:r w:rsidR="009D3F7F">
        <w:t>Bank</w:t>
      </w:r>
      <w:proofErr w:type="spellEnd"/>
      <w:r w:rsidR="009D3F7F">
        <w:t xml:space="preserve">” </w:t>
      </w:r>
      <w:r w:rsidR="00F04998" w:rsidRPr="00F04998">
        <w:t xml:space="preserve">kasācijas sūdzību par </w:t>
      </w:r>
      <w:r w:rsidR="00A91546">
        <w:t>Rīgas apgabaltiesas Civillietu tiesas kolēģijas 2017.gada 28.marta sp</w:t>
      </w:r>
      <w:r w:rsidR="00D72BBB">
        <w:t>riedumu AS </w:t>
      </w:r>
      <w:r w:rsidR="009D3F7F">
        <w:t xml:space="preserve">„LPB </w:t>
      </w:r>
      <w:proofErr w:type="spellStart"/>
      <w:r w:rsidR="009D3F7F">
        <w:t>Bank</w:t>
      </w:r>
      <w:proofErr w:type="spellEnd"/>
      <w:r w:rsidR="00D72BBB">
        <w:t>” prasībā pret SIA </w:t>
      </w:r>
      <w:r w:rsidR="00A91546">
        <w:t>„</w:t>
      </w:r>
      <w:proofErr w:type="spellStart"/>
      <w:r w:rsidR="00A91546">
        <w:t>Sanitex</w:t>
      </w:r>
      <w:proofErr w:type="spellEnd"/>
      <w:r w:rsidR="00A91546">
        <w:t>”</w:t>
      </w:r>
      <w:r w:rsidR="00593A8C">
        <w:t xml:space="preserve"> </w:t>
      </w:r>
      <w:r w:rsidR="00645A9C">
        <w:t>ar trešo personu maksātnespējīgo SIA</w:t>
      </w:r>
      <w:r w:rsidR="00D72BBB">
        <w:t> </w:t>
      </w:r>
      <w:r w:rsidR="00645A9C">
        <w:t>„</w:t>
      </w:r>
      <w:proofErr w:type="spellStart"/>
      <w:r w:rsidR="00645A9C">
        <w:t>Microhous</w:t>
      </w:r>
      <w:proofErr w:type="spellEnd"/>
      <w:r w:rsidR="00645A9C">
        <w:t xml:space="preserve">” par </w:t>
      </w:r>
      <w:r w:rsidR="00976463">
        <w:t xml:space="preserve">parāda </w:t>
      </w:r>
      <w:r w:rsidR="00645A9C">
        <w:t>piedziņu</w:t>
      </w:r>
      <w:r w:rsidR="00EF4A54">
        <w:t>.</w:t>
      </w:r>
    </w:p>
    <w:p w:rsidR="009A7C70" w:rsidRPr="00257986" w:rsidRDefault="009A7C70" w:rsidP="0055639E">
      <w:pPr>
        <w:spacing w:line="276" w:lineRule="auto"/>
        <w:ind w:firstLine="567"/>
        <w:jc w:val="both"/>
      </w:pPr>
    </w:p>
    <w:p w:rsidR="009A7C70" w:rsidRPr="003843C4" w:rsidRDefault="009A7C70" w:rsidP="0055639E">
      <w:pPr>
        <w:spacing w:line="276" w:lineRule="auto"/>
        <w:jc w:val="center"/>
        <w:rPr>
          <w:b/>
        </w:rPr>
      </w:pPr>
      <w:r w:rsidRPr="003843C4">
        <w:rPr>
          <w:b/>
        </w:rPr>
        <w:t>Aprakstošā daļa</w:t>
      </w:r>
    </w:p>
    <w:p w:rsidR="009A7C70" w:rsidRPr="00257986" w:rsidRDefault="009A7C70" w:rsidP="0055639E">
      <w:pPr>
        <w:spacing w:line="276" w:lineRule="auto"/>
        <w:ind w:firstLine="567"/>
        <w:jc w:val="both"/>
      </w:pPr>
    </w:p>
    <w:p w:rsidR="00EF4A54" w:rsidRDefault="00A27F6C" w:rsidP="0055639E">
      <w:pPr>
        <w:spacing w:line="276" w:lineRule="auto"/>
        <w:ind w:firstLine="567"/>
        <w:jc w:val="both"/>
      </w:pPr>
      <w:r>
        <w:rPr>
          <w:color w:val="000000"/>
          <w:lang w:eastAsia="lv-LV"/>
        </w:rPr>
        <w:t xml:space="preserve">[1] </w:t>
      </w:r>
      <w:r w:rsidR="00A91546">
        <w:rPr>
          <w:rFonts w:ascii="TimesNewRomanPSMT" w:eastAsia="Calibri" w:hAnsi="TimesNewRomanPSMT" w:cs="TimesNewRomanPSMT"/>
          <w:lang w:eastAsia="lv-LV"/>
        </w:rPr>
        <w:t>AS</w:t>
      </w:r>
      <w:r w:rsidR="00D72BBB">
        <w:rPr>
          <w:rFonts w:ascii="TimesNewRomanPSMT" w:eastAsia="Calibri" w:hAnsi="TimesNewRomanPSMT" w:cs="TimesNewRomanPSMT"/>
          <w:lang w:eastAsia="lv-LV"/>
        </w:rPr>
        <w:t> </w:t>
      </w:r>
      <w:r w:rsidR="009D3F7F">
        <w:rPr>
          <w:rFonts w:ascii="TimesNewRomanPSMT" w:eastAsia="Calibri" w:hAnsi="TimesNewRomanPSMT" w:cs="TimesNewRomanPSMT"/>
          <w:lang w:eastAsia="lv-LV"/>
        </w:rPr>
        <w:t xml:space="preserve">„LPB </w:t>
      </w:r>
      <w:proofErr w:type="spellStart"/>
      <w:r w:rsidR="009D3F7F">
        <w:rPr>
          <w:rFonts w:ascii="TimesNewRomanPSMT" w:eastAsia="Calibri" w:hAnsi="TimesNewRomanPSMT" w:cs="TimesNewRomanPSMT"/>
          <w:lang w:eastAsia="lv-LV"/>
        </w:rPr>
        <w:t>Bank</w:t>
      </w:r>
      <w:proofErr w:type="spellEnd"/>
      <w:r w:rsidR="009D3F7F">
        <w:rPr>
          <w:rFonts w:ascii="TimesNewRomanPSMT" w:eastAsia="Calibri" w:hAnsi="TimesNewRomanPSMT" w:cs="TimesNewRomanPSMT"/>
          <w:lang w:eastAsia="lv-LV"/>
        </w:rPr>
        <w:t xml:space="preserve">” (pirms nosaukuma maiņas </w:t>
      </w:r>
      <w:r w:rsidR="00D72BBB">
        <w:rPr>
          <w:rFonts w:ascii="TimesNewRomanPSMT" w:eastAsia="Calibri" w:hAnsi="TimesNewRomanPSMT" w:cs="TimesNewRomanPSMT"/>
          <w:lang w:eastAsia="lv-LV"/>
        </w:rPr>
        <w:t>–</w:t>
      </w:r>
      <w:r w:rsidR="009D3F7F">
        <w:rPr>
          <w:rFonts w:ascii="TimesNewRomanPSMT" w:eastAsia="Calibri" w:hAnsi="TimesNewRomanPSMT" w:cs="TimesNewRomanPSMT"/>
          <w:lang w:eastAsia="lv-LV"/>
        </w:rPr>
        <w:t xml:space="preserve"> AS</w:t>
      </w:r>
      <w:r w:rsidR="00D72BBB">
        <w:rPr>
          <w:rFonts w:ascii="TimesNewRomanPSMT" w:eastAsia="Calibri" w:hAnsi="TimesNewRomanPSMT" w:cs="TimesNewRomanPSMT"/>
          <w:lang w:eastAsia="lv-LV"/>
        </w:rPr>
        <w:t> </w:t>
      </w:r>
      <w:r w:rsidR="00A91546">
        <w:rPr>
          <w:rFonts w:ascii="TimesNewRomanPSMT" w:eastAsia="Calibri" w:hAnsi="TimesNewRomanPSMT" w:cs="TimesNewRomanPSMT"/>
          <w:lang w:eastAsia="lv-LV"/>
        </w:rPr>
        <w:t>„Latvijas pasta banka”</w:t>
      </w:r>
      <w:r w:rsidR="009D3F7F">
        <w:t>)</w:t>
      </w:r>
      <w:r w:rsidR="00593A8C">
        <w:t xml:space="preserve"> </w:t>
      </w:r>
      <w:r w:rsidRPr="00A91546">
        <w:rPr>
          <w:color w:val="000000"/>
          <w:lang w:eastAsia="lv-LV"/>
        </w:rPr>
        <w:t>20</w:t>
      </w:r>
      <w:r w:rsidR="00A91546" w:rsidRPr="00A91546">
        <w:rPr>
          <w:color w:val="000000"/>
          <w:lang w:eastAsia="lv-LV"/>
        </w:rPr>
        <w:t>14</w:t>
      </w:r>
      <w:r w:rsidRPr="00A91546">
        <w:rPr>
          <w:color w:val="000000"/>
          <w:lang w:eastAsia="lv-LV"/>
        </w:rPr>
        <w:t xml:space="preserve">.gada </w:t>
      </w:r>
      <w:r w:rsidR="00A91546" w:rsidRPr="00A91546">
        <w:rPr>
          <w:color w:val="000000"/>
          <w:lang w:eastAsia="lv-LV"/>
        </w:rPr>
        <w:t>22</w:t>
      </w:r>
      <w:r w:rsidR="00B16271" w:rsidRPr="00A91546">
        <w:rPr>
          <w:color w:val="000000"/>
          <w:lang w:eastAsia="lv-LV"/>
        </w:rPr>
        <w:t>.</w:t>
      </w:r>
      <w:r w:rsidR="00A91546">
        <w:rPr>
          <w:color w:val="000000"/>
          <w:lang w:eastAsia="lv-LV"/>
        </w:rPr>
        <w:t>oktobrī</w:t>
      </w:r>
      <w:r w:rsidR="00645A9C">
        <w:rPr>
          <w:color w:val="000000"/>
          <w:lang w:eastAsia="lv-LV"/>
        </w:rPr>
        <w:t xml:space="preserve"> cēla</w:t>
      </w:r>
      <w:r>
        <w:rPr>
          <w:color w:val="000000"/>
          <w:lang w:eastAsia="lv-LV"/>
        </w:rPr>
        <w:t xml:space="preserve"> </w:t>
      </w:r>
      <w:r w:rsidR="00645A9C">
        <w:rPr>
          <w:color w:val="000000"/>
          <w:lang w:eastAsia="lv-LV"/>
        </w:rPr>
        <w:t>tiesā</w:t>
      </w:r>
      <w:r>
        <w:rPr>
          <w:color w:val="000000"/>
          <w:lang w:eastAsia="lv-LV"/>
        </w:rPr>
        <w:t xml:space="preserve"> prasību pret </w:t>
      </w:r>
      <w:r w:rsidR="00D72BBB">
        <w:t>SIA </w:t>
      </w:r>
      <w:r w:rsidR="00A91546">
        <w:t>„</w:t>
      </w:r>
      <w:proofErr w:type="spellStart"/>
      <w:r w:rsidR="00A91546">
        <w:t>Sanitex</w:t>
      </w:r>
      <w:proofErr w:type="spellEnd"/>
      <w:r w:rsidR="00A91546">
        <w:t>”</w:t>
      </w:r>
      <w:r w:rsidR="00645A9C">
        <w:t xml:space="preserve"> </w:t>
      </w:r>
      <w:r w:rsidR="00D72BBB">
        <w:t>(pirms reorganizācijas SIA </w:t>
      </w:r>
      <w:r w:rsidR="002040AB">
        <w:t>„</w:t>
      </w:r>
      <w:proofErr w:type="spellStart"/>
      <w:r w:rsidR="002040AB">
        <w:t>Promo</w:t>
      </w:r>
      <w:proofErr w:type="spellEnd"/>
      <w:r w:rsidR="002040AB">
        <w:t xml:space="preserve"> </w:t>
      </w:r>
      <w:proofErr w:type="spellStart"/>
      <w:r w:rsidR="002040AB">
        <w:t>Cash</w:t>
      </w:r>
      <w:proofErr w:type="spellEnd"/>
      <w:r w:rsidR="002040AB">
        <w:t xml:space="preserve"> &amp; </w:t>
      </w:r>
      <w:proofErr w:type="spellStart"/>
      <w:r w:rsidR="002040AB">
        <w:t>Carry</w:t>
      </w:r>
      <w:proofErr w:type="spellEnd"/>
      <w:r w:rsidR="002040AB">
        <w:t xml:space="preserve">”) </w:t>
      </w:r>
      <w:r w:rsidR="00ED558A">
        <w:t>a</w:t>
      </w:r>
      <w:r w:rsidR="00976463">
        <w:t>r trešo personu M</w:t>
      </w:r>
      <w:r w:rsidR="00D72BBB">
        <w:t>SIA </w:t>
      </w:r>
      <w:r w:rsidR="00ED558A">
        <w:t>„</w:t>
      </w:r>
      <w:proofErr w:type="spellStart"/>
      <w:r w:rsidR="00ED558A">
        <w:t>Microhous</w:t>
      </w:r>
      <w:proofErr w:type="spellEnd"/>
      <w:r w:rsidR="00ED558A">
        <w:t xml:space="preserve">” </w:t>
      </w:r>
      <w:r w:rsidR="00645A9C">
        <w:t>par parāda</w:t>
      </w:r>
      <w:r w:rsidR="00A91546">
        <w:t xml:space="preserve"> 418 015,75 EUR</w:t>
      </w:r>
      <w:r w:rsidR="00645A9C">
        <w:t xml:space="preserve"> un </w:t>
      </w:r>
      <w:r w:rsidR="00593A8C">
        <w:t xml:space="preserve">līgumisko </w:t>
      </w:r>
      <w:r w:rsidR="00645A9C">
        <w:t>nokavējuma procentu</w:t>
      </w:r>
      <w:r w:rsidR="00EF5BCA">
        <w:t xml:space="preserve"> 418 015,75 </w:t>
      </w:r>
      <w:r w:rsidR="00A91546">
        <w:t>EUR</w:t>
      </w:r>
      <w:r w:rsidR="00645A9C">
        <w:t xml:space="preserve"> piedziņu</w:t>
      </w:r>
      <w:r w:rsidR="00420810">
        <w:t>.</w:t>
      </w:r>
      <w:r w:rsidR="00A91546">
        <w:t xml:space="preserve"> </w:t>
      </w:r>
    </w:p>
    <w:p w:rsidR="00F87CDA" w:rsidRDefault="00B952C1" w:rsidP="0055639E">
      <w:pPr>
        <w:spacing w:line="276" w:lineRule="auto"/>
        <w:ind w:firstLine="567"/>
        <w:jc w:val="both"/>
        <w:rPr>
          <w:color w:val="000000"/>
          <w:lang w:eastAsia="lv-LV"/>
        </w:rPr>
      </w:pPr>
      <w:r>
        <w:rPr>
          <w:lang w:eastAsia="lv-LV"/>
        </w:rPr>
        <w:t>P</w:t>
      </w:r>
      <w:r w:rsidR="00F87CDA">
        <w:rPr>
          <w:color w:val="000000"/>
          <w:lang w:eastAsia="lv-LV"/>
        </w:rPr>
        <w:t>rasības pie</w:t>
      </w:r>
      <w:r w:rsidR="00C1274A">
        <w:rPr>
          <w:color w:val="000000"/>
          <w:lang w:eastAsia="lv-LV"/>
        </w:rPr>
        <w:t>teikumā norādīts tālāk minētais.</w:t>
      </w:r>
    </w:p>
    <w:p w:rsidR="00C1274A" w:rsidRDefault="00645A9C" w:rsidP="001A0ABC">
      <w:pPr>
        <w:spacing w:line="276" w:lineRule="auto"/>
        <w:ind w:firstLine="567"/>
        <w:jc w:val="both"/>
        <w:rPr>
          <w:color w:val="000000"/>
          <w:lang w:eastAsia="lv-LV"/>
        </w:rPr>
      </w:pPr>
      <w:r>
        <w:rPr>
          <w:color w:val="000000"/>
          <w:lang w:eastAsia="lv-LV"/>
        </w:rPr>
        <w:t xml:space="preserve">[1.1] </w:t>
      </w:r>
      <w:r w:rsidR="00C1274A">
        <w:rPr>
          <w:color w:val="000000"/>
          <w:lang w:eastAsia="lv-LV"/>
        </w:rPr>
        <w:t>Starp prasītāju</w:t>
      </w:r>
      <w:r w:rsidR="00D72BBB">
        <w:rPr>
          <w:color w:val="000000"/>
          <w:lang w:eastAsia="lv-LV"/>
        </w:rPr>
        <w:t xml:space="preserve"> (turpmāk arī – faktors) un SIA </w:t>
      </w:r>
      <w:r w:rsidR="00C1274A">
        <w:rPr>
          <w:color w:val="000000"/>
          <w:lang w:eastAsia="lv-LV"/>
        </w:rPr>
        <w:t>„</w:t>
      </w:r>
      <w:proofErr w:type="spellStart"/>
      <w:r w:rsidR="00C1274A">
        <w:rPr>
          <w:color w:val="000000"/>
          <w:lang w:eastAsia="lv-LV"/>
        </w:rPr>
        <w:t>Microhous</w:t>
      </w:r>
      <w:proofErr w:type="spellEnd"/>
      <w:r w:rsidR="00C1274A">
        <w:rPr>
          <w:color w:val="000000"/>
          <w:lang w:eastAsia="lv-LV"/>
        </w:rPr>
        <w:t>” (</w:t>
      </w:r>
      <w:r w:rsidR="00ED558A">
        <w:rPr>
          <w:color w:val="000000"/>
          <w:lang w:eastAsia="lv-LV"/>
        </w:rPr>
        <w:t xml:space="preserve">turpmāk arī – </w:t>
      </w:r>
      <w:r w:rsidR="00C1274A">
        <w:rPr>
          <w:color w:val="000000"/>
          <w:lang w:eastAsia="lv-LV"/>
        </w:rPr>
        <w:t>klient</w:t>
      </w:r>
      <w:r w:rsidR="00ED558A">
        <w:rPr>
          <w:color w:val="000000"/>
          <w:lang w:eastAsia="lv-LV"/>
        </w:rPr>
        <w:t>s) 2012.gada 8.jūnijā noslēgts f</w:t>
      </w:r>
      <w:r w:rsidR="00C1274A">
        <w:rPr>
          <w:color w:val="000000"/>
          <w:lang w:eastAsia="lv-LV"/>
        </w:rPr>
        <w:t xml:space="preserve">aktoringa līgums bez regresa </w:t>
      </w:r>
      <w:r w:rsidR="007B7A78">
        <w:rPr>
          <w:color w:val="000000"/>
          <w:lang w:eastAsia="lv-LV"/>
        </w:rPr>
        <w:t xml:space="preserve">Nr. 15-4/A4911/1/165-F </w:t>
      </w:r>
      <w:r>
        <w:rPr>
          <w:color w:val="000000"/>
          <w:lang w:eastAsia="lv-LV"/>
        </w:rPr>
        <w:t>(turpmāk</w:t>
      </w:r>
      <w:r w:rsidR="001A0ABC">
        <w:rPr>
          <w:color w:val="000000"/>
          <w:lang w:eastAsia="lv-LV"/>
        </w:rPr>
        <w:t xml:space="preserve"> – </w:t>
      </w:r>
      <w:r>
        <w:rPr>
          <w:color w:val="000000"/>
          <w:lang w:eastAsia="lv-LV"/>
        </w:rPr>
        <w:t>f</w:t>
      </w:r>
      <w:r w:rsidR="00C1274A">
        <w:rPr>
          <w:color w:val="000000"/>
          <w:lang w:eastAsia="lv-LV"/>
        </w:rPr>
        <w:t>aktoringa līgums).</w:t>
      </w:r>
    </w:p>
    <w:p w:rsidR="00D97FF3" w:rsidRDefault="00C1274A" w:rsidP="00F3144C">
      <w:pPr>
        <w:spacing w:line="276" w:lineRule="auto"/>
        <w:ind w:firstLine="567"/>
        <w:jc w:val="both"/>
        <w:rPr>
          <w:color w:val="000000"/>
          <w:lang w:eastAsia="lv-LV"/>
        </w:rPr>
      </w:pPr>
      <w:r>
        <w:rPr>
          <w:color w:val="000000"/>
          <w:lang w:eastAsia="lv-LV"/>
        </w:rPr>
        <w:t>Starp prasītāju,</w:t>
      </w:r>
      <w:r w:rsidR="00D72BBB">
        <w:rPr>
          <w:color w:val="000000"/>
          <w:lang w:eastAsia="lv-LV"/>
        </w:rPr>
        <w:t xml:space="preserve"> SIA </w:t>
      </w:r>
      <w:r w:rsidR="005648B4">
        <w:rPr>
          <w:color w:val="000000"/>
          <w:lang w:eastAsia="lv-LV"/>
        </w:rPr>
        <w:t>„</w:t>
      </w:r>
      <w:proofErr w:type="spellStart"/>
      <w:r w:rsidR="005648B4">
        <w:rPr>
          <w:color w:val="000000"/>
          <w:lang w:eastAsia="lv-LV"/>
        </w:rPr>
        <w:t>Microhous</w:t>
      </w:r>
      <w:proofErr w:type="spellEnd"/>
      <w:r w:rsidR="005648B4">
        <w:rPr>
          <w:color w:val="000000"/>
          <w:lang w:eastAsia="lv-LV"/>
        </w:rPr>
        <w:t>”</w:t>
      </w:r>
      <w:r w:rsidR="002040AB">
        <w:rPr>
          <w:color w:val="000000"/>
          <w:lang w:eastAsia="lv-LV"/>
        </w:rPr>
        <w:t xml:space="preserve"> un atbildētāju</w:t>
      </w:r>
      <w:r>
        <w:rPr>
          <w:color w:val="000000"/>
          <w:lang w:eastAsia="lv-LV"/>
        </w:rPr>
        <w:t xml:space="preserve"> (turpmāk arī – parādnieks</w:t>
      </w:r>
      <w:r w:rsidR="008A12F2">
        <w:rPr>
          <w:color w:val="000000"/>
          <w:lang w:eastAsia="lv-LV"/>
        </w:rPr>
        <w:t xml:space="preserve"> vai pircējs</w:t>
      </w:r>
      <w:r w:rsidR="00645A9C">
        <w:rPr>
          <w:color w:val="000000"/>
          <w:lang w:eastAsia="lv-LV"/>
        </w:rPr>
        <w:t xml:space="preserve">) 2012.gada 2.jūlijā noslēgts </w:t>
      </w:r>
      <w:r w:rsidR="00593A8C">
        <w:rPr>
          <w:color w:val="000000"/>
          <w:lang w:eastAsia="lv-LV"/>
        </w:rPr>
        <w:t xml:space="preserve">trīspusējs </w:t>
      </w:r>
      <w:r w:rsidR="00645A9C">
        <w:rPr>
          <w:color w:val="000000"/>
          <w:lang w:eastAsia="lv-LV"/>
        </w:rPr>
        <w:t>l</w:t>
      </w:r>
      <w:r>
        <w:rPr>
          <w:color w:val="000000"/>
          <w:lang w:eastAsia="lv-LV"/>
        </w:rPr>
        <w:t xml:space="preserve">īgums par faktoringa norēķinu kārtību </w:t>
      </w:r>
      <w:r w:rsidR="009D3F7F">
        <w:rPr>
          <w:color w:val="000000"/>
          <w:lang w:eastAsia="lv-LV"/>
        </w:rPr>
        <w:t>Nr.</w:t>
      </w:r>
      <w:r w:rsidR="00593A8C">
        <w:rPr>
          <w:color w:val="000000"/>
          <w:lang w:eastAsia="lv-LV"/>
        </w:rPr>
        <w:t>1</w:t>
      </w:r>
      <w:r>
        <w:rPr>
          <w:color w:val="000000"/>
          <w:lang w:eastAsia="lv-LV"/>
        </w:rPr>
        <w:t xml:space="preserve">, </w:t>
      </w:r>
      <w:r w:rsidR="0062266E">
        <w:rPr>
          <w:color w:val="000000"/>
          <w:lang w:eastAsia="lv-LV"/>
        </w:rPr>
        <w:t>ar kuru atbildē</w:t>
      </w:r>
      <w:r w:rsidR="00445542">
        <w:rPr>
          <w:color w:val="000000"/>
          <w:lang w:eastAsia="lv-LV"/>
        </w:rPr>
        <w:t>tāja apņēmā</w:t>
      </w:r>
      <w:r w:rsidR="0062266E">
        <w:rPr>
          <w:color w:val="000000"/>
          <w:lang w:eastAsia="lv-LV"/>
        </w:rPr>
        <w:t xml:space="preserve">s </w:t>
      </w:r>
      <w:r>
        <w:rPr>
          <w:color w:val="000000"/>
          <w:lang w:eastAsia="lv-LV"/>
        </w:rPr>
        <w:t>saskaņā ar pavadzīmi</w:t>
      </w:r>
      <w:r w:rsidR="002040AB">
        <w:rPr>
          <w:color w:val="000000"/>
          <w:lang w:eastAsia="lv-LV"/>
        </w:rPr>
        <w:t>-rēķinu</w:t>
      </w:r>
      <w:r w:rsidR="0062266E">
        <w:rPr>
          <w:color w:val="000000"/>
          <w:lang w:eastAsia="lv-LV"/>
        </w:rPr>
        <w:t xml:space="preserve">, kas satur </w:t>
      </w:r>
      <w:r w:rsidR="002040AB">
        <w:rPr>
          <w:color w:val="000000"/>
          <w:lang w:eastAsia="lv-LV"/>
        </w:rPr>
        <w:t>l</w:t>
      </w:r>
      <w:r>
        <w:rPr>
          <w:color w:val="000000"/>
          <w:lang w:eastAsia="lv-LV"/>
        </w:rPr>
        <w:t>īguma 2.punktā minēto uzrakstu</w:t>
      </w:r>
      <w:r w:rsidR="002040AB">
        <w:rPr>
          <w:color w:val="000000"/>
          <w:lang w:eastAsia="lv-LV"/>
        </w:rPr>
        <w:t xml:space="preserve"> (prasījuma tiesību nodošanas atzīme)</w:t>
      </w:r>
      <w:r w:rsidR="00F3144C">
        <w:rPr>
          <w:color w:val="000000"/>
          <w:lang w:eastAsia="lv-LV"/>
        </w:rPr>
        <w:t xml:space="preserve">, </w:t>
      </w:r>
      <w:r>
        <w:rPr>
          <w:color w:val="000000"/>
          <w:lang w:eastAsia="lv-LV"/>
        </w:rPr>
        <w:t>m</w:t>
      </w:r>
      <w:r w:rsidR="00593A8C">
        <w:rPr>
          <w:color w:val="000000"/>
          <w:lang w:eastAsia="lv-LV"/>
        </w:rPr>
        <w:t xml:space="preserve">aksājamo summu </w:t>
      </w:r>
      <w:r w:rsidR="00173B5C">
        <w:rPr>
          <w:color w:val="000000"/>
          <w:lang w:eastAsia="lv-LV"/>
        </w:rPr>
        <w:t>ieskaitīt</w:t>
      </w:r>
      <w:r w:rsidR="00F3144C">
        <w:rPr>
          <w:color w:val="000000"/>
          <w:lang w:eastAsia="lv-LV"/>
        </w:rPr>
        <w:t xml:space="preserve"> prasītājas kontā (3.punkts). </w:t>
      </w:r>
      <w:r w:rsidR="0062266E">
        <w:rPr>
          <w:color w:val="000000"/>
          <w:lang w:eastAsia="lv-LV"/>
        </w:rPr>
        <w:t>K</w:t>
      </w:r>
      <w:r w:rsidR="000F39A4">
        <w:rPr>
          <w:color w:val="000000"/>
          <w:lang w:eastAsia="lv-LV"/>
        </w:rPr>
        <w:t>lients</w:t>
      </w:r>
      <w:r w:rsidR="0062266E">
        <w:rPr>
          <w:color w:val="000000"/>
          <w:lang w:eastAsia="lv-LV"/>
        </w:rPr>
        <w:t xml:space="preserve"> un pircējs nav tiesīgi mainīt l</w:t>
      </w:r>
      <w:r w:rsidR="00F3144C">
        <w:rPr>
          <w:color w:val="000000"/>
          <w:lang w:eastAsia="lv-LV"/>
        </w:rPr>
        <w:t>īgumā</w:t>
      </w:r>
      <w:r w:rsidR="000F39A4">
        <w:rPr>
          <w:color w:val="000000"/>
          <w:lang w:eastAsia="lv-LV"/>
        </w:rPr>
        <w:t xml:space="preserve"> norādīto norēķinu kārtību</w:t>
      </w:r>
      <w:r w:rsidR="0062266E">
        <w:rPr>
          <w:color w:val="000000"/>
          <w:lang w:eastAsia="lv-LV"/>
        </w:rPr>
        <w:t xml:space="preserve"> (7.punkts). R</w:t>
      </w:r>
      <w:r w:rsidR="000F39A4">
        <w:rPr>
          <w:color w:val="000000"/>
          <w:lang w:eastAsia="lv-LV"/>
        </w:rPr>
        <w:t>akstiskas vienošanās par citu norēķinu kārtību</w:t>
      </w:r>
      <w:r w:rsidR="00C91AD3">
        <w:rPr>
          <w:color w:val="000000"/>
          <w:lang w:eastAsia="lv-LV"/>
        </w:rPr>
        <w:t xml:space="preserve"> </w:t>
      </w:r>
      <w:r w:rsidR="0062266E">
        <w:rPr>
          <w:color w:val="000000"/>
          <w:lang w:eastAsia="lv-LV"/>
        </w:rPr>
        <w:t>nebija</w:t>
      </w:r>
      <w:r w:rsidR="000F39A4">
        <w:rPr>
          <w:color w:val="000000"/>
          <w:lang w:eastAsia="lv-LV"/>
        </w:rPr>
        <w:t>.</w:t>
      </w:r>
    </w:p>
    <w:p w:rsidR="00B2395C" w:rsidRDefault="0062266E" w:rsidP="00593A8C">
      <w:pPr>
        <w:spacing w:line="276" w:lineRule="auto"/>
        <w:ind w:firstLine="567"/>
        <w:jc w:val="both"/>
        <w:rPr>
          <w:color w:val="000000"/>
          <w:lang w:eastAsia="lv-LV"/>
        </w:rPr>
      </w:pPr>
      <w:r>
        <w:rPr>
          <w:color w:val="000000"/>
          <w:lang w:eastAsia="lv-LV"/>
        </w:rPr>
        <w:t xml:space="preserve">[1.2] </w:t>
      </w:r>
      <w:r w:rsidR="00A410EB">
        <w:rPr>
          <w:color w:val="000000"/>
          <w:lang w:eastAsia="lv-LV"/>
        </w:rPr>
        <w:t>Atbild</w:t>
      </w:r>
      <w:r w:rsidR="00BA6726">
        <w:rPr>
          <w:color w:val="000000"/>
          <w:lang w:eastAsia="lv-LV"/>
        </w:rPr>
        <w:t>ētāja nav apmaksājusi laikā no 2013.gada 22.oktobra līdz 2013.gada 12.novembrim</w:t>
      </w:r>
      <w:r w:rsidR="00A410EB">
        <w:rPr>
          <w:color w:val="000000"/>
          <w:lang w:eastAsia="lv-LV"/>
        </w:rPr>
        <w:t xml:space="preserve"> </w:t>
      </w:r>
      <w:r w:rsidR="00D97FF3">
        <w:rPr>
          <w:color w:val="000000"/>
          <w:lang w:eastAsia="lv-LV"/>
        </w:rPr>
        <w:t>SIA</w:t>
      </w:r>
      <w:r w:rsidR="00D72BBB">
        <w:rPr>
          <w:color w:val="000000"/>
          <w:lang w:eastAsia="lv-LV"/>
        </w:rPr>
        <w:t> </w:t>
      </w:r>
      <w:r w:rsidR="00D97FF3">
        <w:rPr>
          <w:color w:val="000000"/>
          <w:lang w:eastAsia="lv-LV"/>
        </w:rPr>
        <w:t>„</w:t>
      </w:r>
      <w:proofErr w:type="spellStart"/>
      <w:r w:rsidR="00D97FF3">
        <w:rPr>
          <w:color w:val="000000"/>
          <w:lang w:eastAsia="lv-LV"/>
        </w:rPr>
        <w:t>Microhous</w:t>
      </w:r>
      <w:proofErr w:type="spellEnd"/>
      <w:r w:rsidR="00D97FF3">
        <w:rPr>
          <w:color w:val="000000"/>
          <w:lang w:eastAsia="lv-LV"/>
        </w:rPr>
        <w:t xml:space="preserve">” </w:t>
      </w:r>
      <w:r w:rsidR="00976463">
        <w:rPr>
          <w:color w:val="000000"/>
          <w:lang w:eastAsia="lv-LV"/>
        </w:rPr>
        <w:t xml:space="preserve">15 </w:t>
      </w:r>
      <w:proofErr w:type="spellStart"/>
      <w:r w:rsidR="00E63C14">
        <w:rPr>
          <w:color w:val="000000"/>
          <w:lang w:eastAsia="lv-LV"/>
        </w:rPr>
        <w:t>faktorizētos</w:t>
      </w:r>
      <w:proofErr w:type="spellEnd"/>
      <w:r w:rsidR="00E63C14">
        <w:rPr>
          <w:color w:val="000000"/>
          <w:lang w:eastAsia="lv-LV"/>
        </w:rPr>
        <w:t xml:space="preserve"> </w:t>
      </w:r>
      <w:r w:rsidR="00A410EB">
        <w:rPr>
          <w:color w:val="000000"/>
          <w:lang w:eastAsia="lv-LV"/>
        </w:rPr>
        <w:t>rēķinus</w:t>
      </w:r>
      <w:r w:rsidR="009B4636">
        <w:rPr>
          <w:color w:val="000000"/>
          <w:lang w:eastAsia="lv-LV"/>
        </w:rPr>
        <w:t xml:space="preserve"> (pavadzīmes)</w:t>
      </w:r>
      <w:r w:rsidR="00BA6726">
        <w:rPr>
          <w:color w:val="000000"/>
          <w:lang w:eastAsia="lv-LV"/>
        </w:rPr>
        <w:t xml:space="preserve">, kas saturēja </w:t>
      </w:r>
      <w:r w:rsidR="003263C4">
        <w:rPr>
          <w:color w:val="000000"/>
          <w:lang w:eastAsia="lv-LV"/>
        </w:rPr>
        <w:t xml:space="preserve">prasījuma </w:t>
      </w:r>
      <w:r>
        <w:rPr>
          <w:color w:val="000000"/>
          <w:lang w:eastAsia="lv-LV"/>
        </w:rPr>
        <w:t xml:space="preserve">tiesību </w:t>
      </w:r>
      <w:r w:rsidR="003263C4">
        <w:rPr>
          <w:color w:val="000000"/>
          <w:lang w:eastAsia="lv-LV"/>
        </w:rPr>
        <w:t>nodošanas atzīmi</w:t>
      </w:r>
      <w:r w:rsidR="00F3144C">
        <w:rPr>
          <w:color w:val="000000"/>
          <w:lang w:eastAsia="lv-LV"/>
        </w:rPr>
        <w:t>. S</w:t>
      </w:r>
      <w:r w:rsidR="00D97FF3">
        <w:rPr>
          <w:color w:val="000000"/>
          <w:lang w:eastAsia="lv-LV"/>
        </w:rPr>
        <w:t>umma</w:t>
      </w:r>
      <w:r w:rsidR="00173B5C">
        <w:rPr>
          <w:color w:val="000000"/>
          <w:lang w:eastAsia="lv-LV"/>
        </w:rPr>
        <w:t xml:space="preserve"> </w:t>
      </w:r>
      <w:r w:rsidR="00A410EB">
        <w:rPr>
          <w:color w:val="000000"/>
          <w:lang w:eastAsia="lv-LV"/>
        </w:rPr>
        <w:t>418 015,75</w:t>
      </w:r>
      <w:r w:rsidR="00EF5BCA">
        <w:rPr>
          <w:color w:val="000000"/>
          <w:lang w:eastAsia="lv-LV"/>
        </w:rPr>
        <w:t> </w:t>
      </w:r>
      <w:r w:rsidR="00A410EB">
        <w:rPr>
          <w:color w:val="000000"/>
          <w:lang w:eastAsia="lv-LV"/>
        </w:rPr>
        <w:t xml:space="preserve">EUR. Atbildētāja samaksu par </w:t>
      </w:r>
      <w:r w:rsidR="008A12F2">
        <w:rPr>
          <w:color w:val="000000"/>
          <w:lang w:eastAsia="lv-LV"/>
        </w:rPr>
        <w:t xml:space="preserve">minētajiem </w:t>
      </w:r>
      <w:r w:rsidR="00A410EB">
        <w:rPr>
          <w:color w:val="000000"/>
          <w:lang w:eastAsia="lv-LV"/>
        </w:rPr>
        <w:t>rēķiniem veikusi SIA</w:t>
      </w:r>
      <w:r w:rsidR="00D72BBB">
        <w:rPr>
          <w:color w:val="000000"/>
          <w:lang w:eastAsia="lv-LV"/>
        </w:rPr>
        <w:t> </w:t>
      </w:r>
      <w:r w:rsidR="00A410EB">
        <w:rPr>
          <w:color w:val="000000"/>
          <w:lang w:eastAsia="lv-LV"/>
        </w:rPr>
        <w:t>„</w:t>
      </w:r>
      <w:proofErr w:type="spellStart"/>
      <w:r w:rsidR="00A410EB">
        <w:rPr>
          <w:color w:val="000000"/>
          <w:lang w:eastAsia="lv-LV"/>
        </w:rPr>
        <w:t>Microhous</w:t>
      </w:r>
      <w:proofErr w:type="spellEnd"/>
      <w:r w:rsidR="00A410EB">
        <w:rPr>
          <w:color w:val="000000"/>
          <w:lang w:eastAsia="lv-LV"/>
        </w:rPr>
        <w:t>”</w:t>
      </w:r>
      <w:r w:rsidR="00173B5C">
        <w:rPr>
          <w:color w:val="000000"/>
          <w:lang w:eastAsia="lv-LV"/>
        </w:rPr>
        <w:t>, nevis prasītājai</w:t>
      </w:r>
      <w:r w:rsidR="00593A8C">
        <w:rPr>
          <w:color w:val="000000"/>
          <w:lang w:eastAsia="lv-LV"/>
        </w:rPr>
        <w:t>.</w:t>
      </w:r>
    </w:p>
    <w:p w:rsidR="006E4AF7" w:rsidRDefault="00B2395C" w:rsidP="000F39A4">
      <w:pPr>
        <w:spacing w:line="276" w:lineRule="auto"/>
        <w:ind w:firstLine="567"/>
        <w:jc w:val="both"/>
        <w:rPr>
          <w:color w:val="000000"/>
          <w:lang w:eastAsia="lv-LV"/>
        </w:rPr>
      </w:pPr>
      <w:r>
        <w:rPr>
          <w:color w:val="000000"/>
          <w:lang w:eastAsia="lv-LV"/>
        </w:rPr>
        <w:t xml:space="preserve">No Komerclikuma 468. un 473.panta izriet, ka ar brīdi, kad parādniekam paziņots par prasījumu </w:t>
      </w:r>
      <w:proofErr w:type="spellStart"/>
      <w:r>
        <w:rPr>
          <w:color w:val="000000"/>
          <w:lang w:eastAsia="lv-LV"/>
        </w:rPr>
        <w:t>faktorizēšanas</w:t>
      </w:r>
      <w:proofErr w:type="spellEnd"/>
      <w:r>
        <w:rPr>
          <w:color w:val="000000"/>
          <w:lang w:eastAsia="lv-LV"/>
        </w:rPr>
        <w:t xml:space="preserve"> (nodoša</w:t>
      </w:r>
      <w:r w:rsidR="006E4AF7">
        <w:rPr>
          <w:color w:val="000000"/>
          <w:lang w:eastAsia="lv-LV"/>
        </w:rPr>
        <w:t>nas faktoram) faktu, viņam</w:t>
      </w:r>
      <w:r>
        <w:rPr>
          <w:color w:val="000000"/>
          <w:lang w:eastAsia="lv-LV"/>
        </w:rPr>
        <w:t xml:space="preserve"> nodibinās norēķināšanās saistība par attiecīgo prasīju</w:t>
      </w:r>
      <w:r w:rsidR="00C01121">
        <w:rPr>
          <w:color w:val="000000"/>
          <w:lang w:eastAsia="lv-LV"/>
        </w:rPr>
        <w:t>mu tikai pret faktoru, nevis</w:t>
      </w:r>
      <w:r w:rsidR="00645A9C">
        <w:rPr>
          <w:color w:val="000000"/>
          <w:lang w:eastAsia="lv-LV"/>
        </w:rPr>
        <w:t xml:space="preserve"> klientu.</w:t>
      </w:r>
    </w:p>
    <w:p w:rsidR="00D84120" w:rsidRDefault="006E4AF7" w:rsidP="006E4AF7">
      <w:pPr>
        <w:spacing w:line="276" w:lineRule="auto"/>
        <w:ind w:firstLine="567"/>
        <w:jc w:val="both"/>
        <w:rPr>
          <w:color w:val="000000"/>
          <w:lang w:eastAsia="lv-LV"/>
        </w:rPr>
      </w:pPr>
      <w:r>
        <w:rPr>
          <w:color w:val="000000"/>
          <w:lang w:eastAsia="lv-LV"/>
        </w:rPr>
        <w:t>Konkrētajā gadījumā atbildētāja par</w:t>
      </w:r>
      <w:r w:rsidR="00B2395C">
        <w:rPr>
          <w:color w:val="000000"/>
          <w:lang w:eastAsia="lv-LV"/>
        </w:rPr>
        <w:t xml:space="preserve"> pavadzīmju </w:t>
      </w:r>
      <w:proofErr w:type="spellStart"/>
      <w:r w:rsidR="00B2395C">
        <w:rPr>
          <w:color w:val="000000"/>
          <w:lang w:eastAsia="lv-LV"/>
        </w:rPr>
        <w:t>faktorizēšanu</w:t>
      </w:r>
      <w:proofErr w:type="spellEnd"/>
      <w:r w:rsidR="00976463">
        <w:rPr>
          <w:color w:val="000000"/>
          <w:lang w:eastAsia="lv-LV"/>
        </w:rPr>
        <w:t xml:space="preserve"> bija informēta</w:t>
      </w:r>
      <w:r w:rsidR="00D84120">
        <w:rPr>
          <w:color w:val="000000"/>
          <w:lang w:eastAsia="lv-LV"/>
        </w:rPr>
        <w:t>.</w:t>
      </w:r>
    </w:p>
    <w:p w:rsidR="00D84120" w:rsidRDefault="00976463" w:rsidP="000F39A4">
      <w:pPr>
        <w:spacing w:line="276" w:lineRule="auto"/>
        <w:ind w:firstLine="567"/>
        <w:jc w:val="both"/>
        <w:rPr>
          <w:color w:val="000000"/>
          <w:lang w:eastAsia="lv-LV"/>
        </w:rPr>
      </w:pPr>
      <w:r>
        <w:rPr>
          <w:color w:val="000000"/>
          <w:lang w:eastAsia="lv-LV"/>
        </w:rPr>
        <w:t>[1.3] Atbilstoši Civillikuma 1806.pantam, faktoringa līguma 1.6.punktam un līguma par faktor</w:t>
      </w:r>
      <w:r w:rsidR="001A0ABC">
        <w:rPr>
          <w:color w:val="000000"/>
          <w:lang w:eastAsia="lv-LV"/>
        </w:rPr>
        <w:t>inga norēķinu kārtību 1.1.punktam</w:t>
      </w:r>
      <w:r>
        <w:rPr>
          <w:color w:val="000000"/>
          <w:lang w:eastAsia="lv-LV"/>
        </w:rPr>
        <w:t xml:space="preserve"> p</w:t>
      </w:r>
      <w:r w:rsidR="006E4AF7">
        <w:rPr>
          <w:color w:val="000000"/>
          <w:lang w:eastAsia="lv-LV"/>
        </w:rPr>
        <w:t xml:space="preserve">rasītājai ir </w:t>
      </w:r>
      <w:r w:rsidR="00D84120">
        <w:rPr>
          <w:color w:val="000000"/>
          <w:lang w:eastAsia="lv-LV"/>
        </w:rPr>
        <w:t xml:space="preserve">tiesības par galvenās saistības izpildes kavējumu prasīt nokavējuma procentus, </w:t>
      </w:r>
      <w:r>
        <w:rPr>
          <w:color w:val="000000"/>
          <w:lang w:eastAsia="lv-LV"/>
        </w:rPr>
        <w:t>kas noteikti</w:t>
      </w:r>
      <w:r w:rsidR="00645A9C">
        <w:rPr>
          <w:color w:val="000000"/>
          <w:lang w:eastAsia="lv-LV"/>
        </w:rPr>
        <w:t xml:space="preserve"> 2</w:t>
      </w:r>
      <w:r w:rsidR="006E4AF7">
        <w:rPr>
          <w:color w:val="000000"/>
          <w:lang w:eastAsia="lv-LV"/>
        </w:rPr>
        <w:t>012.gada 10.aprīlī starp SIA</w:t>
      </w:r>
      <w:r w:rsidR="00D72BBB">
        <w:rPr>
          <w:color w:val="000000"/>
          <w:lang w:eastAsia="lv-LV"/>
        </w:rPr>
        <w:t> </w:t>
      </w:r>
      <w:r w:rsidR="006E4AF7">
        <w:rPr>
          <w:color w:val="000000"/>
          <w:lang w:eastAsia="lv-LV"/>
        </w:rPr>
        <w:t>„</w:t>
      </w:r>
      <w:proofErr w:type="spellStart"/>
      <w:r w:rsidR="006E4AF7">
        <w:rPr>
          <w:color w:val="000000"/>
          <w:lang w:eastAsia="lv-LV"/>
        </w:rPr>
        <w:t>Microhous</w:t>
      </w:r>
      <w:proofErr w:type="spellEnd"/>
      <w:r w:rsidR="006E4AF7">
        <w:rPr>
          <w:color w:val="000000"/>
          <w:lang w:eastAsia="lv-LV"/>
        </w:rPr>
        <w:t>”</w:t>
      </w:r>
      <w:r w:rsidR="00645A9C">
        <w:rPr>
          <w:color w:val="000000"/>
          <w:lang w:eastAsia="lv-LV"/>
        </w:rPr>
        <w:t xml:space="preserve"> un atbildētāju noslēgtajā piegādes līgumā</w:t>
      </w:r>
      <w:r w:rsidR="009F01C4">
        <w:rPr>
          <w:color w:val="000000"/>
          <w:lang w:eastAsia="lv-LV"/>
        </w:rPr>
        <w:t xml:space="preserve"> (10.3.punkts)</w:t>
      </w:r>
      <w:r w:rsidR="00645A9C">
        <w:rPr>
          <w:color w:val="000000"/>
          <w:lang w:eastAsia="lv-LV"/>
        </w:rPr>
        <w:t>.</w:t>
      </w:r>
      <w:r>
        <w:rPr>
          <w:color w:val="000000"/>
          <w:lang w:eastAsia="lv-LV"/>
        </w:rPr>
        <w:t xml:space="preserve"> N</w:t>
      </w:r>
      <w:r w:rsidR="00645A9C">
        <w:rPr>
          <w:color w:val="000000"/>
          <w:lang w:eastAsia="lv-LV"/>
        </w:rPr>
        <w:t>okavējuma procenti aprēķināti</w:t>
      </w:r>
      <w:r w:rsidR="00D84120">
        <w:rPr>
          <w:color w:val="000000"/>
          <w:lang w:eastAsia="lv-LV"/>
        </w:rPr>
        <w:t xml:space="preserve"> pamatparāda apmērā</w:t>
      </w:r>
      <w:r>
        <w:rPr>
          <w:color w:val="000000"/>
          <w:lang w:eastAsia="lv-LV"/>
        </w:rPr>
        <w:t xml:space="preserve"> (Civillikuma 1763.pants)</w:t>
      </w:r>
      <w:r w:rsidR="00D84120">
        <w:rPr>
          <w:color w:val="000000"/>
          <w:lang w:eastAsia="lv-LV"/>
        </w:rPr>
        <w:t>.</w:t>
      </w:r>
    </w:p>
    <w:p w:rsidR="002E205A" w:rsidRDefault="006E4AF7" w:rsidP="002E205A">
      <w:pPr>
        <w:spacing w:line="276" w:lineRule="auto"/>
        <w:ind w:firstLine="567"/>
        <w:jc w:val="both"/>
        <w:rPr>
          <w:color w:val="000000"/>
          <w:lang w:eastAsia="lv-LV"/>
        </w:rPr>
      </w:pPr>
      <w:r>
        <w:rPr>
          <w:color w:val="000000"/>
          <w:lang w:eastAsia="lv-LV"/>
        </w:rPr>
        <w:lastRenderedPageBreak/>
        <w:t xml:space="preserve">[1.4] </w:t>
      </w:r>
      <w:r w:rsidR="00D72BBB">
        <w:rPr>
          <w:color w:val="000000"/>
          <w:lang w:eastAsia="lv-LV"/>
        </w:rPr>
        <w:t>SIA </w:t>
      </w:r>
      <w:r w:rsidR="00E63C14">
        <w:rPr>
          <w:color w:val="000000"/>
          <w:lang w:eastAsia="lv-LV"/>
        </w:rPr>
        <w:t>„</w:t>
      </w:r>
      <w:proofErr w:type="spellStart"/>
      <w:r w:rsidR="00E63C14">
        <w:rPr>
          <w:color w:val="000000"/>
          <w:lang w:eastAsia="lv-LV"/>
        </w:rPr>
        <w:t>Microhous</w:t>
      </w:r>
      <w:proofErr w:type="spellEnd"/>
      <w:r w:rsidR="00E63C14">
        <w:rPr>
          <w:color w:val="000000"/>
          <w:lang w:eastAsia="lv-LV"/>
        </w:rPr>
        <w:t>” maksātnespējas process</w:t>
      </w:r>
      <w:r>
        <w:rPr>
          <w:color w:val="000000"/>
          <w:lang w:eastAsia="lv-LV"/>
        </w:rPr>
        <w:t xml:space="preserve"> pasludināts 2014.gada 9.janvārī</w:t>
      </w:r>
      <w:r w:rsidR="00E63C14">
        <w:rPr>
          <w:color w:val="000000"/>
          <w:lang w:eastAsia="lv-LV"/>
        </w:rPr>
        <w:t>. Prasītāja iesniedza kre</w:t>
      </w:r>
      <w:r w:rsidR="009F01C4">
        <w:rPr>
          <w:color w:val="000000"/>
          <w:lang w:eastAsia="lv-LV"/>
        </w:rPr>
        <w:t>ditora prasījumu</w:t>
      </w:r>
      <w:r w:rsidR="002E205A">
        <w:rPr>
          <w:color w:val="000000"/>
          <w:lang w:eastAsia="lv-LV"/>
        </w:rPr>
        <w:t xml:space="preserve"> 427 447,46</w:t>
      </w:r>
      <w:r w:rsidR="00EF5BCA">
        <w:rPr>
          <w:color w:val="000000"/>
          <w:lang w:eastAsia="lv-LV"/>
        </w:rPr>
        <w:t> </w:t>
      </w:r>
      <w:r w:rsidR="002E205A">
        <w:rPr>
          <w:color w:val="000000"/>
          <w:lang w:eastAsia="lv-LV"/>
        </w:rPr>
        <w:t>EUR apmērā</w:t>
      </w:r>
      <w:r w:rsidR="00976463">
        <w:rPr>
          <w:color w:val="000000"/>
          <w:lang w:eastAsia="lv-LV"/>
        </w:rPr>
        <w:t xml:space="preserve">, pamatojumā norādot </w:t>
      </w:r>
      <w:r w:rsidR="009F01C4">
        <w:rPr>
          <w:color w:val="000000"/>
          <w:lang w:eastAsia="lv-LV"/>
        </w:rPr>
        <w:t>f</w:t>
      </w:r>
      <w:r w:rsidR="00E63C14">
        <w:rPr>
          <w:color w:val="000000"/>
          <w:lang w:eastAsia="lv-LV"/>
        </w:rPr>
        <w:t xml:space="preserve">aktoringa līguma 4.2.5.punktu: „Ja pircējs pēc tam, kad banka </w:t>
      </w:r>
      <w:r w:rsidR="009F01C4">
        <w:rPr>
          <w:color w:val="000000"/>
          <w:lang w:eastAsia="lv-LV"/>
        </w:rPr>
        <w:t xml:space="preserve">(faktors) ir </w:t>
      </w:r>
      <w:r w:rsidR="00E63C14">
        <w:rPr>
          <w:color w:val="000000"/>
          <w:lang w:eastAsia="lv-LV"/>
        </w:rPr>
        <w:t>apmaksājusi rēķinu, samaksā rēķina summu vai tā daļu klientam, tad klientam ir pienākums ne vē</w:t>
      </w:r>
      <w:r w:rsidR="00BA6726">
        <w:rPr>
          <w:color w:val="000000"/>
          <w:lang w:eastAsia="lv-LV"/>
        </w:rPr>
        <w:t>lāk kā nākamajā darba dienā no rēķina summas vai tās daļas saņemšanas dienas</w:t>
      </w:r>
      <w:r w:rsidR="00E63C14">
        <w:rPr>
          <w:color w:val="000000"/>
          <w:lang w:eastAsia="lv-LV"/>
        </w:rPr>
        <w:t xml:space="preserve"> pārskaitīt faktori</w:t>
      </w:r>
      <w:r w:rsidR="00BA6726">
        <w:rPr>
          <w:color w:val="000000"/>
          <w:lang w:eastAsia="lv-LV"/>
        </w:rPr>
        <w:t>nga kontā bankai (faktoram), maksājuma pamatojumā norādot informāciju par pircēju, kurš samaksājis rēķinu, samaksātā rēķina numuru un datumu, kad rēķins ir samaks</w:t>
      </w:r>
      <w:r w:rsidR="00303293">
        <w:rPr>
          <w:color w:val="000000"/>
          <w:lang w:eastAsia="lv-LV"/>
        </w:rPr>
        <w:t>ā</w:t>
      </w:r>
      <w:r w:rsidR="00BA6726">
        <w:rPr>
          <w:color w:val="000000"/>
          <w:lang w:eastAsia="lv-LV"/>
        </w:rPr>
        <w:t>ts</w:t>
      </w:r>
      <w:r w:rsidR="002E205A">
        <w:rPr>
          <w:color w:val="000000"/>
          <w:lang w:eastAsia="lv-LV"/>
        </w:rPr>
        <w:t>”.</w:t>
      </w:r>
    </w:p>
    <w:p w:rsidR="00D97FF3" w:rsidRDefault="002E205A" w:rsidP="002E205A">
      <w:pPr>
        <w:spacing w:line="276" w:lineRule="auto"/>
        <w:ind w:firstLine="567"/>
        <w:jc w:val="both"/>
        <w:rPr>
          <w:color w:val="000000"/>
          <w:lang w:eastAsia="lv-LV"/>
        </w:rPr>
      </w:pPr>
      <w:r>
        <w:rPr>
          <w:color w:val="000000"/>
          <w:lang w:eastAsia="lv-LV"/>
        </w:rPr>
        <w:t>Minētais</w:t>
      </w:r>
      <w:r w:rsidR="00303293">
        <w:rPr>
          <w:color w:val="000000"/>
          <w:lang w:eastAsia="lv-LV"/>
        </w:rPr>
        <w:t xml:space="preserve"> faktoringa līguma punkts pared</w:t>
      </w:r>
      <w:r w:rsidR="00173B5C">
        <w:rPr>
          <w:color w:val="000000"/>
          <w:lang w:eastAsia="lv-LV"/>
        </w:rPr>
        <w:t xml:space="preserve">z prasītājas un </w:t>
      </w:r>
      <w:r w:rsidR="00303293">
        <w:rPr>
          <w:color w:val="000000"/>
          <w:lang w:eastAsia="lv-LV"/>
        </w:rPr>
        <w:t>SIA</w:t>
      </w:r>
      <w:r w:rsidR="00D72BBB">
        <w:rPr>
          <w:color w:val="000000"/>
          <w:lang w:eastAsia="lv-LV"/>
        </w:rPr>
        <w:t> </w:t>
      </w:r>
      <w:r w:rsidR="00303293">
        <w:rPr>
          <w:color w:val="000000"/>
          <w:lang w:eastAsia="lv-LV"/>
        </w:rPr>
        <w:t>„</w:t>
      </w:r>
      <w:proofErr w:type="spellStart"/>
      <w:r w:rsidR="00303293">
        <w:rPr>
          <w:color w:val="000000"/>
          <w:lang w:eastAsia="lv-LV"/>
        </w:rPr>
        <w:t>Microhous</w:t>
      </w:r>
      <w:proofErr w:type="spellEnd"/>
      <w:r w:rsidR="00303293">
        <w:rPr>
          <w:color w:val="000000"/>
          <w:lang w:eastAsia="lv-LV"/>
        </w:rPr>
        <w:t xml:space="preserve">” tiesisko </w:t>
      </w:r>
      <w:r w:rsidR="00173B5C">
        <w:rPr>
          <w:color w:val="000000"/>
          <w:lang w:eastAsia="lv-LV"/>
        </w:rPr>
        <w:t xml:space="preserve">attiecību </w:t>
      </w:r>
      <w:r w:rsidR="00303293">
        <w:rPr>
          <w:color w:val="000000"/>
          <w:lang w:eastAsia="lv-LV"/>
        </w:rPr>
        <w:t xml:space="preserve">noregulējumu gadījumos, kad atbildētāja ir samaksājusi </w:t>
      </w:r>
      <w:proofErr w:type="spellStart"/>
      <w:r w:rsidR="00303293">
        <w:rPr>
          <w:color w:val="000000"/>
          <w:lang w:eastAsia="lv-LV"/>
        </w:rPr>
        <w:t>faktorizēto</w:t>
      </w:r>
      <w:proofErr w:type="spellEnd"/>
      <w:r w:rsidR="00303293">
        <w:rPr>
          <w:color w:val="000000"/>
          <w:lang w:eastAsia="lv-LV"/>
        </w:rPr>
        <w:t xml:space="preserve"> rēķinu kļūdain</w:t>
      </w:r>
      <w:r w:rsidR="00837255">
        <w:rPr>
          <w:color w:val="000000"/>
          <w:lang w:eastAsia="lv-LV"/>
        </w:rPr>
        <w:t xml:space="preserve">i, proti, </w:t>
      </w:r>
      <w:r w:rsidR="00173B5C">
        <w:rPr>
          <w:color w:val="000000"/>
          <w:lang w:eastAsia="lv-LV"/>
        </w:rPr>
        <w:t>SIA</w:t>
      </w:r>
      <w:r w:rsidR="00D72BBB">
        <w:rPr>
          <w:color w:val="000000"/>
          <w:lang w:eastAsia="lv-LV"/>
        </w:rPr>
        <w:t> </w:t>
      </w:r>
      <w:r w:rsidR="00173B5C">
        <w:rPr>
          <w:color w:val="000000"/>
          <w:lang w:eastAsia="lv-LV"/>
        </w:rPr>
        <w:t>„</w:t>
      </w:r>
      <w:proofErr w:type="spellStart"/>
      <w:r w:rsidR="00173B5C">
        <w:rPr>
          <w:color w:val="000000"/>
          <w:lang w:eastAsia="lv-LV"/>
        </w:rPr>
        <w:t>Microhous</w:t>
      </w:r>
      <w:proofErr w:type="spellEnd"/>
      <w:r w:rsidR="00173B5C">
        <w:rPr>
          <w:color w:val="000000"/>
          <w:lang w:eastAsia="lv-LV"/>
        </w:rPr>
        <w:t>”,</w:t>
      </w:r>
      <w:r w:rsidR="00837255">
        <w:rPr>
          <w:color w:val="000000"/>
          <w:lang w:eastAsia="lv-LV"/>
        </w:rPr>
        <w:t xml:space="preserve"> nevis prasītājai</w:t>
      </w:r>
      <w:r w:rsidR="00D97FF3">
        <w:rPr>
          <w:color w:val="000000"/>
          <w:lang w:eastAsia="lv-LV"/>
        </w:rPr>
        <w:t>. Š</w:t>
      </w:r>
      <w:r w:rsidR="00303293">
        <w:rPr>
          <w:color w:val="000000"/>
          <w:lang w:eastAsia="lv-LV"/>
        </w:rPr>
        <w:t>ādā gadījumā iestājas</w:t>
      </w:r>
      <w:r w:rsidR="00976463">
        <w:rPr>
          <w:color w:val="000000"/>
          <w:lang w:eastAsia="lv-LV"/>
        </w:rPr>
        <w:t xml:space="preserve"> SIA</w:t>
      </w:r>
      <w:r w:rsidR="00EF5BCA">
        <w:rPr>
          <w:color w:val="000000"/>
          <w:lang w:eastAsia="lv-LV"/>
        </w:rPr>
        <w:t> </w:t>
      </w:r>
      <w:r w:rsidR="00976463">
        <w:rPr>
          <w:color w:val="000000"/>
          <w:lang w:eastAsia="lv-LV"/>
        </w:rPr>
        <w:t>„</w:t>
      </w:r>
      <w:proofErr w:type="spellStart"/>
      <w:r w:rsidR="00976463">
        <w:rPr>
          <w:color w:val="000000"/>
          <w:lang w:eastAsia="lv-LV"/>
        </w:rPr>
        <w:t>Microhous</w:t>
      </w:r>
      <w:proofErr w:type="spellEnd"/>
      <w:r w:rsidR="00976463">
        <w:rPr>
          <w:color w:val="000000"/>
          <w:lang w:eastAsia="lv-LV"/>
        </w:rPr>
        <w:t xml:space="preserve">” </w:t>
      </w:r>
      <w:r w:rsidR="00D97FF3">
        <w:rPr>
          <w:color w:val="000000"/>
          <w:lang w:eastAsia="lv-LV"/>
        </w:rPr>
        <w:t>pienākums saņemto naudu pārskaitīt uz prasītājas kontu, tādējādi novēršot nepienācīgu saistības izpildījumu no atbildētājas puses (saistības izpildījumu sniedzot netiesīgajai personai).</w:t>
      </w:r>
    </w:p>
    <w:p w:rsidR="008A12F2" w:rsidRDefault="009F01C4" w:rsidP="002E205A">
      <w:pPr>
        <w:spacing w:line="276" w:lineRule="auto"/>
        <w:ind w:firstLine="567"/>
        <w:jc w:val="both"/>
        <w:rPr>
          <w:color w:val="000000"/>
          <w:lang w:eastAsia="lv-LV"/>
        </w:rPr>
      </w:pPr>
      <w:r>
        <w:rPr>
          <w:color w:val="000000"/>
          <w:lang w:eastAsia="lv-LV"/>
        </w:rPr>
        <w:t>Kre</w:t>
      </w:r>
      <w:r w:rsidR="002E205A">
        <w:rPr>
          <w:color w:val="000000"/>
          <w:lang w:eastAsia="lv-LV"/>
        </w:rPr>
        <w:t xml:space="preserve">ditora </w:t>
      </w:r>
      <w:r w:rsidR="00E63C14">
        <w:rPr>
          <w:color w:val="000000"/>
          <w:lang w:eastAsia="lv-LV"/>
        </w:rPr>
        <w:t>prasījums nav šķērslis prasības celšanai pret atbildētā</w:t>
      </w:r>
      <w:r w:rsidR="00053CC7">
        <w:rPr>
          <w:color w:val="000000"/>
          <w:lang w:eastAsia="lv-LV"/>
        </w:rPr>
        <w:t>ju, jo saistības izpildījums prasītājai nav sniegts un saistība nav izbeigusies.</w:t>
      </w:r>
    </w:p>
    <w:p w:rsidR="00145C84" w:rsidRDefault="00B952C1" w:rsidP="0055639E">
      <w:pPr>
        <w:spacing w:line="276" w:lineRule="auto"/>
        <w:ind w:firstLine="567"/>
        <w:jc w:val="both"/>
      </w:pPr>
      <w:r>
        <w:t>P</w:t>
      </w:r>
      <w:r w:rsidR="007B3621">
        <w:t>rasība pamatota</w:t>
      </w:r>
      <w:r w:rsidR="002164B5">
        <w:t xml:space="preserve"> </w:t>
      </w:r>
      <w:r w:rsidR="00145C84">
        <w:t xml:space="preserve">ar </w:t>
      </w:r>
      <w:r w:rsidR="00420810" w:rsidRPr="00420810">
        <w:t>Civillikuma 1., 1430., 1587., 1756., 1763., 1806., 1812., 1815</w:t>
      </w:r>
      <w:r w:rsidR="00053CC7">
        <w:t>. un</w:t>
      </w:r>
      <w:r w:rsidR="00420810">
        <w:t xml:space="preserve"> 1817.</w:t>
      </w:r>
      <w:r w:rsidR="00053CC7">
        <w:t>pantu</w:t>
      </w:r>
      <w:r w:rsidR="00420810">
        <w:t>, Komerclikuma 3., 468. un</w:t>
      </w:r>
      <w:r w:rsidR="00420810" w:rsidRPr="00420810">
        <w:t xml:space="preserve"> 473.pantu</w:t>
      </w:r>
      <w:r w:rsidR="00145C84">
        <w:t>.</w:t>
      </w:r>
    </w:p>
    <w:p w:rsidR="00A27F6C" w:rsidRDefault="00A27F6C" w:rsidP="0055639E">
      <w:pPr>
        <w:spacing w:line="276" w:lineRule="auto"/>
        <w:ind w:firstLine="567"/>
        <w:jc w:val="both"/>
        <w:rPr>
          <w:lang w:eastAsia="lv-LV"/>
        </w:rPr>
      </w:pPr>
      <w:r>
        <w:rPr>
          <w:color w:val="000000"/>
          <w:lang w:eastAsia="lv-LV"/>
        </w:rPr>
        <w:t xml:space="preserve"> </w:t>
      </w:r>
    </w:p>
    <w:p w:rsidR="001627AA" w:rsidRDefault="00A27F6C" w:rsidP="001627AA">
      <w:pPr>
        <w:pStyle w:val="BodyText2"/>
        <w:tabs>
          <w:tab w:val="left" w:pos="1904"/>
        </w:tabs>
        <w:spacing w:line="276" w:lineRule="auto"/>
        <w:ind w:firstLine="567"/>
        <w:jc w:val="both"/>
        <w:rPr>
          <w:rFonts w:ascii="Times New Roman" w:hAnsi="Times New Roman"/>
          <w:sz w:val="24"/>
          <w:szCs w:val="24"/>
        </w:rPr>
      </w:pPr>
      <w:r w:rsidRPr="00A97698">
        <w:rPr>
          <w:rFonts w:ascii="Times New Roman" w:hAnsi="Times New Roman"/>
          <w:sz w:val="24"/>
          <w:szCs w:val="24"/>
          <w:lang w:eastAsia="lv-LV"/>
        </w:rPr>
        <w:t>[2]</w:t>
      </w:r>
      <w:r w:rsidRPr="00C861C1">
        <w:rPr>
          <w:rFonts w:ascii="Times New Roman" w:hAnsi="Times New Roman"/>
          <w:sz w:val="24"/>
          <w:szCs w:val="24"/>
          <w:lang w:eastAsia="lv-LV"/>
        </w:rPr>
        <w:t xml:space="preserve"> Ar </w:t>
      </w:r>
      <w:r w:rsidR="00186B2B" w:rsidRPr="00186B2B">
        <w:rPr>
          <w:rFonts w:ascii="Times New Roman" w:hAnsi="Times New Roman"/>
          <w:sz w:val="24"/>
          <w:szCs w:val="24"/>
        </w:rPr>
        <w:t>Rīgas pilsētas Zemgales priekšpilsētas tiesa</w:t>
      </w:r>
      <w:r w:rsidR="00186B2B" w:rsidRPr="00186B2B">
        <w:rPr>
          <w:rFonts w:ascii="Times New Roman" w:hAnsi="Times New Roman"/>
          <w:sz w:val="24"/>
          <w:szCs w:val="24"/>
          <w:lang w:val="lv-LV" w:eastAsia="lv-LV"/>
        </w:rPr>
        <w:t>s</w:t>
      </w:r>
      <w:r w:rsidR="00832E7C" w:rsidRPr="00186B2B">
        <w:rPr>
          <w:rFonts w:ascii="Times New Roman" w:hAnsi="Times New Roman"/>
          <w:sz w:val="24"/>
          <w:szCs w:val="24"/>
          <w:lang w:eastAsia="lv-LV"/>
        </w:rPr>
        <w:t xml:space="preserve"> </w:t>
      </w:r>
      <w:r w:rsidR="00186B2B" w:rsidRPr="00186B2B">
        <w:rPr>
          <w:rFonts w:ascii="Times New Roman" w:hAnsi="Times New Roman"/>
          <w:sz w:val="24"/>
          <w:szCs w:val="24"/>
        </w:rPr>
        <w:t>2016.gada 5.maij</w:t>
      </w:r>
      <w:r w:rsidR="00186B2B">
        <w:rPr>
          <w:rFonts w:ascii="Times New Roman" w:hAnsi="Times New Roman"/>
          <w:sz w:val="24"/>
          <w:szCs w:val="24"/>
        </w:rPr>
        <w:t>a</w:t>
      </w:r>
      <w:r w:rsidRPr="00A97698">
        <w:rPr>
          <w:rFonts w:ascii="Times New Roman" w:hAnsi="Times New Roman"/>
          <w:sz w:val="24"/>
          <w:szCs w:val="24"/>
          <w:lang w:eastAsia="lv-LV"/>
        </w:rPr>
        <w:t xml:space="preserve"> spriedumu</w:t>
      </w:r>
      <w:r w:rsidR="00D53420" w:rsidRPr="00C861C1">
        <w:rPr>
          <w:rFonts w:ascii="Times New Roman" w:hAnsi="Times New Roman"/>
          <w:sz w:val="24"/>
          <w:szCs w:val="24"/>
          <w:lang w:eastAsia="lv-LV"/>
        </w:rPr>
        <w:t xml:space="preserve"> </w:t>
      </w:r>
      <w:r w:rsidR="004B2D42">
        <w:rPr>
          <w:rFonts w:ascii="Times New Roman" w:hAnsi="Times New Roman"/>
          <w:sz w:val="24"/>
          <w:szCs w:val="24"/>
        </w:rPr>
        <w:t>prasība apmierināta daļēji, piedzenot no atbildētājas prasītājas lab</w:t>
      </w:r>
      <w:r w:rsidR="004B2D42">
        <w:rPr>
          <w:rFonts w:ascii="Times New Roman" w:hAnsi="Times New Roman"/>
          <w:sz w:val="24"/>
          <w:szCs w:val="24"/>
          <w:lang w:val="lv-LV"/>
        </w:rPr>
        <w:t>ā</w:t>
      </w:r>
      <w:r w:rsidR="004B2D42">
        <w:rPr>
          <w:rFonts w:ascii="Times New Roman" w:hAnsi="Times New Roman"/>
          <w:sz w:val="24"/>
          <w:szCs w:val="24"/>
        </w:rPr>
        <w:t xml:space="preserve"> </w:t>
      </w:r>
      <w:r w:rsidR="00EF5BCA">
        <w:rPr>
          <w:rFonts w:ascii="Times New Roman" w:hAnsi="Times New Roman"/>
          <w:sz w:val="24"/>
          <w:szCs w:val="24"/>
        </w:rPr>
        <w:t>parādu 418 015,75 </w:t>
      </w:r>
      <w:r w:rsidR="001627AA" w:rsidRPr="001627AA">
        <w:rPr>
          <w:rFonts w:ascii="Times New Roman" w:hAnsi="Times New Roman"/>
          <w:sz w:val="24"/>
          <w:szCs w:val="24"/>
        </w:rPr>
        <w:t xml:space="preserve">EUR un tiesāšanās izdevumus, </w:t>
      </w:r>
      <w:r w:rsidR="004B2D42">
        <w:rPr>
          <w:rFonts w:ascii="Times New Roman" w:hAnsi="Times New Roman"/>
          <w:sz w:val="24"/>
          <w:szCs w:val="24"/>
          <w:lang w:val="lv-LV"/>
        </w:rPr>
        <w:t xml:space="preserve">bet </w:t>
      </w:r>
      <w:r w:rsidR="004B2D42">
        <w:rPr>
          <w:rFonts w:ascii="Times New Roman" w:hAnsi="Times New Roman"/>
          <w:sz w:val="24"/>
          <w:szCs w:val="24"/>
        </w:rPr>
        <w:t xml:space="preserve">noraidot </w:t>
      </w:r>
      <w:r w:rsidR="001627AA" w:rsidRPr="001627AA">
        <w:rPr>
          <w:rFonts w:ascii="Times New Roman" w:hAnsi="Times New Roman"/>
          <w:sz w:val="24"/>
          <w:szCs w:val="24"/>
        </w:rPr>
        <w:t>daļā par nokavēju</w:t>
      </w:r>
      <w:r w:rsidR="004B2D42">
        <w:rPr>
          <w:rFonts w:ascii="Times New Roman" w:hAnsi="Times New Roman"/>
          <w:sz w:val="24"/>
          <w:szCs w:val="24"/>
        </w:rPr>
        <w:t>ma procentu piedziņu.</w:t>
      </w:r>
    </w:p>
    <w:p w:rsidR="00103EF6" w:rsidRPr="00103EF6" w:rsidRDefault="00976463" w:rsidP="001627AA">
      <w:pPr>
        <w:pStyle w:val="BodyText2"/>
        <w:tabs>
          <w:tab w:val="left" w:pos="1904"/>
        </w:tabs>
        <w:spacing w:line="276" w:lineRule="auto"/>
        <w:ind w:firstLine="567"/>
        <w:jc w:val="both"/>
        <w:rPr>
          <w:rFonts w:ascii="Times New Roman" w:hAnsi="Times New Roman"/>
          <w:sz w:val="24"/>
          <w:szCs w:val="24"/>
          <w:highlight w:val="yellow"/>
          <w:lang w:val="lv-LV" w:eastAsia="lv-LV"/>
        </w:rPr>
      </w:pPr>
      <w:r>
        <w:rPr>
          <w:rFonts w:ascii="Times New Roman" w:hAnsi="Times New Roman"/>
          <w:sz w:val="24"/>
          <w:szCs w:val="24"/>
          <w:lang w:val="lv-LV"/>
        </w:rPr>
        <w:t>Spriedums pamatots ar turpmāk</w:t>
      </w:r>
      <w:r w:rsidR="00103EF6">
        <w:rPr>
          <w:rFonts w:ascii="Times New Roman" w:hAnsi="Times New Roman"/>
          <w:sz w:val="24"/>
          <w:szCs w:val="24"/>
          <w:lang w:val="lv-LV"/>
        </w:rPr>
        <w:t xml:space="preserve"> minētajiem motīviem.</w:t>
      </w:r>
    </w:p>
    <w:p w:rsidR="001A0ABC" w:rsidRDefault="00103EF6" w:rsidP="005473DF">
      <w:pPr>
        <w:pStyle w:val="NormalWeb"/>
        <w:spacing w:before="0" w:beforeAutospacing="0" w:after="0" w:afterAutospacing="0" w:line="276" w:lineRule="auto"/>
        <w:ind w:firstLine="567"/>
        <w:jc w:val="both"/>
      </w:pPr>
      <w:r>
        <w:t>[2.1] A</w:t>
      </w:r>
      <w:r w:rsidR="00AE6813">
        <w:t>tb</w:t>
      </w:r>
      <w:r>
        <w:t>ilstoši Komerclikuma 473.pantam, Civillikuma 1816. un</w:t>
      </w:r>
      <w:r w:rsidR="00AE6813">
        <w:t xml:space="preserve"> 1817.pantam un</w:t>
      </w:r>
      <w:r w:rsidR="00976463">
        <w:t xml:space="preserve"> līgumam par faktoringa norēķinu</w:t>
      </w:r>
      <w:r w:rsidR="005473DF">
        <w:t xml:space="preserve"> kārtību s</w:t>
      </w:r>
      <w:r w:rsidR="001A0ABC">
        <w:t>amaksa</w:t>
      </w:r>
      <w:r w:rsidR="00EF5BCA">
        <w:t xml:space="preserve"> SIA </w:t>
      </w:r>
      <w:r w:rsidR="00976463">
        <w:t>„</w:t>
      </w:r>
      <w:proofErr w:type="spellStart"/>
      <w:r w:rsidR="00976463">
        <w:t>Microhous</w:t>
      </w:r>
      <w:proofErr w:type="spellEnd"/>
      <w:r w:rsidR="00976463">
        <w:t>”</w:t>
      </w:r>
      <w:r w:rsidR="001A0ABC">
        <w:t xml:space="preserve"> ne</w:t>
      </w:r>
      <w:r w:rsidR="00584693">
        <w:t>atbr</w:t>
      </w:r>
      <w:r w:rsidR="001A0ABC">
        <w:t>īvo atbildētāju</w:t>
      </w:r>
      <w:r w:rsidR="00584693">
        <w:t xml:space="preserve"> no saistību izpildes pienākuma pret prasīt</w:t>
      </w:r>
      <w:r w:rsidR="00AE6813">
        <w:t>āju</w:t>
      </w:r>
      <w:r w:rsidR="001A0ABC">
        <w:t>.</w:t>
      </w:r>
    </w:p>
    <w:p w:rsidR="00BD1DA7" w:rsidRDefault="00EF5BCA" w:rsidP="00BD1DA7">
      <w:pPr>
        <w:pStyle w:val="NormalWeb"/>
        <w:spacing w:before="0" w:beforeAutospacing="0" w:after="0" w:afterAutospacing="0" w:line="276" w:lineRule="auto"/>
        <w:ind w:firstLine="567"/>
        <w:jc w:val="both"/>
      </w:pPr>
      <w:r>
        <w:t>Maksājumu saņemšana no SIA </w:t>
      </w:r>
      <w:r w:rsidR="00976463">
        <w:t>„</w:t>
      </w:r>
      <w:proofErr w:type="spellStart"/>
      <w:r w:rsidR="00976463">
        <w:t>Microhous</w:t>
      </w:r>
      <w:proofErr w:type="spellEnd"/>
      <w:r w:rsidR="00976463">
        <w:t>”</w:t>
      </w:r>
      <w:r w:rsidR="00F82137">
        <w:t xml:space="preserve"> </w:t>
      </w:r>
      <w:r w:rsidR="00173B5C">
        <w:t>iepriekšējā laik</w:t>
      </w:r>
      <w:r w:rsidR="00976463">
        <w:t xml:space="preserve">a </w:t>
      </w:r>
      <w:r w:rsidR="00173B5C">
        <w:t xml:space="preserve">posmā </w:t>
      </w:r>
      <w:r w:rsidR="00F82137">
        <w:t>nav uzskatā</w:t>
      </w:r>
      <w:r w:rsidR="00103EF6">
        <w:t>ma par līguma grozīšanu</w:t>
      </w:r>
      <w:r w:rsidR="00F82137">
        <w:t>.</w:t>
      </w:r>
    </w:p>
    <w:p w:rsidR="00837255" w:rsidRDefault="001A0ABC" w:rsidP="00837255">
      <w:pPr>
        <w:pStyle w:val="NormalWeb"/>
        <w:spacing w:before="0" w:beforeAutospacing="0" w:after="0" w:afterAutospacing="0" w:line="276" w:lineRule="auto"/>
        <w:ind w:firstLine="567"/>
        <w:jc w:val="both"/>
      </w:pPr>
      <w:r>
        <w:t>[2.2</w:t>
      </w:r>
      <w:r w:rsidR="00103EF6">
        <w:t xml:space="preserve">] </w:t>
      </w:r>
      <w:r w:rsidR="00F82137">
        <w:t>Apstāklis, ka prasīt</w:t>
      </w:r>
      <w:r w:rsidR="00085ADA">
        <w:t xml:space="preserve">āja izmantojusi </w:t>
      </w:r>
      <w:r w:rsidR="00F82137">
        <w:t>likumā noteiktos aizsardzības līdzekļus</w:t>
      </w:r>
      <w:r w:rsidR="00EF5BCA">
        <w:t xml:space="preserve"> SIA </w:t>
      </w:r>
      <w:r w:rsidR="00976463">
        <w:t>„</w:t>
      </w:r>
      <w:proofErr w:type="spellStart"/>
      <w:r w:rsidR="00976463">
        <w:t>Microhous</w:t>
      </w:r>
      <w:proofErr w:type="spellEnd"/>
      <w:r w:rsidR="00976463">
        <w:t>”</w:t>
      </w:r>
      <w:r w:rsidR="00BD1DA7">
        <w:t xml:space="preserve"> maksātnespējas procesā un pret tās valdes locekli krimināllietā, neatņem tiesības uz prasījuma izvirzīšanu p</w:t>
      </w:r>
      <w:r w:rsidR="00C91AD3">
        <w:t>ret atbildētāju par saistību izpildi</w:t>
      </w:r>
      <w:r w:rsidR="00BD1DA7">
        <w:t>.</w:t>
      </w:r>
    </w:p>
    <w:p w:rsidR="00810F6E" w:rsidRDefault="001A0ABC" w:rsidP="0055639E">
      <w:pPr>
        <w:pStyle w:val="NormalWeb"/>
        <w:spacing w:before="0" w:beforeAutospacing="0" w:after="0" w:afterAutospacing="0" w:line="276" w:lineRule="auto"/>
        <w:ind w:firstLine="567"/>
        <w:jc w:val="both"/>
      </w:pPr>
      <w:r>
        <w:t>[2.3</w:t>
      </w:r>
      <w:r w:rsidR="00103EF6">
        <w:t xml:space="preserve">] </w:t>
      </w:r>
      <w:r w:rsidR="00093AC0">
        <w:t>A</w:t>
      </w:r>
      <w:r w:rsidR="00837255">
        <w:t>tbildētāja nokavējumu</w:t>
      </w:r>
      <w:r w:rsidR="00C91AD3">
        <w:t xml:space="preserve"> attiecībā uz SIA</w:t>
      </w:r>
      <w:r w:rsidR="00EF5BCA">
        <w:t> </w:t>
      </w:r>
      <w:r w:rsidR="00C91AD3">
        <w:t>„</w:t>
      </w:r>
      <w:proofErr w:type="spellStart"/>
      <w:r w:rsidR="00C91AD3">
        <w:t>Microhous</w:t>
      </w:r>
      <w:proofErr w:type="spellEnd"/>
      <w:r w:rsidR="00C91AD3">
        <w:t>” piegādes līguma izpildīšanā (samaksas veikšanā</w:t>
      </w:r>
      <w:r w:rsidR="00093AC0">
        <w:t>)</w:t>
      </w:r>
      <w:r w:rsidR="00C91AD3">
        <w:t xml:space="preserve"> </w:t>
      </w:r>
      <w:r w:rsidR="00837255">
        <w:t>nav pieļāvu</w:t>
      </w:r>
      <w:r w:rsidR="00093AC0">
        <w:t xml:space="preserve">si, tādēļ </w:t>
      </w:r>
      <w:r w:rsidR="00837255">
        <w:t>nokavējuma procentu aprēķināšanai</w:t>
      </w:r>
      <w:r w:rsidR="00807E05">
        <w:t xml:space="preserve"> un piedziņai uz prasības pieteikumā norādītās argumentācijas nav pamata.</w:t>
      </w:r>
    </w:p>
    <w:p w:rsidR="00EF5BCA" w:rsidRPr="00810F6E" w:rsidRDefault="00EF5BCA" w:rsidP="0055639E">
      <w:pPr>
        <w:pStyle w:val="NormalWeb"/>
        <w:spacing w:before="0" w:beforeAutospacing="0" w:after="0" w:afterAutospacing="0" w:line="276" w:lineRule="auto"/>
        <w:ind w:firstLine="567"/>
        <w:jc w:val="both"/>
      </w:pPr>
    </w:p>
    <w:p w:rsidR="008A1173" w:rsidRDefault="001C08CE" w:rsidP="0055639E">
      <w:pPr>
        <w:pStyle w:val="NormalWeb"/>
        <w:spacing w:before="0" w:beforeAutospacing="0" w:after="0" w:afterAutospacing="0" w:line="276" w:lineRule="auto"/>
        <w:ind w:firstLine="567"/>
        <w:jc w:val="both"/>
      </w:pPr>
      <w:r>
        <w:t>[3] Izskatot</w:t>
      </w:r>
      <w:r w:rsidR="00A27F6C">
        <w:t xml:space="preserve"> lietu sakarā ar </w:t>
      </w:r>
      <w:r>
        <w:t xml:space="preserve">prasītājas un atbildētājas </w:t>
      </w:r>
      <w:r w:rsidR="00A27F6C">
        <w:t>apelācijas sūdzīb</w:t>
      </w:r>
      <w:r w:rsidR="001627AA">
        <w:t>ām</w:t>
      </w:r>
      <w:r w:rsidR="00A27F6C">
        <w:t xml:space="preserve">, </w:t>
      </w:r>
      <w:r w:rsidR="001627AA">
        <w:t xml:space="preserve">Rīgas apgabaltiesas Civillietu tiesas kolēģija ar 2017.gada 28.marta spriedumu </w:t>
      </w:r>
      <w:r w:rsidR="00D4490E" w:rsidRPr="005F4F01">
        <w:t>pras</w:t>
      </w:r>
      <w:r w:rsidR="00D4490E">
        <w:t>īb</w:t>
      </w:r>
      <w:r w:rsidR="002D6ED5">
        <w:t>u</w:t>
      </w:r>
      <w:r w:rsidR="002D6ED5">
        <w:rPr>
          <w:rStyle w:val="Strong"/>
          <w:b w:val="0"/>
          <w:bCs w:val="0"/>
        </w:rPr>
        <w:t xml:space="preserve"> noraidīj</w:t>
      </w:r>
      <w:r w:rsidR="00D4490E">
        <w:rPr>
          <w:rStyle w:val="Strong"/>
          <w:b w:val="0"/>
          <w:bCs w:val="0"/>
        </w:rPr>
        <w:t>a</w:t>
      </w:r>
      <w:r w:rsidR="004B2D42">
        <w:t xml:space="preserve"> pilnīgi, piedzenot </w:t>
      </w:r>
      <w:r w:rsidR="00D4490E" w:rsidRPr="005F4F01">
        <w:rPr>
          <w:rStyle w:val="Strong"/>
          <w:b w:val="0"/>
          <w:bCs w:val="0"/>
        </w:rPr>
        <w:t>no</w:t>
      </w:r>
      <w:r w:rsidR="00D4490E" w:rsidRPr="005F4F01">
        <w:t xml:space="preserve"> </w:t>
      </w:r>
      <w:r w:rsidR="00D4490E">
        <w:t>prasītājas</w:t>
      </w:r>
      <w:r w:rsidR="00D4490E" w:rsidRPr="005F4F01">
        <w:t xml:space="preserve"> </w:t>
      </w:r>
      <w:r w:rsidR="00093AC0">
        <w:t>tiesāšanās izdevumus</w:t>
      </w:r>
      <w:r w:rsidR="00D4490E" w:rsidRPr="005F4F01">
        <w:t>.</w:t>
      </w:r>
    </w:p>
    <w:p w:rsidR="00A27F6C" w:rsidRDefault="00B846DA" w:rsidP="0055639E">
      <w:pPr>
        <w:spacing w:line="276" w:lineRule="auto"/>
        <w:ind w:firstLine="567"/>
        <w:jc w:val="both"/>
        <w:rPr>
          <w:lang w:eastAsia="lv-LV"/>
        </w:rPr>
      </w:pPr>
      <w:r w:rsidRPr="00B846DA">
        <w:rPr>
          <w:lang w:eastAsia="lv-LV"/>
        </w:rPr>
        <w:t>S</w:t>
      </w:r>
      <w:r w:rsidRPr="00B846DA">
        <w:t xml:space="preserve">priedums pamatots </w:t>
      </w:r>
      <w:r w:rsidR="001C08CE">
        <w:rPr>
          <w:lang w:eastAsia="lv-LV"/>
        </w:rPr>
        <w:t>ar turpmāk</w:t>
      </w:r>
      <w:r w:rsidRPr="00B846DA">
        <w:rPr>
          <w:lang w:eastAsia="lv-LV"/>
        </w:rPr>
        <w:t xml:space="preserve"> minētajiem motīviem</w:t>
      </w:r>
      <w:r w:rsidRPr="00B846DA">
        <w:t>.</w:t>
      </w:r>
    </w:p>
    <w:p w:rsidR="00BE6903" w:rsidRDefault="00DC5678" w:rsidP="00D10A4D">
      <w:pPr>
        <w:spacing w:line="276" w:lineRule="auto"/>
        <w:ind w:firstLine="567"/>
        <w:jc w:val="both"/>
      </w:pPr>
      <w:r w:rsidRPr="00BE6903">
        <w:t>[3.1]</w:t>
      </w:r>
      <w:r w:rsidR="00D10A4D">
        <w:t xml:space="preserve"> </w:t>
      </w:r>
      <w:r w:rsidR="003375DF">
        <w:t>Atbildētāja nea</w:t>
      </w:r>
      <w:r w:rsidR="001A0ABC">
        <w:t xml:space="preserve">pstrīd, ka </w:t>
      </w:r>
      <w:r w:rsidR="003375DF">
        <w:t>maksājumi veikti, neievērojot līguma</w:t>
      </w:r>
      <w:r w:rsidR="002D6ED5">
        <w:t xml:space="preserve"> par f</w:t>
      </w:r>
      <w:r w:rsidR="000A03D5" w:rsidRPr="000A03D5">
        <w:t>aktoringa norēķinu kārtību</w:t>
      </w:r>
      <w:r w:rsidR="003375DF">
        <w:t xml:space="preserve"> 3.punktu. Minētais līgums</w:t>
      </w:r>
      <w:r w:rsidR="000A03D5" w:rsidRPr="000A03D5">
        <w:t xml:space="preserve"> nebija reģistr</w:t>
      </w:r>
      <w:r w:rsidR="00D10A4D">
        <w:t>ēts atbildētājas lietvedībā, tādēļ samaksa par rēķiniem veikta</w:t>
      </w:r>
      <w:r w:rsidR="00093AC0">
        <w:t xml:space="preserve"> SIA</w:t>
      </w:r>
      <w:r w:rsidR="00EF5BCA">
        <w:t> </w:t>
      </w:r>
      <w:r w:rsidR="00093AC0">
        <w:t>„</w:t>
      </w:r>
      <w:proofErr w:type="spellStart"/>
      <w:r w:rsidR="00093AC0">
        <w:t>Microhous</w:t>
      </w:r>
      <w:proofErr w:type="spellEnd"/>
      <w:r w:rsidR="00093AC0">
        <w:t>”</w:t>
      </w:r>
      <w:r w:rsidR="00103EF6">
        <w:t xml:space="preserve"> atbilstoši </w:t>
      </w:r>
      <w:r w:rsidR="00D10A4D">
        <w:t>p</w:t>
      </w:r>
      <w:r w:rsidR="00C91AD3">
        <w:t>iegādes līguma noteikumiem</w:t>
      </w:r>
      <w:r w:rsidR="000A03D5" w:rsidRPr="000A03D5">
        <w:t>.</w:t>
      </w:r>
    </w:p>
    <w:p w:rsidR="003375DF" w:rsidRDefault="003C2AB7" w:rsidP="004D412E">
      <w:pPr>
        <w:spacing w:line="276" w:lineRule="auto"/>
        <w:ind w:firstLine="567"/>
        <w:jc w:val="both"/>
      </w:pPr>
      <w:r>
        <w:t xml:space="preserve">[3.2] </w:t>
      </w:r>
      <w:r w:rsidR="003375DF">
        <w:t>Prasītājas iebi</w:t>
      </w:r>
      <w:r w:rsidR="00483A3B">
        <w:t>ldums, ka atbildētāja saistības izpildi veikusi</w:t>
      </w:r>
      <w:r w:rsidR="003375DF">
        <w:t xml:space="preserve"> neīstajai personai, ir pamatots, tom</w:t>
      </w:r>
      <w:r w:rsidR="00C91AD3">
        <w:t>ēr,</w:t>
      </w:r>
      <w:r w:rsidR="003375DF">
        <w:t xml:space="preserve"> izvērtējot līguma par faktoringa norēķinu kārtī</w:t>
      </w:r>
      <w:r w:rsidR="001A0ABC">
        <w:t>bu noteikumus,</w:t>
      </w:r>
      <w:r w:rsidR="003375DF">
        <w:t xml:space="preserve"> </w:t>
      </w:r>
      <w:r w:rsidR="00D978D2">
        <w:t xml:space="preserve">nevar piekrist </w:t>
      </w:r>
      <w:r w:rsidR="005A418B">
        <w:t>apgalvojumam, ka atbildētājai jāveic rēķinu samaksa atkārtoti, bet pēc tam samaksātā summ</w:t>
      </w:r>
      <w:r w:rsidR="00EF5BCA">
        <w:t>a jāpiedzen no SIA </w:t>
      </w:r>
      <w:r w:rsidR="004D412E">
        <w:t>„</w:t>
      </w:r>
      <w:proofErr w:type="spellStart"/>
      <w:r w:rsidR="004D412E">
        <w:t>Microhous</w:t>
      </w:r>
      <w:proofErr w:type="spellEnd"/>
      <w:r w:rsidR="004D412E">
        <w:t>”.</w:t>
      </w:r>
    </w:p>
    <w:p w:rsidR="003C2AB7" w:rsidRDefault="00595676" w:rsidP="00902933">
      <w:pPr>
        <w:spacing w:line="276" w:lineRule="auto"/>
        <w:ind w:firstLine="567"/>
        <w:jc w:val="both"/>
      </w:pPr>
      <w:r>
        <w:lastRenderedPageBreak/>
        <w:t xml:space="preserve">Līguma </w:t>
      </w:r>
      <w:r w:rsidR="003C2AB7">
        <w:t>8.p</w:t>
      </w:r>
      <w:r w:rsidR="004D412E">
        <w:t>unktā noteikts</w:t>
      </w:r>
      <w:r w:rsidR="003C2AB7">
        <w:t>, ka puses ir pilnā apjomā atbildīgas par visiem zaudējumiem, kuras tās ar savu darbību vai bezdarbību nodarījušas citām šī līguma pusēm šajā līgumā noteikto saistību neievērošanas vai pārkāpšanas rezultātā.</w:t>
      </w:r>
    </w:p>
    <w:p w:rsidR="000A03D5" w:rsidRDefault="003C2AB7" w:rsidP="00902933">
      <w:pPr>
        <w:spacing w:line="276" w:lineRule="auto"/>
        <w:ind w:firstLine="567"/>
        <w:jc w:val="both"/>
      </w:pPr>
      <w:r>
        <w:t>Savukārt no</w:t>
      </w:r>
      <w:r w:rsidR="00D7215D">
        <w:t xml:space="preserve"> f</w:t>
      </w:r>
      <w:r w:rsidR="000A03D5" w:rsidRPr="00C27AC7">
        <w:t xml:space="preserve">aktoringa līguma 1.7.punkta </w:t>
      </w:r>
      <w:r w:rsidR="00B3234F">
        <w:t>izriet</w:t>
      </w:r>
      <w:r w:rsidR="00D7215D">
        <w:t>, ka faktoringa avanss ir</w:t>
      </w:r>
      <w:r w:rsidR="00093AC0">
        <w:t xml:space="preserve"> 80%, vēlāk tas </w:t>
      </w:r>
      <w:r w:rsidR="007A1CFB">
        <w:t>mainīts uz 90%. Tādē</w:t>
      </w:r>
      <w:r w:rsidR="000A03D5" w:rsidRPr="00C27AC7">
        <w:t>jādi faktors neiegūst prasījuma tiesību pret pircēju par visu summu, bet tikai tā samaksāto daļ</w:t>
      </w:r>
      <w:r w:rsidR="00D7215D">
        <w:t xml:space="preserve">u. Tas </w:t>
      </w:r>
      <w:r w:rsidR="00E94A7D">
        <w:t>faktoringa lī</w:t>
      </w:r>
      <w:r w:rsidR="000A03D5" w:rsidRPr="00C27AC7">
        <w:t>gu</w:t>
      </w:r>
      <w:r w:rsidR="00E94A7D">
        <w:t>mu</w:t>
      </w:r>
      <w:r w:rsidR="000A03D5" w:rsidRPr="00C27AC7">
        <w:t xml:space="preserve"> atšķir no c</w:t>
      </w:r>
      <w:r w:rsidR="00D7215D">
        <w:t xml:space="preserve">esijas līguma. Līdz ar to </w:t>
      </w:r>
      <w:r w:rsidR="000A03D5" w:rsidRPr="00C27AC7">
        <w:t>Civillikuma 1793.</w:t>
      </w:r>
      <w:r w:rsidR="007A1CFB">
        <w:t xml:space="preserve">-1810.pants </w:t>
      </w:r>
      <w:r w:rsidR="00D7215D">
        <w:t>nav piemērojams</w:t>
      </w:r>
      <w:r w:rsidR="000A03D5" w:rsidRPr="00C27AC7">
        <w:t>.</w:t>
      </w:r>
      <w:r w:rsidR="00C27AC7">
        <w:t xml:space="preserve"> </w:t>
      </w:r>
      <w:r w:rsidR="00C27AC7" w:rsidRPr="00C27AC7">
        <w:t>Strīda iz</w:t>
      </w:r>
      <w:r w:rsidR="00D7215D">
        <w:t>šķiršanā nevar norobežoties</w:t>
      </w:r>
      <w:r w:rsidR="00916B5D">
        <w:t xml:space="preserve"> no līgumos</w:t>
      </w:r>
      <w:r w:rsidR="00C27AC7" w:rsidRPr="00C27AC7">
        <w:t xml:space="preserve"> izteiktās pušu gribas.</w:t>
      </w:r>
    </w:p>
    <w:p w:rsidR="00B329A0" w:rsidRDefault="003C2AB7" w:rsidP="008D6190">
      <w:pPr>
        <w:spacing w:line="276" w:lineRule="auto"/>
        <w:ind w:firstLine="567"/>
        <w:jc w:val="both"/>
      </w:pPr>
      <w:r>
        <w:t>Pamatota ir atbildētājas atsauce uz j</w:t>
      </w:r>
      <w:r w:rsidR="009769D2">
        <w:t>uridiskajā literatūrā</w:t>
      </w:r>
      <w:r>
        <w:t xml:space="preserve"> norādīto</w:t>
      </w:r>
      <w:r w:rsidR="00C27AC7" w:rsidRPr="00C27AC7">
        <w:t>, ka faktoringa līgumu no atlīdzības cesijas līguma atšķir arī prasījuma tiesību nodošanas singulārais raksturs faktoringa līguma ietvaros (faktoram pāriet tikai daļa no saistībām, kas rodas starp klientu un parādnieku uz savstarpēji noslēgta līguma pamata).</w:t>
      </w:r>
      <w:r w:rsidR="00C27AC7">
        <w:t xml:space="preserve"> </w:t>
      </w:r>
      <w:r w:rsidR="00C27AC7" w:rsidRPr="00C27AC7">
        <w:t>Turklāt atšķirībā no atlīdzības cesijas līguma, faktoringa līgums satur arī tādas pušu tiesības un pienākumus, kuri nav saistīti ar naudas prasījumu nodošanu. Līdz ar to cesijas atlīdzības raksturs pats par sevi nenozīmē, ka tās t</w:t>
      </w:r>
      <w:r w:rsidR="00093AC0">
        <w:t xml:space="preserve">iesisko regulējumu var </w:t>
      </w:r>
      <w:r>
        <w:t>p</w:t>
      </w:r>
      <w:r w:rsidR="0099761E">
        <w:t>iemērot faktoringa līgumam (sk.</w:t>
      </w:r>
      <w:r w:rsidR="008D6190">
        <w:t xml:space="preserve"> </w:t>
      </w:r>
      <w:r w:rsidR="008D6190" w:rsidRPr="00C93F51">
        <w:rPr>
          <w:i/>
          <w:lang w:val="ru-RU"/>
        </w:rPr>
        <w:t>Алещев И.Н. Соотношения факторинга и цессии. ЭЖ</w:t>
      </w:r>
      <w:r w:rsidR="008D6190" w:rsidRPr="00C93F51">
        <w:rPr>
          <w:i/>
          <w:lang w:val="en-US"/>
        </w:rPr>
        <w:t>-</w:t>
      </w:r>
      <w:r w:rsidR="008D6190" w:rsidRPr="00C93F51">
        <w:rPr>
          <w:i/>
          <w:lang w:val="ru-RU"/>
        </w:rPr>
        <w:t>Орист</w:t>
      </w:r>
      <w:r w:rsidR="00C93F51" w:rsidRPr="00C93F51">
        <w:rPr>
          <w:i/>
        </w:rPr>
        <w:t>,</w:t>
      </w:r>
      <w:r w:rsidR="008D6190" w:rsidRPr="00C93F51">
        <w:rPr>
          <w:i/>
          <w:lang w:val="en-US"/>
        </w:rPr>
        <w:t xml:space="preserve"> 2006</w:t>
      </w:r>
      <w:r w:rsidR="00C93F51" w:rsidRPr="00C93F51">
        <w:rPr>
          <w:i/>
        </w:rPr>
        <w:t xml:space="preserve">, №34; </w:t>
      </w:r>
      <w:proofErr w:type="spellStart"/>
      <w:r w:rsidR="00C93F51" w:rsidRPr="00C93F51">
        <w:rPr>
          <w:i/>
        </w:rPr>
        <w:t>Moore</w:t>
      </w:r>
      <w:proofErr w:type="spellEnd"/>
      <w:r w:rsidR="00C93F51" w:rsidRPr="00C93F51">
        <w:rPr>
          <w:i/>
        </w:rPr>
        <w:t xml:space="preserve"> </w:t>
      </w:r>
      <w:proofErr w:type="spellStart"/>
      <w:r w:rsidR="00C93F51" w:rsidRPr="00C93F51">
        <w:rPr>
          <w:i/>
        </w:rPr>
        <w:t>C.G.Factoring-</w:t>
      </w:r>
      <w:proofErr w:type="spellEnd"/>
      <w:r w:rsidR="00C93F51" w:rsidRPr="00C93F51">
        <w:rPr>
          <w:i/>
        </w:rPr>
        <w:t xml:space="preserve"> a </w:t>
      </w:r>
      <w:proofErr w:type="spellStart"/>
      <w:r w:rsidR="00C93F51" w:rsidRPr="00C93F51">
        <w:rPr>
          <w:i/>
        </w:rPr>
        <w:t>unique</w:t>
      </w:r>
      <w:proofErr w:type="spellEnd"/>
      <w:r w:rsidR="00C93F51" w:rsidRPr="00C93F51">
        <w:rPr>
          <w:i/>
        </w:rPr>
        <w:t xml:space="preserve"> </w:t>
      </w:r>
      <w:proofErr w:type="spellStart"/>
      <w:r w:rsidR="00C93F51" w:rsidRPr="00C93F51">
        <w:rPr>
          <w:i/>
        </w:rPr>
        <w:t>and</w:t>
      </w:r>
      <w:proofErr w:type="spellEnd"/>
      <w:r w:rsidR="00C93F51" w:rsidRPr="00C93F51">
        <w:rPr>
          <w:i/>
        </w:rPr>
        <w:t xml:space="preserve"> </w:t>
      </w:r>
      <w:proofErr w:type="spellStart"/>
      <w:r w:rsidR="00C93F51" w:rsidRPr="00C93F51">
        <w:rPr>
          <w:i/>
        </w:rPr>
        <w:t>important</w:t>
      </w:r>
      <w:proofErr w:type="spellEnd"/>
      <w:r w:rsidR="00C93F51" w:rsidRPr="00C93F51">
        <w:rPr>
          <w:i/>
        </w:rPr>
        <w:t xml:space="preserve"> </w:t>
      </w:r>
      <w:proofErr w:type="spellStart"/>
      <w:r w:rsidR="00C93F51" w:rsidRPr="00C93F51">
        <w:rPr>
          <w:i/>
        </w:rPr>
        <w:t>form</w:t>
      </w:r>
      <w:proofErr w:type="spellEnd"/>
      <w:r w:rsidR="00C93F51" w:rsidRPr="00C93F51">
        <w:rPr>
          <w:i/>
        </w:rPr>
        <w:t xml:space="preserve"> </w:t>
      </w:r>
      <w:proofErr w:type="spellStart"/>
      <w:r w:rsidR="00C93F51" w:rsidRPr="00C93F51">
        <w:rPr>
          <w:i/>
        </w:rPr>
        <w:t>offinancing</w:t>
      </w:r>
      <w:proofErr w:type="spellEnd"/>
      <w:r w:rsidR="00C93F51" w:rsidRPr="00C93F51">
        <w:rPr>
          <w:i/>
        </w:rPr>
        <w:t xml:space="preserve"> </w:t>
      </w:r>
      <w:proofErr w:type="spellStart"/>
      <w:r w:rsidR="00C93F51" w:rsidRPr="00C93F51">
        <w:rPr>
          <w:i/>
        </w:rPr>
        <w:t>and</w:t>
      </w:r>
      <w:proofErr w:type="spellEnd"/>
      <w:r w:rsidR="00C93F51" w:rsidRPr="00C93F51">
        <w:rPr>
          <w:i/>
        </w:rPr>
        <w:t xml:space="preserve"> </w:t>
      </w:r>
      <w:proofErr w:type="spellStart"/>
      <w:r w:rsidR="00C93F51" w:rsidRPr="00C93F51">
        <w:rPr>
          <w:i/>
        </w:rPr>
        <w:t>Service</w:t>
      </w:r>
      <w:proofErr w:type="spellEnd"/>
      <w:r w:rsidR="00C93F51" w:rsidRPr="00C93F51">
        <w:rPr>
          <w:i/>
        </w:rPr>
        <w:t xml:space="preserve">. </w:t>
      </w:r>
      <w:proofErr w:type="spellStart"/>
      <w:r w:rsidR="00C93F51" w:rsidRPr="00C93F51">
        <w:rPr>
          <w:i/>
        </w:rPr>
        <w:t>The</w:t>
      </w:r>
      <w:proofErr w:type="spellEnd"/>
      <w:r w:rsidR="00C93F51" w:rsidRPr="00C93F51">
        <w:rPr>
          <w:i/>
        </w:rPr>
        <w:t xml:space="preserve"> </w:t>
      </w:r>
      <w:proofErr w:type="spellStart"/>
      <w:r w:rsidR="00C93F51" w:rsidRPr="00C93F51">
        <w:rPr>
          <w:i/>
        </w:rPr>
        <w:t>Business</w:t>
      </w:r>
      <w:proofErr w:type="spellEnd"/>
      <w:r w:rsidR="00C93F51" w:rsidRPr="00C93F51">
        <w:rPr>
          <w:i/>
        </w:rPr>
        <w:t xml:space="preserve"> </w:t>
      </w:r>
      <w:proofErr w:type="spellStart"/>
      <w:r w:rsidR="00C93F51" w:rsidRPr="00C93F51">
        <w:rPr>
          <w:i/>
        </w:rPr>
        <w:t>Lawyer</w:t>
      </w:r>
      <w:proofErr w:type="spellEnd"/>
      <w:r w:rsidR="00C93F51" w:rsidRPr="00C93F51">
        <w:rPr>
          <w:i/>
        </w:rPr>
        <w:t>, 1959, Vol.14, No.3,p.706</w:t>
      </w:r>
      <w:r w:rsidR="00C93F51">
        <w:t>).</w:t>
      </w:r>
    </w:p>
    <w:p w:rsidR="00C27AC7" w:rsidRDefault="00595676" w:rsidP="0099761E">
      <w:pPr>
        <w:spacing w:line="276" w:lineRule="auto"/>
        <w:ind w:firstLine="567"/>
        <w:jc w:val="both"/>
      </w:pPr>
      <w:r>
        <w:t>[3.3</w:t>
      </w:r>
      <w:r w:rsidR="0099761E">
        <w:t xml:space="preserve">] </w:t>
      </w:r>
      <w:r w:rsidR="00C27AC7" w:rsidRPr="00C27AC7">
        <w:t>Faktoringa līguma</w:t>
      </w:r>
      <w:r w:rsidR="00093AC0">
        <w:t xml:space="preserve"> 4.2.5.punkts </w:t>
      </w:r>
      <w:r w:rsidR="00C27AC7" w:rsidRPr="00C27AC7">
        <w:t>liecina</w:t>
      </w:r>
      <w:r w:rsidR="00F3144C">
        <w:t xml:space="preserve"> par to, ka šis</w:t>
      </w:r>
      <w:r w:rsidR="00C27AC7" w:rsidRPr="00C27AC7">
        <w:t xml:space="preserve"> līgums nep</w:t>
      </w:r>
      <w:r w:rsidR="001C08CE">
        <w:t>ieļāva iespēju SIA</w:t>
      </w:r>
      <w:r w:rsidR="004F7A80">
        <w:t> </w:t>
      </w:r>
      <w:r w:rsidR="001C08CE">
        <w:t>„</w:t>
      </w:r>
      <w:proofErr w:type="spellStart"/>
      <w:r w:rsidR="001C08CE">
        <w:t>Microhous</w:t>
      </w:r>
      <w:proofErr w:type="spellEnd"/>
      <w:r w:rsidR="001C08CE">
        <w:t>”</w:t>
      </w:r>
      <w:r w:rsidR="00C27AC7" w:rsidRPr="00C27AC7">
        <w:t xml:space="preserve"> paturēt savā valdījumā no atbildētājas saņemtos </w:t>
      </w:r>
      <w:r w:rsidR="00A113B3">
        <w:t xml:space="preserve">naudas </w:t>
      </w:r>
      <w:r w:rsidR="00C27AC7" w:rsidRPr="00C27AC7">
        <w:t xml:space="preserve">līdzekļus un noteica </w:t>
      </w:r>
      <w:r w:rsidR="00093AC0">
        <w:t>termiņus, kādā tie</w:t>
      </w:r>
      <w:r w:rsidR="00C27AC7" w:rsidRPr="00C27AC7">
        <w:t xml:space="preserve"> pārskaitāmi faktoram. Š</w:t>
      </w:r>
      <w:r w:rsidR="00F3144C">
        <w:t>ajā līguma punktā</w:t>
      </w:r>
      <w:r w:rsidR="001C4244">
        <w:t xml:space="preserve"> ietverts</w:t>
      </w:r>
      <w:r w:rsidR="00C27AC7" w:rsidRPr="00C27AC7">
        <w:t xml:space="preserve"> Civillikuma 1817.pantā noteiktais pienākums neīstajam kreditoram</w:t>
      </w:r>
      <w:r w:rsidR="007A1CFB">
        <w:t xml:space="preserve"> atdot saņemto izpildījumu</w:t>
      </w:r>
      <w:r w:rsidR="00C27AC7" w:rsidRPr="00C27AC7">
        <w:t>, taču atšķirībā no Civ</w:t>
      </w:r>
      <w:r w:rsidR="007A1CFB">
        <w:t>illikuma 1817.panta – atdošana</w:t>
      </w:r>
      <w:r w:rsidR="00C27AC7" w:rsidRPr="00C27AC7">
        <w:t xml:space="preserve"> bija jāveic ne maksātājam (pircējam), bet saņemt tiesīgajam (faktoram).</w:t>
      </w:r>
    </w:p>
    <w:p w:rsidR="001C4244" w:rsidRDefault="00E66CA6" w:rsidP="0055639E">
      <w:pPr>
        <w:spacing w:line="276" w:lineRule="auto"/>
        <w:ind w:firstLine="567"/>
        <w:jc w:val="both"/>
      </w:pPr>
      <w:r>
        <w:t>Tādē</w:t>
      </w:r>
      <w:r w:rsidR="00967964">
        <w:t>jādi atbildētājas pienākums</w:t>
      </w:r>
      <w:r w:rsidR="001C4244" w:rsidRPr="001C4244">
        <w:t xml:space="preserve"> veikt pavadzīmju apmaksu </w:t>
      </w:r>
      <w:r w:rsidR="00967964">
        <w:t xml:space="preserve">atkārtoti </w:t>
      </w:r>
      <w:r w:rsidR="001C4244" w:rsidRPr="001C4244">
        <w:t>ir vērtēj</w:t>
      </w:r>
      <w:r w:rsidR="00F3144C">
        <w:t>ams kopsakarā ar f</w:t>
      </w:r>
      <w:r w:rsidR="001C4244" w:rsidRPr="001C4244">
        <w:t>akt</w:t>
      </w:r>
      <w:r w:rsidR="00F3144C">
        <w:t>oringa līguma 4.2.5. punktu un l</w:t>
      </w:r>
      <w:r w:rsidR="001C4244" w:rsidRPr="001C4244">
        <w:t>īguma</w:t>
      </w:r>
      <w:r w:rsidR="00F3144C">
        <w:t xml:space="preserve"> par faktoringa norēķinu kārtību</w:t>
      </w:r>
      <w:r w:rsidR="001C4244" w:rsidRPr="001C4244">
        <w:t xml:space="preserve"> </w:t>
      </w:r>
      <w:r w:rsidR="00F3144C">
        <w:t>7.2. un 8.punktu, proti, pa</w:t>
      </w:r>
      <w:r w:rsidR="00967964">
        <w:t xml:space="preserve">r līguma pārkāpumu paredzēts </w:t>
      </w:r>
      <w:r w:rsidR="001C4244" w:rsidRPr="001C4244">
        <w:t>atlīdzināt zaudējumus, kas radušies šāda pārkāpuma r</w:t>
      </w:r>
      <w:r w:rsidR="00F3144C">
        <w:t>ezultātā. Prasītāja pamatoti norādījusi</w:t>
      </w:r>
      <w:r w:rsidR="001C4244" w:rsidRPr="001C4244">
        <w:t>, ka atbildētāja nav ievērojusi līgumā noteikto maksāšanas kārtību, taču nav vērtējusi, kāda ir bijusi līgumslēdzēju griba, novēršot līguma neizpildes sekas.</w:t>
      </w:r>
    </w:p>
    <w:p w:rsidR="001C4244" w:rsidRDefault="00595676" w:rsidP="005473DF">
      <w:pPr>
        <w:spacing w:line="276" w:lineRule="auto"/>
        <w:ind w:firstLine="567"/>
        <w:jc w:val="both"/>
      </w:pPr>
      <w:r>
        <w:t>[3.4</w:t>
      </w:r>
      <w:r w:rsidR="001C4244">
        <w:t xml:space="preserve">] </w:t>
      </w:r>
      <w:r w:rsidR="001C4244" w:rsidRPr="001C4244">
        <w:t xml:space="preserve">Lietas izskatīšanas </w:t>
      </w:r>
      <w:r w:rsidR="001C08CE">
        <w:t>laikā atbildētāja norādīja</w:t>
      </w:r>
      <w:r w:rsidR="001C4244" w:rsidRPr="001C4244">
        <w:t>, ka ma</w:t>
      </w:r>
      <w:r w:rsidR="00967964">
        <w:t xml:space="preserve">ksājumu veikšana </w:t>
      </w:r>
      <w:r w:rsidR="004F7A80">
        <w:t>SIA </w:t>
      </w:r>
      <w:r w:rsidR="001C08CE">
        <w:t>„</w:t>
      </w:r>
      <w:proofErr w:type="spellStart"/>
      <w:r w:rsidR="001C08CE">
        <w:t>Microhous</w:t>
      </w:r>
      <w:proofErr w:type="spellEnd"/>
      <w:r w:rsidR="001C08CE">
        <w:t>”</w:t>
      </w:r>
      <w:r w:rsidR="007A1CFB">
        <w:t xml:space="preserve"> pastāvēja gandrīz divus gadus</w:t>
      </w:r>
      <w:r w:rsidR="001C4244" w:rsidRPr="001C4244">
        <w:t>, un neviena no lī</w:t>
      </w:r>
      <w:r w:rsidR="00967964">
        <w:t xml:space="preserve">guma dalībniecēm </w:t>
      </w:r>
      <w:r w:rsidR="001C4244" w:rsidRPr="001C4244">
        <w:t>iebildumus</w:t>
      </w:r>
      <w:r w:rsidR="00406CFA">
        <w:t xml:space="preserve"> necēla. Pirmās instances tiesā</w:t>
      </w:r>
      <w:r w:rsidR="001C4244" w:rsidRPr="001C4244">
        <w:t xml:space="preserve"> liecinieks</w:t>
      </w:r>
      <w:r w:rsidR="00406CFA">
        <w:t xml:space="preserve"> </w:t>
      </w:r>
      <w:r w:rsidR="00C858E1">
        <w:t>[pers. A]</w:t>
      </w:r>
      <w:r w:rsidR="001C4244" w:rsidRPr="001C4244">
        <w:t xml:space="preserve"> </w:t>
      </w:r>
      <w:r w:rsidR="007A1CFB">
        <w:t>(</w:t>
      </w:r>
      <w:r w:rsidR="004F7A80">
        <w:t>SIA </w:t>
      </w:r>
      <w:r w:rsidR="001C08CE">
        <w:t>„</w:t>
      </w:r>
      <w:proofErr w:type="spellStart"/>
      <w:r w:rsidR="001C08CE">
        <w:t>Microhous</w:t>
      </w:r>
      <w:proofErr w:type="spellEnd"/>
      <w:r w:rsidR="001C08CE">
        <w:t>”</w:t>
      </w:r>
      <w:r w:rsidR="001C4244" w:rsidRPr="001C4244">
        <w:t xml:space="preserve"> </w:t>
      </w:r>
      <w:r w:rsidR="007A1CFB">
        <w:t>bijušais valdes loceklis)</w:t>
      </w:r>
      <w:r w:rsidR="00406CFA">
        <w:t xml:space="preserve"> </w:t>
      </w:r>
      <w:r w:rsidR="00E66CA6">
        <w:t>apstiprināja mutiskās vienošanā</w:t>
      </w:r>
      <w:r w:rsidR="001C08CE">
        <w:t>s faktu ar</w:t>
      </w:r>
      <w:r w:rsidR="00103EF6">
        <w:t xml:space="preserve"> atbildētāju un</w:t>
      </w:r>
      <w:r w:rsidR="001C4244" w:rsidRPr="001C4244">
        <w:t xml:space="preserve"> ka prasītājai šis </w:t>
      </w:r>
      <w:r w:rsidR="00967964">
        <w:t>apstāklis bija zināms. T</w:t>
      </w:r>
      <w:r w:rsidR="001C4244" w:rsidRPr="001C4244">
        <w:t>o, ka šāda kārtība pastāv</w:t>
      </w:r>
      <w:r w:rsidR="001C08CE">
        <w:t>ēja arī attiecībās ar citiem</w:t>
      </w:r>
      <w:r w:rsidR="001A2AFF">
        <w:t xml:space="preserve"> klientiem</w:t>
      </w:r>
      <w:r w:rsidR="001C4244" w:rsidRPr="001C4244">
        <w:t>, apstiprina apelāc</w:t>
      </w:r>
      <w:r w:rsidR="00103EF6">
        <w:t>ijas instances tiesā iesniegtās</w:t>
      </w:r>
      <w:r w:rsidR="001C4244" w:rsidRPr="001C4244">
        <w:t xml:space="preserve"> kontu izdrukas.</w:t>
      </w:r>
      <w:r w:rsidR="005473DF">
        <w:t xml:space="preserve"> </w:t>
      </w:r>
      <w:r w:rsidR="001C08CE">
        <w:t xml:space="preserve">Tādējādi </w:t>
      </w:r>
      <w:r w:rsidR="001C4244" w:rsidRPr="001C4244">
        <w:t>prasītā</w:t>
      </w:r>
      <w:r w:rsidR="0099761E">
        <w:t xml:space="preserve">jas apgalvojums, ka nav zinājusi un </w:t>
      </w:r>
      <w:r w:rsidR="001C4244" w:rsidRPr="001C4244">
        <w:t>nebija pie</w:t>
      </w:r>
      <w:r w:rsidR="004F7A80">
        <w:t>nākums pārbaudīt SIA </w:t>
      </w:r>
      <w:r w:rsidR="001C08CE">
        <w:t>„</w:t>
      </w:r>
      <w:proofErr w:type="spellStart"/>
      <w:r w:rsidR="001C08CE">
        <w:t>Microhous</w:t>
      </w:r>
      <w:proofErr w:type="spellEnd"/>
      <w:r w:rsidR="001C08CE">
        <w:t>”</w:t>
      </w:r>
      <w:r w:rsidR="001C4244" w:rsidRPr="001C4244">
        <w:t xml:space="preserve"> finansiāl</w:t>
      </w:r>
      <w:r w:rsidR="0099761E">
        <w:t>ās darbības</w:t>
      </w:r>
      <w:r w:rsidR="00967964">
        <w:t xml:space="preserve"> ir mazticams un pretrunā </w:t>
      </w:r>
      <w:r w:rsidR="001C4244" w:rsidRPr="001C4244">
        <w:t>noslēgtajiem līgumiem</w:t>
      </w:r>
      <w:r w:rsidR="00967964">
        <w:t xml:space="preserve"> un </w:t>
      </w:r>
      <w:r w:rsidR="001C4244" w:rsidRPr="001C4244">
        <w:t>Komerclikuma 393</w:t>
      </w:r>
      <w:r w:rsidR="00967964">
        <w:t>.panta pirmajā daļā nostiprinātajam komersanta pienākumam</w:t>
      </w:r>
      <w:r w:rsidR="001C4244" w:rsidRPr="001C4244">
        <w:t xml:space="preserve"> komercdarījumu attiecībās rīkoties ar krietna un kārtīga komersanta rūpību.</w:t>
      </w:r>
    </w:p>
    <w:p w:rsidR="006439AA" w:rsidRDefault="00595676" w:rsidP="00775BB8">
      <w:pPr>
        <w:spacing w:line="276" w:lineRule="auto"/>
        <w:ind w:firstLine="567"/>
        <w:jc w:val="both"/>
      </w:pPr>
      <w:r>
        <w:t>[3.5</w:t>
      </w:r>
      <w:r w:rsidR="006439AA">
        <w:t xml:space="preserve">] </w:t>
      </w:r>
      <w:r w:rsidR="000D598E">
        <w:t xml:space="preserve">Kriminālprocesā pret </w:t>
      </w:r>
      <w:r w:rsidR="00C858E1">
        <w:t>[pers. A]</w:t>
      </w:r>
      <w:r w:rsidR="000D598E">
        <w:t xml:space="preserve"> pēc Krimināllikuma 179.panta trešās daļas</w:t>
      </w:r>
      <w:r w:rsidR="006439AA" w:rsidRPr="006439AA">
        <w:t xml:space="preserve"> par piesavināšanos lielā apm</w:t>
      </w:r>
      <w:r w:rsidR="00103EF6">
        <w:t>ērā</w:t>
      </w:r>
      <w:r w:rsidR="000D598E">
        <w:t xml:space="preserve"> prasītāja </w:t>
      </w:r>
      <w:r w:rsidR="00103EF6">
        <w:t>pieteica</w:t>
      </w:r>
      <w:r w:rsidR="006439AA" w:rsidRPr="006439AA">
        <w:t xml:space="preserve"> cietušā kompensāciju. Ar Kurzemes rajona tiesas 2017.gada 10.janvāra spriedumu </w:t>
      </w:r>
      <w:r w:rsidR="00C858E1">
        <w:t>[pers. A]</w:t>
      </w:r>
      <w:r w:rsidR="00406CFA">
        <w:t xml:space="preserve"> </w:t>
      </w:r>
      <w:r w:rsidR="000D598E">
        <w:t>notiesāts</w:t>
      </w:r>
      <w:r w:rsidR="006439AA" w:rsidRPr="006439AA">
        <w:t xml:space="preserve"> un pras</w:t>
      </w:r>
      <w:r w:rsidR="000D598E">
        <w:t xml:space="preserve">ītājas pieteikums </w:t>
      </w:r>
      <w:r w:rsidR="00103EF6">
        <w:t xml:space="preserve">apmierināts </w:t>
      </w:r>
      <w:r w:rsidR="004F7A80">
        <w:t>423 </w:t>
      </w:r>
      <w:r w:rsidR="006439AA" w:rsidRPr="006439AA">
        <w:t>658,19</w:t>
      </w:r>
      <w:r w:rsidR="004F7A80">
        <w:t> </w:t>
      </w:r>
      <w:r w:rsidR="006439AA" w:rsidRPr="006439AA">
        <w:t>EUR</w:t>
      </w:r>
      <w:r w:rsidR="00103EF6">
        <w:t xml:space="preserve"> apmērā</w:t>
      </w:r>
      <w:r w:rsidR="006439AA" w:rsidRPr="006439AA">
        <w:t>.</w:t>
      </w:r>
      <w:r w:rsidR="000D598E">
        <w:t xml:space="preserve"> Tādējādi </w:t>
      </w:r>
      <w:r w:rsidR="006439AA" w:rsidRPr="006439AA">
        <w:t>ir pamats uzskatīt, ka prasītājas</w:t>
      </w:r>
      <w:r w:rsidR="00406CFA">
        <w:t xml:space="preserve"> mantisko tiesību aizskārums </w:t>
      </w:r>
      <w:r w:rsidR="004F7A80">
        <w:t>radies SIA </w:t>
      </w:r>
      <w:r w:rsidR="001C08CE">
        <w:t>„</w:t>
      </w:r>
      <w:proofErr w:type="spellStart"/>
      <w:r w:rsidR="001C08CE">
        <w:t>Microhous</w:t>
      </w:r>
      <w:proofErr w:type="spellEnd"/>
      <w:r w:rsidR="001C08CE">
        <w:t>”</w:t>
      </w:r>
      <w:r w:rsidR="006439AA" w:rsidRPr="006439AA">
        <w:t xml:space="preserve"> prettiesiskās rīcības rezultātā un kompensācijas apmērs tiks noteikts kriminālprocesā.</w:t>
      </w:r>
    </w:p>
    <w:p w:rsidR="00105900" w:rsidRDefault="00E66CA6" w:rsidP="00B846DA">
      <w:pPr>
        <w:spacing w:line="276" w:lineRule="auto"/>
        <w:ind w:firstLine="567"/>
        <w:jc w:val="both"/>
      </w:pPr>
      <w:r>
        <w:lastRenderedPageBreak/>
        <w:t>[3</w:t>
      </w:r>
      <w:r w:rsidR="00595676">
        <w:t>.6</w:t>
      </w:r>
      <w:r w:rsidR="006439AA">
        <w:t xml:space="preserve">] </w:t>
      </w:r>
      <w:r w:rsidR="006439AA" w:rsidRPr="006439AA">
        <w:t>Tā kā p</w:t>
      </w:r>
      <w:r w:rsidR="005C0F87">
        <w:t xml:space="preserve">rasība tiek </w:t>
      </w:r>
      <w:r w:rsidR="000D598E">
        <w:t>noraidīta pilnībā, prasītājas iesniegtā apelācijas sūdzība par pirmās instances spriedumu</w:t>
      </w:r>
      <w:r w:rsidR="006439AA" w:rsidRPr="006439AA">
        <w:t xml:space="preserve"> d</w:t>
      </w:r>
      <w:r w:rsidR="006439AA">
        <w:t>aļā</w:t>
      </w:r>
      <w:r w:rsidR="000D598E">
        <w:t xml:space="preserve">, ar kuru prasība par </w:t>
      </w:r>
      <w:r w:rsidR="006439AA" w:rsidRPr="006439AA">
        <w:t>nokavējuma proce</w:t>
      </w:r>
      <w:r w:rsidR="000D598E">
        <w:t>ntu piedziņu noraidīta, netiek</w:t>
      </w:r>
      <w:r w:rsidR="00203D7C">
        <w:t xml:space="preserve"> analizēta</w:t>
      </w:r>
      <w:r w:rsidR="000D598E">
        <w:t xml:space="preserve">. </w:t>
      </w:r>
    </w:p>
    <w:p w:rsidR="00105900" w:rsidRDefault="00105900" w:rsidP="00B846DA">
      <w:pPr>
        <w:spacing w:line="276" w:lineRule="auto"/>
        <w:ind w:firstLine="567"/>
        <w:jc w:val="both"/>
      </w:pPr>
    </w:p>
    <w:p w:rsidR="00A27F6C" w:rsidRDefault="00A27F6C" w:rsidP="00B846DA">
      <w:pPr>
        <w:spacing w:line="276" w:lineRule="auto"/>
        <w:ind w:firstLine="567"/>
        <w:jc w:val="both"/>
        <w:rPr>
          <w:lang w:eastAsia="lv-LV"/>
        </w:rPr>
      </w:pPr>
      <w:r>
        <w:rPr>
          <w:lang w:eastAsia="lv-LV"/>
        </w:rPr>
        <w:t xml:space="preserve">[4] </w:t>
      </w:r>
      <w:r w:rsidR="00D4490E">
        <w:rPr>
          <w:lang w:eastAsia="lv-LV"/>
        </w:rPr>
        <w:t>Prasītāja</w:t>
      </w:r>
      <w:r w:rsidR="00B846DA" w:rsidRPr="00834F51">
        <w:t xml:space="preserve"> </w:t>
      </w:r>
      <w:r w:rsidR="00B846DA">
        <w:t>kasācijas sūdzībā lūdz</w:t>
      </w:r>
      <w:r w:rsidR="00B846DA" w:rsidRPr="00C3620A">
        <w:t xml:space="preserve"> </w:t>
      </w:r>
      <w:r w:rsidR="00203D7C">
        <w:t>atcelt apelācijas instances tiesas spriedumu</w:t>
      </w:r>
      <w:r w:rsidR="00B846DA" w:rsidRPr="00D4490E">
        <w:t>,</w:t>
      </w:r>
      <w:r w:rsidR="00B846DA" w:rsidRPr="009308F0">
        <w:t xml:space="preserve"> </w:t>
      </w:r>
      <w:r w:rsidR="00B846DA">
        <w:rPr>
          <w:lang w:eastAsia="lv-LV"/>
        </w:rPr>
        <w:t>minot šādus argumentus</w:t>
      </w:r>
      <w:r w:rsidR="00B846DA" w:rsidRPr="00C3620A">
        <w:rPr>
          <w:lang w:eastAsia="lv-LV"/>
        </w:rPr>
        <w:t>.</w:t>
      </w:r>
    </w:p>
    <w:p w:rsidR="00A55C02" w:rsidRDefault="00B24B41" w:rsidP="0055639E">
      <w:pPr>
        <w:spacing w:line="276" w:lineRule="auto"/>
        <w:ind w:firstLine="567"/>
        <w:jc w:val="both"/>
      </w:pPr>
      <w:r w:rsidRPr="00530C14">
        <w:t>[4.1]</w:t>
      </w:r>
      <w:r>
        <w:t xml:space="preserve"> </w:t>
      </w:r>
      <w:r w:rsidR="001A2AFF">
        <w:t>Tiesa nepamatoti nepiemēroja</w:t>
      </w:r>
      <w:r w:rsidR="00D3598F">
        <w:t xml:space="preserve"> Civillikuma 1587.pantu un Komerclikuma 473.pantu</w:t>
      </w:r>
      <w:r w:rsidR="00026F5B">
        <w:t>, tā vietā kļūdaini kā saistī</w:t>
      </w:r>
      <w:r w:rsidR="001A2AFF">
        <w:t>bas izbeigšanās pamatu norādīja l</w:t>
      </w:r>
      <w:r w:rsidR="00026F5B">
        <w:t>īguma</w:t>
      </w:r>
      <w:r w:rsidR="001A2AFF">
        <w:t xml:space="preserve"> par faktoringa norēķinu kārtību</w:t>
      </w:r>
      <w:r w:rsidR="00026F5B">
        <w:t xml:space="preserve"> 8.punktu un tajā ietverto Civillikuma 1779.pantu.</w:t>
      </w:r>
    </w:p>
    <w:p w:rsidR="00026F5B" w:rsidRDefault="001D0216" w:rsidP="0055639E">
      <w:pPr>
        <w:spacing w:line="276" w:lineRule="auto"/>
        <w:ind w:firstLine="567"/>
        <w:jc w:val="both"/>
      </w:pPr>
      <w:r>
        <w:t>Pamatoti atzīdama</w:t>
      </w:r>
      <w:r w:rsidR="004F7A80">
        <w:t>, ka SIA </w:t>
      </w:r>
      <w:r w:rsidR="00026F5B">
        <w:t>„</w:t>
      </w:r>
      <w:proofErr w:type="spellStart"/>
      <w:r w:rsidR="00026F5B">
        <w:t>Microhous</w:t>
      </w:r>
      <w:proofErr w:type="spellEnd"/>
      <w:r w:rsidR="00026F5B">
        <w:t>” izrakstītās pavadzīmes</w:t>
      </w:r>
      <w:r w:rsidR="007A1CFB">
        <w:t xml:space="preserve"> </w:t>
      </w:r>
      <w:proofErr w:type="spellStart"/>
      <w:r>
        <w:t>faktorizētas</w:t>
      </w:r>
      <w:proofErr w:type="spellEnd"/>
      <w:r>
        <w:t xml:space="preserve"> par labu prasītājai</w:t>
      </w:r>
      <w:r w:rsidR="0099761E">
        <w:t>, tas ir,</w:t>
      </w:r>
      <w:r w:rsidR="008B64BA">
        <w:t xml:space="preserve"> atbildētājai pastāvēja</w:t>
      </w:r>
      <w:r>
        <w:t xml:space="preserve"> pienākums norēķināties tieši ar prasītāju,</w:t>
      </w:r>
      <w:r w:rsidR="00026F5B">
        <w:t xml:space="preserve"> un no atbildētājas puses saistības izpilde notikusi neī</w:t>
      </w:r>
      <w:r>
        <w:t>stajai personai, vienlaikus tiesa secināja</w:t>
      </w:r>
      <w:r w:rsidR="00026F5B">
        <w:t xml:space="preserve">, ka šī saistību tiesība izbeigusies, jo </w:t>
      </w:r>
      <w:r>
        <w:t>l</w:t>
      </w:r>
      <w:r w:rsidR="00026F5B">
        <w:t xml:space="preserve">īgums </w:t>
      </w:r>
      <w:r>
        <w:t xml:space="preserve">par faktoringa norēķinu kārtību </w:t>
      </w:r>
      <w:r w:rsidR="00026F5B">
        <w:t>paredz tikai zaudējumu atlīdzināšanas pie</w:t>
      </w:r>
      <w:r>
        <w:t>nākumu, ja šī saistība</w:t>
      </w:r>
      <w:r w:rsidR="00026F5B">
        <w:t xml:space="preserve"> netiek pildīta. Prasītāja nepiekrīt šādai tiesas izpratnei par saistību tiesību un tās iz</w:t>
      </w:r>
      <w:r w:rsidR="00775BB8">
        <w:t>beigšanās veidiem, kas bija pamats</w:t>
      </w:r>
      <w:r w:rsidR="00026F5B">
        <w:t xml:space="preserve"> prasības noraidīšanai.</w:t>
      </w:r>
    </w:p>
    <w:p w:rsidR="006072E2" w:rsidRDefault="0099761E" w:rsidP="004A38A2">
      <w:pPr>
        <w:spacing w:line="276" w:lineRule="auto"/>
        <w:ind w:firstLine="567"/>
        <w:jc w:val="both"/>
      </w:pPr>
      <w:r>
        <w:t>Līgumos</w:t>
      </w:r>
      <w:r w:rsidR="00026F5B">
        <w:t xml:space="preserve"> nav noteikuma, kas par</w:t>
      </w:r>
      <w:r w:rsidR="008B64BA">
        <w:t>edzētu, ka atbildētājas saistības</w:t>
      </w:r>
      <w:r w:rsidR="00026F5B">
        <w:t xml:space="preserve"> norēķināties par pavadzīmēm </w:t>
      </w:r>
      <w:r w:rsidR="007A1CFB">
        <w:t xml:space="preserve">nepildīšana </w:t>
      </w:r>
      <w:r w:rsidR="008B64BA">
        <w:t>šo saistību</w:t>
      </w:r>
      <w:r w:rsidR="007A1CFB">
        <w:t xml:space="preserve"> izbeigtu</w:t>
      </w:r>
      <w:r w:rsidR="00026F5B">
        <w:t>.</w:t>
      </w:r>
      <w:r w:rsidR="008C557E">
        <w:t xml:space="preserve"> Līguma par faktoringa norēķinu kā</w:t>
      </w:r>
      <w:r w:rsidR="001D0216">
        <w:t xml:space="preserve">rtību 6.punktā noteikts, ka saskaņā ar pavadzīmi </w:t>
      </w:r>
      <w:r w:rsidR="008C557E">
        <w:t>maksājamā summa i</w:t>
      </w:r>
      <w:r w:rsidR="001D0216">
        <w:t xml:space="preserve">r samaksāta tad, kad pircējs </w:t>
      </w:r>
      <w:r w:rsidR="008C557E">
        <w:t>to i</w:t>
      </w:r>
      <w:r w:rsidR="007A1CFB">
        <w:t>emaksājis prasītājas kontā</w:t>
      </w:r>
      <w:r w:rsidR="001D0216">
        <w:t>. Tādējādi līgumā</w:t>
      </w:r>
      <w:r w:rsidR="008C557E">
        <w:t xml:space="preserve"> noteiktā atbildētājas saistība - </w:t>
      </w:r>
      <w:proofErr w:type="spellStart"/>
      <w:r w:rsidR="008C557E">
        <w:t>faktorizētās</w:t>
      </w:r>
      <w:proofErr w:type="spellEnd"/>
      <w:r w:rsidR="008C557E">
        <w:t xml:space="preserve"> pavadzīmes jāapmaksā par labu bankai –</w:t>
      </w:r>
      <w:r w:rsidR="001D0216">
        <w:t xml:space="preserve"> ir jāpilda. To pašu noteic Komerclikuma 473.pants (</w:t>
      </w:r>
      <w:r w:rsidR="001D0216">
        <w:rPr>
          <w:i/>
        </w:rPr>
        <w:t>samaksa par labu faktoram atbrīvo parādnieku no prasījumam atbilstošajām saistībām pret klientu</w:t>
      </w:r>
      <w:r w:rsidR="006072E2">
        <w:t>)</w:t>
      </w:r>
      <w:r w:rsidR="008C557E">
        <w:t xml:space="preserve"> analoģiski Civ</w:t>
      </w:r>
      <w:r w:rsidR="004A38A2">
        <w:t>illikuma 1816. un 1817.pantam.</w:t>
      </w:r>
    </w:p>
    <w:p w:rsidR="008C557E" w:rsidRDefault="008C557E" w:rsidP="0055639E">
      <w:pPr>
        <w:spacing w:line="276" w:lineRule="auto"/>
        <w:ind w:firstLine="567"/>
        <w:jc w:val="both"/>
      </w:pPr>
      <w:r>
        <w:t>Tas, ka lī</w:t>
      </w:r>
      <w:r w:rsidR="006072E2">
        <w:t xml:space="preserve">gumā ietverts punkts, ka </w:t>
      </w:r>
      <w:r>
        <w:t xml:space="preserve">saistību neizpildes </w:t>
      </w:r>
      <w:r w:rsidR="00E53142">
        <w:t>rezultātā ir pienākums atlīdzināt zaudējumus, nenozīmē, ka cietušais ir atteicies no citiem likumā minētiem civiltiesiskiem aizs</w:t>
      </w:r>
      <w:r w:rsidR="007E619F">
        <w:t>ardzības līdzekļiem, tostarp</w:t>
      </w:r>
      <w:r w:rsidR="00E53142">
        <w:t xml:space="preserve"> tiesībām prasīt līguma saistības izpildi (Civillikuma 1590.pants).</w:t>
      </w:r>
    </w:p>
    <w:p w:rsidR="00E53142" w:rsidRDefault="006072E2" w:rsidP="0055639E">
      <w:pPr>
        <w:spacing w:line="276" w:lineRule="auto"/>
        <w:ind w:firstLine="567"/>
        <w:jc w:val="both"/>
      </w:pPr>
      <w:r>
        <w:t xml:space="preserve">Prasījums par līguma izpildi, </w:t>
      </w:r>
      <w:r w:rsidR="00E53142">
        <w:t>un prasījums par zaudējumu atlīdzināš</w:t>
      </w:r>
      <w:r w:rsidR="00BC57ED">
        <w:t>anu ir patstāvīgi un</w:t>
      </w:r>
      <w:r w:rsidR="00E53142">
        <w:t xml:space="preserve"> viens otru neizslēdzoši civiltiesiskās aizsardzības līdzekļi. Tos var realizēt kā alternatīvi, tā arī kumulat</w:t>
      </w:r>
      <w:r w:rsidR="007E619F">
        <w:t>īvi, neskatoties uz to, vai tie</w:t>
      </w:r>
      <w:r w:rsidR="00E53142">
        <w:t xml:space="preserve"> ir vai nav ierakstīti līgumā.</w:t>
      </w:r>
    </w:p>
    <w:p w:rsidR="00C30EE8" w:rsidRDefault="00E53142" w:rsidP="006072E2">
      <w:pPr>
        <w:spacing w:line="276" w:lineRule="auto"/>
        <w:ind w:firstLine="567"/>
        <w:jc w:val="both"/>
      </w:pPr>
      <w:r>
        <w:t>Saistības izpilde netiesīgai personai nerada tiesīgu saistības izpildījumu</w:t>
      </w:r>
      <w:r w:rsidR="00D26714">
        <w:t xml:space="preserve"> (C</w:t>
      </w:r>
      <w:r w:rsidR="00912E0E">
        <w:t>ivill</w:t>
      </w:r>
      <w:r w:rsidR="00C23CDF">
        <w:t xml:space="preserve">ikuma 1816.pants). Tāpēc </w:t>
      </w:r>
      <w:r w:rsidR="006072E2">
        <w:t xml:space="preserve">tiesas </w:t>
      </w:r>
      <w:r w:rsidR="00C23CDF">
        <w:t>uzskats</w:t>
      </w:r>
      <w:r w:rsidR="00A113B3">
        <w:t xml:space="preserve">, ka prasītāja prasa </w:t>
      </w:r>
      <w:r w:rsidR="00912E0E">
        <w:t>saistību</w:t>
      </w:r>
      <w:r w:rsidR="00A113B3">
        <w:t xml:space="preserve"> atkārtotu</w:t>
      </w:r>
      <w:r w:rsidR="00912E0E">
        <w:t xml:space="preserve"> izpild</w:t>
      </w:r>
      <w:r w:rsidR="00BC57ED">
        <w:t xml:space="preserve">i, ir aplams. Atbildētāja </w:t>
      </w:r>
      <w:r w:rsidR="00912E0E">
        <w:t xml:space="preserve">saistības norēķināties </w:t>
      </w:r>
      <w:r w:rsidR="006072E2">
        <w:t>ar prasītāju</w:t>
      </w:r>
      <w:r w:rsidR="004D412E">
        <w:t xml:space="preserve"> nav izpildījusi, jo </w:t>
      </w:r>
      <w:r w:rsidR="007E619F">
        <w:t xml:space="preserve">pavadzīmju apmaksa </w:t>
      </w:r>
      <w:r w:rsidR="00C30EE8">
        <w:t>SIA</w:t>
      </w:r>
      <w:r w:rsidR="004F7A80">
        <w:t> </w:t>
      </w:r>
      <w:r w:rsidR="00C30EE8">
        <w:t>„</w:t>
      </w:r>
      <w:proofErr w:type="spellStart"/>
      <w:r w:rsidR="00C30EE8">
        <w:t>Microhous</w:t>
      </w:r>
      <w:proofErr w:type="spellEnd"/>
      <w:r w:rsidR="00C30EE8">
        <w:t>” nav uzskatāma par tiesīgu izpildījumu Civillikuma</w:t>
      </w:r>
      <w:r w:rsidR="006072E2">
        <w:t xml:space="preserve"> izpratnē. </w:t>
      </w:r>
    </w:p>
    <w:p w:rsidR="00C30EE8" w:rsidRDefault="006072E2" w:rsidP="008D56DC">
      <w:pPr>
        <w:spacing w:line="276" w:lineRule="auto"/>
        <w:ind w:firstLine="567"/>
        <w:jc w:val="both"/>
      </w:pPr>
      <w:r>
        <w:t>Tiesas secinājums</w:t>
      </w:r>
      <w:r w:rsidR="007E619F">
        <w:t>, ka prasītāja</w:t>
      </w:r>
      <w:r w:rsidR="00C30EE8">
        <w:t xml:space="preserve"> faktoringa ceļā ieguvusi pras</w:t>
      </w:r>
      <w:r w:rsidR="008B64BA">
        <w:t>ījuma tiesības tikai</w:t>
      </w:r>
      <w:r w:rsidR="007E619F">
        <w:t xml:space="preserve"> uz</w:t>
      </w:r>
      <w:r w:rsidR="008B64BA">
        <w:t xml:space="preserve"> 90% </w:t>
      </w:r>
      <w:r w:rsidR="00C30EE8">
        <w:t xml:space="preserve">no pavadzīmju summas, </w:t>
      </w:r>
      <w:r>
        <w:t>ir kļ</w:t>
      </w:r>
      <w:r w:rsidR="008D56DC">
        <w:t xml:space="preserve">ūdains. </w:t>
      </w:r>
      <w:r w:rsidR="00F8037B">
        <w:t xml:space="preserve">Prasītāja </w:t>
      </w:r>
      <w:r w:rsidR="00C30EE8">
        <w:t>ieguva prasījuma tiesības uz pilnu pavadzīmes summu</w:t>
      </w:r>
      <w:r w:rsidR="00F8037B">
        <w:t>, jo atlikušie 10% veido faktoringa rezervi (faktoringa līguma 1.7.punkts), ko prasītāja pārskaita SIA</w:t>
      </w:r>
      <w:r w:rsidR="004F7A80">
        <w:t> </w:t>
      </w:r>
      <w:r w:rsidR="00F8037B">
        <w:t>„</w:t>
      </w:r>
      <w:proofErr w:type="spellStart"/>
      <w:r w:rsidR="00F8037B">
        <w:t>Microhous</w:t>
      </w:r>
      <w:proofErr w:type="spellEnd"/>
      <w:r w:rsidR="00F8037B">
        <w:t>” pēc tam, kad atbildētāja veikusi attiecīgās pavadzīmes summas pilnu samaksu par labu prasītājai (faktoringa līguma 4.2.4.punkts)</w:t>
      </w:r>
      <w:r w:rsidR="00C30EE8">
        <w:t>.</w:t>
      </w:r>
    </w:p>
    <w:p w:rsidR="004B1CD1" w:rsidRDefault="004B1CD1" w:rsidP="008654A9">
      <w:pPr>
        <w:spacing w:line="276" w:lineRule="auto"/>
        <w:ind w:firstLine="567"/>
        <w:jc w:val="both"/>
      </w:pPr>
      <w:r>
        <w:t>Tiesa nekorekti atsaukusies uz faktoringa</w:t>
      </w:r>
      <w:r w:rsidR="008D56DC">
        <w:t xml:space="preserve">m piemītošo singulāro raksturu. Šī īpašība </w:t>
      </w:r>
      <w:r>
        <w:t>nozīmē</w:t>
      </w:r>
      <w:r w:rsidR="008D56DC">
        <w:t xml:space="preserve"> to</w:t>
      </w:r>
      <w:r>
        <w:t>, ka faktoringa gadījumā nereti pielīgst</w:t>
      </w:r>
      <w:r w:rsidR="008D56DC">
        <w:t xml:space="preserve"> noteikumu</w:t>
      </w:r>
      <w:r>
        <w:t>, ka klients</w:t>
      </w:r>
      <w:r w:rsidR="008D56DC">
        <w:t>, it sevišķi ilgtermiņa darījuma attiecībās ar pircēju,</w:t>
      </w:r>
      <w:r>
        <w:t xml:space="preserve"> </w:t>
      </w:r>
      <w:r w:rsidR="008D56DC">
        <w:t xml:space="preserve">pats </w:t>
      </w:r>
      <w:r>
        <w:t xml:space="preserve">var izvēlēties, </w:t>
      </w:r>
      <w:proofErr w:type="spellStart"/>
      <w:r>
        <w:t>faktorizēt</w:t>
      </w:r>
      <w:proofErr w:type="spellEnd"/>
      <w:r>
        <w:t xml:space="preserve"> pircējam izstādīto rēķinu vai arī </w:t>
      </w:r>
      <w:proofErr w:type="spellStart"/>
      <w:r>
        <w:t>nefaktorizēt</w:t>
      </w:r>
      <w:proofErr w:type="spellEnd"/>
      <w:r w:rsidR="004A38A2">
        <w:t xml:space="preserve"> un gaidīt apmaksu no pircēja nolīgtajā termiņā, nevis </w:t>
      </w:r>
      <w:proofErr w:type="spellStart"/>
      <w:r w:rsidR="004A38A2">
        <w:t>faktorizēt</w:t>
      </w:r>
      <w:proofErr w:type="spellEnd"/>
      <w:r w:rsidR="004A38A2">
        <w:t xml:space="preserve"> tikai daļu no saistības, t.i.</w:t>
      </w:r>
      <w:r w:rsidR="007E619F">
        <w:t>,</w:t>
      </w:r>
      <w:r w:rsidR="004A38A2">
        <w:t xml:space="preserve"> daļu no konkrēta rēķina.</w:t>
      </w:r>
      <w:r>
        <w:t xml:space="preserve"> </w:t>
      </w:r>
      <w:r w:rsidR="004A38A2">
        <w:t>Jebkurā gadījumā, šī tiesas norādītā atšķirība</w:t>
      </w:r>
      <w:r w:rsidR="008654A9">
        <w:t xml:space="preserve">, un apstāklis, ka faktoringa līgums satur arī tādas pušu tiesības un pienākumus, kuri nav saistīti </w:t>
      </w:r>
      <w:r w:rsidR="008654A9">
        <w:lastRenderedPageBreak/>
        <w:t>ar atlīdzības cesiju,</w:t>
      </w:r>
      <w:r>
        <w:t xml:space="preserve"> nevar kalpot par pamatu Civillikuma noteikumu par cesiju </w:t>
      </w:r>
      <w:r w:rsidR="008654A9">
        <w:t xml:space="preserve">attiecībā uz prasījumu pāreju </w:t>
      </w:r>
      <w:r>
        <w:t>neattiecināšanai uz fa</w:t>
      </w:r>
      <w:r w:rsidR="008654A9">
        <w:t>ktoringa tiesiskajām attiecībām</w:t>
      </w:r>
      <w:r w:rsidR="00D86894">
        <w:t>.</w:t>
      </w:r>
    </w:p>
    <w:p w:rsidR="00530C14" w:rsidRDefault="00530C14" w:rsidP="00B33E94">
      <w:pPr>
        <w:spacing w:line="276" w:lineRule="auto"/>
        <w:ind w:firstLine="567"/>
        <w:jc w:val="both"/>
      </w:pPr>
      <w:r>
        <w:t>[4.2] Tiesa kļūdaini iztulkojusi Civillikuma 1817.pantu kontekstā ar faktoringa līguma 4.2.5.punktu, secinot, ka atbildētājas saistība norēķināties par pavadzīmēm</w:t>
      </w:r>
      <w:r w:rsidR="00775BB8">
        <w:t>,</w:t>
      </w:r>
      <w:r>
        <w:t xml:space="preserve"> ir iz</w:t>
      </w:r>
      <w:r w:rsidR="00B33E94">
        <w:t>beigusies.</w:t>
      </w:r>
    </w:p>
    <w:p w:rsidR="00B1156E" w:rsidRDefault="008654A9" w:rsidP="0055639E">
      <w:pPr>
        <w:spacing w:line="276" w:lineRule="auto"/>
        <w:ind w:firstLine="567"/>
        <w:jc w:val="both"/>
      </w:pPr>
      <w:r>
        <w:t xml:space="preserve">Minētais </w:t>
      </w:r>
      <w:r w:rsidR="00B33E94">
        <w:t>punkts neatceļ trīspusējā l</w:t>
      </w:r>
      <w:r w:rsidR="00B1156E">
        <w:t xml:space="preserve">īguma </w:t>
      </w:r>
      <w:r w:rsidR="00B33E94">
        <w:t>par faktoringa norēķinu kārtību</w:t>
      </w:r>
      <w:r w:rsidR="00B1156E">
        <w:t xml:space="preserve"> 6.punktu (</w:t>
      </w:r>
      <w:proofErr w:type="spellStart"/>
      <w:r w:rsidR="00B1156E">
        <w:t>faktorizētās</w:t>
      </w:r>
      <w:proofErr w:type="spellEnd"/>
      <w:r w:rsidR="00B1156E">
        <w:t xml:space="preserve"> pavadzīmes jāapmaksā tikai uz prasītājas kontu).</w:t>
      </w:r>
    </w:p>
    <w:p w:rsidR="0080543E" w:rsidRDefault="00B1156E" w:rsidP="001707EA">
      <w:pPr>
        <w:spacing w:line="276" w:lineRule="auto"/>
        <w:ind w:firstLine="567"/>
        <w:jc w:val="both"/>
      </w:pPr>
      <w:r>
        <w:t>Šajā lietā atbildētājas saistība nav izbeigu</w:t>
      </w:r>
      <w:r w:rsidR="00B33E94">
        <w:t>sies arī pārjaunojuma ceļā (Civillikuma 1874.pants). No f</w:t>
      </w:r>
      <w:r>
        <w:t xml:space="preserve">aktoringa līguma 4.2.5.punkta nav konstatējama pušu saskanīga griba nodibināt pārjaunojumu, ja atbildētāja kļūdaini apmaksā </w:t>
      </w:r>
      <w:proofErr w:type="spellStart"/>
      <w:r>
        <w:t>f</w:t>
      </w:r>
      <w:r w:rsidR="007E619F">
        <w:t>aktorizētās</w:t>
      </w:r>
      <w:proofErr w:type="spellEnd"/>
      <w:r w:rsidR="007E619F">
        <w:t xml:space="preserve"> pavadzīmes </w:t>
      </w:r>
      <w:r>
        <w:t>SIA</w:t>
      </w:r>
      <w:r w:rsidR="004F7A80">
        <w:t> </w:t>
      </w:r>
      <w:r w:rsidR="001707EA">
        <w:t>„</w:t>
      </w:r>
      <w:proofErr w:type="spellStart"/>
      <w:r w:rsidR="001707EA">
        <w:t>Microhous</w:t>
      </w:r>
      <w:proofErr w:type="spellEnd"/>
      <w:r w:rsidR="001707EA">
        <w:t>”.</w:t>
      </w:r>
    </w:p>
    <w:p w:rsidR="00D5380A" w:rsidRDefault="00D5380A" w:rsidP="0055639E">
      <w:pPr>
        <w:spacing w:line="276" w:lineRule="auto"/>
        <w:ind w:firstLine="567"/>
        <w:jc w:val="both"/>
      </w:pPr>
      <w:r>
        <w:t>Civi</w:t>
      </w:r>
      <w:r w:rsidR="00B33E94">
        <w:t>llikuma 1416.pants</w:t>
      </w:r>
      <w:r>
        <w:t xml:space="preserve"> noteic, ka saistības izpildīšanu nevar atstāt vienīgi parādnieka ieskatam. Līguma par faktoringa norēķinu kārtību 3. un 6.punkts, Civillikuma 1816. un 1817.pants un Komerclikuma 473.pants vēl jo vairāk apstiprina</w:t>
      </w:r>
      <w:r w:rsidR="007E619F">
        <w:t xml:space="preserve"> prasītājas pozīciju, ka </w:t>
      </w:r>
      <w:r>
        <w:t>atbildētājas kļūda neizbeidz tās saistību no</w:t>
      </w:r>
      <w:r w:rsidR="007E619F">
        <w:t>rēķināties</w:t>
      </w:r>
      <w:r>
        <w:t xml:space="preserve"> par </w:t>
      </w:r>
      <w:proofErr w:type="spellStart"/>
      <w:r>
        <w:t>faktorizētajām</w:t>
      </w:r>
      <w:proofErr w:type="spellEnd"/>
      <w:r>
        <w:t xml:space="preserve"> pavadzīm</w:t>
      </w:r>
      <w:r w:rsidR="00717698">
        <w:t>ēm. Atbilstoši tiesību doktrīnā paustajam uzskatam,</w:t>
      </w:r>
      <w:r>
        <w:t xml:space="preserve"> parādnieks saistības izpildījumu, lai tas būtu spēkā, drīkst veikt tikai attiecībā uz jauno kreditoru (Civillikuma 1804.pants). Šis nosacījums ir faktoringa galvenā priekšrocība, jo gadījumā, ja parādnieks izpildījumu nodevis vecajam kreditoram (klientam), faktors tik un tā var prasīt no parādnieka izpildījumu </w:t>
      </w:r>
      <w:r w:rsidR="00717698">
        <w:t>(</w:t>
      </w:r>
      <w:r w:rsidRPr="00C23CDF">
        <w:rPr>
          <w:i/>
        </w:rPr>
        <w:t>Leja L. Faktorings. Likums un</w:t>
      </w:r>
      <w:r w:rsidR="000F142E">
        <w:rPr>
          <w:i/>
        </w:rPr>
        <w:t xml:space="preserve"> Tiesības. Nr.7, 2002, 199.lpp.</w:t>
      </w:r>
      <w:r w:rsidR="00717698">
        <w:t>)</w:t>
      </w:r>
      <w:r>
        <w:t>.</w:t>
      </w:r>
    </w:p>
    <w:p w:rsidR="00D5380A" w:rsidRDefault="00D5380A" w:rsidP="0055639E">
      <w:pPr>
        <w:spacing w:line="276" w:lineRule="auto"/>
        <w:ind w:firstLine="567"/>
        <w:jc w:val="both"/>
      </w:pPr>
      <w:r>
        <w:t>Tādējādi</w:t>
      </w:r>
      <w:r w:rsidR="00717698">
        <w:t xml:space="preserve"> pretēji tiesas paustajam</w:t>
      </w:r>
      <w:r>
        <w:t xml:space="preserve"> </w:t>
      </w:r>
      <w:r w:rsidR="00E33417">
        <w:t xml:space="preserve">secināms, ka </w:t>
      </w:r>
      <w:r>
        <w:t>ne</w:t>
      </w:r>
      <w:r w:rsidR="00717698">
        <w:t>dz</w:t>
      </w:r>
      <w:r>
        <w:t xml:space="preserve"> likumiskā, ne</w:t>
      </w:r>
      <w:r w:rsidR="00717698">
        <w:t xml:space="preserve">dz līgumiskā ceļā </w:t>
      </w:r>
      <w:r>
        <w:t>atbildētājas saistība norēķināties ar prasītāju par pavadzīmēm,</w:t>
      </w:r>
      <w:r w:rsidR="004F7A80">
        <w:t xml:space="preserve"> veicot to kļūdainu apmaksu SIA </w:t>
      </w:r>
      <w:r>
        <w:t>„</w:t>
      </w:r>
      <w:proofErr w:type="spellStart"/>
      <w:r>
        <w:t>Microhous</w:t>
      </w:r>
      <w:proofErr w:type="spellEnd"/>
      <w:r>
        <w:t>”</w:t>
      </w:r>
      <w:r w:rsidR="00717698">
        <w:t>, nav izbeigusies</w:t>
      </w:r>
      <w:r>
        <w:t>.</w:t>
      </w:r>
    </w:p>
    <w:p w:rsidR="006E4008" w:rsidRDefault="00717698" w:rsidP="0055639E">
      <w:pPr>
        <w:spacing w:line="276" w:lineRule="auto"/>
        <w:ind w:firstLine="567"/>
        <w:jc w:val="both"/>
      </w:pPr>
      <w:r>
        <w:t>[4.3] Komerclikuma 393.pants piemērots nepareizi.</w:t>
      </w:r>
    </w:p>
    <w:p w:rsidR="0074721E" w:rsidRDefault="006E4008" w:rsidP="00E33417">
      <w:pPr>
        <w:spacing w:line="276" w:lineRule="auto"/>
        <w:ind w:firstLine="567"/>
        <w:jc w:val="both"/>
      </w:pPr>
      <w:r>
        <w:t>Tiesa</w:t>
      </w:r>
      <w:r w:rsidR="00717698">
        <w:t xml:space="preserve"> nav pamatojusi, kā prasītājas f</w:t>
      </w:r>
      <w:r>
        <w:t>aktoringa līguma tiesību (nevis pien</w:t>
      </w:r>
      <w:r w:rsidR="00E33417">
        <w:t xml:space="preserve">ākumu) neizmantošana </w:t>
      </w:r>
      <w:r>
        <w:t>ietekmē atbildētājas saistības pret prasītāju, ievērojot, k</w:t>
      </w:r>
      <w:r w:rsidR="001707EA">
        <w:t xml:space="preserve">a Komerclikuma 393.pants </w:t>
      </w:r>
      <w:r>
        <w:t>nevar būt patstāvīgs pamats lī</w:t>
      </w:r>
      <w:r w:rsidR="00E33417">
        <w:t>gumiskas saistības izbeigšanai.</w:t>
      </w:r>
    </w:p>
    <w:p w:rsidR="001707EA" w:rsidRPr="005473DF" w:rsidRDefault="0074721E" w:rsidP="005473DF">
      <w:pPr>
        <w:spacing w:line="276" w:lineRule="auto"/>
        <w:ind w:firstLine="567"/>
        <w:jc w:val="both"/>
      </w:pPr>
      <w:r>
        <w:t>No tiesas nor</w:t>
      </w:r>
      <w:r w:rsidR="00775BB8">
        <w:t>ādītā izriet, ka SIA</w:t>
      </w:r>
      <w:r w:rsidR="004F7A80">
        <w:t> </w:t>
      </w:r>
      <w:r w:rsidR="00775BB8">
        <w:t>„</w:t>
      </w:r>
      <w:proofErr w:type="spellStart"/>
      <w:r w:rsidR="00775BB8">
        <w:t>Microhous</w:t>
      </w:r>
      <w:proofErr w:type="spellEnd"/>
      <w:r w:rsidR="00775BB8">
        <w:t>” valdes locekļa</w:t>
      </w:r>
      <w:r>
        <w:t xml:space="preserve"> noziedzīga rīcība var būt pamats līguma </w:t>
      </w:r>
      <w:r w:rsidR="008669AD">
        <w:t>saistoša spēka izbeigšanai, taču n</w:t>
      </w:r>
      <w:r>
        <w:t>e</w:t>
      </w:r>
      <w:r w:rsidR="008669AD">
        <w:t>dz</w:t>
      </w:r>
      <w:r>
        <w:t xml:space="preserve"> līgumtiesību teorija, ne</w:t>
      </w:r>
      <w:r w:rsidR="008669AD">
        <w:t xml:space="preserve">dz Civillikums </w:t>
      </w:r>
      <w:r>
        <w:t xml:space="preserve">saistību tiesību izbeigšanās </w:t>
      </w:r>
      <w:r w:rsidR="008669AD">
        <w:t xml:space="preserve">šādu </w:t>
      </w:r>
      <w:r>
        <w:t>veidu</w:t>
      </w:r>
      <w:r w:rsidR="008669AD">
        <w:t xml:space="preserve"> neparedz</w:t>
      </w:r>
      <w:r>
        <w:t xml:space="preserve">. </w:t>
      </w:r>
      <w:r w:rsidR="00775BB8">
        <w:t xml:space="preserve">Tiesa nav novērtējusi, ka </w:t>
      </w:r>
      <w:r w:rsidR="001707EA">
        <w:t xml:space="preserve">delikts </w:t>
      </w:r>
      <w:r>
        <w:t>neizbeidz līgumisku saistību, kas kādam pastāv ar citu per</w:t>
      </w:r>
      <w:r w:rsidR="005473DF">
        <w:t>sonu.</w:t>
      </w:r>
    </w:p>
    <w:p w:rsidR="001707EA" w:rsidRDefault="001707EA" w:rsidP="0055639E">
      <w:pPr>
        <w:spacing w:line="276" w:lineRule="auto"/>
        <w:jc w:val="center"/>
        <w:rPr>
          <w:b/>
        </w:rPr>
      </w:pPr>
    </w:p>
    <w:p w:rsidR="004113C0" w:rsidRDefault="004113C0" w:rsidP="0055639E">
      <w:pPr>
        <w:spacing w:line="276" w:lineRule="auto"/>
        <w:jc w:val="center"/>
        <w:rPr>
          <w:b/>
        </w:rPr>
      </w:pPr>
      <w:r w:rsidRPr="002A4644">
        <w:rPr>
          <w:b/>
        </w:rPr>
        <w:t>Motīvu daļa</w:t>
      </w:r>
    </w:p>
    <w:p w:rsidR="004113C0" w:rsidRDefault="004113C0" w:rsidP="0055639E">
      <w:pPr>
        <w:spacing w:line="276" w:lineRule="auto"/>
        <w:ind w:firstLine="567"/>
        <w:jc w:val="both"/>
        <w:rPr>
          <w:b/>
        </w:rPr>
      </w:pPr>
    </w:p>
    <w:p w:rsidR="004113C0" w:rsidRDefault="00D3598F" w:rsidP="0055639E">
      <w:pPr>
        <w:spacing w:line="276" w:lineRule="auto"/>
        <w:ind w:firstLine="567"/>
        <w:jc w:val="both"/>
      </w:pPr>
      <w:r>
        <w:t>[5</w:t>
      </w:r>
      <w:r w:rsidR="00B11743">
        <w:t xml:space="preserve">] </w:t>
      </w:r>
      <w:r w:rsidR="00894764">
        <w:t xml:space="preserve">Pārbaudījis sprieduma likumību attiecībā uz argumentiem, kas minēti kasācijas sūdzībā, kā to noteic Civilprocesa likuma 473.panta pirmā daļa, </w:t>
      </w:r>
      <w:r w:rsidR="001954ED">
        <w:t>Senāts</w:t>
      </w:r>
      <w:r w:rsidR="00B846DA">
        <w:t xml:space="preserve"> uzskata, ka </w:t>
      </w:r>
      <w:r w:rsidR="00894764">
        <w:t xml:space="preserve">apelācijas instances tiesas </w:t>
      </w:r>
      <w:r w:rsidR="00B846DA">
        <w:t>spriedums</w:t>
      </w:r>
      <w:r w:rsidR="003A2BA1">
        <w:t xml:space="preserve"> atceļams.</w:t>
      </w:r>
      <w:r w:rsidR="00B846DA">
        <w:t xml:space="preserve"> </w:t>
      </w:r>
    </w:p>
    <w:p w:rsidR="00F50273" w:rsidRDefault="00F50273" w:rsidP="0055639E">
      <w:pPr>
        <w:spacing w:line="276" w:lineRule="auto"/>
        <w:ind w:firstLine="567"/>
        <w:jc w:val="both"/>
      </w:pPr>
    </w:p>
    <w:p w:rsidR="00E660C3" w:rsidRDefault="00F50273" w:rsidP="0015049D">
      <w:pPr>
        <w:spacing w:line="276" w:lineRule="auto"/>
        <w:ind w:firstLine="567"/>
        <w:jc w:val="both"/>
      </w:pPr>
      <w:r>
        <w:t>[6</w:t>
      </w:r>
      <w:r w:rsidR="003A2BA1">
        <w:t>]</w:t>
      </w:r>
      <w:r w:rsidR="0015049D">
        <w:t xml:space="preserve"> Tiesas uzdevums, izšķirot ikvienu strīdu, ir detalizēti izvērtēt, vai prasītāja norādītie apstākļi, kas ietilpst pierādīšanas priekšmetā, guvuši apstiprinājumu, un kādas juridiskās sekas piemērojamās materiālo tiesību </w:t>
      </w:r>
      <w:r w:rsidR="00E660C3">
        <w:t>normas sastāvs saista ar lietas iztiesāšanas gaitā noskaidrotiem faktiem.</w:t>
      </w:r>
    </w:p>
    <w:p w:rsidR="00E660C3" w:rsidRDefault="00E660C3" w:rsidP="0015049D">
      <w:pPr>
        <w:spacing w:line="276" w:lineRule="auto"/>
        <w:ind w:firstLine="567"/>
        <w:jc w:val="both"/>
      </w:pPr>
      <w:r>
        <w:t>Senāts atzīst, ka apelācijas instances tiesa šo uzdevumu nav izpildījusi, un piekrīt kasācijas sūdzības iesniedzējas argumentiem, kuros apstrīdēta nodibināto apstākļu</w:t>
      </w:r>
      <w:r w:rsidR="0015049D">
        <w:t xml:space="preserve"> </w:t>
      </w:r>
      <w:r>
        <w:t>novērtējuma jeb juridiskās kvalifikācijas pareizība.</w:t>
      </w:r>
    </w:p>
    <w:p w:rsidR="00E660C3" w:rsidRDefault="00F50273" w:rsidP="0015049D">
      <w:pPr>
        <w:spacing w:line="276" w:lineRule="auto"/>
        <w:ind w:firstLine="567"/>
        <w:jc w:val="both"/>
      </w:pPr>
      <w:r>
        <w:t>[6.1.</w:t>
      </w:r>
      <w:r w:rsidR="00E660C3">
        <w:t xml:space="preserve">] Prasījums par parāda piedziņu pamatots ar Komerclikuma 473.pantu, kas noteic, ka parādnieka pienākums ir izpildīt prasījumam atbilstošo saistību, veicot samaksu par labu </w:t>
      </w:r>
      <w:r w:rsidR="00E660C3">
        <w:lastRenderedPageBreak/>
        <w:t>faktoram, ja parādnieks ir saņēmis no klienta vai faktora paziņojumu par šā prasījuma nodošanu faktoram. Samaksa par labu faktoram atbrīvo parādnieku no prasījumam atbilstošajām saistībām pret klientu.</w:t>
      </w:r>
    </w:p>
    <w:p w:rsidR="0015049D" w:rsidRDefault="00F7529B" w:rsidP="0015049D">
      <w:pPr>
        <w:spacing w:line="276" w:lineRule="auto"/>
        <w:ind w:firstLine="567"/>
        <w:jc w:val="both"/>
      </w:pPr>
      <w:r>
        <w:t>T</w:t>
      </w:r>
      <w:r w:rsidR="00E660C3">
        <w:t>iesību</w:t>
      </w:r>
      <w:r>
        <w:t xml:space="preserve"> doktrīnā uzsvērts, ka pēc paziņojuma saņemšanas parādnieks izpildījumu, lai tas būtu spēkā, drīkst veikt tikai attiecībā uz jauno kreditoru (Civilli</w:t>
      </w:r>
      <w:r w:rsidR="00CE2E8D">
        <w:t>kuma 1804.pants). Šis noteikums</w:t>
      </w:r>
      <w:r>
        <w:t xml:space="preserve"> ir faktoringa galvenā priekšrocība, jo gadījumā, ja parādnieks izpildījumu nodevis vecajam kreditoram (klientam), faktors tik un tā var prasīt no parādnieka izpildījumu (</w:t>
      </w:r>
      <w:r w:rsidR="00FB49BC">
        <w:t xml:space="preserve">sk. </w:t>
      </w:r>
      <w:proofErr w:type="spellStart"/>
      <w:r w:rsidR="00FB49BC">
        <w:rPr>
          <w:i/>
        </w:rPr>
        <w:t>L.Leja</w:t>
      </w:r>
      <w:proofErr w:type="spellEnd"/>
      <w:r w:rsidR="00FB49BC">
        <w:rPr>
          <w:i/>
        </w:rPr>
        <w:t>. Faktorings. Likums un Tiesības. Nr.7, 2002, 199.lpp.</w:t>
      </w:r>
      <w:r w:rsidR="00FB49BC">
        <w:t>).</w:t>
      </w:r>
      <w:r w:rsidR="001E7A72">
        <w:t xml:space="preserve"> Senāts atzīst, ka tāds iztulkojums atbilst </w:t>
      </w:r>
      <w:proofErr w:type="spellStart"/>
      <w:r w:rsidR="001E7A72">
        <w:t>komerctiesiskās</w:t>
      </w:r>
      <w:proofErr w:type="spellEnd"/>
      <w:r w:rsidR="001E7A72">
        <w:t xml:space="preserve"> apgrozības ātruma un drošības nodrošināšanai, kas ir </w:t>
      </w:r>
      <w:proofErr w:type="spellStart"/>
      <w:r w:rsidR="001E7A72">
        <w:t>komerctiesiskā</w:t>
      </w:r>
      <w:proofErr w:type="spellEnd"/>
      <w:r w:rsidR="001E7A72">
        <w:t xml:space="preserve"> regulējuma mērķis.</w:t>
      </w:r>
    </w:p>
    <w:p w:rsidR="00683117" w:rsidRDefault="00F50273" w:rsidP="00683117">
      <w:pPr>
        <w:spacing w:line="276" w:lineRule="auto"/>
        <w:ind w:firstLine="567"/>
        <w:jc w:val="both"/>
      </w:pPr>
      <w:r>
        <w:t>[6.</w:t>
      </w:r>
      <w:r w:rsidR="00FB49BC">
        <w:t xml:space="preserve">2.] </w:t>
      </w:r>
      <w:r w:rsidR="00E14E7F">
        <w:t>Senāts uzskata, ka apelācijas instances tiesas spriedums neatbilst Civilprocesa likuma 193.panta piektās daļas prasīb</w:t>
      </w:r>
      <w:r w:rsidR="00E16911">
        <w:t>ām, jo Komerclikuma 473.panta</w:t>
      </w:r>
      <w:r w:rsidR="00E14E7F">
        <w:t xml:space="preserve"> attiecināšanas uz izšķiramo strīdu juridiskie aspekti spriedumā vispār nav analizēti.</w:t>
      </w:r>
      <w:r w:rsidR="00683117">
        <w:t xml:space="preserve"> Tiesa aprobežojusies vien ar konstatējumu, ka atbildētāja līgumā noteikto maksāšanas kārtību nav ievērojusi un saistību izpildījusi neīstajam kreditoram. </w:t>
      </w:r>
    </w:p>
    <w:p w:rsidR="002E781D" w:rsidRDefault="00E16911" w:rsidP="00683117">
      <w:pPr>
        <w:spacing w:line="276" w:lineRule="auto"/>
        <w:ind w:firstLine="567"/>
        <w:jc w:val="both"/>
      </w:pPr>
      <w:r>
        <w:t>Savuk</w:t>
      </w:r>
      <w:r w:rsidR="00F50DEA">
        <w:t xml:space="preserve">ārt tiesas </w:t>
      </w:r>
      <w:r w:rsidR="00E44F89">
        <w:t>secinājumi</w:t>
      </w:r>
      <w:r>
        <w:t xml:space="preserve"> par </w:t>
      </w:r>
      <w:r w:rsidR="00E44F89">
        <w:t>atbildētājas saist</w:t>
      </w:r>
      <w:r w:rsidR="001B0A69">
        <w:t>ības</w:t>
      </w:r>
      <w:r w:rsidR="00E44F89">
        <w:t xml:space="preserve"> izbeigšanās pamatu kopsakarā ar faktoringa līguma 4.2.5.punktu un līguma par faktoringa norēķinu kārt</w:t>
      </w:r>
      <w:r w:rsidR="00AE08F0">
        <w:t>ību 7.2.,</w:t>
      </w:r>
      <w:r w:rsidR="00E44F89">
        <w:t xml:space="preserve"> 8.punktu,</w:t>
      </w:r>
      <w:r w:rsidR="00B76092">
        <w:t xml:space="preserve"> kas bija par iemeslu prasības noraidīšanai,</w:t>
      </w:r>
      <w:r w:rsidR="00E44F89">
        <w:t xml:space="preserve"> k</w:t>
      </w:r>
      <w:r w:rsidR="001B0A69">
        <w:t>ā tas pareizi</w:t>
      </w:r>
      <w:r w:rsidR="00E44F89">
        <w:t xml:space="preserve"> norādīts kasācijas sūdzībā, </w:t>
      </w:r>
      <w:r w:rsidR="001B0A69">
        <w:t>nav pamatoti uz likumu</w:t>
      </w:r>
      <w:r w:rsidR="00683117">
        <w:t xml:space="preserve"> un</w:t>
      </w:r>
      <w:r w:rsidR="001B0A69">
        <w:t xml:space="preserve"> </w:t>
      </w:r>
      <w:r w:rsidR="00B76092">
        <w:t>balstīti uz kļūdainu izpratni par</w:t>
      </w:r>
      <w:r w:rsidR="005473DF">
        <w:t xml:space="preserve"> faktoringa būtību</w:t>
      </w:r>
      <w:r w:rsidR="00D33408">
        <w:t xml:space="preserve"> un</w:t>
      </w:r>
      <w:r w:rsidR="00F63887">
        <w:t xml:space="preserve"> cesijas </w:t>
      </w:r>
      <w:r w:rsidR="001E7A72">
        <w:t xml:space="preserve">noteikumu </w:t>
      </w:r>
      <w:r w:rsidR="00F63887">
        <w:t>piemērošanu</w:t>
      </w:r>
      <w:r w:rsidR="005473DF">
        <w:t xml:space="preserve"> </w:t>
      </w:r>
      <w:r w:rsidR="006E58FA">
        <w:t xml:space="preserve">un </w:t>
      </w:r>
      <w:r w:rsidR="00D35A36">
        <w:t>ir pretrunā Civillikuma 1816.</w:t>
      </w:r>
      <w:r w:rsidR="006E58FA">
        <w:t>, 1817.pantam un K</w:t>
      </w:r>
      <w:r w:rsidR="00683117">
        <w:t>omerclikuma 473.pantam.</w:t>
      </w:r>
    </w:p>
    <w:p w:rsidR="00683117" w:rsidRDefault="00F50273" w:rsidP="00683117">
      <w:pPr>
        <w:spacing w:line="276" w:lineRule="auto"/>
        <w:ind w:firstLine="567"/>
        <w:jc w:val="both"/>
      </w:pPr>
      <w:r>
        <w:t>[6.</w:t>
      </w:r>
      <w:r w:rsidR="00606194">
        <w:t xml:space="preserve">3] </w:t>
      </w:r>
      <w:r w:rsidR="0014597D">
        <w:t>Pārbaudāmajā spriedum</w:t>
      </w:r>
      <w:r w:rsidR="00F40C27">
        <w:t xml:space="preserve">ā </w:t>
      </w:r>
      <w:r w:rsidR="0014597D">
        <w:t>plaši analiz</w:t>
      </w:r>
      <w:r w:rsidR="00F40C27">
        <w:t>ēta līgumos izteiktā pu</w:t>
      </w:r>
      <w:r w:rsidR="00495749">
        <w:t>šu griba un prasītājas bezdarbība,</w:t>
      </w:r>
      <w:r w:rsidR="00F40C27">
        <w:t xml:space="preserve"> ar iepriekšējā laika posmā veiktajiem maksājumiem un cietušā kompensāciju krimināllietā saistītie apstākļi</w:t>
      </w:r>
      <w:r w:rsidR="00606194">
        <w:t xml:space="preserve">, kam konkrētā strīda izšķiršanā nav izšķirošas nozīmes, jo prasība ir celta par līguma izpildi. </w:t>
      </w:r>
      <w:r w:rsidR="00495749">
        <w:t>Šādā situācijā tiesa Komerclikuma 393.pantu iztulkoja un piemēroja nepareizi.</w:t>
      </w:r>
    </w:p>
    <w:p w:rsidR="002E5955" w:rsidRDefault="00606194" w:rsidP="00683117">
      <w:pPr>
        <w:spacing w:line="276" w:lineRule="auto"/>
        <w:ind w:firstLine="567"/>
        <w:jc w:val="both"/>
      </w:pPr>
      <w:r>
        <w:t>Tiesa, kā uzskata Senāts, atzīdama, ka prasītājas mantisko tiesību aizskārums radies SIA</w:t>
      </w:r>
      <w:r w:rsidR="004F7A80">
        <w:t> </w:t>
      </w:r>
      <w:r>
        <w:t>„</w:t>
      </w:r>
      <w:proofErr w:type="spellStart"/>
      <w:r>
        <w:t>Microhous</w:t>
      </w:r>
      <w:proofErr w:type="spellEnd"/>
      <w:r>
        <w:t>” bijušā valdes locekļa prettiesiskas rīcībās rezultātā, nepamatoti</w:t>
      </w:r>
      <w:r w:rsidR="00F50273">
        <w:t xml:space="preserve"> </w:t>
      </w:r>
      <w:r>
        <w:t>akceptējusi tādu stāvokli, kad atbildētāja, aizbildinoties ar šās sabiedrības neizpildīto saistību no tās saņemto pavadzīmju apmaksu novirzīt uz prasītājas kontu, apejot likumu, var izvairīties no pašas radītajām nelabvēlīgajām sekām.</w:t>
      </w:r>
    </w:p>
    <w:p w:rsidR="00606194" w:rsidRDefault="00A338F6" w:rsidP="00683117">
      <w:pPr>
        <w:spacing w:line="276" w:lineRule="auto"/>
        <w:ind w:firstLine="567"/>
        <w:jc w:val="both"/>
      </w:pPr>
      <w:r>
        <w:t>Apelācijas instances tiesas secinājumi neatbilst tiesisko apstākļu ziņā līdzīgai lietai, kurā Latgales apgabaltiesas Civillietu tiesas kolēģija ar 2017.gada 30</w:t>
      </w:r>
      <w:r w:rsidR="004F7A80">
        <w:t xml:space="preserve">.oktobra spriedumu apmierināja </w:t>
      </w:r>
      <w:r>
        <w:t>AS</w:t>
      </w:r>
      <w:r w:rsidR="004F7A80">
        <w:t> </w:t>
      </w:r>
      <w:r>
        <w:t xml:space="preserve">„LPB </w:t>
      </w:r>
      <w:proofErr w:type="spellStart"/>
      <w:r>
        <w:t>Bank</w:t>
      </w:r>
      <w:proofErr w:type="spellEnd"/>
      <w:r>
        <w:t>” prasību pret SIA „</w:t>
      </w:r>
      <w:proofErr w:type="spellStart"/>
      <w:r>
        <w:t>Sanitex</w:t>
      </w:r>
      <w:proofErr w:type="spellEnd"/>
      <w:r>
        <w:t xml:space="preserve">” par parāda par </w:t>
      </w:r>
      <w:proofErr w:type="spellStart"/>
      <w:r>
        <w:t>faktorizēto</w:t>
      </w:r>
      <w:proofErr w:type="spellEnd"/>
      <w:r>
        <w:t xml:space="preserve"> pavadzīmju apmaksu 57 715,</w:t>
      </w:r>
      <w:r w:rsidR="004F7A80">
        <w:t>56 </w:t>
      </w:r>
      <w:r>
        <w:t>EUR piedziņu</w:t>
      </w:r>
      <w:r w:rsidR="004F7A80">
        <w:t xml:space="preserve"> (</w:t>
      </w:r>
      <w:r w:rsidR="004F7A80">
        <w:rPr>
          <w:i/>
        </w:rPr>
        <w:t>lieta Nr.</w:t>
      </w:r>
      <w:r w:rsidR="00D86894">
        <w:rPr>
          <w:i/>
        </w:rPr>
        <w:t> </w:t>
      </w:r>
      <w:r w:rsidR="004F7A80">
        <w:rPr>
          <w:i/>
        </w:rPr>
        <w:t>SKC-171/2019</w:t>
      </w:r>
      <w:r w:rsidR="00C858E1">
        <w:rPr>
          <w:i/>
        </w:rPr>
        <w:t>)</w:t>
      </w:r>
      <w:r>
        <w:t xml:space="preserve">. Ar </w:t>
      </w:r>
      <w:r w:rsidR="00F63887">
        <w:t>Senāta 2019.gada 2.jūl</w:t>
      </w:r>
      <w:r>
        <w:t>ija spriedumu minētais apgabaltiesas spriedums daļā, ar kuru prasība apmierināta, atstāts negrozīts.</w:t>
      </w:r>
    </w:p>
    <w:p w:rsidR="00A338F6" w:rsidRPr="00A338F6" w:rsidRDefault="00A338F6" w:rsidP="00683117">
      <w:pPr>
        <w:spacing w:line="276" w:lineRule="auto"/>
        <w:ind w:firstLine="567"/>
        <w:jc w:val="both"/>
      </w:pPr>
    </w:p>
    <w:p w:rsidR="002E781D" w:rsidRDefault="00F50273" w:rsidP="00287491">
      <w:pPr>
        <w:spacing w:line="276" w:lineRule="auto"/>
        <w:ind w:firstLine="567"/>
        <w:jc w:val="both"/>
      </w:pPr>
      <w:r>
        <w:t xml:space="preserve">[7] Rezumējot teikto, Senāts uzskata, ka </w:t>
      </w:r>
      <w:r w:rsidR="00287491">
        <w:t>materiālo tiesību normu nepareiza piemērošana un pieļautais procesuālo tiesību normas pārk</w:t>
      </w:r>
      <w:r w:rsidR="00286E5D">
        <w:t>āpums ir noveduš</w:t>
      </w:r>
      <w:r w:rsidR="00287491">
        <w:t>i pie lietas nepareizas izspriešanas</w:t>
      </w:r>
      <w:r w:rsidR="00286E5D">
        <w:t>, kas atbilstoši Civilprocesa likuma 451.pantam un 452.panta otrajai daļai ir pamats apelācijas instances tiesas spriedums atcelšanai.</w:t>
      </w:r>
    </w:p>
    <w:p w:rsidR="004113C0" w:rsidRPr="00385A24" w:rsidRDefault="00286E5D" w:rsidP="00286E5D">
      <w:pPr>
        <w:spacing w:line="276" w:lineRule="auto"/>
        <w:ind w:firstLine="567"/>
        <w:jc w:val="both"/>
      </w:pPr>
      <w:r>
        <w:t>Atceļot spriedumu, prasītājai atmaksājama drošības nauda 300 EUR.</w:t>
      </w:r>
    </w:p>
    <w:p w:rsidR="004113C0" w:rsidRDefault="004113C0" w:rsidP="0055639E">
      <w:pPr>
        <w:spacing w:line="276" w:lineRule="auto"/>
        <w:ind w:firstLine="567"/>
        <w:jc w:val="both"/>
      </w:pPr>
      <w:r>
        <w:t xml:space="preserve"> </w:t>
      </w:r>
    </w:p>
    <w:p w:rsidR="004113C0" w:rsidRPr="00EF0414" w:rsidRDefault="004113C0" w:rsidP="0055639E">
      <w:pPr>
        <w:tabs>
          <w:tab w:val="left" w:pos="0"/>
        </w:tabs>
        <w:spacing w:line="276" w:lineRule="auto"/>
        <w:jc w:val="center"/>
        <w:rPr>
          <w:b/>
        </w:rPr>
      </w:pPr>
      <w:r w:rsidRPr="00EF0414">
        <w:rPr>
          <w:b/>
        </w:rPr>
        <w:t>Rezolutīvā daļa</w:t>
      </w:r>
    </w:p>
    <w:p w:rsidR="004113C0" w:rsidRPr="00EF0414" w:rsidRDefault="004113C0" w:rsidP="0055639E">
      <w:pPr>
        <w:autoSpaceDE w:val="0"/>
        <w:autoSpaceDN w:val="0"/>
        <w:adjustRightInd w:val="0"/>
        <w:spacing w:line="276" w:lineRule="auto"/>
        <w:ind w:firstLine="567"/>
        <w:jc w:val="both"/>
      </w:pPr>
    </w:p>
    <w:p w:rsidR="004113C0" w:rsidRDefault="004113C0" w:rsidP="0055639E">
      <w:pPr>
        <w:autoSpaceDE w:val="0"/>
        <w:autoSpaceDN w:val="0"/>
        <w:adjustRightInd w:val="0"/>
        <w:spacing w:line="276" w:lineRule="auto"/>
        <w:ind w:firstLine="567"/>
        <w:jc w:val="both"/>
      </w:pPr>
      <w:r w:rsidRPr="00EF0414">
        <w:t>Pamatojoties u</w:t>
      </w:r>
      <w:r w:rsidR="00286E5D">
        <w:t>z Civilprocesa likuma 474.panta 2.</w:t>
      </w:r>
      <w:r w:rsidR="0055639E">
        <w:t xml:space="preserve">punktu, </w:t>
      </w:r>
      <w:r w:rsidR="001954ED">
        <w:t>Senāts</w:t>
      </w:r>
    </w:p>
    <w:p w:rsidR="0055639E" w:rsidRPr="00EF0414" w:rsidRDefault="0055639E" w:rsidP="0055639E">
      <w:pPr>
        <w:autoSpaceDE w:val="0"/>
        <w:autoSpaceDN w:val="0"/>
        <w:adjustRightInd w:val="0"/>
        <w:spacing w:line="276" w:lineRule="auto"/>
        <w:ind w:firstLine="567"/>
        <w:jc w:val="both"/>
      </w:pPr>
    </w:p>
    <w:p w:rsidR="004113C0" w:rsidRPr="00EF0414" w:rsidRDefault="0055639E" w:rsidP="0055639E">
      <w:pPr>
        <w:autoSpaceDE w:val="0"/>
        <w:autoSpaceDN w:val="0"/>
        <w:adjustRightInd w:val="0"/>
        <w:spacing w:line="276" w:lineRule="auto"/>
        <w:jc w:val="center"/>
        <w:rPr>
          <w:b/>
          <w:bCs/>
        </w:rPr>
      </w:pPr>
      <w:r>
        <w:rPr>
          <w:b/>
        </w:rPr>
        <w:t>n</w:t>
      </w:r>
      <w:r w:rsidRPr="00E44582">
        <w:rPr>
          <w:b/>
        </w:rPr>
        <w:t>osprieda</w:t>
      </w:r>
    </w:p>
    <w:p w:rsidR="004113C0" w:rsidRDefault="004113C0" w:rsidP="00286E5D">
      <w:pPr>
        <w:autoSpaceDE w:val="0"/>
        <w:autoSpaceDN w:val="0"/>
        <w:adjustRightInd w:val="0"/>
        <w:spacing w:line="276" w:lineRule="auto"/>
        <w:jc w:val="both"/>
      </w:pPr>
    </w:p>
    <w:p w:rsidR="00E62868" w:rsidRDefault="00E62868" w:rsidP="0055639E">
      <w:pPr>
        <w:spacing w:line="276" w:lineRule="auto"/>
        <w:ind w:firstLine="567"/>
        <w:jc w:val="both"/>
      </w:pPr>
      <w:r>
        <w:t>Atcelt Rīgas apgabaltiesas Civillietu tiesas kolēģijas 2017.gada 28.marta spriedumu un lietu nodot jaunai izskatīšanai apelācijas instances tiesā.</w:t>
      </w:r>
    </w:p>
    <w:p w:rsidR="00E62868" w:rsidRDefault="004F7A80" w:rsidP="0055639E">
      <w:pPr>
        <w:spacing w:line="276" w:lineRule="auto"/>
        <w:ind w:firstLine="567"/>
        <w:jc w:val="both"/>
      </w:pPr>
      <w:r>
        <w:t>Atmaksāt AS </w:t>
      </w:r>
      <w:r w:rsidR="00E62868">
        <w:t xml:space="preserve">„LPB </w:t>
      </w:r>
      <w:proofErr w:type="spellStart"/>
      <w:r w:rsidR="00E62868">
        <w:t>Bank</w:t>
      </w:r>
      <w:proofErr w:type="spellEnd"/>
      <w:r w:rsidR="00E62868">
        <w:t xml:space="preserve">” drošības naudu 300 EUR (trīs simti </w:t>
      </w:r>
      <w:proofErr w:type="spellStart"/>
      <w:r w:rsidR="00E62868">
        <w:rPr>
          <w:i/>
        </w:rPr>
        <w:t>euro</w:t>
      </w:r>
      <w:proofErr w:type="spellEnd"/>
      <w:r w:rsidR="00E62868">
        <w:t>).</w:t>
      </w:r>
    </w:p>
    <w:p w:rsidR="004113C0" w:rsidRPr="00EF0414" w:rsidRDefault="004113C0" w:rsidP="0055639E">
      <w:pPr>
        <w:spacing w:line="276" w:lineRule="auto"/>
        <w:ind w:firstLine="567"/>
        <w:jc w:val="both"/>
      </w:pPr>
      <w:r w:rsidRPr="00EF0414">
        <w:t>Spriedums nav pārsūdzams.</w:t>
      </w:r>
    </w:p>
    <w:sectPr w:rsidR="004113C0" w:rsidRPr="00EF0414" w:rsidSect="00C858E1">
      <w:footerReference w:type="default" r:id="rId9"/>
      <w:pgSz w:w="11906" w:h="16838"/>
      <w:pgMar w:top="1134" w:right="1416"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72EEC" w:rsidRDefault="00172EEC" w:rsidP="00730735">
      <w:r>
        <w:separator/>
      </w:r>
    </w:p>
  </w:endnote>
  <w:endnote w:type="continuationSeparator" w:id="0">
    <w:p w:rsidR="00172EEC" w:rsidRDefault="00172EEC" w:rsidP="007307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7B44" w:rsidRDefault="00327B44" w:rsidP="002B6974">
    <w:pPr>
      <w:pStyle w:val="Footer"/>
      <w:jc w:val="center"/>
    </w:pPr>
    <w:r w:rsidRPr="007B4DF2">
      <w:rPr>
        <w:szCs w:val="24"/>
      </w:rPr>
      <w:fldChar w:fldCharType="begin"/>
    </w:r>
    <w:r w:rsidRPr="007B4DF2">
      <w:rPr>
        <w:szCs w:val="24"/>
      </w:rPr>
      <w:instrText xml:space="preserve"> PAGE </w:instrText>
    </w:r>
    <w:r w:rsidRPr="007B4DF2">
      <w:rPr>
        <w:szCs w:val="24"/>
      </w:rPr>
      <w:fldChar w:fldCharType="separate"/>
    </w:r>
    <w:r w:rsidR="00C32160">
      <w:rPr>
        <w:noProof/>
        <w:szCs w:val="24"/>
      </w:rPr>
      <w:t>6</w:t>
    </w:r>
    <w:r w:rsidRPr="007B4DF2">
      <w:rPr>
        <w:szCs w:val="24"/>
      </w:rPr>
      <w:fldChar w:fldCharType="end"/>
    </w:r>
    <w:r w:rsidRPr="007B4DF2">
      <w:rPr>
        <w:szCs w:val="24"/>
      </w:rPr>
      <w:t xml:space="preserve"> no </w:t>
    </w:r>
    <w:r w:rsidRPr="007B4DF2">
      <w:rPr>
        <w:szCs w:val="24"/>
      </w:rPr>
      <w:fldChar w:fldCharType="begin"/>
    </w:r>
    <w:r w:rsidRPr="007B4DF2">
      <w:rPr>
        <w:szCs w:val="24"/>
      </w:rPr>
      <w:instrText xml:space="preserve"> NUMPAGES  </w:instrText>
    </w:r>
    <w:r w:rsidRPr="007B4DF2">
      <w:rPr>
        <w:szCs w:val="24"/>
      </w:rPr>
      <w:fldChar w:fldCharType="separate"/>
    </w:r>
    <w:r w:rsidR="00C32160">
      <w:rPr>
        <w:noProof/>
        <w:szCs w:val="24"/>
      </w:rPr>
      <w:t>7</w:t>
    </w:r>
    <w:r w:rsidRPr="007B4DF2">
      <w:rPr>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72EEC" w:rsidRDefault="00172EEC" w:rsidP="00730735">
      <w:r>
        <w:separator/>
      </w:r>
    </w:p>
  </w:footnote>
  <w:footnote w:type="continuationSeparator" w:id="0">
    <w:p w:rsidR="00172EEC" w:rsidRDefault="00172EEC" w:rsidP="007307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C71AB"/>
    <w:multiLevelType w:val="hybridMultilevel"/>
    <w:tmpl w:val="F9C455EE"/>
    <w:lvl w:ilvl="0" w:tplc="A9F828BC">
      <w:numFmt w:val="bullet"/>
      <w:lvlText w:val="-"/>
      <w:lvlJc w:val="left"/>
      <w:pPr>
        <w:tabs>
          <w:tab w:val="num" w:pos="1080"/>
        </w:tabs>
        <w:ind w:left="1080" w:hanging="360"/>
      </w:pPr>
      <w:rPr>
        <w:rFonts w:ascii="Times New Roman" w:eastAsia="Times New Roman" w:hAnsi="Times New Roman" w:cs="Times New Roman" w:hint="default"/>
      </w:rPr>
    </w:lvl>
    <w:lvl w:ilvl="1" w:tplc="04260003" w:tentative="1">
      <w:start w:val="1"/>
      <w:numFmt w:val="bullet"/>
      <w:lvlText w:val="o"/>
      <w:lvlJc w:val="left"/>
      <w:pPr>
        <w:tabs>
          <w:tab w:val="num" w:pos="1800"/>
        </w:tabs>
        <w:ind w:left="1800" w:hanging="360"/>
      </w:pPr>
      <w:rPr>
        <w:rFonts w:ascii="Courier New" w:hAnsi="Courier New" w:cs="Courier New" w:hint="default"/>
      </w:rPr>
    </w:lvl>
    <w:lvl w:ilvl="2" w:tplc="04260005" w:tentative="1">
      <w:start w:val="1"/>
      <w:numFmt w:val="bullet"/>
      <w:lvlText w:val=""/>
      <w:lvlJc w:val="left"/>
      <w:pPr>
        <w:tabs>
          <w:tab w:val="num" w:pos="2520"/>
        </w:tabs>
        <w:ind w:left="2520" w:hanging="360"/>
      </w:pPr>
      <w:rPr>
        <w:rFonts w:ascii="Wingdings" w:hAnsi="Wingdings" w:hint="default"/>
      </w:rPr>
    </w:lvl>
    <w:lvl w:ilvl="3" w:tplc="04260001" w:tentative="1">
      <w:start w:val="1"/>
      <w:numFmt w:val="bullet"/>
      <w:lvlText w:val=""/>
      <w:lvlJc w:val="left"/>
      <w:pPr>
        <w:tabs>
          <w:tab w:val="num" w:pos="3240"/>
        </w:tabs>
        <w:ind w:left="3240" w:hanging="360"/>
      </w:pPr>
      <w:rPr>
        <w:rFonts w:ascii="Symbol" w:hAnsi="Symbol" w:hint="default"/>
      </w:rPr>
    </w:lvl>
    <w:lvl w:ilvl="4" w:tplc="04260003" w:tentative="1">
      <w:start w:val="1"/>
      <w:numFmt w:val="bullet"/>
      <w:lvlText w:val="o"/>
      <w:lvlJc w:val="left"/>
      <w:pPr>
        <w:tabs>
          <w:tab w:val="num" w:pos="3960"/>
        </w:tabs>
        <w:ind w:left="3960" w:hanging="360"/>
      </w:pPr>
      <w:rPr>
        <w:rFonts w:ascii="Courier New" w:hAnsi="Courier New" w:cs="Courier New" w:hint="default"/>
      </w:rPr>
    </w:lvl>
    <w:lvl w:ilvl="5" w:tplc="04260005" w:tentative="1">
      <w:start w:val="1"/>
      <w:numFmt w:val="bullet"/>
      <w:lvlText w:val=""/>
      <w:lvlJc w:val="left"/>
      <w:pPr>
        <w:tabs>
          <w:tab w:val="num" w:pos="4680"/>
        </w:tabs>
        <w:ind w:left="4680" w:hanging="360"/>
      </w:pPr>
      <w:rPr>
        <w:rFonts w:ascii="Wingdings" w:hAnsi="Wingdings" w:hint="default"/>
      </w:rPr>
    </w:lvl>
    <w:lvl w:ilvl="6" w:tplc="04260001" w:tentative="1">
      <w:start w:val="1"/>
      <w:numFmt w:val="bullet"/>
      <w:lvlText w:val=""/>
      <w:lvlJc w:val="left"/>
      <w:pPr>
        <w:tabs>
          <w:tab w:val="num" w:pos="5400"/>
        </w:tabs>
        <w:ind w:left="5400" w:hanging="360"/>
      </w:pPr>
      <w:rPr>
        <w:rFonts w:ascii="Symbol" w:hAnsi="Symbol" w:hint="default"/>
      </w:rPr>
    </w:lvl>
    <w:lvl w:ilvl="7" w:tplc="04260003" w:tentative="1">
      <w:start w:val="1"/>
      <w:numFmt w:val="bullet"/>
      <w:lvlText w:val="o"/>
      <w:lvlJc w:val="left"/>
      <w:pPr>
        <w:tabs>
          <w:tab w:val="num" w:pos="6120"/>
        </w:tabs>
        <w:ind w:left="6120" w:hanging="360"/>
      </w:pPr>
      <w:rPr>
        <w:rFonts w:ascii="Courier New" w:hAnsi="Courier New" w:cs="Courier New" w:hint="default"/>
      </w:rPr>
    </w:lvl>
    <w:lvl w:ilvl="8" w:tplc="0426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672005F"/>
    <w:multiLevelType w:val="multilevel"/>
    <w:tmpl w:val="9A2E7066"/>
    <w:lvl w:ilvl="0">
      <w:start w:val="1"/>
      <w:numFmt w:val="decimal"/>
      <w:lvlText w:val="[%1]"/>
      <w:lvlJc w:val="left"/>
      <w:pPr>
        <w:tabs>
          <w:tab w:val="num" w:pos="0"/>
        </w:tabs>
        <w:ind w:left="0" w:firstLine="851"/>
      </w:pPr>
      <w:rPr>
        <w:rFonts w:hint="default"/>
      </w:rPr>
    </w:lvl>
    <w:lvl w:ilvl="1">
      <w:start w:val="1"/>
      <w:numFmt w:val="decimal"/>
      <w:lvlText w:val="[%1.%2]"/>
      <w:lvlJc w:val="left"/>
      <w:pPr>
        <w:tabs>
          <w:tab w:val="num" w:pos="360"/>
        </w:tabs>
        <w:ind w:left="0" w:firstLine="851"/>
      </w:pPr>
      <w:rPr>
        <w:rFonts w:hint="default"/>
        <w:sz w:val="24"/>
        <w:szCs w:val="24"/>
      </w:rPr>
    </w:lvl>
    <w:lvl w:ilvl="2">
      <w:start w:val="1"/>
      <w:numFmt w:val="decimal"/>
      <w:lvlText w:val="%3)"/>
      <w:lvlJc w:val="left"/>
      <w:pPr>
        <w:tabs>
          <w:tab w:val="num" w:pos="927"/>
        </w:tabs>
        <w:ind w:left="927"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27078A2"/>
    <w:multiLevelType w:val="multilevel"/>
    <w:tmpl w:val="59163110"/>
    <w:lvl w:ilvl="0">
      <w:start w:val="5"/>
      <w:numFmt w:val="decimal"/>
      <w:lvlText w:val="[%1]"/>
      <w:lvlJc w:val="left"/>
      <w:pPr>
        <w:tabs>
          <w:tab w:val="num" w:pos="0"/>
        </w:tabs>
        <w:ind w:left="0" w:firstLine="851"/>
      </w:pPr>
      <w:rPr>
        <w:rFonts w:hint="default"/>
      </w:rPr>
    </w:lvl>
    <w:lvl w:ilvl="1">
      <w:start w:val="6"/>
      <w:numFmt w:val="decimal"/>
      <w:lvlText w:val="[%1.%2]"/>
      <w:lvlJc w:val="left"/>
      <w:pPr>
        <w:tabs>
          <w:tab w:val="num" w:pos="360"/>
        </w:tabs>
        <w:ind w:left="0" w:firstLine="851"/>
      </w:pPr>
      <w:rPr>
        <w:rFonts w:hint="default"/>
        <w:sz w:val="24"/>
        <w:szCs w:val="24"/>
      </w:rPr>
    </w:lvl>
    <w:lvl w:ilvl="2">
      <w:start w:val="1"/>
      <w:numFmt w:val="decimal"/>
      <w:lvlText w:val="%3)"/>
      <w:lvlJc w:val="left"/>
      <w:pPr>
        <w:tabs>
          <w:tab w:val="num" w:pos="927"/>
        </w:tabs>
        <w:ind w:left="927"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3901E64"/>
    <w:multiLevelType w:val="hybridMultilevel"/>
    <w:tmpl w:val="54DE5826"/>
    <w:lvl w:ilvl="0" w:tplc="0426000F">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4" w15:restartNumberingAfterBreak="0">
    <w:nsid w:val="3ADF33E0"/>
    <w:multiLevelType w:val="multilevel"/>
    <w:tmpl w:val="9A2E7066"/>
    <w:lvl w:ilvl="0">
      <w:start w:val="1"/>
      <w:numFmt w:val="decimal"/>
      <w:lvlText w:val="[%1]"/>
      <w:lvlJc w:val="left"/>
      <w:pPr>
        <w:tabs>
          <w:tab w:val="num" w:pos="0"/>
        </w:tabs>
        <w:ind w:left="0" w:firstLine="851"/>
      </w:pPr>
      <w:rPr>
        <w:rFonts w:hint="default"/>
      </w:rPr>
    </w:lvl>
    <w:lvl w:ilvl="1">
      <w:start w:val="1"/>
      <w:numFmt w:val="decimal"/>
      <w:lvlText w:val="[%1.%2]"/>
      <w:lvlJc w:val="left"/>
      <w:pPr>
        <w:tabs>
          <w:tab w:val="num" w:pos="360"/>
        </w:tabs>
        <w:ind w:left="0" w:firstLine="851"/>
      </w:pPr>
      <w:rPr>
        <w:rFonts w:hint="default"/>
        <w:sz w:val="24"/>
        <w:szCs w:val="24"/>
      </w:rPr>
    </w:lvl>
    <w:lvl w:ilvl="2">
      <w:start w:val="1"/>
      <w:numFmt w:val="decimal"/>
      <w:lvlText w:val="%3)"/>
      <w:lvlJc w:val="left"/>
      <w:pPr>
        <w:tabs>
          <w:tab w:val="num" w:pos="927"/>
        </w:tabs>
        <w:ind w:left="927"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56A826DE"/>
    <w:multiLevelType w:val="multilevel"/>
    <w:tmpl w:val="9A2E7066"/>
    <w:lvl w:ilvl="0">
      <w:start w:val="1"/>
      <w:numFmt w:val="decimal"/>
      <w:lvlText w:val="[%1]"/>
      <w:lvlJc w:val="left"/>
      <w:pPr>
        <w:tabs>
          <w:tab w:val="num" w:pos="0"/>
        </w:tabs>
        <w:ind w:left="0" w:firstLine="851"/>
      </w:pPr>
      <w:rPr>
        <w:rFonts w:hint="default"/>
      </w:rPr>
    </w:lvl>
    <w:lvl w:ilvl="1">
      <w:start w:val="1"/>
      <w:numFmt w:val="decimal"/>
      <w:lvlText w:val="[%1.%2]"/>
      <w:lvlJc w:val="left"/>
      <w:pPr>
        <w:tabs>
          <w:tab w:val="num" w:pos="360"/>
        </w:tabs>
        <w:ind w:left="0" w:firstLine="851"/>
      </w:pPr>
      <w:rPr>
        <w:rFonts w:hint="default"/>
        <w:sz w:val="24"/>
        <w:szCs w:val="24"/>
      </w:rPr>
    </w:lvl>
    <w:lvl w:ilvl="2">
      <w:start w:val="1"/>
      <w:numFmt w:val="decimal"/>
      <w:lvlText w:val="%3)"/>
      <w:lvlJc w:val="left"/>
      <w:pPr>
        <w:tabs>
          <w:tab w:val="num" w:pos="927"/>
        </w:tabs>
        <w:ind w:left="927"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5"/>
  </w:num>
  <w:num w:numId="2">
    <w:abstractNumId w:val="4"/>
  </w:num>
  <w:num w:numId="3">
    <w:abstractNumId w:val="1"/>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735"/>
    <w:rsid w:val="00003E77"/>
    <w:rsid w:val="00004AAF"/>
    <w:rsid w:val="00005FEC"/>
    <w:rsid w:val="000061BA"/>
    <w:rsid w:val="00013D2F"/>
    <w:rsid w:val="00014112"/>
    <w:rsid w:val="00015869"/>
    <w:rsid w:val="00016481"/>
    <w:rsid w:val="00020EF3"/>
    <w:rsid w:val="00026662"/>
    <w:rsid w:val="00026F5B"/>
    <w:rsid w:val="0003135F"/>
    <w:rsid w:val="00032190"/>
    <w:rsid w:val="00033292"/>
    <w:rsid w:val="000365C3"/>
    <w:rsid w:val="00040F5E"/>
    <w:rsid w:val="00041A76"/>
    <w:rsid w:val="00042955"/>
    <w:rsid w:val="0004446E"/>
    <w:rsid w:val="00045315"/>
    <w:rsid w:val="00045C9D"/>
    <w:rsid w:val="000538FC"/>
    <w:rsid w:val="00053CC7"/>
    <w:rsid w:val="0005414F"/>
    <w:rsid w:val="00055F86"/>
    <w:rsid w:val="000568B1"/>
    <w:rsid w:val="00057F74"/>
    <w:rsid w:val="00060FE3"/>
    <w:rsid w:val="00064963"/>
    <w:rsid w:val="00067DAD"/>
    <w:rsid w:val="00070C75"/>
    <w:rsid w:val="00070EAA"/>
    <w:rsid w:val="0007112B"/>
    <w:rsid w:val="00071E5A"/>
    <w:rsid w:val="00071F9C"/>
    <w:rsid w:val="000735B9"/>
    <w:rsid w:val="00074B73"/>
    <w:rsid w:val="000758C4"/>
    <w:rsid w:val="000767B3"/>
    <w:rsid w:val="00080DCE"/>
    <w:rsid w:val="00081478"/>
    <w:rsid w:val="00084F4D"/>
    <w:rsid w:val="00085ADA"/>
    <w:rsid w:val="0009214E"/>
    <w:rsid w:val="00092CCE"/>
    <w:rsid w:val="00093AC0"/>
    <w:rsid w:val="000A03D5"/>
    <w:rsid w:val="000A0C64"/>
    <w:rsid w:val="000A2E09"/>
    <w:rsid w:val="000A2E88"/>
    <w:rsid w:val="000A7BBB"/>
    <w:rsid w:val="000B070B"/>
    <w:rsid w:val="000B1968"/>
    <w:rsid w:val="000B5DF2"/>
    <w:rsid w:val="000B7B41"/>
    <w:rsid w:val="000B7E63"/>
    <w:rsid w:val="000D1B26"/>
    <w:rsid w:val="000D3713"/>
    <w:rsid w:val="000D598E"/>
    <w:rsid w:val="000E04B8"/>
    <w:rsid w:val="000E0E77"/>
    <w:rsid w:val="000E231A"/>
    <w:rsid w:val="000E288E"/>
    <w:rsid w:val="000E2C04"/>
    <w:rsid w:val="000F06B5"/>
    <w:rsid w:val="000F142E"/>
    <w:rsid w:val="000F21AB"/>
    <w:rsid w:val="000F39A4"/>
    <w:rsid w:val="000F3E84"/>
    <w:rsid w:val="000F7C49"/>
    <w:rsid w:val="00101B50"/>
    <w:rsid w:val="00101F0F"/>
    <w:rsid w:val="00101FA9"/>
    <w:rsid w:val="0010266B"/>
    <w:rsid w:val="00103EF6"/>
    <w:rsid w:val="00105900"/>
    <w:rsid w:val="00112D85"/>
    <w:rsid w:val="00114B5F"/>
    <w:rsid w:val="00122B1C"/>
    <w:rsid w:val="00124F55"/>
    <w:rsid w:val="00126867"/>
    <w:rsid w:val="00127279"/>
    <w:rsid w:val="0013100A"/>
    <w:rsid w:val="00131947"/>
    <w:rsid w:val="00132679"/>
    <w:rsid w:val="001356F8"/>
    <w:rsid w:val="00136FD0"/>
    <w:rsid w:val="00141267"/>
    <w:rsid w:val="0014389E"/>
    <w:rsid w:val="0014597D"/>
    <w:rsid w:val="00145C84"/>
    <w:rsid w:val="00147C23"/>
    <w:rsid w:val="0015049D"/>
    <w:rsid w:val="00150759"/>
    <w:rsid w:val="00154DFA"/>
    <w:rsid w:val="00157297"/>
    <w:rsid w:val="001600D0"/>
    <w:rsid w:val="001627AA"/>
    <w:rsid w:val="00166945"/>
    <w:rsid w:val="00166F3E"/>
    <w:rsid w:val="001677C8"/>
    <w:rsid w:val="00167893"/>
    <w:rsid w:val="001707EA"/>
    <w:rsid w:val="00172EEC"/>
    <w:rsid w:val="00173571"/>
    <w:rsid w:val="00173B5C"/>
    <w:rsid w:val="00174145"/>
    <w:rsid w:val="001769D1"/>
    <w:rsid w:val="0018014B"/>
    <w:rsid w:val="001825F2"/>
    <w:rsid w:val="001826B7"/>
    <w:rsid w:val="00182CFE"/>
    <w:rsid w:val="00183D35"/>
    <w:rsid w:val="00185CDC"/>
    <w:rsid w:val="00186B2B"/>
    <w:rsid w:val="00186DC8"/>
    <w:rsid w:val="0018727D"/>
    <w:rsid w:val="001872D1"/>
    <w:rsid w:val="00187563"/>
    <w:rsid w:val="00187885"/>
    <w:rsid w:val="00187C63"/>
    <w:rsid w:val="0019090F"/>
    <w:rsid w:val="001923D6"/>
    <w:rsid w:val="00192C8A"/>
    <w:rsid w:val="001954ED"/>
    <w:rsid w:val="00196B76"/>
    <w:rsid w:val="001A0ABC"/>
    <w:rsid w:val="001A2AFF"/>
    <w:rsid w:val="001A3409"/>
    <w:rsid w:val="001A505C"/>
    <w:rsid w:val="001A5FDA"/>
    <w:rsid w:val="001A6E75"/>
    <w:rsid w:val="001A7184"/>
    <w:rsid w:val="001A7331"/>
    <w:rsid w:val="001B0A69"/>
    <w:rsid w:val="001B2F29"/>
    <w:rsid w:val="001B66E3"/>
    <w:rsid w:val="001C08CE"/>
    <w:rsid w:val="001C1515"/>
    <w:rsid w:val="001C15E0"/>
    <w:rsid w:val="001C199F"/>
    <w:rsid w:val="001C1C99"/>
    <w:rsid w:val="001C2677"/>
    <w:rsid w:val="001C3F55"/>
    <w:rsid w:val="001C4244"/>
    <w:rsid w:val="001C4C8B"/>
    <w:rsid w:val="001C6991"/>
    <w:rsid w:val="001D0216"/>
    <w:rsid w:val="001D21E4"/>
    <w:rsid w:val="001D2AC3"/>
    <w:rsid w:val="001D7589"/>
    <w:rsid w:val="001E18AE"/>
    <w:rsid w:val="001E1B74"/>
    <w:rsid w:val="001E1E5B"/>
    <w:rsid w:val="001E6157"/>
    <w:rsid w:val="001E7248"/>
    <w:rsid w:val="001E7A72"/>
    <w:rsid w:val="001F1D67"/>
    <w:rsid w:val="001F263E"/>
    <w:rsid w:val="001F2BC4"/>
    <w:rsid w:val="001F33FE"/>
    <w:rsid w:val="001F3AC0"/>
    <w:rsid w:val="001F3F52"/>
    <w:rsid w:val="001F4C73"/>
    <w:rsid w:val="001F51E4"/>
    <w:rsid w:val="001F5FBB"/>
    <w:rsid w:val="002003A2"/>
    <w:rsid w:val="002025DD"/>
    <w:rsid w:val="002035F2"/>
    <w:rsid w:val="00203B5E"/>
    <w:rsid w:val="00203D7C"/>
    <w:rsid w:val="002040AB"/>
    <w:rsid w:val="0021120E"/>
    <w:rsid w:val="00211700"/>
    <w:rsid w:val="00212294"/>
    <w:rsid w:val="00212A14"/>
    <w:rsid w:val="00212BA2"/>
    <w:rsid w:val="00212FD3"/>
    <w:rsid w:val="00213093"/>
    <w:rsid w:val="00215694"/>
    <w:rsid w:val="002164B5"/>
    <w:rsid w:val="002176B8"/>
    <w:rsid w:val="002206F5"/>
    <w:rsid w:val="00220C90"/>
    <w:rsid w:val="002246C9"/>
    <w:rsid w:val="00224A3A"/>
    <w:rsid w:val="00226854"/>
    <w:rsid w:val="0023204E"/>
    <w:rsid w:val="00232432"/>
    <w:rsid w:val="00234D85"/>
    <w:rsid w:val="00235593"/>
    <w:rsid w:val="00236294"/>
    <w:rsid w:val="00236468"/>
    <w:rsid w:val="00236BBE"/>
    <w:rsid w:val="0023729C"/>
    <w:rsid w:val="00237B4F"/>
    <w:rsid w:val="00240387"/>
    <w:rsid w:val="0024173D"/>
    <w:rsid w:val="00244AD5"/>
    <w:rsid w:val="00244FF2"/>
    <w:rsid w:val="0024601C"/>
    <w:rsid w:val="0025104C"/>
    <w:rsid w:val="0025190B"/>
    <w:rsid w:val="00252676"/>
    <w:rsid w:val="00254519"/>
    <w:rsid w:val="002545AF"/>
    <w:rsid w:val="002567EC"/>
    <w:rsid w:val="0025696E"/>
    <w:rsid w:val="00256BEC"/>
    <w:rsid w:val="00256DFD"/>
    <w:rsid w:val="00257986"/>
    <w:rsid w:val="002668F8"/>
    <w:rsid w:val="00271C48"/>
    <w:rsid w:val="00273DF7"/>
    <w:rsid w:val="00280AA1"/>
    <w:rsid w:val="00280DE0"/>
    <w:rsid w:val="002815A7"/>
    <w:rsid w:val="00281A48"/>
    <w:rsid w:val="00283A3B"/>
    <w:rsid w:val="00286E5D"/>
    <w:rsid w:val="00287491"/>
    <w:rsid w:val="0028778A"/>
    <w:rsid w:val="00291C99"/>
    <w:rsid w:val="0029217B"/>
    <w:rsid w:val="0029236F"/>
    <w:rsid w:val="00292427"/>
    <w:rsid w:val="002928B6"/>
    <w:rsid w:val="00293E7D"/>
    <w:rsid w:val="0029572D"/>
    <w:rsid w:val="002969C5"/>
    <w:rsid w:val="002A0392"/>
    <w:rsid w:val="002A0C24"/>
    <w:rsid w:val="002A1A04"/>
    <w:rsid w:val="002B0D65"/>
    <w:rsid w:val="002B0EA5"/>
    <w:rsid w:val="002B14AA"/>
    <w:rsid w:val="002B30BC"/>
    <w:rsid w:val="002B6606"/>
    <w:rsid w:val="002B675F"/>
    <w:rsid w:val="002B6974"/>
    <w:rsid w:val="002B6C39"/>
    <w:rsid w:val="002C0902"/>
    <w:rsid w:val="002C29FD"/>
    <w:rsid w:val="002C4B91"/>
    <w:rsid w:val="002C4DE8"/>
    <w:rsid w:val="002C73BC"/>
    <w:rsid w:val="002C7E9F"/>
    <w:rsid w:val="002D0A24"/>
    <w:rsid w:val="002D19B4"/>
    <w:rsid w:val="002D2585"/>
    <w:rsid w:val="002D3686"/>
    <w:rsid w:val="002D36B5"/>
    <w:rsid w:val="002D52BC"/>
    <w:rsid w:val="002D5C81"/>
    <w:rsid w:val="002D674A"/>
    <w:rsid w:val="002D6ED5"/>
    <w:rsid w:val="002E13E2"/>
    <w:rsid w:val="002E16C5"/>
    <w:rsid w:val="002E205A"/>
    <w:rsid w:val="002E29A1"/>
    <w:rsid w:val="002E2F69"/>
    <w:rsid w:val="002E4462"/>
    <w:rsid w:val="002E5656"/>
    <w:rsid w:val="002E5863"/>
    <w:rsid w:val="002E5955"/>
    <w:rsid w:val="002E5D5C"/>
    <w:rsid w:val="002E7710"/>
    <w:rsid w:val="002E781D"/>
    <w:rsid w:val="002E788C"/>
    <w:rsid w:val="002E79B5"/>
    <w:rsid w:val="002F06B8"/>
    <w:rsid w:val="002F0702"/>
    <w:rsid w:val="002F07BD"/>
    <w:rsid w:val="002F148D"/>
    <w:rsid w:val="0030159C"/>
    <w:rsid w:val="0030240B"/>
    <w:rsid w:val="00303293"/>
    <w:rsid w:val="0030595C"/>
    <w:rsid w:val="003069D8"/>
    <w:rsid w:val="003129E4"/>
    <w:rsid w:val="00312EF3"/>
    <w:rsid w:val="003136F7"/>
    <w:rsid w:val="00314817"/>
    <w:rsid w:val="00316A94"/>
    <w:rsid w:val="00317C6C"/>
    <w:rsid w:val="00323761"/>
    <w:rsid w:val="0032424A"/>
    <w:rsid w:val="003263C4"/>
    <w:rsid w:val="00326ED3"/>
    <w:rsid w:val="00327B44"/>
    <w:rsid w:val="00327DFF"/>
    <w:rsid w:val="00332A73"/>
    <w:rsid w:val="00336B12"/>
    <w:rsid w:val="003375DF"/>
    <w:rsid w:val="00340F94"/>
    <w:rsid w:val="00343CC4"/>
    <w:rsid w:val="00344598"/>
    <w:rsid w:val="00351474"/>
    <w:rsid w:val="00351869"/>
    <w:rsid w:val="00351C90"/>
    <w:rsid w:val="003538F2"/>
    <w:rsid w:val="00353A61"/>
    <w:rsid w:val="00354143"/>
    <w:rsid w:val="003541F1"/>
    <w:rsid w:val="00360605"/>
    <w:rsid w:val="003616DD"/>
    <w:rsid w:val="00362BFB"/>
    <w:rsid w:val="00362D7B"/>
    <w:rsid w:val="00365DC3"/>
    <w:rsid w:val="00365FB7"/>
    <w:rsid w:val="0037007D"/>
    <w:rsid w:val="003705BF"/>
    <w:rsid w:val="00370AA0"/>
    <w:rsid w:val="00370D32"/>
    <w:rsid w:val="003712A3"/>
    <w:rsid w:val="00371DC5"/>
    <w:rsid w:val="0037204A"/>
    <w:rsid w:val="003726CA"/>
    <w:rsid w:val="003802CA"/>
    <w:rsid w:val="00381F84"/>
    <w:rsid w:val="003843C4"/>
    <w:rsid w:val="00386C4C"/>
    <w:rsid w:val="003917B0"/>
    <w:rsid w:val="00392DA0"/>
    <w:rsid w:val="00393F72"/>
    <w:rsid w:val="00396D89"/>
    <w:rsid w:val="003A00EF"/>
    <w:rsid w:val="003A2BA1"/>
    <w:rsid w:val="003B088E"/>
    <w:rsid w:val="003B12BC"/>
    <w:rsid w:val="003B1AC0"/>
    <w:rsid w:val="003B23FB"/>
    <w:rsid w:val="003B2B04"/>
    <w:rsid w:val="003B3F9B"/>
    <w:rsid w:val="003B40B6"/>
    <w:rsid w:val="003B744E"/>
    <w:rsid w:val="003C2AB7"/>
    <w:rsid w:val="003D2566"/>
    <w:rsid w:val="003D6ADE"/>
    <w:rsid w:val="003D73E2"/>
    <w:rsid w:val="003E111B"/>
    <w:rsid w:val="003E19E6"/>
    <w:rsid w:val="003F0A2A"/>
    <w:rsid w:val="003F26C2"/>
    <w:rsid w:val="003F2915"/>
    <w:rsid w:val="003F35E6"/>
    <w:rsid w:val="003F6411"/>
    <w:rsid w:val="003F6521"/>
    <w:rsid w:val="003F7596"/>
    <w:rsid w:val="003F7EE0"/>
    <w:rsid w:val="00400733"/>
    <w:rsid w:val="004026A6"/>
    <w:rsid w:val="00403DA4"/>
    <w:rsid w:val="00403DAA"/>
    <w:rsid w:val="00404633"/>
    <w:rsid w:val="00404D9A"/>
    <w:rsid w:val="00404EF2"/>
    <w:rsid w:val="004067C8"/>
    <w:rsid w:val="00406CFA"/>
    <w:rsid w:val="00406E3A"/>
    <w:rsid w:val="0040726D"/>
    <w:rsid w:val="004076F0"/>
    <w:rsid w:val="004113C0"/>
    <w:rsid w:val="004173EE"/>
    <w:rsid w:val="00420810"/>
    <w:rsid w:val="00421DA9"/>
    <w:rsid w:val="00422EE9"/>
    <w:rsid w:val="00424316"/>
    <w:rsid w:val="0042677B"/>
    <w:rsid w:val="00426B17"/>
    <w:rsid w:val="00426BCF"/>
    <w:rsid w:val="004276FA"/>
    <w:rsid w:val="00430CA6"/>
    <w:rsid w:val="004335F3"/>
    <w:rsid w:val="00436804"/>
    <w:rsid w:val="00440BF4"/>
    <w:rsid w:val="00441C22"/>
    <w:rsid w:val="00441E78"/>
    <w:rsid w:val="00445542"/>
    <w:rsid w:val="00445645"/>
    <w:rsid w:val="00450319"/>
    <w:rsid w:val="00450D36"/>
    <w:rsid w:val="00450F78"/>
    <w:rsid w:val="004517E5"/>
    <w:rsid w:val="00455BAA"/>
    <w:rsid w:val="004579E7"/>
    <w:rsid w:val="0046444C"/>
    <w:rsid w:val="004644EB"/>
    <w:rsid w:val="004652AE"/>
    <w:rsid w:val="004678E2"/>
    <w:rsid w:val="0047045B"/>
    <w:rsid w:val="00470633"/>
    <w:rsid w:val="00470F9E"/>
    <w:rsid w:val="00473390"/>
    <w:rsid w:val="0047649E"/>
    <w:rsid w:val="00476EE4"/>
    <w:rsid w:val="004771A2"/>
    <w:rsid w:val="004779B6"/>
    <w:rsid w:val="0048174F"/>
    <w:rsid w:val="00482779"/>
    <w:rsid w:val="00483A3B"/>
    <w:rsid w:val="00485527"/>
    <w:rsid w:val="0048632D"/>
    <w:rsid w:val="004901CC"/>
    <w:rsid w:val="00495749"/>
    <w:rsid w:val="004957E6"/>
    <w:rsid w:val="004A16E4"/>
    <w:rsid w:val="004A22F5"/>
    <w:rsid w:val="004A38A2"/>
    <w:rsid w:val="004A3985"/>
    <w:rsid w:val="004B17B3"/>
    <w:rsid w:val="004B1CD1"/>
    <w:rsid w:val="004B2260"/>
    <w:rsid w:val="004B2D42"/>
    <w:rsid w:val="004B4DB8"/>
    <w:rsid w:val="004C26B8"/>
    <w:rsid w:val="004C5443"/>
    <w:rsid w:val="004C67C9"/>
    <w:rsid w:val="004C7A7C"/>
    <w:rsid w:val="004D0938"/>
    <w:rsid w:val="004D0D36"/>
    <w:rsid w:val="004D0DF0"/>
    <w:rsid w:val="004D0F94"/>
    <w:rsid w:val="004D21E9"/>
    <w:rsid w:val="004D412E"/>
    <w:rsid w:val="004D4358"/>
    <w:rsid w:val="004D6C5F"/>
    <w:rsid w:val="004E1357"/>
    <w:rsid w:val="004E21F7"/>
    <w:rsid w:val="004E3162"/>
    <w:rsid w:val="004E3181"/>
    <w:rsid w:val="004E48FE"/>
    <w:rsid w:val="004E533D"/>
    <w:rsid w:val="004E5C68"/>
    <w:rsid w:val="004E5DBA"/>
    <w:rsid w:val="004E77A3"/>
    <w:rsid w:val="004E7A34"/>
    <w:rsid w:val="004F7A80"/>
    <w:rsid w:val="00501300"/>
    <w:rsid w:val="005031E3"/>
    <w:rsid w:val="005040BF"/>
    <w:rsid w:val="005061A7"/>
    <w:rsid w:val="00506F82"/>
    <w:rsid w:val="00510556"/>
    <w:rsid w:val="0051215C"/>
    <w:rsid w:val="005122F7"/>
    <w:rsid w:val="00514B27"/>
    <w:rsid w:val="00515429"/>
    <w:rsid w:val="00516485"/>
    <w:rsid w:val="00521799"/>
    <w:rsid w:val="00530C14"/>
    <w:rsid w:val="00532001"/>
    <w:rsid w:val="00532F83"/>
    <w:rsid w:val="00533AEE"/>
    <w:rsid w:val="0053504D"/>
    <w:rsid w:val="00536017"/>
    <w:rsid w:val="00536D70"/>
    <w:rsid w:val="00541112"/>
    <w:rsid w:val="005413CB"/>
    <w:rsid w:val="005418A8"/>
    <w:rsid w:val="005453F9"/>
    <w:rsid w:val="005473DF"/>
    <w:rsid w:val="00552002"/>
    <w:rsid w:val="00552D78"/>
    <w:rsid w:val="0055457F"/>
    <w:rsid w:val="00554C4C"/>
    <w:rsid w:val="0055639E"/>
    <w:rsid w:val="0056095D"/>
    <w:rsid w:val="005648B4"/>
    <w:rsid w:val="00564A94"/>
    <w:rsid w:val="005719F9"/>
    <w:rsid w:val="00572A87"/>
    <w:rsid w:val="00572E02"/>
    <w:rsid w:val="00573A06"/>
    <w:rsid w:val="005748EC"/>
    <w:rsid w:val="00575562"/>
    <w:rsid w:val="00575F79"/>
    <w:rsid w:val="005766C2"/>
    <w:rsid w:val="00577739"/>
    <w:rsid w:val="00581DCB"/>
    <w:rsid w:val="005845AC"/>
    <w:rsid w:val="00584693"/>
    <w:rsid w:val="00584799"/>
    <w:rsid w:val="005848DF"/>
    <w:rsid w:val="005854E9"/>
    <w:rsid w:val="005860E2"/>
    <w:rsid w:val="00587EB4"/>
    <w:rsid w:val="00590D88"/>
    <w:rsid w:val="00591C95"/>
    <w:rsid w:val="00593A8C"/>
    <w:rsid w:val="00593E5B"/>
    <w:rsid w:val="00595676"/>
    <w:rsid w:val="005A0DDB"/>
    <w:rsid w:val="005A1A69"/>
    <w:rsid w:val="005A2566"/>
    <w:rsid w:val="005A418B"/>
    <w:rsid w:val="005A470D"/>
    <w:rsid w:val="005A5841"/>
    <w:rsid w:val="005B008D"/>
    <w:rsid w:val="005B28D9"/>
    <w:rsid w:val="005B4DA6"/>
    <w:rsid w:val="005B6133"/>
    <w:rsid w:val="005B753F"/>
    <w:rsid w:val="005B7D28"/>
    <w:rsid w:val="005C08B7"/>
    <w:rsid w:val="005C0AED"/>
    <w:rsid w:val="005C0F87"/>
    <w:rsid w:val="005C3987"/>
    <w:rsid w:val="005D1AE1"/>
    <w:rsid w:val="005D3C73"/>
    <w:rsid w:val="005D44D3"/>
    <w:rsid w:val="005D4BAD"/>
    <w:rsid w:val="005D4BDD"/>
    <w:rsid w:val="005D4D1A"/>
    <w:rsid w:val="005D4F46"/>
    <w:rsid w:val="005D6C2D"/>
    <w:rsid w:val="005E2252"/>
    <w:rsid w:val="005E2DBE"/>
    <w:rsid w:val="005E2E9D"/>
    <w:rsid w:val="005E7BB8"/>
    <w:rsid w:val="005F26B1"/>
    <w:rsid w:val="005F48F4"/>
    <w:rsid w:val="00601DF6"/>
    <w:rsid w:val="00601EDB"/>
    <w:rsid w:val="00602F4D"/>
    <w:rsid w:val="00603587"/>
    <w:rsid w:val="0060362D"/>
    <w:rsid w:val="00606194"/>
    <w:rsid w:val="00606283"/>
    <w:rsid w:val="006072E2"/>
    <w:rsid w:val="00607753"/>
    <w:rsid w:val="006100CB"/>
    <w:rsid w:val="00610212"/>
    <w:rsid w:val="00611320"/>
    <w:rsid w:val="00611E82"/>
    <w:rsid w:val="00612F6F"/>
    <w:rsid w:val="00613F67"/>
    <w:rsid w:val="00615DF5"/>
    <w:rsid w:val="00617341"/>
    <w:rsid w:val="006218B0"/>
    <w:rsid w:val="0062265B"/>
    <w:rsid w:val="0062266E"/>
    <w:rsid w:val="00622FB3"/>
    <w:rsid w:val="00627CDC"/>
    <w:rsid w:val="006308FB"/>
    <w:rsid w:val="00630CD9"/>
    <w:rsid w:val="0063727A"/>
    <w:rsid w:val="00642789"/>
    <w:rsid w:val="006439AA"/>
    <w:rsid w:val="00645A9C"/>
    <w:rsid w:val="00646C24"/>
    <w:rsid w:val="00647525"/>
    <w:rsid w:val="0064753E"/>
    <w:rsid w:val="0065360B"/>
    <w:rsid w:val="00654BB5"/>
    <w:rsid w:val="00661084"/>
    <w:rsid w:val="0066108F"/>
    <w:rsid w:val="00663344"/>
    <w:rsid w:val="00663D51"/>
    <w:rsid w:val="00666818"/>
    <w:rsid w:val="00666D64"/>
    <w:rsid w:val="00666F7E"/>
    <w:rsid w:val="00674983"/>
    <w:rsid w:val="006802B6"/>
    <w:rsid w:val="00681357"/>
    <w:rsid w:val="00683117"/>
    <w:rsid w:val="0068326E"/>
    <w:rsid w:val="00686C28"/>
    <w:rsid w:val="0068762E"/>
    <w:rsid w:val="00692199"/>
    <w:rsid w:val="00693A8F"/>
    <w:rsid w:val="006A1439"/>
    <w:rsid w:val="006A5617"/>
    <w:rsid w:val="006A5F2E"/>
    <w:rsid w:val="006A71D9"/>
    <w:rsid w:val="006A7EA3"/>
    <w:rsid w:val="006B059F"/>
    <w:rsid w:val="006B0600"/>
    <w:rsid w:val="006B6D30"/>
    <w:rsid w:val="006B7F84"/>
    <w:rsid w:val="006C06F4"/>
    <w:rsid w:val="006C0BCC"/>
    <w:rsid w:val="006C123C"/>
    <w:rsid w:val="006C2188"/>
    <w:rsid w:val="006C2588"/>
    <w:rsid w:val="006C475E"/>
    <w:rsid w:val="006C5323"/>
    <w:rsid w:val="006C7AF7"/>
    <w:rsid w:val="006D1BA8"/>
    <w:rsid w:val="006D2450"/>
    <w:rsid w:val="006D4637"/>
    <w:rsid w:val="006D5794"/>
    <w:rsid w:val="006D5F17"/>
    <w:rsid w:val="006D7376"/>
    <w:rsid w:val="006D7437"/>
    <w:rsid w:val="006D7B99"/>
    <w:rsid w:val="006E2042"/>
    <w:rsid w:val="006E2E7A"/>
    <w:rsid w:val="006E4008"/>
    <w:rsid w:val="006E41A4"/>
    <w:rsid w:val="006E48FD"/>
    <w:rsid w:val="006E4AF7"/>
    <w:rsid w:val="006E4E67"/>
    <w:rsid w:val="006E58FA"/>
    <w:rsid w:val="006E5A8A"/>
    <w:rsid w:val="006E6E90"/>
    <w:rsid w:val="006F1BA1"/>
    <w:rsid w:val="006F204A"/>
    <w:rsid w:val="006F3632"/>
    <w:rsid w:val="006F6A1C"/>
    <w:rsid w:val="007014BE"/>
    <w:rsid w:val="00701FE8"/>
    <w:rsid w:val="00702867"/>
    <w:rsid w:val="007070C7"/>
    <w:rsid w:val="00707852"/>
    <w:rsid w:val="00707EA5"/>
    <w:rsid w:val="00710A90"/>
    <w:rsid w:val="0071180E"/>
    <w:rsid w:val="0071192F"/>
    <w:rsid w:val="00711CCC"/>
    <w:rsid w:val="00713D0C"/>
    <w:rsid w:val="00714E65"/>
    <w:rsid w:val="00717698"/>
    <w:rsid w:val="007207A4"/>
    <w:rsid w:val="0072146F"/>
    <w:rsid w:val="0072175E"/>
    <w:rsid w:val="007257F9"/>
    <w:rsid w:val="00726173"/>
    <w:rsid w:val="007268D3"/>
    <w:rsid w:val="007275DC"/>
    <w:rsid w:val="00730735"/>
    <w:rsid w:val="00731CB6"/>
    <w:rsid w:val="0073422C"/>
    <w:rsid w:val="00734474"/>
    <w:rsid w:val="0074076A"/>
    <w:rsid w:val="007413A4"/>
    <w:rsid w:val="007428AB"/>
    <w:rsid w:val="00742E0A"/>
    <w:rsid w:val="0074721E"/>
    <w:rsid w:val="00751BEB"/>
    <w:rsid w:val="0075251B"/>
    <w:rsid w:val="00753E09"/>
    <w:rsid w:val="00755F21"/>
    <w:rsid w:val="007626E5"/>
    <w:rsid w:val="00771765"/>
    <w:rsid w:val="00772C3E"/>
    <w:rsid w:val="00775BB8"/>
    <w:rsid w:val="007804CD"/>
    <w:rsid w:val="00783DA7"/>
    <w:rsid w:val="00786A66"/>
    <w:rsid w:val="007872DF"/>
    <w:rsid w:val="007903F8"/>
    <w:rsid w:val="007907B0"/>
    <w:rsid w:val="0079185D"/>
    <w:rsid w:val="007A0000"/>
    <w:rsid w:val="007A0423"/>
    <w:rsid w:val="007A1093"/>
    <w:rsid w:val="007A1CFB"/>
    <w:rsid w:val="007A22AF"/>
    <w:rsid w:val="007A51BC"/>
    <w:rsid w:val="007A7EA2"/>
    <w:rsid w:val="007B10EC"/>
    <w:rsid w:val="007B2B23"/>
    <w:rsid w:val="007B2DB6"/>
    <w:rsid w:val="007B318C"/>
    <w:rsid w:val="007B3621"/>
    <w:rsid w:val="007B67BA"/>
    <w:rsid w:val="007B7A78"/>
    <w:rsid w:val="007B7B13"/>
    <w:rsid w:val="007B7B6C"/>
    <w:rsid w:val="007B7C5C"/>
    <w:rsid w:val="007C1DA8"/>
    <w:rsid w:val="007C2565"/>
    <w:rsid w:val="007C28DA"/>
    <w:rsid w:val="007C2FE5"/>
    <w:rsid w:val="007C3577"/>
    <w:rsid w:val="007C3CC4"/>
    <w:rsid w:val="007C4794"/>
    <w:rsid w:val="007C6735"/>
    <w:rsid w:val="007D0BCC"/>
    <w:rsid w:val="007D17EB"/>
    <w:rsid w:val="007D46DB"/>
    <w:rsid w:val="007E173E"/>
    <w:rsid w:val="007E33D4"/>
    <w:rsid w:val="007E619F"/>
    <w:rsid w:val="007E6BF7"/>
    <w:rsid w:val="007E72CB"/>
    <w:rsid w:val="007F0065"/>
    <w:rsid w:val="007F09D6"/>
    <w:rsid w:val="007F1E59"/>
    <w:rsid w:val="007F269C"/>
    <w:rsid w:val="007F5D7C"/>
    <w:rsid w:val="007F7742"/>
    <w:rsid w:val="008013AA"/>
    <w:rsid w:val="00802804"/>
    <w:rsid w:val="00803AB0"/>
    <w:rsid w:val="0080543E"/>
    <w:rsid w:val="00806BB9"/>
    <w:rsid w:val="00807E05"/>
    <w:rsid w:val="00810F6E"/>
    <w:rsid w:val="008116A7"/>
    <w:rsid w:val="008128AC"/>
    <w:rsid w:val="00812A96"/>
    <w:rsid w:val="00813C89"/>
    <w:rsid w:val="00814982"/>
    <w:rsid w:val="0081503E"/>
    <w:rsid w:val="00816E91"/>
    <w:rsid w:val="00820A28"/>
    <w:rsid w:val="00821108"/>
    <w:rsid w:val="00821288"/>
    <w:rsid w:val="008215A5"/>
    <w:rsid w:val="00822C61"/>
    <w:rsid w:val="008243E7"/>
    <w:rsid w:val="00825372"/>
    <w:rsid w:val="008262E6"/>
    <w:rsid w:val="00830421"/>
    <w:rsid w:val="00832E7C"/>
    <w:rsid w:val="00833A5B"/>
    <w:rsid w:val="0083426B"/>
    <w:rsid w:val="008344E9"/>
    <w:rsid w:val="0083457C"/>
    <w:rsid w:val="00835582"/>
    <w:rsid w:val="00835E0B"/>
    <w:rsid w:val="0083659F"/>
    <w:rsid w:val="00836807"/>
    <w:rsid w:val="00837255"/>
    <w:rsid w:val="00840567"/>
    <w:rsid w:val="008406D7"/>
    <w:rsid w:val="00842ACF"/>
    <w:rsid w:val="00843783"/>
    <w:rsid w:val="00843908"/>
    <w:rsid w:val="00843A33"/>
    <w:rsid w:val="00846993"/>
    <w:rsid w:val="00851732"/>
    <w:rsid w:val="00852B7E"/>
    <w:rsid w:val="008539C4"/>
    <w:rsid w:val="0085556C"/>
    <w:rsid w:val="0085583E"/>
    <w:rsid w:val="00856386"/>
    <w:rsid w:val="008569CF"/>
    <w:rsid w:val="00860053"/>
    <w:rsid w:val="00860961"/>
    <w:rsid w:val="00862781"/>
    <w:rsid w:val="008640E8"/>
    <w:rsid w:val="008642D8"/>
    <w:rsid w:val="008654A9"/>
    <w:rsid w:val="008655AF"/>
    <w:rsid w:val="008669AD"/>
    <w:rsid w:val="008701C5"/>
    <w:rsid w:val="00871F41"/>
    <w:rsid w:val="0087687E"/>
    <w:rsid w:val="00882EC7"/>
    <w:rsid w:val="00883D91"/>
    <w:rsid w:val="00890114"/>
    <w:rsid w:val="008908C7"/>
    <w:rsid w:val="00891818"/>
    <w:rsid w:val="00892389"/>
    <w:rsid w:val="0089328D"/>
    <w:rsid w:val="0089386C"/>
    <w:rsid w:val="00893E4B"/>
    <w:rsid w:val="00894764"/>
    <w:rsid w:val="00894800"/>
    <w:rsid w:val="008A1173"/>
    <w:rsid w:val="008A12F2"/>
    <w:rsid w:val="008A1CC7"/>
    <w:rsid w:val="008A1F34"/>
    <w:rsid w:val="008A2E52"/>
    <w:rsid w:val="008A3214"/>
    <w:rsid w:val="008A3B2D"/>
    <w:rsid w:val="008A6B93"/>
    <w:rsid w:val="008B05A0"/>
    <w:rsid w:val="008B10F0"/>
    <w:rsid w:val="008B13E1"/>
    <w:rsid w:val="008B22DC"/>
    <w:rsid w:val="008B39C2"/>
    <w:rsid w:val="008B64BA"/>
    <w:rsid w:val="008B6F3D"/>
    <w:rsid w:val="008C1EDD"/>
    <w:rsid w:val="008C557E"/>
    <w:rsid w:val="008C6310"/>
    <w:rsid w:val="008C74B8"/>
    <w:rsid w:val="008D02B5"/>
    <w:rsid w:val="008D1D11"/>
    <w:rsid w:val="008D23AD"/>
    <w:rsid w:val="008D4048"/>
    <w:rsid w:val="008D4958"/>
    <w:rsid w:val="008D56B8"/>
    <w:rsid w:val="008D56DC"/>
    <w:rsid w:val="008D58BD"/>
    <w:rsid w:val="008D6190"/>
    <w:rsid w:val="008E3345"/>
    <w:rsid w:val="008E42A6"/>
    <w:rsid w:val="008E49B9"/>
    <w:rsid w:val="008E55F1"/>
    <w:rsid w:val="008E7EF0"/>
    <w:rsid w:val="008F08D5"/>
    <w:rsid w:val="008F1B3E"/>
    <w:rsid w:val="008F1B80"/>
    <w:rsid w:val="008F4634"/>
    <w:rsid w:val="008F6F1E"/>
    <w:rsid w:val="008F74F6"/>
    <w:rsid w:val="008F79B7"/>
    <w:rsid w:val="008F7A8C"/>
    <w:rsid w:val="0090038F"/>
    <w:rsid w:val="00902933"/>
    <w:rsid w:val="009065D9"/>
    <w:rsid w:val="00912E0E"/>
    <w:rsid w:val="00913E53"/>
    <w:rsid w:val="00916B5D"/>
    <w:rsid w:val="009170C1"/>
    <w:rsid w:val="00921E71"/>
    <w:rsid w:val="00923C2D"/>
    <w:rsid w:val="009243AF"/>
    <w:rsid w:val="00934F75"/>
    <w:rsid w:val="00935322"/>
    <w:rsid w:val="00935A81"/>
    <w:rsid w:val="009367FA"/>
    <w:rsid w:val="00937856"/>
    <w:rsid w:val="009408D2"/>
    <w:rsid w:val="00940C4C"/>
    <w:rsid w:val="00941C02"/>
    <w:rsid w:val="00947F1F"/>
    <w:rsid w:val="009559E0"/>
    <w:rsid w:val="00955D72"/>
    <w:rsid w:val="00956A1A"/>
    <w:rsid w:val="0095721E"/>
    <w:rsid w:val="00967964"/>
    <w:rsid w:val="00970F7D"/>
    <w:rsid w:val="009711CA"/>
    <w:rsid w:val="009744BD"/>
    <w:rsid w:val="00976463"/>
    <w:rsid w:val="009769D2"/>
    <w:rsid w:val="0098065E"/>
    <w:rsid w:val="00980A04"/>
    <w:rsid w:val="00983CA8"/>
    <w:rsid w:val="00985EE4"/>
    <w:rsid w:val="00987F53"/>
    <w:rsid w:val="00990278"/>
    <w:rsid w:val="009938A7"/>
    <w:rsid w:val="00994188"/>
    <w:rsid w:val="00995821"/>
    <w:rsid w:val="00995DDD"/>
    <w:rsid w:val="0099705D"/>
    <w:rsid w:val="0099761E"/>
    <w:rsid w:val="009A1B88"/>
    <w:rsid w:val="009A1D4D"/>
    <w:rsid w:val="009A1DB3"/>
    <w:rsid w:val="009A4BEB"/>
    <w:rsid w:val="009A5458"/>
    <w:rsid w:val="009A54C2"/>
    <w:rsid w:val="009A6996"/>
    <w:rsid w:val="009A7C70"/>
    <w:rsid w:val="009B20AC"/>
    <w:rsid w:val="009B23D0"/>
    <w:rsid w:val="009B248E"/>
    <w:rsid w:val="009B35E5"/>
    <w:rsid w:val="009B4636"/>
    <w:rsid w:val="009B5607"/>
    <w:rsid w:val="009B5BA9"/>
    <w:rsid w:val="009B5BD4"/>
    <w:rsid w:val="009B62AE"/>
    <w:rsid w:val="009B6CA9"/>
    <w:rsid w:val="009C0389"/>
    <w:rsid w:val="009C0E49"/>
    <w:rsid w:val="009C5854"/>
    <w:rsid w:val="009C7B34"/>
    <w:rsid w:val="009C7D1D"/>
    <w:rsid w:val="009D0B83"/>
    <w:rsid w:val="009D16AE"/>
    <w:rsid w:val="009D360B"/>
    <w:rsid w:val="009D3F7F"/>
    <w:rsid w:val="009D5608"/>
    <w:rsid w:val="009D7FFC"/>
    <w:rsid w:val="009E0394"/>
    <w:rsid w:val="009E3B81"/>
    <w:rsid w:val="009E3EA1"/>
    <w:rsid w:val="009F0061"/>
    <w:rsid w:val="009F01C4"/>
    <w:rsid w:val="009F2C2F"/>
    <w:rsid w:val="009F32D1"/>
    <w:rsid w:val="009F3A62"/>
    <w:rsid w:val="009F500C"/>
    <w:rsid w:val="009F52B7"/>
    <w:rsid w:val="009F675C"/>
    <w:rsid w:val="009F70DB"/>
    <w:rsid w:val="00A00403"/>
    <w:rsid w:val="00A0132E"/>
    <w:rsid w:val="00A1063A"/>
    <w:rsid w:val="00A113B3"/>
    <w:rsid w:val="00A11CAC"/>
    <w:rsid w:val="00A129E1"/>
    <w:rsid w:val="00A12BFB"/>
    <w:rsid w:val="00A1460C"/>
    <w:rsid w:val="00A171D3"/>
    <w:rsid w:val="00A17C94"/>
    <w:rsid w:val="00A21C50"/>
    <w:rsid w:val="00A22BDF"/>
    <w:rsid w:val="00A268E6"/>
    <w:rsid w:val="00A27774"/>
    <w:rsid w:val="00A27F6C"/>
    <w:rsid w:val="00A30146"/>
    <w:rsid w:val="00A323C0"/>
    <w:rsid w:val="00A338F6"/>
    <w:rsid w:val="00A33BFF"/>
    <w:rsid w:val="00A34990"/>
    <w:rsid w:val="00A34C81"/>
    <w:rsid w:val="00A405B8"/>
    <w:rsid w:val="00A410EB"/>
    <w:rsid w:val="00A41662"/>
    <w:rsid w:val="00A444C5"/>
    <w:rsid w:val="00A460C3"/>
    <w:rsid w:val="00A47056"/>
    <w:rsid w:val="00A47CAE"/>
    <w:rsid w:val="00A55746"/>
    <w:rsid w:val="00A55C02"/>
    <w:rsid w:val="00A55E50"/>
    <w:rsid w:val="00A567AB"/>
    <w:rsid w:val="00A5729D"/>
    <w:rsid w:val="00A66B5C"/>
    <w:rsid w:val="00A709D1"/>
    <w:rsid w:val="00A70A11"/>
    <w:rsid w:val="00A73E05"/>
    <w:rsid w:val="00A7470B"/>
    <w:rsid w:val="00A7714D"/>
    <w:rsid w:val="00A83DEE"/>
    <w:rsid w:val="00A86377"/>
    <w:rsid w:val="00A91546"/>
    <w:rsid w:val="00A92B5F"/>
    <w:rsid w:val="00A92BF7"/>
    <w:rsid w:val="00A93426"/>
    <w:rsid w:val="00A94F35"/>
    <w:rsid w:val="00A95919"/>
    <w:rsid w:val="00A97698"/>
    <w:rsid w:val="00A97797"/>
    <w:rsid w:val="00AA3D37"/>
    <w:rsid w:val="00AA714C"/>
    <w:rsid w:val="00AA7974"/>
    <w:rsid w:val="00AA7E59"/>
    <w:rsid w:val="00AB0757"/>
    <w:rsid w:val="00AB2007"/>
    <w:rsid w:val="00AB2064"/>
    <w:rsid w:val="00AB6702"/>
    <w:rsid w:val="00AB67C0"/>
    <w:rsid w:val="00AC0EDE"/>
    <w:rsid w:val="00AC2FAF"/>
    <w:rsid w:val="00AC491C"/>
    <w:rsid w:val="00AC7664"/>
    <w:rsid w:val="00AD2375"/>
    <w:rsid w:val="00AD2792"/>
    <w:rsid w:val="00AD4971"/>
    <w:rsid w:val="00AD4D94"/>
    <w:rsid w:val="00AD661A"/>
    <w:rsid w:val="00AD6BCD"/>
    <w:rsid w:val="00AE08F0"/>
    <w:rsid w:val="00AE0CFD"/>
    <w:rsid w:val="00AE1841"/>
    <w:rsid w:val="00AE6813"/>
    <w:rsid w:val="00AE7DE0"/>
    <w:rsid w:val="00AE7E7C"/>
    <w:rsid w:val="00AF05CD"/>
    <w:rsid w:val="00AF3874"/>
    <w:rsid w:val="00AF48AE"/>
    <w:rsid w:val="00AF5762"/>
    <w:rsid w:val="00AF5EB7"/>
    <w:rsid w:val="00AF65C4"/>
    <w:rsid w:val="00AF6910"/>
    <w:rsid w:val="00AF6D9B"/>
    <w:rsid w:val="00B0131F"/>
    <w:rsid w:val="00B02E38"/>
    <w:rsid w:val="00B03F47"/>
    <w:rsid w:val="00B0775C"/>
    <w:rsid w:val="00B10650"/>
    <w:rsid w:val="00B1156E"/>
    <w:rsid w:val="00B11743"/>
    <w:rsid w:val="00B12130"/>
    <w:rsid w:val="00B13E1A"/>
    <w:rsid w:val="00B155F3"/>
    <w:rsid w:val="00B15967"/>
    <w:rsid w:val="00B1621C"/>
    <w:rsid w:val="00B16271"/>
    <w:rsid w:val="00B1638C"/>
    <w:rsid w:val="00B176CF"/>
    <w:rsid w:val="00B2209D"/>
    <w:rsid w:val="00B222BA"/>
    <w:rsid w:val="00B23018"/>
    <w:rsid w:val="00B2395C"/>
    <w:rsid w:val="00B2418E"/>
    <w:rsid w:val="00B24B41"/>
    <w:rsid w:val="00B25418"/>
    <w:rsid w:val="00B267E4"/>
    <w:rsid w:val="00B3098D"/>
    <w:rsid w:val="00B30D0E"/>
    <w:rsid w:val="00B32302"/>
    <w:rsid w:val="00B3234F"/>
    <w:rsid w:val="00B329A0"/>
    <w:rsid w:val="00B3348A"/>
    <w:rsid w:val="00B338D8"/>
    <w:rsid w:val="00B33E2B"/>
    <w:rsid w:val="00B33E94"/>
    <w:rsid w:val="00B346DE"/>
    <w:rsid w:val="00B349F9"/>
    <w:rsid w:val="00B35BD4"/>
    <w:rsid w:val="00B36B58"/>
    <w:rsid w:val="00B507AD"/>
    <w:rsid w:val="00B50972"/>
    <w:rsid w:val="00B5364A"/>
    <w:rsid w:val="00B54E54"/>
    <w:rsid w:val="00B5740F"/>
    <w:rsid w:val="00B600D7"/>
    <w:rsid w:val="00B60361"/>
    <w:rsid w:val="00B610CC"/>
    <w:rsid w:val="00B62D91"/>
    <w:rsid w:val="00B65D83"/>
    <w:rsid w:val="00B66709"/>
    <w:rsid w:val="00B71059"/>
    <w:rsid w:val="00B722D4"/>
    <w:rsid w:val="00B726DD"/>
    <w:rsid w:val="00B72B6B"/>
    <w:rsid w:val="00B73818"/>
    <w:rsid w:val="00B76092"/>
    <w:rsid w:val="00B8155B"/>
    <w:rsid w:val="00B82E06"/>
    <w:rsid w:val="00B846DA"/>
    <w:rsid w:val="00B85041"/>
    <w:rsid w:val="00B86EEE"/>
    <w:rsid w:val="00B9119F"/>
    <w:rsid w:val="00B91ED1"/>
    <w:rsid w:val="00B921A6"/>
    <w:rsid w:val="00B9236B"/>
    <w:rsid w:val="00B92A11"/>
    <w:rsid w:val="00B938EE"/>
    <w:rsid w:val="00B939F1"/>
    <w:rsid w:val="00B952C1"/>
    <w:rsid w:val="00B95E0C"/>
    <w:rsid w:val="00BA280E"/>
    <w:rsid w:val="00BA38E6"/>
    <w:rsid w:val="00BA3FFA"/>
    <w:rsid w:val="00BA4831"/>
    <w:rsid w:val="00BA6726"/>
    <w:rsid w:val="00BB237E"/>
    <w:rsid w:val="00BB4FF5"/>
    <w:rsid w:val="00BB5A9A"/>
    <w:rsid w:val="00BB5AFA"/>
    <w:rsid w:val="00BB5D9F"/>
    <w:rsid w:val="00BC00A3"/>
    <w:rsid w:val="00BC19FB"/>
    <w:rsid w:val="00BC39E0"/>
    <w:rsid w:val="00BC56A3"/>
    <w:rsid w:val="00BC56E5"/>
    <w:rsid w:val="00BC57ED"/>
    <w:rsid w:val="00BC708D"/>
    <w:rsid w:val="00BD0E79"/>
    <w:rsid w:val="00BD1DA7"/>
    <w:rsid w:val="00BD25F2"/>
    <w:rsid w:val="00BD4860"/>
    <w:rsid w:val="00BD6684"/>
    <w:rsid w:val="00BD6C2C"/>
    <w:rsid w:val="00BE1823"/>
    <w:rsid w:val="00BE393B"/>
    <w:rsid w:val="00BE56C3"/>
    <w:rsid w:val="00BE665E"/>
    <w:rsid w:val="00BE6893"/>
    <w:rsid w:val="00BE6903"/>
    <w:rsid w:val="00BE7681"/>
    <w:rsid w:val="00BE7850"/>
    <w:rsid w:val="00BE7C2A"/>
    <w:rsid w:val="00BF05D2"/>
    <w:rsid w:val="00BF10CC"/>
    <w:rsid w:val="00BF11C1"/>
    <w:rsid w:val="00BF45A8"/>
    <w:rsid w:val="00BF4984"/>
    <w:rsid w:val="00BF4CF3"/>
    <w:rsid w:val="00BF62C0"/>
    <w:rsid w:val="00BF685F"/>
    <w:rsid w:val="00BF6D0F"/>
    <w:rsid w:val="00BF74A0"/>
    <w:rsid w:val="00BF79EC"/>
    <w:rsid w:val="00C00023"/>
    <w:rsid w:val="00C01121"/>
    <w:rsid w:val="00C01BBE"/>
    <w:rsid w:val="00C068F5"/>
    <w:rsid w:val="00C1110D"/>
    <w:rsid w:val="00C121D1"/>
    <w:rsid w:val="00C1274A"/>
    <w:rsid w:val="00C1404D"/>
    <w:rsid w:val="00C1677D"/>
    <w:rsid w:val="00C20558"/>
    <w:rsid w:val="00C206B6"/>
    <w:rsid w:val="00C22238"/>
    <w:rsid w:val="00C237CB"/>
    <w:rsid w:val="00C23CDF"/>
    <w:rsid w:val="00C243F0"/>
    <w:rsid w:val="00C25629"/>
    <w:rsid w:val="00C26C8B"/>
    <w:rsid w:val="00C27AC7"/>
    <w:rsid w:val="00C30EE8"/>
    <w:rsid w:val="00C32160"/>
    <w:rsid w:val="00C33E9C"/>
    <w:rsid w:val="00C3620A"/>
    <w:rsid w:val="00C36A18"/>
    <w:rsid w:val="00C4343C"/>
    <w:rsid w:val="00C44718"/>
    <w:rsid w:val="00C44F28"/>
    <w:rsid w:val="00C460A2"/>
    <w:rsid w:val="00C461D3"/>
    <w:rsid w:val="00C476AF"/>
    <w:rsid w:val="00C5720D"/>
    <w:rsid w:val="00C62DF7"/>
    <w:rsid w:val="00C62EC5"/>
    <w:rsid w:val="00C63B3B"/>
    <w:rsid w:val="00C677A5"/>
    <w:rsid w:val="00C67C0D"/>
    <w:rsid w:val="00C70098"/>
    <w:rsid w:val="00C70677"/>
    <w:rsid w:val="00C72163"/>
    <w:rsid w:val="00C739C0"/>
    <w:rsid w:val="00C7437E"/>
    <w:rsid w:val="00C76ECD"/>
    <w:rsid w:val="00C800FD"/>
    <w:rsid w:val="00C804D8"/>
    <w:rsid w:val="00C82FF3"/>
    <w:rsid w:val="00C858E1"/>
    <w:rsid w:val="00C861C1"/>
    <w:rsid w:val="00C868D7"/>
    <w:rsid w:val="00C869C4"/>
    <w:rsid w:val="00C877EA"/>
    <w:rsid w:val="00C90728"/>
    <w:rsid w:val="00C9097B"/>
    <w:rsid w:val="00C91AD3"/>
    <w:rsid w:val="00C93F51"/>
    <w:rsid w:val="00C95B0D"/>
    <w:rsid w:val="00CA06DA"/>
    <w:rsid w:val="00CA0C32"/>
    <w:rsid w:val="00CA2CF4"/>
    <w:rsid w:val="00CA2F1A"/>
    <w:rsid w:val="00CA301C"/>
    <w:rsid w:val="00CA4F2C"/>
    <w:rsid w:val="00CA5A48"/>
    <w:rsid w:val="00CA5B3F"/>
    <w:rsid w:val="00CA5B4C"/>
    <w:rsid w:val="00CB199B"/>
    <w:rsid w:val="00CB1BAC"/>
    <w:rsid w:val="00CB1CEE"/>
    <w:rsid w:val="00CB4A4B"/>
    <w:rsid w:val="00CB53E9"/>
    <w:rsid w:val="00CB6223"/>
    <w:rsid w:val="00CB7FF8"/>
    <w:rsid w:val="00CC2C28"/>
    <w:rsid w:val="00CC51CC"/>
    <w:rsid w:val="00CC672C"/>
    <w:rsid w:val="00CC7067"/>
    <w:rsid w:val="00CD2356"/>
    <w:rsid w:val="00CD3A6A"/>
    <w:rsid w:val="00CD581B"/>
    <w:rsid w:val="00CD7537"/>
    <w:rsid w:val="00CD7B68"/>
    <w:rsid w:val="00CE0E52"/>
    <w:rsid w:val="00CE150E"/>
    <w:rsid w:val="00CE2E8D"/>
    <w:rsid w:val="00CE5321"/>
    <w:rsid w:val="00CE53F3"/>
    <w:rsid w:val="00CE6296"/>
    <w:rsid w:val="00CE62B2"/>
    <w:rsid w:val="00CF5857"/>
    <w:rsid w:val="00D03FE7"/>
    <w:rsid w:val="00D045B3"/>
    <w:rsid w:val="00D05B1A"/>
    <w:rsid w:val="00D06651"/>
    <w:rsid w:val="00D0762B"/>
    <w:rsid w:val="00D104B1"/>
    <w:rsid w:val="00D10A4D"/>
    <w:rsid w:val="00D1365D"/>
    <w:rsid w:val="00D17E08"/>
    <w:rsid w:val="00D20981"/>
    <w:rsid w:val="00D20CC6"/>
    <w:rsid w:val="00D20FE0"/>
    <w:rsid w:val="00D21589"/>
    <w:rsid w:val="00D22A8D"/>
    <w:rsid w:val="00D236CE"/>
    <w:rsid w:val="00D25162"/>
    <w:rsid w:val="00D251AC"/>
    <w:rsid w:val="00D25DDF"/>
    <w:rsid w:val="00D26714"/>
    <w:rsid w:val="00D30BA5"/>
    <w:rsid w:val="00D33408"/>
    <w:rsid w:val="00D33B7E"/>
    <w:rsid w:val="00D34FCB"/>
    <w:rsid w:val="00D3598F"/>
    <w:rsid w:val="00D35A36"/>
    <w:rsid w:val="00D37B0D"/>
    <w:rsid w:val="00D37BDA"/>
    <w:rsid w:val="00D43FAF"/>
    <w:rsid w:val="00D44832"/>
    <w:rsid w:val="00D4490E"/>
    <w:rsid w:val="00D51E10"/>
    <w:rsid w:val="00D51EDA"/>
    <w:rsid w:val="00D53420"/>
    <w:rsid w:val="00D537FA"/>
    <w:rsid w:val="00D5380A"/>
    <w:rsid w:val="00D627FD"/>
    <w:rsid w:val="00D631EA"/>
    <w:rsid w:val="00D65576"/>
    <w:rsid w:val="00D7215D"/>
    <w:rsid w:val="00D72BBB"/>
    <w:rsid w:val="00D742A3"/>
    <w:rsid w:val="00D74AF1"/>
    <w:rsid w:val="00D803EF"/>
    <w:rsid w:val="00D809B4"/>
    <w:rsid w:val="00D84120"/>
    <w:rsid w:val="00D8442E"/>
    <w:rsid w:val="00D86894"/>
    <w:rsid w:val="00D92A6B"/>
    <w:rsid w:val="00D95A93"/>
    <w:rsid w:val="00D96B84"/>
    <w:rsid w:val="00D9724B"/>
    <w:rsid w:val="00D978D2"/>
    <w:rsid w:val="00D97A6D"/>
    <w:rsid w:val="00D97FF3"/>
    <w:rsid w:val="00DA5EB4"/>
    <w:rsid w:val="00DB0222"/>
    <w:rsid w:val="00DB0716"/>
    <w:rsid w:val="00DB0885"/>
    <w:rsid w:val="00DB1727"/>
    <w:rsid w:val="00DB3A5A"/>
    <w:rsid w:val="00DB4C16"/>
    <w:rsid w:val="00DB7B5A"/>
    <w:rsid w:val="00DC19A9"/>
    <w:rsid w:val="00DC1EAC"/>
    <w:rsid w:val="00DC2899"/>
    <w:rsid w:val="00DC560B"/>
    <w:rsid w:val="00DC5678"/>
    <w:rsid w:val="00DC5E93"/>
    <w:rsid w:val="00DD0761"/>
    <w:rsid w:val="00DD2589"/>
    <w:rsid w:val="00DD354B"/>
    <w:rsid w:val="00DD4463"/>
    <w:rsid w:val="00DD473C"/>
    <w:rsid w:val="00DD6998"/>
    <w:rsid w:val="00DD6C84"/>
    <w:rsid w:val="00DE381D"/>
    <w:rsid w:val="00DE47EA"/>
    <w:rsid w:val="00DE514D"/>
    <w:rsid w:val="00DF3C8C"/>
    <w:rsid w:val="00DF3D1C"/>
    <w:rsid w:val="00DF432E"/>
    <w:rsid w:val="00DF4D17"/>
    <w:rsid w:val="00DF5871"/>
    <w:rsid w:val="00DF66DC"/>
    <w:rsid w:val="00E025D8"/>
    <w:rsid w:val="00E038E6"/>
    <w:rsid w:val="00E05A31"/>
    <w:rsid w:val="00E10638"/>
    <w:rsid w:val="00E106F1"/>
    <w:rsid w:val="00E128E7"/>
    <w:rsid w:val="00E141E8"/>
    <w:rsid w:val="00E14E7F"/>
    <w:rsid w:val="00E15621"/>
    <w:rsid w:val="00E16911"/>
    <w:rsid w:val="00E16962"/>
    <w:rsid w:val="00E17A56"/>
    <w:rsid w:val="00E26FAD"/>
    <w:rsid w:val="00E315EF"/>
    <w:rsid w:val="00E32CA0"/>
    <w:rsid w:val="00E33417"/>
    <w:rsid w:val="00E356A8"/>
    <w:rsid w:val="00E369F2"/>
    <w:rsid w:val="00E37682"/>
    <w:rsid w:val="00E40079"/>
    <w:rsid w:val="00E406AC"/>
    <w:rsid w:val="00E423D8"/>
    <w:rsid w:val="00E43D18"/>
    <w:rsid w:val="00E44F89"/>
    <w:rsid w:val="00E47BBA"/>
    <w:rsid w:val="00E502E7"/>
    <w:rsid w:val="00E50571"/>
    <w:rsid w:val="00E53142"/>
    <w:rsid w:val="00E53FAB"/>
    <w:rsid w:val="00E56842"/>
    <w:rsid w:val="00E56903"/>
    <w:rsid w:val="00E5691F"/>
    <w:rsid w:val="00E62868"/>
    <w:rsid w:val="00E63C14"/>
    <w:rsid w:val="00E63CC8"/>
    <w:rsid w:val="00E65080"/>
    <w:rsid w:val="00E660C3"/>
    <w:rsid w:val="00E66CA6"/>
    <w:rsid w:val="00E66D5F"/>
    <w:rsid w:val="00E812DB"/>
    <w:rsid w:val="00E82DB9"/>
    <w:rsid w:val="00E901BA"/>
    <w:rsid w:val="00E93555"/>
    <w:rsid w:val="00E938DC"/>
    <w:rsid w:val="00E94A7D"/>
    <w:rsid w:val="00E97D08"/>
    <w:rsid w:val="00EA19C6"/>
    <w:rsid w:val="00EA27DA"/>
    <w:rsid w:val="00EA2935"/>
    <w:rsid w:val="00EA2FC7"/>
    <w:rsid w:val="00EB2F1D"/>
    <w:rsid w:val="00EB461C"/>
    <w:rsid w:val="00EB48F7"/>
    <w:rsid w:val="00EB5927"/>
    <w:rsid w:val="00EB6580"/>
    <w:rsid w:val="00EB66D7"/>
    <w:rsid w:val="00EC250E"/>
    <w:rsid w:val="00EC2577"/>
    <w:rsid w:val="00EC582F"/>
    <w:rsid w:val="00ED0778"/>
    <w:rsid w:val="00ED19F3"/>
    <w:rsid w:val="00ED2BC2"/>
    <w:rsid w:val="00ED2F37"/>
    <w:rsid w:val="00ED558A"/>
    <w:rsid w:val="00ED646C"/>
    <w:rsid w:val="00ED66B3"/>
    <w:rsid w:val="00ED6F31"/>
    <w:rsid w:val="00EE31C2"/>
    <w:rsid w:val="00EE3C9E"/>
    <w:rsid w:val="00EE5080"/>
    <w:rsid w:val="00EF1E37"/>
    <w:rsid w:val="00EF4410"/>
    <w:rsid w:val="00EF450B"/>
    <w:rsid w:val="00EF4A54"/>
    <w:rsid w:val="00EF4DCC"/>
    <w:rsid w:val="00EF5BCA"/>
    <w:rsid w:val="00F00CFF"/>
    <w:rsid w:val="00F01D8C"/>
    <w:rsid w:val="00F04998"/>
    <w:rsid w:val="00F05C44"/>
    <w:rsid w:val="00F05D19"/>
    <w:rsid w:val="00F06D8D"/>
    <w:rsid w:val="00F07B89"/>
    <w:rsid w:val="00F1045D"/>
    <w:rsid w:val="00F11B74"/>
    <w:rsid w:val="00F13C47"/>
    <w:rsid w:val="00F1459F"/>
    <w:rsid w:val="00F17A57"/>
    <w:rsid w:val="00F17CF3"/>
    <w:rsid w:val="00F2063F"/>
    <w:rsid w:val="00F235E0"/>
    <w:rsid w:val="00F24E47"/>
    <w:rsid w:val="00F30247"/>
    <w:rsid w:val="00F30705"/>
    <w:rsid w:val="00F3144C"/>
    <w:rsid w:val="00F31F3F"/>
    <w:rsid w:val="00F32864"/>
    <w:rsid w:val="00F34121"/>
    <w:rsid w:val="00F364E2"/>
    <w:rsid w:val="00F40C27"/>
    <w:rsid w:val="00F50273"/>
    <w:rsid w:val="00F50DEA"/>
    <w:rsid w:val="00F50FA5"/>
    <w:rsid w:val="00F53EAF"/>
    <w:rsid w:val="00F54C0A"/>
    <w:rsid w:val="00F55BF7"/>
    <w:rsid w:val="00F60F3F"/>
    <w:rsid w:val="00F62654"/>
    <w:rsid w:val="00F627A8"/>
    <w:rsid w:val="00F62D4F"/>
    <w:rsid w:val="00F63887"/>
    <w:rsid w:val="00F63FA7"/>
    <w:rsid w:val="00F662B1"/>
    <w:rsid w:val="00F66708"/>
    <w:rsid w:val="00F7529B"/>
    <w:rsid w:val="00F8037B"/>
    <w:rsid w:val="00F805C0"/>
    <w:rsid w:val="00F80E08"/>
    <w:rsid w:val="00F82137"/>
    <w:rsid w:val="00F82DC3"/>
    <w:rsid w:val="00F83679"/>
    <w:rsid w:val="00F87700"/>
    <w:rsid w:val="00F87CDA"/>
    <w:rsid w:val="00F93FBC"/>
    <w:rsid w:val="00F957F7"/>
    <w:rsid w:val="00FA3175"/>
    <w:rsid w:val="00FA4622"/>
    <w:rsid w:val="00FA7F4D"/>
    <w:rsid w:val="00FB33DF"/>
    <w:rsid w:val="00FB49BC"/>
    <w:rsid w:val="00FB5FC7"/>
    <w:rsid w:val="00FB72C7"/>
    <w:rsid w:val="00FB754D"/>
    <w:rsid w:val="00FC1367"/>
    <w:rsid w:val="00FC26AB"/>
    <w:rsid w:val="00FC41DA"/>
    <w:rsid w:val="00FC77CD"/>
    <w:rsid w:val="00FC7B0F"/>
    <w:rsid w:val="00FD1359"/>
    <w:rsid w:val="00FD545E"/>
    <w:rsid w:val="00FD7927"/>
    <w:rsid w:val="00FE13D2"/>
    <w:rsid w:val="00FE2195"/>
    <w:rsid w:val="00FE4001"/>
    <w:rsid w:val="00FE4456"/>
    <w:rsid w:val="00FE4DEA"/>
    <w:rsid w:val="00FE692E"/>
    <w:rsid w:val="00FE6D4C"/>
    <w:rsid w:val="00FF0678"/>
    <w:rsid w:val="00FF11A7"/>
    <w:rsid w:val="00FF3D05"/>
    <w:rsid w:val="00FF7EA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BFB2B05F-3EA4-4C0B-B296-C5C938BBE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0735"/>
    <w:rPr>
      <w:rFonts w:ascii="Times New Roman" w:eastAsia="Times New Roman" w:hAnsi="Times New Roman"/>
      <w:sz w:val="24"/>
      <w:szCs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0735"/>
    <w:pPr>
      <w:tabs>
        <w:tab w:val="center" w:pos="4153"/>
        <w:tab w:val="right" w:pos="8306"/>
      </w:tabs>
    </w:pPr>
    <w:rPr>
      <w:rFonts w:eastAsia="Calibri"/>
      <w:szCs w:val="20"/>
      <w:lang w:val="x-none" w:eastAsia="x-none"/>
    </w:rPr>
  </w:style>
  <w:style w:type="character" w:customStyle="1" w:styleId="HeaderChar">
    <w:name w:val="Header Char"/>
    <w:link w:val="Header"/>
    <w:uiPriority w:val="99"/>
    <w:rsid w:val="00730735"/>
    <w:rPr>
      <w:rFonts w:ascii="Times New Roman" w:hAnsi="Times New Roman"/>
      <w:sz w:val="24"/>
    </w:rPr>
  </w:style>
  <w:style w:type="paragraph" w:styleId="Footer">
    <w:name w:val="footer"/>
    <w:basedOn w:val="Normal"/>
    <w:link w:val="FooterChar"/>
    <w:uiPriority w:val="99"/>
    <w:unhideWhenUsed/>
    <w:rsid w:val="00730735"/>
    <w:pPr>
      <w:tabs>
        <w:tab w:val="center" w:pos="4153"/>
        <w:tab w:val="right" w:pos="8306"/>
      </w:tabs>
    </w:pPr>
    <w:rPr>
      <w:rFonts w:eastAsia="Calibri"/>
      <w:szCs w:val="20"/>
      <w:lang w:val="x-none" w:eastAsia="x-none"/>
    </w:rPr>
  </w:style>
  <w:style w:type="character" w:customStyle="1" w:styleId="FooterChar">
    <w:name w:val="Footer Char"/>
    <w:link w:val="Footer"/>
    <w:uiPriority w:val="99"/>
    <w:rsid w:val="00730735"/>
    <w:rPr>
      <w:rFonts w:ascii="Times New Roman" w:hAnsi="Times New Roman"/>
      <w:sz w:val="24"/>
    </w:rPr>
  </w:style>
  <w:style w:type="paragraph" w:styleId="ListParagraph">
    <w:name w:val="List Paragraph"/>
    <w:basedOn w:val="Normal"/>
    <w:uiPriority w:val="34"/>
    <w:qFormat/>
    <w:rsid w:val="00730735"/>
    <w:pPr>
      <w:ind w:left="720"/>
      <w:contextualSpacing/>
    </w:pPr>
  </w:style>
  <w:style w:type="paragraph" w:styleId="BodyText2">
    <w:name w:val="Body Text 2"/>
    <w:basedOn w:val="Normal"/>
    <w:link w:val="BodyText2Char"/>
    <w:rsid w:val="00730735"/>
    <w:pPr>
      <w:jc w:val="right"/>
    </w:pPr>
    <w:rPr>
      <w:rFonts w:ascii="Garamond" w:hAnsi="Garamond"/>
      <w:sz w:val="28"/>
      <w:szCs w:val="28"/>
      <w:lang w:val="x-none" w:eastAsia="x-none"/>
    </w:rPr>
  </w:style>
  <w:style w:type="character" w:customStyle="1" w:styleId="BodyText2Char">
    <w:name w:val="Body Text 2 Char"/>
    <w:link w:val="BodyText2"/>
    <w:rsid w:val="00730735"/>
    <w:rPr>
      <w:rFonts w:ascii="Garamond" w:eastAsia="Times New Roman" w:hAnsi="Garamond" w:cs="Times New Roman"/>
      <w:sz w:val="28"/>
      <w:szCs w:val="28"/>
      <w:lang w:eastAsia="x-none"/>
    </w:rPr>
  </w:style>
  <w:style w:type="paragraph" w:styleId="BalloonText">
    <w:name w:val="Balloon Text"/>
    <w:basedOn w:val="Normal"/>
    <w:link w:val="BalloonTextChar"/>
    <w:uiPriority w:val="99"/>
    <w:semiHidden/>
    <w:unhideWhenUsed/>
    <w:rsid w:val="00730735"/>
    <w:rPr>
      <w:rFonts w:ascii="Tahoma" w:hAnsi="Tahoma"/>
      <w:sz w:val="16"/>
      <w:szCs w:val="16"/>
      <w:lang w:val="x-none" w:eastAsia="x-none"/>
    </w:rPr>
  </w:style>
  <w:style w:type="character" w:customStyle="1" w:styleId="BalloonTextChar">
    <w:name w:val="Balloon Text Char"/>
    <w:link w:val="BalloonText"/>
    <w:uiPriority w:val="99"/>
    <w:semiHidden/>
    <w:rsid w:val="00730735"/>
    <w:rPr>
      <w:rFonts w:ascii="Tahoma" w:eastAsia="Times New Roman" w:hAnsi="Tahoma" w:cs="Tahoma"/>
      <w:sz w:val="16"/>
      <w:szCs w:val="16"/>
    </w:rPr>
  </w:style>
  <w:style w:type="character" w:styleId="Hyperlink">
    <w:name w:val="Hyperlink"/>
    <w:uiPriority w:val="99"/>
    <w:semiHidden/>
    <w:unhideWhenUsed/>
    <w:rsid w:val="00843908"/>
    <w:rPr>
      <w:strike w:val="0"/>
      <w:dstrike w:val="0"/>
      <w:color w:val="40407C"/>
      <w:u w:val="none"/>
      <w:effect w:val="none"/>
    </w:rPr>
  </w:style>
  <w:style w:type="character" w:customStyle="1" w:styleId="naisfChar">
    <w:name w:val="naisf Char"/>
    <w:link w:val="naisf"/>
    <w:locked/>
    <w:rsid w:val="00843908"/>
    <w:rPr>
      <w:sz w:val="24"/>
      <w:szCs w:val="24"/>
      <w:lang w:val="en-US"/>
    </w:rPr>
  </w:style>
  <w:style w:type="paragraph" w:customStyle="1" w:styleId="naisf">
    <w:name w:val="naisf"/>
    <w:basedOn w:val="Normal"/>
    <w:link w:val="naisfChar"/>
    <w:rsid w:val="00843908"/>
    <w:pPr>
      <w:spacing w:before="75" w:after="75"/>
      <w:ind w:firstLine="375"/>
      <w:jc w:val="both"/>
    </w:pPr>
    <w:rPr>
      <w:rFonts w:ascii="Calibri" w:eastAsia="Calibri" w:hAnsi="Calibri"/>
      <w:lang w:val="en-US" w:eastAsia="x-none"/>
    </w:rPr>
  </w:style>
  <w:style w:type="character" w:styleId="PageNumber">
    <w:name w:val="page number"/>
    <w:basedOn w:val="DefaultParagraphFont"/>
    <w:rsid w:val="002B6974"/>
  </w:style>
  <w:style w:type="character" w:customStyle="1" w:styleId="apple-converted-space">
    <w:name w:val="apple-converted-space"/>
    <w:basedOn w:val="DefaultParagraphFont"/>
    <w:rsid w:val="007A0000"/>
  </w:style>
  <w:style w:type="paragraph" w:customStyle="1" w:styleId="Char">
    <w:name w:val=" Char"/>
    <w:basedOn w:val="Normal"/>
    <w:rsid w:val="00A22BDF"/>
    <w:pPr>
      <w:spacing w:after="160" w:line="240" w:lineRule="exact"/>
    </w:pPr>
    <w:rPr>
      <w:rFonts w:ascii="Tahoma" w:hAnsi="Tahoma"/>
      <w:sz w:val="20"/>
      <w:szCs w:val="20"/>
      <w:lang w:val="en-US"/>
    </w:rPr>
  </w:style>
  <w:style w:type="character" w:styleId="CommentReference">
    <w:name w:val="annotation reference"/>
    <w:uiPriority w:val="99"/>
    <w:semiHidden/>
    <w:unhideWhenUsed/>
    <w:rsid w:val="004901CC"/>
    <w:rPr>
      <w:sz w:val="16"/>
      <w:szCs w:val="16"/>
    </w:rPr>
  </w:style>
  <w:style w:type="paragraph" w:styleId="CommentText">
    <w:name w:val="annotation text"/>
    <w:basedOn w:val="Normal"/>
    <w:link w:val="CommentTextChar"/>
    <w:uiPriority w:val="99"/>
    <w:semiHidden/>
    <w:unhideWhenUsed/>
    <w:rsid w:val="004901CC"/>
    <w:rPr>
      <w:sz w:val="20"/>
      <w:szCs w:val="20"/>
    </w:rPr>
  </w:style>
  <w:style w:type="character" w:customStyle="1" w:styleId="CommentTextChar">
    <w:name w:val="Comment Text Char"/>
    <w:link w:val="CommentText"/>
    <w:uiPriority w:val="99"/>
    <w:semiHidden/>
    <w:rsid w:val="004901CC"/>
    <w:rPr>
      <w:rFonts w:ascii="Times New Roman" w:eastAsia="Times New Roman" w:hAnsi="Times New Roman"/>
      <w:lang w:eastAsia="en-US"/>
    </w:rPr>
  </w:style>
  <w:style w:type="paragraph" w:styleId="CommentSubject">
    <w:name w:val="annotation subject"/>
    <w:basedOn w:val="CommentText"/>
    <w:next w:val="CommentText"/>
    <w:link w:val="CommentSubjectChar"/>
    <w:uiPriority w:val="99"/>
    <w:semiHidden/>
    <w:unhideWhenUsed/>
    <w:rsid w:val="004901CC"/>
    <w:rPr>
      <w:b/>
      <w:bCs/>
    </w:rPr>
  </w:style>
  <w:style w:type="character" w:customStyle="1" w:styleId="CommentSubjectChar">
    <w:name w:val="Comment Subject Char"/>
    <w:link w:val="CommentSubject"/>
    <w:uiPriority w:val="99"/>
    <w:semiHidden/>
    <w:rsid w:val="004901CC"/>
    <w:rPr>
      <w:rFonts w:ascii="Times New Roman" w:eastAsia="Times New Roman" w:hAnsi="Times New Roman"/>
      <w:b/>
      <w:bCs/>
      <w:lang w:eastAsia="en-US"/>
    </w:rPr>
  </w:style>
  <w:style w:type="paragraph" w:styleId="BodyTextIndent">
    <w:name w:val="Body Text Indent"/>
    <w:basedOn w:val="Normal"/>
    <w:link w:val="BodyTextIndentChar"/>
    <w:unhideWhenUsed/>
    <w:rsid w:val="00564A94"/>
    <w:pPr>
      <w:spacing w:after="120"/>
      <w:ind w:left="283"/>
    </w:pPr>
  </w:style>
  <w:style w:type="character" w:customStyle="1" w:styleId="BodyTextIndentChar">
    <w:name w:val="Body Text Indent Char"/>
    <w:link w:val="BodyTextIndent"/>
    <w:semiHidden/>
    <w:rsid w:val="00564A94"/>
    <w:rPr>
      <w:rFonts w:ascii="Times New Roman" w:eastAsia="Times New Roman" w:hAnsi="Times New Roman"/>
      <w:sz w:val="24"/>
      <w:szCs w:val="24"/>
      <w:lang w:eastAsia="en-US"/>
    </w:rPr>
  </w:style>
  <w:style w:type="paragraph" w:styleId="BodyText">
    <w:name w:val="Body Text"/>
    <w:basedOn w:val="Normal"/>
    <w:link w:val="BodyTextChar"/>
    <w:uiPriority w:val="99"/>
    <w:semiHidden/>
    <w:unhideWhenUsed/>
    <w:rsid w:val="008128AC"/>
    <w:pPr>
      <w:spacing w:after="120"/>
    </w:pPr>
  </w:style>
  <w:style w:type="character" w:customStyle="1" w:styleId="BodyTextChar">
    <w:name w:val="Body Text Char"/>
    <w:link w:val="BodyText"/>
    <w:uiPriority w:val="99"/>
    <w:semiHidden/>
    <w:rsid w:val="008128AC"/>
    <w:rPr>
      <w:rFonts w:ascii="Times New Roman" w:eastAsia="Times New Roman" w:hAnsi="Times New Roman"/>
      <w:sz w:val="24"/>
      <w:szCs w:val="24"/>
      <w:lang w:eastAsia="en-US"/>
    </w:rPr>
  </w:style>
  <w:style w:type="paragraph" w:styleId="NormalWeb">
    <w:name w:val="Normal (Web)"/>
    <w:basedOn w:val="Normal"/>
    <w:unhideWhenUsed/>
    <w:rsid w:val="008A1173"/>
    <w:pPr>
      <w:spacing w:before="100" w:beforeAutospacing="1" w:after="100" w:afterAutospacing="1"/>
    </w:pPr>
    <w:rPr>
      <w:lang w:eastAsia="lv-LV"/>
    </w:rPr>
  </w:style>
  <w:style w:type="character" w:styleId="Emphasis">
    <w:name w:val="Emphasis"/>
    <w:uiPriority w:val="20"/>
    <w:qFormat/>
    <w:rsid w:val="001627AA"/>
    <w:rPr>
      <w:i/>
      <w:iCs/>
    </w:rPr>
  </w:style>
  <w:style w:type="character" w:styleId="Strong">
    <w:name w:val="Strong"/>
    <w:uiPriority w:val="22"/>
    <w:qFormat/>
    <w:rsid w:val="00D4490E"/>
    <w:rPr>
      <w:b/>
      <w:bCs/>
    </w:rPr>
  </w:style>
  <w:style w:type="character" w:styleId="FootnoteReference">
    <w:name w:val="footnote reference"/>
    <w:uiPriority w:val="99"/>
    <w:semiHidden/>
    <w:unhideWhenUsed/>
    <w:rsid w:val="00C858E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591565">
      <w:bodyDiv w:val="1"/>
      <w:marLeft w:val="0"/>
      <w:marRight w:val="0"/>
      <w:marTop w:val="0"/>
      <w:marBottom w:val="0"/>
      <w:divBdr>
        <w:top w:val="none" w:sz="0" w:space="0" w:color="auto"/>
        <w:left w:val="none" w:sz="0" w:space="0" w:color="auto"/>
        <w:bottom w:val="none" w:sz="0" w:space="0" w:color="auto"/>
        <w:right w:val="none" w:sz="0" w:space="0" w:color="auto"/>
      </w:divBdr>
      <w:divsChild>
        <w:div w:id="750473300">
          <w:marLeft w:val="0"/>
          <w:marRight w:val="0"/>
          <w:marTop w:val="0"/>
          <w:marBottom w:val="0"/>
          <w:divBdr>
            <w:top w:val="none" w:sz="0" w:space="0" w:color="auto"/>
            <w:left w:val="none" w:sz="0" w:space="0" w:color="auto"/>
            <w:bottom w:val="none" w:sz="0" w:space="0" w:color="auto"/>
            <w:right w:val="none" w:sz="0" w:space="0" w:color="auto"/>
          </w:divBdr>
        </w:div>
      </w:divsChild>
    </w:div>
    <w:div w:id="36394601">
      <w:bodyDiv w:val="1"/>
      <w:marLeft w:val="0"/>
      <w:marRight w:val="0"/>
      <w:marTop w:val="0"/>
      <w:marBottom w:val="0"/>
      <w:divBdr>
        <w:top w:val="none" w:sz="0" w:space="0" w:color="auto"/>
        <w:left w:val="none" w:sz="0" w:space="0" w:color="auto"/>
        <w:bottom w:val="none" w:sz="0" w:space="0" w:color="auto"/>
        <w:right w:val="none" w:sz="0" w:space="0" w:color="auto"/>
      </w:divBdr>
      <w:divsChild>
        <w:div w:id="445005301">
          <w:marLeft w:val="0"/>
          <w:marRight w:val="0"/>
          <w:marTop w:val="0"/>
          <w:marBottom w:val="0"/>
          <w:divBdr>
            <w:top w:val="none" w:sz="0" w:space="0" w:color="auto"/>
            <w:left w:val="none" w:sz="0" w:space="0" w:color="auto"/>
            <w:bottom w:val="none" w:sz="0" w:space="0" w:color="auto"/>
            <w:right w:val="none" w:sz="0" w:space="0" w:color="auto"/>
          </w:divBdr>
        </w:div>
      </w:divsChild>
    </w:div>
    <w:div w:id="101338805">
      <w:bodyDiv w:val="1"/>
      <w:marLeft w:val="0"/>
      <w:marRight w:val="0"/>
      <w:marTop w:val="0"/>
      <w:marBottom w:val="0"/>
      <w:divBdr>
        <w:top w:val="none" w:sz="0" w:space="0" w:color="auto"/>
        <w:left w:val="none" w:sz="0" w:space="0" w:color="auto"/>
        <w:bottom w:val="none" w:sz="0" w:space="0" w:color="auto"/>
        <w:right w:val="none" w:sz="0" w:space="0" w:color="auto"/>
      </w:divBdr>
    </w:div>
    <w:div w:id="138351691">
      <w:bodyDiv w:val="1"/>
      <w:marLeft w:val="0"/>
      <w:marRight w:val="0"/>
      <w:marTop w:val="0"/>
      <w:marBottom w:val="0"/>
      <w:divBdr>
        <w:top w:val="none" w:sz="0" w:space="0" w:color="auto"/>
        <w:left w:val="none" w:sz="0" w:space="0" w:color="auto"/>
        <w:bottom w:val="none" w:sz="0" w:space="0" w:color="auto"/>
        <w:right w:val="none" w:sz="0" w:space="0" w:color="auto"/>
      </w:divBdr>
    </w:div>
    <w:div w:id="151139250">
      <w:bodyDiv w:val="1"/>
      <w:marLeft w:val="0"/>
      <w:marRight w:val="0"/>
      <w:marTop w:val="0"/>
      <w:marBottom w:val="0"/>
      <w:divBdr>
        <w:top w:val="none" w:sz="0" w:space="0" w:color="auto"/>
        <w:left w:val="none" w:sz="0" w:space="0" w:color="auto"/>
        <w:bottom w:val="none" w:sz="0" w:space="0" w:color="auto"/>
        <w:right w:val="none" w:sz="0" w:space="0" w:color="auto"/>
      </w:divBdr>
      <w:divsChild>
        <w:div w:id="2024504138">
          <w:marLeft w:val="0"/>
          <w:marRight w:val="0"/>
          <w:marTop w:val="0"/>
          <w:marBottom w:val="0"/>
          <w:divBdr>
            <w:top w:val="none" w:sz="0" w:space="0" w:color="auto"/>
            <w:left w:val="none" w:sz="0" w:space="0" w:color="auto"/>
            <w:bottom w:val="none" w:sz="0" w:space="0" w:color="auto"/>
            <w:right w:val="none" w:sz="0" w:space="0" w:color="auto"/>
          </w:divBdr>
        </w:div>
      </w:divsChild>
    </w:div>
    <w:div w:id="154347558">
      <w:bodyDiv w:val="1"/>
      <w:marLeft w:val="0"/>
      <w:marRight w:val="0"/>
      <w:marTop w:val="0"/>
      <w:marBottom w:val="0"/>
      <w:divBdr>
        <w:top w:val="none" w:sz="0" w:space="0" w:color="auto"/>
        <w:left w:val="none" w:sz="0" w:space="0" w:color="auto"/>
        <w:bottom w:val="none" w:sz="0" w:space="0" w:color="auto"/>
        <w:right w:val="none" w:sz="0" w:space="0" w:color="auto"/>
      </w:divBdr>
    </w:div>
    <w:div w:id="160584898">
      <w:bodyDiv w:val="1"/>
      <w:marLeft w:val="0"/>
      <w:marRight w:val="0"/>
      <w:marTop w:val="0"/>
      <w:marBottom w:val="0"/>
      <w:divBdr>
        <w:top w:val="none" w:sz="0" w:space="0" w:color="auto"/>
        <w:left w:val="none" w:sz="0" w:space="0" w:color="auto"/>
        <w:bottom w:val="none" w:sz="0" w:space="0" w:color="auto"/>
        <w:right w:val="none" w:sz="0" w:space="0" w:color="auto"/>
      </w:divBdr>
    </w:div>
    <w:div w:id="249313499">
      <w:bodyDiv w:val="1"/>
      <w:marLeft w:val="0"/>
      <w:marRight w:val="0"/>
      <w:marTop w:val="0"/>
      <w:marBottom w:val="0"/>
      <w:divBdr>
        <w:top w:val="none" w:sz="0" w:space="0" w:color="auto"/>
        <w:left w:val="none" w:sz="0" w:space="0" w:color="auto"/>
        <w:bottom w:val="none" w:sz="0" w:space="0" w:color="auto"/>
        <w:right w:val="none" w:sz="0" w:space="0" w:color="auto"/>
      </w:divBdr>
    </w:div>
    <w:div w:id="499545090">
      <w:bodyDiv w:val="1"/>
      <w:marLeft w:val="0"/>
      <w:marRight w:val="0"/>
      <w:marTop w:val="0"/>
      <w:marBottom w:val="0"/>
      <w:divBdr>
        <w:top w:val="none" w:sz="0" w:space="0" w:color="auto"/>
        <w:left w:val="none" w:sz="0" w:space="0" w:color="auto"/>
        <w:bottom w:val="none" w:sz="0" w:space="0" w:color="auto"/>
        <w:right w:val="none" w:sz="0" w:space="0" w:color="auto"/>
      </w:divBdr>
    </w:div>
    <w:div w:id="600383780">
      <w:bodyDiv w:val="1"/>
      <w:marLeft w:val="0"/>
      <w:marRight w:val="0"/>
      <w:marTop w:val="0"/>
      <w:marBottom w:val="0"/>
      <w:divBdr>
        <w:top w:val="none" w:sz="0" w:space="0" w:color="auto"/>
        <w:left w:val="none" w:sz="0" w:space="0" w:color="auto"/>
        <w:bottom w:val="none" w:sz="0" w:space="0" w:color="auto"/>
        <w:right w:val="none" w:sz="0" w:space="0" w:color="auto"/>
      </w:divBdr>
      <w:divsChild>
        <w:div w:id="1775590227">
          <w:marLeft w:val="0"/>
          <w:marRight w:val="0"/>
          <w:marTop w:val="0"/>
          <w:marBottom w:val="0"/>
          <w:divBdr>
            <w:top w:val="none" w:sz="0" w:space="0" w:color="auto"/>
            <w:left w:val="none" w:sz="0" w:space="0" w:color="auto"/>
            <w:bottom w:val="none" w:sz="0" w:space="0" w:color="auto"/>
            <w:right w:val="none" w:sz="0" w:space="0" w:color="auto"/>
          </w:divBdr>
          <w:divsChild>
            <w:div w:id="1741831415">
              <w:marLeft w:val="0"/>
              <w:marRight w:val="0"/>
              <w:marTop w:val="0"/>
              <w:marBottom w:val="0"/>
              <w:divBdr>
                <w:top w:val="none" w:sz="0" w:space="0" w:color="auto"/>
                <w:left w:val="none" w:sz="0" w:space="0" w:color="auto"/>
                <w:bottom w:val="none" w:sz="0" w:space="0" w:color="auto"/>
                <w:right w:val="none" w:sz="0" w:space="0" w:color="auto"/>
              </w:divBdr>
              <w:divsChild>
                <w:div w:id="1251550383">
                  <w:marLeft w:val="0"/>
                  <w:marRight w:val="0"/>
                  <w:marTop w:val="0"/>
                  <w:marBottom w:val="0"/>
                  <w:divBdr>
                    <w:top w:val="none" w:sz="0" w:space="0" w:color="auto"/>
                    <w:left w:val="none" w:sz="0" w:space="0" w:color="auto"/>
                    <w:bottom w:val="none" w:sz="0" w:space="0" w:color="auto"/>
                    <w:right w:val="none" w:sz="0" w:space="0" w:color="auto"/>
                  </w:divBdr>
                  <w:divsChild>
                    <w:div w:id="139272293">
                      <w:marLeft w:val="0"/>
                      <w:marRight w:val="0"/>
                      <w:marTop w:val="0"/>
                      <w:marBottom w:val="0"/>
                      <w:divBdr>
                        <w:top w:val="none" w:sz="0" w:space="0" w:color="auto"/>
                        <w:left w:val="none" w:sz="0" w:space="0" w:color="auto"/>
                        <w:bottom w:val="none" w:sz="0" w:space="0" w:color="auto"/>
                        <w:right w:val="none" w:sz="0" w:space="0" w:color="auto"/>
                      </w:divBdr>
                      <w:divsChild>
                        <w:div w:id="1728450127">
                          <w:marLeft w:val="0"/>
                          <w:marRight w:val="0"/>
                          <w:marTop w:val="0"/>
                          <w:marBottom w:val="0"/>
                          <w:divBdr>
                            <w:top w:val="none" w:sz="0" w:space="0" w:color="auto"/>
                            <w:left w:val="none" w:sz="0" w:space="0" w:color="auto"/>
                            <w:bottom w:val="none" w:sz="0" w:space="0" w:color="auto"/>
                            <w:right w:val="none" w:sz="0" w:space="0" w:color="auto"/>
                          </w:divBdr>
                          <w:divsChild>
                            <w:div w:id="1166557291">
                              <w:marLeft w:val="0"/>
                              <w:marRight w:val="0"/>
                              <w:marTop w:val="0"/>
                              <w:marBottom w:val="567"/>
                              <w:divBdr>
                                <w:top w:val="none" w:sz="0" w:space="0" w:color="auto"/>
                                <w:left w:val="none" w:sz="0" w:space="0" w:color="auto"/>
                                <w:bottom w:val="none" w:sz="0" w:space="0" w:color="auto"/>
                                <w:right w:val="none" w:sz="0" w:space="0" w:color="auto"/>
                              </w:divBdr>
                            </w:div>
                            <w:div w:id="1476140509">
                              <w:marLeft w:val="0"/>
                              <w:marRight w:val="0"/>
                              <w:marTop w:val="48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6427299">
      <w:bodyDiv w:val="1"/>
      <w:marLeft w:val="0"/>
      <w:marRight w:val="0"/>
      <w:marTop w:val="0"/>
      <w:marBottom w:val="0"/>
      <w:divBdr>
        <w:top w:val="none" w:sz="0" w:space="0" w:color="auto"/>
        <w:left w:val="none" w:sz="0" w:space="0" w:color="auto"/>
        <w:bottom w:val="none" w:sz="0" w:space="0" w:color="auto"/>
        <w:right w:val="none" w:sz="0" w:space="0" w:color="auto"/>
      </w:divBdr>
      <w:divsChild>
        <w:div w:id="611061570">
          <w:marLeft w:val="0"/>
          <w:marRight w:val="0"/>
          <w:marTop w:val="0"/>
          <w:marBottom w:val="0"/>
          <w:divBdr>
            <w:top w:val="none" w:sz="0" w:space="0" w:color="auto"/>
            <w:left w:val="none" w:sz="0" w:space="0" w:color="auto"/>
            <w:bottom w:val="none" w:sz="0" w:space="0" w:color="auto"/>
            <w:right w:val="none" w:sz="0" w:space="0" w:color="auto"/>
          </w:divBdr>
        </w:div>
      </w:divsChild>
    </w:div>
    <w:div w:id="615799104">
      <w:bodyDiv w:val="1"/>
      <w:marLeft w:val="0"/>
      <w:marRight w:val="0"/>
      <w:marTop w:val="0"/>
      <w:marBottom w:val="0"/>
      <w:divBdr>
        <w:top w:val="none" w:sz="0" w:space="0" w:color="auto"/>
        <w:left w:val="none" w:sz="0" w:space="0" w:color="auto"/>
        <w:bottom w:val="none" w:sz="0" w:space="0" w:color="auto"/>
        <w:right w:val="none" w:sz="0" w:space="0" w:color="auto"/>
      </w:divBdr>
      <w:divsChild>
        <w:div w:id="165829789">
          <w:marLeft w:val="0"/>
          <w:marRight w:val="0"/>
          <w:marTop w:val="0"/>
          <w:marBottom w:val="0"/>
          <w:divBdr>
            <w:top w:val="none" w:sz="0" w:space="0" w:color="auto"/>
            <w:left w:val="none" w:sz="0" w:space="0" w:color="auto"/>
            <w:bottom w:val="none" w:sz="0" w:space="0" w:color="auto"/>
            <w:right w:val="none" w:sz="0" w:space="0" w:color="auto"/>
          </w:divBdr>
        </w:div>
      </w:divsChild>
    </w:div>
    <w:div w:id="641813035">
      <w:bodyDiv w:val="1"/>
      <w:marLeft w:val="0"/>
      <w:marRight w:val="0"/>
      <w:marTop w:val="0"/>
      <w:marBottom w:val="0"/>
      <w:divBdr>
        <w:top w:val="none" w:sz="0" w:space="0" w:color="auto"/>
        <w:left w:val="none" w:sz="0" w:space="0" w:color="auto"/>
        <w:bottom w:val="none" w:sz="0" w:space="0" w:color="auto"/>
        <w:right w:val="none" w:sz="0" w:space="0" w:color="auto"/>
      </w:divBdr>
      <w:divsChild>
        <w:div w:id="110326639">
          <w:marLeft w:val="0"/>
          <w:marRight w:val="0"/>
          <w:marTop w:val="0"/>
          <w:marBottom w:val="0"/>
          <w:divBdr>
            <w:top w:val="none" w:sz="0" w:space="0" w:color="auto"/>
            <w:left w:val="none" w:sz="0" w:space="0" w:color="auto"/>
            <w:bottom w:val="none" w:sz="0" w:space="0" w:color="auto"/>
            <w:right w:val="none" w:sz="0" w:space="0" w:color="auto"/>
          </w:divBdr>
          <w:divsChild>
            <w:div w:id="1975789834">
              <w:marLeft w:val="0"/>
              <w:marRight w:val="0"/>
              <w:marTop w:val="0"/>
              <w:marBottom w:val="0"/>
              <w:divBdr>
                <w:top w:val="none" w:sz="0" w:space="0" w:color="auto"/>
                <w:left w:val="none" w:sz="0" w:space="0" w:color="auto"/>
                <w:bottom w:val="none" w:sz="0" w:space="0" w:color="auto"/>
                <w:right w:val="none" w:sz="0" w:space="0" w:color="auto"/>
              </w:divBdr>
              <w:divsChild>
                <w:div w:id="165486367">
                  <w:marLeft w:val="0"/>
                  <w:marRight w:val="0"/>
                  <w:marTop w:val="0"/>
                  <w:marBottom w:val="0"/>
                  <w:divBdr>
                    <w:top w:val="none" w:sz="0" w:space="0" w:color="auto"/>
                    <w:left w:val="none" w:sz="0" w:space="0" w:color="auto"/>
                    <w:bottom w:val="none" w:sz="0" w:space="0" w:color="auto"/>
                    <w:right w:val="none" w:sz="0" w:space="0" w:color="auto"/>
                  </w:divBdr>
                  <w:divsChild>
                    <w:div w:id="364643865">
                      <w:marLeft w:val="0"/>
                      <w:marRight w:val="0"/>
                      <w:marTop w:val="0"/>
                      <w:marBottom w:val="0"/>
                      <w:divBdr>
                        <w:top w:val="none" w:sz="0" w:space="0" w:color="auto"/>
                        <w:left w:val="none" w:sz="0" w:space="0" w:color="auto"/>
                        <w:bottom w:val="none" w:sz="0" w:space="0" w:color="auto"/>
                        <w:right w:val="none" w:sz="0" w:space="0" w:color="auto"/>
                      </w:divBdr>
                      <w:divsChild>
                        <w:div w:id="1195460670">
                          <w:marLeft w:val="0"/>
                          <w:marRight w:val="0"/>
                          <w:marTop w:val="0"/>
                          <w:marBottom w:val="0"/>
                          <w:divBdr>
                            <w:top w:val="none" w:sz="0" w:space="0" w:color="auto"/>
                            <w:left w:val="none" w:sz="0" w:space="0" w:color="auto"/>
                            <w:bottom w:val="none" w:sz="0" w:space="0" w:color="auto"/>
                            <w:right w:val="none" w:sz="0" w:space="0" w:color="auto"/>
                          </w:divBdr>
                          <w:divsChild>
                            <w:div w:id="143420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5265973">
      <w:bodyDiv w:val="1"/>
      <w:marLeft w:val="0"/>
      <w:marRight w:val="0"/>
      <w:marTop w:val="0"/>
      <w:marBottom w:val="0"/>
      <w:divBdr>
        <w:top w:val="none" w:sz="0" w:space="0" w:color="auto"/>
        <w:left w:val="none" w:sz="0" w:space="0" w:color="auto"/>
        <w:bottom w:val="none" w:sz="0" w:space="0" w:color="auto"/>
        <w:right w:val="none" w:sz="0" w:space="0" w:color="auto"/>
      </w:divBdr>
    </w:div>
    <w:div w:id="1275750127">
      <w:bodyDiv w:val="1"/>
      <w:marLeft w:val="0"/>
      <w:marRight w:val="0"/>
      <w:marTop w:val="0"/>
      <w:marBottom w:val="0"/>
      <w:divBdr>
        <w:top w:val="none" w:sz="0" w:space="0" w:color="auto"/>
        <w:left w:val="none" w:sz="0" w:space="0" w:color="auto"/>
        <w:bottom w:val="none" w:sz="0" w:space="0" w:color="auto"/>
        <w:right w:val="none" w:sz="0" w:space="0" w:color="auto"/>
      </w:divBdr>
      <w:divsChild>
        <w:div w:id="1780878632">
          <w:marLeft w:val="0"/>
          <w:marRight w:val="0"/>
          <w:marTop w:val="0"/>
          <w:marBottom w:val="0"/>
          <w:divBdr>
            <w:top w:val="none" w:sz="0" w:space="0" w:color="auto"/>
            <w:left w:val="none" w:sz="0" w:space="0" w:color="auto"/>
            <w:bottom w:val="none" w:sz="0" w:space="0" w:color="auto"/>
            <w:right w:val="none" w:sz="0" w:space="0" w:color="auto"/>
          </w:divBdr>
          <w:divsChild>
            <w:div w:id="765006378">
              <w:marLeft w:val="0"/>
              <w:marRight w:val="0"/>
              <w:marTop w:val="0"/>
              <w:marBottom w:val="0"/>
              <w:divBdr>
                <w:top w:val="none" w:sz="0" w:space="0" w:color="auto"/>
                <w:left w:val="none" w:sz="0" w:space="0" w:color="auto"/>
                <w:bottom w:val="none" w:sz="0" w:space="0" w:color="auto"/>
                <w:right w:val="none" w:sz="0" w:space="0" w:color="auto"/>
              </w:divBdr>
              <w:divsChild>
                <w:div w:id="1576434187">
                  <w:marLeft w:val="0"/>
                  <w:marRight w:val="0"/>
                  <w:marTop w:val="0"/>
                  <w:marBottom w:val="0"/>
                  <w:divBdr>
                    <w:top w:val="none" w:sz="0" w:space="0" w:color="auto"/>
                    <w:left w:val="none" w:sz="0" w:space="0" w:color="auto"/>
                    <w:bottom w:val="none" w:sz="0" w:space="0" w:color="auto"/>
                    <w:right w:val="none" w:sz="0" w:space="0" w:color="auto"/>
                  </w:divBdr>
                  <w:divsChild>
                    <w:div w:id="1571036818">
                      <w:marLeft w:val="0"/>
                      <w:marRight w:val="0"/>
                      <w:marTop w:val="0"/>
                      <w:marBottom w:val="0"/>
                      <w:divBdr>
                        <w:top w:val="none" w:sz="0" w:space="0" w:color="auto"/>
                        <w:left w:val="none" w:sz="0" w:space="0" w:color="auto"/>
                        <w:bottom w:val="none" w:sz="0" w:space="0" w:color="auto"/>
                        <w:right w:val="none" w:sz="0" w:space="0" w:color="auto"/>
                      </w:divBdr>
                      <w:divsChild>
                        <w:div w:id="787237328">
                          <w:marLeft w:val="0"/>
                          <w:marRight w:val="0"/>
                          <w:marTop w:val="0"/>
                          <w:marBottom w:val="0"/>
                          <w:divBdr>
                            <w:top w:val="none" w:sz="0" w:space="0" w:color="auto"/>
                            <w:left w:val="none" w:sz="0" w:space="0" w:color="auto"/>
                            <w:bottom w:val="none" w:sz="0" w:space="0" w:color="auto"/>
                            <w:right w:val="none" w:sz="0" w:space="0" w:color="auto"/>
                          </w:divBdr>
                          <w:divsChild>
                            <w:div w:id="1316958683">
                              <w:marLeft w:val="0"/>
                              <w:marRight w:val="0"/>
                              <w:marTop w:val="0"/>
                              <w:marBottom w:val="567"/>
                              <w:divBdr>
                                <w:top w:val="none" w:sz="0" w:space="0" w:color="auto"/>
                                <w:left w:val="none" w:sz="0" w:space="0" w:color="auto"/>
                                <w:bottom w:val="none" w:sz="0" w:space="0" w:color="auto"/>
                                <w:right w:val="none" w:sz="0" w:space="0" w:color="auto"/>
                              </w:divBdr>
                            </w:div>
                            <w:div w:id="1470780050">
                              <w:marLeft w:val="0"/>
                              <w:marRight w:val="0"/>
                              <w:marTop w:val="48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9038136">
      <w:bodyDiv w:val="1"/>
      <w:marLeft w:val="0"/>
      <w:marRight w:val="0"/>
      <w:marTop w:val="0"/>
      <w:marBottom w:val="0"/>
      <w:divBdr>
        <w:top w:val="none" w:sz="0" w:space="0" w:color="auto"/>
        <w:left w:val="none" w:sz="0" w:space="0" w:color="auto"/>
        <w:bottom w:val="none" w:sz="0" w:space="0" w:color="auto"/>
        <w:right w:val="none" w:sz="0" w:space="0" w:color="auto"/>
      </w:divBdr>
    </w:div>
    <w:div w:id="1371999216">
      <w:bodyDiv w:val="1"/>
      <w:marLeft w:val="0"/>
      <w:marRight w:val="0"/>
      <w:marTop w:val="0"/>
      <w:marBottom w:val="0"/>
      <w:divBdr>
        <w:top w:val="none" w:sz="0" w:space="0" w:color="auto"/>
        <w:left w:val="none" w:sz="0" w:space="0" w:color="auto"/>
        <w:bottom w:val="none" w:sz="0" w:space="0" w:color="auto"/>
        <w:right w:val="none" w:sz="0" w:space="0" w:color="auto"/>
      </w:divBdr>
    </w:div>
    <w:div w:id="1417897096">
      <w:bodyDiv w:val="1"/>
      <w:marLeft w:val="0"/>
      <w:marRight w:val="0"/>
      <w:marTop w:val="0"/>
      <w:marBottom w:val="0"/>
      <w:divBdr>
        <w:top w:val="none" w:sz="0" w:space="0" w:color="auto"/>
        <w:left w:val="none" w:sz="0" w:space="0" w:color="auto"/>
        <w:bottom w:val="none" w:sz="0" w:space="0" w:color="auto"/>
        <w:right w:val="none" w:sz="0" w:space="0" w:color="auto"/>
      </w:divBdr>
    </w:div>
    <w:div w:id="1434980862">
      <w:bodyDiv w:val="1"/>
      <w:marLeft w:val="0"/>
      <w:marRight w:val="0"/>
      <w:marTop w:val="0"/>
      <w:marBottom w:val="0"/>
      <w:divBdr>
        <w:top w:val="none" w:sz="0" w:space="0" w:color="auto"/>
        <w:left w:val="none" w:sz="0" w:space="0" w:color="auto"/>
        <w:bottom w:val="none" w:sz="0" w:space="0" w:color="auto"/>
        <w:right w:val="none" w:sz="0" w:space="0" w:color="auto"/>
      </w:divBdr>
    </w:div>
    <w:div w:id="1534876492">
      <w:bodyDiv w:val="1"/>
      <w:marLeft w:val="0"/>
      <w:marRight w:val="0"/>
      <w:marTop w:val="0"/>
      <w:marBottom w:val="0"/>
      <w:divBdr>
        <w:top w:val="none" w:sz="0" w:space="0" w:color="auto"/>
        <w:left w:val="none" w:sz="0" w:space="0" w:color="auto"/>
        <w:bottom w:val="none" w:sz="0" w:space="0" w:color="auto"/>
        <w:right w:val="none" w:sz="0" w:space="0" w:color="auto"/>
      </w:divBdr>
    </w:div>
    <w:div w:id="1542473619">
      <w:bodyDiv w:val="1"/>
      <w:marLeft w:val="0"/>
      <w:marRight w:val="0"/>
      <w:marTop w:val="0"/>
      <w:marBottom w:val="0"/>
      <w:divBdr>
        <w:top w:val="none" w:sz="0" w:space="0" w:color="auto"/>
        <w:left w:val="none" w:sz="0" w:space="0" w:color="auto"/>
        <w:bottom w:val="none" w:sz="0" w:space="0" w:color="auto"/>
        <w:right w:val="none" w:sz="0" w:space="0" w:color="auto"/>
      </w:divBdr>
    </w:div>
    <w:div w:id="1558323076">
      <w:bodyDiv w:val="1"/>
      <w:marLeft w:val="0"/>
      <w:marRight w:val="0"/>
      <w:marTop w:val="0"/>
      <w:marBottom w:val="0"/>
      <w:divBdr>
        <w:top w:val="none" w:sz="0" w:space="0" w:color="auto"/>
        <w:left w:val="none" w:sz="0" w:space="0" w:color="auto"/>
        <w:bottom w:val="none" w:sz="0" w:space="0" w:color="auto"/>
        <w:right w:val="none" w:sz="0" w:space="0" w:color="auto"/>
      </w:divBdr>
    </w:div>
    <w:div w:id="1620988530">
      <w:bodyDiv w:val="1"/>
      <w:marLeft w:val="0"/>
      <w:marRight w:val="0"/>
      <w:marTop w:val="0"/>
      <w:marBottom w:val="0"/>
      <w:divBdr>
        <w:top w:val="none" w:sz="0" w:space="0" w:color="auto"/>
        <w:left w:val="none" w:sz="0" w:space="0" w:color="auto"/>
        <w:bottom w:val="none" w:sz="0" w:space="0" w:color="auto"/>
        <w:right w:val="none" w:sz="0" w:space="0" w:color="auto"/>
      </w:divBdr>
      <w:divsChild>
        <w:div w:id="1899582694">
          <w:marLeft w:val="0"/>
          <w:marRight w:val="0"/>
          <w:marTop w:val="0"/>
          <w:marBottom w:val="0"/>
          <w:divBdr>
            <w:top w:val="none" w:sz="0" w:space="0" w:color="auto"/>
            <w:left w:val="none" w:sz="0" w:space="0" w:color="auto"/>
            <w:bottom w:val="none" w:sz="0" w:space="0" w:color="auto"/>
            <w:right w:val="none" w:sz="0" w:space="0" w:color="auto"/>
          </w:divBdr>
        </w:div>
      </w:divsChild>
    </w:div>
    <w:div w:id="1646230634">
      <w:bodyDiv w:val="1"/>
      <w:marLeft w:val="0"/>
      <w:marRight w:val="0"/>
      <w:marTop w:val="0"/>
      <w:marBottom w:val="0"/>
      <w:divBdr>
        <w:top w:val="none" w:sz="0" w:space="0" w:color="auto"/>
        <w:left w:val="none" w:sz="0" w:space="0" w:color="auto"/>
        <w:bottom w:val="none" w:sz="0" w:space="0" w:color="auto"/>
        <w:right w:val="none" w:sz="0" w:space="0" w:color="auto"/>
      </w:divBdr>
    </w:div>
    <w:div w:id="1808350528">
      <w:bodyDiv w:val="1"/>
      <w:marLeft w:val="0"/>
      <w:marRight w:val="0"/>
      <w:marTop w:val="0"/>
      <w:marBottom w:val="0"/>
      <w:divBdr>
        <w:top w:val="none" w:sz="0" w:space="0" w:color="auto"/>
        <w:left w:val="none" w:sz="0" w:space="0" w:color="auto"/>
        <w:bottom w:val="none" w:sz="0" w:space="0" w:color="auto"/>
        <w:right w:val="none" w:sz="0" w:space="0" w:color="auto"/>
      </w:divBdr>
      <w:divsChild>
        <w:div w:id="289674157">
          <w:marLeft w:val="0"/>
          <w:marRight w:val="0"/>
          <w:marTop w:val="0"/>
          <w:marBottom w:val="0"/>
          <w:divBdr>
            <w:top w:val="none" w:sz="0" w:space="0" w:color="auto"/>
            <w:left w:val="none" w:sz="0" w:space="0" w:color="auto"/>
            <w:bottom w:val="none" w:sz="0" w:space="0" w:color="auto"/>
            <w:right w:val="none" w:sz="0" w:space="0" w:color="auto"/>
          </w:divBdr>
          <w:divsChild>
            <w:div w:id="206335534">
              <w:marLeft w:val="0"/>
              <w:marRight w:val="0"/>
              <w:marTop w:val="0"/>
              <w:marBottom w:val="0"/>
              <w:divBdr>
                <w:top w:val="none" w:sz="0" w:space="0" w:color="auto"/>
                <w:left w:val="none" w:sz="0" w:space="0" w:color="auto"/>
                <w:bottom w:val="none" w:sz="0" w:space="0" w:color="auto"/>
                <w:right w:val="none" w:sz="0" w:space="0" w:color="auto"/>
              </w:divBdr>
              <w:divsChild>
                <w:div w:id="2118518391">
                  <w:marLeft w:val="0"/>
                  <w:marRight w:val="0"/>
                  <w:marTop w:val="0"/>
                  <w:marBottom w:val="0"/>
                  <w:divBdr>
                    <w:top w:val="none" w:sz="0" w:space="0" w:color="auto"/>
                    <w:left w:val="none" w:sz="0" w:space="0" w:color="auto"/>
                    <w:bottom w:val="none" w:sz="0" w:space="0" w:color="auto"/>
                    <w:right w:val="none" w:sz="0" w:space="0" w:color="auto"/>
                  </w:divBdr>
                  <w:divsChild>
                    <w:div w:id="849372167">
                      <w:marLeft w:val="0"/>
                      <w:marRight w:val="0"/>
                      <w:marTop w:val="0"/>
                      <w:marBottom w:val="0"/>
                      <w:divBdr>
                        <w:top w:val="none" w:sz="0" w:space="0" w:color="auto"/>
                        <w:left w:val="none" w:sz="0" w:space="0" w:color="auto"/>
                        <w:bottom w:val="none" w:sz="0" w:space="0" w:color="auto"/>
                        <w:right w:val="none" w:sz="0" w:space="0" w:color="auto"/>
                      </w:divBdr>
                      <w:divsChild>
                        <w:div w:id="1749615300">
                          <w:marLeft w:val="0"/>
                          <w:marRight w:val="0"/>
                          <w:marTop w:val="0"/>
                          <w:marBottom w:val="0"/>
                          <w:divBdr>
                            <w:top w:val="none" w:sz="0" w:space="0" w:color="auto"/>
                            <w:left w:val="none" w:sz="0" w:space="0" w:color="auto"/>
                            <w:bottom w:val="none" w:sz="0" w:space="0" w:color="auto"/>
                            <w:right w:val="none" w:sz="0" w:space="0" w:color="auto"/>
                          </w:divBdr>
                          <w:divsChild>
                            <w:div w:id="639111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7263817">
      <w:bodyDiv w:val="1"/>
      <w:marLeft w:val="0"/>
      <w:marRight w:val="0"/>
      <w:marTop w:val="0"/>
      <w:marBottom w:val="0"/>
      <w:divBdr>
        <w:top w:val="none" w:sz="0" w:space="0" w:color="auto"/>
        <w:left w:val="none" w:sz="0" w:space="0" w:color="auto"/>
        <w:bottom w:val="none" w:sz="0" w:space="0" w:color="auto"/>
        <w:right w:val="none" w:sz="0" w:space="0" w:color="auto"/>
      </w:divBdr>
    </w:div>
    <w:div w:id="1838376493">
      <w:bodyDiv w:val="1"/>
      <w:marLeft w:val="0"/>
      <w:marRight w:val="0"/>
      <w:marTop w:val="0"/>
      <w:marBottom w:val="0"/>
      <w:divBdr>
        <w:top w:val="none" w:sz="0" w:space="0" w:color="auto"/>
        <w:left w:val="none" w:sz="0" w:space="0" w:color="auto"/>
        <w:bottom w:val="none" w:sz="0" w:space="0" w:color="auto"/>
        <w:right w:val="none" w:sz="0" w:space="0" w:color="auto"/>
      </w:divBdr>
      <w:divsChild>
        <w:div w:id="2094352068">
          <w:marLeft w:val="0"/>
          <w:marRight w:val="0"/>
          <w:marTop w:val="0"/>
          <w:marBottom w:val="0"/>
          <w:divBdr>
            <w:top w:val="none" w:sz="0" w:space="0" w:color="auto"/>
            <w:left w:val="none" w:sz="0" w:space="0" w:color="auto"/>
            <w:bottom w:val="none" w:sz="0" w:space="0" w:color="auto"/>
            <w:right w:val="none" w:sz="0" w:space="0" w:color="auto"/>
          </w:divBdr>
          <w:divsChild>
            <w:div w:id="2095855393">
              <w:marLeft w:val="0"/>
              <w:marRight w:val="0"/>
              <w:marTop w:val="0"/>
              <w:marBottom w:val="0"/>
              <w:divBdr>
                <w:top w:val="none" w:sz="0" w:space="0" w:color="auto"/>
                <w:left w:val="none" w:sz="0" w:space="0" w:color="auto"/>
                <w:bottom w:val="none" w:sz="0" w:space="0" w:color="auto"/>
                <w:right w:val="none" w:sz="0" w:space="0" w:color="auto"/>
              </w:divBdr>
              <w:divsChild>
                <w:div w:id="1776947261">
                  <w:marLeft w:val="0"/>
                  <w:marRight w:val="0"/>
                  <w:marTop w:val="0"/>
                  <w:marBottom w:val="0"/>
                  <w:divBdr>
                    <w:top w:val="none" w:sz="0" w:space="0" w:color="auto"/>
                    <w:left w:val="none" w:sz="0" w:space="0" w:color="auto"/>
                    <w:bottom w:val="none" w:sz="0" w:space="0" w:color="auto"/>
                    <w:right w:val="none" w:sz="0" w:space="0" w:color="auto"/>
                  </w:divBdr>
                  <w:divsChild>
                    <w:div w:id="2075808827">
                      <w:marLeft w:val="0"/>
                      <w:marRight w:val="0"/>
                      <w:marTop w:val="0"/>
                      <w:marBottom w:val="0"/>
                      <w:divBdr>
                        <w:top w:val="none" w:sz="0" w:space="0" w:color="auto"/>
                        <w:left w:val="none" w:sz="0" w:space="0" w:color="auto"/>
                        <w:bottom w:val="none" w:sz="0" w:space="0" w:color="auto"/>
                        <w:right w:val="none" w:sz="0" w:space="0" w:color="auto"/>
                      </w:divBdr>
                      <w:divsChild>
                        <w:div w:id="813453281">
                          <w:marLeft w:val="0"/>
                          <w:marRight w:val="0"/>
                          <w:marTop w:val="0"/>
                          <w:marBottom w:val="0"/>
                          <w:divBdr>
                            <w:top w:val="none" w:sz="0" w:space="0" w:color="auto"/>
                            <w:left w:val="none" w:sz="0" w:space="0" w:color="auto"/>
                            <w:bottom w:val="none" w:sz="0" w:space="0" w:color="auto"/>
                            <w:right w:val="none" w:sz="0" w:space="0" w:color="auto"/>
                          </w:divBdr>
                          <w:divsChild>
                            <w:div w:id="769589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5700580">
      <w:bodyDiv w:val="1"/>
      <w:marLeft w:val="0"/>
      <w:marRight w:val="0"/>
      <w:marTop w:val="0"/>
      <w:marBottom w:val="0"/>
      <w:divBdr>
        <w:top w:val="none" w:sz="0" w:space="0" w:color="auto"/>
        <w:left w:val="none" w:sz="0" w:space="0" w:color="auto"/>
        <w:bottom w:val="none" w:sz="0" w:space="0" w:color="auto"/>
        <w:right w:val="none" w:sz="0" w:space="0" w:color="auto"/>
      </w:divBdr>
    </w:div>
    <w:div w:id="1996716941">
      <w:bodyDiv w:val="1"/>
      <w:marLeft w:val="0"/>
      <w:marRight w:val="0"/>
      <w:marTop w:val="0"/>
      <w:marBottom w:val="0"/>
      <w:divBdr>
        <w:top w:val="none" w:sz="0" w:space="0" w:color="auto"/>
        <w:left w:val="none" w:sz="0" w:space="0" w:color="auto"/>
        <w:bottom w:val="none" w:sz="0" w:space="0" w:color="auto"/>
        <w:right w:val="none" w:sz="0" w:space="0" w:color="auto"/>
      </w:divBdr>
      <w:divsChild>
        <w:div w:id="997734614">
          <w:marLeft w:val="0"/>
          <w:marRight w:val="0"/>
          <w:marTop w:val="0"/>
          <w:marBottom w:val="0"/>
          <w:divBdr>
            <w:top w:val="none" w:sz="0" w:space="0" w:color="auto"/>
            <w:left w:val="none" w:sz="0" w:space="0" w:color="auto"/>
            <w:bottom w:val="none" w:sz="0" w:space="0" w:color="auto"/>
            <w:right w:val="none" w:sz="0" w:space="0" w:color="auto"/>
          </w:divBdr>
          <w:divsChild>
            <w:div w:id="1668242310">
              <w:marLeft w:val="0"/>
              <w:marRight w:val="0"/>
              <w:marTop w:val="0"/>
              <w:marBottom w:val="0"/>
              <w:divBdr>
                <w:top w:val="none" w:sz="0" w:space="0" w:color="auto"/>
                <w:left w:val="none" w:sz="0" w:space="0" w:color="auto"/>
                <w:bottom w:val="none" w:sz="0" w:space="0" w:color="auto"/>
                <w:right w:val="none" w:sz="0" w:space="0" w:color="auto"/>
              </w:divBdr>
              <w:divsChild>
                <w:div w:id="525561689">
                  <w:marLeft w:val="0"/>
                  <w:marRight w:val="0"/>
                  <w:marTop w:val="0"/>
                  <w:marBottom w:val="0"/>
                  <w:divBdr>
                    <w:top w:val="none" w:sz="0" w:space="0" w:color="auto"/>
                    <w:left w:val="none" w:sz="0" w:space="0" w:color="auto"/>
                    <w:bottom w:val="none" w:sz="0" w:space="0" w:color="auto"/>
                    <w:right w:val="none" w:sz="0" w:space="0" w:color="auto"/>
                  </w:divBdr>
                  <w:divsChild>
                    <w:div w:id="230888136">
                      <w:marLeft w:val="0"/>
                      <w:marRight w:val="0"/>
                      <w:marTop w:val="0"/>
                      <w:marBottom w:val="0"/>
                      <w:divBdr>
                        <w:top w:val="none" w:sz="0" w:space="0" w:color="auto"/>
                        <w:left w:val="none" w:sz="0" w:space="0" w:color="auto"/>
                        <w:bottom w:val="none" w:sz="0" w:space="0" w:color="auto"/>
                        <w:right w:val="none" w:sz="0" w:space="0" w:color="auto"/>
                      </w:divBdr>
                      <w:divsChild>
                        <w:div w:id="1075006733">
                          <w:marLeft w:val="0"/>
                          <w:marRight w:val="0"/>
                          <w:marTop w:val="0"/>
                          <w:marBottom w:val="0"/>
                          <w:divBdr>
                            <w:top w:val="none" w:sz="0" w:space="0" w:color="auto"/>
                            <w:left w:val="none" w:sz="0" w:space="0" w:color="auto"/>
                            <w:bottom w:val="none" w:sz="0" w:space="0" w:color="auto"/>
                            <w:right w:val="none" w:sz="0" w:space="0" w:color="auto"/>
                          </w:divBdr>
                          <w:divsChild>
                            <w:div w:id="70390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1007509">
      <w:bodyDiv w:val="1"/>
      <w:marLeft w:val="0"/>
      <w:marRight w:val="0"/>
      <w:marTop w:val="0"/>
      <w:marBottom w:val="0"/>
      <w:divBdr>
        <w:top w:val="none" w:sz="0" w:space="0" w:color="auto"/>
        <w:left w:val="none" w:sz="0" w:space="0" w:color="auto"/>
        <w:bottom w:val="none" w:sz="0" w:space="0" w:color="auto"/>
        <w:right w:val="none" w:sz="0" w:space="0" w:color="auto"/>
      </w:divBdr>
    </w:div>
    <w:div w:id="2030525290">
      <w:bodyDiv w:val="1"/>
      <w:marLeft w:val="0"/>
      <w:marRight w:val="0"/>
      <w:marTop w:val="0"/>
      <w:marBottom w:val="0"/>
      <w:divBdr>
        <w:top w:val="none" w:sz="0" w:space="0" w:color="auto"/>
        <w:left w:val="none" w:sz="0" w:space="0" w:color="auto"/>
        <w:bottom w:val="none" w:sz="0" w:space="0" w:color="auto"/>
        <w:right w:val="none" w:sz="0" w:space="0" w:color="auto"/>
      </w:divBdr>
    </w:div>
    <w:div w:id="2102023658">
      <w:bodyDiv w:val="1"/>
      <w:marLeft w:val="0"/>
      <w:marRight w:val="0"/>
      <w:marTop w:val="0"/>
      <w:marBottom w:val="0"/>
      <w:divBdr>
        <w:top w:val="none" w:sz="0" w:space="0" w:color="auto"/>
        <w:left w:val="none" w:sz="0" w:space="0" w:color="auto"/>
        <w:bottom w:val="none" w:sz="0" w:space="0" w:color="auto"/>
        <w:right w:val="none" w:sz="0" w:space="0" w:color="auto"/>
      </w:divBdr>
    </w:div>
    <w:div w:id="2102800411">
      <w:bodyDiv w:val="1"/>
      <w:marLeft w:val="0"/>
      <w:marRight w:val="0"/>
      <w:marTop w:val="0"/>
      <w:marBottom w:val="0"/>
      <w:divBdr>
        <w:top w:val="none" w:sz="0" w:space="0" w:color="auto"/>
        <w:left w:val="none" w:sz="0" w:space="0" w:color="auto"/>
        <w:bottom w:val="none" w:sz="0" w:space="0" w:color="auto"/>
        <w:right w:val="none" w:sz="0" w:space="0" w:color="auto"/>
      </w:divBdr>
    </w:div>
    <w:div w:id="2135102186">
      <w:bodyDiv w:val="1"/>
      <w:marLeft w:val="0"/>
      <w:marRight w:val="0"/>
      <w:marTop w:val="0"/>
      <w:marBottom w:val="0"/>
      <w:divBdr>
        <w:top w:val="none" w:sz="0" w:space="0" w:color="auto"/>
        <w:left w:val="none" w:sz="0" w:space="0" w:color="auto"/>
        <w:bottom w:val="none" w:sz="0" w:space="0" w:color="auto"/>
        <w:right w:val="none" w:sz="0" w:space="0" w:color="auto"/>
      </w:divBdr>
      <w:divsChild>
        <w:div w:id="501705172">
          <w:marLeft w:val="0"/>
          <w:marRight w:val="0"/>
          <w:marTop w:val="0"/>
          <w:marBottom w:val="0"/>
          <w:divBdr>
            <w:top w:val="none" w:sz="0" w:space="0" w:color="auto"/>
            <w:left w:val="none" w:sz="0" w:space="0" w:color="auto"/>
            <w:bottom w:val="none" w:sz="0" w:space="0" w:color="auto"/>
            <w:right w:val="none" w:sz="0" w:space="0" w:color="auto"/>
          </w:divBdr>
          <w:divsChild>
            <w:div w:id="2017926627">
              <w:marLeft w:val="0"/>
              <w:marRight w:val="0"/>
              <w:marTop w:val="0"/>
              <w:marBottom w:val="0"/>
              <w:divBdr>
                <w:top w:val="none" w:sz="0" w:space="0" w:color="auto"/>
                <w:left w:val="none" w:sz="0" w:space="0" w:color="auto"/>
                <w:bottom w:val="none" w:sz="0" w:space="0" w:color="auto"/>
                <w:right w:val="none" w:sz="0" w:space="0" w:color="auto"/>
              </w:divBdr>
              <w:divsChild>
                <w:div w:id="1722243592">
                  <w:marLeft w:val="0"/>
                  <w:marRight w:val="0"/>
                  <w:marTop w:val="0"/>
                  <w:marBottom w:val="0"/>
                  <w:divBdr>
                    <w:top w:val="none" w:sz="0" w:space="0" w:color="auto"/>
                    <w:left w:val="none" w:sz="0" w:space="0" w:color="auto"/>
                    <w:bottom w:val="none" w:sz="0" w:space="0" w:color="auto"/>
                    <w:right w:val="none" w:sz="0" w:space="0" w:color="auto"/>
                  </w:divBdr>
                  <w:divsChild>
                    <w:div w:id="1631476635">
                      <w:marLeft w:val="0"/>
                      <w:marRight w:val="0"/>
                      <w:marTop w:val="0"/>
                      <w:marBottom w:val="0"/>
                      <w:divBdr>
                        <w:top w:val="none" w:sz="0" w:space="0" w:color="auto"/>
                        <w:left w:val="none" w:sz="0" w:space="0" w:color="auto"/>
                        <w:bottom w:val="none" w:sz="0" w:space="0" w:color="auto"/>
                        <w:right w:val="none" w:sz="0" w:space="0" w:color="auto"/>
                      </w:divBdr>
                      <w:divsChild>
                        <w:div w:id="23680132">
                          <w:marLeft w:val="0"/>
                          <w:marRight w:val="0"/>
                          <w:marTop w:val="0"/>
                          <w:marBottom w:val="0"/>
                          <w:divBdr>
                            <w:top w:val="none" w:sz="0" w:space="0" w:color="auto"/>
                            <w:left w:val="none" w:sz="0" w:space="0" w:color="auto"/>
                            <w:bottom w:val="none" w:sz="0" w:space="0" w:color="auto"/>
                            <w:right w:val="none" w:sz="0" w:space="0" w:color="auto"/>
                          </w:divBdr>
                          <w:divsChild>
                            <w:div w:id="68140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s.ta.gov.lv/tisreal?Form=TEMPLATEEDIT&amp;task=new&amp;tasktwo=newtemplfromoriginal&amp;fileid=68534788"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4AABA6-6F9B-4D60-893A-0B36F999B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12743</Words>
  <Characters>7264</Characters>
  <Application>Microsoft Office Word</Application>
  <DocSecurity>0</DocSecurity>
  <Lines>60</Lines>
  <Paragraphs>39</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19968</CharactersWithSpaces>
  <SharedDoc>false</SharedDoc>
  <HLinks>
    <vt:vector size="6" baseType="variant">
      <vt:variant>
        <vt:i4>4980815</vt:i4>
      </vt:variant>
      <vt:variant>
        <vt:i4>0</vt:i4>
      </vt:variant>
      <vt:variant>
        <vt:i4>0</vt:i4>
      </vt:variant>
      <vt:variant>
        <vt:i4>5</vt:i4>
      </vt:variant>
      <vt:variant>
        <vt:lpwstr>https://tis.ta.gov.lv/tisreal?Form=TEMPLATEEDIT&amp;task=new&amp;tasktwo=newtemplfromoriginal&amp;fileid=68534788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Zinaida Indrūna</dc:creator>
  <cp:keywords/>
  <cp:lastModifiedBy>Zinaida Indrūna</cp:lastModifiedBy>
  <cp:revision>2</cp:revision>
  <cp:lastPrinted>2019-07-01T07:35:00Z</cp:lastPrinted>
  <dcterms:created xsi:type="dcterms:W3CDTF">2019-07-09T14:02:00Z</dcterms:created>
  <dcterms:modified xsi:type="dcterms:W3CDTF">2019-07-09T14:02:00Z</dcterms:modified>
</cp:coreProperties>
</file>