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EDEF3" w14:textId="77777777" w:rsidR="00B971DE" w:rsidRPr="00B971DE" w:rsidRDefault="00B971DE" w:rsidP="00105ABC">
      <w:pPr>
        <w:autoSpaceDE w:val="0"/>
        <w:autoSpaceDN w:val="0"/>
        <w:adjustRightInd w:val="0"/>
        <w:spacing w:line="276" w:lineRule="auto"/>
        <w:jc w:val="both"/>
        <w:rPr>
          <w:rFonts w:eastAsiaTheme="minorHAnsi" w:cstheme="minorBidi"/>
          <w:b/>
          <w:bCs/>
          <w:iCs/>
          <w:szCs w:val="22"/>
          <w:lang w:eastAsia="en-US"/>
        </w:rPr>
      </w:pPr>
      <w:r w:rsidRPr="00B971DE">
        <w:rPr>
          <w:rFonts w:eastAsiaTheme="minorHAnsi" w:cstheme="minorBidi"/>
          <w:b/>
          <w:bCs/>
          <w:iCs/>
          <w:szCs w:val="22"/>
          <w:lang w:eastAsia="en-US"/>
        </w:rPr>
        <w:t>No Darba likuma 6.panta pirmās daļas izrietošās sekas</w:t>
      </w:r>
    </w:p>
    <w:p w14:paraId="66B313ED" w14:textId="77777777" w:rsidR="00105ABC" w:rsidRDefault="00105ABC" w:rsidP="00105ABC">
      <w:pPr>
        <w:autoSpaceDE w:val="0"/>
        <w:autoSpaceDN w:val="0"/>
        <w:spacing w:line="276" w:lineRule="auto"/>
        <w:ind w:firstLine="509"/>
        <w:jc w:val="both"/>
        <w:rPr>
          <w:color w:val="1F497D"/>
          <w:sz w:val="28"/>
          <w:szCs w:val="28"/>
        </w:rPr>
      </w:pPr>
      <w:r>
        <w:t>Tādi darba koplīguma, darba kārtības noteikumu, darba līguma vai darba devēja rīkojumu noteikumi, kas pretēji normatīvajiem aktiem pasliktina darbinieka tiesisko stāvokli, atbilstoši Darba likuma 6.panta pirmajai daļai ir spēkā neesoši uz likuma pamata, tāpēc darbiniekam nav pienākums šos noteikumus apstrīdēt, ceļot atsevišķu prasību tiesā.</w:t>
      </w:r>
    </w:p>
    <w:p w14:paraId="0F8A269D" w14:textId="77777777" w:rsidR="00105ABC" w:rsidRDefault="00105ABC" w:rsidP="00B971DE">
      <w:pPr>
        <w:autoSpaceDE w:val="0"/>
        <w:autoSpaceDN w:val="0"/>
        <w:adjustRightInd w:val="0"/>
        <w:spacing w:line="276" w:lineRule="auto"/>
        <w:ind w:firstLine="567"/>
        <w:jc w:val="both"/>
        <w:rPr>
          <w:rFonts w:ascii="TimesNewRomanPSMT" w:eastAsiaTheme="minorHAnsi" w:hAnsi="TimesNewRomanPSMT" w:cs="TimesNewRomanPSMT"/>
          <w:color w:val="000081"/>
          <w:lang w:eastAsia="en-US"/>
        </w:rPr>
      </w:pPr>
    </w:p>
    <w:p w14:paraId="754AF416" w14:textId="77777777" w:rsidR="00B971DE" w:rsidRPr="001B2ED4" w:rsidRDefault="00B971DE" w:rsidP="00B971DE">
      <w:pPr>
        <w:shd w:val="clear" w:color="auto" w:fill="FFFFFF"/>
        <w:spacing w:line="276" w:lineRule="auto"/>
        <w:jc w:val="center"/>
        <w:rPr>
          <w:rStyle w:val="Strong"/>
        </w:rPr>
      </w:pPr>
      <w:r w:rsidRPr="001B2ED4">
        <w:rPr>
          <w:rStyle w:val="Strong"/>
          <w:color w:val="000000"/>
        </w:rPr>
        <w:t xml:space="preserve">Latvijas </w:t>
      </w:r>
      <w:r w:rsidRPr="001B2ED4">
        <w:rPr>
          <w:rStyle w:val="Strong"/>
        </w:rPr>
        <w:t>Republikas Senāta</w:t>
      </w:r>
    </w:p>
    <w:p w14:paraId="5782F6B6" w14:textId="77777777" w:rsidR="00B971DE" w:rsidRPr="001B2ED4" w:rsidRDefault="00B971DE" w:rsidP="00B971DE">
      <w:pPr>
        <w:shd w:val="clear" w:color="auto" w:fill="FFFFFF"/>
        <w:spacing w:line="276" w:lineRule="auto"/>
        <w:jc w:val="center"/>
        <w:rPr>
          <w:rStyle w:val="Strong"/>
          <w:color w:val="000000"/>
        </w:rPr>
      </w:pPr>
      <w:r w:rsidRPr="001B2ED4">
        <w:rPr>
          <w:rStyle w:val="Strong"/>
          <w:color w:val="000000"/>
        </w:rPr>
        <w:t xml:space="preserve">Civillietu departamenta </w:t>
      </w:r>
    </w:p>
    <w:p w14:paraId="563F94BC" w14:textId="2198F062" w:rsidR="00B971DE" w:rsidRPr="001B2ED4" w:rsidRDefault="00B971DE" w:rsidP="00B971DE">
      <w:pPr>
        <w:shd w:val="clear" w:color="auto" w:fill="FFFFFF"/>
        <w:spacing w:line="276" w:lineRule="auto"/>
        <w:jc w:val="center"/>
        <w:rPr>
          <w:rStyle w:val="Strong"/>
          <w:color w:val="000000"/>
        </w:rPr>
      </w:pPr>
      <w:r w:rsidRPr="001B2ED4">
        <w:rPr>
          <w:rStyle w:val="Strong"/>
          <w:color w:val="000000"/>
        </w:rPr>
        <w:t xml:space="preserve">2019.gada </w:t>
      </w:r>
      <w:r>
        <w:rPr>
          <w:rStyle w:val="Strong"/>
          <w:color w:val="000000"/>
        </w:rPr>
        <w:t>17</w:t>
      </w:r>
      <w:r w:rsidRPr="001B2ED4">
        <w:rPr>
          <w:rStyle w:val="Strong"/>
          <w:color w:val="000000"/>
        </w:rPr>
        <w:t>.</w:t>
      </w:r>
      <w:r>
        <w:rPr>
          <w:rStyle w:val="Strong"/>
          <w:color w:val="000000"/>
        </w:rPr>
        <w:t>jūnija</w:t>
      </w:r>
    </w:p>
    <w:p w14:paraId="6039CA5C" w14:textId="77777777" w:rsidR="00B971DE" w:rsidRPr="001B2ED4" w:rsidRDefault="00B971DE" w:rsidP="00B971DE">
      <w:pPr>
        <w:shd w:val="clear" w:color="auto" w:fill="FFFFFF"/>
        <w:spacing w:line="276" w:lineRule="auto"/>
        <w:jc w:val="center"/>
        <w:rPr>
          <w:rStyle w:val="Strong"/>
          <w:color w:val="000000"/>
        </w:rPr>
      </w:pPr>
      <w:r>
        <w:rPr>
          <w:rStyle w:val="Strong"/>
          <w:color w:val="000000"/>
        </w:rPr>
        <w:t>SPRIED</w:t>
      </w:r>
      <w:r w:rsidRPr="001B2ED4">
        <w:rPr>
          <w:rStyle w:val="Strong"/>
          <w:color w:val="000000"/>
        </w:rPr>
        <w:t>UMS</w:t>
      </w:r>
    </w:p>
    <w:p w14:paraId="24151200" w14:textId="424CDC95" w:rsidR="00B971DE" w:rsidRPr="001B2ED4" w:rsidRDefault="00B971DE" w:rsidP="00B971DE">
      <w:pPr>
        <w:shd w:val="clear" w:color="auto" w:fill="FFFFFF"/>
        <w:spacing w:line="276" w:lineRule="auto"/>
        <w:jc w:val="center"/>
        <w:rPr>
          <w:rStyle w:val="Strong"/>
          <w:color w:val="000000"/>
        </w:rPr>
      </w:pPr>
      <w:r w:rsidRPr="001B2ED4">
        <w:rPr>
          <w:rStyle w:val="Strong"/>
          <w:color w:val="000000"/>
        </w:rPr>
        <w:t>Lieta Nr. C</w:t>
      </w:r>
      <w:r>
        <w:rPr>
          <w:rStyle w:val="Strong"/>
          <w:color w:val="000000"/>
        </w:rPr>
        <w:t>69163218</w:t>
      </w:r>
      <w:r w:rsidRPr="001B2ED4">
        <w:rPr>
          <w:rStyle w:val="Strong"/>
          <w:color w:val="000000"/>
        </w:rPr>
        <w:t>, S</w:t>
      </w:r>
      <w:r>
        <w:rPr>
          <w:rStyle w:val="Strong"/>
          <w:color w:val="000000"/>
        </w:rPr>
        <w:t>K</w:t>
      </w:r>
      <w:r w:rsidRPr="001B2ED4">
        <w:rPr>
          <w:rStyle w:val="Strong"/>
          <w:color w:val="000000"/>
        </w:rPr>
        <w:t>C-</w:t>
      </w:r>
      <w:r>
        <w:rPr>
          <w:rStyle w:val="Strong"/>
          <w:color w:val="000000"/>
        </w:rPr>
        <w:t>592</w:t>
      </w:r>
      <w:r w:rsidRPr="001B2ED4">
        <w:rPr>
          <w:rStyle w:val="Strong"/>
          <w:color w:val="000000"/>
        </w:rPr>
        <w:t>/2019</w:t>
      </w:r>
    </w:p>
    <w:p w14:paraId="57605706" w14:textId="60568F66" w:rsidR="00B971DE" w:rsidRPr="00E83432" w:rsidRDefault="001B06C6" w:rsidP="00B971DE">
      <w:pPr>
        <w:pStyle w:val="BodyText2"/>
        <w:jc w:val="center"/>
        <w:rPr>
          <w:rFonts w:ascii="Times New Roman" w:hAnsi="Times New Roman"/>
          <w:sz w:val="22"/>
          <w:szCs w:val="22"/>
        </w:rPr>
      </w:pPr>
      <w:hyperlink r:id="rId8" w:history="1">
        <w:r w:rsidR="00B971DE" w:rsidRPr="00E83432">
          <w:rPr>
            <w:rStyle w:val="Hyperlink"/>
            <w:rFonts w:ascii="Times New Roman" w:hAnsi="Times New Roman"/>
            <w:color w:val="002060"/>
            <w:sz w:val="24"/>
            <w:szCs w:val="24"/>
          </w:rPr>
          <w:t>ECLI:LV:AT:2019:0</w:t>
        </w:r>
        <w:r w:rsidR="00B971DE">
          <w:rPr>
            <w:rStyle w:val="Hyperlink"/>
            <w:rFonts w:ascii="Times New Roman" w:hAnsi="Times New Roman"/>
            <w:color w:val="002060"/>
            <w:sz w:val="24"/>
            <w:szCs w:val="24"/>
          </w:rPr>
          <w:t>617</w:t>
        </w:r>
        <w:r w:rsidR="00B971DE" w:rsidRPr="00E83432">
          <w:rPr>
            <w:rStyle w:val="Hyperlink"/>
            <w:rFonts w:ascii="Times New Roman" w:hAnsi="Times New Roman"/>
            <w:color w:val="002060"/>
            <w:sz w:val="24"/>
            <w:szCs w:val="24"/>
          </w:rPr>
          <w:t>.C</w:t>
        </w:r>
        <w:r w:rsidR="00B971DE">
          <w:rPr>
            <w:rStyle w:val="Hyperlink"/>
            <w:rFonts w:ascii="Times New Roman" w:hAnsi="Times New Roman"/>
            <w:color w:val="002060"/>
            <w:sz w:val="24"/>
            <w:szCs w:val="24"/>
          </w:rPr>
          <w:t>69163218</w:t>
        </w:r>
        <w:r w:rsidR="00B971DE" w:rsidRPr="00E83432">
          <w:rPr>
            <w:rStyle w:val="Hyperlink"/>
            <w:rFonts w:ascii="Times New Roman" w:hAnsi="Times New Roman"/>
            <w:color w:val="002060"/>
            <w:sz w:val="24"/>
            <w:szCs w:val="24"/>
          </w:rPr>
          <w:t>.</w:t>
        </w:r>
        <w:r w:rsidR="00B971DE">
          <w:rPr>
            <w:rStyle w:val="Hyperlink"/>
            <w:rFonts w:ascii="Times New Roman" w:hAnsi="Times New Roman"/>
            <w:color w:val="002060"/>
            <w:sz w:val="24"/>
            <w:szCs w:val="24"/>
          </w:rPr>
          <w:t>1</w:t>
        </w:r>
        <w:r w:rsidR="00B971DE" w:rsidRPr="00E83432">
          <w:rPr>
            <w:rStyle w:val="Hyperlink"/>
            <w:rFonts w:ascii="Times New Roman" w:hAnsi="Times New Roman"/>
            <w:color w:val="002060"/>
            <w:sz w:val="24"/>
            <w:szCs w:val="24"/>
          </w:rPr>
          <w:t>1.</w:t>
        </w:r>
      </w:hyperlink>
      <w:r w:rsidR="00B971DE" w:rsidRPr="00E83432">
        <w:rPr>
          <w:rStyle w:val="Hyperlink"/>
          <w:rFonts w:ascii="Times New Roman" w:hAnsi="Times New Roman"/>
          <w:color w:val="002060"/>
          <w:sz w:val="24"/>
          <w:szCs w:val="24"/>
        </w:rPr>
        <w:t>S</w:t>
      </w:r>
    </w:p>
    <w:p w14:paraId="3696C34D" w14:textId="50CF36C4" w:rsidR="00B971DE" w:rsidRDefault="00B971DE" w:rsidP="00B971DE">
      <w:pPr>
        <w:autoSpaceDE w:val="0"/>
        <w:autoSpaceDN w:val="0"/>
        <w:adjustRightInd w:val="0"/>
        <w:spacing w:line="276" w:lineRule="auto"/>
        <w:jc w:val="center"/>
        <w:rPr>
          <w:rFonts w:ascii="TimesNewRomanPSMT" w:eastAsiaTheme="minorHAnsi" w:hAnsi="TimesNewRomanPSMT" w:cs="TimesNewRomanPSMT"/>
          <w:color w:val="000081"/>
          <w:lang w:eastAsia="en-US"/>
        </w:rPr>
      </w:pPr>
    </w:p>
    <w:p w14:paraId="3874D638" w14:textId="77777777" w:rsidR="00B971DE" w:rsidRDefault="00B971DE" w:rsidP="00B971DE">
      <w:pPr>
        <w:autoSpaceDE w:val="0"/>
        <w:autoSpaceDN w:val="0"/>
        <w:adjustRightInd w:val="0"/>
        <w:spacing w:line="276" w:lineRule="auto"/>
        <w:jc w:val="right"/>
        <w:rPr>
          <w:rFonts w:ascii="TimesNewRomanPSMT" w:eastAsiaTheme="minorHAnsi" w:hAnsi="TimesNewRomanPSMT" w:cs="TimesNewRomanPSMT"/>
          <w:color w:val="000081"/>
          <w:lang w:eastAsia="en-US"/>
        </w:rPr>
      </w:pPr>
    </w:p>
    <w:p w14:paraId="11DE8D5B" w14:textId="77777777" w:rsidR="00B971DE" w:rsidRDefault="00B971DE" w:rsidP="00B971DE">
      <w:pPr>
        <w:autoSpaceDE w:val="0"/>
        <w:autoSpaceDN w:val="0"/>
        <w:adjustRightInd w:val="0"/>
        <w:spacing w:line="276" w:lineRule="auto"/>
        <w:ind w:left="1134"/>
        <w:rPr>
          <w:rFonts w:ascii="TimesNewRomanPSMT" w:eastAsiaTheme="minorHAnsi" w:hAnsi="TimesNewRomanPSMT" w:cs="TimesNewRomanPSMT"/>
          <w:lang w:eastAsia="en-US"/>
        </w:rPr>
      </w:pPr>
      <w:r>
        <w:rPr>
          <w:rFonts w:ascii="TimesNewRomanPSMT" w:eastAsiaTheme="minorHAnsi" w:hAnsi="TimesNewRomanPSMT" w:cs="TimesNewRomanPSMT"/>
          <w:lang w:eastAsia="en-US"/>
        </w:rPr>
        <w:t>Senāts šādā sastāvā:</w:t>
      </w:r>
    </w:p>
    <w:p w14:paraId="21E1947B" w14:textId="77777777" w:rsidR="00B971DE" w:rsidRDefault="00B971DE" w:rsidP="00B971DE">
      <w:pPr>
        <w:autoSpaceDE w:val="0"/>
        <w:autoSpaceDN w:val="0"/>
        <w:adjustRightInd w:val="0"/>
        <w:spacing w:line="276" w:lineRule="auto"/>
        <w:ind w:left="1134"/>
        <w:rPr>
          <w:rFonts w:ascii="TimesNewRomanPSMT" w:eastAsiaTheme="minorHAnsi" w:hAnsi="TimesNewRomanPSMT" w:cs="TimesNewRomanPSMT"/>
          <w:lang w:eastAsia="en-US"/>
        </w:rPr>
      </w:pPr>
      <w:r>
        <w:rPr>
          <w:rFonts w:ascii="TimesNewRomanPSMT" w:eastAsiaTheme="minorHAnsi" w:hAnsi="TimesNewRomanPSMT" w:cs="TimesNewRomanPSMT"/>
          <w:lang w:eastAsia="en-US"/>
        </w:rPr>
        <w:t>senatore Inta Lauka,</w:t>
      </w:r>
    </w:p>
    <w:p w14:paraId="660A03E7" w14:textId="77777777" w:rsidR="00B971DE" w:rsidRDefault="00B971DE" w:rsidP="00B971DE">
      <w:pPr>
        <w:autoSpaceDE w:val="0"/>
        <w:autoSpaceDN w:val="0"/>
        <w:adjustRightInd w:val="0"/>
        <w:spacing w:line="276" w:lineRule="auto"/>
        <w:ind w:left="1134"/>
        <w:rPr>
          <w:rFonts w:ascii="TimesNewRomanPSMT" w:eastAsiaTheme="minorHAnsi" w:hAnsi="TimesNewRomanPSMT" w:cs="TimesNewRomanPSMT"/>
          <w:lang w:eastAsia="en-US"/>
        </w:rPr>
      </w:pPr>
      <w:r>
        <w:rPr>
          <w:rFonts w:ascii="TimesNewRomanPSMT" w:eastAsiaTheme="minorHAnsi" w:hAnsi="TimesNewRomanPSMT" w:cs="TimesNewRomanPSMT"/>
          <w:lang w:eastAsia="en-US"/>
        </w:rPr>
        <w:t>senators Valerijs Maksimovs,</w:t>
      </w:r>
    </w:p>
    <w:p w14:paraId="2944B13A" w14:textId="2C02E76A" w:rsidR="00B971DE" w:rsidRDefault="00B971DE" w:rsidP="00B971DE">
      <w:pPr>
        <w:autoSpaceDE w:val="0"/>
        <w:autoSpaceDN w:val="0"/>
        <w:adjustRightInd w:val="0"/>
        <w:spacing w:line="276" w:lineRule="auto"/>
        <w:ind w:left="1134"/>
        <w:rPr>
          <w:rFonts w:ascii="TimesNewRomanPSMT" w:eastAsiaTheme="minorHAnsi" w:hAnsi="TimesNewRomanPSMT" w:cs="TimesNewRomanPSMT"/>
          <w:lang w:eastAsia="en-US"/>
        </w:rPr>
      </w:pPr>
      <w:r>
        <w:rPr>
          <w:rFonts w:ascii="TimesNewRomanPSMT" w:eastAsiaTheme="minorHAnsi" w:hAnsi="TimesNewRomanPSMT" w:cs="TimesNewRomanPSMT"/>
          <w:lang w:eastAsia="en-US"/>
        </w:rPr>
        <w:t>senatore Mārīte Zāģere</w:t>
      </w:r>
    </w:p>
    <w:p w14:paraId="0674991D" w14:textId="77777777" w:rsidR="00B971DE" w:rsidRDefault="00B971DE" w:rsidP="00B971DE">
      <w:pPr>
        <w:autoSpaceDE w:val="0"/>
        <w:autoSpaceDN w:val="0"/>
        <w:adjustRightInd w:val="0"/>
        <w:rPr>
          <w:rFonts w:ascii="TimesNewRomanPSMT" w:eastAsiaTheme="minorHAnsi" w:hAnsi="TimesNewRomanPSMT" w:cs="TimesNewRomanPSMT"/>
          <w:lang w:eastAsia="en-US"/>
        </w:rPr>
      </w:pPr>
    </w:p>
    <w:p w14:paraId="6311B2A9" w14:textId="33F6D82D" w:rsidR="00B971DE" w:rsidRDefault="00B971DE" w:rsidP="00B971DE">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izskatīja rakstveida procesā lietu sakarā ar [pers. A] kasācijas sūdzību par Kurzemes apgabaltiesas Civillietu tiesas kolēģijas 2018.gada 22.oktobra spriedumu civillietā [pers. A] prasībā pret SIA „</w:t>
      </w:r>
      <w:r w:rsidR="00837E72">
        <w:rPr>
          <w:rFonts w:ascii="TimesNewRomanPSMT" w:eastAsiaTheme="minorHAnsi" w:hAnsi="TimesNewRomanPSMT" w:cs="TimesNewRomanPSMT"/>
          <w:lang w:eastAsia="en-US"/>
        </w:rPr>
        <w:t>[Nosaukums]</w:t>
      </w:r>
      <w:r>
        <w:rPr>
          <w:rFonts w:ascii="TimesNewRomanPSMT" w:eastAsiaTheme="minorHAnsi" w:hAnsi="TimesNewRomanPSMT" w:cs="TimesNewRomanPSMT"/>
          <w:lang w:eastAsia="en-US"/>
        </w:rPr>
        <w:t>” par darba samaksas un atlīdzības par morālo kaitējumu piedziņu.</w:t>
      </w:r>
    </w:p>
    <w:p w14:paraId="4319371B" w14:textId="77777777" w:rsidR="00B971DE" w:rsidRDefault="00B971DE" w:rsidP="00B971DE">
      <w:pPr>
        <w:autoSpaceDE w:val="0"/>
        <w:autoSpaceDN w:val="0"/>
        <w:adjustRightInd w:val="0"/>
        <w:rPr>
          <w:rFonts w:ascii="TimesNewRomanPSMT" w:eastAsiaTheme="minorHAnsi" w:hAnsi="TimesNewRomanPSMT" w:cs="TimesNewRomanPSMT"/>
          <w:lang w:eastAsia="en-US"/>
        </w:rPr>
      </w:pPr>
    </w:p>
    <w:p w14:paraId="38FFE6D2" w14:textId="2DF0CB54" w:rsidR="00B971DE" w:rsidRDefault="00B971DE" w:rsidP="00B971DE">
      <w:pPr>
        <w:autoSpaceDE w:val="0"/>
        <w:autoSpaceDN w:val="0"/>
        <w:adjustRightInd w:val="0"/>
        <w:jc w:val="center"/>
        <w:rPr>
          <w:rFonts w:ascii="TimesNewRomanPS-BoldMT" w:eastAsiaTheme="minorHAnsi" w:hAnsi="TimesNewRomanPS-BoldMT" w:cs="TimesNewRomanPS-BoldMT"/>
          <w:b/>
          <w:bCs/>
          <w:lang w:eastAsia="en-US"/>
        </w:rPr>
      </w:pPr>
      <w:r>
        <w:rPr>
          <w:rFonts w:ascii="TimesNewRomanPS-BoldMT" w:eastAsiaTheme="minorHAnsi" w:hAnsi="TimesNewRomanPS-BoldMT" w:cs="TimesNewRomanPS-BoldMT"/>
          <w:b/>
          <w:bCs/>
          <w:lang w:eastAsia="en-US"/>
        </w:rPr>
        <w:t>Aprakstošā daļa</w:t>
      </w:r>
    </w:p>
    <w:p w14:paraId="09B5344E" w14:textId="77777777" w:rsidR="00B971DE" w:rsidRDefault="00B971DE" w:rsidP="00B971DE">
      <w:pPr>
        <w:autoSpaceDE w:val="0"/>
        <w:autoSpaceDN w:val="0"/>
        <w:adjustRightInd w:val="0"/>
        <w:rPr>
          <w:rFonts w:ascii="TimesNewRomanPS-BoldMT" w:eastAsiaTheme="minorHAnsi" w:hAnsi="TimesNewRomanPS-BoldMT" w:cs="TimesNewRomanPS-BoldMT"/>
          <w:b/>
          <w:bCs/>
          <w:lang w:eastAsia="en-US"/>
        </w:rPr>
      </w:pPr>
    </w:p>
    <w:p w14:paraId="37C879F3" w14:textId="7069B614" w:rsidR="00B971DE" w:rsidRDefault="00B971DE" w:rsidP="00B971DE">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[1] 2018.gada 19.februārī, ar grozījumiem 2018.gada 14.maijā, [pers. A], pamatojoties uz Darba likuma 6., 9.pantu, 29.panta astoto, devīto daļu, 30., 31., 42., 43., 68., 94.pantu un 95.pantu, cēla Kurzemes rajona tiesā prasību pret SIA „</w:t>
      </w:r>
      <w:r w:rsidR="00837E72">
        <w:rPr>
          <w:rFonts w:ascii="TimesNewRomanPSMT" w:eastAsiaTheme="minorHAnsi" w:hAnsi="TimesNewRomanPSMT" w:cs="TimesNewRomanPSMT"/>
          <w:lang w:eastAsia="en-US"/>
        </w:rPr>
        <w:t>[Nosaukums]</w:t>
      </w:r>
      <w:r>
        <w:rPr>
          <w:rFonts w:ascii="TimesNewRomanPSMT" w:eastAsiaTheme="minorHAnsi" w:hAnsi="TimesNewRomanPSMT" w:cs="TimesNewRomanPSMT"/>
          <w:lang w:eastAsia="en-US"/>
        </w:rPr>
        <w:t>”, lūdzot tiesu:</w:t>
      </w:r>
    </w:p>
    <w:p w14:paraId="20FB276F" w14:textId="77777777" w:rsidR="00B971DE" w:rsidRDefault="00B971DE" w:rsidP="00B971DE">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1) atzīt, ka 2016.gada 15.decembra darba līgums Nr. 21 neatbilst Darba likuma 43.pantam;</w:t>
      </w:r>
    </w:p>
    <w:p w14:paraId="3EB7ED3B" w14:textId="0F47FA6D" w:rsidR="00B971DE" w:rsidRDefault="00B971DE" w:rsidP="00B971DE">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2) piedzīt no atbildētājas prasītāja labā darba samaksu 401,09 EUR un atlīdzību par morālo kaitējumu 5160 EUR.</w:t>
      </w:r>
    </w:p>
    <w:p w14:paraId="3114D956" w14:textId="77777777" w:rsidR="00B971DE" w:rsidRDefault="00B971DE" w:rsidP="00B971DE">
      <w:pPr>
        <w:autoSpaceDE w:val="0"/>
        <w:autoSpaceDN w:val="0"/>
        <w:adjustRightInd w:val="0"/>
        <w:spacing w:line="276" w:lineRule="auto"/>
        <w:ind w:firstLine="567"/>
        <w:rPr>
          <w:rFonts w:ascii="TimesNewRomanPSMT" w:eastAsiaTheme="minorHAnsi" w:hAnsi="TimesNewRomanPSMT" w:cs="TimesNewRomanPSMT"/>
          <w:lang w:eastAsia="en-US"/>
        </w:rPr>
      </w:pPr>
      <w:r>
        <w:rPr>
          <w:rFonts w:ascii="TimesNewRomanPSMT" w:eastAsiaTheme="minorHAnsi" w:hAnsi="TimesNewRomanPSMT" w:cs="TimesNewRomanPSMT"/>
          <w:lang w:eastAsia="en-US"/>
        </w:rPr>
        <w:t>Prasības pieteikumā norādīti šādi apstākļi.</w:t>
      </w:r>
    </w:p>
    <w:p w14:paraId="2038D7BA" w14:textId="773DEF07" w:rsidR="00B971DE" w:rsidRDefault="00B971DE" w:rsidP="00B971DE">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[1.1] Starp prasītāju kā darbinieku un atbildētāju kā darba devēju 2016.gada 15.decembrī noslēgts darba līgums Nr. 21 (turpmāk arī – darba līgums). Prasītājs pieņemts darbā par apsargu uz vienu gadu, nosakot darbu maiņās un piemērojot summētā darba laika uzskaiti trīs mēnešu periodā.</w:t>
      </w:r>
    </w:p>
    <w:p w14:paraId="485009A7" w14:textId="2FDD5519" w:rsidR="00B971DE" w:rsidRDefault="00B971DE"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[1.2] Prasītājam darba tiesisko attiecību laikā netika izteikti aizrādījumi, viņam maksātas prēmijas, kas norāda uz to, ka darba devējai nebija pretenziju pret to, kā prasītājs veic darbu. [Pers. A] vienīgais no savas maiņas aizvietoja vecāko apsargu, kā arī veica autovadītāja pienākumus. Tomēr 2017.gada 28.decembrī darbinieks uzzināja, ka viņš nav iekļauts 2018.gada janvāra darba grafikā, tajā pašā laikā ar citiem darbiniekiem, kuri strādāja ar prasītāju vienā maiņā, darba līgumi tika pārslēgti, turpinot darba tiesiskās attiecības. Jauns darba līgums ar prasītāju netika noslēgts tādēļ, ka viņš bija vērsies pie atbildētājas ar sūdzībām, lai aizstāvētu savas tiesības, kā to paredz Darba likuma 94.panta pirmā daļa. Par to, ka darba tiesiskās </w:t>
      </w:r>
      <w:r>
        <w:rPr>
          <w:rFonts w:ascii="TimesNewRomanPSMT" w:eastAsiaTheme="minorHAnsi" w:hAnsi="TimesNewRomanPSMT" w:cs="TimesNewRomanPSMT"/>
          <w:lang w:eastAsia="en-US"/>
        </w:rPr>
        <w:lastRenderedPageBreak/>
        <w:t>attiecības ar prasītāju netiks turpinātas, liecināja darba devējas rīcība, liedzot darbiniekam pildīt autovadītāja pienākumus, par ko prasītājs uzzināja, atgriežoties no atvaļinājuma 2017.gada 25.novembrī. Tā kā sūdzības par darba pienākumu</w:t>
      </w:r>
      <w:r w:rsidR="00CB544D">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veikšanu prasītājs nebija saņēmis, ir pamats konstatēt Darba likuma 95.pantā minēto atšķirīgas</w:t>
      </w:r>
      <w:r w:rsidR="00CB544D">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attieksmes aizlieguma pārkāpumu. Neturpinot darba tiesiskās attiecības, pret prasītāju atbilstoši</w:t>
      </w:r>
      <w:r w:rsidR="00CB544D">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Darba likuma 7., 9. un 29.pantam ir vērsta atšķirīga attieksme, ar ko viņam nodarīts morālais</w:t>
      </w:r>
      <w:r w:rsidR="00CB544D">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kaitējums.</w:t>
      </w:r>
    </w:p>
    <w:p w14:paraId="6B8CC22F" w14:textId="77C4F529" w:rsidR="00B971DE" w:rsidRDefault="00B971DE"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[1.3] Darba līguma 4.1.punktā noteikts, ka summētā darba laika uzskaite tiek veikta par trīs mēnešu periodu, proti, virsstundu darbs tiks apmaksāts reizi trīs mēnešos. Tā kā prasītājam 2017.gada aprīlī – pēc pirmā trīs mēnešu perioda netika veikta samaksa par nostrādātajām virsstundām, viņš rakstveidā vērsās pie darba devējas, norādot, ka viņam nav samaksāts par 19 virsstundām, uz ko saņēma atbildi, ka pārtraukuma laiks tiek ieskaitīts darba laikā, taču visas uzskaitītās stundas tiek apmaksātas atbilstoši noteiktajai stundas tarifa likmei saskaņā ar sabiedrības Nolikuma par darba laika uzskaiti 3.2.punktu.</w:t>
      </w:r>
    </w:p>
    <w:p w14:paraId="123B7051" w14:textId="4A0B50FC" w:rsidR="00B971DE" w:rsidRDefault="00B971DE" w:rsidP="00B971DE">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Darba devējai adresētajā 2017.gada 8.maija sūdzībā prasītājs atkārtoti norādīja, ka viņš nevar reāli izmantot pusdienu pārtraukumu, jo nedrīkst atstāt darbavietu, tomēr viņam netiek samaksāts par virsstundām. Atbildes vēstulē darba devēja atsaukusies uz faktu, ka darbiniekam ir nodrošināta iespēja paēst darba laikā.</w:t>
      </w:r>
    </w:p>
    <w:p w14:paraId="642C0AE9" w14:textId="79471680" w:rsidR="00B971DE" w:rsidRDefault="00B971DE" w:rsidP="00B971DE">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No algas lapiņām redzams, ka pusdienu pārtraukumi tiešām ir ieskaitīti darba laikā, taču nostrādātās virsstundas netiek apmaksātas atbilstoši Darba likuma 68.pantam.</w:t>
      </w:r>
    </w:p>
    <w:p w14:paraId="7706626A" w14:textId="0A5DF447" w:rsidR="00B971DE" w:rsidRDefault="00B971DE" w:rsidP="00B971DE">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Laikā no 2017.gada 1.janvāra līdz 2017.gada 31.decembrim nav veikta piemaksa par virsstundām un darba samaksa par aprīli, kopā 401,09 EUR.</w:t>
      </w:r>
    </w:p>
    <w:p w14:paraId="051974AE" w14:textId="59166C22" w:rsidR="00B971DE" w:rsidRDefault="00B971DE" w:rsidP="00B971DE">
      <w:pPr>
        <w:autoSpaceDE w:val="0"/>
        <w:autoSpaceDN w:val="0"/>
        <w:adjustRightInd w:val="0"/>
        <w:spacing w:line="276" w:lineRule="auto"/>
        <w:ind w:firstLine="567"/>
        <w:jc w:val="both"/>
      </w:pPr>
    </w:p>
    <w:p w14:paraId="337C5BB3" w14:textId="2E02CD85"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[2] 2018.gada 14.maijā prasītājs tiesā iesniedza prasības grozījumus, norādot, ka prasība netiek uzturēta daļā par darba līguma atzīšanu par neatbilstošu Darba likuma 43.pantam.</w:t>
      </w:r>
    </w:p>
    <w:p w14:paraId="4C3F3C34" w14:textId="7D8CE8E8"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Darba alga par laiku no 2017.gada 1.aprīļa līdz 30.jūnijam nav samaksāta 105,99 EUR nevis 155,09 EUR apmērā, kā bija norādīts iepriekš, savukārt no nostrādātajām 73,50 virsstundām ir apmaksātas 20,50 virsstundas, tādēļ prasība tiek uzturēta par 53 virsstundu apmaksu un darba algas 105,99 EUR, kopā 332,93 EUR piedziņu.</w:t>
      </w:r>
    </w:p>
    <w:p w14:paraId="35A4C0B9" w14:textId="0C825A2B"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156C4530" w14:textId="5748F27D"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 Ar Kurzemes rajona tiesas 2018.gada 20.jūlija spriedumu, pamatojoties uz Civilprocesa likuma 223.panta 4.punktu, izbeigta tiesvedība lietā daļā par darba līguma atzīšanu par neatbilstošu Darba likuma 43.pantam un darba samaksas 68,16 EUR piedziņu.</w:t>
      </w:r>
    </w:p>
    <w:p w14:paraId="22DB70AC" w14:textId="45201AB6"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Prasība daļā par darba samaksas 332,93 EUR un atlīdzības par morālo kaitējumu 5160 EUR piedziņu noraidīta.</w:t>
      </w:r>
    </w:p>
    <w:p w14:paraId="577E319A" w14:textId="77777777"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Spriedumā norādīti šādi motīvi.</w:t>
      </w:r>
    </w:p>
    <w:p w14:paraId="7FC9D8BE" w14:textId="172B60B0" w:rsidR="00CB544D" w:rsidRDefault="00CB544D" w:rsidP="00CB544D">
      <w:pPr>
        <w:autoSpaceDE w:val="0"/>
        <w:autoSpaceDN w:val="0"/>
        <w:adjustRightInd w:val="0"/>
        <w:spacing w:line="276" w:lineRule="auto"/>
        <w:ind w:firstLine="567"/>
        <w:jc w:val="both"/>
      </w:pPr>
      <w:r>
        <w:rPr>
          <w:rFonts w:ascii="TimesNewRomanPSMT" w:eastAsiaTheme="minorHAnsi" w:hAnsi="TimesNewRomanPSMT" w:cs="TimesNewRomanPSMT"/>
          <w:lang w:eastAsia="en-US"/>
        </w:rPr>
        <w:t>[3.1] Lietā nodibinātie faktiskie apstākļi nedod pamatu attiecināt uz tiem Darba likuma 9.panta pirmo daļu un 29.panta astoto daļu, jo nav konstatēts aizlieguma radīt nelabvēlīgas sekas vai atšķirīgas attieksmes aizlieguma pārkāpums. Ne prasītājs, ne arī atbildētāja nav izteikuši vēlmi turpināt darba tiesiskās attiecības, tādēļ tās izbeigtas 2017.gada 31.decembrī. Darba tiesiskās attiecības sakarā ar darba līguma termiņa izbeigšanos ir pārtrauktas ne tikai ar prasītāju, bet arī citiem darbiniekiem. Darba līgums noslēgts uz noteiktu laiku, tādēļ prasītājam nebija pamata paļauties, ka pēc līguma termiņa beigām darba tiesiskās attiecības ar viņu tiks turpinātas. Jauna darba līguma nenoslēgšanas fakts nevar tikt uzskatīta par prasītāja sodīšanu vai nelabvēlīgu seku radīšanu sakarā ar prasītāja rakstveida sūdzībām. Atbildētājas rīcībā nav konstatējama atšķirīga attieksme, kas būtu radījusi nelabvēlīgas sekas prasītājam arī attiecībā uz prasītāja norādītajiem apstākļiem darba tiesisko attiecību pastāvēšanas laikā.</w:t>
      </w:r>
    </w:p>
    <w:p w14:paraId="5F9087F0" w14:textId="1D887FC5"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[3.2] Prasītājam noteikts maiņu darbs saskaņā ar grafiku un summētā darba laika uzskaite. Darbinieks atbilstoši Darba likuma 136.panta otrajai daļai ir piekritis veikt virsstundu darbu.</w:t>
      </w:r>
    </w:p>
    <w:p w14:paraId="3105DDEE" w14:textId="75B5990F"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Lietā faktiski pastāv strīds par to, vai pusdienu pārtraukumi ir ietverami virsstundu, kas ir apmaksājamas saskaņā ar Darba likuma 68.panta pirmo daļu, uzskaitē.</w:t>
      </w:r>
    </w:p>
    <w:p w14:paraId="00909F9A" w14:textId="5B2A3A51"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Ievērojot Darba likuma 145.pantā, 139.panta trešajā daļā un 140.panta ceturtajā daļā noteikto, secināms, ka pārtraukumi ir ieskaitāmi prasītāja darba laikā, taču maiņu darba gadījumā pārtraukums nav uzskaitāms kā virsstundas Darba likuma 140.panta ceturtās daļas izpratnē, jo pārtraukuma laikā darbinieks neveic darba pienākumus, bet atpūšas.</w:t>
      </w:r>
    </w:p>
    <w:p w14:paraId="4DBE5F15" w14:textId="5F988D90"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[3.2.1] Darba līgumā puses vienojušās, ka piemaksas un prēmijas maksājamas saskaņā ar Darba samaksas nolikumu, ievērojot Darba kārtības noteikumus un Nolikumu par darba laika uzskaiti.</w:t>
      </w:r>
    </w:p>
    <w:p w14:paraId="4AD67F90" w14:textId="78910941"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[3.2.2] Atbilstoši Darba kārtības noteikumu 2.2.2.punktam apsardzes darbiniekiem ēšanai nodrošināts 30 minūšu pārtraukums ik pēc četrām stundām un viņiem nav tiesību atstāt darbavietu.</w:t>
      </w:r>
    </w:p>
    <w:p w14:paraId="5CBC463B" w14:textId="366D043A"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[3.2.3] No pušu 2017.gada 9.jūnijā parakstītās Vienošanās Nr. 21/2 par virsstundu darbu 3.punkta redzams, ka virsstundu uzskaite un aprēķins notiek saskaņā ar Nolikuma par darba laika uzskaiti 3.sadaļu, kas noteic, ka darbiniekiem, kuri nedrīkst atstāt darbavietu, pārtraukums ieskaitāms darba laikā un tiek uzskaitīts sadaļā „stundas faktiski”, kas tiek apmaksātas ar darbiniekam noteikto stundas tarifa likmi. Virsstundas tiek apmaksātas trīs mēnešu periodā, tās aprēķinot pēc šāda algoritma: virsstundas = faktiski nostrādātās stundas – pārtraukums – stundas pēc normas.</w:t>
      </w:r>
    </w:p>
    <w:p w14:paraId="25F67692" w14:textId="1E339F10" w:rsidR="00CB544D" w:rsidRDefault="00CB544D" w:rsidP="00CB544D">
      <w:pPr>
        <w:autoSpaceDE w:val="0"/>
        <w:autoSpaceDN w:val="0"/>
        <w:adjustRightInd w:val="0"/>
        <w:spacing w:line="276" w:lineRule="auto"/>
        <w:ind w:firstLine="567"/>
        <w:jc w:val="both"/>
      </w:pPr>
      <w:r>
        <w:rPr>
          <w:rFonts w:ascii="TimesNewRomanPSMT" w:eastAsiaTheme="minorHAnsi" w:hAnsi="TimesNewRomanPSMT" w:cs="TimesNewRomanPSMT"/>
          <w:lang w:eastAsia="en-US"/>
        </w:rPr>
        <w:t xml:space="preserve">[3.2.4] No minētā secināms, ka puses, noslēdzot darba līgumu, bija vienojušās, </w:t>
      </w:r>
      <w:r w:rsidRPr="00CB544D">
        <w:rPr>
          <w:rFonts w:eastAsiaTheme="minorHAnsi"/>
          <w:lang w:eastAsia="en-US"/>
        </w:rPr>
        <w:t>ka [pers. A]</w:t>
      </w:r>
      <w:r>
        <w:rPr>
          <w:rFonts w:ascii="TimesNewRomanPSMT" w:eastAsiaTheme="minorHAnsi" w:hAnsi="TimesNewRomanPSMT" w:cs="TimesNewRomanPSMT"/>
          <w:lang w:eastAsia="en-US"/>
        </w:rPr>
        <w:t xml:space="preserve"> darba pārtraukumi tiek ieskaitīti darba laikā, kā to paredz Darba likuma 145.pants, taču netiek uzskaitīti virsstundu aprēķinā, jo darbiniekam tiek nodrošināta iespēja paēst un atpūsties darbavietā. Līdz ar to nav pamatota prasība ieskaitīt pusdienu pārtraukumus virsstundu aprēķinā un apmaksāt tās divkāršā apmērā saskaņā ar Darba likuma 68.panta pirmo daļu.</w:t>
      </w:r>
    </w:p>
    <w:p w14:paraId="2BA9927F" w14:textId="655AA0A0"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[3.3] Darba likuma 137.pants noteic darba devēja pienākumu precīzi uzskaitīt darbinieka nostrādātās stundas un darbinieka tiesības pārbaudīt darba devēja veikto darba laika uzskaiti. Prasītājs norādījis, ka pēc viņa aprēķiniem 2017.gada aprīlī tika nostrādātas 208 stundas, bet apmaksātas tikai 192, bet atbildētāja tam nepiekrīt.</w:t>
      </w:r>
    </w:p>
    <w:p w14:paraId="4D4F2F78" w14:textId="47A86EDB"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No darba laika uzskaites tabeles un darba algas lapiņas redzams, ka prasītājam ir samaksāta darba alga par 192 stundām. Šāds nostrādāto stundu skaits atbilst arī dežūru grafikam, savukārt prasītājs nav iesniedzis pierādījumus, kas apliecinātu pretējo.</w:t>
      </w:r>
    </w:p>
    <w:p w14:paraId="23B19303" w14:textId="6E61B08E"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2F25F63D" w14:textId="0375D4A9"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[4] No prasītāja apelācijas sūdzības, ar kuru pirmās instances spriedums pārsūdzēts prasības noraidītajā daļā, redzams, ka, nepiekrītot tiesas secinājumiem par pusdienu pārtraukumu neiekļaušanu virsstundu uzskaitē, viņš norādījis uz darba devējas pienākumu visas darba laika stundas, tostarp apmaksātos pusdienu pārtraukumus, kuru laikā darbiniekam liegta iespēja atstāt darba vietu, ieskaitīt kopējā darba laikā jeb kopējā nostrādāto stundu skaitā, ko ņem vērā, uzskaitot nostrādāto stundu skaitu un aprēķinot piemaksas par pārskata periodā nostrādātajām virsstundām.</w:t>
      </w:r>
    </w:p>
    <w:p w14:paraId="34BF28F4" w14:textId="51FC7691" w:rsidR="00CB544D" w:rsidRDefault="00CB544D" w:rsidP="00CB544D">
      <w:pPr>
        <w:autoSpaceDE w:val="0"/>
        <w:autoSpaceDN w:val="0"/>
        <w:adjustRightInd w:val="0"/>
        <w:spacing w:line="276" w:lineRule="auto"/>
        <w:ind w:firstLine="567"/>
        <w:jc w:val="both"/>
      </w:pPr>
      <w:r>
        <w:rPr>
          <w:rFonts w:ascii="TimesNewRomanPSMT" w:eastAsiaTheme="minorHAnsi" w:hAnsi="TimesNewRomanPSMT" w:cs="TimesNewRomanPSMT"/>
          <w:lang w:eastAsia="en-US"/>
        </w:rPr>
        <w:t>Prasītājs lūdzis arī ņemt vērā, ka darba devējas izstrādātie iekšējie normatīvie akti nevar aizskart darbinieka tiesības, ko garantē likums, šajā gadījumā saņemt piemaksu par virsstundu darbu saskaņā ar Darba likuma 68.panta pirmo daļu</w:t>
      </w:r>
    </w:p>
    <w:p w14:paraId="41DC46DC" w14:textId="5D5D6D6B" w:rsidR="00CB544D" w:rsidRDefault="00CB544D" w:rsidP="00CB544D">
      <w:pPr>
        <w:autoSpaceDE w:val="0"/>
        <w:autoSpaceDN w:val="0"/>
        <w:adjustRightInd w:val="0"/>
        <w:spacing w:line="276" w:lineRule="auto"/>
        <w:ind w:firstLine="567"/>
        <w:jc w:val="both"/>
      </w:pPr>
    </w:p>
    <w:p w14:paraId="7A0A2487" w14:textId="6AEBC2B3"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[5] Izskatījusi lietu sakarā ar prasītāja apelācijas sūdzību, Kurzemes apgabaltiesas Civillietu tiesas kolēģija 2018.gada 22.oktobrī nosprieda prasību par darba samaksas un atlīdzības par morālo kaitējumu piedziņu noraidīt pilnīgi.</w:t>
      </w:r>
    </w:p>
    <w:p w14:paraId="722859BC" w14:textId="77777777"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Spriedumā norādīti šādi motīvi.</w:t>
      </w:r>
    </w:p>
    <w:p w14:paraId="638210FA" w14:textId="2100E483"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[5.1] Tiesas kolēģija atbilstoši Civilprocesa likuma 432.panta piektajai daļai pievienojas pirmās instances tiesas sprieduma argumentācijai.</w:t>
      </w:r>
    </w:p>
    <w:p w14:paraId="1041254D" w14:textId="757FFC94"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[5.2] Ja noslēgts terminēts līgums, darbiniekam nav dota garantija, ka, izbeidzoties līguma termiņam, tiks noslēgts jauns darba līgums uz jaunu periodu vai nenoteiktu laiku arī vakances gadījumā. Šī iemesla dēļ tiesas kompetencē neietilpst darba devēja rīcības izvērtējums, kādēļ tas noslēdzis jaunus darba līgumus ar vieniem vai nav noslēdzis darba līgumus ar citiem darbiniekiem.</w:t>
      </w:r>
    </w:p>
    <w:p w14:paraId="386FD3B7" w14:textId="2A205BF4" w:rsidR="00CB544D" w:rsidRDefault="00CB544D" w:rsidP="00CB544D">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Līdz ar to iemesli, kurus prasītājs norādījis kā tādus, kas liecina par diskriminējošu attieksmi pret viņu, nenoslēdzot jaunu darba līgumu, ir subjektīvs apstākļu interpretējums, kas nerada tiesiskas sekas.</w:t>
      </w:r>
    </w:p>
    <w:p w14:paraId="643B8C6B" w14:textId="116865B9" w:rsidR="00CB544D" w:rsidRDefault="00CB544D" w:rsidP="00CB544D">
      <w:pPr>
        <w:autoSpaceDE w:val="0"/>
        <w:autoSpaceDN w:val="0"/>
        <w:adjustRightInd w:val="0"/>
        <w:spacing w:line="276" w:lineRule="auto"/>
        <w:ind w:firstLine="567"/>
        <w:jc w:val="both"/>
      </w:pPr>
      <w:r>
        <w:rPr>
          <w:rFonts w:ascii="TimesNewRomanPSMT" w:eastAsiaTheme="minorHAnsi" w:hAnsi="TimesNewRomanPSMT" w:cs="TimesNewRomanPSMT"/>
          <w:lang w:eastAsia="en-US"/>
        </w:rPr>
        <w:t>[5.3] Pirmās instances tiesa pamatoti secinājusi, ka nostrādāto darba stundu skaitu 2017.gada aprīļa mēnesī atspoguļo darba laika uzskaites tabeles un darba algas lapiņas. Citi pierādījumi, kas apstiprinātu prasītāja apgalvojumu pamatotību, ka nostrādāts lielāks stundu skaits, lietā nav iesniegti.</w:t>
      </w:r>
    </w:p>
    <w:p w14:paraId="20D39C8E" w14:textId="6917AF0A" w:rsidR="00CB544D" w:rsidRDefault="00CB544D"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[5.4] Pirmās instances tiesa pretēji apelācijas sūdzībā norādītajam ir secinājusi un minētais</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pārbaudīts arī apelācijas instances tiesā, ka prasītāja darba pārtraukumi ir ieskaitīti darba laikā, kā to</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paredz Darba likuma 145.pants, taču tie netiek uzskaitīti kā virsstundu darbs, jo prasītājam tika</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nodrošināta iespēja paēst un atpūsties darbavietā un tas atbilst arī judikatūras atziņām, kas izteiktas</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Augstākās tiesas 2016.gada 16.jūnija spriedumā lietā Nr. SKA-347/2016.</w:t>
      </w:r>
    </w:p>
    <w:p w14:paraId="755FFCCF" w14:textId="625991D2" w:rsidR="00CB544D" w:rsidRDefault="00CB544D"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Darba devēja iekšējie normatīvie akti attiecībā uz darba laika organizēšanu ir spēkā esoši un</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prasītājs tos nav apstrīdējis Darba likuma 94.pantā noteiktajā kārtībā. Turklāt prasītājs, atsaucoties</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uz Darba likuma 6.pantu, nav norādījis, tieši kādi iekšējo normatīvo aktu noteikumi un kādā veidā</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prasītāja kā darbinieka tiesisko stāvokli ir pasliktinājuši.</w:t>
      </w:r>
    </w:p>
    <w:p w14:paraId="5CFE4A64" w14:textId="4E335BA2" w:rsidR="00CB544D" w:rsidRDefault="00CB544D" w:rsidP="00EE01F0">
      <w:pPr>
        <w:autoSpaceDE w:val="0"/>
        <w:autoSpaceDN w:val="0"/>
        <w:adjustRightInd w:val="0"/>
        <w:spacing w:line="276" w:lineRule="auto"/>
        <w:ind w:firstLine="567"/>
        <w:jc w:val="both"/>
      </w:pPr>
      <w:r>
        <w:rPr>
          <w:rFonts w:ascii="TimesNewRomanPSMT" w:eastAsiaTheme="minorHAnsi" w:hAnsi="TimesNewRomanPSMT" w:cs="TimesNewRomanPSMT"/>
          <w:lang w:eastAsia="en-US"/>
        </w:rPr>
        <w:t>Prasības pieteikumā norādīts, ka starp pusēm ir strīds par to, vai pusdienu pārtraukumi ir</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ietverami virsstundu aprēķinā, savukārt atbilstoši apelācijas sūdzībā minētajam faktiski lietā pastāv</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strīds par to, vai pusdienu pārtraukumi ir ieskaitāmi darba (nevis virsstundu) laikā. Kā jau iepriekš</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norādīts, prasītāja darba pārtraukumi ir ieskaitīti darba laikā, un šo faktu konstatējusi arī pirmās</w:t>
      </w:r>
      <w:r w:rsidR="00EE01F0">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instances tiesa.</w:t>
      </w:r>
    </w:p>
    <w:p w14:paraId="74E75440" w14:textId="4C7A464A" w:rsidR="00CB544D" w:rsidRDefault="00CB544D" w:rsidP="00CB544D">
      <w:pPr>
        <w:autoSpaceDE w:val="0"/>
        <w:autoSpaceDN w:val="0"/>
        <w:adjustRightInd w:val="0"/>
        <w:spacing w:line="276" w:lineRule="auto"/>
        <w:ind w:firstLine="567"/>
        <w:jc w:val="both"/>
      </w:pPr>
    </w:p>
    <w:p w14:paraId="09E7543C" w14:textId="31F1C31B" w:rsidR="00EE01F0" w:rsidRDefault="00EE01F0"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[6] Par Kurzemes apgabaltiesas Civillietu tiesas kolēģijas 2018.gada 22.oktobra spriedumu [pers. A] iesniedzis kasācijas sūdzību, pārsūdzot spriedumu pilnā apjomā.</w:t>
      </w:r>
    </w:p>
    <w:p w14:paraId="71663AED" w14:textId="77777777" w:rsidR="00EE01F0" w:rsidRDefault="00EE01F0" w:rsidP="00EE01F0">
      <w:pPr>
        <w:autoSpaceDE w:val="0"/>
        <w:autoSpaceDN w:val="0"/>
        <w:adjustRightInd w:val="0"/>
        <w:spacing w:line="276" w:lineRule="auto"/>
        <w:ind w:firstLine="567"/>
        <w:jc w:val="both"/>
      </w:pPr>
    </w:p>
    <w:p w14:paraId="2DCDB8B6" w14:textId="5FE70743" w:rsidR="00EE01F0" w:rsidRDefault="00EE01F0"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[7] Ar senatoru kolēģijas 2019.gada 17.janvāra rīcības sēdes lēmumu atteikts ierosināt kasācijas tiesvedību par spriedumu daļā, ar kuru noraidīta prasība par morālā kaitējuma atlīdzības piedziņu, tādējādi apelācijas instances spriedums šajā daļā stājies spēkā.</w:t>
      </w:r>
    </w:p>
    <w:p w14:paraId="08B1723D" w14:textId="091CF3FF" w:rsidR="00EE01F0" w:rsidRDefault="00EE01F0"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Kasācijas tiesvedība ierosināta sakarā ar prasītāja kasācijas sūdzību par spriedumu daļā, ar kuru noraidīta prasība par darba samaksas piedziņu.</w:t>
      </w:r>
    </w:p>
    <w:p w14:paraId="36C930F7" w14:textId="77777777" w:rsidR="00EE01F0" w:rsidRDefault="00EE01F0"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1086B265" w14:textId="0FCB6637" w:rsidR="00EE01F0" w:rsidRDefault="00EE01F0"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[8] Attiecībā uz apelācijas instances tiesas spriedumu daļā, par kuru ierosināta kasācijas tiesvedība, kasācijas sūdzībā norādīti šādi argumenti.</w:t>
      </w:r>
    </w:p>
    <w:p w14:paraId="47C8E2EC" w14:textId="5C36E15E" w:rsidR="00EE01F0" w:rsidRDefault="00EE01F0"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[8.1] Pamatojot savu secinājumu, ka darba pārtraukumi, kas tiek ieskaitīti darba laikā atbilstoši Darba likuma 145.pantam, nav uzskaitāmi kā virsstundas, tiesa nevietā atsaukusies uz </w:t>
      </w:r>
      <w:r>
        <w:rPr>
          <w:rFonts w:ascii="TimesNewRomanPSMT" w:eastAsiaTheme="minorHAnsi" w:hAnsi="TimesNewRomanPSMT" w:cs="TimesNewRomanPSMT"/>
          <w:lang w:eastAsia="en-US"/>
        </w:rPr>
        <w:lastRenderedPageBreak/>
        <w:t>Augstākās tiesas 2016.gada 16.jūnija spriedumu lietā Nr. SKA-347/2016, jo šajā spriedumā ar Darba likuma 68.panta piemērošanu saistītās problēmas nav risinātas.</w:t>
      </w:r>
    </w:p>
    <w:p w14:paraId="680E99AB" w14:textId="2380B46F" w:rsidR="00EE01F0" w:rsidRDefault="00EE01F0"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[8.2] Tiesa spriedumā konstatējusi, ka prasītājs Darba likuma 94.panta kārtībā nav apstrīdējis iekšējos normatīvos aktus, kā arī nav precizējis, kuri no tiem un kādā veidā pasliktināja darbinieka stāvokli. Šādi tiesas apgalvojumi liecina, ka tā nav iepazinusies ar apelācijas sūdzību, kurā (tāpat kā darba tiesisko attiecību laikā darba devējai iesniegtajās sūdzībās) tika norādīts uz strīda esamību par to, vai pusdienu pārtraukumi ir iekļaujami virsstundu, kas apmaksājamas saskaņā ar Darba likuma 68.panta pirmo daļu, uzskaitē. Tādēļ, uzskatot, ka tiesa savu spriedumu nevar balstīt uz darba devējas iekšējiem normatīvajiem aktiem, prasītājs lūdza pārbaudīt, vai tie atbilst likumam.</w:t>
      </w:r>
    </w:p>
    <w:p w14:paraId="24C1C95A" w14:textId="41360FC4" w:rsidR="00EE01F0" w:rsidRDefault="00EE01F0"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Tomēr tiesa nav vērtējusi, vai iekšējā normatīvajā aktā noteiktā virsstundu apmaksas formula (virsstundas = faktiski nostrādātās stundas – pārtraukums – stundas pēc normas) atbilst Darba likuma 136.pantam un vai šāda kārtība nepasliktina darbinieka stāvokli.</w:t>
      </w:r>
    </w:p>
    <w:p w14:paraId="03EBEC64" w14:textId="77777777" w:rsidR="00EE01F0" w:rsidRDefault="00EE01F0" w:rsidP="00EE01F0">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4837D125" w14:textId="62161336" w:rsidR="00EE01F0" w:rsidRDefault="00EE01F0" w:rsidP="00EE01F0">
      <w:pPr>
        <w:autoSpaceDE w:val="0"/>
        <w:autoSpaceDN w:val="0"/>
        <w:adjustRightInd w:val="0"/>
        <w:spacing w:line="276" w:lineRule="auto"/>
        <w:ind w:firstLine="567"/>
        <w:jc w:val="both"/>
      </w:pPr>
      <w:r>
        <w:rPr>
          <w:rFonts w:ascii="TimesNewRomanPSMT" w:eastAsiaTheme="minorHAnsi" w:hAnsi="TimesNewRomanPSMT" w:cs="TimesNewRomanPSMT"/>
          <w:lang w:eastAsia="en-US"/>
        </w:rPr>
        <w:t>[9] Paskaidrojumos sakarā ar kasācijas sūdzību atbildētāja norādījusi, ka apelācijas instances tiesa pamatoti pievienojusies pirmās instances tiesas sprieduma motivācijai, tostarp, par to, ka puses, noslēdzot darba līgumu, vienojušās par darba pārtraukumu ieskaitīšanu darba laikā, kā to paredz Darba likuma 145.pants, taču pārtraukumi netiek ietverti virsstundu aprēķinā, jo darbiniekam nodrošināta iespēja paēst un atpūsties darbavietā. Līdz ar to nav pamatota prasītāja prasība ieskaitīt pārtraukumus virsstundu aprēķinā un apmaksāt tās divkāršā apmērā saskaņā ar Darba likuma 68.panta pirmo daļu.</w:t>
      </w:r>
    </w:p>
    <w:p w14:paraId="6E33066E" w14:textId="77777777" w:rsidR="00EE01F0" w:rsidRDefault="00EE01F0" w:rsidP="00CB544D">
      <w:pPr>
        <w:autoSpaceDE w:val="0"/>
        <w:autoSpaceDN w:val="0"/>
        <w:adjustRightInd w:val="0"/>
        <w:spacing w:line="276" w:lineRule="auto"/>
        <w:ind w:firstLine="567"/>
        <w:jc w:val="both"/>
      </w:pPr>
    </w:p>
    <w:p w14:paraId="68D64228" w14:textId="73927DF4" w:rsidR="00A6537A" w:rsidRDefault="00A6537A" w:rsidP="00B971DE">
      <w:pPr>
        <w:autoSpaceDE w:val="0"/>
        <w:autoSpaceDN w:val="0"/>
        <w:adjustRightInd w:val="0"/>
        <w:spacing w:line="276" w:lineRule="auto"/>
        <w:jc w:val="center"/>
        <w:rPr>
          <w:rFonts w:ascii="TimesNewRomanPS-BoldMT" w:eastAsiaTheme="minorHAnsi" w:hAnsi="TimesNewRomanPS-BoldMT" w:cs="TimesNewRomanPS-BoldMT"/>
          <w:b/>
          <w:bCs/>
          <w:color w:val="000000"/>
          <w:lang w:eastAsia="en-US"/>
        </w:rPr>
      </w:pPr>
      <w:r>
        <w:rPr>
          <w:rFonts w:ascii="TimesNewRomanPS-BoldMT" w:eastAsiaTheme="minorHAnsi" w:hAnsi="TimesNewRomanPS-BoldMT" w:cs="TimesNewRomanPS-BoldMT"/>
          <w:b/>
          <w:bCs/>
          <w:color w:val="000000"/>
          <w:lang w:eastAsia="en-US"/>
        </w:rPr>
        <w:t>Motīvu daļa</w:t>
      </w:r>
    </w:p>
    <w:p w14:paraId="55F6F57F" w14:textId="77777777" w:rsidR="00EC3380" w:rsidRDefault="00EC3380" w:rsidP="00B971DE">
      <w:pPr>
        <w:autoSpaceDE w:val="0"/>
        <w:autoSpaceDN w:val="0"/>
        <w:adjustRightInd w:val="0"/>
        <w:spacing w:line="276" w:lineRule="auto"/>
        <w:jc w:val="center"/>
        <w:rPr>
          <w:rFonts w:ascii="TimesNewRomanPS-BoldMT" w:eastAsiaTheme="minorHAnsi" w:hAnsi="TimesNewRomanPS-BoldMT" w:cs="TimesNewRomanPS-BoldMT"/>
          <w:b/>
          <w:bCs/>
          <w:color w:val="000000"/>
          <w:lang w:eastAsia="en-US"/>
        </w:rPr>
      </w:pPr>
    </w:p>
    <w:p w14:paraId="12223885" w14:textId="482E0D3E"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[10] Pārbaudījis sprieduma likumību attiecībā uz personu, kura to pārsūdzējusi, un attiecībā</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uz argumentiem, kas minēti kasācijas sūdzībā, kā to noteic Civilprocesa likuma 473.panta pirmā</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daļa, Senāts atzīst, ka Kurzemes apgabaltiesas Civillietu tiesas kolēģijas 2018.gada 22.oktobra</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spriedums daļā, ar kuru noraidīta prasība par darba samaksa piedziņu, atceļams, lietu šajā daļā</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nododot jaunai izskatīšanai apelācijas instances tiesā.</w:t>
      </w:r>
    </w:p>
    <w:p w14:paraId="61DECCEF" w14:textId="68CC6652"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Ņemot vērā, ka Kurzemes apgabaltiesa, izmantodama Civilprocesa likuma 432.panta</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piektajā daļā paredzētās tiesības, pievienojusies pirmās instances tiesas spriedumā ietvertai</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motivācijai, prasības noraidīšanas pamatojums attiecībā par darba samaksu turpmāk tiks vērtēts abu</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instanču norādīto motīvu kontekstā.</w:t>
      </w:r>
    </w:p>
    <w:p w14:paraId="4FD618AE" w14:textId="3C2B2EF2"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[10.1] Senāts konstatē, ka, izskatot lietu sakarā ar </w:t>
      </w:r>
      <w:r w:rsidR="00EC3380">
        <w:rPr>
          <w:rFonts w:ascii="TimesNewRomanPSMT" w:eastAsiaTheme="minorHAnsi" w:hAnsi="TimesNewRomanPSMT" w:cs="TimesNewRomanPSMT"/>
          <w:color w:val="000000"/>
          <w:lang w:eastAsia="en-US"/>
        </w:rPr>
        <w:t>[pers. A]</w:t>
      </w:r>
      <w:r>
        <w:rPr>
          <w:rFonts w:ascii="TimesNewRomanPSMT" w:eastAsiaTheme="minorHAnsi" w:hAnsi="TimesNewRomanPSMT" w:cs="TimesNewRomanPSMT"/>
          <w:color w:val="000000"/>
          <w:lang w:eastAsia="en-US"/>
        </w:rPr>
        <w:t xml:space="preserve"> apelācijas sūdzību un</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noraidot prasību daļā par darba samaksas piedziņu, apelācijas instances tiesa vispār nav</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iedziļinājusies šā strīda un iesniegtās apelācijas sūdzības būtībā, uz ko norādījis arī kasācijas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sūdzības iesniedzējs.</w:t>
      </w:r>
    </w:p>
    <w:p w14:paraId="67F7E0F5" w14:textId="2C73CE27"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[10.2] Par pamatotiem atzīstami kasācijas sūdzībā izteiktie iebildumi par Darba likuma</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6.panta un 94.panta nepareizu piemērošanu.</w:t>
      </w:r>
    </w:p>
    <w:p w14:paraId="5EB5359C" w14:textId="22DE65AC"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Saskaņā ar Darba likuma 94.panta pirmo daļu darbiniekam ir tiesības savu aizskarto tiesību</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vai interešu aizsardzības nolūkā iesniegt sūdzību uzņēmumā attiecīgi pilnvarotai personai. Tiesības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iesniegt sūdzību, lai aizstāvētu darbinieka tiesības un intereses, ir arī darbinieku pārstāvjiem.</w:t>
      </w:r>
    </w:p>
    <w:p w14:paraId="492CB2E9" w14:textId="655EB68F"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Izsakot apgalvojumu, ka prasītājs šīs tiesības nav izmantojis, apgabaltiesa, pirmkārt,</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nonākusi pretrunā ar pirmās instances spriedumā konstatētajiem faktiem, ka 2017.gadā prasītājs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vairākkārt iesniedzis sūdzības, apstrīdot darba devējas, kura neiekļāva virsstundu aprēķinā visas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lastRenderedPageBreak/>
        <w:t>faktiski nostrādātās stundas, rīcību, otrkārt, atstājusi bez ievērības apelācijas sūdzībā norādīto, ka</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atbilstoši Darba likuma 6.panta pirmajai daļai nav spēkā darba koplīguma, darba kārtības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noteikumu, kā arī darba līguma un darba devēja rīkojumu noteikumi, kas pretēji normatīvajiem</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aktiem pasliktina darbinieka tiesisko stāvokli.</w:t>
      </w:r>
    </w:p>
    <w:p w14:paraId="0C5C654C" w14:textId="044E0100"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No minētās tiesību normas nepārprotami izriet, ka tādi darba koplīguma, darba kārtības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noteikumu, darba līguma vai darba devēja rīkojumu noteikumi, kas pretēji normatīvajiem aktiem</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pasliktina darbinieka tiesisko stāvokli, kā spēkā neesoši uz likuma pamata nevar radīt tiesiskas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sekas, tāpēc darbiniekam nav pienākums šos noteikumus apstrīdēt, ceļot atsevišķu prasību tiesā.</w:t>
      </w:r>
    </w:p>
    <w:p w14:paraId="32AB0148" w14:textId="2A2D479A"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Darba likuma 6.panta pirmajā daļā noteikts nozīmīgs darba tiesību princips, kura mērķis ir</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darbinieka kā neaizsargātākās puses tiesību un tiesisko interešu aizsardzība gadījumā, ja darba</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tiesības regulējošajos dokumentos ietvertais noteikums pasliktina darbinieka stāvokli. Atbilstoši šim</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 xml:space="preserve">darba tiesību mērķim ir jāiztulko un jāpiemēro arī darba devēja rīkojumi (sk. </w:t>
      </w:r>
      <w:bookmarkStart w:id="0" w:name="_Hlk11747427"/>
      <w:r>
        <w:rPr>
          <w:rFonts w:ascii="TimesNewRomanPS-ItalicMT" w:eastAsiaTheme="minorHAnsi" w:hAnsi="TimesNewRomanPS-ItalicMT" w:cs="TimesNewRomanPS-ItalicMT"/>
          <w:i/>
          <w:iCs/>
          <w:color w:val="000000"/>
          <w:lang w:eastAsia="en-US"/>
        </w:rPr>
        <w:t>Augstākās tiesas</w:t>
      </w:r>
      <w:r w:rsidR="00EC3380">
        <w:rPr>
          <w:rFonts w:ascii="TimesNewRomanPS-ItalicMT" w:eastAsiaTheme="minorHAnsi" w:hAnsi="TimesNewRomanPS-ItalicMT" w:cs="TimesNewRomanPS-ItalicMT"/>
          <w:i/>
          <w:iCs/>
          <w:color w:val="000000"/>
          <w:lang w:eastAsia="en-US"/>
        </w:rPr>
        <w:t xml:space="preserve"> </w:t>
      </w:r>
      <w:r>
        <w:rPr>
          <w:rFonts w:ascii="TimesNewRomanPS-ItalicMT" w:eastAsiaTheme="minorHAnsi" w:hAnsi="TimesNewRomanPS-ItalicMT" w:cs="TimesNewRomanPS-ItalicMT"/>
          <w:i/>
          <w:iCs/>
          <w:color w:val="000000"/>
          <w:lang w:eastAsia="en-US"/>
        </w:rPr>
        <w:t xml:space="preserve">2016.gada 29.decembra sprieduma lietā Nr. SKC-1374/2016 (C20284812) </w:t>
      </w:r>
      <w:bookmarkEnd w:id="0"/>
      <w:r>
        <w:rPr>
          <w:rFonts w:ascii="TimesNewRomanPS-ItalicMT" w:eastAsiaTheme="minorHAnsi" w:hAnsi="TimesNewRomanPS-ItalicMT" w:cs="TimesNewRomanPS-ItalicMT"/>
          <w:i/>
          <w:iCs/>
          <w:color w:val="000000"/>
          <w:lang w:eastAsia="en-US"/>
        </w:rPr>
        <w:t>7.2.punktu</w:t>
      </w:r>
      <w:r>
        <w:rPr>
          <w:rFonts w:ascii="TimesNewRomanPSMT" w:eastAsiaTheme="minorHAnsi" w:hAnsi="TimesNewRomanPSMT" w:cs="TimesNewRomanPSMT"/>
          <w:color w:val="000000"/>
          <w:lang w:eastAsia="en-US"/>
        </w:rPr>
        <w:t>).</w:t>
      </w:r>
    </w:p>
    <w:p w14:paraId="0D2F7AD1" w14:textId="043E26E0"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Darba devējam ir pienākums nodrošināt darba tiesību ievērošanu. Tādēļ arī gadījumā, ja</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darbinieks ir noslēdzis darba līgumu, kurā ietverti darba tiesībām neatbilstoši punkti, darba devējs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nevarēs atsaukties uz to, ka abas puses līgumu parakstījušas (sk</w:t>
      </w:r>
      <w:r>
        <w:rPr>
          <w:rFonts w:ascii="TimesNewRomanPS-ItalicMT" w:eastAsiaTheme="minorHAnsi" w:hAnsi="TimesNewRomanPS-ItalicMT" w:cs="TimesNewRomanPS-ItalicMT"/>
          <w:i/>
          <w:iCs/>
          <w:color w:val="000000"/>
          <w:lang w:eastAsia="en-US"/>
        </w:rPr>
        <w:t>. Zvērinātu advokātu birojs „BDO</w:t>
      </w:r>
      <w:r w:rsidR="00EC3380">
        <w:rPr>
          <w:rFonts w:ascii="TimesNewRomanPS-ItalicMT" w:eastAsiaTheme="minorHAnsi" w:hAnsi="TimesNewRomanPS-ItalicMT" w:cs="TimesNewRomanPS-ItalicMT"/>
          <w:i/>
          <w:iCs/>
          <w:color w:val="000000"/>
          <w:lang w:eastAsia="en-US"/>
        </w:rPr>
        <w:t xml:space="preserve"> </w:t>
      </w:r>
      <w:r>
        <w:rPr>
          <w:rFonts w:ascii="TimesNewRomanPS-ItalicMT" w:eastAsiaTheme="minorHAnsi" w:hAnsi="TimesNewRomanPS-ItalicMT" w:cs="TimesNewRomanPS-ItalicMT"/>
          <w:i/>
          <w:iCs/>
          <w:color w:val="000000"/>
          <w:lang w:eastAsia="en-US"/>
        </w:rPr>
        <w:t xml:space="preserve">Zelmenis &amp; </w:t>
      </w:r>
      <w:proofErr w:type="spellStart"/>
      <w:r>
        <w:rPr>
          <w:rFonts w:ascii="TimesNewRomanPS-ItalicMT" w:eastAsiaTheme="minorHAnsi" w:hAnsi="TimesNewRomanPS-ItalicMT" w:cs="TimesNewRomanPS-ItalicMT"/>
          <w:i/>
          <w:iCs/>
          <w:color w:val="000000"/>
          <w:lang w:eastAsia="en-US"/>
        </w:rPr>
        <w:t>Liberte</w:t>
      </w:r>
      <w:proofErr w:type="spellEnd"/>
      <w:r>
        <w:rPr>
          <w:rFonts w:ascii="TimesNewRomanPS-ItalicMT" w:eastAsiaTheme="minorHAnsi" w:hAnsi="TimesNewRomanPS-ItalicMT" w:cs="TimesNewRomanPS-ItalicMT"/>
          <w:i/>
          <w:iCs/>
          <w:color w:val="000000"/>
          <w:lang w:eastAsia="en-US"/>
        </w:rPr>
        <w:t>”. Darba likums ar komentāriem. Rīga: LBAS, 2010, 19.lpp. Pieejams:</w:t>
      </w:r>
      <w:r w:rsidR="00EC3380">
        <w:rPr>
          <w:rFonts w:ascii="TimesNewRomanPS-ItalicMT" w:eastAsiaTheme="minorHAnsi" w:hAnsi="TimesNewRomanPS-ItalicMT" w:cs="TimesNewRomanPS-ItalicMT"/>
          <w:i/>
          <w:iCs/>
          <w:color w:val="000000"/>
          <w:lang w:eastAsia="en-US"/>
        </w:rPr>
        <w:t xml:space="preserve"> </w:t>
      </w:r>
      <w:r>
        <w:rPr>
          <w:rFonts w:ascii="TimesNewRomanPS-ItalicMT" w:eastAsiaTheme="minorHAnsi" w:hAnsi="TimesNewRomanPS-ItalicMT" w:cs="TimesNewRomanPS-ItalicMT"/>
          <w:i/>
          <w:iCs/>
          <w:color w:val="000081"/>
          <w:lang w:eastAsia="en-US"/>
        </w:rPr>
        <w:t>http://www.lbas.lv/upload/stuff/201102/dl_ar_kom.pdf</w:t>
      </w:r>
      <w:r>
        <w:rPr>
          <w:rFonts w:ascii="TimesNewRomanPSMT" w:eastAsiaTheme="minorHAnsi" w:hAnsi="TimesNewRomanPSMT" w:cs="TimesNewRomanPSMT"/>
          <w:color w:val="000000"/>
          <w:lang w:eastAsia="en-US"/>
        </w:rPr>
        <w:t>).</w:t>
      </w:r>
    </w:p>
    <w:p w14:paraId="30331543" w14:textId="3AE160F4"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Līdz ar to, izvērtējot prasītāja apelācijas sūdzībā izteiktās pretenzijas, tostarp par likumam</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neatbilstošu virsstundu aprēķināšanas formulu, tiesai bija jāpārbauda iesniegtie pierādījumi un</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jānoskaidro, vai noslēgtais darba līgums, atbildētājas izdotie iekšējie normatīvie akti, kuros noteikta</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virsstundu aprēķināšanas kārtība, proti, Nolikums par darba laika uzskaiti un tajā paredzētais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virsstundu aprēķināšanas algoritms jeb formula atbilst Darba likuma 137.panta pirmajai daļai, vai</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virsstundas tikušas apmaksātas saskaņā ar Darba likuma 68.panta pirmo daļu, taču šāda lietas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apstākļu juridiskā analīze spriedumā nav veikta.</w:t>
      </w:r>
    </w:p>
    <w:p w14:paraId="77FC4537" w14:textId="59FACC1D"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Nepievēršoties rakstveida pierādījumu novērtēšanai Darba likuma 6.panta kontekstā,</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apelācijas instances tiesa izdarījusi nepamatotu un faktiskajiem apstākļiem neatbilstošu secinājumu:</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 apelācijas sūdzībā prasītājs norādījis, ka faktiski lietā ir strīds par to, vai pusdienu pārtraukumi</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ir ieskaitāmi darba (nevis virsstundu) laikā. Kā jau iepriekš norādīts, prasītāja darba pārtraukumi ir</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pieskaitīti darba laikam [..]”.</w:t>
      </w:r>
    </w:p>
    <w:p w14:paraId="063F4434" w14:textId="539024F6"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Līdz ar to strīds par piemaksu, kas darbiniekam pienākas par virsstundu darbu,</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aprēķināšanas kārtību pēc būtības nav risināts.</w:t>
      </w:r>
    </w:p>
    <w:p w14:paraId="6D87644F" w14:textId="5C2B34DD"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[10.3] Lai izšķirtu strīdu, vai atbilstoši Darba likuma 137.panta pirmajai daļai darba devēja</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laikā no 2017.gada 1.janvāra līdz 31.decembrim ir pareizi uzskaitījusi prasītāja nostrādātās darba</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stundas un atsevišķi visas virsstundas, kā arī, vai piemaksa par virsstundām, par ko lietā pastāv</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strīds, aprēķināta atbilstoši Darba likuma 68.panta pirmajai daļai, tiesai primāri bija jānoskaidro,</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kurā no Darba likuma 32.nodaļā „Darba laika organizācija” noteiktajiem darba organizācijas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 xml:space="preserve">veidiem (nakts darbs, maiņu darbs vai summētais darba laiks) atbildētāja organizēja </w:t>
      </w:r>
      <w:r w:rsidR="00EC3380">
        <w:rPr>
          <w:rFonts w:ascii="TimesNewRomanPSMT" w:eastAsiaTheme="minorHAnsi" w:hAnsi="TimesNewRomanPSMT" w:cs="TimesNewRomanPSMT"/>
          <w:color w:val="000000"/>
          <w:lang w:eastAsia="en-US"/>
        </w:rPr>
        <w:t xml:space="preserve">[pers. A] </w:t>
      </w:r>
      <w:r>
        <w:rPr>
          <w:rFonts w:ascii="TimesNewRomanPSMT" w:eastAsiaTheme="minorHAnsi" w:hAnsi="TimesNewRomanPSMT" w:cs="TimesNewRomanPSMT"/>
          <w:color w:val="000000"/>
          <w:lang w:eastAsia="en-US"/>
        </w:rPr>
        <w:t>darba laiku, jo katrā no tiem darba stundu un virsstundu uzskaite atšķiras.</w:t>
      </w:r>
    </w:p>
    <w:p w14:paraId="044D204C" w14:textId="5ED38D51"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[10.4] Senāts konstatē, ka, izšķirot strīdu, tiesa gan Darba likuma 139.pantu, gan 140.pantu</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attiecinājusi uz lietā konstatētajiem apstākļiem, kas nav pareizi, jo maiņu darba (</w:t>
      </w:r>
      <w:r>
        <w:rPr>
          <w:rFonts w:ascii="TimesNewRomanPS-ItalicMT" w:eastAsiaTheme="minorHAnsi" w:hAnsi="TimesNewRomanPS-ItalicMT" w:cs="TimesNewRomanPS-ItalicMT"/>
          <w:i/>
          <w:iCs/>
          <w:color w:val="000000"/>
          <w:lang w:eastAsia="en-US"/>
        </w:rPr>
        <w:t>139.pants</w:t>
      </w:r>
      <w:r>
        <w:rPr>
          <w:rFonts w:ascii="TimesNewRomanPSMT" w:eastAsiaTheme="minorHAnsi" w:hAnsi="TimesNewRomanPSMT" w:cs="TimesNewRomanPSMT"/>
          <w:color w:val="000000"/>
          <w:lang w:eastAsia="en-US"/>
        </w:rPr>
        <w:t>) un</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summētā darba laika (</w:t>
      </w:r>
      <w:r>
        <w:rPr>
          <w:rFonts w:ascii="TimesNewRomanPS-ItalicMT" w:eastAsiaTheme="minorHAnsi" w:hAnsi="TimesNewRomanPS-ItalicMT" w:cs="TimesNewRomanPS-ItalicMT"/>
          <w:i/>
          <w:iCs/>
          <w:color w:val="000000"/>
          <w:lang w:eastAsia="en-US"/>
        </w:rPr>
        <w:t>140.pants</w:t>
      </w:r>
      <w:r>
        <w:rPr>
          <w:rFonts w:ascii="TimesNewRomanPSMT" w:eastAsiaTheme="minorHAnsi" w:hAnsi="TimesNewRomanPSMT" w:cs="TimesNewRomanPSMT"/>
          <w:color w:val="000000"/>
          <w:lang w:eastAsia="en-US"/>
        </w:rPr>
        <w:t xml:space="preserve">) kā divu patstāvīgu darba laika organizācijas </w:t>
      </w:r>
      <w:r>
        <w:rPr>
          <w:rFonts w:ascii="TimesNewRomanPSMT" w:eastAsiaTheme="minorHAnsi" w:hAnsi="TimesNewRomanPSMT" w:cs="TimesNewRomanPSMT"/>
          <w:color w:val="000000"/>
          <w:lang w:eastAsia="en-US"/>
        </w:rPr>
        <w:lastRenderedPageBreak/>
        <w:t>veidu tiesiskais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regulējums ir atšķirīgs, tādēļ attiecībā uz vienu personu tie nevar pastāvēt vienlaicīgi.</w:t>
      </w:r>
    </w:p>
    <w:p w14:paraId="447D521B" w14:textId="68566DCE"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Piemēram, maiņu darba gadījumā maiņas ilgums nedrīkst pārsniegt attiecīgajai darbinieku</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kategorijai noteikto normālo dienas darba laiku (</w:t>
      </w:r>
      <w:r>
        <w:rPr>
          <w:rFonts w:ascii="TimesNewRomanPS-ItalicMT" w:eastAsiaTheme="minorHAnsi" w:hAnsi="TimesNewRomanPS-ItalicMT" w:cs="TimesNewRomanPS-ItalicMT"/>
          <w:i/>
          <w:iCs/>
          <w:color w:val="000000"/>
          <w:lang w:eastAsia="en-US"/>
        </w:rPr>
        <w:t>139.panta pirmā daļa</w:t>
      </w:r>
      <w:r>
        <w:rPr>
          <w:rFonts w:ascii="TimesNewRomanPSMT" w:eastAsiaTheme="minorHAnsi" w:hAnsi="TimesNewRomanPSMT" w:cs="TimesNewRomanPSMT"/>
          <w:color w:val="000000"/>
          <w:lang w:eastAsia="en-US"/>
        </w:rPr>
        <w:t>) un laiks, kuru darbinieks</w:t>
      </w:r>
      <w:r w:rsidR="00EC3380">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nostrādājis pēc maiņas beigām, uzskatāms par virsstundu darbu (</w:t>
      </w:r>
      <w:r>
        <w:rPr>
          <w:rFonts w:ascii="TimesNewRomanPS-ItalicMT" w:eastAsiaTheme="minorHAnsi" w:hAnsi="TimesNewRomanPS-ItalicMT" w:cs="TimesNewRomanPS-ItalicMT"/>
          <w:i/>
          <w:iCs/>
          <w:color w:val="000000"/>
          <w:lang w:eastAsia="en-US"/>
        </w:rPr>
        <w:t>139.panta trešā daļa</w:t>
      </w:r>
      <w:r>
        <w:rPr>
          <w:rFonts w:ascii="TimesNewRomanPSMT" w:eastAsiaTheme="minorHAnsi" w:hAnsi="TimesNewRomanPSMT" w:cs="TimesNewRomanPSMT"/>
          <w:color w:val="000000"/>
          <w:lang w:eastAsia="en-US"/>
        </w:rPr>
        <w:t>).</w:t>
      </w:r>
    </w:p>
    <w:p w14:paraId="09C27670" w14:textId="09418A7B"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Savukārt summēto darba laiku nosaka, ja darba rakstura dēļ nav iespējams ievērot attiecīgajam darbiniekam noteikto normālo dienas vai nedēļas darba laika ilgumu, un šādā gadījumā darba laiks pārskata periodā nedrīkst pārsniegt attiecīgajam darbiniekam noteikto normālo darba laiku (</w:t>
      </w:r>
      <w:r>
        <w:rPr>
          <w:rFonts w:ascii="TimesNewRomanPS-ItalicMT" w:eastAsiaTheme="minorHAnsi" w:hAnsi="TimesNewRomanPS-ItalicMT" w:cs="TimesNewRomanPS-ItalicMT"/>
          <w:i/>
          <w:iCs/>
          <w:color w:val="000000"/>
          <w:lang w:eastAsia="en-US"/>
        </w:rPr>
        <w:t>140.panta pirmā daļa</w:t>
      </w:r>
      <w:r>
        <w:rPr>
          <w:rFonts w:ascii="TimesNewRomanPSMT" w:eastAsiaTheme="minorHAnsi" w:hAnsi="TimesNewRomanPSMT" w:cs="TimesNewRomanPSMT"/>
          <w:color w:val="000000"/>
          <w:lang w:eastAsia="en-US"/>
        </w:rPr>
        <w:t>). Summētā darba laika ietvaros jebkurā gadījumā aizliegts nodarbināt darbinieku ilgāk par 24 stundām pēc kārtas un 56 stundām nedēļā. Par virsstundu darbu tiek uzskatīts darbs, kuru darbinieks veic virs pārskata periodā noteiktā normālā darba laika (</w:t>
      </w:r>
      <w:r>
        <w:rPr>
          <w:rFonts w:ascii="TimesNewRomanPS-ItalicMT" w:eastAsiaTheme="minorHAnsi" w:hAnsi="TimesNewRomanPS-ItalicMT" w:cs="TimesNewRomanPS-ItalicMT"/>
          <w:i/>
          <w:iCs/>
          <w:color w:val="000000"/>
          <w:lang w:eastAsia="en-US"/>
        </w:rPr>
        <w:t>140.panta piektā daļa</w:t>
      </w:r>
      <w:r>
        <w:rPr>
          <w:rFonts w:ascii="TimesNewRomanPSMT" w:eastAsiaTheme="minorHAnsi" w:hAnsi="TimesNewRomanPSMT" w:cs="TimesNewRomanPSMT"/>
          <w:color w:val="000000"/>
          <w:lang w:eastAsia="en-US"/>
        </w:rPr>
        <w:t>).</w:t>
      </w:r>
    </w:p>
    <w:p w14:paraId="44548351" w14:textId="64A18FB0"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„Summētā darba laika uzskaite paredz darba grafikus tieši tāpat kā maiņu darba laika uzskaite.[..] Atsevišķās dienās darba laika ilgums var būt visdažādākais – 24 stundas, 12 stundas, 10 stundas, 4 stundas u.tml., ievērojot normatīvajos aktos noteiktos pārtraukumus darbā, kā arī lai pārskata periodā nepārsniegtu attiecīgajam darbiniekam noteikto normālo darba laiku. [..] Uz summēto darba laiku neattiecas visi noteikumi par atpūtu. Taču summētajam darba laikam likumdevējs noteicis ārējās robežas. Tas nedrīkst pārsniegt 24 stundas pēc kārtas un 56 stundas nedēļā” (sk. </w:t>
      </w:r>
      <w:r>
        <w:rPr>
          <w:rFonts w:ascii="TimesNewRomanPS-ItalicMT" w:eastAsiaTheme="minorHAnsi" w:hAnsi="TimesNewRomanPS-ItalicMT" w:cs="TimesNewRomanPS-ItalicMT"/>
          <w:i/>
          <w:iCs/>
          <w:color w:val="000000"/>
          <w:lang w:eastAsia="en-US"/>
        </w:rPr>
        <w:t>Skultāne I., Slaidiņa V. Darba tiesības. Papildināts un pārstrādāts izdevums. Rīga: Apgāds Zvaigzne ABC, 2017, 201.–202.lpp.</w:t>
      </w:r>
      <w:r>
        <w:rPr>
          <w:rFonts w:ascii="TimesNewRomanPSMT" w:eastAsiaTheme="minorHAnsi" w:hAnsi="TimesNewRomanPSMT" w:cs="TimesNewRomanPSMT"/>
          <w:color w:val="000000"/>
          <w:lang w:eastAsia="en-US"/>
        </w:rPr>
        <w:t>).</w:t>
      </w:r>
    </w:p>
    <w:p w14:paraId="7FCAEB7C" w14:textId="72A9A03B"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Minētais apstiprina, ka darba grafiki var pastāvēt gan maiņu darba gadījumā, gan summētā darba laika gadījumā, tādēļ, lai pārbaudītu, vai darba laika uzskaite notikusi atbilstoši Darba likuma 137.panta pirmajai daļai, tiesai pareizi jānosaka attiecībā uz konkrēto darbinieku attiecināmais darba laika organizācijas veids, kas pakļauts noteiktam Darba likumā ietvertam tiesiskam regulējumam.</w:t>
      </w:r>
    </w:p>
    <w:p w14:paraId="086C90AA" w14:textId="29B364D6"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Saskaņā ar darba līguma 4.1.punktā minēto prasītājam noteikts maiņas grafika darbs, piemērojot summētā darba laika uzskaiti par trīs mēnešu periodu, turklāt summētais darba laiks nedrīkst pārsniegt likumā noteikto stundu skaitu šajā laika periodā. Tiesai, izskatot lietu no jauna, jāapsver, vai prasītājs bijis nodarbināts maiņu darbā Darba likuma 139.panta izpratnē, vai strādājis summētā darba laika režīmā atbilstoši Darba likuma 140.panta regulējumam ar pārskata periodu trīs mēneši, par ko starp prasītāju un atbildētāju lietā nav pastāvējis strīds. Pušu vienošanās darba līgumā par to, ka darbs notiks saskaņā ar maiņu grafiku, pušu vienošanos attiecībā uz pielīgto darba laika organizāciju neietekmē.</w:t>
      </w:r>
    </w:p>
    <w:p w14:paraId="72C66C57" w14:textId="4CC7769F"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[10.5] Summētā darba laika uzskaite, kā rāda Darba likuma 140.panta pirmās daļas saturs, attiecas uz pilna darba laika darbiniekiem, uzliekot pienākumu darba devējam attiecīgajā pārskata periodā darbiniekam noteikto darba laiku sabalansēt ar minētā likuma 131.pantā noteikto normālo darba laiku (sk. </w:t>
      </w:r>
      <w:r>
        <w:rPr>
          <w:rFonts w:ascii="TimesNewRomanPS-ItalicMT" w:eastAsiaTheme="minorHAnsi" w:hAnsi="TimesNewRomanPS-ItalicMT" w:cs="TimesNewRomanPS-ItalicMT"/>
          <w:i/>
          <w:iCs/>
          <w:color w:val="000000"/>
          <w:lang w:eastAsia="en-US"/>
        </w:rPr>
        <w:t xml:space="preserve">Tiesu prakses apkopojums darba lietās (tiesu prakse 2012.gada jūlijs–2017.gads). Latvijas Republikas Augstākā tiesa, Rīga, 2018, 26.lpp. Pieejams: </w:t>
      </w:r>
      <w:r>
        <w:rPr>
          <w:rFonts w:ascii="TimesNewRomanPS-ItalicMT" w:eastAsiaTheme="minorHAnsi" w:hAnsi="TimesNewRomanPS-ItalicMT" w:cs="TimesNewRomanPS-ItalicMT"/>
          <w:i/>
          <w:iCs/>
          <w:color w:val="000081"/>
          <w:lang w:eastAsia="en-US"/>
        </w:rPr>
        <w:t>http://www.at.gov.lv/lv/judikatura/tiesu-prakses-apkopojumi/civiltiesibas</w:t>
      </w:r>
      <w:r>
        <w:rPr>
          <w:rFonts w:ascii="TimesNewRomanPSMT" w:eastAsiaTheme="minorHAnsi" w:hAnsi="TimesNewRomanPSMT" w:cs="TimesNewRomanPSMT"/>
          <w:color w:val="000000"/>
          <w:lang w:eastAsia="en-US"/>
        </w:rPr>
        <w:t>).</w:t>
      </w:r>
    </w:p>
    <w:p w14:paraId="7BFD3BE1" w14:textId="7CFE2EB4"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Saskaņā ar Darba likuma 140.panta piekto daļu darbs, kuru darbinieks veic virs pārskata periodā noteiktā normālā darba laika, uzskatāms par virsstundu darbu.</w:t>
      </w:r>
    </w:p>
    <w:p w14:paraId="776031BD" w14:textId="0ACD5A44"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Pārskata perioda institūts ir svarīgs virsstundu aprēķināšanai, it īpaši tādēļ, ka pie īsāka pārskata perioda darba grafikā noteiktās stundas ir virsstundas, bet pie garāka tās vairs nav virsstundas, jo darba devējam ir iespēja darbu organizēt tā, lai virsstundas neveidojas (sk. </w:t>
      </w:r>
      <w:r>
        <w:rPr>
          <w:rFonts w:ascii="TimesNewRomanPS-ItalicMT" w:eastAsiaTheme="minorHAnsi" w:hAnsi="TimesNewRomanPS-ItalicMT" w:cs="TimesNewRomanPS-ItalicMT"/>
          <w:i/>
          <w:iCs/>
          <w:color w:val="000000"/>
          <w:lang w:eastAsia="en-US"/>
        </w:rPr>
        <w:t xml:space="preserve">Bite </w:t>
      </w:r>
      <w:r>
        <w:rPr>
          <w:rFonts w:ascii="TimesNewRomanPS-ItalicMT" w:eastAsiaTheme="minorHAnsi" w:hAnsi="TimesNewRomanPS-ItalicMT" w:cs="TimesNewRomanPS-ItalicMT"/>
          <w:i/>
          <w:iCs/>
          <w:color w:val="000000"/>
          <w:lang w:eastAsia="en-US"/>
        </w:rPr>
        <w:lastRenderedPageBreak/>
        <w:t>K. Atsevišķi darba uzskaites un samaksas jautājumi summētajā darba laikā. Jurista Vārds,</w:t>
      </w:r>
      <w:r w:rsidR="00EE01F0">
        <w:rPr>
          <w:rFonts w:ascii="TimesNewRomanPS-ItalicMT" w:eastAsiaTheme="minorHAnsi" w:hAnsi="TimesNewRomanPS-ItalicMT" w:cs="TimesNewRomanPS-ItalicMT"/>
          <w:i/>
          <w:iCs/>
          <w:color w:val="000000"/>
          <w:lang w:eastAsia="en-US"/>
        </w:rPr>
        <w:t xml:space="preserve"> </w:t>
      </w:r>
      <w:r>
        <w:rPr>
          <w:rFonts w:ascii="TimesNewRomanPS-ItalicMT" w:eastAsiaTheme="minorHAnsi" w:hAnsi="TimesNewRomanPS-ItalicMT" w:cs="TimesNewRomanPS-ItalicMT"/>
          <w:i/>
          <w:iCs/>
          <w:color w:val="000000"/>
          <w:lang w:eastAsia="en-US"/>
        </w:rPr>
        <w:t>04.10.2016., Nr. 40 (943), 18.–23.lpp</w:t>
      </w:r>
      <w:r>
        <w:rPr>
          <w:rFonts w:ascii="TimesNewRomanPSMT" w:eastAsiaTheme="minorHAnsi" w:hAnsi="TimesNewRomanPSMT" w:cs="TimesNewRomanPSMT"/>
          <w:color w:val="000000"/>
          <w:lang w:eastAsia="en-US"/>
        </w:rPr>
        <w:t>.).</w:t>
      </w:r>
    </w:p>
    <w:p w14:paraId="0247EA25" w14:textId="17DCD6D7"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Pušu viedokļi faktiski atšķiras jautājumā par to, vai darba pārtraukumi, kuru laikā darbiniekam bija liegts atstāt darba telpas un kas tika iekļauti darba laikā, apmaksājot tos kā darba laiku, pagarina pārskata periodā nostrādāto stundu skaitu un līdz ar to, iespējams, pārsniedz pārskata periodā attiecīgajam darbiniekam noteikto normālo darba laiku, ko liedz Darba likuma 140.panta pirmā daļa un tādēļ veidojas 140.panta piektajā daļā definētais virsstundu darbs, par kuru jāsaņem piemaksa atbilstoši Darba likuma 68.panta pirmajai daļai.</w:t>
      </w:r>
    </w:p>
    <w:p w14:paraId="0683CE8E" w14:textId="07CFA736"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Līdz ar to, lai izšķirtu strīdu, tiesai nepieciešams noskaidrot arī katrā trīs mēnešu pārskata periodā darbiniekam noteikto normālo darba laiku, kas atbilstoši Darba likuma 140.panta piektajai daļai ir atskaites punkts virsstundu noteikšanai, par kuru uzskaites atbilstību likumam pastāv strīds.</w:t>
      </w:r>
    </w:p>
    <w:p w14:paraId="7D5D1067" w14:textId="7AA21E58"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[10.6] Atbilstoši Darba likuma 145.panta trešajā daļā noteiktajam, ja pārtraukuma laikā darbiniekam ir noteikts aizliegums atstāt savu darbavietu un darbinieks šo laikposmu nevar izmantot pēc sava ieskata, šāds pārtraukums ieskaitāms darba laikā.</w:t>
      </w:r>
    </w:p>
    <w:p w14:paraId="42AD2566" w14:textId="3A448382"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Nav strīda par to, ka uz prasītāju attiecas minētais tiesiskais regulējums, tāpēc, noraidot prasītāja viedokli, ka arī šis darba laiks ir ieskaitāms darba laikā, no kura aprēķina virsstundas, tiesai jāpamato, kādēļ tā uzskata par iespējamu, ka vienā gadījumā (uzskaitot kopējās nostrādātās stundas) to pašu laiku (pārtraukuma laiku) ieskaita darba laikā, bet citā gadījumā (aprēķinot virsstundas) šo pašu laiku no nostrādāto stundu skaita izslēdz.</w:t>
      </w:r>
    </w:p>
    <w:p w14:paraId="232C552D" w14:textId="6A750DD3"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Par pareizu atzīstams kasācijas sūdzībā minētais arguments, ka apelācijas instances tiesai, noraidot prasītāja viedokli, nebija pamata atsaukties uz </w:t>
      </w:r>
      <w:bookmarkStart w:id="1" w:name="_Hlk11747719"/>
      <w:r>
        <w:rPr>
          <w:rFonts w:ascii="TimesNewRomanPSMT" w:eastAsiaTheme="minorHAnsi" w:hAnsi="TimesNewRomanPSMT" w:cs="TimesNewRomanPSMT"/>
          <w:color w:val="000000"/>
          <w:lang w:eastAsia="en-US"/>
        </w:rPr>
        <w:t>Senāta 2016.gada 16.jūnija spriedumu lietā Nr. SKA-347/2016</w:t>
      </w:r>
      <w:bookmarkEnd w:id="1"/>
      <w:r>
        <w:rPr>
          <w:rFonts w:ascii="TimesNewRomanPSMT" w:eastAsiaTheme="minorHAnsi" w:hAnsi="TimesNewRomanPSMT" w:cs="TimesNewRomanPSMT"/>
          <w:color w:val="000000"/>
          <w:lang w:eastAsia="en-US"/>
        </w:rPr>
        <w:t>, jo tajā, pretēji apelācijas instances spriedumā apgalvotajam, Senāts nav atzinis, ka darba pārtraukumi, kuru laikā darbiniekam tiek nodrošināta iespēja paēst un atpūsties darba vietā, tiek ieskaitīti darba laikā, taču netiek uzskaitīti kā virsstundu darbs.</w:t>
      </w:r>
    </w:p>
    <w:p w14:paraId="056834EF" w14:textId="1F800D77"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„Eiropas Savienības Tiesas judikatūrā vairākkārt vērtēts tas, vai „aktīvais </w:t>
      </w:r>
      <w:proofErr w:type="spellStart"/>
      <w:r>
        <w:rPr>
          <w:rFonts w:ascii="TimesNewRomanPSMT" w:eastAsiaTheme="minorHAnsi" w:hAnsi="TimesNewRomanPSMT" w:cs="TimesNewRomanPSMT"/>
          <w:color w:val="000000"/>
          <w:lang w:eastAsia="en-US"/>
        </w:rPr>
        <w:t>dežūrlaiks</w:t>
      </w:r>
      <w:proofErr w:type="spellEnd"/>
      <w:r>
        <w:rPr>
          <w:rFonts w:ascii="TimesNewRomanPSMT" w:eastAsiaTheme="minorHAnsi" w:hAnsi="TimesNewRomanPSMT" w:cs="TimesNewRomanPSMT"/>
          <w:color w:val="000000"/>
          <w:lang w:eastAsia="en-US"/>
        </w:rPr>
        <w:t xml:space="preserve">”, kad nodarbinātais uzturas darba devēja norādītā vietā, ir uzskatāms par darba laiku Eiropas Savienības tiesību izpratnē. Šajā ziņā Eiropas Savienības Tiesa norādījusi, ka „darba laiks” un „atpūtas laiks” ir savstarpēji izslēdzoši jēdzieni un starpkategorijas starp tiem nav iespējamas (sk., piemēram, </w:t>
      </w:r>
      <w:r>
        <w:rPr>
          <w:rFonts w:ascii="TimesNewRomanPS-ItalicMT" w:eastAsiaTheme="minorHAnsi" w:hAnsi="TimesNewRomanPS-ItalicMT" w:cs="TimesNewRomanPS-ItalicMT"/>
          <w:i/>
          <w:iCs/>
          <w:color w:val="000000"/>
          <w:lang w:eastAsia="en-US"/>
        </w:rPr>
        <w:t xml:space="preserve">Eiropas Savienības Tiesas 2000.gada 3.oktobra sprieduma lietā </w:t>
      </w:r>
      <w:proofErr w:type="spellStart"/>
      <w:r>
        <w:rPr>
          <w:rFonts w:ascii="TimesNewRomanPS-ItalicMT" w:eastAsiaTheme="minorHAnsi" w:hAnsi="TimesNewRomanPS-ItalicMT" w:cs="TimesNewRomanPS-ItalicMT"/>
          <w:i/>
          <w:iCs/>
          <w:color w:val="000000"/>
          <w:lang w:eastAsia="en-US"/>
        </w:rPr>
        <w:t>Simap</w:t>
      </w:r>
      <w:proofErr w:type="spellEnd"/>
      <w:r>
        <w:rPr>
          <w:rFonts w:ascii="TimesNewRomanPS-ItalicMT" w:eastAsiaTheme="minorHAnsi" w:hAnsi="TimesNewRomanPS-ItalicMT" w:cs="TimesNewRomanPS-ItalicMT"/>
          <w:i/>
          <w:iCs/>
          <w:color w:val="000000"/>
          <w:lang w:eastAsia="en-US"/>
        </w:rPr>
        <w:t xml:space="preserve">, C-303/98, </w:t>
      </w:r>
      <w:r>
        <w:rPr>
          <w:rFonts w:ascii="TimesNewRomanPS-ItalicMT" w:eastAsiaTheme="minorHAnsi" w:hAnsi="TimesNewRomanPS-ItalicMT" w:cs="TimesNewRomanPS-ItalicMT"/>
          <w:i/>
          <w:iCs/>
          <w:color w:val="000081"/>
          <w:lang w:eastAsia="en-US"/>
        </w:rPr>
        <w:t xml:space="preserve">ECLI:EU:C:2000:528, </w:t>
      </w:r>
      <w:r>
        <w:rPr>
          <w:rFonts w:ascii="TimesNewRomanPS-ItalicMT" w:eastAsiaTheme="minorHAnsi" w:hAnsi="TimesNewRomanPS-ItalicMT" w:cs="TimesNewRomanPS-ItalicMT"/>
          <w:i/>
          <w:iCs/>
          <w:color w:val="000000"/>
          <w:lang w:eastAsia="en-US"/>
        </w:rPr>
        <w:t xml:space="preserve">47.punktu </w:t>
      </w:r>
      <w:r>
        <w:rPr>
          <w:rFonts w:ascii="TimesNewRomanPSMT" w:eastAsiaTheme="minorHAnsi" w:hAnsi="TimesNewRomanPSMT" w:cs="TimesNewRomanPSMT"/>
          <w:color w:val="000000"/>
          <w:lang w:eastAsia="en-US"/>
        </w:rPr>
        <w:t xml:space="preserve">un </w:t>
      </w:r>
      <w:r>
        <w:rPr>
          <w:rFonts w:ascii="TimesNewRomanPS-ItalicMT" w:eastAsiaTheme="minorHAnsi" w:hAnsi="TimesNewRomanPS-ItalicMT" w:cs="TimesNewRomanPS-ItalicMT"/>
          <w:i/>
          <w:iCs/>
          <w:color w:val="000000"/>
          <w:lang w:eastAsia="en-US"/>
        </w:rPr>
        <w:t xml:space="preserve">2015.gada 10.septembra sprieduma lietā </w:t>
      </w:r>
      <w:proofErr w:type="spellStart"/>
      <w:r>
        <w:rPr>
          <w:rFonts w:ascii="TimesNewRomanPS-ItalicMT" w:eastAsiaTheme="minorHAnsi" w:hAnsi="TimesNewRomanPS-ItalicMT" w:cs="TimesNewRomanPS-ItalicMT"/>
          <w:i/>
          <w:iCs/>
          <w:color w:val="000000"/>
          <w:lang w:eastAsia="en-US"/>
        </w:rPr>
        <w:t>Federación</w:t>
      </w:r>
      <w:proofErr w:type="spellEnd"/>
      <w:r>
        <w:rPr>
          <w:rFonts w:ascii="TimesNewRomanPS-ItalicMT" w:eastAsiaTheme="minorHAnsi" w:hAnsi="TimesNewRomanPS-ItalicMT" w:cs="TimesNewRomanPS-ItalicMT"/>
          <w:i/>
          <w:iCs/>
          <w:color w:val="000000"/>
          <w:lang w:eastAsia="en-US"/>
        </w:rPr>
        <w:t xml:space="preserve"> </w:t>
      </w:r>
      <w:proofErr w:type="spellStart"/>
      <w:r>
        <w:rPr>
          <w:rFonts w:ascii="TimesNewRomanPS-ItalicMT" w:eastAsiaTheme="minorHAnsi" w:hAnsi="TimesNewRomanPS-ItalicMT" w:cs="TimesNewRomanPS-ItalicMT"/>
          <w:i/>
          <w:iCs/>
          <w:color w:val="000000"/>
          <w:lang w:eastAsia="en-US"/>
        </w:rPr>
        <w:t>de</w:t>
      </w:r>
      <w:proofErr w:type="spellEnd"/>
      <w:r>
        <w:rPr>
          <w:rFonts w:ascii="TimesNewRomanPS-ItalicMT" w:eastAsiaTheme="minorHAnsi" w:hAnsi="TimesNewRomanPS-ItalicMT" w:cs="TimesNewRomanPS-ItalicMT"/>
          <w:i/>
          <w:iCs/>
          <w:color w:val="000000"/>
          <w:lang w:eastAsia="en-US"/>
        </w:rPr>
        <w:t xml:space="preserve"> </w:t>
      </w:r>
      <w:proofErr w:type="spellStart"/>
      <w:r>
        <w:rPr>
          <w:rFonts w:ascii="TimesNewRomanPS-ItalicMT" w:eastAsiaTheme="minorHAnsi" w:hAnsi="TimesNewRomanPS-ItalicMT" w:cs="TimesNewRomanPS-ItalicMT"/>
          <w:i/>
          <w:iCs/>
          <w:color w:val="000000"/>
          <w:lang w:eastAsia="en-US"/>
        </w:rPr>
        <w:t>Servicios</w:t>
      </w:r>
      <w:proofErr w:type="spellEnd"/>
      <w:r>
        <w:rPr>
          <w:rFonts w:ascii="TimesNewRomanPS-ItalicMT" w:eastAsiaTheme="minorHAnsi" w:hAnsi="TimesNewRomanPS-ItalicMT" w:cs="TimesNewRomanPS-ItalicMT"/>
          <w:i/>
          <w:iCs/>
          <w:color w:val="000000"/>
          <w:lang w:eastAsia="en-US"/>
        </w:rPr>
        <w:t xml:space="preserve"> </w:t>
      </w:r>
      <w:proofErr w:type="spellStart"/>
      <w:r>
        <w:rPr>
          <w:rFonts w:ascii="TimesNewRomanPS-ItalicMT" w:eastAsiaTheme="minorHAnsi" w:hAnsi="TimesNewRomanPS-ItalicMT" w:cs="TimesNewRomanPS-ItalicMT"/>
          <w:i/>
          <w:iCs/>
          <w:color w:val="000000"/>
          <w:lang w:eastAsia="en-US"/>
        </w:rPr>
        <w:t>Privados</w:t>
      </w:r>
      <w:proofErr w:type="spellEnd"/>
      <w:r>
        <w:rPr>
          <w:rFonts w:ascii="TimesNewRomanPS-ItalicMT" w:eastAsiaTheme="minorHAnsi" w:hAnsi="TimesNewRomanPS-ItalicMT" w:cs="TimesNewRomanPS-ItalicMT"/>
          <w:i/>
          <w:iCs/>
          <w:color w:val="000000"/>
          <w:lang w:eastAsia="en-US"/>
        </w:rPr>
        <w:t xml:space="preserve"> </w:t>
      </w:r>
      <w:proofErr w:type="spellStart"/>
      <w:r>
        <w:rPr>
          <w:rFonts w:ascii="TimesNewRomanPS-ItalicMT" w:eastAsiaTheme="minorHAnsi" w:hAnsi="TimesNewRomanPS-ItalicMT" w:cs="TimesNewRomanPS-ItalicMT"/>
          <w:i/>
          <w:iCs/>
          <w:color w:val="000000"/>
          <w:lang w:eastAsia="en-US"/>
        </w:rPr>
        <w:t>del</w:t>
      </w:r>
      <w:proofErr w:type="spellEnd"/>
      <w:r>
        <w:rPr>
          <w:rFonts w:ascii="TimesNewRomanPS-ItalicMT" w:eastAsiaTheme="minorHAnsi" w:hAnsi="TimesNewRomanPS-ItalicMT" w:cs="TimesNewRomanPS-ItalicMT"/>
          <w:i/>
          <w:iCs/>
          <w:color w:val="000000"/>
          <w:lang w:eastAsia="en-US"/>
        </w:rPr>
        <w:t xml:space="preserve"> </w:t>
      </w:r>
      <w:proofErr w:type="spellStart"/>
      <w:r>
        <w:rPr>
          <w:rFonts w:ascii="TimesNewRomanPS-ItalicMT" w:eastAsiaTheme="minorHAnsi" w:hAnsi="TimesNewRomanPS-ItalicMT" w:cs="TimesNewRomanPS-ItalicMT"/>
          <w:i/>
          <w:iCs/>
          <w:color w:val="000000"/>
          <w:lang w:eastAsia="en-US"/>
        </w:rPr>
        <w:t>sindicato</w:t>
      </w:r>
      <w:proofErr w:type="spellEnd"/>
      <w:r>
        <w:rPr>
          <w:rFonts w:ascii="TimesNewRomanPS-ItalicMT" w:eastAsiaTheme="minorHAnsi" w:hAnsi="TimesNewRomanPS-ItalicMT" w:cs="TimesNewRomanPS-ItalicMT"/>
          <w:i/>
          <w:iCs/>
          <w:color w:val="000000"/>
          <w:lang w:eastAsia="en-US"/>
        </w:rPr>
        <w:t xml:space="preserve"> </w:t>
      </w:r>
      <w:proofErr w:type="spellStart"/>
      <w:r>
        <w:rPr>
          <w:rFonts w:ascii="TimesNewRomanPS-ItalicMT" w:eastAsiaTheme="minorHAnsi" w:hAnsi="TimesNewRomanPS-ItalicMT" w:cs="TimesNewRomanPS-ItalicMT"/>
          <w:i/>
          <w:iCs/>
          <w:color w:val="000000"/>
          <w:lang w:eastAsia="en-US"/>
        </w:rPr>
        <w:t>Comisiones</w:t>
      </w:r>
      <w:proofErr w:type="spellEnd"/>
      <w:r>
        <w:rPr>
          <w:rFonts w:ascii="TimesNewRomanPS-ItalicMT" w:eastAsiaTheme="minorHAnsi" w:hAnsi="TimesNewRomanPS-ItalicMT" w:cs="TimesNewRomanPS-ItalicMT"/>
          <w:i/>
          <w:iCs/>
          <w:color w:val="000000"/>
          <w:lang w:eastAsia="en-US"/>
        </w:rPr>
        <w:t xml:space="preserve"> </w:t>
      </w:r>
      <w:proofErr w:type="spellStart"/>
      <w:r>
        <w:rPr>
          <w:rFonts w:ascii="TimesNewRomanPS-ItalicMT" w:eastAsiaTheme="minorHAnsi" w:hAnsi="TimesNewRomanPS-ItalicMT" w:cs="TimesNewRomanPS-ItalicMT"/>
          <w:i/>
          <w:iCs/>
          <w:color w:val="000000"/>
          <w:lang w:eastAsia="en-US"/>
        </w:rPr>
        <w:t>obreras</w:t>
      </w:r>
      <w:proofErr w:type="spellEnd"/>
      <w:r>
        <w:rPr>
          <w:rFonts w:ascii="TimesNewRomanPS-ItalicMT" w:eastAsiaTheme="minorHAnsi" w:hAnsi="TimesNewRomanPS-ItalicMT" w:cs="TimesNewRomanPS-ItalicMT"/>
          <w:i/>
          <w:iCs/>
          <w:color w:val="000000"/>
          <w:lang w:eastAsia="en-US"/>
        </w:rPr>
        <w:t xml:space="preserve">, C-266/14, </w:t>
      </w:r>
      <w:r>
        <w:rPr>
          <w:rFonts w:ascii="TimesNewRomanPS-ItalicMT" w:eastAsiaTheme="minorHAnsi" w:hAnsi="TimesNewRomanPS-ItalicMT" w:cs="TimesNewRomanPS-ItalicMT"/>
          <w:i/>
          <w:iCs/>
          <w:color w:val="000081"/>
          <w:lang w:eastAsia="en-US"/>
        </w:rPr>
        <w:t xml:space="preserve">ECLI:EU:C:2015:578, </w:t>
      </w:r>
      <w:r>
        <w:rPr>
          <w:rFonts w:ascii="TimesNewRomanPS-ItalicMT" w:eastAsiaTheme="minorHAnsi" w:hAnsi="TimesNewRomanPS-ItalicMT" w:cs="TimesNewRomanPS-ItalicMT"/>
          <w:i/>
          <w:iCs/>
          <w:color w:val="000000"/>
          <w:lang w:eastAsia="en-US"/>
        </w:rPr>
        <w:t>26.punktu</w:t>
      </w:r>
      <w:r>
        <w:rPr>
          <w:rFonts w:ascii="TimesNewRomanPSMT" w:eastAsiaTheme="minorHAnsi" w:hAnsi="TimesNewRomanPSMT" w:cs="TimesNewRomanPSMT"/>
          <w:color w:val="000000"/>
          <w:lang w:eastAsia="en-US"/>
        </w:rPr>
        <w:t xml:space="preserve">). No Eiropas Savienības Tiesas judikatūras izriet, ka noteicošais darba laika klasificēšanas faktors ir tieši nodarbinātās personas pienākums atrasties darba devēja noteiktā vietā, lai nepieciešamības gadījumā varētu nekavējoties veikt savus profesionālos pienākumus. Tā kā nodarbinātais šādā gadījumā nevar brīvi izvēlēties savu atrašanās vietu, jebkurš šāds laikposms ir uzskatāms par darba laiku (sk., piemēram, </w:t>
      </w:r>
      <w:bookmarkStart w:id="2" w:name="_Hlk11747036"/>
      <w:r>
        <w:rPr>
          <w:rFonts w:ascii="TimesNewRomanPS-ItalicMT" w:eastAsiaTheme="minorHAnsi" w:hAnsi="TimesNewRomanPS-ItalicMT" w:cs="TimesNewRomanPS-ItalicMT"/>
          <w:i/>
          <w:iCs/>
          <w:color w:val="000000"/>
          <w:lang w:eastAsia="en-US"/>
        </w:rPr>
        <w:t xml:space="preserve">Eiropas Savienības Tiesas 2003.gada 9.septembra sprieduma lietā </w:t>
      </w:r>
      <w:proofErr w:type="spellStart"/>
      <w:r>
        <w:rPr>
          <w:rFonts w:ascii="TimesNewRomanPS-ItalicMT" w:eastAsiaTheme="minorHAnsi" w:hAnsi="TimesNewRomanPS-ItalicMT" w:cs="TimesNewRomanPS-ItalicMT"/>
          <w:i/>
          <w:iCs/>
          <w:color w:val="000000"/>
          <w:lang w:eastAsia="en-US"/>
        </w:rPr>
        <w:t>Jaeger</w:t>
      </w:r>
      <w:proofErr w:type="spellEnd"/>
      <w:r>
        <w:rPr>
          <w:rFonts w:ascii="TimesNewRomanPS-ItalicMT" w:eastAsiaTheme="minorHAnsi" w:hAnsi="TimesNewRomanPS-ItalicMT" w:cs="TimesNewRomanPS-ItalicMT"/>
          <w:i/>
          <w:iCs/>
          <w:color w:val="000000"/>
          <w:lang w:eastAsia="en-US"/>
        </w:rPr>
        <w:t xml:space="preserve">, C-151/02, </w:t>
      </w:r>
      <w:r>
        <w:rPr>
          <w:rFonts w:ascii="TimesNewRomanPS-ItalicMT" w:eastAsiaTheme="minorHAnsi" w:hAnsi="TimesNewRomanPS-ItalicMT" w:cs="TimesNewRomanPS-ItalicMT"/>
          <w:i/>
          <w:iCs/>
          <w:color w:val="000081"/>
          <w:lang w:eastAsia="en-US"/>
        </w:rPr>
        <w:t xml:space="preserve">ECLI:EU:C:2003:437, </w:t>
      </w:r>
      <w:r>
        <w:rPr>
          <w:rFonts w:ascii="TimesNewRomanPS-ItalicMT" w:eastAsiaTheme="minorHAnsi" w:hAnsi="TimesNewRomanPS-ItalicMT" w:cs="TimesNewRomanPS-ItalicMT"/>
          <w:i/>
          <w:iCs/>
          <w:color w:val="000000"/>
          <w:lang w:eastAsia="en-US"/>
        </w:rPr>
        <w:t>63.punktu</w:t>
      </w:r>
      <w:r>
        <w:rPr>
          <w:rFonts w:ascii="TimesNewRomanPSMT" w:eastAsiaTheme="minorHAnsi" w:hAnsi="TimesNewRomanPSMT" w:cs="TimesNewRomanPSMT"/>
          <w:color w:val="000000"/>
          <w:lang w:eastAsia="en-US"/>
        </w:rPr>
        <w:t xml:space="preserve">). Eiropas Savienības Tiesa ir atzinusi, ka šādu darba laika klasifikāciju nevar ietekmēt attiecīgajā laikposmā veiktā darba intensitāte, ražīgums un apjoms (sk. </w:t>
      </w:r>
      <w:r>
        <w:rPr>
          <w:rFonts w:ascii="TimesNewRomanPS-ItalicMT" w:eastAsiaTheme="minorHAnsi" w:hAnsi="TimesNewRomanPS-ItalicMT" w:cs="TimesNewRomanPS-ItalicMT"/>
          <w:i/>
          <w:iCs/>
          <w:color w:val="000000"/>
          <w:lang w:eastAsia="en-US"/>
        </w:rPr>
        <w:t xml:space="preserve">Eiropas Savienības Tiesas 2000.gada 3.oktobra sprieduma lietā </w:t>
      </w:r>
      <w:proofErr w:type="spellStart"/>
      <w:r>
        <w:rPr>
          <w:rFonts w:ascii="TimesNewRomanPS-ItalicMT" w:eastAsiaTheme="minorHAnsi" w:hAnsi="TimesNewRomanPS-ItalicMT" w:cs="TimesNewRomanPS-ItalicMT"/>
          <w:i/>
          <w:iCs/>
          <w:color w:val="000000"/>
          <w:lang w:eastAsia="en-US"/>
        </w:rPr>
        <w:t>Simap</w:t>
      </w:r>
      <w:proofErr w:type="spellEnd"/>
      <w:r>
        <w:rPr>
          <w:rFonts w:ascii="TimesNewRomanPS-ItalicMT" w:eastAsiaTheme="minorHAnsi" w:hAnsi="TimesNewRomanPS-ItalicMT" w:cs="TimesNewRomanPS-ItalicMT"/>
          <w:i/>
          <w:iCs/>
          <w:color w:val="000000"/>
          <w:lang w:eastAsia="en-US"/>
        </w:rPr>
        <w:t xml:space="preserve">, C-303/98, </w:t>
      </w:r>
      <w:r>
        <w:rPr>
          <w:rFonts w:ascii="TimesNewRomanPS-ItalicMT" w:eastAsiaTheme="minorHAnsi" w:hAnsi="TimesNewRomanPS-ItalicMT" w:cs="TimesNewRomanPS-ItalicMT"/>
          <w:i/>
          <w:iCs/>
          <w:color w:val="000081"/>
          <w:lang w:eastAsia="en-US"/>
        </w:rPr>
        <w:t xml:space="preserve">ECLI:EU:C:2000:528, </w:t>
      </w:r>
      <w:r>
        <w:rPr>
          <w:rFonts w:ascii="TimesNewRomanPS-ItalicMT" w:eastAsiaTheme="minorHAnsi" w:hAnsi="TimesNewRomanPS-ItalicMT" w:cs="TimesNewRomanPS-ItalicMT"/>
          <w:i/>
          <w:iCs/>
          <w:color w:val="000000"/>
          <w:lang w:eastAsia="en-US"/>
        </w:rPr>
        <w:t xml:space="preserve">48.punktu </w:t>
      </w:r>
      <w:r>
        <w:rPr>
          <w:rFonts w:ascii="TimesNewRomanPSMT" w:eastAsiaTheme="minorHAnsi" w:hAnsi="TimesNewRomanPSMT" w:cs="TimesNewRomanPSMT"/>
          <w:color w:val="000000"/>
          <w:lang w:eastAsia="en-US"/>
        </w:rPr>
        <w:t xml:space="preserve">un </w:t>
      </w:r>
      <w:r>
        <w:rPr>
          <w:rFonts w:ascii="TimesNewRomanPS-ItalicMT" w:eastAsiaTheme="minorHAnsi" w:hAnsi="TimesNewRomanPS-ItalicMT" w:cs="TimesNewRomanPS-ItalicMT"/>
          <w:i/>
          <w:iCs/>
          <w:color w:val="000000"/>
          <w:lang w:eastAsia="en-US"/>
        </w:rPr>
        <w:t xml:space="preserve">2005.gada 1.decembra sprieduma lietā </w:t>
      </w:r>
      <w:proofErr w:type="spellStart"/>
      <w:r>
        <w:rPr>
          <w:rFonts w:ascii="TimesNewRomanPS-ItalicMT" w:eastAsiaTheme="minorHAnsi" w:hAnsi="TimesNewRomanPS-ItalicMT" w:cs="TimesNewRomanPS-ItalicMT"/>
          <w:i/>
          <w:iCs/>
          <w:color w:val="000000"/>
          <w:lang w:eastAsia="en-US"/>
        </w:rPr>
        <w:t>Dellas</w:t>
      </w:r>
      <w:proofErr w:type="spellEnd"/>
      <w:r>
        <w:rPr>
          <w:rFonts w:ascii="TimesNewRomanPS-ItalicMT" w:eastAsiaTheme="minorHAnsi" w:hAnsi="TimesNewRomanPS-ItalicMT" w:cs="TimesNewRomanPS-ItalicMT"/>
          <w:i/>
          <w:iCs/>
          <w:color w:val="000000"/>
          <w:lang w:eastAsia="en-US"/>
        </w:rPr>
        <w:t xml:space="preserve"> u.c., C-14/04, </w:t>
      </w:r>
      <w:r>
        <w:rPr>
          <w:rFonts w:ascii="TimesNewRomanPS-ItalicMT" w:eastAsiaTheme="minorHAnsi" w:hAnsi="TimesNewRomanPS-ItalicMT" w:cs="TimesNewRomanPS-ItalicMT"/>
          <w:i/>
          <w:iCs/>
          <w:color w:val="000081"/>
          <w:lang w:eastAsia="en-US"/>
        </w:rPr>
        <w:t xml:space="preserve">ECLI:EU:C:2005:728 </w:t>
      </w:r>
      <w:r>
        <w:rPr>
          <w:rFonts w:ascii="TimesNewRomanPS-ItalicMT" w:eastAsiaTheme="minorHAnsi" w:hAnsi="TimesNewRomanPS-ItalicMT" w:cs="TimesNewRomanPS-ItalicMT"/>
          <w:i/>
          <w:iCs/>
          <w:color w:val="000000"/>
          <w:lang w:eastAsia="en-US"/>
        </w:rPr>
        <w:t>, 43.punktu</w:t>
      </w:r>
      <w:r>
        <w:rPr>
          <w:rFonts w:ascii="TimesNewRomanPSMT" w:eastAsiaTheme="minorHAnsi" w:hAnsi="TimesNewRomanPSMT" w:cs="TimesNewRomanPSMT"/>
          <w:color w:val="000000"/>
          <w:lang w:eastAsia="en-US"/>
        </w:rPr>
        <w:t xml:space="preserve">) vai tas, ka darba devējs nodrošina nodarbinātajam iespēju izmantot atpūtas istabu laikā, kamēr viņa pakalpojumi nav nepieciešami (sk. </w:t>
      </w:r>
      <w:r>
        <w:rPr>
          <w:rFonts w:ascii="TimesNewRomanPS-ItalicMT" w:eastAsiaTheme="minorHAnsi" w:hAnsi="TimesNewRomanPS-ItalicMT" w:cs="TimesNewRomanPS-ItalicMT"/>
          <w:i/>
          <w:iCs/>
          <w:color w:val="000000"/>
          <w:lang w:eastAsia="en-US"/>
        </w:rPr>
        <w:t xml:space="preserve">Eiropas Savienības Tiesas 2003.gada 9.septembra sprieduma lietā </w:t>
      </w:r>
      <w:proofErr w:type="spellStart"/>
      <w:r>
        <w:rPr>
          <w:rFonts w:ascii="TimesNewRomanPS-ItalicMT" w:eastAsiaTheme="minorHAnsi" w:hAnsi="TimesNewRomanPS-ItalicMT" w:cs="TimesNewRomanPS-ItalicMT"/>
          <w:i/>
          <w:iCs/>
          <w:color w:val="000000"/>
          <w:lang w:eastAsia="en-US"/>
        </w:rPr>
        <w:t>Jaeger</w:t>
      </w:r>
      <w:proofErr w:type="spellEnd"/>
      <w:r>
        <w:rPr>
          <w:rFonts w:ascii="TimesNewRomanPS-ItalicMT" w:eastAsiaTheme="minorHAnsi" w:hAnsi="TimesNewRomanPS-ItalicMT" w:cs="TimesNewRomanPS-ItalicMT"/>
          <w:i/>
          <w:iCs/>
          <w:color w:val="000000"/>
          <w:lang w:eastAsia="en-US"/>
        </w:rPr>
        <w:t xml:space="preserve">, C-151/02, </w:t>
      </w:r>
      <w:r>
        <w:rPr>
          <w:rFonts w:ascii="TimesNewRomanPS-ItalicMT" w:eastAsiaTheme="minorHAnsi" w:hAnsi="TimesNewRomanPS-ItalicMT" w:cs="TimesNewRomanPS-ItalicMT"/>
          <w:i/>
          <w:iCs/>
          <w:color w:val="000081"/>
          <w:lang w:eastAsia="en-US"/>
        </w:rPr>
        <w:t xml:space="preserve">ECLI:EU:C:2003:437, </w:t>
      </w:r>
      <w:r>
        <w:rPr>
          <w:rFonts w:ascii="TimesNewRomanPS-ItalicMT" w:eastAsiaTheme="minorHAnsi" w:hAnsi="TimesNewRomanPS-ItalicMT" w:cs="TimesNewRomanPS-ItalicMT"/>
          <w:i/>
          <w:iCs/>
          <w:color w:val="000000"/>
          <w:lang w:eastAsia="en-US"/>
        </w:rPr>
        <w:t>64.punktu</w:t>
      </w:r>
      <w:r>
        <w:rPr>
          <w:rFonts w:ascii="TimesNewRomanPSMT" w:eastAsiaTheme="minorHAnsi" w:hAnsi="TimesNewRomanPSMT" w:cs="TimesNewRomanPSMT"/>
          <w:color w:val="000000"/>
          <w:lang w:eastAsia="en-US"/>
        </w:rPr>
        <w:t xml:space="preserve">). Tādējādi Eiropas Savienības Tiesa ir atzinusi, ka „aktīvais </w:t>
      </w:r>
      <w:proofErr w:type="spellStart"/>
      <w:r>
        <w:rPr>
          <w:rFonts w:ascii="TimesNewRomanPSMT" w:eastAsiaTheme="minorHAnsi" w:hAnsi="TimesNewRomanPSMT" w:cs="TimesNewRomanPSMT"/>
          <w:color w:val="000000"/>
          <w:lang w:eastAsia="en-US"/>
        </w:rPr>
        <w:lastRenderedPageBreak/>
        <w:t>dežūrlaiks</w:t>
      </w:r>
      <w:proofErr w:type="spellEnd"/>
      <w:r>
        <w:rPr>
          <w:rFonts w:ascii="TimesNewRomanPSMT" w:eastAsiaTheme="minorHAnsi" w:hAnsi="TimesNewRomanPSMT" w:cs="TimesNewRomanPSMT"/>
          <w:color w:val="000000"/>
          <w:lang w:eastAsia="en-US"/>
        </w:rPr>
        <w:t xml:space="preserve">” uzskatāms par darba laiku Eiropas Savienības tiesību izpratnē (sk. </w:t>
      </w:r>
      <w:r>
        <w:rPr>
          <w:rFonts w:ascii="TimesNewRomanPS-ItalicMT" w:eastAsiaTheme="minorHAnsi" w:hAnsi="TimesNewRomanPS-ItalicMT" w:cs="TimesNewRomanPS-ItalicMT"/>
          <w:i/>
          <w:iCs/>
          <w:color w:val="000000"/>
          <w:lang w:eastAsia="en-US"/>
        </w:rPr>
        <w:t xml:space="preserve">Eiropas Savienības Tiesas 2000.gada 3.oktobra spriedumu lietā </w:t>
      </w:r>
      <w:proofErr w:type="spellStart"/>
      <w:r>
        <w:rPr>
          <w:rFonts w:ascii="TimesNewRomanPS-ItalicMT" w:eastAsiaTheme="minorHAnsi" w:hAnsi="TimesNewRomanPS-ItalicMT" w:cs="TimesNewRomanPS-ItalicMT"/>
          <w:i/>
          <w:iCs/>
          <w:color w:val="000000"/>
          <w:lang w:eastAsia="en-US"/>
        </w:rPr>
        <w:t>Simap</w:t>
      </w:r>
      <w:proofErr w:type="spellEnd"/>
      <w:r>
        <w:rPr>
          <w:rFonts w:ascii="TimesNewRomanPS-ItalicMT" w:eastAsiaTheme="minorHAnsi" w:hAnsi="TimesNewRomanPS-ItalicMT" w:cs="TimesNewRomanPS-ItalicMT"/>
          <w:i/>
          <w:iCs/>
          <w:color w:val="000000"/>
          <w:lang w:eastAsia="en-US"/>
        </w:rPr>
        <w:t xml:space="preserve">, C-303/98, </w:t>
      </w:r>
      <w:r>
        <w:rPr>
          <w:rFonts w:ascii="TimesNewRomanPS-ItalicMT" w:eastAsiaTheme="minorHAnsi" w:hAnsi="TimesNewRomanPS-ItalicMT" w:cs="TimesNewRomanPS-ItalicMT"/>
          <w:i/>
          <w:iCs/>
          <w:color w:val="000081"/>
          <w:lang w:eastAsia="en-US"/>
        </w:rPr>
        <w:t xml:space="preserve">ECLI:EU:C:2000:528, </w:t>
      </w:r>
      <w:r>
        <w:rPr>
          <w:rFonts w:ascii="TimesNewRomanPS-ItalicMT" w:eastAsiaTheme="minorHAnsi" w:hAnsi="TimesNewRomanPS-ItalicMT" w:cs="TimesNewRomanPS-ItalicMT"/>
          <w:i/>
          <w:iCs/>
          <w:color w:val="000000"/>
          <w:lang w:eastAsia="en-US"/>
        </w:rPr>
        <w:t xml:space="preserve">2005.gada 1.decembra spriedumu lietā </w:t>
      </w:r>
      <w:proofErr w:type="spellStart"/>
      <w:r>
        <w:rPr>
          <w:rFonts w:ascii="TimesNewRomanPS-ItalicMT" w:eastAsiaTheme="minorHAnsi" w:hAnsi="TimesNewRomanPS-ItalicMT" w:cs="TimesNewRomanPS-ItalicMT"/>
          <w:i/>
          <w:iCs/>
          <w:color w:val="000000"/>
          <w:lang w:eastAsia="en-US"/>
        </w:rPr>
        <w:t>Dellas</w:t>
      </w:r>
      <w:proofErr w:type="spellEnd"/>
      <w:r>
        <w:rPr>
          <w:rFonts w:ascii="TimesNewRomanPS-ItalicMT" w:eastAsiaTheme="minorHAnsi" w:hAnsi="TimesNewRomanPS-ItalicMT" w:cs="TimesNewRomanPS-ItalicMT"/>
          <w:i/>
          <w:iCs/>
          <w:color w:val="000000"/>
          <w:lang w:eastAsia="en-US"/>
        </w:rPr>
        <w:t xml:space="preserve"> u.c., C-14/04, </w:t>
      </w:r>
      <w:r>
        <w:rPr>
          <w:rFonts w:ascii="TimesNewRomanPS-ItalicMT" w:eastAsiaTheme="minorHAnsi" w:hAnsi="TimesNewRomanPS-ItalicMT" w:cs="TimesNewRomanPS-ItalicMT"/>
          <w:i/>
          <w:iCs/>
          <w:color w:val="000081"/>
          <w:lang w:eastAsia="en-US"/>
        </w:rPr>
        <w:t xml:space="preserve">ECLI:EU:C:2005:728 </w:t>
      </w:r>
      <w:r>
        <w:rPr>
          <w:rFonts w:ascii="TimesNewRomanPSMT" w:eastAsiaTheme="minorHAnsi" w:hAnsi="TimesNewRomanPSMT" w:cs="TimesNewRomanPSMT"/>
          <w:color w:val="000000"/>
          <w:lang w:eastAsia="en-US"/>
        </w:rPr>
        <w:t xml:space="preserve">un </w:t>
      </w:r>
      <w:r>
        <w:rPr>
          <w:rFonts w:ascii="TimesNewRomanPS-ItalicMT" w:eastAsiaTheme="minorHAnsi" w:hAnsi="TimesNewRomanPS-ItalicMT" w:cs="TimesNewRomanPS-ItalicMT"/>
          <w:i/>
          <w:iCs/>
          <w:color w:val="000000"/>
          <w:lang w:eastAsia="en-US"/>
        </w:rPr>
        <w:t xml:space="preserve">2018.gada 21.februāra spriedumu lietā </w:t>
      </w:r>
      <w:proofErr w:type="spellStart"/>
      <w:r>
        <w:rPr>
          <w:rFonts w:ascii="TimesNewRomanPS-ItalicMT" w:eastAsiaTheme="minorHAnsi" w:hAnsi="TimesNewRomanPS-ItalicMT" w:cs="TimesNewRomanPS-ItalicMT"/>
          <w:i/>
          <w:iCs/>
          <w:color w:val="000000"/>
          <w:lang w:eastAsia="en-US"/>
        </w:rPr>
        <w:t>Matzak</w:t>
      </w:r>
      <w:proofErr w:type="spellEnd"/>
      <w:r>
        <w:rPr>
          <w:rFonts w:ascii="TimesNewRomanPS-ItalicMT" w:eastAsiaTheme="minorHAnsi" w:hAnsi="TimesNewRomanPS-ItalicMT" w:cs="TimesNewRomanPS-ItalicMT"/>
          <w:i/>
          <w:iCs/>
          <w:color w:val="000000"/>
          <w:lang w:eastAsia="en-US"/>
        </w:rPr>
        <w:t>, C-518/15, ECLI:EU:C:2018:82</w:t>
      </w:r>
      <w:r>
        <w:rPr>
          <w:rFonts w:ascii="TimesNewRomanPSMT" w:eastAsiaTheme="minorHAnsi" w:hAnsi="TimesNewRomanPSMT" w:cs="TimesNewRomanPSMT"/>
          <w:color w:val="000000"/>
          <w:lang w:eastAsia="en-US"/>
        </w:rPr>
        <w:t xml:space="preserve">). Tātad „aktīvā dežūra” nepiešķirta pārtraukuma laikā ir uzskatāma par virsstundu darbu” (sk. </w:t>
      </w:r>
      <w:r>
        <w:rPr>
          <w:rFonts w:ascii="TimesNewRomanPS-ItalicMT" w:eastAsiaTheme="minorHAnsi" w:hAnsi="TimesNewRomanPS-ItalicMT" w:cs="TimesNewRomanPS-ItalicMT"/>
          <w:i/>
          <w:iCs/>
          <w:color w:val="000000"/>
          <w:lang w:eastAsia="en-US"/>
        </w:rPr>
        <w:t>Satversmes tiesas 2019.gada 2.maija sprieduma lietā Nr. 2018-14-01 15.2.punktu</w:t>
      </w:r>
      <w:r>
        <w:rPr>
          <w:rFonts w:ascii="TimesNewRomanPSMT" w:eastAsiaTheme="minorHAnsi" w:hAnsi="TimesNewRomanPSMT" w:cs="TimesNewRomanPSMT"/>
          <w:color w:val="000000"/>
          <w:lang w:eastAsia="en-US"/>
        </w:rPr>
        <w:t>).</w:t>
      </w:r>
    </w:p>
    <w:bookmarkEnd w:id="2"/>
    <w:p w14:paraId="1712A1A8" w14:textId="57D5326B"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[10.7] Iepriekš izklāstīto apsvērumu kopums ļauj secināt, ka apelācijas instances tiesas spriedumu daļā, ar kuru noraidīta prasība par virsstundu darba apmaksu, nevar atzīt par tiesisku, kas savukārt ir pamats kasācijas sūdzības apmierināšanai.</w:t>
      </w:r>
    </w:p>
    <w:p w14:paraId="2FD969A6" w14:textId="6BE1ACDC" w:rsidR="00A6537A" w:rsidRDefault="00A6537A" w:rsidP="00B971DE">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Ievērojot, ka prasība daļā par darba samaksas piedziņu šajā gadījumā sastāv no prasījuma par 2017.gada aprīļa darba algas un piemaksas par virsstundu darbu piedziņu, taču prasība noraidīta, ne sprieduma motīvu daļā, ne rezolutīvajā daļā nenorādot uz konkrētām pieprasīto un noraidīto prasījumu summām, sprieduma atceļams arī attiecībā par 2017.gada aprīļa darba algas piedziņu.</w:t>
      </w:r>
    </w:p>
    <w:p w14:paraId="1799357A" w14:textId="77777777" w:rsidR="00EE01F0" w:rsidRDefault="00EE01F0" w:rsidP="00B971DE">
      <w:pPr>
        <w:autoSpaceDE w:val="0"/>
        <w:autoSpaceDN w:val="0"/>
        <w:adjustRightInd w:val="0"/>
        <w:spacing w:line="276" w:lineRule="auto"/>
        <w:jc w:val="center"/>
        <w:rPr>
          <w:rFonts w:ascii="TimesNewRomanPS-BoldMT" w:eastAsiaTheme="minorHAnsi" w:hAnsi="TimesNewRomanPS-BoldMT" w:cs="TimesNewRomanPS-BoldMT"/>
          <w:b/>
          <w:bCs/>
          <w:color w:val="000000"/>
          <w:lang w:eastAsia="en-US"/>
        </w:rPr>
      </w:pPr>
    </w:p>
    <w:p w14:paraId="42B6C6B8" w14:textId="6BA548DC" w:rsidR="00A6537A" w:rsidRDefault="00A6537A" w:rsidP="00B971DE">
      <w:pPr>
        <w:autoSpaceDE w:val="0"/>
        <w:autoSpaceDN w:val="0"/>
        <w:adjustRightInd w:val="0"/>
        <w:spacing w:line="276" w:lineRule="auto"/>
        <w:jc w:val="center"/>
        <w:rPr>
          <w:rFonts w:ascii="TimesNewRomanPS-BoldMT" w:eastAsiaTheme="minorHAnsi" w:hAnsi="TimesNewRomanPS-BoldMT" w:cs="TimesNewRomanPS-BoldMT"/>
          <w:b/>
          <w:bCs/>
          <w:color w:val="000000"/>
          <w:lang w:eastAsia="en-US"/>
        </w:rPr>
      </w:pPr>
      <w:r>
        <w:rPr>
          <w:rFonts w:ascii="TimesNewRomanPS-BoldMT" w:eastAsiaTheme="minorHAnsi" w:hAnsi="TimesNewRomanPS-BoldMT" w:cs="TimesNewRomanPS-BoldMT"/>
          <w:b/>
          <w:bCs/>
          <w:color w:val="000000"/>
          <w:lang w:eastAsia="en-US"/>
        </w:rPr>
        <w:t>Rezolutīvā daļa</w:t>
      </w:r>
    </w:p>
    <w:p w14:paraId="3EE911F7" w14:textId="77777777" w:rsidR="00EE01F0" w:rsidRDefault="00EE01F0" w:rsidP="00B971DE">
      <w:pPr>
        <w:autoSpaceDE w:val="0"/>
        <w:autoSpaceDN w:val="0"/>
        <w:adjustRightInd w:val="0"/>
        <w:spacing w:line="276" w:lineRule="auto"/>
        <w:jc w:val="center"/>
        <w:rPr>
          <w:rFonts w:ascii="TimesNewRomanPS-BoldMT" w:eastAsiaTheme="minorHAnsi" w:hAnsi="TimesNewRomanPS-BoldMT" w:cs="TimesNewRomanPS-BoldMT"/>
          <w:b/>
          <w:bCs/>
          <w:color w:val="000000"/>
          <w:lang w:eastAsia="en-US"/>
        </w:rPr>
      </w:pPr>
    </w:p>
    <w:p w14:paraId="78F24A45" w14:textId="77777777" w:rsidR="00A6537A" w:rsidRDefault="00A6537A" w:rsidP="00B971DE">
      <w:pPr>
        <w:autoSpaceDE w:val="0"/>
        <w:autoSpaceDN w:val="0"/>
        <w:adjustRightInd w:val="0"/>
        <w:spacing w:line="276" w:lineRule="auto"/>
        <w:ind w:firstLine="567"/>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Pamatojoties uz Civilprocesa likuma 474.panta 2.punktu un 477.pantu, Senāts</w:t>
      </w:r>
    </w:p>
    <w:p w14:paraId="057FF869" w14:textId="77777777" w:rsidR="00EE01F0" w:rsidRDefault="00EE01F0" w:rsidP="00B971DE">
      <w:pPr>
        <w:autoSpaceDE w:val="0"/>
        <w:autoSpaceDN w:val="0"/>
        <w:adjustRightInd w:val="0"/>
        <w:spacing w:line="276" w:lineRule="auto"/>
        <w:jc w:val="center"/>
        <w:rPr>
          <w:rFonts w:ascii="TimesNewRomanPS-BoldMT" w:eastAsiaTheme="minorHAnsi" w:hAnsi="TimesNewRomanPS-BoldMT" w:cs="TimesNewRomanPS-BoldMT"/>
          <w:b/>
          <w:bCs/>
          <w:color w:val="000000"/>
          <w:lang w:eastAsia="en-US"/>
        </w:rPr>
      </w:pPr>
    </w:p>
    <w:p w14:paraId="02183993" w14:textId="19992541" w:rsidR="00A6537A" w:rsidRDefault="002D3CD0" w:rsidP="00B971DE">
      <w:pPr>
        <w:autoSpaceDE w:val="0"/>
        <w:autoSpaceDN w:val="0"/>
        <w:adjustRightInd w:val="0"/>
        <w:spacing w:line="276" w:lineRule="auto"/>
        <w:jc w:val="center"/>
        <w:rPr>
          <w:rFonts w:ascii="TimesNewRomanPS-BoldMT" w:eastAsiaTheme="minorHAnsi" w:hAnsi="TimesNewRomanPS-BoldMT" w:cs="TimesNewRomanPS-BoldMT"/>
          <w:b/>
          <w:bCs/>
          <w:color w:val="000000"/>
          <w:lang w:eastAsia="en-US"/>
        </w:rPr>
      </w:pPr>
      <w:r>
        <w:rPr>
          <w:rFonts w:ascii="TimesNewRomanPS-BoldMT" w:eastAsiaTheme="minorHAnsi" w:hAnsi="TimesNewRomanPS-BoldMT" w:cs="TimesNewRomanPS-BoldMT"/>
          <w:b/>
          <w:bCs/>
          <w:color w:val="000000"/>
          <w:lang w:eastAsia="en-US"/>
        </w:rPr>
        <w:t>n</w:t>
      </w:r>
      <w:r w:rsidR="00A6537A">
        <w:rPr>
          <w:rFonts w:ascii="TimesNewRomanPS-BoldMT" w:eastAsiaTheme="minorHAnsi" w:hAnsi="TimesNewRomanPS-BoldMT" w:cs="TimesNewRomanPS-BoldMT"/>
          <w:b/>
          <w:bCs/>
          <w:color w:val="000000"/>
          <w:lang w:eastAsia="en-US"/>
        </w:rPr>
        <w:t>osprieda</w:t>
      </w:r>
    </w:p>
    <w:p w14:paraId="7E6E087C" w14:textId="77777777" w:rsidR="00EE01F0" w:rsidRDefault="00EE01F0" w:rsidP="00B971DE">
      <w:pPr>
        <w:autoSpaceDE w:val="0"/>
        <w:autoSpaceDN w:val="0"/>
        <w:adjustRightInd w:val="0"/>
        <w:spacing w:line="276" w:lineRule="auto"/>
        <w:jc w:val="center"/>
        <w:rPr>
          <w:rFonts w:ascii="TimesNewRomanPS-BoldMT" w:eastAsiaTheme="minorHAnsi" w:hAnsi="TimesNewRomanPS-BoldMT" w:cs="TimesNewRomanPS-BoldMT"/>
          <w:b/>
          <w:bCs/>
          <w:color w:val="000000"/>
          <w:lang w:eastAsia="en-US"/>
        </w:rPr>
      </w:pPr>
    </w:p>
    <w:p w14:paraId="38BB03BA" w14:textId="3627DDAD" w:rsidR="00A6537A" w:rsidRDefault="00A6537A" w:rsidP="00EE01F0">
      <w:pPr>
        <w:autoSpaceDE w:val="0"/>
        <w:autoSpaceDN w:val="0"/>
        <w:adjustRightInd w:val="0"/>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atcelt Kurzemes apgabaltiesas Civillietu tiesas kolēģijas 2018.gada 22.oktobra spriedumu daļā, ar kuru noraidīta [pers. A] prasība pret SIA </w:t>
      </w:r>
      <w:r w:rsidR="00837E72">
        <w:rPr>
          <w:rFonts w:ascii="TimesNewRomanPSMT" w:eastAsiaTheme="minorHAnsi" w:hAnsi="TimesNewRomanPSMT" w:cs="TimesNewRomanPSMT"/>
          <w:color w:val="000000"/>
          <w:lang w:eastAsia="en-US"/>
        </w:rPr>
        <w:t>„</w:t>
      </w:r>
      <w:r w:rsidR="00837E72">
        <w:rPr>
          <w:rFonts w:ascii="TimesNewRomanPSMT" w:eastAsiaTheme="minorHAnsi" w:hAnsi="TimesNewRomanPSMT" w:cs="TimesNewRomanPSMT"/>
          <w:lang w:eastAsia="en-US"/>
        </w:rPr>
        <w:t>[Nosaukums]</w:t>
      </w:r>
      <w:r>
        <w:rPr>
          <w:rFonts w:ascii="TimesNewRomanPSMT" w:eastAsiaTheme="minorHAnsi" w:hAnsi="TimesNewRomanPSMT" w:cs="TimesNewRomanPSMT"/>
          <w:color w:val="000000"/>
          <w:lang w:eastAsia="en-US"/>
        </w:rPr>
        <w:t>” par darba samaksas piedziņu, nododot lietu šajā daļā jaunai izskatīšanai Kurzemes apgabaltiesā.</w:t>
      </w:r>
    </w:p>
    <w:p w14:paraId="656CD275" w14:textId="798AD8DF" w:rsidR="00A6537A" w:rsidRPr="006B1833" w:rsidRDefault="00A6537A" w:rsidP="00EE01F0">
      <w:pPr>
        <w:spacing w:line="276" w:lineRule="auto"/>
        <w:ind w:firstLine="567"/>
        <w:jc w:val="both"/>
      </w:pPr>
      <w:r>
        <w:rPr>
          <w:rFonts w:ascii="TimesNewRomanPSMT" w:eastAsiaTheme="minorHAnsi" w:hAnsi="TimesNewRomanPSMT" w:cs="TimesNewRomanPSMT"/>
          <w:color w:val="000000"/>
          <w:lang w:eastAsia="en-US"/>
        </w:rPr>
        <w:t>Spriedums nav pārsūdzams.</w:t>
      </w:r>
      <w:bookmarkStart w:id="3" w:name="_GoBack"/>
      <w:bookmarkEnd w:id="3"/>
    </w:p>
    <w:sectPr w:rsidR="00A6537A" w:rsidRPr="006B1833" w:rsidSect="0056411E">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14E75" w14:textId="77777777" w:rsidR="001B06C6" w:rsidRDefault="001B06C6" w:rsidP="0039129A">
      <w:r>
        <w:separator/>
      </w:r>
    </w:p>
  </w:endnote>
  <w:endnote w:type="continuationSeparator" w:id="0">
    <w:p w14:paraId="2D9F50D9" w14:textId="77777777" w:rsidR="001B06C6" w:rsidRDefault="001B06C6" w:rsidP="0039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BEC4B" w14:textId="77777777" w:rsidR="001B06C6" w:rsidRDefault="001B06C6" w:rsidP="0039129A">
      <w:r>
        <w:separator/>
      </w:r>
    </w:p>
  </w:footnote>
  <w:footnote w:type="continuationSeparator" w:id="0">
    <w:p w14:paraId="3307156C" w14:textId="77777777" w:rsidR="001B06C6" w:rsidRDefault="001B06C6" w:rsidP="00391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09E"/>
    <w:multiLevelType w:val="multilevel"/>
    <w:tmpl w:val="A81CBE26"/>
    <w:lvl w:ilvl="0">
      <w:start w:val="1"/>
      <w:numFmt w:val="lowerLetter"/>
      <w:lvlText w:val="%1)"/>
      <w:lvlJc w:val="left"/>
      <w:pPr>
        <w:ind w:left="1117"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987560"/>
    <w:multiLevelType w:val="multilevel"/>
    <w:tmpl w:val="6AE07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83308D"/>
    <w:multiLevelType w:val="multilevel"/>
    <w:tmpl w:val="978AF0FE"/>
    <w:lvl w:ilvl="0">
      <w:start w:val="1"/>
      <w:numFmt w:val="lowerLetter"/>
      <w:lvlText w:val="%1)"/>
      <w:lvlJc w:val="left"/>
      <w:pPr>
        <w:ind w:left="1117"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04F2548"/>
    <w:multiLevelType w:val="multilevel"/>
    <w:tmpl w:val="6AE078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E2793A"/>
    <w:multiLevelType w:val="multilevel"/>
    <w:tmpl w:val="6AE078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C42D11"/>
    <w:multiLevelType w:val="multilevel"/>
    <w:tmpl w:val="666CC7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6F4A7C"/>
    <w:multiLevelType w:val="multilevel"/>
    <w:tmpl w:val="6AE078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296D87"/>
    <w:multiLevelType w:val="multilevel"/>
    <w:tmpl w:val="2D603FC6"/>
    <w:lvl w:ilvl="0">
      <w:start w:val="1"/>
      <w:numFmt w:val="lowerLetter"/>
      <w:lvlText w:val="%1)"/>
      <w:lvlJc w:val="left"/>
      <w:pPr>
        <w:ind w:left="1117"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3347C85"/>
    <w:multiLevelType w:val="multilevel"/>
    <w:tmpl w:val="7ED66FA2"/>
    <w:lvl w:ilvl="0">
      <w:start w:val="1"/>
      <w:numFmt w:val="lowerLetter"/>
      <w:lvlText w:val="%1)"/>
      <w:lvlJc w:val="left"/>
      <w:pPr>
        <w:ind w:left="1117"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CC2E5E"/>
    <w:multiLevelType w:val="multilevel"/>
    <w:tmpl w:val="0FA477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lvlText w:val="%3."/>
      <w:lvlJc w:val="left"/>
      <w:pPr>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7DD4DE1"/>
    <w:multiLevelType w:val="hybridMultilevel"/>
    <w:tmpl w:val="0186E2CC"/>
    <w:lvl w:ilvl="0" w:tplc="0A2EF0F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65B9C"/>
    <w:multiLevelType w:val="hybridMultilevel"/>
    <w:tmpl w:val="4F087EB6"/>
    <w:lvl w:ilvl="0" w:tplc="0A2EF0F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4"/>
  </w:num>
  <w:num w:numId="5">
    <w:abstractNumId w:val="7"/>
  </w:num>
  <w:num w:numId="6">
    <w:abstractNumId w:val="0"/>
  </w:num>
  <w:num w:numId="7">
    <w:abstractNumId w:val="10"/>
  </w:num>
  <w:num w:numId="8">
    <w:abstractNumId w:val="3"/>
  </w:num>
  <w:num w:numId="9">
    <w:abstractNumId w:val="6"/>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7B"/>
    <w:rsid w:val="000B7B5E"/>
    <w:rsid w:val="00105ABC"/>
    <w:rsid w:val="00183ED5"/>
    <w:rsid w:val="001B06C6"/>
    <w:rsid w:val="002D3CD0"/>
    <w:rsid w:val="0039129A"/>
    <w:rsid w:val="004146AA"/>
    <w:rsid w:val="00516645"/>
    <w:rsid w:val="0056411E"/>
    <w:rsid w:val="005D66D6"/>
    <w:rsid w:val="006714C5"/>
    <w:rsid w:val="006B1833"/>
    <w:rsid w:val="006F7305"/>
    <w:rsid w:val="0076664E"/>
    <w:rsid w:val="00767D5E"/>
    <w:rsid w:val="00837E72"/>
    <w:rsid w:val="00A6537A"/>
    <w:rsid w:val="00A85F7A"/>
    <w:rsid w:val="00AD5D99"/>
    <w:rsid w:val="00B5481B"/>
    <w:rsid w:val="00B971DE"/>
    <w:rsid w:val="00C9637B"/>
    <w:rsid w:val="00CB544D"/>
    <w:rsid w:val="00DD4478"/>
    <w:rsid w:val="00DF507B"/>
    <w:rsid w:val="00E86498"/>
    <w:rsid w:val="00EA4243"/>
    <w:rsid w:val="00EC3380"/>
    <w:rsid w:val="00EE01F0"/>
    <w:rsid w:val="00F12242"/>
    <w:rsid w:val="00F62A88"/>
    <w:rsid w:val="00FA58EE"/>
    <w:rsid w:val="00FE4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923B"/>
  <w15:chartTrackingRefBased/>
  <w15:docId w15:val="{B9030AB1-518B-4E16-AFFD-E7399DB5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4E"/>
    <w:pPr>
      <w:spacing w:line="240" w:lineRule="auto"/>
    </w:pPr>
    <w:rPr>
      <w:rFonts w:eastAsia="Times New Roman" w:cs="Times New Roman"/>
      <w:szCs w:val="24"/>
      <w:lang w:eastAsia="lv-LV"/>
    </w:rPr>
  </w:style>
  <w:style w:type="paragraph" w:styleId="Heading3">
    <w:name w:val="heading 3"/>
    <w:basedOn w:val="Normal"/>
    <w:next w:val="Normal"/>
    <w:link w:val="Heading3Char"/>
    <w:unhideWhenUsed/>
    <w:qFormat/>
    <w:rsid w:val="004146AA"/>
    <w:pPr>
      <w:keepNext/>
      <w:spacing w:before="240" w:after="120"/>
      <w:jc w:val="center"/>
      <w:outlineLvl w:val="2"/>
    </w:pPr>
    <w:rPr>
      <w:b/>
      <w:bCs/>
      <w:sz w:val="22"/>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129A"/>
    <w:rPr>
      <w:sz w:val="20"/>
      <w:szCs w:val="20"/>
    </w:rPr>
  </w:style>
  <w:style w:type="character" w:customStyle="1" w:styleId="FootnoteTextChar">
    <w:name w:val="Footnote Text Char"/>
    <w:basedOn w:val="DefaultParagraphFont"/>
    <w:link w:val="FootnoteText"/>
    <w:uiPriority w:val="99"/>
    <w:semiHidden/>
    <w:rsid w:val="0039129A"/>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39129A"/>
    <w:rPr>
      <w:vertAlign w:val="superscript"/>
    </w:rPr>
  </w:style>
  <w:style w:type="character" w:customStyle="1" w:styleId="Heading3Char">
    <w:name w:val="Heading 3 Char"/>
    <w:basedOn w:val="DefaultParagraphFont"/>
    <w:link w:val="Heading3"/>
    <w:qFormat/>
    <w:rsid w:val="004146AA"/>
    <w:rPr>
      <w:rFonts w:eastAsia="Times New Roman" w:cs="Times New Roman"/>
      <w:b/>
      <w:bCs/>
      <w:sz w:val="22"/>
      <w:szCs w:val="26"/>
      <w:lang w:val="en-GB"/>
    </w:rPr>
  </w:style>
  <w:style w:type="paragraph" w:styleId="ListParagraph">
    <w:name w:val="List Paragraph"/>
    <w:basedOn w:val="Normal"/>
    <w:qFormat/>
    <w:rsid w:val="004146AA"/>
    <w:pPr>
      <w:ind w:left="720"/>
      <w:contextualSpacing/>
    </w:pPr>
    <w:rPr>
      <w:lang w:val="en-GB" w:eastAsia="en-US"/>
    </w:rPr>
  </w:style>
  <w:style w:type="character" w:styleId="Hyperlink">
    <w:name w:val="Hyperlink"/>
    <w:basedOn w:val="DefaultParagraphFont"/>
    <w:unhideWhenUsed/>
    <w:rsid w:val="006714C5"/>
    <w:rPr>
      <w:color w:val="0563C1" w:themeColor="hyperlink"/>
      <w:u w:val="single"/>
    </w:rPr>
  </w:style>
  <w:style w:type="paragraph" w:styleId="PlainText">
    <w:name w:val="Plain Text"/>
    <w:basedOn w:val="Normal"/>
    <w:link w:val="PlainTextChar"/>
    <w:uiPriority w:val="99"/>
    <w:unhideWhenUsed/>
    <w:rsid w:val="006714C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714C5"/>
    <w:rPr>
      <w:rFonts w:ascii="Calibri" w:hAnsi="Calibri"/>
      <w:sz w:val="22"/>
      <w:szCs w:val="21"/>
    </w:rPr>
  </w:style>
  <w:style w:type="paragraph" w:styleId="BodyText2">
    <w:name w:val="Body Text 2"/>
    <w:basedOn w:val="Normal"/>
    <w:link w:val="BodyText2Char"/>
    <w:rsid w:val="00B971DE"/>
    <w:pPr>
      <w:jc w:val="right"/>
    </w:pPr>
    <w:rPr>
      <w:rFonts w:ascii="Garamond" w:hAnsi="Garamond"/>
      <w:sz w:val="28"/>
      <w:szCs w:val="28"/>
      <w:lang w:eastAsia="en-US"/>
    </w:rPr>
  </w:style>
  <w:style w:type="character" w:customStyle="1" w:styleId="BodyText2Char">
    <w:name w:val="Body Text 2 Char"/>
    <w:basedOn w:val="DefaultParagraphFont"/>
    <w:link w:val="BodyText2"/>
    <w:rsid w:val="00B971DE"/>
    <w:rPr>
      <w:rFonts w:ascii="Garamond" w:eastAsia="Times New Roman" w:hAnsi="Garamond" w:cs="Times New Roman"/>
      <w:sz w:val="28"/>
      <w:szCs w:val="28"/>
    </w:rPr>
  </w:style>
  <w:style w:type="character" w:styleId="Strong">
    <w:name w:val="Strong"/>
    <w:uiPriority w:val="22"/>
    <w:qFormat/>
    <w:rsid w:val="00B97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33594">
      <w:bodyDiv w:val="1"/>
      <w:marLeft w:val="0"/>
      <w:marRight w:val="0"/>
      <w:marTop w:val="0"/>
      <w:marBottom w:val="0"/>
      <w:divBdr>
        <w:top w:val="none" w:sz="0" w:space="0" w:color="auto"/>
        <w:left w:val="none" w:sz="0" w:space="0" w:color="auto"/>
        <w:bottom w:val="none" w:sz="0" w:space="0" w:color="auto"/>
        <w:right w:val="none" w:sz="0" w:space="0" w:color="auto"/>
      </w:divBdr>
    </w:div>
    <w:div w:id="13433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6000C-A731-4B1D-8952-826C0E47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18840</Words>
  <Characters>10739</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2019-06-17T09:08:00Z</dcterms:created>
  <dcterms:modified xsi:type="dcterms:W3CDTF">2019-07-09T13:28:00Z</dcterms:modified>
</cp:coreProperties>
</file>