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D9FA" w14:textId="7A376B60" w:rsidR="00EA0E1E" w:rsidRDefault="00EA0E1E"/>
    <w:p w14:paraId="3B1F4D9E" w14:textId="3AF17719" w:rsidR="00FD0F3E" w:rsidRDefault="00FD0F3E"/>
    <w:p w14:paraId="3E6765D4" w14:textId="77777777" w:rsidR="00FD0F3E" w:rsidRDefault="00FD0F3E" w:rsidP="00FD0F3E">
      <w:pPr>
        <w:tabs>
          <w:tab w:val="left" w:pos="3318"/>
        </w:tabs>
        <w:spacing w:after="0" w:line="240" w:lineRule="auto"/>
        <w:rPr>
          <w:b/>
        </w:rPr>
      </w:pPr>
      <w:r>
        <w:rPr>
          <w:b/>
        </w:rPr>
        <w:t>Mantojuma iegūšana, ja mantojuma atklāšanās brīdī nav noteikta paternitāte</w:t>
      </w:r>
    </w:p>
    <w:p w14:paraId="1FBA5481" w14:textId="77777777" w:rsidR="00FD0F3E" w:rsidRDefault="00FD0F3E" w:rsidP="00FD0F3E">
      <w:pPr>
        <w:tabs>
          <w:tab w:val="left" w:pos="3318"/>
        </w:tabs>
        <w:spacing w:after="0" w:line="240" w:lineRule="auto"/>
        <w:rPr>
          <w:b/>
        </w:rPr>
      </w:pPr>
    </w:p>
    <w:p w14:paraId="4A488E36" w14:textId="77777777" w:rsidR="00FD0F3E" w:rsidRDefault="00FD0F3E" w:rsidP="00FD0F3E">
      <w:pPr>
        <w:tabs>
          <w:tab w:val="left" w:pos="3318"/>
        </w:tabs>
        <w:spacing w:after="0" w:line="240" w:lineRule="auto"/>
        <w:jc w:val="both"/>
        <w:rPr>
          <w:b/>
        </w:rPr>
      </w:pPr>
      <w:r>
        <w:t>Mantojuma atklāšanās brīdī nenoteikta bērna paternitāte nav uzskatāma par šķērsli mantojuma iegūšanai. Likums neierobežo bērna tiesības celt prasību nolūkā noteikt savu izcelšanos no konkrētas personas.</w:t>
      </w:r>
    </w:p>
    <w:p w14:paraId="5C84940B" w14:textId="77777777" w:rsidR="00FD0F3E" w:rsidRDefault="00FD0F3E" w:rsidP="00FD0F3E">
      <w:pPr>
        <w:spacing w:after="0" w:line="276" w:lineRule="auto"/>
        <w:ind w:firstLine="567"/>
        <w:jc w:val="center"/>
        <w:rPr>
          <w:rFonts w:eastAsia="Times New Roman" w:cs="Times New Roman"/>
          <w:b/>
          <w:bCs/>
          <w:color w:val="000000"/>
          <w:szCs w:val="24"/>
          <w:lang w:eastAsia="lv-LV"/>
        </w:rPr>
      </w:pPr>
    </w:p>
    <w:p w14:paraId="65304F72" w14:textId="77777777" w:rsidR="00FD0F3E" w:rsidRDefault="00FD0F3E" w:rsidP="00FD0F3E">
      <w:pPr>
        <w:spacing w:after="0" w:line="276" w:lineRule="auto"/>
        <w:ind w:firstLine="567"/>
        <w:jc w:val="center"/>
        <w:rPr>
          <w:rFonts w:eastAsia="Times New Roman" w:cs="Times New Roman"/>
          <w:b/>
          <w:bCs/>
          <w:color w:val="000000"/>
          <w:szCs w:val="24"/>
          <w:lang w:eastAsia="lv-LV"/>
        </w:rPr>
      </w:pPr>
      <w:r>
        <w:rPr>
          <w:rFonts w:eastAsia="Times New Roman" w:cs="Times New Roman"/>
          <w:b/>
          <w:bCs/>
          <w:color w:val="000000"/>
          <w:szCs w:val="24"/>
          <w:lang w:eastAsia="lv-LV"/>
        </w:rPr>
        <w:t>Latvijas Republikas Senāta</w:t>
      </w:r>
    </w:p>
    <w:p w14:paraId="0964C65F" w14:textId="77777777" w:rsidR="00FD0F3E" w:rsidRDefault="00FD0F3E" w:rsidP="00FD0F3E">
      <w:pPr>
        <w:spacing w:after="0" w:line="276" w:lineRule="auto"/>
        <w:ind w:firstLine="567"/>
        <w:jc w:val="center"/>
        <w:rPr>
          <w:rFonts w:eastAsia="Times New Roman" w:cs="Times New Roman"/>
          <w:b/>
          <w:bCs/>
          <w:color w:val="000000"/>
          <w:szCs w:val="24"/>
          <w:lang w:eastAsia="lv-LV"/>
        </w:rPr>
      </w:pPr>
      <w:r>
        <w:rPr>
          <w:rFonts w:eastAsia="Times New Roman" w:cs="Times New Roman"/>
          <w:b/>
          <w:bCs/>
          <w:color w:val="000000"/>
          <w:szCs w:val="24"/>
          <w:lang w:eastAsia="lv-LV"/>
        </w:rPr>
        <w:t>Civillietu departamenta</w:t>
      </w:r>
    </w:p>
    <w:p w14:paraId="7A1AEAF2" w14:textId="77777777" w:rsidR="00FD0F3E" w:rsidRDefault="00FD0F3E" w:rsidP="00FD0F3E">
      <w:pPr>
        <w:spacing w:after="0" w:line="276" w:lineRule="auto"/>
        <w:ind w:firstLine="567"/>
        <w:jc w:val="center"/>
        <w:rPr>
          <w:rFonts w:eastAsia="Times New Roman" w:cs="Times New Roman"/>
          <w:b/>
          <w:bCs/>
          <w:color w:val="000000"/>
          <w:szCs w:val="24"/>
          <w:lang w:eastAsia="lv-LV"/>
        </w:rPr>
      </w:pPr>
      <w:r>
        <w:rPr>
          <w:rFonts w:eastAsia="Times New Roman" w:cs="Times New Roman"/>
          <w:b/>
          <w:bCs/>
          <w:color w:val="000000"/>
          <w:szCs w:val="24"/>
          <w:lang w:eastAsia="lv-LV"/>
        </w:rPr>
        <w:t>2019.gada [..]</w:t>
      </w:r>
    </w:p>
    <w:p w14:paraId="75B44E35" w14:textId="77777777" w:rsidR="00FD0F3E" w:rsidRDefault="00FD0F3E" w:rsidP="00FD0F3E">
      <w:pPr>
        <w:spacing w:after="0" w:line="276" w:lineRule="auto"/>
        <w:contextualSpacing/>
        <w:jc w:val="center"/>
        <w:rPr>
          <w:bCs/>
        </w:rPr>
      </w:pPr>
      <w:r>
        <w:rPr>
          <w:rFonts w:eastAsia="Times New Roman" w:cs="Times New Roman"/>
          <w:b/>
          <w:bCs/>
          <w:color w:val="000000"/>
          <w:szCs w:val="24"/>
          <w:lang w:eastAsia="lv-LV"/>
        </w:rPr>
        <w:t>SPRIEDUMS</w:t>
      </w:r>
      <w:r>
        <w:rPr>
          <w:rStyle w:val="FootnoteReference"/>
        </w:rPr>
        <w:footnoteReference w:id="1"/>
      </w:r>
    </w:p>
    <w:p w14:paraId="212930AE" w14:textId="77777777" w:rsidR="00FD0F3E" w:rsidRDefault="00FD0F3E" w:rsidP="00FD0F3E">
      <w:pPr>
        <w:spacing w:after="0" w:line="276" w:lineRule="auto"/>
        <w:jc w:val="center"/>
        <w:rPr>
          <w:rFonts w:eastAsia="Times New Roman"/>
          <w:b/>
          <w:color w:val="000000"/>
          <w:lang w:eastAsia="lv-LV"/>
        </w:rPr>
      </w:pPr>
      <w:r>
        <w:rPr>
          <w:rFonts w:eastAsia="Times New Roman"/>
          <w:b/>
          <w:color w:val="000000"/>
          <w:lang w:eastAsia="lv-LV"/>
        </w:rPr>
        <w:t>Lieta Nr.[..], SKC</w:t>
      </w:r>
      <w:r>
        <w:rPr>
          <w:rFonts w:eastAsia="Times New Roman"/>
          <w:b/>
          <w:lang w:eastAsia="lv-LV"/>
        </w:rPr>
        <w:t>-[D]/2019</w:t>
      </w:r>
    </w:p>
    <w:p w14:paraId="443D4C91" w14:textId="77777777" w:rsidR="00FD0F3E" w:rsidRDefault="00FD0F3E" w:rsidP="00FD0F3E">
      <w:pPr>
        <w:spacing w:after="0" w:line="276" w:lineRule="auto"/>
        <w:jc w:val="center"/>
        <w:rPr>
          <w:rFonts w:eastAsia="Times New Roman"/>
          <w:color w:val="000000"/>
          <w:lang w:eastAsia="lv-LV"/>
        </w:rPr>
      </w:pPr>
      <w:hyperlink r:id="rId6" w:tgtFrame="_blank" w:history="1">
        <w:r>
          <w:rPr>
            <w:rStyle w:val="Hyperlink"/>
            <w:rFonts w:eastAsia="Times New Roman"/>
            <w:lang w:eastAsia="lv-LV"/>
          </w:rPr>
          <w:t>ECLI:</w:t>
        </w:r>
      </w:hyperlink>
      <w:r>
        <w:rPr>
          <w:rFonts w:eastAsia="Times New Roman"/>
          <w:color w:val="0000FF"/>
          <w:u w:val="single"/>
          <w:lang w:eastAsia="lv-LV"/>
        </w:rPr>
        <w:t>[..]</w:t>
      </w:r>
    </w:p>
    <w:p w14:paraId="7EAF29D8" w14:textId="77777777" w:rsidR="00FD0F3E" w:rsidRDefault="00FD0F3E" w:rsidP="00FD0F3E">
      <w:pPr>
        <w:spacing w:after="0" w:line="276" w:lineRule="auto"/>
        <w:jc w:val="center"/>
        <w:rPr>
          <w:rFonts w:eastAsia="Times New Roman" w:cs="Times New Roman"/>
          <w:color w:val="000000"/>
          <w:szCs w:val="24"/>
          <w:lang w:eastAsia="lv-LV"/>
        </w:rPr>
      </w:pPr>
    </w:p>
    <w:p w14:paraId="20E53523" w14:textId="77777777" w:rsidR="00FD0F3E" w:rsidRDefault="00FD0F3E" w:rsidP="00FD0F3E">
      <w:pPr>
        <w:spacing w:after="0" w:line="276" w:lineRule="auto"/>
        <w:ind w:firstLine="720"/>
        <w:rPr>
          <w:rFonts w:eastAsia="Times New Roman" w:cs="Times New Roman"/>
          <w:color w:val="000000"/>
          <w:szCs w:val="24"/>
          <w:lang w:eastAsia="lv-LV"/>
        </w:rPr>
      </w:pPr>
      <w:r>
        <w:rPr>
          <w:rFonts w:eastAsia="Times New Roman" w:cs="Times New Roman"/>
          <w:color w:val="000000"/>
          <w:szCs w:val="24"/>
          <w:lang w:eastAsia="lv-LV"/>
        </w:rPr>
        <w:t>Senāts šādā sastāvā:</w:t>
      </w:r>
    </w:p>
    <w:p w14:paraId="14344853" w14:textId="77777777" w:rsidR="00FD0F3E" w:rsidRDefault="00FD0F3E" w:rsidP="00FD0F3E">
      <w:pPr>
        <w:spacing w:after="0" w:line="276" w:lineRule="auto"/>
        <w:ind w:left="720" w:firstLine="720"/>
        <w:rPr>
          <w:rFonts w:eastAsia="Times New Roman" w:cs="Times New Roman"/>
          <w:color w:val="000000"/>
          <w:szCs w:val="24"/>
          <w:lang w:eastAsia="lv-LV"/>
        </w:rPr>
      </w:pPr>
      <w:r>
        <w:rPr>
          <w:rFonts w:eastAsia="Times New Roman" w:cs="Times New Roman"/>
          <w:color w:val="000000"/>
          <w:szCs w:val="24"/>
          <w:lang w:eastAsia="lv-LV"/>
        </w:rPr>
        <w:t>senatore referente Anda Briede,</w:t>
      </w:r>
    </w:p>
    <w:p w14:paraId="34C74C01" w14:textId="77777777" w:rsidR="00FD0F3E" w:rsidRDefault="00FD0F3E" w:rsidP="00FD0F3E">
      <w:pPr>
        <w:spacing w:after="0" w:line="276" w:lineRule="auto"/>
        <w:ind w:left="720" w:firstLine="720"/>
        <w:rPr>
          <w:rFonts w:eastAsia="Times New Roman" w:cs="Times New Roman"/>
          <w:color w:val="000000"/>
          <w:szCs w:val="24"/>
          <w:lang w:eastAsia="lv-LV"/>
        </w:rPr>
      </w:pPr>
      <w:r>
        <w:rPr>
          <w:rFonts w:eastAsia="Times New Roman" w:cs="Times New Roman"/>
          <w:color w:val="000000"/>
          <w:szCs w:val="24"/>
          <w:lang w:eastAsia="lv-LV"/>
        </w:rPr>
        <w:t xml:space="preserve">senatore Ļubova Kušnire, </w:t>
      </w:r>
    </w:p>
    <w:p w14:paraId="5CBB9083" w14:textId="77777777" w:rsidR="00FD0F3E" w:rsidRDefault="00FD0F3E" w:rsidP="00FD0F3E">
      <w:pPr>
        <w:spacing w:after="0" w:line="276" w:lineRule="auto"/>
        <w:ind w:left="720" w:firstLine="720"/>
        <w:rPr>
          <w:rFonts w:eastAsia="Times New Roman" w:cs="Times New Roman"/>
          <w:color w:val="000000"/>
          <w:szCs w:val="24"/>
          <w:lang w:eastAsia="lv-LV"/>
        </w:rPr>
      </w:pPr>
      <w:r>
        <w:rPr>
          <w:rFonts w:eastAsia="Times New Roman" w:cs="Times New Roman"/>
          <w:color w:val="000000"/>
          <w:szCs w:val="24"/>
          <w:lang w:eastAsia="lv-LV"/>
        </w:rPr>
        <w:t>senatore Marika Senkāne</w:t>
      </w:r>
    </w:p>
    <w:p w14:paraId="22A3DCBD" w14:textId="77777777" w:rsidR="00FD0F3E" w:rsidRDefault="00FD0F3E" w:rsidP="00FD0F3E">
      <w:pPr>
        <w:spacing w:after="0" w:line="276" w:lineRule="auto"/>
        <w:jc w:val="center"/>
        <w:rPr>
          <w:rFonts w:eastAsia="Times New Roman" w:cs="Times New Roman"/>
          <w:color w:val="000000"/>
          <w:szCs w:val="24"/>
          <w:lang w:eastAsia="lv-LV"/>
        </w:rPr>
      </w:pPr>
    </w:p>
    <w:p w14:paraId="03580EC3" w14:textId="77777777" w:rsidR="00FD0F3E" w:rsidRDefault="00FD0F3E" w:rsidP="00FD0F3E">
      <w:pPr>
        <w:spacing w:after="0" w:line="276" w:lineRule="auto"/>
        <w:ind w:firstLine="709"/>
        <w:jc w:val="both"/>
        <w:rPr>
          <w:rFonts w:eastAsia="Times New Roman" w:cs="Times New Roman"/>
          <w:color w:val="000000"/>
          <w:szCs w:val="24"/>
          <w:lang w:eastAsia="lv-LV"/>
        </w:rPr>
      </w:pPr>
      <w:r>
        <w:rPr>
          <w:rFonts w:eastAsia="Times New Roman" w:cs="Times New Roman"/>
          <w:color w:val="000000"/>
          <w:szCs w:val="24"/>
          <w:lang w:eastAsia="lv-LV"/>
        </w:rPr>
        <w:t>rakstveida procesā izskatīja civillietu sakarā ar [pers. A] kasācijas sūdzību par [..] Civillietu tiesas kolēģijas 2017.gada [..] spriedumu [pers. A] prasībā pret [pers. B] par paternitātes noteikšanu, mantošanas tiesību atzīšanu un apstiprināšanu mantošanas tiesībās.</w:t>
      </w:r>
    </w:p>
    <w:p w14:paraId="643B08FB" w14:textId="77777777" w:rsidR="00FD0F3E" w:rsidRDefault="00FD0F3E" w:rsidP="00FD0F3E">
      <w:pPr>
        <w:spacing w:after="0" w:line="276" w:lineRule="auto"/>
        <w:ind w:firstLine="709"/>
        <w:jc w:val="both"/>
        <w:rPr>
          <w:rFonts w:eastAsia="Times New Roman" w:cs="Times New Roman"/>
          <w:color w:val="000000"/>
          <w:szCs w:val="24"/>
          <w:lang w:eastAsia="lv-LV"/>
        </w:rPr>
      </w:pPr>
    </w:p>
    <w:p w14:paraId="47D48396" w14:textId="77777777" w:rsidR="00FD0F3E" w:rsidRDefault="00FD0F3E" w:rsidP="00FD0F3E">
      <w:pPr>
        <w:spacing w:after="0" w:line="276" w:lineRule="auto"/>
        <w:jc w:val="center"/>
        <w:rPr>
          <w:rFonts w:eastAsia="Times New Roman" w:cs="Times New Roman"/>
          <w:color w:val="000000"/>
          <w:szCs w:val="24"/>
          <w:lang w:eastAsia="lv-LV"/>
        </w:rPr>
      </w:pPr>
      <w:r>
        <w:rPr>
          <w:rFonts w:eastAsia="Times New Roman" w:cs="Times New Roman"/>
          <w:b/>
          <w:color w:val="000000"/>
          <w:szCs w:val="24"/>
          <w:lang w:eastAsia="lv-LV"/>
        </w:rPr>
        <w:t>Aprakstošā daļa</w:t>
      </w:r>
    </w:p>
    <w:p w14:paraId="3EC8FBBE" w14:textId="77777777" w:rsidR="00FD0F3E" w:rsidRDefault="00FD0F3E" w:rsidP="00FD0F3E">
      <w:pPr>
        <w:spacing w:after="0" w:line="276" w:lineRule="auto"/>
        <w:ind w:firstLine="709"/>
        <w:jc w:val="both"/>
        <w:rPr>
          <w:rFonts w:eastAsia="Times New Roman" w:cs="Times New Roman"/>
          <w:color w:val="000000"/>
          <w:szCs w:val="24"/>
          <w:lang w:eastAsia="lv-LV"/>
        </w:rPr>
      </w:pPr>
      <w:bookmarkStart w:id="1" w:name="_GoBack"/>
      <w:bookmarkEnd w:id="1"/>
    </w:p>
    <w:p w14:paraId="3F6E713B" w14:textId="77777777" w:rsidR="00FD0F3E" w:rsidRDefault="00FD0F3E" w:rsidP="00FD0F3E">
      <w:pPr>
        <w:spacing w:after="0" w:line="276" w:lineRule="auto"/>
        <w:ind w:firstLine="709"/>
        <w:jc w:val="both"/>
        <w:rPr>
          <w:rFonts w:eastAsia="Times New Roman" w:cs="Times New Roman"/>
          <w:color w:val="000000"/>
          <w:szCs w:val="24"/>
          <w:lang w:eastAsia="lv-LV"/>
        </w:rPr>
      </w:pPr>
      <w:r>
        <w:rPr>
          <w:rFonts w:eastAsia="Times New Roman" w:cs="Times New Roman"/>
          <w:bCs/>
          <w:color w:val="000000"/>
          <w:szCs w:val="24"/>
          <w:lang w:eastAsia="lv-LV"/>
        </w:rPr>
        <w:t>[1]</w:t>
      </w:r>
      <w:r>
        <w:rPr>
          <w:rFonts w:eastAsia="Times New Roman" w:cs="Times New Roman"/>
          <w:color w:val="000000"/>
          <w:szCs w:val="24"/>
          <w:lang w:eastAsia="lv-LV"/>
        </w:rPr>
        <w:t xml:space="preserve"> [Pers. A] [..] cēlusi tiesā prasību pret [pers. B], kurā, atsaucoties uz </w:t>
      </w:r>
      <w:r>
        <w:rPr>
          <w:rFonts w:eastAsia="Calibri" w:cs="Times New Roman"/>
          <w:color w:val="000000"/>
          <w:szCs w:val="24"/>
          <w:lang w:eastAsia="lv-LV"/>
        </w:rPr>
        <w:t>Civillikuma 154., 157., 158., 390., 391., 393., 398., 400., 404., 422., 423. un 636.pantu, lūgusi atzīt [pers. C] pēdējās gribas rīkojuma aktu – testamentu – par spēkā neesošu un apstiprināt prasītājas tiesības uz [pers. </w:t>
      </w:r>
      <w:r>
        <w:t xml:space="preserve">C] </w:t>
      </w:r>
      <w:r>
        <w:rPr>
          <w:rFonts w:eastAsia="Calibri" w:cs="Times New Roman"/>
          <w:color w:val="000000"/>
          <w:szCs w:val="24"/>
          <w:lang w:eastAsia="lv-LV"/>
        </w:rPr>
        <w:t xml:space="preserve">atstātā mantojuma ½ daļu pēc likuma. </w:t>
      </w:r>
    </w:p>
    <w:p w14:paraId="0AFAA9AC" w14:textId="77777777" w:rsidR="00FD0F3E" w:rsidRDefault="00FD0F3E" w:rsidP="00FD0F3E">
      <w:pPr>
        <w:spacing w:after="0" w:line="276" w:lineRule="auto"/>
        <w:ind w:firstLine="709"/>
        <w:jc w:val="both"/>
        <w:rPr>
          <w:rFonts w:eastAsia="Times New Roman" w:cs="Times New Roman"/>
          <w:color w:val="000000"/>
          <w:szCs w:val="24"/>
          <w:lang w:eastAsia="lv-LV"/>
        </w:rPr>
      </w:pPr>
      <w:r>
        <w:rPr>
          <w:rFonts w:eastAsia="Calibri" w:cs="Times New Roman"/>
          <w:color w:val="000000"/>
          <w:szCs w:val="24"/>
          <w:lang w:eastAsia="lv-LV"/>
        </w:rPr>
        <w:t>Tiesvedības laikā prasītāja atteikusies no prasības daļā par testamenta atzīšanu par spēkā neesošu, papildinājusi prasību ar prasījumu par paternitātes noteikšanu un precizējusi uz mantojuma tiesību apstiprināšanu un atzīšanu vērstos prasījumus, saistot tos ar neatraidāmā mantinieka neatņemamās daļas izdošanu.</w:t>
      </w:r>
    </w:p>
    <w:p w14:paraId="4D4BD8AA" w14:textId="77777777" w:rsidR="00FD0F3E" w:rsidRDefault="00FD0F3E" w:rsidP="00FD0F3E">
      <w:pPr>
        <w:spacing w:after="0" w:line="276" w:lineRule="auto"/>
        <w:ind w:firstLine="709"/>
        <w:jc w:val="both"/>
        <w:rPr>
          <w:rFonts w:eastAsia="Times New Roman" w:cs="Times New Roman"/>
          <w:color w:val="000000"/>
          <w:szCs w:val="24"/>
          <w:lang w:eastAsia="lv-LV"/>
        </w:rPr>
      </w:pPr>
      <w:r>
        <w:rPr>
          <w:rFonts w:eastAsia="Calibri" w:cs="Times New Roman"/>
          <w:color w:val="000000"/>
          <w:szCs w:val="24"/>
          <w:lang w:eastAsia="lv-LV"/>
        </w:rPr>
        <w:t>Prasības pieteikumā, tā papildinājumos un precizējumos norādīti tālāk minētie apstākļi.</w:t>
      </w:r>
    </w:p>
    <w:p w14:paraId="71C3DFE6" w14:textId="77777777" w:rsidR="00FD0F3E" w:rsidRDefault="00FD0F3E" w:rsidP="00FD0F3E">
      <w:pPr>
        <w:spacing w:after="0" w:line="276" w:lineRule="auto"/>
        <w:ind w:firstLine="709"/>
        <w:jc w:val="both"/>
        <w:rPr>
          <w:rFonts w:eastAsia="Times New Roman" w:cs="Times New Roman"/>
          <w:color w:val="000000"/>
          <w:szCs w:val="24"/>
          <w:lang w:eastAsia="lv-LV"/>
        </w:rPr>
      </w:pPr>
      <w:r>
        <w:rPr>
          <w:rFonts w:eastAsia="Calibri" w:cs="Times New Roman"/>
          <w:color w:val="000000"/>
          <w:szCs w:val="24"/>
          <w:lang w:eastAsia="lv-LV"/>
        </w:rPr>
        <w:t>[1.1] [..] laikrakstā „Latvijas Vēstnesis” izsludināta [..][pers. C] mantojuma atklāšanās.</w:t>
      </w:r>
    </w:p>
    <w:p w14:paraId="02717B36" w14:textId="77777777" w:rsidR="00FD0F3E" w:rsidRDefault="00FD0F3E" w:rsidP="00FD0F3E">
      <w:pPr>
        <w:spacing w:after="0" w:line="276" w:lineRule="auto"/>
        <w:ind w:firstLine="709"/>
        <w:jc w:val="both"/>
        <w:rPr>
          <w:rFonts w:eastAsia="Times New Roman" w:cs="Times New Roman"/>
          <w:color w:val="000000"/>
          <w:szCs w:val="24"/>
          <w:lang w:eastAsia="lv-LV"/>
        </w:rPr>
      </w:pPr>
      <w:r>
        <w:rPr>
          <w:rFonts w:eastAsia="Calibri" w:cs="Times New Roman"/>
          <w:color w:val="000000"/>
          <w:szCs w:val="24"/>
          <w:lang w:eastAsia="lv-LV"/>
        </w:rPr>
        <w:t>[1.2] [Pers.</w:t>
      </w:r>
      <w:r>
        <w:t> C]</w:t>
      </w:r>
      <w:r>
        <w:rPr>
          <w:rFonts w:eastAsia="Calibri" w:cs="Times New Roman"/>
          <w:color w:val="000000"/>
          <w:szCs w:val="24"/>
          <w:lang w:eastAsia="lv-LV"/>
        </w:rPr>
        <w:t xml:space="preserve"> ir prasītājas bioloģiskais tēvs, bet viņas dzimšanas apliecībā nav ierakstīts, jo tēva laulātā, kas nebija prasītājas māte, tādam ierakstam nepiekrita. Atbilstoši tolaik pastāvošajai praksei prasītājas dzimšanas apliecībā ailē „tēvs” tika ierakstīts [..] (prasītājas mātes uzvārds, [pers. C] vārds un tēva vārds). [Pers. C] vienmēr atzina, ka ir prasītājas tēvs. Strīds par paternitāti nepastāvēja, tika uzturēti regulāri kontakti, savstarpējās attiecības bija ļoti labas un sirsnīgas, lai gan </w:t>
      </w:r>
      <w:r>
        <w:rPr>
          <w:rFonts w:eastAsia="Calibri" w:cs="Times New Roman"/>
          <w:color w:val="000000"/>
          <w:szCs w:val="24"/>
          <w:lang w:eastAsia="lv-LV"/>
        </w:rPr>
        <w:lastRenderedPageBreak/>
        <w:t>pret viņa attiecībām ar prasītāju iebilda atbildētāja (ar kuru [pers. C] [..] noslēdza savu otro laulību). Atbildētāja tam lika šķēršļus, jo nevēlējās, lai tēva un meitas starpā veidotos kontakts. [Pers. C] vairākkārt pauda vēlmi uzsākt paternitātes atzīšanas procesu, vienlaikus atzīstot, ka šāda rīcība varētu radīt nelabvēlīgas sekas attiecībās ar atbildētāju, kura kategoriski iebilst viņa reģistrācijai par prasītājas tēvu.</w:t>
      </w:r>
    </w:p>
    <w:p w14:paraId="56907572" w14:textId="77777777" w:rsidR="00FD0F3E" w:rsidRDefault="00FD0F3E" w:rsidP="00FD0F3E">
      <w:pPr>
        <w:spacing w:after="0" w:line="276" w:lineRule="auto"/>
        <w:ind w:firstLine="709"/>
        <w:jc w:val="both"/>
        <w:rPr>
          <w:rFonts w:eastAsia="Times New Roman" w:cs="Times New Roman"/>
          <w:color w:val="000000"/>
          <w:szCs w:val="24"/>
          <w:lang w:eastAsia="lv-LV"/>
        </w:rPr>
      </w:pPr>
      <w:r>
        <w:rPr>
          <w:rFonts w:eastAsia="Calibri" w:cs="Times New Roman"/>
          <w:color w:val="000000"/>
          <w:szCs w:val="24"/>
          <w:lang w:eastAsia="lv-LV"/>
        </w:rPr>
        <w:t>[1.3] Prasītāja [..] iesniedza tiesā pieteikumu par paternitātes fakta konstatēšanu, bet ar [..] tiesas 2011.gada [..] lēmumu civillietā Nr. [..] pieteikums atstāts bez izskatīšanas, jo lietā pastāv strīds par tiesībām, kas izšķirams prasības tiesvedības kārtībā. Līdz ar to prasītājai šajā lietā jālūdz konstatēt paternitātes faktu. Bioloģiskās izcelšanās noteikšana ekspertīzes ceļā nav iespējama, jo [pers. C] mirstīgās atliekas atbildētāja kremēja. Prasītājas izcelšanos no [pers. C] apstiprina fotogrāfijas un liecinieku liecības, kā arī [pers.</w:t>
      </w:r>
      <w:r>
        <w:t> C]</w:t>
      </w:r>
      <w:r>
        <w:rPr>
          <w:rFonts w:eastAsia="Calibri" w:cs="Times New Roman"/>
          <w:color w:val="000000"/>
          <w:szCs w:val="24"/>
          <w:lang w:eastAsia="lv-LV"/>
        </w:rPr>
        <w:t xml:space="preserve"> rakstīts vēlējums, apsveikums un vēstule.</w:t>
      </w:r>
    </w:p>
    <w:p w14:paraId="7EF68468" w14:textId="77777777" w:rsidR="00FD0F3E" w:rsidRDefault="00FD0F3E" w:rsidP="00FD0F3E">
      <w:pPr>
        <w:spacing w:after="0" w:line="276" w:lineRule="auto"/>
        <w:ind w:firstLine="709"/>
        <w:jc w:val="both"/>
        <w:rPr>
          <w:rFonts w:eastAsia="Times New Roman" w:cs="Times New Roman"/>
          <w:color w:val="000000"/>
          <w:szCs w:val="24"/>
          <w:lang w:eastAsia="lv-LV"/>
        </w:rPr>
      </w:pPr>
      <w:r>
        <w:rPr>
          <w:rFonts w:eastAsia="Calibri" w:cs="Times New Roman"/>
          <w:color w:val="000000"/>
          <w:szCs w:val="24"/>
          <w:lang w:eastAsia="lv-LV"/>
        </w:rPr>
        <w:t>[1.4] Par citiem [pers. C] lejupējiem prasītājai ziņu nav, laulībā ar atbildētāju [pers. C] bērnu nebija. Līdz ar to likumiskās mantošanas gadījumā [pers. C] laulātajai (atbildētājai) un meitai (prasītājai) katrai būtu tiesības uz mantojuma ½ daļu. Taču, tā kā [pers. C] ir taisījis pēdējās gribas rīkojuma aktu, ieceļot par vienīgo mantinieci atbildētāju, prasītājai ir tiesības uz mantojuma neatņemamo – ¼ daļu no mantojuma.</w:t>
      </w:r>
    </w:p>
    <w:p w14:paraId="52429380" w14:textId="77777777" w:rsidR="00FD0F3E" w:rsidRDefault="00FD0F3E" w:rsidP="00FD0F3E">
      <w:pPr>
        <w:spacing w:after="0" w:line="276" w:lineRule="auto"/>
        <w:ind w:firstLine="709"/>
        <w:jc w:val="both"/>
        <w:rPr>
          <w:rFonts w:eastAsia="Times New Roman" w:cs="Times New Roman"/>
          <w:color w:val="000000"/>
          <w:szCs w:val="24"/>
          <w:lang w:eastAsia="lv-LV"/>
        </w:rPr>
      </w:pPr>
      <w:r>
        <w:rPr>
          <w:rFonts w:eastAsia="Calibri" w:cs="Times New Roman"/>
          <w:color w:val="000000"/>
          <w:szCs w:val="24"/>
          <w:lang w:eastAsia="lv-LV"/>
        </w:rPr>
        <w:t xml:space="preserve">Atbildētājai izdotajā mantojuma apliecībā (akts par pēdējās gribas rīkojuma stāšanos likumīgā spēkā), ņemot vērā pārdzīvojušās laulātās nošķirto daļu, norādīts, ka [pers. C] mantojuma masā ir: nekustamā īpašuma [adrese A], ¼ </w:t>
      </w:r>
      <w:r>
        <w:rPr>
          <w:rFonts w:eastAsia="Times New Roman" w:cs="Times New Roman"/>
          <w:color w:val="000000"/>
          <w:szCs w:val="24"/>
          <w:lang w:eastAsia="lv-LV"/>
        </w:rPr>
        <w:t>domājamā</w:t>
      </w:r>
      <w:r>
        <w:rPr>
          <w:rFonts w:eastAsia="Calibri" w:cs="Times New Roman"/>
          <w:color w:val="000000"/>
          <w:szCs w:val="24"/>
          <w:lang w:eastAsia="lv-LV"/>
        </w:rPr>
        <w:t xml:space="preserve"> daļa; nekustamā īpašuma [adrese  B], ¼ domājamā daļa; nekustamā īpašuma [adrese</w:t>
      </w:r>
      <w:r>
        <w:t> C]</w:t>
      </w:r>
      <w:r>
        <w:rPr>
          <w:rFonts w:eastAsia="Calibri" w:cs="Times New Roman"/>
          <w:color w:val="000000"/>
          <w:szCs w:val="24"/>
          <w:lang w:eastAsia="lv-LV"/>
        </w:rPr>
        <w:t>, ½ domājamā daļa; automašīna [..]; naudas līdzekļi [..]kontos; [..]akcijas; ½ daļa no naudas līdzekļiem [..]kontā; ½ daļa no termiņnoguldījuma [..].</w:t>
      </w:r>
    </w:p>
    <w:p w14:paraId="5F2169F1" w14:textId="77777777" w:rsidR="00FD0F3E" w:rsidRDefault="00FD0F3E" w:rsidP="00FD0F3E">
      <w:pPr>
        <w:spacing w:after="0" w:line="276" w:lineRule="auto"/>
        <w:ind w:firstLine="709"/>
        <w:jc w:val="both"/>
        <w:rPr>
          <w:rFonts w:eastAsia="Times New Roman" w:cs="Times New Roman"/>
          <w:color w:val="000000"/>
          <w:szCs w:val="24"/>
          <w:lang w:eastAsia="lv-LV"/>
        </w:rPr>
      </w:pPr>
    </w:p>
    <w:p w14:paraId="1FEA3797" w14:textId="77777777" w:rsidR="00FD0F3E" w:rsidRDefault="00FD0F3E" w:rsidP="00FD0F3E">
      <w:pPr>
        <w:spacing w:after="0" w:line="276" w:lineRule="auto"/>
        <w:ind w:firstLine="709"/>
        <w:jc w:val="both"/>
        <w:rPr>
          <w:rFonts w:eastAsia="Times New Roman" w:cs="Times New Roman"/>
          <w:color w:val="000000"/>
          <w:szCs w:val="24"/>
          <w:lang w:eastAsia="lv-LV"/>
        </w:rPr>
      </w:pPr>
      <w:r>
        <w:rPr>
          <w:rFonts w:eastAsia="Calibri" w:cs="Times New Roman"/>
          <w:color w:val="000000"/>
          <w:szCs w:val="24"/>
          <w:lang w:eastAsia="lv-LV"/>
        </w:rPr>
        <w:t xml:space="preserve">[2] </w:t>
      </w:r>
      <w:r>
        <w:rPr>
          <w:rFonts w:eastAsia="Times New Roman" w:cs="Times New Roman"/>
          <w:color w:val="000000"/>
          <w:szCs w:val="24"/>
          <w:lang w:eastAsia="lv-LV"/>
        </w:rPr>
        <w:t>Ar [..] pirmās instances tiesas 2014.gada [..] spriedumu un [..] apelācijas instances tiesas 2017.gada [..] spriedumu prasība noraidīta pilnīgi un no prasītājas valsts ienākumos piedzīti ar lietas izskatīšanu saistītie izdevumi 2 EUR.</w:t>
      </w:r>
    </w:p>
    <w:p w14:paraId="77636B0D" w14:textId="77777777" w:rsidR="00FD0F3E" w:rsidRDefault="00FD0F3E" w:rsidP="00FD0F3E">
      <w:pPr>
        <w:spacing w:after="0" w:line="276" w:lineRule="auto"/>
        <w:ind w:firstLine="709"/>
        <w:jc w:val="both"/>
        <w:rPr>
          <w:rFonts w:eastAsia="Times New Roman" w:cs="Times New Roman"/>
          <w:color w:val="000000"/>
          <w:szCs w:val="24"/>
          <w:lang w:eastAsia="lv-LV"/>
        </w:rPr>
      </w:pPr>
      <w:r>
        <w:rPr>
          <w:rFonts w:eastAsia="Times New Roman" w:cs="Times New Roman"/>
          <w:color w:val="000000"/>
          <w:szCs w:val="24"/>
          <w:lang w:eastAsia="lv-LV"/>
        </w:rPr>
        <w:t>Apelācijas instances tiesas spriedumā ietverts tālāk minētais pamatojums.</w:t>
      </w:r>
    </w:p>
    <w:p w14:paraId="3C0ED1B3" w14:textId="77777777" w:rsidR="00FD0F3E" w:rsidRDefault="00FD0F3E" w:rsidP="00FD0F3E">
      <w:pPr>
        <w:spacing w:after="0" w:line="276" w:lineRule="auto"/>
        <w:ind w:firstLine="709"/>
        <w:jc w:val="both"/>
        <w:rPr>
          <w:rFonts w:eastAsia="Times New Roman" w:cs="Times New Roman"/>
          <w:color w:val="000000"/>
          <w:szCs w:val="24"/>
          <w:lang w:eastAsia="lv-LV"/>
        </w:rPr>
      </w:pPr>
      <w:r>
        <w:rPr>
          <w:rFonts w:eastAsia="Calibri" w:cs="Times New Roman"/>
          <w:color w:val="000000"/>
          <w:szCs w:val="24"/>
          <w:lang w:eastAsia="lv-LV"/>
        </w:rPr>
        <w:t>[2.1] Prasītāja dzimusi [..], dzimšanas apliecībā kā vecāki ierakstīti: māte –[..], tēvs – [..], kuri nebija savstarpējā laulībā un nebija iesnieguši kopīgu pieteikumu paternitātes noteikšanai. Saskaņā ar Latvijas laulības un ģimenes kodeksa 58.pantu ziņas par tēvu ierakstītas pēc mātes vārdiem un ir fiktīvas. Tāpat nav strīda, ka prasītājai pilngadības sasniegšanas brīdī ([..]) bija zināms par [pers. C] kā tēvu, taču pieteikumu par paternitātes noteikšanu tiesā viņa neiesniedza.</w:t>
      </w:r>
    </w:p>
    <w:p w14:paraId="1F8FA329" w14:textId="77777777" w:rsidR="00FD0F3E" w:rsidRDefault="00FD0F3E" w:rsidP="00FD0F3E">
      <w:pPr>
        <w:spacing w:after="0" w:line="276" w:lineRule="auto"/>
        <w:ind w:firstLine="709"/>
        <w:jc w:val="both"/>
        <w:rPr>
          <w:rFonts w:eastAsia="Times New Roman" w:cs="Times New Roman"/>
          <w:color w:val="000000"/>
          <w:szCs w:val="24"/>
          <w:lang w:eastAsia="lv-LV"/>
        </w:rPr>
      </w:pPr>
      <w:r>
        <w:rPr>
          <w:rFonts w:eastAsia="Times New Roman" w:cs="Times New Roman"/>
          <w:color w:val="000000"/>
          <w:szCs w:val="24"/>
          <w:lang w:eastAsia="lv-LV"/>
        </w:rPr>
        <w:t>[2.2] Ņemot vērā Latvijas Republikas 1993.gada 25.maija likuma „Par atjaunotā Latvijas Republikas 1937.gada Civillikuma ģimenes tiesību daļas spēkā stāšanās laiku un piemērošanas kārtību” (turpmāk – Spēkā stāšanās likums) 1.pantā, 10.panta otrajā daļā un 19.pantā noteikto, Civillikuma noteikumi par bērnu izcelšanās noteikšanu ar to spēkā stāšanās brīdi attiecināmi arī uz prasītāju, kuras dzimšana reģistrēta pirms 1993.gada 1.septembra.</w:t>
      </w:r>
    </w:p>
    <w:p w14:paraId="64731B48" w14:textId="77777777" w:rsidR="00FD0F3E" w:rsidRDefault="00FD0F3E" w:rsidP="00FD0F3E">
      <w:pPr>
        <w:spacing w:after="0" w:line="276" w:lineRule="auto"/>
        <w:ind w:firstLine="709"/>
        <w:jc w:val="both"/>
        <w:rPr>
          <w:rFonts w:eastAsia="Times New Roman" w:cs="Times New Roman"/>
          <w:color w:val="000000"/>
          <w:szCs w:val="24"/>
          <w:lang w:eastAsia="lv-LV"/>
        </w:rPr>
      </w:pPr>
      <w:r>
        <w:rPr>
          <w:rFonts w:eastAsia="Times New Roman" w:cs="Times New Roman"/>
          <w:color w:val="000000"/>
          <w:szCs w:val="24"/>
          <w:lang w:eastAsia="lv-LV"/>
        </w:rPr>
        <w:t>Atbilstoši Civillikuma 158.pantam prasību paternitātes noteikšanai tiesā var iesniegt bērna māte vai bērna aizbildnis, bērns pats pēc pilngadības sasniegšanas, kā arī persona, kas sevi uzskata par bērna bioloģisko tēvu. Ja persona, no kuras bērns cēlies, ir mirusi, bērna māte, bērna aizbildnis un bērns pats pēc pilngadības sasniegšanas var prasīt tiesas ceļā konstatēt paternitātes faktu.</w:t>
      </w:r>
    </w:p>
    <w:p w14:paraId="2EEA8C9F"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Civillikums atšķirībā no Latvijas laulības un ģimenes kodeksa 9.panta neparedz, ka uz prasībām par paternitātes noteikšanu neattiektos noilgums. Šādus noteikumus nesatur arī Civilprocesa likuma 30.nodaļa „Lietas par bērna izcelšanās noteikšanu” vai kādas citas normas.</w:t>
      </w:r>
    </w:p>
    <w:p w14:paraId="77218613"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lastRenderedPageBreak/>
        <w:t>Saskaņā ar Civillikuma 6.pantu saistību tiesību vispārējie noteikumi attiecīgi piemērojami arī ģimenes, mantojuma un lietu tiesību attiecībām. Visas saistību tiesības, kuras nav noteikti izņemtas no noilguma ietekmes un kuru izlietošanai nav likumā noteikti īsāki termiņi, izbeidzas, ja tiesīgā persona tās neizlieto desmit gadu laikā (Civillikuma 1895.pants).</w:t>
      </w:r>
    </w:p>
    <w:p w14:paraId="5C2190B2"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Tā kā tiesības uz paternitātes noteikšanu nav noteikti izņemtas no noilguma ietekmes un to izlietošanai likumā nav noteikti īsāki termiņi, secināms, ka uz prasību par paternitātes noteikšanu ir attiecināms vispārējais desmit gadu noilguma termiņš.</w:t>
      </w:r>
    </w:p>
    <w:p w14:paraId="0EB8D801"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Kaut arī prasītājai tiesības prasīt paternitātes noteikšanu radās jau pēc pilngadības sasniegšanas, noilguma termiņa tecējums sākās 1993.gada 1.septembrī, kad stājās spēkā Civillikuma noteikumi par paternitātes noteikšanu. Savukārt prasītāja [..] savas tiesības desmit gadu laikā, t.i., līdz 2003.gada 1.septembrim, neizlietoja, kas ir patstāvīgs pamats prasības daļā par paternitātes noteikšanu noraidīšanai.</w:t>
      </w:r>
    </w:p>
    <w:p w14:paraId="644361F2" w14:textId="3DC38D9A"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 xml:space="preserve">Uz šādu likuma tulkojumu ir norādījis arī Augstākās tiesas Senāts </w:t>
      </w:r>
      <w:r>
        <w:rPr>
          <w:rFonts w:eastAsia="Calibri" w:cs="Times New Roman"/>
          <w:szCs w:val="24"/>
          <w:lang w:eastAsia="lv-LV"/>
        </w:rPr>
        <w:t>2011.gada 16.novembra spriedumā lietā Nr. SKC-347/2011 (</w:t>
      </w:r>
      <w:r>
        <w:rPr>
          <w:rFonts w:eastAsia="Calibri" w:cs="Times New Roman"/>
          <w:szCs w:val="24"/>
          <w:lang w:eastAsia="lv-LV"/>
        </w:rPr>
        <w:t>[..]</w:t>
      </w:r>
      <w:r>
        <w:rPr>
          <w:rFonts w:eastAsia="Calibri" w:cs="Times New Roman"/>
          <w:szCs w:val="24"/>
          <w:lang w:eastAsia="lv-LV"/>
        </w:rPr>
        <w:t>)</w:t>
      </w:r>
      <w:r>
        <w:rPr>
          <w:rFonts w:eastAsia="Calibri" w:cs="Times New Roman"/>
          <w:color w:val="000000"/>
          <w:szCs w:val="24"/>
          <w:lang w:eastAsia="lv-LV"/>
        </w:rPr>
        <w:t>, kurā, iztulkojot Civillikuma 6. un 1895.pantu, atzīts, ka bioloģiskā tēva tiesības uz paternitātes noteikšanu nav tādas, kas būtu izņemtas no noilguma ietekmes. Minētā atziņa par noilgumu ir vispārēja un nav attiecināma tikai uz situāciju, kad bērnam juridiski ir cits tēvs, tā ir piemērojama arī bērna tiesībām uz paternitātes noteikšanu.</w:t>
      </w:r>
    </w:p>
    <w:p w14:paraId="08117AFA"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[2.3] Prasītāja kļūdaini uzskata, ka noilguma termiņi, kas noteikti Civillikuma 1895.pantā, nav atzīstami par vispārēju noteikumu. Šajā pantā noteiktais noilguma termiņš attiecas uz saistību tiesībām kopumā, tādēļ ir vērtējams kā vispārējs noteikums. Civillikuma 1895.panta formulējums, ka noilgums piemērojams saistību tiesībām, neizslēdz noilguma piemērošanu arī ģimenes, mantojuma un lietu tiesību attiecībām. Tas, ka likumdevējs ir īpaši noteicis noilguma termiņus, kas regulē atsevišķu personu tiesības noteiktā laikā celt paternitātes prasību vai apstrīdēt paternitātes pieņēmumu (Civillikuma 149., 156.pants), norāda uz to, ka minēto tiesību izlietošanai likumā ir noteikti īsāki termiņi, un neliecina, ka tiesības prasīt paternitātes noteikšanu būtu izņemtas no noilguma ietekmes.</w:t>
      </w:r>
    </w:p>
    <w:p w14:paraId="21A7782D"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Apelācijas sūdzībā pareizi norādīts, ka gan Civillikums, gan starptautiskie tiesību akti aizsargā bērna intereses un personas tiesības zināt savu izcelšanos, tomēr tas neizslēdz termiņu noteikšanu šādu tiesību izlietošanai. 1975.gada 15.oktobra Eiropas Konvencija par to bērnu tiesisko statusu, kuri nav dzimuši laulībā, Latvijas Republikā spēkā stājās 2003.gada 2.oktobrī, t.i., kad jau bija iestājies prasītājai likumā noteiktais desmit gadu termiņš savu tiesību izlietošanai. Turklāt minētā Konvencija paredz dalībvalstīm pienākumu nodrošināt savu likumu atbilstību šīs Konvencijas normām, taču nenosaka nekādus ierobežojumus jautājumā par noilgumu.</w:t>
      </w:r>
    </w:p>
    <w:p w14:paraId="30BA2865"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[2.4] Noilguma termiņa tecējumu neietekmē fakts, ka starp prasītāju un [pers. C] vai prasītājas māti šajā sakarā strīds nav pastāvējis. Ziņas par paternitātes atzīšanu ir ierakstāmas dzimšanas reģistrā, kas konkrētajā gadījumā nav izdarīts, līdz ar to nevar uzskatīt, ka prasītājai nebija pamata celt attiecīgu prasību.</w:t>
      </w:r>
    </w:p>
    <w:p w14:paraId="70AC808E"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[2.5] Tā kā prasītājas paternitāte likumā paredzētajā kārtībā nav noteikta, nav iemesla viņu atzīt par [..] [pers. C] mantinieci un apstiprināt mantošanas tiesībās (Civillikuma 400.pants). Un pat ja tiktu noteikta prasītājas izcelšanās no [pers. C], ir iestājušies termiņi mantojuma pieņemšanai un mantinieki jau apstiprināti mantojuma tiesībās, līdz ar to nav pamata mantinieku loka grozīšanai un mantojuma pārdalei.</w:t>
      </w:r>
    </w:p>
    <w:p w14:paraId="24CCCDEF"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[2.6] Pirmās instances tiesa pēc būtības pareizi noraidīja prasību noilguma dēļ, taču kļūdaini noilguma termiņa tecējumu skaitīja no prasītājas pilngadības sasniegšanas brīža.</w:t>
      </w:r>
    </w:p>
    <w:p w14:paraId="60051786" w14:textId="77777777" w:rsidR="00FD0F3E" w:rsidRDefault="00FD0F3E" w:rsidP="00FD0F3E">
      <w:pPr>
        <w:spacing w:after="0" w:line="276" w:lineRule="auto"/>
        <w:ind w:firstLine="720"/>
        <w:jc w:val="both"/>
        <w:rPr>
          <w:rFonts w:eastAsia="Times New Roman" w:cs="Times New Roman"/>
          <w:color w:val="000000"/>
          <w:szCs w:val="24"/>
          <w:lang w:eastAsia="lv-LV"/>
        </w:rPr>
      </w:pPr>
    </w:p>
    <w:p w14:paraId="3E645762"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lastRenderedPageBreak/>
        <w:t>[3] Kasācijas sūdzībā prasītāja lūdz atcelt minēto spriedumu un lietu nodot jaunai izskatīšanai apelācijas instances tiesā, minot tālāk izklāstītos argumentus.</w:t>
      </w:r>
    </w:p>
    <w:p w14:paraId="2A790D11" w14:textId="0CF9E7D5"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 xml:space="preserve">[3.1] Spēkā stāšanās likuma 10.pants nepareizi attiecināts uz prasītāju </w:t>
      </w:r>
      <w:r>
        <w:rPr>
          <w:rFonts w:eastAsia="Calibri" w:cs="Times New Roman"/>
          <w:color w:val="000000"/>
          <w:szCs w:val="24"/>
          <w:lang w:eastAsia="lv-LV"/>
        </w:rPr>
        <w:t>[..]</w:t>
      </w:r>
      <w:r>
        <w:rPr>
          <w:rFonts w:eastAsia="Calibri" w:cs="Times New Roman"/>
          <w:color w:val="000000"/>
          <w:szCs w:val="24"/>
          <w:lang w:eastAsia="lv-LV"/>
        </w:rPr>
        <w:t>, līdz ar to arī Civillikumā noteiktais noilguma termiņš nav piemērojams. Tāpat nav pieļaujams piemērot Civillikuma saistību tiesību daļā noteikto noilgumu un tas nav aprēķināms nedz no prasītājas pilngadības, nedz no Civillikuma spēkā stāšanās brīža.</w:t>
      </w:r>
    </w:p>
    <w:p w14:paraId="00F6FD14"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[3.2] Tiesa nepamatoti bez novērtējuma atstājusi prasītājas iesniegtos un pieteiktos pierādījumus lietā par to, ka līdz pat [pers. C] nāves brīdim starp viņu un prasītāju pastāvēja bērna un vecāka attiecības un abas puses tās atzina, taču tiesa šos pierādījumus nav vērtējusi, kam ir būtiska nozīme noilguma termiņa tecējuma sākuma noteikšanai (kad kādai no pusēm ir radušās prasījuma tiesības, t.i., kad izcēlies strīds). Kamēr puses ir apmierinātas ar pastāvošo kārtību un attiecībām, nav pamata sākties noilguma termiņa tecējumam.</w:t>
      </w:r>
    </w:p>
    <w:p w14:paraId="1E5788B6"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[3.3] Civillikuma 157. un 158.pantā (kas satur noteikumus par paternitātes noteikšanu) nekāds noilguma termiņš nav paredzēts. Tas, ka atsevišķām personām noteikti īpaši termiņi paternitātes prasības celšanai vai paternitātes pieņēmuma apstrīdēšanai, liecina par likumdevēja vēlmi personas citās situācijās (tostarp, kādā nonākusi prasītāja) ar noilguma termiņu neierobežot.</w:t>
      </w:r>
    </w:p>
    <w:p w14:paraId="1F247A8C"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[3.4] Tiesa nepareizi norādījusi, ka vispārējais desmit gadu noilguma termiņš attiecas uz prasību par paternitātes noteikšanu, kura no noilguma ietekmes nav izņemta un kuras izlietošanai likumā īsāki termiņi nav noteikti.</w:t>
      </w:r>
    </w:p>
    <w:p w14:paraId="557E1653"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Civillikuma 1895.pantu, uz kuru atsaukusies tiesa, nedrīkst piemērot atrauti no citām saistību tiesību normām, t.sk., Civillikuma 1893.panta, kurš paredz saistību tiesības izbeigšanos, ja tiesīgā persona tās pienācīgi neizlieto likumā noteiktajā noilguma termiņā. Tiesību aktos nav noteikts, kad sākas noilguma tecējums saistībā ar ģimenes radniecības attiecībām (piemēram, prasītājas situācijā). Turpretī personai, no kuras bērns cēlies, paternitātes labprātīgas atzīšanas un šī fakta reģistrēšanas dzimtsarakstu nodaļā gadījumā nekāds noilguma termiņš netiek piemērots, kas bērnu, kura vecāks ir miris un kaut kādu apstākļu dēļ šo ierakstu nav paspējis vai nav varējis izdarīt, nostāda nesamērīgi nelabvēlīgā situācijā.</w:t>
      </w:r>
    </w:p>
    <w:p w14:paraId="612B5EF5"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[3.5] Jebkāda tiesību sašaurināšana un ierobežošana ir vērtējama kā 1975.gada 15.oktobra Eiropas Konvencijas par to bērnu tiesisko stāvokli, kuri nav dzimuši laulībā, nepildīšana un neievērošana. Konkrētajā gadījumā likumdevējs nav nepārprotami un skaidri noteicis tiesas ieskatā noteiktos šķietamā noilguma termiņus. Likuma normu interpretēšana pretēji minētās Konvencijas preambulai un būtībai uzskatāma par tās pārkāpšanu un attiecīgi ir prettiesiska.</w:t>
      </w:r>
    </w:p>
    <w:p w14:paraId="57E6B545" w14:textId="31D9CF5F"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[3.6] Augstākās tiesas Senāta 2011.gada 16.novembra spriedumā lietā Nr. SKC-347/2011 (</w:t>
      </w:r>
      <w:r>
        <w:rPr>
          <w:rFonts w:eastAsia="Calibri" w:cs="Times New Roman"/>
          <w:color w:val="000000"/>
          <w:szCs w:val="24"/>
          <w:lang w:eastAsia="lv-LV"/>
        </w:rPr>
        <w:t>[..]</w:t>
      </w:r>
      <w:r>
        <w:rPr>
          <w:rFonts w:eastAsia="Calibri" w:cs="Times New Roman"/>
          <w:color w:val="000000"/>
          <w:szCs w:val="24"/>
          <w:lang w:eastAsia="lv-LV"/>
        </w:rPr>
        <w:t>) izteiktās atziņas tiesa nepamatoti attiecinājusi uz izskatāmās lietas apstākļiem, jo tajā lietā noilgums piemērots tēva celtajai paternitātes prasībai situācijā, kad bērnam juridiski ir cits tēvs, un pastāvējušas faktiskas tēva un bērna attiecības pretēji tam, kā tas bija prasītājas gadījumā.</w:t>
      </w:r>
    </w:p>
    <w:p w14:paraId="48C4F0DB"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[3.7] Tiesa spriedumā nepareizi norādījusi, ka pat tad, ja tiktu noteikta prasītājas izcelšanās no [pers. C], mantinieku loka grozīšanai un mantojuma sadalei nav iemesla tādēļ, ka ir iestājušies termiņi mantojuma pieņemšanai, un mantinieki apstiprināti mantojuma tiesībās. Faktiski prasītāja [..] savlaicīgi izlietoja savas tiesības, tostarp jautājumā par mantojumu. Lietas izskatīšanu prasītāja nekavēja un arī nevarēja ietekmēt tās gaitu. Tieši tiesu sistēmas dēļ lieta tika novilcināta, liedzot prasītājai tiesības uz taisnīgu tiesu.</w:t>
      </w:r>
    </w:p>
    <w:p w14:paraId="4658E4C3" w14:textId="77777777" w:rsidR="00FD0F3E" w:rsidRDefault="00FD0F3E" w:rsidP="00FD0F3E">
      <w:pPr>
        <w:spacing w:after="0" w:line="276" w:lineRule="auto"/>
        <w:ind w:firstLine="709"/>
        <w:jc w:val="both"/>
        <w:rPr>
          <w:rFonts w:eastAsia="Times New Roman" w:cs="Times New Roman"/>
          <w:color w:val="000000"/>
          <w:szCs w:val="24"/>
          <w:lang w:eastAsia="lv-LV"/>
        </w:rPr>
      </w:pPr>
    </w:p>
    <w:p w14:paraId="5B4CF98F" w14:textId="77777777" w:rsidR="00FD0F3E" w:rsidRDefault="00FD0F3E" w:rsidP="00FD0F3E">
      <w:pPr>
        <w:spacing w:after="0" w:line="276" w:lineRule="auto"/>
        <w:ind w:firstLine="709"/>
        <w:jc w:val="both"/>
        <w:rPr>
          <w:rFonts w:eastAsia="Times New Roman" w:cs="Times New Roman"/>
          <w:color w:val="000000"/>
          <w:szCs w:val="24"/>
          <w:lang w:eastAsia="lv-LV"/>
        </w:rPr>
      </w:pPr>
      <w:r>
        <w:rPr>
          <w:rFonts w:eastAsia="Calibri" w:cs="Times New Roman"/>
          <w:color w:val="000000"/>
          <w:szCs w:val="24"/>
          <w:lang w:eastAsia="lv-LV"/>
        </w:rPr>
        <w:lastRenderedPageBreak/>
        <w:t>[4] Paskaidrojumos sakarā ar kasācijas sūdzību atbildētāja norādījusi, ka spriedums ir pareizs un atstājams negrozīts.</w:t>
      </w:r>
    </w:p>
    <w:p w14:paraId="330ED24B" w14:textId="77777777" w:rsidR="00FD0F3E" w:rsidRDefault="00FD0F3E" w:rsidP="00FD0F3E">
      <w:pPr>
        <w:spacing w:after="0" w:line="276" w:lineRule="auto"/>
        <w:jc w:val="center"/>
        <w:rPr>
          <w:rFonts w:eastAsia="Times New Roman" w:cs="Times New Roman"/>
          <w:color w:val="000000"/>
          <w:szCs w:val="24"/>
          <w:lang w:eastAsia="lv-LV"/>
        </w:rPr>
      </w:pPr>
    </w:p>
    <w:p w14:paraId="5AA65DF0" w14:textId="77777777" w:rsidR="00FD0F3E" w:rsidRDefault="00FD0F3E" w:rsidP="00FD0F3E">
      <w:pPr>
        <w:spacing w:after="0" w:line="276" w:lineRule="auto"/>
        <w:jc w:val="center"/>
        <w:rPr>
          <w:rFonts w:eastAsia="Times New Roman" w:cs="Times New Roman"/>
          <w:color w:val="000000"/>
          <w:szCs w:val="24"/>
          <w:lang w:eastAsia="lv-LV"/>
        </w:rPr>
      </w:pPr>
      <w:r>
        <w:rPr>
          <w:rFonts w:eastAsia="Times New Roman" w:cs="Times New Roman"/>
          <w:b/>
          <w:color w:val="000000"/>
          <w:szCs w:val="24"/>
          <w:lang w:eastAsia="lv-LV"/>
        </w:rPr>
        <w:t>Motīvu daļa</w:t>
      </w:r>
    </w:p>
    <w:p w14:paraId="3B6EA019" w14:textId="77777777" w:rsidR="00FD0F3E" w:rsidRDefault="00FD0F3E" w:rsidP="00FD0F3E">
      <w:pPr>
        <w:spacing w:after="0" w:line="276" w:lineRule="auto"/>
        <w:jc w:val="center"/>
        <w:rPr>
          <w:rFonts w:eastAsia="Times New Roman" w:cs="Times New Roman"/>
          <w:color w:val="000000"/>
          <w:szCs w:val="24"/>
          <w:lang w:eastAsia="lv-LV"/>
        </w:rPr>
      </w:pPr>
    </w:p>
    <w:p w14:paraId="1E00A5BE" w14:textId="77777777" w:rsidR="00FD0F3E" w:rsidRDefault="00FD0F3E" w:rsidP="00FD0F3E">
      <w:pPr>
        <w:spacing w:after="0" w:line="276" w:lineRule="auto"/>
        <w:ind w:firstLine="709"/>
        <w:jc w:val="both"/>
        <w:rPr>
          <w:rFonts w:eastAsia="Times New Roman" w:cs="Times New Roman"/>
          <w:color w:val="000000"/>
          <w:szCs w:val="24"/>
          <w:lang w:eastAsia="lv-LV"/>
        </w:rPr>
      </w:pPr>
      <w:r>
        <w:rPr>
          <w:rFonts w:eastAsia="Times New Roman" w:cs="Times New Roman"/>
          <w:color w:val="000000"/>
          <w:szCs w:val="24"/>
          <w:lang w:eastAsia="lv-LV"/>
        </w:rPr>
        <w:t>[5] Pārbaudījis sprieduma likumību attiecībā uz personu, kas to pārsūdzējusi, un attiecībā uz argumentiem, kas minēti kasācijas sūdzībā, kā to nosaka Civilprocesa likuma 473.panta pirmā daļa, Senāts atzīst, ka spriedums atceļams.</w:t>
      </w:r>
    </w:p>
    <w:p w14:paraId="19E32884" w14:textId="77777777" w:rsidR="00FD0F3E" w:rsidRDefault="00FD0F3E" w:rsidP="00FD0F3E">
      <w:pPr>
        <w:spacing w:after="0" w:line="276" w:lineRule="auto"/>
        <w:ind w:firstLine="720"/>
        <w:jc w:val="both"/>
        <w:rPr>
          <w:rFonts w:eastAsia="Times New Roman" w:cs="Times New Roman"/>
          <w:color w:val="000000"/>
          <w:szCs w:val="24"/>
          <w:lang w:eastAsia="lv-LV"/>
        </w:rPr>
      </w:pPr>
    </w:p>
    <w:p w14:paraId="3A961629"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[6] Atbilstoši kasācijas sūdzībā izvirzītajiem argumentiem Senātā izšķirams jautājums par paternitātes prasības noilgumu.</w:t>
      </w:r>
    </w:p>
    <w:p w14:paraId="2ADD044E"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 xml:space="preserve">[6.1] Kā izriet no lietā nodibinātajiem apstākļiem, par kuriem nav strīda, prasītāja dzimusi [..], un viņas dzimšanas apliecībā ziņas par tēvu ir fiktīvas, saskaņā ar </w:t>
      </w:r>
      <w:r>
        <w:rPr>
          <w:rFonts w:eastAsia="Calibri" w:cs="Times New Roman"/>
          <w:szCs w:val="24"/>
          <w:lang w:eastAsia="lv-LV"/>
        </w:rPr>
        <w:t>Latvijas laulības un ģimenes kodeksa 58.pantu</w:t>
      </w:r>
      <w:r>
        <w:rPr>
          <w:rFonts w:eastAsia="Calibri" w:cs="Times New Roman"/>
          <w:color w:val="000000"/>
          <w:szCs w:val="24"/>
          <w:lang w:eastAsia="lv-LV"/>
        </w:rPr>
        <w:t xml:space="preserve"> ierakstītas pēc mātes vārdiem.</w:t>
      </w:r>
    </w:p>
    <w:p w14:paraId="7BFADCE7"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Apelācijas instances tiesa, atsaucoties uz Spēkā stāšanās likuma 1.pantā un 10.panta otrajā daļā noteikto, pamatoti secinājusi, ka Civillikuma normas par paternitātes noteikšanu (157. un 158.pants) ar to spēkā stāšanās brīdi (1993.gada 1.septembri) attiecas arī uz prasītāju.</w:t>
      </w:r>
    </w:p>
    <w:p w14:paraId="61F98F70"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[6.2] Vienlaikus Senāts atzīst, ka noilguma institūta kontekstā minētās Civillikuma normas iztulkotas un uz izskatāmās lietas apstākļiem attiecinātas nepareizi.</w:t>
      </w:r>
    </w:p>
    <w:p w14:paraId="3E00AFE7" w14:textId="77777777" w:rsidR="00FD0F3E" w:rsidRDefault="00FD0F3E" w:rsidP="00FD0F3E">
      <w:pPr>
        <w:shd w:val="clear" w:color="auto" w:fill="FFFFFF"/>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[6.2.1] Paternitāte ir </w:t>
      </w:r>
      <w:r>
        <w:rPr>
          <w:rFonts w:eastAsia="Calibri" w:cs="Times New Roman"/>
          <w:color w:val="000000"/>
          <w:szCs w:val="24"/>
          <w:lang w:eastAsia="lv-LV"/>
        </w:rPr>
        <w:t>tēva tiesiskā, radnieciskā attiecība ar bērnu, kas saistīta ar bērna bioloģisko izcelšanos no šīs personas.</w:t>
      </w:r>
    </w:p>
    <w:p w14:paraId="3B690031" w14:textId="0BF52E9B" w:rsidR="00FD0F3E" w:rsidRDefault="00FD0F3E" w:rsidP="00FD0F3E">
      <w:pPr>
        <w:shd w:val="clear" w:color="auto" w:fill="FFFFFF"/>
        <w:spacing w:after="0" w:line="276" w:lineRule="auto"/>
        <w:ind w:firstLine="720"/>
        <w:jc w:val="both"/>
        <w:rPr>
          <w:rFonts w:eastAsia="Times New Roman" w:cs="Times New Roman"/>
          <w:iCs/>
          <w:color w:val="000000"/>
          <w:szCs w:val="24"/>
          <w:lang w:eastAsia="lv-LV"/>
        </w:rPr>
      </w:pPr>
      <w:r>
        <w:rPr>
          <w:rFonts w:eastAsia="Times New Roman" w:cs="Times New Roman"/>
          <w:color w:val="000000"/>
          <w:szCs w:val="24"/>
          <w:lang w:eastAsia="lv-LV"/>
        </w:rPr>
        <w:t>Satversmes tiesa, analizējot paternitātes sociālo, bioloģisko un juridisko dabu, uzsvērusi, ka: „Tā nozīmē bērna un tēva attiecību sociālu un tiesisku atzīšanu. Nedrīkst jaukt tiesisko paternitāti ar bioloģisko paternitāti, kas ir medicīnisks jautājums. Tiesiskā paternitāte ir vērsta uz to, lai panāktu līdzsvaru starp „bioloģisko patiesību”, kas atspoguļo bioloģisko un ģenētisko paternitāti, un „sociālajām vecāku un bērnu attiecībām”, kuras attiecas uz personu, kas dzīvo kopā ar bērnu un rūpējas par to” (sk</w:t>
      </w:r>
      <w:r>
        <w:rPr>
          <w:rFonts w:eastAsia="Times New Roman" w:cs="Times New Roman"/>
          <w:color w:val="000000"/>
          <w:szCs w:val="24"/>
          <w:lang w:eastAsia="lv-LV"/>
        </w:rPr>
        <w:t>.</w:t>
      </w:r>
      <w:r>
        <w:rPr>
          <w:rFonts w:eastAsia="Times New Roman" w:cs="Times New Roman"/>
          <w:color w:val="000000"/>
          <w:szCs w:val="24"/>
          <w:lang w:eastAsia="lv-LV"/>
        </w:rPr>
        <w:t> </w:t>
      </w:r>
      <w:r>
        <w:rPr>
          <w:rFonts w:eastAsia="Times New Roman" w:cs="Times New Roman"/>
          <w:i/>
          <w:color w:val="000000"/>
          <w:szCs w:val="24"/>
          <w:lang w:eastAsia="lv-LV"/>
        </w:rPr>
        <w:t>Satversmes tiesas 2004.gada 11.oktobra sprieduma lietā Nr. 2004-02-0106 8.punktu</w:t>
      </w:r>
      <w:r>
        <w:rPr>
          <w:rFonts w:eastAsia="Times New Roman" w:cs="Times New Roman"/>
          <w:color w:val="000000"/>
          <w:szCs w:val="24"/>
          <w:lang w:eastAsia="lv-LV"/>
        </w:rPr>
        <w:t>)</w:t>
      </w:r>
      <w:r>
        <w:rPr>
          <w:rFonts w:eastAsia="Times New Roman" w:cs="Times New Roman"/>
          <w:i/>
          <w:color w:val="000000"/>
          <w:szCs w:val="24"/>
          <w:lang w:eastAsia="lv-LV"/>
        </w:rPr>
        <w:t>.</w:t>
      </w:r>
    </w:p>
    <w:p w14:paraId="46393862" w14:textId="77777777" w:rsidR="00FD0F3E" w:rsidRDefault="00FD0F3E" w:rsidP="00FD0F3E">
      <w:pPr>
        <w:shd w:val="clear" w:color="auto" w:fill="FFFFFF"/>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Iekams paternitāte nav noteikta, bērna tiesības ir ierobežotas. Šajā sakarā iepriekšminētajā Satversmes tiesas spriedumā arī norādīts, ka gan laulībā dzimušajiem bērniem, gan tiem, kuri nav dzimuši laulībā, ir vienādas tiesības zināt savu tēvu, saņemt no viņa gan finansiālu, gan cita veida atbalstu. Pretējā gadījumā bērni, kas nav dzimuši laulībā, tiktu diskriminēti.</w:t>
      </w:r>
    </w:p>
    <w:p w14:paraId="1C34E69D"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Calibri" w:cs="Times New Roman"/>
          <w:color w:val="000000"/>
          <w:szCs w:val="24"/>
          <w:lang w:eastAsia="lv-LV"/>
        </w:rPr>
        <w:t xml:space="preserve">[6.2.2] Civillikums paredz, ka paternitātes noteikšana iespējama trīs veidos: īstenojot paternitātes pieņēmumu (146.pants); to brīvprātīgi atzīstot, </w:t>
      </w:r>
      <w:r>
        <w:rPr>
          <w:rFonts w:eastAsia="Times New Roman" w:cs="Times New Roman"/>
          <w:color w:val="000000"/>
          <w:szCs w:val="24"/>
          <w:shd w:val="clear" w:color="auto" w:fill="FFFFFF"/>
          <w:lang w:eastAsia="lv-LV"/>
        </w:rPr>
        <w:t>bērna tēvam un mātei personiski iesniedzot kopīgu iesniegumu (155.pants); paternitāti nosakot tiesas ceļā (157.pants).</w:t>
      </w:r>
    </w:p>
    <w:p w14:paraId="347FD4CD"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Paternitāti tiesa nosaka, ja dzimtsarakstu nodaļai nav iesniegts kopīgs iesniegums par paternitātes atzīšanu vai pastāv Civillikuma </w:t>
      </w:r>
      <w:hyperlink r:id="rId7" w:anchor="p155" w:history="1">
        <w:r>
          <w:rPr>
            <w:rStyle w:val="Hyperlink"/>
            <w:rFonts w:eastAsia="Times New Roman" w:cs="Times New Roman"/>
            <w:color w:val="auto"/>
            <w:szCs w:val="24"/>
            <w:u w:val="none"/>
            <w:lang w:eastAsia="lv-LV"/>
          </w:rPr>
          <w:t>155.pantā</w:t>
        </w:r>
      </w:hyperlink>
      <w:r>
        <w:rPr>
          <w:rFonts w:eastAsia="Times New Roman" w:cs="Times New Roman"/>
          <w:szCs w:val="24"/>
          <w:lang w:eastAsia="lv-LV"/>
        </w:rPr>
        <w:t xml:space="preserve"> </w:t>
      </w:r>
      <w:r>
        <w:rPr>
          <w:rFonts w:eastAsia="Times New Roman" w:cs="Times New Roman"/>
          <w:color w:val="000000"/>
          <w:szCs w:val="24"/>
          <w:lang w:eastAsia="lv-LV"/>
        </w:rPr>
        <w:t>norādītie šķēršļi paternitātes ieraksta izdarīšanai dzimšanas reģistrā. Izskatot prasību par paternitātes noteikšanu, tiesa ņem vērā jebkurus pierādījumus, ar kuriem iespējams pierādīt bērna izcelšanos no konkrētas personas vai izslēgt šādu faktu (Civillikuma 157.pants).</w:t>
      </w:r>
    </w:p>
    <w:p w14:paraId="2713860E"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Prasību paternitātes noteikšanai tiesā var iesniegt bērna māte vai bērna aizbildnis, bērns pats pēc pilngadības sasniegšanas, kā arī persona, kas sevi uzskata par bērna bioloģisko tēvu. Ja persona, no kuras bērns cēlies, ir mirusi, bērna māte, bērna aizbildnis un bērns pats pēc pilngadības sasniegšanas var prasīt tiesas ceļā konstatēt paternitātes faktu (Civillikuma 158.pants).</w:t>
      </w:r>
    </w:p>
    <w:p w14:paraId="330A88CD" w14:textId="77777777" w:rsidR="00FD0F3E" w:rsidRDefault="00FD0F3E" w:rsidP="00FD0F3E">
      <w:pPr>
        <w:shd w:val="clear" w:color="auto" w:fill="FFFFFF"/>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lastRenderedPageBreak/>
        <w:t xml:space="preserve">Minētajās normās, kas reglamentē paternitātes noteikšanu tiesā, atšķirībā no citiem gadījumiem, nav noteikts termiņš, kādā attiecīgās personas ir tiesīgas vērsties tiesā. Arī Civilprocesa likuma 30.nodaļas normās, kas reglamentē lietu par bērna izcelšanās noteikšanu izskatīšanas kārtību, termiņš šādas prasības celšanai nav noteikts. Turklāt Civillikuma 249.panta komentārā ir norādīts, ka: „Tiesības celt prasību par paternitātes noteikšanu likums ar termiņu neierobežo” (sk. </w:t>
      </w:r>
      <w:r>
        <w:rPr>
          <w:rFonts w:eastAsia="Times New Roman" w:cs="Times New Roman"/>
          <w:i/>
          <w:color w:val="000000"/>
          <w:szCs w:val="24"/>
          <w:lang w:eastAsia="lv-LV"/>
        </w:rPr>
        <w:t>Civilprocesa likuma komentāri. II daļa (29.-60.</w:t>
      </w:r>
      <w:r>
        <w:rPr>
          <w:rFonts w:eastAsia="Times New Roman" w:cs="Times New Roman"/>
          <w:i/>
          <w:color w:val="000000"/>
          <w:szCs w:val="24"/>
          <w:vertAlign w:val="superscript"/>
          <w:lang w:eastAsia="lv-LV"/>
        </w:rPr>
        <w:t>1</w:t>
      </w:r>
      <w:r>
        <w:rPr>
          <w:rFonts w:eastAsia="Times New Roman" w:cs="Times New Roman"/>
          <w:i/>
          <w:color w:val="000000"/>
          <w:szCs w:val="24"/>
          <w:lang w:eastAsia="lv-LV"/>
        </w:rPr>
        <w:t xml:space="preserve"> nodaļa). Sagatavojis autoru kolektīvs. Prof. Torgāna K. zinātniskajā redakcijā. Rīga: Tiesu namu aģentūra, 2012, 85.lpp.</w:t>
      </w:r>
      <w:r>
        <w:rPr>
          <w:rFonts w:eastAsia="Times New Roman" w:cs="Times New Roman"/>
          <w:color w:val="000000"/>
          <w:szCs w:val="24"/>
          <w:lang w:eastAsia="lv-LV"/>
        </w:rPr>
        <w:t>).</w:t>
      </w:r>
    </w:p>
    <w:p w14:paraId="362EDF6A" w14:textId="77777777" w:rsidR="00FD0F3E" w:rsidRDefault="00FD0F3E" w:rsidP="00FD0F3E">
      <w:pPr>
        <w:shd w:val="clear" w:color="auto" w:fill="FFFFFF"/>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Senātam nav iemesla minētās atziņas pareizību apšaubīt, jo no tiesību normu sistēmas neizriet objektīvs pamats, kādēļ bērna, kura paternitāte nav noteikta nedz Civillikuma 146.panta, nedz 155.panta kārtībā, tiesības uz izcelšanās noteikšanu būtu aprobežojamas ar kādu termiņu.</w:t>
      </w:r>
    </w:p>
    <w:p w14:paraId="3F3DAF2A"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shd w:val="clear" w:color="auto" w:fill="FFFFFF"/>
          <w:lang w:eastAsia="lv-LV"/>
        </w:rPr>
        <w:t>I</w:t>
      </w:r>
      <w:r>
        <w:rPr>
          <w:rFonts w:eastAsia="Times New Roman" w:cs="Times New Roman"/>
          <w:color w:val="000000"/>
          <w:szCs w:val="24"/>
          <w:lang w:eastAsia="lv-LV"/>
        </w:rPr>
        <w:t xml:space="preserve">epriekš jau norādīts, ka prasītājas dzimšana reģistrēta[..], un atbilstoši Spēkā stāšanās likuma 10.panta otrajai daļai noteikumi par paternitātes noteikšanu tiesā attiecas arī uz bērniem, kuru dzimšana jau reģistrēta pirms 1993.gada 1.septembra, tātad neatkarīgi no tā, kad  bērns piedzimis, cik viņš vecs, kā arī neatkarīgi no tā, vai bērns, kuram nosaka izcelšanos, ir dzīvs, vai jau miris, jo noilguma termiņi šādu pieteikumu iesniegšanai tiesā nav paredzēti (sk. </w:t>
      </w:r>
      <w:r>
        <w:rPr>
          <w:rFonts w:eastAsia="Times New Roman" w:cs="Times New Roman"/>
          <w:i/>
          <w:color w:val="000000"/>
          <w:szCs w:val="24"/>
          <w:lang w:eastAsia="lv-LV"/>
        </w:rPr>
        <w:t>Vēbers J.</w:t>
      </w:r>
      <w:r>
        <w:rPr>
          <w:rFonts w:eastAsia="Times New Roman" w:cs="Times New Roman"/>
          <w:color w:val="000000"/>
          <w:szCs w:val="24"/>
          <w:lang w:eastAsia="lv-LV"/>
        </w:rPr>
        <w:t xml:space="preserve"> </w:t>
      </w:r>
      <w:r>
        <w:rPr>
          <w:rFonts w:eastAsia="Times New Roman" w:cs="Times New Roman"/>
          <w:i/>
          <w:color w:val="000000"/>
          <w:szCs w:val="24"/>
          <w:lang w:eastAsia="lv-LV"/>
        </w:rPr>
        <w:t>Civillikuma komentāri. Ģimenes tiesības. Rīga: Mans Īpašums, 2000, 75.lpp.</w:t>
      </w:r>
      <w:r>
        <w:rPr>
          <w:rFonts w:eastAsia="Times New Roman" w:cs="Times New Roman"/>
          <w:color w:val="000000"/>
          <w:szCs w:val="24"/>
          <w:lang w:eastAsia="lv-LV"/>
        </w:rPr>
        <w:t>). Atziņa, ka paternitāti var noteikt neatkarīgi no tā, kad dzimis bērns un reģistrēta viņa dzimšana, un ka tiesā prasību var iesniegt Civilprocesa likuma 248.pantā minētās personas, ievērojot Civillikuma 158.panta noteikumus, ietverta arī apkopojumā „Tiesu prakse civillietu izskatīšanā par bērna izcelšanās noteikšanu, adopcijas apstiprināšanu un atcelšanu, uzturlīdzekļu piedziņu no vecākiem bērna uzturēšanai, laulības šķiršanu un neesamību” (</w:t>
      </w:r>
      <w:r>
        <w:rPr>
          <w:rFonts w:eastAsia="Times New Roman" w:cs="Times New Roman"/>
          <w:i/>
          <w:color w:val="000000"/>
          <w:szCs w:val="24"/>
          <w:lang w:eastAsia="lv-LV"/>
        </w:rPr>
        <w:t>Augstākās tiesas tiesu prakses apkopojums, 2004, 4.lpp.</w:t>
      </w:r>
      <w:r>
        <w:rPr>
          <w:rFonts w:eastAsia="Times New Roman" w:cs="Times New Roman"/>
          <w:color w:val="000000"/>
          <w:szCs w:val="24"/>
          <w:lang w:eastAsia="lv-LV"/>
        </w:rPr>
        <w:t>).</w:t>
      </w:r>
    </w:p>
    <w:p w14:paraId="3C75A6F0" w14:textId="44C8E67C" w:rsidR="00FD0F3E" w:rsidRDefault="00FD0F3E" w:rsidP="00FD0F3E">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[6.2.3] Apelācijas instances tiesas pretējs secinājums, ka paternitātes noteikšanas prasības nav izņemtas no noilguma ietekmes, pamatots ar atziņām, kas izteiktas Augstākās tiesas Senāta 2011.gada 16.novembra spriedumā lietā Nr. SKC-347/2011 (</w:t>
      </w:r>
      <w:r>
        <w:rPr>
          <w:rFonts w:eastAsia="Times New Roman" w:cs="Times New Roman"/>
          <w:color w:val="000000"/>
          <w:szCs w:val="24"/>
          <w:lang w:eastAsia="lv-LV"/>
        </w:rPr>
        <w:t>[..]</w:t>
      </w:r>
      <w:r>
        <w:rPr>
          <w:rFonts w:eastAsia="Times New Roman" w:cs="Times New Roman"/>
          <w:color w:val="000000"/>
          <w:szCs w:val="24"/>
          <w:lang w:eastAsia="lv-LV"/>
        </w:rPr>
        <w:t xml:space="preserve">), neņemot vērā būtiskās atšķirības abu lietu faktiskajos apstākļos. </w:t>
      </w:r>
      <w:r>
        <w:rPr>
          <w:rFonts w:eastAsia="Times New Roman" w:cs="Times New Roman"/>
          <w:szCs w:val="24"/>
          <w:lang w:eastAsia="lv-LV"/>
        </w:rPr>
        <w:t>Lietā Nr. SKC-347/2011 (</w:t>
      </w:r>
      <w:r>
        <w:rPr>
          <w:rFonts w:eastAsia="Times New Roman" w:cs="Times New Roman"/>
          <w:szCs w:val="24"/>
          <w:lang w:eastAsia="lv-LV"/>
        </w:rPr>
        <w:t>[..]</w:t>
      </w:r>
      <w:r>
        <w:rPr>
          <w:rFonts w:eastAsia="Times New Roman" w:cs="Times New Roman"/>
          <w:szCs w:val="24"/>
          <w:lang w:eastAsia="lv-LV"/>
        </w:rPr>
        <w:t>)</w:t>
      </w:r>
      <w:r>
        <w:rPr>
          <w:rFonts w:eastAsia="Times New Roman" w:cs="Times New Roman"/>
          <w:color w:val="000000"/>
          <w:szCs w:val="24"/>
          <w:lang w:eastAsia="lv-LV"/>
        </w:rPr>
        <w:t xml:space="preserve"> prasību par paternitātes noteikšanu cēlis bērna bioloģiskais tēvs, vienlaikus apstrīdot spēkā esošu citas personas brīvprātīgi atzītu paternitāti. Būtiski ir nošķirt situācijas, kad bērna bioloģiskā tēva prasība noteikt paternitāti ir saistīta ar brīvprātīgi atzītas paternitātes apstrīdēšanu. P</w:t>
      </w:r>
      <w:r>
        <w:rPr>
          <w:rFonts w:eastAsia="Times New Roman" w:cs="Times New Roman"/>
          <w:color w:val="000000"/>
          <w:szCs w:val="24"/>
          <w:shd w:val="clear" w:color="auto" w:fill="FFFFFF"/>
          <w:lang w:eastAsia="lv-LV"/>
        </w:rPr>
        <w:t xml:space="preserve">ēc paternitātes apstrīdēšanas termiņa beigām prioritāras ir bērna intereses, nevis par viņa tēvu uzskatītās personas ieinteresētība atzīto paternitāti apstrīdēt. </w:t>
      </w:r>
      <w:r>
        <w:rPr>
          <w:rFonts w:eastAsia="Times New Roman" w:cs="Times New Roman"/>
          <w:color w:val="000000"/>
          <w:szCs w:val="24"/>
          <w:lang w:eastAsia="lv-LV"/>
        </w:rPr>
        <w:t>Šādos faktiskajos apstākļos lietā Nr. SKC-347/2011 (</w:t>
      </w:r>
      <w:r>
        <w:rPr>
          <w:rFonts w:eastAsia="Times New Roman" w:cs="Times New Roman"/>
          <w:color w:val="000000"/>
          <w:szCs w:val="24"/>
          <w:lang w:eastAsia="lv-LV"/>
        </w:rPr>
        <w:t>[..]</w:t>
      </w:r>
      <w:r>
        <w:rPr>
          <w:rFonts w:eastAsia="Times New Roman" w:cs="Times New Roman"/>
          <w:color w:val="000000"/>
          <w:szCs w:val="24"/>
          <w:lang w:eastAsia="lv-LV"/>
        </w:rPr>
        <w:t>) Senāta ar Civillikuma 6. un 1895.panta normu pamatotā secinājuma (</w:t>
      </w:r>
      <w:r>
        <w:rPr>
          <w:rFonts w:eastAsia="Times New Roman" w:cs="Times New Roman"/>
          <w:i/>
          <w:color w:val="000000"/>
          <w:szCs w:val="24"/>
          <w:lang w:eastAsia="lv-LV"/>
        </w:rPr>
        <w:t>bioloģiskā tēva tiesības uz paternitātes noteikšanu nav uzskatāmas par tādām, kas izslēgtas no noilguma ietekmes</w:t>
      </w:r>
      <w:r>
        <w:rPr>
          <w:rFonts w:eastAsia="Times New Roman" w:cs="Times New Roman"/>
          <w:color w:val="000000"/>
          <w:szCs w:val="24"/>
          <w:lang w:eastAsia="lv-LV"/>
        </w:rPr>
        <w:t>) pamatā ir bērna intereses, kas ir prioritāras, lai bērnam netiktu traucēta un būtu nodrošināta tiesiskā stabilitāte.</w:t>
      </w:r>
      <w:r>
        <w:rPr>
          <w:rFonts w:eastAsia="Times New Roman" w:cs="Times New Roman"/>
          <w:color w:val="000000"/>
          <w:szCs w:val="24"/>
          <w:shd w:val="clear" w:color="auto" w:fill="FFFFFF"/>
          <w:lang w:eastAsia="lv-LV"/>
        </w:rPr>
        <w:t xml:space="preserve"> Turpretī izskatāmajā lietā prasību cēlis pats bērns, nolūkā noteikt savu izcelšanos no konkrētas personas. P</w:t>
      </w:r>
      <w:r>
        <w:rPr>
          <w:rFonts w:eastAsia="Calibri" w:cs="Times New Roman"/>
          <w:color w:val="000000"/>
          <w:szCs w:val="24"/>
          <w:lang w:eastAsia="lv-LV"/>
        </w:rPr>
        <w:t>rocesi par paternitātes noteikšanu, kā atzīts Eiropas Cilvēktiesību tiesas judikatūrā, ietilpst Eiropas Cilvēktiesību Konvencijas 8.panta (</w:t>
      </w:r>
      <w:r>
        <w:rPr>
          <w:rFonts w:eastAsia="Calibri" w:cs="Times New Roman"/>
          <w:i/>
          <w:color w:val="000000"/>
          <w:szCs w:val="24"/>
          <w:lang w:eastAsia="lv-LV"/>
        </w:rPr>
        <w:t>tiesības uz privātās un ģimenes dzīves neaizskaramību</w:t>
      </w:r>
      <w:r>
        <w:rPr>
          <w:rFonts w:eastAsia="Calibri" w:cs="Times New Roman"/>
          <w:color w:val="000000"/>
          <w:szCs w:val="24"/>
          <w:lang w:eastAsia="lv-LV"/>
        </w:rPr>
        <w:t>) tvērumā. Tiesības uz privāto dzīvi pieprasa, lai ikviens cilvēks varētu detalizēti noskaidrot savu identitāti un lai indivīda tiesības uz šādu informāciju tiktu atzītas par nozīmīgām, jo šai informācijai ir personību veidojošas sekas (sk.</w:t>
      </w:r>
      <w:r>
        <w:rPr>
          <w:rFonts w:eastAsia="Calibri" w:cs="Times New Roman"/>
          <w:i/>
          <w:color w:val="000000"/>
          <w:szCs w:val="24"/>
          <w:lang w:eastAsia="lv-LV"/>
        </w:rPr>
        <w:t xml:space="preserve"> Eiropas Cilvēktiesību tiesas 1989.gada 7.jūlija spriedumu lietā „</w:t>
      </w:r>
      <w:proofErr w:type="spellStart"/>
      <w:r>
        <w:rPr>
          <w:rFonts w:eastAsia="Calibri" w:cs="Times New Roman"/>
          <w:i/>
          <w:color w:val="000000"/>
          <w:szCs w:val="24"/>
          <w:lang w:eastAsia="lv-LV"/>
        </w:rPr>
        <w:t>Gaskin</w:t>
      </w:r>
      <w:proofErr w:type="spellEnd"/>
      <w:r>
        <w:rPr>
          <w:rFonts w:eastAsia="Calibri" w:cs="Times New Roman"/>
          <w:i/>
          <w:color w:val="000000"/>
          <w:szCs w:val="24"/>
          <w:lang w:eastAsia="lv-LV"/>
        </w:rPr>
        <w:t xml:space="preserve"> v. </w:t>
      </w:r>
      <w:proofErr w:type="spellStart"/>
      <w:r>
        <w:rPr>
          <w:rFonts w:eastAsia="Calibri" w:cs="Times New Roman"/>
          <w:i/>
          <w:color w:val="000000"/>
          <w:szCs w:val="24"/>
          <w:lang w:eastAsia="lv-LV"/>
        </w:rPr>
        <w:t>the</w:t>
      </w:r>
      <w:proofErr w:type="spellEnd"/>
      <w:r>
        <w:rPr>
          <w:rFonts w:eastAsia="Calibri" w:cs="Times New Roman"/>
          <w:i/>
          <w:color w:val="000000"/>
          <w:szCs w:val="24"/>
          <w:lang w:eastAsia="lv-LV"/>
        </w:rPr>
        <w:t xml:space="preserve"> </w:t>
      </w:r>
      <w:proofErr w:type="spellStart"/>
      <w:r>
        <w:rPr>
          <w:rFonts w:eastAsia="Calibri" w:cs="Times New Roman"/>
          <w:i/>
          <w:color w:val="000000"/>
          <w:szCs w:val="24"/>
          <w:lang w:eastAsia="lv-LV"/>
        </w:rPr>
        <w:t>United</w:t>
      </w:r>
      <w:proofErr w:type="spellEnd"/>
      <w:r>
        <w:rPr>
          <w:rFonts w:eastAsia="Calibri" w:cs="Times New Roman"/>
          <w:i/>
          <w:color w:val="000000"/>
          <w:szCs w:val="24"/>
          <w:lang w:eastAsia="lv-LV"/>
        </w:rPr>
        <w:t xml:space="preserve"> </w:t>
      </w:r>
      <w:proofErr w:type="spellStart"/>
      <w:r>
        <w:rPr>
          <w:rFonts w:eastAsia="Calibri" w:cs="Times New Roman"/>
          <w:i/>
          <w:color w:val="000000"/>
          <w:szCs w:val="24"/>
          <w:lang w:eastAsia="lv-LV"/>
        </w:rPr>
        <w:t>Kingdom</w:t>
      </w:r>
      <w:proofErr w:type="spellEnd"/>
      <w:r>
        <w:rPr>
          <w:rFonts w:eastAsia="Calibri" w:cs="Times New Roman"/>
          <w:i/>
          <w:color w:val="000000"/>
          <w:szCs w:val="24"/>
          <w:lang w:eastAsia="lv-LV"/>
        </w:rPr>
        <w:t>”, iesnieguma Nr. 10454/83; 2002.gada 7.februāra spriedumu lietā „</w:t>
      </w:r>
      <w:proofErr w:type="spellStart"/>
      <w:r>
        <w:rPr>
          <w:rFonts w:eastAsia="Times New Roman" w:cs="Times New Roman"/>
          <w:bCs/>
          <w:i/>
          <w:color w:val="000000"/>
          <w:szCs w:val="24"/>
          <w:shd w:val="clear" w:color="auto" w:fill="FFFFFF"/>
          <w:lang w:eastAsia="lv-LV"/>
        </w:rPr>
        <w:t>Mikulić</w:t>
      </w:r>
      <w:proofErr w:type="spellEnd"/>
      <w:r>
        <w:rPr>
          <w:rFonts w:eastAsia="Times New Roman" w:cs="Times New Roman"/>
          <w:bCs/>
          <w:i/>
          <w:color w:val="000000"/>
          <w:szCs w:val="24"/>
          <w:shd w:val="clear" w:color="auto" w:fill="FFFFFF"/>
          <w:lang w:eastAsia="lv-LV"/>
        </w:rPr>
        <w:t xml:space="preserve"> v. </w:t>
      </w:r>
      <w:proofErr w:type="spellStart"/>
      <w:r>
        <w:rPr>
          <w:rFonts w:eastAsia="Times New Roman" w:cs="Times New Roman"/>
          <w:bCs/>
          <w:i/>
          <w:color w:val="000000"/>
          <w:szCs w:val="24"/>
          <w:shd w:val="clear" w:color="auto" w:fill="FFFFFF"/>
          <w:lang w:eastAsia="lv-LV"/>
        </w:rPr>
        <w:t>Croatia</w:t>
      </w:r>
      <w:proofErr w:type="spellEnd"/>
      <w:r>
        <w:rPr>
          <w:rFonts w:eastAsia="Times New Roman" w:cs="Times New Roman"/>
          <w:bCs/>
          <w:i/>
          <w:color w:val="000000"/>
          <w:szCs w:val="24"/>
          <w:shd w:val="clear" w:color="auto" w:fill="FFFFFF"/>
          <w:lang w:eastAsia="lv-LV"/>
        </w:rPr>
        <w:t>”, iesnieguma Nr. 53176/99; 2007.gada 20.decembra spriedumu lietā „</w:t>
      </w:r>
      <w:proofErr w:type="spellStart"/>
      <w:r>
        <w:rPr>
          <w:rFonts w:eastAsia="Times New Roman" w:cs="Times New Roman"/>
          <w:bCs/>
          <w:i/>
          <w:color w:val="000000"/>
          <w:szCs w:val="24"/>
          <w:shd w:val="clear" w:color="auto" w:fill="FFFFFF"/>
          <w:lang w:eastAsia="lv-LV"/>
        </w:rPr>
        <w:t>Phinikaridou</w:t>
      </w:r>
      <w:proofErr w:type="spellEnd"/>
      <w:r>
        <w:rPr>
          <w:rFonts w:eastAsia="Times New Roman" w:cs="Times New Roman"/>
          <w:bCs/>
          <w:i/>
          <w:color w:val="000000"/>
          <w:szCs w:val="24"/>
          <w:shd w:val="clear" w:color="auto" w:fill="FFFFFF"/>
          <w:lang w:eastAsia="lv-LV"/>
        </w:rPr>
        <w:t xml:space="preserve"> v. </w:t>
      </w:r>
      <w:proofErr w:type="spellStart"/>
      <w:r>
        <w:rPr>
          <w:rFonts w:eastAsia="Times New Roman" w:cs="Times New Roman"/>
          <w:bCs/>
          <w:i/>
          <w:color w:val="000000"/>
          <w:szCs w:val="24"/>
          <w:shd w:val="clear" w:color="auto" w:fill="FFFFFF"/>
          <w:lang w:eastAsia="lv-LV"/>
        </w:rPr>
        <w:t>Cyprus</w:t>
      </w:r>
      <w:proofErr w:type="spellEnd"/>
      <w:r>
        <w:rPr>
          <w:rFonts w:eastAsia="Times New Roman" w:cs="Times New Roman"/>
          <w:bCs/>
          <w:i/>
          <w:color w:val="000000"/>
          <w:szCs w:val="24"/>
          <w:shd w:val="clear" w:color="auto" w:fill="FFFFFF"/>
          <w:lang w:eastAsia="lv-LV"/>
        </w:rPr>
        <w:t>”, iesnieguma Nr. 23890/02</w:t>
      </w:r>
      <w:r>
        <w:rPr>
          <w:rFonts w:eastAsia="Times New Roman" w:cs="Times New Roman"/>
          <w:bCs/>
          <w:color w:val="000000"/>
          <w:szCs w:val="24"/>
          <w:shd w:val="clear" w:color="auto" w:fill="FFFFFF"/>
          <w:lang w:eastAsia="lv-LV"/>
        </w:rPr>
        <w:t>).</w:t>
      </w:r>
    </w:p>
    <w:p w14:paraId="08922660"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[6.2.4] Jāpiekrīt kasācijas sūdzības iesniedzējai, ka apelācijas instances tiesas sprieduma argumentācija nesniedz atbildi, kādēļ tiesa par konkrētās paternitātes atzīšanas prasības noilguma </w:t>
      </w:r>
      <w:r>
        <w:rPr>
          <w:rFonts w:eastAsia="Times New Roman" w:cs="Times New Roman"/>
          <w:color w:val="000000"/>
          <w:szCs w:val="24"/>
          <w:lang w:eastAsia="lv-LV"/>
        </w:rPr>
        <w:lastRenderedPageBreak/>
        <w:t xml:space="preserve">termiņa tecējuma sākumu uzskatījusi tieši 1937.gada Civillikuma Ģimenes tiesību daļas spēkā stāšanās brīdi. Atbilstoši tiesas piemērotajiem saistību tiesību noteikumiem par noilgumu, tā tecējuma sākumu nosaka zināmi apstākļi vai notikumi (piemēram, ir izcēlies strīds), bet kamēr tiesiskajās attiecībās iesaistītās personas ar pastāvošo kārtību ir apmierinātas, nav iemesla runāt par noilguma termiņa tecējuma sākumu. Latvijas likumā nav noteikts noilguma termiņa tecējuma sākums paternitātes noteikšanas prasībām.  Arī no tiesas pieminētās 1975.gada 15.oktobra Eiropas </w:t>
      </w:r>
      <w:r>
        <w:rPr>
          <w:rFonts w:eastAsia="Times New Roman" w:cs="Times New Roman"/>
          <w:bCs/>
          <w:color w:val="000000"/>
          <w:szCs w:val="24"/>
          <w:shd w:val="clear" w:color="auto" w:fill="FFFFFF"/>
          <w:lang w:eastAsia="lv-LV"/>
        </w:rPr>
        <w:t>Konvencijas par to bērnu tiesisko statusu, kuri nav dzimuši laulībā,</w:t>
      </w:r>
      <w:r>
        <w:rPr>
          <w:rFonts w:eastAsia="Times New Roman" w:cs="Times New Roman"/>
          <w:color w:val="000000"/>
          <w:szCs w:val="24"/>
          <w:lang w:eastAsia="lv-LV"/>
        </w:rPr>
        <w:t xml:space="preserve"> tiesas noteiktais noilguma termiņš neizriet. Turklāt paternitātes brīvprātīgas atzīšanas gadījumā, nekādi termiņi šī fakta reģistrācijai Dzimtsarakstu nodaļā netiek piemēroti, kas nesamērīgi nelabvēlīgā situācijā nostāda bērnu, kura vecāks ir miris un kādu apstākļu dēļ šo ierakstu nav paspējis vai nav varējis izdarīt.</w:t>
      </w:r>
    </w:p>
    <w:p w14:paraId="69D6D48A"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[6.2.5] Senāts par pamatotiem atzīst kasācijas sūdzībā izteiktos iebildumus attiecībā uz pārsūdzētajā spriedumā ietverto secinājumu par to, ka mantojuma tiesības iespējams atzīt tikai personai, kuras paternitāte ir nodibināta jau mantojuma atklāšanās brīdī.</w:t>
      </w:r>
    </w:p>
    <w:p w14:paraId="71A49DA7"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Minētā secinājuma pamatošanai tiesa atsaukusies uz Civillikuma 400.panta 1997.gadā tapuša komentāra 3.punktu (sk. </w:t>
      </w:r>
      <w:r>
        <w:rPr>
          <w:rFonts w:eastAsia="Times New Roman" w:cs="Times New Roman"/>
          <w:i/>
          <w:color w:val="000000"/>
          <w:szCs w:val="24"/>
          <w:lang w:eastAsia="lv-LV"/>
        </w:rPr>
        <w:t xml:space="preserve">Civillikuma komentāri. Mantojuma tiesības. Sastādījuši: Krauze R. un </w:t>
      </w:r>
      <w:proofErr w:type="spellStart"/>
      <w:r>
        <w:rPr>
          <w:rFonts w:eastAsia="Times New Roman" w:cs="Times New Roman"/>
          <w:i/>
          <w:color w:val="000000"/>
          <w:szCs w:val="24"/>
          <w:lang w:eastAsia="lv-LV"/>
        </w:rPr>
        <w:t>Gencs</w:t>
      </w:r>
      <w:proofErr w:type="spellEnd"/>
      <w:r>
        <w:rPr>
          <w:rFonts w:eastAsia="Times New Roman" w:cs="Times New Roman"/>
          <w:i/>
          <w:color w:val="000000"/>
          <w:szCs w:val="24"/>
          <w:lang w:eastAsia="lv-LV"/>
        </w:rPr>
        <w:t xml:space="preserve"> Z. Rīga: Mans īpašums, 1997, 32.lpp.</w:t>
      </w:r>
      <w:r>
        <w:rPr>
          <w:rFonts w:eastAsia="Times New Roman" w:cs="Times New Roman"/>
          <w:color w:val="000000"/>
          <w:szCs w:val="24"/>
          <w:lang w:eastAsia="lv-LV"/>
        </w:rPr>
        <w:t>), neapsverot tā atbilstību normas saturam un tiesu praksei.</w:t>
      </w:r>
    </w:p>
    <w:p w14:paraId="5341029B"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Tiesu informācijas sistēmā pieejamie dati liecina, ka tiesvedībā tiek pieņemtas un izskatītas mirušas personas lejupējā prasības (pieteikumi), kuros tiek lūgts, pirmkārt, konstatēt paternitātes faktu, otrkārt, atzīt mantojuma tiesības uz atstāto mantojumu (piemēram, civillietas Nr. </w:t>
      </w:r>
      <w:bookmarkStart w:id="2" w:name="_Hlk16001891"/>
      <w:r>
        <w:rPr>
          <w:rFonts w:eastAsia="Times New Roman" w:cs="Times New Roman"/>
          <w:color w:val="000000"/>
          <w:szCs w:val="24"/>
          <w:lang w:eastAsia="lv-LV"/>
        </w:rPr>
        <w:t>C28178106, C04296207, C06032408,</w:t>
      </w:r>
      <w:r>
        <w:rPr>
          <w:rFonts w:eastAsia="Times New Roman" w:cs="Times New Roman"/>
          <w:szCs w:val="24"/>
          <w:lang w:eastAsia="lv-LV"/>
        </w:rPr>
        <w:t xml:space="preserve"> </w:t>
      </w:r>
      <w:bookmarkEnd w:id="2"/>
      <w:r>
        <w:rPr>
          <w:rFonts w:eastAsia="Times New Roman" w:cs="Times New Roman"/>
          <w:szCs w:val="24"/>
          <w:lang w:eastAsia="lv-LV"/>
        </w:rPr>
        <w:t xml:space="preserve">[..]). </w:t>
      </w:r>
      <w:r>
        <w:rPr>
          <w:rFonts w:eastAsia="Times New Roman" w:cs="Times New Roman"/>
          <w:color w:val="000000"/>
          <w:szCs w:val="24"/>
          <w:lang w:eastAsia="lv-LV"/>
        </w:rPr>
        <w:t>Respektīvi, uz mantojuma atklāšanās brīdi nenoteikta bērna paternitāte netiek uzskatīta par šķērsli mantojuma iegūšanai, kas, Senāta ieskatā, atbilst likumam.</w:t>
      </w:r>
    </w:p>
    <w:p w14:paraId="000DE6BA"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Civillikuma 400.pants (spēkā esošajā Latvijas Republikas 1992.gada 7.jūlija likuma redakcijā) noteic, ka  b</w:t>
      </w:r>
      <w:r>
        <w:rPr>
          <w:rFonts w:eastAsia="Times New Roman" w:cs="Times New Roman"/>
          <w:color w:val="000000"/>
          <w:szCs w:val="24"/>
          <w:shd w:val="clear" w:color="auto" w:fill="FFFFFF"/>
          <w:lang w:eastAsia="lv-LV"/>
        </w:rPr>
        <w:t>ērni, kas cēlušies no vecākiem, kuri nav savstarpējā laulībā, ja izcelšanās no tēva un mātes ir noteikta likumā paredzētajā kārtībā, manto tāpat kā laulībā dzimušie bērni. No šādiem bērniem manto kā māte un tās radinieki, tā tēvs un tā radinieki.</w:t>
      </w:r>
    </w:p>
    <w:p w14:paraId="30592F0F"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Tātad bērni no saviem vecākiem manto, ja viņu izcelšanās ir noteikta likumā paredzētajā kārtībā. </w:t>
      </w:r>
      <w:r>
        <w:rPr>
          <w:rFonts w:eastAsia="Times New Roman" w:cs="Times New Roman"/>
          <w:color w:val="000000"/>
          <w:szCs w:val="24"/>
          <w:shd w:val="clear" w:color="auto" w:fill="FFFFFF"/>
          <w:lang w:eastAsia="lv-LV"/>
        </w:rPr>
        <w:t xml:space="preserve">Nedz šajā, nedz kādā citā mantojuma tiesības reglamentējošā normā bērna tiesības mantot no tēva nav padarītas atkarīgas no paternitātes noteikšanas brīža. </w:t>
      </w:r>
    </w:p>
    <w:p w14:paraId="686F22D9"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Nodibinot bērna izcelšanos no konkrētas personas, tiek nodibināta viņu radniecība, kas savukārt ir likumiskās mantojuma tiesības pamats (Civillikuma 398.pants). </w:t>
      </w:r>
    </w:p>
    <w:p w14:paraId="0A98C27E"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shd w:val="clear" w:color="auto" w:fill="FFFFFF"/>
          <w:lang w:eastAsia="lv-LV"/>
        </w:rPr>
        <w:t>Radniecība ir divu vai vairāku personu starpā ar dzimšanu radusies attiecība (Civillikuma 206.pants). Tātad neatkarīgi no tā, kad juridiski tiek konstatēta tēva un bērna radniecība (paternitāte), faktiski tā pastāv no bērna dzimšanas brīža.</w:t>
      </w:r>
    </w:p>
    <w:p w14:paraId="2169FF37"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No lietas materiāliem redzams, ka prasītāja kā mantojuma atstājēja lejupējā likumā noteiktajā mantojuma pieņemšanas termiņā ir paudusi savu gribu tēva mantojuma sakarā, vienlaikus vēršoties tiesā ar attiecīgu prasību radniecības (paternitātes) fakta konstatēšanai, kas ir viens no likumā paredzētajiem veidiem paternitātes noteikšanai. Prasītājai nav iespēju ietekmēt lietas izskatīšanas gaitu, tādēļ nav nekāda iemesla viņas tiesības mantot saistīt ar civillietas izskatīšanas termiņiem.</w:t>
      </w:r>
    </w:p>
    <w:p w14:paraId="7A70B798"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Tēze, ka mantojuma tiesību iegūšanai paternitātei jābūt nodibinātai jau uz mantojuma atklāšanās brīdi, Senāta ieskatā, vairāk sasaucas ar Civillikuma normām tā sākotnējā 1937.gada redakcijā, kas būtiski atšķiras no Civillikuma 1993.gadā pieņemtās redakcijas atbilstīgi mūsdienu juridiskajām prasībām, tradicionālajām normām un pasaulē atzītajiem cilvēktiesību principiem.</w:t>
      </w:r>
    </w:p>
    <w:p w14:paraId="51404185"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Sākotnēji 1937.gada Civillikums bērnus iedalīja „laulības” un „ārlaulības” bērnos, kas bija saistīts ar viņu atšķirīgo tiesisko statusu, atkarībā no tā, vai bija noteikta viņu izcelšanās no vecākiem, </w:t>
      </w:r>
      <w:r>
        <w:rPr>
          <w:rFonts w:eastAsia="Times New Roman" w:cs="Times New Roman"/>
          <w:color w:val="000000"/>
          <w:szCs w:val="24"/>
          <w:lang w:eastAsia="lv-LV"/>
        </w:rPr>
        <w:lastRenderedPageBreak/>
        <w:t xml:space="preserve">kas savstarpēji bija laulībā, vai ne. Civillikuma attiecīgo apakšnodaļu virsrakstos nebija norādes uz bērna izcelšanās noteikšanu, bet gan uz viņu tiesisko statusu „laulības bērni un tiem pieskaitāmie bērni” un „ārlaulības bērni”. </w:t>
      </w:r>
    </w:p>
    <w:p w14:paraId="291E7C89"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Saskaņā ar Civillikuma 400.pantu agrākajā redakcijā ā</w:t>
      </w:r>
      <w:r>
        <w:rPr>
          <w:rFonts w:cs="Times New Roman"/>
          <w:color w:val="000000"/>
          <w:szCs w:val="24"/>
        </w:rPr>
        <w:t>rlaulības bērns no sava tēva neko nemanto, tāpat kā tēvs nemanto no viņa. Savukārt šī statusa maiņas gadījumā, kas likumā noteiktos gadījumos bija iespējama (piemēram, ja vecāki pēc bērna dzimšanas noslēdza laulību), bērns ieguva laulībā dzimuša bērna statusu un līdz ar to arī tiesības mantot no sava tēva.</w:t>
      </w:r>
    </w:p>
    <w:p w14:paraId="119C58DB"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Senāts uzskata, ka pārsūdzētajā spriedumā citētās Civillikuma 400.panta komentāra 3.punktā iekļautās iepriekšminētās atziņas neatbilst paternitātes nodibināšanas tiesiskām sekām mūsdienu izpratnē, kas izriet gan no Eiropas Cilvēktiesību tiesas atziņām, gan no mūsu tiesu iedibinātās prakses, kurai atbilstoši arī pēc tēva nāves noteikta paternitāte ir pamats mantojuma tiesību atzīšanai bērnam, jo nav taisnīgi liegt bērnam tiesības mantot tādēļ vien, ka tiesiskā aspektā paternitātes jautājums nav sakārtots līdz mantojuma atklāšanās brīdim.</w:t>
      </w:r>
    </w:p>
    <w:p w14:paraId="36098F2B"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[6.3] Apkopojot iepriekš teikto, apelācijas instances tiesas spriedums ir atceļams un lieta nododama jaunai izskatīšanai apelācijas instances tiesā.</w:t>
      </w:r>
    </w:p>
    <w:p w14:paraId="27C634A5" w14:textId="77777777" w:rsidR="00FD0F3E" w:rsidRDefault="00FD0F3E" w:rsidP="00FD0F3E">
      <w:pPr>
        <w:spacing w:after="0" w:line="276" w:lineRule="auto"/>
        <w:ind w:firstLine="709"/>
        <w:jc w:val="both"/>
        <w:rPr>
          <w:rFonts w:eastAsia="Times New Roman" w:cs="Times New Roman"/>
          <w:color w:val="000000"/>
          <w:szCs w:val="24"/>
          <w:lang w:eastAsia="lv-LV"/>
        </w:rPr>
      </w:pPr>
      <w:r>
        <w:rPr>
          <w:rFonts w:eastAsia="Times New Roman" w:cs="Times New Roman"/>
          <w:color w:val="000000"/>
          <w:szCs w:val="24"/>
          <w:lang w:eastAsia="lv-LV"/>
        </w:rPr>
        <w:t xml:space="preserve">Atceļot spriedumu, atbilstoši </w:t>
      </w:r>
      <w:r>
        <w:rPr>
          <w:rFonts w:eastAsia="Calibri" w:cs="Times New Roman"/>
          <w:color w:val="000000"/>
          <w:szCs w:val="24"/>
          <w:lang w:eastAsia="lv-LV"/>
        </w:rPr>
        <w:t>Civilprocesa likuma 458.panta otrajai daļai prasītājai atmaksājama par kasācijas sūdzību samaksātā drošības nauda 300 EUR</w:t>
      </w:r>
      <w:r>
        <w:rPr>
          <w:rFonts w:eastAsia="Times New Roman" w:cs="Times New Roman"/>
          <w:color w:val="000000"/>
          <w:szCs w:val="24"/>
          <w:lang w:eastAsia="lv-LV"/>
        </w:rPr>
        <w:t>.</w:t>
      </w:r>
    </w:p>
    <w:p w14:paraId="79DE777A" w14:textId="77777777" w:rsidR="00FD0F3E" w:rsidRDefault="00FD0F3E" w:rsidP="00FD0F3E">
      <w:pPr>
        <w:spacing w:after="0" w:line="276" w:lineRule="auto"/>
        <w:ind w:firstLine="709"/>
        <w:jc w:val="both"/>
        <w:rPr>
          <w:rFonts w:eastAsia="Times New Roman" w:cs="Times New Roman"/>
          <w:color w:val="000000"/>
          <w:szCs w:val="24"/>
          <w:lang w:eastAsia="lv-LV"/>
        </w:rPr>
      </w:pPr>
    </w:p>
    <w:p w14:paraId="669A85D8" w14:textId="77777777" w:rsidR="00FD0F3E" w:rsidRDefault="00FD0F3E" w:rsidP="00FD0F3E">
      <w:pPr>
        <w:spacing w:after="0" w:line="276" w:lineRule="auto"/>
        <w:jc w:val="center"/>
        <w:rPr>
          <w:rFonts w:eastAsia="Times New Roman" w:cs="Times New Roman"/>
          <w:color w:val="000000"/>
          <w:szCs w:val="24"/>
          <w:lang w:eastAsia="lv-LV"/>
        </w:rPr>
      </w:pPr>
      <w:r>
        <w:rPr>
          <w:rFonts w:eastAsia="Times New Roman" w:cs="Times New Roman"/>
          <w:b/>
          <w:color w:val="000000"/>
          <w:szCs w:val="24"/>
          <w:lang w:eastAsia="lv-LV"/>
        </w:rPr>
        <w:t>Rezolutīvā daļa</w:t>
      </w:r>
    </w:p>
    <w:p w14:paraId="510D997E" w14:textId="77777777" w:rsidR="00FD0F3E" w:rsidRDefault="00FD0F3E" w:rsidP="00FD0F3E">
      <w:pPr>
        <w:spacing w:after="0" w:line="276" w:lineRule="auto"/>
        <w:jc w:val="center"/>
        <w:rPr>
          <w:rFonts w:eastAsia="Times New Roman" w:cs="Times New Roman"/>
          <w:color w:val="000000"/>
          <w:szCs w:val="24"/>
          <w:lang w:eastAsia="lv-LV"/>
        </w:rPr>
      </w:pPr>
    </w:p>
    <w:p w14:paraId="11C65171" w14:textId="77777777" w:rsidR="00FD0F3E" w:rsidRDefault="00FD0F3E" w:rsidP="00FD0F3E">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Pamatojoties uz Civilprocesa likuma 474.panta 2.punktu, Senāts</w:t>
      </w:r>
    </w:p>
    <w:p w14:paraId="002F074A" w14:textId="77777777" w:rsidR="00FD0F3E" w:rsidRDefault="00FD0F3E" w:rsidP="00FD0F3E">
      <w:pPr>
        <w:spacing w:after="0" w:line="276" w:lineRule="auto"/>
        <w:ind w:firstLine="567"/>
        <w:jc w:val="both"/>
        <w:rPr>
          <w:rFonts w:eastAsia="Times New Roman" w:cs="Times New Roman"/>
          <w:color w:val="000000"/>
          <w:szCs w:val="24"/>
          <w:lang w:eastAsia="lv-LV"/>
        </w:rPr>
      </w:pPr>
    </w:p>
    <w:p w14:paraId="27374DF1" w14:textId="77777777" w:rsidR="00FD0F3E" w:rsidRDefault="00FD0F3E" w:rsidP="00FD0F3E">
      <w:pPr>
        <w:spacing w:after="0" w:line="276" w:lineRule="auto"/>
        <w:jc w:val="center"/>
        <w:rPr>
          <w:rFonts w:eastAsia="Times New Roman" w:cs="Times New Roman"/>
          <w:color w:val="000000"/>
          <w:szCs w:val="24"/>
          <w:lang w:eastAsia="lv-LV"/>
        </w:rPr>
      </w:pPr>
      <w:r>
        <w:rPr>
          <w:rFonts w:eastAsia="Times New Roman" w:cs="Times New Roman"/>
          <w:b/>
          <w:color w:val="000000"/>
          <w:szCs w:val="24"/>
          <w:lang w:eastAsia="lv-LV"/>
        </w:rPr>
        <w:t>nosprieda:</w:t>
      </w:r>
    </w:p>
    <w:p w14:paraId="0FB5E8E7" w14:textId="77777777" w:rsidR="00FD0F3E" w:rsidRDefault="00FD0F3E" w:rsidP="00FD0F3E">
      <w:pPr>
        <w:spacing w:after="0" w:line="276" w:lineRule="auto"/>
        <w:jc w:val="center"/>
        <w:rPr>
          <w:rFonts w:eastAsia="Times New Roman" w:cs="Times New Roman"/>
          <w:color w:val="000000"/>
          <w:szCs w:val="24"/>
          <w:lang w:eastAsia="lv-LV"/>
        </w:rPr>
      </w:pPr>
    </w:p>
    <w:p w14:paraId="50B49951" w14:textId="77777777" w:rsidR="00FD0F3E" w:rsidRDefault="00FD0F3E" w:rsidP="00FD0F3E">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Rīgas apgabaltiesas Civillietu tiesas kolēģijas 2017.gada 24.oktobra spriedumu atcelt un lietu nodot jaunai izskatīšanai apelācijas instances tiesā.</w:t>
      </w:r>
    </w:p>
    <w:p w14:paraId="3B6AA97E" w14:textId="77777777" w:rsidR="00FD0F3E" w:rsidRDefault="00FD0F3E" w:rsidP="00FD0F3E">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Atmaksāt </w:t>
      </w:r>
      <w:r>
        <w:rPr>
          <w:rFonts w:eastAsia="Calibri" w:cs="Times New Roman"/>
          <w:color w:val="000000"/>
          <w:szCs w:val="24"/>
          <w:lang w:eastAsia="lv-LV"/>
        </w:rPr>
        <w:t xml:space="preserve">[pers. A] </w:t>
      </w:r>
      <w:r>
        <w:rPr>
          <w:rFonts w:eastAsia="Times New Roman" w:cs="Times New Roman"/>
          <w:color w:val="000000"/>
          <w:szCs w:val="24"/>
          <w:lang w:eastAsia="lv-LV"/>
        </w:rPr>
        <w:t xml:space="preserve">drošības naudu 300 EUR </w:t>
      </w:r>
      <w:r>
        <w:rPr>
          <w:rFonts w:eastAsia="Times New Roman" w:cs="Times New Roman"/>
          <w:iCs/>
          <w:color w:val="000000"/>
          <w:szCs w:val="24"/>
          <w:lang w:eastAsia="lv-LV"/>
        </w:rPr>
        <w:t>(</w:t>
      </w:r>
      <w:r>
        <w:rPr>
          <w:rFonts w:eastAsia="Times New Roman" w:cs="Times New Roman"/>
          <w:color w:val="000000"/>
          <w:szCs w:val="24"/>
          <w:lang w:eastAsia="lv-LV"/>
        </w:rPr>
        <w:t xml:space="preserve">trīs simti </w:t>
      </w:r>
      <w:proofErr w:type="spellStart"/>
      <w:r>
        <w:rPr>
          <w:rFonts w:eastAsia="Times New Roman" w:cs="Times New Roman"/>
          <w:i/>
          <w:iCs/>
          <w:color w:val="000000"/>
          <w:szCs w:val="24"/>
          <w:lang w:eastAsia="lv-LV"/>
        </w:rPr>
        <w:t>euro</w:t>
      </w:r>
      <w:proofErr w:type="spellEnd"/>
      <w:r>
        <w:rPr>
          <w:rFonts w:eastAsia="Times New Roman" w:cs="Times New Roman"/>
          <w:color w:val="000000"/>
          <w:szCs w:val="24"/>
          <w:lang w:eastAsia="lv-LV"/>
        </w:rPr>
        <w:t>)</w:t>
      </w:r>
      <w:r>
        <w:rPr>
          <w:rFonts w:eastAsia="Times New Roman" w:cs="Times New Roman"/>
          <w:iCs/>
          <w:color w:val="000000"/>
          <w:szCs w:val="24"/>
          <w:lang w:eastAsia="lv-LV"/>
        </w:rPr>
        <w:t>.</w:t>
      </w:r>
    </w:p>
    <w:p w14:paraId="05F5244A" w14:textId="77777777" w:rsidR="00FD0F3E" w:rsidRDefault="00FD0F3E" w:rsidP="00FD0F3E">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Spriedums nav pārsūdzams.</w:t>
      </w:r>
    </w:p>
    <w:p w14:paraId="5C72C59C" w14:textId="77777777" w:rsidR="00FD0F3E" w:rsidRDefault="00FD0F3E"/>
    <w:sectPr w:rsidR="00FD0F3E" w:rsidSect="0086716C">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59CB1" w14:textId="77777777" w:rsidR="00FD0F3E" w:rsidRDefault="00FD0F3E" w:rsidP="00FD0F3E">
      <w:pPr>
        <w:spacing w:after="0" w:line="240" w:lineRule="auto"/>
      </w:pPr>
      <w:r>
        <w:separator/>
      </w:r>
    </w:p>
  </w:endnote>
  <w:endnote w:type="continuationSeparator" w:id="0">
    <w:p w14:paraId="0DE251C3" w14:textId="77777777" w:rsidR="00FD0F3E" w:rsidRDefault="00FD0F3E" w:rsidP="00FD0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D30A1" w14:textId="77777777" w:rsidR="00FD0F3E" w:rsidRDefault="00FD0F3E" w:rsidP="00FD0F3E">
      <w:pPr>
        <w:spacing w:after="0" w:line="240" w:lineRule="auto"/>
      </w:pPr>
      <w:r>
        <w:separator/>
      </w:r>
    </w:p>
  </w:footnote>
  <w:footnote w:type="continuationSeparator" w:id="0">
    <w:p w14:paraId="521B11F3" w14:textId="77777777" w:rsidR="00FD0F3E" w:rsidRDefault="00FD0F3E" w:rsidP="00FD0F3E">
      <w:pPr>
        <w:spacing w:after="0" w:line="240" w:lineRule="auto"/>
      </w:pPr>
      <w:r>
        <w:continuationSeparator/>
      </w:r>
    </w:p>
  </w:footnote>
  <w:footnote w:id="1">
    <w:p w14:paraId="287DD25F" w14:textId="77777777" w:rsidR="00FD0F3E" w:rsidRDefault="00FD0F3E" w:rsidP="00FD0F3E">
      <w:pPr>
        <w:pStyle w:val="FootnoteText"/>
        <w:rPr>
          <w:lang w:val="lv-LV"/>
        </w:rPr>
      </w:pPr>
      <w:r>
        <w:rPr>
          <w:rStyle w:val="FootnoteReference"/>
        </w:rPr>
        <w:footnoteRef/>
      </w:r>
      <w:r>
        <w:t xml:space="preserve"> </w:t>
      </w:r>
      <w:bookmarkStart w:id="0" w:name="_Hlk515877011"/>
      <w:proofErr w:type="spellStart"/>
      <w:r>
        <w:t>Slēgtas</w:t>
      </w:r>
      <w:proofErr w:type="spellEnd"/>
      <w:r>
        <w:t xml:space="preserve"> </w:t>
      </w:r>
      <w:proofErr w:type="spellStart"/>
      <w:r>
        <w:t>lietas</w:t>
      </w:r>
      <w:proofErr w:type="spellEnd"/>
      <w:r>
        <w:t xml:space="preserve"> </w:t>
      </w:r>
      <w:proofErr w:type="spellStart"/>
      <w:r>
        <w:t>statuss</w:t>
      </w:r>
      <w:proofErr w:type="spellEnd"/>
      <w:r>
        <w:t xml:space="preserve">. </w:t>
      </w:r>
      <w:proofErr w:type="spellStart"/>
      <w:r>
        <w:t>Publicēti</w:t>
      </w:r>
      <w:proofErr w:type="spellEnd"/>
      <w:r>
        <w:t xml:space="preserve"> </w:t>
      </w:r>
      <w:proofErr w:type="spellStart"/>
      <w:r>
        <w:t>izvilkumi</w:t>
      </w:r>
      <w:proofErr w:type="spellEnd"/>
      <w:r>
        <w:t xml:space="preserve"> no </w:t>
      </w:r>
      <w:proofErr w:type="spellStart"/>
      <w:r>
        <w:t>nolēmuma</w:t>
      </w:r>
      <w:proofErr w:type="spellEnd"/>
      <w:r>
        <w:t>.</w:t>
      </w:r>
      <w:bookmarkEnd w:id="0"/>
      <w:r>
        <w:t xml:space="preserve"> </w:t>
      </w:r>
      <w:r>
        <w:rPr>
          <w:lang w:val="lv-LV"/>
        </w:rPr>
        <w:t xml:space="preserve"> Nolēmumā izdarīti redakcionāli labojumi, aizklājot slēgta statusa lietu numurus.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3E"/>
    <w:rsid w:val="00482172"/>
    <w:rsid w:val="0086716C"/>
    <w:rsid w:val="00902243"/>
    <w:rsid w:val="00EA0E1E"/>
    <w:rsid w:val="00ED1DA7"/>
    <w:rsid w:val="00FD0F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38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3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0F3E"/>
    <w:rPr>
      <w:color w:val="0000FF"/>
      <w:u w:val="single"/>
    </w:rPr>
  </w:style>
  <w:style w:type="paragraph" w:styleId="FootnoteText">
    <w:name w:val="footnote text"/>
    <w:basedOn w:val="Normal"/>
    <w:link w:val="FootnoteTextChar"/>
    <w:semiHidden/>
    <w:unhideWhenUsed/>
    <w:rsid w:val="00FD0F3E"/>
    <w:pPr>
      <w:spacing w:after="0" w:line="240" w:lineRule="auto"/>
    </w:pPr>
    <w:rPr>
      <w:rFonts w:eastAsia="Times New Roman" w:cs="Times New Roman"/>
      <w:sz w:val="20"/>
      <w:szCs w:val="20"/>
      <w:lang w:val="en-GB"/>
    </w:rPr>
  </w:style>
  <w:style w:type="character" w:customStyle="1" w:styleId="FootnoteTextChar">
    <w:name w:val="Footnote Text Char"/>
    <w:basedOn w:val="DefaultParagraphFont"/>
    <w:link w:val="FootnoteText"/>
    <w:semiHidden/>
    <w:rsid w:val="00FD0F3E"/>
    <w:rPr>
      <w:rFonts w:eastAsia="Times New Roman" w:cs="Times New Roman"/>
      <w:sz w:val="20"/>
      <w:szCs w:val="20"/>
      <w:lang w:val="en-GB"/>
    </w:rPr>
  </w:style>
  <w:style w:type="character" w:styleId="FootnoteReference">
    <w:name w:val="footnote reference"/>
    <w:semiHidden/>
    <w:unhideWhenUsed/>
    <w:rsid w:val="00FD0F3E"/>
    <w:rPr>
      <w:vertAlign w:val="superscript"/>
    </w:rPr>
  </w:style>
  <w:style w:type="paragraph" w:styleId="Header">
    <w:name w:val="header"/>
    <w:basedOn w:val="Normal"/>
    <w:link w:val="HeaderChar"/>
    <w:uiPriority w:val="99"/>
    <w:unhideWhenUsed/>
    <w:rsid w:val="00ED1D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1DA7"/>
  </w:style>
  <w:style w:type="paragraph" w:styleId="Footer">
    <w:name w:val="footer"/>
    <w:basedOn w:val="Normal"/>
    <w:link w:val="FooterChar"/>
    <w:uiPriority w:val="99"/>
    <w:unhideWhenUsed/>
    <w:rsid w:val="00ED1D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1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01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kumi.lv/ta/id/2254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7:0928.C15288908.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17197</Words>
  <Characters>9803</Characters>
  <Application>Microsoft Office Word</Application>
  <DocSecurity>0</DocSecurity>
  <Lines>81</Lines>
  <Paragraphs>53</Paragraphs>
  <ScaleCrop>false</ScaleCrop>
  <Company/>
  <LinksUpToDate>false</LinksUpToDate>
  <CharactersWithSpaces>26947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2019-09-11T11:25:00Z</dcterms:created>
  <dcterms:modified xsi:type="dcterms:W3CDTF">2019-09-11T11:25:00Z</dcterms:modified>
</cp:coreProperties>
</file>