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FC5" w:rsidRPr="00700E6B" w:rsidRDefault="00700E6B" w:rsidP="00700E6B">
      <w:pPr>
        <w:pStyle w:val="BodyText2"/>
        <w:spacing w:line="276" w:lineRule="auto"/>
        <w:jc w:val="both"/>
        <w:rPr>
          <w:rFonts w:ascii="Times New Roman" w:hAnsi="Times New Roman"/>
          <w:b/>
          <w:bCs/>
          <w:sz w:val="24"/>
          <w:szCs w:val="24"/>
        </w:rPr>
      </w:pPr>
      <w:r w:rsidRPr="00700E6B">
        <w:rPr>
          <w:rFonts w:ascii="Times New Roman" w:hAnsi="Times New Roman"/>
          <w:b/>
          <w:bCs/>
          <w:sz w:val="24"/>
          <w:szCs w:val="24"/>
        </w:rPr>
        <w:t>Vainīgās personas nodoma satura noskaidrošana, nošķirot slepkavības mēģinājumu no tīša smaga miesas bojājuma nodarīšanas</w:t>
      </w:r>
    </w:p>
    <w:p w:rsidR="00700E6B" w:rsidRDefault="00700E6B" w:rsidP="00700E6B">
      <w:pPr>
        <w:pStyle w:val="BodyText2"/>
        <w:spacing w:line="276" w:lineRule="auto"/>
        <w:jc w:val="both"/>
        <w:rPr>
          <w:rFonts w:ascii="Times New Roman" w:hAnsi="Times New Roman"/>
          <w:sz w:val="24"/>
          <w:szCs w:val="24"/>
        </w:rPr>
      </w:pPr>
    </w:p>
    <w:p w:rsidR="00700E6B" w:rsidRDefault="00700E6B" w:rsidP="00700E6B">
      <w:pPr>
        <w:pStyle w:val="BodyText2"/>
        <w:spacing w:line="276" w:lineRule="auto"/>
        <w:jc w:val="both"/>
        <w:rPr>
          <w:rFonts w:ascii="Times New Roman" w:hAnsi="Times New Roman"/>
          <w:sz w:val="24"/>
          <w:szCs w:val="24"/>
        </w:rPr>
      </w:pPr>
      <w:r w:rsidRPr="003D05B0">
        <w:rPr>
          <w:rFonts w:ascii="Times New Roman" w:hAnsi="Times New Roman"/>
          <w:sz w:val="24"/>
          <w:szCs w:val="24"/>
        </w:rPr>
        <w:t>Lai noskaidrotu vainīgā nodoma saturu, jāpamatojas uz izdarītā noziedzīgā nodarījuma apstākļu kopumu, īpaši ņemot vērā nozieguma izdarīšanas veidu un rīkus, brūču un citu miesas bojājumu daudzumu, raksturu un lokalizāciju, vainīgā noziedzīgo darbību pārtraukšanas iemeslu un viņa rīcību pēc noziedzīgā nodarījuma izdarīšanas, kā arī izvērtējot vainīgā un cietušā attiecības pirms noziedzīga nodarījuma izdarīšanas un citus apstākļus, kas var liecināt par vainīgā nodomu. Uz vainīgā tiešu nodomu attiecībā pret nāvi var norādīt dzīvībai izteikti bīstama veida, rīku un līdzekļu, piemēram, nāvējoša fiziska spēka, aukstā ieroča, asa vai smaga priekšmeta un tamlīdzīga noziedzīga rīka, kas tūlīt spēj sagādāt nāvi, izmantošana. Tādējādi noziedzīgā nodarījuma apstākļu kopuma noskaidrošana un pierādīšana ir priekšnoteikums vainīgās personas nodoma atklāšanai.</w:t>
      </w:r>
    </w:p>
    <w:p w:rsidR="00700E6B" w:rsidRDefault="00700E6B" w:rsidP="008C6FC5">
      <w:pPr>
        <w:pStyle w:val="BodyText2"/>
        <w:spacing w:line="276" w:lineRule="auto"/>
        <w:jc w:val="center"/>
      </w:pPr>
    </w:p>
    <w:p w:rsidR="00700E6B" w:rsidRPr="00700E6B" w:rsidRDefault="008C6FC5" w:rsidP="00700E6B">
      <w:pPr>
        <w:pStyle w:val="BodyText2"/>
        <w:spacing w:line="276" w:lineRule="auto"/>
        <w:ind w:firstLine="709"/>
        <w:contextualSpacing/>
        <w:jc w:val="center"/>
        <w:outlineLvl w:val="0"/>
        <w:rPr>
          <w:rFonts w:ascii="Times New Roman" w:hAnsi="Times New Roman"/>
          <w:b/>
          <w:sz w:val="24"/>
          <w:szCs w:val="24"/>
        </w:rPr>
      </w:pPr>
      <w:r w:rsidRPr="00700E6B">
        <w:rPr>
          <w:rFonts w:ascii="Times New Roman" w:hAnsi="Times New Roman"/>
          <w:b/>
          <w:sz w:val="24"/>
          <w:szCs w:val="24"/>
        </w:rPr>
        <w:t>Latvijas Republikas Senāt</w:t>
      </w:r>
      <w:r w:rsidR="00700E6B" w:rsidRPr="00700E6B">
        <w:rPr>
          <w:rFonts w:ascii="Times New Roman" w:hAnsi="Times New Roman"/>
          <w:b/>
          <w:sz w:val="24"/>
          <w:szCs w:val="24"/>
        </w:rPr>
        <w:t>a</w:t>
      </w:r>
    </w:p>
    <w:p w:rsidR="00700E6B" w:rsidRPr="00700E6B" w:rsidRDefault="00700E6B" w:rsidP="00700E6B">
      <w:pPr>
        <w:pStyle w:val="BodyText2"/>
        <w:spacing w:line="276" w:lineRule="auto"/>
        <w:ind w:firstLine="709"/>
        <w:contextualSpacing/>
        <w:jc w:val="center"/>
        <w:outlineLvl w:val="0"/>
        <w:rPr>
          <w:rFonts w:ascii="Times New Roman" w:hAnsi="Times New Roman"/>
          <w:b/>
          <w:sz w:val="24"/>
          <w:szCs w:val="24"/>
        </w:rPr>
      </w:pPr>
      <w:r w:rsidRPr="00700E6B">
        <w:rPr>
          <w:rFonts w:ascii="Times New Roman" w:hAnsi="Times New Roman"/>
          <w:b/>
          <w:sz w:val="24"/>
          <w:szCs w:val="24"/>
        </w:rPr>
        <w:t>Krimināllietu departamenta</w:t>
      </w:r>
    </w:p>
    <w:p w:rsidR="008C6FC5" w:rsidRPr="00700E6B" w:rsidRDefault="00700E6B" w:rsidP="00700E6B">
      <w:pPr>
        <w:spacing w:line="276" w:lineRule="auto"/>
        <w:ind w:firstLine="709"/>
        <w:jc w:val="center"/>
        <w:outlineLvl w:val="0"/>
        <w:rPr>
          <w:b/>
        </w:rPr>
      </w:pPr>
      <w:r w:rsidRPr="00700E6B">
        <w:rPr>
          <w:b/>
        </w:rPr>
        <w:t>2019.gada 11.septembra</w:t>
      </w:r>
    </w:p>
    <w:p w:rsidR="00700E6B" w:rsidRPr="00700E6B" w:rsidRDefault="008C6FC5" w:rsidP="00700E6B">
      <w:pPr>
        <w:pStyle w:val="BodyText2"/>
        <w:spacing w:line="276" w:lineRule="auto"/>
        <w:ind w:firstLine="709"/>
        <w:contextualSpacing/>
        <w:jc w:val="center"/>
        <w:outlineLvl w:val="0"/>
        <w:rPr>
          <w:rFonts w:ascii="Times New Roman" w:hAnsi="Times New Roman"/>
          <w:b/>
          <w:sz w:val="24"/>
          <w:szCs w:val="24"/>
        </w:rPr>
      </w:pPr>
      <w:r w:rsidRPr="00700E6B">
        <w:rPr>
          <w:rFonts w:ascii="Times New Roman" w:hAnsi="Times New Roman"/>
          <w:b/>
          <w:sz w:val="24"/>
          <w:szCs w:val="24"/>
        </w:rPr>
        <w:t>LĒMUMS</w:t>
      </w:r>
    </w:p>
    <w:p w:rsidR="00700E6B" w:rsidRPr="00700E6B" w:rsidRDefault="00700E6B" w:rsidP="00700E6B">
      <w:pPr>
        <w:pStyle w:val="BodyText2"/>
        <w:spacing w:line="276" w:lineRule="auto"/>
        <w:ind w:firstLine="709"/>
        <w:contextualSpacing/>
        <w:jc w:val="center"/>
        <w:outlineLvl w:val="0"/>
        <w:rPr>
          <w:rFonts w:ascii="Times New Roman" w:hAnsi="Times New Roman"/>
          <w:b/>
          <w:sz w:val="24"/>
          <w:szCs w:val="24"/>
        </w:rPr>
      </w:pPr>
      <w:r w:rsidRPr="00700E6B">
        <w:rPr>
          <w:rFonts w:ascii="Times New Roman" w:hAnsi="Times New Roman"/>
          <w:b/>
          <w:sz w:val="24"/>
          <w:szCs w:val="24"/>
        </w:rPr>
        <w:t>Lieta Nr. 11221099918, SKK-642/2019</w:t>
      </w:r>
    </w:p>
    <w:p w:rsidR="00700E6B" w:rsidRPr="00700E6B" w:rsidRDefault="004C1FEE" w:rsidP="00700E6B">
      <w:pPr>
        <w:pStyle w:val="BodyText2"/>
        <w:spacing w:line="276" w:lineRule="auto"/>
        <w:ind w:firstLine="709"/>
        <w:contextualSpacing/>
        <w:jc w:val="center"/>
        <w:outlineLvl w:val="0"/>
        <w:rPr>
          <w:rFonts w:ascii="Times New Roman" w:hAnsi="Times New Roman"/>
          <w:sz w:val="24"/>
          <w:szCs w:val="24"/>
        </w:rPr>
      </w:pPr>
      <w:hyperlink r:id="rId7" w:history="1">
        <w:r w:rsidR="00700E6B" w:rsidRPr="00700E6B">
          <w:rPr>
            <w:rStyle w:val="Hyperlink"/>
            <w:rFonts w:ascii="Times New Roman" w:hAnsi="Times New Roman"/>
            <w:sz w:val="24"/>
            <w:szCs w:val="24"/>
            <w:shd w:val="clear" w:color="auto" w:fill="FFFFFF"/>
          </w:rPr>
          <w:t>ECLI:LV:AT:2019:0911.11221099918.6.L</w:t>
        </w:r>
      </w:hyperlink>
    </w:p>
    <w:p w:rsidR="008C6FC5" w:rsidRPr="00B80627" w:rsidRDefault="008C6FC5" w:rsidP="008C6FC5">
      <w:pPr>
        <w:spacing w:line="276" w:lineRule="auto"/>
        <w:jc w:val="center"/>
        <w:rPr>
          <w:b/>
        </w:rPr>
      </w:pPr>
    </w:p>
    <w:p w:rsidR="008C6FC5" w:rsidRPr="009E6006" w:rsidRDefault="008C6FC5" w:rsidP="008C6FC5">
      <w:pPr>
        <w:spacing w:line="276" w:lineRule="auto"/>
        <w:ind w:firstLine="567"/>
        <w:jc w:val="center"/>
      </w:pPr>
    </w:p>
    <w:p w:rsidR="008C6FC5" w:rsidRPr="00A45415" w:rsidRDefault="008C6FC5" w:rsidP="008C6FC5">
      <w:pPr>
        <w:spacing w:line="276" w:lineRule="auto"/>
        <w:ind w:firstLine="709"/>
        <w:contextualSpacing/>
      </w:pPr>
      <w:r>
        <w:t>Tiesa šādā sastāvā</w:t>
      </w:r>
      <w:r w:rsidRPr="007E0DE2">
        <w:t xml:space="preserve">: </w:t>
      </w:r>
      <w:r>
        <w:t xml:space="preserve">senatori Aija Branta, Artūrs Freibergs, </w:t>
      </w:r>
      <w:r w:rsidRPr="00292A65">
        <w:t xml:space="preserve">Aivars </w:t>
      </w:r>
      <w:proofErr w:type="spellStart"/>
      <w:r w:rsidRPr="00292A65">
        <w:t>Uminskis</w:t>
      </w:r>
      <w:proofErr w:type="spellEnd"/>
    </w:p>
    <w:p w:rsidR="008C6FC5" w:rsidRPr="009E6006" w:rsidRDefault="008C6FC5" w:rsidP="008C6FC5">
      <w:pPr>
        <w:tabs>
          <w:tab w:val="left" w:pos="-3120"/>
        </w:tabs>
        <w:suppressAutoHyphens/>
        <w:spacing w:line="276" w:lineRule="auto"/>
        <w:ind w:firstLine="709"/>
        <w:contextualSpacing/>
        <w:jc w:val="both"/>
      </w:pPr>
    </w:p>
    <w:p w:rsidR="008C6FC5" w:rsidRPr="009E6006" w:rsidRDefault="008C6FC5" w:rsidP="008C6FC5">
      <w:pPr>
        <w:tabs>
          <w:tab w:val="left" w:pos="-3120"/>
        </w:tabs>
        <w:suppressAutoHyphens/>
        <w:spacing w:line="276" w:lineRule="auto"/>
        <w:ind w:firstLine="709"/>
        <w:contextualSpacing/>
        <w:jc w:val="both"/>
      </w:pPr>
      <w:r w:rsidRPr="009E6006">
        <w:t xml:space="preserve">izskatīja </w:t>
      </w:r>
      <w:r>
        <w:t>rakstveida</w:t>
      </w:r>
      <w:r w:rsidRPr="009E6006">
        <w:t xml:space="preserve"> procesā krimināllietu sakarā ar </w:t>
      </w:r>
      <w:r>
        <w:rPr>
          <w:color w:val="000000" w:themeColor="text1"/>
        </w:rPr>
        <w:t xml:space="preserve">apsūdzētā </w:t>
      </w:r>
      <w:r w:rsidR="00700E6B">
        <w:rPr>
          <w:color w:val="000000" w:themeColor="text1"/>
        </w:rPr>
        <w:t>[pers. A]</w:t>
      </w:r>
      <w:r>
        <w:rPr>
          <w:color w:val="000000" w:themeColor="text1"/>
        </w:rPr>
        <w:t xml:space="preserve"> kasācijas sūdzību un Zemgales tiesas apgabala prokuratūras prokurora Pāvela </w:t>
      </w:r>
      <w:proofErr w:type="spellStart"/>
      <w:r>
        <w:rPr>
          <w:color w:val="000000" w:themeColor="text1"/>
        </w:rPr>
        <w:t>Sondora</w:t>
      </w:r>
      <w:proofErr w:type="spellEnd"/>
      <w:r>
        <w:rPr>
          <w:color w:val="000000" w:themeColor="text1"/>
        </w:rPr>
        <w:t xml:space="preserve"> kasācijas protestu par Zemgales apgabaltiesas 2019.gada 5.jūnija spriedumu</w:t>
      </w:r>
      <w:r>
        <w:t>.</w:t>
      </w:r>
    </w:p>
    <w:p w:rsidR="008C6FC5" w:rsidRPr="009E6006" w:rsidRDefault="008C6FC5" w:rsidP="008C6FC5">
      <w:pPr>
        <w:suppressAutoHyphens/>
        <w:spacing w:line="276" w:lineRule="auto"/>
        <w:ind w:firstLine="709"/>
        <w:contextualSpacing/>
      </w:pPr>
    </w:p>
    <w:p w:rsidR="008C6FC5" w:rsidRPr="009E6006" w:rsidRDefault="00DB11FB" w:rsidP="00DB11FB">
      <w:pPr>
        <w:spacing w:line="276" w:lineRule="auto"/>
        <w:ind w:firstLine="709"/>
        <w:contextualSpacing/>
        <w:rPr>
          <w:b/>
        </w:rPr>
      </w:pPr>
      <w:r>
        <w:rPr>
          <w:b/>
        </w:rPr>
        <w:t xml:space="preserve">                                                  </w:t>
      </w:r>
      <w:r w:rsidR="008C6FC5" w:rsidRPr="009E6006">
        <w:rPr>
          <w:b/>
        </w:rPr>
        <w:t>Aprakstošā daļa</w:t>
      </w:r>
    </w:p>
    <w:p w:rsidR="008C6FC5" w:rsidRPr="009E6006" w:rsidRDefault="008C6FC5" w:rsidP="008C6FC5">
      <w:pPr>
        <w:suppressAutoHyphens/>
        <w:spacing w:line="276" w:lineRule="auto"/>
        <w:ind w:firstLine="709"/>
        <w:contextualSpacing/>
        <w:rPr>
          <w:b/>
        </w:rPr>
      </w:pPr>
    </w:p>
    <w:p w:rsidR="008C6FC5" w:rsidRDefault="008C6FC5" w:rsidP="008C6FC5">
      <w:pPr>
        <w:spacing w:line="276" w:lineRule="auto"/>
        <w:ind w:firstLine="709"/>
        <w:contextualSpacing/>
        <w:jc w:val="both"/>
      </w:pPr>
      <w:r>
        <w:t xml:space="preserve">[1] Ar Zemgales rajona tiesas 2019.gada 28.februāra spriedumu </w:t>
      </w:r>
    </w:p>
    <w:p w:rsidR="008C6FC5" w:rsidRDefault="00700E6B" w:rsidP="008C6FC5">
      <w:pPr>
        <w:spacing w:line="276" w:lineRule="auto"/>
        <w:ind w:firstLine="709"/>
        <w:contextualSpacing/>
        <w:jc w:val="both"/>
      </w:pPr>
      <w:r>
        <w:t>[pers. A]</w:t>
      </w:r>
      <w:r w:rsidR="008C6FC5">
        <w:t>, personas kods</w:t>
      </w:r>
      <w:r w:rsidR="00017BCD">
        <w:t xml:space="preserve"> [</w:t>
      </w:r>
      <w:r>
        <w:t>..]</w:t>
      </w:r>
      <w:r w:rsidR="008C6FC5">
        <w:t xml:space="preserve">, </w:t>
      </w:r>
    </w:p>
    <w:p w:rsidR="008C6FC5" w:rsidRDefault="008C6FC5" w:rsidP="008C6FC5">
      <w:pPr>
        <w:spacing w:line="276" w:lineRule="auto"/>
        <w:ind w:firstLine="709"/>
        <w:contextualSpacing/>
        <w:jc w:val="both"/>
      </w:pPr>
      <w:r>
        <w:t>atzīts par vainīgu Krimināllikuma 15.panta ceturtajā daļā un 116.pantā paredzētajā noziedzīgajā nodarījumā un sodīts ar brīvības atņemšanu uz 7 gadiem un probācijas uzraudzību uz 3 gadiem.</w:t>
      </w:r>
    </w:p>
    <w:p w:rsidR="008C6FC5" w:rsidRDefault="008C6FC5" w:rsidP="008C6FC5">
      <w:pPr>
        <w:spacing w:line="276" w:lineRule="auto"/>
        <w:ind w:firstLine="709"/>
        <w:contextualSpacing/>
        <w:jc w:val="both"/>
      </w:pPr>
      <w:r>
        <w:t>Sask</w:t>
      </w:r>
      <w:r w:rsidR="009048A2">
        <w:t>aņā ar Krimināllikuma 51.pan</w:t>
      </w:r>
      <w:r w:rsidR="009048A2" w:rsidRPr="00B00C66">
        <w:t>t</w:t>
      </w:r>
      <w:r w:rsidR="001A69BD" w:rsidRPr="00B00C66">
        <w:t>u</w:t>
      </w:r>
      <w:r w:rsidRPr="00B00C66">
        <w:t xml:space="preserve"> </w:t>
      </w:r>
      <w:r>
        <w:t xml:space="preserve">galīgais sods </w:t>
      </w:r>
      <w:r w:rsidR="00700E6B">
        <w:t>[pers. A]</w:t>
      </w:r>
      <w:r>
        <w:t xml:space="preserve"> noteikts brīvības atņemšana uz 7 gadiem 10 dienām un probācijas uzraudzība uz 3 gadiem, atņemot transportlīdzekļa vadīšanas tiesības uz 4 gadiem 6 mēnešiem. </w:t>
      </w:r>
    </w:p>
    <w:p w:rsidR="00366B24" w:rsidRDefault="008B7454" w:rsidP="008C6FC5">
      <w:pPr>
        <w:spacing w:line="276" w:lineRule="auto"/>
        <w:ind w:firstLine="709"/>
        <w:contextualSpacing/>
        <w:jc w:val="both"/>
      </w:pPr>
      <w:r>
        <w:t>D</w:t>
      </w:r>
      <w:r w:rsidR="00366B24">
        <w:t>rošības līdzeklis – apcietinājums – atstāts negrozīts</w:t>
      </w:r>
      <w:r>
        <w:t>.</w:t>
      </w:r>
    </w:p>
    <w:p w:rsidR="008C6FC5" w:rsidRDefault="008C6FC5" w:rsidP="008C6FC5">
      <w:pPr>
        <w:spacing w:line="276" w:lineRule="auto"/>
        <w:ind w:firstLine="709"/>
        <w:contextualSpacing/>
        <w:jc w:val="both"/>
        <w:rPr>
          <w:i/>
        </w:rPr>
      </w:pPr>
      <w:r>
        <w:t xml:space="preserve">No </w:t>
      </w:r>
      <w:r w:rsidR="00700E6B">
        <w:t>[pers. A]</w:t>
      </w:r>
      <w:r>
        <w:t xml:space="preserve"> valsts labā piedzīta cietušajam </w:t>
      </w:r>
      <w:r w:rsidR="00700E6B">
        <w:t>[pers. B]</w:t>
      </w:r>
      <w:r>
        <w:t xml:space="preserve"> izmaksātā valsts kompensācija 1505 </w:t>
      </w:r>
      <w:proofErr w:type="spellStart"/>
      <w:r w:rsidRPr="006E6FEB">
        <w:rPr>
          <w:i/>
        </w:rPr>
        <w:t>euro</w:t>
      </w:r>
      <w:proofErr w:type="spellEnd"/>
      <w:r>
        <w:t xml:space="preserve"> un procesuālie izdevumi 535 </w:t>
      </w:r>
      <w:proofErr w:type="spellStart"/>
      <w:r w:rsidRPr="008C6FC5">
        <w:rPr>
          <w:i/>
        </w:rPr>
        <w:t>euro</w:t>
      </w:r>
      <w:proofErr w:type="spellEnd"/>
      <w:r w:rsidR="00366B24">
        <w:rPr>
          <w:i/>
        </w:rPr>
        <w:t xml:space="preserve"> </w:t>
      </w:r>
      <w:r w:rsidR="00366B24">
        <w:t>par aizstāvja sniegto juridisko palīdzību</w:t>
      </w:r>
      <w:r w:rsidR="00167C65">
        <w:t>.</w:t>
      </w:r>
    </w:p>
    <w:p w:rsidR="008C6FC5" w:rsidRPr="008C6FC5" w:rsidRDefault="008C6FC5" w:rsidP="008C6FC5">
      <w:pPr>
        <w:spacing w:line="276" w:lineRule="auto"/>
        <w:ind w:firstLine="709"/>
        <w:contextualSpacing/>
        <w:jc w:val="both"/>
      </w:pPr>
      <w:r w:rsidRPr="008C6FC5">
        <w:t>M</w:t>
      </w:r>
      <w:r>
        <w:t xml:space="preserve">ateriālā kaitējuma kompensācija </w:t>
      </w:r>
      <w:r w:rsidR="00957610">
        <w:t xml:space="preserve">cietušajai </w:t>
      </w:r>
      <w:r w:rsidR="00700E6B">
        <w:t>[pers. C]</w:t>
      </w:r>
      <w:r w:rsidR="00DB0DF2">
        <w:t xml:space="preserve"> </w:t>
      </w:r>
      <w:r>
        <w:t>nav noteikta.</w:t>
      </w:r>
    </w:p>
    <w:p w:rsidR="008C6FC5" w:rsidRDefault="008C6FC5" w:rsidP="008C6FC5">
      <w:pPr>
        <w:spacing w:line="276" w:lineRule="auto"/>
        <w:ind w:firstLine="709"/>
        <w:contextualSpacing/>
        <w:jc w:val="both"/>
      </w:pPr>
    </w:p>
    <w:p w:rsidR="00366B24" w:rsidRDefault="008C6FC5" w:rsidP="008C6FC5">
      <w:pPr>
        <w:spacing w:line="276" w:lineRule="auto"/>
        <w:ind w:firstLine="709"/>
        <w:contextualSpacing/>
        <w:jc w:val="both"/>
      </w:pPr>
      <w:r>
        <w:lastRenderedPageBreak/>
        <w:t xml:space="preserve">[2] Ar </w:t>
      </w:r>
      <w:r w:rsidR="00366B24">
        <w:t xml:space="preserve">Zemgales rajona tiesas 2019.gada 28.februāra spriedumu </w:t>
      </w:r>
      <w:r w:rsidR="00700E6B">
        <w:t>[pers. A]</w:t>
      </w:r>
      <w:r w:rsidR="00366B24">
        <w:t xml:space="preserve"> atzīts par vainīgu un sodīts pēc Krimināllikuma 15.panta ceturtās daļas un 116.panta par citas personas tīšas prettiesiskas nonāvēšanas (slepkavības) mēģinājumu.</w:t>
      </w:r>
    </w:p>
    <w:p w:rsidR="00366B24" w:rsidRDefault="00366B24" w:rsidP="008C6FC5">
      <w:pPr>
        <w:spacing w:line="276" w:lineRule="auto"/>
        <w:ind w:firstLine="709"/>
        <w:contextualSpacing/>
        <w:jc w:val="both"/>
      </w:pPr>
    </w:p>
    <w:p w:rsidR="008C6FC5" w:rsidRDefault="000425C3" w:rsidP="008C6FC5">
      <w:pPr>
        <w:spacing w:line="276" w:lineRule="auto"/>
        <w:ind w:firstLine="709"/>
        <w:contextualSpacing/>
        <w:jc w:val="both"/>
      </w:pPr>
      <w:r>
        <w:t xml:space="preserve">[3] </w:t>
      </w:r>
      <w:r w:rsidR="008C6FC5">
        <w:t xml:space="preserve">Ar </w:t>
      </w:r>
      <w:r w:rsidR="00366B24">
        <w:t>Zemgales apgabaltiesas 2019.gada 5.jūnija</w:t>
      </w:r>
      <w:r w:rsidR="008C6FC5">
        <w:t xml:space="preserve"> spriedumu</w:t>
      </w:r>
      <w:r w:rsidR="00DB0DF2">
        <w:t xml:space="preserve">, iztiesājot </w:t>
      </w:r>
      <w:r w:rsidR="008C6FC5">
        <w:t xml:space="preserve">lietu apelācijas kārtībā sakarā ar </w:t>
      </w:r>
      <w:r w:rsidR="00366B24">
        <w:t>Zemgales tiesas apgabala prokuratūras prokurora P. </w:t>
      </w:r>
      <w:proofErr w:type="spellStart"/>
      <w:r w:rsidR="00366B24">
        <w:t>Sondora</w:t>
      </w:r>
      <w:proofErr w:type="spellEnd"/>
      <w:r w:rsidR="008C6FC5">
        <w:t xml:space="preserve"> apelācijas </w:t>
      </w:r>
      <w:r w:rsidR="00366B24">
        <w:t xml:space="preserve">protestu un apsūdzētā </w:t>
      </w:r>
      <w:r w:rsidR="00700E6B">
        <w:t>[pers. A]</w:t>
      </w:r>
      <w:r w:rsidR="00366B24">
        <w:t xml:space="preserve"> un viņa aizstāves Ievas Cīrules apelācijas sūdzībām</w:t>
      </w:r>
      <w:r w:rsidR="008C6FC5">
        <w:t xml:space="preserve">, </w:t>
      </w:r>
      <w:r w:rsidR="00366B24">
        <w:t>Zemgales rajona tiesas 2019.gada 28.februāra spriedums atcelts.</w:t>
      </w:r>
    </w:p>
    <w:p w:rsidR="00366B24" w:rsidRDefault="00700E6B" w:rsidP="008C6FC5">
      <w:pPr>
        <w:spacing w:line="276" w:lineRule="auto"/>
        <w:ind w:firstLine="709"/>
        <w:contextualSpacing/>
        <w:jc w:val="both"/>
      </w:pPr>
      <w:r>
        <w:t>[Pers. A]</w:t>
      </w:r>
      <w:r w:rsidR="00DB0DF2">
        <w:t xml:space="preserve"> atzīts par vainīgu Krimināllikuma 125.panta pirmajā daļā paredzētajā noziedzīgajā nodarījumā un sodīts ar brīvības atņemšanu uz 6 gadiem 9 mēnešiem un probācijas uzraudzību uz 3 gadiem.</w:t>
      </w:r>
    </w:p>
    <w:p w:rsidR="00DB0DF2" w:rsidRDefault="00DB0DF2" w:rsidP="008C6FC5">
      <w:pPr>
        <w:spacing w:line="276" w:lineRule="auto"/>
        <w:ind w:firstLine="709"/>
        <w:contextualSpacing/>
        <w:jc w:val="both"/>
      </w:pPr>
      <w:r>
        <w:t xml:space="preserve">Saskaņā ar Krimināllikuma 51.pantu galīgais sods </w:t>
      </w:r>
      <w:r w:rsidR="00700E6B">
        <w:t>[pers. A]</w:t>
      </w:r>
      <w:r>
        <w:t xml:space="preserve"> noteikts brīvības atņemšana uz 6 gadiem 9 mēnešiem 10 dienām un probācijas uzraudzība uz 3 gadiem, atņemot transportlīdzekļa vadīšanas tiesības uz 4 gadiem 6 mēnešiem.</w:t>
      </w:r>
    </w:p>
    <w:p w:rsidR="008B7454" w:rsidRDefault="00700E6B" w:rsidP="008B7454">
      <w:pPr>
        <w:spacing w:line="276" w:lineRule="auto"/>
        <w:ind w:firstLine="709"/>
        <w:contextualSpacing/>
        <w:jc w:val="both"/>
      </w:pPr>
      <w:r>
        <w:t>[Pers. A]</w:t>
      </w:r>
      <w:r w:rsidR="001A69BD">
        <w:t xml:space="preserve"> noteiktais d</w:t>
      </w:r>
      <w:r w:rsidR="008B7454">
        <w:t>rošības līdzeklis – apcietinājums – atstāts negrozīts.</w:t>
      </w:r>
    </w:p>
    <w:p w:rsidR="00DB0DF2" w:rsidRDefault="00DB0DF2" w:rsidP="00DB0DF2">
      <w:pPr>
        <w:spacing w:line="276" w:lineRule="auto"/>
        <w:ind w:firstLine="709"/>
        <w:contextualSpacing/>
        <w:jc w:val="both"/>
        <w:rPr>
          <w:i/>
        </w:rPr>
      </w:pPr>
      <w:r>
        <w:t xml:space="preserve">No </w:t>
      </w:r>
      <w:r w:rsidR="00700E6B">
        <w:t>[pers. A]</w:t>
      </w:r>
      <w:r>
        <w:t xml:space="preserve"> valsts labā piedzīta cietušajam </w:t>
      </w:r>
      <w:r w:rsidR="00700E6B">
        <w:t>[pers. B]</w:t>
      </w:r>
      <w:r>
        <w:t xml:space="preserve"> izmaksātā valsts kompensācija 1505 </w:t>
      </w:r>
      <w:proofErr w:type="spellStart"/>
      <w:r w:rsidRPr="006E6FEB">
        <w:rPr>
          <w:i/>
        </w:rPr>
        <w:t>euro</w:t>
      </w:r>
      <w:proofErr w:type="spellEnd"/>
      <w:r>
        <w:t xml:space="preserve"> un procesuālie izdevumi 535 </w:t>
      </w:r>
      <w:proofErr w:type="spellStart"/>
      <w:r w:rsidRPr="008C6FC5">
        <w:rPr>
          <w:i/>
        </w:rPr>
        <w:t>euro</w:t>
      </w:r>
      <w:proofErr w:type="spellEnd"/>
      <w:r>
        <w:rPr>
          <w:i/>
        </w:rPr>
        <w:t xml:space="preserve"> </w:t>
      </w:r>
      <w:r>
        <w:t xml:space="preserve">par aizstāvja sniegto juridisko palīdzību pirmās instances tiesā un 120 </w:t>
      </w:r>
      <w:proofErr w:type="spellStart"/>
      <w:r w:rsidRPr="008C6FC5">
        <w:rPr>
          <w:i/>
        </w:rPr>
        <w:t>euro</w:t>
      </w:r>
      <w:proofErr w:type="spellEnd"/>
      <w:r>
        <w:rPr>
          <w:i/>
        </w:rPr>
        <w:t xml:space="preserve"> </w:t>
      </w:r>
      <w:r>
        <w:t>par aizstāvja sniegto juridisko palīdzību apelācijas instances tiesā.</w:t>
      </w:r>
    </w:p>
    <w:p w:rsidR="008C6FC5" w:rsidRDefault="00DB0DF2" w:rsidP="00DB0DF2">
      <w:pPr>
        <w:spacing w:line="276" w:lineRule="auto"/>
        <w:ind w:firstLine="709"/>
        <w:contextualSpacing/>
        <w:jc w:val="both"/>
      </w:pPr>
      <w:r w:rsidRPr="008C6FC5">
        <w:t>M</w:t>
      </w:r>
      <w:r>
        <w:t>ateriālā kaitējuma kompensācija</w:t>
      </w:r>
      <w:r w:rsidR="00957610">
        <w:t xml:space="preserve"> cietušajai </w:t>
      </w:r>
      <w:r w:rsidR="00700E6B">
        <w:t>[pers. C]</w:t>
      </w:r>
      <w:r>
        <w:t xml:space="preserve"> nav noteikta.</w:t>
      </w:r>
    </w:p>
    <w:p w:rsidR="008C6FC5" w:rsidRDefault="008C6FC5" w:rsidP="008C6FC5">
      <w:pPr>
        <w:spacing w:line="276" w:lineRule="auto"/>
        <w:ind w:firstLine="709"/>
        <w:contextualSpacing/>
        <w:jc w:val="both"/>
      </w:pPr>
    </w:p>
    <w:p w:rsidR="000E361F" w:rsidRDefault="000E361F" w:rsidP="008C6FC5">
      <w:pPr>
        <w:spacing w:line="276" w:lineRule="auto"/>
        <w:ind w:firstLine="709"/>
        <w:contextualSpacing/>
        <w:jc w:val="both"/>
      </w:pPr>
      <w:r>
        <w:t xml:space="preserve">[4] Ar Zemgales apgabaltiesas 2019.gada 5.jūnija spriedumu </w:t>
      </w:r>
      <w:r w:rsidR="00700E6B">
        <w:t>[pers. A]</w:t>
      </w:r>
      <w:r>
        <w:t xml:space="preserve"> atzīts par vainīgu un sodīts pēc Krimināllikuma 125.panta pirmās daļas par smag</w:t>
      </w:r>
      <w:r w:rsidR="001A69BD">
        <w:t>a</w:t>
      </w:r>
      <w:r>
        <w:t xml:space="preserve"> miesas bojājum</w:t>
      </w:r>
      <w:r w:rsidR="001A69BD">
        <w:t>a</w:t>
      </w:r>
      <w:r>
        <w:t xml:space="preserve"> tīšu nodarīšanu</w:t>
      </w:r>
      <w:r w:rsidR="00FB3348">
        <w:t>.</w:t>
      </w:r>
    </w:p>
    <w:p w:rsidR="000E361F" w:rsidRDefault="000E361F" w:rsidP="008C6FC5">
      <w:pPr>
        <w:spacing w:line="276" w:lineRule="auto"/>
        <w:ind w:firstLine="709"/>
        <w:contextualSpacing/>
        <w:jc w:val="both"/>
      </w:pPr>
      <w:r>
        <w:t xml:space="preserve"> </w:t>
      </w:r>
    </w:p>
    <w:p w:rsidR="006504FE" w:rsidRDefault="000425C3" w:rsidP="008C6FC5">
      <w:pPr>
        <w:spacing w:line="276" w:lineRule="auto"/>
        <w:ind w:firstLine="709"/>
        <w:contextualSpacing/>
        <w:jc w:val="both"/>
      </w:pPr>
      <w:r>
        <w:t>[</w:t>
      </w:r>
      <w:r w:rsidR="000E361F">
        <w:t>5</w:t>
      </w:r>
      <w:r>
        <w:t xml:space="preserve">] </w:t>
      </w:r>
      <w:r w:rsidR="008B7454">
        <w:t>Par Zemgales apgabaltiesas 2019.gada 5.jūnija spriedumu kasācijas protestu iesniedzis Zemgales tiesas apgabala prokurors P. </w:t>
      </w:r>
      <w:proofErr w:type="spellStart"/>
      <w:r w:rsidR="008B7454">
        <w:t>Sondors</w:t>
      </w:r>
      <w:proofErr w:type="spellEnd"/>
      <w:r w:rsidR="008B7454">
        <w:t>,</w:t>
      </w:r>
      <w:r w:rsidR="006504FE">
        <w:t xml:space="preserve"> bet kasācijas sūdz</w:t>
      </w:r>
      <w:r w:rsidR="00C724D2">
        <w:t xml:space="preserve">ību iesniedzis apsūdzētais </w:t>
      </w:r>
      <w:r w:rsidR="00700E6B">
        <w:t>[pers. A]</w:t>
      </w:r>
      <w:r w:rsidR="006504FE">
        <w:t>.</w:t>
      </w:r>
    </w:p>
    <w:p w:rsidR="006504FE" w:rsidRDefault="006504FE" w:rsidP="008C6FC5">
      <w:pPr>
        <w:spacing w:line="276" w:lineRule="auto"/>
        <w:ind w:firstLine="709"/>
        <w:contextualSpacing/>
        <w:jc w:val="both"/>
      </w:pPr>
    </w:p>
    <w:p w:rsidR="008B7454" w:rsidRPr="008B7AFC" w:rsidRDefault="006504FE" w:rsidP="006504FE">
      <w:pPr>
        <w:spacing w:line="276" w:lineRule="auto"/>
        <w:ind w:firstLine="709"/>
        <w:contextualSpacing/>
        <w:jc w:val="both"/>
      </w:pPr>
      <w:r>
        <w:t>[</w:t>
      </w:r>
      <w:r w:rsidR="000E361F">
        <w:t>6</w:t>
      </w:r>
      <w:r>
        <w:t>]</w:t>
      </w:r>
      <w:r w:rsidR="000425C3">
        <w:t xml:space="preserve"> </w:t>
      </w:r>
      <w:r>
        <w:t>Kasācijas protestā lūgts</w:t>
      </w:r>
      <w:r w:rsidR="008B7454">
        <w:t xml:space="preserve"> atcelt apelācijas instances tiesas spriedumu un nosūtīt lietu jaunai izskatīšanai apelācijas instances tiesā sakarā ar pieļautajiem Kriminālprocesa likuma 128.panta otrās daļas, 511.</w:t>
      </w:r>
      <w:r w:rsidR="008406EF">
        <w:t xml:space="preserve">panta </w:t>
      </w:r>
      <w:r w:rsidR="008B7454">
        <w:t>otrās daļas, 512.panta, 564.panta ceturtās daļas un 574.panta 1. un 2.punkt</w:t>
      </w:r>
      <w:r w:rsidR="0005059F">
        <w:t>ā norādīto</w:t>
      </w:r>
      <w:r w:rsidR="008B7454">
        <w:t xml:space="preserve"> pārkāpum</w:t>
      </w:r>
      <w:r w:rsidR="0005059F">
        <w:t>u</w:t>
      </w:r>
      <w:r w:rsidR="008B7454">
        <w:t xml:space="preserve">. Savu lūgumu prokurors pamatojis ar turpmāk </w:t>
      </w:r>
      <w:r w:rsidR="008B7454" w:rsidRPr="008B7AFC">
        <w:t xml:space="preserve">norādītajiem argumentiem. </w:t>
      </w:r>
    </w:p>
    <w:p w:rsidR="004C06EC" w:rsidRPr="008B7AFC" w:rsidRDefault="008B7454" w:rsidP="004C06EC">
      <w:pPr>
        <w:spacing w:line="276" w:lineRule="auto"/>
        <w:ind w:firstLine="709"/>
        <w:contextualSpacing/>
        <w:jc w:val="both"/>
      </w:pPr>
      <w:r w:rsidRPr="008B7AFC">
        <w:t>[</w:t>
      </w:r>
      <w:r w:rsidR="000E361F" w:rsidRPr="008B7AFC">
        <w:t>6</w:t>
      </w:r>
      <w:r w:rsidRPr="008B7AFC">
        <w:t>.1] Apelācijas instances</w:t>
      </w:r>
      <w:r w:rsidR="00B25ECC" w:rsidRPr="008B7AFC">
        <w:t xml:space="preserve"> tiesa</w:t>
      </w:r>
      <w:r w:rsidR="000274BA" w:rsidRPr="008B7AFC">
        <w:t xml:space="preserve"> </w:t>
      </w:r>
      <w:r w:rsidR="00420FFF">
        <w:t>kļūdaini</w:t>
      </w:r>
      <w:r w:rsidR="00B25ECC" w:rsidRPr="008B7AFC">
        <w:t xml:space="preserve"> noraidīj</w:t>
      </w:r>
      <w:r w:rsidR="008A0DCB" w:rsidRPr="008B7AFC">
        <w:t>usi</w:t>
      </w:r>
      <w:r w:rsidR="00B25ECC" w:rsidRPr="008B7AFC">
        <w:t xml:space="preserve"> pierādījumus, ar kuriem pamatot</w:t>
      </w:r>
      <w:r w:rsidR="000A2C32" w:rsidRPr="008B7AFC">
        <w:t xml:space="preserve">a </w:t>
      </w:r>
      <w:r w:rsidR="00700E6B">
        <w:t>[pers. A]</w:t>
      </w:r>
      <w:r w:rsidR="00C32A00">
        <w:t xml:space="preserve"> celtā apsūdzība pēc Krimināllikuma 15.panta ceturtās daļas un 116.panta</w:t>
      </w:r>
      <w:r w:rsidR="000A2C32" w:rsidRPr="008B7AFC">
        <w:t xml:space="preserve">, tostarp </w:t>
      </w:r>
      <w:r w:rsidR="001A69BD" w:rsidRPr="008B7AFC">
        <w:t>tos pierādījumus, kuri apstiprina apsūdzētā nodomu</w:t>
      </w:r>
      <w:r w:rsidR="00FB3348" w:rsidRPr="008B7AFC">
        <w:t xml:space="preserve"> nonāvēt cietušo</w:t>
      </w:r>
      <w:r w:rsidR="004C06EC" w:rsidRPr="008B7AFC">
        <w:t xml:space="preserve">. No apelācijas instances tiesas nolēmuma nav saprotams, </w:t>
      </w:r>
      <w:r w:rsidR="00DB4A24" w:rsidRPr="008B7AFC">
        <w:t>kas tieši, tiesas ieskatā,</w:t>
      </w:r>
      <w:r w:rsidR="004C06EC" w:rsidRPr="008B7AFC">
        <w:t xml:space="preserve"> apsūdzētā </w:t>
      </w:r>
      <w:r w:rsidR="00700E6B">
        <w:t>[pers. A]</w:t>
      </w:r>
      <w:r w:rsidR="004C06EC" w:rsidRPr="008B7AFC">
        <w:t xml:space="preserve"> rīc</w:t>
      </w:r>
      <w:r w:rsidR="00DB4A24" w:rsidRPr="008B7AFC">
        <w:t>ībā</w:t>
      </w:r>
      <w:r w:rsidR="004C06EC" w:rsidRPr="008B7AFC">
        <w:t xml:space="preserve"> neapstiprina </w:t>
      </w:r>
      <w:r w:rsidR="00C32A00">
        <w:t>viņa</w:t>
      </w:r>
      <w:r w:rsidR="004C06EC" w:rsidRPr="008B7AFC">
        <w:t xml:space="preserve"> nodomu nogalināt cietušo </w:t>
      </w:r>
      <w:r w:rsidR="00700E6B">
        <w:t>[pers. B]</w:t>
      </w:r>
      <w:r w:rsidR="004C06EC" w:rsidRPr="008B7AFC">
        <w:t>.</w:t>
      </w:r>
    </w:p>
    <w:p w:rsidR="008569DB" w:rsidRDefault="00C32A00" w:rsidP="008569DB">
      <w:pPr>
        <w:spacing w:line="276" w:lineRule="auto"/>
        <w:ind w:firstLine="709"/>
        <w:contextualSpacing/>
        <w:jc w:val="both"/>
      </w:pPr>
      <w:r>
        <w:t>V</w:t>
      </w:r>
      <w:r w:rsidR="004C06EC" w:rsidRPr="008B7AFC">
        <w:t>ērtējot apsūdzētā nodom</w:t>
      </w:r>
      <w:r w:rsidR="00DB4A24" w:rsidRPr="008B7AFC">
        <w:t>a saturu,</w:t>
      </w:r>
      <w:r w:rsidR="004C06EC" w:rsidRPr="008B7AFC">
        <w:t xml:space="preserve"> </w:t>
      </w:r>
      <w:r w:rsidR="00DB4A24" w:rsidRPr="008B7AFC">
        <w:t>apelācijas instances tiesa</w:t>
      </w:r>
      <w:r w:rsidR="004C06EC" w:rsidRPr="008B7AFC">
        <w:t xml:space="preserve"> norādījusi, ka</w:t>
      </w:r>
      <w:r w:rsidR="00577F00">
        <w:t>,</w:t>
      </w:r>
      <w:r w:rsidR="00DB4A24" w:rsidRPr="008B7AFC">
        <w:t xml:space="preserve"> neraugoties </w:t>
      </w:r>
      <w:r w:rsidR="00DB4A24" w:rsidRPr="00420FFF">
        <w:t xml:space="preserve">uz apsūdzētā teikto, ka </w:t>
      </w:r>
      <w:r w:rsidR="004C06EC" w:rsidRPr="00420FFF">
        <w:t xml:space="preserve">cietušo </w:t>
      </w:r>
      <w:r w:rsidR="004C06EC">
        <w:t xml:space="preserve">būtu nositis, </w:t>
      </w:r>
      <w:r>
        <w:t xml:space="preserve">ja neiejauktos kaimiņš, </w:t>
      </w:r>
      <w:r w:rsidR="004C06EC">
        <w:t xml:space="preserve">ka </w:t>
      </w:r>
      <w:r>
        <w:t>cietušajam</w:t>
      </w:r>
      <w:r w:rsidR="004C06EC">
        <w:t xml:space="preserve"> jāmirst, </w:t>
      </w:r>
      <w:r w:rsidR="00DB4A24">
        <w:t>apsūdzētā</w:t>
      </w:r>
      <w:r w:rsidR="004C06EC">
        <w:t xml:space="preserve"> rīcība </w:t>
      </w:r>
      <w:r w:rsidR="00DB4A24">
        <w:t>šos viņa izteicienus n</w:t>
      </w:r>
      <w:r w:rsidR="004C06EC">
        <w:t xml:space="preserve">eapstiprina un teiktais drīzāk uztverams kā neapmierinātība ar iedomāto situāciju, ka cietušais it kā rīkojies prettiesiski. Pēc prokurora domām, tiesas vērtējums </w:t>
      </w:r>
      <w:r w:rsidR="00167C65">
        <w:t>„</w:t>
      </w:r>
      <w:r w:rsidR="004C06EC" w:rsidRPr="008B7AFC">
        <w:rPr>
          <w:iCs/>
        </w:rPr>
        <w:t>drīzāk</w:t>
      </w:r>
      <w:r w:rsidR="004C06EC" w:rsidRPr="00B06372">
        <w:rPr>
          <w:i/>
        </w:rPr>
        <w:t xml:space="preserve"> </w:t>
      </w:r>
      <w:r w:rsidR="004C06EC" w:rsidRPr="008B7AFC">
        <w:rPr>
          <w:iCs/>
        </w:rPr>
        <w:t>uztveram</w:t>
      </w:r>
      <w:r w:rsidR="004C06EC" w:rsidRPr="00577F00">
        <w:t>s</w:t>
      </w:r>
      <w:r w:rsidR="001B3E41">
        <w:t>”</w:t>
      </w:r>
      <w:r w:rsidR="00167C65">
        <w:t xml:space="preserve"> </w:t>
      </w:r>
      <w:r w:rsidR="004C06EC">
        <w:t>neatbilst pierādījumu vērtēšanas j</w:t>
      </w:r>
      <w:r w:rsidR="00DB4A24">
        <w:t>uridiskajiem</w:t>
      </w:r>
      <w:r w:rsidR="004C06EC">
        <w:t xml:space="preserve"> </w:t>
      </w:r>
      <w:r w:rsidR="004C06EC">
        <w:lastRenderedPageBreak/>
        <w:t>kritērijiem</w:t>
      </w:r>
      <w:r w:rsidR="00BF46AA">
        <w:t>. Prokuror</w:t>
      </w:r>
      <w:r w:rsidR="00DB4A24">
        <w:t>s uzskata, ka pirmstiesas procesā iegūtie pierādījumi</w:t>
      </w:r>
      <w:r w:rsidR="0005059F" w:rsidRPr="00577F00">
        <w:t>,</w:t>
      </w:r>
      <w:r>
        <w:t xml:space="preserve"> tajā skaitā arī</w:t>
      </w:r>
      <w:r w:rsidR="00DB4A24">
        <w:t xml:space="preserve"> apsūdzētā </w:t>
      </w:r>
      <w:r w:rsidR="008B7AFC">
        <w:t xml:space="preserve">pirmstiesas procesā sniegtās </w:t>
      </w:r>
      <w:r w:rsidR="00DB4A24">
        <w:t>liecības</w:t>
      </w:r>
      <w:r w:rsidR="00577F00">
        <w:t>,</w:t>
      </w:r>
      <w:r w:rsidR="00DB4A24">
        <w:t xml:space="preserve"> apstiprina</w:t>
      </w:r>
      <w:r w:rsidR="00186AB2">
        <w:t xml:space="preserve"> a</w:t>
      </w:r>
      <w:r w:rsidR="008569DB">
        <w:t>psūdzētā nodomu nonāvēt cietušo</w:t>
      </w:r>
      <w:r w:rsidR="00DB4A24">
        <w:t xml:space="preserve">. </w:t>
      </w:r>
      <w:r>
        <w:t>Proti, a</w:t>
      </w:r>
      <w:r w:rsidR="00DB4A24">
        <w:t xml:space="preserve">psūdzētais </w:t>
      </w:r>
      <w:r w:rsidR="008B7AFC">
        <w:t>atzinis</w:t>
      </w:r>
      <w:r w:rsidR="00DB4A24">
        <w:t xml:space="preserve">, ka būtu turpinājis sist </w:t>
      </w:r>
      <w:r w:rsidR="00700E6B">
        <w:t>[pers. B]</w:t>
      </w:r>
      <w:r w:rsidR="00DB4A24">
        <w:t>, ja nebūtu</w:t>
      </w:r>
      <w:r w:rsidR="008B7AFC">
        <w:t xml:space="preserve"> </w:t>
      </w:r>
      <w:r w:rsidR="00DB4A24">
        <w:t>iztraucēts</w:t>
      </w:r>
      <w:r w:rsidR="008B7AFC">
        <w:t xml:space="preserve">, jo vēlējies, lai </w:t>
      </w:r>
      <w:r>
        <w:t>cietušais</w:t>
      </w:r>
      <w:r w:rsidR="008B7AFC">
        <w:t xml:space="preserve"> mirst.</w:t>
      </w:r>
      <w:r w:rsidR="008569DB">
        <w:t xml:space="preserve"> </w:t>
      </w:r>
    </w:p>
    <w:p w:rsidR="00420FFF" w:rsidRDefault="00BF46AA" w:rsidP="008B7AFC">
      <w:pPr>
        <w:spacing w:line="276" w:lineRule="auto"/>
        <w:ind w:firstLine="709"/>
        <w:contextualSpacing/>
        <w:jc w:val="both"/>
      </w:pPr>
      <w:r>
        <w:t>T</w:t>
      </w:r>
      <w:r w:rsidR="008569DB">
        <w:t>iesa nepamatoti piešķīrusi nozīmi apstāklim, ka cietušai pēc miesas bojājumu nodarīšanas bij</w:t>
      </w:r>
      <w:r w:rsidR="008B7AFC">
        <w:t>is</w:t>
      </w:r>
      <w:r w:rsidR="00A26D6F">
        <w:t xml:space="preserve"> </w:t>
      </w:r>
      <w:r w:rsidR="007044E4">
        <w:t>pie samaņas</w:t>
      </w:r>
      <w:r w:rsidR="00183E74">
        <w:t>, kam, pēc prokurora domām, nav nozīmes, kvalificējot noziedzīgo nodarījumu</w:t>
      </w:r>
      <w:r w:rsidR="007044E4">
        <w:t>.</w:t>
      </w:r>
      <w:r w:rsidR="008569DB">
        <w:t xml:space="preserve"> </w:t>
      </w:r>
    </w:p>
    <w:p w:rsidR="007044E4" w:rsidRDefault="008B7AFC" w:rsidP="00420FFF">
      <w:pPr>
        <w:spacing w:line="276" w:lineRule="auto"/>
        <w:ind w:firstLine="709"/>
        <w:contextualSpacing/>
        <w:jc w:val="both"/>
      </w:pPr>
      <w:r>
        <w:t xml:space="preserve">Tiesa nav pamatojusi savu </w:t>
      </w:r>
      <w:r w:rsidR="00C32A00">
        <w:t>atzinum</w:t>
      </w:r>
      <w:r>
        <w:t>u, kāpēc</w:t>
      </w:r>
      <w:r w:rsidR="00C32A00">
        <w:t xml:space="preserve"> </w:t>
      </w:r>
      <w:r>
        <w:t>lietā konstat</w:t>
      </w:r>
      <w:r w:rsidR="00183E74">
        <w:t>ētie apstākļi neliecina par apsūdzētā nodomu nogalināt cietušo.</w:t>
      </w:r>
      <w:r w:rsidR="00420FFF">
        <w:t xml:space="preserve"> </w:t>
      </w:r>
      <w:r w:rsidR="00182A60">
        <w:t>Lai gan a</w:t>
      </w:r>
      <w:r w:rsidR="00D9312A">
        <w:t>pelācijas instances tiesa</w:t>
      </w:r>
      <w:r>
        <w:t xml:space="preserve"> konstatējusi tādas pašas apsūdzētā noziedzīgās darbības, </w:t>
      </w:r>
      <w:r w:rsidR="00420FFF">
        <w:t xml:space="preserve">kādas konstatējusi pirmās instances tiesa, </w:t>
      </w:r>
      <w:r>
        <w:t xml:space="preserve">proti, sišanu </w:t>
      </w:r>
      <w:r w:rsidR="00182A60">
        <w:t xml:space="preserve">cietušajam </w:t>
      </w:r>
      <w:r>
        <w:t>pa galvu ar</w:t>
      </w:r>
      <w:r w:rsidR="00420FFF">
        <w:t xml:space="preserve">ī ar </w:t>
      </w:r>
      <w:r>
        <w:t xml:space="preserve"> metāla liekšķeri, kā arī atzin</w:t>
      </w:r>
      <w:r w:rsidR="00182A60">
        <w:t>usi</w:t>
      </w:r>
      <w:r>
        <w:t>, ka apsūdzētā vardarbību pret cietušo pārtraukušas citas personas</w:t>
      </w:r>
      <w:r w:rsidR="00182A60">
        <w:t>, minētos apstākļus apelācijas instances tiesa nav izvērtējusi.</w:t>
      </w:r>
    </w:p>
    <w:p w:rsidR="00BF46AA" w:rsidRDefault="00BF46AA" w:rsidP="007044E4">
      <w:pPr>
        <w:spacing w:line="276" w:lineRule="auto"/>
        <w:ind w:firstLine="709"/>
        <w:contextualSpacing/>
        <w:jc w:val="both"/>
      </w:pPr>
      <w:r>
        <w:t>Tādējādi apelācijas instances tiesa pieļāv</w:t>
      </w:r>
      <w:r w:rsidR="00182A60">
        <w:t>usi</w:t>
      </w:r>
      <w:r>
        <w:t xml:space="preserve"> Kriminālprocesa likuma 128.panta otrās daļas, 51</w:t>
      </w:r>
      <w:r w:rsidR="00D35AEF">
        <w:t xml:space="preserve">1.panta otrās daļas, 512.panta un </w:t>
      </w:r>
      <w:r>
        <w:t>564.panta ceturtās daļas pārkāpumu, kas atzīstam</w:t>
      </w:r>
      <w:r w:rsidR="0005059F">
        <w:t>s</w:t>
      </w:r>
      <w:r>
        <w:t xml:space="preserve"> par Kriminālprocesa likuma būtisk</w:t>
      </w:r>
      <w:r w:rsidR="0005059F">
        <w:t>u</w:t>
      </w:r>
      <w:r>
        <w:t xml:space="preserve"> pārkāpum</w:t>
      </w:r>
      <w:r w:rsidR="0005059F">
        <w:t>u</w:t>
      </w:r>
      <w:r>
        <w:t xml:space="preserve"> šā likuma 575.panta trešās daļas izpratnē. </w:t>
      </w:r>
    </w:p>
    <w:p w:rsidR="00CA1940" w:rsidRDefault="00182A60" w:rsidP="007044E4">
      <w:pPr>
        <w:spacing w:line="276" w:lineRule="auto"/>
        <w:ind w:firstLine="709"/>
        <w:contextualSpacing/>
        <w:jc w:val="both"/>
      </w:pPr>
      <w:r>
        <w:t>Šādā veidā a</w:t>
      </w:r>
      <w:r w:rsidR="00186AB2">
        <w:t xml:space="preserve">pelācijas instances tiesa ir pieļāvusi </w:t>
      </w:r>
      <w:r>
        <w:t xml:space="preserve">arī </w:t>
      </w:r>
      <w:r w:rsidR="00186AB2">
        <w:t>Kriminālprocesa likuma 574.panta 1. un 2.punkt</w:t>
      </w:r>
      <w:r w:rsidR="0005059F">
        <w:t>ā norādīto</w:t>
      </w:r>
      <w:r w:rsidR="00186AB2">
        <w:t xml:space="preserve"> pārkāpumu, jo</w:t>
      </w:r>
      <w:r w:rsidR="005B7B5B">
        <w:t xml:space="preserve"> apsūdzēt</w:t>
      </w:r>
      <w:r w:rsidR="008406EF">
        <w:t xml:space="preserve">ā </w:t>
      </w:r>
      <w:r w:rsidR="00700E6B">
        <w:t>[pers. A]</w:t>
      </w:r>
      <w:r w:rsidR="005B7B5B">
        <w:t xml:space="preserve"> noziedzīg</w:t>
      </w:r>
      <w:r>
        <w:t xml:space="preserve">ās darbības </w:t>
      </w:r>
      <w:r w:rsidR="0057068A">
        <w:t xml:space="preserve">nepamatoti </w:t>
      </w:r>
      <w:r>
        <w:t>kvalificējusi</w:t>
      </w:r>
      <w:r w:rsidR="009048A2">
        <w:t xml:space="preserve"> </w:t>
      </w:r>
      <w:r w:rsidR="005B7B5B">
        <w:t xml:space="preserve">pēc Krimināllikuma 125.panta pirmās daļas. </w:t>
      </w:r>
      <w:r w:rsidR="003D22AF">
        <w:t>Prokurors uzskata, ka</w:t>
      </w:r>
      <w:r w:rsidR="00186AB2">
        <w:t xml:space="preserve"> krimināllietā ir pierādīts </w:t>
      </w:r>
      <w:r w:rsidR="00700E6B">
        <w:t>[pers. A]</w:t>
      </w:r>
      <w:r w:rsidR="00186AB2">
        <w:t xml:space="preserve"> vainīgums </w:t>
      </w:r>
      <w:r w:rsidR="001D103E">
        <w:t>Krimināllikuma 15.pant</w:t>
      </w:r>
      <w:r w:rsidR="00186AB2">
        <w:t>ā</w:t>
      </w:r>
      <w:r w:rsidR="001D103E">
        <w:t xml:space="preserve"> un 116.pant</w:t>
      </w:r>
      <w:r w:rsidR="00186AB2">
        <w:t>ā paredzētajā noziedzīgajā nodarījumā</w:t>
      </w:r>
      <w:r w:rsidR="001D103E">
        <w:t xml:space="preserve">. </w:t>
      </w:r>
    </w:p>
    <w:p w:rsidR="00CA1940" w:rsidRDefault="00CA1940" w:rsidP="00CA1940">
      <w:pPr>
        <w:spacing w:line="276" w:lineRule="auto"/>
        <w:ind w:firstLine="709"/>
        <w:contextualSpacing/>
        <w:jc w:val="both"/>
      </w:pPr>
    </w:p>
    <w:p w:rsidR="006504FE" w:rsidRDefault="006504FE" w:rsidP="00CA1940">
      <w:pPr>
        <w:spacing w:line="276" w:lineRule="auto"/>
        <w:ind w:firstLine="709"/>
        <w:contextualSpacing/>
        <w:jc w:val="both"/>
      </w:pPr>
      <w:r>
        <w:t>[</w:t>
      </w:r>
      <w:r w:rsidR="000E361F">
        <w:t>7</w:t>
      </w:r>
      <w:r>
        <w:t>] Kasācijas sūdzīb</w:t>
      </w:r>
      <w:r w:rsidR="00F87730">
        <w:t xml:space="preserve">ā apsūdzētais </w:t>
      </w:r>
      <w:r w:rsidR="00700E6B">
        <w:t>[pers. A]</w:t>
      </w:r>
      <w:r w:rsidR="00F87730">
        <w:t xml:space="preserve"> lūdz</w:t>
      </w:r>
      <w:r w:rsidR="00957610">
        <w:t xml:space="preserve"> </w:t>
      </w:r>
      <w:r w:rsidR="00182A60">
        <w:t>kasācijas instances</w:t>
      </w:r>
      <w:r w:rsidR="00957610">
        <w:t xml:space="preserve"> tiesu</w:t>
      </w:r>
      <w:r>
        <w:t xml:space="preserve"> </w:t>
      </w:r>
      <w:r w:rsidR="008406EF">
        <w:t>pieņemt taisnīgu lēmumu, pamatojoties uz turpmāk norādītajiem apsvērumiem.</w:t>
      </w:r>
    </w:p>
    <w:p w:rsidR="00420FFF" w:rsidRDefault="00420FFF" w:rsidP="00420FFF">
      <w:pPr>
        <w:spacing w:line="276" w:lineRule="auto"/>
        <w:ind w:firstLine="709"/>
        <w:contextualSpacing/>
        <w:jc w:val="both"/>
      </w:pPr>
      <w:r>
        <w:t xml:space="preserve">Abu instanču tiesas nepamatoti secinājušas, ka viņa dzīvoklī, kas atrodas nama otrajā stāvā, nav iespējams iekļūt pa logu. To, ka šāds tiesas atzinums ir kļūdains, varētu apstiprināt kaimiņienes no nama pirmā un </w:t>
      </w:r>
      <w:r w:rsidR="00577F00">
        <w:t>otrā</w:t>
      </w:r>
      <w:r>
        <w:t xml:space="preserve"> stāva. Savukārt nebūtu ņemamas vērā nama 7.dzīvoklī dzīvojošās kaimiņienes liecības, kura pārvietošanās grūtību dēļ diez vai varēja novērot notiekošo un par to liecināt.</w:t>
      </w:r>
    </w:p>
    <w:p w:rsidR="006202E4" w:rsidRDefault="0057068A" w:rsidP="005955FB">
      <w:pPr>
        <w:spacing w:line="276" w:lineRule="auto"/>
        <w:ind w:firstLine="709"/>
        <w:contextualSpacing/>
        <w:jc w:val="both"/>
      </w:pPr>
      <w:r>
        <w:t>Apelācijas instances tiesa n</w:t>
      </w:r>
      <w:r w:rsidR="00182A60">
        <w:t>av ņ</w:t>
      </w:r>
      <w:r>
        <w:t>ēmusi</w:t>
      </w:r>
      <w:r w:rsidR="00182A60">
        <w:t xml:space="preserve"> vērā apstākli, ka noziegumu viņš izdarījis pašaizsardzības un sava īpašuma aizsardzības nolūkā. </w:t>
      </w:r>
      <w:r>
        <w:t>Tumsā n</w:t>
      </w:r>
      <w:r w:rsidR="00182A60">
        <w:t xml:space="preserve">eatpazīstot </w:t>
      </w:r>
      <w:r w:rsidR="00420FFF">
        <w:t xml:space="preserve">viņa dzīvoklī iekļuvušos </w:t>
      </w:r>
      <w:r w:rsidR="00577F00">
        <w:t>uzbrucējus</w:t>
      </w:r>
      <w:r w:rsidR="00182A60">
        <w:t xml:space="preserve"> </w:t>
      </w:r>
      <w:r>
        <w:t xml:space="preserve">un </w:t>
      </w:r>
      <w:r w:rsidR="00182A60">
        <w:t xml:space="preserve">saņemot sitienu pa seju, </w:t>
      </w:r>
      <w:r>
        <w:t xml:space="preserve">viņš </w:t>
      </w:r>
      <w:r w:rsidR="00182A60">
        <w:t>rīkojies pārsteidzīgi</w:t>
      </w:r>
      <w:r w:rsidR="004C3BFE">
        <w:t>, tomēr nevienu nav vēlējies nogalināt.</w:t>
      </w:r>
      <w:r w:rsidR="00182A60">
        <w:t xml:space="preserve"> </w:t>
      </w:r>
      <w:r w:rsidR="003E3126">
        <w:t xml:space="preserve">Ja šāds nodoms būtu bijis, viņš to būtu </w:t>
      </w:r>
      <w:r w:rsidR="004C3BFE">
        <w:t>īstenojis</w:t>
      </w:r>
      <w:r w:rsidR="006202E4">
        <w:t xml:space="preserve"> neatkarīgi no apstākļiem.</w:t>
      </w:r>
    </w:p>
    <w:p w:rsidR="008C6FC5" w:rsidRPr="008B7454" w:rsidRDefault="008C6FC5" w:rsidP="008C6FC5">
      <w:pPr>
        <w:spacing w:line="276" w:lineRule="auto"/>
        <w:ind w:firstLine="709"/>
        <w:contextualSpacing/>
        <w:jc w:val="both"/>
        <w:rPr>
          <w:b/>
        </w:rPr>
      </w:pPr>
    </w:p>
    <w:p w:rsidR="008B7454" w:rsidRPr="008B7454" w:rsidRDefault="008B7454" w:rsidP="008B7454">
      <w:pPr>
        <w:jc w:val="center"/>
        <w:rPr>
          <w:b/>
        </w:rPr>
      </w:pPr>
      <w:r w:rsidRPr="008B7454">
        <w:rPr>
          <w:b/>
        </w:rPr>
        <w:t>Motīvu daļa</w:t>
      </w:r>
    </w:p>
    <w:p w:rsidR="008B7454" w:rsidRDefault="008B7454" w:rsidP="008B7454">
      <w:pPr>
        <w:jc w:val="center"/>
      </w:pPr>
    </w:p>
    <w:p w:rsidR="008A16F1" w:rsidRDefault="008B7454" w:rsidP="008A16F1">
      <w:pPr>
        <w:tabs>
          <w:tab w:val="left" w:pos="1080"/>
          <w:tab w:val="left" w:pos="6720"/>
        </w:tabs>
        <w:spacing w:line="276" w:lineRule="auto"/>
        <w:ind w:firstLine="709"/>
        <w:jc w:val="both"/>
      </w:pPr>
      <w:r>
        <w:t>[</w:t>
      </w:r>
      <w:r w:rsidR="000E361F">
        <w:t>8</w:t>
      </w:r>
      <w:r>
        <w:t xml:space="preserve">] </w:t>
      </w:r>
      <w:r w:rsidR="008A16F1" w:rsidRPr="00926AD0">
        <w:t xml:space="preserve">Kasācijas instances tiesa atzīst, ka </w:t>
      </w:r>
      <w:r w:rsidR="008A16F1">
        <w:rPr>
          <w:color w:val="000000" w:themeColor="text1"/>
        </w:rPr>
        <w:t>Zemgales apgabaltiesas 2019.gada 5.jūnija spriedums</w:t>
      </w:r>
      <w:r w:rsidR="008A16F1" w:rsidRPr="00926AD0">
        <w:t xml:space="preserve"> atceļams</w:t>
      </w:r>
      <w:r w:rsidR="008A16F1">
        <w:t xml:space="preserve"> un lieta nosūtāma jaunai izskatīšanai apelācijas instances tiesā.</w:t>
      </w:r>
    </w:p>
    <w:p w:rsidR="00CB4A1F" w:rsidRDefault="004816DF" w:rsidP="004816DF">
      <w:pPr>
        <w:spacing w:line="276" w:lineRule="auto"/>
        <w:ind w:firstLine="709"/>
        <w:jc w:val="both"/>
      </w:pPr>
      <w:r>
        <w:t xml:space="preserve">Saskaņā ar Kriminālprocesa likuma 511.panta otro daļu spriedumam jābūt tiesiskam un pamatotam. Šā likuma 512.panta otrā daļā noteic, ka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 Kriminālprocesa likuma 527.panta </w:t>
      </w:r>
      <w:r>
        <w:lastRenderedPageBreak/>
        <w:t>otrās daļas 1. un 2.punktā noteikts, ka notiesājoša sprieduma motīvu daļā norāda pierādījumus, uz kuriem pamatoti tiesas secinājumi, un motīvus, kāpēc tiesa noraidījusi citus pierādījumus.</w:t>
      </w:r>
    </w:p>
    <w:p w:rsidR="004816DF" w:rsidRDefault="004816DF" w:rsidP="004816DF">
      <w:pPr>
        <w:spacing w:line="276" w:lineRule="auto"/>
        <w:ind w:firstLine="709"/>
        <w:jc w:val="both"/>
      </w:pPr>
      <w:r>
        <w:t>Savukārt Kriminālprocesa likuma 564.pant</w:t>
      </w:r>
      <w:r w:rsidR="00C04BAD">
        <w:t>ā noteiktas prasības apelācijas instances tiesas nolēmuma saturam. Tā</w:t>
      </w:r>
      <w:r>
        <w:t xml:space="preserve">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4816DF" w:rsidRDefault="004816DF" w:rsidP="004816DF">
      <w:pPr>
        <w:spacing w:line="276" w:lineRule="auto"/>
        <w:ind w:firstLine="709"/>
        <w:jc w:val="both"/>
      </w:pPr>
      <w:r>
        <w:t>Kasācijas instances tiesa atzīst, ka apelācijas instances tiesa, iztiesājot lietu, minētās tiesību normas nav ievērojusi.</w:t>
      </w:r>
    </w:p>
    <w:p w:rsidR="00CB4A1F" w:rsidRDefault="004816DF" w:rsidP="004816DF">
      <w:pPr>
        <w:spacing w:line="276" w:lineRule="auto"/>
        <w:ind w:firstLine="709"/>
        <w:jc w:val="both"/>
      </w:pPr>
      <w:r>
        <w:t xml:space="preserve"> </w:t>
      </w:r>
      <w:r w:rsidR="00A82087" w:rsidRPr="00A82087">
        <w:t xml:space="preserve">Apelācijas instances tiesa atcēlusi pirmās instances tiesas spriedumu, ar kuru apsūdzētais </w:t>
      </w:r>
      <w:r w:rsidR="00700E6B">
        <w:t>[pers. A]</w:t>
      </w:r>
      <w:r w:rsidR="00C04BAD">
        <w:t xml:space="preserve"> </w:t>
      </w:r>
      <w:r w:rsidR="00A82087" w:rsidRPr="00A82087">
        <w:t xml:space="preserve">atzīts par vainīgu Krimināllikuma 15.panta ceturtajā daļā un 116.pantā paredzētajā noziedzīgajā nodarījumā un taisījusi pēc būtības jaunu spriedumu, atzīstot </w:t>
      </w:r>
      <w:r w:rsidR="00700E6B">
        <w:t>[pers. A]</w:t>
      </w:r>
      <w:r w:rsidR="00A82087" w:rsidRPr="00A82087">
        <w:t xml:space="preserve"> par vainīgu Krimināllikuma 125.panta pirmajā daļā paredzētajā noziedzīgajā nodarījumā.</w:t>
      </w:r>
      <w:r w:rsidR="009820C8">
        <w:t xml:space="preserve"> </w:t>
      </w:r>
    </w:p>
    <w:p w:rsidR="002B3598" w:rsidRDefault="00C04BAD" w:rsidP="004816DF">
      <w:pPr>
        <w:spacing w:line="276" w:lineRule="auto"/>
        <w:ind w:firstLine="709"/>
        <w:jc w:val="both"/>
      </w:pPr>
      <w:r>
        <w:t>Saskaņā ar</w:t>
      </w:r>
      <w:r w:rsidR="009820C8">
        <w:t xml:space="preserve"> Kriminālprocesa likuma </w:t>
      </w:r>
      <w:r w:rsidR="00420FFF">
        <w:t>564.panta piektajā daļā</w:t>
      </w:r>
      <w:r w:rsidR="009820C8">
        <w:t xml:space="preserve"> noteikt</w:t>
      </w:r>
      <w:r>
        <w:t>o</w:t>
      </w:r>
      <w:r w:rsidR="00420FFF">
        <w:t>, apelācijas instances tiesa</w:t>
      </w:r>
      <w:r w:rsidR="009820C8">
        <w:t xml:space="preserve"> sniegusi jaunu noziedzīgā nodarījuma apr</w:t>
      </w:r>
      <w:r w:rsidR="00420FFF">
        <w:t>a</w:t>
      </w:r>
      <w:r w:rsidR="009820C8">
        <w:t>k</w:t>
      </w:r>
      <w:r w:rsidR="00420FFF">
        <w:t xml:space="preserve">stu. Atzīstot par pierādītiem tādus pašus noziedzīgā nodarījuma faktiskos apstākļus, kādus par pierādītiem atzinusi pirmās instances tiesa, proti, </w:t>
      </w:r>
      <w:r w:rsidR="000B3612">
        <w:t xml:space="preserve">vienu dūrienu </w:t>
      </w:r>
      <w:r w:rsidR="00700E6B">
        <w:t>[pers. B]</w:t>
      </w:r>
      <w:r w:rsidR="000B3612">
        <w:t xml:space="preserve"> </w:t>
      </w:r>
      <w:r w:rsidR="004015B2">
        <w:t xml:space="preserve">kreisās </w:t>
      </w:r>
      <w:r w:rsidR="000B3612">
        <w:t xml:space="preserve">kājas augšstilbā, </w:t>
      </w:r>
      <w:r w:rsidR="004015B2">
        <w:t>sešus sitienus ar dūri un divus sitienus</w:t>
      </w:r>
      <w:r w:rsidR="000B3612">
        <w:t xml:space="preserve"> ar </w:t>
      </w:r>
      <w:r w:rsidR="0005059F">
        <w:t xml:space="preserve">metāla </w:t>
      </w:r>
      <w:r w:rsidR="000B3612">
        <w:t xml:space="preserve">ogļu liekšķeri </w:t>
      </w:r>
      <w:r w:rsidR="004015B2">
        <w:t>pa galvu</w:t>
      </w:r>
      <w:r w:rsidR="000B3612">
        <w:t>, apelācijas instances tiesa atzinusi, ka</w:t>
      </w:r>
      <w:r w:rsidR="004015B2">
        <w:t xml:space="preserve"> minētās darbības apsūdzētais veicis nolūkā nodarīt miesas bojājumus. Turklāt, atzīstot, ka apsūdzētā nodoms, nodarot </w:t>
      </w:r>
      <w:r w:rsidR="00700E6B">
        <w:t>[pers. B]</w:t>
      </w:r>
      <w:r w:rsidR="004015B2">
        <w:t xml:space="preserve"> miesas bojājumus, bijis nekonkretizēts, proti, viņš bijis vienaldzīgs pret to, kādi miesas bojājumi tiks nodarīti, apelācijas instances tiesa norādījusi, ka apsūdzētajam jāatbild par cietušajam </w:t>
      </w:r>
      <w:r w:rsidR="00700E6B">
        <w:t>[pers. B]</w:t>
      </w:r>
      <w:r w:rsidR="004015B2">
        <w:t xml:space="preserve"> faktiski nodarītajiem miesas bojājumiem, tas ir, par smagu miesas bojājumu.</w:t>
      </w:r>
    </w:p>
    <w:p w:rsidR="002B3598" w:rsidRDefault="004015B2" w:rsidP="002B3598">
      <w:pPr>
        <w:spacing w:line="276" w:lineRule="auto"/>
        <w:ind w:firstLine="720"/>
        <w:jc w:val="both"/>
      </w:pPr>
      <w:r>
        <w:t xml:space="preserve"> </w:t>
      </w:r>
      <w:r w:rsidR="002B3598">
        <w:t>Apelācijas instances tiesa spriedumā atzinusi, ka pirmās instances tiesa kļūdaini novērtējusi pierādījumus, kā rezultātā nepamatoti secinājusi, ka ir pierādīts apsūdzētā vainīgums tādā noziedzīgā nodarījumā, kas neatbilst viņa veikto darbību raksturam. Apelācijas instances tiesa arī atzinusi, ka nav pamata uzskatīt, ka apsūdzētā faktiskās darbības</w:t>
      </w:r>
      <w:r w:rsidR="00CB4A1F">
        <w:t> </w:t>
      </w:r>
      <w:r w:rsidR="002B3598" w:rsidRPr="00565E5B">
        <w:t xml:space="preserve"> – sitien</w:t>
      </w:r>
      <w:r w:rsidR="002B3598">
        <w:t>i ar dūri un metāla ogļu liekšķeri pa cietušā galvu un viens dūriens ar nazi kājā –</w:t>
      </w:r>
      <w:r w:rsidR="002B3598" w:rsidRPr="00565E5B">
        <w:t xml:space="preserve"> </w:t>
      </w:r>
      <w:r w:rsidR="002B3598">
        <w:t xml:space="preserve">acīmredzami </w:t>
      </w:r>
      <w:r w:rsidR="002B3598" w:rsidRPr="006F301A">
        <w:t>nea</w:t>
      </w:r>
      <w:r w:rsidR="002B3598">
        <w:t>tklāj</w:t>
      </w:r>
      <w:r w:rsidR="009C79FF">
        <w:t xml:space="preserve"> </w:t>
      </w:r>
      <w:r w:rsidR="002B3598" w:rsidRPr="00565E5B">
        <w:t>a</w:t>
      </w:r>
      <w:r w:rsidR="002B3598">
        <w:t xml:space="preserve">psūdzētā </w:t>
      </w:r>
      <w:r w:rsidR="005E6977">
        <w:t>[pers. A]</w:t>
      </w:r>
      <w:r w:rsidR="002B3598">
        <w:t xml:space="preserve"> nodomu nonāvēt cietušo </w:t>
      </w:r>
      <w:r w:rsidR="005E6977">
        <w:t>[pers. B]</w:t>
      </w:r>
      <w:r w:rsidR="002B3598">
        <w:t xml:space="preserve">. </w:t>
      </w:r>
    </w:p>
    <w:p w:rsidR="002B3598" w:rsidRDefault="00B00C66" w:rsidP="002B3598">
      <w:pPr>
        <w:tabs>
          <w:tab w:val="left" w:pos="1080"/>
          <w:tab w:val="left" w:pos="6720"/>
        </w:tabs>
        <w:spacing w:line="276" w:lineRule="auto"/>
        <w:ind w:firstLine="709"/>
        <w:jc w:val="both"/>
      </w:pPr>
      <w:r>
        <w:t>Tiesību teorijā atzīts, ka n</w:t>
      </w:r>
      <w:r w:rsidR="002B3598" w:rsidRPr="00BE18BD">
        <w:t>oziedzīga nodarījuma subjektīvā puse ir noziedzīgu nodarījumu izdarījušas personas (nodarījuma subjekta) psihiskā darbība, kas tieši saistīta ar viņas izdarīto (nodarījuma objektīvajām pazīmēm), un tā apvieno vienotā veselā personas psihiskās darbības intelektuālos un gribas procesus (</w:t>
      </w:r>
      <w:r w:rsidR="002B3598" w:rsidRPr="00BE18BD">
        <w:rPr>
          <w:i/>
        </w:rPr>
        <w:t>sk. U.</w:t>
      </w:r>
      <w:r w:rsidR="00577F00">
        <w:rPr>
          <w:i/>
        </w:rPr>
        <w:t> </w:t>
      </w:r>
      <w:r w:rsidR="002B3598" w:rsidRPr="00BE18BD">
        <w:rPr>
          <w:i/>
        </w:rPr>
        <w:t>Krastiņš. Noziedzīga nodarījuma sastāvs un nodarījuma kvalifikācija. Teorētiskie aspekti. – Rīga: Tiesu namu aģentūra, 2014, 127.lpp.</w:t>
      </w:r>
      <w:r w:rsidR="002B3598" w:rsidRPr="00BE18BD">
        <w:t>).</w:t>
      </w:r>
    </w:p>
    <w:p w:rsidR="002B3598" w:rsidRDefault="002B3598" w:rsidP="002B3598">
      <w:pPr>
        <w:tabs>
          <w:tab w:val="left" w:pos="1080"/>
          <w:tab w:val="left" w:pos="6720"/>
        </w:tabs>
        <w:spacing w:line="276" w:lineRule="auto"/>
        <w:ind w:firstLine="709"/>
        <w:jc w:val="both"/>
      </w:pPr>
      <w:r>
        <w:t xml:space="preserve">Lai noskaidrotu vainīgā nodoma saturu, jāpamatojas uz izdarītā noziedzīgā nodarījuma apstākļu kopumu, īpaši ņemot vērā nozieguma izdarīšanas veidu un rīkus, brūču un citu miesas bojājumu daudzumu, raksturu un lokalizāciju, vainīgā noziedzīgo darbību pārtraukšanas iemeslu un viņa rīcību pēc noziedzīgā nodarījuma izdarīšanas, kā arī izvērtējot vainīgā un cietušā attiecības pirms noziedzīga nodarījuma izdarīšanas un citus apstākļus, kas var liecināt par vainīgā nodomu. </w:t>
      </w:r>
      <w:r w:rsidRPr="00565E5B">
        <w:t xml:space="preserve">Uz vainīgā tiešu nodomu attiecībā pret nāvi var norādīt </w:t>
      </w:r>
      <w:r w:rsidRPr="00565E5B">
        <w:lastRenderedPageBreak/>
        <w:t>dzīvībai izteikti bīstama veida, rīku un līdzekļu, piemēram, nāvējoša fiziska spēka,</w:t>
      </w:r>
      <w:r>
        <w:t xml:space="preserve"> aukstā ieroča, </w:t>
      </w:r>
      <w:r w:rsidRPr="00565E5B">
        <w:t xml:space="preserve"> asa vai smaga priekšmeta un tamlīdzīga noziedzīga rīka, kas tūlīt spēj sagādāt nāvi, izmantošana</w:t>
      </w:r>
      <w:r w:rsidR="00C95DA6">
        <w:t>.</w:t>
      </w:r>
      <w:r>
        <w:t xml:space="preserve"> Tādējādi noziedzīgā nodarījuma apstākļu kopuma noskaidrošana un pierādīšana ir priekšnoteikums vainīgās personas nodoma atklāšanai.</w:t>
      </w:r>
    </w:p>
    <w:p w:rsidR="002B3598" w:rsidRDefault="002B3598" w:rsidP="002B3598">
      <w:pPr>
        <w:spacing w:line="276" w:lineRule="auto"/>
        <w:ind w:firstLine="720"/>
        <w:jc w:val="both"/>
      </w:pPr>
      <w:r w:rsidRPr="002B3598">
        <w:t xml:space="preserve">Savukārt apelācijas instances tiesa nav izvērtējusi apstākļus, kam ir nozīme apsūdzētā </w:t>
      </w:r>
      <w:r w:rsidR="005E6977">
        <w:t>[pers. A]</w:t>
      </w:r>
      <w:r w:rsidRPr="002B3598">
        <w:t xml:space="preserve"> nodoma satura atklāšanā un nodarījuma pareizā kvalificēšanā.</w:t>
      </w:r>
    </w:p>
    <w:p w:rsidR="002B3598" w:rsidRDefault="00D52FEF" w:rsidP="002B3598">
      <w:pPr>
        <w:spacing w:line="276" w:lineRule="auto"/>
        <w:ind w:firstLine="720"/>
        <w:jc w:val="both"/>
      </w:pPr>
      <w:r>
        <w:t>K</w:t>
      </w:r>
      <w:r w:rsidR="00A072D7">
        <w:t xml:space="preserve">asācijas instances tiesa konstatē, ka apelācijas instances tiesas spriedumā ir pārstāstītas, bet nav vērtētas apsūdzētā </w:t>
      </w:r>
      <w:r w:rsidR="005E6977">
        <w:t>[pers. A]</w:t>
      </w:r>
      <w:r w:rsidR="00A072D7">
        <w:t xml:space="preserve"> pirmstiesas procesā sniegtās liecības, ka viņš būtu turpinājis sist </w:t>
      </w:r>
      <w:r w:rsidR="005E6977">
        <w:t>[pers. B]</w:t>
      </w:r>
      <w:r w:rsidR="00A072D7">
        <w:t>, ja viņu nebūtu apturējis kaimiņš</w:t>
      </w:r>
      <w:r>
        <w:t xml:space="preserve">, ka traucējis mediķiem sniegt </w:t>
      </w:r>
      <w:r w:rsidR="00B00C66">
        <w:t xml:space="preserve">cietušajam </w:t>
      </w:r>
      <w:r>
        <w:t>palīdzību, jo vēlējies, lai viņš nomirst.</w:t>
      </w:r>
      <w:r w:rsidR="00A072D7">
        <w:t xml:space="preserve"> </w:t>
      </w:r>
    </w:p>
    <w:p w:rsidR="00D52FEF" w:rsidRDefault="00D52FEF" w:rsidP="00D52FEF">
      <w:pPr>
        <w:spacing w:line="276" w:lineRule="auto"/>
        <w:ind w:firstLine="720"/>
        <w:jc w:val="both"/>
      </w:pPr>
      <w:r>
        <w:t xml:space="preserve">Apelācijas instances tiesa atzinusi, ka, lai arī apsūdzētais vairākkārt izteicies, ka cietušo </w:t>
      </w:r>
      <w:r w:rsidR="005E6977">
        <w:t>[pers. B]</w:t>
      </w:r>
      <w:r>
        <w:t xml:space="preserve"> būtu nositis, ka cietušajam jāmirst, viņa rīcība to neapstiprina un apsūdzētā teiktais </w:t>
      </w:r>
      <w:r w:rsidR="002B5E8F">
        <w:t>„</w:t>
      </w:r>
      <w:r>
        <w:t>drīzāk uztverams</w:t>
      </w:r>
      <w:r w:rsidR="00292A65">
        <w:t>”</w:t>
      </w:r>
      <w:r>
        <w:t xml:space="preserve"> kā neapmierinātība ar iedomāto situāciju, ka cietušais it kā rīkojies prettiesiski. Kasācijas instances tiesa atzīst par pamatotu protestā izteikto viedokli, ka </w:t>
      </w:r>
      <w:r w:rsidR="002B5E8F">
        <w:t xml:space="preserve">šāds </w:t>
      </w:r>
      <w:r>
        <w:t>apsūdzētā izteikumu</w:t>
      </w:r>
      <w:r w:rsidR="002B5E8F">
        <w:t xml:space="preserve"> </w:t>
      </w:r>
      <w:r>
        <w:t>vērtējums neatbilst pierādījumu vērtēšanas juridiskajiem kritērijiem.</w:t>
      </w:r>
      <w:r w:rsidR="00B00C66">
        <w:t xml:space="preserve"> P</w:t>
      </w:r>
      <w:r>
        <w:t xml:space="preserve">ievienojoties protestā izteiktajam viedoklim, kasācijas instances tiesa </w:t>
      </w:r>
      <w:r w:rsidR="00B00C66">
        <w:t xml:space="preserve">arī </w:t>
      </w:r>
      <w:r>
        <w:t>atzīst, ka</w:t>
      </w:r>
      <w:r w:rsidR="00B00C66">
        <w:t>, lai</w:t>
      </w:r>
      <w:r w:rsidR="007731D9">
        <w:t xml:space="preserve"> pareizi kvalificētu apsūdzētā noziedzīgās darbības, nav izšķirošas nozīmes apstāklim, ka</w:t>
      </w:r>
      <w:r>
        <w:t xml:space="preserve"> pēc pielietotās vardarbības </w:t>
      </w:r>
      <w:r w:rsidR="007731D9">
        <w:t xml:space="preserve">cietušais </w:t>
      </w:r>
      <w:r>
        <w:t>bijis pie samaņas.</w:t>
      </w:r>
    </w:p>
    <w:p w:rsidR="0024071B" w:rsidRDefault="00292A65" w:rsidP="0024071B">
      <w:pPr>
        <w:spacing w:line="276" w:lineRule="auto"/>
        <w:ind w:firstLine="709"/>
        <w:jc w:val="both"/>
      </w:pPr>
      <w:r>
        <w:t>A</w:t>
      </w:r>
      <w:r w:rsidR="00D52FEF">
        <w:t xml:space="preserve">pelācijas instances tiesa </w:t>
      </w:r>
      <w:r w:rsidR="007731D9">
        <w:t>spriedumā t</w:t>
      </w:r>
      <w:r w:rsidR="006F60EF">
        <w:t>ikai</w:t>
      </w:r>
      <w:r w:rsidR="00D52FEF">
        <w:t xml:space="preserve"> </w:t>
      </w:r>
      <w:r w:rsidR="00377FC8">
        <w:t xml:space="preserve">izklāstījusi </w:t>
      </w:r>
      <w:r>
        <w:t xml:space="preserve">arī </w:t>
      </w:r>
      <w:r w:rsidR="00377FC8">
        <w:t xml:space="preserve">liecinieku </w:t>
      </w:r>
      <w:r w:rsidR="005E6977">
        <w:t>[pers. D]</w:t>
      </w:r>
      <w:r w:rsidR="002B5E8F">
        <w:t xml:space="preserve">, </w:t>
      </w:r>
      <w:r w:rsidR="005E6977">
        <w:t>[pers. E]</w:t>
      </w:r>
      <w:r w:rsidR="00DC5E5A">
        <w:t xml:space="preserve"> un </w:t>
      </w:r>
      <w:r w:rsidR="005E6977">
        <w:t>[</w:t>
      </w:r>
      <w:bookmarkStart w:id="0" w:name="_GoBack"/>
      <w:r w:rsidR="005E6977">
        <w:t>pers. F</w:t>
      </w:r>
      <w:bookmarkEnd w:id="0"/>
      <w:r w:rsidR="005E6977">
        <w:t>]</w:t>
      </w:r>
      <w:r w:rsidR="00DC5E5A">
        <w:t xml:space="preserve"> </w:t>
      </w:r>
      <w:r w:rsidR="00377FC8">
        <w:t>pirmstiesas procesā un pirmās instances tiesā sniegtās liecības</w:t>
      </w:r>
      <w:r w:rsidR="00D52FEF">
        <w:t>.</w:t>
      </w:r>
      <w:r w:rsidR="00377FC8">
        <w:t xml:space="preserve"> </w:t>
      </w:r>
      <w:r w:rsidR="00D52FEF">
        <w:t xml:space="preserve">Proti, ka </w:t>
      </w:r>
      <w:r w:rsidR="005E6977">
        <w:t>[pers. A]</w:t>
      </w:r>
      <w:r w:rsidR="00D52FEF">
        <w:t xml:space="preserve"> vairākkārt atkārtojis, ka </w:t>
      </w:r>
      <w:r w:rsidR="009C79FF">
        <w:t>vēlas cietušā nāvi</w:t>
      </w:r>
      <w:r w:rsidR="002B5E8F">
        <w:t xml:space="preserve">, </w:t>
      </w:r>
      <w:r w:rsidR="00D52FEF">
        <w:t>ka vienalga viņu atradīs un nositīs. Minētās liecības apelācijas instances tiesa nav vērtējusi kopsakarā ar citiem pierādījumiem lietā</w:t>
      </w:r>
      <w:r w:rsidR="00DB02F8">
        <w:t xml:space="preserve">, proti, </w:t>
      </w:r>
      <w:r w:rsidR="00D52FEF">
        <w:t xml:space="preserve">tiesu medicīniskās ekspertīzes atzinumā </w:t>
      </w:r>
      <w:r w:rsidR="0024071B">
        <w:t>secināto par</w:t>
      </w:r>
      <w:r w:rsidR="00D52FEF">
        <w:t xml:space="preserve"> cietušajam </w:t>
      </w:r>
      <w:r w:rsidR="005E6977">
        <w:t>[pers. B]</w:t>
      </w:r>
      <w:r w:rsidR="0024071B">
        <w:t xml:space="preserve"> konstatētajiem miesas bojājumiem, to smagumu un lokalizāciju</w:t>
      </w:r>
      <w:r w:rsidR="00DB02F8">
        <w:t>,</w:t>
      </w:r>
      <w:r w:rsidR="0024071B">
        <w:t xml:space="preserve"> lietisko pierādījumu ekspertīzes atzinumā secināto par cietušā </w:t>
      </w:r>
      <w:r w:rsidR="005E6977">
        <w:t>[pers. B]</w:t>
      </w:r>
      <w:r w:rsidR="0024071B">
        <w:t xml:space="preserve"> miesas bojājumu nodarīšanai izmantotajiem rīkiem</w:t>
      </w:r>
      <w:r w:rsidR="00DB02F8">
        <w:t xml:space="preserve">, kā arī apstākli, ka apsūdzētā darbības pārtrauca cita persona un cietušajam tika sniegta medicīniskā palīdzība. </w:t>
      </w:r>
    </w:p>
    <w:p w:rsidR="007731D9" w:rsidRDefault="0024071B" w:rsidP="00A60E7D">
      <w:pPr>
        <w:spacing w:line="276" w:lineRule="auto"/>
        <w:ind w:firstLine="709"/>
        <w:jc w:val="both"/>
      </w:pPr>
      <w:r w:rsidRPr="00B00C66">
        <w:t>Ka</w:t>
      </w:r>
      <w:r w:rsidR="00292A65">
        <w:t>sācijas instances tiesa atzīst, ka</w:t>
      </w:r>
      <w:r w:rsidRPr="00B00C66">
        <w:t xml:space="preserve"> </w:t>
      </w:r>
      <w:r w:rsidR="00DB02F8" w:rsidRPr="00B00C66">
        <w:t>apelācijas insta</w:t>
      </w:r>
      <w:r w:rsidR="00292A65">
        <w:t>nces tiesas pieļautais</w:t>
      </w:r>
      <w:r w:rsidR="00DB02F8" w:rsidRPr="00B00C66">
        <w:t xml:space="preserve"> Kriminālprocesa likuma 128.panta otrās daļas, 511.panta otrās daļas, 512.panta pirmās daļas un 564.panta ceturtās daļas pārkāpums atzīstams par būtisku pārkāpumu šā likuma 575.panta trešās daļas izpratnē</w:t>
      </w:r>
      <w:r w:rsidR="00292A65">
        <w:t>, tādēļ</w:t>
      </w:r>
      <w:r w:rsidR="00DB02F8" w:rsidRPr="00B00C66">
        <w:t xml:space="preserve"> apelācijas instances tiesas spriedums ir atceļams un krimināllieta nosūtāma jaunai izskatīšanai apelācijas instances tiesā.</w:t>
      </w:r>
    </w:p>
    <w:p w:rsidR="000441C5" w:rsidRDefault="000441C5" w:rsidP="00A60E7D">
      <w:pPr>
        <w:spacing w:line="276" w:lineRule="auto"/>
        <w:ind w:firstLine="709"/>
        <w:jc w:val="both"/>
      </w:pPr>
    </w:p>
    <w:p w:rsidR="007731D9" w:rsidRDefault="007731D9" w:rsidP="00A60E7D">
      <w:pPr>
        <w:spacing w:line="276" w:lineRule="auto"/>
        <w:ind w:firstLine="709"/>
        <w:jc w:val="both"/>
      </w:pPr>
      <w:r>
        <w:t xml:space="preserve">[9] Vienlaikus kasācijas instances tiesa atzīst, ka apsūdzētā </w:t>
      </w:r>
      <w:r w:rsidR="005E6977">
        <w:t>[pers. A]</w:t>
      </w:r>
      <w:r>
        <w:t xml:space="preserve"> kasācijas sūdzība noraidāma.</w:t>
      </w:r>
    </w:p>
    <w:p w:rsidR="00A66DEE" w:rsidRDefault="007731D9" w:rsidP="00A66DEE">
      <w:pPr>
        <w:spacing w:line="276" w:lineRule="auto"/>
        <w:ind w:firstLine="709"/>
        <w:jc w:val="both"/>
      </w:pPr>
      <w:r>
        <w:t xml:space="preserve">Kasācijas sūdzībā apsūdzētais atkārtojis jau savā </w:t>
      </w:r>
      <w:r w:rsidR="00682D93">
        <w:t xml:space="preserve">un aizstāvja </w:t>
      </w:r>
      <w:r>
        <w:t>apelācijas sūdzībā</w:t>
      </w:r>
      <w:r w:rsidR="00682D93">
        <w:t>s norādītos argumentus, kurus apelācijas instances tiesa izvērtējusi un atzinusi par nepamatotiem</w:t>
      </w:r>
      <w:r w:rsidR="00A66DEE">
        <w:t>.</w:t>
      </w:r>
      <w:r w:rsidR="00682D93">
        <w:t xml:space="preserve"> </w:t>
      </w:r>
      <w:r w:rsidR="00A66DEE">
        <w:t>Tāpat apsūdzētais</w:t>
      </w:r>
      <w:r w:rsidR="00682D93">
        <w:t xml:space="preserve"> apstrīdējis</w:t>
      </w:r>
      <w:r w:rsidR="00A66DEE">
        <w:t xml:space="preserve"> atsevišķu</w:t>
      </w:r>
      <w:r w:rsidR="00292A65">
        <w:t xml:space="preserve"> lietas apstākļu</w:t>
      </w:r>
      <w:r w:rsidR="00A66DEE">
        <w:t xml:space="preserve"> izvērtējumu.</w:t>
      </w:r>
    </w:p>
    <w:p w:rsidR="00D52FEF" w:rsidRPr="00B00C66" w:rsidRDefault="00A66DEE" w:rsidP="00A66DEE">
      <w:pPr>
        <w:spacing w:line="276" w:lineRule="auto"/>
        <w:ind w:firstLine="709"/>
        <w:jc w:val="both"/>
      </w:pPr>
      <w:r>
        <w:t>Kasācijas instances tiesa nekonstatē pārkāpumus</w:t>
      </w:r>
      <w:r w:rsidR="00292A65">
        <w:t xml:space="preserve"> sūdzībā minēto apstākļu izvērtējumā.</w:t>
      </w:r>
    </w:p>
    <w:p w:rsidR="00CE65D1" w:rsidRDefault="00CE65D1" w:rsidP="00CE65D1">
      <w:pPr>
        <w:spacing w:line="276" w:lineRule="auto"/>
        <w:ind w:firstLine="652"/>
        <w:contextualSpacing/>
        <w:jc w:val="both"/>
      </w:pPr>
    </w:p>
    <w:p w:rsidR="00FC757C" w:rsidRPr="00A60E7D" w:rsidRDefault="00BF46AA" w:rsidP="00A60E7D">
      <w:pPr>
        <w:spacing w:line="276" w:lineRule="auto"/>
        <w:ind w:firstLine="720"/>
        <w:jc w:val="both"/>
        <w:rPr>
          <w:color w:val="000000"/>
        </w:rPr>
      </w:pPr>
      <w:r>
        <w:t>[1</w:t>
      </w:r>
      <w:r w:rsidR="00A66DEE">
        <w:t>0</w:t>
      </w:r>
      <w:r>
        <w:t>]</w:t>
      </w:r>
      <w:r w:rsidR="00A60E7D">
        <w:t xml:space="preserve"> Apsūdzētajam </w:t>
      </w:r>
      <w:r w:rsidR="005E6977">
        <w:t>[pers. A]</w:t>
      </w:r>
      <w:r w:rsidR="00A60E7D">
        <w:t xml:space="preserve"> pirmstiesas procesā piemērots drošības līdzeklis </w:t>
      </w:r>
      <w:r w:rsidR="009C79FF">
        <w:t> </w:t>
      </w:r>
      <w:r w:rsidR="00A60E7D">
        <w:t xml:space="preserve">– </w:t>
      </w:r>
      <w:r w:rsidR="009C79FF">
        <w:t> </w:t>
      </w:r>
      <w:r w:rsidR="00A60E7D">
        <w:t xml:space="preserve">apcietinājums. Ar pirmās instances tiesas spriedumu un apelācijas instances tiesas spriedumu piemērotais drošības līdzeklis atstāts negrozīts. Ar pirmās instances tiesas </w:t>
      </w:r>
      <w:r w:rsidR="00A60E7D">
        <w:lastRenderedPageBreak/>
        <w:t xml:space="preserve">spriedumu </w:t>
      </w:r>
      <w:r w:rsidR="005E6977">
        <w:t>[pers. A]</w:t>
      </w:r>
      <w:r w:rsidR="00A60E7D">
        <w:t xml:space="preserve"> atzīts par vainīgu Krimināllikuma 15.panta ceturtajā daļā un 116.pantā paredzētajā noziegumā, tas ir, sevišķi smaga nozieguma izdarīšanā. Līdz ar to kasācijas instances tiesa atzīst, ka apsūdzētajam </w:t>
      </w:r>
      <w:r w:rsidR="005E6977">
        <w:t>[pers. A]</w:t>
      </w:r>
      <w:r w:rsidR="00A60E7D">
        <w:t xml:space="preserve"> piemērotais</w:t>
      </w:r>
      <w:r w:rsidR="006D632D">
        <w:t xml:space="preserve"> drošības līdzeklis atbilst sabiedrības drošības interesēm, ir samērīgs ar noziedzīgā nodarījuma raksturu un apsūdzētā personību raksturojošajām ziņām, tādēļ ir pamats tā piemērošanas turpināšanai.</w:t>
      </w:r>
    </w:p>
    <w:p w:rsidR="00FC757C" w:rsidRDefault="00FC757C" w:rsidP="00FC757C">
      <w:pPr>
        <w:autoSpaceDE w:val="0"/>
        <w:autoSpaceDN w:val="0"/>
        <w:adjustRightInd w:val="0"/>
        <w:spacing w:line="276" w:lineRule="auto"/>
        <w:jc w:val="both"/>
      </w:pPr>
    </w:p>
    <w:p w:rsidR="00FC757C" w:rsidRPr="00741678" w:rsidRDefault="00FC757C" w:rsidP="00FC757C">
      <w:pPr>
        <w:spacing w:line="276" w:lineRule="auto"/>
        <w:contextualSpacing/>
        <w:jc w:val="center"/>
        <w:outlineLvl w:val="1"/>
        <w:rPr>
          <w:rFonts w:eastAsia="Calibri"/>
          <w:b/>
          <w:lang w:val="x-none" w:eastAsia="lv-LV"/>
        </w:rPr>
      </w:pPr>
      <w:r w:rsidRPr="00741678">
        <w:rPr>
          <w:rFonts w:eastAsia="Calibri"/>
          <w:b/>
          <w:lang w:val="x-none" w:eastAsia="lv-LV"/>
        </w:rPr>
        <w:t>Rezolutīvā daļa</w:t>
      </w:r>
    </w:p>
    <w:p w:rsidR="00FC757C" w:rsidRPr="00741678" w:rsidRDefault="00FC757C" w:rsidP="00FC757C">
      <w:pPr>
        <w:spacing w:line="276" w:lineRule="auto"/>
        <w:contextualSpacing/>
        <w:jc w:val="center"/>
        <w:outlineLvl w:val="1"/>
        <w:rPr>
          <w:rFonts w:eastAsia="Calibri"/>
          <w:lang w:val="x-none" w:eastAsia="lv-LV"/>
        </w:rPr>
      </w:pPr>
    </w:p>
    <w:p w:rsidR="00FC757C" w:rsidRDefault="00FC757C" w:rsidP="00FC757C">
      <w:pPr>
        <w:spacing w:line="276" w:lineRule="auto"/>
        <w:ind w:firstLine="567"/>
        <w:contextualSpacing/>
        <w:jc w:val="both"/>
        <w:outlineLvl w:val="1"/>
        <w:rPr>
          <w:rFonts w:eastAsia="Calibri"/>
          <w:iCs/>
        </w:rPr>
      </w:pPr>
      <w:r w:rsidRPr="00741678">
        <w:rPr>
          <w:rFonts w:eastAsia="Calibri"/>
          <w:iCs/>
          <w:lang w:val="x-none"/>
        </w:rPr>
        <w:t>Pamatojoties uz Kriminālprocesa likuma 585.</w:t>
      </w:r>
      <w:r w:rsidR="000441C5">
        <w:rPr>
          <w:rFonts w:eastAsia="Calibri"/>
          <w:iCs/>
        </w:rPr>
        <w:t xml:space="preserve"> un </w:t>
      </w:r>
      <w:r w:rsidRPr="00741678">
        <w:rPr>
          <w:rFonts w:eastAsia="Calibri"/>
          <w:iCs/>
          <w:lang w:val="x-none"/>
        </w:rPr>
        <w:t xml:space="preserve">587.pantu, </w:t>
      </w:r>
      <w:r w:rsidRPr="00741678">
        <w:rPr>
          <w:rFonts w:eastAsia="Calibri"/>
          <w:iCs/>
        </w:rPr>
        <w:t>tiesa</w:t>
      </w:r>
    </w:p>
    <w:p w:rsidR="00FC757C" w:rsidRPr="00741678" w:rsidRDefault="00FC757C" w:rsidP="00FC757C">
      <w:pPr>
        <w:spacing w:line="276" w:lineRule="auto"/>
        <w:contextualSpacing/>
        <w:jc w:val="both"/>
      </w:pPr>
    </w:p>
    <w:p w:rsidR="00FC757C" w:rsidRPr="00741678" w:rsidRDefault="00FC757C" w:rsidP="00FC757C">
      <w:pPr>
        <w:spacing w:line="276" w:lineRule="auto"/>
        <w:contextualSpacing/>
        <w:jc w:val="center"/>
        <w:outlineLvl w:val="1"/>
        <w:rPr>
          <w:rFonts w:eastAsia="Calibri"/>
          <w:b/>
          <w:iCs/>
          <w:lang w:val="x-none"/>
        </w:rPr>
      </w:pPr>
      <w:r w:rsidRPr="00741678">
        <w:rPr>
          <w:rFonts w:eastAsia="Calibri"/>
          <w:b/>
          <w:iCs/>
          <w:lang w:val="x-none"/>
        </w:rPr>
        <w:t>nolēma:</w:t>
      </w:r>
    </w:p>
    <w:p w:rsidR="00FC757C" w:rsidRPr="00741678" w:rsidRDefault="00FC757C" w:rsidP="00FC757C">
      <w:pPr>
        <w:spacing w:line="276" w:lineRule="auto"/>
        <w:contextualSpacing/>
        <w:jc w:val="center"/>
        <w:outlineLvl w:val="1"/>
        <w:rPr>
          <w:rFonts w:eastAsia="Calibri"/>
          <w:b/>
          <w:iCs/>
          <w:lang w:val="x-none"/>
        </w:rPr>
      </w:pPr>
    </w:p>
    <w:p w:rsidR="006E2868" w:rsidRDefault="00FC757C" w:rsidP="006E2868">
      <w:pPr>
        <w:spacing w:line="276" w:lineRule="auto"/>
        <w:ind w:firstLine="567"/>
        <w:jc w:val="both"/>
        <w:rPr>
          <w:rFonts w:eastAsia="Calibri"/>
        </w:rPr>
      </w:pPr>
      <w:r>
        <w:rPr>
          <w:rFonts w:eastAsia="Calibri"/>
        </w:rPr>
        <w:t>atcelt</w:t>
      </w:r>
      <w:r w:rsidRPr="00741678">
        <w:rPr>
          <w:rFonts w:eastAsia="Calibri"/>
        </w:rPr>
        <w:t xml:space="preserve"> Zemg</w:t>
      </w:r>
      <w:r>
        <w:rPr>
          <w:rFonts w:eastAsia="Calibri"/>
        </w:rPr>
        <w:t xml:space="preserve">ales apgabaltiesas </w:t>
      </w:r>
      <w:r>
        <w:rPr>
          <w:color w:val="000000" w:themeColor="text1"/>
        </w:rPr>
        <w:t>2019.gada 5.jūnija spriedumu</w:t>
      </w:r>
      <w:r>
        <w:rPr>
          <w:rFonts w:eastAsia="Calibri"/>
        </w:rPr>
        <w:t xml:space="preserve"> un lietu nodot jaunai izskatīšanai </w:t>
      </w:r>
      <w:r w:rsidR="00A60E7D">
        <w:rPr>
          <w:rFonts w:eastAsia="Calibri"/>
        </w:rPr>
        <w:t>Zemgales apgabal</w:t>
      </w:r>
      <w:r>
        <w:rPr>
          <w:rFonts w:eastAsia="Calibri"/>
        </w:rPr>
        <w:t xml:space="preserve">tiesā. </w:t>
      </w:r>
    </w:p>
    <w:p w:rsidR="00FC757C" w:rsidRPr="00741678" w:rsidRDefault="005E6977" w:rsidP="006E2868">
      <w:pPr>
        <w:spacing w:line="276" w:lineRule="auto"/>
        <w:ind w:firstLine="567"/>
        <w:jc w:val="both"/>
        <w:rPr>
          <w:rFonts w:eastAsia="Calibri"/>
        </w:rPr>
      </w:pPr>
      <w:r>
        <w:rPr>
          <w:rFonts w:eastAsia="Calibri"/>
        </w:rPr>
        <w:t>[Pers. A]</w:t>
      </w:r>
      <w:r w:rsidR="00A60E7D">
        <w:rPr>
          <w:rFonts w:eastAsia="Calibri"/>
        </w:rPr>
        <w:t xml:space="preserve"> t</w:t>
      </w:r>
      <w:r w:rsidR="00FC757C">
        <w:rPr>
          <w:rFonts w:eastAsia="Calibri"/>
        </w:rPr>
        <w:t>urpināt piemērot drošības līdzekli – apcietinājum</w:t>
      </w:r>
      <w:r w:rsidR="00A60E7D">
        <w:rPr>
          <w:rFonts w:eastAsia="Calibri"/>
        </w:rPr>
        <w:t>s</w:t>
      </w:r>
      <w:r w:rsidR="00FC757C">
        <w:rPr>
          <w:rFonts w:eastAsia="Calibri"/>
        </w:rPr>
        <w:t>.</w:t>
      </w:r>
    </w:p>
    <w:p w:rsidR="00CB4A1F" w:rsidRDefault="00FC757C" w:rsidP="00CB4A1F">
      <w:pPr>
        <w:spacing w:line="276" w:lineRule="auto"/>
        <w:ind w:firstLine="567"/>
        <w:jc w:val="both"/>
        <w:rPr>
          <w:rFonts w:eastAsia="Calibri"/>
        </w:rPr>
      </w:pPr>
      <w:r w:rsidRPr="00741678">
        <w:rPr>
          <w:rFonts w:eastAsia="Calibri"/>
        </w:rPr>
        <w:t>Lēmums nav pārsūdzams.</w:t>
      </w:r>
    </w:p>
    <w:p w:rsidR="00D91166" w:rsidRDefault="00D91166" w:rsidP="008131E4">
      <w:pPr>
        <w:spacing w:line="276" w:lineRule="auto"/>
        <w:jc w:val="both"/>
        <w:rPr>
          <w:rFonts w:eastAsia="Calibri"/>
        </w:rPr>
      </w:pPr>
    </w:p>
    <w:p w:rsidR="00D91166" w:rsidRPr="008131E4" w:rsidRDefault="00D91166" w:rsidP="00CB4A1F">
      <w:pPr>
        <w:spacing w:line="276" w:lineRule="auto"/>
        <w:ind w:firstLine="567"/>
        <w:jc w:val="both"/>
        <w:rPr>
          <w:rFonts w:eastAsia="Calibri"/>
          <w:sz w:val="22"/>
        </w:rPr>
      </w:pPr>
    </w:p>
    <w:sectPr w:rsidR="00D91166" w:rsidRPr="008131E4" w:rsidSect="00D91166">
      <w:footerReference w:type="default" r:id="rId8"/>
      <w:pgSz w:w="11906" w:h="16838"/>
      <w:pgMar w:top="1276"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BDA" w:rsidRDefault="00014BDA" w:rsidP="00CA1940">
      <w:r>
        <w:separator/>
      </w:r>
    </w:p>
  </w:endnote>
  <w:endnote w:type="continuationSeparator" w:id="0">
    <w:p w:rsidR="00014BDA" w:rsidRDefault="00014BDA" w:rsidP="00CA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93059"/>
      <w:docPartObj>
        <w:docPartGallery w:val="Page Numbers (Bottom of Page)"/>
        <w:docPartUnique/>
      </w:docPartObj>
    </w:sdtPr>
    <w:sdtEndPr/>
    <w:sdtContent>
      <w:sdt>
        <w:sdtPr>
          <w:id w:val="1728636285"/>
          <w:docPartObj>
            <w:docPartGallery w:val="Page Numbers (Top of Page)"/>
            <w:docPartUnique/>
          </w:docPartObj>
        </w:sdtPr>
        <w:sdtEndPr/>
        <w:sdtContent>
          <w:p w:rsidR="00CA1940" w:rsidRDefault="00CA1940">
            <w:pPr>
              <w:pStyle w:val="Footer"/>
              <w:jc w:val="center"/>
            </w:pPr>
            <w:r w:rsidRPr="00CA1940">
              <w:rPr>
                <w:bCs/>
              </w:rPr>
              <w:fldChar w:fldCharType="begin"/>
            </w:r>
            <w:r w:rsidRPr="00CA1940">
              <w:rPr>
                <w:bCs/>
              </w:rPr>
              <w:instrText xml:space="preserve"> PAGE </w:instrText>
            </w:r>
            <w:r w:rsidRPr="00CA1940">
              <w:rPr>
                <w:bCs/>
              </w:rPr>
              <w:fldChar w:fldCharType="separate"/>
            </w:r>
            <w:r w:rsidR="00C95DA6">
              <w:rPr>
                <w:bCs/>
                <w:noProof/>
              </w:rPr>
              <w:t>6</w:t>
            </w:r>
            <w:r w:rsidRPr="00CA1940">
              <w:rPr>
                <w:bCs/>
              </w:rPr>
              <w:fldChar w:fldCharType="end"/>
            </w:r>
            <w:r w:rsidRPr="00CA1940">
              <w:t xml:space="preserve"> no </w:t>
            </w:r>
            <w:r w:rsidRPr="00CA1940">
              <w:rPr>
                <w:bCs/>
              </w:rPr>
              <w:fldChar w:fldCharType="begin"/>
            </w:r>
            <w:r w:rsidRPr="00CA1940">
              <w:rPr>
                <w:bCs/>
              </w:rPr>
              <w:instrText xml:space="preserve"> NUMPAGES  </w:instrText>
            </w:r>
            <w:r w:rsidRPr="00CA1940">
              <w:rPr>
                <w:bCs/>
              </w:rPr>
              <w:fldChar w:fldCharType="separate"/>
            </w:r>
            <w:r w:rsidR="00C95DA6">
              <w:rPr>
                <w:bCs/>
                <w:noProof/>
              </w:rPr>
              <w:t>6</w:t>
            </w:r>
            <w:r w:rsidRPr="00CA1940">
              <w:rPr>
                <w:bCs/>
              </w:rPr>
              <w:fldChar w:fldCharType="end"/>
            </w:r>
          </w:p>
        </w:sdtContent>
      </w:sdt>
    </w:sdtContent>
  </w:sdt>
  <w:p w:rsidR="00CA1940" w:rsidRDefault="00CA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BDA" w:rsidRDefault="00014BDA" w:rsidP="00CA1940">
      <w:r>
        <w:separator/>
      </w:r>
    </w:p>
  </w:footnote>
  <w:footnote w:type="continuationSeparator" w:id="0">
    <w:p w:rsidR="00014BDA" w:rsidRDefault="00014BDA" w:rsidP="00CA1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C5"/>
    <w:rsid w:val="000144EE"/>
    <w:rsid w:val="00014BDA"/>
    <w:rsid w:val="0001545C"/>
    <w:rsid w:val="00017BCD"/>
    <w:rsid w:val="00024700"/>
    <w:rsid w:val="000274BA"/>
    <w:rsid w:val="0003703A"/>
    <w:rsid w:val="000425C3"/>
    <w:rsid w:val="000441C5"/>
    <w:rsid w:val="000447C6"/>
    <w:rsid w:val="0005059F"/>
    <w:rsid w:val="00067482"/>
    <w:rsid w:val="00077C8B"/>
    <w:rsid w:val="000A2C32"/>
    <w:rsid w:val="000A3CE6"/>
    <w:rsid w:val="000A540E"/>
    <w:rsid w:val="000B16A7"/>
    <w:rsid w:val="000B3612"/>
    <w:rsid w:val="000B434B"/>
    <w:rsid w:val="000D5FFF"/>
    <w:rsid w:val="000E361F"/>
    <w:rsid w:val="000E7B0B"/>
    <w:rsid w:val="0013411B"/>
    <w:rsid w:val="001347A5"/>
    <w:rsid w:val="00141479"/>
    <w:rsid w:val="00155F01"/>
    <w:rsid w:val="0015675F"/>
    <w:rsid w:val="00160B66"/>
    <w:rsid w:val="00167C65"/>
    <w:rsid w:val="00174AEB"/>
    <w:rsid w:val="00182A60"/>
    <w:rsid w:val="00183E74"/>
    <w:rsid w:val="00186AB2"/>
    <w:rsid w:val="001A69BD"/>
    <w:rsid w:val="001B3E41"/>
    <w:rsid w:val="001B4478"/>
    <w:rsid w:val="001B51DE"/>
    <w:rsid w:val="001B522B"/>
    <w:rsid w:val="001C67A0"/>
    <w:rsid w:val="001D103E"/>
    <w:rsid w:val="001F5635"/>
    <w:rsid w:val="00200F64"/>
    <w:rsid w:val="002373DB"/>
    <w:rsid w:val="0024071B"/>
    <w:rsid w:val="0024266B"/>
    <w:rsid w:val="00244C58"/>
    <w:rsid w:val="002714E7"/>
    <w:rsid w:val="002821ED"/>
    <w:rsid w:val="00292A65"/>
    <w:rsid w:val="002949EC"/>
    <w:rsid w:val="002A6317"/>
    <w:rsid w:val="002B3598"/>
    <w:rsid w:val="002B5E8F"/>
    <w:rsid w:val="002D66CA"/>
    <w:rsid w:val="002F7D87"/>
    <w:rsid w:val="00301BCE"/>
    <w:rsid w:val="00303012"/>
    <w:rsid w:val="00304212"/>
    <w:rsid w:val="00313982"/>
    <w:rsid w:val="00315B03"/>
    <w:rsid w:val="00316640"/>
    <w:rsid w:val="00330642"/>
    <w:rsid w:val="00330818"/>
    <w:rsid w:val="00351BE6"/>
    <w:rsid w:val="00366B24"/>
    <w:rsid w:val="003670DC"/>
    <w:rsid w:val="00373A9A"/>
    <w:rsid w:val="00377FC8"/>
    <w:rsid w:val="003856A1"/>
    <w:rsid w:val="003B3FD5"/>
    <w:rsid w:val="003B6159"/>
    <w:rsid w:val="003D22AF"/>
    <w:rsid w:val="003D7FBA"/>
    <w:rsid w:val="003E3126"/>
    <w:rsid w:val="003F094E"/>
    <w:rsid w:val="004015B2"/>
    <w:rsid w:val="00420FFF"/>
    <w:rsid w:val="004310EA"/>
    <w:rsid w:val="0044287E"/>
    <w:rsid w:val="0044659D"/>
    <w:rsid w:val="004507BB"/>
    <w:rsid w:val="0046010A"/>
    <w:rsid w:val="00463285"/>
    <w:rsid w:val="004808C2"/>
    <w:rsid w:val="004816DF"/>
    <w:rsid w:val="00482DC0"/>
    <w:rsid w:val="004C06EC"/>
    <w:rsid w:val="004C1FEE"/>
    <w:rsid w:val="004C3BFE"/>
    <w:rsid w:val="004C5F8C"/>
    <w:rsid w:val="004D0911"/>
    <w:rsid w:val="004D6CB7"/>
    <w:rsid w:val="004D71E8"/>
    <w:rsid w:val="004E661A"/>
    <w:rsid w:val="004F19AD"/>
    <w:rsid w:val="005028F9"/>
    <w:rsid w:val="00520B4F"/>
    <w:rsid w:val="00565E5B"/>
    <w:rsid w:val="0057068A"/>
    <w:rsid w:val="00577F00"/>
    <w:rsid w:val="005955FB"/>
    <w:rsid w:val="00595C76"/>
    <w:rsid w:val="00597B03"/>
    <w:rsid w:val="005A700E"/>
    <w:rsid w:val="005B560E"/>
    <w:rsid w:val="005B7B5B"/>
    <w:rsid w:val="005D093A"/>
    <w:rsid w:val="005D39C7"/>
    <w:rsid w:val="005E6977"/>
    <w:rsid w:val="005F2A17"/>
    <w:rsid w:val="005F2E32"/>
    <w:rsid w:val="006051E8"/>
    <w:rsid w:val="006202E4"/>
    <w:rsid w:val="00621078"/>
    <w:rsid w:val="006270D8"/>
    <w:rsid w:val="00636187"/>
    <w:rsid w:val="006418D1"/>
    <w:rsid w:val="006504FE"/>
    <w:rsid w:val="00655CC7"/>
    <w:rsid w:val="0065663A"/>
    <w:rsid w:val="006750E9"/>
    <w:rsid w:val="00682D93"/>
    <w:rsid w:val="006B5CD1"/>
    <w:rsid w:val="006D632D"/>
    <w:rsid w:val="006E2322"/>
    <w:rsid w:val="006E2868"/>
    <w:rsid w:val="006E3200"/>
    <w:rsid w:val="006F301A"/>
    <w:rsid w:val="006F60EF"/>
    <w:rsid w:val="00700E6B"/>
    <w:rsid w:val="007044E4"/>
    <w:rsid w:val="00705CBC"/>
    <w:rsid w:val="00710C90"/>
    <w:rsid w:val="0072241C"/>
    <w:rsid w:val="00723C3B"/>
    <w:rsid w:val="0072491C"/>
    <w:rsid w:val="00733185"/>
    <w:rsid w:val="00755840"/>
    <w:rsid w:val="00771A74"/>
    <w:rsid w:val="00772EDA"/>
    <w:rsid w:val="007731D9"/>
    <w:rsid w:val="007757B0"/>
    <w:rsid w:val="007770D6"/>
    <w:rsid w:val="0079389C"/>
    <w:rsid w:val="007955E2"/>
    <w:rsid w:val="007A3E13"/>
    <w:rsid w:val="007A59A6"/>
    <w:rsid w:val="007B1D99"/>
    <w:rsid w:val="007E6B89"/>
    <w:rsid w:val="007E7FE7"/>
    <w:rsid w:val="007F0E1B"/>
    <w:rsid w:val="007F46FF"/>
    <w:rsid w:val="008047FB"/>
    <w:rsid w:val="00807D02"/>
    <w:rsid w:val="008131E4"/>
    <w:rsid w:val="008406EF"/>
    <w:rsid w:val="00852C39"/>
    <w:rsid w:val="00855EEF"/>
    <w:rsid w:val="008569DB"/>
    <w:rsid w:val="00871BC4"/>
    <w:rsid w:val="00883257"/>
    <w:rsid w:val="008A0DCB"/>
    <w:rsid w:val="008A16F1"/>
    <w:rsid w:val="008A2668"/>
    <w:rsid w:val="008B194A"/>
    <w:rsid w:val="008B1CC8"/>
    <w:rsid w:val="008B7454"/>
    <w:rsid w:val="008B7AFC"/>
    <w:rsid w:val="008C6FC5"/>
    <w:rsid w:val="008D4EA4"/>
    <w:rsid w:val="008E53B6"/>
    <w:rsid w:val="009024CE"/>
    <w:rsid w:val="009044E0"/>
    <w:rsid w:val="009048A2"/>
    <w:rsid w:val="00905DFD"/>
    <w:rsid w:val="00911D9D"/>
    <w:rsid w:val="009277C9"/>
    <w:rsid w:val="009302EA"/>
    <w:rsid w:val="00931527"/>
    <w:rsid w:val="00933FD6"/>
    <w:rsid w:val="009365B4"/>
    <w:rsid w:val="0095164F"/>
    <w:rsid w:val="00954966"/>
    <w:rsid w:val="00957610"/>
    <w:rsid w:val="00960612"/>
    <w:rsid w:val="00964A6B"/>
    <w:rsid w:val="009661C2"/>
    <w:rsid w:val="00966304"/>
    <w:rsid w:val="009820C8"/>
    <w:rsid w:val="009824CB"/>
    <w:rsid w:val="009841B4"/>
    <w:rsid w:val="00984E9C"/>
    <w:rsid w:val="009A0E6F"/>
    <w:rsid w:val="009B22D6"/>
    <w:rsid w:val="009B72DF"/>
    <w:rsid w:val="009C79FF"/>
    <w:rsid w:val="009D60D8"/>
    <w:rsid w:val="009E4974"/>
    <w:rsid w:val="009E5123"/>
    <w:rsid w:val="00A072D7"/>
    <w:rsid w:val="00A12F46"/>
    <w:rsid w:val="00A26D6F"/>
    <w:rsid w:val="00A37435"/>
    <w:rsid w:val="00A52954"/>
    <w:rsid w:val="00A60E7D"/>
    <w:rsid w:val="00A6193F"/>
    <w:rsid w:val="00A66DEE"/>
    <w:rsid w:val="00A75B38"/>
    <w:rsid w:val="00A82087"/>
    <w:rsid w:val="00A943E8"/>
    <w:rsid w:val="00AA067E"/>
    <w:rsid w:val="00AA1CE7"/>
    <w:rsid w:val="00AA39FA"/>
    <w:rsid w:val="00AC6392"/>
    <w:rsid w:val="00AE34DE"/>
    <w:rsid w:val="00B00C66"/>
    <w:rsid w:val="00B06372"/>
    <w:rsid w:val="00B25ECC"/>
    <w:rsid w:val="00B41442"/>
    <w:rsid w:val="00B5109A"/>
    <w:rsid w:val="00B667B1"/>
    <w:rsid w:val="00B70461"/>
    <w:rsid w:val="00B80B3D"/>
    <w:rsid w:val="00B86582"/>
    <w:rsid w:val="00BA2EB0"/>
    <w:rsid w:val="00BC1ECA"/>
    <w:rsid w:val="00BD3DEF"/>
    <w:rsid w:val="00BF46AA"/>
    <w:rsid w:val="00C04BAD"/>
    <w:rsid w:val="00C102DA"/>
    <w:rsid w:val="00C20B81"/>
    <w:rsid w:val="00C32A00"/>
    <w:rsid w:val="00C602C9"/>
    <w:rsid w:val="00C63EA1"/>
    <w:rsid w:val="00C724D2"/>
    <w:rsid w:val="00C9289D"/>
    <w:rsid w:val="00C92FB4"/>
    <w:rsid w:val="00C95DA6"/>
    <w:rsid w:val="00CA1940"/>
    <w:rsid w:val="00CA5E57"/>
    <w:rsid w:val="00CB4A1F"/>
    <w:rsid w:val="00CC3036"/>
    <w:rsid w:val="00CE65D1"/>
    <w:rsid w:val="00CF04D0"/>
    <w:rsid w:val="00D019C4"/>
    <w:rsid w:val="00D070FF"/>
    <w:rsid w:val="00D177EF"/>
    <w:rsid w:val="00D25B61"/>
    <w:rsid w:val="00D35AEF"/>
    <w:rsid w:val="00D36EC8"/>
    <w:rsid w:val="00D42299"/>
    <w:rsid w:val="00D52FEF"/>
    <w:rsid w:val="00D84442"/>
    <w:rsid w:val="00D84448"/>
    <w:rsid w:val="00D91166"/>
    <w:rsid w:val="00D9312A"/>
    <w:rsid w:val="00DB02F8"/>
    <w:rsid w:val="00DB0DF2"/>
    <w:rsid w:val="00DB11FB"/>
    <w:rsid w:val="00DB4A24"/>
    <w:rsid w:val="00DC5E5A"/>
    <w:rsid w:val="00DD17BD"/>
    <w:rsid w:val="00DD232E"/>
    <w:rsid w:val="00E12A12"/>
    <w:rsid w:val="00E130DF"/>
    <w:rsid w:val="00E15DEA"/>
    <w:rsid w:val="00E310F2"/>
    <w:rsid w:val="00E35C49"/>
    <w:rsid w:val="00E40AAA"/>
    <w:rsid w:val="00E47827"/>
    <w:rsid w:val="00E73FC1"/>
    <w:rsid w:val="00E774AA"/>
    <w:rsid w:val="00E86074"/>
    <w:rsid w:val="00EC1DB0"/>
    <w:rsid w:val="00F2146E"/>
    <w:rsid w:val="00F33F66"/>
    <w:rsid w:val="00F34498"/>
    <w:rsid w:val="00F51185"/>
    <w:rsid w:val="00F87730"/>
    <w:rsid w:val="00FB3348"/>
    <w:rsid w:val="00FC4D8F"/>
    <w:rsid w:val="00FC5EF5"/>
    <w:rsid w:val="00FC757C"/>
    <w:rsid w:val="00FF1E63"/>
    <w:rsid w:val="00FF21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6FC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C6FC5"/>
    <w:pPr>
      <w:jc w:val="right"/>
    </w:pPr>
    <w:rPr>
      <w:rFonts w:ascii="Garamond" w:hAnsi="Garamond"/>
      <w:sz w:val="28"/>
      <w:szCs w:val="28"/>
    </w:rPr>
  </w:style>
  <w:style w:type="character" w:customStyle="1" w:styleId="BodyText2Char">
    <w:name w:val="Body Text 2 Char"/>
    <w:basedOn w:val="DefaultParagraphFont"/>
    <w:link w:val="BodyText2"/>
    <w:rsid w:val="008C6FC5"/>
    <w:rPr>
      <w:rFonts w:ascii="Garamond" w:eastAsia="Times New Roman" w:hAnsi="Garamond" w:cs="Times New Roman"/>
      <w:sz w:val="28"/>
      <w:szCs w:val="28"/>
    </w:rPr>
  </w:style>
  <w:style w:type="paragraph" w:styleId="Header">
    <w:name w:val="header"/>
    <w:basedOn w:val="Normal"/>
    <w:link w:val="HeaderChar"/>
    <w:uiPriority w:val="99"/>
    <w:unhideWhenUsed/>
    <w:rsid w:val="00CA1940"/>
    <w:pPr>
      <w:tabs>
        <w:tab w:val="center" w:pos="4153"/>
        <w:tab w:val="right" w:pos="8306"/>
      </w:tabs>
    </w:pPr>
  </w:style>
  <w:style w:type="character" w:customStyle="1" w:styleId="HeaderChar">
    <w:name w:val="Header Char"/>
    <w:basedOn w:val="DefaultParagraphFont"/>
    <w:link w:val="Header"/>
    <w:uiPriority w:val="99"/>
    <w:rsid w:val="00CA1940"/>
    <w:rPr>
      <w:rFonts w:eastAsia="Times New Roman" w:cs="Times New Roman"/>
      <w:szCs w:val="24"/>
    </w:rPr>
  </w:style>
  <w:style w:type="paragraph" w:styleId="Footer">
    <w:name w:val="footer"/>
    <w:basedOn w:val="Normal"/>
    <w:link w:val="FooterChar"/>
    <w:uiPriority w:val="99"/>
    <w:unhideWhenUsed/>
    <w:rsid w:val="00CA1940"/>
    <w:pPr>
      <w:tabs>
        <w:tab w:val="center" w:pos="4153"/>
        <w:tab w:val="right" w:pos="8306"/>
      </w:tabs>
    </w:pPr>
  </w:style>
  <w:style w:type="character" w:customStyle="1" w:styleId="FooterChar">
    <w:name w:val="Footer Char"/>
    <w:basedOn w:val="DefaultParagraphFont"/>
    <w:link w:val="Footer"/>
    <w:uiPriority w:val="99"/>
    <w:rsid w:val="00CA1940"/>
    <w:rPr>
      <w:rFonts w:eastAsia="Times New Roman" w:cs="Times New Roman"/>
      <w:szCs w:val="24"/>
    </w:rPr>
  </w:style>
  <w:style w:type="table" w:styleId="TableGrid">
    <w:name w:val="Table Grid"/>
    <w:basedOn w:val="TableNormal"/>
    <w:uiPriority w:val="39"/>
    <w:rsid w:val="00F214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0818"/>
    <w:rPr>
      <w:color w:val="0563C1" w:themeColor="hyperlink"/>
      <w:u w:val="single"/>
    </w:rPr>
  </w:style>
  <w:style w:type="paragraph" w:styleId="BalloonText">
    <w:name w:val="Balloon Text"/>
    <w:basedOn w:val="Normal"/>
    <w:link w:val="BalloonTextChar"/>
    <w:uiPriority w:val="99"/>
    <w:semiHidden/>
    <w:unhideWhenUsed/>
    <w:rsid w:val="000A2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C3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33FD6"/>
    <w:rPr>
      <w:color w:val="605E5C"/>
      <w:shd w:val="clear" w:color="auto" w:fill="E1DFDD"/>
    </w:rPr>
  </w:style>
  <w:style w:type="character" w:styleId="UnresolvedMention">
    <w:name w:val="Unresolved Mention"/>
    <w:basedOn w:val="DefaultParagraphFont"/>
    <w:uiPriority w:val="99"/>
    <w:semiHidden/>
    <w:unhideWhenUsed/>
    <w:rsid w:val="0070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9075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5FFE5-B9B8-47BC-AF86-4DC91CDA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10295</Words>
  <Characters>5869</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2019-10-03T12:15:00Z</dcterms:created>
  <dcterms:modified xsi:type="dcterms:W3CDTF">2019-10-03T12:15:00Z</dcterms:modified>
</cp:coreProperties>
</file>