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C5E6" w14:textId="78C255DD" w:rsidR="00FA671A" w:rsidRPr="003F4E91" w:rsidRDefault="003F4E91" w:rsidP="003F4E91">
      <w:pPr>
        <w:spacing w:after="0"/>
        <w:rPr>
          <w:rFonts w:cs="Times New Roman"/>
          <w:b/>
          <w:bCs/>
          <w:szCs w:val="24"/>
          <w:lang w:val="lv-LV"/>
        </w:rPr>
      </w:pPr>
      <w:proofErr w:type="spellStart"/>
      <w:r w:rsidRPr="003F4E91">
        <w:rPr>
          <w:rFonts w:cs="Times New Roman"/>
          <w:b/>
          <w:bCs/>
          <w:color w:val="000000" w:themeColor="text1"/>
          <w:szCs w:val="24"/>
        </w:rPr>
        <w:t>Tiesību</w:t>
      </w:r>
      <w:proofErr w:type="spellEnd"/>
      <w:r w:rsidRPr="003F4E91">
        <w:rPr>
          <w:rFonts w:cs="Times New Roman"/>
          <w:b/>
          <w:bCs/>
          <w:color w:val="000000" w:themeColor="text1"/>
          <w:szCs w:val="24"/>
        </w:rPr>
        <w:t xml:space="preserve"> </w:t>
      </w:r>
      <w:proofErr w:type="spellStart"/>
      <w:r w:rsidRPr="003F4E91">
        <w:rPr>
          <w:rFonts w:cs="Times New Roman"/>
          <w:b/>
          <w:bCs/>
          <w:color w:val="000000" w:themeColor="text1"/>
          <w:szCs w:val="24"/>
        </w:rPr>
        <w:t>uzaicināt</w:t>
      </w:r>
      <w:proofErr w:type="spellEnd"/>
      <w:r w:rsidRPr="003F4E91">
        <w:rPr>
          <w:rFonts w:cs="Times New Roman"/>
          <w:b/>
          <w:bCs/>
          <w:color w:val="000000" w:themeColor="text1"/>
          <w:szCs w:val="24"/>
        </w:rPr>
        <w:t xml:space="preserve"> </w:t>
      </w:r>
      <w:proofErr w:type="spellStart"/>
      <w:r w:rsidRPr="003F4E91">
        <w:rPr>
          <w:rFonts w:cs="Times New Roman"/>
          <w:b/>
          <w:bCs/>
          <w:color w:val="000000" w:themeColor="text1"/>
          <w:szCs w:val="24"/>
        </w:rPr>
        <w:t>paša</w:t>
      </w:r>
      <w:proofErr w:type="spellEnd"/>
      <w:r w:rsidRPr="003F4E91">
        <w:rPr>
          <w:rFonts w:cs="Times New Roman"/>
          <w:b/>
          <w:bCs/>
          <w:color w:val="000000" w:themeColor="text1"/>
          <w:szCs w:val="24"/>
        </w:rPr>
        <w:t xml:space="preserve"> </w:t>
      </w:r>
      <w:proofErr w:type="spellStart"/>
      <w:r w:rsidRPr="003F4E91">
        <w:rPr>
          <w:rFonts w:cs="Times New Roman"/>
          <w:b/>
          <w:bCs/>
          <w:color w:val="000000" w:themeColor="text1"/>
          <w:szCs w:val="24"/>
        </w:rPr>
        <w:t>izvēlētu</w:t>
      </w:r>
      <w:proofErr w:type="spellEnd"/>
      <w:r w:rsidRPr="003F4E91">
        <w:rPr>
          <w:rFonts w:cs="Times New Roman"/>
          <w:b/>
          <w:bCs/>
          <w:color w:val="000000" w:themeColor="text1"/>
          <w:szCs w:val="24"/>
        </w:rPr>
        <w:t xml:space="preserve"> </w:t>
      </w:r>
      <w:proofErr w:type="spellStart"/>
      <w:r w:rsidRPr="003F4E91">
        <w:rPr>
          <w:rFonts w:cs="Times New Roman"/>
          <w:b/>
          <w:bCs/>
          <w:color w:val="000000" w:themeColor="text1"/>
          <w:szCs w:val="24"/>
        </w:rPr>
        <w:t>aizstāvi</w:t>
      </w:r>
      <w:proofErr w:type="spellEnd"/>
      <w:r w:rsidRPr="003F4E91">
        <w:rPr>
          <w:rFonts w:cs="Times New Roman"/>
          <w:b/>
          <w:bCs/>
          <w:color w:val="000000" w:themeColor="text1"/>
          <w:szCs w:val="24"/>
        </w:rPr>
        <w:t xml:space="preserve"> </w:t>
      </w:r>
      <w:proofErr w:type="spellStart"/>
      <w:r w:rsidRPr="003F4E91">
        <w:rPr>
          <w:rFonts w:cs="Times New Roman"/>
          <w:b/>
          <w:bCs/>
          <w:color w:val="000000" w:themeColor="text1"/>
          <w:szCs w:val="24"/>
        </w:rPr>
        <w:t>ierobežošana</w:t>
      </w:r>
      <w:proofErr w:type="spellEnd"/>
    </w:p>
    <w:p w14:paraId="3E4A0E6C" w14:textId="36B2CA30" w:rsidR="009B7ECD" w:rsidRPr="009B7ECD" w:rsidRDefault="009B7ECD" w:rsidP="003F4E91">
      <w:pPr>
        <w:pStyle w:val="BodyText2"/>
        <w:spacing w:line="360" w:lineRule="auto"/>
        <w:jc w:val="left"/>
        <w:rPr>
          <w:rFonts w:ascii="Times New Roman" w:hAnsi="Times New Roman"/>
          <w:sz w:val="24"/>
          <w:szCs w:val="24"/>
        </w:rPr>
      </w:pPr>
    </w:p>
    <w:p w14:paraId="0135DD7D" w14:textId="77777777" w:rsidR="00512B9C" w:rsidRPr="003F4E91" w:rsidRDefault="009B7ECD" w:rsidP="003F4E91">
      <w:pPr>
        <w:spacing w:after="0"/>
        <w:jc w:val="center"/>
        <w:rPr>
          <w:rFonts w:cs="Times New Roman"/>
          <w:b/>
          <w:szCs w:val="24"/>
          <w:lang w:val="lv-LV"/>
        </w:rPr>
      </w:pPr>
      <w:r w:rsidRPr="003F4E91">
        <w:rPr>
          <w:rFonts w:cs="Times New Roman"/>
          <w:b/>
          <w:szCs w:val="24"/>
          <w:lang w:val="lv-LV"/>
        </w:rPr>
        <w:t>Latvijas Republikas Senāt</w:t>
      </w:r>
      <w:r w:rsidR="00512B9C" w:rsidRPr="003F4E91">
        <w:rPr>
          <w:rFonts w:cs="Times New Roman"/>
          <w:b/>
          <w:szCs w:val="24"/>
          <w:lang w:val="lv-LV"/>
        </w:rPr>
        <w:t xml:space="preserve">a </w:t>
      </w:r>
    </w:p>
    <w:p w14:paraId="7932C029" w14:textId="77777777" w:rsidR="00512B9C" w:rsidRPr="003F4E91" w:rsidRDefault="00512B9C" w:rsidP="003F4E91">
      <w:pPr>
        <w:spacing w:after="0"/>
        <w:jc w:val="center"/>
        <w:rPr>
          <w:rFonts w:cs="Times New Roman"/>
          <w:b/>
          <w:szCs w:val="24"/>
          <w:lang w:val="lv-LV"/>
        </w:rPr>
      </w:pPr>
      <w:r w:rsidRPr="003F4E91">
        <w:rPr>
          <w:rFonts w:cs="Times New Roman"/>
          <w:b/>
          <w:szCs w:val="24"/>
          <w:lang w:val="lv-LV"/>
        </w:rPr>
        <w:t>Krimināllietu departamenta</w:t>
      </w:r>
    </w:p>
    <w:p w14:paraId="3A180A2B" w14:textId="382D6560" w:rsidR="009B7ECD" w:rsidRPr="003F4E91" w:rsidRDefault="00512B9C" w:rsidP="003F4E91">
      <w:pPr>
        <w:spacing w:after="0"/>
        <w:jc w:val="center"/>
        <w:rPr>
          <w:rFonts w:cs="Times New Roman"/>
          <w:b/>
          <w:szCs w:val="24"/>
          <w:lang w:val="lv-LV"/>
        </w:rPr>
      </w:pPr>
      <w:r w:rsidRPr="003F4E91">
        <w:rPr>
          <w:rFonts w:cs="Times New Roman"/>
          <w:b/>
          <w:szCs w:val="24"/>
          <w:lang w:val="lv-LV"/>
        </w:rPr>
        <w:t xml:space="preserve">2019.gada </w:t>
      </w:r>
      <w:r w:rsidR="003F4E91">
        <w:rPr>
          <w:rFonts w:cs="Times New Roman"/>
          <w:b/>
          <w:szCs w:val="24"/>
          <w:lang w:val="lv-LV"/>
        </w:rPr>
        <w:t>[..]</w:t>
      </w:r>
    </w:p>
    <w:p w14:paraId="27148BDB" w14:textId="6AC80B4A" w:rsidR="00512B9C" w:rsidRPr="003F4E91" w:rsidRDefault="009B7ECD" w:rsidP="003F4E91">
      <w:pPr>
        <w:spacing w:after="0"/>
        <w:jc w:val="center"/>
        <w:rPr>
          <w:rFonts w:cs="Times New Roman"/>
          <w:b/>
          <w:szCs w:val="24"/>
          <w:lang w:val="lv-LV"/>
        </w:rPr>
      </w:pPr>
      <w:r w:rsidRPr="003F4E91">
        <w:rPr>
          <w:rFonts w:cs="Times New Roman"/>
          <w:b/>
          <w:szCs w:val="24"/>
          <w:lang w:val="lv-LV"/>
        </w:rPr>
        <w:t>LĒMUMS</w:t>
      </w:r>
      <w:r w:rsidR="003F4E91">
        <w:rPr>
          <w:rStyle w:val="FootnoteReference"/>
          <w:rFonts w:cs="Times New Roman"/>
          <w:b/>
          <w:szCs w:val="24"/>
          <w:lang w:val="lv-LV"/>
        </w:rPr>
        <w:footnoteReference w:id="1"/>
      </w:r>
      <w:r w:rsidR="00512B9C" w:rsidRPr="003F4E91">
        <w:rPr>
          <w:rFonts w:cs="Times New Roman"/>
          <w:b/>
          <w:szCs w:val="24"/>
          <w:lang w:val="lv-LV"/>
        </w:rPr>
        <w:t xml:space="preserve"> </w:t>
      </w:r>
    </w:p>
    <w:p w14:paraId="474AF1A8" w14:textId="1D66D40C" w:rsidR="009B7ECD" w:rsidRPr="003F4E91" w:rsidRDefault="00512B9C" w:rsidP="003F4E91">
      <w:pPr>
        <w:spacing w:after="0"/>
        <w:jc w:val="center"/>
        <w:rPr>
          <w:rFonts w:cs="Times New Roman"/>
          <w:b/>
          <w:szCs w:val="24"/>
          <w:lang w:val="lv-LV"/>
        </w:rPr>
      </w:pPr>
      <w:r w:rsidRPr="003F4E91">
        <w:rPr>
          <w:rFonts w:cs="Times New Roman"/>
          <w:b/>
          <w:szCs w:val="24"/>
          <w:lang w:val="lv-LV"/>
        </w:rPr>
        <w:t>Lieta Nr. </w:t>
      </w:r>
      <w:r w:rsidR="003F4E91">
        <w:rPr>
          <w:rFonts w:cs="Times New Roman"/>
          <w:b/>
          <w:szCs w:val="24"/>
          <w:lang w:val="lv-LV"/>
        </w:rPr>
        <w:t>[..]</w:t>
      </w:r>
      <w:r w:rsidRPr="003F4E91">
        <w:rPr>
          <w:rFonts w:cs="Times New Roman"/>
          <w:b/>
          <w:szCs w:val="24"/>
          <w:lang w:val="lv-LV"/>
        </w:rPr>
        <w:t>, SKK</w:t>
      </w:r>
      <w:r w:rsidRPr="003F4E91">
        <w:rPr>
          <w:rFonts w:cs="Times New Roman"/>
          <w:b/>
          <w:szCs w:val="24"/>
          <w:lang w:val="lv-LV"/>
        </w:rPr>
        <w:noBreakHyphen/>
      </w:r>
      <w:r w:rsidR="003F4E91">
        <w:rPr>
          <w:rFonts w:cs="Times New Roman"/>
          <w:b/>
          <w:szCs w:val="24"/>
          <w:lang w:val="lv-LV"/>
        </w:rPr>
        <w:t>[J]</w:t>
      </w:r>
      <w:r w:rsidRPr="003F4E91">
        <w:rPr>
          <w:rFonts w:cs="Times New Roman"/>
          <w:b/>
          <w:szCs w:val="24"/>
          <w:lang w:val="lv-LV"/>
        </w:rPr>
        <w:t>/2019</w:t>
      </w:r>
    </w:p>
    <w:p w14:paraId="4C93EDBE" w14:textId="71DBE770" w:rsidR="00512B9C" w:rsidRPr="00512B9C" w:rsidRDefault="00512B9C" w:rsidP="003F4E91">
      <w:pPr>
        <w:spacing w:after="0"/>
        <w:jc w:val="center"/>
        <w:rPr>
          <w:rFonts w:cs="Times New Roman"/>
          <w:b/>
          <w:szCs w:val="24"/>
          <w:lang w:val="lv-LV"/>
        </w:rPr>
      </w:pPr>
      <w:r w:rsidRPr="00512B9C">
        <w:rPr>
          <w:rFonts w:cs="Times New Roman"/>
          <w:color w:val="000000"/>
          <w:szCs w:val="24"/>
          <w:shd w:val="clear" w:color="auto" w:fill="FFFFFF"/>
        </w:rPr>
        <w:t>ECLI:LV:AT:</w:t>
      </w:r>
      <w:proofErr w:type="gramStart"/>
      <w:r w:rsidRPr="00512B9C">
        <w:rPr>
          <w:rFonts w:cs="Times New Roman"/>
          <w:color w:val="000000"/>
          <w:szCs w:val="24"/>
          <w:shd w:val="clear" w:color="auto" w:fill="FFFFFF"/>
        </w:rPr>
        <w:t>2019:</w:t>
      </w:r>
      <w:r w:rsidR="003F4E91">
        <w:rPr>
          <w:rFonts w:cs="Times New Roman"/>
          <w:color w:val="000000"/>
          <w:szCs w:val="24"/>
          <w:shd w:val="clear" w:color="auto" w:fill="FFFFFF"/>
        </w:rPr>
        <w:t>[..]</w:t>
      </w:r>
      <w:proofErr w:type="gramEnd"/>
    </w:p>
    <w:p w14:paraId="396A4666" w14:textId="77777777" w:rsidR="009B7ECD" w:rsidRPr="009B7ECD" w:rsidRDefault="009B7ECD" w:rsidP="006522AE">
      <w:pPr>
        <w:spacing w:before="240"/>
        <w:ind w:firstLine="709"/>
        <w:jc w:val="both"/>
        <w:rPr>
          <w:rFonts w:cs="Times New Roman"/>
          <w:szCs w:val="24"/>
          <w:lang w:val="lv-LV"/>
        </w:rPr>
      </w:pPr>
      <w:r w:rsidRPr="009B7ECD">
        <w:rPr>
          <w:rFonts w:cs="Times New Roman"/>
          <w:szCs w:val="24"/>
          <w:lang w:val="lv-LV"/>
        </w:rPr>
        <w:t xml:space="preserve">Tiesa šādā sastāvā: senatori Aivars Uminskis, </w:t>
      </w:r>
      <w:r w:rsidR="006522AE" w:rsidRPr="006522AE">
        <w:rPr>
          <w:rFonts w:cs="Times New Roman"/>
          <w:szCs w:val="24"/>
          <w:lang w:val="lv-LV"/>
        </w:rPr>
        <w:t>Aija Branta</w:t>
      </w:r>
      <w:r w:rsidRPr="009B7ECD">
        <w:rPr>
          <w:rFonts w:cs="Times New Roman"/>
          <w:szCs w:val="24"/>
          <w:lang w:val="lv-LV"/>
        </w:rPr>
        <w:t>, Anita Poļakova</w:t>
      </w:r>
    </w:p>
    <w:p w14:paraId="3D1B9A43" w14:textId="0B9E0DF1" w:rsidR="009B7ECD" w:rsidRPr="009B7ECD" w:rsidRDefault="009B7ECD" w:rsidP="00355566">
      <w:pPr>
        <w:spacing w:after="0"/>
        <w:ind w:firstLine="709"/>
        <w:jc w:val="both"/>
        <w:rPr>
          <w:rFonts w:cs="Times New Roman"/>
          <w:szCs w:val="24"/>
          <w:lang w:val="lv-LV"/>
        </w:rPr>
      </w:pPr>
      <w:r w:rsidRPr="009B7ECD">
        <w:rPr>
          <w:rFonts w:cs="Times New Roman"/>
          <w:szCs w:val="24"/>
          <w:lang w:val="lv-LV"/>
        </w:rPr>
        <w:t>izskatīja rakstveida procesā krimināllietu sak</w:t>
      </w:r>
      <w:r>
        <w:rPr>
          <w:rFonts w:cs="Times New Roman"/>
          <w:szCs w:val="24"/>
          <w:lang w:val="lv-LV"/>
        </w:rPr>
        <w:t xml:space="preserve">arā ar apsūdzētā </w:t>
      </w:r>
      <w:r w:rsidR="008C5C54">
        <w:rPr>
          <w:rFonts w:cs="Times New Roman"/>
          <w:szCs w:val="24"/>
          <w:lang w:val="lv-LV"/>
        </w:rPr>
        <w:t>[pers. A]</w:t>
      </w:r>
      <w:r>
        <w:rPr>
          <w:rFonts w:cs="Times New Roman"/>
          <w:szCs w:val="24"/>
          <w:lang w:val="lv-LV"/>
        </w:rPr>
        <w:t xml:space="preserve"> un viņa</w:t>
      </w:r>
      <w:r w:rsidRPr="009B7ECD">
        <w:rPr>
          <w:rFonts w:cs="Times New Roman"/>
          <w:szCs w:val="24"/>
          <w:lang w:val="lv-LV"/>
        </w:rPr>
        <w:t xml:space="preserve"> aizs</w:t>
      </w:r>
      <w:r>
        <w:rPr>
          <w:rFonts w:cs="Times New Roman"/>
          <w:szCs w:val="24"/>
          <w:lang w:val="lv-LV"/>
        </w:rPr>
        <w:t xml:space="preserve">tāvja Jāņa </w:t>
      </w:r>
      <w:proofErr w:type="spellStart"/>
      <w:r>
        <w:rPr>
          <w:rFonts w:cs="Times New Roman"/>
          <w:szCs w:val="24"/>
          <w:lang w:val="lv-LV"/>
        </w:rPr>
        <w:t>Ernstsona</w:t>
      </w:r>
      <w:proofErr w:type="spellEnd"/>
      <w:r>
        <w:rPr>
          <w:rFonts w:cs="Times New Roman"/>
          <w:szCs w:val="24"/>
          <w:lang w:val="lv-LV"/>
        </w:rPr>
        <w:t xml:space="preserve"> kasācijas sūdzībām par </w:t>
      </w:r>
      <w:r w:rsidR="008C5C54">
        <w:rPr>
          <w:rFonts w:cs="Times New Roman"/>
          <w:szCs w:val="24"/>
          <w:lang w:val="lv-LV"/>
        </w:rPr>
        <w:t>[..]</w:t>
      </w:r>
      <w:r>
        <w:rPr>
          <w:rFonts w:cs="Times New Roman"/>
          <w:szCs w:val="24"/>
          <w:lang w:val="lv-LV"/>
        </w:rPr>
        <w:t xml:space="preserve"> apgabaltiesas 2019.gada </w:t>
      </w:r>
      <w:r w:rsidR="008C5C54">
        <w:rPr>
          <w:rFonts w:cs="Times New Roman"/>
          <w:szCs w:val="24"/>
          <w:lang w:val="lv-LV"/>
        </w:rPr>
        <w:t>[..]</w:t>
      </w:r>
      <w:r w:rsidR="00B634D9">
        <w:rPr>
          <w:rFonts w:cs="Times New Roman"/>
          <w:szCs w:val="24"/>
          <w:lang w:val="lv-LV"/>
        </w:rPr>
        <w:t xml:space="preserve"> spriedumu</w:t>
      </w:r>
      <w:r w:rsidRPr="009B7ECD">
        <w:rPr>
          <w:rFonts w:cs="Times New Roman"/>
          <w:szCs w:val="24"/>
          <w:lang w:val="lv-LV"/>
        </w:rPr>
        <w:t>.</w:t>
      </w:r>
    </w:p>
    <w:p w14:paraId="09C41535" w14:textId="77777777" w:rsidR="00D50423" w:rsidRDefault="00D50423" w:rsidP="00355566">
      <w:pPr>
        <w:autoSpaceDE w:val="0"/>
        <w:autoSpaceDN w:val="0"/>
        <w:adjustRightInd w:val="0"/>
        <w:spacing w:after="0"/>
        <w:jc w:val="center"/>
        <w:rPr>
          <w:rFonts w:cs="Times New Roman"/>
          <w:b/>
          <w:bCs/>
          <w:szCs w:val="24"/>
          <w:lang w:val="lv-LV"/>
        </w:rPr>
      </w:pPr>
    </w:p>
    <w:p w14:paraId="66F9C2B2" w14:textId="5E089189" w:rsidR="009B7ECD" w:rsidRDefault="009B7ECD" w:rsidP="00355566">
      <w:pPr>
        <w:autoSpaceDE w:val="0"/>
        <w:autoSpaceDN w:val="0"/>
        <w:adjustRightInd w:val="0"/>
        <w:spacing w:after="0"/>
        <w:jc w:val="center"/>
        <w:rPr>
          <w:rFonts w:cs="Times New Roman"/>
          <w:b/>
          <w:bCs/>
          <w:szCs w:val="24"/>
          <w:lang w:val="lv-LV"/>
        </w:rPr>
      </w:pPr>
      <w:bookmarkStart w:id="0" w:name="_GoBack"/>
      <w:bookmarkEnd w:id="0"/>
      <w:r w:rsidRPr="009B7ECD">
        <w:rPr>
          <w:rFonts w:cs="Times New Roman"/>
          <w:b/>
          <w:bCs/>
          <w:szCs w:val="24"/>
          <w:lang w:val="lv-LV"/>
        </w:rPr>
        <w:t>Aprakstošā daļa</w:t>
      </w:r>
    </w:p>
    <w:p w14:paraId="70C09BED" w14:textId="77777777" w:rsidR="00355566" w:rsidRPr="009B7ECD" w:rsidRDefault="00355566" w:rsidP="00355566">
      <w:pPr>
        <w:autoSpaceDE w:val="0"/>
        <w:autoSpaceDN w:val="0"/>
        <w:adjustRightInd w:val="0"/>
        <w:spacing w:after="0"/>
        <w:jc w:val="center"/>
        <w:rPr>
          <w:rFonts w:cs="Times New Roman"/>
          <w:b/>
          <w:bCs/>
          <w:szCs w:val="24"/>
          <w:lang w:val="lv-LV"/>
        </w:rPr>
      </w:pPr>
    </w:p>
    <w:p w14:paraId="16AF1603" w14:textId="4DE1B2EB" w:rsidR="009B7ECD" w:rsidRPr="009B7ECD" w:rsidRDefault="009B7ECD" w:rsidP="006522AE">
      <w:pPr>
        <w:spacing w:after="0"/>
        <w:ind w:firstLine="709"/>
        <w:jc w:val="both"/>
        <w:rPr>
          <w:rFonts w:cs="Times New Roman"/>
          <w:szCs w:val="24"/>
          <w:lang w:val="lv-LV"/>
        </w:rPr>
      </w:pPr>
      <w:r>
        <w:rPr>
          <w:rFonts w:cs="Times New Roman"/>
          <w:szCs w:val="24"/>
          <w:lang w:val="lv-LV"/>
        </w:rPr>
        <w:t xml:space="preserve">[1] Ar </w:t>
      </w:r>
      <w:r w:rsidR="008C5C54">
        <w:t>[</w:t>
      </w:r>
      <w:proofErr w:type="spellStart"/>
      <w:r w:rsidR="008C5C54">
        <w:t>rajona</w:t>
      </w:r>
      <w:proofErr w:type="spellEnd"/>
      <w:r w:rsidR="008C5C54">
        <w:t xml:space="preserve"> (</w:t>
      </w:r>
      <w:proofErr w:type="spellStart"/>
      <w:r w:rsidR="008C5C54">
        <w:t>pilsētas</w:t>
      </w:r>
      <w:proofErr w:type="spellEnd"/>
      <w:r w:rsidR="008C5C54">
        <w:t>)]</w:t>
      </w:r>
      <w:r w:rsidR="0063504A">
        <w:t xml:space="preserve"> </w:t>
      </w:r>
      <w:r>
        <w:rPr>
          <w:rFonts w:cs="Times New Roman"/>
          <w:szCs w:val="24"/>
          <w:lang w:val="lv-LV"/>
        </w:rPr>
        <w:t xml:space="preserve">tiesas 2019.gada </w:t>
      </w:r>
      <w:r w:rsidR="008C5C54">
        <w:rPr>
          <w:rFonts w:cs="Times New Roman"/>
          <w:szCs w:val="24"/>
          <w:lang w:val="lv-LV"/>
        </w:rPr>
        <w:t>[..]</w:t>
      </w:r>
      <w:r w:rsidRPr="009B7ECD">
        <w:rPr>
          <w:rFonts w:cs="Times New Roman"/>
          <w:szCs w:val="24"/>
          <w:lang w:val="lv-LV"/>
        </w:rPr>
        <w:t xml:space="preserve"> spriedumu</w:t>
      </w:r>
    </w:p>
    <w:p w14:paraId="55EC216B" w14:textId="11C39543" w:rsidR="009B7ECD" w:rsidRPr="009B7ECD" w:rsidRDefault="008C5C54" w:rsidP="006522AE">
      <w:pPr>
        <w:spacing w:after="0"/>
        <w:ind w:firstLine="709"/>
        <w:jc w:val="both"/>
        <w:rPr>
          <w:rFonts w:cs="Times New Roman"/>
          <w:szCs w:val="24"/>
          <w:lang w:val="lv-LV"/>
        </w:rPr>
      </w:pPr>
      <w:r>
        <w:rPr>
          <w:rFonts w:cs="Times New Roman"/>
          <w:szCs w:val="24"/>
          <w:lang w:val="lv-LV"/>
        </w:rPr>
        <w:t>[pers. A]</w:t>
      </w:r>
      <w:r w:rsidR="009B7ECD">
        <w:rPr>
          <w:rFonts w:cs="Times New Roman"/>
          <w:szCs w:val="24"/>
          <w:lang w:val="lv-LV"/>
        </w:rPr>
        <w:t xml:space="preserve">, personas kods </w:t>
      </w:r>
      <w:r>
        <w:rPr>
          <w:rFonts w:cs="Times New Roman"/>
          <w:szCs w:val="24"/>
          <w:lang w:val="lv-LV"/>
        </w:rPr>
        <w:t>[..]</w:t>
      </w:r>
      <w:r w:rsidR="009B7ECD" w:rsidRPr="009B7ECD">
        <w:rPr>
          <w:rFonts w:cs="Times New Roman"/>
          <w:szCs w:val="24"/>
          <w:lang w:val="lv-LV"/>
        </w:rPr>
        <w:t>,</w:t>
      </w:r>
    </w:p>
    <w:p w14:paraId="5ECAE5C7" w14:textId="77777777" w:rsidR="009B7ECD" w:rsidRPr="009B7ECD" w:rsidRDefault="009B7ECD" w:rsidP="006522AE">
      <w:pPr>
        <w:spacing w:after="0"/>
        <w:ind w:firstLine="709"/>
        <w:jc w:val="both"/>
        <w:rPr>
          <w:rFonts w:cs="Times New Roman"/>
          <w:szCs w:val="24"/>
          <w:lang w:val="lv-LV"/>
        </w:rPr>
      </w:pPr>
      <w:r w:rsidRPr="009B7ECD">
        <w:rPr>
          <w:rFonts w:cs="Times New Roman"/>
          <w:szCs w:val="24"/>
          <w:lang w:val="lv-LV"/>
        </w:rPr>
        <w:t>atzī</w:t>
      </w:r>
      <w:r>
        <w:rPr>
          <w:rFonts w:cs="Times New Roman"/>
          <w:szCs w:val="24"/>
          <w:lang w:val="lv-LV"/>
        </w:rPr>
        <w:t>ts par vainīgu Krimināllikuma 1</w:t>
      </w:r>
      <w:r w:rsidRPr="009B7ECD">
        <w:rPr>
          <w:rFonts w:cs="Times New Roman"/>
          <w:szCs w:val="24"/>
          <w:lang w:val="lv-LV"/>
        </w:rPr>
        <w:t>5</w:t>
      </w:r>
      <w:r>
        <w:rPr>
          <w:rFonts w:cs="Times New Roman"/>
          <w:szCs w:val="24"/>
          <w:lang w:val="lv-LV"/>
        </w:rPr>
        <w:t>9.panta pirmaj</w:t>
      </w:r>
      <w:r w:rsidRPr="009B7ECD">
        <w:rPr>
          <w:rFonts w:cs="Times New Roman"/>
          <w:szCs w:val="24"/>
          <w:lang w:val="lv-LV"/>
        </w:rPr>
        <w:t>ā daļā paredzētajā noziedzīgajā nodarījumā un s</w:t>
      </w:r>
      <w:r>
        <w:rPr>
          <w:rFonts w:cs="Times New Roman"/>
          <w:szCs w:val="24"/>
          <w:lang w:val="lv-LV"/>
        </w:rPr>
        <w:t>odīts ar brīvības atņemšanu uz 7</w:t>
      </w:r>
      <w:r w:rsidRPr="009B7ECD">
        <w:rPr>
          <w:rFonts w:cs="Times New Roman"/>
          <w:szCs w:val="24"/>
          <w:lang w:val="lv-LV"/>
        </w:rPr>
        <w:t xml:space="preserve"> gadiem </w:t>
      </w:r>
      <w:r>
        <w:rPr>
          <w:rFonts w:cs="Times New Roman"/>
          <w:szCs w:val="24"/>
          <w:lang w:val="lv-LV"/>
        </w:rPr>
        <w:t>un ar probācijas uzraudzību uz 3</w:t>
      </w:r>
      <w:r w:rsidRPr="009B7ECD">
        <w:rPr>
          <w:rFonts w:cs="Times New Roman"/>
          <w:szCs w:val="24"/>
          <w:lang w:val="lv-LV"/>
        </w:rPr>
        <w:t xml:space="preserve"> gadiem. </w:t>
      </w:r>
    </w:p>
    <w:p w14:paraId="28DDF051" w14:textId="2982E5C0" w:rsidR="009B7ECD" w:rsidRPr="009B7ECD" w:rsidRDefault="009B7ECD" w:rsidP="006522AE">
      <w:pPr>
        <w:spacing w:after="0"/>
        <w:ind w:firstLine="709"/>
        <w:jc w:val="both"/>
        <w:rPr>
          <w:rFonts w:cs="Times New Roman"/>
          <w:szCs w:val="24"/>
          <w:lang w:val="lv-LV"/>
        </w:rPr>
      </w:pPr>
      <w:r w:rsidRPr="009B7ECD">
        <w:rPr>
          <w:rFonts w:cs="Times New Roman"/>
          <w:szCs w:val="24"/>
          <w:lang w:val="lv-LV"/>
        </w:rPr>
        <w:t xml:space="preserve">Saskaņā ar Krimināllikuma 52.pantu soda laikā </w:t>
      </w:r>
      <w:r w:rsidR="0063504A">
        <w:rPr>
          <w:rFonts w:cs="Times New Roman"/>
          <w:szCs w:val="24"/>
          <w:lang w:val="lv-LV"/>
        </w:rPr>
        <w:t>[pers. </w:t>
      </w:r>
      <w:r w:rsidR="0063504A" w:rsidRPr="0063504A">
        <w:rPr>
          <w:lang w:val="lv-LV"/>
        </w:rPr>
        <w:t>A]</w:t>
      </w:r>
      <w:r w:rsidRPr="009B7ECD">
        <w:rPr>
          <w:rFonts w:cs="Times New Roman"/>
          <w:szCs w:val="24"/>
          <w:lang w:val="lv-LV"/>
        </w:rPr>
        <w:t xml:space="preserve"> ieskaitīts aizturēšanā un apcietinājumā pavadītais laiks</w:t>
      </w:r>
      <w:r>
        <w:rPr>
          <w:rFonts w:cs="Times New Roman"/>
          <w:szCs w:val="24"/>
          <w:lang w:val="lv-LV"/>
        </w:rPr>
        <w:t xml:space="preserve"> no </w:t>
      </w:r>
      <w:r w:rsidR="0063504A">
        <w:rPr>
          <w:rFonts w:cs="Times New Roman"/>
          <w:szCs w:val="24"/>
          <w:lang w:val="lv-LV"/>
        </w:rPr>
        <w:t>[..]</w:t>
      </w:r>
      <w:r>
        <w:rPr>
          <w:rFonts w:cs="Times New Roman"/>
          <w:szCs w:val="24"/>
          <w:lang w:val="lv-LV"/>
        </w:rPr>
        <w:t xml:space="preserve"> līdz </w:t>
      </w:r>
      <w:r w:rsidR="0063504A">
        <w:rPr>
          <w:rFonts w:cs="Times New Roman"/>
          <w:szCs w:val="24"/>
          <w:lang w:val="lv-LV"/>
        </w:rPr>
        <w:t>[..]</w:t>
      </w:r>
      <w:r w:rsidRPr="009B7ECD">
        <w:rPr>
          <w:rFonts w:cs="Times New Roman"/>
          <w:szCs w:val="24"/>
          <w:lang w:val="lv-LV"/>
        </w:rPr>
        <w:t>.</w:t>
      </w:r>
    </w:p>
    <w:p w14:paraId="655911EA" w14:textId="05743758" w:rsidR="009B7ECD" w:rsidRDefault="0063504A" w:rsidP="006522AE">
      <w:pPr>
        <w:spacing w:after="0"/>
        <w:ind w:firstLine="709"/>
        <w:jc w:val="both"/>
        <w:rPr>
          <w:rFonts w:cs="Times New Roman"/>
          <w:szCs w:val="24"/>
          <w:lang w:val="lv-LV"/>
        </w:rPr>
      </w:pPr>
      <w:r>
        <w:rPr>
          <w:rFonts w:cs="Times New Roman"/>
          <w:szCs w:val="24"/>
          <w:lang w:val="lv-LV"/>
        </w:rPr>
        <w:t>[</w:t>
      </w:r>
      <w:r w:rsidR="00E7408F">
        <w:rPr>
          <w:rFonts w:cs="Times New Roman"/>
          <w:szCs w:val="24"/>
          <w:lang w:val="lv-LV"/>
        </w:rPr>
        <w:t>P</w:t>
      </w:r>
      <w:r>
        <w:rPr>
          <w:rFonts w:cs="Times New Roman"/>
          <w:szCs w:val="24"/>
          <w:lang w:val="lv-LV"/>
        </w:rPr>
        <w:t>ers. A]</w:t>
      </w:r>
      <w:r w:rsidR="009B7ECD" w:rsidRPr="009B7ECD">
        <w:rPr>
          <w:rFonts w:cs="Times New Roman"/>
          <w:szCs w:val="24"/>
          <w:lang w:val="lv-LV"/>
        </w:rPr>
        <w:t xml:space="preserve"> piemērotais drošības līdzeklis – apcietinājums – atstāts negrozīts, līdz spriedums stāsies spēkā.</w:t>
      </w:r>
    </w:p>
    <w:p w14:paraId="25112A95" w14:textId="0A63BAF7" w:rsidR="00402F4B" w:rsidRDefault="00402F4B" w:rsidP="006522AE">
      <w:pPr>
        <w:spacing w:after="0"/>
        <w:ind w:firstLine="709"/>
        <w:jc w:val="both"/>
        <w:rPr>
          <w:rFonts w:cs="Times New Roman"/>
          <w:szCs w:val="24"/>
          <w:lang w:val="lv-LV"/>
        </w:rPr>
      </w:pPr>
      <w:r>
        <w:rPr>
          <w:rFonts w:cs="Times New Roman"/>
          <w:szCs w:val="24"/>
          <w:lang w:val="lv-LV"/>
        </w:rPr>
        <w:t xml:space="preserve">No </w:t>
      </w:r>
      <w:r w:rsidR="0063504A">
        <w:rPr>
          <w:rFonts w:cs="Times New Roman"/>
          <w:szCs w:val="24"/>
          <w:lang w:val="lv-LV"/>
        </w:rPr>
        <w:t>[pers. A]</w:t>
      </w:r>
      <w:r>
        <w:rPr>
          <w:rFonts w:cs="Times New Roman"/>
          <w:szCs w:val="24"/>
          <w:lang w:val="lv-LV"/>
        </w:rPr>
        <w:t xml:space="preserve"> </w:t>
      </w:r>
      <w:r w:rsidR="006522AE">
        <w:rPr>
          <w:rFonts w:cs="Times New Roman"/>
          <w:szCs w:val="24"/>
          <w:lang w:val="lv-LV"/>
        </w:rPr>
        <w:t xml:space="preserve">cietušās </w:t>
      </w:r>
      <w:r w:rsidR="0063504A">
        <w:rPr>
          <w:rFonts w:cs="Times New Roman"/>
          <w:szCs w:val="24"/>
          <w:lang w:val="lv-LV"/>
        </w:rPr>
        <w:t>[pers. </w:t>
      </w:r>
      <w:r w:rsidR="0063504A" w:rsidRPr="0063504A">
        <w:rPr>
          <w:lang w:val="lv-LV"/>
        </w:rPr>
        <w:t>B]</w:t>
      </w:r>
      <w:r w:rsidR="006522AE">
        <w:rPr>
          <w:rFonts w:cs="Times New Roman"/>
          <w:szCs w:val="24"/>
          <w:lang w:val="lv-LV"/>
        </w:rPr>
        <w:t xml:space="preserve"> labā </w:t>
      </w:r>
      <w:r>
        <w:rPr>
          <w:rFonts w:cs="Times New Roman"/>
          <w:szCs w:val="24"/>
          <w:lang w:val="lv-LV"/>
        </w:rPr>
        <w:t xml:space="preserve">piedzīta </w:t>
      </w:r>
      <w:r w:rsidR="00103B0A">
        <w:rPr>
          <w:rFonts w:cs="Times New Roman"/>
          <w:szCs w:val="24"/>
          <w:lang w:val="lv-LV"/>
        </w:rPr>
        <w:t>materiālā</w:t>
      </w:r>
      <w:r>
        <w:rPr>
          <w:rFonts w:cs="Times New Roman"/>
          <w:szCs w:val="24"/>
          <w:lang w:val="lv-LV"/>
        </w:rPr>
        <w:t xml:space="preserve"> kaitējuma kompensācija 700 </w:t>
      </w:r>
      <w:proofErr w:type="spellStart"/>
      <w:r>
        <w:rPr>
          <w:rFonts w:cs="Times New Roman"/>
          <w:i/>
          <w:szCs w:val="24"/>
          <w:lang w:val="lv-LV"/>
        </w:rPr>
        <w:t>euro</w:t>
      </w:r>
      <w:proofErr w:type="spellEnd"/>
      <w:r>
        <w:rPr>
          <w:rFonts w:cs="Times New Roman"/>
          <w:szCs w:val="24"/>
          <w:lang w:val="lv-LV"/>
        </w:rPr>
        <w:t xml:space="preserve"> un morālā kaitējuma kompensācija 5000 </w:t>
      </w:r>
      <w:proofErr w:type="spellStart"/>
      <w:r>
        <w:rPr>
          <w:rFonts w:cs="Times New Roman"/>
          <w:i/>
          <w:szCs w:val="24"/>
          <w:lang w:val="lv-LV"/>
        </w:rPr>
        <w:t>euro</w:t>
      </w:r>
      <w:proofErr w:type="spellEnd"/>
      <w:r>
        <w:rPr>
          <w:rFonts w:cs="Times New Roman"/>
          <w:szCs w:val="24"/>
          <w:lang w:val="lv-LV"/>
        </w:rPr>
        <w:t>.</w:t>
      </w:r>
    </w:p>
    <w:p w14:paraId="1E9B512D" w14:textId="3464382E" w:rsidR="009B7ECD" w:rsidRDefault="009B7ECD" w:rsidP="006522AE">
      <w:pPr>
        <w:spacing w:after="0"/>
        <w:ind w:firstLine="709"/>
        <w:jc w:val="both"/>
        <w:rPr>
          <w:rFonts w:cs="Times New Roman"/>
          <w:szCs w:val="24"/>
          <w:lang w:val="lv-LV"/>
        </w:rPr>
      </w:pPr>
      <w:r>
        <w:rPr>
          <w:rFonts w:cs="Times New Roman"/>
          <w:szCs w:val="24"/>
          <w:lang w:val="lv-LV"/>
        </w:rPr>
        <w:t xml:space="preserve">No </w:t>
      </w:r>
      <w:r w:rsidR="0063504A">
        <w:rPr>
          <w:rFonts w:cs="Times New Roman"/>
          <w:szCs w:val="24"/>
          <w:lang w:val="lv-LV"/>
        </w:rPr>
        <w:t>[pers. </w:t>
      </w:r>
      <w:r w:rsidR="0063504A">
        <w:t>A]</w:t>
      </w:r>
      <w:r>
        <w:rPr>
          <w:rFonts w:cs="Times New Roman"/>
          <w:szCs w:val="24"/>
          <w:lang w:val="lv-LV"/>
        </w:rPr>
        <w:t xml:space="preserve"> </w:t>
      </w:r>
      <w:r w:rsidR="006522AE" w:rsidRPr="009B7ECD">
        <w:rPr>
          <w:rFonts w:cs="Times New Roman"/>
          <w:szCs w:val="24"/>
          <w:lang w:val="lv-LV"/>
        </w:rPr>
        <w:t>valsts la</w:t>
      </w:r>
      <w:r w:rsidR="006522AE">
        <w:rPr>
          <w:rFonts w:cs="Times New Roman"/>
          <w:szCs w:val="24"/>
          <w:lang w:val="lv-LV"/>
        </w:rPr>
        <w:t xml:space="preserve">bā </w:t>
      </w:r>
      <w:r w:rsidR="00402F4B">
        <w:rPr>
          <w:rFonts w:cs="Times New Roman"/>
          <w:szCs w:val="24"/>
          <w:lang w:val="lv-LV"/>
        </w:rPr>
        <w:t>piedzīta kaitējuma kompensācija 1330</w:t>
      </w:r>
      <w:r w:rsidRPr="009B7ECD">
        <w:rPr>
          <w:rFonts w:cs="Times New Roman"/>
          <w:szCs w:val="24"/>
          <w:lang w:val="lv-LV"/>
        </w:rPr>
        <w:t> </w:t>
      </w:r>
      <w:proofErr w:type="spellStart"/>
      <w:r w:rsidRPr="009B7ECD">
        <w:rPr>
          <w:rFonts w:cs="Times New Roman"/>
          <w:i/>
          <w:szCs w:val="24"/>
          <w:lang w:val="lv-LV"/>
        </w:rPr>
        <w:t>euro</w:t>
      </w:r>
      <w:proofErr w:type="spellEnd"/>
      <w:r w:rsidRPr="009B7ECD">
        <w:rPr>
          <w:rFonts w:cs="Times New Roman"/>
          <w:szCs w:val="24"/>
          <w:lang w:val="lv-LV"/>
        </w:rPr>
        <w:t>.</w:t>
      </w:r>
    </w:p>
    <w:p w14:paraId="4785E3EB" w14:textId="77777777" w:rsidR="006522AE" w:rsidRPr="009B7ECD" w:rsidRDefault="006522AE" w:rsidP="006522AE">
      <w:pPr>
        <w:spacing w:after="0"/>
        <w:ind w:firstLine="709"/>
        <w:jc w:val="both"/>
        <w:rPr>
          <w:rFonts w:cs="Times New Roman"/>
          <w:szCs w:val="24"/>
          <w:lang w:val="lv-LV"/>
        </w:rPr>
      </w:pPr>
    </w:p>
    <w:p w14:paraId="76858D87" w14:textId="3721806F" w:rsidR="00402F4B" w:rsidRDefault="00402F4B" w:rsidP="006522AE">
      <w:pPr>
        <w:spacing w:after="0"/>
        <w:ind w:firstLine="709"/>
        <w:jc w:val="both"/>
        <w:rPr>
          <w:rFonts w:cs="Times New Roman"/>
          <w:szCs w:val="24"/>
          <w:lang w:val="lv-LV"/>
        </w:rPr>
      </w:pPr>
      <w:r>
        <w:rPr>
          <w:rFonts w:cs="Times New Roman"/>
          <w:szCs w:val="24"/>
          <w:lang w:val="lv-LV"/>
        </w:rPr>
        <w:t xml:space="preserve">[2] Ar </w:t>
      </w:r>
      <w:r w:rsidR="0063504A" w:rsidRPr="0063504A">
        <w:rPr>
          <w:lang w:val="lv-LV"/>
        </w:rPr>
        <w:t xml:space="preserve">[rajona (pilsētas)] </w:t>
      </w:r>
      <w:r>
        <w:rPr>
          <w:rFonts w:cs="Times New Roman"/>
          <w:szCs w:val="24"/>
          <w:lang w:val="lv-LV"/>
        </w:rPr>
        <w:t xml:space="preserve">tiesas 2019.gada </w:t>
      </w:r>
      <w:r w:rsidR="0063504A">
        <w:rPr>
          <w:rFonts w:cs="Times New Roman"/>
          <w:szCs w:val="24"/>
          <w:lang w:val="lv-LV"/>
        </w:rPr>
        <w:t>[..]</w:t>
      </w:r>
      <w:r>
        <w:rPr>
          <w:rFonts w:cs="Times New Roman"/>
          <w:szCs w:val="24"/>
          <w:lang w:val="lv-LV"/>
        </w:rPr>
        <w:t xml:space="preserve"> spriedumu </w:t>
      </w:r>
      <w:r w:rsidR="0063504A">
        <w:rPr>
          <w:rFonts w:cs="Times New Roman"/>
          <w:szCs w:val="24"/>
          <w:lang w:val="lv-LV"/>
        </w:rPr>
        <w:t>[pers. A]</w:t>
      </w:r>
      <w:r w:rsidR="009B7ECD" w:rsidRPr="009B7ECD">
        <w:rPr>
          <w:rFonts w:cs="Times New Roman"/>
          <w:szCs w:val="24"/>
          <w:lang w:val="lv-LV"/>
        </w:rPr>
        <w:t xml:space="preserve"> </w:t>
      </w:r>
      <w:r w:rsidR="009B7ECD" w:rsidRPr="00464517">
        <w:rPr>
          <w:rFonts w:cs="Times New Roman"/>
          <w:szCs w:val="24"/>
          <w:lang w:val="lv-LV"/>
        </w:rPr>
        <w:t>atzīts par</w:t>
      </w:r>
      <w:r w:rsidR="009B7ECD" w:rsidRPr="009B7ECD">
        <w:rPr>
          <w:rFonts w:cs="Times New Roman"/>
          <w:szCs w:val="24"/>
          <w:lang w:val="lv-LV"/>
        </w:rPr>
        <w:t xml:space="preserve"> vainīgu</w:t>
      </w:r>
      <w:r w:rsidR="000A727B">
        <w:rPr>
          <w:rFonts w:cs="Times New Roman"/>
          <w:szCs w:val="24"/>
          <w:lang w:val="lv-LV"/>
        </w:rPr>
        <w:t xml:space="preserve"> </w:t>
      </w:r>
      <w:r w:rsidR="007802CB">
        <w:rPr>
          <w:rFonts w:cs="Times New Roman"/>
          <w:szCs w:val="24"/>
          <w:lang w:val="lv-LV"/>
        </w:rPr>
        <w:t>un sodīts par dzimumaktu</w:t>
      </w:r>
      <w:r w:rsidR="000A727B">
        <w:rPr>
          <w:rFonts w:cs="Times New Roman"/>
          <w:szCs w:val="24"/>
          <w:lang w:val="lv-LV"/>
        </w:rPr>
        <w:t xml:space="preserve"> pret cietušās gribu, lietojot vardarbību. </w:t>
      </w:r>
      <w:r w:rsidR="000A727B">
        <w:rPr>
          <w:rFonts w:cs="Times New Roman"/>
          <w:szCs w:val="24"/>
          <w:u w:val="single"/>
          <w:lang w:val="lv-LV"/>
        </w:rPr>
        <w:t xml:space="preserve"> </w:t>
      </w:r>
    </w:p>
    <w:p w14:paraId="4ABD4E25" w14:textId="77777777" w:rsidR="007802CB" w:rsidRDefault="007802CB" w:rsidP="00B33D47">
      <w:pPr>
        <w:spacing w:after="0"/>
        <w:ind w:firstLine="709"/>
        <w:jc w:val="both"/>
        <w:rPr>
          <w:rFonts w:cs="Times New Roman"/>
          <w:szCs w:val="24"/>
          <w:lang w:val="lv-LV"/>
        </w:rPr>
      </w:pPr>
    </w:p>
    <w:p w14:paraId="2FE23300" w14:textId="2F63264A" w:rsidR="00B634D9" w:rsidRDefault="00B634D9" w:rsidP="00B33D47">
      <w:pPr>
        <w:spacing w:after="0"/>
        <w:ind w:firstLine="709"/>
        <w:jc w:val="both"/>
        <w:rPr>
          <w:rFonts w:cs="Times New Roman"/>
          <w:szCs w:val="24"/>
          <w:lang w:val="lv-LV"/>
        </w:rPr>
      </w:pPr>
      <w:r>
        <w:rPr>
          <w:rFonts w:cs="Times New Roman"/>
          <w:szCs w:val="24"/>
          <w:lang w:val="lv-LV"/>
        </w:rPr>
        <w:t xml:space="preserve">[3] Ar </w:t>
      </w:r>
      <w:r w:rsidR="0063504A">
        <w:rPr>
          <w:rFonts w:cs="Times New Roman"/>
          <w:szCs w:val="24"/>
          <w:lang w:val="lv-LV"/>
        </w:rPr>
        <w:t>[..]</w:t>
      </w:r>
      <w:r>
        <w:rPr>
          <w:rFonts w:cs="Times New Roman"/>
          <w:szCs w:val="24"/>
          <w:lang w:val="lv-LV"/>
        </w:rPr>
        <w:t xml:space="preserve"> apgabaltiesas 2019.gada </w:t>
      </w:r>
      <w:r w:rsidR="0063504A">
        <w:rPr>
          <w:rFonts w:cs="Times New Roman"/>
          <w:szCs w:val="24"/>
          <w:lang w:val="lv-LV"/>
        </w:rPr>
        <w:t>[..]</w:t>
      </w:r>
      <w:r>
        <w:rPr>
          <w:rFonts w:cs="Times New Roman"/>
          <w:szCs w:val="24"/>
          <w:lang w:val="lv-LV"/>
        </w:rPr>
        <w:t xml:space="preserve"> spriedumu</w:t>
      </w:r>
      <w:r w:rsidR="009B7ECD" w:rsidRPr="009B7ECD">
        <w:rPr>
          <w:rFonts w:cs="Times New Roman"/>
          <w:szCs w:val="24"/>
          <w:lang w:val="lv-LV"/>
        </w:rPr>
        <w:t>, iztiesājot krimināllietu apelācijas kārtī</w:t>
      </w:r>
      <w:r>
        <w:rPr>
          <w:rFonts w:cs="Times New Roman"/>
          <w:szCs w:val="24"/>
          <w:lang w:val="lv-LV"/>
        </w:rPr>
        <w:t xml:space="preserve">bā sakarā ar apsūdzētā </w:t>
      </w:r>
      <w:r w:rsidR="0063504A">
        <w:rPr>
          <w:rFonts w:cs="Times New Roman"/>
          <w:szCs w:val="24"/>
          <w:lang w:val="lv-LV"/>
        </w:rPr>
        <w:t>[pers. A]</w:t>
      </w:r>
      <w:r w:rsidR="00446C12">
        <w:rPr>
          <w:rFonts w:cs="Times New Roman"/>
          <w:szCs w:val="24"/>
          <w:lang w:val="lv-LV"/>
        </w:rPr>
        <w:t xml:space="preserve"> un viņa aizstāves </w:t>
      </w:r>
      <w:proofErr w:type="spellStart"/>
      <w:r w:rsidR="00446C12">
        <w:rPr>
          <w:rFonts w:cs="Times New Roman"/>
          <w:szCs w:val="24"/>
          <w:lang w:val="lv-LV"/>
        </w:rPr>
        <w:t>Petras</w:t>
      </w:r>
      <w:proofErr w:type="spellEnd"/>
      <w:r w:rsidR="00B33D47">
        <w:rPr>
          <w:rFonts w:cs="Times New Roman"/>
          <w:szCs w:val="24"/>
          <w:lang w:val="lv-LV"/>
        </w:rPr>
        <w:t> </w:t>
      </w:r>
      <w:proofErr w:type="spellStart"/>
      <w:r>
        <w:rPr>
          <w:rFonts w:cs="Times New Roman"/>
          <w:szCs w:val="24"/>
          <w:lang w:val="lv-LV"/>
        </w:rPr>
        <w:t>Janules</w:t>
      </w:r>
      <w:proofErr w:type="spellEnd"/>
      <w:r>
        <w:rPr>
          <w:rFonts w:cs="Times New Roman"/>
          <w:szCs w:val="24"/>
          <w:lang w:val="lv-LV"/>
        </w:rPr>
        <w:t xml:space="preserve">  apelācijas sūdzībām, </w:t>
      </w:r>
      <w:r w:rsidR="0063504A" w:rsidRPr="0063504A">
        <w:rPr>
          <w:lang w:val="lv-LV"/>
        </w:rPr>
        <w:t xml:space="preserve">[rajona (pilsētas)] </w:t>
      </w:r>
      <w:r w:rsidR="00B33D47" w:rsidRPr="00B33D47">
        <w:rPr>
          <w:rFonts w:cs="Times New Roman"/>
          <w:szCs w:val="24"/>
          <w:lang w:val="lv-LV"/>
        </w:rPr>
        <w:t xml:space="preserve">tiesas 2019.gada </w:t>
      </w:r>
      <w:r w:rsidR="0063504A">
        <w:rPr>
          <w:rFonts w:cs="Times New Roman"/>
          <w:szCs w:val="24"/>
          <w:lang w:val="lv-LV"/>
        </w:rPr>
        <w:t>[..]</w:t>
      </w:r>
      <w:r w:rsidR="00B33D47" w:rsidRPr="00B33D47">
        <w:rPr>
          <w:rFonts w:cs="Times New Roman"/>
          <w:szCs w:val="24"/>
          <w:lang w:val="lv-LV"/>
        </w:rPr>
        <w:t xml:space="preserve"> </w:t>
      </w:r>
      <w:r>
        <w:rPr>
          <w:rFonts w:cs="Times New Roman"/>
          <w:szCs w:val="24"/>
          <w:lang w:val="lv-LV"/>
        </w:rPr>
        <w:t>spriedums</w:t>
      </w:r>
      <w:r w:rsidR="00B33D47">
        <w:rPr>
          <w:rFonts w:cs="Times New Roman"/>
          <w:szCs w:val="24"/>
          <w:lang w:val="lv-LV"/>
        </w:rPr>
        <w:t xml:space="preserve"> atcelts daļā par materiālā</w:t>
      </w:r>
      <w:r>
        <w:rPr>
          <w:rFonts w:cs="Times New Roman"/>
          <w:szCs w:val="24"/>
          <w:lang w:val="lv-LV"/>
        </w:rPr>
        <w:t xml:space="preserve"> kaitējuma kompensācijas </w:t>
      </w:r>
      <w:r w:rsidRPr="000A727B">
        <w:rPr>
          <w:rFonts w:cs="Times New Roman"/>
          <w:szCs w:val="24"/>
          <w:lang w:val="lv-LV"/>
        </w:rPr>
        <w:t xml:space="preserve">700 </w:t>
      </w:r>
      <w:proofErr w:type="spellStart"/>
      <w:r w:rsidRPr="000A727B">
        <w:rPr>
          <w:rFonts w:cs="Times New Roman"/>
          <w:i/>
          <w:szCs w:val="24"/>
          <w:lang w:val="lv-LV"/>
        </w:rPr>
        <w:t>euro</w:t>
      </w:r>
      <w:proofErr w:type="spellEnd"/>
      <w:r w:rsidRPr="000A727B">
        <w:rPr>
          <w:rFonts w:cs="Times New Roman"/>
          <w:szCs w:val="24"/>
          <w:lang w:val="lv-LV"/>
        </w:rPr>
        <w:t xml:space="preserve"> </w:t>
      </w:r>
      <w:r w:rsidR="007E6BED" w:rsidRPr="000A727B">
        <w:rPr>
          <w:rFonts w:cs="Times New Roman"/>
          <w:szCs w:val="24"/>
          <w:lang w:val="lv-LV"/>
        </w:rPr>
        <w:t>piedziņu</w:t>
      </w:r>
      <w:r w:rsidR="007E6BED">
        <w:rPr>
          <w:rFonts w:cs="Times New Roman"/>
          <w:szCs w:val="24"/>
          <w:lang w:val="lv-LV"/>
        </w:rPr>
        <w:t xml:space="preserve"> </w:t>
      </w:r>
      <w:r>
        <w:rPr>
          <w:rFonts w:cs="Times New Roman"/>
          <w:szCs w:val="24"/>
          <w:lang w:val="lv-LV"/>
        </w:rPr>
        <w:t xml:space="preserve">cietušās </w:t>
      </w:r>
      <w:r w:rsidR="0063504A">
        <w:rPr>
          <w:rFonts w:cs="Times New Roman"/>
          <w:szCs w:val="24"/>
          <w:lang w:val="lv-LV"/>
        </w:rPr>
        <w:t>[pers.</w:t>
      </w:r>
      <w:r w:rsidR="0063504A">
        <w:rPr>
          <w:lang w:val="lv-LV"/>
        </w:rPr>
        <w:t> B]</w:t>
      </w:r>
      <w:r>
        <w:rPr>
          <w:rFonts w:cs="Times New Roman"/>
          <w:szCs w:val="24"/>
          <w:lang w:val="lv-LV"/>
        </w:rPr>
        <w:t xml:space="preserve"> labā</w:t>
      </w:r>
      <w:r w:rsidR="009B7ECD" w:rsidRPr="009B7ECD">
        <w:rPr>
          <w:rFonts w:cs="Times New Roman"/>
          <w:szCs w:val="24"/>
          <w:lang w:val="lv-LV"/>
        </w:rPr>
        <w:t xml:space="preserve">. </w:t>
      </w:r>
    </w:p>
    <w:p w14:paraId="13CB41BF" w14:textId="77777777" w:rsidR="00AA13D6" w:rsidRPr="009B7ECD" w:rsidRDefault="00B634D9" w:rsidP="00B33D47">
      <w:pPr>
        <w:spacing w:after="0"/>
        <w:ind w:firstLine="709"/>
        <w:jc w:val="both"/>
        <w:rPr>
          <w:rFonts w:cs="Times New Roman"/>
          <w:szCs w:val="24"/>
          <w:lang w:val="lv-LV"/>
        </w:rPr>
      </w:pPr>
      <w:r>
        <w:rPr>
          <w:rFonts w:cs="Times New Roman"/>
          <w:szCs w:val="24"/>
          <w:lang w:val="lv-LV"/>
        </w:rPr>
        <w:t>Pārējā daļā pirmās instances tiesas spriedums atstāts negrozīts.</w:t>
      </w:r>
    </w:p>
    <w:p w14:paraId="77A5FF72" w14:textId="77777777" w:rsidR="009B7ECD" w:rsidRPr="009B7ECD" w:rsidRDefault="009B7ECD" w:rsidP="00E97067">
      <w:pPr>
        <w:spacing w:after="0"/>
        <w:ind w:firstLine="709"/>
        <w:jc w:val="both"/>
        <w:rPr>
          <w:rFonts w:cs="Times New Roman"/>
          <w:szCs w:val="24"/>
          <w:lang w:val="lv-LV"/>
        </w:rPr>
      </w:pPr>
    </w:p>
    <w:p w14:paraId="3645A80F" w14:textId="1385FD36" w:rsidR="009B7ECD" w:rsidRDefault="009B7ECD" w:rsidP="00E97067">
      <w:pPr>
        <w:spacing w:after="0"/>
        <w:ind w:firstLine="709"/>
        <w:jc w:val="both"/>
        <w:rPr>
          <w:rFonts w:cs="Times New Roman"/>
          <w:szCs w:val="24"/>
          <w:lang w:val="lv-LV"/>
        </w:rPr>
      </w:pPr>
      <w:r w:rsidRPr="009B7ECD">
        <w:rPr>
          <w:rFonts w:cs="Times New Roman"/>
          <w:szCs w:val="24"/>
          <w:lang w:val="lv-LV"/>
        </w:rPr>
        <w:t>[4] Par ap</w:t>
      </w:r>
      <w:r w:rsidR="00B634D9">
        <w:rPr>
          <w:rFonts w:cs="Times New Roman"/>
          <w:szCs w:val="24"/>
          <w:lang w:val="lv-LV"/>
        </w:rPr>
        <w:t xml:space="preserve">elācijas instances tiesas spriedumu apsūdzētais </w:t>
      </w:r>
      <w:r w:rsidR="0063504A">
        <w:rPr>
          <w:rFonts w:cs="Times New Roman"/>
          <w:szCs w:val="24"/>
          <w:lang w:val="lv-LV"/>
        </w:rPr>
        <w:t>[pers. A]</w:t>
      </w:r>
      <w:r w:rsidR="00B634D9">
        <w:rPr>
          <w:rFonts w:cs="Times New Roman"/>
          <w:szCs w:val="24"/>
          <w:lang w:val="lv-LV"/>
        </w:rPr>
        <w:t xml:space="preserve"> un viņa aizstāvis J.</w:t>
      </w:r>
      <w:r w:rsidR="00AA13D6">
        <w:rPr>
          <w:rFonts w:cs="Times New Roman"/>
          <w:szCs w:val="24"/>
          <w:lang w:val="lv-LV"/>
        </w:rPr>
        <w:t> </w:t>
      </w:r>
      <w:proofErr w:type="spellStart"/>
      <w:r w:rsidR="00B634D9">
        <w:rPr>
          <w:rFonts w:cs="Times New Roman"/>
          <w:szCs w:val="24"/>
          <w:lang w:val="lv-LV"/>
        </w:rPr>
        <w:t>Ernstsons</w:t>
      </w:r>
      <w:proofErr w:type="spellEnd"/>
      <w:r w:rsidRPr="009B7ECD">
        <w:rPr>
          <w:rFonts w:cs="Times New Roman"/>
          <w:szCs w:val="24"/>
          <w:lang w:val="lv-LV"/>
        </w:rPr>
        <w:t xml:space="preserve"> </w:t>
      </w:r>
      <w:r w:rsidR="00B9106A" w:rsidRPr="009B7ECD">
        <w:rPr>
          <w:rFonts w:cs="Times New Roman"/>
          <w:szCs w:val="24"/>
          <w:lang w:val="lv-LV"/>
        </w:rPr>
        <w:t>iesnie</w:t>
      </w:r>
      <w:r w:rsidR="00B9106A">
        <w:rPr>
          <w:rFonts w:cs="Times New Roman"/>
          <w:szCs w:val="24"/>
          <w:lang w:val="lv-LV"/>
        </w:rPr>
        <w:t>guši</w:t>
      </w:r>
      <w:r w:rsidR="00B9106A" w:rsidRPr="009B7ECD">
        <w:rPr>
          <w:rFonts w:cs="Times New Roman"/>
          <w:szCs w:val="24"/>
          <w:lang w:val="lv-LV"/>
        </w:rPr>
        <w:t xml:space="preserve"> </w:t>
      </w:r>
      <w:r w:rsidRPr="009B7ECD">
        <w:rPr>
          <w:rFonts w:cs="Times New Roman"/>
          <w:szCs w:val="24"/>
          <w:lang w:val="lv-LV"/>
        </w:rPr>
        <w:t>kasācij</w:t>
      </w:r>
      <w:r w:rsidR="00B634D9">
        <w:rPr>
          <w:rFonts w:cs="Times New Roman"/>
          <w:szCs w:val="24"/>
          <w:lang w:val="lv-LV"/>
        </w:rPr>
        <w:t xml:space="preserve">as </w:t>
      </w:r>
      <w:r w:rsidR="00B9106A">
        <w:rPr>
          <w:rFonts w:cs="Times New Roman"/>
          <w:szCs w:val="24"/>
          <w:lang w:val="lv-LV"/>
        </w:rPr>
        <w:t>sūdzības</w:t>
      </w:r>
      <w:r w:rsidR="00B634D9">
        <w:rPr>
          <w:rFonts w:cs="Times New Roman"/>
          <w:szCs w:val="24"/>
          <w:lang w:val="lv-LV"/>
        </w:rPr>
        <w:t>, kurā</w:t>
      </w:r>
      <w:r w:rsidR="00B9106A">
        <w:rPr>
          <w:rFonts w:cs="Times New Roman"/>
          <w:szCs w:val="24"/>
          <w:lang w:val="lv-LV"/>
        </w:rPr>
        <w:t>s</w:t>
      </w:r>
      <w:r w:rsidR="00B634D9">
        <w:rPr>
          <w:rFonts w:cs="Times New Roman"/>
          <w:szCs w:val="24"/>
          <w:lang w:val="lv-LV"/>
        </w:rPr>
        <w:t xml:space="preserve"> lūdz</w:t>
      </w:r>
      <w:r w:rsidR="00B9106A" w:rsidRPr="00E97067">
        <w:rPr>
          <w:lang w:val="lv-LV"/>
        </w:rPr>
        <w:t xml:space="preserve"> </w:t>
      </w:r>
      <w:r w:rsidR="00B9106A" w:rsidRPr="00B9106A">
        <w:rPr>
          <w:rFonts w:cs="Times New Roman"/>
          <w:szCs w:val="24"/>
          <w:lang w:val="lv-LV"/>
        </w:rPr>
        <w:t>lietu izskatīt mutvārdu procesā,</w:t>
      </w:r>
      <w:r w:rsidR="00B634D9">
        <w:rPr>
          <w:rFonts w:cs="Times New Roman"/>
          <w:szCs w:val="24"/>
          <w:lang w:val="lv-LV"/>
        </w:rPr>
        <w:t xml:space="preserve"> atcelt </w:t>
      </w:r>
      <w:r w:rsidR="0063504A">
        <w:rPr>
          <w:rFonts w:cs="Times New Roman"/>
          <w:szCs w:val="24"/>
          <w:lang w:val="lv-LV"/>
        </w:rPr>
        <w:t>[..]</w:t>
      </w:r>
      <w:r w:rsidR="00B634D9">
        <w:rPr>
          <w:rFonts w:cs="Times New Roman"/>
          <w:szCs w:val="24"/>
          <w:lang w:val="lv-LV"/>
        </w:rPr>
        <w:t xml:space="preserve"> apgabaltiesas 2019.gada </w:t>
      </w:r>
      <w:r w:rsidR="0063504A">
        <w:rPr>
          <w:rFonts w:cs="Times New Roman"/>
          <w:szCs w:val="24"/>
          <w:lang w:val="lv-LV"/>
        </w:rPr>
        <w:t>[..]</w:t>
      </w:r>
      <w:r w:rsidR="00B634D9">
        <w:rPr>
          <w:rFonts w:cs="Times New Roman"/>
          <w:szCs w:val="24"/>
          <w:lang w:val="lv-LV"/>
        </w:rPr>
        <w:t xml:space="preserve"> spriedumu</w:t>
      </w:r>
      <w:r w:rsidRPr="009B7ECD">
        <w:rPr>
          <w:rFonts w:cs="Times New Roman"/>
          <w:szCs w:val="24"/>
          <w:lang w:val="lv-LV"/>
        </w:rPr>
        <w:t xml:space="preserve"> un </w:t>
      </w:r>
      <w:r w:rsidR="0063504A" w:rsidRPr="0063504A">
        <w:rPr>
          <w:lang w:val="lv-LV"/>
        </w:rPr>
        <w:t>[rajona (pilsētas)]</w:t>
      </w:r>
      <w:r w:rsidR="00B634D9">
        <w:rPr>
          <w:rFonts w:cs="Times New Roman"/>
          <w:szCs w:val="24"/>
          <w:lang w:val="lv-LV"/>
        </w:rPr>
        <w:t xml:space="preserve"> tiesas 2019.gada </w:t>
      </w:r>
      <w:r w:rsidR="0063504A">
        <w:rPr>
          <w:rFonts w:cs="Times New Roman"/>
          <w:szCs w:val="24"/>
          <w:lang w:val="lv-LV"/>
        </w:rPr>
        <w:t>[..]</w:t>
      </w:r>
      <w:r w:rsidR="00B634D9">
        <w:rPr>
          <w:rFonts w:cs="Times New Roman"/>
          <w:szCs w:val="24"/>
          <w:lang w:val="lv-LV"/>
        </w:rPr>
        <w:t xml:space="preserve"> spriedumu</w:t>
      </w:r>
      <w:r w:rsidR="00AA13D6">
        <w:rPr>
          <w:rFonts w:cs="Times New Roman"/>
          <w:szCs w:val="24"/>
          <w:lang w:val="lv-LV"/>
        </w:rPr>
        <w:t>,</w:t>
      </w:r>
      <w:r w:rsidR="00B634D9">
        <w:rPr>
          <w:rFonts w:cs="Times New Roman"/>
          <w:szCs w:val="24"/>
          <w:lang w:val="lv-LV"/>
        </w:rPr>
        <w:t xml:space="preserve"> </w:t>
      </w:r>
      <w:r w:rsidRPr="009B7ECD">
        <w:rPr>
          <w:rFonts w:cs="Times New Roman"/>
          <w:szCs w:val="24"/>
          <w:lang w:val="lv-LV"/>
        </w:rPr>
        <w:t>nosūt</w:t>
      </w:r>
      <w:r w:rsidR="007E6BED">
        <w:rPr>
          <w:rFonts w:cs="Times New Roman"/>
          <w:szCs w:val="24"/>
          <w:lang w:val="lv-LV"/>
        </w:rPr>
        <w:t>īt</w:t>
      </w:r>
      <w:r w:rsidRPr="009B7ECD">
        <w:rPr>
          <w:rFonts w:cs="Times New Roman"/>
          <w:szCs w:val="24"/>
          <w:lang w:val="lv-LV"/>
        </w:rPr>
        <w:t xml:space="preserve"> liet</w:t>
      </w:r>
      <w:r w:rsidR="007138AC">
        <w:rPr>
          <w:rFonts w:cs="Times New Roman"/>
          <w:szCs w:val="24"/>
          <w:lang w:val="lv-LV"/>
        </w:rPr>
        <w:t>u jaunai izskatīšanai pirmās</w:t>
      </w:r>
      <w:r w:rsidRPr="009B7ECD">
        <w:rPr>
          <w:rFonts w:cs="Times New Roman"/>
          <w:szCs w:val="24"/>
          <w:lang w:val="lv-LV"/>
        </w:rPr>
        <w:t xml:space="preserve"> instances tiesā.</w:t>
      </w:r>
    </w:p>
    <w:p w14:paraId="0CFD7CD6" w14:textId="4D43BCBE" w:rsidR="00131399" w:rsidRDefault="00131399" w:rsidP="007A443D">
      <w:pPr>
        <w:spacing w:after="0"/>
        <w:ind w:firstLine="709"/>
        <w:jc w:val="both"/>
        <w:rPr>
          <w:rFonts w:cs="Times New Roman"/>
          <w:szCs w:val="24"/>
          <w:lang w:val="lv-LV"/>
        </w:rPr>
      </w:pPr>
      <w:r>
        <w:rPr>
          <w:rFonts w:cs="Times New Roman"/>
          <w:szCs w:val="24"/>
          <w:lang w:val="lv-LV"/>
        </w:rPr>
        <w:t>Aizstāvis kasācijas sūdzībā norādīto lūgumu</w:t>
      </w:r>
      <w:r w:rsidRPr="009B7ECD">
        <w:rPr>
          <w:rFonts w:cs="Times New Roman"/>
          <w:szCs w:val="24"/>
          <w:lang w:val="lv-LV"/>
        </w:rPr>
        <w:t xml:space="preserve"> pamatojis ar </w:t>
      </w:r>
      <w:r w:rsidRPr="007A443D">
        <w:rPr>
          <w:rFonts w:cs="Times New Roman"/>
          <w:szCs w:val="24"/>
          <w:lang w:val="lv-LV"/>
        </w:rPr>
        <w:t>šādiem argumentiem.</w:t>
      </w:r>
    </w:p>
    <w:p w14:paraId="7D064D8B" w14:textId="72A79173" w:rsidR="00CE3D25" w:rsidRDefault="00CE3D25" w:rsidP="00E97067">
      <w:pPr>
        <w:spacing w:after="0"/>
        <w:ind w:firstLine="709"/>
        <w:jc w:val="both"/>
        <w:rPr>
          <w:rFonts w:cs="Times New Roman"/>
          <w:szCs w:val="24"/>
          <w:lang w:val="lv-LV"/>
        </w:rPr>
      </w:pPr>
      <w:r>
        <w:rPr>
          <w:rFonts w:cs="Times New Roman"/>
          <w:szCs w:val="24"/>
          <w:lang w:val="lv-LV"/>
        </w:rPr>
        <w:lastRenderedPageBreak/>
        <w:t xml:space="preserve">Apsūdzētajam </w:t>
      </w:r>
      <w:r w:rsidR="0063504A">
        <w:rPr>
          <w:rFonts w:cs="Times New Roman"/>
          <w:szCs w:val="24"/>
          <w:lang w:val="lv-LV"/>
        </w:rPr>
        <w:t>[pers. </w:t>
      </w:r>
      <w:r w:rsidR="0063504A" w:rsidRPr="0063504A">
        <w:rPr>
          <w:lang w:val="lv-LV"/>
        </w:rPr>
        <w:t>A]</w:t>
      </w:r>
      <w:r>
        <w:rPr>
          <w:rFonts w:cs="Times New Roman"/>
          <w:szCs w:val="24"/>
          <w:lang w:val="lv-LV"/>
        </w:rPr>
        <w:t xml:space="preserve"> pirmās instances tiesā netika nodrošinātas tiesības uz aizstāvību, kas noteiktas Kriminālprocesa likuma 20.pantā. Tādējādi tika ignorētas apsūdzētā tiesības sagatavoties un teikt pēdējo vārdu, kā arī pārkāpti nacionālajos un starptautiskajos cilvēktiesību dokumentos nostiprinātie principi. </w:t>
      </w:r>
      <w:r w:rsidR="00543245">
        <w:rPr>
          <w:rFonts w:cs="Times New Roman"/>
          <w:szCs w:val="24"/>
          <w:lang w:val="lv-LV"/>
        </w:rPr>
        <w:t>Apsūdzētajam no viņa neatkarīgu iemeslu dēļ neb</w:t>
      </w:r>
      <w:r w:rsidR="008A65A1">
        <w:rPr>
          <w:rFonts w:cs="Times New Roman"/>
          <w:szCs w:val="24"/>
          <w:lang w:val="lv-LV"/>
        </w:rPr>
        <w:t>ija iespējams saņemt</w:t>
      </w:r>
      <w:r w:rsidR="00543245">
        <w:rPr>
          <w:rFonts w:cs="Times New Roman"/>
          <w:szCs w:val="24"/>
          <w:lang w:val="lv-LV"/>
        </w:rPr>
        <w:t xml:space="preserve"> juridisku konsultāciju un izvēlēties aizstāvības pozīciju. </w:t>
      </w:r>
    </w:p>
    <w:p w14:paraId="579AE7CE" w14:textId="70BAB929" w:rsidR="007819B9" w:rsidRDefault="008A65A1" w:rsidP="008B4653">
      <w:pPr>
        <w:spacing w:after="0"/>
        <w:ind w:firstLine="709"/>
        <w:jc w:val="both"/>
        <w:rPr>
          <w:rFonts w:cs="Times New Roman"/>
          <w:szCs w:val="24"/>
          <w:lang w:val="lv-LV"/>
        </w:rPr>
      </w:pPr>
      <w:r>
        <w:rPr>
          <w:rFonts w:cs="Times New Roman"/>
          <w:szCs w:val="24"/>
          <w:lang w:val="lv-LV"/>
        </w:rPr>
        <w:t xml:space="preserve">Aizstāves </w:t>
      </w:r>
      <w:r w:rsidR="00B749AD">
        <w:rPr>
          <w:rFonts w:cs="Times New Roman"/>
          <w:szCs w:val="24"/>
          <w:lang w:val="lv-LV"/>
        </w:rPr>
        <w:t>P. </w:t>
      </w:r>
      <w:proofErr w:type="spellStart"/>
      <w:r w:rsidR="00B749AD">
        <w:rPr>
          <w:rFonts w:cs="Times New Roman"/>
          <w:szCs w:val="24"/>
          <w:lang w:val="lv-LV"/>
        </w:rPr>
        <w:t>Janules</w:t>
      </w:r>
      <w:proofErr w:type="spellEnd"/>
      <w:r w:rsidR="00B749AD">
        <w:rPr>
          <w:rFonts w:cs="Times New Roman"/>
          <w:szCs w:val="24"/>
          <w:lang w:val="lv-LV"/>
        </w:rPr>
        <w:t xml:space="preserve"> nodrošinātā aizstāvība bijusi formāla, jo </w:t>
      </w:r>
      <w:r w:rsidR="008B4653">
        <w:rPr>
          <w:rFonts w:cs="Times New Roman"/>
          <w:szCs w:val="24"/>
          <w:lang w:val="lv-LV"/>
        </w:rPr>
        <w:t xml:space="preserve">viņa </w:t>
      </w:r>
      <w:r w:rsidR="004E5570">
        <w:rPr>
          <w:rFonts w:cs="Times New Roman"/>
          <w:szCs w:val="24"/>
          <w:lang w:val="lv-LV"/>
        </w:rPr>
        <w:t>nav</w:t>
      </w:r>
      <w:r w:rsidR="00B749AD">
        <w:rPr>
          <w:rFonts w:cs="Times New Roman"/>
          <w:szCs w:val="24"/>
          <w:lang w:val="lv-LV"/>
        </w:rPr>
        <w:t xml:space="preserve"> tikusies ar apsūdzēto konfidencialitāti nodrošinošos apstākļos, </w:t>
      </w:r>
      <w:r w:rsidR="004E5570">
        <w:rPr>
          <w:rFonts w:cs="Times New Roman"/>
          <w:szCs w:val="24"/>
          <w:lang w:val="lv-LV"/>
        </w:rPr>
        <w:t>nav īstenojusi</w:t>
      </w:r>
      <w:r w:rsidR="00B749AD">
        <w:rPr>
          <w:rFonts w:cs="Times New Roman"/>
          <w:szCs w:val="24"/>
          <w:lang w:val="lv-LV"/>
        </w:rPr>
        <w:t xml:space="preserve"> aizstāvības pamatdarbības, </w:t>
      </w:r>
      <w:r w:rsidR="004E5570">
        <w:rPr>
          <w:rFonts w:cs="Times New Roman"/>
          <w:szCs w:val="24"/>
          <w:lang w:val="lv-LV"/>
        </w:rPr>
        <w:t>nav norādījusi</w:t>
      </w:r>
      <w:r w:rsidR="00B749AD">
        <w:rPr>
          <w:rFonts w:cs="Times New Roman"/>
          <w:szCs w:val="24"/>
          <w:lang w:val="lv-LV"/>
        </w:rPr>
        <w:t xml:space="preserve"> uz </w:t>
      </w:r>
      <w:r w:rsidR="004E5570">
        <w:rPr>
          <w:rFonts w:cs="Times New Roman"/>
          <w:szCs w:val="24"/>
          <w:lang w:val="lv-LV"/>
        </w:rPr>
        <w:t>pārkāpumiem pret apsūdzēto un nav iebildusi</w:t>
      </w:r>
      <w:r w:rsidR="00B749AD">
        <w:rPr>
          <w:rFonts w:cs="Times New Roman"/>
          <w:szCs w:val="24"/>
          <w:lang w:val="lv-LV"/>
        </w:rPr>
        <w:t xml:space="preserve"> pret tiesas rīcību – naudas soda uzlikšanu apsūdzētajam par</w:t>
      </w:r>
      <w:r>
        <w:rPr>
          <w:rFonts w:cs="Times New Roman"/>
          <w:szCs w:val="24"/>
          <w:lang w:val="lv-LV"/>
        </w:rPr>
        <w:t xml:space="preserve"> </w:t>
      </w:r>
      <w:r w:rsidR="008B4653">
        <w:rPr>
          <w:rFonts w:cs="Times New Roman"/>
          <w:szCs w:val="24"/>
          <w:lang w:val="lv-LV"/>
        </w:rPr>
        <w:t>tiesas sēdes traucēšanu</w:t>
      </w:r>
      <w:r w:rsidR="00B749AD">
        <w:rPr>
          <w:rFonts w:cs="Times New Roman"/>
          <w:szCs w:val="24"/>
          <w:lang w:val="lv-LV"/>
        </w:rPr>
        <w:t xml:space="preserve">. </w:t>
      </w:r>
    </w:p>
    <w:p w14:paraId="6CBBB55B" w14:textId="77777777" w:rsidR="00F8711D" w:rsidRPr="00E97067" w:rsidRDefault="009B7ECD">
      <w:pPr>
        <w:spacing w:before="240" w:after="240"/>
        <w:jc w:val="center"/>
        <w:rPr>
          <w:rFonts w:cs="Times New Roman"/>
          <w:b/>
          <w:szCs w:val="24"/>
          <w:lang w:val="lv-LV"/>
        </w:rPr>
      </w:pPr>
      <w:r w:rsidRPr="009B7ECD">
        <w:rPr>
          <w:rFonts w:cs="Times New Roman"/>
          <w:b/>
          <w:szCs w:val="24"/>
          <w:lang w:val="lv-LV"/>
        </w:rPr>
        <w:t>Motīvu daļa</w:t>
      </w:r>
    </w:p>
    <w:p w14:paraId="782956FF" w14:textId="77777777" w:rsidR="00F8711D" w:rsidRDefault="007138AC" w:rsidP="00B0790F">
      <w:pPr>
        <w:spacing w:after="0"/>
        <w:ind w:firstLine="709"/>
        <w:jc w:val="both"/>
        <w:rPr>
          <w:rFonts w:cs="Times New Roman"/>
          <w:szCs w:val="24"/>
          <w:lang w:val="lv-LV"/>
        </w:rPr>
      </w:pPr>
      <w:r>
        <w:rPr>
          <w:rFonts w:cs="Times New Roman"/>
          <w:szCs w:val="24"/>
          <w:lang w:val="lv-LV"/>
        </w:rPr>
        <w:t xml:space="preserve">[5] </w:t>
      </w:r>
      <w:r w:rsidR="00F8711D" w:rsidRPr="00F8711D">
        <w:rPr>
          <w:rFonts w:cs="Times New Roman"/>
          <w:szCs w:val="24"/>
          <w:lang w:val="lv-LV"/>
        </w:rPr>
        <w:t xml:space="preserve">Senāts atzīst, ka apsūdzētā </w:t>
      </w:r>
      <w:r w:rsidR="00F8711D">
        <w:rPr>
          <w:rFonts w:cs="Times New Roman"/>
          <w:szCs w:val="24"/>
          <w:lang w:val="lv-LV"/>
        </w:rPr>
        <w:t>un aizstāvja</w:t>
      </w:r>
      <w:r w:rsidR="00F8711D" w:rsidRPr="00F8711D">
        <w:rPr>
          <w:rFonts w:cs="Times New Roman"/>
          <w:szCs w:val="24"/>
          <w:lang w:val="lv-LV"/>
        </w:rPr>
        <w:t xml:space="preserve"> lūgums par lietas izskatīšanu mutvārdu procesā ir noraidāms, un atbilstoši Kriminālprocesa likuma 583.panta pirmajai daļai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14:paraId="6DBCCFE3" w14:textId="77777777" w:rsidR="00B0790F" w:rsidRDefault="00B0790F" w:rsidP="00B0790F">
      <w:pPr>
        <w:spacing w:after="0"/>
        <w:ind w:firstLine="709"/>
        <w:jc w:val="both"/>
        <w:rPr>
          <w:rFonts w:cs="Times New Roman"/>
          <w:szCs w:val="24"/>
          <w:lang w:val="lv-LV"/>
        </w:rPr>
      </w:pPr>
    </w:p>
    <w:p w14:paraId="64FB670D" w14:textId="1EDD753E" w:rsidR="009B7ECD" w:rsidRDefault="00F8711D" w:rsidP="00E97067">
      <w:pPr>
        <w:spacing w:after="0"/>
        <w:ind w:firstLine="709"/>
        <w:jc w:val="both"/>
        <w:rPr>
          <w:rFonts w:cs="Times New Roman"/>
          <w:szCs w:val="24"/>
          <w:lang w:val="lv-LV"/>
        </w:rPr>
      </w:pPr>
      <w:r>
        <w:rPr>
          <w:rFonts w:cs="Times New Roman"/>
          <w:szCs w:val="24"/>
          <w:lang w:val="lv-LV"/>
        </w:rPr>
        <w:t>[6] </w:t>
      </w:r>
      <w:r w:rsidR="0041549A">
        <w:rPr>
          <w:rFonts w:cs="Times New Roman"/>
          <w:szCs w:val="24"/>
          <w:lang w:val="lv-LV"/>
        </w:rPr>
        <w:t xml:space="preserve">Senāts </w:t>
      </w:r>
      <w:r w:rsidR="002858FB">
        <w:rPr>
          <w:rFonts w:cs="Times New Roman"/>
          <w:szCs w:val="24"/>
          <w:lang w:val="lv-LV"/>
        </w:rPr>
        <w:t>atzīst</w:t>
      </w:r>
      <w:r w:rsidR="007138AC">
        <w:rPr>
          <w:rFonts w:cs="Times New Roman"/>
          <w:szCs w:val="24"/>
          <w:lang w:val="lv-LV"/>
        </w:rPr>
        <w:t xml:space="preserve">, ka </w:t>
      </w:r>
      <w:r w:rsidR="0063504A">
        <w:rPr>
          <w:rFonts w:cs="Times New Roman"/>
          <w:szCs w:val="24"/>
          <w:lang w:val="lv-LV"/>
        </w:rPr>
        <w:t>[..]</w:t>
      </w:r>
      <w:r w:rsidR="007138AC">
        <w:rPr>
          <w:rFonts w:cs="Times New Roman"/>
          <w:szCs w:val="24"/>
          <w:lang w:val="lv-LV"/>
        </w:rPr>
        <w:t xml:space="preserve"> apgabaltiesas 2019.gada </w:t>
      </w:r>
      <w:r w:rsidR="0063504A">
        <w:rPr>
          <w:rFonts w:cs="Times New Roman"/>
          <w:szCs w:val="24"/>
          <w:lang w:val="lv-LV"/>
        </w:rPr>
        <w:t>[..]</w:t>
      </w:r>
      <w:r w:rsidR="007138AC">
        <w:rPr>
          <w:rFonts w:cs="Times New Roman"/>
          <w:szCs w:val="24"/>
          <w:lang w:val="lv-LV"/>
        </w:rPr>
        <w:t xml:space="preserve"> spriedums</w:t>
      </w:r>
      <w:r>
        <w:rPr>
          <w:rFonts w:cs="Times New Roman"/>
          <w:szCs w:val="24"/>
          <w:lang w:val="lv-LV"/>
        </w:rPr>
        <w:t xml:space="preserve"> atstājams negrozīts, bet apsūdzētā </w:t>
      </w:r>
      <w:r w:rsidR="0063504A">
        <w:rPr>
          <w:rFonts w:cs="Times New Roman"/>
          <w:szCs w:val="24"/>
          <w:lang w:val="lv-LV"/>
        </w:rPr>
        <w:t>[pers. A]</w:t>
      </w:r>
      <w:r>
        <w:rPr>
          <w:rFonts w:cs="Times New Roman"/>
          <w:szCs w:val="24"/>
          <w:lang w:val="lv-LV"/>
        </w:rPr>
        <w:t xml:space="preserve"> un aizstāvja J. </w:t>
      </w:r>
      <w:proofErr w:type="spellStart"/>
      <w:r>
        <w:rPr>
          <w:rFonts w:cs="Times New Roman"/>
          <w:szCs w:val="24"/>
          <w:lang w:val="lv-LV"/>
        </w:rPr>
        <w:t>Ernstsona</w:t>
      </w:r>
      <w:proofErr w:type="spellEnd"/>
      <w:r w:rsidRPr="009B7ECD">
        <w:rPr>
          <w:rFonts w:cs="Times New Roman"/>
          <w:szCs w:val="24"/>
          <w:lang w:val="lv-LV"/>
        </w:rPr>
        <w:t xml:space="preserve"> </w:t>
      </w:r>
      <w:r>
        <w:rPr>
          <w:rFonts w:cs="Times New Roman"/>
          <w:szCs w:val="24"/>
          <w:lang w:val="lv-LV"/>
        </w:rPr>
        <w:t>kasācijas sūdzības noraidāmas.</w:t>
      </w:r>
    </w:p>
    <w:p w14:paraId="1BAD45A7" w14:textId="77777777" w:rsidR="00204EC2" w:rsidRDefault="00204EC2" w:rsidP="00E97067">
      <w:pPr>
        <w:spacing w:after="0"/>
        <w:ind w:firstLine="709"/>
        <w:jc w:val="both"/>
        <w:rPr>
          <w:rFonts w:cs="Times New Roman"/>
          <w:szCs w:val="24"/>
          <w:lang w:val="lv-LV"/>
        </w:rPr>
      </w:pPr>
    </w:p>
    <w:p w14:paraId="6155C8AB" w14:textId="705C5B75" w:rsidR="00101154" w:rsidRDefault="00101154" w:rsidP="00E97067">
      <w:pPr>
        <w:spacing w:after="0"/>
        <w:ind w:firstLine="709"/>
        <w:jc w:val="both"/>
        <w:rPr>
          <w:rFonts w:cs="Times New Roman"/>
          <w:szCs w:val="24"/>
          <w:lang w:val="lv-LV"/>
        </w:rPr>
      </w:pPr>
      <w:r w:rsidRPr="008B4653">
        <w:rPr>
          <w:rFonts w:cs="Times New Roman"/>
          <w:szCs w:val="24"/>
          <w:lang w:val="lv-LV"/>
        </w:rPr>
        <w:t>[</w:t>
      </w:r>
      <w:r w:rsidR="00204EC2" w:rsidRPr="008B4653">
        <w:rPr>
          <w:rFonts w:cs="Times New Roman"/>
          <w:szCs w:val="24"/>
          <w:lang w:val="lv-LV"/>
        </w:rPr>
        <w:t>7</w:t>
      </w:r>
      <w:r w:rsidR="007802CB">
        <w:rPr>
          <w:rFonts w:cs="Times New Roman"/>
          <w:szCs w:val="24"/>
          <w:lang w:val="lv-LV"/>
        </w:rPr>
        <w:t>] Senāts konstatē</w:t>
      </w:r>
      <w:r w:rsidRPr="008B4653">
        <w:rPr>
          <w:rFonts w:cs="Times New Roman"/>
          <w:szCs w:val="24"/>
          <w:lang w:val="lv-LV"/>
        </w:rPr>
        <w:t xml:space="preserve">, ka </w:t>
      </w:r>
      <w:r w:rsidR="00B846C9" w:rsidRPr="008B4653">
        <w:rPr>
          <w:rFonts w:cs="Times New Roman"/>
          <w:color w:val="000000" w:themeColor="text1"/>
          <w:szCs w:val="24"/>
          <w:lang w:val="lv-LV"/>
        </w:rPr>
        <w:t>apsūdzētā</w:t>
      </w:r>
      <w:r w:rsidR="00B846C9" w:rsidRPr="008B4653">
        <w:rPr>
          <w:rFonts w:cs="Times New Roman"/>
          <w:color w:val="FF0000"/>
          <w:szCs w:val="24"/>
          <w:lang w:val="lv-LV"/>
        </w:rPr>
        <w:t xml:space="preserve"> </w:t>
      </w:r>
      <w:r w:rsidR="00B846C9" w:rsidRPr="008B4653">
        <w:rPr>
          <w:rFonts w:cs="Times New Roman"/>
          <w:szCs w:val="24"/>
          <w:lang w:val="lv-LV"/>
        </w:rPr>
        <w:t xml:space="preserve">un </w:t>
      </w:r>
      <w:r w:rsidRPr="008B4653">
        <w:rPr>
          <w:rFonts w:cs="Times New Roman"/>
          <w:szCs w:val="24"/>
          <w:lang w:val="lv-LV"/>
        </w:rPr>
        <w:t>aizstāvja kasācijas sūdzība</w:t>
      </w:r>
      <w:r w:rsidR="00B846C9" w:rsidRPr="008B4653">
        <w:rPr>
          <w:rFonts w:cs="Times New Roman"/>
          <w:szCs w:val="24"/>
          <w:lang w:val="lv-LV"/>
        </w:rPr>
        <w:t>s</w:t>
      </w:r>
      <w:r w:rsidRPr="008B4653">
        <w:rPr>
          <w:rFonts w:cs="Times New Roman"/>
          <w:szCs w:val="24"/>
          <w:lang w:val="lv-LV"/>
        </w:rPr>
        <w:t xml:space="preserve"> nav pamatota</w:t>
      </w:r>
      <w:r w:rsidR="00B846C9" w:rsidRPr="008B4653">
        <w:rPr>
          <w:rFonts w:cs="Times New Roman"/>
          <w:szCs w:val="24"/>
          <w:lang w:val="lv-LV"/>
        </w:rPr>
        <w:t>s</w:t>
      </w:r>
      <w:r w:rsidRPr="008B4653">
        <w:rPr>
          <w:rFonts w:cs="Times New Roman"/>
          <w:szCs w:val="24"/>
          <w:lang w:val="lv-LV"/>
        </w:rPr>
        <w:t xml:space="preserve"> ar tādiem</w:t>
      </w:r>
      <w:r>
        <w:rPr>
          <w:rFonts w:cs="Times New Roman"/>
          <w:szCs w:val="24"/>
          <w:lang w:val="lv-LV"/>
        </w:rPr>
        <w:t xml:space="preserve"> argumentiem, kuri </w:t>
      </w:r>
      <w:r w:rsidR="007802CB">
        <w:rPr>
          <w:rFonts w:cs="Times New Roman"/>
          <w:szCs w:val="24"/>
          <w:lang w:val="lv-LV"/>
        </w:rPr>
        <w:t>varētu būt</w:t>
      </w:r>
      <w:r>
        <w:rPr>
          <w:rFonts w:cs="Times New Roman"/>
          <w:szCs w:val="24"/>
          <w:lang w:val="lv-LV"/>
        </w:rPr>
        <w:t xml:space="preserve"> par pamatu </w:t>
      </w:r>
      <w:r w:rsidR="003002EC">
        <w:rPr>
          <w:rFonts w:cs="Times New Roman"/>
          <w:szCs w:val="24"/>
          <w:lang w:val="lv-LV"/>
        </w:rPr>
        <w:t>abu zemāku</w:t>
      </w:r>
      <w:r>
        <w:rPr>
          <w:rFonts w:cs="Times New Roman"/>
          <w:szCs w:val="24"/>
          <w:lang w:val="lv-LV"/>
        </w:rPr>
        <w:t xml:space="preserve"> instanču tiesu nolēmumu atcelšanai un lietas nosūtīšanai jaunai izskatīšanai pirmās instances tiesā. </w:t>
      </w:r>
    </w:p>
    <w:p w14:paraId="33004062" w14:textId="60FEC2C6" w:rsidR="00204EC2" w:rsidRPr="00E97067" w:rsidRDefault="007802CB" w:rsidP="00E97067">
      <w:pPr>
        <w:pStyle w:val="Default"/>
        <w:spacing w:line="276" w:lineRule="auto"/>
        <w:ind w:firstLine="709"/>
        <w:jc w:val="both"/>
        <w:rPr>
          <w:color w:val="FF0000"/>
        </w:rPr>
      </w:pPr>
      <w:r>
        <w:t xml:space="preserve">Pretēji </w:t>
      </w:r>
      <w:r w:rsidR="00204EC2" w:rsidRPr="008B4653">
        <w:t xml:space="preserve">kasācijas sūdzībā minētajam, </w:t>
      </w:r>
      <w:r w:rsidR="00204EC2" w:rsidRPr="008B4653">
        <w:rPr>
          <w:color w:val="000000" w:themeColor="text1"/>
        </w:rPr>
        <w:t xml:space="preserve">Senāts </w:t>
      </w:r>
      <w:r w:rsidR="0041549A" w:rsidRPr="008B4653">
        <w:rPr>
          <w:color w:val="000000" w:themeColor="text1"/>
        </w:rPr>
        <w:t xml:space="preserve">konstatē, ka </w:t>
      </w:r>
      <w:r w:rsidR="007A26A7" w:rsidRPr="008B4653">
        <w:rPr>
          <w:color w:val="000000" w:themeColor="text1"/>
        </w:rPr>
        <w:t xml:space="preserve">pirmās instances tiesā </w:t>
      </w:r>
      <w:r w:rsidR="008B4653" w:rsidRPr="008B4653">
        <w:rPr>
          <w:color w:val="000000" w:themeColor="text1"/>
        </w:rPr>
        <w:t>nav</w:t>
      </w:r>
      <w:r w:rsidR="0041549A" w:rsidRPr="008B4653">
        <w:rPr>
          <w:color w:val="000000" w:themeColor="text1"/>
        </w:rPr>
        <w:t xml:space="preserve"> pārkāptas </w:t>
      </w:r>
      <w:r w:rsidR="00204EC2" w:rsidRPr="008B4653">
        <w:rPr>
          <w:color w:val="000000" w:themeColor="text1"/>
        </w:rPr>
        <w:t xml:space="preserve">apsūdzētā </w:t>
      </w:r>
      <w:r w:rsidR="0063504A">
        <w:rPr>
          <w:color w:val="000000" w:themeColor="text1"/>
        </w:rPr>
        <w:t>[pers. A]</w:t>
      </w:r>
      <w:r w:rsidR="0041549A" w:rsidRPr="008B4653">
        <w:rPr>
          <w:color w:val="000000" w:themeColor="text1"/>
        </w:rPr>
        <w:t xml:space="preserve"> tiesības</w:t>
      </w:r>
      <w:r w:rsidR="00204EC2" w:rsidRPr="008B4653">
        <w:rPr>
          <w:color w:val="000000" w:themeColor="text1"/>
        </w:rPr>
        <w:t xml:space="preserve"> tikties ar aizstāvi sarunas konfidencialitāti nodrošinošos apstākļos</w:t>
      </w:r>
      <w:r w:rsidR="00E82FA6" w:rsidRPr="008B4653">
        <w:rPr>
          <w:color w:val="000000" w:themeColor="text1"/>
        </w:rPr>
        <w:t xml:space="preserve"> </w:t>
      </w:r>
      <w:r w:rsidR="00204EC2" w:rsidRPr="008B4653">
        <w:t xml:space="preserve">un </w:t>
      </w:r>
      <w:r w:rsidR="0041549A" w:rsidRPr="008B4653">
        <w:t xml:space="preserve">apsūdzētā </w:t>
      </w:r>
      <w:r w:rsidR="00204EC2" w:rsidRPr="008B4653">
        <w:t>tiesīb</w:t>
      </w:r>
      <w:r w:rsidR="0041549A" w:rsidRPr="008B4653">
        <w:t>as</w:t>
      </w:r>
      <w:r w:rsidR="00204EC2" w:rsidRPr="008B4653">
        <w:t xml:space="preserve"> saņemt juridisko palīdzību, kas noteiktas Kriminālprocesa likuma 60.</w:t>
      </w:r>
      <w:r w:rsidR="00204EC2" w:rsidRPr="008B4653">
        <w:rPr>
          <w:vertAlign w:val="superscript"/>
        </w:rPr>
        <w:t xml:space="preserve">2 </w:t>
      </w:r>
      <w:r w:rsidR="00204EC2" w:rsidRPr="008B4653">
        <w:t>panta pirmās daļas 2.</w:t>
      </w:r>
      <w:r w:rsidR="00C142C1" w:rsidRPr="008B4653">
        <w:t xml:space="preserve"> </w:t>
      </w:r>
      <w:r w:rsidR="00204EC2" w:rsidRPr="008B4653">
        <w:t>un 3.punktā.</w:t>
      </w:r>
    </w:p>
    <w:p w14:paraId="2BB2B789" w14:textId="77777777" w:rsidR="007A26A7" w:rsidRDefault="00204EC2" w:rsidP="00E97067">
      <w:pPr>
        <w:pStyle w:val="NormalWeb"/>
        <w:shd w:val="clear" w:color="auto" w:fill="FFFFFF"/>
        <w:spacing w:before="0" w:beforeAutospacing="0" w:after="0" w:afterAutospacing="0" w:line="276" w:lineRule="auto"/>
        <w:ind w:firstLine="720"/>
        <w:jc w:val="both"/>
        <w:rPr>
          <w:lang w:val="lv-LV"/>
        </w:rPr>
      </w:pPr>
      <w:r w:rsidRPr="00C142C1">
        <w:rPr>
          <w:lang w:val="lv-LV"/>
        </w:rPr>
        <w:t xml:space="preserve">Eiropas Cilvēktiesību judikatūrā nostiprināts princips, ka Cilvēka tiesību un pamatbrīvību aizsardzības konvencijas (turpmāk – Konvencija) 6.panta 3.punkta </w:t>
      </w:r>
      <w:r w:rsidR="00C151E7" w:rsidRPr="00C142C1">
        <w:rPr>
          <w:lang w:val="lv-LV"/>
        </w:rPr>
        <w:t>c) </w:t>
      </w:r>
      <w:r w:rsidRPr="00C142C1">
        <w:rPr>
          <w:lang w:val="lv-LV"/>
        </w:rPr>
        <w:t>apakšpunktā garantētās tiesības sevi aizstāvēt pašam vai saņemt paša izvēlēta aizstāvja juridisku palīdzību, ir viens no tiesību uz taisnīgu tiesu elementiem, tādēļ izvērtējams, vai apsūdzētā tiesības uz aizstāvību bija ierobežotas tiktāl, ka tas jau negatīvi ietekmēja visa procesa taisnīgumu Konvencijas 6.panta 1.punkta izpratnē (</w:t>
      </w:r>
      <w:r w:rsidR="009B3920" w:rsidRPr="00C142C1">
        <w:rPr>
          <w:i/>
          <w:lang w:val="lv-LV"/>
        </w:rPr>
        <w:t>Eiropas Cilvēktiesību tiesas 2016.gada 6.</w:t>
      </w:r>
      <w:r w:rsidR="00C151E7" w:rsidRPr="00C142C1">
        <w:rPr>
          <w:i/>
          <w:lang w:val="lv-LV"/>
        </w:rPr>
        <w:t>oktobra spriedum</w:t>
      </w:r>
      <w:r w:rsidR="009B3920" w:rsidRPr="00C142C1">
        <w:rPr>
          <w:i/>
          <w:lang w:val="lv-LV"/>
        </w:rPr>
        <w:t>s</w:t>
      </w:r>
      <w:r w:rsidR="00C151E7" w:rsidRPr="00C142C1">
        <w:rPr>
          <w:i/>
          <w:lang w:val="lv-LV"/>
        </w:rPr>
        <w:t xml:space="preserve"> lietā</w:t>
      </w:r>
      <w:r w:rsidR="00BC2D38">
        <w:rPr>
          <w:i/>
          <w:lang w:val="lv-LV"/>
        </w:rPr>
        <w:t xml:space="preserve"> „</w:t>
      </w:r>
      <w:proofErr w:type="spellStart"/>
      <w:r w:rsidR="00BC2D38">
        <w:rPr>
          <w:i/>
          <w:lang w:val="lv-LV"/>
        </w:rPr>
        <w:t>Jemeļjanovs</w:t>
      </w:r>
      <w:proofErr w:type="spellEnd"/>
      <w:r w:rsidR="00BC2D38">
        <w:rPr>
          <w:i/>
          <w:lang w:val="lv-LV"/>
        </w:rPr>
        <w:t xml:space="preserve"> pret Latviju”</w:t>
      </w:r>
      <w:r w:rsidRPr="00C142C1">
        <w:rPr>
          <w:i/>
          <w:lang w:val="lv-LV"/>
        </w:rPr>
        <w:t xml:space="preserve">, </w:t>
      </w:r>
      <w:r w:rsidR="009B3920" w:rsidRPr="00C142C1">
        <w:rPr>
          <w:i/>
          <w:lang w:val="lv-LV"/>
        </w:rPr>
        <w:t>iesnieguma Nr. 37364/05</w:t>
      </w:r>
      <w:r w:rsidRPr="00C142C1">
        <w:rPr>
          <w:lang w:val="lv-LV"/>
        </w:rPr>
        <w:t>).</w:t>
      </w:r>
    </w:p>
    <w:p w14:paraId="0237C4A3" w14:textId="77777777" w:rsidR="00204EC2" w:rsidRDefault="00204EC2" w:rsidP="00E97067">
      <w:pPr>
        <w:pStyle w:val="NormalWeb"/>
        <w:shd w:val="clear" w:color="auto" w:fill="FFFFFF"/>
        <w:spacing w:before="0" w:beforeAutospacing="0" w:after="0" w:afterAutospacing="0" w:line="276" w:lineRule="auto"/>
        <w:ind w:firstLine="720"/>
        <w:jc w:val="both"/>
        <w:rPr>
          <w:color w:val="FF0000"/>
          <w:lang w:val="lv-LV"/>
        </w:rPr>
      </w:pPr>
      <w:r w:rsidRPr="00C142C1">
        <w:rPr>
          <w:lang w:val="lv-LV"/>
        </w:rPr>
        <w:t xml:space="preserve"> </w:t>
      </w:r>
    </w:p>
    <w:p w14:paraId="307F47BB" w14:textId="2751211F" w:rsidR="00C142C1" w:rsidRPr="009B7ECD" w:rsidRDefault="008C0A5D" w:rsidP="00A3325C">
      <w:pPr>
        <w:pStyle w:val="Default"/>
        <w:spacing w:line="276" w:lineRule="auto"/>
        <w:ind w:firstLine="720"/>
        <w:jc w:val="both"/>
      </w:pPr>
      <w:r>
        <w:t>[7.1] </w:t>
      </w:r>
      <w:r w:rsidR="00C142C1" w:rsidRPr="009B7ECD">
        <w:t>Senāts</w:t>
      </w:r>
      <w:r w:rsidR="00A3325C">
        <w:t xml:space="preserve"> atzīst</w:t>
      </w:r>
      <w:r w:rsidR="00C142C1" w:rsidRPr="009B7ECD">
        <w:t>, ka apel</w:t>
      </w:r>
      <w:r w:rsidR="00A3325C">
        <w:t xml:space="preserve">ācijas instances tiesa pamatoti nav konstatējusi </w:t>
      </w:r>
      <w:r w:rsidR="00A3325C" w:rsidRPr="009B7ECD">
        <w:t xml:space="preserve">apsūdzētā </w:t>
      </w:r>
      <w:r w:rsidR="0063504A">
        <w:t>[pers. A]</w:t>
      </w:r>
      <w:r w:rsidR="00A3325C">
        <w:t xml:space="preserve"> </w:t>
      </w:r>
      <w:r w:rsidR="008A778F">
        <w:t>tiesību</w:t>
      </w:r>
      <w:r w:rsidR="00A3325C" w:rsidRPr="009B7ECD">
        <w:t xml:space="preserve"> uz taisnīgu tiesu</w:t>
      </w:r>
      <w:r w:rsidR="00A3325C">
        <w:t xml:space="preserve"> pārkāpumu, </w:t>
      </w:r>
      <w:r w:rsidR="00C142C1" w:rsidRPr="009B7ECD">
        <w:t xml:space="preserve">nodrošinot </w:t>
      </w:r>
      <w:r w:rsidR="00C949CC">
        <w:t>[pers. A]</w:t>
      </w:r>
      <w:r w:rsidR="00A3325C">
        <w:t xml:space="preserve"> valsts aizstāvi pirmās instances tiesā.</w:t>
      </w:r>
      <w:r w:rsidR="00C142C1" w:rsidRPr="009B7ECD">
        <w:t xml:space="preserve"> </w:t>
      </w:r>
    </w:p>
    <w:p w14:paraId="0ACE40C5" w14:textId="77777777" w:rsidR="00C142C1" w:rsidRDefault="00C142C1" w:rsidP="00C142C1">
      <w:pPr>
        <w:pStyle w:val="Default"/>
        <w:spacing w:line="276" w:lineRule="auto"/>
        <w:ind w:firstLine="720"/>
        <w:jc w:val="both"/>
      </w:pPr>
      <w:r w:rsidRPr="009B7ECD">
        <w:t xml:space="preserve">Saskaņā ar Kriminālprocesa likuma 80.panta pirmo daļu vienošanos ar advokātu par aizstāvību slēdz pati persona vai tās interesēs cita persona. Minētā panta otrā daļa noteic, ka procesa virzītājs neslēdz vienošanos par aizstāvību un nevar aicināt konkrētu advokātu par aizstāvi, bet nodrošina ieinteresēto personu ar nepieciešamo informāciju un dod tai iespēju izmantot sakaru līdzekļus aizstāvja uzaicināšanai. Savukārt </w:t>
      </w:r>
      <w:r w:rsidR="00B846C9">
        <w:t>atbilstoši minētā panta trešajai</w:t>
      </w:r>
      <w:r w:rsidRPr="009B7ECD">
        <w:t xml:space="preserve"> daļa</w:t>
      </w:r>
      <w:r w:rsidR="00B846C9">
        <w:t>i, j</w:t>
      </w:r>
      <w:r w:rsidRPr="009B7ECD">
        <w:t xml:space="preserve">a persona, kurai ir tiesības uz aizstāvību, nav noslēgusi vienošanos par aizstāvību, bet aizstāvja piedalīšanās ir obligāta vai persona vēlas aizstāvja piedalīšanos, procesa virzītājs </w:t>
      </w:r>
      <w:r w:rsidRPr="009B7ECD">
        <w:lastRenderedPageBreak/>
        <w:t>paziņo attiecīgās tiesas darbības teritorijas zvērinātu advokātu vecākajam par nepieciešamību nodrošināt aizstāvja piedalīšanos kriminālprocesā.</w:t>
      </w:r>
    </w:p>
    <w:p w14:paraId="25977047" w14:textId="6C7D9673" w:rsidR="00C142C1" w:rsidRPr="009B7ECD" w:rsidRDefault="00C142C1" w:rsidP="00C142C1">
      <w:pPr>
        <w:pStyle w:val="Default"/>
        <w:spacing w:line="276" w:lineRule="auto"/>
        <w:ind w:firstLine="720"/>
        <w:jc w:val="both"/>
      </w:pPr>
      <w:r w:rsidRPr="009B7ECD">
        <w:t>Kriminālprocesa likuma 83.pantā ir uzskaitīti kriminālprocesi, kuros aizstāvja piedalīšanās ir obligāta, cita starp</w:t>
      </w:r>
      <w:r>
        <w:t>ā</w:t>
      </w:r>
      <w:r w:rsidR="00DE5BBB">
        <w:t>,</w:t>
      </w:r>
      <w:r w:rsidRPr="009B7ECD">
        <w:t xml:space="preserve"> personai ar tik zemu izglītības līmeni, ka tā nevar pilnvērtīgi izmantot savas procesuālās tiesības.</w:t>
      </w:r>
    </w:p>
    <w:p w14:paraId="3DBB1BCD" w14:textId="654AD94C" w:rsidR="00C142C1" w:rsidRPr="009B7ECD" w:rsidRDefault="00C142C1" w:rsidP="00C142C1">
      <w:pPr>
        <w:pStyle w:val="Default"/>
        <w:spacing w:line="276" w:lineRule="auto"/>
        <w:ind w:firstLine="720"/>
        <w:jc w:val="both"/>
      </w:pPr>
      <w:r w:rsidRPr="009B7ECD">
        <w:t xml:space="preserve">Senāts </w:t>
      </w:r>
      <w:r>
        <w:t>atzīst</w:t>
      </w:r>
      <w:r w:rsidRPr="009B7ECD">
        <w:t xml:space="preserve">, ka </w:t>
      </w:r>
      <w:r w:rsidR="00C949CC">
        <w:t xml:space="preserve">[rajona (pilsētas)] </w:t>
      </w:r>
      <w:r w:rsidRPr="009B7ECD">
        <w:t>tiesa kā procesa virzītājs ir izpildījusi minētās Kriminālprocesa likuma 80.panta trešās daļas prasības un ievēroj</w:t>
      </w:r>
      <w:r>
        <w:t>usi</w:t>
      </w:r>
      <w:r w:rsidR="007802CB">
        <w:t xml:space="preserve"> </w:t>
      </w:r>
      <w:r w:rsidRPr="009B7ECD">
        <w:t xml:space="preserve">judikatūru. </w:t>
      </w:r>
    </w:p>
    <w:p w14:paraId="4E26504D" w14:textId="77777777" w:rsidR="00C142C1" w:rsidRPr="009B7ECD" w:rsidRDefault="00C142C1" w:rsidP="00C142C1">
      <w:pPr>
        <w:pStyle w:val="Default"/>
        <w:spacing w:line="276" w:lineRule="auto"/>
        <w:ind w:firstLine="720"/>
        <w:jc w:val="both"/>
      </w:pPr>
      <w:r>
        <w:t>Augstākā tiesa paudusi atziņu</w:t>
      </w:r>
      <w:r w:rsidRPr="009B7ECD">
        <w:t>, ka personas tiesības uzaicināt paša izvēlētu aizstāvi nav absolūtas un tās leģitīma mērķa sasniegšanai var samērīgi ierobežot, tostarp, lai panāktu citu taisnīgas tiesas elementu (piemēram, lietas izskatīšana saprātīgā termiņā) efektīvāku nodrošināšanu</w:t>
      </w:r>
      <w:r>
        <w:t xml:space="preserve"> </w:t>
      </w:r>
      <w:r w:rsidR="00BC2D38">
        <w:t>(</w:t>
      </w:r>
      <w:r w:rsidRPr="00E97067">
        <w:rPr>
          <w:i/>
        </w:rPr>
        <w:t>Augstākās tiesas Senāta Krimināllietu departamenta 2012.gada 20.septembra lēmum</w:t>
      </w:r>
      <w:r w:rsidR="00B846C9">
        <w:rPr>
          <w:i/>
        </w:rPr>
        <w:t>s</w:t>
      </w:r>
      <w:r w:rsidRPr="00E97067">
        <w:rPr>
          <w:i/>
        </w:rPr>
        <w:t xml:space="preserve"> lietā </w:t>
      </w:r>
      <w:r w:rsidR="00BC2D38" w:rsidRPr="00E97067">
        <w:rPr>
          <w:i/>
        </w:rPr>
        <w:t>Nr. </w:t>
      </w:r>
      <w:r w:rsidRPr="00E97067">
        <w:rPr>
          <w:i/>
        </w:rPr>
        <w:t xml:space="preserve">SKK-443/2012 </w:t>
      </w:r>
      <w:r w:rsidR="00BC2D38" w:rsidRPr="00E97067">
        <w:rPr>
          <w:i/>
        </w:rPr>
        <w:t>(Nr. 11091128507)</w:t>
      </w:r>
      <w:r w:rsidR="00BC2D38">
        <w:t>).</w:t>
      </w:r>
    </w:p>
    <w:p w14:paraId="2EE38918" w14:textId="77777777" w:rsidR="00BC2D38" w:rsidRPr="00E97067" w:rsidRDefault="00BC2D38" w:rsidP="00BC2D38">
      <w:pPr>
        <w:pStyle w:val="Default"/>
        <w:spacing w:line="276" w:lineRule="auto"/>
        <w:ind w:firstLine="720"/>
        <w:jc w:val="both"/>
      </w:pPr>
      <w:r w:rsidRPr="009B7ECD">
        <w:t>Arī</w:t>
      </w:r>
      <w:r>
        <w:t xml:space="preserve"> Eiropas</w:t>
      </w:r>
      <w:r w:rsidRPr="009B7ECD">
        <w:t xml:space="preserve"> Cilvēktiesību tiesa vairākkārt</w:t>
      </w:r>
      <w:r>
        <w:t xml:space="preserve"> atzinusi</w:t>
      </w:r>
      <w:r w:rsidRPr="009B7ECD">
        <w:t>, ka nacionālajām iestādēm ir jārespektē apsūdzētā vēlmes pašam izvēlēties aizstāvi, taču iestādes var neievērot apsūdzētā prasības gadījumos, kad tas ir nepiecie</w:t>
      </w:r>
      <w:r>
        <w:t>šams tiesvedības interesēs (</w:t>
      </w:r>
      <w:r w:rsidRPr="00BC2D38">
        <w:rPr>
          <w:i/>
        </w:rPr>
        <w:t>Eiropas Cilvēktiesību tiesas 2016.gada 6.oktobra spriedum</w:t>
      </w:r>
      <w:r w:rsidR="00B846C9">
        <w:rPr>
          <w:i/>
        </w:rPr>
        <w:t>s</w:t>
      </w:r>
      <w:r w:rsidRPr="00BC2D38">
        <w:rPr>
          <w:i/>
        </w:rPr>
        <w:t xml:space="preserve"> lietā „</w:t>
      </w:r>
      <w:proofErr w:type="spellStart"/>
      <w:r w:rsidRPr="00BC2D38">
        <w:rPr>
          <w:i/>
        </w:rPr>
        <w:t>Jemeļjanov</w:t>
      </w:r>
      <w:r>
        <w:rPr>
          <w:i/>
        </w:rPr>
        <w:t>s</w:t>
      </w:r>
      <w:proofErr w:type="spellEnd"/>
      <w:r>
        <w:rPr>
          <w:i/>
        </w:rPr>
        <w:t xml:space="preserve"> pret Latviju”, iesnieguma Nr. </w:t>
      </w:r>
      <w:r w:rsidRPr="00BC2D38">
        <w:rPr>
          <w:i/>
        </w:rPr>
        <w:t>37364/05</w:t>
      </w:r>
      <w:r>
        <w:rPr>
          <w:i/>
        </w:rPr>
        <w:t xml:space="preserve">; 2017.gada 18.maija </w:t>
      </w:r>
      <w:r w:rsidR="00E93360">
        <w:rPr>
          <w:i/>
        </w:rPr>
        <w:t>lēmums</w:t>
      </w:r>
      <w:r>
        <w:rPr>
          <w:i/>
        </w:rPr>
        <w:t xml:space="preserve"> lietā „</w:t>
      </w:r>
      <w:proofErr w:type="spellStart"/>
      <w:r w:rsidRPr="009B7ECD">
        <w:rPr>
          <w:i/>
        </w:rPr>
        <w:t>Tuziks</w:t>
      </w:r>
      <w:proofErr w:type="spellEnd"/>
      <w:r w:rsidRPr="009B7ECD">
        <w:rPr>
          <w:i/>
        </w:rPr>
        <w:t xml:space="preserve"> pret Latviju”</w:t>
      </w:r>
      <w:r>
        <w:rPr>
          <w:i/>
        </w:rPr>
        <w:t xml:space="preserve">, iesnieguma </w:t>
      </w:r>
      <w:r w:rsidRPr="009B7ECD">
        <w:rPr>
          <w:i/>
        </w:rPr>
        <w:t>Nr.</w:t>
      </w:r>
      <w:r>
        <w:rPr>
          <w:i/>
        </w:rPr>
        <w:t> 30006/09</w:t>
      </w:r>
      <w:r>
        <w:t>).</w:t>
      </w:r>
    </w:p>
    <w:p w14:paraId="6A0F1F81" w14:textId="78CF1740" w:rsidR="003829B1" w:rsidRPr="002E1541" w:rsidRDefault="003829B1" w:rsidP="003829B1">
      <w:pPr>
        <w:pStyle w:val="Default"/>
        <w:spacing w:line="276" w:lineRule="auto"/>
        <w:ind w:firstLine="720"/>
        <w:jc w:val="both"/>
      </w:pPr>
      <w:r w:rsidRPr="009B7ECD">
        <w:t xml:space="preserve">Senāts konstatē, ka apsūdzētais </w:t>
      </w:r>
      <w:r w:rsidR="00C949CC">
        <w:t>[pers. A]</w:t>
      </w:r>
      <w:r w:rsidRPr="009B7ECD">
        <w:t xml:space="preserve"> </w:t>
      </w:r>
      <w:r w:rsidRPr="00B846C9">
        <w:rPr>
          <w:color w:val="auto"/>
        </w:rPr>
        <w:t>iztiesāšan</w:t>
      </w:r>
      <w:r w:rsidR="007802CB">
        <w:rPr>
          <w:color w:val="auto"/>
        </w:rPr>
        <w:t xml:space="preserve">ā </w:t>
      </w:r>
      <w:r w:rsidR="004E5570">
        <w:t>nomainījis</w:t>
      </w:r>
      <w:r w:rsidRPr="009B7ECD">
        <w:t xml:space="preserve"> trīs aizstāvjus, ai</w:t>
      </w:r>
      <w:r w:rsidR="007A26A7">
        <w:t>zbildinoties ar to, ka zvērinātu advokātu</w:t>
      </w:r>
      <w:r w:rsidRPr="009B7ECD">
        <w:t xml:space="preserve"> aizstāvības pozīcija </w:t>
      </w:r>
      <w:r w:rsidR="00AD5A2C">
        <w:t>atšķiras</w:t>
      </w:r>
      <w:r w:rsidRPr="009B7ECD">
        <w:t xml:space="preserve"> no viņa izvēlētās. Apsūdzētais </w:t>
      </w:r>
      <w:r w:rsidR="00C949CC">
        <w:t>[pers. A]</w:t>
      </w:r>
      <w:r w:rsidR="004E5570">
        <w:t xml:space="preserve"> nav precizējis</w:t>
      </w:r>
      <w:r w:rsidRPr="009B7ECD">
        <w:t xml:space="preserve">, kā tieši </w:t>
      </w:r>
      <w:r w:rsidR="004E5570">
        <w:t>tas izpaudies</w:t>
      </w:r>
      <w:r w:rsidR="00AD5A2C">
        <w:t xml:space="preserve">. Turklāt </w:t>
      </w:r>
      <w:r w:rsidR="004E5570">
        <w:t>katru reizi lūdzis</w:t>
      </w:r>
      <w:r w:rsidRPr="009B7ECD">
        <w:t xml:space="preserve"> rajona tiesai </w:t>
      </w:r>
      <w:r w:rsidRPr="002E1541">
        <w:t>izsludināt mēnesi i</w:t>
      </w:r>
      <w:r w:rsidR="00AD5A2C" w:rsidRPr="002E1541">
        <w:t>lgu pārtraukumu jaunas vienošanā</w:t>
      </w:r>
      <w:r w:rsidR="007802CB" w:rsidRPr="002E1541">
        <w:t>s noslēgšanai</w:t>
      </w:r>
      <w:r w:rsidRPr="002E1541">
        <w:t xml:space="preserve">. </w:t>
      </w:r>
    </w:p>
    <w:p w14:paraId="61388422" w14:textId="2A623311" w:rsidR="00AD5A2C" w:rsidRPr="002E1541" w:rsidRDefault="002F71BD" w:rsidP="00AD5A2C">
      <w:pPr>
        <w:pStyle w:val="Default"/>
        <w:spacing w:line="276" w:lineRule="auto"/>
        <w:ind w:firstLine="720"/>
        <w:jc w:val="both"/>
      </w:pPr>
      <w:r w:rsidRPr="002E1541">
        <w:t>No tiesas sēžu</w:t>
      </w:r>
      <w:r w:rsidR="00AD5A2C" w:rsidRPr="002E1541">
        <w:t xml:space="preserve"> protokoliem redzams, ka iztiesāšanā pirmās instances tiesā no </w:t>
      </w:r>
      <w:r w:rsidR="00E7408F" w:rsidRPr="002E1541">
        <w:t>[..]</w:t>
      </w:r>
      <w:r w:rsidR="00AD5A2C" w:rsidRPr="002E1541">
        <w:t xml:space="preserve">.gada 3.jūlija līdz </w:t>
      </w:r>
      <w:r w:rsidR="00E7408F" w:rsidRPr="002E1541">
        <w:t xml:space="preserve">[nākamā] </w:t>
      </w:r>
      <w:r w:rsidR="00AD5A2C" w:rsidRPr="002E1541">
        <w:t xml:space="preserve">gada 4.septembrim apsūdzētā </w:t>
      </w:r>
      <w:r w:rsidR="00C949CC" w:rsidRPr="002E1541">
        <w:t>[pers. A]</w:t>
      </w:r>
      <w:r w:rsidR="004E5570" w:rsidRPr="002E1541">
        <w:t xml:space="preserve"> aizstāvību realizējusi</w:t>
      </w:r>
      <w:r w:rsidR="00AD5A2C" w:rsidRPr="002E1541">
        <w:t xml:space="preserve"> zvērināta advokāte Ieva Cīrule, ar kuru </w:t>
      </w:r>
      <w:r w:rsidR="00C949CC" w:rsidRPr="002E1541">
        <w:t>[pers. A]</w:t>
      </w:r>
      <w:r w:rsidR="00AD5A2C" w:rsidRPr="002E1541">
        <w:t xml:space="preserve"> </w:t>
      </w:r>
      <w:r w:rsidR="003510E3" w:rsidRPr="002E1541">
        <w:t>bija</w:t>
      </w:r>
      <w:r w:rsidR="00AD5A2C" w:rsidRPr="002E1541">
        <w:t xml:space="preserve"> noslēgta vienošanās. </w:t>
      </w:r>
      <w:r w:rsidR="00E7408F" w:rsidRPr="002E1541">
        <w:t>[..]</w:t>
      </w:r>
      <w:r w:rsidR="00AD5A2C" w:rsidRPr="002E1541">
        <w:t xml:space="preserve">.gada 4.septembrī apsūdzētais </w:t>
      </w:r>
      <w:r w:rsidR="00C949CC" w:rsidRPr="002E1541">
        <w:t>[pers. A]</w:t>
      </w:r>
      <w:r w:rsidR="004E5570" w:rsidRPr="002E1541">
        <w:t xml:space="preserve"> atkāpies</w:t>
      </w:r>
      <w:r w:rsidR="00AD5A2C" w:rsidRPr="002E1541">
        <w:t xml:space="preserve"> no </w:t>
      </w:r>
      <w:r w:rsidRPr="002E1541">
        <w:t>minētās</w:t>
      </w:r>
      <w:r w:rsidR="00A36BA5" w:rsidRPr="002E1541">
        <w:t xml:space="preserve"> vienošanās, pamatojot to</w:t>
      </w:r>
      <w:r w:rsidR="00AD5A2C" w:rsidRPr="002E1541">
        <w:t xml:space="preserve"> ar atšķirīgu </w:t>
      </w:r>
      <w:r w:rsidR="00AD5A2C" w:rsidRPr="002E1541">
        <w:rPr>
          <w:color w:val="auto"/>
        </w:rPr>
        <w:t xml:space="preserve">izpratni </w:t>
      </w:r>
      <w:r w:rsidR="00AD5A2C" w:rsidRPr="002E1541">
        <w:t>par</w:t>
      </w:r>
      <w:r w:rsidR="00A36BA5" w:rsidRPr="002E1541">
        <w:t xml:space="preserve"> aizstāvības taktik</w:t>
      </w:r>
      <w:r w:rsidR="00AD5A2C" w:rsidRPr="002E1541">
        <w:t xml:space="preserve">u. </w:t>
      </w:r>
      <w:r w:rsidR="00C949CC" w:rsidRPr="002E1541">
        <w:t>[Pers. A]</w:t>
      </w:r>
      <w:r w:rsidR="004E5570" w:rsidRPr="002E1541">
        <w:t xml:space="preserve"> lūdzis</w:t>
      </w:r>
      <w:r w:rsidR="00EA3C4D" w:rsidRPr="002E1541">
        <w:t xml:space="preserve"> rajona tiesu dot</w:t>
      </w:r>
      <w:r w:rsidR="00AD5A2C" w:rsidRPr="002E1541">
        <w:t xml:space="preserve"> viņam </w:t>
      </w:r>
      <w:r w:rsidR="00EA3C4D" w:rsidRPr="002E1541">
        <w:t>mēnesi laika</w:t>
      </w:r>
      <w:r w:rsidR="00AD5A2C" w:rsidRPr="002E1541">
        <w:t xml:space="preserve"> noslēgt vienošanos ar</w:t>
      </w:r>
      <w:r w:rsidR="000E5E6C" w:rsidRPr="002E1541">
        <w:t xml:space="preserve"> citu zvērinātu advokātu</w:t>
      </w:r>
      <w:r w:rsidR="00A36BA5" w:rsidRPr="002E1541">
        <w:t>.</w:t>
      </w:r>
      <w:r w:rsidR="004E5570" w:rsidRPr="002E1541">
        <w:t xml:space="preserve"> Minēto lūgumu tiesa apmierinājusi</w:t>
      </w:r>
      <w:r w:rsidR="000E5E6C" w:rsidRPr="002E1541">
        <w:t xml:space="preserve"> (</w:t>
      </w:r>
      <w:r w:rsidR="00AD5A2C" w:rsidRPr="002E1541">
        <w:rPr>
          <w:i/>
        </w:rPr>
        <w:t>3.sējuma 35.-37.lapa</w:t>
      </w:r>
      <w:r w:rsidR="00AD5A2C" w:rsidRPr="002E1541">
        <w:t>).</w:t>
      </w:r>
    </w:p>
    <w:p w14:paraId="5031F83F" w14:textId="008787D5" w:rsidR="000E5E6C" w:rsidRPr="002E1541" w:rsidRDefault="00716BB1" w:rsidP="000E5E6C">
      <w:pPr>
        <w:pStyle w:val="Default"/>
        <w:spacing w:line="276" w:lineRule="auto"/>
        <w:ind w:firstLine="720"/>
        <w:jc w:val="both"/>
      </w:pPr>
      <w:r w:rsidRPr="002E1541">
        <w:t xml:space="preserve">No </w:t>
      </w:r>
      <w:r w:rsidR="002E1541" w:rsidRPr="002E1541">
        <w:t>[..]</w:t>
      </w:r>
      <w:r w:rsidRPr="002E1541">
        <w:t>.gada 4.okto</w:t>
      </w:r>
      <w:r w:rsidR="000E5E6C" w:rsidRPr="002E1541">
        <w:t xml:space="preserve">bra </w:t>
      </w:r>
      <w:r w:rsidR="00C949CC" w:rsidRPr="002E1541">
        <w:t>[pers. A]</w:t>
      </w:r>
      <w:r w:rsidR="004E5570" w:rsidRPr="002E1541">
        <w:t xml:space="preserve"> aizstāvību īstenojis</w:t>
      </w:r>
      <w:r w:rsidR="000E5E6C" w:rsidRPr="002E1541">
        <w:t xml:space="preserve"> zvērināts advokāts Juris Jurkāns, taču jau </w:t>
      </w:r>
      <w:r w:rsidR="002E1541" w:rsidRPr="002E1541">
        <w:t>[..]</w:t>
      </w:r>
      <w:r w:rsidR="000E5E6C" w:rsidRPr="002E1541">
        <w:t xml:space="preserve">.gada 8.novembrī </w:t>
      </w:r>
      <w:r w:rsidR="00C949CC" w:rsidRPr="002E1541">
        <w:t>[pers. A]</w:t>
      </w:r>
      <w:r w:rsidR="004E5570" w:rsidRPr="002E1541">
        <w:t xml:space="preserve"> atteicies</w:t>
      </w:r>
      <w:r w:rsidR="000E5E6C" w:rsidRPr="002E1541">
        <w:t xml:space="preserve"> no aizstāvja sniegtajiem juridiskiem pakalpojumiem</w:t>
      </w:r>
      <w:r w:rsidR="00A36BA5" w:rsidRPr="002E1541">
        <w:t>, atteikšanos pamatojot ar iepriekš norādītajiem</w:t>
      </w:r>
      <w:r w:rsidR="000E5E6C" w:rsidRPr="002E1541">
        <w:t xml:space="preserve"> motīviem</w:t>
      </w:r>
      <w:r w:rsidR="00A36BA5" w:rsidRPr="002E1541">
        <w:t>,</w:t>
      </w:r>
      <w:r w:rsidR="004E5570" w:rsidRPr="002E1541">
        <w:t xml:space="preserve"> proti</w:t>
      </w:r>
      <w:r w:rsidR="003510E3" w:rsidRPr="002E1541">
        <w:t>,</w:t>
      </w:r>
      <w:r w:rsidR="004E5570" w:rsidRPr="002E1541">
        <w:t xml:space="preserve"> domstarpībām</w:t>
      </w:r>
      <w:r w:rsidR="00A36BA5" w:rsidRPr="002E1541">
        <w:t xml:space="preserve"> ar aizstāvi par izvēlēto aizstāvības taktiku</w:t>
      </w:r>
      <w:r w:rsidR="000E5E6C" w:rsidRPr="002E1541">
        <w:t>. Pi</w:t>
      </w:r>
      <w:r w:rsidR="004E5570" w:rsidRPr="002E1541">
        <w:t>rmās instances tiesa izsludinājusi</w:t>
      </w:r>
      <w:r w:rsidR="000E5E6C" w:rsidRPr="002E1541">
        <w:t xml:space="preserve"> pārtraukumu līdz </w:t>
      </w:r>
      <w:r w:rsidR="002E1541" w:rsidRPr="002E1541">
        <w:t xml:space="preserve">[tā paša] </w:t>
      </w:r>
      <w:r w:rsidR="000E5E6C" w:rsidRPr="002E1541">
        <w:t xml:space="preserve">gada 17.decembrim, ļaujot </w:t>
      </w:r>
      <w:r w:rsidR="00C949CC" w:rsidRPr="002E1541">
        <w:t>[pers. A]</w:t>
      </w:r>
      <w:r w:rsidR="000E5E6C" w:rsidRPr="002E1541">
        <w:t xml:space="preserve"> noslēgt vienošanos ar citu aizstāvi (</w:t>
      </w:r>
      <w:r w:rsidR="000E5E6C" w:rsidRPr="002E1541">
        <w:rPr>
          <w:i/>
        </w:rPr>
        <w:t>3.sējuma 47.-48., 68.-70.lapa</w:t>
      </w:r>
      <w:r w:rsidR="000E5E6C" w:rsidRPr="002E1541">
        <w:t>).</w:t>
      </w:r>
    </w:p>
    <w:p w14:paraId="280D784F" w14:textId="60CC6770" w:rsidR="00F809F8" w:rsidRPr="002E1541" w:rsidRDefault="002E1541" w:rsidP="00716BB1">
      <w:pPr>
        <w:pStyle w:val="Default"/>
        <w:spacing w:line="276" w:lineRule="auto"/>
        <w:ind w:firstLine="720"/>
        <w:jc w:val="both"/>
      </w:pPr>
      <w:r w:rsidRPr="002E1541">
        <w:t>[..]</w:t>
      </w:r>
      <w:r w:rsidR="00716BB1" w:rsidRPr="002E1541">
        <w:t xml:space="preserve">.gada 11.decembrī </w:t>
      </w:r>
      <w:r w:rsidR="005562BD" w:rsidRPr="002E1541">
        <w:t xml:space="preserve">tika </w:t>
      </w:r>
      <w:r w:rsidR="00716BB1" w:rsidRPr="002E1541">
        <w:t xml:space="preserve">noslēgta vienošanās ar zvērinātu advokāti Vaidu </w:t>
      </w:r>
      <w:proofErr w:type="spellStart"/>
      <w:r w:rsidR="00716BB1" w:rsidRPr="002E1541">
        <w:t>Da</w:t>
      </w:r>
      <w:r w:rsidR="001115E1" w:rsidRPr="002E1541">
        <w:t>vidsoni</w:t>
      </w:r>
      <w:proofErr w:type="spellEnd"/>
      <w:r w:rsidR="001115E1" w:rsidRPr="002E1541">
        <w:t>, kura īsteno</w:t>
      </w:r>
      <w:r w:rsidR="00716BB1" w:rsidRPr="002E1541">
        <w:t xml:space="preserve">ja </w:t>
      </w:r>
      <w:r w:rsidR="00C949CC" w:rsidRPr="002E1541">
        <w:t>[pers. </w:t>
      </w:r>
      <w:r w:rsidR="00117591" w:rsidRPr="002E1541">
        <w:t>A</w:t>
      </w:r>
      <w:r w:rsidR="00C949CC" w:rsidRPr="002E1541">
        <w:t>]</w:t>
      </w:r>
      <w:r w:rsidR="00716BB1" w:rsidRPr="002E1541">
        <w:t xml:space="preserve"> aizstāvību līdz </w:t>
      </w:r>
      <w:r w:rsidRPr="002E1541">
        <w:t xml:space="preserve">[nākamā] </w:t>
      </w:r>
      <w:r w:rsidR="00716BB1" w:rsidRPr="002E1541">
        <w:t xml:space="preserve">gada 15.janvārim, kad </w:t>
      </w:r>
      <w:r w:rsidR="00117591" w:rsidRPr="002E1541">
        <w:t>[pers. A]</w:t>
      </w:r>
      <w:r w:rsidR="004E5570" w:rsidRPr="002E1541">
        <w:t xml:space="preserve"> atteicās</w:t>
      </w:r>
      <w:r w:rsidR="00716BB1" w:rsidRPr="002E1541">
        <w:t xml:space="preserve"> no V. </w:t>
      </w:r>
      <w:proofErr w:type="spellStart"/>
      <w:r w:rsidR="00716BB1" w:rsidRPr="002E1541">
        <w:t>Davidsones</w:t>
      </w:r>
      <w:proofErr w:type="spellEnd"/>
      <w:r w:rsidR="00716BB1" w:rsidRPr="002E1541">
        <w:t xml:space="preserve"> sniegtās juridiskās palīdzības (</w:t>
      </w:r>
      <w:r w:rsidR="00103B0A" w:rsidRPr="002E1541">
        <w:rPr>
          <w:i/>
        </w:rPr>
        <w:t>3.sējuma 81., </w:t>
      </w:r>
      <w:r w:rsidR="005A4369" w:rsidRPr="002E1541">
        <w:rPr>
          <w:i/>
        </w:rPr>
        <w:t>100.-</w:t>
      </w:r>
      <w:r w:rsidR="00716BB1" w:rsidRPr="002E1541">
        <w:rPr>
          <w:i/>
        </w:rPr>
        <w:t>103.lapa</w:t>
      </w:r>
      <w:r w:rsidR="00716BB1" w:rsidRPr="002E1541">
        <w:t>). Lie</w:t>
      </w:r>
      <w:r w:rsidR="001115E1" w:rsidRPr="002E1541">
        <w:t xml:space="preserve">tas izskatīšana tika atlikta līdz </w:t>
      </w:r>
      <w:r w:rsidRPr="002E1541">
        <w:t>[..]</w:t>
      </w:r>
      <w:r w:rsidR="00716BB1" w:rsidRPr="002E1541">
        <w:t>.gada 21.janvāri</w:t>
      </w:r>
      <w:r w:rsidR="001115E1" w:rsidRPr="002E1541">
        <w:t>m</w:t>
      </w:r>
      <w:r w:rsidR="00716BB1" w:rsidRPr="002E1541">
        <w:t xml:space="preserve">. </w:t>
      </w:r>
    </w:p>
    <w:p w14:paraId="27CD2600" w14:textId="4BB045F4" w:rsidR="007A26A7" w:rsidRPr="009B7ECD" w:rsidRDefault="001115E1" w:rsidP="00E45659">
      <w:pPr>
        <w:pStyle w:val="Default"/>
        <w:spacing w:line="276" w:lineRule="auto"/>
        <w:ind w:firstLine="720"/>
        <w:jc w:val="both"/>
      </w:pPr>
      <w:r w:rsidRPr="002E1541">
        <w:t xml:space="preserve">Ņemot vērā apstākli, ka </w:t>
      </w:r>
      <w:r w:rsidR="00117591" w:rsidRPr="002E1541">
        <w:t>[pers. A]</w:t>
      </w:r>
      <w:r w:rsidR="00716BB1" w:rsidRPr="002E1541">
        <w:t xml:space="preserve"> </w:t>
      </w:r>
      <w:r w:rsidR="004E5570" w:rsidRPr="002E1541">
        <w:t>nav bijusi</w:t>
      </w:r>
      <w:r w:rsidR="00716BB1" w:rsidRPr="002E1541">
        <w:t xml:space="preserve"> noslēgt</w:t>
      </w:r>
      <w:r w:rsidRPr="002E1541">
        <w:t>a vienošanās ar citu aizstāvi, lai nepamatoti netiktu novilcināta</w:t>
      </w:r>
      <w:r w:rsidR="00716BB1" w:rsidRPr="002E1541">
        <w:t xml:space="preserve"> kriminālproc</w:t>
      </w:r>
      <w:r w:rsidRPr="002E1541">
        <w:t xml:space="preserve">esa norise, rajona tiesa </w:t>
      </w:r>
      <w:r w:rsidR="00716BB1" w:rsidRPr="002E1541">
        <w:t xml:space="preserve">pieņēmusi lēmumu </w:t>
      </w:r>
      <w:r w:rsidR="00117591" w:rsidRPr="002E1541">
        <w:t>[pers. A]</w:t>
      </w:r>
      <w:r w:rsidR="00716BB1" w:rsidRPr="002E1541">
        <w:t xml:space="preserve"> pieaicināt valsts </w:t>
      </w:r>
      <w:r w:rsidRPr="002E1541">
        <w:t xml:space="preserve">nodrošinātu </w:t>
      </w:r>
      <w:r w:rsidR="00716BB1" w:rsidRPr="002E1541">
        <w:t>aizstāvi</w:t>
      </w:r>
      <w:r w:rsidRPr="002E1541">
        <w:t>.</w:t>
      </w:r>
      <w:r w:rsidR="00002AF9" w:rsidRPr="002E1541">
        <w:t xml:space="preserve"> </w:t>
      </w:r>
      <w:r w:rsidR="00103B0A" w:rsidRPr="002E1541">
        <w:t xml:space="preserve">Zvērinātu advokātu vecākā aizstāvi norīkojusi </w:t>
      </w:r>
      <w:r w:rsidR="002E1541" w:rsidRPr="002E1541">
        <w:t>[..]</w:t>
      </w:r>
      <w:r w:rsidR="00002AF9" w:rsidRPr="002E1541">
        <w:t>.gada 17.janvārī</w:t>
      </w:r>
      <w:r w:rsidR="00716BB1" w:rsidRPr="002E1541">
        <w:t>.</w:t>
      </w:r>
    </w:p>
    <w:p w14:paraId="504C113A" w14:textId="5A7ECDE4" w:rsidR="00E16B07" w:rsidRDefault="00E16B07" w:rsidP="00E16B07">
      <w:pPr>
        <w:pStyle w:val="Default"/>
        <w:spacing w:line="276" w:lineRule="auto"/>
        <w:ind w:firstLine="720"/>
        <w:jc w:val="both"/>
      </w:pPr>
      <w:r>
        <w:t xml:space="preserve"> [7.2] Senāts atzīst par nepamatotu aizstāvja argumentu, ka pirmās instances tiesā</w:t>
      </w:r>
      <w:r w:rsidR="004E5570">
        <w:t xml:space="preserve"> apsūdzētajam </w:t>
      </w:r>
      <w:r w:rsidR="00117591">
        <w:t>[pers. A]</w:t>
      </w:r>
      <w:r w:rsidR="004E5570">
        <w:t xml:space="preserve"> tika</w:t>
      </w:r>
      <w:r>
        <w:t xml:space="preserve"> sniegta neefektīva juridiskā palīdzība. </w:t>
      </w:r>
    </w:p>
    <w:p w14:paraId="06104AFA" w14:textId="27426DDB" w:rsidR="00E16B07" w:rsidRPr="004959EC" w:rsidRDefault="004E5570" w:rsidP="00E16B07">
      <w:pPr>
        <w:pStyle w:val="Default"/>
        <w:spacing w:line="276" w:lineRule="auto"/>
        <w:ind w:firstLine="720"/>
        <w:jc w:val="both"/>
      </w:pPr>
      <w:r>
        <w:t>Pirmās instances tiesa izvērtējusi</w:t>
      </w:r>
      <w:r w:rsidR="00E16B07" w:rsidRPr="004959EC">
        <w:t xml:space="preserve"> apsūdzētā </w:t>
      </w:r>
      <w:r w:rsidR="00117591">
        <w:t>[pers. A]</w:t>
      </w:r>
      <w:r w:rsidR="00E16B07" w:rsidRPr="004959EC">
        <w:t xml:space="preserve"> iebildumus par valsts nodrošinātās aizstāves piedalīšanos kriminālprocesā, par aizstāves spēju sniegt </w:t>
      </w:r>
      <w:r w:rsidR="00117591">
        <w:t>[pers. A]</w:t>
      </w:r>
      <w:r w:rsidR="00E16B07" w:rsidRPr="004959EC">
        <w:t xml:space="preserve"> nepieciešamo </w:t>
      </w:r>
      <w:r w:rsidR="00E16B07" w:rsidRPr="004959EC">
        <w:lastRenderedPageBreak/>
        <w:t>juridisko palīdz</w:t>
      </w:r>
      <w:r>
        <w:t>ību un argumentēti tos noraidījusi</w:t>
      </w:r>
      <w:r w:rsidR="00E16B07" w:rsidRPr="004959EC">
        <w:t xml:space="preserve"> ar lēmumu par atteikšanos pieņemt apsūdzētā </w:t>
      </w:r>
      <w:r w:rsidR="00117591">
        <w:t>[pers. A]</w:t>
      </w:r>
      <w:r w:rsidR="00E16B07" w:rsidRPr="004959EC">
        <w:t xml:space="preserve"> pieteikto noraidījumu aizstāvei P. </w:t>
      </w:r>
      <w:proofErr w:type="spellStart"/>
      <w:r w:rsidR="00E16B07" w:rsidRPr="004959EC">
        <w:t>Janulei</w:t>
      </w:r>
      <w:proofErr w:type="spellEnd"/>
      <w:r w:rsidR="00E16B07" w:rsidRPr="004959EC">
        <w:t xml:space="preserve">. Pirmās instances tiesa </w:t>
      </w:r>
      <w:r w:rsidR="00103B0A">
        <w:t>atzinusi</w:t>
      </w:r>
      <w:r w:rsidR="00E16B07" w:rsidRPr="004959EC">
        <w:t>, ka aizstāve P. </w:t>
      </w:r>
      <w:proofErr w:type="spellStart"/>
      <w:r w:rsidR="00E16B07" w:rsidRPr="004959EC">
        <w:t>Janule</w:t>
      </w:r>
      <w:proofErr w:type="spellEnd"/>
      <w:r w:rsidR="00E16B07" w:rsidRPr="004959EC">
        <w:t xml:space="preserve"> ir iepazinusies ar lietas materiāliem</w:t>
      </w:r>
      <w:r w:rsidR="00103B0A">
        <w:rPr>
          <w:color w:val="auto"/>
        </w:rPr>
        <w:t xml:space="preserve"> un</w:t>
      </w:r>
      <w:r w:rsidR="00E16B07" w:rsidRPr="004959EC">
        <w:rPr>
          <w:color w:val="auto"/>
        </w:rPr>
        <w:t xml:space="preserve"> </w:t>
      </w:r>
      <w:r w:rsidR="00E16B07" w:rsidRPr="004959EC">
        <w:t>nepastāv šķēršļi efektīvas aizstāvības realizēšanai.</w:t>
      </w:r>
    </w:p>
    <w:p w14:paraId="3A19186F" w14:textId="3362A41A" w:rsidR="00E16B07" w:rsidRPr="004959EC" w:rsidRDefault="00E16B07" w:rsidP="00E16B07">
      <w:pPr>
        <w:pStyle w:val="NormalWeb"/>
        <w:shd w:val="clear" w:color="auto" w:fill="FFFFFF"/>
        <w:spacing w:before="0" w:beforeAutospacing="0" w:after="0" w:afterAutospacing="0" w:line="276" w:lineRule="auto"/>
        <w:ind w:firstLine="720"/>
        <w:jc w:val="both"/>
        <w:rPr>
          <w:lang w:val="lv-LV"/>
        </w:rPr>
      </w:pPr>
      <w:r w:rsidRPr="0073096E">
        <w:rPr>
          <w:lang w:val="lv-LV"/>
        </w:rPr>
        <w:t xml:space="preserve">Senāts </w:t>
      </w:r>
      <w:r w:rsidR="00103B0A">
        <w:rPr>
          <w:lang w:val="lv-LV"/>
        </w:rPr>
        <w:t>norāda</w:t>
      </w:r>
      <w:r w:rsidRPr="0073096E">
        <w:rPr>
          <w:lang w:val="lv-LV"/>
        </w:rPr>
        <w:t>, ka pirmās instances tiesas debatēs aizstāve snie</w:t>
      </w:r>
      <w:r w:rsidR="00103B0A">
        <w:rPr>
          <w:lang w:val="lv-LV"/>
        </w:rPr>
        <w:t>gusi</w:t>
      </w:r>
      <w:r w:rsidRPr="0073096E">
        <w:rPr>
          <w:lang w:val="lv-LV"/>
        </w:rPr>
        <w:t xml:space="preserve"> argumentāc</w:t>
      </w:r>
      <w:r w:rsidR="0073096E" w:rsidRPr="0073096E">
        <w:rPr>
          <w:lang w:val="lv-LV"/>
        </w:rPr>
        <w:t>iju lūgumam attaisnot</w:t>
      </w:r>
      <w:r w:rsidRPr="0073096E">
        <w:rPr>
          <w:lang w:val="lv-LV"/>
        </w:rPr>
        <w:t xml:space="preserve"> </w:t>
      </w:r>
      <w:r w:rsidR="00117591">
        <w:rPr>
          <w:lang w:val="lv-LV"/>
        </w:rPr>
        <w:t>[pers. A]</w:t>
      </w:r>
      <w:r w:rsidRPr="0073096E">
        <w:rPr>
          <w:lang w:val="lv-LV"/>
        </w:rPr>
        <w:t xml:space="preserve"> un šāda aizstāvības pozīcija pilnībā atbilst apsūdzētā </w:t>
      </w:r>
      <w:r w:rsidR="00117591">
        <w:rPr>
          <w:lang w:val="lv-LV"/>
        </w:rPr>
        <w:t>[pers. A]</w:t>
      </w:r>
      <w:r w:rsidR="004959EC" w:rsidRPr="0073096E">
        <w:rPr>
          <w:lang w:val="lv-LV"/>
        </w:rPr>
        <w:t xml:space="preserve"> tiesas sēdē paustajam, ka apsūdzībā pēc Krimināllikuma 159.panta pirmās daļas viņš</w:t>
      </w:r>
      <w:r w:rsidR="00103B0A">
        <w:rPr>
          <w:lang w:val="lv-LV"/>
        </w:rPr>
        <w:t xml:space="preserve"> ir</w:t>
      </w:r>
      <w:r w:rsidR="004959EC" w:rsidRPr="0073096E">
        <w:rPr>
          <w:lang w:val="lv-LV"/>
        </w:rPr>
        <w:t xml:space="preserve"> attaisnojams. </w:t>
      </w:r>
      <w:r w:rsidR="004E5570">
        <w:rPr>
          <w:lang w:val="lv-LV"/>
        </w:rPr>
        <w:t>Aizstāve P. </w:t>
      </w:r>
      <w:proofErr w:type="spellStart"/>
      <w:r w:rsidR="004E5570">
        <w:rPr>
          <w:lang w:val="lv-LV"/>
        </w:rPr>
        <w:t>Janule</w:t>
      </w:r>
      <w:proofErr w:type="spellEnd"/>
      <w:r w:rsidR="004E5570">
        <w:rPr>
          <w:lang w:val="lv-LV"/>
        </w:rPr>
        <w:t xml:space="preserve"> pārsūdzējusi</w:t>
      </w:r>
      <w:r w:rsidR="004959EC" w:rsidRPr="004959EC">
        <w:rPr>
          <w:lang w:val="lv-LV"/>
        </w:rPr>
        <w:t xml:space="preserve"> </w:t>
      </w:r>
      <w:r w:rsidRPr="004959EC">
        <w:rPr>
          <w:lang w:val="lv-LV"/>
        </w:rPr>
        <w:t xml:space="preserve">pirmās instances tiesas </w:t>
      </w:r>
      <w:r w:rsidR="004959EC" w:rsidRPr="004959EC">
        <w:rPr>
          <w:lang w:val="lv-LV"/>
        </w:rPr>
        <w:t xml:space="preserve">notiesājošo </w:t>
      </w:r>
      <w:r w:rsidRPr="004959EC">
        <w:rPr>
          <w:lang w:val="lv-LV"/>
        </w:rPr>
        <w:t xml:space="preserve">spriedumu. Turklāt pretēji apsūdzētā </w:t>
      </w:r>
      <w:r w:rsidR="00117591">
        <w:rPr>
          <w:lang w:val="lv-LV"/>
        </w:rPr>
        <w:t>[pers. A]</w:t>
      </w:r>
      <w:r w:rsidRPr="004959EC">
        <w:rPr>
          <w:lang w:val="lv-LV"/>
        </w:rPr>
        <w:t xml:space="preserve"> aizstāvja J. </w:t>
      </w:r>
      <w:proofErr w:type="spellStart"/>
      <w:r w:rsidRPr="004959EC">
        <w:rPr>
          <w:lang w:val="lv-LV"/>
        </w:rPr>
        <w:t>Ernstsona</w:t>
      </w:r>
      <w:proofErr w:type="spellEnd"/>
      <w:r w:rsidRPr="004959EC">
        <w:rPr>
          <w:lang w:val="lv-LV"/>
        </w:rPr>
        <w:t xml:space="preserve"> kasācijas sūdzībā norādītajam, apsūdzētais </w:t>
      </w:r>
      <w:r w:rsidR="00117591">
        <w:rPr>
          <w:lang w:val="lv-LV"/>
        </w:rPr>
        <w:t>[pers. A]</w:t>
      </w:r>
      <w:r w:rsidRPr="004959EC">
        <w:rPr>
          <w:lang w:val="lv-LV"/>
        </w:rPr>
        <w:t xml:space="preserve"> </w:t>
      </w:r>
      <w:r w:rsidR="00103B0A">
        <w:rPr>
          <w:lang w:val="lv-LV"/>
        </w:rPr>
        <w:t>iztiesāšanas laikā pirmās instances tiesā paudis</w:t>
      </w:r>
      <w:r w:rsidRPr="004959EC">
        <w:rPr>
          <w:lang w:val="lv-LV"/>
        </w:rPr>
        <w:t xml:space="preserve"> gandarījumu par aizstāves P. </w:t>
      </w:r>
      <w:proofErr w:type="spellStart"/>
      <w:r w:rsidRPr="004959EC">
        <w:rPr>
          <w:lang w:val="lv-LV"/>
        </w:rPr>
        <w:t>Janules</w:t>
      </w:r>
      <w:proofErr w:type="spellEnd"/>
      <w:r w:rsidRPr="004959EC">
        <w:rPr>
          <w:lang w:val="lv-LV"/>
        </w:rPr>
        <w:t xml:space="preserve"> uzstāšanos tiesas debatēs</w:t>
      </w:r>
      <w:r w:rsidR="00103B0A">
        <w:rPr>
          <w:lang w:val="lv-LV"/>
        </w:rPr>
        <w:t>.</w:t>
      </w:r>
    </w:p>
    <w:p w14:paraId="00EBA94C" w14:textId="77777777" w:rsidR="0073096E" w:rsidRDefault="0073096E" w:rsidP="0072359E">
      <w:pPr>
        <w:spacing w:after="0"/>
        <w:ind w:firstLine="720"/>
        <w:jc w:val="both"/>
        <w:rPr>
          <w:lang w:val="lv-LV"/>
        </w:rPr>
      </w:pPr>
    </w:p>
    <w:p w14:paraId="6F52F8E4" w14:textId="526E077D" w:rsidR="005574A0" w:rsidRDefault="00F1071A" w:rsidP="0072359E">
      <w:pPr>
        <w:spacing w:after="0"/>
        <w:ind w:firstLine="720"/>
        <w:jc w:val="both"/>
        <w:rPr>
          <w:lang w:val="lv-LV"/>
        </w:rPr>
      </w:pPr>
      <w:r w:rsidRPr="00E97067">
        <w:rPr>
          <w:lang w:val="lv-LV"/>
        </w:rPr>
        <w:t>[7.</w:t>
      </w:r>
      <w:r w:rsidR="008C0A5D">
        <w:rPr>
          <w:lang w:val="lv-LV"/>
        </w:rPr>
        <w:t>3</w:t>
      </w:r>
      <w:r w:rsidRPr="00E97067">
        <w:rPr>
          <w:lang w:val="lv-LV"/>
        </w:rPr>
        <w:t>] </w:t>
      </w:r>
      <w:r w:rsidR="00F809F8">
        <w:rPr>
          <w:lang w:val="lv-LV"/>
        </w:rPr>
        <w:t xml:space="preserve">Senāts atzīst, ka apsūdzētā </w:t>
      </w:r>
      <w:r w:rsidR="00117591">
        <w:rPr>
          <w:lang w:val="lv-LV"/>
        </w:rPr>
        <w:t>[pers. A]</w:t>
      </w:r>
      <w:r w:rsidR="008A778F">
        <w:rPr>
          <w:lang w:val="lv-LV"/>
        </w:rPr>
        <w:t xml:space="preserve"> aizstāvja </w:t>
      </w:r>
      <w:r w:rsidR="00F809F8">
        <w:rPr>
          <w:lang w:val="lv-LV"/>
        </w:rPr>
        <w:t>arguments, k</w:t>
      </w:r>
      <w:r w:rsidR="00C40C2A">
        <w:rPr>
          <w:lang w:val="lv-LV"/>
        </w:rPr>
        <w:t>a pirmās instances tiesa pārkāp</w:t>
      </w:r>
      <w:r w:rsidR="00504CC8">
        <w:rPr>
          <w:lang w:val="lv-LV"/>
        </w:rPr>
        <w:t>usi</w:t>
      </w:r>
      <w:r w:rsidRPr="00E97067">
        <w:rPr>
          <w:lang w:val="lv-LV"/>
        </w:rPr>
        <w:t xml:space="preserve"> apsūdzētā </w:t>
      </w:r>
      <w:r w:rsidR="00117591">
        <w:rPr>
          <w:lang w:val="lv-LV"/>
        </w:rPr>
        <w:t>[pers. A]</w:t>
      </w:r>
      <w:r w:rsidRPr="00E97067">
        <w:rPr>
          <w:lang w:val="lv-LV"/>
        </w:rPr>
        <w:t xml:space="preserve"> tiesības tikties ar aizstāvi sarunas konfidenc</w:t>
      </w:r>
      <w:r w:rsidR="00C3393A">
        <w:rPr>
          <w:lang w:val="lv-LV"/>
        </w:rPr>
        <w:t>ialitāti nodrošinošos apstākļos</w:t>
      </w:r>
      <w:r w:rsidR="00867283">
        <w:rPr>
          <w:lang w:val="lv-LV"/>
        </w:rPr>
        <w:t>, ir nepamatots.</w:t>
      </w:r>
    </w:p>
    <w:p w14:paraId="79158303" w14:textId="0F56007B" w:rsidR="001C3632" w:rsidRDefault="00E3556C" w:rsidP="0056216F">
      <w:pPr>
        <w:spacing w:after="0"/>
        <w:ind w:firstLine="720"/>
        <w:jc w:val="both"/>
        <w:rPr>
          <w:lang w:val="lv-LV"/>
        </w:rPr>
      </w:pPr>
      <w:r>
        <w:rPr>
          <w:lang w:val="lv-LV"/>
        </w:rPr>
        <w:t xml:space="preserve">Senāts konstatē, ka </w:t>
      </w:r>
      <w:r w:rsidR="005574A0" w:rsidRPr="000A71C4">
        <w:rPr>
          <w:lang w:val="lv-LV"/>
        </w:rPr>
        <w:t xml:space="preserve">apsūdzētais </w:t>
      </w:r>
      <w:r w:rsidR="00117591">
        <w:rPr>
          <w:lang w:val="lv-LV"/>
        </w:rPr>
        <w:t>[pers. A]</w:t>
      </w:r>
      <w:r w:rsidR="0073096E">
        <w:rPr>
          <w:lang w:val="lv-LV"/>
        </w:rPr>
        <w:t xml:space="preserve"> pirms tiesas sēdes n</w:t>
      </w:r>
      <w:r w:rsidR="004E5570">
        <w:rPr>
          <w:lang w:val="lv-LV"/>
        </w:rPr>
        <w:t>av</w:t>
      </w:r>
      <w:r w:rsidR="0073096E">
        <w:rPr>
          <w:lang w:val="lv-LV"/>
        </w:rPr>
        <w:t xml:space="preserve"> izteicis vēlēšanos</w:t>
      </w:r>
      <w:r w:rsidR="00426BCA">
        <w:rPr>
          <w:lang w:val="lv-LV"/>
        </w:rPr>
        <w:t xml:space="preserve"> pārrunāt ar aizstāvi P. </w:t>
      </w:r>
      <w:proofErr w:type="spellStart"/>
      <w:r w:rsidR="00426BCA">
        <w:rPr>
          <w:lang w:val="lv-LV"/>
        </w:rPr>
        <w:t>Ja</w:t>
      </w:r>
      <w:r w:rsidR="00545311">
        <w:rPr>
          <w:lang w:val="lv-LV"/>
        </w:rPr>
        <w:t>nuli</w:t>
      </w:r>
      <w:proofErr w:type="spellEnd"/>
      <w:r w:rsidR="00545311">
        <w:rPr>
          <w:lang w:val="lv-LV"/>
        </w:rPr>
        <w:t xml:space="preserve"> savu aizstāvības nostāju. Šādu lūgumu apsūdzētais </w:t>
      </w:r>
      <w:r w:rsidR="00117591">
        <w:rPr>
          <w:color w:val="000000" w:themeColor="text1"/>
          <w:lang w:val="lv-LV"/>
        </w:rPr>
        <w:t>[pers. A]</w:t>
      </w:r>
      <w:r w:rsidR="004E5570">
        <w:rPr>
          <w:color w:val="000000" w:themeColor="text1"/>
          <w:lang w:val="lv-LV"/>
        </w:rPr>
        <w:t xml:space="preserve"> pieteicis</w:t>
      </w:r>
      <w:r w:rsidR="00545311">
        <w:rPr>
          <w:color w:val="000000" w:themeColor="text1"/>
          <w:lang w:val="lv-LV"/>
        </w:rPr>
        <w:t>, sakot pēdējo</w:t>
      </w:r>
      <w:r w:rsidR="0073096E">
        <w:rPr>
          <w:color w:val="000000" w:themeColor="text1"/>
          <w:lang w:val="lv-LV"/>
        </w:rPr>
        <w:t xml:space="preserve"> vārd</w:t>
      </w:r>
      <w:r w:rsidR="00545311">
        <w:rPr>
          <w:color w:val="000000" w:themeColor="text1"/>
          <w:lang w:val="lv-LV"/>
        </w:rPr>
        <w:t>u</w:t>
      </w:r>
      <w:r w:rsidR="00F1071A" w:rsidRPr="00426BCA">
        <w:rPr>
          <w:color w:val="000000" w:themeColor="text1"/>
          <w:lang w:val="lv-LV"/>
        </w:rPr>
        <w:t>.</w:t>
      </w:r>
      <w:r w:rsidR="00504CC8">
        <w:rPr>
          <w:color w:val="000000" w:themeColor="text1"/>
          <w:lang w:val="lv-LV"/>
        </w:rPr>
        <w:t xml:space="preserve"> Minēto lūgumu tiesa apmierinājusi</w:t>
      </w:r>
      <w:r w:rsidR="00545311">
        <w:rPr>
          <w:color w:val="000000" w:themeColor="text1"/>
          <w:lang w:val="lv-LV"/>
        </w:rPr>
        <w:t>, izsludinot pārtraukumu lietas izskatīšanā.</w:t>
      </w:r>
      <w:r w:rsidR="00F1071A" w:rsidRPr="00426BCA">
        <w:rPr>
          <w:color w:val="000000" w:themeColor="text1"/>
          <w:lang w:val="lv-LV"/>
        </w:rPr>
        <w:t xml:space="preserve"> </w:t>
      </w:r>
      <w:r w:rsidR="00F1071A" w:rsidRPr="00E97067">
        <w:rPr>
          <w:lang w:val="lv-LV"/>
        </w:rPr>
        <w:t>Pēc konsultācijas saņemšanas aps</w:t>
      </w:r>
      <w:r w:rsidR="00D870BF">
        <w:rPr>
          <w:lang w:val="lv-LV"/>
        </w:rPr>
        <w:t xml:space="preserve">ūdzētais </w:t>
      </w:r>
      <w:r w:rsidR="00117591">
        <w:rPr>
          <w:lang w:val="lv-LV"/>
        </w:rPr>
        <w:t>[pers. </w:t>
      </w:r>
      <w:r w:rsidR="00117591" w:rsidRPr="00117591">
        <w:rPr>
          <w:lang w:val="lv-LV"/>
        </w:rPr>
        <w:t>A]</w:t>
      </w:r>
      <w:r w:rsidR="00D870BF">
        <w:rPr>
          <w:lang w:val="lv-LV"/>
        </w:rPr>
        <w:t xml:space="preserve"> turpinājis</w:t>
      </w:r>
      <w:r w:rsidR="00F1071A" w:rsidRPr="00E97067">
        <w:rPr>
          <w:lang w:val="lv-LV"/>
        </w:rPr>
        <w:t xml:space="preserve"> teikt pēdējo vārdu, neminot, ka </w:t>
      </w:r>
      <w:r w:rsidR="00D870BF">
        <w:rPr>
          <w:lang w:val="lv-LV"/>
        </w:rPr>
        <w:t>policijas darbinieki traucējuši</w:t>
      </w:r>
      <w:r w:rsidR="005D25B6">
        <w:rPr>
          <w:lang w:val="lv-LV"/>
        </w:rPr>
        <w:t xml:space="preserve"> viņam</w:t>
      </w:r>
      <w:r w:rsidR="00F1071A" w:rsidRPr="00E97067">
        <w:rPr>
          <w:lang w:val="lv-LV"/>
        </w:rPr>
        <w:t xml:space="preserve"> ar aizstāvi sarunāties konfidenciālos apstākļos.</w:t>
      </w:r>
      <w:r w:rsidR="002B6D0D" w:rsidRPr="002B6D0D">
        <w:rPr>
          <w:lang w:val="lv-LV"/>
        </w:rPr>
        <w:t xml:space="preserve"> </w:t>
      </w:r>
      <w:r w:rsidR="003002EC">
        <w:rPr>
          <w:lang w:val="lv-LV"/>
        </w:rPr>
        <w:t>Šādus argumentus viņš nav paudis</w:t>
      </w:r>
      <w:r w:rsidR="00CB4BF0">
        <w:rPr>
          <w:lang w:val="lv-LV"/>
        </w:rPr>
        <w:t xml:space="preserve"> arī apelācijas instances tiesai.</w:t>
      </w:r>
    </w:p>
    <w:p w14:paraId="64613B84" w14:textId="77777777" w:rsidR="00545311" w:rsidRDefault="00545311" w:rsidP="0056216F">
      <w:pPr>
        <w:spacing w:after="0"/>
        <w:ind w:firstLine="720"/>
        <w:jc w:val="both"/>
        <w:rPr>
          <w:lang w:val="lv-LV"/>
        </w:rPr>
      </w:pPr>
    </w:p>
    <w:p w14:paraId="5359BA3B" w14:textId="06EFBC81" w:rsidR="000E5B05" w:rsidRDefault="006A5779" w:rsidP="001C3632">
      <w:pPr>
        <w:pStyle w:val="Default"/>
        <w:spacing w:line="276" w:lineRule="auto"/>
        <w:ind w:firstLine="720"/>
        <w:jc w:val="both"/>
      </w:pPr>
      <w:r>
        <w:t>[7.4] </w:t>
      </w:r>
      <w:r w:rsidR="006F7D2C" w:rsidRPr="0056216F">
        <w:t>Senāts atzīst, ka, iztiesājot lietu,</w:t>
      </w:r>
      <w:r w:rsidR="0056216F" w:rsidRPr="0056216F">
        <w:t xml:space="preserve"> nav pieļauti Krimināllikuma </w:t>
      </w:r>
      <w:r>
        <w:t xml:space="preserve">pārkāpumi </w:t>
      </w:r>
      <w:r w:rsidR="0056216F" w:rsidRPr="0056216F">
        <w:t xml:space="preserve">un </w:t>
      </w:r>
      <w:r w:rsidR="006F7D2C" w:rsidRPr="0056216F">
        <w:t>Kriminālprocesa likuma būtiski pārkāpumi</w:t>
      </w:r>
      <w:r w:rsidR="00D430E6" w:rsidRPr="0056216F">
        <w:t>,</w:t>
      </w:r>
      <w:r w:rsidR="00650BCA" w:rsidRPr="0056216F">
        <w:t xml:space="preserve"> tādēļ apelācijas instances tiesas spriedums atstājams negrozīts.</w:t>
      </w:r>
    </w:p>
    <w:p w14:paraId="409A7E80" w14:textId="77777777" w:rsidR="0056216F" w:rsidRPr="0056216F" w:rsidRDefault="0056216F" w:rsidP="001C3632">
      <w:pPr>
        <w:pStyle w:val="Default"/>
        <w:spacing w:line="276" w:lineRule="auto"/>
        <w:ind w:firstLine="720"/>
        <w:jc w:val="both"/>
        <w:rPr>
          <w:u w:val="single"/>
        </w:rPr>
      </w:pPr>
    </w:p>
    <w:p w14:paraId="344A56E8" w14:textId="77777777" w:rsidR="00650BCA" w:rsidRDefault="00650BCA" w:rsidP="00B0790F">
      <w:pPr>
        <w:spacing w:after="0"/>
        <w:jc w:val="center"/>
        <w:rPr>
          <w:rFonts w:cs="Times New Roman"/>
          <w:b/>
          <w:szCs w:val="24"/>
          <w:lang w:val="lv-LV"/>
        </w:rPr>
      </w:pPr>
      <w:r w:rsidRPr="00650BCA">
        <w:rPr>
          <w:rFonts w:cs="Times New Roman"/>
          <w:b/>
          <w:szCs w:val="24"/>
          <w:lang w:val="lv-LV"/>
        </w:rPr>
        <w:t>Rezolutīvā daļa</w:t>
      </w:r>
    </w:p>
    <w:p w14:paraId="7F801EDD" w14:textId="77777777" w:rsidR="00B0790F" w:rsidRDefault="00B0790F" w:rsidP="00B0790F">
      <w:pPr>
        <w:spacing w:after="0"/>
        <w:jc w:val="center"/>
        <w:rPr>
          <w:rFonts w:cs="Times New Roman"/>
          <w:b/>
          <w:szCs w:val="24"/>
          <w:lang w:val="lv-LV"/>
        </w:rPr>
      </w:pPr>
    </w:p>
    <w:p w14:paraId="22F4C438" w14:textId="77777777" w:rsidR="00650BCA" w:rsidRDefault="00DC355D" w:rsidP="00B0790F">
      <w:pPr>
        <w:spacing w:after="0"/>
        <w:ind w:firstLine="720"/>
        <w:rPr>
          <w:rFonts w:cs="Times New Roman"/>
          <w:szCs w:val="24"/>
          <w:lang w:val="lv-LV"/>
        </w:rPr>
      </w:pPr>
      <w:r w:rsidRPr="00DC355D">
        <w:rPr>
          <w:rFonts w:cs="Times New Roman"/>
          <w:szCs w:val="24"/>
          <w:lang w:val="lv-LV"/>
        </w:rPr>
        <w:t>Pamatojoties uz Kriminālprocesa likuma 585. un 587.pantu, tiesa</w:t>
      </w:r>
    </w:p>
    <w:p w14:paraId="712CF799" w14:textId="77777777" w:rsidR="00B0790F" w:rsidRDefault="00B0790F" w:rsidP="00B0790F">
      <w:pPr>
        <w:spacing w:after="0"/>
        <w:ind w:firstLine="720"/>
        <w:rPr>
          <w:rFonts w:cs="Times New Roman"/>
          <w:szCs w:val="24"/>
          <w:lang w:val="lv-LV"/>
        </w:rPr>
      </w:pPr>
    </w:p>
    <w:p w14:paraId="23186C31" w14:textId="77777777" w:rsidR="00DC355D" w:rsidRDefault="00DC355D" w:rsidP="00B0790F">
      <w:pPr>
        <w:spacing w:after="0"/>
        <w:jc w:val="center"/>
        <w:rPr>
          <w:rFonts w:cs="Times New Roman"/>
          <w:b/>
          <w:szCs w:val="24"/>
          <w:lang w:val="lv-LV"/>
        </w:rPr>
      </w:pPr>
      <w:r w:rsidRPr="00DC355D">
        <w:rPr>
          <w:rFonts w:cs="Times New Roman"/>
          <w:b/>
          <w:szCs w:val="24"/>
          <w:lang w:val="lv-LV"/>
        </w:rPr>
        <w:t>nolēma:</w:t>
      </w:r>
    </w:p>
    <w:p w14:paraId="65239766" w14:textId="77777777" w:rsidR="00B0790F" w:rsidRDefault="00B0790F" w:rsidP="00B0790F">
      <w:pPr>
        <w:spacing w:after="0"/>
        <w:jc w:val="center"/>
        <w:rPr>
          <w:rFonts w:cs="Times New Roman"/>
          <w:b/>
          <w:szCs w:val="24"/>
          <w:lang w:val="lv-LV"/>
        </w:rPr>
      </w:pPr>
    </w:p>
    <w:p w14:paraId="7AFB5117" w14:textId="27E7F510" w:rsidR="00DC355D" w:rsidRDefault="00DC355D" w:rsidP="00DC355D">
      <w:pPr>
        <w:spacing w:after="0"/>
        <w:ind w:firstLine="720"/>
        <w:jc w:val="both"/>
        <w:rPr>
          <w:rFonts w:cs="Times New Roman"/>
          <w:szCs w:val="24"/>
          <w:lang w:val="lv-LV"/>
        </w:rPr>
      </w:pPr>
      <w:r w:rsidRPr="00DC355D">
        <w:rPr>
          <w:rFonts w:cs="Times New Roman"/>
          <w:szCs w:val="24"/>
          <w:lang w:val="lv-LV"/>
        </w:rPr>
        <w:t xml:space="preserve">atstāt negrozītu </w:t>
      </w:r>
      <w:r w:rsidR="00DD1B3F">
        <w:rPr>
          <w:rFonts w:cs="Times New Roman"/>
          <w:szCs w:val="24"/>
          <w:lang w:val="lv-LV"/>
        </w:rPr>
        <w:t>[..]</w:t>
      </w:r>
      <w:r w:rsidRPr="00DC355D">
        <w:rPr>
          <w:rFonts w:cs="Times New Roman"/>
          <w:szCs w:val="24"/>
          <w:lang w:val="lv-LV"/>
        </w:rPr>
        <w:t xml:space="preserve"> apgabaltiesas 2019.gada </w:t>
      </w:r>
      <w:r w:rsidR="00DD1B3F">
        <w:rPr>
          <w:rFonts w:cs="Times New Roman"/>
          <w:szCs w:val="24"/>
          <w:lang w:val="lv-LV"/>
        </w:rPr>
        <w:t>[..]</w:t>
      </w:r>
      <w:r w:rsidRPr="00DC355D">
        <w:rPr>
          <w:rFonts w:cs="Times New Roman"/>
          <w:szCs w:val="24"/>
          <w:lang w:val="lv-LV"/>
        </w:rPr>
        <w:t xml:space="preserve"> spriedumu</w:t>
      </w:r>
      <w:r>
        <w:rPr>
          <w:rFonts w:cs="Times New Roman"/>
          <w:szCs w:val="24"/>
          <w:lang w:val="lv-LV"/>
        </w:rPr>
        <w:t xml:space="preserve">, bet apsūdzētā </w:t>
      </w:r>
      <w:r w:rsidR="00117591">
        <w:rPr>
          <w:rFonts w:cs="Times New Roman"/>
          <w:szCs w:val="24"/>
          <w:lang w:val="lv-LV"/>
        </w:rPr>
        <w:t>[pers. </w:t>
      </w:r>
      <w:r w:rsidR="00117591" w:rsidRPr="00117591">
        <w:rPr>
          <w:lang w:val="lv-LV"/>
        </w:rPr>
        <w:t>A]</w:t>
      </w:r>
      <w:r>
        <w:rPr>
          <w:rFonts w:cs="Times New Roman"/>
          <w:szCs w:val="24"/>
          <w:lang w:val="lv-LV"/>
        </w:rPr>
        <w:t xml:space="preserve"> un viņa </w:t>
      </w:r>
      <w:r w:rsidRPr="00DC355D">
        <w:rPr>
          <w:rFonts w:cs="Times New Roman"/>
          <w:szCs w:val="24"/>
          <w:lang w:val="lv-LV"/>
        </w:rPr>
        <w:t xml:space="preserve">aizstāvja </w:t>
      </w:r>
      <w:r>
        <w:rPr>
          <w:rFonts w:cs="Times New Roman"/>
          <w:szCs w:val="24"/>
          <w:lang w:val="lv-LV"/>
        </w:rPr>
        <w:t>J. </w:t>
      </w:r>
      <w:proofErr w:type="spellStart"/>
      <w:r>
        <w:rPr>
          <w:rFonts w:cs="Times New Roman"/>
          <w:szCs w:val="24"/>
          <w:lang w:val="lv-LV"/>
        </w:rPr>
        <w:t>Ernstsona</w:t>
      </w:r>
      <w:proofErr w:type="spellEnd"/>
      <w:r w:rsidRPr="00DC355D">
        <w:rPr>
          <w:rFonts w:cs="Times New Roman"/>
          <w:szCs w:val="24"/>
          <w:lang w:val="lv-LV"/>
        </w:rPr>
        <w:t xml:space="preserve"> kasācijas sūdzības noraidīt.</w:t>
      </w:r>
    </w:p>
    <w:p w14:paraId="1662CF87" w14:textId="77777777" w:rsidR="00DC355D" w:rsidRDefault="00DC355D" w:rsidP="00DC355D">
      <w:pPr>
        <w:spacing w:after="0"/>
        <w:ind w:firstLine="720"/>
        <w:jc w:val="both"/>
        <w:rPr>
          <w:rFonts w:cs="Times New Roman"/>
          <w:szCs w:val="24"/>
          <w:lang w:val="lv-LV"/>
        </w:rPr>
      </w:pPr>
      <w:r w:rsidRPr="00DC355D">
        <w:rPr>
          <w:rFonts w:cs="Times New Roman"/>
          <w:szCs w:val="24"/>
          <w:lang w:val="lv-LV"/>
        </w:rPr>
        <w:t>Lēmums nav pārsūdzams.</w:t>
      </w:r>
    </w:p>
    <w:p w14:paraId="67C01E5F" w14:textId="77777777" w:rsidR="00DC355D" w:rsidRDefault="00DC355D" w:rsidP="00DC355D">
      <w:pPr>
        <w:spacing w:after="0"/>
        <w:ind w:firstLine="720"/>
        <w:jc w:val="both"/>
        <w:rPr>
          <w:rFonts w:cs="Times New Roman"/>
          <w:szCs w:val="24"/>
          <w:lang w:val="lv-LV"/>
        </w:rPr>
      </w:pPr>
    </w:p>
    <w:sectPr w:rsidR="00DC355D" w:rsidSect="00B0790F">
      <w:footerReference w:type="default" r:id="rId7"/>
      <w:pgSz w:w="11906" w:h="16838"/>
      <w:pgMar w:top="1134" w:right="1134" w:bottom="1134" w:left="1701"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68678" w14:textId="77777777" w:rsidR="003B329F" w:rsidRDefault="003B329F" w:rsidP="001D629E">
      <w:pPr>
        <w:spacing w:after="0" w:line="240" w:lineRule="auto"/>
      </w:pPr>
      <w:r>
        <w:separator/>
      </w:r>
    </w:p>
  </w:endnote>
  <w:endnote w:type="continuationSeparator" w:id="0">
    <w:p w14:paraId="7EEA76A6" w14:textId="77777777" w:rsidR="003B329F" w:rsidRDefault="003B329F" w:rsidP="001D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708068"/>
      <w:docPartObj>
        <w:docPartGallery w:val="Page Numbers (Bottom of Page)"/>
        <w:docPartUnique/>
      </w:docPartObj>
    </w:sdtPr>
    <w:sdtEndPr/>
    <w:sdtContent>
      <w:sdt>
        <w:sdtPr>
          <w:id w:val="1728636285"/>
          <w:docPartObj>
            <w:docPartGallery w:val="Page Numbers (Top of Page)"/>
            <w:docPartUnique/>
          </w:docPartObj>
        </w:sdtPr>
        <w:sdtEndPr/>
        <w:sdtContent>
          <w:p w14:paraId="32E51D1D" w14:textId="77777777" w:rsidR="001D629E" w:rsidRDefault="001D629E">
            <w:pPr>
              <w:pStyle w:val="Footer"/>
              <w:jc w:val="center"/>
            </w:pPr>
            <w:r w:rsidRPr="001D629E">
              <w:rPr>
                <w:bCs/>
                <w:szCs w:val="24"/>
              </w:rPr>
              <w:fldChar w:fldCharType="begin"/>
            </w:r>
            <w:r w:rsidRPr="001D629E">
              <w:rPr>
                <w:bCs/>
              </w:rPr>
              <w:instrText xml:space="preserve"> PAGE </w:instrText>
            </w:r>
            <w:r w:rsidRPr="001D629E">
              <w:rPr>
                <w:bCs/>
                <w:szCs w:val="24"/>
              </w:rPr>
              <w:fldChar w:fldCharType="separate"/>
            </w:r>
            <w:r w:rsidR="006A5779">
              <w:rPr>
                <w:bCs/>
                <w:noProof/>
              </w:rPr>
              <w:t>3</w:t>
            </w:r>
            <w:r w:rsidRPr="001D629E">
              <w:rPr>
                <w:bCs/>
                <w:szCs w:val="24"/>
              </w:rPr>
              <w:fldChar w:fldCharType="end"/>
            </w:r>
            <w:r w:rsidRPr="001D629E">
              <w:t xml:space="preserve"> no </w:t>
            </w:r>
            <w:r w:rsidRPr="001D629E">
              <w:rPr>
                <w:bCs/>
                <w:szCs w:val="24"/>
              </w:rPr>
              <w:fldChar w:fldCharType="begin"/>
            </w:r>
            <w:r w:rsidRPr="001D629E">
              <w:rPr>
                <w:bCs/>
              </w:rPr>
              <w:instrText xml:space="preserve"> NUMPAGES  </w:instrText>
            </w:r>
            <w:r w:rsidRPr="001D629E">
              <w:rPr>
                <w:bCs/>
                <w:szCs w:val="24"/>
              </w:rPr>
              <w:fldChar w:fldCharType="separate"/>
            </w:r>
            <w:r w:rsidR="006A5779">
              <w:rPr>
                <w:bCs/>
                <w:noProof/>
              </w:rPr>
              <w:t>4</w:t>
            </w:r>
            <w:r w:rsidRPr="001D629E">
              <w:rPr>
                <w:bCs/>
                <w:szCs w:val="24"/>
              </w:rPr>
              <w:fldChar w:fldCharType="end"/>
            </w:r>
          </w:p>
        </w:sdtContent>
      </w:sdt>
    </w:sdtContent>
  </w:sdt>
  <w:p w14:paraId="1A9A9FBA" w14:textId="77777777" w:rsidR="001D629E" w:rsidRDefault="001D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4964" w14:textId="77777777" w:rsidR="003B329F" w:rsidRDefault="003B329F" w:rsidP="001D629E">
      <w:pPr>
        <w:spacing w:after="0" w:line="240" w:lineRule="auto"/>
      </w:pPr>
      <w:r>
        <w:separator/>
      </w:r>
    </w:p>
  </w:footnote>
  <w:footnote w:type="continuationSeparator" w:id="0">
    <w:p w14:paraId="6F458B4F" w14:textId="77777777" w:rsidR="003B329F" w:rsidRDefault="003B329F" w:rsidP="001D629E">
      <w:pPr>
        <w:spacing w:after="0" w:line="240" w:lineRule="auto"/>
      </w:pPr>
      <w:r>
        <w:continuationSeparator/>
      </w:r>
    </w:p>
  </w:footnote>
  <w:footnote w:id="1">
    <w:p w14:paraId="1765F39F" w14:textId="23A9FA2F" w:rsidR="003F4E91" w:rsidRPr="003F4E91" w:rsidRDefault="003F4E91">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B9"/>
    <w:rsid w:val="00000EA7"/>
    <w:rsid w:val="00002AF9"/>
    <w:rsid w:val="0001689F"/>
    <w:rsid w:val="00027AA0"/>
    <w:rsid w:val="00034B4F"/>
    <w:rsid w:val="00040E2E"/>
    <w:rsid w:val="0004216C"/>
    <w:rsid w:val="0004424F"/>
    <w:rsid w:val="00047AD6"/>
    <w:rsid w:val="00060644"/>
    <w:rsid w:val="00082EC1"/>
    <w:rsid w:val="000A71C4"/>
    <w:rsid w:val="000A727B"/>
    <w:rsid w:val="000B2F7D"/>
    <w:rsid w:val="000C4628"/>
    <w:rsid w:val="000D1369"/>
    <w:rsid w:val="000E0442"/>
    <w:rsid w:val="000E47C0"/>
    <w:rsid w:val="000E5B05"/>
    <w:rsid w:val="000E5E6C"/>
    <w:rsid w:val="000F4ECA"/>
    <w:rsid w:val="00101154"/>
    <w:rsid w:val="00103B0A"/>
    <w:rsid w:val="00111005"/>
    <w:rsid w:val="001115E1"/>
    <w:rsid w:val="00117591"/>
    <w:rsid w:val="0012474A"/>
    <w:rsid w:val="00131399"/>
    <w:rsid w:val="00146B78"/>
    <w:rsid w:val="00175FCE"/>
    <w:rsid w:val="001B13FD"/>
    <w:rsid w:val="001B519E"/>
    <w:rsid w:val="001B7BDC"/>
    <w:rsid w:val="001C3632"/>
    <w:rsid w:val="001D38F8"/>
    <w:rsid w:val="001D629E"/>
    <w:rsid w:val="001E301F"/>
    <w:rsid w:val="001E5FC3"/>
    <w:rsid w:val="001F2488"/>
    <w:rsid w:val="00204EC2"/>
    <w:rsid w:val="00226DEB"/>
    <w:rsid w:val="002400FE"/>
    <w:rsid w:val="00253A4D"/>
    <w:rsid w:val="00283ACA"/>
    <w:rsid w:val="002858FB"/>
    <w:rsid w:val="002868BE"/>
    <w:rsid w:val="002A360D"/>
    <w:rsid w:val="002B6D0D"/>
    <w:rsid w:val="002E1541"/>
    <w:rsid w:val="002E3670"/>
    <w:rsid w:val="002F71BD"/>
    <w:rsid w:val="003002EC"/>
    <w:rsid w:val="00301D50"/>
    <w:rsid w:val="0031608F"/>
    <w:rsid w:val="00331EAE"/>
    <w:rsid w:val="0034430D"/>
    <w:rsid w:val="003510E3"/>
    <w:rsid w:val="00355566"/>
    <w:rsid w:val="003829B1"/>
    <w:rsid w:val="003B329F"/>
    <w:rsid w:val="003B682E"/>
    <w:rsid w:val="003D4108"/>
    <w:rsid w:val="003E3C15"/>
    <w:rsid w:val="003F4E91"/>
    <w:rsid w:val="00402F4B"/>
    <w:rsid w:val="0041549A"/>
    <w:rsid w:val="00415927"/>
    <w:rsid w:val="00422412"/>
    <w:rsid w:val="0042337E"/>
    <w:rsid w:val="00426BCA"/>
    <w:rsid w:val="00446C12"/>
    <w:rsid w:val="00453216"/>
    <w:rsid w:val="004577F0"/>
    <w:rsid w:val="00464517"/>
    <w:rsid w:val="0047205D"/>
    <w:rsid w:val="00493C1F"/>
    <w:rsid w:val="004959EC"/>
    <w:rsid w:val="004A141F"/>
    <w:rsid w:val="004A2D1E"/>
    <w:rsid w:val="004A76BD"/>
    <w:rsid w:val="004B13F4"/>
    <w:rsid w:val="004C1759"/>
    <w:rsid w:val="004C5FB9"/>
    <w:rsid w:val="004D5E07"/>
    <w:rsid w:val="004E5570"/>
    <w:rsid w:val="004E6B26"/>
    <w:rsid w:val="004F1446"/>
    <w:rsid w:val="00504CC8"/>
    <w:rsid w:val="00512B9C"/>
    <w:rsid w:val="00543245"/>
    <w:rsid w:val="00545311"/>
    <w:rsid w:val="00554FFE"/>
    <w:rsid w:val="005562BD"/>
    <w:rsid w:val="005574A0"/>
    <w:rsid w:val="00560FB5"/>
    <w:rsid w:val="005614BB"/>
    <w:rsid w:val="0056216F"/>
    <w:rsid w:val="005A4369"/>
    <w:rsid w:val="005B1DE1"/>
    <w:rsid w:val="005D25B6"/>
    <w:rsid w:val="005F5C08"/>
    <w:rsid w:val="0060649E"/>
    <w:rsid w:val="006208A3"/>
    <w:rsid w:val="00621D2B"/>
    <w:rsid w:val="00625528"/>
    <w:rsid w:val="00634E14"/>
    <w:rsid w:val="0063504A"/>
    <w:rsid w:val="00642CBD"/>
    <w:rsid w:val="0064483F"/>
    <w:rsid w:val="00650BCA"/>
    <w:rsid w:val="006522AE"/>
    <w:rsid w:val="00654DC7"/>
    <w:rsid w:val="006676BE"/>
    <w:rsid w:val="00670313"/>
    <w:rsid w:val="00677904"/>
    <w:rsid w:val="0068293B"/>
    <w:rsid w:val="00692041"/>
    <w:rsid w:val="006A5779"/>
    <w:rsid w:val="006F7D2C"/>
    <w:rsid w:val="007138AC"/>
    <w:rsid w:val="00714B64"/>
    <w:rsid w:val="00716BB1"/>
    <w:rsid w:val="0072359E"/>
    <w:rsid w:val="00727F62"/>
    <w:rsid w:val="0073096E"/>
    <w:rsid w:val="00764FF6"/>
    <w:rsid w:val="00765483"/>
    <w:rsid w:val="007802CB"/>
    <w:rsid w:val="007819B9"/>
    <w:rsid w:val="007855E9"/>
    <w:rsid w:val="00786AD4"/>
    <w:rsid w:val="00793AEC"/>
    <w:rsid w:val="007A26A7"/>
    <w:rsid w:val="007A443D"/>
    <w:rsid w:val="007E0B41"/>
    <w:rsid w:val="007E6BED"/>
    <w:rsid w:val="007F0ECD"/>
    <w:rsid w:val="008370EE"/>
    <w:rsid w:val="0084162B"/>
    <w:rsid w:val="00844C90"/>
    <w:rsid w:val="00856BE7"/>
    <w:rsid w:val="00867283"/>
    <w:rsid w:val="00871DFB"/>
    <w:rsid w:val="00892940"/>
    <w:rsid w:val="00897CCB"/>
    <w:rsid w:val="008A65A1"/>
    <w:rsid w:val="008A778F"/>
    <w:rsid w:val="008B4653"/>
    <w:rsid w:val="008C0A5D"/>
    <w:rsid w:val="008C5C54"/>
    <w:rsid w:val="008D24CD"/>
    <w:rsid w:val="00905586"/>
    <w:rsid w:val="00907892"/>
    <w:rsid w:val="0099248F"/>
    <w:rsid w:val="009945FF"/>
    <w:rsid w:val="009971C0"/>
    <w:rsid w:val="009B30D4"/>
    <w:rsid w:val="009B3920"/>
    <w:rsid w:val="009B51CF"/>
    <w:rsid w:val="009B7ECD"/>
    <w:rsid w:val="009C2925"/>
    <w:rsid w:val="009E2A98"/>
    <w:rsid w:val="009E5FAC"/>
    <w:rsid w:val="009F6689"/>
    <w:rsid w:val="00A034CE"/>
    <w:rsid w:val="00A3325C"/>
    <w:rsid w:val="00A36BA5"/>
    <w:rsid w:val="00A41071"/>
    <w:rsid w:val="00A94F5F"/>
    <w:rsid w:val="00AA13D6"/>
    <w:rsid w:val="00AC1E0F"/>
    <w:rsid w:val="00AD5A2C"/>
    <w:rsid w:val="00AE60CB"/>
    <w:rsid w:val="00AF56D6"/>
    <w:rsid w:val="00B05867"/>
    <w:rsid w:val="00B0790F"/>
    <w:rsid w:val="00B27573"/>
    <w:rsid w:val="00B33D47"/>
    <w:rsid w:val="00B541F7"/>
    <w:rsid w:val="00B634D9"/>
    <w:rsid w:val="00B65379"/>
    <w:rsid w:val="00B749AD"/>
    <w:rsid w:val="00B846C9"/>
    <w:rsid w:val="00B85916"/>
    <w:rsid w:val="00B9106A"/>
    <w:rsid w:val="00BC105C"/>
    <w:rsid w:val="00BC2D38"/>
    <w:rsid w:val="00BE2AF2"/>
    <w:rsid w:val="00BE381B"/>
    <w:rsid w:val="00BE635B"/>
    <w:rsid w:val="00BF328F"/>
    <w:rsid w:val="00C028FF"/>
    <w:rsid w:val="00C142C1"/>
    <w:rsid w:val="00C151E7"/>
    <w:rsid w:val="00C2533B"/>
    <w:rsid w:val="00C3393A"/>
    <w:rsid w:val="00C348C4"/>
    <w:rsid w:val="00C34BC7"/>
    <w:rsid w:val="00C40C2A"/>
    <w:rsid w:val="00C91BF3"/>
    <w:rsid w:val="00C949CC"/>
    <w:rsid w:val="00CB4BF0"/>
    <w:rsid w:val="00CC73AC"/>
    <w:rsid w:val="00CD1691"/>
    <w:rsid w:val="00CD1A31"/>
    <w:rsid w:val="00CE0DD7"/>
    <w:rsid w:val="00CE3D25"/>
    <w:rsid w:val="00D00A04"/>
    <w:rsid w:val="00D03A34"/>
    <w:rsid w:val="00D24D4D"/>
    <w:rsid w:val="00D3358E"/>
    <w:rsid w:val="00D430E6"/>
    <w:rsid w:val="00D50423"/>
    <w:rsid w:val="00D5287A"/>
    <w:rsid w:val="00D61A27"/>
    <w:rsid w:val="00D803C0"/>
    <w:rsid w:val="00D870BF"/>
    <w:rsid w:val="00D919A0"/>
    <w:rsid w:val="00DA35B6"/>
    <w:rsid w:val="00DC355D"/>
    <w:rsid w:val="00DD1B3F"/>
    <w:rsid w:val="00DE5BBB"/>
    <w:rsid w:val="00DE6CFA"/>
    <w:rsid w:val="00DF3EFA"/>
    <w:rsid w:val="00DF51AE"/>
    <w:rsid w:val="00E150BF"/>
    <w:rsid w:val="00E16B07"/>
    <w:rsid w:val="00E3556C"/>
    <w:rsid w:val="00E35715"/>
    <w:rsid w:val="00E45659"/>
    <w:rsid w:val="00E46925"/>
    <w:rsid w:val="00E572CE"/>
    <w:rsid w:val="00E7408F"/>
    <w:rsid w:val="00E82FA6"/>
    <w:rsid w:val="00E904C9"/>
    <w:rsid w:val="00E93360"/>
    <w:rsid w:val="00E97067"/>
    <w:rsid w:val="00EA3C4D"/>
    <w:rsid w:val="00F00E69"/>
    <w:rsid w:val="00F011E5"/>
    <w:rsid w:val="00F06B9D"/>
    <w:rsid w:val="00F1071A"/>
    <w:rsid w:val="00F13A9F"/>
    <w:rsid w:val="00F809F8"/>
    <w:rsid w:val="00F8711D"/>
    <w:rsid w:val="00FA671A"/>
    <w:rsid w:val="00FF1B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A1B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41F7"/>
    <w:pPr>
      <w:spacing w:after="200" w:line="276" w:lineRule="auto"/>
    </w:pPr>
    <w:rPr>
      <w:lang w:val="en-US"/>
    </w:rPr>
  </w:style>
  <w:style w:type="paragraph" w:styleId="Heading1">
    <w:name w:val="heading 1"/>
    <w:basedOn w:val="Normal"/>
    <w:next w:val="Normal"/>
    <w:link w:val="Heading1Char"/>
    <w:qFormat/>
    <w:rsid w:val="00642CBD"/>
    <w:pPr>
      <w:keepNext/>
      <w:spacing w:after="0" w:line="240" w:lineRule="auto"/>
      <w:jc w:val="center"/>
      <w:outlineLvl w:val="0"/>
    </w:pPr>
    <w:rPr>
      <w:rFonts w:eastAsia="Times New Roman" w:cs="Times New Roman"/>
      <w:b/>
      <w:caps/>
      <w:sz w:val="32"/>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3358E"/>
    <w:pPr>
      <w:autoSpaceDE w:val="0"/>
      <w:autoSpaceDN w:val="0"/>
      <w:adjustRightInd w:val="0"/>
      <w:spacing w:after="0" w:line="240" w:lineRule="auto"/>
    </w:pPr>
    <w:rPr>
      <w:rFonts w:cs="Times New Roman"/>
      <w:color w:val="000000"/>
      <w:szCs w:val="24"/>
    </w:rPr>
  </w:style>
  <w:style w:type="character" w:styleId="Hyperlink">
    <w:name w:val="Hyperlink"/>
    <w:basedOn w:val="DefaultParagraphFont"/>
    <w:uiPriority w:val="99"/>
    <w:semiHidden/>
    <w:unhideWhenUsed/>
    <w:rsid w:val="00B541F7"/>
    <w:rPr>
      <w:color w:val="0000FF"/>
      <w:u w:val="single"/>
    </w:rPr>
  </w:style>
  <w:style w:type="paragraph" w:styleId="NormalWeb">
    <w:name w:val="Normal (Web)"/>
    <w:basedOn w:val="Normal"/>
    <w:uiPriority w:val="99"/>
    <w:unhideWhenUsed/>
    <w:rsid w:val="00B541F7"/>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B541F7"/>
  </w:style>
  <w:style w:type="character" w:styleId="Emphasis">
    <w:name w:val="Emphasis"/>
    <w:basedOn w:val="DefaultParagraphFont"/>
    <w:uiPriority w:val="20"/>
    <w:qFormat/>
    <w:rsid w:val="00B541F7"/>
    <w:rPr>
      <w:i/>
      <w:iCs/>
    </w:rPr>
  </w:style>
  <w:style w:type="character" w:customStyle="1" w:styleId="Heading1Char">
    <w:name w:val="Heading 1 Char"/>
    <w:basedOn w:val="DefaultParagraphFont"/>
    <w:link w:val="Heading1"/>
    <w:rsid w:val="00642CBD"/>
    <w:rPr>
      <w:rFonts w:eastAsia="Times New Roman" w:cs="Times New Roman"/>
      <w:b/>
      <w:caps/>
      <w:sz w:val="32"/>
      <w:szCs w:val="28"/>
    </w:rPr>
  </w:style>
  <w:style w:type="paragraph" w:styleId="BodyText2">
    <w:name w:val="Body Text 2"/>
    <w:basedOn w:val="Normal"/>
    <w:link w:val="BodyText2Char"/>
    <w:semiHidden/>
    <w:unhideWhenUsed/>
    <w:rsid w:val="009B7ECD"/>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semiHidden/>
    <w:rsid w:val="009B7ECD"/>
    <w:rPr>
      <w:rFonts w:ascii="Garamond" w:eastAsia="Times New Roman" w:hAnsi="Garamond" w:cs="Times New Roman"/>
      <w:sz w:val="28"/>
      <w:szCs w:val="28"/>
    </w:rPr>
  </w:style>
  <w:style w:type="character" w:customStyle="1" w:styleId="sb8d990e2">
    <w:name w:val="sb8d990e2"/>
    <w:rsid w:val="009B7ECD"/>
  </w:style>
  <w:style w:type="paragraph" w:styleId="BalloonText">
    <w:name w:val="Balloon Text"/>
    <w:basedOn w:val="Normal"/>
    <w:link w:val="BalloonTextChar"/>
    <w:uiPriority w:val="99"/>
    <w:semiHidden/>
    <w:unhideWhenUsed/>
    <w:rsid w:val="00131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99"/>
    <w:rPr>
      <w:rFonts w:ascii="Segoe UI" w:hAnsi="Segoe UI" w:cs="Segoe UI"/>
      <w:sz w:val="18"/>
      <w:szCs w:val="18"/>
      <w:lang w:val="en-US"/>
    </w:rPr>
  </w:style>
  <w:style w:type="paragraph" w:styleId="Header">
    <w:name w:val="header"/>
    <w:basedOn w:val="Normal"/>
    <w:link w:val="HeaderChar"/>
    <w:uiPriority w:val="99"/>
    <w:unhideWhenUsed/>
    <w:rsid w:val="001D62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629E"/>
    <w:rPr>
      <w:lang w:val="en-US"/>
    </w:rPr>
  </w:style>
  <w:style w:type="paragraph" w:styleId="Footer">
    <w:name w:val="footer"/>
    <w:basedOn w:val="Normal"/>
    <w:link w:val="FooterChar"/>
    <w:uiPriority w:val="99"/>
    <w:unhideWhenUsed/>
    <w:rsid w:val="001D62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629E"/>
    <w:rPr>
      <w:lang w:val="en-US"/>
    </w:rPr>
  </w:style>
  <w:style w:type="character" w:styleId="CommentReference">
    <w:name w:val="annotation reference"/>
    <w:basedOn w:val="DefaultParagraphFont"/>
    <w:uiPriority w:val="99"/>
    <w:semiHidden/>
    <w:unhideWhenUsed/>
    <w:rsid w:val="009971C0"/>
    <w:rPr>
      <w:sz w:val="16"/>
      <w:szCs w:val="16"/>
    </w:rPr>
  </w:style>
  <w:style w:type="paragraph" w:styleId="CommentText">
    <w:name w:val="annotation text"/>
    <w:basedOn w:val="Normal"/>
    <w:link w:val="CommentTextChar"/>
    <w:uiPriority w:val="99"/>
    <w:semiHidden/>
    <w:unhideWhenUsed/>
    <w:rsid w:val="009971C0"/>
    <w:pPr>
      <w:spacing w:line="240" w:lineRule="auto"/>
    </w:pPr>
    <w:rPr>
      <w:sz w:val="20"/>
      <w:szCs w:val="20"/>
    </w:rPr>
  </w:style>
  <w:style w:type="character" w:customStyle="1" w:styleId="CommentTextChar">
    <w:name w:val="Comment Text Char"/>
    <w:basedOn w:val="DefaultParagraphFont"/>
    <w:link w:val="CommentText"/>
    <w:uiPriority w:val="99"/>
    <w:semiHidden/>
    <w:rsid w:val="009971C0"/>
    <w:rPr>
      <w:sz w:val="20"/>
      <w:szCs w:val="20"/>
      <w:lang w:val="en-US"/>
    </w:rPr>
  </w:style>
  <w:style w:type="paragraph" w:styleId="CommentSubject">
    <w:name w:val="annotation subject"/>
    <w:basedOn w:val="CommentText"/>
    <w:next w:val="CommentText"/>
    <w:link w:val="CommentSubjectChar"/>
    <w:uiPriority w:val="99"/>
    <w:semiHidden/>
    <w:unhideWhenUsed/>
    <w:rsid w:val="009971C0"/>
    <w:rPr>
      <w:b/>
      <w:bCs/>
    </w:rPr>
  </w:style>
  <w:style w:type="character" w:customStyle="1" w:styleId="CommentSubjectChar">
    <w:name w:val="Comment Subject Char"/>
    <w:basedOn w:val="CommentTextChar"/>
    <w:link w:val="CommentSubject"/>
    <w:uiPriority w:val="99"/>
    <w:semiHidden/>
    <w:rsid w:val="009971C0"/>
    <w:rPr>
      <w:b/>
      <w:bCs/>
      <w:sz w:val="20"/>
      <w:szCs w:val="20"/>
      <w:lang w:val="en-US"/>
    </w:rPr>
  </w:style>
  <w:style w:type="paragraph" w:styleId="Revision">
    <w:name w:val="Revision"/>
    <w:hidden/>
    <w:uiPriority w:val="99"/>
    <w:semiHidden/>
    <w:rsid w:val="000A727B"/>
    <w:pPr>
      <w:spacing w:after="0" w:line="240" w:lineRule="auto"/>
    </w:pPr>
    <w:rPr>
      <w:lang w:val="en-US"/>
    </w:rPr>
  </w:style>
  <w:style w:type="paragraph" w:styleId="FootnoteText">
    <w:name w:val="footnote text"/>
    <w:basedOn w:val="Normal"/>
    <w:link w:val="FootnoteTextChar"/>
    <w:uiPriority w:val="99"/>
    <w:semiHidden/>
    <w:unhideWhenUsed/>
    <w:rsid w:val="003F4E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E91"/>
    <w:rPr>
      <w:sz w:val="20"/>
      <w:szCs w:val="20"/>
      <w:lang w:val="en-US"/>
    </w:rPr>
  </w:style>
  <w:style w:type="character" w:styleId="FootnoteReference">
    <w:name w:val="footnote reference"/>
    <w:basedOn w:val="DefaultParagraphFont"/>
    <w:uiPriority w:val="99"/>
    <w:semiHidden/>
    <w:unhideWhenUsed/>
    <w:rsid w:val="003F4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13768">
      <w:bodyDiv w:val="1"/>
      <w:marLeft w:val="0"/>
      <w:marRight w:val="0"/>
      <w:marTop w:val="0"/>
      <w:marBottom w:val="0"/>
      <w:divBdr>
        <w:top w:val="none" w:sz="0" w:space="0" w:color="auto"/>
        <w:left w:val="none" w:sz="0" w:space="0" w:color="auto"/>
        <w:bottom w:val="none" w:sz="0" w:space="0" w:color="auto"/>
        <w:right w:val="none" w:sz="0" w:space="0" w:color="auto"/>
      </w:divBdr>
    </w:div>
    <w:div w:id="184174987">
      <w:bodyDiv w:val="1"/>
      <w:marLeft w:val="0"/>
      <w:marRight w:val="0"/>
      <w:marTop w:val="0"/>
      <w:marBottom w:val="0"/>
      <w:divBdr>
        <w:top w:val="none" w:sz="0" w:space="0" w:color="auto"/>
        <w:left w:val="none" w:sz="0" w:space="0" w:color="auto"/>
        <w:bottom w:val="none" w:sz="0" w:space="0" w:color="auto"/>
        <w:right w:val="none" w:sz="0" w:space="0" w:color="auto"/>
      </w:divBdr>
    </w:div>
    <w:div w:id="1730573454">
      <w:bodyDiv w:val="1"/>
      <w:marLeft w:val="0"/>
      <w:marRight w:val="0"/>
      <w:marTop w:val="0"/>
      <w:marBottom w:val="0"/>
      <w:divBdr>
        <w:top w:val="none" w:sz="0" w:space="0" w:color="auto"/>
        <w:left w:val="none" w:sz="0" w:space="0" w:color="auto"/>
        <w:bottom w:val="none" w:sz="0" w:space="0" w:color="auto"/>
        <w:right w:val="none" w:sz="0" w:space="0" w:color="auto"/>
      </w:divBdr>
    </w:div>
    <w:div w:id="204028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1B49-75FD-4664-A947-5F62D5C9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7189</Words>
  <Characters>4098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2019-10-03T04:59:00Z</dcterms:created>
  <dcterms:modified xsi:type="dcterms:W3CDTF">2019-10-04T08:55:00Z</dcterms:modified>
</cp:coreProperties>
</file>