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E5A" w:rsidRPr="009F1B48" w:rsidRDefault="00657E5A" w:rsidP="00657E5A">
      <w:pPr>
        <w:spacing w:after="0"/>
        <w:ind w:firstLine="0"/>
        <w:jc w:val="both"/>
        <w:rPr>
          <w:b/>
          <w:bCs/>
        </w:rPr>
      </w:pPr>
      <w:r>
        <w:rPr>
          <w:b/>
          <w:bCs/>
        </w:rPr>
        <w:t>„Pārsteiguma” sprieduma nepieļaujamība</w:t>
      </w:r>
    </w:p>
    <w:p w:rsidR="005D6C09" w:rsidRDefault="00657E5A" w:rsidP="00657E5A">
      <w:pPr>
        <w:spacing w:after="0"/>
        <w:ind w:firstLine="0"/>
        <w:jc w:val="both"/>
      </w:pPr>
      <w:r>
        <w:t xml:space="preserve">Administratīvā procesa likuma 247.panta trešā daļa noteic, ka tiesa spriedumu drīkst pamatot tikai ar tādiem apstākļiem, par kuriem administratīvā procesa dalībniekiem ir bijusi iespēja mutvārdos vai rakstveidā izteikt savu viedokli. Šī tiesību norma ir vērsta uz tiesību tikt uzklausītam īstenošanu un „pārsteiguma” spriedumu nepieļaušanu, tādējādi sekmējot taisnīga tiesas procesa īstenošanu. Lai netiktu sastādīts „pārsteiguma” spriedums, mutvārdu procesā tiesai ir jāpārrunā ar lietas dalībniekiem lietā nozīmīgie faktiskie un tiesiskie apstākļi; tas pats attiecināms uz rakstveida procesu. </w:t>
      </w:r>
    </w:p>
    <w:p w:rsidR="005A5FE0" w:rsidRDefault="005A5FE0" w:rsidP="00657E5A">
      <w:pPr>
        <w:spacing w:after="0"/>
        <w:ind w:firstLine="0"/>
        <w:jc w:val="both"/>
      </w:pPr>
    </w:p>
    <w:p w:rsidR="00761D90" w:rsidRDefault="00761D90" w:rsidP="005A5FE0">
      <w:pPr>
        <w:spacing w:after="0"/>
        <w:ind w:firstLine="0"/>
        <w:jc w:val="both"/>
      </w:pPr>
      <w:r>
        <w:rPr>
          <w:rFonts w:cs="Times New Roman"/>
          <w:b/>
          <w:bCs/>
        </w:rPr>
        <w:t xml:space="preserve">Personas tiesības prasīt atlīdzināt </w:t>
      </w:r>
      <w:r w:rsidRPr="00001D4E">
        <w:rPr>
          <w:b/>
          <w:bCs/>
        </w:rPr>
        <w:t>nākotnē sagaidām</w:t>
      </w:r>
      <w:r>
        <w:rPr>
          <w:b/>
          <w:bCs/>
        </w:rPr>
        <w:t>os</w:t>
      </w:r>
      <w:r w:rsidRPr="00001D4E">
        <w:rPr>
          <w:b/>
          <w:bCs/>
        </w:rPr>
        <w:t xml:space="preserve"> izdevum</w:t>
      </w:r>
      <w:r>
        <w:rPr>
          <w:b/>
          <w:bCs/>
        </w:rPr>
        <w:t>us p</w:t>
      </w:r>
      <w:r>
        <w:rPr>
          <w:rFonts w:cs="Times New Roman"/>
          <w:b/>
          <w:bCs/>
        </w:rPr>
        <w:t>ar juridisko palīdzību</w:t>
      </w:r>
      <w:r w:rsidRPr="00CC04F9">
        <w:t xml:space="preserve"> </w:t>
      </w:r>
    </w:p>
    <w:p w:rsidR="005A5FE0" w:rsidRDefault="005A5FE0" w:rsidP="005A5FE0">
      <w:pPr>
        <w:spacing w:after="0"/>
        <w:ind w:firstLine="0"/>
        <w:jc w:val="both"/>
      </w:pPr>
      <w:bookmarkStart w:id="0" w:name="_GoBack"/>
      <w:bookmarkEnd w:id="0"/>
      <w:r w:rsidRPr="00CC04F9">
        <w:t>Par jau cēlušos mantisku zaudējumu ir uzskatāma arī saistību apmēra palielināšanās, līdz ar to</w:t>
      </w:r>
      <w:r>
        <w:rPr>
          <w:color w:val="1F497D"/>
        </w:rPr>
        <w:t xml:space="preserve"> </w:t>
      </w:r>
      <w:r>
        <w:t>a</w:t>
      </w:r>
      <w:r w:rsidRPr="004A4D64">
        <w:t>tbilstoši Valsts pārvaldes iestāžu nodarīto zaudējumu atlīdzināšanas likuma 7.panta pirmajai daļai par mantisko zaudējumu, kas cietušajam radies, ir uzskatāma arī rēķinā par juridisko palīdzību norādītā summa, lai arī tā vēl nav samaksāta.</w:t>
      </w:r>
    </w:p>
    <w:p w:rsidR="00657E5A" w:rsidRPr="00287404" w:rsidRDefault="00657E5A" w:rsidP="005D6C09">
      <w:pPr>
        <w:pStyle w:val="BodyText2"/>
        <w:spacing w:after="0" w:line="276" w:lineRule="auto"/>
        <w:ind w:firstLine="0"/>
        <w:jc w:val="right"/>
      </w:pPr>
    </w:p>
    <w:p w:rsidR="006F5D3B" w:rsidRDefault="006F5D3B" w:rsidP="00B55F15">
      <w:pPr>
        <w:spacing w:after="0"/>
        <w:ind w:firstLine="0"/>
        <w:jc w:val="center"/>
        <w:rPr>
          <w:b/>
        </w:rPr>
      </w:pPr>
      <w:r w:rsidRPr="00657E5A">
        <w:rPr>
          <w:b/>
        </w:rPr>
        <w:t xml:space="preserve">Latvijas Republikas </w:t>
      </w:r>
      <w:r w:rsidR="00F24636" w:rsidRPr="00657E5A">
        <w:rPr>
          <w:b/>
        </w:rPr>
        <w:t>Senāt</w:t>
      </w:r>
      <w:r w:rsidR="00657E5A">
        <w:rPr>
          <w:b/>
        </w:rPr>
        <w:t>a</w:t>
      </w:r>
    </w:p>
    <w:p w:rsidR="00657E5A" w:rsidRDefault="00657E5A" w:rsidP="00B55F15">
      <w:pPr>
        <w:spacing w:after="0"/>
        <w:ind w:firstLine="0"/>
        <w:jc w:val="center"/>
        <w:rPr>
          <w:b/>
        </w:rPr>
      </w:pPr>
      <w:r>
        <w:rPr>
          <w:b/>
        </w:rPr>
        <w:t>Administratīvo lietu departamenta</w:t>
      </w:r>
    </w:p>
    <w:p w:rsidR="00657E5A" w:rsidRPr="00657E5A" w:rsidRDefault="00657E5A" w:rsidP="00B55F15">
      <w:pPr>
        <w:spacing w:after="0"/>
        <w:ind w:firstLine="0"/>
        <w:jc w:val="center"/>
        <w:rPr>
          <w:b/>
        </w:rPr>
      </w:pPr>
      <w:r>
        <w:rPr>
          <w:b/>
        </w:rPr>
        <w:t>2019.gada 23.septembra</w:t>
      </w:r>
    </w:p>
    <w:p w:rsidR="003047F5" w:rsidRDefault="00217589" w:rsidP="00B55F15">
      <w:pPr>
        <w:spacing w:after="0"/>
        <w:ind w:firstLine="0"/>
        <w:jc w:val="center"/>
        <w:rPr>
          <w:b/>
        </w:rPr>
      </w:pPr>
      <w:r w:rsidRPr="00657E5A">
        <w:rPr>
          <w:b/>
        </w:rPr>
        <w:t>SPRIEDUMS</w:t>
      </w:r>
    </w:p>
    <w:p w:rsidR="00657E5A" w:rsidRDefault="00657E5A" w:rsidP="00B55F15">
      <w:pPr>
        <w:spacing w:after="0"/>
        <w:ind w:firstLine="0"/>
        <w:jc w:val="center"/>
        <w:rPr>
          <w:b/>
        </w:rPr>
      </w:pPr>
      <w:r>
        <w:rPr>
          <w:b/>
        </w:rPr>
        <w:t>Lieta Nr. A420172915, SKA-131/2019</w:t>
      </w:r>
    </w:p>
    <w:p w:rsidR="00657E5A" w:rsidRPr="00657E5A" w:rsidRDefault="00896464" w:rsidP="00B55F15">
      <w:pPr>
        <w:spacing w:after="0"/>
        <w:ind w:firstLine="0"/>
        <w:jc w:val="center"/>
        <w:rPr>
          <w:b/>
          <w:color w:val="0000FF"/>
        </w:rPr>
      </w:pPr>
      <w:hyperlink r:id="rId6" w:history="1">
        <w:r w:rsidR="00657E5A" w:rsidRPr="00657E5A">
          <w:rPr>
            <w:rStyle w:val="Hyperlink"/>
            <w:color w:val="0000FF"/>
          </w:rPr>
          <w:t>ECLI:LV:AT:2019:0923.A420172915.2.S</w:t>
        </w:r>
      </w:hyperlink>
    </w:p>
    <w:p w:rsidR="003047F5" w:rsidRPr="00287404" w:rsidRDefault="003047F5" w:rsidP="00B55F15">
      <w:pPr>
        <w:spacing w:after="0"/>
        <w:ind w:firstLine="0"/>
        <w:jc w:val="center"/>
      </w:pPr>
    </w:p>
    <w:p w:rsidR="0094548B" w:rsidRDefault="00F24636" w:rsidP="00B55F15">
      <w:pPr>
        <w:spacing w:after="0"/>
        <w:jc w:val="both"/>
      </w:pPr>
      <w:r w:rsidRPr="007C0792">
        <w:t>Tiesa</w:t>
      </w:r>
      <w:r w:rsidR="00243DBB" w:rsidRPr="007C0792">
        <w:t xml:space="preserve"> </w:t>
      </w:r>
      <w:r w:rsidR="008A7FEC" w:rsidRPr="007C0792">
        <w:t>šādā sastāvā</w:t>
      </w:r>
      <w:r w:rsidR="00195D41" w:rsidRPr="007C0792">
        <w:t>:</w:t>
      </w:r>
      <w:r w:rsidRPr="007C0792">
        <w:t xml:space="preserve"> senatori</w:t>
      </w:r>
      <w:r w:rsidR="00670032" w:rsidRPr="007C0792">
        <w:t xml:space="preserve"> </w:t>
      </w:r>
      <w:r w:rsidR="00EB2B18" w:rsidRPr="007C0792">
        <w:t>Anita Kovaļevska</w:t>
      </w:r>
      <w:r w:rsidR="00287404" w:rsidRPr="007C0792">
        <w:t>,</w:t>
      </w:r>
      <w:r w:rsidR="0094548B" w:rsidRPr="007C0792">
        <w:t xml:space="preserve"> </w:t>
      </w:r>
      <w:r w:rsidR="007C0792" w:rsidRPr="007C0792">
        <w:t>Andris</w:t>
      </w:r>
      <w:r w:rsidR="007C0792">
        <w:t xml:space="preserve"> Guļāns, Veronika Krūmiņa</w:t>
      </w:r>
    </w:p>
    <w:p w:rsidR="000913D2" w:rsidRDefault="000913D2" w:rsidP="00B55F15">
      <w:pPr>
        <w:spacing w:after="0"/>
        <w:jc w:val="both"/>
      </w:pPr>
    </w:p>
    <w:p w:rsidR="000913D2" w:rsidRDefault="000913D2" w:rsidP="00B55F15">
      <w:pPr>
        <w:spacing w:after="0"/>
        <w:jc w:val="both"/>
      </w:pPr>
      <w:r>
        <w:t xml:space="preserve">rakstveida procesā izskatīja administratīvo lietu, kas ierosināta, pamatojoties uz </w:t>
      </w:r>
      <w:r w:rsidR="00657E5A">
        <w:t>[pers. A]</w:t>
      </w:r>
      <w:r>
        <w:t xml:space="preserve"> pieteikumu par </w:t>
      </w:r>
      <w:r w:rsidR="00192153">
        <w:t>nemantiskā (</w:t>
      </w:r>
      <w:r w:rsidR="001C4191">
        <w:t>morālā</w:t>
      </w:r>
      <w:r w:rsidR="00192153">
        <w:t>)</w:t>
      </w:r>
      <w:r w:rsidR="001C4191">
        <w:t xml:space="preserve"> kaitējuma 1000 </w:t>
      </w:r>
      <w:r w:rsidR="001C4191" w:rsidRPr="001C4191">
        <w:rPr>
          <w:i/>
          <w:iCs/>
          <w:noProof/>
        </w:rPr>
        <w:t>euro</w:t>
      </w:r>
      <w:r w:rsidR="001C4191">
        <w:t xml:space="preserve"> un mantisko zaudējumu atlīdzināšanu, sakarā ar </w:t>
      </w:r>
      <w:r w:rsidR="00657E5A">
        <w:t>[pers. A]</w:t>
      </w:r>
      <w:r w:rsidR="001C4191">
        <w:t xml:space="preserve"> kasācijas sūdzību par Administratīvās apgabaltiesas 2017.gada 31.janvāra spriedumu. </w:t>
      </w:r>
    </w:p>
    <w:p w:rsidR="007F61F8" w:rsidRPr="00287404" w:rsidRDefault="007F61F8" w:rsidP="00B55F15">
      <w:pPr>
        <w:spacing w:after="0"/>
        <w:jc w:val="both"/>
      </w:pPr>
    </w:p>
    <w:p w:rsidR="003047F5" w:rsidRPr="00287404" w:rsidRDefault="003047F5" w:rsidP="00B55F15">
      <w:pPr>
        <w:spacing w:after="0"/>
        <w:ind w:firstLine="0"/>
        <w:jc w:val="center"/>
        <w:rPr>
          <w:b/>
        </w:rPr>
      </w:pPr>
      <w:r w:rsidRPr="00287404">
        <w:rPr>
          <w:b/>
        </w:rPr>
        <w:t>Aprakstošā daļa</w:t>
      </w:r>
    </w:p>
    <w:p w:rsidR="00604A78" w:rsidRDefault="00604A78" w:rsidP="00B55F15">
      <w:pPr>
        <w:spacing w:after="0"/>
        <w:jc w:val="both"/>
      </w:pPr>
    </w:p>
    <w:p w:rsidR="001C4191" w:rsidRDefault="001C4191" w:rsidP="00B55F15">
      <w:pPr>
        <w:spacing w:after="0"/>
        <w:jc w:val="both"/>
      </w:pPr>
      <w:r>
        <w:t>[1] Ar Administratīvās rajona tiesas 2014.gada 8.aprīļa spriedumu lietā Nr.</w:t>
      </w:r>
      <w:r w:rsidR="005D6C09">
        <w:t> </w:t>
      </w:r>
      <w:r>
        <w:t xml:space="preserve">A420508913 tika apmierināts pieteicēja pieteikums, atzīstot par prettiesisku Jelgavas cietuma administrācijas faktisko </w:t>
      </w:r>
      <w:r w:rsidR="006037B0">
        <w:t xml:space="preserve">rīcību, nenodrošinot pieteicēju ar dzeramo ūdeni no 2013.gada 12.augusta pulksten 21.00 līdz 13.augusta pulksten 6.00. </w:t>
      </w:r>
    </w:p>
    <w:p w:rsidR="006037B0" w:rsidRDefault="006037B0" w:rsidP="00B55F15">
      <w:pPr>
        <w:spacing w:after="0"/>
        <w:jc w:val="both"/>
      </w:pPr>
      <w:r>
        <w:t xml:space="preserve">Ar Ieslodzījuma vietu pārvaldes 2015.gada </w:t>
      </w:r>
      <w:r w:rsidR="00126717">
        <w:t xml:space="preserve">9.februāra lēmumu pieteicējam atteikts atlīdzināt </w:t>
      </w:r>
      <w:r w:rsidR="00192153">
        <w:t>nemantisko (</w:t>
      </w:r>
      <w:r w:rsidR="00126717">
        <w:t>morālo</w:t>
      </w:r>
      <w:r w:rsidR="00192153">
        <w:t>)</w:t>
      </w:r>
      <w:r w:rsidR="00126717">
        <w:t xml:space="preserve"> kaitējumu 1000 </w:t>
      </w:r>
      <w:r w:rsidR="00126717" w:rsidRPr="00126717">
        <w:rPr>
          <w:i/>
          <w:iCs/>
          <w:noProof/>
        </w:rPr>
        <w:t>euro</w:t>
      </w:r>
      <w:r w:rsidR="00126717">
        <w:t xml:space="preserve"> un mantiskos zaudējumus 204,93 </w:t>
      </w:r>
      <w:r w:rsidR="00126717" w:rsidRPr="00126717">
        <w:rPr>
          <w:i/>
          <w:iCs/>
          <w:noProof/>
        </w:rPr>
        <w:t>euro</w:t>
      </w:r>
      <w:r w:rsidR="00126717">
        <w:t xml:space="preserve">  sakarā ar juridiskās palīdzības saņemšanu, kā arī noteikts </w:t>
      </w:r>
      <w:r w:rsidR="00192153">
        <w:t>nema</w:t>
      </w:r>
      <w:r w:rsidR="00C41956">
        <w:t>n</w:t>
      </w:r>
      <w:r w:rsidR="00192153">
        <w:t>tiskā (</w:t>
      </w:r>
      <w:r w:rsidR="00126717">
        <w:t>morālā</w:t>
      </w:r>
      <w:r w:rsidR="00192153">
        <w:t>)</w:t>
      </w:r>
      <w:r w:rsidR="00126717">
        <w:t xml:space="preserve"> kaitējuma atlīdzinājums – rakstveida atvainošanās. </w:t>
      </w:r>
    </w:p>
    <w:p w:rsidR="00126717" w:rsidRDefault="00126717" w:rsidP="00B55F15">
      <w:pPr>
        <w:spacing w:after="0"/>
        <w:jc w:val="both"/>
      </w:pPr>
    </w:p>
    <w:p w:rsidR="0085241B" w:rsidRDefault="00126717" w:rsidP="00B55F15">
      <w:pPr>
        <w:spacing w:after="0"/>
        <w:jc w:val="both"/>
      </w:pPr>
      <w:r>
        <w:t>[2] Pieteicējs vērsās tiesā ar pieteikumu par</w:t>
      </w:r>
      <w:r w:rsidR="0085241B">
        <w:t xml:space="preserve"> labvēlīgāka administratīvā akta izdošanu, ar kuru pieteicējam tiktu atlīdzināts </w:t>
      </w:r>
      <w:r w:rsidR="00192153">
        <w:t>nemantiskais (</w:t>
      </w:r>
      <w:r w:rsidR="0085241B">
        <w:t>morālais</w:t>
      </w:r>
      <w:r w:rsidR="00192153">
        <w:t>)</w:t>
      </w:r>
      <w:r w:rsidR="0085241B">
        <w:t xml:space="preserve"> kaitējums 1000 </w:t>
      </w:r>
      <w:r w:rsidR="0085241B" w:rsidRPr="0085241B">
        <w:rPr>
          <w:i/>
          <w:iCs/>
          <w:noProof/>
        </w:rPr>
        <w:t>euro</w:t>
      </w:r>
      <w:r w:rsidR="0085241B">
        <w:t xml:space="preserve"> un mantiskie zaudējumi par juridiskās palīdzības saņemšanu. Administratīvā rajona tiesa ar 2016.gada 5.februāra spriedumu pieteikumu noraidīja. </w:t>
      </w:r>
    </w:p>
    <w:p w:rsidR="0085241B" w:rsidRDefault="0085241B" w:rsidP="00B55F15">
      <w:pPr>
        <w:spacing w:after="0"/>
        <w:jc w:val="both"/>
      </w:pPr>
    </w:p>
    <w:p w:rsidR="0085241B" w:rsidRDefault="0085241B" w:rsidP="00CE580E">
      <w:pPr>
        <w:spacing w:after="0"/>
        <w:jc w:val="both"/>
      </w:pPr>
      <w:r>
        <w:t xml:space="preserve">[3] Administratīvā apgabaltiesa ar 2017.gada 31.janvāra spriedumu pieteikumu daļēji apmierināja, uzliekot </w:t>
      </w:r>
      <w:r w:rsidR="00D4438E">
        <w:t xml:space="preserve">pienākumu Latvijas Republikai atlīdzināt pieteicējam mantiskos zaudējumus par juridiskās palīdzības saņemšanu 60,47 </w:t>
      </w:r>
      <w:r w:rsidR="00D4438E" w:rsidRPr="00D4438E">
        <w:rPr>
          <w:i/>
          <w:iCs/>
          <w:noProof/>
        </w:rPr>
        <w:t>euro</w:t>
      </w:r>
      <w:r w:rsidR="00D4438E">
        <w:t xml:space="preserve">. </w:t>
      </w:r>
      <w:r w:rsidR="00CE580E" w:rsidRPr="00CE580E">
        <w:t>Spriedumā, pievienojoties rajona tiesas sprieduma motivācijai</w:t>
      </w:r>
      <w:r w:rsidR="00CE580E">
        <w:t xml:space="preserve"> daļā par </w:t>
      </w:r>
      <w:r w:rsidR="00192153">
        <w:t>nemantiskā (</w:t>
      </w:r>
      <w:r w:rsidR="00CE580E">
        <w:t>morālā</w:t>
      </w:r>
      <w:r w:rsidR="00192153">
        <w:t>)</w:t>
      </w:r>
      <w:r w:rsidR="00CE580E">
        <w:t xml:space="preserve"> kaitējuma atlīdzinājumu</w:t>
      </w:r>
      <w:r w:rsidR="00CE580E" w:rsidRPr="00CE580E">
        <w:t>, norādīti turpmāk minētie argumenti.</w:t>
      </w:r>
    </w:p>
    <w:p w:rsidR="00CE580E" w:rsidRDefault="00D4438E" w:rsidP="00B55F15">
      <w:pPr>
        <w:spacing w:after="0"/>
        <w:jc w:val="both"/>
      </w:pPr>
      <w:r>
        <w:t xml:space="preserve">[3.1] </w:t>
      </w:r>
      <w:r w:rsidR="00CE580E">
        <w:t>Ņemot vērā, ka ūdens padeve bija apturēta visā Jelgavas cietumā, nav konstatējams, ka Jelgavas cietuma administrācija ar tiešu nodomu būtu vēlējusies vai būtu nodarījusi stipras fiziskas vai garīgas sāpes vai ciešanas pieteicējam.</w:t>
      </w:r>
    </w:p>
    <w:p w:rsidR="00CE580E" w:rsidRDefault="00CE580E" w:rsidP="00B55F15">
      <w:pPr>
        <w:spacing w:after="0"/>
        <w:jc w:val="both"/>
      </w:pPr>
      <w:r>
        <w:t xml:space="preserve">Pieteicēja 2014.gada 10.decembra iesniegumā Ieslodzījuma vietu pārvaldei norādīts, ka pieteicējs bija nodarbojies ar jogu un veicis citas fiziskas </w:t>
      </w:r>
      <w:r w:rsidR="00D628F6">
        <w:t>aktivitātes</w:t>
      </w:r>
      <w:r>
        <w:t xml:space="preserve">, pēc kurām pieteicējam bija ievērojamas slāpes un ūdens nepieejamības dēļ nebija arī iespējas sakopt savu ķermeni. </w:t>
      </w:r>
      <w:r w:rsidR="00C413E1">
        <w:t>Savukārt</w:t>
      </w:r>
      <w:r>
        <w:t xml:space="preserve"> sākotnējā </w:t>
      </w:r>
      <w:r w:rsidR="00C413E1" w:rsidRPr="00C413E1">
        <w:t xml:space="preserve">2013.gada 13.augusta sūdzībā </w:t>
      </w:r>
      <w:r w:rsidR="00C413E1">
        <w:t>pieteicējs</w:t>
      </w:r>
      <w:r>
        <w:t xml:space="preserve"> nav norādījis, ka būtu nodarbojies ar jogu un citām fiziskām aktivitātēm, kā arī nav norādījis, ka būtu izjutis ievērojamas slāpes. Līdz ar to rodas pamatotas šaubas par vēlāk sniegto ziņu patiesumu. T</w:t>
      </w:r>
      <w:r w:rsidR="00C413E1">
        <w:t>urklāt</w:t>
      </w:r>
      <w:r>
        <w:t xml:space="preserve">, ja slāpes būtu bijušas tik ievērojamas, kā vēlāk iesniegumā tiek apgalvots, tad būtu sagaidāms, ka pieteicējs būtu lūdzis dežurējošam uzraugam nodrošināt ūdeni. Taču no sūdzības un citiem lietas materiāliem neizriet, ka pieteicējs būtu lūdzis </w:t>
      </w:r>
      <w:r w:rsidR="00C413E1">
        <w:t xml:space="preserve">nodrošināt </w:t>
      </w:r>
      <w:r>
        <w:t xml:space="preserve">dzeramo ūdeni, bet </w:t>
      </w:r>
      <w:r w:rsidR="00C413E1">
        <w:t>tas būtu atteikts</w:t>
      </w:r>
      <w:r>
        <w:t>.</w:t>
      </w:r>
    </w:p>
    <w:p w:rsidR="00CE580E" w:rsidRDefault="00C413E1" w:rsidP="00B55F15">
      <w:pPr>
        <w:spacing w:after="0"/>
        <w:jc w:val="both"/>
      </w:pPr>
      <w:r>
        <w:t>S</w:t>
      </w:r>
      <w:r w:rsidR="00CE580E">
        <w:t xml:space="preserve">ākotnēji pieteicējs norādījis, ka </w:t>
      </w:r>
      <w:r>
        <w:t>ūdens nepieejamības dēļ</w:t>
      </w:r>
      <w:r w:rsidR="00CE580E">
        <w:t xml:space="preserve">, nav bijis iespējams izmantot </w:t>
      </w:r>
      <w:r>
        <w:t xml:space="preserve">arī </w:t>
      </w:r>
      <w:r w:rsidR="00CE580E">
        <w:t xml:space="preserve">sanitāro mezglu. </w:t>
      </w:r>
      <w:r>
        <w:t>Savukārt</w:t>
      </w:r>
      <w:r w:rsidR="00CE580E">
        <w:t xml:space="preserve"> tiesas sēdē pieteicējs </w:t>
      </w:r>
      <w:r>
        <w:t>norādīja</w:t>
      </w:r>
      <w:r w:rsidR="00CE580E">
        <w:t xml:space="preserve">, ka </w:t>
      </w:r>
      <w:r>
        <w:t xml:space="preserve">visu nakti </w:t>
      </w:r>
      <w:r w:rsidR="00CE580E">
        <w:t>bij</w:t>
      </w:r>
      <w:r>
        <w:t xml:space="preserve">a </w:t>
      </w:r>
      <w:r w:rsidR="00CE580E">
        <w:t>jā</w:t>
      </w:r>
      <w:r>
        <w:t>c</w:t>
      </w:r>
      <w:r w:rsidR="00CE580E">
        <w:t>ieš tualetes radītā smaka, jo nav bijis iesp</w:t>
      </w:r>
      <w:r>
        <w:t>ējams klozetpodā noskalot ūdeni</w:t>
      </w:r>
      <w:r w:rsidR="00CE580E">
        <w:t xml:space="preserve">. </w:t>
      </w:r>
      <w:r>
        <w:t>Tātad p</w:t>
      </w:r>
      <w:r w:rsidRPr="00C413E1">
        <w:t xml:space="preserve">ieteicēja sniegtie paskaidrojumi ir pretrunīgi, pat savstarpēji izslēdzoši. </w:t>
      </w:r>
      <w:r w:rsidR="00CE580E">
        <w:t xml:space="preserve">Vērtējot šo pieteicēja argumentu, </w:t>
      </w:r>
      <w:r>
        <w:t>jā</w:t>
      </w:r>
      <w:r w:rsidR="00CE580E">
        <w:t>ņem vērā</w:t>
      </w:r>
      <w:r>
        <w:t xml:space="preserve"> arī tas</w:t>
      </w:r>
      <w:r w:rsidR="00CE580E">
        <w:t>, ka ūdens klozetpoda lietošanai uzkrājas atsevišķā tvertnē. Tādējādi pieteicējam vismaz vienu reizi pēc ūdens atslēgšanas bija iespējams pēc tualetes izmantošanas noskalot ūdeni. Tikai nākamajā apmeklējama reizē tas vairs neb</w:t>
      </w:r>
      <w:r>
        <w:t>ūtu</w:t>
      </w:r>
      <w:r w:rsidR="00CE580E">
        <w:t xml:space="preserve"> iespējams ūdens neesības dēļ. T</w:t>
      </w:r>
      <w:r>
        <w:t>urklāt</w:t>
      </w:r>
      <w:r w:rsidR="00CE580E">
        <w:t xml:space="preserve">, ja aizskārums būtu bijis būtisks, tad pieteicējs iebildumus visticamāk būtu izteicis jau sākotnēji. Tā kā iebildumi par tualetes radīto smaku izteikti tikai tiesā, nav pamata atzīt, ka tie būtu radījuši būtisku aizskārumu. </w:t>
      </w:r>
    </w:p>
    <w:p w:rsidR="00CE580E" w:rsidRDefault="00CE580E" w:rsidP="00B55F15">
      <w:pPr>
        <w:spacing w:after="0"/>
        <w:jc w:val="both"/>
      </w:pPr>
      <w:r>
        <w:t xml:space="preserve">Ņemot vērā iepriekš minēto, kā arī apstākli, ka ūdens kamerā </w:t>
      </w:r>
      <w:r w:rsidR="00C413E1">
        <w:t xml:space="preserve">nav bijis tikai deviņas stundas, no kurām </w:t>
      </w:r>
      <w:r w:rsidR="00C51C56">
        <w:t>astoņas</w:t>
      </w:r>
      <w:r w:rsidR="00C413E1">
        <w:t xml:space="preserve"> stundas bija naktsmieram paredzētais laiks, </w:t>
      </w:r>
      <w:r>
        <w:t xml:space="preserve">un ka pieteicējam dzeramais ūdens netika nodrošināts sakarā ar vienreizēju ūdensapgādes pārtraukšanu, kam piemīt gadījuma raksturs, </w:t>
      </w:r>
      <w:r w:rsidR="00C413E1">
        <w:t xml:space="preserve">secināms, ka </w:t>
      </w:r>
      <w:r>
        <w:t xml:space="preserve">nav noticis būtisks </w:t>
      </w:r>
      <w:r w:rsidR="00C413E1">
        <w:t xml:space="preserve">pieteicēja </w:t>
      </w:r>
      <w:r>
        <w:t xml:space="preserve">tiesību aizskārums, kuru būtu pamats atlīdzināt naudā. </w:t>
      </w:r>
      <w:r w:rsidR="00C413E1">
        <w:t>K</w:t>
      </w:r>
      <w:r>
        <w:t xml:space="preserve">onkrētajā gadījumā atbilstīgs </w:t>
      </w:r>
      <w:r w:rsidR="00192153">
        <w:t>nemantiskā (</w:t>
      </w:r>
      <w:r>
        <w:t>morālā</w:t>
      </w:r>
      <w:r w:rsidR="00192153">
        <w:t>)</w:t>
      </w:r>
      <w:r>
        <w:t xml:space="preserve"> kaitējuma atlīdzinājums ir </w:t>
      </w:r>
      <w:r w:rsidR="00C413E1">
        <w:t>p</w:t>
      </w:r>
      <w:r>
        <w:t>ārvaldes raks</w:t>
      </w:r>
      <w:r w:rsidR="00C413E1">
        <w:t>tveida atvainošanās pieteicējam</w:t>
      </w:r>
      <w:r>
        <w:t>.</w:t>
      </w:r>
    </w:p>
    <w:p w:rsidR="00D90AEB" w:rsidRDefault="00E03698" w:rsidP="00B55F15">
      <w:pPr>
        <w:spacing w:after="0"/>
        <w:jc w:val="both"/>
      </w:pPr>
      <w:r>
        <w:t xml:space="preserve">Apelācijas sūdzībā norādīts, ka šī nav vienīgā tiesvedība starp pieteicēju un iestādi, kas apliecina to, ka normatīvo aktu ignorēšana </w:t>
      </w:r>
      <w:r w:rsidR="00D628F6">
        <w:t xml:space="preserve">no iestādes puses </w:t>
      </w:r>
      <w:r>
        <w:t>ir sistemātiska</w:t>
      </w:r>
      <w:r w:rsidR="00D628F6">
        <w:t>. Taču tas, ņemot vērā tieši konkrētajā gadījumā konstatētos apstākļus</w:t>
      </w:r>
      <w:r>
        <w:t>, nevar būt tiesisk</w:t>
      </w:r>
      <w:r w:rsidR="00192153">
        <w:t>ais</w:t>
      </w:r>
      <w:r>
        <w:t xml:space="preserve"> pamat</w:t>
      </w:r>
      <w:r w:rsidR="00192153">
        <w:t>s tam</w:t>
      </w:r>
      <w:r>
        <w:t xml:space="preserve">, lai </w:t>
      </w:r>
      <w:r w:rsidR="00192153">
        <w:t>nemantiskā (</w:t>
      </w:r>
      <w:r>
        <w:t>morālā</w:t>
      </w:r>
      <w:r w:rsidR="00192153">
        <w:t>)</w:t>
      </w:r>
      <w:r>
        <w:t xml:space="preserve"> kaitējuma atlīdzinājumu šajā lietā noteiktu naud</w:t>
      </w:r>
      <w:r w:rsidR="00D458F5">
        <w:t>ā</w:t>
      </w:r>
      <w:r>
        <w:t>.</w:t>
      </w:r>
    </w:p>
    <w:p w:rsidR="007B0EF9" w:rsidRDefault="007B0EF9" w:rsidP="00B55F15">
      <w:pPr>
        <w:spacing w:after="0"/>
        <w:jc w:val="both"/>
      </w:pPr>
      <w:r>
        <w:t>[3.2] Pieteicējs ir lūdzis atlīdzināt izdevumus par zvērināta advokāta sniegto juridisko palīdzību</w:t>
      </w:r>
      <w:r w:rsidR="00ED6543">
        <w:t xml:space="preserve"> lietā Nr.</w:t>
      </w:r>
      <w:r w:rsidR="007C2DDD">
        <w:t> </w:t>
      </w:r>
      <w:r w:rsidR="00ED6543">
        <w:t>420508913</w:t>
      </w:r>
      <w:r w:rsidR="00997EED">
        <w:t xml:space="preserve"> un lietā Nr.</w:t>
      </w:r>
      <w:r w:rsidR="007C2DDD">
        <w:t> </w:t>
      </w:r>
      <w:r w:rsidR="00997EED">
        <w:t xml:space="preserve">A420172915. </w:t>
      </w:r>
    </w:p>
    <w:p w:rsidR="007B0EF9" w:rsidRDefault="007B0EF9" w:rsidP="00B55F15">
      <w:pPr>
        <w:spacing w:after="0"/>
        <w:jc w:val="both"/>
      </w:pPr>
      <w:r>
        <w:t xml:space="preserve">Atbilstoši </w:t>
      </w:r>
      <w:r w:rsidR="00DB77F6">
        <w:t>Valsts pārvaldes iestāžu nodarīto zaudējumu atlīdzināšanas likuma (turpmāk</w:t>
      </w:r>
      <w:r w:rsidR="00C101D8">
        <w:t> </w:t>
      </w:r>
      <w:r w:rsidR="005D6C09">
        <w:t xml:space="preserve">– </w:t>
      </w:r>
      <w:r>
        <w:t>Zaudējumu atlīdzināšanas likum</w:t>
      </w:r>
      <w:r w:rsidR="00DB77F6">
        <w:t>s)</w:t>
      </w:r>
      <w:r>
        <w:t xml:space="preserve"> 7.panta trešajā daļā noteiktajam mantiskais zaudējums ir arī zaudējums, kas saistīts ar administratīvā akta atcelšanu, iestādes faktiskās rīcības novēršanu vai tās seku likvidēšanu, zaudējumu samazināšanu vai likvidēšanu. </w:t>
      </w:r>
      <w:r>
        <w:lastRenderedPageBreak/>
        <w:t xml:space="preserve">Mantiskais zaudējums aptver arī izmaksas, kas saistītas ar juridisko palīdzību. </w:t>
      </w:r>
      <w:r w:rsidR="008F7A0F">
        <w:t xml:space="preserve">Šo izmaksu maksimālo apmēru nosaka Ministru kabinets. </w:t>
      </w:r>
    </w:p>
    <w:p w:rsidR="008F7A0F" w:rsidRDefault="008F7A0F" w:rsidP="00B55F15">
      <w:pPr>
        <w:spacing w:after="0"/>
        <w:jc w:val="both"/>
      </w:pPr>
      <w:r>
        <w:t xml:space="preserve">Secināms, ka izdevumi par saņemto juridisko palīdzību var tikt atlīdzināti tikai tiesību normās noteiktajā apmērā. Turklāt var tikt atlīdzināti tikai tie izdevumi, kas tiesību normās ir paredzēti kā atlīdzināmi izdevumi. </w:t>
      </w:r>
    </w:p>
    <w:p w:rsidR="00D90AEB" w:rsidRDefault="00D628F6" w:rsidP="00B55F15">
      <w:pPr>
        <w:spacing w:after="0"/>
        <w:jc w:val="both"/>
      </w:pPr>
      <w:r>
        <w:t xml:space="preserve">[3.3] </w:t>
      </w:r>
      <w:r w:rsidR="008F7A0F">
        <w:t xml:space="preserve">Lietā ir </w:t>
      </w:r>
      <w:r w:rsidR="005D6C09">
        <w:t>z</w:t>
      </w:r>
      <w:r w:rsidR="0011319C">
        <w:t>vērinātu advokātu biroja rēķins par juridisko palīdzību Administratīvajā rajona tiesā lietā Nr.</w:t>
      </w:r>
      <w:r w:rsidR="007C2DDD">
        <w:t> </w:t>
      </w:r>
      <w:r w:rsidR="0011319C">
        <w:t xml:space="preserve">A42508913, kā arī ir iesniegts maksājuma uzdevums par 204,93 </w:t>
      </w:r>
      <w:r w:rsidR="0011319C" w:rsidRPr="0011319C">
        <w:rPr>
          <w:i/>
          <w:iCs/>
          <w:noProof/>
        </w:rPr>
        <w:t>euro</w:t>
      </w:r>
      <w:r w:rsidR="0011319C">
        <w:t xml:space="preserve"> samaksu, pamatojoties uz </w:t>
      </w:r>
      <w:r w:rsidR="000C0555">
        <w:t xml:space="preserve">šo </w:t>
      </w:r>
      <w:r>
        <w:t>rēķinu</w:t>
      </w:r>
      <w:r w:rsidR="000C0555">
        <w:t>.</w:t>
      </w:r>
      <w:r w:rsidR="0011319C">
        <w:t xml:space="preserve"> </w:t>
      </w:r>
      <w:r w:rsidR="000C0555">
        <w:t>K</w:t>
      </w:r>
      <w:r w:rsidR="0011319C">
        <w:t>ā maks</w:t>
      </w:r>
      <w:r>
        <w:t xml:space="preserve">ātāja ir norādīta </w:t>
      </w:r>
      <w:r w:rsidR="003C6288">
        <w:t>pieteicēja māte</w:t>
      </w:r>
      <w:r>
        <w:t>.</w:t>
      </w:r>
    </w:p>
    <w:p w:rsidR="0011319C" w:rsidRDefault="003C6288" w:rsidP="003C6288">
      <w:pPr>
        <w:spacing w:after="0"/>
        <w:jc w:val="both"/>
      </w:pPr>
      <w:r>
        <w:t>R</w:t>
      </w:r>
      <w:r w:rsidR="0011319C">
        <w:t>ēķinā ir kļūdaini norādīts administratīvās lietas numurs</w:t>
      </w:r>
      <w:r w:rsidRPr="003C6288">
        <w:t xml:space="preserve"> </w:t>
      </w:r>
      <w:r>
        <w:t xml:space="preserve">un </w:t>
      </w:r>
      <w:r w:rsidRPr="003C6288">
        <w:t>sniegtā juridiskā pakalpojuma veid</w:t>
      </w:r>
      <w:r w:rsidR="005D6C09">
        <w:t>s</w:t>
      </w:r>
      <w:r w:rsidR="0011319C">
        <w:t xml:space="preserve">, taču, ielūkojoties Tiesu informācijas sistēmā, nerodas šaubas par to, ka </w:t>
      </w:r>
      <w:r>
        <w:t>tās ir p</w:t>
      </w:r>
      <w:r w:rsidR="0011319C">
        <w:t>ārrakstīšanās kļūda</w:t>
      </w:r>
      <w:r>
        <w:t>s. Šādas</w:t>
      </w:r>
      <w:r w:rsidR="0011319C">
        <w:t xml:space="preserve"> kļūdas nevar būt tiesisk</w:t>
      </w:r>
      <w:r w:rsidR="00192153">
        <w:t>ais</w:t>
      </w:r>
      <w:r w:rsidR="0011319C">
        <w:t xml:space="preserve"> pamat</w:t>
      </w:r>
      <w:r w:rsidR="00192153">
        <w:t>s tam</w:t>
      </w:r>
      <w:r w:rsidR="0011319C">
        <w:t xml:space="preserve">, </w:t>
      </w:r>
      <w:r w:rsidR="00256DC7">
        <w:t>lai neatzītu juridiskās palīdzības izmaksas administratīvajā lietā Nr.</w:t>
      </w:r>
      <w:r w:rsidR="007C2DDD">
        <w:t> </w:t>
      </w:r>
      <w:r>
        <w:t>A</w:t>
      </w:r>
      <w:r w:rsidR="00256DC7">
        <w:t xml:space="preserve">420508913. </w:t>
      </w:r>
      <w:r>
        <w:t>Turklāt r</w:t>
      </w:r>
      <w:r w:rsidR="00256DC7">
        <w:t xml:space="preserve">ēķinu ir izrakstījis zvērināts advokāts, un šis apstāklis mazina šaubas par to, vai tiesvedības gaitā tiek sniegtas patiesas ziņas par rēķina izrakstīšanas apstākļiem (konkrētajā gadījumā par to, ka ir pieļautas pārrakstīšanās kļūdas). </w:t>
      </w:r>
      <w:r>
        <w:t xml:space="preserve">Tas, ka rēķinu pieteicēja vietā ir apmaksājusi viņa māte, </w:t>
      </w:r>
      <w:r w:rsidR="00256DC7">
        <w:t>nemaina secinājumu, ka mantiskie zaudējumi pieteicējam ir radušies, tāpēc tie ir atlīdzināmi normatī</w:t>
      </w:r>
      <w:r>
        <w:t>vajos aktos noteiktajā kārtībā.</w:t>
      </w:r>
    </w:p>
    <w:p w:rsidR="00256DC7" w:rsidRDefault="004116BD" w:rsidP="00ED6543">
      <w:pPr>
        <w:spacing w:after="0"/>
        <w:jc w:val="both"/>
      </w:pPr>
      <w:r>
        <w:t xml:space="preserve">Ievērojot </w:t>
      </w:r>
      <w:r w:rsidR="00DB77F6">
        <w:t xml:space="preserve">Ministru kabineta </w:t>
      </w:r>
      <w:r w:rsidR="00DA7276">
        <w:t>n</w:t>
      </w:r>
      <w:r w:rsidR="000C0555">
        <w:t>oteikumos Nr.</w:t>
      </w:r>
      <w:r w:rsidR="00DA7276">
        <w:t> </w:t>
      </w:r>
      <w:r w:rsidR="000C0555">
        <w:t>859</w:t>
      </w:r>
      <w:r w:rsidR="00DB77F6">
        <w:t xml:space="preserve"> </w:t>
      </w:r>
      <w:r w:rsidR="003C6288" w:rsidRPr="00997EED">
        <w:t>„</w:t>
      </w:r>
      <w:r w:rsidR="00DB77F6">
        <w:t>Noteikumi par privātpersonai atlīdzināmo juridiskās palīdzības izmaksu maksimālo apmēru” (turpmāk</w:t>
      </w:r>
      <w:r w:rsidR="003C6288">
        <w:t xml:space="preserve"> </w:t>
      </w:r>
      <w:r w:rsidR="000D3B15">
        <w:t>–</w:t>
      </w:r>
      <w:r w:rsidR="003C6288">
        <w:t xml:space="preserve"> </w:t>
      </w:r>
      <w:r w:rsidR="004161C8">
        <w:t>n</w:t>
      </w:r>
      <w:r w:rsidR="00DB77F6">
        <w:t>oteikumi Nr.</w:t>
      </w:r>
      <w:r w:rsidR="000D3B15">
        <w:t> </w:t>
      </w:r>
      <w:r w:rsidR="00DB77F6">
        <w:t>859)</w:t>
      </w:r>
      <w:r>
        <w:t xml:space="preserve"> norādīto</w:t>
      </w:r>
      <w:r w:rsidR="003C6288">
        <w:t xml:space="preserve">s takses apmērus, </w:t>
      </w:r>
      <w:r w:rsidR="00ED6543">
        <w:t xml:space="preserve">ir pamats atlīdzināt pieteicējam izdevumus par saņemto juridisko palīdzību 60,47 </w:t>
      </w:r>
      <w:r w:rsidR="00ED6543" w:rsidRPr="00ED6543">
        <w:rPr>
          <w:i/>
          <w:iCs/>
          <w:noProof/>
        </w:rPr>
        <w:t>euro</w:t>
      </w:r>
      <w:r w:rsidR="00ED6543">
        <w:t xml:space="preserve"> par pieteikuma noformēšanu un pieteicēja pārstāvību tiesas sēdē Administratīvajā rajona tiesā Nr.</w:t>
      </w:r>
      <w:r w:rsidR="007C2DDD">
        <w:t> </w:t>
      </w:r>
      <w:r w:rsidR="00ED6543">
        <w:t xml:space="preserve">A420508913. Tā kā </w:t>
      </w:r>
      <w:r w:rsidR="00DA7276">
        <w:t>n</w:t>
      </w:r>
      <w:r w:rsidR="00ED6543">
        <w:t>oteikumu Nr.</w:t>
      </w:r>
      <w:r w:rsidR="00DA7276">
        <w:t> </w:t>
      </w:r>
      <w:r w:rsidR="00ED6543">
        <w:t xml:space="preserve">859 normas neparedz atlīdzināt ceļa izdevumus, tie nav atlīdzināmi. </w:t>
      </w:r>
    </w:p>
    <w:p w:rsidR="00ED6543" w:rsidRDefault="00997EED" w:rsidP="00ED6543">
      <w:pPr>
        <w:spacing w:after="0"/>
        <w:jc w:val="both"/>
      </w:pPr>
      <w:r>
        <w:t>[3.</w:t>
      </w:r>
      <w:r w:rsidR="0036646A">
        <w:t>4</w:t>
      </w:r>
      <w:r>
        <w:t xml:space="preserve">] Pieteicējs ir prasījis atlīdzināt </w:t>
      </w:r>
      <w:r w:rsidR="003C6288">
        <w:t xml:space="preserve">arī </w:t>
      </w:r>
      <w:r>
        <w:t xml:space="preserve">izdevumus par zvērināta advokāta sniegto juridisko palīdzību </w:t>
      </w:r>
      <w:r w:rsidR="003C6288">
        <w:t xml:space="preserve">izskatāmajā </w:t>
      </w:r>
      <w:r>
        <w:t>lietā Nr.A420172915</w:t>
      </w:r>
      <w:r w:rsidR="003C6288">
        <w:t>.</w:t>
      </w:r>
    </w:p>
    <w:p w:rsidR="00997EED" w:rsidRDefault="003C6288" w:rsidP="00ED6543">
      <w:pPr>
        <w:spacing w:after="0"/>
        <w:jc w:val="both"/>
      </w:pPr>
      <w:r>
        <w:t>L</w:t>
      </w:r>
      <w:r w:rsidR="00997EED" w:rsidRPr="00997EED">
        <w:t xml:space="preserve">ietā ir zvērināta advokāta A.Zvejsalnieka 2015.gada 4.martā izrakstīts rēķins „Par juridisko palīdzību Administratīvajā rajona tiesā”. Izvērtējot minētā rēķina saturu, </w:t>
      </w:r>
      <w:r>
        <w:t>jāatzīst</w:t>
      </w:r>
      <w:r w:rsidR="00997EED" w:rsidRPr="00997EED">
        <w:t>, ka nav pierādīta rēķina attiecināmība uz izskatāmo lietu, jo rēķinā nav norādīts lietas numurs, kā arī nav iesniegts zvērināta advokāta orderis. No Tiesu informācijas sistēmas konstatē</w:t>
      </w:r>
      <w:r>
        <w:t>jams</w:t>
      </w:r>
      <w:r w:rsidR="00997EED" w:rsidRPr="00997EED">
        <w:t>, ka, pamatojoties uz pieteicēja pieteikumiem, ir ierosinātas vairākas administratīvās lietas. Pastāvot šādiem apstākļiem, rēķinā būtu jāietver identificējoša informācija, kas ļautu konstatēt, uz kuru administratīvo lietu rēķins ir attiecināms, taču izskatāmajā gadījumā tas nav izdarīts. Tādējādi apgabaltiesai nav iesniegti pierādījumi tam, ka rēķinā norādītā juridiskā palīdzība (pieteikuma noformēšana) būtu sniegta administratīvajā lietā Nr.</w:t>
      </w:r>
      <w:r w:rsidR="007C2DDD">
        <w:t> </w:t>
      </w:r>
      <w:r w:rsidR="00997EED" w:rsidRPr="00997EED">
        <w:t xml:space="preserve">A420172915, tāpēc prasījums par šajā rēķinā norādīto juridiskās palīdzības izmaksu atlīdzināšanu ir noraidāms. </w:t>
      </w:r>
    </w:p>
    <w:p w:rsidR="00997EED" w:rsidRDefault="00997EED" w:rsidP="00ED6543">
      <w:pPr>
        <w:spacing w:after="0"/>
        <w:jc w:val="both"/>
      </w:pPr>
      <w:r w:rsidRPr="00997EED">
        <w:t>Lietā ir arī zvērināta advokāta A.Zvejsalnieka 2016.gada 19.februārī izrakstīts rēķins „Par juridisko palīdzību administratīvajā lietā”, taču nav iesniegti pierādījumi tam, ka minētais rēķins būtu apmaksāts. Turklāt arī no šā rēķina nav iespējams izsecināt, ka juridiskā palīdzība būtu sniegta administratīvajā lietā Nr.</w:t>
      </w:r>
      <w:r w:rsidR="007C2DDD">
        <w:t> </w:t>
      </w:r>
      <w:r w:rsidRPr="00997EED">
        <w:t>A420172915, nav iesniegts arī zvērināta advokāta orderis.</w:t>
      </w:r>
    </w:p>
    <w:p w:rsidR="002F4D3F" w:rsidRDefault="002F4D3F" w:rsidP="00ED6543">
      <w:pPr>
        <w:spacing w:after="0"/>
        <w:jc w:val="both"/>
      </w:pPr>
    </w:p>
    <w:p w:rsidR="002F4D3F" w:rsidRDefault="002F4D3F" w:rsidP="00ED6543">
      <w:pPr>
        <w:spacing w:after="0"/>
        <w:jc w:val="both"/>
      </w:pPr>
      <w:r>
        <w:t xml:space="preserve">[4] </w:t>
      </w:r>
      <w:r w:rsidR="00214088">
        <w:t xml:space="preserve">Pieteicējs iesniedzis kasācijas sūdzību, </w:t>
      </w:r>
      <w:r w:rsidR="00645949">
        <w:t xml:space="preserve">pārsūdzot spriedumu daļā, kurā pieteikums noraidīts. Kasācijas sūdzībā </w:t>
      </w:r>
      <w:r w:rsidR="00214088">
        <w:t>norād</w:t>
      </w:r>
      <w:r w:rsidR="00645949">
        <w:t>īti</w:t>
      </w:r>
      <w:r w:rsidR="00214088">
        <w:t xml:space="preserve"> turpmāk minēt</w:t>
      </w:r>
      <w:r w:rsidR="00645949">
        <w:t>ie</w:t>
      </w:r>
      <w:r w:rsidR="00214088">
        <w:t xml:space="preserve"> iebildum</w:t>
      </w:r>
      <w:r w:rsidR="00645949">
        <w:t>i</w:t>
      </w:r>
      <w:r w:rsidR="00214088">
        <w:t>.</w:t>
      </w:r>
    </w:p>
    <w:p w:rsidR="00D2103B" w:rsidRDefault="00214088" w:rsidP="00D2103B">
      <w:pPr>
        <w:spacing w:after="0"/>
        <w:jc w:val="both"/>
      </w:pPr>
      <w:r>
        <w:lastRenderedPageBreak/>
        <w:t>[4.</w:t>
      </w:r>
      <w:r w:rsidR="0036646A">
        <w:t>1</w:t>
      </w:r>
      <w:r>
        <w:t xml:space="preserve">] </w:t>
      </w:r>
      <w:r w:rsidR="001254D6">
        <w:t xml:space="preserve">Tiesa </w:t>
      </w:r>
      <w:r w:rsidR="0036646A">
        <w:t xml:space="preserve">nav noteikusi pieteicējam atbilstīgu </w:t>
      </w:r>
      <w:r w:rsidR="00D2103B">
        <w:t xml:space="preserve">atlīdzinājumu par </w:t>
      </w:r>
      <w:r w:rsidR="00192153">
        <w:t>nemantisko (</w:t>
      </w:r>
      <w:r w:rsidR="00D2103B">
        <w:t>morālo</w:t>
      </w:r>
      <w:r w:rsidR="00192153">
        <w:t>)</w:t>
      </w:r>
      <w:r w:rsidR="00D2103B">
        <w:t xml:space="preserve"> kaitējumu, kas viņam nodarīts ar iestādes faktisko rīcību</w:t>
      </w:r>
      <w:r w:rsidR="00EC47FF">
        <w:t>,</w:t>
      </w:r>
      <w:r w:rsidR="00D2103B">
        <w:t xml:space="preserve"> un tādējādi nav piemērojusi tās materiālās tiesību normas, kuras bija jāpiemēro – Latvijas Republikas Satversmes</w:t>
      </w:r>
      <w:r w:rsidR="0025091B">
        <w:t xml:space="preserve"> (turpmāk – Satversme) </w:t>
      </w:r>
      <w:r w:rsidR="00D2103B">
        <w:t xml:space="preserve">92.pantu, Administratīvā procesa likuma 92.pantu un </w:t>
      </w:r>
      <w:r w:rsidR="0025091B">
        <w:t>Zaud</w:t>
      </w:r>
      <w:r w:rsidR="00D2103B">
        <w:t>ējumu atlīdzināšanas likum</w:t>
      </w:r>
      <w:r w:rsidR="0025091B">
        <w:t xml:space="preserve">a </w:t>
      </w:r>
      <w:r w:rsidR="00D2103B">
        <w:t xml:space="preserve">14.pantu. </w:t>
      </w:r>
    </w:p>
    <w:p w:rsidR="001254D6" w:rsidRDefault="00607B86" w:rsidP="00ED6543">
      <w:pPr>
        <w:spacing w:after="0"/>
        <w:jc w:val="both"/>
      </w:pPr>
      <w:r>
        <w:t xml:space="preserve">Tiesa ir ignorējusi pieteicēja argumentus par to, ka ūdens nepieejamības dēļ viņš nevarēja nomazgāties pēc fizisko vingrinājumu izpildīšanas, viņam bija jācieš slāpes un smaka no tualetes, kā arī </w:t>
      </w:r>
      <w:r w:rsidR="00EC47FF">
        <w:t xml:space="preserve">viņš </w:t>
      </w:r>
      <w:r>
        <w:t xml:space="preserve">nevarēja turpmāk izmantot sanitāro mezglu. </w:t>
      </w:r>
      <w:r w:rsidR="00214088">
        <w:t>Tiesa</w:t>
      </w:r>
      <w:r w:rsidR="00D2103B">
        <w:t xml:space="preserve"> nav ņēmusi vērā to</w:t>
      </w:r>
      <w:r w:rsidR="00214088">
        <w:t xml:space="preserve">, ka Jelgavas cietuma administrācija </w:t>
      </w:r>
      <w:r w:rsidR="00D2103B">
        <w:t xml:space="preserve">tāpat </w:t>
      </w:r>
      <w:r w:rsidR="00214088">
        <w:t>kā Ieslodzījuma vietu pārvalde notikušo pārkāpumu attiecībā pret pieteicēju ilgstoši un sistemātiski slēpusi, izraisot situāciju, ka pieteicējs, lai panāktu strīdus situācijas taisnīgu atrisinājumu, bijis spiests tiesāties. T</w:t>
      </w:r>
      <w:r w:rsidR="000C0555">
        <w:t>āpat t</w:t>
      </w:r>
      <w:r w:rsidR="00214088">
        <w:t xml:space="preserve">iesa </w:t>
      </w:r>
      <w:r w:rsidR="00D2103B">
        <w:t>nav vērtējusi to</w:t>
      </w:r>
      <w:r w:rsidR="00214088">
        <w:t xml:space="preserve">, ka Jelgavas cietuma administrācijas faktiskā rīcība, nenodrošinot pieteicēju ar atbilstošiem uzturēšanās apstākļiem apcietinājumā, nav attaisnojama. </w:t>
      </w:r>
      <w:r w:rsidR="000C0555">
        <w:t>Turklāt š</w:t>
      </w:r>
      <w:r w:rsidR="001254D6">
        <w:t xml:space="preserve">ī nav vienīgā tiesvedība starp pieteicēju un Ieslodzījuma vietu pārvaldi saistībā ar uzturēšanās apstākļiem apcietinājumā, kas norāda uz to, ka normatīvo aktu </w:t>
      </w:r>
      <w:r w:rsidR="00D2103B">
        <w:t xml:space="preserve">neievērošana </w:t>
      </w:r>
      <w:r w:rsidR="001254D6">
        <w:t xml:space="preserve">ir sistemātiska. </w:t>
      </w:r>
    </w:p>
    <w:p w:rsidR="001254D6" w:rsidRDefault="001254D6" w:rsidP="001254D6">
      <w:pPr>
        <w:spacing w:after="0"/>
        <w:jc w:val="both"/>
      </w:pPr>
      <w:r>
        <w:t>[4.</w:t>
      </w:r>
      <w:r w:rsidR="00C101D8">
        <w:t>2</w:t>
      </w:r>
      <w:r>
        <w:t xml:space="preserve">] Mantisko zaudējumu esību un to apjomu apliecina zvērināta advokāta rēķini, kas izsniegti pieteicējam. </w:t>
      </w:r>
      <w:r w:rsidR="004161C8">
        <w:t xml:space="preserve">Zvērināta advokāta rēķins ir izpildu dokuments, </w:t>
      </w:r>
      <w:r w:rsidR="000D3B15">
        <w:t>līdz ar to</w:t>
      </w:r>
      <w:r w:rsidR="004161C8">
        <w:t xml:space="preserve"> tas ir izpildāms tiesas spriedumu izpildei noteiktā kārtībā, ievērojot Civilprocesa likuma 539.panta un 540.panta noteikumus. </w:t>
      </w:r>
      <w:bookmarkStart w:id="1" w:name="_Hlk14341811"/>
      <w:r>
        <w:t xml:space="preserve">Tas, ka kāds no rēķiniem nav samaksāts, nenozīmē, ka tas nebūs jāapmaksā. Līdz ar to neatkarīgi no apstākļa, </w:t>
      </w:r>
      <w:r w:rsidR="000D3B15">
        <w:t xml:space="preserve">vai </w:t>
      </w:r>
      <w:r>
        <w:t xml:space="preserve">ir vai nav rēķini samaksāti, tajos norādītās naudas summas ir atzīstamas par pieteicēja zaudējumiem. </w:t>
      </w:r>
    </w:p>
    <w:bookmarkEnd w:id="1"/>
    <w:p w:rsidR="00D2103B" w:rsidRDefault="006E465E" w:rsidP="001254D6">
      <w:pPr>
        <w:spacing w:after="0"/>
        <w:jc w:val="both"/>
      </w:pPr>
      <w:r>
        <w:t>Nevar piekrist tiesas secinājumam</w:t>
      </w:r>
      <w:r w:rsidR="00D2103B">
        <w:t>, ka divi lietā esošie rēķini</w:t>
      </w:r>
      <w:r>
        <w:t xml:space="preserve"> par juridisko palīdzību lietā Nr. A420172915</w:t>
      </w:r>
      <w:r w:rsidR="00D2103B">
        <w:t xml:space="preserve"> </w:t>
      </w:r>
      <w:r>
        <w:t>nevar tikt attiecināti uz izskatāmo lietu. V</w:t>
      </w:r>
      <w:r w:rsidR="00D2103B">
        <w:t xml:space="preserve">isi rēķini attiecas uz konkrēto lietu, </w:t>
      </w:r>
      <w:r w:rsidR="000D3B15">
        <w:t>līdz ar to</w:t>
      </w:r>
      <w:r w:rsidR="00D2103B">
        <w:t xml:space="preserve"> ir </w:t>
      </w:r>
      <w:r>
        <w:t>konstatēj</w:t>
      </w:r>
      <w:r w:rsidR="000D3B15">
        <w:t>a</w:t>
      </w:r>
      <w:r>
        <w:t xml:space="preserve">mi zaudējumi </w:t>
      </w:r>
      <w:r w:rsidR="00D2103B">
        <w:t>un</w:t>
      </w:r>
      <w:r>
        <w:t xml:space="preserve"> tie</w:t>
      </w:r>
      <w:r w:rsidR="00D2103B">
        <w:t xml:space="preserve"> ir atlīdzināmi.</w:t>
      </w:r>
      <w:r>
        <w:t xml:space="preserve"> Lietā nav pierādījumu, ka pieteicējs vai viņa pārstāvis būtu rīkojušies prettiesiski, lūdzot atlīdzināt izdevumus, kas attiecināmi uz citām pieteicēja lietām.</w:t>
      </w:r>
    </w:p>
    <w:p w:rsidR="00CF4F29" w:rsidRDefault="00CF4F29" w:rsidP="00612744">
      <w:pPr>
        <w:spacing w:after="0"/>
        <w:jc w:val="both"/>
      </w:pPr>
      <w:r>
        <w:t>[4.</w:t>
      </w:r>
      <w:r w:rsidR="00C101D8">
        <w:t>3</w:t>
      </w:r>
      <w:r>
        <w:t xml:space="preserve">] </w:t>
      </w:r>
      <w:r w:rsidR="00D2103B">
        <w:t>Noteikumi Nr.</w:t>
      </w:r>
      <w:r w:rsidR="00DA7276">
        <w:t> </w:t>
      </w:r>
      <w:r w:rsidR="00D2103B">
        <w:t>859, kuru piemērošanas rezultātā pieteicējam netiek kompensēti izdevumi par juridiskās palīdzības saņemšanu pilnā apmērā, neatbils</w:t>
      </w:r>
      <w:r w:rsidR="0025091B">
        <w:t>t Satversmei. Ņ</w:t>
      </w:r>
      <w:r>
        <w:t xml:space="preserve">emot vērā to, ka pieteicējs nav vainojams pie tā, ka iestādes rīcība bijusi prettiesiska, situācija, ka iestādes prettiesiskās rīcības rezultātā nodarītie zaudējumi tiek atlīdzināti vien daļēji, nav pieļaujama. </w:t>
      </w:r>
    </w:p>
    <w:p w:rsidR="00CF4F29" w:rsidRDefault="00CF4F29" w:rsidP="001254D6">
      <w:pPr>
        <w:spacing w:after="0"/>
        <w:jc w:val="both"/>
      </w:pPr>
    </w:p>
    <w:p w:rsidR="00C33078" w:rsidRDefault="00CF4F29" w:rsidP="00FD55B0">
      <w:pPr>
        <w:spacing w:after="0"/>
        <w:jc w:val="both"/>
      </w:pPr>
      <w:r>
        <w:t>[5] Paskaidrojumā Ieslodzījuma vietu pārvalde norāda, ka uzskata kasācijas sūdzību par nepamatotu un noraidāmu</w:t>
      </w:r>
      <w:r w:rsidR="00FD55B0">
        <w:t xml:space="preserve">. </w:t>
      </w:r>
    </w:p>
    <w:p w:rsidR="00FD55B0" w:rsidRPr="00B90809" w:rsidRDefault="00FD55B0" w:rsidP="00FD55B0">
      <w:pPr>
        <w:spacing w:after="0"/>
        <w:jc w:val="both"/>
        <w:rPr>
          <w:bCs/>
        </w:rPr>
      </w:pPr>
    </w:p>
    <w:p w:rsidR="00FD55B0" w:rsidRPr="00FD55B0" w:rsidRDefault="00FD55B0" w:rsidP="001053FE">
      <w:pPr>
        <w:spacing w:after="0"/>
        <w:ind w:firstLine="0"/>
        <w:jc w:val="center"/>
        <w:rPr>
          <w:b/>
          <w:bCs/>
        </w:rPr>
      </w:pPr>
      <w:r w:rsidRPr="00FD55B0">
        <w:rPr>
          <w:b/>
          <w:bCs/>
        </w:rPr>
        <w:t>Motīvu daļa</w:t>
      </w:r>
    </w:p>
    <w:p w:rsidR="00FD55B0" w:rsidRPr="00FD55B0" w:rsidRDefault="00FD55B0" w:rsidP="00B90809">
      <w:pPr>
        <w:spacing w:after="0"/>
        <w:ind w:firstLine="709"/>
        <w:jc w:val="both"/>
      </w:pPr>
    </w:p>
    <w:p w:rsidR="00FD55B0" w:rsidRDefault="00F70BBF" w:rsidP="00FD55B0">
      <w:pPr>
        <w:spacing w:after="0"/>
        <w:jc w:val="both"/>
      </w:pPr>
      <w:r>
        <w:t xml:space="preserve">[6] </w:t>
      </w:r>
      <w:r w:rsidR="00FD55B0">
        <w:t xml:space="preserve">Kasācijas sūdzībā norādīts, ka pieteicējam nav noteikts atbilstīgs atlīdzinājums par </w:t>
      </w:r>
      <w:r w:rsidR="00192153">
        <w:t>nemantisko (</w:t>
      </w:r>
      <w:r w:rsidR="00FD55B0">
        <w:t>morālo</w:t>
      </w:r>
      <w:r w:rsidR="00192153">
        <w:t>)</w:t>
      </w:r>
      <w:r w:rsidR="00FD55B0">
        <w:t xml:space="preserve"> kaitējumu, kas viņam nodarīts ar iestādes faktisko rīcību. </w:t>
      </w:r>
    </w:p>
    <w:p w:rsidR="00607B86" w:rsidRDefault="00945A0F" w:rsidP="00645949">
      <w:pPr>
        <w:spacing w:after="0"/>
        <w:jc w:val="both"/>
      </w:pPr>
      <w:r>
        <w:t>Senāts konstatē, ka tiesa ir izvērtējusi visus izskatāmās lietas būtiskos apstākļus,</w:t>
      </w:r>
      <w:r w:rsidRPr="00945A0F">
        <w:t xml:space="preserve"> </w:t>
      </w:r>
      <w:r>
        <w:t xml:space="preserve">kā arī pieteicēja argumentus. </w:t>
      </w:r>
      <w:r w:rsidR="00607B86">
        <w:t>Tiesa nav ignorējusi pieteicēja paskaidrojumus par to, kādas sekas ūdens nepieejamība radīja. No tiesas sprieduma izriet, ka tiesa nav piešķīrusi ticamību šiem pieteicēja paskaidrojumiem. Kasācijas sūdzībā ir izteikta nepiekrišana tiesas secinājumam, bet nav konkrēti norādīts, kādus procesuālus pārkāpumus tiesa ir pieļāvusi, vērtējot šos paskaidrojumus. Senāts atgādina, ka</w:t>
      </w:r>
      <w:r w:rsidR="00607B86" w:rsidRPr="00607B86">
        <w:t xml:space="preserve"> kasācijas instances tiesa neveic pierādījumu pārbaudi un nepārskata zemākas instances tiesas secinājumus par lietas faktiskajiem apstākļiem, bet </w:t>
      </w:r>
      <w:r w:rsidR="00607B86" w:rsidRPr="00607B86">
        <w:lastRenderedPageBreak/>
        <w:t>pārbauda to, vai tiesa ir pārkāpusi konkrētas materiālo vai procesuālo tiesību normas vai, izskatot lietu, pārsniegusi savas kompetences robežas (</w:t>
      </w:r>
      <w:r w:rsidR="00607B86">
        <w:t>A</w:t>
      </w:r>
      <w:r w:rsidR="00607B86" w:rsidRPr="00607B86">
        <w:t>dministratīvā procesa likuma 325.pants).</w:t>
      </w:r>
    </w:p>
    <w:p w:rsidR="00FD55B0" w:rsidRDefault="000F130B" w:rsidP="00645949">
      <w:pPr>
        <w:spacing w:after="0"/>
        <w:jc w:val="both"/>
      </w:pPr>
      <w:r>
        <w:t>Senāts konstatē, ka tiesa atbilstoši Zaudējumu atlīdzināšanas likuma 14.pantam ir vērtējusi un ņēmusi vērā pieteicēja aizskarto tiesību un ar likumu aizsargāto interešu nozīmīgumu un konkrētā aizskāruma smagumu. Tāpat tiesa pamatoti secināja, ka dzeramā ūdens nenodrošināšana nebija iestādes ar nodomu veikta rīcība. Lietā nav arī konstatēts, ka pieteicējs būtu lūdzis nodrošināt dzeramā ūdens pieejamību cit</w:t>
      </w:r>
      <w:r w:rsidR="00EC47FF">
        <w:t xml:space="preserve">ā veidā, izsniedzot pudelē vai </w:t>
      </w:r>
      <w:r>
        <w:t xml:space="preserve">tamlīdzīgi. </w:t>
      </w:r>
      <w:r w:rsidR="00607B86">
        <w:t>Ņemot vērā minēto,</w:t>
      </w:r>
      <w:r w:rsidR="004C6D05">
        <w:t xml:space="preserve"> tiesa </w:t>
      </w:r>
      <w:r w:rsidR="00945A0F">
        <w:t xml:space="preserve">ir pamatoti </w:t>
      </w:r>
      <w:r w:rsidR="004C6D05">
        <w:t>secin</w:t>
      </w:r>
      <w:r w:rsidR="00945A0F">
        <w:t>ājusi</w:t>
      </w:r>
      <w:r w:rsidR="004C6D05">
        <w:t>, ka pieteicēja tiesību aizskārums tā īslaicīg</w:t>
      </w:r>
      <w:r w:rsidR="00EC47FF">
        <w:t>uma</w:t>
      </w:r>
      <w:r w:rsidR="004C6D05">
        <w:t xml:space="preserve"> dēļ nesasniedz tādu smaguma līmeni, lai </w:t>
      </w:r>
      <w:r w:rsidR="00192153">
        <w:t>nemantiskā (</w:t>
      </w:r>
      <w:r w:rsidR="004C6D05">
        <w:t>morālā</w:t>
      </w:r>
      <w:r w:rsidR="00192153">
        <w:t>)</w:t>
      </w:r>
      <w:r w:rsidR="004C6D05">
        <w:t xml:space="preserve"> kaitējuma atlīdzinājumu noteiktu naudas izteiksmē</w:t>
      </w:r>
      <w:r w:rsidR="00623EEF">
        <w:t>, un</w:t>
      </w:r>
      <w:r w:rsidR="00623EEF" w:rsidRPr="00623EEF">
        <w:t xml:space="preserve"> </w:t>
      </w:r>
      <w:r w:rsidR="00623EEF">
        <w:t xml:space="preserve">pieteicējam noteiktais </w:t>
      </w:r>
      <w:r w:rsidR="00192153">
        <w:t>nemantiskā (</w:t>
      </w:r>
      <w:r w:rsidR="00623EEF">
        <w:t>morālā</w:t>
      </w:r>
      <w:r w:rsidR="00192153">
        <w:t>)</w:t>
      </w:r>
      <w:r w:rsidR="00623EEF">
        <w:t xml:space="preserve"> kaitējuma atlīdzinājums – rakstveida atvainošanās – ir atbilstīgs</w:t>
      </w:r>
      <w:r w:rsidR="004C6D05">
        <w:t xml:space="preserve">. </w:t>
      </w:r>
      <w:r>
        <w:t xml:space="preserve">Līdz ar to nav konstatējams, ka tiesa nebūtu piemērojusi kasācijas sūdzībā norādītās tiesību normas, un </w:t>
      </w:r>
      <w:r w:rsidR="00623EEF">
        <w:t>šis kasācijas sūdzības arguments ir noraidāms.</w:t>
      </w:r>
    </w:p>
    <w:p w:rsidR="00FD55B0" w:rsidRDefault="00FD55B0" w:rsidP="00FD55B0">
      <w:pPr>
        <w:spacing w:after="0"/>
        <w:jc w:val="both"/>
      </w:pPr>
    </w:p>
    <w:p w:rsidR="00FD55B0" w:rsidRDefault="004C6D05" w:rsidP="00FD55B0">
      <w:pPr>
        <w:spacing w:after="0"/>
        <w:jc w:val="both"/>
      </w:pPr>
      <w:r>
        <w:t xml:space="preserve">[7] Kasācijas sūdzībā izteikts iebildums, ka </w:t>
      </w:r>
      <w:r w:rsidR="00DA7276">
        <w:t>n</w:t>
      </w:r>
      <w:r w:rsidR="000C04DB">
        <w:t xml:space="preserve">oteikumi </w:t>
      </w:r>
      <w:r>
        <w:t>Nr.</w:t>
      </w:r>
      <w:r w:rsidR="00DA7276">
        <w:t> </w:t>
      </w:r>
      <w:r>
        <w:t>859,</w:t>
      </w:r>
      <w:r w:rsidR="00E01154">
        <w:t xml:space="preserve"> </w:t>
      </w:r>
      <w:r>
        <w:t xml:space="preserve">kuru piemērošanas rezultātā pieteicējam netiek </w:t>
      </w:r>
      <w:r w:rsidR="00DE4403">
        <w:t>pilnā apmērā atlīdzināti</w:t>
      </w:r>
      <w:r w:rsidR="00FD55B0">
        <w:t xml:space="preserve"> mantiskie zaudējumi</w:t>
      </w:r>
      <w:r w:rsidR="00E01154">
        <w:t xml:space="preserve"> </w:t>
      </w:r>
      <w:r w:rsidR="00A15DBB">
        <w:t>– izdevumi</w:t>
      </w:r>
      <w:r w:rsidR="00FD55B0">
        <w:t xml:space="preserve"> </w:t>
      </w:r>
      <w:r w:rsidR="00A15DBB">
        <w:t xml:space="preserve">par </w:t>
      </w:r>
      <w:r w:rsidR="00FD55B0">
        <w:t>juridisk</w:t>
      </w:r>
      <w:r w:rsidR="00A15DBB">
        <w:t>o</w:t>
      </w:r>
      <w:r w:rsidR="00FD55B0">
        <w:t xml:space="preserve"> palīdzīb</w:t>
      </w:r>
      <w:r w:rsidR="00A15DBB">
        <w:t>u</w:t>
      </w:r>
      <w:r w:rsidR="00E01154">
        <w:t xml:space="preserve"> </w:t>
      </w:r>
      <w:r w:rsidR="00DE4403">
        <w:t>lietā Nr. A42508913</w:t>
      </w:r>
      <w:r w:rsidR="00224976">
        <w:t xml:space="preserve"> –</w:t>
      </w:r>
      <w:r w:rsidR="00FD55B0">
        <w:t>, neatbilst Satversmei.</w:t>
      </w:r>
    </w:p>
    <w:p w:rsidR="005130AB" w:rsidRPr="00D327B4" w:rsidRDefault="00945A0F" w:rsidP="00FD55B0">
      <w:pPr>
        <w:spacing w:after="0"/>
        <w:jc w:val="both"/>
        <w:rPr>
          <w:i/>
          <w:iCs/>
        </w:rPr>
      </w:pPr>
      <w:r>
        <w:t>Senāts</w:t>
      </w:r>
      <w:r w:rsidR="005130AB">
        <w:t xml:space="preserve"> </w:t>
      </w:r>
      <w:r w:rsidR="00D327B4">
        <w:t>jau iepriekš atzin</w:t>
      </w:r>
      <w:r>
        <w:t>is</w:t>
      </w:r>
      <w:r w:rsidR="00D327B4">
        <w:t xml:space="preserve">, ka atbilstīgs atlīdzinājums nenozīmē, ka personai tiek garantēta pilnīga zaudējumu jeb izdevumu atlīdzība </w:t>
      </w:r>
      <w:r w:rsidR="00D327B4" w:rsidRPr="00B90809">
        <w:rPr>
          <w:iCs/>
        </w:rPr>
        <w:t>(</w:t>
      </w:r>
      <w:r>
        <w:rPr>
          <w:i/>
          <w:iCs/>
        </w:rPr>
        <w:t>Senāta</w:t>
      </w:r>
      <w:r w:rsidR="00D327B4" w:rsidRPr="00D327B4">
        <w:rPr>
          <w:i/>
          <w:iCs/>
        </w:rPr>
        <w:t xml:space="preserve"> 201</w:t>
      </w:r>
      <w:r w:rsidR="00D327B4">
        <w:rPr>
          <w:i/>
          <w:iCs/>
        </w:rPr>
        <w:t>3</w:t>
      </w:r>
      <w:r w:rsidR="00D327B4" w:rsidRPr="00D327B4">
        <w:rPr>
          <w:i/>
          <w:iCs/>
        </w:rPr>
        <w:t xml:space="preserve">.gada </w:t>
      </w:r>
      <w:r w:rsidR="00D327B4">
        <w:rPr>
          <w:i/>
          <w:iCs/>
        </w:rPr>
        <w:t>11</w:t>
      </w:r>
      <w:r w:rsidR="00D327B4" w:rsidRPr="00D327B4">
        <w:rPr>
          <w:i/>
          <w:iCs/>
        </w:rPr>
        <w:t>.</w:t>
      </w:r>
      <w:r w:rsidR="00D327B4">
        <w:rPr>
          <w:i/>
          <w:iCs/>
        </w:rPr>
        <w:t>novembra</w:t>
      </w:r>
      <w:r w:rsidR="00D327B4" w:rsidRPr="00D327B4">
        <w:rPr>
          <w:i/>
          <w:iCs/>
        </w:rPr>
        <w:t xml:space="preserve"> spriedum</w:t>
      </w:r>
      <w:r>
        <w:rPr>
          <w:i/>
          <w:iCs/>
        </w:rPr>
        <w:t>a</w:t>
      </w:r>
      <w:r w:rsidR="00D327B4" w:rsidRPr="00D327B4">
        <w:rPr>
          <w:i/>
          <w:iCs/>
        </w:rPr>
        <w:t xml:space="preserve"> lietā Nr.</w:t>
      </w:r>
      <w:r>
        <w:rPr>
          <w:i/>
          <w:iCs/>
        </w:rPr>
        <w:t> </w:t>
      </w:r>
      <w:r w:rsidR="00D327B4" w:rsidRPr="00D327B4">
        <w:rPr>
          <w:i/>
          <w:iCs/>
        </w:rPr>
        <w:t>SKA</w:t>
      </w:r>
      <w:r>
        <w:rPr>
          <w:i/>
          <w:iCs/>
        </w:rPr>
        <w:t>-</w:t>
      </w:r>
      <w:r w:rsidR="00D327B4">
        <w:rPr>
          <w:i/>
          <w:iCs/>
        </w:rPr>
        <w:t>316</w:t>
      </w:r>
      <w:r w:rsidR="00D327B4" w:rsidRPr="00D327B4">
        <w:rPr>
          <w:i/>
          <w:iCs/>
        </w:rPr>
        <w:t>/201</w:t>
      </w:r>
      <w:r w:rsidR="00D327B4">
        <w:rPr>
          <w:i/>
          <w:iCs/>
        </w:rPr>
        <w:t>3</w:t>
      </w:r>
      <w:r w:rsidR="00D327B4" w:rsidRPr="00D327B4">
        <w:rPr>
          <w:i/>
          <w:iCs/>
        </w:rPr>
        <w:t xml:space="preserve"> (A4</w:t>
      </w:r>
      <w:r w:rsidR="00D327B4">
        <w:rPr>
          <w:i/>
          <w:iCs/>
        </w:rPr>
        <w:t>2835609</w:t>
      </w:r>
      <w:r w:rsidR="00D327B4" w:rsidRPr="00D327B4">
        <w:rPr>
          <w:i/>
          <w:iCs/>
        </w:rPr>
        <w:t>) 1</w:t>
      </w:r>
      <w:r w:rsidR="00D327B4">
        <w:rPr>
          <w:i/>
          <w:iCs/>
        </w:rPr>
        <w:t>7</w:t>
      </w:r>
      <w:r w:rsidR="00D327B4" w:rsidRPr="00D327B4">
        <w:rPr>
          <w:i/>
          <w:iCs/>
        </w:rPr>
        <w:t>.punkts</w:t>
      </w:r>
      <w:r w:rsidR="00D327B4">
        <w:t>). Ierobežota zaudējumu atlīdzināšanas kārtība par juridisko palīdzību ir noteikta, balstoties uz saprātīgiem apsvērumiem, kas vērsti uz valsts finanšu resursu efektīvu izmantošanu un to, lai tiktu nodrošinātas ikviena tiesības uz advokāta palīdzību</w:t>
      </w:r>
      <w:r w:rsidR="0047279E">
        <w:t>. P</w:t>
      </w:r>
      <w:r w:rsidR="0047279E" w:rsidRPr="007E23D9">
        <w:t>ersonas subjektīv</w:t>
      </w:r>
      <w:r w:rsidR="0047279E">
        <w:t>ai</w:t>
      </w:r>
      <w:r w:rsidR="0047279E" w:rsidRPr="007E23D9">
        <w:t xml:space="preserve"> vēlme</w:t>
      </w:r>
      <w:r w:rsidR="0047279E">
        <w:t>i saņemt v</w:t>
      </w:r>
      <w:r w:rsidR="0047279E" w:rsidRPr="007E23D9">
        <w:t>is</w:t>
      </w:r>
      <w:r w:rsidR="0047279E">
        <w:t>u</w:t>
      </w:r>
      <w:r w:rsidR="0047279E" w:rsidRPr="007E23D9">
        <w:t xml:space="preserve"> izdevum</w:t>
      </w:r>
      <w:r w:rsidR="0047279E">
        <w:t xml:space="preserve">u atlīdzinājumu </w:t>
      </w:r>
      <w:r w:rsidR="0047279E" w:rsidRPr="007E23D9">
        <w:t>ir pretnostatāmas valsts objektīvās iespējas nodrošināt tiesvedības sistēmas efektīvu funkcionēšanu, ņemot vērā citu personu tiesības un pieejamos resursus, kā arī vienlīdzīgu attieksmi pret visām personām</w:t>
      </w:r>
      <w:r w:rsidR="0047279E">
        <w:rPr>
          <w:i/>
          <w:iCs/>
        </w:rPr>
        <w:t xml:space="preserve"> </w:t>
      </w:r>
      <w:r w:rsidR="00D327B4" w:rsidRPr="00B90809">
        <w:rPr>
          <w:iCs/>
        </w:rPr>
        <w:t>(</w:t>
      </w:r>
      <w:r>
        <w:rPr>
          <w:i/>
          <w:iCs/>
        </w:rPr>
        <w:t>Senāta</w:t>
      </w:r>
      <w:r w:rsidR="00D327B4">
        <w:rPr>
          <w:i/>
          <w:iCs/>
        </w:rPr>
        <w:t xml:space="preserve"> 2012.gada 24.aprīļa spriedum</w:t>
      </w:r>
      <w:r>
        <w:rPr>
          <w:i/>
          <w:iCs/>
        </w:rPr>
        <w:t>a</w:t>
      </w:r>
      <w:r w:rsidR="00D327B4">
        <w:rPr>
          <w:i/>
          <w:iCs/>
        </w:rPr>
        <w:t xml:space="preserve"> lietā Nr.</w:t>
      </w:r>
      <w:r w:rsidR="00DE4403">
        <w:rPr>
          <w:i/>
          <w:iCs/>
        </w:rPr>
        <w:t> </w:t>
      </w:r>
      <w:r w:rsidR="00D327B4">
        <w:rPr>
          <w:i/>
          <w:iCs/>
        </w:rPr>
        <w:t>SKA</w:t>
      </w:r>
      <w:r>
        <w:rPr>
          <w:i/>
          <w:iCs/>
        </w:rPr>
        <w:t>-</w:t>
      </w:r>
      <w:r w:rsidR="00D327B4">
        <w:rPr>
          <w:i/>
          <w:iCs/>
        </w:rPr>
        <w:t>213/2012</w:t>
      </w:r>
      <w:r>
        <w:rPr>
          <w:i/>
          <w:iCs/>
        </w:rPr>
        <w:t xml:space="preserve"> (</w:t>
      </w:r>
      <w:r w:rsidRPr="00DB77F6">
        <w:rPr>
          <w:i/>
          <w:iCs/>
        </w:rPr>
        <w:t>A42</w:t>
      </w:r>
      <w:r w:rsidR="00685FA5" w:rsidRPr="00DE4403">
        <w:rPr>
          <w:i/>
          <w:iCs/>
        </w:rPr>
        <w:t>711108</w:t>
      </w:r>
      <w:r w:rsidR="00685FA5">
        <w:rPr>
          <w:i/>
          <w:iCs/>
        </w:rPr>
        <w:t xml:space="preserve">) </w:t>
      </w:r>
      <w:r w:rsidR="00DB77F6">
        <w:rPr>
          <w:i/>
          <w:iCs/>
        </w:rPr>
        <w:t>10.</w:t>
      </w:r>
      <w:r>
        <w:rPr>
          <w:i/>
          <w:iCs/>
        </w:rPr>
        <w:t>punkts</w:t>
      </w:r>
      <w:r w:rsidR="00D327B4" w:rsidRPr="00B90809">
        <w:rPr>
          <w:iCs/>
        </w:rPr>
        <w:t>)</w:t>
      </w:r>
      <w:r w:rsidR="00D327B4">
        <w:rPr>
          <w:i/>
          <w:iCs/>
        </w:rPr>
        <w:t>.</w:t>
      </w:r>
    </w:p>
    <w:p w:rsidR="00612744" w:rsidRDefault="00DE4403" w:rsidP="006F369A">
      <w:pPr>
        <w:spacing w:after="0"/>
        <w:jc w:val="both"/>
      </w:pPr>
      <w:r>
        <w:t>Tātad par šo jautājumu ir izveidojusies Senāta judikatūra</w:t>
      </w:r>
      <w:r w:rsidR="00A15DBB">
        <w:t>, un apgabaltiesa spriedumā bija uz to atsaukusies</w:t>
      </w:r>
      <w:r>
        <w:t>. Taču kasācijas sūdzībā nav norādīti nekādi argumenti, kāpēc būtu pamats no šīs judikatūras atkāpties. Kasācijas sūdzībā ir tikai vispārīgi norādīts</w:t>
      </w:r>
      <w:r w:rsidR="00A15DBB">
        <w:t xml:space="preserve"> uz </w:t>
      </w:r>
      <w:r w:rsidRPr="00DE4403">
        <w:t>noteikum</w:t>
      </w:r>
      <w:r w:rsidR="00A15DBB">
        <w:t>u</w:t>
      </w:r>
      <w:r w:rsidRPr="00DE4403">
        <w:t xml:space="preserve"> Nr.</w:t>
      </w:r>
      <w:r>
        <w:t> </w:t>
      </w:r>
      <w:r w:rsidRPr="00DE4403">
        <w:t>859</w:t>
      </w:r>
      <w:r>
        <w:t xml:space="preserve"> neatbilst</w:t>
      </w:r>
      <w:r w:rsidR="00A15DBB">
        <w:t>ību</w:t>
      </w:r>
      <w:r>
        <w:t xml:space="preserve"> Satversmei un </w:t>
      </w:r>
      <w:r w:rsidR="00A15DBB">
        <w:t xml:space="preserve">uzsvērts, ka </w:t>
      </w:r>
      <w:r w:rsidRPr="00DE4403">
        <w:t>pieteicēj</w:t>
      </w:r>
      <w:r w:rsidR="00A15DBB">
        <w:t xml:space="preserve">s </w:t>
      </w:r>
      <w:r w:rsidRPr="00DE4403">
        <w:t>nav vainojams pie tā, ka iestādes rīcība</w:t>
      </w:r>
      <w:r>
        <w:t xml:space="preserve"> bijusi prettiesiska. </w:t>
      </w:r>
      <w:r w:rsidR="000C04DB">
        <w:t>Ņemot vērā minēto</w:t>
      </w:r>
      <w:r w:rsidR="00945A0F">
        <w:t xml:space="preserve">, </w:t>
      </w:r>
      <w:r w:rsidR="006F369A">
        <w:t>kasācijas sūdzība arī šajā daļā ir noraidāma.</w:t>
      </w:r>
    </w:p>
    <w:p w:rsidR="00A15DBB" w:rsidRDefault="00A15DBB" w:rsidP="00612744">
      <w:pPr>
        <w:spacing w:after="0"/>
        <w:jc w:val="both"/>
      </w:pPr>
    </w:p>
    <w:p w:rsidR="006F369A" w:rsidRDefault="00612744" w:rsidP="00612744">
      <w:pPr>
        <w:spacing w:after="0"/>
        <w:jc w:val="both"/>
      </w:pPr>
      <w:r>
        <w:t xml:space="preserve">[8] </w:t>
      </w:r>
      <w:r w:rsidR="006F369A">
        <w:t xml:space="preserve">Pieteicējs ir pārsūdzējis apgabaltiesas spriedumu arī daļā, </w:t>
      </w:r>
      <w:r w:rsidR="00A15DBB">
        <w:t xml:space="preserve">ar </w:t>
      </w:r>
      <w:r w:rsidR="006F369A">
        <w:t>kur</w:t>
      </w:r>
      <w:r w:rsidR="00A15DBB">
        <w:t>u</w:t>
      </w:r>
      <w:r w:rsidR="006F369A">
        <w:t xml:space="preserve"> noraidīts pieteicēja prasījums par mantisko zaudējumu – izdevumu par </w:t>
      </w:r>
      <w:r w:rsidR="006F369A" w:rsidRPr="006F369A">
        <w:t>juridisk</w:t>
      </w:r>
      <w:r w:rsidR="006F369A">
        <w:t>o</w:t>
      </w:r>
      <w:r w:rsidR="006F369A" w:rsidRPr="006F369A">
        <w:t xml:space="preserve"> palīdzību lietā Nr.</w:t>
      </w:r>
      <w:r w:rsidR="006F369A">
        <w:t> </w:t>
      </w:r>
      <w:r w:rsidR="006F369A" w:rsidRPr="006F369A">
        <w:t>A420172915</w:t>
      </w:r>
      <w:r w:rsidR="006F369A">
        <w:t xml:space="preserve"> – atlīdzināšanu. </w:t>
      </w:r>
      <w:r>
        <w:t xml:space="preserve">Pieteicējs kasācijas sūdzībā izteicis iebildumus </w:t>
      </w:r>
      <w:r w:rsidR="006F369A">
        <w:t xml:space="preserve">pret apgabaltiesas secinājumu, ka nav konstatējami mantiski zaudējumi, </w:t>
      </w:r>
      <w:r>
        <w:t xml:space="preserve">ja </w:t>
      </w:r>
      <w:r w:rsidR="006F369A">
        <w:t xml:space="preserve">par juridisko palīdzību izrakstītais </w:t>
      </w:r>
      <w:r>
        <w:t xml:space="preserve">rēķins nav </w:t>
      </w:r>
      <w:r w:rsidR="00BB20CF">
        <w:t>apmaksāts</w:t>
      </w:r>
      <w:r w:rsidR="006F369A">
        <w:t>.</w:t>
      </w:r>
    </w:p>
    <w:p w:rsidR="00612744" w:rsidRDefault="00612744" w:rsidP="00612744">
      <w:pPr>
        <w:spacing w:after="0"/>
        <w:jc w:val="both"/>
      </w:pPr>
      <w:r>
        <w:t>Zaudējumu atlīdzināšanas likuma 7.panta pirmā daļa no</w:t>
      </w:r>
      <w:r w:rsidR="006F369A">
        <w:t>teic</w:t>
      </w:r>
      <w:r>
        <w:t>, ka m</w:t>
      </w:r>
      <w:r w:rsidRPr="00612744">
        <w:t>antiskais zaudējums šā likuma izpratnē ir katrs mantiski novērtējams pametums, kas cietušajam radies iestādes prettiesiska administratīvā akta vai prettiesiskas faktiskās rīcības dēļ.</w:t>
      </w:r>
      <w:r>
        <w:t xml:space="preserve"> </w:t>
      </w:r>
      <w:r w:rsidR="00B37DDF">
        <w:t>Arī Civillikuma 1770.pants paredz, ka a</w:t>
      </w:r>
      <w:r w:rsidR="00B37DDF" w:rsidRPr="00B37DDF">
        <w:t>r zaudējumu jāsaprot katrs mantiski novērtējams pametums.</w:t>
      </w:r>
      <w:r w:rsidR="00B37DDF">
        <w:t xml:space="preserve"> </w:t>
      </w:r>
      <w:r w:rsidR="006F369A">
        <w:t xml:space="preserve">Savukārt atbilstoši </w:t>
      </w:r>
      <w:r w:rsidR="00C63FA9">
        <w:t>Administratīvā procesa likuma 97.pant</w:t>
      </w:r>
      <w:r w:rsidR="006F369A">
        <w:t>am</w:t>
      </w:r>
      <w:r w:rsidR="00C63FA9">
        <w:t xml:space="preserve"> a</w:t>
      </w:r>
      <w:r w:rsidR="009032B2">
        <w:t xml:space="preserve">ttiecībā uz mantiskā zaudējuma priekšnosacījumiem un atlīdzinājuma apmēru administratīvajā procesā </w:t>
      </w:r>
      <w:r w:rsidR="00B37DDF">
        <w:t xml:space="preserve">piemēro civiltiesību </w:t>
      </w:r>
      <w:r w:rsidR="00B37DDF">
        <w:lastRenderedPageBreak/>
        <w:t>principus. Ņemot vērā minēto, Senāts secina, ka</w:t>
      </w:r>
      <w:r w:rsidR="00B90809">
        <w:t>,</w:t>
      </w:r>
      <w:r w:rsidR="00B37DDF">
        <w:t xml:space="preserve"> interpretējot Zaudējumu atlīdzināšanas likumā ietverto mantisko zaudējumu jēdzienu, ir jāņem vērā arī tiesību doktrīnas un judikatūras atziņas par zaudējuma jēdzienu civiltiesībās.</w:t>
      </w:r>
    </w:p>
    <w:p w:rsidR="007A6312" w:rsidRDefault="007A6312" w:rsidP="007A6312">
      <w:pPr>
        <w:spacing w:after="0"/>
        <w:jc w:val="both"/>
        <w:rPr>
          <w:i/>
          <w:iCs/>
        </w:rPr>
      </w:pPr>
      <w:r>
        <w:t xml:space="preserve">Tiesību doktrīnā, vērtējot tagadējās mantas samazinājuma izpratni civiltiesībās, atzīts, ka </w:t>
      </w:r>
      <w:r w:rsidRPr="00D83533">
        <w:t>mantas sastāvā ietilpstošo aktīvu samazinājums ir uzskatāms par mantisku pametumu Civillikuma 1770.panta izpratnē</w:t>
      </w:r>
      <w:r>
        <w:t>. T</w:t>
      </w:r>
      <w:r w:rsidRPr="00D25A73">
        <w:t>agadējās mantas samazinājums iestājas, ne vien sarūkot mantas vērtībai, bet arī gadījumā, kad manta tiek apgrūtināta ar parādiem. Šādā situācijā nav iemesla runāt par priekšā stāvošu zaudējumu, jo tas jau ir radies</w:t>
      </w:r>
      <w:r>
        <w:t xml:space="preserve">. </w:t>
      </w:r>
      <w:r w:rsidRPr="00D83533">
        <w:t>No minētā izriet, ka saistību apmēra palielināšanos, ko izraisījis tiesību pārkāpums, nevar traktēt kā priekšā stāvošu zaudējumu, kas nav jāatlīdzina.</w:t>
      </w:r>
      <w:r>
        <w:t xml:space="preserve"> </w:t>
      </w:r>
      <w:r w:rsidRPr="00D25A73">
        <w:t>Šāds secinājums ir saskanīgs ar zaudējumu atlīdzināšanas mērķi</w:t>
      </w:r>
      <w:r>
        <w:t xml:space="preserve">, </w:t>
      </w:r>
      <w:r w:rsidRPr="00D25A73">
        <w:t>kuru nebūtu iespējams sasniegt, ja tiesību pārkāpuma rezultātā radušos parādsaistību pieaugumu neatzītu par jau cēlušos zaudējumu</w:t>
      </w:r>
      <w:r>
        <w:t xml:space="preserve"> </w:t>
      </w:r>
      <w:r w:rsidRPr="00B90809">
        <w:rPr>
          <w:iCs/>
        </w:rPr>
        <w:t>(</w:t>
      </w:r>
      <w:r>
        <w:rPr>
          <w:i/>
          <w:iCs/>
        </w:rPr>
        <w:t>Senāta 2016.gada 7.jūnija sprieduma lietā Nr</w:t>
      </w:r>
      <w:r w:rsidR="00B90809">
        <w:rPr>
          <w:i/>
          <w:iCs/>
        </w:rPr>
        <w:t>. </w:t>
      </w:r>
      <w:r>
        <w:rPr>
          <w:i/>
          <w:iCs/>
        </w:rPr>
        <w:t>SKC-7/2016 (C39072411) 11.punkts</w:t>
      </w:r>
      <w:r w:rsidRPr="00B90809">
        <w:rPr>
          <w:iCs/>
        </w:rPr>
        <w:t>)</w:t>
      </w:r>
      <w:r>
        <w:rPr>
          <w:i/>
          <w:iCs/>
        </w:rPr>
        <w:t xml:space="preserve">. </w:t>
      </w:r>
      <w:r w:rsidR="00797DC0" w:rsidRPr="00797DC0">
        <w:rPr>
          <w:iCs/>
        </w:rPr>
        <w:t>Tātad judikatūrā ir atzīts</w:t>
      </w:r>
      <w:r w:rsidR="00797DC0">
        <w:rPr>
          <w:iCs/>
        </w:rPr>
        <w:t>, ka par jau cēlušos mantisku zaudējumu ir uzskatāma arī saistību apmēra palielināšanās.</w:t>
      </w:r>
    </w:p>
    <w:p w:rsidR="00612744" w:rsidRDefault="00826C9C" w:rsidP="00612744">
      <w:pPr>
        <w:spacing w:after="0"/>
        <w:jc w:val="both"/>
      </w:pPr>
      <w:r>
        <w:t>To, ka šādu jau cēlušos mantisko zaudējumu izpratni ir pamats attiecināt arī uz izdevumiem par juridisko palīdzību, papildu</w:t>
      </w:r>
      <w:r w:rsidR="00224976">
        <w:t>s</w:t>
      </w:r>
      <w:r>
        <w:t xml:space="preserve"> apliecina</w:t>
      </w:r>
      <w:r w:rsidR="00B37DDF">
        <w:t xml:space="preserve"> arī </w:t>
      </w:r>
      <w:r w:rsidR="00EC47FF">
        <w:t>Civilprocesa likumā ietvert</w:t>
      </w:r>
      <w:r>
        <w:t>ais</w:t>
      </w:r>
      <w:r w:rsidR="00EC47FF">
        <w:t xml:space="preserve"> regulējum</w:t>
      </w:r>
      <w:r>
        <w:t>s.</w:t>
      </w:r>
      <w:r w:rsidR="00EC47FF">
        <w:t xml:space="preserve"> </w:t>
      </w:r>
      <w:r w:rsidR="00DA09E2">
        <w:t xml:space="preserve">Civillietās </w:t>
      </w:r>
      <w:r w:rsidRPr="00EC47FF">
        <w:t>izdevum</w:t>
      </w:r>
      <w:r>
        <w:t>i</w:t>
      </w:r>
      <w:r w:rsidRPr="00EC47FF">
        <w:t xml:space="preserve"> par juridisko palīdzību </w:t>
      </w:r>
      <w:r w:rsidR="00B37DDF">
        <w:t>netiek uzskatīt par mantiskiem zaudējumiem</w:t>
      </w:r>
      <w:r w:rsidR="00DA09E2">
        <w:t>, t</w:t>
      </w:r>
      <w:r w:rsidR="00AD4F9F">
        <w:t>aču a</w:t>
      </w:r>
      <w:r w:rsidR="00B37DDF">
        <w:t>tbilstoši</w:t>
      </w:r>
      <w:r w:rsidR="00612744">
        <w:t xml:space="preserve"> </w:t>
      </w:r>
      <w:r w:rsidR="00635B30">
        <w:t>Civilprocesa likuma 44.panta pirmās daļas 1.punktam</w:t>
      </w:r>
      <w:r w:rsidR="00B37DDF">
        <w:t xml:space="preserve"> </w:t>
      </w:r>
      <w:r w:rsidR="00DA09E2">
        <w:t>tie</w:t>
      </w:r>
      <w:r w:rsidR="00B37DDF">
        <w:t xml:space="preserve"> ir </w:t>
      </w:r>
      <w:r w:rsidR="007A6312">
        <w:t>a</w:t>
      </w:r>
      <w:r w:rsidR="009032B2">
        <w:t>r lietas vešanu saistīt</w:t>
      </w:r>
      <w:r w:rsidR="00B37DDF">
        <w:t>ie</w:t>
      </w:r>
      <w:r w:rsidR="009032B2">
        <w:t xml:space="preserve"> izdevum</w:t>
      </w:r>
      <w:r w:rsidR="00B37DDF">
        <w:t xml:space="preserve">i. </w:t>
      </w:r>
      <w:r w:rsidR="009032B2">
        <w:t xml:space="preserve">Ar 2017.gada 22.jūnija grozījumiem </w:t>
      </w:r>
      <w:r>
        <w:t>Civilprocesa likuma 44.pants</w:t>
      </w:r>
      <w:r w:rsidR="009032B2">
        <w:t xml:space="preserve"> papildināts ar 1.</w:t>
      </w:r>
      <w:r w:rsidR="00B37DDF" w:rsidRPr="00B37DDF">
        <w:rPr>
          <w:color w:val="000000" w:themeColor="text1"/>
          <w:vertAlign w:val="superscript"/>
        </w:rPr>
        <w:t>1</w:t>
      </w:r>
      <w:r w:rsidR="009032B2">
        <w:t>daļu, nosakot, ka p</w:t>
      </w:r>
      <w:r>
        <w:t>ar šā panta pirmās daļas 1.</w:t>
      </w:r>
      <w:r w:rsidR="009032B2" w:rsidRPr="009032B2">
        <w:t>punktā minēto atlīdzināmo izdevumu faktisko apmēru uzskata gan izdevumus, kuri jau ir samaksāti, gan izdevumus, par kuriem saskaņā ar advokāta un puses vienošanos par juridiskās palīdzības sniegšanu ir izrakstīts rēķins.</w:t>
      </w:r>
      <w:r w:rsidR="00D25A73">
        <w:t xml:space="preserve"> </w:t>
      </w:r>
      <w:r w:rsidR="00797DC0">
        <w:t xml:space="preserve">Tieslietu ministrs, iesniedzot priekšlikumu par šādu grozījumu, 2016.gada 13.oktobra vēstulē Saeimas Juridiskajai komisijai </w:t>
      </w:r>
      <w:r w:rsidR="00BB20CF">
        <w:t>norādīj</w:t>
      </w:r>
      <w:r w:rsidR="00797DC0">
        <w:t>is</w:t>
      </w:r>
      <w:r w:rsidR="00BB20CF">
        <w:t xml:space="preserve">, ka </w:t>
      </w:r>
      <w:r w:rsidR="00797DC0" w:rsidRPr="00997EED">
        <w:t>„</w:t>
      </w:r>
      <w:r w:rsidR="00BB20CF">
        <w:t xml:space="preserve">šāds papildinājums nepieciešams, lai risinātu praksē konstatētās problēmas saistībā ar termina </w:t>
      </w:r>
      <w:r w:rsidR="00797DC0" w:rsidRPr="00997EED">
        <w:t>„</w:t>
      </w:r>
      <w:r w:rsidR="00BB20CF">
        <w:t xml:space="preserve">faktiskais apmērs” izpratni, aprēķinot ar lietas vešanu saistīto izdevumu advokātu palīdzības samaksai atlīdzināmo apmēru. </w:t>
      </w:r>
      <w:r w:rsidR="00797DC0">
        <w:t xml:space="preserve">Proti, praksē ir izveidojusies izpratne, ka faktiski atlīdzināmais apmērs par advokāta palīdzību ir tikai tas apmērs, kas jau faktiski ir apmaksāts un par kuru ir iespējams uzrādīt apmaksu apliecinošu dokumentu. Tādējādi par </w:t>
      </w:r>
      <w:r w:rsidR="00BB20CF">
        <w:t xml:space="preserve">faktiskiem izdevumiem netiek uzskatīti izdevumi, kas ir </w:t>
      </w:r>
      <w:r w:rsidR="00797DC0" w:rsidRPr="00997EED">
        <w:t>„</w:t>
      </w:r>
      <w:r w:rsidR="00BB20CF">
        <w:t>faktiski radušies”, piemēram izrietoši no advokāta un klienta vienošanās par juridiskās palīdzības sniegšanu, bet kuri vēl nav apmaksāti, jo tiks apmaksāti tikai pēc tiesvedības procesa beigām</w:t>
      </w:r>
      <w:r w:rsidR="00797DC0">
        <w:t>” (</w:t>
      </w:r>
      <w:r w:rsidRPr="00826C9C">
        <w:rPr>
          <w:i/>
        </w:rPr>
        <w:t>https://titania.saeima.lv/LIVS12/SaeimaLIVS12.nsf/0/</w:t>
      </w:r>
      <w:r w:rsidR="00797DC0" w:rsidRPr="00797DC0">
        <w:rPr>
          <w:i/>
        </w:rPr>
        <w:t>4fe9920b</w:t>
      </w:r>
      <w:r>
        <w:rPr>
          <w:i/>
        </w:rPr>
        <w:t xml:space="preserve"> </w:t>
      </w:r>
      <w:r w:rsidR="00797DC0" w:rsidRPr="00797DC0">
        <w:rPr>
          <w:i/>
        </w:rPr>
        <w:t>af32c89cc225804b0042564e/$FILE/2_2428-12_16.pdf</w:t>
      </w:r>
      <w:r w:rsidR="00797DC0">
        <w:t>)</w:t>
      </w:r>
      <w:r w:rsidR="00BB20CF">
        <w:t>.</w:t>
      </w:r>
      <w:r w:rsidR="00797DC0">
        <w:t xml:space="preserve"> Tātad likumdevējs ir apzināti noteicis, ka civilprocesā </w:t>
      </w:r>
      <w:r w:rsidR="007C2FE3">
        <w:t>izdevumi advokāta palīdzības samaksai ir atlīdzināmi arī tad, ja izrakstītais rēķins vēl nav apmaksāts.</w:t>
      </w:r>
    </w:p>
    <w:p w:rsidR="00D25A73" w:rsidRDefault="00D25A73" w:rsidP="00612744">
      <w:pPr>
        <w:spacing w:after="0"/>
        <w:jc w:val="both"/>
        <w:rPr>
          <w:i/>
          <w:iCs/>
        </w:rPr>
      </w:pPr>
      <w:r>
        <w:t xml:space="preserve">Arī Eiropas Cilvēktiesību tiesa </w:t>
      </w:r>
      <w:r w:rsidR="000E4484">
        <w:t xml:space="preserve">vairākos spriedumos ir atzinusi, ja </w:t>
      </w:r>
      <w:r w:rsidR="007C2FE3">
        <w:t xml:space="preserve">juridiskās palīdzības sniedzējam saskaņā ar noslēgto līgumu ir tiesības prasīt samaksu par sniegtajiem pakalpojumiem, tad ir uzskatāms, ka izdevumi par juridisko palīdzību ir radušies un līdz ar to atlīdzināmi arī tad, ja pakalpojumu saņēmējs vēl attiecīgās summas nav samaksājis </w:t>
      </w:r>
      <w:r w:rsidR="00E3264E" w:rsidRPr="006F369A">
        <w:rPr>
          <w:i/>
          <w:iCs/>
        </w:rPr>
        <w:t>(2014.gada 29.jūlija sprieduma lietā L.H. pret Latviju, iesnieguma Nr.</w:t>
      </w:r>
      <w:r w:rsidR="007C2FE3">
        <w:rPr>
          <w:i/>
          <w:iCs/>
        </w:rPr>
        <w:t> </w:t>
      </w:r>
      <w:r w:rsidR="00E3264E" w:rsidRPr="006F369A">
        <w:rPr>
          <w:i/>
          <w:iCs/>
        </w:rPr>
        <w:t>52019/0</w:t>
      </w:r>
      <w:r w:rsidR="00E3264E">
        <w:rPr>
          <w:i/>
          <w:iCs/>
        </w:rPr>
        <w:t xml:space="preserve">7, 68.punkts, 2010.gada 10.maija sprieduma lietā </w:t>
      </w:r>
      <w:proofErr w:type="spellStart"/>
      <w:r w:rsidR="00E3264E">
        <w:rPr>
          <w:i/>
          <w:iCs/>
        </w:rPr>
        <w:t>Tebieti</w:t>
      </w:r>
      <w:proofErr w:type="spellEnd"/>
      <w:r w:rsidR="00E3264E">
        <w:rPr>
          <w:i/>
          <w:iCs/>
        </w:rPr>
        <w:t xml:space="preserve"> </w:t>
      </w:r>
      <w:proofErr w:type="spellStart"/>
      <w:r w:rsidR="00E3264E">
        <w:rPr>
          <w:i/>
          <w:iCs/>
        </w:rPr>
        <w:t>M</w:t>
      </w:r>
      <w:r w:rsidR="00E3264E" w:rsidRPr="00E3264E">
        <w:rPr>
          <w:i/>
          <w:iCs/>
        </w:rPr>
        <w:t>ühafize</w:t>
      </w:r>
      <w:proofErr w:type="spellEnd"/>
      <w:r w:rsidR="00E3264E" w:rsidRPr="00E3264E">
        <w:rPr>
          <w:i/>
          <w:iCs/>
        </w:rPr>
        <w:t xml:space="preserve"> </w:t>
      </w:r>
      <w:proofErr w:type="spellStart"/>
      <w:r w:rsidR="00E3264E">
        <w:rPr>
          <w:i/>
          <w:iCs/>
        </w:rPr>
        <w:t>C</w:t>
      </w:r>
      <w:r w:rsidR="00E3264E" w:rsidRPr="00E3264E">
        <w:rPr>
          <w:i/>
          <w:iCs/>
        </w:rPr>
        <w:t>emiyyet</w:t>
      </w:r>
      <w:r w:rsidR="00E3264E">
        <w:rPr>
          <w:i/>
          <w:iCs/>
        </w:rPr>
        <w:t>i</w:t>
      </w:r>
      <w:proofErr w:type="spellEnd"/>
      <w:r w:rsidR="00E3264E">
        <w:rPr>
          <w:i/>
          <w:iCs/>
        </w:rPr>
        <w:t xml:space="preserve"> un </w:t>
      </w:r>
      <w:proofErr w:type="spellStart"/>
      <w:r w:rsidR="00E3264E">
        <w:rPr>
          <w:i/>
          <w:iCs/>
        </w:rPr>
        <w:t>I</w:t>
      </w:r>
      <w:r w:rsidR="00E3264E" w:rsidRPr="00E3264E">
        <w:rPr>
          <w:i/>
          <w:iCs/>
        </w:rPr>
        <w:t>srafilo</w:t>
      </w:r>
      <w:r w:rsidR="00E3264E">
        <w:rPr>
          <w:i/>
          <w:iCs/>
        </w:rPr>
        <w:t>v</w:t>
      </w:r>
      <w:proofErr w:type="spellEnd"/>
      <w:r w:rsidR="00E3264E">
        <w:rPr>
          <w:i/>
          <w:iCs/>
        </w:rPr>
        <w:t xml:space="preserve"> pret Azerbaidžānu, iesnieguma Nr.</w:t>
      </w:r>
      <w:r w:rsidR="00FE4DFB">
        <w:rPr>
          <w:i/>
          <w:iCs/>
        </w:rPr>
        <w:t xml:space="preserve"> </w:t>
      </w:r>
      <w:r w:rsidR="00E3264E">
        <w:rPr>
          <w:i/>
          <w:iCs/>
        </w:rPr>
        <w:t xml:space="preserve">37083/03, 106.punkts). </w:t>
      </w:r>
    </w:p>
    <w:p w:rsidR="000E4484" w:rsidRDefault="00826C9C">
      <w:pPr>
        <w:spacing w:after="0"/>
        <w:jc w:val="both"/>
      </w:pPr>
      <w:r>
        <w:t>Ņemot vērā minēto, Senāts secina, ka</w:t>
      </w:r>
      <w:r w:rsidR="00FE4DFB">
        <w:t xml:space="preserve"> apgabaltiesa ir nepareizi interpretējusi </w:t>
      </w:r>
      <w:r>
        <w:t xml:space="preserve">Zaudējumu atlīdzināšanas likumā ietverto </w:t>
      </w:r>
      <w:r w:rsidR="00FE4DFB">
        <w:t xml:space="preserve">mantisko zaudējumu jēdzienu </w:t>
      </w:r>
      <w:r w:rsidR="003E359A">
        <w:t xml:space="preserve">un nepamatoti </w:t>
      </w:r>
      <w:r w:rsidR="003E359A">
        <w:lastRenderedPageBreak/>
        <w:t>uzskatījusi, ka rēķina par juridisko palīdzību apmaksa ir priekšnoteikums š</w:t>
      </w:r>
      <w:r>
        <w:t>ādu</w:t>
      </w:r>
      <w:r w:rsidR="003E359A">
        <w:t xml:space="preserve"> zaudējumu atlīdzināšanai.</w:t>
      </w:r>
    </w:p>
    <w:p w:rsidR="004A1153" w:rsidRDefault="004A1153" w:rsidP="00612744">
      <w:pPr>
        <w:spacing w:after="0"/>
        <w:jc w:val="both"/>
      </w:pPr>
    </w:p>
    <w:p w:rsidR="00DA09E2" w:rsidRDefault="004A1153" w:rsidP="00DA09E2">
      <w:pPr>
        <w:spacing w:after="0"/>
        <w:jc w:val="both"/>
      </w:pPr>
      <w:r>
        <w:t xml:space="preserve">[9] Apgabaltiesa spriedumā </w:t>
      </w:r>
      <w:r w:rsidR="00826C9C">
        <w:t xml:space="preserve">attiecībā uz mantiskajiem zaudējumiem </w:t>
      </w:r>
      <w:r w:rsidR="00826C9C" w:rsidRPr="006F369A">
        <w:t>lietā Nr.</w:t>
      </w:r>
      <w:r w:rsidR="00826C9C">
        <w:t> </w:t>
      </w:r>
      <w:r w:rsidR="00826C9C" w:rsidRPr="006F369A">
        <w:t>A420172915</w:t>
      </w:r>
      <w:r w:rsidR="00826C9C">
        <w:t xml:space="preserve"> ir arī konstatējusi, ka rēķinos </w:t>
      </w:r>
      <w:r w:rsidR="00974B80">
        <w:t xml:space="preserve">par </w:t>
      </w:r>
      <w:r w:rsidR="00974B80" w:rsidRPr="006F369A">
        <w:t>juridisk</w:t>
      </w:r>
      <w:r w:rsidR="00974B80">
        <w:t>o</w:t>
      </w:r>
      <w:r w:rsidR="00974B80" w:rsidRPr="006F369A">
        <w:t xml:space="preserve"> palīdzību </w:t>
      </w:r>
      <w:r w:rsidR="00A4708C">
        <w:t>nav norādīt</w:t>
      </w:r>
      <w:r w:rsidR="00C60589">
        <w:t>s</w:t>
      </w:r>
      <w:r w:rsidR="00A4708C">
        <w:t xml:space="preserve"> lietas numurs</w:t>
      </w:r>
      <w:r w:rsidR="008076B5">
        <w:t>,</w:t>
      </w:r>
      <w:r w:rsidR="00A4708C">
        <w:t xml:space="preserve"> un</w:t>
      </w:r>
      <w:r w:rsidR="00AD4F9F">
        <w:t>,</w:t>
      </w:r>
      <w:r w:rsidR="00A4708C">
        <w:t xml:space="preserve"> ņemot vērā to, ka, pamatojoties uz pieteicēja pieteikumiem, </w:t>
      </w:r>
      <w:r w:rsidR="008D3C8A">
        <w:t xml:space="preserve">ir ierosinātas vairākas administratīvās lietas, </w:t>
      </w:r>
      <w:r w:rsidR="008076B5">
        <w:t xml:space="preserve">secinājusi, ka </w:t>
      </w:r>
      <w:r w:rsidR="00A4708C">
        <w:t>nav pierādīta rēķin</w:t>
      </w:r>
      <w:r w:rsidR="00C60589">
        <w:t>u</w:t>
      </w:r>
      <w:r w:rsidR="00A4708C">
        <w:t xml:space="preserve"> attiecināmība uz izskatāmo lietu.</w:t>
      </w:r>
      <w:r w:rsidR="00C101D8">
        <w:t xml:space="preserve"> </w:t>
      </w:r>
      <w:r w:rsidR="00DA09E2">
        <w:t>Tāpat no a</w:t>
      </w:r>
      <w:r w:rsidR="00DA09E2" w:rsidRPr="00DA09E2">
        <w:t>pgabaltiesa</w:t>
      </w:r>
      <w:r w:rsidR="00DA09E2">
        <w:t>s sprieduma izriet, ka šķērslis mantisko zaudējumu atlīdzināšanai ir arī tas, ka</w:t>
      </w:r>
      <w:r w:rsidR="00DA09E2" w:rsidRPr="00DA09E2">
        <w:t xml:space="preserve"> nav iesniegts zvērināta advokāta orderis.</w:t>
      </w:r>
    </w:p>
    <w:p w:rsidR="00440637" w:rsidRDefault="00DA09E2" w:rsidP="00C31AE8">
      <w:pPr>
        <w:spacing w:after="0"/>
        <w:jc w:val="both"/>
      </w:pPr>
      <w:r>
        <w:t xml:space="preserve">Vienlaikus Senāts konstatē, ka </w:t>
      </w:r>
      <w:r w:rsidR="008D3C8A">
        <w:t xml:space="preserve">šādi argumenti par lietas numura nenorādīšanu un advokāta ordera neiesniegšanu kā šķērsli mantisko zaudējumu atlīdzināšanai nebija izteikti Ieslodzījuma vietu pārvaldes paskaidrojumos šajā lietā un tādi netika norādīti arī rajona tiesas spriedumā. Šie apsvērumi pirmo reizi ir minēti tikai apgabaltiesas spriedumā. Turklāt no lietas materiāliem </w:t>
      </w:r>
      <w:r w:rsidR="00D65115">
        <w:t>nav konstatējams</w:t>
      </w:r>
      <w:r w:rsidR="008D3C8A">
        <w:t xml:space="preserve">, ka apgabaltiesa </w:t>
      </w:r>
      <w:r w:rsidR="00D65115">
        <w:t>būtu lūgusi pieteicējam sniegt viedokli par šiem jautājumiem vai</w:t>
      </w:r>
      <w:r w:rsidR="008D3C8A">
        <w:t xml:space="preserve"> norādījusi, ka iesniegtie pierādījumi par mantiskajiem zaudējumiem iepriekš minēto iemeslu dēļ varētu būt nepietiekami</w:t>
      </w:r>
      <w:r w:rsidR="00D65115">
        <w:t>.</w:t>
      </w:r>
    </w:p>
    <w:p w:rsidR="008076B5" w:rsidRDefault="00946D0F" w:rsidP="00C31AE8">
      <w:pPr>
        <w:spacing w:after="0"/>
        <w:jc w:val="both"/>
      </w:pPr>
      <w:r>
        <w:rPr>
          <w:rFonts w:eastAsia="Times New Roman" w:cs="Times New Roman"/>
        </w:rPr>
        <w:t>Administratīvā procesa likuma</w:t>
      </w:r>
      <w:r w:rsidRPr="00946D0F">
        <w:t xml:space="preserve"> </w:t>
      </w:r>
      <w:r>
        <w:t>247.panta treš</w:t>
      </w:r>
      <w:r w:rsidR="00A82464">
        <w:t>ā</w:t>
      </w:r>
      <w:r>
        <w:t xml:space="preserve"> daļ</w:t>
      </w:r>
      <w:r w:rsidR="00A82464">
        <w:t>a</w:t>
      </w:r>
      <w:r>
        <w:t xml:space="preserve"> noteic, ka t</w:t>
      </w:r>
      <w:r w:rsidRPr="00946D0F">
        <w:t>iesa spriedumu drīkst pamatot tikai ar tādiem apstākļiem, par kuriem administratīvā procesa dalībniekiem ir bijusi iespēja mutvārdos vai rakstveidā izteikt savu viedokli.</w:t>
      </w:r>
      <w:r>
        <w:t xml:space="preserve"> </w:t>
      </w:r>
      <w:r w:rsidR="00440637">
        <w:t xml:space="preserve">Šī tiesību norma ir vērsta uz tiesību tikt uzklausītam īstenošanu un „pārsteiguma” spriedumu nepieļaušanu, tādējādi sekmējot taisnīga tiesas procesa īstenošanu. Lai netiktu sastādīts „pārsteiguma” spriedums, </w:t>
      </w:r>
      <w:r>
        <w:t xml:space="preserve">mutvārdu procesā tiesai ir jāpārrunā ar lietas dalībniekiem </w:t>
      </w:r>
      <w:r w:rsidR="00C31AE8">
        <w:t>lietā</w:t>
      </w:r>
      <w:r>
        <w:t xml:space="preserve"> nozīmīgie faktiskie </w:t>
      </w:r>
      <w:r w:rsidR="00C31AE8">
        <w:t xml:space="preserve">un tiesiskie </w:t>
      </w:r>
      <w:r>
        <w:t xml:space="preserve">apstākļi; tas pats attiecināms uz rakstveida procesu </w:t>
      </w:r>
      <w:r w:rsidRPr="00757341">
        <w:rPr>
          <w:iCs/>
        </w:rPr>
        <w:t>(</w:t>
      </w:r>
      <w:r>
        <w:rPr>
          <w:i/>
          <w:iCs/>
        </w:rPr>
        <w:t>Senāta</w:t>
      </w:r>
      <w:r w:rsidRPr="00D327B4">
        <w:rPr>
          <w:i/>
          <w:iCs/>
        </w:rPr>
        <w:t xml:space="preserve"> 201</w:t>
      </w:r>
      <w:r>
        <w:rPr>
          <w:i/>
          <w:iCs/>
        </w:rPr>
        <w:t>6</w:t>
      </w:r>
      <w:r w:rsidRPr="00D327B4">
        <w:rPr>
          <w:i/>
          <w:iCs/>
        </w:rPr>
        <w:t xml:space="preserve">.gada </w:t>
      </w:r>
      <w:r>
        <w:rPr>
          <w:i/>
          <w:iCs/>
        </w:rPr>
        <w:t>8</w:t>
      </w:r>
      <w:r w:rsidRPr="00D327B4">
        <w:rPr>
          <w:i/>
          <w:iCs/>
        </w:rPr>
        <w:t>.</w:t>
      </w:r>
      <w:r w:rsidR="00C31AE8">
        <w:rPr>
          <w:i/>
          <w:iCs/>
        </w:rPr>
        <w:t>aprīļa</w:t>
      </w:r>
      <w:r w:rsidRPr="00D327B4">
        <w:rPr>
          <w:i/>
          <w:iCs/>
        </w:rPr>
        <w:t xml:space="preserve"> spriedum</w:t>
      </w:r>
      <w:r>
        <w:rPr>
          <w:i/>
          <w:iCs/>
        </w:rPr>
        <w:t>a</w:t>
      </w:r>
      <w:r w:rsidRPr="00D327B4">
        <w:rPr>
          <w:i/>
          <w:iCs/>
        </w:rPr>
        <w:t xml:space="preserve"> lietā Nr.</w:t>
      </w:r>
      <w:r>
        <w:rPr>
          <w:i/>
          <w:iCs/>
        </w:rPr>
        <w:t> </w:t>
      </w:r>
      <w:r w:rsidRPr="00D327B4">
        <w:rPr>
          <w:i/>
          <w:iCs/>
        </w:rPr>
        <w:t>SKA</w:t>
      </w:r>
      <w:r>
        <w:rPr>
          <w:i/>
          <w:iCs/>
        </w:rPr>
        <w:t>-</w:t>
      </w:r>
      <w:r w:rsidR="00C31AE8">
        <w:rPr>
          <w:i/>
          <w:iCs/>
        </w:rPr>
        <w:t>190</w:t>
      </w:r>
      <w:r w:rsidRPr="00D327B4">
        <w:rPr>
          <w:i/>
          <w:iCs/>
        </w:rPr>
        <w:t>/201</w:t>
      </w:r>
      <w:r w:rsidR="00C31AE8">
        <w:rPr>
          <w:i/>
          <w:iCs/>
        </w:rPr>
        <w:t>6</w:t>
      </w:r>
      <w:r w:rsidRPr="00D327B4">
        <w:rPr>
          <w:i/>
          <w:iCs/>
        </w:rPr>
        <w:t xml:space="preserve"> </w:t>
      </w:r>
      <w:r w:rsidRPr="00C31AE8">
        <w:rPr>
          <w:i/>
          <w:iCs/>
        </w:rPr>
        <w:t>(</w:t>
      </w:r>
      <w:r w:rsidR="00C31AE8" w:rsidRPr="00C31AE8">
        <w:rPr>
          <w:i/>
        </w:rPr>
        <w:t>A420413012</w:t>
      </w:r>
      <w:r w:rsidRPr="00D327B4">
        <w:rPr>
          <w:i/>
          <w:iCs/>
        </w:rPr>
        <w:t>) 1</w:t>
      </w:r>
      <w:r w:rsidR="00C31AE8">
        <w:rPr>
          <w:i/>
          <w:iCs/>
        </w:rPr>
        <w:t>0</w:t>
      </w:r>
      <w:r w:rsidRPr="00D327B4">
        <w:rPr>
          <w:i/>
          <w:iCs/>
        </w:rPr>
        <w:t>.punkts</w:t>
      </w:r>
      <w:r w:rsidR="00440637">
        <w:t>).</w:t>
      </w:r>
    </w:p>
    <w:p w:rsidR="00C5395E" w:rsidRDefault="00C5395E" w:rsidP="00C31AE8">
      <w:pPr>
        <w:spacing w:after="0"/>
        <w:jc w:val="both"/>
        <w:rPr>
          <w:rFonts w:eastAsia="Times New Roman" w:cs="Times New Roman"/>
          <w:lang w:eastAsia="lv-LV"/>
        </w:rPr>
      </w:pPr>
      <w:r>
        <w:t xml:space="preserve">Arī Eiropas Cilvēktiesību tiesa ir atzinusi, ka no tiesībām uz taisnīgu tiesu izriet prasība, lai tiesas savos nolēmumos neatsauktos uz tādiem faktiskajiem vai tiesiskajiem apstākļiem, par kuriem lietas dalībniekiem nav bijusi iespēja izteikties procesa laikā un kas rada tādu pagriezienu lietā, ko arī rūpīgs lietas dalībnieks nevarēja paredzēt </w:t>
      </w:r>
      <w:r w:rsidRPr="00C5395E">
        <w:rPr>
          <w:rFonts w:eastAsia="Times New Roman" w:cs="Times New Roman"/>
          <w:lang w:eastAsia="lv-LV"/>
        </w:rPr>
        <w:t>(</w:t>
      </w:r>
      <w:r w:rsidRPr="00C5395E">
        <w:rPr>
          <w:rFonts w:eastAsia="Times New Roman" w:cs="Times New Roman"/>
          <w:i/>
          <w:lang w:eastAsia="lv-LV"/>
        </w:rPr>
        <w:t>Eiropas Cilvēktiesību tiesas 201</w:t>
      </w:r>
      <w:r>
        <w:rPr>
          <w:rFonts w:eastAsia="Times New Roman" w:cs="Times New Roman"/>
          <w:i/>
          <w:lang w:eastAsia="lv-LV"/>
        </w:rPr>
        <w:t>3</w:t>
      </w:r>
      <w:r w:rsidRPr="00C5395E">
        <w:rPr>
          <w:rFonts w:eastAsia="Times New Roman" w:cs="Times New Roman"/>
          <w:i/>
          <w:lang w:eastAsia="lv-LV"/>
        </w:rPr>
        <w:t xml:space="preserve">.gada </w:t>
      </w:r>
      <w:r>
        <w:rPr>
          <w:rFonts w:eastAsia="Times New Roman" w:cs="Times New Roman"/>
          <w:i/>
          <w:lang w:eastAsia="lv-LV"/>
        </w:rPr>
        <w:t>5.septembra</w:t>
      </w:r>
      <w:r w:rsidRPr="00C5395E">
        <w:rPr>
          <w:rFonts w:eastAsia="Times New Roman" w:cs="Times New Roman"/>
          <w:i/>
          <w:lang w:eastAsia="lv-LV"/>
        </w:rPr>
        <w:t xml:space="preserve"> sprieduma lietā </w:t>
      </w:r>
      <w:proofErr w:type="spellStart"/>
      <w:r>
        <w:rPr>
          <w:rFonts w:eastAsia="Times New Roman" w:cs="Times New Roman"/>
          <w:i/>
          <w:lang w:eastAsia="lv-LV"/>
        </w:rPr>
        <w:t>Čepek</w:t>
      </w:r>
      <w:proofErr w:type="spellEnd"/>
      <w:r w:rsidRPr="00C5395E">
        <w:rPr>
          <w:rFonts w:eastAsia="Times New Roman" w:cs="Times New Roman"/>
          <w:i/>
          <w:lang w:eastAsia="lv-LV"/>
        </w:rPr>
        <w:t xml:space="preserve"> pret </w:t>
      </w:r>
      <w:r>
        <w:rPr>
          <w:rFonts w:eastAsia="Times New Roman" w:cs="Times New Roman"/>
          <w:i/>
          <w:lang w:eastAsia="lv-LV"/>
        </w:rPr>
        <w:t>Čehijas Republiku</w:t>
      </w:r>
      <w:r w:rsidRPr="00C5395E">
        <w:rPr>
          <w:rFonts w:eastAsia="Times New Roman" w:cs="Times New Roman"/>
          <w:i/>
          <w:lang w:eastAsia="lv-LV"/>
        </w:rPr>
        <w:t>, iesniegum</w:t>
      </w:r>
      <w:r w:rsidR="00757341">
        <w:rPr>
          <w:rFonts w:eastAsia="Times New Roman" w:cs="Times New Roman"/>
          <w:i/>
          <w:lang w:eastAsia="lv-LV"/>
        </w:rPr>
        <w:t>a</w:t>
      </w:r>
      <w:r w:rsidRPr="00C5395E">
        <w:rPr>
          <w:rFonts w:eastAsia="Times New Roman" w:cs="Times New Roman"/>
          <w:i/>
          <w:lang w:eastAsia="lv-LV"/>
        </w:rPr>
        <w:t xml:space="preserve"> Nr. 9815/10, </w:t>
      </w:r>
      <w:r>
        <w:rPr>
          <w:rFonts w:eastAsia="Times New Roman" w:cs="Times New Roman"/>
          <w:i/>
          <w:lang w:eastAsia="lv-LV"/>
        </w:rPr>
        <w:t>4</w:t>
      </w:r>
      <w:r w:rsidRPr="00C5395E">
        <w:rPr>
          <w:rFonts w:eastAsia="Times New Roman" w:cs="Times New Roman"/>
          <w:i/>
          <w:lang w:eastAsia="lv-LV"/>
        </w:rPr>
        <w:t>8</w:t>
      </w:r>
      <w:r>
        <w:rPr>
          <w:rFonts w:eastAsia="Times New Roman" w:cs="Times New Roman"/>
          <w:i/>
          <w:lang w:eastAsia="lv-LV"/>
        </w:rPr>
        <w:t>.</w:t>
      </w:r>
      <w:r w:rsidRPr="00C5395E">
        <w:rPr>
          <w:rFonts w:eastAsia="Times New Roman" w:cs="Times New Roman"/>
          <w:i/>
          <w:lang w:eastAsia="lv-LV"/>
        </w:rPr>
        <w:t>punkts</w:t>
      </w:r>
      <w:r w:rsidRPr="00C5395E">
        <w:rPr>
          <w:rFonts w:eastAsia="Times New Roman" w:cs="Times New Roman"/>
          <w:lang w:eastAsia="lv-LV"/>
        </w:rPr>
        <w:t>)</w:t>
      </w:r>
      <w:r>
        <w:rPr>
          <w:rFonts w:eastAsia="Times New Roman" w:cs="Times New Roman"/>
          <w:lang w:eastAsia="lv-LV"/>
        </w:rPr>
        <w:t>. Tas attiecas arī uz gadījumiem, kad tiesnesi</w:t>
      </w:r>
      <w:r w:rsidR="00757341">
        <w:rPr>
          <w:rFonts w:eastAsia="Times New Roman" w:cs="Times New Roman"/>
          <w:lang w:eastAsia="lv-LV"/>
        </w:rPr>
        <w:t>s</w:t>
      </w:r>
      <w:r>
        <w:rPr>
          <w:rFonts w:eastAsia="Times New Roman" w:cs="Times New Roman"/>
          <w:lang w:eastAsia="lv-LV"/>
        </w:rPr>
        <w:t xml:space="preserve"> uz kādu nolēmumu pamatojošu apstākli atsaucas pēc savas iniciatīvas (</w:t>
      </w:r>
      <w:r w:rsidRPr="00C5395E">
        <w:rPr>
          <w:rFonts w:eastAsia="Times New Roman" w:cs="Times New Roman"/>
          <w:i/>
          <w:lang w:eastAsia="lv-LV"/>
        </w:rPr>
        <w:t>turpat, 45.punkts</w:t>
      </w:r>
      <w:r>
        <w:rPr>
          <w:rFonts w:eastAsia="Times New Roman" w:cs="Times New Roman"/>
          <w:lang w:eastAsia="lv-LV"/>
        </w:rPr>
        <w:t>).</w:t>
      </w:r>
    </w:p>
    <w:p w:rsidR="00A82464" w:rsidRDefault="00A82464" w:rsidP="00C31AE8">
      <w:pPr>
        <w:spacing w:after="0"/>
        <w:jc w:val="both"/>
        <w:rPr>
          <w:rFonts w:eastAsia="Times New Roman" w:cs="Times New Roman"/>
          <w:lang w:eastAsia="lv-LV"/>
        </w:rPr>
      </w:pPr>
      <w:r>
        <w:rPr>
          <w:rFonts w:eastAsia="Times New Roman" w:cs="Times New Roman"/>
          <w:lang w:eastAsia="lv-LV"/>
        </w:rPr>
        <w:t>Vērtējot, vai šīs prasības ir ievērotas izskatāmajā lietā,</w:t>
      </w:r>
      <w:r w:rsidR="004A4770">
        <w:rPr>
          <w:rFonts w:eastAsia="Times New Roman" w:cs="Times New Roman"/>
          <w:lang w:eastAsia="lv-LV"/>
        </w:rPr>
        <w:t xml:space="preserve"> no vienas puses, </w:t>
      </w:r>
      <w:r>
        <w:rPr>
          <w:rFonts w:eastAsia="Times New Roman" w:cs="Times New Roman"/>
          <w:lang w:eastAsia="lv-LV"/>
        </w:rPr>
        <w:t xml:space="preserve">ir jāatzīst, ka </w:t>
      </w:r>
      <w:r w:rsidR="004A4770">
        <w:rPr>
          <w:rFonts w:eastAsia="Times New Roman" w:cs="Times New Roman"/>
          <w:lang w:eastAsia="lv-LV"/>
        </w:rPr>
        <w:t>pieteicējs un viņa juridiskās palīdzības sniedzējs nav bijuši pietiekami rūpīgi, jo nav rēķinus noformējuši tā, lai būtu iespējams nepārprotami konstatēt to saistību ar izskatāmo lietu, un lietā nav iesniegts advokāta orderis</w:t>
      </w:r>
      <w:r>
        <w:rPr>
          <w:rFonts w:eastAsia="Times New Roman" w:cs="Times New Roman"/>
          <w:lang w:eastAsia="lv-LV"/>
        </w:rPr>
        <w:t>, kā to prasa Latvijas Republikas advokatūras likuma 48.</w:t>
      </w:r>
      <w:r w:rsidRPr="00A82464">
        <w:rPr>
          <w:rFonts w:eastAsia="Times New Roman" w:cs="Times New Roman"/>
          <w:vertAlign w:val="superscript"/>
          <w:lang w:eastAsia="lv-LV"/>
        </w:rPr>
        <w:t>1</w:t>
      </w:r>
      <w:r>
        <w:rPr>
          <w:rFonts w:eastAsia="Times New Roman" w:cs="Times New Roman"/>
          <w:lang w:eastAsia="lv-LV"/>
        </w:rPr>
        <w:t>pants</w:t>
      </w:r>
      <w:r w:rsidR="004A4770">
        <w:rPr>
          <w:rFonts w:eastAsia="Times New Roman" w:cs="Times New Roman"/>
          <w:lang w:eastAsia="lv-LV"/>
        </w:rPr>
        <w:t xml:space="preserve">. Taču, no otras puses, nav pamata apgalvot, ka pastāvētu skaidra tiesu prakse, ka šādi trūkumi paši par sevi var būt pamats prasījuma par mantisko zaudējumu atlīdzināšanu noraidīšanai, it īpaši apstākļos, kad </w:t>
      </w:r>
      <w:r>
        <w:rPr>
          <w:rFonts w:eastAsia="Times New Roman" w:cs="Times New Roman"/>
          <w:lang w:eastAsia="lv-LV"/>
        </w:rPr>
        <w:t xml:space="preserve">no lietas materiāliem </w:t>
      </w:r>
      <w:r w:rsidR="004A4770">
        <w:rPr>
          <w:rFonts w:eastAsia="Times New Roman" w:cs="Times New Roman"/>
          <w:lang w:eastAsia="lv-LV"/>
        </w:rPr>
        <w:t>ir redzams, ka rēķinu izrakstīšanas datumi sakrīt attiecīgi ar pieteikuma sastādīšanas datumu un apelācijas sūdzības sastādīšanas datumu</w:t>
      </w:r>
      <w:r>
        <w:rPr>
          <w:rFonts w:eastAsia="Times New Roman" w:cs="Times New Roman"/>
          <w:lang w:eastAsia="lv-LV"/>
        </w:rPr>
        <w:t xml:space="preserve"> un ka </w:t>
      </w:r>
      <w:r w:rsidR="00C101D8">
        <w:rPr>
          <w:rFonts w:eastAsia="Times New Roman" w:cs="Times New Roman"/>
          <w:lang w:eastAsia="lv-LV"/>
        </w:rPr>
        <w:t xml:space="preserve">zvērināts advokāts ir sniedzis juridisku palīdzību pieteicējam (zvērināts advokāts ir parakstījis </w:t>
      </w:r>
      <w:r>
        <w:rPr>
          <w:rFonts w:eastAsia="Times New Roman" w:cs="Times New Roman"/>
          <w:lang w:eastAsia="lv-LV"/>
        </w:rPr>
        <w:t xml:space="preserve">pieteikumu un apelācijas sūdzību un pārstāvējis </w:t>
      </w:r>
      <w:r w:rsidR="00C101D8">
        <w:rPr>
          <w:rFonts w:eastAsia="Times New Roman" w:cs="Times New Roman"/>
          <w:lang w:eastAsia="lv-LV"/>
        </w:rPr>
        <w:t xml:space="preserve">pieteicēju </w:t>
      </w:r>
      <w:r>
        <w:rPr>
          <w:rFonts w:eastAsia="Times New Roman" w:cs="Times New Roman"/>
          <w:lang w:eastAsia="lv-LV"/>
        </w:rPr>
        <w:t>tiesas sēdē administratīvajā rajona tiesā</w:t>
      </w:r>
      <w:r w:rsidR="00F11998">
        <w:rPr>
          <w:rFonts w:eastAsia="Times New Roman" w:cs="Times New Roman"/>
          <w:lang w:eastAsia="lv-LV"/>
        </w:rPr>
        <w:t>)</w:t>
      </w:r>
      <w:r>
        <w:rPr>
          <w:rFonts w:eastAsia="Times New Roman" w:cs="Times New Roman"/>
          <w:lang w:eastAsia="lv-LV"/>
        </w:rPr>
        <w:t>.</w:t>
      </w:r>
    </w:p>
    <w:p w:rsidR="00A82464" w:rsidRDefault="00A82464" w:rsidP="00C31AE8">
      <w:pPr>
        <w:spacing w:after="0"/>
        <w:jc w:val="both"/>
        <w:rPr>
          <w:rFonts w:eastAsia="Times New Roman" w:cs="Times New Roman"/>
          <w:lang w:eastAsia="lv-LV"/>
        </w:rPr>
      </w:pPr>
      <w:r>
        <w:rPr>
          <w:rFonts w:eastAsia="Times New Roman" w:cs="Times New Roman"/>
          <w:lang w:eastAsia="lv-LV"/>
        </w:rPr>
        <w:t xml:space="preserve">Tāpat ir jāņem vērā, ka </w:t>
      </w:r>
      <w:r w:rsidR="00F11998">
        <w:rPr>
          <w:rFonts w:eastAsia="Times New Roman" w:cs="Times New Roman"/>
          <w:lang w:eastAsia="lv-LV"/>
        </w:rPr>
        <w:t>atbilstoši</w:t>
      </w:r>
      <w:r>
        <w:rPr>
          <w:rFonts w:eastAsia="Times New Roman" w:cs="Times New Roman"/>
          <w:lang w:eastAsia="lv-LV"/>
        </w:rPr>
        <w:t xml:space="preserve"> objektīvās izmeklēšanas princip</w:t>
      </w:r>
      <w:r w:rsidR="00F11998">
        <w:rPr>
          <w:rFonts w:eastAsia="Times New Roman" w:cs="Times New Roman"/>
          <w:lang w:eastAsia="lv-LV"/>
        </w:rPr>
        <w:t>am</w:t>
      </w:r>
      <w:r>
        <w:rPr>
          <w:rFonts w:eastAsia="Times New Roman" w:cs="Times New Roman"/>
          <w:lang w:eastAsia="lv-LV"/>
        </w:rPr>
        <w:t xml:space="preserve"> </w:t>
      </w:r>
      <w:r w:rsidR="007945F0" w:rsidRPr="007945F0">
        <w:rPr>
          <w:rFonts w:eastAsia="Times New Roman" w:cs="Times New Roman"/>
          <w:lang w:eastAsia="lv-LV"/>
        </w:rPr>
        <w:t>tiesa dod administratīvā procesa dalībniekiem norādījumus un ieteikumus, kā arī savāc pierādījumus pēc savas iniciatīvas</w:t>
      </w:r>
      <w:r w:rsidR="007945F0">
        <w:rPr>
          <w:rFonts w:eastAsia="Times New Roman" w:cs="Times New Roman"/>
          <w:lang w:eastAsia="lv-LV"/>
        </w:rPr>
        <w:t xml:space="preserve">. </w:t>
      </w:r>
      <w:r w:rsidR="00F11998">
        <w:rPr>
          <w:rFonts w:eastAsia="Times New Roman" w:cs="Times New Roman"/>
          <w:lang w:eastAsia="lv-LV"/>
        </w:rPr>
        <w:t xml:space="preserve">Administratīvā procesa likumā nav minēti konkrēti gadījumi, kad tiesai </w:t>
      </w:r>
      <w:r w:rsidR="00F11998">
        <w:rPr>
          <w:rFonts w:eastAsia="Times New Roman" w:cs="Times New Roman"/>
          <w:lang w:eastAsia="lv-LV"/>
        </w:rPr>
        <w:lastRenderedPageBreak/>
        <w:t>ir jādod norādījumi un ieteikumi. Savukārt, p</w:t>
      </w:r>
      <w:r w:rsidR="007945F0">
        <w:rPr>
          <w:rFonts w:eastAsia="Times New Roman" w:cs="Times New Roman"/>
          <w:lang w:eastAsia="lv-LV"/>
        </w:rPr>
        <w:t>iemēram, Civilprocesa likuma 93.panta ceturtā daļa nosaka: j</w:t>
      </w:r>
      <w:r w:rsidR="007945F0" w:rsidRPr="007945F0">
        <w:rPr>
          <w:rFonts w:eastAsia="Times New Roman" w:cs="Times New Roman"/>
          <w:lang w:eastAsia="lv-LV"/>
        </w:rPr>
        <w:t>a tiesa atzīst, ka par kādu no faktiem, uz kuriem pamatoti puses prasījumi vai iebildumi, nav iesniegti pierādījumi, tā paziņo par to pusēm un, ja nepieciešams, nosaka termiņu pierādījumu iesniegšanai.</w:t>
      </w:r>
      <w:r>
        <w:rPr>
          <w:rFonts w:eastAsia="Times New Roman" w:cs="Times New Roman"/>
          <w:lang w:eastAsia="lv-LV"/>
        </w:rPr>
        <w:t xml:space="preserve"> </w:t>
      </w:r>
      <w:r w:rsidR="007945F0">
        <w:rPr>
          <w:rFonts w:eastAsia="Times New Roman" w:cs="Times New Roman"/>
          <w:lang w:eastAsia="lv-LV"/>
        </w:rPr>
        <w:t xml:space="preserve">Tā kā </w:t>
      </w:r>
      <w:r w:rsidR="00757341">
        <w:rPr>
          <w:rFonts w:eastAsia="Times New Roman" w:cs="Times New Roman"/>
          <w:lang w:eastAsia="lv-LV"/>
        </w:rPr>
        <w:t>a</w:t>
      </w:r>
      <w:r w:rsidR="007945F0">
        <w:rPr>
          <w:rFonts w:eastAsia="Times New Roman" w:cs="Times New Roman"/>
          <w:lang w:eastAsia="lv-LV"/>
        </w:rPr>
        <w:t>dministratīvajā procesā, kur darbojas objektīvās izmeklēšanas princips, tiesas pienākum</w:t>
      </w:r>
      <w:r w:rsidR="00371FC3">
        <w:rPr>
          <w:rFonts w:eastAsia="Times New Roman" w:cs="Times New Roman"/>
          <w:lang w:eastAsia="lv-LV"/>
        </w:rPr>
        <w:t>s</w:t>
      </w:r>
      <w:r w:rsidR="007945F0">
        <w:rPr>
          <w:rFonts w:eastAsia="Times New Roman" w:cs="Times New Roman"/>
          <w:lang w:eastAsia="lv-LV"/>
        </w:rPr>
        <w:t xml:space="preserve"> dot norādījumus nevar būt šaurāk</w:t>
      </w:r>
      <w:r w:rsidR="00371FC3">
        <w:rPr>
          <w:rFonts w:eastAsia="Times New Roman" w:cs="Times New Roman"/>
          <w:lang w:eastAsia="lv-LV"/>
        </w:rPr>
        <w:t>s</w:t>
      </w:r>
      <w:r w:rsidR="007945F0">
        <w:rPr>
          <w:rFonts w:eastAsia="Times New Roman" w:cs="Times New Roman"/>
          <w:lang w:eastAsia="lv-LV"/>
        </w:rPr>
        <w:t xml:space="preserve"> kā civilprocesā, tad jāsecina, ka </w:t>
      </w:r>
      <w:r w:rsidR="00F11998">
        <w:rPr>
          <w:rFonts w:eastAsia="Times New Roman" w:cs="Times New Roman"/>
          <w:lang w:eastAsia="lv-LV"/>
        </w:rPr>
        <w:t xml:space="preserve">arī administratīvajā procesā tiesai ir pienākums norādīt uz tādiem apstākļiem, kādi minēti Civilprocesa likuma 93.panta ceturtajā daļā. Ievērojot minēto, </w:t>
      </w:r>
      <w:r>
        <w:rPr>
          <w:rFonts w:eastAsia="Times New Roman" w:cs="Times New Roman"/>
          <w:lang w:eastAsia="lv-LV"/>
        </w:rPr>
        <w:t>pieteicēj</w:t>
      </w:r>
      <w:r w:rsidR="007945F0">
        <w:rPr>
          <w:rFonts w:eastAsia="Times New Roman" w:cs="Times New Roman"/>
          <w:lang w:eastAsia="lv-LV"/>
        </w:rPr>
        <w:t>s</w:t>
      </w:r>
      <w:r>
        <w:rPr>
          <w:rFonts w:eastAsia="Times New Roman" w:cs="Times New Roman"/>
          <w:lang w:eastAsia="lv-LV"/>
        </w:rPr>
        <w:t xml:space="preserve"> un viņa pārstāvi</w:t>
      </w:r>
      <w:r w:rsidR="007945F0">
        <w:rPr>
          <w:rFonts w:eastAsia="Times New Roman" w:cs="Times New Roman"/>
          <w:lang w:eastAsia="lv-LV"/>
        </w:rPr>
        <w:t>s varēja</w:t>
      </w:r>
      <w:r>
        <w:rPr>
          <w:rFonts w:eastAsia="Times New Roman" w:cs="Times New Roman"/>
          <w:lang w:eastAsia="lv-LV"/>
        </w:rPr>
        <w:t xml:space="preserve"> rēķināties</w:t>
      </w:r>
      <w:r w:rsidR="007945F0">
        <w:rPr>
          <w:rFonts w:eastAsia="Times New Roman" w:cs="Times New Roman"/>
          <w:lang w:eastAsia="lv-LV"/>
        </w:rPr>
        <w:t xml:space="preserve"> ar to, ka tiesa norādīs procesa dalībniekam, ja tā uzskatīs iesniegtos pierādījumus par nepietiekamiem tādu iemeslu dēļ, ko neviens vēl līdz tam procesā nebija minējis, tādējādi dodot iespēju procesa dalībniekam novērst attiecīgo trūkumu vai sniegt pamatojumu, kāpēc tas tomēr nevar būt pamats prasījuma noraidīšanai.</w:t>
      </w:r>
    </w:p>
    <w:p w:rsidR="00A82464" w:rsidRDefault="00F11998" w:rsidP="00C31AE8">
      <w:pPr>
        <w:spacing w:after="0"/>
        <w:jc w:val="both"/>
        <w:rPr>
          <w:rFonts w:eastAsia="Times New Roman" w:cs="Times New Roman"/>
          <w:lang w:eastAsia="lv-LV"/>
        </w:rPr>
      </w:pPr>
      <w:r>
        <w:rPr>
          <w:rFonts w:eastAsia="Times New Roman" w:cs="Times New Roman"/>
          <w:lang w:eastAsia="lv-LV"/>
        </w:rPr>
        <w:t>Līdz ar to</w:t>
      </w:r>
      <w:r w:rsidR="00371FC3">
        <w:rPr>
          <w:rFonts w:eastAsia="Times New Roman" w:cs="Times New Roman"/>
          <w:lang w:eastAsia="lv-LV"/>
        </w:rPr>
        <w:t xml:space="preserve"> Senāts secina, ka apgabaltiesa, nedodot norādījumus par pierādījumu nepietiekamību un nenodrošinot iespēju izteikt viedokli par rēķinu noformēšanu un ordera iesniegšanu, ir pārkāpusi </w:t>
      </w:r>
      <w:r w:rsidR="00371FC3" w:rsidRPr="00371FC3">
        <w:rPr>
          <w:rFonts w:eastAsia="Times New Roman" w:cs="Times New Roman"/>
          <w:lang w:eastAsia="lv-LV"/>
        </w:rPr>
        <w:t>Administratīvā pro</w:t>
      </w:r>
      <w:r w:rsidR="00371FC3">
        <w:rPr>
          <w:rFonts w:eastAsia="Times New Roman" w:cs="Times New Roman"/>
          <w:lang w:eastAsia="lv-LV"/>
        </w:rPr>
        <w:t>cesa likuma 247.panta trešo daļu un objektīvās izmeklēšanas principu.</w:t>
      </w:r>
    </w:p>
    <w:p w:rsidR="004A4770" w:rsidRDefault="004A4770" w:rsidP="00C31AE8">
      <w:pPr>
        <w:spacing w:after="0"/>
        <w:jc w:val="both"/>
        <w:rPr>
          <w:rFonts w:eastAsia="Times New Roman" w:cs="Times New Roman"/>
          <w:lang w:eastAsia="lv-LV"/>
        </w:rPr>
      </w:pPr>
    </w:p>
    <w:p w:rsidR="004A4770" w:rsidRDefault="00371FC3" w:rsidP="00C31AE8">
      <w:pPr>
        <w:spacing w:after="0"/>
        <w:jc w:val="both"/>
        <w:rPr>
          <w:rFonts w:eastAsia="Times New Roman" w:cs="Times New Roman"/>
          <w:lang w:eastAsia="lv-LV"/>
        </w:rPr>
      </w:pPr>
      <w:r>
        <w:rPr>
          <w:rFonts w:eastAsia="Times New Roman" w:cs="Times New Roman"/>
          <w:lang w:eastAsia="lv-LV"/>
        </w:rPr>
        <w:t xml:space="preserve">[10] Tā kā apgabaltiesa ir </w:t>
      </w:r>
      <w:r w:rsidRPr="00371FC3">
        <w:rPr>
          <w:rFonts w:eastAsia="Times New Roman" w:cs="Times New Roman"/>
          <w:lang w:eastAsia="lv-LV"/>
        </w:rPr>
        <w:t>nepareizi interpretējusi Zaudējumu atlīdzināšanas likumā ietverto mantisko zaudējumu jēdzienu</w:t>
      </w:r>
      <w:r>
        <w:rPr>
          <w:rFonts w:eastAsia="Times New Roman" w:cs="Times New Roman"/>
          <w:lang w:eastAsia="lv-LV"/>
        </w:rPr>
        <w:t xml:space="preserve"> un pieļāvusi arī procesuālus pārkāpumus, apgabaltiesas spriedums ir atceļams daļā </w:t>
      </w:r>
      <w:r w:rsidRPr="00371FC3">
        <w:rPr>
          <w:rFonts w:eastAsia="Times New Roman" w:cs="Times New Roman"/>
          <w:lang w:eastAsia="lv-LV"/>
        </w:rPr>
        <w:t>par mantisko zaudējumu – izdevumu pa</w:t>
      </w:r>
      <w:r>
        <w:rPr>
          <w:rFonts w:eastAsia="Times New Roman" w:cs="Times New Roman"/>
          <w:lang w:eastAsia="lv-LV"/>
        </w:rPr>
        <w:t>r juridisko palīdzību lietā Nr. </w:t>
      </w:r>
      <w:r w:rsidRPr="00371FC3">
        <w:rPr>
          <w:rFonts w:eastAsia="Times New Roman" w:cs="Times New Roman"/>
          <w:lang w:eastAsia="lv-LV"/>
        </w:rPr>
        <w:t>A420172915 – atlīdzināšanu.</w:t>
      </w:r>
    </w:p>
    <w:p w:rsidR="004A4770" w:rsidRDefault="004A4770" w:rsidP="00C31AE8">
      <w:pPr>
        <w:spacing w:after="0"/>
        <w:jc w:val="both"/>
        <w:rPr>
          <w:rFonts w:eastAsia="Times New Roman" w:cs="Times New Roman"/>
          <w:lang w:eastAsia="lv-LV"/>
        </w:rPr>
      </w:pPr>
    </w:p>
    <w:p w:rsidR="0081334E" w:rsidRPr="006F369A" w:rsidRDefault="0081334E" w:rsidP="006F369A">
      <w:pPr>
        <w:spacing w:after="0"/>
        <w:ind w:firstLine="0"/>
        <w:jc w:val="center"/>
        <w:rPr>
          <w:b/>
          <w:bCs/>
        </w:rPr>
      </w:pPr>
      <w:r w:rsidRPr="006F369A">
        <w:rPr>
          <w:b/>
          <w:bCs/>
        </w:rPr>
        <w:t>Rezolutīvā daļa</w:t>
      </w:r>
    </w:p>
    <w:p w:rsidR="0081334E" w:rsidRDefault="0081334E" w:rsidP="0081334E">
      <w:pPr>
        <w:spacing w:after="0"/>
        <w:ind w:firstLine="0"/>
        <w:jc w:val="both"/>
      </w:pPr>
    </w:p>
    <w:p w:rsidR="00371FC3" w:rsidRPr="00371FC3" w:rsidRDefault="00371FC3" w:rsidP="00371FC3">
      <w:pPr>
        <w:spacing w:after="0"/>
        <w:jc w:val="both"/>
        <w:rPr>
          <w:rFonts w:eastAsia="Times New Roman" w:cs="Times New Roman"/>
          <w:lang w:eastAsia="ru-RU"/>
        </w:rPr>
      </w:pPr>
      <w:r w:rsidRPr="00371FC3">
        <w:rPr>
          <w:rFonts w:eastAsia="Times New Roman" w:cs="Times New Roman"/>
          <w:lang w:eastAsia="ru-RU"/>
        </w:rPr>
        <w:t>Pamatojoties uz Administratīvā procesa likuma 348.panta pirmās daļas 2.punktu un 351.pantu, Senāts</w:t>
      </w:r>
    </w:p>
    <w:p w:rsidR="0081334E" w:rsidRDefault="0081334E" w:rsidP="00844AE2">
      <w:pPr>
        <w:spacing w:after="0"/>
        <w:ind w:firstLine="0"/>
        <w:jc w:val="both"/>
      </w:pPr>
    </w:p>
    <w:p w:rsidR="0081334E" w:rsidRPr="00963005" w:rsidRDefault="0081334E" w:rsidP="0081334E">
      <w:pPr>
        <w:tabs>
          <w:tab w:val="left" w:pos="2700"/>
          <w:tab w:val="left" w:pos="6660"/>
        </w:tabs>
        <w:spacing w:after="0"/>
        <w:ind w:firstLine="0"/>
        <w:jc w:val="center"/>
        <w:rPr>
          <w:b/>
        </w:rPr>
      </w:pPr>
      <w:bookmarkStart w:id="2" w:name="Dropdown14"/>
      <w:r w:rsidRPr="00963005">
        <w:rPr>
          <w:b/>
        </w:rPr>
        <w:t>nosprieda</w:t>
      </w:r>
      <w:bookmarkEnd w:id="2"/>
    </w:p>
    <w:p w:rsidR="00F64C3D" w:rsidRDefault="00F64C3D" w:rsidP="006F369A">
      <w:pPr>
        <w:tabs>
          <w:tab w:val="left" w:pos="2700"/>
          <w:tab w:val="left" w:pos="6660"/>
        </w:tabs>
        <w:spacing w:after="0"/>
        <w:jc w:val="both"/>
      </w:pPr>
    </w:p>
    <w:p w:rsidR="00F64C3D" w:rsidRDefault="0081334E" w:rsidP="0081334E">
      <w:pPr>
        <w:tabs>
          <w:tab w:val="left" w:pos="2700"/>
          <w:tab w:val="left" w:pos="6660"/>
        </w:tabs>
        <w:spacing w:after="0"/>
        <w:jc w:val="both"/>
      </w:pPr>
      <w:r w:rsidRPr="00EA3378">
        <w:t xml:space="preserve">Atcelt Administratīvās apgabaltiesas </w:t>
      </w:r>
      <w:r w:rsidR="00C16F7D" w:rsidRPr="00C16F7D">
        <w:t>2017.gada 31.janvāra spriedumu</w:t>
      </w:r>
      <w:r w:rsidR="00C16F7D">
        <w:t xml:space="preserve"> daļā </w:t>
      </w:r>
      <w:r w:rsidR="00224976">
        <w:t xml:space="preserve">par </w:t>
      </w:r>
      <w:r w:rsidR="00371FC3" w:rsidRPr="00371FC3">
        <w:rPr>
          <w:rFonts w:eastAsia="Times New Roman" w:cs="Times New Roman"/>
          <w:lang w:eastAsia="lv-LV"/>
        </w:rPr>
        <w:t>mantisko zaudējumu – izdevumu pa</w:t>
      </w:r>
      <w:r w:rsidR="00371FC3">
        <w:rPr>
          <w:rFonts w:eastAsia="Times New Roman" w:cs="Times New Roman"/>
          <w:lang w:eastAsia="lv-LV"/>
        </w:rPr>
        <w:t>r juridisko palīdzību lietā Nr. </w:t>
      </w:r>
      <w:r w:rsidR="00371FC3" w:rsidRPr="00371FC3">
        <w:rPr>
          <w:rFonts w:eastAsia="Times New Roman" w:cs="Times New Roman"/>
          <w:lang w:eastAsia="lv-LV"/>
        </w:rPr>
        <w:t>A420172915 – atlīdzināšanu</w:t>
      </w:r>
      <w:r w:rsidR="00224976">
        <w:rPr>
          <w:rFonts w:eastAsia="Times New Roman" w:cs="Times New Roman"/>
          <w:lang w:eastAsia="lv-LV"/>
        </w:rPr>
        <w:t xml:space="preserve"> </w:t>
      </w:r>
      <w:r w:rsidR="00224976" w:rsidRPr="002571E4">
        <w:rPr>
          <w:color w:val="000000"/>
        </w:rPr>
        <w:t xml:space="preserve">un nosūtīt lietu </w:t>
      </w:r>
      <w:r w:rsidR="00224976">
        <w:rPr>
          <w:color w:val="000000"/>
        </w:rPr>
        <w:t xml:space="preserve">šajā daļā </w:t>
      </w:r>
      <w:r w:rsidR="00224976" w:rsidRPr="002571E4">
        <w:rPr>
          <w:color w:val="000000"/>
        </w:rPr>
        <w:t>jaunai izskatīšanai Administratīvajai apgabaltiesai</w:t>
      </w:r>
      <w:r w:rsidR="00224976">
        <w:rPr>
          <w:color w:val="000000"/>
        </w:rPr>
        <w:t>.</w:t>
      </w:r>
      <w:r w:rsidR="00224976" w:rsidRPr="00224976">
        <w:t xml:space="preserve"> Pārējā daļā spriedumu atstāt negrozītu, bet </w:t>
      </w:r>
      <w:r w:rsidR="00657E5A">
        <w:t>[pers. A]</w:t>
      </w:r>
      <w:r w:rsidR="00224976">
        <w:t xml:space="preserve"> </w:t>
      </w:r>
      <w:r w:rsidR="00224976" w:rsidRPr="00224976">
        <w:t>kasācijas sūdzību noraidīt.</w:t>
      </w:r>
    </w:p>
    <w:p w:rsidR="0081334E" w:rsidRPr="00657E5A" w:rsidRDefault="0081334E" w:rsidP="00657E5A">
      <w:pPr>
        <w:spacing w:after="0"/>
        <w:jc w:val="both"/>
        <w:rPr>
          <w:bCs/>
        </w:rPr>
      </w:pPr>
      <w:r w:rsidRPr="00963005">
        <w:t xml:space="preserve">Spriedums </w:t>
      </w:r>
      <w:r w:rsidRPr="00963005">
        <w:rPr>
          <w:bCs/>
        </w:rPr>
        <w:t>nav pārsūdzams.</w:t>
      </w:r>
    </w:p>
    <w:sectPr w:rsidR="0081334E" w:rsidRPr="00657E5A" w:rsidSect="003D66FF">
      <w:footerReference w:type="default" r:id="rId7"/>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464" w:rsidRDefault="00896464" w:rsidP="003047F5">
      <w:r>
        <w:separator/>
      </w:r>
    </w:p>
  </w:endnote>
  <w:endnote w:type="continuationSeparator" w:id="0">
    <w:p w:rsidR="00896464" w:rsidRDefault="0089646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rsidR="00797DC0" w:rsidRDefault="00797DC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26EDD">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26EDD">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464" w:rsidRDefault="00896464" w:rsidP="003047F5">
      <w:r>
        <w:separator/>
      </w:r>
    </w:p>
  </w:footnote>
  <w:footnote w:type="continuationSeparator" w:id="0">
    <w:p w:rsidR="00896464" w:rsidRDefault="0089646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CF7"/>
    <w:rsid w:val="0000570D"/>
    <w:rsid w:val="00005A1E"/>
    <w:rsid w:val="000073EC"/>
    <w:rsid w:val="0000741F"/>
    <w:rsid w:val="00007BAB"/>
    <w:rsid w:val="00012B8F"/>
    <w:rsid w:val="00012EE3"/>
    <w:rsid w:val="00012EF0"/>
    <w:rsid w:val="00014969"/>
    <w:rsid w:val="00014EE1"/>
    <w:rsid w:val="00014F8B"/>
    <w:rsid w:val="00015354"/>
    <w:rsid w:val="00016030"/>
    <w:rsid w:val="00016FF1"/>
    <w:rsid w:val="00017669"/>
    <w:rsid w:val="000200B4"/>
    <w:rsid w:val="00020A0A"/>
    <w:rsid w:val="00024A75"/>
    <w:rsid w:val="00024B4F"/>
    <w:rsid w:val="000274D4"/>
    <w:rsid w:val="00030396"/>
    <w:rsid w:val="00030BB1"/>
    <w:rsid w:val="00030C19"/>
    <w:rsid w:val="000318C5"/>
    <w:rsid w:val="0003200B"/>
    <w:rsid w:val="00032C7A"/>
    <w:rsid w:val="00033276"/>
    <w:rsid w:val="000361F6"/>
    <w:rsid w:val="000362D0"/>
    <w:rsid w:val="0003715A"/>
    <w:rsid w:val="000401DC"/>
    <w:rsid w:val="000402B9"/>
    <w:rsid w:val="00040C13"/>
    <w:rsid w:val="00041D59"/>
    <w:rsid w:val="00042B04"/>
    <w:rsid w:val="00043C30"/>
    <w:rsid w:val="00045078"/>
    <w:rsid w:val="00046A89"/>
    <w:rsid w:val="00046C96"/>
    <w:rsid w:val="00050AF6"/>
    <w:rsid w:val="0005221D"/>
    <w:rsid w:val="000529A4"/>
    <w:rsid w:val="00052F2A"/>
    <w:rsid w:val="0005418B"/>
    <w:rsid w:val="00055B6D"/>
    <w:rsid w:val="00056F29"/>
    <w:rsid w:val="000635A0"/>
    <w:rsid w:val="00063D18"/>
    <w:rsid w:val="00065336"/>
    <w:rsid w:val="00065377"/>
    <w:rsid w:val="00066CA0"/>
    <w:rsid w:val="00066FCB"/>
    <w:rsid w:val="00067814"/>
    <w:rsid w:val="00067DCC"/>
    <w:rsid w:val="00067EBC"/>
    <w:rsid w:val="000707AC"/>
    <w:rsid w:val="00071FAC"/>
    <w:rsid w:val="000720D5"/>
    <w:rsid w:val="00072569"/>
    <w:rsid w:val="00073CD1"/>
    <w:rsid w:val="00074F27"/>
    <w:rsid w:val="00075871"/>
    <w:rsid w:val="00075D7B"/>
    <w:rsid w:val="00076D8B"/>
    <w:rsid w:val="0007704C"/>
    <w:rsid w:val="000830E4"/>
    <w:rsid w:val="0008312F"/>
    <w:rsid w:val="000835EF"/>
    <w:rsid w:val="000868DA"/>
    <w:rsid w:val="00086CF8"/>
    <w:rsid w:val="00086FD4"/>
    <w:rsid w:val="0008787A"/>
    <w:rsid w:val="00090CDD"/>
    <w:rsid w:val="00090E24"/>
    <w:rsid w:val="000913D2"/>
    <w:rsid w:val="0009152C"/>
    <w:rsid w:val="000919C5"/>
    <w:rsid w:val="00091D73"/>
    <w:rsid w:val="00093C6B"/>
    <w:rsid w:val="0009600C"/>
    <w:rsid w:val="000969A9"/>
    <w:rsid w:val="000974DA"/>
    <w:rsid w:val="00097F4D"/>
    <w:rsid w:val="000A04AB"/>
    <w:rsid w:val="000A06EE"/>
    <w:rsid w:val="000A0776"/>
    <w:rsid w:val="000A1997"/>
    <w:rsid w:val="000A2CC3"/>
    <w:rsid w:val="000A2E3D"/>
    <w:rsid w:val="000A38DD"/>
    <w:rsid w:val="000A40BC"/>
    <w:rsid w:val="000A5A04"/>
    <w:rsid w:val="000A65EC"/>
    <w:rsid w:val="000A69DE"/>
    <w:rsid w:val="000A6B8D"/>
    <w:rsid w:val="000B0C5B"/>
    <w:rsid w:val="000B12BC"/>
    <w:rsid w:val="000B12F7"/>
    <w:rsid w:val="000B221C"/>
    <w:rsid w:val="000B288D"/>
    <w:rsid w:val="000B3D27"/>
    <w:rsid w:val="000B473D"/>
    <w:rsid w:val="000B54CC"/>
    <w:rsid w:val="000B6226"/>
    <w:rsid w:val="000B6E12"/>
    <w:rsid w:val="000B7375"/>
    <w:rsid w:val="000C04DB"/>
    <w:rsid w:val="000C0555"/>
    <w:rsid w:val="000C172E"/>
    <w:rsid w:val="000C4358"/>
    <w:rsid w:val="000C569E"/>
    <w:rsid w:val="000C5CA5"/>
    <w:rsid w:val="000C63C2"/>
    <w:rsid w:val="000D05AE"/>
    <w:rsid w:val="000D0619"/>
    <w:rsid w:val="000D0CB2"/>
    <w:rsid w:val="000D1366"/>
    <w:rsid w:val="000D306A"/>
    <w:rsid w:val="000D3B15"/>
    <w:rsid w:val="000D4763"/>
    <w:rsid w:val="000D55BF"/>
    <w:rsid w:val="000D7043"/>
    <w:rsid w:val="000E4434"/>
    <w:rsid w:val="000E4484"/>
    <w:rsid w:val="000E4F66"/>
    <w:rsid w:val="000E5238"/>
    <w:rsid w:val="000E5CA2"/>
    <w:rsid w:val="000E7DD6"/>
    <w:rsid w:val="000F0014"/>
    <w:rsid w:val="000F130B"/>
    <w:rsid w:val="000F3BED"/>
    <w:rsid w:val="000F478A"/>
    <w:rsid w:val="000F4FBA"/>
    <w:rsid w:val="000F5126"/>
    <w:rsid w:val="000F6C35"/>
    <w:rsid w:val="00100C75"/>
    <w:rsid w:val="00103ED5"/>
    <w:rsid w:val="00105343"/>
    <w:rsid w:val="001053FE"/>
    <w:rsid w:val="001069E8"/>
    <w:rsid w:val="001108D8"/>
    <w:rsid w:val="00110C17"/>
    <w:rsid w:val="00111655"/>
    <w:rsid w:val="0011319C"/>
    <w:rsid w:val="00113763"/>
    <w:rsid w:val="00114DC7"/>
    <w:rsid w:val="00115D6D"/>
    <w:rsid w:val="001175EF"/>
    <w:rsid w:val="00121011"/>
    <w:rsid w:val="00121BED"/>
    <w:rsid w:val="001230F9"/>
    <w:rsid w:val="00123CAC"/>
    <w:rsid w:val="001254D6"/>
    <w:rsid w:val="00125D0C"/>
    <w:rsid w:val="001264EB"/>
    <w:rsid w:val="00126717"/>
    <w:rsid w:val="001270C9"/>
    <w:rsid w:val="00130012"/>
    <w:rsid w:val="0013473A"/>
    <w:rsid w:val="00134E12"/>
    <w:rsid w:val="00135413"/>
    <w:rsid w:val="00136612"/>
    <w:rsid w:val="00136BDA"/>
    <w:rsid w:val="0013722C"/>
    <w:rsid w:val="00137B35"/>
    <w:rsid w:val="00137C33"/>
    <w:rsid w:val="00140983"/>
    <w:rsid w:val="00140BFC"/>
    <w:rsid w:val="001413ED"/>
    <w:rsid w:val="00141CA0"/>
    <w:rsid w:val="001427DC"/>
    <w:rsid w:val="001437A2"/>
    <w:rsid w:val="001452AC"/>
    <w:rsid w:val="0014604D"/>
    <w:rsid w:val="001470EE"/>
    <w:rsid w:val="00147F4C"/>
    <w:rsid w:val="001509D6"/>
    <w:rsid w:val="00152263"/>
    <w:rsid w:val="00152EE9"/>
    <w:rsid w:val="00153CD3"/>
    <w:rsid w:val="00154B90"/>
    <w:rsid w:val="00155FD1"/>
    <w:rsid w:val="001564D9"/>
    <w:rsid w:val="00157190"/>
    <w:rsid w:val="00160035"/>
    <w:rsid w:val="001601BB"/>
    <w:rsid w:val="001636A1"/>
    <w:rsid w:val="001646E9"/>
    <w:rsid w:val="00164B82"/>
    <w:rsid w:val="001663DD"/>
    <w:rsid w:val="00166AAF"/>
    <w:rsid w:val="00166ABC"/>
    <w:rsid w:val="00172F18"/>
    <w:rsid w:val="00173269"/>
    <w:rsid w:val="001734C1"/>
    <w:rsid w:val="00173D07"/>
    <w:rsid w:val="00173DE5"/>
    <w:rsid w:val="001745CB"/>
    <w:rsid w:val="00176D64"/>
    <w:rsid w:val="0017774A"/>
    <w:rsid w:val="00182BD3"/>
    <w:rsid w:val="001848DA"/>
    <w:rsid w:val="00185AE8"/>
    <w:rsid w:val="001866B4"/>
    <w:rsid w:val="00187CBD"/>
    <w:rsid w:val="0019021D"/>
    <w:rsid w:val="00190EFF"/>
    <w:rsid w:val="00192153"/>
    <w:rsid w:val="0019238A"/>
    <w:rsid w:val="00192A69"/>
    <w:rsid w:val="00192D83"/>
    <w:rsid w:val="00192EF3"/>
    <w:rsid w:val="00194CDA"/>
    <w:rsid w:val="00195D41"/>
    <w:rsid w:val="001969C7"/>
    <w:rsid w:val="001A03B6"/>
    <w:rsid w:val="001A03C8"/>
    <w:rsid w:val="001A0495"/>
    <w:rsid w:val="001A105D"/>
    <w:rsid w:val="001A2190"/>
    <w:rsid w:val="001A2E06"/>
    <w:rsid w:val="001A3258"/>
    <w:rsid w:val="001A3790"/>
    <w:rsid w:val="001A55D9"/>
    <w:rsid w:val="001B1073"/>
    <w:rsid w:val="001B15D4"/>
    <w:rsid w:val="001B1DFB"/>
    <w:rsid w:val="001B4725"/>
    <w:rsid w:val="001B5E51"/>
    <w:rsid w:val="001B6223"/>
    <w:rsid w:val="001B7279"/>
    <w:rsid w:val="001C07BB"/>
    <w:rsid w:val="001C1143"/>
    <w:rsid w:val="001C11DF"/>
    <w:rsid w:val="001C1B1C"/>
    <w:rsid w:val="001C2AD9"/>
    <w:rsid w:val="001C38A7"/>
    <w:rsid w:val="001C401A"/>
    <w:rsid w:val="001C4191"/>
    <w:rsid w:val="001C633D"/>
    <w:rsid w:val="001D052D"/>
    <w:rsid w:val="001D0A0E"/>
    <w:rsid w:val="001D16A5"/>
    <w:rsid w:val="001D1713"/>
    <w:rsid w:val="001D33A1"/>
    <w:rsid w:val="001D3B07"/>
    <w:rsid w:val="001D65B3"/>
    <w:rsid w:val="001D7499"/>
    <w:rsid w:val="001E298A"/>
    <w:rsid w:val="001E2D45"/>
    <w:rsid w:val="001E3A09"/>
    <w:rsid w:val="001E3B6F"/>
    <w:rsid w:val="001E454D"/>
    <w:rsid w:val="001E47EB"/>
    <w:rsid w:val="001E7F00"/>
    <w:rsid w:val="001F0176"/>
    <w:rsid w:val="001F0E3F"/>
    <w:rsid w:val="001F149A"/>
    <w:rsid w:val="001F1AA5"/>
    <w:rsid w:val="001F1D10"/>
    <w:rsid w:val="001F2229"/>
    <w:rsid w:val="001F2AF4"/>
    <w:rsid w:val="001F3843"/>
    <w:rsid w:val="001F4336"/>
    <w:rsid w:val="001F640C"/>
    <w:rsid w:val="001F69EF"/>
    <w:rsid w:val="001F7795"/>
    <w:rsid w:val="0020076B"/>
    <w:rsid w:val="002011AD"/>
    <w:rsid w:val="00202478"/>
    <w:rsid w:val="00205502"/>
    <w:rsid w:val="00206CE3"/>
    <w:rsid w:val="002104FA"/>
    <w:rsid w:val="00211B6B"/>
    <w:rsid w:val="00213919"/>
    <w:rsid w:val="00214088"/>
    <w:rsid w:val="00214155"/>
    <w:rsid w:val="00216FA4"/>
    <w:rsid w:val="00217589"/>
    <w:rsid w:val="00222204"/>
    <w:rsid w:val="00222338"/>
    <w:rsid w:val="00222B59"/>
    <w:rsid w:val="00222E6E"/>
    <w:rsid w:val="00224976"/>
    <w:rsid w:val="00231292"/>
    <w:rsid w:val="00233043"/>
    <w:rsid w:val="0023462C"/>
    <w:rsid w:val="00236393"/>
    <w:rsid w:val="00237F92"/>
    <w:rsid w:val="00241087"/>
    <w:rsid w:val="00241107"/>
    <w:rsid w:val="00243DBB"/>
    <w:rsid w:val="002453D3"/>
    <w:rsid w:val="002466AD"/>
    <w:rsid w:val="002466AE"/>
    <w:rsid w:val="0025091B"/>
    <w:rsid w:val="0025302B"/>
    <w:rsid w:val="0025362C"/>
    <w:rsid w:val="0025645C"/>
    <w:rsid w:val="00256718"/>
    <w:rsid w:val="00256DC7"/>
    <w:rsid w:val="0026240A"/>
    <w:rsid w:val="00262844"/>
    <w:rsid w:val="00265E5C"/>
    <w:rsid w:val="00267A77"/>
    <w:rsid w:val="00271095"/>
    <w:rsid w:val="0027227E"/>
    <w:rsid w:val="0027257C"/>
    <w:rsid w:val="00272C86"/>
    <w:rsid w:val="00273000"/>
    <w:rsid w:val="00273BE8"/>
    <w:rsid w:val="0027469B"/>
    <w:rsid w:val="00275361"/>
    <w:rsid w:val="002755E2"/>
    <w:rsid w:val="0027644B"/>
    <w:rsid w:val="00281AA1"/>
    <w:rsid w:val="0028328F"/>
    <w:rsid w:val="002838AB"/>
    <w:rsid w:val="002843B8"/>
    <w:rsid w:val="0028445A"/>
    <w:rsid w:val="00284528"/>
    <w:rsid w:val="002853B4"/>
    <w:rsid w:val="00285D1E"/>
    <w:rsid w:val="002865FF"/>
    <w:rsid w:val="00287404"/>
    <w:rsid w:val="00287A09"/>
    <w:rsid w:val="002903ED"/>
    <w:rsid w:val="0029095C"/>
    <w:rsid w:val="00292FB5"/>
    <w:rsid w:val="0029392F"/>
    <w:rsid w:val="00295084"/>
    <w:rsid w:val="0029590F"/>
    <w:rsid w:val="00297962"/>
    <w:rsid w:val="00297BA9"/>
    <w:rsid w:val="002A29BF"/>
    <w:rsid w:val="002A2DFA"/>
    <w:rsid w:val="002A30E5"/>
    <w:rsid w:val="002A3BD5"/>
    <w:rsid w:val="002A41A1"/>
    <w:rsid w:val="002A4B4F"/>
    <w:rsid w:val="002A6536"/>
    <w:rsid w:val="002B0327"/>
    <w:rsid w:val="002B1676"/>
    <w:rsid w:val="002B2722"/>
    <w:rsid w:val="002B29D2"/>
    <w:rsid w:val="002B2E54"/>
    <w:rsid w:val="002B3C6B"/>
    <w:rsid w:val="002B4D73"/>
    <w:rsid w:val="002B4EC5"/>
    <w:rsid w:val="002B5800"/>
    <w:rsid w:val="002B6F73"/>
    <w:rsid w:val="002B768B"/>
    <w:rsid w:val="002C0537"/>
    <w:rsid w:val="002C05FC"/>
    <w:rsid w:val="002C0A6E"/>
    <w:rsid w:val="002C0F02"/>
    <w:rsid w:val="002C145A"/>
    <w:rsid w:val="002C16F6"/>
    <w:rsid w:val="002C1A0A"/>
    <w:rsid w:val="002C21E2"/>
    <w:rsid w:val="002C2424"/>
    <w:rsid w:val="002C3086"/>
    <w:rsid w:val="002C320B"/>
    <w:rsid w:val="002C4B73"/>
    <w:rsid w:val="002C61D5"/>
    <w:rsid w:val="002C7F73"/>
    <w:rsid w:val="002D1C8B"/>
    <w:rsid w:val="002D2B58"/>
    <w:rsid w:val="002D3904"/>
    <w:rsid w:val="002D3D8A"/>
    <w:rsid w:val="002D3E86"/>
    <w:rsid w:val="002D42AA"/>
    <w:rsid w:val="002D4F10"/>
    <w:rsid w:val="002D695B"/>
    <w:rsid w:val="002D6B18"/>
    <w:rsid w:val="002D70DC"/>
    <w:rsid w:val="002D711E"/>
    <w:rsid w:val="002D7E79"/>
    <w:rsid w:val="002E320A"/>
    <w:rsid w:val="002E3AE2"/>
    <w:rsid w:val="002E3B10"/>
    <w:rsid w:val="002E512D"/>
    <w:rsid w:val="002E5427"/>
    <w:rsid w:val="002E6872"/>
    <w:rsid w:val="002F0A00"/>
    <w:rsid w:val="002F0FAB"/>
    <w:rsid w:val="002F1D80"/>
    <w:rsid w:val="002F2BDA"/>
    <w:rsid w:val="002F3370"/>
    <w:rsid w:val="002F4AB0"/>
    <w:rsid w:val="002F4D3F"/>
    <w:rsid w:val="002F53FA"/>
    <w:rsid w:val="002F5970"/>
    <w:rsid w:val="002F6CA3"/>
    <w:rsid w:val="002F6FDD"/>
    <w:rsid w:val="0030090C"/>
    <w:rsid w:val="003014D0"/>
    <w:rsid w:val="00301519"/>
    <w:rsid w:val="00301B34"/>
    <w:rsid w:val="00301F9F"/>
    <w:rsid w:val="003032F4"/>
    <w:rsid w:val="003047F5"/>
    <w:rsid w:val="00305E13"/>
    <w:rsid w:val="00306AFC"/>
    <w:rsid w:val="00307463"/>
    <w:rsid w:val="00307605"/>
    <w:rsid w:val="003111B5"/>
    <w:rsid w:val="003122B5"/>
    <w:rsid w:val="00312AC0"/>
    <w:rsid w:val="0031420F"/>
    <w:rsid w:val="0031473E"/>
    <w:rsid w:val="003155DB"/>
    <w:rsid w:val="00317027"/>
    <w:rsid w:val="003176D9"/>
    <w:rsid w:val="00321B40"/>
    <w:rsid w:val="003226BB"/>
    <w:rsid w:val="003231FA"/>
    <w:rsid w:val="00323753"/>
    <w:rsid w:val="00326C01"/>
    <w:rsid w:val="00327FC7"/>
    <w:rsid w:val="003305F1"/>
    <w:rsid w:val="003311B9"/>
    <w:rsid w:val="00332302"/>
    <w:rsid w:val="00332BDC"/>
    <w:rsid w:val="00332D79"/>
    <w:rsid w:val="00332EA7"/>
    <w:rsid w:val="00334B7E"/>
    <w:rsid w:val="00337C6B"/>
    <w:rsid w:val="00340210"/>
    <w:rsid w:val="00340293"/>
    <w:rsid w:val="0034245F"/>
    <w:rsid w:val="003439A6"/>
    <w:rsid w:val="00343F17"/>
    <w:rsid w:val="00350B7B"/>
    <w:rsid w:val="00351233"/>
    <w:rsid w:val="003525C9"/>
    <w:rsid w:val="0035293F"/>
    <w:rsid w:val="0035346E"/>
    <w:rsid w:val="00354461"/>
    <w:rsid w:val="00354F34"/>
    <w:rsid w:val="003554AC"/>
    <w:rsid w:val="00355DE6"/>
    <w:rsid w:val="00357437"/>
    <w:rsid w:val="003602B8"/>
    <w:rsid w:val="003604E2"/>
    <w:rsid w:val="00361875"/>
    <w:rsid w:val="003627E5"/>
    <w:rsid w:val="0036303B"/>
    <w:rsid w:val="00363B18"/>
    <w:rsid w:val="00363EE0"/>
    <w:rsid w:val="00364EF0"/>
    <w:rsid w:val="0036646A"/>
    <w:rsid w:val="00366660"/>
    <w:rsid w:val="00371359"/>
    <w:rsid w:val="00371795"/>
    <w:rsid w:val="003719AB"/>
    <w:rsid w:val="00371FC3"/>
    <w:rsid w:val="00372407"/>
    <w:rsid w:val="003760EC"/>
    <w:rsid w:val="003770D7"/>
    <w:rsid w:val="00377EC4"/>
    <w:rsid w:val="00377F09"/>
    <w:rsid w:val="00384848"/>
    <w:rsid w:val="00385111"/>
    <w:rsid w:val="00392169"/>
    <w:rsid w:val="00392758"/>
    <w:rsid w:val="00392ECF"/>
    <w:rsid w:val="003934FF"/>
    <w:rsid w:val="00394C9E"/>
    <w:rsid w:val="00394F49"/>
    <w:rsid w:val="00395965"/>
    <w:rsid w:val="0039654D"/>
    <w:rsid w:val="00396B20"/>
    <w:rsid w:val="00396DD5"/>
    <w:rsid w:val="00396F0B"/>
    <w:rsid w:val="003971E8"/>
    <w:rsid w:val="003A098F"/>
    <w:rsid w:val="003A14AC"/>
    <w:rsid w:val="003A1DDD"/>
    <w:rsid w:val="003A2297"/>
    <w:rsid w:val="003A2B58"/>
    <w:rsid w:val="003A315B"/>
    <w:rsid w:val="003A4775"/>
    <w:rsid w:val="003A50D7"/>
    <w:rsid w:val="003A55A8"/>
    <w:rsid w:val="003A7518"/>
    <w:rsid w:val="003A759D"/>
    <w:rsid w:val="003A7D86"/>
    <w:rsid w:val="003B06B7"/>
    <w:rsid w:val="003B0BFA"/>
    <w:rsid w:val="003B0EFE"/>
    <w:rsid w:val="003B27F0"/>
    <w:rsid w:val="003B34BF"/>
    <w:rsid w:val="003B3C99"/>
    <w:rsid w:val="003B4898"/>
    <w:rsid w:val="003B53C3"/>
    <w:rsid w:val="003B548E"/>
    <w:rsid w:val="003B56E0"/>
    <w:rsid w:val="003B5D12"/>
    <w:rsid w:val="003B6CBF"/>
    <w:rsid w:val="003B7BC9"/>
    <w:rsid w:val="003B7D55"/>
    <w:rsid w:val="003C6288"/>
    <w:rsid w:val="003C690D"/>
    <w:rsid w:val="003D1D45"/>
    <w:rsid w:val="003D4016"/>
    <w:rsid w:val="003D42EF"/>
    <w:rsid w:val="003D549A"/>
    <w:rsid w:val="003D66FF"/>
    <w:rsid w:val="003D7546"/>
    <w:rsid w:val="003E0913"/>
    <w:rsid w:val="003E0E16"/>
    <w:rsid w:val="003E1844"/>
    <w:rsid w:val="003E1FE4"/>
    <w:rsid w:val="003E359A"/>
    <w:rsid w:val="003E468E"/>
    <w:rsid w:val="003E49F2"/>
    <w:rsid w:val="003E4F9A"/>
    <w:rsid w:val="003E5B77"/>
    <w:rsid w:val="003E6346"/>
    <w:rsid w:val="003E748B"/>
    <w:rsid w:val="003E7714"/>
    <w:rsid w:val="003F0879"/>
    <w:rsid w:val="003F3A9D"/>
    <w:rsid w:val="003F51D3"/>
    <w:rsid w:val="003F7CD2"/>
    <w:rsid w:val="003F7EEB"/>
    <w:rsid w:val="00402045"/>
    <w:rsid w:val="00402214"/>
    <w:rsid w:val="0040228A"/>
    <w:rsid w:val="004026EC"/>
    <w:rsid w:val="004039FF"/>
    <w:rsid w:val="00404BD5"/>
    <w:rsid w:val="004061FD"/>
    <w:rsid w:val="004069A0"/>
    <w:rsid w:val="00406A38"/>
    <w:rsid w:val="004116BD"/>
    <w:rsid w:val="00411DD6"/>
    <w:rsid w:val="00411E37"/>
    <w:rsid w:val="00412A51"/>
    <w:rsid w:val="00413209"/>
    <w:rsid w:val="00414579"/>
    <w:rsid w:val="00414897"/>
    <w:rsid w:val="004161C8"/>
    <w:rsid w:val="004202CC"/>
    <w:rsid w:val="0042074F"/>
    <w:rsid w:val="00421FA2"/>
    <w:rsid w:val="0042230F"/>
    <w:rsid w:val="00422953"/>
    <w:rsid w:val="00423552"/>
    <w:rsid w:val="00423DAE"/>
    <w:rsid w:val="00425BC5"/>
    <w:rsid w:val="004268CB"/>
    <w:rsid w:val="004302B3"/>
    <w:rsid w:val="00430E0D"/>
    <w:rsid w:val="0043182C"/>
    <w:rsid w:val="00431C77"/>
    <w:rsid w:val="00433858"/>
    <w:rsid w:val="004338F5"/>
    <w:rsid w:val="00433C43"/>
    <w:rsid w:val="004405F3"/>
    <w:rsid w:val="00440637"/>
    <w:rsid w:val="00441588"/>
    <w:rsid w:val="00441D49"/>
    <w:rsid w:val="0044259C"/>
    <w:rsid w:val="00442BB8"/>
    <w:rsid w:val="00442E50"/>
    <w:rsid w:val="004435B5"/>
    <w:rsid w:val="00444525"/>
    <w:rsid w:val="004445C6"/>
    <w:rsid w:val="00444A4A"/>
    <w:rsid w:val="00446DC3"/>
    <w:rsid w:val="00447D16"/>
    <w:rsid w:val="00451055"/>
    <w:rsid w:val="00451EE2"/>
    <w:rsid w:val="00454744"/>
    <w:rsid w:val="00454EB6"/>
    <w:rsid w:val="00455604"/>
    <w:rsid w:val="00460C15"/>
    <w:rsid w:val="00461638"/>
    <w:rsid w:val="00462D9E"/>
    <w:rsid w:val="00463CE2"/>
    <w:rsid w:val="00465A14"/>
    <w:rsid w:val="004669ED"/>
    <w:rsid w:val="004700DF"/>
    <w:rsid w:val="00470CB2"/>
    <w:rsid w:val="00471A2F"/>
    <w:rsid w:val="0047279E"/>
    <w:rsid w:val="004740DB"/>
    <w:rsid w:val="00474CB6"/>
    <w:rsid w:val="00475E28"/>
    <w:rsid w:val="004760D4"/>
    <w:rsid w:val="004768CD"/>
    <w:rsid w:val="00480C1F"/>
    <w:rsid w:val="0048117C"/>
    <w:rsid w:val="00482EBA"/>
    <w:rsid w:val="00483B87"/>
    <w:rsid w:val="00483B9F"/>
    <w:rsid w:val="004844C6"/>
    <w:rsid w:val="00486839"/>
    <w:rsid w:val="00486F52"/>
    <w:rsid w:val="004874F1"/>
    <w:rsid w:val="00491039"/>
    <w:rsid w:val="00491C57"/>
    <w:rsid w:val="00491DEC"/>
    <w:rsid w:val="004920C0"/>
    <w:rsid w:val="00492524"/>
    <w:rsid w:val="00492B33"/>
    <w:rsid w:val="00493045"/>
    <w:rsid w:val="00494A1C"/>
    <w:rsid w:val="004953C2"/>
    <w:rsid w:val="0049662C"/>
    <w:rsid w:val="004970DD"/>
    <w:rsid w:val="0049747A"/>
    <w:rsid w:val="00497905"/>
    <w:rsid w:val="00497E84"/>
    <w:rsid w:val="004A01B1"/>
    <w:rsid w:val="004A1153"/>
    <w:rsid w:val="004A2B3E"/>
    <w:rsid w:val="004A3155"/>
    <w:rsid w:val="004A33E7"/>
    <w:rsid w:val="004A37F2"/>
    <w:rsid w:val="004A401A"/>
    <w:rsid w:val="004A4770"/>
    <w:rsid w:val="004A4E00"/>
    <w:rsid w:val="004A771C"/>
    <w:rsid w:val="004B0B15"/>
    <w:rsid w:val="004B366C"/>
    <w:rsid w:val="004B4CAD"/>
    <w:rsid w:val="004B5A9D"/>
    <w:rsid w:val="004C282A"/>
    <w:rsid w:val="004C3AE2"/>
    <w:rsid w:val="004C48C1"/>
    <w:rsid w:val="004C6182"/>
    <w:rsid w:val="004C639D"/>
    <w:rsid w:val="004C6D05"/>
    <w:rsid w:val="004D003D"/>
    <w:rsid w:val="004D0581"/>
    <w:rsid w:val="004D457E"/>
    <w:rsid w:val="004D4ED1"/>
    <w:rsid w:val="004D522E"/>
    <w:rsid w:val="004D6912"/>
    <w:rsid w:val="004D6A6B"/>
    <w:rsid w:val="004E01EC"/>
    <w:rsid w:val="004E16B9"/>
    <w:rsid w:val="004E1B6A"/>
    <w:rsid w:val="004E3C99"/>
    <w:rsid w:val="004E4C2A"/>
    <w:rsid w:val="004E62CE"/>
    <w:rsid w:val="004E79B5"/>
    <w:rsid w:val="004E7F32"/>
    <w:rsid w:val="004F29F8"/>
    <w:rsid w:val="004F2A23"/>
    <w:rsid w:val="004F419C"/>
    <w:rsid w:val="004F495D"/>
    <w:rsid w:val="004F4C8C"/>
    <w:rsid w:val="004F602B"/>
    <w:rsid w:val="004F65E9"/>
    <w:rsid w:val="004F6667"/>
    <w:rsid w:val="004F6A7F"/>
    <w:rsid w:val="005008E9"/>
    <w:rsid w:val="00503F06"/>
    <w:rsid w:val="005040D9"/>
    <w:rsid w:val="005059CC"/>
    <w:rsid w:val="00506A83"/>
    <w:rsid w:val="00510259"/>
    <w:rsid w:val="00511132"/>
    <w:rsid w:val="00511948"/>
    <w:rsid w:val="005130AB"/>
    <w:rsid w:val="00515FBD"/>
    <w:rsid w:val="00516C30"/>
    <w:rsid w:val="00522C6B"/>
    <w:rsid w:val="005240F4"/>
    <w:rsid w:val="005253A7"/>
    <w:rsid w:val="005317B2"/>
    <w:rsid w:val="0053393F"/>
    <w:rsid w:val="00533C4D"/>
    <w:rsid w:val="005343ED"/>
    <w:rsid w:val="005352A6"/>
    <w:rsid w:val="005353E0"/>
    <w:rsid w:val="00537A00"/>
    <w:rsid w:val="00537D24"/>
    <w:rsid w:val="00542C6C"/>
    <w:rsid w:val="005452B7"/>
    <w:rsid w:val="005461E0"/>
    <w:rsid w:val="0054675C"/>
    <w:rsid w:val="00551107"/>
    <w:rsid w:val="00551F91"/>
    <w:rsid w:val="00553345"/>
    <w:rsid w:val="005539AB"/>
    <w:rsid w:val="00553A28"/>
    <w:rsid w:val="0055630F"/>
    <w:rsid w:val="00556424"/>
    <w:rsid w:val="00557349"/>
    <w:rsid w:val="00560810"/>
    <w:rsid w:val="00561A54"/>
    <w:rsid w:val="0056230B"/>
    <w:rsid w:val="00562F99"/>
    <w:rsid w:val="00564007"/>
    <w:rsid w:val="00567599"/>
    <w:rsid w:val="005705AF"/>
    <w:rsid w:val="00570723"/>
    <w:rsid w:val="005723C1"/>
    <w:rsid w:val="00572870"/>
    <w:rsid w:val="00572B46"/>
    <w:rsid w:val="005752F5"/>
    <w:rsid w:val="005762EF"/>
    <w:rsid w:val="00577595"/>
    <w:rsid w:val="0058148E"/>
    <w:rsid w:val="00581A0A"/>
    <w:rsid w:val="00582706"/>
    <w:rsid w:val="00582C1D"/>
    <w:rsid w:val="00582C8E"/>
    <w:rsid w:val="00582FB6"/>
    <w:rsid w:val="00583A3D"/>
    <w:rsid w:val="005843ED"/>
    <w:rsid w:val="00586790"/>
    <w:rsid w:val="005901E2"/>
    <w:rsid w:val="00590C8B"/>
    <w:rsid w:val="005926A5"/>
    <w:rsid w:val="005934BF"/>
    <w:rsid w:val="00593CC0"/>
    <w:rsid w:val="00594334"/>
    <w:rsid w:val="005957C0"/>
    <w:rsid w:val="00596558"/>
    <w:rsid w:val="005974CD"/>
    <w:rsid w:val="005A1AD5"/>
    <w:rsid w:val="005A4E3A"/>
    <w:rsid w:val="005A5FE0"/>
    <w:rsid w:val="005A6559"/>
    <w:rsid w:val="005A655E"/>
    <w:rsid w:val="005A774B"/>
    <w:rsid w:val="005B1DCA"/>
    <w:rsid w:val="005B2F28"/>
    <w:rsid w:val="005B41E7"/>
    <w:rsid w:val="005B47B6"/>
    <w:rsid w:val="005B5000"/>
    <w:rsid w:val="005B5230"/>
    <w:rsid w:val="005B551A"/>
    <w:rsid w:val="005B7510"/>
    <w:rsid w:val="005B7787"/>
    <w:rsid w:val="005C0412"/>
    <w:rsid w:val="005C4282"/>
    <w:rsid w:val="005C49B8"/>
    <w:rsid w:val="005C4A5B"/>
    <w:rsid w:val="005C522F"/>
    <w:rsid w:val="005C5CCE"/>
    <w:rsid w:val="005C7466"/>
    <w:rsid w:val="005D0268"/>
    <w:rsid w:val="005D06AC"/>
    <w:rsid w:val="005D2868"/>
    <w:rsid w:val="005D5816"/>
    <w:rsid w:val="005D5AB9"/>
    <w:rsid w:val="005D6865"/>
    <w:rsid w:val="005D6C09"/>
    <w:rsid w:val="005D7279"/>
    <w:rsid w:val="005D7851"/>
    <w:rsid w:val="005E04D7"/>
    <w:rsid w:val="005E1612"/>
    <w:rsid w:val="005E217D"/>
    <w:rsid w:val="005E2285"/>
    <w:rsid w:val="005E3A91"/>
    <w:rsid w:val="005E5A58"/>
    <w:rsid w:val="005E5D30"/>
    <w:rsid w:val="005E6523"/>
    <w:rsid w:val="005E6847"/>
    <w:rsid w:val="005E7172"/>
    <w:rsid w:val="005E7535"/>
    <w:rsid w:val="005E77EA"/>
    <w:rsid w:val="005E7C6F"/>
    <w:rsid w:val="005F073C"/>
    <w:rsid w:val="005F1173"/>
    <w:rsid w:val="005F39C9"/>
    <w:rsid w:val="005F4EEA"/>
    <w:rsid w:val="005F7749"/>
    <w:rsid w:val="005F789D"/>
    <w:rsid w:val="005F7C57"/>
    <w:rsid w:val="006001AE"/>
    <w:rsid w:val="0060055D"/>
    <w:rsid w:val="006019B1"/>
    <w:rsid w:val="006020D0"/>
    <w:rsid w:val="006030E8"/>
    <w:rsid w:val="006037B0"/>
    <w:rsid w:val="0060411E"/>
    <w:rsid w:val="00604325"/>
    <w:rsid w:val="00604A78"/>
    <w:rsid w:val="00605239"/>
    <w:rsid w:val="006056CC"/>
    <w:rsid w:val="0060685F"/>
    <w:rsid w:val="00607B86"/>
    <w:rsid w:val="00610CB8"/>
    <w:rsid w:val="00610FE7"/>
    <w:rsid w:val="006121ED"/>
    <w:rsid w:val="00612744"/>
    <w:rsid w:val="00614581"/>
    <w:rsid w:val="006153CB"/>
    <w:rsid w:val="006155EE"/>
    <w:rsid w:val="0061596A"/>
    <w:rsid w:val="0061682C"/>
    <w:rsid w:val="00617E9F"/>
    <w:rsid w:val="006228F9"/>
    <w:rsid w:val="006232E1"/>
    <w:rsid w:val="006236C9"/>
    <w:rsid w:val="00623EEF"/>
    <w:rsid w:val="0062418D"/>
    <w:rsid w:val="00627234"/>
    <w:rsid w:val="00627CC9"/>
    <w:rsid w:val="006309BB"/>
    <w:rsid w:val="00630A99"/>
    <w:rsid w:val="00630B70"/>
    <w:rsid w:val="0063196D"/>
    <w:rsid w:val="00631EEB"/>
    <w:rsid w:val="006331A7"/>
    <w:rsid w:val="00635B30"/>
    <w:rsid w:val="00635F9F"/>
    <w:rsid w:val="006369AB"/>
    <w:rsid w:val="00636A32"/>
    <w:rsid w:val="00636F41"/>
    <w:rsid w:val="00637CC4"/>
    <w:rsid w:val="00640920"/>
    <w:rsid w:val="00641F1F"/>
    <w:rsid w:val="006425E5"/>
    <w:rsid w:val="0064316E"/>
    <w:rsid w:val="006443C9"/>
    <w:rsid w:val="00644C7F"/>
    <w:rsid w:val="006453CE"/>
    <w:rsid w:val="006453E3"/>
    <w:rsid w:val="00645949"/>
    <w:rsid w:val="00645B64"/>
    <w:rsid w:val="00645B6E"/>
    <w:rsid w:val="006473AC"/>
    <w:rsid w:val="00647ECE"/>
    <w:rsid w:val="00650A49"/>
    <w:rsid w:val="00652253"/>
    <w:rsid w:val="006523A0"/>
    <w:rsid w:val="0065294D"/>
    <w:rsid w:val="00653879"/>
    <w:rsid w:val="00655124"/>
    <w:rsid w:val="00655EBB"/>
    <w:rsid w:val="00656144"/>
    <w:rsid w:val="00656DCD"/>
    <w:rsid w:val="00657567"/>
    <w:rsid w:val="00657751"/>
    <w:rsid w:val="00657E5A"/>
    <w:rsid w:val="00661661"/>
    <w:rsid w:val="00661B65"/>
    <w:rsid w:val="006628B8"/>
    <w:rsid w:val="006646D3"/>
    <w:rsid w:val="00664A88"/>
    <w:rsid w:val="00665453"/>
    <w:rsid w:val="00666F5D"/>
    <w:rsid w:val="00667630"/>
    <w:rsid w:val="00667A45"/>
    <w:rsid w:val="00670032"/>
    <w:rsid w:val="00671112"/>
    <w:rsid w:val="006713DB"/>
    <w:rsid w:val="00671780"/>
    <w:rsid w:val="00671A2B"/>
    <w:rsid w:val="00671BC3"/>
    <w:rsid w:val="006731E4"/>
    <w:rsid w:val="0067679D"/>
    <w:rsid w:val="00677DCB"/>
    <w:rsid w:val="00680115"/>
    <w:rsid w:val="0068013A"/>
    <w:rsid w:val="00682B67"/>
    <w:rsid w:val="00682F6B"/>
    <w:rsid w:val="00685D3B"/>
    <w:rsid w:val="00685FA5"/>
    <w:rsid w:val="00687035"/>
    <w:rsid w:val="006908D0"/>
    <w:rsid w:val="00690B5D"/>
    <w:rsid w:val="00692049"/>
    <w:rsid w:val="00695BFE"/>
    <w:rsid w:val="006A1367"/>
    <w:rsid w:val="006A1479"/>
    <w:rsid w:val="006A2886"/>
    <w:rsid w:val="006A3C15"/>
    <w:rsid w:val="006A55D3"/>
    <w:rsid w:val="006A72AC"/>
    <w:rsid w:val="006A7A79"/>
    <w:rsid w:val="006B00D4"/>
    <w:rsid w:val="006B019E"/>
    <w:rsid w:val="006B0D22"/>
    <w:rsid w:val="006B10B4"/>
    <w:rsid w:val="006B133D"/>
    <w:rsid w:val="006B3983"/>
    <w:rsid w:val="006B4249"/>
    <w:rsid w:val="006B42C9"/>
    <w:rsid w:val="006B48A3"/>
    <w:rsid w:val="006B621C"/>
    <w:rsid w:val="006B7412"/>
    <w:rsid w:val="006C24A4"/>
    <w:rsid w:val="006C7AC2"/>
    <w:rsid w:val="006C7F6B"/>
    <w:rsid w:val="006D1639"/>
    <w:rsid w:val="006D1F53"/>
    <w:rsid w:val="006D2AB5"/>
    <w:rsid w:val="006D5FA3"/>
    <w:rsid w:val="006D5FEF"/>
    <w:rsid w:val="006D7EFC"/>
    <w:rsid w:val="006E06D1"/>
    <w:rsid w:val="006E2E0C"/>
    <w:rsid w:val="006E31C6"/>
    <w:rsid w:val="006E33A5"/>
    <w:rsid w:val="006E344D"/>
    <w:rsid w:val="006E3C6D"/>
    <w:rsid w:val="006E4013"/>
    <w:rsid w:val="006E465E"/>
    <w:rsid w:val="006E7125"/>
    <w:rsid w:val="006F1467"/>
    <w:rsid w:val="006F369A"/>
    <w:rsid w:val="006F37B7"/>
    <w:rsid w:val="006F4642"/>
    <w:rsid w:val="006F502F"/>
    <w:rsid w:val="006F576D"/>
    <w:rsid w:val="006F5D3B"/>
    <w:rsid w:val="006F69CA"/>
    <w:rsid w:val="007016A1"/>
    <w:rsid w:val="0070429E"/>
    <w:rsid w:val="00704324"/>
    <w:rsid w:val="00705102"/>
    <w:rsid w:val="00705B73"/>
    <w:rsid w:val="007062F0"/>
    <w:rsid w:val="007105EA"/>
    <w:rsid w:val="00717855"/>
    <w:rsid w:val="00720AAC"/>
    <w:rsid w:val="00721A0B"/>
    <w:rsid w:val="007224DA"/>
    <w:rsid w:val="0072275A"/>
    <w:rsid w:val="00723074"/>
    <w:rsid w:val="00723468"/>
    <w:rsid w:val="007264F9"/>
    <w:rsid w:val="007306A2"/>
    <w:rsid w:val="00730808"/>
    <w:rsid w:val="00730B9C"/>
    <w:rsid w:val="00730C66"/>
    <w:rsid w:val="00730EC1"/>
    <w:rsid w:val="00731548"/>
    <w:rsid w:val="00731712"/>
    <w:rsid w:val="007317FA"/>
    <w:rsid w:val="007333EF"/>
    <w:rsid w:val="00733762"/>
    <w:rsid w:val="0073461F"/>
    <w:rsid w:val="00735CF8"/>
    <w:rsid w:val="00735F4B"/>
    <w:rsid w:val="007363C3"/>
    <w:rsid w:val="00736FA6"/>
    <w:rsid w:val="00740CC0"/>
    <w:rsid w:val="007410BA"/>
    <w:rsid w:val="007413B9"/>
    <w:rsid w:val="00744130"/>
    <w:rsid w:val="00744BB5"/>
    <w:rsid w:val="00744ED8"/>
    <w:rsid w:val="00746600"/>
    <w:rsid w:val="0074731B"/>
    <w:rsid w:val="00747B83"/>
    <w:rsid w:val="007500D4"/>
    <w:rsid w:val="00750886"/>
    <w:rsid w:val="007513E1"/>
    <w:rsid w:val="0075186F"/>
    <w:rsid w:val="007528EF"/>
    <w:rsid w:val="00757110"/>
    <w:rsid w:val="00757341"/>
    <w:rsid w:val="00757AF5"/>
    <w:rsid w:val="00760692"/>
    <w:rsid w:val="00761D90"/>
    <w:rsid w:val="00762E1C"/>
    <w:rsid w:val="007630F4"/>
    <w:rsid w:val="0076354D"/>
    <w:rsid w:val="0076579E"/>
    <w:rsid w:val="0076711B"/>
    <w:rsid w:val="00770491"/>
    <w:rsid w:val="00772536"/>
    <w:rsid w:val="00772C19"/>
    <w:rsid w:val="00774A44"/>
    <w:rsid w:val="00775B3E"/>
    <w:rsid w:val="00776AAF"/>
    <w:rsid w:val="00776DD3"/>
    <w:rsid w:val="00780A72"/>
    <w:rsid w:val="00780C7B"/>
    <w:rsid w:val="0078201F"/>
    <w:rsid w:val="00783F89"/>
    <w:rsid w:val="00784B80"/>
    <w:rsid w:val="007862AF"/>
    <w:rsid w:val="0078658E"/>
    <w:rsid w:val="007922C0"/>
    <w:rsid w:val="007922E7"/>
    <w:rsid w:val="00792FFE"/>
    <w:rsid w:val="007945F0"/>
    <w:rsid w:val="00795521"/>
    <w:rsid w:val="00795F04"/>
    <w:rsid w:val="00796417"/>
    <w:rsid w:val="007964D8"/>
    <w:rsid w:val="00797C19"/>
    <w:rsid w:val="00797DC0"/>
    <w:rsid w:val="007A00F2"/>
    <w:rsid w:val="007A354C"/>
    <w:rsid w:val="007A362B"/>
    <w:rsid w:val="007A37DD"/>
    <w:rsid w:val="007A4898"/>
    <w:rsid w:val="007A52C7"/>
    <w:rsid w:val="007A5ADC"/>
    <w:rsid w:val="007A5D36"/>
    <w:rsid w:val="007A6312"/>
    <w:rsid w:val="007A6D18"/>
    <w:rsid w:val="007A7954"/>
    <w:rsid w:val="007B0BE9"/>
    <w:rsid w:val="007B0EF9"/>
    <w:rsid w:val="007B15E2"/>
    <w:rsid w:val="007B17AC"/>
    <w:rsid w:val="007B245D"/>
    <w:rsid w:val="007B2D7B"/>
    <w:rsid w:val="007B56CE"/>
    <w:rsid w:val="007B6B18"/>
    <w:rsid w:val="007B6F79"/>
    <w:rsid w:val="007C0792"/>
    <w:rsid w:val="007C0D1D"/>
    <w:rsid w:val="007C102A"/>
    <w:rsid w:val="007C1D9B"/>
    <w:rsid w:val="007C1E9A"/>
    <w:rsid w:val="007C2941"/>
    <w:rsid w:val="007C2CF7"/>
    <w:rsid w:val="007C2DDD"/>
    <w:rsid w:val="007C2FE3"/>
    <w:rsid w:val="007C66B5"/>
    <w:rsid w:val="007D0763"/>
    <w:rsid w:val="007D375D"/>
    <w:rsid w:val="007D387D"/>
    <w:rsid w:val="007D4AE6"/>
    <w:rsid w:val="007D5147"/>
    <w:rsid w:val="007D7C2B"/>
    <w:rsid w:val="007E222D"/>
    <w:rsid w:val="007E35B8"/>
    <w:rsid w:val="007E3BA8"/>
    <w:rsid w:val="007E473E"/>
    <w:rsid w:val="007E6143"/>
    <w:rsid w:val="007E7828"/>
    <w:rsid w:val="007E7BF6"/>
    <w:rsid w:val="007F123C"/>
    <w:rsid w:val="007F3168"/>
    <w:rsid w:val="007F41A6"/>
    <w:rsid w:val="007F61F8"/>
    <w:rsid w:val="007F6C28"/>
    <w:rsid w:val="007F743F"/>
    <w:rsid w:val="007F7597"/>
    <w:rsid w:val="0080072E"/>
    <w:rsid w:val="008007E9"/>
    <w:rsid w:val="00800ACE"/>
    <w:rsid w:val="00800C5B"/>
    <w:rsid w:val="008017FB"/>
    <w:rsid w:val="00804A49"/>
    <w:rsid w:val="00804BA6"/>
    <w:rsid w:val="0080560A"/>
    <w:rsid w:val="00805BB4"/>
    <w:rsid w:val="00805C1A"/>
    <w:rsid w:val="00806172"/>
    <w:rsid w:val="008076B5"/>
    <w:rsid w:val="00807CA1"/>
    <w:rsid w:val="00807CD1"/>
    <w:rsid w:val="00807ED1"/>
    <w:rsid w:val="00810C6A"/>
    <w:rsid w:val="008116B8"/>
    <w:rsid w:val="0081184D"/>
    <w:rsid w:val="00811A23"/>
    <w:rsid w:val="00812D3F"/>
    <w:rsid w:val="00813019"/>
    <w:rsid w:val="0081334E"/>
    <w:rsid w:val="008147DF"/>
    <w:rsid w:val="00814E2B"/>
    <w:rsid w:val="00815085"/>
    <w:rsid w:val="008208D0"/>
    <w:rsid w:val="0082139D"/>
    <w:rsid w:val="00822364"/>
    <w:rsid w:val="008225F2"/>
    <w:rsid w:val="00822E07"/>
    <w:rsid w:val="008236E3"/>
    <w:rsid w:val="00824615"/>
    <w:rsid w:val="00826C9C"/>
    <w:rsid w:val="008279CB"/>
    <w:rsid w:val="00830014"/>
    <w:rsid w:val="0083092E"/>
    <w:rsid w:val="008313DD"/>
    <w:rsid w:val="008319B0"/>
    <w:rsid w:val="00831E85"/>
    <w:rsid w:val="00833139"/>
    <w:rsid w:val="00834700"/>
    <w:rsid w:val="00834F90"/>
    <w:rsid w:val="00836091"/>
    <w:rsid w:val="00836B8B"/>
    <w:rsid w:val="00837015"/>
    <w:rsid w:val="0083745A"/>
    <w:rsid w:val="00837903"/>
    <w:rsid w:val="00837C0D"/>
    <w:rsid w:val="00840ED4"/>
    <w:rsid w:val="00842941"/>
    <w:rsid w:val="00842A09"/>
    <w:rsid w:val="008431F1"/>
    <w:rsid w:val="00844AE2"/>
    <w:rsid w:val="00845A3C"/>
    <w:rsid w:val="0085008F"/>
    <w:rsid w:val="0085241B"/>
    <w:rsid w:val="0085275E"/>
    <w:rsid w:val="00852B7C"/>
    <w:rsid w:val="00852E52"/>
    <w:rsid w:val="00853005"/>
    <w:rsid w:val="00855E10"/>
    <w:rsid w:val="008566A6"/>
    <w:rsid w:val="00856C95"/>
    <w:rsid w:val="0085706B"/>
    <w:rsid w:val="00861000"/>
    <w:rsid w:val="008612D3"/>
    <w:rsid w:val="00862673"/>
    <w:rsid w:val="00862693"/>
    <w:rsid w:val="00862CBF"/>
    <w:rsid w:val="00863E90"/>
    <w:rsid w:val="008664ED"/>
    <w:rsid w:val="0087084E"/>
    <w:rsid w:val="008711A6"/>
    <w:rsid w:val="0087278B"/>
    <w:rsid w:val="00872CCF"/>
    <w:rsid w:val="00872ECA"/>
    <w:rsid w:val="008731FE"/>
    <w:rsid w:val="00873A7F"/>
    <w:rsid w:val="008746E1"/>
    <w:rsid w:val="008748D5"/>
    <w:rsid w:val="00874DD1"/>
    <w:rsid w:val="00875BCD"/>
    <w:rsid w:val="0087635F"/>
    <w:rsid w:val="00876B7C"/>
    <w:rsid w:val="0088028B"/>
    <w:rsid w:val="008831B2"/>
    <w:rsid w:val="0088335D"/>
    <w:rsid w:val="00883A09"/>
    <w:rsid w:val="00884439"/>
    <w:rsid w:val="00884B71"/>
    <w:rsid w:val="00885219"/>
    <w:rsid w:val="00885A32"/>
    <w:rsid w:val="008871A1"/>
    <w:rsid w:val="008911D0"/>
    <w:rsid w:val="0089174C"/>
    <w:rsid w:val="00895521"/>
    <w:rsid w:val="0089642D"/>
    <w:rsid w:val="00896464"/>
    <w:rsid w:val="00896B08"/>
    <w:rsid w:val="008A1079"/>
    <w:rsid w:val="008A1607"/>
    <w:rsid w:val="008A30A6"/>
    <w:rsid w:val="008A31FA"/>
    <w:rsid w:val="008A3769"/>
    <w:rsid w:val="008A41D3"/>
    <w:rsid w:val="008A4AAD"/>
    <w:rsid w:val="008A511C"/>
    <w:rsid w:val="008A54EB"/>
    <w:rsid w:val="008A57EE"/>
    <w:rsid w:val="008A67D3"/>
    <w:rsid w:val="008A6EE2"/>
    <w:rsid w:val="008A7FEC"/>
    <w:rsid w:val="008B0F4C"/>
    <w:rsid w:val="008B15C0"/>
    <w:rsid w:val="008B18AC"/>
    <w:rsid w:val="008B1CBA"/>
    <w:rsid w:val="008B44A9"/>
    <w:rsid w:val="008B491C"/>
    <w:rsid w:val="008B5849"/>
    <w:rsid w:val="008C0ACD"/>
    <w:rsid w:val="008C35F3"/>
    <w:rsid w:val="008C3C4B"/>
    <w:rsid w:val="008C48CF"/>
    <w:rsid w:val="008C598B"/>
    <w:rsid w:val="008C6F65"/>
    <w:rsid w:val="008C7677"/>
    <w:rsid w:val="008D3C8A"/>
    <w:rsid w:val="008D45F5"/>
    <w:rsid w:val="008D4760"/>
    <w:rsid w:val="008D482D"/>
    <w:rsid w:val="008D4AFD"/>
    <w:rsid w:val="008D634C"/>
    <w:rsid w:val="008D6DD4"/>
    <w:rsid w:val="008E0729"/>
    <w:rsid w:val="008E0A2F"/>
    <w:rsid w:val="008E18A2"/>
    <w:rsid w:val="008E2649"/>
    <w:rsid w:val="008E2CEF"/>
    <w:rsid w:val="008E2EC3"/>
    <w:rsid w:val="008E2F5A"/>
    <w:rsid w:val="008E561F"/>
    <w:rsid w:val="008E57B9"/>
    <w:rsid w:val="008E6C42"/>
    <w:rsid w:val="008F068B"/>
    <w:rsid w:val="008F2A95"/>
    <w:rsid w:val="008F3073"/>
    <w:rsid w:val="008F3F75"/>
    <w:rsid w:val="008F59C2"/>
    <w:rsid w:val="008F68B7"/>
    <w:rsid w:val="008F6903"/>
    <w:rsid w:val="008F725D"/>
    <w:rsid w:val="008F7974"/>
    <w:rsid w:val="008F7A0F"/>
    <w:rsid w:val="008F7ACE"/>
    <w:rsid w:val="00900957"/>
    <w:rsid w:val="009025E3"/>
    <w:rsid w:val="009027E8"/>
    <w:rsid w:val="00902ACF"/>
    <w:rsid w:val="00902DD4"/>
    <w:rsid w:val="009032B2"/>
    <w:rsid w:val="00903A5F"/>
    <w:rsid w:val="00904DF2"/>
    <w:rsid w:val="00905854"/>
    <w:rsid w:val="00905D6E"/>
    <w:rsid w:val="00911177"/>
    <w:rsid w:val="0091128B"/>
    <w:rsid w:val="00911F85"/>
    <w:rsid w:val="0091339D"/>
    <w:rsid w:val="009137F6"/>
    <w:rsid w:val="00913AEF"/>
    <w:rsid w:val="00914248"/>
    <w:rsid w:val="00916A7D"/>
    <w:rsid w:val="00916B0E"/>
    <w:rsid w:val="009172C6"/>
    <w:rsid w:val="0091784D"/>
    <w:rsid w:val="00917967"/>
    <w:rsid w:val="0092047F"/>
    <w:rsid w:val="0092100B"/>
    <w:rsid w:val="009215B6"/>
    <w:rsid w:val="00924BE9"/>
    <w:rsid w:val="00927A88"/>
    <w:rsid w:val="0093018D"/>
    <w:rsid w:val="00930795"/>
    <w:rsid w:val="00932547"/>
    <w:rsid w:val="0093389B"/>
    <w:rsid w:val="00933C5D"/>
    <w:rsid w:val="00933E0F"/>
    <w:rsid w:val="00941397"/>
    <w:rsid w:val="0094371A"/>
    <w:rsid w:val="00943C89"/>
    <w:rsid w:val="00943F3A"/>
    <w:rsid w:val="0094548B"/>
    <w:rsid w:val="00945A0F"/>
    <w:rsid w:val="009460D7"/>
    <w:rsid w:val="00946D0F"/>
    <w:rsid w:val="00946E07"/>
    <w:rsid w:val="00947571"/>
    <w:rsid w:val="0094797E"/>
    <w:rsid w:val="00947CA1"/>
    <w:rsid w:val="0095078B"/>
    <w:rsid w:val="00950A62"/>
    <w:rsid w:val="00950FEE"/>
    <w:rsid w:val="00951FD2"/>
    <w:rsid w:val="009529C4"/>
    <w:rsid w:val="00953E4B"/>
    <w:rsid w:val="00954C0F"/>
    <w:rsid w:val="00960132"/>
    <w:rsid w:val="0096305E"/>
    <w:rsid w:val="009639F7"/>
    <w:rsid w:val="00963F75"/>
    <w:rsid w:val="009645E0"/>
    <w:rsid w:val="0096577D"/>
    <w:rsid w:val="00965EA7"/>
    <w:rsid w:val="00965F24"/>
    <w:rsid w:val="009662E2"/>
    <w:rsid w:val="00966DBF"/>
    <w:rsid w:val="0097022E"/>
    <w:rsid w:val="0097073C"/>
    <w:rsid w:val="00970D24"/>
    <w:rsid w:val="009729B3"/>
    <w:rsid w:val="0097400E"/>
    <w:rsid w:val="00974884"/>
    <w:rsid w:val="00974B80"/>
    <w:rsid w:val="009805E2"/>
    <w:rsid w:val="00980B43"/>
    <w:rsid w:val="00981CA8"/>
    <w:rsid w:val="00982A21"/>
    <w:rsid w:val="00982CEE"/>
    <w:rsid w:val="00983A90"/>
    <w:rsid w:val="00985350"/>
    <w:rsid w:val="00985498"/>
    <w:rsid w:val="00986657"/>
    <w:rsid w:val="00986DB6"/>
    <w:rsid w:val="00987417"/>
    <w:rsid w:val="009875A8"/>
    <w:rsid w:val="00990247"/>
    <w:rsid w:val="009925C6"/>
    <w:rsid w:val="009939A1"/>
    <w:rsid w:val="00993D19"/>
    <w:rsid w:val="009945D9"/>
    <w:rsid w:val="00995CCF"/>
    <w:rsid w:val="00997EED"/>
    <w:rsid w:val="009A09D6"/>
    <w:rsid w:val="009A1358"/>
    <w:rsid w:val="009A2253"/>
    <w:rsid w:val="009A66A5"/>
    <w:rsid w:val="009B167F"/>
    <w:rsid w:val="009B3BA7"/>
    <w:rsid w:val="009B4C3A"/>
    <w:rsid w:val="009B61A3"/>
    <w:rsid w:val="009B6208"/>
    <w:rsid w:val="009B74E7"/>
    <w:rsid w:val="009B7982"/>
    <w:rsid w:val="009C0E67"/>
    <w:rsid w:val="009C1765"/>
    <w:rsid w:val="009C23E7"/>
    <w:rsid w:val="009C256C"/>
    <w:rsid w:val="009C3713"/>
    <w:rsid w:val="009C3B95"/>
    <w:rsid w:val="009C4257"/>
    <w:rsid w:val="009C49FD"/>
    <w:rsid w:val="009C4FDE"/>
    <w:rsid w:val="009C59D1"/>
    <w:rsid w:val="009C6578"/>
    <w:rsid w:val="009C6B43"/>
    <w:rsid w:val="009D14FA"/>
    <w:rsid w:val="009D1914"/>
    <w:rsid w:val="009D1B79"/>
    <w:rsid w:val="009D2072"/>
    <w:rsid w:val="009D26CD"/>
    <w:rsid w:val="009D28CB"/>
    <w:rsid w:val="009D30D2"/>
    <w:rsid w:val="009D366E"/>
    <w:rsid w:val="009D3FFB"/>
    <w:rsid w:val="009D4104"/>
    <w:rsid w:val="009D46A4"/>
    <w:rsid w:val="009D49B1"/>
    <w:rsid w:val="009D4BC3"/>
    <w:rsid w:val="009D51AB"/>
    <w:rsid w:val="009D5246"/>
    <w:rsid w:val="009D5255"/>
    <w:rsid w:val="009D5835"/>
    <w:rsid w:val="009D59A3"/>
    <w:rsid w:val="009D6280"/>
    <w:rsid w:val="009D698C"/>
    <w:rsid w:val="009D74CB"/>
    <w:rsid w:val="009E072E"/>
    <w:rsid w:val="009E0F73"/>
    <w:rsid w:val="009E0FEA"/>
    <w:rsid w:val="009E38C1"/>
    <w:rsid w:val="009E45A1"/>
    <w:rsid w:val="009E4B1A"/>
    <w:rsid w:val="009E5396"/>
    <w:rsid w:val="009E5B0D"/>
    <w:rsid w:val="009E6096"/>
    <w:rsid w:val="009F0433"/>
    <w:rsid w:val="009F07BF"/>
    <w:rsid w:val="009F14D7"/>
    <w:rsid w:val="009F1A7F"/>
    <w:rsid w:val="009F3C26"/>
    <w:rsid w:val="009F4E5D"/>
    <w:rsid w:val="009F6ECD"/>
    <w:rsid w:val="009F6F1B"/>
    <w:rsid w:val="00A00062"/>
    <w:rsid w:val="00A00182"/>
    <w:rsid w:val="00A0268E"/>
    <w:rsid w:val="00A0333A"/>
    <w:rsid w:val="00A0504B"/>
    <w:rsid w:val="00A07D7A"/>
    <w:rsid w:val="00A112C2"/>
    <w:rsid w:val="00A123A5"/>
    <w:rsid w:val="00A13778"/>
    <w:rsid w:val="00A13A2D"/>
    <w:rsid w:val="00A13E61"/>
    <w:rsid w:val="00A144F8"/>
    <w:rsid w:val="00A14E44"/>
    <w:rsid w:val="00A15DBB"/>
    <w:rsid w:val="00A161B7"/>
    <w:rsid w:val="00A179A5"/>
    <w:rsid w:val="00A27436"/>
    <w:rsid w:val="00A31D4D"/>
    <w:rsid w:val="00A31E86"/>
    <w:rsid w:val="00A3328C"/>
    <w:rsid w:val="00A34102"/>
    <w:rsid w:val="00A349AE"/>
    <w:rsid w:val="00A356F6"/>
    <w:rsid w:val="00A372EB"/>
    <w:rsid w:val="00A406BE"/>
    <w:rsid w:val="00A4293E"/>
    <w:rsid w:val="00A43269"/>
    <w:rsid w:val="00A4358B"/>
    <w:rsid w:val="00A437E1"/>
    <w:rsid w:val="00A44297"/>
    <w:rsid w:val="00A44C46"/>
    <w:rsid w:val="00A44FAD"/>
    <w:rsid w:val="00A45AA4"/>
    <w:rsid w:val="00A46BE5"/>
    <w:rsid w:val="00A4708C"/>
    <w:rsid w:val="00A51611"/>
    <w:rsid w:val="00A53D2A"/>
    <w:rsid w:val="00A5498E"/>
    <w:rsid w:val="00A57E89"/>
    <w:rsid w:val="00A610F7"/>
    <w:rsid w:val="00A64D58"/>
    <w:rsid w:val="00A655B6"/>
    <w:rsid w:val="00A70894"/>
    <w:rsid w:val="00A70B9D"/>
    <w:rsid w:val="00A73AA3"/>
    <w:rsid w:val="00A75BFF"/>
    <w:rsid w:val="00A7607C"/>
    <w:rsid w:val="00A76596"/>
    <w:rsid w:val="00A771AE"/>
    <w:rsid w:val="00A803DF"/>
    <w:rsid w:val="00A82464"/>
    <w:rsid w:val="00A831F1"/>
    <w:rsid w:val="00A83567"/>
    <w:rsid w:val="00A835A9"/>
    <w:rsid w:val="00A84421"/>
    <w:rsid w:val="00A8459D"/>
    <w:rsid w:val="00A851D7"/>
    <w:rsid w:val="00A855D9"/>
    <w:rsid w:val="00A86411"/>
    <w:rsid w:val="00A86B60"/>
    <w:rsid w:val="00A87F14"/>
    <w:rsid w:val="00A90B4A"/>
    <w:rsid w:val="00A9404A"/>
    <w:rsid w:val="00A95CCA"/>
    <w:rsid w:val="00A95F01"/>
    <w:rsid w:val="00AA0EE9"/>
    <w:rsid w:val="00AA3336"/>
    <w:rsid w:val="00AA33CB"/>
    <w:rsid w:val="00AA5608"/>
    <w:rsid w:val="00AA5C2E"/>
    <w:rsid w:val="00AA6DDA"/>
    <w:rsid w:val="00AA79AA"/>
    <w:rsid w:val="00AB05B9"/>
    <w:rsid w:val="00AB0E63"/>
    <w:rsid w:val="00AB1299"/>
    <w:rsid w:val="00AB24A2"/>
    <w:rsid w:val="00AB3806"/>
    <w:rsid w:val="00AB3A6B"/>
    <w:rsid w:val="00AB41EC"/>
    <w:rsid w:val="00AB5024"/>
    <w:rsid w:val="00AB7BC6"/>
    <w:rsid w:val="00AB7FC7"/>
    <w:rsid w:val="00AC0341"/>
    <w:rsid w:val="00AC0BE5"/>
    <w:rsid w:val="00AC1111"/>
    <w:rsid w:val="00AC3267"/>
    <w:rsid w:val="00AC4BA1"/>
    <w:rsid w:val="00AC7C34"/>
    <w:rsid w:val="00AC7DC7"/>
    <w:rsid w:val="00AD07F7"/>
    <w:rsid w:val="00AD1625"/>
    <w:rsid w:val="00AD19BC"/>
    <w:rsid w:val="00AD4C8B"/>
    <w:rsid w:val="00AD4EFE"/>
    <w:rsid w:val="00AD4F9F"/>
    <w:rsid w:val="00AD5199"/>
    <w:rsid w:val="00AD7BC0"/>
    <w:rsid w:val="00AE1567"/>
    <w:rsid w:val="00AE2F28"/>
    <w:rsid w:val="00AE66D1"/>
    <w:rsid w:val="00AE70F1"/>
    <w:rsid w:val="00AF1A78"/>
    <w:rsid w:val="00AF2AC5"/>
    <w:rsid w:val="00AF313D"/>
    <w:rsid w:val="00AF4353"/>
    <w:rsid w:val="00AF5004"/>
    <w:rsid w:val="00AF55B4"/>
    <w:rsid w:val="00AF6AA1"/>
    <w:rsid w:val="00AF7138"/>
    <w:rsid w:val="00AF76B8"/>
    <w:rsid w:val="00B00A42"/>
    <w:rsid w:val="00B00A8B"/>
    <w:rsid w:val="00B01507"/>
    <w:rsid w:val="00B0183B"/>
    <w:rsid w:val="00B03299"/>
    <w:rsid w:val="00B032B6"/>
    <w:rsid w:val="00B04B3B"/>
    <w:rsid w:val="00B04C8F"/>
    <w:rsid w:val="00B075A8"/>
    <w:rsid w:val="00B10C99"/>
    <w:rsid w:val="00B10D70"/>
    <w:rsid w:val="00B11B22"/>
    <w:rsid w:val="00B11B80"/>
    <w:rsid w:val="00B17AC1"/>
    <w:rsid w:val="00B20786"/>
    <w:rsid w:val="00B2163B"/>
    <w:rsid w:val="00B27DFB"/>
    <w:rsid w:val="00B305CC"/>
    <w:rsid w:val="00B30681"/>
    <w:rsid w:val="00B32309"/>
    <w:rsid w:val="00B3327A"/>
    <w:rsid w:val="00B33339"/>
    <w:rsid w:val="00B3555E"/>
    <w:rsid w:val="00B355B6"/>
    <w:rsid w:val="00B37DDF"/>
    <w:rsid w:val="00B413F5"/>
    <w:rsid w:val="00B425C0"/>
    <w:rsid w:val="00B425CC"/>
    <w:rsid w:val="00B42AE1"/>
    <w:rsid w:val="00B42B6F"/>
    <w:rsid w:val="00B43FAA"/>
    <w:rsid w:val="00B456A4"/>
    <w:rsid w:val="00B45901"/>
    <w:rsid w:val="00B4754F"/>
    <w:rsid w:val="00B476BB"/>
    <w:rsid w:val="00B47E63"/>
    <w:rsid w:val="00B50C6E"/>
    <w:rsid w:val="00B51319"/>
    <w:rsid w:val="00B523A7"/>
    <w:rsid w:val="00B53020"/>
    <w:rsid w:val="00B53185"/>
    <w:rsid w:val="00B53F56"/>
    <w:rsid w:val="00B54797"/>
    <w:rsid w:val="00B54A93"/>
    <w:rsid w:val="00B54D97"/>
    <w:rsid w:val="00B55154"/>
    <w:rsid w:val="00B55F15"/>
    <w:rsid w:val="00B56B13"/>
    <w:rsid w:val="00B61F9E"/>
    <w:rsid w:val="00B62A53"/>
    <w:rsid w:val="00B630A2"/>
    <w:rsid w:val="00B633B6"/>
    <w:rsid w:val="00B63706"/>
    <w:rsid w:val="00B64711"/>
    <w:rsid w:val="00B64A75"/>
    <w:rsid w:val="00B64DDB"/>
    <w:rsid w:val="00B74AA3"/>
    <w:rsid w:val="00B77068"/>
    <w:rsid w:val="00B77146"/>
    <w:rsid w:val="00B821A3"/>
    <w:rsid w:val="00B839DA"/>
    <w:rsid w:val="00B84EED"/>
    <w:rsid w:val="00B85A03"/>
    <w:rsid w:val="00B874AF"/>
    <w:rsid w:val="00B90809"/>
    <w:rsid w:val="00B93D11"/>
    <w:rsid w:val="00B95692"/>
    <w:rsid w:val="00B958D4"/>
    <w:rsid w:val="00B95CE3"/>
    <w:rsid w:val="00B9622E"/>
    <w:rsid w:val="00B96B6B"/>
    <w:rsid w:val="00B96FBD"/>
    <w:rsid w:val="00B97AA0"/>
    <w:rsid w:val="00BA0C2D"/>
    <w:rsid w:val="00BA1982"/>
    <w:rsid w:val="00BA2472"/>
    <w:rsid w:val="00BA44D8"/>
    <w:rsid w:val="00BA6B8A"/>
    <w:rsid w:val="00BB0E8E"/>
    <w:rsid w:val="00BB1336"/>
    <w:rsid w:val="00BB20CF"/>
    <w:rsid w:val="00BB33B4"/>
    <w:rsid w:val="00BB4182"/>
    <w:rsid w:val="00BB4900"/>
    <w:rsid w:val="00BB51E5"/>
    <w:rsid w:val="00BB5C20"/>
    <w:rsid w:val="00BB665E"/>
    <w:rsid w:val="00BC0B65"/>
    <w:rsid w:val="00BC33FC"/>
    <w:rsid w:val="00BC34CB"/>
    <w:rsid w:val="00BD128B"/>
    <w:rsid w:val="00BD4102"/>
    <w:rsid w:val="00BD4B54"/>
    <w:rsid w:val="00BD66A5"/>
    <w:rsid w:val="00BD71EA"/>
    <w:rsid w:val="00BD76A1"/>
    <w:rsid w:val="00BE000E"/>
    <w:rsid w:val="00BE07D3"/>
    <w:rsid w:val="00BE15FB"/>
    <w:rsid w:val="00BE31B9"/>
    <w:rsid w:val="00BE768E"/>
    <w:rsid w:val="00BF410C"/>
    <w:rsid w:val="00BF5542"/>
    <w:rsid w:val="00BF5AE1"/>
    <w:rsid w:val="00BF6874"/>
    <w:rsid w:val="00BF6C5B"/>
    <w:rsid w:val="00C0120A"/>
    <w:rsid w:val="00C0214E"/>
    <w:rsid w:val="00C0375D"/>
    <w:rsid w:val="00C06F74"/>
    <w:rsid w:val="00C10089"/>
    <w:rsid w:val="00C101D8"/>
    <w:rsid w:val="00C10541"/>
    <w:rsid w:val="00C1079F"/>
    <w:rsid w:val="00C109E0"/>
    <w:rsid w:val="00C11A12"/>
    <w:rsid w:val="00C1249A"/>
    <w:rsid w:val="00C13113"/>
    <w:rsid w:val="00C13882"/>
    <w:rsid w:val="00C145CD"/>
    <w:rsid w:val="00C1550B"/>
    <w:rsid w:val="00C15CBC"/>
    <w:rsid w:val="00C1681E"/>
    <w:rsid w:val="00C16F7D"/>
    <w:rsid w:val="00C218E3"/>
    <w:rsid w:val="00C21BCA"/>
    <w:rsid w:val="00C22343"/>
    <w:rsid w:val="00C239EE"/>
    <w:rsid w:val="00C277F9"/>
    <w:rsid w:val="00C27DFD"/>
    <w:rsid w:val="00C31AE8"/>
    <w:rsid w:val="00C31ECD"/>
    <w:rsid w:val="00C3218B"/>
    <w:rsid w:val="00C33078"/>
    <w:rsid w:val="00C3445A"/>
    <w:rsid w:val="00C34751"/>
    <w:rsid w:val="00C352CF"/>
    <w:rsid w:val="00C35AFF"/>
    <w:rsid w:val="00C35FB7"/>
    <w:rsid w:val="00C3626F"/>
    <w:rsid w:val="00C3730E"/>
    <w:rsid w:val="00C40B16"/>
    <w:rsid w:val="00C413E1"/>
    <w:rsid w:val="00C415AF"/>
    <w:rsid w:val="00C41956"/>
    <w:rsid w:val="00C41A1F"/>
    <w:rsid w:val="00C41D99"/>
    <w:rsid w:val="00C429F3"/>
    <w:rsid w:val="00C43ED3"/>
    <w:rsid w:val="00C45287"/>
    <w:rsid w:val="00C45C5E"/>
    <w:rsid w:val="00C46192"/>
    <w:rsid w:val="00C47EA5"/>
    <w:rsid w:val="00C5053A"/>
    <w:rsid w:val="00C50C4D"/>
    <w:rsid w:val="00C51156"/>
    <w:rsid w:val="00C51C56"/>
    <w:rsid w:val="00C528E7"/>
    <w:rsid w:val="00C52BB7"/>
    <w:rsid w:val="00C5395E"/>
    <w:rsid w:val="00C54209"/>
    <w:rsid w:val="00C54EAB"/>
    <w:rsid w:val="00C550D7"/>
    <w:rsid w:val="00C55D08"/>
    <w:rsid w:val="00C60589"/>
    <w:rsid w:val="00C615DF"/>
    <w:rsid w:val="00C631ED"/>
    <w:rsid w:val="00C6375A"/>
    <w:rsid w:val="00C63FA9"/>
    <w:rsid w:val="00C65AC1"/>
    <w:rsid w:val="00C6615D"/>
    <w:rsid w:val="00C67055"/>
    <w:rsid w:val="00C67F7D"/>
    <w:rsid w:val="00C70F5A"/>
    <w:rsid w:val="00C72608"/>
    <w:rsid w:val="00C736C0"/>
    <w:rsid w:val="00C75110"/>
    <w:rsid w:val="00C77981"/>
    <w:rsid w:val="00C810CE"/>
    <w:rsid w:val="00C81430"/>
    <w:rsid w:val="00C83599"/>
    <w:rsid w:val="00C86C17"/>
    <w:rsid w:val="00C86E43"/>
    <w:rsid w:val="00C870C4"/>
    <w:rsid w:val="00C904C8"/>
    <w:rsid w:val="00C9547C"/>
    <w:rsid w:val="00C95DCF"/>
    <w:rsid w:val="00C96717"/>
    <w:rsid w:val="00C96CFF"/>
    <w:rsid w:val="00C971A9"/>
    <w:rsid w:val="00CA0D64"/>
    <w:rsid w:val="00CA2868"/>
    <w:rsid w:val="00CA4A81"/>
    <w:rsid w:val="00CA4E06"/>
    <w:rsid w:val="00CA5DCC"/>
    <w:rsid w:val="00CA68D7"/>
    <w:rsid w:val="00CA764A"/>
    <w:rsid w:val="00CA7B2B"/>
    <w:rsid w:val="00CB1B38"/>
    <w:rsid w:val="00CB26BC"/>
    <w:rsid w:val="00CB26F2"/>
    <w:rsid w:val="00CB30F2"/>
    <w:rsid w:val="00CB5745"/>
    <w:rsid w:val="00CB76EF"/>
    <w:rsid w:val="00CB773A"/>
    <w:rsid w:val="00CC27BC"/>
    <w:rsid w:val="00CC3A71"/>
    <w:rsid w:val="00CC4677"/>
    <w:rsid w:val="00CC4D82"/>
    <w:rsid w:val="00CC4DC6"/>
    <w:rsid w:val="00CC6324"/>
    <w:rsid w:val="00CC6A34"/>
    <w:rsid w:val="00CC6FA0"/>
    <w:rsid w:val="00CC7B02"/>
    <w:rsid w:val="00CD1AA9"/>
    <w:rsid w:val="00CD2671"/>
    <w:rsid w:val="00CD441A"/>
    <w:rsid w:val="00CD4CA9"/>
    <w:rsid w:val="00CD4D58"/>
    <w:rsid w:val="00CD5509"/>
    <w:rsid w:val="00CD5FB8"/>
    <w:rsid w:val="00CD6DCB"/>
    <w:rsid w:val="00CE0404"/>
    <w:rsid w:val="00CE21DB"/>
    <w:rsid w:val="00CE2200"/>
    <w:rsid w:val="00CE346C"/>
    <w:rsid w:val="00CE4D75"/>
    <w:rsid w:val="00CE580E"/>
    <w:rsid w:val="00CF16BE"/>
    <w:rsid w:val="00CF1F9B"/>
    <w:rsid w:val="00CF4BF6"/>
    <w:rsid w:val="00CF4F29"/>
    <w:rsid w:val="00CF633E"/>
    <w:rsid w:val="00CF6A2A"/>
    <w:rsid w:val="00CF74C8"/>
    <w:rsid w:val="00D01A5B"/>
    <w:rsid w:val="00D01CED"/>
    <w:rsid w:val="00D04280"/>
    <w:rsid w:val="00D06F80"/>
    <w:rsid w:val="00D1524B"/>
    <w:rsid w:val="00D15826"/>
    <w:rsid w:val="00D15EEB"/>
    <w:rsid w:val="00D1646A"/>
    <w:rsid w:val="00D20807"/>
    <w:rsid w:val="00D2103B"/>
    <w:rsid w:val="00D228E5"/>
    <w:rsid w:val="00D234D9"/>
    <w:rsid w:val="00D24822"/>
    <w:rsid w:val="00D24E59"/>
    <w:rsid w:val="00D25A73"/>
    <w:rsid w:val="00D2673B"/>
    <w:rsid w:val="00D277DC"/>
    <w:rsid w:val="00D27EE8"/>
    <w:rsid w:val="00D327B4"/>
    <w:rsid w:val="00D32F8D"/>
    <w:rsid w:val="00D365A7"/>
    <w:rsid w:val="00D37711"/>
    <w:rsid w:val="00D37C38"/>
    <w:rsid w:val="00D37DA7"/>
    <w:rsid w:val="00D41C6D"/>
    <w:rsid w:val="00D431DE"/>
    <w:rsid w:val="00D433BB"/>
    <w:rsid w:val="00D4438E"/>
    <w:rsid w:val="00D4507E"/>
    <w:rsid w:val="00D4529F"/>
    <w:rsid w:val="00D458F5"/>
    <w:rsid w:val="00D45E02"/>
    <w:rsid w:val="00D45EFC"/>
    <w:rsid w:val="00D47B6C"/>
    <w:rsid w:val="00D506C1"/>
    <w:rsid w:val="00D51668"/>
    <w:rsid w:val="00D51BDD"/>
    <w:rsid w:val="00D542E7"/>
    <w:rsid w:val="00D567D9"/>
    <w:rsid w:val="00D56D04"/>
    <w:rsid w:val="00D56F7B"/>
    <w:rsid w:val="00D576B0"/>
    <w:rsid w:val="00D57DC6"/>
    <w:rsid w:val="00D628E4"/>
    <w:rsid w:val="00D628F6"/>
    <w:rsid w:val="00D65115"/>
    <w:rsid w:val="00D65BF0"/>
    <w:rsid w:val="00D65FEE"/>
    <w:rsid w:val="00D660F1"/>
    <w:rsid w:val="00D66586"/>
    <w:rsid w:val="00D66732"/>
    <w:rsid w:val="00D67578"/>
    <w:rsid w:val="00D7028E"/>
    <w:rsid w:val="00D70869"/>
    <w:rsid w:val="00D71D2A"/>
    <w:rsid w:val="00D73C7D"/>
    <w:rsid w:val="00D73E97"/>
    <w:rsid w:val="00D75681"/>
    <w:rsid w:val="00D758C6"/>
    <w:rsid w:val="00D761B1"/>
    <w:rsid w:val="00D76EB0"/>
    <w:rsid w:val="00D80A5A"/>
    <w:rsid w:val="00D82871"/>
    <w:rsid w:val="00D83533"/>
    <w:rsid w:val="00D836C7"/>
    <w:rsid w:val="00D83745"/>
    <w:rsid w:val="00D84A28"/>
    <w:rsid w:val="00D86935"/>
    <w:rsid w:val="00D86DC4"/>
    <w:rsid w:val="00D871AF"/>
    <w:rsid w:val="00D8793A"/>
    <w:rsid w:val="00D87D32"/>
    <w:rsid w:val="00D87E3F"/>
    <w:rsid w:val="00D90AEB"/>
    <w:rsid w:val="00D927D6"/>
    <w:rsid w:val="00D962FB"/>
    <w:rsid w:val="00D96965"/>
    <w:rsid w:val="00D972C4"/>
    <w:rsid w:val="00DA09E2"/>
    <w:rsid w:val="00DA0F34"/>
    <w:rsid w:val="00DA1A22"/>
    <w:rsid w:val="00DA1B11"/>
    <w:rsid w:val="00DA4A6F"/>
    <w:rsid w:val="00DA5E20"/>
    <w:rsid w:val="00DA6220"/>
    <w:rsid w:val="00DA6B88"/>
    <w:rsid w:val="00DA7276"/>
    <w:rsid w:val="00DB1510"/>
    <w:rsid w:val="00DB3196"/>
    <w:rsid w:val="00DB3565"/>
    <w:rsid w:val="00DB4F9D"/>
    <w:rsid w:val="00DB5FD3"/>
    <w:rsid w:val="00DB69BD"/>
    <w:rsid w:val="00DB77F6"/>
    <w:rsid w:val="00DC21CA"/>
    <w:rsid w:val="00DC28DC"/>
    <w:rsid w:val="00DC636F"/>
    <w:rsid w:val="00DD02EA"/>
    <w:rsid w:val="00DD1635"/>
    <w:rsid w:val="00DD1E19"/>
    <w:rsid w:val="00DD3343"/>
    <w:rsid w:val="00DD33FF"/>
    <w:rsid w:val="00DD4F29"/>
    <w:rsid w:val="00DD72C9"/>
    <w:rsid w:val="00DD7741"/>
    <w:rsid w:val="00DD7929"/>
    <w:rsid w:val="00DE0100"/>
    <w:rsid w:val="00DE028A"/>
    <w:rsid w:val="00DE06D3"/>
    <w:rsid w:val="00DE2B34"/>
    <w:rsid w:val="00DE33EB"/>
    <w:rsid w:val="00DE4403"/>
    <w:rsid w:val="00DE5289"/>
    <w:rsid w:val="00DE5620"/>
    <w:rsid w:val="00DE5C34"/>
    <w:rsid w:val="00DE7FAB"/>
    <w:rsid w:val="00DF3190"/>
    <w:rsid w:val="00DF34FE"/>
    <w:rsid w:val="00DF632E"/>
    <w:rsid w:val="00E002BA"/>
    <w:rsid w:val="00E01154"/>
    <w:rsid w:val="00E03698"/>
    <w:rsid w:val="00E04474"/>
    <w:rsid w:val="00E04906"/>
    <w:rsid w:val="00E05B4F"/>
    <w:rsid w:val="00E06E0A"/>
    <w:rsid w:val="00E07155"/>
    <w:rsid w:val="00E07397"/>
    <w:rsid w:val="00E07A94"/>
    <w:rsid w:val="00E07CFE"/>
    <w:rsid w:val="00E1009B"/>
    <w:rsid w:val="00E1195B"/>
    <w:rsid w:val="00E11B34"/>
    <w:rsid w:val="00E12E6B"/>
    <w:rsid w:val="00E13977"/>
    <w:rsid w:val="00E14220"/>
    <w:rsid w:val="00E15A40"/>
    <w:rsid w:val="00E20C19"/>
    <w:rsid w:val="00E23C0A"/>
    <w:rsid w:val="00E25A39"/>
    <w:rsid w:val="00E26E0F"/>
    <w:rsid w:val="00E26F03"/>
    <w:rsid w:val="00E3039A"/>
    <w:rsid w:val="00E31245"/>
    <w:rsid w:val="00E3188A"/>
    <w:rsid w:val="00E3264E"/>
    <w:rsid w:val="00E326EE"/>
    <w:rsid w:val="00E334C6"/>
    <w:rsid w:val="00E37851"/>
    <w:rsid w:val="00E42791"/>
    <w:rsid w:val="00E44305"/>
    <w:rsid w:val="00E4626B"/>
    <w:rsid w:val="00E53E55"/>
    <w:rsid w:val="00E54EF6"/>
    <w:rsid w:val="00E55F1F"/>
    <w:rsid w:val="00E56B6B"/>
    <w:rsid w:val="00E578F6"/>
    <w:rsid w:val="00E63481"/>
    <w:rsid w:val="00E63FB8"/>
    <w:rsid w:val="00E63FD6"/>
    <w:rsid w:val="00E64EF2"/>
    <w:rsid w:val="00E64FDE"/>
    <w:rsid w:val="00E67DCD"/>
    <w:rsid w:val="00E71100"/>
    <w:rsid w:val="00E722A6"/>
    <w:rsid w:val="00E72CBD"/>
    <w:rsid w:val="00E738D5"/>
    <w:rsid w:val="00E74F19"/>
    <w:rsid w:val="00E8021D"/>
    <w:rsid w:val="00E802AB"/>
    <w:rsid w:val="00E85829"/>
    <w:rsid w:val="00E858E6"/>
    <w:rsid w:val="00E8633B"/>
    <w:rsid w:val="00E8676F"/>
    <w:rsid w:val="00E917AA"/>
    <w:rsid w:val="00E93830"/>
    <w:rsid w:val="00E93957"/>
    <w:rsid w:val="00E93F6F"/>
    <w:rsid w:val="00E9413C"/>
    <w:rsid w:val="00E96F6C"/>
    <w:rsid w:val="00E9754E"/>
    <w:rsid w:val="00E9761E"/>
    <w:rsid w:val="00EA3378"/>
    <w:rsid w:val="00EA33C0"/>
    <w:rsid w:val="00EA45F4"/>
    <w:rsid w:val="00EA4C92"/>
    <w:rsid w:val="00EA563A"/>
    <w:rsid w:val="00EA5CCD"/>
    <w:rsid w:val="00EA5E3C"/>
    <w:rsid w:val="00EA64DA"/>
    <w:rsid w:val="00EA64FE"/>
    <w:rsid w:val="00EA7B99"/>
    <w:rsid w:val="00EA7D7B"/>
    <w:rsid w:val="00EB05B4"/>
    <w:rsid w:val="00EB2B18"/>
    <w:rsid w:val="00EB3001"/>
    <w:rsid w:val="00EB3848"/>
    <w:rsid w:val="00EB3C04"/>
    <w:rsid w:val="00EB53E7"/>
    <w:rsid w:val="00EB6DD2"/>
    <w:rsid w:val="00EB7A25"/>
    <w:rsid w:val="00EC1123"/>
    <w:rsid w:val="00EC2247"/>
    <w:rsid w:val="00EC22F3"/>
    <w:rsid w:val="00EC2F1C"/>
    <w:rsid w:val="00EC47FF"/>
    <w:rsid w:val="00EC5248"/>
    <w:rsid w:val="00ED0736"/>
    <w:rsid w:val="00ED32FC"/>
    <w:rsid w:val="00ED374F"/>
    <w:rsid w:val="00ED415F"/>
    <w:rsid w:val="00ED43CE"/>
    <w:rsid w:val="00ED45F2"/>
    <w:rsid w:val="00ED5913"/>
    <w:rsid w:val="00ED6543"/>
    <w:rsid w:val="00ED76F4"/>
    <w:rsid w:val="00ED7BE5"/>
    <w:rsid w:val="00EE085F"/>
    <w:rsid w:val="00EE15B8"/>
    <w:rsid w:val="00EE19B8"/>
    <w:rsid w:val="00EE2702"/>
    <w:rsid w:val="00EE2811"/>
    <w:rsid w:val="00EE4E92"/>
    <w:rsid w:val="00EE5DEF"/>
    <w:rsid w:val="00EE62EE"/>
    <w:rsid w:val="00EE643B"/>
    <w:rsid w:val="00EE683F"/>
    <w:rsid w:val="00EE70A7"/>
    <w:rsid w:val="00EE7C85"/>
    <w:rsid w:val="00EF089E"/>
    <w:rsid w:val="00EF10D0"/>
    <w:rsid w:val="00EF17C6"/>
    <w:rsid w:val="00EF2A1B"/>
    <w:rsid w:val="00EF2B2F"/>
    <w:rsid w:val="00EF3A4F"/>
    <w:rsid w:val="00EF4D0B"/>
    <w:rsid w:val="00EF6495"/>
    <w:rsid w:val="00EF67DE"/>
    <w:rsid w:val="00F00C40"/>
    <w:rsid w:val="00F01A5A"/>
    <w:rsid w:val="00F0334A"/>
    <w:rsid w:val="00F0340D"/>
    <w:rsid w:val="00F0423C"/>
    <w:rsid w:val="00F0428E"/>
    <w:rsid w:val="00F052AE"/>
    <w:rsid w:val="00F05F6B"/>
    <w:rsid w:val="00F11998"/>
    <w:rsid w:val="00F12EDB"/>
    <w:rsid w:val="00F168CB"/>
    <w:rsid w:val="00F16B51"/>
    <w:rsid w:val="00F17B63"/>
    <w:rsid w:val="00F17FA8"/>
    <w:rsid w:val="00F206A6"/>
    <w:rsid w:val="00F206F2"/>
    <w:rsid w:val="00F2106E"/>
    <w:rsid w:val="00F21485"/>
    <w:rsid w:val="00F21491"/>
    <w:rsid w:val="00F22416"/>
    <w:rsid w:val="00F24636"/>
    <w:rsid w:val="00F24B54"/>
    <w:rsid w:val="00F252F1"/>
    <w:rsid w:val="00F26EDD"/>
    <w:rsid w:val="00F271AB"/>
    <w:rsid w:val="00F31EF1"/>
    <w:rsid w:val="00F33F8B"/>
    <w:rsid w:val="00F35A01"/>
    <w:rsid w:val="00F35BAC"/>
    <w:rsid w:val="00F3795F"/>
    <w:rsid w:val="00F401C5"/>
    <w:rsid w:val="00F40CC4"/>
    <w:rsid w:val="00F416A7"/>
    <w:rsid w:val="00F426AF"/>
    <w:rsid w:val="00F42DFD"/>
    <w:rsid w:val="00F465EB"/>
    <w:rsid w:val="00F473F2"/>
    <w:rsid w:val="00F47F1E"/>
    <w:rsid w:val="00F502CE"/>
    <w:rsid w:val="00F50996"/>
    <w:rsid w:val="00F51BA7"/>
    <w:rsid w:val="00F53FFD"/>
    <w:rsid w:val="00F5452E"/>
    <w:rsid w:val="00F55A83"/>
    <w:rsid w:val="00F5673E"/>
    <w:rsid w:val="00F56BE5"/>
    <w:rsid w:val="00F56C26"/>
    <w:rsid w:val="00F578F1"/>
    <w:rsid w:val="00F6057F"/>
    <w:rsid w:val="00F6110F"/>
    <w:rsid w:val="00F612CA"/>
    <w:rsid w:val="00F61786"/>
    <w:rsid w:val="00F61878"/>
    <w:rsid w:val="00F618E4"/>
    <w:rsid w:val="00F62A01"/>
    <w:rsid w:val="00F64966"/>
    <w:rsid w:val="00F64C3D"/>
    <w:rsid w:val="00F66413"/>
    <w:rsid w:val="00F6697F"/>
    <w:rsid w:val="00F66B5B"/>
    <w:rsid w:val="00F70BBF"/>
    <w:rsid w:val="00F715B9"/>
    <w:rsid w:val="00F72EB4"/>
    <w:rsid w:val="00F73661"/>
    <w:rsid w:val="00F73CBA"/>
    <w:rsid w:val="00F7449A"/>
    <w:rsid w:val="00F748B7"/>
    <w:rsid w:val="00F7554D"/>
    <w:rsid w:val="00F75E1C"/>
    <w:rsid w:val="00F75F37"/>
    <w:rsid w:val="00F77213"/>
    <w:rsid w:val="00F8079A"/>
    <w:rsid w:val="00F82DD5"/>
    <w:rsid w:val="00F863C4"/>
    <w:rsid w:val="00F874EA"/>
    <w:rsid w:val="00F91697"/>
    <w:rsid w:val="00F93502"/>
    <w:rsid w:val="00F948E2"/>
    <w:rsid w:val="00F94D77"/>
    <w:rsid w:val="00F95BB9"/>
    <w:rsid w:val="00F97434"/>
    <w:rsid w:val="00FA03AD"/>
    <w:rsid w:val="00FA07A8"/>
    <w:rsid w:val="00FA31DD"/>
    <w:rsid w:val="00FA351D"/>
    <w:rsid w:val="00FA3815"/>
    <w:rsid w:val="00FA4942"/>
    <w:rsid w:val="00FA5628"/>
    <w:rsid w:val="00FA5942"/>
    <w:rsid w:val="00FA6283"/>
    <w:rsid w:val="00FA7211"/>
    <w:rsid w:val="00FA7704"/>
    <w:rsid w:val="00FB1083"/>
    <w:rsid w:val="00FB1332"/>
    <w:rsid w:val="00FB1503"/>
    <w:rsid w:val="00FB15F2"/>
    <w:rsid w:val="00FB48D6"/>
    <w:rsid w:val="00FB48F5"/>
    <w:rsid w:val="00FB5D1C"/>
    <w:rsid w:val="00FB6570"/>
    <w:rsid w:val="00FB7E23"/>
    <w:rsid w:val="00FC1610"/>
    <w:rsid w:val="00FC287C"/>
    <w:rsid w:val="00FC2D64"/>
    <w:rsid w:val="00FC431A"/>
    <w:rsid w:val="00FC4879"/>
    <w:rsid w:val="00FC48EC"/>
    <w:rsid w:val="00FC4D13"/>
    <w:rsid w:val="00FC5AE2"/>
    <w:rsid w:val="00FC623F"/>
    <w:rsid w:val="00FD0D50"/>
    <w:rsid w:val="00FD0DCE"/>
    <w:rsid w:val="00FD1F41"/>
    <w:rsid w:val="00FD4EDE"/>
    <w:rsid w:val="00FD55B0"/>
    <w:rsid w:val="00FD57C3"/>
    <w:rsid w:val="00FD7B1D"/>
    <w:rsid w:val="00FD7B8C"/>
    <w:rsid w:val="00FE0216"/>
    <w:rsid w:val="00FE07B0"/>
    <w:rsid w:val="00FE1012"/>
    <w:rsid w:val="00FE16BD"/>
    <w:rsid w:val="00FE1D02"/>
    <w:rsid w:val="00FE369E"/>
    <w:rsid w:val="00FE3AC7"/>
    <w:rsid w:val="00FE4DFB"/>
    <w:rsid w:val="00FE51D1"/>
    <w:rsid w:val="00FE680D"/>
    <w:rsid w:val="00FE6910"/>
    <w:rsid w:val="00FE6DD6"/>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7F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1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65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383">
      <w:bodyDiv w:val="1"/>
      <w:marLeft w:val="0"/>
      <w:marRight w:val="0"/>
      <w:marTop w:val="0"/>
      <w:marBottom w:val="0"/>
      <w:divBdr>
        <w:top w:val="none" w:sz="0" w:space="0" w:color="auto"/>
        <w:left w:val="none" w:sz="0" w:space="0" w:color="auto"/>
        <w:bottom w:val="none" w:sz="0" w:space="0" w:color="auto"/>
        <w:right w:val="none" w:sz="0" w:space="0" w:color="auto"/>
      </w:divBdr>
    </w:div>
    <w:div w:id="94794605">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2837892">
      <w:bodyDiv w:val="1"/>
      <w:marLeft w:val="0"/>
      <w:marRight w:val="0"/>
      <w:marTop w:val="0"/>
      <w:marBottom w:val="0"/>
      <w:divBdr>
        <w:top w:val="none" w:sz="0" w:space="0" w:color="auto"/>
        <w:left w:val="none" w:sz="0" w:space="0" w:color="auto"/>
        <w:bottom w:val="none" w:sz="0" w:space="0" w:color="auto"/>
        <w:right w:val="none" w:sz="0" w:space="0" w:color="auto"/>
      </w:divBdr>
      <w:divsChild>
        <w:div w:id="365102856">
          <w:marLeft w:val="0"/>
          <w:marRight w:val="0"/>
          <w:marTop w:val="48"/>
          <w:marBottom w:val="48"/>
          <w:divBdr>
            <w:top w:val="none" w:sz="0" w:space="0" w:color="auto"/>
            <w:left w:val="none" w:sz="0" w:space="0" w:color="auto"/>
            <w:bottom w:val="none" w:sz="0" w:space="0" w:color="auto"/>
            <w:right w:val="none" w:sz="0" w:space="0" w:color="auto"/>
          </w:divBdr>
        </w:div>
        <w:div w:id="1047534331">
          <w:marLeft w:val="0"/>
          <w:marRight w:val="0"/>
          <w:marTop w:val="48"/>
          <w:marBottom w:val="48"/>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19872015">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74944345">
      <w:bodyDiv w:val="1"/>
      <w:marLeft w:val="0"/>
      <w:marRight w:val="0"/>
      <w:marTop w:val="0"/>
      <w:marBottom w:val="0"/>
      <w:divBdr>
        <w:top w:val="none" w:sz="0" w:space="0" w:color="auto"/>
        <w:left w:val="none" w:sz="0" w:space="0" w:color="auto"/>
        <w:bottom w:val="none" w:sz="0" w:space="0" w:color="auto"/>
        <w:right w:val="none" w:sz="0" w:space="0" w:color="auto"/>
      </w:divBdr>
    </w:div>
    <w:div w:id="1277715617">
      <w:bodyDiv w:val="1"/>
      <w:marLeft w:val="0"/>
      <w:marRight w:val="0"/>
      <w:marTop w:val="0"/>
      <w:marBottom w:val="0"/>
      <w:divBdr>
        <w:top w:val="none" w:sz="0" w:space="0" w:color="auto"/>
        <w:left w:val="none" w:sz="0" w:space="0" w:color="auto"/>
        <w:bottom w:val="none" w:sz="0" w:space="0" w:color="auto"/>
        <w:right w:val="none" w:sz="0" w:space="0" w:color="auto"/>
      </w:divBdr>
      <w:divsChild>
        <w:div w:id="907765953">
          <w:marLeft w:val="0"/>
          <w:marRight w:val="0"/>
          <w:marTop w:val="480"/>
          <w:marBottom w:val="240"/>
          <w:divBdr>
            <w:top w:val="none" w:sz="0" w:space="0" w:color="auto"/>
            <w:left w:val="none" w:sz="0" w:space="0" w:color="auto"/>
            <w:bottom w:val="none" w:sz="0" w:space="0" w:color="auto"/>
            <w:right w:val="none" w:sz="0" w:space="0" w:color="auto"/>
          </w:divBdr>
        </w:div>
        <w:div w:id="1318463653">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04143617">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7011234">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45905220">
      <w:bodyDiv w:val="1"/>
      <w:marLeft w:val="0"/>
      <w:marRight w:val="0"/>
      <w:marTop w:val="0"/>
      <w:marBottom w:val="0"/>
      <w:divBdr>
        <w:top w:val="none" w:sz="0" w:space="0" w:color="auto"/>
        <w:left w:val="none" w:sz="0" w:space="0" w:color="auto"/>
        <w:bottom w:val="none" w:sz="0" w:space="0" w:color="auto"/>
        <w:right w:val="none" w:sz="0" w:space="0" w:color="auto"/>
      </w:divBdr>
      <w:divsChild>
        <w:div w:id="33703614">
          <w:marLeft w:val="0"/>
          <w:marRight w:val="0"/>
          <w:marTop w:val="0"/>
          <w:marBottom w:val="0"/>
          <w:divBdr>
            <w:top w:val="none" w:sz="0" w:space="0" w:color="auto"/>
            <w:left w:val="none" w:sz="0" w:space="0" w:color="auto"/>
            <w:bottom w:val="none" w:sz="0" w:space="0" w:color="auto"/>
            <w:right w:val="none" w:sz="0" w:space="0" w:color="auto"/>
          </w:divBdr>
        </w:div>
        <w:div w:id="75326883">
          <w:marLeft w:val="0"/>
          <w:marRight w:val="0"/>
          <w:marTop w:val="0"/>
          <w:marBottom w:val="0"/>
          <w:divBdr>
            <w:top w:val="none" w:sz="0" w:space="0" w:color="auto"/>
            <w:left w:val="none" w:sz="0" w:space="0" w:color="auto"/>
            <w:bottom w:val="none" w:sz="0" w:space="0" w:color="auto"/>
            <w:right w:val="none" w:sz="0" w:space="0" w:color="auto"/>
          </w:divBdr>
        </w:div>
        <w:div w:id="115487022">
          <w:marLeft w:val="0"/>
          <w:marRight w:val="0"/>
          <w:marTop w:val="0"/>
          <w:marBottom w:val="0"/>
          <w:divBdr>
            <w:top w:val="none" w:sz="0" w:space="0" w:color="auto"/>
            <w:left w:val="none" w:sz="0" w:space="0" w:color="auto"/>
            <w:bottom w:val="none" w:sz="0" w:space="0" w:color="auto"/>
            <w:right w:val="none" w:sz="0" w:space="0" w:color="auto"/>
          </w:divBdr>
        </w:div>
        <w:div w:id="151333877">
          <w:marLeft w:val="0"/>
          <w:marRight w:val="0"/>
          <w:marTop w:val="0"/>
          <w:marBottom w:val="0"/>
          <w:divBdr>
            <w:top w:val="none" w:sz="0" w:space="0" w:color="auto"/>
            <w:left w:val="none" w:sz="0" w:space="0" w:color="auto"/>
            <w:bottom w:val="none" w:sz="0" w:space="0" w:color="auto"/>
            <w:right w:val="none" w:sz="0" w:space="0" w:color="auto"/>
          </w:divBdr>
        </w:div>
        <w:div w:id="173345278">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245114875">
          <w:marLeft w:val="0"/>
          <w:marRight w:val="0"/>
          <w:marTop w:val="0"/>
          <w:marBottom w:val="0"/>
          <w:divBdr>
            <w:top w:val="none" w:sz="0" w:space="0" w:color="auto"/>
            <w:left w:val="none" w:sz="0" w:space="0" w:color="auto"/>
            <w:bottom w:val="none" w:sz="0" w:space="0" w:color="auto"/>
            <w:right w:val="none" w:sz="0" w:space="0" w:color="auto"/>
          </w:divBdr>
        </w:div>
        <w:div w:id="256595514">
          <w:marLeft w:val="0"/>
          <w:marRight w:val="0"/>
          <w:marTop w:val="0"/>
          <w:marBottom w:val="0"/>
          <w:divBdr>
            <w:top w:val="none" w:sz="0" w:space="0" w:color="auto"/>
            <w:left w:val="none" w:sz="0" w:space="0" w:color="auto"/>
            <w:bottom w:val="none" w:sz="0" w:space="0" w:color="auto"/>
            <w:right w:val="none" w:sz="0" w:space="0" w:color="auto"/>
          </w:divBdr>
        </w:div>
        <w:div w:id="323045768">
          <w:marLeft w:val="0"/>
          <w:marRight w:val="0"/>
          <w:marTop w:val="0"/>
          <w:marBottom w:val="0"/>
          <w:divBdr>
            <w:top w:val="none" w:sz="0" w:space="0" w:color="auto"/>
            <w:left w:val="none" w:sz="0" w:space="0" w:color="auto"/>
            <w:bottom w:val="none" w:sz="0" w:space="0" w:color="auto"/>
            <w:right w:val="none" w:sz="0" w:space="0" w:color="auto"/>
          </w:divBdr>
        </w:div>
        <w:div w:id="335306839">
          <w:marLeft w:val="0"/>
          <w:marRight w:val="0"/>
          <w:marTop w:val="0"/>
          <w:marBottom w:val="0"/>
          <w:divBdr>
            <w:top w:val="none" w:sz="0" w:space="0" w:color="auto"/>
            <w:left w:val="none" w:sz="0" w:space="0" w:color="auto"/>
            <w:bottom w:val="none" w:sz="0" w:space="0" w:color="auto"/>
            <w:right w:val="none" w:sz="0" w:space="0" w:color="auto"/>
          </w:divBdr>
        </w:div>
        <w:div w:id="379330657">
          <w:marLeft w:val="0"/>
          <w:marRight w:val="0"/>
          <w:marTop w:val="0"/>
          <w:marBottom w:val="0"/>
          <w:divBdr>
            <w:top w:val="none" w:sz="0" w:space="0" w:color="auto"/>
            <w:left w:val="none" w:sz="0" w:space="0" w:color="auto"/>
            <w:bottom w:val="none" w:sz="0" w:space="0" w:color="auto"/>
            <w:right w:val="none" w:sz="0" w:space="0" w:color="auto"/>
          </w:divBdr>
        </w:div>
        <w:div w:id="403719690">
          <w:marLeft w:val="0"/>
          <w:marRight w:val="0"/>
          <w:marTop w:val="0"/>
          <w:marBottom w:val="0"/>
          <w:divBdr>
            <w:top w:val="none" w:sz="0" w:space="0" w:color="auto"/>
            <w:left w:val="none" w:sz="0" w:space="0" w:color="auto"/>
            <w:bottom w:val="none" w:sz="0" w:space="0" w:color="auto"/>
            <w:right w:val="none" w:sz="0" w:space="0" w:color="auto"/>
          </w:divBdr>
        </w:div>
        <w:div w:id="440804098">
          <w:marLeft w:val="0"/>
          <w:marRight w:val="0"/>
          <w:marTop w:val="0"/>
          <w:marBottom w:val="0"/>
          <w:divBdr>
            <w:top w:val="none" w:sz="0" w:space="0" w:color="auto"/>
            <w:left w:val="none" w:sz="0" w:space="0" w:color="auto"/>
            <w:bottom w:val="none" w:sz="0" w:space="0" w:color="auto"/>
            <w:right w:val="none" w:sz="0" w:space="0" w:color="auto"/>
          </w:divBdr>
        </w:div>
        <w:div w:id="443304550">
          <w:marLeft w:val="0"/>
          <w:marRight w:val="0"/>
          <w:marTop w:val="0"/>
          <w:marBottom w:val="0"/>
          <w:divBdr>
            <w:top w:val="none" w:sz="0" w:space="0" w:color="auto"/>
            <w:left w:val="none" w:sz="0" w:space="0" w:color="auto"/>
            <w:bottom w:val="none" w:sz="0" w:space="0" w:color="auto"/>
            <w:right w:val="none" w:sz="0" w:space="0" w:color="auto"/>
          </w:divBdr>
        </w:div>
        <w:div w:id="467626335">
          <w:marLeft w:val="0"/>
          <w:marRight w:val="0"/>
          <w:marTop w:val="0"/>
          <w:marBottom w:val="0"/>
          <w:divBdr>
            <w:top w:val="none" w:sz="0" w:space="0" w:color="auto"/>
            <w:left w:val="none" w:sz="0" w:space="0" w:color="auto"/>
            <w:bottom w:val="none" w:sz="0" w:space="0" w:color="auto"/>
            <w:right w:val="none" w:sz="0" w:space="0" w:color="auto"/>
          </w:divBdr>
        </w:div>
        <w:div w:id="508644141">
          <w:marLeft w:val="0"/>
          <w:marRight w:val="0"/>
          <w:marTop w:val="0"/>
          <w:marBottom w:val="0"/>
          <w:divBdr>
            <w:top w:val="none" w:sz="0" w:space="0" w:color="auto"/>
            <w:left w:val="none" w:sz="0" w:space="0" w:color="auto"/>
            <w:bottom w:val="none" w:sz="0" w:space="0" w:color="auto"/>
            <w:right w:val="none" w:sz="0" w:space="0" w:color="auto"/>
          </w:divBdr>
        </w:div>
        <w:div w:id="531114064">
          <w:marLeft w:val="0"/>
          <w:marRight w:val="0"/>
          <w:marTop w:val="0"/>
          <w:marBottom w:val="0"/>
          <w:divBdr>
            <w:top w:val="none" w:sz="0" w:space="0" w:color="auto"/>
            <w:left w:val="none" w:sz="0" w:space="0" w:color="auto"/>
            <w:bottom w:val="none" w:sz="0" w:space="0" w:color="auto"/>
            <w:right w:val="none" w:sz="0" w:space="0" w:color="auto"/>
          </w:divBdr>
        </w:div>
        <w:div w:id="534272350">
          <w:marLeft w:val="0"/>
          <w:marRight w:val="0"/>
          <w:marTop w:val="0"/>
          <w:marBottom w:val="0"/>
          <w:divBdr>
            <w:top w:val="none" w:sz="0" w:space="0" w:color="auto"/>
            <w:left w:val="none" w:sz="0" w:space="0" w:color="auto"/>
            <w:bottom w:val="none" w:sz="0" w:space="0" w:color="auto"/>
            <w:right w:val="none" w:sz="0" w:space="0" w:color="auto"/>
          </w:divBdr>
        </w:div>
        <w:div w:id="536968910">
          <w:marLeft w:val="0"/>
          <w:marRight w:val="0"/>
          <w:marTop w:val="0"/>
          <w:marBottom w:val="0"/>
          <w:divBdr>
            <w:top w:val="none" w:sz="0" w:space="0" w:color="auto"/>
            <w:left w:val="none" w:sz="0" w:space="0" w:color="auto"/>
            <w:bottom w:val="none" w:sz="0" w:space="0" w:color="auto"/>
            <w:right w:val="none" w:sz="0" w:space="0" w:color="auto"/>
          </w:divBdr>
        </w:div>
        <w:div w:id="750277430">
          <w:marLeft w:val="0"/>
          <w:marRight w:val="0"/>
          <w:marTop w:val="0"/>
          <w:marBottom w:val="0"/>
          <w:divBdr>
            <w:top w:val="none" w:sz="0" w:space="0" w:color="auto"/>
            <w:left w:val="none" w:sz="0" w:space="0" w:color="auto"/>
            <w:bottom w:val="none" w:sz="0" w:space="0" w:color="auto"/>
            <w:right w:val="none" w:sz="0" w:space="0" w:color="auto"/>
          </w:divBdr>
        </w:div>
        <w:div w:id="759105459">
          <w:marLeft w:val="0"/>
          <w:marRight w:val="0"/>
          <w:marTop w:val="0"/>
          <w:marBottom w:val="0"/>
          <w:divBdr>
            <w:top w:val="none" w:sz="0" w:space="0" w:color="auto"/>
            <w:left w:val="none" w:sz="0" w:space="0" w:color="auto"/>
            <w:bottom w:val="none" w:sz="0" w:space="0" w:color="auto"/>
            <w:right w:val="none" w:sz="0" w:space="0" w:color="auto"/>
          </w:divBdr>
        </w:div>
        <w:div w:id="785003395">
          <w:marLeft w:val="0"/>
          <w:marRight w:val="0"/>
          <w:marTop w:val="0"/>
          <w:marBottom w:val="0"/>
          <w:divBdr>
            <w:top w:val="none" w:sz="0" w:space="0" w:color="auto"/>
            <w:left w:val="none" w:sz="0" w:space="0" w:color="auto"/>
            <w:bottom w:val="none" w:sz="0" w:space="0" w:color="auto"/>
            <w:right w:val="none" w:sz="0" w:space="0" w:color="auto"/>
          </w:divBdr>
        </w:div>
        <w:div w:id="796919338">
          <w:marLeft w:val="0"/>
          <w:marRight w:val="0"/>
          <w:marTop w:val="0"/>
          <w:marBottom w:val="0"/>
          <w:divBdr>
            <w:top w:val="none" w:sz="0" w:space="0" w:color="auto"/>
            <w:left w:val="none" w:sz="0" w:space="0" w:color="auto"/>
            <w:bottom w:val="none" w:sz="0" w:space="0" w:color="auto"/>
            <w:right w:val="none" w:sz="0" w:space="0" w:color="auto"/>
          </w:divBdr>
        </w:div>
        <w:div w:id="987709889">
          <w:marLeft w:val="0"/>
          <w:marRight w:val="0"/>
          <w:marTop w:val="0"/>
          <w:marBottom w:val="0"/>
          <w:divBdr>
            <w:top w:val="none" w:sz="0" w:space="0" w:color="auto"/>
            <w:left w:val="none" w:sz="0" w:space="0" w:color="auto"/>
            <w:bottom w:val="none" w:sz="0" w:space="0" w:color="auto"/>
            <w:right w:val="none" w:sz="0" w:space="0" w:color="auto"/>
          </w:divBdr>
        </w:div>
        <w:div w:id="1017074233">
          <w:marLeft w:val="0"/>
          <w:marRight w:val="0"/>
          <w:marTop w:val="0"/>
          <w:marBottom w:val="0"/>
          <w:divBdr>
            <w:top w:val="none" w:sz="0" w:space="0" w:color="auto"/>
            <w:left w:val="none" w:sz="0" w:space="0" w:color="auto"/>
            <w:bottom w:val="none" w:sz="0" w:space="0" w:color="auto"/>
            <w:right w:val="none" w:sz="0" w:space="0" w:color="auto"/>
          </w:divBdr>
        </w:div>
        <w:div w:id="1030762526">
          <w:marLeft w:val="0"/>
          <w:marRight w:val="0"/>
          <w:marTop w:val="0"/>
          <w:marBottom w:val="0"/>
          <w:divBdr>
            <w:top w:val="none" w:sz="0" w:space="0" w:color="auto"/>
            <w:left w:val="none" w:sz="0" w:space="0" w:color="auto"/>
            <w:bottom w:val="none" w:sz="0" w:space="0" w:color="auto"/>
            <w:right w:val="none" w:sz="0" w:space="0" w:color="auto"/>
          </w:divBdr>
        </w:div>
        <w:div w:id="1111976953">
          <w:marLeft w:val="0"/>
          <w:marRight w:val="0"/>
          <w:marTop w:val="0"/>
          <w:marBottom w:val="0"/>
          <w:divBdr>
            <w:top w:val="none" w:sz="0" w:space="0" w:color="auto"/>
            <w:left w:val="none" w:sz="0" w:space="0" w:color="auto"/>
            <w:bottom w:val="none" w:sz="0" w:space="0" w:color="auto"/>
            <w:right w:val="none" w:sz="0" w:space="0" w:color="auto"/>
          </w:divBdr>
        </w:div>
        <w:div w:id="1180697620">
          <w:marLeft w:val="0"/>
          <w:marRight w:val="0"/>
          <w:marTop w:val="0"/>
          <w:marBottom w:val="0"/>
          <w:divBdr>
            <w:top w:val="none" w:sz="0" w:space="0" w:color="auto"/>
            <w:left w:val="none" w:sz="0" w:space="0" w:color="auto"/>
            <w:bottom w:val="none" w:sz="0" w:space="0" w:color="auto"/>
            <w:right w:val="none" w:sz="0" w:space="0" w:color="auto"/>
          </w:divBdr>
        </w:div>
        <w:div w:id="1246720404">
          <w:marLeft w:val="0"/>
          <w:marRight w:val="0"/>
          <w:marTop w:val="0"/>
          <w:marBottom w:val="0"/>
          <w:divBdr>
            <w:top w:val="none" w:sz="0" w:space="0" w:color="auto"/>
            <w:left w:val="none" w:sz="0" w:space="0" w:color="auto"/>
            <w:bottom w:val="none" w:sz="0" w:space="0" w:color="auto"/>
            <w:right w:val="none" w:sz="0" w:space="0" w:color="auto"/>
          </w:divBdr>
        </w:div>
        <w:div w:id="1294024100">
          <w:marLeft w:val="0"/>
          <w:marRight w:val="0"/>
          <w:marTop w:val="0"/>
          <w:marBottom w:val="0"/>
          <w:divBdr>
            <w:top w:val="none" w:sz="0" w:space="0" w:color="auto"/>
            <w:left w:val="none" w:sz="0" w:space="0" w:color="auto"/>
            <w:bottom w:val="none" w:sz="0" w:space="0" w:color="auto"/>
            <w:right w:val="none" w:sz="0" w:space="0" w:color="auto"/>
          </w:divBdr>
        </w:div>
        <w:div w:id="1310132983">
          <w:marLeft w:val="0"/>
          <w:marRight w:val="0"/>
          <w:marTop w:val="0"/>
          <w:marBottom w:val="0"/>
          <w:divBdr>
            <w:top w:val="none" w:sz="0" w:space="0" w:color="auto"/>
            <w:left w:val="none" w:sz="0" w:space="0" w:color="auto"/>
            <w:bottom w:val="none" w:sz="0" w:space="0" w:color="auto"/>
            <w:right w:val="none" w:sz="0" w:space="0" w:color="auto"/>
          </w:divBdr>
        </w:div>
        <w:div w:id="1345474499">
          <w:marLeft w:val="0"/>
          <w:marRight w:val="0"/>
          <w:marTop w:val="0"/>
          <w:marBottom w:val="0"/>
          <w:divBdr>
            <w:top w:val="none" w:sz="0" w:space="0" w:color="auto"/>
            <w:left w:val="none" w:sz="0" w:space="0" w:color="auto"/>
            <w:bottom w:val="none" w:sz="0" w:space="0" w:color="auto"/>
            <w:right w:val="none" w:sz="0" w:space="0" w:color="auto"/>
          </w:divBdr>
        </w:div>
        <w:div w:id="1486824450">
          <w:marLeft w:val="0"/>
          <w:marRight w:val="0"/>
          <w:marTop w:val="0"/>
          <w:marBottom w:val="0"/>
          <w:divBdr>
            <w:top w:val="none" w:sz="0" w:space="0" w:color="auto"/>
            <w:left w:val="none" w:sz="0" w:space="0" w:color="auto"/>
            <w:bottom w:val="none" w:sz="0" w:space="0" w:color="auto"/>
            <w:right w:val="none" w:sz="0" w:space="0" w:color="auto"/>
          </w:divBdr>
        </w:div>
        <w:div w:id="1492601523">
          <w:marLeft w:val="0"/>
          <w:marRight w:val="0"/>
          <w:marTop w:val="0"/>
          <w:marBottom w:val="0"/>
          <w:divBdr>
            <w:top w:val="none" w:sz="0" w:space="0" w:color="auto"/>
            <w:left w:val="none" w:sz="0" w:space="0" w:color="auto"/>
            <w:bottom w:val="none" w:sz="0" w:space="0" w:color="auto"/>
            <w:right w:val="none" w:sz="0" w:space="0" w:color="auto"/>
          </w:divBdr>
        </w:div>
        <w:div w:id="1510831697">
          <w:marLeft w:val="0"/>
          <w:marRight w:val="0"/>
          <w:marTop w:val="0"/>
          <w:marBottom w:val="0"/>
          <w:divBdr>
            <w:top w:val="none" w:sz="0" w:space="0" w:color="auto"/>
            <w:left w:val="none" w:sz="0" w:space="0" w:color="auto"/>
            <w:bottom w:val="none" w:sz="0" w:space="0" w:color="auto"/>
            <w:right w:val="none" w:sz="0" w:space="0" w:color="auto"/>
          </w:divBdr>
        </w:div>
        <w:div w:id="1533609052">
          <w:marLeft w:val="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 w:id="1562596547">
          <w:marLeft w:val="0"/>
          <w:marRight w:val="0"/>
          <w:marTop w:val="0"/>
          <w:marBottom w:val="0"/>
          <w:divBdr>
            <w:top w:val="none" w:sz="0" w:space="0" w:color="auto"/>
            <w:left w:val="none" w:sz="0" w:space="0" w:color="auto"/>
            <w:bottom w:val="none" w:sz="0" w:space="0" w:color="auto"/>
            <w:right w:val="none" w:sz="0" w:space="0" w:color="auto"/>
          </w:divBdr>
        </w:div>
        <w:div w:id="1613441425">
          <w:marLeft w:val="0"/>
          <w:marRight w:val="0"/>
          <w:marTop w:val="0"/>
          <w:marBottom w:val="0"/>
          <w:divBdr>
            <w:top w:val="none" w:sz="0" w:space="0" w:color="auto"/>
            <w:left w:val="none" w:sz="0" w:space="0" w:color="auto"/>
            <w:bottom w:val="none" w:sz="0" w:space="0" w:color="auto"/>
            <w:right w:val="none" w:sz="0" w:space="0" w:color="auto"/>
          </w:divBdr>
        </w:div>
        <w:div w:id="1693337688">
          <w:marLeft w:val="0"/>
          <w:marRight w:val="0"/>
          <w:marTop w:val="0"/>
          <w:marBottom w:val="0"/>
          <w:divBdr>
            <w:top w:val="none" w:sz="0" w:space="0" w:color="auto"/>
            <w:left w:val="none" w:sz="0" w:space="0" w:color="auto"/>
            <w:bottom w:val="none" w:sz="0" w:space="0" w:color="auto"/>
            <w:right w:val="none" w:sz="0" w:space="0" w:color="auto"/>
          </w:divBdr>
        </w:div>
        <w:div w:id="1727874899">
          <w:marLeft w:val="0"/>
          <w:marRight w:val="0"/>
          <w:marTop w:val="0"/>
          <w:marBottom w:val="0"/>
          <w:divBdr>
            <w:top w:val="none" w:sz="0" w:space="0" w:color="auto"/>
            <w:left w:val="none" w:sz="0" w:space="0" w:color="auto"/>
            <w:bottom w:val="none" w:sz="0" w:space="0" w:color="auto"/>
            <w:right w:val="none" w:sz="0" w:space="0" w:color="auto"/>
          </w:divBdr>
        </w:div>
        <w:div w:id="1768883141">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1853296597">
          <w:marLeft w:val="0"/>
          <w:marRight w:val="0"/>
          <w:marTop w:val="0"/>
          <w:marBottom w:val="0"/>
          <w:divBdr>
            <w:top w:val="none" w:sz="0" w:space="0" w:color="auto"/>
            <w:left w:val="none" w:sz="0" w:space="0" w:color="auto"/>
            <w:bottom w:val="none" w:sz="0" w:space="0" w:color="auto"/>
            <w:right w:val="none" w:sz="0" w:space="0" w:color="auto"/>
          </w:divBdr>
        </w:div>
        <w:div w:id="2000963534">
          <w:marLeft w:val="0"/>
          <w:marRight w:val="0"/>
          <w:marTop w:val="0"/>
          <w:marBottom w:val="0"/>
          <w:divBdr>
            <w:top w:val="none" w:sz="0" w:space="0" w:color="auto"/>
            <w:left w:val="none" w:sz="0" w:space="0" w:color="auto"/>
            <w:bottom w:val="none" w:sz="0" w:space="0" w:color="auto"/>
            <w:right w:val="none" w:sz="0" w:space="0" w:color="auto"/>
          </w:divBdr>
        </w:div>
        <w:div w:id="2021538674">
          <w:marLeft w:val="0"/>
          <w:marRight w:val="0"/>
          <w:marTop w:val="0"/>
          <w:marBottom w:val="0"/>
          <w:divBdr>
            <w:top w:val="none" w:sz="0" w:space="0" w:color="auto"/>
            <w:left w:val="none" w:sz="0" w:space="0" w:color="auto"/>
            <w:bottom w:val="none" w:sz="0" w:space="0" w:color="auto"/>
            <w:right w:val="none" w:sz="0" w:space="0" w:color="auto"/>
          </w:divBdr>
        </w:div>
        <w:div w:id="2112234082">
          <w:marLeft w:val="0"/>
          <w:marRight w:val="0"/>
          <w:marTop w:val="0"/>
          <w:marBottom w:val="0"/>
          <w:divBdr>
            <w:top w:val="none" w:sz="0" w:space="0" w:color="auto"/>
            <w:left w:val="none" w:sz="0" w:space="0" w:color="auto"/>
            <w:bottom w:val="none" w:sz="0" w:space="0" w:color="auto"/>
            <w:right w:val="none" w:sz="0" w:space="0" w:color="auto"/>
          </w:divBdr>
        </w:div>
        <w:div w:id="2131776281">
          <w:marLeft w:val="0"/>
          <w:marRight w:val="0"/>
          <w:marTop w:val="0"/>
          <w:marBottom w:val="0"/>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3.A4201729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16791</Words>
  <Characters>9571</Characters>
  <Application>Microsoft Office Word</Application>
  <DocSecurity>0</DocSecurity>
  <Lines>79</Lines>
  <Paragraphs>52</Paragraphs>
  <ScaleCrop>false</ScaleCrop>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2019-10-08T08:17:00Z</dcterms:created>
  <dcterms:modified xsi:type="dcterms:W3CDTF">2019-10-18T06:54:00Z</dcterms:modified>
</cp:coreProperties>
</file>