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5467C" w14:textId="796575C2" w:rsidR="00D10CE1" w:rsidRPr="00BF352A" w:rsidRDefault="00D10CE1" w:rsidP="00D10CE1">
      <w:pPr>
        <w:spacing w:line="276" w:lineRule="auto"/>
        <w:jc w:val="both"/>
      </w:pPr>
      <w:bookmarkStart w:id="0" w:name="_Hlk21699152"/>
      <w:r w:rsidRPr="00BF352A">
        <w:rPr>
          <w:b/>
          <w:bCs/>
        </w:rPr>
        <w:t>Tiesas pienākums pārbaudīt iestāde</w:t>
      </w:r>
      <w:r w:rsidR="00427C3A">
        <w:rPr>
          <w:b/>
          <w:bCs/>
        </w:rPr>
        <w:t>s</w:t>
      </w:r>
      <w:bookmarkStart w:id="1" w:name="_GoBack"/>
      <w:bookmarkEnd w:id="1"/>
      <w:r w:rsidRPr="00BF352A">
        <w:rPr>
          <w:b/>
          <w:bCs/>
        </w:rPr>
        <w:t xml:space="preserve"> iegūtās informāciju tiesiskumu</w:t>
      </w:r>
    </w:p>
    <w:p w14:paraId="23EDF53D" w14:textId="77777777" w:rsidR="00D10CE1" w:rsidRPr="00BF352A" w:rsidRDefault="00D10CE1" w:rsidP="00D10CE1">
      <w:pPr>
        <w:spacing w:line="276" w:lineRule="auto"/>
        <w:jc w:val="both"/>
      </w:pPr>
      <w:r w:rsidRPr="00BF352A">
        <w:t xml:space="preserve">1. Izskatot lietu par labvēlīga administratīvā akta izdošanu, tiesai ne tikai jāpārbauda iestādes lēmumā ietvertais pamatojums, bet arī ir jāpārbauda, vai personai objektīvi ir tiesības uz pieprasīto administratīvo aktu. </w:t>
      </w:r>
    </w:p>
    <w:p w14:paraId="7AE5F81A" w14:textId="77777777" w:rsidR="00D10CE1" w:rsidRPr="00BF352A" w:rsidRDefault="00D10CE1" w:rsidP="00D10CE1">
      <w:pPr>
        <w:spacing w:line="276" w:lineRule="auto"/>
        <w:jc w:val="both"/>
      </w:pPr>
      <w:r w:rsidRPr="00BF352A">
        <w:t>2. Pārbaudot informāciju, it īpaši, ja procesa dalībnieks ir vērsis uz to uzmanību, tiesai ir jāpārbauda, vai iestāde, kura ir nodevusi informāciju, uz kuru vēlāk tiek balstīts administratīvais akts, šo informāciju ir ieguvusi tiesiski.</w:t>
      </w:r>
    </w:p>
    <w:p w14:paraId="6D8E010C" w14:textId="5A71EB88" w:rsidR="00D10CE1" w:rsidRDefault="00D10CE1" w:rsidP="00D10CE1">
      <w:pPr>
        <w:spacing w:line="276" w:lineRule="auto"/>
        <w:jc w:val="both"/>
      </w:pPr>
      <w:r w:rsidRPr="00BF352A">
        <w:t xml:space="preserve">3. Ja iestāde ir ieguvusi un uzkrājusi informāciju, kas nav paredzēta tiesību normās, tas automātiski nenozīmē, ka informācija ir iegūta ar prettiesiskām metodēm un ka tā vispār nevar tikt izmantota lēmuma pieņemšanā. Taču tai ir jābūt atspēkojamai ar citiem pierādījumiem. </w:t>
      </w:r>
    </w:p>
    <w:p w14:paraId="391DCC7B" w14:textId="77777777" w:rsidR="00D10CE1" w:rsidRDefault="00D10CE1" w:rsidP="00E878D3">
      <w:pPr>
        <w:spacing w:line="276" w:lineRule="auto"/>
        <w:jc w:val="center"/>
        <w:rPr>
          <w:lang w:eastAsia="ru-RU"/>
        </w:rPr>
      </w:pPr>
    </w:p>
    <w:p w14:paraId="2731FE48" w14:textId="5256F8A7" w:rsidR="00435790" w:rsidRDefault="00435790" w:rsidP="00E878D3">
      <w:pPr>
        <w:spacing w:line="276" w:lineRule="auto"/>
        <w:jc w:val="center"/>
        <w:rPr>
          <w:b/>
        </w:rPr>
      </w:pPr>
      <w:r w:rsidRPr="005C05A7">
        <w:rPr>
          <w:b/>
        </w:rPr>
        <w:t>Latvijas Republikas Senāt</w:t>
      </w:r>
      <w:r w:rsidR="005C05A7">
        <w:rPr>
          <w:b/>
        </w:rPr>
        <w:t>a</w:t>
      </w:r>
    </w:p>
    <w:p w14:paraId="431A0459" w14:textId="3A365B1D" w:rsidR="005C05A7" w:rsidRDefault="005C05A7" w:rsidP="00E878D3">
      <w:pPr>
        <w:spacing w:line="276" w:lineRule="auto"/>
        <w:jc w:val="center"/>
        <w:rPr>
          <w:b/>
        </w:rPr>
      </w:pPr>
      <w:r>
        <w:rPr>
          <w:b/>
        </w:rPr>
        <w:t>Administratīvo lietu departamenta</w:t>
      </w:r>
    </w:p>
    <w:p w14:paraId="5252445F" w14:textId="311BB348" w:rsidR="005C05A7" w:rsidRPr="005C05A7" w:rsidRDefault="005C05A7" w:rsidP="00E878D3">
      <w:pPr>
        <w:spacing w:line="276" w:lineRule="auto"/>
        <w:jc w:val="center"/>
        <w:rPr>
          <w:b/>
        </w:rPr>
      </w:pPr>
      <w:r>
        <w:rPr>
          <w:b/>
        </w:rPr>
        <w:t>2019.gada 12.novembra</w:t>
      </w:r>
    </w:p>
    <w:p w14:paraId="43F4DD08" w14:textId="0EB99711" w:rsidR="00435790" w:rsidRDefault="00435790" w:rsidP="00E878D3">
      <w:pPr>
        <w:spacing w:line="276" w:lineRule="auto"/>
        <w:jc w:val="center"/>
        <w:rPr>
          <w:b/>
        </w:rPr>
      </w:pPr>
      <w:r w:rsidRPr="005C05A7">
        <w:rPr>
          <w:b/>
        </w:rPr>
        <w:t>SPRIEDUMS</w:t>
      </w:r>
    </w:p>
    <w:p w14:paraId="00E52CB7" w14:textId="2880DEBC" w:rsidR="005C05A7" w:rsidRDefault="005C05A7" w:rsidP="00E878D3">
      <w:pPr>
        <w:spacing w:line="276" w:lineRule="auto"/>
        <w:jc w:val="center"/>
        <w:rPr>
          <w:b/>
        </w:rPr>
      </w:pPr>
      <w:r>
        <w:rPr>
          <w:b/>
        </w:rPr>
        <w:t>Lieta Nr. A420277116, SKA-402/2019</w:t>
      </w:r>
    </w:p>
    <w:p w14:paraId="72ED9056" w14:textId="66BB2709" w:rsidR="005C05A7" w:rsidRPr="005C05A7" w:rsidRDefault="00427C3A" w:rsidP="00E878D3">
      <w:pPr>
        <w:spacing w:line="276" w:lineRule="auto"/>
        <w:jc w:val="center"/>
        <w:rPr>
          <w:b/>
        </w:rPr>
      </w:pPr>
      <w:hyperlink r:id="rId8" w:history="1">
        <w:r w:rsidR="005C05A7" w:rsidRPr="005C05A7">
          <w:rPr>
            <w:rStyle w:val="Hyperlink"/>
          </w:rPr>
          <w:t>ECLI:LV:AT:2019:1112.A420277116.5.S</w:t>
        </w:r>
      </w:hyperlink>
    </w:p>
    <w:p w14:paraId="0C8CFA02" w14:textId="77777777" w:rsidR="00435790" w:rsidRPr="002E7FCE" w:rsidRDefault="00435790" w:rsidP="00E878D3">
      <w:pPr>
        <w:spacing w:line="276" w:lineRule="auto"/>
        <w:jc w:val="center"/>
      </w:pPr>
    </w:p>
    <w:p w14:paraId="175FD281" w14:textId="77777777" w:rsidR="00435790" w:rsidRPr="002E7FCE" w:rsidRDefault="00435790" w:rsidP="00E878D3">
      <w:pPr>
        <w:spacing w:line="276" w:lineRule="auto"/>
        <w:ind w:firstLine="567"/>
        <w:jc w:val="both"/>
      </w:pPr>
      <w:r w:rsidRPr="002E7FCE">
        <w:t>Tiesa šādā sastāvā: senatores Jautrīte Briede, Dace Mita un Līvija Slica</w:t>
      </w:r>
    </w:p>
    <w:p w14:paraId="521B660B" w14:textId="77777777" w:rsidR="00435790" w:rsidRPr="002E7FCE" w:rsidRDefault="00435790" w:rsidP="00E878D3">
      <w:pPr>
        <w:spacing w:line="276" w:lineRule="auto"/>
      </w:pPr>
    </w:p>
    <w:p w14:paraId="0026A345" w14:textId="763005BC" w:rsidR="0092755B" w:rsidRPr="002E7FCE" w:rsidRDefault="00435790" w:rsidP="00E878D3">
      <w:pPr>
        <w:spacing w:line="276" w:lineRule="auto"/>
        <w:ind w:firstLine="567"/>
        <w:jc w:val="both"/>
      </w:pPr>
      <w:bookmarkStart w:id="2" w:name="_Hlk21594894"/>
      <w:r w:rsidRPr="002E7FCE">
        <w:t xml:space="preserve">rakstveida procesā izskatīja administratīvo lietu, kas ierosināta, </w:t>
      </w:r>
      <w:bookmarkEnd w:id="0"/>
      <w:r w:rsidR="0092755B" w:rsidRPr="002E7FCE">
        <w:t xml:space="preserve">pamatojoties uz </w:t>
      </w:r>
      <w:r w:rsidR="000B1025" w:rsidRPr="002E7FCE">
        <w:t>ZS</w:t>
      </w:r>
      <w:r w:rsidR="00D45064" w:rsidRPr="002E7FCE">
        <w:t> </w:t>
      </w:r>
      <w:r w:rsidR="0092755B" w:rsidRPr="002E7FCE">
        <w:t>„</w:t>
      </w:r>
      <w:proofErr w:type="spellStart"/>
      <w:r w:rsidR="0092755B" w:rsidRPr="002E7FCE">
        <w:t>Kolnasāta</w:t>
      </w:r>
      <w:proofErr w:type="spellEnd"/>
      <w:r w:rsidR="0092755B" w:rsidRPr="002E7FCE">
        <w:t xml:space="preserve">” pieteikumu par labvēlīga administratīvā akta izdošanu, ar kuru </w:t>
      </w:r>
      <w:r w:rsidR="000B1025" w:rsidRPr="002E7FCE">
        <w:t>ZS</w:t>
      </w:r>
      <w:r w:rsidR="00D45064" w:rsidRPr="002E7FCE">
        <w:t> </w:t>
      </w:r>
      <w:r w:rsidR="0092755B" w:rsidRPr="002E7FCE">
        <w:t>„</w:t>
      </w:r>
      <w:proofErr w:type="spellStart"/>
      <w:r w:rsidR="0092755B" w:rsidRPr="002E7FCE">
        <w:t>Kolnasāta</w:t>
      </w:r>
      <w:proofErr w:type="spellEnd"/>
      <w:r w:rsidR="0092755B" w:rsidRPr="002E7FCE">
        <w:t xml:space="preserve">” tiktu piešķirts atbalsts „Maksājums gados jaunajiem lauksaimniekiem”, sakarā ar </w:t>
      </w:r>
      <w:r w:rsidR="000B1025" w:rsidRPr="002E7FCE">
        <w:t>ZS</w:t>
      </w:r>
      <w:r w:rsidR="00D45064" w:rsidRPr="002E7FCE">
        <w:t> </w:t>
      </w:r>
      <w:r w:rsidR="0092755B" w:rsidRPr="002E7FCE">
        <w:t>„</w:t>
      </w:r>
      <w:proofErr w:type="spellStart"/>
      <w:r w:rsidR="0092755B" w:rsidRPr="002E7FCE">
        <w:t>Kolnasāta</w:t>
      </w:r>
      <w:proofErr w:type="spellEnd"/>
      <w:r w:rsidR="0092755B" w:rsidRPr="002E7FCE">
        <w:t xml:space="preserve">” </w:t>
      </w:r>
      <w:r w:rsidRPr="002E7FCE">
        <w:t xml:space="preserve">kasācijas sūdzību par Administratīvās apgabaltiesas 2017.gada </w:t>
      </w:r>
      <w:r w:rsidR="0092755B" w:rsidRPr="002E7FCE">
        <w:t>13</w:t>
      </w:r>
      <w:r w:rsidRPr="002E7FCE">
        <w:t>.</w:t>
      </w:r>
      <w:r w:rsidR="0092755B" w:rsidRPr="002E7FCE">
        <w:t>oktobra</w:t>
      </w:r>
      <w:r w:rsidRPr="002E7FCE">
        <w:t xml:space="preserve"> spriedumu</w:t>
      </w:r>
      <w:bookmarkEnd w:id="2"/>
      <w:r w:rsidRPr="002E7FCE">
        <w:t xml:space="preserve">. </w:t>
      </w:r>
      <w:bookmarkStart w:id="3" w:name="_Hlk21594932"/>
    </w:p>
    <w:p w14:paraId="6552376D" w14:textId="77777777" w:rsidR="0092755B" w:rsidRPr="002E7FCE" w:rsidRDefault="0092755B" w:rsidP="00E878D3">
      <w:pPr>
        <w:spacing w:line="276" w:lineRule="auto"/>
        <w:ind w:firstLine="567"/>
        <w:jc w:val="both"/>
      </w:pPr>
    </w:p>
    <w:p w14:paraId="1E2534A1" w14:textId="77777777" w:rsidR="0092755B" w:rsidRPr="002E7FCE" w:rsidRDefault="0092755B" w:rsidP="00E878D3">
      <w:pPr>
        <w:spacing w:line="276" w:lineRule="auto"/>
        <w:jc w:val="center"/>
        <w:rPr>
          <w:b/>
        </w:rPr>
      </w:pPr>
      <w:r w:rsidRPr="002E7FCE">
        <w:rPr>
          <w:b/>
        </w:rPr>
        <w:t>Aprakstošā daļa</w:t>
      </w:r>
    </w:p>
    <w:p w14:paraId="1460D929" w14:textId="77777777" w:rsidR="0092755B" w:rsidRPr="002E7FCE" w:rsidRDefault="0092755B" w:rsidP="00E878D3">
      <w:pPr>
        <w:spacing w:line="276" w:lineRule="auto"/>
        <w:ind w:firstLine="567"/>
        <w:jc w:val="both"/>
      </w:pPr>
    </w:p>
    <w:p w14:paraId="6277B71C" w14:textId="060AE096" w:rsidR="00D168CC" w:rsidRPr="002E7FCE" w:rsidRDefault="000A2A9C" w:rsidP="00E878D3">
      <w:pPr>
        <w:spacing w:line="276" w:lineRule="auto"/>
        <w:ind w:firstLine="567"/>
        <w:jc w:val="both"/>
      </w:pPr>
      <w:r w:rsidRPr="002E7FCE">
        <w:t>[1] </w:t>
      </w:r>
      <w:bookmarkStart w:id="4" w:name="_Hlk21594996"/>
      <w:bookmarkEnd w:id="3"/>
      <w:r w:rsidR="0092755B" w:rsidRPr="002E7FCE">
        <w:rPr>
          <w:kern w:val="28"/>
        </w:rPr>
        <w:t>Lauku atbalsta dienest</w:t>
      </w:r>
      <w:r w:rsidR="00D168CC" w:rsidRPr="002E7FCE">
        <w:rPr>
          <w:kern w:val="28"/>
        </w:rPr>
        <w:t>s</w:t>
      </w:r>
      <w:r w:rsidR="0092755B" w:rsidRPr="002E7FCE">
        <w:rPr>
          <w:kern w:val="28"/>
        </w:rPr>
        <w:t xml:space="preserve"> (turpmāk – Dienests) </w:t>
      </w:r>
      <w:r w:rsidR="00D168CC" w:rsidRPr="002E7FCE">
        <w:rPr>
          <w:kern w:val="28"/>
        </w:rPr>
        <w:t>2016.gada 4.august</w:t>
      </w:r>
      <w:r w:rsidR="00EE15FD" w:rsidRPr="002E7FCE">
        <w:rPr>
          <w:kern w:val="28"/>
        </w:rPr>
        <w:t>ā</w:t>
      </w:r>
      <w:r w:rsidR="00D168CC" w:rsidRPr="002E7FCE">
        <w:rPr>
          <w:kern w:val="28"/>
        </w:rPr>
        <w:t xml:space="preserve"> </w:t>
      </w:r>
      <w:r w:rsidR="0092755B" w:rsidRPr="002E7FCE">
        <w:rPr>
          <w:kern w:val="28"/>
        </w:rPr>
        <w:t>attei</w:t>
      </w:r>
      <w:r w:rsidR="00D168CC" w:rsidRPr="002E7FCE">
        <w:rPr>
          <w:kern w:val="28"/>
        </w:rPr>
        <w:t>cis</w:t>
      </w:r>
      <w:r w:rsidR="0092755B" w:rsidRPr="002E7FCE">
        <w:rPr>
          <w:kern w:val="28"/>
        </w:rPr>
        <w:t xml:space="preserve"> piešķirt </w:t>
      </w:r>
      <w:r w:rsidR="0092755B" w:rsidRPr="002E7FCE">
        <w:t>pieteicēja</w:t>
      </w:r>
      <w:r w:rsidR="00F33FDA" w:rsidRPr="002E7FCE">
        <w:t>i</w:t>
      </w:r>
      <w:r w:rsidR="0092755B" w:rsidRPr="002E7FCE">
        <w:t xml:space="preserve"> </w:t>
      </w:r>
      <w:r w:rsidR="000B1025" w:rsidRPr="002E7FCE">
        <w:rPr>
          <w:kern w:val="28"/>
        </w:rPr>
        <w:t>ZS</w:t>
      </w:r>
      <w:r w:rsidR="00D45064" w:rsidRPr="002E7FCE">
        <w:rPr>
          <w:kern w:val="28"/>
        </w:rPr>
        <w:t> </w:t>
      </w:r>
      <w:r w:rsidR="0092755B" w:rsidRPr="002E7FCE">
        <w:rPr>
          <w:kern w:val="28"/>
        </w:rPr>
        <w:t>„</w:t>
      </w:r>
      <w:proofErr w:type="spellStart"/>
      <w:r w:rsidR="0092755B" w:rsidRPr="002E7FCE">
        <w:rPr>
          <w:kern w:val="28"/>
        </w:rPr>
        <w:t>Kolnasāta</w:t>
      </w:r>
      <w:proofErr w:type="spellEnd"/>
      <w:r w:rsidR="0092755B" w:rsidRPr="002E7FCE">
        <w:rPr>
          <w:kern w:val="28"/>
        </w:rPr>
        <w:t xml:space="preserve">” </w:t>
      </w:r>
      <w:r w:rsidR="0092755B" w:rsidRPr="002E7FCE">
        <w:t>atbalst</w:t>
      </w:r>
      <w:r w:rsidR="000B1025" w:rsidRPr="002E7FCE">
        <w:t>u</w:t>
      </w:r>
      <w:r w:rsidR="0092755B" w:rsidRPr="002E7FCE">
        <w:t xml:space="preserve"> </w:t>
      </w:r>
      <w:r w:rsidR="000B1025" w:rsidRPr="002E7FCE">
        <w:t>(m</w:t>
      </w:r>
      <w:r w:rsidR="0092755B" w:rsidRPr="002E7FCE">
        <w:t>aksājum</w:t>
      </w:r>
      <w:r w:rsidR="000B1025" w:rsidRPr="002E7FCE">
        <w:t>s</w:t>
      </w:r>
      <w:r w:rsidR="0092755B" w:rsidRPr="002E7FCE">
        <w:t xml:space="preserve"> gados jauniem lauksaimniekiem</w:t>
      </w:r>
      <w:r w:rsidR="000B1025" w:rsidRPr="002E7FCE">
        <w:t>)</w:t>
      </w:r>
      <w:r w:rsidR="0092755B" w:rsidRPr="002E7FCE">
        <w:t>.</w:t>
      </w:r>
      <w:r w:rsidR="00D168CC" w:rsidRPr="002E7FCE">
        <w:t xml:space="preserve"> Lēmums pamatots ar to, ka </w:t>
      </w:r>
      <w:r w:rsidR="006345FD" w:rsidRPr="002E7FCE">
        <w:t xml:space="preserve">pieteicēja neatbilst </w:t>
      </w:r>
      <w:r w:rsidR="00D168CC" w:rsidRPr="002E7FCE">
        <w:t>Ministru kabineta 2015.gada 10.marta noteikumu Nr.</w:t>
      </w:r>
      <w:r w:rsidR="00D45064" w:rsidRPr="002E7FCE">
        <w:t> </w:t>
      </w:r>
      <w:r w:rsidR="00D168CC" w:rsidRPr="002E7FCE">
        <w:t>126 „Tiešo maksājumu piešķiršanas kārtība lauksaimniekiem” (turpmāk – Noteikumi Nr.</w:t>
      </w:r>
      <w:r w:rsidR="00D45064" w:rsidRPr="002E7FCE">
        <w:t> </w:t>
      </w:r>
      <w:r w:rsidR="00D168CC" w:rsidRPr="002E7FCE">
        <w:t>126) 126.punktā noteiktajiem kritērijiem „gados jauns lauksaimnieks”</w:t>
      </w:r>
      <w:r w:rsidR="00EE15FD" w:rsidRPr="002E7FCE">
        <w:t>.</w:t>
      </w:r>
      <w:r w:rsidR="006345FD" w:rsidRPr="002E7FCE">
        <w:t xml:space="preserve"> </w:t>
      </w:r>
    </w:p>
    <w:p w14:paraId="25B89660" w14:textId="77777777" w:rsidR="009F0BE4" w:rsidRPr="002E7FCE" w:rsidRDefault="009F0BE4" w:rsidP="00E878D3">
      <w:pPr>
        <w:spacing w:line="276" w:lineRule="auto"/>
        <w:ind w:firstLine="567"/>
        <w:jc w:val="both"/>
        <w:rPr>
          <w:lang w:eastAsia="en-GB"/>
        </w:rPr>
      </w:pPr>
      <w:r w:rsidRPr="002E7FCE">
        <w:rPr>
          <w:lang w:eastAsia="en-GB"/>
        </w:rPr>
        <w:t>Pieteicēj</w:t>
      </w:r>
      <w:r w:rsidR="00D168CC" w:rsidRPr="002E7FCE">
        <w:rPr>
          <w:lang w:eastAsia="en-GB"/>
        </w:rPr>
        <w:t xml:space="preserve">a </w:t>
      </w:r>
      <w:r w:rsidRPr="002E7FCE">
        <w:rPr>
          <w:lang w:eastAsia="en-GB"/>
        </w:rPr>
        <w:t xml:space="preserve">vērsās </w:t>
      </w:r>
      <w:r w:rsidR="00435790" w:rsidRPr="002E7FCE">
        <w:rPr>
          <w:lang w:eastAsia="en-GB"/>
        </w:rPr>
        <w:t>tiesā</w:t>
      </w:r>
      <w:r w:rsidR="00F579D7" w:rsidRPr="002E7FCE">
        <w:rPr>
          <w:lang w:eastAsia="en-GB"/>
        </w:rPr>
        <w:t xml:space="preserve"> ar</w:t>
      </w:r>
      <w:r w:rsidR="00435790" w:rsidRPr="002E7FCE">
        <w:rPr>
          <w:lang w:eastAsia="en-GB"/>
        </w:rPr>
        <w:t xml:space="preserve"> </w:t>
      </w:r>
      <w:r w:rsidRPr="002E7FCE">
        <w:rPr>
          <w:lang w:eastAsia="en-GB"/>
        </w:rPr>
        <w:t>pieteikumu</w:t>
      </w:r>
      <w:bookmarkEnd w:id="4"/>
      <w:r w:rsidRPr="002E7FCE">
        <w:rPr>
          <w:lang w:eastAsia="en-GB"/>
        </w:rPr>
        <w:t>.</w:t>
      </w:r>
      <w:r w:rsidR="00435790" w:rsidRPr="002E7FCE">
        <w:rPr>
          <w:lang w:eastAsia="en-GB"/>
        </w:rPr>
        <w:t xml:space="preserve"> </w:t>
      </w:r>
    </w:p>
    <w:p w14:paraId="356D9540" w14:textId="77777777" w:rsidR="00AC2D3D" w:rsidRPr="002E7FCE" w:rsidRDefault="00AC2D3D" w:rsidP="00E878D3">
      <w:pPr>
        <w:spacing w:line="276" w:lineRule="auto"/>
        <w:ind w:firstLine="567"/>
        <w:jc w:val="both"/>
      </w:pPr>
    </w:p>
    <w:p w14:paraId="480390D1" w14:textId="77777777" w:rsidR="00AC2D3D" w:rsidRPr="002E7FCE" w:rsidRDefault="000A2A9C" w:rsidP="00E878D3">
      <w:pPr>
        <w:spacing w:line="276" w:lineRule="auto"/>
        <w:ind w:firstLine="567"/>
        <w:jc w:val="both"/>
        <w:rPr>
          <w:rFonts w:eastAsia="Lucida Sans Unicode"/>
          <w:kern w:val="1"/>
        </w:rPr>
      </w:pPr>
      <w:r w:rsidRPr="002E7FCE">
        <w:t>[2] </w:t>
      </w:r>
      <w:r w:rsidR="00AC2D3D" w:rsidRPr="002E7FCE">
        <w:t xml:space="preserve">Administratīvā rajona tiesa un Administratīvā apgabaltiesa pieteikumu </w:t>
      </w:r>
      <w:r w:rsidR="00EA547A" w:rsidRPr="002E7FCE">
        <w:t>noraidīja</w:t>
      </w:r>
      <w:r w:rsidR="00AC2D3D" w:rsidRPr="002E7FCE">
        <w:t xml:space="preserve">. </w:t>
      </w:r>
    </w:p>
    <w:p w14:paraId="4BD7703A" w14:textId="77777777" w:rsidR="00AC2D3D" w:rsidRPr="002E7FCE" w:rsidRDefault="00AC2D3D" w:rsidP="00E878D3">
      <w:pPr>
        <w:spacing w:line="276" w:lineRule="auto"/>
        <w:ind w:firstLine="567"/>
        <w:jc w:val="both"/>
      </w:pPr>
      <w:r w:rsidRPr="002E7FCE">
        <w:rPr>
          <w:rFonts w:eastAsia="Lucida Sans Unicode"/>
          <w:kern w:val="1"/>
        </w:rPr>
        <w:t>Administratīvās apgabalt</w:t>
      </w:r>
      <w:r w:rsidRPr="002E7FCE">
        <w:t>iesas spriedums pamatots ar turpmāk minētajiem argumentiem.</w:t>
      </w:r>
    </w:p>
    <w:p w14:paraId="22F933CB" w14:textId="5FC53898" w:rsidR="00F24F1B" w:rsidRPr="002E7FCE" w:rsidRDefault="000A2A9C" w:rsidP="00E878D3">
      <w:pPr>
        <w:spacing w:line="276" w:lineRule="auto"/>
        <w:ind w:firstLine="567"/>
        <w:jc w:val="both"/>
      </w:pPr>
      <w:r w:rsidRPr="002E7FCE">
        <w:rPr>
          <w:lang w:eastAsia="en-GB"/>
        </w:rPr>
        <w:t>[2.1] </w:t>
      </w:r>
      <w:r w:rsidR="00EA547A" w:rsidRPr="002E7FCE">
        <w:t>Noteikumu Nr.</w:t>
      </w:r>
      <w:r w:rsidR="004169C0" w:rsidRPr="002E7FCE">
        <w:t> </w:t>
      </w:r>
      <w:r w:rsidR="00EA547A" w:rsidRPr="002E7FCE">
        <w:t>126 126.</w:t>
      </w:r>
      <w:r w:rsidR="00F24F1B" w:rsidRPr="002E7FCE">
        <w:t>3.apakš</w:t>
      </w:r>
      <w:r w:rsidR="00EA547A" w:rsidRPr="002E7FCE">
        <w:t>punkt</w:t>
      </w:r>
      <w:r w:rsidR="00F24F1B" w:rsidRPr="002E7FCE">
        <w:t>ā kā viens no kritērijiem, kad uzskatāms,</w:t>
      </w:r>
      <w:r w:rsidR="00EA547A" w:rsidRPr="002E7FCE">
        <w:t xml:space="preserve"> ka fiziska persona pirmo reizi saimniecības vadītāja statusā dibina lauku saimniecību</w:t>
      </w:r>
      <w:r w:rsidR="00F24F1B" w:rsidRPr="002E7FCE">
        <w:t>, bija noteikta</w:t>
      </w:r>
      <w:r w:rsidR="00EA547A" w:rsidRPr="002E7FCE">
        <w:t xml:space="preserve"> reģistr</w:t>
      </w:r>
      <w:r w:rsidR="00F24F1B" w:rsidRPr="002E7FCE">
        <w:t>ācija</w:t>
      </w:r>
      <w:r w:rsidR="00EA547A" w:rsidRPr="002E7FCE">
        <w:t xml:space="preserve"> kā saimnieciskās darbības veicēj</w:t>
      </w:r>
      <w:r w:rsidR="00F24F1B" w:rsidRPr="002E7FCE">
        <w:t>am Valsts ieņēmumu dienestā</w:t>
      </w:r>
      <w:r w:rsidR="00EA547A" w:rsidRPr="002E7FCE">
        <w:t>, norādot lauksaimniecisko darbību kā personas darbības veidu.</w:t>
      </w:r>
      <w:r w:rsidR="00F24F1B" w:rsidRPr="002E7FCE">
        <w:t xml:space="preserve"> </w:t>
      </w:r>
    </w:p>
    <w:p w14:paraId="4D44BA9A" w14:textId="17AA9950" w:rsidR="008148DD" w:rsidRPr="002E7FCE" w:rsidRDefault="00F24F1B" w:rsidP="00E878D3">
      <w:pPr>
        <w:spacing w:line="276" w:lineRule="auto"/>
        <w:ind w:firstLine="567"/>
        <w:jc w:val="both"/>
      </w:pPr>
      <w:r w:rsidRPr="002E7FCE">
        <w:t>P</w:t>
      </w:r>
      <w:r w:rsidR="00EA547A" w:rsidRPr="002E7FCE">
        <w:t>ar lauku saimniecību var tikt uzskatīta ne tikai zemnieku saimniecība, kuras dibināšanas mērķis saskaņā ar likumu ir lauksaimnieciskās produkcijas ražošana, bet arī citi komersanti, kuri gūst ienākumus no lauksaimniecības, kā arī fiziskas personas, kuras nodarbojas ar lauksaimniecību un ir reģistrētas Valsts ieņēmumu dienestā kā saimnieciskā darba veicēji.</w:t>
      </w:r>
      <w:r w:rsidR="00476DBB" w:rsidRPr="002E7FCE">
        <w:t xml:space="preserve"> </w:t>
      </w:r>
      <w:r w:rsidRPr="002E7FCE">
        <w:t>P</w:t>
      </w:r>
      <w:r w:rsidR="00EA547A" w:rsidRPr="002E7FCE">
        <w:t xml:space="preserve">ar </w:t>
      </w:r>
      <w:r w:rsidR="00EA547A" w:rsidRPr="002E7FCE">
        <w:lastRenderedPageBreak/>
        <w:t xml:space="preserve">pirmo lauku saimniecību tiek atzīts ne tikai jaundibināts uzņēmums, kurš izveidots ar mērķi lauksaimnieciskās darbības veikšanai, bet arī jau pastāvošs uzņēmums, kurš nolēmis uzsākt nodarboties ar lauksaimniecību un pirmo reizi deklarējis šo darbības veidu Valsts ieņēmumu dienestā vai deklarējis pirmos lauksaimnieciskās darbības ieņēmumus. </w:t>
      </w:r>
      <w:r w:rsidRPr="002E7FCE">
        <w:t>L</w:t>
      </w:r>
      <w:r w:rsidR="00EA547A" w:rsidRPr="002E7FCE">
        <w:t>auksaimniecības darbības ieņēmumi nav obligāt</w:t>
      </w:r>
      <w:r w:rsidR="00EE15FD" w:rsidRPr="002E7FCE">
        <w:t>i</w:t>
      </w:r>
      <w:r w:rsidR="00EA547A" w:rsidRPr="002E7FCE">
        <w:t>, lai konkrēto uzņēmumu uzskatītu par lauku saimniecību, pietiek ar faktu, ka saimnieciskās darbības veicējs deklarē valstij lauksaimniecību kā savu saimnieciskās darbības veidu.</w:t>
      </w:r>
    </w:p>
    <w:p w14:paraId="60B78733" w14:textId="57144F3B" w:rsidR="008148DD" w:rsidRPr="002E7FCE" w:rsidRDefault="008148DD" w:rsidP="00E878D3">
      <w:pPr>
        <w:spacing w:line="276" w:lineRule="auto"/>
        <w:ind w:firstLine="567"/>
        <w:jc w:val="both"/>
      </w:pPr>
      <w:r w:rsidRPr="002E7FCE">
        <w:t>[2.</w:t>
      </w:r>
      <w:r w:rsidR="00476DBB" w:rsidRPr="002E7FCE">
        <w:t>2</w:t>
      </w:r>
      <w:r w:rsidR="00D45064" w:rsidRPr="002E7FCE">
        <w:t>] </w:t>
      </w:r>
      <w:r w:rsidR="00EA547A" w:rsidRPr="002E7FCE">
        <w:t>Noteikumu Nr.</w:t>
      </w:r>
      <w:r w:rsidR="004169C0" w:rsidRPr="002E7FCE">
        <w:t> </w:t>
      </w:r>
      <w:r w:rsidR="00EA547A" w:rsidRPr="002E7FCE">
        <w:t>126 129.punkts paredz, ka Valsts ieņēmumu dienests pēc Dienesta pieprasījuma sniedz informāciju.</w:t>
      </w:r>
      <w:r w:rsidRPr="002E7FCE">
        <w:t xml:space="preserve"> </w:t>
      </w:r>
      <w:r w:rsidR="00EA547A" w:rsidRPr="002E7FCE">
        <w:t>Valsts ieņēmumu dienests informēja, ka 2008.gadā SIA</w:t>
      </w:r>
      <w:r w:rsidR="004169C0" w:rsidRPr="002E7FCE">
        <w:t> </w:t>
      </w:r>
      <w:r w:rsidR="00EA547A" w:rsidRPr="002E7FCE">
        <w:t xml:space="preserve">„ZESOL”, kuras kapitāldaļu turētājs un </w:t>
      </w:r>
      <w:proofErr w:type="spellStart"/>
      <w:r w:rsidR="00EA547A" w:rsidRPr="002E7FCE">
        <w:t>paraksttiesīgā</w:t>
      </w:r>
      <w:proofErr w:type="spellEnd"/>
      <w:r w:rsidR="00EA547A" w:rsidRPr="002E7FCE">
        <w:t xml:space="preserve"> persona bija </w:t>
      </w:r>
      <w:r w:rsidR="00F24F1B" w:rsidRPr="002E7FCE">
        <w:t>pieteicējas</w:t>
      </w:r>
      <w:r w:rsidR="00EA547A" w:rsidRPr="002E7FCE">
        <w:t xml:space="preserve"> īpašnieks, Valsts ieņēmumu dienestam ir norādījusi lauksaimniecību kā vienu no darbības veidiem. </w:t>
      </w:r>
      <w:r w:rsidRPr="002E7FCE">
        <w:t>S</w:t>
      </w:r>
      <w:r w:rsidR="00EA547A" w:rsidRPr="002E7FCE">
        <w:t>ecināms, ka ZS</w:t>
      </w:r>
      <w:r w:rsidR="004169C0" w:rsidRPr="002E7FCE">
        <w:t> </w:t>
      </w:r>
      <w:r w:rsidR="00EA547A" w:rsidRPr="002E7FCE">
        <w:t>„</w:t>
      </w:r>
      <w:proofErr w:type="spellStart"/>
      <w:r w:rsidR="00EA547A" w:rsidRPr="002E7FCE">
        <w:t>Kolnasāta</w:t>
      </w:r>
      <w:proofErr w:type="spellEnd"/>
      <w:r w:rsidR="00EA547A" w:rsidRPr="002E7FCE">
        <w:t xml:space="preserve">” nav pirmā </w:t>
      </w:r>
      <w:r w:rsidRPr="002E7FCE">
        <w:t>pieteicējas īpašnieka</w:t>
      </w:r>
      <w:r w:rsidR="00EA547A" w:rsidRPr="002E7FCE">
        <w:t xml:space="preserve"> dibinātā lauku saimniecība</w:t>
      </w:r>
      <w:r w:rsidR="00F24F1B" w:rsidRPr="002E7FCE">
        <w:t>.</w:t>
      </w:r>
    </w:p>
    <w:p w14:paraId="7BCAA6E3" w14:textId="02989340" w:rsidR="007529BC" w:rsidRPr="002E7FCE" w:rsidRDefault="008148DD" w:rsidP="00E878D3">
      <w:pPr>
        <w:spacing w:line="276" w:lineRule="auto"/>
        <w:ind w:firstLine="567"/>
        <w:jc w:val="both"/>
      </w:pPr>
      <w:r w:rsidRPr="002E7FCE">
        <w:t>[2.</w:t>
      </w:r>
      <w:r w:rsidR="00D45064" w:rsidRPr="002E7FCE">
        <w:t>3] </w:t>
      </w:r>
      <w:r w:rsidR="00EA547A" w:rsidRPr="002E7FCE">
        <w:t>Nav pamatots pieteicējas arguments, ka Noteikumu Nr.</w:t>
      </w:r>
      <w:r w:rsidR="004169C0" w:rsidRPr="002E7FCE">
        <w:t> </w:t>
      </w:r>
      <w:r w:rsidR="00EA547A" w:rsidRPr="002E7FCE">
        <w:t>126 126.3.apakšpunkts attiecas tikai uz fizisku personu kā saimnieciskās darbības veicēju, kuram saskaņā ar likuma „Par iedzīvotāju ienākuma nodokli” 28.panta 6.punktu pirms saimnieciskās darbības uzsākšanas jāreģistrējas Valsts ieņēmumu dienestā kā saimnieciskās darbības veicējam.</w:t>
      </w:r>
      <w:r w:rsidRPr="002E7FCE">
        <w:t xml:space="preserve"> </w:t>
      </w:r>
      <w:r w:rsidR="003270BD" w:rsidRPr="002E7FCE">
        <w:t>R</w:t>
      </w:r>
      <w:r w:rsidR="00EA547A" w:rsidRPr="002E7FCE">
        <w:t xml:space="preserve">eģistrēšanās kā saimnieciskās darbības veicējam Valsts ieņēmumu dienestā tulkojama plašāk. </w:t>
      </w:r>
      <w:r w:rsidR="003270BD" w:rsidRPr="002E7FCE">
        <w:t>S</w:t>
      </w:r>
      <w:r w:rsidR="00EA547A" w:rsidRPr="002E7FCE">
        <w:t>aimnieciskā</w:t>
      </w:r>
      <w:r w:rsidR="004169C0" w:rsidRPr="002E7FCE">
        <w:t>s</w:t>
      </w:r>
      <w:r w:rsidR="00EA547A" w:rsidRPr="002E7FCE">
        <w:t xml:space="preserve"> darbības jēdziens lietots tā visplašākajā nozīmē, ietverot arī komercdarbību.</w:t>
      </w:r>
    </w:p>
    <w:p w14:paraId="287139DE" w14:textId="2D47CE55" w:rsidR="00EA547A" w:rsidRPr="002E7FCE" w:rsidRDefault="00EA547A" w:rsidP="00E878D3">
      <w:pPr>
        <w:spacing w:line="276" w:lineRule="auto"/>
        <w:ind w:firstLine="567"/>
        <w:jc w:val="both"/>
      </w:pPr>
      <w:r w:rsidRPr="002E7FCE">
        <w:t>[</w:t>
      </w:r>
      <w:r w:rsidR="007529BC" w:rsidRPr="002E7FCE">
        <w:t>2.</w:t>
      </w:r>
      <w:r w:rsidR="00F71643" w:rsidRPr="002E7FCE">
        <w:t>4</w:t>
      </w:r>
      <w:r w:rsidR="00D45064" w:rsidRPr="002E7FCE">
        <w:t>] </w:t>
      </w:r>
      <w:r w:rsidRPr="002E7FCE">
        <w:t>Valsts ieņēmumu dienests, nosūtot Dienestam ziņas, ir balstījies uz 2008.gada 17.jūlijā SIA</w:t>
      </w:r>
      <w:r w:rsidR="004169C0" w:rsidRPr="002E7FCE">
        <w:t> </w:t>
      </w:r>
      <w:r w:rsidRPr="002E7FCE">
        <w:t>„ZESOL” Valsts ieņēmumu dienestā iesniegto</w:t>
      </w:r>
      <w:r w:rsidR="00F71643" w:rsidRPr="002E7FCE">
        <w:t xml:space="preserve"> Ministru kabineta 2001.gada 27.marta noteikumu Nr. 150 „Noteikumi par nodokļu maksātāju un nodokļu maksātāju struktūrvienību reģistrāciju Valsts ieņēmumu dienestā” (turpmāk – N</w:t>
      </w:r>
      <w:r w:rsidRPr="002E7FCE">
        <w:t>oteikum</w:t>
      </w:r>
      <w:r w:rsidR="00F71643" w:rsidRPr="002E7FCE">
        <w:t>i</w:t>
      </w:r>
      <w:r w:rsidRPr="002E7FCE">
        <w:t xml:space="preserve"> Nr.</w:t>
      </w:r>
      <w:r w:rsidR="004169C0" w:rsidRPr="002E7FCE">
        <w:t> </w:t>
      </w:r>
      <w:r w:rsidRPr="002E7FCE">
        <w:t>150</w:t>
      </w:r>
      <w:r w:rsidR="00F71643" w:rsidRPr="002E7FCE">
        <w:t>)</w:t>
      </w:r>
      <w:r w:rsidRPr="002E7FCE">
        <w:t xml:space="preserve"> 4.pielikuma veidlapu „Nodokļu maksātāja (juridiskās vai cita</w:t>
      </w:r>
      <w:r w:rsidR="004169C0" w:rsidRPr="002E7FCE">
        <w:t>s</w:t>
      </w:r>
      <w:r w:rsidRPr="002E7FCE">
        <w:t xml:space="preserve"> personas) ziņojums par izmaiņām reģistrācijas lapā”.</w:t>
      </w:r>
      <w:r w:rsidR="007529BC" w:rsidRPr="002E7FCE">
        <w:t xml:space="preserve"> </w:t>
      </w:r>
      <w:r w:rsidRPr="002E7FCE">
        <w:t>Lai gan pieteicēja pamatoti norāda, ka Noteikumi Nr.</w:t>
      </w:r>
      <w:r w:rsidR="004169C0" w:rsidRPr="002E7FCE">
        <w:t> </w:t>
      </w:r>
      <w:r w:rsidRPr="002E7FCE">
        <w:t>150 bija piemērojami tikai uz nodokļu maksātājiem, kuriem nav jāreģistrējas Uzņēmumu reģistrā, bet tikai Valsts ieņēmumu dienestā, tam šajā lietā nav izšķirošas nozīmes, jo veids, kādā nodokļu maksātājs ir informējis Valsts ieņēmumu dienestu par saviem darbības veidiem, neietekmē pašu paziņošanas faktu, par kuru šajā lietā strīda nav.</w:t>
      </w:r>
    </w:p>
    <w:p w14:paraId="1AC5C69A" w14:textId="77777777" w:rsidR="00625832" w:rsidRPr="002E7FCE" w:rsidRDefault="00625832" w:rsidP="00E878D3">
      <w:pPr>
        <w:spacing w:line="276" w:lineRule="auto"/>
        <w:jc w:val="both"/>
        <w:rPr>
          <w:rFonts w:ascii="TimesNewRomanPSMT" w:hAnsi="TimesNewRomanPSMT" w:cs="TimesNewRomanPSMT"/>
        </w:rPr>
      </w:pPr>
    </w:p>
    <w:p w14:paraId="3060CA54" w14:textId="77777777" w:rsidR="007529BC" w:rsidRPr="002E7FCE" w:rsidRDefault="000A2A9C" w:rsidP="00E878D3">
      <w:pPr>
        <w:spacing w:line="276" w:lineRule="auto"/>
        <w:ind w:firstLine="567"/>
        <w:jc w:val="both"/>
      </w:pPr>
      <w:r w:rsidRPr="002E7FCE">
        <w:t>[3] </w:t>
      </w:r>
      <w:r w:rsidR="007529BC" w:rsidRPr="002E7FCE">
        <w:t>Pieteicēja</w:t>
      </w:r>
      <w:r w:rsidR="00530B85" w:rsidRPr="002E7FCE">
        <w:t xml:space="preserve"> par Administratīvās apgabaltiesas spriedumu iesniedza kasācijas sūdzību, pārsūdzot spriedumu </w:t>
      </w:r>
      <w:r w:rsidR="007529BC" w:rsidRPr="002E7FCE">
        <w:t>pilnībā</w:t>
      </w:r>
      <w:r w:rsidR="00530B85" w:rsidRPr="002E7FCE">
        <w:t>. Kasācijas sūdzība pamatota ar turpmāk norādītajiem argumentiem.</w:t>
      </w:r>
    </w:p>
    <w:p w14:paraId="0C3EBDD4" w14:textId="36C3660D" w:rsidR="00EA547A" w:rsidRPr="002E7FCE" w:rsidRDefault="00D45064" w:rsidP="00E878D3">
      <w:pPr>
        <w:spacing w:line="276" w:lineRule="auto"/>
        <w:ind w:firstLine="567"/>
        <w:jc w:val="both"/>
      </w:pPr>
      <w:r w:rsidRPr="002E7FCE">
        <w:t>[3.1] </w:t>
      </w:r>
      <w:r w:rsidR="007529BC" w:rsidRPr="002E7FCE">
        <w:t>Tiesa nepareizi interpretēja jēdzienus „komercdarbība” un „saimnieciskā darbība”</w:t>
      </w:r>
      <w:r w:rsidR="00EA547A" w:rsidRPr="002E7FCE">
        <w:t>.</w:t>
      </w:r>
      <w:r w:rsidR="007529BC" w:rsidRPr="002E7FCE">
        <w:t xml:space="preserve"> Pretēji tiesas atzinumam </w:t>
      </w:r>
      <w:r w:rsidR="00EA547A" w:rsidRPr="002E7FCE">
        <w:t>Noteikumu Nr.</w:t>
      </w:r>
      <w:r w:rsidR="006870B0" w:rsidRPr="002E7FCE">
        <w:t> </w:t>
      </w:r>
      <w:r w:rsidR="00EA547A" w:rsidRPr="002E7FCE">
        <w:t>126 126.3.apakšpunkt</w:t>
      </w:r>
      <w:r w:rsidR="00F33FDA" w:rsidRPr="002E7FCE">
        <w:t>a</w:t>
      </w:r>
      <w:r w:rsidR="00EA547A" w:rsidRPr="002E7FCE">
        <w:t xml:space="preserve"> </w:t>
      </w:r>
      <w:r w:rsidR="007529BC" w:rsidRPr="002E7FCE">
        <w:t xml:space="preserve">izpratnē </w:t>
      </w:r>
      <w:r w:rsidR="00EA547A" w:rsidRPr="002E7FCE">
        <w:t>jēdzien</w:t>
      </w:r>
      <w:r w:rsidR="007529BC" w:rsidRPr="002E7FCE">
        <w:t>s</w:t>
      </w:r>
      <w:r w:rsidR="00EA547A" w:rsidRPr="002E7FCE">
        <w:t xml:space="preserve"> „saimnieciskā darbība” </w:t>
      </w:r>
      <w:r w:rsidR="007529BC" w:rsidRPr="002E7FCE">
        <w:t xml:space="preserve">ir jāinterpretē </w:t>
      </w:r>
      <w:r w:rsidR="00530A50" w:rsidRPr="002E7FCE">
        <w:t xml:space="preserve">nevis plaši, bet </w:t>
      </w:r>
      <w:r w:rsidR="007529BC" w:rsidRPr="002E7FCE">
        <w:t>šauri</w:t>
      </w:r>
      <w:r w:rsidR="00347794" w:rsidRPr="002E7FCE">
        <w:t>, atbilstoši šo terminu jēgai normatīv</w:t>
      </w:r>
      <w:r w:rsidR="006870B0" w:rsidRPr="002E7FCE">
        <w:t>aj</w:t>
      </w:r>
      <w:r w:rsidR="00347794" w:rsidRPr="002E7FCE">
        <w:t>os aktos, kuros likumdevējs noteicis subjektus, kuri reģistrē savu darbību Valsts ieņēmumu dienestā un kuriem nav jāreģistrējas Uzņēmumu reģistrā. Tikai par šo personu darbības veidiem Valsts ieņēmumu dienestam ir tiesības sniegt ziņas Dienestam Noteikumu Nr.</w:t>
      </w:r>
      <w:r w:rsidR="006870B0" w:rsidRPr="002E7FCE">
        <w:t> </w:t>
      </w:r>
      <w:r w:rsidR="00347794" w:rsidRPr="002E7FCE">
        <w:t xml:space="preserve">126 izpratnē. </w:t>
      </w:r>
      <w:r w:rsidR="00530A50" w:rsidRPr="002E7FCE">
        <w:t>Par</w:t>
      </w:r>
      <w:r w:rsidR="00347794" w:rsidRPr="002E7FCE">
        <w:t xml:space="preserve"> personām, kuru saimnieciskā (plašākā nozīmē) jeb komercdarbība tie</w:t>
      </w:r>
      <w:r w:rsidR="00530A50" w:rsidRPr="002E7FCE">
        <w:t>k</w:t>
      </w:r>
      <w:r w:rsidR="00347794" w:rsidRPr="002E7FCE">
        <w:t xml:space="preserve"> reģistrēta Uzņēmumu reģistrā, Valsts ieņēmumu dienests ir tiesīgs sniegt tikai ziņas par ieņēmumiem no lauksaimnieciskās darbības.</w:t>
      </w:r>
    </w:p>
    <w:p w14:paraId="5E05222A" w14:textId="7B55F112" w:rsidR="00530A50" w:rsidRPr="002E7FCE" w:rsidRDefault="00D45064" w:rsidP="00E878D3">
      <w:pPr>
        <w:spacing w:line="276" w:lineRule="auto"/>
        <w:ind w:firstLine="567"/>
        <w:jc w:val="both"/>
      </w:pPr>
      <w:r w:rsidRPr="002E7FCE">
        <w:t>[3.2] </w:t>
      </w:r>
      <w:r w:rsidR="00530A50" w:rsidRPr="002E7FCE">
        <w:t xml:space="preserve">Valsts pārvalde savas pilnvaras var izmantot tikai atbilstoši pilnvarojuma jēgai un mērķim. Valsts ieņēmumu dienests bija pārkāpis savu kompetenci, pēc reģistrācijas Uzņēmumu reģistrā komersantiem liekot aizpildīt veidlapas, kuras attiecināmas uz </w:t>
      </w:r>
      <w:r w:rsidR="00E01BD3" w:rsidRPr="002E7FCE">
        <w:t>citām personām. SIA</w:t>
      </w:r>
      <w:r w:rsidR="006870B0" w:rsidRPr="002E7FCE">
        <w:t> </w:t>
      </w:r>
      <w:r w:rsidR="00F33FDA" w:rsidRPr="002E7FCE">
        <w:t>„</w:t>
      </w:r>
      <w:r w:rsidR="00E01BD3" w:rsidRPr="002E7FCE">
        <w:t xml:space="preserve">ZESOL” reģistrācijas laikā 2008.gadā Uzņēmumu reģistrs Valsts ieņēmumu dienestam </w:t>
      </w:r>
      <w:r w:rsidR="00E01BD3" w:rsidRPr="002E7FCE">
        <w:lastRenderedPageBreak/>
        <w:t xml:space="preserve">nosūtīja ziņas par reģistrētajiem subjektiem, papildu reģistrācija Valsts ieņēmumu dienestā nebija nepieciešama. Tādējādi Valsts ieņēmumu dienests pēc Dienesta pieprasījuma sniedza ziņas, kuras </w:t>
      </w:r>
      <w:r w:rsidR="00F83E25" w:rsidRPr="002E7FCE">
        <w:t xml:space="preserve">neatbilst patiesībai un kuras </w:t>
      </w:r>
      <w:r w:rsidR="00E01BD3" w:rsidRPr="002E7FCE">
        <w:t>bija ieguvis, pārkāpjot kompetenci.</w:t>
      </w:r>
    </w:p>
    <w:p w14:paraId="05FC8F49" w14:textId="326F2D4F" w:rsidR="00F83E25" w:rsidRPr="002E7FCE" w:rsidRDefault="00D45064" w:rsidP="00E878D3">
      <w:pPr>
        <w:spacing w:line="276" w:lineRule="auto"/>
        <w:ind w:firstLine="567"/>
        <w:jc w:val="both"/>
      </w:pPr>
      <w:r w:rsidRPr="002E7FCE">
        <w:t>[3.3] </w:t>
      </w:r>
      <w:r w:rsidR="00F83E25" w:rsidRPr="002E7FCE">
        <w:t xml:space="preserve">Dienestam, lemjot par pieteicējas atbilstību prasībām, bija </w:t>
      </w:r>
      <w:r w:rsidR="001F60C6" w:rsidRPr="002E7FCE">
        <w:t>jāņem vērā, ka, lai secinātu, ka</w:t>
      </w:r>
      <w:r w:rsidR="001F6CDD" w:rsidRPr="002E7FCE">
        <w:t>,</w:t>
      </w:r>
      <w:r w:rsidR="00FC061E" w:rsidRPr="002E7FCE">
        <w:t xml:space="preserve"> reģistrēj</w:t>
      </w:r>
      <w:r w:rsidR="001F60C6" w:rsidRPr="002E7FCE">
        <w:t>ot personu</w:t>
      </w:r>
      <w:r w:rsidR="00FC061E" w:rsidRPr="002E7FCE">
        <w:t xml:space="preserve"> </w:t>
      </w:r>
      <w:r w:rsidR="00FC061E" w:rsidRPr="002E7FCE">
        <w:rPr>
          <w:i/>
          <w:iCs/>
        </w:rPr>
        <w:t>kā saimnieciskās darbības veicēj</w:t>
      </w:r>
      <w:r w:rsidR="001F60C6" w:rsidRPr="002E7FCE">
        <w:rPr>
          <w:i/>
          <w:iCs/>
        </w:rPr>
        <w:t>u</w:t>
      </w:r>
      <w:r w:rsidR="00FC061E" w:rsidRPr="002E7FCE">
        <w:rPr>
          <w:i/>
          <w:iCs/>
        </w:rPr>
        <w:t xml:space="preserve">, norādot lauksaimniecisko </w:t>
      </w:r>
      <w:r w:rsidR="00154D54" w:rsidRPr="002E7FCE">
        <w:rPr>
          <w:i/>
          <w:iCs/>
        </w:rPr>
        <w:t>darbību kā savas darbības veidu</w:t>
      </w:r>
      <w:r w:rsidR="00154D54" w:rsidRPr="002E7FCE">
        <w:t xml:space="preserve">, Valsts ieņēmumu dienests izmanto </w:t>
      </w:r>
      <w:r w:rsidR="00F71643" w:rsidRPr="002E7FCE">
        <w:t>N</w:t>
      </w:r>
      <w:r w:rsidR="00154D54" w:rsidRPr="002E7FCE">
        <w:t>oteikumus Nr.</w:t>
      </w:r>
      <w:r w:rsidR="006870B0" w:rsidRPr="002E7FCE">
        <w:t> </w:t>
      </w:r>
      <w:r w:rsidR="00154D54" w:rsidRPr="002E7FCE">
        <w:t>150</w:t>
      </w:r>
      <w:r w:rsidR="001F60C6" w:rsidRPr="002E7FCE">
        <w:t>. Š</w:t>
      </w:r>
      <w:r w:rsidR="00154D54" w:rsidRPr="002E7FCE">
        <w:t xml:space="preserve">o noteikumu 4.punktā minētajām personām (un tikai šīm, nevis SIA) izsniegtās nodokļu apliecības </w:t>
      </w:r>
      <w:r w:rsidR="0045786E" w:rsidRPr="002E7FCE">
        <w:t xml:space="preserve">ir </w:t>
      </w:r>
      <w:r w:rsidR="00154D54" w:rsidRPr="002E7FCE">
        <w:t>līdzvērtīgas Uzņēmumu reģistra izsniegtajām apliecībām. Tādu apliecību SIA</w:t>
      </w:r>
      <w:r w:rsidR="006870B0" w:rsidRPr="002E7FCE">
        <w:t> „</w:t>
      </w:r>
      <w:r w:rsidR="00154D54" w:rsidRPr="002E7FCE">
        <w:t>ZESOL” nesaņēma. Dienestam jaunā lauksaimnieka statusa apliecināšanai derīgs apliecinājums būtu tikai šāda apliecība.</w:t>
      </w:r>
    </w:p>
    <w:p w14:paraId="4EFA24E3" w14:textId="66E15E63" w:rsidR="00124F8D" w:rsidRPr="002E7FCE" w:rsidRDefault="00D45064" w:rsidP="00E878D3">
      <w:pPr>
        <w:spacing w:line="276" w:lineRule="auto"/>
        <w:ind w:firstLine="567"/>
        <w:jc w:val="both"/>
        <w:rPr>
          <w:bCs/>
        </w:rPr>
      </w:pPr>
      <w:r w:rsidRPr="002E7FCE">
        <w:t>[3.4] </w:t>
      </w:r>
      <w:r w:rsidR="00124F8D" w:rsidRPr="002E7FCE">
        <w:rPr>
          <w:bCs/>
        </w:rPr>
        <w:t>2017.gada 14.marta Noteikumu Nr.</w:t>
      </w:r>
      <w:r w:rsidR="006870B0" w:rsidRPr="002E7FCE">
        <w:rPr>
          <w:bCs/>
        </w:rPr>
        <w:t> </w:t>
      </w:r>
      <w:r w:rsidR="00124F8D" w:rsidRPr="002E7FCE">
        <w:rPr>
          <w:bCs/>
        </w:rPr>
        <w:t>126 grozījumi vēl skaidrāk nosaka personu darbības, tostarp lauksaimniecības, reģistrāciju Valsts ieņēmumu dienestā, nevis Uzņēmumu reģistrā, jo īpaši</w:t>
      </w:r>
      <w:r w:rsidR="00D23620" w:rsidRPr="002E7FCE">
        <w:rPr>
          <w:bCs/>
        </w:rPr>
        <w:t xml:space="preserve"> tādēļ</w:t>
      </w:r>
      <w:r w:rsidR="00124F8D" w:rsidRPr="002E7FCE">
        <w:rPr>
          <w:bCs/>
        </w:rPr>
        <w:t>, ka Noteikumu Nr.</w:t>
      </w:r>
      <w:r w:rsidR="00D23620" w:rsidRPr="002E7FCE">
        <w:rPr>
          <w:bCs/>
        </w:rPr>
        <w:t> </w:t>
      </w:r>
      <w:r w:rsidR="00124F8D" w:rsidRPr="002E7FCE">
        <w:rPr>
          <w:bCs/>
        </w:rPr>
        <w:t xml:space="preserve">150 vietā ir </w:t>
      </w:r>
      <w:r w:rsidR="001F6CDD" w:rsidRPr="002E7FCE">
        <w:rPr>
          <w:bCs/>
        </w:rPr>
        <w:t xml:space="preserve">izdoti </w:t>
      </w:r>
      <w:r w:rsidR="00124F8D" w:rsidRPr="002E7FCE">
        <w:rPr>
          <w:bCs/>
        </w:rPr>
        <w:t xml:space="preserve">jauni Ministru kabineta noteikumi, kas nemaina tiesisko situāciju, jo arī tie attiecas uz subjektiem, kuru darbība </w:t>
      </w:r>
      <w:r w:rsidR="00124F8D" w:rsidRPr="002E7FCE">
        <w:rPr>
          <w:bCs/>
          <w:i/>
          <w:iCs/>
        </w:rPr>
        <w:t>nav jāreģistrē Uzņēmumu reģistrā</w:t>
      </w:r>
      <w:r w:rsidR="00124F8D" w:rsidRPr="002E7FCE">
        <w:rPr>
          <w:bCs/>
        </w:rPr>
        <w:t xml:space="preserve">. </w:t>
      </w:r>
    </w:p>
    <w:p w14:paraId="6D65EAE2" w14:textId="2D468FC1" w:rsidR="00EA547A" w:rsidRPr="002E7FCE" w:rsidRDefault="00D45064" w:rsidP="00E878D3">
      <w:pPr>
        <w:spacing w:line="276" w:lineRule="auto"/>
        <w:ind w:firstLine="567"/>
        <w:jc w:val="both"/>
      </w:pPr>
      <w:r w:rsidRPr="002E7FCE">
        <w:rPr>
          <w:bCs/>
        </w:rPr>
        <w:t>[3.5] </w:t>
      </w:r>
      <w:r w:rsidR="003F4DC6" w:rsidRPr="002E7FCE">
        <w:rPr>
          <w:bCs/>
        </w:rPr>
        <w:t>Tiesa nav pareizi novērtējusi pārvaldes rīcības brīvību.</w:t>
      </w:r>
    </w:p>
    <w:p w14:paraId="79F0D8CF" w14:textId="77777777" w:rsidR="00530B85" w:rsidRPr="002E7FCE" w:rsidRDefault="00530B85" w:rsidP="00E878D3">
      <w:pPr>
        <w:spacing w:line="276" w:lineRule="auto"/>
        <w:ind w:firstLine="567"/>
        <w:jc w:val="both"/>
      </w:pPr>
    </w:p>
    <w:p w14:paraId="27BA6F04" w14:textId="4CF3F0B3" w:rsidR="00C012DE" w:rsidRPr="002E7FCE" w:rsidRDefault="00C012DE" w:rsidP="00E878D3">
      <w:pPr>
        <w:spacing w:line="276" w:lineRule="auto"/>
        <w:ind w:firstLine="567"/>
        <w:jc w:val="both"/>
      </w:pPr>
      <w:r w:rsidRPr="002E7FCE">
        <w:t>[4] </w:t>
      </w:r>
      <w:r w:rsidR="00EC6A72" w:rsidRPr="002E7FCE">
        <w:t xml:space="preserve">Dienests ir </w:t>
      </w:r>
      <w:r w:rsidRPr="002E7FCE">
        <w:t>iesnie</w:t>
      </w:r>
      <w:r w:rsidR="00EC6A72" w:rsidRPr="002E7FCE">
        <w:t>dzis</w:t>
      </w:r>
      <w:r w:rsidRPr="002E7FCE">
        <w:t xml:space="preserve"> paskaidrojumu, kurā norādīts, ka kasācijas sūdzība ir nepamatota.</w:t>
      </w:r>
    </w:p>
    <w:p w14:paraId="3641C2FF" w14:textId="77777777" w:rsidR="00B47609" w:rsidRPr="002E7FCE" w:rsidRDefault="00B47609" w:rsidP="00E878D3">
      <w:pPr>
        <w:spacing w:line="276" w:lineRule="auto"/>
        <w:jc w:val="both"/>
        <w:rPr>
          <w:rFonts w:eastAsia="Lucida Sans Unicode"/>
          <w:kern w:val="2"/>
        </w:rPr>
      </w:pPr>
    </w:p>
    <w:p w14:paraId="13E2829C" w14:textId="77777777" w:rsidR="00530B85" w:rsidRPr="002E7FCE" w:rsidRDefault="00530B85" w:rsidP="00E878D3">
      <w:pPr>
        <w:spacing w:line="276" w:lineRule="auto"/>
        <w:jc w:val="center"/>
      </w:pPr>
      <w:r w:rsidRPr="002E7FCE">
        <w:rPr>
          <w:b/>
        </w:rPr>
        <w:t>Motīvu daļa</w:t>
      </w:r>
    </w:p>
    <w:p w14:paraId="73B96992" w14:textId="77777777" w:rsidR="000A2A9C" w:rsidRPr="002E7FCE" w:rsidRDefault="000A2A9C" w:rsidP="00E878D3">
      <w:pPr>
        <w:spacing w:line="276" w:lineRule="auto"/>
      </w:pPr>
    </w:p>
    <w:p w14:paraId="3AE6985A" w14:textId="675CF71A" w:rsidR="00EE15FD" w:rsidRPr="002E7FCE" w:rsidRDefault="000A2A9C" w:rsidP="00E878D3">
      <w:pPr>
        <w:spacing w:line="276" w:lineRule="auto"/>
        <w:ind w:firstLine="567"/>
        <w:jc w:val="both"/>
      </w:pPr>
      <w:r w:rsidRPr="002E7FCE">
        <w:t>[5] </w:t>
      </w:r>
      <w:r w:rsidR="00EE15FD" w:rsidRPr="002E7FCE">
        <w:t>Senāta ieskatā</w:t>
      </w:r>
      <w:r w:rsidR="00557F13" w:rsidRPr="002E7FCE">
        <w:t>, pareizs ir</w:t>
      </w:r>
      <w:r w:rsidR="00EE15FD" w:rsidRPr="002E7FCE">
        <w:t xml:space="preserve"> apgabaltiesa</w:t>
      </w:r>
      <w:r w:rsidR="00557F13" w:rsidRPr="002E7FCE">
        <w:t xml:space="preserve">s </w:t>
      </w:r>
      <w:r w:rsidR="00EE15FD" w:rsidRPr="002E7FCE">
        <w:t>secināju</w:t>
      </w:r>
      <w:r w:rsidR="00557F13" w:rsidRPr="002E7FCE">
        <w:t xml:space="preserve">ms, ka </w:t>
      </w:r>
      <w:r w:rsidR="00D44A09" w:rsidRPr="002E7FCE">
        <w:t>p</w:t>
      </w:r>
      <w:r w:rsidR="00557F13" w:rsidRPr="002E7FCE">
        <w:t>ar lauku saimniecību var tikt uzskatīta ne tikai zemnieku saimniecība, kuras dibināšanas mērķis saskaņā ar likumu ir lauksaimnieciskās produkcijas ražošana, bet arī citi komersanti, kuri gūst ienākumus no lauksaimniecības, kā arī fiziskas personas, kuras nodarbojas ar lauksaimniecību.</w:t>
      </w:r>
    </w:p>
    <w:p w14:paraId="43907A5D" w14:textId="77777777" w:rsidR="00EE15FD" w:rsidRPr="002E7FCE" w:rsidRDefault="00EE15FD" w:rsidP="00E878D3">
      <w:pPr>
        <w:spacing w:line="276" w:lineRule="auto"/>
        <w:ind w:firstLine="567"/>
        <w:jc w:val="both"/>
      </w:pPr>
    </w:p>
    <w:p w14:paraId="46461C8E" w14:textId="53041865" w:rsidR="00B93AA6" w:rsidRPr="002E7FCE" w:rsidRDefault="00557F13" w:rsidP="00E878D3">
      <w:pPr>
        <w:spacing w:line="276" w:lineRule="auto"/>
        <w:ind w:firstLine="567"/>
        <w:jc w:val="both"/>
      </w:pPr>
      <w:r w:rsidRPr="002E7FCE">
        <w:rPr>
          <w:bdr w:val="none" w:sz="0" w:space="0" w:color="auto" w:frame="1"/>
        </w:rPr>
        <w:t>[6] Taču l</w:t>
      </w:r>
      <w:r w:rsidR="00B93AA6" w:rsidRPr="002E7FCE">
        <w:rPr>
          <w:bdr w:val="none" w:sz="0" w:space="0" w:color="auto" w:frame="1"/>
        </w:rPr>
        <w:t>ietā strīds</w:t>
      </w:r>
      <w:r w:rsidR="003270BD" w:rsidRPr="002E7FCE">
        <w:rPr>
          <w:bdr w:val="none" w:sz="0" w:space="0" w:color="auto" w:frame="1"/>
        </w:rPr>
        <w:t xml:space="preserve"> faktiski</w:t>
      </w:r>
      <w:r w:rsidR="00B93AA6" w:rsidRPr="002E7FCE">
        <w:rPr>
          <w:bdr w:val="none" w:sz="0" w:space="0" w:color="auto" w:frame="1"/>
        </w:rPr>
        <w:t xml:space="preserve"> ir par to, </w:t>
      </w:r>
      <w:r w:rsidR="004A4C40" w:rsidRPr="002E7FCE">
        <w:rPr>
          <w:bdr w:val="none" w:sz="0" w:space="0" w:color="auto" w:frame="1"/>
        </w:rPr>
        <w:t>vai</w:t>
      </w:r>
      <w:r w:rsidR="001F6CDD" w:rsidRPr="002E7FCE">
        <w:rPr>
          <w:bdr w:val="none" w:sz="0" w:space="0" w:color="auto" w:frame="1"/>
        </w:rPr>
        <w:t>,</w:t>
      </w:r>
      <w:r w:rsidRPr="002E7FCE">
        <w:rPr>
          <w:bdr w:val="none" w:sz="0" w:space="0" w:color="auto" w:frame="1"/>
        </w:rPr>
        <w:t xml:space="preserve"> </w:t>
      </w:r>
      <w:r w:rsidR="00B61683" w:rsidRPr="002E7FCE">
        <w:rPr>
          <w:bdr w:val="none" w:sz="0" w:space="0" w:color="auto" w:frame="1"/>
        </w:rPr>
        <w:t xml:space="preserve">lemjot par atbalsta piešķiršanu, </w:t>
      </w:r>
      <w:r w:rsidR="00261CC2" w:rsidRPr="002E7FCE">
        <w:rPr>
          <w:bdr w:val="none" w:sz="0" w:space="0" w:color="auto" w:frame="1"/>
        </w:rPr>
        <w:t xml:space="preserve">lēmumu var balstīt </w:t>
      </w:r>
      <w:r w:rsidR="007F1D6C" w:rsidRPr="002E7FCE">
        <w:rPr>
          <w:bdr w:val="none" w:sz="0" w:space="0" w:color="auto" w:frame="1"/>
        </w:rPr>
        <w:t xml:space="preserve">uz </w:t>
      </w:r>
      <w:r w:rsidR="00B61683" w:rsidRPr="002E7FCE">
        <w:rPr>
          <w:bdr w:val="none" w:sz="0" w:space="0" w:color="auto" w:frame="1"/>
        </w:rPr>
        <w:t>informācij</w:t>
      </w:r>
      <w:r w:rsidR="007F1D6C" w:rsidRPr="002E7FCE">
        <w:rPr>
          <w:bdr w:val="none" w:sz="0" w:space="0" w:color="auto" w:frame="1"/>
        </w:rPr>
        <w:t>u</w:t>
      </w:r>
      <w:r w:rsidR="00B61683" w:rsidRPr="002E7FCE">
        <w:rPr>
          <w:bdr w:val="none" w:sz="0" w:space="0" w:color="auto" w:frame="1"/>
        </w:rPr>
        <w:t>, kura ir Valsts ieņēmumu dienesta rīcībā, bet kuru tas ieguvis, pārkāpjot savu kompetenci.</w:t>
      </w:r>
      <w:r w:rsidR="00C012DE" w:rsidRPr="002E7FCE">
        <w:t xml:space="preserve"> </w:t>
      </w:r>
    </w:p>
    <w:p w14:paraId="0AC24EC7" w14:textId="77777777" w:rsidR="00B93AA6" w:rsidRPr="002E7FCE" w:rsidRDefault="00B93AA6" w:rsidP="00E878D3">
      <w:pPr>
        <w:spacing w:line="276" w:lineRule="auto"/>
        <w:ind w:firstLine="567"/>
        <w:jc w:val="both"/>
      </w:pPr>
    </w:p>
    <w:p w14:paraId="00AA8A62" w14:textId="679CB4BB" w:rsidR="00652B60" w:rsidRPr="002E7FCE" w:rsidRDefault="000A2A9C" w:rsidP="00E878D3">
      <w:pPr>
        <w:tabs>
          <w:tab w:val="center" w:pos="4819"/>
        </w:tabs>
        <w:spacing w:line="276" w:lineRule="auto"/>
        <w:ind w:firstLine="567"/>
        <w:jc w:val="both"/>
      </w:pPr>
      <w:r w:rsidRPr="002E7FCE">
        <w:rPr>
          <w:bdr w:val="none" w:sz="0" w:space="0" w:color="auto" w:frame="1"/>
        </w:rPr>
        <w:t>[</w:t>
      </w:r>
      <w:r w:rsidR="00557F13" w:rsidRPr="002E7FCE">
        <w:rPr>
          <w:bdr w:val="none" w:sz="0" w:space="0" w:color="auto" w:frame="1"/>
        </w:rPr>
        <w:t>7</w:t>
      </w:r>
      <w:r w:rsidRPr="002E7FCE">
        <w:rPr>
          <w:bdr w:val="none" w:sz="0" w:space="0" w:color="auto" w:frame="1"/>
        </w:rPr>
        <w:t>] </w:t>
      </w:r>
      <w:r w:rsidR="000138BA" w:rsidRPr="002E7FCE">
        <w:rPr>
          <w:bdr w:val="none" w:sz="0" w:space="0" w:color="auto" w:frame="1"/>
        </w:rPr>
        <w:t xml:space="preserve">Atbilstoši </w:t>
      </w:r>
      <w:r w:rsidR="00652B60" w:rsidRPr="002E7FCE">
        <w:rPr>
          <w:bdr w:val="none" w:sz="0" w:space="0" w:color="auto" w:frame="1"/>
        </w:rPr>
        <w:t>Administratīvā procesa likuma</w:t>
      </w:r>
      <w:r w:rsidR="000138BA" w:rsidRPr="002E7FCE">
        <w:rPr>
          <w:bdr w:val="none" w:sz="0" w:space="0" w:color="auto" w:frame="1"/>
        </w:rPr>
        <w:t xml:space="preserve"> 59.pantam</w:t>
      </w:r>
      <w:r w:rsidR="00557F13" w:rsidRPr="002E7FCE">
        <w:rPr>
          <w:bdr w:val="none" w:sz="0" w:space="0" w:color="auto" w:frame="1"/>
        </w:rPr>
        <w:t xml:space="preserve"> </w:t>
      </w:r>
      <w:r w:rsidR="000138BA" w:rsidRPr="002E7FCE">
        <w:rPr>
          <w:bdr w:val="none" w:sz="0" w:space="0" w:color="auto" w:frame="1"/>
        </w:rPr>
        <w:t>iestāde iegūst informāciju, kas saskaņā ar normatīvajiem aktiem ir nepieciešama, lai pieņemtu attiecīgo lēmumu.</w:t>
      </w:r>
      <w:r w:rsidR="007F1D6C" w:rsidRPr="002E7FCE">
        <w:rPr>
          <w:bdr w:val="none" w:sz="0" w:space="0" w:color="auto" w:frame="1"/>
        </w:rPr>
        <w:t xml:space="preserve"> Iestāde to var iegūt pati vai pieprasīt no procesa dalībniekiem vai citiem subjektiem.</w:t>
      </w:r>
      <w:r w:rsidR="000138BA" w:rsidRPr="002E7FCE">
        <w:rPr>
          <w:bdr w:val="none" w:sz="0" w:space="0" w:color="auto" w:frame="1"/>
        </w:rPr>
        <w:t xml:space="preserve"> Savukārt</w:t>
      </w:r>
      <w:r w:rsidR="00652B60" w:rsidRPr="002E7FCE">
        <w:rPr>
          <w:bdr w:val="none" w:sz="0" w:space="0" w:color="auto" w:frame="1"/>
        </w:rPr>
        <w:t xml:space="preserve"> 60.pantā noteikts, ka i</w:t>
      </w:r>
      <w:r w:rsidR="00652B60" w:rsidRPr="002E7FCE">
        <w:t>estāde var vākt vai pieprasīt iesniegt to informāciju, kura ir paredzēta attiecīgajā normatīvajā aktā vai tieši nepieciešama lietas izlemšanai. Citu informāciju drīkst pievienot lietai tikai tad, ja to nav iespējams nodalīt no lēmuma pieņemšanai nepieciešamās informācijas. Iestāde nedrīkst vākt un administratīvajā procesā izmantot informāciju, kas iegūta ar prettiesiskām metodēm.</w:t>
      </w:r>
    </w:p>
    <w:p w14:paraId="333AF87C" w14:textId="32F525C1" w:rsidR="001259D5" w:rsidRPr="002E7FCE" w:rsidRDefault="001259D5" w:rsidP="00E878D3">
      <w:pPr>
        <w:spacing w:line="276" w:lineRule="auto"/>
        <w:ind w:firstLine="567"/>
        <w:jc w:val="both"/>
      </w:pPr>
      <w:bookmarkStart w:id="5" w:name="_Hlk21596142"/>
      <w:r w:rsidRPr="002E7FCE">
        <w:rPr>
          <w:bdr w:val="none" w:sz="0" w:space="0" w:color="auto" w:frame="1"/>
        </w:rPr>
        <w:t xml:space="preserve">To, ka </w:t>
      </w:r>
      <w:r w:rsidRPr="002E7FCE">
        <w:t>Noteikumi Nr.</w:t>
      </w:r>
      <w:r w:rsidR="00D23620" w:rsidRPr="002E7FCE">
        <w:t> </w:t>
      </w:r>
      <w:r w:rsidRPr="002E7FCE">
        <w:t xml:space="preserve">150 bija piemērojami tikai </w:t>
      </w:r>
      <w:r w:rsidR="004B3BAA" w:rsidRPr="002E7FCE">
        <w:t xml:space="preserve">attiecībā </w:t>
      </w:r>
      <w:r w:rsidRPr="002E7FCE">
        <w:t xml:space="preserve">uz nodokļu maksātājiem, kuriem nav jāreģistrējas Uzņēmumu reģistrā, bet tikai Valsts ieņēmumu dienestā, apgabaltiesa spriedumā ir atzinusi. </w:t>
      </w:r>
      <w:r w:rsidR="00AB2FDE" w:rsidRPr="002E7FCE">
        <w:t xml:space="preserve">Ja SIA „ZESOL” bija jābūt </w:t>
      </w:r>
      <w:r w:rsidR="001F6CDD" w:rsidRPr="002E7FCE">
        <w:t xml:space="preserve">reģistrētai </w:t>
      </w:r>
      <w:r w:rsidR="00AB2FDE" w:rsidRPr="002E7FCE">
        <w:t xml:space="preserve">Uzņēmumu reģistrā, </w:t>
      </w:r>
      <w:r w:rsidR="001F6CDD" w:rsidRPr="002E7FCE">
        <w:t xml:space="preserve">tai </w:t>
      </w:r>
      <w:r w:rsidR="00AB2FDE" w:rsidRPr="002E7FCE">
        <w:t xml:space="preserve">nebija jābūt </w:t>
      </w:r>
      <w:r w:rsidR="001F6CDD" w:rsidRPr="002E7FCE">
        <w:t xml:space="preserve">reģistrētai </w:t>
      </w:r>
      <w:r w:rsidR="00AB2FDE" w:rsidRPr="002E7FCE">
        <w:t>arī Valsts ieņēmumu dienestā. No tā secināms,</w:t>
      </w:r>
      <w:r w:rsidRPr="002E7FCE">
        <w:t xml:space="preserve"> ka Valsts ieņēmumu dienests </w:t>
      </w:r>
      <w:r w:rsidR="007F1D6C" w:rsidRPr="002E7FCE">
        <w:t>par SIA „ZESOL” bija pieprasījis un uzglabājis</w:t>
      </w:r>
      <w:r w:rsidRPr="002E7FCE">
        <w:t xml:space="preserve"> informāciju, k</w:t>
      </w:r>
      <w:r w:rsidR="007F1D6C" w:rsidRPr="002E7FCE">
        <w:t xml:space="preserve">uru tam </w:t>
      </w:r>
      <w:r w:rsidRPr="002E7FCE">
        <w:t>saskaņā ar normatīvajiem aktiem</w:t>
      </w:r>
      <w:r w:rsidR="007F1D6C" w:rsidRPr="002E7FCE">
        <w:t xml:space="preserve"> nebija pamata iegūt un uzglabāt</w:t>
      </w:r>
      <w:r w:rsidRPr="002E7FCE">
        <w:t>.</w:t>
      </w:r>
      <w:r w:rsidR="00AB2FDE" w:rsidRPr="002E7FCE">
        <w:t xml:space="preserve"> </w:t>
      </w:r>
    </w:p>
    <w:p w14:paraId="298B8454" w14:textId="77777777" w:rsidR="00B93AA6" w:rsidRPr="002E7FCE" w:rsidRDefault="001A02AD" w:rsidP="00E878D3">
      <w:pPr>
        <w:tabs>
          <w:tab w:val="center" w:pos="4819"/>
        </w:tabs>
        <w:spacing w:line="276" w:lineRule="auto"/>
        <w:ind w:firstLine="567"/>
        <w:jc w:val="both"/>
        <w:rPr>
          <w:bdr w:val="none" w:sz="0" w:space="0" w:color="auto" w:frame="1"/>
        </w:rPr>
      </w:pPr>
      <w:r w:rsidRPr="002E7FCE">
        <w:rPr>
          <w:bdr w:val="none" w:sz="0" w:space="0" w:color="auto" w:frame="1"/>
        </w:rPr>
        <w:lastRenderedPageBreak/>
        <w:tab/>
      </w:r>
    </w:p>
    <w:bookmarkEnd w:id="5"/>
    <w:p w14:paraId="4721B255" w14:textId="00EC6220" w:rsidR="000138BA" w:rsidRPr="002E7FCE" w:rsidRDefault="000A2A9C" w:rsidP="00E878D3">
      <w:pPr>
        <w:spacing w:line="276" w:lineRule="auto"/>
        <w:ind w:firstLine="567"/>
        <w:jc w:val="both"/>
        <w:rPr>
          <w:shd w:val="clear" w:color="auto" w:fill="FFFFFF"/>
        </w:rPr>
      </w:pPr>
      <w:r w:rsidRPr="002E7FCE">
        <w:rPr>
          <w:shd w:val="clear" w:color="auto" w:fill="FFFFFF"/>
        </w:rPr>
        <w:t>[</w:t>
      </w:r>
      <w:r w:rsidR="00557F13" w:rsidRPr="002E7FCE">
        <w:rPr>
          <w:shd w:val="clear" w:color="auto" w:fill="FFFFFF"/>
        </w:rPr>
        <w:t>8</w:t>
      </w:r>
      <w:r w:rsidRPr="002E7FCE">
        <w:rPr>
          <w:shd w:val="clear" w:color="auto" w:fill="FFFFFF"/>
        </w:rPr>
        <w:t>] </w:t>
      </w:r>
      <w:bookmarkStart w:id="6" w:name="_Hlk21700874"/>
      <w:r w:rsidR="00652B60" w:rsidRPr="002E7FCE">
        <w:rPr>
          <w:shd w:val="clear" w:color="auto" w:fill="FFFFFF"/>
        </w:rPr>
        <w:t>Kā pamatoti norādījusi apgabaltiesa, Dienests atbilstoši tiesību normām ir pieprasījis informāciju no Valsts ieņēmumu dienesta. Senāts piekrīt, ka</w:t>
      </w:r>
      <w:r w:rsidR="00D23620" w:rsidRPr="002E7FCE">
        <w:rPr>
          <w:shd w:val="clear" w:color="auto" w:fill="FFFFFF"/>
        </w:rPr>
        <w:t>,</w:t>
      </w:r>
      <w:r w:rsidR="00652B60" w:rsidRPr="002E7FCE">
        <w:rPr>
          <w:shd w:val="clear" w:color="auto" w:fill="FFFFFF"/>
        </w:rPr>
        <w:t xml:space="preserve"> saņemot </w:t>
      </w:r>
      <w:r w:rsidR="000138BA" w:rsidRPr="002E7FCE">
        <w:rPr>
          <w:shd w:val="clear" w:color="auto" w:fill="FFFFFF"/>
        </w:rPr>
        <w:t>pieprasīto informāciju</w:t>
      </w:r>
      <w:r w:rsidR="00652B60" w:rsidRPr="002E7FCE">
        <w:rPr>
          <w:shd w:val="clear" w:color="auto" w:fill="FFFFFF"/>
        </w:rPr>
        <w:t xml:space="preserve">, Dienests savā sākotnējā lēmumā </w:t>
      </w:r>
      <w:r w:rsidR="000138BA" w:rsidRPr="002E7FCE">
        <w:rPr>
          <w:shd w:val="clear" w:color="auto" w:fill="FFFFFF"/>
        </w:rPr>
        <w:t xml:space="preserve">principā </w:t>
      </w:r>
      <w:r w:rsidR="008C68D7" w:rsidRPr="002E7FCE">
        <w:rPr>
          <w:shd w:val="clear" w:color="auto" w:fill="FFFFFF"/>
        </w:rPr>
        <w:t xml:space="preserve">uz to </w:t>
      </w:r>
      <w:r w:rsidR="00652B60" w:rsidRPr="002E7FCE">
        <w:rPr>
          <w:shd w:val="clear" w:color="auto" w:fill="FFFFFF"/>
        </w:rPr>
        <w:t>varēja balstīties</w:t>
      </w:r>
      <w:r w:rsidR="00AB2FDE" w:rsidRPr="002E7FCE">
        <w:rPr>
          <w:shd w:val="clear" w:color="auto" w:fill="FFFFFF"/>
        </w:rPr>
        <w:t xml:space="preserve">, jo tam varēja nerasties šaubas par tās </w:t>
      </w:r>
      <w:r w:rsidR="007F1D6C" w:rsidRPr="002E7FCE">
        <w:rPr>
          <w:shd w:val="clear" w:color="auto" w:fill="FFFFFF"/>
        </w:rPr>
        <w:t xml:space="preserve">iegūšanas </w:t>
      </w:r>
      <w:r w:rsidR="00AB2FDE" w:rsidRPr="002E7FCE">
        <w:rPr>
          <w:shd w:val="clear" w:color="auto" w:fill="FFFFFF"/>
        </w:rPr>
        <w:t>pamatotību</w:t>
      </w:r>
      <w:r w:rsidR="00652B60" w:rsidRPr="002E7FCE">
        <w:rPr>
          <w:shd w:val="clear" w:color="auto" w:fill="FFFFFF"/>
        </w:rPr>
        <w:t xml:space="preserve">. </w:t>
      </w:r>
    </w:p>
    <w:p w14:paraId="5269E64C" w14:textId="4F77D721" w:rsidR="00652B60" w:rsidRPr="002E7FCE" w:rsidRDefault="000138BA" w:rsidP="00E878D3">
      <w:pPr>
        <w:spacing w:line="276" w:lineRule="auto"/>
        <w:ind w:firstLine="567"/>
        <w:jc w:val="both"/>
        <w:rPr>
          <w:shd w:val="clear" w:color="auto" w:fill="FFFFFF"/>
        </w:rPr>
      </w:pPr>
      <w:r w:rsidRPr="002E7FCE">
        <w:rPr>
          <w:shd w:val="clear" w:color="auto" w:fill="FFFFFF"/>
        </w:rPr>
        <w:t xml:space="preserve">Šeit gan jānorāda, ka atbilstoši Administratīvā procesa likuma 62.pantam, lemjot par nelabvēlīga akta izdošanu, iestādei </w:t>
      </w:r>
      <w:r w:rsidR="00AB2FDE" w:rsidRPr="002E7FCE">
        <w:rPr>
          <w:shd w:val="clear" w:color="auto" w:fill="FFFFFF"/>
        </w:rPr>
        <w:t>ir</w:t>
      </w:r>
      <w:r w:rsidRPr="002E7FCE">
        <w:rPr>
          <w:shd w:val="clear" w:color="auto" w:fill="FFFFFF"/>
        </w:rPr>
        <w:t xml:space="preserve"> jāuzklausa adresāts pirms lēmuma pieņemšanas. </w:t>
      </w:r>
      <w:r w:rsidR="007F1D6C" w:rsidRPr="002E7FCE">
        <w:rPr>
          <w:shd w:val="clear" w:color="auto" w:fill="FFFFFF"/>
        </w:rPr>
        <w:t xml:space="preserve">Spriežot no lietas materiāliem, </w:t>
      </w:r>
      <w:r w:rsidR="00A30034" w:rsidRPr="002E7FCE">
        <w:rPr>
          <w:shd w:val="clear" w:color="auto" w:fill="FFFFFF"/>
        </w:rPr>
        <w:t>D</w:t>
      </w:r>
      <w:r w:rsidR="007F1D6C" w:rsidRPr="002E7FCE">
        <w:rPr>
          <w:shd w:val="clear" w:color="auto" w:fill="FFFFFF"/>
        </w:rPr>
        <w:t xml:space="preserve">ienests to nav darījis. </w:t>
      </w:r>
      <w:r w:rsidRPr="002E7FCE">
        <w:rPr>
          <w:shd w:val="clear" w:color="auto" w:fill="FFFFFF"/>
        </w:rPr>
        <w:t xml:space="preserve">Senāts </w:t>
      </w:r>
      <w:r w:rsidR="00AB2FDE" w:rsidRPr="002E7FCE">
        <w:rPr>
          <w:shd w:val="clear" w:color="auto" w:fill="FFFFFF"/>
        </w:rPr>
        <w:t xml:space="preserve">šajā spriedumā </w:t>
      </w:r>
      <w:r w:rsidRPr="002E7FCE">
        <w:rPr>
          <w:shd w:val="clear" w:color="auto" w:fill="FFFFFF"/>
        </w:rPr>
        <w:t xml:space="preserve">šo </w:t>
      </w:r>
      <w:r w:rsidR="00AB2FDE" w:rsidRPr="002E7FCE">
        <w:rPr>
          <w:shd w:val="clear" w:color="auto" w:fill="FFFFFF"/>
        </w:rPr>
        <w:t>aspektu</w:t>
      </w:r>
      <w:r w:rsidRPr="002E7FCE">
        <w:rPr>
          <w:shd w:val="clear" w:color="auto" w:fill="FFFFFF"/>
        </w:rPr>
        <w:t xml:space="preserve"> vairāk neizvērsīs, jo šīs normas pārkāpums nav mainījis</w:t>
      </w:r>
      <w:r w:rsidR="00AB2FDE" w:rsidRPr="002E7FCE">
        <w:rPr>
          <w:shd w:val="clear" w:color="auto" w:fill="FFFFFF"/>
        </w:rPr>
        <w:t xml:space="preserve"> procesa</w:t>
      </w:r>
      <w:r w:rsidRPr="002E7FCE">
        <w:rPr>
          <w:shd w:val="clear" w:color="auto" w:fill="FFFFFF"/>
        </w:rPr>
        <w:t xml:space="preserve"> rezultātu</w:t>
      </w:r>
      <w:r w:rsidR="008C68D7" w:rsidRPr="002E7FCE">
        <w:rPr>
          <w:shd w:val="clear" w:color="auto" w:fill="FFFFFF"/>
        </w:rPr>
        <w:t>. P</w:t>
      </w:r>
      <w:r w:rsidRPr="002E7FCE">
        <w:rPr>
          <w:shd w:val="clear" w:color="auto" w:fill="FFFFFF"/>
        </w:rPr>
        <w:t>roti, pieteicēja tika uzklausīta apstrīdēšanas procesā</w:t>
      </w:r>
      <w:r w:rsidR="00C56209" w:rsidRPr="002E7FCE">
        <w:rPr>
          <w:shd w:val="clear" w:color="auto" w:fill="FFFFFF"/>
        </w:rPr>
        <w:t>,</w:t>
      </w:r>
      <w:r w:rsidRPr="002E7FCE">
        <w:rPr>
          <w:shd w:val="clear" w:color="auto" w:fill="FFFFFF"/>
        </w:rPr>
        <w:t xml:space="preserve"> un pieteicēja</w:t>
      </w:r>
      <w:r w:rsidR="00D23620" w:rsidRPr="002E7FCE">
        <w:rPr>
          <w:shd w:val="clear" w:color="auto" w:fill="FFFFFF"/>
        </w:rPr>
        <w:t>s</w:t>
      </w:r>
      <w:r w:rsidRPr="002E7FCE">
        <w:rPr>
          <w:shd w:val="clear" w:color="auto" w:fill="FFFFFF"/>
        </w:rPr>
        <w:t xml:space="preserve"> arguments, ka Valsts ieņēmumu dienesta sniegtā </w:t>
      </w:r>
      <w:r w:rsidR="008C68D7" w:rsidRPr="002E7FCE">
        <w:rPr>
          <w:shd w:val="clear" w:color="auto" w:fill="FFFFFF"/>
        </w:rPr>
        <w:t>informācija nav ņemama vērā, ar Dienesta galīgo lēmumu</w:t>
      </w:r>
      <w:r w:rsidRPr="002E7FCE">
        <w:rPr>
          <w:shd w:val="clear" w:color="auto" w:fill="FFFFFF"/>
        </w:rPr>
        <w:t xml:space="preserve"> tika noraidīts.</w:t>
      </w:r>
      <w:r w:rsidR="001259D5" w:rsidRPr="002E7FCE">
        <w:rPr>
          <w:shd w:val="clear" w:color="auto" w:fill="FFFFFF"/>
        </w:rPr>
        <w:t xml:space="preserve"> </w:t>
      </w:r>
      <w:r w:rsidR="001F6CDD" w:rsidRPr="002E7FCE">
        <w:rPr>
          <w:shd w:val="clear" w:color="auto" w:fill="FFFFFF"/>
        </w:rPr>
        <w:t xml:space="preserve">Pieteicēja </w:t>
      </w:r>
      <w:r w:rsidR="001259D5" w:rsidRPr="002E7FCE">
        <w:rPr>
          <w:shd w:val="clear" w:color="auto" w:fill="FFFFFF"/>
        </w:rPr>
        <w:t xml:space="preserve">arī apstrīdēšanas iesniegumā par attiecīgo jautājumu nebija </w:t>
      </w:r>
      <w:r w:rsidR="001F6CDD" w:rsidRPr="002E7FCE">
        <w:rPr>
          <w:shd w:val="clear" w:color="auto" w:fill="FFFFFF"/>
        </w:rPr>
        <w:t xml:space="preserve">norādījusi </w:t>
      </w:r>
      <w:r w:rsidR="001259D5" w:rsidRPr="002E7FCE">
        <w:rPr>
          <w:shd w:val="clear" w:color="auto" w:fill="FFFFFF"/>
        </w:rPr>
        <w:t>tik izvērstus argumentus</w:t>
      </w:r>
      <w:r w:rsidR="00BA56B3" w:rsidRPr="002E7FCE">
        <w:rPr>
          <w:shd w:val="clear" w:color="auto" w:fill="FFFFFF"/>
        </w:rPr>
        <w:t>,</w:t>
      </w:r>
      <w:r w:rsidR="001259D5" w:rsidRPr="002E7FCE">
        <w:rPr>
          <w:shd w:val="clear" w:color="auto" w:fill="FFFFFF"/>
        </w:rPr>
        <w:t xml:space="preserve"> kā vēršoties tiesā.</w:t>
      </w:r>
    </w:p>
    <w:p w14:paraId="0D85A311" w14:textId="77777777" w:rsidR="00652B60" w:rsidRPr="002E7FCE" w:rsidRDefault="00652B60" w:rsidP="00E878D3">
      <w:pPr>
        <w:spacing w:line="276" w:lineRule="auto"/>
        <w:ind w:firstLine="567"/>
        <w:jc w:val="both"/>
        <w:rPr>
          <w:shd w:val="clear" w:color="auto" w:fill="FFFFFF"/>
        </w:rPr>
      </w:pPr>
    </w:p>
    <w:p w14:paraId="4E3BAB04" w14:textId="77777777" w:rsidR="00A30034" w:rsidRPr="002E7FCE" w:rsidRDefault="00D45064" w:rsidP="00E878D3">
      <w:pPr>
        <w:spacing w:line="276" w:lineRule="auto"/>
        <w:ind w:firstLine="567"/>
        <w:jc w:val="both"/>
      </w:pPr>
      <w:r w:rsidRPr="002E7FCE">
        <w:rPr>
          <w:shd w:val="clear" w:color="auto" w:fill="FFFFFF"/>
        </w:rPr>
        <w:t>[</w:t>
      </w:r>
      <w:r w:rsidR="00557F13" w:rsidRPr="002E7FCE">
        <w:rPr>
          <w:shd w:val="clear" w:color="auto" w:fill="FFFFFF"/>
        </w:rPr>
        <w:t>9</w:t>
      </w:r>
      <w:r w:rsidRPr="002E7FCE">
        <w:rPr>
          <w:shd w:val="clear" w:color="auto" w:fill="FFFFFF"/>
        </w:rPr>
        <w:t>] </w:t>
      </w:r>
      <w:r w:rsidR="00261CC2" w:rsidRPr="002E7FCE">
        <w:rPr>
          <w:shd w:val="clear" w:color="auto" w:fill="FFFFFF"/>
        </w:rPr>
        <w:t>I</w:t>
      </w:r>
      <w:r w:rsidR="001259D5" w:rsidRPr="002E7FCE">
        <w:rPr>
          <w:shd w:val="clear" w:color="auto" w:fill="FFFFFF"/>
        </w:rPr>
        <w:t>zskatot lietu par</w:t>
      </w:r>
      <w:r w:rsidR="001259D5" w:rsidRPr="002E7FCE">
        <w:t xml:space="preserve"> labvēlīga administratīvā akta izdošanu, tiesai</w:t>
      </w:r>
      <w:r w:rsidR="00997A88" w:rsidRPr="002E7FCE">
        <w:t xml:space="preserve"> </w:t>
      </w:r>
      <w:r w:rsidR="00261CC2" w:rsidRPr="002E7FCE">
        <w:t xml:space="preserve">ne tikai jāpārbauda iestādes lēmumā ietvertais pamatojums, bet arī </w:t>
      </w:r>
      <w:r w:rsidR="001259D5" w:rsidRPr="002E7FCE">
        <w:t>ir jāpārbauda, vai pieteicējai objektīvi ir tiesības uz pieprasīto administratīvo aktu. Pārbaudot informāciju, it īpaši, ja p</w:t>
      </w:r>
      <w:r w:rsidR="00A30034" w:rsidRPr="002E7FCE">
        <w:t>rocesa dalībnieks</w:t>
      </w:r>
      <w:r w:rsidR="001259D5" w:rsidRPr="002E7FCE">
        <w:t xml:space="preserve"> ir vērs</w:t>
      </w:r>
      <w:r w:rsidR="00A30034" w:rsidRPr="002E7FCE">
        <w:t>is</w:t>
      </w:r>
      <w:r w:rsidR="001259D5" w:rsidRPr="002E7FCE">
        <w:t xml:space="preserve"> uz to uzmanību</w:t>
      </w:r>
      <w:r w:rsidR="00997A88" w:rsidRPr="002E7FCE">
        <w:t>,</w:t>
      </w:r>
      <w:r w:rsidR="001259D5" w:rsidRPr="002E7FCE">
        <w:t xml:space="preserve"> tiesai ir jā</w:t>
      </w:r>
      <w:r w:rsidR="00997A88" w:rsidRPr="002E7FCE">
        <w:t xml:space="preserve">pārbauda, vai iestāde, kura ir nodevusi informāciju, uz kuru vēlāk tiek balstīts administratīvais akts, šo informāciju ir ieguvusi tiesiski. </w:t>
      </w:r>
    </w:p>
    <w:p w14:paraId="5EAF7309" w14:textId="77777777" w:rsidR="004B3BAA" w:rsidRPr="002E7FCE" w:rsidRDefault="00997A88" w:rsidP="00E878D3">
      <w:pPr>
        <w:spacing w:line="276" w:lineRule="auto"/>
        <w:ind w:firstLine="567"/>
        <w:jc w:val="both"/>
      </w:pPr>
      <w:r w:rsidRPr="002E7FCE">
        <w:t xml:space="preserve">Ja iestāde ir ieguvusi un uzkrājusi informāciju, kas nav paredzēta tiesību normās, Senāta ieskatā, tas automātiski nenozīmē, ka informācija ir iegūta ar </w:t>
      </w:r>
      <w:r w:rsidR="004161A0" w:rsidRPr="002E7FCE">
        <w:t xml:space="preserve">prettiesiskām metodēm un </w:t>
      </w:r>
      <w:r w:rsidRPr="002E7FCE">
        <w:t>ka tā vispār nevar tikt izmantota lēmuma pieņemšanā</w:t>
      </w:r>
      <w:r w:rsidR="004161A0" w:rsidRPr="002E7FCE">
        <w:t>. Taču tai ir jābūt atspēkojamai ar citiem pierādījumiem</w:t>
      </w:r>
      <w:r w:rsidRPr="002E7FCE">
        <w:t>.</w:t>
      </w:r>
      <w:r w:rsidR="004161A0" w:rsidRPr="002E7FCE">
        <w:t xml:space="preserve"> </w:t>
      </w:r>
    </w:p>
    <w:p w14:paraId="4E5152A4" w14:textId="2E8FD371" w:rsidR="00EA4147" w:rsidRPr="002E7FCE" w:rsidRDefault="00EA4147" w:rsidP="00E878D3">
      <w:pPr>
        <w:spacing w:line="276" w:lineRule="auto"/>
        <w:ind w:firstLine="567"/>
        <w:jc w:val="both"/>
      </w:pPr>
      <w:r w:rsidRPr="002E7FCE">
        <w:t xml:space="preserve">Ja iestāde iegūst informāciju, kas nav paredzēta normatīvajā aktā, nav konstatējams tās iegūšanas mērķis. Līdz ar to ir iespējams, ka konkrētajā lietā pieteicējas īpašnieks, sniedzot ziņas par SIA „ZESOL”, ir norādījis lauksaimniecību tikai kā vienu no potenciālajiem darbības veidiem. </w:t>
      </w:r>
    </w:p>
    <w:p w14:paraId="26B8F2A2" w14:textId="2B6AB2A0" w:rsidR="001259D5" w:rsidRPr="002E7FCE" w:rsidRDefault="00EA4147" w:rsidP="00E878D3">
      <w:pPr>
        <w:spacing w:line="276" w:lineRule="auto"/>
        <w:ind w:firstLine="567"/>
        <w:jc w:val="both"/>
      </w:pPr>
      <w:r w:rsidRPr="002E7FCE">
        <w:t>Tādējādi k</w:t>
      </w:r>
      <w:r w:rsidR="004161A0" w:rsidRPr="002E7FCE">
        <w:t>onkrētajā lietā šāda informācija nevarēja kalpot kā vienīgais pierādījums.</w:t>
      </w:r>
      <w:r w:rsidR="00A30034" w:rsidRPr="002E7FCE">
        <w:t xml:space="preserve"> </w:t>
      </w:r>
    </w:p>
    <w:p w14:paraId="7513F5B8" w14:textId="77777777" w:rsidR="001259D5" w:rsidRPr="002E7FCE" w:rsidRDefault="001259D5" w:rsidP="00E878D3">
      <w:pPr>
        <w:spacing w:line="276" w:lineRule="auto"/>
        <w:ind w:firstLine="567"/>
        <w:jc w:val="both"/>
        <w:rPr>
          <w:shd w:val="clear" w:color="auto" w:fill="FFFFFF"/>
        </w:rPr>
      </w:pPr>
    </w:p>
    <w:p w14:paraId="7C8FBFDC" w14:textId="396AB8C5" w:rsidR="004161A0" w:rsidRPr="002E7FCE" w:rsidRDefault="00D45064" w:rsidP="00E878D3">
      <w:pPr>
        <w:spacing w:line="276" w:lineRule="auto"/>
        <w:ind w:firstLine="567"/>
        <w:jc w:val="both"/>
        <w:rPr>
          <w:shd w:val="clear" w:color="auto" w:fill="FFFFFF"/>
        </w:rPr>
      </w:pPr>
      <w:r w:rsidRPr="002E7FCE">
        <w:rPr>
          <w:shd w:val="clear" w:color="auto" w:fill="FFFFFF"/>
        </w:rPr>
        <w:t>[</w:t>
      </w:r>
      <w:r w:rsidR="00557F13" w:rsidRPr="002E7FCE">
        <w:rPr>
          <w:shd w:val="clear" w:color="auto" w:fill="FFFFFF"/>
        </w:rPr>
        <w:t>10</w:t>
      </w:r>
      <w:r w:rsidRPr="002E7FCE">
        <w:rPr>
          <w:shd w:val="clear" w:color="auto" w:fill="FFFFFF"/>
        </w:rPr>
        <w:t>] </w:t>
      </w:r>
      <w:r w:rsidR="004161A0" w:rsidRPr="002E7FCE">
        <w:rPr>
          <w:shd w:val="clear" w:color="auto" w:fill="FFFFFF"/>
        </w:rPr>
        <w:t>Tas, ka Valsts ieņēmumu dienesta rīcībā esošā informācija bija nepilnīga, izriet arī no tālāk minētā.</w:t>
      </w:r>
    </w:p>
    <w:p w14:paraId="54CBB62C" w14:textId="62C4FFC7" w:rsidR="00C1358D" w:rsidRPr="002E7FCE" w:rsidRDefault="00F25E35" w:rsidP="00E878D3">
      <w:pPr>
        <w:spacing w:line="276" w:lineRule="auto"/>
        <w:ind w:firstLine="567"/>
        <w:jc w:val="both"/>
      </w:pPr>
      <w:r w:rsidRPr="002E7FCE">
        <w:rPr>
          <w:shd w:val="clear" w:color="auto" w:fill="FFFFFF"/>
        </w:rPr>
        <w:t xml:space="preserve">2018.gada 27.martā </w:t>
      </w:r>
      <w:r w:rsidR="008E59E4" w:rsidRPr="002E7FCE">
        <w:t>Noteikum</w:t>
      </w:r>
      <w:r w:rsidR="00D23620" w:rsidRPr="002E7FCE">
        <w:t>os</w:t>
      </w:r>
      <w:r w:rsidRPr="002E7FCE">
        <w:t xml:space="preserve"> </w:t>
      </w:r>
      <w:r w:rsidRPr="002E7FCE">
        <w:rPr>
          <w:bCs/>
        </w:rPr>
        <w:t>Nr.</w:t>
      </w:r>
      <w:r w:rsidR="00D23620" w:rsidRPr="002E7FCE">
        <w:rPr>
          <w:bCs/>
        </w:rPr>
        <w:t> </w:t>
      </w:r>
      <w:r w:rsidRPr="002E7FCE">
        <w:rPr>
          <w:bCs/>
        </w:rPr>
        <w:t xml:space="preserve">126 </w:t>
      </w:r>
      <w:r w:rsidR="008E59E4" w:rsidRPr="002E7FCE">
        <w:t>tika izdarīti grozījumi</w:t>
      </w:r>
      <w:r w:rsidRPr="002E7FCE">
        <w:t>, aizstāj</w:t>
      </w:r>
      <w:r w:rsidR="00C1358D" w:rsidRPr="002E7FCE">
        <w:t>o</w:t>
      </w:r>
      <w:r w:rsidRPr="002E7FCE">
        <w:t>t šajā lietā piemēroto 126.3</w:t>
      </w:r>
      <w:r w:rsidR="001F6CDD" w:rsidRPr="002E7FCE">
        <w:t>.apakš</w:t>
      </w:r>
      <w:r w:rsidRPr="002E7FCE">
        <w:t>punktu</w:t>
      </w:r>
      <w:r w:rsidR="00C56209" w:rsidRPr="002E7FCE">
        <w:t xml:space="preserve"> ar </w:t>
      </w:r>
      <w:r w:rsidR="00C1358D" w:rsidRPr="002E7FCE">
        <w:t>citu kritēriju, kas nav saistīts ar reģistrēšanos Valsts ieņēmumu dienestā, bet ar lauksaimniecības dzīvnieku reģistrāciju</w:t>
      </w:r>
      <w:r w:rsidR="0041287B" w:rsidRPr="002E7FCE">
        <w:t xml:space="preserve"> Lauksaimniecības datu centrā</w:t>
      </w:r>
      <w:r w:rsidR="00C1358D" w:rsidRPr="002E7FCE">
        <w:t>.</w:t>
      </w:r>
    </w:p>
    <w:p w14:paraId="26188F27" w14:textId="108D2899" w:rsidR="00B93AA6" w:rsidRPr="002E7FCE" w:rsidRDefault="008E59E4" w:rsidP="00E878D3">
      <w:pPr>
        <w:spacing w:line="276" w:lineRule="auto"/>
        <w:ind w:firstLine="567"/>
        <w:jc w:val="both"/>
      </w:pPr>
      <w:r w:rsidRPr="002E7FCE">
        <w:t>Grozījumu anotācijā norādīts, ka Valsts ieņēmumu dienesta rīcībā ir nepilnīga informācija par vēsturiskajiem datiem attiecībā uz nodokļu maksātāju reģistrētajiem darbības veidiem un periodu, lai korekti izvērtētu pretendenta atbilstību maksājuma gados jaunu lauksaimnieku saņemšanas nosacījumiem</w:t>
      </w:r>
      <w:r w:rsidR="00487119" w:rsidRPr="002E7FCE">
        <w:t xml:space="preserve"> (</w:t>
      </w:r>
      <w:r w:rsidR="00487119" w:rsidRPr="002E7FCE">
        <w:rPr>
          <w:i/>
          <w:iCs/>
        </w:rPr>
        <w:t>Ministru kabineta noteikumu projekta „Grozījumi Ministru kabineta 2015. gada 10. marta noteikumos Nr. 126 „Tiešo maksājumu piešķiršanas kārtība lauksaimniekiem”” sākotnējās ietekmes novērtējuma ziņojums (anotācija), pieejams:  http://tap.mk.gov.lv/lv/mk/tap/?pid=40451144</w:t>
      </w:r>
      <w:r w:rsidR="00F25E35" w:rsidRPr="002E7FCE">
        <w:t>)</w:t>
      </w:r>
      <w:r w:rsidR="00395606" w:rsidRPr="002E7FCE">
        <w:t>.</w:t>
      </w:r>
    </w:p>
    <w:p w14:paraId="6FE965A1" w14:textId="4FF6E739" w:rsidR="00395606" w:rsidRPr="002E7FCE" w:rsidRDefault="00395606" w:rsidP="00E878D3">
      <w:pPr>
        <w:spacing w:line="276" w:lineRule="auto"/>
        <w:ind w:firstLine="567"/>
        <w:jc w:val="both"/>
      </w:pPr>
    </w:p>
    <w:p w14:paraId="503F2C5A" w14:textId="7EBE2E65" w:rsidR="006D2191" w:rsidRPr="002E7FCE" w:rsidRDefault="00D45064" w:rsidP="00E878D3">
      <w:pPr>
        <w:spacing w:line="276" w:lineRule="auto"/>
        <w:ind w:firstLine="567"/>
        <w:jc w:val="both"/>
        <w:rPr>
          <w:bdr w:val="none" w:sz="0" w:space="0" w:color="auto" w:frame="1"/>
        </w:rPr>
      </w:pPr>
      <w:r w:rsidRPr="002E7FCE">
        <w:t>[1</w:t>
      </w:r>
      <w:r w:rsidR="00557F13" w:rsidRPr="002E7FCE">
        <w:t>1</w:t>
      </w:r>
      <w:r w:rsidRPr="002E7FCE">
        <w:t>] </w:t>
      </w:r>
      <w:r w:rsidR="00395606" w:rsidRPr="002E7FCE">
        <w:t xml:space="preserve">Ņemot vērā, ka apgabaltiesa ir piekritusi </w:t>
      </w:r>
      <w:r w:rsidR="004F346D" w:rsidRPr="002E7FCE">
        <w:t>D</w:t>
      </w:r>
      <w:r w:rsidR="00395606" w:rsidRPr="002E7FCE">
        <w:t>ienestam, ka Valsts ieņēmumu dienesta sniegtā informācija bija nekritiski izmantojama</w:t>
      </w:r>
      <w:bookmarkEnd w:id="6"/>
      <w:r w:rsidR="00395606" w:rsidRPr="002E7FCE">
        <w:t xml:space="preserve"> pārsūdzētā lēmuma pieņemšanā, apgabaltiesas spriedums ir atceļams.</w:t>
      </w:r>
    </w:p>
    <w:p w14:paraId="743574F7" w14:textId="77777777" w:rsidR="00487119" w:rsidRPr="002E7FCE" w:rsidRDefault="00487119" w:rsidP="00E878D3">
      <w:pPr>
        <w:spacing w:line="276" w:lineRule="auto"/>
        <w:jc w:val="both"/>
        <w:rPr>
          <w:highlight w:val="yellow"/>
        </w:rPr>
      </w:pPr>
    </w:p>
    <w:p w14:paraId="58C55338" w14:textId="528C78FC" w:rsidR="00530B85" w:rsidRPr="002E7FCE" w:rsidRDefault="00530B85" w:rsidP="00487119">
      <w:pPr>
        <w:spacing w:line="276" w:lineRule="auto"/>
        <w:jc w:val="center"/>
        <w:rPr>
          <w:b/>
        </w:rPr>
      </w:pPr>
      <w:r w:rsidRPr="002E7FCE">
        <w:rPr>
          <w:b/>
        </w:rPr>
        <w:t>Rezolutīvā daļa</w:t>
      </w:r>
    </w:p>
    <w:p w14:paraId="720A3F6C" w14:textId="77777777" w:rsidR="00487119" w:rsidRPr="002E7FCE" w:rsidRDefault="00487119" w:rsidP="00487119">
      <w:pPr>
        <w:spacing w:line="276" w:lineRule="auto"/>
        <w:jc w:val="center"/>
        <w:rPr>
          <w:b/>
        </w:rPr>
      </w:pPr>
    </w:p>
    <w:p w14:paraId="5973588A" w14:textId="41D51B1F" w:rsidR="00E878D3" w:rsidRPr="002E7FCE" w:rsidRDefault="004161A0" w:rsidP="00487119">
      <w:pPr>
        <w:keepNext/>
        <w:spacing w:line="276" w:lineRule="auto"/>
        <w:ind w:firstLine="567"/>
        <w:jc w:val="both"/>
        <w:rPr>
          <w:strike/>
        </w:rPr>
      </w:pPr>
      <w:r w:rsidRPr="002E7FCE">
        <w:t xml:space="preserve">Pamatojoties uz </w:t>
      </w:r>
      <w:r w:rsidRPr="002E7FCE">
        <w:rPr>
          <w:rFonts w:eastAsiaTheme="minorHAnsi"/>
          <w:lang w:eastAsia="en-US"/>
        </w:rPr>
        <w:t>Administratīvā procesa likuma</w:t>
      </w:r>
      <w:r w:rsidR="00F04F06" w:rsidRPr="002E7FCE">
        <w:rPr>
          <w:rFonts w:eastAsiaTheme="minorHAnsi"/>
          <w:lang w:eastAsia="en-US"/>
        </w:rPr>
        <w:t xml:space="preserve"> 129.</w:t>
      </w:r>
      <w:r w:rsidR="00F04F06" w:rsidRPr="002E7FCE">
        <w:rPr>
          <w:rFonts w:eastAsiaTheme="minorHAnsi"/>
          <w:vertAlign w:val="superscript"/>
          <w:lang w:eastAsia="en-US"/>
        </w:rPr>
        <w:t>1</w:t>
      </w:r>
      <w:r w:rsidR="00F04F06" w:rsidRPr="002E7FCE">
        <w:rPr>
          <w:rFonts w:eastAsiaTheme="minorHAnsi"/>
          <w:lang w:eastAsia="en-US"/>
        </w:rPr>
        <w:t>panta pirmās daļas 1.punktu,</w:t>
      </w:r>
      <w:r w:rsidRPr="002E7FCE">
        <w:rPr>
          <w:rFonts w:eastAsiaTheme="minorHAnsi"/>
          <w:lang w:eastAsia="en-US"/>
        </w:rPr>
        <w:t xml:space="preserve"> 348.panta pirmās daļas 2.punktu un 351.pantu</w:t>
      </w:r>
      <w:r w:rsidRPr="002E7FCE">
        <w:t>, Senāts</w:t>
      </w:r>
    </w:p>
    <w:p w14:paraId="39187C73" w14:textId="77777777" w:rsidR="00E878D3" w:rsidRPr="002E7FCE" w:rsidRDefault="00E878D3" w:rsidP="00E878D3">
      <w:pPr>
        <w:spacing w:line="276" w:lineRule="auto"/>
        <w:ind w:firstLine="567"/>
        <w:jc w:val="both"/>
      </w:pPr>
    </w:p>
    <w:p w14:paraId="76068CD6" w14:textId="77777777" w:rsidR="004161A0" w:rsidRPr="002E7FCE" w:rsidRDefault="004161A0" w:rsidP="00E878D3">
      <w:pPr>
        <w:spacing w:line="276" w:lineRule="auto"/>
        <w:jc w:val="center"/>
        <w:rPr>
          <w:b/>
        </w:rPr>
      </w:pPr>
      <w:r w:rsidRPr="002E7FCE">
        <w:rPr>
          <w:b/>
        </w:rPr>
        <w:t>nosprieda</w:t>
      </w:r>
    </w:p>
    <w:p w14:paraId="7455D78A" w14:textId="77777777" w:rsidR="004161A0" w:rsidRPr="002E7FCE" w:rsidRDefault="004161A0" w:rsidP="00E878D3">
      <w:pPr>
        <w:spacing w:line="276" w:lineRule="auto"/>
        <w:jc w:val="center"/>
        <w:rPr>
          <w:b/>
        </w:rPr>
      </w:pPr>
    </w:p>
    <w:p w14:paraId="486FDBDF" w14:textId="39817CA8" w:rsidR="00E878D3" w:rsidRPr="002E7FCE" w:rsidRDefault="00D23620" w:rsidP="00E878D3">
      <w:pPr>
        <w:tabs>
          <w:tab w:val="left" w:pos="2700"/>
          <w:tab w:val="left" w:pos="6660"/>
        </w:tabs>
        <w:spacing w:line="276" w:lineRule="auto"/>
        <w:ind w:firstLine="567"/>
        <w:jc w:val="both"/>
      </w:pPr>
      <w:r w:rsidRPr="002E7FCE">
        <w:t>a</w:t>
      </w:r>
      <w:r w:rsidR="004161A0" w:rsidRPr="002E7FCE">
        <w:t>tcelt Administratīvās apgabaltiesas</w:t>
      </w:r>
      <w:r w:rsidR="00530B85" w:rsidRPr="002E7FCE">
        <w:t xml:space="preserve"> 2017.gada </w:t>
      </w:r>
      <w:r w:rsidR="004A083A" w:rsidRPr="002E7FCE">
        <w:t>13.okto</w:t>
      </w:r>
      <w:r w:rsidR="00530B85" w:rsidRPr="002E7FCE">
        <w:t>bra spriedumu</w:t>
      </w:r>
      <w:r w:rsidR="004161A0" w:rsidRPr="002E7FCE">
        <w:t xml:space="preserve"> un nosūtīt lietu jaunai izskatīšanai </w:t>
      </w:r>
      <w:r w:rsidR="00F04F06" w:rsidRPr="002E7FCE">
        <w:t>apgabaltiesai</w:t>
      </w:r>
      <w:r w:rsidR="004161A0" w:rsidRPr="002E7FCE">
        <w:t>.</w:t>
      </w:r>
    </w:p>
    <w:p w14:paraId="7BA62ED9" w14:textId="64A47021" w:rsidR="00F04F06" w:rsidRPr="002E7FCE" w:rsidRDefault="00F04F06" w:rsidP="00E878D3">
      <w:pPr>
        <w:tabs>
          <w:tab w:val="left" w:pos="2700"/>
          <w:tab w:val="left" w:pos="6660"/>
        </w:tabs>
        <w:spacing w:line="276" w:lineRule="auto"/>
        <w:ind w:firstLine="567"/>
        <w:jc w:val="both"/>
      </w:pPr>
      <w:r w:rsidRPr="002E7FCE">
        <w:t>Atmaksāt ZS „</w:t>
      </w:r>
      <w:proofErr w:type="spellStart"/>
      <w:r w:rsidRPr="002E7FCE">
        <w:t>Kolnasāta</w:t>
      </w:r>
      <w:proofErr w:type="spellEnd"/>
      <w:r w:rsidRPr="002E7FCE">
        <w:t xml:space="preserve">” drošības naudu 70 </w:t>
      </w:r>
      <w:proofErr w:type="spellStart"/>
      <w:r w:rsidRPr="002E7FCE">
        <w:rPr>
          <w:i/>
        </w:rPr>
        <w:t>euro</w:t>
      </w:r>
      <w:proofErr w:type="spellEnd"/>
      <w:r w:rsidRPr="002E7FCE">
        <w:t>.</w:t>
      </w:r>
    </w:p>
    <w:p w14:paraId="71C32147" w14:textId="26D342D1" w:rsidR="002E7FCE" w:rsidRPr="008960C5" w:rsidRDefault="00530B85" w:rsidP="008960C5">
      <w:pPr>
        <w:tabs>
          <w:tab w:val="left" w:pos="2700"/>
          <w:tab w:val="left" w:pos="6660"/>
        </w:tabs>
        <w:spacing w:line="276" w:lineRule="auto"/>
        <w:ind w:firstLine="567"/>
        <w:jc w:val="both"/>
      </w:pPr>
      <w:r w:rsidRPr="002E7FCE">
        <w:t xml:space="preserve">Spriedums nav pārsūdzams. </w:t>
      </w:r>
    </w:p>
    <w:p w14:paraId="65E096CE" w14:textId="32BDFDA5" w:rsidR="002E7FCE" w:rsidRPr="00AF6636" w:rsidRDefault="002E7FCE" w:rsidP="002E7FCE">
      <w:pPr>
        <w:spacing w:line="276" w:lineRule="auto"/>
        <w:ind w:firstLine="567"/>
        <w:jc w:val="both"/>
        <w:rPr>
          <w:color w:val="FFFFFF" w:themeColor="background1"/>
          <w:sz w:val="22"/>
          <w:szCs w:val="22"/>
        </w:rPr>
      </w:pPr>
      <w:r w:rsidRPr="00AF6636">
        <w:rPr>
          <w:color w:val="FFFFFF" w:themeColor="background1"/>
          <w:sz w:val="22"/>
          <w:szCs w:val="22"/>
        </w:rPr>
        <w:t>PARAKSTĪTS AR DROŠU ELEKTRONISKO PARAKSTU UN SATUR LAIKA ZĪMOGU</w:t>
      </w:r>
    </w:p>
    <w:sectPr w:rsidR="002E7FCE" w:rsidRPr="00AF6636" w:rsidSect="008F691E">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F394F" w14:textId="77777777" w:rsidR="00121AD0" w:rsidRDefault="00121AD0" w:rsidP="00E878D3">
      <w:r>
        <w:separator/>
      </w:r>
    </w:p>
  </w:endnote>
  <w:endnote w:type="continuationSeparator" w:id="0">
    <w:p w14:paraId="414C053D" w14:textId="77777777" w:rsidR="00121AD0" w:rsidRDefault="00121AD0" w:rsidP="00E8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9628"/>
      <w:docPartObj>
        <w:docPartGallery w:val="Page Numbers (Bottom of Page)"/>
        <w:docPartUnique/>
      </w:docPartObj>
    </w:sdtPr>
    <w:sdtEndPr/>
    <w:sdtContent>
      <w:sdt>
        <w:sdtPr>
          <w:id w:val="1728636285"/>
          <w:docPartObj>
            <w:docPartGallery w:val="Page Numbers (Top of Page)"/>
            <w:docPartUnique/>
          </w:docPartObj>
        </w:sdtPr>
        <w:sdtEndPr/>
        <w:sdtContent>
          <w:p w14:paraId="5D273E60" w14:textId="5F833F8F" w:rsidR="00E878D3" w:rsidRDefault="00E878D3">
            <w:pPr>
              <w:pStyle w:val="Footer"/>
              <w:jc w:val="center"/>
            </w:pPr>
            <w:r w:rsidRPr="00E878D3">
              <w:t xml:space="preserve"> </w:t>
            </w:r>
            <w:r w:rsidRPr="00E878D3">
              <w:rPr>
                <w:bCs/>
              </w:rPr>
              <w:fldChar w:fldCharType="begin"/>
            </w:r>
            <w:r w:rsidRPr="00E878D3">
              <w:rPr>
                <w:bCs/>
              </w:rPr>
              <w:instrText xml:space="preserve"> PAGE </w:instrText>
            </w:r>
            <w:r w:rsidRPr="00E878D3">
              <w:rPr>
                <w:bCs/>
              </w:rPr>
              <w:fldChar w:fldCharType="separate"/>
            </w:r>
            <w:r w:rsidR="00AF6636">
              <w:rPr>
                <w:bCs/>
                <w:noProof/>
              </w:rPr>
              <w:t>5</w:t>
            </w:r>
            <w:r w:rsidRPr="00E878D3">
              <w:rPr>
                <w:bCs/>
              </w:rPr>
              <w:fldChar w:fldCharType="end"/>
            </w:r>
            <w:r w:rsidRPr="00E878D3">
              <w:t xml:space="preserve"> no </w:t>
            </w:r>
            <w:r w:rsidRPr="00E878D3">
              <w:rPr>
                <w:bCs/>
              </w:rPr>
              <w:fldChar w:fldCharType="begin"/>
            </w:r>
            <w:r w:rsidRPr="00E878D3">
              <w:rPr>
                <w:bCs/>
              </w:rPr>
              <w:instrText xml:space="preserve"> NUMPAGES  </w:instrText>
            </w:r>
            <w:r w:rsidRPr="00E878D3">
              <w:rPr>
                <w:bCs/>
              </w:rPr>
              <w:fldChar w:fldCharType="separate"/>
            </w:r>
            <w:r w:rsidR="00AF6636">
              <w:rPr>
                <w:bCs/>
                <w:noProof/>
              </w:rPr>
              <w:t>5</w:t>
            </w:r>
            <w:r w:rsidRPr="00E878D3">
              <w:rPr>
                <w:bCs/>
              </w:rPr>
              <w:fldChar w:fldCharType="end"/>
            </w:r>
          </w:p>
        </w:sdtContent>
      </w:sdt>
    </w:sdtContent>
  </w:sdt>
  <w:p w14:paraId="4D6636CD" w14:textId="77777777" w:rsidR="00E878D3" w:rsidRDefault="00E8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3F0A4" w14:textId="77777777" w:rsidR="00121AD0" w:rsidRDefault="00121AD0" w:rsidP="00E878D3">
      <w:r>
        <w:separator/>
      </w:r>
    </w:p>
  </w:footnote>
  <w:footnote w:type="continuationSeparator" w:id="0">
    <w:p w14:paraId="4C9D2C14" w14:textId="77777777" w:rsidR="00121AD0" w:rsidRDefault="00121AD0" w:rsidP="00E87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6C9B"/>
    <w:multiLevelType w:val="multilevel"/>
    <w:tmpl w:val="4BA0BD7E"/>
    <w:lvl w:ilvl="0">
      <w:start w:val="1"/>
      <w:numFmt w:val="decimal"/>
      <w:lvlText w:val="[%1]"/>
      <w:lvlJc w:val="left"/>
      <w:pPr>
        <w:tabs>
          <w:tab w:val="num" w:pos="851"/>
        </w:tabs>
        <w:ind w:left="0" w:firstLine="851"/>
      </w:pPr>
      <w:rPr>
        <w:rFonts w:ascii="Times New Roman" w:hAnsi="Times New Roman" w:hint="default"/>
        <w:b w:val="0"/>
        <w:i w:val="0"/>
        <w:sz w:val="28"/>
        <w:szCs w:val="28"/>
      </w:rPr>
    </w:lvl>
    <w:lvl w:ilvl="1">
      <w:start w:val="1"/>
      <w:numFmt w:val="decimal"/>
      <w:lvlText w:val="[%1.%2]"/>
      <w:lvlJc w:val="left"/>
      <w:pPr>
        <w:tabs>
          <w:tab w:val="num" w:pos="1135"/>
        </w:tabs>
        <w:ind w:left="284" w:firstLine="851"/>
      </w:pPr>
      <w:rPr>
        <w:rFonts w:ascii="Times New Roman" w:hAnsi="Times New Roman" w:hint="default"/>
        <w:b w:val="0"/>
        <w:i w:val="0"/>
        <w:color w:val="auto"/>
        <w:sz w:val="28"/>
        <w:szCs w:val="28"/>
      </w:rPr>
    </w:lvl>
    <w:lvl w:ilvl="2">
      <w:start w:val="1"/>
      <w:numFmt w:val="decimal"/>
      <w:lvlText w:val="[%1.%2.%3]"/>
      <w:lvlJc w:val="left"/>
      <w:pPr>
        <w:tabs>
          <w:tab w:val="num" w:pos="851"/>
        </w:tabs>
        <w:ind w:left="1224" w:hanging="373"/>
      </w:pPr>
      <w:rPr>
        <w:rFonts w:hint="default"/>
        <w:i w:val="0"/>
      </w:rPr>
    </w:lvl>
    <w:lvl w:ilvl="3">
      <w:start w:val="1"/>
      <w:numFmt w:val="decimal"/>
      <w:lvlText w:val="[%1.%2.%3.%4]"/>
      <w:lvlJc w:val="left"/>
      <w:pPr>
        <w:tabs>
          <w:tab w:val="num" w:pos="1077"/>
        </w:tabs>
        <w:ind w:left="1728" w:hanging="8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86"/>
    <w:rsid w:val="00006C74"/>
    <w:rsid w:val="000138BA"/>
    <w:rsid w:val="000A2A9C"/>
    <w:rsid w:val="000B1025"/>
    <w:rsid w:val="00121AD0"/>
    <w:rsid w:val="00124F8D"/>
    <w:rsid w:val="001259D5"/>
    <w:rsid w:val="00154D54"/>
    <w:rsid w:val="001A02AD"/>
    <w:rsid w:val="001D6A88"/>
    <w:rsid w:val="001F60C6"/>
    <w:rsid w:val="001F6CDD"/>
    <w:rsid w:val="002314B4"/>
    <w:rsid w:val="00251134"/>
    <w:rsid w:val="00261CC2"/>
    <w:rsid w:val="002E7FCE"/>
    <w:rsid w:val="003270BD"/>
    <w:rsid w:val="00347794"/>
    <w:rsid w:val="0037100A"/>
    <w:rsid w:val="00384F49"/>
    <w:rsid w:val="00395606"/>
    <w:rsid w:val="003D65DB"/>
    <w:rsid w:val="003F4DC6"/>
    <w:rsid w:val="0041287B"/>
    <w:rsid w:val="004161A0"/>
    <w:rsid w:val="004169C0"/>
    <w:rsid w:val="00427C3A"/>
    <w:rsid w:val="00435790"/>
    <w:rsid w:val="0045786E"/>
    <w:rsid w:val="00475501"/>
    <w:rsid w:val="004769CB"/>
    <w:rsid w:val="00476DBB"/>
    <w:rsid w:val="00487119"/>
    <w:rsid w:val="004A083A"/>
    <w:rsid w:val="004A4C40"/>
    <w:rsid w:val="004B3BAA"/>
    <w:rsid w:val="004B4551"/>
    <w:rsid w:val="004C6CCC"/>
    <w:rsid w:val="004F346D"/>
    <w:rsid w:val="00530A50"/>
    <w:rsid w:val="00530B85"/>
    <w:rsid w:val="00557F13"/>
    <w:rsid w:val="005A071B"/>
    <w:rsid w:val="005C05A7"/>
    <w:rsid w:val="005E7B5A"/>
    <w:rsid w:val="005F38CA"/>
    <w:rsid w:val="00625832"/>
    <w:rsid w:val="006325D9"/>
    <w:rsid w:val="006345FD"/>
    <w:rsid w:val="00652B60"/>
    <w:rsid w:val="00683EC0"/>
    <w:rsid w:val="006870B0"/>
    <w:rsid w:val="006D2191"/>
    <w:rsid w:val="007529BC"/>
    <w:rsid w:val="00765D77"/>
    <w:rsid w:val="007F1D6C"/>
    <w:rsid w:val="00804AE6"/>
    <w:rsid w:val="008148DD"/>
    <w:rsid w:val="008960C5"/>
    <w:rsid w:val="008C68D7"/>
    <w:rsid w:val="008E59E4"/>
    <w:rsid w:val="008F08AC"/>
    <w:rsid w:val="008F691E"/>
    <w:rsid w:val="0091130D"/>
    <w:rsid w:val="0092755B"/>
    <w:rsid w:val="009403D2"/>
    <w:rsid w:val="00997A88"/>
    <w:rsid w:val="009A7E14"/>
    <w:rsid w:val="009F0BE4"/>
    <w:rsid w:val="00A30034"/>
    <w:rsid w:val="00A66A0A"/>
    <w:rsid w:val="00A86715"/>
    <w:rsid w:val="00AB2FDE"/>
    <w:rsid w:val="00AC2D3D"/>
    <w:rsid w:val="00AF10AB"/>
    <w:rsid w:val="00AF6636"/>
    <w:rsid w:val="00B01AED"/>
    <w:rsid w:val="00B47609"/>
    <w:rsid w:val="00B53D5E"/>
    <w:rsid w:val="00B55096"/>
    <w:rsid w:val="00B61683"/>
    <w:rsid w:val="00B93AA6"/>
    <w:rsid w:val="00BA56B3"/>
    <w:rsid w:val="00BF1B65"/>
    <w:rsid w:val="00C012DE"/>
    <w:rsid w:val="00C1358D"/>
    <w:rsid w:val="00C54574"/>
    <w:rsid w:val="00C56209"/>
    <w:rsid w:val="00CB5B86"/>
    <w:rsid w:val="00CF2320"/>
    <w:rsid w:val="00D061FF"/>
    <w:rsid w:val="00D10CE1"/>
    <w:rsid w:val="00D168CC"/>
    <w:rsid w:val="00D23620"/>
    <w:rsid w:val="00D44A09"/>
    <w:rsid w:val="00D45064"/>
    <w:rsid w:val="00DA2629"/>
    <w:rsid w:val="00DD2B81"/>
    <w:rsid w:val="00DF3427"/>
    <w:rsid w:val="00E01BD3"/>
    <w:rsid w:val="00E42802"/>
    <w:rsid w:val="00E64A9F"/>
    <w:rsid w:val="00E85BEB"/>
    <w:rsid w:val="00E878D3"/>
    <w:rsid w:val="00EA4147"/>
    <w:rsid w:val="00EA547A"/>
    <w:rsid w:val="00EB22FF"/>
    <w:rsid w:val="00EC6A72"/>
    <w:rsid w:val="00EC799B"/>
    <w:rsid w:val="00EE15FD"/>
    <w:rsid w:val="00F04F06"/>
    <w:rsid w:val="00F24F1B"/>
    <w:rsid w:val="00F25E35"/>
    <w:rsid w:val="00F27428"/>
    <w:rsid w:val="00F33FDA"/>
    <w:rsid w:val="00F579D7"/>
    <w:rsid w:val="00F71643"/>
    <w:rsid w:val="00F83E25"/>
    <w:rsid w:val="00FB6B9E"/>
    <w:rsid w:val="00FC061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0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35790"/>
    <w:pPr>
      <w:jc w:val="right"/>
    </w:pPr>
    <w:rPr>
      <w:rFonts w:ascii="Garamond" w:hAnsi="Garamond"/>
      <w:sz w:val="28"/>
      <w:szCs w:val="28"/>
      <w:lang w:eastAsia="x-none"/>
    </w:rPr>
  </w:style>
  <w:style w:type="character" w:customStyle="1" w:styleId="BodyText2Char">
    <w:name w:val="Body Text 2 Char"/>
    <w:basedOn w:val="DefaultParagraphFont"/>
    <w:link w:val="BodyText2"/>
    <w:rsid w:val="00435790"/>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435790"/>
    <w:rPr>
      <w:rFonts w:ascii="Tahoma" w:hAnsi="Tahoma" w:cs="Tahoma"/>
      <w:sz w:val="16"/>
      <w:szCs w:val="16"/>
    </w:rPr>
  </w:style>
  <w:style w:type="character" w:customStyle="1" w:styleId="BalloonTextChar">
    <w:name w:val="Balloon Text Char"/>
    <w:basedOn w:val="DefaultParagraphFont"/>
    <w:link w:val="BalloonText"/>
    <w:uiPriority w:val="99"/>
    <w:semiHidden/>
    <w:rsid w:val="00435790"/>
    <w:rPr>
      <w:rFonts w:ascii="Tahoma" w:eastAsia="Times New Roman" w:hAnsi="Tahoma" w:cs="Tahoma"/>
      <w:sz w:val="16"/>
      <w:szCs w:val="16"/>
      <w:lang w:eastAsia="lv-LV"/>
    </w:rPr>
  </w:style>
  <w:style w:type="character" w:styleId="Hyperlink">
    <w:name w:val="Hyperlink"/>
    <w:basedOn w:val="DefaultParagraphFont"/>
    <w:uiPriority w:val="99"/>
    <w:unhideWhenUsed/>
    <w:rsid w:val="00C012DE"/>
    <w:rPr>
      <w:color w:val="0000FF"/>
      <w:u w:val="single"/>
    </w:rPr>
  </w:style>
  <w:style w:type="paragraph" w:customStyle="1" w:styleId="xmsonormal">
    <w:name w:val="x_msonormal"/>
    <w:basedOn w:val="Normal"/>
    <w:rsid w:val="00B93AA6"/>
    <w:pPr>
      <w:spacing w:before="100" w:beforeAutospacing="1" w:after="100" w:afterAutospacing="1"/>
    </w:pPr>
  </w:style>
  <w:style w:type="paragraph" w:customStyle="1" w:styleId="tv213">
    <w:name w:val="tv213"/>
    <w:basedOn w:val="Normal"/>
    <w:rsid w:val="00652B60"/>
    <w:pPr>
      <w:spacing w:before="100" w:beforeAutospacing="1" w:after="100" w:afterAutospacing="1"/>
    </w:pPr>
    <w:rPr>
      <w:lang w:val="en-US" w:eastAsia="en-US"/>
    </w:rPr>
  </w:style>
  <w:style w:type="paragraph" w:styleId="Header">
    <w:name w:val="header"/>
    <w:basedOn w:val="Normal"/>
    <w:link w:val="HeaderChar"/>
    <w:uiPriority w:val="99"/>
    <w:unhideWhenUsed/>
    <w:rsid w:val="00E878D3"/>
    <w:pPr>
      <w:tabs>
        <w:tab w:val="center" w:pos="4320"/>
        <w:tab w:val="right" w:pos="8640"/>
      </w:tabs>
    </w:pPr>
  </w:style>
  <w:style w:type="character" w:customStyle="1" w:styleId="HeaderChar">
    <w:name w:val="Header Char"/>
    <w:basedOn w:val="DefaultParagraphFont"/>
    <w:link w:val="Header"/>
    <w:uiPriority w:val="99"/>
    <w:rsid w:val="00E878D3"/>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878D3"/>
    <w:pPr>
      <w:tabs>
        <w:tab w:val="center" w:pos="4320"/>
        <w:tab w:val="right" w:pos="8640"/>
      </w:tabs>
    </w:pPr>
  </w:style>
  <w:style w:type="character" w:customStyle="1" w:styleId="FooterChar">
    <w:name w:val="Footer Char"/>
    <w:basedOn w:val="DefaultParagraphFont"/>
    <w:link w:val="Footer"/>
    <w:uiPriority w:val="99"/>
    <w:rsid w:val="00E878D3"/>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5C05A7"/>
    <w:rPr>
      <w:color w:val="605E5C"/>
      <w:shd w:val="clear" w:color="auto" w:fill="E1DFDD"/>
    </w:rPr>
  </w:style>
  <w:style w:type="character" w:styleId="FollowedHyperlink">
    <w:name w:val="FollowedHyperlink"/>
    <w:basedOn w:val="DefaultParagraphFont"/>
    <w:uiPriority w:val="99"/>
    <w:semiHidden/>
    <w:unhideWhenUsed/>
    <w:rsid w:val="008960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80839">
      <w:bodyDiv w:val="1"/>
      <w:marLeft w:val="0"/>
      <w:marRight w:val="0"/>
      <w:marTop w:val="0"/>
      <w:marBottom w:val="0"/>
      <w:divBdr>
        <w:top w:val="none" w:sz="0" w:space="0" w:color="auto"/>
        <w:left w:val="none" w:sz="0" w:space="0" w:color="auto"/>
        <w:bottom w:val="none" w:sz="0" w:space="0" w:color="auto"/>
        <w:right w:val="none" w:sz="0" w:space="0" w:color="auto"/>
      </w:divBdr>
    </w:div>
    <w:div w:id="155249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112.A420277116.5.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DC242-9B5F-4444-8DFA-B4F81A28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8426</Words>
  <Characters>4803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2019-11-25T08:27:00Z</dcterms:created>
  <dcterms:modified xsi:type="dcterms:W3CDTF">2019-11-25T14:54:00Z</dcterms:modified>
</cp:coreProperties>
</file>