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01AF00" w14:textId="38226A0C" w:rsidR="00D05B55" w:rsidRDefault="002C6283" w:rsidP="00BB485C">
      <w:pPr>
        <w:pStyle w:val="BodyText2"/>
        <w:spacing w:line="276" w:lineRule="auto"/>
        <w:jc w:val="both"/>
        <w:rPr>
          <w:rFonts w:ascii="Times New Roman" w:hAnsi="Times New Roman"/>
          <w:b/>
          <w:bCs/>
          <w:sz w:val="24"/>
          <w:szCs w:val="24"/>
        </w:rPr>
      </w:pPr>
      <w:r w:rsidRPr="002C6283">
        <w:rPr>
          <w:rFonts w:ascii="Times New Roman" w:hAnsi="Times New Roman"/>
          <w:b/>
          <w:bCs/>
          <w:sz w:val="24"/>
          <w:szCs w:val="24"/>
        </w:rPr>
        <w:t xml:space="preserve">Apjoms un ietvari, </w:t>
      </w:r>
      <w:proofErr w:type="gramStart"/>
      <w:r w:rsidRPr="002C6283">
        <w:rPr>
          <w:rFonts w:ascii="Times New Roman" w:hAnsi="Times New Roman"/>
          <w:b/>
          <w:bCs/>
          <w:sz w:val="24"/>
          <w:szCs w:val="24"/>
        </w:rPr>
        <w:t>kādos lieta tiek iztiesāta</w:t>
      </w:r>
      <w:proofErr w:type="gramEnd"/>
      <w:r w:rsidRPr="002C6283">
        <w:rPr>
          <w:rFonts w:ascii="Times New Roman" w:hAnsi="Times New Roman"/>
          <w:b/>
          <w:bCs/>
          <w:sz w:val="24"/>
          <w:szCs w:val="24"/>
        </w:rPr>
        <w:t xml:space="preserve"> apelācijas instances tiesā</w:t>
      </w:r>
    </w:p>
    <w:p w14:paraId="1B4B17B7" w14:textId="2AD99AA7" w:rsidR="002C6283" w:rsidRDefault="002C6283" w:rsidP="00BB485C">
      <w:pPr>
        <w:pStyle w:val="BodyText2"/>
        <w:spacing w:line="276" w:lineRule="auto"/>
        <w:jc w:val="both"/>
        <w:rPr>
          <w:rFonts w:ascii="Times New Roman" w:hAnsi="Times New Roman"/>
          <w:b/>
          <w:bCs/>
          <w:sz w:val="24"/>
          <w:szCs w:val="24"/>
        </w:rPr>
      </w:pPr>
    </w:p>
    <w:p w14:paraId="08C6B368" w14:textId="77777777" w:rsidR="002C6283" w:rsidRPr="002C6283" w:rsidRDefault="002C6283" w:rsidP="00BB485C">
      <w:pPr>
        <w:spacing w:line="276" w:lineRule="auto"/>
        <w:jc w:val="both"/>
      </w:pPr>
      <w:r w:rsidRPr="002C6283">
        <w:t xml:space="preserve">Tiesai, ievērojot Kriminālprocesa likuma </w:t>
      </w:r>
      <w:proofErr w:type="gramStart"/>
      <w:r w:rsidRPr="002C6283">
        <w:t>562.panta</w:t>
      </w:r>
      <w:proofErr w:type="gramEnd"/>
      <w:r w:rsidRPr="002C6283">
        <w:t xml:space="preserve"> pirmo daļu, nav pamata atzīt par atbildību pastiprinošu apstākli tādu apstākli, kas nav norādīts apelācijas protestā.</w:t>
      </w:r>
    </w:p>
    <w:p w14:paraId="364171D5" w14:textId="77777777" w:rsidR="00BB485C" w:rsidRDefault="00BB485C" w:rsidP="00BB485C">
      <w:pPr>
        <w:pStyle w:val="BodyText2"/>
        <w:spacing w:line="276" w:lineRule="auto"/>
        <w:jc w:val="both"/>
        <w:rPr>
          <w:rFonts w:ascii="Times New Roman" w:hAnsi="Times New Roman"/>
          <w:sz w:val="24"/>
          <w:szCs w:val="24"/>
        </w:rPr>
      </w:pPr>
    </w:p>
    <w:p w14:paraId="790EC3F8" w14:textId="1CEB609D" w:rsidR="002C6283" w:rsidRPr="002C6283" w:rsidRDefault="002C6283" w:rsidP="00BB485C">
      <w:pPr>
        <w:pStyle w:val="BodyText2"/>
        <w:spacing w:line="276" w:lineRule="auto"/>
        <w:jc w:val="both"/>
        <w:rPr>
          <w:rFonts w:ascii="Times New Roman" w:hAnsi="Times New Roman"/>
          <w:sz w:val="24"/>
          <w:szCs w:val="24"/>
        </w:rPr>
      </w:pPr>
      <w:r w:rsidRPr="002C6283">
        <w:rPr>
          <w:rFonts w:ascii="Times New Roman" w:hAnsi="Times New Roman"/>
          <w:sz w:val="24"/>
          <w:szCs w:val="24"/>
        </w:rPr>
        <w:t>Apelācijas instances tiesa, izskatot lietu apelācijas kārtībā sakarā ar apelācijas protestu, nevar noteikt apsūdzētajam bargāku sodu</w:t>
      </w:r>
      <w:r w:rsidR="00D84887">
        <w:rPr>
          <w:rFonts w:ascii="Times New Roman" w:hAnsi="Times New Roman"/>
          <w:sz w:val="24"/>
          <w:szCs w:val="24"/>
        </w:rPr>
        <w:t>,</w:t>
      </w:r>
      <w:r w:rsidRPr="002C6283">
        <w:rPr>
          <w:rFonts w:ascii="Times New Roman" w:hAnsi="Times New Roman"/>
          <w:sz w:val="24"/>
          <w:szCs w:val="24"/>
        </w:rPr>
        <w:t xml:space="preserve"> kā protestā lūdzis prokurors</w:t>
      </w:r>
      <w:r>
        <w:rPr>
          <w:rFonts w:ascii="Times New Roman" w:hAnsi="Times New Roman"/>
          <w:sz w:val="24"/>
          <w:szCs w:val="24"/>
        </w:rPr>
        <w:t>.</w:t>
      </w:r>
    </w:p>
    <w:p w14:paraId="21A39348" w14:textId="7F9EB24E" w:rsidR="00D05B55" w:rsidRPr="002C6283" w:rsidRDefault="00D05B55" w:rsidP="00BB485C">
      <w:pPr>
        <w:pStyle w:val="BodyText2"/>
        <w:spacing w:line="276" w:lineRule="auto"/>
        <w:jc w:val="both"/>
        <w:rPr>
          <w:rFonts w:ascii="Times New Roman" w:hAnsi="Times New Roman"/>
          <w:sz w:val="24"/>
          <w:szCs w:val="24"/>
        </w:rPr>
      </w:pPr>
    </w:p>
    <w:p w14:paraId="4902EE98" w14:textId="446350E4" w:rsidR="00D05B55" w:rsidRPr="002C6283" w:rsidRDefault="00D05B55" w:rsidP="00BB485C">
      <w:pPr>
        <w:spacing w:line="276" w:lineRule="auto"/>
        <w:jc w:val="both"/>
        <w:rPr>
          <w:b/>
          <w:lang w:val="x-none"/>
        </w:rPr>
      </w:pPr>
    </w:p>
    <w:p w14:paraId="75BE1F48" w14:textId="77777777" w:rsidR="003A59D4" w:rsidRPr="003A59D4" w:rsidRDefault="00D05B55" w:rsidP="00BB485C">
      <w:pPr>
        <w:spacing w:line="276" w:lineRule="auto"/>
        <w:jc w:val="center"/>
        <w:rPr>
          <w:b/>
        </w:rPr>
      </w:pPr>
      <w:r w:rsidRPr="003A59D4">
        <w:rPr>
          <w:b/>
        </w:rPr>
        <w:t>Latvijas Republikas Senāt</w:t>
      </w:r>
      <w:r w:rsidR="003A59D4" w:rsidRPr="003A59D4">
        <w:rPr>
          <w:b/>
        </w:rPr>
        <w:t>a</w:t>
      </w:r>
      <w:r w:rsidRPr="003A59D4">
        <w:rPr>
          <w:b/>
        </w:rPr>
        <w:t xml:space="preserve"> </w:t>
      </w:r>
    </w:p>
    <w:p w14:paraId="145010EB" w14:textId="77777777" w:rsidR="003A59D4" w:rsidRPr="003A59D4" w:rsidRDefault="003A59D4" w:rsidP="003A59D4">
      <w:pPr>
        <w:spacing w:line="276" w:lineRule="auto"/>
        <w:jc w:val="center"/>
        <w:rPr>
          <w:b/>
        </w:rPr>
      </w:pPr>
      <w:r w:rsidRPr="003A59D4">
        <w:rPr>
          <w:b/>
        </w:rPr>
        <w:t xml:space="preserve">Krimināllietu departamenta </w:t>
      </w:r>
    </w:p>
    <w:p w14:paraId="10880BD2" w14:textId="157F99B5" w:rsidR="00D05B55" w:rsidRPr="003A59D4" w:rsidRDefault="003A59D4" w:rsidP="003A59D4">
      <w:pPr>
        <w:spacing w:line="276" w:lineRule="auto"/>
        <w:jc w:val="center"/>
        <w:rPr>
          <w:b/>
        </w:rPr>
      </w:pPr>
      <w:proofErr w:type="gramStart"/>
      <w:r w:rsidRPr="003A59D4">
        <w:rPr>
          <w:b/>
        </w:rPr>
        <w:t>2020.gada</w:t>
      </w:r>
      <w:proofErr w:type="gramEnd"/>
      <w:r w:rsidRPr="003A59D4">
        <w:rPr>
          <w:b/>
        </w:rPr>
        <w:t xml:space="preserve"> 9.aprīļa </w:t>
      </w:r>
    </w:p>
    <w:p w14:paraId="154F1681" w14:textId="77777777" w:rsidR="003A59D4" w:rsidRPr="003A59D4" w:rsidRDefault="00D05B55" w:rsidP="00B921E6">
      <w:pPr>
        <w:spacing w:line="276" w:lineRule="auto"/>
        <w:jc w:val="center"/>
        <w:rPr>
          <w:b/>
        </w:rPr>
      </w:pPr>
      <w:r w:rsidRPr="003A59D4">
        <w:rPr>
          <w:b/>
        </w:rPr>
        <w:t>LĒMUMS</w:t>
      </w:r>
      <w:r w:rsidR="003A59D4" w:rsidRPr="003A59D4">
        <w:rPr>
          <w:b/>
        </w:rPr>
        <w:t xml:space="preserve"> </w:t>
      </w:r>
    </w:p>
    <w:p w14:paraId="4E3A3F85" w14:textId="1EC299D0" w:rsidR="00D05B55" w:rsidRDefault="003A59D4" w:rsidP="00B921E6">
      <w:pPr>
        <w:spacing w:line="276" w:lineRule="auto"/>
        <w:jc w:val="center"/>
        <w:rPr>
          <w:b/>
        </w:rPr>
      </w:pPr>
      <w:r w:rsidRPr="003A59D4">
        <w:rPr>
          <w:b/>
        </w:rPr>
        <w:t>Lieta Nr. 11270003218, SKK</w:t>
      </w:r>
      <w:r w:rsidRPr="003A59D4">
        <w:rPr>
          <w:b/>
        </w:rPr>
        <w:noBreakHyphen/>
        <w:t>68/2020</w:t>
      </w:r>
    </w:p>
    <w:p w14:paraId="2A9391B6" w14:textId="71A6CCD1" w:rsidR="00D93A6C" w:rsidRPr="00D93A6C" w:rsidRDefault="00713E6F" w:rsidP="00B921E6">
      <w:pPr>
        <w:spacing w:line="276" w:lineRule="auto"/>
        <w:jc w:val="center"/>
        <w:rPr>
          <w:b/>
        </w:rPr>
      </w:pPr>
      <w:hyperlink r:id="rId8" w:history="1">
        <w:r w:rsidR="00D93A6C" w:rsidRPr="00D93A6C">
          <w:rPr>
            <w:rStyle w:val="Hyperlink"/>
            <w:shd w:val="clear" w:color="auto" w:fill="FFFFFF"/>
          </w:rPr>
          <w:t>ECLI:LV:AT:2020:0409.11270003218.4.L</w:t>
        </w:r>
      </w:hyperlink>
    </w:p>
    <w:p w14:paraId="417F687A" w14:textId="77777777" w:rsidR="00B921E6" w:rsidRPr="00B921E6" w:rsidRDefault="00B921E6" w:rsidP="00B921E6">
      <w:pPr>
        <w:spacing w:line="276" w:lineRule="auto"/>
        <w:jc w:val="center"/>
      </w:pPr>
    </w:p>
    <w:p w14:paraId="4FD7F998" w14:textId="77777777" w:rsidR="00D05B55" w:rsidRDefault="00D05B55" w:rsidP="00B921E6">
      <w:pPr>
        <w:spacing w:line="276" w:lineRule="auto"/>
        <w:ind w:firstLine="709"/>
        <w:jc w:val="both"/>
      </w:pPr>
      <w:r w:rsidRPr="00B921E6">
        <w:t xml:space="preserve">Tiesa šādā sastāvā: senatori Anita Poļakova, </w:t>
      </w:r>
      <w:r w:rsidR="001A7978" w:rsidRPr="00B921E6">
        <w:t>Artūrs Freibergs, Aivars Uminskis</w:t>
      </w:r>
    </w:p>
    <w:p w14:paraId="2B8F1DED" w14:textId="77777777" w:rsidR="00B921E6" w:rsidRPr="00B921E6" w:rsidRDefault="00B921E6" w:rsidP="00B921E6">
      <w:pPr>
        <w:spacing w:line="276" w:lineRule="auto"/>
        <w:ind w:firstLine="709"/>
        <w:jc w:val="both"/>
      </w:pPr>
    </w:p>
    <w:p w14:paraId="2C7BE18B" w14:textId="44652B1E" w:rsidR="00D05B55" w:rsidRDefault="00D05B55" w:rsidP="00B921E6">
      <w:pPr>
        <w:spacing w:line="276" w:lineRule="auto"/>
        <w:ind w:firstLine="709"/>
        <w:jc w:val="both"/>
      </w:pPr>
      <w:r w:rsidRPr="00B921E6">
        <w:t>izskatīja rakstveida procesā krimināllietu sakarā ar</w:t>
      </w:r>
      <w:r w:rsidR="004144D3" w:rsidRPr="00B921E6">
        <w:t xml:space="preserve"> </w:t>
      </w:r>
      <w:r w:rsidR="001A7978" w:rsidRPr="00B921E6">
        <w:t xml:space="preserve">apsūdzētā </w:t>
      </w:r>
      <w:r w:rsidR="003A59D4">
        <w:t>[pers. A]</w:t>
      </w:r>
      <w:r w:rsidR="001A7978" w:rsidRPr="00B921E6">
        <w:t xml:space="preserve"> aizstāvja Raivja Grīnberga kasācijas sūdzību </w:t>
      </w:r>
      <w:r w:rsidRPr="00B921E6">
        <w:t xml:space="preserve">par </w:t>
      </w:r>
      <w:r w:rsidR="001A7978" w:rsidRPr="00B921E6">
        <w:t>Kurzemes</w:t>
      </w:r>
      <w:r w:rsidR="003A5397" w:rsidRPr="00B921E6">
        <w:t xml:space="preserve"> apgabaltiesas </w:t>
      </w:r>
      <w:proofErr w:type="gramStart"/>
      <w:r w:rsidR="003A5397" w:rsidRPr="00B921E6">
        <w:t>2019</w:t>
      </w:r>
      <w:r w:rsidRPr="00B921E6">
        <w:t>.gada</w:t>
      </w:r>
      <w:proofErr w:type="gramEnd"/>
      <w:r w:rsidRPr="00B921E6">
        <w:t xml:space="preserve"> </w:t>
      </w:r>
      <w:r w:rsidR="001A7978" w:rsidRPr="00B921E6">
        <w:t>29.jūlija</w:t>
      </w:r>
      <w:r w:rsidR="00BB6466" w:rsidRPr="00B921E6">
        <w:t xml:space="preserve"> spriedumu</w:t>
      </w:r>
      <w:r w:rsidRPr="00B921E6">
        <w:t>.</w:t>
      </w:r>
    </w:p>
    <w:p w14:paraId="2788602C" w14:textId="77777777" w:rsidR="00B921E6" w:rsidRPr="00B921E6" w:rsidRDefault="00B921E6" w:rsidP="00B921E6">
      <w:pPr>
        <w:spacing w:line="276" w:lineRule="auto"/>
        <w:ind w:firstLine="709"/>
        <w:jc w:val="both"/>
      </w:pPr>
    </w:p>
    <w:p w14:paraId="35DE472F" w14:textId="77777777" w:rsidR="00D05B55" w:rsidRDefault="00D05B55" w:rsidP="00B921E6">
      <w:pPr>
        <w:autoSpaceDE w:val="0"/>
        <w:autoSpaceDN w:val="0"/>
        <w:adjustRightInd w:val="0"/>
        <w:spacing w:line="276" w:lineRule="auto"/>
        <w:jc w:val="center"/>
        <w:rPr>
          <w:b/>
          <w:bCs/>
        </w:rPr>
      </w:pPr>
      <w:r w:rsidRPr="00B921E6">
        <w:rPr>
          <w:b/>
          <w:bCs/>
        </w:rPr>
        <w:t>Aprakstošā daļa</w:t>
      </w:r>
    </w:p>
    <w:p w14:paraId="2B5DAFB1" w14:textId="77777777" w:rsidR="00B921E6" w:rsidRPr="00B921E6" w:rsidRDefault="00B921E6" w:rsidP="00B921E6">
      <w:pPr>
        <w:autoSpaceDE w:val="0"/>
        <w:autoSpaceDN w:val="0"/>
        <w:adjustRightInd w:val="0"/>
        <w:spacing w:line="276" w:lineRule="auto"/>
        <w:jc w:val="center"/>
        <w:rPr>
          <w:b/>
          <w:bCs/>
        </w:rPr>
      </w:pPr>
    </w:p>
    <w:p w14:paraId="4429D611" w14:textId="77777777" w:rsidR="00D05B55" w:rsidRPr="00B921E6" w:rsidRDefault="00D05B55" w:rsidP="00B921E6">
      <w:pPr>
        <w:spacing w:line="276" w:lineRule="auto"/>
        <w:ind w:firstLine="709"/>
        <w:jc w:val="both"/>
      </w:pPr>
      <w:r w:rsidRPr="00B921E6">
        <w:t xml:space="preserve">[1] Ar </w:t>
      </w:r>
      <w:r w:rsidR="001A7978" w:rsidRPr="00B921E6">
        <w:t xml:space="preserve">Kurzemes rajona tiesas </w:t>
      </w:r>
      <w:proofErr w:type="gramStart"/>
      <w:r w:rsidR="001A7978" w:rsidRPr="00B921E6">
        <w:t>2019</w:t>
      </w:r>
      <w:r w:rsidR="00642469" w:rsidRPr="00B921E6">
        <w:t>.gada</w:t>
      </w:r>
      <w:proofErr w:type="gramEnd"/>
      <w:r w:rsidR="00642469" w:rsidRPr="00B921E6">
        <w:t xml:space="preserve"> </w:t>
      </w:r>
      <w:r w:rsidR="001A7978" w:rsidRPr="00B921E6">
        <w:t>27.maija</w:t>
      </w:r>
      <w:r w:rsidRPr="00B921E6">
        <w:t xml:space="preserve"> spriedumu</w:t>
      </w:r>
    </w:p>
    <w:p w14:paraId="14062FEE" w14:textId="2601589B" w:rsidR="00D05B55" w:rsidRPr="00B921E6" w:rsidRDefault="003A59D4" w:rsidP="00B921E6">
      <w:pPr>
        <w:spacing w:line="276" w:lineRule="auto"/>
        <w:ind w:firstLine="709"/>
        <w:jc w:val="both"/>
        <w:rPr>
          <w:rFonts w:eastAsiaTheme="minorHAnsi"/>
          <w:b/>
        </w:rPr>
      </w:pPr>
      <w:r>
        <w:rPr>
          <w:rFonts w:eastAsiaTheme="minorHAnsi"/>
        </w:rPr>
        <w:t>[pers. A]</w:t>
      </w:r>
      <w:r w:rsidR="00D05B55" w:rsidRPr="00B921E6">
        <w:rPr>
          <w:rFonts w:eastAsiaTheme="minorHAnsi"/>
        </w:rPr>
        <w:t xml:space="preserve">, personas kods </w:t>
      </w:r>
      <w:r>
        <w:rPr>
          <w:rFonts w:eastAsiaTheme="minorHAnsi"/>
        </w:rPr>
        <w:t>[..]</w:t>
      </w:r>
      <w:r w:rsidR="00D05B55" w:rsidRPr="00B921E6">
        <w:rPr>
          <w:rFonts w:eastAsiaTheme="minorHAnsi"/>
        </w:rPr>
        <w:t>,</w:t>
      </w:r>
    </w:p>
    <w:p w14:paraId="4C698A90" w14:textId="77777777" w:rsidR="001A7978" w:rsidRPr="00B921E6" w:rsidRDefault="00D05B55" w:rsidP="00B921E6">
      <w:pPr>
        <w:spacing w:line="276" w:lineRule="auto"/>
        <w:ind w:firstLine="709"/>
        <w:jc w:val="both"/>
        <w:rPr>
          <w:rFonts w:eastAsiaTheme="minorHAnsi"/>
        </w:rPr>
      </w:pPr>
      <w:r w:rsidRPr="00B921E6">
        <w:rPr>
          <w:rFonts w:eastAsiaTheme="minorHAnsi"/>
        </w:rPr>
        <w:t xml:space="preserve">atzīts par vainīgu Krimināllikuma </w:t>
      </w:r>
      <w:proofErr w:type="gramStart"/>
      <w:r w:rsidR="00352A41" w:rsidRPr="00B921E6">
        <w:rPr>
          <w:rFonts w:eastAsiaTheme="minorHAnsi"/>
        </w:rPr>
        <w:t>221</w:t>
      </w:r>
      <w:r w:rsidR="00130A6C" w:rsidRPr="00B921E6">
        <w:rPr>
          <w:rFonts w:eastAsiaTheme="minorHAnsi"/>
        </w:rPr>
        <w:t>.panta</w:t>
      </w:r>
      <w:proofErr w:type="gramEnd"/>
      <w:r w:rsidR="00130A6C" w:rsidRPr="00B921E6">
        <w:rPr>
          <w:rFonts w:eastAsiaTheme="minorHAnsi"/>
        </w:rPr>
        <w:t xml:space="preserve"> </w:t>
      </w:r>
      <w:r w:rsidR="00352A41" w:rsidRPr="00B921E6">
        <w:rPr>
          <w:rFonts w:eastAsiaTheme="minorHAnsi"/>
        </w:rPr>
        <w:t>trešajā</w:t>
      </w:r>
      <w:r w:rsidR="00130A6C" w:rsidRPr="00B921E6">
        <w:rPr>
          <w:rFonts w:eastAsiaTheme="minorHAnsi"/>
        </w:rPr>
        <w:t xml:space="preserve"> daļā </w:t>
      </w:r>
      <w:r w:rsidRPr="00B921E6">
        <w:rPr>
          <w:rFonts w:eastAsiaTheme="minorHAnsi"/>
        </w:rPr>
        <w:t xml:space="preserve">paredzētajā noziedzīgajā nodarījumā un sodīts ar </w:t>
      </w:r>
      <w:r w:rsidR="0032527F" w:rsidRPr="00B921E6">
        <w:rPr>
          <w:rFonts w:eastAsiaTheme="minorHAnsi"/>
        </w:rPr>
        <w:t xml:space="preserve">brīvības atņemšanu uz </w:t>
      </w:r>
      <w:r w:rsidR="001A7978" w:rsidRPr="00B921E6">
        <w:rPr>
          <w:rFonts w:eastAsiaTheme="minorHAnsi"/>
        </w:rPr>
        <w:t>1 gadu un probācijas uzraudzību uz 1 gadu;</w:t>
      </w:r>
    </w:p>
    <w:p w14:paraId="07F58CA2" w14:textId="77777777" w:rsidR="001A7978" w:rsidRPr="00B921E6" w:rsidRDefault="001A7978" w:rsidP="00B921E6">
      <w:pPr>
        <w:spacing w:line="276" w:lineRule="auto"/>
        <w:ind w:firstLine="709"/>
        <w:jc w:val="both"/>
        <w:rPr>
          <w:rFonts w:eastAsiaTheme="minorHAnsi"/>
        </w:rPr>
      </w:pPr>
      <w:r w:rsidRPr="00B921E6">
        <w:rPr>
          <w:rFonts w:eastAsiaTheme="minorHAnsi"/>
        </w:rPr>
        <w:t xml:space="preserve">atzīts par vainīgu Krimināllikuma </w:t>
      </w:r>
      <w:proofErr w:type="gramStart"/>
      <w:r w:rsidRPr="00B921E6">
        <w:rPr>
          <w:rFonts w:eastAsiaTheme="minorHAnsi"/>
        </w:rPr>
        <w:t>221.panta</w:t>
      </w:r>
      <w:proofErr w:type="gramEnd"/>
      <w:r w:rsidRPr="00B921E6">
        <w:rPr>
          <w:rFonts w:eastAsiaTheme="minorHAnsi"/>
        </w:rPr>
        <w:t xml:space="preserve"> pirmajā daļā paredzētajā noziedzīgajā nodarījumā un sodīts ar piespiedu darbu uz 200 stundām;</w:t>
      </w:r>
    </w:p>
    <w:p w14:paraId="7220DFEA" w14:textId="77777777" w:rsidR="001A7978" w:rsidRPr="00B921E6" w:rsidRDefault="001A7978" w:rsidP="00B921E6">
      <w:pPr>
        <w:spacing w:line="276" w:lineRule="auto"/>
        <w:ind w:firstLine="709"/>
        <w:jc w:val="both"/>
        <w:rPr>
          <w:rFonts w:eastAsiaTheme="minorHAnsi"/>
        </w:rPr>
      </w:pPr>
      <w:r w:rsidRPr="00B921E6">
        <w:rPr>
          <w:rFonts w:eastAsiaTheme="minorHAnsi"/>
        </w:rPr>
        <w:t>atzīts par vainīgu Krimināllikuma 221.</w:t>
      </w:r>
      <w:proofErr w:type="gramStart"/>
      <w:r w:rsidRPr="00B921E6">
        <w:rPr>
          <w:rFonts w:eastAsiaTheme="minorHAnsi"/>
          <w:vertAlign w:val="superscript"/>
        </w:rPr>
        <w:t>2</w:t>
      </w:r>
      <w:r w:rsidRPr="00B921E6">
        <w:rPr>
          <w:rFonts w:eastAsiaTheme="minorHAnsi"/>
        </w:rPr>
        <w:t>panta</w:t>
      </w:r>
      <w:proofErr w:type="gramEnd"/>
      <w:r w:rsidRPr="00B921E6">
        <w:rPr>
          <w:rFonts w:eastAsiaTheme="minorHAnsi"/>
        </w:rPr>
        <w:t xml:space="preserve"> trešajā daļā paredzētajā noziedzīgajā nodarījumā un sodīts ar brīvības atņemšanu uz 6 mēnešiem.</w:t>
      </w:r>
    </w:p>
    <w:p w14:paraId="723B15A2" w14:textId="56CEF159" w:rsidR="001A7978" w:rsidRPr="00B921E6" w:rsidRDefault="001A7978" w:rsidP="00B921E6">
      <w:pPr>
        <w:spacing w:line="276" w:lineRule="auto"/>
        <w:ind w:firstLine="709"/>
        <w:jc w:val="both"/>
        <w:rPr>
          <w:rFonts w:eastAsiaTheme="minorHAnsi"/>
        </w:rPr>
      </w:pPr>
      <w:r w:rsidRPr="00B921E6">
        <w:rPr>
          <w:rFonts w:eastAsiaTheme="minorHAnsi"/>
        </w:rPr>
        <w:t xml:space="preserve">Saskaņā ar Krimināllikuma </w:t>
      </w:r>
      <w:proofErr w:type="gramStart"/>
      <w:r w:rsidRPr="00B921E6">
        <w:rPr>
          <w:rFonts w:eastAsiaTheme="minorHAnsi"/>
        </w:rPr>
        <w:t>50.panta</w:t>
      </w:r>
      <w:proofErr w:type="gramEnd"/>
      <w:r w:rsidRPr="00B921E6">
        <w:rPr>
          <w:rFonts w:eastAsiaTheme="minorHAnsi"/>
        </w:rPr>
        <w:t xml:space="preserve"> pirmo un treš</w:t>
      </w:r>
      <w:r w:rsidR="000F20B2">
        <w:rPr>
          <w:rFonts w:eastAsiaTheme="minorHAnsi"/>
        </w:rPr>
        <w:t>o daļu</w:t>
      </w:r>
      <w:r w:rsidRPr="00B921E6">
        <w:rPr>
          <w:rFonts w:eastAsiaTheme="minorHAnsi"/>
        </w:rPr>
        <w:t xml:space="preserve"> sods</w:t>
      </w:r>
      <w:r w:rsidR="000F20B2">
        <w:rPr>
          <w:rFonts w:eastAsiaTheme="minorHAnsi"/>
        </w:rPr>
        <w:t xml:space="preserve"> pēc noziedzīgo nodarījumu kopības</w:t>
      </w:r>
      <w:r w:rsidRPr="00B921E6">
        <w:rPr>
          <w:rFonts w:eastAsiaTheme="minorHAnsi"/>
        </w:rPr>
        <w:t xml:space="preserve"> </w:t>
      </w:r>
      <w:r w:rsidR="003A59D4">
        <w:rPr>
          <w:rFonts w:eastAsiaTheme="minorHAnsi"/>
        </w:rPr>
        <w:t>[pers. A]</w:t>
      </w:r>
      <w:r w:rsidRPr="00B921E6">
        <w:rPr>
          <w:rFonts w:eastAsiaTheme="minorHAnsi"/>
        </w:rPr>
        <w:t xml:space="preserve"> noteikts brīvības atņemšana uz 1 gadu 4 mēnešiem, piespiedu darbs uz 200 stundām un probācijas uzraudzība uz 1 gadu. </w:t>
      </w:r>
    </w:p>
    <w:p w14:paraId="5FB9CAFB" w14:textId="03AA6694" w:rsidR="001A7978" w:rsidRPr="00B921E6" w:rsidRDefault="009755A7" w:rsidP="00B921E6">
      <w:pPr>
        <w:spacing w:line="276" w:lineRule="auto"/>
        <w:ind w:firstLine="709"/>
        <w:jc w:val="both"/>
        <w:rPr>
          <w:rFonts w:eastAsiaTheme="minorHAnsi"/>
        </w:rPr>
      </w:pPr>
      <w:r w:rsidRPr="00B921E6">
        <w:rPr>
          <w:rFonts w:eastAsiaTheme="minorHAnsi"/>
        </w:rPr>
        <w:t>Saskaņā ar K</w:t>
      </w:r>
      <w:r w:rsidR="001A7978" w:rsidRPr="00B921E6">
        <w:rPr>
          <w:rFonts w:eastAsiaTheme="minorHAnsi"/>
        </w:rPr>
        <w:t xml:space="preserve">rimināllikuma </w:t>
      </w:r>
      <w:proofErr w:type="gramStart"/>
      <w:r w:rsidR="001A7978" w:rsidRPr="00B921E6">
        <w:rPr>
          <w:rFonts w:eastAsiaTheme="minorHAnsi"/>
        </w:rPr>
        <w:t>55.pantu</w:t>
      </w:r>
      <w:proofErr w:type="gramEnd"/>
      <w:r w:rsidR="001A7978" w:rsidRPr="00B921E6">
        <w:rPr>
          <w:rFonts w:eastAsiaTheme="minorHAnsi"/>
        </w:rPr>
        <w:t xml:space="preserve"> </w:t>
      </w:r>
      <w:r w:rsidR="003A59D4">
        <w:rPr>
          <w:rFonts w:eastAsiaTheme="minorHAnsi"/>
        </w:rPr>
        <w:t>[pers. A]</w:t>
      </w:r>
      <w:r w:rsidR="001A7978" w:rsidRPr="00B921E6">
        <w:rPr>
          <w:rFonts w:eastAsiaTheme="minorHAnsi"/>
        </w:rPr>
        <w:t xml:space="preserve"> ar brīvības atņemšanu notiesāts nosacīti ar pārbaud</w:t>
      </w:r>
      <w:r w:rsidR="00754003">
        <w:rPr>
          <w:rFonts w:eastAsiaTheme="minorHAnsi"/>
        </w:rPr>
        <w:t xml:space="preserve">es laiku uz 2 gadiem. </w:t>
      </w:r>
    </w:p>
    <w:p w14:paraId="75ACE502" w14:textId="77777777" w:rsidR="001A7978" w:rsidRPr="00B921E6" w:rsidRDefault="001A7978" w:rsidP="00B921E6">
      <w:pPr>
        <w:spacing w:line="276" w:lineRule="auto"/>
        <w:ind w:firstLine="709"/>
        <w:jc w:val="both"/>
        <w:rPr>
          <w:rFonts w:eastAsiaTheme="minorHAnsi"/>
        </w:rPr>
      </w:pPr>
      <w:r w:rsidRPr="00B921E6">
        <w:rPr>
          <w:rFonts w:eastAsiaTheme="minorHAnsi"/>
        </w:rPr>
        <w:t xml:space="preserve"> Soda – piespiedu darbs – termiņā ieskaitīts aizturēšanā pavadītais laiks no </w:t>
      </w:r>
      <w:proofErr w:type="gramStart"/>
      <w:r w:rsidRPr="00B921E6">
        <w:rPr>
          <w:rFonts w:eastAsiaTheme="minorHAnsi"/>
        </w:rPr>
        <w:t>2018.gada</w:t>
      </w:r>
      <w:proofErr w:type="gramEnd"/>
      <w:r w:rsidRPr="00B921E6">
        <w:rPr>
          <w:rFonts w:eastAsiaTheme="minorHAnsi"/>
        </w:rPr>
        <w:t xml:space="preserve"> 16.maija līdz 2018.gada 18.maijam.</w:t>
      </w:r>
    </w:p>
    <w:p w14:paraId="0C57B900" w14:textId="31DB0482" w:rsidR="005D4120" w:rsidRPr="00B921E6" w:rsidRDefault="00D172EA" w:rsidP="00412C63">
      <w:pPr>
        <w:spacing w:line="276" w:lineRule="auto"/>
        <w:ind w:firstLine="709"/>
        <w:jc w:val="both"/>
        <w:rPr>
          <w:rFonts w:eastAsiaTheme="minorHAnsi"/>
        </w:rPr>
      </w:pPr>
      <w:r w:rsidRPr="00B921E6">
        <w:rPr>
          <w:rFonts w:eastAsiaTheme="minorHAnsi"/>
        </w:rPr>
        <w:t xml:space="preserve"> </w:t>
      </w:r>
    </w:p>
    <w:p w14:paraId="1C60E149" w14:textId="690370E2" w:rsidR="00E740D8" w:rsidRPr="00B921E6" w:rsidRDefault="005D4120" w:rsidP="00143310">
      <w:pPr>
        <w:spacing w:line="276" w:lineRule="auto"/>
        <w:ind w:firstLine="709"/>
        <w:jc w:val="both"/>
        <w:rPr>
          <w:rFonts w:eastAsiaTheme="minorHAnsi"/>
        </w:rPr>
      </w:pPr>
      <w:r w:rsidRPr="00B921E6">
        <w:rPr>
          <w:rFonts w:eastAsiaTheme="minorHAnsi"/>
        </w:rPr>
        <w:t>[</w:t>
      </w:r>
      <w:r w:rsidR="00D05B55" w:rsidRPr="00B921E6">
        <w:rPr>
          <w:rFonts w:eastAsiaTheme="minorHAnsi"/>
        </w:rPr>
        <w:t xml:space="preserve">2] Ar pirmās instances tiesas spriedumu </w:t>
      </w:r>
      <w:r w:rsidR="003A59D4">
        <w:rPr>
          <w:rFonts w:eastAsiaTheme="minorHAnsi"/>
        </w:rPr>
        <w:t>[pers. A]</w:t>
      </w:r>
      <w:r w:rsidR="00F01CFA" w:rsidRPr="00B921E6">
        <w:rPr>
          <w:rFonts w:eastAsiaTheme="minorHAnsi"/>
        </w:rPr>
        <w:t xml:space="preserve"> </w:t>
      </w:r>
      <w:r w:rsidR="00D05B55" w:rsidRPr="00B921E6">
        <w:rPr>
          <w:rFonts w:eastAsiaTheme="minorHAnsi"/>
        </w:rPr>
        <w:t xml:space="preserve">atzīts par vainīgu un sodīts pēc Krimināllikuma </w:t>
      </w:r>
      <w:proofErr w:type="gramStart"/>
      <w:r w:rsidR="00F01CFA" w:rsidRPr="00B921E6">
        <w:rPr>
          <w:rFonts w:eastAsiaTheme="minorHAnsi"/>
        </w:rPr>
        <w:t>221</w:t>
      </w:r>
      <w:r w:rsidR="00026F23" w:rsidRPr="00B921E6">
        <w:rPr>
          <w:rFonts w:eastAsiaTheme="minorHAnsi"/>
        </w:rPr>
        <w:t>.panta</w:t>
      </w:r>
      <w:proofErr w:type="gramEnd"/>
      <w:r w:rsidR="00026F23" w:rsidRPr="00B921E6">
        <w:rPr>
          <w:rFonts w:eastAsiaTheme="minorHAnsi"/>
        </w:rPr>
        <w:t xml:space="preserve"> </w:t>
      </w:r>
      <w:r w:rsidR="00F01CFA" w:rsidRPr="00B921E6">
        <w:rPr>
          <w:rFonts w:eastAsiaTheme="minorHAnsi"/>
        </w:rPr>
        <w:t>trešās daļas</w:t>
      </w:r>
      <w:r w:rsidR="00BD65C8" w:rsidRPr="00B921E6">
        <w:rPr>
          <w:rFonts w:eastAsiaTheme="minorHAnsi"/>
        </w:rPr>
        <w:t xml:space="preserve"> par </w:t>
      </w:r>
      <w:r w:rsidR="00143310">
        <w:rPr>
          <w:rFonts w:eastAsiaTheme="minorHAnsi"/>
        </w:rPr>
        <w:t>nelikumīgu</w:t>
      </w:r>
      <w:r w:rsidR="00CA5694" w:rsidRPr="00B921E6">
        <w:rPr>
          <w:rFonts w:eastAsiaTheme="minorHAnsi"/>
        </w:rPr>
        <w:t xml:space="preserve"> tab</w:t>
      </w:r>
      <w:r w:rsidR="00143310">
        <w:rPr>
          <w:rFonts w:eastAsiaTheme="minorHAnsi"/>
        </w:rPr>
        <w:t>akas izstrādājumu</w:t>
      </w:r>
      <w:r w:rsidR="00E740D8" w:rsidRPr="00B921E6">
        <w:rPr>
          <w:rFonts w:eastAsiaTheme="minorHAnsi"/>
        </w:rPr>
        <w:t xml:space="preserve"> </w:t>
      </w:r>
      <w:r w:rsidR="00143310">
        <w:rPr>
          <w:rFonts w:eastAsiaTheme="minorHAnsi"/>
        </w:rPr>
        <w:t>glabāšanu</w:t>
      </w:r>
      <w:r w:rsidR="00143310" w:rsidRPr="00B921E6">
        <w:rPr>
          <w:rFonts w:eastAsiaTheme="minorHAnsi"/>
        </w:rPr>
        <w:t xml:space="preserve"> </w:t>
      </w:r>
      <w:r w:rsidR="00E740D8" w:rsidRPr="00B921E6">
        <w:rPr>
          <w:rFonts w:eastAsiaTheme="minorHAnsi"/>
        </w:rPr>
        <w:t>lielā apmērā, pēc Krimināllikuma 221.pan</w:t>
      </w:r>
      <w:r w:rsidR="00776D95">
        <w:rPr>
          <w:rFonts w:eastAsiaTheme="minorHAnsi"/>
        </w:rPr>
        <w:t>ta pirmās daļas – par nelikumīgu</w:t>
      </w:r>
      <w:r w:rsidR="00E740D8" w:rsidRPr="00B921E6">
        <w:rPr>
          <w:rFonts w:eastAsiaTheme="minorHAnsi"/>
        </w:rPr>
        <w:t xml:space="preserve"> </w:t>
      </w:r>
      <w:r w:rsidR="00143310">
        <w:rPr>
          <w:rFonts w:eastAsiaTheme="minorHAnsi"/>
        </w:rPr>
        <w:t>tabakas izstrādājumu</w:t>
      </w:r>
      <w:r w:rsidR="00143310" w:rsidRPr="00B921E6">
        <w:rPr>
          <w:rFonts w:eastAsiaTheme="minorHAnsi"/>
        </w:rPr>
        <w:t xml:space="preserve"> </w:t>
      </w:r>
      <w:r w:rsidR="00143310">
        <w:rPr>
          <w:rFonts w:eastAsiaTheme="minorHAnsi"/>
        </w:rPr>
        <w:lastRenderedPageBreak/>
        <w:t>pārvietošanu (pārvadāšanu</w:t>
      </w:r>
      <w:r w:rsidR="00E740D8" w:rsidRPr="00B921E6">
        <w:rPr>
          <w:rFonts w:eastAsiaTheme="minorHAnsi"/>
        </w:rPr>
        <w:t>) ievērojamā apmērā un pēc Krimināllikuma 221.</w:t>
      </w:r>
      <w:r w:rsidR="00EF2907" w:rsidRPr="00B921E6">
        <w:rPr>
          <w:rFonts w:eastAsiaTheme="minorHAnsi"/>
          <w:vertAlign w:val="superscript"/>
        </w:rPr>
        <w:t>2</w:t>
      </w:r>
      <w:r w:rsidR="00E740D8" w:rsidRPr="00B921E6">
        <w:rPr>
          <w:rFonts w:eastAsiaTheme="minorHAnsi"/>
        </w:rPr>
        <w:t xml:space="preserve">panta pirmās daļas – par </w:t>
      </w:r>
      <w:r w:rsidR="00143310">
        <w:rPr>
          <w:rFonts w:eastAsiaTheme="minorHAnsi"/>
        </w:rPr>
        <w:t>nelikumīgu alkoholisko dzērienu pārvietošanu (pārvadāšanu</w:t>
      </w:r>
      <w:r w:rsidR="00EF2907" w:rsidRPr="00B921E6">
        <w:rPr>
          <w:rFonts w:eastAsiaTheme="minorHAnsi"/>
        </w:rPr>
        <w:t>) lielā apmērā.</w:t>
      </w:r>
    </w:p>
    <w:p w14:paraId="4BAF6E68" w14:textId="77777777" w:rsidR="00C4452E" w:rsidRPr="00B921E6" w:rsidRDefault="00C4452E" w:rsidP="00B921E6">
      <w:pPr>
        <w:spacing w:line="276" w:lineRule="auto"/>
        <w:ind w:firstLine="709"/>
        <w:jc w:val="both"/>
        <w:rPr>
          <w:rFonts w:eastAsiaTheme="minorHAnsi"/>
        </w:rPr>
      </w:pPr>
    </w:p>
    <w:p w14:paraId="242B7129" w14:textId="7A8EAFF7" w:rsidR="008E146D" w:rsidRPr="00B921E6" w:rsidRDefault="00C81393" w:rsidP="00B921E6">
      <w:pPr>
        <w:spacing w:line="276" w:lineRule="auto"/>
        <w:ind w:firstLine="709"/>
        <w:jc w:val="both"/>
        <w:rPr>
          <w:rFonts w:eastAsiaTheme="minorHAnsi"/>
        </w:rPr>
      </w:pPr>
      <w:r w:rsidRPr="00B921E6">
        <w:rPr>
          <w:rFonts w:eastAsiaTheme="minorHAnsi"/>
        </w:rPr>
        <w:t>[3</w:t>
      </w:r>
      <w:r w:rsidR="002F40DB" w:rsidRPr="00B921E6">
        <w:rPr>
          <w:rFonts w:eastAsiaTheme="minorHAnsi"/>
        </w:rPr>
        <w:t xml:space="preserve">] Ar </w:t>
      </w:r>
      <w:r w:rsidR="008E146D" w:rsidRPr="00B921E6">
        <w:rPr>
          <w:rFonts w:eastAsiaTheme="minorHAnsi"/>
        </w:rPr>
        <w:t>Kurzemes</w:t>
      </w:r>
      <w:r w:rsidR="00F01CFA" w:rsidRPr="00B921E6">
        <w:rPr>
          <w:rFonts w:eastAsiaTheme="minorHAnsi"/>
        </w:rPr>
        <w:t xml:space="preserve"> </w:t>
      </w:r>
      <w:r w:rsidR="002759CB" w:rsidRPr="00B921E6">
        <w:rPr>
          <w:rFonts w:eastAsiaTheme="minorHAnsi"/>
        </w:rPr>
        <w:t>a</w:t>
      </w:r>
      <w:r w:rsidR="008E146D" w:rsidRPr="00B921E6">
        <w:rPr>
          <w:rFonts w:eastAsiaTheme="minorHAnsi"/>
        </w:rPr>
        <w:t xml:space="preserve">pgabaltiesas </w:t>
      </w:r>
      <w:proofErr w:type="gramStart"/>
      <w:r w:rsidR="008E146D" w:rsidRPr="00B921E6">
        <w:rPr>
          <w:rFonts w:eastAsiaTheme="minorHAnsi"/>
        </w:rPr>
        <w:t>2019</w:t>
      </w:r>
      <w:r w:rsidR="00F01CFA" w:rsidRPr="00B921E6">
        <w:rPr>
          <w:rFonts w:eastAsiaTheme="minorHAnsi"/>
        </w:rPr>
        <w:t>.gada</w:t>
      </w:r>
      <w:proofErr w:type="gramEnd"/>
      <w:r w:rsidR="00F01CFA" w:rsidRPr="00B921E6">
        <w:rPr>
          <w:rFonts w:eastAsiaTheme="minorHAnsi"/>
        </w:rPr>
        <w:t xml:space="preserve"> </w:t>
      </w:r>
      <w:r w:rsidR="008E146D" w:rsidRPr="00B921E6">
        <w:rPr>
          <w:rFonts w:eastAsiaTheme="minorHAnsi"/>
        </w:rPr>
        <w:t>29.jūlija</w:t>
      </w:r>
      <w:r w:rsidR="002759CB" w:rsidRPr="00B921E6">
        <w:rPr>
          <w:rFonts w:eastAsiaTheme="minorHAnsi"/>
        </w:rPr>
        <w:t xml:space="preserve"> spriedumu, iztiesājot krimināllietu apelācijas kārtībā sakarā ar</w:t>
      </w:r>
      <w:r w:rsidR="004937B2" w:rsidRPr="00B921E6">
        <w:rPr>
          <w:rFonts w:eastAsiaTheme="minorHAnsi"/>
        </w:rPr>
        <w:t xml:space="preserve"> </w:t>
      </w:r>
      <w:r w:rsidR="008E146D" w:rsidRPr="00B921E6">
        <w:rPr>
          <w:rFonts w:eastAsiaTheme="minorHAnsi"/>
        </w:rPr>
        <w:t xml:space="preserve">Kuldīgas rajona prokuratūras virsprokurora pienākumu izpildītāja Ulda Serpāna apelācijas protestu, Kurzemes rajona tiesas 2019.gada 27.maija spriedums atcelts daļā par </w:t>
      </w:r>
      <w:r w:rsidR="003A59D4">
        <w:rPr>
          <w:rFonts w:eastAsiaTheme="minorHAnsi"/>
        </w:rPr>
        <w:t>[pers. A]</w:t>
      </w:r>
      <w:r w:rsidR="008E146D" w:rsidRPr="00B921E6">
        <w:rPr>
          <w:rFonts w:eastAsiaTheme="minorHAnsi"/>
        </w:rPr>
        <w:t xml:space="preserve"> noteikto sodu un soda izciešanas termiņā ieskaitīto aizturēšanas laiku.</w:t>
      </w:r>
    </w:p>
    <w:p w14:paraId="31A10285" w14:textId="657167CE" w:rsidR="008E146D" w:rsidRPr="00B921E6" w:rsidRDefault="003A59D4" w:rsidP="00B921E6">
      <w:pPr>
        <w:spacing w:line="276" w:lineRule="auto"/>
        <w:ind w:firstLine="709"/>
        <w:jc w:val="both"/>
        <w:rPr>
          <w:rFonts w:eastAsiaTheme="minorHAnsi"/>
        </w:rPr>
      </w:pPr>
      <w:r>
        <w:rPr>
          <w:rFonts w:eastAsiaTheme="minorHAnsi"/>
        </w:rPr>
        <w:t>[Pers. A]</w:t>
      </w:r>
      <w:r w:rsidR="008E146D" w:rsidRPr="00B921E6">
        <w:rPr>
          <w:rFonts w:eastAsiaTheme="minorHAnsi"/>
        </w:rPr>
        <w:t xml:space="preserve"> sodī</w:t>
      </w:r>
      <w:r w:rsidR="00F80488" w:rsidRPr="00B921E6">
        <w:rPr>
          <w:rFonts w:eastAsiaTheme="minorHAnsi"/>
        </w:rPr>
        <w:t>t</w:t>
      </w:r>
      <w:r w:rsidR="008E146D" w:rsidRPr="00B921E6">
        <w:rPr>
          <w:rFonts w:eastAsiaTheme="minorHAnsi"/>
        </w:rPr>
        <w:t xml:space="preserve">s pēc Krimināllikuma </w:t>
      </w:r>
      <w:proofErr w:type="gramStart"/>
      <w:r w:rsidR="008E146D" w:rsidRPr="00B921E6">
        <w:rPr>
          <w:rFonts w:eastAsiaTheme="minorHAnsi"/>
        </w:rPr>
        <w:t>221.panta</w:t>
      </w:r>
      <w:proofErr w:type="gramEnd"/>
      <w:r w:rsidR="008E146D" w:rsidRPr="00B921E6">
        <w:rPr>
          <w:rFonts w:eastAsiaTheme="minorHAnsi"/>
        </w:rPr>
        <w:t xml:space="preserve"> trešās daļas ar brīvības atņemšanu uz 1 gadu un probācijas uzraudzību uz 1 gadu, pēc Krimināllikuma 221.panta pirmās daļas </w:t>
      </w:r>
      <w:r w:rsidR="00B201A5" w:rsidRPr="00B921E6">
        <w:rPr>
          <w:rFonts w:eastAsiaTheme="minorHAnsi"/>
        </w:rPr>
        <w:t xml:space="preserve">– </w:t>
      </w:r>
      <w:r w:rsidR="008E146D" w:rsidRPr="00B921E6">
        <w:rPr>
          <w:rFonts w:eastAsiaTheme="minorHAnsi"/>
        </w:rPr>
        <w:t>ar īslaicīgu brīvības atņemšanu uz 3 mēnešiem un pēc Krimināllikuma 221.</w:t>
      </w:r>
      <w:r w:rsidR="008E146D" w:rsidRPr="00B921E6">
        <w:rPr>
          <w:rFonts w:eastAsiaTheme="minorHAnsi"/>
          <w:vertAlign w:val="superscript"/>
        </w:rPr>
        <w:t>2</w:t>
      </w:r>
      <w:r w:rsidR="008E146D" w:rsidRPr="00B921E6">
        <w:rPr>
          <w:rFonts w:eastAsiaTheme="minorHAnsi"/>
        </w:rPr>
        <w:t xml:space="preserve">panta trešās daļas </w:t>
      </w:r>
      <w:r w:rsidR="00B201A5" w:rsidRPr="00B921E6">
        <w:rPr>
          <w:rFonts w:eastAsiaTheme="minorHAnsi"/>
        </w:rPr>
        <w:t xml:space="preserve">– </w:t>
      </w:r>
      <w:r w:rsidR="008E146D" w:rsidRPr="00B921E6">
        <w:rPr>
          <w:rFonts w:eastAsiaTheme="minorHAnsi"/>
        </w:rPr>
        <w:t>ar brīvības atņemšanu uz 6 mēnešiem.</w:t>
      </w:r>
    </w:p>
    <w:p w14:paraId="08EA6CE1" w14:textId="6F16F37A" w:rsidR="00C4452E" w:rsidRPr="00B921E6" w:rsidRDefault="008E146D" w:rsidP="00B921E6">
      <w:pPr>
        <w:spacing w:line="276" w:lineRule="auto"/>
        <w:ind w:firstLine="709"/>
        <w:jc w:val="both"/>
        <w:rPr>
          <w:rFonts w:eastAsiaTheme="minorHAnsi"/>
        </w:rPr>
      </w:pPr>
      <w:r w:rsidRPr="00B921E6">
        <w:rPr>
          <w:rFonts w:eastAsiaTheme="minorHAnsi"/>
        </w:rPr>
        <w:t xml:space="preserve">Saskaņā ar Krimināllikuma </w:t>
      </w:r>
      <w:proofErr w:type="gramStart"/>
      <w:r w:rsidRPr="00B921E6">
        <w:rPr>
          <w:rFonts w:eastAsiaTheme="minorHAnsi"/>
        </w:rPr>
        <w:t>50.pa</w:t>
      </w:r>
      <w:r w:rsidR="000F20B2">
        <w:rPr>
          <w:rFonts w:eastAsiaTheme="minorHAnsi"/>
        </w:rPr>
        <w:t>nta</w:t>
      </w:r>
      <w:proofErr w:type="gramEnd"/>
      <w:r w:rsidR="000F20B2">
        <w:rPr>
          <w:rFonts w:eastAsiaTheme="minorHAnsi"/>
        </w:rPr>
        <w:t xml:space="preserve"> pirmo un trešo daļu</w:t>
      </w:r>
      <w:r w:rsidRPr="00B921E6">
        <w:rPr>
          <w:rFonts w:eastAsiaTheme="minorHAnsi"/>
        </w:rPr>
        <w:t xml:space="preserve"> sods</w:t>
      </w:r>
      <w:r w:rsidR="000F20B2">
        <w:rPr>
          <w:rFonts w:eastAsiaTheme="minorHAnsi"/>
        </w:rPr>
        <w:t xml:space="preserve"> pēc noziedzīgo nodarījumu kopības</w:t>
      </w:r>
      <w:r w:rsidRPr="00B921E6">
        <w:rPr>
          <w:rFonts w:eastAsiaTheme="minorHAnsi"/>
        </w:rPr>
        <w:t xml:space="preserve"> </w:t>
      </w:r>
      <w:r w:rsidR="003A59D4">
        <w:rPr>
          <w:rFonts w:eastAsiaTheme="minorHAnsi"/>
        </w:rPr>
        <w:t>[pers. A]</w:t>
      </w:r>
      <w:r w:rsidRPr="00B921E6">
        <w:rPr>
          <w:rFonts w:eastAsiaTheme="minorHAnsi"/>
        </w:rPr>
        <w:t xml:space="preserve"> noteikts brīvības atņemšana uz 1 gadu 4 mēnešiem un probācijas uzraudzība uz 1 gadu. Brīvības atņemšanas soda izciešanas termiņā ieskaitīts aizturēšanā pavadītais laiks no </w:t>
      </w:r>
      <w:proofErr w:type="gramStart"/>
      <w:r w:rsidRPr="00B921E6">
        <w:rPr>
          <w:rFonts w:eastAsiaTheme="minorHAnsi"/>
        </w:rPr>
        <w:t>2018.gada</w:t>
      </w:r>
      <w:proofErr w:type="gramEnd"/>
      <w:r w:rsidRPr="00B921E6">
        <w:rPr>
          <w:rFonts w:eastAsiaTheme="minorHAnsi"/>
        </w:rPr>
        <w:t xml:space="preserve"> 16.maija līdz 2018.gada 18.maijam</w:t>
      </w:r>
      <w:r w:rsidR="00C4452E" w:rsidRPr="00B921E6">
        <w:rPr>
          <w:rFonts w:eastAsiaTheme="minorHAnsi"/>
        </w:rPr>
        <w:t>.</w:t>
      </w:r>
    </w:p>
    <w:p w14:paraId="245FAEEF" w14:textId="77777777" w:rsidR="008E146D" w:rsidRPr="00B921E6" w:rsidRDefault="008E146D" w:rsidP="00B921E6">
      <w:pPr>
        <w:spacing w:line="276" w:lineRule="auto"/>
        <w:ind w:firstLine="709"/>
        <w:jc w:val="both"/>
        <w:rPr>
          <w:rFonts w:eastAsiaTheme="minorHAnsi"/>
        </w:rPr>
      </w:pPr>
      <w:r w:rsidRPr="00B921E6">
        <w:rPr>
          <w:rFonts w:eastAsiaTheme="minorHAnsi"/>
        </w:rPr>
        <w:t xml:space="preserve">Pārējā daļā </w:t>
      </w:r>
      <w:r w:rsidR="00C4452E" w:rsidRPr="00B921E6">
        <w:rPr>
          <w:rFonts w:eastAsiaTheme="minorHAnsi"/>
        </w:rPr>
        <w:t>pirmās instances tiesas spriedums atstāts</w:t>
      </w:r>
      <w:r w:rsidRPr="00B921E6">
        <w:rPr>
          <w:rFonts w:eastAsiaTheme="minorHAnsi"/>
        </w:rPr>
        <w:t xml:space="preserve"> negrozīt</w:t>
      </w:r>
      <w:r w:rsidR="00C4452E" w:rsidRPr="00B921E6">
        <w:rPr>
          <w:rFonts w:eastAsiaTheme="minorHAnsi"/>
        </w:rPr>
        <w:t>s.</w:t>
      </w:r>
    </w:p>
    <w:p w14:paraId="05C6CD56" w14:textId="77777777" w:rsidR="00C4452E" w:rsidRPr="00B921E6" w:rsidRDefault="00C4452E" w:rsidP="00B921E6">
      <w:pPr>
        <w:spacing w:line="276" w:lineRule="auto"/>
        <w:ind w:firstLine="709"/>
        <w:jc w:val="both"/>
        <w:rPr>
          <w:rFonts w:eastAsiaTheme="minorHAnsi"/>
        </w:rPr>
      </w:pPr>
    </w:p>
    <w:p w14:paraId="00B7BC90" w14:textId="5C0814B4" w:rsidR="00FD2EEC" w:rsidRPr="00B921E6" w:rsidRDefault="00F80488" w:rsidP="000F20B2">
      <w:pPr>
        <w:spacing w:line="276" w:lineRule="auto"/>
        <w:ind w:firstLine="709"/>
        <w:jc w:val="both"/>
        <w:rPr>
          <w:rFonts w:eastAsiaTheme="minorHAnsi"/>
        </w:rPr>
      </w:pPr>
      <w:r w:rsidRPr="00B921E6">
        <w:rPr>
          <w:rFonts w:eastAsiaTheme="minorHAnsi"/>
        </w:rPr>
        <w:t>[4</w:t>
      </w:r>
      <w:r w:rsidR="00C4452E" w:rsidRPr="00B921E6">
        <w:rPr>
          <w:rFonts w:eastAsiaTheme="minorHAnsi"/>
        </w:rPr>
        <w:t xml:space="preserve">] </w:t>
      </w:r>
      <w:r w:rsidR="00030321" w:rsidRPr="00B921E6">
        <w:rPr>
          <w:rFonts w:eastAsiaTheme="minorHAnsi"/>
        </w:rPr>
        <w:t>Par apelācijas instances tiesas spriedumu</w:t>
      </w:r>
      <w:r w:rsidR="002A3CB4" w:rsidRPr="00B921E6">
        <w:rPr>
          <w:rFonts w:eastAsiaTheme="minorHAnsi"/>
        </w:rPr>
        <w:t xml:space="preserve"> </w:t>
      </w:r>
      <w:r w:rsidR="00C4452E" w:rsidRPr="00B921E6">
        <w:rPr>
          <w:rFonts w:eastAsiaTheme="minorHAnsi"/>
        </w:rPr>
        <w:t xml:space="preserve">apsūdzētā </w:t>
      </w:r>
      <w:r w:rsidR="003A59D4">
        <w:rPr>
          <w:rFonts w:eastAsiaTheme="minorHAnsi"/>
        </w:rPr>
        <w:t>[pers. A]</w:t>
      </w:r>
      <w:r w:rsidR="00C4452E" w:rsidRPr="00B921E6">
        <w:rPr>
          <w:rFonts w:eastAsiaTheme="minorHAnsi"/>
        </w:rPr>
        <w:t xml:space="preserve"> aizstāvis R. Grīnbergs </w:t>
      </w:r>
      <w:r w:rsidR="00D04E91" w:rsidRPr="00B921E6">
        <w:rPr>
          <w:rFonts w:eastAsiaTheme="minorHAnsi"/>
        </w:rPr>
        <w:t>iesniedzi</w:t>
      </w:r>
      <w:r w:rsidR="00812B78" w:rsidRPr="00B921E6">
        <w:rPr>
          <w:rFonts w:eastAsiaTheme="minorHAnsi"/>
        </w:rPr>
        <w:t>s ka</w:t>
      </w:r>
      <w:r w:rsidR="00623873" w:rsidRPr="00B921E6">
        <w:rPr>
          <w:rFonts w:eastAsiaTheme="minorHAnsi"/>
        </w:rPr>
        <w:t xml:space="preserve">sācijas </w:t>
      </w:r>
      <w:r w:rsidR="00B201A5" w:rsidRPr="00B921E6">
        <w:rPr>
          <w:rFonts w:eastAsiaTheme="minorHAnsi"/>
        </w:rPr>
        <w:t>sūdzību</w:t>
      </w:r>
      <w:r w:rsidR="00623873" w:rsidRPr="00B921E6">
        <w:rPr>
          <w:rFonts w:eastAsiaTheme="minorHAnsi"/>
        </w:rPr>
        <w:t>, lūdzot atcelt</w:t>
      </w:r>
      <w:r w:rsidR="00812B78" w:rsidRPr="00B921E6">
        <w:rPr>
          <w:rFonts w:eastAsiaTheme="minorHAnsi"/>
        </w:rPr>
        <w:t xml:space="preserve"> </w:t>
      </w:r>
      <w:r w:rsidR="00C4452E" w:rsidRPr="00B921E6">
        <w:rPr>
          <w:rFonts w:eastAsiaTheme="minorHAnsi"/>
        </w:rPr>
        <w:t>Kurzemes</w:t>
      </w:r>
      <w:r w:rsidR="00812B78" w:rsidRPr="00B921E6">
        <w:rPr>
          <w:rFonts w:eastAsiaTheme="minorHAnsi"/>
        </w:rPr>
        <w:t xml:space="preserve"> apgabaltiesas </w:t>
      </w:r>
      <w:proofErr w:type="gramStart"/>
      <w:r w:rsidR="00812B78" w:rsidRPr="00B921E6">
        <w:rPr>
          <w:rFonts w:eastAsiaTheme="minorHAnsi"/>
        </w:rPr>
        <w:t>2019.gada</w:t>
      </w:r>
      <w:proofErr w:type="gramEnd"/>
      <w:r w:rsidR="00812B78" w:rsidRPr="00B921E6">
        <w:rPr>
          <w:rFonts w:eastAsiaTheme="minorHAnsi"/>
        </w:rPr>
        <w:t xml:space="preserve"> </w:t>
      </w:r>
      <w:r w:rsidR="00C4452E" w:rsidRPr="00B921E6">
        <w:rPr>
          <w:rFonts w:eastAsiaTheme="minorHAnsi"/>
        </w:rPr>
        <w:t>29.jūlija</w:t>
      </w:r>
      <w:r w:rsidR="00812B78" w:rsidRPr="00B921E6">
        <w:rPr>
          <w:rFonts w:eastAsiaTheme="minorHAnsi"/>
        </w:rPr>
        <w:t xml:space="preserve"> spriedumu daļā par </w:t>
      </w:r>
      <w:r w:rsidR="003A59D4">
        <w:rPr>
          <w:rFonts w:eastAsiaTheme="minorHAnsi"/>
        </w:rPr>
        <w:t>[pers. A]</w:t>
      </w:r>
      <w:r w:rsidR="00812B78" w:rsidRPr="00B921E6">
        <w:rPr>
          <w:rFonts w:eastAsiaTheme="minorHAnsi"/>
        </w:rPr>
        <w:t xml:space="preserve"> noteikto sodu un </w:t>
      </w:r>
      <w:r w:rsidR="000F20B2">
        <w:rPr>
          <w:rFonts w:eastAsiaTheme="minorHAnsi"/>
        </w:rPr>
        <w:t xml:space="preserve">atceltajā daļā </w:t>
      </w:r>
      <w:r w:rsidR="00812B78" w:rsidRPr="00B921E6">
        <w:rPr>
          <w:rFonts w:eastAsiaTheme="minorHAnsi"/>
        </w:rPr>
        <w:t xml:space="preserve">nosūtīt </w:t>
      </w:r>
      <w:r w:rsidR="00B201A5" w:rsidRPr="00B921E6">
        <w:rPr>
          <w:rFonts w:eastAsiaTheme="minorHAnsi"/>
        </w:rPr>
        <w:t xml:space="preserve">lietu </w:t>
      </w:r>
      <w:r w:rsidR="00812B78" w:rsidRPr="00B921E6">
        <w:rPr>
          <w:rFonts w:eastAsiaTheme="minorHAnsi"/>
        </w:rPr>
        <w:t xml:space="preserve">jaunai izskatīšanai apelācijas instances tiesā. </w:t>
      </w:r>
    </w:p>
    <w:p w14:paraId="23C99A9C" w14:textId="5A8D0075" w:rsidR="006175AA" w:rsidRPr="00B921E6" w:rsidRDefault="00304111" w:rsidP="00B921E6">
      <w:pPr>
        <w:spacing w:line="276" w:lineRule="auto"/>
        <w:ind w:firstLine="709"/>
        <w:jc w:val="both"/>
        <w:rPr>
          <w:rFonts w:eastAsiaTheme="minorHAnsi"/>
        </w:rPr>
      </w:pPr>
      <w:r w:rsidRPr="00B921E6">
        <w:rPr>
          <w:rFonts w:eastAsiaTheme="minorHAnsi"/>
        </w:rPr>
        <w:t>Ka</w:t>
      </w:r>
      <w:r w:rsidR="004B7793" w:rsidRPr="00B921E6">
        <w:rPr>
          <w:rFonts w:eastAsiaTheme="minorHAnsi"/>
        </w:rPr>
        <w:t xml:space="preserve">sācijas </w:t>
      </w:r>
      <w:r w:rsidR="00B508FE">
        <w:rPr>
          <w:rFonts w:eastAsiaTheme="minorHAnsi"/>
        </w:rPr>
        <w:t>sūdzībā</w:t>
      </w:r>
      <w:r w:rsidR="004B7793" w:rsidRPr="00B921E6">
        <w:rPr>
          <w:rFonts w:eastAsiaTheme="minorHAnsi"/>
        </w:rPr>
        <w:t xml:space="preserve"> </w:t>
      </w:r>
      <w:r w:rsidR="001672A6" w:rsidRPr="00B921E6">
        <w:rPr>
          <w:rFonts w:eastAsiaTheme="minorHAnsi"/>
        </w:rPr>
        <w:t xml:space="preserve">pausto lūgumu </w:t>
      </w:r>
      <w:r w:rsidR="00C4452E" w:rsidRPr="00B921E6">
        <w:rPr>
          <w:rFonts w:eastAsiaTheme="minorHAnsi"/>
        </w:rPr>
        <w:t xml:space="preserve">aizstāvis R. Grīnbergs </w:t>
      </w:r>
      <w:r w:rsidRPr="00B921E6">
        <w:rPr>
          <w:rFonts w:eastAsiaTheme="minorHAnsi"/>
        </w:rPr>
        <w:t>pamatojis ar tālāk izklāstītajiem argumentiem.</w:t>
      </w:r>
    </w:p>
    <w:p w14:paraId="083D124A" w14:textId="423AD6F7" w:rsidR="00812B78" w:rsidRPr="00B921E6" w:rsidRDefault="00F80488" w:rsidP="00B921E6">
      <w:pPr>
        <w:spacing w:line="276" w:lineRule="auto"/>
        <w:ind w:firstLine="720"/>
        <w:jc w:val="both"/>
        <w:rPr>
          <w:rFonts w:eastAsiaTheme="minorHAnsi"/>
        </w:rPr>
      </w:pPr>
      <w:r w:rsidRPr="00B921E6">
        <w:rPr>
          <w:rFonts w:eastAsiaTheme="minorHAnsi"/>
        </w:rPr>
        <w:t>[4</w:t>
      </w:r>
      <w:r w:rsidR="004D7C45" w:rsidRPr="00B921E6">
        <w:rPr>
          <w:rFonts w:eastAsiaTheme="minorHAnsi"/>
        </w:rPr>
        <w:t>.1</w:t>
      </w:r>
      <w:r w:rsidR="0015350D" w:rsidRPr="00B921E6">
        <w:rPr>
          <w:rFonts w:eastAsiaTheme="minorHAnsi"/>
        </w:rPr>
        <w:t>]</w:t>
      </w:r>
      <w:r w:rsidR="00E21A8F" w:rsidRPr="00B921E6">
        <w:rPr>
          <w:rFonts w:eastAsiaTheme="minorHAnsi"/>
        </w:rPr>
        <w:t xml:space="preserve"> </w:t>
      </w:r>
      <w:r w:rsidR="00FD2EEC" w:rsidRPr="00B921E6">
        <w:rPr>
          <w:rFonts w:eastAsiaTheme="minorHAnsi"/>
        </w:rPr>
        <w:t xml:space="preserve">Apelācijas instances tiesa nepamatoti konstatējusi apsūdzētā </w:t>
      </w:r>
      <w:r w:rsidR="003A59D4">
        <w:rPr>
          <w:rFonts w:eastAsiaTheme="minorHAnsi"/>
        </w:rPr>
        <w:t>[pers. A]</w:t>
      </w:r>
      <w:r w:rsidR="00FD2EEC" w:rsidRPr="00B921E6">
        <w:rPr>
          <w:rFonts w:eastAsiaTheme="minorHAnsi"/>
        </w:rPr>
        <w:t xml:space="preserve"> atbil</w:t>
      </w:r>
      <w:r w:rsidR="000F20B2">
        <w:rPr>
          <w:rFonts w:eastAsiaTheme="minorHAnsi"/>
        </w:rPr>
        <w:t>dību pastiprinošo apstākli, kas</w:t>
      </w:r>
      <w:r w:rsidR="0014182C">
        <w:rPr>
          <w:rFonts w:eastAsiaTheme="minorHAnsi"/>
        </w:rPr>
        <w:t xml:space="preserve"> </w:t>
      </w:r>
      <w:r w:rsidR="00FD2EEC" w:rsidRPr="00B921E6">
        <w:rPr>
          <w:rFonts w:eastAsiaTheme="minorHAnsi"/>
        </w:rPr>
        <w:t>bija par pamatu bargāka soda noteikšanai.</w:t>
      </w:r>
    </w:p>
    <w:p w14:paraId="6C5B781A" w14:textId="1D87FA1B" w:rsidR="002E5CF2" w:rsidRPr="00B921E6" w:rsidRDefault="00920A56" w:rsidP="000F20B2">
      <w:pPr>
        <w:spacing w:line="276" w:lineRule="auto"/>
        <w:ind w:firstLine="720"/>
        <w:jc w:val="both"/>
        <w:rPr>
          <w:rFonts w:eastAsiaTheme="minorHAnsi"/>
        </w:rPr>
      </w:pPr>
      <w:r>
        <w:rPr>
          <w:rFonts w:eastAsiaTheme="minorHAnsi"/>
        </w:rPr>
        <w:t>Pirmās instances tiesa nav konst</w:t>
      </w:r>
      <w:r w:rsidR="000926F7">
        <w:rPr>
          <w:rFonts w:eastAsiaTheme="minorHAnsi"/>
        </w:rPr>
        <w:t xml:space="preserve">atējusi apsūdzētā </w:t>
      </w:r>
      <w:r w:rsidR="003A59D4">
        <w:rPr>
          <w:rFonts w:eastAsiaTheme="minorHAnsi"/>
        </w:rPr>
        <w:t>[pers. A]</w:t>
      </w:r>
      <w:r>
        <w:rPr>
          <w:rFonts w:eastAsiaTheme="minorHAnsi"/>
        </w:rPr>
        <w:t xml:space="preserve"> atbildību pastiprinošo apstākli saskaņā ar Krimināllikuma </w:t>
      </w:r>
      <w:proofErr w:type="gramStart"/>
      <w:r>
        <w:rPr>
          <w:rFonts w:eastAsiaTheme="minorHAnsi"/>
        </w:rPr>
        <w:t>48.panta</w:t>
      </w:r>
      <w:proofErr w:type="gramEnd"/>
      <w:r>
        <w:rPr>
          <w:rFonts w:eastAsiaTheme="minorHAnsi"/>
        </w:rPr>
        <w:t xml:space="preserve"> pirmās daļas 11.punktu. </w:t>
      </w:r>
      <w:r w:rsidR="00AC7917">
        <w:rPr>
          <w:rFonts w:eastAsiaTheme="minorHAnsi"/>
        </w:rPr>
        <w:t>A</w:t>
      </w:r>
      <w:r w:rsidR="002E5234" w:rsidRPr="00B921E6">
        <w:rPr>
          <w:rFonts w:eastAsiaTheme="minorHAnsi"/>
        </w:rPr>
        <w:t xml:space="preserve">pelācijas protests bija iesniegts par </w:t>
      </w:r>
      <w:r w:rsidR="003A59D4">
        <w:rPr>
          <w:rFonts w:eastAsiaTheme="minorHAnsi"/>
        </w:rPr>
        <w:t>[pers. A]</w:t>
      </w:r>
      <w:r w:rsidR="002E5234" w:rsidRPr="00B921E6">
        <w:rPr>
          <w:rFonts w:eastAsiaTheme="minorHAnsi"/>
        </w:rPr>
        <w:t xml:space="preserve"> noteikto sodu, </w:t>
      </w:r>
      <w:r w:rsidR="00AC7917">
        <w:rPr>
          <w:rFonts w:eastAsiaTheme="minorHAnsi"/>
        </w:rPr>
        <w:t xml:space="preserve">tomēr </w:t>
      </w:r>
      <w:r w:rsidR="00EA3B7D">
        <w:rPr>
          <w:rFonts w:eastAsiaTheme="minorHAnsi"/>
        </w:rPr>
        <w:t xml:space="preserve">protestā netika lūgts konstatēt apsūdzētā </w:t>
      </w:r>
      <w:r w:rsidR="00B201A5" w:rsidRPr="00B921E6">
        <w:rPr>
          <w:rFonts w:eastAsiaTheme="minorHAnsi"/>
        </w:rPr>
        <w:t>atbildību pastiprinošo apstākli.</w:t>
      </w:r>
      <w:r w:rsidR="002E5234" w:rsidRPr="00B921E6">
        <w:rPr>
          <w:rFonts w:eastAsiaTheme="minorHAnsi"/>
        </w:rPr>
        <w:t xml:space="preserve"> Šādu lūgumu prokurors izteica apelācijas instances tiesas sēdē, tādējādi papildinot apelācijas protestu ar jaunu prasību. </w:t>
      </w:r>
    </w:p>
    <w:p w14:paraId="0C1B6E11" w14:textId="7E9BB5EE" w:rsidR="002E5CF2" w:rsidRDefault="00B201A5" w:rsidP="00B921E6">
      <w:pPr>
        <w:spacing w:line="276" w:lineRule="auto"/>
        <w:ind w:firstLine="720"/>
        <w:jc w:val="both"/>
        <w:rPr>
          <w:rFonts w:eastAsiaTheme="minorHAnsi"/>
        </w:rPr>
      </w:pPr>
      <w:r w:rsidRPr="00B921E6">
        <w:rPr>
          <w:rFonts w:eastAsiaTheme="minorHAnsi"/>
        </w:rPr>
        <w:t>A</w:t>
      </w:r>
      <w:r w:rsidR="002E5CF2" w:rsidRPr="00B921E6">
        <w:rPr>
          <w:rFonts w:eastAsiaTheme="minorHAnsi"/>
        </w:rPr>
        <w:t xml:space="preserve">pelācijas instances tiesa, </w:t>
      </w:r>
      <w:r w:rsidR="008C763C" w:rsidRPr="00B921E6">
        <w:rPr>
          <w:rFonts w:eastAsiaTheme="minorHAnsi"/>
        </w:rPr>
        <w:t>konstatējot</w:t>
      </w:r>
      <w:r w:rsidRPr="00B921E6">
        <w:rPr>
          <w:rFonts w:eastAsiaTheme="minorHAnsi"/>
        </w:rPr>
        <w:t>, ka</w:t>
      </w:r>
      <w:r w:rsidR="00E75AAB" w:rsidRPr="00B921E6">
        <w:rPr>
          <w:rFonts w:eastAsiaTheme="minorHAnsi"/>
        </w:rPr>
        <w:t xml:space="preserve"> apsūdzētais </w:t>
      </w:r>
      <w:r w:rsidR="003A59D4">
        <w:rPr>
          <w:rFonts w:eastAsiaTheme="minorHAnsi"/>
        </w:rPr>
        <w:t>[pers. A]</w:t>
      </w:r>
      <w:r w:rsidR="00E75AAB" w:rsidRPr="00B921E6">
        <w:rPr>
          <w:rFonts w:eastAsiaTheme="minorHAnsi"/>
        </w:rPr>
        <w:t xml:space="preserve"> noziedzīgos nodarījumus izdarījis </w:t>
      </w:r>
      <w:r w:rsidR="002E5CF2" w:rsidRPr="00B921E6">
        <w:rPr>
          <w:rFonts w:eastAsiaTheme="minorHAnsi"/>
        </w:rPr>
        <w:t>atbildību pastiprinoš</w:t>
      </w:r>
      <w:r w:rsidR="00E75AAB" w:rsidRPr="00B921E6">
        <w:rPr>
          <w:rFonts w:eastAsiaTheme="minorHAnsi"/>
        </w:rPr>
        <w:t>os</w:t>
      </w:r>
      <w:r w:rsidR="002E5CF2" w:rsidRPr="00B921E6">
        <w:rPr>
          <w:rFonts w:eastAsiaTheme="minorHAnsi"/>
        </w:rPr>
        <w:t xml:space="preserve"> apstāk</w:t>
      </w:r>
      <w:r w:rsidR="00DB0F11">
        <w:rPr>
          <w:rFonts w:eastAsiaTheme="minorHAnsi"/>
        </w:rPr>
        <w:t>ļos</w:t>
      </w:r>
      <w:r w:rsidR="002E5CF2" w:rsidRPr="00B921E6">
        <w:rPr>
          <w:rFonts w:eastAsiaTheme="minorHAnsi"/>
        </w:rPr>
        <w:t xml:space="preserve">, ir </w:t>
      </w:r>
      <w:r w:rsidR="00E75AAB" w:rsidRPr="00B921E6">
        <w:rPr>
          <w:rFonts w:eastAsiaTheme="minorHAnsi"/>
        </w:rPr>
        <w:t>pārkāpusi</w:t>
      </w:r>
      <w:r w:rsidR="002E5CF2" w:rsidRPr="00B921E6">
        <w:rPr>
          <w:rFonts w:eastAsiaTheme="minorHAnsi"/>
        </w:rPr>
        <w:t xml:space="preserve"> Kriminālprocesa likuma </w:t>
      </w:r>
      <w:proofErr w:type="gramStart"/>
      <w:r w:rsidR="002E5CF2" w:rsidRPr="00B921E6">
        <w:rPr>
          <w:rFonts w:eastAsiaTheme="minorHAnsi"/>
        </w:rPr>
        <w:t>562.panta</w:t>
      </w:r>
      <w:proofErr w:type="gramEnd"/>
      <w:r w:rsidR="002E5CF2" w:rsidRPr="00B921E6">
        <w:rPr>
          <w:rFonts w:eastAsiaTheme="minorHAnsi"/>
        </w:rPr>
        <w:t xml:space="preserve"> </w:t>
      </w:r>
      <w:r w:rsidR="00DB0F11">
        <w:rPr>
          <w:rFonts w:eastAsiaTheme="minorHAnsi"/>
        </w:rPr>
        <w:t>pirmajā daļā noteikto apjomu un ietvarus, kādos</w:t>
      </w:r>
      <w:r w:rsidR="00E75AAB" w:rsidRPr="00B921E6">
        <w:rPr>
          <w:rFonts w:eastAsiaTheme="minorHAnsi"/>
        </w:rPr>
        <w:t xml:space="preserve"> lieta tiek izskatīta apelācijas instances tiesā, jo apelācijas protestā šāds lūgums nebija izteikts. </w:t>
      </w:r>
    </w:p>
    <w:p w14:paraId="159B5C3E" w14:textId="2ACC4435" w:rsidR="003C068E" w:rsidRPr="00B921E6" w:rsidRDefault="003C068E" w:rsidP="00B921E6">
      <w:pPr>
        <w:spacing w:line="276" w:lineRule="auto"/>
        <w:ind w:firstLine="720"/>
        <w:jc w:val="both"/>
        <w:rPr>
          <w:rFonts w:eastAsiaTheme="minorHAnsi"/>
        </w:rPr>
      </w:pPr>
      <w:r>
        <w:rPr>
          <w:rFonts w:eastAsiaTheme="minorHAnsi"/>
        </w:rPr>
        <w:t>Turklāt pirmās instances tiesā lieta iztiesāta neizdarot pierādījumu pārbaudi.</w:t>
      </w:r>
    </w:p>
    <w:p w14:paraId="135A35F4" w14:textId="6C89CFF4" w:rsidR="00FD2EEC" w:rsidRPr="00B921E6" w:rsidRDefault="00F80488" w:rsidP="00B921E6">
      <w:pPr>
        <w:spacing w:line="276" w:lineRule="auto"/>
        <w:ind w:firstLine="720"/>
        <w:jc w:val="both"/>
        <w:rPr>
          <w:rFonts w:eastAsiaTheme="minorHAnsi"/>
        </w:rPr>
      </w:pPr>
      <w:r w:rsidRPr="00B921E6">
        <w:rPr>
          <w:rFonts w:eastAsiaTheme="minorHAnsi"/>
        </w:rPr>
        <w:t>[4</w:t>
      </w:r>
      <w:r w:rsidR="00FD2EEC" w:rsidRPr="00B921E6">
        <w:rPr>
          <w:rFonts w:eastAsiaTheme="minorHAnsi"/>
        </w:rPr>
        <w:t>.2] Apelācijas instances tiesa nepamatoti atcēlusi pirmās instanc</w:t>
      </w:r>
      <w:r w:rsidR="000D5F90">
        <w:rPr>
          <w:rFonts w:eastAsiaTheme="minorHAnsi"/>
        </w:rPr>
        <w:t xml:space="preserve">es tiesas spriedumu daļā par </w:t>
      </w:r>
      <w:r w:rsidR="003A59D4">
        <w:rPr>
          <w:rFonts w:eastAsiaTheme="minorHAnsi"/>
        </w:rPr>
        <w:t>[pers. A]</w:t>
      </w:r>
      <w:r w:rsidR="00FD2EEC" w:rsidRPr="00B921E6">
        <w:rPr>
          <w:rFonts w:eastAsiaTheme="minorHAnsi"/>
        </w:rPr>
        <w:t xml:space="preserve"> nosacītu notiesāšanu.</w:t>
      </w:r>
    </w:p>
    <w:p w14:paraId="2D3D0F0A" w14:textId="0F4D09B1" w:rsidR="00E65A99" w:rsidRDefault="006E1625" w:rsidP="000F20B2">
      <w:pPr>
        <w:spacing w:line="276" w:lineRule="auto"/>
        <w:ind w:firstLine="720"/>
        <w:jc w:val="both"/>
        <w:rPr>
          <w:rFonts w:eastAsiaTheme="minorHAnsi"/>
        </w:rPr>
      </w:pPr>
      <w:r>
        <w:rPr>
          <w:rFonts w:eastAsiaTheme="minorHAnsi"/>
        </w:rPr>
        <w:t>[4.2.1] Pretēji apelācijas instances tiesas spriedumā norādītajam, pirmās instances tiesa</w:t>
      </w:r>
      <w:r w:rsidR="00AC7917">
        <w:rPr>
          <w:rFonts w:eastAsiaTheme="minorHAnsi"/>
        </w:rPr>
        <w:t xml:space="preserve">, </w:t>
      </w:r>
      <w:r>
        <w:rPr>
          <w:rFonts w:eastAsiaTheme="minorHAnsi"/>
        </w:rPr>
        <w:t xml:space="preserve">nosakot apsūdzētajam </w:t>
      </w:r>
      <w:r w:rsidR="003A59D4">
        <w:rPr>
          <w:rFonts w:eastAsiaTheme="minorHAnsi"/>
        </w:rPr>
        <w:t>[pers. A]</w:t>
      </w:r>
      <w:r>
        <w:rPr>
          <w:rFonts w:eastAsiaTheme="minorHAnsi"/>
        </w:rPr>
        <w:t xml:space="preserve"> brīvības atņemšanas sodu nosacīti, </w:t>
      </w:r>
      <w:r w:rsidR="00AC7917">
        <w:rPr>
          <w:rFonts w:eastAsiaTheme="minorHAnsi"/>
        </w:rPr>
        <w:t>ir vērtējusi</w:t>
      </w:r>
      <w:r>
        <w:rPr>
          <w:rFonts w:eastAsiaTheme="minorHAnsi"/>
        </w:rPr>
        <w:t xml:space="preserve"> </w:t>
      </w:r>
      <w:r w:rsidR="003C3552">
        <w:rPr>
          <w:rFonts w:eastAsiaTheme="minorHAnsi"/>
        </w:rPr>
        <w:t>noziedzīgo nodarījumu</w:t>
      </w:r>
      <w:r>
        <w:rPr>
          <w:rFonts w:eastAsiaTheme="minorHAnsi"/>
        </w:rPr>
        <w:t xml:space="preserve"> raksturu un radīto kaitējumu. </w:t>
      </w:r>
    </w:p>
    <w:p w14:paraId="01FCBFBE" w14:textId="5F6D4B17" w:rsidR="0007076A" w:rsidRDefault="00664838" w:rsidP="00B508FE">
      <w:pPr>
        <w:spacing w:line="276" w:lineRule="auto"/>
        <w:ind w:firstLine="720"/>
        <w:jc w:val="both"/>
        <w:rPr>
          <w:rFonts w:eastAsiaTheme="minorHAnsi"/>
        </w:rPr>
      </w:pPr>
      <w:r>
        <w:rPr>
          <w:rFonts w:eastAsiaTheme="minorHAnsi"/>
        </w:rPr>
        <w:t xml:space="preserve">Apsūdzētā </w:t>
      </w:r>
      <w:r w:rsidR="003A59D4">
        <w:rPr>
          <w:rFonts w:eastAsiaTheme="minorHAnsi"/>
        </w:rPr>
        <w:t>[pers. A]</w:t>
      </w:r>
      <w:r>
        <w:rPr>
          <w:rFonts w:eastAsiaTheme="minorHAnsi"/>
        </w:rPr>
        <w:t xml:space="preserve"> atbildību </w:t>
      </w:r>
      <w:r w:rsidR="00444149">
        <w:rPr>
          <w:rFonts w:eastAsiaTheme="minorHAnsi"/>
        </w:rPr>
        <w:t>pastiprinošo</w:t>
      </w:r>
      <w:r>
        <w:rPr>
          <w:rFonts w:eastAsiaTheme="minorHAnsi"/>
        </w:rPr>
        <w:t>s apstākļus</w:t>
      </w:r>
      <w:r w:rsidR="00B847DC">
        <w:rPr>
          <w:rFonts w:eastAsiaTheme="minorHAnsi"/>
        </w:rPr>
        <w:t xml:space="preserve"> saskaņā ar Krimināllikuma </w:t>
      </w:r>
      <w:proofErr w:type="gramStart"/>
      <w:r w:rsidR="00B847DC">
        <w:rPr>
          <w:rFonts w:eastAsiaTheme="minorHAnsi"/>
        </w:rPr>
        <w:t>48.pantu</w:t>
      </w:r>
      <w:proofErr w:type="gramEnd"/>
      <w:r>
        <w:rPr>
          <w:rFonts w:eastAsiaTheme="minorHAnsi"/>
        </w:rPr>
        <w:t xml:space="preserve"> pirmās instances tiesa nekonstatēja.</w:t>
      </w:r>
    </w:p>
    <w:p w14:paraId="06D498D4" w14:textId="043183D6" w:rsidR="005E1AA9" w:rsidRPr="00B921E6" w:rsidRDefault="00664838" w:rsidP="00B921E6">
      <w:pPr>
        <w:spacing w:line="276" w:lineRule="auto"/>
        <w:ind w:firstLine="720"/>
        <w:jc w:val="both"/>
        <w:rPr>
          <w:rFonts w:eastAsiaTheme="minorHAnsi"/>
        </w:rPr>
      </w:pPr>
      <w:r>
        <w:rPr>
          <w:rFonts w:eastAsiaTheme="minorHAnsi"/>
        </w:rPr>
        <w:lastRenderedPageBreak/>
        <w:t xml:space="preserve">[4.2.2] </w:t>
      </w:r>
      <w:r w:rsidR="005E1AA9" w:rsidRPr="00B921E6">
        <w:rPr>
          <w:rFonts w:eastAsiaTheme="minorHAnsi"/>
        </w:rPr>
        <w:t>Apelācijas in</w:t>
      </w:r>
      <w:r>
        <w:rPr>
          <w:rFonts w:eastAsiaTheme="minorHAnsi"/>
        </w:rPr>
        <w:t>stances tiesa spriedumā norādījusi</w:t>
      </w:r>
      <w:r w:rsidR="005E1AA9" w:rsidRPr="00B921E6">
        <w:rPr>
          <w:rFonts w:eastAsiaTheme="minorHAnsi"/>
        </w:rPr>
        <w:t xml:space="preserve"> uz izdarīto noziedzīgo nodarījumu raksturu un nodarītā kaitējuma </w:t>
      </w:r>
      <w:r>
        <w:rPr>
          <w:rFonts w:eastAsiaTheme="minorHAnsi"/>
        </w:rPr>
        <w:t>apmēru</w:t>
      </w:r>
      <w:r w:rsidR="005E1AA9" w:rsidRPr="00B921E6">
        <w:rPr>
          <w:rFonts w:eastAsiaTheme="minorHAnsi"/>
        </w:rPr>
        <w:t xml:space="preserve"> kā uz apstā</w:t>
      </w:r>
      <w:r w:rsidR="007902C2">
        <w:rPr>
          <w:rFonts w:eastAsiaTheme="minorHAnsi"/>
        </w:rPr>
        <w:t>kļiem, kas nerada pārliecību par to</w:t>
      </w:r>
      <w:r w:rsidR="005E1AA9" w:rsidRPr="00B921E6">
        <w:rPr>
          <w:rFonts w:eastAsiaTheme="minorHAnsi"/>
        </w:rPr>
        <w:t>,</w:t>
      </w:r>
      <w:r w:rsidR="007902C2">
        <w:rPr>
          <w:rFonts w:eastAsiaTheme="minorHAnsi"/>
        </w:rPr>
        <w:t xml:space="preserve"> ka</w:t>
      </w:r>
      <w:r w:rsidR="005E1AA9" w:rsidRPr="00B921E6">
        <w:rPr>
          <w:rFonts w:eastAsiaTheme="minorHAnsi"/>
        </w:rPr>
        <w:t xml:space="preserve"> apsūdzētajam </w:t>
      </w:r>
      <w:r w:rsidR="003A59D4">
        <w:rPr>
          <w:rFonts w:eastAsiaTheme="minorHAnsi"/>
        </w:rPr>
        <w:t>[pers. A]</w:t>
      </w:r>
      <w:r w:rsidR="005E1AA9" w:rsidRPr="00B921E6">
        <w:rPr>
          <w:rFonts w:eastAsiaTheme="minorHAnsi"/>
        </w:rPr>
        <w:t xml:space="preserve"> sodu neizciešot,</w:t>
      </w:r>
      <w:r>
        <w:rPr>
          <w:rFonts w:eastAsiaTheme="minorHAnsi"/>
        </w:rPr>
        <w:t xml:space="preserve"> tiks sasniegts soda mērķis,</w:t>
      </w:r>
      <w:r w:rsidR="005E1AA9" w:rsidRPr="00B921E6">
        <w:rPr>
          <w:rFonts w:eastAsiaTheme="minorHAnsi"/>
        </w:rPr>
        <w:t xml:space="preserve"> </w:t>
      </w:r>
      <w:r>
        <w:rPr>
          <w:rFonts w:eastAsiaTheme="minorHAnsi"/>
        </w:rPr>
        <w:t>tostarp tiesa norādījusi uz apelācijas instances tiesā konstatēto a</w:t>
      </w:r>
      <w:r w:rsidR="000D5F90">
        <w:rPr>
          <w:rFonts w:eastAsiaTheme="minorHAnsi"/>
        </w:rPr>
        <w:t xml:space="preserve">psūdzētā </w:t>
      </w:r>
      <w:r w:rsidR="003A59D4">
        <w:rPr>
          <w:rFonts w:eastAsiaTheme="minorHAnsi"/>
        </w:rPr>
        <w:t>[pers. A]</w:t>
      </w:r>
      <w:r w:rsidRPr="00664838">
        <w:rPr>
          <w:rFonts w:eastAsiaTheme="minorHAnsi"/>
        </w:rPr>
        <w:t xml:space="preserve"> </w:t>
      </w:r>
      <w:r>
        <w:rPr>
          <w:rFonts w:eastAsiaTheme="minorHAnsi"/>
        </w:rPr>
        <w:t xml:space="preserve">atbildību pastiprinošo apstākli – </w:t>
      </w:r>
      <w:r w:rsidR="00AF4D1E" w:rsidRPr="00AF4D1E">
        <w:rPr>
          <w:rFonts w:eastAsiaTheme="minorHAnsi"/>
        </w:rPr>
        <w:t>noziedzīgais nodarījums izdarīts mantkārīgu tieksmju dēļ</w:t>
      </w:r>
      <w:r w:rsidR="00AF4D1E">
        <w:rPr>
          <w:rFonts w:eastAsiaTheme="minorHAnsi"/>
        </w:rPr>
        <w:t xml:space="preserve">. </w:t>
      </w:r>
    </w:p>
    <w:p w14:paraId="24F79F8F" w14:textId="353262D0" w:rsidR="005E1AA9" w:rsidRPr="00B921E6" w:rsidRDefault="003031FB" w:rsidP="00AF4D1E">
      <w:pPr>
        <w:spacing w:line="276" w:lineRule="auto"/>
        <w:ind w:firstLine="720"/>
        <w:jc w:val="both"/>
        <w:rPr>
          <w:rFonts w:eastAsiaTheme="minorHAnsi"/>
        </w:rPr>
      </w:pPr>
      <w:r w:rsidRPr="00B921E6">
        <w:rPr>
          <w:rFonts w:eastAsiaTheme="minorHAnsi"/>
        </w:rPr>
        <w:t>Minēto atbildību pastiprinošo apstākli apelācijas instances tiesa ir konstat</w:t>
      </w:r>
      <w:r w:rsidR="002C4442" w:rsidRPr="00B921E6">
        <w:rPr>
          <w:rFonts w:eastAsiaTheme="minorHAnsi"/>
        </w:rPr>
        <w:t xml:space="preserve">ējusi, pārkāpjot Kriminālprocesa likuma </w:t>
      </w:r>
      <w:proofErr w:type="gramStart"/>
      <w:r w:rsidR="002C4442" w:rsidRPr="00B921E6">
        <w:rPr>
          <w:rFonts w:eastAsiaTheme="minorHAnsi"/>
        </w:rPr>
        <w:t>562.panta</w:t>
      </w:r>
      <w:proofErr w:type="gramEnd"/>
      <w:r w:rsidR="002C4442" w:rsidRPr="00B921E6">
        <w:rPr>
          <w:rFonts w:eastAsiaTheme="minorHAnsi"/>
        </w:rPr>
        <w:t xml:space="preserve"> pirmās daļas prasības</w:t>
      </w:r>
      <w:r w:rsidR="002C0CAE">
        <w:rPr>
          <w:rFonts w:eastAsiaTheme="minorHAnsi"/>
        </w:rPr>
        <w:t>. Līdz ar t</w:t>
      </w:r>
      <w:r w:rsidR="00AF4D1E">
        <w:rPr>
          <w:rFonts w:eastAsiaTheme="minorHAnsi"/>
        </w:rPr>
        <w:t xml:space="preserve">o secināms, ka </w:t>
      </w:r>
      <w:r w:rsidR="007D7BA8" w:rsidRPr="00B921E6">
        <w:rPr>
          <w:rFonts w:eastAsiaTheme="minorHAnsi"/>
        </w:rPr>
        <w:t>apelāc</w:t>
      </w:r>
      <w:r w:rsidR="00444149">
        <w:rPr>
          <w:rFonts w:eastAsiaTheme="minorHAnsi"/>
        </w:rPr>
        <w:t>ijas instances tiesa savu atzinumu</w:t>
      </w:r>
      <w:r w:rsidR="007D7BA8" w:rsidRPr="00B921E6">
        <w:rPr>
          <w:rFonts w:eastAsiaTheme="minorHAnsi"/>
        </w:rPr>
        <w:t xml:space="preserve"> par nosacītas notiesāšanas neiespējamību pamatojusi ar nepieļaujamu apstākli.  </w:t>
      </w:r>
      <w:r w:rsidR="002C4442" w:rsidRPr="00B921E6">
        <w:rPr>
          <w:rFonts w:eastAsiaTheme="minorHAnsi"/>
        </w:rPr>
        <w:t xml:space="preserve"> </w:t>
      </w:r>
    </w:p>
    <w:p w14:paraId="4AB100AC" w14:textId="418128A5" w:rsidR="00D534CD" w:rsidRPr="00B921E6" w:rsidRDefault="00F80488" w:rsidP="00B921E6">
      <w:pPr>
        <w:spacing w:line="276" w:lineRule="auto"/>
        <w:ind w:firstLine="720"/>
        <w:jc w:val="both"/>
        <w:rPr>
          <w:rFonts w:eastAsiaTheme="minorHAnsi"/>
        </w:rPr>
      </w:pPr>
      <w:r w:rsidRPr="00B921E6">
        <w:rPr>
          <w:rFonts w:eastAsiaTheme="minorHAnsi"/>
        </w:rPr>
        <w:t>[4</w:t>
      </w:r>
      <w:r w:rsidR="007D7BA8" w:rsidRPr="00B921E6">
        <w:rPr>
          <w:rFonts w:eastAsiaTheme="minorHAnsi"/>
        </w:rPr>
        <w:t xml:space="preserve">.3] </w:t>
      </w:r>
      <w:r w:rsidR="00EA3B7D">
        <w:rPr>
          <w:rFonts w:eastAsiaTheme="minorHAnsi"/>
        </w:rPr>
        <w:t>A</w:t>
      </w:r>
      <w:r w:rsidR="00D534CD" w:rsidRPr="00B921E6">
        <w:rPr>
          <w:rFonts w:eastAsiaTheme="minorHAnsi"/>
        </w:rPr>
        <w:t>pelācijas instan</w:t>
      </w:r>
      <w:r w:rsidR="007D7BA8" w:rsidRPr="00B921E6">
        <w:rPr>
          <w:rFonts w:eastAsiaTheme="minorHAnsi"/>
        </w:rPr>
        <w:t xml:space="preserve">ces tiesas pieļautie pārkāpumi </w:t>
      </w:r>
      <w:r w:rsidR="00A37339" w:rsidRPr="00B921E6">
        <w:rPr>
          <w:rFonts w:eastAsiaTheme="minorHAnsi"/>
        </w:rPr>
        <w:t xml:space="preserve">ir pasliktinājuši </w:t>
      </w:r>
      <w:r w:rsidR="002C0CAE">
        <w:rPr>
          <w:rFonts w:eastAsiaTheme="minorHAnsi"/>
        </w:rPr>
        <w:t xml:space="preserve">apsūdzētā </w:t>
      </w:r>
      <w:r w:rsidR="003A59D4">
        <w:rPr>
          <w:rFonts w:eastAsiaTheme="minorHAnsi"/>
        </w:rPr>
        <w:t>[pers. A]</w:t>
      </w:r>
      <w:r w:rsidR="00A37339" w:rsidRPr="00B921E6">
        <w:rPr>
          <w:rFonts w:eastAsiaTheme="minorHAnsi"/>
        </w:rPr>
        <w:t xml:space="preserve"> stāvokli, pārkāpjot Kriminālprocesa likuma </w:t>
      </w:r>
      <w:proofErr w:type="gramStart"/>
      <w:r w:rsidR="00A37339" w:rsidRPr="00B921E6">
        <w:rPr>
          <w:rFonts w:eastAsiaTheme="minorHAnsi"/>
        </w:rPr>
        <w:t>20.pantā</w:t>
      </w:r>
      <w:proofErr w:type="gramEnd"/>
      <w:r w:rsidR="00A37339" w:rsidRPr="00B921E6">
        <w:rPr>
          <w:rFonts w:eastAsiaTheme="minorHAnsi"/>
        </w:rPr>
        <w:t xml:space="preserve"> noteiktās apsūdzētā tiesības uz aizstāvību. Minētie pārkāpumi </w:t>
      </w:r>
      <w:r w:rsidR="007D7BA8" w:rsidRPr="00B921E6">
        <w:rPr>
          <w:rFonts w:eastAsiaTheme="minorHAnsi"/>
        </w:rPr>
        <w:t>ir atzīstami</w:t>
      </w:r>
      <w:r w:rsidR="00D534CD" w:rsidRPr="00B921E6">
        <w:rPr>
          <w:rFonts w:eastAsiaTheme="minorHAnsi"/>
        </w:rPr>
        <w:t xml:space="preserve"> par</w:t>
      </w:r>
      <w:r w:rsidR="00B201A5" w:rsidRPr="00B921E6">
        <w:rPr>
          <w:rFonts w:eastAsiaTheme="minorHAnsi"/>
        </w:rPr>
        <w:t xml:space="preserve"> Kriminālprocesa likuma būtiskiem pārkāpumiem</w:t>
      </w:r>
      <w:r w:rsidR="00622260">
        <w:rPr>
          <w:rFonts w:eastAsiaTheme="minorHAnsi"/>
        </w:rPr>
        <w:t xml:space="preserve"> </w:t>
      </w:r>
      <w:r w:rsidR="001D5CEC">
        <w:rPr>
          <w:rFonts w:eastAsiaTheme="minorHAnsi"/>
        </w:rPr>
        <w:t>šā</w:t>
      </w:r>
      <w:r w:rsidR="00622260">
        <w:rPr>
          <w:rFonts w:eastAsiaTheme="minorHAnsi"/>
        </w:rPr>
        <w:t xml:space="preserve"> likuma </w:t>
      </w:r>
      <w:proofErr w:type="gramStart"/>
      <w:r w:rsidR="00622260">
        <w:rPr>
          <w:rFonts w:eastAsiaTheme="minorHAnsi"/>
        </w:rPr>
        <w:t>575.panta</w:t>
      </w:r>
      <w:proofErr w:type="gramEnd"/>
      <w:r w:rsidR="00622260">
        <w:rPr>
          <w:rFonts w:eastAsiaTheme="minorHAnsi"/>
        </w:rPr>
        <w:t xml:space="preserve"> trešās daļas izpratnē</w:t>
      </w:r>
      <w:r w:rsidR="00B201A5" w:rsidRPr="00B921E6">
        <w:rPr>
          <w:rFonts w:eastAsiaTheme="minorHAnsi"/>
        </w:rPr>
        <w:t>, kas noveduši</w:t>
      </w:r>
      <w:r w:rsidR="00D534CD" w:rsidRPr="00B921E6">
        <w:rPr>
          <w:rFonts w:eastAsiaTheme="minorHAnsi"/>
        </w:rPr>
        <w:t xml:space="preserve"> pie nelikumīga nolēmuma</w:t>
      </w:r>
      <w:r w:rsidR="00A37339" w:rsidRPr="00B921E6">
        <w:rPr>
          <w:rFonts w:eastAsiaTheme="minorHAnsi"/>
        </w:rPr>
        <w:t xml:space="preserve">.  </w:t>
      </w:r>
    </w:p>
    <w:p w14:paraId="0373AA85" w14:textId="77777777" w:rsidR="00E93167" w:rsidRPr="00B921E6" w:rsidRDefault="00E93167" w:rsidP="00B921E6">
      <w:pPr>
        <w:spacing w:line="276" w:lineRule="auto"/>
        <w:ind w:firstLine="720"/>
        <w:jc w:val="both"/>
        <w:rPr>
          <w:rFonts w:eastAsiaTheme="minorHAnsi"/>
        </w:rPr>
      </w:pPr>
    </w:p>
    <w:p w14:paraId="0761503D" w14:textId="77777777" w:rsidR="00B921E6" w:rsidRPr="00B921E6" w:rsidRDefault="00B921E6" w:rsidP="00B921E6">
      <w:pPr>
        <w:spacing w:line="276" w:lineRule="auto"/>
        <w:jc w:val="center"/>
        <w:rPr>
          <w:rFonts w:eastAsiaTheme="minorHAnsi"/>
          <w:b/>
        </w:rPr>
      </w:pPr>
      <w:r w:rsidRPr="00B921E6">
        <w:rPr>
          <w:rFonts w:eastAsiaTheme="minorHAnsi"/>
          <w:b/>
        </w:rPr>
        <w:t>Motīvu daļa</w:t>
      </w:r>
    </w:p>
    <w:p w14:paraId="3B4FF62C" w14:textId="77777777" w:rsidR="00B921E6" w:rsidRDefault="00B921E6" w:rsidP="00B921E6">
      <w:pPr>
        <w:spacing w:line="276" w:lineRule="auto"/>
        <w:ind w:firstLine="720"/>
        <w:jc w:val="both"/>
        <w:rPr>
          <w:rFonts w:eastAsiaTheme="minorHAnsi"/>
        </w:rPr>
      </w:pPr>
    </w:p>
    <w:p w14:paraId="316CF346" w14:textId="2B59A8E2" w:rsidR="00DD1755" w:rsidRDefault="00792CF7" w:rsidP="00DD1755">
      <w:pPr>
        <w:spacing w:line="276" w:lineRule="auto"/>
        <w:ind w:firstLine="720"/>
        <w:jc w:val="both"/>
        <w:rPr>
          <w:rFonts w:eastAsiaTheme="minorHAnsi"/>
        </w:rPr>
      </w:pPr>
      <w:r>
        <w:rPr>
          <w:rFonts w:eastAsiaTheme="minorHAnsi"/>
        </w:rPr>
        <w:t xml:space="preserve">[5] </w:t>
      </w:r>
      <w:r w:rsidRPr="00792CF7">
        <w:rPr>
          <w:rFonts w:eastAsiaTheme="minorHAnsi"/>
        </w:rPr>
        <w:t xml:space="preserve">Senāts atzīst, ka </w:t>
      </w:r>
      <w:r>
        <w:rPr>
          <w:rFonts w:eastAsiaTheme="minorHAnsi"/>
        </w:rPr>
        <w:t>Kurzemes</w:t>
      </w:r>
      <w:r w:rsidRPr="00792CF7">
        <w:rPr>
          <w:rFonts w:eastAsiaTheme="minorHAnsi"/>
        </w:rPr>
        <w:t xml:space="preserve"> apgabaltiesas </w:t>
      </w:r>
      <w:proofErr w:type="gramStart"/>
      <w:r w:rsidRPr="00792CF7">
        <w:rPr>
          <w:rFonts w:eastAsiaTheme="minorHAnsi"/>
        </w:rPr>
        <w:t>2019.gada</w:t>
      </w:r>
      <w:proofErr w:type="gramEnd"/>
      <w:r w:rsidRPr="00792CF7">
        <w:rPr>
          <w:rFonts w:eastAsiaTheme="minorHAnsi"/>
        </w:rPr>
        <w:t xml:space="preserve"> </w:t>
      </w:r>
      <w:r>
        <w:rPr>
          <w:rFonts w:eastAsiaTheme="minorHAnsi"/>
        </w:rPr>
        <w:t>29</w:t>
      </w:r>
      <w:r w:rsidR="00F065B7">
        <w:rPr>
          <w:rFonts w:eastAsiaTheme="minorHAnsi"/>
        </w:rPr>
        <w:t>.jūlija spriedums atceļams</w:t>
      </w:r>
      <w:r w:rsidR="00ED49E0">
        <w:rPr>
          <w:rFonts w:eastAsiaTheme="minorHAnsi"/>
        </w:rPr>
        <w:t xml:space="preserve"> daļā par</w:t>
      </w:r>
      <w:r w:rsidR="00ED49E0" w:rsidRPr="00ED49E0">
        <w:rPr>
          <w:rFonts w:eastAsiaTheme="minorHAnsi"/>
        </w:rPr>
        <w:t xml:space="preserve"> </w:t>
      </w:r>
      <w:r w:rsidR="00724F6C">
        <w:rPr>
          <w:rFonts w:eastAsiaTheme="minorHAnsi"/>
        </w:rPr>
        <w:t>[pers. A]</w:t>
      </w:r>
      <w:r w:rsidR="00ED49E0">
        <w:rPr>
          <w:rFonts w:eastAsiaTheme="minorHAnsi"/>
        </w:rPr>
        <w:t xml:space="preserve"> noteikto sodu </w:t>
      </w:r>
      <w:r w:rsidR="00ED49E0">
        <w:t>pēc Krimināllikuma 221.panta trešās daļas, 221.panta pirmās daļas,</w:t>
      </w:r>
      <w:r w:rsidR="00ED49E0" w:rsidRPr="007B699A">
        <w:t xml:space="preserve"> 221.</w:t>
      </w:r>
      <w:r w:rsidR="00ED49E0">
        <w:rPr>
          <w:vertAlign w:val="superscript"/>
        </w:rPr>
        <w:t>2 </w:t>
      </w:r>
      <w:r w:rsidR="00ED49E0">
        <w:t xml:space="preserve">panta trešās daļas un </w:t>
      </w:r>
      <w:r w:rsidR="00ED49E0" w:rsidRPr="007B699A">
        <w:t>saskaņā a</w:t>
      </w:r>
      <w:r w:rsidR="00ED49E0">
        <w:t>r Krimināllikuma 50.panta pirmo un</w:t>
      </w:r>
      <w:r w:rsidR="00ED49E0" w:rsidRPr="007B699A">
        <w:t xml:space="preserve"> trešo daļu </w:t>
      </w:r>
      <w:r w:rsidR="00ED49E0">
        <w:t>noteikto sodu pēc noziedzīgo nodarījumu kopības.</w:t>
      </w:r>
      <w:r w:rsidR="00ED49E0">
        <w:rPr>
          <w:rFonts w:eastAsiaTheme="minorHAnsi"/>
        </w:rPr>
        <w:t xml:space="preserve"> A</w:t>
      </w:r>
      <w:r w:rsidR="00ED49E0" w:rsidRPr="00792CF7">
        <w:rPr>
          <w:rFonts w:eastAsiaTheme="minorHAnsi"/>
        </w:rPr>
        <w:t>tceltajā daļā</w:t>
      </w:r>
      <w:r w:rsidR="00ED49E0">
        <w:rPr>
          <w:rFonts w:eastAsiaTheme="minorHAnsi"/>
        </w:rPr>
        <w:t xml:space="preserve"> </w:t>
      </w:r>
      <w:r w:rsidR="00ED49E0" w:rsidRPr="00792CF7">
        <w:rPr>
          <w:rFonts w:eastAsiaTheme="minorHAnsi"/>
        </w:rPr>
        <w:t>lieta nosūtāma jaunai izskatīšanai apelācijas instances tiesā.</w:t>
      </w:r>
    </w:p>
    <w:p w14:paraId="7322FD9C" w14:textId="77777777" w:rsidR="00DD1755" w:rsidRDefault="00DD1755" w:rsidP="00DD1755">
      <w:pPr>
        <w:spacing w:line="276" w:lineRule="auto"/>
        <w:ind w:firstLine="720"/>
        <w:jc w:val="both"/>
        <w:rPr>
          <w:rFonts w:eastAsiaTheme="minorHAnsi"/>
        </w:rPr>
      </w:pPr>
    </w:p>
    <w:p w14:paraId="12F49894" w14:textId="3D2ED6CF" w:rsidR="007F14B2" w:rsidRDefault="007F14B2" w:rsidP="007F14B2">
      <w:pPr>
        <w:spacing w:line="276" w:lineRule="auto"/>
        <w:ind w:firstLine="720"/>
        <w:jc w:val="both"/>
        <w:rPr>
          <w:rFonts w:eastAsiaTheme="minorHAnsi"/>
        </w:rPr>
      </w:pPr>
      <w:r>
        <w:rPr>
          <w:rFonts w:eastAsiaTheme="minorHAnsi"/>
        </w:rPr>
        <w:t>[6]</w:t>
      </w:r>
      <w:r w:rsidRPr="007F14B2">
        <w:rPr>
          <w:rFonts w:eastAsiaTheme="minorHAnsi"/>
        </w:rPr>
        <w:t xml:space="preserve"> </w:t>
      </w:r>
      <w:r>
        <w:rPr>
          <w:rFonts w:eastAsiaTheme="minorHAnsi"/>
        </w:rPr>
        <w:t xml:space="preserve">Senāts, pamatojoties uz Kriminālprocesa likuma </w:t>
      </w:r>
      <w:proofErr w:type="gramStart"/>
      <w:r>
        <w:rPr>
          <w:rFonts w:eastAsiaTheme="minorHAnsi"/>
        </w:rPr>
        <w:t>584.panta</w:t>
      </w:r>
      <w:proofErr w:type="gramEnd"/>
      <w:r>
        <w:rPr>
          <w:rFonts w:eastAsiaTheme="minorHAnsi"/>
        </w:rPr>
        <w:t xml:space="preserve"> otro daļu, atzīst par nepieciešamu pārsniegt kasācijas sūdzībā izteikto prasību apjomu, jo konstatē Kriminālprocesa likuma būtisku pārkāpumu, kas nav norādīts kasācijas sūdzībā.</w:t>
      </w:r>
    </w:p>
    <w:p w14:paraId="206830A0" w14:textId="77777777" w:rsidR="00DD1755" w:rsidRDefault="00DD1755" w:rsidP="007F14B2">
      <w:pPr>
        <w:spacing w:line="276" w:lineRule="auto"/>
        <w:ind w:firstLine="720"/>
        <w:jc w:val="both"/>
        <w:rPr>
          <w:rFonts w:eastAsiaTheme="minorHAnsi"/>
        </w:rPr>
      </w:pPr>
    </w:p>
    <w:p w14:paraId="43B87D7D" w14:textId="19B54857" w:rsidR="00ED49E0" w:rsidRDefault="00DD1755" w:rsidP="00BE43B8">
      <w:pPr>
        <w:spacing w:line="276" w:lineRule="auto"/>
        <w:ind w:firstLine="709"/>
        <w:jc w:val="both"/>
        <w:rPr>
          <w:rFonts w:eastAsiaTheme="minorHAnsi"/>
        </w:rPr>
      </w:pPr>
      <w:r>
        <w:rPr>
          <w:rFonts w:eastAsiaTheme="minorHAnsi"/>
        </w:rPr>
        <w:t>[7</w:t>
      </w:r>
      <w:r w:rsidR="00BE43B8">
        <w:rPr>
          <w:rFonts w:eastAsiaTheme="minorHAnsi"/>
        </w:rPr>
        <w:t xml:space="preserve">] Saskaņā ar </w:t>
      </w:r>
      <w:r w:rsidR="00BE43B8" w:rsidRPr="00E952F8">
        <w:rPr>
          <w:rFonts w:eastAsiaTheme="minorHAnsi"/>
        </w:rPr>
        <w:t>Krimināl</w:t>
      </w:r>
      <w:r w:rsidR="00BE43B8">
        <w:rPr>
          <w:rFonts w:eastAsiaTheme="minorHAnsi"/>
        </w:rPr>
        <w:t xml:space="preserve">procesa likuma </w:t>
      </w:r>
      <w:proofErr w:type="gramStart"/>
      <w:r w:rsidR="00BE43B8">
        <w:rPr>
          <w:rFonts w:eastAsiaTheme="minorHAnsi"/>
        </w:rPr>
        <w:t>511.panta</w:t>
      </w:r>
      <w:proofErr w:type="gramEnd"/>
      <w:r w:rsidR="00BE43B8">
        <w:rPr>
          <w:rFonts w:eastAsiaTheme="minorHAnsi"/>
        </w:rPr>
        <w:t xml:space="preserve"> otro daļu</w:t>
      </w:r>
      <w:r w:rsidR="00BE43B8" w:rsidRPr="00E952F8">
        <w:rPr>
          <w:rFonts w:eastAsiaTheme="minorHAnsi"/>
        </w:rPr>
        <w:t xml:space="preserve"> spriedumam jābūt tiesiskam un pamatotam. Spriedums ir tiesisks un pamatots, ja tas atbilst Kriminālprocesa likuma </w:t>
      </w:r>
      <w:proofErr w:type="gramStart"/>
      <w:r w:rsidR="00BE43B8" w:rsidRPr="00E952F8">
        <w:rPr>
          <w:rFonts w:eastAsiaTheme="minorHAnsi"/>
        </w:rPr>
        <w:t>512.panta</w:t>
      </w:r>
      <w:proofErr w:type="gramEnd"/>
      <w:r w:rsidR="00BE43B8" w:rsidRPr="00E952F8">
        <w:rPr>
          <w:rFonts w:eastAsiaTheme="minorHAnsi"/>
        </w:rPr>
        <w:t xml:space="preserve"> prasībām, tostarp norādītā panta pirmajai daļai, kas paredz, ka tiesa, taisot spriedumu, pamatojas uz materiālo un procesuālo tiesību normām. </w:t>
      </w:r>
    </w:p>
    <w:p w14:paraId="52EDEFEF" w14:textId="17B300E0" w:rsidR="00BE43B8" w:rsidRPr="00E952F8" w:rsidRDefault="00BE43B8" w:rsidP="00BE43B8">
      <w:pPr>
        <w:spacing w:line="276" w:lineRule="auto"/>
        <w:ind w:firstLine="709"/>
        <w:jc w:val="both"/>
        <w:rPr>
          <w:rFonts w:eastAsiaTheme="minorHAnsi"/>
        </w:rPr>
      </w:pPr>
      <w:r w:rsidRPr="00E952F8">
        <w:rPr>
          <w:rFonts w:eastAsiaTheme="minorHAnsi"/>
        </w:rPr>
        <w:t>Norādītās prasības attiecas arī uz apelācijas instances tiesas nolēmumiem.</w:t>
      </w:r>
    </w:p>
    <w:p w14:paraId="0741AE89" w14:textId="4DBF12DD" w:rsidR="00BE43B8" w:rsidRPr="00E952F8" w:rsidRDefault="00BE43B8" w:rsidP="00BE43B8">
      <w:pPr>
        <w:spacing w:line="276" w:lineRule="auto"/>
        <w:ind w:firstLine="709"/>
        <w:jc w:val="both"/>
        <w:rPr>
          <w:rFonts w:eastAsiaTheme="minorHAnsi"/>
        </w:rPr>
      </w:pPr>
      <w:r w:rsidRPr="00E952F8">
        <w:rPr>
          <w:rFonts w:eastAsiaTheme="minorHAnsi"/>
        </w:rPr>
        <w:t>Senāts atzīst, ka apel</w:t>
      </w:r>
      <w:r w:rsidR="00ED49E0">
        <w:rPr>
          <w:rFonts w:eastAsiaTheme="minorHAnsi"/>
        </w:rPr>
        <w:t>ācijas instances tiesa minētās</w:t>
      </w:r>
      <w:r w:rsidRPr="00E952F8">
        <w:rPr>
          <w:rFonts w:eastAsiaTheme="minorHAnsi"/>
        </w:rPr>
        <w:t xml:space="preserve"> tiesību normas nav ievērojusi.</w:t>
      </w:r>
    </w:p>
    <w:p w14:paraId="25BF8E93" w14:textId="040EDBA1" w:rsidR="00E46FBC" w:rsidRDefault="00A53357" w:rsidP="00E46FBC">
      <w:pPr>
        <w:spacing w:line="276" w:lineRule="auto"/>
        <w:ind w:firstLine="720"/>
        <w:jc w:val="both"/>
        <w:rPr>
          <w:rFonts w:eastAsiaTheme="minorHAnsi"/>
        </w:rPr>
      </w:pPr>
      <w:r>
        <w:rPr>
          <w:rFonts w:eastAsiaTheme="minorHAnsi"/>
        </w:rPr>
        <w:t xml:space="preserve"> </w:t>
      </w:r>
      <w:r w:rsidR="00DD1755">
        <w:rPr>
          <w:rFonts w:eastAsiaTheme="minorHAnsi"/>
        </w:rPr>
        <w:t>[7</w:t>
      </w:r>
      <w:r w:rsidR="00E46FBC">
        <w:rPr>
          <w:rFonts w:eastAsiaTheme="minorHAnsi"/>
        </w:rPr>
        <w:t xml:space="preserve">.1] </w:t>
      </w:r>
      <w:r w:rsidR="007E36EA" w:rsidRPr="007E36EA">
        <w:rPr>
          <w:rFonts w:eastAsiaTheme="minorHAnsi"/>
        </w:rPr>
        <w:t xml:space="preserve">Kriminālprocesa likuma </w:t>
      </w:r>
      <w:proofErr w:type="gramStart"/>
      <w:r w:rsidR="007E36EA" w:rsidRPr="007E36EA">
        <w:rPr>
          <w:rFonts w:eastAsiaTheme="minorHAnsi"/>
        </w:rPr>
        <w:t>562.panta</w:t>
      </w:r>
      <w:proofErr w:type="gramEnd"/>
      <w:r w:rsidR="007E36EA" w:rsidRPr="007E36EA">
        <w:rPr>
          <w:rFonts w:eastAsiaTheme="minorHAnsi"/>
        </w:rPr>
        <w:t xml:space="preserve"> pirmā daļa noteic, ka tiesas izmeklēšana un tiesas debates apelācijas instances tiesā notiek sūdzībā vai protestā izteikto prasību apjomā un ietvaros, kurus nedrīkst pārsniegt, izņemot gadījumus, kad apelācijas instances tiesai rodas šaubas par pirmās instances tiesas konstatēto apsūdzētā, dalībnieku vai līdzdalībnieku vainu vai atbildību pastiprinošiem apstākļiem.</w:t>
      </w:r>
      <w:r w:rsidR="00E46FBC">
        <w:rPr>
          <w:rFonts w:eastAsiaTheme="minorHAnsi"/>
        </w:rPr>
        <w:t xml:space="preserve"> </w:t>
      </w:r>
    </w:p>
    <w:p w14:paraId="123C6BD1" w14:textId="2C1BB97F" w:rsidR="00980369" w:rsidRDefault="00E46FBC" w:rsidP="00980369">
      <w:pPr>
        <w:spacing w:line="276" w:lineRule="auto"/>
        <w:ind w:firstLine="720"/>
        <w:jc w:val="both"/>
        <w:rPr>
          <w:rFonts w:eastAsiaTheme="minorHAnsi"/>
        </w:rPr>
      </w:pPr>
      <w:r>
        <w:rPr>
          <w:rFonts w:eastAsiaTheme="minorHAnsi"/>
        </w:rPr>
        <w:t>Augstākā tiesa jau iepriekš ir skaidrojusi, ka saskaņā ar minēto tiesību normu t</w:t>
      </w:r>
      <w:r w:rsidRPr="00E46FBC">
        <w:rPr>
          <w:rFonts w:eastAsiaTheme="minorHAnsi"/>
        </w:rPr>
        <w:t>iesa var pārsniegt apelācijas sūdzībā vai protestā izteikto prasību apjomu, ja tai rodas šaubas par apsūdzētā atbildību pastiprinošiem apstākļiem. Tomēr tiesa pēc savas iniciatīvas nevar konstatēt jaunus atbildību pastiprinošos apstākļus vai tos vērtēt par sliktu apsūdzētajam (</w:t>
      </w:r>
      <w:r w:rsidR="003143AF">
        <w:rPr>
          <w:rFonts w:eastAsiaTheme="minorHAnsi"/>
          <w:i/>
        </w:rPr>
        <w:t>sk. </w:t>
      </w:r>
      <w:r w:rsidRPr="00E46FBC">
        <w:rPr>
          <w:rFonts w:eastAsiaTheme="minorHAnsi"/>
          <w:i/>
        </w:rPr>
        <w:t xml:space="preserve">Augstākās tiesas </w:t>
      </w:r>
      <w:r w:rsidRPr="00E46FBC">
        <w:rPr>
          <w:rFonts w:eastAsiaTheme="minorHAnsi"/>
          <w:i/>
        </w:rPr>
        <w:lastRenderedPageBreak/>
        <w:t xml:space="preserve">Krimināllietu departamenta </w:t>
      </w:r>
      <w:bookmarkStart w:id="0" w:name="_Hlk41632847"/>
      <w:proofErr w:type="gramStart"/>
      <w:r w:rsidRPr="00E46FBC">
        <w:rPr>
          <w:rFonts w:eastAsiaTheme="minorHAnsi"/>
          <w:i/>
        </w:rPr>
        <w:t>2018.ga</w:t>
      </w:r>
      <w:r w:rsidR="003143AF">
        <w:rPr>
          <w:rFonts w:eastAsiaTheme="minorHAnsi"/>
          <w:i/>
        </w:rPr>
        <w:t>da</w:t>
      </w:r>
      <w:proofErr w:type="gramEnd"/>
      <w:r w:rsidR="003143AF">
        <w:rPr>
          <w:rFonts w:eastAsiaTheme="minorHAnsi"/>
          <w:i/>
        </w:rPr>
        <w:t xml:space="preserve"> 3.septembra lēmumu lietā Nr. </w:t>
      </w:r>
      <w:r w:rsidRPr="00E46FBC">
        <w:rPr>
          <w:rFonts w:eastAsiaTheme="minorHAnsi"/>
          <w:i/>
        </w:rPr>
        <w:t>SKK-413/2018 (ECLI:LV:AT:2018:0903.11092037615.2.L)</w:t>
      </w:r>
      <w:r w:rsidRPr="00E46FBC">
        <w:rPr>
          <w:rFonts w:eastAsiaTheme="minorHAnsi"/>
        </w:rPr>
        <w:t>)</w:t>
      </w:r>
      <w:bookmarkEnd w:id="0"/>
      <w:r w:rsidRPr="00E46FBC">
        <w:rPr>
          <w:rFonts w:eastAsiaTheme="minorHAnsi"/>
        </w:rPr>
        <w:t>.</w:t>
      </w:r>
    </w:p>
    <w:p w14:paraId="23399028" w14:textId="1B990585" w:rsidR="00E46FBC" w:rsidRPr="00E46FBC" w:rsidRDefault="00DD1755" w:rsidP="00E46FBC">
      <w:pPr>
        <w:spacing w:line="276" w:lineRule="auto"/>
        <w:ind w:firstLine="720"/>
        <w:jc w:val="both"/>
        <w:rPr>
          <w:rFonts w:eastAsiaTheme="minorHAnsi"/>
        </w:rPr>
      </w:pPr>
      <w:r>
        <w:rPr>
          <w:rFonts w:eastAsiaTheme="minorHAnsi"/>
        </w:rPr>
        <w:t>[7</w:t>
      </w:r>
      <w:r w:rsidR="00E46FBC">
        <w:rPr>
          <w:rFonts w:eastAsiaTheme="minorHAnsi"/>
        </w:rPr>
        <w:t xml:space="preserve">.2] </w:t>
      </w:r>
      <w:r w:rsidR="00E46FBC" w:rsidRPr="00E46FBC">
        <w:rPr>
          <w:rFonts w:eastAsiaTheme="minorHAnsi"/>
        </w:rPr>
        <w:t>No pirmās instances tiesa</w:t>
      </w:r>
      <w:r w:rsidR="00DC17A7">
        <w:rPr>
          <w:rFonts w:eastAsiaTheme="minorHAnsi"/>
        </w:rPr>
        <w:t>s</w:t>
      </w:r>
      <w:r w:rsidR="00E46FBC" w:rsidRPr="00E46FBC">
        <w:rPr>
          <w:rFonts w:eastAsiaTheme="minorHAnsi"/>
        </w:rPr>
        <w:t xml:space="preserve"> sprieduma redzams, ka</w:t>
      </w:r>
      <w:r w:rsidR="00ED49E0">
        <w:rPr>
          <w:rFonts w:eastAsiaTheme="minorHAnsi"/>
        </w:rPr>
        <w:t xml:space="preserve"> pirmās instances</w:t>
      </w:r>
      <w:r w:rsidR="00E46FBC" w:rsidRPr="00E46FBC">
        <w:rPr>
          <w:rFonts w:eastAsiaTheme="minorHAnsi"/>
        </w:rPr>
        <w:t xml:space="preserve"> ties</w:t>
      </w:r>
      <w:r w:rsidR="00E46FBC">
        <w:rPr>
          <w:rFonts w:eastAsiaTheme="minorHAnsi"/>
        </w:rPr>
        <w:t xml:space="preserve">a nav konstatējusi apsūdzētā </w:t>
      </w:r>
      <w:r w:rsidR="00724F6C">
        <w:rPr>
          <w:rFonts w:eastAsiaTheme="minorHAnsi"/>
        </w:rPr>
        <w:t>[pers. A]</w:t>
      </w:r>
      <w:r w:rsidR="00E46FBC" w:rsidRPr="00E46FBC">
        <w:rPr>
          <w:rFonts w:eastAsiaTheme="minorHAnsi"/>
        </w:rPr>
        <w:t xml:space="preserve"> atbildību pastiprinošos apstākļus. </w:t>
      </w:r>
    </w:p>
    <w:p w14:paraId="3EA7F4BC" w14:textId="455B0631" w:rsidR="00980369" w:rsidRDefault="00E46FBC" w:rsidP="00980369">
      <w:pPr>
        <w:spacing w:line="276" w:lineRule="auto"/>
        <w:ind w:firstLine="720"/>
        <w:jc w:val="both"/>
        <w:rPr>
          <w:rFonts w:eastAsiaTheme="minorHAnsi"/>
        </w:rPr>
      </w:pPr>
      <w:r w:rsidRPr="00E46FBC">
        <w:rPr>
          <w:rFonts w:eastAsiaTheme="minorHAnsi"/>
        </w:rPr>
        <w:t>Par pirmās instances ties</w:t>
      </w:r>
      <w:r w:rsidR="00A53357">
        <w:rPr>
          <w:rFonts w:eastAsiaTheme="minorHAnsi"/>
        </w:rPr>
        <w:t>as spriedumu prokurors iesniedzis</w:t>
      </w:r>
      <w:r w:rsidRPr="00E46FBC">
        <w:rPr>
          <w:rFonts w:eastAsiaTheme="minorHAnsi"/>
        </w:rPr>
        <w:t xml:space="preserve"> ap</w:t>
      </w:r>
      <w:r w:rsidR="00A53357">
        <w:rPr>
          <w:rFonts w:eastAsiaTheme="minorHAnsi"/>
        </w:rPr>
        <w:t>elācijas protestu, lūdzot</w:t>
      </w:r>
      <w:r w:rsidRPr="00E46FBC">
        <w:rPr>
          <w:rFonts w:eastAsiaTheme="minorHAnsi"/>
        </w:rPr>
        <w:t xml:space="preserve"> spriedumu </w:t>
      </w:r>
      <w:r w:rsidR="00ED49E0">
        <w:rPr>
          <w:rFonts w:eastAsiaTheme="minorHAnsi"/>
        </w:rPr>
        <w:t xml:space="preserve">atcelt daļā par </w:t>
      </w:r>
      <w:r w:rsidR="00724F6C">
        <w:rPr>
          <w:rFonts w:eastAsiaTheme="minorHAnsi"/>
        </w:rPr>
        <w:t>[pers. A]</w:t>
      </w:r>
      <w:r w:rsidR="00AB6752">
        <w:rPr>
          <w:rFonts w:eastAsiaTheme="minorHAnsi"/>
        </w:rPr>
        <w:t xml:space="preserve"> noteikto sod</w:t>
      </w:r>
      <w:r w:rsidR="00A53357">
        <w:rPr>
          <w:rFonts w:eastAsiaTheme="minorHAnsi"/>
        </w:rPr>
        <w:t>u</w:t>
      </w:r>
      <w:r w:rsidR="00A53357" w:rsidRPr="00A53357">
        <w:rPr>
          <w:rFonts w:eastAsiaTheme="minorHAnsi"/>
        </w:rPr>
        <w:t xml:space="preserve"> </w:t>
      </w:r>
      <w:r w:rsidR="00A53357">
        <w:rPr>
          <w:rFonts w:eastAsiaTheme="minorHAnsi"/>
        </w:rPr>
        <w:t xml:space="preserve">pēc Krimināllikuma </w:t>
      </w:r>
      <w:proofErr w:type="gramStart"/>
      <w:r w:rsidR="00A53357">
        <w:rPr>
          <w:rFonts w:eastAsiaTheme="minorHAnsi"/>
        </w:rPr>
        <w:t>221.panta</w:t>
      </w:r>
      <w:proofErr w:type="gramEnd"/>
      <w:r w:rsidR="00A53357">
        <w:rPr>
          <w:rFonts w:eastAsiaTheme="minorHAnsi"/>
        </w:rPr>
        <w:t xml:space="preserve"> trešās daļas,</w:t>
      </w:r>
      <w:r w:rsidR="00A53357" w:rsidRPr="00A53357">
        <w:rPr>
          <w:rFonts w:eastAsiaTheme="minorHAnsi"/>
        </w:rPr>
        <w:t xml:space="preserve"> </w:t>
      </w:r>
      <w:r w:rsidR="00A53357">
        <w:rPr>
          <w:rFonts w:eastAsiaTheme="minorHAnsi"/>
        </w:rPr>
        <w:t>221.panta pirmās daļas,</w:t>
      </w:r>
      <w:r w:rsidR="00A53357" w:rsidRPr="00A53357">
        <w:rPr>
          <w:rFonts w:eastAsiaTheme="minorHAnsi"/>
        </w:rPr>
        <w:t xml:space="preserve"> </w:t>
      </w:r>
      <w:r w:rsidR="00A53357">
        <w:rPr>
          <w:rFonts w:eastAsiaTheme="minorHAnsi"/>
        </w:rPr>
        <w:t>221.</w:t>
      </w:r>
      <w:r w:rsidR="00A53357">
        <w:rPr>
          <w:rFonts w:eastAsiaTheme="minorHAnsi"/>
          <w:vertAlign w:val="superscript"/>
        </w:rPr>
        <w:t xml:space="preserve">2 </w:t>
      </w:r>
      <w:r w:rsidR="00A53357">
        <w:rPr>
          <w:rFonts w:eastAsiaTheme="minorHAnsi"/>
        </w:rPr>
        <w:t xml:space="preserve">panta trešās daļas </w:t>
      </w:r>
      <w:r w:rsidR="00AB6752">
        <w:rPr>
          <w:rFonts w:eastAsiaTheme="minorHAnsi"/>
        </w:rPr>
        <w:t>u</w:t>
      </w:r>
      <w:r w:rsidR="00A53357">
        <w:rPr>
          <w:rFonts w:eastAsiaTheme="minorHAnsi"/>
        </w:rPr>
        <w:t>n saskaņā</w:t>
      </w:r>
      <w:r w:rsidR="00A53357" w:rsidRPr="00A53357">
        <w:rPr>
          <w:rFonts w:eastAsiaTheme="minorHAnsi"/>
        </w:rPr>
        <w:t xml:space="preserve"> </w:t>
      </w:r>
      <w:r w:rsidR="00A53357">
        <w:rPr>
          <w:rFonts w:eastAsiaTheme="minorHAnsi"/>
        </w:rPr>
        <w:t>Krimināllikuma 50.panta pirmo un trešo daļu noteikto sodu pēc noziedzīgo nodarījumu kopības.</w:t>
      </w:r>
    </w:p>
    <w:p w14:paraId="3A0518B3" w14:textId="77777777" w:rsidR="00980369" w:rsidRPr="00D4039C" w:rsidRDefault="00980369" w:rsidP="00980369">
      <w:pPr>
        <w:spacing w:line="276" w:lineRule="auto"/>
        <w:ind w:firstLine="720"/>
        <w:jc w:val="both"/>
        <w:rPr>
          <w:rFonts w:eastAsiaTheme="minorHAnsi"/>
          <w:strike/>
        </w:rPr>
      </w:pPr>
      <w:r w:rsidRPr="00776B30">
        <w:rPr>
          <w:rFonts w:eastAsiaTheme="minorHAnsi"/>
        </w:rPr>
        <w:t xml:space="preserve">Kriminālprocesa likuma </w:t>
      </w:r>
      <w:proofErr w:type="gramStart"/>
      <w:r w:rsidRPr="00776B30">
        <w:rPr>
          <w:rFonts w:eastAsiaTheme="minorHAnsi"/>
        </w:rPr>
        <w:t>551.panta</w:t>
      </w:r>
      <w:proofErr w:type="gramEnd"/>
      <w:r w:rsidRPr="00776B30">
        <w:rPr>
          <w:rFonts w:eastAsiaTheme="minorHAnsi"/>
        </w:rPr>
        <w:t xml:space="preserve"> pirmās daļas 3.punkts noteic, ka apelācijas sūdzībā vai protestā jānorāda, kā izpaužas nolēmuma nepareizība.</w:t>
      </w:r>
    </w:p>
    <w:p w14:paraId="70915F8B" w14:textId="77777777" w:rsidR="00980369" w:rsidRDefault="00980369" w:rsidP="00980369">
      <w:pPr>
        <w:spacing w:line="276" w:lineRule="auto"/>
        <w:ind w:firstLine="720"/>
        <w:jc w:val="both"/>
        <w:rPr>
          <w:rFonts w:eastAsiaTheme="minorHAnsi"/>
        </w:rPr>
      </w:pPr>
      <w:r>
        <w:rPr>
          <w:rFonts w:eastAsiaTheme="minorHAnsi"/>
        </w:rPr>
        <w:t>Augstākā tiesa jau iepriekš ir izteikusi atziņu, ka a</w:t>
      </w:r>
      <w:r w:rsidRPr="00776B30">
        <w:rPr>
          <w:rFonts w:eastAsiaTheme="minorHAnsi"/>
        </w:rPr>
        <w:t xml:space="preserve">pelācijas instances tiesas tiesības piemērot apsūdzētajam nelabvēlīgākus materiālo tiesību normu nosacījumus ir cieši saistītas ar apelācijas protestā </w:t>
      </w:r>
      <w:r>
        <w:rPr>
          <w:rFonts w:eastAsiaTheme="minorHAnsi"/>
        </w:rPr>
        <w:t>vai sūdzībā</w:t>
      </w:r>
      <w:r w:rsidRPr="00776B30">
        <w:rPr>
          <w:rFonts w:eastAsiaTheme="minorHAnsi"/>
        </w:rPr>
        <w:t xml:space="preserve"> izteiktajiem prasījumiem</w:t>
      </w:r>
      <w:r>
        <w:rPr>
          <w:rFonts w:eastAsiaTheme="minorHAnsi"/>
        </w:rPr>
        <w:t>, un šiem prasījumiem jābūt motivētiem</w:t>
      </w:r>
      <w:r w:rsidRPr="00776B30">
        <w:rPr>
          <w:rFonts w:eastAsiaTheme="minorHAnsi"/>
        </w:rPr>
        <w:t xml:space="preserve"> (</w:t>
      </w:r>
      <w:r w:rsidRPr="00082069">
        <w:rPr>
          <w:rFonts w:eastAsiaTheme="minorHAnsi"/>
          <w:i/>
        </w:rPr>
        <w:t xml:space="preserve">sk. Augstākās tiesas Krimināllietu departamenta </w:t>
      </w:r>
      <w:proofErr w:type="gramStart"/>
      <w:r w:rsidRPr="00082069">
        <w:rPr>
          <w:rFonts w:eastAsiaTheme="minorHAnsi"/>
          <w:i/>
        </w:rPr>
        <w:t>2018.gada</w:t>
      </w:r>
      <w:proofErr w:type="gramEnd"/>
      <w:r w:rsidRPr="00082069">
        <w:rPr>
          <w:rFonts w:eastAsiaTheme="minorHAnsi"/>
          <w:i/>
        </w:rPr>
        <w:t xml:space="preserve"> 3.septembra lēmumu lietā Nr. SKK-413/2018 (ECLI:LV:AT:2018:0903.11092037615.2.L)</w:t>
      </w:r>
      <w:r>
        <w:rPr>
          <w:rFonts w:eastAsiaTheme="minorHAnsi"/>
          <w:i/>
        </w:rPr>
        <w:t xml:space="preserve">, </w:t>
      </w:r>
      <w:r w:rsidRPr="007C23C7">
        <w:rPr>
          <w:rFonts w:eastAsiaTheme="minorHAnsi"/>
          <w:i/>
        </w:rPr>
        <w:t xml:space="preserve">Augstākās tiesas </w:t>
      </w:r>
      <w:bookmarkStart w:id="1" w:name="_Hlk41632888"/>
      <w:r w:rsidRPr="007C23C7">
        <w:rPr>
          <w:rFonts w:eastAsiaTheme="minorHAnsi"/>
          <w:i/>
        </w:rPr>
        <w:t>2016.gada</w:t>
      </w:r>
      <w:r>
        <w:rPr>
          <w:rFonts w:eastAsiaTheme="minorHAnsi"/>
          <w:i/>
        </w:rPr>
        <w:t xml:space="preserve"> 9.decembra lēmumu</w:t>
      </w:r>
      <w:r w:rsidRPr="007C23C7">
        <w:rPr>
          <w:rFonts w:eastAsiaTheme="minorHAnsi"/>
          <w:i/>
        </w:rPr>
        <w:t xml:space="preserve"> lietā Nr. SKK-J-739/2016 (11087024614)</w:t>
      </w:r>
      <w:r w:rsidRPr="00776B30">
        <w:rPr>
          <w:rFonts w:eastAsiaTheme="minorHAnsi"/>
        </w:rPr>
        <w:t>)</w:t>
      </w:r>
      <w:bookmarkEnd w:id="1"/>
      <w:r w:rsidRPr="00776B30">
        <w:rPr>
          <w:rFonts w:eastAsiaTheme="minorHAnsi"/>
        </w:rPr>
        <w:t>.</w:t>
      </w:r>
    </w:p>
    <w:p w14:paraId="140B5381" w14:textId="77777777" w:rsidR="00980369" w:rsidRDefault="00980369" w:rsidP="00980369">
      <w:pPr>
        <w:spacing w:line="276" w:lineRule="auto"/>
        <w:ind w:firstLine="720"/>
        <w:jc w:val="both"/>
        <w:rPr>
          <w:rFonts w:eastAsiaTheme="minorHAnsi"/>
        </w:rPr>
      </w:pPr>
      <w:r>
        <w:rPr>
          <w:rFonts w:eastAsiaTheme="minorHAnsi"/>
        </w:rPr>
        <w:t xml:space="preserve">Iepriekš minētās tiesību normas interpretējamas tādējādi, ka </w:t>
      </w:r>
      <w:r w:rsidRPr="00261E85">
        <w:rPr>
          <w:rFonts w:eastAsiaTheme="minorHAnsi"/>
        </w:rPr>
        <w:t xml:space="preserve">prokurora apelācijas protestā vai cietušā apelācijas sūdzībā izteiktajiem prasījumiem par </w:t>
      </w:r>
      <w:r>
        <w:rPr>
          <w:rFonts w:eastAsiaTheme="minorHAnsi"/>
        </w:rPr>
        <w:t>bargāka</w:t>
      </w:r>
      <w:r w:rsidRPr="00261E85">
        <w:rPr>
          <w:rFonts w:eastAsiaTheme="minorHAnsi"/>
        </w:rPr>
        <w:t xml:space="preserve"> soda noteikšanu jābūt motivētiem</w:t>
      </w:r>
      <w:r>
        <w:rPr>
          <w:rFonts w:eastAsiaTheme="minorHAnsi"/>
        </w:rPr>
        <w:t>. Tiesai jāvērtē protestā vai sūdzībā izteiktā lūguma pamatotība kopsakarā ar protestā vai sūdzībā norādītajiem motīviem.</w:t>
      </w:r>
    </w:p>
    <w:p w14:paraId="52EA88AD" w14:textId="060E5FA6" w:rsidR="00E46FBC" w:rsidRPr="00E46FBC" w:rsidRDefault="00980369" w:rsidP="00ED49E0">
      <w:pPr>
        <w:spacing w:line="276" w:lineRule="auto"/>
        <w:ind w:firstLine="720"/>
        <w:jc w:val="both"/>
        <w:rPr>
          <w:rFonts w:eastAsiaTheme="minorHAnsi"/>
        </w:rPr>
      </w:pPr>
      <w:r>
        <w:rPr>
          <w:rFonts w:eastAsiaTheme="minorHAnsi"/>
        </w:rPr>
        <w:t>Izskatāmajā lietā apelācijas protesta autors, m</w:t>
      </w:r>
      <w:r w:rsidR="00ED49E0">
        <w:rPr>
          <w:rFonts w:eastAsiaTheme="minorHAnsi"/>
        </w:rPr>
        <w:t xml:space="preserve">otivējot </w:t>
      </w:r>
      <w:r w:rsidR="00AB6752">
        <w:rPr>
          <w:rFonts w:eastAsiaTheme="minorHAnsi"/>
        </w:rPr>
        <w:t>lūgumu note</w:t>
      </w:r>
      <w:r w:rsidR="00A53357">
        <w:rPr>
          <w:rFonts w:eastAsiaTheme="minorHAnsi"/>
        </w:rPr>
        <w:t xml:space="preserve">ikt apsūdzētajam </w:t>
      </w:r>
      <w:r w:rsidR="00E46FBC" w:rsidRPr="00E46FBC">
        <w:rPr>
          <w:rFonts w:eastAsiaTheme="minorHAnsi"/>
        </w:rPr>
        <w:t>bargāku sodu</w:t>
      </w:r>
      <w:r>
        <w:rPr>
          <w:rFonts w:eastAsiaTheme="minorHAnsi"/>
        </w:rPr>
        <w:t xml:space="preserve">, </w:t>
      </w:r>
      <w:r w:rsidR="00776519">
        <w:rPr>
          <w:rFonts w:eastAsiaTheme="minorHAnsi"/>
        </w:rPr>
        <w:t>nav</w:t>
      </w:r>
      <w:r w:rsidR="00ED49E0">
        <w:rPr>
          <w:rFonts w:eastAsiaTheme="minorHAnsi"/>
        </w:rPr>
        <w:t xml:space="preserve"> lūdzis konstatēt un saskaņā ar Krimināllikuma </w:t>
      </w:r>
      <w:proofErr w:type="gramStart"/>
      <w:r w:rsidR="00ED49E0">
        <w:rPr>
          <w:rFonts w:eastAsiaTheme="minorHAnsi"/>
        </w:rPr>
        <w:t>48.panta</w:t>
      </w:r>
      <w:proofErr w:type="gramEnd"/>
      <w:r w:rsidR="00ED49E0">
        <w:rPr>
          <w:rFonts w:eastAsiaTheme="minorHAnsi"/>
        </w:rPr>
        <w:t xml:space="preserve"> pirmās daļas 11.punktu atzīt par apsūdzētā atbildību pastiprinošu apstākli</w:t>
      </w:r>
      <w:r w:rsidR="00526BBB">
        <w:rPr>
          <w:rFonts w:eastAsiaTheme="minorHAnsi"/>
        </w:rPr>
        <w:t xml:space="preserve"> to, ka noziedzīgos nodarījumus </w:t>
      </w:r>
      <w:r w:rsidR="00724F6C">
        <w:rPr>
          <w:rFonts w:eastAsiaTheme="minorHAnsi"/>
        </w:rPr>
        <w:t>[pers. A]</w:t>
      </w:r>
      <w:r w:rsidR="00526BBB">
        <w:rPr>
          <w:rFonts w:eastAsiaTheme="minorHAnsi"/>
        </w:rPr>
        <w:t xml:space="preserve"> izdarījis mantkārīgu tieksmju dēļ.</w:t>
      </w:r>
      <w:r w:rsidR="00776519">
        <w:rPr>
          <w:rFonts w:eastAsiaTheme="minorHAnsi"/>
        </w:rPr>
        <w:t xml:space="preserve"> </w:t>
      </w:r>
    </w:p>
    <w:p w14:paraId="062F92A7" w14:textId="796CBEF4" w:rsidR="00526BBB" w:rsidRDefault="000E6F76" w:rsidP="00980369">
      <w:pPr>
        <w:spacing w:line="276" w:lineRule="auto"/>
        <w:ind w:firstLine="720"/>
        <w:jc w:val="both"/>
        <w:rPr>
          <w:rFonts w:eastAsiaTheme="minorHAnsi"/>
        </w:rPr>
      </w:pPr>
      <w:r>
        <w:rPr>
          <w:rFonts w:eastAsiaTheme="minorHAnsi"/>
        </w:rPr>
        <w:t xml:space="preserve"> </w:t>
      </w:r>
      <w:r w:rsidR="00980369">
        <w:rPr>
          <w:rFonts w:eastAsiaTheme="minorHAnsi"/>
        </w:rPr>
        <w:t>L</w:t>
      </w:r>
      <w:r>
        <w:rPr>
          <w:rFonts w:eastAsiaTheme="minorHAnsi"/>
        </w:rPr>
        <w:t>ikumā noteikt</w:t>
      </w:r>
      <w:r w:rsidR="00526BBB">
        <w:rPr>
          <w:rFonts w:eastAsiaTheme="minorHAnsi"/>
        </w:rPr>
        <w:t xml:space="preserve">ajā kārtībā apelācijas protests </w:t>
      </w:r>
      <w:r>
        <w:rPr>
          <w:rFonts w:eastAsiaTheme="minorHAnsi"/>
        </w:rPr>
        <w:t>ar šādiem argumentiem netika</w:t>
      </w:r>
      <w:r w:rsidR="00526BBB">
        <w:rPr>
          <w:rFonts w:eastAsiaTheme="minorHAnsi"/>
        </w:rPr>
        <w:t xml:space="preserve"> papildināts</w:t>
      </w:r>
      <w:r>
        <w:rPr>
          <w:rFonts w:eastAsiaTheme="minorHAnsi"/>
        </w:rPr>
        <w:t xml:space="preserve">. </w:t>
      </w:r>
    </w:p>
    <w:p w14:paraId="7B662C48" w14:textId="64FD5332" w:rsidR="0023219D" w:rsidRDefault="00063602" w:rsidP="00D4039C">
      <w:pPr>
        <w:spacing w:line="276" w:lineRule="auto"/>
        <w:ind w:firstLine="720"/>
        <w:jc w:val="both"/>
        <w:rPr>
          <w:rFonts w:eastAsiaTheme="minorHAnsi"/>
        </w:rPr>
      </w:pPr>
      <w:r>
        <w:rPr>
          <w:rFonts w:eastAsiaTheme="minorHAnsi"/>
        </w:rPr>
        <w:t xml:space="preserve">No apelācijas instances tiesas sprieduma secināms, ka </w:t>
      </w:r>
      <w:r w:rsidR="00B86C53">
        <w:rPr>
          <w:rFonts w:eastAsiaTheme="minorHAnsi"/>
        </w:rPr>
        <w:t>tiesa</w:t>
      </w:r>
      <w:r w:rsidR="00980369">
        <w:rPr>
          <w:rFonts w:eastAsiaTheme="minorHAnsi"/>
        </w:rPr>
        <w:t xml:space="preserve"> konstatējusi un saskaņā ar Krimināllikuma</w:t>
      </w:r>
      <w:r w:rsidR="00980369" w:rsidRPr="000E6F76">
        <w:rPr>
          <w:rFonts w:eastAsiaTheme="minorHAnsi"/>
        </w:rPr>
        <w:t xml:space="preserve"> </w:t>
      </w:r>
      <w:proofErr w:type="gramStart"/>
      <w:r w:rsidR="00980369" w:rsidRPr="000E6F76">
        <w:rPr>
          <w:rFonts w:eastAsiaTheme="minorHAnsi"/>
        </w:rPr>
        <w:t>48.panta</w:t>
      </w:r>
      <w:proofErr w:type="gramEnd"/>
      <w:r w:rsidR="00980369" w:rsidRPr="000E6F76">
        <w:rPr>
          <w:rFonts w:eastAsiaTheme="minorHAnsi"/>
        </w:rPr>
        <w:t xml:space="preserve"> pirmās daļas 11.punktu atzinusi</w:t>
      </w:r>
      <w:r w:rsidR="00980369">
        <w:rPr>
          <w:rFonts w:eastAsiaTheme="minorHAnsi"/>
        </w:rPr>
        <w:t xml:space="preserve"> </w:t>
      </w:r>
      <w:r w:rsidR="00DD1755">
        <w:rPr>
          <w:rFonts w:eastAsiaTheme="minorHAnsi"/>
        </w:rPr>
        <w:t xml:space="preserve">par </w:t>
      </w:r>
      <w:r w:rsidR="00B86C53">
        <w:rPr>
          <w:rFonts w:eastAsiaTheme="minorHAnsi"/>
        </w:rPr>
        <w:t xml:space="preserve">apsūdzētā </w:t>
      </w:r>
      <w:r w:rsidR="00724F6C">
        <w:rPr>
          <w:rFonts w:eastAsiaTheme="minorHAnsi"/>
        </w:rPr>
        <w:t>[pers. A]</w:t>
      </w:r>
      <w:r w:rsidR="000E6F76" w:rsidRPr="000E6F76">
        <w:rPr>
          <w:rFonts w:eastAsiaTheme="minorHAnsi"/>
        </w:rPr>
        <w:t xml:space="preserve"> atbildību pastiprinošo apstākli</w:t>
      </w:r>
      <w:r w:rsidR="00DD1755">
        <w:rPr>
          <w:rFonts w:eastAsiaTheme="minorHAnsi"/>
        </w:rPr>
        <w:t xml:space="preserve"> – noziedzīgā nodarījuma izdarīšanu mantkārīgu tieksmju dēļ</w:t>
      </w:r>
      <w:r w:rsidR="000E6F76" w:rsidRPr="000E6F76">
        <w:rPr>
          <w:rFonts w:eastAsiaTheme="minorHAnsi"/>
        </w:rPr>
        <w:t>, pama</w:t>
      </w:r>
      <w:r w:rsidR="00DD1755">
        <w:rPr>
          <w:rFonts w:eastAsiaTheme="minorHAnsi"/>
        </w:rPr>
        <w:t xml:space="preserve">tojoties uz apelācijas tiesas sēdē </w:t>
      </w:r>
      <w:r w:rsidR="0023219D">
        <w:rPr>
          <w:rFonts w:eastAsiaTheme="minorHAnsi"/>
        </w:rPr>
        <w:t>izteiktu</w:t>
      </w:r>
      <w:r w:rsidR="000E6F76" w:rsidRPr="000E6F76">
        <w:rPr>
          <w:rFonts w:eastAsiaTheme="minorHAnsi"/>
        </w:rPr>
        <w:t xml:space="preserve"> prokurora viedokli</w:t>
      </w:r>
      <w:r w:rsidR="00DD1755">
        <w:rPr>
          <w:rFonts w:eastAsiaTheme="minorHAnsi"/>
        </w:rPr>
        <w:t xml:space="preserve"> par šāda apstākļa esību un lūgumu atzīt to par atbildību pastiprinošu apstākli</w:t>
      </w:r>
      <w:r w:rsidR="000E6F76" w:rsidRPr="000E6F76">
        <w:rPr>
          <w:rFonts w:eastAsiaTheme="minorHAnsi"/>
        </w:rPr>
        <w:t>.</w:t>
      </w:r>
      <w:r w:rsidR="00B86C53">
        <w:rPr>
          <w:rFonts w:eastAsiaTheme="minorHAnsi"/>
        </w:rPr>
        <w:t xml:space="preserve"> </w:t>
      </w:r>
    </w:p>
    <w:p w14:paraId="02E5CC35" w14:textId="7752955E" w:rsidR="003A38DE" w:rsidRDefault="005B2B0F" w:rsidP="00DD1755">
      <w:pPr>
        <w:spacing w:line="276" w:lineRule="auto"/>
        <w:ind w:firstLine="720"/>
        <w:jc w:val="both"/>
        <w:rPr>
          <w:rFonts w:eastAsiaTheme="minorHAnsi"/>
        </w:rPr>
      </w:pPr>
      <w:r>
        <w:rPr>
          <w:rFonts w:eastAsiaTheme="minorHAnsi"/>
        </w:rPr>
        <w:t>Senāts</w:t>
      </w:r>
      <w:r w:rsidR="00DD1755">
        <w:rPr>
          <w:rFonts w:eastAsiaTheme="minorHAnsi"/>
        </w:rPr>
        <w:t xml:space="preserve"> atzīst, ka </w:t>
      </w:r>
      <w:r w:rsidR="00D21AB7">
        <w:rPr>
          <w:rFonts w:eastAsiaTheme="minorHAnsi"/>
        </w:rPr>
        <w:t>tādējādi</w:t>
      </w:r>
      <w:r w:rsidR="00DD1755">
        <w:rPr>
          <w:rFonts w:eastAsiaTheme="minorHAnsi"/>
        </w:rPr>
        <w:t xml:space="preserve"> apelācijas instances tiesa ir</w:t>
      </w:r>
      <w:r w:rsidRPr="00742421">
        <w:rPr>
          <w:rFonts w:eastAsiaTheme="minorHAnsi"/>
        </w:rPr>
        <w:t xml:space="preserve"> pārsniegusi apelācijas protestā izteikto prasību apjomu un pieļāvusi Kriminālprocesa likuma </w:t>
      </w:r>
      <w:proofErr w:type="gramStart"/>
      <w:r w:rsidRPr="00742421">
        <w:rPr>
          <w:rFonts w:eastAsiaTheme="minorHAnsi"/>
        </w:rPr>
        <w:t>562.panta</w:t>
      </w:r>
      <w:proofErr w:type="gramEnd"/>
      <w:r w:rsidRPr="00742421">
        <w:rPr>
          <w:rFonts w:eastAsiaTheme="minorHAnsi"/>
        </w:rPr>
        <w:t xml:space="preserve"> pirmās daļas pārkāpumu, kas atzīstams par Kriminālprocesa likuma būtisku pārkāpumu šā likuma 575</w:t>
      </w:r>
      <w:r w:rsidR="000E6F76">
        <w:rPr>
          <w:rFonts w:eastAsiaTheme="minorHAnsi"/>
        </w:rPr>
        <w:t>.panta trešās daļas izpratnē, kas novedis</w:t>
      </w:r>
      <w:r w:rsidRPr="00742421">
        <w:rPr>
          <w:rFonts w:eastAsiaTheme="minorHAnsi"/>
        </w:rPr>
        <w:t xml:space="preserve"> pie nelikumīga nolēmuma.</w:t>
      </w:r>
    </w:p>
    <w:p w14:paraId="14ED56FE" w14:textId="6E12C5E3" w:rsidR="005B2B0F" w:rsidRDefault="00DD1755" w:rsidP="005B2B0F">
      <w:pPr>
        <w:spacing w:line="276" w:lineRule="auto"/>
        <w:ind w:firstLine="720"/>
        <w:jc w:val="both"/>
        <w:rPr>
          <w:rFonts w:eastAsiaTheme="minorHAnsi"/>
        </w:rPr>
      </w:pPr>
      <w:r>
        <w:rPr>
          <w:rFonts w:eastAsiaTheme="minorHAnsi"/>
        </w:rPr>
        <w:t>[7.3</w:t>
      </w:r>
      <w:r w:rsidR="00A25B8C">
        <w:rPr>
          <w:rFonts w:eastAsiaTheme="minorHAnsi"/>
        </w:rPr>
        <w:t>]</w:t>
      </w:r>
      <w:r w:rsidR="00F55136">
        <w:rPr>
          <w:rFonts w:eastAsiaTheme="minorHAnsi"/>
        </w:rPr>
        <w:t xml:space="preserve"> Saskaņā ar Kriminālprocesa likuma </w:t>
      </w:r>
      <w:proofErr w:type="gramStart"/>
      <w:r w:rsidR="00F55136">
        <w:rPr>
          <w:rFonts w:eastAsiaTheme="minorHAnsi"/>
        </w:rPr>
        <w:t>562.panta</w:t>
      </w:r>
      <w:proofErr w:type="gramEnd"/>
      <w:r w:rsidR="00F55136">
        <w:rPr>
          <w:rFonts w:eastAsiaTheme="minorHAnsi"/>
        </w:rPr>
        <w:t xml:space="preserve"> trešo daļu smagāka soda noteikšana apsūdzētajam pieļaujama tad, kad šā iemesla dēļ iesniegts prokurora protests vai cietušā sūdzība, kā arī tad, ja pēc prokurora protesta vai cietušā sūdzības apsūdzība grozīta uz smagāku.</w:t>
      </w:r>
    </w:p>
    <w:p w14:paraId="718C96EC" w14:textId="75A553BF" w:rsidR="00F55136" w:rsidRDefault="00F55136" w:rsidP="005B2B0F">
      <w:pPr>
        <w:spacing w:line="276" w:lineRule="auto"/>
        <w:ind w:firstLine="720"/>
        <w:jc w:val="both"/>
        <w:rPr>
          <w:rFonts w:eastAsiaTheme="minorHAnsi"/>
        </w:rPr>
      </w:pPr>
      <w:r>
        <w:rPr>
          <w:rFonts w:eastAsiaTheme="minorHAnsi"/>
        </w:rPr>
        <w:t xml:space="preserve">Savukārt atbilstoši Kriminālprocesa likuma </w:t>
      </w:r>
      <w:proofErr w:type="gramStart"/>
      <w:r>
        <w:rPr>
          <w:rFonts w:eastAsiaTheme="minorHAnsi"/>
        </w:rPr>
        <w:t>562.panta</w:t>
      </w:r>
      <w:proofErr w:type="gramEnd"/>
      <w:r>
        <w:rPr>
          <w:rFonts w:eastAsiaTheme="minorHAnsi"/>
        </w:rPr>
        <w:t xml:space="preserve"> pirmajā daļā noteiktajam apelācijas protestā izte</w:t>
      </w:r>
      <w:r w:rsidR="00164243">
        <w:rPr>
          <w:rFonts w:eastAsiaTheme="minorHAnsi"/>
        </w:rPr>
        <w:t>ikto prasību apjomu un ietvarus</w:t>
      </w:r>
      <w:r>
        <w:rPr>
          <w:rFonts w:eastAsiaTheme="minorHAnsi"/>
        </w:rPr>
        <w:t xml:space="preserve"> apelācijas instances tiesa drīkst pārsniegt tikai gadījumos, kad apelācijas instances tiesai rodas šaubas par pirmās instances tiesas konstatēto apsūdzētā, dalībnieku vai līdzdalībnieku vainu vai atbildību pastiprinošiem apstākļiem.</w:t>
      </w:r>
    </w:p>
    <w:p w14:paraId="4C4090E0" w14:textId="3FE0F339" w:rsidR="00F55136" w:rsidRDefault="00F55136" w:rsidP="005B2B0F">
      <w:pPr>
        <w:spacing w:line="276" w:lineRule="auto"/>
        <w:ind w:firstLine="720"/>
        <w:jc w:val="both"/>
        <w:rPr>
          <w:rFonts w:eastAsiaTheme="minorHAnsi"/>
        </w:rPr>
      </w:pPr>
      <w:r>
        <w:rPr>
          <w:rFonts w:eastAsiaTheme="minorHAnsi"/>
        </w:rPr>
        <w:lastRenderedPageBreak/>
        <w:t>No minētajām tiesību normām izriet, ka apelācijas instances tiesa, izskatot lietu apelācijas kārtībā sakarā ar apelācijas protestu, nevar noteikt apsūdzētajam bargāku sodu kā apelācijas protestā lūdzis prokurors.</w:t>
      </w:r>
    </w:p>
    <w:p w14:paraId="33DF9C90" w14:textId="3997688E" w:rsidR="00F55136" w:rsidRDefault="00F55136" w:rsidP="005B2B0F">
      <w:pPr>
        <w:spacing w:line="276" w:lineRule="auto"/>
        <w:ind w:firstLine="720"/>
        <w:jc w:val="both"/>
        <w:rPr>
          <w:rFonts w:eastAsiaTheme="minorHAnsi"/>
        </w:rPr>
      </w:pPr>
      <w:r>
        <w:rPr>
          <w:rFonts w:eastAsiaTheme="minorHAnsi"/>
        </w:rPr>
        <w:t xml:space="preserve">No apelācijas protesta redzams, ka prokurors ir lūdzis atcelt pirmās instances tiesas spriedumu daļā par </w:t>
      </w:r>
      <w:r w:rsidR="00724F6C">
        <w:rPr>
          <w:rFonts w:eastAsiaTheme="minorHAnsi"/>
        </w:rPr>
        <w:t>[pers. A]</w:t>
      </w:r>
      <w:r>
        <w:rPr>
          <w:rFonts w:eastAsiaTheme="minorHAnsi"/>
        </w:rPr>
        <w:t xml:space="preserve"> noteikto sodu pēc Krimināllikuma </w:t>
      </w:r>
      <w:proofErr w:type="gramStart"/>
      <w:r w:rsidR="00F7466D">
        <w:rPr>
          <w:rFonts w:eastAsiaTheme="minorHAnsi"/>
        </w:rPr>
        <w:t>221.panta</w:t>
      </w:r>
      <w:proofErr w:type="gramEnd"/>
      <w:r w:rsidR="00F7466D">
        <w:rPr>
          <w:rFonts w:eastAsiaTheme="minorHAnsi"/>
        </w:rPr>
        <w:t xml:space="preserve"> pirmās daļas un sodīt ar īslaicīgu brīvības atņemšanu uz 2 mēnešiem.</w:t>
      </w:r>
    </w:p>
    <w:p w14:paraId="3716065D" w14:textId="77777777" w:rsidR="00F7466D" w:rsidRDefault="00F7466D" w:rsidP="005B2B0F">
      <w:pPr>
        <w:spacing w:line="276" w:lineRule="auto"/>
        <w:ind w:firstLine="720"/>
        <w:jc w:val="both"/>
        <w:rPr>
          <w:rFonts w:eastAsiaTheme="minorHAnsi"/>
        </w:rPr>
      </w:pPr>
      <w:r>
        <w:rPr>
          <w:rFonts w:eastAsiaTheme="minorHAnsi"/>
        </w:rPr>
        <w:t xml:space="preserve">Turklāt no pirmās instances tiesas sēdes protokola redzams, ka šādu sodu pēc Krimināllikuma </w:t>
      </w:r>
      <w:proofErr w:type="gramStart"/>
      <w:r>
        <w:rPr>
          <w:rFonts w:eastAsiaTheme="minorHAnsi"/>
        </w:rPr>
        <w:t>221.panta</w:t>
      </w:r>
      <w:proofErr w:type="gramEnd"/>
      <w:r>
        <w:rPr>
          <w:rFonts w:eastAsiaTheme="minorHAnsi"/>
        </w:rPr>
        <w:t xml:space="preserve"> pirmās daļas prokurors ir lūdzis noteikt apsūdzētajam arī pirmās instances tiesā.</w:t>
      </w:r>
    </w:p>
    <w:p w14:paraId="0093DBC1" w14:textId="37D7CF3A" w:rsidR="00F7466D" w:rsidRDefault="00F7466D" w:rsidP="005B2B0F">
      <w:pPr>
        <w:spacing w:line="276" w:lineRule="auto"/>
        <w:ind w:firstLine="720"/>
        <w:jc w:val="both"/>
        <w:rPr>
          <w:rFonts w:eastAsiaTheme="minorHAnsi"/>
        </w:rPr>
      </w:pPr>
      <w:r>
        <w:rPr>
          <w:rFonts w:eastAsiaTheme="minorHAnsi"/>
        </w:rPr>
        <w:t xml:space="preserve">Savukārt apelācijas instances tiesa </w:t>
      </w:r>
      <w:r w:rsidR="00724F6C">
        <w:rPr>
          <w:rFonts w:eastAsiaTheme="minorHAnsi"/>
        </w:rPr>
        <w:t>[pers. A]</w:t>
      </w:r>
      <w:r>
        <w:rPr>
          <w:rFonts w:eastAsiaTheme="minorHAnsi"/>
        </w:rPr>
        <w:t xml:space="preserve"> pēc Krimināllikuma </w:t>
      </w:r>
      <w:proofErr w:type="gramStart"/>
      <w:r>
        <w:rPr>
          <w:rFonts w:eastAsiaTheme="minorHAnsi"/>
        </w:rPr>
        <w:t>221.panta</w:t>
      </w:r>
      <w:proofErr w:type="gramEnd"/>
      <w:r>
        <w:rPr>
          <w:rFonts w:eastAsiaTheme="minorHAnsi"/>
        </w:rPr>
        <w:t xml:space="preserve"> pirmās daļas ir noteikusi bargāku sodu, nekā lūdza prokurors, proti, īslaicīgu brīvības atņemšanu uz 3 mēnešiem.</w:t>
      </w:r>
    </w:p>
    <w:p w14:paraId="3639254B" w14:textId="77777777" w:rsidR="00DD1755" w:rsidRDefault="00F7466D" w:rsidP="00D21AB7">
      <w:pPr>
        <w:spacing w:line="276" w:lineRule="auto"/>
        <w:ind w:firstLine="720"/>
        <w:jc w:val="both"/>
        <w:rPr>
          <w:rFonts w:eastAsiaTheme="minorHAnsi"/>
        </w:rPr>
      </w:pPr>
      <w:r>
        <w:rPr>
          <w:rFonts w:eastAsiaTheme="minorHAnsi"/>
        </w:rPr>
        <w:t xml:space="preserve"> </w:t>
      </w:r>
      <w:r w:rsidR="00D21AB7">
        <w:rPr>
          <w:rFonts w:eastAsiaTheme="minorHAnsi"/>
        </w:rPr>
        <w:t>Senāts atzīst, ka t</w:t>
      </w:r>
      <w:r>
        <w:rPr>
          <w:rFonts w:eastAsiaTheme="minorHAnsi"/>
        </w:rPr>
        <w:t>ād</w:t>
      </w:r>
      <w:r w:rsidR="003A38DE">
        <w:rPr>
          <w:rFonts w:eastAsiaTheme="minorHAnsi"/>
        </w:rPr>
        <w:t>e</w:t>
      </w:r>
      <w:r>
        <w:rPr>
          <w:rFonts w:eastAsiaTheme="minorHAnsi"/>
        </w:rPr>
        <w:t xml:space="preserve">jādi apelācijas instances tiesa ir pārkāpusi Kriminālprocesa likuma </w:t>
      </w:r>
      <w:proofErr w:type="gramStart"/>
      <w:r>
        <w:rPr>
          <w:rFonts w:eastAsiaTheme="minorHAnsi"/>
        </w:rPr>
        <w:t>562.panta</w:t>
      </w:r>
      <w:proofErr w:type="gramEnd"/>
      <w:r>
        <w:rPr>
          <w:rFonts w:eastAsiaTheme="minorHAnsi"/>
        </w:rPr>
        <w:t xml:space="preserve"> pirmo un trešo daļu</w:t>
      </w:r>
      <w:r w:rsidR="00D21AB7">
        <w:rPr>
          <w:rFonts w:eastAsiaTheme="minorHAnsi"/>
        </w:rPr>
        <w:t>,</w:t>
      </w:r>
      <w:r w:rsidR="00D21AB7" w:rsidRPr="00D21AB7">
        <w:rPr>
          <w:rFonts w:eastAsiaTheme="minorHAnsi"/>
        </w:rPr>
        <w:t xml:space="preserve"> </w:t>
      </w:r>
      <w:r w:rsidR="00D21AB7" w:rsidRPr="00742421">
        <w:rPr>
          <w:rFonts w:eastAsiaTheme="minorHAnsi"/>
        </w:rPr>
        <w:t>kas atzīstams par Kriminālprocesa likuma būtisku pārkāpumu šā likuma 575</w:t>
      </w:r>
      <w:r w:rsidR="00D21AB7">
        <w:rPr>
          <w:rFonts w:eastAsiaTheme="minorHAnsi"/>
        </w:rPr>
        <w:t>.panta trešās daļas izpratnē, kas novedis</w:t>
      </w:r>
      <w:r w:rsidR="00D21AB7" w:rsidRPr="00742421">
        <w:rPr>
          <w:rFonts w:eastAsiaTheme="minorHAnsi"/>
        </w:rPr>
        <w:t xml:space="preserve"> pie nelikumīga nolēmuma.</w:t>
      </w:r>
    </w:p>
    <w:p w14:paraId="7FF4B4D6" w14:textId="495888AF" w:rsidR="003975D6" w:rsidRDefault="005B2B0F" w:rsidP="00D21AB7">
      <w:pPr>
        <w:spacing w:line="276" w:lineRule="auto"/>
        <w:ind w:firstLine="720"/>
        <w:jc w:val="both"/>
        <w:rPr>
          <w:rFonts w:eastAsiaTheme="minorHAnsi"/>
        </w:rPr>
      </w:pPr>
      <w:r>
        <w:rPr>
          <w:rFonts w:eastAsiaTheme="minorHAnsi"/>
        </w:rPr>
        <w:t xml:space="preserve"> </w:t>
      </w:r>
    </w:p>
    <w:p w14:paraId="58968082" w14:textId="20AB125B" w:rsidR="005B6AD7" w:rsidRDefault="00DD1755" w:rsidP="00D21AB7">
      <w:pPr>
        <w:spacing w:line="276" w:lineRule="auto"/>
        <w:ind w:firstLine="720"/>
        <w:jc w:val="both"/>
        <w:rPr>
          <w:rFonts w:eastAsiaTheme="minorHAnsi"/>
        </w:rPr>
      </w:pPr>
      <w:r>
        <w:rPr>
          <w:rFonts w:eastAsiaTheme="minorHAnsi"/>
        </w:rPr>
        <w:t>[8</w:t>
      </w:r>
      <w:r w:rsidR="002F38A1">
        <w:rPr>
          <w:rFonts w:eastAsiaTheme="minorHAnsi"/>
        </w:rPr>
        <w:t xml:space="preserve">] </w:t>
      </w:r>
      <w:r w:rsidR="005B0B4B">
        <w:rPr>
          <w:rFonts w:eastAsiaTheme="minorHAnsi"/>
        </w:rPr>
        <w:t>Senāts nevērtē</w:t>
      </w:r>
      <w:r w:rsidR="00863DDA" w:rsidRPr="00863DDA">
        <w:rPr>
          <w:rFonts w:eastAsiaTheme="minorHAnsi"/>
        </w:rPr>
        <w:t xml:space="preserve"> aizstāvja </w:t>
      </w:r>
      <w:r w:rsidR="005B0B4B">
        <w:rPr>
          <w:rFonts w:eastAsiaTheme="minorHAnsi"/>
        </w:rPr>
        <w:t>R. Grīnberga kasācijas</w:t>
      </w:r>
      <w:r w:rsidR="005B0B4B" w:rsidRPr="005B0B4B">
        <w:rPr>
          <w:rFonts w:eastAsiaTheme="minorHAnsi"/>
        </w:rPr>
        <w:t xml:space="preserve"> </w:t>
      </w:r>
      <w:r w:rsidR="005B0B4B">
        <w:rPr>
          <w:rFonts w:eastAsiaTheme="minorHAnsi"/>
        </w:rPr>
        <w:t xml:space="preserve">sūdzības argumentus par Krimināllikuma </w:t>
      </w:r>
      <w:proofErr w:type="gramStart"/>
      <w:r w:rsidR="005B0B4B">
        <w:rPr>
          <w:rFonts w:eastAsiaTheme="minorHAnsi"/>
        </w:rPr>
        <w:t>55.panta</w:t>
      </w:r>
      <w:proofErr w:type="gramEnd"/>
      <w:r w:rsidR="005B0B4B">
        <w:rPr>
          <w:rFonts w:eastAsiaTheme="minorHAnsi"/>
        </w:rPr>
        <w:t xml:space="preserve"> nosacījumu piemērošanu, jo tie saistīti </w:t>
      </w:r>
      <w:r w:rsidR="00863DDA" w:rsidRPr="00863DDA">
        <w:rPr>
          <w:rFonts w:eastAsiaTheme="minorHAnsi"/>
        </w:rPr>
        <w:t xml:space="preserve">ar </w:t>
      </w:r>
      <w:r w:rsidR="005B0B4B">
        <w:rPr>
          <w:rFonts w:eastAsiaTheme="minorHAnsi"/>
        </w:rPr>
        <w:t>sodu ietekmējošo apstākļu izvērtēšanu</w:t>
      </w:r>
      <w:r w:rsidR="00B86C53">
        <w:rPr>
          <w:rFonts w:eastAsiaTheme="minorHAnsi"/>
        </w:rPr>
        <w:t xml:space="preserve"> un soda noteikšanu</w:t>
      </w:r>
      <w:r w:rsidR="005B0B4B">
        <w:rPr>
          <w:rFonts w:eastAsiaTheme="minorHAnsi"/>
        </w:rPr>
        <w:t>, atkār</w:t>
      </w:r>
      <w:r w:rsidR="00B86C53">
        <w:rPr>
          <w:rFonts w:eastAsiaTheme="minorHAnsi"/>
        </w:rPr>
        <w:t>t</w:t>
      </w:r>
      <w:r w:rsidR="005B0B4B">
        <w:rPr>
          <w:rFonts w:eastAsiaTheme="minorHAnsi"/>
        </w:rPr>
        <w:t xml:space="preserve">oti izskatot lietu apelācijas instances tiesā. </w:t>
      </w:r>
    </w:p>
    <w:p w14:paraId="648084A1" w14:textId="77777777" w:rsidR="00DD1755" w:rsidRDefault="00DD1755" w:rsidP="00D21AB7">
      <w:pPr>
        <w:spacing w:line="276" w:lineRule="auto"/>
        <w:ind w:firstLine="720"/>
        <w:jc w:val="both"/>
        <w:rPr>
          <w:rFonts w:eastAsiaTheme="minorHAnsi"/>
        </w:rPr>
      </w:pPr>
    </w:p>
    <w:p w14:paraId="0908545B" w14:textId="58A98ADB" w:rsidR="007B699A" w:rsidRDefault="005B6AD7" w:rsidP="005B0B4B">
      <w:pPr>
        <w:spacing w:line="276" w:lineRule="auto"/>
        <w:ind w:firstLine="720"/>
        <w:jc w:val="both"/>
        <w:rPr>
          <w:rFonts w:eastAsiaTheme="minorHAnsi"/>
        </w:rPr>
      </w:pPr>
      <w:r>
        <w:rPr>
          <w:rFonts w:eastAsiaTheme="minorHAnsi"/>
        </w:rPr>
        <w:t>[</w:t>
      </w:r>
      <w:r w:rsidR="00DD1755">
        <w:rPr>
          <w:rFonts w:eastAsiaTheme="minorHAnsi"/>
        </w:rPr>
        <w:t>9</w:t>
      </w:r>
      <w:r>
        <w:rPr>
          <w:rFonts w:eastAsiaTheme="minorHAnsi"/>
        </w:rPr>
        <w:t xml:space="preserve">] </w:t>
      </w:r>
      <w:r w:rsidRPr="005B6AD7">
        <w:rPr>
          <w:rFonts w:eastAsiaTheme="minorHAnsi"/>
        </w:rPr>
        <w:t xml:space="preserve">Apsūdzētajam </w:t>
      </w:r>
      <w:r w:rsidR="00724F6C">
        <w:rPr>
          <w:rFonts w:eastAsiaTheme="minorHAnsi"/>
        </w:rPr>
        <w:t>[pers. A]</w:t>
      </w:r>
      <w:r w:rsidR="00AC62D6">
        <w:rPr>
          <w:rFonts w:eastAsiaTheme="minorHAnsi"/>
        </w:rPr>
        <w:t xml:space="preserve"> </w:t>
      </w:r>
      <w:r w:rsidRPr="005B6AD7">
        <w:rPr>
          <w:rFonts w:eastAsiaTheme="minorHAnsi"/>
        </w:rPr>
        <w:t xml:space="preserve">pirmstiesas kriminālprocesā bija piemērots drošības līdzeklis – nodošana policijas uzraudzībā </w:t>
      </w:r>
      <w:r w:rsidR="00AC62D6">
        <w:rPr>
          <w:rFonts w:eastAsiaTheme="minorHAnsi"/>
        </w:rPr>
        <w:t>–</w:t>
      </w:r>
      <w:r w:rsidR="00063602">
        <w:rPr>
          <w:rFonts w:eastAsiaTheme="minorHAnsi"/>
        </w:rPr>
        <w:t>,</w:t>
      </w:r>
      <w:r w:rsidR="00AC62D6">
        <w:rPr>
          <w:rFonts w:eastAsiaTheme="minorHAnsi"/>
        </w:rPr>
        <w:t xml:space="preserve"> </w:t>
      </w:r>
      <w:r w:rsidR="00745211">
        <w:rPr>
          <w:rFonts w:eastAsiaTheme="minorHAnsi"/>
        </w:rPr>
        <w:t>kas ar Kurzemes rajona tiesas tiesneses</w:t>
      </w:r>
      <w:r>
        <w:rPr>
          <w:rFonts w:eastAsiaTheme="minorHAnsi"/>
        </w:rPr>
        <w:t xml:space="preserve"> </w:t>
      </w:r>
      <w:proofErr w:type="gramStart"/>
      <w:r>
        <w:rPr>
          <w:rFonts w:eastAsiaTheme="minorHAnsi"/>
        </w:rPr>
        <w:t>2019.gada</w:t>
      </w:r>
      <w:proofErr w:type="gramEnd"/>
      <w:r>
        <w:rPr>
          <w:rFonts w:eastAsiaTheme="minorHAnsi"/>
        </w:rPr>
        <w:t xml:space="preserve"> 23</w:t>
      </w:r>
      <w:r w:rsidRPr="005B6AD7">
        <w:rPr>
          <w:rFonts w:eastAsiaTheme="minorHAnsi"/>
        </w:rPr>
        <w:t>.maija lēmumu atcelts. Cits drošības līdze</w:t>
      </w:r>
      <w:r w:rsidR="00D21AB7">
        <w:rPr>
          <w:rFonts w:eastAsiaTheme="minorHAnsi"/>
        </w:rPr>
        <w:t>klis apsūdzētajam nav piemērots ne ar pirmās instances tiesas, ne apelācijas instances tiesas spriedumu.</w:t>
      </w:r>
      <w:r w:rsidRPr="005B6AD7">
        <w:rPr>
          <w:rFonts w:eastAsiaTheme="minorHAnsi"/>
        </w:rPr>
        <w:t xml:space="preserve"> </w:t>
      </w:r>
    </w:p>
    <w:p w14:paraId="719A4ADB" w14:textId="7FD11597" w:rsidR="005B6AD7" w:rsidRDefault="00AC62D6" w:rsidP="005B0B4B">
      <w:pPr>
        <w:spacing w:line="276" w:lineRule="auto"/>
        <w:ind w:firstLine="720"/>
        <w:jc w:val="both"/>
        <w:rPr>
          <w:rFonts w:eastAsiaTheme="minorHAnsi"/>
        </w:rPr>
      </w:pPr>
      <w:r>
        <w:rPr>
          <w:rFonts w:eastAsiaTheme="minorHAnsi"/>
        </w:rPr>
        <w:t>Senāts</w:t>
      </w:r>
      <w:r w:rsidR="005B6AD7" w:rsidRPr="005B6AD7">
        <w:rPr>
          <w:rFonts w:eastAsiaTheme="minorHAnsi"/>
        </w:rPr>
        <w:t xml:space="preserve"> atzīst, ka drošības līdzekļa piemērošanai apsūdzētajam </w:t>
      </w:r>
      <w:r w:rsidR="00724F6C">
        <w:rPr>
          <w:rFonts w:eastAsiaTheme="minorHAnsi"/>
        </w:rPr>
        <w:t>[pers. A]</w:t>
      </w:r>
      <w:r w:rsidR="007B699A">
        <w:rPr>
          <w:rFonts w:eastAsiaTheme="minorHAnsi"/>
        </w:rPr>
        <w:t xml:space="preserve"> </w:t>
      </w:r>
      <w:r w:rsidR="005B6AD7" w:rsidRPr="005B6AD7">
        <w:rPr>
          <w:rFonts w:eastAsiaTheme="minorHAnsi"/>
        </w:rPr>
        <w:t>šajā kriminālprocesa stadijā nav tiesiska pamata.</w:t>
      </w:r>
    </w:p>
    <w:p w14:paraId="4736AC45" w14:textId="77777777" w:rsidR="00B921E6" w:rsidRDefault="00B921E6" w:rsidP="00B921E6">
      <w:pPr>
        <w:spacing w:line="276" w:lineRule="auto"/>
        <w:ind w:firstLine="720"/>
        <w:jc w:val="both"/>
        <w:rPr>
          <w:rFonts w:eastAsiaTheme="minorHAnsi"/>
        </w:rPr>
      </w:pPr>
    </w:p>
    <w:p w14:paraId="48501AB8" w14:textId="77777777" w:rsidR="002A3CB4" w:rsidRPr="00B921E6" w:rsidRDefault="002A3CB4" w:rsidP="00B921E6">
      <w:pPr>
        <w:spacing w:line="276" w:lineRule="auto"/>
        <w:jc w:val="center"/>
        <w:rPr>
          <w:rStyle w:val="sb8d990e2"/>
          <w:b/>
        </w:rPr>
      </w:pPr>
      <w:r w:rsidRPr="00B921E6">
        <w:rPr>
          <w:rStyle w:val="sb8d990e2"/>
          <w:b/>
        </w:rPr>
        <w:t>Rezolutīvā daļa</w:t>
      </w:r>
    </w:p>
    <w:p w14:paraId="441DEBCC" w14:textId="77777777" w:rsidR="004673F5" w:rsidRPr="00B921E6" w:rsidRDefault="004673F5" w:rsidP="00B921E6">
      <w:pPr>
        <w:spacing w:line="276" w:lineRule="auto"/>
        <w:jc w:val="center"/>
        <w:rPr>
          <w:b/>
        </w:rPr>
      </w:pPr>
    </w:p>
    <w:p w14:paraId="4AEBBA9D" w14:textId="77777777" w:rsidR="002A3CB4" w:rsidRPr="00B921E6" w:rsidRDefault="002A3CB4" w:rsidP="00B921E6">
      <w:pPr>
        <w:spacing w:line="276" w:lineRule="auto"/>
        <w:ind w:firstLine="709"/>
        <w:jc w:val="both"/>
        <w:rPr>
          <w:bCs/>
        </w:rPr>
      </w:pPr>
      <w:r w:rsidRPr="00B921E6">
        <w:t>P</w:t>
      </w:r>
      <w:r w:rsidRPr="00B921E6">
        <w:rPr>
          <w:bCs/>
        </w:rPr>
        <w:t xml:space="preserve">amatojoties uz Kriminālprocesa likuma 585. un </w:t>
      </w:r>
      <w:proofErr w:type="gramStart"/>
      <w:r w:rsidRPr="00B921E6">
        <w:rPr>
          <w:bCs/>
        </w:rPr>
        <w:t>587.pantu</w:t>
      </w:r>
      <w:proofErr w:type="gramEnd"/>
      <w:r w:rsidRPr="00B921E6">
        <w:rPr>
          <w:bCs/>
        </w:rPr>
        <w:t>, tiesa</w:t>
      </w:r>
    </w:p>
    <w:p w14:paraId="5062FA24" w14:textId="77777777" w:rsidR="00FB5DB9" w:rsidRPr="00B921E6" w:rsidRDefault="00FB5DB9" w:rsidP="00B921E6">
      <w:pPr>
        <w:spacing w:line="276" w:lineRule="auto"/>
        <w:ind w:firstLine="709"/>
        <w:jc w:val="both"/>
        <w:rPr>
          <w:bCs/>
        </w:rPr>
      </w:pPr>
    </w:p>
    <w:p w14:paraId="00232082" w14:textId="77777777" w:rsidR="002A3CB4" w:rsidRPr="00B921E6" w:rsidRDefault="002A3CB4" w:rsidP="00B921E6">
      <w:pPr>
        <w:spacing w:line="276" w:lineRule="auto"/>
        <w:jc w:val="center"/>
        <w:rPr>
          <w:b/>
        </w:rPr>
      </w:pPr>
      <w:r w:rsidRPr="00B921E6">
        <w:rPr>
          <w:b/>
        </w:rPr>
        <w:t>nolēma:</w:t>
      </w:r>
    </w:p>
    <w:p w14:paraId="5EA2BE24" w14:textId="77777777" w:rsidR="00C22170" w:rsidRPr="00B921E6" w:rsidRDefault="00C22170" w:rsidP="00B921E6">
      <w:pPr>
        <w:spacing w:line="276" w:lineRule="auto"/>
        <w:ind w:firstLine="709"/>
        <w:jc w:val="both"/>
      </w:pPr>
    </w:p>
    <w:p w14:paraId="3625A19C" w14:textId="059CCDEF" w:rsidR="007B699A" w:rsidRDefault="007B699A" w:rsidP="00AF4D1E">
      <w:pPr>
        <w:spacing w:line="276" w:lineRule="auto"/>
        <w:ind w:firstLine="709"/>
        <w:jc w:val="both"/>
      </w:pPr>
      <w:r>
        <w:t xml:space="preserve">atcelt Kurzemes apgabaltiesas </w:t>
      </w:r>
      <w:proofErr w:type="gramStart"/>
      <w:r>
        <w:t>2019.gada</w:t>
      </w:r>
      <w:proofErr w:type="gramEnd"/>
      <w:r>
        <w:t xml:space="preserve"> 29.jūlija spriedumu daļā par apsūdzētajam </w:t>
      </w:r>
      <w:r w:rsidR="00724F6C">
        <w:t>[pers. A]</w:t>
      </w:r>
      <w:r>
        <w:t xml:space="preserve"> noteikto sodu pēc Krimināllikuma 221.panta trešās daļas</w:t>
      </w:r>
      <w:r w:rsidR="003B64CE">
        <w:t>, 221.panta pirmās daļas,</w:t>
      </w:r>
      <w:r w:rsidRPr="007B699A">
        <w:t xml:space="preserve"> 221.</w:t>
      </w:r>
      <w:r w:rsidRPr="007B699A">
        <w:rPr>
          <w:vertAlign w:val="superscript"/>
        </w:rPr>
        <w:t xml:space="preserve">2 </w:t>
      </w:r>
      <w:r w:rsidR="003B64CE">
        <w:t>panta trešās daļas un</w:t>
      </w:r>
      <w:r w:rsidR="00AF4D1E">
        <w:t xml:space="preserve"> </w:t>
      </w:r>
      <w:r w:rsidRPr="007B699A">
        <w:t>saskaņā a</w:t>
      </w:r>
      <w:r>
        <w:t>r Krimināllikuma 50.panta pirmo un</w:t>
      </w:r>
      <w:r w:rsidRPr="007B699A">
        <w:t xml:space="preserve"> trešo daļu </w:t>
      </w:r>
      <w:r w:rsidR="003B64CE">
        <w:t>noteikto galīgo sodu</w:t>
      </w:r>
      <w:r w:rsidR="00B86C53">
        <w:t xml:space="preserve"> un a</w:t>
      </w:r>
      <w:r w:rsidRPr="007B699A">
        <w:t>tceltajā daļā lietu nosūtīt jaunai izskatīšanai Kurzemes apgabaltiesā</w:t>
      </w:r>
      <w:r>
        <w:t xml:space="preserve">. </w:t>
      </w:r>
    </w:p>
    <w:p w14:paraId="7BD29A19" w14:textId="596EB1E2" w:rsidR="007B699A" w:rsidRDefault="007B699A" w:rsidP="007B699A">
      <w:pPr>
        <w:spacing w:line="276" w:lineRule="auto"/>
        <w:ind w:firstLine="709"/>
        <w:jc w:val="both"/>
      </w:pPr>
      <w:r>
        <w:t xml:space="preserve">Pārējā daļā Kurzemes apgabaltiesas </w:t>
      </w:r>
      <w:proofErr w:type="gramStart"/>
      <w:r>
        <w:t>2019.gada</w:t>
      </w:r>
      <w:proofErr w:type="gramEnd"/>
      <w:r>
        <w:t xml:space="preserve"> 29.jūlija spriedumu atstāt negrozītu.</w:t>
      </w:r>
    </w:p>
    <w:p w14:paraId="1985463C" w14:textId="501949E0" w:rsidR="00C37A00" w:rsidRPr="00EB09DD" w:rsidRDefault="002A3CB4" w:rsidP="00724F6C">
      <w:pPr>
        <w:spacing w:line="276" w:lineRule="auto"/>
        <w:ind w:firstLine="709"/>
        <w:jc w:val="both"/>
      </w:pPr>
      <w:r w:rsidRPr="00B921E6">
        <w:t>Lēmums nav pārsūdzams.</w:t>
      </w:r>
    </w:p>
    <w:sectPr w:rsidR="00C37A00" w:rsidRPr="00EB09DD" w:rsidSect="00FA1B85">
      <w:footerReference w:type="default" r:id="rId9"/>
      <w:pgSz w:w="12240" w:h="15840"/>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DAA2F0" w14:textId="77777777" w:rsidR="001265B4" w:rsidRDefault="001265B4" w:rsidP="00D05B55">
      <w:r>
        <w:separator/>
      </w:r>
    </w:p>
  </w:endnote>
  <w:endnote w:type="continuationSeparator" w:id="0">
    <w:p w14:paraId="373383BB" w14:textId="77777777" w:rsidR="001265B4" w:rsidRDefault="001265B4" w:rsidP="00D05B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800891"/>
      <w:docPartObj>
        <w:docPartGallery w:val="Page Numbers (Bottom of Page)"/>
        <w:docPartUnique/>
      </w:docPartObj>
    </w:sdtPr>
    <w:sdtEndPr/>
    <w:sdtContent>
      <w:p w14:paraId="15C2580A" w14:textId="77777777" w:rsidR="00D534CD" w:rsidRDefault="00D534CD" w:rsidP="00D05B55">
        <w:pPr>
          <w:pStyle w:val="Footer"/>
          <w:jc w:val="center"/>
        </w:pPr>
        <w:r>
          <w:rPr>
            <w:rStyle w:val="PageNumber"/>
          </w:rPr>
          <w:fldChar w:fldCharType="begin"/>
        </w:r>
        <w:r>
          <w:rPr>
            <w:rStyle w:val="PageNumber"/>
          </w:rPr>
          <w:instrText xml:space="preserve"> PAGE </w:instrText>
        </w:r>
        <w:r>
          <w:rPr>
            <w:rStyle w:val="PageNumber"/>
          </w:rPr>
          <w:fldChar w:fldCharType="separate"/>
        </w:r>
        <w:r w:rsidR="00B22267">
          <w:rPr>
            <w:rStyle w:val="PageNumber"/>
            <w:noProof/>
          </w:rPr>
          <w:t>1</w:t>
        </w:r>
        <w:r>
          <w:rPr>
            <w:rStyle w:val="PageNumber"/>
          </w:rPr>
          <w:fldChar w:fldCharType="end"/>
        </w:r>
        <w:r>
          <w:rPr>
            <w:rStyle w:val="PageNumber"/>
          </w:rPr>
          <w:t xml:space="preserve"> no </w:t>
        </w:r>
        <w:r>
          <w:rPr>
            <w:rStyle w:val="PageNumber"/>
          </w:rPr>
          <w:fldChar w:fldCharType="begin"/>
        </w:r>
        <w:r>
          <w:rPr>
            <w:rStyle w:val="PageNumber"/>
          </w:rPr>
          <w:instrText xml:space="preserve"> NUMPAGES </w:instrText>
        </w:r>
        <w:r>
          <w:rPr>
            <w:rStyle w:val="PageNumber"/>
          </w:rPr>
          <w:fldChar w:fldCharType="separate"/>
        </w:r>
        <w:r w:rsidR="00B22267">
          <w:rPr>
            <w:rStyle w:val="PageNumber"/>
            <w:noProof/>
          </w:rPr>
          <w:t>5</w:t>
        </w:r>
        <w:r>
          <w:rPr>
            <w:rStyle w:val="PageNumber"/>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164FB0" w14:textId="77777777" w:rsidR="001265B4" w:rsidRDefault="001265B4" w:rsidP="00D05B55">
      <w:r>
        <w:separator/>
      </w:r>
    </w:p>
  </w:footnote>
  <w:footnote w:type="continuationSeparator" w:id="0">
    <w:p w14:paraId="395801B4" w14:textId="77777777" w:rsidR="001265B4" w:rsidRDefault="001265B4" w:rsidP="00D05B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101821"/>
    <w:multiLevelType w:val="hybridMultilevel"/>
    <w:tmpl w:val="A8B21F6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594BD1"/>
    <w:multiLevelType w:val="hybridMultilevel"/>
    <w:tmpl w:val="553AFFD4"/>
    <w:lvl w:ilvl="0" w:tplc="DA8A9DA6">
      <w:start w:val="1"/>
      <w:numFmt w:val="upp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006E"/>
    <w:rsid w:val="000009D0"/>
    <w:rsid w:val="00004B06"/>
    <w:rsid w:val="00005D78"/>
    <w:rsid w:val="00007582"/>
    <w:rsid w:val="000179FA"/>
    <w:rsid w:val="00022344"/>
    <w:rsid w:val="00026D11"/>
    <w:rsid w:val="00026F23"/>
    <w:rsid w:val="00030321"/>
    <w:rsid w:val="00032A04"/>
    <w:rsid w:val="00033791"/>
    <w:rsid w:val="000348EB"/>
    <w:rsid w:val="00037286"/>
    <w:rsid w:val="000428C8"/>
    <w:rsid w:val="00044106"/>
    <w:rsid w:val="00046333"/>
    <w:rsid w:val="000517D2"/>
    <w:rsid w:val="00052E00"/>
    <w:rsid w:val="0006210E"/>
    <w:rsid w:val="00063602"/>
    <w:rsid w:val="00063A25"/>
    <w:rsid w:val="0006744D"/>
    <w:rsid w:val="000704CE"/>
    <w:rsid w:val="00070732"/>
    <w:rsid w:val="0007076A"/>
    <w:rsid w:val="00071B21"/>
    <w:rsid w:val="00071FDE"/>
    <w:rsid w:val="000722D4"/>
    <w:rsid w:val="00082069"/>
    <w:rsid w:val="00082A1C"/>
    <w:rsid w:val="00083C40"/>
    <w:rsid w:val="00087469"/>
    <w:rsid w:val="00087489"/>
    <w:rsid w:val="000905E8"/>
    <w:rsid w:val="000926F7"/>
    <w:rsid w:val="00093E30"/>
    <w:rsid w:val="00094C3F"/>
    <w:rsid w:val="000A31EF"/>
    <w:rsid w:val="000A52E5"/>
    <w:rsid w:val="000B3BD2"/>
    <w:rsid w:val="000B413A"/>
    <w:rsid w:val="000B4760"/>
    <w:rsid w:val="000B5E6B"/>
    <w:rsid w:val="000B6734"/>
    <w:rsid w:val="000B6D3D"/>
    <w:rsid w:val="000B71E2"/>
    <w:rsid w:val="000B7840"/>
    <w:rsid w:val="000C1B2B"/>
    <w:rsid w:val="000C6A84"/>
    <w:rsid w:val="000D07C2"/>
    <w:rsid w:val="000D4811"/>
    <w:rsid w:val="000D543E"/>
    <w:rsid w:val="000D5F90"/>
    <w:rsid w:val="000D7269"/>
    <w:rsid w:val="000E0047"/>
    <w:rsid w:val="000E445D"/>
    <w:rsid w:val="000E4F09"/>
    <w:rsid w:val="000E6F76"/>
    <w:rsid w:val="000F20B2"/>
    <w:rsid w:val="000F620E"/>
    <w:rsid w:val="000F70B4"/>
    <w:rsid w:val="0010006E"/>
    <w:rsid w:val="00100A9B"/>
    <w:rsid w:val="00103508"/>
    <w:rsid w:val="00113312"/>
    <w:rsid w:val="00114AAD"/>
    <w:rsid w:val="001265B4"/>
    <w:rsid w:val="00130A6C"/>
    <w:rsid w:val="001312AF"/>
    <w:rsid w:val="0013229C"/>
    <w:rsid w:val="00136717"/>
    <w:rsid w:val="001378EF"/>
    <w:rsid w:val="0014182C"/>
    <w:rsid w:val="00143310"/>
    <w:rsid w:val="0014422A"/>
    <w:rsid w:val="00147AEF"/>
    <w:rsid w:val="0015350D"/>
    <w:rsid w:val="00155E21"/>
    <w:rsid w:val="0016147C"/>
    <w:rsid w:val="00163072"/>
    <w:rsid w:val="00164243"/>
    <w:rsid w:val="00166A15"/>
    <w:rsid w:val="001672A6"/>
    <w:rsid w:val="00171833"/>
    <w:rsid w:val="0017217E"/>
    <w:rsid w:val="001735C1"/>
    <w:rsid w:val="00180E53"/>
    <w:rsid w:val="0018388D"/>
    <w:rsid w:val="00183D93"/>
    <w:rsid w:val="00184B46"/>
    <w:rsid w:val="0018729B"/>
    <w:rsid w:val="00187D56"/>
    <w:rsid w:val="00191C1A"/>
    <w:rsid w:val="0019209A"/>
    <w:rsid w:val="001955F3"/>
    <w:rsid w:val="00195EFE"/>
    <w:rsid w:val="001A3760"/>
    <w:rsid w:val="001A37C7"/>
    <w:rsid w:val="001A3FBF"/>
    <w:rsid w:val="001A7978"/>
    <w:rsid w:val="001B096F"/>
    <w:rsid w:val="001B3DD0"/>
    <w:rsid w:val="001B6398"/>
    <w:rsid w:val="001C3CCD"/>
    <w:rsid w:val="001D074C"/>
    <w:rsid w:val="001D3D33"/>
    <w:rsid w:val="001D52AA"/>
    <w:rsid w:val="001D5419"/>
    <w:rsid w:val="001D5CEC"/>
    <w:rsid w:val="001E73C4"/>
    <w:rsid w:val="001F1B72"/>
    <w:rsid w:val="001F2AD1"/>
    <w:rsid w:val="001F3876"/>
    <w:rsid w:val="001F4148"/>
    <w:rsid w:val="001F6D14"/>
    <w:rsid w:val="00202433"/>
    <w:rsid w:val="00204E0C"/>
    <w:rsid w:val="00205B5A"/>
    <w:rsid w:val="002118F2"/>
    <w:rsid w:val="00213339"/>
    <w:rsid w:val="00214A10"/>
    <w:rsid w:val="0022172C"/>
    <w:rsid w:val="002233F4"/>
    <w:rsid w:val="0022428F"/>
    <w:rsid w:val="00227142"/>
    <w:rsid w:val="0023219D"/>
    <w:rsid w:val="00233CC9"/>
    <w:rsid w:val="00234F71"/>
    <w:rsid w:val="00242F01"/>
    <w:rsid w:val="0024504C"/>
    <w:rsid w:val="002458EA"/>
    <w:rsid w:val="00255198"/>
    <w:rsid w:val="00255BFE"/>
    <w:rsid w:val="00260A5C"/>
    <w:rsid w:val="00260B0C"/>
    <w:rsid w:val="00261E85"/>
    <w:rsid w:val="002663B3"/>
    <w:rsid w:val="0027075E"/>
    <w:rsid w:val="00271324"/>
    <w:rsid w:val="0027136D"/>
    <w:rsid w:val="002759CB"/>
    <w:rsid w:val="002779B5"/>
    <w:rsid w:val="00277AA0"/>
    <w:rsid w:val="002801B9"/>
    <w:rsid w:val="00283CB4"/>
    <w:rsid w:val="00285DBB"/>
    <w:rsid w:val="00295322"/>
    <w:rsid w:val="00297FCA"/>
    <w:rsid w:val="002A06EE"/>
    <w:rsid w:val="002A12B9"/>
    <w:rsid w:val="002A36CD"/>
    <w:rsid w:val="002A3CB4"/>
    <w:rsid w:val="002A43F6"/>
    <w:rsid w:val="002A62C3"/>
    <w:rsid w:val="002B11A7"/>
    <w:rsid w:val="002B1850"/>
    <w:rsid w:val="002B3691"/>
    <w:rsid w:val="002B5E46"/>
    <w:rsid w:val="002B6CC8"/>
    <w:rsid w:val="002C051F"/>
    <w:rsid w:val="002C0CAE"/>
    <w:rsid w:val="002C1DEF"/>
    <w:rsid w:val="002C2A7E"/>
    <w:rsid w:val="002C4442"/>
    <w:rsid w:val="002C6283"/>
    <w:rsid w:val="002D0EBC"/>
    <w:rsid w:val="002D2060"/>
    <w:rsid w:val="002D4947"/>
    <w:rsid w:val="002D52E1"/>
    <w:rsid w:val="002D6567"/>
    <w:rsid w:val="002D6A76"/>
    <w:rsid w:val="002E244A"/>
    <w:rsid w:val="002E5234"/>
    <w:rsid w:val="002E5322"/>
    <w:rsid w:val="002E5CF2"/>
    <w:rsid w:val="002F190D"/>
    <w:rsid w:val="002F227C"/>
    <w:rsid w:val="002F2297"/>
    <w:rsid w:val="002F38A1"/>
    <w:rsid w:val="002F40DB"/>
    <w:rsid w:val="002F431E"/>
    <w:rsid w:val="002F7310"/>
    <w:rsid w:val="00302C70"/>
    <w:rsid w:val="003031FB"/>
    <w:rsid w:val="00304111"/>
    <w:rsid w:val="00304A73"/>
    <w:rsid w:val="00305AED"/>
    <w:rsid w:val="00306EF2"/>
    <w:rsid w:val="003104F5"/>
    <w:rsid w:val="003143AF"/>
    <w:rsid w:val="003143C1"/>
    <w:rsid w:val="00323688"/>
    <w:rsid w:val="0032527F"/>
    <w:rsid w:val="00330FC0"/>
    <w:rsid w:val="00333FD7"/>
    <w:rsid w:val="00337D80"/>
    <w:rsid w:val="003450EF"/>
    <w:rsid w:val="0034601F"/>
    <w:rsid w:val="00347B2D"/>
    <w:rsid w:val="0035123D"/>
    <w:rsid w:val="003527B5"/>
    <w:rsid w:val="00352A41"/>
    <w:rsid w:val="00355230"/>
    <w:rsid w:val="003554F1"/>
    <w:rsid w:val="0035775A"/>
    <w:rsid w:val="0036365B"/>
    <w:rsid w:val="00365D68"/>
    <w:rsid w:val="003762E6"/>
    <w:rsid w:val="00381EC5"/>
    <w:rsid w:val="00384A8B"/>
    <w:rsid w:val="00387BB5"/>
    <w:rsid w:val="00390EE1"/>
    <w:rsid w:val="003940CC"/>
    <w:rsid w:val="003975D6"/>
    <w:rsid w:val="003A0FF1"/>
    <w:rsid w:val="003A135A"/>
    <w:rsid w:val="003A38DE"/>
    <w:rsid w:val="003A3B0E"/>
    <w:rsid w:val="003A5397"/>
    <w:rsid w:val="003A59D4"/>
    <w:rsid w:val="003B492D"/>
    <w:rsid w:val="003B4CA7"/>
    <w:rsid w:val="003B5DB0"/>
    <w:rsid w:val="003B64CE"/>
    <w:rsid w:val="003B6732"/>
    <w:rsid w:val="003C068E"/>
    <w:rsid w:val="003C1712"/>
    <w:rsid w:val="003C3552"/>
    <w:rsid w:val="003C57F7"/>
    <w:rsid w:val="003D1303"/>
    <w:rsid w:val="003D355E"/>
    <w:rsid w:val="003D56B5"/>
    <w:rsid w:val="003E062F"/>
    <w:rsid w:val="003E28F7"/>
    <w:rsid w:val="003F4916"/>
    <w:rsid w:val="003F6C85"/>
    <w:rsid w:val="00402184"/>
    <w:rsid w:val="0040661F"/>
    <w:rsid w:val="0041268A"/>
    <w:rsid w:val="00412C63"/>
    <w:rsid w:val="00412F80"/>
    <w:rsid w:val="00413BA7"/>
    <w:rsid w:val="004144D3"/>
    <w:rsid w:val="00415D69"/>
    <w:rsid w:val="00420046"/>
    <w:rsid w:val="00426F7F"/>
    <w:rsid w:val="004308E1"/>
    <w:rsid w:val="00443A4F"/>
    <w:rsid w:val="00444149"/>
    <w:rsid w:val="004572EA"/>
    <w:rsid w:val="004604DF"/>
    <w:rsid w:val="0046141B"/>
    <w:rsid w:val="004673F5"/>
    <w:rsid w:val="00467CC4"/>
    <w:rsid w:val="0047549D"/>
    <w:rsid w:val="004809B9"/>
    <w:rsid w:val="004876F3"/>
    <w:rsid w:val="004914AD"/>
    <w:rsid w:val="004937B2"/>
    <w:rsid w:val="00493C6C"/>
    <w:rsid w:val="00494672"/>
    <w:rsid w:val="004A07F2"/>
    <w:rsid w:val="004A3AD7"/>
    <w:rsid w:val="004A4584"/>
    <w:rsid w:val="004A5418"/>
    <w:rsid w:val="004A6A76"/>
    <w:rsid w:val="004A6D26"/>
    <w:rsid w:val="004B0CF4"/>
    <w:rsid w:val="004B61CF"/>
    <w:rsid w:val="004B7793"/>
    <w:rsid w:val="004C0D6D"/>
    <w:rsid w:val="004C3A57"/>
    <w:rsid w:val="004C3F15"/>
    <w:rsid w:val="004C756F"/>
    <w:rsid w:val="004D02FF"/>
    <w:rsid w:val="004D69E3"/>
    <w:rsid w:val="004D6CAF"/>
    <w:rsid w:val="004D7C45"/>
    <w:rsid w:val="004E4D3D"/>
    <w:rsid w:val="004E5188"/>
    <w:rsid w:val="004E53F7"/>
    <w:rsid w:val="004E63DE"/>
    <w:rsid w:val="004E7604"/>
    <w:rsid w:val="004F09A4"/>
    <w:rsid w:val="004F2192"/>
    <w:rsid w:val="004F5771"/>
    <w:rsid w:val="004F6385"/>
    <w:rsid w:val="0050274A"/>
    <w:rsid w:val="005038C4"/>
    <w:rsid w:val="00503B60"/>
    <w:rsid w:val="005048C9"/>
    <w:rsid w:val="005162BB"/>
    <w:rsid w:val="00516FA1"/>
    <w:rsid w:val="00525F16"/>
    <w:rsid w:val="00526BBB"/>
    <w:rsid w:val="005309C0"/>
    <w:rsid w:val="00531AEC"/>
    <w:rsid w:val="005329DE"/>
    <w:rsid w:val="005356F9"/>
    <w:rsid w:val="00535AEC"/>
    <w:rsid w:val="00535CA7"/>
    <w:rsid w:val="00537881"/>
    <w:rsid w:val="00537926"/>
    <w:rsid w:val="00537C0D"/>
    <w:rsid w:val="00540ECF"/>
    <w:rsid w:val="00542985"/>
    <w:rsid w:val="00544FAB"/>
    <w:rsid w:val="00546006"/>
    <w:rsid w:val="0054685D"/>
    <w:rsid w:val="005479D8"/>
    <w:rsid w:val="00553610"/>
    <w:rsid w:val="00553711"/>
    <w:rsid w:val="00553C3B"/>
    <w:rsid w:val="00556761"/>
    <w:rsid w:val="00557260"/>
    <w:rsid w:val="00564E51"/>
    <w:rsid w:val="00575C00"/>
    <w:rsid w:val="00576563"/>
    <w:rsid w:val="0058263B"/>
    <w:rsid w:val="00583194"/>
    <w:rsid w:val="0058415F"/>
    <w:rsid w:val="00590B6C"/>
    <w:rsid w:val="00593B9A"/>
    <w:rsid w:val="00594A2C"/>
    <w:rsid w:val="00595001"/>
    <w:rsid w:val="00595139"/>
    <w:rsid w:val="005967D2"/>
    <w:rsid w:val="00597EBB"/>
    <w:rsid w:val="005A0DAD"/>
    <w:rsid w:val="005A3124"/>
    <w:rsid w:val="005A4721"/>
    <w:rsid w:val="005A7B6C"/>
    <w:rsid w:val="005B0B4B"/>
    <w:rsid w:val="005B2B0F"/>
    <w:rsid w:val="005B2DCE"/>
    <w:rsid w:val="005B55A4"/>
    <w:rsid w:val="005B6AD7"/>
    <w:rsid w:val="005C035B"/>
    <w:rsid w:val="005C1D98"/>
    <w:rsid w:val="005C4C9E"/>
    <w:rsid w:val="005D08D0"/>
    <w:rsid w:val="005D4120"/>
    <w:rsid w:val="005E0DF2"/>
    <w:rsid w:val="005E1A8E"/>
    <w:rsid w:val="005E1AA9"/>
    <w:rsid w:val="005E6FAE"/>
    <w:rsid w:val="005F14F8"/>
    <w:rsid w:val="005F1EBA"/>
    <w:rsid w:val="005F25E0"/>
    <w:rsid w:val="005F7436"/>
    <w:rsid w:val="006018A8"/>
    <w:rsid w:val="00602941"/>
    <w:rsid w:val="006051D5"/>
    <w:rsid w:val="00606279"/>
    <w:rsid w:val="00607E32"/>
    <w:rsid w:val="00611205"/>
    <w:rsid w:val="006123D6"/>
    <w:rsid w:val="006175AA"/>
    <w:rsid w:val="00617EB0"/>
    <w:rsid w:val="00620695"/>
    <w:rsid w:val="00620D99"/>
    <w:rsid w:val="00621C15"/>
    <w:rsid w:val="00622260"/>
    <w:rsid w:val="00623873"/>
    <w:rsid w:val="00625EDB"/>
    <w:rsid w:val="00632177"/>
    <w:rsid w:val="00632571"/>
    <w:rsid w:val="00633B03"/>
    <w:rsid w:val="00635839"/>
    <w:rsid w:val="00642469"/>
    <w:rsid w:val="0064667F"/>
    <w:rsid w:val="00650CD0"/>
    <w:rsid w:val="0065201A"/>
    <w:rsid w:val="006534D0"/>
    <w:rsid w:val="00655B73"/>
    <w:rsid w:val="00656090"/>
    <w:rsid w:val="00660D53"/>
    <w:rsid w:val="0066106E"/>
    <w:rsid w:val="00664838"/>
    <w:rsid w:val="0066715A"/>
    <w:rsid w:val="00672BCC"/>
    <w:rsid w:val="006737F4"/>
    <w:rsid w:val="00676D2C"/>
    <w:rsid w:val="00677108"/>
    <w:rsid w:val="00683F6E"/>
    <w:rsid w:val="00685C9A"/>
    <w:rsid w:val="00690F89"/>
    <w:rsid w:val="0069333C"/>
    <w:rsid w:val="00693745"/>
    <w:rsid w:val="00693A9A"/>
    <w:rsid w:val="006941C8"/>
    <w:rsid w:val="00695F86"/>
    <w:rsid w:val="006965C5"/>
    <w:rsid w:val="006A26E0"/>
    <w:rsid w:val="006A2B24"/>
    <w:rsid w:val="006A3482"/>
    <w:rsid w:val="006A3711"/>
    <w:rsid w:val="006A57B6"/>
    <w:rsid w:val="006A6BEB"/>
    <w:rsid w:val="006B08C8"/>
    <w:rsid w:val="006B2DE8"/>
    <w:rsid w:val="006B2EEE"/>
    <w:rsid w:val="006B3357"/>
    <w:rsid w:val="006B5045"/>
    <w:rsid w:val="006B538E"/>
    <w:rsid w:val="006B649F"/>
    <w:rsid w:val="006B77FF"/>
    <w:rsid w:val="006C0659"/>
    <w:rsid w:val="006C3EEA"/>
    <w:rsid w:val="006C3F22"/>
    <w:rsid w:val="006C5FB3"/>
    <w:rsid w:val="006C6002"/>
    <w:rsid w:val="006D1D47"/>
    <w:rsid w:val="006D30A3"/>
    <w:rsid w:val="006E1625"/>
    <w:rsid w:val="006E1911"/>
    <w:rsid w:val="006E2C9D"/>
    <w:rsid w:val="006E4685"/>
    <w:rsid w:val="006E6FB0"/>
    <w:rsid w:val="006E72C8"/>
    <w:rsid w:val="006F0B6F"/>
    <w:rsid w:val="006F2665"/>
    <w:rsid w:val="006F41C7"/>
    <w:rsid w:val="007002AB"/>
    <w:rsid w:val="00702E79"/>
    <w:rsid w:val="0070506B"/>
    <w:rsid w:val="00705477"/>
    <w:rsid w:val="00713E6F"/>
    <w:rsid w:val="00715C61"/>
    <w:rsid w:val="00716BD9"/>
    <w:rsid w:val="0072005E"/>
    <w:rsid w:val="00721DCC"/>
    <w:rsid w:val="00722551"/>
    <w:rsid w:val="00722E62"/>
    <w:rsid w:val="00723904"/>
    <w:rsid w:val="00724F6C"/>
    <w:rsid w:val="0072509A"/>
    <w:rsid w:val="0072662C"/>
    <w:rsid w:val="007312E1"/>
    <w:rsid w:val="007317CF"/>
    <w:rsid w:val="0073390A"/>
    <w:rsid w:val="00734A03"/>
    <w:rsid w:val="00741E9A"/>
    <w:rsid w:val="00742026"/>
    <w:rsid w:val="00742421"/>
    <w:rsid w:val="00744906"/>
    <w:rsid w:val="00745211"/>
    <w:rsid w:val="0075326F"/>
    <w:rsid w:val="00753B67"/>
    <w:rsid w:val="00754003"/>
    <w:rsid w:val="00754520"/>
    <w:rsid w:val="0075792F"/>
    <w:rsid w:val="007602D4"/>
    <w:rsid w:val="00760C1B"/>
    <w:rsid w:val="0076221A"/>
    <w:rsid w:val="00762688"/>
    <w:rsid w:val="00762D08"/>
    <w:rsid w:val="0076466B"/>
    <w:rsid w:val="00767D22"/>
    <w:rsid w:val="00776519"/>
    <w:rsid w:val="00776B30"/>
    <w:rsid w:val="00776D95"/>
    <w:rsid w:val="007860AD"/>
    <w:rsid w:val="007866FB"/>
    <w:rsid w:val="007902C2"/>
    <w:rsid w:val="00792CF7"/>
    <w:rsid w:val="00797319"/>
    <w:rsid w:val="007A09B4"/>
    <w:rsid w:val="007A67A3"/>
    <w:rsid w:val="007B0247"/>
    <w:rsid w:val="007B0866"/>
    <w:rsid w:val="007B0AAD"/>
    <w:rsid w:val="007B3093"/>
    <w:rsid w:val="007B551E"/>
    <w:rsid w:val="007B5AFD"/>
    <w:rsid w:val="007B699A"/>
    <w:rsid w:val="007C13C2"/>
    <w:rsid w:val="007C23C7"/>
    <w:rsid w:val="007D0980"/>
    <w:rsid w:val="007D1442"/>
    <w:rsid w:val="007D4F04"/>
    <w:rsid w:val="007D7740"/>
    <w:rsid w:val="007D7BA8"/>
    <w:rsid w:val="007E0243"/>
    <w:rsid w:val="007E36EA"/>
    <w:rsid w:val="007E470B"/>
    <w:rsid w:val="007F0295"/>
    <w:rsid w:val="007F0903"/>
    <w:rsid w:val="007F14B2"/>
    <w:rsid w:val="007F2AAA"/>
    <w:rsid w:val="0080252F"/>
    <w:rsid w:val="008049E6"/>
    <w:rsid w:val="00806567"/>
    <w:rsid w:val="0080657D"/>
    <w:rsid w:val="00811492"/>
    <w:rsid w:val="00811CD0"/>
    <w:rsid w:val="00812B78"/>
    <w:rsid w:val="0081575C"/>
    <w:rsid w:val="0081723C"/>
    <w:rsid w:val="008175D0"/>
    <w:rsid w:val="008240DB"/>
    <w:rsid w:val="008242CC"/>
    <w:rsid w:val="008366A7"/>
    <w:rsid w:val="008408F9"/>
    <w:rsid w:val="00841B8F"/>
    <w:rsid w:val="008478ED"/>
    <w:rsid w:val="00850BA9"/>
    <w:rsid w:val="00850CB1"/>
    <w:rsid w:val="00853200"/>
    <w:rsid w:val="00855277"/>
    <w:rsid w:val="00855CE1"/>
    <w:rsid w:val="0085666A"/>
    <w:rsid w:val="00860F30"/>
    <w:rsid w:val="00863DDA"/>
    <w:rsid w:val="00867F50"/>
    <w:rsid w:val="0087410C"/>
    <w:rsid w:val="0088087A"/>
    <w:rsid w:val="0088617A"/>
    <w:rsid w:val="00886259"/>
    <w:rsid w:val="00887B14"/>
    <w:rsid w:val="00887E53"/>
    <w:rsid w:val="00887E74"/>
    <w:rsid w:val="0089074F"/>
    <w:rsid w:val="00892D18"/>
    <w:rsid w:val="00895773"/>
    <w:rsid w:val="008A0F33"/>
    <w:rsid w:val="008A23DB"/>
    <w:rsid w:val="008A3154"/>
    <w:rsid w:val="008A6308"/>
    <w:rsid w:val="008B03B1"/>
    <w:rsid w:val="008B2BE5"/>
    <w:rsid w:val="008B5BD6"/>
    <w:rsid w:val="008B688B"/>
    <w:rsid w:val="008B6DA6"/>
    <w:rsid w:val="008C0F23"/>
    <w:rsid w:val="008C5BA8"/>
    <w:rsid w:val="008C763C"/>
    <w:rsid w:val="008D1EC3"/>
    <w:rsid w:val="008D40A3"/>
    <w:rsid w:val="008D5EBB"/>
    <w:rsid w:val="008D64AB"/>
    <w:rsid w:val="008E0DD0"/>
    <w:rsid w:val="008E146D"/>
    <w:rsid w:val="008E1E85"/>
    <w:rsid w:val="008E3F61"/>
    <w:rsid w:val="008F1918"/>
    <w:rsid w:val="0090058C"/>
    <w:rsid w:val="0090272E"/>
    <w:rsid w:val="0090632F"/>
    <w:rsid w:val="0090675F"/>
    <w:rsid w:val="00912CCD"/>
    <w:rsid w:val="009133BF"/>
    <w:rsid w:val="00913562"/>
    <w:rsid w:val="00913BE2"/>
    <w:rsid w:val="00913E65"/>
    <w:rsid w:val="00915463"/>
    <w:rsid w:val="00917367"/>
    <w:rsid w:val="00917AEB"/>
    <w:rsid w:val="00920A56"/>
    <w:rsid w:val="0092133F"/>
    <w:rsid w:val="0092499C"/>
    <w:rsid w:val="00925067"/>
    <w:rsid w:val="00934BC5"/>
    <w:rsid w:val="00934CDB"/>
    <w:rsid w:val="00937A1F"/>
    <w:rsid w:val="0094016E"/>
    <w:rsid w:val="009429BB"/>
    <w:rsid w:val="00943C00"/>
    <w:rsid w:val="009521EF"/>
    <w:rsid w:val="00954661"/>
    <w:rsid w:val="00955CE7"/>
    <w:rsid w:val="009604C4"/>
    <w:rsid w:val="00963F89"/>
    <w:rsid w:val="009657E4"/>
    <w:rsid w:val="00967B79"/>
    <w:rsid w:val="00967D93"/>
    <w:rsid w:val="00973317"/>
    <w:rsid w:val="00973768"/>
    <w:rsid w:val="009755A7"/>
    <w:rsid w:val="00977AB8"/>
    <w:rsid w:val="00980369"/>
    <w:rsid w:val="00980A65"/>
    <w:rsid w:val="00982894"/>
    <w:rsid w:val="00983D7E"/>
    <w:rsid w:val="00984484"/>
    <w:rsid w:val="00984BE4"/>
    <w:rsid w:val="00985384"/>
    <w:rsid w:val="009924D0"/>
    <w:rsid w:val="00992A17"/>
    <w:rsid w:val="00993A94"/>
    <w:rsid w:val="009A1017"/>
    <w:rsid w:val="009A39F6"/>
    <w:rsid w:val="009A4950"/>
    <w:rsid w:val="009A61CA"/>
    <w:rsid w:val="009A747A"/>
    <w:rsid w:val="009B35A8"/>
    <w:rsid w:val="009B6E20"/>
    <w:rsid w:val="009C2218"/>
    <w:rsid w:val="009C2F10"/>
    <w:rsid w:val="009C6A3D"/>
    <w:rsid w:val="009C7DD8"/>
    <w:rsid w:val="009C7EE2"/>
    <w:rsid w:val="009D636F"/>
    <w:rsid w:val="009D7FC3"/>
    <w:rsid w:val="009E1D9B"/>
    <w:rsid w:val="009E2C51"/>
    <w:rsid w:val="009E5051"/>
    <w:rsid w:val="009E5F98"/>
    <w:rsid w:val="009F2099"/>
    <w:rsid w:val="009F31CD"/>
    <w:rsid w:val="009F4155"/>
    <w:rsid w:val="009F6763"/>
    <w:rsid w:val="009F6E63"/>
    <w:rsid w:val="00A017F2"/>
    <w:rsid w:val="00A03188"/>
    <w:rsid w:val="00A05AE0"/>
    <w:rsid w:val="00A05E66"/>
    <w:rsid w:val="00A060B5"/>
    <w:rsid w:val="00A12198"/>
    <w:rsid w:val="00A144DA"/>
    <w:rsid w:val="00A20CB5"/>
    <w:rsid w:val="00A217B3"/>
    <w:rsid w:val="00A25B8C"/>
    <w:rsid w:val="00A2684E"/>
    <w:rsid w:val="00A30876"/>
    <w:rsid w:val="00A30DF9"/>
    <w:rsid w:val="00A311FA"/>
    <w:rsid w:val="00A339B4"/>
    <w:rsid w:val="00A34AB4"/>
    <w:rsid w:val="00A35B0F"/>
    <w:rsid w:val="00A36A6A"/>
    <w:rsid w:val="00A37339"/>
    <w:rsid w:val="00A419C1"/>
    <w:rsid w:val="00A456DF"/>
    <w:rsid w:val="00A45BB1"/>
    <w:rsid w:val="00A53357"/>
    <w:rsid w:val="00A54089"/>
    <w:rsid w:val="00A546B4"/>
    <w:rsid w:val="00A607E0"/>
    <w:rsid w:val="00A61BF4"/>
    <w:rsid w:val="00A67498"/>
    <w:rsid w:val="00A67758"/>
    <w:rsid w:val="00A72745"/>
    <w:rsid w:val="00A769EA"/>
    <w:rsid w:val="00A821E0"/>
    <w:rsid w:val="00A853EF"/>
    <w:rsid w:val="00A91F99"/>
    <w:rsid w:val="00A927B1"/>
    <w:rsid w:val="00A96FE8"/>
    <w:rsid w:val="00A971FF"/>
    <w:rsid w:val="00AA178C"/>
    <w:rsid w:val="00AA18E0"/>
    <w:rsid w:val="00AA1954"/>
    <w:rsid w:val="00AA2EFA"/>
    <w:rsid w:val="00AA31F8"/>
    <w:rsid w:val="00AA4F19"/>
    <w:rsid w:val="00AA5623"/>
    <w:rsid w:val="00AB030B"/>
    <w:rsid w:val="00AB32E0"/>
    <w:rsid w:val="00AB4983"/>
    <w:rsid w:val="00AB6752"/>
    <w:rsid w:val="00AB7ADD"/>
    <w:rsid w:val="00AC130F"/>
    <w:rsid w:val="00AC2612"/>
    <w:rsid w:val="00AC62D6"/>
    <w:rsid w:val="00AC78D6"/>
    <w:rsid w:val="00AC7917"/>
    <w:rsid w:val="00AD04A7"/>
    <w:rsid w:val="00AD1394"/>
    <w:rsid w:val="00AD264F"/>
    <w:rsid w:val="00AD464B"/>
    <w:rsid w:val="00AE0E2C"/>
    <w:rsid w:val="00AE15A5"/>
    <w:rsid w:val="00AE3265"/>
    <w:rsid w:val="00AE41AD"/>
    <w:rsid w:val="00AE6640"/>
    <w:rsid w:val="00AF0021"/>
    <w:rsid w:val="00AF18D1"/>
    <w:rsid w:val="00AF2A29"/>
    <w:rsid w:val="00AF2CCA"/>
    <w:rsid w:val="00AF4325"/>
    <w:rsid w:val="00AF4D1E"/>
    <w:rsid w:val="00AF65D1"/>
    <w:rsid w:val="00AF6C14"/>
    <w:rsid w:val="00AF6DFD"/>
    <w:rsid w:val="00AF6E7F"/>
    <w:rsid w:val="00B0059A"/>
    <w:rsid w:val="00B00696"/>
    <w:rsid w:val="00B02C97"/>
    <w:rsid w:val="00B04529"/>
    <w:rsid w:val="00B14CE5"/>
    <w:rsid w:val="00B201A5"/>
    <w:rsid w:val="00B22267"/>
    <w:rsid w:val="00B2581C"/>
    <w:rsid w:val="00B2620E"/>
    <w:rsid w:val="00B271AF"/>
    <w:rsid w:val="00B324C8"/>
    <w:rsid w:val="00B33A2F"/>
    <w:rsid w:val="00B341BE"/>
    <w:rsid w:val="00B348BF"/>
    <w:rsid w:val="00B355D9"/>
    <w:rsid w:val="00B36309"/>
    <w:rsid w:val="00B3744A"/>
    <w:rsid w:val="00B403FA"/>
    <w:rsid w:val="00B40EA1"/>
    <w:rsid w:val="00B4476C"/>
    <w:rsid w:val="00B45B7F"/>
    <w:rsid w:val="00B479B3"/>
    <w:rsid w:val="00B506BD"/>
    <w:rsid w:val="00B508FE"/>
    <w:rsid w:val="00B510BD"/>
    <w:rsid w:val="00B51B69"/>
    <w:rsid w:val="00B60529"/>
    <w:rsid w:val="00B60F09"/>
    <w:rsid w:val="00B61407"/>
    <w:rsid w:val="00B618B3"/>
    <w:rsid w:val="00B63E3A"/>
    <w:rsid w:val="00B72875"/>
    <w:rsid w:val="00B7339B"/>
    <w:rsid w:val="00B7367B"/>
    <w:rsid w:val="00B74166"/>
    <w:rsid w:val="00B7656F"/>
    <w:rsid w:val="00B818E8"/>
    <w:rsid w:val="00B829D7"/>
    <w:rsid w:val="00B847DC"/>
    <w:rsid w:val="00B85E7F"/>
    <w:rsid w:val="00B86C53"/>
    <w:rsid w:val="00B91D95"/>
    <w:rsid w:val="00B91E56"/>
    <w:rsid w:val="00B921E6"/>
    <w:rsid w:val="00B92819"/>
    <w:rsid w:val="00B94649"/>
    <w:rsid w:val="00B972F1"/>
    <w:rsid w:val="00BA3886"/>
    <w:rsid w:val="00BB03DA"/>
    <w:rsid w:val="00BB3919"/>
    <w:rsid w:val="00BB485C"/>
    <w:rsid w:val="00BB6466"/>
    <w:rsid w:val="00BB6A16"/>
    <w:rsid w:val="00BC03B7"/>
    <w:rsid w:val="00BC1B95"/>
    <w:rsid w:val="00BC2745"/>
    <w:rsid w:val="00BC338B"/>
    <w:rsid w:val="00BC4D75"/>
    <w:rsid w:val="00BC523A"/>
    <w:rsid w:val="00BC7645"/>
    <w:rsid w:val="00BC76C6"/>
    <w:rsid w:val="00BC78BB"/>
    <w:rsid w:val="00BD4759"/>
    <w:rsid w:val="00BD5651"/>
    <w:rsid w:val="00BD65C8"/>
    <w:rsid w:val="00BD7E67"/>
    <w:rsid w:val="00BE32A4"/>
    <w:rsid w:val="00BE43B8"/>
    <w:rsid w:val="00BE4E2E"/>
    <w:rsid w:val="00BE7191"/>
    <w:rsid w:val="00BF12B2"/>
    <w:rsid w:val="00BF3575"/>
    <w:rsid w:val="00C046E4"/>
    <w:rsid w:val="00C076A4"/>
    <w:rsid w:val="00C11753"/>
    <w:rsid w:val="00C21751"/>
    <w:rsid w:val="00C22170"/>
    <w:rsid w:val="00C243C1"/>
    <w:rsid w:val="00C2555C"/>
    <w:rsid w:val="00C274F2"/>
    <w:rsid w:val="00C27E52"/>
    <w:rsid w:val="00C37154"/>
    <w:rsid w:val="00C37A00"/>
    <w:rsid w:val="00C37E40"/>
    <w:rsid w:val="00C42130"/>
    <w:rsid w:val="00C4452E"/>
    <w:rsid w:val="00C447AF"/>
    <w:rsid w:val="00C6347C"/>
    <w:rsid w:val="00C638B5"/>
    <w:rsid w:val="00C63E3D"/>
    <w:rsid w:val="00C674F5"/>
    <w:rsid w:val="00C70B31"/>
    <w:rsid w:val="00C70CC1"/>
    <w:rsid w:val="00C7155F"/>
    <w:rsid w:val="00C71D0C"/>
    <w:rsid w:val="00C75045"/>
    <w:rsid w:val="00C772C4"/>
    <w:rsid w:val="00C81393"/>
    <w:rsid w:val="00C83816"/>
    <w:rsid w:val="00C849FF"/>
    <w:rsid w:val="00C903FD"/>
    <w:rsid w:val="00CA18F3"/>
    <w:rsid w:val="00CA1CDC"/>
    <w:rsid w:val="00CA3746"/>
    <w:rsid w:val="00CA5694"/>
    <w:rsid w:val="00CA6214"/>
    <w:rsid w:val="00CA74FA"/>
    <w:rsid w:val="00CB0CF2"/>
    <w:rsid w:val="00CB21CE"/>
    <w:rsid w:val="00CB23E5"/>
    <w:rsid w:val="00CB2AC0"/>
    <w:rsid w:val="00CB2E0E"/>
    <w:rsid w:val="00CB305F"/>
    <w:rsid w:val="00CB4D65"/>
    <w:rsid w:val="00CB72CA"/>
    <w:rsid w:val="00CB7CEB"/>
    <w:rsid w:val="00CB7D97"/>
    <w:rsid w:val="00CC0244"/>
    <w:rsid w:val="00CC308A"/>
    <w:rsid w:val="00CC3F1E"/>
    <w:rsid w:val="00CC7021"/>
    <w:rsid w:val="00CC7506"/>
    <w:rsid w:val="00CD3B75"/>
    <w:rsid w:val="00CD5145"/>
    <w:rsid w:val="00CD5FFB"/>
    <w:rsid w:val="00CD6FCA"/>
    <w:rsid w:val="00CE4F96"/>
    <w:rsid w:val="00CF3EFF"/>
    <w:rsid w:val="00CF74F9"/>
    <w:rsid w:val="00CF78D1"/>
    <w:rsid w:val="00CF79C5"/>
    <w:rsid w:val="00D002EA"/>
    <w:rsid w:val="00D01769"/>
    <w:rsid w:val="00D04E91"/>
    <w:rsid w:val="00D05B55"/>
    <w:rsid w:val="00D077BF"/>
    <w:rsid w:val="00D13109"/>
    <w:rsid w:val="00D1696C"/>
    <w:rsid w:val="00D172EA"/>
    <w:rsid w:val="00D17786"/>
    <w:rsid w:val="00D2120C"/>
    <w:rsid w:val="00D21918"/>
    <w:rsid w:val="00D21AB7"/>
    <w:rsid w:val="00D23529"/>
    <w:rsid w:val="00D2586A"/>
    <w:rsid w:val="00D34573"/>
    <w:rsid w:val="00D35827"/>
    <w:rsid w:val="00D35F9F"/>
    <w:rsid w:val="00D4039C"/>
    <w:rsid w:val="00D42A95"/>
    <w:rsid w:val="00D44783"/>
    <w:rsid w:val="00D459AD"/>
    <w:rsid w:val="00D50A2E"/>
    <w:rsid w:val="00D510AD"/>
    <w:rsid w:val="00D534CD"/>
    <w:rsid w:val="00D53BC0"/>
    <w:rsid w:val="00D5435D"/>
    <w:rsid w:val="00D551E7"/>
    <w:rsid w:val="00D5577D"/>
    <w:rsid w:val="00D6553B"/>
    <w:rsid w:val="00D65EB8"/>
    <w:rsid w:val="00D66215"/>
    <w:rsid w:val="00D701EA"/>
    <w:rsid w:val="00D70225"/>
    <w:rsid w:val="00D704CE"/>
    <w:rsid w:val="00D73DE8"/>
    <w:rsid w:val="00D7433E"/>
    <w:rsid w:val="00D756DB"/>
    <w:rsid w:val="00D76A2B"/>
    <w:rsid w:val="00D7728B"/>
    <w:rsid w:val="00D77D36"/>
    <w:rsid w:val="00D84887"/>
    <w:rsid w:val="00D8551C"/>
    <w:rsid w:val="00D85AD1"/>
    <w:rsid w:val="00D90ECC"/>
    <w:rsid w:val="00D93A6C"/>
    <w:rsid w:val="00D9439A"/>
    <w:rsid w:val="00D94597"/>
    <w:rsid w:val="00D96F54"/>
    <w:rsid w:val="00D9769A"/>
    <w:rsid w:val="00D97B18"/>
    <w:rsid w:val="00DA2E68"/>
    <w:rsid w:val="00DA486F"/>
    <w:rsid w:val="00DB0F11"/>
    <w:rsid w:val="00DB327D"/>
    <w:rsid w:val="00DB6648"/>
    <w:rsid w:val="00DC17A7"/>
    <w:rsid w:val="00DD1755"/>
    <w:rsid w:val="00DD5598"/>
    <w:rsid w:val="00DD5AAF"/>
    <w:rsid w:val="00DE104E"/>
    <w:rsid w:val="00DE636B"/>
    <w:rsid w:val="00DE72A4"/>
    <w:rsid w:val="00DF2CB7"/>
    <w:rsid w:val="00DF7327"/>
    <w:rsid w:val="00DF7670"/>
    <w:rsid w:val="00E02DF8"/>
    <w:rsid w:val="00E05A72"/>
    <w:rsid w:val="00E06222"/>
    <w:rsid w:val="00E067FD"/>
    <w:rsid w:val="00E071C8"/>
    <w:rsid w:val="00E13CBD"/>
    <w:rsid w:val="00E20A23"/>
    <w:rsid w:val="00E21A8F"/>
    <w:rsid w:val="00E245C2"/>
    <w:rsid w:val="00E36956"/>
    <w:rsid w:val="00E40910"/>
    <w:rsid w:val="00E42642"/>
    <w:rsid w:val="00E42837"/>
    <w:rsid w:val="00E431B6"/>
    <w:rsid w:val="00E43A3C"/>
    <w:rsid w:val="00E46FBC"/>
    <w:rsid w:val="00E540C4"/>
    <w:rsid w:val="00E5617F"/>
    <w:rsid w:val="00E5647A"/>
    <w:rsid w:val="00E56E96"/>
    <w:rsid w:val="00E56ED7"/>
    <w:rsid w:val="00E65A99"/>
    <w:rsid w:val="00E660CF"/>
    <w:rsid w:val="00E71905"/>
    <w:rsid w:val="00E72BD6"/>
    <w:rsid w:val="00E7373B"/>
    <w:rsid w:val="00E740D8"/>
    <w:rsid w:val="00E74283"/>
    <w:rsid w:val="00E75124"/>
    <w:rsid w:val="00E75293"/>
    <w:rsid w:val="00E75AAB"/>
    <w:rsid w:val="00E776EE"/>
    <w:rsid w:val="00E9038F"/>
    <w:rsid w:val="00E93167"/>
    <w:rsid w:val="00E96568"/>
    <w:rsid w:val="00E97357"/>
    <w:rsid w:val="00E9775E"/>
    <w:rsid w:val="00E97A79"/>
    <w:rsid w:val="00EA32A7"/>
    <w:rsid w:val="00EA3B7D"/>
    <w:rsid w:val="00EA60B0"/>
    <w:rsid w:val="00EB09DD"/>
    <w:rsid w:val="00EB19F2"/>
    <w:rsid w:val="00EB27E0"/>
    <w:rsid w:val="00EB39B1"/>
    <w:rsid w:val="00EB41B0"/>
    <w:rsid w:val="00EB5A0C"/>
    <w:rsid w:val="00EC3079"/>
    <w:rsid w:val="00EC4F67"/>
    <w:rsid w:val="00EC77BF"/>
    <w:rsid w:val="00EC7AC5"/>
    <w:rsid w:val="00ED0037"/>
    <w:rsid w:val="00ED2608"/>
    <w:rsid w:val="00ED310E"/>
    <w:rsid w:val="00ED43D4"/>
    <w:rsid w:val="00ED49E0"/>
    <w:rsid w:val="00ED4B6B"/>
    <w:rsid w:val="00ED51BB"/>
    <w:rsid w:val="00ED706E"/>
    <w:rsid w:val="00EE1E34"/>
    <w:rsid w:val="00EE2883"/>
    <w:rsid w:val="00EF19A3"/>
    <w:rsid w:val="00EF1FA8"/>
    <w:rsid w:val="00EF2907"/>
    <w:rsid w:val="00EF5582"/>
    <w:rsid w:val="00F01CFA"/>
    <w:rsid w:val="00F06224"/>
    <w:rsid w:val="00F065B7"/>
    <w:rsid w:val="00F06C62"/>
    <w:rsid w:val="00F07F34"/>
    <w:rsid w:val="00F10523"/>
    <w:rsid w:val="00F108BA"/>
    <w:rsid w:val="00F10968"/>
    <w:rsid w:val="00F11CAF"/>
    <w:rsid w:val="00F13CA4"/>
    <w:rsid w:val="00F1452A"/>
    <w:rsid w:val="00F1538A"/>
    <w:rsid w:val="00F15FD1"/>
    <w:rsid w:val="00F17404"/>
    <w:rsid w:val="00F20C63"/>
    <w:rsid w:val="00F20D49"/>
    <w:rsid w:val="00F249B9"/>
    <w:rsid w:val="00F3046F"/>
    <w:rsid w:val="00F33148"/>
    <w:rsid w:val="00F401B8"/>
    <w:rsid w:val="00F43C01"/>
    <w:rsid w:val="00F44DB1"/>
    <w:rsid w:val="00F4537C"/>
    <w:rsid w:val="00F47216"/>
    <w:rsid w:val="00F55136"/>
    <w:rsid w:val="00F551A3"/>
    <w:rsid w:val="00F566B9"/>
    <w:rsid w:val="00F57431"/>
    <w:rsid w:val="00F577A7"/>
    <w:rsid w:val="00F60FC2"/>
    <w:rsid w:val="00F631EA"/>
    <w:rsid w:val="00F70209"/>
    <w:rsid w:val="00F70C1D"/>
    <w:rsid w:val="00F7466D"/>
    <w:rsid w:val="00F80488"/>
    <w:rsid w:val="00F82446"/>
    <w:rsid w:val="00F83912"/>
    <w:rsid w:val="00F84E9F"/>
    <w:rsid w:val="00F86460"/>
    <w:rsid w:val="00F87532"/>
    <w:rsid w:val="00F91F53"/>
    <w:rsid w:val="00F9208C"/>
    <w:rsid w:val="00F9397D"/>
    <w:rsid w:val="00F93A6A"/>
    <w:rsid w:val="00F967EC"/>
    <w:rsid w:val="00FA13B9"/>
    <w:rsid w:val="00FA1B85"/>
    <w:rsid w:val="00FA3E12"/>
    <w:rsid w:val="00FA473E"/>
    <w:rsid w:val="00FA5757"/>
    <w:rsid w:val="00FB37A6"/>
    <w:rsid w:val="00FB5DB9"/>
    <w:rsid w:val="00FC3120"/>
    <w:rsid w:val="00FD04D2"/>
    <w:rsid w:val="00FD1E93"/>
    <w:rsid w:val="00FD24FB"/>
    <w:rsid w:val="00FD2918"/>
    <w:rsid w:val="00FD2B0E"/>
    <w:rsid w:val="00FD2EEC"/>
    <w:rsid w:val="00FD5806"/>
    <w:rsid w:val="00FD6057"/>
    <w:rsid w:val="00FD7E3C"/>
    <w:rsid w:val="00FE31E1"/>
    <w:rsid w:val="00FE50C8"/>
    <w:rsid w:val="00FE570E"/>
    <w:rsid w:val="00FE7665"/>
    <w:rsid w:val="00FE7CDF"/>
    <w:rsid w:val="00FF2C54"/>
    <w:rsid w:val="00FF4DBE"/>
    <w:rsid w:val="00FF5633"/>
    <w:rsid w:val="00FF62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C6A46E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5B55"/>
    <w:pPr>
      <w:spacing w:after="0" w:line="240" w:lineRule="auto"/>
    </w:pPr>
    <w:rPr>
      <w:rFonts w:ascii="Times New Roman" w:eastAsia="Times New Roman" w:hAnsi="Times New Roman" w:cs="Times New Roman"/>
      <w:sz w:val="24"/>
      <w:szCs w:val="24"/>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D05B55"/>
    <w:pPr>
      <w:jc w:val="right"/>
    </w:pPr>
    <w:rPr>
      <w:rFonts w:ascii="Garamond" w:hAnsi="Garamond"/>
      <w:sz w:val="28"/>
      <w:szCs w:val="28"/>
    </w:rPr>
  </w:style>
  <w:style w:type="character" w:customStyle="1" w:styleId="BodyText2Char">
    <w:name w:val="Body Text 2 Char"/>
    <w:basedOn w:val="DefaultParagraphFont"/>
    <w:link w:val="BodyText2"/>
    <w:rsid w:val="00D05B55"/>
    <w:rPr>
      <w:rFonts w:ascii="Garamond" w:eastAsia="Times New Roman" w:hAnsi="Garamond" w:cs="Times New Roman"/>
      <w:sz w:val="28"/>
      <w:szCs w:val="28"/>
      <w:lang w:val="lv-LV"/>
    </w:rPr>
  </w:style>
  <w:style w:type="paragraph" w:styleId="Header">
    <w:name w:val="header"/>
    <w:basedOn w:val="Normal"/>
    <w:link w:val="HeaderChar"/>
    <w:uiPriority w:val="99"/>
    <w:unhideWhenUsed/>
    <w:rsid w:val="00D05B55"/>
    <w:pPr>
      <w:tabs>
        <w:tab w:val="center" w:pos="4320"/>
        <w:tab w:val="right" w:pos="8640"/>
      </w:tabs>
    </w:pPr>
  </w:style>
  <w:style w:type="character" w:customStyle="1" w:styleId="HeaderChar">
    <w:name w:val="Header Char"/>
    <w:basedOn w:val="DefaultParagraphFont"/>
    <w:link w:val="Header"/>
    <w:uiPriority w:val="99"/>
    <w:rsid w:val="00D05B55"/>
    <w:rPr>
      <w:rFonts w:ascii="Times New Roman" w:eastAsia="Times New Roman" w:hAnsi="Times New Roman" w:cs="Times New Roman"/>
      <w:sz w:val="24"/>
      <w:szCs w:val="24"/>
      <w:lang w:val="lv-LV"/>
    </w:rPr>
  </w:style>
  <w:style w:type="paragraph" w:styleId="Footer">
    <w:name w:val="footer"/>
    <w:basedOn w:val="Normal"/>
    <w:link w:val="FooterChar"/>
    <w:unhideWhenUsed/>
    <w:rsid w:val="00D05B55"/>
    <w:pPr>
      <w:tabs>
        <w:tab w:val="center" w:pos="4320"/>
        <w:tab w:val="right" w:pos="8640"/>
      </w:tabs>
    </w:pPr>
  </w:style>
  <w:style w:type="character" w:customStyle="1" w:styleId="FooterChar">
    <w:name w:val="Footer Char"/>
    <w:basedOn w:val="DefaultParagraphFont"/>
    <w:link w:val="Footer"/>
    <w:rsid w:val="00D05B55"/>
    <w:rPr>
      <w:rFonts w:ascii="Times New Roman" w:eastAsia="Times New Roman" w:hAnsi="Times New Roman" w:cs="Times New Roman"/>
      <w:sz w:val="24"/>
      <w:szCs w:val="24"/>
      <w:lang w:val="lv-LV"/>
    </w:rPr>
  </w:style>
  <w:style w:type="character" w:styleId="PageNumber">
    <w:name w:val="page number"/>
    <w:basedOn w:val="DefaultParagraphFont"/>
    <w:rsid w:val="00D05B55"/>
  </w:style>
  <w:style w:type="character" w:customStyle="1" w:styleId="sb8d990e2">
    <w:name w:val="sb8d990e2"/>
    <w:rsid w:val="002A3CB4"/>
  </w:style>
  <w:style w:type="paragraph" w:styleId="BalloonText">
    <w:name w:val="Balloon Text"/>
    <w:basedOn w:val="Normal"/>
    <w:link w:val="BalloonTextChar"/>
    <w:uiPriority w:val="99"/>
    <w:semiHidden/>
    <w:unhideWhenUsed/>
    <w:rsid w:val="00D258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586A"/>
    <w:rPr>
      <w:rFonts w:ascii="Segoe UI" w:eastAsia="Times New Roman" w:hAnsi="Segoe UI" w:cs="Segoe UI"/>
      <w:sz w:val="18"/>
      <w:szCs w:val="18"/>
      <w:lang w:val="lv-LV"/>
    </w:rPr>
  </w:style>
  <w:style w:type="paragraph" w:styleId="ListParagraph">
    <w:name w:val="List Paragraph"/>
    <w:basedOn w:val="Normal"/>
    <w:uiPriority w:val="34"/>
    <w:qFormat/>
    <w:rsid w:val="00525F16"/>
    <w:pPr>
      <w:ind w:left="720"/>
      <w:contextualSpacing/>
    </w:pPr>
  </w:style>
  <w:style w:type="character" w:styleId="Hyperlink">
    <w:name w:val="Hyperlink"/>
    <w:basedOn w:val="DefaultParagraphFont"/>
    <w:uiPriority w:val="99"/>
    <w:unhideWhenUsed/>
    <w:rsid w:val="00D1696C"/>
    <w:rPr>
      <w:color w:val="0563C1" w:themeColor="hyperlink"/>
      <w:u w:val="single"/>
    </w:rPr>
  </w:style>
  <w:style w:type="paragraph" w:customStyle="1" w:styleId="tv213">
    <w:name w:val="tv213"/>
    <w:basedOn w:val="Normal"/>
    <w:rsid w:val="008E3F61"/>
    <w:pPr>
      <w:spacing w:before="100" w:beforeAutospacing="1" w:after="100" w:afterAutospacing="1"/>
    </w:pPr>
    <w:rPr>
      <w:lang w:eastAsia="lv-LV"/>
    </w:rPr>
  </w:style>
  <w:style w:type="paragraph" w:customStyle="1" w:styleId="CM1">
    <w:name w:val="CM1"/>
    <w:basedOn w:val="Normal"/>
    <w:next w:val="Normal"/>
    <w:uiPriority w:val="99"/>
    <w:rsid w:val="004A07F2"/>
    <w:pPr>
      <w:autoSpaceDE w:val="0"/>
      <w:autoSpaceDN w:val="0"/>
      <w:adjustRightInd w:val="0"/>
    </w:pPr>
    <w:rPr>
      <w:rFonts w:ascii="EUAlbertina" w:eastAsiaTheme="minorHAnsi" w:hAnsi="EUAlbertina" w:cstheme="minorBidi"/>
    </w:rPr>
  </w:style>
  <w:style w:type="paragraph" w:customStyle="1" w:styleId="CM3">
    <w:name w:val="CM3"/>
    <w:basedOn w:val="Normal"/>
    <w:next w:val="Normal"/>
    <w:uiPriority w:val="99"/>
    <w:rsid w:val="004A07F2"/>
    <w:pPr>
      <w:autoSpaceDE w:val="0"/>
      <w:autoSpaceDN w:val="0"/>
      <w:adjustRightInd w:val="0"/>
    </w:pPr>
    <w:rPr>
      <w:rFonts w:ascii="EUAlbertina" w:eastAsiaTheme="minorHAnsi" w:hAnsi="EUAlbertina" w:cstheme="minorBidi"/>
    </w:rPr>
  </w:style>
  <w:style w:type="paragraph" w:customStyle="1" w:styleId="CM4">
    <w:name w:val="CM4"/>
    <w:basedOn w:val="Normal"/>
    <w:next w:val="Normal"/>
    <w:uiPriority w:val="99"/>
    <w:rsid w:val="004A07F2"/>
    <w:pPr>
      <w:autoSpaceDE w:val="0"/>
      <w:autoSpaceDN w:val="0"/>
      <w:adjustRightInd w:val="0"/>
    </w:pPr>
    <w:rPr>
      <w:rFonts w:ascii="EUAlbertina" w:eastAsiaTheme="minorHAnsi" w:hAnsi="EUAlbertina" w:cstheme="minorBidi"/>
    </w:rPr>
  </w:style>
  <w:style w:type="paragraph" w:customStyle="1" w:styleId="doc-ti">
    <w:name w:val="doc-ti"/>
    <w:basedOn w:val="Normal"/>
    <w:rsid w:val="00583194"/>
    <w:pPr>
      <w:spacing w:before="100" w:beforeAutospacing="1" w:after="100" w:afterAutospacing="1"/>
    </w:pPr>
    <w:rPr>
      <w:lang w:eastAsia="lv-LV"/>
    </w:rPr>
  </w:style>
  <w:style w:type="paragraph" w:customStyle="1" w:styleId="Default">
    <w:name w:val="Default"/>
    <w:rsid w:val="00583194"/>
    <w:pPr>
      <w:autoSpaceDE w:val="0"/>
      <w:autoSpaceDN w:val="0"/>
      <w:adjustRightInd w:val="0"/>
      <w:spacing w:after="0" w:line="240" w:lineRule="auto"/>
    </w:pPr>
    <w:rPr>
      <w:rFonts w:ascii="EUAlbertina" w:hAnsi="EUAlbertina" w:cs="EUAlbertina"/>
      <w:color w:val="000000"/>
      <w:sz w:val="24"/>
      <w:szCs w:val="24"/>
      <w:lang w:val="lv-LV"/>
    </w:rPr>
  </w:style>
  <w:style w:type="character" w:styleId="CommentReference">
    <w:name w:val="annotation reference"/>
    <w:basedOn w:val="DefaultParagraphFont"/>
    <w:uiPriority w:val="99"/>
    <w:semiHidden/>
    <w:unhideWhenUsed/>
    <w:rsid w:val="007C23C7"/>
    <w:rPr>
      <w:sz w:val="16"/>
      <w:szCs w:val="16"/>
    </w:rPr>
  </w:style>
  <w:style w:type="paragraph" w:styleId="CommentText">
    <w:name w:val="annotation text"/>
    <w:basedOn w:val="Normal"/>
    <w:link w:val="CommentTextChar"/>
    <w:uiPriority w:val="99"/>
    <w:semiHidden/>
    <w:unhideWhenUsed/>
    <w:rsid w:val="007C23C7"/>
    <w:rPr>
      <w:sz w:val="20"/>
      <w:szCs w:val="20"/>
    </w:rPr>
  </w:style>
  <w:style w:type="character" w:customStyle="1" w:styleId="CommentTextChar">
    <w:name w:val="Comment Text Char"/>
    <w:basedOn w:val="DefaultParagraphFont"/>
    <w:link w:val="CommentText"/>
    <w:uiPriority w:val="99"/>
    <w:semiHidden/>
    <w:rsid w:val="007C23C7"/>
    <w:rPr>
      <w:rFonts w:ascii="Times New Roman" w:eastAsia="Times New Roman" w:hAnsi="Times New Roman" w:cs="Times New Roman"/>
      <w:sz w:val="20"/>
      <w:szCs w:val="20"/>
      <w:lang w:val="lv-LV"/>
    </w:rPr>
  </w:style>
  <w:style w:type="paragraph" w:styleId="CommentSubject">
    <w:name w:val="annotation subject"/>
    <w:basedOn w:val="CommentText"/>
    <w:next w:val="CommentText"/>
    <w:link w:val="CommentSubjectChar"/>
    <w:uiPriority w:val="99"/>
    <w:semiHidden/>
    <w:unhideWhenUsed/>
    <w:rsid w:val="007C23C7"/>
    <w:rPr>
      <w:b/>
      <w:bCs/>
    </w:rPr>
  </w:style>
  <w:style w:type="character" w:customStyle="1" w:styleId="CommentSubjectChar">
    <w:name w:val="Comment Subject Char"/>
    <w:basedOn w:val="CommentTextChar"/>
    <w:link w:val="CommentSubject"/>
    <w:uiPriority w:val="99"/>
    <w:semiHidden/>
    <w:rsid w:val="007C23C7"/>
    <w:rPr>
      <w:rFonts w:ascii="Times New Roman" w:eastAsia="Times New Roman" w:hAnsi="Times New Roman" w:cs="Times New Roman"/>
      <w:b/>
      <w:bCs/>
      <w:sz w:val="20"/>
      <w:szCs w:val="20"/>
      <w:lang w:val="lv-LV"/>
    </w:rPr>
  </w:style>
  <w:style w:type="character" w:styleId="UnresolvedMention">
    <w:name w:val="Unresolved Mention"/>
    <w:basedOn w:val="DefaultParagraphFont"/>
    <w:uiPriority w:val="99"/>
    <w:semiHidden/>
    <w:unhideWhenUsed/>
    <w:rsid w:val="00D93A6C"/>
    <w:rPr>
      <w:color w:val="605E5C"/>
      <w:shd w:val="clear" w:color="auto" w:fill="E1DFDD"/>
    </w:rPr>
  </w:style>
  <w:style w:type="character" w:styleId="FollowedHyperlink">
    <w:name w:val="FollowedHyperlink"/>
    <w:basedOn w:val="DefaultParagraphFont"/>
    <w:uiPriority w:val="99"/>
    <w:semiHidden/>
    <w:unhideWhenUsed/>
    <w:rsid w:val="006C3EE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0487533">
      <w:bodyDiv w:val="1"/>
      <w:marLeft w:val="0"/>
      <w:marRight w:val="0"/>
      <w:marTop w:val="0"/>
      <w:marBottom w:val="0"/>
      <w:divBdr>
        <w:top w:val="none" w:sz="0" w:space="0" w:color="auto"/>
        <w:left w:val="none" w:sz="0" w:space="0" w:color="auto"/>
        <w:bottom w:val="none" w:sz="0" w:space="0" w:color="auto"/>
        <w:right w:val="none" w:sz="0" w:space="0" w:color="auto"/>
      </w:divBdr>
    </w:div>
    <w:div w:id="1631397757">
      <w:bodyDiv w:val="1"/>
      <w:marLeft w:val="0"/>
      <w:marRight w:val="0"/>
      <w:marTop w:val="0"/>
      <w:marBottom w:val="0"/>
      <w:divBdr>
        <w:top w:val="none" w:sz="0" w:space="0" w:color="auto"/>
        <w:left w:val="none" w:sz="0" w:space="0" w:color="auto"/>
        <w:bottom w:val="none" w:sz="0" w:space="0" w:color="auto"/>
        <w:right w:val="none" w:sz="0" w:space="0" w:color="auto"/>
      </w:divBdr>
    </w:div>
    <w:div w:id="2146504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410297.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87C9DD-A978-4480-B531-ABAF1C80A2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8869</Words>
  <Characters>5056</Characters>
  <Application>Microsoft Office Word</Application>
  <DocSecurity>0</DocSecurity>
  <Lines>42</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2020-05-29T09:55:00Z</dcterms:created>
  <dcterms:modified xsi:type="dcterms:W3CDTF">2020-05-29T09:55:00Z</dcterms:modified>
</cp:coreProperties>
</file>