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D965EA" w14:textId="387492EE" w:rsidR="00493381" w:rsidRPr="00047754" w:rsidRDefault="00047754" w:rsidP="00047754">
      <w:pPr>
        <w:pStyle w:val="BodyText2"/>
        <w:spacing w:line="276" w:lineRule="auto"/>
        <w:jc w:val="both"/>
        <w:outlineLvl w:val="0"/>
        <w:rPr>
          <w:rFonts w:ascii="Times New Roman" w:hAnsi="Times New Roman"/>
          <w:sz w:val="24"/>
          <w:szCs w:val="24"/>
        </w:rPr>
      </w:pPr>
      <w:r w:rsidRPr="00047754">
        <w:rPr>
          <w:rFonts w:ascii="Times New Roman" w:hAnsi="Times New Roman"/>
          <w:b/>
          <w:bCs/>
          <w:sz w:val="24"/>
          <w:szCs w:val="24"/>
        </w:rPr>
        <w:t xml:space="preserve">Krimināllikuma </w:t>
      </w:r>
      <w:proofErr w:type="gramStart"/>
      <w:r w:rsidRPr="00047754">
        <w:rPr>
          <w:rFonts w:ascii="Times New Roman" w:hAnsi="Times New Roman"/>
          <w:b/>
          <w:bCs/>
          <w:sz w:val="24"/>
          <w:szCs w:val="24"/>
        </w:rPr>
        <w:t>309.pantā</w:t>
      </w:r>
      <w:proofErr w:type="gramEnd"/>
      <w:r w:rsidRPr="00047754">
        <w:rPr>
          <w:rFonts w:ascii="Times New Roman" w:hAnsi="Times New Roman"/>
          <w:b/>
          <w:bCs/>
          <w:sz w:val="24"/>
          <w:szCs w:val="24"/>
        </w:rPr>
        <w:t xml:space="preserve"> paredzētā noziedzīgā nodarījuma (</w:t>
      </w:r>
      <w:r w:rsidRPr="00047754">
        <w:rPr>
          <w:rFonts w:ascii="Times New Roman" w:hAnsi="Times New Roman"/>
          <w:b/>
          <w:bCs/>
          <w:color w:val="000000"/>
          <w:sz w:val="24"/>
          <w:szCs w:val="24"/>
          <w:shd w:val="clear" w:color="auto" w:fill="FFFFFF"/>
        </w:rPr>
        <w:t>Nelikumīga vielu un priekšmetu nodošana personām un saņemšana no personām, kuras ievietotas īslaicīgās aizturēšanas un ieslodzījuma vietās</w:t>
      </w:r>
      <w:r w:rsidRPr="00047754">
        <w:rPr>
          <w:rFonts w:ascii="Times New Roman" w:hAnsi="Times New Roman"/>
          <w:b/>
          <w:bCs/>
          <w:sz w:val="24"/>
          <w:szCs w:val="24"/>
        </w:rPr>
        <w:t>) subjektīvā puse – tiešs nodoms</w:t>
      </w:r>
    </w:p>
    <w:p w14:paraId="50D7068E" w14:textId="456C3EB1" w:rsidR="00DF63ED" w:rsidRPr="00047754" w:rsidRDefault="00DF63ED" w:rsidP="00DF63ED">
      <w:pPr>
        <w:pStyle w:val="BodyText2"/>
        <w:spacing w:line="276" w:lineRule="auto"/>
        <w:outlineLvl w:val="0"/>
        <w:rPr>
          <w:rFonts w:ascii="Times New Roman" w:hAnsi="Times New Roman"/>
          <w:sz w:val="24"/>
          <w:szCs w:val="24"/>
        </w:rPr>
      </w:pPr>
    </w:p>
    <w:p w14:paraId="394EDE69" w14:textId="7207AC6D" w:rsidR="00DF63ED" w:rsidRDefault="00DF63ED" w:rsidP="00047754">
      <w:pPr>
        <w:pStyle w:val="BodyText2"/>
        <w:spacing w:line="276" w:lineRule="auto"/>
        <w:jc w:val="left"/>
      </w:pPr>
    </w:p>
    <w:p w14:paraId="20DD3DD3" w14:textId="77777777" w:rsidR="00047754" w:rsidRPr="00047754" w:rsidRDefault="00DF63ED" w:rsidP="00DF63ED">
      <w:pPr>
        <w:spacing w:line="276" w:lineRule="auto"/>
        <w:jc w:val="center"/>
        <w:rPr>
          <w:b/>
        </w:rPr>
      </w:pPr>
      <w:r w:rsidRPr="00047754">
        <w:rPr>
          <w:b/>
        </w:rPr>
        <w:t>Latvijas Republikas Senāt</w:t>
      </w:r>
      <w:r w:rsidR="00047754" w:rsidRPr="00047754">
        <w:rPr>
          <w:b/>
        </w:rPr>
        <w:t>a</w:t>
      </w:r>
      <w:r w:rsidRPr="00047754">
        <w:rPr>
          <w:b/>
        </w:rPr>
        <w:t xml:space="preserve"> </w:t>
      </w:r>
    </w:p>
    <w:p w14:paraId="59E20120" w14:textId="77777777" w:rsidR="00047754" w:rsidRPr="00047754" w:rsidRDefault="00047754" w:rsidP="00DF63ED">
      <w:pPr>
        <w:spacing w:line="276" w:lineRule="auto"/>
        <w:jc w:val="center"/>
        <w:rPr>
          <w:b/>
        </w:rPr>
      </w:pPr>
      <w:r w:rsidRPr="00047754">
        <w:rPr>
          <w:b/>
        </w:rPr>
        <w:t>Krimināllietu departamenta</w:t>
      </w:r>
    </w:p>
    <w:p w14:paraId="21B725F5" w14:textId="26CB21F2" w:rsidR="00DF63ED" w:rsidRPr="00047754" w:rsidRDefault="00047754" w:rsidP="00DF63ED">
      <w:pPr>
        <w:spacing w:line="276" w:lineRule="auto"/>
        <w:jc w:val="center"/>
        <w:rPr>
          <w:b/>
        </w:rPr>
      </w:pPr>
      <w:proofErr w:type="gramStart"/>
      <w:r w:rsidRPr="00047754">
        <w:rPr>
          <w:b/>
        </w:rPr>
        <w:t>2020.gada</w:t>
      </w:r>
      <w:proofErr w:type="gramEnd"/>
      <w:r w:rsidRPr="00047754">
        <w:rPr>
          <w:b/>
        </w:rPr>
        <w:t xml:space="preserve"> 14.maija</w:t>
      </w:r>
    </w:p>
    <w:p w14:paraId="53A59F4D" w14:textId="77777777" w:rsidR="00047754" w:rsidRPr="00047754" w:rsidRDefault="00DF63ED" w:rsidP="00DF63ED">
      <w:pPr>
        <w:spacing w:line="276" w:lineRule="auto"/>
        <w:jc w:val="center"/>
        <w:rPr>
          <w:b/>
        </w:rPr>
      </w:pPr>
      <w:r w:rsidRPr="00047754">
        <w:rPr>
          <w:b/>
        </w:rPr>
        <w:t>LĒMUMS</w:t>
      </w:r>
      <w:r w:rsidR="00047754" w:rsidRPr="00047754">
        <w:rPr>
          <w:b/>
        </w:rPr>
        <w:t xml:space="preserve"> </w:t>
      </w:r>
    </w:p>
    <w:p w14:paraId="0A37EA3E" w14:textId="13DD289D" w:rsidR="00DF63ED" w:rsidRPr="00047754" w:rsidRDefault="00047754" w:rsidP="00DF63ED">
      <w:pPr>
        <w:spacing w:line="276" w:lineRule="auto"/>
        <w:jc w:val="center"/>
        <w:rPr>
          <w:b/>
        </w:rPr>
      </w:pPr>
      <w:r w:rsidRPr="00047754">
        <w:rPr>
          <w:b/>
        </w:rPr>
        <w:t>Lieta Nr. 11088207916, SKK-32/2020</w:t>
      </w:r>
    </w:p>
    <w:p w14:paraId="266BC822" w14:textId="329E5EF9" w:rsidR="00047754" w:rsidRPr="00047754" w:rsidRDefault="00E32C47" w:rsidP="00DF63ED">
      <w:pPr>
        <w:spacing w:line="276" w:lineRule="auto"/>
        <w:jc w:val="center"/>
        <w:rPr>
          <w:bCs/>
        </w:rPr>
      </w:pPr>
      <w:hyperlink r:id="rId7" w:history="1">
        <w:r w:rsidR="00047754" w:rsidRPr="00047754">
          <w:rPr>
            <w:rStyle w:val="Hyperlink"/>
            <w:bCs/>
            <w:shd w:val="clear" w:color="auto" w:fill="FFFFFF"/>
          </w:rPr>
          <w:t>ECLI:LV:AT:2020:0514.11088207916.6.L</w:t>
        </w:r>
      </w:hyperlink>
    </w:p>
    <w:p w14:paraId="1E2215E1" w14:textId="4EB12AAD" w:rsidR="00DF63ED" w:rsidRPr="009E6006" w:rsidRDefault="00DF63ED" w:rsidP="00DF63ED">
      <w:pPr>
        <w:spacing w:line="276" w:lineRule="auto"/>
        <w:jc w:val="center"/>
        <w:outlineLvl w:val="0"/>
      </w:pPr>
    </w:p>
    <w:p w14:paraId="1CAE2BE9" w14:textId="77777777" w:rsidR="00DF63ED" w:rsidRPr="009E6006" w:rsidRDefault="00DF63ED" w:rsidP="00DF63ED">
      <w:pPr>
        <w:spacing w:line="276" w:lineRule="auto"/>
        <w:ind w:firstLine="567"/>
        <w:contextualSpacing/>
        <w:jc w:val="center"/>
      </w:pPr>
    </w:p>
    <w:p w14:paraId="60D754F2" w14:textId="77777777" w:rsidR="00DF63ED" w:rsidRPr="00A45415" w:rsidRDefault="00DF63ED" w:rsidP="00F30E2B">
      <w:pPr>
        <w:spacing w:line="276" w:lineRule="auto"/>
        <w:ind w:firstLine="652"/>
        <w:contextualSpacing/>
      </w:pPr>
      <w:r>
        <w:t>Tiesa šādā sastāvā</w:t>
      </w:r>
      <w:r w:rsidRPr="007E0DE2">
        <w:t xml:space="preserve">: </w:t>
      </w:r>
      <w:r>
        <w:t>senatori Aija Branta, Artūrs Freibergs, Anita Poļakova</w:t>
      </w:r>
    </w:p>
    <w:p w14:paraId="3FE2B6CF" w14:textId="77777777" w:rsidR="00DF63ED" w:rsidRPr="009E6006" w:rsidRDefault="00DF63ED" w:rsidP="00F30E2B">
      <w:pPr>
        <w:tabs>
          <w:tab w:val="left" w:pos="-3120"/>
        </w:tabs>
        <w:suppressAutoHyphens/>
        <w:spacing w:line="276" w:lineRule="auto"/>
        <w:ind w:firstLine="652"/>
        <w:contextualSpacing/>
        <w:jc w:val="both"/>
      </w:pPr>
    </w:p>
    <w:p w14:paraId="778BF671" w14:textId="1657861D" w:rsidR="00DF63ED" w:rsidRPr="009E6006" w:rsidRDefault="00DF63ED" w:rsidP="00F30E2B">
      <w:pPr>
        <w:tabs>
          <w:tab w:val="left" w:pos="-3120"/>
        </w:tabs>
        <w:suppressAutoHyphens/>
        <w:spacing w:line="276" w:lineRule="auto"/>
        <w:ind w:firstLine="652"/>
        <w:contextualSpacing/>
        <w:jc w:val="both"/>
      </w:pPr>
      <w:r w:rsidRPr="009E6006">
        <w:t xml:space="preserve">izskatīja rakstveida procesā krimināllietu sakarā ar </w:t>
      </w:r>
      <w:r>
        <w:t xml:space="preserve">apsūdzētās </w:t>
      </w:r>
      <w:r w:rsidR="005600C7">
        <w:t>[pers. A]</w:t>
      </w:r>
      <w:r w:rsidRPr="009E6006">
        <w:t xml:space="preserve"> </w:t>
      </w:r>
      <w:r>
        <w:t>kasācijas sūdzību</w:t>
      </w:r>
      <w:r w:rsidRPr="009E6006">
        <w:t xml:space="preserve"> par </w:t>
      </w:r>
      <w:r>
        <w:t>Rīgas apgabaltiesas</w:t>
      </w:r>
      <w:r w:rsidRPr="009E6006">
        <w:t xml:space="preserve"> </w:t>
      </w:r>
      <w:proofErr w:type="gramStart"/>
      <w:r w:rsidRPr="009E6006">
        <w:t>201</w:t>
      </w:r>
      <w:r>
        <w:t>9</w:t>
      </w:r>
      <w:r w:rsidRPr="009E6006">
        <w:t>.gada</w:t>
      </w:r>
      <w:proofErr w:type="gramEnd"/>
      <w:r w:rsidRPr="009E6006">
        <w:t xml:space="preserve"> </w:t>
      </w:r>
      <w:r>
        <w:t>2.aprīļa</w:t>
      </w:r>
      <w:r w:rsidRPr="009E6006">
        <w:t xml:space="preserve"> </w:t>
      </w:r>
      <w:r>
        <w:t>lēmumu</w:t>
      </w:r>
      <w:r w:rsidRPr="009E6006">
        <w:t>.</w:t>
      </w:r>
    </w:p>
    <w:p w14:paraId="4F7A45AF" w14:textId="77777777" w:rsidR="00DF63ED" w:rsidRPr="009E6006" w:rsidRDefault="00DF63ED" w:rsidP="00F30E2B">
      <w:pPr>
        <w:suppressAutoHyphens/>
        <w:spacing w:line="276" w:lineRule="auto"/>
        <w:ind w:firstLine="652"/>
        <w:contextualSpacing/>
      </w:pPr>
    </w:p>
    <w:p w14:paraId="20D03580" w14:textId="77777777" w:rsidR="00DF63ED" w:rsidRPr="009E6006" w:rsidRDefault="00DF63ED" w:rsidP="00F30E2B">
      <w:pPr>
        <w:spacing w:line="276" w:lineRule="auto"/>
        <w:ind w:firstLine="652"/>
        <w:contextualSpacing/>
        <w:jc w:val="center"/>
        <w:rPr>
          <w:b/>
        </w:rPr>
      </w:pPr>
      <w:r w:rsidRPr="009E6006">
        <w:rPr>
          <w:b/>
        </w:rPr>
        <w:t>Aprakstošā daļa</w:t>
      </w:r>
    </w:p>
    <w:p w14:paraId="6EA12AB1" w14:textId="77777777" w:rsidR="00DF63ED" w:rsidRPr="009E6006" w:rsidRDefault="00DF63ED" w:rsidP="00F30E2B">
      <w:pPr>
        <w:suppressAutoHyphens/>
        <w:spacing w:line="276" w:lineRule="auto"/>
        <w:ind w:firstLine="652"/>
        <w:contextualSpacing/>
        <w:rPr>
          <w:b/>
        </w:rPr>
      </w:pPr>
    </w:p>
    <w:p w14:paraId="37EFB52C" w14:textId="77777777" w:rsidR="00DF63ED" w:rsidRPr="009E6006" w:rsidRDefault="00DF63ED" w:rsidP="00F30E2B">
      <w:pPr>
        <w:pStyle w:val="ListParagraph"/>
        <w:numPr>
          <w:ilvl w:val="0"/>
          <w:numId w:val="1"/>
        </w:numPr>
        <w:tabs>
          <w:tab w:val="left" w:pos="993"/>
        </w:tabs>
        <w:spacing w:line="276" w:lineRule="auto"/>
        <w:ind w:left="0" w:firstLine="652"/>
        <w:jc w:val="both"/>
      </w:pPr>
      <w:r w:rsidRPr="009E6006">
        <w:t xml:space="preserve">Ar </w:t>
      </w:r>
      <w:r>
        <w:t>Rīgas pilsētas Latgales priekšpilsētas</w:t>
      </w:r>
      <w:r w:rsidRPr="009E6006">
        <w:t xml:space="preserve"> tiesas </w:t>
      </w:r>
      <w:proofErr w:type="gramStart"/>
      <w:r w:rsidRPr="009E6006">
        <w:t>201</w:t>
      </w:r>
      <w:r>
        <w:t>8</w:t>
      </w:r>
      <w:r w:rsidRPr="009E6006">
        <w:t>.gada</w:t>
      </w:r>
      <w:proofErr w:type="gramEnd"/>
      <w:r w:rsidRPr="009E6006">
        <w:t xml:space="preserve"> </w:t>
      </w:r>
      <w:r>
        <w:t>21.novembra</w:t>
      </w:r>
      <w:r w:rsidRPr="009E6006">
        <w:t xml:space="preserve"> spriedumu</w:t>
      </w:r>
    </w:p>
    <w:p w14:paraId="02062FFB" w14:textId="70A29948" w:rsidR="00DF63ED" w:rsidRPr="009E6006" w:rsidRDefault="005600C7" w:rsidP="00F30E2B">
      <w:pPr>
        <w:pStyle w:val="tv213"/>
        <w:spacing w:before="0" w:beforeAutospacing="0" w:after="0" w:afterAutospacing="0" w:line="276" w:lineRule="auto"/>
        <w:ind w:firstLine="652"/>
        <w:contextualSpacing/>
        <w:jc w:val="both"/>
      </w:pPr>
      <w:r>
        <w:t>[pers. A]</w:t>
      </w:r>
      <w:r w:rsidR="00DF63ED">
        <w:t>,</w:t>
      </w:r>
      <w:r w:rsidR="00DF63ED" w:rsidRPr="009E6006">
        <w:t xml:space="preserve"> </w:t>
      </w:r>
      <w:r w:rsidR="0025117F" w:rsidRPr="009E6006">
        <w:t xml:space="preserve">personas kods </w:t>
      </w:r>
      <w:r>
        <w:t>[..]</w:t>
      </w:r>
      <w:r w:rsidR="00DF63ED" w:rsidRPr="009E6006">
        <w:t>,</w:t>
      </w:r>
    </w:p>
    <w:p w14:paraId="426B5F3D" w14:textId="77777777" w:rsidR="00DF63ED" w:rsidRDefault="00DF63ED" w:rsidP="00F30E2B">
      <w:pPr>
        <w:spacing w:line="276" w:lineRule="auto"/>
        <w:ind w:firstLine="652"/>
        <w:contextualSpacing/>
        <w:jc w:val="both"/>
      </w:pPr>
      <w:r w:rsidRPr="009E6006">
        <w:t>atzīt</w:t>
      </w:r>
      <w:r>
        <w:t>a</w:t>
      </w:r>
      <w:r w:rsidRPr="009E6006">
        <w:t xml:space="preserve"> par vainīgu </w:t>
      </w:r>
      <w:r>
        <w:t xml:space="preserve">Krimināllikuma </w:t>
      </w:r>
      <w:proofErr w:type="gramStart"/>
      <w:r>
        <w:t>15.panta</w:t>
      </w:r>
      <w:proofErr w:type="gramEnd"/>
      <w:r>
        <w:t xml:space="preserve"> ceturtajā daļā un 309.panta otrajā daļā paredzētajā noziedzīgajā nodarījumā un sodīta ar brīvības atņemšanu uz 3 gadiem un probācijas uzraudzību uz 1 gadu.</w:t>
      </w:r>
    </w:p>
    <w:p w14:paraId="2C3183B3" w14:textId="77777777" w:rsidR="00DF63ED" w:rsidRDefault="00DF63ED" w:rsidP="00F30E2B">
      <w:pPr>
        <w:spacing w:line="276" w:lineRule="auto"/>
        <w:ind w:firstLine="652"/>
        <w:contextualSpacing/>
        <w:jc w:val="both"/>
      </w:pPr>
    </w:p>
    <w:p w14:paraId="02964106" w14:textId="02E0143C" w:rsidR="00DF63ED" w:rsidRDefault="00DF63ED" w:rsidP="00F30E2B">
      <w:pPr>
        <w:spacing w:line="276" w:lineRule="auto"/>
        <w:ind w:firstLine="652"/>
        <w:contextualSpacing/>
        <w:jc w:val="both"/>
      </w:pPr>
      <w:r>
        <w:t xml:space="preserve">[2] Ar Rīgas pilsētas Latgales priekšpilsētas tiesas </w:t>
      </w:r>
      <w:proofErr w:type="gramStart"/>
      <w:r>
        <w:t>2018.gada</w:t>
      </w:r>
      <w:proofErr w:type="gramEnd"/>
      <w:r>
        <w:t xml:space="preserve"> 21.novembra spriedumu </w:t>
      </w:r>
      <w:r w:rsidR="005600C7">
        <w:t>[pers. A]</w:t>
      </w:r>
      <w:r w:rsidRPr="002A65F4">
        <w:t xml:space="preserve"> </w:t>
      </w:r>
      <w:r>
        <w:t>atzīta par vainīgu un sodīt</w:t>
      </w:r>
      <w:r w:rsidR="00B110BF">
        <w:t xml:space="preserve">a </w:t>
      </w:r>
      <w:r>
        <w:t>pēc Krimināllikuma 15.panta ceturtās daļas un 309.panta otrās daļas par narkotisko vielu un psihotropo vielu nodošanas mēģinājumu personai, kura ievietota ieslodzījuma vietā.</w:t>
      </w:r>
    </w:p>
    <w:p w14:paraId="5949323C" w14:textId="77777777" w:rsidR="00DF63ED" w:rsidRDefault="00DF63ED" w:rsidP="00F30E2B">
      <w:pPr>
        <w:spacing w:line="276" w:lineRule="auto"/>
        <w:ind w:firstLine="652"/>
        <w:contextualSpacing/>
        <w:jc w:val="both"/>
      </w:pPr>
    </w:p>
    <w:p w14:paraId="68190455" w14:textId="4DA1601B" w:rsidR="00DF63ED" w:rsidRDefault="00DF63ED" w:rsidP="00F30E2B">
      <w:pPr>
        <w:spacing w:line="276" w:lineRule="auto"/>
        <w:ind w:firstLine="652"/>
        <w:contextualSpacing/>
        <w:jc w:val="both"/>
      </w:pPr>
      <w:r>
        <w:t xml:space="preserve">[3] Ar Rīgas apgabaltiesas </w:t>
      </w:r>
      <w:proofErr w:type="gramStart"/>
      <w:r>
        <w:t>2019.gada</w:t>
      </w:r>
      <w:proofErr w:type="gramEnd"/>
      <w:r>
        <w:t xml:space="preserve"> 2.aprīļa lēmumu, iztiesājot lietu sakarā ar apsūdzētās </w:t>
      </w:r>
      <w:r w:rsidR="005600C7">
        <w:t>[pers. A]</w:t>
      </w:r>
      <w:r>
        <w:t xml:space="preserve"> apelācijas sūdzību, Rīgas pilsētas Latgales priekšpilsētas tiesas </w:t>
      </w:r>
      <w:proofErr w:type="gramStart"/>
      <w:r>
        <w:t>2018.gada</w:t>
      </w:r>
      <w:proofErr w:type="gramEnd"/>
      <w:r>
        <w:t xml:space="preserve"> 21.novembra spriedums atstāts negrozīts.</w:t>
      </w:r>
    </w:p>
    <w:p w14:paraId="22C82E3C" w14:textId="77777777" w:rsidR="00DF63ED" w:rsidRDefault="00DF63ED" w:rsidP="00F30E2B">
      <w:pPr>
        <w:spacing w:line="276" w:lineRule="auto"/>
        <w:ind w:firstLine="652"/>
        <w:contextualSpacing/>
        <w:jc w:val="both"/>
      </w:pPr>
    </w:p>
    <w:p w14:paraId="74A28936" w14:textId="2D68D43A" w:rsidR="00DF63ED" w:rsidRDefault="00DF63ED" w:rsidP="00F30E2B">
      <w:pPr>
        <w:spacing w:line="276" w:lineRule="auto"/>
        <w:ind w:firstLine="652"/>
        <w:contextualSpacing/>
        <w:jc w:val="both"/>
      </w:pPr>
      <w:r>
        <w:t xml:space="preserve">[4] Par Rīgas apgabaltiesas </w:t>
      </w:r>
      <w:proofErr w:type="gramStart"/>
      <w:r>
        <w:t>2019.gada</w:t>
      </w:r>
      <w:proofErr w:type="gramEnd"/>
      <w:r>
        <w:t xml:space="preserve"> 2.aprīļa lēmumu apsūdzētā </w:t>
      </w:r>
      <w:r w:rsidR="005600C7">
        <w:t>[pers. A]</w:t>
      </w:r>
      <w:r>
        <w:t xml:space="preserve"> iesniegusi kasācijas sūdzību, lūdzot pilnībā atcelt lēmumu un izbeigt kriminālprocesu noziedzīgā nodarījuma sastāva trūkuma dēļ viņas darbībās.</w:t>
      </w:r>
    </w:p>
    <w:p w14:paraId="1A76DF85" w14:textId="77777777" w:rsidR="002C4105" w:rsidRDefault="00DF63ED" w:rsidP="00F30E2B">
      <w:pPr>
        <w:spacing w:line="276" w:lineRule="auto"/>
        <w:ind w:firstLine="652"/>
        <w:contextualSpacing/>
        <w:jc w:val="both"/>
      </w:pPr>
      <w:r>
        <w:t>Sūdzībā izteikto lūgumu apsūdzētā pamatojusi ar turpmāk norādītajiem argumentiem.</w:t>
      </w:r>
    </w:p>
    <w:p w14:paraId="5D69B161" w14:textId="77777777" w:rsidR="002C4105" w:rsidRDefault="00DF63ED" w:rsidP="00F30E2B">
      <w:pPr>
        <w:spacing w:line="276" w:lineRule="auto"/>
        <w:ind w:firstLine="652"/>
        <w:contextualSpacing/>
        <w:jc w:val="both"/>
      </w:pPr>
      <w:r>
        <w:t xml:space="preserve">[4.1] Apelācijas instances tiesa, kvalificējot viņas nodarījumu, pieļāvusi Kriminālprocesa likuma </w:t>
      </w:r>
      <w:proofErr w:type="gramStart"/>
      <w:r>
        <w:t>574.panta</w:t>
      </w:r>
      <w:proofErr w:type="gramEnd"/>
      <w:r>
        <w:t xml:space="preserve"> 1. un 2.punktā norādītos pārkāpumus.</w:t>
      </w:r>
    </w:p>
    <w:p w14:paraId="3AC6BBB1" w14:textId="77777777" w:rsidR="00DF63ED" w:rsidRDefault="00DF63ED" w:rsidP="00F30E2B">
      <w:pPr>
        <w:spacing w:line="276" w:lineRule="auto"/>
        <w:ind w:firstLine="652"/>
        <w:contextualSpacing/>
        <w:jc w:val="both"/>
      </w:pPr>
      <w:r>
        <w:t xml:space="preserve">Krimināllikuma </w:t>
      </w:r>
      <w:proofErr w:type="gramStart"/>
      <w:r>
        <w:t>309.panta</w:t>
      </w:r>
      <w:proofErr w:type="gramEnd"/>
      <w:r>
        <w:t xml:space="preserve"> otrajā daļā paredzēto noziedzīgo nodarījumu raksturo vainīgās personas tiešs nodoms. Savukārt lietā nav iegūti ticami un pietiekami pierādījumi tam, ka viņa ievietoja narkotiskās</w:t>
      </w:r>
      <w:r w:rsidR="00037C74">
        <w:t xml:space="preserve"> un psihotropās</w:t>
      </w:r>
      <w:r>
        <w:t xml:space="preserve"> vielas krimināllietas materiālu kopijās, vai ka viņa </w:t>
      </w:r>
      <w:r>
        <w:lastRenderedPageBreak/>
        <w:t>zināj</w:t>
      </w:r>
      <w:r w:rsidR="00037C74">
        <w:t xml:space="preserve">a par šo vielu esību. Savukārt viņai </w:t>
      </w:r>
      <w:r>
        <w:t>nodot</w:t>
      </w:r>
      <w:r w:rsidR="00037C74">
        <w:t>o mapi (</w:t>
      </w:r>
      <w:r w:rsidR="00037C74" w:rsidRPr="006E4180">
        <w:t>acīmredzot, domāts – mapi, kurā iešūtas krimināllietas Nr. 11353003014 materiālu kopijas)</w:t>
      </w:r>
      <w:r>
        <w:t xml:space="preserve"> nav pārbaudījusi.</w:t>
      </w:r>
    </w:p>
    <w:p w14:paraId="751B4CE4" w14:textId="6BC4CD74" w:rsidR="00792838" w:rsidRDefault="00DF63ED" w:rsidP="00EE0DFA">
      <w:pPr>
        <w:spacing w:line="276" w:lineRule="auto"/>
        <w:ind w:firstLine="652"/>
        <w:contextualSpacing/>
        <w:jc w:val="both"/>
      </w:pPr>
      <w:r>
        <w:t xml:space="preserve">[4.2] Lietā nav ticamu un pieļaujamu pierādījumu </w:t>
      </w:r>
      <w:r w:rsidR="00486611">
        <w:t xml:space="preserve">arī </w:t>
      </w:r>
      <w:r>
        <w:t>tam, ka krimināllietai pievienotais lietiskais pierādījums, kurā tika konstatētas aizliegtās vielas, ir tas pats priekšmets, kurš viņai tika nodots degvielas uzpildes stacijā. Lai gan</w:t>
      </w:r>
      <w:r w:rsidR="00240DD3">
        <w:t xml:space="preserve"> </w:t>
      </w:r>
      <w:r w:rsidR="00037C74">
        <w:t xml:space="preserve">mapi </w:t>
      </w:r>
      <w:r>
        <w:t>viņa turējusi rokās bez cimdiem, ne viņas DNS, ne pirkstu</w:t>
      </w:r>
      <w:r w:rsidR="00250E89">
        <w:t xml:space="preserve"> pēdas</w:t>
      </w:r>
      <w:r>
        <w:t xml:space="preserve"> uz tās netika atrasti. Savukārt procesuālie dokumenti – lēmums par izņemšanas izdarīšanu, izņemšanas protokols, apskates protokols – sastādīti viņai klāt neesot, un viņa tos nav parakstījusi. Minētajos dokumentos iztrūkst izņemtās mapes un krimināllietas materiālu apraksta, bet no apskates protokolam pie</w:t>
      </w:r>
      <w:r w:rsidR="00C114C9">
        <w:t>vienotajiem mapes fotoattēliem</w:t>
      </w:r>
      <w:r>
        <w:t xml:space="preserve"> nav ie</w:t>
      </w:r>
      <w:r w:rsidR="00C114C9">
        <w:t>spējams konstatēt, kad šie fotoattēli izgatavoti. Mapes foto</w:t>
      </w:r>
      <w:r>
        <w:t>attēlā un uz lietai pievienotā lietiskā pierādījuma redzamas mapei raksturīgas melnas svītriņas, bet lietiskā pierādījuma apskates protokolā šāda atšķirība nav norādīta. Līdz ar to apelācijas instances tiesai nebija pamata atzīt, ka pirmās instances tiesa ir novērsusi šaubas, ka ekspertīzei nosūtīt</w:t>
      </w:r>
      <w:r w:rsidR="00305288">
        <w:t>s</w:t>
      </w:r>
      <w:r w:rsidR="00901337">
        <w:t xml:space="preserve"> t</w:t>
      </w:r>
      <w:r w:rsidR="00305288">
        <w:t>as pats priekšmets</w:t>
      </w:r>
      <w:r w:rsidR="00901337">
        <w:t>,</w:t>
      </w:r>
      <w:r>
        <w:t xml:space="preserve"> </w:t>
      </w:r>
      <w:r w:rsidR="00901337">
        <w:t>ko</w:t>
      </w:r>
      <w:r>
        <w:t xml:space="preserve"> viņa nodevusi cietuma darbiniekiem apskates veikšanai</w:t>
      </w:r>
      <w:r w:rsidR="00B110BF">
        <w:t>,</w:t>
      </w:r>
      <w:r>
        <w:t xml:space="preserve"> </w:t>
      </w:r>
      <w:proofErr w:type="gramStart"/>
      <w:r w:rsidRPr="00067A7F">
        <w:t>un ka tieši</w:t>
      </w:r>
      <w:r w:rsidR="00486611" w:rsidRPr="00067A7F">
        <w:t xml:space="preserve"> i</w:t>
      </w:r>
      <w:r w:rsidR="00901337" w:rsidRPr="00067A7F">
        <w:t xml:space="preserve">zņemtajā </w:t>
      </w:r>
      <w:r w:rsidR="00305288" w:rsidRPr="00067A7F">
        <w:t>priekšmetā</w:t>
      </w:r>
      <w:proofErr w:type="gramEnd"/>
      <w:r w:rsidRPr="00067A7F">
        <w:t xml:space="preserve"> atrastas ekspertīzei nodotās narkotiskās vielas.</w:t>
      </w:r>
    </w:p>
    <w:p w14:paraId="3361ADA1" w14:textId="77777777" w:rsidR="00DF63ED" w:rsidRDefault="00DF63ED" w:rsidP="00F30E2B">
      <w:pPr>
        <w:spacing w:line="276" w:lineRule="auto"/>
        <w:ind w:firstLine="652"/>
        <w:contextualSpacing/>
        <w:jc w:val="both"/>
      </w:pPr>
      <w:r>
        <w:t xml:space="preserve">Tādējādi apelācijas instances tiesa pieļāvusi Kriminālprocesa likuma 123., 124. un </w:t>
      </w:r>
      <w:proofErr w:type="gramStart"/>
      <w:r>
        <w:t>564.pantā</w:t>
      </w:r>
      <w:proofErr w:type="gramEnd"/>
      <w:r>
        <w:t xml:space="preserve"> noteikto prasību pārkāpumu. </w:t>
      </w:r>
    </w:p>
    <w:p w14:paraId="454EDB6B" w14:textId="77777777" w:rsidR="00DF63ED" w:rsidRDefault="00DF63ED" w:rsidP="00F30E2B">
      <w:pPr>
        <w:spacing w:line="276" w:lineRule="auto"/>
        <w:ind w:firstLine="652"/>
        <w:contextualSpacing/>
        <w:jc w:val="both"/>
      </w:pPr>
    </w:p>
    <w:p w14:paraId="7D448138" w14:textId="77777777" w:rsidR="00DF63ED" w:rsidRDefault="00DF63ED" w:rsidP="00F30E2B">
      <w:pPr>
        <w:spacing w:line="276" w:lineRule="auto"/>
        <w:ind w:firstLine="652"/>
        <w:contextualSpacing/>
        <w:jc w:val="center"/>
        <w:rPr>
          <w:b/>
        </w:rPr>
      </w:pPr>
      <w:r w:rsidRPr="00344D64">
        <w:rPr>
          <w:b/>
        </w:rPr>
        <w:t>Motīvu daļa</w:t>
      </w:r>
    </w:p>
    <w:p w14:paraId="481E2A05" w14:textId="77777777" w:rsidR="00F30E2B" w:rsidRDefault="00F30E2B" w:rsidP="00F30E2B">
      <w:pPr>
        <w:tabs>
          <w:tab w:val="left" w:pos="1080"/>
          <w:tab w:val="left" w:pos="6720"/>
        </w:tabs>
        <w:spacing w:line="276" w:lineRule="auto"/>
        <w:contextualSpacing/>
        <w:jc w:val="both"/>
        <w:rPr>
          <w:b/>
        </w:rPr>
      </w:pPr>
    </w:p>
    <w:p w14:paraId="483ED237" w14:textId="53C6B244" w:rsidR="00F30E2B" w:rsidRDefault="00DF63ED" w:rsidP="00F30E2B">
      <w:pPr>
        <w:tabs>
          <w:tab w:val="left" w:pos="1080"/>
          <w:tab w:val="left" w:pos="6720"/>
        </w:tabs>
        <w:spacing w:line="276" w:lineRule="auto"/>
        <w:ind w:firstLine="652"/>
        <w:contextualSpacing/>
        <w:jc w:val="both"/>
      </w:pPr>
      <w:r w:rsidRPr="00926AD0">
        <w:t>[</w:t>
      </w:r>
      <w:r>
        <w:t>5</w:t>
      </w:r>
      <w:r w:rsidRPr="00926AD0">
        <w:t>] </w:t>
      </w:r>
      <w:r>
        <w:t>Senāts</w:t>
      </w:r>
      <w:r w:rsidRPr="00926AD0">
        <w:t xml:space="preserve"> atzīst, ka Rīgas apgabaltiesas </w:t>
      </w:r>
      <w:proofErr w:type="gramStart"/>
      <w:r w:rsidRPr="00926AD0">
        <w:t>201</w:t>
      </w:r>
      <w:r>
        <w:t>9</w:t>
      </w:r>
      <w:r w:rsidRPr="00926AD0">
        <w:t>.gada</w:t>
      </w:r>
      <w:proofErr w:type="gramEnd"/>
      <w:r w:rsidRPr="00926AD0">
        <w:t xml:space="preserve"> </w:t>
      </w:r>
      <w:r>
        <w:t>2</w:t>
      </w:r>
      <w:r w:rsidRPr="00926AD0">
        <w:t>.</w:t>
      </w:r>
      <w:r>
        <w:t>aprīļ</w:t>
      </w:r>
      <w:r w:rsidRPr="00926AD0">
        <w:t xml:space="preserve">a </w:t>
      </w:r>
      <w:r>
        <w:t>lēm</w:t>
      </w:r>
      <w:r w:rsidRPr="00926AD0">
        <w:t>ums at</w:t>
      </w:r>
      <w:r>
        <w:t xml:space="preserve">stājams negrozīts, bet apsūdzētās </w:t>
      </w:r>
      <w:r w:rsidR="005600C7">
        <w:t>[pers. A]</w:t>
      </w:r>
      <w:r>
        <w:t xml:space="preserve"> kasācijas sūdzība noraidāma.</w:t>
      </w:r>
    </w:p>
    <w:p w14:paraId="2D135E00" w14:textId="77777777" w:rsidR="00F30E2B" w:rsidRDefault="00DF63ED" w:rsidP="00F30E2B">
      <w:pPr>
        <w:tabs>
          <w:tab w:val="left" w:pos="1080"/>
          <w:tab w:val="left" w:pos="6720"/>
        </w:tabs>
        <w:spacing w:line="276" w:lineRule="auto"/>
        <w:ind w:firstLine="652"/>
        <w:contextualSpacing/>
        <w:jc w:val="both"/>
      </w:pPr>
      <w:r>
        <w:t>Apelācijas instances tiesa, iztiesājot krimināllietu, nav pieļāvusi Krimināllikuma pārkāpumus vai tādus Kriminālprocesa likuma pārkāpumus, kas varētu būt par pamatu apelācijas instances tiesas nolēmuma grozīšanai vai atcelšanai.</w:t>
      </w:r>
    </w:p>
    <w:p w14:paraId="5B09ED8E" w14:textId="7435F077" w:rsidR="00F30E2B" w:rsidRDefault="00DF63ED" w:rsidP="00F30E2B">
      <w:pPr>
        <w:tabs>
          <w:tab w:val="left" w:pos="1080"/>
          <w:tab w:val="left" w:pos="6720"/>
        </w:tabs>
        <w:spacing w:line="276" w:lineRule="auto"/>
        <w:ind w:firstLine="652"/>
        <w:contextualSpacing/>
        <w:jc w:val="both"/>
      </w:pPr>
      <w:r>
        <w:t>Kasācijas sū</w:t>
      </w:r>
      <w:r w:rsidRPr="00CC6954">
        <w:t xml:space="preserve">dzībā pamatā atkārtoti apsūdzētās </w:t>
      </w:r>
      <w:r w:rsidR="005600C7">
        <w:t>[pers. A]</w:t>
      </w:r>
      <w:r>
        <w:t xml:space="preserve"> </w:t>
      </w:r>
      <w:r w:rsidRPr="00CC6954">
        <w:t>apelācijas sūdzībā izteiktie argumenti, kurus, iztiesājot krimināllietu, apelācijas instances tiesa ir izvērtējusi un motivēti noraidījusi. Atsauces sūdzībā uz Kriminālprocesa likuma normu pārkāpumu ir bez pamatojuma. Sūdzībā faktiski lūgts atkārtoti izvērtēt pierādījumus.</w:t>
      </w:r>
      <w:r>
        <w:t xml:space="preserve"> Savukārt atbilstoši Kriminālprocesa likuma </w:t>
      </w:r>
      <w:proofErr w:type="gramStart"/>
      <w:r>
        <w:t>569.panta</w:t>
      </w:r>
      <w:proofErr w:type="gramEnd"/>
      <w:r>
        <w:t xml:space="preserve"> trešajai daļai kasācijas instances tiesa lietu pēc būtības neizskata un pierādījumus lietā no jauna neizvērtē.</w:t>
      </w:r>
    </w:p>
    <w:p w14:paraId="26EB4C56" w14:textId="77777777" w:rsidR="00F30E2B" w:rsidRDefault="00F30E2B" w:rsidP="00F30E2B">
      <w:pPr>
        <w:tabs>
          <w:tab w:val="left" w:pos="1080"/>
          <w:tab w:val="left" w:pos="6720"/>
        </w:tabs>
        <w:spacing w:line="276" w:lineRule="auto"/>
        <w:ind w:firstLine="652"/>
        <w:contextualSpacing/>
        <w:jc w:val="both"/>
      </w:pPr>
    </w:p>
    <w:p w14:paraId="2BDC3A5D" w14:textId="7D25388E" w:rsidR="00F30E2B" w:rsidRDefault="00DF63ED" w:rsidP="00F30E2B">
      <w:pPr>
        <w:tabs>
          <w:tab w:val="left" w:pos="1080"/>
          <w:tab w:val="left" w:pos="6720"/>
        </w:tabs>
        <w:spacing w:line="276" w:lineRule="auto"/>
        <w:ind w:firstLine="652"/>
        <w:contextualSpacing/>
        <w:jc w:val="both"/>
      </w:pPr>
      <w:r>
        <w:t xml:space="preserve">[6] Pamatojoties uz lietā iegūtajiem, tiesas sēdē pārbaudītajiem un izvērtētajiem pierādījumiem, pirmās instances tiesa </w:t>
      </w:r>
      <w:r w:rsidR="00486611">
        <w:t xml:space="preserve">ir </w:t>
      </w:r>
      <w:r>
        <w:t xml:space="preserve">atzinusi, ka apsūdzētās </w:t>
      </w:r>
      <w:r w:rsidR="005600C7">
        <w:t>[pers. A]</w:t>
      </w:r>
      <w:r>
        <w:t xml:space="preserve"> vainīgums viņai inkriminētajā noziedzīgajā nodarījumā ir pierādīts ārpus saprātīgām šaubām. Savu</w:t>
      </w:r>
      <w:r w:rsidR="00C114C9">
        <w:t xml:space="preserve">kārt apelācijas instances tiesa, </w:t>
      </w:r>
      <w:r>
        <w:t xml:space="preserve">atzīstot, ka apsūdzētās </w:t>
      </w:r>
      <w:r w:rsidR="005600C7">
        <w:t>[pers. A]</w:t>
      </w:r>
      <w:r>
        <w:t xml:space="preserve"> vainīgums Krimināllikuma </w:t>
      </w:r>
      <w:proofErr w:type="gramStart"/>
      <w:r>
        <w:t>15.panta</w:t>
      </w:r>
      <w:proofErr w:type="gramEnd"/>
      <w:r>
        <w:t xml:space="preserve"> ceturtajā daļā un 309.panta otrajā daļā paredzētajā noziedzīgajā nodarījumā ir pierādīts ar pirmās instances tiesas spriedumā izvērtētajiem pierādījumiem, pamatojoties uz Kriminālprocesa likuma 564.panta sestajā daļā noteikto, atzinusi par iespējamu neatkārtot pirmās instances tiesas spriedumā minētos pierādījumus un atzinumus. Vienlaikus arī apelācijas instances tiesa ir izvērtējusi pierādījumus kopsakar</w:t>
      </w:r>
      <w:r w:rsidR="00486611">
        <w:t>ībā</w:t>
      </w:r>
      <w:r>
        <w:t xml:space="preserve"> ar apelācijas sūdzībā izteiktajiem argumentiem. </w:t>
      </w:r>
    </w:p>
    <w:p w14:paraId="3AB7C153" w14:textId="77777777" w:rsidR="00F361FE" w:rsidRDefault="006E4180" w:rsidP="00762F8F">
      <w:pPr>
        <w:tabs>
          <w:tab w:val="left" w:pos="1080"/>
          <w:tab w:val="left" w:pos="6720"/>
        </w:tabs>
        <w:spacing w:line="276" w:lineRule="auto"/>
        <w:ind w:firstLine="652"/>
        <w:contextualSpacing/>
        <w:jc w:val="both"/>
      </w:pPr>
      <w:r>
        <w:t>[6.1] </w:t>
      </w:r>
      <w:r w:rsidR="00EE0DFA">
        <w:t>Senāts atzīst, ka s</w:t>
      </w:r>
      <w:r w:rsidR="00DF63ED">
        <w:t>ūdzības iesniedzēja pamatoti norādījusi</w:t>
      </w:r>
      <w:r>
        <w:t xml:space="preserve"> uz Augstākās tiesas Senāta Krimināllietu departamenta </w:t>
      </w:r>
      <w:proofErr w:type="gramStart"/>
      <w:r>
        <w:t>2007.gada</w:t>
      </w:r>
      <w:proofErr w:type="gramEnd"/>
      <w:r>
        <w:t xml:space="preserve"> 13.marta lēmumā lietā Nr. SKK-121/2007 un 2007.gada 16.augusta lēmumā lietā Nr. SKK-425/2007 paustajām atziņām, ka Krimināllikuma </w:t>
      </w:r>
      <w:r>
        <w:lastRenderedPageBreak/>
        <w:t>309.panta otrajā daļā paredzēto noziedzīgo nodarījumu var izdarīt tikai ar tiešu nodomu, tas ir, vainīgajai personai jāapzinās, ka tā nodod apcietinājumā esošai personai narkotiskās vai psihotropās vielas.</w:t>
      </w:r>
    </w:p>
    <w:p w14:paraId="36806831" w14:textId="7B30D60B" w:rsidR="00F30E2B" w:rsidRPr="00D77761" w:rsidRDefault="00B110BF" w:rsidP="00762F8F">
      <w:pPr>
        <w:tabs>
          <w:tab w:val="left" w:pos="1080"/>
          <w:tab w:val="left" w:pos="6720"/>
        </w:tabs>
        <w:spacing w:line="276" w:lineRule="auto"/>
        <w:ind w:firstLine="652"/>
        <w:contextualSpacing/>
        <w:jc w:val="both"/>
      </w:pPr>
      <w:r w:rsidRPr="00202AAA">
        <w:t>Noskaidrojot</w:t>
      </w:r>
      <w:r w:rsidR="00B53942" w:rsidRPr="00D77761">
        <w:t xml:space="preserve"> </w:t>
      </w:r>
      <w:r w:rsidR="00F361FE" w:rsidRPr="00D77761">
        <w:t xml:space="preserve">apsūdzētās </w:t>
      </w:r>
      <w:r w:rsidR="005600C7">
        <w:t>[pers. A]</w:t>
      </w:r>
      <w:r w:rsidR="00F361FE" w:rsidRPr="00D77761">
        <w:t xml:space="preserve"> nodom</w:t>
      </w:r>
      <w:r w:rsidR="00B53942" w:rsidRPr="00D77761">
        <w:t>a saturu,</w:t>
      </w:r>
      <w:r w:rsidR="00F361FE" w:rsidRPr="00D77761">
        <w:t xml:space="preserve"> </w:t>
      </w:r>
      <w:r w:rsidR="00EE0DFA" w:rsidRPr="00D77761">
        <w:t xml:space="preserve">pirmās instances tiesa </w:t>
      </w:r>
      <w:r w:rsidR="00F361FE" w:rsidRPr="00D77761">
        <w:t>pārbaudījusi un izvērtējusi</w:t>
      </w:r>
      <w:r w:rsidR="00762F8F" w:rsidRPr="00D77761">
        <w:t xml:space="preserve"> </w:t>
      </w:r>
      <w:r w:rsidR="00F361FE" w:rsidRPr="00D77761">
        <w:t xml:space="preserve">liecinieku </w:t>
      </w:r>
      <w:r w:rsidR="005600C7">
        <w:t>[pers. B]</w:t>
      </w:r>
      <w:r w:rsidR="00F361FE" w:rsidRPr="00D77761">
        <w:t>,</w:t>
      </w:r>
      <w:r w:rsidRPr="00D77761">
        <w:t xml:space="preserve"> </w:t>
      </w:r>
      <w:r w:rsidR="005600C7">
        <w:t>[pers. C]</w:t>
      </w:r>
      <w:r w:rsidRPr="00D77761">
        <w:t xml:space="preserve">, </w:t>
      </w:r>
      <w:r w:rsidR="005600C7">
        <w:t>[pers. D]</w:t>
      </w:r>
      <w:r w:rsidRPr="00D77761">
        <w:t xml:space="preserve"> un </w:t>
      </w:r>
      <w:r w:rsidR="005600C7">
        <w:t>[pers. E]</w:t>
      </w:r>
      <w:r w:rsidRPr="00D77761">
        <w:t xml:space="preserve"> liecības. </w:t>
      </w:r>
      <w:r w:rsidR="00D77761" w:rsidRPr="00D77761">
        <w:t>Pamatojoties uz</w:t>
      </w:r>
      <w:r w:rsidR="0085225E" w:rsidRPr="00D77761">
        <w:t xml:space="preserve"> Kriminālprocesa likuma </w:t>
      </w:r>
      <w:proofErr w:type="gramStart"/>
      <w:r w:rsidR="0085225E" w:rsidRPr="00D77761">
        <w:t>500.panta</w:t>
      </w:r>
      <w:proofErr w:type="gramEnd"/>
      <w:r w:rsidR="0085225E" w:rsidRPr="00D77761">
        <w:t xml:space="preserve"> ceturtajā daļā noteikto</w:t>
      </w:r>
      <w:r w:rsidR="00D77761" w:rsidRPr="00D77761">
        <w:t>, tiesa iepazinusies un</w:t>
      </w:r>
      <w:r w:rsidR="0085225E" w:rsidRPr="00D77761">
        <w:t xml:space="preserve"> </w:t>
      </w:r>
      <w:r w:rsidR="00D77761" w:rsidRPr="00D77761">
        <w:t>izvērtējusi</w:t>
      </w:r>
      <w:r w:rsidRPr="00D77761">
        <w:t xml:space="preserve"> operatīvās darbības pasākumos iegūt</w:t>
      </w:r>
      <w:r w:rsidR="00D77761" w:rsidRPr="00D77761">
        <w:t>ās</w:t>
      </w:r>
      <w:r w:rsidRPr="00D77761">
        <w:t xml:space="preserve"> ziņ</w:t>
      </w:r>
      <w:r w:rsidR="00D77761" w:rsidRPr="00D77761">
        <w:t>as,</w:t>
      </w:r>
      <w:r w:rsidRPr="00D77761">
        <w:t xml:space="preserve"> tai skaitā</w:t>
      </w:r>
      <w:r w:rsidR="0085225E" w:rsidRPr="00D77761">
        <w:t xml:space="preserve"> </w:t>
      </w:r>
      <w:r w:rsidRPr="00D77761">
        <w:t>sakaru līdzekļu kontrolē iegūt</w:t>
      </w:r>
      <w:r w:rsidR="00D77761" w:rsidRPr="00D77761">
        <w:t>ās</w:t>
      </w:r>
      <w:r w:rsidRPr="00D77761">
        <w:t xml:space="preserve"> ziņ</w:t>
      </w:r>
      <w:r w:rsidR="00D77761" w:rsidRPr="00D77761">
        <w:t>as</w:t>
      </w:r>
      <w:r w:rsidR="0085225E" w:rsidRPr="00D77761">
        <w:t xml:space="preserve"> </w:t>
      </w:r>
      <w:r w:rsidRPr="00D77761">
        <w:t>par notikušajām t</w:t>
      </w:r>
      <w:r w:rsidR="00486611">
        <w:t>elefon</w:t>
      </w:r>
      <w:r w:rsidRPr="00D77761">
        <w:t xml:space="preserve">sarunām starp apsūdzēto </w:t>
      </w:r>
      <w:r w:rsidR="005600C7">
        <w:t>[pers. A]</w:t>
      </w:r>
      <w:r w:rsidRPr="00D77761">
        <w:t xml:space="preserve">, lieciniekiem </w:t>
      </w:r>
      <w:r w:rsidR="005600C7">
        <w:t>[pers. </w:t>
      </w:r>
      <w:r w:rsidR="00B664F3">
        <w:t>B</w:t>
      </w:r>
      <w:r w:rsidR="005600C7">
        <w:t>]</w:t>
      </w:r>
      <w:r w:rsidRPr="00D77761">
        <w:t xml:space="preserve">, </w:t>
      </w:r>
      <w:r w:rsidR="005600C7">
        <w:t>[pers. F]</w:t>
      </w:r>
      <w:r w:rsidRPr="00D77761">
        <w:t xml:space="preserve"> un citām personām</w:t>
      </w:r>
      <w:r w:rsidR="0085225E" w:rsidRPr="00D77761">
        <w:t>.</w:t>
      </w:r>
      <w:r w:rsidR="00F361FE" w:rsidRPr="00D77761">
        <w:t xml:space="preserve"> </w:t>
      </w:r>
      <w:r w:rsidR="0085225E" w:rsidRPr="00D77761">
        <w:t xml:space="preserve">Tāpat tiesa </w:t>
      </w:r>
      <w:r w:rsidR="0088089E">
        <w:t xml:space="preserve">pārbaudījusi </w:t>
      </w:r>
      <w:r w:rsidR="005600C7">
        <w:t>[pers. A]</w:t>
      </w:r>
      <w:r w:rsidR="00F361FE" w:rsidRPr="00D77761">
        <w:t xml:space="preserve"> </w:t>
      </w:r>
      <w:r w:rsidR="0085225E" w:rsidRPr="00D77761">
        <w:t xml:space="preserve">izrakstītajos </w:t>
      </w:r>
      <w:r w:rsidR="00486611">
        <w:t xml:space="preserve">advokāta </w:t>
      </w:r>
      <w:r w:rsidR="0085225E" w:rsidRPr="00D77761">
        <w:t>orderos</w:t>
      </w:r>
      <w:r w:rsidR="00BF04FB" w:rsidRPr="00D77761">
        <w:t xml:space="preserve"> </w:t>
      </w:r>
      <w:r w:rsidR="0085225E" w:rsidRPr="00D77761">
        <w:t xml:space="preserve">norādītās ziņas, </w:t>
      </w:r>
      <w:r w:rsidR="004600C1">
        <w:t>Rīgas Centrāl</w:t>
      </w:r>
      <w:r w:rsidR="00F361FE" w:rsidRPr="00D77761">
        <w:t xml:space="preserve">cietuma apmeklējumu pamatotību, kā arī apstākli, ka </w:t>
      </w:r>
      <w:r w:rsidR="0088089E">
        <w:t>apsūdzētā</w:t>
      </w:r>
      <w:r w:rsidR="00F361FE" w:rsidRPr="00D77761">
        <w:t xml:space="preserve"> atteikusies nosaukt personas vārdu, kas lūgusi </w:t>
      </w:r>
      <w:r w:rsidR="00D77761">
        <w:t xml:space="preserve">viņu </w:t>
      </w:r>
      <w:r w:rsidR="00F361FE" w:rsidRPr="00D77761">
        <w:t xml:space="preserve">ienest un nodot narkotiskās vielas </w:t>
      </w:r>
      <w:r w:rsidR="004600C1">
        <w:t>Rīgas Centrāl</w:t>
      </w:r>
      <w:r w:rsidR="00F361FE" w:rsidRPr="00D77761">
        <w:t>cietumā.</w:t>
      </w:r>
      <w:r w:rsidR="00D77761">
        <w:t xml:space="preserve"> Atzinumus par </w:t>
      </w:r>
      <w:r w:rsidR="005600C7">
        <w:t>[pers. A]</w:t>
      </w:r>
      <w:r w:rsidR="00D77761">
        <w:t xml:space="preserve"> tieša nodoma esību viņai inkriminētajā noziedzīgajā nodarījumā tiesa</w:t>
      </w:r>
      <w:r w:rsidR="009C139D">
        <w:t xml:space="preserve"> </w:t>
      </w:r>
      <w:r w:rsidR="00D77761">
        <w:t xml:space="preserve">pamatojusi </w:t>
      </w:r>
      <w:r w:rsidR="004007DC">
        <w:t xml:space="preserve">arī </w:t>
      </w:r>
      <w:r w:rsidR="00D77761">
        <w:t>ar apsūdzētās sniegtajām liecībām visa kriminālprocesa laikā</w:t>
      </w:r>
      <w:r w:rsidR="00EE0DFA" w:rsidRPr="00D77761">
        <w:t xml:space="preserve">, </w:t>
      </w:r>
      <w:r w:rsidR="0085225E" w:rsidRPr="00D77761">
        <w:t>kuras</w:t>
      </w:r>
      <w:r w:rsidR="00901337" w:rsidRPr="00D77761">
        <w:t xml:space="preserve"> atzinusi par pretrunīgām</w:t>
      </w:r>
      <w:r w:rsidR="00DC0FC7" w:rsidRPr="00D77761">
        <w:t xml:space="preserve"> un sniegtām nolūkā</w:t>
      </w:r>
      <w:r w:rsidR="00901337" w:rsidRPr="00D77761">
        <w:t xml:space="preserve"> izvairīties no kriminālatbildības</w:t>
      </w:r>
      <w:r w:rsidR="0085225E" w:rsidRPr="00D77761">
        <w:t>.</w:t>
      </w:r>
      <w:r w:rsidR="00901337" w:rsidRPr="00D77761">
        <w:t xml:space="preserve"> </w:t>
      </w:r>
      <w:r w:rsidR="0085225E" w:rsidRPr="00D77761">
        <w:t>Par</w:t>
      </w:r>
      <w:r w:rsidR="00901337" w:rsidRPr="00D77761">
        <w:t xml:space="preserve"> ticamām</w:t>
      </w:r>
      <w:r w:rsidR="0085225E" w:rsidRPr="00D77761">
        <w:t xml:space="preserve"> apsūdzētās</w:t>
      </w:r>
      <w:r w:rsidR="00901337" w:rsidRPr="00D77761">
        <w:t xml:space="preserve"> liecības </w:t>
      </w:r>
      <w:r w:rsidR="00305288" w:rsidRPr="00D77761">
        <w:t xml:space="preserve">tiesa </w:t>
      </w:r>
      <w:r w:rsidR="00901337" w:rsidRPr="00D77761">
        <w:t xml:space="preserve">atzinusi tikai daļā, kas apstiprinās ar citiem lietā iegūtajiem </w:t>
      </w:r>
      <w:r w:rsidR="00DC0FC7" w:rsidRPr="00D77761">
        <w:t xml:space="preserve">un tiesas izmeklēšanā pārbaudītajiem </w:t>
      </w:r>
      <w:r w:rsidR="00901337" w:rsidRPr="00D77761">
        <w:t>pierādījumiem.</w:t>
      </w:r>
      <w:r w:rsidR="00B53942" w:rsidRPr="00D77761">
        <w:t xml:space="preserve"> Izvērtējot minētos pierādījumus</w:t>
      </w:r>
      <w:r w:rsidR="0085225E" w:rsidRPr="00D77761">
        <w:t xml:space="preserve"> kopumā un savstarpējā sa</w:t>
      </w:r>
      <w:r w:rsidR="00486611">
        <w:t>karībā</w:t>
      </w:r>
      <w:r w:rsidR="00B53942" w:rsidRPr="00D77761">
        <w:t xml:space="preserve">, pirmās instances tiesa atzinusi, ka ar tiem apstiprinās </w:t>
      </w:r>
      <w:r w:rsidR="005600C7">
        <w:t>[pers. A]</w:t>
      </w:r>
      <w:r w:rsidR="00B53942" w:rsidRPr="00D77761">
        <w:t xml:space="preserve"> tiešs nodoms veikt nelikumīgas darbības ar narkotiskajām un psihotropajām vielām, proti, šīs vielas nodot ieslodzījuma vietā esošajām personām.</w:t>
      </w:r>
    </w:p>
    <w:p w14:paraId="7729EDDF" w14:textId="55044BBD" w:rsidR="00F30E2B" w:rsidRDefault="00901337" w:rsidP="00DC0FC7">
      <w:pPr>
        <w:tabs>
          <w:tab w:val="left" w:pos="1080"/>
          <w:tab w:val="left" w:pos="6720"/>
        </w:tabs>
        <w:spacing w:line="276" w:lineRule="auto"/>
        <w:ind w:firstLine="652"/>
        <w:contextualSpacing/>
        <w:jc w:val="both"/>
      </w:pPr>
      <w:r>
        <w:t>Savukārt</w:t>
      </w:r>
      <w:r w:rsidR="00D77761">
        <w:t>,</w:t>
      </w:r>
      <w:r w:rsidR="00666819">
        <w:t xml:space="preserve"> i</w:t>
      </w:r>
      <w:r w:rsidR="00DF63ED">
        <w:t>zvērtējot apsūdzētās</w:t>
      </w:r>
      <w:r w:rsidR="00973CF8">
        <w:t xml:space="preserve"> </w:t>
      </w:r>
      <w:r w:rsidR="005600C7">
        <w:t>[pers. A]</w:t>
      </w:r>
      <w:r w:rsidR="00973CF8">
        <w:t xml:space="preserve"> apelācijas sūdzībā paustos</w:t>
      </w:r>
      <w:r w:rsidR="00DF63ED">
        <w:t xml:space="preserve"> apgalvojumus par </w:t>
      </w:r>
      <w:r w:rsidR="00666819">
        <w:t>subjektīvās puses neesību viņai inkriminētajā noziedzīgajā nodarījumā</w:t>
      </w:r>
      <w:r w:rsidR="00DF63ED">
        <w:t>,</w:t>
      </w:r>
      <w:r w:rsidR="00B55D7D">
        <w:t xml:space="preserve"> </w:t>
      </w:r>
      <w:r>
        <w:t xml:space="preserve">apelācijas instances tiesa </w:t>
      </w:r>
      <w:r w:rsidR="00666819">
        <w:t>atzinusi, ka pirmās instances tiesa pierādījum</w:t>
      </w:r>
      <w:r w:rsidR="00CE61FD">
        <w:t>us, kas</w:t>
      </w:r>
      <w:r w:rsidR="00666819">
        <w:t xml:space="preserve"> apstiprina apsūdzētās informētību par narkotiskās un psihotropās vielas esību viņai nodot</w:t>
      </w:r>
      <w:r w:rsidR="003F58A8">
        <w:t>o</w:t>
      </w:r>
      <w:r w:rsidR="00666819">
        <w:t xml:space="preserve"> krimināllietas materiālu</w:t>
      </w:r>
      <w:r w:rsidR="003F58A8">
        <w:t xml:space="preserve"> kopiju vāku locījumā</w:t>
      </w:r>
      <w:r w:rsidR="00666819">
        <w:t>,</w:t>
      </w:r>
      <w:r w:rsidR="00CE61FD">
        <w:t xml:space="preserve"> </w:t>
      </w:r>
      <w:r w:rsidR="003F58A8">
        <w:t>iz</w:t>
      </w:r>
      <w:r w:rsidR="00CE61FD">
        <w:t>vērtējusi</w:t>
      </w:r>
      <w:r w:rsidR="00DF63ED">
        <w:t xml:space="preserve"> </w:t>
      </w:r>
      <w:r w:rsidR="00CE61FD">
        <w:t>atbilstoš</w:t>
      </w:r>
      <w:r w:rsidR="001E623A">
        <w:t>i</w:t>
      </w:r>
      <w:r w:rsidR="00DF63ED">
        <w:t xml:space="preserve"> Kriminālprocesa likuma normu prasībām</w:t>
      </w:r>
      <w:r w:rsidR="00CE61FD">
        <w:t>.</w:t>
      </w:r>
    </w:p>
    <w:p w14:paraId="1E978E8E" w14:textId="093CAD4C" w:rsidR="00F30E2B" w:rsidRDefault="00DF63ED" w:rsidP="00F44DA8">
      <w:pPr>
        <w:tabs>
          <w:tab w:val="left" w:pos="1080"/>
          <w:tab w:val="left" w:pos="6720"/>
        </w:tabs>
        <w:spacing w:line="276" w:lineRule="auto"/>
        <w:ind w:firstLine="652"/>
        <w:contextualSpacing/>
        <w:jc w:val="both"/>
      </w:pPr>
      <w:r>
        <w:t>[6.2] </w:t>
      </w:r>
      <w:r w:rsidR="00EE0DFA">
        <w:t>Senāts konstatē, ka a</w:t>
      </w:r>
      <w:r w:rsidR="003F58A8">
        <w:t>psūdzētā kasācijas sūdzībā atkārtojusi jau a</w:t>
      </w:r>
      <w:r>
        <w:t>pelācijas</w:t>
      </w:r>
      <w:r w:rsidR="003F58A8">
        <w:t xml:space="preserve"> sūdzībā apgalvo</w:t>
      </w:r>
      <w:r w:rsidR="005626CC">
        <w:t>to</w:t>
      </w:r>
      <w:r w:rsidR="003F58A8">
        <w:t xml:space="preserve"> par mapes un tās vāku locījumā noslēptā satura viltošanu. Apelācijas instances tiesa, atzīstot par nepamatotu minēto apgalvojumu, atsaukusies uz </w:t>
      </w:r>
      <w:r w:rsidR="0096041F">
        <w:t>pirmās instances tiesas spriedumā izvērtētajiem pierādījumiem.</w:t>
      </w:r>
      <w:r>
        <w:t xml:space="preserve"> </w:t>
      </w:r>
      <w:r w:rsidR="0096041F">
        <w:t>Proti, operatīvās darbības pasākumu rezultātā iegūto informāciju</w:t>
      </w:r>
      <w:r w:rsidR="00EE0DFA">
        <w:t>,</w:t>
      </w:r>
      <w:r w:rsidR="0096041F">
        <w:t xml:space="preserve"> liecinieku </w:t>
      </w:r>
      <w:r w:rsidR="005600C7">
        <w:t>[pers. G]</w:t>
      </w:r>
      <w:r w:rsidR="0096041F">
        <w:t xml:space="preserve">, </w:t>
      </w:r>
      <w:r w:rsidR="005600C7">
        <w:t>[pers. H]</w:t>
      </w:r>
      <w:r w:rsidR="0096041F">
        <w:t xml:space="preserve"> un </w:t>
      </w:r>
      <w:r w:rsidR="005600C7">
        <w:t>[pers. I]</w:t>
      </w:r>
      <w:r w:rsidR="0096041F">
        <w:t xml:space="preserve"> liecībām par krimināllietas materiālu kopiju izņemšanas un pārbaudes apstākļiem, liecinieces </w:t>
      </w:r>
      <w:r w:rsidR="005600C7">
        <w:t>[pers. G]</w:t>
      </w:r>
      <w:r w:rsidR="0096041F">
        <w:t xml:space="preserve"> liecībām par apsūdzētās personīgo mantu pārbaudes un apskates apstākļiem </w:t>
      </w:r>
      <w:r w:rsidR="00FE15A8">
        <w:t>Rīgas Centrāl</w:t>
      </w:r>
      <w:r w:rsidR="002828FE">
        <w:t xml:space="preserve">cietuma telpās </w:t>
      </w:r>
      <w:r w:rsidR="0096041F">
        <w:t xml:space="preserve">un mantu izņemšanas tiesiskumu. </w:t>
      </w:r>
      <w:r w:rsidR="005626CC">
        <w:t>Tāpat tiesa pārbaudījusi arī kompleksās bioloģiskās un daktiloskopiskās ekspertīzes atzinumos un ekspertu atzinumos par DNS ekspertīzes veikšanu secināto, ka</w:t>
      </w:r>
      <w:r w:rsidR="005626CC" w:rsidRPr="00EF405B">
        <w:t xml:space="preserve"> </w:t>
      </w:r>
      <w:r w:rsidR="005626CC">
        <w:t xml:space="preserve">uz izņemtajiem priekšmetiem </w:t>
      </w:r>
      <w:r w:rsidR="005626CC" w:rsidRPr="00EF405B">
        <w:t>konstatē</w:t>
      </w:r>
      <w:r w:rsidR="005626CC">
        <w:t xml:space="preserve">tas ne tikai konkrētu personu pirkstu un DNS pēdas, bet </w:t>
      </w:r>
      <w:r w:rsidR="005626CC" w:rsidRPr="00EF405B">
        <w:t>arī neidentificētas pēdas un identifikācijai nederīgas pēdas</w:t>
      </w:r>
      <w:r w:rsidR="005626CC">
        <w:t xml:space="preserve">. </w:t>
      </w:r>
      <w:r w:rsidR="0096041F">
        <w:t xml:space="preserve">Apelācijas instances tiesa piekritusi pirmās instances tiesas spriedumā secinātajam, ka lietā nav </w:t>
      </w:r>
      <w:r w:rsidR="002828FE">
        <w:t>iegūt</w:t>
      </w:r>
      <w:r w:rsidR="00EE0DFA">
        <w:t>i pierādījumi</w:t>
      </w:r>
      <w:r w:rsidR="0096041F">
        <w:t xml:space="preserve"> par policijas un ieslodzījuma vietas darbinieku dienesta interesēm pretēju rīcību vai neatļautām darbībām, pildot savus dienesta pienākumus</w:t>
      </w:r>
      <w:r w:rsidR="002828FE">
        <w:t xml:space="preserve"> </w:t>
      </w:r>
      <w:r w:rsidR="00EE0DFA">
        <w:t xml:space="preserve">apsūdzētajai izņemto priekšmetu </w:t>
      </w:r>
      <w:r w:rsidR="002828FE">
        <w:t>apskates laikā</w:t>
      </w:r>
      <w:r w:rsidR="0096041F">
        <w:t>, vai viņu ieinteresētību apsūdzēt</w:t>
      </w:r>
      <w:r w:rsidR="0088089E">
        <w:t>ās apmelošanā.</w:t>
      </w:r>
      <w:r w:rsidR="0096041F">
        <w:t xml:space="preserve">  </w:t>
      </w:r>
    </w:p>
    <w:p w14:paraId="3744B1E2" w14:textId="37BB23A2" w:rsidR="005114F8" w:rsidRDefault="00F30E2B" w:rsidP="005626CC">
      <w:pPr>
        <w:tabs>
          <w:tab w:val="left" w:pos="1080"/>
          <w:tab w:val="left" w:pos="6720"/>
        </w:tabs>
        <w:spacing w:line="276" w:lineRule="auto"/>
        <w:ind w:firstLine="652"/>
        <w:contextualSpacing/>
        <w:jc w:val="both"/>
      </w:pPr>
      <w:r>
        <w:t xml:space="preserve">[6.3] </w:t>
      </w:r>
      <w:r w:rsidR="005626CC">
        <w:t xml:space="preserve">Pierādījumu ticamības un to pietiekamības konstatēšana ir saistīta ar pierādījumu izvērtējumu, ko atbilstoši likumam veic tā tiesa, kas izskata lietu pēc būtības. </w:t>
      </w:r>
      <w:r w:rsidR="00DF63ED">
        <w:t>Senāts nekonstatē Kriminālprocesa likuma normu prasību pārkāpumus pierādījumu izvērtēšanā apelācijas instances tiesā, kas varētu būt par pamatu apelācijas instances tiesas nolēmuma grozīšanai vai atcelšanai.</w:t>
      </w:r>
      <w:r w:rsidR="005626CC">
        <w:t xml:space="preserve"> </w:t>
      </w:r>
      <w:r w:rsidR="00DF63ED">
        <w:t>Savukārt apsūdzētās</w:t>
      </w:r>
      <w:r w:rsidR="005114F8">
        <w:t xml:space="preserve"> </w:t>
      </w:r>
      <w:r w:rsidR="005600C7">
        <w:t>[pers. A]</w:t>
      </w:r>
      <w:r w:rsidR="00DF63ED">
        <w:t xml:space="preserve"> subjektīvais viedoklis par lietā iegūto pierādījumu </w:t>
      </w:r>
      <w:r w:rsidR="00DF63ED">
        <w:lastRenderedPageBreak/>
        <w:t xml:space="preserve">citādu novērtējumu, ja, izvērtējot pierādījumus, nav pieļauti Kriminālprocesa likuma </w:t>
      </w:r>
      <w:r w:rsidR="005114F8">
        <w:t xml:space="preserve">pārkāpumi, nevar būt par pamatu apelācijas instances tiesas nolēmuma atcelšanai. </w:t>
      </w:r>
    </w:p>
    <w:p w14:paraId="6168EBD7" w14:textId="77777777" w:rsidR="00DF63ED" w:rsidRDefault="00DF63ED" w:rsidP="00F30E2B">
      <w:pPr>
        <w:spacing w:line="276" w:lineRule="auto"/>
        <w:ind w:firstLine="652"/>
        <w:contextualSpacing/>
        <w:jc w:val="both"/>
      </w:pPr>
    </w:p>
    <w:p w14:paraId="112C6E8D" w14:textId="77777777" w:rsidR="00DF63ED" w:rsidRDefault="00DF63ED" w:rsidP="00F30E2B">
      <w:pPr>
        <w:spacing w:line="276" w:lineRule="auto"/>
        <w:ind w:firstLine="652"/>
        <w:contextualSpacing/>
        <w:jc w:val="both"/>
      </w:pPr>
      <w:r>
        <w:t>[</w:t>
      </w:r>
      <w:r w:rsidR="00F30E2B">
        <w:t>7</w:t>
      </w:r>
      <w:r>
        <w:t>] Senāts atzīst, ka apelācijas instances tiesa</w:t>
      </w:r>
      <w:r w:rsidR="005626CC">
        <w:t xml:space="preserve">s </w:t>
      </w:r>
      <w:r w:rsidR="00146D32">
        <w:t xml:space="preserve">lēmums atbilst Kriminālprocesa likuma 511., 512. un </w:t>
      </w:r>
      <w:proofErr w:type="gramStart"/>
      <w:r w:rsidR="00146D32">
        <w:t>564.panta</w:t>
      </w:r>
      <w:proofErr w:type="gramEnd"/>
      <w:r w:rsidR="00146D32">
        <w:t xml:space="preserve"> prasībām.</w:t>
      </w:r>
    </w:p>
    <w:p w14:paraId="7099C9B9" w14:textId="77777777" w:rsidR="00DF63ED" w:rsidRDefault="00DF63ED" w:rsidP="002C4105">
      <w:pPr>
        <w:suppressAutoHyphens/>
        <w:autoSpaceDN w:val="0"/>
        <w:spacing w:line="276" w:lineRule="auto"/>
        <w:ind w:right="-6"/>
        <w:contextualSpacing/>
        <w:jc w:val="both"/>
        <w:textAlignment w:val="baseline"/>
        <w:rPr>
          <w:rFonts w:eastAsia="Calibri"/>
        </w:rPr>
      </w:pPr>
    </w:p>
    <w:p w14:paraId="56DCA861" w14:textId="77777777" w:rsidR="00DF63ED" w:rsidRPr="00473F47" w:rsidRDefault="00DF63ED" w:rsidP="00DF63ED">
      <w:pPr>
        <w:pStyle w:val="tv213"/>
        <w:spacing w:before="0" w:beforeAutospacing="0" w:after="0" w:afterAutospacing="0" w:line="276" w:lineRule="auto"/>
        <w:contextualSpacing/>
        <w:jc w:val="center"/>
        <w:rPr>
          <w:b/>
        </w:rPr>
      </w:pPr>
      <w:r w:rsidRPr="00473F47">
        <w:rPr>
          <w:b/>
        </w:rPr>
        <w:t>Rezolutīvā daļa</w:t>
      </w:r>
    </w:p>
    <w:p w14:paraId="6A3479E9" w14:textId="77777777" w:rsidR="00DF63ED" w:rsidRDefault="00DF63ED" w:rsidP="00DF63ED">
      <w:pPr>
        <w:pStyle w:val="tv213"/>
        <w:spacing w:before="0" w:beforeAutospacing="0" w:after="0" w:afterAutospacing="0" w:line="276" w:lineRule="auto"/>
        <w:ind w:firstLine="709"/>
        <w:contextualSpacing/>
        <w:jc w:val="both"/>
      </w:pPr>
    </w:p>
    <w:p w14:paraId="7A35D654" w14:textId="77777777" w:rsidR="00DF63ED" w:rsidRPr="002C4105" w:rsidRDefault="00DF63ED" w:rsidP="002C4105">
      <w:pPr>
        <w:pStyle w:val="tv213"/>
        <w:spacing w:before="0" w:beforeAutospacing="0" w:after="0" w:afterAutospacing="0" w:line="276" w:lineRule="auto"/>
        <w:ind w:firstLine="709"/>
        <w:contextualSpacing/>
        <w:jc w:val="both"/>
      </w:pPr>
      <w:r w:rsidRPr="00473F47">
        <w:t>Pamatojoties uz Krim</w:t>
      </w:r>
      <w:r>
        <w:t xml:space="preserve">inālprocesa likuma 585. un </w:t>
      </w:r>
      <w:proofErr w:type="gramStart"/>
      <w:r>
        <w:t>587.</w:t>
      </w:r>
      <w:r w:rsidRPr="00473F47">
        <w:t>pantu</w:t>
      </w:r>
      <w:proofErr w:type="gramEnd"/>
      <w:r w:rsidRPr="00473F47">
        <w:t xml:space="preserve">, </w:t>
      </w:r>
      <w:r>
        <w:t>tiesa</w:t>
      </w:r>
    </w:p>
    <w:p w14:paraId="7E6C49ED" w14:textId="77777777" w:rsidR="00DF63ED" w:rsidRDefault="00DF63ED" w:rsidP="00DF63ED">
      <w:pPr>
        <w:pStyle w:val="tv213"/>
        <w:spacing w:before="0" w:beforeAutospacing="0" w:after="0" w:afterAutospacing="0" w:line="276" w:lineRule="auto"/>
        <w:contextualSpacing/>
        <w:jc w:val="center"/>
        <w:rPr>
          <w:b/>
        </w:rPr>
      </w:pPr>
    </w:p>
    <w:p w14:paraId="1B5CFB37" w14:textId="77777777" w:rsidR="00DF63ED" w:rsidRDefault="00DF63ED" w:rsidP="00DF63ED">
      <w:pPr>
        <w:pStyle w:val="tv213"/>
        <w:spacing w:before="0" w:beforeAutospacing="0" w:after="0" w:afterAutospacing="0" w:line="276" w:lineRule="auto"/>
        <w:contextualSpacing/>
        <w:jc w:val="center"/>
        <w:rPr>
          <w:b/>
        </w:rPr>
      </w:pPr>
      <w:r>
        <w:rPr>
          <w:b/>
        </w:rPr>
        <w:t>nolēma:</w:t>
      </w:r>
    </w:p>
    <w:p w14:paraId="591E3908" w14:textId="77777777" w:rsidR="00DF63ED" w:rsidRPr="00473F47" w:rsidRDefault="00DF63ED" w:rsidP="00DF63ED">
      <w:pPr>
        <w:tabs>
          <w:tab w:val="left" w:pos="-3120"/>
        </w:tabs>
        <w:suppressAutoHyphens/>
        <w:spacing w:line="276" w:lineRule="auto"/>
        <w:ind w:firstLine="709"/>
        <w:contextualSpacing/>
      </w:pPr>
    </w:p>
    <w:p w14:paraId="777ECFC1" w14:textId="2CC859E3" w:rsidR="00DF63ED" w:rsidRDefault="00DF63ED" w:rsidP="00DF63ED">
      <w:pPr>
        <w:pStyle w:val="tv213"/>
        <w:spacing w:before="0" w:beforeAutospacing="0" w:after="0" w:afterAutospacing="0" w:line="276" w:lineRule="auto"/>
        <w:ind w:firstLine="709"/>
        <w:contextualSpacing/>
        <w:jc w:val="both"/>
      </w:pPr>
      <w:r>
        <w:t xml:space="preserve">atstāt negrozītu Rīgas apgabaltiesas </w:t>
      </w:r>
      <w:proofErr w:type="gramStart"/>
      <w:r>
        <w:t>2019.gada</w:t>
      </w:r>
      <w:proofErr w:type="gramEnd"/>
      <w:r>
        <w:t xml:space="preserve"> 2.aprīļa lēmumu, bet apsūdzētās </w:t>
      </w:r>
      <w:r w:rsidR="005600C7">
        <w:t>[pers. A]</w:t>
      </w:r>
      <w:r>
        <w:t xml:space="preserve"> kasācijas sūdzību noraidīt.</w:t>
      </w:r>
    </w:p>
    <w:p w14:paraId="1C6189A7" w14:textId="047301A3" w:rsidR="002C4105" w:rsidRPr="00047754" w:rsidRDefault="00DF63ED" w:rsidP="00047754">
      <w:pPr>
        <w:tabs>
          <w:tab w:val="left" w:pos="-3120"/>
        </w:tabs>
        <w:suppressAutoHyphens/>
        <w:spacing w:line="276" w:lineRule="auto"/>
        <w:ind w:firstLine="709"/>
        <w:contextualSpacing/>
        <w:jc w:val="both"/>
        <w:rPr>
          <w:color w:val="000000"/>
        </w:rPr>
      </w:pPr>
      <w:r w:rsidRPr="00473F47">
        <w:rPr>
          <w:color w:val="000000"/>
        </w:rPr>
        <w:t>Lēmums nav pārsū</w:t>
      </w:r>
      <w:r>
        <w:rPr>
          <w:color w:val="000000"/>
        </w:rPr>
        <w:t>dzams.</w:t>
      </w:r>
    </w:p>
    <w:sectPr w:rsidR="002C4105" w:rsidRPr="00047754" w:rsidSect="005114F8">
      <w:footerReference w:type="default" r:id="rId8"/>
      <w:pgSz w:w="11906" w:h="16838"/>
      <w:pgMar w:top="1134" w:right="1134" w:bottom="70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8A7DDC" w14:textId="77777777" w:rsidR="00112A09" w:rsidRDefault="00112A09">
      <w:r>
        <w:separator/>
      </w:r>
    </w:p>
  </w:endnote>
  <w:endnote w:type="continuationSeparator" w:id="0">
    <w:p w14:paraId="1C67CFBA" w14:textId="77777777" w:rsidR="00112A09" w:rsidRDefault="00112A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20717248"/>
      <w:docPartObj>
        <w:docPartGallery w:val="Page Numbers (Bottom of Page)"/>
        <w:docPartUnique/>
      </w:docPartObj>
    </w:sdtPr>
    <w:sdtEndPr/>
    <w:sdtContent>
      <w:sdt>
        <w:sdtPr>
          <w:id w:val="788862489"/>
          <w:docPartObj>
            <w:docPartGallery w:val="Page Numbers (Top of Page)"/>
            <w:docPartUnique/>
          </w:docPartObj>
        </w:sdtPr>
        <w:sdtEndPr/>
        <w:sdtContent>
          <w:p w14:paraId="1685FBD1" w14:textId="77777777" w:rsidR="001A42A6" w:rsidRDefault="002C4105">
            <w:pPr>
              <w:pStyle w:val="Footer"/>
              <w:jc w:val="center"/>
            </w:pPr>
            <w:r w:rsidRPr="001A42A6">
              <w:rPr>
                <w:bCs/>
              </w:rPr>
              <w:fldChar w:fldCharType="begin"/>
            </w:r>
            <w:r w:rsidRPr="001A42A6">
              <w:rPr>
                <w:bCs/>
              </w:rPr>
              <w:instrText xml:space="preserve"> PAGE </w:instrText>
            </w:r>
            <w:r w:rsidRPr="001A42A6">
              <w:rPr>
                <w:bCs/>
              </w:rPr>
              <w:fldChar w:fldCharType="separate"/>
            </w:r>
            <w:r w:rsidR="00493381">
              <w:rPr>
                <w:bCs/>
                <w:noProof/>
              </w:rPr>
              <w:t>4</w:t>
            </w:r>
            <w:r w:rsidRPr="001A42A6">
              <w:rPr>
                <w:bCs/>
              </w:rPr>
              <w:fldChar w:fldCharType="end"/>
            </w:r>
            <w:r w:rsidRPr="001A42A6">
              <w:t xml:space="preserve"> no </w:t>
            </w:r>
            <w:r w:rsidRPr="001A42A6">
              <w:rPr>
                <w:bCs/>
              </w:rPr>
              <w:fldChar w:fldCharType="begin"/>
            </w:r>
            <w:r w:rsidRPr="001A42A6">
              <w:rPr>
                <w:bCs/>
              </w:rPr>
              <w:instrText xml:space="preserve"> NUMPAGES  </w:instrText>
            </w:r>
            <w:r w:rsidRPr="001A42A6">
              <w:rPr>
                <w:bCs/>
              </w:rPr>
              <w:fldChar w:fldCharType="separate"/>
            </w:r>
            <w:r w:rsidR="00493381">
              <w:rPr>
                <w:bCs/>
                <w:noProof/>
              </w:rPr>
              <w:t>4</w:t>
            </w:r>
            <w:r w:rsidRPr="001A42A6">
              <w:rPr>
                <w:bCs/>
              </w:rPr>
              <w:fldChar w:fldCharType="end"/>
            </w:r>
          </w:p>
        </w:sdtContent>
      </w:sdt>
    </w:sdtContent>
  </w:sdt>
  <w:p w14:paraId="2D1A4231" w14:textId="77777777" w:rsidR="001A42A6" w:rsidRDefault="00E32C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46296B" w14:textId="77777777" w:rsidR="00112A09" w:rsidRDefault="00112A09">
      <w:r>
        <w:separator/>
      </w:r>
    </w:p>
  </w:footnote>
  <w:footnote w:type="continuationSeparator" w:id="0">
    <w:p w14:paraId="4D070ACD" w14:textId="77777777" w:rsidR="00112A09" w:rsidRDefault="00112A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01508A4"/>
    <w:multiLevelType w:val="hybridMultilevel"/>
    <w:tmpl w:val="1C02F344"/>
    <w:lvl w:ilvl="0" w:tplc="47BEB638">
      <w:start w:val="1"/>
      <w:numFmt w:val="decimal"/>
      <w:lvlText w:val="[%1]"/>
      <w:lvlJc w:val="left"/>
      <w:pPr>
        <w:ind w:left="1070" w:hanging="360"/>
      </w:pPr>
      <w:rPr>
        <w:rFonts w:hint="default"/>
      </w:rPr>
    </w:lvl>
    <w:lvl w:ilvl="1" w:tplc="867A555C">
      <w:start w:val="1"/>
      <w:numFmt w:val="decimal"/>
      <w:lvlText w:val="[5.%2]"/>
      <w:lvlJc w:val="left"/>
      <w:pPr>
        <w:ind w:left="1790" w:hanging="360"/>
      </w:pPr>
      <w:rPr>
        <w:rFonts w:hint="default"/>
      </w:r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49E"/>
    <w:rsid w:val="00012EF2"/>
    <w:rsid w:val="00037C74"/>
    <w:rsid w:val="00047754"/>
    <w:rsid w:val="00067A7F"/>
    <w:rsid w:val="000E7655"/>
    <w:rsid w:val="00112A09"/>
    <w:rsid w:val="00146D32"/>
    <w:rsid w:val="00176DFA"/>
    <w:rsid w:val="00177662"/>
    <w:rsid w:val="00180D19"/>
    <w:rsid w:val="001A0166"/>
    <w:rsid w:val="001E623A"/>
    <w:rsid w:val="001F1381"/>
    <w:rsid w:val="00202AAA"/>
    <w:rsid w:val="00237197"/>
    <w:rsid w:val="00240DD3"/>
    <w:rsid w:val="00250E89"/>
    <w:rsid w:val="0025117F"/>
    <w:rsid w:val="002564AC"/>
    <w:rsid w:val="002828FE"/>
    <w:rsid w:val="00284F0E"/>
    <w:rsid w:val="002868E2"/>
    <w:rsid w:val="002C4105"/>
    <w:rsid w:val="00305288"/>
    <w:rsid w:val="003F58A8"/>
    <w:rsid w:val="00400578"/>
    <w:rsid w:val="004007DC"/>
    <w:rsid w:val="00424EDF"/>
    <w:rsid w:val="00440F51"/>
    <w:rsid w:val="004600C1"/>
    <w:rsid w:val="004604D2"/>
    <w:rsid w:val="00486611"/>
    <w:rsid w:val="00493381"/>
    <w:rsid w:val="004D1944"/>
    <w:rsid w:val="004D3E73"/>
    <w:rsid w:val="004D7D35"/>
    <w:rsid w:val="004F4787"/>
    <w:rsid w:val="005114F8"/>
    <w:rsid w:val="00553217"/>
    <w:rsid w:val="005600C7"/>
    <w:rsid w:val="005626CC"/>
    <w:rsid w:val="00567A5A"/>
    <w:rsid w:val="005B77D4"/>
    <w:rsid w:val="005D059F"/>
    <w:rsid w:val="005D093A"/>
    <w:rsid w:val="005D231C"/>
    <w:rsid w:val="005D2676"/>
    <w:rsid w:val="00604B8B"/>
    <w:rsid w:val="006051E8"/>
    <w:rsid w:val="00625CA2"/>
    <w:rsid w:val="00666819"/>
    <w:rsid w:val="0067149E"/>
    <w:rsid w:val="006E4180"/>
    <w:rsid w:val="00742CC8"/>
    <w:rsid w:val="00762F8F"/>
    <w:rsid w:val="007808AB"/>
    <w:rsid w:val="00792838"/>
    <w:rsid w:val="0079306F"/>
    <w:rsid w:val="0079394C"/>
    <w:rsid w:val="007973EF"/>
    <w:rsid w:val="007D7934"/>
    <w:rsid w:val="00836C0D"/>
    <w:rsid w:val="00846656"/>
    <w:rsid w:val="0085225E"/>
    <w:rsid w:val="0088089E"/>
    <w:rsid w:val="008A1575"/>
    <w:rsid w:val="008C65F2"/>
    <w:rsid w:val="008D1618"/>
    <w:rsid w:val="00901337"/>
    <w:rsid w:val="00952D4F"/>
    <w:rsid w:val="0096041F"/>
    <w:rsid w:val="00973CF8"/>
    <w:rsid w:val="009B1793"/>
    <w:rsid w:val="009C139D"/>
    <w:rsid w:val="00A060DC"/>
    <w:rsid w:val="00A16893"/>
    <w:rsid w:val="00AD2294"/>
    <w:rsid w:val="00B110BF"/>
    <w:rsid w:val="00B156FE"/>
    <w:rsid w:val="00B53942"/>
    <w:rsid w:val="00B55D7D"/>
    <w:rsid w:val="00B664F3"/>
    <w:rsid w:val="00B76005"/>
    <w:rsid w:val="00B92B36"/>
    <w:rsid w:val="00BA2E65"/>
    <w:rsid w:val="00BD3B3B"/>
    <w:rsid w:val="00BF04FB"/>
    <w:rsid w:val="00C064BC"/>
    <w:rsid w:val="00C114C9"/>
    <w:rsid w:val="00CE61FD"/>
    <w:rsid w:val="00D03E8B"/>
    <w:rsid w:val="00D77761"/>
    <w:rsid w:val="00D84442"/>
    <w:rsid w:val="00DC0FC7"/>
    <w:rsid w:val="00DD02E2"/>
    <w:rsid w:val="00DF63ED"/>
    <w:rsid w:val="00E053A8"/>
    <w:rsid w:val="00E32C47"/>
    <w:rsid w:val="00ED5242"/>
    <w:rsid w:val="00EE0DFA"/>
    <w:rsid w:val="00F30E2B"/>
    <w:rsid w:val="00F33AA3"/>
    <w:rsid w:val="00F361FE"/>
    <w:rsid w:val="00F44DA8"/>
    <w:rsid w:val="00FD23CD"/>
    <w:rsid w:val="00FE15A8"/>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B50CC0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63ED"/>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149E"/>
    <w:pPr>
      <w:ind w:left="720"/>
      <w:contextualSpacing/>
    </w:pPr>
  </w:style>
  <w:style w:type="table" w:styleId="TableGrid">
    <w:name w:val="Table Grid"/>
    <w:basedOn w:val="TableNormal"/>
    <w:uiPriority w:val="39"/>
    <w:rsid w:val="0067149E"/>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7149E"/>
    <w:pPr>
      <w:tabs>
        <w:tab w:val="center" w:pos="4153"/>
        <w:tab w:val="right" w:pos="8306"/>
      </w:tabs>
    </w:pPr>
  </w:style>
  <w:style w:type="character" w:customStyle="1" w:styleId="HeaderChar">
    <w:name w:val="Header Char"/>
    <w:basedOn w:val="DefaultParagraphFont"/>
    <w:link w:val="Header"/>
    <w:uiPriority w:val="99"/>
    <w:rsid w:val="0067149E"/>
  </w:style>
  <w:style w:type="paragraph" w:styleId="Footer">
    <w:name w:val="footer"/>
    <w:basedOn w:val="Normal"/>
    <w:link w:val="FooterChar"/>
    <w:uiPriority w:val="99"/>
    <w:unhideWhenUsed/>
    <w:rsid w:val="0067149E"/>
    <w:pPr>
      <w:tabs>
        <w:tab w:val="center" w:pos="4153"/>
        <w:tab w:val="right" w:pos="8306"/>
      </w:tabs>
    </w:pPr>
  </w:style>
  <w:style w:type="character" w:customStyle="1" w:styleId="FooterChar">
    <w:name w:val="Footer Char"/>
    <w:basedOn w:val="DefaultParagraphFont"/>
    <w:link w:val="Footer"/>
    <w:uiPriority w:val="99"/>
    <w:rsid w:val="0067149E"/>
  </w:style>
  <w:style w:type="paragraph" w:styleId="BodyText2">
    <w:name w:val="Body Text 2"/>
    <w:basedOn w:val="Normal"/>
    <w:link w:val="BodyText2Char"/>
    <w:rsid w:val="00DF63ED"/>
    <w:pPr>
      <w:jc w:val="right"/>
    </w:pPr>
    <w:rPr>
      <w:rFonts w:ascii="Garamond" w:hAnsi="Garamond"/>
      <w:sz w:val="28"/>
      <w:szCs w:val="28"/>
    </w:rPr>
  </w:style>
  <w:style w:type="character" w:customStyle="1" w:styleId="BodyText2Char">
    <w:name w:val="Body Text 2 Char"/>
    <w:basedOn w:val="DefaultParagraphFont"/>
    <w:link w:val="BodyText2"/>
    <w:rsid w:val="00DF63ED"/>
    <w:rPr>
      <w:rFonts w:ascii="Garamond" w:eastAsia="Times New Roman" w:hAnsi="Garamond" w:cs="Times New Roman"/>
      <w:sz w:val="28"/>
      <w:szCs w:val="28"/>
    </w:rPr>
  </w:style>
  <w:style w:type="paragraph" w:customStyle="1" w:styleId="tv213">
    <w:name w:val="tv213"/>
    <w:basedOn w:val="Normal"/>
    <w:rsid w:val="00DF63ED"/>
    <w:pPr>
      <w:spacing w:before="100" w:beforeAutospacing="1" w:after="100" w:afterAutospacing="1"/>
    </w:pPr>
    <w:rPr>
      <w:lang w:eastAsia="lv-LV"/>
    </w:rPr>
  </w:style>
  <w:style w:type="paragraph" w:styleId="BalloonText">
    <w:name w:val="Balloon Text"/>
    <w:basedOn w:val="Normal"/>
    <w:link w:val="BalloonTextChar"/>
    <w:uiPriority w:val="99"/>
    <w:semiHidden/>
    <w:unhideWhenUsed/>
    <w:rsid w:val="00742C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2CC8"/>
    <w:rPr>
      <w:rFonts w:ascii="Segoe UI" w:eastAsia="Times New Roman" w:hAnsi="Segoe UI" w:cs="Segoe UI"/>
      <w:sz w:val="18"/>
      <w:szCs w:val="18"/>
    </w:rPr>
  </w:style>
  <w:style w:type="character" w:styleId="Hyperlink">
    <w:name w:val="Hyperlink"/>
    <w:basedOn w:val="DefaultParagraphFont"/>
    <w:uiPriority w:val="99"/>
    <w:unhideWhenUsed/>
    <w:rsid w:val="00047754"/>
    <w:rPr>
      <w:color w:val="0563C1" w:themeColor="hyperlink"/>
      <w:u w:val="single"/>
    </w:rPr>
  </w:style>
  <w:style w:type="character" w:styleId="UnresolvedMention">
    <w:name w:val="Unresolved Mention"/>
    <w:basedOn w:val="DefaultParagraphFont"/>
    <w:uiPriority w:val="99"/>
    <w:semiHidden/>
    <w:unhideWhenUsed/>
    <w:rsid w:val="000477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nolemumi/pdf/414292.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6390</Words>
  <Characters>3643</Characters>
  <Application>Microsoft Office Word</Application>
  <DocSecurity>0</DocSecurity>
  <Lines>30</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2020-06-03T13:06:00Z</dcterms:created>
  <dcterms:modified xsi:type="dcterms:W3CDTF">2020-06-03T13:06:00Z</dcterms:modified>
</cp:coreProperties>
</file>