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3D734" w14:textId="77777777" w:rsidR="00E41250" w:rsidRDefault="00E41250" w:rsidP="00E41250">
      <w:pPr>
        <w:spacing w:line="276" w:lineRule="auto"/>
        <w:jc w:val="both"/>
        <w:rPr>
          <w:b/>
          <w:bCs/>
        </w:rPr>
      </w:pPr>
      <w:bookmarkStart w:id="0" w:name="_Hlk44662247"/>
      <w:r>
        <w:rPr>
          <w:b/>
          <w:bCs/>
        </w:rPr>
        <w:t>Ārvalsts uzņēmuma kļūdaini samaksātā pievienotās vērtības nodokļa atmaksāšana</w:t>
      </w:r>
    </w:p>
    <w:bookmarkEnd w:id="0"/>
    <w:p w14:paraId="47836AF8" w14:textId="77777777" w:rsidR="00E6756C" w:rsidRDefault="00E6756C" w:rsidP="00E6756C">
      <w:pPr>
        <w:spacing w:line="276" w:lineRule="auto"/>
        <w:jc w:val="right"/>
      </w:pPr>
    </w:p>
    <w:p w14:paraId="5B96512A" w14:textId="35765D20" w:rsidR="006B7BBC" w:rsidRDefault="006B7BBC" w:rsidP="006B7BBC">
      <w:pPr>
        <w:spacing w:line="276" w:lineRule="auto"/>
        <w:jc w:val="center"/>
        <w:rPr>
          <w:b/>
        </w:rPr>
      </w:pPr>
      <w:r w:rsidRPr="00E6756C">
        <w:rPr>
          <w:b/>
        </w:rPr>
        <w:t>Latvijas Republikas Senāt</w:t>
      </w:r>
      <w:r w:rsidR="00E6756C">
        <w:rPr>
          <w:b/>
        </w:rPr>
        <w:t>a</w:t>
      </w:r>
    </w:p>
    <w:p w14:paraId="3E429F84" w14:textId="495E2156" w:rsidR="00E6756C" w:rsidRDefault="00E6756C" w:rsidP="006B7BBC">
      <w:pPr>
        <w:spacing w:line="276" w:lineRule="auto"/>
        <w:jc w:val="center"/>
        <w:rPr>
          <w:b/>
        </w:rPr>
      </w:pPr>
      <w:r>
        <w:rPr>
          <w:b/>
        </w:rPr>
        <w:t>Administratīvo lietu departamenta</w:t>
      </w:r>
    </w:p>
    <w:p w14:paraId="3B31B6C9" w14:textId="01E992B8" w:rsidR="00E6756C" w:rsidRPr="00E6756C" w:rsidRDefault="00E6756C" w:rsidP="006B7BBC">
      <w:pPr>
        <w:spacing w:line="276" w:lineRule="auto"/>
        <w:jc w:val="center"/>
        <w:rPr>
          <w:b/>
        </w:rPr>
      </w:pPr>
      <w:proofErr w:type="gramStart"/>
      <w:r>
        <w:rPr>
          <w:b/>
        </w:rPr>
        <w:t>2020.gada</w:t>
      </w:r>
      <w:proofErr w:type="gramEnd"/>
      <w:r>
        <w:rPr>
          <w:b/>
        </w:rPr>
        <w:t xml:space="preserve"> 30.jūnija</w:t>
      </w:r>
    </w:p>
    <w:p w14:paraId="30B4B012" w14:textId="4B1F4B72" w:rsidR="006B7BBC" w:rsidRDefault="00C27C14" w:rsidP="006B7BBC">
      <w:pPr>
        <w:spacing w:line="276" w:lineRule="auto"/>
        <w:jc w:val="center"/>
        <w:rPr>
          <w:b/>
        </w:rPr>
      </w:pPr>
      <w:r w:rsidRPr="00E6756C">
        <w:rPr>
          <w:b/>
        </w:rPr>
        <w:t>SPRIEDUMS</w:t>
      </w:r>
    </w:p>
    <w:p w14:paraId="0A9E2C75" w14:textId="7427E09B" w:rsidR="00E6756C" w:rsidRDefault="00E6756C" w:rsidP="006B7BBC">
      <w:pPr>
        <w:spacing w:line="276" w:lineRule="auto"/>
        <w:jc w:val="center"/>
        <w:rPr>
          <w:b/>
        </w:rPr>
      </w:pPr>
      <w:r>
        <w:rPr>
          <w:b/>
        </w:rPr>
        <w:t>Lieta Nr. A42408912, SKA-93/2020</w:t>
      </w:r>
    </w:p>
    <w:p w14:paraId="38E085E8" w14:textId="7CCAE082" w:rsidR="00E6756C" w:rsidRPr="00E6756C" w:rsidRDefault="00141298" w:rsidP="006B7BBC">
      <w:pPr>
        <w:spacing w:line="276" w:lineRule="auto"/>
        <w:jc w:val="center"/>
        <w:rPr>
          <w:b/>
        </w:rPr>
      </w:pPr>
      <w:hyperlink r:id="rId7" w:history="1">
        <w:r w:rsidR="00E6756C" w:rsidRPr="00E6756C">
          <w:rPr>
            <w:rStyle w:val="Hyperlink"/>
          </w:rPr>
          <w:t>ECLI:LV:AT:2020:0630.A420408912.4.S</w:t>
        </w:r>
      </w:hyperlink>
    </w:p>
    <w:p w14:paraId="3DBD4178" w14:textId="77777777" w:rsidR="00043E06" w:rsidRPr="00D01CDE" w:rsidRDefault="00043E06" w:rsidP="00043E06">
      <w:pPr>
        <w:spacing w:line="276" w:lineRule="auto"/>
        <w:ind w:firstLine="567"/>
        <w:jc w:val="center"/>
      </w:pPr>
    </w:p>
    <w:p w14:paraId="19AFEF33" w14:textId="42243B1E" w:rsidR="006B7BBC" w:rsidRPr="00D01CDE" w:rsidRDefault="006B7BBC" w:rsidP="006B7BBC">
      <w:pPr>
        <w:spacing w:line="276" w:lineRule="auto"/>
        <w:ind w:firstLine="567"/>
        <w:jc w:val="both"/>
      </w:pPr>
      <w:r w:rsidRPr="00D01CDE">
        <w:t>Tiesa šādā sastāvā: senator</w:t>
      </w:r>
      <w:r w:rsidR="00096DB4" w:rsidRPr="00D01CDE">
        <w:t>es</w:t>
      </w:r>
      <w:r w:rsidRPr="00D01CDE">
        <w:t xml:space="preserve"> </w:t>
      </w:r>
      <w:r w:rsidR="00043E06" w:rsidRPr="00D01CDE">
        <w:t>Līvija Slica</w:t>
      </w:r>
      <w:r w:rsidRPr="00D01CDE">
        <w:t xml:space="preserve">, </w:t>
      </w:r>
      <w:r w:rsidR="00EC3305" w:rsidRPr="00D01CDE">
        <w:t>Anita Kovaļevska</w:t>
      </w:r>
      <w:r w:rsidR="00143E76" w:rsidRPr="00D01CDE">
        <w:t xml:space="preserve">, </w:t>
      </w:r>
      <w:r w:rsidR="00EC3305" w:rsidRPr="00D01CDE">
        <w:t>Ieva Višķere</w:t>
      </w:r>
      <w:r w:rsidR="00FC1815" w:rsidRPr="00D01CDE">
        <w:t xml:space="preserve"> </w:t>
      </w:r>
    </w:p>
    <w:p w14:paraId="3049557F" w14:textId="77777777" w:rsidR="003047F5" w:rsidRPr="00D01CDE" w:rsidRDefault="003047F5" w:rsidP="000B0A3A">
      <w:pPr>
        <w:spacing w:line="276" w:lineRule="auto"/>
        <w:ind w:firstLine="567"/>
        <w:jc w:val="both"/>
      </w:pPr>
    </w:p>
    <w:p w14:paraId="5DE22EF3" w14:textId="615F0890" w:rsidR="00A6596A" w:rsidRPr="00D01CDE" w:rsidRDefault="00186CAA" w:rsidP="00841395">
      <w:pPr>
        <w:spacing w:line="276" w:lineRule="auto"/>
        <w:ind w:firstLine="567"/>
        <w:jc w:val="both"/>
      </w:pPr>
      <w:r w:rsidRPr="00D01CDE">
        <w:t xml:space="preserve">rakstveida procesā izskatīja </w:t>
      </w:r>
      <w:r w:rsidR="00314064" w:rsidRPr="00D01CDE">
        <w:t xml:space="preserve">administratīvo lietu, kas ierosināta, </w:t>
      </w:r>
      <w:r w:rsidR="00E042D6" w:rsidRPr="00D01CDE">
        <w:rPr>
          <w:lang w:eastAsia="lv-LV"/>
        </w:rPr>
        <w:t xml:space="preserve">pamatojoties uz </w:t>
      </w:r>
      <w:r w:rsidR="007E056E" w:rsidRPr="00D01CDE">
        <w:rPr>
          <w:lang w:eastAsia="lv-LV"/>
        </w:rPr>
        <w:t xml:space="preserve">Vācijas uzņēmuma </w:t>
      </w:r>
      <w:proofErr w:type="spellStart"/>
      <w:r w:rsidR="007E056E" w:rsidRPr="00D01CDE">
        <w:rPr>
          <w:i/>
          <w:iCs/>
          <w:lang w:eastAsia="lv-LV"/>
        </w:rPr>
        <w:t>whb</w:t>
      </w:r>
      <w:proofErr w:type="spellEnd"/>
      <w:r w:rsidR="007E056E" w:rsidRPr="00D01CDE">
        <w:rPr>
          <w:i/>
          <w:iCs/>
          <w:lang w:eastAsia="lv-LV"/>
        </w:rPr>
        <w:t xml:space="preserve"> </w:t>
      </w:r>
      <w:proofErr w:type="spellStart"/>
      <w:r w:rsidR="007E056E" w:rsidRPr="00D01CDE">
        <w:rPr>
          <w:i/>
          <w:iCs/>
          <w:lang w:eastAsia="lv-LV"/>
        </w:rPr>
        <w:t>Energietechnik</w:t>
      </w:r>
      <w:proofErr w:type="spellEnd"/>
      <w:r w:rsidR="007E056E" w:rsidRPr="00D01CDE">
        <w:rPr>
          <w:i/>
          <w:iCs/>
          <w:lang w:eastAsia="lv-LV"/>
        </w:rPr>
        <w:t xml:space="preserve"> </w:t>
      </w:r>
      <w:proofErr w:type="spellStart"/>
      <w:r w:rsidR="007E056E" w:rsidRPr="00D01CDE">
        <w:rPr>
          <w:i/>
          <w:iCs/>
          <w:lang w:eastAsia="lv-LV"/>
        </w:rPr>
        <w:t>GmbH</w:t>
      </w:r>
      <w:proofErr w:type="spellEnd"/>
      <w:r w:rsidR="007E056E" w:rsidRPr="00D01CDE">
        <w:rPr>
          <w:i/>
          <w:iCs/>
          <w:lang w:eastAsia="lv-LV"/>
        </w:rPr>
        <w:t xml:space="preserve"> </w:t>
      </w:r>
      <w:r w:rsidR="007E056E" w:rsidRPr="00D01CDE">
        <w:rPr>
          <w:lang w:eastAsia="lv-LV"/>
        </w:rPr>
        <w:t>pieteikumu par labvēlīga administratīvā akta izdošanu</w:t>
      </w:r>
      <w:r w:rsidR="00314064" w:rsidRPr="00D01CDE">
        <w:t xml:space="preserve">, sakarā ar </w:t>
      </w:r>
      <w:proofErr w:type="spellStart"/>
      <w:r w:rsidR="007E056E" w:rsidRPr="00D01CDE">
        <w:rPr>
          <w:i/>
          <w:iCs/>
          <w:lang w:eastAsia="lv-LV"/>
        </w:rPr>
        <w:t>whb</w:t>
      </w:r>
      <w:proofErr w:type="spellEnd"/>
      <w:r w:rsidR="007E056E" w:rsidRPr="00D01CDE">
        <w:rPr>
          <w:i/>
          <w:iCs/>
          <w:lang w:eastAsia="lv-LV"/>
        </w:rPr>
        <w:t xml:space="preserve"> </w:t>
      </w:r>
      <w:proofErr w:type="spellStart"/>
      <w:r w:rsidR="007E056E" w:rsidRPr="00D01CDE">
        <w:rPr>
          <w:i/>
          <w:iCs/>
          <w:lang w:eastAsia="lv-LV"/>
        </w:rPr>
        <w:t>Energietechnik</w:t>
      </w:r>
      <w:proofErr w:type="spellEnd"/>
      <w:r w:rsidR="007E056E" w:rsidRPr="00D01CDE">
        <w:rPr>
          <w:i/>
          <w:iCs/>
          <w:lang w:eastAsia="lv-LV"/>
        </w:rPr>
        <w:t xml:space="preserve"> </w:t>
      </w:r>
      <w:proofErr w:type="spellStart"/>
      <w:r w:rsidR="007E056E" w:rsidRPr="00D01CDE">
        <w:rPr>
          <w:i/>
          <w:iCs/>
          <w:lang w:eastAsia="lv-LV"/>
        </w:rPr>
        <w:t>GmbH</w:t>
      </w:r>
      <w:proofErr w:type="spellEnd"/>
      <w:r w:rsidR="007E056E" w:rsidRPr="00D01CDE">
        <w:rPr>
          <w:i/>
          <w:iCs/>
          <w:lang w:eastAsia="lv-LV"/>
        </w:rPr>
        <w:t xml:space="preserve"> </w:t>
      </w:r>
      <w:r w:rsidR="00FC1815" w:rsidRPr="00D01CDE">
        <w:t xml:space="preserve">kasācijas sūdzību par </w:t>
      </w:r>
      <w:r w:rsidR="000F1EAC" w:rsidRPr="00D01CDE">
        <w:t xml:space="preserve">Administratīvās apgabaltiesas </w:t>
      </w:r>
      <w:proofErr w:type="gramStart"/>
      <w:r w:rsidR="00DF5555" w:rsidRPr="00D01CDE">
        <w:t>201</w:t>
      </w:r>
      <w:r w:rsidR="00395B66" w:rsidRPr="00D01CDE">
        <w:t>7</w:t>
      </w:r>
      <w:r w:rsidR="000F1EAC" w:rsidRPr="00D01CDE">
        <w:t>.gada</w:t>
      </w:r>
      <w:proofErr w:type="gramEnd"/>
      <w:r w:rsidR="000F1EAC" w:rsidRPr="00D01CDE">
        <w:t xml:space="preserve"> </w:t>
      </w:r>
      <w:r w:rsidR="007E056E" w:rsidRPr="00D01CDE">
        <w:t>31.jūlija</w:t>
      </w:r>
      <w:r w:rsidR="000F1EAC" w:rsidRPr="00D01CDE">
        <w:t xml:space="preserve"> spriedumu</w:t>
      </w:r>
      <w:r w:rsidR="00FC1815" w:rsidRPr="00D01CDE">
        <w:t>.</w:t>
      </w:r>
    </w:p>
    <w:p w14:paraId="3B0F7096" w14:textId="77777777" w:rsidR="00FC1815" w:rsidRPr="00D01CDE" w:rsidRDefault="00FC1815" w:rsidP="000B0A3A">
      <w:pPr>
        <w:spacing w:line="276" w:lineRule="auto"/>
        <w:ind w:firstLine="567"/>
        <w:jc w:val="both"/>
      </w:pPr>
    </w:p>
    <w:p w14:paraId="49301551" w14:textId="77777777" w:rsidR="003047F5" w:rsidRPr="00D01CDE" w:rsidRDefault="003047F5" w:rsidP="00833668">
      <w:pPr>
        <w:pStyle w:val="ATvirsraksts"/>
      </w:pPr>
      <w:r w:rsidRPr="00D01CDE">
        <w:t>Aprakstošā daļa</w:t>
      </w:r>
    </w:p>
    <w:p w14:paraId="54AE93A0" w14:textId="77777777" w:rsidR="003047F5" w:rsidRPr="00D01CDE" w:rsidRDefault="003047F5" w:rsidP="000B0A3A">
      <w:pPr>
        <w:spacing w:line="276" w:lineRule="auto"/>
        <w:ind w:firstLine="567"/>
        <w:jc w:val="both"/>
      </w:pPr>
    </w:p>
    <w:p w14:paraId="5CC43238" w14:textId="77777777" w:rsidR="004A66EA" w:rsidRPr="00D01CDE" w:rsidRDefault="005D7CAC" w:rsidP="007D2CA9">
      <w:pPr>
        <w:spacing w:line="276" w:lineRule="auto"/>
        <w:ind w:firstLine="567"/>
        <w:jc w:val="both"/>
      </w:pPr>
      <w:r w:rsidRPr="00D01CDE">
        <w:rPr>
          <w:lang w:eastAsia="lv-LV"/>
        </w:rPr>
        <w:t>[1] </w:t>
      </w:r>
      <w:r w:rsidR="007D2CA9" w:rsidRPr="00D01CDE">
        <w:t>Pieteicēj</w:t>
      </w:r>
      <w:r w:rsidR="00C81A47" w:rsidRPr="00D01CDE">
        <w:t>s Vācijas uzņēmu</w:t>
      </w:r>
      <w:r w:rsidR="00DC2BCB" w:rsidRPr="00D01CDE">
        <w:t>m</w:t>
      </w:r>
      <w:r w:rsidR="00C81A47" w:rsidRPr="00D01CDE">
        <w:t>s</w:t>
      </w:r>
      <w:r w:rsidR="007D2CA9" w:rsidRPr="00D01CDE">
        <w:t xml:space="preserve"> </w:t>
      </w:r>
      <w:proofErr w:type="spellStart"/>
      <w:r w:rsidR="007D2CA9" w:rsidRPr="00D01CDE">
        <w:rPr>
          <w:i/>
          <w:iCs/>
        </w:rPr>
        <w:t>whb</w:t>
      </w:r>
      <w:proofErr w:type="spellEnd"/>
      <w:r w:rsidR="007D2CA9" w:rsidRPr="00D01CDE">
        <w:rPr>
          <w:i/>
          <w:iCs/>
        </w:rPr>
        <w:t xml:space="preserve"> </w:t>
      </w:r>
      <w:proofErr w:type="spellStart"/>
      <w:r w:rsidR="007D2CA9" w:rsidRPr="00D01CDE">
        <w:rPr>
          <w:i/>
          <w:iCs/>
        </w:rPr>
        <w:t>Energietechnik</w:t>
      </w:r>
      <w:proofErr w:type="spellEnd"/>
      <w:r w:rsidR="007D2CA9" w:rsidRPr="00D01CDE">
        <w:rPr>
          <w:i/>
          <w:iCs/>
        </w:rPr>
        <w:t xml:space="preserve"> </w:t>
      </w:r>
      <w:proofErr w:type="spellStart"/>
      <w:r w:rsidR="007D2CA9" w:rsidRPr="00D01CDE">
        <w:rPr>
          <w:i/>
          <w:iCs/>
        </w:rPr>
        <w:t>GmbH</w:t>
      </w:r>
      <w:proofErr w:type="spellEnd"/>
      <w:r w:rsidR="007D2CA9" w:rsidRPr="00D01CDE">
        <w:t xml:space="preserve"> </w:t>
      </w:r>
      <w:proofErr w:type="gramStart"/>
      <w:r w:rsidR="007D2CA9" w:rsidRPr="00D01CDE">
        <w:t>2011.gada</w:t>
      </w:r>
      <w:proofErr w:type="gramEnd"/>
      <w:r w:rsidR="007D2CA9" w:rsidRPr="00D01CDE">
        <w:t xml:space="preserve"> 3.martā, 18.maijā un 22.jūlijā vērsās Valsts ieņēmumu dienestā</w:t>
      </w:r>
      <w:r w:rsidR="00980C95" w:rsidRPr="00D01CDE">
        <w:t xml:space="preserve"> (turpmāk – dienests)</w:t>
      </w:r>
      <w:r w:rsidR="007D2CA9" w:rsidRPr="00D01CDE">
        <w:t xml:space="preserve"> ar pieprasījum</w:t>
      </w:r>
      <w:r w:rsidR="00DC2BCB" w:rsidRPr="00D01CDE">
        <w:t>iem</w:t>
      </w:r>
      <w:r w:rsidR="007D2CA9" w:rsidRPr="00D01CDE">
        <w:t xml:space="preserve"> par pievienotās vērtības nodokļa atmaksu.</w:t>
      </w:r>
      <w:r w:rsidR="00980C95" w:rsidRPr="00D01CDE">
        <w:t xml:space="preserve"> D</w:t>
      </w:r>
      <w:r w:rsidR="007D2CA9" w:rsidRPr="00D01CDE">
        <w:t>ienests pieprasījumus apmierināja tikai daļēji, norādot, ka pieteicēj</w:t>
      </w:r>
      <w:r w:rsidR="00C81A47" w:rsidRPr="00D01CDE">
        <w:t>s</w:t>
      </w:r>
      <w:r w:rsidR="007D2CA9" w:rsidRPr="00D01CDE">
        <w:t xml:space="preserve"> ar SIA „</w:t>
      </w:r>
      <w:proofErr w:type="spellStart"/>
      <w:r w:rsidR="007D2CA9" w:rsidRPr="00D01CDE">
        <w:t>Alekon</w:t>
      </w:r>
      <w:proofErr w:type="spellEnd"/>
      <w:r w:rsidR="007D2CA9" w:rsidRPr="00D01CDE">
        <w:t xml:space="preserve"> LV” ir noslē</w:t>
      </w:r>
      <w:r w:rsidR="00C81A47" w:rsidRPr="00D01CDE">
        <w:t>dzis</w:t>
      </w:r>
      <w:r w:rsidR="007D2CA9" w:rsidRPr="00D01CDE">
        <w:t xml:space="preserve"> līgumu par vispārēja rakstura pakalpojumiem (par tērauda liešanas celtņa rekonstrukciju, projektēšanu, materiāltehnisko apgādi un montāžu) un, pamatojoties uz likuma „Par pievienotās vērtības nodokli” 4.</w:t>
      </w:r>
      <w:proofErr w:type="gramStart"/>
      <w:r w:rsidR="007D2CA9" w:rsidRPr="00D01CDE">
        <w:rPr>
          <w:vertAlign w:val="superscript"/>
        </w:rPr>
        <w:t>1</w:t>
      </w:r>
      <w:r w:rsidR="007D2CA9" w:rsidRPr="00D01CDE">
        <w:t>panta</w:t>
      </w:r>
      <w:proofErr w:type="gramEnd"/>
      <w:r w:rsidR="007D2CA9" w:rsidRPr="00D01CDE">
        <w:t xml:space="preserve"> pirmo daļu, pieteicēja</w:t>
      </w:r>
      <w:r w:rsidR="00C81A47" w:rsidRPr="00D01CDE">
        <w:t>m</w:t>
      </w:r>
      <w:r w:rsidR="007D2CA9" w:rsidRPr="00D01CDE">
        <w:t xml:space="preserve"> izsniegtajos rēķinos nebija norādāms pievienotās vērtības nodoklis, jo pakalpojum</w:t>
      </w:r>
      <w:r w:rsidR="00DC2BCB" w:rsidRPr="00D01CDE">
        <w:t>a</w:t>
      </w:r>
      <w:r w:rsidR="007D2CA9" w:rsidRPr="00D01CDE">
        <w:t xml:space="preserve"> sniegšanas vieta ir pakalpojuma saņēmēja (pieteicēja) saimnieciskās darbības mītnes vieta (Vācija). </w:t>
      </w:r>
      <w:r w:rsidR="00980C95" w:rsidRPr="00D01CDE">
        <w:t>Dienest</w:t>
      </w:r>
      <w:r w:rsidR="00F97F6C" w:rsidRPr="00D01CDE">
        <w:t>s</w:t>
      </w:r>
      <w:r w:rsidR="00980C95" w:rsidRPr="00D01CDE">
        <w:t xml:space="preserve"> </w:t>
      </w:r>
      <w:r w:rsidR="007D2CA9" w:rsidRPr="00D01CDE">
        <w:t xml:space="preserve">arī </w:t>
      </w:r>
      <w:r w:rsidR="00603616" w:rsidRPr="00D01CDE">
        <w:t>norādījis</w:t>
      </w:r>
      <w:r w:rsidR="007D2CA9" w:rsidRPr="00D01CDE">
        <w:t>, ka SIA „</w:t>
      </w:r>
      <w:proofErr w:type="spellStart"/>
      <w:r w:rsidR="007D2CA9" w:rsidRPr="00D01CDE">
        <w:t>Alekon</w:t>
      </w:r>
      <w:proofErr w:type="spellEnd"/>
      <w:r w:rsidR="007D2CA9" w:rsidRPr="00D01CDE">
        <w:t xml:space="preserve"> LV” noformētajos rēķinos nav norādīts piegādāto preču vai sniegtā pakalpojuma nosaukums, daudzums (apjoms) un mērvienība, kā arī piegādāto preču vai sniegtā pakalpojuma cena (vienas vienības vērtība bez nodokļa). Rēķini, saskaņā ar kuriem pieteicēj</w:t>
      </w:r>
      <w:r w:rsidR="00C81A47" w:rsidRPr="00D01CDE">
        <w:t>s</w:t>
      </w:r>
      <w:r w:rsidR="007D2CA9" w:rsidRPr="00D01CDE">
        <w:t xml:space="preserve"> pieprasa atmaksāt nodokli, likuma „Par pievienotās vērtības nodokli” izpratnē nav uzskatāmi par nodokļa rēķiniem, jo nav noformēti atbilstoši minētā likuma prasībām un no tiem nevar identificēt darījuma būtību.</w:t>
      </w:r>
    </w:p>
    <w:p w14:paraId="511D931B" w14:textId="6DC7633C" w:rsidR="007D2CA9" w:rsidRPr="00D01CDE" w:rsidRDefault="007D2CA9" w:rsidP="007D2CA9">
      <w:pPr>
        <w:spacing w:line="276" w:lineRule="auto"/>
        <w:ind w:firstLine="567"/>
        <w:jc w:val="both"/>
      </w:pPr>
      <w:r w:rsidRPr="00D01CDE">
        <w:t xml:space="preserve">Administratīvais process iestādē noslēdzās attiecīgi ar dienesta </w:t>
      </w:r>
      <w:proofErr w:type="gramStart"/>
      <w:r w:rsidRPr="00D01CDE">
        <w:t>2012.gada</w:t>
      </w:r>
      <w:proofErr w:type="gramEnd"/>
      <w:r w:rsidRPr="00D01CDE">
        <w:t xml:space="preserve"> 19.janvāra lēmumu Nr. 22.4.6/5106, 2012.gada 9.marta lēmumu Nr. 22.4.6/20974 un 2012.gada 19.janvāra lēmumu Nr. 22.4.6/5104.</w:t>
      </w:r>
    </w:p>
    <w:p w14:paraId="0D26DD73" w14:textId="4E18D6B3" w:rsidR="007D2CA9" w:rsidRPr="00D01CDE" w:rsidRDefault="007D2CA9" w:rsidP="007D2CA9">
      <w:pPr>
        <w:spacing w:line="276" w:lineRule="auto"/>
        <w:ind w:firstLine="567"/>
        <w:jc w:val="both"/>
      </w:pPr>
    </w:p>
    <w:p w14:paraId="29F1682C" w14:textId="37437AFD" w:rsidR="007D2CA9" w:rsidRPr="00D01CDE" w:rsidRDefault="007D2CA9" w:rsidP="007D2CA9">
      <w:pPr>
        <w:spacing w:line="276" w:lineRule="auto"/>
        <w:ind w:firstLine="567"/>
        <w:jc w:val="both"/>
      </w:pPr>
      <w:r w:rsidRPr="00D01CDE">
        <w:t>[2] Pieteicēj</w:t>
      </w:r>
      <w:r w:rsidR="00C81A47" w:rsidRPr="00D01CDE">
        <w:t>s</w:t>
      </w:r>
      <w:r w:rsidRPr="00D01CDE">
        <w:t xml:space="preserve"> iesniedz</w:t>
      </w:r>
      <w:r w:rsidR="00463D5E" w:rsidRPr="00D01CDE">
        <w:t>a Administratīvajā rajona tiesā pieteikumu par minēto dienesta lēmumu atcelšanu un labvēlīga administratīvā akta izdošanu</w:t>
      </w:r>
      <w:r w:rsidR="009268CA" w:rsidRPr="00D01CDE">
        <w:t>, ar kuru pieteicēja</w:t>
      </w:r>
      <w:r w:rsidR="00F97F6C" w:rsidRPr="00D01CDE">
        <w:t>m</w:t>
      </w:r>
      <w:r w:rsidR="009268CA" w:rsidRPr="00D01CDE">
        <w:t xml:space="preserve"> tiktu atmaksāts pievienotās vērtības nodoklis</w:t>
      </w:r>
      <w:r w:rsidR="00463D5E" w:rsidRPr="00D01CDE">
        <w:t>.</w:t>
      </w:r>
    </w:p>
    <w:p w14:paraId="4BC38A71" w14:textId="7A81CF54" w:rsidR="00463D5E" w:rsidRPr="00D01CDE" w:rsidRDefault="00463D5E" w:rsidP="007D2CA9">
      <w:pPr>
        <w:spacing w:line="276" w:lineRule="auto"/>
        <w:ind w:firstLine="567"/>
        <w:jc w:val="both"/>
      </w:pPr>
    </w:p>
    <w:p w14:paraId="60FBC84B" w14:textId="10DD9C1B" w:rsidR="00463D5E" w:rsidRPr="00D01CDE" w:rsidRDefault="00463D5E" w:rsidP="007D2CA9">
      <w:pPr>
        <w:spacing w:line="276" w:lineRule="auto"/>
        <w:ind w:firstLine="567"/>
        <w:jc w:val="both"/>
      </w:pPr>
      <w:r w:rsidRPr="00D01CDE">
        <w:t xml:space="preserve">[3] Administratīvā apgabaltiesa ar </w:t>
      </w:r>
      <w:proofErr w:type="gramStart"/>
      <w:r w:rsidRPr="00D01CDE">
        <w:t>2017.gada</w:t>
      </w:r>
      <w:proofErr w:type="gramEnd"/>
      <w:r w:rsidRPr="00D01CDE">
        <w:t xml:space="preserve"> 31.jūlija spriedumu pieteicēja pieteikumu noraidīja. Apgabaltiesa</w:t>
      </w:r>
      <w:r w:rsidR="00F97F6C" w:rsidRPr="00D01CDE">
        <w:t>s</w:t>
      </w:r>
      <w:r w:rsidRPr="00D01CDE">
        <w:t xml:space="preserve"> spriedums pamatots ar turpmāk minētajiem argumentiem.</w:t>
      </w:r>
    </w:p>
    <w:p w14:paraId="00685918" w14:textId="44B53DA3" w:rsidR="00C81A47" w:rsidRPr="00D01CDE" w:rsidRDefault="00C81A47" w:rsidP="00A83A3A">
      <w:pPr>
        <w:spacing w:line="276" w:lineRule="auto"/>
        <w:ind w:firstLine="567"/>
        <w:jc w:val="both"/>
        <w:rPr>
          <w:lang w:eastAsia="lv-LV"/>
        </w:rPr>
      </w:pPr>
      <w:r w:rsidRPr="00D01CDE">
        <w:t>[3.1] </w:t>
      </w:r>
      <w:r w:rsidR="007E056E" w:rsidRPr="00D01CDE">
        <w:rPr>
          <w:lang w:eastAsia="lv-LV"/>
        </w:rPr>
        <w:t>Lietā ir strīds, vai pieteicējam, kura saimnieciskās darbības mītnes vieta ir Vācija un</w:t>
      </w:r>
      <w:r w:rsidR="00F97F6C" w:rsidRPr="00D01CDE">
        <w:rPr>
          <w:lang w:eastAsia="lv-LV"/>
        </w:rPr>
        <w:t xml:space="preserve"> kuram</w:t>
      </w:r>
      <w:r w:rsidR="007E056E" w:rsidRPr="00D01CDE">
        <w:rPr>
          <w:lang w:eastAsia="lv-LV"/>
        </w:rPr>
        <w:t xml:space="preserve"> Latvijā nav iestādes, ir tiesības saņemt </w:t>
      </w:r>
      <w:r w:rsidRPr="00D01CDE">
        <w:rPr>
          <w:lang w:eastAsia="lv-LV"/>
        </w:rPr>
        <w:t>pievienotās vērtības nodokļa</w:t>
      </w:r>
      <w:r w:rsidR="007E056E" w:rsidRPr="00D01CDE">
        <w:rPr>
          <w:lang w:eastAsia="lv-LV"/>
        </w:rPr>
        <w:t xml:space="preserve"> atmaksu saskaņā ar SIA</w:t>
      </w:r>
      <w:r w:rsidRPr="00D01CDE">
        <w:rPr>
          <w:lang w:eastAsia="lv-LV"/>
        </w:rPr>
        <w:t> </w:t>
      </w:r>
      <w:r w:rsidR="007E056E" w:rsidRPr="00D01CDE">
        <w:rPr>
          <w:lang w:eastAsia="lv-LV"/>
        </w:rPr>
        <w:t>„</w:t>
      </w:r>
      <w:proofErr w:type="spellStart"/>
      <w:r w:rsidR="007E056E" w:rsidRPr="00D01CDE">
        <w:rPr>
          <w:lang w:eastAsia="lv-LV"/>
        </w:rPr>
        <w:t>Alekon</w:t>
      </w:r>
      <w:proofErr w:type="spellEnd"/>
      <w:r w:rsidR="007E056E" w:rsidRPr="00D01CDE">
        <w:rPr>
          <w:lang w:eastAsia="lv-LV"/>
        </w:rPr>
        <w:t xml:space="preserve"> LV” izrakstītajiem </w:t>
      </w:r>
      <w:r w:rsidRPr="00D01CDE">
        <w:rPr>
          <w:lang w:eastAsia="lv-LV"/>
        </w:rPr>
        <w:t>r</w:t>
      </w:r>
      <w:r w:rsidR="007E056E" w:rsidRPr="00D01CDE">
        <w:rPr>
          <w:lang w:eastAsia="lv-LV"/>
        </w:rPr>
        <w:t>ēķiniem kopā 160 </w:t>
      </w:r>
      <w:proofErr w:type="gramStart"/>
      <w:r w:rsidR="007E056E" w:rsidRPr="00D01CDE">
        <w:rPr>
          <w:lang w:eastAsia="lv-LV"/>
        </w:rPr>
        <w:t>755,87</w:t>
      </w:r>
      <w:r w:rsidRPr="00D01CDE">
        <w:rPr>
          <w:lang w:eastAsia="lv-LV"/>
        </w:rPr>
        <w:t> Ls</w:t>
      </w:r>
      <w:proofErr w:type="gramEnd"/>
      <w:r w:rsidRPr="00D01CDE">
        <w:rPr>
          <w:lang w:eastAsia="lv-LV"/>
        </w:rPr>
        <w:t xml:space="preserve"> </w:t>
      </w:r>
      <w:r w:rsidR="007E056E" w:rsidRPr="00D01CDE">
        <w:rPr>
          <w:lang w:eastAsia="lv-LV"/>
        </w:rPr>
        <w:t>apmērā</w:t>
      </w:r>
      <w:r w:rsidR="00603616" w:rsidRPr="00D01CDE">
        <w:rPr>
          <w:lang w:eastAsia="lv-LV"/>
        </w:rPr>
        <w:t xml:space="preserve"> (turpmāk – rēķini)</w:t>
      </w:r>
      <w:r w:rsidR="007E056E" w:rsidRPr="00D01CDE">
        <w:rPr>
          <w:lang w:eastAsia="lv-LV"/>
        </w:rPr>
        <w:t>.</w:t>
      </w:r>
    </w:p>
    <w:p w14:paraId="1A0B8C0A" w14:textId="285B2DDD" w:rsidR="00154CD7" w:rsidRPr="00D01CDE" w:rsidRDefault="00154CD7" w:rsidP="00154CD7">
      <w:pPr>
        <w:spacing w:line="276" w:lineRule="auto"/>
        <w:ind w:firstLine="567"/>
        <w:jc w:val="both"/>
        <w:rPr>
          <w:lang w:eastAsia="lv-LV"/>
        </w:rPr>
      </w:pPr>
      <w:r w:rsidRPr="00D01CDE">
        <w:rPr>
          <w:lang w:eastAsia="lv-LV"/>
        </w:rPr>
        <w:lastRenderedPageBreak/>
        <w:t>[3.2] Likuma „Par pievienotās vērtības nodokli” 12.</w:t>
      </w:r>
      <w:proofErr w:type="gramStart"/>
      <w:r w:rsidRPr="00D01CDE">
        <w:rPr>
          <w:vertAlign w:val="superscript"/>
          <w:lang w:eastAsia="lv-LV"/>
        </w:rPr>
        <w:t>5</w:t>
      </w:r>
      <w:r w:rsidRPr="00D01CDE">
        <w:rPr>
          <w:lang w:eastAsia="lv-LV"/>
        </w:rPr>
        <w:t>panta</w:t>
      </w:r>
      <w:proofErr w:type="gramEnd"/>
      <w:r w:rsidRPr="00D01CDE">
        <w:rPr>
          <w:lang w:eastAsia="lv-LV"/>
        </w:rPr>
        <w:t xml:space="preserve"> pirmā daļa noteic, kādos gadījum</w:t>
      </w:r>
      <w:r w:rsidR="00F97F6C" w:rsidRPr="00D01CDE">
        <w:rPr>
          <w:lang w:eastAsia="lv-LV"/>
        </w:rPr>
        <w:t>o</w:t>
      </w:r>
      <w:r w:rsidRPr="00D01CDE">
        <w:rPr>
          <w:lang w:eastAsia="lv-LV"/>
        </w:rPr>
        <w:t>s citas dalībvalsts apliekamajai personai atmaksā samaksāto nodokli par iekšzemē iegādātajām precēm, saņemtajiem pakalpojumiem un par preču importu apliekamo darījumu nodrošināšanai citā dalībvalstī. Uz šā likuma 12.</w:t>
      </w:r>
      <w:proofErr w:type="gramStart"/>
      <w:r w:rsidRPr="00D01CDE">
        <w:rPr>
          <w:vertAlign w:val="superscript"/>
          <w:lang w:eastAsia="lv-LV"/>
        </w:rPr>
        <w:t>5</w:t>
      </w:r>
      <w:r w:rsidRPr="00D01CDE">
        <w:rPr>
          <w:lang w:eastAsia="lv-LV"/>
        </w:rPr>
        <w:t>panta</w:t>
      </w:r>
      <w:proofErr w:type="gramEnd"/>
      <w:r w:rsidRPr="00D01CDE">
        <w:rPr>
          <w:lang w:eastAsia="lv-LV"/>
        </w:rPr>
        <w:t xml:space="preserve"> otrās daļas pamata izdoti Ministru kabineta 2009.gada 22.decembra noteikum</w:t>
      </w:r>
      <w:r w:rsidR="00F97F6C" w:rsidRPr="00D01CDE">
        <w:rPr>
          <w:lang w:eastAsia="lv-LV"/>
        </w:rPr>
        <w:t>i</w:t>
      </w:r>
      <w:r w:rsidRPr="00D01CDE">
        <w:rPr>
          <w:lang w:eastAsia="lv-LV"/>
        </w:rPr>
        <w:t xml:space="preserve"> Nr. 1639 „Kārtība, kādā ar pievienotās vērtības nodokli apliekamā persona iesniedz pieteikumu pievienotās vērtības nodokļa atmaksas saņemšanai citā Eiropas Savienības dalībvalstī, un kārtība, kādā atmaksā pievienotās vērtības nodokli citas Eiropas Savienības dalībvalsts apliekamai personai</w:t>
      </w:r>
      <w:r w:rsidR="00D06FA4" w:rsidRPr="00D01CDE">
        <w:rPr>
          <w:lang w:eastAsia="lv-LV"/>
        </w:rPr>
        <w:t>”</w:t>
      </w:r>
      <w:r w:rsidRPr="00D01CDE">
        <w:rPr>
          <w:lang w:eastAsia="lv-LV"/>
        </w:rPr>
        <w:t xml:space="preserve"> (turpmāk – noteikumi Nr. 1639). Noteikumu Nr.</w:t>
      </w:r>
      <w:r w:rsidR="00D06FA4" w:rsidRPr="00D01CDE">
        <w:rPr>
          <w:lang w:eastAsia="lv-LV"/>
        </w:rPr>
        <w:t> </w:t>
      </w:r>
      <w:r w:rsidRPr="00D01CDE">
        <w:rPr>
          <w:lang w:eastAsia="lv-LV"/>
        </w:rPr>
        <w:t>1639 29.1.apakšpunkts paredz, ka nodokli neatmaksā, ja atmaksu pieprasa par nodokļa summu, kura norādīta nodokļa rēķinā, kas neatbilst likuma „Par pievienotās vērtības nodokli” prasībām.</w:t>
      </w:r>
    </w:p>
    <w:p w14:paraId="52EB6AE1" w14:textId="08F58C18" w:rsidR="003557CB" w:rsidRPr="00D01CDE" w:rsidRDefault="00154CD7" w:rsidP="00154CD7">
      <w:pPr>
        <w:spacing w:line="276" w:lineRule="auto"/>
        <w:ind w:firstLine="567"/>
        <w:jc w:val="both"/>
        <w:rPr>
          <w:lang w:eastAsia="lv-LV"/>
        </w:rPr>
      </w:pPr>
      <w:r w:rsidRPr="00D01CDE">
        <w:rPr>
          <w:lang w:eastAsia="lv-LV"/>
        </w:rPr>
        <w:t>[</w:t>
      </w:r>
      <w:r w:rsidR="00D06FA4" w:rsidRPr="00D01CDE">
        <w:rPr>
          <w:lang w:eastAsia="lv-LV"/>
        </w:rPr>
        <w:t>3.3</w:t>
      </w:r>
      <w:r w:rsidRPr="00D01CDE">
        <w:rPr>
          <w:lang w:eastAsia="lv-LV"/>
        </w:rPr>
        <w:t>]</w:t>
      </w:r>
      <w:r w:rsidR="00D06FA4" w:rsidRPr="00D01CDE">
        <w:rPr>
          <w:lang w:eastAsia="lv-LV"/>
        </w:rPr>
        <w:t> </w:t>
      </w:r>
      <w:r w:rsidRPr="00D01CDE">
        <w:rPr>
          <w:lang w:eastAsia="lv-LV"/>
        </w:rPr>
        <w:t xml:space="preserve">Izvērtējot </w:t>
      </w:r>
      <w:r w:rsidR="00D06FA4" w:rsidRPr="00D01CDE">
        <w:rPr>
          <w:lang w:eastAsia="lv-LV"/>
        </w:rPr>
        <w:t>r</w:t>
      </w:r>
      <w:r w:rsidRPr="00D01CDE">
        <w:rPr>
          <w:lang w:eastAsia="lv-LV"/>
        </w:rPr>
        <w:t>ēķinu atbilstību likuma „Par pievienotās vērtības nodokli” prasībām, konstatēj</w:t>
      </w:r>
      <w:r w:rsidR="00D06FA4" w:rsidRPr="00D01CDE">
        <w:rPr>
          <w:lang w:eastAsia="lv-LV"/>
        </w:rPr>
        <w:t>ams</w:t>
      </w:r>
      <w:r w:rsidRPr="00D01CDE">
        <w:rPr>
          <w:lang w:eastAsia="lv-LV"/>
        </w:rPr>
        <w:t xml:space="preserve">, ka </w:t>
      </w:r>
      <w:r w:rsidR="00D06FA4" w:rsidRPr="00D01CDE">
        <w:rPr>
          <w:lang w:eastAsia="lv-LV"/>
        </w:rPr>
        <w:t>r</w:t>
      </w:r>
      <w:r w:rsidRPr="00D01CDE">
        <w:rPr>
          <w:lang w:eastAsia="lv-LV"/>
        </w:rPr>
        <w:t xml:space="preserve">ēķini nav noformēti atbilstoši </w:t>
      </w:r>
      <w:proofErr w:type="gramStart"/>
      <w:r w:rsidRPr="00D01CDE">
        <w:rPr>
          <w:lang w:eastAsia="lv-LV"/>
        </w:rPr>
        <w:t>8.panta</w:t>
      </w:r>
      <w:proofErr w:type="gramEnd"/>
      <w:r w:rsidRPr="00D01CDE">
        <w:rPr>
          <w:lang w:eastAsia="lv-LV"/>
        </w:rPr>
        <w:t xml:space="preserve"> 5.</w:t>
      </w:r>
      <w:r w:rsidRPr="00D01CDE">
        <w:rPr>
          <w:vertAlign w:val="superscript"/>
          <w:lang w:eastAsia="lv-LV"/>
        </w:rPr>
        <w:t>1</w:t>
      </w:r>
      <w:r w:rsidRPr="00D01CDE">
        <w:rPr>
          <w:lang w:eastAsia="lv-LV"/>
        </w:rPr>
        <w:t>daļas 8. un 9.punktā noteiktajām prasībām.</w:t>
      </w:r>
    </w:p>
    <w:p w14:paraId="4294C299" w14:textId="13F26652" w:rsidR="008C5AA9" w:rsidRPr="00D01CDE" w:rsidRDefault="005A7E0C" w:rsidP="00154CD7">
      <w:pPr>
        <w:spacing w:line="276" w:lineRule="auto"/>
        <w:ind w:firstLine="567"/>
        <w:jc w:val="both"/>
        <w:rPr>
          <w:lang w:eastAsia="lv-LV"/>
        </w:rPr>
      </w:pPr>
      <w:r w:rsidRPr="00D01CDE">
        <w:rPr>
          <w:lang w:eastAsia="lv-LV"/>
        </w:rPr>
        <w:t>R</w:t>
      </w:r>
      <w:r w:rsidR="00154CD7" w:rsidRPr="00D01CDE">
        <w:rPr>
          <w:lang w:eastAsia="lv-LV"/>
        </w:rPr>
        <w:t>ēķini izsniegti saistībā ar pieteicēja un SIA</w:t>
      </w:r>
      <w:r w:rsidRPr="00D01CDE">
        <w:rPr>
          <w:lang w:eastAsia="lv-LV"/>
        </w:rPr>
        <w:t> </w:t>
      </w:r>
      <w:r w:rsidR="00154CD7" w:rsidRPr="00D01CDE">
        <w:rPr>
          <w:lang w:eastAsia="lv-LV"/>
        </w:rPr>
        <w:t>„</w:t>
      </w:r>
      <w:proofErr w:type="spellStart"/>
      <w:r w:rsidR="00154CD7" w:rsidRPr="00D01CDE">
        <w:rPr>
          <w:lang w:eastAsia="lv-LV"/>
        </w:rPr>
        <w:t>Alekon</w:t>
      </w:r>
      <w:proofErr w:type="spellEnd"/>
      <w:r w:rsidR="00154CD7" w:rsidRPr="00D01CDE">
        <w:rPr>
          <w:lang w:eastAsia="lv-LV"/>
        </w:rPr>
        <w:t xml:space="preserve"> LV”</w:t>
      </w:r>
      <w:r w:rsidR="00000BAA" w:rsidRPr="00D01CDE">
        <w:rPr>
          <w:lang w:eastAsia="lv-LV"/>
        </w:rPr>
        <w:t xml:space="preserve"> </w:t>
      </w:r>
      <w:proofErr w:type="gramStart"/>
      <w:r w:rsidR="00000BAA" w:rsidRPr="00D01CDE">
        <w:rPr>
          <w:lang w:eastAsia="lv-LV"/>
        </w:rPr>
        <w:t>2010.gada</w:t>
      </w:r>
      <w:proofErr w:type="gramEnd"/>
      <w:r w:rsidR="00000BAA" w:rsidRPr="00D01CDE">
        <w:rPr>
          <w:lang w:eastAsia="lv-LV"/>
        </w:rPr>
        <w:t xml:space="preserve"> 3.</w:t>
      </w:r>
      <w:r w:rsidR="00665F4F" w:rsidRPr="00D01CDE">
        <w:rPr>
          <w:lang w:eastAsia="lv-LV"/>
        </w:rPr>
        <w:t>decembrī</w:t>
      </w:r>
      <w:r w:rsidR="00154CD7" w:rsidRPr="00D01CDE">
        <w:rPr>
          <w:lang w:eastAsia="lv-LV"/>
        </w:rPr>
        <w:t xml:space="preserve"> noslēgt</w:t>
      </w:r>
      <w:r w:rsidRPr="00D01CDE">
        <w:rPr>
          <w:lang w:eastAsia="lv-LV"/>
        </w:rPr>
        <w:t>o</w:t>
      </w:r>
      <w:r w:rsidR="00154CD7" w:rsidRPr="00D01CDE">
        <w:rPr>
          <w:lang w:eastAsia="lv-LV"/>
        </w:rPr>
        <w:t xml:space="preserve"> </w:t>
      </w:r>
      <w:r w:rsidR="00000BAA" w:rsidRPr="00D01CDE">
        <w:rPr>
          <w:lang w:eastAsia="lv-LV"/>
        </w:rPr>
        <w:t>l</w:t>
      </w:r>
      <w:r w:rsidR="00154CD7" w:rsidRPr="00D01CDE">
        <w:rPr>
          <w:lang w:eastAsia="lv-LV"/>
        </w:rPr>
        <w:t>īgum</w:t>
      </w:r>
      <w:r w:rsidR="00F97F6C" w:rsidRPr="00D01CDE">
        <w:rPr>
          <w:lang w:eastAsia="lv-LV"/>
        </w:rPr>
        <w:t>u</w:t>
      </w:r>
      <w:r w:rsidR="00154CD7" w:rsidRPr="00D01CDE">
        <w:rPr>
          <w:lang w:eastAsia="lv-LV"/>
        </w:rPr>
        <w:t xml:space="preserve"> </w:t>
      </w:r>
      <w:r w:rsidR="00000BAA" w:rsidRPr="00D01CDE">
        <w:rPr>
          <w:lang w:eastAsia="lv-LV"/>
        </w:rPr>
        <w:t xml:space="preserve">Nr. C-140-1273-010 (turpmāk – Līgums) </w:t>
      </w:r>
      <w:r w:rsidR="00154CD7" w:rsidRPr="00D01CDE">
        <w:rPr>
          <w:lang w:eastAsia="lv-LV"/>
        </w:rPr>
        <w:t xml:space="preserve">par augšējā tilta celtņa modernizācijas pakalpojumiem Liepājā, Latvijā. Līgums ir apakšuzņēmēja līgums, lai pieteicējs izpildītu </w:t>
      </w:r>
      <w:proofErr w:type="gramStart"/>
      <w:r w:rsidR="00154CD7" w:rsidRPr="00D01CDE">
        <w:rPr>
          <w:lang w:eastAsia="lv-LV"/>
        </w:rPr>
        <w:t>2010.gada</w:t>
      </w:r>
      <w:proofErr w:type="gramEnd"/>
      <w:r w:rsidR="00154CD7" w:rsidRPr="00D01CDE">
        <w:rPr>
          <w:lang w:eastAsia="lv-LV"/>
        </w:rPr>
        <w:t xml:space="preserve"> 3.decembrī starp pieteicēju un Itālijas uzņēmumu</w:t>
      </w:r>
      <w:r w:rsidRPr="00D01CDE">
        <w:rPr>
          <w:lang w:eastAsia="lv-LV"/>
        </w:rPr>
        <w:t xml:space="preserve"> </w:t>
      </w:r>
      <w:r w:rsidR="00154CD7" w:rsidRPr="00D01CDE">
        <w:rPr>
          <w:i/>
          <w:iCs/>
          <w:lang w:eastAsia="lv-LV"/>
        </w:rPr>
        <w:t xml:space="preserve">STG </w:t>
      </w:r>
      <w:proofErr w:type="spellStart"/>
      <w:r w:rsidR="00154CD7" w:rsidRPr="00D01CDE">
        <w:rPr>
          <w:i/>
          <w:iCs/>
          <w:lang w:eastAsia="lv-LV"/>
        </w:rPr>
        <w:t>Group</w:t>
      </w:r>
      <w:proofErr w:type="spellEnd"/>
      <w:r w:rsidR="00154CD7" w:rsidRPr="00D01CDE">
        <w:rPr>
          <w:i/>
          <w:iCs/>
          <w:lang w:eastAsia="lv-LV"/>
        </w:rPr>
        <w:t xml:space="preserve"> S.P.A</w:t>
      </w:r>
      <w:r w:rsidRPr="00D01CDE">
        <w:rPr>
          <w:i/>
          <w:iCs/>
          <w:lang w:eastAsia="lv-LV"/>
        </w:rPr>
        <w:t xml:space="preserve"> </w:t>
      </w:r>
      <w:r w:rsidR="00154CD7" w:rsidRPr="00D01CDE">
        <w:rPr>
          <w:lang w:eastAsia="lv-LV"/>
        </w:rPr>
        <w:t>noslēgto līgumu par augšējā tilta celtņa modernizācijas pakalpojumiem Nr.</w:t>
      </w:r>
      <w:r w:rsidRPr="00D01CDE">
        <w:rPr>
          <w:lang w:eastAsia="lv-LV"/>
        </w:rPr>
        <w:t> </w:t>
      </w:r>
      <w:r w:rsidR="00154CD7" w:rsidRPr="00D01CDE">
        <w:rPr>
          <w:lang w:eastAsia="lv-LV"/>
        </w:rPr>
        <w:t>0312</w:t>
      </w:r>
      <w:r w:rsidR="00BA5D03" w:rsidRPr="00D01CDE">
        <w:rPr>
          <w:lang w:eastAsia="lv-LV"/>
        </w:rPr>
        <w:t>10 (turpmāk – Pamatlīgums). SIA </w:t>
      </w:r>
      <w:r w:rsidR="00154CD7" w:rsidRPr="00D01CDE">
        <w:rPr>
          <w:lang w:eastAsia="lv-LV"/>
        </w:rPr>
        <w:t>„</w:t>
      </w:r>
      <w:proofErr w:type="spellStart"/>
      <w:r w:rsidR="00154CD7" w:rsidRPr="00D01CDE">
        <w:rPr>
          <w:lang w:eastAsia="lv-LV"/>
        </w:rPr>
        <w:t>Alekon</w:t>
      </w:r>
      <w:proofErr w:type="spellEnd"/>
      <w:r w:rsidR="00154CD7" w:rsidRPr="00D01CDE">
        <w:rPr>
          <w:lang w:eastAsia="lv-LV"/>
        </w:rPr>
        <w:t xml:space="preserve"> LV” ir apņēmusies veikt visus darbus, kas norādīti Pamatlīgumā attiecībā uz pieteicēju, un Pamatlīgums ir pievienots </w:t>
      </w:r>
      <w:r w:rsidR="00603616" w:rsidRPr="00D01CDE">
        <w:rPr>
          <w:lang w:eastAsia="lv-LV"/>
        </w:rPr>
        <w:t>L</w:t>
      </w:r>
      <w:r w:rsidR="00154CD7" w:rsidRPr="00D01CDE">
        <w:rPr>
          <w:lang w:eastAsia="lv-LV"/>
        </w:rPr>
        <w:t>īgumam kā pielikums.</w:t>
      </w:r>
      <w:r w:rsidR="00C43930" w:rsidRPr="00D01CDE">
        <w:rPr>
          <w:lang w:eastAsia="lv-LV"/>
        </w:rPr>
        <w:t xml:space="preserve"> </w:t>
      </w:r>
      <w:r w:rsidRPr="00D01CDE">
        <w:rPr>
          <w:lang w:eastAsia="lv-LV"/>
        </w:rPr>
        <w:t>S</w:t>
      </w:r>
      <w:r w:rsidR="00154CD7" w:rsidRPr="00D01CDE">
        <w:rPr>
          <w:lang w:eastAsia="lv-LV"/>
        </w:rPr>
        <w:t xml:space="preserve">askaņā ar Pamatlīguma preambulas „F” punktu minētais līgums ir noslēgts par preču un pakalpojumu piegādi un darbu izpildi saistībā ar tehniskajā piedāvājumā aprakstīto augšējā tilta celtņa modernizācijas pakalpojumu. </w:t>
      </w:r>
    </w:p>
    <w:p w14:paraId="4D21FC88" w14:textId="62F12F02" w:rsidR="008C5AA9" w:rsidRPr="00D01CDE" w:rsidRDefault="00C43930" w:rsidP="00C43930">
      <w:pPr>
        <w:spacing w:line="276" w:lineRule="auto"/>
        <w:ind w:firstLine="567"/>
        <w:jc w:val="both"/>
        <w:rPr>
          <w:lang w:eastAsia="lv-LV"/>
        </w:rPr>
      </w:pPr>
      <w:r w:rsidRPr="00D01CDE">
        <w:rPr>
          <w:lang w:eastAsia="lv-LV"/>
        </w:rPr>
        <w:t>N</w:t>
      </w:r>
      <w:r w:rsidR="00154CD7" w:rsidRPr="00D01CDE">
        <w:rPr>
          <w:lang w:eastAsia="lv-LV"/>
        </w:rPr>
        <w:t xml:space="preserve">o </w:t>
      </w:r>
      <w:r w:rsidR="008C5AA9" w:rsidRPr="00D01CDE">
        <w:rPr>
          <w:lang w:eastAsia="lv-LV"/>
        </w:rPr>
        <w:t>r</w:t>
      </w:r>
      <w:r w:rsidR="00154CD7" w:rsidRPr="00D01CDE">
        <w:rPr>
          <w:lang w:eastAsia="lv-LV"/>
        </w:rPr>
        <w:t xml:space="preserve">ēķiniem nav konstatējams, par kādu konkrēti preču piegādi un darbu veikšanu ir izrakstīts katrs rēķins, kāds ir to daudzums (apjoms) un mērvienība, kā arī konkrēti piegādāto preču vai sniegtā pakalpojuma cena (vienas vienības vērtība bez nodokļa). </w:t>
      </w:r>
      <w:r w:rsidRPr="00D01CDE">
        <w:rPr>
          <w:lang w:eastAsia="lv-LV"/>
        </w:rPr>
        <w:t>A</w:t>
      </w:r>
      <w:r w:rsidR="00154CD7" w:rsidRPr="00D01CDE">
        <w:rPr>
          <w:lang w:eastAsia="lv-LV"/>
        </w:rPr>
        <w:t>rī lietā esošaj</w:t>
      </w:r>
      <w:r w:rsidRPr="00D01CDE">
        <w:rPr>
          <w:lang w:eastAsia="lv-LV"/>
        </w:rPr>
        <w:t>os</w:t>
      </w:r>
      <w:r w:rsidR="00154CD7" w:rsidRPr="00D01CDE">
        <w:rPr>
          <w:lang w:eastAsia="lv-LV"/>
        </w:rPr>
        <w:t xml:space="preserve"> progresa ziņojumos nav nošķirta un atsevišķi norādīta katras preces un pakalpojuma cena, kas ļauj izsekot, par ko konkrēti Līguma izpildes gaitā ir izrakstīts </w:t>
      </w:r>
      <w:r w:rsidR="00BA5D03" w:rsidRPr="00D01CDE">
        <w:rPr>
          <w:lang w:eastAsia="lv-LV"/>
        </w:rPr>
        <w:t>katrs rēķins un veikta samaksa.</w:t>
      </w:r>
    </w:p>
    <w:p w14:paraId="73F555FF" w14:textId="57D0869C" w:rsidR="008C5AA9" w:rsidRPr="00D01CDE" w:rsidRDefault="00E026AB" w:rsidP="00154CD7">
      <w:pPr>
        <w:spacing w:line="276" w:lineRule="auto"/>
        <w:ind w:firstLine="567"/>
        <w:jc w:val="both"/>
        <w:rPr>
          <w:lang w:eastAsia="lv-LV"/>
        </w:rPr>
      </w:pPr>
      <w:r w:rsidRPr="00D01CDE">
        <w:rPr>
          <w:lang w:eastAsia="lv-LV"/>
        </w:rPr>
        <w:t>Ņemot vērā p</w:t>
      </w:r>
      <w:r w:rsidR="00154CD7" w:rsidRPr="00D01CDE">
        <w:rPr>
          <w:lang w:eastAsia="lv-LV"/>
        </w:rPr>
        <w:t>ieteicēja darbiniek</w:t>
      </w:r>
      <w:r w:rsidR="00603616" w:rsidRPr="00D01CDE">
        <w:rPr>
          <w:lang w:eastAsia="lv-LV"/>
        </w:rPr>
        <w:t>a</w:t>
      </w:r>
      <w:r w:rsidR="00154CD7" w:rsidRPr="00D01CDE">
        <w:rPr>
          <w:lang w:eastAsia="lv-LV"/>
        </w:rPr>
        <w:t xml:space="preserve"> </w:t>
      </w:r>
      <w:proofErr w:type="gramStart"/>
      <w:r w:rsidR="00E6756C">
        <w:rPr>
          <w:lang w:eastAsia="lv-LV"/>
        </w:rPr>
        <w:t>[</w:t>
      </w:r>
      <w:proofErr w:type="gramEnd"/>
      <w:r w:rsidR="00E6756C">
        <w:rPr>
          <w:lang w:eastAsia="lv-LV"/>
        </w:rPr>
        <w:t>pers. A]</w:t>
      </w:r>
      <w:r w:rsidR="00154CD7" w:rsidRPr="00D01CDE">
        <w:rPr>
          <w:lang w:eastAsia="lv-LV"/>
        </w:rPr>
        <w:t>, k</w:t>
      </w:r>
      <w:r w:rsidR="008C5AA9" w:rsidRPr="00D01CDE">
        <w:rPr>
          <w:lang w:eastAsia="lv-LV"/>
        </w:rPr>
        <w:t>urš</w:t>
      </w:r>
      <w:r w:rsidR="00154CD7" w:rsidRPr="00D01CDE">
        <w:rPr>
          <w:lang w:eastAsia="lv-LV"/>
        </w:rPr>
        <w:t xml:space="preserve"> pārstāvēja pieteicēju Pamatlīguma un Līguma slēgšanā un izpildē, liec</w:t>
      </w:r>
      <w:r w:rsidRPr="00D01CDE">
        <w:rPr>
          <w:lang w:eastAsia="lv-LV"/>
        </w:rPr>
        <w:t>ību</w:t>
      </w:r>
      <w:r w:rsidR="00154CD7" w:rsidRPr="00D01CDE">
        <w:rPr>
          <w:lang w:eastAsia="lv-LV"/>
        </w:rPr>
        <w:t>, k</w:t>
      </w:r>
      <w:r w:rsidR="00F97F6C" w:rsidRPr="00D01CDE">
        <w:rPr>
          <w:lang w:eastAsia="lv-LV"/>
        </w:rPr>
        <w:t>ā</w:t>
      </w:r>
      <w:r w:rsidR="00154CD7" w:rsidRPr="00D01CDE">
        <w:rPr>
          <w:lang w:eastAsia="lv-LV"/>
        </w:rPr>
        <w:t xml:space="preserve"> arī </w:t>
      </w:r>
      <w:r w:rsidR="00224363" w:rsidRPr="00D01CDE">
        <w:rPr>
          <w:lang w:eastAsia="lv-LV"/>
        </w:rPr>
        <w:t xml:space="preserve">to, ka </w:t>
      </w:r>
      <w:r w:rsidR="00154CD7" w:rsidRPr="00D01CDE">
        <w:rPr>
          <w:lang w:eastAsia="lv-LV"/>
        </w:rPr>
        <w:t>pieteicējs pats piegādāja daļu no iekārtām</w:t>
      </w:r>
      <w:r w:rsidRPr="00D01CDE">
        <w:rPr>
          <w:lang w:eastAsia="lv-LV"/>
        </w:rPr>
        <w:t xml:space="preserve">, </w:t>
      </w:r>
      <w:r w:rsidR="00154CD7" w:rsidRPr="00D01CDE">
        <w:rPr>
          <w:lang w:eastAsia="lv-LV"/>
        </w:rPr>
        <w:t>ir apšaubāms, ka visu preču piegādi veica SIA</w:t>
      </w:r>
      <w:r w:rsidR="008C5AA9" w:rsidRPr="00D01CDE">
        <w:rPr>
          <w:lang w:eastAsia="lv-LV"/>
        </w:rPr>
        <w:t> </w:t>
      </w:r>
      <w:r w:rsidR="00154CD7" w:rsidRPr="00D01CDE">
        <w:rPr>
          <w:lang w:eastAsia="lv-LV"/>
        </w:rPr>
        <w:t>„</w:t>
      </w:r>
      <w:proofErr w:type="spellStart"/>
      <w:r w:rsidR="00154CD7" w:rsidRPr="00D01CDE">
        <w:rPr>
          <w:lang w:eastAsia="lv-LV"/>
        </w:rPr>
        <w:t>Alekon</w:t>
      </w:r>
      <w:proofErr w:type="spellEnd"/>
      <w:r w:rsidR="00154CD7" w:rsidRPr="00D01CDE">
        <w:rPr>
          <w:lang w:eastAsia="lv-LV"/>
        </w:rPr>
        <w:t xml:space="preserve"> LV” un samaksa par tām ir atbilstoši iekļauta </w:t>
      </w:r>
      <w:r w:rsidR="008C5AA9" w:rsidRPr="00D01CDE">
        <w:rPr>
          <w:lang w:eastAsia="lv-LV"/>
        </w:rPr>
        <w:t>r</w:t>
      </w:r>
      <w:r w:rsidR="00154CD7" w:rsidRPr="00D01CDE">
        <w:rPr>
          <w:lang w:eastAsia="lv-LV"/>
        </w:rPr>
        <w:t>ēķinos.</w:t>
      </w:r>
    </w:p>
    <w:p w14:paraId="3458E0F1" w14:textId="77777777" w:rsidR="008C5AA9" w:rsidRPr="00D01CDE" w:rsidRDefault="008C5AA9" w:rsidP="00154CD7">
      <w:pPr>
        <w:spacing w:line="276" w:lineRule="auto"/>
        <w:ind w:firstLine="567"/>
        <w:jc w:val="both"/>
        <w:rPr>
          <w:lang w:eastAsia="lv-LV"/>
        </w:rPr>
      </w:pPr>
      <w:r w:rsidRPr="00D01CDE">
        <w:rPr>
          <w:lang w:eastAsia="lv-LV"/>
        </w:rPr>
        <w:t xml:space="preserve">Līdz ar to </w:t>
      </w:r>
      <w:r w:rsidR="00154CD7" w:rsidRPr="00D01CDE">
        <w:rPr>
          <w:lang w:eastAsia="lv-LV"/>
        </w:rPr>
        <w:t>iesniegtie attaisnojuma dokumenti nesniedz skaidru un patiesu priekšstatu par darījuma būtību un neļauj noskaidrot patiesos darījuma apstākļus un vai ir izmantojamas atskaitīšanas tiesības.</w:t>
      </w:r>
    </w:p>
    <w:p w14:paraId="2104D49E" w14:textId="42736868" w:rsidR="007F3F55" w:rsidRPr="00D01CDE" w:rsidRDefault="00154CD7" w:rsidP="00154CD7">
      <w:pPr>
        <w:spacing w:line="276" w:lineRule="auto"/>
        <w:ind w:firstLine="567"/>
        <w:jc w:val="both"/>
        <w:rPr>
          <w:lang w:eastAsia="lv-LV"/>
        </w:rPr>
      </w:pPr>
      <w:r w:rsidRPr="00D01CDE">
        <w:rPr>
          <w:lang w:eastAsia="lv-LV"/>
        </w:rPr>
        <w:t>[</w:t>
      </w:r>
      <w:r w:rsidR="008C5AA9" w:rsidRPr="00D01CDE">
        <w:rPr>
          <w:lang w:eastAsia="lv-LV"/>
        </w:rPr>
        <w:t>3.4</w:t>
      </w:r>
      <w:r w:rsidRPr="00D01CDE">
        <w:rPr>
          <w:lang w:eastAsia="lv-LV"/>
        </w:rPr>
        <w:t>]</w:t>
      </w:r>
      <w:r w:rsidR="008C5AA9" w:rsidRPr="00D01CDE">
        <w:rPr>
          <w:lang w:eastAsia="lv-LV"/>
        </w:rPr>
        <w:t> </w:t>
      </w:r>
      <w:r w:rsidRPr="00D01CDE">
        <w:rPr>
          <w:lang w:eastAsia="lv-LV"/>
        </w:rPr>
        <w:t xml:space="preserve">Konkrētajā gadījumā tam, ka no iesniegtajiem darījuma dokumentiem nav saprotams, kā veidojas darījuma vērtība un kāda ir attiecīgi preču un pakalpojuma cena, ir būtiska nozīme, lai noteiktu ar nodokli apliekamo vērtību un maksājamā nodokļa apmēru, jo precēm un pakalpojumiem atšķiras </w:t>
      </w:r>
      <w:r w:rsidR="007F3F55" w:rsidRPr="00D01CDE">
        <w:rPr>
          <w:lang w:eastAsia="lv-LV"/>
        </w:rPr>
        <w:t>pievienotās vērtības nodokļa</w:t>
      </w:r>
      <w:r w:rsidRPr="00D01CDE">
        <w:rPr>
          <w:lang w:eastAsia="lv-LV"/>
        </w:rPr>
        <w:t xml:space="preserve"> piemērošanas kārtība.</w:t>
      </w:r>
      <w:r w:rsidR="00E026AB" w:rsidRPr="00D01CDE">
        <w:rPr>
          <w:lang w:eastAsia="lv-LV"/>
        </w:rPr>
        <w:t xml:space="preserve"> R</w:t>
      </w:r>
      <w:r w:rsidRPr="00D01CDE">
        <w:rPr>
          <w:lang w:eastAsia="lv-LV"/>
        </w:rPr>
        <w:t xml:space="preserve">ēķinos </w:t>
      </w:r>
      <w:r w:rsidR="007F3F55" w:rsidRPr="00D01CDE">
        <w:rPr>
          <w:lang w:eastAsia="lv-LV"/>
        </w:rPr>
        <w:t>pievienotās vērtības nodoklis</w:t>
      </w:r>
      <w:r w:rsidRPr="00D01CDE">
        <w:rPr>
          <w:lang w:eastAsia="lv-LV"/>
        </w:rPr>
        <w:t xml:space="preserve"> tikai attiecībā par sniegtajiem pakalpojumiem ir norādīts nepamatoti, bet no lietā esošajiem darījuma dokumentiem nav nosakāms, kādā daļā </w:t>
      </w:r>
      <w:r w:rsidR="007F3F55" w:rsidRPr="00D01CDE">
        <w:rPr>
          <w:lang w:eastAsia="lv-LV"/>
        </w:rPr>
        <w:t>r</w:t>
      </w:r>
      <w:r w:rsidRPr="00D01CDE">
        <w:rPr>
          <w:lang w:eastAsia="lv-LV"/>
        </w:rPr>
        <w:t xml:space="preserve">ēķinos </w:t>
      </w:r>
      <w:r w:rsidR="007F3F55" w:rsidRPr="00D01CDE">
        <w:rPr>
          <w:lang w:eastAsia="lv-LV"/>
        </w:rPr>
        <w:t>pievienotās vērtības nodoklis</w:t>
      </w:r>
      <w:r w:rsidRPr="00D01CDE">
        <w:rPr>
          <w:lang w:eastAsia="lv-LV"/>
        </w:rPr>
        <w:t xml:space="preserve"> ir pamatoti iekļauts un attiecīgi samaksāts.</w:t>
      </w:r>
    </w:p>
    <w:p w14:paraId="253CFA34" w14:textId="285E830C" w:rsidR="007F3F55" w:rsidRPr="00D01CDE" w:rsidRDefault="00154CD7" w:rsidP="00154CD7">
      <w:pPr>
        <w:spacing w:line="276" w:lineRule="auto"/>
        <w:ind w:firstLine="567"/>
        <w:jc w:val="both"/>
        <w:rPr>
          <w:lang w:eastAsia="lv-LV"/>
        </w:rPr>
      </w:pPr>
      <w:r w:rsidRPr="00D01CDE">
        <w:rPr>
          <w:lang w:eastAsia="lv-LV"/>
        </w:rPr>
        <w:t>[</w:t>
      </w:r>
      <w:r w:rsidR="007F3F55" w:rsidRPr="00D01CDE">
        <w:rPr>
          <w:lang w:eastAsia="lv-LV"/>
        </w:rPr>
        <w:t>3.5</w:t>
      </w:r>
      <w:r w:rsidRPr="00D01CDE">
        <w:rPr>
          <w:lang w:eastAsia="lv-LV"/>
        </w:rPr>
        <w:t>]</w:t>
      </w:r>
      <w:r w:rsidR="007F3F55" w:rsidRPr="00D01CDE">
        <w:rPr>
          <w:lang w:eastAsia="lv-LV"/>
        </w:rPr>
        <w:t> V</w:t>
      </w:r>
      <w:r w:rsidRPr="00D01CDE">
        <w:rPr>
          <w:lang w:eastAsia="lv-LV"/>
        </w:rPr>
        <w:t>airs nav iespējams SIA</w:t>
      </w:r>
      <w:r w:rsidR="007F3F55" w:rsidRPr="00D01CDE">
        <w:rPr>
          <w:lang w:eastAsia="lv-LV"/>
        </w:rPr>
        <w:t> </w:t>
      </w:r>
      <w:r w:rsidRPr="00D01CDE">
        <w:rPr>
          <w:lang w:eastAsia="lv-LV"/>
        </w:rPr>
        <w:t>„</w:t>
      </w:r>
      <w:proofErr w:type="spellStart"/>
      <w:r w:rsidRPr="00D01CDE">
        <w:rPr>
          <w:lang w:eastAsia="lv-LV"/>
        </w:rPr>
        <w:t>Alekon</w:t>
      </w:r>
      <w:proofErr w:type="spellEnd"/>
      <w:r w:rsidRPr="00D01CDE">
        <w:rPr>
          <w:lang w:eastAsia="lv-LV"/>
        </w:rPr>
        <w:t xml:space="preserve"> LV” labot </w:t>
      </w:r>
      <w:r w:rsidR="007F3F55" w:rsidRPr="00D01CDE">
        <w:rPr>
          <w:lang w:eastAsia="lv-LV"/>
        </w:rPr>
        <w:t>r</w:t>
      </w:r>
      <w:r w:rsidRPr="00D01CDE">
        <w:rPr>
          <w:lang w:eastAsia="lv-LV"/>
        </w:rPr>
        <w:t>ēķinus vai pieteicējam vērsties pret SIA</w:t>
      </w:r>
      <w:r w:rsidR="007F3F55" w:rsidRPr="00D01CDE">
        <w:rPr>
          <w:lang w:eastAsia="lv-LV"/>
        </w:rPr>
        <w:t> </w:t>
      </w:r>
      <w:r w:rsidRPr="00D01CDE">
        <w:rPr>
          <w:lang w:eastAsia="lv-LV"/>
        </w:rPr>
        <w:t>„</w:t>
      </w:r>
      <w:proofErr w:type="spellStart"/>
      <w:r w:rsidRPr="00D01CDE">
        <w:rPr>
          <w:lang w:eastAsia="lv-LV"/>
        </w:rPr>
        <w:t>Alekon</w:t>
      </w:r>
      <w:proofErr w:type="spellEnd"/>
      <w:r w:rsidRPr="00D01CDE">
        <w:rPr>
          <w:lang w:eastAsia="lv-LV"/>
        </w:rPr>
        <w:t xml:space="preserve"> LV”, jo no </w:t>
      </w:r>
      <w:proofErr w:type="gramStart"/>
      <w:r w:rsidRPr="00D01CDE">
        <w:rPr>
          <w:lang w:eastAsia="lv-LV"/>
        </w:rPr>
        <w:t>2015.gada</w:t>
      </w:r>
      <w:proofErr w:type="gramEnd"/>
      <w:r w:rsidRPr="00D01CDE">
        <w:rPr>
          <w:lang w:eastAsia="lv-LV"/>
        </w:rPr>
        <w:t xml:space="preserve"> 3.septembra SIA</w:t>
      </w:r>
      <w:r w:rsidR="007F3F55" w:rsidRPr="00D01CDE">
        <w:rPr>
          <w:lang w:eastAsia="lv-LV"/>
        </w:rPr>
        <w:t> </w:t>
      </w:r>
      <w:r w:rsidRPr="00D01CDE">
        <w:rPr>
          <w:lang w:eastAsia="lv-LV"/>
        </w:rPr>
        <w:t>„</w:t>
      </w:r>
      <w:proofErr w:type="spellStart"/>
      <w:r w:rsidRPr="00D01CDE">
        <w:rPr>
          <w:lang w:eastAsia="lv-LV"/>
        </w:rPr>
        <w:t>Alekon</w:t>
      </w:r>
      <w:proofErr w:type="spellEnd"/>
      <w:r w:rsidRPr="00D01CDE">
        <w:rPr>
          <w:lang w:eastAsia="lv-LV"/>
        </w:rPr>
        <w:t xml:space="preserve"> LV” ir likvidēta.</w:t>
      </w:r>
      <w:r w:rsidR="007F3F55" w:rsidRPr="00D01CDE">
        <w:rPr>
          <w:lang w:eastAsia="lv-LV"/>
        </w:rPr>
        <w:t xml:space="preserve"> T</w:t>
      </w:r>
      <w:r w:rsidRPr="00D01CDE">
        <w:rPr>
          <w:lang w:eastAsia="lv-LV"/>
        </w:rPr>
        <w:t xml:space="preserve">aču </w:t>
      </w:r>
      <w:r w:rsidRPr="00D01CDE">
        <w:rPr>
          <w:lang w:eastAsia="lv-LV"/>
        </w:rPr>
        <w:lastRenderedPageBreak/>
        <w:t xml:space="preserve">pieteicējam bija pietiekami </w:t>
      </w:r>
      <w:r w:rsidR="007C17CA" w:rsidRPr="00D01CDE">
        <w:rPr>
          <w:lang w:eastAsia="lv-LV"/>
        </w:rPr>
        <w:t xml:space="preserve">daudz </w:t>
      </w:r>
      <w:r w:rsidRPr="00D01CDE">
        <w:rPr>
          <w:lang w:eastAsia="lv-LV"/>
        </w:rPr>
        <w:t>laika nodokļu summas atgūšanas jautājumu risināt ar SIA</w:t>
      </w:r>
      <w:r w:rsidR="007F3F55" w:rsidRPr="00D01CDE">
        <w:rPr>
          <w:lang w:eastAsia="lv-LV"/>
        </w:rPr>
        <w:t> </w:t>
      </w:r>
      <w:r w:rsidRPr="00D01CDE">
        <w:rPr>
          <w:lang w:eastAsia="lv-LV"/>
        </w:rPr>
        <w:t>„</w:t>
      </w:r>
      <w:proofErr w:type="spellStart"/>
      <w:r w:rsidRPr="00D01CDE">
        <w:rPr>
          <w:lang w:eastAsia="lv-LV"/>
        </w:rPr>
        <w:t>Alekon</w:t>
      </w:r>
      <w:proofErr w:type="spellEnd"/>
      <w:r w:rsidRPr="00D01CDE">
        <w:rPr>
          <w:lang w:eastAsia="lv-LV"/>
        </w:rPr>
        <w:t xml:space="preserve"> LV”, tas nebija pārmērīgi grūti, bet pieteicējs nepamatoti to nav darījis.</w:t>
      </w:r>
    </w:p>
    <w:p w14:paraId="7DEA324C" w14:textId="7262E557" w:rsidR="007F3F55" w:rsidRPr="00D01CDE" w:rsidRDefault="007F3F55" w:rsidP="00154CD7">
      <w:pPr>
        <w:spacing w:line="276" w:lineRule="auto"/>
        <w:ind w:firstLine="567"/>
        <w:jc w:val="both"/>
        <w:rPr>
          <w:lang w:eastAsia="lv-LV"/>
        </w:rPr>
      </w:pPr>
      <w:r w:rsidRPr="00D01CDE">
        <w:rPr>
          <w:lang w:eastAsia="lv-LV"/>
        </w:rPr>
        <w:t>P</w:t>
      </w:r>
      <w:r w:rsidR="00154CD7" w:rsidRPr="00D01CDE">
        <w:rPr>
          <w:lang w:eastAsia="lv-LV"/>
        </w:rPr>
        <w:t>ieteicējs jau sākotnēji zināja vai tam vajadzēja zināt, ka no SIA</w:t>
      </w:r>
      <w:r w:rsidRPr="00D01CDE">
        <w:rPr>
          <w:lang w:eastAsia="lv-LV"/>
        </w:rPr>
        <w:t> </w:t>
      </w:r>
      <w:r w:rsidR="00154CD7" w:rsidRPr="00D01CDE">
        <w:rPr>
          <w:lang w:eastAsia="lv-LV"/>
        </w:rPr>
        <w:t>„</w:t>
      </w:r>
      <w:proofErr w:type="spellStart"/>
      <w:r w:rsidR="00154CD7" w:rsidRPr="00D01CDE">
        <w:rPr>
          <w:lang w:eastAsia="lv-LV"/>
        </w:rPr>
        <w:t>Alekon</w:t>
      </w:r>
      <w:proofErr w:type="spellEnd"/>
      <w:r w:rsidR="00154CD7" w:rsidRPr="00D01CDE">
        <w:rPr>
          <w:lang w:eastAsia="lv-LV"/>
        </w:rPr>
        <w:t xml:space="preserve"> LV” saņemtie </w:t>
      </w:r>
      <w:r w:rsidRPr="00D01CDE">
        <w:rPr>
          <w:lang w:eastAsia="lv-LV"/>
        </w:rPr>
        <w:t>r</w:t>
      </w:r>
      <w:r w:rsidR="00154CD7" w:rsidRPr="00D01CDE">
        <w:rPr>
          <w:lang w:eastAsia="lv-LV"/>
        </w:rPr>
        <w:t xml:space="preserve">ēķini ir neatbilstoši </w:t>
      </w:r>
      <w:r w:rsidR="00096990" w:rsidRPr="00D01CDE">
        <w:t xml:space="preserve">Padomes </w:t>
      </w:r>
      <w:proofErr w:type="gramStart"/>
      <w:r w:rsidR="00096990" w:rsidRPr="00D01CDE">
        <w:t>2006.gada</w:t>
      </w:r>
      <w:proofErr w:type="gramEnd"/>
      <w:r w:rsidR="00096990" w:rsidRPr="00D01CDE">
        <w:t xml:space="preserve"> 28.novembra Direktīvas 2006/112/EK par kopējo pievienotās vērtības nodokļa sistēmu (turpmāk – Direktīva 2006/112/EK) </w:t>
      </w:r>
      <w:r w:rsidR="00154CD7" w:rsidRPr="00D01CDE">
        <w:rPr>
          <w:lang w:eastAsia="lv-LV"/>
        </w:rPr>
        <w:t xml:space="preserve">226.panta un likuma „Par pievienotās vērtības likuma” prasībām, kā arī tajos nepamatoti ir ietverts </w:t>
      </w:r>
      <w:r w:rsidRPr="00D01CDE">
        <w:rPr>
          <w:lang w:eastAsia="lv-LV"/>
        </w:rPr>
        <w:t>pievienotās vērtības nodoklis</w:t>
      </w:r>
      <w:r w:rsidR="00154CD7" w:rsidRPr="00D01CDE">
        <w:rPr>
          <w:lang w:eastAsia="lv-LV"/>
        </w:rPr>
        <w:t xml:space="preserve"> par pakalpojumiem.</w:t>
      </w:r>
    </w:p>
    <w:p w14:paraId="4B2E986A" w14:textId="7658F8AB" w:rsidR="00114F3A" w:rsidRPr="00D01CDE" w:rsidRDefault="00154CD7" w:rsidP="00154CD7">
      <w:pPr>
        <w:spacing w:line="276" w:lineRule="auto"/>
        <w:ind w:firstLine="567"/>
        <w:jc w:val="both"/>
        <w:rPr>
          <w:lang w:eastAsia="lv-LV"/>
        </w:rPr>
      </w:pPr>
      <w:r w:rsidRPr="00D01CDE">
        <w:rPr>
          <w:lang w:eastAsia="lv-LV"/>
        </w:rPr>
        <w:t>Pamatlīguma 3.2.punktā paredzēts, ka nodokļi, kas maksājami saskaņā ar Latvijas likumiem</w:t>
      </w:r>
      <w:r w:rsidR="00404E63" w:rsidRPr="00D01CDE">
        <w:rPr>
          <w:lang w:eastAsia="lv-LV"/>
        </w:rPr>
        <w:t>,</w:t>
      </w:r>
      <w:r w:rsidRPr="00D01CDE">
        <w:rPr>
          <w:lang w:eastAsia="lv-LV"/>
        </w:rPr>
        <w:t xml:space="preserve"> ir pieteicēja atbildība un ka pieteicējs pasūtītājam Itālijas uzņēmumam</w:t>
      </w:r>
      <w:r w:rsidR="00114F3A" w:rsidRPr="00D01CDE">
        <w:rPr>
          <w:lang w:eastAsia="lv-LV"/>
        </w:rPr>
        <w:t xml:space="preserve"> </w:t>
      </w:r>
      <w:r w:rsidRPr="00D01CDE">
        <w:rPr>
          <w:i/>
          <w:iCs/>
          <w:lang w:eastAsia="lv-LV"/>
        </w:rPr>
        <w:t xml:space="preserve">STG </w:t>
      </w:r>
      <w:proofErr w:type="spellStart"/>
      <w:r w:rsidRPr="00D01CDE">
        <w:rPr>
          <w:i/>
          <w:iCs/>
          <w:lang w:eastAsia="lv-LV"/>
        </w:rPr>
        <w:t>Group</w:t>
      </w:r>
      <w:proofErr w:type="spellEnd"/>
      <w:r w:rsidRPr="00D01CDE">
        <w:rPr>
          <w:i/>
          <w:iCs/>
          <w:lang w:eastAsia="lv-LV"/>
        </w:rPr>
        <w:t xml:space="preserve"> S.P.A</w:t>
      </w:r>
      <w:r w:rsidR="00114F3A" w:rsidRPr="00D01CDE">
        <w:rPr>
          <w:i/>
          <w:iCs/>
          <w:lang w:eastAsia="lv-LV"/>
        </w:rPr>
        <w:t xml:space="preserve"> </w:t>
      </w:r>
      <w:r w:rsidRPr="00D01CDE">
        <w:rPr>
          <w:lang w:eastAsia="lv-LV"/>
        </w:rPr>
        <w:t>izsniegs rēķinus ar 0</w:t>
      </w:r>
      <w:r w:rsidR="00114F3A" w:rsidRPr="00D01CDE">
        <w:rPr>
          <w:lang w:eastAsia="lv-LV"/>
        </w:rPr>
        <w:t> </w:t>
      </w:r>
      <w:r w:rsidRPr="00D01CDE">
        <w:rPr>
          <w:lang w:eastAsia="lv-LV"/>
        </w:rPr>
        <w:t xml:space="preserve">% </w:t>
      </w:r>
      <w:r w:rsidR="00114F3A" w:rsidRPr="00D01CDE">
        <w:rPr>
          <w:lang w:eastAsia="lv-LV"/>
        </w:rPr>
        <w:t>pievienotās vērtības nodokli</w:t>
      </w:r>
      <w:r w:rsidRPr="00D01CDE">
        <w:rPr>
          <w:lang w:eastAsia="lv-LV"/>
        </w:rPr>
        <w:t>. Savukārt Līguma ar SIA</w:t>
      </w:r>
      <w:r w:rsidR="00114F3A" w:rsidRPr="00D01CDE">
        <w:rPr>
          <w:lang w:eastAsia="lv-LV"/>
        </w:rPr>
        <w:t> </w:t>
      </w:r>
      <w:r w:rsidRPr="00D01CDE">
        <w:rPr>
          <w:lang w:eastAsia="lv-LV"/>
        </w:rPr>
        <w:t>„</w:t>
      </w:r>
      <w:proofErr w:type="spellStart"/>
      <w:r w:rsidRPr="00D01CDE">
        <w:rPr>
          <w:lang w:eastAsia="lv-LV"/>
        </w:rPr>
        <w:t>Alekon</w:t>
      </w:r>
      <w:proofErr w:type="spellEnd"/>
      <w:r w:rsidRPr="00D01CDE">
        <w:rPr>
          <w:lang w:eastAsia="lv-LV"/>
        </w:rPr>
        <w:t xml:space="preserve"> LV” 3.1. un 4.2.punktā līgumcena ir noteikta, paredzot, ka papildus tiek aprēķināts Latvijā piemērojamais </w:t>
      </w:r>
      <w:r w:rsidR="00114F3A" w:rsidRPr="00D01CDE">
        <w:rPr>
          <w:lang w:eastAsia="lv-LV"/>
        </w:rPr>
        <w:t>pievienotās vērtības nodoklis</w:t>
      </w:r>
      <w:r w:rsidRPr="00D01CDE">
        <w:rPr>
          <w:lang w:eastAsia="lv-LV"/>
        </w:rPr>
        <w:t>, kas tiks iekasēts ar rēķinu starpniecību.</w:t>
      </w:r>
    </w:p>
    <w:p w14:paraId="647A0186" w14:textId="30592F2F" w:rsidR="00114F3A" w:rsidRPr="00D01CDE" w:rsidRDefault="00154CD7" w:rsidP="00154CD7">
      <w:pPr>
        <w:spacing w:line="276" w:lineRule="auto"/>
        <w:ind w:firstLine="567"/>
        <w:jc w:val="both"/>
        <w:rPr>
          <w:lang w:eastAsia="lv-LV"/>
        </w:rPr>
      </w:pPr>
      <w:r w:rsidRPr="00D01CDE">
        <w:rPr>
          <w:lang w:eastAsia="lv-LV"/>
        </w:rPr>
        <w:t>Ņemot vērā Pamatlīguma un Līguma kopēj</w:t>
      </w:r>
      <w:r w:rsidR="00096990" w:rsidRPr="00D01CDE">
        <w:rPr>
          <w:lang w:eastAsia="lv-LV"/>
        </w:rPr>
        <w:t>o</w:t>
      </w:r>
      <w:r w:rsidRPr="00D01CDE">
        <w:rPr>
          <w:lang w:eastAsia="lv-LV"/>
        </w:rPr>
        <w:t xml:space="preserve"> vērtīb</w:t>
      </w:r>
      <w:r w:rsidR="00096990" w:rsidRPr="00D01CDE">
        <w:rPr>
          <w:lang w:eastAsia="lv-LV"/>
        </w:rPr>
        <w:t>u</w:t>
      </w:r>
      <w:r w:rsidRPr="00D01CDE">
        <w:rPr>
          <w:lang w:eastAsia="lv-LV"/>
        </w:rPr>
        <w:t>, minētajos līgumos (noslēgti vienā dienā) īpaši atrunāt</w:t>
      </w:r>
      <w:r w:rsidR="00096990" w:rsidRPr="00D01CDE">
        <w:rPr>
          <w:lang w:eastAsia="lv-LV"/>
        </w:rPr>
        <w:t>o</w:t>
      </w:r>
      <w:r w:rsidRPr="00D01CDE">
        <w:rPr>
          <w:lang w:eastAsia="lv-LV"/>
        </w:rPr>
        <w:t xml:space="preserve"> atšķirīg</w:t>
      </w:r>
      <w:r w:rsidR="00096990" w:rsidRPr="00D01CDE">
        <w:rPr>
          <w:lang w:eastAsia="lv-LV"/>
        </w:rPr>
        <w:t>o</w:t>
      </w:r>
      <w:r w:rsidRPr="00D01CDE">
        <w:rPr>
          <w:lang w:eastAsia="lv-LV"/>
        </w:rPr>
        <w:t xml:space="preserve"> maksājam</w:t>
      </w:r>
      <w:r w:rsidR="00096990" w:rsidRPr="00D01CDE">
        <w:rPr>
          <w:lang w:eastAsia="lv-LV"/>
        </w:rPr>
        <w:t>o</w:t>
      </w:r>
      <w:r w:rsidRPr="00D01CDE">
        <w:rPr>
          <w:lang w:eastAsia="lv-LV"/>
        </w:rPr>
        <w:t xml:space="preserve"> </w:t>
      </w:r>
      <w:r w:rsidR="00114F3A" w:rsidRPr="00D01CDE">
        <w:rPr>
          <w:lang w:eastAsia="lv-LV"/>
        </w:rPr>
        <w:t>pievienotās vērtības nodokļa</w:t>
      </w:r>
      <w:r w:rsidRPr="00D01CDE">
        <w:rPr>
          <w:lang w:eastAsia="lv-LV"/>
        </w:rPr>
        <w:t xml:space="preserve"> apmē</w:t>
      </w:r>
      <w:r w:rsidR="00096990" w:rsidRPr="00D01CDE">
        <w:rPr>
          <w:lang w:eastAsia="lv-LV"/>
        </w:rPr>
        <w:t>ru,</w:t>
      </w:r>
      <w:r w:rsidRPr="00D01CDE">
        <w:rPr>
          <w:lang w:eastAsia="lv-LV"/>
        </w:rPr>
        <w:t xml:space="preserve"> pieteicējs jau Līguma noslēgšanas brīdī pievērsa uzmanību maksājamam </w:t>
      </w:r>
      <w:r w:rsidR="00114F3A" w:rsidRPr="00D01CDE">
        <w:rPr>
          <w:lang w:eastAsia="lv-LV"/>
        </w:rPr>
        <w:t>pievienotās vērtības nodokļa</w:t>
      </w:r>
      <w:r w:rsidRPr="00D01CDE">
        <w:rPr>
          <w:lang w:eastAsia="lv-LV"/>
        </w:rPr>
        <w:t xml:space="preserve"> apmēram. </w:t>
      </w:r>
      <w:r w:rsidR="00096990" w:rsidRPr="00D01CDE">
        <w:rPr>
          <w:lang w:eastAsia="lv-LV"/>
        </w:rPr>
        <w:t>P</w:t>
      </w:r>
      <w:r w:rsidRPr="00D01CDE">
        <w:rPr>
          <w:lang w:eastAsia="lv-LV"/>
        </w:rPr>
        <w:t>ieteicējs varēja noskaidrot</w:t>
      </w:r>
      <w:r w:rsidR="00114F3A" w:rsidRPr="00D01CDE">
        <w:rPr>
          <w:lang w:eastAsia="lv-LV"/>
        </w:rPr>
        <w:t>,</w:t>
      </w:r>
      <w:r w:rsidRPr="00D01CDE">
        <w:rPr>
          <w:lang w:eastAsia="lv-LV"/>
        </w:rPr>
        <w:t xml:space="preserve"> gan kādos gadījumos </w:t>
      </w:r>
      <w:r w:rsidR="00114F3A" w:rsidRPr="00D01CDE">
        <w:rPr>
          <w:lang w:eastAsia="lv-LV"/>
        </w:rPr>
        <w:t>pievienotās vērtības nodoklis</w:t>
      </w:r>
      <w:r w:rsidRPr="00D01CDE">
        <w:rPr>
          <w:lang w:eastAsia="lv-LV"/>
        </w:rPr>
        <w:t xml:space="preserve"> ir maksājams, gan kādām prasībām jāatbilst rēķiniem, gan kādos gadījumos normatīvajos aktos ir paredzēta tā atmaksāšana. </w:t>
      </w:r>
      <w:r w:rsidR="00C128A3" w:rsidRPr="00D01CDE">
        <w:rPr>
          <w:lang w:eastAsia="lv-LV"/>
        </w:rPr>
        <w:t>J</w:t>
      </w:r>
      <w:r w:rsidRPr="00D01CDE">
        <w:rPr>
          <w:lang w:eastAsia="lv-LV"/>
        </w:rPr>
        <w:t xml:space="preserve">au Līguma slēgšanas brīdī, izpildes laikā un </w:t>
      </w:r>
      <w:r w:rsidR="00BD139A" w:rsidRPr="00D01CDE">
        <w:rPr>
          <w:lang w:eastAsia="lv-LV"/>
        </w:rPr>
        <w:t>r</w:t>
      </w:r>
      <w:r w:rsidRPr="00D01CDE">
        <w:rPr>
          <w:lang w:eastAsia="lv-LV"/>
        </w:rPr>
        <w:t>ēķin</w:t>
      </w:r>
      <w:r w:rsidR="00BD139A" w:rsidRPr="00D01CDE">
        <w:rPr>
          <w:lang w:eastAsia="lv-LV"/>
        </w:rPr>
        <w:t>u</w:t>
      </w:r>
      <w:r w:rsidRPr="00D01CDE">
        <w:rPr>
          <w:lang w:eastAsia="lv-LV"/>
        </w:rPr>
        <w:t xml:space="preserve"> saņemšanas laikā pieteicējs varēja veikt darbības, lai darījumu dokumenti būtu atbilstoši noformēti, kā arī pieteicējs saņemtu atbilstošus </w:t>
      </w:r>
      <w:r w:rsidR="00114F3A" w:rsidRPr="00D01CDE">
        <w:rPr>
          <w:lang w:eastAsia="lv-LV"/>
        </w:rPr>
        <w:t>r</w:t>
      </w:r>
      <w:r w:rsidRPr="00D01CDE">
        <w:rPr>
          <w:lang w:eastAsia="lv-LV"/>
        </w:rPr>
        <w:t>ēķinus no SIA</w:t>
      </w:r>
      <w:r w:rsidR="00114F3A" w:rsidRPr="00D01CDE">
        <w:rPr>
          <w:lang w:eastAsia="lv-LV"/>
        </w:rPr>
        <w:t> </w:t>
      </w:r>
      <w:r w:rsidRPr="00D01CDE">
        <w:rPr>
          <w:lang w:eastAsia="lv-LV"/>
        </w:rPr>
        <w:t>„</w:t>
      </w:r>
      <w:proofErr w:type="spellStart"/>
      <w:r w:rsidRPr="00D01CDE">
        <w:rPr>
          <w:lang w:eastAsia="lv-LV"/>
        </w:rPr>
        <w:t>Alekon</w:t>
      </w:r>
      <w:proofErr w:type="spellEnd"/>
      <w:r w:rsidRPr="00D01CDE">
        <w:rPr>
          <w:lang w:eastAsia="lv-LV"/>
        </w:rPr>
        <w:t xml:space="preserve"> LV”.</w:t>
      </w:r>
    </w:p>
    <w:p w14:paraId="4CA4D239" w14:textId="6DC8C68E" w:rsidR="002D2D51" w:rsidRPr="00D01CDE" w:rsidRDefault="002D2D51" w:rsidP="00154CD7">
      <w:pPr>
        <w:spacing w:line="276" w:lineRule="auto"/>
        <w:ind w:firstLine="567"/>
        <w:jc w:val="both"/>
        <w:rPr>
          <w:lang w:eastAsia="lv-LV"/>
        </w:rPr>
      </w:pPr>
      <w:r w:rsidRPr="00D01CDE">
        <w:rPr>
          <w:lang w:eastAsia="lv-LV"/>
        </w:rPr>
        <w:t>P</w:t>
      </w:r>
      <w:r w:rsidR="00154CD7" w:rsidRPr="00D01CDE">
        <w:rPr>
          <w:lang w:eastAsia="lv-LV"/>
        </w:rPr>
        <w:t xml:space="preserve">ieteicējs jau no </w:t>
      </w:r>
      <w:proofErr w:type="gramStart"/>
      <w:r w:rsidR="00154CD7" w:rsidRPr="00D01CDE">
        <w:rPr>
          <w:lang w:eastAsia="lv-LV"/>
        </w:rPr>
        <w:t>2012.gada</w:t>
      </w:r>
      <w:proofErr w:type="gramEnd"/>
      <w:r w:rsidR="00154CD7" w:rsidRPr="00D01CDE">
        <w:rPr>
          <w:lang w:eastAsia="lv-LV"/>
        </w:rPr>
        <w:t xml:space="preserve"> janvāra, kad saņēma </w:t>
      </w:r>
      <w:r w:rsidRPr="00D01CDE">
        <w:rPr>
          <w:lang w:eastAsia="lv-LV"/>
        </w:rPr>
        <w:t>dienesta atteikumus atmaksāt pievienotās vērtības nodokli</w:t>
      </w:r>
      <w:r w:rsidR="00154CD7" w:rsidRPr="00D01CDE">
        <w:rPr>
          <w:lang w:eastAsia="lv-LV"/>
        </w:rPr>
        <w:t>, varēja vērsties pie SIA</w:t>
      </w:r>
      <w:r w:rsidRPr="00D01CDE">
        <w:rPr>
          <w:lang w:eastAsia="lv-LV"/>
        </w:rPr>
        <w:t> </w:t>
      </w:r>
      <w:r w:rsidR="00EA6493" w:rsidRPr="00D01CDE">
        <w:rPr>
          <w:lang w:eastAsia="lv-LV"/>
        </w:rPr>
        <w:t>„</w:t>
      </w:r>
      <w:proofErr w:type="spellStart"/>
      <w:r w:rsidR="00154CD7" w:rsidRPr="00D01CDE">
        <w:rPr>
          <w:lang w:eastAsia="lv-LV"/>
        </w:rPr>
        <w:t>Alekon</w:t>
      </w:r>
      <w:proofErr w:type="spellEnd"/>
      <w:r w:rsidR="00154CD7" w:rsidRPr="00D01CDE">
        <w:rPr>
          <w:lang w:eastAsia="lv-LV"/>
        </w:rPr>
        <w:t xml:space="preserve"> LV” un risināt</w:t>
      </w:r>
      <w:r w:rsidR="00EC4862" w:rsidRPr="00D01CDE">
        <w:rPr>
          <w:lang w:eastAsia="lv-LV"/>
        </w:rPr>
        <w:t xml:space="preserve"> </w:t>
      </w:r>
      <w:r w:rsidR="00154CD7" w:rsidRPr="00D01CDE">
        <w:rPr>
          <w:lang w:eastAsia="lv-LV"/>
        </w:rPr>
        <w:t xml:space="preserve">jautājumu par </w:t>
      </w:r>
      <w:r w:rsidRPr="00D01CDE">
        <w:rPr>
          <w:lang w:eastAsia="lv-LV"/>
        </w:rPr>
        <w:t>r</w:t>
      </w:r>
      <w:r w:rsidR="00154CD7" w:rsidRPr="00D01CDE">
        <w:rPr>
          <w:lang w:eastAsia="lv-LV"/>
        </w:rPr>
        <w:t>ēķinu labošanu un darījumu dokument</w:t>
      </w:r>
      <w:r w:rsidR="00AF7B2A" w:rsidRPr="00D01CDE">
        <w:rPr>
          <w:lang w:eastAsia="lv-LV"/>
        </w:rPr>
        <w:t>u</w:t>
      </w:r>
      <w:r w:rsidR="00154CD7" w:rsidRPr="00D01CDE">
        <w:rPr>
          <w:lang w:eastAsia="lv-LV"/>
        </w:rPr>
        <w:t xml:space="preserve"> noformēšanu, lai varētu identificēt konkrētās preces un pakalpojumus, to apmēru un cenu, gan lai atgūtu nepamatoti samaksāto summu par pakalpojumiem </w:t>
      </w:r>
      <w:r w:rsidRPr="00D01CDE">
        <w:rPr>
          <w:lang w:eastAsia="lv-LV"/>
        </w:rPr>
        <w:t>pievienotās vērtības nodokļa</w:t>
      </w:r>
      <w:r w:rsidR="00154CD7" w:rsidRPr="00D01CDE">
        <w:rPr>
          <w:lang w:eastAsia="lv-LV"/>
        </w:rPr>
        <w:t xml:space="preserve"> apmērā.</w:t>
      </w:r>
      <w:r w:rsidRPr="00D01CDE">
        <w:rPr>
          <w:lang w:eastAsia="lv-LV"/>
        </w:rPr>
        <w:t xml:space="preserve"> </w:t>
      </w:r>
    </w:p>
    <w:p w14:paraId="057002F2" w14:textId="6B458C73" w:rsidR="00CE1B38" w:rsidRPr="00D01CDE" w:rsidRDefault="002D2D51" w:rsidP="00154CD7">
      <w:pPr>
        <w:spacing w:line="276" w:lineRule="auto"/>
        <w:ind w:firstLine="567"/>
        <w:jc w:val="both"/>
        <w:rPr>
          <w:lang w:eastAsia="lv-LV"/>
        </w:rPr>
      </w:pPr>
      <w:r w:rsidRPr="00D01CDE">
        <w:rPr>
          <w:lang w:eastAsia="lv-LV"/>
        </w:rPr>
        <w:t>T</w:t>
      </w:r>
      <w:r w:rsidR="00154CD7" w:rsidRPr="00D01CDE">
        <w:rPr>
          <w:lang w:eastAsia="lv-LV"/>
        </w:rPr>
        <w:t xml:space="preserve">aču </w:t>
      </w:r>
      <w:r w:rsidR="00EA6493" w:rsidRPr="00D01CDE">
        <w:rPr>
          <w:lang w:eastAsia="lv-LV"/>
        </w:rPr>
        <w:t xml:space="preserve">no </w:t>
      </w:r>
      <w:r w:rsidR="00154CD7" w:rsidRPr="00D01CDE">
        <w:rPr>
          <w:lang w:eastAsia="lv-LV"/>
        </w:rPr>
        <w:t>lietā esošaj</w:t>
      </w:r>
      <w:r w:rsidR="00572D93" w:rsidRPr="00D01CDE">
        <w:rPr>
          <w:lang w:eastAsia="lv-LV"/>
        </w:rPr>
        <w:t xml:space="preserve">iem pierādījumiem konstatējams, ka pieteicējs tikai pēc pirmās instances tiesas sprieduma </w:t>
      </w:r>
      <w:proofErr w:type="gramStart"/>
      <w:r w:rsidR="00572D93" w:rsidRPr="00D01CDE">
        <w:rPr>
          <w:lang w:eastAsia="lv-LV"/>
        </w:rPr>
        <w:t>2013.gada</w:t>
      </w:r>
      <w:proofErr w:type="gramEnd"/>
      <w:r w:rsidR="00572D93" w:rsidRPr="00D01CDE">
        <w:rPr>
          <w:lang w:eastAsia="lv-LV"/>
        </w:rPr>
        <w:t xml:space="preserve"> 18.februārī vērsās pie SIA  </w:t>
      </w:r>
      <w:proofErr w:type="spellStart"/>
      <w:r w:rsidR="00572D93" w:rsidRPr="00D01CDE">
        <w:rPr>
          <w:lang w:eastAsia="lv-LV"/>
        </w:rPr>
        <w:t>Alekon</w:t>
      </w:r>
      <w:proofErr w:type="spellEnd"/>
      <w:r w:rsidR="00572D93" w:rsidRPr="00D01CDE">
        <w:rPr>
          <w:lang w:eastAsia="lv-LV"/>
        </w:rPr>
        <w:t xml:space="preserve"> LV”, lūdzot labot rēķinus. P</w:t>
      </w:r>
      <w:r w:rsidR="00154CD7" w:rsidRPr="00D01CDE">
        <w:rPr>
          <w:lang w:eastAsia="lv-LV"/>
        </w:rPr>
        <w:t>ieteicēja rīcība, reizi gadā lūdzot SIA</w:t>
      </w:r>
      <w:r w:rsidR="00CE1B38" w:rsidRPr="00D01CDE">
        <w:rPr>
          <w:lang w:eastAsia="lv-LV"/>
        </w:rPr>
        <w:t> </w:t>
      </w:r>
      <w:r w:rsidR="00154CD7" w:rsidRPr="00D01CDE">
        <w:rPr>
          <w:lang w:eastAsia="lv-LV"/>
        </w:rPr>
        <w:t>„</w:t>
      </w:r>
      <w:proofErr w:type="spellStart"/>
      <w:r w:rsidR="00154CD7" w:rsidRPr="00D01CDE">
        <w:rPr>
          <w:lang w:eastAsia="lv-LV"/>
        </w:rPr>
        <w:t>Alekon</w:t>
      </w:r>
      <w:proofErr w:type="spellEnd"/>
      <w:r w:rsidR="00154CD7" w:rsidRPr="00D01CDE">
        <w:rPr>
          <w:lang w:eastAsia="lv-LV"/>
        </w:rPr>
        <w:t xml:space="preserve"> LV” veikt kādas darbības, neliecina</w:t>
      </w:r>
      <w:r w:rsidR="007C126B" w:rsidRPr="00D01CDE">
        <w:rPr>
          <w:lang w:eastAsia="lv-LV"/>
        </w:rPr>
        <w:t xml:space="preserve"> par </w:t>
      </w:r>
      <w:r w:rsidR="00154CD7" w:rsidRPr="00D01CDE">
        <w:rPr>
          <w:lang w:eastAsia="lv-LV"/>
        </w:rPr>
        <w:t>pieteicēj</w:t>
      </w:r>
      <w:r w:rsidR="007C126B" w:rsidRPr="00D01CDE">
        <w:rPr>
          <w:lang w:eastAsia="lv-LV"/>
        </w:rPr>
        <w:t>a aktīvu</w:t>
      </w:r>
      <w:r w:rsidR="00154CD7" w:rsidRPr="00D01CDE">
        <w:rPr>
          <w:lang w:eastAsia="lv-LV"/>
        </w:rPr>
        <w:t xml:space="preserve"> rī</w:t>
      </w:r>
      <w:r w:rsidR="007C126B" w:rsidRPr="00D01CDE">
        <w:rPr>
          <w:lang w:eastAsia="lv-LV"/>
        </w:rPr>
        <w:t>cību</w:t>
      </w:r>
      <w:r w:rsidR="00154CD7" w:rsidRPr="00D01CDE">
        <w:rPr>
          <w:lang w:eastAsia="lv-LV"/>
        </w:rPr>
        <w:t xml:space="preserve"> savu interešu nodrošināšanā. Nav saskatāms, ka pieteicējam bija kādi objektīv</w:t>
      </w:r>
      <w:r w:rsidR="00F97F6C" w:rsidRPr="00D01CDE">
        <w:rPr>
          <w:lang w:eastAsia="lv-LV"/>
        </w:rPr>
        <w:t>i</w:t>
      </w:r>
      <w:r w:rsidR="00154CD7" w:rsidRPr="00D01CDE">
        <w:rPr>
          <w:lang w:eastAsia="lv-LV"/>
        </w:rPr>
        <w:t xml:space="preserve"> šķēršļi no </w:t>
      </w:r>
      <w:proofErr w:type="gramStart"/>
      <w:r w:rsidR="00154CD7" w:rsidRPr="00D01CDE">
        <w:rPr>
          <w:lang w:eastAsia="lv-LV"/>
        </w:rPr>
        <w:t>2012.gada</w:t>
      </w:r>
      <w:proofErr w:type="gramEnd"/>
      <w:r w:rsidR="00154CD7" w:rsidRPr="00D01CDE">
        <w:rPr>
          <w:lang w:eastAsia="lv-LV"/>
        </w:rPr>
        <w:t xml:space="preserve"> janvāra līdz SIA</w:t>
      </w:r>
      <w:r w:rsidR="00CE1B38" w:rsidRPr="00D01CDE">
        <w:rPr>
          <w:lang w:eastAsia="lv-LV"/>
        </w:rPr>
        <w:t> </w:t>
      </w:r>
      <w:r w:rsidR="00154CD7" w:rsidRPr="00D01CDE">
        <w:rPr>
          <w:lang w:eastAsia="lv-LV"/>
        </w:rPr>
        <w:t>„</w:t>
      </w:r>
      <w:proofErr w:type="spellStart"/>
      <w:r w:rsidR="00154CD7" w:rsidRPr="00D01CDE">
        <w:rPr>
          <w:lang w:eastAsia="lv-LV"/>
        </w:rPr>
        <w:t>Alekon</w:t>
      </w:r>
      <w:proofErr w:type="spellEnd"/>
      <w:r w:rsidR="00154CD7" w:rsidRPr="00D01CDE">
        <w:rPr>
          <w:lang w:eastAsia="lv-LV"/>
        </w:rPr>
        <w:t xml:space="preserve"> LV” likvidācijai 2015.gada 3.septembrī vērsties pret SIA</w:t>
      </w:r>
      <w:r w:rsidR="00CE1B38" w:rsidRPr="00D01CDE">
        <w:rPr>
          <w:lang w:eastAsia="lv-LV"/>
        </w:rPr>
        <w:t> </w:t>
      </w:r>
      <w:r w:rsidR="00154CD7" w:rsidRPr="00D01CDE">
        <w:rPr>
          <w:lang w:eastAsia="lv-LV"/>
        </w:rPr>
        <w:t>„</w:t>
      </w:r>
      <w:proofErr w:type="spellStart"/>
      <w:r w:rsidR="00154CD7" w:rsidRPr="00D01CDE">
        <w:rPr>
          <w:lang w:eastAsia="lv-LV"/>
        </w:rPr>
        <w:t>Alekon</w:t>
      </w:r>
      <w:proofErr w:type="spellEnd"/>
      <w:r w:rsidR="00154CD7" w:rsidRPr="00D01CDE">
        <w:rPr>
          <w:lang w:eastAsia="lv-LV"/>
        </w:rPr>
        <w:t xml:space="preserve"> LV” civiltiesiskā kārtībā. Turklāt pieteicējs to apzināti nav darījis arī pēc tam, kad </w:t>
      </w:r>
      <w:proofErr w:type="gramStart"/>
      <w:r w:rsidR="00154CD7" w:rsidRPr="00D01CDE">
        <w:rPr>
          <w:lang w:eastAsia="lv-LV"/>
        </w:rPr>
        <w:t>2014.gada</w:t>
      </w:r>
      <w:proofErr w:type="gramEnd"/>
      <w:r w:rsidR="00154CD7" w:rsidRPr="00D01CDE">
        <w:rPr>
          <w:lang w:eastAsia="lv-LV"/>
        </w:rPr>
        <w:t xml:space="preserve"> decembrī ir saņēmis konkrētu ieteikumu no advokātu biroja. Līdz ar to nav atzīstams, ka pieteicējam bija neiespējami vai pārmērīgi grūti panākt nepamatoti samaksātā </w:t>
      </w:r>
      <w:r w:rsidR="00CE1B38" w:rsidRPr="00D01CDE">
        <w:rPr>
          <w:lang w:eastAsia="lv-LV"/>
        </w:rPr>
        <w:t xml:space="preserve">pievienotās vērtības nodokļa </w:t>
      </w:r>
      <w:r w:rsidR="00154CD7" w:rsidRPr="00D01CDE">
        <w:rPr>
          <w:lang w:eastAsia="lv-LV"/>
        </w:rPr>
        <w:t>atgūšanu no SIA</w:t>
      </w:r>
      <w:r w:rsidR="00CE1B38" w:rsidRPr="00D01CDE">
        <w:rPr>
          <w:lang w:eastAsia="lv-LV"/>
        </w:rPr>
        <w:t> </w:t>
      </w:r>
      <w:r w:rsidR="00154CD7" w:rsidRPr="00D01CDE">
        <w:rPr>
          <w:lang w:eastAsia="lv-LV"/>
        </w:rPr>
        <w:t>„</w:t>
      </w:r>
      <w:proofErr w:type="spellStart"/>
      <w:r w:rsidR="00154CD7" w:rsidRPr="00D01CDE">
        <w:rPr>
          <w:lang w:eastAsia="lv-LV"/>
        </w:rPr>
        <w:t>Alekon</w:t>
      </w:r>
      <w:proofErr w:type="spellEnd"/>
      <w:r w:rsidR="00154CD7" w:rsidRPr="00D01CDE">
        <w:rPr>
          <w:lang w:eastAsia="lv-LV"/>
        </w:rPr>
        <w:t xml:space="preserve"> LV”.</w:t>
      </w:r>
    </w:p>
    <w:p w14:paraId="47084C5D" w14:textId="38229DAB" w:rsidR="00CE1B38" w:rsidRPr="00D01CDE" w:rsidRDefault="00154CD7" w:rsidP="00154CD7">
      <w:pPr>
        <w:spacing w:line="276" w:lineRule="auto"/>
        <w:ind w:firstLine="567"/>
        <w:jc w:val="both"/>
        <w:rPr>
          <w:lang w:eastAsia="lv-LV"/>
        </w:rPr>
      </w:pPr>
      <w:r w:rsidRPr="00D01CDE">
        <w:rPr>
          <w:lang w:eastAsia="lv-LV"/>
        </w:rPr>
        <w:t>[</w:t>
      </w:r>
      <w:r w:rsidR="00CE1B38" w:rsidRPr="00D01CDE">
        <w:rPr>
          <w:lang w:eastAsia="lv-LV"/>
        </w:rPr>
        <w:t>3.6</w:t>
      </w:r>
      <w:r w:rsidRPr="00D01CDE">
        <w:rPr>
          <w:lang w:eastAsia="lv-LV"/>
        </w:rPr>
        <w:t>]</w:t>
      </w:r>
      <w:r w:rsidR="00CE1B38" w:rsidRPr="00D01CDE">
        <w:rPr>
          <w:lang w:eastAsia="lv-LV"/>
        </w:rPr>
        <w:t> </w:t>
      </w:r>
      <w:r w:rsidR="00EA6493" w:rsidRPr="00D01CDE">
        <w:rPr>
          <w:lang w:eastAsia="lv-LV"/>
        </w:rPr>
        <w:t>V</w:t>
      </w:r>
      <w:r w:rsidRPr="00D01CDE">
        <w:rPr>
          <w:lang w:eastAsia="lv-LV"/>
        </w:rPr>
        <w:t xml:space="preserve">eicot no valsts budžeta </w:t>
      </w:r>
      <w:r w:rsidR="00CE1B38" w:rsidRPr="00D01CDE">
        <w:rPr>
          <w:lang w:eastAsia="lv-LV"/>
        </w:rPr>
        <w:t>pievienotās vērtības nodokļa</w:t>
      </w:r>
      <w:r w:rsidRPr="00D01CDE">
        <w:rPr>
          <w:lang w:eastAsia="lv-LV"/>
        </w:rPr>
        <w:t xml:space="preserve"> atmaksu pieteicēja</w:t>
      </w:r>
      <w:r w:rsidR="00F97F6C" w:rsidRPr="00D01CDE">
        <w:rPr>
          <w:lang w:eastAsia="lv-LV"/>
        </w:rPr>
        <w:t>m</w:t>
      </w:r>
      <w:r w:rsidRPr="00D01CDE">
        <w:rPr>
          <w:lang w:eastAsia="lv-LV"/>
        </w:rPr>
        <w:t>, pastāv valsts budžeta apdraudējums.</w:t>
      </w:r>
    </w:p>
    <w:p w14:paraId="52AFBD9D" w14:textId="19386CFB" w:rsidR="00E13026" w:rsidRPr="00D01CDE" w:rsidRDefault="00154CD7" w:rsidP="00154CD7">
      <w:pPr>
        <w:spacing w:line="276" w:lineRule="auto"/>
        <w:ind w:firstLine="567"/>
        <w:jc w:val="both"/>
        <w:rPr>
          <w:lang w:eastAsia="lv-LV"/>
        </w:rPr>
      </w:pPr>
      <w:r w:rsidRPr="00D01CDE">
        <w:rPr>
          <w:lang w:eastAsia="lv-LV"/>
        </w:rPr>
        <w:t>No SIA</w:t>
      </w:r>
      <w:r w:rsidR="00CE1B38" w:rsidRPr="00D01CDE">
        <w:rPr>
          <w:lang w:eastAsia="lv-LV"/>
        </w:rPr>
        <w:t> </w:t>
      </w:r>
      <w:r w:rsidRPr="00D01CDE">
        <w:rPr>
          <w:lang w:eastAsia="lv-LV"/>
        </w:rPr>
        <w:t>„</w:t>
      </w:r>
      <w:proofErr w:type="spellStart"/>
      <w:r w:rsidRPr="00D01CDE">
        <w:rPr>
          <w:lang w:eastAsia="lv-LV"/>
        </w:rPr>
        <w:t>Alekon</w:t>
      </w:r>
      <w:proofErr w:type="spellEnd"/>
      <w:r w:rsidRPr="00D01CDE">
        <w:rPr>
          <w:lang w:eastAsia="lv-LV"/>
        </w:rPr>
        <w:t xml:space="preserve"> LV” </w:t>
      </w:r>
      <w:r w:rsidR="00CE1B38" w:rsidRPr="00D01CDE">
        <w:rPr>
          <w:lang w:eastAsia="lv-LV"/>
        </w:rPr>
        <w:t>pievienotās vērtības nodokļa</w:t>
      </w:r>
      <w:r w:rsidRPr="00D01CDE">
        <w:rPr>
          <w:lang w:eastAsia="lv-LV"/>
        </w:rPr>
        <w:t xml:space="preserve"> deklarācijām un </w:t>
      </w:r>
      <w:r w:rsidR="00E07DD9" w:rsidRPr="00D01CDE">
        <w:rPr>
          <w:lang w:eastAsia="lv-LV"/>
        </w:rPr>
        <w:t>d</w:t>
      </w:r>
      <w:r w:rsidRPr="00D01CDE">
        <w:rPr>
          <w:lang w:eastAsia="lv-LV"/>
        </w:rPr>
        <w:t>ienesta iesniegtās nodokļu maksātāja SIA</w:t>
      </w:r>
      <w:r w:rsidR="00E07DD9" w:rsidRPr="00D01CDE">
        <w:rPr>
          <w:lang w:eastAsia="lv-LV"/>
        </w:rPr>
        <w:t> </w:t>
      </w:r>
      <w:r w:rsidRPr="00D01CDE">
        <w:rPr>
          <w:lang w:eastAsia="lv-LV"/>
        </w:rPr>
        <w:t>„</w:t>
      </w:r>
      <w:proofErr w:type="spellStart"/>
      <w:r w:rsidRPr="00D01CDE">
        <w:rPr>
          <w:lang w:eastAsia="lv-LV"/>
        </w:rPr>
        <w:t>Alekon</w:t>
      </w:r>
      <w:proofErr w:type="spellEnd"/>
      <w:r w:rsidRPr="00D01CDE">
        <w:rPr>
          <w:lang w:eastAsia="lv-LV"/>
        </w:rPr>
        <w:t xml:space="preserve"> LV” atlikumu vēstures izdrukas konstatē</w:t>
      </w:r>
      <w:r w:rsidR="00E07DD9" w:rsidRPr="00D01CDE">
        <w:rPr>
          <w:lang w:eastAsia="lv-LV"/>
        </w:rPr>
        <w:t>jams</w:t>
      </w:r>
      <w:r w:rsidRPr="00D01CDE">
        <w:rPr>
          <w:lang w:eastAsia="lv-LV"/>
        </w:rPr>
        <w:t xml:space="preserve">, ka </w:t>
      </w:r>
      <w:r w:rsidR="00E07DD9" w:rsidRPr="00D01CDE">
        <w:rPr>
          <w:lang w:eastAsia="lv-LV"/>
        </w:rPr>
        <w:t>r</w:t>
      </w:r>
      <w:r w:rsidRPr="00D01CDE">
        <w:rPr>
          <w:lang w:eastAsia="lv-LV"/>
        </w:rPr>
        <w:t xml:space="preserve">ēķinos norādītās </w:t>
      </w:r>
      <w:r w:rsidR="00E07DD9" w:rsidRPr="00D01CDE">
        <w:rPr>
          <w:lang w:eastAsia="lv-LV"/>
        </w:rPr>
        <w:t xml:space="preserve">pievienotās vērtības nodokļa </w:t>
      </w:r>
      <w:r w:rsidRPr="00D01CDE">
        <w:rPr>
          <w:lang w:eastAsia="lv-LV"/>
        </w:rPr>
        <w:t>summas SIA</w:t>
      </w:r>
      <w:r w:rsidR="00A133BC" w:rsidRPr="00D01CDE">
        <w:rPr>
          <w:lang w:eastAsia="lv-LV"/>
        </w:rPr>
        <w:t> </w:t>
      </w:r>
      <w:r w:rsidRPr="00D01CDE">
        <w:rPr>
          <w:lang w:eastAsia="lv-LV"/>
        </w:rPr>
        <w:t>„</w:t>
      </w:r>
      <w:proofErr w:type="spellStart"/>
      <w:r w:rsidRPr="00D01CDE">
        <w:rPr>
          <w:lang w:eastAsia="lv-LV"/>
        </w:rPr>
        <w:t>Alekon</w:t>
      </w:r>
      <w:proofErr w:type="spellEnd"/>
      <w:r w:rsidRPr="00D01CDE">
        <w:rPr>
          <w:lang w:eastAsia="lv-LV"/>
        </w:rPr>
        <w:t xml:space="preserve"> LV” ir iekļāvusi </w:t>
      </w:r>
      <w:r w:rsidR="00A133BC" w:rsidRPr="00D01CDE">
        <w:rPr>
          <w:lang w:eastAsia="lv-LV"/>
        </w:rPr>
        <w:t>pievienotās vērtības nodokļa</w:t>
      </w:r>
      <w:r w:rsidRPr="00D01CDE">
        <w:rPr>
          <w:lang w:eastAsia="lv-LV"/>
        </w:rPr>
        <w:t xml:space="preserve"> deklarācijās un tās ņemtas vērā, nosakot valsts budžetā maksājamo nodokļa summu. SIA</w:t>
      </w:r>
      <w:r w:rsidR="00A133BC" w:rsidRPr="00D01CDE">
        <w:rPr>
          <w:lang w:eastAsia="lv-LV"/>
        </w:rPr>
        <w:t> </w:t>
      </w:r>
      <w:r w:rsidRPr="00D01CDE">
        <w:rPr>
          <w:lang w:eastAsia="lv-LV"/>
        </w:rPr>
        <w:t>„</w:t>
      </w:r>
      <w:proofErr w:type="spellStart"/>
      <w:r w:rsidRPr="00D01CDE">
        <w:rPr>
          <w:lang w:eastAsia="lv-LV"/>
        </w:rPr>
        <w:t>Alekon</w:t>
      </w:r>
      <w:proofErr w:type="spellEnd"/>
      <w:r w:rsidRPr="00D01CDE">
        <w:rPr>
          <w:lang w:eastAsia="lv-LV"/>
        </w:rPr>
        <w:t xml:space="preserve"> LV” vienlaikus ar deklarētajām budžetā maksājamām nodokļa summām ir deklarējusi arī priekšnodokli, kas cita starp ietver arī SIA</w:t>
      </w:r>
      <w:r w:rsidR="00A133BC" w:rsidRPr="00D01CDE">
        <w:rPr>
          <w:lang w:eastAsia="lv-LV"/>
        </w:rPr>
        <w:t> „</w:t>
      </w:r>
      <w:proofErr w:type="spellStart"/>
      <w:r w:rsidRPr="00D01CDE">
        <w:rPr>
          <w:lang w:eastAsia="lv-LV"/>
        </w:rPr>
        <w:t>Alekon</w:t>
      </w:r>
      <w:proofErr w:type="spellEnd"/>
      <w:r w:rsidRPr="00D01CDE">
        <w:rPr>
          <w:lang w:eastAsia="lv-LV"/>
        </w:rPr>
        <w:t xml:space="preserve"> LV” maksājamo nodokli darījumos ar Līguma izpildei piesaistīto apakšuzņēmēju SIA</w:t>
      </w:r>
      <w:r w:rsidR="00A133BC" w:rsidRPr="00D01CDE">
        <w:rPr>
          <w:lang w:eastAsia="lv-LV"/>
        </w:rPr>
        <w:t> </w:t>
      </w:r>
      <w:r w:rsidRPr="00D01CDE">
        <w:rPr>
          <w:lang w:eastAsia="lv-LV"/>
        </w:rPr>
        <w:t xml:space="preserve">„MC </w:t>
      </w:r>
      <w:proofErr w:type="spellStart"/>
      <w:r w:rsidRPr="00D01CDE">
        <w:rPr>
          <w:lang w:eastAsia="lv-LV"/>
        </w:rPr>
        <w:t>Communication</w:t>
      </w:r>
      <w:proofErr w:type="spellEnd"/>
      <w:r w:rsidRPr="00D01CDE">
        <w:rPr>
          <w:lang w:eastAsia="lv-LV"/>
        </w:rPr>
        <w:t>”. Tādējādi pieteicēja darījuma partneris atbilstošu nodokļu summu ir atskaitījis priekšnodoklī un tā nav uzskatāma par summu, kuru valsts budžets ir guvis kā nodokļu ienākumu. Šobrīd nav iespējams veikt SIA</w:t>
      </w:r>
      <w:r w:rsidR="00A133BC" w:rsidRPr="00D01CDE">
        <w:rPr>
          <w:lang w:eastAsia="lv-LV"/>
        </w:rPr>
        <w:t> </w:t>
      </w:r>
      <w:r w:rsidRPr="00D01CDE">
        <w:rPr>
          <w:lang w:eastAsia="lv-LV"/>
        </w:rPr>
        <w:t>„</w:t>
      </w:r>
      <w:proofErr w:type="spellStart"/>
      <w:r w:rsidRPr="00D01CDE">
        <w:rPr>
          <w:lang w:eastAsia="lv-LV"/>
        </w:rPr>
        <w:t>Alekon</w:t>
      </w:r>
      <w:proofErr w:type="spellEnd"/>
      <w:r w:rsidRPr="00D01CDE">
        <w:rPr>
          <w:lang w:eastAsia="lv-LV"/>
        </w:rPr>
        <w:t xml:space="preserve"> LV” </w:t>
      </w:r>
      <w:r w:rsidR="00A133BC" w:rsidRPr="00D01CDE">
        <w:rPr>
          <w:lang w:eastAsia="lv-LV"/>
        </w:rPr>
        <w:t>pievienotās vērtības nodokļa</w:t>
      </w:r>
      <w:r w:rsidRPr="00D01CDE">
        <w:rPr>
          <w:lang w:eastAsia="lv-LV"/>
        </w:rPr>
        <w:t xml:space="preserve"> deklarāciju korekciju</w:t>
      </w:r>
      <w:r w:rsidRPr="00597DFB">
        <w:rPr>
          <w:lang w:eastAsia="lv-LV"/>
        </w:rPr>
        <w:t>, neņemt vērā</w:t>
      </w:r>
      <w:r w:rsidRPr="00D01CDE">
        <w:rPr>
          <w:lang w:eastAsia="lv-LV"/>
        </w:rPr>
        <w:t xml:space="preserve"> </w:t>
      </w:r>
      <w:r w:rsidR="00A133BC" w:rsidRPr="00D01CDE">
        <w:rPr>
          <w:lang w:eastAsia="lv-LV"/>
        </w:rPr>
        <w:lastRenderedPageBreak/>
        <w:t>pievienotās vērtības nodokļa</w:t>
      </w:r>
      <w:r w:rsidRPr="00D01CDE">
        <w:rPr>
          <w:lang w:eastAsia="lv-LV"/>
        </w:rPr>
        <w:t xml:space="preserve"> summu par pieteicējam sniegtajiem pakalpojumiem, secīgi liedzot SIA</w:t>
      </w:r>
      <w:r w:rsidR="00294745" w:rsidRPr="00D01CDE">
        <w:rPr>
          <w:lang w:eastAsia="lv-LV"/>
        </w:rPr>
        <w:t> </w:t>
      </w:r>
      <w:r w:rsidRPr="00D01CDE">
        <w:rPr>
          <w:lang w:eastAsia="lv-LV"/>
        </w:rPr>
        <w:t>„</w:t>
      </w:r>
      <w:proofErr w:type="spellStart"/>
      <w:r w:rsidRPr="00D01CDE">
        <w:rPr>
          <w:lang w:eastAsia="lv-LV"/>
        </w:rPr>
        <w:t>Alekon</w:t>
      </w:r>
      <w:proofErr w:type="spellEnd"/>
      <w:r w:rsidRPr="00D01CDE">
        <w:rPr>
          <w:lang w:eastAsia="lv-LV"/>
        </w:rPr>
        <w:t xml:space="preserve"> LV” priekšnodokļa atskaitīšanas tiesības attiecīgajā apmērā un piedzenot nesamaksātās nodokļu summas no SIA</w:t>
      </w:r>
      <w:r w:rsidR="00294745" w:rsidRPr="00D01CDE">
        <w:rPr>
          <w:lang w:eastAsia="lv-LV"/>
        </w:rPr>
        <w:t> </w:t>
      </w:r>
      <w:r w:rsidRPr="00D01CDE">
        <w:rPr>
          <w:lang w:eastAsia="lv-LV"/>
        </w:rPr>
        <w:t>„</w:t>
      </w:r>
      <w:proofErr w:type="spellStart"/>
      <w:r w:rsidRPr="00D01CDE">
        <w:rPr>
          <w:lang w:eastAsia="lv-LV"/>
        </w:rPr>
        <w:t>Alekon</w:t>
      </w:r>
      <w:proofErr w:type="spellEnd"/>
      <w:r w:rsidRPr="00D01CDE">
        <w:rPr>
          <w:lang w:eastAsia="lv-LV"/>
        </w:rPr>
        <w:t xml:space="preserve"> LV”. Atmaksājot no valsts budžeta arī pieteicēja</w:t>
      </w:r>
      <w:r w:rsidR="00F97F6C" w:rsidRPr="00D01CDE">
        <w:rPr>
          <w:lang w:eastAsia="lv-LV"/>
        </w:rPr>
        <w:t>m</w:t>
      </w:r>
      <w:r w:rsidRPr="00D01CDE">
        <w:rPr>
          <w:lang w:eastAsia="lv-LV"/>
        </w:rPr>
        <w:t xml:space="preserve"> </w:t>
      </w:r>
      <w:r w:rsidR="00A133BC" w:rsidRPr="00D01CDE">
        <w:rPr>
          <w:lang w:eastAsia="lv-LV"/>
        </w:rPr>
        <w:t>pievienotās vērtības nodokļa</w:t>
      </w:r>
      <w:r w:rsidRPr="00D01CDE">
        <w:rPr>
          <w:lang w:eastAsia="lv-LV"/>
        </w:rPr>
        <w:t xml:space="preserve"> par pakalpojumiem, minētā summa no valsts budžeta tiktu atskaitīta otro reizi, lai gan šādā apmērā tās iem</w:t>
      </w:r>
      <w:r w:rsidR="0023576E" w:rsidRPr="00D01CDE">
        <w:rPr>
          <w:lang w:eastAsia="lv-LV"/>
        </w:rPr>
        <w:t>aksa valsts budžetā nav veikta.</w:t>
      </w:r>
    </w:p>
    <w:p w14:paraId="26D57AD5" w14:textId="37AB700F" w:rsidR="00075777" w:rsidRPr="00D01CDE" w:rsidRDefault="00EA6493" w:rsidP="00A83A3A">
      <w:pPr>
        <w:spacing w:line="276" w:lineRule="auto"/>
        <w:ind w:firstLine="567"/>
        <w:jc w:val="both"/>
        <w:rPr>
          <w:lang w:eastAsia="lv-LV"/>
        </w:rPr>
      </w:pPr>
      <w:r w:rsidRPr="00D01CDE">
        <w:rPr>
          <w:lang w:eastAsia="lv-LV"/>
        </w:rPr>
        <w:t>[3.7] </w:t>
      </w:r>
      <w:r w:rsidR="00154CD7" w:rsidRPr="00D01CDE">
        <w:rPr>
          <w:lang w:eastAsia="lv-LV"/>
        </w:rPr>
        <w:t xml:space="preserve">Šādos apstākļos, kad pieteicējs pats ir pieļāvis neatbilstošu darījuma dokumentu noformēšanu, kā arī nepamatoti nav aktīvi rīkojies savu interešu nodrošināšanā, nav konstatējama pieteicēja labticība un </w:t>
      </w:r>
      <w:r w:rsidR="00E13026" w:rsidRPr="00D01CDE">
        <w:rPr>
          <w:lang w:eastAsia="lv-LV"/>
        </w:rPr>
        <w:t>pievienotās vērtības nodokļa</w:t>
      </w:r>
      <w:r w:rsidR="00154CD7" w:rsidRPr="00D01CDE">
        <w:rPr>
          <w:lang w:eastAsia="lv-LV"/>
        </w:rPr>
        <w:t xml:space="preserve"> neitralitātes un efektivitātes principa pārkāpums, atsakot veikt pieteicējam </w:t>
      </w:r>
      <w:r w:rsidR="00E13026" w:rsidRPr="00D01CDE">
        <w:rPr>
          <w:lang w:eastAsia="lv-LV"/>
        </w:rPr>
        <w:t>pievienotās vērtības nodokļa</w:t>
      </w:r>
      <w:r w:rsidR="00154CD7" w:rsidRPr="00D01CDE">
        <w:rPr>
          <w:lang w:eastAsia="lv-LV"/>
        </w:rPr>
        <w:t xml:space="preserve"> atmaksu.</w:t>
      </w:r>
    </w:p>
    <w:p w14:paraId="6C2D0F6D" w14:textId="051EF814" w:rsidR="007C126B" w:rsidRPr="00D01CDE" w:rsidRDefault="007C126B" w:rsidP="00A83A3A">
      <w:pPr>
        <w:spacing w:line="276" w:lineRule="auto"/>
        <w:ind w:firstLine="567"/>
        <w:jc w:val="both"/>
        <w:rPr>
          <w:lang w:eastAsia="lv-LV"/>
        </w:rPr>
      </w:pPr>
    </w:p>
    <w:p w14:paraId="101FC068" w14:textId="3639988D" w:rsidR="007C126B" w:rsidRPr="00D01CDE" w:rsidRDefault="007C126B" w:rsidP="00A83A3A">
      <w:pPr>
        <w:spacing w:line="276" w:lineRule="auto"/>
        <w:ind w:firstLine="567"/>
        <w:jc w:val="both"/>
        <w:rPr>
          <w:lang w:eastAsia="lv-LV"/>
        </w:rPr>
      </w:pPr>
      <w:r w:rsidRPr="00D01CDE">
        <w:rPr>
          <w:lang w:eastAsia="lv-LV"/>
        </w:rPr>
        <w:t>[4]</w:t>
      </w:r>
      <w:r w:rsidR="00ED40EA" w:rsidRPr="00D01CDE">
        <w:rPr>
          <w:lang w:eastAsia="lv-LV"/>
        </w:rPr>
        <w:t> </w:t>
      </w:r>
      <w:r w:rsidRPr="00D01CDE">
        <w:rPr>
          <w:lang w:eastAsia="lv-LV"/>
        </w:rPr>
        <w:t>Pieteicējs iesniedza kasācijas sūdzību par apgabaltiesas spriedumu, norādot turpmāk minētos argumentus.</w:t>
      </w:r>
    </w:p>
    <w:p w14:paraId="7B74C51F" w14:textId="674D986B" w:rsidR="00770D89" w:rsidRPr="00D01CDE" w:rsidRDefault="007C126B" w:rsidP="00A83A3A">
      <w:pPr>
        <w:spacing w:line="276" w:lineRule="auto"/>
        <w:ind w:firstLine="567"/>
        <w:jc w:val="both"/>
        <w:rPr>
          <w:lang w:eastAsia="lv-LV"/>
        </w:rPr>
      </w:pPr>
      <w:r w:rsidRPr="00D01CDE">
        <w:rPr>
          <w:lang w:eastAsia="lv-LV"/>
        </w:rPr>
        <w:t>[4.1]</w:t>
      </w:r>
      <w:r w:rsidR="00ED40EA" w:rsidRPr="00D01CDE">
        <w:rPr>
          <w:lang w:eastAsia="lv-LV"/>
        </w:rPr>
        <w:t> </w:t>
      </w:r>
      <w:r w:rsidR="00EA6493" w:rsidRPr="00D01CDE">
        <w:rPr>
          <w:lang w:eastAsia="lv-LV"/>
        </w:rPr>
        <w:t>Apgabaltiesa</w:t>
      </w:r>
      <w:r w:rsidR="00880966" w:rsidRPr="00D01CDE">
        <w:rPr>
          <w:lang w:eastAsia="lv-LV"/>
        </w:rPr>
        <w:t xml:space="preserve"> ir kļūdaini interpretējusi pievienotās vērtības nodokļa neitralitātes principu, kā rezultātā izdarījusi nepamatotu secinājumu, ka, atmaksājot pieteicēja</w:t>
      </w:r>
      <w:r w:rsidR="00F97F6C" w:rsidRPr="00D01CDE">
        <w:rPr>
          <w:lang w:eastAsia="lv-LV"/>
        </w:rPr>
        <w:t>m</w:t>
      </w:r>
      <w:r w:rsidR="00880966" w:rsidRPr="00D01CDE">
        <w:rPr>
          <w:lang w:eastAsia="lv-LV"/>
        </w:rPr>
        <w:t xml:space="preserve"> pievienotās vērtības nodokli, notiktu valsts budžeta ieņēmumu apdraudējums. </w:t>
      </w:r>
      <w:r w:rsidR="00294745" w:rsidRPr="00D01CDE">
        <w:rPr>
          <w:lang w:eastAsia="lv-LV"/>
        </w:rPr>
        <w:t>Nav pamatots tiesas secinājums, ka pievienotās vērtības nodokļa summa no budžeta tiktu atskaitīta otro reizi. Par SIA „</w:t>
      </w:r>
      <w:proofErr w:type="spellStart"/>
      <w:r w:rsidR="00294745" w:rsidRPr="00D01CDE">
        <w:rPr>
          <w:lang w:eastAsia="lv-LV"/>
        </w:rPr>
        <w:t>Alekon</w:t>
      </w:r>
      <w:proofErr w:type="spellEnd"/>
      <w:r w:rsidR="00294745" w:rsidRPr="00D01CDE">
        <w:rPr>
          <w:lang w:eastAsia="lv-LV"/>
        </w:rPr>
        <w:t xml:space="preserve"> LV” sniegtajiem pakalpojumiem pievienotās vērtības nodokli i</w:t>
      </w:r>
      <w:r w:rsidR="00770D89" w:rsidRPr="00D01CDE">
        <w:rPr>
          <w:lang w:eastAsia="lv-LV"/>
        </w:rPr>
        <w:t>r tiesības atgūt tikai pieteicēj</w:t>
      </w:r>
      <w:r w:rsidR="00854EB6" w:rsidRPr="00D01CDE">
        <w:rPr>
          <w:lang w:eastAsia="lv-LV"/>
        </w:rPr>
        <w:t>am</w:t>
      </w:r>
      <w:r w:rsidR="00770D89" w:rsidRPr="00D01CDE">
        <w:rPr>
          <w:lang w:eastAsia="lv-LV"/>
        </w:rPr>
        <w:t xml:space="preserve">. No tiesas norādītā var secināt, ka pieteicēja tiesības saņemt samaksāto pievienotās vērtības nodokli var tikt ierobežotas, ja tā darījuma partneris ir izmantojis priekšnodokļa atskaitīšanas tiesības. Lietā nav informācijas par ķēdes darījumu, kuros kāds no ķēdes dalībniekiem nesamaksā budžetā pievienotās vērtības nodokli. </w:t>
      </w:r>
      <w:r w:rsidR="00184890" w:rsidRPr="00D01CDE">
        <w:rPr>
          <w:lang w:eastAsia="lv-LV"/>
        </w:rPr>
        <w:t>T</w:t>
      </w:r>
      <w:r w:rsidR="00770D89" w:rsidRPr="00D01CDE">
        <w:rPr>
          <w:lang w:eastAsia="lv-LV"/>
        </w:rPr>
        <w:t xml:space="preserve">iesa nav vērtējusi pieteicēja paskaidrojumus </w:t>
      </w:r>
      <w:r w:rsidR="00AD4A5E" w:rsidRPr="00D01CDE">
        <w:rPr>
          <w:lang w:eastAsia="lv-LV"/>
        </w:rPr>
        <w:t>par valsts budžeta apdraudējuma neesību.</w:t>
      </w:r>
    </w:p>
    <w:p w14:paraId="3D42C2DF" w14:textId="700F792C" w:rsidR="00B76A1F" w:rsidRPr="00D01CDE" w:rsidRDefault="00AD4A5E" w:rsidP="00A83A3A">
      <w:pPr>
        <w:spacing w:line="276" w:lineRule="auto"/>
        <w:ind w:firstLine="567"/>
        <w:jc w:val="both"/>
        <w:rPr>
          <w:lang w:eastAsia="lv-LV"/>
        </w:rPr>
      </w:pPr>
      <w:r w:rsidRPr="00D01CDE">
        <w:rPr>
          <w:lang w:eastAsia="lv-LV"/>
        </w:rPr>
        <w:t xml:space="preserve">[4.2] Kļūdains ir apgabaltiesas secinājums, ka rēķinos iekļautā informācija ir nepietiekama. No iesniegtajiem rēķiniem un Līguma par pakalpojumu sniegšanu var gūt pilnīgu priekšstatu par pakalpojumu apmēru. </w:t>
      </w:r>
      <w:r w:rsidR="006C5705" w:rsidRPr="00D01CDE">
        <w:rPr>
          <w:lang w:eastAsia="lv-LV"/>
        </w:rPr>
        <w:t>Pieteicēja no SIA „</w:t>
      </w:r>
      <w:proofErr w:type="spellStart"/>
      <w:r w:rsidR="006C5705" w:rsidRPr="00D01CDE">
        <w:rPr>
          <w:lang w:eastAsia="lv-LV"/>
        </w:rPr>
        <w:t>Alekon</w:t>
      </w:r>
      <w:proofErr w:type="spellEnd"/>
      <w:r w:rsidR="006C5705" w:rsidRPr="00D01CDE">
        <w:rPr>
          <w:lang w:eastAsia="lv-LV"/>
        </w:rPr>
        <w:t xml:space="preserve"> LV”</w:t>
      </w:r>
      <w:r w:rsidR="00854EB6" w:rsidRPr="00D01CDE">
        <w:rPr>
          <w:lang w:eastAsia="lv-LV"/>
        </w:rPr>
        <w:t xml:space="preserve"> saņēma</w:t>
      </w:r>
      <w:r w:rsidR="009C3D7A" w:rsidRPr="00D01CDE">
        <w:rPr>
          <w:lang w:eastAsia="lv-LV"/>
        </w:rPr>
        <w:t xml:space="preserve"> pakalpojumu kompleksu. Šāda veida pakalpojumu sniegšanai ir nepieciešamas dažādas preces, taču pēc būtības tiek saņemts pakalpojums. Apgabaltiesa nav piemērojusi likuma „Par pievienotās vērtības nodokli” </w:t>
      </w:r>
      <w:proofErr w:type="gramStart"/>
      <w:r w:rsidR="009C3D7A" w:rsidRPr="00D01CDE">
        <w:rPr>
          <w:lang w:eastAsia="lv-LV"/>
        </w:rPr>
        <w:t>1.panta</w:t>
      </w:r>
      <w:proofErr w:type="gramEnd"/>
      <w:r w:rsidR="009C3D7A" w:rsidRPr="00D01CDE">
        <w:rPr>
          <w:lang w:eastAsia="lv-LV"/>
        </w:rPr>
        <w:t xml:space="preserve"> 2. un 3.punktu un nepamatoti pārkvalificējusi saņemto pakalpojumu par preču piegādi un pakalpojumu sniegšanu. Pareiza darījuma kvalifikācija ir nozīmīga</w:t>
      </w:r>
      <w:r w:rsidR="00892FE0" w:rsidRPr="00D01CDE">
        <w:rPr>
          <w:lang w:eastAsia="lv-LV"/>
        </w:rPr>
        <w:t xml:space="preserve">, lai konstatētu, kādi rekvizīti ir jāiekļauj rēķinā. </w:t>
      </w:r>
      <w:r w:rsidR="00D13CD9" w:rsidRPr="00D01CDE">
        <w:rPr>
          <w:lang w:eastAsia="lv-LV"/>
        </w:rPr>
        <w:t>Līdz ar to tiesa ir nepamatoti secinājusi, ka rēķinos atsevišķi bija jānorāda, cik maksā prece un cik maksā darbs. Pamatojoties uz Līgumu</w:t>
      </w:r>
      <w:r w:rsidR="00854EB6" w:rsidRPr="00D01CDE">
        <w:rPr>
          <w:lang w:eastAsia="lv-LV"/>
        </w:rPr>
        <w:t>,</w:t>
      </w:r>
      <w:r w:rsidR="00D13CD9" w:rsidRPr="00D01CDE">
        <w:rPr>
          <w:lang w:eastAsia="lv-LV"/>
        </w:rPr>
        <w:t xml:space="preserve"> ir veikti konkrēti darbi – sniegti pakalpojumi, kuru gaita ir norādīta rēķiniem</w:t>
      </w:r>
      <w:r w:rsidR="00B76A1F" w:rsidRPr="00D01CDE">
        <w:rPr>
          <w:lang w:eastAsia="lv-LV"/>
        </w:rPr>
        <w:t xml:space="preserve"> pievienotajos progresa ziņojumos.</w:t>
      </w:r>
    </w:p>
    <w:p w14:paraId="5DA6B6B0" w14:textId="067AD22E" w:rsidR="00AD4A5E" w:rsidRPr="00D01CDE" w:rsidRDefault="00B76A1F" w:rsidP="00B76A1F">
      <w:pPr>
        <w:spacing w:line="276" w:lineRule="auto"/>
        <w:ind w:firstLine="567"/>
        <w:jc w:val="both"/>
        <w:rPr>
          <w:lang w:eastAsia="lv-LV"/>
        </w:rPr>
      </w:pPr>
      <w:r w:rsidRPr="00D01CDE">
        <w:rPr>
          <w:lang w:eastAsia="lv-LV"/>
        </w:rPr>
        <w:t>[4.3] Apgabaltiesa nav vērtējus</w:t>
      </w:r>
      <w:r w:rsidR="00075A94" w:rsidRPr="00D01CDE">
        <w:rPr>
          <w:lang w:eastAsia="lv-LV"/>
        </w:rPr>
        <w:t>i</w:t>
      </w:r>
      <w:r w:rsidRPr="00D01CDE">
        <w:rPr>
          <w:lang w:eastAsia="lv-LV"/>
        </w:rPr>
        <w:t xml:space="preserve"> dienesta </w:t>
      </w:r>
      <w:proofErr w:type="gramStart"/>
      <w:r w:rsidR="00075A94" w:rsidRPr="00D01CDE">
        <w:rPr>
          <w:lang w:eastAsia="lv-LV"/>
        </w:rPr>
        <w:t>2012.gada</w:t>
      </w:r>
      <w:proofErr w:type="gramEnd"/>
      <w:r w:rsidR="00075A94" w:rsidRPr="00D01CDE">
        <w:rPr>
          <w:lang w:eastAsia="lv-LV"/>
        </w:rPr>
        <w:t xml:space="preserve"> 27.aprīļa uzziņu Nr. 8.11-20/33613 </w:t>
      </w:r>
      <w:r w:rsidR="00075A94" w:rsidRPr="00597DFB">
        <w:rPr>
          <w:lang w:eastAsia="lv-LV"/>
        </w:rPr>
        <w:t>un tiesisko paļāvību, kas</w:t>
      </w:r>
      <w:r w:rsidR="00075A94" w:rsidRPr="00D01CDE">
        <w:rPr>
          <w:lang w:eastAsia="lv-LV"/>
        </w:rPr>
        <w:t xml:space="preserve"> pieteicējam radusies, pamatojoties uz minēto uzziņu.</w:t>
      </w:r>
    </w:p>
    <w:p w14:paraId="56549C6A" w14:textId="02001EEC" w:rsidR="00075A94" w:rsidRPr="00D01CDE" w:rsidRDefault="00075A94" w:rsidP="00B76A1F">
      <w:pPr>
        <w:spacing w:line="276" w:lineRule="auto"/>
        <w:ind w:firstLine="567"/>
        <w:jc w:val="both"/>
        <w:rPr>
          <w:lang w:eastAsia="lv-LV"/>
        </w:rPr>
      </w:pPr>
      <w:r w:rsidRPr="00D01CDE">
        <w:rPr>
          <w:lang w:eastAsia="lv-LV"/>
        </w:rPr>
        <w:t>Lietā starp pusēm nav bijis strīda par darījumu kā tādu, tāpēc tiesai to apšaubot</w:t>
      </w:r>
      <w:r w:rsidR="008945D8" w:rsidRPr="00D01CDE">
        <w:rPr>
          <w:lang w:eastAsia="lv-LV"/>
        </w:rPr>
        <w:t>, bija jāinformē pieteicējs, ka šāda informācija iztrūkst un jādod</w:t>
      </w:r>
      <w:r w:rsidR="00F84662" w:rsidRPr="00D01CDE">
        <w:rPr>
          <w:lang w:eastAsia="lv-LV"/>
        </w:rPr>
        <w:t xml:space="preserve"> laiks pieteicējam to iesniegt.</w:t>
      </w:r>
    </w:p>
    <w:p w14:paraId="5A49338C" w14:textId="0DB18FAA" w:rsidR="008945D8" w:rsidRPr="00D01CDE" w:rsidRDefault="008945D8" w:rsidP="00B76A1F">
      <w:pPr>
        <w:spacing w:line="276" w:lineRule="auto"/>
        <w:ind w:firstLine="567"/>
        <w:jc w:val="both"/>
        <w:rPr>
          <w:lang w:eastAsia="lv-LV"/>
        </w:rPr>
      </w:pPr>
      <w:r w:rsidRPr="00D01CDE">
        <w:rPr>
          <w:lang w:eastAsia="lv-LV"/>
        </w:rPr>
        <w:t xml:space="preserve">Tādējādi tiesa ir pārkāpusi Administratīvā procesa likuma </w:t>
      </w:r>
      <w:proofErr w:type="gramStart"/>
      <w:r w:rsidRPr="00D01CDE">
        <w:rPr>
          <w:lang w:eastAsia="lv-LV"/>
        </w:rPr>
        <w:t>10.pantu</w:t>
      </w:r>
      <w:proofErr w:type="gramEnd"/>
      <w:r w:rsidRPr="00D01CDE">
        <w:rPr>
          <w:lang w:eastAsia="lv-LV"/>
        </w:rPr>
        <w:t>, 107.panta ceturto daļu un 154.pantu.</w:t>
      </w:r>
    </w:p>
    <w:p w14:paraId="7EAF7B0C" w14:textId="3FDA4A75" w:rsidR="008945D8" w:rsidRPr="00D01CDE" w:rsidRDefault="008945D8" w:rsidP="008945D8">
      <w:pPr>
        <w:spacing w:line="276" w:lineRule="auto"/>
        <w:ind w:firstLine="567"/>
        <w:jc w:val="both"/>
        <w:rPr>
          <w:lang w:eastAsia="lv-LV"/>
        </w:rPr>
      </w:pPr>
      <w:r w:rsidRPr="00D01CDE">
        <w:rPr>
          <w:lang w:eastAsia="lv-LV"/>
        </w:rPr>
        <w:t xml:space="preserve">[4.4] Izvērtējot liecinieku liecības un nepārbaudot iesniegtos pierādījumus, apgabaltiesa ir pārkāpusi Administratīvā procesa likuma 107. un </w:t>
      </w:r>
      <w:proofErr w:type="gramStart"/>
      <w:r w:rsidRPr="00D01CDE">
        <w:rPr>
          <w:lang w:eastAsia="lv-LV"/>
        </w:rPr>
        <w:t>154.pantu</w:t>
      </w:r>
      <w:proofErr w:type="gramEnd"/>
      <w:r w:rsidRPr="00D01CDE">
        <w:rPr>
          <w:lang w:eastAsia="lv-LV"/>
        </w:rPr>
        <w:t>.</w:t>
      </w:r>
      <w:r w:rsidR="00F3306F" w:rsidRPr="00D01CDE">
        <w:rPr>
          <w:lang w:eastAsia="lv-LV"/>
        </w:rPr>
        <w:t xml:space="preserve"> </w:t>
      </w:r>
    </w:p>
    <w:p w14:paraId="346750EF" w14:textId="17361E8C" w:rsidR="00A523C0" w:rsidRPr="00D01CDE" w:rsidRDefault="00A523C0" w:rsidP="008945D8">
      <w:pPr>
        <w:spacing w:line="276" w:lineRule="auto"/>
        <w:ind w:firstLine="567"/>
        <w:jc w:val="both"/>
        <w:rPr>
          <w:lang w:eastAsia="lv-LV"/>
        </w:rPr>
      </w:pPr>
      <w:r w:rsidRPr="00D01CDE">
        <w:rPr>
          <w:lang w:eastAsia="lv-LV"/>
        </w:rPr>
        <w:t>Tiesa būtisku nozīmi piešķīrusi SIA „</w:t>
      </w:r>
      <w:proofErr w:type="spellStart"/>
      <w:r w:rsidRPr="00D01CDE">
        <w:rPr>
          <w:lang w:eastAsia="lv-LV"/>
        </w:rPr>
        <w:t>Alekon</w:t>
      </w:r>
      <w:proofErr w:type="spellEnd"/>
      <w:r w:rsidRPr="00D01CDE">
        <w:rPr>
          <w:lang w:eastAsia="lv-LV"/>
        </w:rPr>
        <w:t xml:space="preserve"> LV” pārstāvju sniegtajām liecībām, ignorējot citus pierādījumus lietā un nekonsekvenci SIA „</w:t>
      </w:r>
      <w:proofErr w:type="spellStart"/>
      <w:r w:rsidRPr="00D01CDE">
        <w:rPr>
          <w:lang w:eastAsia="lv-LV"/>
        </w:rPr>
        <w:t>Alekon</w:t>
      </w:r>
      <w:proofErr w:type="spellEnd"/>
      <w:r w:rsidRPr="00D01CDE">
        <w:rPr>
          <w:lang w:eastAsia="lv-LV"/>
        </w:rPr>
        <w:t xml:space="preserve"> LV” pārstāvju liecībās. Ar SIA „</w:t>
      </w:r>
      <w:proofErr w:type="spellStart"/>
      <w:r w:rsidRPr="00D01CDE">
        <w:rPr>
          <w:lang w:eastAsia="lv-LV"/>
        </w:rPr>
        <w:t>Alekon</w:t>
      </w:r>
      <w:proofErr w:type="spellEnd"/>
      <w:r w:rsidRPr="00D01CDE">
        <w:rPr>
          <w:lang w:eastAsia="lv-LV"/>
        </w:rPr>
        <w:t xml:space="preserve"> LV” pārstāvju liecībām tiesa pamatojusi secinājumus, ka pieteicējam jau sākotnēji vajadzēja zināt, ka rēķini sagatavojami bez pievienotās vērtības nodokļa un pieteicēj</w:t>
      </w:r>
      <w:r w:rsidR="00F97F6C" w:rsidRPr="00D01CDE">
        <w:rPr>
          <w:lang w:eastAsia="lv-LV"/>
        </w:rPr>
        <w:t>s</w:t>
      </w:r>
      <w:r w:rsidRPr="00D01CDE">
        <w:rPr>
          <w:lang w:eastAsia="lv-LV"/>
        </w:rPr>
        <w:t xml:space="preserve"> nav vei</w:t>
      </w:r>
      <w:r w:rsidR="00F97F6C" w:rsidRPr="00D01CDE">
        <w:rPr>
          <w:lang w:eastAsia="lv-LV"/>
        </w:rPr>
        <w:t>cis</w:t>
      </w:r>
      <w:r w:rsidRPr="00D01CDE">
        <w:rPr>
          <w:lang w:eastAsia="lv-LV"/>
        </w:rPr>
        <w:t xml:space="preserve"> aktīvas darbības, lai panāktu rēķinu labošanu.</w:t>
      </w:r>
    </w:p>
    <w:p w14:paraId="63BF1F99" w14:textId="013578F1" w:rsidR="00A523C0" w:rsidRPr="00D01CDE" w:rsidRDefault="00A523C0" w:rsidP="008945D8">
      <w:pPr>
        <w:spacing w:line="276" w:lineRule="auto"/>
        <w:ind w:firstLine="567"/>
        <w:jc w:val="both"/>
        <w:rPr>
          <w:lang w:eastAsia="lv-LV"/>
        </w:rPr>
      </w:pPr>
      <w:r w:rsidRPr="00D01CDE">
        <w:rPr>
          <w:lang w:eastAsia="lv-LV"/>
        </w:rPr>
        <w:lastRenderedPageBreak/>
        <w:t xml:space="preserve">Tiesa spriedumā apšauba, ka šāda apmēra līgums noslēgts bez atbilstoša juridiska izvērtējuma, vienlaikus ignorējot </w:t>
      </w:r>
      <w:proofErr w:type="gramStart"/>
      <w:r w:rsidR="00E6756C">
        <w:rPr>
          <w:lang w:eastAsia="lv-LV"/>
        </w:rPr>
        <w:t>[</w:t>
      </w:r>
      <w:proofErr w:type="gramEnd"/>
      <w:r w:rsidR="00E6756C">
        <w:rPr>
          <w:lang w:eastAsia="lv-LV"/>
        </w:rPr>
        <w:t>pers. A]</w:t>
      </w:r>
      <w:r w:rsidR="00F82264" w:rsidRPr="00D01CDE">
        <w:rPr>
          <w:lang w:eastAsia="lv-LV"/>
        </w:rPr>
        <w:t xml:space="preserve"> liecību, ka pieteicējam šis bija vienīgais šāda veida projekts Eiropas Savienībā.</w:t>
      </w:r>
    </w:p>
    <w:p w14:paraId="4E55648E" w14:textId="77777777" w:rsidR="007C126B" w:rsidRPr="00D01CDE" w:rsidRDefault="007C126B" w:rsidP="00A83A3A">
      <w:pPr>
        <w:spacing w:line="276" w:lineRule="auto"/>
        <w:ind w:firstLine="567"/>
        <w:jc w:val="both"/>
        <w:rPr>
          <w:lang w:eastAsia="lv-LV"/>
        </w:rPr>
      </w:pPr>
    </w:p>
    <w:p w14:paraId="7E974077" w14:textId="693494C0" w:rsidR="00166956" w:rsidRPr="00D01CDE" w:rsidRDefault="00166956" w:rsidP="0097079E">
      <w:pPr>
        <w:pStyle w:val="ATvirsraksts"/>
      </w:pPr>
      <w:bookmarkStart w:id="1" w:name="_Hlk43391917"/>
      <w:r w:rsidRPr="00D01CDE">
        <w:t>Motīvu daļa</w:t>
      </w:r>
    </w:p>
    <w:p w14:paraId="3ED9ECC7" w14:textId="1C8D2273" w:rsidR="005108C8" w:rsidRPr="00D01CDE" w:rsidRDefault="005108C8" w:rsidP="0097079E">
      <w:pPr>
        <w:spacing w:line="276" w:lineRule="auto"/>
        <w:ind w:firstLine="567"/>
        <w:jc w:val="both"/>
      </w:pPr>
    </w:p>
    <w:p w14:paraId="4B36A200" w14:textId="504D4695" w:rsidR="00980C95" w:rsidRPr="00D01CDE" w:rsidRDefault="0014526C" w:rsidP="00980C95">
      <w:pPr>
        <w:spacing w:line="276" w:lineRule="auto"/>
        <w:ind w:firstLine="567"/>
        <w:jc w:val="both"/>
        <w:rPr>
          <w:lang w:eastAsia="lv-LV"/>
        </w:rPr>
      </w:pPr>
      <w:bookmarkStart w:id="2" w:name="_Hlk38635985"/>
      <w:r w:rsidRPr="00D01CDE">
        <w:t>[5] </w:t>
      </w:r>
      <w:r w:rsidR="00980C95" w:rsidRPr="00D01CDE">
        <w:rPr>
          <w:lang w:eastAsia="lv-LV"/>
        </w:rPr>
        <w:t>Likuma „Par pievienotās vērtības nodokli” 12.</w:t>
      </w:r>
      <w:proofErr w:type="gramStart"/>
      <w:r w:rsidR="00980C95" w:rsidRPr="00D01CDE">
        <w:rPr>
          <w:vertAlign w:val="superscript"/>
          <w:lang w:eastAsia="lv-LV"/>
        </w:rPr>
        <w:t>5</w:t>
      </w:r>
      <w:r w:rsidR="00980C95" w:rsidRPr="00D01CDE">
        <w:rPr>
          <w:lang w:eastAsia="lv-LV"/>
        </w:rPr>
        <w:t>panta</w:t>
      </w:r>
      <w:proofErr w:type="gramEnd"/>
      <w:r w:rsidR="00980C95" w:rsidRPr="00D01CDE">
        <w:rPr>
          <w:lang w:eastAsia="lv-LV"/>
        </w:rPr>
        <w:t xml:space="preserve"> pirmā daļa noteic, ka citas dalībvalsts apliekamajai personai atmaksā samaksāto nodokli par iekšzemē iegādātajām precēm, saņemtajiem pakalpojumiem un par preču importu apliekamo darījumu nodrošināšanai citā dalībvalstī, ja laika periodā, par kuru pieprasa atmaksāt nodokli, šī persona: 1)</w:t>
      </w:r>
      <w:r w:rsidR="00184890" w:rsidRPr="00D01CDE">
        <w:rPr>
          <w:lang w:eastAsia="lv-LV"/>
        </w:rPr>
        <w:t> </w:t>
      </w:r>
      <w:r w:rsidR="00980C95" w:rsidRPr="00D01CDE">
        <w:rPr>
          <w:lang w:eastAsia="lv-LV"/>
        </w:rPr>
        <w:t>ir bijusi reģistrēta citas dalībvalsts ar pievienotās vērtības nodokli apliekamo personu reģistrā; 2)</w:t>
      </w:r>
      <w:r w:rsidR="00184890" w:rsidRPr="00D01CDE">
        <w:rPr>
          <w:lang w:eastAsia="lv-LV"/>
        </w:rPr>
        <w:t> </w:t>
      </w:r>
      <w:r w:rsidR="00980C95" w:rsidRPr="00D01CDE">
        <w:rPr>
          <w:lang w:eastAsia="lv-LV"/>
        </w:rPr>
        <w:t>nav veikusi saskaņā ar spēkā esošajiem normatīvajiem aktiem reģistrējamu saimniecisko darbību iekšzemē; 3)</w:t>
      </w:r>
      <w:r w:rsidR="00184890" w:rsidRPr="00D01CDE">
        <w:rPr>
          <w:lang w:eastAsia="lv-LV"/>
        </w:rPr>
        <w:t> </w:t>
      </w:r>
      <w:r w:rsidR="00980C95" w:rsidRPr="00D01CDE">
        <w:rPr>
          <w:lang w:eastAsia="lv-LV"/>
        </w:rPr>
        <w:t xml:space="preserve">nav veikusi iekšzemē apliekamus darījumus, kuru veikšanai būtu jāreģistrējas </w:t>
      </w:r>
      <w:r w:rsidR="006819FD" w:rsidRPr="00D01CDE">
        <w:rPr>
          <w:lang w:eastAsia="lv-LV"/>
        </w:rPr>
        <w:t>d</w:t>
      </w:r>
      <w:r w:rsidR="00980C95" w:rsidRPr="00D01CDE">
        <w:rPr>
          <w:lang w:eastAsia="lv-LV"/>
        </w:rPr>
        <w:t>ienesta ar pievienotās vērtības nodo</w:t>
      </w:r>
      <w:r w:rsidR="007C6282" w:rsidRPr="00D01CDE">
        <w:rPr>
          <w:lang w:eastAsia="lv-LV"/>
        </w:rPr>
        <w:t>kli apliekamo personu reģistrā.</w:t>
      </w:r>
    </w:p>
    <w:p w14:paraId="09F1AADA" w14:textId="12C75348" w:rsidR="00980C95" w:rsidRPr="00D01CDE" w:rsidRDefault="00980C95" w:rsidP="00980C95">
      <w:pPr>
        <w:spacing w:line="276" w:lineRule="auto"/>
        <w:ind w:firstLine="567"/>
        <w:jc w:val="both"/>
        <w:rPr>
          <w:lang w:eastAsia="lv-LV"/>
        </w:rPr>
      </w:pPr>
      <w:r w:rsidRPr="00D01CDE">
        <w:rPr>
          <w:lang w:eastAsia="lv-LV"/>
        </w:rPr>
        <w:t>Uz likuma „Par pievienotās vērtības nodokli” 12.</w:t>
      </w:r>
      <w:proofErr w:type="gramStart"/>
      <w:r w:rsidRPr="00D01CDE">
        <w:rPr>
          <w:vertAlign w:val="superscript"/>
          <w:lang w:eastAsia="lv-LV"/>
        </w:rPr>
        <w:t>5</w:t>
      </w:r>
      <w:r w:rsidRPr="00D01CDE">
        <w:rPr>
          <w:lang w:eastAsia="lv-LV"/>
        </w:rPr>
        <w:t>panta</w:t>
      </w:r>
      <w:proofErr w:type="gramEnd"/>
      <w:r w:rsidRPr="00D01CDE">
        <w:rPr>
          <w:lang w:eastAsia="lv-LV"/>
        </w:rPr>
        <w:t xml:space="preserve"> otrās daļas pamata izdoti noteikumi Nr.</w:t>
      </w:r>
      <w:r w:rsidR="00184890" w:rsidRPr="00D01CDE">
        <w:rPr>
          <w:lang w:eastAsia="lv-LV"/>
        </w:rPr>
        <w:t> </w:t>
      </w:r>
      <w:r w:rsidRPr="00D01CDE">
        <w:rPr>
          <w:lang w:eastAsia="lv-LV"/>
        </w:rPr>
        <w:t>1639, kas nosaka kārtību, kādā atmaksā pievienotās vērtības nodokli citas Eiropas Savienības dalībvalsts apliekamai personai. Noteikumu Nr.</w:t>
      </w:r>
      <w:r w:rsidR="00C33832" w:rsidRPr="00D01CDE">
        <w:rPr>
          <w:lang w:eastAsia="lv-LV"/>
        </w:rPr>
        <w:t> </w:t>
      </w:r>
      <w:r w:rsidRPr="00D01CDE">
        <w:rPr>
          <w:lang w:eastAsia="lv-LV"/>
        </w:rPr>
        <w:t>1639 29.1.apakšpunkts paredz, ka nodokli neatmaksā, ja atmaksu pieprasa par nodokļa summu, kura norādīta nodokļa rēķinā, kas neatbilst likuma „Par pievienotās vērtības nodokli” prasībām.</w:t>
      </w:r>
    </w:p>
    <w:p w14:paraId="0940A4D8" w14:textId="7FCBC87A" w:rsidR="00C33832" w:rsidRPr="00D01CDE" w:rsidRDefault="00C33832" w:rsidP="00C33832">
      <w:pPr>
        <w:spacing w:line="276" w:lineRule="auto"/>
        <w:ind w:firstLine="567"/>
        <w:jc w:val="both"/>
        <w:rPr>
          <w:lang w:eastAsia="lv-LV"/>
        </w:rPr>
      </w:pPr>
      <w:r w:rsidRPr="00D01CDE">
        <w:rPr>
          <w:lang w:eastAsia="lv-LV"/>
        </w:rPr>
        <w:t>Saskaņā ar likuma „Par pievienotās vērtības nodokli” 4.</w:t>
      </w:r>
      <w:proofErr w:type="gramStart"/>
      <w:r w:rsidRPr="00D01CDE">
        <w:rPr>
          <w:vertAlign w:val="superscript"/>
          <w:lang w:eastAsia="lv-LV"/>
        </w:rPr>
        <w:t>1</w:t>
      </w:r>
      <w:r w:rsidRPr="00D01CDE">
        <w:rPr>
          <w:lang w:eastAsia="lv-LV"/>
        </w:rPr>
        <w:t>panta</w:t>
      </w:r>
      <w:proofErr w:type="gramEnd"/>
      <w:r w:rsidRPr="00D01CDE">
        <w:rPr>
          <w:lang w:eastAsia="lv-LV"/>
        </w:rPr>
        <w:t xml:space="preserve"> otro daļu pakalpojuma sniegšanas vietu Eiropas Savienības teritorijā nosaka saskaņā ar šo pantu, ja šā likuma VI nodaļā nav noteikts citādi. Likuma 4.</w:t>
      </w:r>
      <w:proofErr w:type="gramStart"/>
      <w:r w:rsidRPr="00D01CDE">
        <w:rPr>
          <w:vertAlign w:val="superscript"/>
          <w:lang w:eastAsia="lv-LV"/>
        </w:rPr>
        <w:t>1</w:t>
      </w:r>
      <w:r w:rsidRPr="00D01CDE">
        <w:rPr>
          <w:lang w:eastAsia="lv-LV"/>
        </w:rPr>
        <w:t>panta</w:t>
      </w:r>
      <w:proofErr w:type="gramEnd"/>
      <w:r w:rsidRPr="00D01CDE">
        <w:rPr>
          <w:lang w:eastAsia="lv-LV"/>
        </w:rPr>
        <w:t xml:space="preserve"> ceturtās daļas 1.punkts noteic, ja pakalpojums tiek sniegts jebkurai personai, kas veic saimniecisko darbību, pakalpojuma sniegšanas vieta, ja šajā pantā nav noteikts citādi, ir pakalpojuma saņēmēja saimnieciskās darbības mītnes vieta.</w:t>
      </w:r>
    </w:p>
    <w:p w14:paraId="2330F9E1" w14:textId="13BCC82D" w:rsidR="007C1505" w:rsidRPr="00D01CDE" w:rsidRDefault="00C33832" w:rsidP="0054229E">
      <w:pPr>
        <w:spacing w:line="276" w:lineRule="auto"/>
        <w:ind w:firstLine="567"/>
        <w:jc w:val="both"/>
        <w:rPr>
          <w:lang w:eastAsia="lv-LV"/>
        </w:rPr>
      </w:pPr>
      <w:r w:rsidRPr="00D01CDE">
        <w:rPr>
          <w:lang w:eastAsia="lv-LV"/>
        </w:rPr>
        <w:t>Pieteicējam ir atteikts atmaksāt SIA „</w:t>
      </w:r>
      <w:proofErr w:type="spellStart"/>
      <w:r w:rsidRPr="00D01CDE">
        <w:rPr>
          <w:lang w:eastAsia="lv-LV"/>
        </w:rPr>
        <w:t>Alekon</w:t>
      </w:r>
      <w:proofErr w:type="spellEnd"/>
      <w:r w:rsidRPr="00D01CDE">
        <w:rPr>
          <w:lang w:eastAsia="lv-LV"/>
        </w:rPr>
        <w:t xml:space="preserve"> LV” rēķinos norādīto pievienotās vērtības nodokli, pamatojoties uz noteikumu Nr. 1639 29.1.apakšpunktu,</w:t>
      </w:r>
      <w:r w:rsidR="007C1505" w:rsidRPr="00D01CDE">
        <w:rPr>
          <w:lang w:eastAsia="lv-LV"/>
        </w:rPr>
        <w:t xml:space="preserve"> jo</w:t>
      </w:r>
      <w:r w:rsidR="00AC21CB" w:rsidRPr="00D01CDE">
        <w:rPr>
          <w:lang w:eastAsia="lv-LV"/>
        </w:rPr>
        <w:t xml:space="preserve"> pieteicējs ir Vācijā reģistrēts komersants </w:t>
      </w:r>
      <w:r w:rsidR="008B2C38" w:rsidRPr="00D01CDE">
        <w:rPr>
          <w:lang w:eastAsia="lv-LV"/>
        </w:rPr>
        <w:t xml:space="preserve">un </w:t>
      </w:r>
      <w:r w:rsidR="00AC21CB" w:rsidRPr="00D01CDE">
        <w:rPr>
          <w:lang w:eastAsia="lv-LV"/>
        </w:rPr>
        <w:t>par pakalpojumu sniegšanas vietu ir uzskatāma Vācija</w:t>
      </w:r>
      <w:r w:rsidR="007C1505" w:rsidRPr="00D01CDE">
        <w:rPr>
          <w:lang w:eastAsia="lv-LV"/>
        </w:rPr>
        <w:t>, kas nozīmē, ka šādā gadījumā pakalpojumam Latvijā nepiemēro pievienotās vērtības nodokli</w:t>
      </w:r>
      <w:r w:rsidR="00A9523B" w:rsidRPr="00D01CDE">
        <w:rPr>
          <w:lang w:eastAsia="lv-LV"/>
        </w:rPr>
        <w:t>, bet pievienotās vērtības nodoklis maksājams Vācijā</w:t>
      </w:r>
      <w:r w:rsidR="00AC21CB" w:rsidRPr="00D01CDE">
        <w:rPr>
          <w:lang w:eastAsia="lv-LV"/>
        </w:rPr>
        <w:t>.</w:t>
      </w:r>
    </w:p>
    <w:p w14:paraId="45855870" w14:textId="052931F0" w:rsidR="007C1505" w:rsidRPr="00D01CDE" w:rsidRDefault="006819FD" w:rsidP="007C1505">
      <w:pPr>
        <w:spacing w:line="276" w:lineRule="auto"/>
        <w:ind w:firstLine="567"/>
        <w:jc w:val="both"/>
        <w:rPr>
          <w:lang w:eastAsia="lv-LV"/>
        </w:rPr>
      </w:pPr>
      <w:r w:rsidRPr="00D01CDE">
        <w:rPr>
          <w:lang w:eastAsia="lv-LV"/>
        </w:rPr>
        <w:t xml:space="preserve">No minētā secināms, ka </w:t>
      </w:r>
      <w:r w:rsidR="007C1505" w:rsidRPr="00D01CDE">
        <w:rPr>
          <w:lang w:eastAsia="lv-LV"/>
        </w:rPr>
        <w:t>pieteicēja</w:t>
      </w:r>
      <w:r w:rsidRPr="00D01CDE">
        <w:rPr>
          <w:lang w:eastAsia="lv-LV"/>
        </w:rPr>
        <w:t xml:space="preserve"> pievienotās vērtības nodokļa</w:t>
      </w:r>
      <w:r w:rsidR="007C1505" w:rsidRPr="00D01CDE">
        <w:rPr>
          <w:lang w:eastAsia="lv-LV"/>
        </w:rPr>
        <w:t xml:space="preserve"> </w:t>
      </w:r>
      <w:r w:rsidR="007C1505" w:rsidRPr="00D01CDE">
        <w:t xml:space="preserve">atmaksas pieprasījums </w:t>
      </w:r>
      <w:r w:rsidRPr="00D01CDE">
        <w:t xml:space="preserve">ir </w:t>
      </w:r>
      <w:r w:rsidR="007C1505" w:rsidRPr="00D01CDE">
        <w:t>balstīts uz tādu kļūdaini veiktu nodokļa maksājumu, ko noteicis kļūdaini izrakstīts rēķins</w:t>
      </w:r>
      <w:r w:rsidRPr="00D01CDE">
        <w:t>, p</w:t>
      </w:r>
      <w:r w:rsidR="007C1505" w:rsidRPr="00D01CDE">
        <w:t xml:space="preserve">roti, </w:t>
      </w:r>
      <w:r w:rsidR="007C1505" w:rsidRPr="00D01CDE">
        <w:rPr>
          <w:lang w:eastAsia="lv-LV"/>
        </w:rPr>
        <w:t>SIA „</w:t>
      </w:r>
      <w:proofErr w:type="spellStart"/>
      <w:r w:rsidR="007C1505" w:rsidRPr="00D01CDE">
        <w:rPr>
          <w:lang w:eastAsia="lv-LV"/>
        </w:rPr>
        <w:t>Alekon</w:t>
      </w:r>
      <w:proofErr w:type="spellEnd"/>
      <w:r w:rsidR="007C1505" w:rsidRPr="00D01CDE">
        <w:rPr>
          <w:lang w:eastAsia="lv-LV"/>
        </w:rPr>
        <w:t xml:space="preserve"> LV” rēķinos</w:t>
      </w:r>
      <w:r w:rsidRPr="00D01CDE">
        <w:rPr>
          <w:lang w:eastAsia="lv-LV"/>
        </w:rPr>
        <w:t xml:space="preserve"> par sniegto pakalpojumu</w:t>
      </w:r>
      <w:r w:rsidR="007C1505" w:rsidRPr="00D01CDE">
        <w:rPr>
          <w:lang w:eastAsia="lv-LV"/>
        </w:rPr>
        <w:t xml:space="preserve"> nepamatoti norādīts</w:t>
      </w:r>
      <w:r w:rsidR="007C6282" w:rsidRPr="00D01CDE">
        <w:rPr>
          <w:lang w:eastAsia="lv-LV"/>
        </w:rPr>
        <w:t xml:space="preserve"> pievienotās vērtības nodoklis.</w:t>
      </w:r>
    </w:p>
    <w:p w14:paraId="7708D3E6" w14:textId="12B88824" w:rsidR="00A9523B" w:rsidRPr="00D01CDE" w:rsidRDefault="00A9523B" w:rsidP="007C1505">
      <w:pPr>
        <w:spacing w:line="276" w:lineRule="auto"/>
        <w:ind w:firstLine="567"/>
        <w:jc w:val="both"/>
        <w:rPr>
          <w:lang w:eastAsia="lv-LV"/>
        </w:rPr>
      </w:pPr>
    </w:p>
    <w:p w14:paraId="4C4B9948" w14:textId="0EE199CC" w:rsidR="00A9523B" w:rsidRPr="00D01CDE" w:rsidRDefault="006D6BC9" w:rsidP="007C1505">
      <w:pPr>
        <w:spacing w:line="276" w:lineRule="auto"/>
        <w:ind w:firstLine="567"/>
        <w:jc w:val="both"/>
      </w:pPr>
      <w:r w:rsidRPr="00D01CDE">
        <w:t>[6] Eiropas Savienības Tiesa lietā, kuras faktiskie apstākļi līdzīgi izskatāmajai lietai (Vācijā reģistrētam komersant</w:t>
      </w:r>
      <w:r w:rsidR="00A00361" w:rsidRPr="00D01CDE">
        <w:t>am</w:t>
      </w:r>
      <w:r w:rsidRPr="00D01CDE">
        <w:t xml:space="preserve"> sniedza pakalpojumu Itālijā reģistrēts komersants, kurš kļūdaini izrakstīja pievienotās vērtības nodokļa rēķinu, lai gan tas Itālijā nebija piemēroj</w:t>
      </w:r>
      <w:r w:rsidR="00A00361" w:rsidRPr="00D01CDE">
        <w:t xml:space="preserve">ams, bet bija maksājams Vācijā), norādīja, ka tiesības uz pievienotās vērtības nodokļa atskaitīšanu attiecas tikai uz maksājamiem nodokļiem, t.i., uz nodokļiem, kas atbilst kādai ar pievienotās vērtības nodokli </w:t>
      </w:r>
      <w:r w:rsidR="00171969" w:rsidRPr="00D01CDE">
        <w:t>apliekamai darbībai vai kas ir samaksāti tādēļ, ka tie ir bijuši jāmaksā. Tādēļ šīs tiesības uz atmaksāšanu neattiecas uz tādu pievienotās vērtības nodokli, kas atbilstoši Sestās direktīvas 21.panta 1.punkta „c” apakšpunktam ir maksājams tika</w:t>
      </w:r>
      <w:r w:rsidR="007C6282" w:rsidRPr="00D01CDE">
        <w:t>i</w:t>
      </w:r>
      <w:r w:rsidR="00171969" w:rsidRPr="00D01CDE">
        <w:t xml:space="preserve"> tādēļ, ka tas ir norādīts rēķinā</w:t>
      </w:r>
      <w:r w:rsidR="002238F8" w:rsidRPr="00D01CDE">
        <w:t xml:space="preserve"> (</w:t>
      </w:r>
      <w:r w:rsidR="002238F8" w:rsidRPr="00D01CDE">
        <w:rPr>
          <w:i/>
          <w:iCs/>
        </w:rPr>
        <w:t xml:space="preserve">šobrīd analoģisks regulējums ir ietverts Direktīvas 2006/112/EK </w:t>
      </w:r>
      <w:r w:rsidR="002238F8" w:rsidRPr="00D01CDE">
        <w:rPr>
          <w:i/>
          <w:iCs/>
          <w:lang w:eastAsia="lv-LV"/>
        </w:rPr>
        <w:t>203.pantā, ka pievienotās vērtības nodokli maksā ikviena persona, kura pievienotās vērtības nodokli norāda rēķinā</w:t>
      </w:r>
      <w:r w:rsidR="002238F8" w:rsidRPr="00D01CDE">
        <w:rPr>
          <w:lang w:eastAsia="lv-LV"/>
        </w:rPr>
        <w:t>) (</w:t>
      </w:r>
      <w:r w:rsidR="002238F8" w:rsidRPr="00D01CDE">
        <w:rPr>
          <w:i/>
          <w:iCs/>
          <w:lang w:eastAsia="lv-LV"/>
        </w:rPr>
        <w:t>Eiropas Savienības Tiesas 2007.gada 15.marta spriedum</w:t>
      </w:r>
      <w:r w:rsidR="006819FD" w:rsidRPr="00D01CDE">
        <w:rPr>
          <w:i/>
          <w:iCs/>
          <w:lang w:eastAsia="lv-LV"/>
        </w:rPr>
        <w:t>a</w:t>
      </w:r>
      <w:r w:rsidR="002238F8" w:rsidRPr="00D01CDE">
        <w:rPr>
          <w:i/>
          <w:iCs/>
          <w:lang w:eastAsia="lv-LV"/>
        </w:rPr>
        <w:t xml:space="preserve"> lietā C-35/05 </w:t>
      </w:r>
      <w:proofErr w:type="spellStart"/>
      <w:r w:rsidR="007138D2" w:rsidRPr="00D01CDE">
        <w:rPr>
          <w:i/>
          <w:iCs/>
          <w:lang w:eastAsia="lv-LV"/>
        </w:rPr>
        <w:t>Reemtsma</w:t>
      </w:r>
      <w:proofErr w:type="spellEnd"/>
      <w:r w:rsidR="007138D2" w:rsidRPr="00D01CDE">
        <w:rPr>
          <w:i/>
          <w:iCs/>
          <w:lang w:eastAsia="lv-LV"/>
        </w:rPr>
        <w:t xml:space="preserve"> </w:t>
      </w:r>
      <w:proofErr w:type="spellStart"/>
      <w:r w:rsidR="007138D2" w:rsidRPr="00D01CDE">
        <w:rPr>
          <w:i/>
          <w:iCs/>
          <w:lang w:eastAsia="lv-LV"/>
        </w:rPr>
        <w:t>Cigarettenfabriken</w:t>
      </w:r>
      <w:proofErr w:type="spellEnd"/>
      <w:r w:rsidR="002238F8" w:rsidRPr="00D01CDE">
        <w:rPr>
          <w:i/>
          <w:iCs/>
          <w:lang w:eastAsia="lv-LV"/>
        </w:rPr>
        <w:t xml:space="preserve">, </w:t>
      </w:r>
      <w:hyperlink r:id="rId8" w:history="1">
        <w:r w:rsidR="002238F8" w:rsidRPr="00D01CDE">
          <w:rPr>
            <w:rStyle w:val="Hyperlink"/>
            <w:i/>
            <w:iCs/>
            <w:color w:val="auto"/>
            <w:u w:val="none"/>
            <w:lang w:eastAsia="lv-LV"/>
          </w:rPr>
          <w:t>ECLI:EU:C:20</w:t>
        </w:r>
        <w:r w:rsidR="007138D2" w:rsidRPr="00D01CDE">
          <w:rPr>
            <w:rStyle w:val="Hyperlink"/>
            <w:i/>
            <w:iCs/>
            <w:color w:val="auto"/>
            <w:u w:val="none"/>
            <w:lang w:eastAsia="lv-LV"/>
          </w:rPr>
          <w:t>07</w:t>
        </w:r>
        <w:r w:rsidR="002238F8" w:rsidRPr="00D01CDE">
          <w:rPr>
            <w:rStyle w:val="Hyperlink"/>
            <w:i/>
            <w:iCs/>
            <w:color w:val="auto"/>
            <w:u w:val="none"/>
            <w:lang w:eastAsia="lv-LV"/>
          </w:rPr>
          <w:t>:</w:t>
        </w:r>
        <w:r w:rsidR="007138D2" w:rsidRPr="00D01CDE">
          <w:rPr>
            <w:rStyle w:val="Hyperlink"/>
            <w:i/>
            <w:iCs/>
            <w:color w:val="auto"/>
            <w:u w:val="none"/>
            <w:lang w:eastAsia="lv-LV"/>
          </w:rPr>
          <w:t>167</w:t>
        </w:r>
      </w:hyperlink>
      <w:r w:rsidR="002238F8" w:rsidRPr="00D01CDE">
        <w:rPr>
          <w:i/>
          <w:iCs/>
          <w:lang w:eastAsia="lv-LV"/>
        </w:rPr>
        <w:t xml:space="preserve">, </w:t>
      </w:r>
      <w:r w:rsidR="007138D2" w:rsidRPr="00D01CDE">
        <w:rPr>
          <w:i/>
          <w:iCs/>
          <w:lang w:eastAsia="lv-LV"/>
        </w:rPr>
        <w:t>23</w:t>
      </w:r>
      <w:r w:rsidR="002238F8" w:rsidRPr="00D01CDE">
        <w:rPr>
          <w:i/>
          <w:iCs/>
          <w:lang w:eastAsia="lv-LV"/>
        </w:rPr>
        <w:t>.punkts</w:t>
      </w:r>
      <w:r w:rsidR="007138D2" w:rsidRPr="00D01CDE">
        <w:rPr>
          <w:i/>
          <w:iCs/>
          <w:lang w:eastAsia="lv-LV"/>
        </w:rPr>
        <w:t xml:space="preserve"> un tajā minētā judikatūra</w:t>
      </w:r>
      <w:r w:rsidR="002238F8" w:rsidRPr="00D01CDE">
        <w:rPr>
          <w:lang w:eastAsia="lv-LV"/>
        </w:rPr>
        <w:t xml:space="preserve">). </w:t>
      </w:r>
      <w:r w:rsidR="007138D2" w:rsidRPr="00D01CDE">
        <w:rPr>
          <w:lang w:eastAsia="lv-LV"/>
        </w:rPr>
        <w:t xml:space="preserve">Tādēļ nav </w:t>
      </w:r>
      <w:r w:rsidR="007138D2" w:rsidRPr="00D01CDE">
        <w:rPr>
          <w:lang w:eastAsia="lv-LV"/>
        </w:rPr>
        <w:lastRenderedPageBreak/>
        <w:t>iespējams atmaksāt pievienotās vērtības nodokli, kas nebija maksājams un par kuru pakalpojuma saņēmējam tika kļūdaini izrakstīts rēķins, un kas tika iemaksāts šo pakalpojumu sniegšanas vietas valsts kasē (</w:t>
      </w:r>
      <w:r w:rsidR="007138D2" w:rsidRPr="00D01CDE">
        <w:rPr>
          <w:i/>
          <w:iCs/>
          <w:lang w:eastAsia="lv-LV"/>
        </w:rPr>
        <w:t>turpat 28.punkts</w:t>
      </w:r>
      <w:r w:rsidR="007138D2" w:rsidRPr="00D01CDE">
        <w:rPr>
          <w:lang w:eastAsia="lv-LV"/>
        </w:rPr>
        <w:t>).</w:t>
      </w:r>
      <w:r w:rsidR="00171969" w:rsidRPr="00D01CDE">
        <w:t xml:space="preserve"> </w:t>
      </w:r>
    </w:p>
    <w:p w14:paraId="1DFF1C2D" w14:textId="7FD5F315" w:rsidR="0096545D" w:rsidRPr="00D01CDE" w:rsidRDefault="0096545D" w:rsidP="007C1505">
      <w:pPr>
        <w:spacing w:line="276" w:lineRule="auto"/>
        <w:ind w:firstLine="567"/>
        <w:jc w:val="both"/>
      </w:pPr>
      <w:r w:rsidRPr="00D01CDE">
        <w:t>Tādējādi pa</w:t>
      </w:r>
      <w:r w:rsidR="00C875FE" w:rsidRPr="00D01CDE">
        <w:t>reizs</w:t>
      </w:r>
      <w:r w:rsidRPr="00D01CDE">
        <w:t xml:space="preserve"> </w:t>
      </w:r>
      <w:r w:rsidR="00F97F6C" w:rsidRPr="00D01CDE">
        <w:t xml:space="preserve">ir </w:t>
      </w:r>
      <w:r w:rsidRPr="00D01CDE">
        <w:t>apgabaltiesas secinājum</w:t>
      </w:r>
      <w:r w:rsidR="00C875FE" w:rsidRPr="00D01CDE">
        <w:t>s</w:t>
      </w:r>
      <w:r w:rsidRPr="00D01CDE">
        <w:t>, ka pieteicējam</w:t>
      </w:r>
      <w:r w:rsidR="00C875FE" w:rsidRPr="00D01CDE">
        <w:t xml:space="preserve">, pamatoties uz iepriekšējā punktā minētajām tiesību normām, </w:t>
      </w:r>
      <w:r w:rsidRPr="00D01CDE">
        <w:t>nav tiesību prasīt atmaksāt</w:t>
      </w:r>
      <w:r w:rsidR="00AD726B" w:rsidRPr="00D01CDE">
        <w:t xml:space="preserve"> no budžeta</w:t>
      </w:r>
      <w:r w:rsidRPr="00D01CDE">
        <w:t xml:space="preserve"> </w:t>
      </w:r>
      <w:r w:rsidR="006B1448" w:rsidRPr="00D01CDE">
        <w:rPr>
          <w:lang w:eastAsia="lv-LV"/>
        </w:rPr>
        <w:t>SIA „</w:t>
      </w:r>
      <w:proofErr w:type="spellStart"/>
      <w:r w:rsidR="006B1448" w:rsidRPr="00D01CDE">
        <w:rPr>
          <w:lang w:eastAsia="lv-LV"/>
        </w:rPr>
        <w:t>Alekon</w:t>
      </w:r>
      <w:proofErr w:type="spellEnd"/>
      <w:r w:rsidR="006B1448" w:rsidRPr="00D01CDE">
        <w:rPr>
          <w:lang w:eastAsia="lv-LV"/>
        </w:rPr>
        <w:t xml:space="preserve"> LV” </w:t>
      </w:r>
      <w:r w:rsidR="006B1448" w:rsidRPr="00D01CDE">
        <w:t>rēķinos norādīto pievienotās vērtības nodokli, kas nebija maksājams, bet tika kļūdaini norādīts rēķinos.</w:t>
      </w:r>
    </w:p>
    <w:p w14:paraId="373888B2" w14:textId="0B168644" w:rsidR="006B1448" w:rsidRPr="00D01CDE" w:rsidRDefault="006B1448" w:rsidP="007C1505">
      <w:pPr>
        <w:spacing w:line="276" w:lineRule="auto"/>
        <w:ind w:firstLine="567"/>
        <w:jc w:val="both"/>
      </w:pPr>
    </w:p>
    <w:p w14:paraId="067C6972" w14:textId="0817AE02" w:rsidR="00720561" w:rsidRPr="00D01CDE" w:rsidRDefault="006B1448" w:rsidP="00720561">
      <w:pPr>
        <w:spacing w:line="276" w:lineRule="auto"/>
        <w:ind w:firstLine="567"/>
        <w:jc w:val="both"/>
        <w:rPr>
          <w:lang w:eastAsia="lv-LV"/>
        </w:rPr>
      </w:pPr>
      <w:r w:rsidRPr="00D01CDE">
        <w:t>[7]</w:t>
      </w:r>
      <w:r w:rsidR="00593DCD" w:rsidRPr="00D01CDE">
        <w:t> </w:t>
      </w:r>
      <w:r w:rsidR="001F7699" w:rsidRPr="00D01CDE">
        <w:t xml:space="preserve">Vienlaikus </w:t>
      </w:r>
      <w:r w:rsidR="00720561" w:rsidRPr="00D01CDE">
        <w:t xml:space="preserve">Senāts jau iepriekšējā spriedumā šajā lietā norādīja, ka </w:t>
      </w:r>
      <w:r w:rsidR="00976E04" w:rsidRPr="00D01CDE">
        <w:t>Eiropas Savienības Tiesa</w:t>
      </w:r>
      <w:r w:rsidR="00720561" w:rsidRPr="00D01CDE">
        <w:t>s judikatūrā ir atzīt</w:t>
      </w:r>
      <w:r w:rsidR="006819FD" w:rsidRPr="00D01CDE">
        <w:t>s</w:t>
      </w:r>
      <w:r w:rsidR="00720561" w:rsidRPr="00D01CDE">
        <w:t xml:space="preserve">, ka </w:t>
      </w:r>
      <w:r w:rsidR="00796090" w:rsidRPr="00D01CDE">
        <w:t xml:space="preserve">Direktīvā 2006/112/EK nav paredzēta neviena norma par pievienotās vērtības nodokļa, par kuru kļūdaini izrakstīts rēķins, korekciju no rēķina izrakstītāja puses, un šādos apstākļos </w:t>
      </w:r>
      <w:r w:rsidR="00720561" w:rsidRPr="00D01CDE">
        <w:t>d</w:t>
      </w:r>
      <w:r w:rsidR="00720561" w:rsidRPr="00D01CDE">
        <w:rPr>
          <w:lang w:eastAsia="lv-LV"/>
        </w:rPr>
        <w:t>alībvalstīm ir jāparedz nosacījumi, kādos pievienotās vērtības nodoklis, par kuru ir kļūdaini izrakstīts rēķins, varētu tikt koriģēts (</w:t>
      </w:r>
      <w:r w:rsidR="00720561" w:rsidRPr="00D01CDE">
        <w:rPr>
          <w:i/>
          <w:iCs/>
          <w:lang w:eastAsia="lv-LV"/>
        </w:rPr>
        <w:t xml:space="preserve">Eiropas Savienības Tiesas </w:t>
      </w:r>
      <w:r w:rsidR="001D7E49" w:rsidRPr="00D01CDE">
        <w:rPr>
          <w:i/>
          <w:iCs/>
          <w:lang w:eastAsia="lv-LV"/>
        </w:rPr>
        <w:t xml:space="preserve">2013.gada 11.aprīļa sprieduma lietā C‑138/12 </w:t>
      </w:r>
      <w:proofErr w:type="spellStart"/>
      <w:r w:rsidR="001D7E49" w:rsidRPr="00D01CDE">
        <w:rPr>
          <w:i/>
          <w:iCs/>
          <w:lang w:eastAsia="lv-LV"/>
        </w:rPr>
        <w:t>Rusedespred</w:t>
      </w:r>
      <w:proofErr w:type="spellEnd"/>
      <w:r w:rsidR="001D7E49" w:rsidRPr="00D01CDE">
        <w:rPr>
          <w:i/>
          <w:iCs/>
          <w:lang w:eastAsia="lv-LV"/>
        </w:rPr>
        <w:t xml:space="preserve">, </w:t>
      </w:r>
      <w:hyperlink r:id="rId9" w:history="1">
        <w:r w:rsidR="001D7E49" w:rsidRPr="00D01CDE">
          <w:rPr>
            <w:rStyle w:val="Hyperlink"/>
            <w:i/>
            <w:iCs/>
            <w:color w:val="auto"/>
            <w:u w:val="none"/>
            <w:lang w:eastAsia="lv-LV"/>
          </w:rPr>
          <w:t>ECLI:EU:C:2013:233</w:t>
        </w:r>
      </w:hyperlink>
      <w:r w:rsidR="001D7E49" w:rsidRPr="00D01CDE">
        <w:rPr>
          <w:i/>
          <w:iCs/>
          <w:lang w:eastAsia="lv-LV"/>
        </w:rPr>
        <w:t>, 25.punkts</w:t>
      </w:r>
      <w:r w:rsidR="002C48EB" w:rsidRPr="00D01CDE">
        <w:rPr>
          <w:i/>
          <w:iCs/>
          <w:lang w:eastAsia="lv-LV"/>
        </w:rPr>
        <w:t>;</w:t>
      </w:r>
      <w:r w:rsidR="001D7E49" w:rsidRPr="00D01CDE">
        <w:rPr>
          <w:i/>
          <w:iCs/>
          <w:lang w:eastAsia="lv-LV"/>
        </w:rPr>
        <w:t xml:space="preserve"> </w:t>
      </w:r>
      <w:r w:rsidR="00720561" w:rsidRPr="00D01CDE">
        <w:rPr>
          <w:i/>
          <w:iCs/>
          <w:lang w:eastAsia="lv-LV"/>
        </w:rPr>
        <w:t>2017.gada 14.jūnija spriedum</w:t>
      </w:r>
      <w:r w:rsidR="00470D95" w:rsidRPr="00D01CDE">
        <w:rPr>
          <w:i/>
          <w:iCs/>
          <w:lang w:eastAsia="lv-LV"/>
        </w:rPr>
        <w:t>a</w:t>
      </w:r>
      <w:r w:rsidR="00720561" w:rsidRPr="00D01CDE">
        <w:rPr>
          <w:i/>
          <w:iCs/>
          <w:lang w:eastAsia="lv-LV"/>
        </w:rPr>
        <w:t xml:space="preserve"> lietā C-38/16 </w:t>
      </w:r>
      <w:proofErr w:type="spellStart"/>
      <w:r w:rsidR="00720561" w:rsidRPr="00D01CDE">
        <w:rPr>
          <w:i/>
          <w:iCs/>
          <w:lang w:eastAsia="lv-LV"/>
        </w:rPr>
        <w:t>Compass</w:t>
      </w:r>
      <w:proofErr w:type="spellEnd"/>
      <w:r w:rsidR="00720561" w:rsidRPr="00D01CDE">
        <w:rPr>
          <w:i/>
          <w:iCs/>
          <w:lang w:eastAsia="lv-LV"/>
        </w:rPr>
        <w:t xml:space="preserve"> </w:t>
      </w:r>
      <w:proofErr w:type="spellStart"/>
      <w:r w:rsidR="00720561" w:rsidRPr="00D01CDE">
        <w:rPr>
          <w:i/>
          <w:iCs/>
          <w:lang w:eastAsia="lv-LV"/>
        </w:rPr>
        <w:t>Contract</w:t>
      </w:r>
      <w:proofErr w:type="spellEnd"/>
      <w:r w:rsidR="00720561" w:rsidRPr="00D01CDE">
        <w:rPr>
          <w:i/>
          <w:iCs/>
          <w:lang w:eastAsia="lv-LV"/>
        </w:rPr>
        <w:t xml:space="preserve"> </w:t>
      </w:r>
      <w:proofErr w:type="spellStart"/>
      <w:r w:rsidR="00720561" w:rsidRPr="00D01CDE">
        <w:rPr>
          <w:i/>
          <w:iCs/>
          <w:lang w:eastAsia="lv-LV"/>
        </w:rPr>
        <w:t>Services</w:t>
      </w:r>
      <w:proofErr w:type="spellEnd"/>
      <w:r w:rsidR="00720561" w:rsidRPr="00D01CDE">
        <w:rPr>
          <w:i/>
          <w:iCs/>
          <w:lang w:eastAsia="lv-LV"/>
        </w:rPr>
        <w:t>,</w:t>
      </w:r>
      <w:r w:rsidR="001D7E49" w:rsidRPr="00D01CDE">
        <w:rPr>
          <w:i/>
          <w:iCs/>
          <w:lang w:eastAsia="lv-LV"/>
        </w:rPr>
        <w:t xml:space="preserve"> </w:t>
      </w:r>
      <w:hyperlink r:id="rId10" w:history="1">
        <w:r w:rsidR="001D7E49" w:rsidRPr="00D01CDE">
          <w:rPr>
            <w:rStyle w:val="Hyperlink"/>
            <w:i/>
            <w:iCs/>
            <w:color w:val="auto"/>
            <w:u w:val="none"/>
            <w:lang w:eastAsia="lv-LV"/>
          </w:rPr>
          <w:t>ECLI:EU:C:2017:454</w:t>
        </w:r>
      </w:hyperlink>
      <w:r w:rsidR="001D7E49" w:rsidRPr="00D01CDE">
        <w:rPr>
          <w:i/>
          <w:iCs/>
          <w:lang w:eastAsia="lv-LV"/>
        </w:rPr>
        <w:t>, 28.punkts</w:t>
      </w:r>
      <w:r w:rsidR="00720561" w:rsidRPr="00D01CDE">
        <w:rPr>
          <w:lang w:eastAsia="lv-LV"/>
        </w:rPr>
        <w:t>).</w:t>
      </w:r>
    </w:p>
    <w:p w14:paraId="7BC1F692" w14:textId="132F13D9" w:rsidR="00B13874" w:rsidRPr="00D01CDE" w:rsidRDefault="00B13874" w:rsidP="00720561">
      <w:pPr>
        <w:spacing w:line="276" w:lineRule="auto"/>
        <w:ind w:firstLine="567"/>
        <w:jc w:val="both"/>
        <w:rPr>
          <w:lang w:eastAsia="lv-LV"/>
        </w:rPr>
      </w:pPr>
      <w:r w:rsidRPr="00D01CDE">
        <w:t xml:space="preserve">Direktīvas 2006/112/EK </w:t>
      </w:r>
      <w:proofErr w:type="gramStart"/>
      <w:r w:rsidRPr="00D01CDE">
        <w:rPr>
          <w:lang w:eastAsia="lv-LV"/>
        </w:rPr>
        <w:t>203.pantā</w:t>
      </w:r>
      <w:proofErr w:type="gramEnd"/>
      <w:r w:rsidRPr="00D01CDE">
        <w:rPr>
          <w:lang w:eastAsia="lv-LV"/>
        </w:rPr>
        <w:t xml:space="preserve"> [pievienotās vērtības nodokli maksā ikviena persona, kura pievienotās vērtības nodokli norāda rēķinā] paredzētā pienākuma mērķis ir novērst nodokļu ieņēmumu zuduma apdraudējumu, ko var izraisīt minētās direktīvas 167.panta [atskaitīšanas tiesības rodas brīdī, kad atskaitāmais nodoklis kļūst iekasējams] un nākamajos pantos paredzētās atskaitīšanas tiesības. Ņemot vērā šo mērķi, minēto pienākumu ierobežo iespēja, kas dalībvalstīm ir jāparedz savā iekšējā tiesību sistēmā, proti, koriģēt ikvienu rēķinā nepamatoti iekļautu nodokli, ja rēķina izsniedzējs pierāda savu labticību vai ja tas savlaicīgi ir pilnībā novērsis nodokļu ieņēmumu zuduma apdraudējumu (</w:t>
      </w:r>
      <w:r w:rsidRPr="00D01CDE">
        <w:rPr>
          <w:i/>
          <w:iCs/>
          <w:lang w:eastAsia="lv-LV"/>
        </w:rPr>
        <w:t>Eiropas Savienības Tiesas 2013.gada 31.janvāra spriedum</w:t>
      </w:r>
      <w:r w:rsidR="00470D95" w:rsidRPr="00D01CDE">
        <w:rPr>
          <w:i/>
          <w:iCs/>
          <w:lang w:eastAsia="lv-LV"/>
        </w:rPr>
        <w:t>a</w:t>
      </w:r>
      <w:r w:rsidRPr="00D01CDE">
        <w:rPr>
          <w:i/>
          <w:iCs/>
          <w:lang w:eastAsia="lv-LV"/>
        </w:rPr>
        <w:t xml:space="preserve"> lietā C-643/11 LVK</w:t>
      </w:r>
      <w:r w:rsidR="00470D95" w:rsidRPr="00D01CDE">
        <w:rPr>
          <w:i/>
          <w:iCs/>
          <w:lang w:eastAsia="lv-LV"/>
        </w:rPr>
        <w:noBreakHyphen/>
      </w:r>
      <w:r w:rsidRPr="00D01CDE">
        <w:rPr>
          <w:i/>
          <w:iCs/>
          <w:lang w:eastAsia="lv-LV"/>
        </w:rPr>
        <w:t xml:space="preserve">56 EOOD, </w:t>
      </w:r>
      <w:hyperlink r:id="rId11" w:history="1">
        <w:r w:rsidRPr="00D01CDE">
          <w:rPr>
            <w:rStyle w:val="Hyperlink"/>
            <w:i/>
            <w:iCs/>
            <w:color w:val="auto"/>
            <w:u w:val="none"/>
            <w:lang w:eastAsia="lv-LV"/>
          </w:rPr>
          <w:t>ECLI:EU:C:2013:55</w:t>
        </w:r>
      </w:hyperlink>
      <w:r w:rsidR="002C48EB" w:rsidRPr="00D01CDE">
        <w:rPr>
          <w:i/>
          <w:iCs/>
          <w:lang w:eastAsia="lv-LV"/>
        </w:rPr>
        <w:t>, 36., 37.punkts;</w:t>
      </w:r>
      <w:r w:rsidRPr="00D01CDE">
        <w:rPr>
          <w:i/>
          <w:iCs/>
          <w:lang w:eastAsia="lv-LV"/>
        </w:rPr>
        <w:t xml:space="preserve"> 2013.gada 11.aprīļa spriedum</w:t>
      </w:r>
      <w:r w:rsidR="00470D95" w:rsidRPr="00D01CDE">
        <w:rPr>
          <w:i/>
          <w:iCs/>
          <w:lang w:eastAsia="lv-LV"/>
        </w:rPr>
        <w:t>a</w:t>
      </w:r>
      <w:r w:rsidRPr="00D01CDE">
        <w:rPr>
          <w:i/>
          <w:iCs/>
          <w:lang w:eastAsia="lv-LV"/>
        </w:rPr>
        <w:t xml:space="preserve"> lietā C‑138/12 </w:t>
      </w:r>
      <w:proofErr w:type="spellStart"/>
      <w:r w:rsidRPr="00D01CDE">
        <w:rPr>
          <w:i/>
          <w:iCs/>
          <w:lang w:eastAsia="lv-LV"/>
        </w:rPr>
        <w:t>Rusedespred</w:t>
      </w:r>
      <w:proofErr w:type="spellEnd"/>
      <w:r w:rsidRPr="00D01CDE">
        <w:rPr>
          <w:i/>
          <w:iCs/>
          <w:lang w:eastAsia="lv-LV"/>
        </w:rPr>
        <w:t xml:space="preserve">, </w:t>
      </w:r>
      <w:hyperlink r:id="rId12" w:history="1">
        <w:r w:rsidR="009F499C" w:rsidRPr="00D01CDE">
          <w:rPr>
            <w:rStyle w:val="Hyperlink"/>
            <w:i/>
            <w:iCs/>
            <w:color w:val="auto"/>
            <w:u w:val="none"/>
            <w:lang w:eastAsia="lv-LV"/>
          </w:rPr>
          <w:t>ECLI:EU:C:2013:233</w:t>
        </w:r>
      </w:hyperlink>
      <w:r w:rsidRPr="00D01CDE">
        <w:rPr>
          <w:i/>
          <w:iCs/>
          <w:lang w:eastAsia="lv-LV"/>
        </w:rPr>
        <w:t>, 24.punkts</w:t>
      </w:r>
      <w:r w:rsidRPr="00D01CDE">
        <w:rPr>
          <w:lang w:eastAsia="lv-LV"/>
        </w:rPr>
        <w:t>).</w:t>
      </w:r>
    </w:p>
    <w:p w14:paraId="79639DA5" w14:textId="15108894" w:rsidR="00B13874" w:rsidRPr="00D01CDE" w:rsidRDefault="00CC6D90" w:rsidP="00720561">
      <w:pPr>
        <w:spacing w:line="276" w:lineRule="auto"/>
        <w:ind w:firstLine="567"/>
        <w:jc w:val="both"/>
        <w:rPr>
          <w:lang w:eastAsia="lv-LV"/>
        </w:rPr>
      </w:pPr>
      <w:r w:rsidRPr="00D01CDE">
        <w:rPr>
          <w:lang w:eastAsia="lv-LV"/>
        </w:rPr>
        <w:t>Tā kā pieteicēj</w:t>
      </w:r>
      <w:r w:rsidR="001C699F" w:rsidRPr="00D01CDE">
        <w:rPr>
          <w:lang w:eastAsia="lv-LV"/>
        </w:rPr>
        <w:t>s</w:t>
      </w:r>
      <w:r w:rsidRPr="00D01CDE">
        <w:rPr>
          <w:lang w:eastAsia="lv-LV"/>
        </w:rPr>
        <w:t xml:space="preserve"> samaksāja rēķinu, kurā ietverts pievienotās vērtības nodoklis, savai darījumu partnerei</w:t>
      </w:r>
      <w:r w:rsidR="00470D95" w:rsidRPr="00D01CDE">
        <w:rPr>
          <w:lang w:eastAsia="lv-LV"/>
        </w:rPr>
        <w:t xml:space="preserve"> SIA „</w:t>
      </w:r>
      <w:proofErr w:type="spellStart"/>
      <w:r w:rsidR="00470D95" w:rsidRPr="00D01CDE">
        <w:rPr>
          <w:lang w:eastAsia="lv-LV"/>
        </w:rPr>
        <w:t>Alekon</w:t>
      </w:r>
      <w:proofErr w:type="spellEnd"/>
      <w:r w:rsidR="00470D95" w:rsidRPr="00D01CDE">
        <w:rPr>
          <w:lang w:eastAsia="lv-LV"/>
        </w:rPr>
        <w:t xml:space="preserve"> LV”</w:t>
      </w:r>
      <w:r w:rsidRPr="00D01CDE">
        <w:rPr>
          <w:lang w:eastAsia="lv-LV"/>
        </w:rPr>
        <w:t>, tiesiskās attiecības par nodokļa samaksu pastāv starp dienestu un SIA „</w:t>
      </w:r>
      <w:proofErr w:type="spellStart"/>
      <w:r w:rsidRPr="00D01CDE">
        <w:rPr>
          <w:lang w:eastAsia="lv-LV"/>
        </w:rPr>
        <w:t>Alekon</w:t>
      </w:r>
      <w:proofErr w:type="spellEnd"/>
      <w:r w:rsidRPr="00D01CDE">
        <w:rPr>
          <w:lang w:eastAsia="lv-LV"/>
        </w:rPr>
        <w:t xml:space="preserve"> LV”. </w:t>
      </w:r>
      <w:r w:rsidR="00B13874" w:rsidRPr="00D01CDE">
        <w:rPr>
          <w:lang w:eastAsia="lv-LV"/>
        </w:rPr>
        <w:t xml:space="preserve">Apgabaltiesa konstatēja, ka </w:t>
      </w:r>
      <w:r w:rsidR="00C875FE" w:rsidRPr="00D01CDE">
        <w:rPr>
          <w:lang w:eastAsia="lv-LV"/>
        </w:rPr>
        <w:t>SIA „</w:t>
      </w:r>
      <w:proofErr w:type="spellStart"/>
      <w:r w:rsidR="00C875FE" w:rsidRPr="00D01CDE">
        <w:rPr>
          <w:lang w:eastAsia="lv-LV"/>
        </w:rPr>
        <w:t>Alekon</w:t>
      </w:r>
      <w:proofErr w:type="spellEnd"/>
      <w:r w:rsidR="00C875FE" w:rsidRPr="00D01CDE">
        <w:rPr>
          <w:lang w:eastAsia="lv-LV"/>
        </w:rPr>
        <w:t xml:space="preserve"> LV” </w:t>
      </w:r>
      <w:r w:rsidR="00C875FE" w:rsidRPr="00D01CDE">
        <w:t xml:space="preserve">rēķinos norādīto pievienotās vērtības nodokli ir iekļāvis pievienotās vērtības nodokļa deklarācijās un tas ņemts vērā, nosakot budžetā maksājamo nodokļa summu. Apgabaltiesa nekonstatēja, ka </w:t>
      </w:r>
      <w:r w:rsidR="00DF66C6" w:rsidRPr="00D01CDE">
        <w:rPr>
          <w:lang w:eastAsia="lv-LV"/>
        </w:rPr>
        <w:t>SIA „</w:t>
      </w:r>
      <w:proofErr w:type="spellStart"/>
      <w:r w:rsidR="00DF66C6" w:rsidRPr="00D01CDE">
        <w:rPr>
          <w:lang w:eastAsia="lv-LV"/>
        </w:rPr>
        <w:t>Alekon</w:t>
      </w:r>
      <w:proofErr w:type="spellEnd"/>
      <w:r w:rsidR="00DF66C6" w:rsidRPr="00D01CDE">
        <w:rPr>
          <w:lang w:eastAsia="lv-LV"/>
        </w:rPr>
        <w:t xml:space="preserve"> LV” </w:t>
      </w:r>
      <w:r w:rsidR="00E873E1" w:rsidRPr="00D01CDE">
        <w:rPr>
          <w:lang w:eastAsia="lv-LV"/>
        </w:rPr>
        <w:t xml:space="preserve">līdz savai likvidācijai </w:t>
      </w:r>
      <w:proofErr w:type="gramStart"/>
      <w:r w:rsidR="00E873E1" w:rsidRPr="00D01CDE">
        <w:rPr>
          <w:lang w:eastAsia="lv-LV"/>
        </w:rPr>
        <w:t>2015.gadā</w:t>
      </w:r>
      <w:proofErr w:type="gramEnd"/>
      <w:r w:rsidR="00E873E1" w:rsidRPr="00D01CDE">
        <w:rPr>
          <w:lang w:eastAsia="lv-LV"/>
        </w:rPr>
        <w:t xml:space="preserve"> </w:t>
      </w:r>
      <w:r w:rsidR="00DF66C6" w:rsidRPr="00D01CDE">
        <w:rPr>
          <w:lang w:eastAsia="lv-LV"/>
        </w:rPr>
        <w:t>būtu veikusi rēķinu kor</w:t>
      </w:r>
      <w:r w:rsidR="002C48EB" w:rsidRPr="00D01CDE">
        <w:rPr>
          <w:lang w:eastAsia="lv-LV"/>
        </w:rPr>
        <w:t>ekciju.</w:t>
      </w:r>
    </w:p>
    <w:p w14:paraId="3C2F449E" w14:textId="5B4B3887" w:rsidR="00DF66C6" w:rsidRPr="00D01CDE" w:rsidRDefault="00D56786" w:rsidP="00720561">
      <w:pPr>
        <w:spacing w:line="276" w:lineRule="auto"/>
        <w:ind w:firstLine="567"/>
        <w:jc w:val="both"/>
        <w:rPr>
          <w:lang w:eastAsia="lv-LV"/>
        </w:rPr>
      </w:pPr>
      <w:r w:rsidRPr="00D01CDE">
        <w:rPr>
          <w:lang w:eastAsia="lv-LV"/>
        </w:rPr>
        <w:t>Savukārt pieteicēja</w:t>
      </w:r>
      <w:r w:rsidR="00470D95" w:rsidRPr="00D01CDE">
        <w:rPr>
          <w:lang w:eastAsia="lv-LV"/>
        </w:rPr>
        <w:t>m</w:t>
      </w:r>
      <w:r w:rsidRPr="00D01CDE">
        <w:rPr>
          <w:lang w:eastAsia="lv-LV"/>
        </w:rPr>
        <w:t xml:space="preserve"> pastāv tiesiskas attiecības ar reģistrācijas dalībvalsts valsts nodokļu administrāciju, kas šajā gadījumā ir Vācija, nevis ar tās dalībvalsts nodokļu administrāciju, kurā pakalpojumu sniedzējs ir kļūdaini izrakstījis pievienotās vērtības nodokļa rēķinu</w:t>
      </w:r>
      <w:r w:rsidR="00C4675D" w:rsidRPr="00D01CDE">
        <w:rPr>
          <w:lang w:eastAsia="lv-LV"/>
        </w:rPr>
        <w:t xml:space="preserve"> un to deklarējis, proti – Latviju.</w:t>
      </w:r>
      <w:r w:rsidR="00470D95" w:rsidRPr="00D01CDE">
        <w:rPr>
          <w:lang w:eastAsia="lv-LV"/>
        </w:rPr>
        <w:t xml:space="preserve"> Līdz ar to nav pamatots pieteicēja arguments, ka tikai pieteicējam ir tiesības atgūt no budžeta pievienotās vērtības nodokli par SIA „</w:t>
      </w:r>
      <w:proofErr w:type="spellStart"/>
      <w:r w:rsidR="00470D95" w:rsidRPr="00D01CDE">
        <w:rPr>
          <w:lang w:eastAsia="lv-LV"/>
        </w:rPr>
        <w:t>Alekon</w:t>
      </w:r>
      <w:proofErr w:type="spellEnd"/>
      <w:r w:rsidR="00470D95" w:rsidRPr="00D01CDE">
        <w:rPr>
          <w:lang w:eastAsia="lv-LV"/>
        </w:rPr>
        <w:t xml:space="preserve"> LV” sniegtajiem pakalpojumiem. Tiesības </w:t>
      </w:r>
      <w:r w:rsidR="00467390" w:rsidRPr="00D01CDE">
        <w:rPr>
          <w:lang w:eastAsia="lv-LV"/>
        </w:rPr>
        <w:t>atgūt kļūdaini rēķinā norādīto un budžetā samaksāto nodokli</w:t>
      </w:r>
      <w:r w:rsidR="00470D95" w:rsidRPr="00D01CDE">
        <w:rPr>
          <w:lang w:eastAsia="lv-LV"/>
        </w:rPr>
        <w:t xml:space="preserve"> ir tieši SIA „</w:t>
      </w:r>
      <w:proofErr w:type="spellStart"/>
      <w:r w:rsidR="00470D95" w:rsidRPr="00D01CDE">
        <w:rPr>
          <w:lang w:eastAsia="lv-LV"/>
        </w:rPr>
        <w:t>Alekon</w:t>
      </w:r>
      <w:proofErr w:type="spellEnd"/>
      <w:r w:rsidR="00470D95" w:rsidRPr="00D01CDE">
        <w:rPr>
          <w:lang w:eastAsia="lv-LV"/>
        </w:rPr>
        <w:t xml:space="preserve"> LV”, </w:t>
      </w:r>
      <w:r w:rsidR="00467390" w:rsidRPr="00D01CDE">
        <w:rPr>
          <w:lang w:eastAsia="lv-LV"/>
        </w:rPr>
        <w:t>koriģējot</w:t>
      </w:r>
      <w:r w:rsidR="00470D95" w:rsidRPr="00D01CDE">
        <w:rPr>
          <w:lang w:eastAsia="lv-LV"/>
        </w:rPr>
        <w:t xml:space="preserve"> kļūdaino rēķinu </w:t>
      </w:r>
      <w:r w:rsidR="00467390" w:rsidRPr="00D01CDE">
        <w:rPr>
          <w:lang w:eastAsia="lv-LV"/>
        </w:rPr>
        <w:t>un izpildoties iepriekš minētajiem priekšnoteikumiem</w:t>
      </w:r>
      <w:r w:rsidR="002C48EB" w:rsidRPr="00D01CDE">
        <w:rPr>
          <w:lang w:eastAsia="lv-LV"/>
        </w:rPr>
        <w:t>.</w:t>
      </w:r>
    </w:p>
    <w:p w14:paraId="4CC6D737" w14:textId="77777777" w:rsidR="00470D95" w:rsidRPr="00D01CDE" w:rsidRDefault="00470D95" w:rsidP="00720561">
      <w:pPr>
        <w:spacing w:line="276" w:lineRule="auto"/>
        <w:ind w:firstLine="567"/>
        <w:jc w:val="both"/>
        <w:rPr>
          <w:lang w:eastAsia="lv-LV"/>
        </w:rPr>
      </w:pPr>
    </w:p>
    <w:p w14:paraId="372A9365" w14:textId="4B03A535" w:rsidR="001C699F" w:rsidRPr="00D01CDE" w:rsidRDefault="00DF66C6" w:rsidP="00720561">
      <w:pPr>
        <w:spacing w:line="276" w:lineRule="auto"/>
        <w:ind w:firstLine="567"/>
        <w:jc w:val="both"/>
        <w:rPr>
          <w:lang w:eastAsia="lv-LV"/>
        </w:rPr>
      </w:pPr>
      <w:r w:rsidRPr="00D01CDE">
        <w:rPr>
          <w:lang w:eastAsia="lv-LV"/>
        </w:rPr>
        <w:t>[8] </w:t>
      </w:r>
      <w:r w:rsidR="00CC6D90" w:rsidRPr="00D01CDE">
        <w:rPr>
          <w:lang w:eastAsia="lv-LV"/>
        </w:rPr>
        <w:t xml:space="preserve">Dienests lietā ir norādījis, ka pieteicējam </w:t>
      </w:r>
      <w:r w:rsidR="001C699F" w:rsidRPr="00D01CDE">
        <w:rPr>
          <w:lang w:eastAsia="lv-LV"/>
        </w:rPr>
        <w:t xml:space="preserve">samaksātā rēķina pievienotās vērtības nodokļa </w:t>
      </w:r>
      <w:r w:rsidR="004D0BBB" w:rsidRPr="00D01CDE">
        <w:rPr>
          <w:lang w:eastAsia="lv-LV"/>
        </w:rPr>
        <w:t xml:space="preserve">summas </w:t>
      </w:r>
      <w:r w:rsidR="001C699F" w:rsidRPr="00D01CDE">
        <w:rPr>
          <w:lang w:eastAsia="lv-LV"/>
        </w:rPr>
        <w:t>atgūšanai jāvēršas pie savas darījuma partneres civiltiesiskā kārtībā.</w:t>
      </w:r>
    </w:p>
    <w:p w14:paraId="78DBE6B0" w14:textId="503BA779" w:rsidR="00A147BB" w:rsidRPr="00D01CDE" w:rsidRDefault="001C699F" w:rsidP="00E873E1">
      <w:pPr>
        <w:spacing w:line="276" w:lineRule="auto"/>
        <w:ind w:firstLine="567"/>
        <w:jc w:val="both"/>
        <w:rPr>
          <w:i/>
          <w:iCs/>
          <w:lang w:eastAsia="lv-LV"/>
        </w:rPr>
      </w:pPr>
      <w:r w:rsidRPr="00D01CDE">
        <w:rPr>
          <w:lang w:eastAsia="lv-LV"/>
        </w:rPr>
        <w:t xml:space="preserve">Kā jau tika norādīts arī iepriekšējā Senāta spriedumā šajā lietā, </w:t>
      </w:r>
      <w:r w:rsidR="00120AA5" w:rsidRPr="00D01CDE">
        <w:rPr>
          <w:lang w:eastAsia="lv-LV"/>
        </w:rPr>
        <w:t>Eiropas Savienības Tiesa ir atzinusi, ka p</w:t>
      </w:r>
      <w:r w:rsidR="00976E04" w:rsidRPr="00D01CDE">
        <w:rPr>
          <w:lang w:eastAsia="lv-LV"/>
        </w:rPr>
        <w:t xml:space="preserve">rincipā tāda sistēma, kuras ietvaros, no vienas puses, pakalpojumu sniedzējs, </w:t>
      </w:r>
      <w:r w:rsidR="00976E04" w:rsidRPr="00D01CDE">
        <w:rPr>
          <w:lang w:eastAsia="lv-LV"/>
        </w:rPr>
        <w:lastRenderedPageBreak/>
        <w:t xml:space="preserve">kas nodokļu iestādēm ir kļūdas pēc samaksājis </w:t>
      </w:r>
      <w:r w:rsidR="00BC7143" w:rsidRPr="00D01CDE">
        <w:rPr>
          <w:lang w:eastAsia="lv-LV"/>
        </w:rPr>
        <w:t>pievienotās vērtības nodokli</w:t>
      </w:r>
      <w:r w:rsidR="00976E04" w:rsidRPr="00D01CDE">
        <w:rPr>
          <w:lang w:eastAsia="lv-LV"/>
        </w:rPr>
        <w:t>, var pieprasīt tā atmaksāšanu un, no otras puses, pakalpojumu saņēmējs var vērsties pret šo pakalpojumu sniedzēju ar civilprasību par nepamatoti samaksāto summu atmaksāšanu, atbilst neitralitātes un efektivitātes principiem. Šāda sistēma ļauj minētajam pakalpojumu saņēmējam, kas ir samaksājis nodokli, par kuru ir kļūdaini izrakstīts rēķins, panākt nepamatoti samaksātu summu atmaksāšanu (</w:t>
      </w:r>
      <w:r w:rsidR="00976E04" w:rsidRPr="00D01CDE">
        <w:rPr>
          <w:i/>
          <w:iCs/>
          <w:lang w:eastAsia="lv-LV"/>
        </w:rPr>
        <w:t xml:space="preserve">Eiropas Savienības Tiesas </w:t>
      </w:r>
      <w:r w:rsidR="00593DCD" w:rsidRPr="00D01CDE">
        <w:rPr>
          <w:i/>
          <w:iCs/>
          <w:lang w:eastAsia="lv-LV"/>
        </w:rPr>
        <w:t>2007.gada 15.marta spriedum</w:t>
      </w:r>
      <w:r w:rsidR="004D0BBB" w:rsidRPr="00D01CDE">
        <w:rPr>
          <w:i/>
          <w:iCs/>
          <w:lang w:eastAsia="lv-LV"/>
        </w:rPr>
        <w:t>a</w:t>
      </w:r>
      <w:r w:rsidR="00593DCD" w:rsidRPr="00D01CDE">
        <w:rPr>
          <w:i/>
          <w:iCs/>
          <w:lang w:eastAsia="lv-LV"/>
        </w:rPr>
        <w:t xml:space="preserve"> lietā C-35/05 </w:t>
      </w:r>
      <w:proofErr w:type="spellStart"/>
      <w:r w:rsidR="00593DCD" w:rsidRPr="00D01CDE">
        <w:rPr>
          <w:i/>
          <w:iCs/>
          <w:lang w:eastAsia="lv-LV"/>
        </w:rPr>
        <w:t>Reemtsma</w:t>
      </w:r>
      <w:proofErr w:type="spellEnd"/>
      <w:r w:rsidR="00593DCD" w:rsidRPr="00D01CDE">
        <w:rPr>
          <w:i/>
          <w:iCs/>
          <w:lang w:eastAsia="lv-LV"/>
        </w:rPr>
        <w:t xml:space="preserve"> </w:t>
      </w:r>
      <w:proofErr w:type="spellStart"/>
      <w:r w:rsidR="00593DCD" w:rsidRPr="00D01CDE">
        <w:rPr>
          <w:i/>
          <w:iCs/>
          <w:lang w:eastAsia="lv-LV"/>
        </w:rPr>
        <w:t>Cigarettenfabriken</w:t>
      </w:r>
      <w:proofErr w:type="spellEnd"/>
      <w:r w:rsidR="00593DCD" w:rsidRPr="00D01CDE">
        <w:rPr>
          <w:i/>
          <w:iCs/>
          <w:lang w:eastAsia="lv-LV"/>
        </w:rPr>
        <w:t xml:space="preserve">, </w:t>
      </w:r>
      <w:hyperlink r:id="rId13" w:history="1">
        <w:r w:rsidR="00593DCD" w:rsidRPr="00D01CDE">
          <w:rPr>
            <w:rStyle w:val="Hyperlink"/>
            <w:i/>
            <w:iCs/>
            <w:color w:val="auto"/>
            <w:u w:val="none"/>
            <w:lang w:eastAsia="lv-LV"/>
          </w:rPr>
          <w:t>ECLI:EU:C:2007:167</w:t>
        </w:r>
      </w:hyperlink>
      <w:r w:rsidR="00593DCD" w:rsidRPr="00D01CDE">
        <w:rPr>
          <w:i/>
          <w:iCs/>
          <w:lang w:eastAsia="lv-LV"/>
        </w:rPr>
        <w:t>, 39.punkts</w:t>
      </w:r>
      <w:r w:rsidR="002C48EB" w:rsidRPr="00D01CDE">
        <w:rPr>
          <w:i/>
          <w:iCs/>
          <w:lang w:eastAsia="lv-LV"/>
        </w:rPr>
        <w:t xml:space="preserve">; </w:t>
      </w:r>
      <w:r w:rsidR="009F499C" w:rsidRPr="00D01CDE">
        <w:rPr>
          <w:i/>
          <w:iCs/>
          <w:lang w:eastAsia="lv-LV"/>
        </w:rPr>
        <w:t xml:space="preserve">2011.gada 15.decembra sprieduma lietā C-427/10 </w:t>
      </w:r>
      <w:proofErr w:type="spellStart"/>
      <w:r w:rsidR="009F499C" w:rsidRPr="00D01CDE">
        <w:rPr>
          <w:i/>
          <w:iCs/>
          <w:lang w:eastAsia="lv-LV"/>
        </w:rPr>
        <w:t>Banca</w:t>
      </w:r>
      <w:proofErr w:type="spellEnd"/>
      <w:r w:rsidR="009F499C" w:rsidRPr="00D01CDE">
        <w:rPr>
          <w:i/>
          <w:iCs/>
          <w:lang w:eastAsia="lv-LV"/>
        </w:rPr>
        <w:t xml:space="preserve"> </w:t>
      </w:r>
      <w:proofErr w:type="spellStart"/>
      <w:r w:rsidR="009F499C" w:rsidRPr="00D01CDE">
        <w:rPr>
          <w:i/>
          <w:iCs/>
          <w:lang w:eastAsia="lv-LV"/>
        </w:rPr>
        <w:t>Antoniana</w:t>
      </w:r>
      <w:proofErr w:type="spellEnd"/>
      <w:r w:rsidR="009F499C" w:rsidRPr="00D01CDE">
        <w:rPr>
          <w:i/>
          <w:iCs/>
          <w:lang w:eastAsia="lv-LV"/>
        </w:rPr>
        <w:t xml:space="preserve"> </w:t>
      </w:r>
      <w:proofErr w:type="spellStart"/>
      <w:r w:rsidR="009F499C" w:rsidRPr="00D01CDE">
        <w:rPr>
          <w:i/>
          <w:iCs/>
          <w:lang w:eastAsia="lv-LV"/>
        </w:rPr>
        <w:t>Popolare</w:t>
      </w:r>
      <w:proofErr w:type="spellEnd"/>
      <w:r w:rsidR="009F499C" w:rsidRPr="00D01CDE">
        <w:rPr>
          <w:i/>
          <w:iCs/>
          <w:lang w:eastAsia="lv-LV"/>
        </w:rPr>
        <w:t xml:space="preserve"> </w:t>
      </w:r>
      <w:proofErr w:type="spellStart"/>
      <w:r w:rsidR="009F499C" w:rsidRPr="00D01CDE">
        <w:rPr>
          <w:i/>
          <w:iCs/>
          <w:lang w:eastAsia="lv-LV"/>
        </w:rPr>
        <w:t>Veneta</w:t>
      </w:r>
      <w:proofErr w:type="spellEnd"/>
      <w:r w:rsidR="009F499C" w:rsidRPr="00D01CDE">
        <w:rPr>
          <w:i/>
          <w:iCs/>
          <w:lang w:eastAsia="lv-LV"/>
        </w:rPr>
        <w:t xml:space="preserve">, </w:t>
      </w:r>
      <w:hyperlink r:id="rId14" w:history="1">
        <w:r w:rsidR="009F499C" w:rsidRPr="00D01CDE">
          <w:rPr>
            <w:rStyle w:val="Hyperlink"/>
            <w:i/>
            <w:iCs/>
            <w:color w:val="auto"/>
            <w:u w:val="none"/>
            <w:lang w:eastAsia="lv-LV"/>
          </w:rPr>
          <w:t>ECLI:EU:C:2011:844,</w:t>
        </w:r>
      </w:hyperlink>
      <w:r w:rsidR="009F499C" w:rsidRPr="00D01CDE">
        <w:rPr>
          <w:i/>
          <w:iCs/>
          <w:lang w:eastAsia="lv-LV"/>
        </w:rPr>
        <w:t xml:space="preserve"> 22.punkts; 2017.gada 26.aprīļa sprieduma lietā C‑564/15 </w:t>
      </w:r>
      <w:proofErr w:type="spellStart"/>
      <w:r w:rsidR="009F499C" w:rsidRPr="00D01CDE">
        <w:rPr>
          <w:i/>
          <w:iCs/>
          <w:lang w:eastAsia="lv-LV"/>
        </w:rPr>
        <w:t>Farkas</w:t>
      </w:r>
      <w:proofErr w:type="spellEnd"/>
      <w:r w:rsidR="009F499C" w:rsidRPr="00D01CDE">
        <w:rPr>
          <w:i/>
          <w:iCs/>
          <w:lang w:eastAsia="lv-LV"/>
        </w:rPr>
        <w:t xml:space="preserve">, </w:t>
      </w:r>
      <w:hyperlink r:id="rId15" w:history="1">
        <w:r w:rsidR="009F499C" w:rsidRPr="00D01CDE">
          <w:rPr>
            <w:rStyle w:val="Hyperlink"/>
            <w:i/>
            <w:iCs/>
            <w:color w:val="auto"/>
            <w:u w:val="none"/>
            <w:lang w:eastAsia="lv-LV"/>
          </w:rPr>
          <w:t>ECLI:EU:C:2017:302</w:t>
        </w:r>
      </w:hyperlink>
      <w:r w:rsidR="009F499C" w:rsidRPr="00D01CDE">
        <w:rPr>
          <w:i/>
          <w:iCs/>
          <w:lang w:eastAsia="lv-LV"/>
        </w:rPr>
        <w:t xml:space="preserve">, 51.punkts; </w:t>
      </w:r>
      <w:r w:rsidR="002C48EB" w:rsidRPr="00D01CDE">
        <w:rPr>
          <w:i/>
          <w:iCs/>
          <w:lang w:eastAsia="lv-LV"/>
        </w:rPr>
        <w:t xml:space="preserve">2018.gada 31.maija sprieduma apvienotajās lietās C‑660/16 un C‑661/16 </w:t>
      </w:r>
      <w:proofErr w:type="spellStart"/>
      <w:r w:rsidR="002C48EB" w:rsidRPr="00D01CDE">
        <w:rPr>
          <w:i/>
          <w:iCs/>
          <w:lang w:eastAsia="lv-LV"/>
        </w:rPr>
        <w:t>Kollroß</w:t>
      </w:r>
      <w:proofErr w:type="spellEnd"/>
      <w:r w:rsidR="002C48EB" w:rsidRPr="00D01CDE">
        <w:rPr>
          <w:i/>
          <w:iCs/>
          <w:lang w:eastAsia="lv-LV"/>
        </w:rPr>
        <w:t xml:space="preserve">, </w:t>
      </w:r>
      <w:hyperlink r:id="rId16" w:history="1">
        <w:r w:rsidR="002C48EB" w:rsidRPr="00D01CDE">
          <w:rPr>
            <w:rStyle w:val="Hyperlink"/>
            <w:i/>
            <w:iCs/>
            <w:color w:val="auto"/>
            <w:u w:val="none"/>
            <w:lang w:eastAsia="lv-LV"/>
          </w:rPr>
          <w:t>ECLI:EU:C:2018:372</w:t>
        </w:r>
      </w:hyperlink>
      <w:r w:rsidR="002C48EB" w:rsidRPr="00D01CDE">
        <w:rPr>
          <w:i/>
          <w:iCs/>
          <w:lang w:eastAsia="lv-LV"/>
        </w:rPr>
        <w:t xml:space="preserve">, 66.punkts; 2019.gada 11.aprīļa sprieduma lietā C-691/17 PORR </w:t>
      </w:r>
      <w:proofErr w:type="spellStart"/>
      <w:r w:rsidR="002C48EB" w:rsidRPr="00D01CDE">
        <w:rPr>
          <w:i/>
          <w:iCs/>
          <w:lang w:eastAsia="lv-LV"/>
        </w:rPr>
        <w:t>Építési</w:t>
      </w:r>
      <w:proofErr w:type="spellEnd"/>
      <w:r w:rsidR="002C48EB" w:rsidRPr="00D01CDE">
        <w:rPr>
          <w:i/>
          <w:iCs/>
          <w:lang w:eastAsia="lv-LV"/>
        </w:rPr>
        <w:t xml:space="preserve"> </w:t>
      </w:r>
      <w:proofErr w:type="spellStart"/>
      <w:r w:rsidR="002C48EB" w:rsidRPr="00D01CDE">
        <w:rPr>
          <w:i/>
          <w:iCs/>
          <w:lang w:eastAsia="lv-LV"/>
        </w:rPr>
        <w:t>Kft</w:t>
      </w:r>
      <w:proofErr w:type="spellEnd"/>
      <w:r w:rsidR="002C48EB" w:rsidRPr="00D01CDE">
        <w:rPr>
          <w:i/>
          <w:iCs/>
          <w:lang w:eastAsia="lv-LV"/>
        </w:rPr>
        <w:t xml:space="preserve">, </w:t>
      </w:r>
      <w:hyperlink r:id="rId17" w:history="1">
        <w:r w:rsidR="002C48EB" w:rsidRPr="00D01CDE">
          <w:rPr>
            <w:rStyle w:val="Hyperlink"/>
            <w:i/>
            <w:iCs/>
            <w:color w:val="auto"/>
            <w:u w:val="none"/>
            <w:lang w:eastAsia="lv-LV"/>
          </w:rPr>
          <w:t>ECLI:EU:C:2019:327</w:t>
        </w:r>
      </w:hyperlink>
      <w:r w:rsidR="002C48EB" w:rsidRPr="00D01CDE">
        <w:rPr>
          <w:i/>
          <w:iCs/>
          <w:lang w:eastAsia="lv-LV"/>
        </w:rPr>
        <w:t>, 40.punkts</w:t>
      </w:r>
      <w:r w:rsidR="00976E04" w:rsidRPr="00D01CDE">
        <w:rPr>
          <w:lang w:eastAsia="lv-LV"/>
        </w:rPr>
        <w:t>)</w:t>
      </w:r>
      <w:r w:rsidR="00976E04" w:rsidRPr="00D01CDE">
        <w:rPr>
          <w:i/>
          <w:iCs/>
          <w:lang w:eastAsia="lv-LV"/>
        </w:rPr>
        <w:t>.</w:t>
      </w:r>
      <w:r w:rsidR="00A147BB" w:rsidRPr="00D01CDE">
        <w:rPr>
          <w:i/>
          <w:iCs/>
          <w:lang w:eastAsia="lv-LV"/>
        </w:rPr>
        <w:t xml:space="preserve"> </w:t>
      </w:r>
    </w:p>
    <w:p w14:paraId="27AD2B92" w14:textId="0F1CB8C9" w:rsidR="003460BB" w:rsidRPr="00D01CDE" w:rsidRDefault="000D410A" w:rsidP="00E873E1">
      <w:pPr>
        <w:spacing w:line="276" w:lineRule="auto"/>
        <w:ind w:firstLine="567"/>
        <w:jc w:val="both"/>
        <w:rPr>
          <w:lang w:eastAsia="lv-LV"/>
        </w:rPr>
      </w:pPr>
      <w:r w:rsidRPr="00D01CDE">
        <w:rPr>
          <w:lang w:eastAsia="lv-LV"/>
        </w:rPr>
        <w:t>Tomēr</w:t>
      </w:r>
      <w:r w:rsidR="003460BB" w:rsidRPr="00D01CDE">
        <w:rPr>
          <w:lang w:eastAsia="lv-LV"/>
        </w:rPr>
        <w:t>, ja pievienotās vērtības nodokļa atmaksa pakalpojumu saņēmējam izrādās neiespējama vai pārmērīgi grūta, īpaši tad, ja pakalpojumu sniedzējs ir maksātnespējīgs, tad no efektivitātes principa var izrietēt prasība, ka pakalpojumu saņēmējam jābūt iespējai vērst savu atmaksāšanas prasījumu tieši pret nodokļu iestādēm. Šādā gadījumā dalībvalstīm ir jāparedz līdzekļi un procesuālie noteikumi, kas ļautu minētajam pakalpojumu saņēmējam atgūt nodokli, par kuru ir kļūdaini izrakstīts rēķins, lai ievērotu efektivitātes principu (</w:t>
      </w:r>
      <w:r w:rsidR="003460BB" w:rsidRPr="00D01CDE">
        <w:rPr>
          <w:i/>
          <w:iCs/>
          <w:lang w:eastAsia="lv-LV"/>
        </w:rPr>
        <w:t xml:space="preserve">Eiropas Savienības Tiesas </w:t>
      </w:r>
      <w:r w:rsidR="009F499C" w:rsidRPr="00D01CDE">
        <w:rPr>
          <w:i/>
          <w:iCs/>
          <w:lang w:eastAsia="lv-LV"/>
        </w:rPr>
        <w:t xml:space="preserve">2007.gada 15.marta sprieduma C-35/05 </w:t>
      </w:r>
      <w:proofErr w:type="spellStart"/>
      <w:r w:rsidR="009F499C" w:rsidRPr="00D01CDE">
        <w:rPr>
          <w:i/>
          <w:iCs/>
          <w:lang w:eastAsia="lv-LV"/>
        </w:rPr>
        <w:t>Reemtsma</w:t>
      </w:r>
      <w:proofErr w:type="spellEnd"/>
      <w:r w:rsidR="009F499C" w:rsidRPr="00D01CDE">
        <w:rPr>
          <w:i/>
          <w:iCs/>
          <w:lang w:eastAsia="lv-LV"/>
        </w:rPr>
        <w:t xml:space="preserve"> </w:t>
      </w:r>
      <w:proofErr w:type="spellStart"/>
      <w:r w:rsidR="009F499C" w:rsidRPr="00D01CDE">
        <w:rPr>
          <w:i/>
          <w:iCs/>
          <w:lang w:eastAsia="lv-LV"/>
        </w:rPr>
        <w:t>Cigarettenfabriken</w:t>
      </w:r>
      <w:proofErr w:type="spellEnd"/>
      <w:r w:rsidR="009F499C" w:rsidRPr="00D01CDE">
        <w:rPr>
          <w:i/>
          <w:iCs/>
          <w:lang w:eastAsia="lv-LV"/>
        </w:rPr>
        <w:t xml:space="preserve">, </w:t>
      </w:r>
      <w:hyperlink r:id="rId18" w:history="1">
        <w:r w:rsidR="009F499C" w:rsidRPr="00D01CDE">
          <w:rPr>
            <w:rStyle w:val="Hyperlink"/>
            <w:i/>
            <w:iCs/>
            <w:color w:val="auto"/>
            <w:u w:val="none"/>
            <w:lang w:eastAsia="lv-LV"/>
          </w:rPr>
          <w:t>ECLI:EU:C:2007:167</w:t>
        </w:r>
      </w:hyperlink>
      <w:r w:rsidR="009F499C" w:rsidRPr="00D01CDE">
        <w:rPr>
          <w:i/>
          <w:iCs/>
          <w:lang w:eastAsia="lv-LV"/>
        </w:rPr>
        <w:t xml:space="preserve">, 39., 41. un 42.punkts; </w:t>
      </w:r>
      <w:r w:rsidR="003460BB" w:rsidRPr="00D01CDE">
        <w:rPr>
          <w:i/>
          <w:iCs/>
          <w:lang w:eastAsia="lv-LV"/>
        </w:rPr>
        <w:t>2017.gada 26.aprīļa spriedum</w:t>
      </w:r>
      <w:r w:rsidR="00FE02EF" w:rsidRPr="00D01CDE">
        <w:rPr>
          <w:i/>
          <w:iCs/>
          <w:lang w:eastAsia="lv-LV"/>
        </w:rPr>
        <w:t>a</w:t>
      </w:r>
      <w:r w:rsidR="003460BB" w:rsidRPr="00D01CDE">
        <w:rPr>
          <w:i/>
          <w:iCs/>
          <w:lang w:eastAsia="lv-LV"/>
        </w:rPr>
        <w:t xml:space="preserve"> lietā C‑564/15 </w:t>
      </w:r>
      <w:proofErr w:type="spellStart"/>
      <w:r w:rsidR="003460BB" w:rsidRPr="00D01CDE">
        <w:rPr>
          <w:i/>
          <w:iCs/>
          <w:lang w:eastAsia="lv-LV"/>
        </w:rPr>
        <w:t>Farkas</w:t>
      </w:r>
      <w:proofErr w:type="spellEnd"/>
      <w:r w:rsidR="003460BB" w:rsidRPr="00D01CDE">
        <w:rPr>
          <w:i/>
          <w:iCs/>
          <w:lang w:eastAsia="lv-LV"/>
        </w:rPr>
        <w:t xml:space="preserve">, </w:t>
      </w:r>
      <w:hyperlink r:id="rId19" w:history="1">
        <w:r w:rsidR="003460BB" w:rsidRPr="00D01CDE">
          <w:rPr>
            <w:rStyle w:val="Hyperlink"/>
            <w:i/>
            <w:iCs/>
            <w:color w:val="auto"/>
            <w:u w:val="none"/>
            <w:lang w:eastAsia="lv-LV"/>
          </w:rPr>
          <w:t>ECL</w:t>
        </w:r>
        <w:r w:rsidR="009F499C" w:rsidRPr="00D01CDE">
          <w:rPr>
            <w:rStyle w:val="Hyperlink"/>
            <w:i/>
            <w:iCs/>
            <w:color w:val="auto"/>
            <w:u w:val="none"/>
            <w:lang w:eastAsia="lv-LV"/>
          </w:rPr>
          <w:t>I:EU:C:2017:302</w:t>
        </w:r>
      </w:hyperlink>
      <w:r w:rsidR="009F499C" w:rsidRPr="00D01CDE">
        <w:rPr>
          <w:i/>
          <w:iCs/>
          <w:lang w:eastAsia="lv-LV"/>
        </w:rPr>
        <w:t>, 53.punkts;</w:t>
      </w:r>
      <w:r w:rsidR="003460BB" w:rsidRPr="00D01CDE">
        <w:rPr>
          <w:i/>
          <w:iCs/>
          <w:lang w:eastAsia="lv-LV"/>
        </w:rPr>
        <w:t xml:space="preserve"> </w:t>
      </w:r>
      <w:r w:rsidR="009F499C" w:rsidRPr="00D01CDE">
        <w:rPr>
          <w:i/>
          <w:iCs/>
          <w:lang w:eastAsia="lv-LV"/>
        </w:rPr>
        <w:t xml:space="preserve">2018.gada 31.maija sprieduma apvienotajās lietās C‑660/16 un C‑661/16 </w:t>
      </w:r>
      <w:proofErr w:type="spellStart"/>
      <w:r w:rsidR="009F499C" w:rsidRPr="00D01CDE">
        <w:rPr>
          <w:i/>
          <w:iCs/>
          <w:lang w:eastAsia="lv-LV"/>
        </w:rPr>
        <w:t>Kollroß</w:t>
      </w:r>
      <w:proofErr w:type="spellEnd"/>
      <w:r w:rsidR="009F499C" w:rsidRPr="00D01CDE">
        <w:rPr>
          <w:i/>
          <w:iCs/>
          <w:lang w:eastAsia="lv-LV"/>
        </w:rPr>
        <w:t xml:space="preserve">, </w:t>
      </w:r>
      <w:hyperlink r:id="rId20" w:history="1">
        <w:r w:rsidR="009F499C" w:rsidRPr="00D01CDE">
          <w:rPr>
            <w:rStyle w:val="Hyperlink"/>
            <w:i/>
            <w:iCs/>
            <w:color w:val="auto"/>
            <w:u w:val="none"/>
            <w:lang w:eastAsia="lv-LV"/>
          </w:rPr>
          <w:t>ECLI:EU:C:2018:372</w:t>
        </w:r>
      </w:hyperlink>
      <w:r w:rsidR="009F499C" w:rsidRPr="00D01CDE">
        <w:rPr>
          <w:i/>
          <w:iCs/>
          <w:lang w:eastAsia="lv-LV"/>
        </w:rPr>
        <w:t xml:space="preserve">, 66.punkts; 2019.gada 11.aprīļa sprieduma lietā C-691/17 PORR </w:t>
      </w:r>
      <w:proofErr w:type="spellStart"/>
      <w:r w:rsidR="009F499C" w:rsidRPr="00D01CDE">
        <w:rPr>
          <w:i/>
          <w:iCs/>
          <w:lang w:eastAsia="lv-LV"/>
        </w:rPr>
        <w:t>Építési</w:t>
      </w:r>
      <w:proofErr w:type="spellEnd"/>
      <w:r w:rsidR="009F499C" w:rsidRPr="00D01CDE">
        <w:rPr>
          <w:i/>
          <w:iCs/>
          <w:lang w:eastAsia="lv-LV"/>
        </w:rPr>
        <w:t xml:space="preserve"> </w:t>
      </w:r>
      <w:proofErr w:type="spellStart"/>
      <w:r w:rsidR="009F499C" w:rsidRPr="00D01CDE">
        <w:rPr>
          <w:i/>
          <w:iCs/>
          <w:lang w:eastAsia="lv-LV"/>
        </w:rPr>
        <w:t>Kft</w:t>
      </w:r>
      <w:proofErr w:type="spellEnd"/>
      <w:r w:rsidR="009F499C" w:rsidRPr="00D01CDE">
        <w:rPr>
          <w:i/>
          <w:iCs/>
          <w:lang w:eastAsia="lv-LV"/>
        </w:rPr>
        <w:t xml:space="preserve">, </w:t>
      </w:r>
      <w:hyperlink r:id="rId21" w:history="1">
        <w:r w:rsidR="009F499C" w:rsidRPr="00D01CDE">
          <w:rPr>
            <w:rStyle w:val="Hyperlink"/>
            <w:i/>
            <w:iCs/>
            <w:color w:val="auto"/>
            <w:u w:val="none"/>
            <w:lang w:eastAsia="lv-LV"/>
          </w:rPr>
          <w:t>ECLI:EU:C:2019:327</w:t>
        </w:r>
      </w:hyperlink>
      <w:r w:rsidR="009F499C" w:rsidRPr="00D01CDE">
        <w:rPr>
          <w:i/>
          <w:iCs/>
          <w:lang w:eastAsia="lv-LV"/>
        </w:rPr>
        <w:t>, 42.punkts</w:t>
      </w:r>
      <w:r w:rsidR="003460BB" w:rsidRPr="00D01CDE">
        <w:rPr>
          <w:lang w:eastAsia="lv-LV"/>
        </w:rPr>
        <w:t>).</w:t>
      </w:r>
    </w:p>
    <w:p w14:paraId="396D383C" w14:textId="2EEB140D" w:rsidR="003460BB" w:rsidRPr="00D01CDE" w:rsidRDefault="002C27F7" w:rsidP="00E873E1">
      <w:pPr>
        <w:spacing w:line="276" w:lineRule="auto"/>
        <w:ind w:firstLine="567"/>
        <w:jc w:val="both"/>
        <w:rPr>
          <w:lang w:eastAsia="lv-LV"/>
        </w:rPr>
      </w:pPr>
      <w:r w:rsidRPr="00D01CDE">
        <w:rPr>
          <w:lang w:eastAsia="lv-LV"/>
        </w:rPr>
        <w:t xml:space="preserve">Ievērojot minēto, </w:t>
      </w:r>
      <w:r w:rsidR="003460BB" w:rsidRPr="00D01CDE">
        <w:rPr>
          <w:lang w:eastAsia="lv-LV"/>
        </w:rPr>
        <w:t>Senāts iepriekšējā spriedumā šajā lietā norādīja, ka apgabaltiesai jāpārbauda, vai pieteicējs</w:t>
      </w:r>
      <w:r w:rsidR="00E873E1" w:rsidRPr="00D01CDE">
        <w:rPr>
          <w:lang w:eastAsia="lv-LV"/>
        </w:rPr>
        <w:t xml:space="preserve"> ir risinājis jautājumu par nodokļa summas atgūšanu ar savu darījumu partneri un vai šāda atgūšana nav pārmērī</w:t>
      </w:r>
      <w:r w:rsidR="00775314" w:rsidRPr="00D01CDE">
        <w:rPr>
          <w:lang w:eastAsia="lv-LV"/>
        </w:rPr>
        <w:t>gi apgrūtināta vai neiespējama.</w:t>
      </w:r>
    </w:p>
    <w:p w14:paraId="0133CCCE" w14:textId="2D44DF68" w:rsidR="001B36D2" w:rsidRPr="00D01CDE" w:rsidRDefault="00E873E1" w:rsidP="001B36D2">
      <w:pPr>
        <w:spacing w:line="276" w:lineRule="auto"/>
        <w:ind w:firstLine="567"/>
        <w:jc w:val="both"/>
        <w:rPr>
          <w:lang w:eastAsia="lv-LV"/>
        </w:rPr>
      </w:pPr>
      <w:r w:rsidRPr="00D01CDE">
        <w:rPr>
          <w:lang w:eastAsia="lv-LV"/>
        </w:rPr>
        <w:t>Apgabaltiesa</w:t>
      </w:r>
      <w:r w:rsidR="001B36D2" w:rsidRPr="00D01CDE">
        <w:rPr>
          <w:lang w:eastAsia="lv-LV"/>
        </w:rPr>
        <w:t xml:space="preserve"> izvērtēja </w:t>
      </w:r>
      <w:r w:rsidR="002C27F7" w:rsidRPr="00D01CDE">
        <w:rPr>
          <w:lang w:eastAsia="lv-LV"/>
        </w:rPr>
        <w:t xml:space="preserve">lietas </w:t>
      </w:r>
      <w:r w:rsidR="001B36D2" w:rsidRPr="00D01CDE">
        <w:rPr>
          <w:lang w:eastAsia="lv-LV"/>
        </w:rPr>
        <w:t xml:space="preserve">apstākļus un </w:t>
      </w:r>
      <w:r w:rsidRPr="00D01CDE">
        <w:rPr>
          <w:lang w:eastAsia="lv-LV"/>
        </w:rPr>
        <w:t>konstatēja, ka</w:t>
      </w:r>
      <w:r w:rsidR="00364E5C" w:rsidRPr="00D01CDE">
        <w:rPr>
          <w:lang w:eastAsia="lv-LV"/>
        </w:rPr>
        <w:t>, lai gan SIA „</w:t>
      </w:r>
      <w:proofErr w:type="spellStart"/>
      <w:r w:rsidR="00364E5C" w:rsidRPr="00D01CDE">
        <w:rPr>
          <w:lang w:eastAsia="lv-LV"/>
        </w:rPr>
        <w:t>Alekon</w:t>
      </w:r>
      <w:proofErr w:type="spellEnd"/>
      <w:r w:rsidR="00364E5C" w:rsidRPr="00D01CDE">
        <w:rPr>
          <w:lang w:eastAsia="lv-LV"/>
        </w:rPr>
        <w:t xml:space="preserve"> LV” </w:t>
      </w:r>
      <w:proofErr w:type="gramStart"/>
      <w:r w:rsidR="00364E5C" w:rsidRPr="00D01CDE">
        <w:rPr>
          <w:lang w:eastAsia="lv-LV"/>
        </w:rPr>
        <w:t>2015.gada</w:t>
      </w:r>
      <w:proofErr w:type="gramEnd"/>
      <w:r w:rsidR="00364E5C" w:rsidRPr="00D01CDE">
        <w:rPr>
          <w:lang w:eastAsia="lv-LV"/>
        </w:rPr>
        <w:t xml:space="preserve"> 3.septembrī ir likvidēta,</w:t>
      </w:r>
      <w:r w:rsidRPr="00D01CDE">
        <w:rPr>
          <w:lang w:eastAsia="lv-LV"/>
        </w:rPr>
        <w:t xml:space="preserve"> pieteicējam bija </w:t>
      </w:r>
      <w:r w:rsidR="00364E5C" w:rsidRPr="00D01CDE">
        <w:rPr>
          <w:lang w:eastAsia="lv-LV"/>
        </w:rPr>
        <w:t>pietiekami</w:t>
      </w:r>
      <w:r w:rsidR="001F7699" w:rsidRPr="00D01CDE">
        <w:rPr>
          <w:lang w:eastAsia="lv-LV"/>
        </w:rPr>
        <w:t xml:space="preserve"> daudz</w:t>
      </w:r>
      <w:r w:rsidR="00364E5C" w:rsidRPr="00D01CDE">
        <w:rPr>
          <w:lang w:eastAsia="lv-LV"/>
        </w:rPr>
        <w:t xml:space="preserve"> laika nodokļa summas atgūšanas jautājumu risināt ar SIA „</w:t>
      </w:r>
      <w:proofErr w:type="spellStart"/>
      <w:r w:rsidR="00364E5C" w:rsidRPr="00D01CDE">
        <w:rPr>
          <w:lang w:eastAsia="lv-LV"/>
        </w:rPr>
        <w:t>Alekon</w:t>
      </w:r>
      <w:proofErr w:type="spellEnd"/>
      <w:r w:rsidR="00364E5C" w:rsidRPr="00D01CDE">
        <w:rPr>
          <w:lang w:eastAsia="lv-LV"/>
        </w:rPr>
        <w:t xml:space="preserve"> LV” un tas nav bijis pārmērīgi grūti, taču pieteicējs to nav darījis. </w:t>
      </w:r>
      <w:r w:rsidR="001B36D2" w:rsidRPr="00D01CDE">
        <w:rPr>
          <w:lang w:eastAsia="lv-LV"/>
        </w:rPr>
        <w:t>Apgabaltiesas atzina, ka pieteicēja rīcība, reizi gadā lūdzot SIA „</w:t>
      </w:r>
      <w:proofErr w:type="spellStart"/>
      <w:r w:rsidR="001B36D2" w:rsidRPr="00D01CDE">
        <w:rPr>
          <w:lang w:eastAsia="lv-LV"/>
        </w:rPr>
        <w:t>Alekon</w:t>
      </w:r>
      <w:proofErr w:type="spellEnd"/>
      <w:r w:rsidR="001B36D2" w:rsidRPr="00D01CDE">
        <w:rPr>
          <w:lang w:eastAsia="lv-LV"/>
        </w:rPr>
        <w:t xml:space="preserve"> LV” veikt kādas darbības, neliecina, ka pieteicējs aktīvi ir rīkojies savu interešu nodrošināšanā. Apgabaltiesa arī nesaskatīja objektīvus šķēršļus pieteicējam no </w:t>
      </w:r>
      <w:proofErr w:type="gramStart"/>
      <w:r w:rsidR="001B36D2" w:rsidRPr="00D01CDE">
        <w:rPr>
          <w:lang w:eastAsia="lv-LV"/>
        </w:rPr>
        <w:t>2012.gada</w:t>
      </w:r>
      <w:proofErr w:type="gramEnd"/>
      <w:r w:rsidR="001B36D2" w:rsidRPr="00D01CDE">
        <w:rPr>
          <w:lang w:eastAsia="lv-LV"/>
        </w:rPr>
        <w:t xml:space="preserve"> janvāra līdz SIA „</w:t>
      </w:r>
      <w:proofErr w:type="spellStart"/>
      <w:r w:rsidR="001B36D2" w:rsidRPr="00D01CDE">
        <w:rPr>
          <w:lang w:eastAsia="lv-LV"/>
        </w:rPr>
        <w:t>Alekon</w:t>
      </w:r>
      <w:proofErr w:type="spellEnd"/>
      <w:r w:rsidR="001B36D2" w:rsidRPr="00D01CDE">
        <w:rPr>
          <w:lang w:eastAsia="lv-LV"/>
        </w:rPr>
        <w:t xml:space="preserve"> LV” likvidācijai vērsties pret SIA „</w:t>
      </w:r>
      <w:proofErr w:type="spellStart"/>
      <w:r w:rsidR="001B36D2" w:rsidRPr="00D01CDE">
        <w:rPr>
          <w:lang w:eastAsia="lv-LV"/>
        </w:rPr>
        <w:t>Alekon</w:t>
      </w:r>
      <w:proofErr w:type="spellEnd"/>
      <w:r w:rsidR="001B36D2" w:rsidRPr="00D01CDE">
        <w:rPr>
          <w:lang w:eastAsia="lv-LV"/>
        </w:rPr>
        <w:t xml:space="preserve"> LV” civiltiesiskā kārtībā. Pieteicējs to apzināti nav darījis arī pēc tam, kad </w:t>
      </w:r>
      <w:proofErr w:type="gramStart"/>
      <w:r w:rsidR="001B36D2" w:rsidRPr="00D01CDE">
        <w:rPr>
          <w:lang w:eastAsia="lv-LV"/>
        </w:rPr>
        <w:t>2014.gada</w:t>
      </w:r>
      <w:proofErr w:type="gramEnd"/>
      <w:r w:rsidR="001B36D2" w:rsidRPr="00D01CDE">
        <w:rPr>
          <w:lang w:eastAsia="lv-LV"/>
        </w:rPr>
        <w:t xml:space="preserve"> decembrī ir saņēmis konkrētu ieteikumu no advokātu biroja. </w:t>
      </w:r>
    </w:p>
    <w:p w14:paraId="27B3B503" w14:textId="3FFA10F0" w:rsidR="000D410A" w:rsidRPr="00D01CDE" w:rsidRDefault="001B36D2" w:rsidP="00720561">
      <w:pPr>
        <w:spacing w:line="276" w:lineRule="auto"/>
        <w:ind w:firstLine="567"/>
        <w:jc w:val="both"/>
        <w:rPr>
          <w:lang w:eastAsia="lv-LV"/>
        </w:rPr>
      </w:pPr>
      <w:r w:rsidRPr="00D01CDE">
        <w:rPr>
          <w:lang w:eastAsia="lv-LV"/>
        </w:rPr>
        <w:t xml:space="preserve">Apgabaltiesa pievērsa uzmanību </w:t>
      </w:r>
      <w:r w:rsidR="001E5179" w:rsidRPr="00D01CDE">
        <w:rPr>
          <w:lang w:eastAsia="lv-LV"/>
        </w:rPr>
        <w:t>arī tam, ka</w:t>
      </w:r>
      <w:r w:rsidRPr="00D01CDE">
        <w:rPr>
          <w:lang w:eastAsia="lv-LV"/>
        </w:rPr>
        <w:t xml:space="preserve"> pieteicējs jau sākotnēji zināja vai tam vajadzēja zināt, ka no SIA</w:t>
      </w:r>
      <w:r w:rsidR="001E5179" w:rsidRPr="00D01CDE">
        <w:rPr>
          <w:lang w:eastAsia="lv-LV"/>
        </w:rPr>
        <w:t> </w:t>
      </w:r>
      <w:r w:rsidRPr="00D01CDE">
        <w:rPr>
          <w:lang w:eastAsia="lv-LV"/>
        </w:rPr>
        <w:t>„</w:t>
      </w:r>
      <w:proofErr w:type="spellStart"/>
      <w:r w:rsidRPr="00D01CDE">
        <w:rPr>
          <w:lang w:eastAsia="lv-LV"/>
        </w:rPr>
        <w:t>Alekon</w:t>
      </w:r>
      <w:proofErr w:type="spellEnd"/>
      <w:r w:rsidRPr="00D01CDE">
        <w:rPr>
          <w:lang w:eastAsia="lv-LV"/>
        </w:rPr>
        <w:t xml:space="preserve"> LV” saņemt</w:t>
      </w:r>
      <w:r w:rsidR="001E5179" w:rsidRPr="00D01CDE">
        <w:rPr>
          <w:lang w:eastAsia="lv-LV"/>
        </w:rPr>
        <w:t>ajos</w:t>
      </w:r>
      <w:r w:rsidRPr="00D01CDE">
        <w:rPr>
          <w:lang w:eastAsia="lv-LV"/>
        </w:rPr>
        <w:t xml:space="preserve"> </w:t>
      </w:r>
      <w:r w:rsidR="001E5179" w:rsidRPr="00D01CDE">
        <w:rPr>
          <w:lang w:eastAsia="lv-LV"/>
        </w:rPr>
        <w:t>r</w:t>
      </w:r>
      <w:r w:rsidRPr="00D01CDE">
        <w:rPr>
          <w:lang w:eastAsia="lv-LV"/>
        </w:rPr>
        <w:t>ēķin</w:t>
      </w:r>
      <w:r w:rsidR="001E5179" w:rsidRPr="00D01CDE">
        <w:rPr>
          <w:lang w:eastAsia="lv-LV"/>
        </w:rPr>
        <w:t>os</w:t>
      </w:r>
      <w:r w:rsidRPr="00D01CDE">
        <w:rPr>
          <w:lang w:eastAsia="lv-LV"/>
        </w:rPr>
        <w:t xml:space="preserve"> nepamatoti ir ietverts </w:t>
      </w:r>
      <w:r w:rsidR="001E5179" w:rsidRPr="00D01CDE">
        <w:rPr>
          <w:lang w:eastAsia="lv-LV"/>
        </w:rPr>
        <w:t xml:space="preserve">pievienotās vērtības nodoklis </w:t>
      </w:r>
      <w:r w:rsidRPr="00D01CDE">
        <w:rPr>
          <w:lang w:eastAsia="lv-LV"/>
        </w:rPr>
        <w:t>par pakalpojumiem.</w:t>
      </w:r>
      <w:r w:rsidR="001E5179" w:rsidRPr="00D01CDE">
        <w:rPr>
          <w:lang w:eastAsia="lv-LV"/>
        </w:rPr>
        <w:t xml:space="preserve"> </w:t>
      </w:r>
      <w:r w:rsidRPr="00D01CDE">
        <w:rPr>
          <w:lang w:eastAsia="lv-LV"/>
        </w:rPr>
        <w:t>Apgabaltiesa ņ</w:t>
      </w:r>
      <w:r w:rsidR="001E5179" w:rsidRPr="00D01CDE">
        <w:rPr>
          <w:lang w:eastAsia="lv-LV"/>
        </w:rPr>
        <w:t>ē</w:t>
      </w:r>
      <w:r w:rsidRPr="00D01CDE">
        <w:rPr>
          <w:lang w:eastAsia="lv-LV"/>
        </w:rPr>
        <w:t>m</w:t>
      </w:r>
      <w:r w:rsidR="001E5179" w:rsidRPr="00D01CDE">
        <w:rPr>
          <w:lang w:eastAsia="lv-LV"/>
        </w:rPr>
        <w:t>a</w:t>
      </w:r>
      <w:r w:rsidRPr="00D01CDE">
        <w:rPr>
          <w:lang w:eastAsia="lv-LV"/>
        </w:rPr>
        <w:t xml:space="preserve"> vērā, ka pieteicējs piesaistīja SIA</w:t>
      </w:r>
      <w:r w:rsidR="001E5179" w:rsidRPr="00D01CDE">
        <w:rPr>
          <w:lang w:eastAsia="lv-LV"/>
        </w:rPr>
        <w:t> </w:t>
      </w:r>
      <w:r w:rsidRPr="00D01CDE">
        <w:rPr>
          <w:lang w:eastAsia="lv-LV"/>
        </w:rPr>
        <w:t>„</w:t>
      </w:r>
      <w:proofErr w:type="spellStart"/>
      <w:r w:rsidRPr="00D01CDE">
        <w:rPr>
          <w:lang w:eastAsia="lv-LV"/>
        </w:rPr>
        <w:t>Alekon</w:t>
      </w:r>
      <w:proofErr w:type="spellEnd"/>
      <w:r w:rsidRPr="00D01CDE">
        <w:rPr>
          <w:lang w:eastAsia="lv-LV"/>
        </w:rPr>
        <w:t xml:space="preserve"> LV” kā apakšuzņēmēju Pamatlīguma izpildē un Līgums pēc būtības ir balstīts uz Pamatlīgumu. Pamatlīguma 3.2.punktā paredzēts, ka nodokļi, kas maksājami saskaņā ar Latvijas likumiem ir pieteicēja atbildība un ka pieteicējs pasūtītājam Itālijas uzņēmumam</w:t>
      </w:r>
      <w:r w:rsidR="001E5179" w:rsidRPr="00D01CDE">
        <w:rPr>
          <w:lang w:eastAsia="lv-LV"/>
        </w:rPr>
        <w:t xml:space="preserve"> </w:t>
      </w:r>
      <w:r w:rsidRPr="00D01CDE">
        <w:rPr>
          <w:i/>
          <w:iCs/>
          <w:lang w:eastAsia="lv-LV"/>
        </w:rPr>
        <w:t>STG</w:t>
      </w:r>
      <w:r w:rsidR="001E5179" w:rsidRPr="00D01CDE">
        <w:rPr>
          <w:i/>
          <w:iCs/>
          <w:lang w:eastAsia="lv-LV"/>
        </w:rPr>
        <w:t> </w:t>
      </w:r>
      <w:proofErr w:type="spellStart"/>
      <w:r w:rsidRPr="00D01CDE">
        <w:rPr>
          <w:i/>
          <w:iCs/>
          <w:lang w:eastAsia="lv-LV"/>
        </w:rPr>
        <w:t>Group</w:t>
      </w:r>
      <w:proofErr w:type="spellEnd"/>
      <w:r w:rsidR="001E5179" w:rsidRPr="00D01CDE">
        <w:rPr>
          <w:i/>
          <w:iCs/>
          <w:lang w:eastAsia="lv-LV"/>
        </w:rPr>
        <w:t> </w:t>
      </w:r>
      <w:r w:rsidRPr="00D01CDE">
        <w:rPr>
          <w:i/>
          <w:iCs/>
          <w:lang w:eastAsia="lv-LV"/>
        </w:rPr>
        <w:t>S.P.A</w:t>
      </w:r>
      <w:r w:rsidR="001E5179" w:rsidRPr="00D01CDE">
        <w:rPr>
          <w:i/>
          <w:iCs/>
          <w:lang w:eastAsia="lv-LV"/>
        </w:rPr>
        <w:t xml:space="preserve"> </w:t>
      </w:r>
      <w:r w:rsidRPr="00D01CDE">
        <w:rPr>
          <w:lang w:eastAsia="lv-LV"/>
        </w:rPr>
        <w:t>izsniegs rēķinus ar 0</w:t>
      </w:r>
      <w:r w:rsidR="001E5179" w:rsidRPr="00D01CDE">
        <w:rPr>
          <w:lang w:eastAsia="lv-LV"/>
        </w:rPr>
        <w:t> </w:t>
      </w:r>
      <w:r w:rsidRPr="00D01CDE">
        <w:rPr>
          <w:lang w:eastAsia="lv-LV"/>
        </w:rPr>
        <w:t xml:space="preserve">% </w:t>
      </w:r>
      <w:r w:rsidR="001E5179" w:rsidRPr="00D01CDE">
        <w:rPr>
          <w:lang w:eastAsia="lv-LV"/>
        </w:rPr>
        <w:t>pievienotās vērtības nodokļa likmi</w:t>
      </w:r>
      <w:r w:rsidRPr="00D01CDE">
        <w:rPr>
          <w:lang w:eastAsia="lv-LV"/>
        </w:rPr>
        <w:t>. Savukārt Līguma ar SIA</w:t>
      </w:r>
      <w:r w:rsidR="00236A6A" w:rsidRPr="00D01CDE">
        <w:rPr>
          <w:lang w:eastAsia="lv-LV"/>
        </w:rPr>
        <w:t> </w:t>
      </w:r>
      <w:r w:rsidRPr="00D01CDE">
        <w:rPr>
          <w:lang w:eastAsia="lv-LV"/>
        </w:rPr>
        <w:t>„</w:t>
      </w:r>
      <w:proofErr w:type="spellStart"/>
      <w:r w:rsidRPr="00D01CDE">
        <w:rPr>
          <w:lang w:eastAsia="lv-LV"/>
        </w:rPr>
        <w:t>Alekon</w:t>
      </w:r>
      <w:proofErr w:type="spellEnd"/>
      <w:r w:rsidRPr="00D01CDE">
        <w:rPr>
          <w:lang w:eastAsia="lv-LV"/>
        </w:rPr>
        <w:t xml:space="preserve"> LV” 3.1. un 4.2.punktā līgumcena ir noteikta, paredzot, ka papildus tiek aprēķināts Latvijā piemērojamais </w:t>
      </w:r>
      <w:r w:rsidR="00236A6A" w:rsidRPr="00D01CDE">
        <w:rPr>
          <w:lang w:eastAsia="lv-LV"/>
        </w:rPr>
        <w:t>pievienotās vērtības nodoklis</w:t>
      </w:r>
      <w:r w:rsidRPr="00D01CDE">
        <w:rPr>
          <w:lang w:eastAsia="lv-LV"/>
        </w:rPr>
        <w:t>, kas tiks iekasēts ar rēķinu starpniecību.</w:t>
      </w:r>
      <w:r w:rsidR="00236A6A" w:rsidRPr="00D01CDE">
        <w:rPr>
          <w:lang w:eastAsia="lv-LV"/>
        </w:rPr>
        <w:t xml:space="preserve"> Apgabaltiesa atzina, ka tādējādi jau Līguma slēgšanas brīdī pieteicējs apzināti vai, </w:t>
      </w:r>
      <w:r w:rsidR="00236A6A" w:rsidRPr="00D01CDE">
        <w:rPr>
          <w:lang w:eastAsia="lv-LV"/>
        </w:rPr>
        <w:lastRenderedPageBreak/>
        <w:t>pieļaujot neatbilstošu rūpību, ir noslēdzis Līgumu, nepamatoti paredzot pievienotās vērtības nodokļa iekļ</w:t>
      </w:r>
      <w:r w:rsidR="00E8536E" w:rsidRPr="00D01CDE">
        <w:rPr>
          <w:lang w:eastAsia="lv-LV"/>
        </w:rPr>
        <w:t>aušanu rēķinos par pakalpojumu.</w:t>
      </w:r>
    </w:p>
    <w:p w14:paraId="184EE2B0" w14:textId="62844ACB" w:rsidR="00E51B4A" w:rsidRPr="00D01CDE" w:rsidRDefault="001F7699" w:rsidP="00E51B4A">
      <w:pPr>
        <w:spacing w:line="276" w:lineRule="auto"/>
        <w:ind w:firstLine="567"/>
        <w:jc w:val="both"/>
      </w:pPr>
      <w:r w:rsidRPr="00D01CDE">
        <w:rPr>
          <w:lang w:eastAsia="lv-LV"/>
        </w:rPr>
        <w:t>Senāts atzīst minētos apgabaltiesas secinājumus par pamatotiem. Tā kā pieteicējs citas Eiropas Savienības dalībvalsts nodokļu maksātājam ir sniedzis pakalpojumu, kas ir analoģisks pakalpojumam, ko tas ir saņēmis no SIA „</w:t>
      </w:r>
      <w:proofErr w:type="spellStart"/>
      <w:r w:rsidRPr="00D01CDE">
        <w:rPr>
          <w:lang w:eastAsia="lv-LV"/>
        </w:rPr>
        <w:t>Alekon</w:t>
      </w:r>
      <w:proofErr w:type="spellEnd"/>
      <w:r w:rsidRPr="00D01CDE">
        <w:rPr>
          <w:lang w:eastAsia="lv-LV"/>
        </w:rPr>
        <w:t xml:space="preserve"> LV”, pieteicējam jau no Pamatlīguma bija zināma pievienotās vērtības nodokļa maksāšanas kārtība šādā gadījumā, kad pakalpojums tiek sniegts citas dalībvalsts komersantam. </w:t>
      </w:r>
      <w:r w:rsidR="003212BF" w:rsidRPr="00D01CDE">
        <w:rPr>
          <w:lang w:eastAsia="lv-LV"/>
        </w:rPr>
        <w:t>Taču pieteicējs un SIA „</w:t>
      </w:r>
      <w:proofErr w:type="spellStart"/>
      <w:r w:rsidR="003212BF" w:rsidRPr="00D01CDE">
        <w:rPr>
          <w:lang w:eastAsia="lv-LV"/>
        </w:rPr>
        <w:t>Alekon</w:t>
      </w:r>
      <w:proofErr w:type="spellEnd"/>
      <w:r w:rsidR="003212BF" w:rsidRPr="00D01CDE">
        <w:rPr>
          <w:lang w:eastAsia="lv-LV"/>
        </w:rPr>
        <w:t xml:space="preserve"> LV” Līgumā ir ietvēruši atšķirīgu nodokļa maksāšanas kārtību</w:t>
      </w:r>
      <w:r w:rsidR="00E51B4A" w:rsidRPr="00D01CDE">
        <w:rPr>
          <w:lang w:eastAsia="lv-LV"/>
        </w:rPr>
        <w:t>. Turklāt pieteicējs nav sniedzis tiesību normās balstītu pamatojumu šādiem Līguma noteikumiem, vienīgi norādījis, ka tā bijusi SIA „</w:t>
      </w:r>
      <w:proofErr w:type="spellStart"/>
      <w:r w:rsidR="00E51B4A" w:rsidRPr="00D01CDE">
        <w:rPr>
          <w:lang w:eastAsia="lv-LV"/>
        </w:rPr>
        <w:t>Alekon</w:t>
      </w:r>
      <w:proofErr w:type="spellEnd"/>
      <w:r w:rsidR="00E51B4A" w:rsidRPr="00D01CDE">
        <w:rPr>
          <w:lang w:eastAsia="lv-LV"/>
        </w:rPr>
        <w:t xml:space="preserve"> LV” prasība.</w:t>
      </w:r>
      <w:r w:rsidR="00121C96" w:rsidRPr="00D01CDE">
        <w:rPr>
          <w:lang w:eastAsia="lv-LV"/>
        </w:rPr>
        <w:t xml:space="preserve"> Tāpēc nav pamatots pieteicēja kasācijas arguments, ka</w:t>
      </w:r>
      <w:r w:rsidR="00E51B4A" w:rsidRPr="00D01CDE">
        <w:rPr>
          <w:lang w:eastAsia="lv-LV"/>
        </w:rPr>
        <w:t xml:space="preserve"> apgabaltiesa ir ignorējusi pieteicēja pārstāvja liecināto, ka šis bija vienīgais pieteicēja šāda veida projekts Eiropas Savienībā un ka nav saprātīgi uzskatīt, ka citas valsts nodokļu maksātājam būtu jāpārzina Latvijas pievienotās vērtības nodokļa piemērošana sarežģītā situācijā. Pieteicējs nav paskaidrojis, kāda tieši ir sarežģītā situācija pievienotās vērtības nodokļa piemērošanā Latvijā, kas atšķirtos no </w:t>
      </w:r>
      <w:r w:rsidR="00E51B4A" w:rsidRPr="00D01CDE">
        <w:t>Direktīvā 2006/112/EK noteiktā, turklāt ņemot vērā to, ka Direktīvas 2006/112/EK prasības ir ieviestas likumā „Par pievienotās vērtības nodokli”.</w:t>
      </w:r>
    </w:p>
    <w:p w14:paraId="52F6A4BD" w14:textId="72A92C14" w:rsidR="00AB515B" w:rsidRPr="00D01CDE" w:rsidRDefault="0014296A" w:rsidP="00720561">
      <w:pPr>
        <w:spacing w:line="276" w:lineRule="auto"/>
        <w:ind w:firstLine="567"/>
        <w:jc w:val="both"/>
        <w:rPr>
          <w:lang w:eastAsia="lv-LV"/>
        </w:rPr>
      </w:pPr>
      <w:r w:rsidRPr="00D01CDE">
        <w:rPr>
          <w:lang w:eastAsia="lv-LV"/>
        </w:rPr>
        <w:t xml:space="preserve">Pieteicējs kasācijas sūdzībā ir izteicis iebildumus par to, kā apgabaltiesa ir novērtējusi liecinieku – pieteicēja pārstāvja </w:t>
      </w:r>
      <w:proofErr w:type="gramStart"/>
      <w:r w:rsidR="00E6756C">
        <w:rPr>
          <w:lang w:eastAsia="lv-LV"/>
        </w:rPr>
        <w:t>[</w:t>
      </w:r>
      <w:proofErr w:type="gramEnd"/>
      <w:r w:rsidR="00E6756C">
        <w:rPr>
          <w:lang w:eastAsia="lv-LV"/>
        </w:rPr>
        <w:t>pers. A]</w:t>
      </w:r>
      <w:r w:rsidRPr="00D01CDE">
        <w:rPr>
          <w:lang w:eastAsia="lv-LV"/>
        </w:rPr>
        <w:t>, SIA „</w:t>
      </w:r>
      <w:proofErr w:type="spellStart"/>
      <w:r w:rsidRPr="00D01CDE">
        <w:rPr>
          <w:lang w:eastAsia="lv-LV"/>
        </w:rPr>
        <w:t>Alekon</w:t>
      </w:r>
      <w:proofErr w:type="spellEnd"/>
      <w:r w:rsidRPr="00D01CDE">
        <w:rPr>
          <w:lang w:eastAsia="lv-LV"/>
        </w:rPr>
        <w:t xml:space="preserve"> LV” amatpersonas </w:t>
      </w:r>
      <w:proofErr w:type="gramStart"/>
      <w:r w:rsidR="00E6756C">
        <w:rPr>
          <w:lang w:eastAsia="lv-LV"/>
        </w:rPr>
        <w:t>[</w:t>
      </w:r>
      <w:proofErr w:type="gramEnd"/>
      <w:r w:rsidR="00E6756C">
        <w:rPr>
          <w:lang w:eastAsia="lv-LV"/>
        </w:rPr>
        <w:t>pers. B]</w:t>
      </w:r>
      <w:r w:rsidRPr="00D01CDE">
        <w:rPr>
          <w:lang w:eastAsia="lv-LV"/>
        </w:rPr>
        <w:t xml:space="preserve"> un grāmatvedes </w:t>
      </w:r>
      <w:proofErr w:type="gramStart"/>
      <w:r w:rsidR="00E6756C">
        <w:rPr>
          <w:lang w:eastAsia="lv-LV"/>
        </w:rPr>
        <w:t>[</w:t>
      </w:r>
      <w:proofErr w:type="gramEnd"/>
      <w:r w:rsidR="00E6756C">
        <w:rPr>
          <w:lang w:eastAsia="lv-LV"/>
        </w:rPr>
        <w:t>pers. C]</w:t>
      </w:r>
      <w:r w:rsidRPr="00D01CDE">
        <w:rPr>
          <w:lang w:eastAsia="lv-LV"/>
        </w:rPr>
        <w:t xml:space="preserve"> liecības.</w:t>
      </w:r>
      <w:r w:rsidR="003342DE" w:rsidRPr="00D01CDE">
        <w:rPr>
          <w:lang w:eastAsia="lv-LV"/>
        </w:rPr>
        <w:t xml:space="preserve"> Pieteicējs</w:t>
      </w:r>
      <w:r w:rsidR="001B6382" w:rsidRPr="00D01CDE">
        <w:rPr>
          <w:lang w:eastAsia="lv-LV"/>
        </w:rPr>
        <w:t xml:space="preserve"> uzskata, ka tiesa ir piešķīrusi lielāku nozīmi SIA „</w:t>
      </w:r>
      <w:proofErr w:type="spellStart"/>
      <w:r w:rsidR="001B6382" w:rsidRPr="00D01CDE">
        <w:rPr>
          <w:lang w:eastAsia="lv-LV"/>
        </w:rPr>
        <w:t>Alekon</w:t>
      </w:r>
      <w:proofErr w:type="spellEnd"/>
      <w:r w:rsidR="001B6382" w:rsidRPr="00D01CDE">
        <w:rPr>
          <w:lang w:eastAsia="lv-LV"/>
        </w:rPr>
        <w:t xml:space="preserve"> LV” pārstāvju liecībām par to, ka pieteicēj</w:t>
      </w:r>
      <w:r w:rsidR="001F7699" w:rsidRPr="00D01CDE">
        <w:rPr>
          <w:lang w:eastAsia="lv-LV"/>
        </w:rPr>
        <w:t>s</w:t>
      </w:r>
      <w:r w:rsidR="001B6382" w:rsidRPr="00D01CDE">
        <w:rPr>
          <w:lang w:eastAsia="lv-LV"/>
        </w:rPr>
        <w:t xml:space="preserve"> nav vērsies pie SIA „</w:t>
      </w:r>
      <w:proofErr w:type="spellStart"/>
      <w:r w:rsidR="001B6382" w:rsidRPr="00D01CDE">
        <w:rPr>
          <w:lang w:eastAsia="lv-LV"/>
        </w:rPr>
        <w:t>Alekon</w:t>
      </w:r>
      <w:proofErr w:type="spellEnd"/>
      <w:r w:rsidR="001B6382" w:rsidRPr="00D01CDE">
        <w:rPr>
          <w:lang w:eastAsia="lv-LV"/>
        </w:rPr>
        <w:t xml:space="preserve"> LV” ar lūgumu labot rēķinus un atgūt pievienotās vērtības nodokli sarunu ceļā, iepretim pieteicēja pārstāvja liecībai un pierādījumam par pazi</w:t>
      </w:r>
      <w:r w:rsidR="00E8536E" w:rsidRPr="00D01CDE">
        <w:rPr>
          <w:lang w:eastAsia="lv-LV"/>
        </w:rPr>
        <w:t>ņojuma piegādi SIA „</w:t>
      </w:r>
      <w:proofErr w:type="spellStart"/>
      <w:r w:rsidR="00E8536E" w:rsidRPr="00D01CDE">
        <w:rPr>
          <w:lang w:eastAsia="lv-LV"/>
        </w:rPr>
        <w:t>Alekon</w:t>
      </w:r>
      <w:proofErr w:type="spellEnd"/>
      <w:r w:rsidR="00E8536E" w:rsidRPr="00D01CDE">
        <w:rPr>
          <w:lang w:eastAsia="lv-LV"/>
        </w:rPr>
        <w:t xml:space="preserve"> LV”.</w:t>
      </w:r>
    </w:p>
    <w:p w14:paraId="2B8A5387" w14:textId="7768A359" w:rsidR="00395AE9" w:rsidRPr="00D01CDE" w:rsidRDefault="00121C96" w:rsidP="00720561">
      <w:pPr>
        <w:spacing w:line="276" w:lineRule="auto"/>
        <w:ind w:firstLine="567"/>
        <w:jc w:val="both"/>
      </w:pPr>
      <w:r w:rsidRPr="00D01CDE">
        <w:rPr>
          <w:lang w:eastAsia="lv-LV"/>
        </w:rPr>
        <w:t>Minēti</w:t>
      </w:r>
      <w:r w:rsidR="00E8536E" w:rsidRPr="00D01CDE">
        <w:rPr>
          <w:lang w:eastAsia="lv-LV"/>
        </w:rPr>
        <w:t>e</w:t>
      </w:r>
      <w:r w:rsidRPr="00D01CDE">
        <w:rPr>
          <w:lang w:eastAsia="lv-LV"/>
        </w:rPr>
        <w:t xml:space="preserve"> </w:t>
      </w:r>
      <w:r w:rsidR="00AB515B" w:rsidRPr="00D01CDE">
        <w:rPr>
          <w:lang w:eastAsia="lv-LV"/>
        </w:rPr>
        <w:t>argument</w:t>
      </w:r>
      <w:r w:rsidR="008C60B2" w:rsidRPr="00D01CDE">
        <w:rPr>
          <w:lang w:eastAsia="lv-LV"/>
        </w:rPr>
        <w:t>i</w:t>
      </w:r>
      <w:r w:rsidRPr="00D01CDE">
        <w:rPr>
          <w:lang w:eastAsia="lv-LV"/>
        </w:rPr>
        <w:t xml:space="preserve"> neliecina</w:t>
      </w:r>
      <w:r w:rsidR="00AB515B" w:rsidRPr="00D01CDE">
        <w:rPr>
          <w:lang w:eastAsia="lv-LV"/>
        </w:rPr>
        <w:t xml:space="preserve"> par to, ka apgabaltiesa ir pārkāpusi Administratīvā procesa likuma 107. un </w:t>
      </w:r>
      <w:proofErr w:type="gramStart"/>
      <w:r w:rsidR="00AB515B" w:rsidRPr="00D01CDE">
        <w:rPr>
          <w:lang w:eastAsia="lv-LV"/>
        </w:rPr>
        <w:t>154.pantu</w:t>
      </w:r>
      <w:proofErr w:type="gramEnd"/>
      <w:r w:rsidR="001C11C1" w:rsidRPr="00D01CDE">
        <w:rPr>
          <w:lang w:eastAsia="lv-LV"/>
        </w:rPr>
        <w:t xml:space="preserve"> noteikumus par pierādījumu vērtējumu</w:t>
      </w:r>
      <w:r w:rsidR="00C928A4" w:rsidRPr="00D01CDE">
        <w:rPr>
          <w:lang w:eastAsia="lv-LV"/>
        </w:rPr>
        <w:t xml:space="preserve">, </w:t>
      </w:r>
      <w:r w:rsidR="001F7699" w:rsidRPr="00D01CDE">
        <w:rPr>
          <w:lang w:eastAsia="lv-LV"/>
        </w:rPr>
        <w:t xml:space="preserve">un </w:t>
      </w:r>
      <w:r w:rsidR="00C928A4" w:rsidRPr="00D01CDE">
        <w:rPr>
          <w:lang w:eastAsia="lv-LV"/>
        </w:rPr>
        <w:t>Senāta kompetencē nav pierādījumu pārvērtēšana.</w:t>
      </w:r>
      <w:r w:rsidR="00AB515B" w:rsidRPr="00D01CDE">
        <w:rPr>
          <w:lang w:eastAsia="lv-LV"/>
        </w:rPr>
        <w:t xml:space="preserve"> Lai arī tiesa ir konstatējusi pretrunas pieteicēja sniegtajos pierādījumos un SIA „</w:t>
      </w:r>
      <w:proofErr w:type="spellStart"/>
      <w:r w:rsidR="00AB515B" w:rsidRPr="00D01CDE">
        <w:rPr>
          <w:lang w:eastAsia="lv-LV"/>
        </w:rPr>
        <w:t>Alekon</w:t>
      </w:r>
      <w:proofErr w:type="spellEnd"/>
      <w:r w:rsidR="00AB515B" w:rsidRPr="00D01CDE">
        <w:rPr>
          <w:lang w:eastAsia="lv-LV"/>
        </w:rPr>
        <w:t xml:space="preserve"> LV” pārstāvju liecībās par to, vai pieteicēj</w:t>
      </w:r>
      <w:r w:rsidR="001C11C1" w:rsidRPr="00D01CDE">
        <w:rPr>
          <w:lang w:eastAsia="lv-LV"/>
        </w:rPr>
        <w:t>s</w:t>
      </w:r>
      <w:r w:rsidR="00AB515B" w:rsidRPr="00D01CDE">
        <w:rPr>
          <w:lang w:eastAsia="lv-LV"/>
        </w:rPr>
        <w:t xml:space="preserve"> </w:t>
      </w:r>
      <w:proofErr w:type="gramStart"/>
      <w:r w:rsidR="00AB515B" w:rsidRPr="00D01CDE">
        <w:rPr>
          <w:lang w:eastAsia="lv-LV"/>
        </w:rPr>
        <w:t>2013.gadā</w:t>
      </w:r>
      <w:proofErr w:type="gramEnd"/>
      <w:r w:rsidR="00AB515B" w:rsidRPr="00D01CDE">
        <w:rPr>
          <w:lang w:eastAsia="lv-LV"/>
        </w:rPr>
        <w:t xml:space="preserve"> ir vērsies pie SIA „</w:t>
      </w:r>
      <w:proofErr w:type="spellStart"/>
      <w:r w:rsidR="00AB515B" w:rsidRPr="00D01CDE">
        <w:rPr>
          <w:lang w:eastAsia="lv-LV"/>
        </w:rPr>
        <w:t>Alekon</w:t>
      </w:r>
      <w:proofErr w:type="spellEnd"/>
      <w:r w:rsidR="00AB515B" w:rsidRPr="00D01CDE">
        <w:rPr>
          <w:lang w:eastAsia="lv-LV"/>
        </w:rPr>
        <w:t xml:space="preserve"> LV” ar lūgumu par rēķinu labošanu un pievienotās vērtības nodokļa</w:t>
      </w:r>
      <w:r w:rsidR="001C11C1" w:rsidRPr="00D01CDE">
        <w:rPr>
          <w:lang w:eastAsia="lv-LV"/>
        </w:rPr>
        <w:t xml:space="preserve"> summas</w:t>
      </w:r>
      <w:r w:rsidR="00AB515B" w:rsidRPr="00D01CDE">
        <w:rPr>
          <w:lang w:eastAsia="lv-LV"/>
        </w:rPr>
        <w:t xml:space="preserve"> atmaksu, tiesa ir vērtējusi minēto kopsakarā ar pieteicēja rīcību turpmākajos gados, proti, to, ka pieteicējs nav izmantojis tiesības vērsties pret SIA „</w:t>
      </w:r>
      <w:proofErr w:type="spellStart"/>
      <w:r w:rsidR="00AB515B" w:rsidRPr="00D01CDE">
        <w:rPr>
          <w:lang w:eastAsia="lv-LV"/>
        </w:rPr>
        <w:t>Alekon</w:t>
      </w:r>
      <w:proofErr w:type="spellEnd"/>
      <w:r w:rsidR="00AB515B" w:rsidRPr="00D01CDE">
        <w:rPr>
          <w:lang w:eastAsia="lv-LV"/>
        </w:rPr>
        <w:t xml:space="preserve"> LV” civiltiesiskā kārtībā vairāku gadu garumā, pat pēc tam, kad pieteicēja</w:t>
      </w:r>
      <w:r w:rsidR="001C11C1" w:rsidRPr="00D01CDE">
        <w:rPr>
          <w:lang w:eastAsia="lv-LV"/>
        </w:rPr>
        <w:t>m</w:t>
      </w:r>
      <w:r w:rsidR="00AB515B" w:rsidRPr="00D01CDE">
        <w:rPr>
          <w:lang w:eastAsia="lv-LV"/>
        </w:rPr>
        <w:t xml:space="preserve"> t</w:t>
      </w:r>
      <w:r w:rsidR="008C60B2" w:rsidRPr="00D01CDE">
        <w:rPr>
          <w:lang w:eastAsia="lv-LV"/>
        </w:rPr>
        <w:t>o</w:t>
      </w:r>
      <w:r w:rsidR="00AB515B" w:rsidRPr="00D01CDE">
        <w:rPr>
          <w:lang w:eastAsia="lv-LV"/>
        </w:rPr>
        <w:t xml:space="preserve"> tieši </w:t>
      </w:r>
      <w:r w:rsidR="008C60B2" w:rsidRPr="00D01CDE">
        <w:rPr>
          <w:lang w:eastAsia="lv-LV"/>
        </w:rPr>
        <w:t>ieteica advokāts</w:t>
      </w:r>
      <w:r w:rsidRPr="00D01CDE">
        <w:rPr>
          <w:lang w:eastAsia="lv-LV"/>
        </w:rPr>
        <w:t>.</w:t>
      </w:r>
    </w:p>
    <w:p w14:paraId="7C4E2C80" w14:textId="77777777" w:rsidR="005A6323" w:rsidRPr="00D01CDE" w:rsidRDefault="005A6323" w:rsidP="00395AE9">
      <w:pPr>
        <w:spacing w:line="276" w:lineRule="auto"/>
        <w:ind w:firstLine="567"/>
        <w:jc w:val="both"/>
        <w:rPr>
          <w:lang w:eastAsia="lv-LV"/>
        </w:rPr>
      </w:pPr>
    </w:p>
    <w:p w14:paraId="57D02205" w14:textId="114B1BEA" w:rsidR="00236A6A" w:rsidRPr="00D01CDE" w:rsidRDefault="005A6323" w:rsidP="00720561">
      <w:pPr>
        <w:spacing w:line="276" w:lineRule="auto"/>
        <w:ind w:firstLine="567"/>
        <w:jc w:val="both"/>
        <w:rPr>
          <w:lang w:eastAsia="lv-LV"/>
        </w:rPr>
      </w:pPr>
      <w:r w:rsidRPr="00D01CDE">
        <w:rPr>
          <w:lang w:eastAsia="lv-LV"/>
        </w:rPr>
        <w:t>[9] Apkopojot iepriekš minēto, secināms, ka</w:t>
      </w:r>
      <w:r w:rsidR="00D07AB5" w:rsidRPr="00D01CDE">
        <w:t xml:space="preserve"> pieteicējam nav tiesību prasīt atmaksāt </w:t>
      </w:r>
      <w:r w:rsidR="00D07AB5" w:rsidRPr="00D01CDE">
        <w:rPr>
          <w:lang w:eastAsia="lv-LV"/>
        </w:rPr>
        <w:t>SIA „</w:t>
      </w:r>
      <w:proofErr w:type="spellStart"/>
      <w:r w:rsidR="00D07AB5" w:rsidRPr="00D01CDE">
        <w:rPr>
          <w:lang w:eastAsia="lv-LV"/>
        </w:rPr>
        <w:t>Alekon</w:t>
      </w:r>
      <w:proofErr w:type="spellEnd"/>
      <w:r w:rsidR="00D07AB5" w:rsidRPr="00D01CDE">
        <w:rPr>
          <w:lang w:eastAsia="lv-LV"/>
        </w:rPr>
        <w:t xml:space="preserve"> LV” </w:t>
      </w:r>
      <w:r w:rsidR="00D07AB5" w:rsidRPr="00D01CDE">
        <w:t>rēķinos norādīto pievienotās vērtības nodokli</w:t>
      </w:r>
      <w:r w:rsidR="00716B13" w:rsidRPr="00D01CDE">
        <w:t xml:space="preserve"> no budžeta</w:t>
      </w:r>
      <w:r w:rsidR="00D07AB5" w:rsidRPr="00D01CDE">
        <w:t xml:space="preserve">, jo nodoklis šajos rēķinos iekļauts kļūdaini. Savukārt </w:t>
      </w:r>
      <w:r w:rsidRPr="00D01CDE">
        <w:rPr>
          <w:lang w:eastAsia="lv-LV"/>
        </w:rPr>
        <w:t>t</w:t>
      </w:r>
      <w:r w:rsidR="00C928A4" w:rsidRPr="00D01CDE">
        <w:rPr>
          <w:lang w:eastAsia="lv-LV"/>
        </w:rPr>
        <w:t>ā kā pieteicējam vajadzēja zināt</w:t>
      </w:r>
      <w:r w:rsidRPr="00D01CDE">
        <w:rPr>
          <w:lang w:eastAsia="lv-LV"/>
        </w:rPr>
        <w:t xml:space="preserve">, </w:t>
      </w:r>
      <w:r w:rsidR="00D07AB5" w:rsidRPr="00D01CDE">
        <w:rPr>
          <w:lang w:eastAsia="lv-LV"/>
        </w:rPr>
        <w:t xml:space="preserve">jau </w:t>
      </w:r>
      <w:r w:rsidRPr="00D01CDE">
        <w:rPr>
          <w:lang w:eastAsia="lv-LV"/>
        </w:rPr>
        <w:t xml:space="preserve">slēdzot Līgumu, </w:t>
      </w:r>
      <w:r w:rsidR="00C928A4" w:rsidRPr="00D01CDE">
        <w:rPr>
          <w:lang w:eastAsia="lv-LV"/>
        </w:rPr>
        <w:t>vai bija jāsaprot</w:t>
      </w:r>
      <w:r w:rsidRPr="00D01CDE">
        <w:rPr>
          <w:lang w:eastAsia="lv-LV"/>
        </w:rPr>
        <w:t xml:space="preserve">, </w:t>
      </w:r>
      <w:r w:rsidR="00C928A4" w:rsidRPr="00D01CDE">
        <w:rPr>
          <w:lang w:eastAsia="lv-LV"/>
        </w:rPr>
        <w:t>saņemot dienesta atteikumu atmaksāt pievienotās vērtības nodokli, ka SIA „</w:t>
      </w:r>
      <w:proofErr w:type="spellStart"/>
      <w:r w:rsidR="00C928A4" w:rsidRPr="00D01CDE">
        <w:rPr>
          <w:lang w:eastAsia="lv-LV"/>
        </w:rPr>
        <w:t>Alekon</w:t>
      </w:r>
      <w:proofErr w:type="spellEnd"/>
      <w:r w:rsidR="00C928A4" w:rsidRPr="00D01CDE">
        <w:rPr>
          <w:lang w:eastAsia="lv-LV"/>
        </w:rPr>
        <w:t xml:space="preserve"> LV” rēķin</w:t>
      </w:r>
      <w:r w:rsidR="00D07AB5" w:rsidRPr="00D01CDE">
        <w:rPr>
          <w:lang w:eastAsia="lv-LV"/>
        </w:rPr>
        <w:t>i</w:t>
      </w:r>
      <w:r w:rsidR="00C928A4" w:rsidRPr="00D01CDE">
        <w:rPr>
          <w:lang w:eastAsia="lv-LV"/>
        </w:rPr>
        <w:t xml:space="preserve"> ir kļūdaini</w:t>
      </w:r>
      <w:r w:rsidR="00D07AB5" w:rsidRPr="00D01CDE">
        <w:rPr>
          <w:lang w:eastAsia="lv-LV"/>
        </w:rPr>
        <w:t xml:space="preserve">, </w:t>
      </w:r>
      <w:r w:rsidR="00ED2D6E" w:rsidRPr="00D01CDE">
        <w:rPr>
          <w:lang w:eastAsia="lv-LV"/>
        </w:rPr>
        <w:t>pieteicējam bija jāizmanto iespēja atgūt nepareizi samaksāto pievienotās vērtības nodokļa summu no darījuma partneres, kas izrakstījusi kļūdainos rēķinus, un tas nav bijis neiespējami vai pārmēru apgrūtinoši, taču pieteicējs to nav darījis. Šāda pieteicēja bezdarbīb</w:t>
      </w:r>
      <w:r w:rsidR="001F7699" w:rsidRPr="00D01CDE">
        <w:rPr>
          <w:lang w:eastAsia="lv-LV"/>
        </w:rPr>
        <w:t>a</w:t>
      </w:r>
      <w:r w:rsidR="00E752AA" w:rsidRPr="00D01CDE">
        <w:rPr>
          <w:lang w:eastAsia="lv-LV"/>
        </w:rPr>
        <w:t>, neizmantojot tiesisko sistēmu, kas ļāva tam panākt nepamatoti samaksātu summu atmaksāšanu no darījuma partneres,</w:t>
      </w:r>
      <w:r w:rsidR="00ED2D6E" w:rsidRPr="00D01CDE">
        <w:rPr>
          <w:lang w:eastAsia="lv-LV"/>
        </w:rPr>
        <w:t xml:space="preserve"> nevar </w:t>
      </w:r>
      <w:r w:rsidR="00716B13" w:rsidRPr="00D01CDE">
        <w:rPr>
          <w:lang w:eastAsia="lv-LV"/>
        </w:rPr>
        <w:t>būt pamats</w:t>
      </w:r>
      <w:r w:rsidR="00E752AA" w:rsidRPr="00D01CDE">
        <w:rPr>
          <w:lang w:eastAsia="lv-LV"/>
        </w:rPr>
        <w:t xml:space="preserve"> vēr</w:t>
      </w:r>
      <w:r w:rsidR="00716B13" w:rsidRPr="00D01CDE">
        <w:rPr>
          <w:lang w:eastAsia="lv-LV"/>
        </w:rPr>
        <w:t>s</w:t>
      </w:r>
      <w:r w:rsidR="00E752AA" w:rsidRPr="00D01CDE">
        <w:rPr>
          <w:lang w:eastAsia="lv-LV"/>
        </w:rPr>
        <w:t>t savu prasījumu tieši pret nodokļu iestād</w:t>
      </w:r>
      <w:r w:rsidR="00716B13" w:rsidRPr="00D01CDE">
        <w:rPr>
          <w:lang w:eastAsia="lv-LV"/>
        </w:rPr>
        <w:t>i</w:t>
      </w:r>
      <w:r w:rsidR="00E752AA" w:rsidRPr="00D01CDE">
        <w:rPr>
          <w:lang w:eastAsia="lv-LV"/>
        </w:rPr>
        <w:t>.</w:t>
      </w:r>
    </w:p>
    <w:p w14:paraId="05627CFC" w14:textId="77777777" w:rsidR="00E752AA" w:rsidRPr="00D01CDE" w:rsidRDefault="00E752AA" w:rsidP="00720561">
      <w:pPr>
        <w:spacing w:line="276" w:lineRule="auto"/>
        <w:ind w:firstLine="567"/>
        <w:jc w:val="both"/>
        <w:rPr>
          <w:i/>
          <w:iCs/>
          <w:lang w:eastAsia="lv-LV"/>
        </w:rPr>
      </w:pPr>
    </w:p>
    <w:bookmarkEnd w:id="2"/>
    <w:p w14:paraId="326A51D0" w14:textId="7202E87C" w:rsidR="00B24648" w:rsidRPr="00D01CDE" w:rsidRDefault="00B24648" w:rsidP="00B24648">
      <w:pPr>
        <w:spacing w:line="276" w:lineRule="auto"/>
        <w:ind w:firstLine="567"/>
        <w:jc w:val="both"/>
        <w:rPr>
          <w:lang w:eastAsia="lv-LV"/>
        </w:rPr>
      </w:pPr>
      <w:r w:rsidRPr="00D01CDE">
        <w:rPr>
          <w:lang w:eastAsia="lv-LV"/>
        </w:rPr>
        <w:t>[</w:t>
      </w:r>
      <w:r w:rsidR="00E752AA" w:rsidRPr="00D01CDE">
        <w:rPr>
          <w:lang w:eastAsia="lv-LV"/>
        </w:rPr>
        <w:t>10</w:t>
      </w:r>
      <w:r w:rsidRPr="00D01CDE">
        <w:rPr>
          <w:lang w:eastAsia="lv-LV"/>
        </w:rPr>
        <w:t>] </w:t>
      </w:r>
      <w:r w:rsidR="00E752AA" w:rsidRPr="00D01CDE">
        <w:rPr>
          <w:lang w:eastAsia="lv-LV"/>
        </w:rPr>
        <w:t>Apgabaltiesa spriedumā ir atzinusi, ka r</w:t>
      </w:r>
      <w:r w:rsidRPr="00D01CDE">
        <w:rPr>
          <w:lang w:eastAsia="lv-LV"/>
        </w:rPr>
        <w:t xml:space="preserve">ēķini nav noformēti atbilstoši likuma „Par pievienotās vērtības nodokli” </w:t>
      </w:r>
      <w:proofErr w:type="gramStart"/>
      <w:r w:rsidRPr="00D01CDE">
        <w:rPr>
          <w:lang w:eastAsia="lv-LV"/>
        </w:rPr>
        <w:t>8.panta</w:t>
      </w:r>
      <w:proofErr w:type="gramEnd"/>
      <w:r w:rsidRPr="00D01CDE">
        <w:rPr>
          <w:lang w:eastAsia="lv-LV"/>
        </w:rPr>
        <w:t xml:space="preserve"> 5.</w:t>
      </w:r>
      <w:r w:rsidRPr="00D01CDE">
        <w:rPr>
          <w:vertAlign w:val="superscript"/>
          <w:lang w:eastAsia="lv-LV"/>
        </w:rPr>
        <w:t>1</w:t>
      </w:r>
      <w:r w:rsidRPr="00D01CDE">
        <w:rPr>
          <w:lang w:eastAsia="lv-LV"/>
        </w:rPr>
        <w:t xml:space="preserve">daļas 8. un 9.punktā noteiktajām prasībām, kas noteic, ka rēķinā norādīts piegādāto preču vai sniegtā pakalpojuma nosaukums, daudzums (apjoms) un mērvienība, kā arī piegādāto preču vai sniegtā pakalpojuma cena (vienas vienības vērtība bez </w:t>
      </w:r>
      <w:r w:rsidRPr="00D01CDE">
        <w:rPr>
          <w:lang w:eastAsia="lv-LV"/>
        </w:rPr>
        <w:lastRenderedPageBreak/>
        <w:t>nodokļa).</w:t>
      </w:r>
      <w:r w:rsidR="00E752AA" w:rsidRPr="00D01CDE">
        <w:rPr>
          <w:lang w:eastAsia="lv-LV"/>
        </w:rPr>
        <w:t xml:space="preserve"> Minēto</w:t>
      </w:r>
      <w:r w:rsidR="00F74B0A" w:rsidRPr="00D01CDE">
        <w:rPr>
          <w:lang w:eastAsia="lv-LV"/>
        </w:rPr>
        <w:t xml:space="preserve"> secinājumu</w:t>
      </w:r>
      <w:r w:rsidR="00E752AA" w:rsidRPr="00D01CDE">
        <w:rPr>
          <w:lang w:eastAsia="lv-LV"/>
        </w:rPr>
        <w:t xml:space="preserve"> apgabaltiesa pama</w:t>
      </w:r>
      <w:r w:rsidR="00F74B0A" w:rsidRPr="00D01CDE">
        <w:rPr>
          <w:lang w:eastAsia="lv-LV"/>
        </w:rPr>
        <w:t xml:space="preserve">tojusi ar to, ka ne rēķinos, ne līgumos un progresa ziņojumos nav nošķirta un atsevišķi norādīta katras preces un pakalpojuma cena. </w:t>
      </w:r>
      <w:r w:rsidR="00F11E31" w:rsidRPr="00D01CDE">
        <w:rPr>
          <w:lang w:eastAsia="lv-LV"/>
        </w:rPr>
        <w:t>Apgabaltiesa arī norādījusi, ka pakalpojumiem un precēm atšķiras pievienotās vērtības nodokļa piemērošanas kārtība, proti, par precēm bija jāizraksta rēķins, piemērojot pievienotās vērtības nodokli, taču no rēķiniem neesot saprotams, kādā daļā nodoklis ir</w:t>
      </w:r>
      <w:r w:rsidR="00716B13" w:rsidRPr="00D01CDE">
        <w:rPr>
          <w:lang w:eastAsia="lv-LV"/>
        </w:rPr>
        <w:t xml:space="preserve"> iekļauts</w:t>
      </w:r>
      <w:r w:rsidR="00BF50C0" w:rsidRPr="00D01CDE">
        <w:rPr>
          <w:lang w:eastAsia="lv-LV"/>
        </w:rPr>
        <w:t xml:space="preserve"> pamatoti.</w:t>
      </w:r>
    </w:p>
    <w:p w14:paraId="0D015585" w14:textId="1DF79189" w:rsidR="0054229E" w:rsidRPr="00D01CDE" w:rsidRDefault="00DA02B0" w:rsidP="0054229E">
      <w:pPr>
        <w:spacing w:line="276" w:lineRule="auto"/>
        <w:ind w:firstLine="567"/>
        <w:jc w:val="both"/>
        <w:rPr>
          <w:lang w:eastAsia="lv-LV"/>
        </w:rPr>
      </w:pPr>
      <w:r w:rsidRPr="00D01CDE">
        <w:rPr>
          <w:lang w:eastAsia="lv-LV"/>
        </w:rPr>
        <w:t>Senāts atzīst par pamatot</w:t>
      </w:r>
      <w:r w:rsidR="00145D3E" w:rsidRPr="00D01CDE">
        <w:rPr>
          <w:lang w:eastAsia="lv-LV"/>
        </w:rPr>
        <w:t>u</w:t>
      </w:r>
      <w:r w:rsidRPr="00D01CDE">
        <w:rPr>
          <w:lang w:eastAsia="lv-LV"/>
        </w:rPr>
        <w:t xml:space="preserve"> kasācijas sūdzības argumentu, ka</w:t>
      </w:r>
      <w:r w:rsidR="00B37EF5" w:rsidRPr="00D01CDE">
        <w:rPr>
          <w:lang w:eastAsia="lv-LV"/>
        </w:rPr>
        <w:t xml:space="preserve"> apgabaltiesa</w:t>
      </w:r>
      <w:r w:rsidRPr="00D01CDE">
        <w:rPr>
          <w:lang w:eastAsia="lv-LV"/>
        </w:rPr>
        <w:t xml:space="preserve"> nav pareizi novērtējusi pieteicēja saņemto pakalpojumu, to pārkvalificējot daļā par preču piegādi, tādējādi izdarot kļūdainu secinājumu, ka, iespējams, daļā no rēķiniem pievienotās vērtības nodoklis bija iekļauts pamatoti. </w:t>
      </w:r>
      <w:r w:rsidR="00B37EF5" w:rsidRPr="00D01CDE">
        <w:rPr>
          <w:lang w:eastAsia="lv-LV"/>
        </w:rPr>
        <w:t>Turklāt minētie apgabaltiesas apsvērumi pārsniedz dienesta lēmumos izteikto pamatojumu, jo dienests ir atteicis pieteicējam pievienotās vērtības nodokļa atmaksu tāpēc, ka SIA „</w:t>
      </w:r>
      <w:proofErr w:type="spellStart"/>
      <w:r w:rsidR="00B37EF5" w:rsidRPr="00D01CDE">
        <w:rPr>
          <w:lang w:eastAsia="lv-LV"/>
        </w:rPr>
        <w:t>Alekon</w:t>
      </w:r>
      <w:proofErr w:type="spellEnd"/>
      <w:r w:rsidR="00B37EF5" w:rsidRPr="00D01CDE">
        <w:rPr>
          <w:lang w:eastAsia="lv-LV"/>
        </w:rPr>
        <w:t xml:space="preserve"> LV” rēķinos par sniegto </w:t>
      </w:r>
      <w:r w:rsidR="00B37EF5" w:rsidRPr="00D01CDE">
        <w:rPr>
          <w:i/>
          <w:iCs/>
          <w:lang w:eastAsia="lv-LV"/>
        </w:rPr>
        <w:t>pakalpojumu</w:t>
      </w:r>
      <w:r w:rsidR="00B37EF5" w:rsidRPr="00D01CDE">
        <w:rPr>
          <w:lang w:eastAsia="lv-LV"/>
        </w:rPr>
        <w:t xml:space="preserve"> nepamatoti norādīts pievienotās vērtības nodoklis, jo </w:t>
      </w:r>
      <w:r w:rsidR="00BB3671" w:rsidRPr="00D01CDE">
        <w:rPr>
          <w:lang w:eastAsia="lv-LV"/>
        </w:rPr>
        <w:t xml:space="preserve">par </w:t>
      </w:r>
      <w:r w:rsidR="00B37EF5" w:rsidRPr="00D01CDE">
        <w:rPr>
          <w:lang w:eastAsia="lv-LV"/>
        </w:rPr>
        <w:t>pakalpojuma sniegšanas viet</w:t>
      </w:r>
      <w:r w:rsidR="00BB3671" w:rsidRPr="00D01CDE">
        <w:rPr>
          <w:lang w:eastAsia="lv-LV"/>
        </w:rPr>
        <w:t>u</w:t>
      </w:r>
      <w:r w:rsidR="00B37EF5" w:rsidRPr="00D01CDE">
        <w:rPr>
          <w:lang w:eastAsia="lv-LV"/>
        </w:rPr>
        <w:t xml:space="preserve"> ir</w:t>
      </w:r>
      <w:r w:rsidR="00BB3671" w:rsidRPr="00D01CDE">
        <w:rPr>
          <w:lang w:eastAsia="lv-LV"/>
        </w:rPr>
        <w:t xml:space="preserve"> uzskatāma</w:t>
      </w:r>
      <w:r w:rsidR="00B37EF5" w:rsidRPr="00D01CDE">
        <w:rPr>
          <w:lang w:eastAsia="lv-LV"/>
        </w:rPr>
        <w:t xml:space="preserve"> Vācija. </w:t>
      </w:r>
      <w:r w:rsidR="00ED57F6" w:rsidRPr="00D01CDE">
        <w:rPr>
          <w:lang w:eastAsia="lv-LV"/>
        </w:rPr>
        <w:t>Lai gan dienests ir norādījis arī to, ka r</w:t>
      </w:r>
      <w:r w:rsidR="00ED57F6" w:rsidRPr="00D01CDE">
        <w:t>ēķini, saskaņā ar kuriem pieteicējs pieprasa atmaksāt nodokli, likuma „Par pievienotās vērtības nodokli” izpratnē nav uzskatāmi par nodokļa rēķiniem, jo nav noformēti atbilstoši minētā likuma prasībām un no tiem nevar identificēt darījuma būtību, d</w:t>
      </w:r>
      <w:r w:rsidR="00BB3671" w:rsidRPr="00D01CDE">
        <w:rPr>
          <w:lang w:eastAsia="lv-LV"/>
        </w:rPr>
        <w:t>ienests lēmumos nav izvirzījis argumentus, ka ir notikusi arī preču piegāde un ka preču piegāde nav nodalīta no pakalpojumu sniegšanas.</w:t>
      </w:r>
    </w:p>
    <w:p w14:paraId="3D96EDB7" w14:textId="1F6772D7" w:rsidR="005C158B" w:rsidRPr="00D01CDE" w:rsidRDefault="005C158B" w:rsidP="0054229E">
      <w:pPr>
        <w:spacing w:line="276" w:lineRule="auto"/>
        <w:ind w:firstLine="567"/>
        <w:jc w:val="both"/>
        <w:rPr>
          <w:lang w:eastAsia="lv-LV"/>
        </w:rPr>
      </w:pPr>
      <w:r w:rsidRPr="00D01CDE">
        <w:t>Neskatoties uz to, ka konkrētais kasācijas arguments ir pamatots, tas šā sprieduma iepriekšējos punktos norādīto apsvērumu dēļ nav novedis pie nepareiza lietas izspriešanas rezultāta.</w:t>
      </w:r>
    </w:p>
    <w:p w14:paraId="20368531" w14:textId="5060556A" w:rsidR="00BD34F8" w:rsidRPr="00D01CDE" w:rsidRDefault="00145D3E" w:rsidP="00BD34F8">
      <w:pPr>
        <w:spacing w:line="276" w:lineRule="auto"/>
        <w:ind w:firstLine="567"/>
        <w:jc w:val="both"/>
        <w:rPr>
          <w:lang w:eastAsia="lv-LV"/>
        </w:rPr>
      </w:pPr>
      <w:r w:rsidRPr="00D01CDE">
        <w:t>Pamatots ir arī p</w:t>
      </w:r>
      <w:r w:rsidR="00BD34F8" w:rsidRPr="00D01CDE">
        <w:t>ieteicēj</w:t>
      </w:r>
      <w:r w:rsidR="00716B13" w:rsidRPr="00D01CDE">
        <w:t>a</w:t>
      </w:r>
      <w:r w:rsidR="00BD34F8" w:rsidRPr="00D01CDE">
        <w:t xml:space="preserve"> kasācijas sūdzīb</w:t>
      </w:r>
      <w:r w:rsidRPr="00D01CDE">
        <w:t xml:space="preserve">as arguments, </w:t>
      </w:r>
      <w:r w:rsidR="00BD34F8" w:rsidRPr="00D01CDE">
        <w:t>ka apgabaltiesa n</w:t>
      </w:r>
      <w:r w:rsidRPr="00D01CDE">
        <w:t xml:space="preserve">av devusi </w:t>
      </w:r>
      <w:r w:rsidR="00BD34F8" w:rsidRPr="00D01CDE">
        <w:t>vērtēju</w:t>
      </w:r>
      <w:r w:rsidRPr="00D01CDE">
        <w:t>mu</w:t>
      </w:r>
      <w:r w:rsidR="00BD34F8" w:rsidRPr="00D01CDE">
        <w:t xml:space="preserve"> dienesta </w:t>
      </w:r>
      <w:proofErr w:type="gramStart"/>
      <w:r w:rsidR="00BD34F8" w:rsidRPr="00D01CDE">
        <w:t>2012.gada</w:t>
      </w:r>
      <w:proofErr w:type="gramEnd"/>
      <w:r w:rsidR="00BD34F8" w:rsidRPr="00D01CDE">
        <w:t xml:space="preserve"> 27.aprīļa uzziņ</w:t>
      </w:r>
      <w:r w:rsidRPr="00D01CDE">
        <w:t>ai</w:t>
      </w:r>
      <w:r w:rsidR="00BD34F8" w:rsidRPr="00D01CDE">
        <w:t xml:space="preserve"> Nr. 8.11-20/33613</w:t>
      </w:r>
      <w:r w:rsidR="00BD34F8" w:rsidRPr="00D01CDE">
        <w:rPr>
          <w:lang w:eastAsia="lv-LV"/>
        </w:rPr>
        <w:t xml:space="preserve">. No lietas materiāliem </w:t>
      </w:r>
      <w:r w:rsidRPr="00D01CDE">
        <w:rPr>
          <w:lang w:eastAsia="lv-LV"/>
        </w:rPr>
        <w:t>konstatējams</w:t>
      </w:r>
      <w:r w:rsidR="00BD34F8" w:rsidRPr="00D01CDE">
        <w:rPr>
          <w:lang w:eastAsia="lv-LV"/>
        </w:rPr>
        <w:t xml:space="preserve">, ka pieteicējs </w:t>
      </w:r>
      <w:proofErr w:type="gramStart"/>
      <w:r w:rsidR="00BD34F8" w:rsidRPr="00D01CDE">
        <w:rPr>
          <w:lang w:eastAsia="lv-LV"/>
        </w:rPr>
        <w:t>2012.gada</w:t>
      </w:r>
      <w:proofErr w:type="gramEnd"/>
      <w:r w:rsidR="00BD34F8" w:rsidRPr="00D01CDE">
        <w:rPr>
          <w:lang w:eastAsia="lv-LV"/>
        </w:rPr>
        <w:t xml:space="preserve"> 30.martā vērsies</w:t>
      </w:r>
      <w:r w:rsidRPr="00D01CDE">
        <w:rPr>
          <w:lang w:eastAsia="lv-LV"/>
        </w:rPr>
        <w:t xml:space="preserve"> dienestā</w:t>
      </w:r>
      <w:r w:rsidR="00BD34F8" w:rsidRPr="00D01CDE">
        <w:rPr>
          <w:lang w:eastAsia="lv-LV"/>
        </w:rPr>
        <w:t xml:space="preserve"> ar iesniegumu, kurā lūdzis sniegt uzziņu, vai pieteicēja no SIA „</w:t>
      </w:r>
      <w:proofErr w:type="spellStart"/>
      <w:r w:rsidR="00BD34F8" w:rsidRPr="00D01CDE">
        <w:rPr>
          <w:lang w:eastAsia="lv-LV"/>
        </w:rPr>
        <w:t>Alekon</w:t>
      </w:r>
      <w:proofErr w:type="spellEnd"/>
      <w:r w:rsidR="00BD34F8" w:rsidRPr="00D01CDE">
        <w:rPr>
          <w:lang w:eastAsia="lv-LV"/>
        </w:rPr>
        <w:t xml:space="preserve"> LV” saņemtais 2011.gada 2.februāra rēķins Nr.</w:t>
      </w:r>
      <w:r w:rsidRPr="00D01CDE">
        <w:rPr>
          <w:lang w:eastAsia="lv-LV"/>
        </w:rPr>
        <w:t> </w:t>
      </w:r>
      <w:r w:rsidR="00BD34F8" w:rsidRPr="00D01CDE">
        <w:rPr>
          <w:lang w:eastAsia="lv-LV"/>
        </w:rPr>
        <w:t xml:space="preserve">6 uzskatāms par </w:t>
      </w:r>
      <w:r w:rsidRPr="00D01CDE">
        <w:rPr>
          <w:lang w:eastAsia="lv-LV"/>
        </w:rPr>
        <w:t>pievienotās vērtības nodokļa</w:t>
      </w:r>
      <w:r w:rsidR="00BD34F8" w:rsidRPr="00D01CDE">
        <w:rPr>
          <w:lang w:eastAsia="lv-LV"/>
        </w:rPr>
        <w:t xml:space="preserve"> rēķinu saskaņā ar likuma „Par pievienotās vērtības nodokli” 8.panta 5.</w:t>
      </w:r>
      <w:r w:rsidR="00BD34F8" w:rsidRPr="00D01CDE">
        <w:rPr>
          <w:vertAlign w:val="superscript"/>
          <w:lang w:eastAsia="lv-LV"/>
        </w:rPr>
        <w:t>1</w:t>
      </w:r>
      <w:r w:rsidR="00BD34F8" w:rsidRPr="00D01CDE">
        <w:rPr>
          <w:lang w:eastAsia="lv-LV"/>
        </w:rPr>
        <w:t>daļu un vai tas ietver 8.panta 5.</w:t>
      </w:r>
      <w:r w:rsidR="00BD34F8" w:rsidRPr="00D01CDE">
        <w:rPr>
          <w:vertAlign w:val="superscript"/>
          <w:lang w:eastAsia="lv-LV"/>
        </w:rPr>
        <w:t>1</w:t>
      </w:r>
      <w:r w:rsidR="00BD34F8" w:rsidRPr="00D01CDE">
        <w:rPr>
          <w:lang w:eastAsia="lv-LV"/>
        </w:rPr>
        <w:t>daļas 8. un 9.punktā noteikto informāciju</w:t>
      </w:r>
      <w:r w:rsidR="00BD34F8" w:rsidRPr="00D01CDE">
        <w:rPr>
          <w:i/>
          <w:iCs/>
          <w:lang w:eastAsia="lv-LV"/>
        </w:rPr>
        <w:t>.</w:t>
      </w:r>
      <w:r w:rsidR="00666262" w:rsidRPr="00D01CDE">
        <w:rPr>
          <w:i/>
          <w:iCs/>
          <w:lang w:eastAsia="lv-LV"/>
        </w:rPr>
        <w:t xml:space="preserve"> </w:t>
      </w:r>
      <w:r w:rsidR="00BD34F8" w:rsidRPr="00D01CDE">
        <w:rPr>
          <w:lang w:eastAsia="lv-LV"/>
        </w:rPr>
        <w:t>Dienests uzziņ</w:t>
      </w:r>
      <w:r w:rsidR="00666262" w:rsidRPr="00D01CDE">
        <w:rPr>
          <w:lang w:eastAsia="lv-LV"/>
        </w:rPr>
        <w:t xml:space="preserve">ā </w:t>
      </w:r>
      <w:r w:rsidR="00BD34F8" w:rsidRPr="00D01CDE">
        <w:rPr>
          <w:lang w:eastAsia="lv-LV"/>
        </w:rPr>
        <w:t>norādīj</w:t>
      </w:r>
      <w:r w:rsidR="00716B13" w:rsidRPr="00D01CDE">
        <w:rPr>
          <w:lang w:eastAsia="lv-LV"/>
        </w:rPr>
        <w:t>is</w:t>
      </w:r>
      <w:r w:rsidR="00BD34F8" w:rsidRPr="00D01CDE">
        <w:rPr>
          <w:lang w:eastAsia="lv-LV"/>
        </w:rPr>
        <w:t xml:space="preserve">, ka iepriekš minētais rēķins ir uzskatāms par </w:t>
      </w:r>
      <w:r w:rsidR="00666262" w:rsidRPr="00D01CDE">
        <w:rPr>
          <w:lang w:eastAsia="lv-LV"/>
        </w:rPr>
        <w:t>pievienotās vērtības nodokļa</w:t>
      </w:r>
      <w:r w:rsidR="00BD34F8" w:rsidRPr="00D01CDE">
        <w:rPr>
          <w:lang w:eastAsia="lv-LV"/>
        </w:rPr>
        <w:t xml:space="preserve"> rēķinu.</w:t>
      </w:r>
      <w:r w:rsidR="00666262" w:rsidRPr="00D01CDE">
        <w:rPr>
          <w:lang w:eastAsia="lv-LV"/>
        </w:rPr>
        <w:t xml:space="preserve"> </w:t>
      </w:r>
      <w:r w:rsidR="00BD34F8" w:rsidRPr="00D01CDE">
        <w:rPr>
          <w:lang w:eastAsia="lv-LV"/>
        </w:rPr>
        <w:t>Saskaņā ar likuma „Par pievienotās vērtības nodokli” 8.panta 5.</w:t>
      </w:r>
      <w:r w:rsidR="00BD34F8" w:rsidRPr="00D01CDE">
        <w:rPr>
          <w:vertAlign w:val="superscript"/>
          <w:lang w:eastAsia="lv-LV"/>
        </w:rPr>
        <w:t>1</w:t>
      </w:r>
      <w:r w:rsidR="00BD34F8" w:rsidRPr="00D01CDE">
        <w:rPr>
          <w:lang w:eastAsia="lv-LV"/>
        </w:rPr>
        <w:t>daļu par nodokļa rēķinu uzskata dokumentu, kurā ietverta normā noteiktā informācija.</w:t>
      </w:r>
      <w:r w:rsidR="00666262" w:rsidRPr="00D01CDE">
        <w:rPr>
          <w:lang w:eastAsia="lv-LV"/>
        </w:rPr>
        <w:t xml:space="preserve"> P</w:t>
      </w:r>
      <w:r w:rsidR="00BD34F8" w:rsidRPr="00D01CDE">
        <w:rPr>
          <w:lang w:eastAsia="lv-LV"/>
        </w:rPr>
        <w:t>ieteicējs, prasot uzziņu, vēlējies noskaidrot, vai rēķins satur visus rekvizītus atbilstoši normatīvo aktu prasībām,</w:t>
      </w:r>
      <w:r w:rsidR="00666262" w:rsidRPr="00D01CDE">
        <w:rPr>
          <w:lang w:eastAsia="lv-LV"/>
        </w:rPr>
        <w:t xml:space="preserve"> un uz šo jautājumu ir sniegta atbilde</w:t>
      </w:r>
      <w:r w:rsidR="00711BC1" w:rsidRPr="00D01CDE">
        <w:rPr>
          <w:lang w:eastAsia="lv-LV"/>
        </w:rPr>
        <w:t>. Taču, pretēji</w:t>
      </w:r>
      <w:r w:rsidR="00666262" w:rsidRPr="00D01CDE">
        <w:rPr>
          <w:lang w:eastAsia="lv-LV"/>
        </w:rPr>
        <w:t xml:space="preserve"> </w:t>
      </w:r>
      <w:r w:rsidR="00711BC1" w:rsidRPr="00D01CDE">
        <w:rPr>
          <w:lang w:eastAsia="lv-LV"/>
        </w:rPr>
        <w:t>kasācijas sūdzībā norādītajam, minētā uzziņa nesniedz ziņas par darījuma būtību un patiesajiem apstākļiem.</w:t>
      </w:r>
    </w:p>
    <w:p w14:paraId="67088776" w14:textId="6C1FCBE9" w:rsidR="00711BC1" w:rsidRPr="00D01CDE" w:rsidRDefault="00711BC1" w:rsidP="00BD34F8">
      <w:pPr>
        <w:spacing w:line="276" w:lineRule="auto"/>
        <w:ind w:firstLine="567"/>
        <w:jc w:val="both"/>
        <w:rPr>
          <w:lang w:eastAsia="lv-LV"/>
        </w:rPr>
      </w:pPr>
    </w:p>
    <w:p w14:paraId="511FE3A8" w14:textId="1AEDFF80" w:rsidR="00D4722D" w:rsidRPr="00D01CDE" w:rsidRDefault="00BB3671" w:rsidP="00041640">
      <w:pPr>
        <w:spacing w:line="276" w:lineRule="auto"/>
        <w:ind w:firstLine="567"/>
        <w:jc w:val="both"/>
        <w:rPr>
          <w:lang w:eastAsia="lv-LV"/>
        </w:rPr>
      </w:pPr>
      <w:r w:rsidRPr="00D01CDE">
        <w:t>[11]</w:t>
      </w:r>
      <w:r w:rsidR="00711BC1" w:rsidRPr="00D01CDE">
        <w:t> </w:t>
      </w:r>
      <w:r w:rsidR="00F75F59" w:rsidRPr="00D01CDE">
        <w:t>Apgabaltiesa spriedumā ir konstatēj</w:t>
      </w:r>
      <w:r w:rsidR="00277484" w:rsidRPr="00D01CDE">
        <w:t>usi</w:t>
      </w:r>
      <w:r w:rsidR="00F75F59" w:rsidRPr="00D01CDE">
        <w:t xml:space="preserve">, ka </w:t>
      </w:r>
      <w:r w:rsidR="00F75F59" w:rsidRPr="00D01CDE">
        <w:rPr>
          <w:lang w:eastAsia="lv-LV"/>
        </w:rPr>
        <w:t>SIA</w:t>
      </w:r>
      <w:r w:rsidR="00277484" w:rsidRPr="00D01CDE">
        <w:rPr>
          <w:lang w:eastAsia="lv-LV"/>
        </w:rPr>
        <w:t> </w:t>
      </w:r>
      <w:r w:rsidR="00F75F59" w:rsidRPr="00D01CDE">
        <w:rPr>
          <w:lang w:eastAsia="lv-LV"/>
        </w:rPr>
        <w:t>„</w:t>
      </w:r>
      <w:proofErr w:type="spellStart"/>
      <w:r w:rsidR="00F75F59" w:rsidRPr="00D01CDE">
        <w:rPr>
          <w:lang w:eastAsia="lv-LV"/>
        </w:rPr>
        <w:t>Alekon</w:t>
      </w:r>
      <w:proofErr w:type="spellEnd"/>
      <w:r w:rsidR="00F75F59" w:rsidRPr="00D01CDE">
        <w:rPr>
          <w:lang w:eastAsia="lv-LV"/>
        </w:rPr>
        <w:t xml:space="preserve"> LV”</w:t>
      </w:r>
      <w:r w:rsidR="00041640" w:rsidRPr="00D01CDE">
        <w:rPr>
          <w:lang w:eastAsia="lv-LV"/>
        </w:rPr>
        <w:t xml:space="preserve"> r</w:t>
      </w:r>
      <w:r w:rsidR="007063B9" w:rsidRPr="00D01CDE">
        <w:rPr>
          <w:lang w:eastAsia="lv-LV"/>
        </w:rPr>
        <w:t xml:space="preserve">ēķinos norādītās </w:t>
      </w:r>
      <w:r w:rsidR="00041640" w:rsidRPr="00D01CDE">
        <w:rPr>
          <w:lang w:eastAsia="lv-LV"/>
        </w:rPr>
        <w:t>pievienotās vērtības nodokļa</w:t>
      </w:r>
      <w:r w:rsidR="007063B9" w:rsidRPr="00D01CDE">
        <w:rPr>
          <w:lang w:eastAsia="lv-LV"/>
        </w:rPr>
        <w:t xml:space="preserve"> summas</w:t>
      </w:r>
      <w:r w:rsidR="00282543" w:rsidRPr="00D01CDE">
        <w:rPr>
          <w:lang w:eastAsia="lv-LV"/>
        </w:rPr>
        <w:t xml:space="preserve"> ir</w:t>
      </w:r>
      <w:r w:rsidR="007063B9" w:rsidRPr="00D01CDE">
        <w:rPr>
          <w:lang w:eastAsia="lv-LV"/>
        </w:rPr>
        <w:t xml:space="preserve"> iekļāvusi </w:t>
      </w:r>
      <w:r w:rsidR="00041640" w:rsidRPr="00D01CDE">
        <w:rPr>
          <w:lang w:eastAsia="lv-LV"/>
        </w:rPr>
        <w:t xml:space="preserve">pievienotās vērtības nodokļa </w:t>
      </w:r>
      <w:r w:rsidR="007063B9" w:rsidRPr="00D01CDE">
        <w:rPr>
          <w:lang w:eastAsia="lv-LV"/>
        </w:rPr>
        <w:t>deklarācijās</w:t>
      </w:r>
      <w:r w:rsidR="00041640" w:rsidRPr="00D01CDE">
        <w:rPr>
          <w:lang w:eastAsia="lv-LV"/>
        </w:rPr>
        <w:t>, kā arī deklarējusi</w:t>
      </w:r>
      <w:r w:rsidR="007063B9" w:rsidRPr="00D01CDE">
        <w:rPr>
          <w:lang w:eastAsia="lv-LV"/>
        </w:rPr>
        <w:t xml:space="preserve"> priekšnodokli</w:t>
      </w:r>
      <w:r w:rsidR="00041640" w:rsidRPr="00D01CDE">
        <w:rPr>
          <w:lang w:eastAsia="lv-LV"/>
        </w:rPr>
        <w:t xml:space="preserve"> par darījumu ar </w:t>
      </w:r>
      <w:r w:rsidR="007063B9" w:rsidRPr="00D01CDE">
        <w:rPr>
          <w:lang w:eastAsia="lv-LV"/>
        </w:rPr>
        <w:t>apakšuzņēmēju SIA</w:t>
      </w:r>
      <w:r w:rsidR="00041640" w:rsidRPr="00D01CDE">
        <w:rPr>
          <w:lang w:eastAsia="lv-LV"/>
        </w:rPr>
        <w:t> </w:t>
      </w:r>
      <w:r w:rsidR="007063B9" w:rsidRPr="00D01CDE">
        <w:rPr>
          <w:lang w:eastAsia="lv-LV"/>
        </w:rPr>
        <w:t xml:space="preserve">„MC </w:t>
      </w:r>
      <w:proofErr w:type="spellStart"/>
      <w:r w:rsidR="007063B9" w:rsidRPr="00D01CDE">
        <w:rPr>
          <w:lang w:eastAsia="lv-LV"/>
        </w:rPr>
        <w:t>Communication</w:t>
      </w:r>
      <w:proofErr w:type="spellEnd"/>
      <w:r w:rsidR="007063B9" w:rsidRPr="00D01CDE">
        <w:rPr>
          <w:lang w:eastAsia="lv-LV"/>
        </w:rPr>
        <w:t xml:space="preserve">”. </w:t>
      </w:r>
      <w:r w:rsidR="00D4722D" w:rsidRPr="00D01CDE">
        <w:rPr>
          <w:lang w:eastAsia="lv-LV"/>
        </w:rPr>
        <w:t>Apgabaltiesa norādīj</w:t>
      </w:r>
      <w:r w:rsidR="00277484" w:rsidRPr="00D01CDE">
        <w:rPr>
          <w:lang w:eastAsia="lv-LV"/>
        </w:rPr>
        <w:t>usi</w:t>
      </w:r>
      <w:r w:rsidR="00D4722D" w:rsidRPr="00D01CDE">
        <w:rPr>
          <w:lang w:eastAsia="lv-LV"/>
        </w:rPr>
        <w:t xml:space="preserve">, </w:t>
      </w:r>
      <w:r w:rsidR="00D4722D" w:rsidRPr="00597DFB">
        <w:rPr>
          <w:lang w:eastAsia="lv-LV"/>
        </w:rPr>
        <w:t>ka vairs</w:t>
      </w:r>
      <w:r w:rsidR="007063B9" w:rsidRPr="00597DFB">
        <w:rPr>
          <w:lang w:eastAsia="lv-LV"/>
        </w:rPr>
        <w:t xml:space="preserve"> nav iespējams veikt SIA</w:t>
      </w:r>
      <w:r w:rsidR="00D4722D" w:rsidRPr="00597DFB">
        <w:rPr>
          <w:lang w:eastAsia="lv-LV"/>
        </w:rPr>
        <w:t> </w:t>
      </w:r>
      <w:r w:rsidR="007063B9" w:rsidRPr="00597DFB">
        <w:rPr>
          <w:lang w:eastAsia="lv-LV"/>
        </w:rPr>
        <w:t>„</w:t>
      </w:r>
      <w:proofErr w:type="spellStart"/>
      <w:r w:rsidR="007063B9" w:rsidRPr="00597DFB">
        <w:rPr>
          <w:lang w:eastAsia="lv-LV"/>
        </w:rPr>
        <w:t>Alekon</w:t>
      </w:r>
      <w:proofErr w:type="spellEnd"/>
      <w:r w:rsidR="007063B9" w:rsidRPr="00597DFB">
        <w:rPr>
          <w:lang w:eastAsia="lv-LV"/>
        </w:rPr>
        <w:t xml:space="preserve"> LV” </w:t>
      </w:r>
      <w:r w:rsidR="00D4722D" w:rsidRPr="00597DFB">
        <w:rPr>
          <w:lang w:eastAsia="lv-LV"/>
        </w:rPr>
        <w:t>pievienotās vērtības nodokļa</w:t>
      </w:r>
      <w:r w:rsidR="007063B9" w:rsidRPr="00597DFB">
        <w:rPr>
          <w:lang w:eastAsia="lv-LV"/>
        </w:rPr>
        <w:t xml:space="preserve"> deklarāciju korekciju, neņemt</w:t>
      </w:r>
      <w:r w:rsidR="007063B9" w:rsidRPr="00D01CDE">
        <w:rPr>
          <w:lang w:eastAsia="lv-LV"/>
        </w:rPr>
        <w:t xml:space="preserve"> vērā </w:t>
      </w:r>
      <w:r w:rsidR="00D4722D" w:rsidRPr="00D01CDE">
        <w:rPr>
          <w:lang w:eastAsia="lv-LV"/>
        </w:rPr>
        <w:t>pievienotās vērtības nodokļa</w:t>
      </w:r>
      <w:r w:rsidR="007063B9" w:rsidRPr="00D01CDE">
        <w:rPr>
          <w:lang w:eastAsia="lv-LV"/>
        </w:rPr>
        <w:t xml:space="preserve"> summu par pieteicējam sniegtajiem pakalpojumiem, secīgi liedzot SIA</w:t>
      </w:r>
      <w:r w:rsidR="00277484" w:rsidRPr="00D01CDE">
        <w:rPr>
          <w:lang w:eastAsia="lv-LV"/>
        </w:rPr>
        <w:t> </w:t>
      </w:r>
      <w:r w:rsidR="007063B9" w:rsidRPr="00D01CDE">
        <w:rPr>
          <w:lang w:eastAsia="lv-LV"/>
        </w:rPr>
        <w:t>„</w:t>
      </w:r>
      <w:proofErr w:type="spellStart"/>
      <w:r w:rsidR="007063B9" w:rsidRPr="00D01CDE">
        <w:rPr>
          <w:lang w:eastAsia="lv-LV"/>
        </w:rPr>
        <w:t>Alekon</w:t>
      </w:r>
      <w:proofErr w:type="spellEnd"/>
      <w:r w:rsidR="007063B9" w:rsidRPr="00D01CDE">
        <w:rPr>
          <w:lang w:eastAsia="lv-LV"/>
        </w:rPr>
        <w:t xml:space="preserve"> LV” priekšnodokļa atskaitīšanas tiesības attiecīgajā apmērā un piedzenot nesamaksātās nodokļu summas no SIA</w:t>
      </w:r>
      <w:r w:rsidR="00277484" w:rsidRPr="00D01CDE">
        <w:rPr>
          <w:lang w:eastAsia="lv-LV"/>
        </w:rPr>
        <w:t> </w:t>
      </w:r>
      <w:r w:rsidR="007063B9" w:rsidRPr="00D01CDE">
        <w:rPr>
          <w:lang w:eastAsia="lv-LV"/>
        </w:rPr>
        <w:t>„</w:t>
      </w:r>
      <w:proofErr w:type="spellStart"/>
      <w:r w:rsidR="007063B9" w:rsidRPr="00D01CDE">
        <w:rPr>
          <w:lang w:eastAsia="lv-LV"/>
        </w:rPr>
        <w:t>Alekon</w:t>
      </w:r>
      <w:proofErr w:type="spellEnd"/>
      <w:r w:rsidR="007063B9" w:rsidRPr="00D01CDE">
        <w:rPr>
          <w:lang w:eastAsia="lv-LV"/>
        </w:rPr>
        <w:t xml:space="preserve"> LV”.</w:t>
      </w:r>
      <w:r w:rsidR="00277484" w:rsidRPr="00D01CDE">
        <w:rPr>
          <w:lang w:eastAsia="lv-LV"/>
        </w:rPr>
        <w:t xml:space="preserve"> Atmaksājot no valsts budžeta arī pieteicējam pievienotās vērtības nodokli par pakalpojumiem, minētā summa no valsts budžeta tiktu atskaitīta otro reizi, lai gan šādā apmērā tās iemaksa valsts budžetā nav veikta.</w:t>
      </w:r>
    </w:p>
    <w:p w14:paraId="08507821" w14:textId="6F66BFCC" w:rsidR="00277484" w:rsidRPr="00D01CDE" w:rsidRDefault="00277484" w:rsidP="00277484">
      <w:pPr>
        <w:spacing w:line="276" w:lineRule="auto"/>
        <w:ind w:firstLine="567"/>
        <w:jc w:val="both"/>
      </w:pPr>
      <w:r w:rsidRPr="00D01CDE">
        <w:t>Pieteicējs kasācijas sūdzībā norāda, ka apgabaltiesa ir kļūdaini interpretējusi pievienotās vērtības nodokļa neitralitātes principu, kā rezultātā nonākusi pie nepamatota secinājuma, ka</w:t>
      </w:r>
      <w:r w:rsidR="008306A4" w:rsidRPr="00D01CDE">
        <w:t>,</w:t>
      </w:r>
      <w:r w:rsidRPr="00D01CDE">
        <w:t xml:space="preserve"> </w:t>
      </w:r>
      <w:r w:rsidRPr="00D01CDE">
        <w:lastRenderedPageBreak/>
        <w:t>atmaksājot pieteicējam pievienotās vērtības nodokli, notiktu valsts</w:t>
      </w:r>
      <w:r w:rsidR="008306A4" w:rsidRPr="00D01CDE">
        <w:t xml:space="preserve"> ieņēmumu budžeta apdraudējums.</w:t>
      </w:r>
    </w:p>
    <w:p w14:paraId="6193CE6B" w14:textId="3333D8E9" w:rsidR="008A5554" w:rsidRPr="00D01CDE" w:rsidRDefault="00282543" w:rsidP="00812520">
      <w:pPr>
        <w:spacing w:line="276" w:lineRule="auto"/>
        <w:ind w:firstLine="567"/>
        <w:jc w:val="both"/>
        <w:rPr>
          <w:lang w:eastAsia="lv-LV"/>
        </w:rPr>
      </w:pPr>
      <w:r w:rsidRPr="00D01CDE">
        <w:t>P</w:t>
      </w:r>
      <w:r w:rsidR="00C512CE" w:rsidRPr="00D01CDE">
        <w:t>ar neitralitātes princip</w:t>
      </w:r>
      <w:r w:rsidRPr="00D01CDE">
        <w:t>u runājot,</w:t>
      </w:r>
      <w:r w:rsidR="00C512CE" w:rsidRPr="00D01CDE">
        <w:t xml:space="preserve"> jāatgādina šā sprieduma 8.punktā minētais, ka </w:t>
      </w:r>
      <w:r w:rsidR="008A5554" w:rsidRPr="00D01CDE">
        <w:t>sistēma, kura</w:t>
      </w:r>
      <w:r w:rsidR="00C512CE" w:rsidRPr="00D01CDE">
        <w:rPr>
          <w:lang w:eastAsia="lv-LV"/>
        </w:rPr>
        <w:t xml:space="preserve"> ļauj pakalpojumu saņēmējam, kas ir samaksājis nodokli, par kuru ir kļūdaini izrakstīts rēķins, panākt nepamatoti samaksāt</w:t>
      </w:r>
      <w:r w:rsidR="008A5554" w:rsidRPr="00D01CDE">
        <w:rPr>
          <w:lang w:eastAsia="lv-LV"/>
        </w:rPr>
        <w:t>o</w:t>
      </w:r>
      <w:r w:rsidR="00C512CE" w:rsidRPr="00D01CDE">
        <w:rPr>
          <w:lang w:eastAsia="lv-LV"/>
        </w:rPr>
        <w:t xml:space="preserve"> summu atmaksāšanu</w:t>
      </w:r>
      <w:r w:rsidR="008A5554" w:rsidRPr="00D01CDE">
        <w:rPr>
          <w:lang w:eastAsia="lv-LV"/>
        </w:rPr>
        <w:t xml:space="preserve"> no pakalpojuma sniedzēja, atbilst neitralitātes principam.</w:t>
      </w:r>
    </w:p>
    <w:p w14:paraId="2E399BD1" w14:textId="57CEF057" w:rsidR="00812520" w:rsidRPr="00D01CDE" w:rsidRDefault="00277484" w:rsidP="00812520">
      <w:pPr>
        <w:spacing w:line="276" w:lineRule="auto"/>
        <w:ind w:firstLine="567"/>
        <w:jc w:val="both"/>
        <w:rPr>
          <w:lang w:eastAsia="lv-LV"/>
        </w:rPr>
      </w:pPr>
      <w:r w:rsidRPr="00D01CDE">
        <w:t xml:space="preserve">Senāts </w:t>
      </w:r>
      <w:r w:rsidR="00E66AE2" w:rsidRPr="00D01CDE">
        <w:t>piekrīt pieteicējam, ka apgabaltiesa</w:t>
      </w:r>
      <w:r w:rsidR="008306A4" w:rsidRPr="00D01CDE">
        <w:t>s</w:t>
      </w:r>
      <w:r w:rsidR="00E66AE2" w:rsidRPr="00D01CDE">
        <w:t xml:space="preserve"> apsvērumi par to, k</w:t>
      </w:r>
      <w:r w:rsidR="00E70888" w:rsidRPr="00D01CDE">
        <w:t>ādā veidā</w:t>
      </w:r>
      <w:r w:rsidR="00E66AE2" w:rsidRPr="00D01CDE">
        <w:t xml:space="preserve">, atmaksājot pieteicējam pievienotās vērtības nodokli, tiktu apdraudēts budžets, nav pareizi. </w:t>
      </w:r>
      <w:r w:rsidR="00D4722D" w:rsidRPr="00D01CDE">
        <w:rPr>
          <w:lang w:eastAsia="lv-LV"/>
        </w:rPr>
        <w:t>Apgabaltiesa kļūdaini uzskata, ka SIA „</w:t>
      </w:r>
      <w:proofErr w:type="spellStart"/>
      <w:r w:rsidR="00D4722D" w:rsidRPr="00D01CDE">
        <w:rPr>
          <w:lang w:eastAsia="lv-LV"/>
        </w:rPr>
        <w:t>Alekon</w:t>
      </w:r>
      <w:proofErr w:type="spellEnd"/>
      <w:r w:rsidR="00D4722D" w:rsidRPr="00D01CDE">
        <w:rPr>
          <w:lang w:eastAsia="lv-LV"/>
        </w:rPr>
        <w:t xml:space="preserve"> LV” deklarāciju korekcija, izslēdzot no tām pievienotās vērtības nodokli par pieteicējam sniegtajiem pakalpojumiem, liegt</w:t>
      </w:r>
      <w:r w:rsidRPr="00D01CDE">
        <w:rPr>
          <w:lang w:eastAsia="lv-LV"/>
        </w:rPr>
        <w:t>u</w:t>
      </w:r>
      <w:r w:rsidR="00D4722D" w:rsidRPr="00D01CDE">
        <w:rPr>
          <w:lang w:eastAsia="lv-LV"/>
        </w:rPr>
        <w:t xml:space="preserve"> </w:t>
      </w:r>
      <w:r w:rsidRPr="00D01CDE">
        <w:rPr>
          <w:lang w:eastAsia="lv-LV"/>
        </w:rPr>
        <w:t>SIA „</w:t>
      </w:r>
      <w:proofErr w:type="spellStart"/>
      <w:r w:rsidRPr="00D01CDE">
        <w:rPr>
          <w:lang w:eastAsia="lv-LV"/>
        </w:rPr>
        <w:t>Alekon</w:t>
      </w:r>
      <w:proofErr w:type="spellEnd"/>
      <w:r w:rsidRPr="00D01CDE">
        <w:rPr>
          <w:lang w:eastAsia="lv-LV"/>
        </w:rPr>
        <w:t xml:space="preserve"> LV” </w:t>
      </w:r>
      <w:r w:rsidR="00D4722D" w:rsidRPr="00D01CDE">
        <w:rPr>
          <w:lang w:eastAsia="lv-LV"/>
        </w:rPr>
        <w:t xml:space="preserve">priekšnodokļa atskaitīšanas tiesības, jo tās nav saistītas ar </w:t>
      </w:r>
      <w:r w:rsidRPr="00D01CDE">
        <w:rPr>
          <w:lang w:eastAsia="lv-LV"/>
        </w:rPr>
        <w:t>pieteicējam sniegto pakalpojumu</w:t>
      </w:r>
      <w:r w:rsidR="00D4722D" w:rsidRPr="00D01CDE">
        <w:rPr>
          <w:lang w:eastAsia="lv-LV"/>
        </w:rPr>
        <w:t>, bet gan SIA „</w:t>
      </w:r>
      <w:proofErr w:type="spellStart"/>
      <w:r w:rsidR="00D4722D" w:rsidRPr="00D01CDE">
        <w:rPr>
          <w:lang w:eastAsia="lv-LV"/>
        </w:rPr>
        <w:t>Alekon</w:t>
      </w:r>
      <w:proofErr w:type="spellEnd"/>
      <w:r w:rsidR="00D4722D" w:rsidRPr="00D01CDE">
        <w:rPr>
          <w:lang w:eastAsia="lv-LV"/>
        </w:rPr>
        <w:t xml:space="preserve"> LV” saņemtajiem pakalpojumiem un precēm. </w:t>
      </w:r>
      <w:r w:rsidR="00E66AE2" w:rsidRPr="00D01CDE">
        <w:rPr>
          <w:lang w:eastAsia="lv-LV"/>
        </w:rPr>
        <w:t>Kā jau tika norādīts iepriekš, SIA „</w:t>
      </w:r>
      <w:proofErr w:type="spellStart"/>
      <w:r w:rsidR="00E66AE2" w:rsidRPr="00D01CDE">
        <w:rPr>
          <w:lang w:eastAsia="lv-LV"/>
        </w:rPr>
        <w:t>Alekon</w:t>
      </w:r>
      <w:proofErr w:type="spellEnd"/>
      <w:r w:rsidR="00E66AE2" w:rsidRPr="00D01CDE">
        <w:rPr>
          <w:lang w:eastAsia="lv-LV"/>
        </w:rPr>
        <w:t xml:space="preserve"> LV” deklarāciju korekcija būtu pamats SIA „</w:t>
      </w:r>
      <w:proofErr w:type="spellStart"/>
      <w:r w:rsidR="00E66AE2" w:rsidRPr="00D01CDE">
        <w:rPr>
          <w:lang w:eastAsia="lv-LV"/>
        </w:rPr>
        <w:t>Alekon</w:t>
      </w:r>
      <w:proofErr w:type="spellEnd"/>
      <w:r w:rsidR="00E66AE2" w:rsidRPr="00D01CDE">
        <w:rPr>
          <w:lang w:eastAsia="lv-LV"/>
        </w:rPr>
        <w:t xml:space="preserve"> LV” atprasīt uz kļūdaini izrakstīto rēķinu pamata budžetā maksājamo pievienotās vērtības nodokli.</w:t>
      </w:r>
      <w:r w:rsidR="00812520" w:rsidRPr="00D01CDE">
        <w:rPr>
          <w:lang w:eastAsia="lv-LV"/>
        </w:rPr>
        <w:t xml:space="preserve"> Tas, ka SIA „</w:t>
      </w:r>
      <w:proofErr w:type="spellStart"/>
      <w:r w:rsidR="00812520" w:rsidRPr="00D01CDE">
        <w:rPr>
          <w:lang w:eastAsia="lv-LV"/>
        </w:rPr>
        <w:t>Alekon</w:t>
      </w:r>
      <w:proofErr w:type="spellEnd"/>
      <w:r w:rsidR="00812520" w:rsidRPr="00D01CDE">
        <w:rPr>
          <w:lang w:eastAsia="lv-LV"/>
        </w:rPr>
        <w:t xml:space="preserve"> LV” izmantoj</w:t>
      </w:r>
      <w:r w:rsidR="00E70888" w:rsidRPr="00D01CDE">
        <w:rPr>
          <w:lang w:eastAsia="lv-LV"/>
        </w:rPr>
        <w:t>u</w:t>
      </w:r>
      <w:r w:rsidR="00812520" w:rsidRPr="00D01CDE">
        <w:rPr>
          <w:lang w:eastAsia="lv-LV"/>
        </w:rPr>
        <w:t>s</w:t>
      </w:r>
      <w:r w:rsidR="00E70888" w:rsidRPr="00D01CDE">
        <w:rPr>
          <w:lang w:eastAsia="lv-LV"/>
        </w:rPr>
        <w:t>i</w:t>
      </w:r>
      <w:r w:rsidR="00812520" w:rsidRPr="00D01CDE">
        <w:rPr>
          <w:lang w:eastAsia="lv-LV"/>
        </w:rPr>
        <w:t xml:space="preserve"> priekšnodokļa atskaitīšanas tiesības par tā</w:t>
      </w:r>
      <w:r w:rsidR="00E70888" w:rsidRPr="00D01CDE">
        <w:rPr>
          <w:lang w:eastAsia="lv-LV"/>
        </w:rPr>
        <w:t>s</w:t>
      </w:r>
      <w:r w:rsidR="00812520" w:rsidRPr="00D01CDE">
        <w:rPr>
          <w:lang w:eastAsia="lv-LV"/>
        </w:rPr>
        <w:t xml:space="preserve"> saņemtajiem pakalpojumiem un precēm, nekādā veidā neietekmē SIA „</w:t>
      </w:r>
      <w:proofErr w:type="spellStart"/>
      <w:r w:rsidR="00812520" w:rsidRPr="00D01CDE">
        <w:rPr>
          <w:lang w:eastAsia="lv-LV"/>
        </w:rPr>
        <w:t>Alekon</w:t>
      </w:r>
      <w:proofErr w:type="spellEnd"/>
      <w:r w:rsidR="00812520" w:rsidRPr="00D01CDE">
        <w:rPr>
          <w:lang w:eastAsia="lv-LV"/>
        </w:rPr>
        <w:t xml:space="preserve"> LV” </w:t>
      </w:r>
      <w:r w:rsidR="00E70888" w:rsidRPr="00D01CDE">
        <w:rPr>
          <w:lang w:eastAsia="lv-LV"/>
        </w:rPr>
        <w:t xml:space="preserve">attiecības ar </w:t>
      </w:r>
      <w:r w:rsidR="00812520" w:rsidRPr="00D01CDE">
        <w:rPr>
          <w:lang w:eastAsia="lv-LV"/>
        </w:rPr>
        <w:t>pieteicēju un attiecības a</w:t>
      </w:r>
      <w:r w:rsidR="008306A4" w:rsidRPr="00D01CDE">
        <w:rPr>
          <w:lang w:eastAsia="lv-LV"/>
        </w:rPr>
        <w:t>r dienestu par nodokļa samaksu.</w:t>
      </w:r>
    </w:p>
    <w:p w14:paraId="40D69D5F" w14:textId="72E9B1EF" w:rsidR="007265F7" w:rsidRPr="00D01CDE" w:rsidRDefault="00C512CE" w:rsidP="009566FE">
      <w:pPr>
        <w:spacing w:line="276" w:lineRule="auto"/>
        <w:ind w:firstLine="567"/>
        <w:jc w:val="both"/>
        <w:rPr>
          <w:lang w:eastAsia="lv-LV"/>
        </w:rPr>
      </w:pPr>
      <w:r w:rsidRPr="00D01CDE">
        <w:t xml:space="preserve">Kā piemēru var minēt </w:t>
      </w:r>
      <w:r w:rsidR="007265F7" w:rsidRPr="00D01CDE">
        <w:t>gadījum</w:t>
      </w:r>
      <w:r w:rsidRPr="00D01CDE">
        <w:t>u</w:t>
      </w:r>
      <w:r w:rsidR="007265F7" w:rsidRPr="00D01CDE">
        <w:t>, kad</w:t>
      </w:r>
      <w:r w:rsidR="00114BA1" w:rsidRPr="00D01CDE">
        <w:t xml:space="preserve"> pakalpojumu sniedzējs</w:t>
      </w:r>
      <w:r w:rsidR="00F94C21" w:rsidRPr="00D01CDE">
        <w:t xml:space="preserve">, kas bija </w:t>
      </w:r>
      <w:r w:rsidR="00114BA1" w:rsidRPr="00D01CDE">
        <w:t>kļūdaini izrakstījis pievienotās vērtības nodokļa rēķinu par neapliekamu darījumu</w:t>
      </w:r>
      <w:r w:rsidR="00F94C21" w:rsidRPr="00D01CDE">
        <w:t>, lūdza atmaksāt pievienotās vērtības nodokli, kas nepamatoti iekļauts rēķinā,</w:t>
      </w:r>
      <w:r w:rsidR="007265F7" w:rsidRPr="00D01CDE">
        <w:t xml:space="preserve"> un n</w:t>
      </w:r>
      <w:r w:rsidR="00114BA1" w:rsidRPr="00D01CDE">
        <w:t>odokļu administrācija, veicot pakalpojuma saņēmēja kontroli, pakalpojuma saņēmējam</w:t>
      </w:r>
      <w:r w:rsidR="007265F7" w:rsidRPr="00D01CDE">
        <w:t xml:space="preserve"> bija a</w:t>
      </w:r>
      <w:r w:rsidR="00114BA1" w:rsidRPr="00D01CDE">
        <w:t>ttei</w:t>
      </w:r>
      <w:r w:rsidR="007265F7" w:rsidRPr="00D01CDE">
        <w:t>kusi</w:t>
      </w:r>
      <w:r w:rsidR="00114BA1" w:rsidRPr="00D01CDE">
        <w:t xml:space="preserve"> tiesības atskaitīt attiecīgajā rēķinā norādīto pievienotās vērtības nodokli</w:t>
      </w:r>
      <w:r w:rsidR="005C158B" w:rsidRPr="00D01CDE">
        <w:t>.</w:t>
      </w:r>
      <w:r w:rsidR="007265F7" w:rsidRPr="00D01CDE">
        <w:t xml:space="preserve"> </w:t>
      </w:r>
      <w:r w:rsidR="00114BA1" w:rsidRPr="00D01CDE">
        <w:t xml:space="preserve">Eiropas Savienības </w:t>
      </w:r>
      <w:r w:rsidR="007265F7" w:rsidRPr="00D01CDE">
        <w:t>T</w:t>
      </w:r>
      <w:r w:rsidR="00114BA1" w:rsidRPr="00D01CDE">
        <w:t>iesa</w:t>
      </w:r>
      <w:r w:rsidR="007265F7" w:rsidRPr="00D01CDE">
        <w:t xml:space="preserve"> norādīja, t</w:t>
      </w:r>
      <w:r w:rsidR="007265F7" w:rsidRPr="00D01CDE">
        <w:rPr>
          <w:lang w:eastAsia="lv-LV"/>
        </w:rPr>
        <w:t>ā kā nodokļu administrācija galīgi ir atteikusi rēķina saņēmējam tiesības atskaitīt nodokli, ar šo tiesību izmantošanu saistītais nodokļu ieņēmumu apdraudējums ir pilnībā novērsts (</w:t>
      </w:r>
      <w:r w:rsidR="007265F7" w:rsidRPr="00D01CDE">
        <w:rPr>
          <w:i/>
          <w:iCs/>
          <w:lang w:eastAsia="lv-LV"/>
        </w:rPr>
        <w:t>Eiropas Savienības Tiesas 2013.gada 11.aprīļa spriedum</w:t>
      </w:r>
      <w:r w:rsidRPr="00D01CDE">
        <w:rPr>
          <w:i/>
          <w:iCs/>
          <w:lang w:eastAsia="lv-LV"/>
        </w:rPr>
        <w:t>a</w:t>
      </w:r>
      <w:r w:rsidR="007265F7" w:rsidRPr="00D01CDE">
        <w:rPr>
          <w:i/>
          <w:iCs/>
          <w:lang w:eastAsia="lv-LV"/>
        </w:rPr>
        <w:t xml:space="preserve"> lietā C‑138/12 </w:t>
      </w:r>
      <w:proofErr w:type="spellStart"/>
      <w:r w:rsidR="007265F7" w:rsidRPr="00D01CDE">
        <w:rPr>
          <w:i/>
          <w:iCs/>
          <w:lang w:eastAsia="lv-LV"/>
        </w:rPr>
        <w:t>Rusedespred</w:t>
      </w:r>
      <w:proofErr w:type="spellEnd"/>
      <w:r w:rsidR="007265F7" w:rsidRPr="00D01CDE">
        <w:rPr>
          <w:i/>
          <w:iCs/>
          <w:lang w:eastAsia="lv-LV"/>
        </w:rPr>
        <w:t xml:space="preserve">, </w:t>
      </w:r>
      <w:hyperlink r:id="rId22" w:history="1">
        <w:r w:rsidR="007265F7" w:rsidRPr="00D01CDE">
          <w:rPr>
            <w:rStyle w:val="Hyperlink"/>
            <w:i/>
            <w:iCs/>
            <w:color w:val="auto"/>
            <w:u w:val="none"/>
            <w:lang w:eastAsia="lv-LV"/>
          </w:rPr>
          <w:t>ECLI:EU:C:2013:233</w:t>
        </w:r>
      </w:hyperlink>
      <w:r w:rsidR="007265F7" w:rsidRPr="00D01CDE">
        <w:rPr>
          <w:i/>
          <w:iCs/>
          <w:lang w:eastAsia="lv-LV"/>
        </w:rPr>
        <w:t>, 33.punkts</w:t>
      </w:r>
      <w:r w:rsidR="007265F7" w:rsidRPr="00D01CDE">
        <w:rPr>
          <w:lang w:eastAsia="lv-LV"/>
        </w:rPr>
        <w:t>).</w:t>
      </w:r>
    </w:p>
    <w:p w14:paraId="268B3560" w14:textId="23800FA1" w:rsidR="008A5554" w:rsidRPr="00D01CDE" w:rsidRDefault="008A5554" w:rsidP="009566FE">
      <w:pPr>
        <w:spacing w:line="276" w:lineRule="auto"/>
        <w:ind w:firstLine="567"/>
        <w:jc w:val="both"/>
      </w:pPr>
      <w:r w:rsidRPr="00D01CDE">
        <w:rPr>
          <w:lang w:eastAsia="lv-LV"/>
        </w:rPr>
        <w:t>Konkrētajā gadījumā ir pamats secināt, ka nodokļa ieņēmumu apdraudējums ir novērst</w:t>
      </w:r>
      <w:r w:rsidR="005C158B" w:rsidRPr="00D01CDE">
        <w:rPr>
          <w:lang w:eastAsia="lv-LV"/>
        </w:rPr>
        <w:t>s</w:t>
      </w:r>
      <w:r w:rsidRPr="00D01CDE">
        <w:rPr>
          <w:lang w:eastAsia="lv-LV"/>
        </w:rPr>
        <w:t xml:space="preserve">, atsakot pieteicējam atmaksāt </w:t>
      </w:r>
      <w:r w:rsidRPr="00D01CDE">
        <w:t xml:space="preserve">pievienotās vērtības nodokli, kas nepamatoti iekļauts rēķinā. Savukārt tieši pieteicējs nav izmantojis savas tiesības atgūt uz kļūdaina rēķina pamata pakalpojumu sniedzējam samaksāto nodokļa summu </w:t>
      </w:r>
      <w:r w:rsidR="0004140C" w:rsidRPr="00D01CDE">
        <w:t>no pakalpojuma sniedzēja.</w:t>
      </w:r>
    </w:p>
    <w:p w14:paraId="514C8AF1" w14:textId="4ED0FE8D" w:rsidR="0004140C" w:rsidRPr="00D01CDE" w:rsidRDefault="0004140C" w:rsidP="009566FE">
      <w:pPr>
        <w:spacing w:line="276" w:lineRule="auto"/>
        <w:ind w:firstLine="567"/>
        <w:jc w:val="both"/>
      </w:pPr>
    </w:p>
    <w:p w14:paraId="5D1EEC98" w14:textId="2917070E" w:rsidR="003278FD" w:rsidRDefault="0004140C" w:rsidP="003278FD">
      <w:pPr>
        <w:spacing w:line="276" w:lineRule="auto"/>
        <w:ind w:firstLine="567"/>
        <w:jc w:val="both"/>
      </w:pPr>
      <w:r w:rsidRPr="00D01CDE">
        <w:t>[12] Senāta ieskatā, lai arī apgabaltiesa ir pieļāvusi kļūdas, vērtējot rēķinu saturu, kā</w:t>
      </w:r>
      <w:r w:rsidR="00282543" w:rsidRPr="00D01CDE">
        <w:t xml:space="preserve"> arī</w:t>
      </w:r>
      <w:r w:rsidRPr="00D01CDE">
        <w:t xml:space="preserve"> iespējamo budžeta apdraudējumu, ņemot vērā pārējos lietā konstatētos apstākļus un pareizi izdarītos secinājumus par pieteicēja tiesību neesību prasīt pievienotās vērtības nodokļa, kas nepamatoti iekļauts rēķinā, atmaksu no budžeta un pieteicēja bezdarbību tā atgūšanā no pakalpojumu sniedzēja, minētās apgabaltiesas kļūdas nevarēja novest pie cita sprieduma rezultāta. Līdz ar to nav pamata apgabaltiesas sprieduma atcelšanai. </w:t>
      </w:r>
      <w:bookmarkEnd w:id="1"/>
    </w:p>
    <w:p w14:paraId="7376730F" w14:textId="77777777" w:rsidR="003278FD" w:rsidRDefault="003278FD" w:rsidP="003278FD">
      <w:pPr>
        <w:spacing w:line="276" w:lineRule="auto"/>
        <w:ind w:firstLine="567"/>
        <w:jc w:val="both"/>
      </w:pPr>
    </w:p>
    <w:p w14:paraId="2C5C4B25" w14:textId="675690FD" w:rsidR="003278FD" w:rsidRDefault="00E6756C" w:rsidP="003278FD">
      <w:pPr>
        <w:spacing w:line="276" w:lineRule="auto"/>
        <w:ind w:firstLine="567"/>
        <w:jc w:val="center"/>
        <w:rPr>
          <w:b/>
          <w:bCs/>
        </w:rPr>
      </w:pPr>
      <w:bookmarkStart w:id="3" w:name="_Hlk44666766"/>
      <w:r w:rsidRPr="003278FD">
        <w:rPr>
          <w:b/>
          <w:bCs/>
        </w:rPr>
        <w:t>Rezolutīvā daļa</w:t>
      </w:r>
    </w:p>
    <w:bookmarkEnd w:id="3"/>
    <w:p w14:paraId="7F0532C4" w14:textId="77777777" w:rsidR="003278FD" w:rsidRDefault="003278FD" w:rsidP="003278FD">
      <w:pPr>
        <w:spacing w:line="276" w:lineRule="auto"/>
        <w:ind w:firstLine="567"/>
        <w:jc w:val="center"/>
        <w:rPr>
          <w:b/>
          <w:bCs/>
        </w:rPr>
      </w:pPr>
    </w:p>
    <w:p w14:paraId="206F16FE" w14:textId="77777777" w:rsidR="003278FD" w:rsidRDefault="00E6756C" w:rsidP="003278FD">
      <w:pPr>
        <w:spacing w:line="276" w:lineRule="auto"/>
        <w:ind w:firstLine="567"/>
        <w:jc w:val="both"/>
      </w:pPr>
      <w:r w:rsidRPr="00D01CDE">
        <w:t xml:space="preserve">Pamatojoties uz Administratīvā procesa likuma </w:t>
      </w:r>
      <w:proofErr w:type="gramStart"/>
      <w:r w:rsidRPr="00D01CDE">
        <w:t>348.panta</w:t>
      </w:r>
      <w:proofErr w:type="gramEnd"/>
      <w:r w:rsidRPr="00D01CDE">
        <w:t xml:space="preserve"> pirmās daļas 1.punktu un 351.pantu, Senāts</w:t>
      </w:r>
    </w:p>
    <w:p w14:paraId="15F82DDE" w14:textId="2BC4B338" w:rsidR="003278FD" w:rsidRDefault="003278FD" w:rsidP="003278FD">
      <w:pPr>
        <w:spacing w:line="276" w:lineRule="auto"/>
        <w:ind w:firstLine="567"/>
        <w:jc w:val="center"/>
        <w:rPr>
          <w:b/>
        </w:rPr>
      </w:pPr>
      <w:r>
        <w:rPr>
          <w:b/>
        </w:rPr>
        <w:t>n</w:t>
      </w:r>
      <w:r w:rsidR="00E6756C" w:rsidRPr="00D01CDE">
        <w:rPr>
          <w:b/>
        </w:rPr>
        <w:t>osprieda</w:t>
      </w:r>
    </w:p>
    <w:p w14:paraId="3B56EA0E" w14:textId="77777777" w:rsidR="003278FD" w:rsidRDefault="003278FD" w:rsidP="003278FD">
      <w:pPr>
        <w:spacing w:line="276" w:lineRule="auto"/>
        <w:ind w:firstLine="567"/>
        <w:jc w:val="center"/>
        <w:rPr>
          <w:b/>
        </w:rPr>
      </w:pPr>
    </w:p>
    <w:p w14:paraId="4EDCE1DC" w14:textId="77777777" w:rsidR="003278FD" w:rsidRDefault="00E6756C" w:rsidP="003278FD">
      <w:pPr>
        <w:spacing w:line="276" w:lineRule="auto"/>
        <w:ind w:firstLine="567"/>
        <w:jc w:val="both"/>
        <w:rPr>
          <w:b/>
        </w:rPr>
      </w:pPr>
      <w:r w:rsidRPr="00D01CDE">
        <w:t xml:space="preserve">atstāt negrozītu Administratīvās apgabaltiesas </w:t>
      </w:r>
      <w:proofErr w:type="gramStart"/>
      <w:r w:rsidRPr="00D01CDE">
        <w:t>2017.gada</w:t>
      </w:r>
      <w:proofErr w:type="gramEnd"/>
      <w:r w:rsidRPr="00D01CDE">
        <w:t xml:space="preserve"> 31.jūlija spriedumu, bet </w:t>
      </w:r>
      <w:r w:rsidRPr="00D01CDE">
        <w:rPr>
          <w:lang w:eastAsia="lv-LV"/>
        </w:rPr>
        <w:t xml:space="preserve">Vācijas uzņēmuma </w:t>
      </w:r>
      <w:proofErr w:type="spellStart"/>
      <w:r w:rsidRPr="00D01CDE">
        <w:rPr>
          <w:i/>
          <w:iCs/>
          <w:lang w:eastAsia="lv-LV"/>
        </w:rPr>
        <w:t>whb</w:t>
      </w:r>
      <w:proofErr w:type="spellEnd"/>
      <w:r w:rsidRPr="00D01CDE">
        <w:rPr>
          <w:i/>
          <w:iCs/>
          <w:lang w:eastAsia="lv-LV"/>
        </w:rPr>
        <w:t xml:space="preserve"> </w:t>
      </w:r>
      <w:proofErr w:type="spellStart"/>
      <w:r w:rsidRPr="00D01CDE">
        <w:rPr>
          <w:i/>
          <w:iCs/>
          <w:lang w:eastAsia="lv-LV"/>
        </w:rPr>
        <w:t>Energietechnik</w:t>
      </w:r>
      <w:proofErr w:type="spellEnd"/>
      <w:r w:rsidRPr="00D01CDE">
        <w:rPr>
          <w:i/>
          <w:iCs/>
          <w:lang w:eastAsia="lv-LV"/>
        </w:rPr>
        <w:t xml:space="preserve"> </w:t>
      </w:r>
      <w:proofErr w:type="spellStart"/>
      <w:r w:rsidRPr="00D01CDE">
        <w:rPr>
          <w:i/>
          <w:iCs/>
          <w:lang w:eastAsia="lv-LV"/>
        </w:rPr>
        <w:t>GmbH</w:t>
      </w:r>
      <w:proofErr w:type="spellEnd"/>
      <w:r w:rsidRPr="00D01CDE">
        <w:t xml:space="preserve"> kasācijas sūdzību noraidīt. </w:t>
      </w:r>
    </w:p>
    <w:p w14:paraId="71A91E99" w14:textId="066AEB98" w:rsidR="00E6756C" w:rsidRPr="003278FD" w:rsidRDefault="00E6756C" w:rsidP="003278FD">
      <w:pPr>
        <w:spacing w:line="276" w:lineRule="auto"/>
        <w:ind w:firstLine="567"/>
        <w:jc w:val="both"/>
        <w:rPr>
          <w:b/>
        </w:rPr>
      </w:pPr>
      <w:r w:rsidRPr="00D01CDE">
        <w:lastRenderedPageBreak/>
        <w:t>Spriedums nav pārsūdzams.</w:t>
      </w:r>
    </w:p>
    <w:sectPr w:rsidR="00E6756C" w:rsidRPr="003278FD" w:rsidSect="008373F2">
      <w:footerReference w:type="default" r:id="rId23"/>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5D27D" w14:textId="77777777" w:rsidR="00141298" w:rsidRDefault="00141298" w:rsidP="003047F5">
      <w:r>
        <w:separator/>
      </w:r>
    </w:p>
  </w:endnote>
  <w:endnote w:type="continuationSeparator" w:id="0">
    <w:p w14:paraId="1B5567C9" w14:textId="77777777" w:rsidR="00141298" w:rsidRDefault="00141298"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148EDD82" w:rsidR="0004140C" w:rsidRDefault="0004140C"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597DFB">
      <w:rPr>
        <w:rStyle w:val="PageNumber"/>
        <w:noProof/>
      </w:rPr>
      <w:t>11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3278FD">
      <w:rPr>
        <w:rStyle w:val="PageNumber"/>
        <w:noProof/>
      </w:rPr>
      <w:t>11</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90B94" w14:textId="77777777" w:rsidR="00141298" w:rsidRDefault="00141298" w:rsidP="003047F5">
      <w:r>
        <w:separator/>
      </w:r>
    </w:p>
  </w:footnote>
  <w:footnote w:type="continuationSeparator" w:id="0">
    <w:p w14:paraId="32D0F893" w14:textId="77777777" w:rsidR="00141298" w:rsidRDefault="00141298"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BAA"/>
    <w:rsid w:val="00001E83"/>
    <w:rsid w:val="000020AC"/>
    <w:rsid w:val="00006F78"/>
    <w:rsid w:val="00010534"/>
    <w:rsid w:val="00010EEF"/>
    <w:rsid w:val="00013C96"/>
    <w:rsid w:val="0001692B"/>
    <w:rsid w:val="00016F76"/>
    <w:rsid w:val="0001795C"/>
    <w:rsid w:val="0004140C"/>
    <w:rsid w:val="00041640"/>
    <w:rsid w:val="00043A93"/>
    <w:rsid w:val="00043E06"/>
    <w:rsid w:val="00046303"/>
    <w:rsid w:val="00047BB3"/>
    <w:rsid w:val="000502BB"/>
    <w:rsid w:val="00053F4A"/>
    <w:rsid w:val="000573C7"/>
    <w:rsid w:val="00062598"/>
    <w:rsid w:val="00065F5F"/>
    <w:rsid w:val="00066FF1"/>
    <w:rsid w:val="00070881"/>
    <w:rsid w:val="000708AF"/>
    <w:rsid w:val="00071C0E"/>
    <w:rsid w:val="00072C6D"/>
    <w:rsid w:val="00073F13"/>
    <w:rsid w:val="00075777"/>
    <w:rsid w:val="00075A94"/>
    <w:rsid w:val="0007692E"/>
    <w:rsid w:val="00083DE9"/>
    <w:rsid w:val="00083E32"/>
    <w:rsid w:val="00093B11"/>
    <w:rsid w:val="00093FB6"/>
    <w:rsid w:val="00096990"/>
    <w:rsid w:val="00096DB4"/>
    <w:rsid w:val="000A0660"/>
    <w:rsid w:val="000B0244"/>
    <w:rsid w:val="000B0903"/>
    <w:rsid w:val="000B095A"/>
    <w:rsid w:val="000B0A3A"/>
    <w:rsid w:val="000B0AFD"/>
    <w:rsid w:val="000B119C"/>
    <w:rsid w:val="000B4633"/>
    <w:rsid w:val="000C0A51"/>
    <w:rsid w:val="000C0A95"/>
    <w:rsid w:val="000C6C41"/>
    <w:rsid w:val="000D35EC"/>
    <w:rsid w:val="000D410A"/>
    <w:rsid w:val="000D47BA"/>
    <w:rsid w:val="000E03CF"/>
    <w:rsid w:val="000E3C14"/>
    <w:rsid w:val="000E54F7"/>
    <w:rsid w:val="000E761B"/>
    <w:rsid w:val="000F0C8A"/>
    <w:rsid w:val="000F1937"/>
    <w:rsid w:val="000F1EAC"/>
    <w:rsid w:val="000F272D"/>
    <w:rsid w:val="000F79F7"/>
    <w:rsid w:val="0010271F"/>
    <w:rsid w:val="0010424D"/>
    <w:rsid w:val="0010436A"/>
    <w:rsid w:val="00106527"/>
    <w:rsid w:val="00107FEE"/>
    <w:rsid w:val="001108D8"/>
    <w:rsid w:val="001120D7"/>
    <w:rsid w:val="00114BA1"/>
    <w:rsid w:val="00114F3A"/>
    <w:rsid w:val="0011630C"/>
    <w:rsid w:val="00116E13"/>
    <w:rsid w:val="00117E12"/>
    <w:rsid w:val="001204BC"/>
    <w:rsid w:val="00120AA5"/>
    <w:rsid w:val="00121C96"/>
    <w:rsid w:val="00121D20"/>
    <w:rsid w:val="001223AD"/>
    <w:rsid w:val="001226EF"/>
    <w:rsid w:val="00136151"/>
    <w:rsid w:val="00141298"/>
    <w:rsid w:val="0014296A"/>
    <w:rsid w:val="00143E76"/>
    <w:rsid w:val="001440AE"/>
    <w:rsid w:val="0014526C"/>
    <w:rsid w:val="00145D3E"/>
    <w:rsid w:val="00154CD7"/>
    <w:rsid w:val="001570DA"/>
    <w:rsid w:val="0015733B"/>
    <w:rsid w:val="001646E9"/>
    <w:rsid w:val="00166956"/>
    <w:rsid w:val="00166EA9"/>
    <w:rsid w:val="001712BC"/>
    <w:rsid w:val="00171969"/>
    <w:rsid w:val="001727D1"/>
    <w:rsid w:val="00174409"/>
    <w:rsid w:val="00180151"/>
    <w:rsid w:val="00180886"/>
    <w:rsid w:val="00181F28"/>
    <w:rsid w:val="00182A6D"/>
    <w:rsid w:val="00182BF5"/>
    <w:rsid w:val="00184890"/>
    <w:rsid w:val="00186ACB"/>
    <w:rsid w:val="00186CAA"/>
    <w:rsid w:val="0019077B"/>
    <w:rsid w:val="0019238A"/>
    <w:rsid w:val="00193E15"/>
    <w:rsid w:val="001A0495"/>
    <w:rsid w:val="001A4772"/>
    <w:rsid w:val="001A76D0"/>
    <w:rsid w:val="001A791C"/>
    <w:rsid w:val="001B09C2"/>
    <w:rsid w:val="001B1ECB"/>
    <w:rsid w:val="001B36D2"/>
    <w:rsid w:val="001B6382"/>
    <w:rsid w:val="001B7F2B"/>
    <w:rsid w:val="001C016F"/>
    <w:rsid w:val="001C11C1"/>
    <w:rsid w:val="001C699F"/>
    <w:rsid w:val="001C7225"/>
    <w:rsid w:val="001D7E49"/>
    <w:rsid w:val="001E3A09"/>
    <w:rsid w:val="001E5179"/>
    <w:rsid w:val="001F4179"/>
    <w:rsid w:val="001F7699"/>
    <w:rsid w:val="002027B8"/>
    <w:rsid w:val="00204428"/>
    <w:rsid w:val="0020470F"/>
    <w:rsid w:val="002104AB"/>
    <w:rsid w:val="002238F8"/>
    <w:rsid w:val="00223F26"/>
    <w:rsid w:val="00224363"/>
    <w:rsid w:val="00227CE5"/>
    <w:rsid w:val="00230AEA"/>
    <w:rsid w:val="00232416"/>
    <w:rsid w:val="00233BF3"/>
    <w:rsid w:val="0023576E"/>
    <w:rsid w:val="00235DF1"/>
    <w:rsid w:val="00236A6A"/>
    <w:rsid w:val="00236E52"/>
    <w:rsid w:val="002372DE"/>
    <w:rsid w:val="00237F92"/>
    <w:rsid w:val="00251AD7"/>
    <w:rsid w:val="00257C38"/>
    <w:rsid w:val="00260EA2"/>
    <w:rsid w:val="00266B5A"/>
    <w:rsid w:val="002671DB"/>
    <w:rsid w:val="00270480"/>
    <w:rsid w:val="002716E5"/>
    <w:rsid w:val="002736CA"/>
    <w:rsid w:val="0027469B"/>
    <w:rsid w:val="00275B53"/>
    <w:rsid w:val="00277484"/>
    <w:rsid w:val="00280A3B"/>
    <w:rsid w:val="00282543"/>
    <w:rsid w:val="00283BD7"/>
    <w:rsid w:val="0028409B"/>
    <w:rsid w:val="00291648"/>
    <w:rsid w:val="00292061"/>
    <w:rsid w:val="002928FD"/>
    <w:rsid w:val="00293462"/>
    <w:rsid w:val="00294745"/>
    <w:rsid w:val="00295CAC"/>
    <w:rsid w:val="002A0C9B"/>
    <w:rsid w:val="002A33C0"/>
    <w:rsid w:val="002A551A"/>
    <w:rsid w:val="002A666C"/>
    <w:rsid w:val="002C05DF"/>
    <w:rsid w:val="002C27F7"/>
    <w:rsid w:val="002C4775"/>
    <w:rsid w:val="002C48EB"/>
    <w:rsid w:val="002C756B"/>
    <w:rsid w:val="002D2D51"/>
    <w:rsid w:val="002D3FD8"/>
    <w:rsid w:val="002D7460"/>
    <w:rsid w:val="002E02FF"/>
    <w:rsid w:val="002E6BAD"/>
    <w:rsid w:val="002E7369"/>
    <w:rsid w:val="002F5335"/>
    <w:rsid w:val="00301A51"/>
    <w:rsid w:val="003023D9"/>
    <w:rsid w:val="0030293E"/>
    <w:rsid w:val="003047F5"/>
    <w:rsid w:val="00304B80"/>
    <w:rsid w:val="00314064"/>
    <w:rsid w:val="00320E5F"/>
    <w:rsid w:val="003212BF"/>
    <w:rsid w:val="00324537"/>
    <w:rsid w:val="00324DF1"/>
    <w:rsid w:val="003278FD"/>
    <w:rsid w:val="00327F69"/>
    <w:rsid w:val="00330065"/>
    <w:rsid w:val="00331C6A"/>
    <w:rsid w:val="00333A3C"/>
    <w:rsid w:val="003342DE"/>
    <w:rsid w:val="003371EC"/>
    <w:rsid w:val="003460BB"/>
    <w:rsid w:val="00351143"/>
    <w:rsid w:val="0035346E"/>
    <w:rsid w:val="003557CB"/>
    <w:rsid w:val="003574D4"/>
    <w:rsid w:val="003626DD"/>
    <w:rsid w:val="00364E5C"/>
    <w:rsid w:val="00373539"/>
    <w:rsid w:val="00377760"/>
    <w:rsid w:val="00381FE3"/>
    <w:rsid w:val="00382352"/>
    <w:rsid w:val="00387046"/>
    <w:rsid w:val="003874C3"/>
    <w:rsid w:val="00395AE9"/>
    <w:rsid w:val="00395B66"/>
    <w:rsid w:val="003963B5"/>
    <w:rsid w:val="003A2966"/>
    <w:rsid w:val="003A6709"/>
    <w:rsid w:val="003B3925"/>
    <w:rsid w:val="003B5767"/>
    <w:rsid w:val="003C1EF9"/>
    <w:rsid w:val="003C33D0"/>
    <w:rsid w:val="003C5CF1"/>
    <w:rsid w:val="003C60AA"/>
    <w:rsid w:val="003C6D03"/>
    <w:rsid w:val="003D06A3"/>
    <w:rsid w:val="003D1A74"/>
    <w:rsid w:val="003D38E2"/>
    <w:rsid w:val="003D56E6"/>
    <w:rsid w:val="003E73F4"/>
    <w:rsid w:val="00404E63"/>
    <w:rsid w:val="00404EA9"/>
    <w:rsid w:val="004111AC"/>
    <w:rsid w:val="00417A54"/>
    <w:rsid w:val="00422DB5"/>
    <w:rsid w:val="0042316C"/>
    <w:rsid w:val="00424B84"/>
    <w:rsid w:val="004268D6"/>
    <w:rsid w:val="00427A89"/>
    <w:rsid w:val="004314A6"/>
    <w:rsid w:val="0043182C"/>
    <w:rsid w:val="0043381A"/>
    <w:rsid w:val="00433A78"/>
    <w:rsid w:val="0043542C"/>
    <w:rsid w:val="00435C16"/>
    <w:rsid w:val="0043664E"/>
    <w:rsid w:val="00437D97"/>
    <w:rsid w:val="00437DAC"/>
    <w:rsid w:val="00437DBF"/>
    <w:rsid w:val="00443D5D"/>
    <w:rsid w:val="00446202"/>
    <w:rsid w:val="004524F9"/>
    <w:rsid w:val="0045329C"/>
    <w:rsid w:val="00453C7B"/>
    <w:rsid w:val="00460441"/>
    <w:rsid w:val="00463D5E"/>
    <w:rsid w:val="004651CA"/>
    <w:rsid w:val="00467390"/>
    <w:rsid w:val="00470D95"/>
    <w:rsid w:val="004742C2"/>
    <w:rsid w:val="00475AF7"/>
    <w:rsid w:val="0049182C"/>
    <w:rsid w:val="00491DEC"/>
    <w:rsid w:val="0049314F"/>
    <w:rsid w:val="00493AF6"/>
    <w:rsid w:val="004A1297"/>
    <w:rsid w:val="004A36A3"/>
    <w:rsid w:val="004A4903"/>
    <w:rsid w:val="004A5D38"/>
    <w:rsid w:val="004A66EA"/>
    <w:rsid w:val="004B1136"/>
    <w:rsid w:val="004B554A"/>
    <w:rsid w:val="004C137F"/>
    <w:rsid w:val="004C2364"/>
    <w:rsid w:val="004C33B4"/>
    <w:rsid w:val="004C656F"/>
    <w:rsid w:val="004C6D12"/>
    <w:rsid w:val="004D0BBB"/>
    <w:rsid w:val="004D57D0"/>
    <w:rsid w:val="004D7C21"/>
    <w:rsid w:val="004E626F"/>
    <w:rsid w:val="004E710F"/>
    <w:rsid w:val="004F391E"/>
    <w:rsid w:val="004F419F"/>
    <w:rsid w:val="004F424D"/>
    <w:rsid w:val="004F570C"/>
    <w:rsid w:val="00501BDD"/>
    <w:rsid w:val="00505C06"/>
    <w:rsid w:val="005108C8"/>
    <w:rsid w:val="0051097D"/>
    <w:rsid w:val="005135E2"/>
    <w:rsid w:val="005178D5"/>
    <w:rsid w:val="00521A02"/>
    <w:rsid w:val="00521D1A"/>
    <w:rsid w:val="00525D3E"/>
    <w:rsid w:val="0052600F"/>
    <w:rsid w:val="0052705B"/>
    <w:rsid w:val="00532084"/>
    <w:rsid w:val="00532336"/>
    <w:rsid w:val="005403C5"/>
    <w:rsid w:val="0054229E"/>
    <w:rsid w:val="00542E4F"/>
    <w:rsid w:val="00543E46"/>
    <w:rsid w:val="005441E9"/>
    <w:rsid w:val="005447BA"/>
    <w:rsid w:val="00545C3C"/>
    <w:rsid w:val="00551E1C"/>
    <w:rsid w:val="005613E8"/>
    <w:rsid w:val="00567632"/>
    <w:rsid w:val="00572D93"/>
    <w:rsid w:val="00573B83"/>
    <w:rsid w:val="005752D5"/>
    <w:rsid w:val="00580D65"/>
    <w:rsid w:val="00591EEA"/>
    <w:rsid w:val="00592DD0"/>
    <w:rsid w:val="00593DCD"/>
    <w:rsid w:val="00597DFB"/>
    <w:rsid w:val="005A327C"/>
    <w:rsid w:val="005A6323"/>
    <w:rsid w:val="005A7C9B"/>
    <w:rsid w:val="005A7E0C"/>
    <w:rsid w:val="005B3CF3"/>
    <w:rsid w:val="005B570A"/>
    <w:rsid w:val="005C158B"/>
    <w:rsid w:val="005C2835"/>
    <w:rsid w:val="005D06CD"/>
    <w:rsid w:val="005D1C7E"/>
    <w:rsid w:val="005D2DD9"/>
    <w:rsid w:val="005D507C"/>
    <w:rsid w:val="005D7393"/>
    <w:rsid w:val="005D786D"/>
    <w:rsid w:val="005D7CAC"/>
    <w:rsid w:val="005E0D7F"/>
    <w:rsid w:val="005E2DE8"/>
    <w:rsid w:val="005E7282"/>
    <w:rsid w:val="005F6173"/>
    <w:rsid w:val="005F6B00"/>
    <w:rsid w:val="00602B58"/>
    <w:rsid w:val="00603616"/>
    <w:rsid w:val="006075D3"/>
    <w:rsid w:val="006116A8"/>
    <w:rsid w:val="00616089"/>
    <w:rsid w:val="00620319"/>
    <w:rsid w:val="00634BC9"/>
    <w:rsid w:val="00637553"/>
    <w:rsid w:val="00647C98"/>
    <w:rsid w:val="00652AAD"/>
    <w:rsid w:val="00653739"/>
    <w:rsid w:val="00655068"/>
    <w:rsid w:val="00656F83"/>
    <w:rsid w:val="00657198"/>
    <w:rsid w:val="00662D6C"/>
    <w:rsid w:val="00664EE6"/>
    <w:rsid w:val="0066501E"/>
    <w:rsid w:val="00665F4F"/>
    <w:rsid w:val="006661AB"/>
    <w:rsid w:val="00666262"/>
    <w:rsid w:val="006662D6"/>
    <w:rsid w:val="00673E3B"/>
    <w:rsid w:val="00674526"/>
    <w:rsid w:val="006819FD"/>
    <w:rsid w:val="00682E5E"/>
    <w:rsid w:val="0068490C"/>
    <w:rsid w:val="006855FB"/>
    <w:rsid w:val="00690C0C"/>
    <w:rsid w:val="0069441B"/>
    <w:rsid w:val="0069634C"/>
    <w:rsid w:val="00697CE9"/>
    <w:rsid w:val="006A0E3E"/>
    <w:rsid w:val="006A61A7"/>
    <w:rsid w:val="006B1448"/>
    <w:rsid w:val="006B7BBC"/>
    <w:rsid w:val="006C2043"/>
    <w:rsid w:val="006C3AA7"/>
    <w:rsid w:val="006C5705"/>
    <w:rsid w:val="006C7611"/>
    <w:rsid w:val="006D6BC9"/>
    <w:rsid w:val="006E0700"/>
    <w:rsid w:val="006E23A5"/>
    <w:rsid w:val="006E3898"/>
    <w:rsid w:val="006E39D9"/>
    <w:rsid w:val="006F2C27"/>
    <w:rsid w:val="006F5D3B"/>
    <w:rsid w:val="00701663"/>
    <w:rsid w:val="00702D38"/>
    <w:rsid w:val="007063B9"/>
    <w:rsid w:val="00711BC1"/>
    <w:rsid w:val="007138D2"/>
    <w:rsid w:val="00715E95"/>
    <w:rsid w:val="00716B13"/>
    <w:rsid w:val="00720561"/>
    <w:rsid w:val="00723D71"/>
    <w:rsid w:val="00724FF9"/>
    <w:rsid w:val="00725485"/>
    <w:rsid w:val="0072554C"/>
    <w:rsid w:val="007265F7"/>
    <w:rsid w:val="0072684A"/>
    <w:rsid w:val="00732CA6"/>
    <w:rsid w:val="00737F5E"/>
    <w:rsid w:val="00751B5F"/>
    <w:rsid w:val="00757652"/>
    <w:rsid w:val="00760318"/>
    <w:rsid w:val="00760928"/>
    <w:rsid w:val="00761873"/>
    <w:rsid w:val="007709C7"/>
    <w:rsid w:val="00770D89"/>
    <w:rsid w:val="00775314"/>
    <w:rsid w:val="00776075"/>
    <w:rsid w:val="00777220"/>
    <w:rsid w:val="00777F0D"/>
    <w:rsid w:val="00783F87"/>
    <w:rsid w:val="00793389"/>
    <w:rsid w:val="00795C01"/>
    <w:rsid w:val="00796090"/>
    <w:rsid w:val="007A0FBA"/>
    <w:rsid w:val="007B04FF"/>
    <w:rsid w:val="007B07E4"/>
    <w:rsid w:val="007B0F5B"/>
    <w:rsid w:val="007B293C"/>
    <w:rsid w:val="007B2A0B"/>
    <w:rsid w:val="007C126B"/>
    <w:rsid w:val="007C1505"/>
    <w:rsid w:val="007C17CA"/>
    <w:rsid w:val="007C39D1"/>
    <w:rsid w:val="007C3F56"/>
    <w:rsid w:val="007C5571"/>
    <w:rsid w:val="007C6282"/>
    <w:rsid w:val="007C778A"/>
    <w:rsid w:val="007C79E8"/>
    <w:rsid w:val="007D2CA9"/>
    <w:rsid w:val="007D3092"/>
    <w:rsid w:val="007D71CF"/>
    <w:rsid w:val="007D72FB"/>
    <w:rsid w:val="007D7609"/>
    <w:rsid w:val="007E056E"/>
    <w:rsid w:val="007E5C1B"/>
    <w:rsid w:val="007E665B"/>
    <w:rsid w:val="007F3F55"/>
    <w:rsid w:val="007F534D"/>
    <w:rsid w:val="00802147"/>
    <w:rsid w:val="00806D31"/>
    <w:rsid w:val="008102B8"/>
    <w:rsid w:val="00812520"/>
    <w:rsid w:val="00812C67"/>
    <w:rsid w:val="008133B5"/>
    <w:rsid w:val="00815C11"/>
    <w:rsid w:val="0082381C"/>
    <w:rsid w:val="00823C7B"/>
    <w:rsid w:val="0082561A"/>
    <w:rsid w:val="008306A4"/>
    <w:rsid w:val="00830F54"/>
    <w:rsid w:val="00833668"/>
    <w:rsid w:val="00834390"/>
    <w:rsid w:val="00835A83"/>
    <w:rsid w:val="00837227"/>
    <w:rsid w:val="008373F2"/>
    <w:rsid w:val="0084062C"/>
    <w:rsid w:val="00841395"/>
    <w:rsid w:val="00841CF9"/>
    <w:rsid w:val="00844E62"/>
    <w:rsid w:val="00846E0F"/>
    <w:rsid w:val="00847B39"/>
    <w:rsid w:val="00851D20"/>
    <w:rsid w:val="00852E33"/>
    <w:rsid w:val="00854EB6"/>
    <w:rsid w:val="00855DA4"/>
    <w:rsid w:val="008570F8"/>
    <w:rsid w:val="00861A38"/>
    <w:rsid w:val="00867EC2"/>
    <w:rsid w:val="00880966"/>
    <w:rsid w:val="008857A9"/>
    <w:rsid w:val="0089035C"/>
    <w:rsid w:val="00892FE0"/>
    <w:rsid w:val="008945D8"/>
    <w:rsid w:val="008948A8"/>
    <w:rsid w:val="008954CB"/>
    <w:rsid w:val="008966C4"/>
    <w:rsid w:val="008A5554"/>
    <w:rsid w:val="008A60DD"/>
    <w:rsid w:val="008A7CD8"/>
    <w:rsid w:val="008B2C38"/>
    <w:rsid w:val="008B3AC7"/>
    <w:rsid w:val="008B3D47"/>
    <w:rsid w:val="008B5E38"/>
    <w:rsid w:val="008B6ACB"/>
    <w:rsid w:val="008B771A"/>
    <w:rsid w:val="008B7BEF"/>
    <w:rsid w:val="008C0B86"/>
    <w:rsid w:val="008C20BE"/>
    <w:rsid w:val="008C32BF"/>
    <w:rsid w:val="008C44AC"/>
    <w:rsid w:val="008C5AA9"/>
    <w:rsid w:val="008C60B2"/>
    <w:rsid w:val="008D0DC8"/>
    <w:rsid w:val="008D6F58"/>
    <w:rsid w:val="008E2E0D"/>
    <w:rsid w:val="00901EFE"/>
    <w:rsid w:val="0090702C"/>
    <w:rsid w:val="009076ED"/>
    <w:rsid w:val="009112B5"/>
    <w:rsid w:val="00914E44"/>
    <w:rsid w:val="009153AC"/>
    <w:rsid w:val="009229FE"/>
    <w:rsid w:val="00922AE3"/>
    <w:rsid w:val="009268CA"/>
    <w:rsid w:val="009268D0"/>
    <w:rsid w:val="00935F6C"/>
    <w:rsid w:val="00941626"/>
    <w:rsid w:val="00942DC7"/>
    <w:rsid w:val="009431DC"/>
    <w:rsid w:val="0094450D"/>
    <w:rsid w:val="00946023"/>
    <w:rsid w:val="0095067B"/>
    <w:rsid w:val="009549B3"/>
    <w:rsid w:val="00955808"/>
    <w:rsid w:val="009566FE"/>
    <w:rsid w:val="00956BD1"/>
    <w:rsid w:val="009639F7"/>
    <w:rsid w:val="009650AE"/>
    <w:rsid w:val="0096521A"/>
    <w:rsid w:val="00965274"/>
    <w:rsid w:val="0096545D"/>
    <w:rsid w:val="0096699D"/>
    <w:rsid w:val="00966E4E"/>
    <w:rsid w:val="0097079E"/>
    <w:rsid w:val="00970CD9"/>
    <w:rsid w:val="00976652"/>
    <w:rsid w:val="00976E04"/>
    <w:rsid w:val="00980ABF"/>
    <w:rsid w:val="00980C95"/>
    <w:rsid w:val="00982E26"/>
    <w:rsid w:val="009860B2"/>
    <w:rsid w:val="009927C7"/>
    <w:rsid w:val="009937F2"/>
    <w:rsid w:val="009A0176"/>
    <w:rsid w:val="009A0199"/>
    <w:rsid w:val="009A7FDC"/>
    <w:rsid w:val="009B46DA"/>
    <w:rsid w:val="009B5385"/>
    <w:rsid w:val="009B5A07"/>
    <w:rsid w:val="009B5FF5"/>
    <w:rsid w:val="009B6BFB"/>
    <w:rsid w:val="009B7E01"/>
    <w:rsid w:val="009C15DE"/>
    <w:rsid w:val="009C31FC"/>
    <w:rsid w:val="009C3D7A"/>
    <w:rsid w:val="009C58FA"/>
    <w:rsid w:val="009C5A1D"/>
    <w:rsid w:val="009C794B"/>
    <w:rsid w:val="009D14FF"/>
    <w:rsid w:val="009D4E6D"/>
    <w:rsid w:val="009D6A24"/>
    <w:rsid w:val="009E3E51"/>
    <w:rsid w:val="009E6452"/>
    <w:rsid w:val="009F3829"/>
    <w:rsid w:val="009F4133"/>
    <w:rsid w:val="009F499C"/>
    <w:rsid w:val="009F49EE"/>
    <w:rsid w:val="009F6D50"/>
    <w:rsid w:val="00A00062"/>
    <w:rsid w:val="00A00361"/>
    <w:rsid w:val="00A02CE6"/>
    <w:rsid w:val="00A07C67"/>
    <w:rsid w:val="00A07E3D"/>
    <w:rsid w:val="00A133BC"/>
    <w:rsid w:val="00A147BB"/>
    <w:rsid w:val="00A16682"/>
    <w:rsid w:val="00A4038D"/>
    <w:rsid w:val="00A45CBC"/>
    <w:rsid w:val="00A47666"/>
    <w:rsid w:val="00A523C0"/>
    <w:rsid w:val="00A60232"/>
    <w:rsid w:val="00A6596A"/>
    <w:rsid w:val="00A715B6"/>
    <w:rsid w:val="00A719F4"/>
    <w:rsid w:val="00A72113"/>
    <w:rsid w:val="00A748AC"/>
    <w:rsid w:val="00A75E53"/>
    <w:rsid w:val="00A81554"/>
    <w:rsid w:val="00A831F1"/>
    <w:rsid w:val="00A83A3A"/>
    <w:rsid w:val="00A83B8A"/>
    <w:rsid w:val="00A87DE5"/>
    <w:rsid w:val="00A90531"/>
    <w:rsid w:val="00A9523B"/>
    <w:rsid w:val="00AA29B7"/>
    <w:rsid w:val="00AA74F2"/>
    <w:rsid w:val="00AB515B"/>
    <w:rsid w:val="00AB6593"/>
    <w:rsid w:val="00AB7B73"/>
    <w:rsid w:val="00AB7F2E"/>
    <w:rsid w:val="00AC05E7"/>
    <w:rsid w:val="00AC1AF4"/>
    <w:rsid w:val="00AC21CB"/>
    <w:rsid w:val="00AC3D59"/>
    <w:rsid w:val="00AC71B0"/>
    <w:rsid w:val="00AD4A5E"/>
    <w:rsid w:val="00AD65C9"/>
    <w:rsid w:val="00AD726B"/>
    <w:rsid w:val="00AE17A4"/>
    <w:rsid w:val="00AE1ED2"/>
    <w:rsid w:val="00AE2390"/>
    <w:rsid w:val="00AE7F28"/>
    <w:rsid w:val="00AF2237"/>
    <w:rsid w:val="00AF3A88"/>
    <w:rsid w:val="00AF3A98"/>
    <w:rsid w:val="00AF7B2A"/>
    <w:rsid w:val="00AF7CDB"/>
    <w:rsid w:val="00B01426"/>
    <w:rsid w:val="00B036F6"/>
    <w:rsid w:val="00B04D4D"/>
    <w:rsid w:val="00B10DF9"/>
    <w:rsid w:val="00B13874"/>
    <w:rsid w:val="00B15639"/>
    <w:rsid w:val="00B16226"/>
    <w:rsid w:val="00B17886"/>
    <w:rsid w:val="00B1789E"/>
    <w:rsid w:val="00B24648"/>
    <w:rsid w:val="00B25A06"/>
    <w:rsid w:val="00B26305"/>
    <w:rsid w:val="00B34C8B"/>
    <w:rsid w:val="00B36358"/>
    <w:rsid w:val="00B37505"/>
    <w:rsid w:val="00B37EF5"/>
    <w:rsid w:val="00B414EB"/>
    <w:rsid w:val="00B42BFA"/>
    <w:rsid w:val="00B43EA1"/>
    <w:rsid w:val="00B4481C"/>
    <w:rsid w:val="00B46C23"/>
    <w:rsid w:val="00B50774"/>
    <w:rsid w:val="00B553BC"/>
    <w:rsid w:val="00B63A25"/>
    <w:rsid w:val="00B75F84"/>
    <w:rsid w:val="00B76A1F"/>
    <w:rsid w:val="00B76ABF"/>
    <w:rsid w:val="00B86F2D"/>
    <w:rsid w:val="00B87B94"/>
    <w:rsid w:val="00B96D7F"/>
    <w:rsid w:val="00BA247B"/>
    <w:rsid w:val="00BA2ED5"/>
    <w:rsid w:val="00BA53E7"/>
    <w:rsid w:val="00BA5D03"/>
    <w:rsid w:val="00BA7226"/>
    <w:rsid w:val="00BB1389"/>
    <w:rsid w:val="00BB3671"/>
    <w:rsid w:val="00BB4182"/>
    <w:rsid w:val="00BB5382"/>
    <w:rsid w:val="00BC1754"/>
    <w:rsid w:val="00BC7143"/>
    <w:rsid w:val="00BC7383"/>
    <w:rsid w:val="00BD0D29"/>
    <w:rsid w:val="00BD139A"/>
    <w:rsid w:val="00BD34F8"/>
    <w:rsid w:val="00BD5194"/>
    <w:rsid w:val="00BD7AAF"/>
    <w:rsid w:val="00BE0A88"/>
    <w:rsid w:val="00BE1536"/>
    <w:rsid w:val="00BE26DD"/>
    <w:rsid w:val="00BE58BE"/>
    <w:rsid w:val="00BF3D16"/>
    <w:rsid w:val="00BF4419"/>
    <w:rsid w:val="00BF50C0"/>
    <w:rsid w:val="00C01FFB"/>
    <w:rsid w:val="00C05805"/>
    <w:rsid w:val="00C10476"/>
    <w:rsid w:val="00C1190B"/>
    <w:rsid w:val="00C128A3"/>
    <w:rsid w:val="00C151D9"/>
    <w:rsid w:val="00C17B45"/>
    <w:rsid w:val="00C25FBD"/>
    <w:rsid w:val="00C2718D"/>
    <w:rsid w:val="00C27C14"/>
    <w:rsid w:val="00C33832"/>
    <w:rsid w:val="00C3463C"/>
    <w:rsid w:val="00C34A6C"/>
    <w:rsid w:val="00C35830"/>
    <w:rsid w:val="00C361B7"/>
    <w:rsid w:val="00C36C64"/>
    <w:rsid w:val="00C37F05"/>
    <w:rsid w:val="00C40820"/>
    <w:rsid w:val="00C43930"/>
    <w:rsid w:val="00C44580"/>
    <w:rsid w:val="00C44B84"/>
    <w:rsid w:val="00C45F01"/>
    <w:rsid w:val="00C4675D"/>
    <w:rsid w:val="00C47CB4"/>
    <w:rsid w:val="00C512CE"/>
    <w:rsid w:val="00C531D3"/>
    <w:rsid w:val="00C533BA"/>
    <w:rsid w:val="00C54739"/>
    <w:rsid w:val="00C56E03"/>
    <w:rsid w:val="00C6782A"/>
    <w:rsid w:val="00C67986"/>
    <w:rsid w:val="00C726A2"/>
    <w:rsid w:val="00C75B8A"/>
    <w:rsid w:val="00C803B9"/>
    <w:rsid w:val="00C81A47"/>
    <w:rsid w:val="00C833F9"/>
    <w:rsid w:val="00C834F5"/>
    <w:rsid w:val="00C875FE"/>
    <w:rsid w:val="00C917BB"/>
    <w:rsid w:val="00C928A4"/>
    <w:rsid w:val="00CA2791"/>
    <w:rsid w:val="00CA52DC"/>
    <w:rsid w:val="00CB6A16"/>
    <w:rsid w:val="00CC44A5"/>
    <w:rsid w:val="00CC6D90"/>
    <w:rsid w:val="00CD390E"/>
    <w:rsid w:val="00CD76D6"/>
    <w:rsid w:val="00CE1B38"/>
    <w:rsid w:val="00CE229A"/>
    <w:rsid w:val="00CE33F7"/>
    <w:rsid w:val="00CE5A10"/>
    <w:rsid w:val="00CF45BE"/>
    <w:rsid w:val="00CF482F"/>
    <w:rsid w:val="00CF6141"/>
    <w:rsid w:val="00D01CDE"/>
    <w:rsid w:val="00D06FA4"/>
    <w:rsid w:val="00D07093"/>
    <w:rsid w:val="00D07364"/>
    <w:rsid w:val="00D07AB5"/>
    <w:rsid w:val="00D111A5"/>
    <w:rsid w:val="00D13CD9"/>
    <w:rsid w:val="00D20747"/>
    <w:rsid w:val="00D2447A"/>
    <w:rsid w:val="00D3210B"/>
    <w:rsid w:val="00D32788"/>
    <w:rsid w:val="00D4722D"/>
    <w:rsid w:val="00D53BA8"/>
    <w:rsid w:val="00D55A23"/>
    <w:rsid w:val="00D56786"/>
    <w:rsid w:val="00D56A7D"/>
    <w:rsid w:val="00D579AB"/>
    <w:rsid w:val="00D66D95"/>
    <w:rsid w:val="00D7028E"/>
    <w:rsid w:val="00D7177F"/>
    <w:rsid w:val="00D71C0E"/>
    <w:rsid w:val="00D74060"/>
    <w:rsid w:val="00D840E8"/>
    <w:rsid w:val="00D86F39"/>
    <w:rsid w:val="00D9153E"/>
    <w:rsid w:val="00D938F1"/>
    <w:rsid w:val="00D94AFA"/>
    <w:rsid w:val="00DA02B0"/>
    <w:rsid w:val="00DA4349"/>
    <w:rsid w:val="00DA4354"/>
    <w:rsid w:val="00DA48A3"/>
    <w:rsid w:val="00DA72D1"/>
    <w:rsid w:val="00DA7E61"/>
    <w:rsid w:val="00DB0111"/>
    <w:rsid w:val="00DB2929"/>
    <w:rsid w:val="00DB3C73"/>
    <w:rsid w:val="00DB741B"/>
    <w:rsid w:val="00DC2BCB"/>
    <w:rsid w:val="00DC64AC"/>
    <w:rsid w:val="00DD06AF"/>
    <w:rsid w:val="00DD0A12"/>
    <w:rsid w:val="00DD1743"/>
    <w:rsid w:val="00DD51AE"/>
    <w:rsid w:val="00DE1889"/>
    <w:rsid w:val="00DE3A28"/>
    <w:rsid w:val="00DE6D5B"/>
    <w:rsid w:val="00DE7895"/>
    <w:rsid w:val="00DF0A43"/>
    <w:rsid w:val="00DF13B0"/>
    <w:rsid w:val="00DF19BD"/>
    <w:rsid w:val="00DF32A9"/>
    <w:rsid w:val="00DF5555"/>
    <w:rsid w:val="00DF5CE2"/>
    <w:rsid w:val="00DF5FC0"/>
    <w:rsid w:val="00DF66C6"/>
    <w:rsid w:val="00E00717"/>
    <w:rsid w:val="00E026AB"/>
    <w:rsid w:val="00E0386C"/>
    <w:rsid w:val="00E042D6"/>
    <w:rsid w:val="00E07DD9"/>
    <w:rsid w:val="00E100F4"/>
    <w:rsid w:val="00E109C0"/>
    <w:rsid w:val="00E1265D"/>
    <w:rsid w:val="00E13026"/>
    <w:rsid w:val="00E20961"/>
    <w:rsid w:val="00E21473"/>
    <w:rsid w:val="00E22392"/>
    <w:rsid w:val="00E22B30"/>
    <w:rsid w:val="00E23D8D"/>
    <w:rsid w:val="00E27E52"/>
    <w:rsid w:val="00E3000B"/>
    <w:rsid w:val="00E30DA0"/>
    <w:rsid w:val="00E347D4"/>
    <w:rsid w:val="00E37285"/>
    <w:rsid w:val="00E41250"/>
    <w:rsid w:val="00E435A5"/>
    <w:rsid w:val="00E46C33"/>
    <w:rsid w:val="00E4794B"/>
    <w:rsid w:val="00E51B4A"/>
    <w:rsid w:val="00E5207C"/>
    <w:rsid w:val="00E52A11"/>
    <w:rsid w:val="00E54CB7"/>
    <w:rsid w:val="00E61851"/>
    <w:rsid w:val="00E62F89"/>
    <w:rsid w:val="00E643F4"/>
    <w:rsid w:val="00E659B1"/>
    <w:rsid w:val="00E66684"/>
    <w:rsid w:val="00E66AE2"/>
    <w:rsid w:val="00E6756C"/>
    <w:rsid w:val="00E70888"/>
    <w:rsid w:val="00E7090E"/>
    <w:rsid w:val="00E752AA"/>
    <w:rsid w:val="00E80954"/>
    <w:rsid w:val="00E817C2"/>
    <w:rsid w:val="00E82658"/>
    <w:rsid w:val="00E827F6"/>
    <w:rsid w:val="00E83E8E"/>
    <w:rsid w:val="00E8536E"/>
    <w:rsid w:val="00E858F0"/>
    <w:rsid w:val="00E85B65"/>
    <w:rsid w:val="00E873E1"/>
    <w:rsid w:val="00E96650"/>
    <w:rsid w:val="00EA32F0"/>
    <w:rsid w:val="00EA6493"/>
    <w:rsid w:val="00EB19E6"/>
    <w:rsid w:val="00EB21C1"/>
    <w:rsid w:val="00EB3082"/>
    <w:rsid w:val="00EB362E"/>
    <w:rsid w:val="00EB39A8"/>
    <w:rsid w:val="00EC3305"/>
    <w:rsid w:val="00EC4862"/>
    <w:rsid w:val="00EC4A54"/>
    <w:rsid w:val="00ED17C1"/>
    <w:rsid w:val="00ED2D6E"/>
    <w:rsid w:val="00ED40EA"/>
    <w:rsid w:val="00ED57F6"/>
    <w:rsid w:val="00ED77CB"/>
    <w:rsid w:val="00EE38C4"/>
    <w:rsid w:val="00EE3AB8"/>
    <w:rsid w:val="00EE683F"/>
    <w:rsid w:val="00EF0A01"/>
    <w:rsid w:val="00EF210A"/>
    <w:rsid w:val="00EF5F60"/>
    <w:rsid w:val="00EF6440"/>
    <w:rsid w:val="00EF7B4A"/>
    <w:rsid w:val="00F050B9"/>
    <w:rsid w:val="00F11E31"/>
    <w:rsid w:val="00F22707"/>
    <w:rsid w:val="00F22962"/>
    <w:rsid w:val="00F22DE2"/>
    <w:rsid w:val="00F25756"/>
    <w:rsid w:val="00F25EB3"/>
    <w:rsid w:val="00F3306F"/>
    <w:rsid w:val="00F35E0E"/>
    <w:rsid w:val="00F42F79"/>
    <w:rsid w:val="00F43FAD"/>
    <w:rsid w:val="00F51B72"/>
    <w:rsid w:val="00F67BE3"/>
    <w:rsid w:val="00F74B0A"/>
    <w:rsid w:val="00F75AC6"/>
    <w:rsid w:val="00F75F59"/>
    <w:rsid w:val="00F81367"/>
    <w:rsid w:val="00F82264"/>
    <w:rsid w:val="00F836ED"/>
    <w:rsid w:val="00F84662"/>
    <w:rsid w:val="00F94C21"/>
    <w:rsid w:val="00F973E3"/>
    <w:rsid w:val="00F97F6C"/>
    <w:rsid w:val="00FA4E2B"/>
    <w:rsid w:val="00FB19D5"/>
    <w:rsid w:val="00FB64A8"/>
    <w:rsid w:val="00FC1815"/>
    <w:rsid w:val="00FC4ACB"/>
    <w:rsid w:val="00FC5AE2"/>
    <w:rsid w:val="00FC7DB3"/>
    <w:rsid w:val="00FD05FD"/>
    <w:rsid w:val="00FD25E0"/>
    <w:rsid w:val="00FD3201"/>
    <w:rsid w:val="00FD4075"/>
    <w:rsid w:val="00FD5354"/>
    <w:rsid w:val="00FE02EF"/>
    <w:rsid w:val="00FE231F"/>
    <w:rsid w:val="00FE244E"/>
    <w:rsid w:val="00FE41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1">
    <w:name w:val="heading 1"/>
    <w:basedOn w:val="Normal"/>
    <w:next w:val="Normal"/>
    <w:link w:val="Heading1Char"/>
    <w:qFormat/>
    <w:rsid w:val="005D7393"/>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character" w:styleId="Emphasis">
    <w:name w:val="Emphasis"/>
    <w:basedOn w:val="DefaultParagraphFont"/>
    <w:uiPriority w:val="20"/>
    <w:qFormat/>
    <w:rsid w:val="00D2447A"/>
    <w:rPr>
      <w:i/>
      <w:iCs/>
    </w:rPr>
  </w:style>
  <w:style w:type="character" w:customStyle="1" w:styleId="Heading1Char">
    <w:name w:val="Heading 1 Char"/>
    <w:basedOn w:val="DefaultParagraphFont"/>
    <w:link w:val="Heading1"/>
    <w:rsid w:val="005D7393"/>
    <w:rPr>
      <w:rFonts w:eastAsia="Times New Roman" w:cs="Times New Roman"/>
      <w:b/>
      <w:caps/>
      <w:sz w:val="32"/>
      <w:szCs w:val="28"/>
    </w:rPr>
  </w:style>
  <w:style w:type="paragraph" w:customStyle="1" w:styleId="tv213">
    <w:name w:val="tv213"/>
    <w:basedOn w:val="Normal"/>
    <w:rsid w:val="00BB1389"/>
    <w:pPr>
      <w:spacing w:before="100" w:beforeAutospacing="1" w:after="100" w:afterAutospacing="1"/>
    </w:pPr>
    <w:rPr>
      <w:lang w:eastAsia="lv-LV"/>
    </w:rPr>
  </w:style>
  <w:style w:type="character" w:styleId="Strong">
    <w:name w:val="Strong"/>
    <w:basedOn w:val="DefaultParagraphFont"/>
    <w:uiPriority w:val="22"/>
    <w:qFormat/>
    <w:rsid w:val="0019077B"/>
    <w:rPr>
      <w:b/>
      <w:bCs/>
    </w:rPr>
  </w:style>
  <w:style w:type="paragraph" w:styleId="NormalWeb">
    <w:name w:val="Normal (Web)"/>
    <w:basedOn w:val="Normal"/>
    <w:uiPriority w:val="99"/>
    <w:unhideWhenUsed/>
    <w:rsid w:val="00602B58"/>
    <w:pPr>
      <w:spacing w:before="100" w:beforeAutospacing="1" w:after="100" w:afterAutospacing="1"/>
    </w:pPr>
    <w:rPr>
      <w:lang w:eastAsia="lv-LV"/>
    </w:rPr>
  </w:style>
  <w:style w:type="paragraph" w:customStyle="1" w:styleId="labojumupamats">
    <w:name w:val="labojumu_pamats"/>
    <w:basedOn w:val="Normal"/>
    <w:rsid w:val="004A5D38"/>
    <w:pPr>
      <w:spacing w:before="100" w:beforeAutospacing="1" w:after="100" w:afterAutospacing="1"/>
    </w:pPr>
    <w:rPr>
      <w:lang w:eastAsia="lv-LV"/>
    </w:rPr>
  </w:style>
  <w:style w:type="paragraph" w:customStyle="1" w:styleId="rtejustify">
    <w:name w:val="rtejustify"/>
    <w:basedOn w:val="Normal"/>
    <w:rsid w:val="00DF5CE2"/>
    <w:pPr>
      <w:spacing w:before="100" w:beforeAutospacing="1" w:after="100" w:afterAutospacing="1"/>
    </w:pPr>
    <w:rPr>
      <w:lang w:eastAsia="lv-LV"/>
    </w:rPr>
  </w:style>
  <w:style w:type="paragraph" w:customStyle="1" w:styleId="c19centre">
    <w:name w:val="c19centre"/>
    <w:basedOn w:val="Normal"/>
    <w:rsid w:val="000F79F7"/>
    <w:pPr>
      <w:spacing w:before="100" w:beforeAutospacing="1" w:after="100" w:afterAutospacing="1"/>
    </w:pPr>
    <w:rPr>
      <w:lang w:eastAsia="lv-LV"/>
    </w:rPr>
  </w:style>
  <w:style w:type="paragraph" w:customStyle="1" w:styleId="c02alineaalta">
    <w:name w:val="c02alineaalta"/>
    <w:basedOn w:val="Normal"/>
    <w:rsid w:val="000F79F7"/>
    <w:pPr>
      <w:spacing w:before="100" w:beforeAutospacing="1" w:after="100" w:afterAutospacing="1"/>
    </w:pPr>
    <w:rPr>
      <w:lang w:eastAsia="lv-LV"/>
    </w:rPr>
  </w:style>
  <w:style w:type="paragraph" w:customStyle="1" w:styleId="Default">
    <w:name w:val="Default"/>
    <w:rsid w:val="005E0D7F"/>
    <w:pPr>
      <w:autoSpaceDE w:val="0"/>
      <w:autoSpaceDN w:val="0"/>
      <w:adjustRightInd w:val="0"/>
      <w:spacing w:after="0" w:line="240" w:lineRule="auto"/>
    </w:pPr>
    <w:rPr>
      <w:rFonts w:cs="Times New Roman"/>
      <w:color w:val="000000"/>
      <w:szCs w:val="24"/>
    </w:rPr>
  </w:style>
  <w:style w:type="paragraph" w:customStyle="1" w:styleId="RakstzRakstz2">
    <w:name w:val="Rakstz. Rakstz.2"/>
    <w:basedOn w:val="Normal"/>
    <w:rsid w:val="00653739"/>
    <w:pPr>
      <w:spacing w:after="160" w:line="240" w:lineRule="exact"/>
    </w:pPr>
    <w:rPr>
      <w:rFonts w:ascii="Tahoma" w:hAnsi="Tahoma"/>
      <w:sz w:val="20"/>
      <w:szCs w:val="20"/>
      <w:lang w:val="en-US" w:eastAsia="en-US"/>
    </w:rPr>
  </w:style>
  <w:style w:type="character" w:styleId="UnresolvedMention">
    <w:name w:val="Unresolved Mention"/>
    <w:basedOn w:val="DefaultParagraphFont"/>
    <w:uiPriority w:val="99"/>
    <w:semiHidden/>
    <w:unhideWhenUsed/>
    <w:rsid w:val="00E67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95625">
      <w:bodyDiv w:val="1"/>
      <w:marLeft w:val="0"/>
      <w:marRight w:val="0"/>
      <w:marTop w:val="0"/>
      <w:marBottom w:val="0"/>
      <w:divBdr>
        <w:top w:val="none" w:sz="0" w:space="0" w:color="auto"/>
        <w:left w:val="none" w:sz="0" w:space="0" w:color="auto"/>
        <w:bottom w:val="none" w:sz="0" w:space="0" w:color="auto"/>
        <w:right w:val="none" w:sz="0" w:space="0" w:color="auto"/>
      </w:divBdr>
    </w:div>
    <w:div w:id="49546330">
      <w:bodyDiv w:val="1"/>
      <w:marLeft w:val="0"/>
      <w:marRight w:val="0"/>
      <w:marTop w:val="0"/>
      <w:marBottom w:val="0"/>
      <w:divBdr>
        <w:top w:val="none" w:sz="0" w:space="0" w:color="auto"/>
        <w:left w:val="none" w:sz="0" w:space="0" w:color="auto"/>
        <w:bottom w:val="none" w:sz="0" w:space="0" w:color="auto"/>
        <w:right w:val="none" w:sz="0" w:space="0" w:color="auto"/>
      </w:divBdr>
    </w:div>
    <w:div w:id="51466793">
      <w:bodyDiv w:val="1"/>
      <w:marLeft w:val="0"/>
      <w:marRight w:val="0"/>
      <w:marTop w:val="0"/>
      <w:marBottom w:val="0"/>
      <w:divBdr>
        <w:top w:val="none" w:sz="0" w:space="0" w:color="auto"/>
        <w:left w:val="none" w:sz="0" w:space="0" w:color="auto"/>
        <w:bottom w:val="none" w:sz="0" w:space="0" w:color="auto"/>
        <w:right w:val="none" w:sz="0" w:space="0" w:color="auto"/>
      </w:divBdr>
    </w:div>
    <w:div w:id="134378841">
      <w:bodyDiv w:val="1"/>
      <w:marLeft w:val="0"/>
      <w:marRight w:val="0"/>
      <w:marTop w:val="0"/>
      <w:marBottom w:val="0"/>
      <w:divBdr>
        <w:top w:val="none" w:sz="0" w:space="0" w:color="auto"/>
        <w:left w:val="none" w:sz="0" w:space="0" w:color="auto"/>
        <w:bottom w:val="none" w:sz="0" w:space="0" w:color="auto"/>
        <w:right w:val="none" w:sz="0" w:space="0" w:color="auto"/>
      </w:divBdr>
    </w:div>
    <w:div w:id="137764424">
      <w:bodyDiv w:val="1"/>
      <w:marLeft w:val="0"/>
      <w:marRight w:val="0"/>
      <w:marTop w:val="0"/>
      <w:marBottom w:val="0"/>
      <w:divBdr>
        <w:top w:val="none" w:sz="0" w:space="0" w:color="auto"/>
        <w:left w:val="none" w:sz="0" w:space="0" w:color="auto"/>
        <w:bottom w:val="none" w:sz="0" w:space="0" w:color="auto"/>
        <w:right w:val="none" w:sz="0" w:space="0" w:color="auto"/>
      </w:divBdr>
    </w:div>
    <w:div w:id="248737259">
      <w:bodyDiv w:val="1"/>
      <w:marLeft w:val="0"/>
      <w:marRight w:val="0"/>
      <w:marTop w:val="0"/>
      <w:marBottom w:val="0"/>
      <w:divBdr>
        <w:top w:val="none" w:sz="0" w:space="0" w:color="auto"/>
        <w:left w:val="none" w:sz="0" w:space="0" w:color="auto"/>
        <w:bottom w:val="none" w:sz="0" w:space="0" w:color="auto"/>
        <w:right w:val="none" w:sz="0" w:space="0" w:color="auto"/>
      </w:divBdr>
    </w:div>
    <w:div w:id="398132273">
      <w:bodyDiv w:val="1"/>
      <w:marLeft w:val="0"/>
      <w:marRight w:val="0"/>
      <w:marTop w:val="0"/>
      <w:marBottom w:val="0"/>
      <w:divBdr>
        <w:top w:val="none" w:sz="0" w:space="0" w:color="auto"/>
        <w:left w:val="none" w:sz="0" w:space="0" w:color="auto"/>
        <w:bottom w:val="none" w:sz="0" w:space="0" w:color="auto"/>
        <w:right w:val="none" w:sz="0" w:space="0" w:color="auto"/>
      </w:divBdr>
    </w:div>
    <w:div w:id="521013295">
      <w:bodyDiv w:val="1"/>
      <w:marLeft w:val="0"/>
      <w:marRight w:val="0"/>
      <w:marTop w:val="0"/>
      <w:marBottom w:val="0"/>
      <w:divBdr>
        <w:top w:val="none" w:sz="0" w:space="0" w:color="auto"/>
        <w:left w:val="none" w:sz="0" w:space="0" w:color="auto"/>
        <w:bottom w:val="none" w:sz="0" w:space="0" w:color="auto"/>
        <w:right w:val="none" w:sz="0" w:space="0" w:color="auto"/>
      </w:divBdr>
    </w:div>
    <w:div w:id="567035119">
      <w:bodyDiv w:val="1"/>
      <w:marLeft w:val="0"/>
      <w:marRight w:val="0"/>
      <w:marTop w:val="0"/>
      <w:marBottom w:val="0"/>
      <w:divBdr>
        <w:top w:val="none" w:sz="0" w:space="0" w:color="auto"/>
        <w:left w:val="none" w:sz="0" w:space="0" w:color="auto"/>
        <w:bottom w:val="none" w:sz="0" w:space="0" w:color="auto"/>
        <w:right w:val="none" w:sz="0" w:space="0" w:color="auto"/>
      </w:divBdr>
    </w:div>
    <w:div w:id="609971973">
      <w:bodyDiv w:val="1"/>
      <w:marLeft w:val="0"/>
      <w:marRight w:val="0"/>
      <w:marTop w:val="0"/>
      <w:marBottom w:val="0"/>
      <w:divBdr>
        <w:top w:val="none" w:sz="0" w:space="0" w:color="auto"/>
        <w:left w:val="none" w:sz="0" w:space="0" w:color="auto"/>
        <w:bottom w:val="none" w:sz="0" w:space="0" w:color="auto"/>
        <w:right w:val="none" w:sz="0" w:space="0" w:color="auto"/>
      </w:divBdr>
    </w:div>
    <w:div w:id="669872775">
      <w:bodyDiv w:val="1"/>
      <w:marLeft w:val="0"/>
      <w:marRight w:val="0"/>
      <w:marTop w:val="0"/>
      <w:marBottom w:val="0"/>
      <w:divBdr>
        <w:top w:val="none" w:sz="0" w:space="0" w:color="auto"/>
        <w:left w:val="none" w:sz="0" w:space="0" w:color="auto"/>
        <w:bottom w:val="none" w:sz="0" w:space="0" w:color="auto"/>
        <w:right w:val="none" w:sz="0" w:space="0" w:color="auto"/>
      </w:divBdr>
    </w:div>
    <w:div w:id="717585984">
      <w:bodyDiv w:val="1"/>
      <w:marLeft w:val="0"/>
      <w:marRight w:val="0"/>
      <w:marTop w:val="0"/>
      <w:marBottom w:val="0"/>
      <w:divBdr>
        <w:top w:val="none" w:sz="0" w:space="0" w:color="auto"/>
        <w:left w:val="none" w:sz="0" w:space="0" w:color="auto"/>
        <w:bottom w:val="none" w:sz="0" w:space="0" w:color="auto"/>
        <w:right w:val="none" w:sz="0" w:space="0" w:color="auto"/>
      </w:divBdr>
    </w:div>
    <w:div w:id="750080955">
      <w:bodyDiv w:val="1"/>
      <w:marLeft w:val="0"/>
      <w:marRight w:val="0"/>
      <w:marTop w:val="0"/>
      <w:marBottom w:val="0"/>
      <w:divBdr>
        <w:top w:val="none" w:sz="0" w:space="0" w:color="auto"/>
        <w:left w:val="none" w:sz="0" w:space="0" w:color="auto"/>
        <w:bottom w:val="none" w:sz="0" w:space="0" w:color="auto"/>
        <w:right w:val="none" w:sz="0" w:space="0" w:color="auto"/>
      </w:divBdr>
    </w:div>
    <w:div w:id="804666194">
      <w:bodyDiv w:val="1"/>
      <w:marLeft w:val="0"/>
      <w:marRight w:val="0"/>
      <w:marTop w:val="0"/>
      <w:marBottom w:val="0"/>
      <w:divBdr>
        <w:top w:val="none" w:sz="0" w:space="0" w:color="auto"/>
        <w:left w:val="none" w:sz="0" w:space="0" w:color="auto"/>
        <w:bottom w:val="none" w:sz="0" w:space="0" w:color="auto"/>
        <w:right w:val="none" w:sz="0" w:space="0" w:color="auto"/>
      </w:divBdr>
    </w:div>
    <w:div w:id="831918718">
      <w:bodyDiv w:val="1"/>
      <w:marLeft w:val="0"/>
      <w:marRight w:val="0"/>
      <w:marTop w:val="0"/>
      <w:marBottom w:val="0"/>
      <w:divBdr>
        <w:top w:val="none" w:sz="0" w:space="0" w:color="auto"/>
        <w:left w:val="none" w:sz="0" w:space="0" w:color="auto"/>
        <w:bottom w:val="none" w:sz="0" w:space="0" w:color="auto"/>
        <w:right w:val="none" w:sz="0" w:space="0" w:color="auto"/>
      </w:divBdr>
    </w:div>
    <w:div w:id="881286508">
      <w:bodyDiv w:val="1"/>
      <w:marLeft w:val="0"/>
      <w:marRight w:val="0"/>
      <w:marTop w:val="0"/>
      <w:marBottom w:val="0"/>
      <w:divBdr>
        <w:top w:val="none" w:sz="0" w:space="0" w:color="auto"/>
        <w:left w:val="none" w:sz="0" w:space="0" w:color="auto"/>
        <w:bottom w:val="none" w:sz="0" w:space="0" w:color="auto"/>
        <w:right w:val="none" w:sz="0" w:space="0" w:color="auto"/>
      </w:divBdr>
    </w:div>
    <w:div w:id="894317345">
      <w:bodyDiv w:val="1"/>
      <w:marLeft w:val="0"/>
      <w:marRight w:val="0"/>
      <w:marTop w:val="0"/>
      <w:marBottom w:val="0"/>
      <w:divBdr>
        <w:top w:val="none" w:sz="0" w:space="0" w:color="auto"/>
        <w:left w:val="none" w:sz="0" w:space="0" w:color="auto"/>
        <w:bottom w:val="none" w:sz="0" w:space="0" w:color="auto"/>
        <w:right w:val="none" w:sz="0" w:space="0" w:color="auto"/>
      </w:divBdr>
      <w:divsChild>
        <w:div w:id="1026440885">
          <w:marLeft w:val="0"/>
          <w:marRight w:val="0"/>
          <w:marTop w:val="480"/>
          <w:marBottom w:val="240"/>
          <w:divBdr>
            <w:top w:val="none" w:sz="0" w:space="0" w:color="auto"/>
            <w:left w:val="none" w:sz="0" w:space="0" w:color="auto"/>
            <w:bottom w:val="none" w:sz="0" w:space="0" w:color="auto"/>
            <w:right w:val="none" w:sz="0" w:space="0" w:color="auto"/>
          </w:divBdr>
        </w:div>
        <w:div w:id="1278948147">
          <w:marLeft w:val="0"/>
          <w:marRight w:val="0"/>
          <w:marTop w:val="0"/>
          <w:marBottom w:val="567"/>
          <w:divBdr>
            <w:top w:val="none" w:sz="0" w:space="0" w:color="auto"/>
            <w:left w:val="none" w:sz="0" w:space="0" w:color="auto"/>
            <w:bottom w:val="none" w:sz="0" w:space="0" w:color="auto"/>
            <w:right w:val="none" w:sz="0" w:space="0" w:color="auto"/>
          </w:divBdr>
        </w:div>
      </w:divsChild>
    </w:div>
    <w:div w:id="920870748">
      <w:bodyDiv w:val="1"/>
      <w:marLeft w:val="0"/>
      <w:marRight w:val="0"/>
      <w:marTop w:val="0"/>
      <w:marBottom w:val="0"/>
      <w:divBdr>
        <w:top w:val="none" w:sz="0" w:space="0" w:color="auto"/>
        <w:left w:val="none" w:sz="0" w:space="0" w:color="auto"/>
        <w:bottom w:val="none" w:sz="0" w:space="0" w:color="auto"/>
        <w:right w:val="none" w:sz="0" w:space="0" w:color="auto"/>
      </w:divBdr>
    </w:div>
    <w:div w:id="937711366">
      <w:bodyDiv w:val="1"/>
      <w:marLeft w:val="0"/>
      <w:marRight w:val="0"/>
      <w:marTop w:val="0"/>
      <w:marBottom w:val="0"/>
      <w:divBdr>
        <w:top w:val="none" w:sz="0" w:space="0" w:color="auto"/>
        <w:left w:val="none" w:sz="0" w:space="0" w:color="auto"/>
        <w:bottom w:val="none" w:sz="0" w:space="0" w:color="auto"/>
        <w:right w:val="none" w:sz="0" w:space="0" w:color="auto"/>
      </w:divBdr>
    </w:div>
    <w:div w:id="1043561911">
      <w:bodyDiv w:val="1"/>
      <w:marLeft w:val="0"/>
      <w:marRight w:val="0"/>
      <w:marTop w:val="0"/>
      <w:marBottom w:val="0"/>
      <w:divBdr>
        <w:top w:val="none" w:sz="0" w:space="0" w:color="auto"/>
        <w:left w:val="none" w:sz="0" w:space="0" w:color="auto"/>
        <w:bottom w:val="none" w:sz="0" w:space="0" w:color="auto"/>
        <w:right w:val="none" w:sz="0" w:space="0" w:color="auto"/>
      </w:divBdr>
      <w:divsChild>
        <w:div w:id="962225842">
          <w:marLeft w:val="0"/>
          <w:marRight w:val="0"/>
          <w:marTop w:val="0"/>
          <w:marBottom w:val="0"/>
          <w:divBdr>
            <w:top w:val="none" w:sz="0" w:space="0" w:color="auto"/>
            <w:left w:val="none" w:sz="0" w:space="0" w:color="auto"/>
            <w:bottom w:val="none" w:sz="0" w:space="0" w:color="auto"/>
            <w:right w:val="none" w:sz="0" w:space="0" w:color="auto"/>
          </w:divBdr>
        </w:div>
        <w:div w:id="1846095039">
          <w:marLeft w:val="0"/>
          <w:marRight w:val="0"/>
          <w:marTop w:val="0"/>
          <w:marBottom w:val="0"/>
          <w:divBdr>
            <w:top w:val="none" w:sz="0" w:space="0" w:color="auto"/>
            <w:left w:val="none" w:sz="0" w:space="0" w:color="auto"/>
            <w:bottom w:val="none" w:sz="0" w:space="0" w:color="auto"/>
            <w:right w:val="none" w:sz="0" w:space="0" w:color="auto"/>
          </w:divBdr>
        </w:div>
      </w:divsChild>
    </w:div>
    <w:div w:id="1056782190">
      <w:bodyDiv w:val="1"/>
      <w:marLeft w:val="0"/>
      <w:marRight w:val="0"/>
      <w:marTop w:val="0"/>
      <w:marBottom w:val="0"/>
      <w:divBdr>
        <w:top w:val="none" w:sz="0" w:space="0" w:color="auto"/>
        <w:left w:val="none" w:sz="0" w:space="0" w:color="auto"/>
        <w:bottom w:val="none" w:sz="0" w:space="0" w:color="auto"/>
        <w:right w:val="none" w:sz="0" w:space="0" w:color="auto"/>
      </w:divBdr>
    </w:div>
    <w:div w:id="1074818364">
      <w:bodyDiv w:val="1"/>
      <w:marLeft w:val="0"/>
      <w:marRight w:val="0"/>
      <w:marTop w:val="0"/>
      <w:marBottom w:val="0"/>
      <w:divBdr>
        <w:top w:val="none" w:sz="0" w:space="0" w:color="auto"/>
        <w:left w:val="none" w:sz="0" w:space="0" w:color="auto"/>
        <w:bottom w:val="none" w:sz="0" w:space="0" w:color="auto"/>
        <w:right w:val="none" w:sz="0" w:space="0" w:color="auto"/>
      </w:divBdr>
    </w:div>
    <w:div w:id="1094739728">
      <w:bodyDiv w:val="1"/>
      <w:marLeft w:val="0"/>
      <w:marRight w:val="0"/>
      <w:marTop w:val="0"/>
      <w:marBottom w:val="0"/>
      <w:divBdr>
        <w:top w:val="none" w:sz="0" w:space="0" w:color="auto"/>
        <w:left w:val="none" w:sz="0" w:space="0" w:color="auto"/>
        <w:bottom w:val="none" w:sz="0" w:space="0" w:color="auto"/>
        <w:right w:val="none" w:sz="0" w:space="0" w:color="auto"/>
      </w:divBdr>
    </w:div>
    <w:div w:id="1120221663">
      <w:bodyDiv w:val="1"/>
      <w:marLeft w:val="0"/>
      <w:marRight w:val="0"/>
      <w:marTop w:val="0"/>
      <w:marBottom w:val="0"/>
      <w:divBdr>
        <w:top w:val="none" w:sz="0" w:space="0" w:color="auto"/>
        <w:left w:val="none" w:sz="0" w:space="0" w:color="auto"/>
        <w:bottom w:val="none" w:sz="0" w:space="0" w:color="auto"/>
        <w:right w:val="none" w:sz="0" w:space="0" w:color="auto"/>
      </w:divBdr>
    </w:div>
    <w:div w:id="1193885494">
      <w:bodyDiv w:val="1"/>
      <w:marLeft w:val="0"/>
      <w:marRight w:val="0"/>
      <w:marTop w:val="0"/>
      <w:marBottom w:val="0"/>
      <w:divBdr>
        <w:top w:val="none" w:sz="0" w:space="0" w:color="auto"/>
        <w:left w:val="none" w:sz="0" w:space="0" w:color="auto"/>
        <w:bottom w:val="none" w:sz="0" w:space="0" w:color="auto"/>
        <w:right w:val="none" w:sz="0" w:space="0" w:color="auto"/>
      </w:divBdr>
    </w:div>
    <w:div w:id="1240751023">
      <w:bodyDiv w:val="1"/>
      <w:marLeft w:val="0"/>
      <w:marRight w:val="0"/>
      <w:marTop w:val="0"/>
      <w:marBottom w:val="0"/>
      <w:divBdr>
        <w:top w:val="none" w:sz="0" w:space="0" w:color="auto"/>
        <w:left w:val="none" w:sz="0" w:space="0" w:color="auto"/>
        <w:bottom w:val="none" w:sz="0" w:space="0" w:color="auto"/>
        <w:right w:val="none" w:sz="0" w:space="0" w:color="auto"/>
      </w:divBdr>
    </w:div>
    <w:div w:id="1324091798">
      <w:bodyDiv w:val="1"/>
      <w:marLeft w:val="0"/>
      <w:marRight w:val="0"/>
      <w:marTop w:val="0"/>
      <w:marBottom w:val="0"/>
      <w:divBdr>
        <w:top w:val="none" w:sz="0" w:space="0" w:color="auto"/>
        <w:left w:val="none" w:sz="0" w:space="0" w:color="auto"/>
        <w:bottom w:val="none" w:sz="0" w:space="0" w:color="auto"/>
        <w:right w:val="none" w:sz="0" w:space="0" w:color="auto"/>
      </w:divBdr>
    </w:div>
    <w:div w:id="1463036907">
      <w:bodyDiv w:val="1"/>
      <w:marLeft w:val="0"/>
      <w:marRight w:val="0"/>
      <w:marTop w:val="0"/>
      <w:marBottom w:val="0"/>
      <w:divBdr>
        <w:top w:val="none" w:sz="0" w:space="0" w:color="auto"/>
        <w:left w:val="none" w:sz="0" w:space="0" w:color="auto"/>
        <w:bottom w:val="none" w:sz="0" w:space="0" w:color="auto"/>
        <w:right w:val="none" w:sz="0" w:space="0" w:color="auto"/>
      </w:divBdr>
    </w:div>
    <w:div w:id="1531259035">
      <w:bodyDiv w:val="1"/>
      <w:marLeft w:val="0"/>
      <w:marRight w:val="0"/>
      <w:marTop w:val="0"/>
      <w:marBottom w:val="0"/>
      <w:divBdr>
        <w:top w:val="none" w:sz="0" w:space="0" w:color="auto"/>
        <w:left w:val="none" w:sz="0" w:space="0" w:color="auto"/>
        <w:bottom w:val="none" w:sz="0" w:space="0" w:color="auto"/>
        <w:right w:val="none" w:sz="0" w:space="0" w:color="auto"/>
      </w:divBdr>
    </w:div>
    <w:div w:id="1556426660">
      <w:bodyDiv w:val="1"/>
      <w:marLeft w:val="0"/>
      <w:marRight w:val="0"/>
      <w:marTop w:val="0"/>
      <w:marBottom w:val="0"/>
      <w:divBdr>
        <w:top w:val="none" w:sz="0" w:space="0" w:color="auto"/>
        <w:left w:val="none" w:sz="0" w:space="0" w:color="auto"/>
        <w:bottom w:val="none" w:sz="0" w:space="0" w:color="auto"/>
        <w:right w:val="none" w:sz="0" w:space="0" w:color="auto"/>
      </w:divBdr>
    </w:div>
    <w:div w:id="1577856022">
      <w:bodyDiv w:val="1"/>
      <w:marLeft w:val="0"/>
      <w:marRight w:val="0"/>
      <w:marTop w:val="0"/>
      <w:marBottom w:val="0"/>
      <w:divBdr>
        <w:top w:val="none" w:sz="0" w:space="0" w:color="auto"/>
        <w:left w:val="none" w:sz="0" w:space="0" w:color="auto"/>
        <w:bottom w:val="none" w:sz="0" w:space="0" w:color="auto"/>
        <w:right w:val="none" w:sz="0" w:space="0" w:color="auto"/>
      </w:divBdr>
    </w:div>
    <w:div w:id="1707290531">
      <w:bodyDiv w:val="1"/>
      <w:marLeft w:val="0"/>
      <w:marRight w:val="0"/>
      <w:marTop w:val="0"/>
      <w:marBottom w:val="0"/>
      <w:divBdr>
        <w:top w:val="none" w:sz="0" w:space="0" w:color="auto"/>
        <w:left w:val="none" w:sz="0" w:space="0" w:color="auto"/>
        <w:bottom w:val="none" w:sz="0" w:space="0" w:color="auto"/>
        <w:right w:val="none" w:sz="0" w:space="0" w:color="auto"/>
      </w:divBdr>
    </w:div>
    <w:div w:id="1751998185">
      <w:bodyDiv w:val="1"/>
      <w:marLeft w:val="0"/>
      <w:marRight w:val="0"/>
      <w:marTop w:val="0"/>
      <w:marBottom w:val="0"/>
      <w:divBdr>
        <w:top w:val="none" w:sz="0" w:space="0" w:color="auto"/>
        <w:left w:val="none" w:sz="0" w:space="0" w:color="auto"/>
        <w:bottom w:val="none" w:sz="0" w:space="0" w:color="auto"/>
        <w:right w:val="none" w:sz="0" w:space="0" w:color="auto"/>
      </w:divBdr>
    </w:div>
    <w:div w:id="1766920788">
      <w:bodyDiv w:val="1"/>
      <w:marLeft w:val="0"/>
      <w:marRight w:val="0"/>
      <w:marTop w:val="0"/>
      <w:marBottom w:val="0"/>
      <w:divBdr>
        <w:top w:val="none" w:sz="0" w:space="0" w:color="auto"/>
        <w:left w:val="none" w:sz="0" w:space="0" w:color="auto"/>
        <w:bottom w:val="none" w:sz="0" w:space="0" w:color="auto"/>
        <w:right w:val="none" w:sz="0" w:space="0" w:color="auto"/>
      </w:divBdr>
    </w:div>
    <w:div w:id="1856729478">
      <w:bodyDiv w:val="1"/>
      <w:marLeft w:val="0"/>
      <w:marRight w:val="0"/>
      <w:marTop w:val="0"/>
      <w:marBottom w:val="0"/>
      <w:divBdr>
        <w:top w:val="none" w:sz="0" w:space="0" w:color="auto"/>
        <w:left w:val="none" w:sz="0" w:space="0" w:color="auto"/>
        <w:bottom w:val="none" w:sz="0" w:space="0" w:color="auto"/>
        <w:right w:val="none" w:sz="0" w:space="0" w:color="auto"/>
      </w:divBdr>
      <w:divsChild>
        <w:div w:id="2000109885">
          <w:marLeft w:val="0"/>
          <w:marRight w:val="0"/>
          <w:marTop w:val="150"/>
          <w:marBottom w:val="0"/>
          <w:divBdr>
            <w:top w:val="none" w:sz="0" w:space="0" w:color="auto"/>
            <w:left w:val="none" w:sz="0" w:space="0" w:color="auto"/>
            <w:bottom w:val="none" w:sz="0" w:space="0" w:color="auto"/>
            <w:right w:val="none" w:sz="0" w:space="0" w:color="auto"/>
          </w:divBdr>
        </w:div>
        <w:div w:id="1784111484">
          <w:marLeft w:val="0"/>
          <w:marRight w:val="0"/>
          <w:marTop w:val="150"/>
          <w:marBottom w:val="0"/>
          <w:divBdr>
            <w:top w:val="none" w:sz="0" w:space="0" w:color="auto"/>
            <w:left w:val="none" w:sz="0" w:space="0" w:color="auto"/>
            <w:bottom w:val="none" w:sz="0" w:space="0" w:color="auto"/>
            <w:right w:val="none" w:sz="0" w:space="0" w:color="auto"/>
          </w:divBdr>
        </w:div>
      </w:divsChild>
    </w:div>
    <w:div w:id="1883907621">
      <w:bodyDiv w:val="1"/>
      <w:marLeft w:val="0"/>
      <w:marRight w:val="0"/>
      <w:marTop w:val="0"/>
      <w:marBottom w:val="0"/>
      <w:divBdr>
        <w:top w:val="none" w:sz="0" w:space="0" w:color="auto"/>
        <w:left w:val="none" w:sz="0" w:space="0" w:color="auto"/>
        <w:bottom w:val="none" w:sz="0" w:space="0" w:color="auto"/>
        <w:right w:val="none" w:sz="0" w:space="0" w:color="auto"/>
      </w:divBdr>
    </w:div>
    <w:div w:id="1892497194">
      <w:bodyDiv w:val="1"/>
      <w:marLeft w:val="0"/>
      <w:marRight w:val="0"/>
      <w:marTop w:val="0"/>
      <w:marBottom w:val="0"/>
      <w:divBdr>
        <w:top w:val="none" w:sz="0" w:space="0" w:color="auto"/>
        <w:left w:val="none" w:sz="0" w:space="0" w:color="auto"/>
        <w:bottom w:val="none" w:sz="0" w:space="0" w:color="auto"/>
        <w:right w:val="none" w:sz="0" w:space="0" w:color="auto"/>
      </w:divBdr>
    </w:div>
    <w:div w:id="1939823861">
      <w:bodyDiv w:val="1"/>
      <w:marLeft w:val="0"/>
      <w:marRight w:val="0"/>
      <w:marTop w:val="0"/>
      <w:marBottom w:val="0"/>
      <w:divBdr>
        <w:top w:val="none" w:sz="0" w:space="0" w:color="auto"/>
        <w:left w:val="none" w:sz="0" w:space="0" w:color="auto"/>
        <w:bottom w:val="none" w:sz="0" w:space="0" w:color="auto"/>
        <w:right w:val="none" w:sz="0" w:space="0" w:color="auto"/>
      </w:divBdr>
    </w:div>
    <w:div w:id="206910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62005CJ0035" TargetMode="External"/><Relationship Id="rId13" Type="http://schemas.openxmlformats.org/officeDocument/2006/relationships/hyperlink" Target="https://eur-lex.europa.eu/legal-content/LV/TXT/?uri=CELEX:62005CJ0035" TargetMode="External"/><Relationship Id="rId18" Type="http://schemas.openxmlformats.org/officeDocument/2006/relationships/hyperlink" Target="https://eur-lex.europa.eu/legal-content/LV/TXT/?uri=CELEX:62005CJ0035" TargetMode="External"/><Relationship Id="rId3" Type="http://schemas.openxmlformats.org/officeDocument/2006/relationships/settings" Target="settings.xml"/><Relationship Id="rId21" Type="http://schemas.openxmlformats.org/officeDocument/2006/relationships/hyperlink" Target="https://eur-lex.europa.eu/legal-content/LV/TXT/?uri=CELEX:62017CJ0691" TargetMode="External"/><Relationship Id="rId7" Type="http://schemas.openxmlformats.org/officeDocument/2006/relationships/hyperlink" Target="https://manas.tiesas.lv/eTiesasMvc/eclinolemumi/ECLI:LV:AT:2020:0630.A420408912.4.S" TargetMode="External"/><Relationship Id="rId12" Type="http://schemas.openxmlformats.org/officeDocument/2006/relationships/hyperlink" Target="https://eur-lex.europa.eu/legal-content/LV/TXT/?uri=CELEX:62012CJ0138" TargetMode="External"/><Relationship Id="rId17" Type="http://schemas.openxmlformats.org/officeDocument/2006/relationships/hyperlink" Target="https://eur-lex.europa.eu/legal-content/LV/TXT/?uri=CELEX:62017CJ069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ur-lex.europa.eu/legal-content/LV/TXT/?uri=CELEX:62016CJ0660" TargetMode="External"/><Relationship Id="rId20" Type="http://schemas.openxmlformats.org/officeDocument/2006/relationships/hyperlink" Target="https://eur-lex.europa.eu/legal-content/LV/TXT/?uri=CELEX:62016CJ066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ur-lex.europa.eu/legal-content/LV/TXT/?uri=CELEX:62011CJ0643&amp;qid=159349315673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ur-lex.europa.eu/legal-content/LV/TXT/?uri=CELEX:62015CJ0564" TargetMode="External"/><Relationship Id="rId23" Type="http://schemas.openxmlformats.org/officeDocument/2006/relationships/footer" Target="footer1.xml"/><Relationship Id="rId10" Type="http://schemas.openxmlformats.org/officeDocument/2006/relationships/hyperlink" Target="https://eur-lex.europa.eu/legal-content/LV/TXT/?uri=CELEX:62016CJ0038" TargetMode="External"/><Relationship Id="rId19" Type="http://schemas.openxmlformats.org/officeDocument/2006/relationships/hyperlink" Target="https://eur-lex.europa.eu/legal-content/LV/TXT/?uri=CELEX:62015CJ0564" TargetMode="External"/><Relationship Id="rId4" Type="http://schemas.openxmlformats.org/officeDocument/2006/relationships/webSettings" Target="webSettings.xml"/><Relationship Id="rId9" Type="http://schemas.openxmlformats.org/officeDocument/2006/relationships/hyperlink" Target="https://eur-lex.europa.eu/legal-content/LV/TXT/?uri=CELEX:62012CJ0138" TargetMode="External"/><Relationship Id="rId14" Type="http://schemas.openxmlformats.org/officeDocument/2006/relationships/hyperlink" Target="https://eur-lex.europa.eu/legal-content/LV/TXT/?uri=CELEX:62010CJ0427" TargetMode="External"/><Relationship Id="rId22" Type="http://schemas.openxmlformats.org/officeDocument/2006/relationships/hyperlink" Target="https://eur-lex.europa.eu/legal-content/LV/TXT/?uri=CELEX:62012CJ0138&amp;qid=15934930658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A815F-EE47-4220-8180-8154F4401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23743</Words>
  <Characters>13535</Characters>
  <Application>Microsoft Office Word</Application>
  <DocSecurity>0</DocSecurity>
  <Lines>112</Lines>
  <Paragraphs>74</Paragraphs>
  <ScaleCrop>false</ScaleCrop>
  <Company/>
  <LinksUpToDate>false</LinksUpToDate>
  <CharactersWithSpaces>37204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2020-07-03T05:43:00Z</dcterms:created>
  <dcterms:modified xsi:type="dcterms:W3CDTF">2020-07-03T08:06:00Z</dcterms:modified>
</cp:coreProperties>
</file>