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B9FA3" w14:textId="50C0D8D6" w:rsidR="00462860" w:rsidRDefault="00BB6CCA" w:rsidP="00BB6CCA">
      <w:pPr>
        <w:spacing w:after="0" w:line="276" w:lineRule="auto"/>
        <w:jc w:val="both"/>
      </w:pPr>
      <w:r>
        <w:rPr>
          <w:b/>
          <w:bCs/>
          <w:color w:val="000000"/>
        </w:rPr>
        <w:t xml:space="preserve">Krimināllikuma </w:t>
      </w:r>
      <w:proofErr w:type="gramStart"/>
      <w:r>
        <w:rPr>
          <w:b/>
          <w:bCs/>
          <w:color w:val="000000"/>
        </w:rPr>
        <w:t>329.pantā</w:t>
      </w:r>
      <w:proofErr w:type="gramEnd"/>
      <w:r>
        <w:rPr>
          <w:b/>
          <w:bCs/>
          <w:color w:val="000000"/>
        </w:rPr>
        <w:t xml:space="preserve"> paredzētā noziedzīgā nodarījuma (neizpaužamu ziņu izpaušana) priekšmets</w:t>
      </w:r>
    </w:p>
    <w:p w14:paraId="525C6E26" w14:textId="599ADAB4" w:rsidR="00462860" w:rsidRPr="00203447" w:rsidRDefault="00462860" w:rsidP="00BB6CCA">
      <w:pPr>
        <w:spacing w:after="0" w:line="276" w:lineRule="auto"/>
        <w:rPr>
          <w:rFonts w:eastAsia="Calibri"/>
          <w:szCs w:val="24"/>
        </w:rPr>
      </w:pPr>
    </w:p>
    <w:p w14:paraId="7A5C3124" w14:textId="77777777" w:rsidR="00BB6CCA" w:rsidRPr="00BB6CCA" w:rsidRDefault="00462860" w:rsidP="00462860">
      <w:pPr>
        <w:spacing w:after="0" w:line="276" w:lineRule="auto"/>
        <w:jc w:val="center"/>
        <w:rPr>
          <w:rFonts w:cs="Times New Roman"/>
          <w:b/>
          <w:szCs w:val="24"/>
        </w:rPr>
      </w:pPr>
      <w:r w:rsidRPr="00BB6CCA">
        <w:rPr>
          <w:rFonts w:cs="Times New Roman"/>
          <w:b/>
          <w:szCs w:val="24"/>
        </w:rPr>
        <w:t>Latvijas Republikas Senāt</w:t>
      </w:r>
      <w:r w:rsidR="00BB6CCA" w:rsidRPr="00BB6CCA">
        <w:rPr>
          <w:rFonts w:cs="Times New Roman"/>
          <w:b/>
          <w:szCs w:val="24"/>
        </w:rPr>
        <w:t>a</w:t>
      </w:r>
      <w:r w:rsidRPr="00BB6CCA">
        <w:rPr>
          <w:rFonts w:cs="Times New Roman"/>
          <w:b/>
          <w:szCs w:val="24"/>
        </w:rPr>
        <w:t xml:space="preserve"> </w:t>
      </w:r>
    </w:p>
    <w:p w14:paraId="51B2ACA9" w14:textId="77777777" w:rsidR="00BB6CCA" w:rsidRPr="00BB6CCA" w:rsidRDefault="00BB6CCA" w:rsidP="00462860">
      <w:pPr>
        <w:spacing w:after="0" w:line="276" w:lineRule="auto"/>
        <w:jc w:val="center"/>
        <w:rPr>
          <w:rFonts w:cs="Times New Roman"/>
          <w:b/>
          <w:szCs w:val="24"/>
        </w:rPr>
      </w:pPr>
      <w:r w:rsidRPr="00BB6CCA">
        <w:rPr>
          <w:rFonts w:cs="Times New Roman"/>
          <w:b/>
          <w:szCs w:val="24"/>
        </w:rPr>
        <w:t>Krimināllietu departamenta</w:t>
      </w:r>
    </w:p>
    <w:p w14:paraId="3EFA8DC8" w14:textId="6686853F" w:rsidR="00462860" w:rsidRPr="00BB6CCA" w:rsidRDefault="00BB6CCA" w:rsidP="00462860">
      <w:pPr>
        <w:spacing w:after="0" w:line="276" w:lineRule="auto"/>
        <w:jc w:val="center"/>
        <w:rPr>
          <w:rFonts w:cs="Times New Roman"/>
          <w:b/>
          <w:szCs w:val="24"/>
        </w:rPr>
      </w:pPr>
      <w:proofErr w:type="gramStart"/>
      <w:r w:rsidRPr="00BB6CCA">
        <w:rPr>
          <w:rFonts w:cs="Times New Roman"/>
          <w:b/>
          <w:szCs w:val="24"/>
        </w:rPr>
        <w:t>2020.gada</w:t>
      </w:r>
      <w:proofErr w:type="gramEnd"/>
      <w:r w:rsidRPr="00BB6CCA">
        <w:rPr>
          <w:rFonts w:cs="Times New Roman"/>
          <w:b/>
          <w:szCs w:val="24"/>
        </w:rPr>
        <w:t xml:space="preserve"> 4.jūnija</w:t>
      </w:r>
    </w:p>
    <w:p w14:paraId="7FDDE9A6" w14:textId="77777777" w:rsidR="00BB6CCA" w:rsidRPr="00BB6CCA" w:rsidRDefault="00462860" w:rsidP="00462860">
      <w:pPr>
        <w:spacing w:after="0" w:line="276" w:lineRule="auto"/>
        <w:jc w:val="center"/>
        <w:rPr>
          <w:rFonts w:cs="Times New Roman"/>
          <w:b/>
          <w:szCs w:val="24"/>
        </w:rPr>
      </w:pPr>
      <w:r w:rsidRPr="00BB6CCA">
        <w:rPr>
          <w:rFonts w:cs="Times New Roman"/>
          <w:b/>
          <w:szCs w:val="24"/>
        </w:rPr>
        <w:t>LĒMUMS</w:t>
      </w:r>
      <w:r w:rsidR="00BB6CCA" w:rsidRPr="00BB6CCA">
        <w:rPr>
          <w:rFonts w:cs="Times New Roman"/>
          <w:b/>
          <w:szCs w:val="24"/>
        </w:rPr>
        <w:t xml:space="preserve"> </w:t>
      </w:r>
    </w:p>
    <w:p w14:paraId="2D1E13AA" w14:textId="7F59740C" w:rsidR="00462860" w:rsidRPr="00BB6CCA" w:rsidRDefault="00BB6CCA" w:rsidP="00462860">
      <w:pPr>
        <w:spacing w:after="0" w:line="276" w:lineRule="auto"/>
        <w:jc w:val="center"/>
        <w:rPr>
          <w:rFonts w:cs="Times New Roman"/>
          <w:b/>
          <w:szCs w:val="24"/>
        </w:rPr>
      </w:pPr>
      <w:r w:rsidRPr="00BB6CCA">
        <w:rPr>
          <w:rFonts w:cs="Times New Roman"/>
          <w:b/>
          <w:szCs w:val="24"/>
        </w:rPr>
        <w:t>Lieta</w:t>
      </w:r>
      <w:r w:rsidRPr="00BB6CCA">
        <w:rPr>
          <w:rFonts w:cs="Times New Roman"/>
          <w:b/>
          <w:szCs w:val="24"/>
          <w:lang w:val="en-US"/>
        </w:rPr>
        <w:t xml:space="preserve"> </w:t>
      </w:r>
      <w:r w:rsidRPr="00BB6CCA">
        <w:rPr>
          <w:rFonts w:cs="Times New Roman"/>
          <w:b/>
          <w:szCs w:val="24"/>
        </w:rPr>
        <w:t>Nr. 12812001716, SKK-J-221/2020</w:t>
      </w:r>
    </w:p>
    <w:p w14:paraId="25C5DC2F" w14:textId="2027AA31" w:rsidR="00BB6CCA" w:rsidRPr="00BB6CCA" w:rsidRDefault="0078019F" w:rsidP="00462860">
      <w:pPr>
        <w:spacing w:after="0" w:line="276" w:lineRule="auto"/>
        <w:jc w:val="center"/>
        <w:rPr>
          <w:rFonts w:cs="Times New Roman"/>
          <w:bCs/>
          <w:szCs w:val="24"/>
        </w:rPr>
      </w:pPr>
      <w:hyperlink r:id="rId8" w:history="1">
        <w:r w:rsidR="00BB6CCA" w:rsidRPr="00BB6CCA">
          <w:rPr>
            <w:rStyle w:val="Hyperlink"/>
            <w:rFonts w:cs="Times New Roman"/>
            <w:bCs/>
            <w:szCs w:val="24"/>
            <w:shd w:val="clear" w:color="auto" w:fill="FFFFFF"/>
          </w:rPr>
          <w:t>ECLI:LV:AT:2020:0604.12812001716.5.L</w:t>
        </w:r>
      </w:hyperlink>
    </w:p>
    <w:p w14:paraId="75E52AB6" w14:textId="53E581DF" w:rsidR="00462860" w:rsidRDefault="00462860" w:rsidP="00462860">
      <w:pPr>
        <w:spacing w:after="0" w:line="276" w:lineRule="auto"/>
        <w:jc w:val="center"/>
      </w:pPr>
    </w:p>
    <w:p w14:paraId="73A46CAB" w14:textId="77777777" w:rsidR="00462860" w:rsidRDefault="00462860" w:rsidP="00462860">
      <w:pPr>
        <w:spacing w:after="0" w:line="276" w:lineRule="auto"/>
        <w:jc w:val="center"/>
      </w:pPr>
    </w:p>
    <w:p w14:paraId="05E9D356" w14:textId="77777777" w:rsidR="00462860" w:rsidRDefault="00462860" w:rsidP="00462860">
      <w:pPr>
        <w:spacing w:after="0"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w:t>
      </w:r>
      <w:r w:rsidR="00CB6C3C">
        <w:t>Aija Branta, Sandra Kaija</w:t>
      </w:r>
    </w:p>
    <w:p w14:paraId="765D3D6A" w14:textId="77777777" w:rsidR="00462860" w:rsidRPr="001A4084" w:rsidRDefault="00462860" w:rsidP="00462860">
      <w:pPr>
        <w:suppressAutoHyphens/>
        <w:spacing w:after="0" w:line="276" w:lineRule="auto"/>
        <w:ind w:firstLine="720"/>
        <w:jc w:val="both"/>
        <w:rPr>
          <w:rFonts w:eastAsia="Calibri"/>
        </w:rPr>
      </w:pPr>
    </w:p>
    <w:p w14:paraId="720A0E08" w14:textId="54448504" w:rsidR="00462860" w:rsidRDefault="00462860" w:rsidP="00462860">
      <w:pPr>
        <w:autoSpaceDE w:val="0"/>
        <w:autoSpaceDN w:val="0"/>
        <w:adjustRightInd w:val="0"/>
        <w:spacing w:after="0" w:line="276" w:lineRule="auto"/>
        <w:ind w:firstLine="720"/>
        <w:jc w:val="both"/>
      </w:pPr>
      <w:r w:rsidRPr="008A5055">
        <w:rPr>
          <w:rFonts w:eastAsia="Calibri" w:cs="Times New Roman"/>
          <w:szCs w:val="24"/>
        </w:rPr>
        <w:t xml:space="preserve">izskatīja rakstveida procesā krimināllietu sakarā ar </w:t>
      </w:r>
      <w:bookmarkStart w:id="0" w:name="_Hlk11939427"/>
      <w:r w:rsidR="00B1102B">
        <w:t>notiesātā</w:t>
      </w:r>
      <w:r w:rsidR="00CB6C3C">
        <w:t>s</w:t>
      </w:r>
      <w:r w:rsidR="0092748A">
        <w:t xml:space="preserve"> </w:t>
      </w:r>
      <w:r w:rsidR="00BE57EB">
        <w:t>[pers. A]</w:t>
      </w:r>
      <w:r w:rsidR="00B1102B">
        <w:t xml:space="preserve"> </w:t>
      </w:r>
      <w:r w:rsidR="00CB6C3C">
        <w:t xml:space="preserve">uzdevumā advokāta Dagņa </w:t>
      </w:r>
      <w:proofErr w:type="spellStart"/>
      <w:r w:rsidR="00CB6C3C">
        <w:t>Zacmaņa</w:t>
      </w:r>
      <w:proofErr w:type="spellEnd"/>
      <w:r w:rsidR="00CB6C3C">
        <w:t xml:space="preserve"> </w:t>
      </w:r>
      <w:r w:rsidR="00071523">
        <w:t xml:space="preserve">Kriminālprocesa likuma 63.nodaļas kārtībā </w:t>
      </w:r>
      <w:r w:rsidR="00B1102B">
        <w:t xml:space="preserve">iesniegto </w:t>
      </w:r>
      <w:bookmarkEnd w:id="0"/>
      <w:r w:rsidR="00B1102B">
        <w:t xml:space="preserve">pieteikumu </w:t>
      </w:r>
      <w:r>
        <w:t>par</w:t>
      </w:r>
      <w:r w:rsidR="00EA5CE7">
        <w:t xml:space="preserve"> </w:t>
      </w:r>
      <w:r w:rsidR="00CB6C3C">
        <w:t xml:space="preserve">Rīgas </w:t>
      </w:r>
      <w:r w:rsidR="000E512D">
        <w:t xml:space="preserve">apgabaltiesas </w:t>
      </w:r>
      <w:proofErr w:type="gramStart"/>
      <w:r w:rsidR="000E512D">
        <w:t>2019.gada</w:t>
      </w:r>
      <w:proofErr w:type="gramEnd"/>
      <w:r w:rsidR="000E512D">
        <w:t xml:space="preserve"> 11.aprīļa lēmumu</w:t>
      </w:r>
      <w:r>
        <w:t>.</w:t>
      </w:r>
    </w:p>
    <w:p w14:paraId="06C932EF" w14:textId="77777777" w:rsidR="00462860" w:rsidRDefault="00462860" w:rsidP="00462860">
      <w:pPr>
        <w:spacing w:after="0" w:line="276" w:lineRule="auto"/>
        <w:jc w:val="both"/>
      </w:pPr>
    </w:p>
    <w:p w14:paraId="6FB3AF32" w14:textId="77777777" w:rsidR="00462860" w:rsidRPr="008A5055" w:rsidRDefault="00462860" w:rsidP="00462860">
      <w:pPr>
        <w:spacing w:after="0" w:line="276" w:lineRule="auto"/>
        <w:jc w:val="center"/>
        <w:rPr>
          <w:b/>
        </w:rPr>
      </w:pPr>
      <w:r w:rsidRPr="008A5055">
        <w:rPr>
          <w:b/>
        </w:rPr>
        <w:t>Aprakstošā daļa</w:t>
      </w:r>
    </w:p>
    <w:p w14:paraId="5B551017" w14:textId="77777777" w:rsidR="00462860" w:rsidRPr="008A5055" w:rsidRDefault="00462860" w:rsidP="002F414D">
      <w:pPr>
        <w:spacing w:after="0" w:line="276" w:lineRule="auto"/>
        <w:jc w:val="center"/>
        <w:rPr>
          <w:b/>
        </w:rPr>
      </w:pPr>
    </w:p>
    <w:p w14:paraId="6957372B" w14:textId="77777777" w:rsidR="00CB6C3C" w:rsidRPr="00CB6C3C" w:rsidRDefault="00462860" w:rsidP="00CB6C3C">
      <w:pPr>
        <w:autoSpaceDE w:val="0"/>
        <w:autoSpaceDN w:val="0"/>
        <w:adjustRightInd w:val="0"/>
        <w:spacing w:after="0" w:line="276" w:lineRule="auto"/>
        <w:ind w:firstLine="709"/>
        <w:jc w:val="both"/>
        <w:rPr>
          <w:szCs w:val="24"/>
        </w:rPr>
      </w:pPr>
      <w:r w:rsidRPr="00E97689">
        <w:rPr>
          <w:szCs w:val="24"/>
        </w:rPr>
        <w:t xml:space="preserve">[1] </w:t>
      </w:r>
      <w:r w:rsidR="00CB6C3C" w:rsidRPr="00CB6C3C">
        <w:rPr>
          <w:szCs w:val="24"/>
        </w:rPr>
        <w:t xml:space="preserve">Ar Rīgas pilsētas Vidzemes priekšpilsētas tiesas </w:t>
      </w:r>
      <w:proofErr w:type="gramStart"/>
      <w:r w:rsidR="00CB6C3C" w:rsidRPr="00CB6C3C">
        <w:rPr>
          <w:szCs w:val="24"/>
        </w:rPr>
        <w:t>2018.gada</w:t>
      </w:r>
      <w:proofErr w:type="gramEnd"/>
      <w:r w:rsidR="00CB6C3C" w:rsidRPr="00CB6C3C">
        <w:rPr>
          <w:szCs w:val="24"/>
        </w:rPr>
        <w:t xml:space="preserve"> 19.februāra spriedumu</w:t>
      </w:r>
    </w:p>
    <w:p w14:paraId="51EC4D47" w14:textId="732996E5" w:rsidR="00CB6C3C" w:rsidRPr="00CB6C3C" w:rsidRDefault="00BE57EB" w:rsidP="00CB6C3C">
      <w:pPr>
        <w:autoSpaceDE w:val="0"/>
        <w:autoSpaceDN w:val="0"/>
        <w:adjustRightInd w:val="0"/>
        <w:spacing w:after="0" w:line="276" w:lineRule="auto"/>
        <w:ind w:firstLine="709"/>
        <w:jc w:val="both"/>
        <w:rPr>
          <w:szCs w:val="24"/>
        </w:rPr>
      </w:pPr>
      <w:r>
        <w:rPr>
          <w:szCs w:val="24"/>
        </w:rPr>
        <w:t>[pers. A]</w:t>
      </w:r>
      <w:r w:rsidR="00CB6C3C" w:rsidRPr="00CB6C3C">
        <w:rPr>
          <w:szCs w:val="24"/>
        </w:rPr>
        <w:t xml:space="preserve">, personas kods </w:t>
      </w:r>
      <w:r>
        <w:rPr>
          <w:szCs w:val="24"/>
        </w:rPr>
        <w:t>[..]</w:t>
      </w:r>
      <w:r w:rsidR="00CB6C3C" w:rsidRPr="00CB6C3C">
        <w:rPr>
          <w:szCs w:val="24"/>
        </w:rPr>
        <w:t>,</w:t>
      </w:r>
    </w:p>
    <w:p w14:paraId="715D82C5" w14:textId="77777777" w:rsidR="00BF186B" w:rsidRDefault="00CB6C3C" w:rsidP="00CB6C3C">
      <w:pPr>
        <w:autoSpaceDE w:val="0"/>
        <w:autoSpaceDN w:val="0"/>
        <w:adjustRightInd w:val="0"/>
        <w:spacing w:after="0" w:line="276" w:lineRule="auto"/>
        <w:ind w:firstLine="709"/>
        <w:jc w:val="both"/>
        <w:rPr>
          <w:szCs w:val="24"/>
        </w:rPr>
      </w:pPr>
      <w:r w:rsidRPr="00CB6C3C">
        <w:rPr>
          <w:szCs w:val="24"/>
        </w:rPr>
        <w:t>atzīta par vainīgu Krimināllikuma 329.pantā paredzētajā noziedzīgajā nodarījumā un sodīta</w:t>
      </w:r>
      <w:r>
        <w:rPr>
          <w:szCs w:val="24"/>
        </w:rPr>
        <w:t xml:space="preserve"> </w:t>
      </w:r>
      <w:r w:rsidRPr="00CB6C3C">
        <w:rPr>
          <w:szCs w:val="24"/>
        </w:rPr>
        <w:t>ar naudas sodu piecu Latvijas Republikā noteikto min</w:t>
      </w:r>
      <w:r>
        <w:rPr>
          <w:szCs w:val="24"/>
        </w:rPr>
        <w:t>imālo mēnešalgu apmērā jeb 2150 </w:t>
      </w:r>
      <w:proofErr w:type="spellStart"/>
      <w:r w:rsidRPr="00CB6C3C">
        <w:rPr>
          <w:i/>
          <w:szCs w:val="24"/>
        </w:rPr>
        <w:t>euro</w:t>
      </w:r>
      <w:proofErr w:type="spellEnd"/>
      <w:r w:rsidRPr="00CB6C3C">
        <w:rPr>
          <w:szCs w:val="24"/>
        </w:rPr>
        <w:t>.</w:t>
      </w:r>
    </w:p>
    <w:p w14:paraId="2B6EA193" w14:textId="77777777" w:rsidR="00CB6C3C" w:rsidRDefault="00CB6C3C" w:rsidP="00CB6C3C">
      <w:pPr>
        <w:autoSpaceDE w:val="0"/>
        <w:autoSpaceDN w:val="0"/>
        <w:adjustRightInd w:val="0"/>
        <w:spacing w:after="0" w:line="276" w:lineRule="auto"/>
        <w:ind w:firstLine="709"/>
        <w:jc w:val="both"/>
      </w:pPr>
    </w:p>
    <w:p w14:paraId="4E394E5B" w14:textId="556723EB" w:rsidR="00CB6C3C" w:rsidRDefault="00BF186B" w:rsidP="00CB6C3C">
      <w:pPr>
        <w:spacing w:after="0" w:line="276" w:lineRule="auto"/>
        <w:ind w:firstLine="720"/>
        <w:jc w:val="both"/>
      </w:pPr>
      <w:r>
        <w:t xml:space="preserve">[2] </w:t>
      </w:r>
      <w:r w:rsidR="00CB6C3C">
        <w:t xml:space="preserve">Ar pirmās instances tiesas spriedumu </w:t>
      </w:r>
      <w:r w:rsidR="00BE57EB">
        <w:t>[pers. A]</w:t>
      </w:r>
      <w:r w:rsidR="00CB6C3C">
        <w:t xml:space="preserve"> atzīta par vainīgu un sodīta pēc Krimināllikuma </w:t>
      </w:r>
      <w:proofErr w:type="gramStart"/>
      <w:r w:rsidR="00CB6C3C">
        <w:t>329.panta</w:t>
      </w:r>
      <w:proofErr w:type="gramEnd"/>
      <w:r w:rsidR="00CB6C3C">
        <w:t xml:space="preserve"> par to, ka, būdama valsts amatpersona, kas par ziņu neizpaušanu bijusi brīdināta un kas saskaņā ar likumu ir atbildīga par ziņu glabāšanu, izpauda neizpaužamas ziņas, kas nav valsts noslēpums.</w:t>
      </w:r>
    </w:p>
    <w:p w14:paraId="077FDD9E" w14:textId="77777777" w:rsidR="00CB6C3C" w:rsidRDefault="00CB6C3C" w:rsidP="00CB6C3C">
      <w:pPr>
        <w:spacing w:after="0" w:line="276" w:lineRule="auto"/>
        <w:ind w:firstLine="720"/>
        <w:jc w:val="both"/>
      </w:pPr>
    </w:p>
    <w:p w14:paraId="4F65A0BB" w14:textId="12EAD237" w:rsidR="00A31D91" w:rsidRDefault="00A31D91" w:rsidP="00CB6C3C">
      <w:pPr>
        <w:spacing w:after="0" w:line="276" w:lineRule="auto"/>
        <w:ind w:firstLine="720"/>
        <w:jc w:val="both"/>
        <w:rPr>
          <w:rFonts w:ascii="TimesNewRomanPSMT" w:hAnsi="TimesNewRomanPSMT" w:cs="TimesNewRomanPSMT"/>
          <w:szCs w:val="24"/>
        </w:rPr>
      </w:pPr>
      <w:r>
        <w:t>[</w:t>
      </w:r>
      <w:r w:rsidR="00033C1D">
        <w:t>3</w:t>
      </w:r>
      <w:r>
        <w:t xml:space="preserve">] </w:t>
      </w:r>
      <w:r w:rsidR="00CB6C3C">
        <w:rPr>
          <w:rFonts w:ascii="TimesNewRomanPSMT" w:hAnsi="TimesNewRomanPSMT" w:cs="TimesNewRomanPSMT"/>
          <w:szCs w:val="24"/>
        </w:rPr>
        <w:t xml:space="preserve">Ar Rīgas apgabaltiesas </w:t>
      </w:r>
      <w:proofErr w:type="gramStart"/>
      <w:r w:rsidR="00CB6C3C">
        <w:rPr>
          <w:rFonts w:ascii="TimesNewRomanPSMT" w:hAnsi="TimesNewRomanPSMT" w:cs="TimesNewRomanPSMT"/>
          <w:szCs w:val="24"/>
        </w:rPr>
        <w:t>2018.gada</w:t>
      </w:r>
      <w:proofErr w:type="gramEnd"/>
      <w:r w:rsidR="00CB6C3C">
        <w:rPr>
          <w:rFonts w:ascii="TimesNewRomanPSMT" w:hAnsi="TimesNewRomanPSMT" w:cs="TimesNewRomanPSMT"/>
          <w:szCs w:val="24"/>
        </w:rPr>
        <w:t xml:space="preserve"> 21.maija lēmumu, iztiesājot lietu apelācijas kārtībā sakarā ar </w:t>
      </w:r>
      <w:r w:rsidR="00BE57EB">
        <w:rPr>
          <w:rFonts w:ascii="TimesNewRomanPSMT" w:hAnsi="TimesNewRomanPSMT" w:cs="TimesNewRomanPSMT"/>
          <w:szCs w:val="24"/>
        </w:rPr>
        <w:t>[pers. </w:t>
      </w:r>
      <w:r w:rsidR="00BE57EB">
        <w:t>A]</w:t>
      </w:r>
      <w:r w:rsidR="00CB6C3C">
        <w:rPr>
          <w:rFonts w:ascii="TimesNewRomanPSMT" w:hAnsi="TimesNewRomanPSMT" w:cs="TimesNewRomanPSMT"/>
          <w:szCs w:val="24"/>
        </w:rPr>
        <w:t xml:space="preserve"> un </w:t>
      </w:r>
      <w:r w:rsidR="000B0AF7">
        <w:rPr>
          <w:rFonts w:ascii="TimesNewRomanPSMT" w:hAnsi="TimesNewRomanPSMT" w:cs="TimesNewRomanPSMT"/>
          <w:szCs w:val="24"/>
        </w:rPr>
        <w:t>a</w:t>
      </w:r>
      <w:r w:rsidR="000D43EA">
        <w:rPr>
          <w:rFonts w:ascii="TimesNewRomanPSMT" w:hAnsi="TimesNewRomanPSMT" w:cs="TimesNewRomanPSMT"/>
          <w:szCs w:val="24"/>
        </w:rPr>
        <w:t xml:space="preserve">izstāvja </w:t>
      </w:r>
      <w:r w:rsidR="00CB6C3C">
        <w:rPr>
          <w:rFonts w:ascii="TimesNewRomanPSMT" w:hAnsi="TimesNewRomanPSMT" w:cs="TimesNewRomanPSMT"/>
          <w:szCs w:val="24"/>
        </w:rPr>
        <w:t>D. </w:t>
      </w:r>
      <w:proofErr w:type="spellStart"/>
      <w:r w:rsidR="00CB6C3C">
        <w:rPr>
          <w:rFonts w:ascii="TimesNewRomanPSMT" w:hAnsi="TimesNewRomanPSMT" w:cs="TimesNewRomanPSMT"/>
          <w:szCs w:val="24"/>
        </w:rPr>
        <w:t>Zacmaņa</w:t>
      </w:r>
      <w:proofErr w:type="spellEnd"/>
      <w:r w:rsidR="00CB6C3C">
        <w:rPr>
          <w:rFonts w:ascii="TimesNewRomanPSMT" w:hAnsi="TimesNewRomanPSMT" w:cs="TimesNewRomanPSMT"/>
          <w:szCs w:val="24"/>
        </w:rPr>
        <w:t xml:space="preserve"> apelācijas sūdzībām, Rīgas pilsētas Vidzemes priekšpilsētas tiesas 2018.gada 19.februāra spriedums atstāts negrozīts.</w:t>
      </w:r>
    </w:p>
    <w:p w14:paraId="08D417D4" w14:textId="77777777" w:rsidR="00CB6C3C" w:rsidRDefault="00CB6C3C" w:rsidP="00CB6C3C">
      <w:pPr>
        <w:spacing w:after="0" w:line="276" w:lineRule="auto"/>
        <w:ind w:firstLine="720"/>
        <w:jc w:val="both"/>
        <w:rPr>
          <w:rFonts w:ascii="TimesNewRomanPSMT" w:hAnsi="TimesNewRomanPSMT" w:cs="TimesNewRomanPSMT"/>
          <w:szCs w:val="24"/>
        </w:rPr>
      </w:pPr>
    </w:p>
    <w:p w14:paraId="4BA2D716" w14:textId="57EC9133" w:rsidR="00CB6C3C" w:rsidRDefault="00CB6C3C" w:rsidP="00CB6C3C">
      <w:pPr>
        <w:spacing w:after="0" w:line="276" w:lineRule="auto"/>
        <w:ind w:firstLine="720"/>
        <w:jc w:val="both"/>
        <w:rPr>
          <w:rFonts w:ascii="TimesNewRomanPSMT" w:hAnsi="TimesNewRomanPSMT" w:cs="TimesNewRomanPSMT"/>
          <w:szCs w:val="24"/>
        </w:rPr>
      </w:pPr>
      <w:r>
        <w:rPr>
          <w:rFonts w:ascii="TimesNewRomanPSMT" w:hAnsi="TimesNewRomanPSMT" w:cs="TimesNewRomanPSMT"/>
          <w:szCs w:val="24"/>
        </w:rPr>
        <w:t xml:space="preserve">[4] Ar Senāta </w:t>
      </w:r>
      <w:proofErr w:type="gramStart"/>
      <w:r>
        <w:rPr>
          <w:rFonts w:ascii="TimesNewRomanPSMT" w:hAnsi="TimesNewRomanPSMT" w:cs="TimesNewRomanPSMT"/>
          <w:szCs w:val="24"/>
        </w:rPr>
        <w:t>2019.gada</w:t>
      </w:r>
      <w:proofErr w:type="gramEnd"/>
      <w:r>
        <w:rPr>
          <w:rFonts w:ascii="TimesNewRomanPSMT" w:hAnsi="TimesNewRomanPSMT" w:cs="TimesNewRomanPSMT"/>
          <w:szCs w:val="24"/>
        </w:rPr>
        <w:t xml:space="preserve"> 24.janvāra lēmumu, izskatot lietu kasācijas kārtībā sakarā ar </w:t>
      </w:r>
      <w:r w:rsidR="00BE57EB">
        <w:rPr>
          <w:rFonts w:ascii="TimesNewRomanPSMT" w:hAnsi="TimesNewRomanPSMT" w:cs="TimesNewRomanPSMT"/>
          <w:szCs w:val="24"/>
        </w:rPr>
        <w:t>[pers. A]</w:t>
      </w:r>
      <w:r>
        <w:rPr>
          <w:rFonts w:ascii="TimesNewRomanPSMT" w:hAnsi="TimesNewRomanPSMT" w:cs="TimesNewRomanPSMT"/>
          <w:szCs w:val="24"/>
        </w:rPr>
        <w:t xml:space="preserve"> un </w:t>
      </w:r>
      <w:r w:rsidR="000B0AF7">
        <w:rPr>
          <w:rFonts w:ascii="TimesNewRomanPSMT" w:hAnsi="TimesNewRomanPSMT" w:cs="TimesNewRomanPSMT"/>
          <w:szCs w:val="24"/>
        </w:rPr>
        <w:t>a</w:t>
      </w:r>
      <w:r w:rsidR="000D43EA">
        <w:rPr>
          <w:rFonts w:ascii="TimesNewRomanPSMT" w:hAnsi="TimesNewRomanPSMT" w:cs="TimesNewRomanPSMT"/>
          <w:szCs w:val="24"/>
        </w:rPr>
        <w:t>izstāvja</w:t>
      </w:r>
      <w:r>
        <w:rPr>
          <w:rFonts w:ascii="TimesNewRomanPSMT" w:hAnsi="TimesNewRomanPSMT" w:cs="TimesNewRomanPSMT"/>
          <w:szCs w:val="24"/>
        </w:rPr>
        <w:t xml:space="preserve"> D. </w:t>
      </w:r>
      <w:proofErr w:type="spellStart"/>
      <w:r>
        <w:rPr>
          <w:rFonts w:ascii="TimesNewRomanPSMT" w:hAnsi="TimesNewRomanPSMT" w:cs="TimesNewRomanPSMT"/>
          <w:szCs w:val="24"/>
        </w:rPr>
        <w:t>Zacmaņa</w:t>
      </w:r>
      <w:proofErr w:type="spellEnd"/>
      <w:r>
        <w:rPr>
          <w:rFonts w:ascii="TimesNewRomanPSMT" w:hAnsi="TimesNewRomanPSMT" w:cs="TimesNewRomanPSMT"/>
          <w:szCs w:val="24"/>
        </w:rPr>
        <w:t xml:space="preserve"> kasācijas sūdzībām, Rīgas apgabaltiesas 2018.gada 21.maija lēmums atcelts un lieta nosūtīta jaunai izskatīšanai Rīgas apgabaltiesā. </w:t>
      </w:r>
    </w:p>
    <w:p w14:paraId="4122543D" w14:textId="77777777" w:rsidR="00CB6C3C" w:rsidRDefault="00CB6C3C" w:rsidP="00CB6C3C">
      <w:pPr>
        <w:spacing w:after="0" w:line="276" w:lineRule="auto"/>
        <w:ind w:firstLine="720"/>
        <w:jc w:val="both"/>
        <w:rPr>
          <w:rFonts w:ascii="TimesNewRomanPSMT" w:hAnsi="TimesNewRomanPSMT" w:cs="TimesNewRomanPSMT"/>
          <w:szCs w:val="24"/>
        </w:rPr>
      </w:pPr>
    </w:p>
    <w:p w14:paraId="5D067B8E" w14:textId="77777777" w:rsidR="00CB6C3C" w:rsidRDefault="00CB6C3C" w:rsidP="00CB6C3C">
      <w:pPr>
        <w:spacing w:after="0" w:line="276" w:lineRule="auto"/>
        <w:ind w:firstLine="720"/>
        <w:jc w:val="both"/>
        <w:rPr>
          <w:rFonts w:ascii="TimesNewRomanPSMT" w:hAnsi="TimesNewRomanPSMT" w:cs="TimesNewRomanPSMT"/>
          <w:szCs w:val="24"/>
        </w:rPr>
      </w:pPr>
      <w:r>
        <w:rPr>
          <w:rFonts w:ascii="TimesNewRomanPSMT" w:hAnsi="TimesNewRomanPSMT" w:cs="TimesNewRomanPSMT"/>
          <w:szCs w:val="24"/>
        </w:rPr>
        <w:t>[5] </w:t>
      </w:r>
      <w:r w:rsidR="000E512D">
        <w:rPr>
          <w:rFonts w:ascii="TimesNewRomanPSMT" w:hAnsi="TimesNewRomanPSMT" w:cs="TimesNewRomanPSMT"/>
          <w:szCs w:val="24"/>
        </w:rPr>
        <w:t xml:space="preserve">Ar Rīgas apgabaltiesas </w:t>
      </w:r>
      <w:proofErr w:type="gramStart"/>
      <w:r w:rsidR="000E512D">
        <w:rPr>
          <w:rFonts w:ascii="TimesNewRomanPSMT" w:hAnsi="TimesNewRomanPSMT" w:cs="TimesNewRomanPSMT"/>
          <w:szCs w:val="24"/>
        </w:rPr>
        <w:t>2019.gada</w:t>
      </w:r>
      <w:proofErr w:type="gramEnd"/>
      <w:r w:rsidR="000E512D">
        <w:rPr>
          <w:rFonts w:ascii="TimesNewRomanPSMT" w:hAnsi="TimesNewRomanPSMT" w:cs="TimesNewRomanPSMT"/>
          <w:szCs w:val="24"/>
        </w:rPr>
        <w:t xml:space="preserve"> 11.aprīļa lēmumu, atkārtoti iztiesājot lietu apelācijas kārtībā, Rīgas pilsētas Vidzemes priekšpilsētas tiesas 2018.gada 19.februāra spriedums atstāts negrozīts.</w:t>
      </w:r>
    </w:p>
    <w:p w14:paraId="5CBED6CB" w14:textId="77777777" w:rsidR="000E512D" w:rsidRDefault="000E512D" w:rsidP="00CB6C3C">
      <w:pPr>
        <w:spacing w:after="0" w:line="276" w:lineRule="auto"/>
        <w:ind w:firstLine="720"/>
        <w:jc w:val="both"/>
        <w:rPr>
          <w:rFonts w:ascii="TimesNewRomanPSMT" w:hAnsi="TimesNewRomanPSMT" w:cs="TimesNewRomanPSMT"/>
          <w:szCs w:val="24"/>
        </w:rPr>
      </w:pPr>
    </w:p>
    <w:p w14:paraId="20430C47" w14:textId="4EBEB4F8" w:rsidR="000E512D" w:rsidRDefault="000E512D" w:rsidP="00CB6C3C">
      <w:pPr>
        <w:spacing w:after="0" w:line="276" w:lineRule="auto"/>
        <w:ind w:firstLine="720"/>
        <w:jc w:val="both"/>
      </w:pPr>
      <w:r>
        <w:t xml:space="preserve">[6] Senāts, iepazīstoties ar </w:t>
      </w:r>
      <w:r w:rsidR="00BE57EB">
        <w:t>[pers. A]</w:t>
      </w:r>
      <w:r>
        <w:t xml:space="preserve"> </w:t>
      </w:r>
      <w:r w:rsidR="00612C4F">
        <w:t>kasācijas sūdzību</w:t>
      </w:r>
      <w:r w:rsidR="000D43EA">
        <w:t>,</w:t>
      </w:r>
      <w:r w:rsidR="00612C4F">
        <w:t xml:space="preserve"> </w:t>
      </w:r>
      <w:r w:rsidR="000D43EA">
        <w:t>tās</w:t>
      </w:r>
      <w:r w:rsidR="00612C4F">
        <w:t xml:space="preserve"> papildinājumiem </w:t>
      </w:r>
      <w:r>
        <w:t xml:space="preserve">un </w:t>
      </w:r>
      <w:r w:rsidR="000B0AF7">
        <w:t>a</w:t>
      </w:r>
      <w:r w:rsidR="000D43EA">
        <w:t>izstāvja</w:t>
      </w:r>
      <w:r w:rsidR="00612C4F">
        <w:t xml:space="preserve"> D. </w:t>
      </w:r>
      <w:proofErr w:type="spellStart"/>
      <w:r w:rsidR="00612C4F">
        <w:t>Zacmaņa</w:t>
      </w:r>
      <w:proofErr w:type="spellEnd"/>
      <w:r w:rsidR="00612C4F">
        <w:t xml:space="preserve"> kasācijas sūdzību</w:t>
      </w:r>
      <w:r>
        <w:t xml:space="preserve">, ar </w:t>
      </w:r>
      <w:proofErr w:type="gramStart"/>
      <w:r>
        <w:t>2019.gada</w:t>
      </w:r>
      <w:proofErr w:type="gramEnd"/>
      <w:r>
        <w:t xml:space="preserve"> 9.septembra lēmumu nolēma atteikt ierosināt </w:t>
      </w:r>
      <w:r>
        <w:lastRenderedPageBreak/>
        <w:t xml:space="preserve">kasācijas tiesvedību. Līdz ar to Rīgas apgabaltiesas </w:t>
      </w:r>
      <w:proofErr w:type="gramStart"/>
      <w:r>
        <w:t>2019.gada</w:t>
      </w:r>
      <w:proofErr w:type="gramEnd"/>
      <w:r>
        <w:t xml:space="preserve"> </w:t>
      </w:r>
      <w:r w:rsidR="003A7957">
        <w:t>11.aprīļa</w:t>
      </w:r>
      <w:r>
        <w:t xml:space="preserve"> </w:t>
      </w:r>
      <w:r w:rsidR="003A7957">
        <w:t>lēmums</w:t>
      </w:r>
      <w:r>
        <w:t xml:space="preserve"> stājās spēkā</w:t>
      </w:r>
      <w:r w:rsidR="00252BE5">
        <w:t xml:space="preserve"> 2019.gada 9.septembrī</w:t>
      </w:r>
      <w:r w:rsidR="003A7957">
        <w:t>.</w:t>
      </w:r>
    </w:p>
    <w:p w14:paraId="473AD42A" w14:textId="77777777" w:rsidR="006A284C" w:rsidRDefault="006A284C" w:rsidP="002F414D">
      <w:pPr>
        <w:spacing w:after="0" w:line="276" w:lineRule="auto"/>
        <w:ind w:firstLine="720"/>
        <w:jc w:val="both"/>
      </w:pPr>
    </w:p>
    <w:p w14:paraId="36EA16F7" w14:textId="646E8BFF" w:rsidR="006A284C" w:rsidRDefault="006A284C" w:rsidP="002F414D">
      <w:pPr>
        <w:spacing w:after="0" w:line="276" w:lineRule="auto"/>
        <w:ind w:firstLine="720"/>
        <w:jc w:val="both"/>
      </w:pPr>
      <w:r>
        <w:t>[</w:t>
      </w:r>
      <w:r w:rsidR="003A7957">
        <w:t>7</w:t>
      </w:r>
      <w:r>
        <w:t xml:space="preserve">] </w:t>
      </w:r>
      <w:r w:rsidR="00B34B20">
        <w:t xml:space="preserve">Par </w:t>
      </w:r>
      <w:r w:rsidR="000E512D">
        <w:t xml:space="preserve">Rīgas apgabaltiesas </w:t>
      </w:r>
      <w:proofErr w:type="gramStart"/>
      <w:r w:rsidR="000E512D">
        <w:t>2019.gada</w:t>
      </w:r>
      <w:proofErr w:type="gramEnd"/>
      <w:r w:rsidR="000E512D">
        <w:t xml:space="preserve"> 11.aprīļa lēmumu</w:t>
      </w:r>
      <w:r w:rsidRPr="006A284C">
        <w:t xml:space="preserve"> notiesātā</w:t>
      </w:r>
      <w:r w:rsidR="000E512D">
        <w:t>s</w:t>
      </w:r>
      <w:r w:rsidRPr="006A284C">
        <w:t xml:space="preserve"> </w:t>
      </w:r>
      <w:r w:rsidR="00BE57EB">
        <w:t>[pers. A]</w:t>
      </w:r>
      <w:r w:rsidRPr="006A284C">
        <w:t xml:space="preserve"> </w:t>
      </w:r>
      <w:r w:rsidR="00995945">
        <w:t>uzdevumā advokāt</w:t>
      </w:r>
      <w:r w:rsidR="000E512D">
        <w:t>s</w:t>
      </w:r>
      <w:r w:rsidRPr="006A284C">
        <w:t xml:space="preserve"> </w:t>
      </w:r>
      <w:r w:rsidR="000E512D">
        <w:t>D. </w:t>
      </w:r>
      <w:proofErr w:type="spellStart"/>
      <w:r w:rsidR="000E512D">
        <w:t>Zacmanis</w:t>
      </w:r>
      <w:proofErr w:type="spellEnd"/>
      <w:r w:rsidRPr="006A284C">
        <w:t xml:space="preserve"> </w:t>
      </w:r>
      <w:r w:rsidR="00B34B20">
        <w:t>iesnie</w:t>
      </w:r>
      <w:r w:rsidR="000E512D">
        <w:t>dzis</w:t>
      </w:r>
      <w:r w:rsidR="00B34B20">
        <w:t xml:space="preserve"> pieteikumu </w:t>
      </w:r>
      <w:r w:rsidR="00995945">
        <w:t xml:space="preserve">Kriminālprocesa likuma </w:t>
      </w:r>
      <w:r w:rsidR="00B34B20">
        <w:t>63.nodaļas kārtībā, kur</w:t>
      </w:r>
      <w:r w:rsidR="00A049E0">
        <w:t>ā, atsauc</w:t>
      </w:r>
      <w:r w:rsidR="007176C1">
        <w:t>oties uz Kriminālprocesa likuma</w:t>
      </w:r>
      <w:r w:rsidR="00FE72D8">
        <w:t xml:space="preserve"> </w:t>
      </w:r>
      <w:r w:rsidR="000E512D">
        <w:t>662.panta pirmo daļu, 663.panta pirmo un trešo daļu, 665.panta pirmās daļas 3.punktu un 666.pantu</w:t>
      </w:r>
      <w:r w:rsidR="00A049E0">
        <w:t>,</w:t>
      </w:r>
      <w:r w:rsidR="00B34B20">
        <w:t xml:space="preserve"> lūdz </w:t>
      </w:r>
      <w:r w:rsidR="002211DD">
        <w:t xml:space="preserve">atcelt </w:t>
      </w:r>
      <w:r w:rsidR="003A7957">
        <w:t xml:space="preserve">lēmumu </w:t>
      </w:r>
      <w:r w:rsidR="00B34B20">
        <w:t>un nosūtīt lietu jaunai izskatīšanai</w:t>
      </w:r>
      <w:r w:rsidR="003A7957">
        <w:t xml:space="preserve"> apelācijas instances tiesā. </w:t>
      </w:r>
    </w:p>
    <w:p w14:paraId="4D7FD50D" w14:textId="77777777" w:rsidR="00252BE5" w:rsidRDefault="000A53DD" w:rsidP="002F414D">
      <w:pPr>
        <w:spacing w:after="0" w:line="276" w:lineRule="auto"/>
        <w:ind w:firstLine="720"/>
        <w:jc w:val="both"/>
      </w:pPr>
      <w:r>
        <w:t>Pieteikums pamatots ar šādiem argumentiem.</w:t>
      </w:r>
    </w:p>
    <w:p w14:paraId="3C1D2CF6" w14:textId="77777777" w:rsidR="00F22E1D" w:rsidRDefault="000A53DD" w:rsidP="002F414D">
      <w:pPr>
        <w:spacing w:after="0" w:line="276" w:lineRule="auto"/>
        <w:ind w:firstLine="720"/>
        <w:jc w:val="both"/>
      </w:pPr>
      <w:r>
        <w:t>[7.1] </w:t>
      </w:r>
      <w:r w:rsidR="0029327F">
        <w:t xml:space="preserve">Apelācijas instances tiesa pieļāvusi Kriminālprocesa likuma 574.panta 2.punktā norādīto pārkāpumu, jo, kvalificējot nodarījumu, nepareizi piemērojusi Krimināllikuma 329.pantu. </w:t>
      </w:r>
      <w:r w:rsidR="00111D5A">
        <w:t xml:space="preserve">Tiesa pieļāvusi </w:t>
      </w:r>
      <w:r w:rsidR="0029327F">
        <w:t>Kriminālprocesa likuma 564.panta ceturtās daļas pārkā</w:t>
      </w:r>
      <w:r w:rsidR="00111D5A">
        <w:t>pumu</w:t>
      </w:r>
      <w:r w:rsidR="0029327F">
        <w:t xml:space="preserve">, jo sašaurināti tulkojusi likuma „Par tiesu varu” normas, un nav vērtējusi aizstāvības argumentus par </w:t>
      </w:r>
      <w:r w:rsidR="0035708A">
        <w:t>šā likuma</w:t>
      </w:r>
      <w:r w:rsidR="0029327F">
        <w:t xml:space="preserve"> </w:t>
      </w:r>
      <w:r w:rsidR="00356F41">
        <w:t>28.</w:t>
      </w:r>
      <w:r w:rsidR="00356F41" w:rsidRPr="00020759">
        <w:rPr>
          <w:vertAlign w:val="superscript"/>
        </w:rPr>
        <w:t>6</w:t>
      </w:r>
      <w:r w:rsidR="00356F41">
        <w:t>panta septītās daļas, 28.</w:t>
      </w:r>
      <w:r w:rsidR="00356F41" w:rsidRPr="00020759">
        <w:rPr>
          <w:vertAlign w:val="superscript"/>
        </w:rPr>
        <w:t>7</w:t>
      </w:r>
      <w:r w:rsidR="00356F41">
        <w:t>panta un Informācijas atklātības likuma normu</w:t>
      </w:r>
      <w:r w:rsidR="0035708A">
        <w:t xml:space="preserve"> interpretāciju</w:t>
      </w:r>
      <w:r w:rsidR="00111D5A">
        <w:t xml:space="preserve">. </w:t>
      </w:r>
      <w:r w:rsidR="000D43EA">
        <w:t>T</w:t>
      </w:r>
      <w:r w:rsidR="0060023C">
        <w:t xml:space="preserve">iesa pārkāpusi Kriminālprocesa likuma 511.panta otro daļu, 512.panta pirmo daļu un 564.panta ceturto daļu, jo nav vērtējusi pierādījumus par sniegtās informācijas pieejamību, </w:t>
      </w:r>
      <w:r w:rsidR="00C015FF">
        <w:t xml:space="preserve">turklāt </w:t>
      </w:r>
      <w:r w:rsidR="0060023C">
        <w:t xml:space="preserve">nolēmumā sniegusi pretrunīgus atzinumus. </w:t>
      </w:r>
    </w:p>
    <w:p w14:paraId="4652C005" w14:textId="710AA093" w:rsidR="00A6647A" w:rsidRDefault="0060023C" w:rsidP="00A6647A">
      <w:pPr>
        <w:spacing w:after="0" w:line="276" w:lineRule="auto"/>
        <w:ind w:firstLine="720"/>
        <w:jc w:val="both"/>
      </w:pPr>
      <w:r>
        <w:t>[7.2] </w:t>
      </w:r>
      <w:r w:rsidR="00A6647A">
        <w:t xml:space="preserve">Lai noteiktu informācijas statusu (vispārpieejama vai ierobežotas pieejamības), tiesai bija jāvērtē vai informācija, ko sniedza </w:t>
      </w:r>
      <w:r w:rsidR="00BE57EB">
        <w:t>[pers. A]</w:t>
      </w:r>
      <w:r w:rsidR="00A6647A">
        <w:t xml:space="preserve">, ir bijusi vispārpieejama, proti, vai tā bija pieejama plašākai sabiedrībai tādējādi, ka jebkura persona var (būtu varējusi) ar to iepazīties. Savukārt informācijas iegūšanas veida sarežģītības pakāpe vai indivīda spēja informāciju atrast nevar būt kritērijs informācijas statusa noteikšanai. </w:t>
      </w:r>
      <w:r w:rsidR="00BE57EB">
        <w:t>[Pers. A]</w:t>
      </w:r>
      <w:r w:rsidR="00A6647A">
        <w:t xml:space="preserve"> sniegusi vispārpieejamu informāciju, neskatoties uz to, ka viņa ar to iepazinusies Tiesu informācijas sistēmā. </w:t>
      </w:r>
    </w:p>
    <w:p w14:paraId="6F9D53CF" w14:textId="5D948A41" w:rsidR="0060023C" w:rsidRDefault="00A6647A" w:rsidP="00A6647A">
      <w:pPr>
        <w:spacing w:after="0" w:line="276" w:lineRule="auto"/>
        <w:ind w:firstLine="720"/>
        <w:jc w:val="both"/>
      </w:pPr>
      <w:r w:rsidRPr="00A6647A">
        <w:t xml:space="preserve"> </w:t>
      </w:r>
      <w:r>
        <w:t xml:space="preserve">No apelācijas instances tiesas lēmuma izriet, ka uz </w:t>
      </w:r>
      <w:r w:rsidR="00BE57EB">
        <w:t>[pers. A]</w:t>
      </w:r>
      <w:r>
        <w:t xml:space="preserve"> nav attiecināms tiesiskās paļāvības princips un Latvijas Republikas Satversmes </w:t>
      </w:r>
      <w:proofErr w:type="gramStart"/>
      <w:r>
        <w:t>100.pantā</w:t>
      </w:r>
      <w:proofErr w:type="gramEnd"/>
      <w:r>
        <w:t xml:space="preserve"> garantētās tiesības uz vārda brīvību, kā arī 91.pantā garantētā vienlīdzība likuma priekšā, jo tiesa secinājusi, ka citiem ir tiesības iegūt informāciju (kā tiesa norādījusi – no citiem avotiem), bet </w:t>
      </w:r>
      <w:r w:rsidR="00BE57EB">
        <w:t>[pers. A]</w:t>
      </w:r>
      <w:r>
        <w:t xml:space="preserve"> no tiem pašiem avotiem un to pašu informāciju nav tiesības iegūt un izplatīt. Šāds atzinums tiesas lēmumu padara par pretrunīgu. </w:t>
      </w:r>
      <w:r w:rsidR="00020759">
        <w:t xml:space="preserve"> </w:t>
      </w:r>
    </w:p>
    <w:p w14:paraId="01A51DCB" w14:textId="3AAB5AB7" w:rsidR="00020759" w:rsidRDefault="00A6647A" w:rsidP="002F414D">
      <w:pPr>
        <w:spacing w:after="0" w:line="276" w:lineRule="auto"/>
        <w:ind w:firstLine="720"/>
        <w:jc w:val="both"/>
      </w:pPr>
      <w:r>
        <w:t>Advokāta ieskatā t</w:t>
      </w:r>
      <w:r w:rsidR="00020759">
        <w:t xml:space="preserve">iesai saskaņā ar Kriminālprocesa likuma </w:t>
      </w:r>
      <w:proofErr w:type="gramStart"/>
      <w:r w:rsidR="00020759">
        <w:t>564.panta</w:t>
      </w:r>
      <w:proofErr w:type="gramEnd"/>
      <w:r w:rsidR="00020759">
        <w:t xml:space="preserve"> ceturtās daļas nosacījumiem bija jāsniedz vērtējums </w:t>
      </w:r>
      <w:r w:rsidR="00BE57EB">
        <w:t>[pers. A]</w:t>
      </w:r>
      <w:r w:rsidR="00020759">
        <w:t xml:space="preserve"> apelācijas sūdzības argumentam par likuma „Par tiesu varu” 28.</w:t>
      </w:r>
      <w:r w:rsidR="00020759" w:rsidRPr="00020759">
        <w:rPr>
          <w:vertAlign w:val="superscript"/>
        </w:rPr>
        <w:t>7</w:t>
      </w:r>
      <w:r w:rsidR="00111D5A">
        <w:t>panta interpretāciju un jāmotivē,</w:t>
      </w:r>
      <w:r>
        <w:t xml:space="preserve"> kādēļ tā piekrīt vai nepiekrīt</w:t>
      </w:r>
      <w:r w:rsidR="00020759">
        <w:t>, ka sniegtā informācija saskaņā ar</w:t>
      </w:r>
      <w:r w:rsidR="00020759" w:rsidRPr="00020759">
        <w:t xml:space="preserve"> </w:t>
      </w:r>
      <w:r w:rsidR="00111D5A">
        <w:t>minēto likumu</w:t>
      </w:r>
      <w:r w:rsidR="00020759">
        <w:t xml:space="preserve"> ir publicējama. </w:t>
      </w:r>
    </w:p>
    <w:p w14:paraId="3674B64F" w14:textId="47D9E793" w:rsidR="00942ED6" w:rsidRDefault="00942ED6" w:rsidP="00942ED6">
      <w:pPr>
        <w:spacing w:after="0" w:line="276" w:lineRule="auto"/>
        <w:ind w:firstLine="720"/>
        <w:jc w:val="both"/>
      </w:pPr>
      <w:r>
        <w:t xml:space="preserve">Tiesa, </w:t>
      </w:r>
      <w:r w:rsidR="0046347A">
        <w:t xml:space="preserve">nevērtējot </w:t>
      </w:r>
      <w:r w:rsidR="00BE57EB">
        <w:t>[pers. A]</w:t>
      </w:r>
      <w:r w:rsidR="0046347A">
        <w:t xml:space="preserve"> </w:t>
      </w:r>
      <w:r w:rsidR="00A6647A">
        <w:t>liecināto</w:t>
      </w:r>
      <w:r w:rsidR="0046347A">
        <w:t xml:space="preserve"> un pierādījumus par informācij</w:t>
      </w:r>
      <w:r w:rsidR="00A6647A">
        <w:t>as pieejamību</w:t>
      </w:r>
      <w:r w:rsidR="0046347A">
        <w:t>, pieņēmuma formā atz</w:t>
      </w:r>
      <w:r>
        <w:t>inusi</w:t>
      </w:r>
      <w:r w:rsidR="0046347A">
        <w:t xml:space="preserve">, ka no citiem avotiem iegūtās ziņas var nebūt pietiekami precīzas kā tās, kuras iegūtas no Tiesu informācijas sistēmas. Šāds </w:t>
      </w:r>
      <w:r>
        <w:t>tiesas secinājums nav pamatots ar likumu un pierādījumiem. Tiesa nav vērtējusi izpausto ziņu saturu</w:t>
      </w:r>
      <w:r w:rsidR="00340CF0">
        <w:t>. N</w:t>
      </w:r>
      <w:r>
        <w:t xml:space="preserve">olēmumā norādīts, ka </w:t>
      </w:r>
      <w:r w:rsidR="00BE57EB">
        <w:t>[pers. A]</w:t>
      </w:r>
      <w:r>
        <w:t xml:space="preserve"> izpaudusi arī ziņas par sodu, lai gan viņai inkrimin</w:t>
      </w:r>
      <w:r w:rsidR="00792AE4">
        <w:t>ēta tikai soda veida izpaušana.</w:t>
      </w:r>
    </w:p>
    <w:p w14:paraId="3682CC11" w14:textId="77777777" w:rsidR="00792AE4" w:rsidRDefault="00792AE4" w:rsidP="00792AE4">
      <w:pPr>
        <w:spacing w:after="0" w:line="276" w:lineRule="auto"/>
        <w:ind w:firstLine="720"/>
        <w:jc w:val="both"/>
      </w:pPr>
      <w:r>
        <w:t xml:space="preserve">Tiesas rīcība, nevērtējot aizstāvības pierādījumus, ir pretrunā Kriminālprocesa likuma </w:t>
      </w:r>
      <w:proofErr w:type="gramStart"/>
      <w:r>
        <w:t>15.pantā</w:t>
      </w:r>
      <w:proofErr w:type="gramEnd"/>
      <w:r>
        <w:t xml:space="preserve"> nostiprinātajam kriminālprocesa pamatprincipam – tiesībām uz taisnīgu tiesu. </w:t>
      </w:r>
    </w:p>
    <w:p w14:paraId="52DB8589" w14:textId="42584D83" w:rsidR="00942ED6" w:rsidRDefault="00792AE4" w:rsidP="00942ED6">
      <w:pPr>
        <w:spacing w:after="0" w:line="276" w:lineRule="auto"/>
        <w:ind w:firstLine="720"/>
        <w:jc w:val="both"/>
      </w:pPr>
      <w:r>
        <w:t>[7.3</w:t>
      </w:r>
      <w:r w:rsidR="00942ED6">
        <w:t xml:space="preserve">] Apelācijas instances tiesa nav izpildījusi kasācijas instances tiesas norādījumus. Senāts </w:t>
      </w:r>
      <w:proofErr w:type="gramStart"/>
      <w:r w:rsidR="00942ED6">
        <w:t>2019.gada</w:t>
      </w:r>
      <w:proofErr w:type="gramEnd"/>
      <w:r w:rsidR="00942ED6">
        <w:t xml:space="preserve"> </w:t>
      </w:r>
      <w:r w:rsidR="0056371C">
        <w:t xml:space="preserve">24.janvāra lēmumā atzina, ka apelācijas instances tiesai bija jāvērtē, vai </w:t>
      </w:r>
      <w:r w:rsidR="00626EF6">
        <w:t>[pers. A]</w:t>
      </w:r>
      <w:r w:rsidR="0056371C">
        <w:t xml:space="preserve"> operatīvās izstrādes lietas ietvaros sevišķajā veidā veiktajā operatīvās darbības pasākumā iegūto rezultātu izmantošana vainīguma pamatošanā atbilst noziedzīgā nodarījuma </w:t>
      </w:r>
      <w:r w:rsidR="0056371C">
        <w:lastRenderedPageBreak/>
        <w:t>raksturam un bīstamībai, un vai ar to netiek pieļauta nesamērīga iejaukšanās personas dzīvē. A</w:t>
      </w:r>
      <w:r w:rsidR="00340CF0">
        <w:t>dvokāta ieskatā a</w:t>
      </w:r>
      <w:r w:rsidR="0056371C">
        <w:t xml:space="preserve">pelācijas instances tiesa ir sniegusi vispārīgu vērtējumu par Krimināllikuma 329.pantā paredzēto noziedzīgo nodarījumu, aprobežojoties ar formālu šī panta redakcijas analīzi, bet nav izvērtējusi konkrēti izskatāmās lietas apstākļus, proti, nav izvērtējusi izskatāmā nodarījuma raksturu un bīstamību. </w:t>
      </w:r>
    </w:p>
    <w:p w14:paraId="4A9EBF0C" w14:textId="77777777" w:rsidR="003A7957" w:rsidRDefault="003A7957" w:rsidP="00462860">
      <w:pPr>
        <w:tabs>
          <w:tab w:val="left" w:pos="-3120"/>
        </w:tabs>
        <w:suppressAutoHyphens/>
        <w:spacing w:after="0" w:line="276" w:lineRule="auto"/>
        <w:jc w:val="center"/>
      </w:pPr>
    </w:p>
    <w:p w14:paraId="471406E0" w14:textId="77777777" w:rsidR="00462860" w:rsidRPr="008A5055" w:rsidRDefault="00462860" w:rsidP="00462860">
      <w:pPr>
        <w:tabs>
          <w:tab w:val="left" w:pos="-3120"/>
        </w:tabs>
        <w:suppressAutoHyphens/>
        <w:spacing w:after="0" w:line="276" w:lineRule="auto"/>
        <w:jc w:val="center"/>
        <w:rPr>
          <w:rFonts w:cs="Times New Roman"/>
          <w:b/>
          <w:szCs w:val="24"/>
        </w:rPr>
      </w:pPr>
      <w:r w:rsidRPr="008A5055">
        <w:rPr>
          <w:rFonts w:cs="Times New Roman"/>
          <w:b/>
          <w:szCs w:val="24"/>
        </w:rPr>
        <w:t>Motīvu daļa</w:t>
      </w:r>
    </w:p>
    <w:p w14:paraId="66589F35" w14:textId="77777777" w:rsidR="00462860" w:rsidRPr="008A5055" w:rsidRDefault="00462860" w:rsidP="00462860">
      <w:pPr>
        <w:spacing w:after="0" w:line="276" w:lineRule="auto"/>
        <w:jc w:val="center"/>
        <w:rPr>
          <w:rFonts w:cs="Times New Roman"/>
          <w:b/>
          <w:szCs w:val="24"/>
        </w:rPr>
      </w:pPr>
    </w:p>
    <w:p w14:paraId="70E09A4E" w14:textId="77777777" w:rsidR="00BE57A5" w:rsidRDefault="00AF40B8" w:rsidP="003A7957">
      <w:pPr>
        <w:spacing w:after="0" w:line="276" w:lineRule="auto"/>
        <w:ind w:firstLine="709"/>
        <w:jc w:val="both"/>
      </w:pPr>
      <w:r>
        <w:rPr>
          <w:szCs w:val="24"/>
        </w:rPr>
        <w:t>[</w:t>
      </w:r>
      <w:r w:rsidR="00340CF0">
        <w:rPr>
          <w:szCs w:val="24"/>
        </w:rPr>
        <w:t>8</w:t>
      </w:r>
      <w:r>
        <w:rPr>
          <w:szCs w:val="24"/>
        </w:rPr>
        <w:t>] </w:t>
      </w:r>
      <w:r w:rsidR="006C4331">
        <w:rPr>
          <w:szCs w:val="24"/>
        </w:rPr>
        <w:t xml:space="preserve">Senāts atzīst, ka </w:t>
      </w:r>
      <w:r w:rsidR="003A7957">
        <w:t xml:space="preserve">Rīgas apgabaltiesas </w:t>
      </w:r>
      <w:proofErr w:type="gramStart"/>
      <w:r w:rsidR="003A7957">
        <w:t>2019.gada</w:t>
      </w:r>
      <w:proofErr w:type="gramEnd"/>
      <w:r w:rsidR="003A7957">
        <w:t xml:space="preserve"> 11.aprīļa lēmums</w:t>
      </w:r>
      <w:r w:rsidR="003C4DE5">
        <w:t xml:space="preserve"> </w:t>
      </w:r>
      <w:r w:rsidR="000B480E">
        <w:t>atstājams negrozīts, bet advokāta D. </w:t>
      </w:r>
      <w:proofErr w:type="spellStart"/>
      <w:r w:rsidR="000B480E">
        <w:t>Zacmaņa</w:t>
      </w:r>
      <w:proofErr w:type="spellEnd"/>
      <w:r w:rsidR="000B480E">
        <w:t xml:space="preserve"> pieteikums noraidāms. </w:t>
      </w:r>
    </w:p>
    <w:p w14:paraId="738C8B4F" w14:textId="77777777" w:rsidR="00340CF0" w:rsidRDefault="00340CF0" w:rsidP="00340CF0">
      <w:pPr>
        <w:spacing w:after="0" w:line="276" w:lineRule="auto"/>
        <w:ind w:firstLine="709"/>
        <w:jc w:val="both"/>
      </w:pPr>
      <w:r>
        <w:t>[8.1] Kriminālprocesa likuma 666.panta otrā daļa noteic, ka p</w:t>
      </w:r>
      <w:r w:rsidRPr="00E7524C">
        <w:t>ieteikumā vai protestā norāda un motivē nolēmuma pārsūdzēšanas pamatu, kas minēts šā likuma 665.pantā.</w:t>
      </w:r>
    </w:p>
    <w:p w14:paraId="71C941F8" w14:textId="77777777" w:rsidR="00340CF0" w:rsidRDefault="00340CF0" w:rsidP="00340CF0">
      <w:pPr>
        <w:spacing w:after="0" w:line="276" w:lineRule="auto"/>
        <w:ind w:firstLine="709"/>
        <w:jc w:val="both"/>
      </w:pPr>
      <w:r>
        <w:t>Kriminālprocesa likuma 665.pants noteic, ka pieteikumu vai protestu var iesniegt, ja:</w:t>
      </w:r>
    </w:p>
    <w:p w14:paraId="50F4B311" w14:textId="77777777" w:rsidR="00340CF0" w:rsidRDefault="00340CF0" w:rsidP="00340CF0">
      <w:pPr>
        <w:spacing w:after="0" w:line="276" w:lineRule="auto"/>
        <w:ind w:firstLine="709"/>
        <w:jc w:val="both"/>
      </w:pPr>
      <w:r>
        <w:t>1) nolēmumu pieņēmis nelikumīgs tiesas sastāvs;</w:t>
      </w:r>
    </w:p>
    <w:p w14:paraId="56866346" w14:textId="77777777" w:rsidR="00340CF0" w:rsidRDefault="00340CF0" w:rsidP="00340CF0">
      <w:pPr>
        <w:spacing w:after="0" w:line="276" w:lineRule="auto"/>
        <w:ind w:firstLine="709"/>
        <w:jc w:val="both"/>
      </w:pPr>
      <w:r>
        <w:t>2) dienesta izmeklēšanā konstatēts, ka nolēmumu kāds no tiesnešiem nav parakstījis tāpēc, ka likumā noteiktajā kārtībā nav piedalījies nolēmuma pieņemšanā;</w:t>
      </w:r>
    </w:p>
    <w:p w14:paraId="7C9B54EF" w14:textId="77777777" w:rsidR="002030A2" w:rsidRDefault="00340CF0" w:rsidP="002030A2">
      <w:pPr>
        <w:spacing w:after="0" w:line="276" w:lineRule="auto"/>
        <w:ind w:firstLine="709"/>
        <w:jc w:val="both"/>
      </w:pPr>
      <w:r>
        <w:t>3) šā likuma 574. vai 575.pantā minētie pārkāpumi noveduši pie notiesātās personas stāvokļa nelikumīgas pasliktināšanās.</w:t>
      </w:r>
      <w:r w:rsidR="002030A2" w:rsidRPr="002030A2">
        <w:t xml:space="preserve"> </w:t>
      </w:r>
    </w:p>
    <w:p w14:paraId="6E16533A" w14:textId="77777777" w:rsidR="00340CF0" w:rsidRDefault="002030A2" w:rsidP="002030A2">
      <w:pPr>
        <w:spacing w:after="0" w:line="276" w:lineRule="auto"/>
        <w:ind w:firstLine="709"/>
        <w:jc w:val="both"/>
      </w:pPr>
      <w:r>
        <w:t>Kriminālprocesa likuma 670.panta pirmajā daļā norādīts, ka p</w:t>
      </w:r>
      <w:r w:rsidRPr="00E7524C">
        <w:t>ieteikumus un protestus par spriedumiem un lēmumiem, kas stājušies spēkā, no jauna izskata Augstākā tiesa šā likuma 582.</w:t>
      </w:r>
      <w:r>
        <w:t>-</w:t>
      </w:r>
      <w:r w:rsidRPr="00E7524C">
        <w:t>586.pantā noteiktajā kārtībā.</w:t>
      </w:r>
    </w:p>
    <w:p w14:paraId="6983C264" w14:textId="77777777" w:rsidR="007436AE" w:rsidRDefault="00340CF0" w:rsidP="007436AE">
      <w:pPr>
        <w:spacing w:after="0" w:line="276" w:lineRule="auto"/>
        <w:ind w:firstLine="709"/>
        <w:jc w:val="both"/>
      </w:pPr>
      <w:r>
        <w:t xml:space="preserve">Senāts atzīst, ka apelācijas instances tiesa, izskatot lietu un pieņemot </w:t>
      </w:r>
      <w:proofErr w:type="gramStart"/>
      <w:r>
        <w:t>2019.gada</w:t>
      </w:r>
      <w:proofErr w:type="gramEnd"/>
      <w:r>
        <w:t xml:space="preserve"> 11.aprīļa lēmumu pirmās instances tiesas spriedumu atstāt negrozītu, nav pieļāvusi advokāta pieteikumā norādītos Krimināllikuma pārkāpumus un Kriminālprocesa likuma būtiskus pārkāpumus. Pieteikumā pamatā atkārtoti apelācijas sūdzību motīvi, kuri jau izskatīti un argumentēti noraidīti ar apelācijas instances tiesas lēmumu.</w:t>
      </w:r>
      <w:r w:rsidR="007436AE" w:rsidRPr="007436AE">
        <w:t xml:space="preserve"> </w:t>
      </w:r>
    </w:p>
    <w:p w14:paraId="7EC56CF0" w14:textId="7DE3EEE1" w:rsidR="000B480E" w:rsidRDefault="00CF6974" w:rsidP="00CE63A2">
      <w:pPr>
        <w:spacing w:after="0" w:line="276" w:lineRule="auto"/>
        <w:ind w:firstLine="709"/>
        <w:jc w:val="both"/>
      </w:pPr>
      <w:r>
        <w:t xml:space="preserve">[8.2] </w:t>
      </w:r>
      <w:r w:rsidR="007436AE">
        <w:t>Pretēji pieteikuma iesniedzēja apgalvojum</w:t>
      </w:r>
      <w:r w:rsidR="00CE63A2">
        <w:t>a</w:t>
      </w:r>
      <w:r w:rsidR="007436AE">
        <w:t xml:space="preserve">m apelācijas instances tiesas lēmums atbilst Kriminālprocesa likuma 511.panta otrās daļas, 512.panta pirmās daļas, 564.panta ceturtās daļas prasībām. </w:t>
      </w:r>
      <w:r w:rsidR="00C015FF">
        <w:t>Atsauce uz</w:t>
      </w:r>
      <w:r w:rsidR="007436AE">
        <w:t xml:space="preserve"> Kriminālprocesa likuma </w:t>
      </w:r>
      <w:proofErr w:type="gramStart"/>
      <w:r w:rsidR="007436AE">
        <w:t>574.panta</w:t>
      </w:r>
      <w:proofErr w:type="gramEnd"/>
      <w:r w:rsidR="007436AE">
        <w:t xml:space="preserve"> 2.punktā no</w:t>
      </w:r>
      <w:r w:rsidR="00C015FF">
        <w:t>rādīto</w:t>
      </w:r>
      <w:r w:rsidR="007436AE">
        <w:t xml:space="preserve"> Krimināllikuma pārkāpumu – nepareiza Krimināllikuma 329.panta piemērošana, kvalificējot noziedzīgo nodarījumu – nav pamatota, jo apelācijas instances tiesa, tāpat kā pirmās instances tiesa, konstatējusi </w:t>
      </w:r>
      <w:r w:rsidR="00626EF6">
        <w:t>[pers. A]</w:t>
      </w:r>
      <w:r w:rsidR="007436AE">
        <w:t xml:space="preserve"> darbībās visas nepieciešamās un obligātās Krimināllikuma 329.pantā paredzētā noziedzīgā nodarījuma sastāva pazīmes. Noziedzīga nodarījuma kvalifikācija pēc Krimināllikuma 329.panta atbilst</w:t>
      </w:r>
      <w:r w:rsidR="001751F4">
        <w:t xml:space="preserve"> par pierādītu atzītā noziedzīgā</w:t>
      </w:r>
      <w:r w:rsidR="007436AE">
        <w:t xml:space="preserve"> nodarījuma aprakstam.</w:t>
      </w:r>
    </w:p>
    <w:p w14:paraId="76F121A1" w14:textId="3D5F04AD" w:rsidR="000B480E" w:rsidRDefault="000E0B69" w:rsidP="000E0B69">
      <w:pPr>
        <w:spacing w:after="0" w:line="276" w:lineRule="auto"/>
        <w:ind w:firstLine="709"/>
        <w:jc w:val="both"/>
      </w:pPr>
      <w:r>
        <w:t>[8.</w:t>
      </w:r>
      <w:r w:rsidR="00F5258D">
        <w:t>3</w:t>
      </w:r>
      <w:r>
        <w:t xml:space="preserve">] </w:t>
      </w:r>
      <w:r w:rsidR="000B480E">
        <w:t>Apelācijas instances tiesa secinājusi, ka pirmās instances tiesas spriedums atstājams negrozīts</w:t>
      </w:r>
      <w:r w:rsidR="00AA1A2E">
        <w:t xml:space="preserve">, </w:t>
      </w:r>
      <w:r w:rsidR="00F37B14">
        <w:t>jo</w:t>
      </w:r>
      <w:r w:rsidR="000B480E">
        <w:t xml:space="preserve"> tiesa</w:t>
      </w:r>
      <w:r w:rsidR="00F37B14">
        <w:t xml:space="preserve"> pierādījumus izvērtējusi atbilstoši likuma prasībām</w:t>
      </w:r>
      <w:r w:rsidR="000B480E">
        <w:t xml:space="preserve"> un pamatoti atzinusi </w:t>
      </w:r>
      <w:r w:rsidR="00626EF6">
        <w:t>[pers. A]</w:t>
      </w:r>
      <w:r w:rsidR="000B480E">
        <w:t xml:space="preserve"> par vainīgu </w:t>
      </w:r>
      <w:r w:rsidR="007436AE">
        <w:t>pēc</w:t>
      </w:r>
      <w:r w:rsidR="000B480E">
        <w:t xml:space="preserve"> Krimināllikuma </w:t>
      </w:r>
      <w:proofErr w:type="gramStart"/>
      <w:r w:rsidR="000B480E">
        <w:t>329.pant</w:t>
      </w:r>
      <w:r w:rsidR="007436AE">
        <w:t>a</w:t>
      </w:r>
      <w:proofErr w:type="gramEnd"/>
      <w:r w:rsidR="000B480E">
        <w:t xml:space="preserve">.  </w:t>
      </w:r>
    </w:p>
    <w:p w14:paraId="1BA413CD" w14:textId="2DBDA882" w:rsidR="00F37B14" w:rsidRDefault="00AA1A2E" w:rsidP="00F37B14">
      <w:pPr>
        <w:spacing w:after="0" w:line="276" w:lineRule="auto"/>
        <w:ind w:firstLine="709"/>
        <w:jc w:val="both"/>
      </w:pPr>
      <w:r>
        <w:t>A</w:t>
      </w:r>
      <w:r w:rsidR="00C015FF">
        <w:t>r</w:t>
      </w:r>
      <w:r>
        <w:t>gument</w:t>
      </w:r>
      <w:r w:rsidR="00C015FF">
        <w:t>us</w:t>
      </w:r>
      <w:r>
        <w:t>, ka inform</w:t>
      </w:r>
      <w:r w:rsidR="00881BA7">
        <w:t xml:space="preserve">ācija, kuru </w:t>
      </w:r>
      <w:r w:rsidR="00626EF6">
        <w:t>[pers. A]</w:t>
      </w:r>
      <w:r>
        <w:t xml:space="preserve"> nosūtīja </w:t>
      </w:r>
      <w:r w:rsidR="00626EF6">
        <w:t>[pers. B]</w:t>
      </w:r>
      <w:r>
        <w:t xml:space="preserve">, nav atzīstama par neizpaužamām ziņām, jo bijusi publicēta un tāpēc atzīstama par vispārpieejamu, </w:t>
      </w:r>
      <w:r w:rsidR="000E0B69">
        <w:t>Rīgas apgabaltiesa</w:t>
      </w:r>
      <w:r w:rsidR="0034657B">
        <w:t>, izvērtējot pierādījumus,</w:t>
      </w:r>
      <w:r>
        <w:t xml:space="preserve"> noraid</w:t>
      </w:r>
      <w:r w:rsidR="000E0B69">
        <w:t>ījus</w:t>
      </w:r>
      <w:r>
        <w:t>i kā nepamatot</w:t>
      </w:r>
      <w:r w:rsidR="000E0B69">
        <w:t>us</w:t>
      </w:r>
      <w:r>
        <w:t>.</w:t>
      </w:r>
      <w:r w:rsidR="0034657B">
        <w:t xml:space="preserve"> </w:t>
      </w:r>
      <w:r>
        <w:t xml:space="preserve"> </w:t>
      </w:r>
      <w:r w:rsidR="00F37B14">
        <w:t xml:space="preserve"> </w:t>
      </w:r>
    </w:p>
    <w:p w14:paraId="0098721F" w14:textId="77777777" w:rsidR="00F37B14" w:rsidRDefault="00F37B14" w:rsidP="00F37B14">
      <w:pPr>
        <w:spacing w:after="0" w:line="276" w:lineRule="auto"/>
        <w:ind w:firstLine="709"/>
        <w:jc w:val="both"/>
      </w:pPr>
      <w:r>
        <w:t xml:space="preserve">Senāts atzīst, ka atsauce pieteikumā uz Latvijas Republikas Satversmes 91., 100.pantu ir nepamatota. Advokāts nav pamatojis, kādā veidā minēto Latvijas Republikas Satversmes normu pārkāpums izpaudies. </w:t>
      </w:r>
    </w:p>
    <w:p w14:paraId="735ED026" w14:textId="76A4EE73" w:rsidR="000B480E" w:rsidRDefault="00626EF6" w:rsidP="00CE63A2">
      <w:pPr>
        <w:spacing w:after="0" w:line="276" w:lineRule="auto"/>
        <w:ind w:firstLine="709"/>
        <w:jc w:val="both"/>
      </w:pPr>
      <w:r>
        <w:lastRenderedPageBreak/>
        <w:t>[Pers. A]</w:t>
      </w:r>
      <w:r w:rsidR="00C015FF">
        <w:t xml:space="preserve"> kā</w:t>
      </w:r>
      <w:r w:rsidR="00F37B14">
        <w:t xml:space="preserve"> amatpersona</w:t>
      </w:r>
      <w:r w:rsidR="00C015FF">
        <w:t>s</w:t>
      </w:r>
      <w:r w:rsidR="00F37B14">
        <w:t xml:space="preserve"> </w:t>
      </w:r>
      <w:r w:rsidR="002030A2">
        <w:t xml:space="preserve">tiesības un </w:t>
      </w:r>
      <w:r w:rsidR="00F37B14">
        <w:t xml:space="preserve">iespēja sakarā ar darba pienākumu veikšanu iegūt ierobežotas pieejamības informāciju un to izmantot noteikta normatīvajos aktos. Darbības, kuras inkriminētas </w:t>
      </w:r>
      <w:r>
        <w:t>[pers. A]</w:t>
      </w:r>
      <w:r w:rsidR="00F37B14">
        <w:t xml:space="preserve"> – ierobežotas pieejamības informācijas, </w:t>
      </w:r>
      <w:r w:rsidR="00C015FF">
        <w:t>t</w:t>
      </w:r>
      <w:r w:rsidR="00F37B14">
        <w:t>as ir</w:t>
      </w:r>
      <w:r w:rsidR="00C015FF">
        <w:t>,</w:t>
      </w:r>
      <w:r w:rsidR="00617439">
        <w:t xml:space="preserve"> neizpaužamas ziņas</w:t>
      </w:r>
      <w:r w:rsidR="00F37B14">
        <w:t xml:space="preserve"> izpaušana personai, kurai nebija tiesību šo informāciju iegūt – nav saistāmas ar Latvijas Republikas Satversmes 91., </w:t>
      </w:r>
      <w:proofErr w:type="gramStart"/>
      <w:r w:rsidR="00F37B14">
        <w:t>100.pantā</w:t>
      </w:r>
      <w:proofErr w:type="gramEnd"/>
      <w:r w:rsidR="00F37B14">
        <w:t xml:space="preserve"> noteikto. </w:t>
      </w:r>
    </w:p>
    <w:p w14:paraId="17642730" w14:textId="00806243" w:rsidR="007A5384" w:rsidRDefault="007A5384" w:rsidP="007A5384">
      <w:pPr>
        <w:spacing w:after="0" w:line="276" w:lineRule="auto"/>
        <w:ind w:firstLine="709"/>
        <w:jc w:val="both"/>
      </w:pPr>
      <w:r>
        <w:t>[8.</w:t>
      </w:r>
      <w:r w:rsidR="00F5258D">
        <w:t>4</w:t>
      </w:r>
      <w:r>
        <w:t>] Pretēji pieteikumā apgalvotajam</w:t>
      </w:r>
      <w:r w:rsidR="0034657B">
        <w:t xml:space="preserve"> par tiesas pieļautu</w:t>
      </w:r>
      <w:r w:rsidR="0034657B" w:rsidRPr="0034657B">
        <w:t xml:space="preserve"> </w:t>
      </w:r>
      <w:r w:rsidR="0034657B">
        <w:t xml:space="preserve">Kriminālprocesa likuma </w:t>
      </w:r>
      <w:proofErr w:type="gramStart"/>
      <w:r w:rsidR="0034657B">
        <w:t>511.panta</w:t>
      </w:r>
      <w:proofErr w:type="gramEnd"/>
      <w:r w:rsidR="0034657B">
        <w:t xml:space="preserve"> otrās daļas, 512.panta pirmās daļas, 564.panta ceturtās daļas pārkāpumu</w:t>
      </w:r>
      <w:r>
        <w:t xml:space="preserve"> apelācijas instances tiesa ir izvērtējusi apelācijas sūdzībās izklāstītos argumentus un</w:t>
      </w:r>
      <w:r w:rsidRPr="007A5384">
        <w:t xml:space="preserve"> </w:t>
      </w:r>
      <w:r>
        <w:t xml:space="preserve">nepārprotami atzinusi, ka informācija, kuru izpaudusi </w:t>
      </w:r>
      <w:r w:rsidR="00626EF6">
        <w:t>[pers. A]</w:t>
      </w:r>
      <w:r>
        <w:t>, nebija vispārpieejama, kā to apgalvo pieteikuma iesniedzējs.</w:t>
      </w:r>
      <w:r w:rsidRPr="007A5384">
        <w:t xml:space="preserve"> </w:t>
      </w:r>
    </w:p>
    <w:p w14:paraId="7840124F" w14:textId="3D8DDC1C" w:rsidR="007A5384" w:rsidRDefault="007A5384" w:rsidP="007A5384">
      <w:pPr>
        <w:spacing w:after="0" w:line="276" w:lineRule="auto"/>
        <w:ind w:firstLine="709"/>
        <w:jc w:val="both"/>
      </w:pPr>
      <w:r>
        <w:t xml:space="preserve">Izvērtējot </w:t>
      </w:r>
      <w:r w:rsidR="00626EF6">
        <w:t>[pers. A]</w:t>
      </w:r>
      <w:r>
        <w:t xml:space="preserve"> iesniegtās izdrukas no Augstākās tiesas mājaslapas un argumentu, ka informāciju, ko viņa sūtījusi, var noskaidrot, izmantojot arī publiskus resursus, tiesa secinājusi, ka šāds arguments ir noraidāms, jo izdrukā nav izklāstītas ziņas par personas sodāmību, bet tajā ir informācija par izskatāmajām lietām un to izskatīšanas rezultātiem. </w:t>
      </w:r>
    </w:p>
    <w:p w14:paraId="4D0B518A" w14:textId="7C1EAEA3" w:rsidR="00E747DD" w:rsidRDefault="007A5384" w:rsidP="00E747DD">
      <w:pPr>
        <w:spacing w:after="0" w:line="276" w:lineRule="auto"/>
        <w:ind w:firstLine="709"/>
        <w:jc w:val="both"/>
      </w:pPr>
      <w:r>
        <w:t xml:space="preserve">Rīgas apgabaltiesa atzinusi par nepamatotu apsūdzētās </w:t>
      </w:r>
      <w:r w:rsidR="00626EF6">
        <w:t>[pers. A]</w:t>
      </w:r>
      <w:r>
        <w:t xml:space="preserve"> liecināto, ka līdz </w:t>
      </w:r>
      <w:proofErr w:type="gramStart"/>
      <w:r>
        <w:t>2016.gada</w:t>
      </w:r>
      <w:proofErr w:type="gramEnd"/>
      <w:r>
        <w:t xml:space="preserve"> decembrim tiesu portāla sadaļā „Tiesu kalendāri” bija iespējams piekļūt vēsturiskajiem datiem par tiesas sēdēm krimināllietās, līdz ar to šī informācija kļūst par vispārpieejamu un publicētu. Liecinieku </w:t>
      </w:r>
      <w:r w:rsidR="00626EF6">
        <w:t>[pers. B]</w:t>
      </w:r>
      <w:r>
        <w:t xml:space="preserve"> un </w:t>
      </w:r>
      <w:r w:rsidR="00626EF6">
        <w:t>[pers. C]</w:t>
      </w:r>
      <w:r>
        <w:t xml:space="preserve"> liecības apstiprina, ka ziņas par </w:t>
      </w:r>
      <w:r w:rsidR="00626EF6">
        <w:t>[pers. C]</w:t>
      </w:r>
      <w:r>
        <w:t xml:space="preserve"> sodāmību nebija publicētas un vispārpieejamas, jo </w:t>
      </w:r>
      <w:r w:rsidR="00626EF6">
        <w:t>[pers. B]</w:t>
      </w:r>
      <w:r>
        <w:t xml:space="preserve"> nevarēja šīs ziņas iegūt no datu bāzes, kur tās ieguva apsūdzētā. </w:t>
      </w:r>
    </w:p>
    <w:p w14:paraId="46440A40" w14:textId="788BB86A" w:rsidR="007A5384" w:rsidRDefault="00E747DD" w:rsidP="00E747DD">
      <w:pPr>
        <w:spacing w:after="0" w:line="276" w:lineRule="auto"/>
        <w:ind w:firstLine="709"/>
        <w:jc w:val="both"/>
      </w:pPr>
      <w:r>
        <w:t>Tiesa pievienojusies prokurora tiesas deb</w:t>
      </w:r>
      <w:r w:rsidR="00CE63A2">
        <w:t>atēs apelācijas instances tiesā</w:t>
      </w:r>
      <w:r w:rsidR="0034657B">
        <w:t xml:space="preserve"> teiktajam</w:t>
      </w:r>
      <w:r>
        <w:t xml:space="preserve">, ka pretēji </w:t>
      </w:r>
      <w:r w:rsidR="00626EF6">
        <w:t>[pers. A]</w:t>
      </w:r>
      <w:r>
        <w:t xml:space="preserve"> viedoklim ne likuma „Par tiesu varu” 28.</w:t>
      </w:r>
      <w:proofErr w:type="gramStart"/>
      <w:r w:rsidRPr="00881BA7">
        <w:rPr>
          <w:vertAlign w:val="superscript"/>
        </w:rPr>
        <w:t>7</w:t>
      </w:r>
      <w:r>
        <w:t>pants</w:t>
      </w:r>
      <w:proofErr w:type="gramEnd"/>
      <w:r>
        <w:t xml:space="preserve">, ne Ministru kabineta </w:t>
      </w:r>
      <w:r w:rsidR="00356F41">
        <w:t xml:space="preserve">2009.gada 10.februāra </w:t>
      </w:r>
      <w:r>
        <w:t>noteikumi Nr. 123</w:t>
      </w:r>
      <w:r w:rsidR="00356F41">
        <w:t xml:space="preserve"> „</w:t>
      </w:r>
      <w:r w:rsidR="00356F41" w:rsidRPr="009C3738">
        <w:t>Noteikumi par tiesu informācijas publicēšanu mājaslapā internetā un tiesu nolēmumu apstrādi pirms to izsniegšanas</w:t>
      </w:r>
      <w:r w:rsidR="00356F41">
        <w:t>”</w:t>
      </w:r>
      <w:r>
        <w:t xml:space="preserve">, neparedzēja tādas informācijas publiskošanu, ko bija izpaudusi </w:t>
      </w:r>
      <w:r w:rsidR="00626EF6">
        <w:t>[pers. A]</w:t>
      </w:r>
      <w:r>
        <w:t>. Ne šie, ne citi normatīvie akti neparedzēja publicēt informāciju par konkrētas personas sodāmību (par kādiem noziedzīgiem nodarījumiem persona sodīta, kāds soda veids noteikt</w:t>
      </w:r>
      <w:r w:rsidR="00356F41">
        <w:t>s</w:t>
      </w:r>
      <w:r>
        <w:t>, kad spriedums</w:t>
      </w:r>
      <w:r w:rsidR="00617439">
        <w:t xml:space="preserve"> stājies spēkā,</w:t>
      </w:r>
      <w:r>
        <w:t xml:space="preserve"> u.c.). Normatīvajos aktos paredzētā prasība – </w:t>
      </w:r>
      <w:proofErr w:type="spellStart"/>
      <w:r>
        <w:t>anonimizēt</w:t>
      </w:r>
      <w:proofErr w:type="spellEnd"/>
      <w:r>
        <w:t xml:space="preserve"> tiesu nolēmumus –, kā arī sodāmības atzīšana par ierobežotas pieejamības informāciju ir pretrunā </w:t>
      </w:r>
      <w:r w:rsidR="00626EF6">
        <w:t>[pers. A]</w:t>
      </w:r>
      <w:r>
        <w:t xml:space="preserve"> secinājumiem</w:t>
      </w:r>
      <w:r w:rsidR="00356F41">
        <w:t xml:space="preserve"> par informācijas pieejamību</w:t>
      </w:r>
      <w:r>
        <w:t>. Saskaņā ar</w:t>
      </w:r>
      <w:r w:rsidR="00356F41">
        <w:t xml:space="preserve"> minēto</w:t>
      </w:r>
      <w:r>
        <w:t xml:space="preserve"> Ministru kabineta n</w:t>
      </w:r>
      <w:r w:rsidR="00356F41">
        <w:t>oteikumu</w:t>
      </w:r>
      <w:r>
        <w:t xml:space="preserve"> 12. un 12.</w:t>
      </w:r>
      <w:r w:rsidRPr="00396C95">
        <w:rPr>
          <w:vertAlign w:val="superscript"/>
        </w:rPr>
        <w:t>1</w:t>
      </w:r>
      <w:r>
        <w:t>punktu ir dzēšama jebkāda informācija, kas satur fizisku personu identificējošus datus. Tas nozīmē, ka</w:t>
      </w:r>
      <w:r w:rsidR="00CE63A2">
        <w:t xml:space="preserve"> </w:t>
      </w:r>
      <w:r w:rsidR="0034657B">
        <w:t>jā</w:t>
      </w:r>
      <w:r>
        <w:t>dzēš ir ne tikai vārds, uzvārds, personas kods un citas 12.p</w:t>
      </w:r>
      <w:r w:rsidR="00356F41">
        <w:t>unktā</w:t>
      </w:r>
      <w:r>
        <w:t xml:space="preserve"> norādītās ziņas, bet arī citi identificējošie dati, tajā skaitā amati kapitālsabiedrībās. Tas atzīts arī</w:t>
      </w:r>
      <w:r w:rsidR="00356F41">
        <w:t xml:space="preserve"> krimināllietai pievienotajā</w:t>
      </w:r>
      <w:r>
        <w:t xml:space="preserve"> Tiesu administrācijas sniegtajā atbildē, kur norādīts: „Atbilstoši Administrācijas un tiesu praksei, veicot tiesu nolēmumu </w:t>
      </w:r>
      <w:proofErr w:type="spellStart"/>
      <w:r>
        <w:t>anonimizāciju</w:t>
      </w:r>
      <w:proofErr w:type="spellEnd"/>
      <w:r w:rsidR="0034657B">
        <w:t>,</w:t>
      </w:r>
      <w:r>
        <w:t xml:space="preserve"> juridisku personu dati (nosaukums, reģistrācijas numurs, adrese) ir jāaizklāj gadījumos, kad šie dati atklāj konkrētas fiziskas personas identitāti, piemēram, krimināllietas nolēmumā, kur fiziskai personai celta apsūdzība kā konkrētas juridiskas personas amatpersonai”.</w:t>
      </w:r>
      <w:r w:rsidR="007A5384">
        <w:t xml:space="preserve"> </w:t>
      </w:r>
    </w:p>
    <w:p w14:paraId="3B4A2167" w14:textId="488B54F3" w:rsidR="00CE63A2" w:rsidRDefault="007A5384" w:rsidP="003A7957">
      <w:pPr>
        <w:spacing w:after="0" w:line="276" w:lineRule="auto"/>
        <w:ind w:firstLine="709"/>
        <w:jc w:val="both"/>
      </w:pPr>
      <w:r>
        <w:t xml:space="preserve">  </w:t>
      </w:r>
      <w:r w:rsidR="00AA1A2E">
        <w:t>Apelācijas instances tiesa noraidījusi aizstāvības apgalvojumu, ka pirmās instances tiesa nav izvērtējusi likuma „Par tiesu varu” 28.</w:t>
      </w:r>
      <w:proofErr w:type="gramStart"/>
      <w:r w:rsidR="00AA1A2E" w:rsidRPr="00505985">
        <w:rPr>
          <w:vertAlign w:val="superscript"/>
        </w:rPr>
        <w:t>2</w:t>
      </w:r>
      <w:r w:rsidR="00AA1A2E">
        <w:t>panta</w:t>
      </w:r>
      <w:proofErr w:type="gramEnd"/>
      <w:r w:rsidR="00AA1A2E">
        <w:t xml:space="preserve"> pirmajā daļā noteikto kopsakarā ar Informācijas atklātības likuma 5.panta sestajā daļā noteikto. Publicējot tiesas nolēmumus, aizsedz to informācijas daļu, kas atklāj fiziskās personas identitāti. Saskaņā ar likuma „Par tiesu varu” 28.</w:t>
      </w:r>
      <w:proofErr w:type="gramStart"/>
      <w:r w:rsidR="00AA1A2E" w:rsidRPr="00505985">
        <w:rPr>
          <w:vertAlign w:val="superscript"/>
        </w:rPr>
        <w:t>2</w:t>
      </w:r>
      <w:r w:rsidR="00AA1A2E">
        <w:t>panta</w:t>
      </w:r>
      <w:proofErr w:type="gramEnd"/>
      <w:r w:rsidR="00AA1A2E">
        <w:t xml:space="preserve"> piektajā daļā un Ministru kabineta noteikumos Nr. 123</w:t>
      </w:r>
      <w:r w:rsidR="00CF6974">
        <w:t xml:space="preserve"> „</w:t>
      </w:r>
      <w:r w:rsidR="00CF6974" w:rsidRPr="009C3738">
        <w:t>Noteikumi par tiesu informācijas publicēšanu mājaslapā internetā un tiesu nolēmumu apstrādi pirms to izsniegšanas</w:t>
      </w:r>
      <w:r w:rsidR="00CF6974">
        <w:t>”</w:t>
      </w:r>
      <w:r w:rsidR="00AA1A2E">
        <w:t xml:space="preserve"> noteikto, sagatavojot nolēmumu publicēšanai, datus, kas ļauj identificēt fizisko </w:t>
      </w:r>
      <w:r w:rsidR="00AA1A2E">
        <w:lastRenderedPageBreak/>
        <w:t xml:space="preserve">personu, aizstājot ar atbilstošu norādi. Saskaņā ar Sodu reģistra likuma 3.pantu ziņas par </w:t>
      </w:r>
      <w:r w:rsidR="00626EF6">
        <w:t>[pers. C]</w:t>
      </w:r>
      <w:r w:rsidR="00AA1A2E">
        <w:t xml:space="preserve"> sodāmību, ko</w:t>
      </w:r>
      <w:r w:rsidR="0037317A">
        <w:t xml:space="preserve"> </w:t>
      </w:r>
      <w:r w:rsidR="00626EF6">
        <w:t>[pers. A]</w:t>
      </w:r>
      <w:r w:rsidR="0037317A">
        <w:t xml:space="preserve"> nodeva </w:t>
      </w:r>
      <w:r w:rsidR="00626EF6">
        <w:t>[pers. B]</w:t>
      </w:r>
      <w:r w:rsidR="00AA1A2E">
        <w:t xml:space="preserve">, ir ierobežotas pieejamības informācija. Ņemot vērā minēto, apelācijas instances tiesa secinājusi, ka nav pamata uzskatīt, ka </w:t>
      </w:r>
      <w:r w:rsidR="00626EF6">
        <w:t>[pers. A]</w:t>
      </w:r>
      <w:r w:rsidR="00AA1A2E">
        <w:t xml:space="preserve"> sniegtās ziņas </w:t>
      </w:r>
      <w:r w:rsidR="00626EF6">
        <w:t>[pers. B]</w:t>
      </w:r>
      <w:r w:rsidR="00AA1A2E">
        <w:t xml:space="preserve"> ir vispārpieejama informācija.</w:t>
      </w:r>
    </w:p>
    <w:p w14:paraId="25F03254" w14:textId="77777777" w:rsidR="00CF6974" w:rsidRDefault="00CF6974" w:rsidP="003A7957">
      <w:pPr>
        <w:spacing w:after="0" w:line="276" w:lineRule="auto"/>
        <w:ind w:firstLine="709"/>
        <w:jc w:val="both"/>
      </w:pPr>
      <w:r>
        <w:t xml:space="preserve">Izvērtējot advokāta pieteikumā norādītās likumu un Ministru kabineta noteikumu normas kopsakarā ar apelācijas instances tiesas lēmumā secināto, Senāts nesaskata pamatu apelācijas instances tiesas nolēmuma tiesiskuma apšaubīšanai. </w:t>
      </w:r>
    </w:p>
    <w:p w14:paraId="0AC7860D" w14:textId="77777777" w:rsidR="00E747DD" w:rsidRDefault="00CE63A2" w:rsidP="003A7957">
      <w:pPr>
        <w:spacing w:after="0" w:line="276" w:lineRule="auto"/>
        <w:ind w:firstLine="709"/>
        <w:jc w:val="both"/>
      </w:pPr>
      <w:r>
        <w:t xml:space="preserve">Senāts </w:t>
      </w:r>
      <w:r w:rsidR="00CF6974">
        <w:t>norāda</w:t>
      </w:r>
      <w:r>
        <w:t xml:space="preserve">, ka iespējamie trūkumi informācijas sistēmās nepadara valsts aizsargātu informāciju par vispārpieejamu. Sabiedrībai ir tiesības iepazīties ar spriedumu un </w:t>
      </w:r>
      <w:r w:rsidR="00CF6974">
        <w:t xml:space="preserve">tā </w:t>
      </w:r>
      <w:r>
        <w:t>argumentētu tekstu, kurā ir aizklāti fizisko personu dati.</w:t>
      </w:r>
    </w:p>
    <w:p w14:paraId="236E69C8" w14:textId="77777777" w:rsidR="003A7957" w:rsidRDefault="00E747DD" w:rsidP="00CE63A2">
      <w:pPr>
        <w:spacing w:after="0" w:line="276" w:lineRule="auto"/>
        <w:ind w:firstLine="709"/>
        <w:jc w:val="both"/>
      </w:pPr>
      <w:r>
        <w:t>Senāts atzīst, ka apelācijas instances tiesa lietu iztiesājusi atbilstoši Kriminālprocesa likuma 562.panta prasībām</w:t>
      </w:r>
      <w:r w:rsidR="00122FF6">
        <w:t xml:space="preserve"> apelācijas sūdzībās izteikto prasību apjomā un ietvaros</w:t>
      </w:r>
      <w:r w:rsidR="00CE63A2">
        <w:t>. T</w:t>
      </w:r>
      <w:r>
        <w:t xml:space="preserve">iesas lēmums atbilst Kriminālprocesa likuma 564.panta prasībām. Apelācijas instances tiesa </w:t>
      </w:r>
      <w:r w:rsidR="00122FF6">
        <w:t>pierādījumu vērtēšanā nav pieļāvusi Kriminālprocesa likuma pārkāpumus šā likuma 575.panta izpratnē.</w:t>
      </w:r>
      <w:r>
        <w:t xml:space="preserve"> </w:t>
      </w:r>
      <w:r w:rsidR="00AA1A2E">
        <w:t xml:space="preserve"> </w:t>
      </w:r>
    </w:p>
    <w:p w14:paraId="5DDCD4F4" w14:textId="00DC04AD" w:rsidR="00CD1734" w:rsidRDefault="000E0B69" w:rsidP="00CD1734">
      <w:pPr>
        <w:spacing w:after="0" w:line="276" w:lineRule="auto"/>
        <w:ind w:firstLine="709"/>
        <w:jc w:val="both"/>
        <w:rPr>
          <w:szCs w:val="24"/>
        </w:rPr>
      </w:pPr>
      <w:r>
        <w:rPr>
          <w:szCs w:val="24"/>
        </w:rPr>
        <w:t>[8.</w:t>
      </w:r>
      <w:r w:rsidR="00F5258D">
        <w:rPr>
          <w:szCs w:val="24"/>
        </w:rPr>
        <w:t>5</w:t>
      </w:r>
      <w:r>
        <w:rPr>
          <w:szCs w:val="24"/>
        </w:rPr>
        <w:t xml:space="preserve">] </w:t>
      </w:r>
      <w:r w:rsidR="00CD1734">
        <w:rPr>
          <w:szCs w:val="24"/>
        </w:rPr>
        <w:t xml:space="preserve">Advokāts nepiekrīt apelācijas instances tiesas lēmumam, ka nav konstatēta nesamērīga iejaukšanās </w:t>
      </w:r>
      <w:r w:rsidR="00626EF6">
        <w:rPr>
          <w:szCs w:val="24"/>
        </w:rPr>
        <w:t>[pers. A]</w:t>
      </w:r>
      <w:r w:rsidR="00CD1734">
        <w:rPr>
          <w:szCs w:val="24"/>
        </w:rPr>
        <w:t xml:space="preserve"> dzīvē un operatīvās izstrādes lietā veiktā pasākuma ietvaros iegūtie pierādījumi ir atzīstami par pieļaujamiem. </w:t>
      </w:r>
    </w:p>
    <w:p w14:paraId="7BE2706D" w14:textId="77777777" w:rsidR="00342AF2" w:rsidRDefault="00342AF2" w:rsidP="00342AF2">
      <w:pPr>
        <w:spacing w:after="0" w:line="276" w:lineRule="auto"/>
        <w:ind w:firstLine="709"/>
        <w:jc w:val="both"/>
      </w:pPr>
      <w:r>
        <w:t>Kriminālprocesa likuma 572.pantā norādīts, ka k</w:t>
      </w:r>
      <w:r w:rsidRPr="00E7524C">
        <w:t>asācijas sūdzībā un protestā jāiekļauj tajā izteikto prasību pamatojums ar norādi uz Krimināllikuma pārkāpumu vai šā likuma normu būtisku pārkāpumu, kā arī motivēts lūgums par lietas skatīšanu mutvārdu procesā tiesas sēdē, ja sūdzības vai protesta iesniedzējs to vēlas.</w:t>
      </w:r>
    </w:p>
    <w:p w14:paraId="38FFF2FE" w14:textId="77777777" w:rsidR="00E7524C" w:rsidRDefault="00342AF2" w:rsidP="003A7957">
      <w:pPr>
        <w:spacing w:after="0" w:line="276" w:lineRule="auto"/>
        <w:ind w:firstLine="709"/>
        <w:jc w:val="both"/>
        <w:rPr>
          <w:szCs w:val="24"/>
        </w:rPr>
      </w:pPr>
      <w:r>
        <w:rPr>
          <w:szCs w:val="24"/>
        </w:rPr>
        <w:t>Senāts</w:t>
      </w:r>
      <w:r w:rsidR="00E7524C">
        <w:rPr>
          <w:szCs w:val="24"/>
        </w:rPr>
        <w:t xml:space="preserve"> atzīst, ka advokāts nav pamatojis</w:t>
      </w:r>
      <w:r w:rsidRPr="00342AF2">
        <w:rPr>
          <w:szCs w:val="24"/>
        </w:rPr>
        <w:t xml:space="preserve"> </w:t>
      </w:r>
      <w:r>
        <w:rPr>
          <w:szCs w:val="24"/>
        </w:rPr>
        <w:t>atbilstoši Kriminālprocesa likuma 572.panta prasībām</w:t>
      </w:r>
      <w:r w:rsidR="00E7524C">
        <w:rPr>
          <w:szCs w:val="24"/>
        </w:rPr>
        <w:t xml:space="preserve">, kāpēc viņa ieskatā tiesa nav izpildījusi kasācijas instances tiesas norādījumus. </w:t>
      </w:r>
    </w:p>
    <w:p w14:paraId="4E19DB9B" w14:textId="77777777" w:rsidR="00B27972" w:rsidRDefault="00E7524C" w:rsidP="00CD1734">
      <w:pPr>
        <w:spacing w:after="0" w:line="276" w:lineRule="auto"/>
        <w:ind w:firstLine="709"/>
        <w:jc w:val="both"/>
        <w:rPr>
          <w:szCs w:val="24"/>
        </w:rPr>
      </w:pPr>
      <w:r>
        <w:rPr>
          <w:szCs w:val="24"/>
        </w:rPr>
        <w:t>Advokāts norādījis, ka tiesas vērtējums ir vispārīgs, bet p</w:t>
      </w:r>
      <w:r w:rsidR="00C015FF">
        <w:rPr>
          <w:szCs w:val="24"/>
        </w:rPr>
        <w:t>ieteikumā</w:t>
      </w:r>
      <w:r>
        <w:rPr>
          <w:szCs w:val="24"/>
        </w:rPr>
        <w:t xml:space="preserve"> nav sniedzis citu vērtējumu, kurš būtu pamatots ar tiesību normām, judikatūrā vai tiesību zinātnē </w:t>
      </w:r>
      <w:r w:rsidR="00B21D87">
        <w:rPr>
          <w:szCs w:val="24"/>
        </w:rPr>
        <w:t>paust</w:t>
      </w:r>
      <w:r w:rsidR="00B27972">
        <w:rPr>
          <w:szCs w:val="24"/>
        </w:rPr>
        <w:t xml:space="preserve">ām atziņām. </w:t>
      </w:r>
    </w:p>
    <w:p w14:paraId="510AA146" w14:textId="77777777" w:rsidR="00B27972" w:rsidRDefault="00B27972" w:rsidP="003A7957">
      <w:pPr>
        <w:spacing w:after="0" w:line="276" w:lineRule="auto"/>
        <w:ind w:firstLine="709"/>
        <w:jc w:val="both"/>
        <w:rPr>
          <w:szCs w:val="24"/>
        </w:rPr>
      </w:pPr>
      <w:r>
        <w:rPr>
          <w:szCs w:val="24"/>
        </w:rPr>
        <w:t xml:space="preserve">Apelācijas instances tiesa atzinusi, ka operatīvās darbības pasākuma ietvaros iegūtās īsziņas nav pamata izslēgt no pierādījumu bāzes, jo </w:t>
      </w:r>
      <w:r w:rsidR="000E0B69">
        <w:rPr>
          <w:szCs w:val="24"/>
        </w:rPr>
        <w:t>pasākums</w:t>
      </w:r>
      <w:r>
        <w:rPr>
          <w:szCs w:val="24"/>
        </w:rPr>
        <w:t xml:space="preserve"> uzsākt</w:t>
      </w:r>
      <w:r w:rsidR="000E0B69">
        <w:rPr>
          <w:szCs w:val="24"/>
        </w:rPr>
        <w:t>s</w:t>
      </w:r>
      <w:r>
        <w:rPr>
          <w:szCs w:val="24"/>
        </w:rPr>
        <w:t xml:space="preserve"> un turpināt</w:t>
      </w:r>
      <w:r w:rsidR="000E0B69">
        <w:rPr>
          <w:szCs w:val="24"/>
        </w:rPr>
        <w:t>s</w:t>
      </w:r>
      <w:r>
        <w:rPr>
          <w:szCs w:val="24"/>
        </w:rPr>
        <w:t xml:space="preserve"> likumīgi. Tiesa konstatējusi, ka jau vairākus mēnešus pirms attiecīgā operatīvās darbības pasākuma sankcionēšanas Krimināllikuma 329.pantā paredzētais noziedzīgais nodarījums bija atzīts par mazāk smagu noziegumu, proti, tādu, par kuru ir atļauta operatīvā sarunu noklausīšanās. </w:t>
      </w:r>
    </w:p>
    <w:p w14:paraId="1FD9DDB6" w14:textId="2A476CD8" w:rsidR="00F37B14" w:rsidRDefault="00B27972" w:rsidP="00F37B14">
      <w:pPr>
        <w:spacing w:after="0" w:line="276" w:lineRule="auto"/>
        <w:ind w:firstLine="709"/>
        <w:jc w:val="both"/>
        <w:rPr>
          <w:szCs w:val="24"/>
        </w:rPr>
      </w:pPr>
      <w:r>
        <w:rPr>
          <w:szCs w:val="24"/>
        </w:rPr>
        <w:t xml:space="preserve">Apelācijas instances tiesa piekritusi prokurora tiesu debatēs paustajam viedoklim, ka atbilstoši Operatīvās darbības likumam iejaukšanās </w:t>
      </w:r>
      <w:r w:rsidR="00626EF6">
        <w:rPr>
          <w:szCs w:val="24"/>
        </w:rPr>
        <w:t>[pers. A]</w:t>
      </w:r>
      <w:r>
        <w:rPr>
          <w:szCs w:val="24"/>
        </w:rPr>
        <w:t xml:space="preserve"> dzīvē </w:t>
      </w:r>
      <w:proofErr w:type="gramStart"/>
      <w:r>
        <w:rPr>
          <w:szCs w:val="24"/>
        </w:rPr>
        <w:t>2016.gada</w:t>
      </w:r>
      <w:proofErr w:type="gramEnd"/>
      <w:r>
        <w:rPr>
          <w:szCs w:val="24"/>
        </w:rPr>
        <w:t xml:space="preserve"> augustā bija pamatota un operatīvās darbības ceļā iegūto ziņu izmantošana pierādīšanā nav vērtējama kā nesamērīga un kriminālprocesa principiem neatbilstoša, jo Krimināllikuma 329.panta sankcijas grozīšanas viens no galvenajiem mērķiem bija dot iespēju izmantot pierādīšanā ziņas, kas iegūtas operatīvās darbības pasākuma rezultātā. Grozījumu nepieciešamība pamatota ar Krimināllikuma 329.pantā (un citos šajā priekšlikumā norādītajos pantos) minēto noziedzīgo nodarījumu kaitīgumu. Likumdevējs šo</w:t>
      </w:r>
      <w:r w:rsidR="00F37B14">
        <w:rPr>
          <w:szCs w:val="24"/>
        </w:rPr>
        <w:t>s grozījumus</w:t>
      </w:r>
      <w:r>
        <w:rPr>
          <w:szCs w:val="24"/>
        </w:rPr>
        <w:t xml:space="preserve"> akceptējis. Apelācijas instances tiesa secinājusi, ka tādā veidā likumdevējs norādījis uz Krimināllikuma 329.pantā paredzētā noziedzīgā nodarījuma kaitīgumu, atzīstot par nepieciešamu veikt atbilstošus likuma grozījumus, akceptējot operatīvās darbības pasākumu izmantošanu pierādīšanā, līdz ar to nav pamata secināt, ka šādu ziņu izmantošana apsūdzētās </w:t>
      </w:r>
      <w:r w:rsidR="00626EF6">
        <w:rPr>
          <w:szCs w:val="24"/>
        </w:rPr>
        <w:t>[pers. A]</w:t>
      </w:r>
      <w:r>
        <w:rPr>
          <w:szCs w:val="24"/>
        </w:rPr>
        <w:t xml:space="preserve"> vainīguma pierādīšanā būtu nepieļaujama kā cilvēktiesību garantēšanas pārkāpums.</w:t>
      </w:r>
    </w:p>
    <w:p w14:paraId="041B5C72" w14:textId="77777777" w:rsidR="002030A2" w:rsidRDefault="00F37B14" w:rsidP="002030A2">
      <w:pPr>
        <w:spacing w:after="0" w:line="276" w:lineRule="auto"/>
        <w:ind w:firstLine="709"/>
        <w:jc w:val="both"/>
        <w:rPr>
          <w:szCs w:val="24"/>
        </w:rPr>
      </w:pPr>
      <w:r>
        <w:rPr>
          <w:szCs w:val="24"/>
        </w:rPr>
        <w:lastRenderedPageBreak/>
        <w:t>Senātam nav pamata apšaubīt apelācijas instances tiesas atzinumu.</w:t>
      </w:r>
      <w:r w:rsidR="00CE63A2">
        <w:rPr>
          <w:szCs w:val="24"/>
        </w:rPr>
        <w:t xml:space="preserve"> Apelācijas instances tiesas lēmums arī šajā daļā atbilst Kriminālprocesa likuma 511., 512., 564.panta prasībām.</w:t>
      </w:r>
      <w:r w:rsidR="00B27972">
        <w:rPr>
          <w:szCs w:val="24"/>
        </w:rPr>
        <w:t xml:space="preserve"> </w:t>
      </w:r>
    </w:p>
    <w:p w14:paraId="28B64646" w14:textId="77777777" w:rsidR="003F2DFA" w:rsidRDefault="003F2DFA" w:rsidP="00F34BC5">
      <w:pPr>
        <w:spacing w:after="0" w:line="276" w:lineRule="auto"/>
        <w:ind w:firstLine="709"/>
        <w:jc w:val="both"/>
        <w:rPr>
          <w:szCs w:val="24"/>
        </w:rPr>
      </w:pPr>
    </w:p>
    <w:p w14:paraId="73B2C27E" w14:textId="77777777" w:rsidR="00462860" w:rsidRDefault="00462860" w:rsidP="00462860">
      <w:pPr>
        <w:spacing w:after="0" w:line="276" w:lineRule="auto"/>
        <w:jc w:val="center"/>
        <w:rPr>
          <w:b/>
          <w:szCs w:val="24"/>
        </w:rPr>
      </w:pPr>
      <w:r w:rsidRPr="008E23E9">
        <w:rPr>
          <w:b/>
          <w:szCs w:val="24"/>
        </w:rPr>
        <w:t>Rezolutīvā daļa</w:t>
      </w:r>
    </w:p>
    <w:p w14:paraId="2BDC5E86" w14:textId="77777777" w:rsidR="00462860" w:rsidRPr="008E23E9" w:rsidRDefault="00462860" w:rsidP="00462860">
      <w:pPr>
        <w:spacing w:after="0" w:line="276" w:lineRule="auto"/>
        <w:jc w:val="center"/>
        <w:rPr>
          <w:b/>
          <w:szCs w:val="24"/>
        </w:rPr>
      </w:pPr>
    </w:p>
    <w:p w14:paraId="4023132C" w14:textId="77777777" w:rsidR="00462860" w:rsidRPr="008E23E9" w:rsidRDefault="00462860" w:rsidP="00462860">
      <w:pPr>
        <w:spacing w:after="0" w:line="276" w:lineRule="auto"/>
        <w:ind w:firstLine="709"/>
        <w:jc w:val="both"/>
        <w:rPr>
          <w:b/>
          <w:szCs w:val="24"/>
        </w:rPr>
      </w:pPr>
      <w:r w:rsidRPr="008E23E9">
        <w:rPr>
          <w:szCs w:val="24"/>
        </w:rPr>
        <w:t>P</w:t>
      </w:r>
      <w:r w:rsidRPr="008E23E9">
        <w:rPr>
          <w:bCs/>
          <w:szCs w:val="24"/>
        </w:rPr>
        <w:t>amatojoties</w:t>
      </w:r>
      <w:r w:rsidR="007F0C7C">
        <w:rPr>
          <w:bCs/>
          <w:szCs w:val="24"/>
        </w:rPr>
        <w:t xml:space="preserve"> uz Kriminālprocesa likuma 585., </w:t>
      </w:r>
      <w:r w:rsidRPr="008E23E9">
        <w:rPr>
          <w:bCs/>
          <w:szCs w:val="24"/>
        </w:rPr>
        <w:t>587.</w:t>
      </w:r>
      <w:r w:rsidR="007F0C7C">
        <w:rPr>
          <w:bCs/>
          <w:szCs w:val="24"/>
        </w:rPr>
        <w:t>, 662., 665., 670., 672.</w:t>
      </w:r>
      <w:r w:rsidRPr="008E23E9">
        <w:rPr>
          <w:bCs/>
          <w:szCs w:val="24"/>
        </w:rPr>
        <w:t>pantu, tiesa</w:t>
      </w:r>
    </w:p>
    <w:p w14:paraId="1CA34652" w14:textId="77777777" w:rsidR="00462860" w:rsidRDefault="00462860" w:rsidP="00462860">
      <w:pPr>
        <w:spacing w:after="0" w:line="276" w:lineRule="auto"/>
        <w:rPr>
          <w:b/>
          <w:szCs w:val="24"/>
        </w:rPr>
      </w:pPr>
    </w:p>
    <w:p w14:paraId="3ECD6845" w14:textId="77777777" w:rsidR="00462860" w:rsidRDefault="00462860" w:rsidP="00462860">
      <w:pPr>
        <w:spacing w:after="0" w:line="276" w:lineRule="auto"/>
        <w:jc w:val="center"/>
        <w:rPr>
          <w:b/>
          <w:szCs w:val="24"/>
        </w:rPr>
      </w:pPr>
      <w:r w:rsidRPr="008E23E9">
        <w:rPr>
          <w:b/>
          <w:szCs w:val="24"/>
        </w:rPr>
        <w:t>nolēma:</w:t>
      </w:r>
    </w:p>
    <w:p w14:paraId="6925E68C" w14:textId="77777777" w:rsidR="00462860" w:rsidRPr="008E23E9" w:rsidRDefault="00462860" w:rsidP="00462860">
      <w:pPr>
        <w:spacing w:after="0" w:line="276" w:lineRule="auto"/>
        <w:jc w:val="center"/>
        <w:rPr>
          <w:b/>
          <w:szCs w:val="24"/>
        </w:rPr>
      </w:pPr>
    </w:p>
    <w:p w14:paraId="6E0A6DA3" w14:textId="77777777" w:rsidR="00E31130" w:rsidRDefault="00E31130" w:rsidP="00462860">
      <w:pPr>
        <w:spacing w:after="0" w:line="276" w:lineRule="auto"/>
        <w:ind w:firstLine="709"/>
        <w:jc w:val="both"/>
        <w:rPr>
          <w:szCs w:val="24"/>
        </w:rPr>
      </w:pPr>
    </w:p>
    <w:p w14:paraId="211CEBD2" w14:textId="510EB54E" w:rsidR="00B21D87" w:rsidRDefault="00B21D87" w:rsidP="00B21D87">
      <w:pPr>
        <w:spacing w:after="0" w:line="276" w:lineRule="auto"/>
        <w:ind w:firstLine="709"/>
        <w:jc w:val="both"/>
        <w:rPr>
          <w:szCs w:val="24"/>
        </w:rPr>
      </w:pPr>
      <w:r>
        <w:rPr>
          <w:szCs w:val="24"/>
        </w:rPr>
        <w:t xml:space="preserve">atstāt negrozītu Rīgas apgabaltiesas </w:t>
      </w:r>
      <w:proofErr w:type="gramStart"/>
      <w:r>
        <w:rPr>
          <w:szCs w:val="24"/>
        </w:rPr>
        <w:t>2019.gada</w:t>
      </w:r>
      <w:proofErr w:type="gramEnd"/>
      <w:r>
        <w:rPr>
          <w:szCs w:val="24"/>
        </w:rPr>
        <w:t xml:space="preserve"> 11.aprīļa lēmumu, bet </w:t>
      </w:r>
      <w:r w:rsidRPr="003C4DE5">
        <w:rPr>
          <w:szCs w:val="24"/>
        </w:rPr>
        <w:t>notiesātā</w:t>
      </w:r>
      <w:r>
        <w:rPr>
          <w:szCs w:val="24"/>
        </w:rPr>
        <w:t>s</w:t>
      </w:r>
      <w:r w:rsidRPr="003C4DE5">
        <w:rPr>
          <w:szCs w:val="24"/>
        </w:rPr>
        <w:t xml:space="preserve"> </w:t>
      </w:r>
      <w:r w:rsidR="00626EF6">
        <w:rPr>
          <w:szCs w:val="24"/>
        </w:rPr>
        <w:t>[pers. A]</w:t>
      </w:r>
      <w:r>
        <w:rPr>
          <w:szCs w:val="24"/>
        </w:rPr>
        <w:t xml:space="preserve"> uzdevumā advokāta Dagņa </w:t>
      </w:r>
      <w:proofErr w:type="spellStart"/>
      <w:r>
        <w:rPr>
          <w:szCs w:val="24"/>
        </w:rPr>
        <w:t>Zacmaņa</w:t>
      </w:r>
      <w:proofErr w:type="spellEnd"/>
      <w:r>
        <w:rPr>
          <w:szCs w:val="24"/>
        </w:rPr>
        <w:t xml:space="preserve"> </w:t>
      </w:r>
      <w:r w:rsidRPr="003C4DE5">
        <w:rPr>
          <w:szCs w:val="24"/>
        </w:rPr>
        <w:t>Kriminālprocesa likuma 63.nodaļas kārtībā iesniegto pieteikumu noraidīt.</w:t>
      </w:r>
    </w:p>
    <w:p w14:paraId="6D8F9673" w14:textId="77777777" w:rsidR="00462860" w:rsidRPr="008E23E9" w:rsidRDefault="00462860" w:rsidP="00462860">
      <w:pPr>
        <w:spacing w:after="0" w:line="276" w:lineRule="auto"/>
        <w:ind w:firstLine="709"/>
        <w:jc w:val="both"/>
        <w:rPr>
          <w:szCs w:val="24"/>
        </w:rPr>
      </w:pPr>
      <w:r w:rsidRPr="00AA5989">
        <w:rPr>
          <w:szCs w:val="24"/>
        </w:rPr>
        <w:t>Lēmums nav pārsūdzams.</w:t>
      </w:r>
    </w:p>
    <w:sectPr w:rsidR="00462860" w:rsidRPr="008E23E9" w:rsidSect="001F4B66">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8918E" w14:textId="77777777" w:rsidR="00F4307D" w:rsidRDefault="00F4307D">
      <w:pPr>
        <w:spacing w:after="0" w:line="240" w:lineRule="auto"/>
      </w:pPr>
      <w:r>
        <w:separator/>
      </w:r>
    </w:p>
  </w:endnote>
  <w:endnote w:type="continuationSeparator" w:id="0">
    <w:p w14:paraId="7643EADA" w14:textId="77777777" w:rsidR="00F4307D" w:rsidRDefault="00F43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CBEF1" w14:textId="77777777" w:rsidR="001F0FB9" w:rsidRDefault="001F0FB9" w:rsidP="00F614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DE6021D" w14:textId="77777777" w:rsidR="001F0FB9" w:rsidRDefault="001F0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847937"/>
      <w:docPartObj>
        <w:docPartGallery w:val="Page Numbers (Bottom of Page)"/>
        <w:docPartUnique/>
      </w:docPartObj>
    </w:sdtPr>
    <w:sdtEndPr/>
    <w:sdtContent>
      <w:sdt>
        <w:sdtPr>
          <w:id w:val="1728636285"/>
          <w:docPartObj>
            <w:docPartGallery w:val="Page Numbers (Top of Page)"/>
            <w:docPartUnique/>
          </w:docPartObj>
        </w:sdtPr>
        <w:sdtEndPr/>
        <w:sdtContent>
          <w:p w14:paraId="306B6381" w14:textId="77777777" w:rsidR="001F0FB9" w:rsidRPr="00346F6F" w:rsidRDefault="001F0FB9">
            <w:pPr>
              <w:pStyle w:val="Footer"/>
              <w:jc w:val="center"/>
            </w:pPr>
            <w:r w:rsidRPr="00346F6F">
              <w:rPr>
                <w:bCs/>
                <w:szCs w:val="24"/>
              </w:rPr>
              <w:fldChar w:fldCharType="begin"/>
            </w:r>
            <w:r w:rsidRPr="00346F6F">
              <w:rPr>
                <w:bCs/>
              </w:rPr>
              <w:instrText xml:space="preserve"> PAGE </w:instrText>
            </w:r>
            <w:r w:rsidRPr="00346F6F">
              <w:rPr>
                <w:bCs/>
                <w:szCs w:val="24"/>
              </w:rPr>
              <w:fldChar w:fldCharType="separate"/>
            </w:r>
            <w:r w:rsidR="00E93196">
              <w:rPr>
                <w:bCs/>
                <w:noProof/>
              </w:rPr>
              <w:t>1</w:t>
            </w:r>
            <w:r w:rsidRPr="00346F6F">
              <w:rPr>
                <w:bCs/>
                <w:szCs w:val="24"/>
              </w:rPr>
              <w:fldChar w:fldCharType="end"/>
            </w:r>
            <w:r w:rsidRPr="00346F6F">
              <w:t xml:space="preserve"> no </w:t>
            </w:r>
            <w:r w:rsidRPr="00346F6F">
              <w:rPr>
                <w:bCs/>
                <w:szCs w:val="24"/>
              </w:rPr>
              <w:fldChar w:fldCharType="begin"/>
            </w:r>
            <w:r w:rsidRPr="00346F6F">
              <w:rPr>
                <w:bCs/>
              </w:rPr>
              <w:instrText xml:space="preserve"> NUMPAGES  </w:instrText>
            </w:r>
            <w:r w:rsidRPr="00346F6F">
              <w:rPr>
                <w:bCs/>
                <w:szCs w:val="24"/>
              </w:rPr>
              <w:fldChar w:fldCharType="separate"/>
            </w:r>
            <w:r w:rsidR="00E93196">
              <w:rPr>
                <w:bCs/>
                <w:noProof/>
              </w:rPr>
              <w:t>6</w:t>
            </w:r>
            <w:r w:rsidRPr="00346F6F">
              <w:rPr>
                <w:bCs/>
                <w:szCs w:val="24"/>
              </w:rPr>
              <w:fldChar w:fldCharType="end"/>
            </w:r>
          </w:p>
        </w:sdtContent>
      </w:sdt>
    </w:sdtContent>
  </w:sdt>
  <w:p w14:paraId="22D50B54" w14:textId="77777777" w:rsidR="001F0FB9" w:rsidRPr="00A50AA2" w:rsidRDefault="001F0FB9" w:rsidP="00F614EF">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0E3AB" w14:textId="77777777" w:rsidR="00F4307D" w:rsidRDefault="00F4307D">
      <w:pPr>
        <w:spacing w:after="0" w:line="240" w:lineRule="auto"/>
      </w:pPr>
      <w:r>
        <w:separator/>
      </w:r>
    </w:p>
  </w:footnote>
  <w:footnote w:type="continuationSeparator" w:id="0">
    <w:p w14:paraId="0996546C" w14:textId="77777777" w:rsidR="00F4307D" w:rsidRDefault="00F43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D82D0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78E5685"/>
    <w:multiLevelType w:val="hybridMultilevel"/>
    <w:tmpl w:val="286AC29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60"/>
    <w:rsid w:val="0000423F"/>
    <w:rsid w:val="00020759"/>
    <w:rsid w:val="00020AE7"/>
    <w:rsid w:val="00033B64"/>
    <w:rsid w:val="00033C1D"/>
    <w:rsid w:val="00034A10"/>
    <w:rsid w:val="00044159"/>
    <w:rsid w:val="0004505D"/>
    <w:rsid w:val="000457E7"/>
    <w:rsid w:val="00054696"/>
    <w:rsid w:val="00060E8D"/>
    <w:rsid w:val="00062E1F"/>
    <w:rsid w:val="00071523"/>
    <w:rsid w:val="0007454F"/>
    <w:rsid w:val="00084DE5"/>
    <w:rsid w:val="0009119A"/>
    <w:rsid w:val="000A52F4"/>
    <w:rsid w:val="000A53DD"/>
    <w:rsid w:val="000B0AF7"/>
    <w:rsid w:val="000B411E"/>
    <w:rsid w:val="000B480E"/>
    <w:rsid w:val="000C18B1"/>
    <w:rsid w:val="000D43EA"/>
    <w:rsid w:val="000E0B69"/>
    <w:rsid w:val="000E0D31"/>
    <w:rsid w:val="000E512D"/>
    <w:rsid w:val="000F4DD0"/>
    <w:rsid w:val="000F526A"/>
    <w:rsid w:val="001041D4"/>
    <w:rsid w:val="00111D5A"/>
    <w:rsid w:val="001216B1"/>
    <w:rsid w:val="00122FF6"/>
    <w:rsid w:val="00131A85"/>
    <w:rsid w:val="00131DAE"/>
    <w:rsid w:val="00150FF1"/>
    <w:rsid w:val="001541DB"/>
    <w:rsid w:val="0015443C"/>
    <w:rsid w:val="00161CC0"/>
    <w:rsid w:val="001751F4"/>
    <w:rsid w:val="00185238"/>
    <w:rsid w:val="001C71B0"/>
    <w:rsid w:val="001D0C41"/>
    <w:rsid w:val="001D0E72"/>
    <w:rsid w:val="001D438C"/>
    <w:rsid w:val="001D62FD"/>
    <w:rsid w:val="001E17A3"/>
    <w:rsid w:val="001F0FB9"/>
    <w:rsid w:val="001F452A"/>
    <w:rsid w:val="001F4B66"/>
    <w:rsid w:val="002030A2"/>
    <w:rsid w:val="002052A4"/>
    <w:rsid w:val="002063EA"/>
    <w:rsid w:val="002211DD"/>
    <w:rsid w:val="00221311"/>
    <w:rsid w:val="002265A3"/>
    <w:rsid w:val="0023555A"/>
    <w:rsid w:val="00252097"/>
    <w:rsid w:val="00252BE5"/>
    <w:rsid w:val="00257442"/>
    <w:rsid w:val="00260303"/>
    <w:rsid w:val="00277A02"/>
    <w:rsid w:val="0029327F"/>
    <w:rsid w:val="002956B2"/>
    <w:rsid w:val="002975E4"/>
    <w:rsid w:val="00297C86"/>
    <w:rsid w:val="002A202B"/>
    <w:rsid w:val="002A38FE"/>
    <w:rsid w:val="002A5121"/>
    <w:rsid w:val="002A5D76"/>
    <w:rsid w:val="002A6238"/>
    <w:rsid w:val="002C56F1"/>
    <w:rsid w:val="002E5CCC"/>
    <w:rsid w:val="002F051E"/>
    <w:rsid w:val="002F3999"/>
    <w:rsid w:val="002F414D"/>
    <w:rsid w:val="0030190F"/>
    <w:rsid w:val="00305B2F"/>
    <w:rsid w:val="003131CB"/>
    <w:rsid w:val="003356AC"/>
    <w:rsid w:val="00340CF0"/>
    <w:rsid w:val="00342AF2"/>
    <w:rsid w:val="0034657B"/>
    <w:rsid w:val="00346F6F"/>
    <w:rsid w:val="00353ECA"/>
    <w:rsid w:val="003543A1"/>
    <w:rsid w:val="00356F41"/>
    <w:rsid w:val="0035708A"/>
    <w:rsid w:val="0037317A"/>
    <w:rsid w:val="003756B5"/>
    <w:rsid w:val="00380A31"/>
    <w:rsid w:val="00392691"/>
    <w:rsid w:val="00396C95"/>
    <w:rsid w:val="003A166C"/>
    <w:rsid w:val="003A3652"/>
    <w:rsid w:val="003A7957"/>
    <w:rsid w:val="003B46F5"/>
    <w:rsid w:val="003B74EE"/>
    <w:rsid w:val="003C0040"/>
    <w:rsid w:val="003C37DB"/>
    <w:rsid w:val="003C4733"/>
    <w:rsid w:val="003C4DE5"/>
    <w:rsid w:val="003D3771"/>
    <w:rsid w:val="003D413B"/>
    <w:rsid w:val="003E4097"/>
    <w:rsid w:val="003F2DFA"/>
    <w:rsid w:val="003F74FB"/>
    <w:rsid w:val="0040024A"/>
    <w:rsid w:val="00401434"/>
    <w:rsid w:val="004038CA"/>
    <w:rsid w:val="00425521"/>
    <w:rsid w:val="00432694"/>
    <w:rsid w:val="00433043"/>
    <w:rsid w:val="00454AFD"/>
    <w:rsid w:val="00461D46"/>
    <w:rsid w:val="00462860"/>
    <w:rsid w:val="0046347A"/>
    <w:rsid w:val="00472F13"/>
    <w:rsid w:val="004735D9"/>
    <w:rsid w:val="00486FDB"/>
    <w:rsid w:val="00490094"/>
    <w:rsid w:val="00491F80"/>
    <w:rsid w:val="004B5B3E"/>
    <w:rsid w:val="004B5E23"/>
    <w:rsid w:val="004D342F"/>
    <w:rsid w:val="004D44A7"/>
    <w:rsid w:val="004E034E"/>
    <w:rsid w:val="004F0F23"/>
    <w:rsid w:val="00505985"/>
    <w:rsid w:val="0052184E"/>
    <w:rsid w:val="00533879"/>
    <w:rsid w:val="00537F93"/>
    <w:rsid w:val="00541F5A"/>
    <w:rsid w:val="00545E0D"/>
    <w:rsid w:val="00546A40"/>
    <w:rsid w:val="00554C8E"/>
    <w:rsid w:val="0056371C"/>
    <w:rsid w:val="00577A87"/>
    <w:rsid w:val="005937F7"/>
    <w:rsid w:val="005A0086"/>
    <w:rsid w:val="005D0849"/>
    <w:rsid w:val="005D4090"/>
    <w:rsid w:val="005E295A"/>
    <w:rsid w:val="005E641B"/>
    <w:rsid w:val="005F3FD2"/>
    <w:rsid w:val="0060023C"/>
    <w:rsid w:val="00612176"/>
    <w:rsid w:val="00612C4F"/>
    <w:rsid w:val="00617439"/>
    <w:rsid w:val="00617815"/>
    <w:rsid w:val="00626EF6"/>
    <w:rsid w:val="00626FAF"/>
    <w:rsid w:val="006361C1"/>
    <w:rsid w:val="00641054"/>
    <w:rsid w:val="00647882"/>
    <w:rsid w:val="00654406"/>
    <w:rsid w:val="006601DF"/>
    <w:rsid w:val="0066687B"/>
    <w:rsid w:val="00666F5E"/>
    <w:rsid w:val="006811C0"/>
    <w:rsid w:val="00691B79"/>
    <w:rsid w:val="00695B7C"/>
    <w:rsid w:val="006A284C"/>
    <w:rsid w:val="006A509D"/>
    <w:rsid w:val="006B0F31"/>
    <w:rsid w:val="006B18BB"/>
    <w:rsid w:val="006B18D8"/>
    <w:rsid w:val="006C3C65"/>
    <w:rsid w:val="006C4331"/>
    <w:rsid w:val="006C6D6E"/>
    <w:rsid w:val="006C7ACF"/>
    <w:rsid w:val="006F1C73"/>
    <w:rsid w:val="00706569"/>
    <w:rsid w:val="0071374E"/>
    <w:rsid w:val="007176C1"/>
    <w:rsid w:val="00720797"/>
    <w:rsid w:val="0073276C"/>
    <w:rsid w:val="00740A07"/>
    <w:rsid w:val="007436AE"/>
    <w:rsid w:val="00763348"/>
    <w:rsid w:val="00767979"/>
    <w:rsid w:val="00772D73"/>
    <w:rsid w:val="0078019F"/>
    <w:rsid w:val="0078359B"/>
    <w:rsid w:val="00792AE4"/>
    <w:rsid w:val="007A5384"/>
    <w:rsid w:val="007B1D28"/>
    <w:rsid w:val="007B74FB"/>
    <w:rsid w:val="007C2228"/>
    <w:rsid w:val="007F0C7C"/>
    <w:rsid w:val="007F3C23"/>
    <w:rsid w:val="007F6CD7"/>
    <w:rsid w:val="00804766"/>
    <w:rsid w:val="00812AAA"/>
    <w:rsid w:val="008430A8"/>
    <w:rsid w:val="008511AE"/>
    <w:rsid w:val="008608A8"/>
    <w:rsid w:val="0086359A"/>
    <w:rsid w:val="00866CB6"/>
    <w:rsid w:val="00876DBB"/>
    <w:rsid w:val="00881BA7"/>
    <w:rsid w:val="00882CA8"/>
    <w:rsid w:val="008879E7"/>
    <w:rsid w:val="00891DE6"/>
    <w:rsid w:val="008A3223"/>
    <w:rsid w:val="008B49F9"/>
    <w:rsid w:val="008B56FE"/>
    <w:rsid w:val="008C4915"/>
    <w:rsid w:val="008E53B9"/>
    <w:rsid w:val="008F782F"/>
    <w:rsid w:val="009032FB"/>
    <w:rsid w:val="00914FD7"/>
    <w:rsid w:val="0092748A"/>
    <w:rsid w:val="00931F6C"/>
    <w:rsid w:val="00942ED6"/>
    <w:rsid w:val="0094775E"/>
    <w:rsid w:val="00952046"/>
    <w:rsid w:val="00977B62"/>
    <w:rsid w:val="00990767"/>
    <w:rsid w:val="00995945"/>
    <w:rsid w:val="009A0E08"/>
    <w:rsid w:val="009A69EC"/>
    <w:rsid w:val="009B7051"/>
    <w:rsid w:val="009C3738"/>
    <w:rsid w:val="009D2185"/>
    <w:rsid w:val="009D6778"/>
    <w:rsid w:val="009F6884"/>
    <w:rsid w:val="00A049E0"/>
    <w:rsid w:val="00A172F6"/>
    <w:rsid w:val="00A23A53"/>
    <w:rsid w:val="00A2507F"/>
    <w:rsid w:val="00A31D91"/>
    <w:rsid w:val="00A34D74"/>
    <w:rsid w:val="00A41A2C"/>
    <w:rsid w:val="00A45352"/>
    <w:rsid w:val="00A45568"/>
    <w:rsid w:val="00A6647A"/>
    <w:rsid w:val="00A66932"/>
    <w:rsid w:val="00A72279"/>
    <w:rsid w:val="00A75C7D"/>
    <w:rsid w:val="00A85B1E"/>
    <w:rsid w:val="00A94282"/>
    <w:rsid w:val="00AA0FFF"/>
    <w:rsid w:val="00AA1A2E"/>
    <w:rsid w:val="00AA284E"/>
    <w:rsid w:val="00AA6D89"/>
    <w:rsid w:val="00AB44A5"/>
    <w:rsid w:val="00AB5449"/>
    <w:rsid w:val="00AC18BC"/>
    <w:rsid w:val="00AC52FA"/>
    <w:rsid w:val="00AC5B9C"/>
    <w:rsid w:val="00AC6268"/>
    <w:rsid w:val="00AD296C"/>
    <w:rsid w:val="00AF40B8"/>
    <w:rsid w:val="00B041E5"/>
    <w:rsid w:val="00B1102B"/>
    <w:rsid w:val="00B21D87"/>
    <w:rsid w:val="00B2528F"/>
    <w:rsid w:val="00B27972"/>
    <w:rsid w:val="00B3303B"/>
    <w:rsid w:val="00B34B20"/>
    <w:rsid w:val="00B54EE0"/>
    <w:rsid w:val="00B65D92"/>
    <w:rsid w:val="00B71AC5"/>
    <w:rsid w:val="00BA3D77"/>
    <w:rsid w:val="00BA7EAA"/>
    <w:rsid w:val="00BB6CCA"/>
    <w:rsid w:val="00BB6E7D"/>
    <w:rsid w:val="00BC6F66"/>
    <w:rsid w:val="00BE307F"/>
    <w:rsid w:val="00BE57A5"/>
    <w:rsid w:val="00BE57EB"/>
    <w:rsid w:val="00BF186B"/>
    <w:rsid w:val="00C015FF"/>
    <w:rsid w:val="00C0302B"/>
    <w:rsid w:val="00C10A83"/>
    <w:rsid w:val="00C14431"/>
    <w:rsid w:val="00C1484E"/>
    <w:rsid w:val="00C369E8"/>
    <w:rsid w:val="00C3712E"/>
    <w:rsid w:val="00C430C6"/>
    <w:rsid w:val="00C477EC"/>
    <w:rsid w:val="00C6068E"/>
    <w:rsid w:val="00C83738"/>
    <w:rsid w:val="00C84771"/>
    <w:rsid w:val="00C911BC"/>
    <w:rsid w:val="00C94DDA"/>
    <w:rsid w:val="00CA0CFD"/>
    <w:rsid w:val="00CA2200"/>
    <w:rsid w:val="00CB30BB"/>
    <w:rsid w:val="00CB6C3C"/>
    <w:rsid w:val="00CB73C5"/>
    <w:rsid w:val="00CC2D72"/>
    <w:rsid w:val="00CC5D80"/>
    <w:rsid w:val="00CD1734"/>
    <w:rsid w:val="00CD56AF"/>
    <w:rsid w:val="00CE63A2"/>
    <w:rsid w:val="00CF1F2D"/>
    <w:rsid w:val="00CF426C"/>
    <w:rsid w:val="00CF4540"/>
    <w:rsid w:val="00CF6974"/>
    <w:rsid w:val="00CF7347"/>
    <w:rsid w:val="00D1490C"/>
    <w:rsid w:val="00D2285B"/>
    <w:rsid w:val="00D269A8"/>
    <w:rsid w:val="00D301AF"/>
    <w:rsid w:val="00D30B96"/>
    <w:rsid w:val="00D408F1"/>
    <w:rsid w:val="00D50457"/>
    <w:rsid w:val="00D61503"/>
    <w:rsid w:val="00D66914"/>
    <w:rsid w:val="00D70C56"/>
    <w:rsid w:val="00D82C8A"/>
    <w:rsid w:val="00D83AD9"/>
    <w:rsid w:val="00D86A9F"/>
    <w:rsid w:val="00D97067"/>
    <w:rsid w:val="00D970A1"/>
    <w:rsid w:val="00DB4425"/>
    <w:rsid w:val="00DB6DAB"/>
    <w:rsid w:val="00DE0798"/>
    <w:rsid w:val="00DE434C"/>
    <w:rsid w:val="00DF02C8"/>
    <w:rsid w:val="00DF5AE5"/>
    <w:rsid w:val="00DF68D8"/>
    <w:rsid w:val="00E00A0C"/>
    <w:rsid w:val="00E0344F"/>
    <w:rsid w:val="00E11D07"/>
    <w:rsid w:val="00E13D5A"/>
    <w:rsid w:val="00E177F2"/>
    <w:rsid w:val="00E2683E"/>
    <w:rsid w:val="00E301B1"/>
    <w:rsid w:val="00E31130"/>
    <w:rsid w:val="00E32D69"/>
    <w:rsid w:val="00E338B4"/>
    <w:rsid w:val="00E33E14"/>
    <w:rsid w:val="00E42EBF"/>
    <w:rsid w:val="00E4663E"/>
    <w:rsid w:val="00E53CFC"/>
    <w:rsid w:val="00E56E68"/>
    <w:rsid w:val="00E747DD"/>
    <w:rsid w:val="00E7524C"/>
    <w:rsid w:val="00E853B9"/>
    <w:rsid w:val="00E93196"/>
    <w:rsid w:val="00E960A5"/>
    <w:rsid w:val="00EA03C8"/>
    <w:rsid w:val="00EA2D31"/>
    <w:rsid w:val="00EA5CE7"/>
    <w:rsid w:val="00EB150D"/>
    <w:rsid w:val="00EB15FE"/>
    <w:rsid w:val="00EB65FC"/>
    <w:rsid w:val="00EB72F2"/>
    <w:rsid w:val="00EC225E"/>
    <w:rsid w:val="00EF597A"/>
    <w:rsid w:val="00F15D62"/>
    <w:rsid w:val="00F22E1D"/>
    <w:rsid w:val="00F26FBF"/>
    <w:rsid w:val="00F2745E"/>
    <w:rsid w:val="00F27CF1"/>
    <w:rsid w:val="00F32560"/>
    <w:rsid w:val="00F34BC5"/>
    <w:rsid w:val="00F37B14"/>
    <w:rsid w:val="00F4307D"/>
    <w:rsid w:val="00F5258D"/>
    <w:rsid w:val="00F55838"/>
    <w:rsid w:val="00F56140"/>
    <w:rsid w:val="00F567DF"/>
    <w:rsid w:val="00F610BB"/>
    <w:rsid w:val="00F614EF"/>
    <w:rsid w:val="00F81B98"/>
    <w:rsid w:val="00F90318"/>
    <w:rsid w:val="00F94543"/>
    <w:rsid w:val="00FA56C4"/>
    <w:rsid w:val="00FC20E3"/>
    <w:rsid w:val="00FD4CEC"/>
    <w:rsid w:val="00FE3DA9"/>
    <w:rsid w:val="00FE588B"/>
    <w:rsid w:val="00FE72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DB60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60"/>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28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2860"/>
    <w:rPr>
      <w:szCs w:val="22"/>
    </w:rPr>
  </w:style>
  <w:style w:type="character" w:styleId="PageNumber">
    <w:name w:val="page number"/>
    <w:basedOn w:val="DefaultParagraphFont"/>
    <w:rsid w:val="00462860"/>
    <w:rPr>
      <w:rFonts w:cs="Times New Roman"/>
    </w:rPr>
  </w:style>
  <w:style w:type="paragraph" w:styleId="Header">
    <w:name w:val="header"/>
    <w:basedOn w:val="Normal"/>
    <w:link w:val="HeaderChar"/>
    <w:uiPriority w:val="99"/>
    <w:unhideWhenUsed/>
    <w:rsid w:val="004628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2860"/>
    <w:rPr>
      <w:szCs w:val="22"/>
    </w:rPr>
  </w:style>
  <w:style w:type="table" w:styleId="TableGrid">
    <w:name w:val="Table Grid"/>
    <w:basedOn w:val="TableNormal"/>
    <w:uiPriority w:val="39"/>
    <w:rsid w:val="00462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860"/>
    <w:pPr>
      <w:ind w:left="720"/>
      <w:contextualSpacing/>
    </w:pPr>
  </w:style>
  <w:style w:type="character" w:styleId="Hyperlink">
    <w:name w:val="Hyperlink"/>
    <w:basedOn w:val="DefaultParagraphFont"/>
    <w:uiPriority w:val="99"/>
    <w:unhideWhenUsed/>
    <w:rsid w:val="00462860"/>
    <w:rPr>
      <w:color w:val="0563C1" w:themeColor="hyperlink"/>
      <w:u w:val="single"/>
    </w:rPr>
  </w:style>
  <w:style w:type="paragraph" w:styleId="BalloonText">
    <w:name w:val="Balloon Text"/>
    <w:basedOn w:val="Normal"/>
    <w:link w:val="BalloonTextChar"/>
    <w:uiPriority w:val="99"/>
    <w:semiHidden/>
    <w:unhideWhenUsed/>
    <w:rsid w:val="00161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CC0"/>
    <w:rPr>
      <w:rFonts w:ascii="Segoe UI" w:hAnsi="Segoe UI" w:cs="Segoe UI"/>
      <w:sz w:val="18"/>
      <w:szCs w:val="18"/>
    </w:rPr>
  </w:style>
  <w:style w:type="paragraph" w:styleId="ListBullet">
    <w:name w:val="List Bullet"/>
    <w:basedOn w:val="Normal"/>
    <w:uiPriority w:val="99"/>
    <w:unhideWhenUsed/>
    <w:rsid w:val="00990767"/>
    <w:pPr>
      <w:numPr>
        <w:numId w:val="2"/>
      </w:numPr>
      <w:contextualSpacing/>
    </w:pPr>
  </w:style>
  <w:style w:type="character" w:styleId="UnresolvedMention">
    <w:name w:val="Unresolved Mention"/>
    <w:basedOn w:val="DefaultParagraphFont"/>
    <w:uiPriority w:val="99"/>
    <w:semiHidden/>
    <w:unhideWhenUsed/>
    <w:rsid w:val="00BB6CCA"/>
    <w:rPr>
      <w:color w:val="605E5C"/>
      <w:shd w:val="clear" w:color="auto" w:fill="E1DFDD"/>
    </w:rPr>
  </w:style>
  <w:style w:type="character" w:styleId="FollowedHyperlink">
    <w:name w:val="FollowedHyperlink"/>
    <w:basedOn w:val="DefaultParagraphFont"/>
    <w:uiPriority w:val="99"/>
    <w:semiHidden/>
    <w:unhideWhenUsed/>
    <w:rsid w:val="00BB6C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9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1622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6FBD4-F39D-4D58-A9EE-CFFA39A3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10758</Words>
  <Characters>6133</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2020-07-20T10:39:00Z</dcterms:created>
  <dcterms:modified xsi:type="dcterms:W3CDTF">2020-07-20T10:39:00Z</dcterms:modified>
</cp:coreProperties>
</file>