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696DF" w14:textId="1F70DEB3" w:rsidR="00860F64" w:rsidRDefault="00860F64" w:rsidP="00860F64">
      <w:pPr>
        <w:spacing w:line="276" w:lineRule="auto"/>
        <w:jc w:val="both"/>
        <w:rPr>
          <w:b/>
          <w:bCs/>
        </w:rPr>
      </w:pPr>
      <w:r w:rsidRPr="00612B4E">
        <w:rPr>
          <w:b/>
          <w:bCs/>
        </w:rPr>
        <w:t>Narkotiskās vielas saturošu augu neatļauta sēšana un audzēšana lielās platībās</w:t>
      </w:r>
    </w:p>
    <w:p w14:paraId="481C400F" w14:textId="7ED260C7" w:rsidR="00860F64" w:rsidRDefault="00860F64" w:rsidP="00860F64">
      <w:pPr>
        <w:spacing w:line="276" w:lineRule="auto"/>
        <w:jc w:val="both"/>
        <w:rPr>
          <w:b/>
          <w:bCs/>
        </w:rPr>
      </w:pPr>
    </w:p>
    <w:p w14:paraId="73BB7E99" w14:textId="77777777" w:rsidR="00860F64" w:rsidRDefault="00860F64" w:rsidP="00860F64">
      <w:pPr>
        <w:pStyle w:val="ListParagraph"/>
        <w:ind w:left="0"/>
        <w:rPr>
          <w:b/>
          <w:bCs/>
        </w:rPr>
      </w:pPr>
      <w:r w:rsidRPr="00612B4E">
        <w:rPr>
          <w:b/>
          <w:bCs/>
        </w:rPr>
        <w:t>Narkotisko vielu realizēšana Krimināllikuma 253.</w:t>
      </w:r>
      <w:r w:rsidRPr="00612B4E">
        <w:rPr>
          <w:b/>
          <w:bCs/>
          <w:vertAlign w:val="superscript"/>
        </w:rPr>
        <w:t>1</w:t>
      </w:r>
      <w:r w:rsidRPr="00612B4E">
        <w:rPr>
          <w:b/>
          <w:bCs/>
        </w:rPr>
        <w:t xml:space="preserve"> panta izpratnē</w:t>
      </w:r>
    </w:p>
    <w:p w14:paraId="7AF4B25C" w14:textId="77777777" w:rsidR="00860F64" w:rsidRDefault="00860F64" w:rsidP="00860F64">
      <w:pPr>
        <w:pStyle w:val="ListParagraph"/>
        <w:ind w:left="0"/>
        <w:rPr>
          <w:b/>
          <w:bCs/>
        </w:rPr>
      </w:pPr>
    </w:p>
    <w:p w14:paraId="67D7B09F" w14:textId="37A27ED4" w:rsidR="00860F64" w:rsidRDefault="00860F64" w:rsidP="00860F64">
      <w:pPr>
        <w:spacing w:line="276" w:lineRule="auto"/>
        <w:jc w:val="both"/>
      </w:pPr>
      <w:r>
        <w:t>Ar narkotisko vielu realizēšanu jāsaprot jebkādi to tālāk nodošanas paņēmieni, ar kuru palīdzību šīs vielas nonāk citas personas īpašumā vai valdījumā, proti, pārdošana, aizdošana, uzdāvināšana, parāda atdošana, injicēšana citai personai. Arī uzcienāšana ar narkotiskajām vielām atzīstama par to realizēšanu.</w:t>
      </w:r>
    </w:p>
    <w:p w14:paraId="6FE86527" w14:textId="77777777" w:rsidR="00860F64" w:rsidRDefault="00860F64" w:rsidP="00860F64">
      <w:pPr>
        <w:spacing w:line="276" w:lineRule="auto"/>
        <w:jc w:val="both"/>
        <w:rPr>
          <w:b/>
        </w:rPr>
      </w:pPr>
    </w:p>
    <w:p w14:paraId="746977D6" w14:textId="474A1DD0" w:rsidR="00860F64" w:rsidRPr="00860F64" w:rsidRDefault="00507175" w:rsidP="00507175">
      <w:pPr>
        <w:spacing w:line="276" w:lineRule="auto"/>
        <w:jc w:val="center"/>
        <w:rPr>
          <w:b/>
        </w:rPr>
      </w:pPr>
      <w:r w:rsidRPr="00860F64">
        <w:rPr>
          <w:b/>
        </w:rPr>
        <w:t>Latvijas Republikas Senāt</w:t>
      </w:r>
      <w:r w:rsidR="00860F64" w:rsidRPr="00860F64">
        <w:rPr>
          <w:b/>
        </w:rPr>
        <w:t>a</w:t>
      </w:r>
      <w:r w:rsidRPr="00860F64">
        <w:rPr>
          <w:b/>
        </w:rPr>
        <w:t xml:space="preserve"> </w:t>
      </w:r>
    </w:p>
    <w:p w14:paraId="0B4BA632" w14:textId="77777777" w:rsidR="00860F64" w:rsidRPr="00860F64" w:rsidRDefault="00860F64" w:rsidP="00860F64">
      <w:pPr>
        <w:spacing w:line="276" w:lineRule="auto"/>
        <w:jc w:val="center"/>
        <w:outlineLvl w:val="0"/>
        <w:rPr>
          <w:b/>
        </w:rPr>
      </w:pPr>
      <w:r w:rsidRPr="00860F64">
        <w:rPr>
          <w:b/>
        </w:rPr>
        <w:t>Krimināllietu departamenta</w:t>
      </w:r>
    </w:p>
    <w:p w14:paraId="2101004F" w14:textId="70337BF7" w:rsidR="00507175" w:rsidRPr="00860F64" w:rsidRDefault="00860F64" w:rsidP="00860F64">
      <w:pPr>
        <w:spacing w:line="276" w:lineRule="auto"/>
        <w:jc w:val="center"/>
        <w:outlineLvl w:val="0"/>
        <w:rPr>
          <w:b/>
        </w:rPr>
      </w:pPr>
      <w:proofErr w:type="gramStart"/>
      <w:r w:rsidRPr="00860F64">
        <w:rPr>
          <w:b/>
        </w:rPr>
        <w:t>2020.gada</w:t>
      </w:r>
      <w:proofErr w:type="gramEnd"/>
      <w:r w:rsidRPr="00860F64">
        <w:rPr>
          <w:b/>
        </w:rPr>
        <w:t xml:space="preserve"> 29.maija</w:t>
      </w:r>
    </w:p>
    <w:p w14:paraId="529407F7" w14:textId="77777777" w:rsidR="00860F64" w:rsidRPr="00860F64" w:rsidRDefault="00507175" w:rsidP="00507175">
      <w:pPr>
        <w:spacing w:line="276" w:lineRule="auto"/>
        <w:jc w:val="center"/>
        <w:rPr>
          <w:b/>
        </w:rPr>
      </w:pPr>
      <w:r w:rsidRPr="00860F64">
        <w:rPr>
          <w:b/>
        </w:rPr>
        <w:t>LĒMUMS</w:t>
      </w:r>
      <w:r w:rsidR="00860F64" w:rsidRPr="00860F64">
        <w:rPr>
          <w:b/>
        </w:rPr>
        <w:t xml:space="preserve"> </w:t>
      </w:r>
    </w:p>
    <w:p w14:paraId="3E758874" w14:textId="3CBFEBB6" w:rsidR="00507175" w:rsidRPr="00860F64" w:rsidRDefault="00860F64" w:rsidP="00507175">
      <w:pPr>
        <w:spacing w:line="276" w:lineRule="auto"/>
        <w:jc w:val="center"/>
        <w:rPr>
          <w:b/>
        </w:rPr>
      </w:pPr>
      <w:r w:rsidRPr="00860F64">
        <w:rPr>
          <w:b/>
        </w:rPr>
        <w:t>Lieta Nr. 11904013415, SKK-31/2020</w:t>
      </w:r>
    </w:p>
    <w:p w14:paraId="29C26CD3" w14:textId="3219F218" w:rsidR="00860F64" w:rsidRPr="00860F64" w:rsidRDefault="00AD726A" w:rsidP="00507175">
      <w:pPr>
        <w:spacing w:line="276" w:lineRule="auto"/>
        <w:jc w:val="center"/>
        <w:rPr>
          <w:bCs/>
        </w:rPr>
      </w:pPr>
      <w:hyperlink r:id="rId7" w:history="1">
        <w:r w:rsidR="00860F64" w:rsidRPr="00860F64">
          <w:rPr>
            <w:rStyle w:val="Hyperlink"/>
            <w:bCs/>
            <w:shd w:val="clear" w:color="auto" w:fill="FFFFFF"/>
          </w:rPr>
          <w:t>ECLI:LV:AT:2020:0529.11904013415.4.L</w:t>
        </w:r>
      </w:hyperlink>
    </w:p>
    <w:p w14:paraId="3760BFB9" w14:textId="77777777" w:rsidR="00507175" w:rsidRPr="009E6006" w:rsidRDefault="00507175" w:rsidP="00507175">
      <w:pPr>
        <w:spacing w:line="276" w:lineRule="auto"/>
        <w:ind w:firstLine="652"/>
        <w:contextualSpacing/>
        <w:jc w:val="center"/>
      </w:pPr>
    </w:p>
    <w:p w14:paraId="15A7E1D1" w14:textId="31270EE8" w:rsidR="00507175" w:rsidRPr="00A45415" w:rsidRDefault="00507175" w:rsidP="00507175">
      <w:pPr>
        <w:spacing w:line="276" w:lineRule="auto"/>
        <w:ind w:firstLine="652"/>
        <w:contextualSpacing/>
      </w:pPr>
      <w:r>
        <w:t>Tiesa šādā sastāvā</w:t>
      </w:r>
      <w:r w:rsidRPr="007E0DE2">
        <w:t xml:space="preserve">: </w:t>
      </w:r>
      <w:r>
        <w:t>senator</w:t>
      </w:r>
      <w:r w:rsidR="0082274A">
        <w:t>i</w:t>
      </w:r>
      <w:r>
        <w:t xml:space="preserve"> Aija Branta, </w:t>
      </w:r>
      <w:r w:rsidR="00B33793">
        <w:t>Pēteris Opincāns</w:t>
      </w:r>
      <w:r w:rsidR="004C7D74">
        <w:t xml:space="preserve">, </w:t>
      </w:r>
      <w:r w:rsidR="00B33793">
        <w:t>Aivars Uminskis</w:t>
      </w:r>
    </w:p>
    <w:p w14:paraId="648EDEF3" w14:textId="77777777" w:rsidR="00507175" w:rsidRPr="009E6006" w:rsidRDefault="00507175" w:rsidP="00507175">
      <w:pPr>
        <w:tabs>
          <w:tab w:val="left" w:pos="-3120"/>
        </w:tabs>
        <w:suppressAutoHyphens/>
        <w:spacing w:line="276" w:lineRule="auto"/>
        <w:ind w:firstLine="652"/>
        <w:contextualSpacing/>
        <w:jc w:val="both"/>
      </w:pPr>
    </w:p>
    <w:p w14:paraId="580BE9D1" w14:textId="54CAB95A" w:rsidR="00507175" w:rsidRPr="009E6006" w:rsidRDefault="00507175" w:rsidP="00507175">
      <w:pPr>
        <w:tabs>
          <w:tab w:val="left" w:pos="-3120"/>
        </w:tabs>
        <w:suppressAutoHyphens/>
        <w:spacing w:line="276" w:lineRule="auto"/>
        <w:ind w:firstLine="652"/>
        <w:contextualSpacing/>
        <w:jc w:val="both"/>
      </w:pPr>
      <w:r w:rsidRPr="009E6006">
        <w:t xml:space="preserve">izskatīja </w:t>
      </w:r>
      <w:r>
        <w:t>rakstveida</w:t>
      </w:r>
      <w:r w:rsidRPr="009E6006">
        <w:t xml:space="preserve"> procesā krimināllietu sakarā ar </w:t>
      </w:r>
      <w:r>
        <w:rPr>
          <w:color w:val="000000" w:themeColor="text1"/>
        </w:rPr>
        <w:t xml:space="preserve">apsūdzētā </w:t>
      </w:r>
      <w:r w:rsidR="00860F64">
        <w:rPr>
          <w:color w:val="000000" w:themeColor="text1"/>
        </w:rPr>
        <w:t>[pers. A]</w:t>
      </w:r>
      <w:r>
        <w:rPr>
          <w:color w:val="000000" w:themeColor="text1"/>
        </w:rPr>
        <w:t xml:space="preserve"> kasācijas sūdzīb</w:t>
      </w:r>
      <w:r w:rsidR="00B33793">
        <w:rPr>
          <w:color w:val="000000" w:themeColor="text1"/>
        </w:rPr>
        <w:t>u</w:t>
      </w:r>
      <w:r>
        <w:rPr>
          <w:color w:val="000000" w:themeColor="text1"/>
        </w:rPr>
        <w:t xml:space="preserve"> par </w:t>
      </w:r>
      <w:r w:rsidR="00B33793">
        <w:rPr>
          <w:color w:val="000000" w:themeColor="text1"/>
        </w:rPr>
        <w:t>Vidzemes</w:t>
      </w:r>
      <w:r>
        <w:rPr>
          <w:color w:val="000000" w:themeColor="text1"/>
        </w:rPr>
        <w:t xml:space="preserve"> apgabaltiesas </w:t>
      </w:r>
      <w:proofErr w:type="gramStart"/>
      <w:r>
        <w:rPr>
          <w:color w:val="000000" w:themeColor="text1"/>
        </w:rPr>
        <w:t>2019.gada</w:t>
      </w:r>
      <w:proofErr w:type="gramEnd"/>
      <w:r>
        <w:rPr>
          <w:color w:val="000000" w:themeColor="text1"/>
        </w:rPr>
        <w:t xml:space="preserve"> </w:t>
      </w:r>
      <w:r w:rsidR="00B33793">
        <w:rPr>
          <w:color w:val="000000" w:themeColor="text1"/>
        </w:rPr>
        <w:t>9</w:t>
      </w:r>
      <w:r>
        <w:rPr>
          <w:color w:val="000000" w:themeColor="text1"/>
        </w:rPr>
        <w:t>.m</w:t>
      </w:r>
      <w:r w:rsidR="009A4E8E">
        <w:rPr>
          <w:color w:val="000000" w:themeColor="text1"/>
        </w:rPr>
        <w:t>a</w:t>
      </w:r>
      <w:r w:rsidR="00B33793">
        <w:rPr>
          <w:color w:val="000000" w:themeColor="text1"/>
        </w:rPr>
        <w:t>ij</w:t>
      </w:r>
      <w:r>
        <w:rPr>
          <w:color w:val="000000" w:themeColor="text1"/>
        </w:rPr>
        <w:t>a spriedumu</w:t>
      </w:r>
      <w:r>
        <w:t>.</w:t>
      </w:r>
    </w:p>
    <w:p w14:paraId="5C15D316" w14:textId="77777777" w:rsidR="00507175" w:rsidRPr="009E6006" w:rsidRDefault="00507175" w:rsidP="00507175">
      <w:pPr>
        <w:suppressAutoHyphens/>
        <w:spacing w:line="276" w:lineRule="auto"/>
        <w:ind w:firstLine="652"/>
        <w:contextualSpacing/>
      </w:pPr>
    </w:p>
    <w:p w14:paraId="4C4FDCDE" w14:textId="77777777" w:rsidR="00507175" w:rsidRPr="009E6006" w:rsidRDefault="00507175" w:rsidP="00507175">
      <w:pPr>
        <w:spacing w:line="276" w:lineRule="auto"/>
        <w:ind w:firstLine="652"/>
        <w:contextualSpacing/>
        <w:jc w:val="center"/>
        <w:rPr>
          <w:b/>
        </w:rPr>
      </w:pPr>
      <w:r w:rsidRPr="009E6006">
        <w:rPr>
          <w:b/>
        </w:rPr>
        <w:t>Aprakstošā daļa</w:t>
      </w:r>
    </w:p>
    <w:p w14:paraId="2ED8FD60" w14:textId="77777777" w:rsidR="00507175" w:rsidRPr="009E6006" w:rsidRDefault="00507175" w:rsidP="00507175">
      <w:pPr>
        <w:suppressAutoHyphens/>
        <w:spacing w:line="276" w:lineRule="auto"/>
        <w:ind w:firstLine="652"/>
        <w:contextualSpacing/>
        <w:rPr>
          <w:b/>
        </w:rPr>
      </w:pPr>
    </w:p>
    <w:p w14:paraId="557D25B7" w14:textId="2B69E727" w:rsidR="00DA23C8" w:rsidRDefault="00507175" w:rsidP="00507175">
      <w:pPr>
        <w:spacing w:line="276" w:lineRule="auto"/>
        <w:ind w:firstLine="652"/>
        <w:contextualSpacing/>
        <w:jc w:val="both"/>
      </w:pPr>
      <w:r>
        <w:t xml:space="preserve">[1] Ar </w:t>
      </w:r>
      <w:r w:rsidR="00B33793">
        <w:t>Vidzemes</w:t>
      </w:r>
      <w:r w:rsidR="00DA23C8">
        <w:t xml:space="preserve"> rajona tiesas </w:t>
      </w:r>
      <w:proofErr w:type="gramStart"/>
      <w:r w:rsidR="00DA23C8">
        <w:t>2018.gada</w:t>
      </w:r>
      <w:proofErr w:type="gramEnd"/>
      <w:r w:rsidR="00DA23C8">
        <w:t xml:space="preserve"> </w:t>
      </w:r>
      <w:r w:rsidR="00B33793">
        <w:t>20</w:t>
      </w:r>
      <w:r w:rsidR="00DA23C8">
        <w:t>.aprīļa spriedumu</w:t>
      </w:r>
    </w:p>
    <w:p w14:paraId="3D1CAF27" w14:textId="012DC6D0" w:rsidR="00DA23C8" w:rsidRDefault="00D53C02" w:rsidP="00507175">
      <w:pPr>
        <w:spacing w:line="276" w:lineRule="auto"/>
        <w:ind w:firstLine="652"/>
        <w:contextualSpacing/>
        <w:jc w:val="both"/>
      </w:pPr>
      <w:r>
        <w:t xml:space="preserve">[1.1] </w:t>
      </w:r>
      <w:r w:rsidR="00860F64">
        <w:t>[pers. A]</w:t>
      </w:r>
      <w:r w:rsidR="00DA23C8">
        <w:t xml:space="preserve">, personas kods </w:t>
      </w:r>
      <w:r w:rsidR="00860F64">
        <w:t>[..]</w:t>
      </w:r>
      <w:r w:rsidR="00DA23C8">
        <w:t xml:space="preserve">, </w:t>
      </w:r>
    </w:p>
    <w:p w14:paraId="10784490" w14:textId="23933321" w:rsidR="00DA23C8" w:rsidRDefault="00DA23C8" w:rsidP="00507175">
      <w:pPr>
        <w:spacing w:line="276" w:lineRule="auto"/>
        <w:ind w:firstLine="652"/>
        <w:contextualSpacing/>
        <w:jc w:val="both"/>
      </w:pPr>
      <w:r>
        <w:t xml:space="preserve">atzīts par vainīgu Krimināllikuma </w:t>
      </w:r>
      <w:proofErr w:type="gramStart"/>
      <w:r w:rsidR="00B33793">
        <w:t>256</w:t>
      </w:r>
      <w:r>
        <w:t>.panta</w:t>
      </w:r>
      <w:proofErr w:type="gramEnd"/>
      <w:r>
        <w:t xml:space="preserve"> </w:t>
      </w:r>
      <w:r w:rsidR="00B33793">
        <w:t>otrajā daļā</w:t>
      </w:r>
      <w:r>
        <w:t xml:space="preserve"> paredzētajā noziedzīgajā nodarījumā un sodīts</w:t>
      </w:r>
      <w:r w:rsidR="00963BA3">
        <w:t xml:space="preserve"> ar</w:t>
      </w:r>
      <w:r>
        <w:t xml:space="preserve"> brīvības atņemšanu uz 2 gadiem;</w:t>
      </w:r>
    </w:p>
    <w:p w14:paraId="70EAF02C" w14:textId="5430A99F" w:rsidR="00DA23C8" w:rsidRDefault="00DA23C8" w:rsidP="00507175">
      <w:pPr>
        <w:spacing w:line="276" w:lineRule="auto"/>
        <w:ind w:firstLine="652"/>
        <w:contextualSpacing/>
        <w:jc w:val="both"/>
      </w:pPr>
      <w:r>
        <w:t xml:space="preserve">atzīts par vainīgu </w:t>
      </w:r>
      <w:r w:rsidR="0022268F">
        <w:t xml:space="preserve">Krimināllikuma </w:t>
      </w:r>
      <w:r w:rsidR="00B33793">
        <w:t>253</w:t>
      </w:r>
      <w:r>
        <w:t>.</w:t>
      </w:r>
      <w:proofErr w:type="gramStart"/>
      <w:r w:rsidR="009A4E8E">
        <w:rPr>
          <w:vertAlign w:val="superscript"/>
        </w:rPr>
        <w:t>1</w:t>
      </w:r>
      <w:r>
        <w:t>panta</w:t>
      </w:r>
      <w:proofErr w:type="gramEnd"/>
      <w:r>
        <w:t xml:space="preserve"> </w:t>
      </w:r>
      <w:r w:rsidR="00B33793">
        <w:t>treš</w:t>
      </w:r>
      <w:r>
        <w:t xml:space="preserve">ajā daļā paredzētajā noziedzīgajā nodarījumā un sodīts ar brīvības atņemšanu uz </w:t>
      </w:r>
      <w:r w:rsidR="00B33793">
        <w:t>5</w:t>
      </w:r>
      <w:r>
        <w:t xml:space="preserve"> gadiem</w:t>
      </w:r>
      <w:r w:rsidR="00FB0FF1">
        <w:t>, konfiscējot mantu</w:t>
      </w:r>
      <w:r w:rsidR="009A4E8E">
        <w:t>,</w:t>
      </w:r>
      <w:r w:rsidR="00963BA3">
        <w:t xml:space="preserve"> un</w:t>
      </w:r>
      <w:r>
        <w:t xml:space="preserve"> probācijas uzraudzību uz </w:t>
      </w:r>
      <w:r w:rsidR="00B33793">
        <w:t>1</w:t>
      </w:r>
      <w:r>
        <w:t xml:space="preserve"> gad</w:t>
      </w:r>
      <w:r w:rsidR="00B33793">
        <w:t>u</w:t>
      </w:r>
      <w:r>
        <w:t>;</w:t>
      </w:r>
    </w:p>
    <w:p w14:paraId="74FA1457" w14:textId="091AE446" w:rsidR="00B33793" w:rsidRDefault="00B33793" w:rsidP="00B33793">
      <w:pPr>
        <w:spacing w:line="276" w:lineRule="auto"/>
        <w:ind w:firstLine="652"/>
        <w:contextualSpacing/>
        <w:jc w:val="both"/>
      </w:pPr>
      <w:r>
        <w:t>atzīts par vainīgu Krimināllikuma 253.</w:t>
      </w:r>
      <w:proofErr w:type="gramStart"/>
      <w:r w:rsidR="00C606CB">
        <w:rPr>
          <w:vertAlign w:val="superscript"/>
        </w:rPr>
        <w:t>1</w:t>
      </w:r>
      <w:r>
        <w:t>panta</w:t>
      </w:r>
      <w:proofErr w:type="gramEnd"/>
      <w:r>
        <w:t xml:space="preserve"> pirmajā daļā paredzētajā noziedzīgajā nodarījumā un sodīts ar brīvības atņemšanu uz </w:t>
      </w:r>
      <w:r w:rsidR="00FB0FF1">
        <w:t>1 gadu, konfiscējot mantu</w:t>
      </w:r>
      <w:r w:rsidR="002861B3">
        <w:t>,</w:t>
      </w:r>
      <w:r>
        <w:t xml:space="preserve"> un </w:t>
      </w:r>
      <w:r w:rsidR="002861B3">
        <w:t>probācijas</w:t>
      </w:r>
      <w:r>
        <w:t xml:space="preserve"> uzraudzību uz 1 gadu</w:t>
      </w:r>
      <w:r w:rsidR="00B10550">
        <w:t>.</w:t>
      </w:r>
    </w:p>
    <w:p w14:paraId="41014A4A" w14:textId="2334C80C" w:rsidR="00FB0FF1" w:rsidRDefault="002861B3" w:rsidP="00B33793">
      <w:pPr>
        <w:spacing w:line="276" w:lineRule="auto"/>
        <w:ind w:firstLine="652"/>
        <w:contextualSpacing/>
        <w:jc w:val="both"/>
      </w:pPr>
      <w:r>
        <w:t>a</w:t>
      </w:r>
      <w:r w:rsidR="00FB0FF1">
        <w:t xml:space="preserve">tzīts par vainīgu Krimināllikuma </w:t>
      </w:r>
      <w:proofErr w:type="gramStart"/>
      <w:r w:rsidR="00FB0FF1">
        <w:t>253.panta</w:t>
      </w:r>
      <w:proofErr w:type="gramEnd"/>
      <w:r w:rsidR="00FB0FF1">
        <w:t xml:space="preserve"> pirmajā daļā paredzētajā noziedzīgajā nodarījumā un sodīts ar brīvības atņemšanu uz 4 mēnešiem un probācijas uzraudzību uz 1 gadu. </w:t>
      </w:r>
    </w:p>
    <w:p w14:paraId="1FC646FE" w14:textId="15526007" w:rsidR="00605B7D" w:rsidRDefault="00507175" w:rsidP="00507175">
      <w:pPr>
        <w:spacing w:line="276" w:lineRule="auto"/>
        <w:ind w:firstLine="652"/>
        <w:contextualSpacing/>
        <w:jc w:val="both"/>
      </w:pPr>
      <w:r>
        <w:t xml:space="preserve">Saskaņā ar Krimināllikuma </w:t>
      </w:r>
      <w:proofErr w:type="gramStart"/>
      <w:r>
        <w:t>50.panta</w:t>
      </w:r>
      <w:proofErr w:type="gramEnd"/>
      <w:r>
        <w:t xml:space="preserve"> pirmo</w:t>
      </w:r>
      <w:r w:rsidR="00FB0FF1">
        <w:t>,</w:t>
      </w:r>
      <w:r w:rsidR="00DA23C8">
        <w:t xml:space="preserve"> trešo</w:t>
      </w:r>
      <w:r w:rsidR="00FB0FF1">
        <w:t xml:space="preserve"> un ceturto</w:t>
      </w:r>
      <w:r>
        <w:t xml:space="preserve"> daļu </w:t>
      </w:r>
      <w:r w:rsidR="00C606CB">
        <w:t xml:space="preserve">galīgais </w:t>
      </w:r>
      <w:r w:rsidR="00DA23C8">
        <w:t>sod</w:t>
      </w:r>
      <w:r w:rsidR="00963BA3">
        <w:t>s</w:t>
      </w:r>
      <w:r w:rsidR="00DA23C8">
        <w:t xml:space="preserve"> </w:t>
      </w:r>
      <w:r w:rsidR="00860F64">
        <w:t>[pers. A]</w:t>
      </w:r>
      <w:r w:rsidR="00DA23C8">
        <w:t xml:space="preserve"> noteikts brīvības atņemšana uz </w:t>
      </w:r>
      <w:r w:rsidR="00B33793">
        <w:t>5 gadiem 2 mēnešiem</w:t>
      </w:r>
      <w:r w:rsidR="00FB0FF1">
        <w:t>, konfiscējot mantu</w:t>
      </w:r>
      <w:r w:rsidR="002861B3">
        <w:t>,</w:t>
      </w:r>
      <w:r w:rsidR="00B33793">
        <w:t xml:space="preserve"> </w:t>
      </w:r>
      <w:r w:rsidR="00CA449F">
        <w:t>un</w:t>
      </w:r>
      <w:r w:rsidR="00B33793">
        <w:t xml:space="preserve"> probācijas uzraudzīb</w:t>
      </w:r>
      <w:r w:rsidR="00FB0FF1">
        <w:t>a</w:t>
      </w:r>
      <w:r w:rsidR="00B33793">
        <w:t xml:space="preserve"> uz 1 gadu 6 mēnešiem.</w:t>
      </w:r>
      <w:r w:rsidR="00DA23C8">
        <w:t xml:space="preserve"> </w:t>
      </w:r>
    </w:p>
    <w:p w14:paraId="47836AE7" w14:textId="77777777" w:rsidR="00507175" w:rsidRDefault="00507175" w:rsidP="00507175">
      <w:pPr>
        <w:spacing w:line="276" w:lineRule="auto"/>
        <w:ind w:firstLine="652"/>
        <w:contextualSpacing/>
        <w:jc w:val="both"/>
      </w:pPr>
    </w:p>
    <w:p w14:paraId="4DAD85FA" w14:textId="4EE9EFBA" w:rsidR="00FB0FF1" w:rsidRDefault="00507175" w:rsidP="00A468D0">
      <w:pPr>
        <w:spacing w:line="276" w:lineRule="auto"/>
        <w:ind w:firstLine="652"/>
        <w:contextualSpacing/>
        <w:jc w:val="both"/>
      </w:pPr>
      <w:r>
        <w:t xml:space="preserve">[2] Ar </w:t>
      </w:r>
      <w:r w:rsidR="00B10550">
        <w:t>Vidzemes</w:t>
      </w:r>
      <w:r w:rsidR="00D53C02">
        <w:t xml:space="preserve"> rajona</w:t>
      </w:r>
      <w:r>
        <w:t xml:space="preserve"> tiesas </w:t>
      </w:r>
      <w:proofErr w:type="gramStart"/>
      <w:r w:rsidR="00D53C02">
        <w:t>2018.gada</w:t>
      </w:r>
      <w:proofErr w:type="gramEnd"/>
      <w:r w:rsidR="00D53C02">
        <w:t xml:space="preserve"> </w:t>
      </w:r>
      <w:r w:rsidR="00CA449F">
        <w:t>20</w:t>
      </w:r>
      <w:r w:rsidR="00D53C02">
        <w:t>.aprīļa</w:t>
      </w:r>
      <w:r>
        <w:t xml:space="preserve"> spriedumu </w:t>
      </w:r>
      <w:r w:rsidR="00860F64">
        <w:t>[pers. A]</w:t>
      </w:r>
      <w:r>
        <w:t xml:space="preserve"> atzīts par vainīgu </w:t>
      </w:r>
      <w:r w:rsidR="00D53C02">
        <w:t xml:space="preserve">Krimināllikuma </w:t>
      </w:r>
      <w:r w:rsidR="00CA449F">
        <w:t>256</w:t>
      </w:r>
      <w:r w:rsidR="00D53C02">
        <w:t>.panta</w:t>
      </w:r>
      <w:r w:rsidR="00CA449F">
        <w:t xml:space="preserve"> otrajā daļā paredzētajā noziedzīgajā nodarījumā par to, ka</w:t>
      </w:r>
      <w:r w:rsidR="00FB0FF1">
        <w:t xml:space="preserve"> </w:t>
      </w:r>
      <w:r w:rsidR="0080052F">
        <w:t xml:space="preserve">viņš </w:t>
      </w:r>
      <w:r w:rsidR="00FB0FF1">
        <w:t>neatļauti sēja un audzēja</w:t>
      </w:r>
      <w:r w:rsidR="00CA449F">
        <w:t xml:space="preserve"> </w:t>
      </w:r>
      <w:r w:rsidR="00FB0FF1">
        <w:t>narkotiskās vielas saturošus augus lielās platībās.</w:t>
      </w:r>
    </w:p>
    <w:p w14:paraId="719B824D" w14:textId="4424087F" w:rsidR="00FB0FF1" w:rsidRDefault="00FB0FF1" w:rsidP="00A468D0">
      <w:pPr>
        <w:spacing w:line="276" w:lineRule="auto"/>
        <w:ind w:firstLine="652"/>
        <w:contextualSpacing/>
        <w:jc w:val="both"/>
      </w:pPr>
      <w:r>
        <w:t xml:space="preserve">Ar minēto spriedumu </w:t>
      </w:r>
      <w:r w:rsidR="00860F64">
        <w:t>[pers. A]</w:t>
      </w:r>
      <w:r>
        <w:t xml:space="preserve"> atzīts par vainīgu Krimināllikuma </w:t>
      </w:r>
      <w:r w:rsidRPr="00FD66FB">
        <w:t>253</w:t>
      </w:r>
      <w:r w:rsidR="00FD66FB">
        <w:t>.</w:t>
      </w:r>
      <w:proofErr w:type="gramStart"/>
      <w:r w:rsidR="002861B3">
        <w:rPr>
          <w:vertAlign w:val="superscript"/>
        </w:rPr>
        <w:t>1</w:t>
      </w:r>
      <w:r w:rsidRPr="00FD66FB">
        <w:t>panta</w:t>
      </w:r>
      <w:proofErr w:type="gramEnd"/>
      <w:r>
        <w:t xml:space="preserve"> trešajā daļā paredzētajā noziedzīgajā nodarījumā par to, ka</w:t>
      </w:r>
      <w:r w:rsidR="0080052F">
        <w:t xml:space="preserve"> viņš</w:t>
      </w:r>
      <w:r>
        <w:t xml:space="preserve"> </w:t>
      </w:r>
      <w:r w:rsidR="00FD66FB">
        <w:t>realizācijas nolūkā</w:t>
      </w:r>
      <w:r>
        <w:t xml:space="preserve"> izgatavoja un glabāja narkotiskās vielas lielā apmērā.</w:t>
      </w:r>
    </w:p>
    <w:p w14:paraId="5AEFDD55" w14:textId="441634A8" w:rsidR="00FD66FB" w:rsidRDefault="00FD66FB" w:rsidP="00A468D0">
      <w:pPr>
        <w:spacing w:line="276" w:lineRule="auto"/>
        <w:ind w:firstLine="652"/>
        <w:contextualSpacing/>
        <w:jc w:val="both"/>
      </w:pPr>
      <w:r>
        <w:lastRenderedPageBreak/>
        <w:t>A</w:t>
      </w:r>
      <w:r w:rsidR="00FB0FF1">
        <w:t xml:space="preserve">r minēto spriedumu </w:t>
      </w:r>
      <w:r w:rsidR="00860F64">
        <w:t>[pers. A]</w:t>
      </w:r>
      <w:r w:rsidR="00FB0FF1">
        <w:t xml:space="preserve"> atzīts par vainīgu Krimināllikuma 253.</w:t>
      </w:r>
      <w:proofErr w:type="gramStart"/>
      <w:r w:rsidR="002861B3">
        <w:rPr>
          <w:vertAlign w:val="superscript"/>
        </w:rPr>
        <w:t>1</w:t>
      </w:r>
      <w:r w:rsidR="00FB0FF1">
        <w:t>panta</w:t>
      </w:r>
      <w:proofErr w:type="gramEnd"/>
      <w:r w:rsidR="00FB0FF1">
        <w:t xml:space="preserve"> pirmajā daļā paredzētajā noziedzīgajā nodarījumā par to, ka</w:t>
      </w:r>
      <w:r>
        <w:t xml:space="preserve"> </w:t>
      </w:r>
      <w:r w:rsidR="0080052F">
        <w:t xml:space="preserve">viņš </w:t>
      </w:r>
      <w:r>
        <w:t>realizēja narkotiskās vielas.</w:t>
      </w:r>
    </w:p>
    <w:p w14:paraId="6BBDF2C7" w14:textId="4F814134" w:rsidR="00FB0FF1" w:rsidRDefault="00FB0FF1" w:rsidP="00A468D0">
      <w:pPr>
        <w:spacing w:line="276" w:lineRule="auto"/>
        <w:ind w:firstLine="652"/>
        <w:contextualSpacing/>
        <w:jc w:val="both"/>
      </w:pPr>
      <w:r>
        <w:t xml:space="preserve"> </w:t>
      </w:r>
      <w:r w:rsidR="00FD66FB">
        <w:t xml:space="preserve">Turklāt ar minēto spriedumu </w:t>
      </w:r>
      <w:r w:rsidR="00860F64">
        <w:t>[pers. A]</w:t>
      </w:r>
      <w:r w:rsidR="00FD66FB">
        <w:t xml:space="preserve"> atzīts par vainīgu Krimināllikuma </w:t>
      </w:r>
      <w:proofErr w:type="gramStart"/>
      <w:r w:rsidR="00FD66FB">
        <w:t>253.panta</w:t>
      </w:r>
      <w:proofErr w:type="gramEnd"/>
      <w:r w:rsidR="00FD66FB">
        <w:t xml:space="preserve"> pirmajā daļā paredzētajā noziedzīgajā nodarījumā par to, ka </w:t>
      </w:r>
      <w:r w:rsidR="0080052F">
        <w:t xml:space="preserve">viņš </w:t>
      </w:r>
      <w:r w:rsidR="00FD66FB">
        <w:t>iegādājās, pārvadāja un glabāja psihotropās vielas bez nolūka tās realizēt.</w:t>
      </w:r>
    </w:p>
    <w:p w14:paraId="440BDF5E" w14:textId="77777777" w:rsidR="00FB0FF1" w:rsidRDefault="00FB0FF1" w:rsidP="00A468D0">
      <w:pPr>
        <w:spacing w:line="276" w:lineRule="auto"/>
        <w:ind w:firstLine="652"/>
        <w:contextualSpacing/>
        <w:jc w:val="both"/>
      </w:pPr>
    </w:p>
    <w:p w14:paraId="521B1A3E" w14:textId="1EC7B1A6" w:rsidR="00B10550" w:rsidRDefault="00FD66FB" w:rsidP="00963BA3">
      <w:pPr>
        <w:spacing w:line="276" w:lineRule="auto"/>
        <w:ind w:firstLine="652"/>
        <w:contextualSpacing/>
        <w:jc w:val="both"/>
      </w:pPr>
      <w:r>
        <w:t>[</w:t>
      </w:r>
      <w:r w:rsidR="00507175">
        <w:t xml:space="preserve">3] Ar </w:t>
      </w:r>
      <w:r w:rsidR="00B10550">
        <w:t>Vidzemes</w:t>
      </w:r>
      <w:r w:rsidR="00507175">
        <w:t xml:space="preserve"> apgabaltiesas </w:t>
      </w:r>
      <w:proofErr w:type="gramStart"/>
      <w:r w:rsidR="00A468D0">
        <w:t>2019.gada</w:t>
      </w:r>
      <w:proofErr w:type="gramEnd"/>
      <w:r w:rsidR="00A468D0">
        <w:t xml:space="preserve"> </w:t>
      </w:r>
      <w:r w:rsidR="00B10550">
        <w:t>9</w:t>
      </w:r>
      <w:r w:rsidR="00A468D0">
        <w:t>.ma</w:t>
      </w:r>
      <w:r w:rsidR="00B10550">
        <w:t>ij</w:t>
      </w:r>
      <w:r w:rsidR="00A468D0">
        <w:t>a</w:t>
      </w:r>
      <w:r w:rsidR="00507175">
        <w:t xml:space="preserve"> spriedumu, iz</w:t>
      </w:r>
      <w:r w:rsidR="00B10550">
        <w:t>tiesājot</w:t>
      </w:r>
      <w:r w:rsidR="00507175">
        <w:t xml:space="preserve"> </w:t>
      </w:r>
      <w:r w:rsidR="00B10550">
        <w:t>krimināl</w:t>
      </w:r>
      <w:r w:rsidR="00507175">
        <w:t xml:space="preserve">lietu sakarā ar </w:t>
      </w:r>
      <w:r w:rsidR="00963BA3">
        <w:t xml:space="preserve">apsūdzētā </w:t>
      </w:r>
      <w:r w:rsidR="00860F64">
        <w:t>[pers. A]</w:t>
      </w:r>
      <w:r w:rsidR="00B10550">
        <w:t xml:space="preserve"> </w:t>
      </w:r>
      <w:r w:rsidR="00963BA3">
        <w:t>apelācijas sūdzīb</w:t>
      </w:r>
      <w:r w:rsidR="00B10550">
        <w:t>u, Vidzemes</w:t>
      </w:r>
      <w:r w:rsidR="00963BA3">
        <w:t xml:space="preserve"> rajona tiesas 2018.gada </w:t>
      </w:r>
      <w:r w:rsidR="00B10550">
        <w:t>20</w:t>
      </w:r>
      <w:r w:rsidR="00963BA3">
        <w:t>.aprīļa spriedums atcelts daļā par</w:t>
      </w:r>
      <w:r w:rsidR="00B10550">
        <w:t xml:space="preserve"> </w:t>
      </w:r>
      <w:r w:rsidR="00860F64">
        <w:t>[pers. A]</w:t>
      </w:r>
      <w:r w:rsidR="00B10550">
        <w:t xml:space="preserve"> atzīšanu par vainīgu un sodīšanu pēc Krimināllikuma 256.panta otrās daļas, 253.</w:t>
      </w:r>
      <w:r w:rsidR="00B10550">
        <w:rPr>
          <w:vertAlign w:val="superscript"/>
        </w:rPr>
        <w:t>1</w:t>
      </w:r>
      <w:r w:rsidR="00B10550">
        <w:t>panta trešās daļas, 253.</w:t>
      </w:r>
      <w:r w:rsidR="00B10550">
        <w:rPr>
          <w:vertAlign w:val="superscript"/>
        </w:rPr>
        <w:t>1</w:t>
      </w:r>
      <w:r w:rsidR="00B10550">
        <w:t xml:space="preserve">panta pirmās daļas un daļā par </w:t>
      </w:r>
      <w:r w:rsidR="00860F64">
        <w:t>[pers. A]</w:t>
      </w:r>
      <w:r w:rsidR="00B10550">
        <w:t xml:space="preserve"> noteikto galīgo sodu saskaņā ar Krimināllikuma 50.panta pirmo</w:t>
      </w:r>
      <w:r w:rsidR="005B6F7E">
        <w:t>, trešo un ceturto</w:t>
      </w:r>
      <w:r w:rsidR="00B10550">
        <w:t xml:space="preserve"> daļu.</w:t>
      </w:r>
    </w:p>
    <w:p w14:paraId="24250543" w14:textId="0A3FD54C" w:rsidR="00A719F6" w:rsidRDefault="00860F64" w:rsidP="00963BA3">
      <w:pPr>
        <w:spacing w:line="276" w:lineRule="auto"/>
        <w:ind w:firstLine="652"/>
        <w:contextualSpacing/>
        <w:jc w:val="both"/>
      </w:pPr>
      <w:r>
        <w:t>[Pers. A]</w:t>
      </w:r>
      <w:r w:rsidR="00A719F6">
        <w:t xml:space="preserve"> atzīts par vainīgu:</w:t>
      </w:r>
    </w:p>
    <w:p w14:paraId="4CBB5280" w14:textId="77777777" w:rsidR="00A719F6" w:rsidRDefault="00A719F6" w:rsidP="00963BA3">
      <w:pPr>
        <w:spacing w:line="276" w:lineRule="auto"/>
        <w:ind w:firstLine="652"/>
        <w:contextualSpacing/>
        <w:jc w:val="both"/>
      </w:pPr>
      <w:r>
        <w:t xml:space="preserve">Krimināllikuma </w:t>
      </w:r>
      <w:proofErr w:type="gramStart"/>
      <w:r>
        <w:t>256.panta</w:t>
      </w:r>
      <w:proofErr w:type="gramEnd"/>
      <w:r>
        <w:t xml:space="preserve"> otrajā daļā paredzētajā noziedzīgajā nodarījumā un sodīts ar brīvības atņemšanu uz 2 gadiem;</w:t>
      </w:r>
    </w:p>
    <w:p w14:paraId="2DE78B18" w14:textId="1586E357" w:rsidR="00A719F6" w:rsidRDefault="00A719F6" w:rsidP="00963BA3">
      <w:pPr>
        <w:spacing w:line="276" w:lineRule="auto"/>
        <w:ind w:firstLine="652"/>
        <w:contextualSpacing/>
        <w:jc w:val="both"/>
      </w:pPr>
      <w:r>
        <w:t>Krimināllikuma 253.</w:t>
      </w:r>
      <w:proofErr w:type="gramStart"/>
      <w:r>
        <w:rPr>
          <w:vertAlign w:val="superscript"/>
        </w:rPr>
        <w:t>1</w:t>
      </w:r>
      <w:r>
        <w:t>panta</w:t>
      </w:r>
      <w:proofErr w:type="gramEnd"/>
      <w:r>
        <w:t xml:space="preserve"> trešajā daļā paredzētajā noziedzīgajā nodarījumā un sodīts ar brīvības atņemšanu uz 5 gadiem, konfiscējot mantu</w:t>
      </w:r>
      <w:r w:rsidR="00C606CB">
        <w:t>,</w:t>
      </w:r>
      <w:r>
        <w:t xml:space="preserve"> un probācijas uzraudzību uz 1 gadu;</w:t>
      </w:r>
    </w:p>
    <w:p w14:paraId="3697CFB0" w14:textId="673F6110" w:rsidR="00A719F6" w:rsidRDefault="002861B3" w:rsidP="00963BA3">
      <w:pPr>
        <w:spacing w:line="276" w:lineRule="auto"/>
        <w:ind w:firstLine="652"/>
        <w:contextualSpacing/>
        <w:jc w:val="both"/>
      </w:pPr>
      <w:r>
        <w:t>A</w:t>
      </w:r>
      <w:r w:rsidR="00A719F6">
        <w:t>psūdzībā pēc Krimināllikuma 25</w:t>
      </w:r>
      <w:r w:rsidR="00FD66FB">
        <w:t>3</w:t>
      </w:r>
      <w:r w:rsidR="00A719F6">
        <w:t>.</w:t>
      </w:r>
      <w:proofErr w:type="gramStart"/>
      <w:r>
        <w:rPr>
          <w:vertAlign w:val="superscript"/>
        </w:rPr>
        <w:t>1</w:t>
      </w:r>
      <w:r w:rsidR="00A719F6">
        <w:t>panta</w:t>
      </w:r>
      <w:proofErr w:type="gramEnd"/>
      <w:r w:rsidR="00A719F6">
        <w:t xml:space="preserve"> pirmās daļas </w:t>
      </w:r>
      <w:r w:rsidR="00D3558B">
        <w:t>[pers. A]</w:t>
      </w:r>
      <w:r w:rsidR="00A719F6">
        <w:t xml:space="preserve"> atzīts par nevainīgu un attaisnots.</w:t>
      </w:r>
    </w:p>
    <w:p w14:paraId="51E4B685" w14:textId="3DA1AACD" w:rsidR="00A719F6" w:rsidRDefault="00A719F6" w:rsidP="00963BA3">
      <w:pPr>
        <w:spacing w:line="276" w:lineRule="auto"/>
        <w:ind w:firstLine="652"/>
        <w:contextualSpacing/>
        <w:jc w:val="both"/>
      </w:pPr>
      <w:r>
        <w:t xml:space="preserve">Saskaņā ar Krimināllikuma </w:t>
      </w:r>
      <w:proofErr w:type="gramStart"/>
      <w:r>
        <w:t>50.panta</w:t>
      </w:r>
      <w:proofErr w:type="gramEnd"/>
      <w:r>
        <w:t xml:space="preserve"> pirmo un trešo daļu galīgais sods</w:t>
      </w:r>
      <w:r w:rsidR="00C606CB">
        <w:t xml:space="preserve"> </w:t>
      </w:r>
      <w:r w:rsidR="00D3558B">
        <w:t>[pers. A]</w:t>
      </w:r>
      <w:r>
        <w:t xml:space="preserve"> noteikts brīvības atņemšana uz 5 gadiem 1 mēnesi, konfiscējot mantu</w:t>
      </w:r>
      <w:r w:rsidR="002861B3">
        <w:t>,</w:t>
      </w:r>
      <w:r>
        <w:t xml:space="preserve"> un probācijas uzraudzība uz 1 gadu 3 mēnešiem.</w:t>
      </w:r>
    </w:p>
    <w:p w14:paraId="33F22F08" w14:textId="1D6F315B" w:rsidR="00A719F6" w:rsidRDefault="00A719F6" w:rsidP="00A719F6">
      <w:pPr>
        <w:spacing w:line="276" w:lineRule="auto"/>
        <w:ind w:firstLine="652"/>
        <w:contextualSpacing/>
        <w:jc w:val="both"/>
      </w:pPr>
      <w:r>
        <w:t>Pārējā daļā pirmās instances tiesas spriedums atstāts negrozīts.</w:t>
      </w:r>
    </w:p>
    <w:p w14:paraId="4DC53A46" w14:textId="22597931" w:rsidR="00FD66FB" w:rsidRDefault="00FD66FB" w:rsidP="00A719F6">
      <w:pPr>
        <w:spacing w:line="276" w:lineRule="auto"/>
        <w:ind w:firstLine="652"/>
        <w:contextualSpacing/>
        <w:jc w:val="both"/>
      </w:pPr>
    </w:p>
    <w:p w14:paraId="161937BE" w14:textId="5B5EC981" w:rsidR="00FD66FB" w:rsidRDefault="00FD66FB" w:rsidP="00A719F6">
      <w:pPr>
        <w:spacing w:line="276" w:lineRule="auto"/>
        <w:ind w:firstLine="652"/>
        <w:contextualSpacing/>
        <w:jc w:val="both"/>
      </w:pPr>
      <w:r>
        <w:t xml:space="preserve">[4] Ar Vidzemes apgabaltiesas </w:t>
      </w:r>
      <w:proofErr w:type="gramStart"/>
      <w:r>
        <w:t>2019.gada</w:t>
      </w:r>
      <w:proofErr w:type="gramEnd"/>
      <w:r>
        <w:t xml:space="preserve"> 9.maija spriedumu </w:t>
      </w:r>
      <w:r w:rsidR="00D3558B">
        <w:t>[pers. A]</w:t>
      </w:r>
      <w:r>
        <w:t xml:space="preserve"> atzīts par vainīgu Krimināllikuma 256.panta otrajā daļā paredzētajā noziedzīgajā nodarījumā par to, ka</w:t>
      </w:r>
      <w:r w:rsidRPr="00FD66FB">
        <w:t xml:space="preserve"> </w:t>
      </w:r>
      <w:r w:rsidR="00B74794">
        <w:t xml:space="preserve">viņš </w:t>
      </w:r>
      <w:r>
        <w:t>neatļauti sēja un audzēja narkotiskās vielas saturošus augus lielās platībās.</w:t>
      </w:r>
    </w:p>
    <w:p w14:paraId="5D8B2238" w14:textId="32F53391" w:rsidR="00FD66FB" w:rsidRDefault="00FD66FB" w:rsidP="00A719F6">
      <w:pPr>
        <w:spacing w:line="276" w:lineRule="auto"/>
        <w:ind w:firstLine="652"/>
        <w:contextualSpacing/>
        <w:jc w:val="both"/>
      </w:pPr>
      <w:r>
        <w:t xml:space="preserve">Ar minēto spriedumu </w:t>
      </w:r>
      <w:r w:rsidR="00D3558B">
        <w:t>[pers. A]</w:t>
      </w:r>
      <w:r>
        <w:t xml:space="preserve"> atzīts par vainīgu Krimināllikuma 253.</w:t>
      </w:r>
      <w:proofErr w:type="gramStart"/>
      <w:r w:rsidR="002861B3">
        <w:rPr>
          <w:vertAlign w:val="superscript"/>
        </w:rPr>
        <w:t>1</w:t>
      </w:r>
      <w:r>
        <w:t>panta</w:t>
      </w:r>
      <w:proofErr w:type="gramEnd"/>
      <w:r>
        <w:t xml:space="preserve"> trešajā daļā paredzētajā noziedzīgajā nodarījumā par to, ka</w:t>
      </w:r>
      <w:r w:rsidR="00B74794">
        <w:t xml:space="preserve"> viņš</w:t>
      </w:r>
      <w:r w:rsidR="00A95FB1">
        <w:t xml:space="preserve"> neatļauti izgatavoja un glabāja narkotiskās vielas lielā apmērā realizācijas nolūkā, kā arī neatļauti realizēja narkotiskās vielas.  </w:t>
      </w:r>
      <w:r>
        <w:t xml:space="preserve">  </w:t>
      </w:r>
    </w:p>
    <w:p w14:paraId="0DAA5809" w14:textId="6D031DF2" w:rsidR="00507175" w:rsidRDefault="00A719F6" w:rsidP="00A719F6">
      <w:pPr>
        <w:spacing w:line="276" w:lineRule="auto"/>
        <w:ind w:firstLine="652"/>
        <w:contextualSpacing/>
        <w:jc w:val="both"/>
      </w:pPr>
      <w:r>
        <w:t xml:space="preserve">   </w:t>
      </w:r>
      <w:r w:rsidR="00B10550">
        <w:t xml:space="preserve">   </w:t>
      </w:r>
      <w:r w:rsidR="00963BA3">
        <w:t xml:space="preserve"> </w:t>
      </w:r>
    </w:p>
    <w:p w14:paraId="7FCE6AC4" w14:textId="7CD0BC46" w:rsidR="004A4D3A" w:rsidRPr="00A95FB1" w:rsidRDefault="00507175" w:rsidP="00A95FB1">
      <w:pPr>
        <w:spacing w:line="276" w:lineRule="auto"/>
        <w:ind w:firstLine="652"/>
        <w:contextualSpacing/>
        <w:jc w:val="both"/>
        <w:rPr>
          <w:color w:val="000000" w:themeColor="text1"/>
        </w:rPr>
      </w:pPr>
      <w:r>
        <w:t>[</w:t>
      </w:r>
      <w:r w:rsidR="00A95FB1">
        <w:t>5] </w:t>
      </w:r>
      <w:r>
        <w:t xml:space="preserve">Par </w:t>
      </w:r>
      <w:r w:rsidR="00A719F6">
        <w:t>Vidzemes</w:t>
      </w:r>
      <w:r>
        <w:t xml:space="preserve"> apgabaltiesas </w:t>
      </w:r>
      <w:proofErr w:type="gramStart"/>
      <w:r w:rsidR="00963BA3">
        <w:t>2019.gada</w:t>
      </w:r>
      <w:proofErr w:type="gramEnd"/>
      <w:r w:rsidR="00963BA3">
        <w:t xml:space="preserve"> </w:t>
      </w:r>
      <w:r w:rsidR="00A719F6">
        <w:t>9</w:t>
      </w:r>
      <w:r w:rsidR="00963BA3">
        <w:t>.ma</w:t>
      </w:r>
      <w:r w:rsidR="00A719F6">
        <w:t>ij</w:t>
      </w:r>
      <w:r w:rsidR="00963BA3">
        <w:t>a</w:t>
      </w:r>
      <w:r>
        <w:t xml:space="preserve"> spriedumu</w:t>
      </w:r>
      <w:r w:rsidR="00963BA3">
        <w:t xml:space="preserve"> </w:t>
      </w:r>
      <w:r w:rsidR="00D3558B">
        <w:t>[pers. A]</w:t>
      </w:r>
      <w:r w:rsidR="00A95FB1">
        <w:t xml:space="preserve"> iesniedzis </w:t>
      </w:r>
      <w:r w:rsidR="00963BA3">
        <w:t xml:space="preserve">kasācijas </w:t>
      </w:r>
      <w:r w:rsidR="00A719F6">
        <w:t>sūdzību</w:t>
      </w:r>
      <w:r w:rsidR="00A95FB1">
        <w:t>, kurā lūdz pilnībā atcelt Vidzemes apgabaltiesas 2019.gada 9.maija spriedumu un nosūtīt lietu jaunai izskatīšanai apelācijas instances tiesā.</w:t>
      </w:r>
    </w:p>
    <w:p w14:paraId="5F79D350" w14:textId="3C6FD257" w:rsidR="004A4D3A" w:rsidRDefault="004A4D3A" w:rsidP="004A4D3A">
      <w:pPr>
        <w:spacing w:line="276" w:lineRule="auto"/>
        <w:ind w:firstLine="652"/>
        <w:contextualSpacing/>
        <w:jc w:val="both"/>
      </w:pPr>
      <w:r>
        <w:t xml:space="preserve">Sūdzībā izteikto lūgumu </w:t>
      </w:r>
      <w:r w:rsidR="00D3558B">
        <w:t>[pers. A]</w:t>
      </w:r>
      <w:r>
        <w:t xml:space="preserve"> pamatojis ar turpmāk norādītajiem argumentiem.</w:t>
      </w:r>
    </w:p>
    <w:p w14:paraId="1E9E3806" w14:textId="1A9519BB" w:rsidR="00AC1BC3" w:rsidRDefault="002861B3" w:rsidP="00AC1BC3">
      <w:pPr>
        <w:spacing w:line="276" w:lineRule="auto"/>
        <w:ind w:firstLine="652"/>
        <w:contextualSpacing/>
        <w:jc w:val="both"/>
      </w:pPr>
      <w:r>
        <w:t>[5.1] </w:t>
      </w:r>
      <w:r w:rsidR="005B6F7E">
        <w:t>Apelācijas instances tiesa viņu nepamatoti</w:t>
      </w:r>
      <w:r w:rsidR="00AC1BC3">
        <w:t xml:space="preserve"> atz</w:t>
      </w:r>
      <w:r w:rsidR="005B6F7E">
        <w:t>inusi</w:t>
      </w:r>
      <w:r w:rsidR="00AC1BC3">
        <w:t xml:space="preserve"> par vainīgu Krimināllikuma </w:t>
      </w:r>
      <w:proofErr w:type="gramStart"/>
      <w:r w:rsidR="00AC1BC3">
        <w:t>256.panta</w:t>
      </w:r>
      <w:proofErr w:type="gramEnd"/>
      <w:r w:rsidR="00AC1BC3">
        <w:t xml:space="preserve"> otrajā daļā paredzētajā noziedzīgajā nodarījumā, jo kaņepes nav audzējis lielās platībās.</w:t>
      </w:r>
    </w:p>
    <w:p w14:paraId="6B1F6D1E" w14:textId="6715F1D2" w:rsidR="00A95FB1" w:rsidRDefault="00336396" w:rsidP="00336396">
      <w:pPr>
        <w:spacing w:line="276" w:lineRule="auto"/>
        <w:ind w:firstLine="652"/>
        <w:contextualSpacing/>
        <w:jc w:val="both"/>
      </w:pPr>
      <w:r>
        <w:t>[5.</w:t>
      </w:r>
      <w:r w:rsidR="00AC1BC3">
        <w:t>2</w:t>
      </w:r>
      <w:r>
        <w:t>]</w:t>
      </w:r>
      <w:r w:rsidR="00A95FB1">
        <w:t> N</w:t>
      </w:r>
      <w:r w:rsidR="00AC1BC3">
        <w:t>eizvērtējot visus apstākļus krimināllietā, apelācijas instances tiesa viņu n</w:t>
      </w:r>
      <w:r w:rsidR="00A95FB1">
        <w:t>epamatoti atz</w:t>
      </w:r>
      <w:r w:rsidR="00AC1BC3">
        <w:t>inusi</w:t>
      </w:r>
      <w:r w:rsidR="00A95FB1">
        <w:t xml:space="preserve"> par vainīgu </w:t>
      </w:r>
      <w:r w:rsidR="005B6F7E">
        <w:t xml:space="preserve">arī </w:t>
      </w:r>
      <w:r w:rsidR="00A95FB1">
        <w:t>Krimināllikuma 253.</w:t>
      </w:r>
      <w:proofErr w:type="gramStart"/>
      <w:r w:rsidR="0082274A">
        <w:rPr>
          <w:vertAlign w:val="superscript"/>
        </w:rPr>
        <w:t>1</w:t>
      </w:r>
      <w:r w:rsidR="00A95FB1">
        <w:t>panta</w:t>
      </w:r>
      <w:proofErr w:type="gramEnd"/>
      <w:r w:rsidR="00A95FB1">
        <w:t xml:space="preserve"> trešajā daļā paredzētajā noziedzīga</w:t>
      </w:r>
      <w:r w:rsidR="00AC1BC3">
        <w:t xml:space="preserve">jā </w:t>
      </w:r>
      <w:r w:rsidR="00A95FB1">
        <w:t>nodarījumā</w:t>
      </w:r>
      <w:r w:rsidR="00AC1BC3">
        <w:t>, jo kaņepes audzējis savām vajadzībām, nevis realizācijai.</w:t>
      </w:r>
      <w:r w:rsidR="00A95FB1">
        <w:t xml:space="preserve"> </w:t>
      </w:r>
      <w:r>
        <w:t> </w:t>
      </w:r>
    </w:p>
    <w:p w14:paraId="11E02028" w14:textId="4BDF1263" w:rsidR="001C31A1" w:rsidRDefault="008242BF" w:rsidP="001C31A1">
      <w:pPr>
        <w:spacing w:line="276" w:lineRule="auto"/>
        <w:ind w:firstLine="652"/>
        <w:contextualSpacing/>
        <w:jc w:val="both"/>
      </w:pPr>
      <w:r>
        <w:t>T</w:t>
      </w:r>
      <w:r w:rsidR="00AC1BC3">
        <w:t>urklāt viņa</w:t>
      </w:r>
      <w:r>
        <w:t xml:space="preserve"> izaudzētajos kaņepju stādos nav noteikts </w:t>
      </w:r>
      <w:proofErr w:type="spellStart"/>
      <w:r>
        <w:t>tetrahidrokanabiona</w:t>
      </w:r>
      <w:proofErr w:type="spellEnd"/>
      <w:r>
        <w:t xml:space="preserve"> (THC) līmenis, </w:t>
      </w:r>
      <w:r w:rsidR="00830A9A">
        <w:t xml:space="preserve">līdz ar to </w:t>
      </w:r>
      <w:r>
        <w:t>tie nav atzīstami p</w:t>
      </w:r>
      <w:r w:rsidR="00336396">
        <w:t>a</w:t>
      </w:r>
      <w:r>
        <w:t xml:space="preserve">r aizliegtiem augu valsts produktiem. </w:t>
      </w:r>
      <w:r w:rsidR="000A28A7">
        <w:t>No</w:t>
      </w:r>
      <w:r>
        <w:t xml:space="preserve"> Eiropas Parlamenta un Padomes </w:t>
      </w:r>
      <w:proofErr w:type="gramStart"/>
      <w:r w:rsidR="005B6F7E">
        <w:t>2013.gada</w:t>
      </w:r>
      <w:proofErr w:type="gramEnd"/>
      <w:r w:rsidR="005B6F7E">
        <w:t xml:space="preserve"> 17.decembra Regulas (ES)</w:t>
      </w:r>
      <w:r>
        <w:t xml:space="preserve"> Nr. 1307/2013</w:t>
      </w:r>
      <w:r w:rsidR="00830A9A">
        <w:t xml:space="preserve"> 32.panta 6.punkta izriet, ka neatļauta ir tādu kaņepju šķirņu audzēšana, kuru THC līmenis pārsniedz 0,2 %. Savukārt Komisijas </w:t>
      </w:r>
      <w:proofErr w:type="gramStart"/>
      <w:r w:rsidR="005B6F7E">
        <w:t>2014.gada</w:t>
      </w:r>
      <w:proofErr w:type="gramEnd"/>
      <w:r w:rsidR="005B6F7E">
        <w:t xml:space="preserve"> 17.jūlija </w:t>
      </w:r>
      <w:r w:rsidR="008D06DA">
        <w:t>Ī</w:t>
      </w:r>
      <w:r w:rsidR="00830A9A">
        <w:t xml:space="preserve">stenošanas Regulas (ES) </w:t>
      </w:r>
      <w:r w:rsidR="005B6F7E">
        <w:t>Nr. </w:t>
      </w:r>
      <w:r w:rsidR="00830A9A">
        <w:t>809/2014</w:t>
      </w:r>
      <w:r w:rsidR="002861B3">
        <w:t xml:space="preserve"> </w:t>
      </w:r>
      <w:r w:rsidR="002861B3">
        <w:lastRenderedPageBreak/>
        <w:t>pielikumā „</w:t>
      </w:r>
      <w:r w:rsidR="00830A9A">
        <w:t xml:space="preserve">Kopienas metode </w:t>
      </w:r>
      <w:proofErr w:type="spellStart"/>
      <w:r w:rsidR="00830A9A">
        <w:t>tetrahidrokanabiona</w:t>
      </w:r>
      <w:proofErr w:type="spellEnd"/>
      <w:r w:rsidR="00830A9A">
        <w:t xml:space="preserve"> satura kvantitatīvai noteikšanai kaņepju šķirnēs” noteikta </w:t>
      </w:r>
      <w:r w:rsidR="008D06DA">
        <w:t>THC satura pārbaudes procedūra kaņepēm (</w:t>
      </w:r>
      <w:proofErr w:type="spellStart"/>
      <w:r w:rsidR="008D06DA" w:rsidRPr="008D06DA">
        <w:rPr>
          <w:i/>
          <w:iCs/>
        </w:rPr>
        <w:t>Cannabis</w:t>
      </w:r>
      <w:proofErr w:type="spellEnd"/>
      <w:r w:rsidR="008D06DA" w:rsidRPr="008D06DA">
        <w:rPr>
          <w:i/>
          <w:iCs/>
        </w:rPr>
        <w:t xml:space="preserve"> </w:t>
      </w:r>
      <w:proofErr w:type="spellStart"/>
      <w:r w:rsidR="008D06DA" w:rsidRPr="008D06DA">
        <w:rPr>
          <w:i/>
          <w:iCs/>
        </w:rPr>
        <w:t>satīva</w:t>
      </w:r>
      <w:proofErr w:type="spellEnd"/>
      <w:r w:rsidR="008D06DA" w:rsidRPr="008D06DA">
        <w:rPr>
          <w:i/>
          <w:iCs/>
        </w:rPr>
        <w:t xml:space="preserve"> L.</w:t>
      </w:r>
      <w:r w:rsidR="008D06DA">
        <w:t>).</w:t>
      </w:r>
    </w:p>
    <w:p w14:paraId="0DCEBB4F" w14:textId="5E3E49D7" w:rsidR="000A28A7" w:rsidRDefault="008D06DA" w:rsidP="001C31A1">
      <w:pPr>
        <w:spacing w:line="276" w:lineRule="auto"/>
        <w:ind w:firstLine="652"/>
        <w:contextualSpacing/>
        <w:jc w:val="both"/>
      </w:pPr>
      <w:r>
        <w:t>Tā kā</w:t>
      </w:r>
      <w:r w:rsidR="000A28A7">
        <w:t xml:space="preserve"> viņa kultivēt</w:t>
      </w:r>
      <w:r w:rsidR="00B15826">
        <w:t xml:space="preserve">ajās kaņepēs </w:t>
      </w:r>
      <w:r w:rsidR="000A28A7">
        <w:t xml:space="preserve">THC </w:t>
      </w:r>
      <w:r w:rsidR="00B15826">
        <w:t>līmenis</w:t>
      </w:r>
      <w:r>
        <w:t xml:space="preserve"> nav noteikts minētajos normatīvos noteiktajā kārtībā, </w:t>
      </w:r>
      <w:r w:rsidR="00336396">
        <w:t>t</w:t>
      </w:r>
      <w:r w:rsidR="00B15826">
        <w:t>ās nav pamata atzīt</w:t>
      </w:r>
      <w:r w:rsidR="00336396">
        <w:t xml:space="preserve"> par marihuānu. </w:t>
      </w:r>
      <w:r w:rsidR="00B15826">
        <w:t>Tādējādi nav arī pamata viņu sodīt</w:t>
      </w:r>
      <w:r w:rsidR="000A28A7">
        <w:t xml:space="preserve"> par neatļautu narkot</w:t>
      </w:r>
      <w:r w:rsidR="003B6ABE">
        <w:t>isko vielu saturošu augu sēšanu un audzēšanu, kā arī narkotisko vielu neatļautu izgatavošanu un glabāšanu realizācijas n</w:t>
      </w:r>
      <w:r w:rsidR="00EA5780">
        <w:t>o</w:t>
      </w:r>
      <w:r w:rsidR="003B6ABE">
        <w:t>lūkā.</w:t>
      </w:r>
    </w:p>
    <w:p w14:paraId="52BA9AB0" w14:textId="3D33085A" w:rsidR="004A4D3A" w:rsidRDefault="003B6ABE" w:rsidP="002861B3">
      <w:pPr>
        <w:spacing w:line="276" w:lineRule="auto"/>
        <w:ind w:firstLine="652"/>
        <w:contextualSpacing/>
        <w:jc w:val="both"/>
      </w:pPr>
      <w:r>
        <w:t xml:space="preserve">Likuma </w:t>
      </w:r>
      <w:r w:rsidR="00336396" w:rsidRPr="002C4DAF">
        <w:rPr>
          <w:iCs/>
        </w:rPr>
        <w:t>„</w:t>
      </w:r>
      <w:r>
        <w:t xml:space="preserve">Par Krimināllikuma spēkā stāšanās un piemērošanas kārtība” 2.pielikums nosaka kritērijus narkotisko vielu apmēriem, </w:t>
      </w:r>
      <w:r w:rsidR="005B6F7E">
        <w:t xml:space="preserve">savukārt </w:t>
      </w:r>
      <w:r>
        <w:t>jautājum</w:t>
      </w:r>
      <w:r w:rsidR="00336396">
        <w:t>a izlemšan</w:t>
      </w:r>
      <w:r w:rsidR="005B6F7E">
        <w:t>a</w:t>
      </w:r>
      <w:r>
        <w:t xml:space="preserve"> par narkotiskās vielas esību kaņepes augā </w:t>
      </w:r>
      <w:r w:rsidR="005B6F7E">
        <w:t>ir atstāta</w:t>
      </w:r>
      <w:r w:rsidR="00B15826">
        <w:t xml:space="preserve"> </w:t>
      </w:r>
      <w:r>
        <w:t>kriminālistikas ekspertu ziņā</w:t>
      </w:r>
      <w:r w:rsidR="00B15826">
        <w:t>, kas savos atzinumos</w:t>
      </w:r>
      <w:r>
        <w:t xml:space="preserve"> </w:t>
      </w:r>
      <w:r w:rsidR="00B15826">
        <w:t>norāda izpētes metodi un rezultātu, bet neatspoguļo ekspertīzes gaitu. Līdz ar to personai, kurai ir tiesības uz aizstāvību, lie</w:t>
      </w:r>
      <w:r w:rsidR="002861B3">
        <w:t>gta</w:t>
      </w:r>
      <w:r w:rsidR="00B15826">
        <w:t xml:space="preserve"> iespēj</w:t>
      </w:r>
      <w:r w:rsidR="002861B3">
        <w:t>a</w:t>
      </w:r>
      <w:r w:rsidR="00B15826">
        <w:t xml:space="preserve"> pārliecināties par ekspertu secinājumu objektivitāti un pareizību. Turklāt</w:t>
      </w:r>
      <w:r w:rsidR="00B74794">
        <w:t>,</w:t>
      </w:r>
      <w:r w:rsidR="00B15826">
        <w:t xml:space="preserve"> </w:t>
      </w:r>
      <w:r w:rsidR="004F5A1F">
        <w:t xml:space="preserve">pretēji Kriminālprocesa likuma </w:t>
      </w:r>
      <w:proofErr w:type="gramStart"/>
      <w:r w:rsidR="004F5A1F">
        <w:t>66.panta</w:t>
      </w:r>
      <w:proofErr w:type="gramEnd"/>
      <w:r w:rsidR="004F5A1F">
        <w:t xml:space="preserve"> pirmās daļas 7.punktā noteiktajam</w:t>
      </w:r>
      <w:r w:rsidR="00B74794">
        <w:t>,</w:t>
      </w:r>
      <w:r w:rsidR="004F5A1F">
        <w:t xml:space="preserve"> </w:t>
      </w:r>
      <w:r w:rsidR="00B15826">
        <w:t>pirmstiesas procesā viņš nav iepazīstināts ar procesa virzītāja lēmumiem</w:t>
      </w:r>
      <w:r w:rsidR="00B15826" w:rsidRPr="00B15826">
        <w:t xml:space="preserve"> </w:t>
      </w:r>
      <w:r w:rsidR="00B15826">
        <w:t>par ķīmiskās narkotisko vielu un psihotropo vielu ekspertīzes noteikšanu pirms to nodošanas izpildei</w:t>
      </w:r>
      <w:r w:rsidR="004F5A1F">
        <w:t>, tādējādi pārkāp</w:t>
      </w:r>
      <w:r w:rsidR="002861B3">
        <w:t>jot viņa tiesības uz aizstāvību.</w:t>
      </w:r>
    </w:p>
    <w:p w14:paraId="0EC48F6E" w14:textId="77777777" w:rsidR="002861B3" w:rsidRDefault="002861B3" w:rsidP="002861B3">
      <w:pPr>
        <w:spacing w:line="276" w:lineRule="auto"/>
        <w:ind w:firstLine="652"/>
        <w:contextualSpacing/>
        <w:jc w:val="both"/>
      </w:pPr>
    </w:p>
    <w:p w14:paraId="130B174B" w14:textId="77777777" w:rsidR="00507175" w:rsidRDefault="00507175" w:rsidP="00507175">
      <w:pPr>
        <w:spacing w:line="276" w:lineRule="auto"/>
        <w:ind w:firstLine="652"/>
        <w:contextualSpacing/>
        <w:jc w:val="center"/>
        <w:rPr>
          <w:b/>
        </w:rPr>
      </w:pPr>
      <w:r w:rsidRPr="009215AE">
        <w:rPr>
          <w:b/>
        </w:rPr>
        <w:t>Motīvu daļa</w:t>
      </w:r>
    </w:p>
    <w:p w14:paraId="2B89632D" w14:textId="77777777" w:rsidR="0085746A" w:rsidRDefault="0085746A" w:rsidP="005A1824">
      <w:pPr>
        <w:jc w:val="both"/>
      </w:pPr>
    </w:p>
    <w:p w14:paraId="50AE8166" w14:textId="35EF0C71" w:rsidR="005D093A" w:rsidRDefault="0085746A" w:rsidP="005A1824">
      <w:pPr>
        <w:spacing w:line="276" w:lineRule="auto"/>
        <w:ind w:firstLine="652"/>
        <w:jc w:val="both"/>
      </w:pPr>
      <w:r>
        <w:t>[</w:t>
      </w:r>
      <w:r w:rsidR="007B68C3">
        <w:t>6</w:t>
      </w:r>
      <w:r>
        <w:t xml:space="preserve">] </w:t>
      </w:r>
      <w:r w:rsidR="0077673E">
        <w:t>Senāts atzīst, ka</w:t>
      </w:r>
      <w:r w:rsidR="00EA5780">
        <w:t xml:space="preserve"> Vidzemes apgabaltiesas </w:t>
      </w:r>
      <w:proofErr w:type="gramStart"/>
      <w:r w:rsidR="00EA5780">
        <w:t>2019.gada</w:t>
      </w:r>
      <w:proofErr w:type="gramEnd"/>
      <w:r w:rsidR="00EA5780">
        <w:t xml:space="preserve"> 9.maija </w:t>
      </w:r>
      <w:r w:rsidR="00100447">
        <w:t>spriedums atceļams daļā par</w:t>
      </w:r>
      <w:r w:rsidR="00424A0C">
        <w:t xml:space="preserve"> </w:t>
      </w:r>
      <w:r w:rsidR="00D3558B">
        <w:t>[pers. A]</w:t>
      </w:r>
      <w:r w:rsidR="00424A0C">
        <w:t xml:space="preserve"> atzīšanu par vainīgu </w:t>
      </w:r>
      <w:r w:rsidR="007B68C3">
        <w:t xml:space="preserve">un sodīšanu pēc </w:t>
      </w:r>
      <w:r w:rsidR="00424A0C">
        <w:t>Krimināllikuma 256.panta ot</w:t>
      </w:r>
      <w:r w:rsidR="007B68C3">
        <w:t>r</w:t>
      </w:r>
      <w:r w:rsidR="00424A0C">
        <w:t>ā</w:t>
      </w:r>
      <w:r w:rsidR="007B68C3">
        <w:t>s</w:t>
      </w:r>
      <w:r w:rsidR="00424A0C">
        <w:t xml:space="preserve"> daļ</w:t>
      </w:r>
      <w:r w:rsidR="002861B3">
        <w:t>as</w:t>
      </w:r>
      <w:r w:rsidR="0080052F">
        <w:t xml:space="preserve"> un daļā par noteikto galīgo sodu saskaņā ar Krimināllikuma 50.panta pirmo un trešo daļu</w:t>
      </w:r>
      <w:r w:rsidR="002861B3">
        <w:t xml:space="preserve">, </w:t>
      </w:r>
      <w:r w:rsidR="007B68C3">
        <w:t>un lieta šajā daļā nosūtāma jaunai izskatīšanai apelācijas instances tiesā</w:t>
      </w:r>
      <w:r w:rsidR="00424A0C">
        <w:t>.</w:t>
      </w:r>
    </w:p>
    <w:p w14:paraId="7DDF9567" w14:textId="37DA8AB8" w:rsidR="007B68C3" w:rsidRDefault="00042CD2" w:rsidP="005A1824">
      <w:pPr>
        <w:spacing w:line="276" w:lineRule="auto"/>
        <w:ind w:firstLine="652"/>
        <w:jc w:val="both"/>
      </w:pPr>
      <w:r>
        <w:t>[6.1] </w:t>
      </w:r>
      <w:r w:rsidR="007B68C3">
        <w:t xml:space="preserve">Krimināllikuma </w:t>
      </w:r>
      <w:proofErr w:type="gramStart"/>
      <w:r w:rsidR="007B68C3">
        <w:t>256.panta</w:t>
      </w:r>
      <w:proofErr w:type="gramEnd"/>
      <w:r w:rsidR="007B68C3">
        <w:t xml:space="preserve"> </w:t>
      </w:r>
      <w:r w:rsidR="000C4FCD">
        <w:t>pirmaj</w:t>
      </w:r>
      <w:r w:rsidR="007B68C3">
        <w:t xml:space="preserve">ā daļā </w:t>
      </w:r>
      <w:r w:rsidR="000C4FCD">
        <w:t>paredzēta atbildība par narkotiskās vielas saturošu augu neatļautu sēšanu vai audzēšanu. Savukārt šā panta otrajā daļā paredzēt</w:t>
      </w:r>
      <w:r w:rsidR="002861B3">
        <w:t>a</w:t>
      </w:r>
      <w:r w:rsidR="000C4FCD">
        <w:t xml:space="preserve"> atbildība par šādu augu sēšanu vai audzēšanu lielās platībās.</w:t>
      </w:r>
    </w:p>
    <w:p w14:paraId="63EFA91C" w14:textId="2380667F" w:rsidR="000C4FCD" w:rsidRDefault="000C4FCD" w:rsidP="000A7334">
      <w:pPr>
        <w:spacing w:line="276" w:lineRule="auto"/>
        <w:ind w:firstLine="652"/>
        <w:jc w:val="both"/>
      </w:pPr>
      <w:r>
        <w:t>Apelācijas instances tiesa</w:t>
      </w:r>
      <w:r w:rsidR="00F5052C">
        <w:t xml:space="preserve"> norādījusi, ka, izlemjot jautājumu par to, vai narkotiskās vielas saturoši augi audzēti lielā platībā, ir jāņem vērā ne tikai teritorijas platība, kurā speciāli tiek audzēti narkotiskās vielas saturoši augi, bet arī to daudzums, blīvums, veids un narkotisko vielu </w:t>
      </w:r>
      <w:r w:rsidR="00F5052C" w:rsidRPr="000A7334">
        <w:t>daudzums audzētajos</w:t>
      </w:r>
      <w:r w:rsidR="00F5052C">
        <w:t xml:space="preserve"> augos. Tiesa arī norādījusi, ka kratīšanas laikā izņemti piec</w:t>
      </w:r>
      <w:r w:rsidR="007275D2">
        <w:t>i</w:t>
      </w:r>
      <w:r w:rsidR="00F5052C">
        <w:t xml:space="preserve"> kaņepju dzimtas augi, kuru kopējā nežāvētā masa ir 1,44 kilogrami</w:t>
      </w:r>
      <w:r w:rsidR="004F5A1F">
        <w:t>, kas ir narkotiskā viela</w:t>
      </w:r>
      <w:r w:rsidR="00F5052C">
        <w:t xml:space="preserve"> – nežāvēta marihuāna</w:t>
      </w:r>
      <w:r w:rsidR="000A7334">
        <w:t>, un</w:t>
      </w:r>
      <w:r w:rsidR="004F5A1F">
        <w:t xml:space="preserve">, ka kratīšanas laikā izņemti </w:t>
      </w:r>
      <w:r w:rsidR="00837F66">
        <w:t>no 35 kaņepju augiem iegūti</w:t>
      </w:r>
      <w:r w:rsidR="004F5A1F">
        <w:t>e</w:t>
      </w:r>
      <w:r w:rsidR="00837F66">
        <w:t xml:space="preserve"> 857,5846 grami izžāvētas marihuānas</w:t>
      </w:r>
      <w:r w:rsidR="004F5A1F">
        <w:t>. Tiesa arī norādījusi, ka</w:t>
      </w:r>
      <w:r w:rsidR="007275D2">
        <w:t xml:space="preserve"> atbilstoši</w:t>
      </w:r>
      <w:r w:rsidR="00F5052C">
        <w:t xml:space="preserve"> likuma </w:t>
      </w:r>
      <w:r w:rsidR="00150095" w:rsidRPr="002C4DAF">
        <w:rPr>
          <w:iCs/>
        </w:rPr>
        <w:t>„</w:t>
      </w:r>
      <w:r w:rsidR="00F5052C">
        <w:t xml:space="preserve">Par Krimināllikuma spēkā stāšanās un piemērošanas kārtību” 2.pielikuma </w:t>
      </w:r>
      <w:r w:rsidR="000A7334" w:rsidRPr="002C4DAF">
        <w:rPr>
          <w:iCs/>
        </w:rPr>
        <w:t>„</w:t>
      </w:r>
      <w:r w:rsidR="00F5052C">
        <w:t>Kritēriji nelikumīgā apritē esošu narkotisko un psihotropo vielu un zāļu, kā arī vielu, kas var tikt izmantotas narkotisko un psihotropo vielu nelikumīgai izgatavošanai (prekursori)</w:t>
      </w:r>
      <w:r w:rsidR="00796CF8">
        <w:t>, iedalījumu apmēriem”</w:t>
      </w:r>
      <w:r w:rsidR="007275D2">
        <w:t xml:space="preserve"> </w:t>
      </w:r>
      <w:r w:rsidR="004F5A1F">
        <w:t>izņemtās nežāvētas un izžāvētās marihuānas daudzums ir atzīstams par lieliem apmēriem.</w:t>
      </w:r>
      <w:r w:rsidR="00AD5D74">
        <w:t xml:space="preserve"> </w:t>
      </w:r>
      <w:r w:rsidR="00F5052C">
        <w:t xml:space="preserve"> </w:t>
      </w:r>
    </w:p>
    <w:p w14:paraId="30149F74" w14:textId="53E708C3" w:rsidR="00115183" w:rsidRDefault="00F5052C" w:rsidP="001424FB">
      <w:pPr>
        <w:spacing w:line="276" w:lineRule="auto"/>
        <w:ind w:firstLine="652"/>
        <w:jc w:val="both"/>
      </w:pPr>
      <w:r w:rsidRPr="00115183">
        <w:t xml:space="preserve">Kasācijas instances tiesa atzīst par kļūdainu apelācijas instances tiesas </w:t>
      </w:r>
      <w:r w:rsidR="001424FB">
        <w:t xml:space="preserve">veikto </w:t>
      </w:r>
      <w:r w:rsidRPr="00115183">
        <w:t xml:space="preserve">Krimināllikuma </w:t>
      </w:r>
      <w:proofErr w:type="gramStart"/>
      <w:r w:rsidRPr="00115183">
        <w:t>256.panta</w:t>
      </w:r>
      <w:proofErr w:type="gramEnd"/>
      <w:r w:rsidRPr="00115183">
        <w:t xml:space="preserve"> otrajā daļā paredzētā noziedzīgā nodarījuma sastāva obligātās pazīmes – lielas platības – interpretāciju</w:t>
      </w:r>
      <w:r w:rsidR="00AD5D74">
        <w:t>. Turklāt apelācijas instances tiesa</w:t>
      </w:r>
      <w:r w:rsidR="00796CF8">
        <w:t xml:space="preserve"> </w:t>
      </w:r>
      <w:r w:rsidR="000A7334">
        <w:t>kļūdaini</w:t>
      </w:r>
      <w:r w:rsidR="00796CF8">
        <w:t xml:space="preserve"> norād</w:t>
      </w:r>
      <w:r w:rsidR="00AD5D74">
        <w:t>ījusi</w:t>
      </w:r>
      <w:r w:rsidR="00796CF8">
        <w:t>, ka šāda</w:t>
      </w:r>
      <w:r w:rsidR="00BA0616">
        <w:t xml:space="preserve"> interpretācija</w:t>
      </w:r>
      <w:r w:rsidR="00796CF8">
        <w:t xml:space="preserve"> ir </w:t>
      </w:r>
      <w:r w:rsidR="004F5A1F">
        <w:t>dota</w:t>
      </w:r>
      <w:r w:rsidR="00796CF8">
        <w:t xml:space="preserve"> Senāta </w:t>
      </w:r>
      <w:proofErr w:type="gramStart"/>
      <w:r w:rsidR="00796CF8">
        <w:t>2011.gada</w:t>
      </w:r>
      <w:proofErr w:type="gramEnd"/>
      <w:r w:rsidR="00796CF8">
        <w:t xml:space="preserve"> 22.septembra lēmumā lietā Nr. SKK-525/2011</w:t>
      </w:r>
      <w:r w:rsidR="001424FB">
        <w:t xml:space="preserve">. </w:t>
      </w:r>
      <w:r w:rsidR="00796CF8">
        <w:t>Minētajā lietā Senāts</w:t>
      </w:r>
      <w:r w:rsidR="001424FB">
        <w:t xml:space="preserve">, atsaucoties uz </w:t>
      </w:r>
      <w:r w:rsidR="00BA0616">
        <w:t xml:space="preserve">iepriekš </w:t>
      </w:r>
      <w:r w:rsidR="001424FB">
        <w:t>judikatūrā izteiktajām atziņām, norādīj</w:t>
      </w:r>
      <w:r w:rsidR="00BA0616">
        <w:t>is</w:t>
      </w:r>
      <w:r w:rsidR="001424FB">
        <w:t>, ka</w:t>
      </w:r>
      <w:r w:rsidR="00BA0616">
        <w:t xml:space="preserve">, </w:t>
      </w:r>
      <w:r w:rsidR="00115183">
        <w:t xml:space="preserve">izskatot jautājumu par kritērijiem, sākot ar kādiem neatļauta narkotisko vielu saturošu augu sēšana un audzēšana būtu kvalificējama kā izdarīta lielās platībās pēc Krimināllikuma </w:t>
      </w:r>
      <w:proofErr w:type="gramStart"/>
      <w:r w:rsidR="00115183">
        <w:t>256.panta</w:t>
      </w:r>
      <w:proofErr w:type="gramEnd"/>
      <w:r w:rsidR="00115183">
        <w:t xml:space="preserve"> otrās daļas, pirmkārt, katrā konkrētā gadījumā ir jāņem vērā tā teritorijas platība, kurā speciāli tiek iesēti un audzēti narkotiskās vielas saturoši augi. </w:t>
      </w:r>
      <w:r w:rsidR="004F5A1F">
        <w:t>Un k</w:t>
      </w:r>
      <w:r w:rsidR="00BA0616">
        <w:t>ā</w:t>
      </w:r>
      <w:r w:rsidR="00115183">
        <w:t xml:space="preserve"> otrs apstāklis ir jāņem vērā </w:t>
      </w:r>
      <w:r w:rsidR="00115183">
        <w:lastRenderedPageBreak/>
        <w:t>narkotisko vielu saturošo augu daudzums, skaits konkrētā platībā, audzēšanas blīvums, kā arī auga veids</w:t>
      </w:r>
      <w:r w:rsidR="00150095">
        <w:t xml:space="preserve"> (</w:t>
      </w:r>
      <w:r w:rsidR="00150095" w:rsidRPr="00150095">
        <w:rPr>
          <w:i/>
          <w:iCs/>
        </w:rPr>
        <w:t xml:space="preserve">Augstākās tiesas 2003.gada </w:t>
      </w:r>
      <w:r w:rsidR="00DF586C">
        <w:rPr>
          <w:i/>
          <w:iCs/>
        </w:rPr>
        <w:t xml:space="preserve">26.augusta </w:t>
      </w:r>
      <w:r w:rsidR="00150095" w:rsidRPr="00150095">
        <w:rPr>
          <w:i/>
          <w:iCs/>
        </w:rPr>
        <w:t>lēmums lietā Nr. SKK-</w:t>
      </w:r>
      <w:r w:rsidR="009D109C">
        <w:rPr>
          <w:i/>
          <w:iCs/>
        </w:rPr>
        <w:t>494/2003</w:t>
      </w:r>
      <w:r w:rsidR="00150095" w:rsidRPr="00150095">
        <w:rPr>
          <w:i/>
          <w:iCs/>
        </w:rPr>
        <w:t>, 2011.gada 22.septembra lēmums lietā Nr. SKK-525/2011 (11815001110</w:t>
      </w:r>
      <w:r w:rsidR="00150095">
        <w:rPr>
          <w:i/>
          <w:iCs/>
        </w:rPr>
        <w:t>)</w:t>
      </w:r>
      <w:r w:rsidR="00150095">
        <w:t>)</w:t>
      </w:r>
      <w:r w:rsidR="00115183">
        <w:t>.</w:t>
      </w:r>
    </w:p>
    <w:p w14:paraId="16429EA7" w14:textId="5602019B" w:rsidR="00AD5D74" w:rsidRDefault="00BA0616" w:rsidP="00CB0C62">
      <w:pPr>
        <w:spacing w:line="276" w:lineRule="auto"/>
        <w:ind w:firstLine="652"/>
        <w:jc w:val="both"/>
      </w:pPr>
      <w:r>
        <w:t>Savukārt</w:t>
      </w:r>
      <w:r w:rsidR="002861B3">
        <w:t>,</w:t>
      </w:r>
      <w:r>
        <w:t xml:space="preserve"> līdzīgi kā Senāta lēmumā lietā Nr. SKK-525/2011 izvērtētajā </w:t>
      </w:r>
      <w:r w:rsidR="007F2FA6">
        <w:t xml:space="preserve">apelācijas instances tiesas </w:t>
      </w:r>
      <w:r>
        <w:t xml:space="preserve">nolēmumā, arī izskatāmajā lietā </w:t>
      </w:r>
      <w:r w:rsidR="00115183">
        <w:t>apelācijas instances tiesa</w:t>
      </w:r>
      <w:r>
        <w:t xml:space="preserve"> spriedumā</w:t>
      </w:r>
      <w:r w:rsidR="00115183">
        <w:t xml:space="preserve"> galveno uzsvaru ir likusi </w:t>
      </w:r>
      <w:r w:rsidR="007275D2">
        <w:t xml:space="preserve">nevis uz iepriekš norādītajiem </w:t>
      </w:r>
      <w:r w:rsidR="00FA344E">
        <w:t xml:space="preserve">diviem </w:t>
      </w:r>
      <w:r w:rsidR="007275D2">
        <w:t xml:space="preserve">apstākļiem, bet gan </w:t>
      </w:r>
      <w:r w:rsidR="00115183">
        <w:t xml:space="preserve">uz </w:t>
      </w:r>
      <w:r w:rsidR="00FA344E" w:rsidRPr="005F71E9">
        <w:t>izņemt</w:t>
      </w:r>
      <w:r w:rsidR="00981AB5" w:rsidRPr="005F71E9">
        <w:t>aj</w:t>
      </w:r>
      <w:r w:rsidR="001C31A1" w:rsidRPr="005F71E9">
        <w:t>ā ne</w:t>
      </w:r>
      <w:r w:rsidR="00981AB5" w:rsidRPr="005F71E9">
        <w:t>žāvēt</w:t>
      </w:r>
      <w:r w:rsidR="001C31A1" w:rsidRPr="005F71E9">
        <w:t xml:space="preserve">o </w:t>
      </w:r>
      <w:r w:rsidR="00981AB5" w:rsidRPr="005F71E9">
        <w:t>un izžāvēto augu masā konstatētās</w:t>
      </w:r>
      <w:r w:rsidR="007275D2" w:rsidRPr="005F71E9">
        <w:t xml:space="preserve"> narkotiskās vielas daudzumu</w:t>
      </w:r>
      <w:r w:rsidR="0000203F">
        <w:t>, kas atbilstoši</w:t>
      </w:r>
      <w:r w:rsidR="00194E41">
        <w:t xml:space="preserve"> </w:t>
      </w:r>
      <w:r w:rsidR="00115183">
        <w:t>likuma</w:t>
      </w:r>
      <w:r w:rsidR="00194E41">
        <w:t xml:space="preserve"> </w:t>
      </w:r>
      <w:r w:rsidRPr="002C4DAF">
        <w:rPr>
          <w:iCs/>
        </w:rPr>
        <w:t>„</w:t>
      </w:r>
      <w:r w:rsidR="00115183">
        <w:t>Par Krimināllikuma spēkā stāšanās un piemērošanas kārtību” 2.pielikum</w:t>
      </w:r>
      <w:r w:rsidR="00194E41">
        <w:t>ā</w:t>
      </w:r>
      <w:r w:rsidR="00115183">
        <w:t xml:space="preserve"> </w:t>
      </w:r>
      <w:r w:rsidRPr="002C4DAF">
        <w:rPr>
          <w:iCs/>
        </w:rPr>
        <w:t>„</w:t>
      </w:r>
      <w:r w:rsidR="00115183">
        <w:t xml:space="preserve">Kritēriji nelikumīgā apritē esošu narkotisko un psihotropo vielu un zāļu, kā arī vielu, kas var tikt izmantotas narkotisko un psihotropo </w:t>
      </w:r>
      <w:r w:rsidR="00391A2B">
        <w:t>vielu nelikumīgai izgatavošanai (prekursori), iedalījumu apmēriem”</w:t>
      </w:r>
      <w:r w:rsidR="0000203F">
        <w:t xml:space="preserve"> </w:t>
      </w:r>
      <w:r w:rsidR="00150095">
        <w:t xml:space="preserve">noteiktajam </w:t>
      </w:r>
      <w:r w:rsidR="0000203F">
        <w:t>atzīstami par lieliem apmēriem.</w:t>
      </w:r>
    </w:p>
    <w:p w14:paraId="1F278EF4" w14:textId="200030E2" w:rsidR="00CB0C62" w:rsidRDefault="00AD5D74" w:rsidP="00837F66">
      <w:pPr>
        <w:spacing w:line="276" w:lineRule="auto"/>
        <w:ind w:firstLine="652"/>
        <w:jc w:val="both"/>
      </w:pPr>
      <w:r>
        <w:t>Senāts norāda, ka</w:t>
      </w:r>
      <w:r w:rsidR="00CB0C62">
        <w:t xml:space="preserve"> Krimināllikuma </w:t>
      </w:r>
      <w:proofErr w:type="gramStart"/>
      <w:r w:rsidR="00CB0C62">
        <w:t>256.pantā</w:t>
      </w:r>
      <w:proofErr w:type="gramEnd"/>
      <w:r w:rsidR="00CB0C62">
        <w:t xml:space="preserve"> paredzēto noziedzīgo nodarījumu sastāvu</w:t>
      </w:r>
      <w:r>
        <w:t xml:space="preserve"> objektīvās puses pazīmes ir sēšana un audzēšana</w:t>
      </w:r>
      <w:r w:rsidR="002861B3">
        <w:t>,</w:t>
      </w:r>
      <w:r>
        <w:t xml:space="preserve"> un noziedzīgais nodarījums ir pabeigts ar sēšanu (sēklas iesēšanu vai dīgstu pārstādīšanu) un audzēšanu neatkarīgi no tā, vai raža iegūta vai nav iegūta.</w:t>
      </w:r>
      <w:r w:rsidR="00CB0C62">
        <w:t xml:space="preserve"> </w:t>
      </w:r>
      <w:r w:rsidR="00837F66">
        <w:t>Turklāt t</w:t>
      </w:r>
      <w:r w:rsidR="00CB0C62">
        <w:t>as vien, ka augi audzēti podos, nevis zemes platībā</w:t>
      </w:r>
      <w:r w:rsidR="002861B3">
        <w:t>,</w:t>
      </w:r>
      <w:r w:rsidR="00CB0C62">
        <w:t xml:space="preserve"> un speciāli to audzēšanai uzceltā siltumnīcā, kuras izmēri</w:t>
      </w:r>
      <w:r w:rsidR="00A419D4">
        <w:t xml:space="preserve"> </w:t>
      </w:r>
      <w:r w:rsidR="00CB0C62">
        <w:t xml:space="preserve">pirmstiesas procesā nav noskaidroti, nevar būt </w:t>
      </w:r>
      <w:r w:rsidR="00837F66">
        <w:t>par pamatu</w:t>
      </w:r>
      <w:r w:rsidR="00CB0C62">
        <w:t>, lai atzītu, ka aug</w:t>
      </w:r>
      <w:r w:rsidR="00042CD2">
        <w:t>i</w:t>
      </w:r>
      <w:r w:rsidR="00CB0C62">
        <w:t xml:space="preserve"> audzēti lielās platībās.</w:t>
      </w:r>
    </w:p>
    <w:p w14:paraId="0B60472E" w14:textId="5F77F721" w:rsidR="000A7334" w:rsidRDefault="00837F66" w:rsidP="007275D2">
      <w:pPr>
        <w:spacing w:line="276" w:lineRule="auto"/>
        <w:ind w:firstLine="652"/>
        <w:jc w:val="both"/>
      </w:pPr>
      <w:r>
        <w:t xml:space="preserve">Kļūdaini tulkojot Krimināllikuma </w:t>
      </w:r>
      <w:proofErr w:type="gramStart"/>
      <w:r>
        <w:t>256.panta</w:t>
      </w:r>
      <w:proofErr w:type="gramEnd"/>
      <w:r>
        <w:t xml:space="preserve"> otrajā daļā paredzētā noziedzīgā nodarījuma sastāva pazīmes, apelācijas instances tiesa ir pieļāvusi Kriminālprocesa likuma 574.panta 2.punktā norādīto pārkāpumu.</w:t>
      </w:r>
    </w:p>
    <w:p w14:paraId="32E9A972" w14:textId="000DD250" w:rsidR="00316EA6" w:rsidRDefault="007275D2" w:rsidP="00E65FEC">
      <w:pPr>
        <w:spacing w:line="276" w:lineRule="auto"/>
        <w:ind w:firstLine="652"/>
        <w:jc w:val="both"/>
      </w:pPr>
      <w:r>
        <w:t>[6.2] Kasācijas sūdzībā</w:t>
      </w:r>
      <w:r w:rsidR="00FA344E">
        <w:t>,</w:t>
      </w:r>
      <w:r w:rsidR="00A03EC5">
        <w:t xml:space="preserve"> tāpat kā </w:t>
      </w:r>
      <w:r w:rsidR="00A419D4">
        <w:t>pirmās</w:t>
      </w:r>
      <w:r w:rsidR="00A03EC5">
        <w:t xml:space="preserve"> instances tiesā</w:t>
      </w:r>
      <w:r w:rsidR="00FA344E">
        <w:t>,</w:t>
      </w:r>
      <w:r w:rsidR="00A03EC5">
        <w:t xml:space="preserve"> </w:t>
      </w:r>
      <w:r w:rsidR="00D3558B">
        <w:t>[pers. A]</w:t>
      </w:r>
      <w:r w:rsidR="00A03EC5">
        <w:t xml:space="preserve"> apstrīdējis ķīmiskās ekspertīzes atzinumos secināto</w:t>
      </w:r>
      <w:r w:rsidR="004B5CB8">
        <w:t>, ka kratīšan</w:t>
      </w:r>
      <w:r w:rsidR="00981AB5">
        <w:t>ā</w:t>
      </w:r>
      <w:r w:rsidR="004B5CB8">
        <w:t xml:space="preserve"> izņemtajā</w:t>
      </w:r>
      <w:r w:rsidR="00981AB5">
        <w:t xml:space="preserve"> un ekspertīzei nodotajā</w:t>
      </w:r>
      <w:r w:rsidR="004B5CB8">
        <w:t xml:space="preserve"> nežāvēt</w:t>
      </w:r>
      <w:r w:rsidR="00981AB5">
        <w:t>o</w:t>
      </w:r>
      <w:r w:rsidR="004B5CB8">
        <w:t xml:space="preserve"> augu mas</w:t>
      </w:r>
      <w:r w:rsidR="00316EA6">
        <w:t>ā</w:t>
      </w:r>
      <w:r w:rsidR="004B5CB8">
        <w:t xml:space="preserve"> un izžāvēt</w:t>
      </w:r>
      <w:r w:rsidR="00316EA6">
        <w:t>o augu masā</w:t>
      </w:r>
      <w:r w:rsidR="004B5CB8">
        <w:t xml:space="preserve"> ir konstatēta augu valsts izcelsmes viela, kas ir kanabis</w:t>
      </w:r>
      <w:r w:rsidR="002861B3">
        <w:t>s</w:t>
      </w:r>
      <w:r w:rsidR="004B5CB8">
        <w:t xml:space="preserve"> (marihuāna)</w:t>
      </w:r>
      <w:r w:rsidR="00E65FEC">
        <w:t>.</w:t>
      </w:r>
    </w:p>
    <w:p w14:paraId="0FEDF727" w14:textId="4DF32F01" w:rsidR="00E65FEC" w:rsidRDefault="002861B3" w:rsidP="00971BE9">
      <w:pPr>
        <w:spacing w:line="276" w:lineRule="auto"/>
        <w:ind w:firstLine="652"/>
        <w:jc w:val="both"/>
      </w:pPr>
      <w:r>
        <w:t xml:space="preserve">Saskaņā ar </w:t>
      </w:r>
      <w:r w:rsidR="00316EA6">
        <w:t xml:space="preserve">Kriminālprocesa likuma </w:t>
      </w:r>
      <w:proofErr w:type="gramStart"/>
      <w:r w:rsidR="00316EA6">
        <w:t>569.panta</w:t>
      </w:r>
      <w:proofErr w:type="gramEnd"/>
      <w:r w:rsidR="00316EA6">
        <w:t xml:space="preserve"> pirmajā un trešajā daļā noteikto kasācijas instances tiesa pierādījumus no jauna neizvērtē un lietas faktiskos apstākļus neskaidro</w:t>
      </w:r>
      <w:r w:rsidR="00896956">
        <w:t>. Minēto</w:t>
      </w:r>
      <w:r w:rsidR="00316EA6">
        <w:t xml:space="preserve"> atbilstoši Kriminālprocesa likuma </w:t>
      </w:r>
      <w:proofErr w:type="gramStart"/>
      <w:r w:rsidR="00316EA6">
        <w:t>23.pantā</w:t>
      </w:r>
      <w:proofErr w:type="gramEnd"/>
      <w:r w:rsidR="00316EA6">
        <w:t xml:space="preserve"> noteiktajam veic tiesa, kas iztiesā lietu pēc būtības</w:t>
      </w:r>
      <w:r w:rsidR="00896956">
        <w:t xml:space="preserve">. </w:t>
      </w:r>
      <w:r w:rsidR="00316EA6">
        <w:t xml:space="preserve">Savukārt </w:t>
      </w:r>
      <w:r w:rsidR="00316EA6" w:rsidRPr="00C606CB">
        <w:t xml:space="preserve">no </w:t>
      </w:r>
      <w:r w:rsidR="005F71E9" w:rsidRPr="00C606CB">
        <w:t>pirmās</w:t>
      </w:r>
      <w:r w:rsidR="00316EA6" w:rsidRPr="00C606CB">
        <w:t xml:space="preserve"> instances tiesas</w:t>
      </w:r>
      <w:r w:rsidR="00316EA6">
        <w:t xml:space="preserve"> sēžu audioierakstiem konstatējams, ka </w:t>
      </w:r>
      <w:proofErr w:type="gramStart"/>
      <w:r w:rsidR="00316EA6">
        <w:t>apmierināts apsūdzētā</w:t>
      </w:r>
      <w:proofErr w:type="gramEnd"/>
      <w:r w:rsidR="00316EA6">
        <w:t xml:space="preserve"> </w:t>
      </w:r>
      <w:r w:rsidR="00D3558B">
        <w:t>[pers. A]</w:t>
      </w:r>
      <w:r w:rsidR="00316EA6">
        <w:t xml:space="preserve"> pieteiktais lūgums un t</w:t>
      </w:r>
      <w:r w:rsidR="00896956">
        <w:t>iesas sēdē nopratināta eksperte</w:t>
      </w:r>
      <w:r w:rsidR="00316EA6">
        <w:t xml:space="preserve"> </w:t>
      </w:r>
      <w:r w:rsidR="00D3558B">
        <w:t>[pers. B]</w:t>
      </w:r>
      <w:r w:rsidR="00316EA6">
        <w:t xml:space="preserve">. </w:t>
      </w:r>
      <w:r w:rsidR="00A419D4">
        <w:t>Eksperte norādījusi uz</w:t>
      </w:r>
      <w:r w:rsidR="00316EA6">
        <w:t xml:space="preserve"> ķīmisk</w:t>
      </w:r>
      <w:r w:rsidR="00971BE9">
        <w:t>ajā</w:t>
      </w:r>
      <w:r w:rsidR="00316EA6">
        <w:t xml:space="preserve"> ekspertī</w:t>
      </w:r>
      <w:r w:rsidR="00971BE9">
        <w:t xml:space="preserve">zē izmantotās metodes būtību, ekspertīzes gaitu, atbildējusi uz procesā iesaistīto personu jautājumiem. </w:t>
      </w:r>
      <w:r w:rsidR="00E65FEC">
        <w:t xml:space="preserve">Līdz ar to Senāts atzīst par nepamatotu </w:t>
      </w:r>
      <w:r w:rsidR="00D3558B">
        <w:t>[pers. A]</w:t>
      </w:r>
      <w:r w:rsidR="00971BE9">
        <w:t xml:space="preserve"> sūdzībā pausto </w:t>
      </w:r>
      <w:r w:rsidR="00E65FEC">
        <w:t>apgalvojumu, ka</w:t>
      </w:r>
      <w:r w:rsidR="00971BE9">
        <w:t xml:space="preserve"> pārkāptas viņa tiesības uz aizstāvību, liedzot īstenot Kriminālprocesa likuma </w:t>
      </w:r>
      <w:proofErr w:type="gramStart"/>
      <w:r w:rsidR="00971BE9">
        <w:t>66.panta</w:t>
      </w:r>
      <w:proofErr w:type="gramEnd"/>
      <w:r w:rsidR="00971BE9">
        <w:t xml:space="preserve"> pirmās daļas 7.punktā noteiktās tiesības, proti, iepazīties ar lēmumu par ekspertīzes noteikšanu pirms tā nodošanas izpildei un lūgt, lai tiek uzdoti papildjautājumi, par kuriem ekspertam jādod atzinums. </w:t>
      </w:r>
      <w:r w:rsidR="005F71E9" w:rsidRPr="00C606CB">
        <w:t>Apsūdzētais izmantojis tiesības uzdot jautājumus ekspertei.</w:t>
      </w:r>
      <w:r w:rsidR="005F71E9">
        <w:t xml:space="preserve"> </w:t>
      </w:r>
    </w:p>
    <w:p w14:paraId="317154A9" w14:textId="05739499" w:rsidR="00B74794" w:rsidRDefault="00B74794" w:rsidP="00B74794">
      <w:pPr>
        <w:spacing w:line="276" w:lineRule="auto"/>
        <w:ind w:firstLine="652"/>
        <w:jc w:val="both"/>
      </w:pPr>
      <w:r>
        <w:t xml:space="preserve">Sūdzībā norādītās Eiropas Parlamenta un Padomes </w:t>
      </w:r>
      <w:proofErr w:type="gramStart"/>
      <w:r>
        <w:t>2013.gada</w:t>
      </w:r>
      <w:proofErr w:type="gramEnd"/>
      <w:r>
        <w:t xml:space="preserve"> 17.decembra Regulas (ES) Nr. 1307/2013, ar ko izveido noteikumus par lauksaimniekiem paredzētajiem tiešajiem maksājumiem, kurus veic saskaņā ar kopējās lauksaimniecības politikas atbalsta shēmām, un ar ko atceļ Padomes Regulu (EK) Nr. 637/2008 un Padomes R</w:t>
      </w:r>
      <w:r w:rsidR="00D0743F">
        <w:t>egulu (EK) Nr. 73/2009 (turpmāk </w:t>
      </w:r>
      <w:r>
        <w:t xml:space="preserve">– Regula Nr. 1307/2013), piemērošanas joma ir norādīta attiecīgā tiesību akta 1.pantā „Darbības joma”. Minētais pants kopsakarā ar preambulas 3.apsvērumu, norāda, ka šī regula attiecas uz Eiropas Savienības atbalsta maksājumiem lauksaimniekiem, proti, nosaka Eiropas Savienības kopējās lauksaimniecības politikas īstenošanu. Atbilstoši Eiropas Savienības tiesību piemērošanas vispārējiem principiem, ja atšķiras normatīvā regulējuma piemērošanas mērķis, </w:t>
      </w:r>
      <w:r>
        <w:lastRenderedPageBreak/>
        <w:t>pat vienādu jēdzienu interpretācija var nebūt vienāda (</w:t>
      </w:r>
      <w:r w:rsidRPr="00FE2991">
        <w:rPr>
          <w:i/>
          <w:iCs/>
        </w:rPr>
        <w:t>sal., piemēram, Eiropas Savienības Tiesas 2016.gada 27.aprīļa sprieduma lietā „X”, C-528/14, ECLI:EU:C:2016:304</w:t>
      </w:r>
      <w:r>
        <w:t xml:space="preserve">). Attiecīgi Regulas Nr. 1307/2013 normas nav piemērojamas, lai pārbaudītu kaņepju ķīmisko vielu sastāva kaitīgumu noziedzīgā nodarījuma gadījumā.  </w:t>
      </w:r>
    </w:p>
    <w:p w14:paraId="5B73AFEB" w14:textId="293DBA3F" w:rsidR="00BC4BA3" w:rsidRDefault="00BC4BA3" w:rsidP="00BC4BA3">
      <w:pPr>
        <w:spacing w:line="276" w:lineRule="auto"/>
        <w:ind w:firstLine="652"/>
        <w:jc w:val="both"/>
      </w:pPr>
      <w:r>
        <w:t xml:space="preserve">Turklāt Senāts norāda uz vispārpieejamo informāciju. Proti, ka Valsts policijas Kriminālistikas pārvaldes Ķīmisko ekspertīžu nodaļa vairāk nekā 20 gadus piedalās ANO Narkotiku un noziedzības biroja (UNODC) organizētajā starplaboratoriju salīdzinošajā testēšanā, </w:t>
      </w:r>
      <w:r w:rsidR="00971BE9">
        <w:t>ko</w:t>
      </w:r>
      <w:r>
        <w:t xml:space="preserve"> izmanto, lai pārbaudītu konkrētās laboratorijas spēju kompetenti veikt specifisko testēšanu un kontrolētu laboratorijas testēšanas rezultātu atbilstību un salīdzināmību</w:t>
      </w:r>
      <w:r w:rsidR="00971BE9">
        <w:t xml:space="preserve"> </w:t>
      </w:r>
      <w:proofErr w:type="gramStart"/>
      <w:r w:rsidR="00971BE9">
        <w:t>(</w:t>
      </w:r>
      <w:proofErr w:type="gramEnd"/>
      <w:r w:rsidR="002861B3">
        <w:rPr>
          <w:i/>
          <w:iCs/>
        </w:rPr>
        <w:t>P</w:t>
      </w:r>
      <w:r w:rsidR="00971BE9" w:rsidRPr="008A190B">
        <w:rPr>
          <w:i/>
          <w:iCs/>
        </w:rPr>
        <w:t>ieejams</w:t>
      </w:r>
      <w:r w:rsidR="002861B3">
        <w:rPr>
          <w:i/>
          <w:iCs/>
        </w:rPr>
        <w:t>: </w:t>
      </w:r>
      <w:hyperlink r:id="rId8" w:history="1">
        <w:r w:rsidR="002861B3" w:rsidRPr="002861B3">
          <w:rPr>
            <w:rStyle w:val="Hyperlink"/>
            <w:i/>
            <w:color w:val="auto"/>
            <w:u w:val="none"/>
          </w:rPr>
          <w:t>http://www.ekspertize.vp.gov.lv/index.php?sadala=zinas/56&amp;ln=lv</w:t>
        </w:r>
      </w:hyperlink>
      <w:r w:rsidR="008A190B" w:rsidRPr="002861B3">
        <w:rPr>
          <w:i/>
        </w:rPr>
        <w:t>)</w:t>
      </w:r>
      <w:r w:rsidRPr="002861B3">
        <w:rPr>
          <w:i/>
        </w:rPr>
        <w:t>.</w:t>
      </w:r>
    </w:p>
    <w:p w14:paraId="05006B9D" w14:textId="2F10C564" w:rsidR="00384EB7" w:rsidRDefault="00B74794" w:rsidP="00F0445F">
      <w:pPr>
        <w:spacing w:line="276" w:lineRule="auto"/>
        <w:ind w:firstLine="652"/>
        <w:contextualSpacing/>
        <w:jc w:val="both"/>
      </w:pPr>
      <w:r>
        <w:t xml:space="preserve"> </w:t>
      </w:r>
      <w:r w:rsidR="00BC4BA3">
        <w:t xml:space="preserve">[6.3] Pierādījumu ticamības jēdziens un novērtēšanas prasības ir noteiktas Kriminālprocesa likuma </w:t>
      </w:r>
      <w:proofErr w:type="gramStart"/>
      <w:r w:rsidR="00BC4BA3">
        <w:t>128.pantā</w:t>
      </w:r>
      <w:proofErr w:type="gramEnd"/>
      <w:r w:rsidR="00BC4BA3">
        <w:t>, taču izvēle, kuriem pierādījumiem ticēt, bet kuriem nē, ir tās tiesas kompetencē, kas izspriež lietu pēc būtības. Turklāt arī jautājums par to, vai lietā esošie pierādījumi ir vai nav pietiekami apsūdzētā vainīguma konstatēšanai, ir būtības jautājums, kas kasācijas kārtībā nav pārbaudāms. Arī pierādījumu pietiekamības kritērijs ir saprātīgu šaubu esība vai neesība par apsūdzētā vainīgumu, kura izvērtēšana tāpat ir tās tiesas kompetencē, kas iz</w:t>
      </w:r>
      <w:r w:rsidR="00FE2991">
        <w:t>spriež</w:t>
      </w:r>
      <w:r w:rsidR="00BC4BA3">
        <w:t xml:space="preserve"> lietu pēc būtības.</w:t>
      </w:r>
    </w:p>
    <w:p w14:paraId="5955C4B1" w14:textId="1B0445F4" w:rsidR="000200E2" w:rsidRDefault="00F0445F" w:rsidP="000200E2">
      <w:pPr>
        <w:spacing w:line="276" w:lineRule="auto"/>
        <w:ind w:firstLine="652"/>
        <w:contextualSpacing/>
        <w:jc w:val="both"/>
      </w:pPr>
      <w:r>
        <w:t>Atzīstot</w:t>
      </w:r>
      <w:r w:rsidR="00A94A04">
        <w:t xml:space="preserve"> par pierādītu </w:t>
      </w:r>
      <w:r w:rsidR="00D3558B">
        <w:t>[pers. A]</w:t>
      </w:r>
      <w:r w:rsidR="00A94A04">
        <w:t xml:space="preserve"> vainīgumu</w:t>
      </w:r>
      <w:r>
        <w:t xml:space="preserve"> Krimināllikuma 253.</w:t>
      </w:r>
      <w:proofErr w:type="gramStart"/>
      <w:r w:rsidR="002861B3">
        <w:rPr>
          <w:vertAlign w:val="superscript"/>
        </w:rPr>
        <w:t>1</w:t>
      </w:r>
      <w:r>
        <w:t>panta</w:t>
      </w:r>
      <w:proofErr w:type="gramEnd"/>
      <w:r>
        <w:t xml:space="preserve"> trešajā daļā paredzētajā noziedzīgaj</w:t>
      </w:r>
      <w:r w:rsidR="00A94A04">
        <w:t>ā</w:t>
      </w:r>
      <w:r w:rsidR="0080052F">
        <w:t xml:space="preserve"> nodarījumā</w:t>
      </w:r>
      <w:r>
        <w:t xml:space="preserve">, </w:t>
      </w:r>
      <w:r w:rsidR="00A94A04">
        <w:t xml:space="preserve">apelācijas instances tiesa </w:t>
      </w:r>
      <w:r>
        <w:t xml:space="preserve">savus secinājumus pamatojusi ar </w:t>
      </w:r>
      <w:r w:rsidR="00C14ABB">
        <w:t>krimināllietā iegūtajiem pierādījumiem, kas pārbaudīti tiesas izmeklēšanā un izvērtēti spriedumā.</w:t>
      </w:r>
    </w:p>
    <w:p w14:paraId="5B9DE340" w14:textId="35A50C8B" w:rsidR="00951E22" w:rsidRPr="00951E22" w:rsidRDefault="00951E22" w:rsidP="00951E22">
      <w:pPr>
        <w:spacing w:line="276" w:lineRule="auto"/>
        <w:ind w:firstLine="652"/>
        <w:contextualSpacing/>
        <w:jc w:val="both"/>
      </w:pPr>
      <w:r w:rsidRPr="00951E22">
        <w:t xml:space="preserve">Senāts norāda, ka ar narkotisko vielu realizēšanu jāsaprot jebkādi to tālāk nodošanas paņēmieni, ar kuru palīdzību šīs vielas nonāk citas personas īpašumā vai valdījumā, proti, pārdošana, aizdošana, uzdāvināšana, parāda atdošana, injicēšana citai personai. Turklāt arī uzcienāšana ar narkotiskajām vielām atzīstama par to realizēšanu. Apelācijas instances tiesa, izvērtējot apsūdzētā </w:t>
      </w:r>
      <w:r w:rsidR="00D3558B">
        <w:t>[pers. A]</w:t>
      </w:r>
      <w:r w:rsidRPr="00951E22">
        <w:t xml:space="preserve"> liecības visa kriminālprocesa laikā, konstatējusi, ka viņš pirmstiesas procesā sniegtajā</w:t>
      </w:r>
      <w:r>
        <w:t>s</w:t>
      </w:r>
      <w:r w:rsidRPr="00951E22">
        <w:t xml:space="preserve"> liecībās atzinis gan narkotisko vielu realizēšanu, gan uzcienāšanu. Par šādiem apstākļiem liecinājuši arī liecinieki </w:t>
      </w:r>
      <w:r w:rsidR="00D3558B">
        <w:t>[pers. C]</w:t>
      </w:r>
      <w:r w:rsidRPr="00951E22">
        <w:t xml:space="preserve"> un </w:t>
      </w:r>
      <w:r w:rsidR="00D3558B">
        <w:t>[pers. D]</w:t>
      </w:r>
      <w:r w:rsidRPr="00951E22">
        <w:t>. Minēto liecinieku liecības apelācijas instances tiesa izvērtējusi kopsakarībā ar apsūdzētā sniegtajām liecībām.</w:t>
      </w:r>
    </w:p>
    <w:p w14:paraId="600BFE04" w14:textId="446ECCAC" w:rsidR="00951E22" w:rsidRDefault="00951E22" w:rsidP="00951E22">
      <w:pPr>
        <w:spacing w:line="276" w:lineRule="auto"/>
        <w:ind w:firstLine="652"/>
        <w:contextualSpacing/>
        <w:jc w:val="both"/>
      </w:pPr>
      <w:r w:rsidRPr="00951E22">
        <w:t xml:space="preserve">Atzīstot, ka </w:t>
      </w:r>
      <w:r w:rsidR="00D3558B">
        <w:t>[pers. A]</w:t>
      </w:r>
      <w:r w:rsidRPr="00951E22">
        <w:t xml:space="preserve"> izdarījis Krimināllikuma 253.</w:t>
      </w:r>
      <w:proofErr w:type="gramStart"/>
      <w:r>
        <w:rPr>
          <w:vertAlign w:val="superscript"/>
        </w:rPr>
        <w:t>1</w:t>
      </w:r>
      <w:r w:rsidRPr="00951E22">
        <w:t>pantā</w:t>
      </w:r>
      <w:proofErr w:type="gramEnd"/>
      <w:r w:rsidRPr="00951E22">
        <w:t xml:space="preserve"> paredzēto noziedzīgo nodarījumu, bet ir konstatējami vairāki šo nodarījumu kvalificējošie apstākļi, kas paredzēti minētā panta pirmajā un trešajā daļā, apelācijas instances tiesa pamatoti atzinusi, ka </w:t>
      </w:r>
      <w:r w:rsidR="00D3558B">
        <w:t>[pers. A]</w:t>
      </w:r>
      <w:r w:rsidRPr="00951E22">
        <w:t xml:space="preserve"> darbības kvalificējamas tikai pēc šā panta trešās daļas, kura paredz atbildību par smagāko nodarījumu.</w:t>
      </w:r>
      <w:r w:rsidR="00896956">
        <w:t xml:space="preserve"> </w:t>
      </w:r>
      <w:r w:rsidRPr="00951E22">
        <w:t>Spriedumā pamatoti norādīti visi Krimināllikuma 253.</w:t>
      </w:r>
      <w:r w:rsidR="00C606CB">
        <w:rPr>
          <w:vertAlign w:val="superscript"/>
        </w:rPr>
        <w:t>1</w:t>
      </w:r>
      <w:r w:rsidRPr="00951E22">
        <w:t xml:space="preserve">pantā paredzētie noziedzīgo nodarījumu kvalificējošie apstākļi. </w:t>
      </w:r>
      <w:r w:rsidR="00640C53">
        <w:t>Līdz ar to</w:t>
      </w:r>
      <w:r w:rsidRPr="00951E22">
        <w:t xml:space="preserve"> apelācijas instances tiesai nebija pamata sprieduma rezolutīvajā daļā norādīt, ka pēc Krimināllikuma 253.</w:t>
      </w:r>
      <w:r w:rsidR="00C606CB">
        <w:rPr>
          <w:vertAlign w:val="superscript"/>
        </w:rPr>
        <w:t>1</w:t>
      </w:r>
      <w:r w:rsidRPr="00951E22">
        <w:t xml:space="preserve">panta pirmās daļas </w:t>
      </w:r>
      <w:r w:rsidR="00D3558B">
        <w:t>[pers. A]</w:t>
      </w:r>
      <w:r w:rsidRPr="00951E22">
        <w:t xml:space="preserve"> attaisnojams. Šādu attaisnošanas pamatu neparedz arī likums.</w:t>
      </w:r>
    </w:p>
    <w:p w14:paraId="08F75BF8" w14:textId="471CC4D5" w:rsidR="00A00682" w:rsidRDefault="00951E22" w:rsidP="00951E22">
      <w:pPr>
        <w:spacing w:line="276" w:lineRule="auto"/>
        <w:ind w:firstLine="652"/>
        <w:contextualSpacing/>
        <w:jc w:val="both"/>
      </w:pPr>
      <w:r>
        <w:t xml:space="preserve">[6.4] </w:t>
      </w:r>
      <w:r w:rsidR="00384EB7">
        <w:t>Kā jau iepriekš šajā lēmumā norādīts</w:t>
      </w:r>
      <w:r w:rsidR="00420191">
        <w:t>,</w:t>
      </w:r>
      <w:r w:rsidR="00384EB7">
        <w:t xml:space="preserve"> </w:t>
      </w:r>
      <w:r w:rsidR="00A00682">
        <w:t>kasācijas instances tiesa pierādījumus no jauna neizvērtē un lietas faktiskos apstākļus neskaidro. Savukārt citāda pierādījumu vērtēšana kasācijas sūdzībā, nekā tos vērtējusi apelācijas instances tiesa, ja, izvērtējot pierādījumus, nav pieļauti Kriminālprocesa likuma pārkāpumi, nevar būt par pamatu apelācijas instances tiesas nolēmuma atcelšanai (</w:t>
      </w:r>
      <w:r w:rsidR="00A00682" w:rsidRPr="00773975">
        <w:rPr>
          <w:i/>
        </w:rPr>
        <w:t xml:space="preserve">Augstākās tiesas </w:t>
      </w:r>
      <w:proofErr w:type="gramStart"/>
      <w:r w:rsidR="00A00682" w:rsidRPr="00773975">
        <w:rPr>
          <w:i/>
        </w:rPr>
        <w:t>2019.gada</w:t>
      </w:r>
      <w:proofErr w:type="gramEnd"/>
      <w:r w:rsidR="00A00682" w:rsidRPr="00773975">
        <w:rPr>
          <w:i/>
        </w:rPr>
        <w:t xml:space="preserve"> 3.maija lēmums lietā Nr. SKK-59/2019, ECLI:LV:AT:2019:0503.11502002111.3.L</w:t>
      </w:r>
      <w:r w:rsidR="00A00682">
        <w:t xml:space="preserve">).    </w:t>
      </w:r>
    </w:p>
    <w:p w14:paraId="6C0ED2D9" w14:textId="3636DD53" w:rsidR="00A94A04" w:rsidRDefault="00A00682" w:rsidP="00A94A04">
      <w:pPr>
        <w:spacing w:line="276" w:lineRule="auto"/>
        <w:ind w:firstLine="652"/>
        <w:contextualSpacing/>
        <w:jc w:val="both"/>
      </w:pPr>
      <w:r>
        <w:lastRenderedPageBreak/>
        <w:t>Senāts atzīst, ka apelācijas instances tiesa</w:t>
      </w:r>
      <w:r w:rsidR="00A94A04">
        <w:t xml:space="preserve"> </w:t>
      </w:r>
      <w:r>
        <w:t xml:space="preserve">nav pieļāvusi Krimināllikuma pārkāpumus vai Kriminālprocesa likuma būtiskus pārkāpumus, kas būtu par pamatu apelācijas instances tiesas </w:t>
      </w:r>
      <w:r w:rsidR="002861B3">
        <w:t>sprieduma</w:t>
      </w:r>
      <w:r>
        <w:t xml:space="preserve"> atcelšanai vai grozīšanai</w:t>
      </w:r>
      <w:r w:rsidR="00384EB7">
        <w:t xml:space="preserve"> daļā par </w:t>
      </w:r>
      <w:r w:rsidR="00D3558B">
        <w:t>[pers. A]</w:t>
      </w:r>
      <w:r w:rsidR="00384EB7">
        <w:t xml:space="preserve"> atzīšanu par vainīgu </w:t>
      </w:r>
      <w:r w:rsidR="0080052F">
        <w:t xml:space="preserve">un sodīšanu </w:t>
      </w:r>
      <w:r w:rsidR="00384EB7">
        <w:t>Krimināllikuma 253.</w:t>
      </w:r>
      <w:proofErr w:type="gramStart"/>
      <w:r w:rsidR="00896956">
        <w:rPr>
          <w:vertAlign w:val="superscript"/>
        </w:rPr>
        <w:t>1</w:t>
      </w:r>
      <w:r w:rsidR="00384EB7">
        <w:t>panta</w:t>
      </w:r>
      <w:proofErr w:type="gramEnd"/>
      <w:r w:rsidR="00384EB7">
        <w:t xml:space="preserve"> trešajā daļā paredzētajā noziedzīgajā nodarījumā.</w:t>
      </w:r>
    </w:p>
    <w:p w14:paraId="330DDD80" w14:textId="77777777" w:rsidR="00A94A04" w:rsidRDefault="00A94A04" w:rsidP="00A94A04">
      <w:pPr>
        <w:spacing w:line="276" w:lineRule="auto"/>
        <w:ind w:firstLine="652"/>
        <w:contextualSpacing/>
        <w:jc w:val="both"/>
      </w:pPr>
    </w:p>
    <w:p w14:paraId="64B01021" w14:textId="755291B5" w:rsidR="00050681" w:rsidRDefault="00A94A04" w:rsidP="00951E22">
      <w:pPr>
        <w:pStyle w:val="tv213"/>
        <w:spacing w:before="0" w:beforeAutospacing="0" w:after="0" w:afterAutospacing="0" w:line="276" w:lineRule="auto"/>
        <w:ind w:firstLine="720"/>
        <w:contextualSpacing/>
        <w:jc w:val="both"/>
      </w:pPr>
      <w:r>
        <w:t>[7] </w:t>
      </w:r>
      <w:r w:rsidR="00050681">
        <w:t xml:space="preserve">Atbilstoši Kriminālprocesa likuma </w:t>
      </w:r>
      <w:proofErr w:type="gramStart"/>
      <w:r w:rsidR="00050681">
        <w:t>588.panta</w:t>
      </w:r>
      <w:proofErr w:type="gramEnd"/>
      <w:r w:rsidR="00050681">
        <w:t xml:space="preserve"> 3.</w:t>
      </w:r>
      <w:r w:rsidR="00050681" w:rsidRPr="00050681">
        <w:rPr>
          <w:vertAlign w:val="superscript"/>
        </w:rPr>
        <w:t>1</w:t>
      </w:r>
      <w:r w:rsidR="00050681">
        <w:t>daļā noteiktajam, kasācijas instances tiesa izlemj jautājumu par drošības līdzekli.</w:t>
      </w:r>
    </w:p>
    <w:p w14:paraId="0A90D0AE" w14:textId="53B34A21" w:rsidR="00951E22" w:rsidRDefault="00951E22" w:rsidP="00951E22">
      <w:pPr>
        <w:pStyle w:val="tv213"/>
        <w:spacing w:before="0" w:beforeAutospacing="0" w:after="0" w:afterAutospacing="0" w:line="276" w:lineRule="auto"/>
        <w:ind w:firstLine="720"/>
        <w:contextualSpacing/>
        <w:jc w:val="both"/>
      </w:pPr>
      <w:r>
        <w:t xml:space="preserve">Apsūdzētajam </w:t>
      </w:r>
      <w:r w:rsidR="00D3558B">
        <w:t>[pers. A]</w:t>
      </w:r>
      <w:r>
        <w:t xml:space="preserve"> pirmstiesas procesā piemērots drošības līdzeklis –  nodošana policijas uzraudzībā. Ar pirmās instances tiesas spriedumu piemērotais drošības līdzeklis atstāts negrozīts līdz sprieduma stāšanās spēkā.</w:t>
      </w:r>
    </w:p>
    <w:p w14:paraId="393DADA8" w14:textId="109BCDC9" w:rsidR="00EF39DB" w:rsidRDefault="00951E22" w:rsidP="00896956">
      <w:pPr>
        <w:pStyle w:val="tv213"/>
        <w:spacing w:before="0" w:beforeAutospacing="0" w:after="0" w:afterAutospacing="0" w:line="276" w:lineRule="auto"/>
        <w:ind w:firstLine="720"/>
        <w:contextualSpacing/>
        <w:jc w:val="both"/>
      </w:pPr>
      <w:r>
        <w:t xml:space="preserve">Senāts atzīst, ka šajā kriminālprocesa stadijā </w:t>
      </w:r>
      <w:r w:rsidR="00D3558B">
        <w:t>[pers. A]</w:t>
      </w:r>
      <w:r>
        <w:t xml:space="preserve"> turpināma drošības līdzekļa – nodošana</w:t>
      </w:r>
      <w:r w:rsidR="00050681">
        <w:t>s</w:t>
      </w:r>
      <w:r>
        <w:t xml:space="preserve"> policijas uzraudzībā – piemērošana, jo nav konstatēti apstākļi, kas saskaņā ar Kriminālprocesa likuma </w:t>
      </w:r>
      <w:proofErr w:type="gramStart"/>
      <w:r>
        <w:t>249.panta</w:t>
      </w:r>
      <w:proofErr w:type="gramEnd"/>
      <w:r>
        <w:t xml:space="preserve"> pirmo daļu varētu būt par pamatu piemērotā drošības līdzekļa atcelšanai vai grozīšanai. Norādītais drošības līdzeklis </w:t>
      </w:r>
      <w:r w:rsidR="00896956">
        <w:t>izskatāmajā</w:t>
      </w:r>
      <w:r>
        <w:t xml:space="preserve"> lietā ir atzīstams par samērīgu.</w:t>
      </w:r>
    </w:p>
    <w:p w14:paraId="43CD755B" w14:textId="77777777" w:rsidR="00B74794" w:rsidRDefault="00B74794" w:rsidP="00896956">
      <w:pPr>
        <w:pStyle w:val="tv213"/>
        <w:spacing w:before="0" w:beforeAutospacing="0" w:after="0" w:afterAutospacing="0" w:line="276" w:lineRule="auto"/>
        <w:ind w:firstLine="720"/>
        <w:contextualSpacing/>
        <w:jc w:val="both"/>
      </w:pPr>
    </w:p>
    <w:p w14:paraId="0E3BE7AB" w14:textId="77777777" w:rsidR="00EF39DB" w:rsidRPr="00473F47" w:rsidRDefault="00EF39DB" w:rsidP="00EF39DB">
      <w:pPr>
        <w:pStyle w:val="tv213"/>
        <w:spacing w:before="0" w:beforeAutospacing="0" w:after="0" w:afterAutospacing="0" w:line="276" w:lineRule="auto"/>
        <w:ind w:firstLine="720"/>
        <w:contextualSpacing/>
        <w:jc w:val="center"/>
        <w:rPr>
          <w:b/>
        </w:rPr>
      </w:pPr>
      <w:r w:rsidRPr="00473F47">
        <w:rPr>
          <w:b/>
        </w:rPr>
        <w:t>Rezolutīvā daļa</w:t>
      </w:r>
    </w:p>
    <w:p w14:paraId="2B33323C" w14:textId="77777777" w:rsidR="00EF39DB" w:rsidRDefault="00EF39DB" w:rsidP="00EF39DB">
      <w:pPr>
        <w:pStyle w:val="tv213"/>
        <w:spacing w:before="0" w:beforeAutospacing="0" w:after="0" w:afterAutospacing="0" w:line="276" w:lineRule="auto"/>
        <w:ind w:firstLine="720"/>
        <w:contextualSpacing/>
        <w:jc w:val="both"/>
      </w:pPr>
    </w:p>
    <w:p w14:paraId="661AFA97" w14:textId="77777777" w:rsidR="00EF39DB" w:rsidRPr="00473F47" w:rsidRDefault="00EF39DB" w:rsidP="00EF39DB">
      <w:pPr>
        <w:pStyle w:val="tv213"/>
        <w:spacing w:before="0" w:beforeAutospacing="0" w:after="0" w:afterAutospacing="0" w:line="276" w:lineRule="auto"/>
        <w:ind w:firstLine="720"/>
        <w:contextualSpacing/>
        <w:jc w:val="both"/>
      </w:pPr>
      <w:r w:rsidRPr="00473F47">
        <w:t>Pamatojoties uz Krim</w:t>
      </w:r>
      <w:r>
        <w:t xml:space="preserve">inālprocesa likuma 585. un </w:t>
      </w:r>
      <w:proofErr w:type="gramStart"/>
      <w:r>
        <w:t>587.</w:t>
      </w:r>
      <w:r w:rsidRPr="00473F47">
        <w:t>pantu</w:t>
      </w:r>
      <w:proofErr w:type="gramEnd"/>
      <w:r w:rsidRPr="00473F47">
        <w:t xml:space="preserve">, </w:t>
      </w:r>
      <w:r>
        <w:t>tiesa</w:t>
      </w:r>
    </w:p>
    <w:p w14:paraId="340C680B" w14:textId="77777777" w:rsidR="00EF39DB" w:rsidRDefault="00EF39DB" w:rsidP="00EF39DB">
      <w:pPr>
        <w:pStyle w:val="tv213"/>
        <w:spacing w:before="0" w:beforeAutospacing="0" w:after="0" w:afterAutospacing="0" w:line="276" w:lineRule="auto"/>
        <w:ind w:firstLine="720"/>
        <w:contextualSpacing/>
        <w:jc w:val="center"/>
        <w:rPr>
          <w:b/>
        </w:rPr>
      </w:pPr>
    </w:p>
    <w:p w14:paraId="5B004B21" w14:textId="77777777" w:rsidR="00EF39DB" w:rsidRDefault="00EF39DB" w:rsidP="00EF39DB">
      <w:pPr>
        <w:pStyle w:val="tv213"/>
        <w:spacing w:before="0" w:beforeAutospacing="0" w:after="0" w:afterAutospacing="0" w:line="276" w:lineRule="auto"/>
        <w:ind w:firstLine="720"/>
        <w:contextualSpacing/>
        <w:jc w:val="center"/>
        <w:rPr>
          <w:b/>
        </w:rPr>
      </w:pPr>
      <w:r>
        <w:rPr>
          <w:b/>
        </w:rPr>
        <w:t>nolēma:</w:t>
      </w:r>
    </w:p>
    <w:p w14:paraId="4BCE8F16" w14:textId="77777777" w:rsidR="005F71E9" w:rsidRDefault="005F71E9" w:rsidP="00EF39DB">
      <w:pPr>
        <w:pStyle w:val="tv213"/>
        <w:spacing w:before="0" w:beforeAutospacing="0" w:after="0" w:afterAutospacing="0" w:line="276" w:lineRule="auto"/>
        <w:ind w:firstLine="720"/>
        <w:contextualSpacing/>
        <w:jc w:val="center"/>
        <w:rPr>
          <w:b/>
        </w:rPr>
      </w:pPr>
    </w:p>
    <w:p w14:paraId="3C2C7955" w14:textId="337EAB6E" w:rsidR="00C606CB" w:rsidRDefault="00100447" w:rsidP="00C606CB">
      <w:pPr>
        <w:tabs>
          <w:tab w:val="left" w:pos="-3120"/>
        </w:tabs>
        <w:suppressAutoHyphens/>
        <w:spacing w:line="276" w:lineRule="auto"/>
        <w:ind w:firstLine="720"/>
        <w:contextualSpacing/>
        <w:jc w:val="both"/>
      </w:pPr>
      <w:r>
        <w:t xml:space="preserve">atcelt Vidzemes apgabaltiesas </w:t>
      </w:r>
      <w:proofErr w:type="gramStart"/>
      <w:r>
        <w:t>2019.gada</w:t>
      </w:r>
      <w:proofErr w:type="gramEnd"/>
      <w:r>
        <w:t xml:space="preserve"> 9.maija spriedumu daļā par</w:t>
      </w:r>
      <w:r w:rsidR="00A94A04">
        <w:t xml:space="preserve"> </w:t>
      </w:r>
      <w:r w:rsidR="00D3558B">
        <w:t>[pers. A]</w:t>
      </w:r>
      <w:r w:rsidR="00A94A04">
        <w:t xml:space="preserve"> atzīšanu par vainīgu un sodīšanu pēc Krimināllikuma 256.panta otrās daļas un daļā par </w:t>
      </w:r>
      <w:r w:rsidR="00D3558B">
        <w:t>[pers. A]</w:t>
      </w:r>
      <w:r w:rsidR="00A94A04">
        <w:t xml:space="preserve"> noteikto galīgo sodu sask</w:t>
      </w:r>
      <w:r w:rsidR="00C606CB">
        <w:t>aņā ar Krimināllikuma 50.pant</w:t>
      </w:r>
      <w:r w:rsidR="0080052F">
        <w:t>a pirmo un trešo daļu</w:t>
      </w:r>
      <w:r w:rsidR="00C606CB">
        <w:t>.</w:t>
      </w:r>
      <w:r w:rsidR="0080052F">
        <w:t xml:space="preserve"> Pārējā daļā Vidzemes apgabaltiesas </w:t>
      </w:r>
      <w:proofErr w:type="gramStart"/>
      <w:r w:rsidR="0080052F">
        <w:t>2019.gada</w:t>
      </w:r>
      <w:proofErr w:type="gramEnd"/>
      <w:r w:rsidR="0080052F">
        <w:t xml:space="preserve"> 9.maija spriedumu atstāt negrozītu.</w:t>
      </w:r>
    </w:p>
    <w:p w14:paraId="718F4EFD" w14:textId="676F49E2" w:rsidR="00C606CB" w:rsidRDefault="00A94A04" w:rsidP="00C606CB">
      <w:pPr>
        <w:tabs>
          <w:tab w:val="left" w:pos="-3120"/>
        </w:tabs>
        <w:suppressAutoHyphens/>
        <w:spacing w:line="276" w:lineRule="auto"/>
        <w:ind w:firstLine="720"/>
        <w:contextualSpacing/>
        <w:jc w:val="both"/>
      </w:pPr>
      <w:r>
        <w:t>Atceltajā daļā lietu nosūtīt jaunai izskatīšanai Vidzemes apgabalties</w:t>
      </w:r>
      <w:r w:rsidR="00C606CB">
        <w:t>ā.</w:t>
      </w:r>
    </w:p>
    <w:p w14:paraId="562A90A8" w14:textId="2511759E" w:rsidR="00C606CB" w:rsidRDefault="00D3558B" w:rsidP="00C606CB">
      <w:pPr>
        <w:tabs>
          <w:tab w:val="left" w:pos="-3120"/>
        </w:tabs>
        <w:suppressAutoHyphens/>
        <w:spacing w:line="276" w:lineRule="auto"/>
        <w:ind w:firstLine="720"/>
        <w:contextualSpacing/>
        <w:jc w:val="both"/>
      </w:pPr>
      <w:r>
        <w:rPr>
          <w:bCs/>
        </w:rPr>
        <w:t>[Pers. A]</w:t>
      </w:r>
      <w:r w:rsidR="00050681">
        <w:rPr>
          <w:bCs/>
        </w:rPr>
        <w:t xml:space="preserve"> turpināt piemērot drošības līdzekli – nodošanu policijas uzraudzībā.  </w:t>
      </w:r>
    </w:p>
    <w:p w14:paraId="23CD9BB4" w14:textId="39FC7272" w:rsidR="00EF39DB" w:rsidRPr="00C606CB" w:rsidRDefault="00EF39DB" w:rsidP="00C606CB">
      <w:pPr>
        <w:tabs>
          <w:tab w:val="left" w:pos="-3120"/>
        </w:tabs>
        <w:suppressAutoHyphens/>
        <w:spacing w:line="276" w:lineRule="auto"/>
        <w:ind w:firstLine="720"/>
        <w:contextualSpacing/>
        <w:jc w:val="both"/>
      </w:pPr>
      <w:r w:rsidRPr="00473F47">
        <w:rPr>
          <w:color w:val="000000"/>
        </w:rPr>
        <w:t>Lēmums nav pārsū</w:t>
      </w:r>
      <w:r>
        <w:rPr>
          <w:color w:val="000000"/>
        </w:rPr>
        <w:t>dzams.</w:t>
      </w:r>
    </w:p>
    <w:p w14:paraId="521A43FC" w14:textId="77777777" w:rsidR="001C6ABE" w:rsidRDefault="001C6ABE" w:rsidP="001C6ABE">
      <w:pPr>
        <w:ind w:firstLine="652"/>
      </w:pPr>
    </w:p>
    <w:p w14:paraId="0043DB02" w14:textId="77777777" w:rsidR="001C31A1" w:rsidRDefault="001C31A1" w:rsidP="001C6ABE">
      <w:pPr>
        <w:tabs>
          <w:tab w:val="left" w:pos="-3120"/>
        </w:tabs>
        <w:suppressAutoHyphens/>
        <w:spacing w:line="276" w:lineRule="auto"/>
        <w:contextualSpacing/>
        <w:jc w:val="both"/>
        <w:rPr>
          <w:color w:val="000000"/>
        </w:rPr>
      </w:pPr>
    </w:p>
    <w:sectPr w:rsidR="001C31A1" w:rsidSect="00D8444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63DE5" w14:textId="77777777" w:rsidR="00507D48" w:rsidRDefault="00507D48" w:rsidP="00D53C02">
      <w:r>
        <w:separator/>
      </w:r>
    </w:p>
  </w:endnote>
  <w:endnote w:type="continuationSeparator" w:id="0">
    <w:p w14:paraId="5C586C96" w14:textId="77777777" w:rsidR="00507D48" w:rsidRDefault="00507D48" w:rsidP="00D5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rPr>
      <w:id w:val="2048481741"/>
      <w:docPartObj>
        <w:docPartGallery w:val="Page Numbers (Bottom of Page)"/>
        <w:docPartUnique/>
      </w:docPartObj>
    </w:sdtPr>
    <w:sdtEndPr>
      <w:rPr>
        <w:b w:val="0"/>
      </w:rPr>
    </w:sdtEndPr>
    <w:sdtContent>
      <w:sdt>
        <w:sdtPr>
          <w:rPr>
            <w:b/>
          </w:rPr>
          <w:id w:val="1728636285"/>
          <w:docPartObj>
            <w:docPartGallery w:val="Page Numbers (Top of Page)"/>
            <w:docPartUnique/>
          </w:docPartObj>
        </w:sdtPr>
        <w:sdtEndPr>
          <w:rPr>
            <w:b w:val="0"/>
          </w:rPr>
        </w:sdtEndPr>
        <w:sdtContent>
          <w:p w14:paraId="3A16513F" w14:textId="77777777" w:rsidR="00D53C02" w:rsidRDefault="00D53C02">
            <w:pPr>
              <w:pStyle w:val="Footer"/>
              <w:jc w:val="center"/>
            </w:pPr>
            <w:r w:rsidRPr="00D53C02">
              <w:rPr>
                <w:bCs/>
              </w:rPr>
              <w:fldChar w:fldCharType="begin"/>
            </w:r>
            <w:r w:rsidRPr="00D53C02">
              <w:rPr>
                <w:bCs/>
              </w:rPr>
              <w:instrText xml:space="preserve"> PAGE </w:instrText>
            </w:r>
            <w:r w:rsidRPr="00D53C02">
              <w:rPr>
                <w:bCs/>
              </w:rPr>
              <w:fldChar w:fldCharType="separate"/>
            </w:r>
            <w:r w:rsidR="001C6ABE">
              <w:rPr>
                <w:bCs/>
                <w:noProof/>
              </w:rPr>
              <w:t>4</w:t>
            </w:r>
            <w:r w:rsidRPr="00D53C02">
              <w:rPr>
                <w:bCs/>
              </w:rPr>
              <w:fldChar w:fldCharType="end"/>
            </w:r>
            <w:r w:rsidRPr="00D53C02">
              <w:t xml:space="preserve"> no </w:t>
            </w:r>
            <w:r w:rsidRPr="00D53C02">
              <w:rPr>
                <w:bCs/>
              </w:rPr>
              <w:fldChar w:fldCharType="begin"/>
            </w:r>
            <w:r w:rsidRPr="00D53C02">
              <w:rPr>
                <w:bCs/>
              </w:rPr>
              <w:instrText xml:space="preserve"> NUMPAGES  </w:instrText>
            </w:r>
            <w:r w:rsidRPr="00D53C02">
              <w:rPr>
                <w:bCs/>
              </w:rPr>
              <w:fldChar w:fldCharType="separate"/>
            </w:r>
            <w:r w:rsidR="001C6ABE">
              <w:rPr>
                <w:bCs/>
                <w:noProof/>
              </w:rPr>
              <w:t>6</w:t>
            </w:r>
            <w:r w:rsidRPr="00D53C02">
              <w:rPr>
                <w:bCs/>
              </w:rPr>
              <w:fldChar w:fldCharType="end"/>
            </w:r>
          </w:p>
        </w:sdtContent>
      </w:sdt>
    </w:sdtContent>
  </w:sdt>
  <w:p w14:paraId="0537C1FF" w14:textId="77777777" w:rsidR="00D53C02" w:rsidRDefault="00D5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7A90E" w14:textId="77777777" w:rsidR="00507D48" w:rsidRDefault="00507D48" w:rsidP="00D53C02">
      <w:r>
        <w:separator/>
      </w:r>
    </w:p>
  </w:footnote>
  <w:footnote w:type="continuationSeparator" w:id="0">
    <w:p w14:paraId="0597CCA3" w14:textId="77777777" w:rsidR="00507D48" w:rsidRDefault="00507D48" w:rsidP="00D53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75"/>
    <w:rsid w:val="000007EE"/>
    <w:rsid w:val="0000203F"/>
    <w:rsid w:val="000200E2"/>
    <w:rsid w:val="00042CD2"/>
    <w:rsid w:val="00050681"/>
    <w:rsid w:val="00070C6F"/>
    <w:rsid w:val="000A28A7"/>
    <w:rsid w:val="000A7334"/>
    <w:rsid w:val="000C4FCD"/>
    <w:rsid w:val="00100447"/>
    <w:rsid w:val="00110BC5"/>
    <w:rsid w:val="00115183"/>
    <w:rsid w:val="0012534F"/>
    <w:rsid w:val="001424FB"/>
    <w:rsid w:val="00150095"/>
    <w:rsid w:val="00194E41"/>
    <w:rsid w:val="001C31A1"/>
    <w:rsid w:val="001C6ABE"/>
    <w:rsid w:val="001E0C6C"/>
    <w:rsid w:val="00210E89"/>
    <w:rsid w:val="00221148"/>
    <w:rsid w:val="0022268F"/>
    <w:rsid w:val="0022323C"/>
    <w:rsid w:val="0025345F"/>
    <w:rsid w:val="002861B3"/>
    <w:rsid w:val="002872F0"/>
    <w:rsid w:val="002F1616"/>
    <w:rsid w:val="00314A72"/>
    <w:rsid w:val="00316EA6"/>
    <w:rsid w:val="00325E40"/>
    <w:rsid w:val="00336396"/>
    <w:rsid w:val="003535D9"/>
    <w:rsid w:val="00370E7E"/>
    <w:rsid w:val="00384EB7"/>
    <w:rsid w:val="00391A2B"/>
    <w:rsid w:val="003B6146"/>
    <w:rsid w:val="003B6ABE"/>
    <w:rsid w:val="003C10EE"/>
    <w:rsid w:val="003D644D"/>
    <w:rsid w:val="003F0CB3"/>
    <w:rsid w:val="0041462F"/>
    <w:rsid w:val="00420191"/>
    <w:rsid w:val="00424A0C"/>
    <w:rsid w:val="0043111E"/>
    <w:rsid w:val="00483A63"/>
    <w:rsid w:val="004A4D3A"/>
    <w:rsid w:val="004A66E3"/>
    <w:rsid w:val="004B5CB8"/>
    <w:rsid w:val="004C7D74"/>
    <w:rsid w:val="004F5A1F"/>
    <w:rsid w:val="00507175"/>
    <w:rsid w:val="00507D48"/>
    <w:rsid w:val="0054549B"/>
    <w:rsid w:val="0055788D"/>
    <w:rsid w:val="00573DA4"/>
    <w:rsid w:val="005A149A"/>
    <w:rsid w:val="005A1824"/>
    <w:rsid w:val="005B2795"/>
    <w:rsid w:val="005B6F7E"/>
    <w:rsid w:val="005D093A"/>
    <w:rsid w:val="005F41FD"/>
    <w:rsid w:val="005F71E9"/>
    <w:rsid w:val="006051E8"/>
    <w:rsid w:val="00605B7D"/>
    <w:rsid w:val="00640C53"/>
    <w:rsid w:val="00650FF9"/>
    <w:rsid w:val="006767CE"/>
    <w:rsid w:val="0071057B"/>
    <w:rsid w:val="007275D2"/>
    <w:rsid w:val="00771468"/>
    <w:rsid w:val="0077673E"/>
    <w:rsid w:val="00796CF8"/>
    <w:rsid w:val="007B68C3"/>
    <w:rsid w:val="007E0E46"/>
    <w:rsid w:val="007F2FA6"/>
    <w:rsid w:val="007F7020"/>
    <w:rsid w:val="0080052F"/>
    <w:rsid w:val="0082274A"/>
    <w:rsid w:val="008242BF"/>
    <w:rsid w:val="00830A9A"/>
    <w:rsid w:val="00837F66"/>
    <w:rsid w:val="00843430"/>
    <w:rsid w:val="0085448A"/>
    <w:rsid w:val="0085746A"/>
    <w:rsid w:val="00857D63"/>
    <w:rsid w:val="00860F64"/>
    <w:rsid w:val="00865CD9"/>
    <w:rsid w:val="00880FC2"/>
    <w:rsid w:val="00896956"/>
    <w:rsid w:val="00896C88"/>
    <w:rsid w:val="008A190B"/>
    <w:rsid w:val="008C41B8"/>
    <w:rsid w:val="008D06DA"/>
    <w:rsid w:val="008E7D20"/>
    <w:rsid w:val="0093421C"/>
    <w:rsid w:val="00951E22"/>
    <w:rsid w:val="00963BA3"/>
    <w:rsid w:val="00971BE9"/>
    <w:rsid w:val="00981AB5"/>
    <w:rsid w:val="009A4DF4"/>
    <w:rsid w:val="009A4E8E"/>
    <w:rsid w:val="009D109C"/>
    <w:rsid w:val="00A00682"/>
    <w:rsid w:val="00A03EC5"/>
    <w:rsid w:val="00A419D4"/>
    <w:rsid w:val="00A468D0"/>
    <w:rsid w:val="00A719F6"/>
    <w:rsid w:val="00A94A04"/>
    <w:rsid w:val="00A95FB1"/>
    <w:rsid w:val="00A97694"/>
    <w:rsid w:val="00AC1BC3"/>
    <w:rsid w:val="00AD5D74"/>
    <w:rsid w:val="00AD726A"/>
    <w:rsid w:val="00AE2C11"/>
    <w:rsid w:val="00B10550"/>
    <w:rsid w:val="00B15826"/>
    <w:rsid w:val="00B3036F"/>
    <w:rsid w:val="00B33793"/>
    <w:rsid w:val="00B47435"/>
    <w:rsid w:val="00B74794"/>
    <w:rsid w:val="00BA0616"/>
    <w:rsid w:val="00BB7C47"/>
    <w:rsid w:val="00BC4BA3"/>
    <w:rsid w:val="00C14ABB"/>
    <w:rsid w:val="00C606CB"/>
    <w:rsid w:val="00C971B3"/>
    <w:rsid w:val="00CA34AB"/>
    <w:rsid w:val="00CA449F"/>
    <w:rsid w:val="00CB0C62"/>
    <w:rsid w:val="00CB4F9A"/>
    <w:rsid w:val="00D030B6"/>
    <w:rsid w:val="00D036A7"/>
    <w:rsid w:val="00D0743F"/>
    <w:rsid w:val="00D15C3F"/>
    <w:rsid w:val="00D3558B"/>
    <w:rsid w:val="00D53C02"/>
    <w:rsid w:val="00D84442"/>
    <w:rsid w:val="00DA23C8"/>
    <w:rsid w:val="00DC48E4"/>
    <w:rsid w:val="00DF586C"/>
    <w:rsid w:val="00E60A4E"/>
    <w:rsid w:val="00E65FEC"/>
    <w:rsid w:val="00EA5780"/>
    <w:rsid w:val="00EF2CBA"/>
    <w:rsid w:val="00EF39DB"/>
    <w:rsid w:val="00F0445F"/>
    <w:rsid w:val="00F5052C"/>
    <w:rsid w:val="00F749A8"/>
    <w:rsid w:val="00FA344E"/>
    <w:rsid w:val="00FA7735"/>
    <w:rsid w:val="00FB0FF1"/>
    <w:rsid w:val="00FD32B6"/>
    <w:rsid w:val="00FD66FB"/>
    <w:rsid w:val="00FD6EAD"/>
    <w:rsid w:val="00FE2991"/>
    <w:rsid w:val="00FE68F1"/>
    <w:rsid w:val="00FE6FB1"/>
    <w:rsid w:val="00FF2D9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0F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17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07175"/>
    <w:pPr>
      <w:jc w:val="right"/>
    </w:pPr>
    <w:rPr>
      <w:rFonts w:ascii="Garamond" w:hAnsi="Garamond"/>
      <w:sz w:val="28"/>
      <w:szCs w:val="28"/>
    </w:rPr>
  </w:style>
  <w:style w:type="character" w:customStyle="1" w:styleId="BodyText2Char">
    <w:name w:val="Body Text 2 Char"/>
    <w:basedOn w:val="DefaultParagraphFont"/>
    <w:link w:val="BodyText2"/>
    <w:rsid w:val="00507175"/>
    <w:rPr>
      <w:rFonts w:ascii="Garamond" w:eastAsia="Times New Roman" w:hAnsi="Garamond" w:cs="Times New Roman"/>
      <w:sz w:val="28"/>
      <w:szCs w:val="28"/>
    </w:rPr>
  </w:style>
  <w:style w:type="paragraph" w:styleId="Header">
    <w:name w:val="header"/>
    <w:basedOn w:val="Normal"/>
    <w:link w:val="HeaderChar"/>
    <w:uiPriority w:val="99"/>
    <w:unhideWhenUsed/>
    <w:rsid w:val="00D53C02"/>
    <w:pPr>
      <w:tabs>
        <w:tab w:val="center" w:pos="4153"/>
        <w:tab w:val="right" w:pos="8306"/>
      </w:tabs>
    </w:pPr>
  </w:style>
  <w:style w:type="character" w:customStyle="1" w:styleId="HeaderChar">
    <w:name w:val="Header Char"/>
    <w:basedOn w:val="DefaultParagraphFont"/>
    <w:link w:val="Header"/>
    <w:uiPriority w:val="99"/>
    <w:rsid w:val="00D53C02"/>
    <w:rPr>
      <w:rFonts w:eastAsia="Times New Roman" w:cs="Times New Roman"/>
      <w:szCs w:val="24"/>
    </w:rPr>
  </w:style>
  <w:style w:type="paragraph" w:styleId="Footer">
    <w:name w:val="footer"/>
    <w:basedOn w:val="Normal"/>
    <w:link w:val="FooterChar"/>
    <w:uiPriority w:val="99"/>
    <w:unhideWhenUsed/>
    <w:rsid w:val="00D53C02"/>
    <w:pPr>
      <w:tabs>
        <w:tab w:val="center" w:pos="4153"/>
        <w:tab w:val="right" w:pos="8306"/>
      </w:tabs>
    </w:pPr>
  </w:style>
  <w:style w:type="character" w:customStyle="1" w:styleId="FooterChar">
    <w:name w:val="Footer Char"/>
    <w:basedOn w:val="DefaultParagraphFont"/>
    <w:link w:val="Footer"/>
    <w:uiPriority w:val="99"/>
    <w:rsid w:val="00D53C02"/>
    <w:rPr>
      <w:rFonts w:eastAsia="Times New Roman" w:cs="Times New Roman"/>
      <w:szCs w:val="24"/>
    </w:rPr>
  </w:style>
  <w:style w:type="paragraph" w:customStyle="1" w:styleId="tv213">
    <w:name w:val="tv213"/>
    <w:basedOn w:val="Normal"/>
    <w:rsid w:val="00EF39DB"/>
    <w:pPr>
      <w:spacing w:before="100" w:beforeAutospacing="1" w:after="100" w:afterAutospacing="1"/>
    </w:pPr>
    <w:rPr>
      <w:lang w:eastAsia="lv-LV"/>
    </w:rPr>
  </w:style>
  <w:style w:type="table" w:styleId="TableGrid">
    <w:name w:val="Table Grid"/>
    <w:basedOn w:val="TableNormal"/>
    <w:uiPriority w:val="39"/>
    <w:rsid w:val="00EF39D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FF2D9F"/>
    <w:pPr>
      <w:spacing w:before="100" w:beforeAutospacing="1" w:after="100" w:afterAutospacing="1"/>
    </w:pPr>
    <w:rPr>
      <w:lang w:val="en-US"/>
    </w:rPr>
  </w:style>
  <w:style w:type="paragraph" w:customStyle="1" w:styleId="ti-grseq-1">
    <w:name w:val="ti-grseq-1"/>
    <w:basedOn w:val="Normal"/>
    <w:rsid w:val="00FF2D9F"/>
    <w:pPr>
      <w:spacing w:before="100" w:beforeAutospacing="1" w:after="100" w:afterAutospacing="1"/>
    </w:pPr>
    <w:rPr>
      <w:lang w:val="en-US"/>
    </w:rPr>
  </w:style>
  <w:style w:type="character" w:customStyle="1" w:styleId="bold">
    <w:name w:val="bold"/>
    <w:basedOn w:val="DefaultParagraphFont"/>
    <w:rsid w:val="00FF2D9F"/>
  </w:style>
  <w:style w:type="paragraph" w:customStyle="1" w:styleId="Normal1">
    <w:name w:val="Normal1"/>
    <w:basedOn w:val="Normal"/>
    <w:rsid w:val="00FF2D9F"/>
    <w:pPr>
      <w:spacing w:before="100" w:beforeAutospacing="1" w:after="100" w:afterAutospacing="1"/>
    </w:pPr>
    <w:rPr>
      <w:lang w:val="en-US"/>
    </w:rPr>
  </w:style>
  <w:style w:type="character" w:customStyle="1" w:styleId="italic">
    <w:name w:val="italic"/>
    <w:basedOn w:val="DefaultParagraphFont"/>
    <w:rsid w:val="00FF2D9F"/>
  </w:style>
  <w:style w:type="paragraph" w:styleId="BalloonText">
    <w:name w:val="Balloon Text"/>
    <w:basedOn w:val="Normal"/>
    <w:link w:val="BalloonTextChar"/>
    <w:uiPriority w:val="99"/>
    <w:semiHidden/>
    <w:unhideWhenUsed/>
    <w:rsid w:val="00FD6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AD"/>
    <w:rPr>
      <w:rFonts w:ascii="Segoe UI" w:eastAsia="Times New Roman" w:hAnsi="Segoe UI" w:cs="Segoe UI"/>
      <w:sz w:val="18"/>
      <w:szCs w:val="18"/>
    </w:rPr>
  </w:style>
  <w:style w:type="character" w:styleId="Hyperlink">
    <w:name w:val="Hyperlink"/>
    <w:basedOn w:val="DefaultParagraphFont"/>
    <w:uiPriority w:val="99"/>
    <w:unhideWhenUsed/>
    <w:rsid w:val="002861B3"/>
    <w:rPr>
      <w:color w:val="0000FF"/>
      <w:u w:val="single"/>
    </w:rPr>
  </w:style>
  <w:style w:type="character" w:styleId="UnresolvedMention">
    <w:name w:val="Unresolved Mention"/>
    <w:basedOn w:val="DefaultParagraphFont"/>
    <w:uiPriority w:val="99"/>
    <w:semiHidden/>
    <w:unhideWhenUsed/>
    <w:rsid w:val="00860F64"/>
    <w:rPr>
      <w:color w:val="605E5C"/>
      <w:shd w:val="clear" w:color="auto" w:fill="E1DFDD"/>
    </w:rPr>
  </w:style>
  <w:style w:type="paragraph" w:styleId="ListParagraph">
    <w:name w:val="List Paragraph"/>
    <w:basedOn w:val="Normal"/>
    <w:uiPriority w:val="34"/>
    <w:qFormat/>
    <w:rsid w:val="00860F64"/>
    <w:pPr>
      <w:spacing w:line="276" w:lineRule="auto"/>
      <w:ind w:left="720"/>
      <w:contextualSpacing/>
      <w:jc w:val="both"/>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1997147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spertize.vp.gov.lv/index.php?sadala=zinas/56&amp;ln=lv" TargetMode="External"/><Relationship Id="rId3" Type="http://schemas.openxmlformats.org/officeDocument/2006/relationships/settings" Target="settings.xml"/><Relationship Id="rId7" Type="http://schemas.openxmlformats.org/officeDocument/2006/relationships/hyperlink" Target="https://manas.tiesas.lv/eTiesasMvc/nolemumi/pdf/41563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B6AC-0717-471E-8C61-87683D6D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11750</Words>
  <Characters>6699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2020-07-31T07:51:00Z</dcterms:created>
  <dcterms:modified xsi:type="dcterms:W3CDTF">2020-07-31T07:51:00Z</dcterms:modified>
</cp:coreProperties>
</file>