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EF93F" w14:textId="77777777" w:rsidR="00DF6618" w:rsidRPr="00F427D3" w:rsidRDefault="00DF6618" w:rsidP="00DF6618">
      <w:pPr>
        <w:spacing w:after="0" w:line="276" w:lineRule="auto"/>
        <w:jc w:val="both"/>
        <w:rPr>
          <w:b/>
          <w:bCs/>
        </w:rPr>
      </w:pPr>
      <w:bookmarkStart w:id="0" w:name="OLE_LINK2"/>
      <w:bookmarkStart w:id="1" w:name="OLE_LINK1"/>
      <w:r w:rsidRPr="00F427D3">
        <w:rPr>
          <w:b/>
          <w:bCs/>
        </w:rPr>
        <w:t>Ārkārtas situācijas laikā (</w:t>
      </w:r>
      <w:proofErr w:type="spellStart"/>
      <w:r w:rsidRPr="00F427D3">
        <w:rPr>
          <w:b/>
          <w:bCs/>
        </w:rPr>
        <w:t>Covid-19)</w:t>
      </w:r>
      <w:proofErr w:type="spellEnd"/>
      <w:r w:rsidRPr="00F427D3">
        <w:rPr>
          <w:b/>
          <w:bCs/>
        </w:rPr>
        <w:t xml:space="preserve"> noteikto ierobežojumu apstrīdēšana </w:t>
      </w:r>
    </w:p>
    <w:p w14:paraId="28C28120" w14:textId="6D1CC1F2" w:rsidR="00DF6618" w:rsidRDefault="00DF6618" w:rsidP="00DF6618">
      <w:pPr>
        <w:spacing w:after="0" w:line="276" w:lineRule="auto"/>
        <w:jc w:val="both"/>
      </w:pPr>
      <w:r w:rsidRPr="00F427D3">
        <w:t xml:space="preserve">Persona ir tiesīga apstrīdēt un pārsūdzēt Ministru kabineta </w:t>
      </w:r>
      <w:proofErr w:type="gramStart"/>
      <w:r w:rsidRPr="00F427D3">
        <w:t>2020.gada</w:t>
      </w:r>
      <w:proofErr w:type="gramEnd"/>
      <w:r w:rsidRPr="00F427D3">
        <w:t xml:space="preserve"> 12.marta rīkojumu Nr. 103 „Par ārkārtējās situācijas izsludināšanu”, ar kuru visā valsts teritorijā tika izsludināta ārkārtējā situācija ar mērķi ierobežot </w:t>
      </w:r>
      <w:proofErr w:type="spellStart"/>
      <w:r w:rsidRPr="00F427D3">
        <w:t>Covid-19</w:t>
      </w:r>
      <w:proofErr w:type="spellEnd"/>
      <w:r w:rsidRPr="00F427D3">
        <w:t xml:space="preserve"> izplatību, tikai daļā, kas satur vispārīgo administratīvo aktu. Turklāt arī vispārīgo administratīvo aktu persona var apstrīdēt un pārsūdzēt tikai tad, ja persona atrodas to personu lokā, uz kuru attiecas ar vispārīgo administratīvo aktu uzliktais pienākums vai ierobežojums.</w:t>
      </w:r>
    </w:p>
    <w:p w14:paraId="03495369" w14:textId="77777777" w:rsidR="00DF6618" w:rsidRPr="00DF6618" w:rsidRDefault="00DF6618" w:rsidP="00DF6618">
      <w:pPr>
        <w:spacing w:after="0" w:line="276" w:lineRule="auto"/>
        <w:jc w:val="both"/>
      </w:pPr>
    </w:p>
    <w:p w14:paraId="04E8F92B" w14:textId="0FC93285" w:rsidR="008614E0" w:rsidRDefault="008614E0" w:rsidP="0013701D">
      <w:pPr>
        <w:spacing w:after="0" w:line="276" w:lineRule="auto"/>
        <w:jc w:val="center"/>
        <w:rPr>
          <w:rFonts w:eastAsia="Times New Roman" w:cs="Times New Roman"/>
          <w:b/>
          <w:szCs w:val="24"/>
          <w:lang w:eastAsia="ru-RU"/>
        </w:rPr>
      </w:pPr>
      <w:r w:rsidRPr="002209E1">
        <w:rPr>
          <w:rFonts w:eastAsia="Times New Roman" w:cs="Times New Roman"/>
          <w:b/>
          <w:szCs w:val="24"/>
          <w:lang w:eastAsia="ru-RU"/>
        </w:rPr>
        <w:t>Latvijas Republikas Senāt</w:t>
      </w:r>
      <w:r w:rsidR="002209E1">
        <w:rPr>
          <w:rFonts w:eastAsia="Times New Roman" w:cs="Times New Roman"/>
          <w:b/>
          <w:szCs w:val="24"/>
          <w:lang w:eastAsia="ru-RU"/>
        </w:rPr>
        <w:t>a</w:t>
      </w:r>
    </w:p>
    <w:p w14:paraId="0484FF0C" w14:textId="441939CF" w:rsidR="002209E1" w:rsidRDefault="002209E1" w:rsidP="0013701D">
      <w:pPr>
        <w:spacing w:after="0" w:line="276" w:lineRule="auto"/>
        <w:jc w:val="center"/>
        <w:rPr>
          <w:rFonts w:eastAsia="Times New Roman" w:cs="Times New Roman"/>
          <w:b/>
          <w:szCs w:val="24"/>
          <w:lang w:eastAsia="ru-RU"/>
        </w:rPr>
      </w:pPr>
      <w:r>
        <w:rPr>
          <w:rFonts w:eastAsia="Times New Roman" w:cs="Times New Roman"/>
          <w:b/>
          <w:szCs w:val="24"/>
          <w:lang w:eastAsia="ru-RU"/>
        </w:rPr>
        <w:t>Administratīvo lietu departamenta</w:t>
      </w:r>
    </w:p>
    <w:p w14:paraId="16CBA44D" w14:textId="14E75876" w:rsidR="002209E1" w:rsidRPr="002209E1" w:rsidRDefault="002209E1" w:rsidP="0013701D">
      <w:pPr>
        <w:spacing w:after="0" w:line="276" w:lineRule="auto"/>
        <w:jc w:val="center"/>
        <w:rPr>
          <w:rFonts w:eastAsia="Times New Roman" w:cs="Times New Roman"/>
          <w:b/>
          <w:szCs w:val="24"/>
          <w:lang w:eastAsia="ru-RU"/>
        </w:rPr>
      </w:pPr>
      <w:proofErr w:type="gramStart"/>
      <w:r>
        <w:rPr>
          <w:rFonts w:eastAsia="Times New Roman" w:cs="Times New Roman"/>
          <w:b/>
          <w:szCs w:val="24"/>
          <w:lang w:eastAsia="ru-RU"/>
        </w:rPr>
        <w:t>2020.gada</w:t>
      </w:r>
      <w:proofErr w:type="gramEnd"/>
      <w:r>
        <w:rPr>
          <w:rFonts w:eastAsia="Times New Roman" w:cs="Times New Roman"/>
          <w:b/>
          <w:szCs w:val="24"/>
          <w:lang w:eastAsia="ru-RU"/>
        </w:rPr>
        <w:t xml:space="preserve"> 6.jūlija</w:t>
      </w:r>
    </w:p>
    <w:p w14:paraId="78ABA602" w14:textId="0A395241" w:rsidR="008614E0" w:rsidRDefault="008614E0" w:rsidP="0013701D">
      <w:pPr>
        <w:spacing w:after="0" w:line="276" w:lineRule="auto"/>
        <w:jc w:val="center"/>
        <w:rPr>
          <w:rFonts w:eastAsia="Times New Roman" w:cs="Times New Roman"/>
          <w:b/>
          <w:szCs w:val="24"/>
          <w:lang w:eastAsia="ru-RU"/>
        </w:rPr>
      </w:pPr>
      <w:r w:rsidRPr="002209E1">
        <w:rPr>
          <w:rFonts w:eastAsia="Times New Roman" w:cs="Times New Roman"/>
          <w:b/>
          <w:szCs w:val="24"/>
          <w:lang w:eastAsia="ru-RU"/>
        </w:rPr>
        <w:t>LĒMUMS</w:t>
      </w:r>
    </w:p>
    <w:p w14:paraId="5415419B" w14:textId="66BC0112" w:rsidR="002209E1" w:rsidRDefault="002209E1" w:rsidP="0013701D">
      <w:pPr>
        <w:spacing w:after="0" w:line="276" w:lineRule="auto"/>
        <w:jc w:val="center"/>
        <w:rPr>
          <w:rFonts w:eastAsia="Times New Roman" w:cs="Times New Roman"/>
          <w:b/>
          <w:szCs w:val="24"/>
          <w:lang w:eastAsia="ru-RU"/>
        </w:rPr>
      </w:pPr>
      <w:r>
        <w:rPr>
          <w:rFonts w:eastAsia="Times New Roman" w:cs="Times New Roman"/>
          <w:b/>
          <w:szCs w:val="24"/>
          <w:lang w:eastAsia="ru-RU"/>
        </w:rPr>
        <w:t>Lieta Nr. 670006220, SKA-1215/2020</w:t>
      </w:r>
    </w:p>
    <w:p w14:paraId="55820267" w14:textId="7509CDF9" w:rsidR="002209E1" w:rsidRPr="00D8657E" w:rsidRDefault="002209E1" w:rsidP="0013701D">
      <w:pPr>
        <w:spacing w:after="0" w:line="276" w:lineRule="auto"/>
        <w:jc w:val="center"/>
        <w:rPr>
          <w:rFonts w:eastAsia="Times New Roman" w:cs="Times New Roman"/>
          <w:b/>
          <w:szCs w:val="24"/>
          <w:lang w:eastAsia="ru-RU"/>
        </w:rPr>
      </w:pPr>
      <w:hyperlink r:id="rId7" w:history="1">
        <w:r w:rsidRPr="002209E1">
          <w:rPr>
            <w:rStyle w:val="Hyperlink"/>
          </w:rPr>
          <w:t>ECLI:LV:AT:2020:0706.SKA1</w:t>
        </w:r>
        <w:r w:rsidRPr="002209E1">
          <w:rPr>
            <w:rStyle w:val="Hyperlink"/>
          </w:rPr>
          <w:t>2</w:t>
        </w:r>
        <w:r w:rsidRPr="002209E1">
          <w:rPr>
            <w:rStyle w:val="Hyperlink"/>
          </w:rPr>
          <w:t>1520.3.L</w:t>
        </w:r>
      </w:hyperlink>
    </w:p>
    <w:bookmarkEnd w:id="0"/>
    <w:bookmarkEnd w:id="1"/>
    <w:p w14:paraId="1A35CF75" w14:textId="77777777" w:rsidR="00F708D1" w:rsidRPr="00D8657E" w:rsidRDefault="00F708D1" w:rsidP="0013701D">
      <w:pPr>
        <w:spacing w:after="0" w:line="276" w:lineRule="auto"/>
        <w:jc w:val="center"/>
        <w:rPr>
          <w:rFonts w:eastAsia="Times New Roman" w:cs="Times New Roman"/>
          <w:szCs w:val="24"/>
          <w:lang w:eastAsia="ru-RU"/>
        </w:rPr>
      </w:pPr>
    </w:p>
    <w:p w14:paraId="3152E13C" w14:textId="267174F3" w:rsidR="00F708D1" w:rsidRPr="00D8657E" w:rsidRDefault="00F708D1" w:rsidP="0013701D">
      <w:pPr>
        <w:spacing w:after="0" w:line="276" w:lineRule="auto"/>
        <w:jc w:val="both"/>
        <w:rPr>
          <w:rFonts w:eastAsia="Times New Roman" w:cs="Times New Roman"/>
          <w:szCs w:val="24"/>
          <w:lang w:eastAsia="ru-RU"/>
        </w:rPr>
      </w:pPr>
      <w:r w:rsidRPr="00D8657E">
        <w:rPr>
          <w:rFonts w:eastAsia="Times New Roman" w:cs="Times New Roman"/>
          <w:szCs w:val="24"/>
          <w:lang w:eastAsia="ru-RU"/>
        </w:rPr>
        <w:tab/>
        <w:t>Tiesa šādā sastāvā: senatores Jautrīte Briede, Vēsma Kakste un Dace Mita</w:t>
      </w:r>
    </w:p>
    <w:p w14:paraId="7911442D" w14:textId="77777777" w:rsidR="00F708D1" w:rsidRPr="00D8657E" w:rsidRDefault="00F708D1" w:rsidP="0013701D">
      <w:pPr>
        <w:spacing w:after="0" w:line="276" w:lineRule="auto"/>
        <w:jc w:val="both"/>
        <w:rPr>
          <w:rFonts w:eastAsia="Times New Roman" w:cs="Times New Roman"/>
          <w:szCs w:val="24"/>
          <w:lang w:eastAsia="ru-RU"/>
        </w:rPr>
      </w:pPr>
    </w:p>
    <w:p w14:paraId="69A058D4" w14:textId="69F9095A" w:rsidR="00F708D1" w:rsidRPr="00D8657E" w:rsidRDefault="00F708D1" w:rsidP="0013701D">
      <w:pPr>
        <w:spacing w:after="0" w:line="276" w:lineRule="auto"/>
        <w:jc w:val="both"/>
        <w:rPr>
          <w:rFonts w:eastAsia="Times New Roman" w:cs="Times New Roman"/>
          <w:szCs w:val="24"/>
          <w:lang w:eastAsia="ru-RU"/>
        </w:rPr>
      </w:pPr>
      <w:r w:rsidRPr="00D8657E">
        <w:rPr>
          <w:rFonts w:eastAsia="Times New Roman" w:cs="Times New Roman"/>
          <w:szCs w:val="24"/>
          <w:lang w:eastAsia="ru-RU"/>
        </w:rPr>
        <w:tab/>
        <w:t xml:space="preserve">rakstveida procesā izskatīja </w:t>
      </w:r>
      <w:r w:rsidR="00501F22">
        <w:rPr>
          <w:rFonts w:eastAsia="Times New Roman" w:cs="Times New Roman"/>
          <w:szCs w:val="24"/>
          <w:lang w:eastAsia="ru-RU"/>
        </w:rPr>
        <w:t>politisko partiju apvienības „Jaunā Saskaņa”</w:t>
      </w:r>
      <w:r w:rsidRPr="00D8657E">
        <w:rPr>
          <w:rFonts w:eastAsia="Times New Roman" w:cs="Times New Roman"/>
          <w:szCs w:val="24"/>
          <w:lang w:eastAsia="ru-RU"/>
        </w:rPr>
        <w:t xml:space="preserve"> blakus sūdzību par Administratīvās rajona tiesas tiesneša </w:t>
      </w:r>
      <w:proofErr w:type="gramStart"/>
      <w:r w:rsidRPr="00D8657E">
        <w:rPr>
          <w:rFonts w:eastAsia="Times New Roman" w:cs="Times New Roman"/>
          <w:szCs w:val="24"/>
          <w:lang w:eastAsia="ru-RU"/>
        </w:rPr>
        <w:t>2020.gada</w:t>
      </w:r>
      <w:proofErr w:type="gramEnd"/>
      <w:r w:rsidRPr="00D8657E">
        <w:rPr>
          <w:rFonts w:eastAsia="Times New Roman" w:cs="Times New Roman"/>
          <w:szCs w:val="24"/>
          <w:lang w:eastAsia="ru-RU"/>
        </w:rPr>
        <w:t xml:space="preserve"> </w:t>
      </w:r>
      <w:r w:rsidR="00501F22">
        <w:rPr>
          <w:rFonts w:eastAsia="Times New Roman" w:cs="Times New Roman"/>
          <w:szCs w:val="24"/>
          <w:lang w:eastAsia="ru-RU"/>
        </w:rPr>
        <w:t>12.maija</w:t>
      </w:r>
      <w:r w:rsidRPr="00D8657E">
        <w:rPr>
          <w:rFonts w:eastAsia="Times New Roman" w:cs="Times New Roman"/>
          <w:szCs w:val="24"/>
          <w:lang w:eastAsia="ru-RU"/>
        </w:rPr>
        <w:t xml:space="preserve"> lēmumu, ar kuru atteikts pieņemt </w:t>
      </w:r>
      <w:r w:rsidR="00501F22" w:rsidRPr="00501F22">
        <w:rPr>
          <w:rFonts w:eastAsia="Times New Roman" w:cs="Times New Roman"/>
          <w:szCs w:val="24"/>
          <w:lang w:eastAsia="ru-RU"/>
        </w:rPr>
        <w:t xml:space="preserve">politisko partiju apvienības „Jaunā Saskaņa” </w:t>
      </w:r>
      <w:r w:rsidRPr="00D8657E">
        <w:rPr>
          <w:rFonts w:eastAsia="Times New Roman" w:cs="Times New Roman"/>
          <w:szCs w:val="24"/>
          <w:lang w:eastAsia="ru-RU"/>
        </w:rPr>
        <w:t>pieteikumu.</w:t>
      </w:r>
    </w:p>
    <w:p w14:paraId="491D189F" w14:textId="77777777" w:rsidR="00F708D1" w:rsidRPr="00D8657E" w:rsidRDefault="00F708D1" w:rsidP="0013701D">
      <w:pPr>
        <w:spacing w:after="0" w:line="276" w:lineRule="auto"/>
        <w:jc w:val="both"/>
        <w:rPr>
          <w:rFonts w:eastAsia="Times New Roman" w:cs="Times New Roman"/>
          <w:szCs w:val="24"/>
          <w:lang w:eastAsia="ru-RU"/>
        </w:rPr>
      </w:pPr>
    </w:p>
    <w:p w14:paraId="5F17C282" w14:textId="3433B203" w:rsidR="00F708D1" w:rsidRPr="00D8657E" w:rsidRDefault="00F708D1" w:rsidP="0013701D">
      <w:pPr>
        <w:spacing w:after="0" w:line="276" w:lineRule="auto"/>
        <w:jc w:val="center"/>
        <w:rPr>
          <w:rFonts w:eastAsia="Times New Roman" w:cs="Times New Roman"/>
          <w:b/>
          <w:szCs w:val="24"/>
          <w:lang w:eastAsia="ru-RU"/>
        </w:rPr>
      </w:pPr>
      <w:r w:rsidRPr="00D8657E">
        <w:rPr>
          <w:rFonts w:eastAsia="Times New Roman" w:cs="Times New Roman"/>
          <w:b/>
          <w:szCs w:val="24"/>
          <w:lang w:eastAsia="ru-RU"/>
        </w:rPr>
        <w:t>Aprakstošā daļa</w:t>
      </w:r>
    </w:p>
    <w:p w14:paraId="38B7C432" w14:textId="77777777" w:rsidR="008614E0" w:rsidRPr="00D8657E" w:rsidRDefault="008614E0" w:rsidP="0013701D">
      <w:pPr>
        <w:spacing w:after="0" w:line="276" w:lineRule="auto"/>
        <w:jc w:val="both"/>
        <w:rPr>
          <w:rFonts w:eastAsia="Times New Roman" w:cs="Times New Roman"/>
          <w:sz w:val="20"/>
          <w:szCs w:val="20"/>
          <w:lang w:eastAsia="ru-RU"/>
        </w:rPr>
      </w:pPr>
    </w:p>
    <w:p w14:paraId="4550CB30" w14:textId="1A51264B" w:rsidR="00B253D9" w:rsidRDefault="008614E0" w:rsidP="0013701D">
      <w:pPr>
        <w:autoSpaceDE w:val="0"/>
        <w:autoSpaceDN w:val="0"/>
        <w:adjustRightInd w:val="0"/>
        <w:spacing w:after="0" w:line="276" w:lineRule="auto"/>
        <w:ind w:firstLine="567"/>
        <w:jc w:val="both"/>
        <w:rPr>
          <w:rFonts w:eastAsia="Times New Roman" w:cs="Times New Roman"/>
          <w:szCs w:val="24"/>
          <w:lang w:eastAsia="ru-RU"/>
        </w:rPr>
      </w:pPr>
      <w:r w:rsidRPr="00D8657E">
        <w:rPr>
          <w:rFonts w:eastAsia="Times New Roman" w:cs="Times New Roman"/>
          <w:szCs w:val="24"/>
          <w:lang w:eastAsia="ru-RU"/>
        </w:rPr>
        <w:t>[1] </w:t>
      </w:r>
      <w:r w:rsidR="00B253D9">
        <w:rPr>
          <w:rFonts w:eastAsia="Times New Roman" w:cs="Times New Roman"/>
          <w:szCs w:val="24"/>
          <w:lang w:eastAsia="ru-RU"/>
        </w:rPr>
        <w:t xml:space="preserve">Ar </w:t>
      </w:r>
      <w:r w:rsidR="00B253D9" w:rsidRPr="00B253D9">
        <w:rPr>
          <w:rFonts w:eastAsia="Times New Roman" w:cs="Times New Roman"/>
          <w:szCs w:val="24"/>
          <w:lang w:eastAsia="ru-RU"/>
        </w:rPr>
        <w:t xml:space="preserve">Ministru kabineta </w:t>
      </w:r>
      <w:proofErr w:type="gramStart"/>
      <w:r w:rsidR="00B253D9" w:rsidRPr="00B253D9">
        <w:rPr>
          <w:rFonts w:eastAsia="Times New Roman" w:cs="Times New Roman"/>
          <w:szCs w:val="24"/>
          <w:lang w:eastAsia="ru-RU"/>
        </w:rPr>
        <w:t>2020.gada</w:t>
      </w:r>
      <w:proofErr w:type="gramEnd"/>
      <w:r w:rsidR="00B253D9" w:rsidRPr="00B253D9">
        <w:rPr>
          <w:rFonts w:eastAsia="Times New Roman" w:cs="Times New Roman"/>
          <w:szCs w:val="24"/>
          <w:lang w:eastAsia="ru-RU"/>
        </w:rPr>
        <w:t xml:space="preserve"> 12.marta rīkojumu Nr. 103 „Par ārkārtējās situācijas izsludināšanu”</w:t>
      </w:r>
      <w:r w:rsidR="003D6DB9">
        <w:rPr>
          <w:rFonts w:eastAsia="Times New Roman" w:cs="Times New Roman"/>
          <w:szCs w:val="24"/>
          <w:lang w:eastAsia="ru-RU"/>
        </w:rPr>
        <w:t xml:space="preserve"> (turpmāk – rīkojums</w:t>
      </w:r>
      <w:r w:rsidR="00CE7DBB">
        <w:rPr>
          <w:rFonts w:eastAsia="Times New Roman" w:cs="Times New Roman"/>
          <w:szCs w:val="24"/>
          <w:lang w:eastAsia="ru-RU"/>
        </w:rPr>
        <w:t>)</w:t>
      </w:r>
      <w:r w:rsidR="00B253D9">
        <w:rPr>
          <w:rFonts w:eastAsia="Times New Roman" w:cs="Times New Roman"/>
          <w:szCs w:val="24"/>
          <w:lang w:eastAsia="ru-RU"/>
        </w:rPr>
        <w:t xml:space="preserve"> visā valsts teritorijā</w:t>
      </w:r>
      <w:r w:rsidR="00AC58A2">
        <w:rPr>
          <w:rFonts w:eastAsia="Times New Roman" w:cs="Times New Roman"/>
          <w:szCs w:val="24"/>
          <w:lang w:eastAsia="ru-RU"/>
        </w:rPr>
        <w:t xml:space="preserve"> tika</w:t>
      </w:r>
      <w:r w:rsidR="00B253D9">
        <w:rPr>
          <w:rFonts w:eastAsia="Times New Roman" w:cs="Times New Roman"/>
          <w:szCs w:val="24"/>
          <w:lang w:eastAsia="ru-RU"/>
        </w:rPr>
        <w:t xml:space="preserve"> izsludināta ārkārtējā situācija </w:t>
      </w:r>
      <w:r w:rsidR="00B253D9" w:rsidRPr="00B253D9">
        <w:rPr>
          <w:rFonts w:eastAsia="Times New Roman" w:cs="Times New Roman"/>
          <w:szCs w:val="24"/>
          <w:lang w:eastAsia="ru-RU"/>
        </w:rPr>
        <w:t xml:space="preserve">ar mērķi ierobežot </w:t>
      </w:r>
      <w:proofErr w:type="spellStart"/>
      <w:r w:rsidR="00B253D9" w:rsidRPr="00B253D9">
        <w:rPr>
          <w:rFonts w:eastAsia="Times New Roman" w:cs="Times New Roman"/>
          <w:szCs w:val="24"/>
          <w:lang w:eastAsia="ru-RU"/>
        </w:rPr>
        <w:t>Covid-19</w:t>
      </w:r>
      <w:proofErr w:type="spellEnd"/>
      <w:r w:rsidR="00B253D9" w:rsidRPr="00B253D9">
        <w:rPr>
          <w:rFonts w:eastAsia="Times New Roman" w:cs="Times New Roman"/>
          <w:szCs w:val="24"/>
          <w:lang w:eastAsia="ru-RU"/>
        </w:rPr>
        <w:t xml:space="preserve"> izplatību</w:t>
      </w:r>
      <w:r w:rsidR="00CE7DBB">
        <w:rPr>
          <w:rFonts w:eastAsia="Times New Roman" w:cs="Times New Roman"/>
          <w:szCs w:val="24"/>
          <w:lang w:eastAsia="ru-RU"/>
        </w:rPr>
        <w:t>.</w:t>
      </w:r>
    </w:p>
    <w:p w14:paraId="0FCC0604" w14:textId="77777777" w:rsidR="00DC0BEF" w:rsidRDefault="00DC0BEF" w:rsidP="0013701D">
      <w:pPr>
        <w:autoSpaceDE w:val="0"/>
        <w:autoSpaceDN w:val="0"/>
        <w:adjustRightInd w:val="0"/>
        <w:spacing w:after="0" w:line="276" w:lineRule="auto"/>
        <w:ind w:firstLine="567"/>
        <w:jc w:val="both"/>
        <w:rPr>
          <w:rFonts w:eastAsia="Times New Roman" w:cs="Times New Roman"/>
          <w:szCs w:val="24"/>
          <w:lang w:eastAsia="ru-RU"/>
        </w:rPr>
      </w:pPr>
    </w:p>
    <w:p w14:paraId="650FEC27" w14:textId="20334C17" w:rsidR="009F6F2E" w:rsidRDefault="00860B6D" w:rsidP="0013701D">
      <w:pPr>
        <w:autoSpaceDE w:val="0"/>
        <w:autoSpaceDN w:val="0"/>
        <w:adjustRightInd w:val="0"/>
        <w:spacing w:after="0" w:line="276" w:lineRule="auto"/>
        <w:ind w:firstLine="567"/>
        <w:jc w:val="both"/>
        <w:rPr>
          <w:rFonts w:eastAsia="Times New Roman" w:cs="Times New Roman"/>
          <w:szCs w:val="24"/>
          <w:lang w:eastAsia="ru-RU"/>
        </w:rPr>
      </w:pPr>
      <w:r>
        <w:rPr>
          <w:rFonts w:eastAsia="Times New Roman" w:cs="Times New Roman"/>
          <w:szCs w:val="24"/>
          <w:lang w:eastAsia="ru-RU"/>
        </w:rPr>
        <w:t>[2] </w:t>
      </w:r>
      <w:r w:rsidR="00590270" w:rsidRPr="00590270">
        <w:rPr>
          <w:rFonts w:eastAsia="Times New Roman" w:cs="Times New Roman"/>
          <w:szCs w:val="24"/>
          <w:lang w:eastAsia="ru-RU"/>
        </w:rPr>
        <w:t xml:space="preserve">Centrālā vēlēšanu komisija </w:t>
      </w:r>
      <w:r w:rsidR="00590270">
        <w:rPr>
          <w:rFonts w:eastAsia="Times New Roman" w:cs="Times New Roman"/>
          <w:szCs w:val="24"/>
          <w:lang w:eastAsia="ru-RU"/>
        </w:rPr>
        <w:t>ir reģistrējusi</w:t>
      </w:r>
      <w:r w:rsidR="00590270" w:rsidRPr="00590270">
        <w:rPr>
          <w:rFonts w:eastAsia="Times New Roman" w:cs="Times New Roman"/>
          <w:szCs w:val="24"/>
          <w:lang w:eastAsia="ru-RU"/>
        </w:rPr>
        <w:t xml:space="preserve"> iniciatīvas grupu –</w:t>
      </w:r>
      <w:r>
        <w:rPr>
          <w:rFonts w:eastAsia="Times New Roman" w:cs="Times New Roman"/>
          <w:szCs w:val="24"/>
          <w:lang w:eastAsia="ru-RU"/>
        </w:rPr>
        <w:t xml:space="preserve"> </w:t>
      </w:r>
      <w:r w:rsidR="00590270">
        <w:rPr>
          <w:rFonts w:eastAsia="Times New Roman" w:cs="Times New Roman"/>
          <w:szCs w:val="24"/>
          <w:lang w:eastAsia="ru-RU"/>
        </w:rPr>
        <w:t>politisko partiju apvienību „Jaunā Saskaņa”</w:t>
      </w:r>
      <w:r>
        <w:rPr>
          <w:rFonts w:eastAsia="Times New Roman" w:cs="Times New Roman"/>
          <w:szCs w:val="24"/>
          <w:lang w:eastAsia="ru-RU"/>
        </w:rPr>
        <w:t xml:space="preserve"> (turpmāk – pieteicēja)</w:t>
      </w:r>
      <w:r w:rsidR="00590270" w:rsidRPr="00590270">
        <w:rPr>
          <w:rFonts w:eastAsia="Times New Roman" w:cs="Times New Roman"/>
          <w:szCs w:val="24"/>
          <w:lang w:eastAsia="ru-RU"/>
        </w:rPr>
        <w:t xml:space="preserve"> – parakstu vākšana</w:t>
      </w:r>
      <w:r w:rsidR="00590270">
        <w:rPr>
          <w:rFonts w:eastAsia="Times New Roman" w:cs="Times New Roman"/>
          <w:szCs w:val="24"/>
          <w:lang w:eastAsia="ru-RU"/>
        </w:rPr>
        <w:t xml:space="preserve">i par ierosinājumu rīkot tautas </w:t>
      </w:r>
      <w:r w:rsidR="00590270" w:rsidRPr="00590270">
        <w:rPr>
          <w:rFonts w:eastAsia="Times New Roman" w:cs="Times New Roman"/>
          <w:szCs w:val="24"/>
          <w:lang w:eastAsia="ru-RU"/>
        </w:rPr>
        <w:t>nobalsošanu par Saeimas atsaukšanu</w:t>
      </w:r>
      <w:r>
        <w:rPr>
          <w:rFonts w:eastAsia="Times New Roman" w:cs="Times New Roman"/>
          <w:szCs w:val="24"/>
          <w:lang w:eastAsia="ru-RU"/>
        </w:rPr>
        <w:t>, kā arī</w:t>
      </w:r>
      <w:proofErr w:type="gramStart"/>
      <w:r>
        <w:rPr>
          <w:rFonts w:eastAsia="Times New Roman" w:cs="Times New Roman"/>
          <w:szCs w:val="24"/>
          <w:lang w:eastAsia="ru-RU"/>
        </w:rPr>
        <w:t xml:space="preserve"> reģistrējusi divus</w:t>
      </w:r>
      <w:proofErr w:type="gramEnd"/>
      <w:r w:rsidR="00DC0BEF">
        <w:rPr>
          <w:rFonts w:eastAsia="Times New Roman" w:cs="Times New Roman"/>
          <w:szCs w:val="24"/>
          <w:lang w:eastAsia="ru-RU"/>
        </w:rPr>
        <w:t xml:space="preserve"> pieteicējas iesniegt</w:t>
      </w:r>
      <w:r>
        <w:rPr>
          <w:rFonts w:eastAsia="Times New Roman" w:cs="Times New Roman"/>
          <w:szCs w:val="24"/>
          <w:lang w:eastAsia="ru-RU"/>
        </w:rPr>
        <w:t>os</w:t>
      </w:r>
      <w:r w:rsidR="00590270" w:rsidRPr="00590270">
        <w:rPr>
          <w:rFonts w:eastAsia="Times New Roman" w:cs="Times New Roman"/>
          <w:szCs w:val="24"/>
          <w:lang w:eastAsia="ru-RU"/>
        </w:rPr>
        <w:t xml:space="preserve"> likumprojektu</w:t>
      </w:r>
      <w:r>
        <w:rPr>
          <w:rFonts w:eastAsia="Times New Roman" w:cs="Times New Roman"/>
          <w:szCs w:val="24"/>
          <w:lang w:eastAsia="ru-RU"/>
        </w:rPr>
        <w:t>s</w:t>
      </w:r>
      <w:r w:rsidR="00590270">
        <w:rPr>
          <w:rFonts w:eastAsia="Times New Roman" w:cs="Times New Roman"/>
          <w:szCs w:val="24"/>
          <w:lang w:eastAsia="ru-RU"/>
        </w:rPr>
        <w:t xml:space="preserve">. </w:t>
      </w:r>
      <w:r w:rsidR="000D41AC">
        <w:rPr>
          <w:rFonts w:eastAsia="Times New Roman" w:cs="Times New Roman"/>
          <w:szCs w:val="24"/>
          <w:lang w:eastAsia="ru-RU"/>
        </w:rPr>
        <w:t>P</w:t>
      </w:r>
      <w:r w:rsidR="00B253D9">
        <w:rPr>
          <w:rFonts w:eastAsia="Times New Roman" w:cs="Times New Roman"/>
          <w:szCs w:val="24"/>
          <w:lang w:eastAsia="ru-RU"/>
        </w:rPr>
        <w:t xml:space="preserve">arakstu vākšana norisinās attiecīgi līdz </w:t>
      </w:r>
      <w:proofErr w:type="gramStart"/>
      <w:r w:rsidR="00B253D9">
        <w:rPr>
          <w:rFonts w:eastAsia="Times New Roman" w:cs="Times New Roman"/>
          <w:szCs w:val="24"/>
          <w:lang w:eastAsia="ru-RU"/>
        </w:rPr>
        <w:t>2020.gada</w:t>
      </w:r>
      <w:proofErr w:type="gramEnd"/>
      <w:r w:rsidR="00B253D9">
        <w:rPr>
          <w:rFonts w:eastAsia="Times New Roman" w:cs="Times New Roman"/>
          <w:szCs w:val="24"/>
          <w:lang w:eastAsia="ru-RU"/>
        </w:rPr>
        <w:t xml:space="preserve"> 14.novembrim, 2021.gada 7.martam un 2021.gada 14.aprīlim.</w:t>
      </w:r>
    </w:p>
    <w:p w14:paraId="1D51A187" w14:textId="3299EFE0" w:rsidR="00CE7DBB" w:rsidRDefault="00CE7DBB" w:rsidP="0013701D">
      <w:pPr>
        <w:autoSpaceDE w:val="0"/>
        <w:autoSpaceDN w:val="0"/>
        <w:adjustRightInd w:val="0"/>
        <w:spacing w:after="0" w:line="276" w:lineRule="auto"/>
        <w:ind w:firstLine="567"/>
        <w:jc w:val="both"/>
        <w:rPr>
          <w:rFonts w:eastAsia="Times New Roman" w:cs="Times New Roman"/>
          <w:szCs w:val="24"/>
          <w:lang w:eastAsia="ru-RU"/>
        </w:rPr>
      </w:pPr>
      <w:r>
        <w:rPr>
          <w:rFonts w:eastAsia="Times New Roman" w:cs="Times New Roman"/>
          <w:szCs w:val="24"/>
          <w:lang w:eastAsia="ru-RU"/>
        </w:rPr>
        <w:t>U</w:t>
      </w:r>
      <w:r w:rsidR="00AC58A2">
        <w:rPr>
          <w:rFonts w:eastAsia="Times New Roman" w:cs="Times New Roman"/>
          <w:szCs w:val="24"/>
          <w:lang w:eastAsia="ru-RU"/>
        </w:rPr>
        <w:t>zskatot, ka saistībā ar ārkārtējo</w:t>
      </w:r>
      <w:r>
        <w:rPr>
          <w:rFonts w:eastAsia="Times New Roman" w:cs="Times New Roman"/>
          <w:szCs w:val="24"/>
          <w:lang w:eastAsia="ru-RU"/>
        </w:rPr>
        <w:t xml:space="preserve"> situāciju </w:t>
      </w:r>
      <w:r w:rsidR="008F7E08">
        <w:rPr>
          <w:rFonts w:eastAsia="Times New Roman" w:cs="Times New Roman"/>
          <w:szCs w:val="24"/>
          <w:lang w:eastAsia="ru-RU"/>
        </w:rPr>
        <w:t>pilsoņiem ir ierobežotas pilsoņu tiesības parakstīties klātienē, kā arī ir ierobežotas pieteicējas tiesības veikt aģitāciju par reģistrētaj</w:t>
      </w:r>
      <w:r w:rsidR="000D41AC">
        <w:rPr>
          <w:rFonts w:eastAsia="Times New Roman" w:cs="Times New Roman"/>
          <w:szCs w:val="24"/>
          <w:lang w:eastAsia="ru-RU"/>
        </w:rPr>
        <w:t>iem likumprojektiem</w:t>
      </w:r>
      <w:r w:rsidR="003350E1">
        <w:rPr>
          <w:rFonts w:eastAsia="Times New Roman" w:cs="Times New Roman"/>
          <w:szCs w:val="24"/>
          <w:lang w:eastAsia="ru-RU"/>
        </w:rPr>
        <w:t>,</w:t>
      </w:r>
      <w:r w:rsidR="000D41AC">
        <w:rPr>
          <w:rFonts w:eastAsia="Times New Roman" w:cs="Times New Roman"/>
          <w:szCs w:val="24"/>
          <w:lang w:eastAsia="ru-RU"/>
        </w:rPr>
        <w:t xml:space="preserve"> </w:t>
      </w:r>
      <w:r w:rsidR="00AD0718">
        <w:rPr>
          <w:rFonts w:eastAsia="Times New Roman" w:cs="Times New Roman"/>
          <w:szCs w:val="24"/>
          <w:lang w:eastAsia="ru-RU"/>
        </w:rPr>
        <w:t>pieteicēja vērsās tiesā.</w:t>
      </w:r>
      <w:r w:rsidR="000D41AC">
        <w:rPr>
          <w:rFonts w:eastAsia="Times New Roman" w:cs="Times New Roman"/>
          <w:szCs w:val="24"/>
          <w:lang w:eastAsia="ru-RU"/>
        </w:rPr>
        <w:t xml:space="preserve"> Tāpat </w:t>
      </w:r>
      <w:r w:rsidR="003350E1">
        <w:rPr>
          <w:rFonts w:eastAsia="Times New Roman" w:cs="Times New Roman"/>
          <w:szCs w:val="24"/>
          <w:lang w:eastAsia="ru-RU"/>
        </w:rPr>
        <w:t>pieteicēja iebilst</w:t>
      </w:r>
      <w:r w:rsidR="00E57212">
        <w:rPr>
          <w:rFonts w:eastAsia="Times New Roman" w:cs="Times New Roman"/>
          <w:szCs w:val="24"/>
          <w:lang w:eastAsia="ru-RU"/>
        </w:rPr>
        <w:t xml:space="preserve"> arī</w:t>
      </w:r>
      <w:r w:rsidR="005F6B55">
        <w:rPr>
          <w:rFonts w:eastAsia="Times New Roman" w:cs="Times New Roman"/>
          <w:szCs w:val="24"/>
          <w:lang w:eastAsia="ru-RU"/>
        </w:rPr>
        <w:t xml:space="preserve"> pret to, ka ar rīkojumu ir</w:t>
      </w:r>
      <w:r w:rsidR="003350E1">
        <w:rPr>
          <w:rFonts w:eastAsia="Times New Roman" w:cs="Times New Roman"/>
          <w:szCs w:val="24"/>
          <w:lang w:eastAsia="ru-RU"/>
        </w:rPr>
        <w:t xml:space="preserve"> ierobežotas pieteicējas ties</w:t>
      </w:r>
      <w:r w:rsidR="00E57212">
        <w:rPr>
          <w:rFonts w:eastAsia="Times New Roman" w:cs="Times New Roman"/>
          <w:szCs w:val="24"/>
          <w:lang w:eastAsia="ru-RU"/>
        </w:rPr>
        <w:t xml:space="preserve">ības </w:t>
      </w:r>
      <w:r w:rsidR="003350E1">
        <w:rPr>
          <w:rFonts w:eastAsia="Times New Roman" w:cs="Times New Roman"/>
          <w:szCs w:val="24"/>
          <w:lang w:eastAsia="ru-RU"/>
        </w:rPr>
        <w:t>veikt aģitāciju</w:t>
      </w:r>
      <w:r w:rsidR="00E57212">
        <w:rPr>
          <w:rFonts w:eastAsia="Times New Roman" w:cs="Times New Roman"/>
          <w:szCs w:val="24"/>
          <w:lang w:eastAsia="ru-RU"/>
        </w:rPr>
        <w:t xml:space="preserve"> saistībā ar</w:t>
      </w:r>
      <w:r w:rsidR="003350E1">
        <w:rPr>
          <w:rFonts w:eastAsia="Times New Roman" w:cs="Times New Roman"/>
          <w:szCs w:val="24"/>
          <w:lang w:eastAsia="ru-RU"/>
        </w:rPr>
        <w:t xml:space="preserve"> Rīgas domes vēlēšan</w:t>
      </w:r>
      <w:r w:rsidR="00E57212">
        <w:rPr>
          <w:rFonts w:eastAsia="Times New Roman" w:cs="Times New Roman"/>
          <w:szCs w:val="24"/>
          <w:lang w:eastAsia="ru-RU"/>
        </w:rPr>
        <w:t>ām</w:t>
      </w:r>
      <w:r w:rsidR="003350E1">
        <w:rPr>
          <w:rFonts w:eastAsia="Times New Roman" w:cs="Times New Roman"/>
          <w:szCs w:val="24"/>
          <w:lang w:eastAsia="ru-RU"/>
        </w:rPr>
        <w:t>.</w:t>
      </w:r>
    </w:p>
    <w:p w14:paraId="24230A5A" w14:textId="2FCA2A46" w:rsidR="00A513C2" w:rsidRPr="00D8657E" w:rsidRDefault="00AD0718" w:rsidP="0013701D">
      <w:pPr>
        <w:autoSpaceDE w:val="0"/>
        <w:autoSpaceDN w:val="0"/>
        <w:adjustRightInd w:val="0"/>
        <w:spacing w:after="0" w:line="276" w:lineRule="auto"/>
        <w:ind w:firstLine="567"/>
        <w:jc w:val="both"/>
        <w:rPr>
          <w:rFonts w:eastAsia="Times New Roman" w:cs="Times New Roman"/>
          <w:szCs w:val="24"/>
          <w:lang w:eastAsia="ru-RU"/>
        </w:rPr>
      </w:pPr>
      <w:r>
        <w:rPr>
          <w:rFonts w:eastAsia="Times New Roman" w:cs="Times New Roman"/>
          <w:szCs w:val="24"/>
          <w:lang w:eastAsia="ru-RU"/>
        </w:rPr>
        <w:t>Pieteicēja lūdz</w:t>
      </w:r>
      <w:r w:rsidR="00F708D1" w:rsidRPr="00D8657E">
        <w:rPr>
          <w:rFonts w:eastAsia="Times New Roman" w:cs="Times New Roman"/>
          <w:szCs w:val="24"/>
          <w:lang w:eastAsia="ru-RU"/>
        </w:rPr>
        <w:t xml:space="preserve">: 1) </w:t>
      </w:r>
      <w:r w:rsidR="00501F22">
        <w:rPr>
          <w:rFonts w:eastAsia="Times New Roman" w:cs="Times New Roman"/>
          <w:szCs w:val="24"/>
          <w:lang w:eastAsia="ru-RU"/>
        </w:rPr>
        <w:t xml:space="preserve">atcelt </w:t>
      </w:r>
      <w:r w:rsidR="003556E9">
        <w:rPr>
          <w:rFonts w:eastAsia="Times New Roman" w:cs="Times New Roman"/>
          <w:szCs w:val="24"/>
          <w:lang w:eastAsia="ru-RU"/>
        </w:rPr>
        <w:t xml:space="preserve">rīkojumu un tā grozījumus; </w:t>
      </w:r>
      <w:r w:rsidR="00A513C2">
        <w:rPr>
          <w:rFonts w:eastAsia="Times New Roman" w:cs="Times New Roman"/>
          <w:szCs w:val="24"/>
          <w:lang w:eastAsia="ru-RU"/>
        </w:rPr>
        <w:t xml:space="preserve">2) uzdot Ministru kabinetam un Centrālajai vēlēšanu komisijai pārcelt par trīs mēnešiem visu likumīgi reģistrēto tautas nobalsošanas iniciatīvu termiņus, sākot no </w:t>
      </w:r>
      <w:r w:rsidR="003556E9">
        <w:rPr>
          <w:rFonts w:eastAsia="Times New Roman" w:cs="Times New Roman"/>
          <w:szCs w:val="24"/>
          <w:lang w:eastAsia="ru-RU"/>
        </w:rPr>
        <w:t>rīkojuma</w:t>
      </w:r>
      <w:r w:rsidR="00A513C2">
        <w:rPr>
          <w:rFonts w:eastAsia="Times New Roman" w:cs="Times New Roman"/>
          <w:szCs w:val="24"/>
          <w:lang w:eastAsia="ru-RU"/>
        </w:rPr>
        <w:t xml:space="preserve"> </w:t>
      </w:r>
      <w:r w:rsidR="003556E9">
        <w:rPr>
          <w:rFonts w:eastAsia="Times New Roman" w:cs="Times New Roman"/>
          <w:szCs w:val="24"/>
          <w:lang w:eastAsia="ru-RU"/>
        </w:rPr>
        <w:t xml:space="preserve">atcelšanas </w:t>
      </w:r>
      <w:r w:rsidR="00A513C2">
        <w:rPr>
          <w:rFonts w:eastAsia="Times New Roman" w:cs="Times New Roman"/>
          <w:szCs w:val="24"/>
          <w:lang w:eastAsia="ru-RU"/>
        </w:rPr>
        <w:t xml:space="preserve">dienas; 3) uzdot Eiropas Savienības </w:t>
      </w:r>
      <w:r w:rsidR="0006771F">
        <w:rPr>
          <w:rFonts w:eastAsia="Times New Roman" w:cs="Times New Roman"/>
          <w:szCs w:val="24"/>
          <w:lang w:eastAsia="ru-RU"/>
        </w:rPr>
        <w:t xml:space="preserve">Tiesai </w:t>
      </w:r>
      <w:r w:rsidR="00A513C2">
        <w:rPr>
          <w:rFonts w:eastAsia="Times New Roman" w:cs="Times New Roman"/>
          <w:szCs w:val="24"/>
          <w:lang w:eastAsia="ru-RU"/>
        </w:rPr>
        <w:t>jautājumu, vai Ministru kabinetam ir tiesī</w:t>
      </w:r>
      <w:r w:rsidR="005F6B55">
        <w:rPr>
          <w:rFonts w:eastAsia="Times New Roman" w:cs="Times New Roman"/>
          <w:szCs w:val="24"/>
          <w:lang w:eastAsia="ru-RU"/>
        </w:rPr>
        <w:t>bas atkāpties no Eiropas Cilvēka</w:t>
      </w:r>
      <w:r w:rsidR="00A513C2">
        <w:rPr>
          <w:rFonts w:eastAsia="Times New Roman" w:cs="Times New Roman"/>
          <w:szCs w:val="24"/>
          <w:lang w:eastAsia="ru-RU"/>
        </w:rPr>
        <w:t xml:space="preserve"> tiesību un pamatbrīvību aizsardzības konvencijas un Apvienoto Nāciju Organizācijas Starptautiskajā paktā</w:t>
      </w:r>
      <w:r w:rsidR="009F6F2E">
        <w:rPr>
          <w:rFonts w:eastAsia="Times New Roman" w:cs="Times New Roman"/>
          <w:szCs w:val="24"/>
          <w:lang w:eastAsia="ru-RU"/>
        </w:rPr>
        <w:t xml:space="preserve"> par pilsoniskajām un politiskajām tiesībām noteiktajām saistībām bez saskaņošanas ar Eiropas Komisiju, Eiropas Padomi un Eiropas Parlamentu.</w:t>
      </w:r>
    </w:p>
    <w:p w14:paraId="1EA0A2D9" w14:textId="77777777" w:rsidR="00AC1E03" w:rsidRPr="00D8657E" w:rsidRDefault="00AC1E03" w:rsidP="0013701D">
      <w:pPr>
        <w:autoSpaceDE w:val="0"/>
        <w:autoSpaceDN w:val="0"/>
        <w:adjustRightInd w:val="0"/>
        <w:spacing w:after="0" w:line="276" w:lineRule="auto"/>
        <w:jc w:val="both"/>
        <w:rPr>
          <w:rFonts w:eastAsia="Times New Roman" w:cs="Times New Roman"/>
          <w:szCs w:val="24"/>
          <w:lang w:eastAsia="ru-RU"/>
        </w:rPr>
      </w:pPr>
    </w:p>
    <w:p w14:paraId="4D177869" w14:textId="390CFFA9" w:rsidR="00086F00" w:rsidRPr="00D8657E" w:rsidRDefault="00AC58A2" w:rsidP="0013701D">
      <w:pPr>
        <w:autoSpaceDE w:val="0"/>
        <w:autoSpaceDN w:val="0"/>
        <w:adjustRightInd w:val="0"/>
        <w:spacing w:after="0" w:line="276" w:lineRule="auto"/>
        <w:ind w:firstLine="567"/>
        <w:jc w:val="both"/>
        <w:rPr>
          <w:rFonts w:eastAsia="Times New Roman" w:cs="Times New Roman"/>
          <w:szCs w:val="24"/>
          <w:lang w:eastAsia="ru-RU"/>
        </w:rPr>
      </w:pPr>
      <w:r>
        <w:rPr>
          <w:rFonts w:eastAsia="Times New Roman" w:cs="Times New Roman"/>
          <w:szCs w:val="24"/>
          <w:lang w:eastAsia="ru-RU"/>
        </w:rPr>
        <w:lastRenderedPageBreak/>
        <w:t>[3</w:t>
      </w:r>
      <w:r w:rsidR="00AC1E03" w:rsidRPr="00D8657E">
        <w:rPr>
          <w:rFonts w:eastAsia="Times New Roman" w:cs="Times New Roman"/>
          <w:szCs w:val="24"/>
          <w:lang w:eastAsia="ru-RU"/>
        </w:rPr>
        <w:t>] </w:t>
      </w:r>
      <w:r w:rsidR="00F708D1" w:rsidRPr="00D8657E">
        <w:rPr>
          <w:rFonts w:eastAsia="Times New Roman" w:cs="Times New Roman"/>
          <w:szCs w:val="24"/>
          <w:lang w:eastAsia="ru-RU"/>
        </w:rPr>
        <w:t xml:space="preserve">Ar </w:t>
      </w:r>
      <w:r w:rsidR="00525F10" w:rsidRPr="00D8657E">
        <w:rPr>
          <w:rFonts w:eastAsia="Times New Roman" w:cs="Times New Roman"/>
          <w:szCs w:val="24"/>
          <w:lang w:eastAsia="ru-RU"/>
        </w:rPr>
        <w:t xml:space="preserve">Administratīvās </w:t>
      </w:r>
      <w:r w:rsidR="00F708D1" w:rsidRPr="00D8657E">
        <w:rPr>
          <w:rFonts w:eastAsia="Times New Roman" w:cs="Times New Roman"/>
          <w:szCs w:val="24"/>
          <w:lang w:eastAsia="ru-RU"/>
        </w:rPr>
        <w:t xml:space="preserve">rajona tiesas tiesneša </w:t>
      </w:r>
      <w:proofErr w:type="gramStart"/>
      <w:r w:rsidR="00F708D1" w:rsidRPr="00D8657E">
        <w:rPr>
          <w:rFonts w:eastAsia="Times New Roman" w:cs="Times New Roman"/>
          <w:szCs w:val="24"/>
          <w:lang w:eastAsia="ru-RU"/>
        </w:rPr>
        <w:t>2020.gada</w:t>
      </w:r>
      <w:proofErr w:type="gramEnd"/>
      <w:r w:rsidR="00F708D1" w:rsidRPr="00D8657E">
        <w:rPr>
          <w:rFonts w:eastAsia="Times New Roman" w:cs="Times New Roman"/>
          <w:szCs w:val="24"/>
          <w:lang w:eastAsia="ru-RU"/>
        </w:rPr>
        <w:t xml:space="preserve"> </w:t>
      </w:r>
      <w:r w:rsidR="005E664B">
        <w:rPr>
          <w:rFonts w:eastAsia="Times New Roman" w:cs="Times New Roman"/>
          <w:szCs w:val="24"/>
          <w:lang w:eastAsia="ru-RU"/>
        </w:rPr>
        <w:t>12.maija</w:t>
      </w:r>
      <w:r w:rsidR="00F708D1" w:rsidRPr="00D8657E">
        <w:rPr>
          <w:rFonts w:eastAsia="Times New Roman" w:cs="Times New Roman"/>
          <w:szCs w:val="24"/>
          <w:lang w:eastAsia="ru-RU"/>
        </w:rPr>
        <w:t xml:space="preserve"> lēmumu pieteikumu atteikts pieņemt, pamatojoties uz Administratīvā procesa likuma 191.panta pirmās daļas 1.</w:t>
      </w:r>
      <w:r w:rsidR="005E664B">
        <w:rPr>
          <w:rFonts w:eastAsia="Times New Roman" w:cs="Times New Roman"/>
          <w:szCs w:val="24"/>
          <w:lang w:eastAsia="ru-RU"/>
        </w:rPr>
        <w:t xml:space="preserve"> un 8.</w:t>
      </w:r>
      <w:r w:rsidR="00F708D1" w:rsidRPr="00D8657E">
        <w:rPr>
          <w:rFonts w:eastAsia="Times New Roman" w:cs="Times New Roman"/>
          <w:szCs w:val="24"/>
          <w:lang w:eastAsia="ru-RU"/>
        </w:rPr>
        <w:t>punktu. Lēmums pamatots ar turpmāk norādītajiem argumentiem.</w:t>
      </w:r>
    </w:p>
    <w:p w14:paraId="3CF9B5F0" w14:textId="37D05044" w:rsidR="00B65337" w:rsidRDefault="00F708D1" w:rsidP="0013701D">
      <w:pPr>
        <w:autoSpaceDE w:val="0"/>
        <w:autoSpaceDN w:val="0"/>
        <w:adjustRightInd w:val="0"/>
        <w:spacing w:after="0" w:line="276" w:lineRule="auto"/>
        <w:jc w:val="both"/>
        <w:rPr>
          <w:rFonts w:eastAsia="Times New Roman" w:cs="Times New Roman"/>
          <w:szCs w:val="24"/>
          <w:lang w:eastAsia="ru-RU"/>
        </w:rPr>
      </w:pPr>
      <w:r w:rsidRPr="00D8657E">
        <w:rPr>
          <w:rFonts w:eastAsia="Times New Roman" w:cs="Times New Roman"/>
          <w:szCs w:val="24"/>
          <w:lang w:eastAsia="ru-RU"/>
        </w:rPr>
        <w:tab/>
      </w:r>
      <w:r w:rsidR="00AC58A2">
        <w:rPr>
          <w:rFonts w:eastAsia="Times New Roman" w:cs="Times New Roman"/>
          <w:szCs w:val="24"/>
          <w:lang w:eastAsia="ru-RU"/>
        </w:rPr>
        <w:t>[3</w:t>
      </w:r>
      <w:r w:rsidR="00B65337" w:rsidRPr="00D8657E">
        <w:rPr>
          <w:rFonts w:eastAsia="Times New Roman" w:cs="Times New Roman"/>
          <w:szCs w:val="24"/>
          <w:lang w:eastAsia="ru-RU"/>
        </w:rPr>
        <w:t>.1</w:t>
      </w:r>
      <w:r w:rsidR="00B51A61" w:rsidRPr="00D8657E">
        <w:rPr>
          <w:rFonts w:eastAsia="Times New Roman" w:cs="Times New Roman"/>
          <w:szCs w:val="24"/>
          <w:lang w:eastAsia="ru-RU"/>
        </w:rPr>
        <w:t>]</w:t>
      </w:r>
      <w:r w:rsidR="00E24441" w:rsidRPr="00D8657E">
        <w:rPr>
          <w:rFonts w:eastAsia="Times New Roman" w:cs="Times New Roman"/>
          <w:szCs w:val="24"/>
          <w:lang w:eastAsia="ru-RU"/>
        </w:rPr>
        <w:t xml:space="preserve"> </w:t>
      </w:r>
      <w:r w:rsidR="003556E9">
        <w:rPr>
          <w:rFonts w:eastAsia="Times New Roman" w:cs="Times New Roman"/>
          <w:szCs w:val="24"/>
          <w:lang w:eastAsia="ru-RU"/>
        </w:rPr>
        <w:t>Pieteicēja iebilst pret r</w:t>
      </w:r>
      <w:r w:rsidR="00E4495C" w:rsidRPr="00E4495C">
        <w:rPr>
          <w:rFonts w:eastAsia="Times New Roman" w:cs="Times New Roman"/>
          <w:szCs w:val="24"/>
          <w:lang w:eastAsia="ru-RU"/>
        </w:rPr>
        <w:t>īkojuma 4.12., 4.5.5., 4.5.21. (</w:t>
      </w:r>
      <w:r w:rsidR="00E4495C" w:rsidRPr="00E4495C">
        <w:rPr>
          <w:rFonts w:eastAsia="Times New Roman" w:cs="Times New Roman"/>
          <w:i/>
          <w:szCs w:val="24"/>
          <w:lang w:eastAsia="ru-RU"/>
        </w:rPr>
        <w:t>acīmredzot domāts 4.5.</w:t>
      </w:r>
      <w:r w:rsidR="00E4495C" w:rsidRPr="00E4495C">
        <w:rPr>
          <w:rFonts w:eastAsia="Times New Roman" w:cs="Times New Roman"/>
          <w:i/>
          <w:szCs w:val="24"/>
          <w:vertAlign w:val="superscript"/>
          <w:lang w:eastAsia="ru-RU"/>
        </w:rPr>
        <w:t>2</w:t>
      </w:r>
      <w:r w:rsidR="00E4495C" w:rsidRPr="00E4495C">
        <w:rPr>
          <w:rFonts w:eastAsia="Times New Roman" w:cs="Times New Roman"/>
          <w:i/>
          <w:szCs w:val="24"/>
          <w:lang w:eastAsia="ru-RU"/>
        </w:rPr>
        <w:t>1</w:t>
      </w:r>
      <w:r w:rsidR="00E4495C">
        <w:rPr>
          <w:rFonts w:eastAsia="Times New Roman" w:cs="Times New Roman"/>
          <w:szCs w:val="24"/>
          <w:lang w:eastAsia="ru-RU"/>
        </w:rPr>
        <w:t xml:space="preserve">), 4.5.24. </w:t>
      </w:r>
      <w:r w:rsidR="00E4495C" w:rsidRPr="00E4495C">
        <w:rPr>
          <w:rFonts w:eastAsia="Times New Roman" w:cs="Times New Roman"/>
          <w:szCs w:val="24"/>
          <w:lang w:eastAsia="ru-RU"/>
        </w:rPr>
        <w:t>(</w:t>
      </w:r>
      <w:r w:rsidR="00E4495C" w:rsidRPr="00E4495C">
        <w:rPr>
          <w:rFonts w:eastAsia="Times New Roman" w:cs="Times New Roman"/>
          <w:i/>
          <w:szCs w:val="24"/>
          <w:lang w:eastAsia="ru-RU"/>
        </w:rPr>
        <w:t>acīmredzot domāts 4.5.</w:t>
      </w:r>
      <w:r w:rsidR="00E4495C" w:rsidRPr="00E4495C">
        <w:rPr>
          <w:rFonts w:eastAsia="Times New Roman" w:cs="Times New Roman"/>
          <w:i/>
          <w:szCs w:val="24"/>
          <w:vertAlign w:val="superscript"/>
          <w:lang w:eastAsia="ru-RU"/>
        </w:rPr>
        <w:t>2</w:t>
      </w:r>
      <w:r w:rsidR="00E4495C" w:rsidRPr="00E4495C">
        <w:rPr>
          <w:rFonts w:eastAsia="Times New Roman" w:cs="Times New Roman"/>
          <w:i/>
          <w:szCs w:val="24"/>
          <w:lang w:eastAsia="ru-RU"/>
        </w:rPr>
        <w:t>4</w:t>
      </w:r>
      <w:r w:rsidR="00E4495C" w:rsidRPr="00E4495C">
        <w:rPr>
          <w:rFonts w:eastAsia="Times New Roman" w:cs="Times New Roman"/>
          <w:szCs w:val="24"/>
          <w:lang w:eastAsia="ru-RU"/>
        </w:rPr>
        <w:t xml:space="preserve">) </w:t>
      </w:r>
      <w:r w:rsidR="0006771F">
        <w:rPr>
          <w:rFonts w:eastAsia="Times New Roman" w:cs="Times New Roman"/>
          <w:szCs w:val="24"/>
          <w:lang w:eastAsia="ru-RU"/>
        </w:rPr>
        <w:t>apakš</w:t>
      </w:r>
      <w:r w:rsidR="00E4495C" w:rsidRPr="00E4495C">
        <w:rPr>
          <w:rFonts w:eastAsia="Times New Roman" w:cs="Times New Roman"/>
          <w:szCs w:val="24"/>
          <w:lang w:eastAsia="ru-RU"/>
        </w:rPr>
        <w:t>punktos ietverto regulējumu.</w:t>
      </w:r>
      <w:r w:rsidR="00E4495C">
        <w:rPr>
          <w:rFonts w:eastAsia="Times New Roman" w:cs="Times New Roman"/>
          <w:szCs w:val="24"/>
          <w:lang w:eastAsia="ru-RU"/>
        </w:rPr>
        <w:t xml:space="preserve"> Šajos</w:t>
      </w:r>
      <w:r w:rsidR="00E4495C" w:rsidRPr="00E4495C">
        <w:rPr>
          <w:rFonts w:eastAsia="Times New Roman" w:cs="Times New Roman"/>
          <w:szCs w:val="24"/>
          <w:lang w:eastAsia="ru-RU"/>
        </w:rPr>
        <w:t xml:space="preserve"> punktos ir ietverti vispārīgie administr</w:t>
      </w:r>
      <w:r w:rsidR="00E4495C">
        <w:rPr>
          <w:rFonts w:eastAsia="Times New Roman" w:cs="Times New Roman"/>
          <w:szCs w:val="24"/>
          <w:lang w:eastAsia="ru-RU"/>
        </w:rPr>
        <w:t xml:space="preserve">atīvie akti, jo noteic personām </w:t>
      </w:r>
      <w:r w:rsidR="00E4495C" w:rsidRPr="00E4495C">
        <w:rPr>
          <w:rFonts w:eastAsia="Times New Roman" w:cs="Times New Roman"/>
          <w:szCs w:val="24"/>
          <w:lang w:eastAsia="ru-RU"/>
        </w:rPr>
        <w:t>ierobežojumu pulcēties privātos un publiskos pasākumos, kā arī</w:t>
      </w:r>
      <w:r w:rsidR="009C225D">
        <w:rPr>
          <w:rFonts w:eastAsia="Times New Roman" w:cs="Times New Roman"/>
          <w:szCs w:val="24"/>
          <w:lang w:eastAsia="ru-RU"/>
        </w:rPr>
        <w:t xml:space="preserve"> uzliek</w:t>
      </w:r>
      <w:r w:rsidR="00E4495C">
        <w:rPr>
          <w:rFonts w:eastAsia="Times New Roman" w:cs="Times New Roman"/>
          <w:szCs w:val="24"/>
          <w:lang w:eastAsia="ru-RU"/>
        </w:rPr>
        <w:t xml:space="preserve"> pienākumus personām un </w:t>
      </w:r>
      <w:r w:rsidR="00E4495C" w:rsidRPr="00E4495C">
        <w:rPr>
          <w:rFonts w:eastAsia="Times New Roman" w:cs="Times New Roman"/>
          <w:szCs w:val="24"/>
          <w:lang w:eastAsia="ru-RU"/>
        </w:rPr>
        <w:t xml:space="preserve">kontaktpersonām, kuras atgriezušās no </w:t>
      </w:r>
      <w:proofErr w:type="spellStart"/>
      <w:r w:rsidR="00E4495C" w:rsidRPr="00E4495C">
        <w:rPr>
          <w:rFonts w:eastAsia="Times New Roman" w:cs="Times New Roman"/>
          <w:szCs w:val="24"/>
          <w:lang w:eastAsia="ru-RU"/>
        </w:rPr>
        <w:t>Covid-19</w:t>
      </w:r>
      <w:proofErr w:type="spellEnd"/>
      <w:r w:rsidR="00E4495C" w:rsidRPr="00E4495C">
        <w:rPr>
          <w:rFonts w:eastAsia="Times New Roman" w:cs="Times New Roman"/>
          <w:szCs w:val="24"/>
          <w:lang w:eastAsia="ru-RU"/>
        </w:rPr>
        <w:t xml:space="preserve"> skartās vals</w:t>
      </w:r>
      <w:r w:rsidR="00E4495C">
        <w:rPr>
          <w:rFonts w:eastAsia="Times New Roman" w:cs="Times New Roman"/>
          <w:szCs w:val="24"/>
          <w:lang w:eastAsia="ru-RU"/>
        </w:rPr>
        <w:t>ts vai teritorijas</w:t>
      </w:r>
      <w:r w:rsidR="0006771F">
        <w:rPr>
          <w:rFonts w:eastAsia="Times New Roman" w:cs="Times New Roman"/>
          <w:szCs w:val="24"/>
          <w:lang w:eastAsia="ru-RU"/>
        </w:rPr>
        <w:t>,</w:t>
      </w:r>
      <w:r w:rsidR="00E4495C">
        <w:rPr>
          <w:rFonts w:eastAsia="Times New Roman" w:cs="Times New Roman"/>
          <w:szCs w:val="24"/>
          <w:lang w:eastAsia="ru-RU"/>
        </w:rPr>
        <w:t xml:space="preserve"> veikt īpašus </w:t>
      </w:r>
      <w:r w:rsidR="00E4495C" w:rsidRPr="00E4495C">
        <w:rPr>
          <w:rFonts w:eastAsia="Times New Roman" w:cs="Times New Roman"/>
          <w:szCs w:val="24"/>
          <w:lang w:eastAsia="ru-RU"/>
        </w:rPr>
        <w:t>epidemioloģiskās drošības pasākumus.</w:t>
      </w:r>
    </w:p>
    <w:p w14:paraId="5DB8A4E9" w14:textId="73F49650" w:rsidR="00E4495C" w:rsidRDefault="00E4495C" w:rsidP="0013701D">
      <w:pPr>
        <w:autoSpaceDE w:val="0"/>
        <w:autoSpaceDN w:val="0"/>
        <w:adjustRightInd w:val="0"/>
        <w:spacing w:after="0" w:line="276" w:lineRule="auto"/>
        <w:jc w:val="both"/>
        <w:rPr>
          <w:rFonts w:eastAsia="Times New Roman" w:cs="Times New Roman"/>
          <w:szCs w:val="24"/>
          <w:lang w:eastAsia="ru-RU"/>
        </w:rPr>
      </w:pPr>
      <w:r>
        <w:rPr>
          <w:rFonts w:eastAsia="Times New Roman" w:cs="Times New Roman"/>
          <w:szCs w:val="24"/>
          <w:lang w:eastAsia="ru-RU"/>
        </w:rPr>
        <w:tab/>
      </w:r>
      <w:r w:rsidR="009312A1" w:rsidRPr="009312A1">
        <w:rPr>
          <w:rFonts w:eastAsia="Times New Roman" w:cs="Times New Roman"/>
          <w:szCs w:val="24"/>
          <w:lang w:eastAsia="ru-RU"/>
        </w:rPr>
        <w:t>Per</w:t>
      </w:r>
      <w:r w:rsidR="009312A1">
        <w:rPr>
          <w:rFonts w:eastAsia="Times New Roman" w:cs="Times New Roman"/>
          <w:szCs w:val="24"/>
          <w:lang w:eastAsia="ru-RU"/>
        </w:rPr>
        <w:t>sonai ir tiesības iebilst pret r</w:t>
      </w:r>
      <w:r w:rsidR="009312A1" w:rsidRPr="009312A1">
        <w:rPr>
          <w:rFonts w:eastAsia="Times New Roman" w:cs="Times New Roman"/>
          <w:szCs w:val="24"/>
          <w:lang w:eastAsia="ru-RU"/>
        </w:rPr>
        <w:t xml:space="preserve">īkojumā ietverto </w:t>
      </w:r>
      <w:r w:rsidR="0006771F" w:rsidRPr="009312A1">
        <w:rPr>
          <w:rFonts w:eastAsia="Times New Roman" w:cs="Times New Roman"/>
          <w:szCs w:val="24"/>
          <w:lang w:eastAsia="ru-RU"/>
        </w:rPr>
        <w:t>visp</w:t>
      </w:r>
      <w:r w:rsidR="0006771F">
        <w:rPr>
          <w:rFonts w:eastAsia="Times New Roman" w:cs="Times New Roman"/>
          <w:szCs w:val="24"/>
          <w:lang w:eastAsia="ru-RU"/>
        </w:rPr>
        <w:t xml:space="preserve">ārīgo administratīvo </w:t>
      </w:r>
      <w:r w:rsidR="00B15157">
        <w:rPr>
          <w:rFonts w:eastAsia="Times New Roman" w:cs="Times New Roman"/>
          <w:szCs w:val="24"/>
          <w:lang w:eastAsia="ru-RU"/>
        </w:rPr>
        <w:t xml:space="preserve">aktu tikai </w:t>
      </w:r>
      <w:r w:rsidR="009312A1" w:rsidRPr="009312A1">
        <w:rPr>
          <w:rFonts w:eastAsia="Times New Roman" w:cs="Times New Roman"/>
          <w:szCs w:val="24"/>
          <w:lang w:eastAsia="ru-RU"/>
        </w:rPr>
        <w:t>tādos gadījumos, ja tā uzskata, ka uzliktais pienākums</w:t>
      </w:r>
      <w:r w:rsidR="009312A1">
        <w:rPr>
          <w:rFonts w:eastAsia="Times New Roman" w:cs="Times New Roman"/>
          <w:szCs w:val="24"/>
          <w:lang w:eastAsia="ru-RU"/>
        </w:rPr>
        <w:t xml:space="preserve"> ir pārmērīgs vai neatbilstošs. </w:t>
      </w:r>
      <w:r w:rsidR="009312A1" w:rsidRPr="009312A1">
        <w:rPr>
          <w:rFonts w:eastAsia="Times New Roman" w:cs="Times New Roman"/>
          <w:szCs w:val="24"/>
          <w:lang w:eastAsia="ru-RU"/>
        </w:rPr>
        <w:t>Pieteicēja nav pamatojusi</w:t>
      </w:r>
      <w:r w:rsidR="00B15157">
        <w:rPr>
          <w:rFonts w:eastAsia="Times New Roman" w:cs="Times New Roman"/>
          <w:szCs w:val="24"/>
          <w:lang w:eastAsia="ru-RU"/>
        </w:rPr>
        <w:t>,</w:t>
      </w:r>
      <w:r w:rsidR="009312A1" w:rsidRPr="009312A1">
        <w:rPr>
          <w:rFonts w:eastAsia="Times New Roman" w:cs="Times New Roman"/>
          <w:szCs w:val="24"/>
          <w:lang w:eastAsia="ru-RU"/>
        </w:rPr>
        <w:t xml:space="preserve"> kā izpauža</w:t>
      </w:r>
      <w:r w:rsidR="00B15157">
        <w:rPr>
          <w:rFonts w:eastAsia="Times New Roman" w:cs="Times New Roman"/>
          <w:szCs w:val="24"/>
          <w:lang w:eastAsia="ru-RU"/>
        </w:rPr>
        <w:t xml:space="preserve">s </w:t>
      </w:r>
      <w:r w:rsidR="003556E9">
        <w:rPr>
          <w:rFonts w:eastAsia="Times New Roman" w:cs="Times New Roman"/>
          <w:szCs w:val="24"/>
          <w:lang w:eastAsia="ru-RU"/>
        </w:rPr>
        <w:t>pieteicējas norādītajos rīkojuma</w:t>
      </w:r>
      <w:r w:rsidR="009312A1" w:rsidRPr="009312A1">
        <w:rPr>
          <w:rFonts w:eastAsia="Times New Roman" w:cs="Times New Roman"/>
          <w:szCs w:val="24"/>
          <w:lang w:eastAsia="ru-RU"/>
        </w:rPr>
        <w:t xml:space="preserve"> punktos ietvertā regu</w:t>
      </w:r>
      <w:r w:rsidR="009312A1">
        <w:rPr>
          <w:rFonts w:eastAsia="Times New Roman" w:cs="Times New Roman"/>
          <w:szCs w:val="24"/>
          <w:lang w:eastAsia="ru-RU"/>
        </w:rPr>
        <w:t xml:space="preserve">lējuma nesamērīgums. Pieteicēja </w:t>
      </w:r>
      <w:r w:rsidR="009312A1" w:rsidRPr="009312A1">
        <w:rPr>
          <w:rFonts w:eastAsia="Times New Roman" w:cs="Times New Roman"/>
          <w:szCs w:val="24"/>
          <w:lang w:eastAsia="ru-RU"/>
        </w:rPr>
        <w:t>formāli norāda uz Pasaules Veselības organizācijas rekomendēto di</w:t>
      </w:r>
      <w:r w:rsidR="00B15157">
        <w:rPr>
          <w:rFonts w:eastAsia="Times New Roman" w:cs="Times New Roman"/>
          <w:szCs w:val="24"/>
          <w:lang w:eastAsia="ru-RU"/>
        </w:rPr>
        <w:t xml:space="preserve">stanci starp cilvēkiem, cilvēku </w:t>
      </w:r>
      <w:r w:rsidR="009312A1" w:rsidRPr="009312A1">
        <w:rPr>
          <w:rFonts w:eastAsia="Times New Roman" w:cs="Times New Roman"/>
          <w:szCs w:val="24"/>
          <w:lang w:eastAsia="ru-RU"/>
        </w:rPr>
        <w:t>aizturēšanu ārzemēs par karantīnas režīma neievērošanu un ka Latv</w:t>
      </w:r>
      <w:r w:rsidR="00B15157">
        <w:rPr>
          <w:rFonts w:eastAsia="Times New Roman" w:cs="Times New Roman"/>
          <w:szCs w:val="24"/>
          <w:lang w:eastAsia="ru-RU"/>
        </w:rPr>
        <w:t xml:space="preserve">ijā pašvaldības policija nogādā </w:t>
      </w:r>
      <w:r w:rsidR="009312A1" w:rsidRPr="009312A1">
        <w:rPr>
          <w:rFonts w:eastAsia="Times New Roman" w:cs="Times New Roman"/>
          <w:szCs w:val="24"/>
          <w:lang w:eastAsia="ru-RU"/>
        </w:rPr>
        <w:t>karantīnas režīma pārkāpējus uz policijas izolatoriem.</w:t>
      </w:r>
    </w:p>
    <w:p w14:paraId="5830EC62" w14:textId="2E83F3CE" w:rsidR="00B15157" w:rsidRDefault="00B15157" w:rsidP="0013701D">
      <w:pPr>
        <w:autoSpaceDE w:val="0"/>
        <w:autoSpaceDN w:val="0"/>
        <w:adjustRightInd w:val="0"/>
        <w:spacing w:after="0" w:line="276" w:lineRule="auto"/>
        <w:jc w:val="both"/>
        <w:rPr>
          <w:rFonts w:eastAsia="Times New Roman" w:cs="Times New Roman"/>
          <w:szCs w:val="24"/>
          <w:lang w:eastAsia="ru-RU"/>
        </w:rPr>
      </w:pPr>
      <w:r>
        <w:rPr>
          <w:rFonts w:eastAsia="Times New Roman" w:cs="Times New Roman"/>
          <w:szCs w:val="24"/>
          <w:lang w:eastAsia="ru-RU"/>
        </w:rPr>
        <w:tab/>
        <w:t>S</w:t>
      </w:r>
      <w:r w:rsidRPr="00B15157">
        <w:rPr>
          <w:rFonts w:eastAsia="Times New Roman" w:cs="Times New Roman"/>
          <w:szCs w:val="24"/>
          <w:lang w:eastAsia="ru-RU"/>
        </w:rPr>
        <w:t>askaņā ar Administratīvā proces</w:t>
      </w:r>
      <w:r>
        <w:rPr>
          <w:rFonts w:eastAsia="Times New Roman" w:cs="Times New Roman"/>
          <w:szCs w:val="24"/>
          <w:lang w:eastAsia="ru-RU"/>
        </w:rPr>
        <w:t xml:space="preserve">a likuma </w:t>
      </w:r>
      <w:proofErr w:type="gramStart"/>
      <w:r>
        <w:rPr>
          <w:rFonts w:eastAsia="Times New Roman" w:cs="Times New Roman"/>
          <w:szCs w:val="24"/>
          <w:lang w:eastAsia="ru-RU"/>
        </w:rPr>
        <w:t>31.panta</w:t>
      </w:r>
      <w:proofErr w:type="gramEnd"/>
      <w:r>
        <w:rPr>
          <w:rFonts w:eastAsia="Times New Roman" w:cs="Times New Roman"/>
          <w:szCs w:val="24"/>
          <w:lang w:eastAsia="ru-RU"/>
        </w:rPr>
        <w:t xml:space="preserve"> otro daļu pa</w:t>
      </w:r>
      <w:r w:rsidR="0018652B">
        <w:rPr>
          <w:rFonts w:eastAsia="Times New Roman" w:cs="Times New Roman"/>
          <w:szCs w:val="24"/>
          <w:lang w:eastAsia="ru-RU"/>
        </w:rPr>
        <w:t>r</w:t>
      </w:r>
      <w:r>
        <w:rPr>
          <w:rFonts w:eastAsia="Times New Roman" w:cs="Times New Roman"/>
          <w:szCs w:val="24"/>
          <w:lang w:eastAsia="ru-RU"/>
        </w:rPr>
        <w:t xml:space="preserve"> </w:t>
      </w:r>
      <w:r w:rsidRPr="00B15157">
        <w:rPr>
          <w:rFonts w:eastAsia="Times New Roman" w:cs="Times New Roman"/>
          <w:szCs w:val="24"/>
          <w:lang w:eastAsia="ru-RU"/>
        </w:rPr>
        <w:t>pieteicēju administratīvajā tiesā var būt tikai tāda privātperson</w:t>
      </w:r>
      <w:r>
        <w:rPr>
          <w:rFonts w:eastAsia="Times New Roman" w:cs="Times New Roman"/>
          <w:szCs w:val="24"/>
          <w:lang w:eastAsia="ru-RU"/>
        </w:rPr>
        <w:t>a, kuras tiesības vai tiesiskā</w:t>
      </w:r>
      <w:r w:rsidR="0006771F">
        <w:rPr>
          <w:rFonts w:eastAsia="Times New Roman" w:cs="Times New Roman"/>
          <w:szCs w:val="24"/>
          <w:lang w:eastAsia="ru-RU"/>
        </w:rPr>
        <w:t>s</w:t>
      </w:r>
      <w:r>
        <w:rPr>
          <w:rFonts w:eastAsia="Times New Roman" w:cs="Times New Roman"/>
          <w:szCs w:val="24"/>
          <w:lang w:eastAsia="ru-RU"/>
        </w:rPr>
        <w:t xml:space="preserve"> </w:t>
      </w:r>
      <w:r w:rsidRPr="00B15157">
        <w:rPr>
          <w:rFonts w:eastAsia="Times New Roman" w:cs="Times New Roman"/>
          <w:szCs w:val="24"/>
          <w:lang w:eastAsia="ru-RU"/>
        </w:rPr>
        <w:t>intereses ir aizskartas. Turklāt tiesas spriedums par vispārīgā administratīvā akta atcelšanu pa</w:t>
      </w:r>
      <w:r>
        <w:rPr>
          <w:rFonts w:eastAsia="Times New Roman" w:cs="Times New Roman"/>
          <w:szCs w:val="24"/>
          <w:lang w:eastAsia="ru-RU"/>
        </w:rPr>
        <w:t>rast</w:t>
      </w:r>
      <w:r w:rsidR="003556E9">
        <w:rPr>
          <w:rFonts w:eastAsia="Times New Roman" w:cs="Times New Roman"/>
          <w:szCs w:val="24"/>
          <w:lang w:eastAsia="ru-RU"/>
        </w:rPr>
        <w:t>i</w:t>
      </w:r>
      <w:r>
        <w:rPr>
          <w:rFonts w:eastAsia="Times New Roman" w:cs="Times New Roman"/>
          <w:szCs w:val="24"/>
          <w:lang w:eastAsia="ru-RU"/>
        </w:rPr>
        <w:t xml:space="preserve"> </w:t>
      </w:r>
      <w:r w:rsidRPr="00B15157">
        <w:rPr>
          <w:rFonts w:eastAsia="Times New Roman" w:cs="Times New Roman"/>
          <w:szCs w:val="24"/>
          <w:lang w:eastAsia="ru-RU"/>
        </w:rPr>
        <w:t>skar tikai tiesiskās attiecības starp konkrēto pieteicēju un iestādi, ta</w:t>
      </w:r>
      <w:r>
        <w:rPr>
          <w:rFonts w:eastAsia="Times New Roman" w:cs="Times New Roman"/>
          <w:szCs w:val="24"/>
          <w:lang w:eastAsia="ru-RU"/>
        </w:rPr>
        <w:t>s ir, tiesai nav tiesību atcel</w:t>
      </w:r>
      <w:r w:rsidR="00E01968">
        <w:rPr>
          <w:rFonts w:eastAsia="Times New Roman" w:cs="Times New Roman"/>
          <w:szCs w:val="24"/>
          <w:lang w:eastAsia="ru-RU"/>
        </w:rPr>
        <w:t>t</w:t>
      </w:r>
      <w:r>
        <w:rPr>
          <w:rFonts w:eastAsia="Times New Roman" w:cs="Times New Roman"/>
          <w:szCs w:val="24"/>
          <w:lang w:eastAsia="ru-RU"/>
        </w:rPr>
        <w:t xml:space="preserve"> </w:t>
      </w:r>
      <w:r w:rsidRPr="00B15157">
        <w:rPr>
          <w:rFonts w:eastAsia="Times New Roman" w:cs="Times New Roman"/>
          <w:szCs w:val="24"/>
          <w:lang w:eastAsia="ru-RU"/>
        </w:rPr>
        <w:t>pārsūdzēto administratīvo aktu arī attiecībā uz personām, kur</w:t>
      </w:r>
      <w:r>
        <w:rPr>
          <w:rFonts w:eastAsia="Times New Roman" w:cs="Times New Roman"/>
          <w:szCs w:val="24"/>
          <w:lang w:eastAsia="ru-RU"/>
        </w:rPr>
        <w:t>as nav konkrētā procesa dalībnieki. P</w:t>
      </w:r>
      <w:r w:rsidR="0049585E">
        <w:rPr>
          <w:rFonts w:eastAsia="Times New Roman" w:cs="Times New Roman"/>
          <w:szCs w:val="24"/>
          <w:lang w:eastAsia="ru-RU"/>
        </w:rPr>
        <w:t>ieteikum</w:t>
      </w:r>
      <w:r w:rsidR="00E01968">
        <w:rPr>
          <w:rFonts w:eastAsia="Times New Roman" w:cs="Times New Roman"/>
          <w:szCs w:val="24"/>
          <w:lang w:eastAsia="ru-RU"/>
        </w:rPr>
        <w:t>ā</w:t>
      </w:r>
      <w:r w:rsidR="0049585E">
        <w:rPr>
          <w:rFonts w:eastAsia="Times New Roman" w:cs="Times New Roman"/>
          <w:szCs w:val="24"/>
          <w:lang w:eastAsia="ru-RU"/>
        </w:rPr>
        <w:t xml:space="preserve"> </w:t>
      </w:r>
      <w:r w:rsidRPr="00B15157">
        <w:rPr>
          <w:rFonts w:eastAsia="Times New Roman" w:cs="Times New Roman"/>
          <w:szCs w:val="24"/>
          <w:lang w:eastAsia="ru-RU"/>
        </w:rPr>
        <w:t>galvenokārt ir norādīts uz vispārīgu un formālu sabiedrības inte</w:t>
      </w:r>
      <w:r w:rsidR="0049585E">
        <w:rPr>
          <w:rFonts w:eastAsia="Times New Roman" w:cs="Times New Roman"/>
          <w:szCs w:val="24"/>
          <w:lang w:eastAsia="ru-RU"/>
        </w:rPr>
        <w:t xml:space="preserve">rešu aizstāvību, nenorādot vērā </w:t>
      </w:r>
      <w:r w:rsidRPr="00B15157">
        <w:rPr>
          <w:rFonts w:eastAsia="Times New Roman" w:cs="Times New Roman"/>
          <w:szCs w:val="24"/>
          <w:lang w:eastAsia="ru-RU"/>
        </w:rPr>
        <w:t>ņemamus faktus vai apstākļus, kas liecinātu par pieteicējas interešu būtisku aizskārumu.</w:t>
      </w:r>
    </w:p>
    <w:p w14:paraId="0320B3C9" w14:textId="084E4A1E" w:rsidR="0049585E" w:rsidRDefault="00AC58A2" w:rsidP="0013701D">
      <w:pPr>
        <w:autoSpaceDE w:val="0"/>
        <w:autoSpaceDN w:val="0"/>
        <w:adjustRightInd w:val="0"/>
        <w:spacing w:after="0" w:line="276" w:lineRule="auto"/>
        <w:jc w:val="both"/>
        <w:rPr>
          <w:rFonts w:eastAsia="Times New Roman" w:cs="Times New Roman"/>
          <w:szCs w:val="24"/>
          <w:lang w:eastAsia="ru-RU"/>
        </w:rPr>
      </w:pPr>
      <w:r>
        <w:rPr>
          <w:rFonts w:eastAsia="Times New Roman" w:cs="Times New Roman"/>
          <w:szCs w:val="24"/>
          <w:lang w:eastAsia="ru-RU"/>
        </w:rPr>
        <w:tab/>
        <w:t>[3</w:t>
      </w:r>
      <w:r w:rsidR="0049585E">
        <w:rPr>
          <w:rFonts w:eastAsia="Times New Roman" w:cs="Times New Roman"/>
          <w:szCs w:val="24"/>
          <w:lang w:eastAsia="ru-RU"/>
        </w:rPr>
        <w:t>.2] </w:t>
      </w:r>
      <w:r w:rsidR="0049585E" w:rsidRPr="0049585E">
        <w:rPr>
          <w:rFonts w:eastAsia="Times New Roman" w:cs="Times New Roman"/>
          <w:szCs w:val="24"/>
          <w:lang w:eastAsia="ru-RU"/>
        </w:rPr>
        <w:t>Pieteicēja norāda, ka attiecībā uz izsludinātajām Rīgas d</w:t>
      </w:r>
      <w:r w:rsidR="0049585E">
        <w:rPr>
          <w:rFonts w:eastAsia="Times New Roman" w:cs="Times New Roman"/>
          <w:szCs w:val="24"/>
          <w:lang w:eastAsia="ru-RU"/>
        </w:rPr>
        <w:t xml:space="preserve">omes vēlēšanām laika periodā no </w:t>
      </w:r>
      <w:proofErr w:type="gramStart"/>
      <w:r w:rsidR="0049585E" w:rsidRPr="0049585E">
        <w:rPr>
          <w:rFonts w:eastAsia="Times New Roman" w:cs="Times New Roman"/>
          <w:szCs w:val="24"/>
          <w:lang w:eastAsia="ru-RU"/>
        </w:rPr>
        <w:t>2020.ga</w:t>
      </w:r>
      <w:r w:rsidR="00E01968">
        <w:rPr>
          <w:rFonts w:eastAsia="Times New Roman" w:cs="Times New Roman"/>
          <w:szCs w:val="24"/>
          <w:lang w:eastAsia="ru-RU"/>
        </w:rPr>
        <w:t>da</w:t>
      </w:r>
      <w:proofErr w:type="gramEnd"/>
      <w:r w:rsidR="00E01968">
        <w:rPr>
          <w:rFonts w:eastAsia="Times New Roman" w:cs="Times New Roman"/>
          <w:szCs w:val="24"/>
          <w:lang w:eastAsia="ru-RU"/>
        </w:rPr>
        <w:t xml:space="preserve"> 26.februāra līdz 21.aprīlim r</w:t>
      </w:r>
      <w:r w:rsidR="0049585E" w:rsidRPr="0049585E">
        <w:rPr>
          <w:rFonts w:eastAsia="Times New Roman" w:cs="Times New Roman"/>
          <w:szCs w:val="24"/>
          <w:lang w:eastAsia="ru-RU"/>
        </w:rPr>
        <w:t>īkojuma 4.5.</w:t>
      </w:r>
      <w:r w:rsidR="0006771F">
        <w:rPr>
          <w:rFonts w:eastAsia="Times New Roman" w:cs="Times New Roman"/>
          <w:szCs w:val="24"/>
          <w:lang w:eastAsia="ru-RU"/>
        </w:rPr>
        <w:t>apakš</w:t>
      </w:r>
      <w:r w:rsidR="0049585E" w:rsidRPr="0049585E">
        <w:rPr>
          <w:rFonts w:eastAsia="Times New Roman" w:cs="Times New Roman"/>
          <w:szCs w:val="24"/>
          <w:lang w:eastAsia="ru-RU"/>
        </w:rPr>
        <w:t>punkts ierobe</w:t>
      </w:r>
      <w:r w:rsidR="0049585E">
        <w:rPr>
          <w:rFonts w:eastAsia="Times New Roman" w:cs="Times New Roman"/>
          <w:szCs w:val="24"/>
          <w:lang w:eastAsia="ru-RU"/>
        </w:rPr>
        <w:t xml:space="preserve">žoja pieteicējas tiesības veikt </w:t>
      </w:r>
      <w:r w:rsidR="0049585E" w:rsidRPr="0049585E">
        <w:rPr>
          <w:rFonts w:eastAsia="Times New Roman" w:cs="Times New Roman"/>
          <w:szCs w:val="24"/>
          <w:lang w:eastAsia="ru-RU"/>
        </w:rPr>
        <w:t>aģitāciju par sevi un saviem biedriem saskaņā ar Priekšvēlēšanu aģitācijas likuma 20.-22.pantu.</w:t>
      </w:r>
      <w:r w:rsidR="00E01968">
        <w:rPr>
          <w:rFonts w:eastAsia="Times New Roman" w:cs="Times New Roman"/>
          <w:szCs w:val="24"/>
          <w:lang w:eastAsia="ru-RU"/>
        </w:rPr>
        <w:t xml:space="preserve"> </w:t>
      </w:r>
      <w:r w:rsidR="0049585E" w:rsidRPr="0049585E">
        <w:rPr>
          <w:rFonts w:eastAsia="Times New Roman" w:cs="Times New Roman"/>
          <w:szCs w:val="24"/>
          <w:lang w:eastAsia="ru-RU"/>
        </w:rPr>
        <w:t>Pieteicēja nav pamatojusi</w:t>
      </w:r>
      <w:r w:rsidR="0049585E">
        <w:rPr>
          <w:rFonts w:eastAsia="Times New Roman" w:cs="Times New Roman"/>
          <w:szCs w:val="24"/>
          <w:lang w:eastAsia="ru-RU"/>
        </w:rPr>
        <w:t>,</w:t>
      </w:r>
      <w:r w:rsidR="0049585E" w:rsidRPr="0049585E">
        <w:rPr>
          <w:rFonts w:eastAsia="Times New Roman" w:cs="Times New Roman"/>
          <w:szCs w:val="24"/>
          <w:lang w:eastAsia="ru-RU"/>
        </w:rPr>
        <w:t xml:space="preserve"> kāds ties</w:t>
      </w:r>
      <w:r w:rsidR="00E01968">
        <w:rPr>
          <w:rFonts w:eastAsia="Times New Roman" w:cs="Times New Roman"/>
          <w:szCs w:val="24"/>
          <w:lang w:eastAsia="ru-RU"/>
        </w:rPr>
        <w:t>ību aizskārums tai nodarīts ar r</w:t>
      </w:r>
      <w:r w:rsidR="0049585E" w:rsidRPr="0049585E">
        <w:rPr>
          <w:rFonts w:eastAsia="Times New Roman" w:cs="Times New Roman"/>
          <w:szCs w:val="24"/>
          <w:lang w:eastAsia="ru-RU"/>
        </w:rPr>
        <w:t>īkojuma 4.5.</w:t>
      </w:r>
      <w:r w:rsidR="0006771F">
        <w:rPr>
          <w:rFonts w:eastAsia="Times New Roman" w:cs="Times New Roman"/>
          <w:szCs w:val="24"/>
          <w:lang w:eastAsia="ru-RU"/>
        </w:rPr>
        <w:t>apakš</w:t>
      </w:r>
      <w:r w:rsidR="0049585E" w:rsidRPr="0049585E">
        <w:rPr>
          <w:rFonts w:eastAsia="Times New Roman" w:cs="Times New Roman"/>
          <w:szCs w:val="24"/>
          <w:lang w:eastAsia="ru-RU"/>
        </w:rPr>
        <w:t>punktā</w:t>
      </w:r>
      <w:r w:rsidR="00E01968">
        <w:rPr>
          <w:rFonts w:eastAsia="Times New Roman" w:cs="Times New Roman"/>
          <w:szCs w:val="24"/>
          <w:lang w:eastAsia="ru-RU"/>
        </w:rPr>
        <w:t xml:space="preserve"> </w:t>
      </w:r>
      <w:r w:rsidR="0049585E" w:rsidRPr="0049585E">
        <w:rPr>
          <w:rFonts w:eastAsia="Times New Roman" w:cs="Times New Roman"/>
          <w:szCs w:val="24"/>
          <w:lang w:eastAsia="ru-RU"/>
        </w:rPr>
        <w:t>noteikt</w:t>
      </w:r>
      <w:r w:rsidR="00E01968">
        <w:rPr>
          <w:rFonts w:eastAsia="Times New Roman" w:cs="Times New Roman"/>
          <w:szCs w:val="24"/>
          <w:lang w:eastAsia="ru-RU"/>
        </w:rPr>
        <w:t>aj</w:t>
      </w:r>
      <w:r w:rsidR="0049585E" w:rsidRPr="0049585E">
        <w:rPr>
          <w:rFonts w:eastAsia="Times New Roman" w:cs="Times New Roman"/>
          <w:szCs w:val="24"/>
          <w:lang w:eastAsia="ru-RU"/>
        </w:rPr>
        <w:t xml:space="preserve">iem pulcēšanās ierobežojumiem laika periodā no </w:t>
      </w:r>
      <w:proofErr w:type="gramStart"/>
      <w:r w:rsidR="0049585E" w:rsidRPr="0049585E">
        <w:rPr>
          <w:rFonts w:eastAsia="Times New Roman" w:cs="Times New Roman"/>
          <w:szCs w:val="24"/>
          <w:lang w:eastAsia="ru-RU"/>
        </w:rPr>
        <w:t>2020.gada</w:t>
      </w:r>
      <w:proofErr w:type="gramEnd"/>
      <w:r w:rsidR="0049585E" w:rsidRPr="0049585E">
        <w:rPr>
          <w:rFonts w:eastAsia="Times New Roman" w:cs="Times New Roman"/>
          <w:szCs w:val="24"/>
          <w:lang w:eastAsia="ru-RU"/>
        </w:rPr>
        <w:t xml:space="preserve"> 2</w:t>
      </w:r>
      <w:r w:rsidR="0049585E">
        <w:rPr>
          <w:rFonts w:eastAsia="Times New Roman" w:cs="Times New Roman"/>
          <w:szCs w:val="24"/>
          <w:lang w:eastAsia="ru-RU"/>
        </w:rPr>
        <w:t xml:space="preserve">6.februāra līdz 21.aprīlim, lai </w:t>
      </w:r>
      <w:r w:rsidR="0049585E" w:rsidRPr="0049585E">
        <w:rPr>
          <w:rFonts w:eastAsia="Times New Roman" w:cs="Times New Roman"/>
          <w:szCs w:val="24"/>
          <w:lang w:eastAsia="ru-RU"/>
        </w:rPr>
        <w:t xml:space="preserve">būtu pamats secināt, ka tiesību ierobežojums ir būtisks un nesamērīgs. Turklāt ārkārtējā situācija valstī izsludināta </w:t>
      </w:r>
      <w:proofErr w:type="gramStart"/>
      <w:r w:rsidR="0049585E" w:rsidRPr="0049585E">
        <w:rPr>
          <w:rFonts w:eastAsia="Times New Roman" w:cs="Times New Roman"/>
          <w:szCs w:val="24"/>
          <w:lang w:eastAsia="ru-RU"/>
        </w:rPr>
        <w:t>2020.</w:t>
      </w:r>
      <w:r w:rsidR="0049585E">
        <w:rPr>
          <w:rFonts w:eastAsia="Times New Roman" w:cs="Times New Roman"/>
          <w:szCs w:val="24"/>
          <w:lang w:eastAsia="ru-RU"/>
        </w:rPr>
        <w:t>gada</w:t>
      </w:r>
      <w:proofErr w:type="gramEnd"/>
      <w:r w:rsidR="0049585E">
        <w:rPr>
          <w:rFonts w:eastAsia="Times New Roman" w:cs="Times New Roman"/>
          <w:szCs w:val="24"/>
          <w:lang w:eastAsia="ru-RU"/>
        </w:rPr>
        <w:t xml:space="preserve"> 12.martā un līdz minētajam </w:t>
      </w:r>
      <w:r w:rsidR="00FA261E">
        <w:rPr>
          <w:rFonts w:eastAsia="Times New Roman" w:cs="Times New Roman"/>
          <w:szCs w:val="24"/>
          <w:lang w:eastAsia="ru-RU"/>
        </w:rPr>
        <w:t>datumam pieteicējas tiesības r</w:t>
      </w:r>
      <w:r w:rsidR="0049585E" w:rsidRPr="0049585E">
        <w:rPr>
          <w:rFonts w:eastAsia="Times New Roman" w:cs="Times New Roman"/>
          <w:szCs w:val="24"/>
          <w:lang w:eastAsia="ru-RU"/>
        </w:rPr>
        <w:t>īkojuma 4.5.</w:t>
      </w:r>
      <w:r w:rsidR="0006771F">
        <w:rPr>
          <w:rFonts w:eastAsia="Times New Roman" w:cs="Times New Roman"/>
          <w:szCs w:val="24"/>
          <w:lang w:eastAsia="ru-RU"/>
        </w:rPr>
        <w:t>apakš</w:t>
      </w:r>
      <w:r w:rsidR="0049585E" w:rsidRPr="0049585E">
        <w:rPr>
          <w:rFonts w:eastAsia="Times New Roman" w:cs="Times New Roman"/>
          <w:szCs w:val="24"/>
          <w:lang w:eastAsia="ru-RU"/>
        </w:rPr>
        <w:t>punkts nevarēja ierobežot.</w:t>
      </w:r>
    </w:p>
    <w:p w14:paraId="7DC8B2D1" w14:textId="46BA2704" w:rsidR="0049585E" w:rsidRDefault="00AC58A2" w:rsidP="0013701D">
      <w:pPr>
        <w:autoSpaceDE w:val="0"/>
        <w:autoSpaceDN w:val="0"/>
        <w:adjustRightInd w:val="0"/>
        <w:spacing w:after="0" w:line="276" w:lineRule="auto"/>
        <w:ind w:firstLine="720"/>
        <w:jc w:val="both"/>
        <w:rPr>
          <w:rFonts w:eastAsia="Times New Roman" w:cs="Times New Roman"/>
          <w:szCs w:val="24"/>
          <w:lang w:eastAsia="ru-RU"/>
        </w:rPr>
      </w:pPr>
      <w:r>
        <w:rPr>
          <w:rFonts w:eastAsia="Times New Roman" w:cs="Times New Roman"/>
          <w:szCs w:val="24"/>
          <w:lang w:eastAsia="ru-RU"/>
        </w:rPr>
        <w:t>[3</w:t>
      </w:r>
      <w:r w:rsidR="0049585E">
        <w:rPr>
          <w:rFonts w:eastAsia="Times New Roman" w:cs="Times New Roman"/>
          <w:szCs w:val="24"/>
          <w:lang w:eastAsia="ru-RU"/>
        </w:rPr>
        <w:t>.3] </w:t>
      </w:r>
      <w:r w:rsidR="0049585E" w:rsidRPr="0049585E">
        <w:rPr>
          <w:rFonts w:eastAsia="Times New Roman" w:cs="Times New Roman"/>
          <w:szCs w:val="24"/>
          <w:lang w:eastAsia="ru-RU"/>
        </w:rPr>
        <w:t xml:space="preserve">Rīkojums </w:t>
      </w:r>
      <w:r w:rsidR="0049585E">
        <w:rPr>
          <w:rFonts w:eastAsia="Times New Roman" w:cs="Times New Roman"/>
          <w:szCs w:val="24"/>
          <w:lang w:eastAsia="ru-RU"/>
        </w:rPr>
        <w:t xml:space="preserve">neskar pieteicējas tiesības vai </w:t>
      </w:r>
      <w:r w:rsidR="0049585E" w:rsidRPr="0049585E">
        <w:rPr>
          <w:rFonts w:eastAsia="Times New Roman" w:cs="Times New Roman"/>
          <w:szCs w:val="24"/>
          <w:lang w:eastAsia="ru-RU"/>
        </w:rPr>
        <w:t>tiesiskās intereses</w:t>
      </w:r>
      <w:r w:rsidR="0018652B">
        <w:rPr>
          <w:rFonts w:eastAsia="Times New Roman" w:cs="Times New Roman"/>
          <w:szCs w:val="24"/>
          <w:lang w:eastAsia="ru-RU"/>
        </w:rPr>
        <w:t xml:space="preserve">. </w:t>
      </w:r>
      <w:r w:rsidR="006F5BE7">
        <w:rPr>
          <w:rFonts w:eastAsia="Times New Roman" w:cs="Times New Roman"/>
          <w:szCs w:val="24"/>
          <w:lang w:eastAsia="ru-RU"/>
        </w:rPr>
        <w:t>P</w:t>
      </w:r>
      <w:r w:rsidR="006F5BE7" w:rsidRPr="006F5BE7">
        <w:rPr>
          <w:rFonts w:eastAsia="Times New Roman" w:cs="Times New Roman"/>
          <w:szCs w:val="24"/>
          <w:lang w:eastAsia="ru-RU"/>
        </w:rPr>
        <w:t>ieteicējai nav subjekt</w:t>
      </w:r>
      <w:r w:rsidR="006F5BE7">
        <w:rPr>
          <w:rFonts w:eastAsia="Times New Roman" w:cs="Times New Roman"/>
          <w:szCs w:val="24"/>
          <w:lang w:eastAsia="ru-RU"/>
        </w:rPr>
        <w:t xml:space="preserve">īvo tiesību iesniegt pieteikumu </w:t>
      </w:r>
      <w:r w:rsidR="004A4222">
        <w:rPr>
          <w:rFonts w:eastAsia="Times New Roman" w:cs="Times New Roman"/>
          <w:szCs w:val="24"/>
          <w:lang w:eastAsia="ru-RU"/>
        </w:rPr>
        <w:t xml:space="preserve">par </w:t>
      </w:r>
      <w:r w:rsidR="0018652B">
        <w:rPr>
          <w:rFonts w:eastAsia="Times New Roman" w:cs="Times New Roman"/>
          <w:szCs w:val="24"/>
          <w:lang w:eastAsia="ru-RU"/>
        </w:rPr>
        <w:t>pieteicējas norādīto rīkojuma</w:t>
      </w:r>
      <w:r w:rsidR="006F5BE7">
        <w:rPr>
          <w:rFonts w:eastAsia="Times New Roman" w:cs="Times New Roman"/>
          <w:szCs w:val="24"/>
          <w:lang w:eastAsia="ru-RU"/>
        </w:rPr>
        <w:t xml:space="preserve"> </w:t>
      </w:r>
      <w:r w:rsidR="0018652B">
        <w:rPr>
          <w:rFonts w:eastAsia="Times New Roman" w:cs="Times New Roman"/>
          <w:szCs w:val="24"/>
          <w:lang w:eastAsia="ru-RU"/>
        </w:rPr>
        <w:t>punktu</w:t>
      </w:r>
      <w:r w:rsidR="006F5BE7" w:rsidRPr="006F5BE7">
        <w:rPr>
          <w:rFonts w:eastAsia="Times New Roman" w:cs="Times New Roman"/>
          <w:szCs w:val="24"/>
          <w:lang w:eastAsia="ru-RU"/>
        </w:rPr>
        <w:t xml:space="preserve"> atcelšanu.</w:t>
      </w:r>
      <w:r w:rsidR="006F5BE7">
        <w:rPr>
          <w:rFonts w:eastAsia="Times New Roman" w:cs="Times New Roman"/>
          <w:szCs w:val="24"/>
          <w:lang w:eastAsia="ru-RU"/>
        </w:rPr>
        <w:t xml:space="preserve"> P</w:t>
      </w:r>
      <w:r w:rsidR="006F5BE7" w:rsidRPr="006F5BE7">
        <w:rPr>
          <w:rFonts w:eastAsia="Times New Roman" w:cs="Times New Roman"/>
          <w:szCs w:val="24"/>
          <w:lang w:eastAsia="ru-RU"/>
        </w:rPr>
        <w:t>ieteikuma pieņemšana šajā daļā ir atsakāma, pamatojoties</w:t>
      </w:r>
      <w:r w:rsidR="006F5BE7">
        <w:rPr>
          <w:rFonts w:eastAsia="Times New Roman" w:cs="Times New Roman"/>
          <w:szCs w:val="24"/>
          <w:lang w:eastAsia="ru-RU"/>
        </w:rPr>
        <w:t xml:space="preserve"> uz Administratīvā </w:t>
      </w:r>
      <w:r w:rsidR="006F5BE7" w:rsidRPr="006F5BE7">
        <w:rPr>
          <w:rFonts w:eastAsia="Times New Roman" w:cs="Times New Roman"/>
          <w:szCs w:val="24"/>
          <w:lang w:eastAsia="ru-RU"/>
        </w:rPr>
        <w:t xml:space="preserve">procesa likuma </w:t>
      </w:r>
      <w:proofErr w:type="gramStart"/>
      <w:r w:rsidR="006F5BE7" w:rsidRPr="006F5BE7">
        <w:rPr>
          <w:rFonts w:eastAsia="Times New Roman" w:cs="Times New Roman"/>
          <w:szCs w:val="24"/>
          <w:lang w:eastAsia="ru-RU"/>
        </w:rPr>
        <w:t>191.panta</w:t>
      </w:r>
      <w:proofErr w:type="gramEnd"/>
      <w:r w:rsidR="006F5BE7" w:rsidRPr="006F5BE7">
        <w:rPr>
          <w:rFonts w:eastAsia="Times New Roman" w:cs="Times New Roman"/>
          <w:szCs w:val="24"/>
          <w:lang w:eastAsia="ru-RU"/>
        </w:rPr>
        <w:t xml:space="preserve"> pirmās daļas 8.punktu</w:t>
      </w:r>
      <w:r w:rsidR="006F5BE7">
        <w:rPr>
          <w:rFonts w:eastAsia="Times New Roman" w:cs="Times New Roman"/>
          <w:szCs w:val="24"/>
          <w:lang w:eastAsia="ru-RU"/>
        </w:rPr>
        <w:t>.</w:t>
      </w:r>
    </w:p>
    <w:p w14:paraId="67FE788F" w14:textId="0AC589BD" w:rsidR="006F5BE7" w:rsidRDefault="00AC58A2" w:rsidP="0013701D">
      <w:pPr>
        <w:autoSpaceDE w:val="0"/>
        <w:autoSpaceDN w:val="0"/>
        <w:adjustRightInd w:val="0"/>
        <w:spacing w:after="0" w:line="276" w:lineRule="auto"/>
        <w:ind w:firstLine="720"/>
        <w:jc w:val="both"/>
        <w:rPr>
          <w:rFonts w:eastAsia="Times New Roman" w:cs="Times New Roman"/>
          <w:szCs w:val="24"/>
          <w:lang w:eastAsia="ru-RU"/>
        </w:rPr>
      </w:pPr>
      <w:r>
        <w:rPr>
          <w:rFonts w:eastAsia="Times New Roman" w:cs="Times New Roman"/>
          <w:szCs w:val="24"/>
          <w:lang w:eastAsia="ru-RU"/>
        </w:rPr>
        <w:t>[3</w:t>
      </w:r>
      <w:r w:rsidR="006F5BE7">
        <w:rPr>
          <w:rFonts w:eastAsia="Times New Roman" w:cs="Times New Roman"/>
          <w:szCs w:val="24"/>
          <w:lang w:eastAsia="ru-RU"/>
        </w:rPr>
        <w:t>.4] </w:t>
      </w:r>
      <w:r w:rsidR="00590270">
        <w:rPr>
          <w:rFonts w:eastAsia="Times New Roman" w:cs="Times New Roman"/>
          <w:szCs w:val="24"/>
          <w:lang w:eastAsia="ru-RU"/>
        </w:rPr>
        <w:t>Par pieteicēja</w:t>
      </w:r>
      <w:r w:rsidR="0018652B">
        <w:rPr>
          <w:rFonts w:eastAsia="Times New Roman" w:cs="Times New Roman"/>
          <w:szCs w:val="24"/>
          <w:lang w:eastAsia="ru-RU"/>
        </w:rPr>
        <w:t>s</w:t>
      </w:r>
      <w:r w:rsidR="00590270">
        <w:rPr>
          <w:rFonts w:eastAsia="Times New Roman" w:cs="Times New Roman"/>
          <w:szCs w:val="24"/>
          <w:lang w:eastAsia="ru-RU"/>
        </w:rPr>
        <w:t xml:space="preserve"> lūgumu uzdot </w:t>
      </w:r>
      <w:r w:rsidR="00434771">
        <w:rPr>
          <w:rFonts w:eastAsia="Times New Roman" w:cs="Times New Roman"/>
          <w:szCs w:val="24"/>
          <w:lang w:eastAsia="ru-RU"/>
        </w:rPr>
        <w:t xml:space="preserve">pagarināt parakstu iesniegšanas termiņus </w:t>
      </w:r>
      <w:r w:rsidR="0006771F">
        <w:rPr>
          <w:rFonts w:eastAsia="Times New Roman" w:cs="Times New Roman"/>
          <w:szCs w:val="24"/>
          <w:lang w:eastAsia="ru-RU"/>
        </w:rPr>
        <w:t>norādāms</w:t>
      </w:r>
      <w:r w:rsidR="00434771">
        <w:rPr>
          <w:rFonts w:eastAsia="Times New Roman" w:cs="Times New Roman"/>
          <w:szCs w:val="24"/>
          <w:lang w:eastAsia="ru-RU"/>
        </w:rPr>
        <w:t>, ka l</w:t>
      </w:r>
      <w:r w:rsidR="00434771" w:rsidRPr="00434771">
        <w:rPr>
          <w:rFonts w:eastAsia="Times New Roman" w:cs="Times New Roman"/>
          <w:szCs w:val="24"/>
          <w:lang w:eastAsia="ru-RU"/>
        </w:rPr>
        <w:t>ikumā „Par tautas noba</w:t>
      </w:r>
      <w:r w:rsidR="00434771">
        <w:rPr>
          <w:rFonts w:eastAsia="Times New Roman" w:cs="Times New Roman"/>
          <w:szCs w:val="24"/>
          <w:lang w:eastAsia="ru-RU"/>
        </w:rPr>
        <w:t xml:space="preserve">lsošanu, likumu ierosināšanu un </w:t>
      </w:r>
      <w:r w:rsidR="00434771" w:rsidRPr="00434771">
        <w:rPr>
          <w:rFonts w:eastAsia="Times New Roman" w:cs="Times New Roman"/>
          <w:szCs w:val="24"/>
          <w:lang w:eastAsia="ru-RU"/>
        </w:rPr>
        <w:t>Eiropas pilsoņu iniciatīvu” noteiktais 12 mēnešu termiņš, kurā var iesniegt likumprojektu vai</w:t>
      </w:r>
      <w:r w:rsidR="00434771">
        <w:rPr>
          <w:rFonts w:eastAsia="Times New Roman" w:cs="Times New Roman"/>
          <w:szCs w:val="24"/>
          <w:lang w:eastAsia="ru-RU"/>
        </w:rPr>
        <w:t xml:space="preserve"> </w:t>
      </w:r>
      <w:r w:rsidR="00434771" w:rsidRPr="00434771">
        <w:rPr>
          <w:rFonts w:eastAsia="Times New Roman" w:cs="Times New Roman"/>
          <w:szCs w:val="24"/>
          <w:lang w:eastAsia="ru-RU"/>
        </w:rPr>
        <w:t xml:space="preserve">ierosinājumu rīkot tautas nobalsošanu par Saeimas atsaukšanu, ir </w:t>
      </w:r>
      <w:proofErr w:type="spellStart"/>
      <w:r w:rsidR="00434771" w:rsidRPr="00434771">
        <w:rPr>
          <w:rFonts w:eastAsia="Times New Roman" w:cs="Times New Roman"/>
          <w:szCs w:val="24"/>
          <w:lang w:eastAsia="ru-RU"/>
        </w:rPr>
        <w:t>materiāltiesisks</w:t>
      </w:r>
      <w:proofErr w:type="spellEnd"/>
      <w:r w:rsidR="00434771" w:rsidRPr="00434771">
        <w:rPr>
          <w:rFonts w:eastAsia="Times New Roman" w:cs="Times New Roman"/>
          <w:szCs w:val="24"/>
          <w:lang w:eastAsia="ru-RU"/>
        </w:rPr>
        <w:t xml:space="preserve"> termiņš</w:t>
      </w:r>
      <w:r w:rsidR="000D08E2">
        <w:rPr>
          <w:rFonts w:eastAsia="Times New Roman" w:cs="Times New Roman"/>
          <w:szCs w:val="24"/>
          <w:lang w:eastAsia="ru-RU"/>
        </w:rPr>
        <w:t>,</w:t>
      </w:r>
      <w:r w:rsidR="00434771" w:rsidRPr="00434771">
        <w:rPr>
          <w:rFonts w:eastAsia="Times New Roman" w:cs="Times New Roman"/>
          <w:szCs w:val="24"/>
          <w:lang w:eastAsia="ru-RU"/>
        </w:rPr>
        <w:t xml:space="preserve"> un</w:t>
      </w:r>
      <w:r w:rsidR="00434771">
        <w:rPr>
          <w:rFonts w:eastAsia="Times New Roman" w:cs="Times New Roman"/>
          <w:szCs w:val="24"/>
          <w:lang w:eastAsia="ru-RU"/>
        </w:rPr>
        <w:t xml:space="preserve"> </w:t>
      </w:r>
      <w:r w:rsidR="00434771" w:rsidRPr="00434771">
        <w:rPr>
          <w:rFonts w:eastAsia="Times New Roman" w:cs="Times New Roman"/>
          <w:szCs w:val="24"/>
          <w:lang w:eastAsia="ru-RU"/>
        </w:rPr>
        <w:t xml:space="preserve">likumdevējs nav paredzējis tā pagarināšanu. Ar </w:t>
      </w:r>
      <w:proofErr w:type="spellStart"/>
      <w:r w:rsidR="00434771" w:rsidRPr="00434771">
        <w:rPr>
          <w:rFonts w:eastAsia="Times New Roman" w:cs="Times New Roman"/>
          <w:szCs w:val="24"/>
          <w:lang w:eastAsia="ru-RU"/>
        </w:rPr>
        <w:t>materiāltiesiska</w:t>
      </w:r>
      <w:proofErr w:type="spellEnd"/>
      <w:r w:rsidR="00434771" w:rsidRPr="00434771">
        <w:rPr>
          <w:rFonts w:eastAsia="Times New Roman" w:cs="Times New Roman"/>
          <w:szCs w:val="24"/>
          <w:lang w:eastAsia="ru-RU"/>
        </w:rPr>
        <w:t xml:space="preserve"> termiņa noslēgšanos izbeidzas</w:t>
      </w:r>
      <w:r w:rsidR="00434771">
        <w:rPr>
          <w:rFonts w:eastAsia="Times New Roman" w:cs="Times New Roman"/>
          <w:szCs w:val="24"/>
          <w:lang w:eastAsia="ru-RU"/>
        </w:rPr>
        <w:t xml:space="preserve"> </w:t>
      </w:r>
      <w:r w:rsidR="00434771" w:rsidRPr="00434771">
        <w:rPr>
          <w:rFonts w:eastAsia="Times New Roman" w:cs="Times New Roman"/>
          <w:szCs w:val="24"/>
          <w:lang w:eastAsia="ru-RU"/>
        </w:rPr>
        <w:t>tiesī</w:t>
      </w:r>
      <w:r w:rsidR="00434771">
        <w:rPr>
          <w:rFonts w:eastAsia="Times New Roman" w:cs="Times New Roman"/>
          <w:szCs w:val="24"/>
          <w:lang w:eastAsia="ru-RU"/>
        </w:rPr>
        <w:t>ba, kuru persona varēja īstenot.</w:t>
      </w:r>
      <w:r w:rsidR="00434771" w:rsidRPr="00434771">
        <w:rPr>
          <w:rFonts w:eastAsia="Times New Roman" w:cs="Times New Roman"/>
          <w:szCs w:val="24"/>
          <w:lang w:eastAsia="ru-RU"/>
        </w:rPr>
        <w:t xml:space="preserve"> Ievērojot, ka </w:t>
      </w:r>
      <w:proofErr w:type="spellStart"/>
      <w:r w:rsidR="00434771" w:rsidRPr="00434771">
        <w:rPr>
          <w:rFonts w:eastAsia="Times New Roman" w:cs="Times New Roman"/>
          <w:szCs w:val="24"/>
          <w:lang w:eastAsia="ru-RU"/>
        </w:rPr>
        <w:t>materiā</w:t>
      </w:r>
      <w:r w:rsidR="00434771">
        <w:rPr>
          <w:rFonts w:eastAsia="Times New Roman" w:cs="Times New Roman"/>
          <w:szCs w:val="24"/>
          <w:lang w:eastAsia="ru-RU"/>
        </w:rPr>
        <w:t>ltiesiska</w:t>
      </w:r>
      <w:proofErr w:type="spellEnd"/>
      <w:r w:rsidR="00434771">
        <w:rPr>
          <w:rFonts w:eastAsia="Times New Roman" w:cs="Times New Roman"/>
          <w:szCs w:val="24"/>
          <w:lang w:eastAsia="ru-RU"/>
        </w:rPr>
        <w:t xml:space="preserve"> termiņa ilgumu noteic </w:t>
      </w:r>
      <w:r w:rsidR="00434771" w:rsidRPr="00434771">
        <w:rPr>
          <w:rFonts w:eastAsia="Times New Roman" w:cs="Times New Roman"/>
          <w:szCs w:val="24"/>
          <w:lang w:eastAsia="ru-RU"/>
        </w:rPr>
        <w:t>likumdevējs, termiņu var atjaunot vai pagarināt, ja tas paredzēts likumā.</w:t>
      </w:r>
      <w:r w:rsidR="00434771">
        <w:rPr>
          <w:rFonts w:eastAsia="Times New Roman" w:cs="Times New Roman"/>
          <w:szCs w:val="24"/>
          <w:lang w:eastAsia="ru-RU"/>
        </w:rPr>
        <w:t xml:space="preserve"> Līdz ar to l</w:t>
      </w:r>
      <w:r w:rsidR="00434771" w:rsidRPr="00434771">
        <w:rPr>
          <w:rFonts w:eastAsia="Times New Roman" w:cs="Times New Roman"/>
          <w:szCs w:val="24"/>
          <w:lang w:eastAsia="ru-RU"/>
        </w:rPr>
        <w:t>ikuma „Par tautas n</w:t>
      </w:r>
      <w:r w:rsidR="00434771">
        <w:rPr>
          <w:rFonts w:eastAsia="Times New Roman" w:cs="Times New Roman"/>
          <w:szCs w:val="24"/>
          <w:lang w:eastAsia="ru-RU"/>
        </w:rPr>
        <w:t xml:space="preserve">obalsošanu, likumu ierosināšanu </w:t>
      </w:r>
      <w:r w:rsidR="00434771" w:rsidRPr="00434771">
        <w:rPr>
          <w:rFonts w:eastAsia="Times New Roman" w:cs="Times New Roman"/>
          <w:szCs w:val="24"/>
          <w:lang w:eastAsia="ru-RU"/>
        </w:rPr>
        <w:t>un Eiropas pilsoņu iniciatīvu” 22.panta pirmajā daļā un 25.</w:t>
      </w:r>
      <w:r w:rsidR="00434771" w:rsidRPr="00434771">
        <w:rPr>
          <w:rFonts w:eastAsia="Times New Roman" w:cs="Times New Roman"/>
          <w:szCs w:val="24"/>
          <w:vertAlign w:val="superscript"/>
          <w:lang w:eastAsia="ru-RU"/>
        </w:rPr>
        <w:t>5</w:t>
      </w:r>
      <w:r w:rsidR="00434771" w:rsidRPr="00434771">
        <w:rPr>
          <w:rFonts w:eastAsia="Times New Roman" w:cs="Times New Roman"/>
          <w:szCs w:val="24"/>
          <w:lang w:eastAsia="ru-RU"/>
        </w:rPr>
        <w:t>panta pirmajā daļā noteikto termiņu var</w:t>
      </w:r>
      <w:r w:rsidR="00434771">
        <w:rPr>
          <w:rFonts w:eastAsia="Times New Roman" w:cs="Times New Roman"/>
          <w:szCs w:val="24"/>
          <w:lang w:eastAsia="ru-RU"/>
        </w:rPr>
        <w:t xml:space="preserve"> </w:t>
      </w:r>
      <w:r w:rsidR="00434771" w:rsidRPr="00434771">
        <w:rPr>
          <w:rFonts w:eastAsia="Times New Roman" w:cs="Times New Roman"/>
          <w:szCs w:val="24"/>
          <w:lang w:eastAsia="ru-RU"/>
        </w:rPr>
        <w:t>grozīt tikai likumdevējs. Normatīvie akti nepiešķir tiesības ne Ministru kabinetam, ne Centrāla</w:t>
      </w:r>
      <w:r w:rsidR="009C225D">
        <w:rPr>
          <w:rFonts w:eastAsia="Times New Roman" w:cs="Times New Roman"/>
          <w:szCs w:val="24"/>
          <w:lang w:eastAsia="ru-RU"/>
        </w:rPr>
        <w:t>ja</w:t>
      </w:r>
      <w:r w:rsidR="00434771" w:rsidRPr="00434771">
        <w:rPr>
          <w:rFonts w:eastAsia="Times New Roman" w:cs="Times New Roman"/>
          <w:szCs w:val="24"/>
          <w:lang w:eastAsia="ru-RU"/>
        </w:rPr>
        <w:t>i</w:t>
      </w:r>
      <w:r w:rsidR="00434771">
        <w:rPr>
          <w:rFonts w:eastAsia="Times New Roman" w:cs="Times New Roman"/>
          <w:szCs w:val="24"/>
          <w:lang w:eastAsia="ru-RU"/>
        </w:rPr>
        <w:t xml:space="preserve"> </w:t>
      </w:r>
      <w:r w:rsidR="00434771" w:rsidRPr="00434771">
        <w:rPr>
          <w:rFonts w:eastAsia="Times New Roman" w:cs="Times New Roman"/>
          <w:szCs w:val="24"/>
          <w:lang w:eastAsia="ru-RU"/>
        </w:rPr>
        <w:t>vēlēšanu komisijai pagarināt šajās tiesību normās noteiktos termiņus, jo tā ir tikai likumdevēja</w:t>
      </w:r>
      <w:r w:rsidR="00434771">
        <w:rPr>
          <w:rFonts w:eastAsia="Times New Roman" w:cs="Times New Roman"/>
          <w:szCs w:val="24"/>
          <w:lang w:eastAsia="ru-RU"/>
        </w:rPr>
        <w:t xml:space="preserve"> </w:t>
      </w:r>
      <w:r w:rsidR="00434771" w:rsidRPr="00434771">
        <w:rPr>
          <w:rFonts w:eastAsia="Times New Roman" w:cs="Times New Roman"/>
          <w:szCs w:val="24"/>
          <w:lang w:eastAsia="ru-RU"/>
        </w:rPr>
        <w:t>kompetence.</w:t>
      </w:r>
      <w:r w:rsidR="00434771">
        <w:rPr>
          <w:rFonts w:eastAsia="Times New Roman" w:cs="Times New Roman"/>
          <w:szCs w:val="24"/>
          <w:lang w:eastAsia="ru-RU"/>
        </w:rPr>
        <w:t xml:space="preserve"> </w:t>
      </w:r>
      <w:r w:rsidR="00434771" w:rsidRPr="00434771">
        <w:rPr>
          <w:rFonts w:eastAsia="Times New Roman" w:cs="Times New Roman"/>
          <w:szCs w:val="24"/>
          <w:lang w:eastAsia="ru-RU"/>
        </w:rPr>
        <w:t>Savukārt par ārējo normatīvo aktu, kā arī par tā izstrādi, pieņemšanu vai grozīš</w:t>
      </w:r>
      <w:r w:rsidR="00434771">
        <w:rPr>
          <w:rFonts w:eastAsia="Times New Roman" w:cs="Times New Roman"/>
          <w:szCs w:val="24"/>
          <w:lang w:eastAsia="ru-RU"/>
        </w:rPr>
        <w:t xml:space="preserve">anu nav </w:t>
      </w:r>
      <w:r w:rsidR="00434771" w:rsidRPr="00434771">
        <w:rPr>
          <w:rFonts w:eastAsia="Times New Roman" w:cs="Times New Roman"/>
          <w:szCs w:val="24"/>
          <w:lang w:eastAsia="ru-RU"/>
        </w:rPr>
        <w:t>veicama kontrole tiesā administratīvā procesa kārtībā</w:t>
      </w:r>
      <w:r w:rsidR="00963AA3">
        <w:rPr>
          <w:rFonts w:eastAsia="Times New Roman" w:cs="Times New Roman"/>
          <w:szCs w:val="24"/>
          <w:lang w:eastAsia="ru-RU"/>
        </w:rPr>
        <w:t xml:space="preserve">, un </w:t>
      </w:r>
      <w:r w:rsidR="00434771" w:rsidRPr="00434771">
        <w:rPr>
          <w:rFonts w:eastAsia="Times New Roman" w:cs="Times New Roman"/>
          <w:szCs w:val="24"/>
          <w:lang w:eastAsia="ru-RU"/>
        </w:rPr>
        <w:lastRenderedPageBreak/>
        <w:t>prasīj</w:t>
      </w:r>
      <w:r w:rsidR="00963AA3">
        <w:rPr>
          <w:rFonts w:eastAsia="Times New Roman" w:cs="Times New Roman"/>
          <w:szCs w:val="24"/>
          <w:lang w:eastAsia="ru-RU"/>
        </w:rPr>
        <w:t xml:space="preserve">ums uzdot Ministru kabinetam un </w:t>
      </w:r>
      <w:r w:rsidR="00434771" w:rsidRPr="00434771">
        <w:rPr>
          <w:rFonts w:eastAsia="Times New Roman" w:cs="Times New Roman"/>
          <w:szCs w:val="24"/>
          <w:lang w:eastAsia="ru-RU"/>
        </w:rPr>
        <w:t xml:space="preserve">Centrālai </w:t>
      </w:r>
      <w:r w:rsidR="009C225D">
        <w:rPr>
          <w:rFonts w:eastAsia="Times New Roman" w:cs="Times New Roman"/>
          <w:szCs w:val="24"/>
          <w:lang w:eastAsia="ru-RU"/>
        </w:rPr>
        <w:t>vēlēšanu komisijai pārcelt par trīs</w:t>
      </w:r>
      <w:r w:rsidR="00434771" w:rsidRPr="00434771">
        <w:rPr>
          <w:rFonts w:eastAsia="Times New Roman" w:cs="Times New Roman"/>
          <w:szCs w:val="24"/>
          <w:lang w:eastAsia="ru-RU"/>
        </w:rPr>
        <w:t xml:space="preserve"> mēnešiem </w:t>
      </w:r>
      <w:r w:rsidR="0012622B">
        <w:rPr>
          <w:rFonts w:eastAsia="Times New Roman" w:cs="Times New Roman"/>
          <w:szCs w:val="24"/>
          <w:lang w:eastAsia="ru-RU"/>
        </w:rPr>
        <w:t>parakstu vākšanas termiņus</w:t>
      </w:r>
      <w:r w:rsidR="00434771" w:rsidRPr="00434771">
        <w:rPr>
          <w:rFonts w:eastAsia="Times New Roman" w:cs="Times New Roman"/>
          <w:szCs w:val="24"/>
          <w:lang w:eastAsia="ru-RU"/>
        </w:rPr>
        <w:t>, nav izskatāms administratīvā</w:t>
      </w:r>
      <w:r w:rsidR="00963AA3">
        <w:rPr>
          <w:rFonts w:eastAsia="Times New Roman" w:cs="Times New Roman"/>
          <w:szCs w:val="24"/>
          <w:lang w:eastAsia="ru-RU"/>
        </w:rPr>
        <w:t xml:space="preserve"> </w:t>
      </w:r>
      <w:r w:rsidR="00434771" w:rsidRPr="00434771">
        <w:rPr>
          <w:rFonts w:eastAsia="Times New Roman" w:cs="Times New Roman"/>
          <w:szCs w:val="24"/>
          <w:lang w:eastAsia="ru-RU"/>
        </w:rPr>
        <w:t>procesa kārtībā.</w:t>
      </w:r>
    </w:p>
    <w:p w14:paraId="0433C096" w14:textId="1CAAAF8E" w:rsidR="00963AA3" w:rsidRDefault="00AC58A2" w:rsidP="0013701D">
      <w:pPr>
        <w:autoSpaceDE w:val="0"/>
        <w:autoSpaceDN w:val="0"/>
        <w:adjustRightInd w:val="0"/>
        <w:spacing w:after="0" w:line="276" w:lineRule="auto"/>
        <w:ind w:firstLine="720"/>
        <w:jc w:val="both"/>
        <w:rPr>
          <w:rFonts w:eastAsia="Times New Roman" w:cs="Times New Roman"/>
          <w:szCs w:val="24"/>
          <w:lang w:eastAsia="ru-RU"/>
        </w:rPr>
      </w:pPr>
      <w:r>
        <w:rPr>
          <w:rFonts w:eastAsia="Times New Roman" w:cs="Times New Roman"/>
          <w:szCs w:val="24"/>
          <w:lang w:eastAsia="ru-RU"/>
        </w:rPr>
        <w:t>[3</w:t>
      </w:r>
      <w:r w:rsidR="004A4222">
        <w:rPr>
          <w:rFonts w:eastAsia="Times New Roman" w:cs="Times New Roman"/>
          <w:szCs w:val="24"/>
          <w:lang w:eastAsia="ru-RU"/>
        </w:rPr>
        <w:t>.5] </w:t>
      </w:r>
      <w:r w:rsidR="0012622B">
        <w:rPr>
          <w:rFonts w:eastAsia="Times New Roman" w:cs="Times New Roman"/>
          <w:szCs w:val="24"/>
          <w:lang w:eastAsia="ru-RU"/>
        </w:rPr>
        <w:t>Tiesai</w:t>
      </w:r>
      <w:r w:rsidR="00963AA3" w:rsidRPr="00963AA3">
        <w:rPr>
          <w:rFonts w:eastAsia="Times New Roman" w:cs="Times New Roman"/>
          <w:szCs w:val="24"/>
          <w:lang w:eastAsia="ru-RU"/>
        </w:rPr>
        <w:t xml:space="preserve"> būtu jāpārliecinās, vai</w:t>
      </w:r>
      <w:r w:rsidR="00963AA3">
        <w:rPr>
          <w:rFonts w:eastAsia="Times New Roman" w:cs="Times New Roman"/>
          <w:szCs w:val="24"/>
          <w:lang w:eastAsia="ru-RU"/>
        </w:rPr>
        <w:t xml:space="preserve"> </w:t>
      </w:r>
      <w:r w:rsidR="00963AA3" w:rsidRPr="00963AA3">
        <w:rPr>
          <w:rFonts w:eastAsia="Times New Roman" w:cs="Times New Roman"/>
          <w:szCs w:val="24"/>
          <w:lang w:eastAsia="ru-RU"/>
        </w:rPr>
        <w:t>personai piemītošas cilvēktiesības ievērošana ņem virsroku pār materiālo tiesību normā noteiktās</w:t>
      </w:r>
      <w:r w:rsidR="00963AA3">
        <w:rPr>
          <w:rFonts w:eastAsia="Times New Roman" w:cs="Times New Roman"/>
          <w:szCs w:val="24"/>
          <w:lang w:eastAsia="ru-RU"/>
        </w:rPr>
        <w:t xml:space="preserve"> </w:t>
      </w:r>
      <w:r w:rsidR="00963AA3" w:rsidRPr="00963AA3">
        <w:rPr>
          <w:rFonts w:eastAsia="Times New Roman" w:cs="Times New Roman"/>
          <w:szCs w:val="24"/>
          <w:lang w:eastAsia="ru-RU"/>
        </w:rPr>
        <w:t>procesuālās kārtības ievērošanu</w:t>
      </w:r>
      <w:r w:rsidR="00963AA3">
        <w:rPr>
          <w:rFonts w:eastAsia="Times New Roman" w:cs="Times New Roman"/>
          <w:szCs w:val="24"/>
          <w:lang w:eastAsia="ru-RU"/>
        </w:rPr>
        <w:t>.</w:t>
      </w:r>
    </w:p>
    <w:p w14:paraId="11DF758A" w14:textId="1E844F58" w:rsidR="00963AA3" w:rsidRDefault="00963AA3" w:rsidP="0013701D">
      <w:pPr>
        <w:autoSpaceDE w:val="0"/>
        <w:autoSpaceDN w:val="0"/>
        <w:adjustRightInd w:val="0"/>
        <w:spacing w:after="0" w:line="276" w:lineRule="auto"/>
        <w:ind w:firstLine="720"/>
        <w:jc w:val="both"/>
        <w:rPr>
          <w:rFonts w:eastAsia="Times New Roman" w:cs="Times New Roman"/>
          <w:szCs w:val="24"/>
          <w:lang w:eastAsia="ru-RU"/>
        </w:rPr>
      </w:pPr>
      <w:r>
        <w:rPr>
          <w:rFonts w:eastAsia="Times New Roman" w:cs="Times New Roman"/>
          <w:szCs w:val="24"/>
          <w:lang w:eastAsia="ru-RU"/>
        </w:rPr>
        <w:t>P</w:t>
      </w:r>
      <w:r w:rsidRPr="00963AA3">
        <w:rPr>
          <w:rFonts w:eastAsia="Times New Roman" w:cs="Times New Roman"/>
          <w:szCs w:val="24"/>
          <w:lang w:eastAsia="ru-RU"/>
        </w:rPr>
        <w:t>arakstu vākšana par pieteicējas iniciatīv</w:t>
      </w:r>
      <w:r>
        <w:rPr>
          <w:rFonts w:eastAsia="Times New Roman" w:cs="Times New Roman"/>
          <w:szCs w:val="24"/>
          <w:lang w:eastAsia="ru-RU"/>
        </w:rPr>
        <w:t xml:space="preserve">ām </w:t>
      </w:r>
      <w:r w:rsidRPr="00963AA3">
        <w:rPr>
          <w:rFonts w:eastAsia="Times New Roman" w:cs="Times New Roman"/>
          <w:szCs w:val="24"/>
          <w:lang w:eastAsia="ru-RU"/>
        </w:rPr>
        <w:t xml:space="preserve">beidzas attiecīgi </w:t>
      </w:r>
      <w:proofErr w:type="gramStart"/>
      <w:r w:rsidRPr="00963AA3">
        <w:rPr>
          <w:rFonts w:eastAsia="Times New Roman" w:cs="Times New Roman"/>
          <w:szCs w:val="24"/>
          <w:lang w:eastAsia="ru-RU"/>
        </w:rPr>
        <w:t>2020.gada</w:t>
      </w:r>
      <w:proofErr w:type="gramEnd"/>
      <w:r w:rsidRPr="00963AA3">
        <w:rPr>
          <w:rFonts w:eastAsia="Times New Roman" w:cs="Times New Roman"/>
          <w:szCs w:val="24"/>
          <w:lang w:eastAsia="ru-RU"/>
        </w:rPr>
        <w:t xml:space="preserve"> 14.novembrī, 2021.gada 7.martā un 2021.gada 14.aprīlī, kas ir</w:t>
      </w:r>
      <w:r>
        <w:rPr>
          <w:rFonts w:eastAsia="Times New Roman" w:cs="Times New Roman"/>
          <w:szCs w:val="24"/>
          <w:lang w:eastAsia="ru-RU"/>
        </w:rPr>
        <w:t xml:space="preserve"> </w:t>
      </w:r>
      <w:r w:rsidRPr="00963AA3">
        <w:rPr>
          <w:rFonts w:eastAsia="Times New Roman" w:cs="Times New Roman"/>
          <w:szCs w:val="24"/>
          <w:lang w:eastAsia="ru-RU"/>
        </w:rPr>
        <w:t>pietiekami ilgs laiks, kurā pastāv iespēja savākt nepieciešamo parakstu skaitu. Tāpat</w:t>
      </w:r>
      <w:r>
        <w:rPr>
          <w:rFonts w:eastAsia="Times New Roman" w:cs="Times New Roman"/>
          <w:szCs w:val="24"/>
          <w:lang w:eastAsia="ru-RU"/>
        </w:rPr>
        <w:t xml:space="preserve"> </w:t>
      </w:r>
      <w:r w:rsidRPr="00963AA3">
        <w:rPr>
          <w:rFonts w:eastAsia="Times New Roman" w:cs="Times New Roman"/>
          <w:szCs w:val="24"/>
          <w:lang w:eastAsia="ru-RU"/>
        </w:rPr>
        <w:t>pieteicējai ir</w:t>
      </w:r>
      <w:proofErr w:type="gramStart"/>
      <w:r w:rsidRPr="00963AA3">
        <w:rPr>
          <w:rFonts w:eastAsia="Times New Roman" w:cs="Times New Roman"/>
          <w:szCs w:val="24"/>
          <w:lang w:eastAsia="ru-RU"/>
        </w:rPr>
        <w:t xml:space="preserve"> iespējams</w:t>
      </w:r>
      <w:proofErr w:type="gramEnd"/>
      <w:r w:rsidRPr="00963AA3">
        <w:rPr>
          <w:rFonts w:eastAsia="Times New Roman" w:cs="Times New Roman"/>
          <w:szCs w:val="24"/>
          <w:lang w:eastAsia="ru-RU"/>
        </w:rPr>
        <w:t xml:space="preserve"> dažādos veidos informēt sabiedrību par tās politiskajām iniciatīvām un</w:t>
      </w:r>
      <w:r>
        <w:rPr>
          <w:rFonts w:eastAsia="Times New Roman" w:cs="Times New Roman"/>
          <w:szCs w:val="24"/>
          <w:lang w:eastAsia="ru-RU"/>
        </w:rPr>
        <w:t xml:space="preserve"> </w:t>
      </w:r>
      <w:r w:rsidRPr="00963AA3">
        <w:rPr>
          <w:rFonts w:eastAsia="Times New Roman" w:cs="Times New Roman"/>
          <w:szCs w:val="24"/>
          <w:lang w:eastAsia="ru-RU"/>
        </w:rPr>
        <w:t>aicināt par tām parakstīties. Savukārt valstī noteiktais pulcēšanās ierobežojums ir noteikts visas</w:t>
      </w:r>
      <w:r>
        <w:rPr>
          <w:rFonts w:eastAsia="Times New Roman" w:cs="Times New Roman"/>
          <w:szCs w:val="24"/>
          <w:lang w:eastAsia="ru-RU"/>
        </w:rPr>
        <w:t xml:space="preserve"> </w:t>
      </w:r>
      <w:r w:rsidRPr="00963AA3">
        <w:rPr>
          <w:rFonts w:eastAsia="Times New Roman" w:cs="Times New Roman"/>
          <w:szCs w:val="24"/>
          <w:lang w:eastAsia="ru-RU"/>
        </w:rPr>
        <w:t>sabiedrības interesēs, lai ierobežotu slimības izplatīšanos. Tādējādi sabiedrības ieguvums no šādiem</w:t>
      </w:r>
      <w:r>
        <w:rPr>
          <w:rFonts w:eastAsia="Times New Roman" w:cs="Times New Roman"/>
          <w:szCs w:val="24"/>
          <w:lang w:eastAsia="ru-RU"/>
        </w:rPr>
        <w:t xml:space="preserve"> </w:t>
      </w:r>
      <w:r w:rsidRPr="00963AA3">
        <w:rPr>
          <w:rFonts w:eastAsia="Times New Roman" w:cs="Times New Roman"/>
          <w:szCs w:val="24"/>
          <w:lang w:eastAsia="ru-RU"/>
        </w:rPr>
        <w:t xml:space="preserve">ierobežojumiem ir lielāks nekā pieteicējas tiesību ierobežojums. Līdz ar to </w:t>
      </w:r>
      <w:r w:rsidR="0006771F">
        <w:rPr>
          <w:rFonts w:eastAsia="Times New Roman" w:cs="Times New Roman"/>
          <w:szCs w:val="24"/>
          <w:lang w:eastAsia="ru-RU"/>
        </w:rPr>
        <w:t>nav konstatējams</w:t>
      </w:r>
      <w:r w:rsidRPr="00963AA3">
        <w:rPr>
          <w:rFonts w:eastAsia="Times New Roman" w:cs="Times New Roman"/>
          <w:szCs w:val="24"/>
          <w:lang w:eastAsia="ru-RU"/>
        </w:rPr>
        <w:t>, ka</w:t>
      </w:r>
      <w:r>
        <w:rPr>
          <w:rFonts w:eastAsia="Times New Roman" w:cs="Times New Roman"/>
          <w:szCs w:val="24"/>
          <w:lang w:eastAsia="ru-RU"/>
        </w:rPr>
        <w:t xml:space="preserve"> </w:t>
      </w:r>
      <w:r w:rsidRPr="00963AA3">
        <w:rPr>
          <w:rFonts w:eastAsia="Times New Roman" w:cs="Times New Roman"/>
          <w:szCs w:val="24"/>
          <w:lang w:eastAsia="ru-RU"/>
        </w:rPr>
        <w:t>ar ārkārtējās situācijas izsludināšanu būtu būtiski skartas pieteicējas pamattiesības.</w:t>
      </w:r>
    </w:p>
    <w:p w14:paraId="396EB853" w14:textId="7B22A216" w:rsidR="007B5BA1" w:rsidRPr="007B5BA1" w:rsidRDefault="00AC58A2" w:rsidP="0013701D">
      <w:pPr>
        <w:autoSpaceDE w:val="0"/>
        <w:autoSpaceDN w:val="0"/>
        <w:adjustRightInd w:val="0"/>
        <w:spacing w:after="0" w:line="276" w:lineRule="auto"/>
        <w:ind w:firstLine="720"/>
        <w:jc w:val="both"/>
        <w:rPr>
          <w:rFonts w:eastAsia="Times New Roman" w:cs="Times New Roman"/>
          <w:szCs w:val="24"/>
          <w:lang w:eastAsia="ru-RU"/>
        </w:rPr>
      </w:pPr>
      <w:r>
        <w:rPr>
          <w:rFonts w:eastAsia="Times New Roman" w:cs="Times New Roman"/>
          <w:szCs w:val="24"/>
          <w:lang w:eastAsia="ru-RU"/>
        </w:rPr>
        <w:t>[3</w:t>
      </w:r>
      <w:r w:rsidR="004A4222">
        <w:rPr>
          <w:rFonts w:eastAsia="Times New Roman" w:cs="Times New Roman"/>
          <w:szCs w:val="24"/>
          <w:lang w:eastAsia="ru-RU"/>
        </w:rPr>
        <w:t>.6] </w:t>
      </w:r>
      <w:r w:rsidR="007B5BA1" w:rsidRPr="007B5BA1">
        <w:rPr>
          <w:rFonts w:eastAsia="Times New Roman" w:cs="Times New Roman"/>
          <w:szCs w:val="24"/>
          <w:lang w:eastAsia="ru-RU"/>
        </w:rPr>
        <w:t xml:space="preserve">Centrālā vēlēšanu </w:t>
      </w:r>
      <w:r w:rsidR="007B5BA1">
        <w:rPr>
          <w:rFonts w:eastAsia="Times New Roman" w:cs="Times New Roman"/>
          <w:szCs w:val="24"/>
          <w:lang w:eastAsia="ru-RU"/>
        </w:rPr>
        <w:t xml:space="preserve">komisija ir kompetentā iestāde, </w:t>
      </w:r>
      <w:r w:rsidR="007B5BA1" w:rsidRPr="007B5BA1">
        <w:rPr>
          <w:rFonts w:eastAsia="Times New Roman" w:cs="Times New Roman"/>
          <w:szCs w:val="24"/>
          <w:lang w:eastAsia="ru-RU"/>
        </w:rPr>
        <w:t>kas pārbauda un saskaita savāktos parakstus, un</w:t>
      </w:r>
      <w:r w:rsidR="00AB1FF2">
        <w:rPr>
          <w:rFonts w:eastAsia="Times New Roman" w:cs="Times New Roman"/>
          <w:szCs w:val="24"/>
          <w:lang w:eastAsia="ru-RU"/>
        </w:rPr>
        <w:t>,</w:t>
      </w:r>
      <w:r w:rsidR="007B5BA1" w:rsidRPr="007B5BA1">
        <w:rPr>
          <w:rFonts w:eastAsia="Times New Roman" w:cs="Times New Roman"/>
          <w:szCs w:val="24"/>
          <w:lang w:eastAsia="ru-RU"/>
        </w:rPr>
        <w:t xml:space="preserve"> ja konstatē, ka likumprojektu, </w:t>
      </w:r>
      <w:r w:rsidR="0013701D">
        <w:rPr>
          <w:rFonts w:eastAsia="Times New Roman" w:cs="Times New Roman"/>
          <w:szCs w:val="24"/>
          <w:lang w:eastAsia="ru-RU"/>
        </w:rPr>
        <w:t xml:space="preserve">Latvijas Republikas </w:t>
      </w:r>
      <w:r w:rsidR="007B5BA1" w:rsidRPr="007B5BA1">
        <w:rPr>
          <w:rFonts w:eastAsia="Times New Roman" w:cs="Times New Roman"/>
          <w:szCs w:val="24"/>
          <w:lang w:eastAsia="ru-RU"/>
        </w:rPr>
        <w:t>Satversmes</w:t>
      </w:r>
      <w:r w:rsidR="007B5BA1">
        <w:rPr>
          <w:rFonts w:eastAsia="Times New Roman" w:cs="Times New Roman"/>
          <w:szCs w:val="24"/>
          <w:lang w:eastAsia="ru-RU"/>
        </w:rPr>
        <w:t xml:space="preserve"> </w:t>
      </w:r>
      <w:r w:rsidR="007B5BA1" w:rsidRPr="007B5BA1">
        <w:rPr>
          <w:rFonts w:eastAsia="Times New Roman" w:cs="Times New Roman"/>
          <w:szCs w:val="24"/>
          <w:lang w:eastAsia="ru-RU"/>
        </w:rPr>
        <w:t>grozījumu projektu vai ierosinājumu rīkot tautas nobalsošanu par Saeimas atsaukšanu ir parakstījusi</w:t>
      </w:r>
      <w:r w:rsidR="007B5BA1">
        <w:rPr>
          <w:rFonts w:eastAsia="Times New Roman" w:cs="Times New Roman"/>
          <w:szCs w:val="24"/>
          <w:lang w:eastAsia="ru-RU"/>
        </w:rPr>
        <w:t xml:space="preserve"> </w:t>
      </w:r>
      <w:r w:rsidR="007B5BA1" w:rsidRPr="007B5BA1">
        <w:rPr>
          <w:rFonts w:eastAsia="Times New Roman" w:cs="Times New Roman"/>
          <w:szCs w:val="24"/>
          <w:lang w:eastAsia="ru-RU"/>
        </w:rPr>
        <w:t>ne mazāk kā viena desmitā daļa no balsstiesīgo Latvijas pilsoņu skaita, ne vēlāk kā triju dienu laikā</w:t>
      </w:r>
      <w:r w:rsidR="007B5BA1">
        <w:rPr>
          <w:rFonts w:eastAsia="Times New Roman" w:cs="Times New Roman"/>
          <w:szCs w:val="24"/>
          <w:lang w:eastAsia="ru-RU"/>
        </w:rPr>
        <w:t xml:space="preserve"> </w:t>
      </w:r>
      <w:r w:rsidR="007B5BA1" w:rsidRPr="007B5BA1">
        <w:rPr>
          <w:rFonts w:eastAsia="Times New Roman" w:cs="Times New Roman"/>
          <w:szCs w:val="24"/>
          <w:lang w:eastAsia="ru-RU"/>
        </w:rPr>
        <w:t>paziņo to Valsts prezidentam un nosūta viņam vēlētāju iesniegto likumprojektu vai Satversmes</w:t>
      </w:r>
      <w:r w:rsidR="007B5BA1">
        <w:rPr>
          <w:rFonts w:eastAsia="Times New Roman" w:cs="Times New Roman"/>
          <w:szCs w:val="24"/>
          <w:lang w:eastAsia="ru-RU"/>
        </w:rPr>
        <w:t xml:space="preserve"> </w:t>
      </w:r>
      <w:r w:rsidR="007B5BA1" w:rsidRPr="007B5BA1">
        <w:rPr>
          <w:rFonts w:eastAsia="Times New Roman" w:cs="Times New Roman"/>
          <w:szCs w:val="24"/>
          <w:lang w:eastAsia="ru-RU"/>
        </w:rPr>
        <w:t>grozījumu projektu, kā arī pieņem lēmumu rīkot tautas nobalsošanu par Saeimas atsaukšanu.</w:t>
      </w:r>
    </w:p>
    <w:p w14:paraId="67A20B96" w14:textId="046071A7" w:rsidR="007B5BA1" w:rsidRPr="007B5BA1" w:rsidRDefault="00AB1FF2" w:rsidP="0013701D">
      <w:pPr>
        <w:autoSpaceDE w:val="0"/>
        <w:autoSpaceDN w:val="0"/>
        <w:adjustRightInd w:val="0"/>
        <w:spacing w:after="0" w:line="276" w:lineRule="auto"/>
        <w:ind w:firstLine="720"/>
        <w:jc w:val="both"/>
        <w:rPr>
          <w:rFonts w:eastAsia="Times New Roman" w:cs="Times New Roman"/>
          <w:szCs w:val="24"/>
          <w:lang w:eastAsia="ru-RU"/>
        </w:rPr>
      </w:pPr>
      <w:r>
        <w:rPr>
          <w:rFonts w:eastAsia="Times New Roman" w:cs="Times New Roman"/>
          <w:szCs w:val="24"/>
          <w:lang w:eastAsia="ru-RU"/>
        </w:rPr>
        <w:t>Tādējādi</w:t>
      </w:r>
      <w:r w:rsidR="007B5BA1" w:rsidRPr="007B5BA1">
        <w:rPr>
          <w:rFonts w:eastAsia="Times New Roman" w:cs="Times New Roman"/>
          <w:szCs w:val="24"/>
          <w:lang w:eastAsia="ru-RU"/>
        </w:rPr>
        <w:t xml:space="preserve"> gadījumā</w:t>
      </w:r>
      <w:r>
        <w:rPr>
          <w:rFonts w:eastAsia="Times New Roman" w:cs="Times New Roman"/>
          <w:szCs w:val="24"/>
          <w:lang w:eastAsia="ru-RU"/>
        </w:rPr>
        <w:t>,</w:t>
      </w:r>
      <w:r w:rsidR="007B5BA1" w:rsidRPr="007B5BA1">
        <w:rPr>
          <w:rFonts w:eastAsia="Times New Roman" w:cs="Times New Roman"/>
          <w:szCs w:val="24"/>
          <w:lang w:eastAsia="ru-RU"/>
        </w:rPr>
        <w:t xml:space="preserve"> ja ārkārtējās situācijas izsludināšanas dēļ likumā noteiktais termiņš</w:t>
      </w:r>
    </w:p>
    <w:p w14:paraId="4EA3659D" w14:textId="77777777" w:rsidR="007B5BA1" w:rsidRPr="007B5BA1" w:rsidRDefault="007B5BA1" w:rsidP="0013701D">
      <w:pPr>
        <w:autoSpaceDE w:val="0"/>
        <w:autoSpaceDN w:val="0"/>
        <w:adjustRightInd w:val="0"/>
        <w:spacing w:after="0" w:line="276" w:lineRule="auto"/>
        <w:jc w:val="both"/>
        <w:rPr>
          <w:rFonts w:eastAsia="Times New Roman" w:cs="Times New Roman"/>
          <w:szCs w:val="24"/>
          <w:lang w:eastAsia="ru-RU"/>
        </w:rPr>
      </w:pPr>
      <w:r w:rsidRPr="007B5BA1">
        <w:rPr>
          <w:rFonts w:eastAsia="Times New Roman" w:cs="Times New Roman"/>
          <w:szCs w:val="24"/>
          <w:lang w:eastAsia="ru-RU"/>
        </w:rPr>
        <w:t>netiks pagarināts un tas būtiski skars pieteicējas pamattiesības, tad pieteicējai būtu jāvēršas ar</w:t>
      </w:r>
    </w:p>
    <w:p w14:paraId="04F9944C" w14:textId="5D9B173E" w:rsidR="007B5BA1" w:rsidRDefault="00AB1FF2" w:rsidP="0013701D">
      <w:pPr>
        <w:autoSpaceDE w:val="0"/>
        <w:autoSpaceDN w:val="0"/>
        <w:adjustRightInd w:val="0"/>
        <w:spacing w:after="0" w:line="276" w:lineRule="auto"/>
        <w:jc w:val="both"/>
        <w:rPr>
          <w:rFonts w:eastAsia="Times New Roman" w:cs="Times New Roman"/>
          <w:szCs w:val="24"/>
          <w:lang w:eastAsia="ru-RU"/>
        </w:rPr>
      </w:pPr>
      <w:r>
        <w:rPr>
          <w:rFonts w:eastAsia="Times New Roman" w:cs="Times New Roman"/>
          <w:szCs w:val="24"/>
          <w:lang w:eastAsia="ru-RU"/>
        </w:rPr>
        <w:t>attiecīgu lūgumu Centrālajā</w:t>
      </w:r>
      <w:r w:rsidR="007B5BA1" w:rsidRPr="007B5BA1">
        <w:rPr>
          <w:rFonts w:eastAsia="Times New Roman" w:cs="Times New Roman"/>
          <w:szCs w:val="24"/>
          <w:lang w:eastAsia="ru-RU"/>
        </w:rPr>
        <w:t xml:space="preserve"> vēlēšanu komisijā, pamatojot savu pamattiesību būtisku aizskārumu un</w:t>
      </w:r>
      <w:r w:rsidR="00C734E4">
        <w:rPr>
          <w:rFonts w:eastAsia="Times New Roman" w:cs="Times New Roman"/>
          <w:szCs w:val="24"/>
          <w:lang w:eastAsia="ru-RU"/>
        </w:rPr>
        <w:t xml:space="preserve"> </w:t>
      </w:r>
      <w:r w:rsidR="007B5BA1" w:rsidRPr="007B5BA1">
        <w:rPr>
          <w:rFonts w:eastAsia="Times New Roman" w:cs="Times New Roman"/>
          <w:szCs w:val="24"/>
          <w:lang w:eastAsia="ru-RU"/>
        </w:rPr>
        <w:t>norādot uz tādiem ārkārtējiem (netipiskiem), no personas gribas neatkarīgiem</w:t>
      </w:r>
      <w:r w:rsidR="0006771F">
        <w:rPr>
          <w:rFonts w:eastAsia="Times New Roman" w:cs="Times New Roman"/>
          <w:szCs w:val="24"/>
          <w:lang w:eastAsia="ru-RU"/>
        </w:rPr>
        <w:t>,</w:t>
      </w:r>
      <w:r w:rsidR="007B5BA1" w:rsidRPr="007B5BA1">
        <w:rPr>
          <w:rFonts w:eastAsia="Times New Roman" w:cs="Times New Roman"/>
          <w:szCs w:val="24"/>
          <w:lang w:eastAsia="ru-RU"/>
        </w:rPr>
        <w:t xml:space="preserve"> apstākļiem, kuru dēļ</w:t>
      </w:r>
      <w:r w:rsidR="00C734E4">
        <w:rPr>
          <w:rFonts w:eastAsia="Times New Roman" w:cs="Times New Roman"/>
          <w:szCs w:val="24"/>
          <w:lang w:eastAsia="ru-RU"/>
        </w:rPr>
        <w:t xml:space="preserve"> </w:t>
      </w:r>
      <w:r w:rsidR="007B5BA1" w:rsidRPr="007B5BA1">
        <w:rPr>
          <w:rFonts w:eastAsia="Times New Roman" w:cs="Times New Roman"/>
          <w:szCs w:val="24"/>
          <w:lang w:eastAsia="ru-RU"/>
        </w:rPr>
        <w:t xml:space="preserve">izņēmuma kārtā būtu izskatāms lūgums par </w:t>
      </w:r>
      <w:proofErr w:type="spellStart"/>
      <w:r w:rsidR="007B5BA1" w:rsidRPr="007B5BA1">
        <w:rPr>
          <w:rFonts w:eastAsia="Times New Roman" w:cs="Times New Roman"/>
          <w:szCs w:val="24"/>
          <w:lang w:eastAsia="ru-RU"/>
        </w:rPr>
        <w:t>materiāltiesiska</w:t>
      </w:r>
      <w:proofErr w:type="spellEnd"/>
      <w:r w:rsidR="007B5BA1" w:rsidRPr="007B5BA1">
        <w:rPr>
          <w:rFonts w:eastAsia="Times New Roman" w:cs="Times New Roman"/>
          <w:szCs w:val="24"/>
          <w:lang w:eastAsia="ru-RU"/>
        </w:rPr>
        <w:t xml:space="preserve"> termiņa pagarināšanu.</w:t>
      </w:r>
    </w:p>
    <w:p w14:paraId="33B394C0" w14:textId="00402E18" w:rsidR="0009038F" w:rsidRDefault="00AC58A2" w:rsidP="0013701D">
      <w:pPr>
        <w:autoSpaceDE w:val="0"/>
        <w:autoSpaceDN w:val="0"/>
        <w:adjustRightInd w:val="0"/>
        <w:spacing w:after="0" w:line="276" w:lineRule="auto"/>
        <w:ind w:firstLine="720"/>
        <w:jc w:val="both"/>
        <w:rPr>
          <w:rFonts w:eastAsia="Times New Roman" w:cs="Times New Roman"/>
          <w:szCs w:val="24"/>
          <w:lang w:eastAsia="ru-RU"/>
        </w:rPr>
      </w:pPr>
      <w:r>
        <w:rPr>
          <w:rFonts w:eastAsia="Times New Roman" w:cs="Times New Roman"/>
          <w:szCs w:val="24"/>
          <w:lang w:eastAsia="ru-RU"/>
        </w:rPr>
        <w:t>[3.7</w:t>
      </w:r>
      <w:r w:rsidR="00C734E4">
        <w:rPr>
          <w:rFonts w:eastAsia="Times New Roman" w:cs="Times New Roman"/>
          <w:szCs w:val="24"/>
          <w:lang w:eastAsia="ru-RU"/>
        </w:rPr>
        <w:t>] </w:t>
      </w:r>
      <w:r w:rsidR="0009038F">
        <w:rPr>
          <w:rFonts w:eastAsia="Times New Roman" w:cs="Times New Roman"/>
          <w:szCs w:val="24"/>
          <w:lang w:eastAsia="ru-RU"/>
        </w:rPr>
        <w:t>P</w:t>
      </w:r>
      <w:r w:rsidR="0009038F" w:rsidRPr="0009038F">
        <w:rPr>
          <w:rFonts w:eastAsia="Times New Roman" w:cs="Times New Roman"/>
          <w:szCs w:val="24"/>
          <w:lang w:eastAsia="ru-RU"/>
        </w:rPr>
        <w:t>ieteikumā ietvertais lūgums uzdot jautājumu</w:t>
      </w:r>
      <w:r w:rsidR="00801922">
        <w:rPr>
          <w:rFonts w:eastAsia="Times New Roman" w:cs="Times New Roman"/>
          <w:szCs w:val="24"/>
          <w:lang w:eastAsia="ru-RU"/>
        </w:rPr>
        <w:t xml:space="preserve"> Eiropas Savienības Tiesai</w:t>
      </w:r>
      <w:r w:rsidR="0009038F" w:rsidRPr="0009038F">
        <w:rPr>
          <w:rFonts w:eastAsia="Times New Roman" w:cs="Times New Roman"/>
          <w:szCs w:val="24"/>
          <w:lang w:eastAsia="ru-RU"/>
        </w:rPr>
        <w:t xml:space="preserve"> nav vērtējams kā atsevišķs prasījums, bet ir procesuāls lūgums, kas būtu</w:t>
      </w:r>
      <w:r w:rsidR="0009038F">
        <w:rPr>
          <w:rFonts w:eastAsia="Times New Roman" w:cs="Times New Roman"/>
          <w:szCs w:val="24"/>
          <w:lang w:eastAsia="ru-RU"/>
        </w:rPr>
        <w:t xml:space="preserve"> </w:t>
      </w:r>
      <w:r w:rsidR="0009038F" w:rsidRPr="0009038F">
        <w:rPr>
          <w:rFonts w:eastAsia="Times New Roman" w:cs="Times New Roman"/>
          <w:szCs w:val="24"/>
          <w:lang w:eastAsia="ru-RU"/>
        </w:rPr>
        <w:t>izvērtējams, izskatot lietu pēc būtības</w:t>
      </w:r>
      <w:r w:rsidR="0009038F">
        <w:rPr>
          <w:rFonts w:eastAsia="Times New Roman" w:cs="Times New Roman"/>
          <w:szCs w:val="24"/>
          <w:lang w:eastAsia="ru-RU"/>
        </w:rPr>
        <w:t>.</w:t>
      </w:r>
    </w:p>
    <w:p w14:paraId="7A2716B5" w14:textId="77777777" w:rsidR="0009038F" w:rsidRDefault="0009038F" w:rsidP="0013701D">
      <w:pPr>
        <w:autoSpaceDE w:val="0"/>
        <w:autoSpaceDN w:val="0"/>
        <w:adjustRightInd w:val="0"/>
        <w:spacing w:after="0" w:line="276" w:lineRule="auto"/>
        <w:ind w:firstLine="720"/>
        <w:jc w:val="both"/>
        <w:rPr>
          <w:rFonts w:eastAsia="Times New Roman" w:cs="Times New Roman"/>
          <w:szCs w:val="24"/>
          <w:lang w:eastAsia="ru-RU"/>
        </w:rPr>
      </w:pPr>
    </w:p>
    <w:p w14:paraId="052C4254" w14:textId="14929044" w:rsidR="00F67B8B" w:rsidRPr="00D8657E" w:rsidRDefault="00AC58A2" w:rsidP="0013701D">
      <w:pPr>
        <w:autoSpaceDE w:val="0"/>
        <w:autoSpaceDN w:val="0"/>
        <w:adjustRightInd w:val="0"/>
        <w:spacing w:after="0" w:line="276" w:lineRule="auto"/>
        <w:ind w:firstLine="720"/>
        <w:jc w:val="both"/>
        <w:rPr>
          <w:rFonts w:eastAsia="Times New Roman" w:cs="Times New Roman"/>
          <w:szCs w:val="24"/>
          <w:lang w:eastAsia="ru-RU"/>
        </w:rPr>
      </w:pPr>
      <w:r>
        <w:rPr>
          <w:rFonts w:eastAsia="Times New Roman" w:cs="Times New Roman"/>
          <w:szCs w:val="24"/>
          <w:lang w:eastAsia="ru-RU"/>
        </w:rPr>
        <w:t>[4</w:t>
      </w:r>
      <w:r w:rsidR="0009038F">
        <w:rPr>
          <w:rFonts w:eastAsia="Times New Roman" w:cs="Times New Roman"/>
          <w:szCs w:val="24"/>
          <w:lang w:eastAsia="ru-RU"/>
        </w:rPr>
        <w:t>] Pieteic</w:t>
      </w:r>
      <w:r w:rsidR="00C5006D">
        <w:rPr>
          <w:rFonts w:eastAsia="Times New Roman" w:cs="Times New Roman"/>
          <w:szCs w:val="24"/>
          <w:lang w:eastAsia="ru-RU"/>
        </w:rPr>
        <w:t>ēja</w:t>
      </w:r>
      <w:r w:rsidR="0009038F">
        <w:rPr>
          <w:rFonts w:eastAsia="Times New Roman" w:cs="Times New Roman"/>
          <w:szCs w:val="24"/>
          <w:lang w:eastAsia="ru-RU"/>
        </w:rPr>
        <w:t xml:space="preserve"> ir i</w:t>
      </w:r>
      <w:r w:rsidR="00C5006D">
        <w:rPr>
          <w:rFonts w:eastAsia="Times New Roman" w:cs="Times New Roman"/>
          <w:szCs w:val="24"/>
          <w:lang w:eastAsia="ru-RU"/>
        </w:rPr>
        <w:t>esniegusi</w:t>
      </w:r>
      <w:r w:rsidR="0009038F">
        <w:rPr>
          <w:rFonts w:eastAsia="Times New Roman" w:cs="Times New Roman"/>
          <w:szCs w:val="24"/>
          <w:lang w:eastAsia="ru-RU"/>
        </w:rPr>
        <w:t xml:space="preserve"> blakus sūdzību par tiesneša lēmumu</w:t>
      </w:r>
      <w:r w:rsidR="00AF0496">
        <w:rPr>
          <w:rFonts w:eastAsia="Times New Roman" w:cs="Times New Roman"/>
          <w:szCs w:val="24"/>
          <w:lang w:eastAsia="ru-RU"/>
        </w:rPr>
        <w:t>, norādot, ka lēmums ir prettiesisks, nesamērīgs, ir ignorētas pieteicēja</w:t>
      </w:r>
      <w:r w:rsidR="0006771F">
        <w:rPr>
          <w:rFonts w:eastAsia="Times New Roman" w:cs="Times New Roman"/>
          <w:szCs w:val="24"/>
          <w:lang w:eastAsia="ru-RU"/>
        </w:rPr>
        <w:t>s</w:t>
      </w:r>
      <w:r w:rsidR="00AF0496">
        <w:rPr>
          <w:rFonts w:eastAsia="Times New Roman" w:cs="Times New Roman"/>
          <w:szCs w:val="24"/>
          <w:lang w:eastAsia="ru-RU"/>
        </w:rPr>
        <w:t xml:space="preserve"> tiesības uz taisnīgu tiesu</w:t>
      </w:r>
      <w:r w:rsidR="008A7BFB">
        <w:rPr>
          <w:rFonts w:eastAsia="Times New Roman" w:cs="Times New Roman"/>
          <w:szCs w:val="24"/>
          <w:lang w:eastAsia="ru-RU"/>
        </w:rPr>
        <w:t xml:space="preserve"> un lietas iztiesāšanu</w:t>
      </w:r>
      <w:r w:rsidR="00C5006D">
        <w:rPr>
          <w:rFonts w:eastAsia="Times New Roman" w:cs="Times New Roman"/>
          <w:szCs w:val="24"/>
          <w:lang w:eastAsia="ru-RU"/>
        </w:rPr>
        <w:t xml:space="preserve"> tiesā. Pieteic</w:t>
      </w:r>
      <w:r w:rsidR="00AA0BC9">
        <w:rPr>
          <w:rFonts w:eastAsia="Times New Roman" w:cs="Times New Roman"/>
          <w:szCs w:val="24"/>
          <w:lang w:eastAsia="ru-RU"/>
        </w:rPr>
        <w:t xml:space="preserve">ēja </w:t>
      </w:r>
      <w:r w:rsidR="0026274E">
        <w:rPr>
          <w:rFonts w:eastAsia="Times New Roman" w:cs="Times New Roman"/>
          <w:szCs w:val="24"/>
          <w:lang w:eastAsia="ru-RU"/>
        </w:rPr>
        <w:t>uzskata, ka var apstrīdēt visu rīkojumu, ar visiem tā grozījumiem.</w:t>
      </w:r>
      <w:r w:rsidR="00F67B8B" w:rsidRPr="00D8657E">
        <w:rPr>
          <w:rFonts w:eastAsia="Times New Roman" w:cs="Times New Roman"/>
          <w:szCs w:val="24"/>
          <w:lang w:eastAsia="ru-RU"/>
        </w:rPr>
        <w:t xml:space="preserve"> </w:t>
      </w:r>
    </w:p>
    <w:p w14:paraId="3113BFB5" w14:textId="77777777" w:rsidR="002618C5" w:rsidRPr="00D8657E" w:rsidRDefault="002618C5" w:rsidP="0013701D">
      <w:pPr>
        <w:autoSpaceDE w:val="0"/>
        <w:autoSpaceDN w:val="0"/>
        <w:adjustRightInd w:val="0"/>
        <w:spacing w:after="0" w:line="276" w:lineRule="auto"/>
        <w:ind w:firstLine="567"/>
        <w:jc w:val="both"/>
        <w:rPr>
          <w:rFonts w:eastAsia="Times New Roman" w:cs="Times New Roman"/>
          <w:szCs w:val="24"/>
          <w:lang w:eastAsia="ru-RU"/>
        </w:rPr>
      </w:pPr>
    </w:p>
    <w:p w14:paraId="4120905A" w14:textId="7C1B44B9" w:rsidR="008614E0" w:rsidRPr="00D8657E" w:rsidRDefault="00F67B8B" w:rsidP="0013701D">
      <w:pPr>
        <w:spacing w:after="0" w:line="276" w:lineRule="auto"/>
        <w:jc w:val="center"/>
        <w:rPr>
          <w:rFonts w:eastAsia="Times New Roman" w:cs="Times New Roman"/>
          <w:b/>
          <w:szCs w:val="24"/>
          <w:lang w:eastAsia="ru-RU"/>
        </w:rPr>
      </w:pPr>
      <w:r w:rsidRPr="00D8657E">
        <w:rPr>
          <w:rFonts w:eastAsia="Times New Roman" w:cs="Times New Roman"/>
          <w:b/>
          <w:szCs w:val="24"/>
          <w:lang w:eastAsia="ru-RU"/>
        </w:rPr>
        <w:t>Motīvu daļa</w:t>
      </w:r>
    </w:p>
    <w:p w14:paraId="0F4F9BDE" w14:textId="77777777" w:rsidR="00F67B8B" w:rsidRDefault="00F67B8B" w:rsidP="0013701D">
      <w:pPr>
        <w:spacing w:after="0" w:line="276" w:lineRule="auto"/>
        <w:jc w:val="center"/>
        <w:rPr>
          <w:rFonts w:eastAsia="Times New Roman" w:cs="Times New Roman"/>
          <w:b/>
          <w:szCs w:val="24"/>
          <w:lang w:eastAsia="ru-RU"/>
        </w:rPr>
      </w:pPr>
    </w:p>
    <w:p w14:paraId="636BA6B2" w14:textId="72C24F0A" w:rsidR="002A7E5F" w:rsidRDefault="002A7E5F" w:rsidP="0013701D">
      <w:pPr>
        <w:spacing w:after="0" w:line="276" w:lineRule="auto"/>
        <w:jc w:val="center"/>
        <w:rPr>
          <w:rFonts w:eastAsia="Times New Roman" w:cs="Times New Roman"/>
          <w:szCs w:val="24"/>
          <w:lang w:eastAsia="ru-RU"/>
        </w:rPr>
      </w:pPr>
      <w:r>
        <w:rPr>
          <w:rFonts w:eastAsia="Times New Roman" w:cs="Times New Roman"/>
          <w:szCs w:val="24"/>
          <w:lang w:eastAsia="ru-RU"/>
        </w:rPr>
        <w:t>I</w:t>
      </w:r>
    </w:p>
    <w:p w14:paraId="235F19E3" w14:textId="77777777" w:rsidR="002A7E5F" w:rsidRPr="002A7E5F" w:rsidRDefault="002A7E5F" w:rsidP="0013701D">
      <w:pPr>
        <w:spacing w:after="0" w:line="276" w:lineRule="auto"/>
        <w:jc w:val="center"/>
        <w:rPr>
          <w:rFonts w:eastAsia="Times New Roman" w:cs="Times New Roman"/>
          <w:szCs w:val="24"/>
          <w:lang w:eastAsia="ru-RU"/>
        </w:rPr>
      </w:pPr>
    </w:p>
    <w:p w14:paraId="2715F79B" w14:textId="54E4B623" w:rsidR="00456A7A" w:rsidRDefault="00AC58A2" w:rsidP="0013701D">
      <w:pPr>
        <w:spacing w:after="0" w:line="276" w:lineRule="auto"/>
        <w:jc w:val="both"/>
        <w:rPr>
          <w:rFonts w:eastAsia="Times New Roman" w:cs="Times New Roman"/>
          <w:szCs w:val="24"/>
          <w:lang w:eastAsia="ru-RU"/>
        </w:rPr>
      </w:pPr>
      <w:r>
        <w:rPr>
          <w:rFonts w:eastAsia="Times New Roman" w:cs="Times New Roman"/>
          <w:szCs w:val="24"/>
          <w:lang w:eastAsia="ru-RU"/>
        </w:rPr>
        <w:tab/>
        <w:t>[5</w:t>
      </w:r>
      <w:r w:rsidR="00F67B8B" w:rsidRPr="00D8657E">
        <w:rPr>
          <w:rFonts w:eastAsia="Times New Roman" w:cs="Times New Roman"/>
          <w:szCs w:val="24"/>
          <w:lang w:eastAsia="ru-RU"/>
        </w:rPr>
        <w:t>] </w:t>
      </w:r>
      <w:r w:rsidR="00456A7A">
        <w:rPr>
          <w:rFonts w:eastAsia="Times New Roman" w:cs="Times New Roman"/>
          <w:szCs w:val="24"/>
          <w:lang w:eastAsia="ru-RU"/>
        </w:rPr>
        <w:t xml:space="preserve">Rīkojums bija spēkā līdz </w:t>
      </w:r>
      <w:proofErr w:type="gramStart"/>
      <w:r w:rsidR="00456A7A">
        <w:rPr>
          <w:rFonts w:eastAsia="Times New Roman" w:cs="Times New Roman"/>
          <w:szCs w:val="24"/>
          <w:lang w:eastAsia="ru-RU"/>
        </w:rPr>
        <w:t>2020.gada</w:t>
      </w:r>
      <w:proofErr w:type="gramEnd"/>
      <w:r w:rsidR="00456A7A">
        <w:rPr>
          <w:rFonts w:eastAsia="Times New Roman" w:cs="Times New Roman"/>
          <w:szCs w:val="24"/>
          <w:lang w:eastAsia="ru-RU"/>
        </w:rPr>
        <w:t xml:space="preserve"> 9.jūnijam. Tā kā rīkojumā ietvertie </w:t>
      </w:r>
      <w:r w:rsidR="00123E4A">
        <w:rPr>
          <w:rFonts w:eastAsia="Times New Roman" w:cs="Times New Roman"/>
          <w:szCs w:val="24"/>
          <w:lang w:eastAsia="ru-RU"/>
        </w:rPr>
        <w:t xml:space="preserve">vispārīgie </w:t>
      </w:r>
      <w:r w:rsidR="00456A7A">
        <w:rPr>
          <w:rFonts w:eastAsia="Times New Roman" w:cs="Times New Roman"/>
          <w:szCs w:val="24"/>
          <w:lang w:eastAsia="ru-RU"/>
        </w:rPr>
        <w:t xml:space="preserve">administratīvie akti </w:t>
      </w:r>
      <w:r w:rsidR="00A962D4">
        <w:rPr>
          <w:rFonts w:eastAsia="Times New Roman" w:cs="Times New Roman"/>
          <w:szCs w:val="24"/>
          <w:lang w:eastAsia="ru-RU"/>
        </w:rPr>
        <w:t>zaudējuši spēku</w:t>
      </w:r>
      <w:r w:rsidR="00456A7A">
        <w:rPr>
          <w:rFonts w:eastAsia="Times New Roman" w:cs="Times New Roman"/>
          <w:szCs w:val="24"/>
          <w:lang w:eastAsia="ru-RU"/>
        </w:rPr>
        <w:t>, tiesa var</w:t>
      </w:r>
      <w:r w:rsidR="00123E4A">
        <w:rPr>
          <w:rFonts w:eastAsia="Times New Roman" w:cs="Times New Roman"/>
          <w:szCs w:val="24"/>
          <w:lang w:eastAsia="ru-RU"/>
        </w:rPr>
        <w:t>ētu pārbaudīt</w:t>
      </w:r>
      <w:r w:rsidR="00456A7A">
        <w:rPr>
          <w:rFonts w:eastAsia="Times New Roman" w:cs="Times New Roman"/>
          <w:szCs w:val="24"/>
          <w:lang w:eastAsia="ru-RU"/>
        </w:rPr>
        <w:t xml:space="preserve"> tikai </w:t>
      </w:r>
      <w:r w:rsidR="00A3045B">
        <w:rPr>
          <w:rFonts w:eastAsia="Times New Roman" w:cs="Times New Roman"/>
          <w:szCs w:val="24"/>
          <w:lang w:eastAsia="ru-RU"/>
        </w:rPr>
        <w:t>to</w:t>
      </w:r>
      <w:r w:rsidR="00456A7A">
        <w:rPr>
          <w:rFonts w:eastAsia="Times New Roman" w:cs="Times New Roman"/>
          <w:szCs w:val="24"/>
          <w:lang w:eastAsia="ru-RU"/>
        </w:rPr>
        <w:t xml:space="preserve"> tiesiskumu. Līdz ar to </w:t>
      </w:r>
      <w:r w:rsidR="00123E4A">
        <w:rPr>
          <w:rFonts w:eastAsia="Times New Roman" w:cs="Times New Roman"/>
          <w:szCs w:val="24"/>
          <w:lang w:eastAsia="ru-RU"/>
        </w:rPr>
        <w:t>vispirms ir izvērtējams, vai pieteicējai ir subjektīvās tiesības prasīt rīkojuma atzīšanu par prettiesisku.</w:t>
      </w:r>
    </w:p>
    <w:p w14:paraId="78D0C045" w14:textId="77777777" w:rsidR="00A3045B" w:rsidRDefault="00A3045B" w:rsidP="0013701D">
      <w:pPr>
        <w:spacing w:after="0" w:line="276" w:lineRule="auto"/>
        <w:ind w:firstLine="720"/>
        <w:jc w:val="both"/>
        <w:rPr>
          <w:rFonts w:eastAsia="Times New Roman" w:cs="Times New Roman"/>
          <w:szCs w:val="24"/>
          <w:lang w:eastAsia="ru-RU"/>
        </w:rPr>
      </w:pPr>
    </w:p>
    <w:p w14:paraId="5C4CF726" w14:textId="2655EDDA" w:rsidR="00801922" w:rsidRDefault="00AC58A2" w:rsidP="0013701D">
      <w:pPr>
        <w:spacing w:after="0" w:line="276" w:lineRule="auto"/>
        <w:ind w:firstLine="720"/>
        <w:jc w:val="both"/>
        <w:rPr>
          <w:rFonts w:eastAsia="Times New Roman" w:cs="Times New Roman"/>
          <w:szCs w:val="24"/>
          <w:lang w:eastAsia="ru-RU"/>
        </w:rPr>
      </w:pPr>
      <w:r>
        <w:rPr>
          <w:rFonts w:eastAsia="Times New Roman" w:cs="Times New Roman"/>
          <w:szCs w:val="24"/>
          <w:lang w:eastAsia="ru-RU"/>
        </w:rPr>
        <w:t>[6</w:t>
      </w:r>
      <w:r w:rsidR="00A3045B">
        <w:rPr>
          <w:rFonts w:eastAsia="Times New Roman" w:cs="Times New Roman"/>
          <w:szCs w:val="24"/>
          <w:lang w:eastAsia="ru-RU"/>
        </w:rPr>
        <w:t>] </w:t>
      </w:r>
      <w:r w:rsidR="00801922">
        <w:rPr>
          <w:rFonts w:eastAsia="Times New Roman" w:cs="Times New Roman"/>
          <w:szCs w:val="24"/>
          <w:lang w:eastAsia="ru-RU"/>
        </w:rPr>
        <w:t>Pieteicēja blakus sūdzībā norāda, ka var apstrīdēt visu rīkojumu</w:t>
      </w:r>
      <w:r w:rsidR="001E17C9">
        <w:rPr>
          <w:rFonts w:eastAsia="Times New Roman" w:cs="Times New Roman"/>
          <w:szCs w:val="24"/>
          <w:lang w:eastAsia="ru-RU"/>
        </w:rPr>
        <w:t xml:space="preserve"> ar tā grozījumiem.</w:t>
      </w:r>
    </w:p>
    <w:p w14:paraId="039D3BC9" w14:textId="6C3884B9" w:rsidR="001E17C9" w:rsidRDefault="001E17C9" w:rsidP="0013701D">
      <w:pPr>
        <w:spacing w:after="0" w:line="276" w:lineRule="auto"/>
        <w:jc w:val="both"/>
        <w:rPr>
          <w:rFonts w:eastAsia="Times New Roman" w:cs="Times New Roman"/>
          <w:szCs w:val="24"/>
          <w:lang w:eastAsia="ru-RU"/>
        </w:rPr>
      </w:pPr>
      <w:r>
        <w:rPr>
          <w:rFonts w:eastAsia="Times New Roman" w:cs="Times New Roman"/>
          <w:szCs w:val="24"/>
          <w:lang w:eastAsia="ru-RU"/>
        </w:rPr>
        <w:tab/>
        <w:t>Šādam argumentam nevar piekrist.</w:t>
      </w:r>
    </w:p>
    <w:p w14:paraId="05BD4CA7" w14:textId="72B267A3" w:rsidR="008B1B89" w:rsidRDefault="00BD412F" w:rsidP="0013701D">
      <w:pPr>
        <w:spacing w:after="0" w:line="276" w:lineRule="auto"/>
        <w:ind w:firstLine="720"/>
        <w:jc w:val="both"/>
        <w:rPr>
          <w:rFonts w:eastAsia="Times New Roman" w:cs="Times New Roman"/>
          <w:szCs w:val="24"/>
          <w:lang w:eastAsia="ru-RU"/>
        </w:rPr>
      </w:pPr>
      <w:r>
        <w:rPr>
          <w:rFonts w:eastAsia="Times New Roman" w:cs="Times New Roman"/>
          <w:szCs w:val="24"/>
          <w:lang w:eastAsia="ru-RU"/>
        </w:rPr>
        <w:t>Kā to pareizi norādījis pirmās instances tiesas tiesnesis</w:t>
      </w:r>
      <w:r w:rsidR="00FB5F8E">
        <w:rPr>
          <w:rFonts w:eastAsia="Times New Roman" w:cs="Times New Roman"/>
          <w:szCs w:val="24"/>
          <w:lang w:eastAsia="ru-RU"/>
        </w:rPr>
        <w:t>, r</w:t>
      </w:r>
      <w:r w:rsidR="00FB5F8E" w:rsidRPr="00FB5F8E">
        <w:rPr>
          <w:rFonts w:eastAsia="Times New Roman" w:cs="Times New Roman"/>
          <w:szCs w:val="24"/>
          <w:lang w:eastAsia="ru-RU"/>
        </w:rPr>
        <w:t>īko</w:t>
      </w:r>
      <w:r w:rsidR="00FB5F8E">
        <w:rPr>
          <w:rFonts w:eastAsia="Times New Roman" w:cs="Times New Roman"/>
          <w:szCs w:val="24"/>
          <w:lang w:eastAsia="ru-RU"/>
        </w:rPr>
        <w:t xml:space="preserve">jums pēc savas juridiskās dabas </w:t>
      </w:r>
      <w:r w:rsidR="00FB5F8E" w:rsidRPr="00FB5F8E">
        <w:rPr>
          <w:rFonts w:eastAsia="Times New Roman" w:cs="Times New Roman"/>
          <w:szCs w:val="24"/>
          <w:lang w:eastAsia="ru-RU"/>
        </w:rPr>
        <w:t>ietver gan politiskus aicinājumus, gan valsts pārvaldes iekšējus lēmumus, gan vispārīgos</w:t>
      </w:r>
      <w:r w:rsidR="00FB5F8E">
        <w:rPr>
          <w:rFonts w:eastAsia="Times New Roman" w:cs="Times New Roman"/>
          <w:szCs w:val="24"/>
          <w:lang w:eastAsia="ru-RU"/>
        </w:rPr>
        <w:t xml:space="preserve"> </w:t>
      </w:r>
      <w:r w:rsidR="00FB5F8E" w:rsidRPr="00FB5F8E">
        <w:rPr>
          <w:rFonts w:eastAsia="Times New Roman" w:cs="Times New Roman"/>
          <w:szCs w:val="24"/>
          <w:lang w:eastAsia="ru-RU"/>
        </w:rPr>
        <w:lastRenderedPageBreak/>
        <w:t>administratīvos aktus.</w:t>
      </w:r>
      <w:r w:rsidR="002A7E5F">
        <w:rPr>
          <w:rFonts w:eastAsia="Times New Roman" w:cs="Times New Roman"/>
          <w:szCs w:val="24"/>
          <w:lang w:eastAsia="ru-RU"/>
        </w:rPr>
        <w:t xml:space="preserve"> P</w:t>
      </w:r>
      <w:r w:rsidR="00FB5F8E">
        <w:rPr>
          <w:rFonts w:eastAsia="Times New Roman" w:cs="Times New Roman"/>
          <w:szCs w:val="24"/>
          <w:lang w:eastAsia="ru-RU"/>
        </w:rPr>
        <w:t>ersona ir tiesīga</w:t>
      </w:r>
      <w:r w:rsidR="005F639B">
        <w:rPr>
          <w:rFonts w:eastAsia="Times New Roman" w:cs="Times New Roman"/>
          <w:szCs w:val="24"/>
          <w:lang w:eastAsia="ru-RU"/>
        </w:rPr>
        <w:t xml:space="preserve"> apstrīdēt un pārsūdzēt rīkojumu tikai daļā, kas </w:t>
      </w:r>
      <w:r w:rsidR="000025ED">
        <w:rPr>
          <w:rFonts w:eastAsia="Times New Roman" w:cs="Times New Roman"/>
          <w:szCs w:val="24"/>
          <w:lang w:eastAsia="ru-RU"/>
        </w:rPr>
        <w:t>satur vispārīgo administratīvo aktu</w:t>
      </w:r>
      <w:r w:rsidR="00E20E76">
        <w:rPr>
          <w:rFonts w:eastAsia="Times New Roman" w:cs="Times New Roman"/>
          <w:szCs w:val="24"/>
          <w:lang w:eastAsia="ru-RU"/>
        </w:rPr>
        <w:t xml:space="preserve">. </w:t>
      </w:r>
      <w:r w:rsidR="000025ED">
        <w:rPr>
          <w:rFonts w:eastAsia="Times New Roman" w:cs="Times New Roman"/>
          <w:szCs w:val="24"/>
          <w:lang w:eastAsia="ru-RU"/>
        </w:rPr>
        <w:t>Turklāt arī vispārīgo administratīvo aktu</w:t>
      </w:r>
      <w:r w:rsidR="000E6F04">
        <w:rPr>
          <w:rFonts w:eastAsia="Times New Roman" w:cs="Times New Roman"/>
          <w:szCs w:val="24"/>
          <w:lang w:eastAsia="ru-RU"/>
        </w:rPr>
        <w:t xml:space="preserve"> persona var apstrīdēt un pārsūdzēt</w:t>
      </w:r>
      <w:r w:rsidR="007F3848">
        <w:rPr>
          <w:rFonts w:eastAsia="Times New Roman" w:cs="Times New Roman"/>
          <w:szCs w:val="24"/>
          <w:lang w:eastAsia="ru-RU"/>
        </w:rPr>
        <w:t xml:space="preserve"> tikai</w:t>
      </w:r>
      <w:r w:rsidR="000E6F04">
        <w:rPr>
          <w:rFonts w:eastAsia="Times New Roman" w:cs="Times New Roman"/>
          <w:szCs w:val="24"/>
          <w:lang w:eastAsia="ru-RU"/>
        </w:rPr>
        <w:t xml:space="preserve"> tad, ja</w:t>
      </w:r>
      <w:r w:rsidR="00E50842">
        <w:rPr>
          <w:rFonts w:eastAsia="Times New Roman" w:cs="Times New Roman"/>
          <w:szCs w:val="24"/>
          <w:lang w:eastAsia="ru-RU"/>
        </w:rPr>
        <w:t xml:space="preserve"> persona atrodas to personu lokā, uz kuru attiecas ar vispārīgo administratīvo aktu</w:t>
      </w:r>
      <w:r w:rsidR="000E6F04">
        <w:rPr>
          <w:rFonts w:eastAsia="Times New Roman" w:cs="Times New Roman"/>
          <w:szCs w:val="24"/>
          <w:lang w:eastAsia="ru-RU"/>
        </w:rPr>
        <w:t xml:space="preserve"> uzliktais pienākums</w:t>
      </w:r>
      <w:r w:rsidR="002A7E5F">
        <w:rPr>
          <w:rFonts w:eastAsia="Times New Roman" w:cs="Times New Roman"/>
          <w:szCs w:val="24"/>
          <w:lang w:eastAsia="ru-RU"/>
        </w:rPr>
        <w:t xml:space="preserve"> vai ierobežojums</w:t>
      </w:r>
      <w:r w:rsidR="00E50842">
        <w:rPr>
          <w:rFonts w:eastAsia="Times New Roman" w:cs="Times New Roman"/>
          <w:szCs w:val="24"/>
          <w:lang w:eastAsia="ru-RU"/>
        </w:rPr>
        <w:t>.</w:t>
      </w:r>
      <w:r w:rsidR="008B1B89">
        <w:rPr>
          <w:rFonts w:eastAsia="Times New Roman" w:cs="Times New Roman"/>
          <w:szCs w:val="24"/>
          <w:lang w:eastAsia="ru-RU"/>
        </w:rPr>
        <w:t xml:space="preserve"> </w:t>
      </w:r>
    </w:p>
    <w:p w14:paraId="66485597" w14:textId="77D60CF6" w:rsidR="00656B55" w:rsidRDefault="00656B55" w:rsidP="0013701D">
      <w:pPr>
        <w:spacing w:after="0" w:line="276" w:lineRule="auto"/>
        <w:ind w:firstLine="720"/>
        <w:jc w:val="both"/>
        <w:rPr>
          <w:rFonts w:eastAsia="Times New Roman" w:cs="Times New Roman"/>
          <w:szCs w:val="24"/>
          <w:lang w:eastAsia="ru-RU"/>
        </w:rPr>
      </w:pPr>
    </w:p>
    <w:p w14:paraId="6CCD3923" w14:textId="18C870D1" w:rsidR="001E17C9" w:rsidRDefault="00AC58A2" w:rsidP="0013701D">
      <w:pPr>
        <w:spacing w:after="0" w:line="276" w:lineRule="auto"/>
        <w:ind w:firstLine="720"/>
        <w:jc w:val="both"/>
        <w:rPr>
          <w:rFonts w:eastAsia="Times New Roman" w:cs="Times New Roman"/>
          <w:szCs w:val="24"/>
          <w:lang w:eastAsia="ru-RU"/>
        </w:rPr>
      </w:pPr>
      <w:r>
        <w:rPr>
          <w:rFonts w:eastAsia="Times New Roman" w:cs="Times New Roman"/>
          <w:szCs w:val="24"/>
          <w:lang w:eastAsia="ru-RU"/>
        </w:rPr>
        <w:t>[7</w:t>
      </w:r>
      <w:r w:rsidR="00640974">
        <w:rPr>
          <w:rFonts w:eastAsia="Times New Roman" w:cs="Times New Roman"/>
          <w:szCs w:val="24"/>
          <w:lang w:eastAsia="ru-RU"/>
        </w:rPr>
        <w:t>] </w:t>
      </w:r>
      <w:r w:rsidR="00F523FB" w:rsidRPr="00F523FB">
        <w:rPr>
          <w:rFonts w:eastAsia="Times New Roman" w:cs="Times New Roman"/>
          <w:szCs w:val="24"/>
          <w:lang w:eastAsia="ru-RU"/>
        </w:rPr>
        <w:t xml:space="preserve">Pieteicēja iebilst pret to, ka ar noteiktajiem ierobežojumiem pilsoņiem esot </w:t>
      </w:r>
      <w:r w:rsidR="00A3045B">
        <w:rPr>
          <w:rFonts w:eastAsia="Times New Roman" w:cs="Times New Roman"/>
          <w:szCs w:val="24"/>
          <w:lang w:eastAsia="ru-RU"/>
        </w:rPr>
        <w:t xml:space="preserve">bijušas </w:t>
      </w:r>
      <w:r w:rsidR="00F523FB" w:rsidRPr="00F523FB">
        <w:rPr>
          <w:rFonts w:eastAsia="Times New Roman" w:cs="Times New Roman"/>
          <w:szCs w:val="24"/>
          <w:lang w:eastAsia="ru-RU"/>
        </w:rPr>
        <w:t>ierobežotas pilsoņu tiesības parakstīties</w:t>
      </w:r>
      <w:r w:rsidR="001E17C9">
        <w:rPr>
          <w:rFonts w:eastAsia="Times New Roman" w:cs="Times New Roman"/>
          <w:szCs w:val="24"/>
          <w:lang w:eastAsia="ru-RU"/>
        </w:rPr>
        <w:t xml:space="preserve"> par tautas nobalsošanas iniciatīvu vai likumprojektu</w:t>
      </w:r>
      <w:r w:rsidR="00F523FB" w:rsidRPr="00F523FB">
        <w:rPr>
          <w:rFonts w:eastAsia="Times New Roman" w:cs="Times New Roman"/>
          <w:szCs w:val="24"/>
          <w:lang w:eastAsia="ru-RU"/>
        </w:rPr>
        <w:t xml:space="preserve"> klātienē</w:t>
      </w:r>
      <w:r w:rsidR="00F523FB">
        <w:rPr>
          <w:rFonts w:eastAsia="Times New Roman" w:cs="Times New Roman"/>
          <w:szCs w:val="24"/>
          <w:lang w:eastAsia="ru-RU"/>
        </w:rPr>
        <w:t>.</w:t>
      </w:r>
      <w:r w:rsidR="00F523FB" w:rsidRPr="00F523FB">
        <w:rPr>
          <w:rFonts w:eastAsia="Times New Roman" w:cs="Times New Roman"/>
          <w:szCs w:val="24"/>
          <w:lang w:eastAsia="ru-RU"/>
        </w:rPr>
        <w:t xml:space="preserve"> </w:t>
      </w:r>
    </w:p>
    <w:p w14:paraId="715DBE1A" w14:textId="1EC8833F" w:rsidR="003E00B9" w:rsidRDefault="00640974" w:rsidP="0013701D">
      <w:pPr>
        <w:spacing w:after="0" w:line="276" w:lineRule="auto"/>
        <w:ind w:firstLine="720"/>
        <w:jc w:val="both"/>
        <w:rPr>
          <w:rFonts w:eastAsia="Times New Roman" w:cs="Times New Roman"/>
          <w:szCs w:val="24"/>
          <w:lang w:eastAsia="ru-RU"/>
        </w:rPr>
      </w:pPr>
      <w:r>
        <w:rPr>
          <w:rFonts w:eastAsia="Times New Roman" w:cs="Times New Roman"/>
          <w:szCs w:val="24"/>
          <w:lang w:eastAsia="ru-RU"/>
        </w:rPr>
        <w:t>Pieteicēja</w:t>
      </w:r>
      <w:r w:rsidR="009106D9">
        <w:rPr>
          <w:rFonts w:eastAsia="Times New Roman" w:cs="Times New Roman"/>
          <w:szCs w:val="24"/>
          <w:lang w:eastAsia="ru-RU"/>
        </w:rPr>
        <w:t>s</w:t>
      </w:r>
      <w:r>
        <w:rPr>
          <w:rFonts w:eastAsia="Times New Roman" w:cs="Times New Roman"/>
          <w:szCs w:val="24"/>
          <w:lang w:eastAsia="ru-RU"/>
        </w:rPr>
        <w:t xml:space="preserve"> norādītais par pilsoņu tiesību ierobežojumu parakstīties klātienē neliecina par pieteicēja</w:t>
      </w:r>
      <w:r w:rsidR="009106D9">
        <w:rPr>
          <w:rFonts w:eastAsia="Times New Roman" w:cs="Times New Roman"/>
          <w:szCs w:val="24"/>
          <w:lang w:eastAsia="ru-RU"/>
        </w:rPr>
        <w:t>s</w:t>
      </w:r>
      <w:r>
        <w:rPr>
          <w:rFonts w:eastAsia="Times New Roman" w:cs="Times New Roman"/>
          <w:szCs w:val="24"/>
          <w:lang w:eastAsia="ru-RU"/>
        </w:rPr>
        <w:t xml:space="preserve"> subjektīvo tiesību aizskārumu. </w:t>
      </w:r>
      <w:r w:rsidR="009106D9">
        <w:rPr>
          <w:rFonts w:eastAsia="Times New Roman" w:cs="Times New Roman"/>
          <w:szCs w:val="24"/>
          <w:lang w:eastAsia="ru-RU"/>
        </w:rPr>
        <w:t>Persona ir tiesīga izvēlēties veidu, kādā parakstīties par reģistrētaj</w:t>
      </w:r>
      <w:r w:rsidR="00A962D4">
        <w:rPr>
          <w:rFonts w:eastAsia="Times New Roman" w:cs="Times New Roman"/>
          <w:szCs w:val="24"/>
          <w:lang w:eastAsia="ru-RU"/>
        </w:rPr>
        <w:t xml:space="preserve">iem likumprojektiem, </w:t>
      </w:r>
      <w:r w:rsidR="0031185C">
        <w:rPr>
          <w:rFonts w:eastAsia="Times New Roman" w:cs="Times New Roman"/>
          <w:szCs w:val="24"/>
          <w:lang w:eastAsia="ru-RU"/>
        </w:rPr>
        <w:t xml:space="preserve">un tieši personas, bet ne iniciatīvas grupas, tiesības varētu tikt skartas tad, ja rīkojumā noteikto ierobežojumu dēļ personai būtu </w:t>
      </w:r>
      <w:r w:rsidR="00A3045B">
        <w:rPr>
          <w:rFonts w:eastAsia="Times New Roman" w:cs="Times New Roman"/>
          <w:szCs w:val="24"/>
          <w:lang w:eastAsia="ru-RU"/>
        </w:rPr>
        <w:t xml:space="preserve">bijis </w:t>
      </w:r>
      <w:r w:rsidR="0031185C">
        <w:rPr>
          <w:rFonts w:eastAsia="Times New Roman" w:cs="Times New Roman"/>
          <w:szCs w:val="24"/>
          <w:lang w:eastAsia="ru-RU"/>
        </w:rPr>
        <w:t>liegts parakstīties iecerētajā veidā.</w:t>
      </w:r>
      <w:r w:rsidR="00FE4975">
        <w:rPr>
          <w:rFonts w:eastAsia="Times New Roman" w:cs="Times New Roman"/>
          <w:szCs w:val="24"/>
          <w:lang w:eastAsia="ru-RU"/>
        </w:rPr>
        <w:t xml:space="preserve"> </w:t>
      </w:r>
      <w:r w:rsidR="00F85C51">
        <w:rPr>
          <w:rFonts w:eastAsia="Times New Roman" w:cs="Times New Roman"/>
          <w:szCs w:val="24"/>
          <w:lang w:eastAsia="ru-RU"/>
        </w:rPr>
        <w:t xml:space="preserve">Tomēr </w:t>
      </w:r>
      <w:r w:rsidR="00A3045B">
        <w:rPr>
          <w:rFonts w:eastAsia="Times New Roman" w:cs="Times New Roman"/>
          <w:szCs w:val="24"/>
          <w:lang w:eastAsia="ru-RU"/>
        </w:rPr>
        <w:t xml:space="preserve">ierobežojumi </w:t>
      </w:r>
      <w:r w:rsidR="007F3848">
        <w:rPr>
          <w:rFonts w:eastAsia="Times New Roman" w:cs="Times New Roman"/>
          <w:szCs w:val="24"/>
          <w:lang w:eastAsia="ru-RU"/>
        </w:rPr>
        <w:t xml:space="preserve">tieši </w:t>
      </w:r>
      <w:r w:rsidR="00A3045B">
        <w:rPr>
          <w:rFonts w:eastAsia="Times New Roman" w:cs="Times New Roman"/>
          <w:szCs w:val="24"/>
          <w:lang w:eastAsia="ru-RU"/>
        </w:rPr>
        <w:t>neskāra</w:t>
      </w:r>
      <w:r w:rsidR="00886708" w:rsidRPr="00886708">
        <w:rPr>
          <w:rFonts w:eastAsia="Times New Roman" w:cs="Times New Roman"/>
          <w:szCs w:val="24"/>
          <w:lang w:eastAsia="ru-RU"/>
        </w:rPr>
        <w:t xml:space="preserve"> pieteicējas kā iniciatīvas grupas subjektīvās tiesības, jo parakstu vākšana par </w:t>
      </w:r>
      <w:r w:rsidR="00A962D4">
        <w:rPr>
          <w:rFonts w:eastAsia="Times New Roman" w:cs="Times New Roman"/>
          <w:szCs w:val="24"/>
          <w:lang w:eastAsia="ru-RU"/>
        </w:rPr>
        <w:t>likumprojektiem</w:t>
      </w:r>
      <w:r w:rsidR="00A3045B">
        <w:rPr>
          <w:rFonts w:eastAsia="Times New Roman" w:cs="Times New Roman"/>
          <w:szCs w:val="24"/>
          <w:lang w:eastAsia="ru-RU"/>
        </w:rPr>
        <w:t xml:space="preserve"> netika</w:t>
      </w:r>
      <w:r w:rsidR="00886708" w:rsidRPr="00886708">
        <w:rPr>
          <w:rFonts w:eastAsia="Times New Roman" w:cs="Times New Roman"/>
          <w:szCs w:val="24"/>
          <w:lang w:eastAsia="ru-RU"/>
        </w:rPr>
        <w:t xml:space="preserve"> apturēta.</w:t>
      </w:r>
    </w:p>
    <w:p w14:paraId="61697185" w14:textId="42881DED" w:rsidR="002A7E5F" w:rsidRDefault="00371E36" w:rsidP="0013701D">
      <w:pPr>
        <w:spacing w:after="0" w:line="276" w:lineRule="auto"/>
        <w:ind w:firstLine="720"/>
        <w:jc w:val="both"/>
        <w:rPr>
          <w:rFonts w:eastAsia="Times New Roman" w:cs="Times New Roman"/>
          <w:szCs w:val="24"/>
          <w:lang w:eastAsia="ru-RU"/>
        </w:rPr>
      </w:pPr>
      <w:r>
        <w:rPr>
          <w:rFonts w:eastAsia="Times New Roman" w:cs="Times New Roman"/>
          <w:szCs w:val="24"/>
          <w:lang w:eastAsia="ru-RU"/>
        </w:rPr>
        <w:t>Turklāt</w:t>
      </w:r>
      <w:r w:rsidR="00FE4975">
        <w:rPr>
          <w:rFonts w:eastAsia="Times New Roman" w:cs="Times New Roman"/>
          <w:szCs w:val="24"/>
          <w:lang w:eastAsia="ru-RU"/>
        </w:rPr>
        <w:t xml:space="preserve"> iespēja</w:t>
      </w:r>
      <w:r w:rsidR="007C354B">
        <w:rPr>
          <w:rFonts w:eastAsia="Times New Roman" w:cs="Times New Roman"/>
          <w:szCs w:val="24"/>
          <w:lang w:eastAsia="ru-RU"/>
        </w:rPr>
        <w:t xml:space="preserve"> parakstīties e-pakalpojumu portālā </w:t>
      </w:r>
      <w:hyperlink r:id="rId8" w:history="1">
        <w:r w:rsidR="007C354B" w:rsidRPr="00371E36">
          <w:rPr>
            <w:rStyle w:val="Hyperlink"/>
            <w:rFonts w:eastAsia="Times New Roman" w:cs="Times New Roman"/>
            <w:i/>
            <w:iCs/>
            <w:color w:val="auto"/>
            <w:szCs w:val="24"/>
            <w:u w:val="none"/>
            <w:lang w:eastAsia="ru-RU"/>
          </w:rPr>
          <w:t>www.latvija.lv</w:t>
        </w:r>
      </w:hyperlink>
      <w:r w:rsidR="00123E4A">
        <w:rPr>
          <w:rFonts w:eastAsia="Times New Roman" w:cs="Times New Roman"/>
          <w:szCs w:val="24"/>
          <w:lang w:eastAsia="ru-RU"/>
        </w:rPr>
        <w:t xml:space="preserve"> netika</w:t>
      </w:r>
      <w:r w:rsidR="007C354B">
        <w:rPr>
          <w:rFonts w:eastAsia="Times New Roman" w:cs="Times New Roman"/>
          <w:szCs w:val="24"/>
          <w:lang w:eastAsia="ru-RU"/>
        </w:rPr>
        <w:t xml:space="preserve"> ierobežota, kā arī klātienes pakalpojumu sniegšanas ierobežojumi var</w:t>
      </w:r>
      <w:r w:rsidR="00123E4A">
        <w:rPr>
          <w:rFonts w:eastAsia="Times New Roman" w:cs="Times New Roman"/>
          <w:szCs w:val="24"/>
          <w:lang w:eastAsia="ru-RU"/>
        </w:rPr>
        <w:t>ēja</w:t>
      </w:r>
      <w:r w:rsidR="007C354B">
        <w:rPr>
          <w:rFonts w:eastAsia="Times New Roman" w:cs="Times New Roman"/>
          <w:szCs w:val="24"/>
          <w:lang w:eastAsia="ru-RU"/>
        </w:rPr>
        <w:t xml:space="preserve"> atšķirties dažādās </w:t>
      </w:r>
      <w:r w:rsidR="00A962D4">
        <w:rPr>
          <w:rFonts w:eastAsia="Times New Roman" w:cs="Times New Roman"/>
          <w:szCs w:val="24"/>
          <w:lang w:eastAsia="ru-RU"/>
        </w:rPr>
        <w:t>iestādēs</w:t>
      </w:r>
      <w:r w:rsidR="003505A8">
        <w:rPr>
          <w:rFonts w:eastAsia="Times New Roman" w:cs="Times New Roman"/>
          <w:szCs w:val="24"/>
          <w:lang w:eastAsia="ru-RU"/>
        </w:rPr>
        <w:t xml:space="preserve">. </w:t>
      </w:r>
      <w:r w:rsidR="003E00B9">
        <w:rPr>
          <w:rFonts w:eastAsia="Times New Roman" w:cs="Times New Roman"/>
          <w:szCs w:val="24"/>
          <w:lang w:eastAsia="ru-RU"/>
        </w:rPr>
        <w:t>Līdz ar to</w:t>
      </w:r>
      <w:r w:rsidR="00123E4A">
        <w:rPr>
          <w:rFonts w:eastAsia="Times New Roman" w:cs="Times New Roman"/>
          <w:szCs w:val="24"/>
          <w:lang w:eastAsia="ru-RU"/>
        </w:rPr>
        <w:t xml:space="preserve"> personām netika</w:t>
      </w:r>
      <w:r w:rsidR="00F85C51">
        <w:rPr>
          <w:rFonts w:eastAsia="Times New Roman" w:cs="Times New Roman"/>
          <w:szCs w:val="24"/>
          <w:lang w:eastAsia="ru-RU"/>
        </w:rPr>
        <w:t xml:space="preserve"> pilnībā</w:t>
      </w:r>
      <w:r w:rsidR="005C5068">
        <w:rPr>
          <w:rFonts w:eastAsia="Times New Roman" w:cs="Times New Roman"/>
          <w:szCs w:val="24"/>
          <w:lang w:eastAsia="ru-RU"/>
        </w:rPr>
        <w:t xml:space="preserve"> ierobežotas tiesības parakstīties</w:t>
      </w:r>
      <w:r w:rsidR="00A962D4">
        <w:rPr>
          <w:rFonts w:eastAsia="Times New Roman" w:cs="Times New Roman"/>
          <w:szCs w:val="24"/>
          <w:lang w:eastAsia="ru-RU"/>
        </w:rPr>
        <w:t>,</w:t>
      </w:r>
      <w:r w:rsidR="005C5068">
        <w:rPr>
          <w:rFonts w:eastAsia="Times New Roman" w:cs="Times New Roman"/>
          <w:szCs w:val="24"/>
          <w:lang w:eastAsia="ru-RU"/>
        </w:rPr>
        <w:t xml:space="preserve"> un</w:t>
      </w:r>
      <w:r w:rsidR="003E00B9">
        <w:rPr>
          <w:rFonts w:eastAsia="Times New Roman" w:cs="Times New Roman"/>
          <w:szCs w:val="24"/>
          <w:lang w:eastAsia="ru-RU"/>
        </w:rPr>
        <w:t xml:space="preserve"> </w:t>
      </w:r>
      <w:r w:rsidR="002A7E5F">
        <w:rPr>
          <w:rFonts w:eastAsia="Times New Roman" w:cs="Times New Roman"/>
          <w:szCs w:val="24"/>
          <w:lang w:eastAsia="ru-RU"/>
        </w:rPr>
        <w:t xml:space="preserve">tas, kā </w:t>
      </w:r>
      <w:r w:rsidR="003E00B9">
        <w:rPr>
          <w:rFonts w:eastAsia="Times New Roman" w:cs="Times New Roman"/>
          <w:szCs w:val="24"/>
          <w:lang w:eastAsia="ru-RU"/>
        </w:rPr>
        <w:t>katra persona</w:t>
      </w:r>
      <w:r w:rsidR="005C5068">
        <w:rPr>
          <w:rFonts w:eastAsia="Times New Roman" w:cs="Times New Roman"/>
          <w:szCs w:val="24"/>
          <w:lang w:eastAsia="ru-RU"/>
        </w:rPr>
        <w:t xml:space="preserve"> izmanto</w:t>
      </w:r>
      <w:r w:rsidR="00123E4A">
        <w:rPr>
          <w:rFonts w:eastAsia="Times New Roman" w:cs="Times New Roman"/>
          <w:szCs w:val="24"/>
          <w:lang w:eastAsia="ru-RU"/>
        </w:rPr>
        <w:t>ja</w:t>
      </w:r>
      <w:r w:rsidR="005C5068">
        <w:rPr>
          <w:rFonts w:eastAsia="Times New Roman" w:cs="Times New Roman"/>
          <w:szCs w:val="24"/>
          <w:lang w:eastAsia="ru-RU"/>
        </w:rPr>
        <w:t xml:space="preserve"> vai neizmanto</w:t>
      </w:r>
      <w:r w:rsidR="00123E4A">
        <w:rPr>
          <w:rFonts w:eastAsia="Times New Roman" w:cs="Times New Roman"/>
          <w:szCs w:val="24"/>
          <w:lang w:eastAsia="ru-RU"/>
        </w:rPr>
        <w:t>ja</w:t>
      </w:r>
      <w:r w:rsidR="005C5068">
        <w:rPr>
          <w:rFonts w:eastAsia="Times New Roman" w:cs="Times New Roman"/>
          <w:szCs w:val="24"/>
          <w:lang w:eastAsia="ru-RU"/>
        </w:rPr>
        <w:t xml:space="preserve"> pieejamos parakstī</w:t>
      </w:r>
      <w:r w:rsidR="00886708">
        <w:rPr>
          <w:rFonts w:eastAsia="Times New Roman" w:cs="Times New Roman"/>
          <w:szCs w:val="24"/>
          <w:lang w:eastAsia="ru-RU"/>
        </w:rPr>
        <w:t>šanā</w:t>
      </w:r>
      <w:r w:rsidR="005C5068">
        <w:rPr>
          <w:rFonts w:eastAsia="Times New Roman" w:cs="Times New Roman"/>
          <w:szCs w:val="24"/>
          <w:lang w:eastAsia="ru-RU"/>
        </w:rPr>
        <w:t>s veidus</w:t>
      </w:r>
      <w:r>
        <w:rPr>
          <w:rFonts w:eastAsia="Times New Roman" w:cs="Times New Roman"/>
          <w:szCs w:val="24"/>
          <w:lang w:eastAsia="ru-RU"/>
        </w:rPr>
        <w:t>,</w:t>
      </w:r>
      <w:r w:rsidR="00886708">
        <w:rPr>
          <w:rFonts w:eastAsia="Times New Roman" w:cs="Times New Roman"/>
          <w:szCs w:val="24"/>
          <w:lang w:eastAsia="ru-RU"/>
        </w:rPr>
        <w:t xml:space="preserve"> nav i</w:t>
      </w:r>
      <w:r w:rsidR="00F85C51">
        <w:rPr>
          <w:rFonts w:eastAsia="Times New Roman" w:cs="Times New Roman"/>
          <w:szCs w:val="24"/>
          <w:lang w:eastAsia="ru-RU"/>
        </w:rPr>
        <w:t xml:space="preserve">emesls, lai atzītu, ka rīkojumā ietvertie ierobežojumi </w:t>
      </w:r>
      <w:r w:rsidR="00123E4A">
        <w:rPr>
          <w:rFonts w:eastAsia="Times New Roman" w:cs="Times New Roman"/>
          <w:szCs w:val="24"/>
          <w:lang w:eastAsia="ru-RU"/>
        </w:rPr>
        <w:t>būtu ierobežojuši</w:t>
      </w:r>
      <w:r w:rsidR="00886708">
        <w:rPr>
          <w:rFonts w:eastAsia="Times New Roman" w:cs="Times New Roman"/>
          <w:szCs w:val="24"/>
          <w:lang w:eastAsia="ru-RU"/>
        </w:rPr>
        <w:t xml:space="preserve"> arī iniciatīvas grupas tiesības vākt parakstus.</w:t>
      </w:r>
    </w:p>
    <w:p w14:paraId="299469E7" w14:textId="77777777" w:rsidR="00886708" w:rsidRDefault="00886708" w:rsidP="0013701D">
      <w:pPr>
        <w:spacing w:after="0" w:line="276" w:lineRule="auto"/>
        <w:ind w:firstLine="720"/>
        <w:jc w:val="both"/>
        <w:rPr>
          <w:rFonts w:eastAsia="Times New Roman" w:cs="Times New Roman"/>
          <w:szCs w:val="24"/>
          <w:lang w:eastAsia="ru-RU"/>
        </w:rPr>
      </w:pPr>
    </w:p>
    <w:p w14:paraId="15348F1E" w14:textId="0238A9FC" w:rsidR="00886708" w:rsidRDefault="00AC58A2" w:rsidP="0013701D">
      <w:pPr>
        <w:spacing w:after="0" w:line="276" w:lineRule="auto"/>
        <w:ind w:firstLine="720"/>
        <w:jc w:val="both"/>
        <w:rPr>
          <w:rFonts w:eastAsia="Times New Roman" w:cs="Times New Roman"/>
          <w:szCs w:val="24"/>
          <w:lang w:eastAsia="ru-RU"/>
        </w:rPr>
      </w:pPr>
      <w:r>
        <w:rPr>
          <w:rFonts w:eastAsia="Times New Roman" w:cs="Times New Roman"/>
          <w:szCs w:val="24"/>
          <w:lang w:eastAsia="ru-RU"/>
        </w:rPr>
        <w:t>[8</w:t>
      </w:r>
      <w:r w:rsidR="00886708">
        <w:rPr>
          <w:rFonts w:eastAsia="Times New Roman" w:cs="Times New Roman"/>
          <w:szCs w:val="24"/>
          <w:lang w:eastAsia="ru-RU"/>
        </w:rPr>
        <w:t>] </w:t>
      </w:r>
      <w:r w:rsidR="00330E3E">
        <w:rPr>
          <w:rFonts w:eastAsia="Times New Roman" w:cs="Times New Roman"/>
          <w:szCs w:val="24"/>
          <w:lang w:eastAsia="ru-RU"/>
        </w:rPr>
        <w:t xml:space="preserve">Pieteicēja iebilst pret to, ka </w:t>
      </w:r>
      <w:r w:rsidR="00A3045B">
        <w:rPr>
          <w:rFonts w:eastAsia="Times New Roman" w:cs="Times New Roman"/>
          <w:szCs w:val="24"/>
          <w:lang w:eastAsia="ru-RU"/>
        </w:rPr>
        <w:t>tika</w:t>
      </w:r>
      <w:r w:rsidR="00330E3E">
        <w:rPr>
          <w:rFonts w:eastAsia="Times New Roman" w:cs="Times New Roman"/>
          <w:szCs w:val="24"/>
          <w:lang w:eastAsia="ru-RU"/>
        </w:rPr>
        <w:t xml:space="preserve"> ierobežotas tās tiesības veikt priekšvēlēšanu aģitāciju, kā arī aģitēt par likumprojektu iniciatīvām.</w:t>
      </w:r>
      <w:r w:rsidR="008305F8">
        <w:rPr>
          <w:rFonts w:eastAsia="Times New Roman" w:cs="Times New Roman"/>
          <w:szCs w:val="24"/>
          <w:lang w:eastAsia="ru-RU"/>
        </w:rPr>
        <w:t xml:space="preserve"> </w:t>
      </w:r>
      <w:r w:rsidR="00330E3E">
        <w:rPr>
          <w:rFonts w:eastAsia="Times New Roman" w:cs="Times New Roman"/>
          <w:szCs w:val="24"/>
          <w:lang w:eastAsia="ru-RU"/>
        </w:rPr>
        <w:t>P</w:t>
      </w:r>
      <w:r w:rsidR="008305F8">
        <w:rPr>
          <w:rFonts w:eastAsia="Times New Roman" w:cs="Times New Roman"/>
          <w:szCs w:val="24"/>
          <w:lang w:eastAsia="ru-RU"/>
        </w:rPr>
        <w:t xml:space="preserve">ieteicēja norāda, ka Priekšvēlēšanu aģitācijas likuma 20., 21. un </w:t>
      </w:r>
      <w:proofErr w:type="gramStart"/>
      <w:r w:rsidR="008305F8">
        <w:rPr>
          <w:rFonts w:eastAsia="Times New Roman" w:cs="Times New Roman"/>
          <w:szCs w:val="24"/>
          <w:lang w:eastAsia="ru-RU"/>
        </w:rPr>
        <w:t>22.pants</w:t>
      </w:r>
      <w:proofErr w:type="gramEnd"/>
      <w:r w:rsidR="008305F8">
        <w:rPr>
          <w:rFonts w:eastAsia="Times New Roman" w:cs="Times New Roman"/>
          <w:szCs w:val="24"/>
          <w:lang w:eastAsia="ru-RU"/>
        </w:rPr>
        <w:t xml:space="preserve"> paredz priekšvēlēšanu aģitāciju publiskās vietās. Minētās normas </w:t>
      </w:r>
      <w:r w:rsidR="00426079">
        <w:rPr>
          <w:rFonts w:eastAsia="Times New Roman" w:cs="Times New Roman"/>
          <w:szCs w:val="24"/>
          <w:lang w:eastAsia="ru-RU"/>
        </w:rPr>
        <w:t>regulē t</w:t>
      </w:r>
      <w:r w:rsidR="00426079" w:rsidRPr="00426079">
        <w:rPr>
          <w:rFonts w:eastAsia="Times New Roman" w:cs="Times New Roman"/>
          <w:szCs w:val="24"/>
          <w:lang w:eastAsia="ru-RU"/>
        </w:rPr>
        <w:t>iesības izplatīt priekšvēlēšanu aģitācijas materiālus publiskās vietās</w:t>
      </w:r>
      <w:r w:rsidR="00426079">
        <w:rPr>
          <w:rFonts w:eastAsia="Times New Roman" w:cs="Times New Roman"/>
          <w:szCs w:val="24"/>
          <w:lang w:eastAsia="ru-RU"/>
        </w:rPr>
        <w:t>, g</w:t>
      </w:r>
      <w:r w:rsidR="00426079" w:rsidRPr="00426079">
        <w:rPr>
          <w:rFonts w:eastAsia="Times New Roman" w:cs="Times New Roman"/>
          <w:szCs w:val="24"/>
          <w:lang w:eastAsia="ru-RU"/>
        </w:rPr>
        <w:t xml:space="preserve">aldu, telšu un </w:t>
      </w:r>
      <w:r w:rsidR="008B1B89">
        <w:rPr>
          <w:rFonts w:eastAsia="Times New Roman" w:cs="Times New Roman"/>
          <w:szCs w:val="24"/>
          <w:lang w:eastAsia="ru-RU"/>
        </w:rPr>
        <w:t>pārvietojamu nojumju izmantošanu</w:t>
      </w:r>
      <w:r w:rsidR="00426079" w:rsidRPr="00426079">
        <w:rPr>
          <w:rFonts w:eastAsia="Times New Roman" w:cs="Times New Roman"/>
          <w:szCs w:val="24"/>
          <w:lang w:eastAsia="ru-RU"/>
        </w:rPr>
        <w:t xml:space="preserve"> priekšvēlēšanu aģitācijai publiskās lietošanas ārtelpās</w:t>
      </w:r>
      <w:r w:rsidR="00426079">
        <w:rPr>
          <w:rFonts w:eastAsia="Times New Roman" w:cs="Times New Roman"/>
          <w:szCs w:val="24"/>
          <w:lang w:eastAsia="ru-RU"/>
        </w:rPr>
        <w:t>, p</w:t>
      </w:r>
      <w:r w:rsidR="00426079" w:rsidRPr="00426079">
        <w:rPr>
          <w:rFonts w:eastAsia="Times New Roman" w:cs="Times New Roman"/>
          <w:szCs w:val="24"/>
          <w:lang w:eastAsia="ru-RU"/>
        </w:rPr>
        <w:t xml:space="preserve">riekšvēlēšanu </w:t>
      </w:r>
      <w:r w:rsidR="008B1B89">
        <w:rPr>
          <w:rFonts w:eastAsia="Times New Roman" w:cs="Times New Roman"/>
          <w:szCs w:val="24"/>
          <w:lang w:eastAsia="ru-RU"/>
        </w:rPr>
        <w:t>aģitācijas materiālu izvietošanu</w:t>
      </w:r>
      <w:r w:rsidR="00426079" w:rsidRPr="00426079">
        <w:rPr>
          <w:rFonts w:eastAsia="Times New Roman" w:cs="Times New Roman"/>
          <w:szCs w:val="24"/>
          <w:lang w:eastAsia="ru-RU"/>
        </w:rPr>
        <w:t xml:space="preserve"> publiskās vietās</w:t>
      </w:r>
      <w:r w:rsidR="007A5A37">
        <w:rPr>
          <w:rFonts w:eastAsia="Times New Roman" w:cs="Times New Roman"/>
          <w:szCs w:val="24"/>
          <w:lang w:eastAsia="ru-RU"/>
        </w:rPr>
        <w:t>.</w:t>
      </w:r>
    </w:p>
    <w:p w14:paraId="34F3627C" w14:textId="6B807AF9" w:rsidR="000F65E1" w:rsidRDefault="004B036F" w:rsidP="0013701D">
      <w:pPr>
        <w:spacing w:after="0" w:line="276" w:lineRule="auto"/>
        <w:ind w:firstLine="720"/>
        <w:jc w:val="both"/>
        <w:rPr>
          <w:rFonts w:eastAsia="Times New Roman" w:cs="Times New Roman"/>
          <w:szCs w:val="24"/>
          <w:lang w:eastAsia="ru-RU"/>
        </w:rPr>
      </w:pPr>
      <w:r>
        <w:rPr>
          <w:rFonts w:eastAsia="Times New Roman" w:cs="Times New Roman"/>
          <w:szCs w:val="24"/>
          <w:lang w:eastAsia="ru-RU"/>
        </w:rPr>
        <w:t>No pieteikuma un blakus sūdzības objektīvi saprotams, ka aģitācijas ierobežojumus pieteicēja saista ar rīkojuma 4.5.</w:t>
      </w:r>
      <w:r w:rsidR="003B4E4A">
        <w:rPr>
          <w:rFonts w:eastAsia="Times New Roman" w:cs="Times New Roman"/>
          <w:szCs w:val="24"/>
          <w:lang w:eastAsia="ru-RU"/>
        </w:rPr>
        <w:t>apakš</w:t>
      </w:r>
      <w:r>
        <w:rPr>
          <w:rFonts w:eastAsia="Times New Roman" w:cs="Times New Roman"/>
          <w:szCs w:val="24"/>
          <w:lang w:eastAsia="ru-RU"/>
        </w:rPr>
        <w:t>punktu</w:t>
      </w:r>
      <w:r w:rsidR="00B673A5">
        <w:rPr>
          <w:rFonts w:eastAsia="Times New Roman" w:cs="Times New Roman"/>
          <w:szCs w:val="24"/>
          <w:lang w:eastAsia="ru-RU"/>
        </w:rPr>
        <w:t>, kas aizliedz</w:t>
      </w:r>
      <w:r w:rsidR="00A3045B">
        <w:rPr>
          <w:rFonts w:eastAsia="Times New Roman" w:cs="Times New Roman"/>
          <w:szCs w:val="24"/>
          <w:lang w:eastAsia="ru-RU"/>
        </w:rPr>
        <w:t>a</w:t>
      </w:r>
      <w:r w:rsidR="00B673A5">
        <w:rPr>
          <w:rFonts w:eastAsia="Times New Roman" w:cs="Times New Roman"/>
          <w:szCs w:val="24"/>
          <w:lang w:eastAsia="ru-RU"/>
        </w:rPr>
        <w:t xml:space="preserve"> </w:t>
      </w:r>
      <w:r w:rsidRPr="004B036F">
        <w:rPr>
          <w:rFonts w:eastAsia="Times New Roman" w:cs="Times New Roman"/>
          <w:szCs w:val="24"/>
          <w:lang w:eastAsia="ru-RU"/>
        </w:rPr>
        <w:t>jebkādus publiskus pasākumus (saskaņā ar Publisku izklaides un svētku pasākumu drošības likumā noteikto definīciju);</w:t>
      </w:r>
      <w:r w:rsidR="00B673A5">
        <w:rPr>
          <w:rFonts w:eastAsia="Times New Roman" w:cs="Times New Roman"/>
          <w:szCs w:val="24"/>
          <w:lang w:eastAsia="ru-RU"/>
        </w:rPr>
        <w:t xml:space="preserve"> </w:t>
      </w:r>
      <w:r w:rsidRPr="004B036F">
        <w:rPr>
          <w:rFonts w:eastAsia="Times New Roman" w:cs="Times New Roman"/>
          <w:szCs w:val="24"/>
          <w:lang w:eastAsia="ru-RU"/>
        </w:rPr>
        <w:t>sapulces, gājienus</w:t>
      </w:r>
      <w:r w:rsidR="00FC28B5">
        <w:rPr>
          <w:rFonts w:eastAsia="Times New Roman" w:cs="Times New Roman"/>
          <w:szCs w:val="24"/>
          <w:lang w:eastAsia="ru-RU"/>
        </w:rPr>
        <w:t xml:space="preserve"> un piketus </w:t>
      </w:r>
      <w:proofErr w:type="gramStart"/>
      <w:r w:rsidR="00FC28B5">
        <w:rPr>
          <w:rFonts w:eastAsia="Times New Roman" w:cs="Times New Roman"/>
          <w:szCs w:val="24"/>
          <w:lang w:eastAsia="ru-RU"/>
        </w:rPr>
        <w:t>(</w:t>
      </w:r>
      <w:proofErr w:type="gramEnd"/>
      <w:r w:rsidR="00FC28B5">
        <w:rPr>
          <w:rFonts w:eastAsia="Times New Roman" w:cs="Times New Roman"/>
          <w:szCs w:val="24"/>
          <w:lang w:eastAsia="ru-RU"/>
        </w:rPr>
        <w:t>saskaņā ar likuma „</w:t>
      </w:r>
      <w:r w:rsidRPr="004B036F">
        <w:rPr>
          <w:rFonts w:eastAsia="Times New Roman" w:cs="Times New Roman"/>
          <w:szCs w:val="24"/>
          <w:lang w:eastAsia="ru-RU"/>
        </w:rPr>
        <w:t xml:space="preserve">Par </w:t>
      </w:r>
      <w:r w:rsidR="00FC28B5">
        <w:rPr>
          <w:rFonts w:eastAsia="Times New Roman" w:cs="Times New Roman"/>
          <w:szCs w:val="24"/>
          <w:lang w:eastAsia="ru-RU"/>
        </w:rPr>
        <w:t>sapulcēm, gājieniem un piketiem”</w:t>
      </w:r>
      <w:r w:rsidRPr="004B036F">
        <w:rPr>
          <w:rFonts w:eastAsia="Times New Roman" w:cs="Times New Roman"/>
          <w:szCs w:val="24"/>
          <w:lang w:eastAsia="ru-RU"/>
        </w:rPr>
        <w:t xml:space="preserve"> noteiktajām definīcijām);</w:t>
      </w:r>
      <w:r w:rsidR="00B673A5">
        <w:rPr>
          <w:rFonts w:eastAsia="Times New Roman" w:cs="Times New Roman"/>
          <w:szCs w:val="24"/>
          <w:lang w:eastAsia="ru-RU"/>
        </w:rPr>
        <w:t xml:space="preserve"> </w:t>
      </w:r>
      <w:r w:rsidRPr="004B036F">
        <w:rPr>
          <w:rFonts w:eastAsia="Times New Roman" w:cs="Times New Roman"/>
          <w:szCs w:val="24"/>
          <w:lang w:eastAsia="ru-RU"/>
        </w:rPr>
        <w:t>reliģiskās darb</w:t>
      </w:r>
      <w:r w:rsidR="00B673A5">
        <w:rPr>
          <w:rFonts w:eastAsia="Times New Roman" w:cs="Times New Roman"/>
          <w:szCs w:val="24"/>
          <w:lang w:eastAsia="ru-RU"/>
        </w:rPr>
        <w:t xml:space="preserve">ības, kas veicamas pulcējoties; </w:t>
      </w:r>
      <w:r w:rsidRPr="004B036F">
        <w:rPr>
          <w:rFonts w:eastAsia="Times New Roman" w:cs="Times New Roman"/>
          <w:szCs w:val="24"/>
          <w:lang w:eastAsia="ru-RU"/>
        </w:rPr>
        <w:t>tel</w:t>
      </w:r>
      <w:r w:rsidR="00B673A5">
        <w:rPr>
          <w:rFonts w:eastAsia="Times New Roman" w:cs="Times New Roman"/>
          <w:szCs w:val="24"/>
          <w:lang w:eastAsia="ru-RU"/>
        </w:rPr>
        <w:t xml:space="preserve">pu sporta norišu vietu darbību; </w:t>
      </w:r>
      <w:r w:rsidRPr="004B036F">
        <w:rPr>
          <w:rFonts w:eastAsia="Times New Roman" w:cs="Times New Roman"/>
          <w:szCs w:val="24"/>
          <w:lang w:eastAsia="ru-RU"/>
        </w:rPr>
        <w:t>jebkādus privātus pasākumus, izņemot bēru ceremoniju noturēšanu ārtelpās un kristību ceremoniju noturēšanu neatliekamos gadījumos, ja tiek ievērota savstarpējā divu metru distance starp personām un citi epid</w:t>
      </w:r>
      <w:r w:rsidR="00B673A5">
        <w:rPr>
          <w:rFonts w:eastAsia="Times New Roman" w:cs="Times New Roman"/>
          <w:szCs w:val="24"/>
          <w:lang w:eastAsia="ru-RU"/>
        </w:rPr>
        <w:t xml:space="preserve">emioloģiskās drošības noteikumi. </w:t>
      </w:r>
    </w:p>
    <w:p w14:paraId="01EB66E6" w14:textId="632871A3" w:rsidR="00F523FB" w:rsidRDefault="00546057" w:rsidP="0013701D">
      <w:pPr>
        <w:spacing w:after="0" w:line="276" w:lineRule="auto"/>
        <w:ind w:firstLine="720"/>
        <w:jc w:val="both"/>
        <w:rPr>
          <w:rFonts w:eastAsia="Times New Roman" w:cs="Times New Roman"/>
          <w:szCs w:val="24"/>
          <w:lang w:eastAsia="ru-RU"/>
        </w:rPr>
      </w:pPr>
      <w:r>
        <w:rPr>
          <w:rFonts w:eastAsia="Times New Roman" w:cs="Times New Roman"/>
          <w:szCs w:val="24"/>
          <w:lang w:eastAsia="ru-RU"/>
        </w:rPr>
        <w:t>Senāts neapšauba, ka rīkojumā noteiktie ierobežojumi var</w:t>
      </w:r>
      <w:r w:rsidR="00F242D5">
        <w:rPr>
          <w:rFonts w:eastAsia="Times New Roman" w:cs="Times New Roman"/>
          <w:szCs w:val="24"/>
          <w:lang w:eastAsia="ru-RU"/>
        </w:rPr>
        <w:t>ēja</w:t>
      </w:r>
      <w:r>
        <w:rPr>
          <w:rFonts w:eastAsia="Times New Roman" w:cs="Times New Roman"/>
          <w:szCs w:val="24"/>
          <w:lang w:eastAsia="ru-RU"/>
        </w:rPr>
        <w:t xml:space="preserve"> apgrūtināt aģitācijas veikšanu, kas ietver saskarsmi ar vēlētājiem, piemēram,</w:t>
      </w:r>
      <w:r w:rsidR="00C216CE">
        <w:rPr>
          <w:rFonts w:eastAsia="Times New Roman" w:cs="Times New Roman"/>
          <w:szCs w:val="24"/>
          <w:lang w:eastAsia="ru-RU"/>
        </w:rPr>
        <w:t xml:space="preserve"> vēlētāju uzrunāšanu,</w:t>
      </w:r>
      <w:r>
        <w:rPr>
          <w:rFonts w:eastAsia="Times New Roman" w:cs="Times New Roman"/>
          <w:szCs w:val="24"/>
          <w:lang w:eastAsia="ru-RU"/>
        </w:rPr>
        <w:t xml:space="preserve"> bukletu </w:t>
      </w:r>
      <w:r w:rsidR="00C216CE">
        <w:rPr>
          <w:rFonts w:eastAsia="Times New Roman" w:cs="Times New Roman"/>
          <w:szCs w:val="24"/>
          <w:lang w:eastAsia="ru-RU"/>
        </w:rPr>
        <w:t xml:space="preserve">u.c. vēlēšanas materiālu </w:t>
      </w:r>
      <w:r w:rsidR="00FD110E">
        <w:rPr>
          <w:rFonts w:eastAsia="Times New Roman" w:cs="Times New Roman"/>
          <w:szCs w:val="24"/>
          <w:lang w:eastAsia="ru-RU"/>
        </w:rPr>
        <w:t>dalīšanu</w:t>
      </w:r>
      <w:r w:rsidR="00B51A38">
        <w:rPr>
          <w:rFonts w:eastAsia="Times New Roman" w:cs="Times New Roman"/>
          <w:szCs w:val="24"/>
          <w:lang w:eastAsia="ru-RU"/>
        </w:rPr>
        <w:t xml:space="preserve">, kā arī aģitāciju, kas saistīta ar </w:t>
      </w:r>
      <w:r w:rsidR="006F1833">
        <w:rPr>
          <w:rFonts w:eastAsia="Times New Roman" w:cs="Times New Roman"/>
          <w:szCs w:val="24"/>
          <w:lang w:eastAsia="ru-RU"/>
        </w:rPr>
        <w:t xml:space="preserve">cilvēku pulcēšanos. </w:t>
      </w:r>
      <w:r w:rsidR="00F242D5">
        <w:rPr>
          <w:rFonts w:eastAsia="Times New Roman" w:cs="Times New Roman"/>
          <w:szCs w:val="24"/>
          <w:lang w:eastAsia="ru-RU"/>
        </w:rPr>
        <w:t>Vienlaikus</w:t>
      </w:r>
      <w:r w:rsidR="002C61ED">
        <w:rPr>
          <w:rFonts w:eastAsia="Times New Roman" w:cs="Times New Roman"/>
          <w:szCs w:val="24"/>
          <w:lang w:eastAsia="ru-RU"/>
        </w:rPr>
        <w:t xml:space="preserve"> nav konstatējams, ka</w:t>
      </w:r>
      <w:r w:rsidR="00F242D5">
        <w:rPr>
          <w:rFonts w:eastAsia="Times New Roman" w:cs="Times New Roman"/>
          <w:szCs w:val="24"/>
          <w:lang w:eastAsia="ru-RU"/>
        </w:rPr>
        <w:t xml:space="preserve"> rīkojums</w:t>
      </w:r>
      <w:r w:rsidR="0061602D">
        <w:rPr>
          <w:rFonts w:eastAsia="Times New Roman" w:cs="Times New Roman"/>
          <w:szCs w:val="24"/>
          <w:lang w:eastAsia="ru-RU"/>
        </w:rPr>
        <w:t xml:space="preserve"> </w:t>
      </w:r>
      <w:r w:rsidR="002C61ED">
        <w:rPr>
          <w:rFonts w:eastAsia="Times New Roman" w:cs="Times New Roman"/>
          <w:szCs w:val="24"/>
          <w:lang w:eastAsia="ru-RU"/>
        </w:rPr>
        <w:t xml:space="preserve">paredzētu </w:t>
      </w:r>
      <w:r w:rsidR="0061602D">
        <w:rPr>
          <w:rFonts w:eastAsia="Times New Roman" w:cs="Times New Roman"/>
          <w:szCs w:val="24"/>
          <w:lang w:eastAsia="ru-RU"/>
        </w:rPr>
        <w:t>tādus ierobežojumus, kas</w:t>
      </w:r>
      <w:r w:rsidR="000A74DD">
        <w:rPr>
          <w:rFonts w:eastAsia="Times New Roman" w:cs="Times New Roman"/>
          <w:szCs w:val="24"/>
          <w:lang w:eastAsia="ru-RU"/>
        </w:rPr>
        <w:t xml:space="preserve"> pieteicējai</w:t>
      </w:r>
      <w:r w:rsidR="00F242D5">
        <w:rPr>
          <w:rFonts w:eastAsia="Times New Roman" w:cs="Times New Roman"/>
          <w:szCs w:val="24"/>
          <w:lang w:eastAsia="ru-RU"/>
        </w:rPr>
        <w:t xml:space="preserve"> būtu pilnībā aizlieguši</w:t>
      </w:r>
      <w:r w:rsidR="0061602D">
        <w:rPr>
          <w:rFonts w:eastAsia="Times New Roman" w:cs="Times New Roman"/>
          <w:szCs w:val="24"/>
          <w:lang w:eastAsia="ru-RU"/>
        </w:rPr>
        <w:t xml:space="preserve"> aģitāciju</w:t>
      </w:r>
      <w:r w:rsidR="006F1833">
        <w:rPr>
          <w:rFonts w:eastAsia="Times New Roman" w:cs="Times New Roman"/>
          <w:szCs w:val="24"/>
          <w:lang w:eastAsia="ru-RU"/>
        </w:rPr>
        <w:t>, piemēram, aģitāciju internetā, plašsaziņas līdzekļos, preses izdevumos</w:t>
      </w:r>
      <w:r w:rsidR="00DF5EFF">
        <w:rPr>
          <w:rFonts w:eastAsia="Times New Roman" w:cs="Times New Roman"/>
          <w:szCs w:val="24"/>
          <w:lang w:eastAsia="ru-RU"/>
        </w:rPr>
        <w:t xml:space="preserve"> u.tml</w:t>
      </w:r>
      <w:r w:rsidR="0061602D">
        <w:rPr>
          <w:rFonts w:eastAsia="Times New Roman" w:cs="Times New Roman"/>
          <w:szCs w:val="24"/>
          <w:lang w:eastAsia="ru-RU"/>
        </w:rPr>
        <w:t>.</w:t>
      </w:r>
      <w:r w:rsidR="006F1833">
        <w:rPr>
          <w:rFonts w:eastAsia="Times New Roman" w:cs="Times New Roman"/>
          <w:szCs w:val="24"/>
          <w:lang w:eastAsia="ru-RU"/>
        </w:rPr>
        <w:t xml:space="preserve"> Arī Priekšvēlē</w:t>
      </w:r>
      <w:r w:rsidR="000709AE">
        <w:rPr>
          <w:rFonts w:eastAsia="Times New Roman" w:cs="Times New Roman"/>
          <w:szCs w:val="24"/>
          <w:lang w:eastAsia="ru-RU"/>
        </w:rPr>
        <w:t xml:space="preserve">šanu aģitācijas likuma </w:t>
      </w:r>
      <w:proofErr w:type="gramStart"/>
      <w:r w:rsidR="000709AE">
        <w:rPr>
          <w:rFonts w:eastAsia="Times New Roman" w:cs="Times New Roman"/>
          <w:szCs w:val="24"/>
          <w:lang w:eastAsia="ru-RU"/>
        </w:rPr>
        <w:t>22.pants</w:t>
      </w:r>
      <w:proofErr w:type="gramEnd"/>
      <w:r w:rsidR="00DF5EFF">
        <w:rPr>
          <w:rFonts w:eastAsia="Times New Roman" w:cs="Times New Roman"/>
          <w:szCs w:val="24"/>
          <w:lang w:eastAsia="ru-RU"/>
        </w:rPr>
        <w:t>, uz kuru atsaucas pieteicēja un kurš paredz aģitācijas materiālu izvietošanu publiskās vietās (</w:t>
      </w:r>
      <w:r w:rsidR="00DF5EFF" w:rsidRPr="00DF5EFF">
        <w:rPr>
          <w:rFonts w:eastAsia="Times New Roman" w:cs="Times New Roman"/>
          <w:szCs w:val="24"/>
          <w:lang w:eastAsia="ru-RU"/>
        </w:rPr>
        <w:t xml:space="preserve">izkārtnes, stendi, afišas, tāfeles, </w:t>
      </w:r>
      <w:proofErr w:type="spellStart"/>
      <w:r w:rsidR="00DF5EFF" w:rsidRPr="00DF5EFF">
        <w:rPr>
          <w:rFonts w:eastAsia="Times New Roman" w:cs="Times New Roman"/>
          <w:szCs w:val="24"/>
          <w:lang w:eastAsia="ru-RU"/>
        </w:rPr>
        <w:t>slietņi</w:t>
      </w:r>
      <w:proofErr w:type="spellEnd"/>
      <w:r w:rsidR="00DF5EFF" w:rsidRPr="00DF5EFF">
        <w:rPr>
          <w:rFonts w:eastAsia="Times New Roman" w:cs="Times New Roman"/>
          <w:szCs w:val="24"/>
          <w:lang w:eastAsia="ru-RU"/>
        </w:rPr>
        <w:t>, novietoti plakāti, reklāma skatlogos un citi tamlīdzīgi reklāmas objekti</w:t>
      </w:r>
      <w:r w:rsidR="00DF5EFF">
        <w:rPr>
          <w:rFonts w:eastAsia="Times New Roman" w:cs="Times New Roman"/>
          <w:szCs w:val="24"/>
          <w:lang w:eastAsia="ru-RU"/>
        </w:rPr>
        <w:t>)</w:t>
      </w:r>
      <w:r w:rsidR="007C0462">
        <w:rPr>
          <w:rFonts w:eastAsia="Times New Roman" w:cs="Times New Roman"/>
          <w:szCs w:val="24"/>
          <w:lang w:eastAsia="ru-RU"/>
        </w:rPr>
        <w:t>,</w:t>
      </w:r>
      <w:r w:rsidR="00DF5EFF">
        <w:rPr>
          <w:rFonts w:eastAsia="Times New Roman" w:cs="Times New Roman"/>
          <w:szCs w:val="24"/>
          <w:lang w:eastAsia="ru-RU"/>
        </w:rPr>
        <w:t xml:space="preserve"> nav saistīts ar cilvēku pulcēšanos un uz to nebūtu attiecināms rīkojuma 4.5.apakšpunkts.</w:t>
      </w:r>
      <w:r w:rsidR="002128A9">
        <w:rPr>
          <w:rFonts w:eastAsia="Times New Roman" w:cs="Times New Roman"/>
          <w:szCs w:val="24"/>
          <w:lang w:eastAsia="ru-RU"/>
        </w:rPr>
        <w:t xml:space="preserve"> Pieteicēja formāli atsaucas uz rīkojuma 4.5.apakšpunktu, tomēr</w:t>
      </w:r>
      <w:r w:rsidR="007C0462">
        <w:rPr>
          <w:rFonts w:eastAsia="Times New Roman" w:cs="Times New Roman"/>
          <w:szCs w:val="24"/>
          <w:lang w:eastAsia="ru-RU"/>
        </w:rPr>
        <w:t xml:space="preserve"> nenorāda</w:t>
      </w:r>
      <w:r w:rsidR="00F54A01">
        <w:rPr>
          <w:rFonts w:eastAsia="Times New Roman" w:cs="Times New Roman"/>
          <w:szCs w:val="24"/>
          <w:lang w:eastAsia="ru-RU"/>
        </w:rPr>
        <w:t xml:space="preserve"> konkrētus apstākļus</w:t>
      </w:r>
      <w:r w:rsidR="007C0462">
        <w:rPr>
          <w:rFonts w:eastAsia="Times New Roman" w:cs="Times New Roman"/>
          <w:szCs w:val="24"/>
          <w:lang w:eastAsia="ru-RU"/>
        </w:rPr>
        <w:t>, kādēļ rīkojuma 4.5.apakšpunkts būtu pārmērīgs vai nesamērīgs attiecībā uz pieteicējas tiesībām veikt aģit</w:t>
      </w:r>
      <w:r w:rsidR="002128A9">
        <w:rPr>
          <w:rFonts w:eastAsia="Times New Roman" w:cs="Times New Roman"/>
          <w:szCs w:val="24"/>
          <w:lang w:eastAsia="ru-RU"/>
        </w:rPr>
        <w:t>āciju. I</w:t>
      </w:r>
      <w:r w:rsidR="007C0462">
        <w:rPr>
          <w:rFonts w:eastAsia="Times New Roman" w:cs="Times New Roman"/>
          <w:szCs w:val="24"/>
          <w:lang w:eastAsia="ru-RU"/>
        </w:rPr>
        <w:t xml:space="preserve">evērojot </w:t>
      </w:r>
      <w:r w:rsidR="00F54A01">
        <w:rPr>
          <w:rFonts w:eastAsia="Times New Roman" w:cs="Times New Roman"/>
          <w:szCs w:val="24"/>
          <w:lang w:eastAsia="ru-RU"/>
        </w:rPr>
        <w:t xml:space="preserve">jau </w:t>
      </w:r>
      <w:r w:rsidR="007C0462">
        <w:rPr>
          <w:rFonts w:eastAsia="Times New Roman" w:cs="Times New Roman"/>
          <w:szCs w:val="24"/>
          <w:lang w:eastAsia="ru-RU"/>
        </w:rPr>
        <w:t>norādītos apsvērumus, arī Senāts to nesaskata.</w:t>
      </w:r>
      <w:r w:rsidR="00CE11F2">
        <w:rPr>
          <w:rFonts w:eastAsia="Times New Roman" w:cs="Times New Roman"/>
          <w:szCs w:val="24"/>
          <w:lang w:eastAsia="ru-RU"/>
        </w:rPr>
        <w:t xml:space="preserve"> </w:t>
      </w:r>
    </w:p>
    <w:p w14:paraId="23630CB3" w14:textId="77777777" w:rsidR="0061602D" w:rsidRDefault="0061602D" w:rsidP="0013701D">
      <w:pPr>
        <w:spacing w:after="0" w:line="276" w:lineRule="auto"/>
        <w:ind w:firstLine="720"/>
        <w:jc w:val="both"/>
        <w:rPr>
          <w:rFonts w:eastAsia="Times New Roman" w:cs="Times New Roman"/>
          <w:szCs w:val="24"/>
          <w:lang w:eastAsia="ru-RU"/>
        </w:rPr>
      </w:pPr>
    </w:p>
    <w:p w14:paraId="2058FFB2" w14:textId="483E2729" w:rsidR="005A6F9B" w:rsidRDefault="00AC58A2" w:rsidP="0013701D">
      <w:pPr>
        <w:spacing w:after="0" w:line="276" w:lineRule="auto"/>
        <w:ind w:firstLine="720"/>
        <w:jc w:val="both"/>
        <w:rPr>
          <w:rFonts w:eastAsia="Times New Roman" w:cs="Times New Roman"/>
          <w:szCs w:val="24"/>
          <w:lang w:eastAsia="ru-RU"/>
        </w:rPr>
      </w:pPr>
      <w:r>
        <w:rPr>
          <w:rFonts w:eastAsia="Times New Roman" w:cs="Times New Roman"/>
          <w:szCs w:val="24"/>
          <w:lang w:eastAsia="ru-RU"/>
        </w:rPr>
        <w:t>[9</w:t>
      </w:r>
      <w:r w:rsidR="0061602D">
        <w:rPr>
          <w:rFonts w:eastAsia="Times New Roman" w:cs="Times New Roman"/>
          <w:szCs w:val="24"/>
          <w:lang w:eastAsia="ru-RU"/>
        </w:rPr>
        <w:t>] P</w:t>
      </w:r>
      <w:r w:rsidR="0061602D" w:rsidRPr="0061602D">
        <w:rPr>
          <w:rFonts w:eastAsia="Times New Roman" w:cs="Times New Roman"/>
          <w:szCs w:val="24"/>
          <w:lang w:eastAsia="ru-RU"/>
        </w:rPr>
        <w:t>ieteicējas ieskatā nesamērīgs ir rīkojuma 4.12, 4.5.5., 4.5.</w:t>
      </w:r>
      <w:r w:rsidR="0061602D" w:rsidRPr="007A47DD">
        <w:rPr>
          <w:rFonts w:eastAsia="Times New Roman" w:cs="Times New Roman"/>
          <w:szCs w:val="24"/>
          <w:vertAlign w:val="superscript"/>
          <w:lang w:eastAsia="ru-RU"/>
        </w:rPr>
        <w:t>2</w:t>
      </w:r>
      <w:r w:rsidR="0061602D" w:rsidRPr="0061602D">
        <w:rPr>
          <w:rFonts w:eastAsia="Times New Roman" w:cs="Times New Roman"/>
          <w:szCs w:val="24"/>
          <w:lang w:eastAsia="ru-RU"/>
        </w:rPr>
        <w:t>1 un 4.5.</w:t>
      </w:r>
      <w:r w:rsidR="0061602D" w:rsidRPr="007A47DD">
        <w:rPr>
          <w:rFonts w:eastAsia="Times New Roman" w:cs="Times New Roman"/>
          <w:szCs w:val="24"/>
          <w:vertAlign w:val="superscript"/>
          <w:lang w:eastAsia="ru-RU"/>
        </w:rPr>
        <w:t>2</w:t>
      </w:r>
      <w:r w:rsidR="0061602D" w:rsidRPr="0061602D">
        <w:rPr>
          <w:rFonts w:eastAsia="Times New Roman" w:cs="Times New Roman"/>
          <w:szCs w:val="24"/>
          <w:lang w:eastAsia="ru-RU"/>
        </w:rPr>
        <w:t>4.</w:t>
      </w:r>
      <w:r w:rsidR="003B4E4A">
        <w:rPr>
          <w:rFonts w:eastAsia="Times New Roman" w:cs="Times New Roman"/>
          <w:szCs w:val="24"/>
          <w:lang w:eastAsia="ru-RU"/>
        </w:rPr>
        <w:t>apakš</w:t>
      </w:r>
      <w:r w:rsidR="0061602D" w:rsidRPr="0061602D">
        <w:rPr>
          <w:rFonts w:eastAsia="Times New Roman" w:cs="Times New Roman"/>
          <w:szCs w:val="24"/>
          <w:lang w:eastAsia="ru-RU"/>
        </w:rPr>
        <w:t>punkts, kas attiecīgi noteic</w:t>
      </w:r>
      <w:r w:rsidR="00F242D5">
        <w:rPr>
          <w:rFonts w:eastAsia="Times New Roman" w:cs="Times New Roman"/>
          <w:szCs w:val="24"/>
          <w:lang w:eastAsia="ru-RU"/>
        </w:rPr>
        <w:t>a</w:t>
      </w:r>
      <w:r w:rsidR="0061602D" w:rsidRPr="0061602D">
        <w:rPr>
          <w:rFonts w:eastAsia="Times New Roman" w:cs="Times New Roman"/>
          <w:szCs w:val="24"/>
          <w:lang w:eastAsia="ru-RU"/>
        </w:rPr>
        <w:t xml:space="preserve"> aizliegumu rīkot privātus pasākumus, izņemot bēru ceremoniju noturēšanu ārtelpās un kristību ceremoniju noturēšanu neatliekamos gadījumos; ierobežojumu personām, atrodoties publiskās vietās ievērot savstarpēju divu metru distanci (attiecas gan uz publiskām iekštelpām, gan publiskām ārtelpām); gadījumus, kad personas var pulcēties, neievērojot divu metru distanci; epidemioloģiskās drošības pasākumus, kuri jāveic personām.</w:t>
      </w:r>
      <w:r w:rsidR="007A47DD">
        <w:rPr>
          <w:rFonts w:eastAsia="Times New Roman" w:cs="Times New Roman"/>
          <w:szCs w:val="24"/>
          <w:lang w:eastAsia="ru-RU"/>
        </w:rPr>
        <w:t xml:space="preserve"> Pieteicēja uzskata, ka šādi ierobežojumi ir nesamērīgi un pārspīlēti, jo Pasaules veselības organizācijas rekomendētā distance starp cilvēkiem ir vairāk kā viens metrs. Tāpat pieteic</w:t>
      </w:r>
      <w:r w:rsidR="009F4AAE">
        <w:rPr>
          <w:rFonts w:eastAsia="Times New Roman" w:cs="Times New Roman"/>
          <w:szCs w:val="24"/>
          <w:lang w:eastAsia="ru-RU"/>
        </w:rPr>
        <w:t>ēja iebilst pret to, ka laika period</w:t>
      </w:r>
      <w:r w:rsidR="00FE3836">
        <w:rPr>
          <w:rFonts w:eastAsia="Times New Roman" w:cs="Times New Roman"/>
          <w:szCs w:val="24"/>
          <w:lang w:eastAsia="ru-RU"/>
        </w:rPr>
        <w:t>s</w:t>
      </w:r>
      <w:r w:rsidR="009E53CA">
        <w:rPr>
          <w:rFonts w:eastAsia="Times New Roman" w:cs="Times New Roman"/>
          <w:szCs w:val="24"/>
          <w:lang w:eastAsia="ru-RU"/>
        </w:rPr>
        <w:t xml:space="preserve">, uz kuru izsludināta </w:t>
      </w:r>
      <w:r w:rsidR="007A47DD">
        <w:rPr>
          <w:rFonts w:eastAsia="Times New Roman" w:cs="Times New Roman"/>
          <w:szCs w:val="24"/>
          <w:lang w:eastAsia="ru-RU"/>
        </w:rPr>
        <w:t>ārkārtēj</w:t>
      </w:r>
      <w:r w:rsidR="009E53CA">
        <w:rPr>
          <w:rFonts w:eastAsia="Times New Roman" w:cs="Times New Roman"/>
          <w:szCs w:val="24"/>
          <w:lang w:eastAsia="ru-RU"/>
        </w:rPr>
        <w:t>ā</w:t>
      </w:r>
      <w:r w:rsidR="007A47DD">
        <w:rPr>
          <w:rFonts w:eastAsia="Times New Roman" w:cs="Times New Roman"/>
          <w:szCs w:val="24"/>
          <w:lang w:eastAsia="ru-RU"/>
        </w:rPr>
        <w:t xml:space="preserve"> situ</w:t>
      </w:r>
      <w:r w:rsidR="009E53CA">
        <w:rPr>
          <w:rFonts w:eastAsia="Times New Roman" w:cs="Times New Roman"/>
          <w:szCs w:val="24"/>
          <w:lang w:eastAsia="ru-RU"/>
        </w:rPr>
        <w:t xml:space="preserve">ācija, esot </w:t>
      </w:r>
      <w:r w:rsidR="00F242D5">
        <w:rPr>
          <w:rFonts w:eastAsia="Times New Roman" w:cs="Times New Roman"/>
          <w:szCs w:val="24"/>
          <w:lang w:eastAsia="ru-RU"/>
        </w:rPr>
        <w:t xml:space="preserve">bijis </w:t>
      </w:r>
      <w:r w:rsidR="009E53CA">
        <w:rPr>
          <w:rFonts w:eastAsia="Times New Roman" w:cs="Times New Roman"/>
          <w:szCs w:val="24"/>
          <w:lang w:eastAsia="ru-RU"/>
        </w:rPr>
        <w:t>nesamērīgs</w:t>
      </w:r>
      <w:r w:rsidR="00BA3921">
        <w:rPr>
          <w:rFonts w:eastAsia="Times New Roman" w:cs="Times New Roman"/>
          <w:szCs w:val="24"/>
          <w:lang w:eastAsia="ru-RU"/>
        </w:rPr>
        <w:t>, tam esot jābūt īsākam.</w:t>
      </w:r>
    </w:p>
    <w:p w14:paraId="20828A63" w14:textId="29577A7C" w:rsidR="005A6F9B" w:rsidRDefault="00140D01" w:rsidP="0013701D">
      <w:pPr>
        <w:spacing w:after="0" w:line="276" w:lineRule="auto"/>
        <w:ind w:firstLine="720"/>
        <w:jc w:val="both"/>
        <w:rPr>
          <w:rFonts w:eastAsia="Times New Roman" w:cs="Times New Roman"/>
          <w:szCs w:val="24"/>
          <w:lang w:eastAsia="ru-RU"/>
        </w:rPr>
      </w:pPr>
      <w:r>
        <w:rPr>
          <w:rFonts w:eastAsia="Times New Roman" w:cs="Times New Roman"/>
          <w:szCs w:val="24"/>
          <w:lang w:eastAsia="ru-RU"/>
        </w:rPr>
        <w:t>Kā to norādījis pirmās instances tiesas tiesnesis, n</w:t>
      </w:r>
      <w:r w:rsidR="005C1C96">
        <w:rPr>
          <w:rFonts w:eastAsia="Times New Roman" w:cs="Times New Roman"/>
          <w:szCs w:val="24"/>
          <w:lang w:eastAsia="ru-RU"/>
        </w:rPr>
        <w:t xml:space="preserve">o pieteicējas argumentiem izriet, ka pieteicēja vispārīgi iebilst pret minētajos punktos noteiktajiem ierobežojumiem. Tomēr šie argumenti nenorāda </w:t>
      </w:r>
      <w:r w:rsidR="005A6F9B">
        <w:rPr>
          <w:rFonts w:eastAsia="Times New Roman" w:cs="Times New Roman"/>
          <w:szCs w:val="24"/>
          <w:lang w:eastAsia="ru-RU"/>
        </w:rPr>
        <w:t>uz konkr</w:t>
      </w:r>
      <w:r w:rsidR="00832E48">
        <w:rPr>
          <w:rFonts w:eastAsia="Times New Roman" w:cs="Times New Roman"/>
          <w:szCs w:val="24"/>
          <w:lang w:eastAsia="ru-RU"/>
        </w:rPr>
        <w:t xml:space="preserve">ētiem </w:t>
      </w:r>
      <w:r w:rsidR="005C1C96">
        <w:rPr>
          <w:rFonts w:eastAsia="Times New Roman" w:cs="Times New Roman"/>
          <w:szCs w:val="24"/>
          <w:lang w:eastAsia="ru-RU"/>
        </w:rPr>
        <w:t>pieteicējai</w:t>
      </w:r>
      <w:r w:rsidR="00832E48">
        <w:rPr>
          <w:rFonts w:eastAsia="Times New Roman" w:cs="Times New Roman"/>
          <w:szCs w:val="24"/>
          <w:lang w:eastAsia="ru-RU"/>
        </w:rPr>
        <w:t xml:space="preserve"> uzliktiem pienākumiem vai tiesību ierobežojumiem</w:t>
      </w:r>
      <w:r w:rsidR="00CB23BE">
        <w:rPr>
          <w:rFonts w:eastAsia="Times New Roman" w:cs="Times New Roman"/>
          <w:szCs w:val="24"/>
          <w:lang w:eastAsia="ru-RU"/>
        </w:rPr>
        <w:t xml:space="preserve">, kas varētu būt pamats, lai </w:t>
      </w:r>
      <w:r>
        <w:rPr>
          <w:rFonts w:eastAsia="Times New Roman" w:cs="Times New Roman"/>
          <w:szCs w:val="24"/>
          <w:lang w:eastAsia="ru-RU"/>
        </w:rPr>
        <w:t xml:space="preserve">atzītu </w:t>
      </w:r>
      <w:r w:rsidR="00CB23BE">
        <w:rPr>
          <w:rFonts w:eastAsia="Times New Roman" w:cs="Times New Roman"/>
          <w:szCs w:val="24"/>
          <w:lang w:eastAsia="ru-RU"/>
        </w:rPr>
        <w:t>pieteicēja</w:t>
      </w:r>
      <w:r>
        <w:rPr>
          <w:rFonts w:eastAsia="Times New Roman" w:cs="Times New Roman"/>
          <w:szCs w:val="24"/>
          <w:lang w:eastAsia="ru-RU"/>
        </w:rPr>
        <w:t xml:space="preserve">s subjektīvās </w:t>
      </w:r>
      <w:r w:rsidR="00CB23BE">
        <w:rPr>
          <w:rFonts w:eastAsia="Times New Roman" w:cs="Times New Roman"/>
          <w:szCs w:val="24"/>
          <w:lang w:eastAsia="ru-RU"/>
        </w:rPr>
        <w:t>tiesības iebilst pret minētajiem ierobežojumiem.</w:t>
      </w:r>
      <w:r w:rsidR="005A6F9B">
        <w:rPr>
          <w:rFonts w:eastAsia="Times New Roman" w:cs="Times New Roman"/>
          <w:szCs w:val="24"/>
          <w:lang w:eastAsia="ru-RU"/>
        </w:rPr>
        <w:t xml:space="preserve"> </w:t>
      </w:r>
    </w:p>
    <w:p w14:paraId="6BDCA5C8" w14:textId="77777777" w:rsidR="005A6F9B" w:rsidRDefault="005A6F9B" w:rsidP="0013701D">
      <w:pPr>
        <w:spacing w:after="0" w:line="276" w:lineRule="auto"/>
        <w:ind w:firstLine="720"/>
        <w:jc w:val="both"/>
        <w:rPr>
          <w:rFonts w:eastAsia="Times New Roman" w:cs="Times New Roman"/>
          <w:szCs w:val="24"/>
          <w:lang w:eastAsia="ru-RU"/>
        </w:rPr>
      </w:pPr>
    </w:p>
    <w:p w14:paraId="7BBEA8C0" w14:textId="6FC7CE21" w:rsidR="009C4BB8" w:rsidRDefault="00AC58A2" w:rsidP="0013701D">
      <w:pPr>
        <w:spacing w:after="0" w:line="276" w:lineRule="auto"/>
        <w:ind w:firstLine="720"/>
        <w:jc w:val="both"/>
        <w:rPr>
          <w:rFonts w:eastAsia="Times New Roman" w:cs="Times New Roman"/>
          <w:szCs w:val="24"/>
          <w:lang w:eastAsia="ru-RU"/>
        </w:rPr>
      </w:pPr>
      <w:r>
        <w:rPr>
          <w:rFonts w:eastAsia="Times New Roman" w:cs="Times New Roman"/>
          <w:szCs w:val="24"/>
          <w:lang w:eastAsia="ru-RU"/>
        </w:rPr>
        <w:t>[10</w:t>
      </w:r>
      <w:r w:rsidR="005A6F9B">
        <w:rPr>
          <w:rFonts w:eastAsia="Times New Roman" w:cs="Times New Roman"/>
          <w:szCs w:val="24"/>
          <w:lang w:eastAsia="ru-RU"/>
        </w:rPr>
        <w:t>] </w:t>
      </w:r>
      <w:r w:rsidR="00832E48">
        <w:rPr>
          <w:rFonts w:eastAsia="Times New Roman" w:cs="Times New Roman"/>
          <w:szCs w:val="24"/>
          <w:lang w:eastAsia="ru-RU"/>
        </w:rPr>
        <w:t>Lai gan personai ir tiesības iebilst pret r</w:t>
      </w:r>
      <w:r w:rsidR="00832E48" w:rsidRPr="00832E48">
        <w:rPr>
          <w:rFonts w:eastAsia="Times New Roman" w:cs="Times New Roman"/>
          <w:szCs w:val="24"/>
          <w:lang w:eastAsia="ru-RU"/>
        </w:rPr>
        <w:t>īkojumā ietverto visp</w:t>
      </w:r>
      <w:r w:rsidR="00D46BD7">
        <w:rPr>
          <w:rFonts w:eastAsia="Times New Roman" w:cs="Times New Roman"/>
          <w:szCs w:val="24"/>
          <w:lang w:eastAsia="ru-RU"/>
        </w:rPr>
        <w:t>ārīgo</w:t>
      </w:r>
      <w:r w:rsidR="00832E48">
        <w:rPr>
          <w:rFonts w:eastAsia="Times New Roman" w:cs="Times New Roman"/>
          <w:szCs w:val="24"/>
          <w:lang w:eastAsia="ru-RU"/>
        </w:rPr>
        <w:t xml:space="preserve"> </w:t>
      </w:r>
      <w:r w:rsidR="003B4E4A">
        <w:rPr>
          <w:rFonts w:eastAsia="Times New Roman" w:cs="Times New Roman"/>
          <w:szCs w:val="24"/>
          <w:lang w:eastAsia="ru-RU"/>
        </w:rPr>
        <w:t xml:space="preserve">administratīvo </w:t>
      </w:r>
      <w:r w:rsidR="00832E48">
        <w:rPr>
          <w:rFonts w:eastAsia="Times New Roman" w:cs="Times New Roman"/>
          <w:szCs w:val="24"/>
          <w:lang w:eastAsia="ru-RU"/>
        </w:rPr>
        <w:t>aktu tad</w:t>
      </w:r>
      <w:r w:rsidR="00832E48" w:rsidRPr="00832E48">
        <w:rPr>
          <w:rFonts w:eastAsia="Times New Roman" w:cs="Times New Roman"/>
          <w:szCs w:val="24"/>
          <w:lang w:eastAsia="ru-RU"/>
        </w:rPr>
        <w:t>, ja tā uzskata, ka uzliktais pienākums ir</w:t>
      </w:r>
      <w:r w:rsidR="00F242D5">
        <w:rPr>
          <w:rFonts w:eastAsia="Times New Roman" w:cs="Times New Roman"/>
          <w:szCs w:val="24"/>
          <w:lang w:eastAsia="ru-RU"/>
        </w:rPr>
        <w:t xml:space="preserve"> bijis</w:t>
      </w:r>
      <w:r w:rsidR="00832E48" w:rsidRPr="00832E48">
        <w:rPr>
          <w:rFonts w:eastAsia="Times New Roman" w:cs="Times New Roman"/>
          <w:szCs w:val="24"/>
          <w:lang w:eastAsia="ru-RU"/>
        </w:rPr>
        <w:t xml:space="preserve"> pārmērīgs vai neatbilstošs</w:t>
      </w:r>
      <w:r w:rsidR="00832E48">
        <w:rPr>
          <w:rFonts w:eastAsia="Times New Roman" w:cs="Times New Roman"/>
          <w:szCs w:val="24"/>
          <w:lang w:eastAsia="ru-RU"/>
        </w:rPr>
        <w:t>, Senāts atzīst, ka šādam prasījumam ir jābūt pietiekami konkrētam. Personai ir jānorāda gan konkrēts ar rīkojumu uzlikts pienākums, gan</w:t>
      </w:r>
      <w:r w:rsidR="00F242D5">
        <w:rPr>
          <w:rFonts w:eastAsia="Times New Roman" w:cs="Times New Roman"/>
          <w:szCs w:val="24"/>
          <w:lang w:eastAsia="ru-RU"/>
        </w:rPr>
        <w:t xml:space="preserve"> tas, kā izpaudās</w:t>
      </w:r>
      <w:r w:rsidR="00D46BD7">
        <w:rPr>
          <w:rFonts w:eastAsia="Times New Roman" w:cs="Times New Roman"/>
          <w:szCs w:val="24"/>
          <w:lang w:eastAsia="ru-RU"/>
        </w:rPr>
        <w:t xml:space="preserve"> šā pienākuma nesamērīgums, </w:t>
      </w:r>
      <w:r w:rsidR="009C4BB8">
        <w:rPr>
          <w:rFonts w:eastAsia="Times New Roman" w:cs="Times New Roman"/>
          <w:szCs w:val="24"/>
          <w:lang w:eastAsia="ru-RU"/>
        </w:rPr>
        <w:t>kā tas nesamērīgi ierobežo</w:t>
      </w:r>
      <w:r w:rsidR="00F242D5">
        <w:rPr>
          <w:rFonts w:eastAsia="Times New Roman" w:cs="Times New Roman"/>
          <w:szCs w:val="24"/>
          <w:lang w:eastAsia="ru-RU"/>
        </w:rPr>
        <w:t>ja</w:t>
      </w:r>
      <w:r w:rsidR="009C4BB8">
        <w:rPr>
          <w:rFonts w:eastAsia="Times New Roman" w:cs="Times New Roman"/>
          <w:szCs w:val="24"/>
          <w:lang w:eastAsia="ru-RU"/>
        </w:rPr>
        <w:t xml:space="preserve"> </w:t>
      </w:r>
      <w:r w:rsidR="005C1C96">
        <w:rPr>
          <w:rFonts w:eastAsia="Times New Roman" w:cs="Times New Roman"/>
          <w:szCs w:val="24"/>
          <w:lang w:eastAsia="ru-RU"/>
        </w:rPr>
        <w:t xml:space="preserve">konkrētās </w:t>
      </w:r>
      <w:r w:rsidR="009C4BB8">
        <w:rPr>
          <w:rFonts w:eastAsia="Times New Roman" w:cs="Times New Roman"/>
          <w:szCs w:val="24"/>
          <w:lang w:eastAsia="ru-RU"/>
        </w:rPr>
        <w:t xml:space="preserve">personas </w:t>
      </w:r>
      <w:r w:rsidR="005C1C96">
        <w:rPr>
          <w:rFonts w:eastAsia="Times New Roman" w:cs="Times New Roman"/>
          <w:szCs w:val="24"/>
          <w:lang w:eastAsia="ru-RU"/>
        </w:rPr>
        <w:t xml:space="preserve">(pieteicēja) </w:t>
      </w:r>
      <w:r w:rsidR="009C4BB8">
        <w:rPr>
          <w:rFonts w:eastAsia="Times New Roman" w:cs="Times New Roman"/>
          <w:szCs w:val="24"/>
          <w:lang w:eastAsia="ru-RU"/>
        </w:rPr>
        <w:t xml:space="preserve">tiesības. Minētā prasījuma izvirzīšanai nepietiek ar nekonkrētu un vispārīgu argumentu </w:t>
      </w:r>
      <w:r w:rsidR="00F242D5">
        <w:rPr>
          <w:rFonts w:eastAsia="Times New Roman" w:cs="Times New Roman"/>
          <w:szCs w:val="24"/>
          <w:lang w:eastAsia="ru-RU"/>
        </w:rPr>
        <w:t>norādīšanu.</w:t>
      </w:r>
    </w:p>
    <w:p w14:paraId="6BA42602" w14:textId="500CB952" w:rsidR="009C4BB8" w:rsidRDefault="00D46BD7" w:rsidP="0013701D">
      <w:pPr>
        <w:spacing w:after="0" w:line="276" w:lineRule="auto"/>
        <w:ind w:firstLine="720"/>
        <w:jc w:val="both"/>
        <w:rPr>
          <w:rFonts w:eastAsia="Times New Roman" w:cs="Times New Roman"/>
          <w:szCs w:val="24"/>
          <w:lang w:eastAsia="ru-RU"/>
        </w:rPr>
      </w:pPr>
      <w:r>
        <w:rPr>
          <w:rFonts w:eastAsia="Times New Roman" w:cs="Times New Roman"/>
          <w:szCs w:val="24"/>
          <w:lang w:eastAsia="ru-RU"/>
        </w:rPr>
        <w:t>Senāts atzīst</w:t>
      </w:r>
      <w:r w:rsidR="000B7834">
        <w:rPr>
          <w:rFonts w:eastAsia="Times New Roman" w:cs="Times New Roman"/>
          <w:szCs w:val="24"/>
          <w:lang w:eastAsia="ru-RU"/>
        </w:rPr>
        <w:t>, ka pieteicēja nav norādījusi nevienu rīkojuma punktu, no kura izrietētu tieši pieteicējai uzlikts pienākums vai ierobežojums. P</w:t>
      </w:r>
      <w:r>
        <w:rPr>
          <w:rFonts w:eastAsia="Times New Roman" w:cs="Times New Roman"/>
          <w:szCs w:val="24"/>
          <w:lang w:eastAsia="ru-RU"/>
        </w:rPr>
        <w:t xml:space="preserve">irmās instances tiesas tiesneša lēmumā </w:t>
      </w:r>
      <w:r w:rsidR="000B7834">
        <w:rPr>
          <w:rFonts w:eastAsia="Times New Roman" w:cs="Times New Roman"/>
          <w:szCs w:val="24"/>
          <w:lang w:eastAsia="ru-RU"/>
        </w:rPr>
        <w:t>pamatoti norādīts</w:t>
      </w:r>
      <w:r w:rsidR="00CB23BE">
        <w:rPr>
          <w:rFonts w:eastAsia="Times New Roman" w:cs="Times New Roman"/>
          <w:szCs w:val="24"/>
          <w:lang w:eastAsia="ru-RU"/>
        </w:rPr>
        <w:t xml:space="preserve">, ka pieteicējai nav subjektīvās tiesības </w:t>
      </w:r>
      <w:r w:rsidR="00F242D5">
        <w:rPr>
          <w:rFonts w:eastAsia="Times New Roman" w:cs="Times New Roman"/>
          <w:szCs w:val="24"/>
          <w:lang w:eastAsia="ru-RU"/>
        </w:rPr>
        <w:t>pārsūdzēt rīkojuma 4.12, 4.5.</w:t>
      </w:r>
      <w:r w:rsidR="000B7834">
        <w:rPr>
          <w:rFonts w:eastAsia="Times New Roman" w:cs="Times New Roman"/>
          <w:szCs w:val="24"/>
          <w:lang w:eastAsia="ru-RU"/>
        </w:rPr>
        <w:t>5.</w:t>
      </w:r>
      <w:r w:rsidR="00F242D5" w:rsidRPr="00F242D5">
        <w:rPr>
          <w:rFonts w:eastAsia="Times New Roman" w:cs="Times New Roman"/>
          <w:szCs w:val="24"/>
          <w:lang w:eastAsia="ru-RU"/>
        </w:rPr>
        <w:t>, 4.5.</w:t>
      </w:r>
      <w:r w:rsidR="00F242D5" w:rsidRPr="00F242D5">
        <w:rPr>
          <w:rFonts w:eastAsia="Times New Roman" w:cs="Times New Roman"/>
          <w:szCs w:val="24"/>
          <w:vertAlign w:val="superscript"/>
          <w:lang w:eastAsia="ru-RU"/>
        </w:rPr>
        <w:t>2</w:t>
      </w:r>
      <w:r w:rsidR="00F242D5" w:rsidRPr="00F242D5">
        <w:rPr>
          <w:rFonts w:eastAsia="Times New Roman" w:cs="Times New Roman"/>
          <w:szCs w:val="24"/>
          <w:lang w:eastAsia="ru-RU"/>
        </w:rPr>
        <w:t>1 un 4.5.</w:t>
      </w:r>
      <w:r w:rsidR="00F242D5" w:rsidRPr="00F242D5">
        <w:rPr>
          <w:rFonts w:eastAsia="Times New Roman" w:cs="Times New Roman"/>
          <w:szCs w:val="24"/>
          <w:vertAlign w:val="superscript"/>
          <w:lang w:eastAsia="ru-RU"/>
        </w:rPr>
        <w:t>2</w:t>
      </w:r>
      <w:r w:rsidR="000A245F">
        <w:rPr>
          <w:rFonts w:eastAsia="Times New Roman" w:cs="Times New Roman"/>
          <w:szCs w:val="24"/>
          <w:lang w:eastAsia="ru-RU"/>
        </w:rPr>
        <w:t>4.</w:t>
      </w:r>
      <w:r w:rsidR="003B4E4A">
        <w:rPr>
          <w:rFonts w:eastAsia="Times New Roman" w:cs="Times New Roman"/>
          <w:szCs w:val="24"/>
          <w:lang w:eastAsia="ru-RU"/>
        </w:rPr>
        <w:t>apakš</w:t>
      </w:r>
      <w:r w:rsidR="000A245F">
        <w:rPr>
          <w:rFonts w:eastAsia="Times New Roman" w:cs="Times New Roman"/>
          <w:szCs w:val="24"/>
          <w:lang w:eastAsia="ru-RU"/>
        </w:rPr>
        <w:t>punktu</w:t>
      </w:r>
      <w:r w:rsidR="00D8782C">
        <w:rPr>
          <w:rFonts w:eastAsia="Times New Roman" w:cs="Times New Roman"/>
          <w:szCs w:val="24"/>
          <w:lang w:eastAsia="ru-RU"/>
        </w:rPr>
        <w:t>.</w:t>
      </w:r>
    </w:p>
    <w:p w14:paraId="0425997D" w14:textId="77777777" w:rsidR="00586C3A" w:rsidRDefault="00586C3A" w:rsidP="0013701D">
      <w:pPr>
        <w:spacing w:after="0" w:line="276" w:lineRule="auto"/>
        <w:ind w:firstLine="720"/>
        <w:jc w:val="both"/>
        <w:rPr>
          <w:rFonts w:eastAsia="Times New Roman" w:cs="Times New Roman"/>
          <w:szCs w:val="24"/>
          <w:lang w:eastAsia="ru-RU"/>
        </w:rPr>
      </w:pPr>
    </w:p>
    <w:p w14:paraId="29EAF9BC" w14:textId="71BD584A" w:rsidR="0061602D" w:rsidRDefault="009C4BB8" w:rsidP="0013701D">
      <w:pPr>
        <w:spacing w:after="0" w:line="276" w:lineRule="auto"/>
        <w:jc w:val="center"/>
        <w:rPr>
          <w:rFonts w:eastAsia="Times New Roman" w:cs="Times New Roman"/>
          <w:szCs w:val="24"/>
          <w:lang w:eastAsia="ru-RU"/>
        </w:rPr>
      </w:pPr>
      <w:r>
        <w:rPr>
          <w:rFonts w:eastAsia="Times New Roman" w:cs="Times New Roman"/>
          <w:szCs w:val="24"/>
          <w:lang w:eastAsia="ru-RU"/>
        </w:rPr>
        <w:t>II</w:t>
      </w:r>
    </w:p>
    <w:p w14:paraId="07F1056C" w14:textId="77777777" w:rsidR="009C4BB8" w:rsidRDefault="009C4BB8" w:rsidP="0013701D">
      <w:pPr>
        <w:spacing w:after="0" w:line="276" w:lineRule="auto"/>
        <w:ind w:firstLine="720"/>
        <w:jc w:val="center"/>
        <w:rPr>
          <w:rFonts w:eastAsia="Times New Roman" w:cs="Times New Roman"/>
          <w:szCs w:val="24"/>
          <w:lang w:eastAsia="ru-RU"/>
        </w:rPr>
      </w:pPr>
    </w:p>
    <w:p w14:paraId="37BD59F0" w14:textId="23E96224" w:rsidR="00A16585" w:rsidRDefault="00AC58A2" w:rsidP="0013701D">
      <w:pPr>
        <w:spacing w:after="0" w:line="276" w:lineRule="auto"/>
        <w:ind w:firstLine="720"/>
        <w:jc w:val="both"/>
        <w:rPr>
          <w:rFonts w:eastAsia="Times New Roman" w:cs="Times New Roman"/>
          <w:szCs w:val="24"/>
          <w:lang w:eastAsia="ru-RU"/>
        </w:rPr>
      </w:pPr>
      <w:r>
        <w:rPr>
          <w:rFonts w:eastAsia="Times New Roman" w:cs="Times New Roman"/>
          <w:szCs w:val="24"/>
          <w:lang w:eastAsia="ru-RU"/>
        </w:rPr>
        <w:t>[11</w:t>
      </w:r>
      <w:r w:rsidR="009C4BB8">
        <w:rPr>
          <w:rFonts w:eastAsia="Times New Roman" w:cs="Times New Roman"/>
          <w:szCs w:val="24"/>
          <w:lang w:eastAsia="ru-RU"/>
        </w:rPr>
        <w:t>] Attiecībā uz pieteicēja</w:t>
      </w:r>
      <w:r w:rsidR="00133682">
        <w:rPr>
          <w:rFonts w:eastAsia="Times New Roman" w:cs="Times New Roman"/>
          <w:szCs w:val="24"/>
          <w:lang w:eastAsia="ru-RU"/>
        </w:rPr>
        <w:t>s</w:t>
      </w:r>
      <w:r w:rsidR="009C4BB8">
        <w:rPr>
          <w:rFonts w:eastAsia="Times New Roman" w:cs="Times New Roman"/>
          <w:szCs w:val="24"/>
          <w:lang w:eastAsia="ru-RU"/>
        </w:rPr>
        <w:t xml:space="preserve"> prasījumu </w:t>
      </w:r>
      <w:r w:rsidR="00D43F52">
        <w:rPr>
          <w:rFonts w:eastAsia="Times New Roman" w:cs="Times New Roman"/>
          <w:szCs w:val="24"/>
          <w:lang w:eastAsia="ru-RU"/>
        </w:rPr>
        <w:t xml:space="preserve">uzdot Ministru kabinetam un Centrālajai vēlēšanu komisijai pārcelt par trīs mēnešiem visu </w:t>
      </w:r>
      <w:r w:rsidR="000A74DD">
        <w:rPr>
          <w:rFonts w:eastAsia="Times New Roman" w:cs="Times New Roman"/>
          <w:szCs w:val="24"/>
          <w:lang w:eastAsia="ru-RU"/>
        </w:rPr>
        <w:t xml:space="preserve">reģistrēto </w:t>
      </w:r>
      <w:r w:rsidR="00D43F52">
        <w:rPr>
          <w:rFonts w:eastAsia="Times New Roman" w:cs="Times New Roman"/>
          <w:szCs w:val="24"/>
          <w:lang w:eastAsia="ru-RU"/>
        </w:rPr>
        <w:t>iniciatīvu termiņus, Senāts atzīst par pareizu pirmās instances tiesas tiesneša lēmumā norādīto</w:t>
      </w:r>
      <w:r w:rsidR="00D8782C">
        <w:rPr>
          <w:rFonts w:eastAsia="Times New Roman" w:cs="Times New Roman"/>
          <w:szCs w:val="24"/>
          <w:lang w:eastAsia="ru-RU"/>
        </w:rPr>
        <w:t xml:space="preserve">, ka </w:t>
      </w:r>
      <w:r w:rsidR="00D32796">
        <w:rPr>
          <w:rFonts w:eastAsia="Times New Roman" w:cs="Times New Roman"/>
          <w:szCs w:val="24"/>
          <w:lang w:eastAsia="ru-RU"/>
        </w:rPr>
        <w:t xml:space="preserve">12 mēnešu termiņš, kurā </w:t>
      </w:r>
      <w:r w:rsidR="003D1C12">
        <w:rPr>
          <w:rFonts w:eastAsia="Times New Roman" w:cs="Times New Roman"/>
          <w:szCs w:val="24"/>
          <w:lang w:eastAsia="ru-RU"/>
        </w:rPr>
        <w:t xml:space="preserve">vēlētāju parakstīts </w:t>
      </w:r>
      <w:r w:rsidR="00D32796">
        <w:rPr>
          <w:rFonts w:eastAsia="Times New Roman" w:cs="Times New Roman"/>
          <w:szCs w:val="24"/>
          <w:lang w:eastAsia="ru-RU"/>
        </w:rPr>
        <w:t>likumprojekts iesniedzams Centrālajā vēlēšanu komisijā, ir noteikts likumā „</w:t>
      </w:r>
      <w:r w:rsidR="00D32796" w:rsidRPr="00D32796">
        <w:rPr>
          <w:rFonts w:eastAsia="Times New Roman" w:cs="Times New Roman"/>
          <w:szCs w:val="24"/>
          <w:lang w:eastAsia="ru-RU"/>
        </w:rPr>
        <w:t>Par tautas nobalsošanu, likumu ierosināšanu un Eiropas pilsoņu iniciatīvu</w:t>
      </w:r>
      <w:r w:rsidR="00D32796">
        <w:rPr>
          <w:rFonts w:eastAsia="Times New Roman" w:cs="Times New Roman"/>
          <w:szCs w:val="24"/>
          <w:lang w:eastAsia="ru-RU"/>
        </w:rPr>
        <w:t>”</w:t>
      </w:r>
      <w:r w:rsidR="0054623B">
        <w:rPr>
          <w:rFonts w:eastAsia="Times New Roman" w:cs="Times New Roman"/>
          <w:szCs w:val="24"/>
          <w:lang w:eastAsia="ru-RU"/>
        </w:rPr>
        <w:t>, un šajā likumā nav paredzētas Ministru kabineta vai Centrālās vēlēšanu komisijas tiesības pagarināt noteikto termiņu.</w:t>
      </w:r>
      <w:r w:rsidR="00133682">
        <w:rPr>
          <w:rFonts w:eastAsia="Times New Roman" w:cs="Times New Roman"/>
          <w:szCs w:val="24"/>
          <w:lang w:eastAsia="ru-RU"/>
        </w:rPr>
        <w:t xml:space="preserve"> </w:t>
      </w:r>
      <w:r w:rsidR="000A245F">
        <w:rPr>
          <w:rFonts w:eastAsia="Times New Roman" w:cs="Times New Roman"/>
          <w:szCs w:val="24"/>
          <w:lang w:eastAsia="ru-RU"/>
        </w:rPr>
        <w:t>Termiņu grozīt var likumdevējs.</w:t>
      </w:r>
    </w:p>
    <w:p w14:paraId="7EDA9405" w14:textId="1B91D426" w:rsidR="0054623B" w:rsidRDefault="00A16585" w:rsidP="0013701D">
      <w:pPr>
        <w:spacing w:after="0" w:line="276" w:lineRule="auto"/>
        <w:ind w:firstLine="720"/>
        <w:jc w:val="both"/>
        <w:rPr>
          <w:rFonts w:eastAsia="Times New Roman" w:cs="Times New Roman"/>
          <w:szCs w:val="24"/>
          <w:lang w:eastAsia="ru-RU"/>
        </w:rPr>
      </w:pPr>
      <w:r>
        <w:rPr>
          <w:rFonts w:eastAsia="Times New Roman" w:cs="Times New Roman"/>
          <w:szCs w:val="24"/>
          <w:lang w:eastAsia="ru-RU"/>
        </w:rPr>
        <w:t>Turklāt</w:t>
      </w:r>
      <w:r w:rsidR="00F0792E">
        <w:rPr>
          <w:rFonts w:eastAsia="Times New Roman" w:cs="Times New Roman"/>
          <w:szCs w:val="24"/>
          <w:lang w:eastAsia="ru-RU"/>
        </w:rPr>
        <w:t xml:space="preserve"> parakstu vākšanas</w:t>
      </w:r>
      <w:r w:rsidR="00F40C02">
        <w:rPr>
          <w:rFonts w:eastAsia="Times New Roman" w:cs="Times New Roman"/>
          <w:szCs w:val="24"/>
          <w:lang w:eastAsia="ru-RU"/>
        </w:rPr>
        <w:t xml:space="preserve"> termiņa pagarinājums nav saistīts ar administratīvā procesa kārtībā pārbaudāmu administratīvo aktu vai faktisko rīcību.</w:t>
      </w:r>
      <w:r w:rsidR="000A245F">
        <w:rPr>
          <w:rFonts w:eastAsia="Times New Roman" w:cs="Times New Roman"/>
          <w:szCs w:val="24"/>
          <w:lang w:eastAsia="ru-RU"/>
        </w:rPr>
        <w:t xml:space="preserve"> Ne pati parakstu vākšana un likumprojekta iesniegšana, ne Centrālās vēlēšanu komisijas rīcība pēc minētā 12 mēnešu termiņa nav ne administratīvais akts, ne faktiskā rīcība.</w:t>
      </w:r>
      <w:r>
        <w:rPr>
          <w:rFonts w:eastAsia="Times New Roman" w:cs="Times New Roman"/>
          <w:szCs w:val="24"/>
          <w:lang w:eastAsia="ru-RU"/>
        </w:rPr>
        <w:t xml:space="preserve"> </w:t>
      </w:r>
      <w:r w:rsidR="00F40C02">
        <w:rPr>
          <w:rFonts w:eastAsia="Times New Roman" w:cs="Times New Roman"/>
          <w:szCs w:val="24"/>
          <w:lang w:eastAsia="ru-RU"/>
        </w:rPr>
        <w:t>Līdz ar to šāds prasījums nav izskatāms administratīvā procesa kārtībā.</w:t>
      </w:r>
      <w:r w:rsidR="00CF22AF">
        <w:rPr>
          <w:rFonts w:eastAsia="Times New Roman" w:cs="Times New Roman"/>
          <w:szCs w:val="24"/>
          <w:lang w:eastAsia="ru-RU"/>
        </w:rPr>
        <w:t xml:space="preserve"> </w:t>
      </w:r>
      <w:r w:rsidR="00CF22AF" w:rsidRPr="00CF22AF">
        <w:rPr>
          <w:rFonts w:eastAsia="Times New Roman" w:cs="Times New Roman"/>
          <w:szCs w:val="24"/>
          <w:lang w:eastAsia="ru-RU"/>
        </w:rPr>
        <w:t>Pieteicēja blakus sūdzībā nav norādījusi nevienu argumentu par to, kādēļ šāds pieteikums būtu pieļaujams.</w:t>
      </w:r>
    </w:p>
    <w:p w14:paraId="06E33099" w14:textId="77777777" w:rsidR="000A245F" w:rsidRDefault="000A245F" w:rsidP="0013701D">
      <w:pPr>
        <w:spacing w:after="0" w:line="276" w:lineRule="auto"/>
        <w:ind w:firstLine="720"/>
        <w:jc w:val="both"/>
        <w:rPr>
          <w:rFonts w:eastAsia="Times New Roman" w:cs="Times New Roman"/>
          <w:szCs w:val="24"/>
          <w:lang w:eastAsia="ru-RU"/>
        </w:rPr>
      </w:pPr>
    </w:p>
    <w:p w14:paraId="0EA6C2F0" w14:textId="132E5E8D" w:rsidR="00692EE7" w:rsidRDefault="00AC58A2" w:rsidP="0013701D">
      <w:pPr>
        <w:spacing w:after="0" w:line="276" w:lineRule="auto"/>
        <w:ind w:firstLine="720"/>
        <w:jc w:val="both"/>
        <w:rPr>
          <w:rFonts w:eastAsia="Times New Roman" w:cs="Times New Roman"/>
          <w:szCs w:val="24"/>
          <w:lang w:eastAsia="ru-RU"/>
        </w:rPr>
      </w:pPr>
      <w:r>
        <w:rPr>
          <w:rFonts w:eastAsia="Times New Roman" w:cs="Times New Roman"/>
          <w:szCs w:val="24"/>
          <w:lang w:eastAsia="ru-RU"/>
        </w:rPr>
        <w:t>[12</w:t>
      </w:r>
      <w:r w:rsidR="0054623B">
        <w:rPr>
          <w:rFonts w:eastAsia="Times New Roman" w:cs="Times New Roman"/>
          <w:szCs w:val="24"/>
          <w:lang w:eastAsia="ru-RU"/>
        </w:rPr>
        <w:t>] </w:t>
      </w:r>
      <w:r w:rsidR="00692EE7">
        <w:rPr>
          <w:rFonts w:eastAsia="Times New Roman" w:cs="Times New Roman"/>
          <w:szCs w:val="24"/>
          <w:lang w:eastAsia="ru-RU"/>
        </w:rPr>
        <w:t>Arī attiecībā uz pieteicēja</w:t>
      </w:r>
      <w:r w:rsidR="003B4E4A">
        <w:rPr>
          <w:rFonts w:eastAsia="Times New Roman" w:cs="Times New Roman"/>
          <w:szCs w:val="24"/>
          <w:lang w:eastAsia="ru-RU"/>
        </w:rPr>
        <w:t>s</w:t>
      </w:r>
      <w:r w:rsidR="00692EE7">
        <w:rPr>
          <w:rFonts w:eastAsia="Times New Roman" w:cs="Times New Roman"/>
          <w:szCs w:val="24"/>
          <w:lang w:eastAsia="ru-RU"/>
        </w:rPr>
        <w:t xml:space="preserve"> prasījumu vērsties Eiropas Savienības Tiesā ar </w:t>
      </w:r>
      <w:r w:rsidR="00FF44F7">
        <w:rPr>
          <w:rFonts w:eastAsia="Times New Roman" w:cs="Times New Roman"/>
          <w:szCs w:val="24"/>
          <w:lang w:eastAsia="ru-RU"/>
        </w:rPr>
        <w:t xml:space="preserve">prejudiciālo </w:t>
      </w:r>
      <w:r w:rsidR="00692EE7">
        <w:rPr>
          <w:rFonts w:eastAsia="Times New Roman" w:cs="Times New Roman"/>
          <w:szCs w:val="24"/>
          <w:lang w:eastAsia="ru-RU"/>
        </w:rPr>
        <w:t xml:space="preserve">jautājumu, Senāts atzīst par pareizu tiesneša norādīto, ka šāds lūgums nav </w:t>
      </w:r>
      <w:r w:rsidR="00692EE7">
        <w:rPr>
          <w:rFonts w:eastAsia="Times New Roman" w:cs="Times New Roman"/>
          <w:szCs w:val="24"/>
          <w:lang w:eastAsia="ru-RU"/>
        </w:rPr>
        <w:lastRenderedPageBreak/>
        <w:t>uzskatāms par atsevišķu prasījumu, bet ir procesuāls lūgums, kurš būtu vērtējams, skatot lietu pēc būtības.</w:t>
      </w:r>
    </w:p>
    <w:p w14:paraId="0C02BF73" w14:textId="77777777" w:rsidR="00692EE7" w:rsidRDefault="00692EE7" w:rsidP="0013701D">
      <w:pPr>
        <w:spacing w:after="0" w:line="276" w:lineRule="auto"/>
        <w:ind w:firstLine="720"/>
        <w:jc w:val="both"/>
        <w:rPr>
          <w:rFonts w:eastAsia="Times New Roman" w:cs="Times New Roman"/>
          <w:szCs w:val="24"/>
          <w:lang w:eastAsia="ru-RU"/>
        </w:rPr>
      </w:pPr>
    </w:p>
    <w:p w14:paraId="60775181" w14:textId="46DFFF47" w:rsidR="00692EE7" w:rsidRDefault="00AC58A2" w:rsidP="0013701D">
      <w:pPr>
        <w:spacing w:after="0" w:line="276" w:lineRule="auto"/>
        <w:ind w:firstLine="720"/>
        <w:jc w:val="both"/>
        <w:rPr>
          <w:rFonts w:eastAsia="Times New Roman" w:cs="Times New Roman"/>
          <w:szCs w:val="24"/>
          <w:lang w:eastAsia="ru-RU"/>
        </w:rPr>
      </w:pPr>
      <w:r>
        <w:rPr>
          <w:rFonts w:eastAsia="Times New Roman" w:cs="Times New Roman"/>
          <w:szCs w:val="24"/>
          <w:lang w:eastAsia="ru-RU"/>
        </w:rPr>
        <w:t>[13</w:t>
      </w:r>
      <w:r w:rsidR="00692EE7">
        <w:rPr>
          <w:rFonts w:eastAsia="Times New Roman" w:cs="Times New Roman"/>
          <w:szCs w:val="24"/>
          <w:lang w:eastAsia="ru-RU"/>
        </w:rPr>
        <w:t xml:space="preserve">] Apkopojot iepriekš minēto, Senāts atzīst, ka pirmās </w:t>
      </w:r>
      <w:r w:rsidR="00A16585">
        <w:rPr>
          <w:rFonts w:eastAsia="Times New Roman" w:cs="Times New Roman"/>
          <w:szCs w:val="24"/>
          <w:lang w:eastAsia="ru-RU"/>
        </w:rPr>
        <w:t>instances tiesas tiesneša lēmums ir atstājams negrozīts.</w:t>
      </w:r>
      <w:r w:rsidR="00692EE7">
        <w:rPr>
          <w:rFonts w:eastAsia="Times New Roman" w:cs="Times New Roman"/>
          <w:szCs w:val="24"/>
          <w:lang w:eastAsia="ru-RU"/>
        </w:rPr>
        <w:t xml:space="preserve"> Pieteicēja blakus sūdzībā nav norādījusi </w:t>
      </w:r>
      <w:r w:rsidR="00133682">
        <w:rPr>
          <w:rFonts w:eastAsia="Times New Roman" w:cs="Times New Roman"/>
          <w:szCs w:val="24"/>
          <w:lang w:eastAsia="ru-RU"/>
        </w:rPr>
        <w:t>jaunus</w:t>
      </w:r>
      <w:r w:rsidR="00A16585">
        <w:rPr>
          <w:rFonts w:eastAsia="Times New Roman" w:cs="Times New Roman"/>
          <w:szCs w:val="24"/>
          <w:lang w:eastAsia="ru-RU"/>
        </w:rPr>
        <w:t xml:space="preserve"> pieteikumā neminētus</w:t>
      </w:r>
      <w:r w:rsidR="00133682">
        <w:rPr>
          <w:rFonts w:eastAsia="Times New Roman" w:cs="Times New Roman"/>
          <w:szCs w:val="24"/>
          <w:lang w:eastAsia="ru-RU"/>
        </w:rPr>
        <w:t xml:space="preserve"> argumentus</w:t>
      </w:r>
      <w:r w:rsidR="00692EE7">
        <w:rPr>
          <w:rFonts w:eastAsia="Times New Roman" w:cs="Times New Roman"/>
          <w:szCs w:val="24"/>
          <w:lang w:eastAsia="ru-RU"/>
        </w:rPr>
        <w:t xml:space="preserve">, kas norādītu uz tiesneša lēmuma nepareizību. </w:t>
      </w:r>
    </w:p>
    <w:p w14:paraId="0FE83A97" w14:textId="027C02C0" w:rsidR="007C7451" w:rsidRPr="00D8657E" w:rsidRDefault="007C7451" w:rsidP="0013701D">
      <w:pPr>
        <w:spacing w:after="0" w:line="276" w:lineRule="auto"/>
        <w:jc w:val="both"/>
        <w:rPr>
          <w:rFonts w:eastAsia="Times New Roman" w:cs="Times New Roman"/>
          <w:szCs w:val="24"/>
          <w:lang w:eastAsia="ru-RU"/>
        </w:rPr>
      </w:pPr>
    </w:p>
    <w:p w14:paraId="5B1C762D" w14:textId="436C1C2D" w:rsidR="007C7451" w:rsidRPr="00D8657E" w:rsidRDefault="007C7451" w:rsidP="0013701D">
      <w:pPr>
        <w:spacing w:after="0" w:line="276" w:lineRule="auto"/>
        <w:jc w:val="center"/>
        <w:rPr>
          <w:rFonts w:eastAsia="Times New Roman" w:cs="Times New Roman"/>
          <w:b/>
          <w:szCs w:val="24"/>
          <w:lang w:eastAsia="ru-RU"/>
        </w:rPr>
      </w:pPr>
      <w:r w:rsidRPr="00D8657E">
        <w:rPr>
          <w:rFonts w:eastAsia="Times New Roman" w:cs="Times New Roman"/>
          <w:b/>
          <w:szCs w:val="24"/>
          <w:lang w:eastAsia="ru-RU"/>
        </w:rPr>
        <w:t>Rezolutīvā daļa</w:t>
      </w:r>
    </w:p>
    <w:p w14:paraId="7246559F" w14:textId="77777777" w:rsidR="00F67B8B" w:rsidRPr="00D8657E" w:rsidRDefault="00F67B8B" w:rsidP="0013701D">
      <w:pPr>
        <w:spacing w:after="0" w:line="276" w:lineRule="auto"/>
        <w:jc w:val="center"/>
        <w:rPr>
          <w:rFonts w:eastAsia="Times New Roman" w:cs="Times New Roman"/>
          <w:szCs w:val="24"/>
          <w:lang w:eastAsia="ru-RU"/>
        </w:rPr>
      </w:pPr>
    </w:p>
    <w:p w14:paraId="194EB6F2" w14:textId="6A720239" w:rsidR="00D07772" w:rsidRPr="00D8657E" w:rsidRDefault="008614E0" w:rsidP="0013701D">
      <w:pPr>
        <w:spacing w:after="0" w:line="276" w:lineRule="auto"/>
        <w:ind w:firstLine="567"/>
        <w:jc w:val="both"/>
        <w:rPr>
          <w:rFonts w:eastAsia="Times New Roman" w:cs="Times New Roman"/>
          <w:szCs w:val="24"/>
          <w:lang w:eastAsia="ru-RU"/>
        </w:rPr>
      </w:pPr>
      <w:r w:rsidRPr="00D8657E">
        <w:rPr>
          <w:rFonts w:eastAsia="Times New Roman" w:cs="Times New Roman"/>
          <w:szCs w:val="24"/>
          <w:lang w:eastAsia="ru-RU"/>
        </w:rPr>
        <w:t>Pamatojoties uz Administratīvā procesa likuma</w:t>
      </w:r>
      <w:r w:rsidR="00E66BDC" w:rsidRPr="00D8657E">
        <w:rPr>
          <w:rFonts w:eastAsia="Times New Roman" w:cs="Times New Roman"/>
          <w:szCs w:val="24"/>
          <w:lang w:eastAsia="ru-RU"/>
        </w:rPr>
        <w:t xml:space="preserve"> </w:t>
      </w:r>
      <w:proofErr w:type="gramStart"/>
      <w:r w:rsidR="001C3DA5">
        <w:rPr>
          <w:rFonts w:eastAsia="Times New Roman" w:cs="Times New Roman"/>
          <w:szCs w:val="24"/>
          <w:lang w:eastAsia="ru-RU"/>
        </w:rPr>
        <w:t>323.panta</w:t>
      </w:r>
      <w:proofErr w:type="gramEnd"/>
      <w:r w:rsidR="001C3DA5">
        <w:rPr>
          <w:rFonts w:eastAsia="Times New Roman" w:cs="Times New Roman"/>
          <w:szCs w:val="24"/>
          <w:lang w:eastAsia="ru-RU"/>
        </w:rPr>
        <w:t xml:space="preserve"> pirmās daļas 1</w:t>
      </w:r>
      <w:r w:rsidR="00E66BDC" w:rsidRPr="00D8657E">
        <w:rPr>
          <w:rFonts w:eastAsia="Times New Roman" w:cs="Times New Roman"/>
          <w:szCs w:val="24"/>
          <w:lang w:eastAsia="ru-RU"/>
        </w:rPr>
        <w:t>.punktu</w:t>
      </w:r>
      <w:r w:rsidRPr="00D8657E">
        <w:rPr>
          <w:rFonts w:eastAsia="Times New Roman" w:cs="Times New Roman"/>
          <w:szCs w:val="24"/>
          <w:lang w:eastAsia="ru-RU"/>
        </w:rPr>
        <w:t xml:space="preserve"> un </w:t>
      </w:r>
      <w:r w:rsidR="00E66BDC" w:rsidRPr="00D8657E">
        <w:rPr>
          <w:rFonts w:eastAsia="Times New Roman" w:cs="Times New Roman"/>
          <w:szCs w:val="24"/>
          <w:lang w:eastAsia="ru-RU"/>
        </w:rPr>
        <w:t>324.panta pirmo daļu</w:t>
      </w:r>
      <w:r w:rsidRPr="00D8657E">
        <w:rPr>
          <w:rFonts w:eastAsia="Times New Roman" w:cs="Times New Roman"/>
          <w:szCs w:val="24"/>
          <w:lang w:eastAsia="ru-RU"/>
        </w:rPr>
        <w:t xml:space="preserve">, </w:t>
      </w:r>
      <w:r w:rsidR="00D8657E" w:rsidRPr="00D8657E">
        <w:rPr>
          <w:rFonts w:eastAsia="Times New Roman" w:cs="Times New Roman"/>
          <w:szCs w:val="24"/>
          <w:lang w:eastAsia="ru-RU"/>
        </w:rPr>
        <w:t>Senāts</w:t>
      </w:r>
    </w:p>
    <w:p w14:paraId="0DAE2453" w14:textId="77777777" w:rsidR="00D80747" w:rsidRPr="00D8657E" w:rsidRDefault="00D80747" w:rsidP="0013701D">
      <w:pPr>
        <w:spacing w:after="0" w:line="276" w:lineRule="auto"/>
        <w:ind w:firstLine="567"/>
        <w:jc w:val="both"/>
        <w:rPr>
          <w:rFonts w:eastAsia="Times New Roman" w:cs="Times New Roman"/>
          <w:szCs w:val="24"/>
          <w:lang w:eastAsia="ru-RU"/>
        </w:rPr>
      </w:pPr>
    </w:p>
    <w:p w14:paraId="7BCD2B1E" w14:textId="77777777" w:rsidR="008614E0" w:rsidRPr="00D8657E" w:rsidRDefault="008614E0" w:rsidP="0013701D">
      <w:pPr>
        <w:tabs>
          <w:tab w:val="left" w:pos="2700"/>
          <w:tab w:val="left" w:pos="6660"/>
        </w:tabs>
        <w:spacing w:after="0" w:line="276" w:lineRule="auto"/>
        <w:jc w:val="center"/>
        <w:rPr>
          <w:rFonts w:eastAsia="Times New Roman" w:cs="Times New Roman"/>
          <w:b/>
          <w:bCs/>
          <w:szCs w:val="24"/>
          <w:lang w:eastAsia="ru-RU"/>
        </w:rPr>
      </w:pPr>
      <w:r w:rsidRPr="00D8657E">
        <w:rPr>
          <w:rFonts w:eastAsia="Times New Roman" w:cs="Times New Roman"/>
          <w:b/>
          <w:szCs w:val="24"/>
          <w:lang w:eastAsia="ru-RU"/>
        </w:rPr>
        <w:t>nolēma</w:t>
      </w:r>
    </w:p>
    <w:p w14:paraId="08FC0980" w14:textId="77777777" w:rsidR="008614E0" w:rsidRPr="00D8657E" w:rsidRDefault="008614E0" w:rsidP="0013701D">
      <w:pPr>
        <w:tabs>
          <w:tab w:val="left" w:pos="2700"/>
          <w:tab w:val="left" w:pos="6660"/>
        </w:tabs>
        <w:spacing w:after="0" w:line="276" w:lineRule="auto"/>
        <w:jc w:val="center"/>
        <w:rPr>
          <w:rFonts w:eastAsia="Times New Roman" w:cs="Times New Roman"/>
          <w:b/>
          <w:bCs/>
          <w:szCs w:val="24"/>
          <w:lang w:eastAsia="ru-RU"/>
        </w:rPr>
      </w:pPr>
    </w:p>
    <w:p w14:paraId="03E36DE2" w14:textId="77777777" w:rsidR="001C3DA5" w:rsidRDefault="001C3DA5" w:rsidP="0013701D">
      <w:pPr>
        <w:tabs>
          <w:tab w:val="left" w:pos="540"/>
          <w:tab w:val="left" w:pos="6660"/>
        </w:tabs>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atstāt negrozītu Administratīvās rajona tiesas tiesneša </w:t>
      </w:r>
      <w:proofErr w:type="gramStart"/>
      <w:r>
        <w:rPr>
          <w:rFonts w:eastAsia="Times New Roman" w:cs="Times New Roman"/>
          <w:szCs w:val="24"/>
          <w:lang w:eastAsia="ru-RU"/>
        </w:rPr>
        <w:t>2020.gada</w:t>
      </w:r>
      <w:proofErr w:type="gramEnd"/>
      <w:r>
        <w:rPr>
          <w:rFonts w:eastAsia="Times New Roman" w:cs="Times New Roman"/>
          <w:szCs w:val="24"/>
          <w:lang w:eastAsia="ru-RU"/>
        </w:rPr>
        <w:t xml:space="preserve"> 12.maija lēmumu. </w:t>
      </w:r>
    </w:p>
    <w:p w14:paraId="05B8C9B6" w14:textId="4087DFD1" w:rsidR="00ED53F9" w:rsidRPr="00D8657E" w:rsidRDefault="001C3DA5" w:rsidP="0013701D">
      <w:pPr>
        <w:tabs>
          <w:tab w:val="left" w:pos="540"/>
          <w:tab w:val="left" w:pos="6660"/>
        </w:tabs>
        <w:spacing w:after="0" w:line="276" w:lineRule="auto"/>
        <w:ind w:firstLine="567"/>
        <w:jc w:val="both"/>
        <w:rPr>
          <w:rFonts w:eastAsia="Times New Roman" w:cs="Times New Roman"/>
          <w:szCs w:val="24"/>
          <w:lang w:eastAsia="ru-RU"/>
        </w:rPr>
      </w:pPr>
      <w:r>
        <w:rPr>
          <w:rFonts w:eastAsia="Times New Roman" w:cs="Times New Roman"/>
          <w:szCs w:val="24"/>
          <w:lang w:eastAsia="ru-RU"/>
        </w:rPr>
        <w:t>Noraidīt politisko partiju apvienības „Jaunā Saskaņa” blakus sūdzību.</w:t>
      </w:r>
    </w:p>
    <w:p w14:paraId="07BDFD74" w14:textId="72D04715" w:rsidR="008614E0" w:rsidRPr="00D8657E" w:rsidRDefault="008614E0" w:rsidP="0013701D">
      <w:pPr>
        <w:tabs>
          <w:tab w:val="left" w:pos="540"/>
          <w:tab w:val="left" w:pos="6660"/>
        </w:tabs>
        <w:spacing w:after="0" w:line="276" w:lineRule="auto"/>
        <w:ind w:firstLine="567"/>
        <w:jc w:val="both"/>
        <w:rPr>
          <w:rFonts w:eastAsia="Times New Roman" w:cs="Times New Roman"/>
          <w:szCs w:val="24"/>
          <w:lang w:eastAsia="ru-RU"/>
        </w:rPr>
      </w:pPr>
      <w:r w:rsidRPr="00D8657E">
        <w:rPr>
          <w:rFonts w:eastAsia="Times New Roman" w:cs="Times New Roman"/>
          <w:szCs w:val="24"/>
          <w:lang w:eastAsia="ru-RU"/>
        </w:rPr>
        <w:t>Lēmums nav pārsūdzams.</w:t>
      </w:r>
    </w:p>
    <w:sectPr w:rsidR="008614E0" w:rsidRPr="00D8657E" w:rsidSect="000709AE">
      <w:footerReference w:type="default" r:id="rId9"/>
      <w:pgSz w:w="11906" w:h="16838" w:code="9"/>
      <w:pgMar w:top="1134"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18AC2" w14:textId="77777777" w:rsidR="0057346B" w:rsidRDefault="0057346B">
      <w:pPr>
        <w:spacing w:after="0" w:line="240" w:lineRule="auto"/>
      </w:pPr>
      <w:r>
        <w:separator/>
      </w:r>
    </w:p>
  </w:endnote>
  <w:endnote w:type="continuationSeparator" w:id="0">
    <w:p w14:paraId="7E8A9B52" w14:textId="77777777" w:rsidR="0057346B" w:rsidRDefault="00573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14:paraId="1A9B0544" w14:textId="77777777" w:rsidR="009D1914" w:rsidRDefault="00D07772"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0709AE">
              <w:rPr>
                <w:bCs/>
                <w:noProof/>
              </w:rPr>
              <w:t>6</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0709AE">
              <w:rPr>
                <w:bCs/>
                <w:noProof/>
              </w:rPr>
              <w:t>6</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BC8EC" w14:textId="77777777" w:rsidR="0057346B" w:rsidRDefault="0057346B">
      <w:pPr>
        <w:spacing w:after="0" w:line="240" w:lineRule="auto"/>
      </w:pPr>
      <w:r>
        <w:separator/>
      </w:r>
    </w:p>
  </w:footnote>
  <w:footnote w:type="continuationSeparator" w:id="0">
    <w:p w14:paraId="1F5D734C" w14:textId="77777777" w:rsidR="0057346B" w:rsidRDefault="005734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E0"/>
    <w:rsid w:val="00000546"/>
    <w:rsid w:val="000025ED"/>
    <w:rsid w:val="00013C70"/>
    <w:rsid w:val="000348B4"/>
    <w:rsid w:val="00047522"/>
    <w:rsid w:val="0006771F"/>
    <w:rsid w:val="000709AE"/>
    <w:rsid w:val="00082121"/>
    <w:rsid w:val="00086F00"/>
    <w:rsid w:val="0009038F"/>
    <w:rsid w:val="00093C26"/>
    <w:rsid w:val="000942E0"/>
    <w:rsid w:val="00096BEA"/>
    <w:rsid w:val="000A245F"/>
    <w:rsid w:val="000A74DD"/>
    <w:rsid w:val="000B08AD"/>
    <w:rsid w:val="000B7834"/>
    <w:rsid w:val="000D08E2"/>
    <w:rsid w:val="000D41AC"/>
    <w:rsid w:val="000E6F04"/>
    <w:rsid w:val="000F65E1"/>
    <w:rsid w:val="00104E90"/>
    <w:rsid w:val="00114D5A"/>
    <w:rsid w:val="00123E4A"/>
    <w:rsid w:val="0012622B"/>
    <w:rsid w:val="00131DDC"/>
    <w:rsid w:val="00133682"/>
    <w:rsid w:val="001359E8"/>
    <w:rsid w:val="0013701D"/>
    <w:rsid w:val="00140D01"/>
    <w:rsid w:val="00161206"/>
    <w:rsid w:val="00181E07"/>
    <w:rsid w:val="0018652B"/>
    <w:rsid w:val="001C3DA5"/>
    <w:rsid w:val="001C5232"/>
    <w:rsid w:val="001D6AEB"/>
    <w:rsid w:val="001E0D87"/>
    <w:rsid w:val="001E17C9"/>
    <w:rsid w:val="001F0676"/>
    <w:rsid w:val="00203E7E"/>
    <w:rsid w:val="00206C59"/>
    <w:rsid w:val="002128A9"/>
    <w:rsid w:val="00217AC7"/>
    <w:rsid w:val="002209E1"/>
    <w:rsid w:val="00222986"/>
    <w:rsid w:val="002618C5"/>
    <w:rsid w:val="0026274E"/>
    <w:rsid w:val="002A0E98"/>
    <w:rsid w:val="002A7E5F"/>
    <w:rsid w:val="002C61ED"/>
    <w:rsid w:val="002F0693"/>
    <w:rsid w:val="002F29BF"/>
    <w:rsid w:val="002F3647"/>
    <w:rsid w:val="0031185C"/>
    <w:rsid w:val="00314BDB"/>
    <w:rsid w:val="00323899"/>
    <w:rsid w:val="00326E05"/>
    <w:rsid w:val="00330E3E"/>
    <w:rsid w:val="003350E1"/>
    <w:rsid w:val="003505A8"/>
    <w:rsid w:val="003517EA"/>
    <w:rsid w:val="00354EB8"/>
    <w:rsid w:val="003556E9"/>
    <w:rsid w:val="00366B18"/>
    <w:rsid w:val="00371E36"/>
    <w:rsid w:val="00376588"/>
    <w:rsid w:val="003862E0"/>
    <w:rsid w:val="0039689D"/>
    <w:rsid w:val="003B1AE4"/>
    <w:rsid w:val="003B26F6"/>
    <w:rsid w:val="003B4E4A"/>
    <w:rsid w:val="003D1C12"/>
    <w:rsid w:val="003D3190"/>
    <w:rsid w:val="003D6DB9"/>
    <w:rsid w:val="003E00B9"/>
    <w:rsid w:val="003E58D0"/>
    <w:rsid w:val="00412F4A"/>
    <w:rsid w:val="00414441"/>
    <w:rsid w:val="00414B83"/>
    <w:rsid w:val="00416E45"/>
    <w:rsid w:val="00426079"/>
    <w:rsid w:val="00434771"/>
    <w:rsid w:val="00441448"/>
    <w:rsid w:val="00456A7A"/>
    <w:rsid w:val="00461B3E"/>
    <w:rsid w:val="00474915"/>
    <w:rsid w:val="004843FE"/>
    <w:rsid w:val="004924FF"/>
    <w:rsid w:val="0049585E"/>
    <w:rsid w:val="004A4222"/>
    <w:rsid w:val="004B036F"/>
    <w:rsid w:val="004B2A71"/>
    <w:rsid w:val="004C137A"/>
    <w:rsid w:val="004E3898"/>
    <w:rsid w:val="004E4EF9"/>
    <w:rsid w:val="004E59F6"/>
    <w:rsid w:val="004F23D1"/>
    <w:rsid w:val="00501F22"/>
    <w:rsid w:val="00505B21"/>
    <w:rsid w:val="00516B3E"/>
    <w:rsid w:val="00525F10"/>
    <w:rsid w:val="0053094F"/>
    <w:rsid w:val="00531198"/>
    <w:rsid w:val="00546057"/>
    <w:rsid w:val="0054623B"/>
    <w:rsid w:val="0056502C"/>
    <w:rsid w:val="0057346B"/>
    <w:rsid w:val="00575050"/>
    <w:rsid w:val="00586C3A"/>
    <w:rsid w:val="00590270"/>
    <w:rsid w:val="00593E1D"/>
    <w:rsid w:val="005949CA"/>
    <w:rsid w:val="005A3B3C"/>
    <w:rsid w:val="005A6F9B"/>
    <w:rsid w:val="005C1C96"/>
    <w:rsid w:val="005C2548"/>
    <w:rsid w:val="005C5068"/>
    <w:rsid w:val="005E664B"/>
    <w:rsid w:val="005F3DC5"/>
    <w:rsid w:val="005F639B"/>
    <w:rsid w:val="005F6B55"/>
    <w:rsid w:val="0060732A"/>
    <w:rsid w:val="0061602D"/>
    <w:rsid w:val="00640974"/>
    <w:rsid w:val="00656B55"/>
    <w:rsid w:val="006576E0"/>
    <w:rsid w:val="00671100"/>
    <w:rsid w:val="00671358"/>
    <w:rsid w:val="006745AD"/>
    <w:rsid w:val="00674DA3"/>
    <w:rsid w:val="00685336"/>
    <w:rsid w:val="00692EE7"/>
    <w:rsid w:val="006A77DD"/>
    <w:rsid w:val="006B5A22"/>
    <w:rsid w:val="006D20CE"/>
    <w:rsid w:val="006F1833"/>
    <w:rsid w:val="006F4CE0"/>
    <w:rsid w:val="006F5BE7"/>
    <w:rsid w:val="006F6E7E"/>
    <w:rsid w:val="007064FE"/>
    <w:rsid w:val="007265E2"/>
    <w:rsid w:val="00764889"/>
    <w:rsid w:val="00770A41"/>
    <w:rsid w:val="00771AF8"/>
    <w:rsid w:val="00784346"/>
    <w:rsid w:val="007977AB"/>
    <w:rsid w:val="007A47DD"/>
    <w:rsid w:val="007A5A37"/>
    <w:rsid w:val="007B4A42"/>
    <w:rsid w:val="007B5BA1"/>
    <w:rsid w:val="007B6E49"/>
    <w:rsid w:val="007C0462"/>
    <w:rsid w:val="007C0C84"/>
    <w:rsid w:val="007C354B"/>
    <w:rsid w:val="007C7451"/>
    <w:rsid w:val="007D2DAA"/>
    <w:rsid w:val="007D3ADE"/>
    <w:rsid w:val="007E5046"/>
    <w:rsid w:val="007E6ED6"/>
    <w:rsid w:val="007F3848"/>
    <w:rsid w:val="007F7D39"/>
    <w:rsid w:val="00801922"/>
    <w:rsid w:val="00812C6B"/>
    <w:rsid w:val="008305F8"/>
    <w:rsid w:val="00832E48"/>
    <w:rsid w:val="00835A18"/>
    <w:rsid w:val="00846F60"/>
    <w:rsid w:val="00860B6D"/>
    <w:rsid w:val="008614E0"/>
    <w:rsid w:val="00886708"/>
    <w:rsid w:val="00891EFC"/>
    <w:rsid w:val="008A7BFB"/>
    <w:rsid w:val="008B1B89"/>
    <w:rsid w:val="008D4B04"/>
    <w:rsid w:val="008F5043"/>
    <w:rsid w:val="008F7E08"/>
    <w:rsid w:val="00905E95"/>
    <w:rsid w:val="009106D9"/>
    <w:rsid w:val="009110E2"/>
    <w:rsid w:val="00911C0A"/>
    <w:rsid w:val="0092468D"/>
    <w:rsid w:val="00927978"/>
    <w:rsid w:val="009312A1"/>
    <w:rsid w:val="009329F9"/>
    <w:rsid w:val="009339E3"/>
    <w:rsid w:val="00934B6D"/>
    <w:rsid w:val="00941CE7"/>
    <w:rsid w:val="00963AA3"/>
    <w:rsid w:val="0097308A"/>
    <w:rsid w:val="0098078F"/>
    <w:rsid w:val="009B12EC"/>
    <w:rsid w:val="009C225D"/>
    <w:rsid w:val="009C4BB8"/>
    <w:rsid w:val="009E53CA"/>
    <w:rsid w:val="009E6DC7"/>
    <w:rsid w:val="009F4AAE"/>
    <w:rsid w:val="009F6F2E"/>
    <w:rsid w:val="00A070D8"/>
    <w:rsid w:val="00A16585"/>
    <w:rsid w:val="00A17E06"/>
    <w:rsid w:val="00A17F7D"/>
    <w:rsid w:val="00A2099C"/>
    <w:rsid w:val="00A3045B"/>
    <w:rsid w:val="00A369A9"/>
    <w:rsid w:val="00A42901"/>
    <w:rsid w:val="00A4635A"/>
    <w:rsid w:val="00A47294"/>
    <w:rsid w:val="00A513C2"/>
    <w:rsid w:val="00A65B18"/>
    <w:rsid w:val="00A801CA"/>
    <w:rsid w:val="00A93AFA"/>
    <w:rsid w:val="00A962D4"/>
    <w:rsid w:val="00AA0BC9"/>
    <w:rsid w:val="00AA782D"/>
    <w:rsid w:val="00AB088F"/>
    <w:rsid w:val="00AB1FF2"/>
    <w:rsid w:val="00AB2B49"/>
    <w:rsid w:val="00AC1E03"/>
    <w:rsid w:val="00AC58A2"/>
    <w:rsid w:val="00AD0718"/>
    <w:rsid w:val="00AE3F36"/>
    <w:rsid w:val="00AF0496"/>
    <w:rsid w:val="00AF420E"/>
    <w:rsid w:val="00B13047"/>
    <w:rsid w:val="00B15157"/>
    <w:rsid w:val="00B253D9"/>
    <w:rsid w:val="00B3488C"/>
    <w:rsid w:val="00B51A38"/>
    <w:rsid w:val="00B51A61"/>
    <w:rsid w:val="00B566FE"/>
    <w:rsid w:val="00B65337"/>
    <w:rsid w:val="00B673A5"/>
    <w:rsid w:val="00B82361"/>
    <w:rsid w:val="00B83B96"/>
    <w:rsid w:val="00B87A6C"/>
    <w:rsid w:val="00B95246"/>
    <w:rsid w:val="00BA3921"/>
    <w:rsid w:val="00BB1EDD"/>
    <w:rsid w:val="00BC7858"/>
    <w:rsid w:val="00BD412F"/>
    <w:rsid w:val="00C13F55"/>
    <w:rsid w:val="00C216CE"/>
    <w:rsid w:val="00C41937"/>
    <w:rsid w:val="00C46764"/>
    <w:rsid w:val="00C5006D"/>
    <w:rsid w:val="00C51E1C"/>
    <w:rsid w:val="00C734E4"/>
    <w:rsid w:val="00C76606"/>
    <w:rsid w:val="00C83F93"/>
    <w:rsid w:val="00C966F3"/>
    <w:rsid w:val="00CA6923"/>
    <w:rsid w:val="00CA7BC7"/>
    <w:rsid w:val="00CB23BE"/>
    <w:rsid w:val="00CC26D9"/>
    <w:rsid w:val="00CC28B2"/>
    <w:rsid w:val="00CC5961"/>
    <w:rsid w:val="00CE11F2"/>
    <w:rsid w:val="00CE7DBB"/>
    <w:rsid w:val="00CF2008"/>
    <w:rsid w:val="00CF22AF"/>
    <w:rsid w:val="00D00DE1"/>
    <w:rsid w:val="00D07772"/>
    <w:rsid w:val="00D17AC8"/>
    <w:rsid w:val="00D27146"/>
    <w:rsid w:val="00D32796"/>
    <w:rsid w:val="00D34DA3"/>
    <w:rsid w:val="00D40432"/>
    <w:rsid w:val="00D43F52"/>
    <w:rsid w:val="00D46BD7"/>
    <w:rsid w:val="00D76EA0"/>
    <w:rsid w:val="00D80747"/>
    <w:rsid w:val="00D8657E"/>
    <w:rsid w:val="00D865CE"/>
    <w:rsid w:val="00D8782C"/>
    <w:rsid w:val="00DA2FFB"/>
    <w:rsid w:val="00DB6F36"/>
    <w:rsid w:val="00DC0BEF"/>
    <w:rsid w:val="00DC1883"/>
    <w:rsid w:val="00DD5EDB"/>
    <w:rsid w:val="00DE53CA"/>
    <w:rsid w:val="00DF5EFF"/>
    <w:rsid w:val="00DF6618"/>
    <w:rsid w:val="00E01968"/>
    <w:rsid w:val="00E07CE2"/>
    <w:rsid w:val="00E124A3"/>
    <w:rsid w:val="00E15C66"/>
    <w:rsid w:val="00E20E76"/>
    <w:rsid w:val="00E21739"/>
    <w:rsid w:val="00E24441"/>
    <w:rsid w:val="00E307E2"/>
    <w:rsid w:val="00E4495C"/>
    <w:rsid w:val="00E50842"/>
    <w:rsid w:val="00E57212"/>
    <w:rsid w:val="00E66BDC"/>
    <w:rsid w:val="00E77CB3"/>
    <w:rsid w:val="00E91E6C"/>
    <w:rsid w:val="00EA6F2F"/>
    <w:rsid w:val="00EC1870"/>
    <w:rsid w:val="00EC36C3"/>
    <w:rsid w:val="00ED53F9"/>
    <w:rsid w:val="00F01E73"/>
    <w:rsid w:val="00F04D7B"/>
    <w:rsid w:val="00F05C85"/>
    <w:rsid w:val="00F0792E"/>
    <w:rsid w:val="00F242D5"/>
    <w:rsid w:val="00F33EB4"/>
    <w:rsid w:val="00F40C02"/>
    <w:rsid w:val="00F4640A"/>
    <w:rsid w:val="00F523FB"/>
    <w:rsid w:val="00F54A01"/>
    <w:rsid w:val="00F65DBB"/>
    <w:rsid w:val="00F67B8B"/>
    <w:rsid w:val="00F67BF9"/>
    <w:rsid w:val="00F708D1"/>
    <w:rsid w:val="00F71243"/>
    <w:rsid w:val="00F737E1"/>
    <w:rsid w:val="00F82DAE"/>
    <w:rsid w:val="00F84E00"/>
    <w:rsid w:val="00F85C51"/>
    <w:rsid w:val="00F97C5F"/>
    <w:rsid w:val="00FA261E"/>
    <w:rsid w:val="00FB5F8E"/>
    <w:rsid w:val="00FC28B5"/>
    <w:rsid w:val="00FD110E"/>
    <w:rsid w:val="00FD4BA0"/>
    <w:rsid w:val="00FD508B"/>
    <w:rsid w:val="00FE3836"/>
    <w:rsid w:val="00FE3EA1"/>
    <w:rsid w:val="00FE4975"/>
    <w:rsid w:val="00FF44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EAC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14E0"/>
    <w:pPr>
      <w:tabs>
        <w:tab w:val="center" w:pos="4153"/>
        <w:tab w:val="right" w:pos="8306"/>
      </w:tabs>
      <w:spacing w:after="0" w:line="240" w:lineRule="auto"/>
    </w:pPr>
    <w:rPr>
      <w:rFonts w:eastAsia="Times New Roman" w:cs="Times New Roman"/>
      <w:szCs w:val="24"/>
      <w:lang w:eastAsia="ru-RU"/>
    </w:rPr>
  </w:style>
  <w:style w:type="character" w:customStyle="1" w:styleId="FooterChar">
    <w:name w:val="Footer Char"/>
    <w:basedOn w:val="DefaultParagraphFont"/>
    <w:link w:val="Footer"/>
    <w:uiPriority w:val="99"/>
    <w:rsid w:val="008614E0"/>
    <w:rPr>
      <w:rFonts w:eastAsia="Times New Roman" w:cs="Times New Roman"/>
      <w:szCs w:val="24"/>
      <w:lang w:eastAsia="ru-RU"/>
    </w:rPr>
  </w:style>
  <w:style w:type="table" w:customStyle="1" w:styleId="TableGrid1">
    <w:name w:val="Table Grid1"/>
    <w:basedOn w:val="TableNormal"/>
    <w:next w:val="TableGrid"/>
    <w:uiPriority w:val="39"/>
    <w:rsid w:val="008614E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1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2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DAE"/>
    <w:rPr>
      <w:rFonts w:ascii="Segoe UI" w:hAnsi="Segoe UI" w:cs="Segoe UI"/>
      <w:sz w:val="18"/>
      <w:szCs w:val="18"/>
    </w:rPr>
  </w:style>
  <w:style w:type="character" w:styleId="CommentReference">
    <w:name w:val="annotation reference"/>
    <w:basedOn w:val="DefaultParagraphFont"/>
    <w:uiPriority w:val="99"/>
    <w:semiHidden/>
    <w:unhideWhenUsed/>
    <w:rsid w:val="00082121"/>
    <w:rPr>
      <w:sz w:val="16"/>
      <w:szCs w:val="16"/>
    </w:rPr>
  </w:style>
  <w:style w:type="paragraph" w:styleId="CommentText">
    <w:name w:val="annotation text"/>
    <w:basedOn w:val="Normal"/>
    <w:link w:val="CommentTextChar"/>
    <w:uiPriority w:val="99"/>
    <w:semiHidden/>
    <w:unhideWhenUsed/>
    <w:rsid w:val="00082121"/>
    <w:pPr>
      <w:spacing w:line="240" w:lineRule="auto"/>
    </w:pPr>
    <w:rPr>
      <w:sz w:val="20"/>
      <w:szCs w:val="20"/>
    </w:rPr>
  </w:style>
  <w:style w:type="character" w:customStyle="1" w:styleId="CommentTextChar">
    <w:name w:val="Comment Text Char"/>
    <w:basedOn w:val="DefaultParagraphFont"/>
    <w:link w:val="CommentText"/>
    <w:uiPriority w:val="99"/>
    <w:semiHidden/>
    <w:rsid w:val="00082121"/>
    <w:rPr>
      <w:sz w:val="20"/>
      <w:szCs w:val="20"/>
    </w:rPr>
  </w:style>
  <w:style w:type="paragraph" w:styleId="CommentSubject">
    <w:name w:val="annotation subject"/>
    <w:basedOn w:val="CommentText"/>
    <w:next w:val="CommentText"/>
    <w:link w:val="CommentSubjectChar"/>
    <w:uiPriority w:val="99"/>
    <w:semiHidden/>
    <w:unhideWhenUsed/>
    <w:rsid w:val="00082121"/>
    <w:rPr>
      <w:b/>
      <w:bCs/>
    </w:rPr>
  </w:style>
  <w:style w:type="character" w:customStyle="1" w:styleId="CommentSubjectChar">
    <w:name w:val="Comment Subject Char"/>
    <w:basedOn w:val="CommentTextChar"/>
    <w:link w:val="CommentSubject"/>
    <w:uiPriority w:val="99"/>
    <w:semiHidden/>
    <w:rsid w:val="00082121"/>
    <w:rPr>
      <w:b/>
      <w:bCs/>
      <w:sz w:val="20"/>
      <w:szCs w:val="20"/>
    </w:rPr>
  </w:style>
  <w:style w:type="character" w:styleId="Hyperlink">
    <w:name w:val="Hyperlink"/>
    <w:basedOn w:val="DefaultParagraphFont"/>
    <w:uiPriority w:val="99"/>
    <w:unhideWhenUsed/>
    <w:rsid w:val="004F23D1"/>
    <w:rPr>
      <w:color w:val="0000FF"/>
      <w:u w:val="single"/>
    </w:rPr>
  </w:style>
  <w:style w:type="character" w:styleId="FollowedHyperlink">
    <w:name w:val="FollowedHyperlink"/>
    <w:basedOn w:val="DefaultParagraphFont"/>
    <w:uiPriority w:val="99"/>
    <w:semiHidden/>
    <w:unhideWhenUsed/>
    <w:rsid w:val="0097308A"/>
    <w:rPr>
      <w:color w:val="954F72" w:themeColor="followedHyperlink"/>
      <w:u w:val="single"/>
    </w:rPr>
  </w:style>
  <w:style w:type="character" w:styleId="UnresolvedMention">
    <w:name w:val="Unresolved Mention"/>
    <w:basedOn w:val="DefaultParagraphFont"/>
    <w:uiPriority w:val="99"/>
    <w:semiHidden/>
    <w:unhideWhenUsed/>
    <w:rsid w:val="00220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3" Type="http://schemas.openxmlformats.org/officeDocument/2006/relationships/settings" Target="settings.xml"/><Relationship Id="rId7" Type="http://schemas.openxmlformats.org/officeDocument/2006/relationships/hyperlink" Target="https://manas.tiesas.lv/eTiesasMvc/eclinolemumi/ECLI:LV:AT:2020:0706.SKA121520.3.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76041-EBF9-46DC-A67B-DD4DD3E56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11323</Words>
  <Characters>6455</Characters>
  <Application>Microsoft Office Word</Application>
  <DocSecurity>0</DocSecurity>
  <Lines>53</Lines>
  <Paragraphs>35</Paragraphs>
  <ScaleCrop>false</ScaleCrop>
  <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2020-08-05T08:35:00Z</dcterms:created>
  <dcterms:modified xsi:type="dcterms:W3CDTF">2020-08-05T08:36:00Z</dcterms:modified>
</cp:coreProperties>
</file>