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5E053" w14:textId="77777777" w:rsidR="00B2209B" w:rsidRPr="00B2209B" w:rsidRDefault="00B2209B" w:rsidP="00B2209B">
      <w:pPr>
        <w:widowControl/>
        <w:autoSpaceDE/>
        <w:autoSpaceDN/>
        <w:adjustRightInd/>
        <w:spacing w:line="259" w:lineRule="auto"/>
        <w:jc w:val="both"/>
        <w:rPr>
          <w:rFonts w:eastAsiaTheme="minorHAnsi" w:cstheme="minorBidi"/>
          <w:sz w:val="24"/>
          <w:szCs w:val="22"/>
          <w:lang w:eastAsia="en-US"/>
        </w:rPr>
      </w:pPr>
      <w:r w:rsidRPr="00B2209B">
        <w:rPr>
          <w:rFonts w:eastAsiaTheme="minorHAnsi" w:cstheme="minorBidi"/>
          <w:b/>
          <w:bCs/>
          <w:sz w:val="24"/>
          <w:szCs w:val="22"/>
          <w:lang w:eastAsia="en-US"/>
        </w:rPr>
        <w:t>Atbildes veidlapas noformēšana, ja saņemts brīdinājums par saistību piespiedu izpildi</w:t>
      </w:r>
      <w:r w:rsidRPr="00B2209B">
        <w:rPr>
          <w:rFonts w:eastAsiaTheme="minorHAnsi" w:cstheme="minorBidi"/>
          <w:sz w:val="24"/>
          <w:szCs w:val="22"/>
          <w:lang w:eastAsia="en-US"/>
        </w:rPr>
        <w:t xml:space="preserve"> </w:t>
      </w:r>
    </w:p>
    <w:p w14:paraId="79DBAC89" w14:textId="77777777" w:rsidR="00B2209B" w:rsidRPr="00B2209B" w:rsidRDefault="00B2209B" w:rsidP="00B2209B">
      <w:pPr>
        <w:widowControl/>
        <w:autoSpaceDE/>
        <w:autoSpaceDN/>
        <w:adjustRightInd/>
        <w:spacing w:line="259" w:lineRule="auto"/>
        <w:ind w:firstLine="567"/>
        <w:jc w:val="both"/>
        <w:rPr>
          <w:rFonts w:eastAsiaTheme="minorHAnsi" w:cstheme="minorBidi"/>
          <w:sz w:val="24"/>
          <w:szCs w:val="22"/>
          <w:lang w:eastAsia="en-US"/>
        </w:rPr>
      </w:pPr>
      <w:r w:rsidRPr="00B2209B">
        <w:rPr>
          <w:rFonts w:eastAsiaTheme="minorHAnsi" w:cstheme="minorBidi"/>
          <w:sz w:val="24"/>
          <w:szCs w:val="22"/>
          <w:lang w:eastAsia="en-US"/>
        </w:rPr>
        <w:t>Saistību piespiedu izpildīšanas brīdinājuma kārtībā tiesvedības izbeigšanas pamats ir termiņā iesniegti parādnieka iebildumi, kas noformēti atbilstoši Ministru kabineta apstiprinātajam paraugam. Proti, atbildes veidlapā ir jābūt aizpildītām attiecīgām ailēm un tai jābūt parakstītai.</w:t>
      </w:r>
    </w:p>
    <w:p w14:paraId="00ED68D4" w14:textId="7E7B453A" w:rsidR="00B2209B" w:rsidRDefault="00B2209B" w:rsidP="00B2209B">
      <w:pPr>
        <w:shd w:val="clear" w:color="auto" w:fill="FFFFFF"/>
        <w:spacing w:line="307" w:lineRule="exact"/>
        <w:ind w:right="5" w:firstLine="567"/>
        <w:jc w:val="both"/>
        <w:rPr>
          <w:spacing w:val="-2"/>
          <w:sz w:val="24"/>
          <w:szCs w:val="24"/>
          <w:u w:val="single"/>
        </w:rPr>
      </w:pPr>
      <w:r w:rsidRPr="00B2209B">
        <w:rPr>
          <w:rFonts w:eastAsiaTheme="minorHAnsi" w:cstheme="minorBidi"/>
          <w:sz w:val="24"/>
          <w:szCs w:val="22"/>
          <w:lang w:eastAsia="en-US"/>
        </w:rPr>
        <w:t xml:space="preserve">Tiesai atsūtīta neaizpildīta un neparakstīta </w:t>
      </w:r>
      <w:proofErr w:type="gramStart"/>
      <w:r w:rsidRPr="00B2209B">
        <w:rPr>
          <w:rFonts w:eastAsiaTheme="minorHAnsi" w:cstheme="minorBidi"/>
          <w:sz w:val="24"/>
          <w:szCs w:val="22"/>
          <w:lang w:eastAsia="en-US"/>
        </w:rPr>
        <w:t>(tukšu) atbildes veidlapa</w:t>
      </w:r>
      <w:proofErr w:type="gramEnd"/>
      <w:r w:rsidRPr="00B2209B">
        <w:rPr>
          <w:rFonts w:eastAsiaTheme="minorHAnsi" w:cstheme="minorBidi"/>
          <w:sz w:val="24"/>
          <w:szCs w:val="22"/>
          <w:lang w:eastAsia="en-US"/>
        </w:rPr>
        <w:t>, kurai pievienota neparakstīta informatīva vēstule par to, ka parādnieks deklarētajā dzīvesvietā nedzīvo un brīdinājums būtu nosūtāms uz viņa faktisko dzīvesvietu, neatbilst Civilprocesa likuma 406.</w:t>
      </w:r>
      <w:r w:rsidRPr="00B2209B">
        <w:rPr>
          <w:rFonts w:eastAsiaTheme="minorHAnsi" w:cstheme="minorBidi"/>
          <w:sz w:val="24"/>
          <w:szCs w:val="22"/>
          <w:vertAlign w:val="superscript"/>
          <w:lang w:eastAsia="en-US"/>
        </w:rPr>
        <w:t>7</w:t>
      </w:r>
      <w:r w:rsidRPr="00B2209B">
        <w:rPr>
          <w:rFonts w:eastAsiaTheme="minorHAnsi" w:cstheme="minorBidi"/>
          <w:sz w:val="24"/>
          <w:szCs w:val="22"/>
          <w:lang w:eastAsia="en-US"/>
        </w:rPr>
        <w:t> panta pirmajā daļā noteiktajām prasībām, un tā nevar tikt vērtēta kā parādnieka iebildumi pret saistības pamatotību</w:t>
      </w:r>
      <w:r>
        <w:rPr>
          <w:rFonts w:eastAsiaTheme="minorHAnsi" w:cstheme="minorBidi"/>
          <w:sz w:val="24"/>
          <w:szCs w:val="22"/>
          <w:lang w:eastAsia="en-US"/>
        </w:rPr>
        <w:t>.</w:t>
      </w:r>
    </w:p>
    <w:p w14:paraId="2A23CC05" w14:textId="77777777" w:rsidR="00B2209B" w:rsidRDefault="00B2209B" w:rsidP="00B2209B">
      <w:pPr>
        <w:shd w:val="clear" w:color="auto" w:fill="FFFFFF"/>
        <w:spacing w:line="307" w:lineRule="exact"/>
        <w:ind w:left="4536" w:right="5"/>
        <w:jc w:val="right"/>
        <w:rPr>
          <w:spacing w:val="-2"/>
          <w:sz w:val="24"/>
          <w:szCs w:val="24"/>
          <w:u w:val="single"/>
        </w:rPr>
      </w:pPr>
    </w:p>
    <w:p w14:paraId="5AACBEE0" w14:textId="77777777" w:rsidR="00254F81" w:rsidRPr="00254F81" w:rsidRDefault="00254F81" w:rsidP="00254F81">
      <w:pPr>
        <w:shd w:val="clear" w:color="auto" w:fill="FFFFFF"/>
        <w:jc w:val="center"/>
        <w:rPr>
          <w:b/>
          <w:bCs/>
          <w:sz w:val="24"/>
          <w:szCs w:val="32"/>
        </w:rPr>
      </w:pPr>
      <w:r w:rsidRPr="00254F81">
        <w:rPr>
          <w:b/>
          <w:bCs/>
          <w:color w:val="000000"/>
          <w:sz w:val="24"/>
          <w:szCs w:val="32"/>
        </w:rPr>
        <w:t xml:space="preserve">Latvijas </w:t>
      </w:r>
      <w:r w:rsidRPr="00254F81">
        <w:rPr>
          <w:b/>
          <w:bCs/>
          <w:sz w:val="24"/>
          <w:szCs w:val="32"/>
        </w:rPr>
        <w:t>Republikas Senāta</w:t>
      </w:r>
    </w:p>
    <w:p w14:paraId="302386B8" w14:textId="77777777" w:rsidR="00254F81" w:rsidRPr="00254F81" w:rsidRDefault="00254F81" w:rsidP="00254F81">
      <w:pPr>
        <w:shd w:val="clear" w:color="auto" w:fill="FFFFFF"/>
        <w:jc w:val="center"/>
        <w:rPr>
          <w:b/>
          <w:bCs/>
          <w:color w:val="000000"/>
          <w:sz w:val="24"/>
          <w:szCs w:val="32"/>
        </w:rPr>
      </w:pPr>
      <w:r w:rsidRPr="00254F81">
        <w:rPr>
          <w:b/>
          <w:bCs/>
          <w:color w:val="000000"/>
          <w:sz w:val="24"/>
          <w:szCs w:val="32"/>
        </w:rPr>
        <w:t xml:space="preserve">Civillietu departamenta </w:t>
      </w:r>
    </w:p>
    <w:p w14:paraId="5DF41789" w14:textId="03D27150" w:rsidR="00254F81" w:rsidRPr="00254F81" w:rsidRDefault="00254F81" w:rsidP="00254F81">
      <w:pPr>
        <w:shd w:val="clear" w:color="auto" w:fill="FFFFFF"/>
        <w:jc w:val="center"/>
        <w:rPr>
          <w:b/>
          <w:bCs/>
          <w:color w:val="000000"/>
          <w:sz w:val="24"/>
          <w:szCs w:val="32"/>
        </w:rPr>
      </w:pPr>
      <w:proofErr w:type="gramStart"/>
      <w:r w:rsidRPr="00254F81">
        <w:rPr>
          <w:b/>
          <w:bCs/>
          <w:color w:val="000000"/>
          <w:sz w:val="24"/>
          <w:szCs w:val="32"/>
        </w:rPr>
        <w:t>2020.gada</w:t>
      </w:r>
      <w:proofErr w:type="gramEnd"/>
      <w:r w:rsidRPr="00254F81">
        <w:rPr>
          <w:b/>
          <w:bCs/>
          <w:color w:val="000000"/>
          <w:sz w:val="24"/>
          <w:szCs w:val="32"/>
        </w:rPr>
        <w:t xml:space="preserve"> </w:t>
      </w:r>
      <w:r>
        <w:rPr>
          <w:b/>
          <w:bCs/>
          <w:color w:val="000000"/>
          <w:sz w:val="24"/>
          <w:szCs w:val="32"/>
        </w:rPr>
        <w:t>31</w:t>
      </w:r>
      <w:r w:rsidRPr="00254F81">
        <w:rPr>
          <w:b/>
          <w:bCs/>
          <w:color w:val="000000"/>
          <w:sz w:val="24"/>
          <w:szCs w:val="32"/>
        </w:rPr>
        <w:t>.</w:t>
      </w:r>
      <w:r>
        <w:rPr>
          <w:b/>
          <w:bCs/>
          <w:color w:val="000000"/>
          <w:sz w:val="24"/>
          <w:szCs w:val="32"/>
        </w:rPr>
        <w:t>jūlij</w:t>
      </w:r>
      <w:r w:rsidRPr="00254F81">
        <w:rPr>
          <w:b/>
          <w:bCs/>
          <w:color w:val="000000"/>
          <w:sz w:val="24"/>
          <w:szCs w:val="32"/>
        </w:rPr>
        <w:t>a</w:t>
      </w:r>
    </w:p>
    <w:p w14:paraId="7837C2AD" w14:textId="6BE2F2B6" w:rsidR="00254F81" w:rsidRPr="00254F81" w:rsidRDefault="00254F81" w:rsidP="00254F81">
      <w:pPr>
        <w:shd w:val="clear" w:color="auto" w:fill="FFFFFF"/>
        <w:jc w:val="center"/>
        <w:rPr>
          <w:b/>
          <w:bCs/>
          <w:color w:val="000000"/>
          <w:sz w:val="24"/>
          <w:szCs w:val="32"/>
        </w:rPr>
      </w:pPr>
      <w:r>
        <w:rPr>
          <w:b/>
          <w:bCs/>
          <w:color w:val="000000"/>
          <w:sz w:val="24"/>
          <w:szCs w:val="32"/>
        </w:rPr>
        <w:t>LĒM</w:t>
      </w:r>
      <w:r w:rsidRPr="00254F81">
        <w:rPr>
          <w:b/>
          <w:bCs/>
          <w:color w:val="000000"/>
          <w:sz w:val="24"/>
          <w:szCs w:val="32"/>
        </w:rPr>
        <w:t>UMS</w:t>
      </w:r>
    </w:p>
    <w:p w14:paraId="0E3453DF" w14:textId="7E344947" w:rsidR="00254F81" w:rsidRPr="00254F81" w:rsidRDefault="00254F81" w:rsidP="00254F81">
      <w:pPr>
        <w:shd w:val="clear" w:color="auto" w:fill="FFFFFF"/>
        <w:jc w:val="center"/>
        <w:rPr>
          <w:b/>
          <w:bCs/>
          <w:color w:val="000000"/>
          <w:sz w:val="24"/>
          <w:szCs w:val="32"/>
        </w:rPr>
      </w:pPr>
      <w:r w:rsidRPr="00254F81">
        <w:rPr>
          <w:b/>
          <w:bCs/>
          <w:color w:val="000000"/>
          <w:sz w:val="24"/>
          <w:szCs w:val="32"/>
        </w:rPr>
        <w:t>Lieta Nr</w:t>
      </w:r>
      <w:r w:rsidR="00064421">
        <w:rPr>
          <w:b/>
          <w:bCs/>
          <w:color w:val="000000"/>
          <w:sz w:val="24"/>
          <w:szCs w:val="32"/>
        </w:rPr>
        <w:t>.</w:t>
      </w:r>
      <w:r w:rsidRPr="00254F81">
        <w:rPr>
          <w:b/>
          <w:bCs/>
          <w:color w:val="000000"/>
          <w:sz w:val="24"/>
          <w:szCs w:val="32"/>
        </w:rPr>
        <w:t xml:space="preserve"> S</w:t>
      </w:r>
      <w:r>
        <w:rPr>
          <w:b/>
          <w:bCs/>
          <w:color w:val="000000"/>
          <w:sz w:val="24"/>
          <w:szCs w:val="32"/>
        </w:rPr>
        <w:t>P</w:t>
      </w:r>
      <w:r w:rsidRPr="00254F81">
        <w:rPr>
          <w:b/>
          <w:bCs/>
          <w:color w:val="000000"/>
          <w:sz w:val="24"/>
          <w:szCs w:val="32"/>
        </w:rPr>
        <w:t>C-</w:t>
      </w:r>
      <w:r>
        <w:rPr>
          <w:b/>
          <w:bCs/>
          <w:color w:val="000000"/>
          <w:sz w:val="24"/>
          <w:szCs w:val="32"/>
        </w:rPr>
        <w:t>22</w:t>
      </w:r>
      <w:r w:rsidRPr="00254F81">
        <w:rPr>
          <w:b/>
          <w:bCs/>
          <w:color w:val="000000"/>
          <w:sz w:val="24"/>
          <w:szCs w:val="32"/>
        </w:rPr>
        <w:t>/2020</w:t>
      </w:r>
    </w:p>
    <w:p w14:paraId="5EE87126" w14:textId="50FF2BD4" w:rsidR="00D20F21" w:rsidRPr="00254F81" w:rsidRDefault="000B3B08" w:rsidP="00254F81">
      <w:pPr>
        <w:spacing w:before="48"/>
        <w:jc w:val="center"/>
        <w:rPr>
          <w:sz w:val="32"/>
          <w:szCs w:val="32"/>
        </w:rPr>
      </w:pPr>
      <w:hyperlink r:id="rId6" w:history="1">
        <w:r w:rsidR="00254F81" w:rsidRPr="00254F81">
          <w:rPr>
            <w:color w:val="0563C1" w:themeColor="hyperlink"/>
            <w:sz w:val="24"/>
            <w:szCs w:val="32"/>
            <w:u w:val="single"/>
          </w:rPr>
          <w:t>ECLI:LV:AT:2020:0</w:t>
        </w:r>
        <w:r w:rsidR="00254F81">
          <w:rPr>
            <w:color w:val="0563C1" w:themeColor="hyperlink"/>
            <w:sz w:val="24"/>
            <w:szCs w:val="32"/>
            <w:u w:val="single"/>
          </w:rPr>
          <w:t>731</w:t>
        </w:r>
        <w:r w:rsidR="00254F81" w:rsidRPr="00254F81">
          <w:rPr>
            <w:color w:val="0563C1" w:themeColor="hyperlink"/>
            <w:sz w:val="24"/>
            <w:szCs w:val="32"/>
            <w:u w:val="single"/>
          </w:rPr>
          <w:t>.</w:t>
        </w:r>
        <w:r w:rsidR="00254F81">
          <w:rPr>
            <w:color w:val="0563C1" w:themeColor="hyperlink"/>
            <w:sz w:val="24"/>
            <w:szCs w:val="32"/>
            <w:u w:val="single"/>
          </w:rPr>
          <w:t>SP</w:t>
        </w:r>
        <w:r w:rsidR="00254F81" w:rsidRPr="00254F81">
          <w:rPr>
            <w:color w:val="0563C1" w:themeColor="hyperlink"/>
            <w:sz w:val="24"/>
            <w:szCs w:val="32"/>
            <w:u w:val="single"/>
          </w:rPr>
          <w:t>C</w:t>
        </w:r>
        <w:r w:rsidR="00254F81">
          <w:rPr>
            <w:color w:val="0563C1" w:themeColor="hyperlink"/>
            <w:sz w:val="24"/>
            <w:szCs w:val="32"/>
            <w:u w:val="single"/>
          </w:rPr>
          <w:t>002220</w:t>
        </w:r>
        <w:r w:rsidR="00254F81" w:rsidRPr="00254F81">
          <w:rPr>
            <w:color w:val="0563C1" w:themeColor="hyperlink"/>
            <w:sz w:val="24"/>
            <w:szCs w:val="32"/>
            <w:u w:val="single"/>
          </w:rPr>
          <w:t>.</w:t>
        </w:r>
        <w:r w:rsidR="00254F81">
          <w:rPr>
            <w:color w:val="0563C1" w:themeColor="hyperlink"/>
            <w:sz w:val="24"/>
            <w:szCs w:val="32"/>
            <w:u w:val="single"/>
          </w:rPr>
          <w:t>3</w:t>
        </w:r>
        <w:r w:rsidR="00254F81" w:rsidRPr="00254F81">
          <w:rPr>
            <w:color w:val="0563C1" w:themeColor="hyperlink"/>
            <w:sz w:val="24"/>
            <w:szCs w:val="32"/>
            <w:u w:val="single"/>
          </w:rPr>
          <w:t>.</w:t>
        </w:r>
        <w:r w:rsidR="00254F81">
          <w:rPr>
            <w:color w:val="0563C1" w:themeColor="hyperlink"/>
            <w:sz w:val="24"/>
            <w:szCs w:val="32"/>
            <w:u w:val="single"/>
          </w:rPr>
          <w:t>L</w:t>
        </w:r>
      </w:hyperlink>
    </w:p>
    <w:p w14:paraId="37455C26" w14:textId="77777777" w:rsidR="00254F81" w:rsidRDefault="00254F81">
      <w:pPr>
        <w:spacing w:before="48"/>
        <w:ind w:left="3677" w:right="3725"/>
        <w:rPr>
          <w:sz w:val="24"/>
          <w:szCs w:val="24"/>
        </w:rPr>
      </w:pPr>
    </w:p>
    <w:p w14:paraId="59CAE436" w14:textId="77777777" w:rsidR="00B2209B" w:rsidRDefault="000B3414" w:rsidP="00B2209B">
      <w:pPr>
        <w:shd w:val="clear" w:color="auto" w:fill="FFFFFF"/>
        <w:spacing w:line="276" w:lineRule="auto"/>
        <w:ind w:left="709" w:right="5280"/>
        <w:rPr>
          <w:rFonts w:eastAsia="Times New Roman"/>
          <w:spacing w:val="-1"/>
          <w:sz w:val="24"/>
          <w:szCs w:val="24"/>
        </w:rPr>
      </w:pPr>
      <w:r>
        <w:rPr>
          <w:sz w:val="24"/>
          <w:szCs w:val="24"/>
        </w:rPr>
        <w:t>Sen</w:t>
      </w:r>
      <w:r>
        <w:rPr>
          <w:rFonts w:eastAsia="Times New Roman"/>
          <w:sz w:val="24"/>
          <w:szCs w:val="24"/>
        </w:rPr>
        <w:t xml:space="preserve">āts šādā sastāvā: </w:t>
      </w:r>
      <w:r>
        <w:rPr>
          <w:rFonts w:eastAsia="Times New Roman"/>
          <w:spacing w:val="-1"/>
          <w:sz w:val="24"/>
          <w:szCs w:val="24"/>
        </w:rPr>
        <w:t xml:space="preserve">senatore referente Anda Briede, </w:t>
      </w:r>
    </w:p>
    <w:p w14:paraId="75E9F69C" w14:textId="77777777" w:rsidR="00B2209B" w:rsidRDefault="000B3414" w:rsidP="00B2209B">
      <w:pPr>
        <w:shd w:val="clear" w:color="auto" w:fill="FFFFFF"/>
        <w:spacing w:line="276" w:lineRule="auto"/>
        <w:ind w:left="960" w:right="5280" w:hanging="240"/>
        <w:rPr>
          <w:rFonts w:eastAsia="Times New Roman"/>
          <w:sz w:val="24"/>
          <w:szCs w:val="24"/>
        </w:rPr>
      </w:pPr>
      <w:r>
        <w:rPr>
          <w:rFonts w:eastAsia="Times New Roman"/>
          <w:sz w:val="24"/>
          <w:szCs w:val="24"/>
        </w:rPr>
        <w:t xml:space="preserve">senators Kaspars Balodis, </w:t>
      </w:r>
    </w:p>
    <w:p w14:paraId="09E73634" w14:textId="57A1D15E" w:rsidR="00D20F21" w:rsidRDefault="000B3414" w:rsidP="00B2209B">
      <w:pPr>
        <w:shd w:val="clear" w:color="auto" w:fill="FFFFFF"/>
        <w:spacing w:line="276" w:lineRule="auto"/>
        <w:ind w:left="960" w:right="5280" w:hanging="240"/>
      </w:pPr>
      <w:r>
        <w:rPr>
          <w:rFonts w:eastAsia="Times New Roman"/>
          <w:sz w:val="24"/>
          <w:szCs w:val="24"/>
        </w:rPr>
        <w:t>senatore Mārīte Zāģere</w:t>
      </w:r>
    </w:p>
    <w:p w14:paraId="06172151" w14:textId="77777777" w:rsidR="00D20F21" w:rsidRDefault="000B3414" w:rsidP="00B2209B">
      <w:pPr>
        <w:shd w:val="clear" w:color="auto" w:fill="FFFFFF"/>
        <w:spacing w:line="276" w:lineRule="auto"/>
        <w:ind w:right="10" w:firstLine="720"/>
        <w:jc w:val="both"/>
      </w:pPr>
      <w:r>
        <w:rPr>
          <w:sz w:val="24"/>
          <w:szCs w:val="24"/>
        </w:rPr>
        <w:t>rakstveida proces</w:t>
      </w:r>
      <w:r>
        <w:rPr>
          <w:rFonts w:eastAsia="Times New Roman"/>
          <w:sz w:val="24"/>
          <w:szCs w:val="24"/>
        </w:rPr>
        <w:t xml:space="preserve">ā izskatīja Ģenerālprokuratūras Personu un valsts tiesību aizsardzības departamenta virsprokurora protestu par Kurzemes rajona tiesas tiesneša </w:t>
      </w:r>
      <w:proofErr w:type="gramStart"/>
      <w:r>
        <w:rPr>
          <w:rFonts w:eastAsia="Times New Roman"/>
          <w:sz w:val="24"/>
          <w:szCs w:val="24"/>
        </w:rPr>
        <w:t>2019.gada</w:t>
      </w:r>
      <w:proofErr w:type="gramEnd"/>
      <w:r>
        <w:rPr>
          <w:rFonts w:eastAsia="Times New Roman"/>
          <w:sz w:val="24"/>
          <w:szCs w:val="24"/>
        </w:rPr>
        <w:t xml:space="preserve"> 5.decembra lēmumu.</w:t>
      </w:r>
    </w:p>
    <w:p w14:paraId="4065CB49" w14:textId="77777777" w:rsidR="00D20F21" w:rsidRDefault="000B3414">
      <w:pPr>
        <w:shd w:val="clear" w:color="auto" w:fill="FFFFFF"/>
        <w:spacing w:before="5"/>
        <w:ind w:left="5"/>
        <w:jc w:val="center"/>
      </w:pPr>
      <w:r>
        <w:rPr>
          <w:b/>
          <w:bCs/>
          <w:sz w:val="24"/>
          <w:szCs w:val="24"/>
        </w:rPr>
        <w:t>Apraksto</w:t>
      </w:r>
      <w:r>
        <w:rPr>
          <w:rFonts w:eastAsia="Times New Roman"/>
          <w:b/>
          <w:bCs/>
          <w:sz w:val="24"/>
          <w:szCs w:val="24"/>
        </w:rPr>
        <w:t>šā daļa</w:t>
      </w:r>
    </w:p>
    <w:p w14:paraId="1C348577" w14:textId="5BCA8F0A" w:rsidR="00D20F21" w:rsidRDefault="000B3414">
      <w:pPr>
        <w:shd w:val="clear" w:color="auto" w:fill="FFFFFF"/>
        <w:spacing w:before="293" w:line="317" w:lineRule="exact"/>
        <w:ind w:left="5" w:right="10" w:firstLine="758"/>
        <w:jc w:val="both"/>
      </w:pPr>
      <w:r>
        <w:rPr>
          <w:sz w:val="24"/>
          <w:szCs w:val="24"/>
        </w:rPr>
        <w:t xml:space="preserve">[1] SIA </w:t>
      </w:r>
      <w:r>
        <w:rPr>
          <w:rFonts w:eastAsia="Times New Roman"/>
          <w:sz w:val="24"/>
          <w:szCs w:val="24"/>
        </w:rPr>
        <w:t xml:space="preserve">„Tele2” </w:t>
      </w:r>
      <w:proofErr w:type="gramStart"/>
      <w:r>
        <w:rPr>
          <w:rFonts w:eastAsia="Times New Roman"/>
          <w:sz w:val="24"/>
          <w:szCs w:val="24"/>
        </w:rPr>
        <w:t>2019.gada</w:t>
      </w:r>
      <w:proofErr w:type="gramEnd"/>
      <w:r>
        <w:rPr>
          <w:rFonts w:eastAsia="Times New Roman"/>
          <w:sz w:val="24"/>
          <w:szCs w:val="24"/>
        </w:rPr>
        <w:t xml:space="preserve"> 15.novembrī iesniegusi tiesā pieteikumu pret </w:t>
      </w:r>
      <w:r w:rsidR="00254F81">
        <w:rPr>
          <w:rFonts w:eastAsia="Times New Roman"/>
          <w:sz w:val="24"/>
          <w:szCs w:val="24"/>
        </w:rPr>
        <w:t>[pers. A]</w:t>
      </w:r>
      <w:r>
        <w:rPr>
          <w:rFonts w:eastAsia="Times New Roman"/>
          <w:sz w:val="24"/>
          <w:szCs w:val="24"/>
        </w:rPr>
        <w:t xml:space="preserve"> par saistības 134,66 EUR piespiedu izpildīšanu brīdinājuma kārtībā.</w:t>
      </w:r>
    </w:p>
    <w:p w14:paraId="25F0E6D2" w14:textId="77777777" w:rsidR="00D20F21" w:rsidRDefault="000B3414">
      <w:pPr>
        <w:shd w:val="clear" w:color="auto" w:fill="FFFFFF"/>
        <w:spacing w:before="278" w:line="317" w:lineRule="exact"/>
        <w:ind w:left="5" w:right="19" w:firstLine="734"/>
        <w:jc w:val="both"/>
      </w:pPr>
      <w:r>
        <w:rPr>
          <w:sz w:val="24"/>
          <w:szCs w:val="24"/>
        </w:rPr>
        <w:t xml:space="preserve">[2] Kurzemes rajona tiesas tiesnesis </w:t>
      </w:r>
      <w:proofErr w:type="gramStart"/>
      <w:r>
        <w:rPr>
          <w:sz w:val="24"/>
          <w:szCs w:val="24"/>
        </w:rPr>
        <w:t>2019.gada</w:t>
      </w:r>
      <w:proofErr w:type="gramEnd"/>
      <w:r>
        <w:rPr>
          <w:sz w:val="24"/>
          <w:szCs w:val="24"/>
        </w:rPr>
        <w:t xml:space="preserve"> 5.decembr</w:t>
      </w:r>
      <w:r>
        <w:rPr>
          <w:rFonts w:eastAsia="Times New Roman"/>
          <w:sz w:val="24"/>
          <w:szCs w:val="24"/>
        </w:rPr>
        <w:t>ī nolēmis izbeigt tiesvedību lietā, norādot šādus argumentus:</w:t>
      </w:r>
    </w:p>
    <w:p w14:paraId="25D3CFCC" w14:textId="77777777" w:rsidR="00D20F21" w:rsidRDefault="000B3414">
      <w:pPr>
        <w:shd w:val="clear" w:color="auto" w:fill="FFFFFF"/>
        <w:spacing w:line="322" w:lineRule="exact"/>
        <w:ind w:left="5" w:right="10" w:firstLine="768"/>
        <w:jc w:val="both"/>
      </w:pPr>
      <w:r>
        <w:rPr>
          <w:sz w:val="24"/>
          <w:szCs w:val="24"/>
        </w:rPr>
        <w:t>[2.1] par pieteikum</w:t>
      </w:r>
      <w:r>
        <w:rPr>
          <w:rFonts w:eastAsia="Times New Roman"/>
          <w:sz w:val="24"/>
          <w:szCs w:val="24"/>
        </w:rPr>
        <w:t xml:space="preserve">ā norādīto saistību parādniekam </w:t>
      </w:r>
      <w:proofErr w:type="gramStart"/>
      <w:r>
        <w:rPr>
          <w:rFonts w:eastAsia="Times New Roman"/>
          <w:sz w:val="24"/>
          <w:szCs w:val="24"/>
        </w:rPr>
        <w:t>2019.gada</w:t>
      </w:r>
      <w:proofErr w:type="gramEnd"/>
      <w:r>
        <w:rPr>
          <w:rFonts w:eastAsia="Times New Roman"/>
          <w:sz w:val="24"/>
          <w:szCs w:val="24"/>
        </w:rPr>
        <w:t xml:space="preserve"> 22.novembrī nosūtīts brīdinājums par maksājuma saistības piespiedu izpildīšanu, un tiesā saņemta pasta pakalpojuma sniedzēja paziņojums, ka brīdinājums izsniegts parādniekam;</w:t>
      </w:r>
    </w:p>
    <w:p w14:paraId="49D77FDA" w14:textId="77777777" w:rsidR="00D20F21" w:rsidRDefault="000B3414">
      <w:pPr>
        <w:shd w:val="clear" w:color="auto" w:fill="FFFFFF"/>
        <w:spacing w:line="322" w:lineRule="exact"/>
        <w:ind w:left="5" w:right="29" w:firstLine="682"/>
        <w:jc w:val="both"/>
      </w:pPr>
      <w:r>
        <w:rPr>
          <w:spacing w:val="-1"/>
          <w:sz w:val="24"/>
          <w:szCs w:val="24"/>
        </w:rPr>
        <w:t>[2.2] no tiesai ats</w:t>
      </w:r>
      <w:r>
        <w:rPr>
          <w:rFonts w:eastAsia="Times New Roman"/>
          <w:spacing w:val="-1"/>
          <w:sz w:val="24"/>
          <w:szCs w:val="24"/>
        </w:rPr>
        <w:t xml:space="preserve">ūtītās atbildes uz tiesas nosūtīto brīdinājumu var secināt, ka to sniegusi cita </w:t>
      </w:r>
      <w:r>
        <w:rPr>
          <w:rFonts w:eastAsia="Times New Roman"/>
          <w:sz w:val="24"/>
          <w:szCs w:val="24"/>
        </w:rPr>
        <w:t>persona;</w:t>
      </w:r>
    </w:p>
    <w:p w14:paraId="6B50B79E" w14:textId="77777777" w:rsidR="00D20F21" w:rsidRDefault="000B3414">
      <w:pPr>
        <w:shd w:val="clear" w:color="auto" w:fill="FFFFFF"/>
        <w:spacing w:line="322" w:lineRule="exact"/>
        <w:ind w:left="5" w:right="10" w:firstLine="715"/>
        <w:jc w:val="both"/>
      </w:pPr>
      <w:r>
        <w:rPr>
          <w:sz w:val="24"/>
          <w:szCs w:val="24"/>
        </w:rPr>
        <w:t>[2.3] procesu</w:t>
      </w:r>
      <w:r>
        <w:rPr>
          <w:rFonts w:eastAsia="Times New Roman"/>
          <w:sz w:val="24"/>
          <w:szCs w:val="24"/>
        </w:rPr>
        <w:t xml:space="preserve">ālo tiesību normas saistību izpildīšanai piespiedu kārtībā nosaka konkrētus </w:t>
      </w:r>
      <w:r>
        <w:rPr>
          <w:rFonts w:eastAsia="Times New Roman"/>
          <w:spacing w:val="-1"/>
          <w:sz w:val="24"/>
          <w:szCs w:val="24"/>
        </w:rPr>
        <w:t>apstākļus, pie kādiem saistība</w:t>
      </w:r>
      <w:proofErr w:type="gramStart"/>
      <w:r>
        <w:rPr>
          <w:rFonts w:eastAsia="Times New Roman"/>
          <w:spacing w:val="-1"/>
          <w:sz w:val="24"/>
          <w:szCs w:val="24"/>
        </w:rPr>
        <w:t xml:space="preserve"> nododama piespiedu izpildīšanai</w:t>
      </w:r>
      <w:proofErr w:type="gramEnd"/>
      <w:r>
        <w:rPr>
          <w:rFonts w:eastAsia="Times New Roman"/>
          <w:spacing w:val="-1"/>
          <w:sz w:val="24"/>
          <w:szCs w:val="24"/>
        </w:rPr>
        <w:t xml:space="preserve">, t.i., ja pieteikumā norādīto saistību </w:t>
      </w:r>
      <w:r>
        <w:rPr>
          <w:rFonts w:eastAsia="Times New Roman"/>
          <w:sz w:val="24"/>
          <w:szCs w:val="24"/>
        </w:rPr>
        <w:t>parādnieks atzinis pilnīgi vai brīdinājumā noteiktajā termiņā nav sniedzis atbildi;</w:t>
      </w:r>
    </w:p>
    <w:p w14:paraId="12A1180B" w14:textId="77777777" w:rsidR="00D20F21" w:rsidRDefault="000B3414">
      <w:pPr>
        <w:shd w:val="clear" w:color="auto" w:fill="FFFFFF"/>
        <w:spacing w:line="322" w:lineRule="exact"/>
        <w:ind w:left="5" w:right="5" w:firstLine="686"/>
        <w:jc w:val="both"/>
      </w:pPr>
      <w:r>
        <w:rPr>
          <w:sz w:val="24"/>
          <w:szCs w:val="24"/>
        </w:rPr>
        <w:t>[2.4] neviens no min</w:t>
      </w:r>
      <w:r>
        <w:rPr>
          <w:rFonts w:eastAsia="Times New Roman"/>
          <w:sz w:val="24"/>
          <w:szCs w:val="24"/>
        </w:rPr>
        <w:t xml:space="preserve">ētajiem apstākļiem nav iestājies, līdz ar to saņemtā atbilde vērtējama kā </w:t>
      </w:r>
      <w:r>
        <w:rPr>
          <w:rFonts w:eastAsia="Times New Roman"/>
          <w:spacing w:val="-1"/>
          <w:sz w:val="24"/>
          <w:szCs w:val="24"/>
        </w:rPr>
        <w:t>parādnieka iebildumi pret saistības pamatotību, kas saskaņā ar Civilprocesa likuma 406.</w:t>
      </w:r>
      <w:r>
        <w:rPr>
          <w:rFonts w:eastAsia="Times New Roman"/>
          <w:spacing w:val="-1"/>
          <w:sz w:val="24"/>
          <w:szCs w:val="24"/>
          <w:vertAlign w:val="superscript"/>
        </w:rPr>
        <w:t>7</w:t>
      </w:r>
      <w:r>
        <w:rPr>
          <w:rFonts w:eastAsia="Times New Roman"/>
          <w:spacing w:val="-1"/>
          <w:sz w:val="24"/>
          <w:szCs w:val="24"/>
        </w:rPr>
        <w:t xml:space="preserve"> panta otro </w:t>
      </w:r>
      <w:r>
        <w:rPr>
          <w:rFonts w:eastAsia="Times New Roman"/>
          <w:sz w:val="24"/>
          <w:szCs w:val="24"/>
        </w:rPr>
        <w:t>daļu ir pamats tiesvedības par saistības piespiedu izpildīšanu brīdinājuma kārtībā izbeigšanai.</w:t>
      </w:r>
    </w:p>
    <w:p w14:paraId="49242A59" w14:textId="77777777" w:rsidR="00D20F21" w:rsidRDefault="000B3414">
      <w:pPr>
        <w:shd w:val="clear" w:color="auto" w:fill="FFFFFF"/>
        <w:spacing w:line="322" w:lineRule="exact"/>
        <w:ind w:left="725"/>
      </w:pPr>
      <w:r>
        <w:rPr>
          <w:sz w:val="24"/>
          <w:szCs w:val="24"/>
        </w:rPr>
        <w:t>L</w:t>
      </w:r>
      <w:r>
        <w:rPr>
          <w:rFonts w:eastAsia="Times New Roman"/>
          <w:sz w:val="24"/>
          <w:szCs w:val="24"/>
        </w:rPr>
        <w:t>ēmums, kā nepārsūdzams, stājies likumīgā spēkā.</w:t>
      </w:r>
    </w:p>
    <w:p w14:paraId="0B7975B2" w14:textId="77777777" w:rsidR="00D20F21" w:rsidRDefault="000B3414">
      <w:pPr>
        <w:shd w:val="clear" w:color="auto" w:fill="FFFFFF"/>
        <w:spacing w:before="600" w:line="317" w:lineRule="exact"/>
        <w:ind w:firstLine="720"/>
        <w:jc w:val="both"/>
      </w:pPr>
      <w:r>
        <w:rPr>
          <w:sz w:val="24"/>
          <w:szCs w:val="24"/>
        </w:rPr>
        <w:lastRenderedPageBreak/>
        <w:t xml:space="preserve">[3] </w:t>
      </w:r>
      <w:r>
        <w:rPr>
          <w:rFonts w:eastAsia="Times New Roman"/>
          <w:sz w:val="24"/>
          <w:szCs w:val="24"/>
        </w:rPr>
        <w:t xml:space="preserve">Ģenerālprokuratūras Personu un valsts tiesību aizsardzības departamenta virsprokurors iesniedzis protestu, kurā lūdzis atcelt Kurzemes rajona tiesas tiesneša </w:t>
      </w:r>
      <w:proofErr w:type="gramStart"/>
      <w:r>
        <w:rPr>
          <w:rFonts w:eastAsia="Times New Roman"/>
          <w:sz w:val="24"/>
          <w:szCs w:val="24"/>
        </w:rPr>
        <w:t>2019.gada</w:t>
      </w:r>
      <w:proofErr w:type="gramEnd"/>
      <w:r>
        <w:rPr>
          <w:rFonts w:eastAsia="Times New Roman"/>
          <w:sz w:val="24"/>
          <w:szCs w:val="24"/>
        </w:rPr>
        <w:t xml:space="preserve"> 5.decembra lēmumu un lietu nodot jaunai izskatīšanai.</w:t>
      </w:r>
    </w:p>
    <w:p w14:paraId="36058FFE" w14:textId="01C33487" w:rsidR="00D20F21" w:rsidRDefault="000B3414" w:rsidP="00B2209B">
      <w:pPr>
        <w:shd w:val="clear" w:color="auto" w:fill="FFFFFF"/>
        <w:spacing w:line="346" w:lineRule="exact"/>
        <w:ind w:right="5" w:firstLine="720"/>
        <w:jc w:val="both"/>
      </w:pPr>
      <w:r>
        <w:rPr>
          <w:sz w:val="24"/>
          <w:szCs w:val="24"/>
        </w:rPr>
        <w:t>Protest</w:t>
      </w:r>
      <w:r>
        <w:rPr>
          <w:rFonts w:eastAsia="Times New Roman"/>
          <w:sz w:val="24"/>
          <w:szCs w:val="24"/>
        </w:rPr>
        <w:t>ā norādīts, ka lietas materiālos esošā atbilde uz brīdinājumu nav aizpildīta un parakstīta, tādēļ tā neatbilst Civilprocesa likuma 406.</w:t>
      </w:r>
      <w:r>
        <w:rPr>
          <w:rFonts w:eastAsia="Times New Roman"/>
          <w:sz w:val="24"/>
          <w:szCs w:val="24"/>
          <w:vertAlign w:val="superscript"/>
        </w:rPr>
        <w:t>7</w:t>
      </w:r>
      <w:r>
        <w:rPr>
          <w:rFonts w:eastAsia="Times New Roman"/>
          <w:sz w:val="24"/>
          <w:szCs w:val="24"/>
        </w:rPr>
        <w:t xml:space="preserve"> panta pirmajā daļā noteiktajām prasībām un</w:t>
      </w:r>
      <w:r w:rsidR="00B2209B">
        <w:rPr>
          <w:rFonts w:eastAsia="Times New Roman"/>
          <w:sz w:val="24"/>
          <w:szCs w:val="24"/>
        </w:rPr>
        <w:t xml:space="preserve"> </w:t>
      </w:r>
      <w:r>
        <w:rPr>
          <w:sz w:val="24"/>
          <w:szCs w:val="24"/>
        </w:rPr>
        <w:t>nevar tikt v</w:t>
      </w:r>
      <w:r>
        <w:rPr>
          <w:rFonts w:eastAsia="Times New Roman"/>
          <w:sz w:val="24"/>
          <w:szCs w:val="24"/>
        </w:rPr>
        <w:t>ērtēta kā parādnieka iebildumi. Nepiemērojot minētā likuma 406.</w:t>
      </w:r>
      <w:r>
        <w:rPr>
          <w:rFonts w:eastAsia="Times New Roman"/>
          <w:sz w:val="24"/>
          <w:szCs w:val="24"/>
          <w:vertAlign w:val="superscript"/>
        </w:rPr>
        <w:t>9</w:t>
      </w:r>
      <w:r>
        <w:rPr>
          <w:rFonts w:eastAsia="Times New Roman"/>
          <w:sz w:val="24"/>
          <w:szCs w:val="24"/>
        </w:rPr>
        <w:t xml:space="preserve"> panta pirmo daļu un izbeidzot tiesvedību lietā, tiesnesis ir pieļāvis būtiskus procesuālo tiesību normu pārkāpumus, kas noveduši pie nepareiza lēmuma pieņemšanas un pieteicējas likumīgo tiesību aizskāruma.</w:t>
      </w:r>
    </w:p>
    <w:p w14:paraId="0E71C2F7" w14:textId="77777777" w:rsidR="00D20F21" w:rsidRDefault="000B3414">
      <w:pPr>
        <w:shd w:val="clear" w:color="auto" w:fill="FFFFFF"/>
        <w:spacing w:before="326"/>
        <w:ind w:right="5"/>
        <w:jc w:val="center"/>
      </w:pPr>
      <w:r>
        <w:rPr>
          <w:b/>
          <w:bCs/>
          <w:sz w:val="24"/>
          <w:szCs w:val="24"/>
        </w:rPr>
        <w:t>Mot</w:t>
      </w:r>
      <w:r>
        <w:rPr>
          <w:rFonts w:eastAsia="Times New Roman"/>
          <w:b/>
          <w:bCs/>
          <w:sz w:val="24"/>
          <w:szCs w:val="24"/>
        </w:rPr>
        <w:t>īvu daļa</w:t>
      </w:r>
    </w:p>
    <w:p w14:paraId="3D514058" w14:textId="77777777" w:rsidR="00D20F21" w:rsidRDefault="000B3414">
      <w:pPr>
        <w:shd w:val="clear" w:color="auto" w:fill="FFFFFF"/>
        <w:spacing w:before="250" w:line="317" w:lineRule="exact"/>
        <w:ind w:right="5" w:firstLine="720"/>
        <w:jc w:val="both"/>
      </w:pPr>
      <w:r>
        <w:rPr>
          <w:sz w:val="24"/>
          <w:szCs w:val="24"/>
        </w:rPr>
        <w:t>[4] P</w:t>
      </w:r>
      <w:r>
        <w:rPr>
          <w:rFonts w:eastAsia="Times New Roman"/>
          <w:sz w:val="24"/>
          <w:szCs w:val="24"/>
        </w:rPr>
        <w:t>ārbaudījis lēmuma likumību attiecībā uz protestā minētajiem argumentiem, Senāts atzīst, ka protests ir pamatots.</w:t>
      </w:r>
    </w:p>
    <w:p w14:paraId="711E35CD" w14:textId="77777777" w:rsidR="00D20F21" w:rsidRDefault="000B3414">
      <w:pPr>
        <w:shd w:val="clear" w:color="auto" w:fill="FFFFFF"/>
        <w:spacing w:before="293" w:line="317" w:lineRule="exact"/>
        <w:ind w:right="5" w:firstLine="720"/>
        <w:jc w:val="both"/>
      </w:pPr>
      <w:r>
        <w:rPr>
          <w:sz w:val="24"/>
          <w:szCs w:val="24"/>
        </w:rPr>
        <w:t>[5] Saist</w:t>
      </w:r>
      <w:r>
        <w:rPr>
          <w:rFonts w:eastAsia="Times New Roman"/>
          <w:sz w:val="24"/>
          <w:szCs w:val="24"/>
        </w:rPr>
        <w:t>ību piespiedu izpildīšanu brīdinājuma kārtībā reglamentē Civilprocesa likuma 50.</w:t>
      </w:r>
      <w:r>
        <w:rPr>
          <w:rFonts w:eastAsia="Times New Roman"/>
          <w:sz w:val="24"/>
          <w:szCs w:val="24"/>
          <w:vertAlign w:val="superscript"/>
        </w:rPr>
        <w:t xml:space="preserve">1 </w:t>
      </w:r>
      <w:r>
        <w:rPr>
          <w:rFonts w:eastAsia="Times New Roman"/>
          <w:sz w:val="24"/>
          <w:szCs w:val="24"/>
        </w:rPr>
        <w:t>nodaļas tiesību normas.</w:t>
      </w:r>
    </w:p>
    <w:p w14:paraId="2F02DE67" w14:textId="77777777" w:rsidR="00D20F21" w:rsidRDefault="000B3414">
      <w:pPr>
        <w:shd w:val="clear" w:color="auto" w:fill="FFFFFF"/>
        <w:spacing w:before="10" w:line="317" w:lineRule="exact"/>
        <w:ind w:right="5" w:firstLine="720"/>
        <w:jc w:val="both"/>
      </w:pPr>
      <w:r>
        <w:rPr>
          <w:spacing w:val="-1"/>
          <w:sz w:val="24"/>
          <w:szCs w:val="24"/>
        </w:rPr>
        <w:t>Saska</w:t>
      </w:r>
      <w:r>
        <w:rPr>
          <w:rFonts w:eastAsia="Times New Roman"/>
          <w:spacing w:val="-1"/>
          <w:sz w:val="24"/>
          <w:szCs w:val="24"/>
        </w:rPr>
        <w:t>ņā ar šajā nodaļā ietvertā 406.</w:t>
      </w:r>
      <w:r>
        <w:rPr>
          <w:rFonts w:eastAsia="Times New Roman"/>
          <w:spacing w:val="-1"/>
          <w:sz w:val="24"/>
          <w:szCs w:val="24"/>
          <w:vertAlign w:val="superscript"/>
        </w:rPr>
        <w:t>6</w:t>
      </w:r>
      <w:r>
        <w:rPr>
          <w:rFonts w:eastAsia="Times New Roman"/>
          <w:spacing w:val="-1"/>
          <w:sz w:val="24"/>
          <w:szCs w:val="24"/>
        </w:rPr>
        <w:t xml:space="preserve"> panta pirmo daļu brīdinājumu un atbildes veidlapu, kas </w:t>
      </w:r>
      <w:r>
        <w:rPr>
          <w:rFonts w:eastAsia="Times New Roman"/>
          <w:sz w:val="24"/>
          <w:szCs w:val="24"/>
        </w:rPr>
        <w:t>noformēta atbilstoši Ministru kabineta apstiprinātajam paraugam, izsniedz parādniekam pret parakstu. Dokuments ar parakstu par saņemšanu un atzīmi par brīdinājuma izsniegšanas datumu iesniedzams tiesā.</w:t>
      </w:r>
    </w:p>
    <w:p w14:paraId="1C1AE2AC" w14:textId="77777777" w:rsidR="00D20F21" w:rsidRDefault="000B3414">
      <w:pPr>
        <w:shd w:val="clear" w:color="auto" w:fill="FFFFFF"/>
        <w:spacing w:line="317" w:lineRule="exact"/>
        <w:ind w:right="10" w:firstLine="720"/>
        <w:jc w:val="both"/>
      </w:pPr>
      <w:r>
        <w:rPr>
          <w:sz w:val="24"/>
          <w:szCs w:val="24"/>
        </w:rPr>
        <w:t>No lietas materi</w:t>
      </w:r>
      <w:r>
        <w:rPr>
          <w:rFonts w:eastAsia="Times New Roman"/>
          <w:sz w:val="24"/>
          <w:szCs w:val="24"/>
        </w:rPr>
        <w:t xml:space="preserve">āliem redzams, ka tiesa </w:t>
      </w:r>
      <w:proofErr w:type="gramStart"/>
      <w:r>
        <w:rPr>
          <w:rFonts w:eastAsia="Times New Roman"/>
          <w:sz w:val="24"/>
          <w:szCs w:val="24"/>
        </w:rPr>
        <w:t>2019.gada</w:t>
      </w:r>
      <w:proofErr w:type="gramEnd"/>
      <w:r>
        <w:rPr>
          <w:rFonts w:eastAsia="Times New Roman"/>
          <w:sz w:val="24"/>
          <w:szCs w:val="24"/>
        </w:rPr>
        <w:t xml:space="preserve"> 22.novembrī nosūtījusi parādniekam brīdinājumu un atbildes veidlapu, kas noformēta atbilstoši Ministru kabineta apstiprinātajam paraugam. Tiesā </w:t>
      </w:r>
      <w:proofErr w:type="gramStart"/>
      <w:r>
        <w:rPr>
          <w:rFonts w:eastAsia="Times New Roman"/>
          <w:sz w:val="24"/>
          <w:szCs w:val="24"/>
        </w:rPr>
        <w:t>2019.gada</w:t>
      </w:r>
      <w:proofErr w:type="gramEnd"/>
      <w:r>
        <w:rPr>
          <w:rFonts w:eastAsia="Times New Roman"/>
          <w:sz w:val="24"/>
          <w:szCs w:val="24"/>
        </w:rPr>
        <w:t xml:space="preserve"> 26.novembrī saņemts pasta pakalpojumu sniedzēja paziņojums, ka brīdinājums ar tam pievienoto pielikumu 2019.gada 25.novembrī izsniegts adresātam (</w:t>
      </w:r>
      <w:r>
        <w:rPr>
          <w:rFonts w:eastAsia="Times New Roman"/>
          <w:i/>
          <w:iCs/>
          <w:sz w:val="24"/>
          <w:szCs w:val="24"/>
        </w:rPr>
        <w:t>lietas 7.lp.</w:t>
      </w:r>
      <w:r>
        <w:rPr>
          <w:rFonts w:eastAsia="Times New Roman"/>
          <w:sz w:val="24"/>
          <w:szCs w:val="24"/>
        </w:rPr>
        <w:t>).</w:t>
      </w:r>
    </w:p>
    <w:p w14:paraId="4E769E60" w14:textId="77777777" w:rsidR="00D20F21" w:rsidRDefault="000B3414">
      <w:pPr>
        <w:shd w:val="clear" w:color="auto" w:fill="FFFFFF"/>
        <w:spacing w:before="10" w:line="322" w:lineRule="exact"/>
        <w:ind w:right="10" w:firstLine="720"/>
        <w:jc w:val="both"/>
      </w:pPr>
      <w:r>
        <w:rPr>
          <w:sz w:val="24"/>
          <w:szCs w:val="24"/>
        </w:rPr>
        <w:t>Civilprocesa likuma 406.</w:t>
      </w:r>
      <w:r>
        <w:rPr>
          <w:sz w:val="24"/>
          <w:szCs w:val="24"/>
          <w:vertAlign w:val="superscript"/>
        </w:rPr>
        <w:t>7</w:t>
      </w:r>
      <w:r>
        <w:rPr>
          <w:sz w:val="24"/>
          <w:szCs w:val="24"/>
        </w:rPr>
        <w:t xml:space="preserve"> panta pirmaj</w:t>
      </w:r>
      <w:r>
        <w:rPr>
          <w:rFonts w:eastAsia="Times New Roman"/>
          <w:sz w:val="24"/>
          <w:szCs w:val="24"/>
        </w:rPr>
        <w:t>ā daļā noteikts, ka parādnieka atbilde noformējama atbilstoši Ministru kabineta apstiprinātajam paraugam, savukārt otrā daļa paredz: termiņā iesniegtie parādnieka iebildumi pret maksājuma saistības pamatotību vai parāda samaksa ir pamats tiesvedības izbeigšanai saistību izpildīšanai brīdinājuma kārtībā.</w:t>
      </w:r>
    </w:p>
    <w:p w14:paraId="37A6A410" w14:textId="77777777" w:rsidR="00D20F21" w:rsidRDefault="000B3414">
      <w:pPr>
        <w:shd w:val="clear" w:color="auto" w:fill="FFFFFF"/>
        <w:spacing w:line="322" w:lineRule="exact"/>
        <w:ind w:right="14" w:firstLine="720"/>
        <w:jc w:val="both"/>
      </w:pPr>
      <w:r>
        <w:rPr>
          <w:sz w:val="24"/>
          <w:szCs w:val="24"/>
        </w:rPr>
        <w:t>T</w:t>
      </w:r>
      <w:r>
        <w:rPr>
          <w:rFonts w:eastAsia="Times New Roman"/>
          <w:sz w:val="24"/>
          <w:szCs w:val="24"/>
        </w:rPr>
        <w:t>ātad tiesvedības izbeigšanas pamats ir termiņā iesniegti parādnieka iebildumi, kas noformēti atbilstoši Ministru kabineta apstiprinātajam paraugam. Proti, atbildes veidlapā ir jābūt aizpildītām attiecīgām ailēm un tai jābūt parakstītai.</w:t>
      </w:r>
    </w:p>
    <w:p w14:paraId="0EF0D5D4" w14:textId="77777777" w:rsidR="00D20F21" w:rsidRDefault="000B3414">
      <w:pPr>
        <w:shd w:val="clear" w:color="auto" w:fill="FFFFFF"/>
        <w:spacing w:line="322" w:lineRule="exact"/>
        <w:ind w:right="10" w:firstLine="720"/>
        <w:jc w:val="both"/>
      </w:pPr>
      <w:r>
        <w:rPr>
          <w:sz w:val="24"/>
          <w:szCs w:val="24"/>
        </w:rPr>
        <w:t>Ta</w:t>
      </w:r>
      <w:r>
        <w:rPr>
          <w:rFonts w:eastAsia="Times New Roman"/>
          <w:sz w:val="24"/>
          <w:szCs w:val="24"/>
        </w:rPr>
        <w:t>ču konkrētajā gadījumā tiesnesis par parādnieka iebildumiem atzinis tiesai atsūtītu neaizpildītu un neparakstītu (tukšu) atbildes veidlapu, kurai pievienota neparakstīta informatīva vēstule par to, ka parādnieks deklarētajā dzīvesvietā nedzīvo un brīdinājums būtu nosūtāms uz viņa faktisko dzīvesvietu (</w:t>
      </w:r>
      <w:r>
        <w:rPr>
          <w:rFonts w:eastAsia="Times New Roman"/>
          <w:i/>
          <w:iCs/>
          <w:sz w:val="24"/>
          <w:szCs w:val="24"/>
        </w:rPr>
        <w:t>lietas 8.-10.lp.</w:t>
      </w:r>
      <w:r>
        <w:rPr>
          <w:rFonts w:eastAsia="Times New Roman"/>
          <w:sz w:val="24"/>
          <w:szCs w:val="24"/>
        </w:rPr>
        <w:t>). Senāts atzīst, ka lietā esošā atbilde uz brīdinājumu, kā tas pareizi norādīts protestā, neatbilst Civilprocesa likuma 406.</w:t>
      </w:r>
      <w:r>
        <w:rPr>
          <w:rFonts w:eastAsia="Times New Roman"/>
          <w:sz w:val="24"/>
          <w:szCs w:val="24"/>
          <w:vertAlign w:val="superscript"/>
        </w:rPr>
        <w:t>7</w:t>
      </w:r>
      <w:r>
        <w:rPr>
          <w:rFonts w:eastAsia="Times New Roman"/>
          <w:sz w:val="24"/>
          <w:szCs w:val="24"/>
        </w:rPr>
        <w:t xml:space="preserve"> panta pirmajā daļā noteiktajām prasībām, un tā nevar tikt vērtēta kā parādnieka iebildumi pret saistības pamatotību.</w:t>
      </w:r>
    </w:p>
    <w:p w14:paraId="4847DB97" w14:textId="77777777" w:rsidR="00D20F21" w:rsidRDefault="000B3414">
      <w:pPr>
        <w:shd w:val="clear" w:color="auto" w:fill="FFFFFF"/>
        <w:spacing w:line="322" w:lineRule="exact"/>
        <w:ind w:firstLine="720"/>
        <w:jc w:val="both"/>
      </w:pPr>
      <w:r>
        <w:rPr>
          <w:sz w:val="24"/>
          <w:szCs w:val="24"/>
        </w:rPr>
        <w:t>Ja br</w:t>
      </w:r>
      <w:r>
        <w:rPr>
          <w:rFonts w:eastAsia="Times New Roman"/>
          <w:sz w:val="24"/>
          <w:szCs w:val="24"/>
        </w:rPr>
        <w:t>īdinājumā noteiktajā termiņā parādnieks nav iesniedzis iebildumus, tiesnesis septiņu dienu laikā no iebildumu termiņa izbeigšanās dienas pieņem lēmumu par pieteikumā norādītās maksājuma saistības piespiedu izpildi un tiesas izdevumu piedziņu (Civilprocesa likuma 406.</w:t>
      </w:r>
      <w:r>
        <w:rPr>
          <w:rFonts w:eastAsia="Times New Roman"/>
          <w:sz w:val="24"/>
          <w:szCs w:val="24"/>
          <w:vertAlign w:val="superscript"/>
        </w:rPr>
        <w:t xml:space="preserve">9 </w:t>
      </w:r>
      <w:r>
        <w:rPr>
          <w:rFonts w:eastAsia="Times New Roman"/>
          <w:sz w:val="24"/>
          <w:szCs w:val="24"/>
        </w:rPr>
        <w:t>panta pirmā daļa).</w:t>
      </w:r>
    </w:p>
    <w:p w14:paraId="07C004D4" w14:textId="3DD06006" w:rsidR="00D20F21" w:rsidRDefault="000B3414">
      <w:pPr>
        <w:shd w:val="clear" w:color="auto" w:fill="FFFFFF"/>
        <w:spacing w:line="322" w:lineRule="exact"/>
        <w:ind w:right="10" w:firstLine="720"/>
        <w:jc w:val="both"/>
      </w:pPr>
      <w:r>
        <w:rPr>
          <w:sz w:val="24"/>
          <w:szCs w:val="24"/>
        </w:rPr>
        <w:t>T</w:t>
      </w:r>
      <w:r>
        <w:rPr>
          <w:rFonts w:eastAsia="Times New Roman"/>
          <w:sz w:val="24"/>
          <w:szCs w:val="24"/>
        </w:rPr>
        <w:t xml:space="preserve">ā kā parādnieks </w:t>
      </w:r>
      <w:r w:rsidR="00254F81">
        <w:rPr>
          <w:rFonts w:eastAsia="Times New Roman"/>
          <w:sz w:val="24"/>
          <w:szCs w:val="24"/>
        </w:rPr>
        <w:t>[pers. A]</w:t>
      </w:r>
      <w:r>
        <w:rPr>
          <w:rFonts w:eastAsia="Times New Roman"/>
          <w:sz w:val="24"/>
          <w:szCs w:val="24"/>
        </w:rPr>
        <w:t xml:space="preserve"> brīdinājumā noteiktajā termiņā nav sniedzis iebildumus, t.i., atbildi, kas noformēta atbilstoši Ministru kabineta apstiprinātajam paraugam, tiesnesis kļūdaini </w:t>
      </w:r>
      <w:r>
        <w:rPr>
          <w:rFonts w:eastAsia="Times New Roman"/>
          <w:sz w:val="24"/>
          <w:szCs w:val="24"/>
        </w:rPr>
        <w:lastRenderedPageBreak/>
        <w:t>atzinis, ka ir iestājušies Civilprocesa likuma 406.</w:t>
      </w:r>
      <w:r>
        <w:rPr>
          <w:rFonts w:eastAsia="Times New Roman"/>
          <w:sz w:val="24"/>
          <w:szCs w:val="24"/>
          <w:vertAlign w:val="superscript"/>
        </w:rPr>
        <w:t>7</w:t>
      </w:r>
      <w:r>
        <w:rPr>
          <w:rFonts w:eastAsia="Times New Roman"/>
          <w:sz w:val="24"/>
          <w:szCs w:val="24"/>
        </w:rPr>
        <w:t xml:space="preserve"> panta otrajā daļā minētie priekšnosacījumi tiesvedības izbeigšanai lietā.</w:t>
      </w:r>
    </w:p>
    <w:p w14:paraId="6C85EBBD" w14:textId="77777777" w:rsidR="00D20F21" w:rsidRDefault="000B3414">
      <w:pPr>
        <w:shd w:val="clear" w:color="auto" w:fill="FFFFFF"/>
        <w:spacing w:before="14" w:line="322" w:lineRule="exact"/>
        <w:ind w:right="5" w:firstLine="720"/>
        <w:jc w:val="both"/>
      </w:pPr>
      <w:r>
        <w:rPr>
          <w:sz w:val="24"/>
          <w:szCs w:val="24"/>
        </w:rPr>
        <w:t>T</w:t>
      </w:r>
      <w:r>
        <w:rPr>
          <w:rFonts w:eastAsia="Times New Roman"/>
          <w:sz w:val="24"/>
          <w:szCs w:val="24"/>
        </w:rPr>
        <w:t>ādējādi Senāts atzīst, ka tiesnesis, nepareizi piemērojot Civilprocesa likuma 406.</w:t>
      </w:r>
      <w:r>
        <w:rPr>
          <w:rFonts w:eastAsia="Times New Roman"/>
          <w:sz w:val="24"/>
          <w:szCs w:val="24"/>
          <w:vertAlign w:val="superscript"/>
        </w:rPr>
        <w:t>7</w:t>
      </w:r>
      <w:r>
        <w:rPr>
          <w:rFonts w:eastAsia="Times New Roman"/>
          <w:sz w:val="24"/>
          <w:szCs w:val="24"/>
        </w:rPr>
        <w:t xml:space="preserve"> panta otro daļu un nepiemērojot šā likuma 406.</w:t>
      </w:r>
      <w:r>
        <w:rPr>
          <w:rFonts w:eastAsia="Times New Roman"/>
          <w:sz w:val="24"/>
          <w:szCs w:val="24"/>
          <w:vertAlign w:val="superscript"/>
        </w:rPr>
        <w:t>9</w:t>
      </w:r>
      <w:r>
        <w:rPr>
          <w:rFonts w:eastAsia="Times New Roman"/>
          <w:sz w:val="24"/>
          <w:szCs w:val="24"/>
        </w:rPr>
        <w:t xml:space="preserve"> panta pirmo daļu, ir pieļāvis procesuālo tiesību normu </w:t>
      </w:r>
      <w:r>
        <w:rPr>
          <w:rFonts w:eastAsia="Times New Roman"/>
          <w:spacing w:val="-1"/>
          <w:sz w:val="24"/>
          <w:szCs w:val="24"/>
        </w:rPr>
        <w:t xml:space="preserve">pārkāpumus, kas uzskatāmi par būtiskiem, jo noveduši pie nepamatota lēmuma pieņemšanas. Šādos </w:t>
      </w:r>
      <w:r>
        <w:rPr>
          <w:rFonts w:eastAsia="Times New Roman"/>
          <w:sz w:val="24"/>
          <w:szCs w:val="24"/>
        </w:rPr>
        <w:t xml:space="preserve">apstākļos Kurzemes rajona tiesas tiesneša </w:t>
      </w:r>
      <w:proofErr w:type="gramStart"/>
      <w:r>
        <w:rPr>
          <w:rFonts w:eastAsia="Times New Roman"/>
          <w:sz w:val="24"/>
          <w:szCs w:val="24"/>
        </w:rPr>
        <w:t>2019.gada</w:t>
      </w:r>
      <w:proofErr w:type="gramEnd"/>
      <w:r>
        <w:rPr>
          <w:rFonts w:eastAsia="Times New Roman"/>
          <w:sz w:val="24"/>
          <w:szCs w:val="24"/>
        </w:rPr>
        <w:t xml:space="preserve"> 5.decembra lēmums ir atceļams un SIA „Tele2” pieteikums nododams jaunai izskatīšanai.</w:t>
      </w:r>
    </w:p>
    <w:p w14:paraId="2D51A43D" w14:textId="77777777" w:rsidR="00FB6360" w:rsidRDefault="00FB6360">
      <w:pPr>
        <w:shd w:val="clear" w:color="auto" w:fill="FFFFFF"/>
        <w:ind w:left="10"/>
        <w:jc w:val="center"/>
        <w:rPr>
          <w:b/>
          <w:bCs/>
          <w:sz w:val="24"/>
          <w:szCs w:val="24"/>
        </w:rPr>
      </w:pPr>
    </w:p>
    <w:p w14:paraId="486C2809" w14:textId="1C420F4C" w:rsidR="00D20F21" w:rsidRDefault="000B3414">
      <w:pPr>
        <w:shd w:val="clear" w:color="auto" w:fill="FFFFFF"/>
        <w:ind w:left="10"/>
        <w:jc w:val="center"/>
      </w:pPr>
      <w:r>
        <w:rPr>
          <w:b/>
          <w:bCs/>
          <w:sz w:val="24"/>
          <w:szCs w:val="24"/>
        </w:rPr>
        <w:t>Rezolut</w:t>
      </w:r>
      <w:r>
        <w:rPr>
          <w:rFonts w:eastAsia="Times New Roman"/>
          <w:b/>
          <w:bCs/>
          <w:sz w:val="24"/>
          <w:szCs w:val="24"/>
        </w:rPr>
        <w:t>īvā daļa</w:t>
      </w:r>
    </w:p>
    <w:p w14:paraId="7848A9DF" w14:textId="77777777" w:rsidR="00D20F21" w:rsidRDefault="000B3414">
      <w:pPr>
        <w:shd w:val="clear" w:color="auto" w:fill="FFFFFF"/>
        <w:spacing w:before="264"/>
        <w:ind w:left="715"/>
      </w:pPr>
      <w:r>
        <w:rPr>
          <w:sz w:val="24"/>
          <w:szCs w:val="24"/>
        </w:rPr>
        <w:t xml:space="preserve">Pamatojoties uz Civilprocesa likuma </w:t>
      </w:r>
      <w:proofErr w:type="gramStart"/>
      <w:r>
        <w:rPr>
          <w:sz w:val="24"/>
          <w:szCs w:val="24"/>
        </w:rPr>
        <w:t>474.panta</w:t>
      </w:r>
      <w:proofErr w:type="gramEnd"/>
      <w:r>
        <w:rPr>
          <w:sz w:val="24"/>
          <w:szCs w:val="24"/>
        </w:rPr>
        <w:t xml:space="preserve"> 2.punktu un 485.pantu, Sen</w:t>
      </w:r>
      <w:r>
        <w:rPr>
          <w:rFonts w:eastAsia="Times New Roman"/>
          <w:sz w:val="24"/>
          <w:szCs w:val="24"/>
        </w:rPr>
        <w:t>āts</w:t>
      </w:r>
    </w:p>
    <w:p w14:paraId="16A9D097" w14:textId="77777777" w:rsidR="00D20F21" w:rsidRDefault="000B3414">
      <w:pPr>
        <w:shd w:val="clear" w:color="auto" w:fill="FFFFFF"/>
        <w:spacing w:before="341"/>
        <w:ind w:left="14"/>
        <w:jc w:val="center"/>
      </w:pPr>
      <w:r>
        <w:rPr>
          <w:b/>
          <w:bCs/>
          <w:sz w:val="24"/>
          <w:szCs w:val="24"/>
        </w:rPr>
        <w:t>nol</w:t>
      </w:r>
      <w:r>
        <w:rPr>
          <w:rFonts w:eastAsia="Times New Roman"/>
          <w:b/>
          <w:bCs/>
          <w:sz w:val="24"/>
          <w:szCs w:val="24"/>
        </w:rPr>
        <w:t>ēma</w:t>
      </w:r>
    </w:p>
    <w:p w14:paraId="0BB3FF02" w14:textId="0E21BB77" w:rsidR="00D20F21" w:rsidRDefault="000B3414">
      <w:pPr>
        <w:shd w:val="clear" w:color="auto" w:fill="FFFFFF"/>
        <w:spacing w:before="245" w:line="317" w:lineRule="exact"/>
        <w:ind w:firstLine="744"/>
        <w:jc w:val="both"/>
      </w:pPr>
      <w:r>
        <w:rPr>
          <w:sz w:val="24"/>
          <w:szCs w:val="24"/>
        </w:rPr>
        <w:t>Kurzemes rajona tiesas tiesne</w:t>
      </w:r>
      <w:r>
        <w:rPr>
          <w:rFonts w:eastAsia="Times New Roman"/>
          <w:sz w:val="24"/>
          <w:szCs w:val="24"/>
        </w:rPr>
        <w:t xml:space="preserve">ša </w:t>
      </w:r>
      <w:proofErr w:type="gramStart"/>
      <w:r>
        <w:rPr>
          <w:rFonts w:eastAsia="Times New Roman"/>
          <w:sz w:val="24"/>
          <w:szCs w:val="24"/>
        </w:rPr>
        <w:t>2019.gada</w:t>
      </w:r>
      <w:proofErr w:type="gramEnd"/>
      <w:r>
        <w:rPr>
          <w:rFonts w:eastAsia="Times New Roman"/>
          <w:sz w:val="24"/>
          <w:szCs w:val="24"/>
        </w:rPr>
        <w:t xml:space="preserve"> 5.decembra lēmumu atcelt un SIA „Tele2” pieteikumu pret </w:t>
      </w:r>
      <w:r w:rsidR="00254F81">
        <w:rPr>
          <w:rFonts w:eastAsia="Times New Roman"/>
          <w:sz w:val="24"/>
          <w:szCs w:val="24"/>
        </w:rPr>
        <w:t>[pers. A]</w:t>
      </w:r>
      <w:r>
        <w:rPr>
          <w:rFonts w:eastAsia="Times New Roman"/>
          <w:sz w:val="24"/>
          <w:szCs w:val="24"/>
        </w:rPr>
        <w:t xml:space="preserve"> par saistības piespiedu izpildīšanu brīdinājuma kārtībā nodot jaunai izskatīšanai tai pašai tiesai.</w:t>
      </w:r>
    </w:p>
    <w:p w14:paraId="134AB484" w14:textId="77777777" w:rsidR="000B3414" w:rsidRDefault="000B3414">
      <w:pPr>
        <w:shd w:val="clear" w:color="auto" w:fill="FFFFFF"/>
        <w:spacing w:line="317" w:lineRule="exact"/>
        <w:ind w:left="691"/>
      </w:pPr>
      <w:r>
        <w:rPr>
          <w:sz w:val="24"/>
          <w:szCs w:val="24"/>
        </w:rPr>
        <w:t>L</w:t>
      </w:r>
      <w:r>
        <w:rPr>
          <w:rFonts w:eastAsia="Times New Roman"/>
          <w:sz w:val="24"/>
          <w:szCs w:val="24"/>
        </w:rPr>
        <w:t>ēmums nav pārsūdzams.</w:t>
      </w:r>
    </w:p>
    <w:sectPr w:rsidR="000B3414" w:rsidSect="00254F81">
      <w:pgSz w:w="11909" w:h="16834"/>
      <w:pgMar w:top="835" w:right="1136" w:bottom="1276"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459D3" w14:textId="77777777" w:rsidR="000B3B08" w:rsidRDefault="000B3B08" w:rsidP="00544C3E">
      <w:r>
        <w:separator/>
      </w:r>
    </w:p>
  </w:endnote>
  <w:endnote w:type="continuationSeparator" w:id="0">
    <w:p w14:paraId="49F6B961" w14:textId="77777777" w:rsidR="000B3B08" w:rsidRDefault="000B3B08" w:rsidP="0054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C0A4" w14:textId="77777777" w:rsidR="000B3B08" w:rsidRDefault="000B3B08" w:rsidP="00544C3E">
      <w:r>
        <w:separator/>
      </w:r>
    </w:p>
  </w:footnote>
  <w:footnote w:type="continuationSeparator" w:id="0">
    <w:p w14:paraId="35794742" w14:textId="77777777" w:rsidR="000B3B08" w:rsidRDefault="000B3B08" w:rsidP="00544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60"/>
    <w:rsid w:val="00064421"/>
    <w:rsid w:val="000B3414"/>
    <w:rsid w:val="000B3B08"/>
    <w:rsid w:val="00254F81"/>
    <w:rsid w:val="00544C3E"/>
    <w:rsid w:val="00B2209B"/>
    <w:rsid w:val="00D20F21"/>
    <w:rsid w:val="00FB6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1E79D6"/>
  <w14:defaultImageDpi w14:val="96"/>
  <w15:docId w15:val="{6B38C283-FBB3-4655-9544-D9F15AC2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C3E"/>
    <w:pPr>
      <w:tabs>
        <w:tab w:val="center" w:pos="4153"/>
        <w:tab w:val="right" w:pos="8306"/>
      </w:tabs>
    </w:pPr>
  </w:style>
  <w:style w:type="character" w:customStyle="1" w:styleId="HeaderChar">
    <w:name w:val="Header Char"/>
    <w:basedOn w:val="DefaultParagraphFont"/>
    <w:link w:val="Header"/>
    <w:uiPriority w:val="99"/>
    <w:rsid w:val="00544C3E"/>
    <w:rPr>
      <w:rFonts w:ascii="Times New Roman" w:hAnsi="Times New Roman" w:cs="Times New Roman"/>
      <w:sz w:val="20"/>
      <w:szCs w:val="20"/>
    </w:rPr>
  </w:style>
  <w:style w:type="paragraph" w:styleId="Footer">
    <w:name w:val="footer"/>
    <w:basedOn w:val="Normal"/>
    <w:link w:val="FooterChar"/>
    <w:uiPriority w:val="99"/>
    <w:unhideWhenUsed/>
    <w:rsid w:val="00544C3E"/>
    <w:pPr>
      <w:tabs>
        <w:tab w:val="center" w:pos="4153"/>
        <w:tab w:val="right" w:pos="8306"/>
      </w:tabs>
    </w:pPr>
  </w:style>
  <w:style w:type="character" w:customStyle="1" w:styleId="FooterChar">
    <w:name w:val="Footer Char"/>
    <w:basedOn w:val="DefaultParagraphFont"/>
    <w:link w:val="Footer"/>
    <w:uiPriority w:val="99"/>
    <w:rsid w:val="00544C3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4237</Words>
  <Characters>2416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2020-08-17T07:29:00Z</dcterms:created>
  <dcterms:modified xsi:type="dcterms:W3CDTF">2020-09-15T13:04:00Z</dcterms:modified>
</cp:coreProperties>
</file>