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DD7DB" w14:textId="08B84102" w:rsidR="00C41674" w:rsidRPr="00C9434C" w:rsidRDefault="00B168C0" w:rsidP="00B168C0">
      <w:pPr>
        <w:spacing w:line="276" w:lineRule="auto"/>
        <w:jc w:val="both"/>
      </w:pPr>
      <w:r w:rsidRPr="00F95813">
        <w:rPr>
          <w:b/>
          <w:bCs/>
        </w:rPr>
        <w:t>Vainīgā personību raksturojošo apstākļu izvērtējums soda noteikšanā</w:t>
      </w:r>
    </w:p>
    <w:p w14:paraId="25CEE6FE" w14:textId="0DDDDE79" w:rsidR="00155B5F" w:rsidRPr="00C9434C" w:rsidRDefault="00155B5F" w:rsidP="00384749">
      <w:pPr>
        <w:pStyle w:val="BodyText2"/>
        <w:spacing w:line="276" w:lineRule="auto"/>
        <w:rPr>
          <w:rFonts w:ascii="Times New Roman" w:hAnsi="Times New Roman"/>
          <w:sz w:val="22"/>
          <w:szCs w:val="24"/>
        </w:rPr>
      </w:pPr>
    </w:p>
    <w:p w14:paraId="0D80709F" w14:textId="2BBD98AF" w:rsidR="00044486" w:rsidRPr="00C9434C" w:rsidRDefault="00044486" w:rsidP="00B168C0">
      <w:pPr>
        <w:pStyle w:val="BodyText2"/>
        <w:spacing w:line="276" w:lineRule="auto"/>
        <w:jc w:val="left"/>
        <w:rPr>
          <w:rFonts w:ascii="Times New Roman" w:hAnsi="Times New Roman"/>
          <w:sz w:val="22"/>
          <w:szCs w:val="24"/>
        </w:rPr>
      </w:pPr>
    </w:p>
    <w:p w14:paraId="2D798136" w14:textId="77777777" w:rsidR="00B168C0" w:rsidRPr="00B168C0" w:rsidRDefault="003B4231" w:rsidP="003B4231">
      <w:pPr>
        <w:spacing w:line="276" w:lineRule="auto"/>
        <w:jc w:val="center"/>
        <w:rPr>
          <w:b/>
        </w:rPr>
      </w:pPr>
      <w:r w:rsidRPr="00B168C0">
        <w:rPr>
          <w:b/>
        </w:rPr>
        <w:t xml:space="preserve">Latvijas Republikas </w:t>
      </w:r>
      <w:r w:rsidR="00C41674" w:rsidRPr="00B168C0">
        <w:rPr>
          <w:b/>
        </w:rPr>
        <w:t>Senāt</w:t>
      </w:r>
      <w:r w:rsidR="00B168C0" w:rsidRPr="00B168C0">
        <w:rPr>
          <w:b/>
        </w:rPr>
        <w:t xml:space="preserve">a </w:t>
      </w:r>
    </w:p>
    <w:p w14:paraId="3538A419" w14:textId="77777777" w:rsidR="00B168C0" w:rsidRPr="00B168C0" w:rsidRDefault="00B168C0" w:rsidP="003B4231">
      <w:pPr>
        <w:spacing w:line="276" w:lineRule="auto"/>
        <w:jc w:val="center"/>
        <w:rPr>
          <w:b/>
        </w:rPr>
      </w:pPr>
      <w:r w:rsidRPr="00B168C0">
        <w:rPr>
          <w:b/>
        </w:rPr>
        <w:t>Krimināllietu departamenta</w:t>
      </w:r>
    </w:p>
    <w:p w14:paraId="136D4F25" w14:textId="3BEE04BD" w:rsidR="003B4231" w:rsidRPr="00B168C0" w:rsidRDefault="00B168C0" w:rsidP="003B4231">
      <w:pPr>
        <w:spacing w:line="276" w:lineRule="auto"/>
        <w:jc w:val="center"/>
        <w:rPr>
          <w:b/>
        </w:rPr>
      </w:pPr>
      <w:proofErr w:type="gramStart"/>
      <w:r w:rsidRPr="00B168C0">
        <w:rPr>
          <w:b/>
        </w:rPr>
        <w:t>2020.gada</w:t>
      </w:r>
      <w:proofErr w:type="gramEnd"/>
      <w:r w:rsidRPr="00B168C0">
        <w:rPr>
          <w:b/>
        </w:rPr>
        <w:t xml:space="preserve"> 30.aprīļa</w:t>
      </w:r>
    </w:p>
    <w:p w14:paraId="293F4C40" w14:textId="77777777" w:rsidR="00B168C0" w:rsidRPr="00B168C0" w:rsidRDefault="003B4231" w:rsidP="00CE14CB">
      <w:pPr>
        <w:spacing w:line="276" w:lineRule="auto"/>
        <w:jc w:val="center"/>
        <w:rPr>
          <w:b/>
        </w:rPr>
      </w:pPr>
      <w:r w:rsidRPr="00B168C0">
        <w:rPr>
          <w:b/>
        </w:rPr>
        <w:t>LĒMUMS</w:t>
      </w:r>
      <w:r w:rsidR="00B168C0" w:rsidRPr="00B168C0">
        <w:rPr>
          <w:b/>
        </w:rPr>
        <w:t xml:space="preserve"> </w:t>
      </w:r>
    </w:p>
    <w:p w14:paraId="6381E793" w14:textId="7C5CF51C" w:rsidR="003B4231" w:rsidRPr="00B168C0" w:rsidRDefault="00B168C0" w:rsidP="00CE14CB">
      <w:pPr>
        <w:spacing w:line="276" w:lineRule="auto"/>
        <w:jc w:val="center"/>
        <w:rPr>
          <w:b/>
          <w:vanish/>
          <w:specVanish/>
        </w:rPr>
      </w:pPr>
      <w:r w:rsidRPr="00B168C0">
        <w:rPr>
          <w:b/>
        </w:rPr>
        <w:t>Lieta Nr. 15830020314, SKK-354/2020</w:t>
      </w:r>
    </w:p>
    <w:p w14:paraId="2E130157" w14:textId="77777777" w:rsidR="00B168C0" w:rsidRDefault="00B168C0" w:rsidP="00CE14CB">
      <w:pPr>
        <w:spacing w:line="276" w:lineRule="auto"/>
        <w:jc w:val="center"/>
        <w:rPr>
          <w:color w:val="000000"/>
          <w:shd w:val="clear" w:color="auto" w:fill="FFFFFF"/>
        </w:rPr>
      </w:pPr>
      <w:r>
        <w:rPr>
          <w:color w:val="000000"/>
          <w:shd w:val="clear" w:color="auto" w:fill="FFFFFF"/>
        </w:rPr>
        <w:t xml:space="preserve"> </w:t>
      </w:r>
    </w:p>
    <w:p w14:paraId="1534266A" w14:textId="3C65F273" w:rsidR="00B168C0" w:rsidRPr="00B168C0" w:rsidRDefault="009203F2" w:rsidP="00CE14CB">
      <w:pPr>
        <w:spacing w:line="276" w:lineRule="auto"/>
        <w:jc w:val="center"/>
        <w:rPr>
          <w:b/>
        </w:rPr>
      </w:pPr>
      <w:hyperlink r:id="rId8" w:history="1">
        <w:r w:rsidR="00B168C0" w:rsidRPr="00B168C0">
          <w:rPr>
            <w:rStyle w:val="Hyperlink"/>
            <w:shd w:val="clear" w:color="auto" w:fill="FFFFFF"/>
          </w:rPr>
          <w:t>ECLI:LV:AT:2020:0430.15830020314.5.L</w:t>
        </w:r>
      </w:hyperlink>
    </w:p>
    <w:p w14:paraId="099DE7E5" w14:textId="0AEC9038" w:rsidR="003B4231" w:rsidRPr="00C9434C" w:rsidRDefault="003B4231" w:rsidP="003B4231">
      <w:pPr>
        <w:spacing w:line="276" w:lineRule="auto"/>
        <w:jc w:val="center"/>
      </w:pPr>
    </w:p>
    <w:p w14:paraId="09D5E87A" w14:textId="77777777" w:rsidR="006A1B70" w:rsidRPr="00C9434C" w:rsidRDefault="006A1B70" w:rsidP="003B4231">
      <w:pPr>
        <w:spacing w:line="276" w:lineRule="auto"/>
      </w:pPr>
    </w:p>
    <w:p w14:paraId="6E445135" w14:textId="77777777" w:rsidR="00CE14CB" w:rsidRPr="00C9434C" w:rsidRDefault="00C41674" w:rsidP="00BF4CAD">
      <w:pPr>
        <w:spacing w:line="276" w:lineRule="auto"/>
        <w:ind w:firstLine="709"/>
        <w:jc w:val="both"/>
      </w:pPr>
      <w:r w:rsidRPr="00C9434C">
        <w:t xml:space="preserve">Tiesa šādā sastāvā: senatori </w:t>
      </w:r>
      <w:r w:rsidR="003B4231" w:rsidRPr="00C9434C">
        <w:t>Pēteris Opincāns,</w:t>
      </w:r>
      <w:r w:rsidR="001C0FF0" w:rsidRPr="00C9434C">
        <w:t xml:space="preserve"> </w:t>
      </w:r>
      <w:r w:rsidR="009E485A">
        <w:t>Sandra Kaija</w:t>
      </w:r>
      <w:r w:rsidR="007C3259" w:rsidRPr="00C9434C">
        <w:t xml:space="preserve">, </w:t>
      </w:r>
      <w:r w:rsidR="009E485A">
        <w:t>Inguna Radzeviča</w:t>
      </w:r>
    </w:p>
    <w:p w14:paraId="4DEC43A2" w14:textId="77777777" w:rsidR="00F81CBD" w:rsidRPr="00C9434C" w:rsidRDefault="00CE14CB" w:rsidP="00BF4CAD">
      <w:pPr>
        <w:tabs>
          <w:tab w:val="left" w:pos="567"/>
        </w:tabs>
        <w:spacing w:line="276" w:lineRule="auto"/>
        <w:ind w:firstLine="709"/>
        <w:jc w:val="both"/>
      </w:pPr>
      <w:r w:rsidRPr="00C9434C">
        <w:tab/>
      </w:r>
    </w:p>
    <w:p w14:paraId="7BEB6E8C" w14:textId="194AA199" w:rsidR="003B4231" w:rsidRPr="00C9434C" w:rsidRDefault="00D15927" w:rsidP="00BF4CAD">
      <w:pPr>
        <w:tabs>
          <w:tab w:val="left" w:pos="567"/>
        </w:tabs>
        <w:spacing w:line="276" w:lineRule="auto"/>
        <w:ind w:firstLine="709"/>
        <w:jc w:val="both"/>
      </w:pPr>
      <w:r w:rsidRPr="00C9434C">
        <w:tab/>
      </w:r>
      <w:r w:rsidR="00C41674" w:rsidRPr="00C9434C">
        <w:t>i</w:t>
      </w:r>
      <w:r w:rsidR="003B4231" w:rsidRPr="00C9434C">
        <w:t xml:space="preserve">zskatīja rakstveida procesā krimināllietu sakarā ar </w:t>
      </w:r>
      <w:r w:rsidR="00BD626B">
        <w:t xml:space="preserve">apsūdzētā </w:t>
      </w:r>
      <w:r w:rsidR="00B168C0">
        <w:t>[pers. A]</w:t>
      </w:r>
      <w:r w:rsidR="005C3B5B">
        <w:t xml:space="preserve"> </w:t>
      </w:r>
      <w:r w:rsidR="00091C83" w:rsidRPr="00C9434C">
        <w:t>kasācijas sūdzīb</w:t>
      </w:r>
      <w:r w:rsidR="00BD626B">
        <w:t>u</w:t>
      </w:r>
      <w:r w:rsidR="00091C83" w:rsidRPr="00C9434C">
        <w:t xml:space="preserve"> par </w:t>
      </w:r>
      <w:r w:rsidR="00295684">
        <w:t>Rīgas</w:t>
      </w:r>
      <w:r w:rsidR="00091C83" w:rsidRPr="00C9434C">
        <w:t xml:space="preserve"> apgabaltiesas </w:t>
      </w:r>
      <w:proofErr w:type="gramStart"/>
      <w:r w:rsidR="00091C83" w:rsidRPr="00C9434C">
        <w:t>20</w:t>
      </w:r>
      <w:r w:rsidR="009E485A">
        <w:t>20</w:t>
      </w:r>
      <w:r w:rsidR="00091C83" w:rsidRPr="00C9434C">
        <w:t>.gada</w:t>
      </w:r>
      <w:proofErr w:type="gramEnd"/>
      <w:r w:rsidR="00091C83" w:rsidRPr="00C9434C">
        <w:t xml:space="preserve"> </w:t>
      </w:r>
      <w:r w:rsidR="009E485A">
        <w:t>18.februāra</w:t>
      </w:r>
      <w:r w:rsidR="007C3259" w:rsidRPr="00C9434C">
        <w:t xml:space="preserve"> </w:t>
      </w:r>
      <w:r w:rsidR="00295684">
        <w:t>spried</w:t>
      </w:r>
      <w:r w:rsidR="007C3259" w:rsidRPr="00C9434C">
        <w:t xml:space="preserve">umu. </w:t>
      </w:r>
    </w:p>
    <w:p w14:paraId="11FCE2C1" w14:textId="77777777" w:rsidR="003B4231" w:rsidRPr="00C9434C" w:rsidRDefault="003B4231" w:rsidP="00BF4CAD">
      <w:pPr>
        <w:pStyle w:val="Heading2"/>
        <w:spacing w:before="0" w:after="0" w:line="276" w:lineRule="auto"/>
        <w:ind w:firstLine="709"/>
        <w:jc w:val="both"/>
        <w:rPr>
          <w:rFonts w:ascii="Times New Roman" w:hAnsi="Times New Roman" w:cs="Times New Roman"/>
          <w:sz w:val="24"/>
          <w:szCs w:val="24"/>
        </w:rPr>
      </w:pPr>
      <w:r w:rsidRPr="00C9434C">
        <w:rPr>
          <w:rFonts w:ascii="Times New Roman" w:hAnsi="Times New Roman" w:cs="Times New Roman"/>
          <w:sz w:val="24"/>
          <w:szCs w:val="24"/>
        </w:rPr>
        <w:tab/>
      </w:r>
      <w:r w:rsidRPr="00C9434C">
        <w:rPr>
          <w:rFonts w:ascii="Times New Roman" w:hAnsi="Times New Roman" w:cs="Times New Roman"/>
          <w:sz w:val="24"/>
          <w:szCs w:val="24"/>
        </w:rPr>
        <w:tab/>
      </w:r>
      <w:r w:rsidRPr="00C9434C">
        <w:rPr>
          <w:rFonts w:ascii="Times New Roman" w:hAnsi="Times New Roman" w:cs="Times New Roman"/>
          <w:sz w:val="24"/>
          <w:szCs w:val="24"/>
        </w:rPr>
        <w:tab/>
      </w:r>
      <w:r w:rsidRPr="00C9434C">
        <w:rPr>
          <w:rFonts w:ascii="Times New Roman" w:hAnsi="Times New Roman" w:cs="Times New Roman"/>
          <w:sz w:val="24"/>
          <w:szCs w:val="24"/>
        </w:rPr>
        <w:tab/>
      </w:r>
      <w:r w:rsidRPr="00C9434C">
        <w:rPr>
          <w:rFonts w:ascii="Times New Roman" w:hAnsi="Times New Roman" w:cs="Times New Roman"/>
          <w:sz w:val="24"/>
          <w:szCs w:val="24"/>
        </w:rPr>
        <w:tab/>
        <w:t xml:space="preserve">  </w:t>
      </w:r>
    </w:p>
    <w:p w14:paraId="2D93BD30" w14:textId="77777777" w:rsidR="003B4231" w:rsidRPr="00C9434C" w:rsidRDefault="003B4231" w:rsidP="00BF4CAD">
      <w:pPr>
        <w:pStyle w:val="Heading2"/>
        <w:spacing w:before="0" w:after="0" w:line="276" w:lineRule="auto"/>
        <w:ind w:firstLine="709"/>
        <w:jc w:val="center"/>
        <w:rPr>
          <w:rFonts w:ascii="Times New Roman" w:hAnsi="Times New Roman" w:cs="Times New Roman"/>
          <w:i w:val="0"/>
          <w:sz w:val="24"/>
          <w:szCs w:val="24"/>
        </w:rPr>
      </w:pPr>
      <w:r w:rsidRPr="00C9434C">
        <w:rPr>
          <w:rFonts w:ascii="Times New Roman" w:hAnsi="Times New Roman" w:cs="Times New Roman"/>
          <w:i w:val="0"/>
          <w:sz w:val="24"/>
          <w:szCs w:val="24"/>
        </w:rPr>
        <w:t>Aprakstošā daļa</w:t>
      </w:r>
    </w:p>
    <w:p w14:paraId="17CDA153" w14:textId="77777777" w:rsidR="003B4231" w:rsidRPr="00C9434C" w:rsidRDefault="003B4231" w:rsidP="00BF4CAD">
      <w:pPr>
        <w:spacing w:line="276" w:lineRule="auto"/>
        <w:ind w:firstLine="709"/>
        <w:jc w:val="both"/>
      </w:pPr>
    </w:p>
    <w:p w14:paraId="46B29A2F" w14:textId="77777777" w:rsidR="009C52AF" w:rsidRPr="00C9434C" w:rsidRDefault="00A67609" w:rsidP="00BF4CAD">
      <w:pPr>
        <w:spacing w:line="276" w:lineRule="auto"/>
        <w:ind w:firstLine="709"/>
        <w:jc w:val="both"/>
        <w:rPr>
          <w:rFonts w:ascii="TimesNewRomanPSMT" w:hAnsi="TimesNewRomanPSMT" w:cs="TimesNewRomanPSMT"/>
          <w:lang w:eastAsia="lv-LV"/>
        </w:rPr>
      </w:pPr>
      <w:r w:rsidRPr="00C9434C">
        <w:t xml:space="preserve">[1] </w:t>
      </w:r>
      <w:r w:rsidR="00457F8A" w:rsidRPr="00C9434C">
        <w:rPr>
          <w:rFonts w:ascii="TimesNewRomanPSMT" w:hAnsi="TimesNewRomanPSMT" w:cs="TimesNewRomanPSMT"/>
          <w:lang w:eastAsia="lv-LV"/>
        </w:rPr>
        <w:t xml:space="preserve">Ar </w:t>
      </w:r>
      <w:r w:rsidR="00295684">
        <w:rPr>
          <w:rFonts w:ascii="TimesNewRomanPSMT" w:hAnsi="TimesNewRomanPSMT" w:cs="TimesNewRomanPSMT"/>
          <w:lang w:eastAsia="lv-LV"/>
        </w:rPr>
        <w:t xml:space="preserve">Rīgas </w:t>
      </w:r>
      <w:r w:rsidR="009E485A">
        <w:rPr>
          <w:rFonts w:ascii="TimesNewRomanPSMT" w:hAnsi="TimesNewRomanPSMT" w:cs="TimesNewRomanPSMT"/>
          <w:lang w:eastAsia="lv-LV"/>
        </w:rPr>
        <w:t>pilsētas Vidzemes priekšpilsētas</w:t>
      </w:r>
      <w:r w:rsidR="007C3259" w:rsidRPr="00C9434C">
        <w:rPr>
          <w:rFonts w:ascii="TimesNewRomanPSMT" w:hAnsi="TimesNewRomanPSMT" w:cs="TimesNewRomanPSMT"/>
          <w:lang w:eastAsia="lv-LV"/>
        </w:rPr>
        <w:t xml:space="preserve"> tiesas </w:t>
      </w:r>
      <w:proofErr w:type="gramStart"/>
      <w:r w:rsidR="007C3259" w:rsidRPr="00C9434C">
        <w:rPr>
          <w:rFonts w:ascii="TimesNewRomanPSMT" w:hAnsi="TimesNewRomanPSMT" w:cs="TimesNewRomanPSMT"/>
          <w:lang w:eastAsia="lv-LV"/>
        </w:rPr>
        <w:t>201</w:t>
      </w:r>
      <w:r w:rsidR="000B6618">
        <w:rPr>
          <w:rFonts w:ascii="TimesNewRomanPSMT" w:hAnsi="TimesNewRomanPSMT" w:cs="TimesNewRomanPSMT"/>
          <w:lang w:eastAsia="lv-LV"/>
        </w:rPr>
        <w:t>9</w:t>
      </w:r>
      <w:r w:rsidR="007C3259" w:rsidRPr="00C9434C">
        <w:rPr>
          <w:rFonts w:ascii="TimesNewRomanPSMT" w:hAnsi="TimesNewRomanPSMT" w:cs="TimesNewRomanPSMT"/>
          <w:lang w:eastAsia="lv-LV"/>
        </w:rPr>
        <w:t>.gada</w:t>
      </w:r>
      <w:proofErr w:type="gramEnd"/>
      <w:r w:rsidR="007C3259" w:rsidRPr="00C9434C">
        <w:rPr>
          <w:rFonts w:ascii="TimesNewRomanPSMT" w:hAnsi="TimesNewRomanPSMT" w:cs="TimesNewRomanPSMT"/>
          <w:lang w:eastAsia="lv-LV"/>
        </w:rPr>
        <w:t xml:space="preserve"> </w:t>
      </w:r>
      <w:r w:rsidR="009E485A">
        <w:rPr>
          <w:rFonts w:ascii="TimesNewRomanPSMT" w:hAnsi="TimesNewRomanPSMT" w:cs="TimesNewRomanPSMT"/>
          <w:lang w:eastAsia="lv-LV"/>
        </w:rPr>
        <w:t>8.oktobra</w:t>
      </w:r>
      <w:r w:rsidR="00457F8A" w:rsidRPr="00C9434C">
        <w:rPr>
          <w:rFonts w:ascii="TimesNewRomanPSMT" w:hAnsi="TimesNewRomanPSMT" w:cs="TimesNewRomanPSMT"/>
          <w:lang w:eastAsia="lv-LV"/>
        </w:rPr>
        <w:t xml:space="preserve"> spriedumu</w:t>
      </w:r>
    </w:p>
    <w:p w14:paraId="4CD1DD48" w14:textId="59BFA5BF" w:rsidR="000B6618" w:rsidRDefault="00B168C0" w:rsidP="00BF4CAD">
      <w:pPr>
        <w:spacing w:line="276" w:lineRule="auto"/>
        <w:ind w:firstLine="709"/>
        <w:jc w:val="both"/>
      </w:pPr>
      <w:r>
        <w:t>[pers. A]</w:t>
      </w:r>
      <w:r w:rsidR="00457F8A" w:rsidRPr="003703D8">
        <w:t>,</w:t>
      </w:r>
      <w:r w:rsidR="00457F8A" w:rsidRPr="00C9434C">
        <w:t xml:space="preserve"> personas kods </w:t>
      </w:r>
      <w:r>
        <w:t>[..]</w:t>
      </w:r>
      <w:r w:rsidR="00173F4A" w:rsidRPr="00C9434C">
        <w:t>,</w:t>
      </w:r>
      <w:r w:rsidR="004029A3">
        <w:t xml:space="preserve"> atzīts par vainīgu un sodīts:</w:t>
      </w:r>
    </w:p>
    <w:p w14:paraId="2A22F5B0" w14:textId="77777777" w:rsidR="00457F8A" w:rsidRDefault="004029A3" w:rsidP="00BF4CAD">
      <w:pPr>
        <w:pStyle w:val="ListParagraph"/>
        <w:numPr>
          <w:ilvl w:val="0"/>
          <w:numId w:val="2"/>
        </w:numPr>
        <w:spacing w:line="276" w:lineRule="auto"/>
        <w:ind w:left="0" w:firstLine="709"/>
        <w:jc w:val="both"/>
      </w:pPr>
      <w:r>
        <w:t>pēc</w:t>
      </w:r>
      <w:r w:rsidR="00457F8A" w:rsidRPr="00C9434C">
        <w:t xml:space="preserve"> Krimināllikuma </w:t>
      </w:r>
      <w:r w:rsidR="009E485A">
        <w:t>177</w:t>
      </w:r>
      <w:r w:rsidR="00BD626B">
        <w:t xml:space="preserve">.panta </w:t>
      </w:r>
      <w:r w:rsidR="009E485A">
        <w:t>treš</w:t>
      </w:r>
      <w:r w:rsidR="00BD626B">
        <w:t>ā</w:t>
      </w:r>
      <w:r>
        <w:t>s</w:t>
      </w:r>
      <w:r w:rsidR="00BD626B">
        <w:t xml:space="preserve"> daļ</w:t>
      </w:r>
      <w:r>
        <w:t>as par</w:t>
      </w:r>
      <w:r w:rsidRPr="004029A3">
        <w:t xml:space="preserve"> </w:t>
      </w:r>
      <w:r w:rsidR="00FB1EB9">
        <w:t>krāpšanu lielā apmērā</w:t>
      </w:r>
      <w:r w:rsidR="00CB378D">
        <w:t xml:space="preserve"> </w:t>
      </w:r>
      <w:r w:rsidR="000A7F16">
        <w:t>ar brīvības atņemšanu uz 3 gadiem</w:t>
      </w:r>
      <w:r w:rsidR="000B6618">
        <w:t>;</w:t>
      </w:r>
    </w:p>
    <w:p w14:paraId="1A38354F" w14:textId="77777777" w:rsidR="004029A3" w:rsidRDefault="004029A3" w:rsidP="00BF4CAD">
      <w:pPr>
        <w:pStyle w:val="ListParagraph"/>
        <w:numPr>
          <w:ilvl w:val="0"/>
          <w:numId w:val="2"/>
        </w:numPr>
        <w:spacing w:line="276" w:lineRule="auto"/>
        <w:ind w:left="0" w:firstLine="709"/>
        <w:jc w:val="both"/>
      </w:pPr>
      <w:r>
        <w:t>pēc Krimināllikuma 195.panta trešās daļas par</w:t>
      </w:r>
      <w:r w:rsidRPr="004029A3">
        <w:t xml:space="preserve"> </w:t>
      </w:r>
      <w:r>
        <w:t>noziedzīgi iegūtu finanšu līdzekļu legalizēšanu lielā apmērā</w:t>
      </w:r>
      <w:r w:rsidR="009B249D">
        <w:t xml:space="preserve"> </w:t>
      </w:r>
      <w:r w:rsidR="000A7F16">
        <w:t>ar brīvības atņemšanu uz 4 gadiem</w:t>
      </w:r>
      <w:r>
        <w:t>;</w:t>
      </w:r>
    </w:p>
    <w:p w14:paraId="7961DF67" w14:textId="77777777" w:rsidR="000A7F16" w:rsidRDefault="004029A3" w:rsidP="00BF4CAD">
      <w:pPr>
        <w:pStyle w:val="ListParagraph"/>
        <w:numPr>
          <w:ilvl w:val="0"/>
          <w:numId w:val="2"/>
        </w:numPr>
        <w:spacing w:line="276" w:lineRule="auto"/>
        <w:ind w:left="0" w:firstLine="709"/>
        <w:jc w:val="both"/>
      </w:pPr>
      <w:r>
        <w:t>pēc Krimināllikuma 180.panta pirmās daļas</w:t>
      </w:r>
      <w:r w:rsidR="000A7F16" w:rsidRPr="000A7F16">
        <w:t xml:space="preserve"> </w:t>
      </w:r>
      <w:r w:rsidR="000A7F16">
        <w:t>par</w:t>
      </w:r>
      <w:r w:rsidR="000A7F16" w:rsidRPr="004029A3">
        <w:t xml:space="preserve"> </w:t>
      </w:r>
      <w:r w:rsidR="000A7F16">
        <w:t>krāpšanu nelielā apmērā</w:t>
      </w:r>
      <w:r w:rsidR="009B249D">
        <w:t xml:space="preserve"> </w:t>
      </w:r>
      <w:r w:rsidR="000A7F16">
        <w:t>ar brīvības atņemšanu uz 5 mēnešiem</w:t>
      </w:r>
      <w:r w:rsidR="002C3269">
        <w:t>;</w:t>
      </w:r>
    </w:p>
    <w:p w14:paraId="3AC46C1A" w14:textId="77777777" w:rsidR="004029A3" w:rsidRDefault="000A7F16" w:rsidP="00BF4CAD">
      <w:pPr>
        <w:pStyle w:val="ListParagraph"/>
        <w:numPr>
          <w:ilvl w:val="0"/>
          <w:numId w:val="2"/>
        </w:numPr>
        <w:spacing w:line="276" w:lineRule="auto"/>
        <w:ind w:left="0" w:firstLine="709"/>
        <w:jc w:val="both"/>
      </w:pPr>
      <w:r>
        <w:t>pēc Krimināllikuma</w:t>
      </w:r>
      <w:r w:rsidR="004029A3">
        <w:t xml:space="preserve"> 275.panta otrās daļas</w:t>
      </w:r>
      <w:r>
        <w:t xml:space="preserve"> </w:t>
      </w:r>
      <w:r w:rsidR="004029A3">
        <w:t>par dokumenta, kas piešķir tiesības viltošanu mantkārīgā nolūkā</w:t>
      </w:r>
      <w:r>
        <w:t xml:space="preserve"> ar brīvības atņemšanu uz 6 mēnešiem</w:t>
      </w:r>
      <w:r w:rsidR="004029A3">
        <w:t>;</w:t>
      </w:r>
    </w:p>
    <w:p w14:paraId="1C73FAB0" w14:textId="77777777" w:rsidR="000A7F16" w:rsidRDefault="004029A3" w:rsidP="00BF4CAD">
      <w:pPr>
        <w:pStyle w:val="ListParagraph"/>
        <w:numPr>
          <w:ilvl w:val="0"/>
          <w:numId w:val="2"/>
        </w:numPr>
        <w:spacing w:line="276" w:lineRule="auto"/>
        <w:ind w:left="0" w:firstLine="709"/>
        <w:jc w:val="both"/>
      </w:pPr>
      <w:r>
        <w:t>pēc Krimināllikuma 177.panta pirmās daļas</w:t>
      </w:r>
      <w:r w:rsidR="000A7F16" w:rsidRPr="000A7F16">
        <w:t xml:space="preserve"> </w:t>
      </w:r>
      <w:r w:rsidR="000A7F16">
        <w:t>par svešas mantas iegūšanu, ļaunprātīgi izmantojot uzticēšanos un ar viltu (krāpšanu)</w:t>
      </w:r>
      <w:r w:rsidR="009B249D">
        <w:t xml:space="preserve"> </w:t>
      </w:r>
      <w:r w:rsidR="000A7F16">
        <w:t>ar brīvības atņemšanu uz 2 gadiem</w:t>
      </w:r>
      <w:r w:rsidR="002C3269">
        <w:t>;</w:t>
      </w:r>
    </w:p>
    <w:p w14:paraId="2864F23A" w14:textId="77777777" w:rsidR="004029A3" w:rsidRDefault="004029A3" w:rsidP="00BF4CAD">
      <w:pPr>
        <w:pStyle w:val="ListParagraph"/>
        <w:numPr>
          <w:ilvl w:val="0"/>
          <w:numId w:val="2"/>
        </w:numPr>
        <w:spacing w:line="276" w:lineRule="auto"/>
        <w:ind w:left="0" w:firstLine="709"/>
        <w:jc w:val="both"/>
      </w:pPr>
      <w:r>
        <w:t xml:space="preserve"> </w:t>
      </w:r>
      <w:r w:rsidR="000A7F16">
        <w:t xml:space="preserve">pēc Krimināllikuma </w:t>
      </w:r>
      <w:r>
        <w:t>275.panta otrās daļas</w:t>
      </w:r>
      <w:r w:rsidR="000A7F16">
        <w:t xml:space="preserve"> par</w:t>
      </w:r>
      <w:r w:rsidR="0015351F">
        <w:t xml:space="preserve"> dokumenta, kas piešķir tiesības viltošanu mantkārīgā nolūkā</w:t>
      </w:r>
      <w:r w:rsidR="00FC28CD">
        <w:t xml:space="preserve"> ar brīvības atņemšanu uz 6 mēnešiem</w:t>
      </w:r>
      <w:r w:rsidR="0015351F">
        <w:t>.</w:t>
      </w:r>
    </w:p>
    <w:p w14:paraId="43AD6F11" w14:textId="46BFCE00" w:rsidR="000B6618" w:rsidRDefault="000B6618" w:rsidP="00BF4CAD">
      <w:pPr>
        <w:spacing w:line="276" w:lineRule="auto"/>
        <w:ind w:firstLine="709"/>
        <w:jc w:val="both"/>
      </w:pPr>
      <w:r>
        <w:t xml:space="preserve">Saskaņā ar Krimināllikuma </w:t>
      </w:r>
      <w:proofErr w:type="gramStart"/>
      <w:r>
        <w:t>50.panta</w:t>
      </w:r>
      <w:proofErr w:type="gramEnd"/>
      <w:r>
        <w:t xml:space="preserve"> pirmo un </w:t>
      </w:r>
      <w:r w:rsidR="005D2B26">
        <w:t>trešo</w:t>
      </w:r>
      <w:r>
        <w:t xml:space="preserve"> daļu </w:t>
      </w:r>
      <w:r w:rsidR="005D2B26">
        <w:t xml:space="preserve">galīgais </w:t>
      </w:r>
      <w:r>
        <w:t xml:space="preserve">sods </w:t>
      </w:r>
      <w:r w:rsidR="00B168C0">
        <w:t>[pers. A]</w:t>
      </w:r>
      <w:r>
        <w:t xml:space="preserve"> noteikts brīvības atņemšana uz </w:t>
      </w:r>
      <w:r w:rsidR="005D2B26">
        <w:t>4 gadiem 6 mēnešiem</w:t>
      </w:r>
      <w:r>
        <w:t>.</w:t>
      </w:r>
    </w:p>
    <w:p w14:paraId="6F8AAA67" w14:textId="1860422A" w:rsidR="000B6618" w:rsidRDefault="000B6618" w:rsidP="00BF4CAD">
      <w:pPr>
        <w:spacing w:line="276" w:lineRule="auto"/>
        <w:ind w:firstLine="709"/>
        <w:jc w:val="both"/>
      </w:pPr>
      <w:r>
        <w:t xml:space="preserve">Saskaņā ar Krimināllikuma </w:t>
      </w:r>
      <w:proofErr w:type="gramStart"/>
      <w:r>
        <w:t>5</w:t>
      </w:r>
      <w:r w:rsidR="005D2B26">
        <w:t>5</w:t>
      </w:r>
      <w:r w:rsidR="00742E67">
        <w:t>.pantu</w:t>
      </w:r>
      <w:proofErr w:type="gramEnd"/>
      <w:r>
        <w:t xml:space="preserve"> </w:t>
      </w:r>
      <w:r w:rsidR="00B168C0">
        <w:t>[pers. A]</w:t>
      </w:r>
      <w:r>
        <w:t xml:space="preserve"> no</w:t>
      </w:r>
      <w:r w:rsidR="0015351F">
        <w:t>tiesāts</w:t>
      </w:r>
      <w:r>
        <w:t xml:space="preserve"> </w:t>
      </w:r>
      <w:r w:rsidR="005D2B26">
        <w:t>nosacīti ar pārbaudes laiku uz 5 gadiem</w:t>
      </w:r>
      <w:r>
        <w:t>.</w:t>
      </w:r>
    </w:p>
    <w:p w14:paraId="35B81958" w14:textId="2382C3DC" w:rsidR="000B6618" w:rsidRPr="00C9434C" w:rsidRDefault="00352C93" w:rsidP="00BF4CAD">
      <w:pPr>
        <w:spacing w:line="276" w:lineRule="auto"/>
        <w:ind w:firstLine="709"/>
        <w:jc w:val="both"/>
      </w:pPr>
      <w:r>
        <w:t>No</w:t>
      </w:r>
      <w:r w:rsidR="00B42181">
        <w:t xml:space="preserve"> </w:t>
      </w:r>
      <w:r w:rsidR="00B168C0">
        <w:t>[pers. A]</w:t>
      </w:r>
      <w:r w:rsidR="00B42181">
        <w:t xml:space="preserve"> </w:t>
      </w:r>
      <w:r w:rsidR="000B6618">
        <w:t>valsts</w:t>
      </w:r>
      <w:r w:rsidR="00B42181">
        <w:t xml:space="preserve"> labā </w:t>
      </w:r>
      <w:r>
        <w:t xml:space="preserve">piedzīta </w:t>
      </w:r>
      <w:r w:rsidR="00681CF2">
        <w:t xml:space="preserve">materiālā kaitējuma </w:t>
      </w:r>
      <w:r w:rsidR="00B42181">
        <w:t xml:space="preserve">kompensācija </w:t>
      </w:r>
      <w:r w:rsidR="005D2B26">
        <w:t>21 193,08</w:t>
      </w:r>
      <w:r w:rsidR="00B42181">
        <w:t xml:space="preserve"> </w:t>
      </w:r>
      <w:proofErr w:type="spellStart"/>
      <w:r w:rsidR="00B42181" w:rsidRPr="00B42181">
        <w:rPr>
          <w:i/>
        </w:rPr>
        <w:t>euro</w:t>
      </w:r>
      <w:proofErr w:type="spellEnd"/>
      <w:r w:rsidR="00EA021E">
        <w:t xml:space="preserve"> un</w:t>
      </w:r>
      <w:r w:rsidR="000B6618">
        <w:t xml:space="preserve"> </w:t>
      </w:r>
      <w:r w:rsidR="005D2B26">
        <w:t>16 538</w:t>
      </w:r>
      <w:r w:rsidR="000B6618">
        <w:t>,</w:t>
      </w:r>
      <w:r w:rsidR="005D2B26">
        <w:t>9</w:t>
      </w:r>
      <w:r w:rsidR="000B6618">
        <w:t xml:space="preserve">9 </w:t>
      </w:r>
      <w:proofErr w:type="spellStart"/>
      <w:r w:rsidR="000B6618" w:rsidRPr="000B6618">
        <w:rPr>
          <w:i/>
        </w:rPr>
        <w:t>euro</w:t>
      </w:r>
      <w:proofErr w:type="spellEnd"/>
      <w:r w:rsidR="000B6618">
        <w:t xml:space="preserve">. </w:t>
      </w:r>
    </w:p>
    <w:p w14:paraId="72B11C68" w14:textId="77777777" w:rsidR="00A161D1" w:rsidRDefault="00A161D1" w:rsidP="00BF4CAD">
      <w:pPr>
        <w:spacing w:line="276" w:lineRule="auto"/>
        <w:ind w:firstLine="709"/>
        <w:jc w:val="both"/>
      </w:pPr>
    </w:p>
    <w:p w14:paraId="0F9BC103" w14:textId="17C6115E" w:rsidR="00A161D1" w:rsidRDefault="00A161D1" w:rsidP="00BF4CAD">
      <w:pPr>
        <w:spacing w:line="276" w:lineRule="auto"/>
        <w:ind w:firstLine="709"/>
        <w:jc w:val="both"/>
      </w:pPr>
      <w:r w:rsidRPr="00C9434C">
        <w:t>[</w:t>
      </w:r>
      <w:r w:rsidR="0015351F">
        <w:t>2</w:t>
      </w:r>
      <w:r w:rsidRPr="00C9434C">
        <w:t>]</w:t>
      </w:r>
      <w:r>
        <w:t xml:space="preserve"> Ar Rīgas apgabaltiesas </w:t>
      </w:r>
      <w:proofErr w:type="gramStart"/>
      <w:r>
        <w:t>20</w:t>
      </w:r>
      <w:r w:rsidR="00F41451">
        <w:t>20</w:t>
      </w:r>
      <w:r>
        <w:t>.gada</w:t>
      </w:r>
      <w:proofErr w:type="gramEnd"/>
      <w:r>
        <w:t xml:space="preserve"> </w:t>
      </w:r>
      <w:r w:rsidR="00F41451">
        <w:t>18.februāra</w:t>
      </w:r>
      <w:r>
        <w:t xml:space="preserve"> spriedumu </w:t>
      </w:r>
      <w:r w:rsidR="00F41451">
        <w:t>Rīgas pilsētas Vidzemes priekšpilsētas tiesas 2019.gada 8.oktobra</w:t>
      </w:r>
      <w:r>
        <w:t xml:space="preserve"> spriedums atcelts</w:t>
      </w:r>
      <w:r w:rsidR="00E03D76">
        <w:t xml:space="preserve"> daļā par </w:t>
      </w:r>
      <w:r w:rsidR="00B168C0">
        <w:t>[pers. A]</w:t>
      </w:r>
      <w:r w:rsidR="00EA021E">
        <w:t xml:space="preserve"> nosacītu notiesāšanu</w:t>
      </w:r>
      <w:r w:rsidR="00F41451">
        <w:t>, piemērojot Krimināllikuma 55.pantu</w:t>
      </w:r>
      <w:r>
        <w:t>.</w:t>
      </w:r>
    </w:p>
    <w:p w14:paraId="6548540C" w14:textId="77777777" w:rsidR="006B6837" w:rsidRDefault="006B6837" w:rsidP="00BF4CAD">
      <w:pPr>
        <w:spacing w:line="276" w:lineRule="auto"/>
        <w:ind w:firstLine="709"/>
        <w:jc w:val="both"/>
      </w:pPr>
    </w:p>
    <w:p w14:paraId="22CD46E6" w14:textId="574CFB16" w:rsidR="004E5281" w:rsidRDefault="00032B14" w:rsidP="00BF4CAD">
      <w:pPr>
        <w:spacing w:line="276" w:lineRule="auto"/>
        <w:ind w:firstLine="709"/>
        <w:jc w:val="both"/>
      </w:pPr>
      <w:r w:rsidRPr="00C9434C">
        <w:lastRenderedPageBreak/>
        <w:t>[</w:t>
      </w:r>
      <w:r w:rsidR="0015351F">
        <w:t>3</w:t>
      </w:r>
      <w:r w:rsidR="00161834" w:rsidRPr="00C9434C">
        <w:t>]</w:t>
      </w:r>
      <w:r w:rsidR="008F6518" w:rsidRPr="00C9434C">
        <w:t xml:space="preserve"> </w:t>
      </w:r>
      <w:r w:rsidR="00AF6458">
        <w:t>Apsūdzēt</w:t>
      </w:r>
      <w:r w:rsidR="00F41451">
        <w:t>ais</w:t>
      </w:r>
      <w:r w:rsidR="00AF6458">
        <w:t xml:space="preserve"> </w:t>
      </w:r>
      <w:r w:rsidR="00B168C0">
        <w:t>[pers. A]</w:t>
      </w:r>
      <w:r w:rsidR="007C62D8">
        <w:t xml:space="preserve"> p</w:t>
      </w:r>
      <w:r w:rsidR="00605A8F" w:rsidRPr="00C9434C">
        <w:t xml:space="preserve">ar </w:t>
      </w:r>
      <w:r w:rsidR="00D567E8" w:rsidRPr="00C9434C">
        <w:t xml:space="preserve">apelācijas instances tiesas </w:t>
      </w:r>
      <w:r w:rsidR="00AF6458">
        <w:t>spried</w:t>
      </w:r>
      <w:r w:rsidR="003F4922">
        <w:t>umu</w:t>
      </w:r>
      <w:r w:rsidR="001221F1">
        <w:t xml:space="preserve"> </w:t>
      </w:r>
      <w:r w:rsidR="00D567E8" w:rsidRPr="00C9434C">
        <w:t>iesnie</w:t>
      </w:r>
      <w:r w:rsidR="001221F1">
        <w:t>dzis</w:t>
      </w:r>
      <w:r w:rsidR="006B6837">
        <w:t xml:space="preserve"> kasācijas </w:t>
      </w:r>
      <w:r w:rsidR="007C62D8">
        <w:t>sūdzību</w:t>
      </w:r>
      <w:r w:rsidR="00437C62">
        <w:t>,</w:t>
      </w:r>
      <w:r w:rsidR="006B6837">
        <w:t xml:space="preserve"> </w:t>
      </w:r>
      <w:r w:rsidR="00690C85">
        <w:t>kurā</w:t>
      </w:r>
      <w:r w:rsidR="006B6837">
        <w:t xml:space="preserve"> </w:t>
      </w:r>
      <w:r w:rsidR="00605A8F" w:rsidRPr="00C9434C">
        <w:t>l</w:t>
      </w:r>
      <w:r w:rsidR="006B6837">
        <w:t xml:space="preserve">ūdz atcelt apelācijas instances tiesas </w:t>
      </w:r>
      <w:r w:rsidR="00AF6458">
        <w:t>spried</w:t>
      </w:r>
      <w:r w:rsidR="006B6837">
        <w:t xml:space="preserve">umu un </w:t>
      </w:r>
      <w:r w:rsidR="00AF2084">
        <w:t>nosūt</w:t>
      </w:r>
      <w:r w:rsidR="006B6837">
        <w:t xml:space="preserve">īt </w:t>
      </w:r>
      <w:r w:rsidR="00A329EB">
        <w:t>l</w:t>
      </w:r>
      <w:r w:rsidR="00372880">
        <w:t xml:space="preserve">ietu jaunai izskatīšanai </w:t>
      </w:r>
      <w:r w:rsidR="00450EA7">
        <w:t>apelācijas</w:t>
      </w:r>
      <w:r w:rsidR="00372880">
        <w:t xml:space="preserve"> instances </w:t>
      </w:r>
      <w:r w:rsidR="00E96D59">
        <w:t>tiesā.</w:t>
      </w:r>
      <w:r w:rsidR="00372880">
        <w:t xml:space="preserve"> </w:t>
      </w:r>
    </w:p>
    <w:p w14:paraId="3825A6AB" w14:textId="77777777" w:rsidR="006B6837" w:rsidRDefault="00A329EB" w:rsidP="00BF4CAD">
      <w:pPr>
        <w:spacing w:line="276" w:lineRule="auto"/>
        <w:ind w:firstLine="709"/>
        <w:jc w:val="both"/>
      </w:pPr>
      <w:r>
        <w:t>Kasācijas sūdzība pamatota ar šādiem argumentiem.</w:t>
      </w:r>
    </w:p>
    <w:p w14:paraId="1777C20B" w14:textId="77777777" w:rsidR="00D41EB4" w:rsidRDefault="00DE25AB" w:rsidP="00BF4CAD">
      <w:pPr>
        <w:spacing w:line="276" w:lineRule="auto"/>
        <w:ind w:firstLine="709"/>
        <w:jc w:val="both"/>
      </w:pPr>
      <w:r w:rsidRPr="009C68CD">
        <w:t>[</w:t>
      </w:r>
      <w:r w:rsidR="0015351F">
        <w:t>3</w:t>
      </w:r>
      <w:r w:rsidR="00372880">
        <w:t xml:space="preserve">.1] </w:t>
      </w:r>
      <w:r w:rsidR="00B72D3A">
        <w:t>Apelācijas instances tiesa, iztiesājot lietu, nepareizi piemērojus</w:t>
      </w:r>
      <w:r w:rsidR="008C41AE">
        <w:t>i Krimināllikuma 35., 46.-49.,</w:t>
      </w:r>
      <w:r w:rsidR="00D41EB4">
        <w:t xml:space="preserve"> </w:t>
      </w:r>
      <w:proofErr w:type="gramStart"/>
      <w:r w:rsidR="00D41EB4">
        <w:t>55.panta</w:t>
      </w:r>
      <w:proofErr w:type="gramEnd"/>
      <w:r w:rsidR="00D41EB4">
        <w:t xml:space="preserve"> normas,</w:t>
      </w:r>
      <w:r w:rsidR="00742E67">
        <w:t xml:space="preserve"> un</w:t>
      </w:r>
      <w:r w:rsidR="00D41EB4">
        <w:t xml:space="preserve"> tādējādi pieļāvusi Kriminālprocesa likuma 574.panta 1.punktā norādīto Krimināllikuma pārkāpumu. Tiesa pieļāvusi arī</w:t>
      </w:r>
      <w:r w:rsidR="00B72D3A" w:rsidRPr="00B72D3A">
        <w:t xml:space="preserve"> </w:t>
      </w:r>
      <w:r w:rsidR="00D41EB4">
        <w:t xml:space="preserve">Kriminālprocesa likuma 18. panta, </w:t>
      </w:r>
      <w:proofErr w:type="gramStart"/>
      <w:r w:rsidR="00D41EB4">
        <w:t>20.panta</w:t>
      </w:r>
      <w:proofErr w:type="gramEnd"/>
      <w:r w:rsidR="00D41EB4">
        <w:t xml:space="preserve"> pirmās daļas, 511.panta otrās daļas, 512.panta pirmās daļas, 527.panta otrās daļas 6.punkta, 564.panta ceturtās daļas, 591.panta otrās daļas pārkāpumus,</w:t>
      </w:r>
      <w:r w:rsidR="00D41EB4" w:rsidRPr="00D41EB4">
        <w:t xml:space="preserve"> </w:t>
      </w:r>
      <w:r w:rsidR="00D41EB4">
        <w:t>kas atzīstami par Kriminālprocesa likuma būtiskiem pārkāpumiem šā likuma 575.panta trešās daļas izpratnē.</w:t>
      </w:r>
    </w:p>
    <w:p w14:paraId="685BE441" w14:textId="77777777" w:rsidR="00D41EB4" w:rsidRPr="00C9434C" w:rsidRDefault="00D41EB4" w:rsidP="00BF4CAD">
      <w:pPr>
        <w:spacing w:line="276" w:lineRule="auto"/>
        <w:ind w:firstLine="709"/>
        <w:jc w:val="both"/>
      </w:pPr>
      <w:r>
        <w:t xml:space="preserve">Apelācijas instances tiesa ir pieļāvusi arī Eiropas Cilvēktiesību un pamatbrīvību aizsardzības konvencijas </w:t>
      </w:r>
      <w:proofErr w:type="gramStart"/>
      <w:r>
        <w:t>3.panta</w:t>
      </w:r>
      <w:proofErr w:type="gramEnd"/>
      <w:r>
        <w:t xml:space="preserve"> pārkāpumu. </w:t>
      </w:r>
    </w:p>
    <w:p w14:paraId="28507DA9" w14:textId="77777777" w:rsidR="004E5281" w:rsidRDefault="008C41AE" w:rsidP="00BF4CAD">
      <w:pPr>
        <w:spacing w:line="276" w:lineRule="auto"/>
        <w:ind w:firstLine="709"/>
        <w:jc w:val="both"/>
      </w:pPr>
      <w:r>
        <w:t>[</w:t>
      </w:r>
      <w:r w:rsidR="0015351F">
        <w:t>3</w:t>
      </w:r>
      <w:r>
        <w:t xml:space="preserve">.2] </w:t>
      </w:r>
      <w:r w:rsidR="006A305F">
        <w:t>Tiesa</w:t>
      </w:r>
      <w:r w:rsidR="00742E67">
        <w:t>, nosakot sodu,</w:t>
      </w:r>
      <w:r w:rsidR="00D86964">
        <w:t xml:space="preserve"> na</w:t>
      </w:r>
      <w:r w:rsidR="00AC0573">
        <w:t>v ņēmusi vērā</w:t>
      </w:r>
      <w:r w:rsidR="004E5281">
        <w:t xml:space="preserve"> apsūdzētā</w:t>
      </w:r>
      <w:r w:rsidR="00AC0573">
        <w:t xml:space="preserve"> veselības un ģimenes stāvokli,</w:t>
      </w:r>
      <w:r w:rsidR="006A305F">
        <w:t xml:space="preserve"> sadarbību ar kriminālprocesa veikšanai pilnvaroto personu. </w:t>
      </w:r>
      <w:r w:rsidR="00AC0573">
        <w:t xml:space="preserve"> </w:t>
      </w:r>
      <w:r w:rsidR="004E5281">
        <w:t xml:space="preserve">Tiesas secinājumi ir pretrunā Krimināllikuma 35.un </w:t>
      </w:r>
      <w:proofErr w:type="gramStart"/>
      <w:r w:rsidR="004E5281">
        <w:t>46.pantam</w:t>
      </w:r>
      <w:proofErr w:type="gramEnd"/>
      <w:r w:rsidR="004E5281">
        <w:t xml:space="preserve">, jo, nosakot sodu, jāvērtē ne tikai nodarījuma raksturs un kaitējums, bet arī atbildību mīkstinošie un personību pozitīvi </w:t>
      </w:r>
      <w:r>
        <w:t xml:space="preserve">raksturojošie apstākļi. </w:t>
      </w:r>
      <w:r w:rsidR="004E5281">
        <w:t xml:space="preserve">Tiesa nav izvērtējusi </w:t>
      </w:r>
      <w:r w:rsidR="006F48CD">
        <w:t xml:space="preserve">nosakāmā soda veida atbilstību </w:t>
      </w:r>
      <w:r w:rsidR="004E5281">
        <w:t xml:space="preserve">Krimināllikuma </w:t>
      </w:r>
      <w:proofErr w:type="gramStart"/>
      <w:r w:rsidR="004E5281">
        <w:t>35.panta</w:t>
      </w:r>
      <w:proofErr w:type="gramEnd"/>
      <w:r w:rsidR="004E5281">
        <w:t xml:space="preserve"> otrajā daļā norādītajam soda mērķim.</w:t>
      </w:r>
      <w:r w:rsidRPr="008C41AE">
        <w:t xml:space="preserve"> </w:t>
      </w:r>
      <w:r>
        <w:t xml:space="preserve">Apelācijas instances tiesa ir nepareizi interpretējusi un piemērojusi Krimināllikuma </w:t>
      </w:r>
      <w:proofErr w:type="gramStart"/>
      <w:r>
        <w:t>55.panta</w:t>
      </w:r>
      <w:proofErr w:type="gramEnd"/>
      <w:r>
        <w:t xml:space="preserve"> pirmo daļu.</w:t>
      </w:r>
    </w:p>
    <w:p w14:paraId="32F19363" w14:textId="77777777" w:rsidR="00B06F90" w:rsidRDefault="004E5281" w:rsidP="00BF4CAD">
      <w:pPr>
        <w:spacing w:line="276" w:lineRule="auto"/>
        <w:ind w:firstLine="709"/>
        <w:jc w:val="both"/>
      </w:pPr>
      <w:r w:rsidRPr="009C68CD">
        <w:t xml:space="preserve"> </w:t>
      </w:r>
      <w:r w:rsidR="00B06F90" w:rsidRPr="009C68CD">
        <w:t>[</w:t>
      </w:r>
      <w:r w:rsidR="0015351F">
        <w:t>3</w:t>
      </w:r>
      <w:r w:rsidR="00D41EB4">
        <w:t>.3</w:t>
      </w:r>
      <w:r w:rsidR="00B06F90">
        <w:t>]</w:t>
      </w:r>
      <w:r w:rsidR="00400DE6">
        <w:t xml:space="preserve"> Apelācijas instances tiesa nav ievērojusi Kriminālprocesa likuma </w:t>
      </w:r>
      <w:proofErr w:type="gramStart"/>
      <w:r w:rsidR="00400DE6">
        <w:t>12.pantu</w:t>
      </w:r>
      <w:proofErr w:type="gramEnd"/>
      <w:r w:rsidR="00400DE6">
        <w:t>, kas noteic, ka kriminālprocesu veic, ievērojot starptautiski atzītās cilvēktiesības un nepieļaujot neattaisnotu kriminālprocesuālo pienākumu uzlikšanu vai nesamērīgu iejaukšanos personas dzīvē.</w:t>
      </w:r>
    </w:p>
    <w:p w14:paraId="78B01261" w14:textId="77777777" w:rsidR="008850A1" w:rsidRPr="00C9434C" w:rsidRDefault="00320759" w:rsidP="00BF4CAD">
      <w:pPr>
        <w:spacing w:line="276" w:lineRule="auto"/>
        <w:ind w:firstLine="709"/>
        <w:jc w:val="both"/>
      </w:pPr>
      <w:r>
        <w:t>Saskaņā ar starp</w:t>
      </w:r>
      <w:r w:rsidR="006B4E1F">
        <w:t>tautiski atzītām cilvēktiesībām</w:t>
      </w:r>
      <w:r>
        <w:t xml:space="preserve"> personas ar invaliditāti ieslodzījumā ir pakļautas lielākām ciešanām nekā veselas personas, tādēļ rūpīgi izvērtējama nepieciešamība šādām personām piemērot ar brīvības atņemšanu saistītu sodu. Šādu apstākļu neizvērtēšana rada cilvēktiesību pārkāpumu. Apelācijas instances tiesai bija jāizvērtē, vai apsūdzētā veselības stāvoklis, ņemot vē</w:t>
      </w:r>
      <w:r w:rsidR="00EA021E">
        <w:t>rā 2.grupas invaliditāti</w:t>
      </w:r>
      <w:r>
        <w:t>, ļauj</w:t>
      </w:r>
      <w:r w:rsidR="00742E67">
        <w:t xml:space="preserve"> viņam</w:t>
      </w:r>
      <w:r>
        <w:t xml:space="preserve"> atrasties brīvības atņemšanas iestādē.</w:t>
      </w:r>
    </w:p>
    <w:p w14:paraId="15BE1624" w14:textId="77777777" w:rsidR="00D41EB4" w:rsidRDefault="00D41EB4" w:rsidP="00BF4CAD">
      <w:pPr>
        <w:spacing w:line="276" w:lineRule="auto"/>
        <w:ind w:firstLine="709"/>
        <w:jc w:val="both"/>
        <w:rPr>
          <w:rFonts w:eastAsia="Times New Roman"/>
          <w:b/>
        </w:rPr>
      </w:pPr>
    </w:p>
    <w:p w14:paraId="38642325" w14:textId="77777777" w:rsidR="00825A35" w:rsidRDefault="00677CD8" w:rsidP="00BF4CAD">
      <w:pPr>
        <w:spacing w:line="276" w:lineRule="auto"/>
        <w:ind w:firstLine="709"/>
        <w:jc w:val="center"/>
        <w:rPr>
          <w:rFonts w:eastAsia="Times New Roman"/>
          <w:b/>
        </w:rPr>
      </w:pPr>
      <w:r w:rsidRPr="00C9434C">
        <w:rPr>
          <w:rFonts w:eastAsia="Times New Roman"/>
          <w:b/>
        </w:rPr>
        <w:t>Motīvu daļa</w:t>
      </w:r>
    </w:p>
    <w:p w14:paraId="74A50187" w14:textId="77777777" w:rsidR="00DA7C5B" w:rsidRPr="00DA7C5B" w:rsidRDefault="00DA7C5B" w:rsidP="00BF4CAD">
      <w:pPr>
        <w:spacing w:line="276" w:lineRule="auto"/>
        <w:ind w:firstLine="709"/>
        <w:jc w:val="both"/>
        <w:rPr>
          <w:rFonts w:eastAsia="Times New Roman"/>
        </w:rPr>
      </w:pPr>
    </w:p>
    <w:p w14:paraId="793895FF" w14:textId="44A5151D" w:rsidR="00EA021E" w:rsidRDefault="00DA7C5B" w:rsidP="00BF4CAD">
      <w:pPr>
        <w:spacing w:line="276" w:lineRule="auto"/>
        <w:ind w:firstLine="709"/>
        <w:jc w:val="both"/>
      </w:pPr>
      <w:r w:rsidRPr="00C9434C">
        <w:t>[</w:t>
      </w:r>
      <w:r w:rsidR="0015351F">
        <w:t>4</w:t>
      </w:r>
      <w:r w:rsidRPr="00C9434C">
        <w:t>]</w:t>
      </w:r>
      <w:r>
        <w:t xml:space="preserve"> Senāts atzīst, ka Rīgas</w:t>
      </w:r>
      <w:r w:rsidRPr="00C9434C">
        <w:t xml:space="preserve"> apgabaltiesas </w:t>
      </w:r>
      <w:proofErr w:type="gramStart"/>
      <w:r w:rsidRPr="00C9434C">
        <w:t>20</w:t>
      </w:r>
      <w:r w:rsidR="0071144B">
        <w:t>20</w:t>
      </w:r>
      <w:r w:rsidRPr="00C9434C">
        <w:t>.gada</w:t>
      </w:r>
      <w:proofErr w:type="gramEnd"/>
      <w:r w:rsidRPr="00C9434C">
        <w:t xml:space="preserve"> </w:t>
      </w:r>
      <w:r w:rsidR="0071144B">
        <w:t>18.februāra</w:t>
      </w:r>
      <w:r w:rsidRPr="00C9434C">
        <w:t xml:space="preserve"> </w:t>
      </w:r>
      <w:r>
        <w:t>spried</w:t>
      </w:r>
      <w:r w:rsidRPr="00C9434C">
        <w:t>um</w:t>
      </w:r>
      <w:r w:rsidR="006B6837">
        <w:t>s ir atceļams</w:t>
      </w:r>
      <w:r w:rsidR="00EA021E">
        <w:t xml:space="preserve"> daļā </w:t>
      </w:r>
      <w:r w:rsidR="009B2FA1">
        <w:t xml:space="preserve"> </w:t>
      </w:r>
      <w:r w:rsidR="0015351F">
        <w:t xml:space="preserve">par </w:t>
      </w:r>
      <w:r w:rsidR="00B168C0">
        <w:t>[pers. A]</w:t>
      </w:r>
      <w:r w:rsidR="0015351F">
        <w:t xml:space="preserve"> noteikto sodu.</w:t>
      </w:r>
    </w:p>
    <w:p w14:paraId="0ADF3E84" w14:textId="77777777" w:rsidR="00C83F50" w:rsidRDefault="001402BD" w:rsidP="00BF4CAD">
      <w:pPr>
        <w:spacing w:line="276" w:lineRule="auto"/>
        <w:ind w:firstLine="709"/>
        <w:jc w:val="both"/>
      </w:pPr>
      <w:r>
        <w:t xml:space="preserve">Atceltajā daļā </w:t>
      </w:r>
      <w:r w:rsidR="005D31E2">
        <w:t>lieta nosūtāma jaunai izskatīšanai apelācijas instances ties</w:t>
      </w:r>
      <w:r w:rsidR="00310DCE">
        <w:t>ā</w:t>
      </w:r>
      <w:r w:rsidR="005D31E2">
        <w:t>.</w:t>
      </w:r>
    </w:p>
    <w:p w14:paraId="316E1091" w14:textId="77777777" w:rsidR="00C5769C" w:rsidRDefault="00662323" w:rsidP="00BF4CAD">
      <w:pPr>
        <w:spacing w:line="276" w:lineRule="auto"/>
        <w:ind w:firstLine="709"/>
        <w:jc w:val="both"/>
      </w:pPr>
      <w:r>
        <w:t>[</w:t>
      </w:r>
      <w:r w:rsidR="00742E67">
        <w:t>4.1</w:t>
      </w:r>
      <w:r>
        <w:t>]</w:t>
      </w:r>
      <w:r w:rsidR="00A671FD">
        <w:t xml:space="preserve"> </w:t>
      </w:r>
      <w:r w:rsidR="00C5769C">
        <w:t xml:space="preserve">Krimināllikuma </w:t>
      </w:r>
      <w:proofErr w:type="gramStart"/>
      <w:r w:rsidR="00C5769C">
        <w:t>46.panta</w:t>
      </w:r>
      <w:proofErr w:type="gramEnd"/>
      <w:r w:rsidR="00C5769C">
        <w:t xml:space="preserve"> otrā daļa noteic, ka nosakot soda veidu, ņem vērā izdarītā noziedzīgā nodarījuma raksturu un radīto kaitējumu, kā arī vainīgā personību.</w:t>
      </w:r>
    </w:p>
    <w:p w14:paraId="667E5082" w14:textId="77777777" w:rsidR="00060638" w:rsidRDefault="00C5769C" w:rsidP="00BF4CAD">
      <w:pPr>
        <w:spacing w:line="276" w:lineRule="auto"/>
        <w:ind w:firstLine="709"/>
        <w:jc w:val="both"/>
      </w:pPr>
      <w:r>
        <w:t>Tiesību teorijā norādīts, ka ziņas, kas raksturo personību un kurām ir krimināltiesiska nozīme, skar četrus cilvēka dzīves u</w:t>
      </w:r>
      <w:r w:rsidR="0015351F">
        <w:t xml:space="preserve">n darbības aspektus: 1) </w:t>
      </w:r>
      <w:r>
        <w:t>fizisko stāvokli, 2) psihisko stāvokli,</w:t>
      </w:r>
      <w:r w:rsidR="009432F3">
        <w:t xml:space="preserve"> 3) sociālo statusu, 4) tiesisko statusu, un to izvērtēšana ļauj, no vienas puses, noskaidrot personas noziedzīgās uzvedības cēloņus, tās noziedzīgo tieksmju stabilitāti, bet no otras puses, noteikt maksimāli lietderīgo soda veidu, lai sasniegtu tā mērķi</w:t>
      </w:r>
      <w:r w:rsidR="00DD1D05">
        <w:t>.</w:t>
      </w:r>
      <w:r w:rsidR="00060638">
        <w:t xml:space="preserve"> </w:t>
      </w:r>
    </w:p>
    <w:p w14:paraId="16E37028" w14:textId="77777777" w:rsidR="00060638" w:rsidRDefault="00060638" w:rsidP="00BF4CAD">
      <w:pPr>
        <w:spacing w:line="276" w:lineRule="auto"/>
        <w:ind w:firstLine="709"/>
        <w:jc w:val="both"/>
      </w:pPr>
      <w:r>
        <w:t>Personas, kura izdarījusi noziedzīgu nodarījumu, fizisko stāvokli raksturo vecums, dzimums, veselības stāvoklis, invaliditāte, grūtniecība, kam var būt izšķiroša nozīme, izvēloties soda veidu.</w:t>
      </w:r>
    </w:p>
    <w:p w14:paraId="2E527BB5" w14:textId="77777777" w:rsidR="00C5769C" w:rsidRPr="00060638" w:rsidRDefault="00060638" w:rsidP="00BF4CAD">
      <w:pPr>
        <w:spacing w:line="276" w:lineRule="auto"/>
        <w:ind w:firstLine="709"/>
        <w:jc w:val="both"/>
      </w:pPr>
      <w:r>
        <w:lastRenderedPageBreak/>
        <w:t>Personības sociālo statusu raksturo ģimenes stāvoklis, apgādājamo personu esamība, dzīvesveids, attieksme pret darbu un mācībām, sadzīves normu ievērošana, uzvedība dažādās dzīves situācijās un citi apstākļi, kam var būt nozīme taisnīga soda noteikšanā</w:t>
      </w:r>
      <w:r w:rsidR="002B5C6C">
        <w:t xml:space="preserve"> </w:t>
      </w:r>
      <w:proofErr w:type="gramStart"/>
      <w:r w:rsidR="002B5C6C" w:rsidRPr="00060638">
        <w:rPr>
          <w:i/>
        </w:rPr>
        <w:t>(</w:t>
      </w:r>
      <w:proofErr w:type="gramEnd"/>
      <w:r w:rsidR="002B5C6C" w:rsidRPr="00060638">
        <w:rPr>
          <w:i/>
        </w:rPr>
        <w:t xml:space="preserve">Krastiņš U., </w:t>
      </w:r>
      <w:proofErr w:type="spellStart"/>
      <w:r w:rsidR="002B5C6C" w:rsidRPr="00060638">
        <w:rPr>
          <w:i/>
        </w:rPr>
        <w:t>Liholaja</w:t>
      </w:r>
      <w:proofErr w:type="spellEnd"/>
      <w:r w:rsidR="002B5C6C" w:rsidRPr="00060638">
        <w:rPr>
          <w:i/>
        </w:rPr>
        <w:t xml:space="preserve"> V. Krimināllikuma komentāri. Pirmā daļa ( I-VIII</w:t>
      </w:r>
      <w:r w:rsidR="002B5C6C" w:rsidRPr="00060638">
        <w:rPr>
          <w:i/>
          <w:vertAlign w:val="superscript"/>
        </w:rPr>
        <w:t>2</w:t>
      </w:r>
      <w:r w:rsidR="002B5C6C" w:rsidRPr="00060638">
        <w:rPr>
          <w:i/>
        </w:rPr>
        <w:t xml:space="preserve"> nodaļa). Otrais papildinātais izdevums. Rīga: Tiesu namu aģentūra,</w:t>
      </w:r>
      <w:r w:rsidR="0015351F">
        <w:rPr>
          <w:i/>
        </w:rPr>
        <w:t xml:space="preserve"> </w:t>
      </w:r>
      <w:r w:rsidR="002B5C6C" w:rsidRPr="00060638">
        <w:rPr>
          <w:i/>
        </w:rPr>
        <w:t>2018,</w:t>
      </w:r>
      <w:r w:rsidR="0015351F">
        <w:rPr>
          <w:i/>
        </w:rPr>
        <w:t xml:space="preserve"> </w:t>
      </w:r>
      <w:r w:rsidR="002B5C6C" w:rsidRPr="00060638">
        <w:rPr>
          <w:i/>
        </w:rPr>
        <w:t>197</w:t>
      </w:r>
      <w:r w:rsidR="002B0061">
        <w:rPr>
          <w:i/>
        </w:rPr>
        <w:t>.</w:t>
      </w:r>
      <w:r w:rsidRPr="00060638">
        <w:rPr>
          <w:i/>
        </w:rPr>
        <w:t>-198.</w:t>
      </w:r>
      <w:r w:rsidR="002B5C6C" w:rsidRPr="00060638">
        <w:rPr>
          <w:i/>
        </w:rPr>
        <w:t>lapa)</w:t>
      </w:r>
      <w:r w:rsidRPr="00060638">
        <w:rPr>
          <w:i/>
        </w:rPr>
        <w:t>.</w:t>
      </w:r>
      <w:r w:rsidR="00C5769C" w:rsidRPr="00060638">
        <w:rPr>
          <w:i/>
        </w:rPr>
        <w:t xml:space="preserve"> </w:t>
      </w:r>
    </w:p>
    <w:p w14:paraId="2D60AC0B" w14:textId="1D892D05" w:rsidR="00406DE0" w:rsidRDefault="00406DE0" w:rsidP="00BF4CAD">
      <w:pPr>
        <w:spacing w:line="276" w:lineRule="auto"/>
        <w:ind w:firstLine="709"/>
        <w:jc w:val="both"/>
      </w:pPr>
      <w:r>
        <w:t>Pirmās instances tiesa aps</w:t>
      </w:r>
      <w:r w:rsidR="00742E67">
        <w:t xml:space="preserve">ūdzēto </w:t>
      </w:r>
      <w:r w:rsidR="002329F4">
        <w:t>[pers. A]</w:t>
      </w:r>
      <w:r w:rsidR="00742E67">
        <w:t xml:space="preserve"> notiesāja nosacīti.</w:t>
      </w:r>
      <w:r>
        <w:t xml:space="preserve"> Apelācijas instances tiesa nosprieda, ka </w:t>
      </w:r>
      <w:r w:rsidR="002329F4">
        <w:t>[pers. A]</w:t>
      </w:r>
      <w:r>
        <w:t xml:space="preserve"> ir jāizcieš viņam noteiktais brīvības atņemšanas sods.</w:t>
      </w:r>
    </w:p>
    <w:p w14:paraId="70B4DAF0" w14:textId="77777777" w:rsidR="00406DE0" w:rsidRDefault="00742E67" w:rsidP="00BF4CAD">
      <w:pPr>
        <w:spacing w:line="276" w:lineRule="auto"/>
        <w:ind w:firstLine="709"/>
        <w:jc w:val="both"/>
      </w:pPr>
      <w:r>
        <w:t>Apelācijas instances tiesa</w:t>
      </w:r>
      <w:r w:rsidR="00060638">
        <w:t xml:space="preserve"> spriedumā</w:t>
      </w:r>
      <w:r w:rsidRPr="00742E67">
        <w:t xml:space="preserve"> </w:t>
      </w:r>
      <w:r>
        <w:t>norādījusi</w:t>
      </w:r>
      <w:r w:rsidR="00060638">
        <w:t>,</w:t>
      </w:r>
      <w:r w:rsidR="00C5769C">
        <w:t xml:space="preserve"> ka lietā atrodamās ziņas par apsūdzētā veselības stāvokli</w:t>
      </w:r>
      <w:r w:rsidR="00637BF7">
        <w:t xml:space="preserve"> un tas, ka viņa apgādībā atrodas citas personas,</w:t>
      </w:r>
      <w:r w:rsidR="00C5769C">
        <w:t xml:space="preserve"> nevar būt par pietiekamu pamatu, lai atzītu, ka ir iespējama apsūdzētā sodīšana bez reālas izolācijas no sabiedrības.</w:t>
      </w:r>
      <w:r>
        <w:t xml:space="preserve"> Senāts atzīst, ka šāds tiesas konstatējums</w:t>
      </w:r>
      <w:r w:rsidR="00406DE0">
        <w:t xml:space="preserve"> ir vispārēja rakstura un nav motivēts.</w:t>
      </w:r>
    </w:p>
    <w:p w14:paraId="65402B30" w14:textId="3FEFE21C" w:rsidR="00013629" w:rsidRDefault="00406DE0" w:rsidP="00BF4CAD">
      <w:pPr>
        <w:spacing w:line="276" w:lineRule="auto"/>
        <w:ind w:firstLine="709"/>
        <w:jc w:val="both"/>
      </w:pPr>
      <w:r>
        <w:t xml:space="preserve">Tiesa noteikusi, ka </w:t>
      </w:r>
      <w:proofErr w:type="gramStart"/>
      <w:r w:rsidR="002329F4">
        <w:t>[</w:t>
      </w:r>
      <w:proofErr w:type="gramEnd"/>
      <w:r w:rsidR="002329F4">
        <w:t>pers. A]</w:t>
      </w:r>
      <w:r>
        <w:t xml:space="preserve"> jāizcieš brīvības atņemšanas sods, taču</w:t>
      </w:r>
      <w:r w:rsidR="00CB378D">
        <w:t xml:space="preserve"> apstākli, ka apsūdzētais ir 2.</w:t>
      </w:r>
      <w:r>
        <w:t>grupas invalīds, tiesa nav vērtējusi.</w:t>
      </w:r>
    </w:p>
    <w:p w14:paraId="69C5AFF8" w14:textId="6914EB07" w:rsidR="003355C3" w:rsidRDefault="003355C3" w:rsidP="00BF4CAD">
      <w:pPr>
        <w:spacing w:line="276" w:lineRule="auto"/>
        <w:ind w:firstLine="709"/>
        <w:jc w:val="both"/>
      </w:pPr>
      <w:r>
        <w:t xml:space="preserve"> </w:t>
      </w:r>
      <w:r w:rsidR="00742E67">
        <w:t>[4.2</w:t>
      </w:r>
      <w:r w:rsidR="00013629">
        <w:t>] Augstākā tiesa jau iepriekš paudusi atziņu, ka apsūdzētā ar invaliditāti ievietošana apcietinājumā pati par sevi nerada cilvēktiesību pārkāpumu, ja vien netiek konstatēts, ka, atrodoties apcietinājumā, apsūdzētais tiek pakļauts tādām ciešanām, kas sasniedz necilvēcīgas un pazemojošas izturēšanās slieks</w:t>
      </w:r>
      <w:r w:rsidR="00742E67">
        <w:t xml:space="preserve">ni </w:t>
      </w:r>
      <w:r w:rsidR="00013629">
        <w:t>(</w:t>
      </w:r>
      <w:r w:rsidR="00013629" w:rsidRPr="00B20B69">
        <w:rPr>
          <w:i/>
        </w:rPr>
        <w:t xml:space="preserve">Augstākās tiesas Krimināllietu departamenta </w:t>
      </w:r>
      <w:proofErr w:type="gramStart"/>
      <w:r w:rsidR="00013629" w:rsidRPr="00B20B69">
        <w:rPr>
          <w:i/>
        </w:rPr>
        <w:t>2018.gada</w:t>
      </w:r>
      <w:proofErr w:type="gramEnd"/>
      <w:r w:rsidR="00013629" w:rsidRPr="00B20B69">
        <w:rPr>
          <w:i/>
        </w:rPr>
        <w:t xml:space="preserve"> 11.septembra lēmums lietā Nr.</w:t>
      </w:r>
      <w:r w:rsidR="009203F2">
        <w:rPr>
          <w:i/>
        </w:rPr>
        <w:t> </w:t>
      </w:r>
      <w:r w:rsidR="00013629" w:rsidRPr="00B20B69">
        <w:rPr>
          <w:i/>
        </w:rPr>
        <w:t>SKK-255/2018 (</w:t>
      </w:r>
      <w:hyperlink w:history="1">
        <w:r w:rsidR="00013629" w:rsidRPr="00B20B69">
          <w:rPr>
            <w:rStyle w:val="Hyperlink"/>
            <w:bCs/>
            <w:i/>
            <w:color w:val="auto"/>
            <w:u w:val="none"/>
          </w:rPr>
          <w:t>ECLI:LV:AT:2018:0911.11400001716.3.L</w:t>
        </w:r>
      </w:hyperlink>
      <w:r w:rsidR="00013629" w:rsidRPr="00B20B69">
        <w:rPr>
          <w:i/>
        </w:rPr>
        <w:t>)</w:t>
      </w:r>
      <w:r w:rsidR="00013629">
        <w:t>)</w:t>
      </w:r>
      <w:r w:rsidR="00CB378D">
        <w:t>.</w:t>
      </w:r>
    </w:p>
    <w:p w14:paraId="5FFCADA2" w14:textId="5EE2F6A6" w:rsidR="00C5769C" w:rsidRDefault="00742E67" w:rsidP="00BF4CAD">
      <w:pPr>
        <w:spacing w:line="276" w:lineRule="auto"/>
        <w:ind w:firstLine="709"/>
        <w:jc w:val="both"/>
      </w:pPr>
      <w:r>
        <w:t>[4.3</w:t>
      </w:r>
      <w:r w:rsidR="00013629">
        <w:t xml:space="preserve">] </w:t>
      </w:r>
      <w:r w:rsidR="00C5769C">
        <w:t>Senāts atzīst, ka, izl</w:t>
      </w:r>
      <w:r w:rsidR="00637BF7">
        <w:t>emjot jautājumu par</w:t>
      </w:r>
      <w:r w:rsidR="00EA021E">
        <w:t xml:space="preserve"> ap</w:t>
      </w:r>
      <w:r>
        <w:t>sūdzēt</w:t>
      </w:r>
      <w:r w:rsidR="00C77957" w:rsidRPr="00C77957">
        <w:t>ajam</w:t>
      </w:r>
      <w:r>
        <w:t xml:space="preserve"> </w:t>
      </w:r>
      <w:r w:rsidR="002329F4">
        <w:t>[pers. A]</w:t>
      </w:r>
      <w:r>
        <w:t xml:space="preserve"> nosakāmo sodu</w:t>
      </w:r>
      <w:r w:rsidR="00C5769C">
        <w:t xml:space="preserve">, apelācijas instances tiesa nav </w:t>
      </w:r>
      <w:r w:rsidR="00637BF7">
        <w:t>izvērtējusi</w:t>
      </w:r>
      <w:r w:rsidR="00C5769C">
        <w:t xml:space="preserve"> </w:t>
      </w:r>
      <w:r w:rsidR="00637BF7">
        <w:t>viņa veselības un ģimenes stāvokli</w:t>
      </w:r>
      <w:r w:rsidR="003355C3">
        <w:t xml:space="preserve">. Vainīgās personas veselības stāvokļa un ģimenes stāvokļa izvērtējumam ir būtiska nozīme individualizēta un taisnīga soda noteikšanā. Spriedumu, kurā tiesa nav motivējusi savus atzinumus par lietas taisnīgā izspriešanā nozīmīgiem apstākļiem, nevar atzīt par tiesisku un </w:t>
      </w:r>
      <w:r w:rsidR="00333410">
        <w:t xml:space="preserve">pamatotu Kriminālprocesa likuma </w:t>
      </w:r>
      <w:r w:rsidR="003355C3">
        <w:t>511. panta otrās daļas un 512.panta otrās daļas izpratnē.</w:t>
      </w:r>
    </w:p>
    <w:p w14:paraId="7B9E194F" w14:textId="4F34227F" w:rsidR="00C5769C" w:rsidRDefault="00DE72E2" w:rsidP="00BF4CAD">
      <w:pPr>
        <w:spacing w:line="276" w:lineRule="auto"/>
        <w:ind w:firstLine="709"/>
        <w:jc w:val="both"/>
      </w:pPr>
      <w:r>
        <w:t xml:space="preserve">Minētie pārkāpumi atzīstami par Kriminālprocesa likuma būtiskiem pārkāpumiem šā likuma </w:t>
      </w:r>
      <w:proofErr w:type="gramStart"/>
      <w:r>
        <w:t>575.panta</w:t>
      </w:r>
      <w:proofErr w:type="gramEnd"/>
      <w:r>
        <w:t xml:space="preserve"> trešās daļas izpratnē un ir par pamatu sprieduma atcelšan</w:t>
      </w:r>
      <w:r w:rsidR="00EA021E">
        <w:t>ai daļā par</w:t>
      </w:r>
      <w:r>
        <w:t xml:space="preserve"> </w:t>
      </w:r>
      <w:r w:rsidR="002329F4">
        <w:t>[pers. A]</w:t>
      </w:r>
      <w:r w:rsidR="00EA021E">
        <w:t xml:space="preserve"> noteikto sodu.</w:t>
      </w:r>
    </w:p>
    <w:p w14:paraId="7B3DD665" w14:textId="77777777" w:rsidR="00C5769C" w:rsidRDefault="00C5769C" w:rsidP="00BF4CAD">
      <w:pPr>
        <w:spacing w:line="276" w:lineRule="auto"/>
        <w:ind w:firstLine="709"/>
        <w:jc w:val="both"/>
      </w:pPr>
    </w:p>
    <w:p w14:paraId="0E56D3B6" w14:textId="77777777" w:rsidR="0095246A" w:rsidRDefault="00216130" w:rsidP="00BF4CAD">
      <w:pPr>
        <w:spacing w:line="276" w:lineRule="auto"/>
        <w:ind w:firstLine="709"/>
        <w:jc w:val="both"/>
      </w:pPr>
      <w:r w:rsidRPr="00C9434C">
        <w:t>[</w:t>
      </w:r>
      <w:r w:rsidR="00742E67">
        <w:t>5</w:t>
      </w:r>
      <w:r w:rsidRPr="00C9434C">
        <w:t>]</w:t>
      </w:r>
      <w:r>
        <w:t xml:space="preserve"> </w:t>
      </w:r>
      <w:r w:rsidR="009A3719">
        <w:t>Atbilstoši Kriminālprocesa likuma 588.panta 3</w:t>
      </w:r>
      <w:r w:rsidR="009A3719">
        <w:rPr>
          <w:vertAlign w:val="superscript"/>
        </w:rPr>
        <w:t>1</w:t>
      </w:r>
      <w:r w:rsidR="009A3719">
        <w:t xml:space="preserve"> daļ</w:t>
      </w:r>
      <w:r w:rsidR="00333410">
        <w:t>ā noteiktajam</w:t>
      </w:r>
      <w:r w:rsidR="009A3719">
        <w:t>, kasācijas instances tiesa izlemj jautājumu par drošības līdzekli.</w:t>
      </w:r>
    </w:p>
    <w:p w14:paraId="340499B3" w14:textId="3F1B0E6F" w:rsidR="009A3719" w:rsidRDefault="00DD2B9E" w:rsidP="00BF4CAD">
      <w:pPr>
        <w:spacing w:line="276" w:lineRule="auto"/>
        <w:ind w:firstLine="709"/>
        <w:jc w:val="both"/>
      </w:pPr>
      <w:r>
        <w:t>P</w:t>
      </w:r>
      <w:r w:rsidR="006B6837">
        <w:t>irmās instances tiesa</w:t>
      </w:r>
      <w:r w:rsidR="002B0061">
        <w:t xml:space="preserve"> apsūdzētajam</w:t>
      </w:r>
      <w:r w:rsidR="006B6837">
        <w:t xml:space="preserve"> </w:t>
      </w:r>
      <w:proofErr w:type="gramStart"/>
      <w:r w:rsidR="002329F4">
        <w:t>[</w:t>
      </w:r>
      <w:proofErr w:type="gramEnd"/>
      <w:r w:rsidR="002329F4">
        <w:t>pers. A]</w:t>
      </w:r>
      <w:r w:rsidR="009A3719">
        <w:t xml:space="preserve"> </w:t>
      </w:r>
      <w:r w:rsidR="00742E67">
        <w:t xml:space="preserve">noteikusi </w:t>
      </w:r>
      <w:r w:rsidR="009A3719">
        <w:t>drošība</w:t>
      </w:r>
      <w:r w:rsidR="00742735">
        <w:t xml:space="preserve">s </w:t>
      </w:r>
      <w:r w:rsidR="009A3719">
        <w:t xml:space="preserve">līdzekli </w:t>
      </w:r>
      <w:r w:rsidR="00333410">
        <w:t>– dzīves</w:t>
      </w:r>
      <w:r>
        <w:t>vietas maiņas paziņo</w:t>
      </w:r>
      <w:r w:rsidR="002A3D7C">
        <w:t>šana</w:t>
      </w:r>
      <w:r w:rsidR="009A3719">
        <w:t>.</w:t>
      </w:r>
      <w:r w:rsidR="002A3D7C" w:rsidRPr="002A3D7C">
        <w:rPr>
          <w:rFonts w:eastAsiaTheme="minorHAnsi"/>
          <w:iCs/>
        </w:rPr>
        <w:t xml:space="preserve"> </w:t>
      </w:r>
      <w:r w:rsidR="002A3D7C" w:rsidRPr="00C704D1">
        <w:rPr>
          <w:rFonts w:eastAsiaTheme="minorHAnsi"/>
          <w:iCs/>
        </w:rPr>
        <w:t>Piemērotais drošības līdzeklis ir samērīgs un likumīgs, tādēļ ir turpināma tā piemērošana.</w:t>
      </w:r>
    </w:p>
    <w:p w14:paraId="2F8944CA" w14:textId="77777777" w:rsidR="009A3719" w:rsidRDefault="009A3719" w:rsidP="00BF4CAD">
      <w:pPr>
        <w:autoSpaceDE w:val="0"/>
        <w:autoSpaceDN w:val="0"/>
        <w:adjustRightInd w:val="0"/>
        <w:spacing w:line="276" w:lineRule="auto"/>
        <w:ind w:firstLine="709"/>
        <w:jc w:val="both"/>
        <w:rPr>
          <w:rFonts w:ascii="TimesNewRomanPSMT" w:eastAsiaTheme="minorHAnsi" w:hAnsi="TimesNewRomanPSMT" w:cs="TimesNewRomanPSMT"/>
          <w:b/>
        </w:rPr>
      </w:pPr>
    </w:p>
    <w:p w14:paraId="4020CE47" w14:textId="77777777" w:rsidR="00DB05D7" w:rsidRDefault="00DB05D7" w:rsidP="00BF4CAD">
      <w:pPr>
        <w:autoSpaceDE w:val="0"/>
        <w:autoSpaceDN w:val="0"/>
        <w:adjustRightInd w:val="0"/>
        <w:spacing w:line="276" w:lineRule="auto"/>
        <w:ind w:firstLine="709"/>
        <w:jc w:val="center"/>
        <w:rPr>
          <w:rFonts w:ascii="TimesNewRomanPSMT" w:eastAsiaTheme="minorHAnsi" w:hAnsi="TimesNewRomanPSMT" w:cs="TimesNewRomanPSMT"/>
          <w:b/>
        </w:rPr>
      </w:pPr>
      <w:r w:rsidRPr="00DB05D7">
        <w:rPr>
          <w:rFonts w:ascii="TimesNewRomanPSMT" w:eastAsiaTheme="minorHAnsi" w:hAnsi="TimesNewRomanPSMT" w:cs="TimesNewRomanPSMT"/>
          <w:b/>
        </w:rPr>
        <w:t>Rezolutīvā daļa</w:t>
      </w:r>
    </w:p>
    <w:p w14:paraId="45964BEA" w14:textId="77777777" w:rsidR="00DB05D7" w:rsidRPr="00DB05D7" w:rsidRDefault="00DB05D7" w:rsidP="00BF4CAD">
      <w:pPr>
        <w:autoSpaceDE w:val="0"/>
        <w:autoSpaceDN w:val="0"/>
        <w:adjustRightInd w:val="0"/>
        <w:spacing w:line="276" w:lineRule="auto"/>
        <w:ind w:firstLine="709"/>
        <w:jc w:val="both"/>
        <w:rPr>
          <w:rFonts w:ascii="TimesNewRomanPSMT" w:eastAsiaTheme="minorHAnsi" w:hAnsi="TimesNewRomanPSMT" w:cs="TimesNewRomanPSMT"/>
          <w:b/>
        </w:rPr>
      </w:pPr>
    </w:p>
    <w:p w14:paraId="31EB2CD8" w14:textId="77777777" w:rsidR="00D22C5B" w:rsidRPr="00C9434C" w:rsidRDefault="00E41000" w:rsidP="00BF4CAD">
      <w:pPr>
        <w:tabs>
          <w:tab w:val="left" w:pos="0"/>
          <w:tab w:val="left" w:pos="6660"/>
        </w:tabs>
        <w:spacing w:line="276" w:lineRule="auto"/>
        <w:ind w:firstLine="709"/>
        <w:jc w:val="both"/>
      </w:pPr>
      <w:r w:rsidRPr="00C9434C">
        <w:t>Pamatojoties uz Kriminālprocesa likuma 585.,</w:t>
      </w:r>
      <w:r w:rsidR="003610E5">
        <w:t xml:space="preserve"> </w:t>
      </w:r>
      <w:r w:rsidRPr="00C9434C">
        <w:t>587.pantu,</w:t>
      </w:r>
      <w:r w:rsidR="004E7E3B" w:rsidRPr="00C9434C">
        <w:t xml:space="preserve"> tiesa</w:t>
      </w:r>
    </w:p>
    <w:p w14:paraId="26243655" w14:textId="77777777" w:rsidR="004E7E3B" w:rsidRPr="00C9434C" w:rsidRDefault="004E7E3B" w:rsidP="00BF4CAD">
      <w:pPr>
        <w:tabs>
          <w:tab w:val="left" w:pos="0"/>
          <w:tab w:val="left" w:pos="6660"/>
        </w:tabs>
        <w:spacing w:line="276" w:lineRule="auto"/>
        <w:ind w:firstLine="709"/>
        <w:jc w:val="both"/>
      </w:pPr>
    </w:p>
    <w:p w14:paraId="564528E1" w14:textId="77777777" w:rsidR="00F5719B" w:rsidRDefault="00DB05D7" w:rsidP="00BF4CAD">
      <w:pPr>
        <w:tabs>
          <w:tab w:val="left" w:pos="0"/>
          <w:tab w:val="left" w:pos="6660"/>
        </w:tabs>
        <w:spacing w:line="276" w:lineRule="auto"/>
        <w:ind w:firstLine="709"/>
        <w:jc w:val="center"/>
        <w:rPr>
          <w:b/>
        </w:rPr>
      </w:pPr>
      <w:r>
        <w:rPr>
          <w:b/>
        </w:rPr>
        <w:t>n</w:t>
      </w:r>
      <w:r w:rsidR="004E7E3B" w:rsidRPr="00F5719B">
        <w:rPr>
          <w:b/>
        </w:rPr>
        <w:t>olēma</w:t>
      </w:r>
      <w:r>
        <w:rPr>
          <w:b/>
        </w:rPr>
        <w:t>:</w:t>
      </w:r>
    </w:p>
    <w:p w14:paraId="363E1CF3" w14:textId="77777777" w:rsidR="00464C5C" w:rsidRPr="00F5719B" w:rsidRDefault="00464C5C" w:rsidP="00BF4CAD">
      <w:pPr>
        <w:tabs>
          <w:tab w:val="left" w:pos="0"/>
          <w:tab w:val="left" w:pos="6660"/>
        </w:tabs>
        <w:spacing w:line="276" w:lineRule="auto"/>
        <w:ind w:firstLine="709"/>
        <w:jc w:val="both"/>
        <w:rPr>
          <w:b/>
        </w:rPr>
      </w:pPr>
    </w:p>
    <w:p w14:paraId="07E96E9F" w14:textId="2F9D9C49" w:rsidR="005717EE" w:rsidRDefault="00C83F50" w:rsidP="00BF4CAD">
      <w:pPr>
        <w:spacing w:line="276" w:lineRule="auto"/>
        <w:ind w:firstLine="709"/>
        <w:jc w:val="both"/>
      </w:pPr>
      <w:r>
        <w:t xml:space="preserve">atcelt </w:t>
      </w:r>
      <w:r w:rsidR="002A3D7C">
        <w:t>Rīgas</w:t>
      </w:r>
      <w:r w:rsidR="002A3D7C" w:rsidRPr="00C9434C">
        <w:t xml:space="preserve"> apgabaltiesas </w:t>
      </w:r>
      <w:proofErr w:type="gramStart"/>
      <w:r w:rsidR="002A3D7C" w:rsidRPr="00C9434C">
        <w:t>20</w:t>
      </w:r>
      <w:r w:rsidR="002A3D7C">
        <w:t>20</w:t>
      </w:r>
      <w:r w:rsidR="002A3D7C" w:rsidRPr="00C9434C">
        <w:t>.gada</w:t>
      </w:r>
      <w:proofErr w:type="gramEnd"/>
      <w:r w:rsidR="002A3D7C" w:rsidRPr="00C9434C">
        <w:t xml:space="preserve"> </w:t>
      </w:r>
      <w:r w:rsidR="002A3D7C">
        <w:t>18.februāra</w:t>
      </w:r>
      <w:r w:rsidR="002A3D7C" w:rsidRPr="00C9434C">
        <w:t xml:space="preserve"> </w:t>
      </w:r>
      <w:r w:rsidR="002A3D7C">
        <w:t>spried</w:t>
      </w:r>
      <w:r w:rsidR="002A3D7C" w:rsidRPr="00C9434C">
        <w:t>um</w:t>
      </w:r>
      <w:r w:rsidR="00DE72E2">
        <w:t>u daļā</w:t>
      </w:r>
      <w:r w:rsidR="00EA021E">
        <w:t xml:space="preserve"> par </w:t>
      </w:r>
      <w:r w:rsidR="002329F4">
        <w:t>[pers. A]</w:t>
      </w:r>
      <w:r w:rsidR="00EA021E">
        <w:t xml:space="preserve"> noteikto sodu pēc</w:t>
      </w:r>
      <w:r w:rsidR="00333410">
        <w:t xml:space="preserve"> Krimināllikuma</w:t>
      </w:r>
      <w:r w:rsidR="007F0821">
        <w:t xml:space="preserve"> 177.panta trešās daļas, 195.panta trešās daļas, 180.panta pirmās daļas, 275.panta otrās daļas, 177.panta pirmās daļas, 275.panta otrās daļas</w:t>
      </w:r>
      <w:r w:rsidR="00EF1BA0">
        <w:t xml:space="preserve"> un</w:t>
      </w:r>
      <w:r w:rsidR="007F0821">
        <w:t xml:space="preserve"> par noteikto galīgo sodu saskaņā ar Krimināllikuma 50.panta pirmo un trešo daļu.</w:t>
      </w:r>
    </w:p>
    <w:p w14:paraId="21458329" w14:textId="77777777" w:rsidR="003D00DE" w:rsidRDefault="003D00DE" w:rsidP="00BF4CAD">
      <w:pPr>
        <w:spacing w:line="276" w:lineRule="auto"/>
        <w:ind w:firstLine="709"/>
        <w:jc w:val="both"/>
      </w:pPr>
      <w:r>
        <w:t>Atceltajā daļā lietu nosūtīt jaunai izskatīšanai Rīgas apgabaltiesā.</w:t>
      </w:r>
    </w:p>
    <w:p w14:paraId="02C5749F" w14:textId="13F31EEB" w:rsidR="002B0061" w:rsidRDefault="002329F4" w:rsidP="00BF4CAD">
      <w:pPr>
        <w:spacing w:line="276" w:lineRule="auto"/>
        <w:ind w:firstLine="709"/>
        <w:jc w:val="both"/>
      </w:pPr>
      <w:r>
        <w:lastRenderedPageBreak/>
        <w:t>[Pers. A]</w:t>
      </w:r>
      <w:r w:rsidR="002B0061">
        <w:t xml:space="preserve"> turpināt piemērot drošības līdzekli – dzīvesvietas maiņas paziņošana.</w:t>
      </w:r>
    </w:p>
    <w:p w14:paraId="487C6049" w14:textId="70F5CD3F" w:rsidR="003B5BB7" w:rsidRPr="002329F4" w:rsidRDefault="002B0061" w:rsidP="002329F4">
      <w:pPr>
        <w:tabs>
          <w:tab w:val="left" w:pos="0"/>
          <w:tab w:val="left" w:pos="6660"/>
        </w:tabs>
        <w:spacing w:line="276" w:lineRule="auto"/>
        <w:ind w:firstLine="709"/>
        <w:jc w:val="both"/>
      </w:pPr>
      <w:r>
        <w:t xml:space="preserve">           </w:t>
      </w:r>
      <w:r w:rsidR="004E7E3B" w:rsidRPr="00C9434C">
        <w:t>Lēmums nav pārsūdzams.</w:t>
      </w:r>
    </w:p>
    <w:sectPr w:rsidR="003B5BB7" w:rsidRPr="002329F4" w:rsidSect="00C5300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D13B2" w14:textId="77777777" w:rsidR="007A29E7" w:rsidRDefault="007A29E7" w:rsidP="00FB25DA">
      <w:r>
        <w:separator/>
      </w:r>
    </w:p>
  </w:endnote>
  <w:endnote w:type="continuationSeparator" w:id="0">
    <w:p w14:paraId="558B972F" w14:textId="77777777" w:rsidR="007A29E7" w:rsidRDefault="007A29E7"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14:paraId="4A0DE662" w14:textId="77777777" w:rsidR="007A29E7" w:rsidRDefault="007A29E7">
            <w:pPr>
              <w:pStyle w:val="Footer"/>
              <w:jc w:val="center"/>
            </w:pPr>
            <w:r w:rsidRPr="00EA176A">
              <w:rPr>
                <w:bCs/>
              </w:rPr>
              <w:fldChar w:fldCharType="begin"/>
            </w:r>
            <w:r w:rsidRPr="00EA176A">
              <w:rPr>
                <w:bCs/>
              </w:rPr>
              <w:instrText xml:space="preserve"> PAGE </w:instrText>
            </w:r>
            <w:r w:rsidRPr="00EA176A">
              <w:rPr>
                <w:bCs/>
              </w:rPr>
              <w:fldChar w:fldCharType="separate"/>
            </w:r>
            <w:r w:rsidR="003C5598">
              <w:rPr>
                <w:bCs/>
                <w:noProof/>
              </w:rPr>
              <w:t>3</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3C5598">
              <w:rPr>
                <w:bCs/>
                <w:noProof/>
              </w:rPr>
              <w:t>4</w:t>
            </w:r>
            <w:r w:rsidRPr="00EA176A">
              <w:rPr>
                <w:bCs/>
              </w:rPr>
              <w:fldChar w:fldCharType="end"/>
            </w:r>
          </w:p>
        </w:sdtContent>
      </w:sdt>
    </w:sdtContent>
  </w:sdt>
  <w:p w14:paraId="124C1725" w14:textId="77777777" w:rsidR="007A29E7" w:rsidRDefault="007A2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A9A77" w14:textId="77777777" w:rsidR="007A29E7" w:rsidRDefault="007A29E7" w:rsidP="00FB25DA">
      <w:r>
        <w:separator/>
      </w:r>
    </w:p>
  </w:footnote>
  <w:footnote w:type="continuationSeparator" w:id="0">
    <w:p w14:paraId="64ECD27B" w14:textId="77777777" w:rsidR="007A29E7" w:rsidRDefault="007A29E7" w:rsidP="00FB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30BC2"/>
    <w:multiLevelType w:val="hybridMultilevel"/>
    <w:tmpl w:val="4E12985E"/>
    <w:lvl w:ilvl="0" w:tplc="B82029BA">
      <w:start w:val="24"/>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0304"/>
    <w:rsid w:val="00000A88"/>
    <w:rsid w:val="00001A23"/>
    <w:rsid w:val="00001E92"/>
    <w:rsid w:val="000031D8"/>
    <w:rsid w:val="00006057"/>
    <w:rsid w:val="0000613E"/>
    <w:rsid w:val="00013629"/>
    <w:rsid w:val="00020C2E"/>
    <w:rsid w:val="00021017"/>
    <w:rsid w:val="000225E2"/>
    <w:rsid w:val="000247B1"/>
    <w:rsid w:val="000260C3"/>
    <w:rsid w:val="000304AB"/>
    <w:rsid w:val="00030510"/>
    <w:rsid w:val="000322A2"/>
    <w:rsid w:val="00032B14"/>
    <w:rsid w:val="000409B4"/>
    <w:rsid w:val="00040BD2"/>
    <w:rsid w:val="00044486"/>
    <w:rsid w:val="00045612"/>
    <w:rsid w:val="000529E5"/>
    <w:rsid w:val="00052D2C"/>
    <w:rsid w:val="0005463A"/>
    <w:rsid w:val="00060638"/>
    <w:rsid w:val="00062830"/>
    <w:rsid w:val="0006438A"/>
    <w:rsid w:val="00070C8F"/>
    <w:rsid w:val="0007157E"/>
    <w:rsid w:val="00076CE9"/>
    <w:rsid w:val="00081928"/>
    <w:rsid w:val="0008336E"/>
    <w:rsid w:val="00084889"/>
    <w:rsid w:val="000859F5"/>
    <w:rsid w:val="0008631B"/>
    <w:rsid w:val="00086520"/>
    <w:rsid w:val="00087EEA"/>
    <w:rsid w:val="0009033F"/>
    <w:rsid w:val="00091C83"/>
    <w:rsid w:val="00091F48"/>
    <w:rsid w:val="00095783"/>
    <w:rsid w:val="000A4B64"/>
    <w:rsid w:val="000A5577"/>
    <w:rsid w:val="000A726D"/>
    <w:rsid w:val="000A7F16"/>
    <w:rsid w:val="000B0399"/>
    <w:rsid w:val="000B382B"/>
    <w:rsid w:val="000B6618"/>
    <w:rsid w:val="000B72FB"/>
    <w:rsid w:val="000C0268"/>
    <w:rsid w:val="000C0EAC"/>
    <w:rsid w:val="000C2043"/>
    <w:rsid w:val="000C4645"/>
    <w:rsid w:val="000C48B6"/>
    <w:rsid w:val="000C4E42"/>
    <w:rsid w:val="000C6AC7"/>
    <w:rsid w:val="000D2F66"/>
    <w:rsid w:val="000D7561"/>
    <w:rsid w:val="000E6C22"/>
    <w:rsid w:val="000F19AA"/>
    <w:rsid w:val="000F21F4"/>
    <w:rsid w:val="000F396E"/>
    <w:rsid w:val="000F3A82"/>
    <w:rsid w:val="000F58E9"/>
    <w:rsid w:val="000F6D84"/>
    <w:rsid w:val="000F7774"/>
    <w:rsid w:val="00100819"/>
    <w:rsid w:val="00103C70"/>
    <w:rsid w:val="00104BE5"/>
    <w:rsid w:val="00105653"/>
    <w:rsid w:val="00106F7F"/>
    <w:rsid w:val="00106FA3"/>
    <w:rsid w:val="00107FE7"/>
    <w:rsid w:val="001109D8"/>
    <w:rsid w:val="00110AEE"/>
    <w:rsid w:val="001122B8"/>
    <w:rsid w:val="00114773"/>
    <w:rsid w:val="00117164"/>
    <w:rsid w:val="00117B5D"/>
    <w:rsid w:val="00120465"/>
    <w:rsid w:val="001221F1"/>
    <w:rsid w:val="00122DE6"/>
    <w:rsid w:val="001370D9"/>
    <w:rsid w:val="001402BD"/>
    <w:rsid w:val="001408A2"/>
    <w:rsid w:val="00141962"/>
    <w:rsid w:val="00143AC6"/>
    <w:rsid w:val="001467CF"/>
    <w:rsid w:val="00150EF8"/>
    <w:rsid w:val="0015351F"/>
    <w:rsid w:val="001546E8"/>
    <w:rsid w:val="00155B5F"/>
    <w:rsid w:val="001567B4"/>
    <w:rsid w:val="00160D45"/>
    <w:rsid w:val="00161834"/>
    <w:rsid w:val="00161CC1"/>
    <w:rsid w:val="00162088"/>
    <w:rsid w:val="001632DB"/>
    <w:rsid w:val="00165C52"/>
    <w:rsid w:val="00165C94"/>
    <w:rsid w:val="0016681B"/>
    <w:rsid w:val="00167B45"/>
    <w:rsid w:val="00167D33"/>
    <w:rsid w:val="00170738"/>
    <w:rsid w:val="00170981"/>
    <w:rsid w:val="00171475"/>
    <w:rsid w:val="00173F4A"/>
    <w:rsid w:val="00174A60"/>
    <w:rsid w:val="0017599B"/>
    <w:rsid w:val="001772F5"/>
    <w:rsid w:val="00182D42"/>
    <w:rsid w:val="001859FA"/>
    <w:rsid w:val="00185E75"/>
    <w:rsid w:val="00187970"/>
    <w:rsid w:val="00194A68"/>
    <w:rsid w:val="00196F00"/>
    <w:rsid w:val="00197300"/>
    <w:rsid w:val="001974C9"/>
    <w:rsid w:val="001A0455"/>
    <w:rsid w:val="001A17C9"/>
    <w:rsid w:val="001A5E6F"/>
    <w:rsid w:val="001B155E"/>
    <w:rsid w:val="001B3987"/>
    <w:rsid w:val="001B5D9E"/>
    <w:rsid w:val="001B6294"/>
    <w:rsid w:val="001B643D"/>
    <w:rsid w:val="001C097E"/>
    <w:rsid w:val="001C0FF0"/>
    <w:rsid w:val="001C1492"/>
    <w:rsid w:val="001C1DF3"/>
    <w:rsid w:val="001C4240"/>
    <w:rsid w:val="001C44F2"/>
    <w:rsid w:val="001C6720"/>
    <w:rsid w:val="001C736F"/>
    <w:rsid w:val="001D17F9"/>
    <w:rsid w:val="001D4A65"/>
    <w:rsid w:val="001D70A8"/>
    <w:rsid w:val="001D71ED"/>
    <w:rsid w:val="001E27FF"/>
    <w:rsid w:val="001E2E91"/>
    <w:rsid w:val="001E4CB7"/>
    <w:rsid w:val="001E6FE4"/>
    <w:rsid w:val="001E75BA"/>
    <w:rsid w:val="001F4DB2"/>
    <w:rsid w:val="001F59EC"/>
    <w:rsid w:val="001F60C5"/>
    <w:rsid w:val="001F70F1"/>
    <w:rsid w:val="001F772B"/>
    <w:rsid w:val="001F7FDD"/>
    <w:rsid w:val="00200CA6"/>
    <w:rsid w:val="0020543F"/>
    <w:rsid w:val="0020638E"/>
    <w:rsid w:val="00207563"/>
    <w:rsid w:val="002130E9"/>
    <w:rsid w:val="00214668"/>
    <w:rsid w:val="00215533"/>
    <w:rsid w:val="00216130"/>
    <w:rsid w:val="00217147"/>
    <w:rsid w:val="002202F9"/>
    <w:rsid w:val="00221332"/>
    <w:rsid w:val="002213F4"/>
    <w:rsid w:val="00222B1F"/>
    <w:rsid w:val="00223823"/>
    <w:rsid w:val="00224495"/>
    <w:rsid w:val="00227034"/>
    <w:rsid w:val="002324F1"/>
    <w:rsid w:val="002329F4"/>
    <w:rsid w:val="00233440"/>
    <w:rsid w:val="00233B02"/>
    <w:rsid w:val="00236893"/>
    <w:rsid w:val="0024062A"/>
    <w:rsid w:val="0024192D"/>
    <w:rsid w:val="00243C73"/>
    <w:rsid w:val="002447B6"/>
    <w:rsid w:val="002470E5"/>
    <w:rsid w:val="0025294E"/>
    <w:rsid w:val="00253AB7"/>
    <w:rsid w:val="00260028"/>
    <w:rsid w:val="00264DDE"/>
    <w:rsid w:val="0027273D"/>
    <w:rsid w:val="00274C31"/>
    <w:rsid w:val="002761AB"/>
    <w:rsid w:val="002773EB"/>
    <w:rsid w:val="002819BC"/>
    <w:rsid w:val="00286BDB"/>
    <w:rsid w:val="00291779"/>
    <w:rsid w:val="00291E05"/>
    <w:rsid w:val="00293680"/>
    <w:rsid w:val="002955B6"/>
    <w:rsid w:val="00295684"/>
    <w:rsid w:val="00295957"/>
    <w:rsid w:val="00296E3B"/>
    <w:rsid w:val="002A0353"/>
    <w:rsid w:val="002A12F1"/>
    <w:rsid w:val="002A2965"/>
    <w:rsid w:val="002A3AD0"/>
    <w:rsid w:val="002A3D7C"/>
    <w:rsid w:val="002B0061"/>
    <w:rsid w:val="002B1187"/>
    <w:rsid w:val="002B1E7A"/>
    <w:rsid w:val="002B3F3E"/>
    <w:rsid w:val="002B4C9B"/>
    <w:rsid w:val="002B5199"/>
    <w:rsid w:val="002B5C6C"/>
    <w:rsid w:val="002B7AB0"/>
    <w:rsid w:val="002B7B59"/>
    <w:rsid w:val="002B7D79"/>
    <w:rsid w:val="002C1562"/>
    <w:rsid w:val="002C3060"/>
    <w:rsid w:val="002C3269"/>
    <w:rsid w:val="002C4D10"/>
    <w:rsid w:val="002D2894"/>
    <w:rsid w:val="002D5D03"/>
    <w:rsid w:val="002D688F"/>
    <w:rsid w:val="002E06C3"/>
    <w:rsid w:val="002E1D67"/>
    <w:rsid w:val="002E2622"/>
    <w:rsid w:val="002E5960"/>
    <w:rsid w:val="002E60CB"/>
    <w:rsid w:val="002F28AA"/>
    <w:rsid w:val="002F3343"/>
    <w:rsid w:val="002F5E62"/>
    <w:rsid w:val="002F717F"/>
    <w:rsid w:val="00302218"/>
    <w:rsid w:val="00305F89"/>
    <w:rsid w:val="003075DF"/>
    <w:rsid w:val="00310DCE"/>
    <w:rsid w:val="003157A5"/>
    <w:rsid w:val="00316C36"/>
    <w:rsid w:val="00320759"/>
    <w:rsid w:val="00321086"/>
    <w:rsid w:val="00325BFB"/>
    <w:rsid w:val="003272C0"/>
    <w:rsid w:val="00333397"/>
    <w:rsid w:val="00333410"/>
    <w:rsid w:val="003355C3"/>
    <w:rsid w:val="003370C2"/>
    <w:rsid w:val="0033728B"/>
    <w:rsid w:val="00337809"/>
    <w:rsid w:val="00340596"/>
    <w:rsid w:val="00341681"/>
    <w:rsid w:val="003423C9"/>
    <w:rsid w:val="0034262B"/>
    <w:rsid w:val="003447CB"/>
    <w:rsid w:val="003459C7"/>
    <w:rsid w:val="0034763E"/>
    <w:rsid w:val="0035011E"/>
    <w:rsid w:val="00351630"/>
    <w:rsid w:val="00352031"/>
    <w:rsid w:val="00352C93"/>
    <w:rsid w:val="00352EC8"/>
    <w:rsid w:val="00353FAC"/>
    <w:rsid w:val="00355D95"/>
    <w:rsid w:val="00356600"/>
    <w:rsid w:val="00357007"/>
    <w:rsid w:val="003576E2"/>
    <w:rsid w:val="00357745"/>
    <w:rsid w:val="003610E5"/>
    <w:rsid w:val="00361ABE"/>
    <w:rsid w:val="00363849"/>
    <w:rsid w:val="003638D9"/>
    <w:rsid w:val="00365A77"/>
    <w:rsid w:val="00365CA0"/>
    <w:rsid w:val="003703D8"/>
    <w:rsid w:val="00371579"/>
    <w:rsid w:val="00372458"/>
    <w:rsid w:val="00372880"/>
    <w:rsid w:val="00381810"/>
    <w:rsid w:val="00382A34"/>
    <w:rsid w:val="00383E4B"/>
    <w:rsid w:val="00384749"/>
    <w:rsid w:val="00384FA7"/>
    <w:rsid w:val="0039140E"/>
    <w:rsid w:val="003932DC"/>
    <w:rsid w:val="00397911"/>
    <w:rsid w:val="003A04F6"/>
    <w:rsid w:val="003A145F"/>
    <w:rsid w:val="003A14CA"/>
    <w:rsid w:val="003A2FE8"/>
    <w:rsid w:val="003A349E"/>
    <w:rsid w:val="003A363E"/>
    <w:rsid w:val="003A3C85"/>
    <w:rsid w:val="003A4469"/>
    <w:rsid w:val="003A46E8"/>
    <w:rsid w:val="003A4EBF"/>
    <w:rsid w:val="003A79AF"/>
    <w:rsid w:val="003B0AB8"/>
    <w:rsid w:val="003B14EB"/>
    <w:rsid w:val="003B4231"/>
    <w:rsid w:val="003B43E9"/>
    <w:rsid w:val="003B5BB7"/>
    <w:rsid w:val="003B7260"/>
    <w:rsid w:val="003C03BF"/>
    <w:rsid w:val="003C0FDA"/>
    <w:rsid w:val="003C3CE0"/>
    <w:rsid w:val="003C5331"/>
    <w:rsid w:val="003C5598"/>
    <w:rsid w:val="003C7B0F"/>
    <w:rsid w:val="003D00DE"/>
    <w:rsid w:val="003D72E2"/>
    <w:rsid w:val="003E0336"/>
    <w:rsid w:val="003E14AF"/>
    <w:rsid w:val="003E3398"/>
    <w:rsid w:val="003E3B29"/>
    <w:rsid w:val="003E49D4"/>
    <w:rsid w:val="003E70B0"/>
    <w:rsid w:val="003E7DBD"/>
    <w:rsid w:val="003F05F7"/>
    <w:rsid w:val="003F1276"/>
    <w:rsid w:val="003F3896"/>
    <w:rsid w:val="003F4922"/>
    <w:rsid w:val="003F4C73"/>
    <w:rsid w:val="003F5838"/>
    <w:rsid w:val="003F6644"/>
    <w:rsid w:val="003F6D56"/>
    <w:rsid w:val="00400DE6"/>
    <w:rsid w:val="0040239F"/>
    <w:rsid w:val="004029A3"/>
    <w:rsid w:val="00404844"/>
    <w:rsid w:val="0040646A"/>
    <w:rsid w:val="00406DE0"/>
    <w:rsid w:val="00410497"/>
    <w:rsid w:val="00412D9C"/>
    <w:rsid w:val="00413E5E"/>
    <w:rsid w:val="00417E31"/>
    <w:rsid w:val="00420AE6"/>
    <w:rsid w:val="0042248E"/>
    <w:rsid w:val="00423C37"/>
    <w:rsid w:val="00424784"/>
    <w:rsid w:val="004261A0"/>
    <w:rsid w:val="004265E2"/>
    <w:rsid w:val="004322B7"/>
    <w:rsid w:val="00433A95"/>
    <w:rsid w:val="00433C7D"/>
    <w:rsid w:val="00434873"/>
    <w:rsid w:val="00436C15"/>
    <w:rsid w:val="00437A5B"/>
    <w:rsid w:val="00437C62"/>
    <w:rsid w:val="00441440"/>
    <w:rsid w:val="00444043"/>
    <w:rsid w:val="00450EA7"/>
    <w:rsid w:val="00452305"/>
    <w:rsid w:val="00454333"/>
    <w:rsid w:val="0045495F"/>
    <w:rsid w:val="00454FFB"/>
    <w:rsid w:val="00456700"/>
    <w:rsid w:val="00457F8A"/>
    <w:rsid w:val="004600EB"/>
    <w:rsid w:val="004601B3"/>
    <w:rsid w:val="004610A8"/>
    <w:rsid w:val="00462B89"/>
    <w:rsid w:val="00462D32"/>
    <w:rsid w:val="00463202"/>
    <w:rsid w:val="00464C5C"/>
    <w:rsid w:val="0046600E"/>
    <w:rsid w:val="00470D93"/>
    <w:rsid w:val="004731D3"/>
    <w:rsid w:val="00473DBF"/>
    <w:rsid w:val="004751ED"/>
    <w:rsid w:val="0047658C"/>
    <w:rsid w:val="00477427"/>
    <w:rsid w:val="00477BE9"/>
    <w:rsid w:val="00484884"/>
    <w:rsid w:val="00487819"/>
    <w:rsid w:val="004940B0"/>
    <w:rsid w:val="004A0C88"/>
    <w:rsid w:val="004A27EB"/>
    <w:rsid w:val="004A2910"/>
    <w:rsid w:val="004A3FC6"/>
    <w:rsid w:val="004A549C"/>
    <w:rsid w:val="004A6CC1"/>
    <w:rsid w:val="004A6CF2"/>
    <w:rsid w:val="004B0795"/>
    <w:rsid w:val="004B177A"/>
    <w:rsid w:val="004B4FBE"/>
    <w:rsid w:val="004B6890"/>
    <w:rsid w:val="004B7245"/>
    <w:rsid w:val="004B746A"/>
    <w:rsid w:val="004C0AF2"/>
    <w:rsid w:val="004C0DE0"/>
    <w:rsid w:val="004C6801"/>
    <w:rsid w:val="004C7E0A"/>
    <w:rsid w:val="004D2146"/>
    <w:rsid w:val="004D7816"/>
    <w:rsid w:val="004E0ADE"/>
    <w:rsid w:val="004E2604"/>
    <w:rsid w:val="004E4383"/>
    <w:rsid w:val="004E5281"/>
    <w:rsid w:val="004E7E3B"/>
    <w:rsid w:val="004E7F7D"/>
    <w:rsid w:val="004F1E88"/>
    <w:rsid w:val="004F2545"/>
    <w:rsid w:val="004F2F54"/>
    <w:rsid w:val="004F4B22"/>
    <w:rsid w:val="004F4CBC"/>
    <w:rsid w:val="004F5C8F"/>
    <w:rsid w:val="004F5CA8"/>
    <w:rsid w:val="00500F71"/>
    <w:rsid w:val="00501FE2"/>
    <w:rsid w:val="0050281E"/>
    <w:rsid w:val="005046D5"/>
    <w:rsid w:val="0050645D"/>
    <w:rsid w:val="00506E41"/>
    <w:rsid w:val="005115F7"/>
    <w:rsid w:val="00515164"/>
    <w:rsid w:val="00520ED2"/>
    <w:rsid w:val="00521AEA"/>
    <w:rsid w:val="005229BB"/>
    <w:rsid w:val="00525E41"/>
    <w:rsid w:val="00526155"/>
    <w:rsid w:val="00530E4D"/>
    <w:rsid w:val="00531C44"/>
    <w:rsid w:val="0053247E"/>
    <w:rsid w:val="00534018"/>
    <w:rsid w:val="00535C03"/>
    <w:rsid w:val="00537B28"/>
    <w:rsid w:val="00541FC6"/>
    <w:rsid w:val="0054260B"/>
    <w:rsid w:val="00543675"/>
    <w:rsid w:val="00544932"/>
    <w:rsid w:val="005469C5"/>
    <w:rsid w:val="0055160A"/>
    <w:rsid w:val="0055553E"/>
    <w:rsid w:val="00557043"/>
    <w:rsid w:val="00557E1F"/>
    <w:rsid w:val="00560DAD"/>
    <w:rsid w:val="00562D66"/>
    <w:rsid w:val="00564DAC"/>
    <w:rsid w:val="005717EE"/>
    <w:rsid w:val="00576224"/>
    <w:rsid w:val="00576B4F"/>
    <w:rsid w:val="00577DFD"/>
    <w:rsid w:val="00590617"/>
    <w:rsid w:val="00592BA3"/>
    <w:rsid w:val="00596973"/>
    <w:rsid w:val="0059714C"/>
    <w:rsid w:val="005A020A"/>
    <w:rsid w:val="005A0483"/>
    <w:rsid w:val="005A0BCF"/>
    <w:rsid w:val="005A1935"/>
    <w:rsid w:val="005A206F"/>
    <w:rsid w:val="005A2BA4"/>
    <w:rsid w:val="005A620A"/>
    <w:rsid w:val="005B134B"/>
    <w:rsid w:val="005B1A8A"/>
    <w:rsid w:val="005B2CC6"/>
    <w:rsid w:val="005B3B60"/>
    <w:rsid w:val="005B3E66"/>
    <w:rsid w:val="005B50E2"/>
    <w:rsid w:val="005B6DD8"/>
    <w:rsid w:val="005B7C65"/>
    <w:rsid w:val="005C0745"/>
    <w:rsid w:val="005C290C"/>
    <w:rsid w:val="005C3B5B"/>
    <w:rsid w:val="005C5D58"/>
    <w:rsid w:val="005C7958"/>
    <w:rsid w:val="005C7CAC"/>
    <w:rsid w:val="005C7F10"/>
    <w:rsid w:val="005D2B26"/>
    <w:rsid w:val="005D31E2"/>
    <w:rsid w:val="005D338F"/>
    <w:rsid w:val="005D40BB"/>
    <w:rsid w:val="005D6420"/>
    <w:rsid w:val="005D68B1"/>
    <w:rsid w:val="005E01B2"/>
    <w:rsid w:val="005E0201"/>
    <w:rsid w:val="005E0C17"/>
    <w:rsid w:val="005E1008"/>
    <w:rsid w:val="005E32C5"/>
    <w:rsid w:val="005E37B4"/>
    <w:rsid w:val="005F173C"/>
    <w:rsid w:val="005F4D3B"/>
    <w:rsid w:val="005F514A"/>
    <w:rsid w:val="005F72E3"/>
    <w:rsid w:val="006002D6"/>
    <w:rsid w:val="0060069A"/>
    <w:rsid w:val="006017B8"/>
    <w:rsid w:val="00602127"/>
    <w:rsid w:val="00602145"/>
    <w:rsid w:val="0060326B"/>
    <w:rsid w:val="0060355C"/>
    <w:rsid w:val="006056A2"/>
    <w:rsid w:val="00605A8F"/>
    <w:rsid w:val="00606E36"/>
    <w:rsid w:val="00607318"/>
    <w:rsid w:val="006078FC"/>
    <w:rsid w:val="00607E1F"/>
    <w:rsid w:val="00612DB3"/>
    <w:rsid w:val="00617778"/>
    <w:rsid w:val="00620580"/>
    <w:rsid w:val="00627C9F"/>
    <w:rsid w:val="00635251"/>
    <w:rsid w:val="00635726"/>
    <w:rsid w:val="006365F6"/>
    <w:rsid w:val="006375E0"/>
    <w:rsid w:val="0063763A"/>
    <w:rsid w:val="00637BF7"/>
    <w:rsid w:val="00642831"/>
    <w:rsid w:val="006434AF"/>
    <w:rsid w:val="00643D95"/>
    <w:rsid w:val="00647958"/>
    <w:rsid w:val="0065020D"/>
    <w:rsid w:val="006521EB"/>
    <w:rsid w:val="0065455A"/>
    <w:rsid w:val="00657520"/>
    <w:rsid w:val="00657DE3"/>
    <w:rsid w:val="00662323"/>
    <w:rsid w:val="00662543"/>
    <w:rsid w:val="00665A5D"/>
    <w:rsid w:val="00666349"/>
    <w:rsid w:val="00666ACE"/>
    <w:rsid w:val="00667328"/>
    <w:rsid w:val="00667F13"/>
    <w:rsid w:val="006703B0"/>
    <w:rsid w:val="00672D27"/>
    <w:rsid w:val="00677A4C"/>
    <w:rsid w:val="00677CD8"/>
    <w:rsid w:val="00681CF2"/>
    <w:rsid w:val="00683DF9"/>
    <w:rsid w:val="0068516D"/>
    <w:rsid w:val="0068745A"/>
    <w:rsid w:val="00687E76"/>
    <w:rsid w:val="00690C85"/>
    <w:rsid w:val="00693AED"/>
    <w:rsid w:val="00693C0D"/>
    <w:rsid w:val="00695558"/>
    <w:rsid w:val="00697C7B"/>
    <w:rsid w:val="006A06FF"/>
    <w:rsid w:val="006A1B70"/>
    <w:rsid w:val="006A237E"/>
    <w:rsid w:val="006A305F"/>
    <w:rsid w:val="006A4566"/>
    <w:rsid w:val="006A5EFF"/>
    <w:rsid w:val="006B0498"/>
    <w:rsid w:val="006B0751"/>
    <w:rsid w:val="006B4E1F"/>
    <w:rsid w:val="006B6837"/>
    <w:rsid w:val="006C09C4"/>
    <w:rsid w:val="006D01F1"/>
    <w:rsid w:val="006D030D"/>
    <w:rsid w:val="006D3871"/>
    <w:rsid w:val="006E145D"/>
    <w:rsid w:val="006E17EE"/>
    <w:rsid w:val="006E25B8"/>
    <w:rsid w:val="006E2744"/>
    <w:rsid w:val="006E2DCA"/>
    <w:rsid w:val="006E3047"/>
    <w:rsid w:val="006E4993"/>
    <w:rsid w:val="006F100B"/>
    <w:rsid w:val="006F32C7"/>
    <w:rsid w:val="006F3C51"/>
    <w:rsid w:val="006F48CD"/>
    <w:rsid w:val="006F67AC"/>
    <w:rsid w:val="006F69B9"/>
    <w:rsid w:val="00701471"/>
    <w:rsid w:val="00702709"/>
    <w:rsid w:val="00704F2A"/>
    <w:rsid w:val="0071144B"/>
    <w:rsid w:val="00711DA6"/>
    <w:rsid w:val="0071305A"/>
    <w:rsid w:val="00713648"/>
    <w:rsid w:val="0071489E"/>
    <w:rsid w:val="007172F0"/>
    <w:rsid w:val="00721A85"/>
    <w:rsid w:val="00721FED"/>
    <w:rsid w:val="00722D44"/>
    <w:rsid w:val="00727493"/>
    <w:rsid w:val="007274CC"/>
    <w:rsid w:val="00727AEE"/>
    <w:rsid w:val="007311D9"/>
    <w:rsid w:val="00731A5F"/>
    <w:rsid w:val="007367F8"/>
    <w:rsid w:val="007400BF"/>
    <w:rsid w:val="00740784"/>
    <w:rsid w:val="00740EF7"/>
    <w:rsid w:val="00741234"/>
    <w:rsid w:val="00741C56"/>
    <w:rsid w:val="00742735"/>
    <w:rsid w:val="00742E67"/>
    <w:rsid w:val="00743447"/>
    <w:rsid w:val="007457B4"/>
    <w:rsid w:val="00745D18"/>
    <w:rsid w:val="00753538"/>
    <w:rsid w:val="00756757"/>
    <w:rsid w:val="00760D88"/>
    <w:rsid w:val="007631B3"/>
    <w:rsid w:val="00765E94"/>
    <w:rsid w:val="007663A8"/>
    <w:rsid w:val="0076735A"/>
    <w:rsid w:val="00773619"/>
    <w:rsid w:val="0077466E"/>
    <w:rsid w:val="007778AF"/>
    <w:rsid w:val="007842BB"/>
    <w:rsid w:val="00784EB8"/>
    <w:rsid w:val="007851DD"/>
    <w:rsid w:val="00786331"/>
    <w:rsid w:val="00790DF4"/>
    <w:rsid w:val="00796635"/>
    <w:rsid w:val="007A0C12"/>
    <w:rsid w:val="007A163A"/>
    <w:rsid w:val="007A29E7"/>
    <w:rsid w:val="007A317F"/>
    <w:rsid w:val="007A3EA8"/>
    <w:rsid w:val="007A6C95"/>
    <w:rsid w:val="007A7ABB"/>
    <w:rsid w:val="007B0FA4"/>
    <w:rsid w:val="007B586D"/>
    <w:rsid w:val="007B73CE"/>
    <w:rsid w:val="007B74B1"/>
    <w:rsid w:val="007C3259"/>
    <w:rsid w:val="007C339B"/>
    <w:rsid w:val="007C3699"/>
    <w:rsid w:val="007C3A27"/>
    <w:rsid w:val="007C62D8"/>
    <w:rsid w:val="007D6FE6"/>
    <w:rsid w:val="007E16DC"/>
    <w:rsid w:val="007E3E0F"/>
    <w:rsid w:val="007E61C9"/>
    <w:rsid w:val="007F0821"/>
    <w:rsid w:val="007F2661"/>
    <w:rsid w:val="007F3224"/>
    <w:rsid w:val="007F4A60"/>
    <w:rsid w:val="007F7051"/>
    <w:rsid w:val="00801CCE"/>
    <w:rsid w:val="00802717"/>
    <w:rsid w:val="00803DE1"/>
    <w:rsid w:val="0081080B"/>
    <w:rsid w:val="00814CB8"/>
    <w:rsid w:val="00815C92"/>
    <w:rsid w:val="00816444"/>
    <w:rsid w:val="00817A6A"/>
    <w:rsid w:val="00822E82"/>
    <w:rsid w:val="00823B5E"/>
    <w:rsid w:val="00825A35"/>
    <w:rsid w:val="00833536"/>
    <w:rsid w:val="008345E4"/>
    <w:rsid w:val="0083594D"/>
    <w:rsid w:val="00840045"/>
    <w:rsid w:val="00842D59"/>
    <w:rsid w:val="00844C71"/>
    <w:rsid w:val="00844F07"/>
    <w:rsid w:val="008463FF"/>
    <w:rsid w:val="00854AF4"/>
    <w:rsid w:val="0085591F"/>
    <w:rsid w:val="00856B33"/>
    <w:rsid w:val="00857CCD"/>
    <w:rsid w:val="00862080"/>
    <w:rsid w:val="00863C12"/>
    <w:rsid w:val="0087065E"/>
    <w:rsid w:val="008708EE"/>
    <w:rsid w:val="008720C2"/>
    <w:rsid w:val="00872197"/>
    <w:rsid w:val="00873494"/>
    <w:rsid w:val="00881659"/>
    <w:rsid w:val="00881D9B"/>
    <w:rsid w:val="00883966"/>
    <w:rsid w:val="008850A1"/>
    <w:rsid w:val="00886DCF"/>
    <w:rsid w:val="00887FAE"/>
    <w:rsid w:val="00890473"/>
    <w:rsid w:val="008971CF"/>
    <w:rsid w:val="008A3836"/>
    <w:rsid w:val="008A5314"/>
    <w:rsid w:val="008A7650"/>
    <w:rsid w:val="008B0548"/>
    <w:rsid w:val="008B15DE"/>
    <w:rsid w:val="008B1784"/>
    <w:rsid w:val="008B4357"/>
    <w:rsid w:val="008C2130"/>
    <w:rsid w:val="008C386E"/>
    <w:rsid w:val="008C41AE"/>
    <w:rsid w:val="008C5716"/>
    <w:rsid w:val="008C6F75"/>
    <w:rsid w:val="008D2AD8"/>
    <w:rsid w:val="008D448C"/>
    <w:rsid w:val="008D6710"/>
    <w:rsid w:val="008E1561"/>
    <w:rsid w:val="008E2D2C"/>
    <w:rsid w:val="008E30D0"/>
    <w:rsid w:val="008E4682"/>
    <w:rsid w:val="008E6DE3"/>
    <w:rsid w:val="008F26EB"/>
    <w:rsid w:val="008F2B58"/>
    <w:rsid w:val="008F2E8D"/>
    <w:rsid w:val="008F54B0"/>
    <w:rsid w:val="008F64C9"/>
    <w:rsid w:val="008F6518"/>
    <w:rsid w:val="00900911"/>
    <w:rsid w:val="00900D57"/>
    <w:rsid w:val="00904CC0"/>
    <w:rsid w:val="009050A0"/>
    <w:rsid w:val="009051EB"/>
    <w:rsid w:val="009055B3"/>
    <w:rsid w:val="00906321"/>
    <w:rsid w:val="00906479"/>
    <w:rsid w:val="00910C12"/>
    <w:rsid w:val="00911D29"/>
    <w:rsid w:val="00915E48"/>
    <w:rsid w:val="009203F2"/>
    <w:rsid w:val="009227E9"/>
    <w:rsid w:val="00922946"/>
    <w:rsid w:val="00924D59"/>
    <w:rsid w:val="00927BF0"/>
    <w:rsid w:val="00927D21"/>
    <w:rsid w:val="00927E48"/>
    <w:rsid w:val="00930D8E"/>
    <w:rsid w:val="00933509"/>
    <w:rsid w:val="00934BB6"/>
    <w:rsid w:val="009360EC"/>
    <w:rsid w:val="00936133"/>
    <w:rsid w:val="00936EA7"/>
    <w:rsid w:val="00937377"/>
    <w:rsid w:val="0094089E"/>
    <w:rsid w:val="00942235"/>
    <w:rsid w:val="009432F3"/>
    <w:rsid w:val="009444AF"/>
    <w:rsid w:val="00947BE9"/>
    <w:rsid w:val="00950622"/>
    <w:rsid w:val="00952448"/>
    <w:rsid w:val="0095246A"/>
    <w:rsid w:val="00956F14"/>
    <w:rsid w:val="0096080F"/>
    <w:rsid w:val="00962B63"/>
    <w:rsid w:val="00962E28"/>
    <w:rsid w:val="009632A6"/>
    <w:rsid w:val="0096365D"/>
    <w:rsid w:val="0096559F"/>
    <w:rsid w:val="00965F68"/>
    <w:rsid w:val="0096701C"/>
    <w:rsid w:val="00970657"/>
    <w:rsid w:val="00973F94"/>
    <w:rsid w:val="009748D4"/>
    <w:rsid w:val="0097743E"/>
    <w:rsid w:val="0098024D"/>
    <w:rsid w:val="00982096"/>
    <w:rsid w:val="00985BFD"/>
    <w:rsid w:val="00987C45"/>
    <w:rsid w:val="0099563A"/>
    <w:rsid w:val="00995B7F"/>
    <w:rsid w:val="00996B16"/>
    <w:rsid w:val="009A168D"/>
    <w:rsid w:val="009A176B"/>
    <w:rsid w:val="009A2FC4"/>
    <w:rsid w:val="009A3719"/>
    <w:rsid w:val="009A59EA"/>
    <w:rsid w:val="009B0610"/>
    <w:rsid w:val="009B249D"/>
    <w:rsid w:val="009B2FA1"/>
    <w:rsid w:val="009B5526"/>
    <w:rsid w:val="009C4957"/>
    <w:rsid w:val="009C52AF"/>
    <w:rsid w:val="009C68CD"/>
    <w:rsid w:val="009D161B"/>
    <w:rsid w:val="009D2253"/>
    <w:rsid w:val="009D31BE"/>
    <w:rsid w:val="009D3258"/>
    <w:rsid w:val="009D74A0"/>
    <w:rsid w:val="009E15D2"/>
    <w:rsid w:val="009E373E"/>
    <w:rsid w:val="009E485A"/>
    <w:rsid w:val="009E5114"/>
    <w:rsid w:val="009E6231"/>
    <w:rsid w:val="009F06FC"/>
    <w:rsid w:val="009F0D49"/>
    <w:rsid w:val="009F317B"/>
    <w:rsid w:val="009F35E5"/>
    <w:rsid w:val="009F4C7A"/>
    <w:rsid w:val="009F4F95"/>
    <w:rsid w:val="009F6BEA"/>
    <w:rsid w:val="009F766E"/>
    <w:rsid w:val="00A04CFA"/>
    <w:rsid w:val="00A11F55"/>
    <w:rsid w:val="00A12D46"/>
    <w:rsid w:val="00A161D1"/>
    <w:rsid w:val="00A169DD"/>
    <w:rsid w:val="00A21B7F"/>
    <w:rsid w:val="00A249A4"/>
    <w:rsid w:val="00A24C3F"/>
    <w:rsid w:val="00A2504E"/>
    <w:rsid w:val="00A25519"/>
    <w:rsid w:val="00A26486"/>
    <w:rsid w:val="00A31E38"/>
    <w:rsid w:val="00A31EF0"/>
    <w:rsid w:val="00A329EB"/>
    <w:rsid w:val="00A32D05"/>
    <w:rsid w:val="00A343BC"/>
    <w:rsid w:val="00A35485"/>
    <w:rsid w:val="00A369DC"/>
    <w:rsid w:val="00A5017B"/>
    <w:rsid w:val="00A50231"/>
    <w:rsid w:val="00A50C0E"/>
    <w:rsid w:val="00A50CF0"/>
    <w:rsid w:val="00A51153"/>
    <w:rsid w:val="00A51277"/>
    <w:rsid w:val="00A51C1B"/>
    <w:rsid w:val="00A539D7"/>
    <w:rsid w:val="00A60A85"/>
    <w:rsid w:val="00A61B8D"/>
    <w:rsid w:val="00A625F6"/>
    <w:rsid w:val="00A62B18"/>
    <w:rsid w:val="00A62E9C"/>
    <w:rsid w:val="00A671FD"/>
    <w:rsid w:val="00A67609"/>
    <w:rsid w:val="00A67D29"/>
    <w:rsid w:val="00A7191D"/>
    <w:rsid w:val="00A7271B"/>
    <w:rsid w:val="00A7449D"/>
    <w:rsid w:val="00A74A91"/>
    <w:rsid w:val="00A75DC7"/>
    <w:rsid w:val="00A77DA3"/>
    <w:rsid w:val="00A80752"/>
    <w:rsid w:val="00A80D2D"/>
    <w:rsid w:val="00A824EA"/>
    <w:rsid w:val="00A86E00"/>
    <w:rsid w:val="00A87C26"/>
    <w:rsid w:val="00A910F1"/>
    <w:rsid w:val="00A920CA"/>
    <w:rsid w:val="00A9357B"/>
    <w:rsid w:val="00A95511"/>
    <w:rsid w:val="00A95557"/>
    <w:rsid w:val="00A97ADE"/>
    <w:rsid w:val="00AA3217"/>
    <w:rsid w:val="00AA340E"/>
    <w:rsid w:val="00AA5600"/>
    <w:rsid w:val="00AB3219"/>
    <w:rsid w:val="00AC0568"/>
    <w:rsid w:val="00AC0573"/>
    <w:rsid w:val="00AC2322"/>
    <w:rsid w:val="00AC3119"/>
    <w:rsid w:val="00AC6774"/>
    <w:rsid w:val="00AD1469"/>
    <w:rsid w:val="00AD1D1D"/>
    <w:rsid w:val="00AD43F0"/>
    <w:rsid w:val="00AD5895"/>
    <w:rsid w:val="00AD58AF"/>
    <w:rsid w:val="00AE04A5"/>
    <w:rsid w:val="00AE131C"/>
    <w:rsid w:val="00AE1D3A"/>
    <w:rsid w:val="00AF1261"/>
    <w:rsid w:val="00AF2084"/>
    <w:rsid w:val="00AF2235"/>
    <w:rsid w:val="00AF2E13"/>
    <w:rsid w:val="00AF30B5"/>
    <w:rsid w:val="00AF3F0C"/>
    <w:rsid w:val="00AF4C91"/>
    <w:rsid w:val="00AF6458"/>
    <w:rsid w:val="00AF7324"/>
    <w:rsid w:val="00AF74E1"/>
    <w:rsid w:val="00AF7B15"/>
    <w:rsid w:val="00B01DE2"/>
    <w:rsid w:val="00B02272"/>
    <w:rsid w:val="00B034FD"/>
    <w:rsid w:val="00B040E4"/>
    <w:rsid w:val="00B067C2"/>
    <w:rsid w:val="00B06F90"/>
    <w:rsid w:val="00B11ED8"/>
    <w:rsid w:val="00B159BB"/>
    <w:rsid w:val="00B168C0"/>
    <w:rsid w:val="00B17974"/>
    <w:rsid w:val="00B20B69"/>
    <w:rsid w:val="00B21789"/>
    <w:rsid w:val="00B219D2"/>
    <w:rsid w:val="00B22C41"/>
    <w:rsid w:val="00B31C3E"/>
    <w:rsid w:val="00B32277"/>
    <w:rsid w:val="00B35B2B"/>
    <w:rsid w:val="00B35E3F"/>
    <w:rsid w:val="00B40148"/>
    <w:rsid w:val="00B42181"/>
    <w:rsid w:val="00B4247C"/>
    <w:rsid w:val="00B425D7"/>
    <w:rsid w:val="00B443C2"/>
    <w:rsid w:val="00B50170"/>
    <w:rsid w:val="00B506A4"/>
    <w:rsid w:val="00B507EA"/>
    <w:rsid w:val="00B51B9A"/>
    <w:rsid w:val="00B52F21"/>
    <w:rsid w:val="00B534C2"/>
    <w:rsid w:val="00B55167"/>
    <w:rsid w:val="00B572F4"/>
    <w:rsid w:val="00B61CE5"/>
    <w:rsid w:val="00B67560"/>
    <w:rsid w:val="00B67BAE"/>
    <w:rsid w:val="00B7156C"/>
    <w:rsid w:val="00B72732"/>
    <w:rsid w:val="00B72D3A"/>
    <w:rsid w:val="00B74103"/>
    <w:rsid w:val="00B76459"/>
    <w:rsid w:val="00B77BDA"/>
    <w:rsid w:val="00B82853"/>
    <w:rsid w:val="00B85817"/>
    <w:rsid w:val="00B86DF3"/>
    <w:rsid w:val="00B87B42"/>
    <w:rsid w:val="00B91071"/>
    <w:rsid w:val="00B95A33"/>
    <w:rsid w:val="00B967BC"/>
    <w:rsid w:val="00B97995"/>
    <w:rsid w:val="00BA320E"/>
    <w:rsid w:val="00BA3FB2"/>
    <w:rsid w:val="00BA4A0D"/>
    <w:rsid w:val="00BB202F"/>
    <w:rsid w:val="00BB5681"/>
    <w:rsid w:val="00BB5CB2"/>
    <w:rsid w:val="00BB7F41"/>
    <w:rsid w:val="00BC0DA9"/>
    <w:rsid w:val="00BC2EF2"/>
    <w:rsid w:val="00BC3DF5"/>
    <w:rsid w:val="00BC4253"/>
    <w:rsid w:val="00BC4D29"/>
    <w:rsid w:val="00BC53D8"/>
    <w:rsid w:val="00BD4BFF"/>
    <w:rsid w:val="00BD5631"/>
    <w:rsid w:val="00BD626B"/>
    <w:rsid w:val="00BD62C9"/>
    <w:rsid w:val="00BD69DC"/>
    <w:rsid w:val="00BE0B36"/>
    <w:rsid w:val="00BE1B92"/>
    <w:rsid w:val="00BE4AFD"/>
    <w:rsid w:val="00BE4ED7"/>
    <w:rsid w:val="00BE5FC3"/>
    <w:rsid w:val="00BF0A82"/>
    <w:rsid w:val="00BF326F"/>
    <w:rsid w:val="00BF4CAD"/>
    <w:rsid w:val="00BF59FA"/>
    <w:rsid w:val="00BF639F"/>
    <w:rsid w:val="00C05785"/>
    <w:rsid w:val="00C221AE"/>
    <w:rsid w:val="00C22EA6"/>
    <w:rsid w:val="00C30580"/>
    <w:rsid w:val="00C327D0"/>
    <w:rsid w:val="00C32A18"/>
    <w:rsid w:val="00C33961"/>
    <w:rsid w:val="00C33E97"/>
    <w:rsid w:val="00C408C3"/>
    <w:rsid w:val="00C40FE8"/>
    <w:rsid w:val="00C41674"/>
    <w:rsid w:val="00C43210"/>
    <w:rsid w:val="00C4507A"/>
    <w:rsid w:val="00C45140"/>
    <w:rsid w:val="00C510B1"/>
    <w:rsid w:val="00C53008"/>
    <w:rsid w:val="00C5658B"/>
    <w:rsid w:val="00C56752"/>
    <w:rsid w:val="00C56E0A"/>
    <w:rsid w:val="00C5769C"/>
    <w:rsid w:val="00C5792A"/>
    <w:rsid w:val="00C57B4E"/>
    <w:rsid w:val="00C63440"/>
    <w:rsid w:val="00C63EC9"/>
    <w:rsid w:val="00C6789A"/>
    <w:rsid w:val="00C70108"/>
    <w:rsid w:val="00C70804"/>
    <w:rsid w:val="00C72360"/>
    <w:rsid w:val="00C73929"/>
    <w:rsid w:val="00C73E62"/>
    <w:rsid w:val="00C76B34"/>
    <w:rsid w:val="00C76EA1"/>
    <w:rsid w:val="00C77957"/>
    <w:rsid w:val="00C77C21"/>
    <w:rsid w:val="00C81A30"/>
    <w:rsid w:val="00C82769"/>
    <w:rsid w:val="00C83318"/>
    <w:rsid w:val="00C833F3"/>
    <w:rsid w:val="00C83F50"/>
    <w:rsid w:val="00C918E1"/>
    <w:rsid w:val="00C93FB2"/>
    <w:rsid w:val="00C9434C"/>
    <w:rsid w:val="00CA29C4"/>
    <w:rsid w:val="00CA362F"/>
    <w:rsid w:val="00CA7D6C"/>
    <w:rsid w:val="00CA7EC2"/>
    <w:rsid w:val="00CA7F13"/>
    <w:rsid w:val="00CB20E3"/>
    <w:rsid w:val="00CB378D"/>
    <w:rsid w:val="00CB60EA"/>
    <w:rsid w:val="00CB67E9"/>
    <w:rsid w:val="00CC08B8"/>
    <w:rsid w:val="00CC287D"/>
    <w:rsid w:val="00CC3285"/>
    <w:rsid w:val="00CC3E22"/>
    <w:rsid w:val="00CC7256"/>
    <w:rsid w:val="00CC7B09"/>
    <w:rsid w:val="00CD3519"/>
    <w:rsid w:val="00CD3AE6"/>
    <w:rsid w:val="00CD43E0"/>
    <w:rsid w:val="00CD51E1"/>
    <w:rsid w:val="00CD66D6"/>
    <w:rsid w:val="00CD7945"/>
    <w:rsid w:val="00CE0C4C"/>
    <w:rsid w:val="00CE14CB"/>
    <w:rsid w:val="00CE2477"/>
    <w:rsid w:val="00CE32D3"/>
    <w:rsid w:val="00CE4B8F"/>
    <w:rsid w:val="00CE53DF"/>
    <w:rsid w:val="00CE5B70"/>
    <w:rsid w:val="00CE7561"/>
    <w:rsid w:val="00CF035B"/>
    <w:rsid w:val="00CF30F5"/>
    <w:rsid w:val="00D01FF4"/>
    <w:rsid w:val="00D13730"/>
    <w:rsid w:val="00D15612"/>
    <w:rsid w:val="00D15927"/>
    <w:rsid w:val="00D15C7C"/>
    <w:rsid w:val="00D17EEC"/>
    <w:rsid w:val="00D20B6D"/>
    <w:rsid w:val="00D21600"/>
    <w:rsid w:val="00D21CF5"/>
    <w:rsid w:val="00D22C5B"/>
    <w:rsid w:val="00D310DE"/>
    <w:rsid w:val="00D3128A"/>
    <w:rsid w:val="00D33FBA"/>
    <w:rsid w:val="00D340B8"/>
    <w:rsid w:val="00D34F0D"/>
    <w:rsid w:val="00D419F8"/>
    <w:rsid w:val="00D41EB4"/>
    <w:rsid w:val="00D428AE"/>
    <w:rsid w:val="00D42FD7"/>
    <w:rsid w:val="00D452A4"/>
    <w:rsid w:val="00D47AFC"/>
    <w:rsid w:val="00D505EE"/>
    <w:rsid w:val="00D506CE"/>
    <w:rsid w:val="00D5610F"/>
    <w:rsid w:val="00D567E8"/>
    <w:rsid w:val="00D6066D"/>
    <w:rsid w:val="00D6331A"/>
    <w:rsid w:val="00D65AFB"/>
    <w:rsid w:val="00D70D1F"/>
    <w:rsid w:val="00D71CC4"/>
    <w:rsid w:val="00D75FFF"/>
    <w:rsid w:val="00D76EF4"/>
    <w:rsid w:val="00D771DE"/>
    <w:rsid w:val="00D77544"/>
    <w:rsid w:val="00D777E8"/>
    <w:rsid w:val="00D807E3"/>
    <w:rsid w:val="00D829EE"/>
    <w:rsid w:val="00D8324D"/>
    <w:rsid w:val="00D83B30"/>
    <w:rsid w:val="00D85139"/>
    <w:rsid w:val="00D8662A"/>
    <w:rsid w:val="00D86964"/>
    <w:rsid w:val="00D900CD"/>
    <w:rsid w:val="00D91235"/>
    <w:rsid w:val="00D91FC2"/>
    <w:rsid w:val="00D92511"/>
    <w:rsid w:val="00DA41FD"/>
    <w:rsid w:val="00DA5184"/>
    <w:rsid w:val="00DA60DF"/>
    <w:rsid w:val="00DA7211"/>
    <w:rsid w:val="00DA7C5B"/>
    <w:rsid w:val="00DB05D7"/>
    <w:rsid w:val="00DB1BF7"/>
    <w:rsid w:val="00DB270E"/>
    <w:rsid w:val="00DB37D9"/>
    <w:rsid w:val="00DB4C09"/>
    <w:rsid w:val="00DB647F"/>
    <w:rsid w:val="00DC2513"/>
    <w:rsid w:val="00DC3BE1"/>
    <w:rsid w:val="00DD0C56"/>
    <w:rsid w:val="00DD1D05"/>
    <w:rsid w:val="00DD2B9E"/>
    <w:rsid w:val="00DD3156"/>
    <w:rsid w:val="00DD414E"/>
    <w:rsid w:val="00DE1F71"/>
    <w:rsid w:val="00DE25AB"/>
    <w:rsid w:val="00DE72E2"/>
    <w:rsid w:val="00DE7BFB"/>
    <w:rsid w:val="00DF20AC"/>
    <w:rsid w:val="00DF388C"/>
    <w:rsid w:val="00DF508E"/>
    <w:rsid w:val="00DF63BC"/>
    <w:rsid w:val="00DF723D"/>
    <w:rsid w:val="00DF7F12"/>
    <w:rsid w:val="00DF7FEA"/>
    <w:rsid w:val="00E02396"/>
    <w:rsid w:val="00E03268"/>
    <w:rsid w:val="00E03D76"/>
    <w:rsid w:val="00E045BF"/>
    <w:rsid w:val="00E04612"/>
    <w:rsid w:val="00E06826"/>
    <w:rsid w:val="00E07920"/>
    <w:rsid w:val="00E102BB"/>
    <w:rsid w:val="00E10D8C"/>
    <w:rsid w:val="00E17195"/>
    <w:rsid w:val="00E232BE"/>
    <w:rsid w:val="00E236EE"/>
    <w:rsid w:val="00E25C72"/>
    <w:rsid w:val="00E25EA3"/>
    <w:rsid w:val="00E3161A"/>
    <w:rsid w:val="00E37007"/>
    <w:rsid w:val="00E41000"/>
    <w:rsid w:val="00E4303C"/>
    <w:rsid w:val="00E4353A"/>
    <w:rsid w:val="00E476B6"/>
    <w:rsid w:val="00E57B23"/>
    <w:rsid w:val="00E57E17"/>
    <w:rsid w:val="00E610F8"/>
    <w:rsid w:val="00E6292A"/>
    <w:rsid w:val="00E65EC6"/>
    <w:rsid w:val="00E67A6F"/>
    <w:rsid w:val="00E707B5"/>
    <w:rsid w:val="00E806D9"/>
    <w:rsid w:val="00E84A13"/>
    <w:rsid w:val="00E85F2D"/>
    <w:rsid w:val="00E864C1"/>
    <w:rsid w:val="00E920E2"/>
    <w:rsid w:val="00E94DAC"/>
    <w:rsid w:val="00E959D4"/>
    <w:rsid w:val="00E96D59"/>
    <w:rsid w:val="00E97E29"/>
    <w:rsid w:val="00EA021E"/>
    <w:rsid w:val="00EA176A"/>
    <w:rsid w:val="00EA26BD"/>
    <w:rsid w:val="00EA6096"/>
    <w:rsid w:val="00EA7EA9"/>
    <w:rsid w:val="00EA7F32"/>
    <w:rsid w:val="00EB01C8"/>
    <w:rsid w:val="00EB0B50"/>
    <w:rsid w:val="00EB1631"/>
    <w:rsid w:val="00EB486C"/>
    <w:rsid w:val="00EB4D1C"/>
    <w:rsid w:val="00EB727D"/>
    <w:rsid w:val="00EC1EC6"/>
    <w:rsid w:val="00EC49CC"/>
    <w:rsid w:val="00EC7994"/>
    <w:rsid w:val="00EC7AAA"/>
    <w:rsid w:val="00EC7ADC"/>
    <w:rsid w:val="00ED53D1"/>
    <w:rsid w:val="00ED61C3"/>
    <w:rsid w:val="00EE2672"/>
    <w:rsid w:val="00EE71CE"/>
    <w:rsid w:val="00EE7646"/>
    <w:rsid w:val="00EF1BA0"/>
    <w:rsid w:val="00EF4892"/>
    <w:rsid w:val="00EF5838"/>
    <w:rsid w:val="00EF5932"/>
    <w:rsid w:val="00EF5C84"/>
    <w:rsid w:val="00EF764B"/>
    <w:rsid w:val="00F03CB8"/>
    <w:rsid w:val="00F042EC"/>
    <w:rsid w:val="00F05553"/>
    <w:rsid w:val="00F06933"/>
    <w:rsid w:val="00F10E4B"/>
    <w:rsid w:val="00F111EB"/>
    <w:rsid w:val="00F11A8F"/>
    <w:rsid w:val="00F15C7B"/>
    <w:rsid w:val="00F162F1"/>
    <w:rsid w:val="00F16566"/>
    <w:rsid w:val="00F1692F"/>
    <w:rsid w:val="00F17944"/>
    <w:rsid w:val="00F17D05"/>
    <w:rsid w:val="00F20FF2"/>
    <w:rsid w:val="00F212A2"/>
    <w:rsid w:val="00F23992"/>
    <w:rsid w:val="00F255B2"/>
    <w:rsid w:val="00F25BB0"/>
    <w:rsid w:val="00F27ECB"/>
    <w:rsid w:val="00F322FB"/>
    <w:rsid w:val="00F32B8A"/>
    <w:rsid w:val="00F3733E"/>
    <w:rsid w:val="00F37C2C"/>
    <w:rsid w:val="00F41451"/>
    <w:rsid w:val="00F44857"/>
    <w:rsid w:val="00F45063"/>
    <w:rsid w:val="00F4588C"/>
    <w:rsid w:val="00F45D2E"/>
    <w:rsid w:val="00F463D1"/>
    <w:rsid w:val="00F47869"/>
    <w:rsid w:val="00F47A7D"/>
    <w:rsid w:val="00F51E81"/>
    <w:rsid w:val="00F53FCC"/>
    <w:rsid w:val="00F55742"/>
    <w:rsid w:val="00F55D00"/>
    <w:rsid w:val="00F56353"/>
    <w:rsid w:val="00F56EA3"/>
    <w:rsid w:val="00F5719B"/>
    <w:rsid w:val="00F604B3"/>
    <w:rsid w:val="00F624EA"/>
    <w:rsid w:val="00F6304A"/>
    <w:rsid w:val="00F63476"/>
    <w:rsid w:val="00F63526"/>
    <w:rsid w:val="00F66FAE"/>
    <w:rsid w:val="00F67896"/>
    <w:rsid w:val="00F71223"/>
    <w:rsid w:val="00F81CBD"/>
    <w:rsid w:val="00F85DDF"/>
    <w:rsid w:val="00F912AF"/>
    <w:rsid w:val="00F93714"/>
    <w:rsid w:val="00F9559C"/>
    <w:rsid w:val="00F97E0E"/>
    <w:rsid w:val="00FA288E"/>
    <w:rsid w:val="00FA2F86"/>
    <w:rsid w:val="00FA3BF1"/>
    <w:rsid w:val="00FA70DE"/>
    <w:rsid w:val="00FA7E8A"/>
    <w:rsid w:val="00FB1A35"/>
    <w:rsid w:val="00FB1EB9"/>
    <w:rsid w:val="00FB2213"/>
    <w:rsid w:val="00FB25DA"/>
    <w:rsid w:val="00FB6770"/>
    <w:rsid w:val="00FB697E"/>
    <w:rsid w:val="00FC22E3"/>
    <w:rsid w:val="00FC28CD"/>
    <w:rsid w:val="00FC5A55"/>
    <w:rsid w:val="00FD1E5C"/>
    <w:rsid w:val="00FD5ACF"/>
    <w:rsid w:val="00FD5C1F"/>
    <w:rsid w:val="00FD74FB"/>
    <w:rsid w:val="00FD759A"/>
    <w:rsid w:val="00FE0771"/>
    <w:rsid w:val="00FE2F3C"/>
    <w:rsid w:val="00FE34C0"/>
    <w:rsid w:val="00FE5E63"/>
    <w:rsid w:val="00FE76D4"/>
    <w:rsid w:val="00FF2780"/>
    <w:rsid w:val="00FF3CC7"/>
    <w:rsid w:val="00FF5CA0"/>
    <w:rsid w:val="00FF6B9C"/>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FE8B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31"/>
    <w:pPr>
      <w:spacing w:after="0" w:line="240" w:lineRule="auto"/>
    </w:pPr>
    <w:rPr>
      <w:rFonts w:ascii="Times New Roman" w:eastAsia="Calibri" w:hAnsi="Times New Roman" w:cs="Times New Roman"/>
      <w:szCs w:val="24"/>
      <w:lang w:val="lv-LV"/>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unhideWhenUsed/>
    <w:rsid w:val="003B4231"/>
    <w:pPr>
      <w:jc w:val="right"/>
    </w:pPr>
    <w:rPr>
      <w:rFonts w:ascii="Garamond" w:hAnsi="Garamond"/>
      <w:sz w:val="28"/>
      <w:szCs w:val="28"/>
    </w:rPr>
  </w:style>
  <w:style w:type="character" w:customStyle="1" w:styleId="BodyText2Char">
    <w:name w:val="Body Text 2 Char"/>
    <w:basedOn w:val="DefaultParagraphFont"/>
    <w:link w:val="BodyText2"/>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E3E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0F"/>
    <w:rPr>
      <w:rFonts w:ascii="Segoe UI" w:eastAsia="Calibri" w:hAnsi="Segoe UI" w:cs="Segoe UI"/>
      <w:sz w:val="18"/>
      <w:szCs w:val="18"/>
      <w:lang w:val="lv-LV"/>
    </w:rPr>
  </w:style>
  <w:style w:type="character" w:styleId="Hyperlink">
    <w:name w:val="Hyperlink"/>
    <w:basedOn w:val="DefaultParagraphFont"/>
    <w:uiPriority w:val="99"/>
    <w:unhideWhenUsed/>
    <w:rsid w:val="007A29E7"/>
    <w:rPr>
      <w:color w:val="0563C1" w:themeColor="hyperlink"/>
      <w:u w:val="single"/>
    </w:rPr>
  </w:style>
  <w:style w:type="character" w:styleId="UnresolvedMention">
    <w:name w:val="Unresolved Mention"/>
    <w:basedOn w:val="DefaultParagraphFont"/>
    <w:uiPriority w:val="99"/>
    <w:semiHidden/>
    <w:unhideWhenUsed/>
    <w:rsid w:val="00B16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910875">
      <w:bodyDiv w:val="1"/>
      <w:marLeft w:val="0"/>
      <w:marRight w:val="0"/>
      <w:marTop w:val="0"/>
      <w:marBottom w:val="0"/>
      <w:divBdr>
        <w:top w:val="none" w:sz="0" w:space="0" w:color="auto"/>
        <w:left w:val="none" w:sz="0" w:space="0" w:color="auto"/>
        <w:bottom w:val="none" w:sz="0" w:space="0" w:color="auto"/>
        <w:right w:val="none" w:sz="0" w:space="0" w:color="auto"/>
      </w:divBdr>
    </w:div>
    <w:div w:id="515509536">
      <w:bodyDiv w:val="1"/>
      <w:marLeft w:val="0"/>
      <w:marRight w:val="0"/>
      <w:marTop w:val="0"/>
      <w:marBottom w:val="0"/>
      <w:divBdr>
        <w:top w:val="none" w:sz="0" w:space="0" w:color="auto"/>
        <w:left w:val="none" w:sz="0" w:space="0" w:color="auto"/>
        <w:bottom w:val="none" w:sz="0" w:space="0" w:color="auto"/>
        <w:right w:val="none" w:sz="0" w:space="0" w:color="auto"/>
      </w:divBdr>
      <w:divsChild>
        <w:div w:id="421992225">
          <w:marLeft w:val="0"/>
          <w:marRight w:val="0"/>
          <w:marTop w:val="480"/>
          <w:marBottom w:val="240"/>
          <w:divBdr>
            <w:top w:val="none" w:sz="0" w:space="0" w:color="auto"/>
            <w:left w:val="none" w:sz="0" w:space="0" w:color="auto"/>
            <w:bottom w:val="none" w:sz="0" w:space="0" w:color="auto"/>
            <w:right w:val="none" w:sz="0" w:space="0" w:color="auto"/>
          </w:divBdr>
        </w:div>
        <w:div w:id="1722091144">
          <w:marLeft w:val="0"/>
          <w:marRight w:val="0"/>
          <w:marTop w:val="0"/>
          <w:marBottom w:val="567"/>
          <w:divBdr>
            <w:top w:val="none" w:sz="0" w:space="0" w:color="auto"/>
            <w:left w:val="none" w:sz="0" w:space="0" w:color="auto"/>
            <w:bottom w:val="none" w:sz="0" w:space="0" w:color="auto"/>
            <w:right w:val="none" w:sz="0" w:space="0" w:color="auto"/>
          </w:divBdr>
        </w:div>
      </w:divsChild>
    </w:div>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132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CA54C-204B-4B0E-A192-B10A7517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5428</Words>
  <Characters>3094</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2020-09-18T09:08:00Z</dcterms:created>
  <dcterms:modified xsi:type="dcterms:W3CDTF">2020-09-18T09:10:00Z</dcterms:modified>
</cp:coreProperties>
</file>