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93DB53" w14:textId="1A655E10" w:rsidR="00DC253C" w:rsidRPr="00640E89" w:rsidRDefault="00640E89" w:rsidP="00640E89">
      <w:pPr>
        <w:pStyle w:val="BodyText2"/>
        <w:spacing w:line="276" w:lineRule="auto"/>
        <w:contextualSpacing/>
        <w:jc w:val="both"/>
        <w:outlineLvl w:val="0"/>
        <w:rPr>
          <w:rFonts w:ascii="Times New Roman" w:hAnsi="Times New Roman"/>
          <w:b/>
          <w:bCs/>
          <w:sz w:val="24"/>
          <w:szCs w:val="24"/>
        </w:rPr>
      </w:pPr>
      <w:r w:rsidRPr="00640E89">
        <w:rPr>
          <w:rFonts w:ascii="Times New Roman" w:hAnsi="Times New Roman"/>
          <w:b/>
          <w:bCs/>
          <w:sz w:val="24"/>
          <w:szCs w:val="24"/>
        </w:rPr>
        <w:t>Slepkavība ar netiešu nodomu</w:t>
      </w:r>
    </w:p>
    <w:p w14:paraId="3DD646B5" w14:textId="59D48CBD" w:rsidR="00640E89" w:rsidRPr="00640E89" w:rsidRDefault="00640E89" w:rsidP="00640E89">
      <w:pPr>
        <w:pStyle w:val="BodyText2"/>
        <w:spacing w:line="276" w:lineRule="auto"/>
        <w:contextualSpacing/>
        <w:jc w:val="both"/>
        <w:outlineLvl w:val="0"/>
        <w:rPr>
          <w:rFonts w:ascii="Times New Roman" w:hAnsi="Times New Roman"/>
          <w:b/>
          <w:bCs/>
          <w:sz w:val="24"/>
          <w:szCs w:val="24"/>
        </w:rPr>
      </w:pPr>
    </w:p>
    <w:p w14:paraId="4A2803A1" w14:textId="0C78C888" w:rsidR="00640E89" w:rsidRPr="00640E89" w:rsidRDefault="00640E89" w:rsidP="00640E89">
      <w:pPr>
        <w:pStyle w:val="BodyText2"/>
        <w:spacing w:line="276" w:lineRule="auto"/>
        <w:contextualSpacing/>
        <w:jc w:val="both"/>
        <w:outlineLvl w:val="0"/>
        <w:rPr>
          <w:rFonts w:ascii="Times New Roman" w:hAnsi="Times New Roman"/>
          <w:sz w:val="24"/>
          <w:szCs w:val="24"/>
        </w:rPr>
      </w:pPr>
      <w:r w:rsidRPr="00640E89">
        <w:rPr>
          <w:rFonts w:ascii="Times New Roman" w:hAnsi="Times New Roman"/>
          <w:b/>
          <w:bCs/>
          <w:sz w:val="24"/>
          <w:szCs w:val="24"/>
        </w:rPr>
        <w:t>Kaitējuma kompensācijas apmēra noteikšana, ja cietušajam izmaksāta valsts kompensācija</w:t>
      </w:r>
    </w:p>
    <w:p w14:paraId="3B7B9E71" w14:textId="04E3D265" w:rsidR="00DC253C" w:rsidRDefault="00DC253C" w:rsidP="00640E89">
      <w:pPr>
        <w:pStyle w:val="BodyText2"/>
        <w:spacing w:line="276" w:lineRule="auto"/>
        <w:contextualSpacing/>
        <w:jc w:val="left"/>
      </w:pPr>
    </w:p>
    <w:p w14:paraId="180415BC" w14:textId="77777777" w:rsidR="00640E89" w:rsidRPr="00640E89" w:rsidRDefault="00DC253C" w:rsidP="00DC253C">
      <w:pPr>
        <w:spacing w:line="276" w:lineRule="auto"/>
        <w:ind w:firstLine="720"/>
        <w:contextualSpacing/>
        <w:jc w:val="center"/>
        <w:rPr>
          <w:b/>
        </w:rPr>
      </w:pPr>
      <w:r w:rsidRPr="00640E89">
        <w:rPr>
          <w:b/>
        </w:rPr>
        <w:t>Latvijas Republikas Senāt</w:t>
      </w:r>
      <w:r w:rsidR="00640E89" w:rsidRPr="00640E89">
        <w:rPr>
          <w:b/>
        </w:rPr>
        <w:t>a</w:t>
      </w:r>
      <w:r w:rsidRPr="00640E89">
        <w:rPr>
          <w:b/>
        </w:rPr>
        <w:t xml:space="preserve"> </w:t>
      </w:r>
    </w:p>
    <w:p w14:paraId="75CAA860" w14:textId="77777777" w:rsidR="00640E89" w:rsidRPr="00640E89" w:rsidRDefault="00640E89" w:rsidP="00DC253C">
      <w:pPr>
        <w:spacing w:line="276" w:lineRule="auto"/>
        <w:ind w:firstLine="720"/>
        <w:contextualSpacing/>
        <w:jc w:val="center"/>
        <w:rPr>
          <w:b/>
        </w:rPr>
      </w:pPr>
      <w:r w:rsidRPr="00640E89">
        <w:rPr>
          <w:b/>
        </w:rPr>
        <w:t>Krimināllietu departamenta</w:t>
      </w:r>
    </w:p>
    <w:p w14:paraId="107A2959" w14:textId="1D08CDC4" w:rsidR="00DC253C" w:rsidRPr="00640E89" w:rsidRDefault="00640E89" w:rsidP="00DC253C">
      <w:pPr>
        <w:spacing w:line="276" w:lineRule="auto"/>
        <w:ind w:firstLine="720"/>
        <w:contextualSpacing/>
        <w:jc w:val="center"/>
        <w:rPr>
          <w:b/>
        </w:rPr>
      </w:pPr>
      <w:r w:rsidRPr="00640E89">
        <w:rPr>
          <w:b/>
        </w:rPr>
        <w:t>2020.gada 2.septembra</w:t>
      </w:r>
    </w:p>
    <w:p w14:paraId="12AC16BB" w14:textId="77777777" w:rsidR="00640E89" w:rsidRPr="00640E89" w:rsidRDefault="00DC253C" w:rsidP="00DC253C">
      <w:pPr>
        <w:spacing w:line="276" w:lineRule="auto"/>
        <w:ind w:firstLine="720"/>
        <w:contextualSpacing/>
        <w:jc w:val="center"/>
        <w:rPr>
          <w:b/>
        </w:rPr>
      </w:pPr>
      <w:r w:rsidRPr="00640E89">
        <w:rPr>
          <w:b/>
        </w:rPr>
        <w:t>LĒMUMS</w:t>
      </w:r>
      <w:r w:rsidR="00640E89" w:rsidRPr="00640E89">
        <w:rPr>
          <w:b/>
        </w:rPr>
        <w:t xml:space="preserve"> </w:t>
      </w:r>
    </w:p>
    <w:p w14:paraId="3990FC12" w14:textId="3BBB50CB" w:rsidR="00DC253C" w:rsidRPr="00640E89" w:rsidRDefault="00640E89" w:rsidP="00DC253C">
      <w:pPr>
        <w:spacing w:line="276" w:lineRule="auto"/>
        <w:ind w:firstLine="720"/>
        <w:contextualSpacing/>
        <w:jc w:val="center"/>
        <w:rPr>
          <w:b/>
        </w:rPr>
      </w:pPr>
      <w:r w:rsidRPr="00640E89">
        <w:rPr>
          <w:b/>
        </w:rPr>
        <w:t>Lieta Nr. 11096292617, SKK-200/2020</w:t>
      </w:r>
    </w:p>
    <w:p w14:paraId="1C17410F" w14:textId="2D2F23E2" w:rsidR="00640E89" w:rsidRPr="00640E89" w:rsidRDefault="0010712C" w:rsidP="00DC253C">
      <w:pPr>
        <w:spacing w:line="276" w:lineRule="auto"/>
        <w:ind w:firstLine="720"/>
        <w:contextualSpacing/>
        <w:jc w:val="center"/>
        <w:rPr>
          <w:bCs/>
        </w:rPr>
      </w:pPr>
      <w:hyperlink r:id="rId7" w:history="1">
        <w:r w:rsidR="00640E89" w:rsidRPr="00640E89">
          <w:rPr>
            <w:rStyle w:val="Hyperlink"/>
            <w:bCs/>
            <w:shd w:val="clear" w:color="auto" w:fill="FFFFFF"/>
          </w:rPr>
          <w:t>ECLI:LV:AT:2020:0902.11096292617.12.L</w:t>
        </w:r>
      </w:hyperlink>
    </w:p>
    <w:p w14:paraId="0A2315FC" w14:textId="178D3D40" w:rsidR="00DC253C" w:rsidRPr="009E6006" w:rsidRDefault="00DC253C" w:rsidP="00DC253C">
      <w:pPr>
        <w:spacing w:line="276" w:lineRule="auto"/>
        <w:ind w:firstLine="720"/>
        <w:contextualSpacing/>
        <w:jc w:val="center"/>
        <w:outlineLvl w:val="0"/>
      </w:pPr>
    </w:p>
    <w:p w14:paraId="7F0F170C" w14:textId="77777777" w:rsidR="00DC253C" w:rsidRPr="009E6006" w:rsidRDefault="00DC253C" w:rsidP="00DC253C">
      <w:pPr>
        <w:spacing w:line="276" w:lineRule="auto"/>
        <w:ind w:firstLine="720"/>
        <w:contextualSpacing/>
        <w:jc w:val="center"/>
      </w:pPr>
    </w:p>
    <w:p w14:paraId="00F41189" w14:textId="3E1D18FA" w:rsidR="00DC253C" w:rsidRPr="00A45415" w:rsidRDefault="00DC253C" w:rsidP="00DC253C">
      <w:pPr>
        <w:spacing w:line="276" w:lineRule="auto"/>
        <w:ind w:firstLine="720"/>
        <w:contextualSpacing/>
      </w:pPr>
      <w:r>
        <w:t>Tiesa šādā sastāvā</w:t>
      </w:r>
      <w:r w:rsidRPr="007E0DE2">
        <w:t xml:space="preserve">: </w:t>
      </w:r>
      <w:r>
        <w:t>senatori Aija Branta, Pēteris Opincāns</w:t>
      </w:r>
      <w:r w:rsidR="00DE68AA">
        <w:t>, Aivars Uminskis</w:t>
      </w:r>
      <w:r>
        <w:t xml:space="preserve"> </w:t>
      </w:r>
    </w:p>
    <w:p w14:paraId="2E517715" w14:textId="77777777" w:rsidR="00DC253C" w:rsidRPr="009E6006" w:rsidRDefault="00DC253C" w:rsidP="00DC253C">
      <w:pPr>
        <w:tabs>
          <w:tab w:val="left" w:pos="-3120"/>
        </w:tabs>
        <w:suppressAutoHyphens/>
        <w:spacing w:line="276" w:lineRule="auto"/>
        <w:ind w:firstLine="720"/>
        <w:contextualSpacing/>
        <w:jc w:val="both"/>
      </w:pPr>
    </w:p>
    <w:p w14:paraId="065230F5" w14:textId="0B2BDE92" w:rsidR="00DC253C" w:rsidRPr="009E6006" w:rsidRDefault="00DC253C" w:rsidP="00DC253C">
      <w:pPr>
        <w:tabs>
          <w:tab w:val="left" w:pos="-3120"/>
        </w:tabs>
        <w:suppressAutoHyphens/>
        <w:spacing w:line="276" w:lineRule="auto"/>
        <w:ind w:firstLine="720"/>
        <w:contextualSpacing/>
        <w:jc w:val="both"/>
      </w:pPr>
      <w:r w:rsidRPr="009E6006">
        <w:t xml:space="preserve">izskatīja </w:t>
      </w:r>
      <w:r>
        <w:t>rakstveida</w:t>
      </w:r>
      <w:r w:rsidRPr="009E6006">
        <w:t xml:space="preserve"> procesā krimināllietu sakarā ar</w:t>
      </w:r>
      <w:r>
        <w:t xml:space="preserve"> </w:t>
      </w:r>
      <w:r w:rsidR="003C2A05">
        <w:t xml:space="preserve">apsūdzētā </w:t>
      </w:r>
      <w:r w:rsidR="00640E89">
        <w:t>[pers. A]</w:t>
      </w:r>
      <w:r w:rsidR="003C2A05">
        <w:t xml:space="preserve"> kasācijas sūdzību </w:t>
      </w:r>
      <w:r>
        <w:t>par</w:t>
      </w:r>
      <w:r w:rsidR="00DE68AA">
        <w:t xml:space="preserve"> Rīgas</w:t>
      </w:r>
      <w:r>
        <w:t xml:space="preserve"> apgabaltiesas 2019.gada </w:t>
      </w:r>
      <w:r w:rsidR="00DE68AA">
        <w:t>15</w:t>
      </w:r>
      <w:r>
        <w:t>.</w:t>
      </w:r>
      <w:r w:rsidR="00DE68AA">
        <w:t>oktobr</w:t>
      </w:r>
      <w:r>
        <w:t>a spriedumu</w:t>
      </w:r>
      <w:r w:rsidRPr="009E6006">
        <w:t>.</w:t>
      </w:r>
    </w:p>
    <w:p w14:paraId="1A2CDB32" w14:textId="77777777" w:rsidR="00DC253C" w:rsidRPr="009E6006" w:rsidRDefault="00DC253C" w:rsidP="00DC253C">
      <w:pPr>
        <w:suppressAutoHyphens/>
        <w:spacing w:line="276" w:lineRule="auto"/>
        <w:ind w:firstLine="720"/>
        <w:contextualSpacing/>
      </w:pPr>
    </w:p>
    <w:p w14:paraId="45E1C120" w14:textId="77777777" w:rsidR="00DC253C" w:rsidRPr="009E6006" w:rsidRDefault="00DC253C" w:rsidP="00DC253C">
      <w:pPr>
        <w:spacing w:line="276" w:lineRule="auto"/>
        <w:ind w:firstLine="720"/>
        <w:contextualSpacing/>
        <w:jc w:val="center"/>
        <w:rPr>
          <w:b/>
        </w:rPr>
      </w:pPr>
      <w:r w:rsidRPr="009E6006">
        <w:rPr>
          <w:b/>
        </w:rPr>
        <w:t>Aprakstošā daļa</w:t>
      </w:r>
    </w:p>
    <w:p w14:paraId="00BAD46A" w14:textId="77777777" w:rsidR="00DC253C" w:rsidRPr="009E6006" w:rsidRDefault="00DC253C" w:rsidP="00DC253C">
      <w:pPr>
        <w:suppressAutoHyphens/>
        <w:spacing w:line="276" w:lineRule="auto"/>
        <w:ind w:firstLine="720"/>
        <w:contextualSpacing/>
        <w:rPr>
          <w:b/>
        </w:rPr>
      </w:pPr>
    </w:p>
    <w:p w14:paraId="1A7391F8" w14:textId="7F9EF13E" w:rsidR="00DC253C" w:rsidRPr="009E6006" w:rsidRDefault="00DC253C" w:rsidP="00DC253C">
      <w:pPr>
        <w:pStyle w:val="ListParagraph"/>
        <w:tabs>
          <w:tab w:val="left" w:pos="993"/>
        </w:tabs>
        <w:spacing w:line="276" w:lineRule="auto"/>
        <w:jc w:val="both"/>
      </w:pPr>
      <w:r>
        <w:t xml:space="preserve">[1] </w:t>
      </w:r>
      <w:r w:rsidRPr="009E6006">
        <w:t>Ar</w:t>
      </w:r>
      <w:r w:rsidR="00DE68AA">
        <w:t xml:space="preserve"> Rīgas pilsētas Pārdaugavas</w:t>
      </w:r>
      <w:r>
        <w:t xml:space="preserve"> tiesas </w:t>
      </w:r>
      <w:r w:rsidRPr="009E6006">
        <w:t>201</w:t>
      </w:r>
      <w:r w:rsidR="00DE68AA">
        <w:t>9</w:t>
      </w:r>
      <w:r w:rsidRPr="009E6006">
        <w:t xml:space="preserve">.gada </w:t>
      </w:r>
      <w:r w:rsidR="00DE68AA">
        <w:t>25</w:t>
      </w:r>
      <w:r>
        <w:t>.</w:t>
      </w:r>
      <w:r w:rsidR="00DE68AA">
        <w:t>mart</w:t>
      </w:r>
      <w:r>
        <w:t>a</w:t>
      </w:r>
      <w:r w:rsidRPr="009E6006">
        <w:t xml:space="preserve"> spriedumu</w:t>
      </w:r>
      <w:r w:rsidR="005A750A">
        <w:t xml:space="preserve">  </w:t>
      </w:r>
    </w:p>
    <w:p w14:paraId="5EB3980E" w14:textId="59CFB4A8" w:rsidR="00DC253C" w:rsidRPr="009E6006" w:rsidRDefault="00640E89" w:rsidP="00DC253C">
      <w:pPr>
        <w:pStyle w:val="tv213"/>
        <w:spacing w:before="0" w:beforeAutospacing="0" w:after="0" w:afterAutospacing="0" w:line="276" w:lineRule="auto"/>
        <w:ind w:firstLine="720"/>
        <w:contextualSpacing/>
        <w:jc w:val="both"/>
      </w:pPr>
      <w:r>
        <w:t>[pers. A]</w:t>
      </w:r>
      <w:r w:rsidR="00DC253C">
        <w:t>,</w:t>
      </w:r>
      <w:r w:rsidR="00DC253C" w:rsidRPr="009E6006">
        <w:t xml:space="preserve"> personas kods </w:t>
      </w:r>
      <w:r>
        <w:t>[..]</w:t>
      </w:r>
      <w:r w:rsidR="00DC253C" w:rsidRPr="009E6006">
        <w:t>,</w:t>
      </w:r>
    </w:p>
    <w:p w14:paraId="0643D3F1" w14:textId="758C40C5" w:rsidR="00DC253C" w:rsidRDefault="00DC253C" w:rsidP="00DE68AA">
      <w:pPr>
        <w:spacing w:line="276" w:lineRule="auto"/>
        <w:ind w:firstLine="720"/>
        <w:contextualSpacing/>
        <w:jc w:val="both"/>
      </w:pPr>
      <w:r w:rsidRPr="009E6006">
        <w:t xml:space="preserve">atzīts par vainīgu </w:t>
      </w:r>
      <w:r>
        <w:t xml:space="preserve">Krimināllikuma </w:t>
      </w:r>
      <w:r w:rsidR="00DE68AA">
        <w:t>116</w:t>
      </w:r>
      <w:r>
        <w:t xml:space="preserve">.pantā paredzētajā noziedzīgajā nodarījumā un sodīts ar brīvības atņemšanu uz </w:t>
      </w:r>
      <w:r w:rsidR="00DE68AA">
        <w:t>8</w:t>
      </w:r>
      <w:r>
        <w:t xml:space="preserve"> gad</w:t>
      </w:r>
      <w:r w:rsidR="00DE68AA">
        <w:t>iem un probācijas uzraudzību</w:t>
      </w:r>
      <w:r w:rsidR="00447A6C">
        <w:t xml:space="preserve"> uz 3 gadiem</w:t>
      </w:r>
      <w:r w:rsidR="00C727F1">
        <w:t>.</w:t>
      </w:r>
    </w:p>
    <w:p w14:paraId="647CA777" w14:textId="58AB51DC" w:rsidR="00DE68AA" w:rsidRDefault="00DE68AA" w:rsidP="00DE68AA">
      <w:pPr>
        <w:spacing w:line="276" w:lineRule="auto"/>
        <w:ind w:firstLine="720"/>
        <w:contextualSpacing/>
        <w:jc w:val="both"/>
      </w:pPr>
      <w:r>
        <w:t xml:space="preserve">No </w:t>
      </w:r>
      <w:r w:rsidR="00640E89">
        <w:t>[pers. A]</w:t>
      </w:r>
      <w:r>
        <w:t xml:space="preserve"> </w:t>
      </w:r>
      <w:r w:rsidR="00B316CD">
        <w:t xml:space="preserve">cietušās </w:t>
      </w:r>
      <w:r w:rsidR="00640E89">
        <w:t>[pers. B]</w:t>
      </w:r>
      <w:r>
        <w:t xml:space="preserve"> labā piedzīta materiālā kaitējuma kompensācija</w:t>
      </w:r>
      <w:r w:rsidR="00393272">
        <w:t xml:space="preserve"> </w:t>
      </w:r>
      <w:r>
        <w:t>1240</w:t>
      </w:r>
      <w:r w:rsidRPr="00DE68AA">
        <w:rPr>
          <w:i/>
          <w:iCs/>
        </w:rPr>
        <w:t xml:space="preserve"> euro</w:t>
      </w:r>
      <w:r>
        <w:t>.</w:t>
      </w:r>
    </w:p>
    <w:p w14:paraId="6BBEDF41" w14:textId="2E642054" w:rsidR="00B316CD" w:rsidRDefault="00DE68AA" w:rsidP="00DE68AA">
      <w:pPr>
        <w:spacing w:line="276" w:lineRule="auto"/>
        <w:ind w:firstLine="720"/>
        <w:contextualSpacing/>
        <w:jc w:val="both"/>
      </w:pPr>
      <w:r>
        <w:t xml:space="preserve">No </w:t>
      </w:r>
      <w:r w:rsidR="00640E89">
        <w:t>[pers. A]</w:t>
      </w:r>
      <w:r>
        <w:t xml:space="preserve"> </w:t>
      </w:r>
      <w:r w:rsidR="00B316CD">
        <w:t xml:space="preserve">cietušās </w:t>
      </w:r>
      <w:r w:rsidR="00640E89">
        <w:t>[pers. B]</w:t>
      </w:r>
      <w:r>
        <w:t xml:space="preserve"> labā piedzīta morālā kaitējuma kompensācija 10 000 </w:t>
      </w:r>
      <w:r w:rsidRPr="00DE68AA">
        <w:rPr>
          <w:i/>
          <w:iCs/>
        </w:rPr>
        <w:t>euro</w:t>
      </w:r>
      <w:r>
        <w:t>.</w:t>
      </w:r>
    </w:p>
    <w:p w14:paraId="38220EB7" w14:textId="787FCF98" w:rsidR="00B316CD" w:rsidRDefault="00B316CD" w:rsidP="00B316CD">
      <w:pPr>
        <w:spacing w:line="276" w:lineRule="auto"/>
        <w:ind w:firstLine="720"/>
        <w:contextualSpacing/>
        <w:jc w:val="both"/>
      </w:pPr>
      <w:r>
        <w:t xml:space="preserve">No </w:t>
      </w:r>
      <w:r w:rsidR="00640E89">
        <w:t>[pers. A]</w:t>
      </w:r>
      <w:r>
        <w:t xml:space="preserve"> valsta labā piedzīti 2150 </w:t>
      </w:r>
      <w:r w:rsidRPr="00B316CD">
        <w:rPr>
          <w:i/>
          <w:iCs/>
        </w:rPr>
        <w:t>euro</w:t>
      </w:r>
      <w:r>
        <w:t xml:space="preserve"> par Juridiskās palīdzības administrācijas izmaksāto valsts kompensāciju cietušajai </w:t>
      </w:r>
      <w:r w:rsidR="00640E89">
        <w:t>[pers. B]</w:t>
      </w:r>
      <w:r>
        <w:t>.</w:t>
      </w:r>
    </w:p>
    <w:p w14:paraId="1C827003" w14:textId="1A4DAB0B" w:rsidR="00DE68AA" w:rsidRDefault="00DE68AA" w:rsidP="00DE68AA">
      <w:pPr>
        <w:spacing w:line="276" w:lineRule="auto"/>
        <w:ind w:firstLine="720"/>
        <w:contextualSpacing/>
        <w:jc w:val="both"/>
      </w:pPr>
      <w:r>
        <w:t xml:space="preserve">No </w:t>
      </w:r>
      <w:r w:rsidR="00640E89">
        <w:t>[pers. A]</w:t>
      </w:r>
      <w:r>
        <w:t xml:space="preserve"> </w:t>
      </w:r>
      <w:r w:rsidR="00B316CD">
        <w:t xml:space="preserve">valsts labā piedzīti procesuālie izdevumi 847 </w:t>
      </w:r>
      <w:r w:rsidR="00B316CD" w:rsidRPr="00B316CD">
        <w:rPr>
          <w:i/>
          <w:iCs/>
        </w:rPr>
        <w:t>euro</w:t>
      </w:r>
      <w:r w:rsidR="00B316CD">
        <w:t>.</w:t>
      </w:r>
    </w:p>
    <w:p w14:paraId="7326733A" w14:textId="77777777" w:rsidR="00DC253C" w:rsidRDefault="00DC253C" w:rsidP="00DC253C">
      <w:pPr>
        <w:spacing w:line="276" w:lineRule="auto"/>
        <w:ind w:firstLine="720"/>
        <w:contextualSpacing/>
        <w:jc w:val="both"/>
      </w:pPr>
    </w:p>
    <w:p w14:paraId="251F7E7E" w14:textId="7795145F" w:rsidR="00DC253C" w:rsidRDefault="00DC253C" w:rsidP="00B316CD">
      <w:pPr>
        <w:spacing w:line="276" w:lineRule="auto"/>
        <w:ind w:firstLine="720"/>
        <w:contextualSpacing/>
        <w:jc w:val="both"/>
      </w:pPr>
      <w:r>
        <w:t xml:space="preserve">[2] Ar </w:t>
      </w:r>
      <w:r w:rsidR="00B316CD">
        <w:t>Rīgas pilsētas Pārdaugavas</w:t>
      </w:r>
      <w:r>
        <w:t xml:space="preserve"> tiesas 201</w:t>
      </w:r>
      <w:r w:rsidR="00B316CD">
        <w:t>9</w:t>
      </w:r>
      <w:r>
        <w:t xml:space="preserve">.gada </w:t>
      </w:r>
      <w:r w:rsidR="00B316CD">
        <w:t>25</w:t>
      </w:r>
      <w:r>
        <w:t>.</w:t>
      </w:r>
      <w:r w:rsidR="00B316CD">
        <w:t>mart</w:t>
      </w:r>
      <w:r>
        <w:t xml:space="preserve">a spriedumu </w:t>
      </w:r>
      <w:r w:rsidR="00640E89">
        <w:t>[pers. A]</w:t>
      </w:r>
      <w:r>
        <w:t xml:space="preserve"> atzīts par vainīgu un sodīts pēc Krimināllikuma </w:t>
      </w:r>
      <w:r w:rsidR="00B316CD">
        <w:t>116</w:t>
      </w:r>
      <w:r>
        <w:t xml:space="preserve">.panta par </w:t>
      </w:r>
      <w:r w:rsidR="00B316CD">
        <w:t>citas personas tīšu prettiesisku nonāvēšanu</w:t>
      </w:r>
      <w:r w:rsidR="00447A6C">
        <w:t xml:space="preserve"> (slepkavību)</w:t>
      </w:r>
      <w:r w:rsidR="00B316CD">
        <w:t>.</w:t>
      </w:r>
    </w:p>
    <w:p w14:paraId="44447C84" w14:textId="77777777" w:rsidR="00DC253C" w:rsidRDefault="00DC253C" w:rsidP="00DC253C">
      <w:pPr>
        <w:spacing w:line="276" w:lineRule="auto"/>
        <w:ind w:firstLine="720"/>
        <w:contextualSpacing/>
        <w:jc w:val="both"/>
      </w:pPr>
    </w:p>
    <w:p w14:paraId="1269BE81" w14:textId="3F61EA79" w:rsidR="00DC253C" w:rsidRDefault="00DC253C" w:rsidP="00DC253C">
      <w:pPr>
        <w:spacing w:line="276" w:lineRule="auto"/>
        <w:ind w:firstLine="720"/>
        <w:contextualSpacing/>
        <w:jc w:val="both"/>
      </w:pPr>
      <w:r>
        <w:t>[3] Ar</w:t>
      </w:r>
      <w:r w:rsidR="00B316CD">
        <w:t xml:space="preserve"> Rīgas</w:t>
      </w:r>
      <w:r>
        <w:t xml:space="preserve"> apgabaltiesas 2019.gada 1</w:t>
      </w:r>
      <w:r w:rsidR="00B316CD">
        <w:t>5</w:t>
      </w:r>
      <w:r>
        <w:t>.</w:t>
      </w:r>
      <w:r w:rsidR="00B316CD">
        <w:t>oktob</w:t>
      </w:r>
      <w:r>
        <w:t>ra spriedumu</w:t>
      </w:r>
      <w:r w:rsidR="00C727F1">
        <w:t xml:space="preserve">, iztiesājot krimināllietu sakarā ar </w:t>
      </w:r>
      <w:r w:rsidR="00B316CD">
        <w:t>Rīgas pilsētas</w:t>
      </w:r>
      <w:r w:rsidR="00447A6C">
        <w:t xml:space="preserve"> Kurzemes rajona</w:t>
      </w:r>
      <w:r w:rsidR="00C727F1">
        <w:t xml:space="preserve"> prokuratūras prokuror</w:t>
      </w:r>
      <w:r w:rsidR="00B316CD">
        <w:t>a</w:t>
      </w:r>
      <w:r w:rsidR="00C727F1">
        <w:t xml:space="preserve"> </w:t>
      </w:r>
      <w:r w:rsidR="00B316CD">
        <w:t>Sergeja Aleksejeva</w:t>
      </w:r>
      <w:r w:rsidR="00C727F1">
        <w:t xml:space="preserve"> apelācijas protestu un apsūdzētā </w:t>
      </w:r>
      <w:r w:rsidR="00640E89">
        <w:t>[pers. A]</w:t>
      </w:r>
      <w:r w:rsidR="00C727F1">
        <w:t xml:space="preserve"> apelācijas sūdzību,</w:t>
      </w:r>
      <w:r w:rsidR="00B316CD">
        <w:t xml:space="preserve"> Rīgas pilsētas Pārdaugavas</w:t>
      </w:r>
      <w:r>
        <w:t xml:space="preserve"> tiesas 201</w:t>
      </w:r>
      <w:r w:rsidR="00B316CD">
        <w:t>9</w:t>
      </w:r>
      <w:r>
        <w:t xml:space="preserve">.gada </w:t>
      </w:r>
      <w:r w:rsidR="00B316CD">
        <w:t>25</w:t>
      </w:r>
      <w:r w:rsidR="00816F1B">
        <w:t>.</w:t>
      </w:r>
      <w:r w:rsidR="00B316CD">
        <w:t>mart</w:t>
      </w:r>
      <w:r>
        <w:t>a spriedums atcelts</w:t>
      </w:r>
      <w:r w:rsidR="00B316CD">
        <w:t xml:space="preserve"> daļā par </w:t>
      </w:r>
      <w:r w:rsidR="00640E89">
        <w:t>[pers. A]</w:t>
      </w:r>
      <w:r w:rsidR="00B316CD">
        <w:t xml:space="preserve"> atzīšanu par vainīgu un sodīšanu pēc Krimināllikuma 116.panta</w:t>
      </w:r>
      <w:r>
        <w:t>.</w:t>
      </w:r>
    </w:p>
    <w:p w14:paraId="24124722" w14:textId="0BCD2A7B" w:rsidR="00174FEE" w:rsidRDefault="00640E89" w:rsidP="00DC253C">
      <w:pPr>
        <w:spacing w:line="276" w:lineRule="auto"/>
        <w:ind w:firstLine="720"/>
        <w:contextualSpacing/>
        <w:jc w:val="both"/>
      </w:pPr>
      <w:r>
        <w:t>[Pers. A]</w:t>
      </w:r>
      <w:r w:rsidR="00174FEE">
        <w:t xml:space="preserve"> atzīts par vainīgu Krimināllikuma 116.pantā paredzētajā noziedzīgajā nodarījumā un sodīts ar brīvības atņemšanu uz 8 gadiem 6 mēnešiem un probācijas uzraudzību uz 3 gadiem.</w:t>
      </w:r>
    </w:p>
    <w:p w14:paraId="7DBE1993" w14:textId="2ECC370E" w:rsidR="00DC253C" w:rsidRDefault="00174FEE" w:rsidP="00174FEE">
      <w:pPr>
        <w:spacing w:line="276" w:lineRule="auto"/>
        <w:ind w:firstLine="720"/>
        <w:contextualSpacing/>
        <w:jc w:val="both"/>
      </w:pPr>
      <w:r>
        <w:t xml:space="preserve">No </w:t>
      </w:r>
      <w:r w:rsidR="00640E89">
        <w:t>[pers. A]</w:t>
      </w:r>
      <w:r>
        <w:t xml:space="preserve"> valsts labā piedzīti procesuālie izdevumi 180 </w:t>
      </w:r>
      <w:r w:rsidRPr="00B316CD">
        <w:rPr>
          <w:i/>
          <w:iCs/>
        </w:rPr>
        <w:t>euro</w:t>
      </w:r>
      <w:r>
        <w:t>.</w:t>
      </w:r>
    </w:p>
    <w:p w14:paraId="41053F6C" w14:textId="0388D736" w:rsidR="00174FEE" w:rsidRDefault="00174FEE" w:rsidP="00174FEE">
      <w:pPr>
        <w:spacing w:line="276" w:lineRule="auto"/>
        <w:ind w:firstLine="720"/>
        <w:contextualSpacing/>
        <w:jc w:val="both"/>
      </w:pPr>
      <w:r>
        <w:lastRenderedPageBreak/>
        <w:t>Pārējā daļā pirmās instances tiesas spriedums atstāts negrozīts.</w:t>
      </w:r>
    </w:p>
    <w:p w14:paraId="00E81DE2" w14:textId="77777777" w:rsidR="00DC253C" w:rsidRDefault="00DC253C" w:rsidP="00DC253C">
      <w:pPr>
        <w:spacing w:line="276" w:lineRule="auto"/>
        <w:ind w:firstLine="720"/>
        <w:contextualSpacing/>
        <w:jc w:val="both"/>
      </w:pPr>
    </w:p>
    <w:p w14:paraId="1A8379B8" w14:textId="386880CB" w:rsidR="00DC253C" w:rsidRDefault="009C259D" w:rsidP="001214C9">
      <w:pPr>
        <w:spacing w:line="276" w:lineRule="auto"/>
        <w:ind w:firstLine="720"/>
        <w:contextualSpacing/>
        <w:jc w:val="both"/>
      </w:pPr>
      <w:r>
        <w:t xml:space="preserve">[4] Par </w:t>
      </w:r>
      <w:r w:rsidR="00174FEE">
        <w:t>Rīgas</w:t>
      </w:r>
      <w:r w:rsidR="00DC253C">
        <w:t xml:space="preserve"> apgabaltiesas 2019.gada 1</w:t>
      </w:r>
      <w:r w:rsidR="00174FEE">
        <w:t>5</w:t>
      </w:r>
      <w:r w:rsidR="00DC253C">
        <w:t>.</w:t>
      </w:r>
      <w:r w:rsidR="00174FEE">
        <w:t>oktob</w:t>
      </w:r>
      <w:r w:rsidR="00DC253C">
        <w:t>ra spriedumu kasācijas</w:t>
      </w:r>
      <w:r w:rsidR="00816F1B">
        <w:t xml:space="preserve"> sūdzību iesniedzis apsūdzētais </w:t>
      </w:r>
      <w:r w:rsidR="00640E89">
        <w:t>[pers. A]</w:t>
      </w:r>
      <w:r w:rsidR="00DC253C">
        <w:t>, lūdz</w:t>
      </w:r>
      <w:r w:rsidR="001214C9">
        <w:t>ot</w:t>
      </w:r>
      <w:r w:rsidR="00DC253C">
        <w:t xml:space="preserve"> </w:t>
      </w:r>
      <w:r w:rsidR="00816F1B">
        <w:t>atcelt</w:t>
      </w:r>
      <w:r w:rsidR="00DC253C">
        <w:t xml:space="preserve"> </w:t>
      </w:r>
      <w:r w:rsidR="00DB4F07">
        <w:t xml:space="preserve">minēto </w:t>
      </w:r>
      <w:r w:rsidR="00DC253C">
        <w:t>spriedumu</w:t>
      </w:r>
      <w:r w:rsidR="001214C9">
        <w:t xml:space="preserve"> pilnībā</w:t>
      </w:r>
      <w:r w:rsidR="00DC253C">
        <w:t xml:space="preserve"> un </w:t>
      </w:r>
      <w:r w:rsidR="00816F1B">
        <w:t>samazināt viņam noteikto sodu.</w:t>
      </w:r>
    </w:p>
    <w:p w14:paraId="40E1418A" w14:textId="55E16D22" w:rsidR="00DC253C" w:rsidRDefault="001214C9" w:rsidP="00DC253C">
      <w:pPr>
        <w:spacing w:line="276" w:lineRule="auto"/>
        <w:ind w:firstLine="720"/>
        <w:contextualSpacing/>
        <w:jc w:val="both"/>
      </w:pPr>
      <w:r>
        <w:t xml:space="preserve">Neizvērtējot liecinieka </w:t>
      </w:r>
      <w:r w:rsidR="00640E89">
        <w:t>[pers. C]</w:t>
      </w:r>
      <w:r w:rsidR="002E2D8E">
        <w:t xml:space="preserve"> </w:t>
      </w:r>
      <w:r>
        <w:t>pirmstiesas procesā sniegtās liecības, proti, ka cietušais vēl bijis dzīvs, tas ir, elpojis, kad viņu iznesuši ārā no dzīvokļa, a</w:t>
      </w:r>
      <w:r w:rsidR="00DC253C">
        <w:t xml:space="preserve">pelācijas instances tiesa </w:t>
      </w:r>
      <w:r w:rsidR="000E2B46">
        <w:t>nepareizi kvalificējusi viņa nodarījumu kā slepkavību</w:t>
      </w:r>
      <w:r>
        <w:t>.</w:t>
      </w:r>
      <w:r w:rsidR="000E2B46">
        <w:t xml:space="preserve"> </w:t>
      </w:r>
      <w:r>
        <w:t>Turklāt</w:t>
      </w:r>
      <w:r w:rsidR="00447A6C">
        <w:t>,</w:t>
      </w:r>
      <w:r>
        <w:t xml:space="preserve"> pretēji Kriminālprocesa likuma 19.pantā noteiktajam, tiesa</w:t>
      </w:r>
      <w:r w:rsidR="000E2B46">
        <w:t xml:space="preserve"> visas saprātīgas šaubas par vainu nav vērtējusi viņam par labu.</w:t>
      </w:r>
    </w:p>
    <w:p w14:paraId="300F5D2C" w14:textId="3CDFBEEA" w:rsidR="000E2B46" w:rsidRDefault="001214C9" w:rsidP="00DC253C">
      <w:pPr>
        <w:spacing w:line="276" w:lineRule="auto"/>
        <w:ind w:firstLine="720"/>
        <w:contextualSpacing/>
        <w:jc w:val="both"/>
      </w:pPr>
      <w:r>
        <w:t>Tāpat tiesa nav</w:t>
      </w:r>
      <w:r w:rsidR="00111630">
        <w:t xml:space="preserve"> apmierinā</w:t>
      </w:r>
      <w:r>
        <w:t>jusi</w:t>
      </w:r>
      <w:r w:rsidR="00111630">
        <w:t xml:space="preserve"> viņa lūgum</w:t>
      </w:r>
      <w:r>
        <w:t>u</w:t>
      </w:r>
      <w:r w:rsidR="000E2B46">
        <w:t xml:space="preserve"> aicināt un uzklausīt aizstāvības lieciniekus.</w:t>
      </w:r>
    </w:p>
    <w:p w14:paraId="7253C927" w14:textId="77777777" w:rsidR="00DC253C" w:rsidRDefault="00DC253C" w:rsidP="00DC253C">
      <w:pPr>
        <w:spacing w:line="276" w:lineRule="auto"/>
        <w:ind w:firstLine="720"/>
        <w:contextualSpacing/>
        <w:jc w:val="both"/>
      </w:pPr>
    </w:p>
    <w:p w14:paraId="1358C014" w14:textId="77777777" w:rsidR="00DC253C" w:rsidRDefault="00DC253C" w:rsidP="00DC253C">
      <w:pPr>
        <w:spacing w:line="276" w:lineRule="auto"/>
        <w:ind w:firstLine="720"/>
        <w:contextualSpacing/>
        <w:jc w:val="both"/>
        <w:rPr>
          <w:b/>
          <w:bCs/>
        </w:rPr>
      </w:pPr>
      <w:r w:rsidRPr="00742293">
        <w:rPr>
          <w:b/>
          <w:bCs/>
        </w:rPr>
        <w:t xml:space="preserve">                                                 Motīvu daļa</w:t>
      </w:r>
    </w:p>
    <w:p w14:paraId="4ECD69C0" w14:textId="77777777" w:rsidR="009C259D" w:rsidRDefault="009C259D" w:rsidP="00DC253C">
      <w:pPr>
        <w:spacing w:line="276" w:lineRule="auto"/>
        <w:ind w:firstLine="720"/>
        <w:contextualSpacing/>
        <w:jc w:val="both"/>
        <w:rPr>
          <w:b/>
          <w:bCs/>
        </w:rPr>
      </w:pPr>
    </w:p>
    <w:p w14:paraId="6CE453E3" w14:textId="4B622968" w:rsidR="00512DEE" w:rsidRDefault="00512DEE" w:rsidP="00512DEE">
      <w:pPr>
        <w:spacing w:line="276" w:lineRule="auto"/>
        <w:ind w:firstLine="720"/>
        <w:contextualSpacing/>
        <w:jc w:val="both"/>
      </w:pPr>
      <w:r>
        <w:t xml:space="preserve">[5] Atbilstoši Kriminālprocesa likuma 584.pantā noteiktajam tiesas nolēmumu tiesiskuma pārbaude notiek kasācijas sūdzībā vai protestā izteikto prasību apjomā un ietvaros. Kasācijas instances tiesa drīkst pārsniegt kasācijas sūdzībā vai protestā izteikto prasību apjomu un ietvarus gadījumos, kad tā konstatē Kriminālprocesa likuma 574. un 575.pantā norādītos pārkāpumus un tie nav norādīti sūdzībā vai protestā.  </w:t>
      </w:r>
    </w:p>
    <w:p w14:paraId="0E7325E7" w14:textId="4321F7B2" w:rsidR="00512DEE" w:rsidRDefault="00512DEE" w:rsidP="00512DEE">
      <w:pPr>
        <w:spacing w:line="276" w:lineRule="auto"/>
        <w:ind w:firstLine="720"/>
        <w:contextualSpacing/>
        <w:jc w:val="both"/>
      </w:pPr>
      <w:r>
        <w:t xml:space="preserve">Senāts atzīst, ka izskatāmajā lietā pārsniedzams apsūdzētā </w:t>
      </w:r>
      <w:r w:rsidR="00447A6C">
        <w:t xml:space="preserve">kasācijas </w:t>
      </w:r>
      <w:r>
        <w:t xml:space="preserve">sūdzībā izteikto prasību apjoms, jo konstatējams apelācijas instances tiesas pieļauts Kriminālprocesa likuma 575.panta pārkāpums, kas nav norādīts apsūdzētā </w:t>
      </w:r>
      <w:r w:rsidR="00640E89">
        <w:t>[pers. A]</w:t>
      </w:r>
      <w:r>
        <w:t xml:space="preserve"> kasācijas sūdzībā. </w:t>
      </w:r>
    </w:p>
    <w:p w14:paraId="7281BAE6" w14:textId="6F70FEB0" w:rsidR="00512DEE" w:rsidRDefault="00512DEE" w:rsidP="00512DEE">
      <w:pPr>
        <w:spacing w:line="276" w:lineRule="auto"/>
        <w:ind w:firstLine="720"/>
        <w:contextualSpacing/>
        <w:jc w:val="both"/>
      </w:pPr>
      <w:r>
        <w:t>[5.1] Kriminālprocesa likuma 511.panta otrā daļa noteic, ka spriedumam jābūt tiesiskam un pamatotam. Spriedums ir tiesisks un pamatots, ja tas atbilst Kriminālprocesa likuma 512.panta nosacījumiem, tostarp minētā panta pirmajai daļai, kas noteic, ka tiesa, taisot spriedumu, pamatojas uz materiālo un procesuālo tiesību normām. Minētās prasības attiecas arī uz apelācijas instances tiesas nolēmumiem.</w:t>
      </w:r>
    </w:p>
    <w:p w14:paraId="75EBFB4B" w14:textId="70CAC4BA" w:rsidR="00512DEE" w:rsidRDefault="00512DEE" w:rsidP="00512DEE">
      <w:pPr>
        <w:spacing w:line="276" w:lineRule="auto"/>
        <w:ind w:firstLine="720"/>
        <w:contextualSpacing/>
        <w:jc w:val="both"/>
      </w:pPr>
      <w:r>
        <w:t>Senāts atzīst</w:t>
      </w:r>
      <w:r w:rsidRPr="00E12298">
        <w:t xml:space="preserve">, ka, iztiesājot </w:t>
      </w:r>
      <w:r>
        <w:t>krimināl</w:t>
      </w:r>
      <w:r w:rsidRPr="00E12298">
        <w:t>lietu</w:t>
      </w:r>
      <w:r>
        <w:t xml:space="preserve"> un atstājot negrozītu pirmās instances tiesas spriedumu</w:t>
      </w:r>
      <w:r w:rsidR="00447A6C">
        <w:t xml:space="preserve"> daļā</w:t>
      </w:r>
      <w:r w:rsidRPr="00E12298">
        <w:t>,</w:t>
      </w:r>
      <w:r>
        <w:t xml:space="preserve"> ar kuru cietušās </w:t>
      </w:r>
      <w:r w:rsidR="00640E89">
        <w:t>[pers. B]</w:t>
      </w:r>
      <w:r>
        <w:t xml:space="preserve"> labā piedzīta morālā kaitējuma kompensācija 10 000 </w:t>
      </w:r>
      <w:r w:rsidRPr="00FC02DB">
        <w:rPr>
          <w:i/>
          <w:iCs/>
        </w:rPr>
        <w:t>euro</w:t>
      </w:r>
      <w:r>
        <w:t xml:space="preserve">, </w:t>
      </w:r>
      <w:r w:rsidRPr="00E12298">
        <w:t xml:space="preserve">apelācijas instances tiesa minētās </w:t>
      </w:r>
      <w:r>
        <w:t xml:space="preserve">procesuālo tiesību normas nav </w:t>
      </w:r>
      <w:r w:rsidRPr="00E12298">
        <w:t>ievērojusi.</w:t>
      </w:r>
    </w:p>
    <w:p w14:paraId="79146241" w14:textId="2B60BF8D" w:rsidR="00512DEE" w:rsidRDefault="00512DEE" w:rsidP="00512DEE">
      <w:pPr>
        <w:spacing w:line="276" w:lineRule="auto"/>
        <w:ind w:firstLine="720"/>
        <w:contextualSpacing/>
        <w:jc w:val="both"/>
      </w:pPr>
      <w:r>
        <w:t xml:space="preserve">[5.2] Cietusī </w:t>
      </w:r>
      <w:r w:rsidR="00640E89">
        <w:t>[pers. B]</w:t>
      </w:r>
      <w:r>
        <w:t xml:space="preserve"> pirmstiesas procesā 2018.gada 4.janvārī iesniegusi morālā kaitējuma kompensācijas pieteikumu, lūdzot no apsūdzētā </w:t>
      </w:r>
      <w:r w:rsidR="00640E89">
        <w:t>[pers. A]</w:t>
      </w:r>
      <w:r>
        <w:t xml:space="preserve"> piedzīt 10 000 </w:t>
      </w:r>
      <w:r w:rsidRPr="00175A03">
        <w:rPr>
          <w:i/>
          <w:iCs/>
        </w:rPr>
        <w:t>euro</w:t>
      </w:r>
      <w:r w:rsidR="002C3A6A">
        <w:t xml:space="preserve">. </w:t>
      </w:r>
      <w:r w:rsidR="00447A6C">
        <w:t xml:space="preserve">Cietušajai </w:t>
      </w:r>
      <w:r w:rsidR="00640E89">
        <w:t>[pers. B]</w:t>
      </w:r>
      <w:r w:rsidR="00447A6C">
        <w:t xml:space="preserve"> </w:t>
      </w:r>
      <w:r>
        <w:t xml:space="preserve">2018.gada 13.februārī izmaksāta valsts kompensācija 2150 </w:t>
      </w:r>
      <w:r w:rsidRPr="0055524F">
        <w:rPr>
          <w:i/>
          <w:iCs/>
        </w:rPr>
        <w:t>euro</w:t>
      </w:r>
      <w:r w:rsidR="00447A6C">
        <w:rPr>
          <w:i/>
          <w:iCs/>
        </w:rPr>
        <w:t xml:space="preserve"> </w:t>
      </w:r>
      <w:r w:rsidR="00447A6C" w:rsidRPr="00BE71A6">
        <w:rPr>
          <w:iCs/>
        </w:rPr>
        <w:t>apmērā</w:t>
      </w:r>
      <w:r>
        <w:t xml:space="preserve">. </w:t>
      </w:r>
    </w:p>
    <w:p w14:paraId="1E0A5B1D" w14:textId="28DBAB9A" w:rsidR="00512DEE" w:rsidRDefault="00512DEE" w:rsidP="00512DEE">
      <w:pPr>
        <w:spacing w:line="276" w:lineRule="auto"/>
        <w:ind w:firstLine="720"/>
        <w:contextualSpacing/>
        <w:jc w:val="both"/>
      </w:pPr>
      <w:r>
        <w:t xml:space="preserve">Pirmās instances tiesā lietas iztiesāšanas laikā, tas ir, jau pēc valsts kompensācijas </w:t>
      </w:r>
      <w:r w:rsidR="00447A6C">
        <w:t>izmaksas</w:t>
      </w:r>
      <w:r>
        <w:t xml:space="preserve">, cietusī </w:t>
      </w:r>
      <w:r w:rsidR="00640E89">
        <w:t>[pers. B]</w:t>
      </w:r>
      <w:r>
        <w:t xml:space="preserve"> turpināja uzturēt pieteikumu par morālā kaitējuma kompensācijas piedziņu 10 000 </w:t>
      </w:r>
      <w:r w:rsidRPr="00175A03">
        <w:rPr>
          <w:i/>
          <w:iCs/>
        </w:rPr>
        <w:t>euro</w:t>
      </w:r>
      <w:r>
        <w:t xml:space="preserve"> apmērā.</w:t>
      </w:r>
    </w:p>
    <w:p w14:paraId="0E5638FC" w14:textId="73EDF170" w:rsidR="00512DEE" w:rsidRDefault="00512DEE" w:rsidP="00512DEE">
      <w:pPr>
        <w:spacing w:line="276" w:lineRule="auto"/>
        <w:ind w:firstLine="720"/>
        <w:contextualSpacing/>
        <w:jc w:val="both"/>
      </w:pPr>
      <w:r>
        <w:t xml:space="preserve">Ar pirmās instances tiesas spriedumu no apsūdzētā </w:t>
      </w:r>
      <w:r w:rsidR="00640E89">
        <w:t>[pers. A]</w:t>
      </w:r>
      <w:r>
        <w:t xml:space="preserve"> cietušās </w:t>
      </w:r>
      <w:r w:rsidR="00640E89">
        <w:t>[pers. B]</w:t>
      </w:r>
      <w:r>
        <w:t xml:space="preserve"> labā piedzīta materiālā kaitējuma kompensācija 1240 </w:t>
      </w:r>
      <w:r w:rsidRPr="003A42E1">
        <w:rPr>
          <w:i/>
          <w:iCs/>
        </w:rPr>
        <w:t>euro</w:t>
      </w:r>
      <w:r>
        <w:t xml:space="preserve"> un morālā kaitējuma kompensācija 10 000 </w:t>
      </w:r>
      <w:r w:rsidRPr="00D75507">
        <w:rPr>
          <w:i/>
          <w:iCs/>
        </w:rPr>
        <w:t>euro</w:t>
      </w:r>
      <w:r>
        <w:t xml:space="preserve">, bet valsts labā piedzīti 2150 </w:t>
      </w:r>
      <w:r w:rsidRPr="00D75507">
        <w:rPr>
          <w:i/>
          <w:iCs/>
        </w:rPr>
        <w:t>euro</w:t>
      </w:r>
      <w:r>
        <w:t xml:space="preserve"> – Juridiskās palīdzības administrācijas izmaksātā valsts kompensācija cietušajai </w:t>
      </w:r>
      <w:r w:rsidR="00640E89">
        <w:t>[pers. B]</w:t>
      </w:r>
      <w:r>
        <w:t>.</w:t>
      </w:r>
    </w:p>
    <w:p w14:paraId="1CD4E009" w14:textId="126507E5" w:rsidR="00512DEE" w:rsidRDefault="00512DEE" w:rsidP="00512DEE">
      <w:pPr>
        <w:spacing w:line="276" w:lineRule="auto"/>
        <w:ind w:firstLine="720"/>
        <w:contextualSpacing/>
        <w:jc w:val="both"/>
      </w:pPr>
      <w:r>
        <w:t xml:space="preserve">[5.3] Izlemjot cietušās </w:t>
      </w:r>
      <w:r w:rsidR="00640E89">
        <w:t>[pers. B]</w:t>
      </w:r>
      <w:r>
        <w:t xml:space="preserve"> labā piedzen</w:t>
      </w:r>
      <w:r w:rsidR="00447A6C">
        <w:t>am</w:t>
      </w:r>
      <w:r w:rsidR="002C3A6A">
        <w:t>o</w:t>
      </w:r>
      <w:r>
        <w:t xml:space="preserve"> morālā kaitējuma kompensācijas apmēru, pirmās instances tiesa atsaukusies uz Kriminālprocesa likuma 352.panta ceturto daļu, kas noteic, ka kaitējuma nodarītājs var labprātīgi piekrist cietušā noteiktajam kompensācijas apmēram, vai viņi var to noteikt, savstarpēji vienojoties. Pirmās instances tiesa konstatējusi, ka apsūdzētais </w:t>
      </w:r>
      <w:r w:rsidR="00640E89">
        <w:t>[pers. A]</w:t>
      </w:r>
      <w:r>
        <w:t xml:space="preserve"> piekritis cietušās noteiktajam materiālās un morālās kaitējuma kompensācijas apmēram un no viņa piedzinusi attiecīgi 1240</w:t>
      </w:r>
      <w:r w:rsidRPr="00DD0AA9">
        <w:rPr>
          <w:i/>
          <w:iCs/>
        </w:rPr>
        <w:t xml:space="preserve"> euro</w:t>
      </w:r>
      <w:r>
        <w:t xml:space="preserve"> un 10 000 </w:t>
      </w:r>
      <w:r w:rsidRPr="00DD0AA9">
        <w:rPr>
          <w:i/>
          <w:iCs/>
        </w:rPr>
        <w:t>euro</w:t>
      </w:r>
      <w:r>
        <w:t>.</w:t>
      </w:r>
    </w:p>
    <w:p w14:paraId="2DA36D7F" w14:textId="33A8D142" w:rsidR="00512DEE" w:rsidRDefault="00512DEE" w:rsidP="00512DEE">
      <w:pPr>
        <w:spacing w:line="276" w:lineRule="auto"/>
        <w:ind w:firstLine="720"/>
        <w:contextualSpacing/>
        <w:jc w:val="both"/>
      </w:pPr>
      <w:r>
        <w:lastRenderedPageBreak/>
        <w:t xml:space="preserve">Senāts konstatē, ka, izlemjot cietušās </w:t>
      </w:r>
      <w:r w:rsidR="00640E89">
        <w:t>[pers. B]</w:t>
      </w:r>
      <w:r>
        <w:t xml:space="preserve"> labā piedzīt 10 000 </w:t>
      </w:r>
      <w:r w:rsidRPr="00512DEE">
        <w:rPr>
          <w:i/>
          <w:iCs/>
        </w:rPr>
        <w:t>euro</w:t>
      </w:r>
      <w:r>
        <w:t>, pirmās instances tiesa nav ievērojusi Kriminālprocesa likuma 26.nodaļā noteiktās prasības, kā arī Kriminālprocesa likuma 15.pantā nostiprināto kriminālprocesa principu – tiesības uz taisnīgu tiesu. Tiesa</w:t>
      </w:r>
      <w:r w:rsidR="005A750A">
        <w:t>i</w:t>
      </w:r>
      <w:r>
        <w:t xml:space="preserve">, nosakot cietušās labā piedzenamo kompensācijas apmēru, bija jāņem vērā no valsts saņemtā kompensācija </w:t>
      </w:r>
      <w:r w:rsidR="002C3A6A">
        <w:t>2150</w:t>
      </w:r>
      <w:r>
        <w:t xml:space="preserve"> </w:t>
      </w:r>
      <w:r w:rsidRPr="002C105F">
        <w:rPr>
          <w:i/>
          <w:iCs/>
        </w:rPr>
        <w:t>euro</w:t>
      </w:r>
      <w:r>
        <w:t xml:space="preserve">, un jāsamazina no apsūdzētā </w:t>
      </w:r>
      <w:r w:rsidR="00640E89">
        <w:t>[pers. A]</w:t>
      </w:r>
      <w:r>
        <w:t xml:space="preserve"> piedzenamā kaitējuma kompensācija atbilstoši saņemtajai valsts kompensācijai.</w:t>
      </w:r>
    </w:p>
    <w:p w14:paraId="7EAF14BE" w14:textId="01ED0119" w:rsidR="00512DEE" w:rsidRDefault="00BE71A6" w:rsidP="00512DEE">
      <w:pPr>
        <w:spacing w:line="276" w:lineRule="auto"/>
        <w:ind w:firstLine="720"/>
        <w:contextualSpacing/>
        <w:jc w:val="both"/>
      </w:pPr>
      <w:r w:rsidDel="00BE71A6">
        <w:t xml:space="preserve"> </w:t>
      </w:r>
      <w:r w:rsidR="00512DEE">
        <w:t xml:space="preserve">[5.4] Senāts atzīst, ka apelācijas instances tiesa, atstājot negrozītu pirmās instances tiesas spriedumu daļā par </w:t>
      </w:r>
      <w:r w:rsidR="00640E89">
        <w:t>[pers. B]</w:t>
      </w:r>
      <w:r w:rsidR="00512DEE">
        <w:t xml:space="preserve"> labā piedzīto morālā kaitējuma kompensācijas apmēru, ir pieļāvusi Kriminālprocesa likuma 15</w:t>
      </w:r>
      <w:r w:rsidR="00447A6C">
        <w:t>., 352.,</w:t>
      </w:r>
      <w:r w:rsidR="00512DEE">
        <w:t xml:space="preserve"> 511.,</w:t>
      </w:r>
      <w:r w:rsidR="00447A6C">
        <w:t xml:space="preserve"> </w:t>
      </w:r>
      <w:r w:rsidR="00512DEE">
        <w:t>512.</w:t>
      </w:r>
      <w:r w:rsidR="00447A6C">
        <w:t xml:space="preserve">panta </w:t>
      </w:r>
      <w:r w:rsidR="00512DEE">
        <w:t xml:space="preserve">un 564.panta ceturtās daļas pārkāpumu, kas atzīstams par Kriminālprocesa likuma būtisku pārkāpumu šā likuma 575.panta trešās daļas izpratnē un </w:t>
      </w:r>
      <w:r w:rsidR="00447A6C">
        <w:t xml:space="preserve">novedis </w:t>
      </w:r>
      <w:r w:rsidR="00512DEE">
        <w:t xml:space="preserve">pie nelikumīga sprieduma šajā daļā.  </w:t>
      </w:r>
    </w:p>
    <w:p w14:paraId="25A9C9F1" w14:textId="77777777" w:rsidR="00512DEE" w:rsidRDefault="00512DEE" w:rsidP="00D75507">
      <w:pPr>
        <w:spacing w:line="276" w:lineRule="auto"/>
        <w:ind w:firstLine="720"/>
        <w:contextualSpacing/>
        <w:jc w:val="both"/>
      </w:pPr>
    </w:p>
    <w:p w14:paraId="334539D1" w14:textId="7A696747" w:rsidR="002C3A6A" w:rsidRDefault="00DC253C" w:rsidP="002C3A6A">
      <w:pPr>
        <w:spacing w:line="276" w:lineRule="auto"/>
        <w:ind w:firstLine="720"/>
        <w:contextualSpacing/>
        <w:jc w:val="both"/>
      </w:pPr>
      <w:r>
        <w:t>[</w:t>
      </w:r>
      <w:r w:rsidR="00512DEE">
        <w:t>6</w:t>
      </w:r>
      <w:r>
        <w:t>]</w:t>
      </w:r>
      <w:r w:rsidR="00D75507">
        <w:t> </w:t>
      </w:r>
      <w:r w:rsidR="00512DEE">
        <w:t xml:space="preserve">Vienlaikus </w:t>
      </w:r>
      <w:r w:rsidR="00D75507">
        <w:t xml:space="preserve">Senāts atzīst, ka Rīgas apgabaltiesas 2019.gada 15.oktobra spriedums atstājams negrozīts daļā par apsūdzētā </w:t>
      </w:r>
      <w:r w:rsidR="00981F6D">
        <w:t>[pers. A]</w:t>
      </w:r>
      <w:r w:rsidR="00D75507">
        <w:t xml:space="preserve"> atzīšanu par vainīgu un sodīšanu pēc Krimināllikuma 116.panta, bet apsūdzētā kasācijas sūdzība noraidāma.</w:t>
      </w:r>
    </w:p>
    <w:p w14:paraId="11F2AAE7" w14:textId="6627F0F6" w:rsidR="00393272" w:rsidRDefault="00D70166" w:rsidP="002C3A6A">
      <w:pPr>
        <w:spacing w:line="276" w:lineRule="auto"/>
        <w:ind w:firstLine="720"/>
        <w:contextualSpacing/>
        <w:jc w:val="both"/>
      </w:pPr>
      <w:r>
        <w:t>[</w:t>
      </w:r>
      <w:r w:rsidR="00512DEE">
        <w:t>6</w:t>
      </w:r>
      <w:r>
        <w:t>.1] </w:t>
      </w:r>
      <w:r w:rsidR="00F85885">
        <w:t>Senāts konstatē, ka apelācijas instances tiesa, iztiesājot lietu</w:t>
      </w:r>
      <w:r w:rsidR="00447A6C">
        <w:t>,</w:t>
      </w:r>
      <w:r w:rsidR="00F85885" w:rsidRPr="00E75C29">
        <w:rPr>
          <w:rFonts w:ascii="TimesNewRomanPSMT" w:hAnsi="TimesNewRomanPSMT" w:cs="TimesNewRomanPSMT"/>
        </w:rPr>
        <w:t xml:space="preserve"> nav pieļāvusi </w:t>
      </w:r>
      <w:r w:rsidR="00512DEE">
        <w:rPr>
          <w:rFonts w:ascii="TimesNewRomanPSMT" w:hAnsi="TimesNewRomanPSMT" w:cs="TimesNewRomanPSMT"/>
        </w:rPr>
        <w:t xml:space="preserve">Krimināllikuma pārkāpumu vai Kriminālprocesa likuma būtisku pārkāpumu. Arī </w:t>
      </w:r>
      <w:r w:rsidR="00F85885">
        <w:rPr>
          <w:rFonts w:ascii="TimesNewRomanPSMT" w:hAnsi="TimesNewRomanPSMT" w:cs="TimesNewRomanPSMT"/>
        </w:rPr>
        <w:t xml:space="preserve">apsūdzētā kasācijas sūdzībā </w:t>
      </w:r>
      <w:r w:rsidR="00512DEE">
        <w:rPr>
          <w:rFonts w:ascii="TimesNewRomanPSMT" w:hAnsi="TimesNewRomanPSMT" w:cs="TimesNewRomanPSMT"/>
        </w:rPr>
        <w:t>nav izklāstīti tādi argumenti, kas varētu būt par pamatu</w:t>
      </w:r>
      <w:r w:rsidR="0076669A">
        <w:rPr>
          <w:rFonts w:ascii="TimesNewRomanPSMT" w:hAnsi="TimesNewRomanPSMT" w:cs="TimesNewRomanPSMT"/>
        </w:rPr>
        <w:t xml:space="preserve"> apelācijas instances tiesas nolēmuma atcelšanai daļā par </w:t>
      </w:r>
      <w:r w:rsidR="00981F6D">
        <w:rPr>
          <w:rFonts w:ascii="TimesNewRomanPSMT" w:hAnsi="TimesNewRomanPSMT" w:cs="TimesNewRomanPSMT"/>
        </w:rPr>
        <w:t>[pers. A]</w:t>
      </w:r>
      <w:r w:rsidR="0076669A">
        <w:rPr>
          <w:rFonts w:ascii="TimesNewRomanPSMT" w:hAnsi="TimesNewRomanPSMT" w:cs="TimesNewRomanPSMT"/>
        </w:rPr>
        <w:t xml:space="preserve"> atzīšanu par vainīgu Krimināllikuma 116.pantā paredzētajā noziedzīgajā nodarījumā.</w:t>
      </w:r>
      <w:r w:rsidR="00F85885">
        <w:rPr>
          <w:rFonts w:ascii="TimesNewRomanPSMT" w:hAnsi="TimesNewRomanPSMT" w:cs="TimesNewRomanPSMT"/>
        </w:rPr>
        <w:t xml:space="preserve"> </w:t>
      </w:r>
      <w:r w:rsidR="0076669A">
        <w:rPr>
          <w:rFonts w:ascii="TimesNewRomanPSMT" w:hAnsi="TimesNewRomanPSMT" w:cs="TimesNewRomanPSMT"/>
        </w:rPr>
        <w:t>K</w:t>
      </w:r>
      <w:r w:rsidR="00F85885">
        <w:rPr>
          <w:rFonts w:ascii="TimesNewRomanPSMT" w:hAnsi="TimesNewRomanPSMT" w:cs="TimesNewRomanPSMT"/>
        </w:rPr>
        <w:t xml:space="preserve">asācijas sūdzībā pamatā ir atkārtoti apsūdzētā </w:t>
      </w:r>
      <w:r w:rsidR="00981F6D">
        <w:rPr>
          <w:rFonts w:ascii="TimesNewRomanPSMT" w:hAnsi="TimesNewRomanPSMT" w:cs="TimesNewRomanPSMT"/>
        </w:rPr>
        <w:t>[pers. A]</w:t>
      </w:r>
      <w:r w:rsidR="00F85885">
        <w:rPr>
          <w:rFonts w:ascii="TimesNewRomanPSMT" w:hAnsi="TimesNewRomanPSMT" w:cs="TimesNewRomanPSMT"/>
        </w:rPr>
        <w:t xml:space="preserve"> apelācijas sūdzībā </w:t>
      </w:r>
      <w:r w:rsidR="0076669A">
        <w:rPr>
          <w:rFonts w:ascii="TimesNewRomanPSMT" w:hAnsi="TimesNewRomanPSMT" w:cs="TimesNewRomanPSMT"/>
        </w:rPr>
        <w:t>izklāstītie</w:t>
      </w:r>
      <w:r w:rsidR="00F85885">
        <w:rPr>
          <w:rFonts w:ascii="TimesNewRomanPSMT" w:hAnsi="TimesNewRomanPSMT" w:cs="TimesNewRomanPSMT"/>
        </w:rPr>
        <w:t xml:space="preserve"> argumenti, kurus apelācijas instances tiesa nolēmumā ir izvērtējusi un motivēti noraidījusi.</w:t>
      </w:r>
      <w:r w:rsidR="0076669A">
        <w:rPr>
          <w:rFonts w:ascii="TimesNewRomanPSMT" w:hAnsi="TimesNewRomanPSMT" w:cs="TimesNewRomanPSMT"/>
        </w:rPr>
        <w:t xml:space="preserve"> Faktiski sūdzībā lūgts atkārtoti izvērtēt lietā iegūtos pierādījumus.</w:t>
      </w:r>
    </w:p>
    <w:p w14:paraId="621FC70B" w14:textId="77777777" w:rsidR="00393272" w:rsidRDefault="0076669A" w:rsidP="00393272">
      <w:pPr>
        <w:spacing w:line="276" w:lineRule="auto"/>
        <w:ind w:firstLine="720"/>
        <w:contextualSpacing/>
        <w:jc w:val="both"/>
      </w:pPr>
      <w:r>
        <w:rPr>
          <w:rFonts w:ascii="TimesNewRomanPSMT" w:hAnsi="TimesNewRomanPSMT" w:cs="TimesNewRomanPSMT"/>
        </w:rPr>
        <w:t xml:space="preserve">Savukārt atbilstoši Kriminālprocesa likuma 569.panta pirmajai un trešajai daļai kasācijas instances tiesa lietu pēc būtības neizskata, pierādījumus lietā no jauna neizvērtē. </w:t>
      </w:r>
    </w:p>
    <w:p w14:paraId="09E5C49F" w14:textId="492B8B29" w:rsidR="00393272" w:rsidRDefault="0076669A" w:rsidP="00393272">
      <w:pPr>
        <w:spacing w:line="276" w:lineRule="auto"/>
        <w:ind w:firstLine="720"/>
        <w:contextualSpacing/>
        <w:jc w:val="both"/>
      </w:pPr>
      <w:r>
        <w:rPr>
          <w:rFonts w:ascii="TimesNewRomanPSMT" w:hAnsi="TimesNewRomanPSMT" w:cs="TimesNewRomanPSMT"/>
        </w:rPr>
        <w:t>[6.2] </w:t>
      </w:r>
      <w:r w:rsidR="002F7DB0">
        <w:rPr>
          <w:rFonts w:ascii="TimesNewRomanPSMT" w:hAnsi="TimesNewRomanPSMT" w:cs="TimesNewRomanPSMT"/>
        </w:rPr>
        <w:t>Atzīstot par pamatotu apelācijas protestā norādīto par pirmās instances tiesas pieļauto Kriminālprocesa likuma 527.panta pārkāpumu</w:t>
      </w:r>
      <w:r w:rsidR="00447A6C">
        <w:rPr>
          <w:rFonts w:ascii="TimesNewRomanPSMT" w:hAnsi="TimesNewRomanPSMT" w:cs="TimesNewRomanPSMT"/>
        </w:rPr>
        <w:t>,</w:t>
      </w:r>
      <w:r w:rsidR="002F7DB0">
        <w:rPr>
          <w:rFonts w:ascii="TimesNewRomanPSMT" w:hAnsi="TimesNewRomanPSMT" w:cs="TimesNewRomanPSMT"/>
        </w:rPr>
        <w:t xml:space="preserve"> sprieduma aprakstošajā daļā nenorādot apsūdzētā vainas formu, apelācijas instances tiesa atbilstoši Kriminālprocesa likuma 564.panta ceturtajai daļai sniegusi jaunu noziedzīgā nodarījuma aprakstu. Vienlaikus</w:t>
      </w:r>
      <w:r w:rsidR="00447A6C">
        <w:rPr>
          <w:rFonts w:ascii="TimesNewRomanPSMT" w:hAnsi="TimesNewRomanPSMT" w:cs="TimesNewRomanPSMT"/>
        </w:rPr>
        <w:t>,</w:t>
      </w:r>
      <w:r w:rsidR="002F7DB0">
        <w:rPr>
          <w:rFonts w:ascii="TimesNewRomanPSMT" w:hAnsi="TimesNewRomanPSMT" w:cs="TimesNewRomanPSMT"/>
        </w:rPr>
        <w:t xml:space="preserve"> izvērtējot pirmās instances tiesas sprieduma motīvu daļā norādītos pierādījumus, uz kuriem pamatoti tās secinājumi par </w:t>
      </w:r>
      <w:r w:rsidR="00A45609">
        <w:rPr>
          <w:rFonts w:ascii="TimesNewRomanPSMT" w:hAnsi="TimesNewRomanPSMT" w:cs="TimesNewRomanPSMT"/>
        </w:rPr>
        <w:t xml:space="preserve">apsūdzētā </w:t>
      </w:r>
      <w:r w:rsidR="00981F6D">
        <w:rPr>
          <w:rFonts w:ascii="TimesNewRomanPSMT" w:hAnsi="TimesNewRomanPSMT" w:cs="TimesNewRomanPSMT"/>
        </w:rPr>
        <w:t>[pers. A]</w:t>
      </w:r>
      <w:r w:rsidR="002F7DB0">
        <w:rPr>
          <w:rFonts w:ascii="TimesNewRomanPSMT" w:hAnsi="TimesNewRomanPSMT" w:cs="TimesNewRomanPSMT"/>
        </w:rPr>
        <w:t xml:space="preserve"> vainīgumu</w:t>
      </w:r>
      <w:r w:rsidR="00A45609">
        <w:rPr>
          <w:rFonts w:ascii="TimesNewRomanPSMT" w:hAnsi="TimesNewRomanPSMT" w:cs="TimesNewRomanPSMT"/>
        </w:rPr>
        <w:t>, tai skaitā par apsūdzētā vainas formu</w:t>
      </w:r>
      <w:r w:rsidR="00E70E2E">
        <w:rPr>
          <w:rFonts w:ascii="TimesNewRomanPSMT" w:hAnsi="TimesNewRomanPSMT" w:cs="TimesNewRomanPSMT"/>
        </w:rPr>
        <w:t xml:space="preserve">, proti, ka </w:t>
      </w:r>
      <w:r w:rsidR="00981F6D">
        <w:rPr>
          <w:rFonts w:ascii="TimesNewRomanPSMT" w:hAnsi="TimesNewRomanPSMT" w:cs="TimesNewRomanPSMT"/>
        </w:rPr>
        <w:t>[pers. D]</w:t>
      </w:r>
      <w:r w:rsidR="00E70E2E">
        <w:rPr>
          <w:rFonts w:ascii="TimesNewRomanPSMT" w:hAnsi="TimesNewRomanPSMT" w:cs="TimesNewRomanPSMT"/>
        </w:rPr>
        <w:t xml:space="preserve"> slepkavību apsūdzētais </w:t>
      </w:r>
      <w:r w:rsidR="00981F6D">
        <w:rPr>
          <w:rFonts w:ascii="TimesNewRomanPSMT" w:hAnsi="TimesNewRomanPSMT" w:cs="TimesNewRomanPSMT"/>
        </w:rPr>
        <w:t>[pers. A]</w:t>
      </w:r>
      <w:r w:rsidR="00E70E2E">
        <w:rPr>
          <w:rFonts w:ascii="TimesNewRomanPSMT" w:hAnsi="TimesNewRomanPSMT" w:cs="TimesNewRomanPSMT"/>
        </w:rPr>
        <w:t xml:space="preserve"> izdarījis ar netiešu nodomu,</w:t>
      </w:r>
      <w:r w:rsidR="00A45609">
        <w:rPr>
          <w:rFonts w:ascii="TimesNewRomanPSMT" w:hAnsi="TimesNewRomanPSMT" w:cs="TimesNewRomanPSMT"/>
        </w:rPr>
        <w:t xml:space="preserve"> apelācijas instances tiesa atzinusi par iespējamu neatkārtot pirmās instances tiesas spriedumā minētos pierādījumus un atzinumus.</w:t>
      </w:r>
    </w:p>
    <w:p w14:paraId="0C534FE3" w14:textId="26BF10C2" w:rsidR="00393272" w:rsidRDefault="00D70166" w:rsidP="00393272">
      <w:pPr>
        <w:spacing w:line="276" w:lineRule="auto"/>
        <w:ind w:firstLine="720"/>
        <w:contextualSpacing/>
        <w:jc w:val="both"/>
      </w:pPr>
      <w:r>
        <w:t xml:space="preserve">Lai arī apelācijas instances tiesa ir piekritusi pirmās instances tiesas spriedumā paustajiem atzinumiem un nav konstatējusi pamatu atkārtotai pierādījumu izvērtēšanai, no tās nolēmuma satura konstatējams, ka apelācijas instances tiesa ir pārbaudījusi un izvērtējusi pirmās instances tiesas spriedumā minētos pierādījumus saistībā ar </w:t>
      </w:r>
      <w:r w:rsidR="00981F6D">
        <w:t>[pers. A]</w:t>
      </w:r>
      <w:r>
        <w:t xml:space="preserve"> apelācijas sūdzībā izteiktajiem argumentiem.</w:t>
      </w:r>
    </w:p>
    <w:p w14:paraId="28F198B9" w14:textId="302B16E4" w:rsidR="00393272" w:rsidRDefault="0065395B" w:rsidP="00393272">
      <w:pPr>
        <w:spacing w:line="276" w:lineRule="auto"/>
        <w:ind w:firstLine="720"/>
        <w:contextualSpacing/>
        <w:jc w:val="both"/>
      </w:pPr>
      <w:r>
        <w:t>[</w:t>
      </w:r>
      <w:r w:rsidR="0076669A">
        <w:t>6</w:t>
      </w:r>
      <w:r>
        <w:t>.</w:t>
      </w:r>
      <w:r w:rsidR="0076669A">
        <w:t>3</w:t>
      </w:r>
      <w:r>
        <w:t xml:space="preserve">] Senāts atzīst par nepamatotu apsūdzētā </w:t>
      </w:r>
      <w:r w:rsidR="00981F6D">
        <w:t>[pers. A]</w:t>
      </w:r>
      <w:r>
        <w:t xml:space="preserve"> kasācijas sūdzībā pausto apgalvojumu par viņa nodarījuma nepareizu kvalifi</w:t>
      </w:r>
      <w:r w:rsidR="0080283B">
        <w:t>kāciju</w:t>
      </w:r>
      <w:r>
        <w:t xml:space="preserve"> pēc Krimināllikuma 116.panta. Apelācijas instances tiesa, tāpat kā pirmās instances tiesa, </w:t>
      </w:r>
      <w:r w:rsidR="00F12745">
        <w:t>[pers. A]</w:t>
      </w:r>
      <w:r>
        <w:t xml:space="preserve"> darbībās konstatējusi visas nepieciešamās un obligātās Krimināllikuma 116.pantā paredzētā noziedzīgā nodarījuma sastāva pazīmes.</w:t>
      </w:r>
    </w:p>
    <w:p w14:paraId="6989D2FD" w14:textId="36574D9A" w:rsidR="008079F0" w:rsidRDefault="00922E0D" w:rsidP="00393272">
      <w:pPr>
        <w:spacing w:line="276" w:lineRule="auto"/>
        <w:ind w:firstLine="720"/>
        <w:contextualSpacing/>
        <w:jc w:val="both"/>
      </w:pPr>
      <w:r>
        <w:t>Izvērtēj</w:t>
      </w:r>
      <w:r w:rsidR="0076669A">
        <w:t>ot</w:t>
      </w:r>
      <w:r w:rsidR="00402B3F">
        <w:t xml:space="preserve"> apsūdzētā</w:t>
      </w:r>
      <w:r>
        <w:t xml:space="preserve"> </w:t>
      </w:r>
      <w:r w:rsidR="00F12745">
        <w:t>[pers. A]</w:t>
      </w:r>
      <w:r w:rsidR="00447A6C">
        <w:t xml:space="preserve"> apelācijas</w:t>
      </w:r>
      <w:r w:rsidR="0065395B">
        <w:t xml:space="preserve"> </w:t>
      </w:r>
      <w:r>
        <w:t xml:space="preserve">sūdzībā pausto </w:t>
      </w:r>
      <w:r w:rsidR="00402B3F">
        <w:t>apgalvojumu, ka</w:t>
      </w:r>
      <w:r w:rsidR="00F85885">
        <w:t xml:space="preserve"> </w:t>
      </w:r>
      <w:r w:rsidR="00D70166">
        <w:t>viņ</w:t>
      </w:r>
      <w:r w:rsidR="00F85885">
        <w:t>am nav bijis no</w:t>
      </w:r>
      <w:r>
        <w:t>dom</w:t>
      </w:r>
      <w:r w:rsidR="002D4A31">
        <w:t>a</w:t>
      </w:r>
      <w:r w:rsidR="00F85885">
        <w:t xml:space="preserve"> nonāvēt </w:t>
      </w:r>
      <w:r w:rsidR="00F12745">
        <w:t>[pers. D]</w:t>
      </w:r>
      <w:r w:rsidR="0076669A">
        <w:t>,</w:t>
      </w:r>
      <w:r w:rsidR="00F85885">
        <w:t xml:space="preserve"> un</w:t>
      </w:r>
      <w:r w:rsidR="0065395B">
        <w:t xml:space="preserve"> noraidot </w:t>
      </w:r>
      <w:r w:rsidR="005701FC">
        <w:t>to</w:t>
      </w:r>
      <w:r w:rsidR="00F85885">
        <w:t xml:space="preserve"> kā nepamatotu</w:t>
      </w:r>
      <w:r w:rsidR="0076669A">
        <w:t>, kā arī</w:t>
      </w:r>
      <w:r w:rsidR="0065395B">
        <w:t xml:space="preserve"> atsaucoties</w:t>
      </w:r>
      <w:r w:rsidR="00402B3F">
        <w:t xml:space="preserve"> uz</w:t>
      </w:r>
      <w:r>
        <w:t xml:space="preserve"> </w:t>
      </w:r>
      <w:r w:rsidR="00402B3F">
        <w:t xml:space="preserve">pirmās </w:t>
      </w:r>
      <w:r w:rsidR="00402B3F">
        <w:lastRenderedPageBreak/>
        <w:t>instances tiesa</w:t>
      </w:r>
      <w:r>
        <w:t xml:space="preserve">s spriedumā izdarītajiem secinājumiem, kas pamatoti </w:t>
      </w:r>
      <w:r w:rsidR="0076669A">
        <w:t>ar</w:t>
      </w:r>
      <w:r>
        <w:t xml:space="preserve"> pirmās instances tiesā pārbaudītiem un spriedumā izvērtētiem pierādījumiem</w:t>
      </w:r>
      <w:r w:rsidR="008079F0">
        <w:t xml:space="preserve">, apelācijas instances tiesa atzinusi, ka </w:t>
      </w:r>
      <w:r w:rsidR="00F12745">
        <w:t>[pers. A]</w:t>
      </w:r>
      <w:r w:rsidR="008079F0">
        <w:t xml:space="preserve"> darbības p</w:t>
      </w:r>
      <w:r w:rsidR="0065395B">
        <w:t>a</w:t>
      </w:r>
      <w:r w:rsidR="002D4A31">
        <w:t>reiz</w:t>
      </w:r>
      <w:r w:rsidR="0065395B">
        <w:t>i</w:t>
      </w:r>
      <w:r w:rsidR="008079F0">
        <w:t xml:space="preserve"> kvalificē</w:t>
      </w:r>
      <w:r w:rsidR="0065395B">
        <w:t>tas</w:t>
      </w:r>
      <w:r w:rsidR="008079F0">
        <w:t xml:space="preserve"> pēc Krimināllikuma 116.panta kā ar netiešu nodomu izdarīt</w:t>
      </w:r>
      <w:r w:rsidR="0065395B">
        <w:t>a</w:t>
      </w:r>
      <w:r w:rsidR="008079F0">
        <w:t xml:space="preserve"> slepkavīb</w:t>
      </w:r>
      <w:r w:rsidR="0065395B">
        <w:t>a</w:t>
      </w:r>
      <w:r w:rsidR="008079F0">
        <w:t>.</w:t>
      </w:r>
    </w:p>
    <w:p w14:paraId="384DF2FE" w14:textId="77777777" w:rsidR="00407563" w:rsidRDefault="008079F0" w:rsidP="00407563">
      <w:pPr>
        <w:spacing w:line="276" w:lineRule="auto"/>
        <w:ind w:firstLine="720"/>
        <w:contextualSpacing/>
        <w:jc w:val="both"/>
      </w:pPr>
      <w:r>
        <w:t>Lai personas darbības kvalificētu pēc Krimināllikuma 116.panta kā izdarītas ar netiešu nodomu, jākonstatē, ka tā apzinājusies savas darbības vai bezdarbības kaitīgumu, paredzējusi, ka viņas nodarījuma rezultātā var iestāties cietušā nāve, un, kaut arī sekas nav vēlējusies, tomēr apzināti pieļāvusi nāves iestāšanos vai bijusi vienaldzīga pret to.</w:t>
      </w:r>
      <w:r w:rsidR="00407563">
        <w:t xml:space="preserve"> </w:t>
      </w:r>
      <w:r>
        <w:t>Noskaidrojot vainīgā nodoma saturu, jāpamatojas uz izdarītā noziedzīgā nodarījuma apstākļu kopumu, īpaši ņemot vērā nozieguma izdarīšanas veidu un rīkus, brūču un citu miesas bojājumu daudzumu, raksturu un lokalizāciju, vainīgā noziedzīgo darbību pārtraukšanas iemeslu un viņa rīcību</w:t>
      </w:r>
      <w:r w:rsidR="00407563">
        <w:t xml:space="preserve"> pēc noziedzīgā nodarījuma izdarīšanas.</w:t>
      </w:r>
    </w:p>
    <w:p w14:paraId="65B1495F" w14:textId="0AD87F71" w:rsidR="00FB5F98" w:rsidRDefault="00407563" w:rsidP="00407563">
      <w:pPr>
        <w:spacing w:line="276" w:lineRule="auto"/>
        <w:ind w:firstLine="720"/>
        <w:contextualSpacing/>
        <w:jc w:val="both"/>
      </w:pPr>
      <w:r>
        <w:t>Apelācijas instances tiesa atzinusi</w:t>
      </w:r>
      <w:r w:rsidR="00A63919">
        <w:t xml:space="preserve"> par pamatotu pirmās instances tiesas secināto par konstatēto cēloņsakarību starp apsūdzētā </w:t>
      </w:r>
      <w:r w:rsidR="00F12745">
        <w:t>[pers. A]</w:t>
      </w:r>
      <w:r w:rsidR="00A63919">
        <w:t xml:space="preserve"> darbībām un </w:t>
      </w:r>
      <w:r w:rsidR="00F12745">
        <w:t>[pers. D]</w:t>
      </w:r>
      <w:r w:rsidR="00A63919">
        <w:t xml:space="preserve"> līķa tiesu medicīniskās ekspertīzes laikā konstatēto politraumu</w:t>
      </w:r>
      <w:r w:rsidR="00E823FB">
        <w:t>, par cēloņsakarību</w:t>
      </w:r>
      <w:r w:rsidR="00A63919">
        <w:t xml:space="preserve"> starp šo traumu un </w:t>
      </w:r>
      <w:r w:rsidR="00F12745">
        <w:t>[pers. D]</w:t>
      </w:r>
      <w:r w:rsidR="00A63919">
        <w:t xml:space="preserve"> nāvi</w:t>
      </w:r>
      <w:r w:rsidR="00E823FB">
        <w:t xml:space="preserve">. Apelācijas instances tiesa nav arī apšaubījusi līķa tiesu medicīniskās ekspertīzes atzinumā secināto par spēka pielikšanas vietām un to skaitu uz </w:t>
      </w:r>
      <w:r w:rsidR="00F12745">
        <w:t>[pers. D]</w:t>
      </w:r>
      <w:r w:rsidR="00E823FB">
        <w:t xml:space="preserve"> ķermeņa.</w:t>
      </w:r>
      <w:r>
        <w:t xml:space="preserve"> Proti</w:t>
      </w:r>
      <w:r w:rsidR="00413E20">
        <w:t xml:space="preserve">, ka </w:t>
      </w:r>
      <w:r w:rsidR="00F12745">
        <w:t>[pers. D]</w:t>
      </w:r>
      <w:r w:rsidR="002D4A31">
        <w:t xml:space="preserve"> saņēmis</w:t>
      </w:r>
      <w:r>
        <w:t xml:space="preserve"> </w:t>
      </w:r>
      <w:r w:rsidR="00E823FB">
        <w:t>d</w:t>
      </w:r>
      <w:r w:rsidR="002D4A31">
        <w:t>ivdesmit deviņus sitienus</w:t>
      </w:r>
      <w:r>
        <w:t xml:space="preserve"> pa </w:t>
      </w:r>
      <w:r w:rsidR="0088293B">
        <w:t>cilvēka dzīvība</w:t>
      </w:r>
      <w:r w:rsidR="002D4A31">
        <w:t>s funkciju nodrošināšanai</w:t>
      </w:r>
      <w:r w:rsidR="0088293B">
        <w:t xml:space="preserve"> svarīgiem</w:t>
      </w:r>
      <w:r w:rsidR="002D4A31">
        <w:t xml:space="preserve"> </w:t>
      </w:r>
      <w:r w:rsidR="0088293B">
        <w:t>orgānie</w:t>
      </w:r>
      <w:r w:rsidR="00FB5F98">
        <w:t>m</w:t>
      </w:r>
      <w:r w:rsidR="002D4A31">
        <w:t>, t</w:t>
      </w:r>
      <w:r w:rsidR="00E823FB">
        <w:t>ostarp</w:t>
      </w:r>
      <w:r w:rsidR="002D4A31">
        <w:t xml:space="preserve"> galvu.</w:t>
      </w:r>
    </w:p>
    <w:p w14:paraId="56F06FDA" w14:textId="50FC23EC" w:rsidR="00A208BE" w:rsidRDefault="002D4A31" w:rsidP="00407563">
      <w:pPr>
        <w:spacing w:line="276" w:lineRule="auto"/>
        <w:ind w:firstLine="720"/>
        <w:contextualSpacing/>
        <w:jc w:val="both"/>
      </w:pPr>
      <w:r>
        <w:t>P</w:t>
      </w:r>
      <w:r w:rsidR="00FB5F98">
        <w:t>retēji kasācijas sūdzībā norādītajam</w:t>
      </w:r>
      <w:r>
        <w:t xml:space="preserve"> pirmās instances tiesa</w:t>
      </w:r>
      <w:r w:rsidR="00FB5F98">
        <w:t xml:space="preserve"> ir izvērtējusi </w:t>
      </w:r>
      <w:r w:rsidR="00413E20">
        <w:t xml:space="preserve">arī </w:t>
      </w:r>
      <w:r w:rsidR="00FB5F98">
        <w:t xml:space="preserve">liecinieka </w:t>
      </w:r>
      <w:r w:rsidR="00F12745">
        <w:t>[pers. C]</w:t>
      </w:r>
      <w:r w:rsidR="00FB5F98">
        <w:t xml:space="preserve"> liecības, ka pēc miesas bojājumu nodarīšanas dzīvoklī viņ</w:t>
      </w:r>
      <w:r>
        <w:t xml:space="preserve">š kopā ar apsūdzēto </w:t>
      </w:r>
      <w:r w:rsidR="00FB5F98">
        <w:t xml:space="preserve">iznesuši no dzīvokļa </w:t>
      </w:r>
      <w:r w:rsidR="00F12745">
        <w:t>[pers. D]</w:t>
      </w:r>
      <w:r w:rsidR="00FB5F98">
        <w:t>, kurš vēl bijis dzīvs, un atstājuši viņu uz ielas.</w:t>
      </w:r>
      <w:r w:rsidR="00E8691F">
        <w:t xml:space="preserve"> </w:t>
      </w:r>
      <w:r w:rsidR="00E823FB">
        <w:t>T</w:t>
      </w:r>
      <w:r w:rsidR="00E8691F">
        <w:t xml:space="preserve">iesa izvērtējusi arī liecinieka </w:t>
      </w:r>
      <w:r w:rsidR="00F12745">
        <w:t>[pers. E]</w:t>
      </w:r>
      <w:r w:rsidR="00E8691F">
        <w:t xml:space="preserve"> liecības, ka </w:t>
      </w:r>
      <w:r w:rsidR="00413E20">
        <w:t xml:space="preserve">pēc </w:t>
      </w:r>
      <w:r w:rsidR="00F12745">
        <w:t>[pers. D]</w:t>
      </w:r>
      <w:r w:rsidR="00413E20">
        <w:t xml:space="preserve"> piekaušanas dzīvoklī </w:t>
      </w:r>
      <w:r w:rsidR="00F12745">
        <w:t>[pers. A]</w:t>
      </w:r>
      <w:r w:rsidR="00413E20">
        <w:t xml:space="preserve"> cietušajam sitis un spēris pa galvu arī tad, </w:t>
      </w:r>
      <w:r w:rsidR="00E8691F">
        <w:t>kad cietušais</w:t>
      </w:r>
      <w:r w:rsidR="00E823FB">
        <w:t xml:space="preserve"> iznests no dzīvokļa un</w:t>
      </w:r>
      <w:r w:rsidR="00E8691F">
        <w:t xml:space="preserve"> </w:t>
      </w:r>
      <w:r w:rsidR="00E823FB">
        <w:t>atradies</w:t>
      </w:r>
      <w:r w:rsidR="0065395B">
        <w:t xml:space="preserve"> zemē</w:t>
      </w:r>
      <w:r w:rsidR="00E8691F">
        <w:t xml:space="preserve"> uz ielas.</w:t>
      </w:r>
      <w:r w:rsidR="00A208BE">
        <w:t xml:space="preserve"> </w:t>
      </w:r>
      <w:r w:rsidR="00ED0CC8">
        <w:t xml:space="preserve">Tāpat pirmās instances tiesa izvērtējusi liecinieka </w:t>
      </w:r>
      <w:r w:rsidR="00F12745">
        <w:t>[pers. F]</w:t>
      </w:r>
      <w:r w:rsidR="00ED0CC8">
        <w:t xml:space="preserve"> liecības, ka</w:t>
      </w:r>
      <w:r w:rsidR="00BE5EE7">
        <w:t xml:space="preserve"> </w:t>
      </w:r>
      <w:r w:rsidR="00E823FB">
        <w:t xml:space="preserve">pēc kautiņa </w:t>
      </w:r>
      <w:r w:rsidR="00BE5EE7">
        <w:t>kaimiņu dzīvoklī pa logu redzējis, ka</w:t>
      </w:r>
      <w:r w:rsidR="00ED0CC8">
        <w:t xml:space="preserve"> </w:t>
      </w:r>
      <w:r w:rsidR="00BE5EE7">
        <w:t xml:space="preserve">kaimiņš </w:t>
      </w:r>
      <w:r w:rsidR="00F12745">
        <w:t>[pers. A]</w:t>
      </w:r>
      <w:r w:rsidR="00BE5EE7">
        <w:t xml:space="preserve"> sper zemē gulošam cilvēkam pa seju. </w:t>
      </w:r>
      <w:r w:rsidR="00413E20">
        <w:t>Pirmās instances tiesa atzinusi, ka lieciniek</w:t>
      </w:r>
      <w:r w:rsidR="00BE5EE7">
        <w:t>u</w:t>
      </w:r>
      <w:r w:rsidR="00413E20">
        <w:t xml:space="preserve"> </w:t>
      </w:r>
      <w:r w:rsidR="00F12745">
        <w:t>[pers. E]</w:t>
      </w:r>
      <w:r w:rsidR="00BE5EE7">
        <w:t xml:space="preserve"> un </w:t>
      </w:r>
      <w:r w:rsidR="00F12745">
        <w:t>[pers. F]</w:t>
      </w:r>
      <w:r w:rsidR="00413E20">
        <w:t xml:space="preserve"> liecības apstiprina </w:t>
      </w:r>
      <w:r w:rsidR="00A208BE">
        <w:t>apsūdzēt</w:t>
      </w:r>
      <w:r w:rsidR="00413E20">
        <w:t>ā</w:t>
      </w:r>
      <w:r w:rsidR="00A208BE">
        <w:t xml:space="preserve"> </w:t>
      </w:r>
      <w:r w:rsidR="00F12745">
        <w:t>[pers. A]</w:t>
      </w:r>
      <w:r w:rsidR="004B638F">
        <w:t xml:space="preserve"> </w:t>
      </w:r>
      <w:r w:rsidR="00A208BE">
        <w:t>pirmstiesas procesā</w:t>
      </w:r>
      <w:r w:rsidR="00413E20">
        <w:t xml:space="preserve"> sniegtās liecības</w:t>
      </w:r>
      <w:r w:rsidR="00BE5EE7">
        <w:t xml:space="preserve">, ka </w:t>
      </w:r>
      <w:r w:rsidR="00F12745">
        <w:t>[pers. D]</w:t>
      </w:r>
      <w:r w:rsidR="00BE5EE7">
        <w:t xml:space="preserve"> viņš sitis arī uz ielas</w:t>
      </w:r>
      <w:r w:rsidR="00A208BE">
        <w:t>.</w:t>
      </w:r>
      <w:r w:rsidR="004B638F">
        <w:t xml:space="preserve"> </w:t>
      </w:r>
      <w:r w:rsidR="0080283B">
        <w:t xml:space="preserve">Turklāt liecības par to, ka </w:t>
      </w:r>
      <w:r w:rsidR="00F12745">
        <w:t>[pers. D]</w:t>
      </w:r>
      <w:r w:rsidR="0080283B">
        <w:t xml:space="preserve"> viņš sitis arī uz ielas, apsūdzētais sniedzis aizstāvja klātbūtnē.</w:t>
      </w:r>
    </w:p>
    <w:p w14:paraId="1A0AB9E7" w14:textId="1AE72D93" w:rsidR="00413E20" w:rsidRDefault="00A208BE" w:rsidP="00407563">
      <w:pPr>
        <w:spacing w:line="276" w:lineRule="auto"/>
        <w:ind w:firstLine="720"/>
        <w:contextualSpacing/>
        <w:jc w:val="both"/>
      </w:pPr>
      <w:r>
        <w:t>Apelācijas instances tiesa nav konstatējusi Kriminālprocesa likuma 128.panta pārkāpumu</w:t>
      </w:r>
      <w:r w:rsidR="004B638F">
        <w:t xml:space="preserve"> pierādījumu izvērtēšanā</w:t>
      </w:r>
      <w:r w:rsidR="0065395B">
        <w:t>.</w:t>
      </w:r>
      <w:r w:rsidR="004B638F">
        <w:t xml:space="preserve"> </w:t>
      </w:r>
      <w:r w:rsidR="0065395B">
        <w:t>Savukārt Senāts nekonstatē Kriminālprocesa likuma pārkāpumus pierādījumu izvērtēšanā apelācijas instances tiesā</w:t>
      </w:r>
      <w:r w:rsidR="004B638F">
        <w:t>.</w:t>
      </w:r>
    </w:p>
    <w:p w14:paraId="01E69922" w14:textId="41EE9665" w:rsidR="00BE71A6" w:rsidRDefault="004B638F" w:rsidP="00E70E2E">
      <w:pPr>
        <w:spacing w:line="276" w:lineRule="auto"/>
        <w:ind w:firstLine="720"/>
        <w:contextualSpacing/>
        <w:jc w:val="both"/>
      </w:pPr>
      <w:r>
        <w:t>[</w:t>
      </w:r>
      <w:r w:rsidR="0076669A">
        <w:t>6</w:t>
      </w:r>
      <w:r w:rsidR="00CE6A48">
        <w:t>.</w:t>
      </w:r>
      <w:r w:rsidR="0076669A">
        <w:t>4</w:t>
      </w:r>
      <w:r>
        <w:t>] </w:t>
      </w:r>
      <w:r w:rsidR="0065395B">
        <w:t>Senāts atzīst par nepamatotu</w:t>
      </w:r>
      <w:r w:rsidR="00413E20">
        <w:t xml:space="preserve"> apsūdzētā </w:t>
      </w:r>
      <w:r w:rsidR="00F12745">
        <w:t>[pers. A]</w:t>
      </w:r>
      <w:r w:rsidR="00413E20">
        <w:t xml:space="preserve"> kasācijas sūdzībā paust</w:t>
      </w:r>
      <w:r w:rsidR="0065395B">
        <w:t>o</w:t>
      </w:r>
      <w:r w:rsidR="00413E20">
        <w:t xml:space="preserve"> apgalvojum</w:t>
      </w:r>
      <w:r w:rsidR="002C3A6A">
        <w:t>u</w:t>
      </w:r>
      <w:r w:rsidR="00413E20">
        <w:t xml:space="preserve">, ka nav aicināti un uzklausīti aizstāvības liecinieki. Lietas materiālos nav informācijas par to, ka apsūdzētais </w:t>
      </w:r>
      <w:r w:rsidR="00F12745">
        <w:t>[pers. A]</w:t>
      </w:r>
      <w:r w:rsidR="00413E20">
        <w:t xml:space="preserve"> </w:t>
      </w:r>
      <w:r w:rsidR="00A63919">
        <w:t xml:space="preserve">vai viņa aizstāvis būtu pieteikuši lūgumu aicināt </w:t>
      </w:r>
      <w:r w:rsidR="00512DEE">
        <w:t xml:space="preserve">un uzklausīt </w:t>
      </w:r>
      <w:r w:rsidR="00A63919">
        <w:t>papildu lieciniekus</w:t>
      </w:r>
      <w:r w:rsidR="00512DEE">
        <w:t>.</w:t>
      </w:r>
    </w:p>
    <w:p w14:paraId="4BFE85BA" w14:textId="7991ADA2" w:rsidR="00DC253C" w:rsidRDefault="00DC253C" w:rsidP="00E70E2E">
      <w:pPr>
        <w:spacing w:line="276" w:lineRule="auto"/>
        <w:ind w:firstLine="720"/>
        <w:contextualSpacing/>
        <w:jc w:val="both"/>
      </w:pPr>
    </w:p>
    <w:p w14:paraId="7E5D198B" w14:textId="029EB269" w:rsidR="00B73522" w:rsidRDefault="00DC253C" w:rsidP="00DC253C">
      <w:pPr>
        <w:pStyle w:val="tv213"/>
        <w:spacing w:before="0" w:beforeAutospacing="0" w:after="0" w:afterAutospacing="0" w:line="276" w:lineRule="auto"/>
        <w:ind w:firstLine="720"/>
        <w:contextualSpacing/>
        <w:jc w:val="both"/>
      </w:pPr>
      <w:r>
        <w:t>[</w:t>
      </w:r>
      <w:r w:rsidR="00E70E2E">
        <w:t>7</w:t>
      </w:r>
      <w:r>
        <w:t xml:space="preserve">] Apsūdzētajam </w:t>
      </w:r>
      <w:r w:rsidR="00F12745">
        <w:t>[pers. A]</w:t>
      </w:r>
      <w:r>
        <w:t xml:space="preserve"> pirmstiesas proce</w:t>
      </w:r>
      <w:r w:rsidR="00B73522">
        <w:t>sā piemērots drošības līdzeklis </w:t>
      </w:r>
      <w:r>
        <w:t xml:space="preserve">– </w:t>
      </w:r>
      <w:r w:rsidR="00B73522">
        <w:t> </w:t>
      </w:r>
      <w:r w:rsidR="004558AB">
        <w:t>apcietinājums</w:t>
      </w:r>
      <w:r w:rsidR="00A91F0A" w:rsidRPr="00A91F0A">
        <w:t>.</w:t>
      </w:r>
    </w:p>
    <w:p w14:paraId="52284D33" w14:textId="18353E66" w:rsidR="00F87E5E" w:rsidRDefault="00F87E5E" w:rsidP="00DC253C">
      <w:pPr>
        <w:pStyle w:val="tv213"/>
        <w:spacing w:before="0" w:beforeAutospacing="0" w:after="0" w:afterAutospacing="0" w:line="276" w:lineRule="auto"/>
        <w:ind w:firstLine="720"/>
        <w:contextualSpacing/>
        <w:jc w:val="both"/>
      </w:pPr>
      <w:r>
        <w:t>Pirmās instances tiesa</w:t>
      </w:r>
      <w:r w:rsidR="00E70E2E">
        <w:t xml:space="preserve"> un a</w:t>
      </w:r>
      <w:r>
        <w:t>pelācijas instances tiesa</w:t>
      </w:r>
      <w:r w:rsidR="00E70E2E">
        <w:t xml:space="preserve"> </w:t>
      </w:r>
      <w:r w:rsidR="00F12745">
        <w:t>[pers. A]</w:t>
      </w:r>
      <w:r w:rsidR="00E70E2E">
        <w:t xml:space="preserve"> piemēroto drošības līdzekli atstājusi negro</w:t>
      </w:r>
      <w:r w:rsidR="003C2A05">
        <w:t>z</w:t>
      </w:r>
      <w:r w:rsidR="00E70E2E">
        <w:t>ītu</w:t>
      </w:r>
      <w:r>
        <w:t>.</w:t>
      </w:r>
    </w:p>
    <w:p w14:paraId="11B136BB" w14:textId="77777777" w:rsidR="00F87E5E" w:rsidRDefault="00F87E5E" w:rsidP="00DC253C">
      <w:pPr>
        <w:pStyle w:val="tv213"/>
        <w:spacing w:before="0" w:beforeAutospacing="0" w:after="0" w:afterAutospacing="0" w:line="276" w:lineRule="auto"/>
        <w:ind w:firstLine="720"/>
        <w:contextualSpacing/>
        <w:jc w:val="both"/>
      </w:pPr>
      <w:r>
        <w:t>Kriminālprocesa likuma 272.panta ceturtā daļā noteic, ka pamats apcietinājumam var būt tiesas spriedums par smaga vai sevišķi smaga nozieguma izdarīšanu, par kuru piespriests brīvības atņemšanas sods.</w:t>
      </w:r>
    </w:p>
    <w:p w14:paraId="2765F6A9" w14:textId="1F5D3A43" w:rsidR="00F87E5E" w:rsidRDefault="00F87E5E" w:rsidP="00DC253C">
      <w:pPr>
        <w:pStyle w:val="tv213"/>
        <w:spacing w:before="0" w:beforeAutospacing="0" w:after="0" w:afterAutospacing="0" w:line="276" w:lineRule="auto"/>
        <w:ind w:firstLine="720"/>
        <w:contextualSpacing/>
        <w:jc w:val="both"/>
      </w:pPr>
      <w:r>
        <w:lastRenderedPageBreak/>
        <w:t xml:space="preserve">Ar pirmās instances tiesas spriedumu </w:t>
      </w:r>
      <w:r w:rsidR="00F12745">
        <w:t>[pers. A]</w:t>
      </w:r>
      <w:r>
        <w:t xml:space="preserve"> atzīts par vainīgu sevišķi smaga nozieguma izdarīšanā un sodīts ar ilgstošu brīvības atņemšanas sodu.</w:t>
      </w:r>
    </w:p>
    <w:p w14:paraId="481DE9F2" w14:textId="0EA8DE09" w:rsidR="00F87E5E" w:rsidRDefault="00F87E5E" w:rsidP="00DC253C">
      <w:pPr>
        <w:pStyle w:val="tv213"/>
        <w:spacing w:before="0" w:beforeAutospacing="0" w:after="0" w:afterAutospacing="0" w:line="276" w:lineRule="auto"/>
        <w:ind w:firstLine="720"/>
        <w:contextualSpacing/>
        <w:jc w:val="both"/>
      </w:pPr>
      <w:r>
        <w:t xml:space="preserve">Ievērojot to, ka </w:t>
      </w:r>
      <w:r w:rsidR="00F12745">
        <w:t>[pers. A]</w:t>
      </w:r>
      <w:r>
        <w:t xml:space="preserve"> atzīts par vainīgu sevišķi smaga nozieguma izdarīšanā un sodīts ar brīvības atņemšanas sodu, bet apelācijas instances tiesas nolēmums atcelts daļā par cietušās </w:t>
      </w:r>
      <w:r w:rsidR="00F12745">
        <w:t>[pers. B]</w:t>
      </w:r>
      <w:r>
        <w:t xml:space="preserve"> labā piedzītā morālā kaitējuma kompensācijas apmēru, Senāts atzīst, ka šajā kriminālprocesa stadijā apsūdzētajam jāturpina drošības līdzek</w:t>
      </w:r>
      <w:r w:rsidR="00E70E2E">
        <w:t>ļa</w:t>
      </w:r>
      <w:r>
        <w:t xml:space="preserve"> – apcietinājum</w:t>
      </w:r>
      <w:r w:rsidR="00E70E2E">
        <w:t>a – piemērošana</w:t>
      </w:r>
      <w:r>
        <w:t xml:space="preserve">.  </w:t>
      </w:r>
    </w:p>
    <w:p w14:paraId="1277CC3B" w14:textId="77777777" w:rsidR="00DC253C" w:rsidRDefault="00DC253C" w:rsidP="00DC253C">
      <w:pPr>
        <w:pStyle w:val="tv213"/>
        <w:spacing w:before="0" w:beforeAutospacing="0" w:after="0" w:afterAutospacing="0" w:line="276" w:lineRule="auto"/>
        <w:ind w:firstLine="720"/>
        <w:contextualSpacing/>
        <w:jc w:val="both"/>
      </w:pPr>
    </w:p>
    <w:p w14:paraId="18E2C09D" w14:textId="77777777" w:rsidR="00DC253C" w:rsidRPr="00473F47" w:rsidRDefault="00DC253C" w:rsidP="00DC253C">
      <w:pPr>
        <w:pStyle w:val="tv213"/>
        <w:spacing w:before="0" w:beforeAutospacing="0" w:after="0" w:afterAutospacing="0" w:line="276" w:lineRule="auto"/>
        <w:ind w:firstLine="720"/>
        <w:contextualSpacing/>
        <w:jc w:val="center"/>
        <w:rPr>
          <w:b/>
        </w:rPr>
      </w:pPr>
      <w:r w:rsidRPr="00473F47">
        <w:rPr>
          <w:b/>
        </w:rPr>
        <w:t>Rezolutīvā daļa</w:t>
      </w:r>
    </w:p>
    <w:p w14:paraId="4E03FDF5" w14:textId="77777777" w:rsidR="00DC253C" w:rsidRDefault="00DC253C" w:rsidP="00DC253C">
      <w:pPr>
        <w:pStyle w:val="tv213"/>
        <w:spacing w:before="0" w:beforeAutospacing="0" w:after="0" w:afterAutospacing="0" w:line="276" w:lineRule="auto"/>
        <w:ind w:firstLine="720"/>
        <w:contextualSpacing/>
        <w:jc w:val="both"/>
      </w:pPr>
    </w:p>
    <w:p w14:paraId="0A327F51" w14:textId="77777777" w:rsidR="00DC253C" w:rsidRPr="00473F47" w:rsidRDefault="00DC253C" w:rsidP="00DC253C">
      <w:pPr>
        <w:pStyle w:val="tv213"/>
        <w:spacing w:before="0" w:beforeAutospacing="0" w:after="0" w:afterAutospacing="0" w:line="276" w:lineRule="auto"/>
        <w:ind w:firstLine="720"/>
        <w:contextualSpacing/>
        <w:jc w:val="both"/>
      </w:pPr>
      <w:r w:rsidRPr="00473F47">
        <w:t>Pamatojoties uz Krim</w:t>
      </w:r>
      <w:r>
        <w:t>inālprocesa likuma 585. un 587.</w:t>
      </w:r>
      <w:r w:rsidRPr="00473F47">
        <w:t xml:space="preserve">pantu, </w:t>
      </w:r>
      <w:r>
        <w:t>tiesa</w:t>
      </w:r>
    </w:p>
    <w:p w14:paraId="4E4AFBB3" w14:textId="77777777" w:rsidR="00DC253C" w:rsidRDefault="00DC253C" w:rsidP="00DC253C">
      <w:pPr>
        <w:pStyle w:val="tv213"/>
        <w:spacing w:before="0" w:beforeAutospacing="0" w:after="0" w:afterAutospacing="0" w:line="276" w:lineRule="auto"/>
        <w:ind w:firstLine="720"/>
        <w:contextualSpacing/>
        <w:jc w:val="center"/>
        <w:rPr>
          <w:b/>
        </w:rPr>
      </w:pPr>
    </w:p>
    <w:p w14:paraId="2DA6E17D" w14:textId="77777777" w:rsidR="00DC253C" w:rsidRDefault="00DC253C" w:rsidP="00DC253C">
      <w:pPr>
        <w:pStyle w:val="tv213"/>
        <w:spacing w:before="0" w:beforeAutospacing="0" w:after="0" w:afterAutospacing="0" w:line="276" w:lineRule="auto"/>
        <w:ind w:firstLine="720"/>
        <w:contextualSpacing/>
        <w:jc w:val="center"/>
        <w:rPr>
          <w:b/>
        </w:rPr>
      </w:pPr>
      <w:r>
        <w:rPr>
          <w:b/>
        </w:rPr>
        <w:t>nolēma:</w:t>
      </w:r>
    </w:p>
    <w:p w14:paraId="76253B9E" w14:textId="77777777" w:rsidR="00DC253C" w:rsidRPr="00473F47" w:rsidRDefault="00DC253C" w:rsidP="00DC253C">
      <w:pPr>
        <w:tabs>
          <w:tab w:val="left" w:pos="-3120"/>
        </w:tabs>
        <w:suppressAutoHyphens/>
        <w:spacing w:line="276" w:lineRule="auto"/>
        <w:ind w:firstLine="720"/>
        <w:contextualSpacing/>
      </w:pPr>
    </w:p>
    <w:p w14:paraId="0D6D19FB" w14:textId="73A4ACAE" w:rsidR="00DC253C" w:rsidRDefault="00DC253C" w:rsidP="00014EB8">
      <w:pPr>
        <w:spacing w:line="276" w:lineRule="auto"/>
        <w:ind w:firstLine="720"/>
        <w:contextualSpacing/>
        <w:jc w:val="both"/>
      </w:pPr>
      <w:r>
        <w:t>atcelt</w:t>
      </w:r>
      <w:r w:rsidR="004558AB">
        <w:t xml:space="preserve"> Rīgas</w:t>
      </w:r>
      <w:r>
        <w:t xml:space="preserve"> apgabaltiesas 2019.gada 1</w:t>
      </w:r>
      <w:r w:rsidR="004558AB">
        <w:t>5</w:t>
      </w:r>
      <w:r>
        <w:t>.</w:t>
      </w:r>
      <w:r w:rsidR="004558AB">
        <w:t>oktob</w:t>
      </w:r>
      <w:r>
        <w:t xml:space="preserve">ra spriedumu </w:t>
      </w:r>
      <w:r w:rsidR="00014EB8">
        <w:t xml:space="preserve">daļā, ar kuru atstāts negrozīts Rīgas pilsētas Pārdaugavas tiesas 2019.gada 25.marta spriedums daļā par cietušās </w:t>
      </w:r>
      <w:r w:rsidR="001A1EAB">
        <w:t>[pers. B]</w:t>
      </w:r>
      <w:r w:rsidR="00014EB8" w:rsidRPr="00014EB8">
        <w:t xml:space="preserve"> labā </w:t>
      </w:r>
      <w:r w:rsidR="00A02BA1" w:rsidRPr="00014EB8">
        <w:t>piedzīt</w:t>
      </w:r>
      <w:r w:rsidR="00A02BA1">
        <w:t>o</w:t>
      </w:r>
      <w:r w:rsidR="00A02BA1" w:rsidRPr="00014EB8">
        <w:t xml:space="preserve"> </w:t>
      </w:r>
      <w:r w:rsidR="00014EB8" w:rsidRPr="00014EB8">
        <w:t>morālā kaitējuma kompensācijas apmēru</w:t>
      </w:r>
      <w:r w:rsidR="00014EB8">
        <w:t xml:space="preserve"> </w:t>
      </w:r>
      <w:r>
        <w:t xml:space="preserve">un lietu </w:t>
      </w:r>
      <w:r w:rsidR="004558AB">
        <w:t xml:space="preserve">atceltajā daļā </w:t>
      </w:r>
      <w:r>
        <w:t xml:space="preserve">nosūtīt jaunai izskatīšanai </w:t>
      </w:r>
      <w:r w:rsidR="004558AB">
        <w:t>Rīga</w:t>
      </w:r>
      <w:r>
        <w:t>s apgabaltiesā.</w:t>
      </w:r>
    </w:p>
    <w:p w14:paraId="0E2DF271" w14:textId="547E73B3" w:rsidR="003C2A05" w:rsidRDefault="003C2A05" w:rsidP="00014EB8">
      <w:pPr>
        <w:spacing w:line="276" w:lineRule="auto"/>
        <w:ind w:firstLine="720"/>
        <w:contextualSpacing/>
        <w:jc w:val="both"/>
      </w:pPr>
      <w:r>
        <w:t>Pārējā daļā Rīgas apgabaltiesas 2019.gada 15.oktobra spriedumu atstāt negrozītu.</w:t>
      </w:r>
    </w:p>
    <w:p w14:paraId="2D8A7625" w14:textId="14AF3369" w:rsidR="00DC253C" w:rsidRDefault="009C259D" w:rsidP="00DC253C">
      <w:pPr>
        <w:pStyle w:val="tv213"/>
        <w:spacing w:before="0" w:beforeAutospacing="0" w:after="0" w:afterAutospacing="0" w:line="276" w:lineRule="auto"/>
        <w:ind w:firstLine="720"/>
        <w:contextualSpacing/>
        <w:jc w:val="both"/>
      </w:pPr>
      <w:r>
        <w:t>A</w:t>
      </w:r>
      <w:r w:rsidR="00F63063">
        <w:t xml:space="preserve">psūdzētajam </w:t>
      </w:r>
      <w:r w:rsidR="001A1EAB">
        <w:t>[pers. A]</w:t>
      </w:r>
      <w:r w:rsidR="00DC253C">
        <w:t xml:space="preserve"> </w:t>
      </w:r>
      <w:r>
        <w:t>turpināt piemērot</w:t>
      </w:r>
      <w:r w:rsidR="00DC253C">
        <w:t xml:space="preserve"> drošības līdzek</w:t>
      </w:r>
      <w:r w:rsidR="004558AB">
        <w:t>li – apcietinājumu</w:t>
      </w:r>
      <w:r w:rsidR="00A91F0A">
        <w:t>.</w:t>
      </w:r>
    </w:p>
    <w:p w14:paraId="603FC4FD" w14:textId="34C0D0C3" w:rsidR="00DC4B81" w:rsidRPr="00F12745" w:rsidRDefault="00DC253C" w:rsidP="00F12745">
      <w:pPr>
        <w:tabs>
          <w:tab w:val="left" w:pos="-3120"/>
        </w:tabs>
        <w:suppressAutoHyphens/>
        <w:spacing w:line="276" w:lineRule="auto"/>
        <w:ind w:firstLine="720"/>
        <w:contextualSpacing/>
        <w:jc w:val="both"/>
        <w:rPr>
          <w:color w:val="000000"/>
        </w:rPr>
      </w:pPr>
      <w:r w:rsidRPr="00473F47">
        <w:rPr>
          <w:color w:val="000000"/>
        </w:rPr>
        <w:t>Lēmums nav pārsū</w:t>
      </w:r>
      <w:r>
        <w:rPr>
          <w:color w:val="000000"/>
        </w:rPr>
        <w:t>dzams.</w:t>
      </w:r>
    </w:p>
    <w:p w14:paraId="0974F85A" w14:textId="77777777" w:rsidR="00DC4B81" w:rsidRPr="00C576A8" w:rsidRDefault="00DC4B81" w:rsidP="00DC4B81">
      <w:pPr>
        <w:spacing w:line="276" w:lineRule="auto"/>
        <w:ind w:firstLine="652"/>
        <w:contextualSpacing/>
        <w:jc w:val="both"/>
      </w:pPr>
    </w:p>
    <w:p w14:paraId="3D82EC78" w14:textId="3DB6EF90" w:rsidR="005D093A" w:rsidRDefault="005D093A" w:rsidP="00DC4B81">
      <w:pPr>
        <w:spacing w:line="276" w:lineRule="auto"/>
        <w:ind w:firstLine="720"/>
        <w:contextualSpacing/>
      </w:pPr>
    </w:p>
    <w:sectPr w:rsidR="005D093A" w:rsidSect="00B316CD">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C84B7C" w14:textId="77777777" w:rsidR="004A3F97" w:rsidRDefault="004A3F97">
      <w:r>
        <w:separator/>
      </w:r>
    </w:p>
  </w:endnote>
  <w:endnote w:type="continuationSeparator" w:id="0">
    <w:p w14:paraId="4192BA85" w14:textId="77777777" w:rsidR="004A3F97" w:rsidRDefault="004A3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60339226"/>
      <w:docPartObj>
        <w:docPartGallery w:val="Page Numbers (Bottom of Page)"/>
        <w:docPartUnique/>
      </w:docPartObj>
    </w:sdtPr>
    <w:sdtEndPr>
      <w:rPr>
        <w:noProof/>
      </w:rPr>
    </w:sdtEndPr>
    <w:sdtContent>
      <w:p w14:paraId="4077C00D" w14:textId="71E486AB" w:rsidR="00A63919" w:rsidRDefault="00A63919" w:rsidP="00B316CD">
        <w:pPr>
          <w:pStyle w:val="Footer"/>
          <w:jc w:val="center"/>
        </w:pPr>
        <w:r w:rsidRPr="00966A45">
          <w:rPr>
            <w:rStyle w:val="PageNumber"/>
          </w:rPr>
          <w:fldChar w:fldCharType="begin"/>
        </w:r>
        <w:r w:rsidRPr="00966A45">
          <w:rPr>
            <w:rStyle w:val="PageNumber"/>
          </w:rPr>
          <w:instrText xml:space="preserve">PAGE  </w:instrText>
        </w:r>
        <w:r w:rsidRPr="00966A45">
          <w:rPr>
            <w:rStyle w:val="PageNumber"/>
          </w:rPr>
          <w:fldChar w:fldCharType="separate"/>
        </w:r>
        <w:r w:rsidR="00DC4B81">
          <w:rPr>
            <w:rStyle w:val="PageNumber"/>
            <w:noProof/>
          </w:rPr>
          <w:t>4</w:t>
        </w:r>
        <w:r w:rsidRPr="00966A45">
          <w:rPr>
            <w:rStyle w:val="PageNumber"/>
          </w:rPr>
          <w:fldChar w:fldCharType="end"/>
        </w:r>
        <w:r w:rsidRPr="00966A4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10712C">
          <w:rPr>
            <w:rStyle w:val="PageNumber"/>
            <w:noProof/>
          </w:rPr>
          <w:t>5</w:t>
        </w:r>
        <w:r>
          <w:rPr>
            <w:rStyle w:val="PageNumber"/>
            <w:noProof/>
          </w:rPr>
          <w:fldChar w:fldCharType="end"/>
        </w:r>
      </w:p>
    </w:sdtContent>
  </w:sdt>
  <w:p w14:paraId="4D0F87C4" w14:textId="77777777" w:rsidR="00A63919" w:rsidRDefault="00A63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D78EE4" w14:textId="77777777" w:rsidR="004A3F97" w:rsidRDefault="004A3F97">
      <w:r>
        <w:separator/>
      </w:r>
    </w:p>
  </w:footnote>
  <w:footnote w:type="continuationSeparator" w:id="0">
    <w:p w14:paraId="63D2EDAD" w14:textId="77777777" w:rsidR="004A3F97" w:rsidRDefault="004A3F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1508A4"/>
    <w:multiLevelType w:val="hybridMultilevel"/>
    <w:tmpl w:val="1C02F344"/>
    <w:lvl w:ilvl="0" w:tplc="47BEB638">
      <w:start w:val="1"/>
      <w:numFmt w:val="decimal"/>
      <w:lvlText w:val="[%1]"/>
      <w:lvlJc w:val="left"/>
      <w:pPr>
        <w:ind w:left="1070" w:hanging="360"/>
      </w:pPr>
      <w:rPr>
        <w:rFonts w:hint="default"/>
      </w:rPr>
    </w:lvl>
    <w:lvl w:ilvl="1" w:tplc="867A555C">
      <w:start w:val="1"/>
      <w:numFmt w:val="decimal"/>
      <w:lvlText w:val="[5.%2]"/>
      <w:lvlJc w:val="left"/>
      <w:pPr>
        <w:ind w:left="1790" w:hanging="360"/>
      </w:pPr>
      <w:rPr>
        <w:rFonts w:hint="default"/>
      </w:r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53C"/>
    <w:rsid w:val="00014EB8"/>
    <w:rsid w:val="000924ED"/>
    <w:rsid w:val="00097CFF"/>
    <w:rsid w:val="000E2B46"/>
    <w:rsid w:val="00105495"/>
    <w:rsid w:val="0010712C"/>
    <w:rsid w:val="00111630"/>
    <w:rsid w:val="001214C9"/>
    <w:rsid w:val="00133EC3"/>
    <w:rsid w:val="00174FEE"/>
    <w:rsid w:val="00175A03"/>
    <w:rsid w:val="001959C4"/>
    <w:rsid w:val="00196DF9"/>
    <w:rsid w:val="001A1EAB"/>
    <w:rsid w:val="001A2D06"/>
    <w:rsid w:val="001D3DFD"/>
    <w:rsid w:val="00203DB5"/>
    <w:rsid w:val="00242D73"/>
    <w:rsid w:val="00265439"/>
    <w:rsid w:val="002C105F"/>
    <w:rsid w:val="002C3A6A"/>
    <w:rsid w:val="002D4A31"/>
    <w:rsid w:val="002E0EC2"/>
    <w:rsid w:val="002E2D8E"/>
    <w:rsid w:val="002F57BC"/>
    <w:rsid w:val="002F7DB0"/>
    <w:rsid w:val="0032306D"/>
    <w:rsid w:val="003730C7"/>
    <w:rsid w:val="00391F90"/>
    <w:rsid w:val="00393272"/>
    <w:rsid w:val="003A42E1"/>
    <w:rsid w:val="003C2A05"/>
    <w:rsid w:val="00402B3F"/>
    <w:rsid w:val="00407563"/>
    <w:rsid w:val="00413E20"/>
    <w:rsid w:val="00447A6C"/>
    <w:rsid w:val="00450AC5"/>
    <w:rsid w:val="004558AB"/>
    <w:rsid w:val="004A3F97"/>
    <w:rsid w:val="004A4626"/>
    <w:rsid w:val="004B25EF"/>
    <w:rsid w:val="004B638F"/>
    <w:rsid w:val="00512DEE"/>
    <w:rsid w:val="0055524F"/>
    <w:rsid w:val="005701FC"/>
    <w:rsid w:val="005A750A"/>
    <w:rsid w:val="005D093A"/>
    <w:rsid w:val="005F5DDE"/>
    <w:rsid w:val="006051E8"/>
    <w:rsid w:val="00640E89"/>
    <w:rsid w:val="0065395B"/>
    <w:rsid w:val="00676761"/>
    <w:rsid w:val="00687A70"/>
    <w:rsid w:val="006B3217"/>
    <w:rsid w:val="006C166F"/>
    <w:rsid w:val="0076669A"/>
    <w:rsid w:val="007904D1"/>
    <w:rsid w:val="007E13B1"/>
    <w:rsid w:val="007E3CF1"/>
    <w:rsid w:val="0080283B"/>
    <w:rsid w:val="008079F0"/>
    <w:rsid w:val="00816F1B"/>
    <w:rsid w:val="0088293B"/>
    <w:rsid w:val="00884DC8"/>
    <w:rsid w:val="00922E0D"/>
    <w:rsid w:val="00981F6D"/>
    <w:rsid w:val="009C259D"/>
    <w:rsid w:val="00A02BA1"/>
    <w:rsid w:val="00A15FC4"/>
    <w:rsid w:val="00A208BE"/>
    <w:rsid w:val="00A25AE9"/>
    <w:rsid w:val="00A45609"/>
    <w:rsid w:val="00A63919"/>
    <w:rsid w:val="00A91F0A"/>
    <w:rsid w:val="00AE7424"/>
    <w:rsid w:val="00B316CD"/>
    <w:rsid w:val="00B73522"/>
    <w:rsid w:val="00BE5EE7"/>
    <w:rsid w:val="00BE68B0"/>
    <w:rsid w:val="00BE71A6"/>
    <w:rsid w:val="00C06340"/>
    <w:rsid w:val="00C42BB8"/>
    <w:rsid w:val="00C727F1"/>
    <w:rsid w:val="00CB5FF8"/>
    <w:rsid w:val="00CB6ED1"/>
    <w:rsid w:val="00CE6A48"/>
    <w:rsid w:val="00D70166"/>
    <w:rsid w:val="00D75507"/>
    <w:rsid w:val="00D84442"/>
    <w:rsid w:val="00DB4F07"/>
    <w:rsid w:val="00DC253C"/>
    <w:rsid w:val="00DC4B81"/>
    <w:rsid w:val="00DD0AA9"/>
    <w:rsid w:val="00DE68AA"/>
    <w:rsid w:val="00E70E2E"/>
    <w:rsid w:val="00E7172D"/>
    <w:rsid w:val="00E81D32"/>
    <w:rsid w:val="00E823FB"/>
    <w:rsid w:val="00E8691F"/>
    <w:rsid w:val="00E963DF"/>
    <w:rsid w:val="00EB5605"/>
    <w:rsid w:val="00ED0CC8"/>
    <w:rsid w:val="00F12745"/>
    <w:rsid w:val="00F63063"/>
    <w:rsid w:val="00F649F8"/>
    <w:rsid w:val="00F85885"/>
    <w:rsid w:val="00F87E5E"/>
    <w:rsid w:val="00FB23F2"/>
    <w:rsid w:val="00FB5F98"/>
    <w:rsid w:val="00FC02D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5E28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53C"/>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DC253C"/>
    <w:pPr>
      <w:jc w:val="right"/>
    </w:pPr>
    <w:rPr>
      <w:rFonts w:ascii="Garamond" w:hAnsi="Garamond"/>
      <w:sz w:val="28"/>
      <w:szCs w:val="28"/>
    </w:rPr>
  </w:style>
  <w:style w:type="character" w:customStyle="1" w:styleId="BodyText2Char">
    <w:name w:val="Body Text 2 Char"/>
    <w:basedOn w:val="DefaultParagraphFont"/>
    <w:link w:val="BodyText2"/>
    <w:rsid w:val="00DC253C"/>
    <w:rPr>
      <w:rFonts w:ascii="Garamond" w:eastAsia="Times New Roman" w:hAnsi="Garamond" w:cs="Times New Roman"/>
      <w:sz w:val="28"/>
      <w:szCs w:val="28"/>
    </w:rPr>
  </w:style>
  <w:style w:type="paragraph" w:customStyle="1" w:styleId="tv213">
    <w:name w:val="tv213"/>
    <w:basedOn w:val="Normal"/>
    <w:rsid w:val="00DC253C"/>
    <w:pPr>
      <w:spacing w:before="100" w:beforeAutospacing="1" w:after="100" w:afterAutospacing="1"/>
    </w:pPr>
    <w:rPr>
      <w:lang w:eastAsia="lv-LV"/>
    </w:rPr>
  </w:style>
  <w:style w:type="paragraph" w:styleId="ListParagraph">
    <w:name w:val="List Paragraph"/>
    <w:basedOn w:val="Normal"/>
    <w:uiPriority w:val="34"/>
    <w:qFormat/>
    <w:rsid w:val="00DC253C"/>
    <w:pPr>
      <w:ind w:left="720"/>
      <w:contextualSpacing/>
    </w:pPr>
  </w:style>
  <w:style w:type="paragraph" w:styleId="Footer">
    <w:name w:val="footer"/>
    <w:basedOn w:val="Normal"/>
    <w:link w:val="FooterChar"/>
    <w:unhideWhenUsed/>
    <w:rsid w:val="00DC253C"/>
    <w:pPr>
      <w:tabs>
        <w:tab w:val="center" w:pos="4153"/>
        <w:tab w:val="right" w:pos="8306"/>
      </w:tabs>
    </w:pPr>
  </w:style>
  <w:style w:type="character" w:customStyle="1" w:styleId="FooterChar">
    <w:name w:val="Footer Char"/>
    <w:basedOn w:val="DefaultParagraphFont"/>
    <w:link w:val="Footer"/>
    <w:rsid w:val="00DC253C"/>
    <w:rPr>
      <w:rFonts w:eastAsia="Times New Roman" w:cs="Times New Roman"/>
      <w:szCs w:val="24"/>
    </w:rPr>
  </w:style>
  <w:style w:type="character" w:styleId="PageNumber">
    <w:name w:val="page number"/>
    <w:basedOn w:val="DefaultParagraphFont"/>
    <w:rsid w:val="00DC253C"/>
  </w:style>
  <w:style w:type="table" w:styleId="TableGrid">
    <w:name w:val="Table Grid"/>
    <w:basedOn w:val="TableNormal"/>
    <w:uiPriority w:val="39"/>
    <w:rsid w:val="00DC253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25A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5AE9"/>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447A6C"/>
    <w:rPr>
      <w:sz w:val="16"/>
      <w:szCs w:val="16"/>
    </w:rPr>
  </w:style>
  <w:style w:type="paragraph" w:styleId="CommentText">
    <w:name w:val="annotation text"/>
    <w:basedOn w:val="Normal"/>
    <w:link w:val="CommentTextChar"/>
    <w:uiPriority w:val="99"/>
    <w:semiHidden/>
    <w:unhideWhenUsed/>
    <w:rsid w:val="00447A6C"/>
    <w:rPr>
      <w:sz w:val="20"/>
      <w:szCs w:val="20"/>
    </w:rPr>
  </w:style>
  <w:style w:type="character" w:customStyle="1" w:styleId="CommentTextChar">
    <w:name w:val="Comment Text Char"/>
    <w:basedOn w:val="DefaultParagraphFont"/>
    <w:link w:val="CommentText"/>
    <w:uiPriority w:val="99"/>
    <w:semiHidden/>
    <w:rsid w:val="00447A6C"/>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7A6C"/>
    <w:rPr>
      <w:b/>
      <w:bCs/>
    </w:rPr>
  </w:style>
  <w:style w:type="character" w:customStyle="1" w:styleId="CommentSubjectChar">
    <w:name w:val="Comment Subject Char"/>
    <w:basedOn w:val="CommentTextChar"/>
    <w:link w:val="CommentSubject"/>
    <w:uiPriority w:val="99"/>
    <w:semiHidden/>
    <w:rsid w:val="00447A6C"/>
    <w:rPr>
      <w:rFonts w:eastAsia="Times New Roman" w:cs="Times New Roman"/>
      <w:b/>
      <w:bCs/>
      <w:sz w:val="20"/>
      <w:szCs w:val="20"/>
    </w:rPr>
  </w:style>
  <w:style w:type="paragraph" w:styleId="Header">
    <w:name w:val="header"/>
    <w:basedOn w:val="Normal"/>
    <w:link w:val="HeaderChar"/>
    <w:uiPriority w:val="99"/>
    <w:unhideWhenUsed/>
    <w:rsid w:val="00133EC3"/>
    <w:pPr>
      <w:tabs>
        <w:tab w:val="center" w:pos="4153"/>
        <w:tab w:val="right" w:pos="8306"/>
      </w:tabs>
    </w:pPr>
  </w:style>
  <w:style w:type="character" w:customStyle="1" w:styleId="HeaderChar">
    <w:name w:val="Header Char"/>
    <w:basedOn w:val="DefaultParagraphFont"/>
    <w:link w:val="Header"/>
    <w:uiPriority w:val="99"/>
    <w:rsid w:val="00133EC3"/>
    <w:rPr>
      <w:rFonts w:eastAsia="Times New Roman" w:cs="Times New Roman"/>
      <w:szCs w:val="24"/>
    </w:rPr>
  </w:style>
  <w:style w:type="character" w:styleId="Hyperlink">
    <w:name w:val="Hyperlink"/>
    <w:basedOn w:val="DefaultParagraphFont"/>
    <w:uiPriority w:val="99"/>
    <w:unhideWhenUsed/>
    <w:rsid w:val="00640E89"/>
    <w:rPr>
      <w:color w:val="0563C1" w:themeColor="hyperlink"/>
      <w:u w:val="single"/>
    </w:rPr>
  </w:style>
  <w:style w:type="character" w:styleId="UnresolvedMention">
    <w:name w:val="Unresolved Mention"/>
    <w:basedOn w:val="DefaultParagraphFont"/>
    <w:uiPriority w:val="99"/>
    <w:semiHidden/>
    <w:unhideWhenUsed/>
    <w:rsid w:val="00640E89"/>
    <w:rPr>
      <w:color w:val="605E5C"/>
      <w:shd w:val="clear" w:color="auto" w:fill="E1DFDD"/>
    </w:rPr>
  </w:style>
  <w:style w:type="character" w:styleId="FollowedHyperlink">
    <w:name w:val="FollowedHyperlink"/>
    <w:basedOn w:val="DefaultParagraphFont"/>
    <w:uiPriority w:val="99"/>
    <w:semiHidden/>
    <w:unhideWhenUsed/>
    <w:rsid w:val="001071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nolemumi/pdf/42090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8722</Words>
  <Characters>4972</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2020-10-13T04:25:00Z</dcterms:created>
  <dcterms:modified xsi:type="dcterms:W3CDTF">2020-10-13T04:25:00Z</dcterms:modified>
</cp:coreProperties>
</file>