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9E32F" w14:textId="77777777" w:rsidR="00CE1787" w:rsidRPr="00BF6236" w:rsidRDefault="00CE1787" w:rsidP="00CE1787">
      <w:pPr>
        <w:spacing w:line="276" w:lineRule="auto"/>
        <w:jc w:val="both"/>
        <w:rPr>
          <w:b/>
          <w:bCs/>
        </w:rPr>
      </w:pPr>
      <w:r w:rsidRPr="00BF6236">
        <w:rPr>
          <w:b/>
          <w:bCs/>
        </w:rPr>
        <w:t xml:space="preserve">Azartspēļu ierobežošana un Līguma par Eiropas Savienības darbību </w:t>
      </w:r>
      <w:proofErr w:type="gramStart"/>
      <w:r w:rsidRPr="00BF6236">
        <w:rPr>
          <w:b/>
          <w:bCs/>
        </w:rPr>
        <w:t>56.pants</w:t>
      </w:r>
      <w:proofErr w:type="gramEnd"/>
    </w:p>
    <w:p w14:paraId="188D3E3F" w14:textId="77777777" w:rsidR="00CE1787" w:rsidRPr="00BF6236" w:rsidRDefault="00CE1787" w:rsidP="00CE1787">
      <w:pPr>
        <w:spacing w:line="276" w:lineRule="auto"/>
        <w:jc w:val="both"/>
      </w:pPr>
      <w:r w:rsidRPr="00BF6236">
        <w:t xml:space="preserve">1. Ņemot vērā, ka azartspēļu regulējums vienādi attiecas uz visiem komersantiem, nešķirojot tos pēc kapitāla piederības Latvijai vai citai valstij, nav konstatējama diskriminējoša attieksme pēc kapitāla piederības kritērija. </w:t>
      </w:r>
    </w:p>
    <w:p w14:paraId="7D99A4E4" w14:textId="77777777" w:rsidR="00CE1787" w:rsidRPr="00BF6236" w:rsidRDefault="00CE1787" w:rsidP="00CE1787">
      <w:pPr>
        <w:spacing w:line="276" w:lineRule="auto"/>
        <w:jc w:val="both"/>
      </w:pPr>
      <w:r w:rsidRPr="00BF6236">
        <w:t xml:space="preserve">2. Attiecībā uz azartspēlēm principā katrs ierobežojums ir jāpārbauda atsevišķi, vai tas ir piemērots, lai nodrošinātu mērķa vai mērķu īstenošanu, un </w:t>
      </w:r>
      <w:proofErr w:type="gramStart"/>
      <w:r w:rsidRPr="00BF6236">
        <w:t>vai</w:t>
      </w:r>
      <w:proofErr w:type="gramEnd"/>
      <w:r w:rsidRPr="00BF6236">
        <w:t xml:space="preserve"> tas nepārsniedz to, kas nepieciešams to sasniegšanai.</w:t>
      </w:r>
    </w:p>
    <w:p w14:paraId="4240767B" w14:textId="3ADCCF94" w:rsidR="002C4E04" w:rsidRDefault="00CE1787" w:rsidP="00CE1787">
      <w:pPr>
        <w:spacing w:line="276" w:lineRule="auto"/>
        <w:jc w:val="both"/>
      </w:pPr>
      <w:r w:rsidRPr="00BF6236">
        <w:t>Tiesai ir visaptveroši jāizvērtē apstākļi, kādos ir pieņemts un īstenots ierobežojošs tiesiskais regulējums. Tiesai ir jāpārliecinās, ka ierobežojumi reāli atbilst rūpēm samazināt spēļu iespējas, saskaņoti un sistemātiski ierobežot darbības šajā jomā un apkarot ar šīm spēlēm saistīto noziedzību.</w:t>
      </w:r>
      <w:r>
        <w:t xml:space="preserve"> </w:t>
      </w:r>
    </w:p>
    <w:p w14:paraId="40644ECA" w14:textId="77777777" w:rsidR="002C4E04" w:rsidRDefault="002C4E04" w:rsidP="00EC3193">
      <w:pPr>
        <w:spacing w:line="276" w:lineRule="auto"/>
        <w:jc w:val="center"/>
      </w:pPr>
    </w:p>
    <w:p w14:paraId="051DD6A0" w14:textId="4BA98AD9" w:rsidR="00772A7C" w:rsidRDefault="00772A7C" w:rsidP="00EC3193">
      <w:pPr>
        <w:spacing w:line="276" w:lineRule="auto"/>
        <w:jc w:val="center"/>
        <w:rPr>
          <w:b/>
        </w:rPr>
      </w:pPr>
      <w:r w:rsidRPr="002C4E04">
        <w:rPr>
          <w:b/>
        </w:rPr>
        <w:t>Latvijas Republikas Senāt</w:t>
      </w:r>
      <w:r w:rsidR="002C4E04">
        <w:rPr>
          <w:b/>
        </w:rPr>
        <w:t>a</w:t>
      </w:r>
    </w:p>
    <w:p w14:paraId="2AF79D2C" w14:textId="3BD7CDB0" w:rsidR="002C4E04" w:rsidRDefault="002C4E04" w:rsidP="00EC3193">
      <w:pPr>
        <w:spacing w:line="276" w:lineRule="auto"/>
        <w:jc w:val="center"/>
        <w:rPr>
          <w:b/>
        </w:rPr>
      </w:pPr>
      <w:r>
        <w:rPr>
          <w:b/>
        </w:rPr>
        <w:t>Administratīvo lietu departamenta</w:t>
      </w:r>
    </w:p>
    <w:p w14:paraId="60FAA1FE" w14:textId="354D6782" w:rsidR="002C4E04" w:rsidRPr="002C4E04" w:rsidRDefault="002C4E04" w:rsidP="00EC3193">
      <w:pPr>
        <w:spacing w:line="276" w:lineRule="auto"/>
        <w:jc w:val="center"/>
        <w:rPr>
          <w:b/>
        </w:rPr>
      </w:pPr>
      <w:proofErr w:type="gramStart"/>
      <w:r>
        <w:rPr>
          <w:b/>
        </w:rPr>
        <w:t>2020.gada</w:t>
      </w:r>
      <w:proofErr w:type="gramEnd"/>
      <w:r>
        <w:rPr>
          <w:b/>
        </w:rPr>
        <w:t xml:space="preserve"> 12.oktobra</w:t>
      </w:r>
    </w:p>
    <w:p w14:paraId="78A8A624" w14:textId="7588AB02" w:rsidR="009C0BA3" w:rsidRDefault="009C0BA3" w:rsidP="00EC3193">
      <w:pPr>
        <w:spacing w:line="276" w:lineRule="auto"/>
        <w:jc w:val="center"/>
        <w:rPr>
          <w:b/>
        </w:rPr>
      </w:pPr>
      <w:r w:rsidRPr="002C4E04">
        <w:rPr>
          <w:b/>
        </w:rPr>
        <w:t>SPRIEDUMS</w:t>
      </w:r>
      <w:r w:rsidR="00606650" w:rsidRPr="002C4E04">
        <w:rPr>
          <w:b/>
        </w:rPr>
        <w:t xml:space="preserve"> </w:t>
      </w:r>
    </w:p>
    <w:p w14:paraId="17156231" w14:textId="47FA9FD0" w:rsidR="002C4E04" w:rsidRDefault="002C4E04" w:rsidP="00EC3193">
      <w:pPr>
        <w:spacing w:line="276" w:lineRule="auto"/>
        <w:jc w:val="center"/>
        <w:rPr>
          <w:b/>
        </w:rPr>
      </w:pPr>
      <w:r>
        <w:rPr>
          <w:b/>
        </w:rPr>
        <w:t>Lieta Nr. A420314917, SKA-889/2020</w:t>
      </w:r>
    </w:p>
    <w:p w14:paraId="74D1C075" w14:textId="5416B54A" w:rsidR="002C4E04" w:rsidRPr="002C4E04" w:rsidRDefault="00CE1787" w:rsidP="00EC3193">
      <w:pPr>
        <w:spacing w:line="276" w:lineRule="auto"/>
        <w:jc w:val="center"/>
        <w:rPr>
          <w:b/>
        </w:rPr>
      </w:pPr>
      <w:hyperlink r:id="rId7" w:history="1">
        <w:r w:rsidR="002C4E04" w:rsidRPr="00CE1787">
          <w:rPr>
            <w:rStyle w:val="Hyperlink"/>
          </w:rPr>
          <w:t>ECLI:LV:AT:2020:1012.A420314917.14.S</w:t>
        </w:r>
      </w:hyperlink>
    </w:p>
    <w:p w14:paraId="13994BDA" w14:textId="77777777" w:rsidR="00C52066" w:rsidRDefault="00C52066" w:rsidP="00EC3193">
      <w:pPr>
        <w:spacing w:line="276" w:lineRule="auto"/>
        <w:ind w:firstLine="567"/>
        <w:jc w:val="both"/>
      </w:pPr>
    </w:p>
    <w:p w14:paraId="5AE13377" w14:textId="739A36C4" w:rsidR="00C52066" w:rsidRDefault="00C52066" w:rsidP="00EC3193">
      <w:pPr>
        <w:spacing w:line="276" w:lineRule="auto"/>
        <w:ind w:firstLine="567"/>
        <w:jc w:val="both"/>
      </w:pPr>
      <w:r>
        <w:t>Tiesa šādā sastāvā</w:t>
      </w:r>
      <w:r w:rsidRPr="007E0DE2">
        <w:t xml:space="preserve">: </w:t>
      </w:r>
      <w:r w:rsidR="00312CFA">
        <w:t>senatores</w:t>
      </w:r>
      <w:r>
        <w:t xml:space="preserve"> </w:t>
      </w:r>
      <w:r w:rsidR="00A82066">
        <w:t>Jautrīte Briede, Vēsma Kakste, Dace</w:t>
      </w:r>
      <w:r w:rsidR="00312CFA">
        <w:t> Mita</w:t>
      </w:r>
    </w:p>
    <w:p w14:paraId="6BE2D9AD" w14:textId="77777777" w:rsidR="00312CFA" w:rsidRDefault="00312CFA" w:rsidP="00EC3193">
      <w:pPr>
        <w:spacing w:line="276" w:lineRule="auto"/>
        <w:ind w:firstLine="567"/>
        <w:jc w:val="both"/>
      </w:pPr>
    </w:p>
    <w:p w14:paraId="510C3402" w14:textId="10E34914" w:rsidR="00312CFA" w:rsidRPr="00FE32C1" w:rsidRDefault="00BC02C0" w:rsidP="00EC3193">
      <w:pPr>
        <w:spacing w:line="276" w:lineRule="auto"/>
        <w:ind w:firstLine="567"/>
        <w:jc w:val="both"/>
      </w:pPr>
      <w:bookmarkStart w:id="0" w:name="_Hlk52347041"/>
      <w:bookmarkStart w:id="1" w:name="_Hlk52346992"/>
      <w:r>
        <w:t>r</w:t>
      </w:r>
      <w:r w:rsidR="00312CFA">
        <w:t xml:space="preserve">akstveida procesā izskatīja </w:t>
      </w:r>
      <w:bookmarkEnd w:id="0"/>
      <w:r w:rsidR="005241EF" w:rsidRPr="00A373E2">
        <w:rPr>
          <w:color w:val="000000"/>
        </w:rPr>
        <w:t>SIA</w:t>
      </w:r>
      <w:r w:rsidR="000B5EA5">
        <w:rPr>
          <w:color w:val="000000"/>
        </w:rPr>
        <w:t> </w:t>
      </w:r>
      <w:r w:rsidR="005241EF" w:rsidRPr="00A373E2">
        <w:rPr>
          <w:color w:val="000000"/>
        </w:rPr>
        <w:t>„</w:t>
      </w:r>
      <w:proofErr w:type="spellStart"/>
      <w:r w:rsidR="005241EF" w:rsidRPr="00A373E2">
        <w:rPr>
          <w:color w:val="000000"/>
        </w:rPr>
        <w:t>Olympic</w:t>
      </w:r>
      <w:proofErr w:type="spellEnd"/>
      <w:r w:rsidR="005241EF" w:rsidRPr="00A373E2">
        <w:rPr>
          <w:color w:val="000000"/>
        </w:rPr>
        <w:t xml:space="preserve"> </w:t>
      </w:r>
      <w:proofErr w:type="spellStart"/>
      <w:r w:rsidR="005241EF" w:rsidRPr="00A373E2">
        <w:rPr>
          <w:color w:val="000000"/>
        </w:rPr>
        <w:t>Casino</w:t>
      </w:r>
      <w:proofErr w:type="spellEnd"/>
      <w:r w:rsidR="005241EF" w:rsidRPr="00A373E2">
        <w:rPr>
          <w:color w:val="000000"/>
        </w:rPr>
        <w:t xml:space="preserve"> </w:t>
      </w:r>
      <w:proofErr w:type="spellStart"/>
      <w:r w:rsidR="005241EF" w:rsidRPr="00A373E2">
        <w:rPr>
          <w:color w:val="000000"/>
        </w:rPr>
        <w:t>Latvia</w:t>
      </w:r>
      <w:proofErr w:type="spellEnd"/>
      <w:r w:rsidR="005241EF" w:rsidRPr="00A373E2">
        <w:rPr>
          <w:color w:val="000000"/>
        </w:rPr>
        <w:t xml:space="preserve">” </w:t>
      </w:r>
      <w:r w:rsidR="005241EF">
        <w:t xml:space="preserve">kasācijas sūdzību par Administratīvās apgabaltiesas </w:t>
      </w:r>
      <w:proofErr w:type="gramStart"/>
      <w:r w:rsidR="005241EF">
        <w:t>2019.gada</w:t>
      </w:r>
      <w:proofErr w:type="gramEnd"/>
      <w:r w:rsidR="005241EF">
        <w:t xml:space="preserve"> 19.novembra spriedumu </w:t>
      </w:r>
      <w:bookmarkStart w:id="2" w:name="_Hlk52347056"/>
      <w:r>
        <w:t>administratīv</w:t>
      </w:r>
      <w:r w:rsidR="005241EF">
        <w:t>ajā</w:t>
      </w:r>
      <w:r>
        <w:t xml:space="preserve"> liet</w:t>
      </w:r>
      <w:r w:rsidR="005241EF">
        <w:t>ā</w:t>
      </w:r>
      <w:r>
        <w:t xml:space="preserve">, kas ierosināta, pamatojoties uz </w:t>
      </w:r>
      <w:r w:rsidR="00AC15F5" w:rsidRPr="00A373E2">
        <w:rPr>
          <w:color w:val="000000"/>
        </w:rPr>
        <w:t>SIA</w:t>
      </w:r>
      <w:r w:rsidR="000B5EA5">
        <w:rPr>
          <w:color w:val="000000"/>
        </w:rPr>
        <w:t> </w:t>
      </w:r>
      <w:r w:rsidR="00AC15F5" w:rsidRPr="00A373E2">
        <w:rPr>
          <w:color w:val="000000"/>
        </w:rPr>
        <w:t>„</w:t>
      </w:r>
      <w:proofErr w:type="spellStart"/>
      <w:r w:rsidR="00AC15F5" w:rsidRPr="00A373E2">
        <w:rPr>
          <w:color w:val="000000"/>
        </w:rPr>
        <w:t>Olympic</w:t>
      </w:r>
      <w:proofErr w:type="spellEnd"/>
      <w:r w:rsidR="00AC15F5" w:rsidRPr="00A373E2">
        <w:rPr>
          <w:color w:val="000000"/>
        </w:rPr>
        <w:t xml:space="preserve"> </w:t>
      </w:r>
      <w:proofErr w:type="spellStart"/>
      <w:r w:rsidR="00AC15F5" w:rsidRPr="00A373E2">
        <w:rPr>
          <w:color w:val="000000"/>
        </w:rPr>
        <w:t>Casino</w:t>
      </w:r>
      <w:proofErr w:type="spellEnd"/>
      <w:r w:rsidR="00AC15F5" w:rsidRPr="00A373E2">
        <w:rPr>
          <w:color w:val="000000"/>
        </w:rPr>
        <w:t xml:space="preserve"> </w:t>
      </w:r>
      <w:proofErr w:type="spellStart"/>
      <w:r w:rsidR="00AC15F5" w:rsidRPr="00A373E2">
        <w:rPr>
          <w:color w:val="000000"/>
        </w:rPr>
        <w:t>Latvia</w:t>
      </w:r>
      <w:proofErr w:type="spellEnd"/>
      <w:r w:rsidR="00AC15F5" w:rsidRPr="00A373E2">
        <w:rPr>
          <w:color w:val="000000"/>
        </w:rPr>
        <w:t>” pieteikumu par Rīgas domes 2017.gada 18.oktobra</w:t>
      </w:r>
      <w:r w:rsidR="00AC15F5">
        <w:t xml:space="preserve"> </w:t>
      </w:r>
      <w:r w:rsidR="00AC15F5" w:rsidRPr="00A373E2">
        <w:rPr>
          <w:color w:val="000000"/>
        </w:rPr>
        <w:t>lēmuma Nr.</w:t>
      </w:r>
      <w:r w:rsidR="000B5EA5">
        <w:rPr>
          <w:color w:val="000000"/>
        </w:rPr>
        <w:t> </w:t>
      </w:r>
      <w:r w:rsidR="00AC15F5" w:rsidRPr="00A373E2">
        <w:rPr>
          <w:color w:val="000000"/>
        </w:rPr>
        <w:t>272 atcelšanu</w:t>
      </w:r>
      <w:bookmarkEnd w:id="2"/>
      <w:r w:rsidR="00383D12">
        <w:t>.</w:t>
      </w:r>
    </w:p>
    <w:bookmarkEnd w:id="1"/>
    <w:p w14:paraId="0DB5CF2E" w14:textId="77777777" w:rsidR="00383D12" w:rsidRDefault="00383D12" w:rsidP="00EC3193">
      <w:pPr>
        <w:spacing w:line="276" w:lineRule="auto"/>
        <w:ind w:firstLine="567"/>
        <w:jc w:val="both"/>
      </w:pPr>
    </w:p>
    <w:p w14:paraId="12D9DB00" w14:textId="66F679FF" w:rsidR="00383D12" w:rsidRDefault="003C3D18" w:rsidP="00EC3193">
      <w:pPr>
        <w:spacing w:line="276" w:lineRule="auto"/>
        <w:jc w:val="center"/>
        <w:rPr>
          <w:b/>
        </w:rPr>
      </w:pPr>
      <w:r>
        <w:rPr>
          <w:b/>
        </w:rPr>
        <w:t>Aprakstošā daļa</w:t>
      </w:r>
    </w:p>
    <w:p w14:paraId="5E045324" w14:textId="77777777" w:rsidR="003C3D18" w:rsidRDefault="003C3D18" w:rsidP="00EC3193">
      <w:pPr>
        <w:spacing w:line="276" w:lineRule="auto"/>
        <w:ind w:firstLine="567"/>
        <w:jc w:val="center"/>
        <w:rPr>
          <w:b/>
        </w:rPr>
      </w:pPr>
    </w:p>
    <w:p w14:paraId="790251E3" w14:textId="5FF2FD52" w:rsidR="007908F6" w:rsidRPr="00A373E2" w:rsidRDefault="003C3D18" w:rsidP="00EC3193">
      <w:pPr>
        <w:spacing w:line="276" w:lineRule="auto"/>
        <w:ind w:firstLine="567"/>
        <w:jc w:val="both"/>
        <w:rPr>
          <w:color w:val="000000"/>
        </w:rPr>
      </w:pPr>
      <w:r>
        <w:t>[1] </w:t>
      </w:r>
      <w:r w:rsidR="007908F6" w:rsidRPr="00A373E2">
        <w:rPr>
          <w:color w:val="000000"/>
        </w:rPr>
        <w:t xml:space="preserve">Ar Rīgas domes (turpmāk – dome) </w:t>
      </w:r>
      <w:proofErr w:type="gramStart"/>
      <w:r w:rsidR="007908F6" w:rsidRPr="00A373E2">
        <w:rPr>
          <w:color w:val="000000"/>
        </w:rPr>
        <w:t>2017.gada</w:t>
      </w:r>
      <w:proofErr w:type="gramEnd"/>
      <w:r w:rsidR="007908F6" w:rsidRPr="00A373E2">
        <w:rPr>
          <w:color w:val="000000"/>
        </w:rPr>
        <w:t xml:space="preserve"> 18.oktobra lēmumu Nr.</w:t>
      </w:r>
      <w:r w:rsidR="000B5EA5">
        <w:rPr>
          <w:color w:val="000000"/>
        </w:rPr>
        <w:t> </w:t>
      </w:r>
      <w:r w:rsidR="007908F6" w:rsidRPr="00A373E2">
        <w:rPr>
          <w:color w:val="000000"/>
        </w:rPr>
        <w:t>272</w:t>
      </w:r>
      <w:r w:rsidR="007908F6">
        <w:rPr>
          <w:color w:val="000000"/>
        </w:rPr>
        <w:t xml:space="preserve"> </w:t>
      </w:r>
      <w:r w:rsidR="007908F6" w:rsidRPr="00A373E2">
        <w:rPr>
          <w:color w:val="000000"/>
        </w:rPr>
        <w:t>(prot. Nr.</w:t>
      </w:r>
      <w:r w:rsidR="005241EF">
        <w:rPr>
          <w:color w:val="000000"/>
        </w:rPr>
        <w:t> </w:t>
      </w:r>
      <w:r w:rsidR="007908F6" w:rsidRPr="00A373E2">
        <w:rPr>
          <w:color w:val="000000"/>
        </w:rPr>
        <w:t xml:space="preserve">10, 13.§) </w:t>
      </w:r>
      <w:r w:rsidR="007908F6">
        <w:rPr>
          <w:color w:val="000000"/>
        </w:rPr>
        <w:t>a</w:t>
      </w:r>
      <w:r w:rsidR="00D0073E">
        <w:rPr>
          <w:color w:val="000000"/>
        </w:rPr>
        <w:t>t</w:t>
      </w:r>
      <w:r w:rsidR="007908F6">
        <w:rPr>
          <w:color w:val="000000"/>
        </w:rPr>
        <w:t>celta p</w:t>
      </w:r>
      <w:r w:rsidR="00FE32C1" w:rsidRPr="0087538C">
        <w:rPr>
          <w:color w:val="000000"/>
        </w:rPr>
        <w:t>ieteicēj</w:t>
      </w:r>
      <w:r w:rsidR="007908F6">
        <w:rPr>
          <w:color w:val="000000"/>
        </w:rPr>
        <w:t xml:space="preserve">ai </w:t>
      </w:r>
      <w:r w:rsidR="007908F6" w:rsidRPr="00A373E2">
        <w:rPr>
          <w:color w:val="000000"/>
        </w:rPr>
        <w:t>SIA „</w:t>
      </w:r>
      <w:proofErr w:type="spellStart"/>
      <w:r w:rsidR="007908F6" w:rsidRPr="00A373E2">
        <w:rPr>
          <w:color w:val="000000"/>
        </w:rPr>
        <w:t>Olympic</w:t>
      </w:r>
      <w:proofErr w:type="spellEnd"/>
      <w:r w:rsidR="007908F6" w:rsidRPr="00A373E2">
        <w:rPr>
          <w:color w:val="000000"/>
        </w:rPr>
        <w:t xml:space="preserve"> </w:t>
      </w:r>
      <w:proofErr w:type="spellStart"/>
      <w:r w:rsidR="007908F6" w:rsidRPr="00A373E2">
        <w:rPr>
          <w:color w:val="000000"/>
        </w:rPr>
        <w:t>Casino</w:t>
      </w:r>
      <w:proofErr w:type="spellEnd"/>
      <w:r w:rsidR="007908F6" w:rsidRPr="00A373E2">
        <w:rPr>
          <w:color w:val="000000"/>
        </w:rPr>
        <w:t xml:space="preserve"> </w:t>
      </w:r>
      <w:proofErr w:type="spellStart"/>
      <w:r w:rsidR="007908F6" w:rsidRPr="00A373E2">
        <w:rPr>
          <w:color w:val="000000"/>
        </w:rPr>
        <w:t>Latvia</w:t>
      </w:r>
      <w:proofErr w:type="spellEnd"/>
      <w:r w:rsidR="007908F6" w:rsidRPr="00A373E2">
        <w:rPr>
          <w:color w:val="000000"/>
        </w:rPr>
        <w:t>” 1998.gad</w:t>
      </w:r>
      <w:r w:rsidR="007908F6">
        <w:rPr>
          <w:color w:val="000000"/>
        </w:rPr>
        <w:t xml:space="preserve">ā izsniegtā </w:t>
      </w:r>
      <w:r w:rsidR="007908F6" w:rsidRPr="00A373E2">
        <w:rPr>
          <w:color w:val="000000"/>
        </w:rPr>
        <w:t>atļauj</w:t>
      </w:r>
      <w:r w:rsidR="007908F6">
        <w:rPr>
          <w:color w:val="000000"/>
        </w:rPr>
        <w:t>a</w:t>
      </w:r>
      <w:r w:rsidR="007908F6" w:rsidRPr="00A373E2">
        <w:rPr>
          <w:color w:val="000000"/>
        </w:rPr>
        <w:t xml:space="preserve"> spēļu automātiem</w:t>
      </w:r>
      <w:r w:rsidR="007908F6">
        <w:rPr>
          <w:color w:val="000000"/>
        </w:rPr>
        <w:t xml:space="preserve"> </w:t>
      </w:r>
      <w:r w:rsidR="007908F6" w:rsidRPr="00A373E2">
        <w:rPr>
          <w:color w:val="000000"/>
        </w:rPr>
        <w:t>spēļu zālē Meistaru ielā 10, Rīgā</w:t>
      </w:r>
      <w:r w:rsidR="007908F6">
        <w:rPr>
          <w:color w:val="000000"/>
        </w:rPr>
        <w:t xml:space="preserve">, jo spēļu zāle </w:t>
      </w:r>
      <w:r w:rsidR="007908F6" w:rsidRPr="00A373E2">
        <w:rPr>
          <w:color w:val="000000"/>
        </w:rPr>
        <w:t xml:space="preserve">atrodas Rīgas vēsturiskā centra un tā aizsardzības zonas </w:t>
      </w:r>
      <w:r w:rsidR="00EC10F2">
        <w:rPr>
          <w:color w:val="000000"/>
        </w:rPr>
        <w:t>(turpmāk arī – vēsturisk</w:t>
      </w:r>
      <w:r w:rsidR="00596257">
        <w:rPr>
          <w:color w:val="000000"/>
        </w:rPr>
        <w:t>ais</w:t>
      </w:r>
      <w:r w:rsidR="00EC10F2">
        <w:rPr>
          <w:color w:val="000000"/>
        </w:rPr>
        <w:t xml:space="preserve"> centr</w:t>
      </w:r>
      <w:r w:rsidR="00596257">
        <w:rPr>
          <w:color w:val="000000"/>
        </w:rPr>
        <w:t>s</w:t>
      </w:r>
      <w:r w:rsidR="00EC10F2">
        <w:rPr>
          <w:color w:val="000000"/>
        </w:rPr>
        <w:t>)</w:t>
      </w:r>
      <w:r w:rsidR="007908F6" w:rsidRPr="00A373E2">
        <w:rPr>
          <w:color w:val="000000"/>
        </w:rPr>
        <w:t xml:space="preserve"> apbūves JC teritorijā.</w:t>
      </w:r>
      <w:r w:rsidR="007908F6">
        <w:rPr>
          <w:color w:val="000000"/>
        </w:rPr>
        <w:t xml:space="preserve"> Lēmumā </w:t>
      </w:r>
      <w:r w:rsidR="00FC7406">
        <w:rPr>
          <w:color w:val="000000"/>
        </w:rPr>
        <w:t xml:space="preserve">norādīts, ka </w:t>
      </w:r>
      <w:r w:rsidR="007908F6" w:rsidRPr="00A373E2">
        <w:rPr>
          <w:color w:val="000000"/>
        </w:rPr>
        <w:t>domes 2006.gada 7.februāra saistošaj</w:t>
      </w:r>
      <w:r w:rsidR="00FC7406">
        <w:rPr>
          <w:color w:val="000000"/>
        </w:rPr>
        <w:t>os</w:t>
      </w:r>
      <w:r w:rsidR="007908F6" w:rsidRPr="00A373E2">
        <w:rPr>
          <w:color w:val="000000"/>
        </w:rPr>
        <w:t xml:space="preserve"> noteikum</w:t>
      </w:r>
      <w:r w:rsidR="00FC7406">
        <w:rPr>
          <w:color w:val="000000"/>
        </w:rPr>
        <w:t>os</w:t>
      </w:r>
      <w:r w:rsidR="007908F6" w:rsidRPr="00A373E2">
        <w:rPr>
          <w:color w:val="000000"/>
        </w:rPr>
        <w:t xml:space="preserve"> Nr.</w:t>
      </w:r>
      <w:r w:rsidR="005241EF">
        <w:rPr>
          <w:color w:val="000000"/>
        </w:rPr>
        <w:t> </w:t>
      </w:r>
      <w:r w:rsidR="007908F6" w:rsidRPr="00A373E2">
        <w:rPr>
          <w:color w:val="000000"/>
        </w:rPr>
        <w:t>38 „Rīgas vēsturiskā</w:t>
      </w:r>
      <w:r w:rsidR="007908F6">
        <w:rPr>
          <w:color w:val="000000"/>
        </w:rPr>
        <w:t xml:space="preserve"> </w:t>
      </w:r>
      <w:r w:rsidR="007908F6" w:rsidRPr="00A373E2">
        <w:rPr>
          <w:color w:val="000000"/>
        </w:rPr>
        <w:t>centra un tā aizsardzības zonas teritorijas izmantošanas un apbūves noteikumi”</w:t>
      </w:r>
      <w:r w:rsidR="007908F6">
        <w:rPr>
          <w:color w:val="000000"/>
        </w:rPr>
        <w:t xml:space="preserve"> </w:t>
      </w:r>
      <w:r w:rsidR="007908F6" w:rsidRPr="00A373E2">
        <w:rPr>
          <w:color w:val="000000"/>
        </w:rPr>
        <w:t>(turpmāk – saistošie noteikumi Nr.</w:t>
      </w:r>
      <w:r w:rsidR="005241EF">
        <w:rPr>
          <w:color w:val="000000"/>
        </w:rPr>
        <w:t> </w:t>
      </w:r>
      <w:r w:rsidR="007908F6" w:rsidRPr="00A373E2">
        <w:rPr>
          <w:color w:val="000000"/>
        </w:rPr>
        <w:t>38)</w:t>
      </w:r>
      <w:r w:rsidR="00FC7406">
        <w:rPr>
          <w:color w:val="000000"/>
        </w:rPr>
        <w:t xml:space="preserve"> </w:t>
      </w:r>
      <w:r w:rsidR="007908F6" w:rsidRPr="00A373E2">
        <w:rPr>
          <w:color w:val="000000"/>
        </w:rPr>
        <w:t>paredzēts aizliegums</w:t>
      </w:r>
      <w:r w:rsidR="00FC7406">
        <w:rPr>
          <w:color w:val="000000"/>
        </w:rPr>
        <w:t xml:space="preserve"> </w:t>
      </w:r>
      <w:r w:rsidR="007908F6" w:rsidRPr="00A373E2">
        <w:rPr>
          <w:color w:val="000000"/>
        </w:rPr>
        <w:t>ierīkot spēļu zāles konkrētajā teritorijā</w:t>
      </w:r>
      <w:r w:rsidR="00FC7406">
        <w:rPr>
          <w:color w:val="000000"/>
        </w:rPr>
        <w:t>. P</w:t>
      </w:r>
      <w:r w:rsidR="007908F6" w:rsidRPr="00A373E2">
        <w:rPr>
          <w:color w:val="000000"/>
        </w:rPr>
        <w:t>astāv visi Administratīvā procesa likuma 85.panta</w:t>
      </w:r>
      <w:r w:rsidR="00FC7406">
        <w:rPr>
          <w:color w:val="000000"/>
        </w:rPr>
        <w:t xml:space="preserve"> </w:t>
      </w:r>
      <w:r w:rsidR="007908F6" w:rsidRPr="00A373E2">
        <w:rPr>
          <w:color w:val="000000"/>
        </w:rPr>
        <w:t>otrās daļas 4.punktā un Azartspēļu un izložu likuma 42.panta sestajā daļā paredzētie</w:t>
      </w:r>
      <w:r w:rsidR="00FC7406">
        <w:rPr>
          <w:color w:val="000000"/>
        </w:rPr>
        <w:t xml:space="preserve"> </w:t>
      </w:r>
      <w:r w:rsidR="00027E57">
        <w:rPr>
          <w:color w:val="000000"/>
        </w:rPr>
        <w:t>apstākļi</w:t>
      </w:r>
      <w:r w:rsidR="007908F6" w:rsidRPr="00A373E2">
        <w:rPr>
          <w:color w:val="000000"/>
        </w:rPr>
        <w:t>, lai</w:t>
      </w:r>
      <w:r w:rsidR="00D0073E">
        <w:rPr>
          <w:color w:val="000000"/>
        </w:rPr>
        <w:t xml:space="preserve"> </w:t>
      </w:r>
      <w:r w:rsidR="007908F6" w:rsidRPr="00A373E2">
        <w:rPr>
          <w:color w:val="000000"/>
        </w:rPr>
        <w:t>atceltu pieteicējai izsniegto</w:t>
      </w:r>
      <w:r w:rsidR="00FC7406">
        <w:rPr>
          <w:color w:val="000000"/>
        </w:rPr>
        <w:t xml:space="preserve"> a</w:t>
      </w:r>
      <w:r w:rsidR="007908F6" w:rsidRPr="00A373E2">
        <w:rPr>
          <w:color w:val="000000"/>
        </w:rPr>
        <w:t>tļauju.</w:t>
      </w:r>
    </w:p>
    <w:p w14:paraId="37B1369C" w14:textId="1743FEB7" w:rsidR="00071FBC" w:rsidRDefault="00FD1F9D" w:rsidP="00EC3193">
      <w:pPr>
        <w:spacing w:line="276" w:lineRule="auto"/>
        <w:ind w:firstLine="567"/>
        <w:jc w:val="both"/>
      </w:pPr>
      <w:r>
        <w:t xml:space="preserve">Pieteicēja </w:t>
      </w:r>
      <w:r w:rsidR="00071FBC">
        <w:t>vērsās administratīvajā tiesā</w:t>
      </w:r>
      <w:r w:rsidR="00FE32C1">
        <w:t xml:space="preserve"> ar pieteikumu</w:t>
      </w:r>
      <w:r w:rsidR="00071FBC">
        <w:t>.</w:t>
      </w:r>
    </w:p>
    <w:p w14:paraId="4194D023" w14:textId="77777777" w:rsidR="00071FBC" w:rsidRDefault="00071FBC" w:rsidP="00EC3193">
      <w:pPr>
        <w:spacing w:line="276" w:lineRule="auto"/>
        <w:ind w:firstLine="567"/>
        <w:jc w:val="both"/>
      </w:pPr>
    </w:p>
    <w:p w14:paraId="1CADE06F" w14:textId="49F789CE" w:rsidR="001504B7" w:rsidRDefault="00071FBC" w:rsidP="00EC3193">
      <w:pPr>
        <w:spacing w:line="276" w:lineRule="auto"/>
        <w:ind w:firstLine="567"/>
        <w:jc w:val="both"/>
      </w:pPr>
      <w:bookmarkStart w:id="3" w:name="_Hlk43281287"/>
      <w:r>
        <w:t xml:space="preserve">[2] Izskatot lietu apelācijas kārtībā, Administratīvā apgabaltiesa, pievienojoties </w:t>
      </w:r>
      <w:r w:rsidR="00FE32C1">
        <w:t xml:space="preserve">arī </w:t>
      </w:r>
      <w:r>
        <w:t xml:space="preserve">pirmās instances tiesas spriedumam, pieteikumu noraidīja. </w:t>
      </w:r>
      <w:r w:rsidR="00E81DAA">
        <w:t>Tiesa</w:t>
      </w:r>
      <w:r w:rsidR="00FC7406">
        <w:t>s spriedums pamatots ar t</w:t>
      </w:r>
      <w:r w:rsidR="00FD2FFB">
        <w:t>urpmāk</w:t>
      </w:r>
      <w:r w:rsidR="00FC7406">
        <w:t xml:space="preserve"> minētajiem argumentiem.</w:t>
      </w:r>
      <w:r w:rsidR="001504B7">
        <w:t xml:space="preserve"> </w:t>
      </w:r>
    </w:p>
    <w:p w14:paraId="5E168342" w14:textId="28E296B1" w:rsidR="00D0073E" w:rsidRDefault="001504B7" w:rsidP="00EC3193">
      <w:pPr>
        <w:spacing w:line="276" w:lineRule="auto"/>
        <w:ind w:firstLine="567"/>
        <w:jc w:val="both"/>
        <w:rPr>
          <w:color w:val="000000"/>
        </w:rPr>
      </w:pPr>
      <w:r>
        <w:t>[2.1]</w:t>
      </w:r>
      <w:r w:rsidR="005241EF">
        <w:t> </w:t>
      </w:r>
      <w:r w:rsidRPr="00A373E2">
        <w:rPr>
          <w:color w:val="000000"/>
        </w:rPr>
        <w:t>Azartspēļu un izložu likum</w:t>
      </w:r>
      <w:r w:rsidR="00EC10F2">
        <w:rPr>
          <w:color w:val="000000"/>
        </w:rPr>
        <w:t>a</w:t>
      </w:r>
      <w:r w:rsidRPr="00A373E2">
        <w:rPr>
          <w:color w:val="000000"/>
        </w:rPr>
        <w:t xml:space="preserve"> </w:t>
      </w:r>
      <w:proofErr w:type="gramStart"/>
      <w:r w:rsidRPr="00A373E2">
        <w:rPr>
          <w:color w:val="000000"/>
        </w:rPr>
        <w:t>42.pant</w:t>
      </w:r>
      <w:r w:rsidR="00FD2FFB">
        <w:rPr>
          <w:color w:val="000000"/>
        </w:rPr>
        <w:t>ā</w:t>
      </w:r>
      <w:proofErr w:type="gramEnd"/>
      <w:r w:rsidR="004C6104">
        <w:rPr>
          <w:color w:val="000000"/>
        </w:rPr>
        <w:t xml:space="preserve"> </w:t>
      </w:r>
      <w:r w:rsidRPr="00A373E2">
        <w:rPr>
          <w:color w:val="000000"/>
        </w:rPr>
        <w:t>paredz</w:t>
      </w:r>
      <w:r w:rsidR="00FD2FFB">
        <w:rPr>
          <w:color w:val="000000"/>
        </w:rPr>
        <w:t>ēta</w:t>
      </w:r>
      <w:r w:rsidRPr="00A373E2">
        <w:rPr>
          <w:color w:val="000000"/>
        </w:rPr>
        <w:t xml:space="preserve"> pašvaldības kompetenc</w:t>
      </w:r>
      <w:r w:rsidR="00FD2FFB">
        <w:rPr>
          <w:color w:val="000000"/>
        </w:rPr>
        <w:t>e</w:t>
      </w:r>
      <w:r w:rsidRPr="00A373E2">
        <w:rPr>
          <w:color w:val="000000"/>
        </w:rPr>
        <w:t xml:space="preserve"> atcelt jau izsniegtu</w:t>
      </w:r>
      <w:r w:rsidR="004C6104">
        <w:rPr>
          <w:color w:val="000000"/>
        </w:rPr>
        <w:t xml:space="preserve"> </w:t>
      </w:r>
      <w:r w:rsidRPr="00A373E2">
        <w:rPr>
          <w:color w:val="000000"/>
        </w:rPr>
        <w:t>atļauju, ja azartspēļu organizēšana konkrētajā vietā rada būtisku valsts un attiecīgās</w:t>
      </w:r>
      <w:r w:rsidR="004C6104">
        <w:rPr>
          <w:color w:val="000000"/>
        </w:rPr>
        <w:t xml:space="preserve"> </w:t>
      </w:r>
      <w:r w:rsidRPr="00A373E2">
        <w:rPr>
          <w:color w:val="000000"/>
        </w:rPr>
        <w:t>administratīvās teritorijas iedzīvotāju interešu aizskārumu (42.panta trešā un sestā</w:t>
      </w:r>
      <w:r w:rsidR="004C6104">
        <w:rPr>
          <w:color w:val="000000"/>
        </w:rPr>
        <w:t xml:space="preserve"> </w:t>
      </w:r>
      <w:r w:rsidRPr="00A373E2">
        <w:rPr>
          <w:color w:val="000000"/>
        </w:rPr>
        <w:t>daļa).</w:t>
      </w:r>
      <w:r w:rsidR="009E1BFD">
        <w:rPr>
          <w:color w:val="000000"/>
        </w:rPr>
        <w:t xml:space="preserve"> </w:t>
      </w:r>
      <w:r w:rsidR="00B230C7">
        <w:rPr>
          <w:color w:val="000000"/>
        </w:rPr>
        <w:lastRenderedPageBreak/>
        <w:t xml:space="preserve">Atbilstoši </w:t>
      </w:r>
      <w:r w:rsidRPr="00A373E2">
        <w:rPr>
          <w:color w:val="000000"/>
        </w:rPr>
        <w:t>Rīgas vēsturiskā centra saglabāšanas un aizsardzības likum</w:t>
      </w:r>
      <w:r w:rsidR="00FD2FFB">
        <w:rPr>
          <w:color w:val="000000"/>
        </w:rPr>
        <w:t>a</w:t>
      </w:r>
      <w:r w:rsidR="00B230C7">
        <w:rPr>
          <w:color w:val="000000"/>
        </w:rPr>
        <w:t xml:space="preserve">m </w:t>
      </w:r>
      <w:r w:rsidRPr="00A373E2">
        <w:rPr>
          <w:color w:val="000000"/>
        </w:rPr>
        <w:t>vēsturiskā centra izmantošanu</w:t>
      </w:r>
      <w:r w:rsidR="00B230C7">
        <w:rPr>
          <w:color w:val="000000"/>
        </w:rPr>
        <w:t xml:space="preserve"> un cit</w:t>
      </w:r>
      <w:r w:rsidR="005241EF">
        <w:rPr>
          <w:color w:val="000000"/>
        </w:rPr>
        <w:t>a</w:t>
      </w:r>
      <w:r w:rsidR="00B230C7">
        <w:rPr>
          <w:color w:val="000000"/>
        </w:rPr>
        <w:t>s darbības regulē</w:t>
      </w:r>
      <w:r w:rsidRPr="00A373E2">
        <w:rPr>
          <w:color w:val="000000"/>
        </w:rPr>
        <w:t xml:space="preserve"> </w:t>
      </w:r>
      <w:proofErr w:type="spellStart"/>
      <w:r w:rsidRPr="00A373E2">
        <w:rPr>
          <w:color w:val="000000"/>
        </w:rPr>
        <w:t>lokālplānojums</w:t>
      </w:r>
      <w:proofErr w:type="spellEnd"/>
      <w:r w:rsidRPr="00A373E2">
        <w:rPr>
          <w:color w:val="000000"/>
        </w:rPr>
        <w:t xml:space="preserve"> saistošo noteikumu</w:t>
      </w:r>
      <w:r w:rsidR="009E1BFD">
        <w:rPr>
          <w:color w:val="000000"/>
        </w:rPr>
        <w:t xml:space="preserve"> </w:t>
      </w:r>
      <w:r w:rsidRPr="00A373E2">
        <w:rPr>
          <w:color w:val="000000"/>
        </w:rPr>
        <w:t>veidā.</w:t>
      </w:r>
      <w:r w:rsidR="009E1BFD">
        <w:rPr>
          <w:color w:val="000000"/>
        </w:rPr>
        <w:t xml:space="preserve"> </w:t>
      </w:r>
      <w:r w:rsidR="00B230C7">
        <w:rPr>
          <w:color w:val="000000"/>
        </w:rPr>
        <w:t>S</w:t>
      </w:r>
      <w:r w:rsidRPr="00A373E2">
        <w:rPr>
          <w:color w:val="000000"/>
        </w:rPr>
        <w:t>aistoš</w:t>
      </w:r>
      <w:r w:rsidR="00B24055">
        <w:rPr>
          <w:color w:val="000000"/>
        </w:rPr>
        <w:t>o</w:t>
      </w:r>
      <w:r w:rsidRPr="00A373E2">
        <w:rPr>
          <w:color w:val="000000"/>
        </w:rPr>
        <w:t xml:space="preserve"> noteikum</w:t>
      </w:r>
      <w:r w:rsidR="00B24055">
        <w:rPr>
          <w:color w:val="000000"/>
        </w:rPr>
        <w:t>u</w:t>
      </w:r>
      <w:r w:rsidRPr="00A373E2">
        <w:rPr>
          <w:color w:val="000000"/>
        </w:rPr>
        <w:t xml:space="preserve"> Nr.</w:t>
      </w:r>
      <w:r w:rsidR="005241EF">
        <w:rPr>
          <w:color w:val="000000"/>
        </w:rPr>
        <w:t> </w:t>
      </w:r>
      <w:r w:rsidRPr="00A373E2">
        <w:rPr>
          <w:color w:val="000000"/>
        </w:rPr>
        <w:t>38 459.punktā noteikt</w:t>
      </w:r>
      <w:r w:rsidR="00B24055">
        <w:rPr>
          <w:color w:val="000000"/>
        </w:rPr>
        <w:t>s</w:t>
      </w:r>
      <w:r w:rsidRPr="00A373E2">
        <w:rPr>
          <w:color w:val="000000"/>
        </w:rPr>
        <w:t xml:space="preserve"> aizliegums</w:t>
      </w:r>
      <w:r w:rsidR="00435AC9">
        <w:rPr>
          <w:color w:val="000000"/>
        </w:rPr>
        <w:t xml:space="preserve"> </w:t>
      </w:r>
      <w:r w:rsidRPr="00A373E2">
        <w:rPr>
          <w:color w:val="000000"/>
        </w:rPr>
        <w:t>ierīkot spēļu zāli</w:t>
      </w:r>
      <w:r w:rsidR="00B24055">
        <w:rPr>
          <w:color w:val="000000"/>
        </w:rPr>
        <w:t xml:space="preserve"> </w:t>
      </w:r>
      <w:r w:rsidR="00B230C7">
        <w:rPr>
          <w:color w:val="000000"/>
        </w:rPr>
        <w:t xml:space="preserve">konkrētās </w:t>
      </w:r>
      <w:r w:rsidR="00B24055" w:rsidRPr="00A373E2">
        <w:rPr>
          <w:color w:val="000000"/>
        </w:rPr>
        <w:t xml:space="preserve">vēsturiskā centra </w:t>
      </w:r>
      <w:r w:rsidRPr="00A373E2">
        <w:rPr>
          <w:color w:val="000000"/>
        </w:rPr>
        <w:t>teritorijās, izņemot četru un piecu</w:t>
      </w:r>
      <w:r w:rsidR="00435AC9">
        <w:rPr>
          <w:color w:val="000000"/>
        </w:rPr>
        <w:t xml:space="preserve"> </w:t>
      </w:r>
      <w:r w:rsidRPr="00A373E2">
        <w:rPr>
          <w:color w:val="000000"/>
        </w:rPr>
        <w:t>zvaigžņu viesnīcas.</w:t>
      </w:r>
      <w:r w:rsidR="00596257">
        <w:rPr>
          <w:color w:val="000000"/>
        </w:rPr>
        <w:t xml:space="preserve"> </w:t>
      </w:r>
      <w:r w:rsidR="007A6AE1">
        <w:rPr>
          <w:color w:val="000000"/>
        </w:rPr>
        <w:t>Šis punkts</w:t>
      </w:r>
      <w:r w:rsidR="00596257">
        <w:rPr>
          <w:color w:val="000000"/>
        </w:rPr>
        <w:t xml:space="preserve"> ir piemērojams, </w:t>
      </w:r>
      <w:r w:rsidR="00F13681">
        <w:rPr>
          <w:color w:val="000000"/>
        </w:rPr>
        <w:t>lai atceltu atļauju</w:t>
      </w:r>
      <w:r w:rsidR="00F13681" w:rsidRPr="00A373E2">
        <w:rPr>
          <w:color w:val="000000"/>
        </w:rPr>
        <w:t>.</w:t>
      </w:r>
      <w:r w:rsidR="00F13681">
        <w:rPr>
          <w:color w:val="000000"/>
        </w:rPr>
        <w:t xml:space="preserve"> </w:t>
      </w:r>
    </w:p>
    <w:p w14:paraId="37ABB93F" w14:textId="300581A4" w:rsidR="00B230C7" w:rsidRDefault="00D0073E" w:rsidP="00EC3193">
      <w:pPr>
        <w:spacing w:line="276" w:lineRule="auto"/>
        <w:ind w:firstLine="567"/>
        <w:jc w:val="both"/>
        <w:rPr>
          <w:color w:val="000000"/>
        </w:rPr>
      </w:pPr>
      <w:r>
        <w:rPr>
          <w:color w:val="000000"/>
        </w:rPr>
        <w:t>[2.2]</w:t>
      </w:r>
      <w:r w:rsidR="005241EF">
        <w:rPr>
          <w:color w:val="000000"/>
        </w:rPr>
        <w:t> </w:t>
      </w:r>
      <w:r w:rsidR="00B230C7" w:rsidRPr="00A373E2">
        <w:rPr>
          <w:color w:val="000000"/>
        </w:rPr>
        <w:t>Ar Satversmes tiesas</w:t>
      </w:r>
      <w:r w:rsidR="00B230C7">
        <w:rPr>
          <w:color w:val="000000"/>
        </w:rPr>
        <w:t xml:space="preserve"> </w:t>
      </w:r>
      <w:proofErr w:type="gramStart"/>
      <w:r w:rsidR="00B230C7" w:rsidRPr="00A373E2">
        <w:rPr>
          <w:color w:val="000000"/>
        </w:rPr>
        <w:t>2019.gada</w:t>
      </w:r>
      <w:proofErr w:type="gramEnd"/>
      <w:r w:rsidR="00B230C7" w:rsidRPr="00A373E2">
        <w:rPr>
          <w:color w:val="000000"/>
        </w:rPr>
        <w:t xml:space="preserve"> 16.maija spriedumu lietā Nr.</w:t>
      </w:r>
      <w:r w:rsidR="005241EF">
        <w:rPr>
          <w:color w:val="000000"/>
        </w:rPr>
        <w:t> </w:t>
      </w:r>
      <w:r w:rsidR="00B230C7" w:rsidRPr="00A373E2">
        <w:rPr>
          <w:color w:val="000000"/>
        </w:rPr>
        <w:t>2018-17-03 saistošo noteikumu Nr.</w:t>
      </w:r>
      <w:r w:rsidR="005241EF">
        <w:rPr>
          <w:color w:val="000000"/>
        </w:rPr>
        <w:t> </w:t>
      </w:r>
      <w:r w:rsidR="00B230C7" w:rsidRPr="00A373E2">
        <w:rPr>
          <w:color w:val="000000"/>
        </w:rPr>
        <w:t>38 459.punkt</w:t>
      </w:r>
      <w:r w:rsidR="00B230C7">
        <w:rPr>
          <w:color w:val="000000"/>
        </w:rPr>
        <w:t>s</w:t>
      </w:r>
      <w:r w:rsidR="00B230C7" w:rsidRPr="00A373E2">
        <w:rPr>
          <w:color w:val="000000"/>
        </w:rPr>
        <w:t xml:space="preserve"> ir atzīt</w:t>
      </w:r>
      <w:r w:rsidR="00B230C7">
        <w:rPr>
          <w:color w:val="000000"/>
        </w:rPr>
        <w:t>s</w:t>
      </w:r>
      <w:r w:rsidR="00B230C7" w:rsidRPr="00A373E2">
        <w:rPr>
          <w:color w:val="000000"/>
        </w:rPr>
        <w:t xml:space="preserve"> par</w:t>
      </w:r>
      <w:r w:rsidR="00B230C7">
        <w:rPr>
          <w:color w:val="000000"/>
        </w:rPr>
        <w:t xml:space="preserve"> </w:t>
      </w:r>
      <w:r w:rsidR="00B230C7" w:rsidRPr="00A373E2">
        <w:rPr>
          <w:color w:val="000000"/>
        </w:rPr>
        <w:t xml:space="preserve">atbilstošu </w:t>
      </w:r>
      <w:r w:rsidR="007E7C9C">
        <w:rPr>
          <w:color w:val="000000"/>
        </w:rPr>
        <w:t xml:space="preserve">Latvijas Republikas </w:t>
      </w:r>
      <w:r w:rsidR="00B230C7" w:rsidRPr="00A373E2">
        <w:rPr>
          <w:color w:val="000000"/>
        </w:rPr>
        <w:t xml:space="preserve">Satversmes </w:t>
      </w:r>
      <w:r w:rsidR="007E7C9C">
        <w:rPr>
          <w:color w:val="000000"/>
        </w:rPr>
        <w:t xml:space="preserve">(turpmāk </w:t>
      </w:r>
      <w:r w:rsidR="006B4A59">
        <w:rPr>
          <w:color w:val="000000"/>
        </w:rPr>
        <w:t>–</w:t>
      </w:r>
      <w:r w:rsidR="007E7C9C">
        <w:rPr>
          <w:color w:val="000000"/>
        </w:rPr>
        <w:t xml:space="preserve"> Satversme) </w:t>
      </w:r>
      <w:r w:rsidR="00B230C7" w:rsidRPr="00A373E2">
        <w:rPr>
          <w:color w:val="000000"/>
        </w:rPr>
        <w:t>105.panta</w:t>
      </w:r>
      <w:r w:rsidR="007A6AE1">
        <w:rPr>
          <w:color w:val="000000"/>
        </w:rPr>
        <w:t>m</w:t>
      </w:r>
      <w:r w:rsidR="00B230C7" w:rsidRPr="00A373E2">
        <w:rPr>
          <w:color w:val="000000"/>
        </w:rPr>
        <w:t>.</w:t>
      </w:r>
      <w:r w:rsidR="00B230C7">
        <w:rPr>
          <w:color w:val="000000"/>
        </w:rPr>
        <w:t xml:space="preserve"> </w:t>
      </w:r>
      <w:r w:rsidR="00B230C7" w:rsidRPr="00A373E2">
        <w:rPr>
          <w:color w:val="000000"/>
        </w:rPr>
        <w:t>Satversmes tiesa secināj</w:t>
      </w:r>
      <w:r w:rsidR="00B230C7">
        <w:rPr>
          <w:color w:val="000000"/>
        </w:rPr>
        <w:t>a</w:t>
      </w:r>
      <w:r w:rsidR="00B230C7" w:rsidRPr="00A373E2">
        <w:rPr>
          <w:color w:val="000000"/>
        </w:rPr>
        <w:t xml:space="preserve">, ka ar </w:t>
      </w:r>
      <w:bookmarkStart w:id="4" w:name="_Hlk53066657"/>
      <w:r w:rsidR="00B230C7" w:rsidRPr="00A373E2">
        <w:rPr>
          <w:color w:val="000000"/>
        </w:rPr>
        <w:t>spēļu zāļu</w:t>
      </w:r>
      <w:r w:rsidR="00B230C7">
        <w:rPr>
          <w:color w:val="000000"/>
        </w:rPr>
        <w:t xml:space="preserve"> </w:t>
      </w:r>
      <w:r w:rsidR="00B230C7" w:rsidRPr="00A373E2">
        <w:rPr>
          <w:color w:val="000000"/>
        </w:rPr>
        <w:t>ierīkošanas</w:t>
      </w:r>
      <w:bookmarkEnd w:id="4"/>
      <w:r w:rsidR="00B230C7" w:rsidRPr="00A373E2">
        <w:rPr>
          <w:color w:val="000000"/>
        </w:rPr>
        <w:t xml:space="preserve"> ierobežojumu noteikšanu un</w:t>
      </w:r>
      <w:r w:rsidR="00B230C7">
        <w:rPr>
          <w:color w:val="000000"/>
        </w:rPr>
        <w:t xml:space="preserve"> </w:t>
      </w:r>
      <w:r w:rsidR="00B230C7" w:rsidRPr="00A373E2">
        <w:rPr>
          <w:color w:val="000000"/>
        </w:rPr>
        <w:t>individuālu lēmumu pieņemšanu iespējams sasniegt lietderīgāko</w:t>
      </w:r>
      <w:r w:rsidR="004719A7">
        <w:rPr>
          <w:color w:val="000000"/>
        </w:rPr>
        <w:t>,</w:t>
      </w:r>
      <w:r w:rsidR="00B230C7" w:rsidRPr="00A373E2">
        <w:rPr>
          <w:color w:val="000000"/>
        </w:rPr>
        <w:t xml:space="preserve"> taisnīgāko</w:t>
      </w:r>
      <w:r w:rsidR="004719A7">
        <w:rPr>
          <w:color w:val="000000"/>
        </w:rPr>
        <w:t xml:space="preserve"> un</w:t>
      </w:r>
      <w:r w:rsidR="00B230C7" w:rsidRPr="00A373E2">
        <w:rPr>
          <w:color w:val="000000"/>
        </w:rPr>
        <w:t xml:space="preserve"> tiesību sistēmai visatbilstošāko</w:t>
      </w:r>
      <w:r w:rsidR="00B230C7">
        <w:rPr>
          <w:color w:val="000000"/>
        </w:rPr>
        <w:t xml:space="preserve"> </w:t>
      </w:r>
      <w:r w:rsidR="00B230C7" w:rsidRPr="00A373E2">
        <w:rPr>
          <w:color w:val="000000"/>
        </w:rPr>
        <w:t xml:space="preserve">rezultātu. </w:t>
      </w:r>
      <w:r w:rsidR="00B230C7">
        <w:rPr>
          <w:color w:val="000000"/>
        </w:rPr>
        <w:t>I</w:t>
      </w:r>
      <w:r w:rsidR="00B230C7" w:rsidRPr="00A373E2">
        <w:rPr>
          <w:color w:val="000000"/>
        </w:rPr>
        <w:t>erobežojuma leģitīmais mērķis ir citu cilvēku tiesību un sabiedrības</w:t>
      </w:r>
      <w:r w:rsidR="00B230C7">
        <w:rPr>
          <w:color w:val="000000"/>
        </w:rPr>
        <w:t xml:space="preserve"> </w:t>
      </w:r>
      <w:r w:rsidR="00B230C7" w:rsidRPr="00A373E2">
        <w:rPr>
          <w:color w:val="000000"/>
        </w:rPr>
        <w:t>labklājības aizsardzība</w:t>
      </w:r>
      <w:r w:rsidR="00800148">
        <w:rPr>
          <w:color w:val="000000"/>
        </w:rPr>
        <w:t>. N</w:t>
      </w:r>
      <w:r w:rsidR="00B230C7" w:rsidRPr="00A373E2">
        <w:rPr>
          <w:color w:val="000000"/>
        </w:rPr>
        <w:t>orma</w:t>
      </w:r>
      <w:r w:rsidR="004719A7">
        <w:rPr>
          <w:color w:val="000000"/>
        </w:rPr>
        <w:t xml:space="preserve">, kurā noteikts </w:t>
      </w:r>
      <w:r w:rsidR="00B230C7" w:rsidRPr="00A373E2">
        <w:rPr>
          <w:color w:val="000000"/>
        </w:rPr>
        <w:t>ierobežo</w:t>
      </w:r>
      <w:r w:rsidR="004719A7">
        <w:rPr>
          <w:color w:val="000000"/>
        </w:rPr>
        <w:t>jums</w:t>
      </w:r>
      <w:r w:rsidR="00B230C7" w:rsidRPr="00A373E2">
        <w:rPr>
          <w:color w:val="000000"/>
        </w:rPr>
        <w:t>, ir piemērot</w:t>
      </w:r>
      <w:r w:rsidR="00800148">
        <w:rPr>
          <w:color w:val="000000"/>
        </w:rPr>
        <w:t>a</w:t>
      </w:r>
      <w:r w:rsidR="00B230C7" w:rsidRPr="00A373E2">
        <w:rPr>
          <w:color w:val="000000"/>
        </w:rPr>
        <w:t xml:space="preserve"> šā mērķa sasniegšanai</w:t>
      </w:r>
      <w:r w:rsidR="00B230C7">
        <w:rPr>
          <w:color w:val="000000"/>
        </w:rPr>
        <w:t xml:space="preserve">. </w:t>
      </w:r>
      <w:r w:rsidR="00800148">
        <w:rPr>
          <w:color w:val="000000"/>
        </w:rPr>
        <w:t>I</w:t>
      </w:r>
      <w:r w:rsidR="00B230C7" w:rsidRPr="00A373E2">
        <w:rPr>
          <w:color w:val="000000"/>
        </w:rPr>
        <w:t>erobežojums nav absolūts</w:t>
      </w:r>
      <w:r w:rsidR="00B230C7">
        <w:rPr>
          <w:color w:val="000000"/>
        </w:rPr>
        <w:t xml:space="preserve">, </w:t>
      </w:r>
      <w:r w:rsidR="00800148">
        <w:rPr>
          <w:color w:val="000000"/>
        </w:rPr>
        <w:t>komersanti</w:t>
      </w:r>
      <w:r w:rsidR="00B230C7" w:rsidRPr="00A373E2">
        <w:rPr>
          <w:color w:val="000000"/>
        </w:rPr>
        <w:t xml:space="preserve"> var turpināt </w:t>
      </w:r>
      <w:r w:rsidR="004719A7">
        <w:rPr>
          <w:color w:val="000000"/>
        </w:rPr>
        <w:t>darbību</w:t>
      </w:r>
      <w:r w:rsidR="00B230C7" w:rsidRPr="00A373E2">
        <w:rPr>
          <w:color w:val="000000"/>
        </w:rPr>
        <w:t xml:space="preserve"> ārpus vēsturiskā centra</w:t>
      </w:r>
      <w:r w:rsidR="00B230C7">
        <w:rPr>
          <w:color w:val="000000"/>
        </w:rPr>
        <w:t xml:space="preserve">, kā arī </w:t>
      </w:r>
      <w:r w:rsidR="00B230C7" w:rsidRPr="00A373E2">
        <w:rPr>
          <w:color w:val="000000"/>
        </w:rPr>
        <w:t>viesnīcās</w:t>
      </w:r>
      <w:r w:rsidR="00B230C7">
        <w:rPr>
          <w:color w:val="000000"/>
        </w:rPr>
        <w:t xml:space="preserve">. </w:t>
      </w:r>
      <w:r w:rsidR="00800148">
        <w:rPr>
          <w:color w:val="000000"/>
        </w:rPr>
        <w:t>A</w:t>
      </w:r>
      <w:r w:rsidR="004719A7">
        <w:rPr>
          <w:color w:val="000000"/>
        </w:rPr>
        <w:t>tļaujas atcelšanas</w:t>
      </w:r>
      <w:r w:rsidR="00B230C7">
        <w:rPr>
          <w:color w:val="000000"/>
        </w:rPr>
        <w:t xml:space="preserve"> </w:t>
      </w:r>
      <w:r w:rsidR="00B230C7" w:rsidRPr="00A373E2">
        <w:rPr>
          <w:color w:val="000000"/>
        </w:rPr>
        <w:t>tiesības pašvaldība</w:t>
      </w:r>
      <w:r w:rsidR="00B230C7">
        <w:rPr>
          <w:color w:val="000000"/>
        </w:rPr>
        <w:t xml:space="preserve"> </w:t>
      </w:r>
      <w:r w:rsidR="00B230C7" w:rsidRPr="00A373E2">
        <w:rPr>
          <w:color w:val="000000"/>
        </w:rPr>
        <w:t>var izmantot līdztekus teritorijas plānojumā</w:t>
      </w:r>
      <w:r w:rsidR="00B230C7">
        <w:rPr>
          <w:color w:val="000000"/>
        </w:rPr>
        <w:t xml:space="preserve"> </w:t>
      </w:r>
      <w:r w:rsidR="00B230C7" w:rsidRPr="00A373E2">
        <w:rPr>
          <w:color w:val="000000"/>
        </w:rPr>
        <w:t xml:space="preserve">noteiktajam regulējumam. </w:t>
      </w:r>
      <w:r w:rsidR="004719A7">
        <w:rPr>
          <w:color w:val="000000"/>
        </w:rPr>
        <w:t>A</w:t>
      </w:r>
      <w:r w:rsidR="00B230C7" w:rsidRPr="00A373E2">
        <w:rPr>
          <w:color w:val="000000"/>
        </w:rPr>
        <w:t>tce</w:t>
      </w:r>
      <w:r w:rsidR="004719A7">
        <w:rPr>
          <w:color w:val="000000"/>
        </w:rPr>
        <w:t xml:space="preserve">ļot </w:t>
      </w:r>
      <w:r w:rsidR="00B230C7" w:rsidRPr="00A373E2">
        <w:rPr>
          <w:color w:val="000000"/>
        </w:rPr>
        <w:t>atļauju</w:t>
      </w:r>
      <w:r w:rsidR="005241EF">
        <w:rPr>
          <w:color w:val="000000"/>
        </w:rPr>
        <w:t>,</w:t>
      </w:r>
      <w:r w:rsidR="00B230C7" w:rsidRPr="00A373E2">
        <w:rPr>
          <w:color w:val="000000"/>
        </w:rPr>
        <w:t xml:space="preserve"> </w:t>
      </w:r>
      <w:r w:rsidR="004719A7">
        <w:rPr>
          <w:color w:val="000000"/>
        </w:rPr>
        <w:t>p</w:t>
      </w:r>
      <w:r w:rsidR="004719A7" w:rsidRPr="00A373E2">
        <w:rPr>
          <w:color w:val="000000"/>
        </w:rPr>
        <w:t xml:space="preserve">ašvaldība </w:t>
      </w:r>
      <w:r w:rsidR="00B230C7" w:rsidRPr="00A373E2">
        <w:rPr>
          <w:color w:val="000000"/>
        </w:rPr>
        <w:t>var pamatot būtisku iedzīvotāju interešu aizskārumu,</w:t>
      </w:r>
      <w:r w:rsidR="00B230C7">
        <w:rPr>
          <w:color w:val="000000"/>
        </w:rPr>
        <w:t xml:space="preserve"> </w:t>
      </w:r>
      <w:r w:rsidR="00B230C7" w:rsidRPr="00A373E2">
        <w:rPr>
          <w:color w:val="000000"/>
        </w:rPr>
        <w:t>atsau</w:t>
      </w:r>
      <w:r w:rsidR="004719A7">
        <w:rPr>
          <w:color w:val="000000"/>
        </w:rPr>
        <w:t>coties</w:t>
      </w:r>
      <w:r w:rsidR="00B230C7" w:rsidRPr="00A373E2">
        <w:rPr>
          <w:color w:val="000000"/>
        </w:rPr>
        <w:t xml:space="preserve"> arī uz vēsturiskā centra plānojumu, kura izstrādes gaitā jau ir</w:t>
      </w:r>
      <w:r w:rsidR="00B230C7">
        <w:rPr>
          <w:color w:val="000000"/>
        </w:rPr>
        <w:t xml:space="preserve"> </w:t>
      </w:r>
      <w:r w:rsidR="00B230C7" w:rsidRPr="00A373E2">
        <w:rPr>
          <w:color w:val="000000"/>
        </w:rPr>
        <w:t>saskaņo</w:t>
      </w:r>
      <w:r w:rsidR="004719A7">
        <w:rPr>
          <w:color w:val="000000"/>
        </w:rPr>
        <w:t>tas</w:t>
      </w:r>
      <w:r w:rsidR="00B230C7" w:rsidRPr="00A373E2">
        <w:rPr>
          <w:color w:val="000000"/>
        </w:rPr>
        <w:t xml:space="preserve"> atsevišķu personu un sabiedrības intereses. N</w:t>
      </w:r>
      <w:r w:rsidR="00F13681">
        <w:rPr>
          <w:color w:val="000000"/>
        </w:rPr>
        <w:t>av</w:t>
      </w:r>
      <w:r w:rsidR="00B230C7" w:rsidRPr="00A373E2">
        <w:rPr>
          <w:color w:val="000000"/>
        </w:rPr>
        <w:t xml:space="preserve"> alternatīv</w:t>
      </w:r>
      <w:r w:rsidR="00F13681">
        <w:rPr>
          <w:color w:val="000000"/>
        </w:rPr>
        <w:t>u</w:t>
      </w:r>
      <w:r w:rsidR="00B230C7" w:rsidRPr="00A373E2">
        <w:rPr>
          <w:color w:val="000000"/>
        </w:rPr>
        <w:t xml:space="preserve"> līdzekļ</w:t>
      </w:r>
      <w:r w:rsidR="00F13681">
        <w:rPr>
          <w:color w:val="000000"/>
        </w:rPr>
        <w:t>u</w:t>
      </w:r>
      <w:r w:rsidR="00B230C7" w:rsidRPr="00A373E2">
        <w:rPr>
          <w:color w:val="000000"/>
        </w:rPr>
        <w:t>, kas</w:t>
      </w:r>
      <w:r w:rsidR="00B230C7">
        <w:rPr>
          <w:color w:val="000000"/>
        </w:rPr>
        <w:t xml:space="preserve"> </w:t>
      </w:r>
      <w:r w:rsidR="00B230C7" w:rsidRPr="00A373E2">
        <w:rPr>
          <w:color w:val="000000"/>
        </w:rPr>
        <w:t>ierobežotu pamattiesības mazāk un ļautu sasniegt leģitīmo mērķi vismaz tādā pašā</w:t>
      </w:r>
      <w:r w:rsidR="00B230C7">
        <w:rPr>
          <w:color w:val="000000"/>
        </w:rPr>
        <w:t xml:space="preserve"> </w:t>
      </w:r>
      <w:r w:rsidR="00B230C7" w:rsidRPr="00A373E2">
        <w:rPr>
          <w:color w:val="000000"/>
        </w:rPr>
        <w:t>kvalitātē</w:t>
      </w:r>
      <w:r w:rsidR="00B230C7">
        <w:rPr>
          <w:color w:val="000000"/>
        </w:rPr>
        <w:t>.</w:t>
      </w:r>
    </w:p>
    <w:p w14:paraId="71653355" w14:textId="2C4C6B30" w:rsidR="005D1C83" w:rsidRDefault="00F13681" w:rsidP="00EC3193">
      <w:pPr>
        <w:spacing w:line="276" w:lineRule="auto"/>
        <w:ind w:firstLine="567"/>
        <w:jc w:val="both"/>
        <w:rPr>
          <w:color w:val="000000"/>
        </w:rPr>
      </w:pPr>
      <w:r>
        <w:rPr>
          <w:color w:val="000000"/>
        </w:rPr>
        <w:t>[2.3]</w:t>
      </w:r>
      <w:r w:rsidR="005241EF">
        <w:rPr>
          <w:color w:val="000000"/>
        </w:rPr>
        <w:t> </w:t>
      </w:r>
      <w:r w:rsidR="000F1856">
        <w:rPr>
          <w:color w:val="000000"/>
        </w:rPr>
        <w:t>Pārsūdzētais l</w:t>
      </w:r>
      <w:r w:rsidR="001504B7" w:rsidRPr="00A373E2">
        <w:rPr>
          <w:color w:val="000000"/>
        </w:rPr>
        <w:t xml:space="preserve">ēmums </w:t>
      </w:r>
      <w:r w:rsidR="00093046">
        <w:rPr>
          <w:color w:val="000000"/>
        </w:rPr>
        <w:t>pieņem</w:t>
      </w:r>
      <w:r w:rsidR="00093046" w:rsidRPr="00A373E2">
        <w:rPr>
          <w:color w:val="000000"/>
        </w:rPr>
        <w:t>ts</w:t>
      </w:r>
      <w:r w:rsidR="001504B7" w:rsidRPr="00A373E2">
        <w:rPr>
          <w:color w:val="000000"/>
        </w:rPr>
        <w:t xml:space="preserve">, izpildot </w:t>
      </w:r>
      <w:bookmarkStart w:id="5" w:name="_Hlk49507813"/>
      <w:r w:rsidR="001504B7" w:rsidRPr="00A373E2">
        <w:rPr>
          <w:color w:val="000000"/>
        </w:rPr>
        <w:t>Senāta blakus lēmumu lietā Nr.</w:t>
      </w:r>
      <w:r w:rsidR="005241EF">
        <w:rPr>
          <w:color w:val="000000"/>
        </w:rPr>
        <w:t> </w:t>
      </w:r>
      <w:r w:rsidR="001504B7" w:rsidRPr="00A373E2">
        <w:rPr>
          <w:color w:val="000000"/>
        </w:rPr>
        <w:t>SKA-34/2017</w:t>
      </w:r>
      <w:bookmarkEnd w:id="5"/>
      <w:r>
        <w:rPr>
          <w:color w:val="000000"/>
        </w:rPr>
        <w:t xml:space="preserve">, </w:t>
      </w:r>
      <w:r w:rsidR="00F84032">
        <w:rPr>
          <w:color w:val="000000"/>
        </w:rPr>
        <w:t>kuram</w:t>
      </w:r>
      <w:r w:rsidR="001504B7" w:rsidRPr="00A373E2">
        <w:rPr>
          <w:color w:val="000000"/>
        </w:rPr>
        <w:t xml:space="preserve"> </w:t>
      </w:r>
      <w:r w:rsidR="006A36B1">
        <w:rPr>
          <w:color w:val="000000"/>
        </w:rPr>
        <w:t xml:space="preserve">atbilstoši </w:t>
      </w:r>
      <w:r w:rsidR="001504B7" w:rsidRPr="00A373E2">
        <w:rPr>
          <w:color w:val="000000"/>
        </w:rPr>
        <w:t>pašvaldība</w:t>
      </w:r>
      <w:r w:rsidR="00F84032">
        <w:rPr>
          <w:color w:val="000000"/>
        </w:rPr>
        <w:t>i ir</w:t>
      </w:r>
      <w:r w:rsidR="001504B7" w:rsidRPr="00A373E2">
        <w:rPr>
          <w:color w:val="000000"/>
        </w:rPr>
        <w:t xml:space="preserve"> pienākums izstrādāt </w:t>
      </w:r>
      <w:r w:rsidR="00E33368">
        <w:rPr>
          <w:color w:val="000000"/>
        </w:rPr>
        <w:t xml:space="preserve">attiecīgos </w:t>
      </w:r>
      <w:r w:rsidR="001504B7" w:rsidRPr="00A373E2">
        <w:rPr>
          <w:color w:val="000000"/>
        </w:rPr>
        <w:t>saistošos</w:t>
      </w:r>
      <w:r w:rsidR="00E33368">
        <w:rPr>
          <w:color w:val="000000"/>
        </w:rPr>
        <w:t xml:space="preserve"> </w:t>
      </w:r>
      <w:r w:rsidR="001504B7" w:rsidRPr="00A373E2">
        <w:rPr>
          <w:color w:val="000000"/>
        </w:rPr>
        <w:t>noteikumus, kā arī gādāt par savas teritorijas attīstību atbilstoši tiem, bet izdotais normatīvais akts ir respektējams.</w:t>
      </w:r>
      <w:r w:rsidR="00E33368">
        <w:rPr>
          <w:color w:val="000000"/>
        </w:rPr>
        <w:t xml:space="preserve"> </w:t>
      </w:r>
    </w:p>
    <w:p w14:paraId="1B233AE3" w14:textId="075374FD" w:rsidR="005D1C83" w:rsidRDefault="005D1C83" w:rsidP="00EC3193">
      <w:pPr>
        <w:spacing w:line="276" w:lineRule="auto"/>
        <w:ind w:firstLine="567"/>
        <w:jc w:val="both"/>
        <w:rPr>
          <w:color w:val="000000"/>
        </w:rPr>
      </w:pPr>
      <w:r>
        <w:rPr>
          <w:color w:val="000000"/>
        </w:rPr>
        <w:t>[2.</w:t>
      </w:r>
      <w:r w:rsidR="00F13681">
        <w:rPr>
          <w:color w:val="000000"/>
        </w:rPr>
        <w:t>4</w:t>
      </w:r>
      <w:r>
        <w:rPr>
          <w:color w:val="000000"/>
        </w:rPr>
        <w:t>]</w:t>
      </w:r>
      <w:r w:rsidR="005241EF">
        <w:rPr>
          <w:color w:val="000000"/>
        </w:rPr>
        <w:t> </w:t>
      </w:r>
      <w:r w:rsidR="001504B7" w:rsidRPr="00A373E2">
        <w:rPr>
          <w:color w:val="000000"/>
        </w:rPr>
        <w:t xml:space="preserve">Azartspēļu un izložu likuma </w:t>
      </w:r>
      <w:proofErr w:type="gramStart"/>
      <w:r w:rsidR="001504B7" w:rsidRPr="00A373E2">
        <w:rPr>
          <w:color w:val="000000"/>
        </w:rPr>
        <w:t>42.panta</w:t>
      </w:r>
      <w:proofErr w:type="gramEnd"/>
      <w:r w:rsidR="001504B7" w:rsidRPr="00A373E2">
        <w:rPr>
          <w:color w:val="000000"/>
        </w:rPr>
        <w:t xml:space="preserve"> sestajā daļā noteiktais, ka</w:t>
      </w:r>
      <w:r>
        <w:rPr>
          <w:color w:val="000000"/>
        </w:rPr>
        <w:t xml:space="preserve"> </w:t>
      </w:r>
      <w:r w:rsidR="001504B7" w:rsidRPr="00A373E2">
        <w:rPr>
          <w:color w:val="000000"/>
        </w:rPr>
        <w:t>pašvaldībai katrā konkrētā gadījumā jāvērtē interešu aizskāruma būtiskums, neizslēdz to, ka šo interešu samērošana jau ir veikta teritorijas plānošanas</w:t>
      </w:r>
      <w:r>
        <w:rPr>
          <w:color w:val="000000"/>
        </w:rPr>
        <w:t xml:space="preserve"> </w:t>
      </w:r>
      <w:r w:rsidR="001504B7" w:rsidRPr="00A373E2">
        <w:rPr>
          <w:color w:val="000000"/>
        </w:rPr>
        <w:t>procesā</w:t>
      </w:r>
      <w:r w:rsidR="0082657A">
        <w:rPr>
          <w:color w:val="000000"/>
        </w:rPr>
        <w:t>,</w:t>
      </w:r>
      <w:r w:rsidR="001504B7" w:rsidRPr="00A373E2">
        <w:rPr>
          <w:color w:val="000000"/>
        </w:rPr>
        <w:t xml:space="preserve"> </w:t>
      </w:r>
      <w:r w:rsidR="00093046">
        <w:rPr>
          <w:color w:val="000000"/>
        </w:rPr>
        <w:t xml:space="preserve">izdodot </w:t>
      </w:r>
      <w:r w:rsidR="001504B7" w:rsidRPr="00A373E2">
        <w:rPr>
          <w:color w:val="000000"/>
        </w:rPr>
        <w:t>saistošos noteikumus Nr.</w:t>
      </w:r>
      <w:r w:rsidR="005241EF">
        <w:rPr>
          <w:color w:val="000000"/>
        </w:rPr>
        <w:t> </w:t>
      </w:r>
      <w:r w:rsidR="001504B7" w:rsidRPr="00A373E2">
        <w:rPr>
          <w:color w:val="000000"/>
        </w:rPr>
        <w:t>38</w:t>
      </w:r>
      <w:r>
        <w:rPr>
          <w:color w:val="000000"/>
        </w:rPr>
        <w:t>.</w:t>
      </w:r>
    </w:p>
    <w:p w14:paraId="376854B9" w14:textId="27BBCC8D" w:rsidR="00053222" w:rsidRDefault="001504B7" w:rsidP="00EC3193">
      <w:pPr>
        <w:spacing w:line="276" w:lineRule="auto"/>
        <w:ind w:firstLine="567"/>
        <w:jc w:val="both"/>
        <w:rPr>
          <w:color w:val="000000"/>
        </w:rPr>
      </w:pPr>
      <w:r w:rsidRPr="00A373E2">
        <w:rPr>
          <w:color w:val="000000"/>
        </w:rPr>
        <w:t>[</w:t>
      </w:r>
      <w:r w:rsidR="005D1C83">
        <w:rPr>
          <w:color w:val="000000"/>
        </w:rPr>
        <w:t>2.</w:t>
      </w:r>
      <w:r w:rsidR="00766AF2">
        <w:rPr>
          <w:color w:val="000000"/>
        </w:rPr>
        <w:t>5</w:t>
      </w:r>
      <w:r w:rsidRPr="00A373E2">
        <w:rPr>
          <w:color w:val="000000"/>
        </w:rPr>
        <w:t>]</w:t>
      </w:r>
      <w:r w:rsidR="005241EF">
        <w:rPr>
          <w:color w:val="000000"/>
        </w:rPr>
        <w:t> </w:t>
      </w:r>
      <w:r w:rsidR="00053222">
        <w:rPr>
          <w:color w:val="000000"/>
        </w:rPr>
        <w:t>T</w:t>
      </w:r>
      <w:r w:rsidRPr="00A373E2">
        <w:rPr>
          <w:color w:val="000000"/>
        </w:rPr>
        <w:t xml:space="preserve">iesiskās paļāvības princips neliedz </w:t>
      </w:r>
      <w:r w:rsidR="00093046" w:rsidRPr="00A373E2">
        <w:rPr>
          <w:color w:val="000000"/>
        </w:rPr>
        <w:t xml:space="preserve">valstij </w:t>
      </w:r>
      <w:r w:rsidRPr="00A373E2">
        <w:rPr>
          <w:color w:val="000000"/>
        </w:rPr>
        <w:t>grozīt</w:t>
      </w:r>
      <w:r w:rsidR="00053222">
        <w:rPr>
          <w:color w:val="000000"/>
        </w:rPr>
        <w:t xml:space="preserve"> tiesisko regulējumu, ja tiek ievērots </w:t>
      </w:r>
      <w:r w:rsidRPr="00A373E2">
        <w:rPr>
          <w:color w:val="000000"/>
        </w:rPr>
        <w:t>saprātīg</w:t>
      </w:r>
      <w:r w:rsidR="00053222">
        <w:rPr>
          <w:color w:val="000000"/>
        </w:rPr>
        <w:t>s</w:t>
      </w:r>
      <w:r w:rsidRPr="00A373E2">
        <w:rPr>
          <w:color w:val="000000"/>
        </w:rPr>
        <w:t xml:space="preserve"> līdzsvar</w:t>
      </w:r>
      <w:r w:rsidR="00053222">
        <w:rPr>
          <w:color w:val="000000"/>
        </w:rPr>
        <w:t>s</w:t>
      </w:r>
      <w:r w:rsidRPr="00A373E2">
        <w:rPr>
          <w:color w:val="000000"/>
        </w:rPr>
        <w:t xml:space="preserve"> starp personas paļāvību un tām interesēm, kuru nodrošināšanas</w:t>
      </w:r>
      <w:r w:rsidR="00053222">
        <w:rPr>
          <w:color w:val="000000"/>
        </w:rPr>
        <w:t xml:space="preserve"> </w:t>
      </w:r>
      <w:r w:rsidRPr="00A373E2">
        <w:rPr>
          <w:color w:val="000000"/>
        </w:rPr>
        <w:t>labad regulējums tiek mainīts.</w:t>
      </w:r>
      <w:r w:rsidR="00053222">
        <w:rPr>
          <w:color w:val="000000"/>
        </w:rPr>
        <w:t xml:space="preserve"> </w:t>
      </w:r>
      <w:r w:rsidRPr="00A373E2">
        <w:rPr>
          <w:color w:val="000000"/>
        </w:rPr>
        <w:t xml:space="preserve">Azartspēļu un izložu likuma </w:t>
      </w:r>
      <w:proofErr w:type="gramStart"/>
      <w:r w:rsidRPr="00A373E2">
        <w:rPr>
          <w:color w:val="000000"/>
        </w:rPr>
        <w:t>42.panta</w:t>
      </w:r>
      <w:proofErr w:type="gramEnd"/>
      <w:r w:rsidRPr="00A373E2">
        <w:rPr>
          <w:color w:val="000000"/>
        </w:rPr>
        <w:t xml:space="preserve"> septītajā daļā paredzēts piecu gadu</w:t>
      </w:r>
      <w:r w:rsidR="00053222">
        <w:rPr>
          <w:color w:val="000000"/>
        </w:rPr>
        <w:t xml:space="preserve"> </w:t>
      </w:r>
      <w:r w:rsidRPr="00A373E2">
        <w:rPr>
          <w:color w:val="000000"/>
        </w:rPr>
        <w:t>pārejas termiņš pēc lēmuma par atļaujas atcelšanu spēkā stāšanās</w:t>
      </w:r>
      <w:r w:rsidR="00053222">
        <w:rPr>
          <w:color w:val="000000"/>
        </w:rPr>
        <w:t xml:space="preserve"> </w:t>
      </w:r>
      <w:r w:rsidRPr="00A373E2">
        <w:rPr>
          <w:color w:val="000000"/>
        </w:rPr>
        <w:t>dienas</w:t>
      </w:r>
      <w:r w:rsidR="00724B28">
        <w:rPr>
          <w:color w:val="000000"/>
        </w:rPr>
        <w:t>. Tas</w:t>
      </w:r>
      <w:r w:rsidR="00731E38">
        <w:rPr>
          <w:color w:val="000000"/>
        </w:rPr>
        <w:t xml:space="preserve"> </w:t>
      </w:r>
      <w:r w:rsidRPr="00A373E2">
        <w:rPr>
          <w:color w:val="000000"/>
        </w:rPr>
        <w:t>ir pietiekam</w:t>
      </w:r>
      <w:r w:rsidR="00724B28">
        <w:rPr>
          <w:color w:val="000000"/>
        </w:rPr>
        <w:t xml:space="preserve">s, </w:t>
      </w:r>
      <w:r w:rsidRPr="00A373E2">
        <w:rPr>
          <w:color w:val="000000"/>
        </w:rPr>
        <w:t>lai pieteicēja</w:t>
      </w:r>
      <w:r w:rsidR="00053222">
        <w:rPr>
          <w:color w:val="000000"/>
        </w:rPr>
        <w:t xml:space="preserve"> </w:t>
      </w:r>
      <w:r w:rsidRPr="00A373E2">
        <w:rPr>
          <w:color w:val="000000"/>
        </w:rPr>
        <w:t>rastu risinājumu. Administratīvā</w:t>
      </w:r>
      <w:r w:rsidR="00053222">
        <w:rPr>
          <w:color w:val="000000"/>
        </w:rPr>
        <w:t xml:space="preserve"> </w:t>
      </w:r>
      <w:r w:rsidRPr="00A373E2">
        <w:rPr>
          <w:color w:val="000000"/>
        </w:rPr>
        <w:t xml:space="preserve">procesa likuma </w:t>
      </w:r>
      <w:proofErr w:type="gramStart"/>
      <w:r w:rsidRPr="00A373E2">
        <w:rPr>
          <w:color w:val="000000"/>
        </w:rPr>
        <w:t>85.pant</w:t>
      </w:r>
      <w:r w:rsidR="0082657A">
        <w:rPr>
          <w:color w:val="000000"/>
        </w:rPr>
        <w:t>ā</w:t>
      </w:r>
      <w:proofErr w:type="gramEnd"/>
      <w:r w:rsidRPr="00A373E2">
        <w:rPr>
          <w:color w:val="000000"/>
        </w:rPr>
        <w:t xml:space="preserve"> sakarā ar administratīvā akta atcelšanu </w:t>
      </w:r>
      <w:r w:rsidR="00D0073E" w:rsidRPr="00A373E2">
        <w:rPr>
          <w:color w:val="000000"/>
        </w:rPr>
        <w:t>paredzēt</w:t>
      </w:r>
      <w:r w:rsidR="00D0073E">
        <w:rPr>
          <w:color w:val="000000"/>
        </w:rPr>
        <w:t>a</w:t>
      </w:r>
      <w:r w:rsidR="00D0073E" w:rsidRPr="00A373E2">
        <w:rPr>
          <w:color w:val="000000"/>
        </w:rPr>
        <w:t xml:space="preserve"> </w:t>
      </w:r>
      <w:r w:rsidRPr="00A373E2">
        <w:rPr>
          <w:color w:val="000000"/>
        </w:rPr>
        <w:t>zaudējumu atlīdzināšana.</w:t>
      </w:r>
    </w:p>
    <w:p w14:paraId="703F6C37" w14:textId="0AB8D7C6" w:rsidR="00746ABA" w:rsidRDefault="00053222" w:rsidP="00EC3193">
      <w:pPr>
        <w:spacing w:line="276" w:lineRule="auto"/>
        <w:ind w:firstLine="567"/>
        <w:jc w:val="both"/>
        <w:rPr>
          <w:color w:val="000000"/>
        </w:rPr>
      </w:pPr>
      <w:r>
        <w:rPr>
          <w:color w:val="000000"/>
        </w:rPr>
        <w:t>[2.</w:t>
      </w:r>
      <w:r w:rsidR="00766AF2">
        <w:rPr>
          <w:color w:val="000000"/>
        </w:rPr>
        <w:t>6</w:t>
      </w:r>
      <w:r>
        <w:rPr>
          <w:color w:val="000000"/>
        </w:rPr>
        <w:t>]</w:t>
      </w:r>
      <w:r w:rsidR="005241EF">
        <w:rPr>
          <w:color w:val="000000"/>
        </w:rPr>
        <w:t> </w:t>
      </w:r>
      <w:r w:rsidRPr="00A373E2">
        <w:rPr>
          <w:color w:val="000000"/>
        </w:rPr>
        <w:t xml:space="preserve">Eiropas Parlamenta un Padomes </w:t>
      </w:r>
      <w:proofErr w:type="gramStart"/>
      <w:r w:rsidRPr="00A373E2">
        <w:rPr>
          <w:color w:val="000000"/>
        </w:rPr>
        <w:t>1998.gada</w:t>
      </w:r>
      <w:proofErr w:type="gramEnd"/>
      <w:r w:rsidR="00726F13">
        <w:rPr>
          <w:color w:val="000000"/>
        </w:rPr>
        <w:t xml:space="preserve"> </w:t>
      </w:r>
      <w:r w:rsidRPr="00A373E2">
        <w:rPr>
          <w:color w:val="000000"/>
        </w:rPr>
        <w:t xml:space="preserve">22.jūnija </w:t>
      </w:r>
      <w:r w:rsidR="006A36B1">
        <w:rPr>
          <w:color w:val="000000"/>
        </w:rPr>
        <w:t>D</w:t>
      </w:r>
      <w:r w:rsidR="006A36B1" w:rsidRPr="00A373E2">
        <w:rPr>
          <w:color w:val="000000"/>
        </w:rPr>
        <w:t xml:space="preserve">irektīvas </w:t>
      </w:r>
      <w:r w:rsidRPr="00A373E2">
        <w:rPr>
          <w:color w:val="000000"/>
        </w:rPr>
        <w:t>98/34/EK</w:t>
      </w:r>
      <w:r w:rsidR="0057459C">
        <w:rPr>
          <w:color w:val="000000"/>
        </w:rPr>
        <w:t>,</w:t>
      </w:r>
      <w:r w:rsidRPr="00A373E2">
        <w:rPr>
          <w:color w:val="000000"/>
        </w:rPr>
        <w:t xml:space="preserve"> ar ko nosaka informācijas sniegšanas kārtību tehnisko</w:t>
      </w:r>
      <w:r w:rsidR="00726F13">
        <w:rPr>
          <w:color w:val="000000"/>
        </w:rPr>
        <w:t xml:space="preserve"> </w:t>
      </w:r>
      <w:r w:rsidRPr="00A373E2">
        <w:rPr>
          <w:color w:val="000000"/>
        </w:rPr>
        <w:t xml:space="preserve">standartu un noteikumu jomā (turpmāk – </w:t>
      </w:r>
      <w:r w:rsidR="002469FE">
        <w:rPr>
          <w:color w:val="000000"/>
        </w:rPr>
        <w:t>D</w:t>
      </w:r>
      <w:r w:rsidRPr="00A373E2">
        <w:rPr>
          <w:color w:val="000000"/>
        </w:rPr>
        <w:t>irektīva 98/34/EK) 1.panta 9.punkts noteic,</w:t>
      </w:r>
      <w:r w:rsidR="00726F13">
        <w:rPr>
          <w:color w:val="000000"/>
        </w:rPr>
        <w:t xml:space="preserve"> </w:t>
      </w:r>
      <w:r w:rsidRPr="00A373E2">
        <w:rPr>
          <w:color w:val="000000"/>
        </w:rPr>
        <w:t xml:space="preserve">ka tehniski noteikumi ir </w:t>
      </w:r>
      <w:r w:rsidR="0082657A">
        <w:rPr>
          <w:color w:val="000000"/>
        </w:rPr>
        <w:t>arī</w:t>
      </w:r>
      <w:r w:rsidRPr="00A373E2">
        <w:rPr>
          <w:color w:val="000000"/>
        </w:rPr>
        <w:t xml:space="preserve"> administratīv</w:t>
      </w:r>
      <w:r w:rsidR="0082657A">
        <w:rPr>
          <w:color w:val="000000"/>
        </w:rPr>
        <w:t>ie</w:t>
      </w:r>
      <w:r w:rsidR="00726F13">
        <w:rPr>
          <w:color w:val="000000"/>
        </w:rPr>
        <w:t xml:space="preserve"> </w:t>
      </w:r>
      <w:r w:rsidRPr="00A373E2">
        <w:rPr>
          <w:color w:val="000000"/>
        </w:rPr>
        <w:t>noteikum</w:t>
      </w:r>
      <w:r w:rsidR="0082657A">
        <w:rPr>
          <w:color w:val="000000"/>
        </w:rPr>
        <w:t>i</w:t>
      </w:r>
      <w:r w:rsidRPr="00A373E2">
        <w:rPr>
          <w:color w:val="000000"/>
        </w:rPr>
        <w:t>, kuru</w:t>
      </w:r>
      <w:r w:rsidR="00726F13">
        <w:rPr>
          <w:color w:val="000000"/>
        </w:rPr>
        <w:t xml:space="preserve"> </w:t>
      </w:r>
      <w:r w:rsidRPr="00A373E2">
        <w:rPr>
          <w:color w:val="000000"/>
        </w:rPr>
        <w:t>ievērošana ir obligāta</w:t>
      </w:r>
      <w:r w:rsidR="00726F13">
        <w:rPr>
          <w:color w:val="000000"/>
        </w:rPr>
        <w:t xml:space="preserve"> </w:t>
      </w:r>
      <w:r w:rsidRPr="00A373E2">
        <w:rPr>
          <w:color w:val="000000"/>
        </w:rPr>
        <w:t>kādā dalībvalstī vai lielākajā tās daļā, kā arī dalībvalstu akti, kas aizliedz preces ražošanu, ievešanu,</w:t>
      </w:r>
      <w:r w:rsidR="00726F13">
        <w:rPr>
          <w:color w:val="000000"/>
        </w:rPr>
        <w:t xml:space="preserve"> </w:t>
      </w:r>
      <w:r w:rsidRPr="00A373E2">
        <w:rPr>
          <w:color w:val="000000"/>
        </w:rPr>
        <w:t xml:space="preserve">tirdzniecību vai izmantošanu. </w:t>
      </w:r>
      <w:r w:rsidR="00724B28">
        <w:rPr>
          <w:color w:val="000000"/>
        </w:rPr>
        <w:t>S</w:t>
      </w:r>
      <w:r w:rsidRPr="00A373E2">
        <w:rPr>
          <w:color w:val="000000"/>
        </w:rPr>
        <w:t>aistošo noteikumu Nr.</w:t>
      </w:r>
      <w:r w:rsidR="005241EF">
        <w:rPr>
          <w:color w:val="000000"/>
        </w:rPr>
        <w:t> </w:t>
      </w:r>
      <w:r w:rsidRPr="00A373E2">
        <w:rPr>
          <w:color w:val="000000"/>
        </w:rPr>
        <w:t>38 459.punkt</w:t>
      </w:r>
      <w:r w:rsidR="00235C1A">
        <w:rPr>
          <w:color w:val="000000"/>
        </w:rPr>
        <w:t>ā ietvertais</w:t>
      </w:r>
      <w:r w:rsidRPr="00A373E2">
        <w:rPr>
          <w:color w:val="000000"/>
        </w:rPr>
        <w:t xml:space="preserve"> aizlieg</w:t>
      </w:r>
      <w:r w:rsidR="00235C1A">
        <w:rPr>
          <w:color w:val="000000"/>
        </w:rPr>
        <w:t>ums attiecas tikai uz</w:t>
      </w:r>
      <w:r w:rsidRPr="00A373E2">
        <w:rPr>
          <w:color w:val="000000"/>
        </w:rPr>
        <w:t xml:space="preserve"> vēsturiskā centra teritorij</w:t>
      </w:r>
      <w:r w:rsidR="00235C1A">
        <w:rPr>
          <w:color w:val="000000"/>
        </w:rPr>
        <w:t>ām</w:t>
      </w:r>
      <w:r w:rsidRPr="00A373E2">
        <w:rPr>
          <w:color w:val="000000"/>
        </w:rPr>
        <w:t>. T</w:t>
      </w:r>
      <w:r w:rsidR="00746ABA">
        <w:rPr>
          <w:color w:val="000000"/>
        </w:rPr>
        <w:t>as nav</w:t>
      </w:r>
      <w:r w:rsidRPr="00A373E2">
        <w:rPr>
          <w:color w:val="000000"/>
        </w:rPr>
        <w:t xml:space="preserve"> vispārēj</w:t>
      </w:r>
      <w:r w:rsidR="00746ABA">
        <w:rPr>
          <w:color w:val="000000"/>
        </w:rPr>
        <w:t>s</w:t>
      </w:r>
      <w:r w:rsidRPr="00A373E2">
        <w:rPr>
          <w:color w:val="000000"/>
        </w:rPr>
        <w:t xml:space="preserve"> aizliegum</w:t>
      </w:r>
      <w:r w:rsidR="00746ABA">
        <w:rPr>
          <w:color w:val="000000"/>
        </w:rPr>
        <w:t>s</w:t>
      </w:r>
      <w:r w:rsidRPr="00A373E2">
        <w:rPr>
          <w:color w:val="000000"/>
        </w:rPr>
        <w:t xml:space="preserve"> spēļu zāļu</w:t>
      </w:r>
      <w:r w:rsidR="00746ABA">
        <w:rPr>
          <w:color w:val="000000"/>
        </w:rPr>
        <w:t xml:space="preserve"> </w:t>
      </w:r>
      <w:r w:rsidRPr="00A373E2">
        <w:rPr>
          <w:color w:val="000000"/>
        </w:rPr>
        <w:t xml:space="preserve">ierīkošanai, </w:t>
      </w:r>
      <w:r w:rsidR="00746ABA">
        <w:rPr>
          <w:color w:val="000000"/>
        </w:rPr>
        <w:t>t</w:t>
      </w:r>
      <w:r w:rsidR="00724B28">
        <w:rPr>
          <w:color w:val="000000"/>
        </w:rPr>
        <w:t>ātad</w:t>
      </w:r>
      <w:r w:rsidRPr="00A373E2">
        <w:rPr>
          <w:color w:val="000000"/>
        </w:rPr>
        <w:t xml:space="preserve"> nav tāds tehnisks noteikums, kas būtu bijis jāpaziņo </w:t>
      </w:r>
      <w:r w:rsidR="005241EF">
        <w:rPr>
          <w:color w:val="000000"/>
        </w:rPr>
        <w:t xml:space="preserve">Eiropas </w:t>
      </w:r>
      <w:r w:rsidRPr="00A373E2">
        <w:rPr>
          <w:color w:val="000000"/>
        </w:rPr>
        <w:t>Komisijai.</w:t>
      </w:r>
    </w:p>
    <w:p w14:paraId="27090D20" w14:textId="703A7768" w:rsidR="002E71C5" w:rsidRDefault="00053222" w:rsidP="00EC3193">
      <w:pPr>
        <w:spacing w:line="276" w:lineRule="auto"/>
        <w:ind w:firstLine="567"/>
        <w:jc w:val="both"/>
        <w:rPr>
          <w:color w:val="000000"/>
        </w:rPr>
      </w:pPr>
      <w:r w:rsidRPr="00A373E2">
        <w:rPr>
          <w:color w:val="000000"/>
        </w:rPr>
        <w:t>[</w:t>
      </w:r>
      <w:r w:rsidR="00746ABA">
        <w:rPr>
          <w:color w:val="000000"/>
        </w:rPr>
        <w:t>2.</w:t>
      </w:r>
      <w:r w:rsidR="00766AF2">
        <w:rPr>
          <w:color w:val="000000"/>
        </w:rPr>
        <w:t>7</w:t>
      </w:r>
      <w:r w:rsidRPr="00A373E2">
        <w:rPr>
          <w:color w:val="000000"/>
        </w:rPr>
        <w:t xml:space="preserve">] </w:t>
      </w:r>
      <w:r w:rsidR="00724B28">
        <w:rPr>
          <w:color w:val="000000"/>
        </w:rPr>
        <w:t xml:space="preserve">Atbilstoši </w:t>
      </w:r>
      <w:r w:rsidRPr="00A373E2">
        <w:rPr>
          <w:color w:val="000000"/>
        </w:rPr>
        <w:t xml:space="preserve">Līguma par Eiropas Savienības darbību (turpmāk – LESD) </w:t>
      </w:r>
      <w:proofErr w:type="gramStart"/>
      <w:r w:rsidRPr="00A373E2">
        <w:rPr>
          <w:color w:val="000000"/>
        </w:rPr>
        <w:t>56.pant</w:t>
      </w:r>
      <w:r w:rsidR="00724B28">
        <w:rPr>
          <w:color w:val="000000"/>
        </w:rPr>
        <w:t>am</w:t>
      </w:r>
      <w:proofErr w:type="gramEnd"/>
      <w:r w:rsidR="00724B28">
        <w:rPr>
          <w:color w:val="000000"/>
        </w:rPr>
        <w:t xml:space="preserve"> </w:t>
      </w:r>
      <w:r w:rsidR="00CB7DAE">
        <w:rPr>
          <w:color w:val="000000"/>
        </w:rPr>
        <w:t>aizliegti</w:t>
      </w:r>
      <w:r w:rsidRPr="00A373E2">
        <w:rPr>
          <w:color w:val="000000"/>
        </w:rPr>
        <w:t xml:space="preserve"> pakalpojumu sniegšanas</w:t>
      </w:r>
      <w:r w:rsidR="00746ABA">
        <w:rPr>
          <w:color w:val="000000"/>
        </w:rPr>
        <w:t xml:space="preserve"> </w:t>
      </w:r>
      <w:r w:rsidRPr="00A373E2">
        <w:rPr>
          <w:color w:val="000000"/>
        </w:rPr>
        <w:t>brīvības ierobežojum</w:t>
      </w:r>
      <w:r w:rsidR="00724B28">
        <w:rPr>
          <w:color w:val="000000"/>
        </w:rPr>
        <w:t>i</w:t>
      </w:r>
      <w:r w:rsidRPr="00A373E2">
        <w:rPr>
          <w:color w:val="000000"/>
        </w:rPr>
        <w:t xml:space="preserve"> to dalībvalstu pilsoņiem, kas veic uzņēmējdarbību kādā</w:t>
      </w:r>
      <w:r w:rsidR="00746ABA">
        <w:rPr>
          <w:color w:val="000000"/>
        </w:rPr>
        <w:t xml:space="preserve"> </w:t>
      </w:r>
      <w:r w:rsidRPr="00A373E2">
        <w:rPr>
          <w:color w:val="000000"/>
        </w:rPr>
        <w:t>dalībvalstī, bet sniedz pakalpojumus citas dalībvalsts personai.</w:t>
      </w:r>
      <w:r w:rsidR="00746ABA">
        <w:rPr>
          <w:color w:val="000000"/>
        </w:rPr>
        <w:t xml:space="preserve"> </w:t>
      </w:r>
      <w:r w:rsidR="006B6F7B">
        <w:rPr>
          <w:color w:val="000000"/>
        </w:rPr>
        <w:t>Taču konkrētajā gadījumā</w:t>
      </w:r>
      <w:r w:rsidRPr="00A373E2">
        <w:rPr>
          <w:color w:val="000000"/>
        </w:rPr>
        <w:t xml:space="preserve"> </w:t>
      </w:r>
      <w:r w:rsidR="00746ABA">
        <w:rPr>
          <w:color w:val="000000"/>
        </w:rPr>
        <w:t>nav noteikts</w:t>
      </w:r>
      <w:r w:rsidRPr="00A373E2">
        <w:rPr>
          <w:color w:val="000000"/>
        </w:rPr>
        <w:t xml:space="preserve"> vispārēj</w:t>
      </w:r>
      <w:r w:rsidR="00746ABA">
        <w:rPr>
          <w:color w:val="000000"/>
        </w:rPr>
        <w:t>s</w:t>
      </w:r>
      <w:r w:rsidRPr="00A373E2">
        <w:rPr>
          <w:color w:val="000000"/>
        </w:rPr>
        <w:t xml:space="preserve"> aizliegum</w:t>
      </w:r>
      <w:r w:rsidR="00746ABA">
        <w:rPr>
          <w:color w:val="000000"/>
        </w:rPr>
        <w:t>s, t</w:t>
      </w:r>
      <w:r w:rsidRPr="00A373E2">
        <w:rPr>
          <w:color w:val="000000"/>
        </w:rPr>
        <w:t xml:space="preserve">urklāt </w:t>
      </w:r>
      <w:r w:rsidR="006B6F7B">
        <w:rPr>
          <w:color w:val="000000"/>
        </w:rPr>
        <w:t>tas</w:t>
      </w:r>
      <w:r w:rsidRPr="00A373E2">
        <w:rPr>
          <w:color w:val="000000"/>
        </w:rPr>
        <w:t xml:space="preserve"> attiecināts</w:t>
      </w:r>
      <w:r w:rsidR="00746ABA">
        <w:rPr>
          <w:color w:val="000000"/>
        </w:rPr>
        <w:t xml:space="preserve"> </w:t>
      </w:r>
      <w:r w:rsidRPr="00A373E2">
        <w:rPr>
          <w:color w:val="000000"/>
        </w:rPr>
        <w:t>uz visiem spēļu zāļu īpašniekiem a</w:t>
      </w:r>
      <w:r w:rsidR="00737EBA">
        <w:rPr>
          <w:color w:val="000000"/>
        </w:rPr>
        <w:t>ttiecīgajā</w:t>
      </w:r>
      <w:r w:rsidR="00746ABA">
        <w:rPr>
          <w:color w:val="000000"/>
        </w:rPr>
        <w:t xml:space="preserve"> </w:t>
      </w:r>
      <w:r w:rsidRPr="00A373E2">
        <w:rPr>
          <w:color w:val="000000"/>
        </w:rPr>
        <w:t>teritori</w:t>
      </w:r>
      <w:r w:rsidR="00737EBA">
        <w:rPr>
          <w:color w:val="000000"/>
        </w:rPr>
        <w:t>jā</w:t>
      </w:r>
      <w:r w:rsidR="002E71C5">
        <w:rPr>
          <w:color w:val="000000"/>
        </w:rPr>
        <w:t xml:space="preserve">, nevis </w:t>
      </w:r>
      <w:r w:rsidRPr="00A373E2">
        <w:rPr>
          <w:color w:val="000000"/>
        </w:rPr>
        <w:t>tieši ārvalstu komersant</w:t>
      </w:r>
      <w:r w:rsidR="002E71C5">
        <w:rPr>
          <w:color w:val="000000"/>
        </w:rPr>
        <w:t>iem</w:t>
      </w:r>
      <w:r w:rsidRPr="00A373E2">
        <w:rPr>
          <w:color w:val="000000"/>
        </w:rPr>
        <w:t>.</w:t>
      </w:r>
      <w:r w:rsidR="002E71C5">
        <w:rPr>
          <w:color w:val="000000"/>
        </w:rPr>
        <w:t xml:space="preserve"> </w:t>
      </w:r>
      <w:r w:rsidR="00CB7DAE">
        <w:rPr>
          <w:color w:val="000000"/>
        </w:rPr>
        <w:t>A</w:t>
      </w:r>
      <w:r w:rsidRPr="00A373E2">
        <w:rPr>
          <w:color w:val="000000"/>
        </w:rPr>
        <w:t xml:space="preserve">zartspēļu </w:t>
      </w:r>
      <w:r w:rsidR="00737EBA">
        <w:rPr>
          <w:color w:val="000000"/>
        </w:rPr>
        <w:t>joma</w:t>
      </w:r>
      <w:r w:rsidRPr="00A373E2">
        <w:rPr>
          <w:color w:val="000000"/>
        </w:rPr>
        <w:t xml:space="preserve"> Eiropas Savienībā nav</w:t>
      </w:r>
      <w:r w:rsidR="002E71C5">
        <w:rPr>
          <w:color w:val="000000"/>
        </w:rPr>
        <w:t xml:space="preserve"> </w:t>
      </w:r>
      <w:r w:rsidRPr="00A373E2">
        <w:rPr>
          <w:color w:val="000000"/>
        </w:rPr>
        <w:t>harmonizēta</w:t>
      </w:r>
      <w:r w:rsidR="00737EBA">
        <w:rPr>
          <w:color w:val="000000"/>
        </w:rPr>
        <w:t>,</w:t>
      </w:r>
      <w:r w:rsidRPr="00A373E2">
        <w:rPr>
          <w:color w:val="000000"/>
        </w:rPr>
        <w:t xml:space="preserve"> tās regulējums ir dalībvalsts kompetencē</w:t>
      </w:r>
      <w:r w:rsidR="00737EBA">
        <w:rPr>
          <w:color w:val="000000"/>
        </w:rPr>
        <w:t>, jo</w:t>
      </w:r>
      <w:r w:rsidRPr="00A373E2">
        <w:rPr>
          <w:color w:val="000000"/>
        </w:rPr>
        <w:t xml:space="preserve"> dalībvalstu vidū</w:t>
      </w:r>
      <w:r w:rsidR="002E71C5">
        <w:rPr>
          <w:color w:val="000000"/>
        </w:rPr>
        <w:t xml:space="preserve"> </w:t>
      </w:r>
      <w:r w:rsidRPr="00A373E2">
        <w:rPr>
          <w:color w:val="000000"/>
        </w:rPr>
        <w:t>pastāv atšķirības morāles, reliģijas un kultūras</w:t>
      </w:r>
      <w:proofErr w:type="gramStart"/>
      <w:r w:rsidRPr="00A373E2">
        <w:rPr>
          <w:color w:val="000000"/>
        </w:rPr>
        <w:t xml:space="preserve"> </w:t>
      </w:r>
      <w:r w:rsidR="006A36B1">
        <w:rPr>
          <w:color w:val="000000"/>
        </w:rPr>
        <w:t xml:space="preserve"> </w:t>
      </w:r>
      <w:proofErr w:type="gramEnd"/>
      <w:r w:rsidR="006A36B1" w:rsidRPr="00A373E2">
        <w:rPr>
          <w:color w:val="000000"/>
        </w:rPr>
        <w:t>aspekt</w:t>
      </w:r>
      <w:r w:rsidR="006A36B1">
        <w:rPr>
          <w:color w:val="000000"/>
        </w:rPr>
        <w:t>ā</w:t>
      </w:r>
      <w:r w:rsidRPr="00A373E2">
        <w:rPr>
          <w:color w:val="000000"/>
        </w:rPr>
        <w:t xml:space="preserve">. </w:t>
      </w:r>
      <w:r w:rsidR="00737EBA">
        <w:rPr>
          <w:color w:val="000000"/>
        </w:rPr>
        <w:t>K</w:t>
      </w:r>
      <w:r w:rsidRPr="00A373E2">
        <w:rPr>
          <w:color w:val="000000"/>
        </w:rPr>
        <w:t>atra dalībvalst</w:t>
      </w:r>
      <w:r w:rsidR="00CB7DAE">
        <w:rPr>
          <w:color w:val="000000"/>
        </w:rPr>
        <w:t xml:space="preserve">s </w:t>
      </w:r>
      <w:r w:rsidRPr="00A373E2">
        <w:rPr>
          <w:color w:val="000000"/>
        </w:rPr>
        <w:t xml:space="preserve">izvērtē attiecīgo </w:t>
      </w:r>
      <w:r w:rsidRPr="00A373E2">
        <w:rPr>
          <w:color w:val="000000"/>
        </w:rPr>
        <w:lastRenderedPageBreak/>
        <w:t>interešu aizsardzībai izvirzāmās</w:t>
      </w:r>
      <w:r w:rsidR="002E71C5">
        <w:rPr>
          <w:color w:val="000000"/>
        </w:rPr>
        <w:t xml:space="preserve"> </w:t>
      </w:r>
      <w:r w:rsidRPr="00A373E2">
        <w:rPr>
          <w:color w:val="000000"/>
        </w:rPr>
        <w:t>prasības (</w:t>
      </w:r>
      <w:r w:rsidRPr="00AC4B81">
        <w:rPr>
          <w:iCs/>
          <w:color w:val="000000"/>
        </w:rPr>
        <w:t>piemēram,</w:t>
      </w:r>
      <w:r w:rsidRPr="00A373E2">
        <w:rPr>
          <w:i/>
          <w:iCs/>
          <w:color w:val="000000"/>
        </w:rPr>
        <w:t xml:space="preserve"> Eiropas Savienības </w:t>
      </w:r>
      <w:r w:rsidR="005241EF">
        <w:rPr>
          <w:i/>
          <w:iCs/>
          <w:color w:val="000000"/>
        </w:rPr>
        <w:t>T</w:t>
      </w:r>
      <w:r w:rsidRPr="00A373E2">
        <w:rPr>
          <w:i/>
          <w:iCs/>
          <w:color w:val="000000"/>
        </w:rPr>
        <w:t xml:space="preserve">iesas </w:t>
      </w:r>
      <w:proofErr w:type="gramStart"/>
      <w:r w:rsidRPr="00A373E2">
        <w:rPr>
          <w:i/>
          <w:iCs/>
          <w:color w:val="000000"/>
        </w:rPr>
        <w:t>2018.gada</w:t>
      </w:r>
      <w:proofErr w:type="gramEnd"/>
      <w:r w:rsidRPr="00A373E2">
        <w:rPr>
          <w:i/>
          <w:iCs/>
          <w:color w:val="000000"/>
        </w:rPr>
        <w:t xml:space="preserve"> 28.februāra sprieduma</w:t>
      </w:r>
      <w:r w:rsidR="002E71C5">
        <w:rPr>
          <w:color w:val="000000"/>
        </w:rPr>
        <w:t xml:space="preserve"> </w:t>
      </w:r>
      <w:r w:rsidRPr="00A373E2">
        <w:rPr>
          <w:i/>
          <w:iCs/>
          <w:color w:val="000000"/>
        </w:rPr>
        <w:t xml:space="preserve">lietā </w:t>
      </w:r>
      <w:r w:rsidR="005241EF" w:rsidRPr="00A373E2">
        <w:rPr>
          <w:color w:val="000000"/>
        </w:rPr>
        <w:t>„</w:t>
      </w:r>
      <w:proofErr w:type="spellStart"/>
      <w:r w:rsidR="005241EF" w:rsidRPr="00A373E2">
        <w:rPr>
          <w:i/>
          <w:iCs/>
          <w:color w:val="000000"/>
        </w:rPr>
        <w:t>Sporting</w:t>
      </w:r>
      <w:proofErr w:type="spellEnd"/>
      <w:r w:rsidR="005241EF" w:rsidRPr="00A373E2">
        <w:rPr>
          <w:i/>
          <w:iCs/>
          <w:color w:val="000000"/>
        </w:rPr>
        <w:t xml:space="preserve"> </w:t>
      </w:r>
      <w:proofErr w:type="spellStart"/>
      <w:r w:rsidR="005241EF" w:rsidRPr="00A373E2">
        <w:rPr>
          <w:i/>
          <w:iCs/>
          <w:color w:val="000000"/>
        </w:rPr>
        <w:t>Odds</w:t>
      </w:r>
      <w:proofErr w:type="spellEnd"/>
      <w:r w:rsidR="005241EF">
        <w:rPr>
          <w:i/>
          <w:iCs/>
          <w:color w:val="000000"/>
        </w:rPr>
        <w:t>”,</w:t>
      </w:r>
      <w:r w:rsidR="005241EF" w:rsidRPr="00A373E2">
        <w:rPr>
          <w:i/>
          <w:iCs/>
          <w:color w:val="000000"/>
        </w:rPr>
        <w:t xml:space="preserve"> </w:t>
      </w:r>
      <w:r w:rsidRPr="00A373E2">
        <w:rPr>
          <w:i/>
          <w:iCs/>
          <w:color w:val="000000"/>
        </w:rPr>
        <w:t>C-3/17</w:t>
      </w:r>
      <w:r w:rsidR="00F75607">
        <w:rPr>
          <w:i/>
          <w:iCs/>
          <w:color w:val="000000"/>
        </w:rPr>
        <w:t xml:space="preserve">, </w:t>
      </w:r>
      <w:r w:rsidR="00F75607" w:rsidRPr="00F75607">
        <w:rPr>
          <w:i/>
          <w:iCs/>
          <w:color w:val="000000"/>
        </w:rPr>
        <w:t>ECLI:EU:C:2018:130</w:t>
      </w:r>
      <w:r w:rsidR="00F75607">
        <w:rPr>
          <w:i/>
          <w:iCs/>
          <w:color w:val="000000"/>
        </w:rPr>
        <w:t>,</w:t>
      </w:r>
      <w:r w:rsidR="00DE7501">
        <w:rPr>
          <w:i/>
          <w:iCs/>
          <w:color w:val="000000"/>
        </w:rPr>
        <w:t xml:space="preserve"> </w:t>
      </w:r>
      <w:r w:rsidRPr="00A373E2">
        <w:rPr>
          <w:i/>
          <w:iCs/>
          <w:color w:val="000000"/>
        </w:rPr>
        <w:t>20.punkt</w:t>
      </w:r>
      <w:r w:rsidR="00617EC4">
        <w:rPr>
          <w:i/>
          <w:iCs/>
          <w:color w:val="000000"/>
        </w:rPr>
        <w:t>s</w:t>
      </w:r>
      <w:r w:rsidRPr="00A373E2">
        <w:rPr>
          <w:color w:val="000000"/>
        </w:rPr>
        <w:t>).</w:t>
      </w:r>
      <w:r w:rsidR="002E71C5">
        <w:rPr>
          <w:color w:val="000000"/>
        </w:rPr>
        <w:t xml:space="preserve"> </w:t>
      </w:r>
      <w:r w:rsidR="00737EBA">
        <w:rPr>
          <w:color w:val="000000"/>
        </w:rPr>
        <w:t>P</w:t>
      </w:r>
      <w:r w:rsidRPr="00A373E2">
        <w:rPr>
          <w:color w:val="000000"/>
        </w:rPr>
        <w:t xml:space="preserve">ieteicējas </w:t>
      </w:r>
      <w:r w:rsidR="00737EBA">
        <w:rPr>
          <w:color w:val="000000"/>
        </w:rPr>
        <w:t>argumentam par</w:t>
      </w:r>
      <w:r w:rsidRPr="00A373E2">
        <w:rPr>
          <w:color w:val="000000"/>
        </w:rPr>
        <w:t xml:space="preserve"> pārrobežu</w:t>
      </w:r>
      <w:r w:rsidR="002E71C5">
        <w:rPr>
          <w:color w:val="000000"/>
        </w:rPr>
        <w:t xml:space="preserve"> </w:t>
      </w:r>
      <w:r w:rsidRPr="00A373E2">
        <w:rPr>
          <w:color w:val="000000"/>
        </w:rPr>
        <w:t>element</w:t>
      </w:r>
      <w:r w:rsidR="00737EBA">
        <w:rPr>
          <w:color w:val="000000"/>
        </w:rPr>
        <w:t>u</w:t>
      </w:r>
      <w:r w:rsidRPr="00A373E2">
        <w:rPr>
          <w:color w:val="000000"/>
        </w:rPr>
        <w:t xml:space="preserve"> nav nozīmes. </w:t>
      </w:r>
    </w:p>
    <w:p w14:paraId="2F07EA34" w14:textId="76C41742" w:rsidR="00A53400" w:rsidRDefault="00053222" w:rsidP="00EC3193">
      <w:pPr>
        <w:spacing w:line="276" w:lineRule="auto"/>
        <w:ind w:firstLine="567"/>
        <w:jc w:val="both"/>
        <w:rPr>
          <w:color w:val="000000"/>
        </w:rPr>
      </w:pPr>
      <w:r w:rsidRPr="00A373E2">
        <w:rPr>
          <w:color w:val="000000"/>
        </w:rPr>
        <w:t>[2</w:t>
      </w:r>
      <w:r w:rsidR="002E71C5">
        <w:rPr>
          <w:color w:val="000000"/>
        </w:rPr>
        <w:t>.</w:t>
      </w:r>
      <w:r w:rsidR="00766AF2">
        <w:rPr>
          <w:color w:val="000000"/>
        </w:rPr>
        <w:t>8</w:t>
      </w:r>
      <w:r w:rsidRPr="00A373E2">
        <w:rPr>
          <w:color w:val="000000"/>
        </w:rPr>
        <w:t>]</w:t>
      </w:r>
      <w:r w:rsidR="0095577A">
        <w:rPr>
          <w:color w:val="000000"/>
        </w:rPr>
        <w:t> </w:t>
      </w:r>
      <w:r w:rsidR="00CB7DAE">
        <w:rPr>
          <w:color w:val="000000"/>
        </w:rPr>
        <w:t>Tas, ka</w:t>
      </w:r>
      <w:r w:rsidRPr="00A373E2">
        <w:rPr>
          <w:color w:val="000000"/>
        </w:rPr>
        <w:t xml:space="preserve"> </w:t>
      </w:r>
      <w:r w:rsidR="007648D9">
        <w:rPr>
          <w:color w:val="000000"/>
        </w:rPr>
        <w:t xml:space="preserve">nav </w:t>
      </w:r>
      <w:r w:rsidRPr="00A373E2">
        <w:rPr>
          <w:color w:val="000000"/>
        </w:rPr>
        <w:t>noteikti</w:t>
      </w:r>
      <w:r w:rsidR="002E71C5">
        <w:rPr>
          <w:color w:val="000000"/>
        </w:rPr>
        <w:t xml:space="preserve"> </w:t>
      </w:r>
      <w:r w:rsidRPr="00A373E2">
        <w:rPr>
          <w:color w:val="000000"/>
        </w:rPr>
        <w:t>ierobežojumi citu veiksmes spēļu organizēšanai</w:t>
      </w:r>
      <w:r w:rsidR="00737EBA">
        <w:rPr>
          <w:color w:val="000000"/>
        </w:rPr>
        <w:t xml:space="preserve"> (</w:t>
      </w:r>
      <w:r w:rsidRPr="00A373E2">
        <w:rPr>
          <w:color w:val="000000"/>
        </w:rPr>
        <w:t xml:space="preserve">piemēram, </w:t>
      </w:r>
      <w:r w:rsidR="005241EF">
        <w:rPr>
          <w:color w:val="000000"/>
        </w:rPr>
        <w:t xml:space="preserve">valsts akciju sabiedrības </w:t>
      </w:r>
      <w:r w:rsidRPr="00A373E2">
        <w:rPr>
          <w:color w:val="000000"/>
        </w:rPr>
        <w:t>„Latvijas</w:t>
      </w:r>
      <w:r w:rsidR="002E71C5">
        <w:rPr>
          <w:color w:val="000000"/>
        </w:rPr>
        <w:t xml:space="preserve"> </w:t>
      </w:r>
      <w:r w:rsidRPr="00A373E2">
        <w:rPr>
          <w:color w:val="000000"/>
        </w:rPr>
        <w:t>Loto” darbībai</w:t>
      </w:r>
      <w:r w:rsidR="00737EBA">
        <w:rPr>
          <w:color w:val="000000"/>
        </w:rPr>
        <w:t xml:space="preserve">), </w:t>
      </w:r>
      <w:r w:rsidRPr="00A373E2">
        <w:rPr>
          <w:color w:val="000000"/>
        </w:rPr>
        <w:t>bū</w:t>
      </w:r>
      <w:r w:rsidR="007648D9">
        <w:rPr>
          <w:color w:val="000000"/>
        </w:rPr>
        <w:t>tu</w:t>
      </w:r>
      <w:r w:rsidRPr="00A373E2">
        <w:rPr>
          <w:color w:val="000000"/>
        </w:rPr>
        <w:t xml:space="preserve"> pretēj</w:t>
      </w:r>
      <w:r w:rsidR="00CB7DAE">
        <w:rPr>
          <w:color w:val="000000"/>
        </w:rPr>
        <w:t>s</w:t>
      </w:r>
      <w:r w:rsidRPr="00A373E2">
        <w:rPr>
          <w:color w:val="000000"/>
        </w:rPr>
        <w:t xml:space="preserve"> Eiropas Savienības tiesībām tad, ja </w:t>
      </w:r>
      <w:r w:rsidR="00737EBA">
        <w:rPr>
          <w:color w:val="000000"/>
        </w:rPr>
        <w:t>tiktu</w:t>
      </w:r>
      <w:r w:rsidRPr="00A373E2">
        <w:rPr>
          <w:color w:val="000000"/>
        </w:rPr>
        <w:t xml:space="preserve"> veicināt</w:t>
      </w:r>
      <w:r w:rsidR="00D0073E">
        <w:rPr>
          <w:color w:val="000000"/>
        </w:rPr>
        <w:t>a</w:t>
      </w:r>
      <w:r w:rsidRPr="00A373E2">
        <w:rPr>
          <w:color w:val="000000"/>
        </w:rPr>
        <w:t xml:space="preserve"> dalīb</w:t>
      </w:r>
      <w:r w:rsidR="00D0073E">
        <w:rPr>
          <w:color w:val="000000"/>
        </w:rPr>
        <w:t>a</w:t>
      </w:r>
      <w:r w:rsidRPr="00A373E2">
        <w:rPr>
          <w:color w:val="000000"/>
        </w:rPr>
        <w:t xml:space="preserve"> citās veiksmes spēlēs.</w:t>
      </w:r>
      <w:r w:rsidR="002E71C5">
        <w:rPr>
          <w:color w:val="000000"/>
        </w:rPr>
        <w:t xml:space="preserve"> </w:t>
      </w:r>
      <w:r w:rsidR="00BF030B">
        <w:rPr>
          <w:color w:val="000000"/>
        </w:rPr>
        <w:t>I</w:t>
      </w:r>
      <w:r w:rsidRPr="00A373E2">
        <w:rPr>
          <w:color w:val="000000"/>
        </w:rPr>
        <w:t>erobežojum</w:t>
      </w:r>
      <w:r w:rsidR="00BF030B">
        <w:rPr>
          <w:color w:val="000000"/>
        </w:rPr>
        <w:t>am jābūt</w:t>
      </w:r>
      <w:r w:rsidRPr="00A373E2">
        <w:rPr>
          <w:color w:val="000000"/>
        </w:rPr>
        <w:t xml:space="preserve"> piemērot</w:t>
      </w:r>
      <w:r w:rsidR="00BF030B">
        <w:rPr>
          <w:color w:val="000000"/>
        </w:rPr>
        <w:t>am un nepieciešama</w:t>
      </w:r>
      <w:r w:rsidR="00DE7501">
        <w:rPr>
          <w:color w:val="000000"/>
        </w:rPr>
        <w:t>m</w:t>
      </w:r>
      <w:r w:rsidRPr="00A373E2">
        <w:rPr>
          <w:color w:val="000000"/>
        </w:rPr>
        <w:t xml:space="preserve"> izvirzīt</w:t>
      </w:r>
      <w:r w:rsidR="00F61DD6">
        <w:rPr>
          <w:color w:val="000000"/>
        </w:rPr>
        <w:t>o</w:t>
      </w:r>
      <w:r w:rsidRPr="00A373E2">
        <w:rPr>
          <w:color w:val="000000"/>
        </w:rPr>
        <w:t xml:space="preserve"> mērķu</w:t>
      </w:r>
      <w:r w:rsidR="00FD3A40">
        <w:rPr>
          <w:color w:val="000000"/>
        </w:rPr>
        <w:t xml:space="preserve"> </w:t>
      </w:r>
      <w:r w:rsidR="00235C1A">
        <w:rPr>
          <w:color w:val="000000"/>
        </w:rPr>
        <w:t>sasniegšan</w:t>
      </w:r>
      <w:r w:rsidR="00E92365">
        <w:rPr>
          <w:color w:val="000000"/>
        </w:rPr>
        <w:t>ai</w:t>
      </w:r>
      <w:r w:rsidRPr="00A373E2">
        <w:rPr>
          <w:color w:val="000000"/>
        </w:rPr>
        <w:t xml:space="preserve"> (</w:t>
      </w:r>
      <w:r w:rsidR="0095577A" w:rsidRPr="00AC4B81">
        <w:rPr>
          <w:iCs/>
          <w:color w:val="000000"/>
        </w:rPr>
        <w:t>sal.</w:t>
      </w:r>
      <w:r w:rsidR="0095577A">
        <w:rPr>
          <w:color w:val="000000"/>
        </w:rPr>
        <w:t xml:space="preserve"> </w:t>
      </w:r>
      <w:r w:rsidR="0082657A">
        <w:rPr>
          <w:i/>
          <w:iCs/>
          <w:color w:val="000000"/>
        </w:rPr>
        <w:t xml:space="preserve">iepriekš minētā </w:t>
      </w:r>
      <w:r w:rsidR="005241EF">
        <w:rPr>
          <w:i/>
          <w:iCs/>
          <w:color w:val="000000"/>
        </w:rPr>
        <w:t xml:space="preserve">Eiropas Savienības Tiesas </w:t>
      </w:r>
      <w:r w:rsidR="0082657A" w:rsidRPr="00A373E2">
        <w:rPr>
          <w:i/>
          <w:iCs/>
          <w:color w:val="000000"/>
        </w:rPr>
        <w:t xml:space="preserve">sprieduma </w:t>
      </w:r>
      <w:r w:rsidRPr="00A373E2">
        <w:rPr>
          <w:i/>
          <w:iCs/>
          <w:color w:val="000000"/>
        </w:rPr>
        <w:t>22.punkt</w:t>
      </w:r>
      <w:r w:rsidR="00E35741">
        <w:rPr>
          <w:i/>
          <w:iCs/>
          <w:color w:val="000000"/>
        </w:rPr>
        <w:t>s</w:t>
      </w:r>
      <w:r w:rsidRPr="00A373E2">
        <w:rPr>
          <w:color w:val="000000"/>
        </w:rPr>
        <w:t xml:space="preserve">). </w:t>
      </w:r>
      <w:r w:rsidR="00FD3A40">
        <w:rPr>
          <w:color w:val="000000"/>
        </w:rPr>
        <w:t>A</w:t>
      </w:r>
      <w:r w:rsidRPr="00A373E2">
        <w:rPr>
          <w:color w:val="000000"/>
        </w:rPr>
        <w:t>pstāklis,</w:t>
      </w:r>
      <w:r w:rsidR="00737EBA">
        <w:rPr>
          <w:color w:val="000000"/>
        </w:rPr>
        <w:t xml:space="preserve"> </w:t>
      </w:r>
      <w:r w:rsidR="00F61DD6">
        <w:rPr>
          <w:color w:val="000000"/>
        </w:rPr>
        <w:t>ka</w:t>
      </w:r>
      <w:r w:rsidRPr="00A373E2">
        <w:rPr>
          <w:color w:val="000000"/>
        </w:rPr>
        <w:t xml:space="preserve"> daž</w:t>
      </w:r>
      <w:r w:rsidR="00F61DD6">
        <w:rPr>
          <w:color w:val="000000"/>
        </w:rPr>
        <w:t>u</w:t>
      </w:r>
      <w:r w:rsidRPr="00A373E2">
        <w:rPr>
          <w:color w:val="000000"/>
        </w:rPr>
        <w:t xml:space="preserve"> veid</w:t>
      </w:r>
      <w:r w:rsidR="00F61DD6">
        <w:rPr>
          <w:color w:val="000000"/>
        </w:rPr>
        <w:t>u</w:t>
      </w:r>
      <w:r w:rsidRPr="00A373E2">
        <w:rPr>
          <w:color w:val="000000"/>
        </w:rPr>
        <w:t xml:space="preserve"> azartspēlēm tiek </w:t>
      </w:r>
      <w:r w:rsidR="00F61DD6">
        <w:rPr>
          <w:color w:val="000000"/>
        </w:rPr>
        <w:t>not</w:t>
      </w:r>
      <w:r w:rsidR="00093046">
        <w:rPr>
          <w:color w:val="000000"/>
        </w:rPr>
        <w:t>e</w:t>
      </w:r>
      <w:r w:rsidR="00F61DD6">
        <w:rPr>
          <w:color w:val="000000"/>
        </w:rPr>
        <w:t>ikts</w:t>
      </w:r>
      <w:r w:rsidRPr="00A373E2">
        <w:rPr>
          <w:color w:val="000000"/>
        </w:rPr>
        <w:t xml:space="preserve"> valsts monopols, bet privātiem</w:t>
      </w:r>
      <w:r w:rsidR="00FD3A40">
        <w:rPr>
          <w:color w:val="000000"/>
        </w:rPr>
        <w:t xml:space="preserve"> </w:t>
      </w:r>
      <w:r w:rsidRPr="00A373E2">
        <w:rPr>
          <w:color w:val="000000"/>
        </w:rPr>
        <w:t xml:space="preserve">uzņēmējiem </w:t>
      </w:r>
      <w:r w:rsidR="006B4A59">
        <w:rPr>
          <w:color w:val="000000"/>
        </w:rPr>
        <w:t>–</w:t>
      </w:r>
      <w:r w:rsidR="00BF030B">
        <w:rPr>
          <w:color w:val="000000"/>
        </w:rPr>
        <w:t xml:space="preserve"> </w:t>
      </w:r>
      <w:r w:rsidRPr="00A373E2">
        <w:rPr>
          <w:color w:val="000000"/>
        </w:rPr>
        <w:t xml:space="preserve">izsniegtu atļauju sistēma, </w:t>
      </w:r>
      <w:r w:rsidR="0082657A">
        <w:rPr>
          <w:color w:val="000000"/>
        </w:rPr>
        <w:t xml:space="preserve">pats </w:t>
      </w:r>
      <w:r w:rsidRPr="00A373E2">
        <w:rPr>
          <w:color w:val="000000"/>
        </w:rPr>
        <w:t>par sevi neietekmē valsts monopola piemēro</w:t>
      </w:r>
      <w:r w:rsidR="007A6AE1">
        <w:rPr>
          <w:color w:val="000000"/>
        </w:rPr>
        <w:t>t</w:t>
      </w:r>
      <w:r w:rsidRPr="00A373E2">
        <w:rPr>
          <w:color w:val="000000"/>
        </w:rPr>
        <w:t>ību</w:t>
      </w:r>
      <w:r w:rsidR="00737EBA">
        <w:rPr>
          <w:color w:val="000000"/>
        </w:rPr>
        <w:t xml:space="preserve"> </w:t>
      </w:r>
      <w:r w:rsidR="0082657A">
        <w:rPr>
          <w:color w:val="000000"/>
        </w:rPr>
        <w:t xml:space="preserve">attiecīgā </w:t>
      </w:r>
      <w:r w:rsidRPr="00A373E2">
        <w:rPr>
          <w:color w:val="000000"/>
        </w:rPr>
        <w:t>mērķa sasniegšanai.</w:t>
      </w:r>
      <w:r w:rsidR="00737EBA">
        <w:rPr>
          <w:color w:val="000000"/>
        </w:rPr>
        <w:t xml:space="preserve"> </w:t>
      </w:r>
      <w:r w:rsidR="0082657A">
        <w:rPr>
          <w:color w:val="000000"/>
        </w:rPr>
        <w:t>Šāda</w:t>
      </w:r>
      <w:r w:rsidRPr="00A373E2">
        <w:rPr>
          <w:color w:val="000000"/>
        </w:rPr>
        <w:t xml:space="preserve"> sistēma var </w:t>
      </w:r>
      <w:r w:rsidR="0082657A">
        <w:rPr>
          <w:color w:val="000000"/>
        </w:rPr>
        <w:t>būt</w:t>
      </w:r>
      <w:r w:rsidRPr="00A373E2">
        <w:rPr>
          <w:color w:val="000000"/>
        </w:rPr>
        <w:t xml:space="preserve"> pretrunā LESD</w:t>
      </w:r>
      <w:r w:rsidR="00737EBA">
        <w:rPr>
          <w:color w:val="000000"/>
        </w:rPr>
        <w:t xml:space="preserve"> </w:t>
      </w:r>
      <w:proofErr w:type="gramStart"/>
      <w:r w:rsidRPr="00A373E2">
        <w:rPr>
          <w:color w:val="000000"/>
        </w:rPr>
        <w:t>56.pantam</w:t>
      </w:r>
      <w:proofErr w:type="gramEnd"/>
      <w:r w:rsidRPr="00A373E2">
        <w:rPr>
          <w:color w:val="000000"/>
        </w:rPr>
        <w:t xml:space="preserve">, ja tiek konstatēts, ka </w:t>
      </w:r>
      <w:r w:rsidR="0082657A">
        <w:rPr>
          <w:color w:val="000000"/>
        </w:rPr>
        <w:t>tiek</w:t>
      </w:r>
      <w:r w:rsidRPr="00A373E2">
        <w:rPr>
          <w:color w:val="000000"/>
        </w:rPr>
        <w:t xml:space="preserve"> veicināt</w:t>
      </w:r>
      <w:r w:rsidR="00F61DD6">
        <w:rPr>
          <w:color w:val="000000"/>
        </w:rPr>
        <w:t>a</w:t>
      </w:r>
      <w:r w:rsidRPr="00A373E2">
        <w:rPr>
          <w:color w:val="000000"/>
        </w:rPr>
        <w:t xml:space="preserve"> dalīb</w:t>
      </w:r>
      <w:r w:rsidR="00F61DD6">
        <w:rPr>
          <w:color w:val="000000"/>
        </w:rPr>
        <w:t>a</w:t>
      </w:r>
      <w:r w:rsidRPr="00A373E2">
        <w:rPr>
          <w:color w:val="000000"/>
        </w:rPr>
        <w:t xml:space="preserve"> citās spēlēs, nevis samazināt</w:t>
      </w:r>
      <w:r w:rsidR="00F61DD6">
        <w:rPr>
          <w:color w:val="000000"/>
        </w:rPr>
        <w:t>a</w:t>
      </w:r>
      <w:r w:rsidRPr="00A373E2">
        <w:rPr>
          <w:color w:val="000000"/>
        </w:rPr>
        <w:t xml:space="preserve"> spēļu iespējamīb</w:t>
      </w:r>
      <w:r w:rsidR="00F61DD6">
        <w:rPr>
          <w:color w:val="000000"/>
        </w:rPr>
        <w:t>a</w:t>
      </w:r>
      <w:r w:rsidR="00093046">
        <w:rPr>
          <w:color w:val="000000"/>
        </w:rPr>
        <w:t>,</w:t>
      </w:r>
      <w:r w:rsidRPr="00A373E2">
        <w:rPr>
          <w:color w:val="000000"/>
        </w:rPr>
        <w:t xml:space="preserve"> un tādējādi mērķi novērst pamudināšanu</w:t>
      </w:r>
      <w:r w:rsidR="004425AD">
        <w:rPr>
          <w:color w:val="000000"/>
        </w:rPr>
        <w:t xml:space="preserve"> </w:t>
      </w:r>
      <w:r w:rsidRPr="00A373E2">
        <w:rPr>
          <w:color w:val="000000"/>
        </w:rPr>
        <w:t>uz pārmērīgiem izdevumiem saistībā ar spēlēm un cīnīties pret atkarību no tām, kas</w:t>
      </w:r>
      <w:r w:rsidR="004425AD">
        <w:rPr>
          <w:color w:val="000000"/>
        </w:rPr>
        <w:t xml:space="preserve"> </w:t>
      </w:r>
      <w:r w:rsidRPr="00A373E2">
        <w:rPr>
          <w:color w:val="000000"/>
        </w:rPr>
        <w:t xml:space="preserve">bija par pamatu monopola izveidei, vairs nevar efektīvi </w:t>
      </w:r>
      <w:r w:rsidR="00F61DD6">
        <w:rPr>
          <w:color w:val="000000"/>
        </w:rPr>
        <w:t>panākt</w:t>
      </w:r>
      <w:r w:rsidRPr="00A373E2">
        <w:rPr>
          <w:color w:val="000000"/>
        </w:rPr>
        <w:t>, izmantojot šo</w:t>
      </w:r>
      <w:r w:rsidR="004425AD">
        <w:rPr>
          <w:color w:val="000000"/>
        </w:rPr>
        <w:t xml:space="preserve"> </w:t>
      </w:r>
      <w:r w:rsidRPr="00A373E2">
        <w:rPr>
          <w:color w:val="000000"/>
        </w:rPr>
        <w:t>monopolu (</w:t>
      </w:r>
      <w:r w:rsidRPr="00AC4B81">
        <w:rPr>
          <w:iCs/>
          <w:color w:val="000000"/>
        </w:rPr>
        <w:t>piemēram,</w:t>
      </w:r>
      <w:r w:rsidRPr="00A373E2">
        <w:rPr>
          <w:i/>
          <w:iCs/>
          <w:color w:val="000000"/>
        </w:rPr>
        <w:t xml:space="preserve"> </w:t>
      </w:r>
      <w:r w:rsidR="0082657A">
        <w:rPr>
          <w:i/>
          <w:iCs/>
          <w:color w:val="000000"/>
        </w:rPr>
        <w:t xml:space="preserve">iepriekš minētā </w:t>
      </w:r>
      <w:r w:rsidRPr="00A373E2">
        <w:rPr>
          <w:i/>
          <w:iCs/>
          <w:color w:val="000000"/>
        </w:rPr>
        <w:t>sprieduma 23., 24.punkt</w:t>
      </w:r>
      <w:r w:rsidR="00617EC4">
        <w:rPr>
          <w:i/>
          <w:iCs/>
          <w:color w:val="000000"/>
        </w:rPr>
        <w:t>s</w:t>
      </w:r>
      <w:r w:rsidRPr="00A373E2">
        <w:rPr>
          <w:color w:val="000000"/>
        </w:rPr>
        <w:t>).</w:t>
      </w:r>
      <w:r w:rsidR="004425AD">
        <w:rPr>
          <w:color w:val="000000"/>
        </w:rPr>
        <w:t xml:space="preserve"> </w:t>
      </w:r>
      <w:r w:rsidR="00F61DD6" w:rsidRPr="00A373E2">
        <w:rPr>
          <w:color w:val="000000"/>
        </w:rPr>
        <w:t>V</w:t>
      </w:r>
      <w:r w:rsidR="0095577A">
        <w:rPr>
          <w:color w:val="000000"/>
        </w:rPr>
        <w:t xml:space="preserve">alsts akciju sabiedrība </w:t>
      </w:r>
      <w:r w:rsidR="00F61DD6" w:rsidRPr="00A373E2">
        <w:rPr>
          <w:color w:val="000000"/>
        </w:rPr>
        <w:t>„Latvijas Loto”</w:t>
      </w:r>
      <w:r w:rsidR="00F61DD6">
        <w:rPr>
          <w:color w:val="000000"/>
        </w:rPr>
        <w:t xml:space="preserve"> </w:t>
      </w:r>
      <w:r w:rsidR="00EE1E8F">
        <w:rPr>
          <w:color w:val="000000"/>
        </w:rPr>
        <w:t>ir</w:t>
      </w:r>
      <w:r w:rsidRPr="00A373E2">
        <w:rPr>
          <w:color w:val="000000"/>
        </w:rPr>
        <w:t xml:space="preserve"> valsts mēroga izložu organizēšanas</w:t>
      </w:r>
      <w:r w:rsidR="00F61DD6" w:rsidRPr="00A373E2">
        <w:rPr>
          <w:color w:val="000000"/>
        </w:rPr>
        <w:t xml:space="preserve"> </w:t>
      </w:r>
      <w:r w:rsidRPr="00A373E2">
        <w:rPr>
          <w:color w:val="000000"/>
        </w:rPr>
        <w:t xml:space="preserve">monopols. </w:t>
      </w:r>
      <w:r w:rsidR="006B6F7B">
        <w:rPr>
          <w:color w:val="000000"/>
        </w:rPr>
        <w:t>T</w:t>
      </w:r>
      <w:r w:rsidRPr="00A373E2">
        <w:rPr>
          <w:color w:val="000000"/>
        </w:rPr>
        <w:t>as, ka</w:t>
      </w:r>
      <w:r w:rsidR="004425AD">
        <w:rPr>
          <w:color w:val="000000"/>
        </w:rPr>
        <w:t xml:space="preserve"> </w:t>
      </w:r>
      <w:r w:rsidRPr="00A373E2">
        <w:rPr>
          <w:color w:val="000000"/>
        </w:rPr>
        <w:t>valsts mēroga izlozes joprojām turpinās</w:t>
      </w:r>
      <w:r w:rsidR="004425AD">
        <w:rPr>
          <w:color w:val="000000"/>
        </w:rPr>
        <w:t xml:space="preserve"> </w:t>
      </w:r>
      <w:r w:rsidRPr="00A373E2">
        <w:rPr>
          <w:color w:val="000000"/>
        </w:rPr>
        <w:t>vēsturiskajā centrā, n</w:t>
      </w:r>
      <w:r w:rsidR="006B6F7B">
        <w:rPr>
          <w:color w:val="000000"/>
        </w:rPr>
        <w:t>en</w:t>
      </w:r>
      <w:r w:rsidRPr="00A373E2">
        <w:rPr>
          <w:color w:val="000000"/>
        </w:rPr>
        <w:t>oved pie LESD 56.panta pārkāpuma</w:t>
      </w:r>
      <w:r w:rsidR="004425AD">
        <w:rPr>
          <w:color w:val="000000"/>
        </w:rPr>
        <w:t xml:space="preserve">. </w:t>
      </w:r>
      <w:r w:rsidRPr="00A373E2">
        <w:rPr>
          <w:color w:val="000000"/>
        </w:rPr>
        <w:t xml:space="preserve">Eiropas Savienības </w:t>
      </w:r>
      <w:r w:rsidR="00730B3E">
        <w:rPr>
          <w:color w:val="000000"/>
        </w:rPr>
        <w:t>T</w:t>
      </w:r>
      <w:r w:rsidRPr="00A373E2">
        <w:rPr>
          <w:color w:val="000000"/>
        </w:rPr>
        <w:t>iesa ir</w:t>
      </w:r>
      <w:r w:rsidR="00413E6F">
        <w:rPr>
          <w:color w:val="000000"/>
        </w:rPr>
        <w:t xml:space="preserve"> </w:t>
      </w:r>
      <w:r w:rsidRPr="00A373E2">
        <w:rPr>
          <w:color w:val="000000"/>
        </w:rPr>
        <w:t>konstatējusi, ka azartspēļu jomā pieņemtajos valsts tiesību aktos noteiktie</w:t>
      </w:r>
      <w:r w:rsidR="00413E6F">
        <w:rPr>
          <w:color w:val="000000"/>
        </w:rPr>
        <w:t xml:space="preserve"> </w:t>
      </w:r>
      <w:r w:rsidRPr="00A373E2">
        <w:rPr>
          <w:color w:val="000000"/>
        </w:rPr>
        <w:t>mērķi visbiežāk attiecas uz pakalpojuma saņēmēju</w:t>
      </w:r>
      <w:r w:rsidR="00413E6F">
        <w:rPr>
          <w:color w:val="000000"/>
        </w:rPr>
        <w:t xml:space="preserve"> </w:t>
      </w:r>
      <w:r w:rsidRPr="00A373E2">
        <w:rPr>
          <w:color w:val="000000"/>
        </w:rPr>
        <w:t>aizsardzību un vispārīgi – uz patērētāju aizsardzību, kā arī sociālās</w:t>
      </w:r>
      <w:r w:rsidR="00413E6F">
        <w:rPr>
          <w:color w:val="000000"/>
        </w:rPr>
        <w:t xml:space="preserve"> </w:t>
      </w:r>
      <w:r w:rsidRPr="00A373E2">
        <w:rPr>
          <w:color w:val="000000"/>
        </w:rPr>
        <w:t>kārtības</w:t>
      </w:r>
      <w:r w:rsidR="00413E6F">
        <w:rPr>
          <w:color w:val="000000"/>
        </w:rPr>
        <w:t xml:space="preserve"> </w:t>
      </w:r>
      <w:r w:rsidRPr="00A373E2">
        <w:rPr>
          <w:color w:val="000000"/>
        </w:rPr>
        <w:t xml:space="preserve">aizsardzību. </w:t>
      </w:r>
      <w:r w:rsidR="00E92365">
        <w:rPr>
          <w:color w:val="000000"/>
        </w:rPr>
        <w:t>Tas</w:t>
      </w:r>
      <w:r w:rsidRPr="00A373E2">
        <w:rPr>
          <w:color w:val="000000"/>
        </w:rPr>
        <w:t xml:space="preserve"> atbilst vispārējo</w:t>
      </w:r>
      <w:r w:rsidR="00413E6F">
        <w:rPr>
          <w:color w:val="000000"/>
        </w:rPr>
        <w:t xml:space="preserve"> </w:t>
      </w:r>
      <w:r w:rsidRPr="00A373E2">
        <w:rPr>
          <w:color w:val="000000"/>
        </w:rPr>
        <w:t>interešu apsvērum</w:t>
      </w:r>
      <w:r w:rsidR="00413E6F">
        <w:rPr>
          <w:color w:val="000000"/>
        </w:rPr>
        <w:t>iem</w:t>
      </w:r>
      <w:r w:rsidRPr="00A373E2">
        <w:rPr>
          <w:color w:val="000000"/>
        </w:rPr>
        <w:t>, kuri var pamatot pakalpojumu sniegšanas brīvības</w:t>
      </w:r>
      <w:r w:rsidR="00413E6F">
        <w:rPr>
          <w:color w:val="000000"/>
        </w:rPr>
        <w:t xml:space="preserve"> </w:t>
      </w:r>
      <w:r w:rsidRPr="00A373E2">
        <w:rPr>
          <w:color w:val="000000"/>
        </w:rPr>
        <w:t>apdraudējumu. Morālās, reliģiskās vai kultūras īpatnības, kā arī ar azartspēlēm saistītās sekas, kas morāli un finansiāli kaitē indivīdam un sabiedrībai, var</w:t>
      </w:r>
      <w:r w:rsidR="00413E6F">
        <w:rPr>
          <w:color w:val="000000"/>
        </w:rPr>
        <w:t xml:space="preserve"> </w:t>
      </w:r>
      <w:r w:rsidRPr="00A373E2">
        <w:rPr>
          <w:color w:val="000000"/>
        </w:rPr>
        <w:t>būt pamats pietiekamai valsts iestāžu rīcības brīvībai, lai noteiktu patērētāja un</w:t>
      </w:r>
      <w:r w:rsidR="00413E6F">
        <w:rPr>
          <w:color w:val="000000"/>
        </w:rPr>
        <w:t xml:space="preserve"> </w:t>
      </w:r>
      <w:r w:rsidRPr="00A373E2">
        <w:rPr>
          <w:color w:val="000000"/>
        </w:rPr>
        <w:t>sabiedriskās</w:t>
      </w:r>
      <w:r w:rsidR="00413E6F">
        <w:rPr>
          <w:color w:val="000000"/>
        </w:rPr>
        <w:t xml:space="preserve"> </w:t>
      </w:r>
      <w:r w:rsidRPr="00A373E2">
        <w:rPr>
          <w:color w:val="000000"/>
        </w:rPr>
        <w:t>kārtības aizsardzības prasības (</w:t>
      </w:r>
      <w:r w:rsidRPr="00AC4B81">
        <w:rPr>
          <w:iCs/>
          <w:color w:val="000000"/>
        </w:rPr>
        <w:t>piemēram,</w:t>
      </w:r>
      <w:r w:rsidRPr="00A373E2">
        <w:rPr>
          <w:i/>
          <w:iCs/>
          <w:color w:val="000000"/>
        </w:rPr>
        <w:t xml:space="preserve"> Eiropas Savienības Tiesas</w:t>
      </w:r>
      <w:r w:rsidR="00413E6F">
        <w:rPr>
          <w:color w:val="000000"/>
        </w:rPr>
        <w:t xml:space="preserve"> </w:t>
      </w:r>
      <w:r w:rsidRPr="00A373E2">
        <w:rPr>
          <w:i/>
          <w:iCs/>
          <w:color w:val="000000"/>
        </w:rPr>
        <w:t xml:space="preserve">2011.gada 15.septembra sprieduma lietā </w:t>
      </w:r>
      <w:r w:rsidR="00730B3E" w:rsidRPr="00A373E2">
        <w:rPr>
          <w:color w:val="000000"/>
        </w:rPr>
        <w:t>„</w:t>
      </w:r>
      <w:proofErr w:type="spellStart"/>
      <w:r w:rsidR="00730B3E" w:rsidRPr="00A373E2">
        <w:rPr>
          <w:i/>
          <w:iCs/>
          <w:color w:val="000000"/>
        </w:rPr>
        <w:t>Dickinger</w:t>
      </w:r>
      <w:proofErr w:type="spellEnd"/>
      <w:r w:rsidR="00730B3E" w:rsidRPr="00A373E2">
        <w:rPr>
          <w:i/>
          <w:iCs/>
          <w:color w:val="000000"/>
        </w:rPr>
        <w:t xml:space="preserve"> un </w:t>
      </w:r>
      <w:proofErr w:type="spellStart"/>
      <w:r w:rsidR="00730B3E" w:rsidRPr="00A373E2">
        <w:rPr>
          <w:i/>
          <w:iCs/>
          <w:color w:val="000000"/>
        </w:rPr>
        <w:t>Ömer</w:t>
      </w:r>
      <w:proofErr w:type="spellEnd"/>
      <w:r w:rsidR="00730B3E">
        <w:rPr>
          <w:i/>
          <w:iCs/>
          <w:color w:val="000000"/>
        </w:rPr>
        <w:t xml:space="preserve">”, </w:t>
      </w:r>
      <w:r w:rsidRPr="00A373E2">
        <w:rPr>
          <w:i/>
          <w:iCs/>
          <w:color w:val="000000"/>
        </w:rPr>
        <w:t>C</w:t>
      </w:r>
      <w:r w:rsidR="00646D6B">
        <w:rPr>
          <w:i/>
          <w:iCs/>
          <w:color w:val="000000"/>
        </w:rPr>
        <w:noBreakHyphen/>
      </w:r>
      <w:r w:rsidRPr="00A373E2">
        <w:rPr>
          <w:i/>
          <w:iCs/>
          <w:color w:val="000000"/>
        </w:rPr>
        <w:t>347/09</w:t>
      </w:r>
      <w:r w:rsidR="00F75607">
        <w:rPr>
          <w:i/>
          <w:iCs/>
          <w:color w:val="000000"/>
        </w:rPr>
        <w:t xml:space="preserve">, </w:t>
      </w:r>
      <w:r w:rsidR="00F75607" w:rsidRPr="00F75607">
        <w:rPr>
          <w:i/>
          <w:iCs/>
          <w:color w:val="000000"/>
        </w:rPr>
        <w:t>ECLI:EU:C:2011:582</w:t>
      </w:r>
      <w:r w:rsidR="00F75607">
        <w:rPr>
          <w:i/>
          <w:iCs/>
          <w:color w:val="000000"/>
        </w:rPr>
        <w:t>,</w:t>
      </w:r>
      <w:r w:rsidRPr="00A373E2">
        <w:rPr>
          <w:i/>
          <w:iCs/>
          <w:color w:val="000000"/>
        </w:rPr>
        <w:t xml:space="preserve"> 44. un</w:t>
      </w:r>
      <w:r w:rsidR="00413E6F">
        <w:rPr>
          <w:color w:val="000000"/>
        </w:rPr>
        <w:t xml:space="preserve"> </w:t>
      </w:r>
      <w:r w:rsidRPr="00A373E2">
        <w:rPr>
          <w:i/>
          <w:iCs/>
          <w:color w:val="000000"/>
        </w:rPr>
        <w:t>45.punkt</w:t>
      </w:r>
      <w:r w:rsidR="00617EC4">
        <w:rPr>
          <w:i/>
          <w:iCs/>
          <w:color w:val="000000"/>
        </w:rPr>
        <w:t>s</w:t>
      </w:r>
      <w:r w:rsidRPr="00A373E2">
        <w:rPr>
          <w:color w:val="000000"/>
        </w:rPr>
        <w:t>).</w:t>
      </w:r>
      <w:r w:rsidR="00413E6F">
        <w:rPr>
          <w:color w:val="000000"/>
        </w:rPr>
        <w:t xml:space="preserve"> </w:t>
      </w:r>
      <w:r w:rsidRPr="00A373E2">
        <w:rPr>
          <w:color w:val="000000"/>
        </w:rPr>
        <w:t>Eiropas Savienības Tiesas praksē attīstītie „sevišķi svarīgi iemesli saistībā ar</w:t>
      </w:r>
      <w:r w:rsidR="00413E6F">
        <w:rPr>
          <w:color w:val="000000"/>
        </w:rPr>
        <w:t xml:space="preserve"> </w:t>
      </w:r>
      <w:r w:rsidRPr="00A373E2">
        <w:rPr>
          <w:color w:val="000000"/>
        </w:rPr>
        <w:t>sabiedrības interesēm”, kas var būt par pamatu pakalpojumu sniegšanas brīvīb</w:t>
      </w:r>
      <w:r w:rsidR="00AC4B81">
        <w:rPr>
          <w:color w:val="000000"/>
        </w:rPr>
        <w:t>as</w:t>
      </w:r>
      <w:r w:rsidRPr="00A373E2">
        <w:rPr>
          <w:color w:val="000000"/>
        </w:rPr>
        <w:t xml:space="preserve"> ierobežojumiem, ir apkopoti</w:t>
      </w:r>
      <w:r w:rsidR="00413E6F">
        <w:rPr>
          <w:color w:val="000000"/>
        </w:rPr>
        <w:t xml:space="preserve"> </w:t>
      </w:r>
      <w:r w:rsidR="00646D6B">
        <w:rPr>
          <w:color w:val="000000"/>
        </w:rPr>
        <w:t xml:space="preserve">Eiropas Parlamenta un Padomes 2006.gada 12.decembra </w:t>
      </w:r>
      <w:r w:rsidRPr="00A373E2">
        <w:rPr>
          <w:color w:val="000000"/>
        </w:rPr>
        <w:t>Direktīvas 2006/123/EK</w:t>
      </w:r>
      <w:r w:rsidR="00A30EE1" w:rsidRPr="00A30EE1">
        <w:t xml:space="preserve"> par pakalpojumiem iekšējā tirgū (turpmāk – Direktīva 2006/123/EK) </w:t>
      </w:r>
      <w:r w:rsidRPr="00A373E2">
        <w:rPr>
          <w:color w:val="000000"/>
        </w:rPr>
        <w:t>4.panta 8.punktā. Lai gan minētā direktīva neattiecas uz</w:t>
      </w:r>
      <w:r w:rsidR="00413E6F">
        <w:rPr>
          <w:color w:val="000000"/>
        </w:rPr>
        <w:t xml:space="preserve"> </w:t>
      </w:r>
      <w:r w:rsidRPr="00A373E2">
        <w:rPr>
          <w:color w:val="000000"/>
        </w:rPr>
        <w:t>azartspēļu jomu, š</w:t>
      </w:r>
      <w:r w:rsidR="00413E6F">
        <w:rPr>
          <w:color w:val="000000"/>
        </w:rPr>
        <w:t>ie</w:t>
      </w:r>
      <w:r w:rsidRPr="00A373E2">
        <w:rPr>
          <w:color w:val="000000"/>
        </w:rPr>
        <w:t xml:space="preserve"> princip</w:t>
      </w:r>
      <w:r w:rsidR="00413E6F">
        <w:rPr>
          <w:color w:val="000000"/>
        </w:rPr>
        <w:t>i ir piemērojami</w:t>
      </w:r>
      <w:r w:rsidRPr="00A373E2">
        <w:rPr>
          <w:color w:val="000000"/>
        </w:rPr>
        <w:t>, jo tos ir izstrādājusi</w:t>
      </w:r>
      <w:r w:rsidR="00413E6F">
        <w:rPr>
          <w:color w:val="000000"/>
        </w:rPr>
        <w:t xml:space="preserve"> </w:t>
      </w:r>
      <w:r w:rsidRPr="00A373E2">
        <w:rPr>
          <w:color w:val="000000"/>
        </w:rPr>
        <w:t>Eiropas Savienības Tiesa, interpretējot LESD ietverto regulējumu attiecībā uz</w:t>
      </w:r>
      <w:r w:rsidR="00413E6F">
        <w:rPr>
          <w:color w:val="000000"/>
        </w:rPr>
        <w:t xml:space="preserve"> </w:t>
      </w:r>
      <w:r w:rsidRPr="00A373E2">
        <w:rPr>
          <w:color w:val="000000"/>
        </w:rPr>
        <w:t xml:space="preserve">pakalpojumu sniegšanas brīvību. Atbilstoši šai normai </w:t>
      </w:r>
      <w:r w:rsidR="00F61DD6">
        <w:rPr>
          <w:color w:val="000000"/>
        </w:rPr>
        <w:t>galvenie</w:t>
      </w:r>
      <w:r w:rsidR="00413E6F">
        <w:rPr>
          <w:color w:val="000000"/>
        </w:rPr>
        <w:t xml:space="preserve"> </w:t>
      </w:r>
      <w:r w:rsidRPr="00A373E2">
        <w:rPr>
          <w:color w:val="000000"/>
        </w:rPr>
        <w:t>vispārējo interešu apsvērumi ir tie, kas par tādiem atzīti Eiropas Savienības Tiesas</w:t>
      </w:r>
      <w:r w:rsidR="00413E6F">
        <w:rPr>
          <w:color w:val="000000"/>
        </w:rPr>
        <w:t xml:space="preserve"> </w:t>
      </w:r>
      <w:r w:rsidRPr="00A373E2">
        <w:rPr>
          <w:color w:val="000000"/>
        </w:rPr>
        <w:t>judikatūrā</w:t>
      </w:r>
      <w:r w:rsidR="00D102AF">
        <w:rPr>
          <w:color w:val="000000"/>
        </w:rPr>
        <w:t>.</w:t>
      </w:r>
      <w:r w:rsidRPr="00A373E2">
        <w:rPr>
          <w:color w:val="000000"/>
        </w:rPr>
        <w:t xml:space="preserve"> </w:t>
      </w:r>
      <w:r w:rsidR="00D102AF">
        <w:rPr>
          <w:color w:val="000000"/>
        </w:rPr>
        <w:t>T</w:t>
      </w:r>
      <w:r w:rsidR="00A53400">
        <w:rPr>
          <w:color w:val="000000"/>
        </w:rPr>
        <w:t>ie ir arī</w:t>
      </w:r>
      <w:r w:rsidRPr="00A373E2">
        <w:rPr>
          <w:color w:val="000000"/>
        </w:rPr>
        <w:t xml:space="preserve"> sabiedriskā kārtība</w:t>
      </w:r>
      <w:r w:rsidR="00D102AF">
        <w:rPr>
          <w:color w:val="000000"/>
        </w:rPr>
        <w:t>,</w:t>
      </w:r>
      <w:r w:rsidR="00413E6F">
        <w:rPr>
          <w:color w:val="000000"/>
        </w:rPr>
        <w:t xml:space="preserve"> </w:t>
      </w:r>
      <w:r w:rsidRPr="00A373E2">
        <w:rPr>
          <w:color w:val="000000"/>
        </w:rPr>
        <w:t>droš</w:t>
      </w:r>
      <w:r w:rsidR="00D102AF">
        <w:rPr>
          <w:color w:val="000000"/>
        </w:rPr>
        <w:t>ība,</w:t>
      </w:r>
      <w:r w:rsidRPr="00A373E2">
        <w:rPr>
          <w:color w:val="000000"/>
        </w:rPr>
        <w:t xml:space="preserve"> vides un</w:t>
      </w:r>
      <w:r w:rsidR="00413E6F">
        <w:rPr>
          <w:color w:val="000000"/>
        </w:rPr>
        <w:t xml:space="preserve"> </w:t>
      </w:r>
      <w:r w:rsidRPr="00A373E2">
        <w:rPr>
          <w:color w:val="000000"/>
        </w:rPr>
        <w:t>pilsētvides aizsardzība</w:t>
      </w:r>
      <w:r w:rsidR="00D102AF">
        <w:rPr>
          <w:color w:val="000000"/>
        </w:rPr>
        <w:t>,</w:t>
      </w:r>
      <w:r w:rsidRPr="00A373E2">
        <w:rPr>
          <w:color w:val="000000"/>
        </w:rPr>
        <w:t xml:space="preserve"> valsts vēstures un</w:t>
      </w:r>
      <w:r w:rsidR="00413E6F">
        <w:rPr>
          <w:color w:val="000000"/>
        </w:rPr>
        <w:t xml:space="preserve"> </w:t>
      </w:r>
      <w:r w:rsidRPr="00A373E2">
        <w:rPr>
          <w:color w:val="000000"/>
        </w:rPr>
        <w:t>mākslas mantojuma saglabāšana</w:t>
      </w:r>
      <w:r w:rsidR="00D102AF">
        <w:rPr>
          <w:color w:val="000000"/>
        </w:rPr>
        <w:t>,</w:t>
      </w:r>
      <w:r w:rsidRPr="00A373E2">
        <w:rPr>
          <w:color w:val="000000"/>
        </w:rPr>
        <w:t xml:space="preserve"> sociālās politikas mērķi un kultūras politikas mērķi.</w:t>
      </w:r>
      <w:r w:rsidR="00413E6F">
        <w:rPr>
          <w:color w:val="000000"/>
        </w:rPr>
        <w:t xml:space="preserve"> R</w:t>
      </w:r>
      <w:r w:rsidRPr="00A373E2">
        <w:rPr>
          <w:color w:val="000000"/>
        </w:rPr>
        <w:t>edzams, ka pamatbrīvību</w:t>
      </w:r>
      <w:r w:rsidR="00413E6F">
        <w:rPr>
          <w:color w:val="000000"/>
        </w:rPr>
        <w:t xml:space="preserve"> </w:t>
      </w:r>
      <w:r w:rsidRPr="00A373E2">
        <w:rPr>
          <w:color w:val="000000"/>
        </w:rPr>
        <w:t>ierobežojumu attaisnojum</w:t>
      </w:r>
      <w:r w:rsidR="00730B3E">
        <w:rPr>
          <w:color w:val="000000"/>
        </w:rPr>
        <w:t>am</w:t>
      </w:r>
      <w:r w:rsidRPr="00A373E2">
        <w:rPr>
          <w:color w:val="000000"/>
        </w:rPr>
        <w:t xml:space="preserve"> var kalpot arī</w:t>
      </w:r>
      <w:r w:rsidR="003E06BB">
        <w:rPr>
          <w:color w:val="000000"/>
        </w:rPr>
        <w:t xml:space="preserve"> citi</w:t>
      </w:r>
      <w:r w:rsidRPr="00A373E2">
        <w:rPr>
          <w:color w:val="000000"/>
        </w:rPr>
        <w:t xml:space="preserve"> mērķi.</w:t>
      </w:r>
      <w:r w:rsidR="003E06BB">
        <w:rPr>
          <w:color w:val="000000"/>
        </w:rPr>
        <w:t xml:space="preserve"> A</w:t>
      </w:r>
      <w:r w:rsidRPr="00A373E2">
        <w:rPr>
          <w:color w:val="000000"/>
        </w:rPr>
        <w:t xml:space="preserve">tbilstoši Azartspēļu un izložu likuma 2.panta pirmajai daļai </w:t>
      </w:r>
      <w:r w:rsidR="003E06BB">
        <w:rPr>
          <w:color w:val="000000"/>
        </w:rPr>
        <w:t xml:space="preserve">tā </w:t>
      </w:r>
      <w:r w:rsidRPr="00A373E2">
        <w:rPr>
          <w:color w:val="000000"/>
        </w:rPr>
        <w:t xml:space="preserve">mērķis ir ne tikai spēlētāju tiesību aizsardzība, bet </w:t>
      </w:r>
      <w:r w:rsidR="00A53400">
        <w:rPr>
          <w:color w:val="000000"/>
        </w:rPr>
        <w:t>arī</w:t>
      </w:r>
      <w:r w:rsidRPr="00A373E2">
        <w:rPr>
          <w:color w:val="000000"/>
        </w:rPr>
        <w:t xml:space="preserve"> sabiedrības</w:t>
      </w:r>
      <w:r w:rsidR="003E06BB">
        <w:rPr>
          <w:color w:val="000000"/>
        </w:rPr>
        <w:t xml:space="preserve"> </w:t>
      </w:r>
      <w:r w:rsidRPr="00A373E2">
        <w:rPr>
          <w:color w:val="000000"/>
        </w:rPr>
        <w:t>interešu aizsardzība.</w:t>
      </w:r>
      <w:r w:rsidR="003E06BB">
        <w:rPr>
          <w:color w:val="000000"/>
        </w:rPr>
        <w:t xml:space="preserve"> Tādējādi</w:t>
      </w:r>
      <w:r w:rsidRPr="00A373E2">
        <w:rPr>
          <w:color w:val="000000"/>
        </w:rPr>
        <w:t xml:space="preserve"> saistošo noteikumu Nr.</w:t>
      </w:r>
      <w:r w:rsidR="00730B3E">
        <w:rPr>
          <w:color w:val="000000"/>
        </w:rPr>
        <w:t> </w:t>
      </w:r>
      <w:r w:rsidRPr="00A373E2">
        <w:rPr>
          <w:color w:val="000000"/>
        </w:rPr>
        <w:t>38 leģitīmais</w:t>
      </w:r>
      <w:r w:rsidR="003E06BB">
        <w:rPr>
          <w:color w:val="000000"/>
        </w:rPr>
        <w:t xml:space="preserve"> </w:t>
      </w:r>
      <w:r w:rsidRPr="00A373E2">
        <w:rPr>
          <w:color w:val="000000"/>
        </w:rPr>
        <w:t xml:space="preserve">mērķis </w:t>
      </w:r>
      <w:r w:rsidR="003E06BB">
        <w:rPr>
          <w:color w:val="000000"/>
        </w:rPr>
        <w:t>nav</w:t>
      </w:r>
      <w:r w:rsidRPr="00A373E2">
        <w:rPr>
          <w:color w:val="000000"/>
        </w:rPr>
        <w:t xml:space="preserve"> pretrunā ar Eiropas Savienības Tiesas praksē attīstītajiem vispārējo interešu apsvērumiem. </w:t>
      </w:r>
      <w:r w:rsidR="00A53400">
        <w:rPr>
          <w:color w:val="000000"/>
        </w:rPr>
        <w:t>Vienlaikus</w:t>
      </w:r>
      <w:r w:rsidRPr="00A373E2">
        <w:rPr>
          <w:color w:val="000000"/>
        </w:rPr>
        <w:t xml:space="preserve"> ierobežojumiem ir jāatbilst samērīguma principam</w:t>
      </w:r>
      <w:r w:rsidR="00D102AF">
        <w:rPr>
          <w:color w:val="000000"/>
        </w:rPr>
        <w:t>,</w:t>
      </w:r>
      <w:r w:rsidRPr="00A373E2">
        <w:rPr>
          <w:color w:val="000000"/>
        </w:rPr>
        <w:t xml:space="preserve"> tiesiskais regulējums var nodrošināt mērķa sasniegšanu, ja</w:t>
      </w:r>
      <w:r w:rsidR="003E06BB">
        <w:rPr>
          <w:color w:val="000000"/>
        </w:rPr>
        <w:t xml:space="preserve"> </w:t>
      </w:r>
      <w:r w:rsidRPr="00A373E2">
        <w:rPr>
          <w:color w:val="000000"/>
        </w:rPr>
        <w:t>tā</w:t>
      </w:r>
      <w:r w:rsidR="003E06BB">
        <w:rPr>
          <w:color w:val="000000"/>
        </w:rPr>
        <w:t xml:space="preserve"> </w:t>
      </w:r>
      <w:r w:rsidRPr="00A373E2">
        <w:rPr>
          <w:color w:val="000000"/>
        </w:rPr>
        <w:t>līdzekļi ir saskanīgi un sistemātiski (</w:t>
      </w:r>
      <w:r w:rsidR="00730B3E">
        <w:rPr>
          <w:i/>
          <w:iCs/>
          <w:color w:val="000000"/>
        </w:rPr>
        <w:t xml:space="preserve">Eiropas Savienības Tiesas </w:t>
      </w:r>
      <w:r w:rsidRPr="00A373E2">
        <w:rPr>
          <w:i/>
          <w:iCs/>
          <w:color w:val="000000"/>
        </w:rPr>
        <w:t>2007.gada 6.marta sprieduma</w:t>
      </w:r>
      <w:r w:rsidR="003E06BB">
        <w:rPr>
          <w:color w:val="000000"/>
        </w:rPr>
        <w:t xml:space="preserve"> </w:t>
      </w:r>
      <w:r w:rsidR="006A36B1" w:rsidRPr="00A373E2">
        <w:rPr>
          <w:i/>
          <w:iCs/>
          <w:color w:val="000000"/>
        </w:rPr>
        <w:t>apvienot</w:t>
      </w:r>
      <w:r w:rsidR="006A36B1">
        <w:rPr>
          <w:i/>
          <w:iCs/>
          <w:color w:val="000000"/>
        </w:rPr>
        <w:t>a</w:t>
      </w:r>
      <w:r w:rsidR="006A36B1" w:rsidRPr="00A373E2">
        <w:rPr>
          <w:i/>
          <w:iCs/>
          <w:color w:val="000000"/>
        </w:rPr>
        <w:t>jā</w:t>
      </w:r>
      <w:r w:rsidR="006A36B1">
        <w:rPr>
          <w:i/>
          <w:iCs/>
          <w:color w:val="000000"/>
        </w:rPr>
        <w:t>s</w:t>
      </w:r>
      <w:r w:rsidR="006A36B1" w:rsidRPr="00A373E2">
        <w:rPr>
          <w:i/>
          <w:iCs/>
          <w:color w:val="000000"/>
        </w:rPr>
        <w:t xml:space="preserve"> </w:t>
      </w:r>
      <w:r w:rsidRPr="00A373E2">
        <w:rPr>
          <w:i/>
          <w:iCs/>
          <w:color w:val="000000"/>
        </w:rPr>
        <w:t>lietā</w:t>
      </w:r>
      <w:r w:rsidR="00730B3E">
        <w:rPr>
          <w:i/>
          <w:iCs/>
          <w:color w:val="000000"/>
        </w:rPr>
        <w:t>s</w:t>
      </w:r>
      <w:r w:rsidRPr="00A373E2">
        <w:rPr>
          <w:i/>
          <w:iCs/>
          <w:color w:val="000000"/>
        </w:rPr>
        <w:t xml:space="preserve"> </w:t>
      </w:r>
      <w:r w:rsidR="00730B3E" w:rsidRPr="00730B3E">
        <w:rPr>
          <w:color w:val="000000"/>
        </w:rPr>
        <w:t xml:space="preserve"> </w:t>
      </w:r>
      <w:r w:rsidR="00730B3E" w:rsidRPr="00A373E2">
        <w:rPr>
          <w:color w:val="000000"/>
        </w:rPr>
        <w:t>„</w:t>
      </w:r>
      <w:proofErr w:type="spellStart"/>
      <w:r w:rsidR="00730B3E" w:rsidRPr="00A373E2">
        <w:rPr>
          <w:i/>
          <w:iCs/>
          <w:color w:val="000000"/>
        </w:rPr>
        <w:t>Placanica</w:t>
      </w:r>
      <w:proofErr w:type="spellEnd"/>
      <w:r w:rsidR="00730B3E">
        <w:rPr>
          <w:color w:val="000000"/>
        </w:rPr>
        <w:t xml:space="preserve"> </w:t>
      </w:r>
      <w:r w:rsidR="00730B3E" w:rsidRPr="00A373E2">
        <w:rPr>
          <w:i/>
          <w:iCs/>
          <w:color w:val="000000"/>
        </w:rPr>
        <w:t>u.c.</w:t>
      </w:r>
      <w:r w:rsidR="00730B3E">
        <w:rPr>
          <w:i/>
          <w:iCs/>
          <w:color w:val="000000"/>
        </w:rPr>
        <w:t xml:space="preserve">”, </w:t>
      </w:r>
      <w:r w:rsidRPr="00A373E2">
        <w:rPr>
          <w:i/>
          <w:iCs/>
          <w:color w:val="000000"/>
        </w:rPr>
        <w:t>C-338/04, C-359/04 un C-360/04</w:t>
      </w:r>
      <w:r w:rsidR="00730B3E">
        <w:rPr>
          <w:i/>
          <w:iCs/>
          <w:color w:val="000000"/>
        </w:rPr>
        <w:t>,</w:t>
      </w:r>
      <w:r w:rsidR="00176FD6">
        <w:rPr>
          <w:i/>
          <w:iCs/>
          <w:color w:val="000000"/>
        </w:rPr>
        <w:t xml:space="preserve"> </w:t>
      </w:r>
      <w:r w:rsidR="00730B3E">
        <w:rPr>
          <w:i/>
          <w:iCs/>
          <w:color w:val="000000"/>
        </w:rPr>
        <w:t>ECLI:</w:t>
      </w:r>
      <w:r w:rsidRPr="00A373E2">
        <w:rPr>
          <w:i/>
          <w:iCs/>
          <w:color w:val="000000"/>
        </w:rPr>
        <w:t>EU:C:2007:133</w:t>
      </w:r>
      <w:r w:rsidR="006A36B1">
        <w:rPr>
          <w:i/>
          <w:iCs/>
          <w:color w:val="000000"/>
        </w:rPr>
        <w:t>,</w:t>
      </w:r>
      <w:r w:rsidRPr="00A373E2">
        <w:rPr>
          <w:i/>
          <w:iCs/>
          <w:color w:val="000000"/>
        </w:rPr>
        <w:t xml:space="preserve"> 48. un 53.punkt</w:t>
      </w:r>
      <w:r w:rsidR="00617EC4">
        <w:rPr>
          <w:i/>
          <w:iCs/>
          <w:color w:val="000000"/>
        </w:rPr>
        <w:t>s</w:t>
      </w:r>
      <w:r w:rsidRPr="00A373E2">
        <w:rPr>
          <w:color w:val="000000"/>
        </w:rPr>
        <w:t>).</w:t>
      </w:r>
      <w:r w:rsidR="003E06BB">
        <w:rPr>
          <w:color w:val="000000"/>
        </w:rPr>
        <w:t xml:space="preserve"> </w:t>
      </w:r>
      <w:r w:rsidRPr="00A373E2">
        <w:rPr>
          <w:color w:val="000000"/>
        </w:rPr>
        <w:t>Eiropas Savienības tiesībām atbilstošus mērķus, kas var kalpot kā</w:t>
      </w:r>
      <w:r w:rsidR="003E06BB">
        <w:rPr>
          <w:color w:val="000000"/>
        </w:rPr>
        <w:t xml:space="preserve"> </w:t>
      </w:r>
      <w:r w:rsidRPr="00A373E2">
        <w:rPr>
          <w:color w:val="000000"/>
        </w:rPr>
        <w:t>pamatojums pakalpojumu sniegšanas brīvības ierobežojumam,</w:t>
      </w:r>
      <w:r w:rsidR="003E06BB">
        <w:rPr>
          <w:color w:val="000000"/>
        </w:rPr>
        <w:t xml:space="preserve"> un to samē</w:t>
      </w:r>
      <w:r w:rsidR="00A53400">
        <w:rPr>
          <w:color w:val="000000"/>
        </w:rPr>
        <w:t>rī</w:t>
      </w:r>
      <w:r w:rsidR="003E06BB">
        <w:rPr>
          <w:color w:val="000000"/>
        </w:rPr>
        <w:t>gumu</w:t>
      </w:r>
      <w:r w:rsidRPr="00A373E2">
        <w:rPr>
          <w:color w:val="000000"/>
        </w:rPr>
        <w:t xml:space="preserve"> ir konstatējusi jau</w:t>
      </w:r>
      <w:r w:rsidR="003E06BB">
        <w:rPr>
          <w:color w:val="000000"/>
        </w:rPr>
        <w:t xml:space="preserve"> </w:t>
      </w:r>
      <w:r w:rsidRPr="00A373E2">
        <w:rPr>
          <w:color w:val="000000"/>
        </w:rPr>
        <w:t>Satversmes tiesa. Kaut arī</w:t>
      </w:r>
      <w:r w:rsidR="003E06BB">
        <w:rPr>
          <w:color w:val="000000"/>
        </w:rPr>
        <w:t xml:space="preserve"> </w:t>
      </w:r>
      <w:r w:rsidRPr="00A373E2">
        <w:rPr>
          <w:color w:val="000000"/>
        </w:rPr>
        <w:t xml:space="preserve">pieteicēja </w:t>
      </w:r>
      <w:r w:rsidRPr="00A373E2">
        <w:rPr>
          <w:color w:val="000000"/>
        </w:rPr>
        <w:lastRenderedPageBreak/>
        <w:t>nepiekrīt Satversmes tiesas spriedumā norādītajam sabiedrības mērķu</w:t>
      </w:r>
      <w:r w:rsidR="00A53400">
        <w:rPr>
          <w:color w:val="000000"/>
        </w:rPr>
        <w:t xml:space="preserve"> </w:t>
      </w:r>
      <w:r w:rsidRPr="00A373E2">
        <w:rPr>
          <w:color w:val="000000"/>
        </w:rPr>
        <w:t>izvērtējumam, apgabaltiesa</w:t>
      </w:r>
      <w:r w:rsidR="00A53400">
        <w:rPr>
          <w:color w:val="000000"/>
        </w:rPr>
        <w:t>i tas ir</w:t>
      </w:r>
      <w:r w:rsidRPr="00A373E2">
        <w:rPr>
          <w:color w:val="000000"/>
        </w:rPr>
        <w:t xml:space="preserve"> saistoš</w:t>
      </w:r>
      <w:r w:rsidR="00A53400">
        <w:rPr>
          <w:color w:val="000000"/>
        </w:rPr>
        <w:t>s</w:t>
      </w:r>
      <w:r w:rsidRPr="00A373E2">
        <w:rPr>
          <w:color w:val="000000"/>
        </w:rPr>
        <w:t>.</w:t>
      </w:r>
    </w:p>
    <w:p w14:paraId="765E8439" w14:textId="5BBD42A0" w:rsidR="007E56C5" w:rsidRDefault="00A53400" w:rsidP="00EC3193">
      <w:pPr>
        <w:spacing w:line="276" w:lineRule="auto"/>
        <w:ind w:firstLine="567"/>
        <w:jc w:val="both"/>
        <w:rPr>
          <w:color w:val="000000"/>
        </w:rPr>
      </w:pPr>
      <w:r>
        <w:rPr>
          <w:color w:val="000000"/>
        </w:rPr>
        <w:t>[2.</w:t>
      </w:r>
      <w:r w:rsidR="00766AF2">
        <w:rPr>
          <w:color w:val="000000"/>
        </w:rPr>
        <w:t>9</w:t>
      </w:r>
      <w:r>
        <w:rPr>
          <w:color w:val="000000"/>
        </w:rPr>
        <w:t>]</w:t>
      </w:r>
      <w:r w:rsidR="00F75607">
        <w:rPr>
          <w:color w:val="000000"/>
        </w:rPr>
        <w:t> </w:t>
      </w:r>
      <w:r w:rsidR="00053222" w:rsidRPr="00A373E2">
        <w:rPr>
          <w:color w:val="000000"/>
        </w:rPr>
        <w:t xml:space="preserve">Ar </w:t>
      </w:r>
      <w:proofErr w:type="gramStart"/>
      <w:r w:rsidR="00053222" w:rsidRPr="00A373E2">
        <w:rPr>
          <w:color w:val="000000"/>
        </w:rPr>
        <w:t>2016.gada</w:t>
      </w:r>
      <w:proofErr w:type="gramEnd"/>
      <w:r w:rsidR="00053222" w:rsidRPr="00A373E2">
        <w:rPr>
          <w:color w:val="000000"/>
        </w:rPr>
        <w:t xml:space="preserve"> 23.novembra grozījumiem „Azartspēļu un izložu likum</w:t>
      </w:r>
      <w:r>
        <w:rPr>
          <w:color w:val="000000"/>
        </w:rPr>
        <w:t>a</w:t>
      </w:r>
      <w:r w:rsidR="00053222" w:rsidRPr="00A373E2">
        <w:rPr>
          <w:color w:val="000000"/>
        </w:rPr>
        <w:t>” 1.pant</w:t>
      </w:r>
      <w:r w:rsidR="00F75607">
        <w:rPr>
          <w:color w:val="000000"/>
        </w:rPr>
        <w:t>a</w:t>
      </w:r>
      <w:r w:rsidR="007E56C5">
        <w:rPr>
          <w:color w:val="000000"/>
        </w:rPr>
        <w:t xml:space="preserve"> 6. un</w:t>
      </w:r>
      <w:r w:rsidR="00053222" w:rsidRPr="00A373E2">
        <w:rPr>
          <w:color w:val="000000"/>
        </w:rPr>
        <w:t xml:space="preserve"> 6.</w:t>
      </w:r>
      <w:r w:rsidR="00053222" w:rsidRPr="00AC4B81">
        <w:rPr>
          <w:color w:val="000000"/>
          <w:vertAlign w:val="superscript"/>
        </w:rPr>
        <w:t>1</w:t>
      </w:r>
      <w:r w:rsidR="00053222" w:rsidRPr="00A373E2">
        <w:rPr>
          <w:color w:val="000000"/>
        </w:rPr>
        <w:t>punkt</w:t>
      </w:r>
      <w:r w:rsidR="007E56C5">
        <w:rPr>
          <w:color w:val="000000"/>
        </w:rPr>
        <w:t>ā i</w:t>
      </w:r>
      <w:r w:rsidR="00053222" w:rsidRPr="00A373E2">
        <w:rPr>
          <w:color w:val="000000"/>
        </w:rPr>
        <w:t>nteraktīvās izlozes tika nodotas valsts monopola</w:t>
      </w:r>
      <w:r w:rsidR="00DE577A">
        <w:rPr>
          <w:color w:val="000000"/>
        </w:rPr>
        <w:t>m</w:t>
      </w:r>
      <w:r w:rsidR="00053222" w:rsidRPr="00A373E2">
        <w:rPr>
          <w:color w:val="000000"/>
        </w:rPr>
        <w:t>.</w:t>
      </w:r>
      <w:r w:rsidR="00DE577A">
        <w:rPr>
          <w:color w:val="000000"/>
        </w:rPr>
        <w:t xml:space="preserve"> </w:t>
      </w:r>
      <w:r w:rsidR="00DB3348">
        <w:rPr>
          <w:color w:val="000000"/>
        </w:rPr>
        <w:t>Likuma</w:t>
      </w:r>
      <w:r w:rsidR="00053222" w:rsidRPr="00A373E2">
        <w:rPr>
          <w:color w:val="000000"/>
        </w:rPr>
        <w:t xml:space="preserve"> grozījumu mērķis ir bijis</w:t>
      </w:r>
      <w:r w:rsidR="00DE577A">
        <w:rPr>
          <w:color w:val="000000"/>
        </w:rPr>
        <w:t xml:space="preserve"> </w:t>
      </w:r>
      <w:r w:rsidR="00053222" w:rsidRPr="00A373E2">
        <w:rPr>
          <w:color w:val="000000"/>
        </w:rPr>
        <w:t xml:space="preserve">palielināt valsts budžeta ieņēmumus, </w:t>
      </w:r>
      <w:r w:rsidR="006F3AD5">
        <w:rPr>
          <w:color w:val="000000"/>
        </w:rPr>
        <w:t>t</w:t>
      </w:r>
      <w:r w:rsidR="00DB3348">
        <w:rPr>
          <w:color w:val="000000"/>
        </w:rPr>
        <w:t>aču t</w:t>
      </w:r>
      <w:r w:rsidR="006F3AD5">
        <w:rPr>
          <w:color w:val="000000"/>
        </w:rPr>
        <w:t>as nav bijis</w:t>
      </w:r>
      <w:r w:rsidR="00DE577A">
        <w:rPr>
          <w:color w:val="000000"/>
        </w:rPr>
        <w:t xml:space="preserve"> </w:t>
      </w:r>
      <w:r w:rsidR="00053222" w:rsidRPr="00A373E2">
        <w:rPr>
          <w:color w:val="000000"/>
        </w:rPr>
        <w:t xml:space="preserve">pārorientēt spēļu zāļu apmeklētājus uz tādām spēlēm, ko piedāvā </w:t>
      </w:r>
      <w:r w:rsidR="00F75607">
        <w:rPr>
          <w:color w:val="000000"/>
        </w:rPr>
        <w:t xml:space="preserve">valsts akciju sabiedrība </w:t>
      </w:r>
      <w:r w:rsidR="00053222" w:rsidRPr="00A373E2">
        <w:rPr>
          <w:color w:val="000000"/>
        </w:rPr>
        <w:t xml:space="preserve">„Latvijas Loto”. </w:t>
      </w:r>
      <w:r w:rsidR="007E56C5">
        <w:rPr>
          <w:color w:val="000000"/>
        </w:rPr>
        <w:t>G</w:t>
      </w:r>
      <w:r w:rsidR="00DE577A">
        <w:rPr>
          <w:color w:val="000000"/>
        </w:rPr>
        <w:t>rozījumu</w:t>
      </w:r>
      <w:r w:rsidR="00053222" w:rsidRPr="00A373E2">
        <w:rPr>
          <w:color w:val="000000"/>
        </w:rPr>
        <w:t xml:space="preserve"> mērķis</w:t>
      </w:r>
      <w:r w:rsidR="00DE577A">
        <w:rPr>
          <w:color w:val="000000"/>
        </w:rPr>
        <w:t xml:space="preserve"> </w:t>
      </w:r>
      <w:r w:rsidR="00053222" w:rsidRPr="00A373E2">
        <w:rPr>
          <w:color w:val="000000"/>
        </w:rPr>
        <w:t>ir samazināt tieši nelegālo izložu piedāvājumu, nevis spēļu zāļu automātu</w:t>
      </w:r>
      <w:r w:rsidR="007E56C5">
        <w:rPr>
          <w:color w:val="000000"/>
        </w:rPr>
        <w:t xml:space="preserve"> spēlētājus</w:t>
      </w:r>
      <w:r w:rsidR="00053222" w:rsidRPr="00A373E2">
        <w:rPr>
          <w:color w:val="000000"/>
        </w:rPr>
        <w:t xml:space="preserve"> pārvilināt uz izložu jomu. </w:t>
      </w:r>
      <w:r w:rsidR="00DE577A">
        <w:rPr>
          <w:color w:val="000000"/>
        </w:rPr>
        <w:t>I</w:t>
      </w:r>
      <w:r w:rsidR="00053222" w:rsidRPr="00A373E2">
        <w:rPr>
          <w:color w:val="000000"/>
        </w:rPr>
        <w:t>nteraktīv</w:t>
      </w:r>
      <w:r w:rsidR="00DE577A">
        <w:rPr>
          <w:color w:val="000000"/>
        </w:rPr>
        <w:t xml:space="preserve">ās </w:t>
      </w:r>
      <w:r w:rsidR="00053222" w:rsidRPr="00A373E2">
        <w:rPr>
          <w:color w:val="000000"/>
        </w:rPr>
        <w:t>izloz</w:t>
      </w:r>
      <w:r w:rsidR="00DE577A">
        <w:rPr>
          <w:color w:val="000000"/>
        </w:rPr>
        <w:t>es</w:t>
      </w:r>
      <w:r w:rsidR="00053222" w:rsidRPr="00A373E2">
        <w:rPr>
          <w:color w:val="000000"/>
        </w:rPr>
        <w:t xml:space="preserve"> var </w:t>
      </w:r>
      <w:r w:rsidR="00DE577A">
        <w:rPr>
          <w:color w:val="000000"/>
        </w:rPr>
        <w:t>organizēt</w:t>
      </w:r>
      <w:r w:rsidR="00053222" w:rsidRPr="00A373E2">
        <w:rPr>
          <w:color w:val="000000"/>
        </w:rPr>
        <w:t>, piemēram, ar</w:t>
      </w:r>
      <w:r w:rsidR="00DE577A">
        <w:rPr>
          <w:color w:val="000000"/>
        </w:rPr>
        <w:t xml:space="preserve"> </w:t>
      </w:r>
      <w:r w:rsidR="00053222" w:rsidRPr="00A373E2">
        <w:rPr>
          <w:color w:val="000000"/>
        </w:rPr>
        <w:t>televīzijas starpniecību, kas mazāk pakļauj spēlētājus</w:t>
      </w:r>
      <w:r w:rsidR="00DE577A">
        <w:rPr>
          <w:color w:val="000000"/>
        </w:rPr>
        <w:t xml:space="preserve"> </w:t>
      </w:r>
      <w:r w:rsidR="00053222" w:rsidRPr="00A373E2">
        <w:rPr>
          <w:color w:val="000000"/>
        </w:rPr>
        <w:t>aizraušanās ar veiksmes spēlēm riskam. Turpretī spēļu zā</w:t>
      </w:r>
      <w:r w:rsidR="00D102AF">
        <w:rPr>
          <w:color w:val="000000"/>
        </w:rPr>
        <w:t>l</w:t>
      </w:r>
      <w:r w:rsidR="007E56C5">
        <w:rPr>
          <w:color w:val="000000"/>
        </w:rPr>
        <w:t>ēs</w:t>
      </w:r>
      <w:r w:rsidR="00053222" w:rsidRPr="00A373E2">
        <w:rPr>
          <w:color w:val="000000"/>
        </w:rPr>
        <w:t xml:space="preserve"> person</w:t>
      </w:r>
      <w:r w:rsidR="007E56C5">
        <w:rPr>
          <w:color w:val="000000"/>
        </w:rPr>
        <w:t>as ir klātesoša</w:t>
      </w:r>
      <w:r w:rsidR="00D102AF">
        <w:rPr>
          <w:color w:val="000000"/>
        </w:rPr>
        <w:t>s</w:t>
      </w:r>
      <w:r w:rsidR="007E56C5">
        <w:rPr>
          <w:color w:val="000000"/>
        </w:rPr>
        <w:t xml:space="preserve"> un</w:t>
      </w:r>
      <w:r w:rsidR="00053222" w:rsidRPr="00A373E2">
        <w:rPr>
          <w:color w:val="000000"/>
        </w:rPr>
        <w:t xml:space="preserve"> pakļautas īpašajai atmosfērai. Atbilstoši</w:t>
      </w:r>
      <w:r w:rsidR="00DE577A">
        <w:rPr>
          <w:color w:val="000000"/>
        </w:rPr>
        <w:t xml:space="preserve"> </w:t>
      </w:r>
      <w:r w:rsidR="00053222" w:rsidRPr="00A373E2">
        <w:rPr>
          <w:color w:val="000000"/>
        </w:rPr>
        <w:t xml:space="preserve">pētījumiem </w:t>
      </w:r>
      <w:r w:rsidR="00DB3348">
        <w:rPr>
          <w:color w:val="000000"/>
        </w:rPr>
        <w:t>i</w:t>
      </w:r>
      <w:r w:rsidR="00053222" w:rsidRPr="00A373E2">
        <w:rPr>
          <w:color w:val="000000"/>
        </w:rPr>
        <w:t>nteraktīvās kazino spēles ir vairāk saistīta</w:t>
      </w:r>
      <w:r w:rsidR="007E56C5">
        <w:rPr>
          <w:color w:val="000000"/>
        </w:rPr>
        <w:t>s</w:t>
      </w:r>
      <w:r w:rsidR="00053222" w:rsidRPr="00A373E2">
        <w:rPr>
          <w:color w:val="000000"/>
        </w:rPr>
        <w:t xml:space="preserve"> ar problemātisku paradumu attīstību nekā izložu un</w:t>
      </w:r>
      <w:r w:rsidR="00DE577A">
        <w:rPr>
          <w:color w:val="000000"/>
        </w:rPr>
        <w:t xml:space="preserve"> </w:t>
      </w:r>
      <w:r w:rsidR="00053222" w:rsidRPr="00A373E2">
        <w:rPr>
          <w:color w:val="000000"/>
        </w:rPr>
        <w:t>momentloteriju spēlēšana.</w:t>
      </w:r>
    </w:p>
    <w:p w14:paraId="0D9D2A2C" w14:textId="57865929" w:rsidR="00DA61EC" w:rsidRDefault="00053222" w:rsidP="00EC3193">
      <w:pPr>
        <w:spacing w:line="276" w:lineRule="auto"/>
        <w:ind w:firstLine="567"/>
        <w:jc w:val="both"/>
        <w:rPr>
          <w:color w:val="000000"/>
        </w:rPr>
      </w:pPr>
      <w:r w:rsidRPr="00A373E2">
        <w:rPr>
          <w:color w:val="000000"/>
        </w:rPr>
        <w:t>[2.</w:t>
      </w:r>
      <w:r w:rsidR="00766AF2">
        <w:rPr>
          <w:color w:val="000000"/>
        </w:rPr>
        <w:t>10</w:t>
      </w:r>
      <w:r w:rsidRPr="00A373E2">
        <w:rPr>
          <w:color w:val="000000"/>
        </w:rPr>
        <w:t>]</w:t>
      </w:r>
      <w:r w:rsidR="008D1E25">
        <w:rPr>
          <w:color w:val="000000"/>
        </w:rPr>
        <w:t xml:space="preserve"> </w:t>
      </w:r>
      <w:r w:rsidR="008D1E25">
        <w:t xml:space="preserve">Atļaujot kazino darbību, arī netiek pieļauta atšķirīga attieksme. </w:t>
      </w:r>
      <w:r w:rsidR="007E56C5">
        <w:rPr>
          <w:color w:val="000000"/>
        </w:rPr>
        <w:t>R</w:t>
      </w:r>
      <w:r w:rsidRPr="00A373E2">
        <w:rPr>
          <w:color w:val="000000"/>
        </w:rPr>
        <w:t>egulējums, pēc kāda darbojas spēļu zāles</w:t>
      </w:r>
      <w:r w:rsidR="007E56C5">
        <w:rPr>
          <w:color w:val="000000"/>
        </w:rPr>
        <w:t xml:space="preserve"> </w:t>
      </w:r>
      <w:r w:rsidRPr="00A373E2">
        <w:rPr>
          <w:color w:val="000000"/>
        </w:rPr>
        <w:t>un kazino, ir atšķirīgs</w:t>
      </w:r>
      <w:r w:rsidR="00E92365">
        <w:rPr>
          <w:color w:val="000000"/>
        </w:rPr>
        <w:t>, attiecībā uz k</w:t>
      </w:r>
      <w:r w:rsidR="00E92365" w:rsidRPr="00A373E2">
        <w:rPr>
          <w:color w:val="000000"/>
        </w:rPr>
        <w:t xml:space="preserve">azino </w:t>
      </w:r>
      <w:r w:rsidR="00E92365">
        <w:rPr>
          <w:color w:val="000000"/>
        </w:rPr>
        <w:t xml:space="preserve">ir </w:t>
      </w:r>
      <w:r w:rsidRPr="00A373E2">
        <w:rPr>
          <w:color w:val="000000"/>
        </w:rPr>
        <w:t>īpašas</w:t>
      </w:r>
      <w:r w:rsidR="00F067D6">
        <w:rPr>
          <w:color w:val="000000"/>
        </w:rPr>
        <w:t xml:space="preserve"> </w:t>
      </w:r>
      <w:r w:rsidRPr="00A373E2">
        <w:rPr>
          <w:color w:val="000000"/>
        </w:rPr>
        <w:t>prasības (nepārtraukt</w:t>
      </w:r>
      <w:r w:rsidR="00E92365">
        <w:rPr>
          <w:color w:val="000000"/>
        </w:rPr>
        <w:t>a</w:t>
      </w:r>
      <w:r w:rsidRPr="00A373E2">
        <w:rPr>
          <w:color w:val="000000"/>
        </w:rPr>
        <w:t xml:space="preserve"> videonovērošan</w:t>
      </w:r>
      <w:r w:rsidR="00E92365">
        <w:rPr>
          <w:color w:val="000000"/>
        </w:rPr>
        <w:t>a</w:t>
      </w:r>
      <w:r w:rsidRPr="00A373E2">
        <w:rPr>
          <w:color w:val="000000"/>
        </w:rPr>
        <w:t>, apmeklētāju reģistrācij</w:t>
      </w:r>
      <w:r w:rsidR="00E92365">
        <w:rPr>
          <w:color w:val="000000"/>
        </w:rPr>
        <w:t>a</w:t>
      </w:r>
      <w:r w:rsidRPr="00A373E2">
        <w:rPr>
          <w:color w:val="000000"/>
        </w:rPr>
        <w:t xml:space="preserve"> u.c.). Tādējādi</w:t>
      </w:r>
      <w:r w:rsidR="00F067D6">
        <w:rPr>
          <w:color w:val="000000"/>
        </w:rPr>
        <w:t xml:space="preserve"> </w:t>
      </w:r>
      <w:r w:rsidRPr="00A373E2">
        <w:rPr>
          <w:color w:val="000000"/>
        </w:rPr>
        <w:t xml:space="preserve">ierobežojums darboties spēļu zālēm </w:t>
      </w:r>
      <w:r w:rsidR="00F067D6">
        <w:rPr>
          <w:color w:val="000000"/>
        </w:rPr>
        <w:t>nav</w:t>
      </w:r>
      <w:r w:rsidRPr="00A373E2">
        <w:rPr>
          <w:color w:val="000000"/>
        </w:rPr>
        <w:t xml:space="preserve"> pretrunā</w:t>
      </w:r>
      <w:r w:rsidR="00F067D6">
        <w:rPr>
          <w:color w:val="000000"/>
        </w:rPr>
        <w:t xml:space="preserve"> </w:t>
      </w:r>
      <w:r w:rsidRPr="00A373E2">
        <w:rPr>
          <w:color w:val="000000"/>
        </w:rPr>
        <w:t>ar vienlīdzības principu, jo spēlētājiem spēļu zālēs netiek</w:t>
      </w:r>
      <w:r w:rsidR="00F067D6">
        <w:rPr>
          <w:color w:val="000000"/>
        </w:rPr>
        <w:t xml:space="preserve"> </w:t>
      </w:r>
      <w:r w:rsidRPr="00A373E2">
        <w:rPr>
          <w:color w:val="000000"/>
        </w:rPr>
        <w:t xml:space="preserve">nodrošināta tāda pati aizsardzība kā kazino. </w:t>
      </w:r>
      <w:r w:rsidR="002959EF">
        <w:rPr>
          <w:color w:val="000000"/>
        </w:rPr>
        <w:t>S</w:t>
      </w:r>
      <w:r w:rsidRPr="00A373E2">
        <w:rPr>
          <w:color w:val="000000"/>
        </w:rPr>
        <w:t>trīdus tiesību</w:t>
      </w:r>
      <w:r w:rsidR="00DA61EC">
        <w:rPr>
          <w:color w:val="000000"/>
        </w:rPr>
        <w:t xml:space="preserve"> </w:t>
      </w:r>
      <w:r w:rsidRPr="00A373E2">
        <w:rPr>
          <w:color w:val="000000"/>
        </w:rPr>
        <w:t xml:space="preserve">normas mērķis </w:t>
      </w:r>
      <w:r w:rsidR="002959EF">
        <w:rPr>
          <w:color w:val="000000"/>
        </w:rPr>
        <w:t xml:space="preserve">nav </w:t>
      </w:r>
      <w:r w:rsidRPr="00A373E2">
        <w:rPr>
          <w:color w:val="000000"/>
        </w:rPr>
        <w:t>veicināt tād</w:t>
      </w:r>
      <w:r w:rsidR="002959EF">
        <w:rPr>
          <w:color w:val="000000"/>
        </w:rPr>
        <w:t>as</w:t>
      </w:r>
      <w:r w:rsidRPr="00A373E2">
        <w:rPr>
          <w:color w:val="000000"/>
        </w:rPr>
        <w:t xml:space="preserve"> azartspē</w:t>
      </w:r>
      <w:r w:rsidR="002959EF">
        <w:rPr>
          <w:color w:val="000000"/>
        </w:rPr>
        <w:t>les</w:t>
      </w:r>
      <w:r w:rsidRPr="00A373E2">
        <w:rPr>
          <w:color w:val="000000"/>
        </w:rPr>
        <w:t>, kādas piedāvā kazino.</w:t>
      </w:r>
    </w:p>
    <w:p w14:paraId="1358113E" w14:textId="58175D40" w:rsidR="00EE1E8F" w:rsidRDefault="00DA61EC" w:rsidP="00EC3193">
      <w:pPr>
        <w:spacing w:line="276" w:lineRule="auto"/>
        <w:ind w:firstLine="567"/>
        <w:jc w:val="both"/>
        <w:rPr>
          <w:color w:val="000000"/>
        </w:rPr>
      </w:pPr>
      <w:r>
        <w:rPr>
          <w:color w:val="000000"/>
        </w:rPr>
        <w:t>[2.1</w:t>
      </w:r>
      <w:r w:rsidR="00766AF2">
        <w:rPr>
          <w:color w:val="000000"/>
        </w:rPr>
        <w:t>1</w:t>
      </w:r>
      <w:r>
        <w:rPr>
          <w:color w:val="000000"/>
        </w:rPr>
        <w:t>]</w:t>
      </w:r>
      <w:r w:rsidR="00F75607">
        <w:rPr>
          <w:color w:val="000000"/>
        </w:rPr>
        <w:t> </w:t>
      </w:r>
      <w:r w:rsidR="00D102AF">
        <w:rPr>
          <w:color w:val="000000"/>
        </w:rPr>
        <w:t>Nav</w:t>
      </w:r>
      <w:r w:rsidR="00053222" w:rsidRPr="00A373E2">
        <w:rPr>
          <w:color w:val="000000"/>
        </w:rPr>
        <w:t xml:space="preserve"> ierobežota</w:t>
      </w:r>
      <w:r w:rsidR="00F75607">
        <w:rPr>
          <w:color w:val="000000"/>
        </w:rPr>
        <w:t xml:space="preserve"> arī</w:t>
      </w:r>
      <w:r w:rsidR="00053222" w:rsidRPr="00A373E2">
        <w:rPr>
          <w:color w:val="000000"/>
        </w:rPr>
        <w:t xml:space="preserve"> komersantu</w:t>
      </w:r>
      <w:r>
        <w:rPr>
          <w:color w:val="000000"/>
        </w:rPr>
        <w:t xml:space="preserve"> </w:t>
      </w:r>
      <w:r w:rsidR="00053222" w:rsidRPr="00A373E2">
        <w:rPr>
          <w:color w:val="000000"/>
        </w:rPr>
        <w:t>brīvība izvēlēties nodarbošanos, sniegt pakalpojumus</w:t>
      </w:r>
      <w:r w:rsidR="00EE1E8F">
        <w:rPr>
          <w:color w:val="000000"/>
        </w:rPr>
        <w:t>, jo</w:t>
      </w:r>
      <w:r w:rsidR="002959EF">
        <w:rPr>
          <w:color w:val="000000"/>
        </w:rPr>
        <w:t xml:space="preserve"> šīs</w:t>
      </w:r>
      <w:r w:rsidR="00053222" w:rsidRPr="00A373E2">
        <w:rPr>
          <w:color w:val="000000"/>
        </w:rPr>
        <w:t xml:space="preserve"> tiesības </w:t>
      </w:r>
      <w:r w:rsidR="00EE1E8F">
        <w:rPr>
          <w:color w:val="000000"/>
        </w:rPr>
        <w:t xml:space="preserve">nav </w:t>
      </w:r>
      <w:r w:rsidR="00053222" w:rsidRPr="00A373E2">
        <w:rPr>
          <w:color w:val="000000"/>
        </w:rPr>
        <w:t>attiecināmas uz to sniegšanu kādā konkrētā vietā, it īpaši, ja</w:t>
      </w:r>
      <w:r>
        <w:rPr>
          <w:color w:val="000000"/>
        </w:rPr>
        <w:t xml:space="preserve"> </w:t>
      </w:r>
      <w:r w:rsidR="00053222" w:rsidRPr="00A373E2">
        <w:rPr>
          <w:color w:val="000000"/>
        </w:rPr>
        <w:t>ierobežojums attiecas uz visiem salīdzināmā situācijā esošiem komersantiem</w:t>
      </w:r>
      <w:r w:rsidR="002959EF">
        <w:rPr>
          <w:color w:val="000000"/>
        </w:rPr>
        <w:t>, nevis</w:t>
      </w:r>
      <w:r w:rsidR="00053222" w:rsidRPr="00A373E2">
        <w:rPr>
          <w:color w:val="000000"/>
        </w:rPr>
        <w:t xml:space="preserve"> kādu konkrētu tirgus dalībnieku pasargāšanu. Tieši pretēji, īpašas</w:t>
      </w:r>
      <w:r>
        <w:rPr>
          <w:color w:val="000000"/>
        </w:rPr>
        <w:t xml:space="preserve"> </w:t>
      </w:r>
      <w:r w:rsidR="00053222" w:rsidRPr="00A373E2">
        <w:rPr>
          <w:color w:val="000000"/>
        </w:rPr>
        <w:t>priekšrocības iegūtu tie komersanti, kuri</w:t>
      </w:r>
      <w:r>
        <w:rPr>
          <w:color w:val="000000"/>
        </w:rPr>
        <w:t xml:space="preserve"> </w:t>
      </w:r>
      <w:r w:rsidR="00053222" w:rsidRPr="00A373E2">
        <w:rPr>
          <w:color w:val="000000"/>
        </w:rPr>
        <w:t>turpinātu darboties vēsturiskajā centrā, pastāvot aizliegumam atvērt jaunu spēļu zāli šajā teritorijā.</w:t>
      </w:r>
    </w:p>
    <w:p w14:paraId="52A4842C" w14:textId="7942E653" w:rsidR="00053222" w:rsidRPr="00A373E2" w:rsidRDefault="00053222" w:rsidP="00EC3193">
      <w:pPr>
        <w:spacing w:line="276" w:lineRule="auto"/>
        <w:ind w:firstLine="567"/>
        <w:jc w:val="both"/>
        <w:rPr>
          <w:color w:val="000000"/>
        </w:rPr>
      </w:pPr>
      <w:r w:rsidRPr="00A373E2">
        <w:rPr>
          <w:color w:val="000000"/>
        </w:rPr>
        <w:t>[</w:t>
      </w:r>
      <w:r w:rsidR="00EE1E8F">
        <w:rPr>
          <w:color w:val="000000"/>
        </w:rPr>
        <w:t>2.1</w:t>
      </w:r>
      <w:r w:rsidR="00766AF2">
        <w:rPr>
          <w:color w:val="000000"/>
        </w:rPr>
        <w:t>2</w:t>
      </w:r>
      <w:r w:rsidRPr="00A373E2">
        <w:rPr>
          <w:color w:val="000000"/>
        </w:rPr>
        <w:t>]</w:t>
      </w:r>
      <w:r w:rsidR="00F75607">
        <w:rPr>
          <w:color w:val="000000"/>
        </w:rPr>
        <w:t> </w:t>
      </w:r>
      <w:r w:rsidRPr="00A373E2">
        <w:rPr>
          <w:color w:val="000000"/>
        </w:rPr>
        <w:t xml:space="preserve">Pamatojoties uz minēto, </w:t>
      </w:r>
      <w:r w:rsidR="00FE4985">
        <w:rPr>
          <w:color w:val="000000"/>
        </w:rPr>
        <w:t xml:space="preserve">nav </w:t>
      </w:r>
      <w:r w:rsidRPr="00A373E2">
        <w:rPr>
          <w:color w:val="000000"/>
        </w:rPr>
        <w:t>vajadzīb</w:t>
      </w:r>
      <w:r w:rsidR="00FE4985">
        <w:rPr>
          <w:color w:val="000000"/>
        </w:rPr>
        <w:t>as</w:t>
      </w:r>
      <w:r w:rsidRPr="00A373E2">
        <w:rPr>
          <w:color w:val="000000"/>
        </w:rPr>
        <w:t xml:space="preserve"> vērsties Eiropas Savienības Tiesā, lai noskaidrotu, vai saistošo noteikumu</w:t>
      </w:r>
      <w:r w:rsidR="00EE1E8F">
        <w:rPr>
          <w:color w:val="000000"/>
        </w:rPr>
        <w:t xml:space="preserve"> </w:t>
      </w:r>
      <w:r w:rsidRPr="00A373E2">
        <w:rPr>
          <w:color w:val="000000"/>
        </w:rPr>
        <w:t>Nr.</w:t>
      </w:r>
      <w:r w:rsidR="00F75607">
        <w:rPr>
          <w:color w:val="000000"/>
        </w:rPr>
        <w:t> </w:t>
      </w:r>
      <w:r w:rsidRPr="00A373E2">
        <w:rPr>
          <w:color w:val="000000"/>
        </w:rPr>
        <w:t xml:space="preserve">38 459.punktā noteiktais tiesiskais regulējums nepārkāpj LESD </w:t>
      </w:r>
      <w:proofErr w:type="gramStart"/>
      <w:r w:rsidRPr="00A373E2">
        <w:rPr>
          <w:color w:val="000000"/>
        </w:rPr>
        <w:t>56.pantu</w:t>
      </w:r>
      <w:proofErr w:type="gramEnd"/>
      <w:r w:rsidRPr="00A373E2">
        <w:rPr>
          <w:color w:val="000000"/>
        </w:rPr>
        <w:t>, kā arī</w:t>
      </w:r>
      <w:r w:rsidR="00EE1E8F">
        <w:rPr>
          <w:color w:val="000000"/>
        </w:rPr>
        <w:t xml:space="preserve"> </w:t>
      </w:r>
      <w:r w:rsidRPr="00A373E2">
        <w:rPr>
          <w:color w:val="000000"/>
        </w:rPr>
        <w:t>102. un 106.pantu.</w:t>
      </w:r>
    </w:p>
    <w:p w14:paraId="5AB3A091" w14:textId="3823AFDF" w:rsidR="008E389E" w:rsidRDefault="008E389E" w:rsidP="00EC3193">
      <w:pPr>
        <w:spacing w:line="276" w:lineRule="auto"/>
        <w:ind w:firstLine="567"/>
        <w:jc w:val="both"/>
        <w:rPr>
          <w:color w:val="000000"/>
        </w:rPr>
      </w:pPr>
    </w:p>
    <w:p w14:paraId="117A0622" w14:textId="25D60B6B" w:rsidR="00721438" w:rsidRDefault="008E389E" w:rsidP="00EC3193">
      <w:pPr>
        <w:spacing w:line="276" w:lineRule="auto"/>
        <w:ind w:firstLine="567"/>
        <w:jc w:val="both"/>
        <w:rPr>
          <w:color w:val="000000"/>
        </w:rPr>
      </w:pPr>
      <w:r>
        <w:rPr>
          <w:color w:val="000000"/>
        </w:rPr>
        <w:t>[3]</w:t>
      </w:r>
      <w:r w:rsidR="00351769">
        <w:rPr>
          <w:color w:val="000000"/>
        </w:rPr>
        <w:t> </w:t>
      </w:r>
      <w:r>
        <w:rPr>
          <w:color w:val="000000"/>
        </w:rPr>
        <w:t>Pieteicēj</w:t>
      </w:r>
      <w:r w:rsidR="00FC7406">
        <w:rPr>
          <w:color w:val="000000"/>
        </w:rPr>
        <w:t>a</w:t>
      </w:r>
      <w:r>
        <w:rPr>
          <w:color w:val="000000"/>
        </w:rPr>
        <w:t xml:space="preserve"> par apgabaltiesas spriedumu iesnie</w:t>
      </w:r>
      <w:r w:rsidR="00351769">
        <w:rPr>
          <w:color w:val="000000"/>
        </w:rPr>
        <w:t>gusi</w:t>
      </w:r>
      <w:r>
        <w:rPr>
          <w:color w:val="000000"/>
        </w:rPr>
        <w:t xml:space="preserve"> kasācijas sūdzību.</w:t>
      </w:r>
      <w:r w:rsidR="007E178F">
        <w:rPr>
          <w:color w:val="000000"/>
        </w:rPr>
        <w:t xml:space="preserve"> </w:t>
      </w:r>
      <w:r w:rsidR="00721438">
        <w:rPr>
          <w:color w:val="000000"/>
        </w:rPr>
        <w:t>Sūdzībā norādīti turpmāk minētie argumenti.</w:t>
      </w:r>
    </w:p>
    <w:p w14:paraId="1AD99D77" w14:textId="06B1D383" w:rsidR="00445979" w:rsidRDefault="00721438" w:rsidP="00EC3193">
      <w:pPr>
        <w:spacing w:line="276" w:lineRule="auto"/>
        <w:ind w:firstLine="567"/>
        <w:jc w:val="both"/>
      </w:pPr>
      <w:r>
        <w:rPr>
          <w:color w:val="000000"/>
        </w:rPr>
        <w:t>[3.1]</w:t>
      </w:r>
      <w:r w:rsidR="00351769">
        <w:rPr>
          <w:color w:val="000000"/>
        </w:rPr>
        <w:t> Tiesa kļūdījās</w:t>
      </w:r>
      <w:r w:rsidR="008D1E25">
        <w:rPr>
          <w:color w:val="000000"/>
        </w:rPr>
        <w:t>,</w:t>
      </w:r>
      <w:r w:rsidR="00351769">
        <w:rPr>
          <w:color w:val="000000"/>
        </w:rPr>
        <w:t xml:space="preserve"> n</w:t>
      </w:r>
      <w:r w:rsidR="00474634" w:rsidRPr="00353265">
        <w:t xml:space="preserve">orādot, ka argumentācijai par LESD </w:t>
      </w:r>
      <w:proofErr w:type="gramStart"/>
      <w:r w:rsidR="00474634" w:rsidRPr="00353265">
        <w:t>56.panta</w:t>
      </w:r>
      <w:proofErr w:type="gramEnd"/>
      <w:r w:rsidR="00474634" w:rsidRPr="00353265">
        <w:t xml:space="preserve"> piemērošanu </w:t>
      </w:r>
      <w:r w:rsidR="00474634" w:rsidRPr="00E356E1">
        <w:t>nav būtiskas nozīmes</w:t>
      </w:r>
      <w:r w:rsidR="00474634" w:rsidRPr="00353265">
        <w:t xml:space="preserve">, </w:t>
      </w:r>
      <w:r w:rsidR="00351769">
        <w:t>un</w:t>
      </w:r>
      <w:r w:rsidR="00474634" w:rsidRPr="00353265">
        <w:t xml:space="preserve"> neidentificējot ierobežojuma ietekmi uz tirdzniecību starp dalībvalstīm</w:t>
      </w:r>
      <w:r w:rsidR="00474634">
        <w:t>.</w:t>
      </w:r>
      <w:r w:rsidR="00276D06">
        <w:t xml:space="preserve"> T</w:t>
      </w:r>
      <w:r w:rsidR="00854211">
        <w:t>am</w:t>
      </w:r>
      <w:r w:rsidR="00276D06" w:rsidRPr="00353265">
        <w:t xml:space="preserve">, ka ierobežojums vienādi attiecas gan uz Latvijas, gan ārvalstu komersantiem, nav juridiskas nozīmes, nosakot, vai </w:t>
      </w:r>
      <w:r w:rsidR="00E356E1">
        <w:t xml:space="preserve">minētais pants </w:t>
      </w:r>
      <w:r w:rsidR="00276D06">
        <w:t xml:space="preserve">ir </w:t>
      </w:r>
      <w:r w:rsidR="00276D06" w:rsidRPr="00353265">
        <w:t>piemērojams. E</w:t>
      </w:r>
      <w:r w:rsidR="00276D06">
        <w:t>iropas Savienības Tiesa</w:t>
      </w:r>
      <w:r w:rsidR="00276D06" w:rsidRPr="00353265">
        <w:t xml:space="preserve">, interpretējot </w:t>
      </w:r>
      <w:r w:rsidR="00276D06">
        <w:t>kritērija</w:t>
      </w:r>
      <w:r w:rsidR="002D5EA0">
        <w:t xml:space="preserve"> </w:t>
      </w:r>
      <w:r w:rsidR="002D5EA0" w:rsidRPr="00A373E2">
        <w:rPr>
          <w:color w:val="000000"/>
        </w:rPr>
        <w:t>„</w:t>
      </w:r>
      <w:r w:rsidR="00276D06" w:rsidRPr="00DB3348">
        <w:t>ietekme uz tirdzniecību starp dalībvalstīm</w:t>
      </w:r>
      <w:r w:rsidR="00276D06" w:rsidRPr="00353265">
        <w:t xml:space="preserve">” saturu, atzinusi, ka </w:t>
      </w:r>
      <w:r w:rsidR="002959EF">
        <w:t>tas</w:t>
      </w:r>
      <w:r w:rsidR="00276D06" w:rsidRPr="00353265">
        <w:t xml:space="preserve"> ir izpildīts, ja nevar izslēgt, ka cit</w:t>
      </w:r>
      <w:r w:rsidR="00854211">
        <w:t>u</w:t>
      </w:r>
      <w:r w:rsidR="00276D06" w:rsidRPr="00353265">
        <w:t xml:space="preserve"> dalībvalst</w:t>
      </w:r>
      <w:r w:rsidR="00854211">
        <w:t>u</w:t>
      </w:r>
      <w:r w:rsidR="00276D06" w:rsidRPr="00353265">
        <w:t xml:space="preserve"> uzņēmumi </w:t>
      </w:r>
      <w:r w:rsidR="00854211">
        <w:t>var būt</w:t>
      </w:r>
      <w:r w:rsidR="00276D06" w:rsidRPr="00353265">
        <w:t xml:space="preserve"> ieinteresēti atvērt azartspēļu zāles dalībvalsts teritorijā</w:t>
      </w:r>
      <w:r w:rsidR="00276D06">
        <w:t xml:space="preserve"> </w:t>
      </w:r>
      <w:r w:rsidR="00D91BD4">
        <w:t>(s</w:t>
      </w:r>
      <w:r w:rsidR="00D12F20">
        <w:rPr>
          <w:i/>
          <w:iCs/>
        </w:rPr>
        <w:t>ūdzībā norādīt</w:t>
      </w:r>
      <w:r w:rsidR="00854211">
        <w:rPr>
          <w:i/>
          <w:iCs/>
        </w:rPr>
        <w:t>i</w:t>
      </w:r>
      <w:r w:rsidR="00D12F20">
        <w:rPr>
          <w:i/>
          <w:iCs/>
        </w:rPr>
        <w:t xml:space="preserve"> Eiropas Savienības Tiesas spriedumu</w:t>
      </w:r>
      <w:r w:rsidR="00854211">
        <w:rPr>
          <w:i/>
          <w:iCs/>
        </w:rPr>
        <w:t xml:space="preserve"> p</w:t>
      </w:r>
      <w:r w:rsidR="00D91BD4">
        <w:rPr>
          <w:i/>
          <w:iCs/>
        </w:rPr>
        <w:t>unkti</w:t>
      </w:r>
      <w:r w:rsidR="00D91BD4">
        <w:rPr>
          <w:iCs/>
        </w:rPr>
        <w:t>)</w:t>
      </w:r>
      <w:r w:rsidR="00D12F20">
        <w:t>.</w:t>
      </w:r>
      <w:r w:rsidR="00D12F20">
        <w:rPr>
          <w:i/>
          <w:iCs/>
        </w:rPr>
        <w:t xml:space="preserve"> </w:t>
      </w:r>
      <w:r w:rsidR="00B512E7" w:rsidRPr="00B512E7">
        <w:t>Tā kā ārvalst</w:t>
      </w:r>
      <w:r w:rsidR="00B512E7">
        <w:t>u</w:t>
      </w:r>
      <w:r w:rsidR="00B512E7" w:rsidRPr="00B512E7">
        <w:t xml:space="preserve"> komersanti </w:t>
      </w:r>
      <w:r w:rsidR="00854211">
        <w:t>var būt</w:t>
      </w:r>
      <w:r w:rsidR="00B512E7" w:rsidRPr="00B512E7">
        <w:t xml:space="preserve"> ieinteresēti atvērt vai turpināt azartspēļu </w:t>
      </w:r>
      <w:r w:rsidR="00E356E1">
        <w:t xml:space="preserve">zāļu </w:t>
      </w:r>
      <w:r w:rsidR="00B512E7" w:rsidRPr="00B512E7">
        <w:t xml:space="preserve">darbību, </w:t>
      </w:r>
      <w:r w:rsidR="00E71AC5">
        <w:t>pastāv</w:t>
      </w:r>
      <w:r w:rsidR="00E71AC5" w:rsidRPr="00B512E7">
        <w:t xml:space="preserve"> </w:t>
      </w:r>
      <w:r w:rsidR="00E356E1">
        <w:t>minētais</w:t>
      </w:r>
      <w:r w:rsidR="00B512E7" w:rsidRPr="00B512E7">
        <w:t xml:space="preserve"> kritērijs un LESD </w:t>
      </w:r>
      <w:proofErr w:type="gramStart"/>
      <w:r w:rsidR="00B512E7" w:rsidRPr="00B512E7">
        <w:t>56.pants</w:t>
      </w:r>
      <w:proofErr w:type="gramEnd"/>
      <w:r w:rsidR="00B512E7" w:rsidRPr="00B512E7">
        <w:t xml:space="preserve"> ir piemērojams.</w:t>
      </w:r>
      <w:r w:rsidR="00854211">
        <w:t xml:space="preserve"> </w:t>
      </w:r>
      <w:r w:rsidR="00E356E1">
        <w:t>V</w:t>
      </w:r>
      <w:r w:rsidR="00445979" w:rsidRPr="00445979">
        <w:t xml:space="preserve">alsts tiesām ir pienākums nodrošināt </w:t>
      </w:r>
      <w:r w:rsidR="002959EF">
        <w:t>tā</w:t>
      </w:r>
      <w:r w:rsidR="00445979" w:rsidRPr="00445979">
        <w:t xml:space="preserve"> pilnīgu iedarbību, vajadzības gadījumā nepiemērojot </w:t>
      </w:r>
      <w:r w:rsidR="00854211">
        <w:t xml:space="preserve">nacionālo </w:t>
      </w:r>
      <w:r w:rsidR="00445979" w:rsidRPr="00445979">
        <w:t>tiesību normu.</w:t>
      </w:r>
    </w:p>
    <w:p w14:paraId="0735CF04" w14:textId="2CA8698E" w:rsidR="00765C63" w:rsidRDefault="00765C63" w:rsidP="00EC3193">
      <w:pPr>
        <w:spacing w:line="276" w:lineRule="auto"/>
        <w:ind w:firstLine="567"/>
        <w:jc w:val="both"/>
      </w:pPr>
      <w:r w:rsidRPr="00765C63">
        <w:t>[3.2]</w:t>
      </w:r>
      <w:r w:rsidR="00C3561E">
        <w:t> </w:t>
      </w:r>
      <w:r w:rsidRPr="00765C63">
        <w:t>Satversmes tiesa pārbaudī</w:t>
      </w:r>
      <w:r w:rsidR="00DB3348">
        <w:t>ja</w:t>
      </w:r>
      <w:r w:rsidRPr="00765C63">
        <w:t xml:space="preserve"> tikai noteikumu Nr.</w:t>
      </w:r>
      <w:r w:rsidR="00C3561E">
        <w:t> </w:t>
      </w:r>
      <w:r w:rsidRPr="00765C63">
        <w:t>38 459.punkta atbilstīb</w:t>
      </w:r>
      <w:r w:rsidR="002959EF">
        <w:t>u</w:t>
      </w:r>
      <w:r w:rsidRPr="00765C63">
        <w:t xml:space="preserve"> Satversmei. Apgabaltiesa ir izdarījusi juridiski nepareizu slēdzienu, balst</w:t>
      </w:r>
      <w:r w:rsidR="00755F8C">
        <w:t>oties</w:t>
      </w:r>
      <w:r w:rsidRPr="00765C63">
        <w:t xml:space="preserve"> uz Satversmes tiesas sprieduma atziņām. Tiesas uzskaitītie </w:t>
      </w:r>
      <w:r w:rsidR="002D5EA0" w:rsidRPr="00A373E2">
        <w:rPr>
          <w:color w:val="000000"/>
        </w:rPr>
        <w:t>„</w:t>
      </w:r>
      <w:r w:rsidRPr="00765C63">
        <w:t>sevišķi svarīgi iemesli saistībā ar sabiedrības interesēm”, kas izriet no Direktīvas 2006/123/EK, lietā nav piemērojami. Apgabaltiesa nepamatoti secina, ka Eiropas Savienīb</w:t>
      </w:r>
      <w:r w:rsidR="001E558F">
        <w:t>a</w:t>
      </w:r>
      <w:r w:rsidRPr="00765C63">
        <w:t xml:space="preserve">s tiesībām atbilstošus mērķus, kas var kalpot pakalpojuma sniegšanas brīvības ierobežojumam, ir konstatējusi Satversmes tiesa. </w:t>
      </w:r>
    </w:p>
    <w:p w14:paraId="0A8FA90C" w14:textId="3B223AB8" w:rsidR="00760802" w:rsidRDefault="00760802" w:rsidP="00EC3193">
      <w:pPr>
        <w:spacing w:line="276" w:lineRule="auto"/>
        <w:ind w:firstLine="567"/>
        <w:jc w:val="both"/>
      </w:pPr>
      <w:r w:rsidRPr="00760802">
        <w:lastRenderedPageBreak/>
        <w:t>[3.3]</w:t>
      </w:r>
      <w:r w:rsidR="00C3561E">
        <w:t> </w:t>
      </w:r>
      <w:r w:rsidRPr="00760802">
        <w:t xml:space="preserve">LESD </w:t>
      </w:r>
      <w:proofErr w:type="gramStart"/>
      <w:r w:rsidRPr="00760802">
        <w:t>56.pantā</w:t>
      </w:r>
      <w:proofErr w:type="gramEnd"/>
      <w:r w:rsidRPr="00760802">
        <w:t xml:space="preserve"> garantētās tiesības var ierobežot, </w:t>
      </w:r>
      <w:r w:rsidR="00755F8C">
        <w:t>ievērojot</w:t>
      </w:r>
      <w:r w:rsidRPr="00760802">
        <w:t xml:space="preserve"> pamatbrīvību ierobežojuma izvērtēšanas standart</w:t>
      </w:r>
      <w:r w:rsidR="00755F8C">
        <w:t>u</w:t>
      </w:r>
      <w:r w:rsidRPr="00760802">
        <w:t xml:space="preserve">. </w:t>
      </w:r>
      <w:r w:rsidR="00294521">
        <w:t>J</w:t>
      </w:r>
      <w:r w:rsidR="00DA3A61">
        <w:t>āidentificē</w:t>
      </w:r>
      <w:r w:rsidRPr="00760802">
        <w:t xml:space="preserve"> ierobežojuma attaisnojum</w:t>
      </w:r>
      <w:r w:rsidR="00DA3A61">
        <w:t>s</w:t>
      </w:r>
      <w:r w:rsidRPr="00760802">
        <w:t xml:space="preserve"> </w:t>
      </w:r>
      <w:r w:rsidR="00E356E1">
        <w:t>(</w:t>
      </w:r>
      <w:r w:rsidRPr="00760802">
        <w:t>vispārējo interešu apsvērum</w:t>
      </w:r>
      <w:r w:rsidR="00DA3A61">
        <w:t>i</w:t>
      </w:r>
      <w:r w:rsidR="00E356E1">
        <w:t>)</w:t>
      </w:r>
      <w:r w:rsidRPr="00760802">
        <w:t xml:space="preserve">. Tam ir jābūt noteiktam LESD </w:t>
      </w:r>
      <w:proofErr w:type="gramStart"/>
      <w:r w:rsidRPr="00760802">
        <w:t>52.pantā</w:t>
      </w:r>
      <w:proofErr w:type="gramEnd"/>
      <w:r w:rsidRPr="00760802">
        <w:t xml:space="preserve"> vai jāizriet no Eiropas Savienības Tiesas prakses tieši konkrēt</w:t>
      </w:r>
      <w:r w:rsidR="00294521">
        <w:t>ajā</w:t>
      </w:r>
      <w:r w:rsidRPr="00760802">
        <w:t xml:space="preserve"> nozar</w:t>
      </w:r>
      <w:r w:rsidR="00294521">
        <w:t>ē</w:t>
      </w:r>
      <w:r w:rsidRPr="00760802">
        <w:t xml:space="preserve">. </w:t>
      </w:r>
      <w:r w:rsidR="00DA3A61">
        <w:t>Jāvērtē</w:t>
      </w:r>
      <w:r w:rsidRPr="00760802">
        <w:t xml:space="preserve"> ierobežojuma proporcionalitāte</w:t>
      </w:r>
      <w:r w:rsidR="00DA3A61">
        <w:t>, nejaucot</w:t>
      </w:r>
      <w:r w:rsidRPr="00760802">
        <w:t xml:space="preserve"> </w:t>
      </w:r>
      <w:r w:rsidR="002D5EA0" w:rsidRPr="00A373E2">
        <w:rPr>
          <w:color w:val="000000"/>
        </w:rPr>
        <w:t>„</w:t>
      </w:r>
      <w:r w:rsidRPr="00760802">
        <w:t xml:space="preserve">samērīguma vērtēšanu” un </w:t>
      </w:r>
      <w:r w:rsidR="002D5EA0" w:rsidRPr="00A373E2">
        <w:rPr>
          <w:color w:val="000000"/>
        </w:rPr>
        <w:t>„</w:t>
      </w:r>
      <w:r w:rsidRPr="00760802">
        <w:t>proporcionalitātes vērtēšanu”</w:t>
      </w:r>
      <w:r w:rsidR="00DA3A61">
        <w:t xml:space="preserve">. </w:t>
      </w:r>
      <w:r w:rsidR="00E356E1">
        <w:t>J</w:t>
      </w:r>
      <w:r w:rsidRPr="00760802">
        <w:t>āpārbauda, vai mērķu sasniegšanai netiek darīts vairāk par nepieciešamo</w:t>
      </w:r>
      <w:r w:rsidR="00E356E1">
        <w:t xml:space="preserve">, </w:t>
      </w:r>
      <w:r w:rsidRPr="00760802">
        <w:t>vai ierobežojums ir proporcionāls</w:t>
      </w:r>
      <w:r w:rsidR="00854211">
        <w:t>, ievērojot</w:t>
      </w:r>
      <w:r w:rsidR="00E356E1">
        <w:t>, ka</w:t>
      </w:r>
      <w:r w:rsidRPr="00760802">
        <w:t>: 1)</w:t>
      </w:r>
      <w:r w:rsidR="00C3561E">
        <w:t> </w:t>
      </w:r>
      <w:r w:rsidR="00294521">
        <w:t>tam ir</w:t>
      </w:r>
      <w:r w:rsidRPr="00760802">
        <w:t xml:space="preserve"> leģitīm</w:t>
      </w:r>
      <w:r w:rsidR="00294521">
        <w:t>s</w:t>
      </w:r>
      <w:r w:rsidRPr="00760802">
        <w:t xml:space="preserve"> mērķi</w:t>
      </w:r>
      <w:r w:rsidR="00294521">
        <w:t>s</w:t>
      </w:r>
      <w:r w:rsidRPr="00760802">
        <w:t>; 2)</w:t>
      </w:r>
      <w:r w:rsidR="00C3561E">
        <w:t> </w:t>
      </w:r>
      <w:r w:rsidRPr="00760802">
        <w:t>tas ir piemērots</w:t>
      </w:r>
      <w:r w:rsidR="00755F8C">
        <w:t xml:space="preserve"> </w:t>
      </w:r>
      <w:r w:rsidRPr="00760802">
        <w:t>mērķ</w:t>
      </w:r>
      <w:r w:rsidR="00755F8C">
        <w:t>a sasniegšanai</w:t>
      </w:r>
      <w:r w:rsidRPr="00760802">
        <w:t xml:space="preserve"> (derīgs); 3)</w:t>
      </w:r>
      <w:r w:rsidR="00C3561E">
        <w:t> </w:t>
      </w:r>
      <w:r w:rsidRPr="00760802">
        <w:t>tas ir nepieciešams</w:t>
      </w:r>
      <w:r w:rsidR="00E356E1">
        <w:t>;</w:t>
      </w:r>
      <w:r w:rsidRPr="00760802">
        <w:t xml:space="preserve"> 4)</w:t>
      </w:r>
      <w:r w:rsidR="00C3561E" w:rsidRPr="00D91BD4">
        <w:t> </w:t>
      </w:r>
      <w:r w:rsidR="00E356E1">
        <w:t>tas ir</w:t>
      </w:r>
      <w:r w:rsidRPr="00760802">
        <w:t xml:space="preserve"> samērīgs šaurā nozīmē. </w:t>
      </w:r>
      <w:r w:rsidR="00E356E1">
        <w:t>Jāvērtē arī</w:t>
      </w:r>
      <w:r w:rsidRPr="00760802">
        <w:t xml:space="preserve"> saskanīgum</w:t>
      </w:r>
      <w:r w:rsidR="00E356E1">
        <w:t>s</w:t>
      </w:r>
      <w:r w:rsidRPr="00760802">
        <w:t xml:space="preserve"> un sistemātiskum</w:t>
      </w:r>
      <w:r w:rsidR="00E356E1">
        <w:t>s</w:t>
      </w:r>
      <w:r w:rsidRPr="00760802">
        <w:t xml:space="preserve">. Apgabaltiesa kļūdījusies, ka Satversmes tiesas identificētie leģitīmie mērķi atbilst tiem vispārējo interešu apsvērumiem, kas noteikti Eiropas Savienības Tiesas judikatūrā konkrēto pakalpojumu sniegšanas jomā. </w:t>
      </w:r>
      <w:r w:rsidR="00E356E1">
        <w:t>N</w:t>
      </w:r>
      <w:r>
        <w:t>erakstīta ierobežojuma pamatā var būt tikai noteikts vispārējo interešu apsvērumu kopums</w:t>
      </w:r>
      <w:r w:rsidR="004A669B">
        <w:t>, tas var būt</w:t>
      </w:r>
      <w:r>
        <w:t xml:space="preserve"> pamatot</w:t>
      </w:r>
      <w:r w:rsidR="004A669B">
        <w:t>s</w:t>
      </w:r>
      <w:r>
        <w:t xml:space="preserve"> ar sabiedriskās kārtības, valsts drošības vai veselības aizsardzības interesēm. Tiesas judikatūrā ir identificēts noteikts skaits primāru vispārējo interešu apsvērumu, kas var pamatot ierobežojumus, piemēram, patērētāju aizsardzība, krāpšana</w:t>
      </w:r>
      <w:r w:rsidR="008E5EEC">
        <w:t>,</w:t>
      </w:r>
      <w:r>
        <w:t xml:space="preserve"> </w:t>
      </w:r>
      <w:r w:rsidR="008E5EEC">
        <w:t>spēlmaņu</w:t>
      </w:r>
      <w:r>
        <w:t xml:space="preserve"> mudināšana uz pārmērīgiem izdevumiem, sabiedriskās kārtības traucējumu novēršana</w:t>
      </w:r>
      <w:r w:rsidR="00294521">
        <w:t xml:space="preserve">, bet </w:t>
      </w:r>
      <w:r>
        <w:t xml:space="preserve">tos </w:t>
      </w:r>
      <w:proofErr w:type="spellStart"/>
      <w:r w:rsidR="008E5EEC">
        <w:t>jā</w:t>
      </w:r>
      <w:r>
        <w:t>interpretēt</w:t>
      </w:r>
      <w:proofErr w:type="spellEnd"/>
      <w:r>
        <w:t xml:space="preserve"> šauri</w:t>
      </w:r>
      <w:r w:rsidR="008E5EEC">
        <w:t>, tie</w:t>
      </w:r>
      <w:r>
        <w:t xml:space="preserve"> nevar tikt uzskatīti par rakstīto attaisnojumu papildinājumu.</w:t>
      </w:r>
      <w:r w:rsidR="004A669B">
        <w:t xml:space="preserve"> </w:t>
      </w:r>
      <w:r>
        <w:t>V</w:t>
      </w:r>
      <w:r w:rsidR="00765C63" w:rsidRPr="009B0733">
        <w:t xml:space="preserve">ispārējo interešu apsvērumi var būt par pamatu vienīgi </w:t>
      </w:r>
      <w:r w:rsidR="00765C63" w:rsidRPr="00755F8C">
        <w:t>nediskriminējoš</w:t>
      </w:r>
      <w:r w:rsidR="00755F8C">
        <w:t xml:space="preserve">u </w:t>
      </w:r>
      <w:r w:rsidR="00765C63" w:rsidRPr="00755F8C">
        <w:t>ierobežojumu attaisnošanai</w:t>
      </w:r>
      <w:r w:rsidR="00755F8C">
        <w:t xml:space="preserve"> (</w:t>
      </w:r>
      <w:r w:rsidR="00765C63" w:rsidRPr="00755F8C">
        <w:rPr>
          <w:i/>
          <w:iCs/>
        </w:rPr>
        <w:t>E</w:t>
      </w:r>
      <w:r w:rsidRPr="00755F8C">
        <w:rPr>
          <w:i/>
          <w:iCs/>
        </w:rPr>
        <w:t>iropas Savienības Tiesas</w:t>
      </w:r>
      <w:r w:rsidR="00765C63" w:rsidRPr="00755F8C">
        <w:rPr>
          <w:i/>
          <w:iCs/>
        </w:rPr>
        <w:t xml:space="preserve"> 2016.gada 28.janvāra spriedum</w:t>
      </w:r>
      <w:r w:rsidR="00976990">
        <w:rPr>
          <w:i/>
          <w:iCs/>
        </w:rPr>
        <w:t>a</w:t>
      </w:r>
      <w:r w:rsidR="00765C63" w:rsidRPr="00755F8C">
        <w:rPr>
          <w:i/>
          <w:iCs/>
        </w:rPr>
        <w:t xml:space="preserve"> lietā </w:t>
      </w:r>
      <w:r w:rsidR="00C3561E" w:rsidRPr="00D91BD4">
        <w:rPr>
          <w:i/>
          <w:iCs/>
        </w:rPr>
        <w:t>„</w:t>
      </w:r>
      <w:proofErr w:type="spellStart"/>
      <w:r w:rsidR="00C3561E" w:rsidRPr="00D91BD4">
        <w:rPr>
          <w:i/>
          <w:iCs/>
        </w:rPr>
        <w:t>Laezza</w:t>
      </w:r>
      <w:proofErr w:type="spellEnd"/>
      <w:r w:rsidR="00C3561E" w:rsidRPr="00D91BD4">
        <w:rPr>
          <w:i/>
          <w:iCs/>
        </w:rPr>
        <w:t xml:space="preserve">”, </w:t>
      </w:r>
      <w:r w:rsidR="00765C63" w:rsidRPr="00755F8C">
        <w:rPr>
          <w:i/>
          <w:iCs/>
        </w:rPr>
        <w:t>C</w:t>
      </w:r>
      <w:r w:rsidR="00765C63" w:rsidRPr="00755F8C">
        <w:rPr>
          <w:i/>
          <w:iCs/>
        </w:rPr>
        <w:noBreakHyphen/>
        <w:t>375/14</w:t>
      </w:r>
      <w:r w:rsidR="00C3561E">
        <w:rPr>
          <w:i/>
          <w:iCs/>
        </w:rPr>
        <w:t xml:space="preserve">, </w:t>
      </w:r>
      <w:r w:rsidR="00C3561E" w:rsidRPr="00C3561E">
        <w:rPr>
          <w:i/>
          <w:iCs/>
        </w:rPr>
        <w:t>ECLI:EU:C:2016:60</w:t>
      </w:r>
      <w:r w:rsidR="00765C63" w:rsidRPr="00755F8C">
        <w:rPr>
          <w:i/>
          <w:iCs/>
        </w:rPr>
        <w:t>, 25.</w:t>
      </w:r>
      <w:r w:rsidR="00A412AB">
        <w:rPr>
          <w:i/>
          <w:iCs/>
        </w:rPr>
        <w:t>–</w:t>
      </w:r>
      <w:r w:rsidR="00765C63" w:rsidRPr="00755F8C">
        <w:rPr>
          <w:i/>
          <w:iCs/>
        </w:rPr>
        <w:t>26</w:t>
      </w:r>
      <w:r w:rsidR="00C3561E">
        <w:rPr>
          <w:i/>
          <w:iCs/>
        </w:rPr>
        <w:t>.</w:t>
      </w:r>
      <w:r w:rsidR="00765C63" w:rsidRPr="00755F8C">
        <w:rPr>
          <w:i/>
          <w:iCs/>
        </w:rPr>
        <w:t>punkt</w:t>
      </w:r>
      <w:r w:rsidR="00755F8C" w:rsidRPr="00755F8C">
        <w:rPr>
          <w:i/>
          <w:iCs/>
        </w:rPr>
        <w:t>s</w:t>
      </w:r>
      <w:r w:rsidR="00755F8C">
        <w:t>)</w:t>
      </w:r>
      <w:r>
        <w:t>.</w:t>
      </w:r>
      <w:r w:rsidR="00C54DB2">
        <w:t xml:space="preserve"> </w:t>
      </w:r>
      <w:r>
        <w:t xml:space="preserve">Satversmes tiesas </w:t>
      </w:r>
      <w:r w:rsidR="00C54DB2">
        <w:t>s</w:t>
      </w:r>
      <w:r>
        <w:t>prieduma 19.5.punktā norādīt</w:t>
      </w:r>
      <w:r w:rsidR="004A669B">
        <w:t>i pieci</w:t>
      </w:r>
      <w:r>
        <w:t xml:space="preserve"> </w:t>
      </w:r>
      <w:r w:rsidR="008E5EEC">
        <w:t>n</w:t>
      </w:r>
      <w:r>
        <w:t>oteikumu Nr.</w:t>
      </w:r>
      <w:r w:rsidR="006C411E">
        <w:t> </w:t>
      </w:r>
      <w:r>
        <w:t>38 459.punkta leģitīmie mērķi</w:t>
      </w:r>
      <w:r w:rsidR="004A669B">
        <w:t xml:space="preserve">, kurus var </w:t>
      </w:r>
      <w:r>
        <w:t xml:space="preserve">aptvert ar diviem mērķiem: </w:t>
      </w:r>
      <w:r w:rsidR="00906E50">
        <w:t>1)</w:t>
      </w:r>
      <w:r w:rsidR="006C411E">
        <w:t> </w:t>
      </w:r>
      <w:r>
        <w:t>citu cilvēku tiesību aizsardzība</w:t>
      </w:r>
      <w:r w:rsidR="00906E50">
        <w:t>; 2)</w:t>
      </w:r>
      <w:r w:rsidR="006C411E">
        <w:t> </w:t>
      </w:r>
      <w:r>
        <w:t xml:space="preserve">sabiedrības labklājības aizsardzība. </w:t>
      </w:r>
      <w:r w:rsidR="00C54DB2">
        <w:t>Apgabaltiesa</w:t>
      </w:r>
      <w:r w:rsidR="00906E50">
        <w:t xml:space="preserve"> kļūdaini</w:t>
      </w:r>
      <w:r w:rsidR="00C54DB2">
        <w:t xml:space="preserve"> </w:t>
      </w:r>
      <w:r>
        <w:t xml:space="preserve">atsaucas uz Direktīvas 2006/123/EK 4.panta 8.punktu, lai pamatotu, ka Satversmes tiesas </w:t>
      </w:r>
      <w:r w:rsidR="00C54DB2">
        <w:t>s</w:t>
      </w:r>
      <w:r>
        <w:t>priedum</w:t>
      </w:r>
      <w:r w:rsidR="00906E50">
        <w:t>ā</w:t>
      </w:r>
      <w:r>
        <w:t xml:space="preserve"> minētie leģitīmie mērķi atbilst E</w:t>
      </w:r>
      <w:r w:rsidR="00C54DB2">
        <w:t>iropas Savienības Tiesas</w:t>
      </w:r>
      <w:r>
        <w:t xml:space="preserve"> judikatūrā noteiktajiem. Direktīva 2006/123/EK nav piemērojama azartspēļu un izložu jomā, kā tas izriet no </w:t>
      </w:r>
      <w:r w:rsidR="004A669B">
        <w:t>tās</w:t>
      </w:r>
      <w:r>
        <w:t xml:space="preserve"> 2.panta </w:t>
      </w:r>
      <w:r w:rsidR="002D5EA0" w:rsidRPr="00A373E2">
        <w:rPr>
          <w:color w:val="000000"/>
        </w:rPr>
        <w:t>„</w:t>
      </w:r>
      <w:r>
        <w:t>h</w:t>
      </w:r>
      <w:r w:rsidR="00C54DB2">
        <w:t>”</w:t>
      </w:r>
      <w:r>
        <w:t xml:space="preserve"> apakšpunkta. </w:t>
      </w:r>
      <w:r w:rsidR="00C54DB2">
        <w:t>A</w:t>
      </w:r>
      <w:r>
        <w:t xml:space="preserve">naloģija paplašinātu </w:t>
      </w:r>
      <w:r w:rsidR="00755F8C">
        <w:t>likumdevēja neparedzētu</w:t>
      </w:r>
      <w:r w:rsidR="00460502">
        <w:t>s</w:t>
      </w:r>
      <w:r w:rsidR="00755F8C">
        <w:t xml:space="preserve"> </w:t>
      </w:r>
      <w:r>
        <w:t>ierobežojumus. Direktīv</w:t>
      </w:r>
      <w:r w:rsidR="00906E50">
        <w:t>ā</w:t>
      </w:r>
      <w:r>
        <w:t xml:space="preserve"> uzskait</w:t>
      </w:r>
      <w:r w:rsidR="00906E50">
        <w:t>īti</w:t>
      </w:r>
      <w:r>
        <w:t xml:space="preserve"> vispārējo interešu apsvērum</w:t>
      </w:r>
      <w:r w:rsidR="00906E50">
        <w:t>i</w:t>
      </w:r>
      <w:r>
        <w:t xml:space="preserve">, tomēr </w:t>
      </w:r>
      <w:r w:rsidR="00C54DB2">
        <w:t xml:space="preserve">ne visi </w:t>
      </w:r>
      <w:r>
        <w:t xml:space="preserve">ir piemērojami katrā no jomām. </w:t>
      </w:r>
      <w:r w:rsidR="00294521">
        <w:t>I</w:t>
      </w:r>
      <w:r>
        <w:t xml:space="preserve">emesls </w:t>
      </w:r>
      <w:r w:rsidR="004A669B">
        <w:t>d</w:t>
      </w:r>
      <w:r>
        <w:t xml:space="preserve">irektīvas iedarbības </w:t>
      </w:r>
      <w:r w:rsidR="004A669B">
        <w:t>lauka</w:t>
      </w:r>
      <w:r>
        <w:t xml:space="preserve"> sašaurināšanai izriet </w:t>
      </w:r>
      <w:r w:rsidR="00294521">
        <w:t xml:space="preserve">arī </w:t>
      </w:r>
      <w:r w:rsidR="00906E50">
        <w:t xml:space="preserve">no </w:t>
      </w:r>
      <w:r>
        <w:t>preambulas 25.</w:t>
      </w:r>
      <w:r w:rsidR="00460502">
        <w:t>apsvēruma</w:t>
      </w:r>
      <w:r>
        <w:t>, kas nosaka</w:t>
      </w:r>
      <w:r w:rsidR="00906E50">
        <w:t>, ka n</w:t>
      </w:r>
      <w:r>
        <w:t xml:space="preserve">o </w:t>
      </w:r>
      <w:r w:rsidR="006C08A1">
        <w:t>tās</w:t>
      </w:r>
      <w:r>
        <w:t xml:space="preserve"> darbības jomas jāizslēdz azartspēles, ņemot vērā </w:t>
      </w:r>
      <w:r w:rsidR="006C08A1">
        <w:t>to</w:t>
      </w:r>
      <w:r>
        <w:t xml:space="preserve"> specifiku, kas liek piemērot politik</w:t>
      </w:r>
      <w:r w:rsidR="004A669B">
        <w:t>u</w:t>
      </w:r>
      <w:r>
        <w:t xml:space="preserve"> saistībā ar sabiedrisko kārtību un patērētāju aizsardzību.</w:t>
      </w:r>
    </w:p>
    <w:p w14:paraId="2926D3AB" w14:textId="7CBCFE0B" w:rsidR="00866BC4" w:rsidRDefault="00C54DB2" w:rsidP="00EC3193">
      <w:pPr>
        <w:spacing w:line="276" w:lineRule="auto"/>
        <w:ind w:firstLine="567"/>
        <w:jc w:val="both"/>
      </w:pPr>
      <w:r>
        <w:t>[3.4]</w:t>
      </w:r>
      <w:r w:rsidR="006C411E">
        <w:t> </w:t>
      </w:r>
      <w:r>
        <w:t>Apgabaltiesa nepienācīgi veica ierobežojuma saskanīgas un sistemātiskas ieviešanas izvērtējumu. Eiropas Savienības Tiesa uzsvērusi, ka valsts regulējums</w:t>
      </w:r>
      <w:r w:rsidR="000C1248">
        <w:t xml:space="preserve"> </w:t>
      </w:r>
      <w:r w:rsidR="00D64836">
        <w:t>ir atbilstošs</w:t>
      </w:r>
      <w:r>
        <w:t xml:space="preserve">, ja </w:t>
      </w:r>
      <w:r w:rsidR="00D64836">
        <w:t xml:space="preserve">mērķis </w:t>
      </w:r>
      <w:r>
        <w:t>atbilst rūpēm to sasniegt saskanīgā un sistemātiskā veidā.</w:t>
      </w:r>
      <w:r w:rsidR="000C1248" w:rsidRPr="000C1248">
        <w:t xml:space="preserve"> </w:t>
      </w:r>
      <w:r w:rsidR="006C08A1">
        <w:t>Ģenerāladvokāta</w:t>
      </w:r>
      <w:r w:rsidR="006C411E">
        <w:t xml:space="preserve"> secinājumos </w:t>
      </w:r>
      <w:r w:rsidR="000C1248">
        <w:t xml:space="preserve">apvienotajās lietās </w:t>
      </w:r>
      <w:r w:rsidR="006C411E" w:rsidRPr="006C411E">
        <w:t>„</w:t>
      </w:r>
      <w:proofErr w:type="spellStart"/>
      <w:r w:rsidR="006C411E" w:rsidRPr="006C411E">
        <w:t>Blanco</w:t>
      </w:r>
      <w:proofErr w:type="spellEnd"/>
      <w:r w:rsidR="006C411E" w:rsidRPr="006C411E">
        <w:t xml:space="preserve"> </w:t>
      </w:r>
      <w:proofErr w:type="spellStart"/>
      <w:r w:rsidR="006C411E" w:rsidRPr="006C411E">
        <w:t>Pérez</w:t>
      </w:r>
      <w:proofErr w:type="spellEnd"/>
      <w:r w:rsidR="006C411E" w:rsidRPr="006C411E">
        <w:t xml:space="preserve"> </w:t>
      </w:r>
      <w:r w:rsidR="00B624B5">
        <w:t xml:space="preserve">un </w:t>
      </w:r>
      <w:proofErr w:type="spellStart"/>
      <w:r w:rsidR="006C411E" w:rsidRPr="006C411E">
        <w:t>Chao</w:t>
      </w:r>
      <w:proofErr w:type="spellEnd"/>
      <w:r w:rsidR="006C411E" w:rsidRPr="006C411E">
        <w:t xml:space="preserve"> </w:t>
      </w:r>
      <w:proofErr w:type="spellStart"/>
      <w:r w:rsidR="006C411E" w:rsidRPr="006C411E">
        <w:t>Gómez</w:t>
      </w:r>
      <w:proofErr w:type="spellEnd"/>
      <w:r w:rsidR="006C411E" w:rsidRPr="006C411E">
        <w:t>”,</w:t>
      </w:r>
      <w:r w:rsidR="006C411E">
        <w:t xml:space="preserve"> </w:t>
      </w:r>
      <w:r w:rsidR="000C1248">
        <w:t>C-570/07 un C-571/07</w:t>
      </w:r>
      <w:r w:rsidR="006C411E">
        <w:t xml:space="preserve">, </w:t>
      </w:r>
      <w:r w:rsidR="006C411E" w:rsidRPr="006C411E">
        <w:t>ECLI:EU:C:2009:587</w:t>
      </w:r>
      <w:r w:rsidR="00460502">
        <w:t>,</w:t>
      </w:r>
      <w:r w:rsidR="000C1248">
        <w:t xml:space="preserve"> norād</w:t>
      </w:r>
      <w:r w:rsidR="00D64836">
        <w:t>ī</w:t>
      </w:r>
      <w:r w:rsidR="00C06FC4">
        <w:t>ts</w:t>
      </w:r>
      <w:r w:rsidR="00D64836">
        <w:t>, ka</w:t>
      </w:r>
      <w:r w:rsidR="00460502">
        <w:t>,</w:t>
      </w:r>
      <w:r w:rsidR="00D64836">
        <w:t xml:space="preserve"> </w:t>
      </w:r>
      <w:r w:rsidR="00906E50">
        <w:t xml:space="preserve">kaut arī </w:t>
      </w:r>
      <w:r w:rsidR="000C1248">
        <w:t>valsts likumd</w:t>
      </w:r>
      <w:r w:rsidR="004A669B">
        <w:t>evēja</w:t>
      </w:r>
      <w:r w:rsidR="000C1248">
        <w:t xml:space="preserve"> un pārvaldes iestāž</w:t>
      </w:r>
      <w:r w:rsidR="00D64836">
        <w:t>u</w:t>
      </w:r>
      <w:r w:rsidR="000C1248">
        <w:t xml:space="preserve"> zināšanas</w:t>
      </w:r>
      <w:r w:rsidR="00D64836">
        <w:t xml:space="preserve"> par vietējo situāciju</w:t>
      </w:r>
      <w:r w:rsidR="000C1248">
        <w:t xml:space="preserve"> </w:t>
      </w:r>
      <w:r w:rsidR="00D64836">
        <w:t xml:space="preserve">ļauj </w:t>
      </w:r>
      <w:r w:rsidR="000C1248">
        <w:t>noteikt, kā vislabāk sasniedzami sabiedrības veselības aizsardzība</w:t>
      </w:r>
      <w:r w:rsidR="00D64836">
        <w:t>s</w:t>
      </w:r>
      <w:r w:rsidR="000C1248">
        <w:t xml:space="preserve"> mērķi, </w:t>
      </w:r>
      <w:r w:rsidR="00D64836">
        <w:t>tās</w:t>
      </w:r>
      <w:r w:rsidR="000C1248">
        <w:t xml:space="preserve"> var kļūt par valdošo interešu </w:t>
      </w:r>
      <w:r w:rsidR="002D5EA0" w:rsidRPr="00A373E2">
        <w:rPr>
          <w:color w:val="000000"/>
        </w:rPr>
        <w:t>„</w:t>
      </w:r>
      <w:r w:rsidR="000C1248">
        <w:t>normatīvās uzurpācijas” objektiem, neņemot vērā patērētāju un konkurentu intereses. Tā</w:t>
      </w:r>
      <w:r w:rsidR="00D64836">
        <w:t xml:space="preserve">pēc </w:t>
      </w:r>
      <w:r w:rsidR="000C1248">
        <w:t xml:space="preserve">valsts tiesiskais regulējums var nodrošināt mērķa sasniegšanu, ja tas patiešām atbilst rūpēm to sasniegt saskanīgā un sistemātiskā veidā. Konsekvence nozīmē, ka </w:t>
      </w:r>
      <w:r w:rsidR="004A669B">
        <w:t>nav pretrunu starp vispārējo interešu apsvērumi</w:t>
      </w:r>
      <w:r w:rsidR="00275601">
        <w:t>e</w:t>
      </w:r>
      <w:r w:rsidR="004A669B">
        <w:t>m un</w:t>
      </w:r>
      <w:r w:rsidR="000C1248">
        <w:t xml:space="preserve"> ierobežojum</w:t>
      </w:r>
      <w:r w:rsidR="004A669B">
        <w:t>u.</w:t>
      </w:r>
      <w:r w:rsidR="000C1248">
        <w:t xml:space="preserve"> </w:t>
      </w:r>
      <w:r w:rsidR="00DF7160">
        <w:t>S</w:t>
      </w:r>
      <w:r w:rsidR="000C1248">
        <w:t>askaņotība nozīmē, ka ierobežojums ir jēgpilns, piemērots un skaidrs attiecībā uz vispārējo interešu nodrošināšan</w:t>
      </w:r>
      <w:r w:rsidR="004A669B">
        <w:t>u</w:t>
      </w:r>
      <w:r w:rsidR="00DF7160">
        <w:t xml:space="preserve"> </w:t>
      </w:r>
      <w:r w:rsidR="00D91BD4">
        <w:t>(</w:t>
      </w:r>
      <w:r w:rsidR="00DF7160">
        <w:rPr>
          <w:i/>
          <w:iCs/>
        </w:rPr>
        <w:t xml:space="preserve">sūdzībā norādīti </w:t>
      </w:r>
      <w:r w:rsidR="006C411E">
        <w:rPr>
          <w:i/>
          <w:iCs/>
        </w:rPr>
        <w:t xml:space="preserve">arī </w:t>
      </w:r>
      <w:r w:rsidR="00DF7160">
        <w:rPr>
          <w:i/>
          <w:iCs/>
        </w:rPr>
        <w:t xml:space="preserve">Eiropas Savienības Tiesas un </w:t>
      </w:r>
      <w:r w:rsidR="00DF7160" w:rsidRPr="00DF7160">
        <w:rPr>
          <w:i/>
          <w:iCs/>
        </w:rPr>
        <w:t xml:space="preserve">Eiropas Brīvās tirdzniecības asociācijas tiesas </w:t>
      </w:r>
      <w:r w:rsidR="00DF7160">
        <w:rPr>
          <w:i/>
          <w:iCs/>
        </w:rPr>
        <w:t>spriedumi</w:t>
      </w:r>
      <w:r w:rsidR="004E580C">
        <w:t>)</w:t>
      </w:r>
      <w:r w:rsidR="00DF7160">
        <w:t>.</w:t>
      </w:r>
    </w:p>
    <w:p w14:paraId="10AA843E" w14:textId="6B21F3D6" w:rsidR="00755F8C" w:rsidRDefault="004A669B" w:rsidP="00EC3193">
      <w:pPr>
        <w:spacing w:line="276" w:lineRule="auto"/>
        <w:ind w:firstLine="567"/>
        <w:jc w:val="both"/>
      </w:pPr>
      <w:r>
        <w:t>Ierobežojum</w:t>
      </w:r>
      <w:r w:rsidR="006C08A1">
        <w:t>a</w:t>
      </w:r>
      <w:r>
        <w:t xml:space="preserve"> </w:t>
      </w:r>
      <w:r w:rsidR="00EA7204">
        <w:t>proporcionalitāte</w:t>
      </w:r>
      <w:r w:rsidR="00755F8C">
        <w:t xml:space="preserve"> ir</w:t>
      </w:r>
      <w:r w:rsidR="00EA7204">
        <w:t xml:space="preserve"> </w:t>
      </w:r>
      <w:r w:rsidR="00755F8C">
        <w:t>jā</w:t>
      </w:r>
      <w:r w:rsidR="00EA7204">
        <w:t>vērtē faktisko apstākļu kontekstā</w:t>
      </w:r>
      <w:r w:rsidR="008A193B">
        <w:t xml:space="preserve">. </w:t>
      </w:r>
      <w:r w:rsidR="00EA7204">
        <w:t>Spriedum</w:t>
      </w:r>
      <w:r w:rsidR="00EA7642">
        <w:t>ā nav</w:t>
      </w:r>
      <w:r w:rsidR="00EA7204">
        <w:t xml:space="preserve"> </w:t>
      </w:r>
      <w:r w:rsidR="005A5241">
        <w:t>pārbaud</w:t>
      </w:r>
      <w:r w:rsidR="00EA7642">
        <w:t>īts</w:t>
      </w:r>
      <w:r w:rsidR="005A5241">
        <w:t xml:space="preserve"> </w:t>
      </w:r>
      <w:r w:rsidR="00EA7204">
        <w:t>katr</w:t>
      </w:r>
      <w:r w:rsidR="00EA7642">
        <w:t>s</w:t>
      </w:r>
      <w:r w:rsidR="00EA7204">
        <w:t xml:space="preserve"> no leģitīmajiem mērķiem. Satversmes tiesas </w:t>
      </w:r>
      <w:r w:rsidR="008A193B">
        <w:t>s</w:t>
      </w:r>
      <w:r w:rsidR="00EA7204">
        <w:t xml:space="preserve">prieduma 19.5.punktā minētie </w:t>
      </w:r>
      <w:r w:rsidR="00EA7204">
        <w:lastRenderedPageBreak/>
        <w:t xml:space="preserve">leģitīmie mērķi ir definēti plaši, </w:t>
      </w:r>
      <w:r w:rsidR="00EA7642">
        <w:t>kas</w:t>
      </w:r>
      <w:r w:rsidR="00EA7204">
        <w:t xml:space="preserve"> </w:t>
      </w:r>
      <w:r w:rsidR="006C08A1">
        <w:t xml:space="preserve">neizpilda </w:t>
      </w:r>
      <w:r w:rsidR="00EA7204">
        <w:t>proporcionalitātes test</w:t>
      </w:r>
      <w:r w:rsidR="006C08A1">
        <w:t>u</w:t>
      </w:r>
      <w:r w:rsidR="00EA7204">
        <w:t xml:space="preserve">, </w:t>
      </w:r>
      <w:r w:rsidR="006C08A1">
        <w:t xml:space="preserve">tie nav </w:t>
      </w:r>
      <w:r w:rsidR="00EA7204">
        <w:t>saskanīg</w:t>
      </w:r>
      <w:r w:rsidR="006C08A1">
        <w:t>i</w:t>
      </w:r>
      <w:r w:rsidR="00EA7204">
        <w:t xml:space="preserve"> un sistemātisk</w:t>
      </w:r>
      <w:r w:rsidR="006C08A1">
        <w:t>i</w:t>
      </w:r>
      <w:r w:rsidR="00EA7204">
        <w:t xml:space="preserve">. </w:t>
      </w:r>
      <w:r w:rsidR="00C2315F">
        <w:t>M</w:t>
      </w:r>
      <w:r w:rsidR="00EA7204">
        <w:t>ērķi netiek sasniegti, jo ir pārāk plaši, savukārt ierobežojum</w:t>
      </w:r>
      <w:r w:rsidR="005A5241">
        <w:t>s</w:t>
      </w:r>
      <w:r w:rsidR="00EA7204">
        <w:t xml:space="preserve"> ir selektīv</w:t>
      </w:r>
      <w:r w:rsidR="005A5241">
        <w:t>s</w:t>
      </w:r>
      <w:r w:rsidR="00EA7204">
        <w:t xml:space="preserve"> jeb diskriminējoš</w:t>
      </w:r>
      <w:r w:rsidR="005A5241">
        <w:t>s</w:t>
      </w:r>
      <w:r w:rsidR="00EA7204">
        <w:t>, jo vēsturisk</w:t>
      </w:r>
      <w:r w:rsidR="005A5241">
        <w:t>ajā</w:t>
      </w:r>
      <w:r w:rsidR="00EA7204">
        <w:t xml:space="preserve"> centr</w:t>
      </w:r>
      <w:r w:rsidR="005A5241">
        <w:t xml:space="preserve">ā </w:t>
      </w:r>
      <w:r w:rsidR="00EA7204">
        <w:t>turpina darboties</w:t>
      </w:r>
      <w:r w:rsidR="005C6EF5">
        <w:t xml:space="preserve"> neierobežotas</w:t>
      </w:r>
      <w:r w:rsidR="00EA7204">
        <w:t xml:space="preserve"> pakalpojumu sniegšanas vietas. </w:t>
      </w:r>
      <w:r w:rsidR="00C2315F">
        <w:t>I</w:t>
      </w:r>
      <w:r w:rsidR="005A5241">
        <w:t xml:space="preserve">r </w:t>
      </w:r>
      <w:r w:rsidR="00EA7204">
        <w:t xml:space="preserve">pretrunas normatīvo tiesību aktu regulējumā, politikas dokumentos un atbildētājas praksē. </w:t>
      </w:r>
      <w:r w:rsidR="007E5C9F">
        <w:t>Spriedumā nav vērtēti</w:t>
      </w:r>
      <w:r w:rsidR="00EA7204">
        <w:t xml:space="preserve"> pierādījum</w:t>
      </w:r>
      <w:r w:rsidR="006F5D8E">
        <w:t>i par a</w:t>
      </w:r>
      <w:r w:rsidR="00EA7204">
        <w:t xml:space="preserve">zartspēļu </w:t>
      </w:r>
      <w:r w:rsidR="005A5241">
        <w:t xml:space="preserve">izvēršanas </w:t>
      </w:r>
      <w:r w:rsidR="00EA7204">
        <w:t>politik</w:t>
      </w:r>
      <w:r w:rsidR="005A5241">
        <w:t>u</w:t>
      </w:r>
      <w:r w:rsidR="00EA7204">
        <w:t xml:space="preserve"> attiecībā uz </w:t>
      </w:r>
      <w:r w:rsidR="00A46870">
        <w:t xml:space="preserve">valsts akciju sabiedrības </w:t>
      </w:r>
      <w:r w:rsidR="002D5EA0" w:rsidRPr="00A373E2">
        <w:rPr>
          <w:color w:val="000000"/>
        </w:rPr>
        <w:t>„</w:t>
      </w:r>
      <w:r w:rsidR="00EA7204">
        <w:t>Latvijas Loto</w:t>
      </w:r>
      <w:r w:rsidR="000E235F">
        <w:t>”</w:t>
      </w:r>
      <w:r w:rsidR="00EA7204">
        <w:t xml:space="preserve"> un reklāmas izvēršanu</w:t>
      </w:r>
      <w:r w:rsidR="005C6EF5">
        <w:t>, lai</w:t>
      </w:r>
      <w:r w:rsidR="00EA7204">
        <w:t xml:space="preserve"> palielināt</w:t>
      </w:r>
      <w:r w:rsidR="005C6EF5">
        <w:t>u</w:t>
      </w:r>
      <w:r w:rsidR="00EA7204">
        <w:t xml:space="preserve"> valsts budžeta ienākumus, interaktīvo azartspēļu izvēršanas politiku, diskriminējoš</w:t>
      </w:r>
      <w:r w:rsidR="006F5D8E">
        <w:t>ie</w:t>
      </w:r>
      <w:r w:rsidR="00EA7204">
        <w:t xml:space="preserve"> izņēmum</w:t>
      </w:r>
      <w:r w:rsidR="006F5D8E">
        <w:t>i</w:t>
      </w:r>
      <w:r w:rsidR="00EA7204">
        <w:t xml:space="preserve"> attiecībā uz četru un piecu zvaigžņu viesnīcām. </w:t>
      </w:r>
      <w:r w:rsidR="005C6EF5">
        <w:t>Tas</w:t>
      </w:r>
      <w:r w:rsidR="00EA7204">
        <w:t xml:space="preserve"> </w:t>
      </w:r>
      <w:r w:rsidR="006F5D8E">
        <w:t>bija</w:t>
      </w:r>
      <w:r w:rsidR="00EA7204">
        <w:t xml:space="preserve"> </w:t>
      </w:r>
      <w:r w:rsidR="006F5D8E">
        <w:t>jā</w:t>
      </w:r>
      <w:r w:rsidR="00EA7204">
        <w:t xml:space="preserve">vērtē saskanīgā un sistemātiskā veidā, novērtējot konkrēto mērķu sasniegšanu individuāli, kā arī pārliecinoties, </w:t>
      </w:r>
      <w:r w:rsidR="006F5D8E">
        <w:t>ka</w:t>
      </w:r>
      <w:r w:rsidR="00EA7204">
        <w:t xml:space="preserve"> ierobežojums ir nepieciešams, lai mērķus sasnieg</w:t>
      </w:r>
      <w:r w:rsidR="00C344E8">
        <w:t>t</w:t>
      </w:r>
      <w:r w:rsidR="00EA7204">
        <w:t xml:space="preserve">u. </w:t>
      </w:r>
    </w:p>
    <w:p w14:paraId="59F708E5" w14:textId="33F0C7A4" w:rsidR="00C21555" w:rsidRDefault="006C08A1" w:rsidP="00EC3193">
      <w:pPr>
        <w:spacing w:line="276" w:lineRule="auto"/>
        <w:ind w:firstLine="567"/>
        <w:jc w:val="both"/>
      </w:pPr>
      <w:r>
        <w:t>[3.5]</w:t>
      </w:r>
      <w:r w:rsidR="00A46870">
        <w:t> </w:t>
      </w:r>
      <w:r w:rsidR="00EA7642">
        <w:t xml:space="preserve">Atbilstoši </w:t>
      </w:r>
      <w:bookmarkStart w:id="6" w:name="_Hlk52290919"/>
      <w:r w:rsidR="00E937D0">
        <w:t xml:space="preserve">Eiropas Savienības </w:t>
      </w:r>
      <w:r w:rsidR="00A46870">
        <w:t xml:space="preserve">Pamattiesību </w:t>
      </w:r>
      <w:bookmarkEnd w:id="6"/>
      <w:r w:rsidR="00A46870">
        <w:t>h</w:t>
      </w:r>
      <w:r w:rsidR="00E937D0">
        <w:t xml:space="preserve">artas </w:t>
      </w:r>
      <w:proofErr w:type="gramStart"/>
      <w:r w:rsidR="00E937D0">
        <w:t>52.panta</w:t>
      </w:r>
      <w:proofErr w:type="gramEnd"/>
      <w:r w:rsidR="00E937D0">
        <w:t xml:space="preserve"> 1.punkt</w:t>
      </w:r>
      <w:r w:rsidR="00EA7642">
        <w:t>am</w:t>
      </w:r>
      <w:r w:rsidR="00E937D0">
        <w:t xml:space="preserve"> pamatbrīvīb</w:t>
      </w:r>
      <w:r w:rsidR="00EA7642">
        <w:t>as var i</w:t>
      </w:r>
      <w:r w:rsidR="00E937D0">
        <w:t>erobežo</w:t>
      </w:r>
      <w:r w:rsidR="00EA7642">
        <w:t>t</w:t>
      </w:r>
      <w:r w:rsidR="00E937D0">
        <w:t xml:space="preserve"> ar likumu. Satversmes tiesa šo jautājumu aplūkoja </w:t>
      </w:r>
      <w:r w:rsidR="00E937D0" w:rsidRPr="00EC3193">
        <w:t xml:space="preserve">tikai nacionālo tiesību </w:t>
      </w:r>
      <w:r w:rsidR="00027E57" w:rsidRPr="00EC3193">
        <w:t>tvērumā</w:t>
      </w:r>
      <w:r w:rsidR="00E937D0" w:rsidRPr="00EC3193">
        <w:t>. Eiropas Savienības Tiesa ir noteikusi, ka no</w:t>
      </w:r>
      <w:r w:rsidR="00EA7642" w:rsidRPr="00EC3193">
        <w:t>rmām</w:t>
      </w:r>
      <w:r w:rsidR="00E937D0" w:rsidRPr="00EC3193">
        <w:t xml:space="preserve"> jābūt skaidr</w:t>
      </w:r>
      <w:r w:rsidR="00EA7642" w:rsidRPr="00EC3193">
        <w:t>ām</w:t>
      </w:r>
      <w:r w:rsidR="00E937D0" w:rsidRPr="00EC3193">
        <w:t xml:space="preserve"> un to sekām</w:t>
      </w:r>
      <w:r w:rsidR="00E937D0">
        <w:t xml:space="preserve"> paredzamām. Lēmuma pamatā esošie noteikumi </w:t>
      </w:r>
      <w:r w:rsidR="009D7088">
        <w:t xml:space="preserve">tādi </w:t>
      </w:r>
      <w:r w:rsidR="00E937D0">
        <w:t>nebija</w:t>
      </w:r>
      <w:r w:rsidR="005C6EF5">
        <w:t xml:space="preserve">, jo </w:t>
      </w:r>
      <w:r w:rsidR="009D7088">
        <w:t>tad</w:t>
      </w:r>
      <w:r w:rsidR="00E937D0">
        <w:t xml:space="preserve"> tiesa nebūtu iesniegusi pieteikumu Satversmes tiesā un Satversmes tiesas </w:t>
      </w:r>
      <w:r w:rsidR="00C21555">
        <w:t>s</w:t>
      </w:r>
      <w:r w:rsidR="00E937D0">
        <w:t>prieduma lietā nebūtu divu tiesnešu atsevišķ</w:t>
      </w:r>
      <w:r w:rsidR="006F5D8E">
        <w:t>o</w:t>
      </w:r>
      <w:r w:rsidR="00E937D0">
        <w:t xml:space="preserve"> dom</w:t>
      </w:r>
      <w:r w:rsidR="006F5D8E">
        <w:t>u</w:t>
      </w:r>
      <w:r w:rsidR="00E937D0">
        <w:t>.</w:t>
      </w:r>
      <w:r w:rsidR="00755F8C">
        <w:t xml:space="preserve"> </w:t>
      </w:r>
      <w:r w:rsidR="00EA7642">
        <w:t>Turklāt</w:t>
      </w:r>
      <w:r w:rsidR="00C21555" w:rsidRPr="00C21555">
        <w:t xml:space="preserve"> vairāk nekā 10 gadu</w:t>
      </w:r>
      <w:r w:rsidR="00EA7642">
        <w:t xml:space="preserve">s </w:t>
      </w:r>
      <w:r w:rsidR="00C21555" w:rsidRPr="00C21555">
        <w:t>ierobežojum</w:t>
      </w:r>
      <w:r w:rsidR="00EA7642">
        <w:t xml:space="preserve">i netika </w:t>
      </w:r>
      <w:r w:rsidR="00C21555" w:rsidRPr="00C21555">
        <w:t>piemēro</w:t>
      </w:r>
      <w:r w:rsidR="00EA7642">
        <w:t>ti.</w:t>
      </w:r>
      <w:r w:rsidR="00C21555" w:rsidRPr="00C21555">
        <w:t xml:space="preserve"> </w:t>
      </w:r>
      <w:r w:rsidR="00EA7642">
        <w:t>Apgabaltiesa</w:t>
      </w:r>
      <w:r w:rsidR="00C21555" w:rsidRPr="00C21555">
        <w:t xml:space="preserve"> </w:t>
      </w:r>
      <w:r w:rsidR="00EA7642">
        <w:t>ne</w:t>
      </w:r>
      <w:r w:rsidR="00C21555" w:rsidRPr="00C21555">
        <w:t>analizē</w:t>
      </w:r>
      <w:r w:rsidR="00EA7642">
        <w:t xml:space="preserve">ja </w:t>
      </w:r>
      <w:r w:rsidR="00C21555" w:rsidRPr="00C21555">
        <w:t>iepriekš minēt</w:t>
      </w:r>
      <w:r w:rsidR="00EA7642">
        <w:t>os</w:t>
      </w:r>
      <w:r w:rsidR="00C21555" w:rsidRPr="00C21555">
        <w:t xml:space="preserve"> apstākļ</w:t>
      </w:r>
      <w:r w:rsidR="00EA7642">
        <w:t>us</w:t>
      </w:r>
      <w:r w:rsidR="006F5D8E">
        <w:t>,</w:t>
      </w:r>
      <w:r w:rsidR="00C21555" w:rsidRPr="00C21555">
        <w:t xml:space="preserve"> </w:t>
      </w:r>
      <w:r w:rsidR="00EA7642">
        <w:t>tā</w:t>
      </w:r>
      <w:r w:rsidR="00C21555" w:rsidRPr="00C21555">
        <w:t xml:space="preserve"> nesniedz</w:t>
      </w:r>
      <w:r w:rsidR="00EA7642">
        <w:t>a</w:t>
      </w:r>
      <w:r w:rsidR="00C21555" w:rsidRPr="00C21555">
        <w:t xml:space="preserve"> vērtējumu par </w:t>
      </w:r>
      <w:r w:rsidR="00A46870">
        <w:t>Eiropas Savienības Pamattiesību h</w:t>
      </w:r>
      <w:r w:rsidR="00C21555" w:rsidRPr="00C21555">
        <w:t xml:space="preserve">artas </w:t>
      </w:r>
      <w:proofErr w:type="gramStart"/>
      <w:r w:rsidR="00C21555" w:rsidRPr="00C21555">
        <w:t>52.panta</w:t>
      </w:r>
      <w:proofErr w:type="gramEnd"/>
      <w:r w:rsidR="00C21555" w:rsidRPr="00C21555">
        <w:t xml:space="preserve"> 1.punkta piemērošanu</w:t>
      </w:r>
      <w:r w:rsidR="00EA7642">
        <w:t>. Tā</w:t>
      </w:r>
      <w:r w:rsidR="00C21555" w:rsidRPr="00C21555">
        <w:t xml:space="preserve"> satura interpretēšanas gadījumā būtu nepieciešams vērsties Eiropas Savienības Tiesā.</w:t>
      </w:r>
    </w:p>
    <w:p w14:paraId="0078B76A" w14:textId="4E6CD4B1" w:rsidR="00F02E74" w:rsidRDefault="00C21555" w:rsidP="00EC3193">
      <w:pPr>
        <w:spacing w:line="276" w:lineRule="auto"/>
        <w:ind w:firstLine="567"/>
        <w:jc w:val="both"/>
      </w:pPr>
      <w:r>
        <w:t>[3.</w:t>
      </w:r>
      <w:r w:rsidR="00755F8C">
        <w:t>6</w:t>
      </w:r>
      <w:r>
        <w:t xml:space="preserve">] </w:t>
      </w:r>
      <w:r w:rsidR="00F02E74">
        <w:t>A</w:t>
      </w:r>
      <w:r w:rsidR="00F02E74" w:rsidRPr="00621891">
        <w:t xml:space="preserve">pgabaltiesa nav vērtējusi pierādījumus </w:t>
      </w:r>
      <w:r w:rsidR="008A3163">
        <w:t>par</w:t>
      </w:r>
      <w:r w:rsidR="00F02E74" w:rsidRPr="00621891">
        <w:t xml:space="preserve"> citu pakalpojumu sniegšanas vietu turpināto darbību, interaktīvo azartspēļu izvēršanas politiku, diskriminējoš</w:t>
      </w:r>
      <w:r w:rsidR="002E5DA9">
        <w:t>aj</w:t>
      </w:r>
      <w:r w:rsidR="00F02E74" w:rsidRPr="00621891">
        <w:t>iem izņēmumiem attiecībā uz četru un piecu zvaigžņu viesnīcām</w:t>
      </w:r>
      <w:r w:rsidR="00F02E74">
        <w:t xml:space="preserve">, </w:t>
      </w:r>
      <w:r w:rsidR="00F02E74" w:rsidRPr="00621891">
        <w:t>konkurences tiesību aspektus</w:t>
      </w:r>
      <w:r w:rsidR="00357D3A">
        <w:t>. A</w:t>
      </w:r>
      <w:r w:rsidR="00F02E74" w:rsidRPr="00621891">
        <w:t xml:space="preserve">pgabaltiesa faktiski ir pievienojusies Administratīvās rajona tiesas spriedumā lietā </w:t>
      </w:r>
      <w:r w:rsidR="00C50FB2" w:rsidRPr="00621891">
        <w:t xml:space="preserve">Nr. A420315317 </w:t>
      </w:r>
      <w:r w:rsidR="00F02E74" w:rsidRPr="00621891">
        <w:t>norādītajam</w:t>
      </w:r>
      <w:r w:rsidR="00C2315F">
        <w:t>, ka</w:t>
      </w:r>
      <w:r w:rsidR="00C50FB2">
        <w:t xml:space="preserve"> </w:t>
      </w:r>
      <w:r w:rsidR="00A46870">
        <w:t>D</w:t>
      </w:r>
      <w:r w:rsidR="00F02E74" w:rsidRPr="00C50FB2">
        <w:t>irektīva 98/34</w:t>
      </w:r>
      <w:r w:rsidR="002469FE">
        <w:t>/EK</w:t>
      </w:r>
      <w:r w:rsidR="00F02E74" w:rsidRPr="00C50FB2">
        <w:t xml:space="preserve"> šajā lietā nav piemērojama, jo lielais pieprasījums pēc azartspēļu pakalpojuma Rīgā nozīmē, ka, slēdzot azartspēļu zāles vēsturiskajā centrā, pieprasījums pēc azartspēļu pakalpojuma nepazudīs, bet pārorientēsies uz citām spēļu zālēm.</w:t>
      </w:r>
      <w:r w:rsidR="00C50FB2">
        <w:t xml:space="preserve"> Šis secinājums norāda uz patieso ierobežojuma ietekmi uz tirgu, </w:t>
      </w:r>
      <w:r w:rsidR="00FF31A8">
        <w:t>izraisot</w:t>
      </w:r>
      <w:r w:rsidR="00C50FB2">
        <w:t xml:space="preserve"> brīvā tirgus ekonomikas princip</w:t>
      </w:r>
      <w:r w:rsidR="000E235F">
        <w:t>os</w:t>
      </w:r>
      <w:r w:rsidR="00C50FB2">
        <w:t xml:space="preserve"> nebalstīt</w:t>
      </w:r>
      <w:r w:rsidR="00FF31A8">
        <w:t>u</w:t>
      </w:r>
      <w:r w:rsidR="00C50FB2">
        <w:t xml:space="preserve"> tirgus pārdalīšan</w:t>
      </w:r>
      <w:r w:rsidR="00FF31A8">
        <w:t>u</w:t>
      </w:r>
      <w:r w:rsidR="00C50FB2">
        <w:t xml:space="preserve">. </w:t>
      </w:r>
      <w:r w:rsidR="00C50FB2" w:rsidRPr="00C50FB2">
        <w:t>Apgabaltiesa nav ņēmusi vērā kopējo kontekstu, kas norāda uz vispārēju azartspēļu ierobežošanu</w:t>
      </w:r>
      <w:r w:rsidR="00755F8C">
        <w:t xml:space="preserve">, </w:t>
      </w:r>
      <w:r w:rsidR="00C50FB2" w:rsidRPr="00C50FB2">
        <w:t>nav vērtējusi rīcību attiecībā uz spēļu zālēm, kas atrodas četru un piecu zvaigžņu viesnīcās, kā arī attiecībā uz azartspēļu zāļu slēgšanu ārpus vēsturiskā centra.</w:t>
      </w:r>
      <w:r w:rsidR="00C2315F">
        <w:t xml:space="preserve"> </w:t>
      </w:r>
      <w:r w:rsidR="00C50FB2">
        <w:t xml:space="preserve"> </w:t>
      </w:r>
      <w:r w:rsidR="00357D3A" w:rsidRPr="00357D3A">
        <w:t>A</w:t>
      </w:r>
      <w:r w:rsidR="00357D3A">
        <w:t>p</w:t>
      </w:r>
      <w:r w:rsidR="00357D3A" w:rsidRPr="00357D3A">
        <w:t>gabaltiesa nav norādījusi pierādījumus</w:t>
      </w:r>
      <w:r w:rsidR="00357D3A">
        <w:t xml:space="preserve"> tam</w:t>
      </w:r>
      <w:r w:rsidR="00357D3A" w:rsidRPr="00357D3A">
        <w:t xml:space="preserve">, ka būtu bijušas problēmas ar nelegālo izložu organizēšanu, kuru risināšanai ir nepieciešams īstenot </w:t>
      </w:r>
      <w:r w:rsidR="00F430A1">
        <w:t xml:space="preserve">valsts akciju sabiedrības </w:t>
      </w:r>
      <w:r w:rsidR="002D5EA0" w:rsidRPr="00A373E2">
        <w:rPr>
          <w:color w:val="000000"/>
        </w:rPr>
        <w:t>„</w:t>
      </w:r>
      <w:r w:rsidR="00357D3A" w:rsidRPr="00357D3A">
        <w:t>Latvijas Loto</w:t>
      </w:r>
      <w:r w:rsidR="00357D3A">
        <w:t>”</w:t>
      </w:r>
      <w:r w:rsidR="00357D3A" w:rsidRPr="00357D3A">
        <w:t xml:space="preserve"> piedāvāto spēļu sortimenta paplašināšanu. Gadījumos, kad valsts argumentē nelegālo veiksmes spēļu apkarošanas nepieciešamību, paplašinot veiksmes spēļu organizēšanu valsts monopola interesēs, ir būtiski</w:t>
      </w:r>
      <w:r w:rsidR="00357D3A">
        <w:t xml:space="preserve"> to</w:t>
      </w:r>
      <w:r w:rsidR="00357D3A" w:rsidRPr="00357D3A">
        <w:t xml:space="preserve"> pierādī</w:t>
      </w:r>
      <w:r w:rsidR="00357D3A">
        <w:t>t</w:t>
      </w:r>
      <w:r w:rsidR="00357D3A" w:rsidRPr="00357D3A">
        <w:t xml:space="preserve">. </w:t>
      </w:r>
      <w:r w:rsidR="00C2315F">
        <w:t>Tiesa nav ieguvusi</w:t>
      </w:r>
      <w:r w:rsidR="00357D3A" w:rsidRPr="00357D3A">
        <w:t xml:space="preserve"> pierādījum</w:t>
      </w:r>
      <w:r w:rsidR="000D3145">
        <w:t>u</w:t>
      </w:r>
      <w:r w:rsidR="00C2315F">
        <w:t>s</w:t>
      </w:r>
      <w:r w:rsidR="000D3145">
        <w:t xml:space="preserve"> ne par </w:t>
      </w:r>
      <w:r w:rsidR="00357D3A" w:rsidRPr="00357D3A">
        <w:t>nelegālo spēļu izplatību, ne problēmām ar veiksmes spēļu atkarību, kuru nepieciešams apkarot.</w:t>
      </w:r>
    </w:p>
    <w:p w14:paraId="42FB1585" w14:textId="3727B113" w:rsidR="00D91BD4" w:rsidRDefault="00856FAE" w:rsidP="00EC3193">
      <w:pPr>
        <w:spacing w:line="276" w:lineRule="auto"/>
        <w:ind w:firstLine="567"/>
        <w:jc w:val="both"/>
      </w:pPr>
      <w:r>
        <w:t>[3.</w:t>
      </w:r>
      <w:r w:rsidR="00755F8C">
        <w:t>7</w:t>
      </w:r>
      <w:r>
        <w:t>]</w:t>
      </w:r>
      <w:r w:rsidR="00F430A1">
        <w:t> </w:t>
      </w:r>
      <w:r w:rsidRPr="00856FAE">
        <w:t>Lieta atšķiras no citām lietām, kurās E</w:t>
      </w:r>
      <w:r>
        <w:t>iropas Savienības Tiesa</w:t>
      </w:r>
      <w:r w:rsidRPr="00856FAE">
        <w:t xml:space="preserve"> ir sniegusi prejudiciālos nolēmumus</w:t>
      </w:r>
      <w:r w:rsidR="00EA7642">
        <w:t xml:space="preserve"> par</w:t>
      </w:r>
      <w:r w:rsidRPr="00856FAE">
        <w:t xml:space="preserve"> LESD </w:t>
      </w:r>
      <w:proofErr w:type="gramStart"/>
      <w:r w:rsidRPr="00856FAE">
        <w:t>56.panta</w:t>
      </w:r>
      <w:proofErr w:type="gramEnd"/>
      <w:r w:rsidRPr="00856FAE">
        <w:t>, 102.panta un 106.panta piemērošan</w:t>
      </w:r>
      <w:r w:rsidR="00EA7642">
        <w:t>u</w:t>
      </w:r>
      <w:r w:rsidRPr="00856FAE">
        <w:t xml:space="preserve"> pakalpojumu sniegšanas brīvības ierobežošanas kontekstā tieši azartspēļu jomā. Tāpēc tiesai ir pienākums uzdot jautājumus prejudiciālā nolēmuma sniegšanai</w:t>
      </w:r>
      <w:r w:rsidR="009568E6" w:rsidRPr="00621891">
        <w:t>.</w:t>
      </w:r>
      <w:r w:rsidR="009568E6">
        <w:t xml:space="preserve"> N</w:t>
      </w:r>
      <w:r w:rsidR="009568E6" w:rsidRPr="00621891">
        <w:t>av konstatējams neviens no izņēmumiem,</w:t>
      </w:r>
      <w:r w:rsidR="009568E6">
        <w:t xml:space="preserve"> lai </w:t>
      </w:r>
      <w:r w:rsidR="009568E6" w:rsidRPr="00EC3193">
        <w:t>nevērstos</w:t>
      </w:r>
      <w:r w:rsidR="005729D8">
        <w:t xml:space="preserve"> Eiropas Savienības Tiesā</w:t>
      </w:r>
      <w:r w:rsidR="00DA2C59">
        <w:t>. Pieteicēja lūdz tiesu</w:t>
      </w:r>
      <w:r w:rsidR="002959EF">
        <w:t xml:space="preserve"> </w:t>
      </w:r>
      <w:r w:rsidR="00DA2C59">
        <w:t xml:space="preserve">uzdot Eiropas Savienības Tiesai 12 jautājumus, kas saistīti ar </w:t>
      </w:r>
      <w:r w:rsidR="00F430A1">
        <w:t>Eiropas Savienības Pamattiesību h</w:t>
      </w:r>
      <w:r w:rsidR="00596257">
        <w:t xml:space="preserve">artas </w:t>
      </w:r>
      <w:proofErr w:type="gramStart"/>
      <w:r w:rsidR="00596257">
        <w:t>52.panta</w:t>
      </w:r>
      <w:proofErr w:type="gramEnd"/>
      <w:r w:rsidR="00596257">
        <w:t xml:space="preserve"> 1.punkta, </w:t>
      </w:r>
      <w:r w:rsidR="00DA2C59">
        <w:t>LESD 49.</w:t>
      </w:r>
      <w:r w:rsidR="00596257">
        <w:t>,</w:t>
      </w:r>
      <w:r w:rsidR="00DA2C59">
        <w:t xml:space="preserve"> 56., </w:t>
      </w:r>
      <w:r w:rsidR="00596257">
        <w:t xml:space="preserve">102. un 106.panta, </w:t>
      </w:r>
      <w:r w:rsidR="005A2660">
        <w:t>D</w:t>
      </w:r>
      <w:r w:rsidR="00DA2C59">
        <w:t>irektīvas 2006/123/EK 4.panta 8.punkt</w:t>
      </w:r>
      <w:r w:rsidR="00596257">
        <w:t>a</w:t>
      </w:r>
      <w:r w:rsidR="00DA2C59">
        <w:t xml:space="preserve"> </w:t>
      </w:r>
      <w:r w:rsidR="00596257">
        <w:t>interpretāciju</w:t>
      </w:r>
      <w:r w:rsidR="00602549">
        <w:t>.</w:t>
      </w:r>
    </w:p>
    <w:p w14:paraId="4CBCD9B3" w14:textId="0E1CE591" w:rsidR="00D91BD4" w:rsidRPr="00D91BD4" w:rsidRDefault="00D91BD4" w:rsidP="00EC3193">
      <w:pPr>
        <w:spacing w:line="276" w:lineRule="auto"/>
        <w:ind w:firstLine="567"/>
        <w:jc w:val="both"/>
      </w:pPr>
      <w:r>
        <w:lastRenderedPageBreak/>
        <w:t>1) </w:t>
      </w:r>
      <w:r w:rsidRPr="00D91BD4">
        <w:t xml:space="preserve">Vai LESD </w:t>
      </w:r>
      <w:proofErr w:type="gramStart"/>
      <w:r w:rsidRPr="00D91BD4">
        <w:t>56.pants</w:t>
      </w:r>
      <w:proofErr w:type="gramEnd"/>
      <w:r w:rsidRPr="00D91BD4">
        <w:t xml:space="preserve"> pieļauj tādu nacionālo tiesību regulējumu un valsts īstenoto darbību kopumu, kāds ir konstatējams konkrētajā lietā un kas rada pakalpojumu sniegšanas brīvības ierobežojumu, pama</w:t>
      </w:r>
      <w:r w:rsidR="004E580C">
        <w:t xml:space="preserve">tojoties uz vispārējo interesi </w:t>
      </w:r>
      <w:r w:rsidR="004E580C" w:rsidRPr="00602549">
        <w:t>„</w:t>
      </w:r>
      <w:r w:rsidRPr="00EC3193">
        <w:t>Vēsturiskā centra un tā kultūrvēsturisko vērtību saglabāšana un aizsardzība, indivīda tiesības uz dzīvi labvēlīgā vidē, tostarp tiesības uz labvēlīgu kultūrvidi un tiesības uz kultūras mantojumu</w:t>
      </w:r>
      <w:r w:rsidRPr="00602549">
        <w:t>”</w:t>
      </w:r>
      <w:r w:rsidRPr="00D91BD4">
        <w:t>?</w:t>
      </w:r>
    </w:p>
    <w:p w14:paraId="03F88A30" w14:textId="3301B9D2" w:rsidR="00D91BD4" w:rsidRPr="00D91BD4" w:rsidRDefault="00D91BD4" w:rsidP="00EC3193">
      <w:pPr>
        <w:spacing w:line="276" w:lineRule="auto"/>
        <w:ind w:firstLine="567"/>
        <w:jc w:val="both"/>
      </w:pPr>
      <w:r>
        <w:t>2) </w:t>
      </w:r>
      <w:r w:rsidRPr="00D91BD4">
        <w:t xml:space="preserve">Vai tāds nacionālo tiesību regulējums un valsts īstenoto darbību kopums, kāds ir konstatējams konkrētajā lietā, var tikt uzskatīts par saskanīgu un sistemātisku veidu LESD </w:t>
      </w:r>
      <w:proofErr w:type="gramStart"/>
      <w:r w:rsidRPr="00D91BD4">
        <w:t>56.panta</w:t>
      </w:r>
      <w:proofErr w:type="gramEnd"/>
      <w:r w:rsidRPr="00D91BD4">
        <w:t xml:space="preserve"> izpratnē, kādā nodrošināt vispārējo interesi </w:t>
      </w:r>
      <w:r w:rsidR="00A412AB">
        <w:t>„</w:t>
      </w:r>
      <w:r w:rsidRPr="00EC3193">
        <w:rPr>
          <w:iCs/>
        </w:rPr>
        <w:t>Vēsturiskā centra un tā kultūrvēsturisko vērtību saglabāšana un aizsardzība, indivīda tiesības uz dzīvi labvēlīgā vidē, tostarp tiesības uz labvēlīgu kultūrvidi un tiesības uz kultūras mantojumu</w:t>
      </w:r>
      <w:r w:rsidRPr="00D91BD4">
        <w:t xml:space="preserve">”, ja līdzīgi </w:t>
      </w:r>
      <w:r w:rsidRPr="00EC3193">
        <w:t>iestādījumi</w:t>
      </w:r>
      <w:r w:rsidRPr="00D91BD4">
        <w:t xml:space="preserve"> ierobežotajiem, vērtējot gan no sabiedrības morāles, ētikas un veselības, gan arī arhitektoniskās perspektīvas, netiek ierobežoti </w:t>
      </w:r>
      <w:r w:rsidR="00602549" w:rsidRPr="00D91BD4">
        <w:t>attiecīg</w:t>
      </w:r>
      <w:r w:rsidR="00602549">
        <w:t>ajā</w:t>
      </w:r>
      <w:r w:rsidR="00602549" w:rsidRPr="00D91BD4">
        <w:t xml:space="preserve"> </w:t>
      </w:r>
      <w:r w:rsidRPr="00D91BD4">
        <w:t>teritorij</w:t>
      </w:r>
      <w:r w:rsidR="00602549">
        <w:t>ā</w:t>
      </w:r>
      <w:r w:rsidRPr="00D91BD4">
        <w:t>?</w:t>
      </w:r>
    </w:p>
    <w:p w14:paraId="70DA04F6" w14:textId="51E9EADB" w:rsidR="00D91BD4" w:rsidRPr="00D91BD4" w:rsidRDefault="00D91BD4" w:rsidP="00EC3193">
      <w:pPr>
        <w:spacing w:line="276" w:lineRule="auto"/>
        <w:ind w:firstLine="567"/>
        <w:jc w:val="both"/>
      </w:pPr>
      <w:r>
        <w:t>3) </w:t>
      </w:r>
      <w:r w:rsidRPr="00D91BD4">
        <w:t xml:space="preserve">Vai, piemērojot LESD 49. un/vai </w:t>
      </w:r>
      <w:proofErr w:type="gramStart"/>
      <w:r w:rsidRPr="00D91BD4">
        <w:t>56.pantu</w:t>
      </w:r>
      <w:proofErr w:type="gramEnd"/>
      <w:r w:rsidRPr="00D91BD4">
        <w:t>, ir pamatoti uzskatīt, ka valsts un pašvaldības īstenotās darbības, kuru rezultātā tiek ierobežota pakalpojumu sniegšanas brīvība, ir jāvērtē kopsakarā, lai varētu konstatēt, ka ierobežojums tiek īstenots saskanīgā un sistemātiskā veidā?</w:t>
      </w:r>
    </w:p>
    <w:p w14:paraId="76FD540A" w14:textId="4AB6CA29" w:rsidR="00D91BD4" w:rsidRPr="00D91BD4" w:rsidRDefault="00D91BD4" w:rsidP="00EC3193">
      <w:pPr>
        <w:spacing w:line="276" w:lineRule="auto"/>
        <w:ind w:firstLine="567"/>
        <w:jc w:val="both"/>
      </w:pPr>
      <w:r>
        <w:t>4) </w:t>
      </w:r>
      <w:r w:rsidRPr="00D91BD4">
        <w:t xml:space="preserve">Vai ir pamatoti visus Direktīvas 2006/123/EK </w:t>
      </w:r>
      <w:proofErr w:type="gramStart"/>
      <w:r w:rsidRPr="00D91BD4">
        <w:t>4.panta</w:t>
      </w:r>
      <w:proofErr w:type="gramEnd"/>
      <w:r w:rsidRPr="00D91BD4">
        <w:t xml:space="preserve"> 8.punktā minētos vispārējo interešu apsvērumus attiecināt uz veiksmes spēļu</w:t>
      </w:r>
      <w:r w:rsidR="004E580C">
        <w:t xml:space="preserve"> jomu, neskatoties uz Direktīvā</w:t>
      </w:r>
      <w:r w:rsidRPr="00D91BD4">
        <w:t xml:space="preserve"> 2006/123/EK ierobežoto </w:t>
      </w:r>
      <w:proofErr w:type="spellStart"/>
      <w:r w:rsidRPr="00D91BD4">
        <w:rPr>
          <w:i/>
          <w:iCs/>
        </w:rPr>
        <w:t>ratione</w:t>
      </w:r>
      <w:proofErr w:type="spellEnd"/>
      <w:r w:rsidRPr="00D91BD4">
        <w:rPr>
          <w:i/>
          <w:iCs/>
        </w:rPr>
        <w:t xml:space="preserve"> </w:t>
      </w:r>
      <w:proofErr w:type="spellStart"/>
      <w:r w:rsidRPr="00D91BD4">
        <w:rPr>
          <w:i/>
          <w:iCs/>
        </w:rPr>
        <w:t>materiae</w:t>
      </w:r>
      <w:proofErr w:type="spellEnd"/>
      <w:r w:rsidRPr="00D91BD4">
        <w:t>?</w:t>
      </w:r>
    </w:p>
    <w:p w14:paraId="6F8DFB71" w14:textId="26E2AC93" w:rsidR="00D91BD4" w:rsidRPr="00D91BD4" w:rsidRDefault="00D91BD4" w:rsidP="00EC3193">
      <w:pPr>
        <w:spacing w:line="276" w:lineRule="auto"/>
        <w:ind w:firstLine="567"/>
        <w:jc w:val="both"/>
      </w:pPr>
      <w:r>
        <w:t>5) </w:t>
      </w:r>
      <w:r w:rsidRPr="00D91BD4">
        <w:t xml:space="preserve">Vai ierobežojuma saskanīgas un sistemātiskas ieviešanas vērtējums ir jāveic individuāli attiecībā pret katru no dalībvalsts izvirzītajiem ierobežojuma leģitīmajiem mērķiem? </w:t>
      </w:r>
    </w:p>
    <w:p w14:paraId="34F408F9" w14:textId="27EB0E7E" w:rsidR="00D91BD4" w:rsidRPr="00D91BD4" w:rsidRDefault="00D91BD4" w:rsidP="00EC3193">
      <w:pPr>
        <w:spacing w:line="276" w:lineRule="auto"/>
        <w:ind w:firstLine="567"/>
        <w:jc w:val="both"/>
      </w:pPr>
      <w:r w:rsidRPr="00D91BD4">
        <w:t>6</w:t>
      </w:r>
      <w:r>
        <w:t>) </w:t>
      </w:r>
      <w:r w:rsidRPr="00D91BD4">
        <w:t xml:space="preserve">Vai LESD </w:t>
      </w:r>
      <w:proofErr w:type="gramStart"/>
      <w:r w:rsidRPr="00D91BD4">
        <w:t>56.pants</w:t>
      </w:r>
      <w:proofErr w:type="gramEnd"/>
      <w:r w:rsidRPr="00D91BD4">
        <w:t xml:space="preserve"> atbilstoši vienveidīgas attieksmes un diskriminācijas aizlieguma principam pieļauj tādu nacionālo tiesību regulējumu un valsts īstenoto darbību kopumu, kāds ir konstatējams konkrētajā lietā, ierobežojot tikai viena konkrētā veiksmes spēļu veida pakalpojumu sniegšanu norobežotā teritorijā, ierobežojumu neattiecinot uz citiem veiksmes spēļu veidiem un aktīvi darbojoties valsts monopola stāvoklī esošā tirgus dalībnieka pakalpojumu reklamēšanā attiecīgajā teritorijā?</w:t>
      </w:r>
    </w:p>
    <w:p w14:paraId="11091A17" w14:textId="206454D4" w:rsidR="00D91BD4" w:rsidRPr="00D91BD4" w:rsidRDefault="00D91BD4" w:rsidP="00EC3193">
      <w:pPr>
        <w:spacing w:line="276" w:lineRule="auto"/>
        <w:ind w:firstLine="567"/>
        <w:jc w:val="both"/>
      </w:pPr>
      <w:r w:rsidRPr="00D91BD4">
        <w:t>7</w:t>
      </w:r>
      <w:r>
        <w:t>) </w:t>
      </w:r>
      <w:r w:rsidRPr="00D91BD4">
        <w:t>Vai tāds nacionālo tiesību regulējums un valsts īstenoto darbību kopums, kāds ir konstatējams konkrētajā lietā, var tikt uzskatīts par saskanīgu un sistemātisku veidu, kādā nodrošināt vispārējo sabiedrības interešu sasniegšanu, ja šīs intereses ir saistītas ar patērētāju aizsardzību, tostarp spēļu iespēju samazināšanu nolūkā samazināt spēlētāju atkarību no azartspēlēm un samazināt noziedzīgās un krāpnieciskās aktivitātes, neesot pierādījumiem par šo problēmu esību ierobežojuma spēkā stāšanās brīdī, tā nepiemērošanas laikā, kas ir ilgāks par 10 gadiem, un tā piemērošanas brīdī?</w:t>
      </w:r>
    </w:p>
    <w:p w14:paraId="253AB1D5" w14:textId="6442790A" w:rsidR="00D91BD4" w:rsidRPr="00D91BD4" w:rsidRDefault="00D91BD4" w:rsidP="00EC3193">
      <w:pPr>
        <w:spacing w:line="276" w:lineRule="auto"/>
        <w:ind w:firstLine="567"/>
        <w:jc w:val="both"/>
      </w:pPr>
      <w:r w:rsidRPr="00D91BD4">
        <w:t>8</w:t>
      </w:r>
      <w:r>
        <w:t>) </w:t>
      </w:r>
      <w:r w:rsidRPr="00D91BD4">
        <w:t xml:space="preserve">Vai ir pamatoti LESD 49. un </w:t>
      </w:r>
      <w:proofErr w:type="gramStart"/>
      <w:r w:rsidRPr="00D91BD4">
        <w:t>56.panta</w:t>
      </w:r>
      <w:proofErr w:type="gramEnd"/>
      <w:r w:rsidRPr="00D91BD4">
        <w:t xml:space="preserve"> piemērošanas kontekstā tādos apstākļos, kādi ir konstatējami konkrētajā lietā, attiekties pret izlozēm un citām veiksmes spēlēm atšķirīgi, </w:t>
      </w:r>
      <w:r w:rsidR="00602549">
        <w:t>veicot</w:t>
      </w:r>
      <w:r w:rsidR="00602549" w:rsidRPr="00D91BD4">
        <w:t xml:space="preserve"> </w:t>
      </w:r>
      <w:r w:rsidRPr="00D91BD4">
        <w:t xml:space="preserve">ierobežojumus, kuru mērķis ir samazināt spēlēšanas iespējas, aizsargājot spēlētājus no atkarības no azartspēlēm? </w:t>
      </w:r>
    </w:p>
    <w:p w14:paraId="57C50B2C" w14:textId="54FD64FF" w:rsidR="00D91BD4" w:rsidRPr="00D91BD4" w:rsidRDefault="00D91BD4" w:rsidP="00EC3193">
      <w:pPr>
        <w:spacing w:line="276" w:lineRule="auto"/>
        <w:ind w:firstLine="567"/>
        <w:jc w:val="both"/>
      </w:pPr>
      <w:r w:rsidRPr="00D91BD4">
        <w:t>9</w:t>
      </w:r>
      <w:r>
        <w:t>) </w:t>
      </w:r>
      <w:r w:rsidRPr="00D91BD4">
        <w:t>Vai dalībvalsts var atsaukties uz tādiem vispārējo interešu mērķiem kā patērētāju veselības aizsardzība un spēļu iespēju samazināšana nolūkā samazināt spēlētāju atkarību no azartspēlēm, ja dalībvalsts atsevišķos veiksmes spēļu pakalpojumu segmentos īsteno azartspēļu izvēršanas politiku, tostarp īstenojot plašas, pamudinošas un provokatīvas mārketinga aktivitātes nolūkā pamudināt spēlētājus uz to spēļu spēlēšanu, kuras piedāvā valsts monopola stāvoklī esošais uzņēmums?</w:t>
      </w:r>
    </w:p>
    <w:p w14:paraId="3D4A8C2C" w14:textId="652A66F9" w:rsidR="00D91BD4" w:rsidRPr="00D91BD4" w:rsidRDefault="00D91BD4" w:rsidP="00EC3193">
      <w:pPr>
        <w:spacing w:line="276" w:lineRule="auto"/>
        <w:ind w:firstLine="567"/>
        <w:jc w:val="both"/>
      </w:pPr>
      <w:r w:rsidRPr="00D91BD4">
        <w:lastRenderedPageBreak/>
        <w:t>10</w:t>
      </w:r>
      <w:r>
        <w:t>) </w:t>
      </w:r>
      <w:r w:rsidRPr="00D91BD4">
        <w:t>Vai dalībvalsts var atsaukties uz tādiem vispārējo interešu mērķiem kā patērētāju veselības aizsardzība un spēļu iespēju samazināšana nolūkā samazināt spēlētāju atkarību no azartspēlēm, ja paralēli notiekošā valsts monopola organizēto veiksmes spēļu biznesa izvēršanas politika tiek pamatota vienīgi ar vēlmi palielināt valsts budžeta ienākumus?</w:t>
      </w:r>
    </w:p>
    <w:p w14:paraId="6FF0511E" w14:textId="4417179E" w:rsidR="00D91BD4" w:rsidRPr="00D91BD4" w:rsidRDefault="00D91BD4" w:rsidP="00EC3193">
      <w:pPr>
        <w:spacing w:line="276" w:lineRule="auto"/>
        <w:ind w:firstLine="567"/>
        <w:jc w:val="both"/>
      </w:pPr>
      <w:r w:rsidRPr="00D91BD4">
        <w:t>11</w:t>
      </w:r>
      <w:r>
        <w:t>) </w:t>
      </w:r>
      <w:r w:rsidRPr="00D91BD4">
        <w:t xml:space="preserve">Vai tāds nacionālo tiesību regulējums un valsts īstenoto darbību kopums, kāds ir konstatējams konkrētajā lietā, var tikt uzskatīts par atbilstošu LESD 102. un </w:t>
      </w:r>
      <w:proofErr w:type="gramStart"/>
      <w:r w:rsidRPr="00D91BD4">
        <w:t>106.pantā</w:t>
      </w:r>
      <w:proofErr w:type="gramEnd"/>
      <w:r w:rsidRPr="00D91BD4">
        <w:t xml:space="preserve"> noteiktajiem valsts pienākumiem neradīt apstākļus, kas varētu ietekmēt citu uzņēmumu spēju veikt attiecīgo saimniecisko darbību tajā pašā teritorijā būtībā līdzvērtīgos apstākļos, ja ierobežojuma faktiskās sekas ir vien pakalpojumu saņēmēju pārdale atsevišķu tirgus dalībnieku starpā?</w:t>
      </w:r>
    </w:p>
    <w:p w14:paraId="11F3E26C" w14:textId="47F71F5F" w:rsidR="00DA2C59" w:rsidRDefault="00D91BD4" w:rsidP="00EC3193">
      <w:pPr>
        <w:spacing w:line="276" w:lineRule="auto"/>
        <w:ind w:firstLine="567"/>
        <w:jc w:val="both"/>
      </w:pPr>
      <w:r w:rsidRPr="00D91BD4">
        <w:t>12</w:t>
      </w:r>
      <w:r>
        <w:t>) </w:t>
      </w:r>
      <w:r w:rsidRPr="00D91BD4">
        <w:t xml:space="preserve">Vai tāds nacionālo tiesību regulējums, kāds ir konstatējams konkrētajā lietā, ir uzskatāms par skaidru un paredzamu </w:t>
      </w:r>
      <w:r w:rsidR="00EF4D3F">
        <w:t>l</w:t>
      </w:r>
      <w:r w:rsidRPr="00EF4D3F">
        <w:t>ēmuma</w:t>
      </w:r>
      <w:r w:rsidR="00753894" w:rsidRPr="00EF4D3F">
        <w:t xml:space="preserve"> </w:t>
      </w:r>
      <w:r w:rsidR="00EF4D3F">
        <w:t xml:space="preserve">par atļaujas atcelšanu </w:t>
      </w:r>
      <w:r w:rsidRPr="00D91BD4">
        <w:t xml:space="preserve">pieņemšanas brīdī atbilstoši Hartas </w:t>
      </w:r>
      <w:proofErr w:type="gramStart"/>
      <w:r w:rsidRPr="00D91BD4">
        <w:t>52.panta</w:t>
      </w:r>
      <w:proofErr w:type="gramEnd"/>
      <w:r w:rsidRPr="00D91BD4">
        <w:t xml:space="preserve"> 1.punktā minētajam priekšnoteikumam, kas paredz ierobežojumu noteikšanu </w:t>
      </w:r>
      <w:r w:rsidR="00753894">
        <w:t>„</w:t>
      </w:r>
      <w:r w:rsidRPr="00D91BD4">
        <w:t xml:space="preserve">tiesību aktos”, ievērojot valsts īstenoto darbību kopumu pēc </w:t>
      </w:r>
      <w:r w:rsidR="00753894" w:rsidRPr="00EF4D3F">
        <w:t>l</w:t>
      </w:r>
      <w:r w:rsidRPr="00EF4D3F">
        <w:t>ēmuma</w:t>
      </w:r>
      <w:r w:rsidRPr="00D91BD4">
        <w:t xml:space="preserve"> pieņemšanas?</w:t>
      </w:r>
    </w:p>
    <w:p w14:paraId="75154F0B" w14:textId="77777777" w:rsidR="00F84032" w:rsidRDefault="00F84032" w:rsidP="00EC3193">
      <w:pPr>
        <w:spacing w:line="276" w:lineRule="auto"/>
        <w:ind w:firstLine="567"/>
        <w:jc w:val="both"/>
      </w:pPr>
    </w:p>
    <w:bookmarkEnd w:id="3"/>
    <w:p w14:paraId="12AC32C0" w14:textId="01F192CA" w:rsidR="008A50C9" w:rsidRDefault="008A50C9" w:rsidP="00EC3193">
      <w:pPr>
        <w:spacing w:line="276" w:lineRule="auto"/>
        <w:ind w:firstLine="567"/>
        <w:jc w:val="both"/>
      </w:pPr>
      <w:r>
        <w:t>[4] </w:t>
      </w:r>
      <w:r w:rsidR="00FC7406">
        <w:t>Rīgas dome</w:t>
      </w:r>
      <w:r>
        <w:t xml:space="preserve"> iesnie</w:t>
      </w:r>
      <w:r w:rsidR="00FC7406">
        <w:t>gusi</w:t>
      </w:r>
      <w:r>
        <w:t xml:space="preserve"> p</w:t>
      </w:r>
      <w:r w:rsidR="00FE32C1">
        <w:t>a</w:t>
      </w:r>
      <w:r>
        <w:t xml:space="preserve">skaidrojumus par kasācijas sūdzību, norādot, ka </w:t>
      </w:r>
      <w:r w:rsidR="00A82066">
        <w:t>tā</w:t>
      </w:r>
      <w:r w:rsidR="00C42C31">
        <w:t xml:space="preserve"> ir noraidāma.</w:t>
      </w:r>
    </w:p>
    <w:p w14:paraId="3DE02E20" w14:textId="77777777" w:rsidR="005729D8" w:rsidRDefault="005729D8" w:rsidP="00EC3193">
      <w:pPr>
        <w:spacing w:line="276" w:lineRule="auto"/>
        <w:jc w:val="both"/>
      </w:pPr>
    </w:p>
    <w:p w14:paraId="7A438090" w14:textId="22D5AE48" w:rsidR="008A50C9" w:rsidRDefault="008A50C9" w:rsidP="00EC3193">
      <w:pPr>
        <w:spacing w:line="276" w:lineRule="auto"/>
        <w:jc w:val="center"/>
        <w:rPr>
          <w:b/>
        </w:rPr>
      </w:pPr>
      <w:r>
        <w:rPr>
          <w:b/>
        </w:rPr>
        <w:t>Motīvu daļa</w:t>
      </w:r>
    </w:p>
    <w:p w14:paraId="64260D36" w14:textId="77777777" w:rsidR="008A50C9" w:rsidRDefault="008A50C9" w:rsidP="00EC3193">
      <w:pPr>
        <w:spacing w:line="276" w:lineRule="auto"/>
        <w:ind w:firstLine="567"/>
        <w:jc w:val="center"/>
        <w:rPr>
          <w:b/>
        </w:rPr>
      </w:pPr>
    </w:p>
    <w:p w14:paraId="0FEE83F6" w14:textId="2104ED95" w:rsidR="00C06FC4" w:rsidRDefault="008A50C9" w:rsidP="00EC3193">
      <w:pPr>
        <w:pStyle w:val="c01pointnumerotealtn"/>
        <w:spacing w:before="0" w:beforeAutospacing="0" w:after="0" w:afterAutospacing="0" w:line="276" w:lineRule="auto"/>
        <w:ind w:firstLine="567"/>
        <w:jc w:val="both"/>
        <w:rPr>
          <w:lang w:val="lv-LV"/>
        </w:rPr>
      </w:pPr>
      <w:r w:rsidRPr="004E580C">
        <w:rPr>
          <w:lang w:val="lv-LV"/>
        </w:rPr>
        <w:t>[5] </w:t>
      </w:r>
      <w:r w:rsidR="008A3163" w:rsidRPr="004E580C">
        <w:rPr>
          <w:lang w:val="lv-LV"/>
        </w:rPr>
        <w:t>L</w:t>
      </w:r>
      <w:r w:rsidR="00A974D8" w:rsidRPr="004E580C">
        <w:rPr>
          <w:lang w:val="lv-LV"/>
        </w:rPr>
        <w:t xml:space="preserve">ietā </w:t>
      </w:r>
      <w:r w:rsidR="008A3163" w:rsidRPr="004E580C">
        <w:rPr>
          <w:lang w:val="lv-LV"/>
        </w:rPr>
        <w:t xml:space="preserve">vispirms noskaidrojams, vai </w:t>
      </w:r>
      <w:r w:rsidR="00C06FC4" w:rsidRPr="004E580C">
        <w:rPr>
          <w:lang w:val="lv-LV"/>
        </w:rPr>
        <w:t xml:space="preserve">apgabaltiesa pareizi secinājusi, ka </w:t>
      </w:r>
      <w:r w:rsidR="008A3163" w:rsidRPr="004E580C">
        <w:rPr>
          <w:lang w:val="lv-LV"/>
        </w:rPr>
        <w:t>konkrētais ierobežojums</w:t>
      </w:r>
      <w:r w:rsidR="00EF4D3F">
        <w:rPr>
          <w:lang w:val="lv-LV"/>
        </w:rPr>
        <w:t xml:space="preserve"> </w:t>
      </w:r>
      <w:r w:rsidR="00602549">
        <w:rPr>
          <w:lang w:val="lv-LV"/>
        </w:rPr>
        <w:t>–</w:t>
      </w:r>
      <w:r w:rsidR="00EF4D3F">
        <w:rPr>
          <w:lang w:val="lv-LV"/>
        </w:rPr>
        <w:t xml:space="preserve"> </w:t>
      </w:r>
      <w:proofErr w:type="spellStart"/>
      <w:r w:rsidR="00EF4D3F" w:rsidRPr="00A373E2">
        <w:rPr>
          <w:color w:val="000000"/>
        </w:rPr>
        <w:t>spēļu</w:t>
      </w:r>
      <w:proofErr w:type="spellEnd"/>
      <w:r w:rsidR="00EF4D3F" w:rsidRPr="00A373E2">
        <w:rPr>
          <w:color w:val="000000"/>
        </w:rPr>
        <w:t xml:space="preserve"> </w:t>
      </w:r>
      <w:proofErr w:type="spellStart"/>
      <w:r w:rsidR="00EF4D3F" w:rsidRPr="00A373E2">
        <w:rPr>
          <w:color w:val="000000"/>
        </w:rPr>
        <w:t>zāl</w:t>
      </w:r>
      <w:r w:rsidR="007C1A4A">
        <w:rPr>
          <w:color w:val="000000"/>
        </w:rPr>
        <w:t>es</w:t>
      </w:r>
      <w:proofErr w:type="spellEnd"/>
      <w:r w:rsidR="007C1A4A">
        <w:rPr>
          <w:color w:val="000000"/>
        </w:rPr>
        <w:t xml:space="preserve"> </w:t>
      </w:r>
      <w:proofErr w:type="spellStart"/>
      <w:r w:rsidR="007C1A4A">
        <w:rPr>
          <w:color w:val="000000"/>
        </w:rPr>
        <w:t>darbības</w:t>
      </w:r>
      <w:proofErr w:type="spellEnd"/>
      <w:r w:rsidR="007C1A4A">
        <w:rPr>
          <w:color w:val="000000"/>
        </w:rPr>
        <w:t xml:space="preserve"> </w:t>
      </w:r>
      <w:proofErr w:type="spellStart"/>
      <w:r w:rsidR="007C1A4A">
        <w:rPr>
          <w:color w:val="000000"/>
        </w:rPr>
        <w:t>aizliegums</w:t>
      </w:r>
      <w:proofErr w:type="spellEnd"/>
      <w:r w:rsidR="00EF4D3F">
        <w:rPr>
          <w:color w:val="000000"/>
        </w:rPr>
        <w:t xml:space="preserve"> </w:t>
      </w:r>
      <w:proofErr w:type="spellStart"/>
      <w:r w:rsidR="00EF4D3F">
        <w:rPr>
          <w:color w:val="000000"/>
        </w:rPr>
        <w:t>konkrētās</w:t>
      </w:r>
      <w:proofErr w:type="spellEnd"/>
      <w:r w:rsidR="00EF4D3F">
        <w:rPr>
          <w:color w:val="000000"/>
        </w:rPr>
        <w:t xml:space="preserve"> </w:t>
      </w:r>
      <w:proofErr w:type="spellStart"/>
      <w:r w:rsidR="00EF4D3F" w:rsidRPr="00A373E2">
        <w:rPr>
          <w:color w:val="000000"/>
        </w:rPr>
        <w:t>vēsturiskā</w:t>
      </w:r>
      <w:proofErr w:type="spellEnd"/>
      <w:r w:rsidR="00EF4D3F" w:rsidRPr="00A373E2">
        <w:rPr>
          <w:color w:val="000000"/>
        </w:rPr>
        <w:t xml:space="preserve"> centra </w:t>
      </w:r>
      <w:proofErr w:type="spellStart"/>
      <w:r w:rsidR="00EF4D3F" w:rsidRPr="00A373E2">
        <w:rPr>
          <w:color w:val="000000"/>
        </w:rPr>
        <w:t>teritorijās</w:t>
      </w:r>
      <w:proofErr w:type="spellEnd"/>
      <w:r w:rsidR="00EF4D3F" w:rsidRPr="00A373E2">
        <w:rPr>
          <w:color w:val="000000"/>
        </w:rPr>
        <w:t xml:space="preserve">, </w:t>
      </w:r>
      <w:proofErr w:type="spellStart"/>
      <w:r w:rsidR="00EF4D3F" w:rsidRPr="00A373E2">
        <w:rPr>
          <w:color w:val="000000"/>
        </w:rPr>
        <w:t>izņemot</w:t>
      </w:r>
      <w:proofErr w:type="spellEnd"/>
      <w:r w:rsidR="00EF4D3F" w:rsidRPr="00A373E2">
        <w:rPr>
          <w:color w:val="000000"/>
        </w:rPr>
        <w:t xml:space="preserve"> </w:t>
      </w:r>
      <w:proofErr w:type="spellStart"/>
      <w:r w:rsidR="00EF4D3F" w:rsidRPr="00A373E2">
        <w:rPr>
          <w:color w:val="000000"/>
        </w:rPr>
        <w:t>četru</w:t>
      </w:r>
      <w:proofErr w:type="spellEnd"/>
      <w:r w:rsidR="00EF4D3F" w:rsidRPr="00A373E2">
        <w:rPr>
          <w:color w:val="000000"/>
        </w:rPr>
        <w:t xml:space="preserve"> un </w:t>
      </w:r>
      <w:proofErr w:type="spellStart"/>
      <w:r w:rsidR="00EF4D3F" w:rsidRPr="00A373E2">
        <w:rPr>
          <w:color w:val="000000"/>
        </w:rPr>
        <w:t>piecu</w:t>
      </w:r>
      <w:proofErr w:type="spellEnd"/>
      <w:r w:rsidR="00EF4D3F">
        <w:rPr>
          <w:color w:val="000000"/>
        </w:rPr>
        <w:t xml:space="preserve"> </w:t>
      </w:r>
      <w:proofErr w:type="spellStart"/>
      <w:r w:rsidR="00EF4D3F" w:rsidRPr="00A373E2">
        <w:rPr>
          <w:color w:val="000000"/>
        </w:rPr>
        <w:t>zvaigžņu</w:t>
      </w:r>
      <w:proofErr w:type="spellEnd"/>
      <w:r w:rsidR="00EF4D3F" w:rsidRPr="00A373E2">
        <w:rPr>
          <w:color w:val="000000"/>
        </w:rPr>
        <w:t xml:space="preserve"> </w:t>
      </w:r>
      <w:proofErr w:type="spellStart"/>
      <w:r w:rsidR="00EF4D3F" w:rsidRPr="00A373E2">
        <w:rPr>
          <w:color w:val="000000"/>
        </w:rPr>
        <w:t>viesnīcas</w:t>
      </w:r>
      <w:proofErr w:type="spellEnd"/>
      <w:r w:rsidR="00602549">
        <w:rPr>
          <w:color w:val="000000"/>
        </w:rPr>
        <w:t>,</w:t>
      </w:r>
      <w:r w:rsidR="00EF4D3F">
        <w:rPr>
          <w:color w:val="000000"/>
        </w:rPr>
        <w:t xml:space="preserve"> </w:t>
      </w:r>
      <w:r w:rsidR="00602549">
        <w:rPr>
          <w:color w:val="000000"/>
        </w:rPr>
        <w:t>–</w:t>
      </w:r>
      <w:r w:rsidR="008A3163" w:rsidRPr="004E580C">
        <w:rPr>
          <w:lang w:val="lv-LV"/>
        </w:rPr>
        <w:t xml:space="preserve"> </w:t>
      </w:r>
      <w:r w:rsidR="00C06FC4" w:rsidRPr="004E580C">
        <w:rPr>
          <w:lang w:val="lv-LV"/>
        </w:rPr>
        <w:t>ne</w:t>
      </w:r>
      <w:r w:rsidR="008A3163" w:rsidRPr="004E580C">
        <w:rPr>
          <w:lang w:val="lv-LV"/>
        </w:rPr>
        <w:t>ietekm</w:t>
      </w:r>
      <w:r w:rsidR="00C65F86" w:rsidRPr="004E580C">
        <w:rPr>
          <w:lang w:val="lv-LV"/>
        </w:rPr>
        <w:t>ē</w:t>
      </w:r>
      <w:r w:rsidR="008A3163" w:rsidRPr="004E580C">
        <w:rPr>
          <w:lang w:val="lv-LV"/>
        </w:rPr>
        <w:t xml:space="preserve"> tirdzniecību starp dalībvalstīm</w:t>
      </w:r>
      <w:r w:rsidR="00C06FC4" w:rsidRPr="00950543">
        <w:rPr>
          <w:lang w:val="lv-LV"/>
        </w:rPr>
        <w:t xml:space="preserve">. </w:t>
      </w:r>
    </w:p>
    <w:p w14:paraId="6EF7CE8F" w14:textId="776581C1" w:rsidR="00C06FC4" w:rsidRDefault="00C06FC4" w:rsidP="00EC3193">
      <w:pPr>
        <w:pStyle w:val="c01pointnumerotealtn"/>
        <w:spacing w:before="0" w:beforeAutospacing="0" w:after="0" w:afterAutospacing="0" w:line="276" w:lineRule="auto"/>
        <w:ind w:firstLine="567"/>
        <w:jc w:val="both"/>
        <w:rPr>
          <w:lang w:val="lv-LV"/>
        </w:rPr>
      </w:pPr>
      <w:r>
        <w:rPr>
          <w:lang w:val="lv-LV"/>
        </w:rPr>
        <w:t xml:space="preserve">No Eiropas Savienības Tiesas līdzšinējās judikatūras secināms, ka </w:t>
      </w:r>
      <w:r w:rsidRPr="00287752">
        <w:rPr>
          <w:lang w:val="lv-LV"/>
        </w:rPr>
        <w:t xml:space="preserve">LESD </w:t>
      </w:r>
      <w:proofErr w:type="gramStart"/>
      <w:r w:rsidRPr="00287752">
        <w:rPr>
          <w:lang w:val="lv-LV"/>
        </w:rPr>
        <w:t>56.pants</w:t>
      </w:r>
      <w:proofErr w:type="gramEnd"/>
      <w:r w:rsidR="00596CF1">
        <w:rPr>
          <w:lang w:val="lv-LV"/>
        </w:rPr>
        <w:t xml:space="preserve">, saskaņā ar kuru </w:t>
      </w:r>
      <w:r w:rsidR="00596CF1" w:rsidRPr="00596CF1">
        <w:rPr>
          <w:lang w:val="lv-LV"/>
        </w:rPr>
        <w:t>Savienībā aizliedz pakalpojumu sniegšanas brīvības ierobežojumus to dalībvalstu pilsoņiem, kas veic uzņēmējdarbību kādā dalībvalstī, bet sniedz pakalpojumus citas dalībvalsts personai</w:t>
      </w:r>
      <w:r w:rsidR="00F70D0D">
        <w:rPr>
          <w:lang w:val="lv-LV"/>
        </w:rPr>
        <w:t>,</w:t>
      </w:r>
      <w:r>
        <w:rPr>
          <w:lang w:val="lv-LV"/>
        </w:rPr>
        <w:t xml:space="preserve"> </w:t>
      </w:r>
      <w:r w:rsidRPr="00287752">
        <w:rPr>
          <w:lang w:val="lv-LV"/>
        </w:rPr>
        <w:t xml:space="preserve">ir jāinterpretē tādējādi, ka saistībā ar spēļu automātu ekspluatāciju dalībvalstī pārrobežu situācijas </w:t>
      </w:r>
      <w:r w:rsidR="00D2178D">
        <w:rPr>
          <w:lang w:val="lv-LV"/>
        </w:rPr>
        <w:t>esība</w:t>
      </w:r>
      <w:r w:rsidRPr="00287752">
        <w:rPr>
          <w:lang w:val="lv-LV"/>
        </w:rPr>
        <w:t xml:space="preserve"> nav prezumējama </w:t>
      </w:r>
      <w:r w:rsidRPr="00950543">
        <w:rPr>
          <w:lang w:val="lv-LV"/>
        </w:rPr>
        <w:t xml:space="preserve">tāpēc vien, ka šādi piedāvāto azartspēļu iespēju izmantošanā varētu būt ieinteresēti arī </w:t>
      </w:r>
      <w:r w:rsidR="00D2178D">
        <w:rPr>
          <w:lang w:val="lv-LV"/>
        </w:rPr>
        <w:t xml:space="preserve">Eiropas </w:t>
      </w:r>
      <w:r w:rsidRPr="00950543">
        <w:rPr>
          <w:lang w:val="lv-LV"/>
        </w:rPr>
        <w:t>Savienības pilsoņi no citām dalībvalstīm (</w:t>
      </w:r>
      <w:r w:rsidR="00D2178D" w:rsidRPr="00D2178D">
        <w:rPr>
          <w:i/>
          <w:iCs/>
          <w:lang w:val="lv-LV"/>
        </w:rPr>
        <w:t>Eiropas Savienības Tiesas</w:t>
      </w:r>
      <w:r w:rsidRPr="006B13F1">
        <w:rPr>
          <w:i/>
          <w:iCs/>
          <w:lang w:val="lv-LV"/>
        </w:rPr>
        <w:t xml:space="preserve"> 2019.gada 4.jūnija rīkojums lietā „</w:t>
      </w:r>
      <w:proofErr w:type="spellStart"/>
      <w:r w:rsidRPr="006B13F1">
        <w:rPr>
          <w:i/>
          <w:iCs/>
          <w:lang w:val="lv-LV"/>
        </w:rPr>
        <w:t>Pólus</w:t>
      </w:r>
      <w:proofErr w:type="spellEnd"/>
      <w:r w:rsidRPr="006B13F1">
        <w:rPr>
          <w:i/>
          <w:iCs/>
          <w:lang w:val="lv-LV"/>
        </w:rPr>
        <w:t xml:space="preserve"> Vegas”, C-665/18, ECLI:EU:C:2019:477, rezolutīvā daļa</w:t>
      </w:r>
      <w:r w:rsidRPr="00287752">
        <w:rPr>
          <w:lang w:val="lv-LV"/>
        </w:rPr>
        <w:t>).</w:t>
      </w:r>
      <w:r>
        <w:rPr>
          <w:lang w:val="lv-LV"/>
        </w:rPr>
        <w:t xml:space="preserve"> </w:t>
      </w:r>
    </w:p>
    <w:p w14:paraId="4024A4E2" w14:textId="2A8A159B" w:rsidR="00CE34F1" w:rsidRDefault="00CE34F1" w:rsidP="00EC3193">
      <w:pPr>
        <w:pStyle w:val="c01pointnumerotealtn"/>
        <w:spacing w:before="0" w:beforeAutospacing="0" w:after="0" w:afterAutospacing="0" w:line="276" w:lineRule="auto"/>
        <w:ind w:firstLine="567"/>
        <w:jc w:val="both"/>
        <w:rPr>
          <w:lang w:val="lv-LV"/>
        </w:rPr>
      </w:pPr>
      <w:r>
        <w:rPr>
          <w:lang w:val="lv-LV"/>
        </w:rPr>
        <w:t>J</w:t>
      </w:r>
      <w:r w:rsidR="005C2E80">
        <w:rPr>
          <w:lang w:val="lv-LV"/>
        </w:rPr>
        <w:t xml:space="preserve">āņem vērā, ka Azartspēļu un izložu likuma </w:t>
      </w:r>
      <w:proofErr w:type="gramStart"/>
      <w:r w:rsidR="005C2E80">
        <w:rPr>
          <w:lang w:val="lv-LV"/>
        </w:rPr>
        <w:t>8.pants</w:t>
      </w:r>
      <w:proofErr w:type="gramEnd"/>
      <w:r w:rsidR="005C2E80">
        <w:rPr>
          <w:lang w:val="lv-LV"/>
        </w:rPr>
        <w:t xml:space="preserve"> </w:t>
      </w:r>
      <w:r w:rsidR="00C06FC4" w:rsidRPr="00950543">
        <w:rPr>
          <w:lang w:val="lv-LV"/>
        </w:rPr>
        <w:t xml:space="preserve">noteic, ka azartspēļu organizēšanas licenci var saņemt tikai Latvijas Republikā reģistrēta kapitālsabiedrība. </w:t>
      </w:r>
      <w:r w:rsidR="005C2E80">
        <w:rPr>
          <w:lang w:val="lv-LV"/>
        </w:rPr>
        <w:t xml:space="preserve">Tas, ka šāds regulējums, ar kuru </w:t>
      </w:r>
      <w:r w:rsidR="00C06FC4" w:rsidRPr="00950543">
        <w:rPr>
          <w:lang w:val="lv-LV"/>
        </w:rPr>
        <w:t>noteikt</w:t>
      </w:r>
      <w:r w:rsidR="005C2E80">
        <w:rPr>
          <w:lang w:val="lv-LV"/>
        </w:rPr>
        <w:t>s</w:t>
      </w:r>
      <w:r w:rsidR="00C06FC4" w:rsidRPr="00950543">
        <w:rPr>
          <w:lang w:val="lv-LV"/>
        </w:rPr>
        <w:t xml:space="preserve"> ierobežojums pakalpojumu sniegšanai azartspēļu jomā</w:t>
      </w:r>
      <w:r w:rsidR="005C2E80">
        <w:rPr>
          <w:lang w:val="lv-LV"/>
        </w:rPr>
        <w:t>, ir pieļaujams</w:t>
      </w:r>
      <w:r>
        <w:rPr>
          <w:lang w:val="lv-LV"/>
        </w:rPr>
        <w:t>,</w:t>
      </w:r>
      <w:r w:rsidR="005C2E80">
        <w:rPr>
          <w:lang w:val="lv-LV"/>
        </w:rPr>
        <w:t xml:space="preserve"> izriet no apgabaltiesas pieminētā </w:t>
      </w:r>
      <w:r>
        <w:rPr>
          <w:lang w:val="lv-LV"/>
        </w:rPr>
        <w:t xml:space="preserve">Eiropas Savienības Tiesas </w:t>
      </w:r>
      <w:proofErr w:type="gramStart"/>
      <w:r w:rsidR="00C06FC4" w:rsidRPr="00950543">
        <w:rPr>
          <w:lang w:val="lv-LV"/>
        </w:rPr>
        <w:t>2018.gada</w:t>
      </w:r>
      <w:proofErr w:type="gramEnd"/>
      <w:r w:rsidR="00C06FC4" w:rsidRPr="00950543">
        <w:rPr>
          <w:lang w:val="lv-LV"/>
        </w:rPr>
        <w:t xml:space="preserve"> 28.februāra spriedum</w:t>
      </w:r>
      <w:r w:rsidR="003C1106">
        <w:rPr>
          <w:lang w:val="lv-LV"/>
        </w:rPr>
        <w:t>a</w:t>
      </w:r>
      <w:r w:rsidR="00C06FC4" w:rsidRPr="00950543">
        <w:rPr>
          <w:lang w:val="lv-LV"/>
        </w:rPr>
        <w:t xml:space="preserve"> lietā </w:t>
      </w:r>
      <w:r w:rsidR="003F0875" w:rsidRPr="003C1106">
        <w:rPr>
          <w:lang w:val="lv-LV"/>
        </w:rPr>
        <w:t>„</w:t>
      </w:r>
      <w:proofErr w:type="spellStart"/>
      <w:r w:rsidR="003F0875" w:rsidRPr="00AC4B81">
        <w:rPr>
          <w:iCs/>
          <w:lang w:val="lv-LV"/>
        </w:rPr>
        <w:t>Sporting</w:t>
      </w:r>
      <w:proofErr w:type="spellEnd"/>
      <w:r w:rsidR="003F0875" w:rsidRPr="00AC4B81">
        <w:rPr>
          <w:iCs/>
          <w:lang w:val="lv-LV"/>
        </w:rPr>
        <w:t xml:space="preserve"> </w:t>
      </w:r>
      <w:proofErr w:type="spellStart"/>
      <w:r w:rsidR="003F0875" w:rsidRPr="00AC4B81">
        <w:rPr>
          <w:iCs/>
          <w:lang w:val="lv-LV"/>
        </w:rPr>
        <w:t>Odds</w:t>
      </w:r>
      <w:proofErr w:type="spellEnd"/>
      <w:r w:rsidR="003F0875" w:rsidRPr="003C1106">
        <w:rPr>
          <w:lang w:val="lv-LV"/>
        </w:rPr>
        <w:t>”,</w:t>
      </w:r>
      <w:r w:rsidR="003F0875">
        <w:rPr>
          <w:lang w:val="lv-LV"/>
        </w:rPr>
        <w:t xml:space="preserve"> </w:t>
      </w:r>
      <w:r w:rsidRPr="00734669">
        <w:rPr>
          <w:lang w:val="lv-LV"/>
        </w:rPr>
        <w:t>C-3/17</w:t>
      </w:r>
      <w:r w:rsidR="003C1106">
        <w:rPr>
          <w:lang w:val="lv-LV"/>
        </w:rPr>
        <w:t xml:space="preserve">, </w:t>
      </w:r>
      <w:r w:rsidR="00C06FC4" w:rsidRPr="00734669">
        <w:rPr>
          <w:lang w:val="lv-LV"/>
        </w:rPr>
        <w:t>ECLI:EU:C:2018:130.</w:t>
      </w:r>
      <w:r>
        <w:rPr>
          <w:lang w:val="lv-LV"/>
        </w:rPr>
        <w:t xml:space="preserve"> Tādējādi šajā</w:t>
      </w:r>
      <w:r w:rsidR="00C06FC4" w:rsidRPr="00950543">
        <w:rPr>
          <w:lang w:val="lv-LV"/>
        </w:rPr>
        <w:t xml:space="preserve"> lietā LESD </w:t>
      </w:r>
      <w:proofErr w:type="gramStart"/>
      <w:r w:rsidR="00C06FC4" w:rsidRPr="00950543">
        <w:rPr>
          <w:lang w:val="lv-LV"/>
        </w:rPr>
        <w:t>56.pants</w:t>
      </w:r>
      <w:proofErr w:type="gramEnd"/>
      <w:r w:rsidR="00C06FC4">
        <w:rPr>
          <w:lang w:val="lv-LV"/>
        </w:rPr>
        <w:t xml:space="preserve"> </w:t>
      </w:r>
      <w:r w:rsidR="00C06FC4" w:rsidRPr="00950543">
        <w:rPr>
          <w:lang w:val="lv-LV"/>
        </w:rPr>
        <w:t xml:space="preserve">nevar tikt </w:t>
      </w:r>
      <w:r w:rsidR="00F70D0D">
        <w:rPr>
          <w:lang w:val="lv-LV"/>
        </w:rPr>
        <w:t>piemērots,</w:t>
      </w:r>
      <w:r w:rsidR="00C06FC4" w:rsidRPr="00950543">
        <w:rPr>
          <w:lang w:val="lv-LV"/>
        </w:rPr>
        <w:t xml:space="preserve"> jo nenotiek un teorētiski nav iespējama pārrobežu pakalpojuma sniegšana.</w:t>
      </w:r>
      <w:r w:rsidR="00C06FC4">
        <w:rPr>
          <w:lang w:val="lv-LV"/>
        </w:rPr>
        <w:t xml:space="preserve"> </w:t>
      </w:r>
    </w:p>
    <w:p w14:paraId="23426D98" w14:textId="291CD79C" w:rsidR="00CE34F1" w:rsidRDefault="00CE34F1" w:rsidP="00EC3193">
      <w:pPr>
        <w:pStyle w:val="c01pointnumerotealtn"/>
        <w:spacing w:before="0" w:beforeAutospacing="0" w:after="0" w:afterAutospacing="0" w:line="276" w:lineRule="auto"/>
        <w:ind w:firstLine="567"/>
        <w:jc w:val="both"/>
        <w:rPr>
          <w:lang w:val="lv-LV"/>
        </w:rPr>
      </w:pPr>
      <w:r>
        <w:rPr>
          <w:lang w:val="lv-LV"/>
        </w:rPr>
        <w:t xml:space="preserve">Senāts </w:t>
      </w:r>
      <w:r w:rsidR="00F74853">
        <w:rPr>
          <w:lang w:val="lv-LV"/>
        </w:rPr>
        <w:t>konstatē</w:t>
      </w:r>
      <w:r>
        <w:rPr>
          <w:lang w:val="lv-LV"/>
        </w:rPr>
        <w:t>, ka Eiropas Savienības Tiesā izskatīšanā esoš</w:t>
      </w:r>
      <w:r w:rsidR="003C1106">
        <w:rPr>
          <w:lang w:val="lv-LV"/>
        </w:rPr>
        <w:t>aj</w:t>
      </w:r>
      <w:r>
        <w:rPr>
          <w:lang w:val="lv-LV"/>
        </w:rPr>
        <w:t xml:space="preserve">ā lietā </w:t>
      </w:r>
      <w:r w:rsidR="005A2660">
        <w:rPr>
          <w:lang w:val="lv-LV"/>
        </w:rPr>
        <w:t>„BONVER WIN”</w:t>
      </w:r>
      <w:r>
        <w:rPr>
          <w:lang w:val="lv-LV"/>
        </w:rPr>
        <w:t xml:space="preserve"> ģenerāladvokāts ir paudis viedokli, ka arī uz sp</w:t>
      </w:r>
      <w:r w:rsidR="00275601">
        <w:rPr>
          <w:lang w:val="lv-LV"/>
        </w:rPr>
        <w:t>ē</w:t>
      </w:r>
      <w:r>
        <w:rPr>
          <w:lang w:val="lv-LV"/>
        </w:rPr>
        <w:t>ļu zāļu pakalpojumu saņēmējiem</w:t>
      </w:r>
      <w:r w:rsidRPr="005C2E80">
        <w:rPr>
          <w:lang w:val="lv-LV"/>
        </w:rPr>
        <w:t xml:space="preserve"> </w:t>
      </w:r>
      <w:r>
        <w:rPr>
          <w:lang w:val="lv-LV"/>
        </w:rPr>
        <w:t xml:space="preserve">var attiecināt Eiropas Savienības Tiesas </w:t>
      </w:r>
      <w:proofErr w:type="gramStart"/>
      <w:r>
        <w:rPr>
          <w:lang w:val="lv-LV"/>
        </w:rPr>
        <w:t>2020.gada</w:t>
      </w:r>
      <w:proofErr w:type="gramEnd"/>
      <w:r>
        <w:rPr>
          <w:lang w:val="lv-LV"/>
        </w:rPr>
        <w:t xml:space="preserve"> 11.jūnija spriedumā </w:t>
      </w:r>
      <w:r w:rsidR="005A2660">
        <w:rPr>
          <w:lang w:val="lv-LV"/>
        </w:rPr>
        <w:t xml:space="preserve">lietā </w:t>
      </w:r>
      <w:r w:rsidR="005A2660" w:rsidRPr="005A2660">
        <w:rPr>
          <w:lang w:val="lv-LV"/>
        </w:rPr>
        <w:t xml:space="preserve">„TÜV </w:t>
      </w:r>
      <w:proofErr w:type="spellStart"/>
      <w:r w:rsidR="005A2660" w:rsidRPr="005A2660">
        <w:rPr>
          <w:lang w:val="lv-LV"/>
        </w:rPr>
        <w:t>Rheinland</w:t>
      </w:r>
      <w:proofErr w:type="spellEnd"/>
      <w:r w:rsidR="005A2660" w:rsidRPr="005A2660">
        <w:rPr>
          <w:lang w:val="lv-LV"/>
        </w:rPr>
        <w:t xml:space="preserve"> LGA </w:t>
      </w:r>
      <w:proofErr w:type="spellStart"/>
      <w:r w:rsidR="005A2660" w:rsidRPr="005A2660">
        <w:rPr>
          <w:lang w:val="lv-LV"/>
        </w:rPr>
        <w:t>Products</w:t>
      </w:r>
      <w:proofErr w:type="spellEnd"/>
      <w:r w:rsidR="005A2660" w:rsidRPr="005A2660">
        <w:rPr>
          <w:lang w:val="lv-LV"/>
        </w:rPr>
        <w:t xml:space="preserve"> un </w:t>
      </w:r>
      <w:proofErr w:type="spellStart"/>
      <w:r w:rsidR="005A2660" w:rsidRPr="005A2660">
        <w:rPr>
          <w:lang w:val="lv-LV"/>
        </w:rPr>
        <w:t>Allianz</w:t>
      </w:r>
      <w:proofErr w:type="spellEnd"/>
      <w:r w:rsidR="005A2660" w:rsidRPr="005A2660">
        <w:rPr>
          <w:lang w:val="lv-LV"/>
        </w:rPr>
        <w:t xml:space="preserve"> IARD”, C-581/18</w:t>
      </w:r>
      <w:r w:rsidR="003C1106">
        <w:rPr>
          <w:lang w:val="lv-LV"/>
        </w:rPr>
        <w:t xml:space="preserve">, </w:t>
      </w:r>
      <w:r w:rsidR="005A2660" w:rsidRPr="005A2660">
        <w:rPr>
          <w:lang w:val="lv-LV"/>
        </w:rPr>
        <w:t>ECLI:EU:C:2020:453</w:t>
      </w:r>
      <w:r w:rsidR="003C1106">
        <w:rPr>
          <w:lang w:val="lv-LV"/>
        </w:rPr>
        <w:t>,</w:t>
      </w:r>
      <w:r w:rsidR="005A2660">
        <w:rPr>
          <w:i/>
          <w:iCs/>
          <w:lang w:val="lv-LV"/>
        </w:rPr>
        <w:t xml:space="preserve"> </w:t>
      </w:r>
      <w:r>
        <w:rPr>
          <w:lang w:val="lv-LV"/>
        </w:rPr>
        <w:t xml:space="preserve">izteiktās atziņas, ka </w:t>
      </w:r>
      <w:r w:rsidRPr="009646FF">
        <w:rPr>
          <w:lang w:val="lv-LV"/>
        </w:rPr>
        <w:t>LESD 56.pantā paredzēto pakalpojumu sniegšanas brīvība ietver arī saņēmēju brīvību doties uz citu dalībvalsti, lai tur saņemtu kādu pakalpojumu</w:t>
      </w:r>
      <w:r>
        <w:rPr>
          <w:lang w:val="lv-LV"/>
        </w:rPr>
        <w:t xml:space="preserve"> (</w:t>
      </w:r>
      <w:r w:rsidR="005A2660" w:rsidRPr="005A2660">
        <w:rPr>
          <w:i/>
          <w:iCs/>
          <w:lang w:val="lv-LV"/>
        </w:rPr>
        <w:t xml:space="preserve">Eiropas Savienības Tiesas ģenerāladvokāta </w:t>
      </w:r>
      <w:proofErr w:type="spellStart"/>
      <w:r w:rsidR="005A2660" w:rsidRPr="005A2660">
        <w:rPr>
          <w:i/>
          <w:iCs/>
          <w:lang w:val="lv-LV"/>
        </w:rPr>
        <w:t>Maceja</w:t>
      </w:r>
      <w:proofErr w:type="spellEnd"/>
      <w:r w:rsidR="005A2660" w:rsidRPr="005A2660">
        <w:rPr>
          <w:i/>
          <w:iCs/>
          <w:lang w:val="lv-LV"/>
        </w:rPr>
        <w:t xml:space="preserve"> </w:t>
      </w:r>
      <w:proofErr w:type="spellStart"/>
      <w:r w:rsidR="005A2660" w:rsidRPr="005A2660">
        <w:rPr>
          <w:i/>
          <w:iCs/>
          <w:lang w:val="lv-LV"/>
        </w:rPr>
        <w:t>Spunara</w:t>
      </w:r>
      <w:proofErr w:type="spellEnd"/>
      <w:r w:rsidR="005A2660" w:rsidRPr="005A2660">
        <w:rPr>
          <w:i/>
          <w:iCs/>
          <w:lang w:val="lv-LV"/>
        </w:rPr>
        <w:t xml:space="preserve"> [</w:t>
      </w:r>
      <w:proofErr w:type="spellStart"/>
      <w:r w:rsidR="005A2660" w:rsidRPr="005A2660">
        <w:rPr>
          <w:i/>
          <w:iCs/>
          <w:lang w:val="lv-LV"/>
        </w:rPr>
        <w:t>Maciej</w:t>
      </w:r>
      <w:proofErr w:type="spellEnd"/>
      <w:r w:rsidR="005A2660" w:rsidRPr="005A2660">
        <w:rPr>
          <w:i/>
          <w:iCs/>
          <w:lang w:val="lv-LV"/>
        </w:rPr>
        <w:t xml:space="preserve"> </w:t>
      </w:r>
      <w:proofErr w:type="spellStart"/>
      <w:r w:rsidR="005A2660" w:rsidRPr="005A2660">
        <w:rPr>
          <w:i/>
          <w:iCs/>
          <w:lang w:val="lv-LV"/>
        </w:rPr>
        <w:t>Szpunar</w:t>
      </w:r>
      <w:proofErr w:type="spellEnd"/>
      <w:r w:rsidR="005A2660" w:rsidRPr="005A2660">
        <w:rPr>
          <w:i/>
          <w:iCs/>
          <w:lang w:val="lv-LV"/>
        </w:rPr>
        <w:t xml:space="preserve">] secinājumu, kas sniegti 2020.gada 3.septembrī lietā „BONVER </w:t>
      </w:r>
      <w:r w:rsidR="005A2660" w:rsidRPr="005A2660">
        <w:rPr>
          <w:i/>
          <w:iCs/>
          <w:lang w:val="lv-LV"/>
        </w:rPr>
        <w:lastRenderedPageBreak/>
        <w:t xml:space="preserve">WIN”, C-311/19, </w:t>
      </w:r>
      <w:r w:rsidR="00F74853" w:rsidRPr="005A2660">
        <w:rPr>
          <w:i/>
          <w:iCs/>
          <w:lang w:val="lv-LV"/>
        </w:rPr>
        <w:t>ECLI:EU:C:2020:640</w:t>
      </w:r>
      <w:r w:rsidR="005A2660" w:rsidRPr="005A2660">
        <w:rPr>
          <w:i/>
          <w:iCs/>
          <w:lang w:val="lv-LV"/>
        </w:rPr>
        <w:t>, 48.</w:t>
      </w:r>
      <w:r w:rsidR="00A412AB">
        <w:rPr>
          <w:i/>
          <w:iCs/>
          <w:lang w:val="lv-LV"/>
        </w:rPr>
        <w:t>–</w:t>
      </w:r>
      <w:r w:rsidR="005A2660" w:rsidRPr="005A2660">
        <w:rPr>
          <w:i/>
          <w:iCs/>
          <w:lang w:val="lv-LV"/>
        </w:rPr>
        <w:t>54.punkt</w:t>
      </w:r>
      <w:r w:rsidR="000018A0">
        <w:rPr>
          <w:i/>
          <w:iCs/>
          <w:lang w:val="lv-LV"/>
        </w:rPr>
        <w:t>s</w:t>
      </w:r>
      <w:r w:rsidR="005A2660">
        <w:rPr>
          <w:lang w:val="lv-LV"/>
        </w:rPr>
        <w:t>)</w:t>
      </w:r>
      <w:r>
        <w:rPr>
          <w:lang w:val="lv-LV"/>
        </w:rPr>
        <w:t>. Ja šād</w:t>
      </w:r>
      <w:r w:rsidR="008E2ED6">
        <w:rPr>
          <w:lang w:val="lv-LV"/>
        </w:rPr>
        <w:t>u</w:t>
      </w:r>
      <w:r>
        <w:rPr>
          <w:lang w:val="lv-LV"/>
        </w:rPr>
        <w:t xml:space="preserve"> pieeju apstiprinās arī Eiropas Savienības Tiesa, iespējams, LESD 56.pants varētu tikt piemērots arī </w:t>
      </w:r>
      <w:r w:rsidR="00606B05">
        <w:rPr>
          <w:lang w:val="lv-LV"/>
        </w:rPr>
        <w:t>šādās lietās</w:t>
      </w:r>
      <w:r>
        <w:rPr>
          <w:lang w:val="lv-LV"/>
        </w:rPr>
        <w:t>.</w:t>
      </w:r>
    </w:p>
    <w:p w14:paraId="0D0B554F" w14:textId="528851FD" w:rsidR="00606B05" w:rsidRDefault="00606B05" w:rsidP="00EC3193">
      <w:pPr>
        <w:pStyle w:val="c01pointnumerotealtn"/>
        <w:spacing w:before="0" w:beforeAutospacing="0" w:after="0" w:afterAutospacing="0" w:line="276" w:lineRule="auto"/>
        <w:ind w:firstLine="567"/>
        <w:jc w:val="both"/>
        <w:rPr>
          <w:lang w:val="lv-LV"/>
        </w:rPr>
      </w:pPr>
      <w:r>
        <w:rPr>
          <w:lang w:val="lv-LV"/>
        </w:rPr>
        <w:t xml:space="preserve">Taču </w:t>
      </w:r>
      <w:r w:rsidR="001F2C6D">
        <w:rPr>
          <w:lang w:val="lv-LV"/>
        </w:rPr>
        <w:t>š</w:t>
      </w:r>
      <w:r>
        <w:rPr>
          <w:lang w:val="lv-LV"/>
        </w:rPr>
        <w:t xml:space="preserve">im apstāklim nav būtiskas nozīmes, jo </w:t>
      </w:r>
      <w:r w:rsidR="001F2C6D">
        <w:rPr>
          <w:lang w:val="lv-LV"/>
        </w:rPr>
        <w:t>pakalpojumu sniegšanas jeb komercdarbības ierobežojuma pārbaudes kritēriji Latvijā nav atšķirīgi no kritērijiem, kādus noteikusi Eiropas Savienības Tiesa.</w:t>
      </w:r>
      <w:r w:rsidR="009C461B">
        <w:rPr>
          <w:lang w:val="lv-LV"/>
        </w:rPr>
        <w:t xml:space="preserve"> </w:t>
      </w:r>
      <w:r w:rsidR="009C461B" w:rsidRPr="009C461B">
        <w:rPr>
          <w:lang w:val="lv-LV"/>
        </w:rPr>
        <w:t xml:space="preserve">Pat ja Eiropas Savienības </w:t>
      </w:r>
      <w:r w:rsidR="00223198">
        <w:rPr>
          <w:lang w:val="lv-LV"/>
        </w:rPr>
        <w:t>T</w:t>
      </w:r>
      <w:r w:rsidR="009C461B" w:rsidRPr="009C461B">
        <w:rPr>
          <w:lang w:val="lv-LV"/>
        </w:rPr>
        <w:t>iesa atzītu, ka Eiropas Savienības tiesības ir piemērojamas, ierobežojuma pārbaudes apjoms būtu tāds pats.</w:t>
      </w:r>
      <w:r w:rsidR="001F2C6D">
        <w:rPr>
          <w:lang w:val="lv-LV"/>
        </w:rPr>
        <w:t xml:space="preserve"> Atbilstoši šiem kritērijiem konkrēto pakalpojumu sniegšanas ierobežojumu ir pārbaudījusi arī apgabaltiesa, turklāt ievērojot un atsaucoties uz Eiropas Savienības Tiesas atziņām.</w:t>
      </w:r>
      <w:r w:rsidR="002166C0">
        <w:rPr>
          <w:lang w:val="lv-LV"/>
        </w:rPr>
        <w:t xml:space="preserve"> </w:t>
      </w:r>
    </w:p>
    <w:p w14:paraId="178CDD18" w14:textId="4096CCFA" w:rsidR="00C06FC4" w:rsidRDefault="00C06FC4" w:rsidP="00EC3193">
      <w:pPr>
        <w:pStyle w:val="c01pointnumerotealtn"/>
        <w:spacing w:before="0" w:beforeAutospacing="0" w:after="0" w:afterAutospacing="0" w:line="276" w:lineRule="auto"/>
        <w:ind w:firstLine="426"/>
        <w:jc w:val="both"/>
        <w:rPr>
          <w:lang w:val="lv-LV"/>
        </w:rPr>
      </w:pPr>
    </w:p>
    <w:p w14:paraId="249599B4" w14:textId="66D0F6DE" w:rsidR="007E21EC" w:rsidRDefault="00E356E1" w:rsidP="00EC3193">
      <w:pPr>
        <w:pStyle w:val="c01pointnumerotealtn"/>
        <w:spacing w:before="0" w:beforeAutospacing="0" w:after="0" w:afterAutospacing="0" w:line="276" w:lineRule="auto"/>
        <w:ind w:firstLine="567"/>
        <w:jc w:val="both"/>
        <w:rPr>
          <w:lang w:val="lv-LV"/>
        </w:rPr>
      </w:pPr>
      <w:r>
        <w:rPr>
          <w:lang w:val="lv-LV"/>
        </w:rPr>
        <w:t>[6]</w:t>
      </w:r>
      <w:r w:rsidR="005A2660">
        <w:rPr>
          <w:lang w:val="lv-LV"/>
        </w:rPr>
        <w:t> </w:t>
      </w:r>
      <w:r w:rsidR="007E21EC">
        <w:rPr>
          <w:lang w:val="lv-LV"/>
        </w:rPr>
        <w:t xml:space="preserve">Eiropas Savienības Tiesa vairākkārt ir norādījusi, ka tieši </w:t>
      </w:r>
      <w:r w:rsidR="007E21EC" w:rsidRPr="00EC3193">
        <w:rPr>
          <w:lang w:val="lv-LV"/>
        </w:rPr>
        <w:t>valsts tiesai ir jāpārbauda</w:t>
      </w:r>
      <w:r w:rsidR="007E21EC" w:rsidRPr="00950543">
        <w:rPr>
          <w:lang w:val="lv-LV"/>
        </w:rPr>
        <w:t xml:space="preserve">, kādi faktiski ir attiecīgā valsts tiesiskā regulējuma </w:t>
      </w:r>
      <w:r w:rsidR="007E21EC" w:rsidRPr="00614EE3">
        <w:rPr>
          <w:i/>
          <w:iCs/>
          <w:lang w:val="lv-LV"/>
        </w:rPr>
        <w:t>mērķi</w:t>
      </w:r>
      <w:r w:rsidR="007E21EC" w:rsidRPr="00950543">
        <w:rPr>
          <w:lang w:val="lv-LV"/>
        </w:rPr>
        <w:t xml:space="preserve"> un vai tajā paredzētie ierobežojumi </w:t>
      </w:r>
      <w:r w:rsidR="007E21EC" w:rsidRPr="00614EE3">
        <w:rPr>
          <w:i/>
          <w:iCs/>
          <w:lang w:val="lv-LV"/>
        </w:rPr>
        <w:t>atbilst kritērijiem</w:t>
      </w:r>
      <w:r w:rsidR="007E21EC" w:rsidRPr="00950543">
        <w:rPr>
          <w:lang w:val="lv-LV"/>
        </w:rPr>
        <w:t xml:space="preserve">, kas izriet no </w:t>
      </w:r>
      <w:r w:rsidR="005A2660">
        <w:rPr>
          <w:lang w:val="lv-LV"/>
        </w:rPr>
        <w:t xml:space="preserve">Eiropas Savienības </w:t>
      </w:r>
      <w:r w:rsidR="007E21EC" w:rsidRPr="00950543">
        <w:rPr>
          <w:lang w:val="lv-LV"/>
        </w:rPr>
        <w:t xml:space="preserve">Tiesas judikatūras attiecībā uz to samērīgumu. </w:t>
      </w:r>
      <w:r w:rsidR="00614EE3">
        <w:rPr>
          <w:lang w:val="lv-LV"/>
        </w:rPr>
        <w:t xml:space="preserve">Tāpat valsts tiesai ir </w:t>
      </w:r>
      <w:r w:rsidR="007E21EC" w:rsidRPr="00614EE3">
        <w:rPr>
          <w:lang w:val="lv-LV"/>
        </w:rPr>
        <w:t>jāpārliecinās</w:t>
      </w:r>
      <w:r w:rsidR="007E21EC" w:rsidRPr="00950543">
        <w:rPr>
          <w:lang w:val="lv-LV"/>
        </w:rPr>
        <w:t>, ka tas reāli atbilst rūpēm samazināt spēļu iespējas, saskaņoti un sistemātiski ierobežot darbības šajā jomā un apkarot ar šīm spēlēm saistīto noziedzību. Valsts tiesai ir visaptveroši jāizvērtē apstākļi, kādos ir pieņemts un īstenots ierobežojošs tiesisk</w:t>
      </w:r>
      <w:r w:rsidR="00E55249">
        <w:rPr>
          <w:lang w:val="lv-LV"/>
        </w:rPr>
        <w:t>ai</w:t>
      </w:r>
      <w:r w:rsidR="007E21EC" w:rsidRPr="00950543">
        <w:rPr>
          <w:lang w:val="lv-LV"/>
        </w:rPr>
        <w:t>s regulējums (</w:t>
      </w:r>
      <w:r w:rsidR="007E21EC" w:rsidRPr="00734669">
        <w:rPr>
          <w:i/>
          <w:iCs/>
          <w:lang w:val="lv-LV"/>
        </w:rPr>
        <w:t>E</w:t>
      </w:r>
      <w:r w:rsidR="005A2660">
        <w:rPr>
          <w:i/>
          <w:iCs/>
          <w:lang w:val="lv-LV"/>
        </w:rPr>
        <w:t>iropas Savienības Tiesas</w:t>
      </w:r>
      <w:r w:rsidR="007E21EC" w:rsidRPr="00734669">
        <w:rPr>
          <w:i/>
          <w:iCs/>
          <w:lang w:val="lv-LV"/>
        </w:rPr>
        <w:t xml:space="preserve"> </w:t>
      </w:r>
      <w:proofErr w:type="gramStart"/>
      <w:r w:rsidR="007E21EC" w:rsidRPr="00734669">
        <w:rPr>
          <w:i/>
          <w:iCs/>
          <w:lang w:val="lv-LV"/>
        </w:rPr>
        <w:t>2014.gada</w:t>
      </w:r>
      <w:proofErr w:type="gramEnd"/>
      <w:r w:rsidR="007E21EC" w:rsidRPr="00734669">
        <w:rPr>
          <w:i/>
          <w:iCs/>
          <w:lang w:val="lv-LV"/>
        </w:rPr>
        <w:t xml:space="preserve"> 30.aprīļa spriedum</w:t>
      </w:r>
      <w:r w:rsidR="005A2660">
        <w:rPr>
          <w:i/>
          <w:iCs/>
          <w:lang w:val="lv-LV"/>
        </w:rPr>
        <w:t>a</w:t>
      </w:r>
      <w:r w:rsidR="007E21EC" w:rsidRPr="00734669">
        <w:rPr>
          <w:i/>
          <w:iCs/>
          <w:lang w:val="lv-LV"/>
        </w:rPr>
        <w:t xml:space="preserve"> lietā „</w:t>
      </w:r>
      <w:proofErr w:type="spellStart"/>
      <w:r w:rsidR="007E21EC" w:rsidRPr="00734669">
        <w:rPr>
          <w:i/>
          <w:iCs/>
          <w:lang w:val="lv-LV"/>
        </w:rPr>
        <w:t>Pfleger</w:t>
      </w:r>
      <w:proofErr w:type="spellEnd"/>
      <w:r w:rsidR="007E21EC" w:rsidRPr="00734669">
        <w:rPr>
          <w:i/>
          <w:iCs/>
          <w:lang w:val="lv-LV"/>
        </w:rPr>
        <w:t xml:space="preserve"> u.c.”, C‑390/12, </w:t>
      </w:r>
      <w:hyperlink r:id="rId8" w:history="1">
        <w:r w:rsidR="007E21EC" w:rsidRPr="00AC4B81">
          <w:rPr>
            <w:rStyle w:val="Hyperlink"/>
            <w:i/>
            <w:iCs/>
            <w:color w:val="auto"/>
            <w:u w:val="none"/>
            <w:lang w:val="lv-LV"/>
          </w:rPr>
          <w:t>ECLI:EU:C:2014:281</w:t>
        </w:r>
      </w:hyperlink>
      <w:r w:rsidR="007E21EC" w:rsidRPr="00734669">
        <w:rPr>
          <w:i/>
          <w:iCs/>
          <w:lang w:val="lv-LV"/>
        </w:rPr>
        <w:t>, 47.</w:t>
      </w:r>
      <w:r w:rsidR="00223198">
        <w:rPr>
          <w:i/>
          <w:iCs/>
          <w:lang w:val="lv-LV"/>
        </w:rPr>
        <w:t>–</w:t>
      </w:r>
      <w:r w:rsidR="007E21EC" w:rsidRPr="00734669">
        <w:rPr>
          <w:i/>
          <w:iCs/>
          <w:lang w:val="lv-LV"/>
        </w:rPr>
        <w:t>50., 52., 56.punkts, atkārtots arī 2017.gada 14.jūnija sprieduma lietā „</w:t>
      </w:r>
      <w:proofErr w:type="spellStart"/>
      <w:r w:rsidR="007E21EC" w:rsidRPr="00734669">
        <w:rPr>
          <w:i/>
          <w:iCs/>
          <w:lang w:val="lv-LV"/>
        </w:rPr>
        <w:t>Online</w:t>
      </w:r>
      <w:proofErr w:type="spellEnd"/>
      <w:r w:rsidR="007E21EC" w:rsidRPr="00734669">
        <w:rPr>
          <w:i/>
          <w:iCs/>
          <w:lang w:val="lv-LV"/>
        </w:rPr>
        <w:t xml:space="preserve"> </w:t>
      </w:r>
      <w:proofErr w:type="spellStart"/>
      <w:r w:rsidR="007E21EC" w:rsidRPr="00734669">
        <w:rPr>
          <w:i/>
          <w:iCs/>
          <w:lang w:val="lv-LV"/>
        </w:rPr>
        <w:t>Games</w:t>
      </w:r>
      <w:proofErr w:type="spellEnd"/>
      <w:r w:rsidR="007E21EC" w:rsidRPr="00734669">
        <w:rPr>
          <w:i/>
          <w:iCs/>
          <w:lang w:val="lv-LV"/>
        </w:rPr>
        <w:t xml:space="preserve"> u.c.”, C-685/15, </w:t>
      </w:r>
      <w:hyperlink r:id="rId9" w:history="1">
        <w:r w:rsidR="007E21EC" w:rsidRPr="00AC4B81">
          <w:rPr>
            <w:rStyle w:val="Hyperlink"/>
            <w:i/>
            <w:iCs/>
            <w:color w:val="auto"/>
            <w:u w:val="none"/>
            <w:lang w:val="lv-LV"/>
          </w:rPr>
          <w:t>ECLI:EU:C:2017:452</w:t>
        </w:r>
      </w:hyperlink>
      <w:r w:rsidR="007E21EC" w:rsidRPr="006B4B5E">
        <w:rPr>
          <w:i/>
          <w:iCs/>
          <w:lang w:val="lv-LV"/>
        </w:rPr>
        <w:t xml:space="preserve">, </w:t>
      </w:r>
      <w:r w:rsidR="007E21EC" w:rsidRPr="00734669">
        <w:rPr>
          <w:i/>
          <w:iCs/>
          <w:lang w:val="lv-LV"/>
        </w:rPr>
        <w:t>49.</w:t>
      </w:r>
      <w:r w:rsidR="00223198">
        <w:rPr>
          <w:i/>
          <w:iCs/>
          <w:lang w:val="lv-LV"/>
        </w:rPr>
        <w:t>–</w:t>
      </w:r>
      <w:r w:rsidR="007E21EC" w:rsidRPr="00734669">
        <w:rPr>
          <w:i/>
          <w:iCs/>
          <w:lang w:val="lv-LV"/>
        </w:rPr>
        <w:t>52.punktā</w:t>
      </w:r>
      <w:r w:rsidR="007E21EC" w:rsidRPr="00950543">
        <w:rPr>
          <w:lang w:val="lv-LV"/>
        </w:rPr>
        <w:t>).</w:t>
      </w:r>
    </w:p>
    <w:p w14:paraId="4DC54BF6" w14:textId="5E62494D" w:rsidR="0037214B" w:rsidRDefault="007127E2" w:rsidP="00EC3193">
      <w:pPr>
        <w:pStyle w:val="c01pointnumerotealtn"/>
        <w:spacing w:before="0" w:beforeAutospacing="0" w:after="0" w:afterAutospacing="0" w:line="276" w:lineRule="auto"/>
        <w:ind w:firstLine="567"/>
        <w:jc w:val="both"/>
        <w:rPr>
          <w:lang w:val="lv-LV"/>
        </w:rPr>
      </w:pPr>
      <w:r>
        <w:rPr>
          <w:lang w:val="lv-LV"/>
        </w:rPr>
        <w:t>Pārsūdzētais administratīvais akts ir balstīts uz tiesību normu</w:t>
      </w:r>
      <w:r w:rsidR="00B523A2">
        <w:rPr>
          <w:lang w:val="lv-LV"/>
        </w:rPr>
        <w:t xml:space="preserve"> </w:t>
      </w:r>
      <w:r w:rsidR="00223198">
        <w:rPr>
          <w:lang w:val="lv-LV"/>
        </w:rPr>
        <w:t>–</w:t>
      </w:r>
      <w:r w:rsidR="00B523A2">
        <w:rPr>
          <w:lang w:val="lv-LV"/>
        </w:rPr>
        <w:t xml:space="preserve"> </w:t>
      </w:r>
      <w:r w:rsidR="00B523A2" w:rsidRPr="00B523A2">
        <w:rPr>
          <w:lang w:val="lv-LV"/>
        </w:rPr>
        <w:t>noteikumu Nr. 38 459.punkt</w:t>
      </w:r>
      <w:r w:rsidR="00B523A2">
        <w:rPr>
          <w:lang w:val="lv-LV"/>
        </w:rPr>
        <w:t xml:space="preserve">u </w:t>
      </w:r>
      <w:r w:rsidR="00223198">
        <w:rPr>
          <w:lang w:val="lv-LV"/>
        </w:rPr>
        <w:t>–</w:t>
      </w:r>
      <w:r>
        <w:rPr>
          <w:lang w:val="lv-LV"/>
        </w:rPr>
        <w:t>, kuras mērķus, samērīgumu un normas pieņemšanas apstākļus vērtēja Satversmes tiesa. A</w:t>
      </w:r>
      <w:r w:rsidR="007E21EC">
        <w:rPr>
          <w:lang w:val="lv-LV"/>
        </w:rPr>
        <w:t xml:space="preserve">pgabaltiesa </w:t>
      </w:r>
      <w:r w:rsidR="00644389">
        <w:rPr>
          <w:lang w:val="lv-LV"/>
        </w:rPr>
        <w:t xml:space="preserve">ir </w:t>
      </w:r>
      <w:r w:rsidR="007E21EC">
        <w:rPr>
          <w:lang w:val="lv-LV"/>
        </w:rPr>
        <w:t>balstījusies uz Satversmes tiesas identificētajiem ierobežojuma mērķiem</w:t>
      </w:r>
      <w:r>
        <w:rPr>
          <w:lang w:val="lv-LV"/>
        </w:rPr>
        <w:t xml:space="preserve"> un citiem secinājumiem</w:t>
      </w:r>
      <w:r w:rsidR="0080458B">
        <w:rPr>
          <w:lang w:val="lv-LV"/>
        </w:rPr>
        <w:t>. Secīgi</w:t>
      </w:r>
      <w:r>
        <w:rPr>
          <w:lang w:val="lv-LV"/>
        </w:rPr>
        <w:t xml:space="preserve"> </w:t>
      </w:r>
      <w:r w:rsidR="00614EE3">
        <w:rPr>
          <w:lang w:val="lv-LV"/>
        </w:rPr>
        <w:t xml:space="preserve">apgabaltiesa pārbaudīja, vai </w:t>
      </w:r>
      <w:r w:rsidR="0080458B">
        <w:rPr>
          <w:lang w:val="lv-LV"/>
        </w:rPr>
        <w:t xml:space="preserve">šie mērķi </w:t>
      </w:r>
      <w:r w:rsidR="00614EE3">
        <w:rPr>
          <w:lang w:val="lv-LV"/>
        </w:rPr>
        <w:t xml:space="preserve">atbilst </w:t>
      </w:r>
      <w:r w:rsidR="00E55249">
        <w:rPr>
          <w:lang w:val="lv-LV"/>
        </w:rPr>
        <w:t>tiem mērķie</w:t>
      </w:r>
      <w:r w:rsidR="0088280E">
        <w:rPr>
          <w:lang w:val="lv-LV"/>
        </w:rPr>
        <w:t>m</w:t>
      </w:r>
      <w:r w:rsidR="00E55249">
        <w:rPr>
          <w:lang w:val="lv-LV"/>
        </w:rPr>
        <w:t>, kas i</w:t>
      </w:r>
      <w:r w:rsidR="0088280E">
        <w:rPr>
          <w:lang w:val="lv-LV"/>
        </w:rPr>
        <w:t>r</w:t>
      </w:r>
      <w:r w:rsidR="00E55249">
        <w:rPr>
          <w:lang w:val="lv-LV"/>
        </w:rPr>
        <w:t xml:space="preserve"> ietverti </w:t>
      </w:r>
      <w:r w:rsidR="0080458B">
        <w:rPr>
          <w:lang w:val="lv-LV"/>
        </w:rPr>
        <w:t xml:space="preserve">Eiropas Savienības tiesību normās vai </w:t>
      </w:r>
      <w:r w:rsidR="00E55249">
        <w:rPr>
          <w:lang w:val="lv-LV"/>
        </w:rPr>
        <w:t xml:space="preserve">norādīti </w:t>
      </w:r>
      <w:r w:rsidR="00614EE3">
        <w:rPr>
          <w:lang w:val="lv-LV"/>
        </w:rPr>
        <w:t xml:space="preserve">Eiropas Savienības Tiesas </w:t>
      </w:r>
      <w:r w:rsidR="0080458B">
        <w:rPr>
          <w:lang w:val="lv-LV"/>
        </w:rPr>
        <w:t>judikatūrā</w:t>
      </w:r>
      <w:r w:rsidR="00614EE3">
        <w:rPr>
          <w:lang w:val="lv-LV"/>
        </w:rPr>
        <w:t>.</w:t>
      </w:r>
      <w:r w:rsidR="00DC398D">
        <w:rPr>
          <w:lang w:val="lv-LV"/>
        </w:rPr>
        <w:t xml:space="preserve"> </w:t>
      </w:r>
      <w:r w:rsidR="0037214B">
        <w:rPr>
          <w:lang w:val="lv-LV"/>
        </w:rPr>
        <w:t xml:space="preserve">Senāts nepiekrīt kasācijas sūdzībā norādītajam, ka apgabaltiesa ir paplašinājusi jēdzienu </w:t>
      </w:r>
      <w:r w:rsidR="002D5EA0" w:rsidRPr="0088280E">
        <w:rPr>
          <w:color w:val="000000"/>
          <w:lang w:val="lv-LV"/>
        </w:rPr>
        <w:t>„</w:t>
      </w:r>
      <w:r w:rsidR="0037214B" w:rsidRPr="0088280E">
        <w:rPr>
          <w:lang w:val="lv-LV"/>
        </w:rPr>
        <w:t>vispārējo interešu apsvērumi”, kas var būt par pamatu ierobežojuma attaisnojumam.</w:t>
      </w:r>
    </w:p>
    <w:p w14:paraId="01805BD2" w14:textId="3627A730" w:rsidR="00DC398D" w:rsidRDefault="0080458B" w:rsidP="00EC3193">
      <w:pPr>
        <w:pStyle w:val="c01pointnumerotealtn"/>
        <w:spacing w:before="0" w:beforeAutospacing="0" w:after="0" w:afterAutospacing="0" w:line="276" w:lineRule="auto"/>
        <w:ind w:firstLine="567"/>
        <w:jc w:val="both"/>
        <w:rPr>
          <w:lang w:val="lv-LV"/>
        </w:rPr>
      </w:pPr>
      <w:r>
        <w:rPr>
          <w:lang w:val="lv-LV"/>
        </w:rPr>
        <w:t xml:space="preserve">Apgabaltiesa spriedumā, balstīdamās arī uz Satversmes tiesas spriedumu, ir pārliecinājusies, ka ar pārsūdzēto lēmumu var </w:t>
      </w:r>
      <w:r w:rsidR="00A160B5">
        <w:rPr>
          <w:lang w:val="lv-LV"/>
        </w:rPr>
        <w:t xml:space="preserve">un ir nepieciešams </w:t>
      </w:r>
      <w:r>
        <w:rPr>
          <w:lang w:val="lv-LV"/>
        </w:rPr>
        <w:t xml:space="preserve">sasniegt leģitīmos mērķus, ka </w:t>
      </w:r>
      <w:r w:rsidR="00A70FD7">
        <w:rPr>
          <w:lang w:val="lv-LV"/>
        </w:rPr>
        <w:t xml:space="preserve">izvēlētais līdzeklis (atļaujas atcelšana) </w:t>
      </w:r>
      <w:r>
        <w:rPr>
          <w:lang w:val="lv-LV"/>
        </w:rPr>
        <w:t xml:space="preserve">ir </w:t>
      </w:r>
      <w:r w:rsidR="00A70FD7">
        <w:rPr>
          <w:lang w:val="lv-LV"/>
        </w:rPr>
        <w:t>samērīgs.</w:t>
      </w:r>
      <w:r w:rsidR="0037214B">
        <w:rPr>
          <w:lang w:val="lv-LV"/>
        </w:rPr>
        <w:t xml:space="preserve"> Senāts nesaskata kļūdas šajā vērtējumā.</w:t>
      </w:r>
    </w:p>
    <w:p w14:paraId="31B97A91" w14:textId="77777777" w:rsidR="00561277" w:rsidRDefault="00561277" w:rsidP="00EC3193">
      <w:pPr>
        <w:pStyle w:val="c01pointnumerotealtn"/>
        <w:spacing w:before="0" w:beforeAutospacing="0" w:after="0" w:afterAutospacing="0" w:line="276" w:lineRule="auto"/>
        <w:ind w:firstLine="426"/>
        <w:jc w:val="both"/>
        <w:rPr>
          <w:shd w:val="clear" w:color="auto" w:fill="FFFFFF"/>
          <w:lang w:val="lv-LV"/>
        </w:rPr>
      </w:pPr>
    </w:p>
    <w:p w14:paraId="4C3738AA" w14:textId="78F960F8" w:rsidR="0037214B" w:rsidRPr="00287752" w:rsidRDefault="00561277" w:rsidP="00EC3193">
      <w:pPr>
        <w:pStyle w:val="c01pointnumerotealtn"/>
        <w:spacing w:before="0" w:beforeAutospacing="0" w:after="0" w:afterAutospacing="0" w:line="276" w:lineRule="auto"/>
        <w:ind w:firstLine="567"/>
        <w:jc w:val="both"/>
        <w:rPr>
          <w:lang w:val="lv-LV"/>
        </w:rPr>
      </w:pPr>
      <w:r>
        <w:rPr>
          <w:shd w:val="clear" w:color="auto" w:fill="FFFFFF"/>
          <w:lang w:val="lv-LV"/>
        </w:rPr>
        <w:t>[7]</w:t>
      </w:r>
      <w:r w:rsidR="005A2660">
        <w:rPr>
          <w:shd w:val="clear" w:color="auto" w:fill="FFFFFF"/>
          <w:lang w:val="lv-LV"/>
        </w:rPr>
        <w:t> </w:t>
      </w:r>
      <w:r w:rsidR="0037214B">
        <w:rPr>
          <w:shd w:val="clear" w:color="auto" w:fill="FFFFFF"/>
          <w:lang w:val="lv-LV"/>
        </w:rPr>
        <w:t xml:space="preserve">Apgabaltiesa arī pamatoti atsaukusies uz </w:t>
      </w:r>
      <w:r w:rsidR="005A2660">
        <w:rPr>
          <w:shd w:val="clear" w:color="auto" w:fill="FFFFFF"/>
          <w:lang w:val="lv-LV"/>
        </w:rPr>
        <w:t>D</w:t>
      </w:r>
      <w:r w:rsidR="0037214B" w:rsidRPr="00950543">
        <w:rPr>
          <w:shd w:val="clear" w:color="auto" w:fill="FFFFFF"/>
          <w:lang w:val="lv-LV"/>
        </w:rPr>
        <w:t>irektīv</w:t>
      </w:r>
      <w:r w:rsidR="0037214B">
        <w:rPr>
          <w:shd w:val="clear" w:color="auto" w:fill="FFFFFF"/>
          <w:lang w:val="lv-LV"/>
        </w:rPr>
        <w:t>ā</w:t>
      </w:r>
      <w:r w:rsidR="0037214B" w:rsidRPr="00950543">
        <w:rPr>
          <w:shd w:val="clear" w:color="auto" w:fill="FFFFFF"/>
          <w:lang w:val="lv-LV"/>
        </w:rPr>
        <w:t xml:space="preserve"> 2006/123</w:t>
      </w:r>
      <w:r>
        <w:rPr>
          <w:shd w:val="clear" w:color="auto" w:fill="FFFFFF"/>
          <w:lang w:val="lv-LV"/>
        </w:rPr>
        <w:t>/EK</w:t>
      </w:r>
      <w:r w:rsidR="0037214B">
        <w:rPr>
          <w:shd w:val="clear" w:color="auto" w:fill="FFFFFF"/>
          <w:lang w:val="lv-LV"/>
        </w:rPr>
        <w:t xml:space="preserve"> ietvertajām normām.</w:t>
      </w:r>
      <w:r w:rsidR="0037214B" w:rsidRPr="00950543">
        <w:rPr>
          <w:shd w:val="clear" w:color="auto" w:fill="FFFFFF"/>
          <w:lang w:val="lv-LV"/>
        </w:rPr>
        <w:t xml:space="preserve"> Lai arī saskaņā ar </w:t>
      </w:r>
      <w:r w:rsidR="0037214B">
        <w:rPr>
          <w:shd w:val="clear" w:color="auto" w:fill="FFFFFF"/>
          <w:lang w:val="lv-LV"/>
        </w:rPr>
        <w:t xml:space="preserve">šīs </w:t>
      </w:r>
      <w:r w:rsidR="0037214B" w:rsidRPr="00950543">
        <w:rPr>
          <w:shd w:val="clear" w:color="auto" w:fill="FFFFFF"/>
          <w:lang w:val="lv-LV"/>
        </w:rPr>
        <w:t xml:space="preserve">direktīvas </w:t>
      </w:r>
      <w:proofErr w:type="gramStart"/>
      <w:r w:rsidR="0037214B" w:rsidRPr="00950543">
        <w:rPr>
          <w:shd w:val="clear" w:color="auto" w:fill="FFFFFF"/>
          <w:lang w:val="lv-LV"/>
        </w:rPr>
        <w:t>2.panta</w:t>
      </w:r>
      <w:proofErr w:type="gramEnd"/>
      <w:r w:rsidR="0037214B" w:rsidRPr="00950543">
        <w:rPr>
          <w:shd w:val="clear" w:color="auto" w:fill="FFFFFF"/>
          <w:lang w:val="lv-LV"/>
        </w:rPr>
        <w:t xml:space="preserve"> 2.punkta „h” apakšpunktu šo direktīvu nepiemēro azartspēļu darbībām, kas ietver derības uz naudas likmēm nejaušības spēlēs, tostarp loterijām, azartspēlēm kazino un derību darījumiem, tas dod ieskatu E</w:t>
      </w:r>
      <w:r w:rsidR="0037214B">
        <w:rPr>
          <w:shd w:val="clear" w:color="auto" w:fill="FFFFFF"/>
          <w:lang w:val="lv-LV"/>
        </w:rPr>
        <w:t xml:space="preserve">iropas </w:t>
      </w:r>
      <w:r w:rsidR="0037214B" w:rsidRPr="00950543">
        <w:rPr>
          <w:shd w:val="clear" w:color="auto" w:fill="FFFFFF"/>
          <w:lang w:val="lv-LV"/>
        </w:rPr>
        <w:t>S</w:t>
      </w:r>
      <w:r w:rsidR="0037214B">
        <w:rPr>
          <w:shd w:val="clear" w:color="auto" w:fill="FFFFFF"/>
          <w:lang w:val="lv-LV"/>
        </w:rPr>
        <w:t xml:space="preserve">avienības </w:t>
      </w:r>
      <w:r w:rsidR="0037214B" w:rsidRPr="00950543">
        <w:rPr>
          <w:shd w:val="clear" w:color="auto" w:fill="FFFFFF"/>
          <w:lang w:val="lv-LV"/>
        </w:rPr>
        <w:t>T</w:t>
      </w:r>
      <w:r w:rsidR="0037214B">
        <w:rPr>
          <w:shd w:val="clear" w:color="auto" w:fill="FFFFFF"/>
          <w:lang w:val="lv-LV"/>
        </w:rPr>
        <w:t xml:space="preserve">iesas </w:t>
      </w:r>
      <w:r w:rsidR="0037214B" w:rsidRPr="00950543">
        <w:rPr>
          <w:shd w:val="clear" w:color="auto" w:fill="FFFFFF"/>
          <w:lang w:val="lv-LV"/>
        </w:rPr>
        <w:t>praksē par vispārējo interešu apsvērumu jomām.</w:t>
      </w:r>
      <w:r>
        <w:rPr>
          <w:shd w:val="clear" w:color="auto" w:fill="FFFFFF"/>
          <w:lang w:val="lv-LV"/>
        </w:rPr>
        <w:t xml:space="preserve"> Ņemot vērā</w:t>
      </w:r>
      <w:r w:rsidR="00745A6A">
        <w:rPr>
          <w:shd w:val="clear" w:color="auto" w:fill="FFFFFF"/>
          <w:lang w:val="lv-LV"/>
        </w:rPr>
        <w:t xml:space="preserve"> Eiropas Savienības Tiesas praksi, uz kuru atsauce ir dota arī apgabaltiesas spriedumā</w:t>
      </w:r>
      <w:r>
        <w:rPr>
          <w:shd w:val="clear" w:color="auto" w:fill="FFFFFF"/>
          <w:lang w:val="lv-LV"/>
        </w:rPr>
        <w:t xml:space="preserve">, azartspēļu jomā pieļaujami papildu ierobežojumi, </w:t>
      </w:r>
      <w:r w:rsidR="00745A6A">
        <w:rPr>
          <w:shd w:val="clear" w:color="auto" w:fill="FFFFFF"/>
          <w:lang w:val="lv-LV"/>
        </w:rPr>
        <w:t>tādējādi ir acīmredzami</w:t>
      </w:r>
      <w:r>
        <w:rPr>
          <w:shd w:val="clear" w:color="auto" w:fill="FFFFFF"/>
          <w:lang w:val="lv-LV"/>
        </w:rPr>
        <w:t>, ka direktīv</w:t>
      </w:r>
      <w:r w:rsidR="00745A6A">
        <w:rPr>
          <w:shd w:val="clear" w:color="auto" w:fill="FFFFFF"/>
          <w:lang w:val="lv-LV"/>
        </w:rPr>
        <w:t>a</w:t>
      </w:r>
      <w:r>
        <w:rPr>
          <w:shd w:val="clear" w:color="auto" w:fill="FFFFFF"/>
          <w:lang w:val="lv-LV"/>
        </w:rPr>
        <w:t xml:space="preserve"> </w:t>
      </w:r>
      <w:r w:rsidR="00223198">
        <w:rPr>
          <w:shd w:val="clear" w:color="auto" w:fill="FFFFFF"/>
          <w:lang w:val="lv-LV"/>
        </w:rPr>
        <w:t xml:space="preserve">attiecībā </w:t>
      </w:r>
      <w:r w:rsidR="00745A6A">
        <w:rPr>
          <w:shd w:val="clear" w:color="auto" w:fill="FFFFFF"/>
          <w:lang w:val="lv-LV"/>
        </w:rPr>
        <w:t xml:space="preserve">uz azartspēļu jomu netiek piemērota </w:t>
      </w:r>
      <w:r>
        <w:rPr>
          <w:shd w:val="clear" w:color="auto" w:fill="FFFFFF"/>
          <w:lang w:val="lv-LV"/>
        </w:rPr>
        <w:t xml:space="preserve">nevis tādēļ, ka direktīvā iekļautie vispārējo interešu apsvērumi </w:t>
      </w:r>
      <w:r w:rsidR="00745A6A">
        <w:rPr>
          <w:shd w:val="clear" w:color="auto" w:fill="FFFFFF"/>
          <w:lang w:val="lv-LV"/>
        </w:rPr>
        <w:t xml:space="preserve">uz šo jomu </w:t>
      </w:r>
      <w:r>
        <w:rPr>
          <w:shd w:val="clear" w:color="auto" w:fill="FFFFFF"/>
          <w:lang w:val="lv-LV"/>
        </w:rPr>
        <w:t>nav piemērojami, bet gan</w:t>
      </w:r>
      <w:r w:rsidR="00223198">
        <w:rPr>
          <w:shd w:val="clear" w:color="auto" w:fill="FFFFFF"/>
          <w:lang w:val="lv-LV"/>
        </w:rPr>
        <w:t>,</w:t>
      </w:r>
      <w:r>
        <w:rPr>
          <w:shd w:val="clear" w:color="auto" w:fill="FFFFFF"/>
          <w:lang w:val="lv-LV"/>
        </w:rPr>
        <w:t xml:space="preserve"> </w:t>
      </w:r>
      <w:r w:rsidR="00745A6A">
        <w:rPr>
          <w:shd w:val="clear" w:color="auto" w:fill="FFFFFF"/>
          <w:lang w:val="lv-LV"/>
        </w:rPr>
        <w:t xml:space="preserve">tieši </w:t>
      </w:r>
      <w:r>
        <w:rPr>
          <w:shd w:val="clear" w:color="auto" w:fill="FFFFFF"/>
          <w:lang w:val="lv-LV"/>
        </w:rPr>
        <w:t xml:space="preserve">pretēji, ka uz šo jomu pieļaujami </w:t>
      </w:r>
      <w:r w:rsidR="00745A6A">
        <w:rPr>
          <w:shd w:val="clear" w:color="auto" w:fill="FFFFFF"/>
          <w:lang w:val="lv-LV"/>
        </w:rPr>
        <w:t xml:space="preserve">arī </w:t>
      </w:r>
      <w:r>
        <w:rPr>
          <w:shd w:val="clear" w:color="auto" w:fill="FFFFFF"/>
          <w:lang w:val="lv-LV"/>
        </w:rPr>
        <w:t>papildu apsvērumi.</w:t>
      </w:r>
    </w:p>
    <w:p w14:paraId="7F2EA517" w14:textId="0D7AC102" w:rsidR="007E21EC" w:rsidRDefault="007E21EC" w:rsidP="00EC3193">
      <w:pPr>
        <w:pStyle w:val="c01pointnumerotealtn"/>
        <w:spacing w:before="0" w:beforeAutospacing="0" w:after="0" w:afterAutospacing="0" w:line="276" w:lineRule="auto"/>
        <w:ind w:firstLine="426"/>
        <w:jc w:val="both"/>
        <w:rPr>
          <w:lang w:val="lv-LV"/>
        </w:rPr>
      </w:pPr>
    </w:p>
    <w:p w14:paraId="5B9DE310" w14:textId="3C9CCD3D" w:rsidR="00680034" w:rsidRPr="0088280E" w:rsidRDefault="00DC398D" w:rsidP="00EC3193">
      <w:pPr>
        <w:pStyle w:val="c01pointnumerotealtn"/>
        <w:spacing w:before="0" w:beforeAutospacing="0" w:after="0" w:afterAutospacing="0" w:line="276" w:lineRule="auto"/>
        <w:ind w:firstLine="567"/>
        <w:jc w:val="both"/>
        <w:rPr>
          <w:lang w:val="lv-LV"/>
        </w:rPr>
      </w:pPr>
      <w:r>
        <w:rPr>
          <w:lang w:val="lv-LV"/>
        </w:rPr>
        <w:t>[</w:t>
      </w:r>
      <w:r w:rsidR="005B10D1">
        <w:rPr>
          <w:lang w:val="lv-LV"/>
        </w:rPr>
        <w:t>8</w:t>
      </w:r>
      <w:r>
        <w:rPr>
          <w:lang w:val="lv-LV"/>
        </w:rPr>
        <w:t>]</w:t>
      </w:r>
      <w:r w:rsidR="005A2660">
        <w:rPr>
          <w:lang w:val="lv-LV"/>
        </w:rPr>
        <w:t> </w:t>
      </w:r>
      <w:r w:rsidR="00745A6A">
        <w:rPr>
          <w:lang w:val="lv-LV"/>
        </w:rPr>
        <w:t>Senāts nepiekrīt kasācijas sūdzības argumentam, ka a</w:t>
      </w:r>
      <w:r w:rsidR="00745A6A" w:rsidRPr="0088280E">
        <w:rPr>
          <w:lang w:val="lv-LV"/>
        </w:rPr>
        <w:t>pgabaltiesa nepienācīgi izvērtēja ierobežojuma saskanīgumu, konsekvenci un sistemātiskumu.</w:t>
      </w:r>
      <w:r w:rsidR="005B10D1" w:rsidRPr="0088280E">
        <w:rPr>
          <w:lang w:val="lv-LV"/>
        </w:rPr>
        <w:t xml:space="preserve"> Tāpat Senāts nepiek</w:t>
      </w:r>
      <w:r w:rsidR="00680034" w:rsidRPr="0088280E">
        <w:rPr>
          <w:lang w:val="lv-LV"/>
        </w:rPr>
        <w:t>rī</w:t>
      </w:r>
      <w:r w:rsidR="005B10D1" w:rsidRPr="0088280E">
        <w:rPr>
          <w:lang w:val="lv-LV"/>
        </w:rPr>
        <w:t>t, ka apgabaltiesa nav vērtējusi pierādījumus par citu pakalpojumu sniegšanas vietu turpināto darbību, interaktīvo azartspēļu izvēršanas politiku, diskriminējoš</w:t>
      </w:r>
      <w:r w:rsidR="009D7BEE">
        <w:rPr>
          <w:lang w:val="lv-LV"/>
        </w:rPr>
        <w:t>aj</w:t>
      </w:r>
      <w:r w:rsidR="005B10D1" w:rsidRPr="0088280E">
        <w:rPr>
          <w:lang w:val="lv-LV"/>
        </w:rPr>
        <w:t xml:space="preserve">iem izņēmumiem attiecībā uz četru un piecu zvaigžņu viesnīcām, konkurences tiesību aspektus. Apgabaltiesa ir šos </w:t>
      </w:r>
      <w:r w:rsidR="005B10D1" w:rsidRPr="0088280E">
        <w:rPr>
          <w:lang w:val="lv-LV"/>
        </w:rPr>
        <w:lastRenderedPageBreak/>
        <w:t>aspektus vērtējusi</w:t>
      </w:r>
      <w:r w:rsidR="00E55249">
        <w:rPr>
          <w:lang w:val="lv-LV"/>
        </w:rPr>
        <w:t>, un Senāts tiem pēc būtības piekrīt</w:t>
      </w:r>
      <w:r w:rsidR="005B10D1" w:rsidRPr="0088280E">
        <w:rPr>
          <w:lang w:val="lv-LV"/>
        </w:rPr>
        <w:t xml:space="preserve">. Kasācijas sūdzības argumenti pēc būtības liecina par to, ka </w:t>
      </w:r>
      <w:proofErr w:type="spellStart"/>
      <w:r w:rsidR="005B10D1" w:rsidRPr="0088280E">
        <w:rPr>
          <w:lang w:val="lv-LV"/>
        </w:rPr>
        <w:t>kasatore</w:t>
      </w:r>
      <w:proofErr w:type="spellEnd"/>
      <w:r w:rsidR="005B10D1" w:rsidRPr="0088280E">
        <w:rPr>
          <w:lang w:val="lv-LV"/>
        </w:rPr>
        <w:t xml:space="preserve"> nepiekrīt apgabaltiesas un Satversmes tiesas secinājumiem.</w:t>
      </w:r>
      <w:r w:rsidR="00ED0753" w:rsidRPr="0088280E">
        <w:rPr>
          <w:lang w:val="lv-LV"/>
        </w:rPr>
        <w:t xml:space="preserve"> </w:t>
      </w:r>
    </w:p>
    <w:p w14:paraId="20BC1204" w14:textId="77777777" w:rsidR="00ED0753" w:rsidRPr="0088280E" w:rsidRDefault="00ED0753" w:rsidP="00EC3193">
      <w:pPr>
        <w:pStyle w:val="c01pointnumerotealtn"/>
        <w:spacing w:before="0" w:beforeAutospacing="0" w:after="0" w:afterAutospacing="0" w:line="276" w:lineRule="auto"/>
        <w:ind w:firstLine="426"/>
        <w:jc w:val="both"/>
        <w:rPr>
          <w:lang w:val="lv-LV"/>
        </w:rPr>
      </w:pPr>
    </w:p>
    <w:p w14:paraId="72CE7CE9" w14:textId="41FCEF6D" w:rsidR="00F10820" w:rsidRDefault="00ED0753" w:rsidP="00EC3193">
      <w:pPr>
        <w:pStyle w:val="c01pointnumerotealtn"/>
        <w:spacing w:before="0" w:beforeAutospacing="0" w:after="0" w:afterAutospacing="0" w:line="276" w:lineRule="auto"/>
        <w:ind w:firstLine="567"/>
        <w:jc w:val="both"/>
        <w:rPr>
          <w:lang w:val="lv-LV"/>
        </w:rPr>
      </w:pPr>
      <w:r w:rsidRPr="0088280E">
        <w:rPr>
          <w:lang w:val="lv-LV"/>
        </w:rPr>
        <w:t>[9]</w:t>
      </w:r>
      <w:r w:rsidR="005A2660" w:rsidRPr="0088280E">
        <w:rPr>
          <w:lang w:val="lv-LV"/>
        </w:rPr>
        <w:t> </w:t>
      </w:r>
      <w:r w:rsidR="00680034" w:rsidRPr="0088280E">
        <w:rPr>
          <w:lang w:val="lv-LV"/>
        </w:rPr>
        <w:t xml:space="preserve">Eiropas Savienības Tiesa </w:t>
      </w:r>
      <w:r w:rsidR="00680034" w:rsidRPr="00950543">
        <w:rPr>
          <w:lang w:val="lv-LV"/>
        </w:rPr>
        <w:t xml:space="preserve">ir norādījusi, ka LESD </w:t>
      </w:r>
      <w:proofErr w:type="gramStart"/>
      <w:r w:rsidR="00680034" w:rsidRPr="00950543">
        <w:rPr>
          <w:lang w:val="lv-LV"/>
        </w:rPr>
        <w:t>56.pantā</w:t>
      </w:r>
      <w:proofErr w:type="gramEnd"/>
      <w:r w:rsidR="00680034" w:rsidRPr="00950543">
        <w:rPr>
          <w:lang w:val="lv-LV"/>
        </w:rPr>
        <w:t xml:space="preserve"> ir paredzēta ne tikai jebkādas diskriminācijas novēršana attiecībā pret citā dalībvalstī reģistrētu pakalpojumu sniedzēju tā pilsonības dēļ, bet arī jebkāda pakalpojumu sniegšanas brīvības ierobežojuma atcelšana, kaut arī tas ir vienādi piemērojams gan vietējiem, gan citu dalībvalstu pakalpojumu sniedzējiem, ja šis ierobežojums aizliedz, apgrūtina vai padara mazāk pievilcīgus tā pakalpojumu sniedzēja pakalpojumus, kurš reģistrēts citā dalībvalstī, kurā tas likumīgi sniedz līdzīgus pakalpojumus (</w:t>
      </w:r>
      <w:r w:rsidR="00F10820" w:rsidRPr="0088280E">
        <w:rPr>
          <w:i/>
          <w:iCs/>
          <w:lang w:val="lv-LV"/>
        </w:rPr>
        <w:t>2015.gada 11.jūnija spriedum</w:t>
      </w:r>
      <w:r w:rsidR="00BF29F4" w:rsidRPr="0088280E">
        <w:rPr>
          <w:i/>
          <w:iCs/>
          <w:lang w:val="lv-LV"/>
        </w:rPr>
        <w:t>a</w:t>
      </w:r>
      <w:r w:rsidR="00F10820" w:rsidRPr="0088280E">
        <w:rPr>
          <w:i/>
          <w:iCs/>
          <w:lang w:val="lv-LV"/>
        </w:rPr>
        <w:t xml:space="preserve"> lietā </w:t>
      </w:r>
      <w:r w:rsidR="005A2660" w:rsidRPr="00C53CBA">
        <w:rPr>
          <w:i/>
          <w:iCs/>
          <w:lang w:val="lv-LV"/>
        </w:rPr>
        <w:t>„</w:t>
      </w:r>
      <w:proofErr w:type="spellStart"/>
      <w:r w:rsidR="005A2660" w:rsidRPr="0088280E">
        <w:rPr>
          <w:i/>
          <w:iCs/>
          <w:lang w:val="lv-LV"/>
        </w:rPr>
        <w:t>Berlington</w:t>
      </w:r>
      <w:proofErr w:type="spellEnd"/>
      <w:r w:rsidR="005A2660" w:rsidRPr="0088280E">
        <w:rPr>
          <w:i/>
          <w:iCs/>
          <w:lang w:val="lv-LV"/>
        </w:rPr>
        <w:t xml:space="preserve"> </w:t>
      </w:r>
      <w:proofErr w:type="spellStart"/>
      <w:r w:rsidR="005A2660" w:rsidRPr="0088280E">
        <w:rPr>
          <w:i/>
          <w:iCs/>
          <w:lang w:val="lv-LV"/>
        </w:rPr>
        <w:t>Hungary</w:t>
      </w:r>
      <w:proofErr w:type="spellEnd"/>
      <w:r w:rsidR="005A2660" w:rsidRPr="0088280E">
        <w:rPr>
          <w:i/>
          <w:iCs/>
          <w:lang w:val="lv-LV"/>
        </w:rPr>
        <w:t xml:space="preserve"> u.c.”, </w:t>
      </w:r>
      <w:r w:rsidR="00F10820" w:rsidRPr="0088280E">
        <w:rPr>
          <w:i/>
          <w:iCs/>
          <w:lang w:val="lv-LV"/>
        </w:rPr>
        <w:t>C-98/14</w:t>
      </w:r>
      <w:r w:rsidR="00223198">
        <w:rPr>
          <w:i/>
          <w:iCs/>
          <w:lang w:val="lv-LV"/>
        </w:rPr>
        <w:t>,</w:t>
      </w:r>
      <w:r w:rsidR="00F10820" w:rsidRPr="0088280E">
        <w:rPr>
          <w:i/>
          <w:iCs/>
          <w:lang w:val="lv-LV"/>
        </w:rPr>
        <w:t xml:space="preserve"> ECLI:EU:C:2015:386</w:t>
      </w:r>
      <w:r w:rsidR="00223198">
        <w:rPr>
          <w:i/>
          <w:iCs/>
          <w:lang w:val="lv-LV"/>
        </w:rPr>
        <w:t>,</w:t>
      </w:r>
      <w:r w:rsidR="00680034" w:rsidRPr="00F10820">
        <w:rPr>
          <w:i/>
          <w:iCs/>
          <w:lang w:val="lv-LV"/>
        </w:rPr>
        <w:t xml:space="preserve"> 35.punkt</w:t>
      </w:r>
      <w:r w:rsidR="00F10820" w:rsidRPr="00F10820">
        <w:rPr>
          <w:i/>
          <w:iCs/>
          <w:lang w:val="lv-LV"/>
        </w:rPr>
        <w:t>s</w:t>
      </w:r>
      <w:r w:rsidR="00680034" w:rsidRPr="00950543">
        <w:rPr>
          <w:lang w:val="lv-LV"/>
        </w:rPr>
        <w:t>). Ņemot vērā, ka normatīvais regulējums vienādi attiecas uz visiem komersantiem, nešķirojot tos pēc kapitāla piederības Latvijai vai citai valstij, nav konstatējama diskriminējoša attieksme pēc kapitāla piederības kritērija.</w:t>
      </w:r>
    </w:p>
    <w:p w14:paraId="3684A327" w14:textId="7BA30AAD" w:rsidR="00F10820" w:rsidRDefault="00F10820" w:rsidP="00EC3193">
      <w:pPr>
        <w:pStyle w:val="c01pointnumerotealtn"/>
        <w:spacing w:before="0" w:beforeAutospacing="0" w:after="0" w:afterAutospacing="0" w:line="276" w:lineRule="auto"/>
        <w:ind w:firstLine="567"/>
        <w:jc w:val="both"/>
        <w:rPr>
          <w:lang w:val="lv-LV"/>
        </w:rPr>
      </w:pPr>
      <w:r>
        <w:rPr>
          <w:lang w:val="lv-LV"/>
        </w:rPr>
        <w:t>Tiesa</w:t>
      </w:r>
      <w:r w:rsidR="00E9024A">
        <w:rPr>
          <w:lang w:val="lv-LV"/>
        </w:rPr>
        <w:t xml:space="preserve"> arī</w:t>
      </w:r>
      <w:r>
        <w:rPr>
          <w:lang w:val="lv-LV"/>
        </w:rPr>
        <w:t xml:space="preserve"> </w:t>
      </w:r>
      <w:r w:rsidR="00680034" w:rsidRPr="00950543">
        <w:rPr>
          <w:lang w:val="lv-LV"/>
        </w:rPr>
        <w:t xml:space="preserve">ir atzinusi, ka attiecībā uz azartspēlēm principā </w:t>
      </w:r>
      <w:r w:rsidR="00E55249" w:rsidRPr="00950543">
        <w:rPr>
          <w:lang w:val="lv-LV"/>
        </w:rPr>
        <w:t xml:space="preserve">katrs ierobežojums </w:t>
      </w:r>
      <w:r w:rsidR="00680034" w:rsidRPr="00950543">
        <w:rPr>
          <w:lang w:val="lv-LV"/>
        </w:rPr>
        <w:t xml:space="preserve">ir jāpārbauda atsevišķi </w:t>
      </w:r>
      <w:r w:rsidR="00E9024A">
        <w:rPr>
          <w:lang w:val="lv-LV"/>
        </w:rPr>
        <w:t>(</w:t>
      </w:r>
      <w:r w:rsidR="00E9024A" w:rsidRPr="00E9024A">
        <w:rPr>
          <w:i/>
          <w:iCs/>
          <w:lang w:val="lv-LV"/>
        </w:rPr>
        <w:t>nevis katrs mērķis, kā kasācijas sūdzībā norādījusi pieteicēja</w:t>
      </w:r>
      <w:r w:rsidR="00E9024A">
        <w:rPr>
          <w:lang w:val="lv-LV"/>
        </w:rPr>
        <w:t>)</w:t>
      </w:r>
      <w:r w:rsidR="00680034" w:rsidRPr="00950543">
        <w:rPr>
          <w:lang w:val="lv-LV"/>
        </w:rPr>
        <w:t xml:space="preserve">, vai tas ir piemērots, lai nodrošinātu mērķa vai mērķu īstenošanu, un vai tas nepārsniedz to, kas nepieciešams </w:t>
      </w:r>
      <w:r w:rsidR="00E9024A">
        <w:rPr>
          <w:lang w:val="lv-LV"/>
        </w:rPr>
        <w:t>to</w:t>
      </w:r>
      <w:r w:rsidR="00680034" w:rsidRPr="00950543">
        <w:rPr>
          <w:lang w:val="lv-LV"/>
        </w:rPr>
        <w:t xml:space="preserve"> sasniegšanai</w:t>
      </w:r>
      <w:r w:rsidR="00E9024A">
        <w:rPr>
          <w:lang w:val="lv-LV"/>
        </w:rPr>
        <w:t>.</w:t>
      </w:r>
      <w:r w:rsidR="00680034" w:rsidRPr="00950543">
        <w:rPr>
          <w:lang w:val="lv-LV"/>
        </w:rPr>
        <w:t xml:space="preserve"> </w:t>
      </w:r>
      <w:r>
        <w:rPr>
          <w:lang w:val="lv-LV"/>
        </w:rPr>
        <w:t>P</w:t>
      </w:r>
      <w:r w:rsidR="00680034" w:rsidRPr="00950543">
        <w:rPr>
          <w:lang w:val="lv-LV"/>
        </w:rPr>
        <w:t>at ja citu veiksmes spēļu, piemēram, futbola spēļu prognožu vai tā saukto „bingo” spēļu, kuras savukārt ir atļautas minētajā dalībvalstī, likmju apmērs var būt salīdzināms ar loteriju likmju apmēru un pat ja tajās ir ievērojama nejaušības daļa, to mērķis, noteikumi, kā arī organizēšanas noteikumi atšķiras no citās dalībvalstīs rīkotām liela apjoma loterijām. Tādējādi šīs citas spēles neatrodas salīdzināmā situācijā ar loterijām, kuras ir aizliegtas ar minētās dalībvalsts tiesību aktiem, un tās nevar tikt tām pielīdzinātas (</w:t>
      </w:r>
      <w:r w:rsidR="005A2660" w:rsidRPr="005A2660">
        <w:rPr>
          <w:i/>
          <w:iCs/>
          <w:lang w:val="lv-LV"/>
        </w:rPr>
        <w:t>Eiropas Savienības Tiesas</w:t>
      </w:r>
      <w:r w:rsidR="005A2660">
        <w:rPr>
          <w:lang w:val="lv-LV"/>
        </w:rPr>
        <w:t xml:space="preserve"> </w:t>
      </w:r>
      <w:r w:rsidRPr="00F10820">
        <w:rPr>
          <w:i/>
          <w:iCs/>
          <w:lang w:val="lv-LV"/>
        </w:rPr>
        <w:t>2010.gada 8.septembra spriedum</w:t>
      </w:r>
      <w:r w:rsidR="005A2660">
        <w:rPr>
          <w:i/>
          <w:iCs/>
          <w:lang w:val="lv-LV"/>
        </w:rPr>
        <w:t>a</w:t>
      </w:r>
      <w:r w:rsidRPr="00F10820">
        <w:rPr>
          <w:i/>
          <w:iCs/>
          <w:lang w:val="lv-LV"/>
        </w:rPr>
        <w:t xml:space="preserve"> lietā </w:t>
      </w:r>
      <w:r w:rsidR="005A2660" w:rsidRPr="00C53CBA">
        <w:rPr>
          <w:i/>
          <w:iCs/>
          <w:lang w:val="lv-LV"/>
        </w:rPr>
        <w:t>„</w:t>
      </w:r>
      <w:proofErr w:type="spellStart"/>
      <w:r w:rsidR="005A2660" w:rsidRPr="00F10820">
        <w:rPr>
          <w:i/>
          <w:iCs/>
          <w:lang w:val="lv-LV"/>
        </w:rPr>
        <w:t>Carmen</w:t>
      </w:r>
      <w:proofErr w:type="spellEnd"/>
      <w:r w:rsidR="005A2660" w:rsidRPr="00F10820">
        <w:rPr>
          <w:i/>
          <w:iCs/>
          <w:lang w:val="lv-LV"/>
        </w:rPr>
        <w:t xml:space="preserve"> </w:t>
      </w:r>
      <w:proofErr w:type="spellStart"/>
      <w:r w:rsidR="005A2660" w:rsidRPr="00F10820">
        <w:rPr>
          <w:i/>
          <w:iCs/>
          <w:lang w:val="lv-LV"/>
        </w:rPr>
        <w:t>Media</w:t>
      </w:r>
      <w:proofErr w:type="spellEnd"/>
      <w:r w:rsidR="005A2660" w:rsidRPr="00F10820">
        <w:rPr>
          <w:i/>
          <w:iCs/>
          <w:lang w:val="lv-LV"/>
        </w:rPr>
        <w:t xml:space="preserve"> </w:t>
      </w:r>
      <w:proofErr w:type="spellStart"/>
      <w:r w:rsidR="005A2660" w:rsidRPr="00F10820">
        <w:rPr>
          <w:i/>
          <w:iCs/>
          <w:lang w:val="lv-LV"/>
        </w:rPr>
        <w:t>Group</w:t>
      </w:r>
      <w:proofErr w:type="spellEnd"/>
      <w:r w:rsidR="005A2660">
        <w:rPr>
          <w:i/>
          <w:iCs/>
          <w:lang w:val="lv-LV"/>
        </w:rPr>
        <w:t>”</w:t>
      </w:r>
      <w:r w:rsidR="005A2660" w:rsidRPr="00F10820">
        <w:rPr>
          <w:i/>
          <w:iCs/>
          <w:lang w:val="lv-LV"/>
        </w:rPr>
        <w:t xml:space="preserve">, </w:t>
      </w:r>
      <w:r w:rsidRPr="00F10820">
        <w:rPr>
          <w:i/>
          <w:iCs/>
          <w:lang w:val="lv-LV"/>
        </w:rPr>
        <w:t>C-46/08</w:t>
      </w:r>
      <w:r w:rsidR="005A2660">
        <w:rPr>
          <w:i/>
          <w:iCs/>
          <w:lang w:val="lv-LV"/>
        </w:rPr>
        <w:t>,</w:t>
      </w:r>
      <w:r w:rsidRPr="00F10820">
        <w:rPr>
          <w:i/>
          <w:iCs/>
          <w:lang w:val="lv-LV"/>
        </w:rPr>
        <w:t xml:space="preserve"> ECLI:EU:C:2010:505,</w:t>
      </w:r>
      <w:r w:rsidR="00680034" w:rsidRPr="00F10820">
        <w:rPr>
          <w:i/>
          <w:iCs/>
          <w:lang w:val="lv-LV"/>
        </w:rPr>
        <w:t xml:space="preserve"> </w:t>
      </w:r>
      <w:r>
        <w:rPr>
          <w:i/>
          <w:iCs/>
          <w:lang w:val="lv-LV"/>
        </w:rPr>
        <w:t>60.</w:t>
      </w:r>
      <w:r w:rsidR="00223198">
        <w:rPr>
          <w:i/>
          <w:iCs/>
          <w:lang w:val="lv-LV"/>
        </w:rPr>
        <w:t>–</w:t>
      </w:r>
      <w:r w:rsidR="00680034" w:rsidRPr="00F10820">
        <w:rPr>
          <w:i/>
          <w:iCs/>
          <w:lang w:val="lv-LV"/>
        </w:rPr>
        <w:t>61</w:t>
      </w:r>
      <w:r w:rsidR="00680034" w:rsidRPr="00950543">
        <w:rPr>
          <w:i/>
          <w:iCs/>
          <w:lang w:val="lv-LV"/>
        </w:rPr>
        <w:t>.punkts</w:t>
      </w:r>
      <w:r w:rsidR="00680034" w:rsidRPr="00950543">
        <w:rPr>
          <w:lang w:val="lv-LV"/>
        </w:rPr>
        <w:t>).</w:t>
      </w:r>
    </w:p>
    <w:p w14:paraId="63838BF3" w14:textId="2621DEEB" w:rsidR="00F10820" w:rsidRDefault="00F10820" w:rsidP="00EC3193">
      <w:pPr>
        <w:pStyle w:val="c01pointnumerotealtn"/>
        <w:spacing w:before="0" w:beforeAutospacing="0" w:after="0" w:afterAutospacing="0" w:line="276" w:lineRule="auto"/>
        <w:ind w:firstLine="567"/>
        <w:jc w:val="both"/>
        <w:rPr>
          <w:lang w:val="lv-LV"/>
        </w:rPr>
      </w:pPr>
      <w:r>
        <w:rPr>
          <w:lang w:val="lv-LV"/>
        </w:rPr>
        <w:t xml:space="preserve">Kā pamatoti atzīmējusi apgabaltiesa, </w:t>
      </w:r>
      <w:r w:rsidR="00680034" w:rsidRPr="00950543">
        <w:rPr>
          <w:bCs/>
          <w:shd w:val="clear" w:color="auto" w:fill="FFFFFF"/>
          <w:lang w:val="lv-LV"/>
        </w:rPr>
        <w:t>Azartspēļu un izložu likum</w:t>
      </w:r>
      <w:r w:rsidR="00E9024A">
        <w:rPr>
          <w:bCs/>
          <w:shd w:val="clear" w:color="auto" w:fill="FFFFFF"/>
          <w:lang w:val="lv-LV"/>
        </w:rPr>
        <w:t>ā</w:t>
      </w:r>
      <w:r>
        <w:rPr>
          <w:bCs/>
          <w:shd w:val="clear" w:color="auto" w:fill="FFFFFF"/>
          <w:lang w:val="lv-LV"/>
        </w:rPr>
        <w:t xml:space="preserve"> attiecībā uz </w:t>
      </w:r>
      <w:r w:rsidR="00680034" w:rsidRPr="00950543">
        <w:rPr>
          <w:lang w:val="lv-LV"/>
        </w:rPr>
        <w:t>kazino ir</w:t>
      </w:r>
      <w:r>
        <w:rPr>
          <w:lang w:val="lv-LV"/>
        </w:rPr>
        <w:t xml:space="preserve"> notei</w:t>
      </w:r>
      <w:r w:rsidR="00E9024A">
        <w:rPr>
          <w:lang w:val="lv-LV"/>
        </w:rPr>
        <w:t>ktas</w:t>
      </w:r>
      <w:r>
        <w:rPr>
          <w:lang w:val="lv-LV"/>
        </w:rPr>
        <w:t xml:space="preserve"> papildu prasības</w:t>
      </w:r>
      <w:r w:rsidR="00680034" w:rsidRPr="00950543">
        <w:rPr>
          <w:shd w:val="clear" w:color="auto" w:fill="FFFFFF"/>
          <w:lang w:val="lv-LV"/>
        </w:rPr>
        <w:t>.</w:t>
      </w:r>
      <w:r>
        <w:rPr>
          <w:shd w:val="clear" w:color="auto" w:fill="FFFFFF"/>
          <w:lang w:val="lv-LV"/>
        </w:rPr>
        <w:t xml:space="preserve"> </w:t>
      </w:r>
      <w:r w:rsidR="00680034" w:rsidRPr="00950543">
        <w:rPr>
          <w:bCs/>
          <w:lang w:val="lv-LV" w:eastAsia="lv-LV"/>
        </w:rPr>
        <w:t>Azartspēļu un izložu politikas</w:t>
      </w:r>
      <w:r w:rsidR="00680034" w:rsidRPr="00950543">
        <w:rPr>
          <w:lang w:val="lv-LV"/>
        </w:rPr>
        <w:t xml:space="preserve"> pamatnostādņu 2019.</w:t>
      </w:r>
      <w:r w:rsidR="00A412AB">
        <w:rPr>
          <w:i/>
          <w:iCs/>
          <w:lang w:val="lv-LV"/>
        </w:rPr>
        <w:t>–</w:t>
      </w:r>
      <w:proofErr w:type="gramStart"/>
      <w:r w:rsidR="00680034" w:rsidRPr="00950543">
        <w:rPr>
          <w:lang w:val="lv-LV"/>
        </w:rPr>
        <w:t>2026.gadam</w:t>
      </w:r>
      <w:proofErr w:type="gramEnd"/>
      <w:r w:rsidR="00680034" w:rsidRPr="00950543">
        <w:rPr>
          <w:lang w:val="lv-LV"/>
        </w:rPr>
        <w:t>, kas 2019.gada 10.janvārī izsludināta</w:t>
      </w:r>
      <w:r w:rsidR="00504CAC">
        <w:rPr>
          <w:lang w:val="lv-LV"/>
        </w:rPr>
        <w:t>s</w:t>
      </w:r>
      <w:r w:rsidR="00680034" w:rsidRPr="00950543">
        <w:rPr>
          <w:lang w:val="lv-LV"/>
        </w:rPr>
        <w:t xml:space="preserve"> Valsts sekretāru sanāksmē, pielikumā, balstoties uz starptautiskiem pētījumiem, ir norādīts, ka līdzšinējā starptautiskā prakse augsta riska azartspēļu ierobežošanā ir balstīta uz gūto pieredzi spēļu automātu pieejamības ierobežošanā, nosakot spēļu automātu maksimālo limitu konkrētā teritorijā un norises vietā vai spēļu automātu blīvumu konkrētā teritorijā. Ilgstošā laik</w:t>
      </w:r>
      <w:r>
        <w:rPr>
          <w:lang w:val="lv-LV"/>
        </w:rPr>
        <w:t>posmā</w:t>
      </w:r>
      <w:r w:rsidR="00680034" w:rsidRPr="00950543">
        <w:rPr>
          <w:lang w:val="lv-LV"/>
        </w:rPr>
        <w:t xml:space="preserve"> novērota azartspēļu spēlēšanas izplatības samazināšanās iedzīvotāju populācijā, kas veicina arī problemātisku un patoloģisku spēlēšanas paradumu riska samazināšanos. Pierādījumi apliecina pastāvošo saikni starp spēļu automātu blīvumu un iedzīvotāju izdevumiem azartspēļu spēlēšanai. Jo lielāks ir spēļu automātu blīvums konkrētā teritorijā, jo lielāks ir pavadītais laiks un izdevumi azartspēļu spēlēšanai</w:t>
      </w:r>
      <w:r w:rsidR="00DB4567">
        <w:rPr>
          <w:lang w:val="lv-LV"/>
        </w:rPr>
        <w:t>,</w:t>
      </w:r>
      <w:r>
        <w:rPr>
          <w:rStyle w:val="FootnoteReference"/>
          <w:lang w:val="lv-LV"/>
        </w:rPr>
        <w:t>,</w:t>
      </w:r>
      <w:r w:rsidR="00680034" w:rsidRPr="00950543">
        <w:rPr>
          <w:lang w:val="lv-LV"/>
        </w:rPr>
        <w:t xml:space="preserve"> kā arī augstāks ir noziedzības un bezdarba līmenis. Balstoties uz pētījuma datiem, augsts spēļu automātu blīvums tiek saistīts ar lielāku iedzīvotāju pieprasījumu pēc palīdzības saņemšanas problemātisku spēlēšanas paradumu rezultātā (</w:t>
      </w:r>
      <w:r w:rsidR="00DB4567">
        <w:rPr>
          <w:lang w:val="lv-LV"/>
        </w:rPr>
        <w:t xml:space="preserve">pieejams: </w:t>
      </w:r>
      <w:hyperlink r:id="rId10" w:history="1">
        <w:r w:rsidR="00680034" w:rsidRPr="00AC4B81">
          <w:rPr>
            <w:rStyle w:val="Hyperlink"/>
            <w:i/>
            <w:iCs/>
            <w:color w:val="auto"/>
            <w:u w:val="none"/>
            <w:lang w:val="lv-LV"/>
          </w:rPr>
          <w:t>http://tap.mk.gov.lv/mk/tap/?pid=40468195</w:t>
        </w:r>
      </w:hyperlink>
      <w:r w:rsidR="00680034" w:rsidRPr="00AC4B81">
        <w:rPr>
          <w:rStyle w:val="Hyperlink"/>
          <w:i/>
          <w:iCs/>
          <w:color w:val="auto"/>
          <w:u w:val="none"/>
          <w:lang w:val="lv-LV"/>
        </w:rPr>
        <w:t>,</w:t>
      </w:r>
      <w:r w:rsidR="00DB4567">
        <w:rPr>
          <w:rStyle w:val="Hyperlink"/>
          <w:i/>
          <w:iCs/>
          <w:color w:val="auto"/>
          <w:u w:val="none"/>
          <w:lang w:val="lv-LV"/>
        </w:rPr>
        <w:t xml:space="preserve"> </w:t>
      </w:r>
      <w:r w:rsidR="00680034" w:rsidRPr="006B13F1">
        <w:rPr>
          <w:i/>
          <w:iCs/>
          <w:lang w:val="lv-LV"/>
        </w:rPr>
        <w:t>52.</w:t>
      </w:r>
      <w:r w:rsidR="00A412AB">
        <w:rPr>
          <w:i/>
          <w:iCs/>
          <w:lang w:val="lv-LV"/>
        </w:rPr>
        <w:t>–</w:t>
      </w:r>
      <w:r w:rsidR="00680034" w:rsidRPr="006B13F1">
        <w:rPr>
          <w:i/>
          <w:iCs/>
          <w:lang w:val="lv-LV"/>
        </w:rPr>
        <w:t>53.lp.</w:t>
      </w:r>
      <w:r w:rsidR="00680034" w:rsidRPr="00950543">
        <w:rPr>
          <w:lang w:val="lv-LV"/>
        </w:rPr>
        <w:t>).</w:t>
      </w:r>
      <w:r>
        <w:rPr>
          <w:lang w:val="lv-LV"/>
        </w:rPr>
        <w:t xml:space="preserve"> </w:t>
      </w:r>
      <w:r w:rsidR="00680034" w:rsidRPr="00950543">
        <w:rPr>
          <w:lang w:val="lv-LV"/>
        </w:rPr>
        <w:t>Saskaņā ar Izložu un azartspēļu uzraudzības inspekcijas datiem (</w:t>
      </w:r>
      <w:r w:rsidR="00DB4567">
        <w:rPr>
          <w:lang w:val="lv-LV"/>
        </w:rPr>
        <w:t xml:space="preserve">pieejams: </w:t>
      </w:r>
      <w:hyperlink r:id="rId11" w:history="1">
        <w:r w:rsidR="00680034" w:rsidRPr="00AC4B81">
          <w:rPr>
            <w:rStyle w:val="Hyperlink"/>
            <w:i/>
            <w:iCs/>
            <w:color w:val="auto"/>
            <w:u w:val="none"/>
            <w:lang w:val="lv-LV"/>
          </w:rPr>
          <w:t>https://www.iaui.gov.lv/lv/statistika/azartspeles-statistika?id=192</w:t>
        </w:r>
      </w:hyperlink>
      <w:r w:rsidR="00680034" w:rsidRPr="00950543">
        <w:rPr>
          <w:lang w:val="lv-LV"/>
        </w:rPr>
        <w:t xml:space="preserve">) Rīgā 2020.gada februārī bija 145 spēļu zāles ar 4056 spēļu iekārtām zālēs un trīs kazino ar 123 iekārtām kazino. Tas uzskatāmi liecina par spēļu zāļu un tajās uzstādīto azartspēļu automātu nomācošo dominanci attiecībā pret kazino. Līdz ar to </w:t>
      </w:r>
      <w:r>
        <w:rPr>
          <w:lang w:val="lv-LV"/>
        </w:rPr>
        <w:t>apgabaltiesa pareizi ir</w:t>
      </w:r>
      <w:r w:rsidR="00680034" w:rsidRPr="00950543">
        <w:rPr>
          <w:lang w:val="lv-LV"/>
        </w:rPr>
        <w:t xml:space="preserve"> atz</w:t>
      </w:r>
      <w:r>
        <w:rPr>
          <w:lang w:val="lv-LV"/>
        </w:rPr>
        <w:t>inusi</w:t>
      </w:r>
      <w:r w:rsidR="00680034" w:rsidRPr="00950543">
        <w:rPr>
          <w:lang w:val="lv-LV"/>
        </w:rPr>
        <w:t>, ka spēļu zāles un kazino neatrodas salīdzināmā situācijā to izplatības, spēļu automātu pieejamības un atkarības izveidošanās riska iespējamības kontekstā.</w:t>
      </w:r>
    </w:p>
    <w:p w14:paraId="0789D115" w14:textId="7CB70666" w:rsidR="00724D8C" w:rsidRDefault="00F10820" w:rsidP="00EC3193">
      <w:pPr>
        <w:pStyle w:val="ListParagraph"/>
        <w:tabs>
          <w:tab w:val="left" w:pos="0"/>
        </w:tabs>
        <w:spacing w:line="276" w:lineRule="auto"/>
        <w:ind w:left="0" w:firstLine="567"/>
        <w:jc w:val="both"/>
        <w:rPr>
          <w:shd w:val="clear" w:color="auto" w:fill="FFFFFF"/>
        </w:rPr>
      </w:pPr>
      <w:r>
        <w:rPr>
          <w:shd w:val="clear" w:color="auto" w:fill="FFFFFF"/>
        </w:rPr>
        <w:lastRenderedPageBreak/>
        <w:t>Apgabaltiesa, atsaucoties uz Satversmes tiesas spriedumu, pamatoti arī secinājusi</w:t>
      </w:r>
      <w:r w:rsidR="00680034" w:rsidRPr="00950543">
        <w:rPr>
          <w:shd w:val="clear" w:color="auto" w:fill="FFFFFF"/>
        </w:rPr>
        <w:t>, ka spēļu zāļu īpašnieki, kuru spēļu zāles neatrodas četru un piecu zvaigžņu viesnīcās, netiek diskriminēti, salīdzinot ar tiem uzņēmējiem, kuru spēļu zāles atrodas četru un piecu zvaigžņu viesnīcās.</w:t>
      </w:r>
    </w:p>
    <w:p w14:paraId="0BF0AF0F" w14:textId="77777777" w:rsidR="007B1139" w:rsidRDefault="007B1139" w:rsidP="00EC3193">
      <w:pPr>
        <w:pStyle w:val="ListParagraph"/>
        <w:tabs>
          <w:tab w:val="left" w:pos="0"/>
        </w:tabs>
        <w:spacing w:line="276" w:lineRule="auto"/>
        <w:ind w:left="0" w:firstLine="426"/>
        <w:jc w:val="both"/>
        <w:rPr>
          <w:shd w:val="clear" w:color="auto" w:fill="FFFFFF"/>
        </w:rPr>
      </w:pPr>
    </w:p>
    <w:p w14:paraId="6BEE2C02" w14:textId="04E18271" w:rsidR="00ED0753" w:rsidRPr="00724D8C" w:rsidRDefault="007B1139" w:rsidP="00EC3193">
      <w:pPr>
        <w:pStyle w:val="ListParagraph"/>
        <w:tabs>
          <w:tab w:val="left" w:pos="0"/>
        </w:tabs>
        <w:spacing w:line="276" w:lineRule="auto"/>
        <w:ind w:left="0" w:firstLine="567"/>
        <w:jc w:val="both"/>
        <w:rPr>
          <w:shd w:val="clear" w:color="auto" w:fill="FFFFFF"/>
        </w:rPr>
      </w:pPr>
      <w:r>
        <w:rPr>
          <w:shd w:val="clear" w:color="auto" w:fill="FFFFFF"/>
        </w:rPr>
        <w:t>[1</w:t>
      </w:r>
      <w:r w:rsidR="00766AF2">
        <w:rPr>
          <w:shd w:val="clear" w:color="auto" w:fill="FFFFFF"/>
        </w:rPr>
        <w:t>0</w:t>
      </w:r>
      <w:r>
        <w:rPr>
          <w:shd w:val="clear" w:color="auto" w:fill="FFFFFF"/>
        </w:rPr>
        <w:t>]</w:t>
      </w:r>
      <w:r w:rsidR="002469FE">
        <w:rPr>
          <w:shd w:val="clear" w:color="auto" w:fill="FFFFFF"/>
        </w:rPr>
        <w:t> </w:t>
      </w:r>
      <w:r w:rsidR="00ED0753" w:rsidRPr="00724D8C">
        <w:rPr>
          <w:shd w:val="clear" w:color="auto" w:fill="FFFFFF"/>
        </w:rPr>
        <w:t xml:space="preserve">Senāts nesaskata kļūdas arī </w:t>
      </w:r>
      <w:r w:rsidR="00E9024A" w:rsidRPr="00724D8C">
        <w:rPr>
          <w:shd w:val="clear" w:color="auto" w:fill="FFFFFF"/>
        </w:rPr>
        <w:t xml:space="preserve">apgabaltiesas </w:t>
      </w:r>
      <w:r w:rsidR="00ED0753" w:rsidRPr="00724D8C">
        <w:rPr>
          <w:shd w:val="clear" w:color="auto" w:fill="FFFFFF"/>
        </w:rPr>
        <w:t xml:space="preserve">vērtējumā par </w:t>
      </w:r>
      <w:r w:rsidR="00AC4B81">
        <w:rPr>
          <w:shd w:val="clear" w:color="auto" w:fill="FFFFFF"/>
        </w:rPr>
        <w:t>valsts akciju sabiedrības</w:t>
      </w:r>
      <w:r w:rsidR="00ED0753" w:rsidRPr="00724D8C">
        <w:rPr>
          <w:shd w:val="clear" w:color="auto" w:fill="FFFFFF"/>
        </w:rPr>
        <w:t xml:space="preserve"> </w:t>
      </w:r>
      <w:r w:rsidR="002D5EA0" w:rsidRPr="00A373E2">
        <w:rPr>
          <w:color w:val="000000"/>
        </w:rPr>
        <w:t>„</w:t>
      </w:r>
      <w:r w:rsidR="00ED0753" w:rsidRPr="00724D8C">
        <w:rPr>
          <w:shd w:val="clear" w:color="auto" w:fill="FFFFFF"/>
        </w:rPr>
        <w:t>Latvijas Loto”</w:t>
      </w:r>
      <w:r w:rsidR="002469FE">
        <w:rPr>
          <w:shd w:val="clear" w:color="auto" w:fill="FFFFFF"/>
        </w:rPr>
        <w:t xml:space="preserve"> </w:t>
      </w:r>
      <w:r w:rsidR="00ED0753" w:rsidRPr="00724D8C">
        <w:rPr>
          <w:shd w:val="clear" w:color="auto" w:fill="FFFFFF"/>
        </w:rPr>
        <w:t xml:space="preserve">darbību. </w:t>
      </w:r>
    </w:p>
    <w:p w14:paraId="50B052FA" w14:textId="29090904" w:rsidR="00B55F9C" w:rsidRDefault="00724D8C" w:rsidP="00EC3193">
      <w:pPr>
        <w:pStyle w:val="c01pointnumerotealtn"/>
        <w:shd w:val="clear" w:color="auto" w:fill="FFFFFF"/>
        <w:spacing w:before="0" w:beforeAutospacing="0" w:after="0" w:afterAutospacing="0" w:line="276" w:lineRule="auto"/>
        <w:ind w:firstLine="567"/>
        <w:jc w:val="both"/>
        <w:rPr>
          <w:lang w:val="lv-LV"/>
        </w:rPr>
      </w:pPr>
      <w:r>
        <w:rPr>
          <w:lang w:val="lv-LV"/>
        </w:rPr>
        <w:t xml:space="preserve">Eiropas Savienības Tiesa </w:t>
      </w:r>
      <w:r w:rsidR="00ED0753" w:rsidRPr="00950543">
        <w:rPr>
          <w:lang w:val="lv-LV"/>
        </w:rPr>
        <w:t xml:space="preserve">ir atzinusi, ka valsts monopols azartspēļu organizēšanā pats par sevi ir pieļaujams un dažāda veida azartspēles neatrodas salīdzināmā situācijā pēc to normatīvā regulējuma un atkarības riska izveidošanās iespējamības. </w:t>
      </w:r>
      <w:r w:rsidR="00504CAC" w:rsidRPr="00950543">
        <w:rPr>
          <w:lang w:val="lv-LV"/>
        </w:rPr>
        <w:t>Vienlai</w:t>
      </w:r>
      <w:r w:rsidR="00504CAC">
        <w:rPr>
          <w:lang w:val="lv-LV"/>
        </w:rPr>
        <w:t>kus</w:t>
      </w:r>
      <w:r w:rsidR="00504CAC" w:rsidRPr="00950543">
        <w:rPr>
          <w:lang w:val="lv-LV"/>
        </w:rPr>
        <w:t xml:space="preserve"> </w:t>
      </w:r>
      <w:r w:rsidR="00ED0753" w:rsidRPr="00950543">
        <w:rPr>
          <w:lang w:val="lv-LV"/>
        </w:rPr>
        <w:t>jautājums, vai valsts kopējā politika azartspēļu jom</w:t>
      </w:r>
      <w:r w:rsidR="00B55F9C">
        <w:rPr>
          <w:lang w:val="lv-LV"/>
        </w:rPr>
        <w:t>ā</w:t>
      </w:r>
      <w:r w:rsidR="00ED0753" w:rsidRPr="00950543">
        <w:rPr>
          <w:lang w:val="lv-LV"/>
        </w:rPr>
        <w:t xml:space="preserve"> ir saskanīga un sistemātiska, ir dalībvalsts tiesas kompetencē.</w:t>
      </w:r>
    </w:p>
    <w:p w14:paraId="718E38A1" w14:textId="46C19877" w:rsidR="007B1139" w:rsidRPr="0088280E" w:rsidRDefault="007B1139" w:rsidP="00EC3193">
      <w:pPr>
        <w:pStyle w:val="NormalWeb"/>
        <w:shd w:val="clear" w:color="auto" w:fill="FFFFFF"/>
        <w:spacing w:before="0" w:beforeAutospacing="0" w:after="0" w:afterAutospacing="0" w:line="276" w:lineRule="auto"/>
        <w:ind w:firstLine="567"/>
        <w:jc w:val="both"/>
        <w:rPr>
          <w:color w:val="000000"/>
          <w:lang w:val="lv-LV"/>
        </w:rPr>
      </w:pPr>
      <w:r>
        <w:rPr>
          <w:shd w:val="clear" w:color="auto" w:fill="FFFFFF"/>
          <w:lang w:val="lv-LV"/>
        </w:rPr>
        <w:t>Apgabaltiesa ir secinājusi, ka, lai</w:t>
      </w:r>
      <w:r w:rsidR="00A154D9">
        <w:rPr>
          <w:shd w:val="clear" w:color="auto" w:fill="FFFFFF"/>
          <w:lang w:val="lv-LV"/>
        </w:rPr>
        <w:t xml:space="preserve"> gan</w:t>
      </w:r>
      <w:r>
        <w:rPr>
          <w:shd w:val="clear" w:color="auto" w:fill="FFFFFF"/>
          <w:lang w:val="lv-LV"/>
        </w:rPr>
        <w:t xml:space="preserve"> </w:t>
      </w:r>
      <w:r w:rsidRPr="0088280E">
        <w:rPr>
          <w:color w:val="000000"/>
          <w:lang w:val="lv-LV"/>
        </w:rPr>
        <w:t>Valsts kases papildināšana ir viens no šāda regulējuma mērķiem, tomēr</w:t>
      </w:r>
      <w:r>
        <w:rPr>
          <w:shd w:val="clear" w:color="auto" w:fill="FFFFFF"/>
          <w:lang w:val="lv-LV"/>
        </w:rPr>
        <w:t xml:space="preserve"> g</w:t>
      </w:r>
      <w:r w:rsidRPr="0088280E">
        <w:rPr>
          <w:color w:val="000000"/>
          <w:lang w:val="lv-LV"/>
        </w:rPr>
        <w:t xml:space="preserve">rozījumu mērķis ir arī samazināt tieši nelegālo izložu piedāvājumu, nevis spēļu zāļu automātu spēlētājus pārvilināt uz izložu jomu. </w:t>
      </w:r>
    </w:p>
    <w:p w14:paraId="11D02390" w14:textId="0C02F336" w:rsidR="00854282" w:rsidRDefault="007B1139" w:rsidP="00EC3193">
      <w:pPr>
        <w:pStyle w:val="NormalWeb"/>
        <w:shd w:val="clear" w:color="auto" w:fill="FFFFFF"/>
        <w:spacing w:before="0" w:beforeAutospacing="0" w:after="0" w:afterAutospacing="0" w:line="276" w:lineRule="auto"/>
        <w:ind w:firstLine="567"/>
        <w:jc w:val="both"/>
        <w:rPr>
          <w:shd w:val="clear" w:color="auto" w:fill="FFFFFF"/>
          <w:lang w:val="lv-LV"/>
        </w:rPr>
      </w:pPr>
      <w:r>
        <w:rPr>
          <w:shd w:val="clear" w:color="auto" w:fill="FFFFFF"/>
          <w:lang w:val="lv-LV"/>
        </w:rPr>
        <w:t xml:space="preserve">No </w:t>
      </w:r>
      <w:r w:rsidR="00ED0753">
        <w:rPr>
          <w:shd w:val="clear" w:color="auto" w:fill="FFFFFF"/>
          <w:lang w:val="lv-LV"/>
        </w:rPr>
        <w:t>E</w:t>
      </w:r>
      <w:r>
        <w:rPr>
          <w:shd w:val="clear" w:color="auto" w:fill="FFFFFF"/>
          <w:lang w:val="lv-LV"/>
        </w:rPr>
        <w:t xml:space="preserve">iropas Savienības Tiesas judikatūras izriet, ka </w:t>
      </w:r>
      <w:r w:rsidR="00ED0753" w:rsidRPr="00950543">
        <w:rPr>
          <w:shd w:val="clear" w:color="auto" w:fill="FFFFFF"/>
          <w:lang w:val="lv-LV"/>
        </w:rPr>
        <w:t xml:space="preserve">politiku var uzskatīt par saskaņotu, ja nelikumīgo darbību apmērs </w:t>
      </w:r>
      <w:r>
        <w:rPr>
          <w:shd w:val="clear" w:color="auto" w:fill="FFFFFF"/>
          <w:lang w:val="lv-LV"/>
        </w:rPr>
        <w:t>ir liel</w:t>
      </w:r>
      <w:r w:rsidR="00ED0753" w:rsidRPr="00950543">
        <w:rPr>
          <w:shd w:val="clear" w:color="auto" w:fill="FFFFFF"/>
          <w:lang w:val="lv-LV"/>
        </w:rPr>
        <w:t>s un ja ieviestie pasākumi vērsti, lai novirzītu patērētāju vēlmi spēlēt legālā vidē (</w:t>
      </w:r>
      <w:proofErr w:type="gramStart"/>
      <w:r w:rsidR="00ED0753" w:rsidRPr="004B2EEB">
        <w:rPr>
          <w:i/>
          <w:iCs/>
          <w:shd w:val="clear" w:color="auto" w:fill="FFFFFF"/>
          <w:lang w:val="lv-LV"/>
        </w:rPr>
        <w:t>2010.gada</w:t>
      </w:r>
      <w:proofErr w:type="gramEnd"/>
      <w:r w:rsidR="00ED0753" w:rsidRPr="004B2EEB">
        <w:rPr>
          <w:i/>
          <w:iCs/>
          <w:shd w:val="clear" w:color="auto" w:fill="FFFFFF"/>
          <w:lang w:val="lv-LV"/>
        </w:rPr>
        <w:t xml:space="preserve"> 3.jūnija sprieduma lietā </w:t>
      </w:r>
      <w:r w:rsidR="002469FE" w:rsidRPr="004B2EEB">
        <w:rPr>
          <w:i/>
          <w:iCs/>
          <w:shd w:val="clear" w:color="auto" w:fill="FFFFFF"/>
          <w:lang w:val="lv-LV"/>
        </w:rPr>
        <w:t>„</w:t>
      </w:r>
      <w:proofErr w:type="spellStart"/>
      <w:r w:rsidR="002469FE" w:rsidRPr="004B2EEB">
        <w:rPr>
          <w:i/>
          <w:iCs/>
          <w:shd w:val="clear" w:color="auto" w:fill="FFFFFF"/>
          <w:lang w:val="lv-LV"/>
        </w:rPr>
        <w:t>Ladbrokes</w:t>
      </w:r>
      <w:proofErr w:type="spellEnd"/>
      <w:r w:rsidR="002469FE" w:rsidRPr="004B2EEB">
        <w:rPr>
          <w:i/>
          <w:iCs/>
          <w:shd w:val="clear" w:color="auto" w:fill="FFFFFF"/>
          <w:lang w:val="lv-LV"/>
        </w:rPr>
        <w:t xml:space="preserve"> </w:t>
      </w:r>
      <w:proofErr w:type="spellStart"/>
      <w:r w:rsidR="002469FE" w:rsidRPr="004B2EEB">
        <w:rPr>
          <w:i/>
          <w:iCs/>
          <w:shd w:val="clear" w:color="auto" w:fill="FFFFFF"/>
          <w:lang w:val="lv-LV"/>
        </w:rPr>
        <w:t>Betting</w:t>
      </w:r>
      <w:proofErr w:type="spellEnd"/>
      <w:r w:rsidR="002469FE" w:rsidRPr="004B2EEB">
        <w:rPr>
          <w:i/>
          <w:iCs/>
          <w:shd w:val="clear" w:color="auto" w:fill="FFFFFF"/>
          <w:lang w:val="lv-LV"/>
        </w:rPr>
        <w:t xml:space="preserve"> &amp; </w:t>
      </w:r>
      <w:proofErr w:type="spellStart"/>
      <w:r w:rsidR="002469FE" w:rsidRPr="004B2EEB">
        <w:rPr>
          <w:i/>
          <w:iCs/>
          <w:shd w:val="clear" w:color="auto" w:fill="FFFFFF"/>
          <w:lang w:val="lv-LV"/>
        </w:rPr>
        <w:t>Gaming</w:t>
      </w:r>
      <w:proofErr w:type="spellEnd"/>
      <w:r w:rsidR="002469FE" w:rsidRPr="004B2EEB">
        <w:rPr>
          <w:i/>
          <w:iCs/>
          <w:shd w:val="clear" w:color="auto" w:fill="FFFFFF"/>
          <w:lang w:val="lv-LV"/>
        </w:rPr>
        <w:t xml:space="preserve"> </w:t>
      </w:r>
      <w:proofErr w:type="spellStart"/>
      <w:r w:rsidR="004E11EF">
        <w:rPr>
          <w:i/>
          <w:iCs/>
          <w:shd w:val="clear" w:color="auto" w:fill="FFFFFF"/>
          <w:lang w:val="lv-LV"/>
        </w:rPr>
        <w:t>and</w:t>
      </w:r>
      <w:proofErr w:type="spellEnd"/>
      <w:r w:rsidR="004E11EF" w:rsidRPr="004B2EEB">
        <w:rPr>
          <w:i/>
          <w:iCs/>
          <w:shd w:val="clear" w:color="auto" w:fill="FFFFFF"/>
          <w:lang w:val="lv-LV"/>
        </w:rPr>
        <w:t xml:space="preserve"> </w:t>
      </w:r>
      <w:proofErr w:type="spellStart"/>
      <w:r w:rsidR="002469FE" w:rsidRPr="004B2EEB">
        <w:rPr>
          <w:i/>
          <w:iCs/>
          <w:shd w:val="clear" w:color="auto" w:fill="FFFFFF"/>
          <w:lang w:val="lv-LV"/>
        </w:rPr>
        <w:t>Ladbrokes</w:t>
      </w:r>
      <w:proofErr w:type="spellEnd"/>
      <w:r w:rsidR="002469FE" w:rsidRPr="004B2EEB">
        <w:rPr>
          <w:i/>
          <w:iCs/>
          <w:shd w:val="clear" w:color="auto" w:fill="FFFFFF"/>
          <w:lang w:val="lv-LV"/>
        </w:rPr>
        <w:t xml:space="preserve"> </w:t>
      </w:r>
      <w:proofErr w:type="spellStart"/>
      <w:r w:rsidR="002469FE" w:rsidRPr="004B2EEB">
        <w:rPr>
          <w:i/>
          <w:iCs/>
          <w:shd w:val="clear" w:color="auto" w:fill="FFFFFF"/>
          <w:lang w:val="lv-LV"/>
        </w:rPr>
        <w:t>International</w:t>
      </w:r>
      <w:proofErr w:type="spellEnd"/>
      <w:r w:rsidR="002469FE" w:rsidRPr="004B2EEB">
        <w:rPr>
          <w:i/>
          <w:iCs/>
          <w:shd w:val="clear" w:color="auto" w:fill="FFFFFF"/>
          <w:lang w:val="lv-LV"/>
        </w:rPr>
        <w:t xml:space="preserve">”, </w:t>
      </w:r>
      <w:r w:rsidRPr="004B2EEB">
        <w:rPr>
          <w:i/>
          <w:iCs/>
          <w:shd w:val="clear" w:color="auto" w:fill="FFFFFF"/>
          <w:lang w:val="lv-LV"/>
        </w:rPr>
        <w:t>C</w:t>
      </w:r>
      <w:r w:rsidRPr="004B2EEB">
        <w:rPr>
          <w:i/>
          <w:iCs/>
          <w:shd w:val="clear" w:color="auto" w:fill="FFFFFF"/>
          <w:lang w:val="lv-LV"/>
        </w:rPr>
        <w:noBreakHyphen/>
        <w:t xml:space="preserve">258/08, </w:t>
      </w:r>
      <w:r w:rsidR="00ED0753" w:rsidRPr="004B2EEB">
        <w:rPr>
          <w:i/>
          <w:iCs/>
          <w:shd w:val="clear" w:color="auto" w:fill="FFFFFF"/>
          <w:lang w:val="lv-LV"/>
        </w:rPr>
        <w:t>ECLI:EU:C:2010:308, 30.punkts</w:t>
      </w:r>
      <w:r w:rsidR="00ED0753" w:rsidRPr="00950543">
        <w:rPr>
          <w:shd w:val="clear" w:color="auto" w:fill="FFFFFF"/>
          <w:lang w:val="lv-LV"/>
        </w:rPr>
        <w:t>).</w:t>
      </w:r>
    </w:p>
    <w:p w14:paraId="4E17AA7C" w14:textId="7C71A30D" w:rsidR="00854282" w:rsidRPr="004B2EEB" w:rsidRDefault="00854282" w:rsidP="00EC3193">
      <w:pPr>
        <w:pStyle w:val="NormalWeb"/>
        <w:shd w:val="clear" w:color="auto" w:fill="FFFFFF"/>
        <w:spacing w:before="0" w:beforeAutospacing="0" w:after="0" w:afterAutospacing="0" w:line="276" w:lineRule="auto"/>
        <w:ind w:firstLine="567"/>
        <w:jc w:val="both"/>
        <w:rPr>
          <w:spacing w:val="-4"/>
          <w:lang w:val="lv-LV"/>
        </w:rPr>
      </w:pPr>
      <w:r>
        <w:rPr>
          <w:shd w:val="clear" w:color="auto" w:fill="FFFFFF"/>
          <w:lang w:val="lv-LV"/>
        </w:rPr>
        <w:t xml:space="preserve">Lai arī apgabaltiesa nav norādījusi </w:t>
      </w:r>
      <w:r w:rsidRPr="0088280E">
        <w:rPr>
          <w:lang w:val="lv-LV"/>
        </w:rPr>
        <w:t xml:space="preserve">pierādījumus par nelegālo spēļu izplatību, no iepriekš minētā </w:t>
      </w:r>
      <w:r w:rsidRPr="00950543">
        <w:rPr>
          <w:bCs/>
          <w:lang w:val="lv-LV" w:eastAsia="lv-LV"/>
        </w:rPr>
        <w:t>Azartspēļu un izložu politikas</w:t>
      </w:r>
      <w:r w:rsidRPr="00950543">
        <w:rPr>
          <w:lang w:val="lv-LV"/>
        </w:rPr>
        <w:t xml:space="preserve"> pamatnostādņu 2019.</w:t>
      </w:r>
      <w:r w:rsidR="00A412AB">
        <w:rPr>
          <w:i/>
          <w:iCs/>
          <w:lang w:val="lv-LV"/>
        </w:rPr>
        <w:t>–</w:t>
      </w:r>
      <w:proofErr w:type="gramStart"/>
      <w:r w:rsidRPr="00950543">
        <w:rPr>
          <w:lang w:val="lv-LV"/>
        </w:rPr>
        <w:t>2026.gadam</w:t>
      </w:r>
      <w:proofErr w:type="gramEnd"/>
      <w:r>
        <w:rPr>
          <w:lang w:val="lv-LV"/>
        </w:rPr>
        <w:t xml:space="preserve"> pielikuma secināms, ka</w:t>
      </w:r>
      <w:r w:rsidRPr="00854282">
        <w:rPr>
          <w:shd w:val="clear" w:color="auto" w:fill="FFFFFF"/>
          <w:lang w:val="lv-LV"/>
        </w:rPr>
        <w:t xml:space="preserve"> 2018.gada pētījumi</w:t>
      </w:r>
      <w:r>
        <w:rPr>
          <w:shd w:val="clear" w:color="auto" w:fill="FFFFFF"/>
          <w:lang w:val="lv-LV"/>
        </w:rPr>
        <w:t xml:space="preserve"> liecina, ka</w:t>
      </w:r>
      <w:r w:rsidRPr="00854282">
        <w:rPr>
          <w:shd w:val="clear" w:color="auto" w:fill="FFFFFF"/>
          <w:lang w:val="lv-LV"/>
        </w:rPr>
        <w:t xml:space="preserve"> Latvijā nelegālā interaktīvo azartspēļu tirgus īpatsvars ir </w:t>
      </w:r>
      <w:r w:rsidR="004E11EF">
        <w:rPr>
          <w:shd w:val="clear" w:color="auto" w:fill="FFFFFF"/>
          <w:lang w:val="lv-LV"/>
        </w:rPr>
        <w:t xml:space="preserve">sestais </w:t>
      </w:r>
      <w:r w:rsidRPr="00854282">
        <w:rPr>
          <w:shd w:val="clear" w:color="auto" w:fill="FFFFFF"/>
          <w:lang w:val="lv-LV"/>
        </w:rPr>
        <w:t xml:space="preserve">lielākais Eiropā </w:t>
      </w:r>
      <w:r w:rsidR="006B53F6">
        <w:rPr>
          <w:shd w:val="clear" w:color="auto" w:fill="FFFFFF"/>
          <w:lang w:val="lv-LV"/>
        </w:rPr>
        <w:t>–</w:t>
      </w:r>
      <w:r w:rsidRPr="00854282">
        <w:rPr>
          <w:shd w:val="clear" w:color="auto" w:fill="FFFFFF"/>
          <w:lang w:val="lv-LV"/>
        </w:rPr>
        <w:t xml:space="preserve"> 66% jeb 22,3 milj. </w:t>
      </w:r>
      <w:proofErr w:type="spellStart"/>
      <w:r w:rsidRPr="002469FE">
        <w:rPr>
          <w:i/>
          <w:iCs/>
          <w:shd w:val="clear" w:color="auto" w:fill="FFFFFF"/>
          <w:lang w:val="lv-LV"/>
        </w:rPr>
        <w:t>euro</w:t>
      </w:r>
      <w:proofErr w:type="spellEnd"/>
      <w:r w:rsidRPr="00854282">
        <w:rPr>
          <w:shd w:val="clear" w:color="auto" w:fill="FFFFFF"/>
          <w:lang w:val="lv-LV"/>
        </w:rPr>
        <w:t>.</w:t>
      </w:r>
    </w:p>
    <w:p w14:paraId="79955D49" w14:textId="24D0335C" w:rsidR="005B10D1" w:rsidRPr="0088280E" w:rsidRDefault="005B10D1" w:rsidP="00EC3193">
      <w:pPr>
        <w:pStyle w:val="c01pointnumerotealtn"/>
        <w:spacing w:before="0" w:beforeAutospacing="0" w:after="0" w:afterAutospacing="0" w:line="276" w:lineRule="auto"/>
        <w:ind w:firstLine="426"/>
        <w:jc w:val="both"/>
        <w:rPr>
          <w:lang w:val="lv-LV"/>
        </w:rPr>
      </w:pPr>
    </w:p>
    <w:p w14:paraId="029D2888" w14:textId="41BA3C5E" w:rsidR="00680034" w:rsidRPr="00950543" w:rsidRDefault="005B10D1" w:rsidP="00EC3193">
      <w:pPr>
        <w:pStyle w:val="c01pointnumerotealtn"/>
        <w:spacing w:before="0" w:beforeAutospacing="0" w:after="0" w:afterAutospacing="0" w:line="276" w:lineRule="auto"/>
        <w:ind w:firstLine="567"/>
        <w:jc w:val="both"/>
        <w:rPr>
          <w:lang w:val="lv-LV"/>
        </w:rPr>
      </w:pPr>
      <w:r>
        <w:rPr>
          <w:lang w:val="lv-LV"/>
        </w:rPr>
        <w:t>[</w:t>
      </w:r>
      <w:r w:rsidR="00ED0753">
        <w:rPr>
          <w:lang w:val="lv-LV"/>
        </w:rPr>
        <w:t>1</w:t>
      </w:r>
      <w:r w:rsidR="00766AF2">
        <w:rPr>
          <w:lang w:val="lv-LV"/>
        </w:rPr>
        <w:t>1</w:t>
      </w:r>
      <w:r>
        <w:rPr>
          <w:lang w:val="lv-LV"/>
        </w:rPr>
        <w:t>]</w:t>
      </w:r>
      <w:r w:rsidR="002469FE">
        <w:rPr>
          <w:lang w:val="lv-LV"/>
        </w:rPr>
        <w:t> </w:t>
      </w:r>
      <w:r w:rsidR="00680034">
        <w:rPr>
          <w:lang w:val="lv-LV"/>
        </w:rPr>
        <w:t xml:space="preserve">Apgabaltiesa pamatoti nav piemērojusi </w:t>
      </w:r>
      <w:r w:rsidR="00680034" w:rsidRPr="00950543">
        <w:rPr>
          <w:lang w:val="lv-LV"/>
        </w:rPr>
        <w:t>Direktīvas 98/34</w:t>
      </w:r>
      <w:r w:rsidR="002469FE">
        <w:rPr>
          <w:lang w:val="lv-LV"/>
        </w:rPr>
        <w:t>/EK</w:t>
      </w:r>
      <w:r w:rsidR="00680034">
        <w:rPr>
          <w:lang w:val="lv-LV"/>
        </w:rPr>
        <w:t xml:space="preserve"> normas. Eiropas Savienības Tiesa</w:t>
      </w:r>
      <w:r w:rsidR="00680034" w:rsidRPr="00950543">
        <w:rPr>
          <w:lang w:val="lv-LV"/>
        </w:rPr>
        <w:t xml:space="preserve"> vairākkārt </w:t>
      </w:r>
      <w:r w:rsidR="002469FE">
        <w:rPr>
          <w:lang w:val="lv-LV"/>
        </w:rPr>
        <w:t>un</w:t>
      </w:r>
      <w:r w:rsidR="00680034" w:rsidRPr="00950543">
        <w:rPr>
          <w:lang w:val="lv-LV"/>
        </w:rPr>
        <w:t xml:space="preserve"> konsekventi atzinusi, ka saskaņā ar pastāvīgo judikatūru valsts tiesību normas, kurās ir tikai paredzēti tādi nosacījumi uzņēmumu dibināšanai vai to pakalpojumu sniegšanai kā tiesību normas, kurās ir noteikts, ka profesionālas darbības veikšanai ir vajadzīga iepriekšēja atļauja, nav „tehniskie noteikumi” Direktīvas 98/34</w:t>
      </w:r>
      <w:r w:rsidR="002469FE">
        <w:rPr>
          <w:lang w:val="lv-LV"/>
        </w:rPr>
        <w:t>/EK</w:t>
      </w:r>
      <w:r w:rsidR="00680034" w:rsidRPr="00950543">
        <w:rPr>
          <w:lang w:val="lv-LV"/>
        </w:rPr>
        <w:t xml:space="preserve"> 1.panta 11.punkta izpratnē (</w:t>
      </w:r>
      <w:r w:rsidR="00680034" w:rsidRPr="00AC4B81">
        <w:rPr>
          <w:iCs/>
          <w:lang w:val="lv-LV"/>
        </w:rPr>
        <w:t>piemēram,</w:t>
      </w:r>
      <w:r w:rsidR="00680034" w:rsidRPr="00734669">
        <w:rPr>
          <w:i/>
          <w:iCs/>
          <w:lang w:val="lv-LV"/>
        </w:rPr>
        <w:t xml:space="preserve"> 2005.gada 21.aprīļa spriedum</w:t>
      </w:r>
      <w:r w:rsidR="002469FE">
        <w:rPr>
          <w:i/>
          <w:iCs/>
          <w:lang w:val="lv-LV"/>
        </w:rPr>
        <w:t>a</w:t>
      </w:r>
      <w:r w:rsidR="00680034" w:rsidRPr="00734669">
        <w:rPr>
          <w:i/>
          <w:iCs/>
          <w:lang w:val="lv-LV"/>
        </w:rPr>
        <w:t xml:space="preserve"> lietā</w:t>
      </w:r>
      <w:r w:rsidR="002469FE">
        <w:rPr>
          <w:i/>
          <w:iCs/>
          <w:lang w:val="lv-LV"/>
        </w:rPr>
        <w:t xml:space="preserve"> </w:t>
      </w:r>
      <w:r w:rsidR="002469FE" w:rsidRPr="00734669">
        <w:rPr>
          <w:i/>
          <w:iCs/>
          <w:lang w:val="lv-LV"/>
        </w:rPr>
        <w:t>„Lindberg”</w:t>
      </w:r>
      <w:r w:rsidR="002469FE">
        <w:rPr>
          <w:i/>
          <w:iCs/>
          <w:lang w:val="lv-LV"/>
        </w:rPr>
        <w:t>,</w:t>
      </w:r>
      <w:r w:rsidR="00680034" w:rsidRPr="00734669">
        <w:rPr>
          <w:i/>
          <w:iCs/>
          <w:lang w:val="lv-LV"/>
        </w:rPr>
        <w:t xml:space="preserve"> </w:t>
      </w:r>
      <w:r w:rsidR="00811619" w:rsidRPr="00734669">
        <w:rPr>
          <w:i/>
          <w:iCs/>
          <w:lang w:val="lv-LV"/>
        </w:rPr>
        <w:t>C-267/03</w:t>
      </w:r>
      <w:r w:rsidR="00811619">
        <w:rPr>
          <w:i/>
          <w:iCs/>
          <w:lang w:val="lv-LV"/>
        </w:rPr>
        <w:t xml:space="preserve">, </w:t>
      </w:r>
      <w:r w:rsidR="00680034" w:rsidRPr="00734669">
        <w:rPr>
          <w:i/>
          <w:iCs/>
          <w:lang w:val="lv-LV"/>
        </w:rPr>
        <w:t>, ECLI:EU:C:2005:246, 87.punkt</w:t>
      </w:r>
      <w:r w:rsidR="00A412AB">
        <w:rPr>
          <w:i/>
          <w:iCs/>
          <w:lang w:val="lv-LV"/>
        </w:rPr>
        <w:t>s</w:t>
      </w:r>
      <w:r w:rsidR="00680034" w:rsidRPr="00734669">
        <w:rPr>
          <w:i/>
          <w:iCs/>
          <w:lang w:val="lv-LV"/>
        </w:rPr>
        <w:t xml:space="preserve">, </w:t>
      </w:r>
      <w:bookmarkStart w:id="7" w:name="_Hlk50102379"/>
      <w:r w:rsidR="00680034" w:rsidRPr="00734669">
        <w:rPr>
          <w:i/>
          <w:iCs/>
          <w:lang w:val="lv-LV"/>
        </w:rPr>
        <w:t>2017.gada 20.decembra spriedum</w:t>
      </w:r>
      <w:r w:rsidR="002469FE">
        <w:rPr>
          <w:i/>
          <w:iCs/>
          <w:lang w:val="lv-LV"/>
        </w:rPr>
        <w:t>a</w:t>
      </w:r>
      <w:r w:rsidR="00680034" w:rsidRPr="00734669">
        <w:rPr>
          <w:i/>
          <w:iCs/>
          <w:lang w:val="lv-LV"/>
        </w:rPr>
        <w:t xml:space="preserve"> lietā </w:t>
      </w:r>
      <w:r w:rsidR="002469FE" w:rsidRPr="00734669">
        <w:rPr>
          <w:i/>
          <w:iCs/>
          <w:lang w:val="lv-LV"/>
        </w:rPr>
        <w:t>„</w:t>
      </w:r>
      <w:proofErr w:type="spellStart"/>
      <w:r w:rsidR="002469FE" w:rsidRPr="00734669">
        <w:rPr>
          <w:i/>
          <w:iCs/>
          <w:lang w:val="lv-LV"/>
        </w:rPr>
        <w:t>Falbert</w:t>
      </w:r>
      <w:proofErr w:type="spellEnd"/>
      <w:r w:rsidR="002469FE" w:rsidRPr="00734669">
        <w:rPr>
          <w:i/>
          <w:iCs/>
          <w:lang w:val="lv-LV"/>
        </w:rPr>
        <w:t xml:space="preserve"> u.c.”, </w:t>
      </w:r>
      <w:r w:rsidR="00811619" w:rsidRPr="00734669">
        <w:rPr>
          <w:i/>
          <w:iCs/>
          <w:lang w:val="lv-LV"/>
        </w:rPr>
        <w:t xml:space="preserve">C-255/16, </w:t>
      </w:r>
      <w:r w:rsidR="00680034" w:rsidRPr="00734669">
        <w:rPr>
          <w:i/>
          <w:iCs/>
          <w:lang w:val="lv-LV"/>
        </w:rPr>
        <w:t xml:space="preserve">ECLI:EU:C:2017:983, </w:t>
      </w:r>
      <w:bookmarkEnd w:id="7"/>
      <w:r w:rsidR="00680034" w:rsidRPr="00734669">
        <w:rPr>
          <w:i/>
          <w:iCs/>
          <w:lang w:val="lv-LV"/>
        </w:rPr>
        <w:t>16.punkt</w:t>
      </w:r>
      <w:r w:rsidR="00A412AB">
        <w:rPr>
          <w:i/>
          <w:iCs/>
          <w:lang w:val="lv-LV"/>
        </w:rPr>
        <w:t>s</w:t>
      </w:r>
      <w:r w:rsidR="00680034" w:rsidRPr="00950543">
        <w:rPr>
          <w:lang w:val="lv-LV"/>
        </w:rPr>
        <w:t>).</w:t>
      </w:r>
    </w:p>
    <w:p w14:paraId="2E2267E3" w14:textId="77777777" w:rsidR="00680034" w:rsidRDefault="00680034" w:rsidP="00EC3193">
      <w:pPr>
        <w:pStyle w:val="c01pointnumerotealtn"/>
        <w:spacing w:before="0" w:beforeAutospacing="0" w:after="0" w:afterAutospacing="0" w:line="276" w:lineRule="auto"/>
        <w:ind w:firstLine="426"/>
        <w:jc w:val="both"/>
        <w:rPr>
          <w:lang w:val="lv-LV"/>
        </w:rPr>
      </w:pPr>
    </w:p>
    <w:p w14:paraId="45A8333D" w14:textId="542F5ED1" w:rsidR="003C4A37" w:rsidRDefault="00680034" w:rsidP="00EC3193">
      <w:pPr>
        <w:spacing w:line="276" w:lineRule="auto"/>
        <w:ind w:firstLine="567"/>
        <w:jc w:val="both"/>
      </w:pPr>
      <w:r>
        <w:t>[1</w:t>
      </w:r>
      <w:r w:rsidR="00766AF2">
        <w:t>2</w:t>
      </w:r>
      <w:r>
        <w:t>]</w:t>
      </w:r>
      <w:r w:rsidR="00C85990">
        <w:t> </w:t>
      </w:r>
      <w:r w:rsidR="00580B8E">
        <w:t xml:space="preserve">Kasācijas sūdzībā norādīts, ka </w:t>
      </w:r>
      <w:r w:rsidR="003C4A37">
        <w:t>piemērotā norma</w:t>
      </w:r>
      <w:r w:rsidR="00B20119">
        <w:t xml:space="preserve"> (</w:t>
      </w:r>
      <w:r w:rsidR="00B20119" w:rsidRPr="00B20119">
        <w:t>noteikumu Nr. 38 459.punkt</w:t>
      </w:r>
      <w:r w:rsidR="00B20119">
        <w:t>s)</w:t>
      </w:r>
      <w:r w:rsidR="003C4A37">
        <w:t xml:space="preserve"> nav bijusi </w:t>
      </w:r>
      <w:r w:rsidR="00580B8E">
        <w:t>pietiekami skaidr</w:t>
      </w:r>
      <w:r w:rsidR="003C4A37">
        <w:t xml:space="preserve">a </w:t>
      </w:r>
      <w:r w:rsidR="00AB5221">
        <w:t xml:space="preserve">un </w:t>
      </w:r>
      <w:r w:rsidR="003C4A37">
        <w:t xml:space="preserve">pārkāpj </w:t>
      </w:r>
      <w:r w:rsidR="00C85990">
        <w:t>Eiropas Savienības Pamattiesību h</w:t>
      </w:r>
      <w:r w:rsidR="00E51F85" w:rsidRPr="00C21555">
        <w:t xml:space="preserve">artas </w:t>
      </w:r>
      <w:proofErr w:type="gramStart"/>
      <w:r w:rsidR="00E51F85" w:rsidRPr="00C21555">
        <w:t>52.panta</w:t>
      </w:r>
      <w:proofErr w:type="gramEnd"/>
      <w:r w:rsidR="00E51F85" w:rsidRPr="00C21555">
        <w:t xml:space="preserve"> 1.punkt</w:t>
      </w:r>
      <w:r w:rsidR="003C4A37">
        <w:t xml:space="preserve">u, kuram </w:t>
      </w:r>
      <w:r w:rsidR="00AB5221">
        <w:t xml:space="preserve">atbilstoši </w:t>
      </w:r>
      <w:r w:rsidR="003C4A37">
        <w:t xml:space="preserve">pamatbrīvības var ierobežot ar likumu. Satversmes tiesa šo jautājumu esot aplūkojusi tikai no nacionālo tiesību puses. Pieteicējas ieskatā šīs normas </w:t>
      </w:r>
      <w:r w:rsidR="00E51F85" w:rsidRPr="00C21555">
        <w:t>interpretēšanas gadījumā būtu nepieciešams vērsties Eiropas Savienības Tiesā</w:t>
      </w:r>
      <w:r w:rsidR="003C4A37">
        <w:t>.</w:t>
      </w:r>
    </w:p>
    <w:p w14:paraId="1EBFB16B" w14:textId="20AABA58" w:rsidR="00580B8E" w:rsidRDefault="00E036D3" w:rsidP="00EC3193">
      <w:pPr>
        <w:spacing w:line="276" w:lineRule="auto"/>
        <w:ind w:firstLine="567"/>
        <w:jc w:val="both"/>
      </w:pPr>
      <w:r>
        <w:t xml:space="preserve">Atbilstoši </w:t>
      </w:r>
      <w:r w:rsidRPr="00FC4AAB">
        <w:t xml:space="preserve">LESD </w:t>
      </w:r>
      <w:proofErr w:type="gramStart"/>
      <w:r w:rsidRPr="00FC4AAB">
        <w:t>267.panta</w:t>
      </w:r>
      <w:r>
        <w:t>m</w:t>
      </w:r>
      <w:proofErr w:type="gramEnd"/>
      <w:r w:rsidRPr="00FC4AAB">
        <w:t xml:space="preserve"> </w:t>
      </w:r>
      <w:r w:rsidR="00FE167F">
        <w:t>Eiropas Savienības Tiesa</w:t>
      </w:r>
      <w:r w:rsidR="00616EA6">
        <w:t xml:space="preserve"> </w:t>
      </w:r>
      <w:r>
        <w:t>sniedz</w:t>
      </w:r>
      <w:r w:rsidR="00616EA6">
        <w:t xml:space="preserve"> </w:t>
      </w:r>
      <w:r>
        <w:t xml:space="preserve">atbildes par </w:t>
      </w:r>
      <w:r w:rsidR="00C85990">
        <w:t xml:space="preserve">Eiropas </w:t>
      </w:r>
      <w:r w:rsidRPr="00E036D3">
        <w:t>Savienības tiesību normu interpretāciju vai spēkā esību</w:t>
      </w:r>
      <w:r>
        <w:t xml:space="preserve">, tostarp arī par šo normu skaidrību un atbilstību minētajai </w:t>
      </w:r>
      <w:r w:rsidR="00C85990">
        <w:t>Eiropas Savienības Pamattiesību h</w:t>
      </w:r>
      <w:r>
        <w:t>artas normai (</w:t>
      </w:r>
      <w:r w:rsidRPr="00AC4B81">
        <w:rPr>
          <w:iCs/>
        </w:rPr>
        <w:t>piemēram,</w:t>
      </w:r>
      <w:r w:rsidRPr="00E036D3">
        <w:rPr>
          <w:i/>
          <w:iCs/>
        </w:rPr>
        <w:t xml:space="preserve"> 2020.gada 8.septembra spriedum</w:t>
      </w:r>
      <w:r w:rsidR="00C85990">
        <w:rPr>
          <w:i/>
          <w:iCs/>
        </w:rPr>
        <w:t>a</w:t>
      </w:r>
      <w:r w:rsidRPr="00E036D3">
        <w:rPr>
          <w:i/>
          <w:iCs/>
        </w:rPr>
        <w:t xml:space="preserve"> lietā </w:t>
      </w:r>
      <w:r w:rsidR="00C85990" w:rsidRPr="00E036D3">
        <w:rPr>
          <w:i/>
          <w:iCs/>
        </w:rPr>
        <w:t>„</w:t>
      </w:r>
      <w:proofErr w:type="spellStart"/>
      <w:r w:rsidR="00C85990" w:rsidRPr="00E036D3">
        <w:rPr>
          <w:i/>
          <w:iCs/>
        </w:rPr>
        <w:t>Recorded</w:t>
      </w:r>
      <w:proofErr w:type="spellEnd"/>
      <w:r w:rsidR="00C85990" w:rsidRPr="00E036D3">
        <w:rPr>
          <w:i/>
          <w:iCs/>
        </w:rPr>
        <w:t xml:space="preserve"> Artists </w:t>
      </w:r>
      <w:proofErr w:type="spellStart"/>
      <w:r w:rsidR="00C85990" w:rsidRPr="00E036D3">
        <w:rPr>
          <w:i/>
          <w:iCs/>
        </w:rPr>
        <w:t>Actors</w:t>
      </w:r>
      <w:proofErr w:type="spellEnd"/>
      <w:r w:rsidR="00C85990" w:rsidRPr="00E036D3">
        <w:rPr>
          <w:i/>
          <w:iCs/>
        </w:rPr>
        <w:t xml:space="preserve"> </w:t>
      </w:r>
      <w:proofErr w:type="spellStart"/>
      <w:r w:rsidR="00C85990" w:rsidRPr="00E036D3">
        <w:rPr>
          <w:i/>
          <w:iCs/>
        </w:rPr>
        <w:t>Performers</w:t>
      </w:r>
      <w:proofErr w:type="spellEnd"/>
      <w:r w:rsidR="00C85990" w:rsidRPr="00E036D3">
        <w:rPr>
          <w:i/>
          <w:iCs/>
        </w:rPr>
        <w:t xml:space="preserve"> </w:t>
      </w:r>
      <w:proofErr w:type="spellStart"/>
      <w:r w:rsidR="00C85990" w:rsidRPr="00E036D3">
        <w:rPr>
          <w:i/>
          <w:iCs/>
        </w:rPr>
        <w:t>Ltd</w:t>
      </w:r>
      <w:proofErr w:type="spellEnd"/>
      <w:r w:rsidR="00C85990" w:rsidRPr="00E036D3">
        <w:rPr>
          <w:i/>
          <w:iCs/>
        </w:rPr>
        <w:t xml:space="preserve">”, </w:t>
      </w:r>
      <w:r w:rsidRPr="00E036D3">
        <w:rPr>
          <w:i/>
          <w:iCs/>
        </w:rPr>
        <w:t xml:space="preserve">C‑265/19, </w:t>
      </w:r>
      <w:r w:rsidR="00C85990" w:rsidRPr="00C85990">
        <w:rPr>
          <w:i/>
          <w:iCs/>
        </w:rPr>
        <w:t>ECLI:EU:C:2020:677</w:t>
      </w:r>
      <w:r w:rsidR="00630951">
        <w:rPr>
          <w:i/>
          <w:iCs/>
        </w:rPr>
        <w:t xml:space="preserve">, </w:t>
      </w:r>
      <w:r w:rsidRPr="00E036D3">
        <w:rPr>
          <w:i/>
          <w:iCs/>
        </w:rPr>
        <w:t>86.punkt</w:t>
      </w:r>
      <w:r w:rsidR="00C85990">
        <w:rPr>
          <w:i/>
          <w:iCs/>
        </w:rPr>
        <w:t>s</w:t>
      </w:r>
      <w:r>
        <w:t>)</w:t>
      </w:r>
      <w:r w:rsidR="006B53F6">
        <w:t>.</w:t>
      </w:r>
      <w:r>
        <w:t xml:space="preserve"> Tā nepārbauda nacionālo tiesību</w:t>
      </w:r>
      <w:r w:rsidR="00110D40">
        <w:t xml:space="preserve"> spēkā esību un skaidrību</w:t>
      </w:r>
      <w:r w:rsidR="00811619">
        <w:t>. T</w:t>
      </w:r>
      <w:r w:rsidR="00110D40">
        <w:t xml:space="preserve">as ir </w:t>
      </w:r>
      <w:r>
        <w:t>jāpārbauda nacionālajai tiesai</w:t>
      </w:r>
      <w:r w:rsidR="00110D40">
        <w:t xml:space="preserve">. Konkrētajā gadījumā </w:t>
      </w:r>
      <w:proofErr w:type="spellStart"/>
      <w:r w:rsidR="00110D40">
        <w:t>Satvermes</w:t>
      </w:r>
      <w:proofErr w:type="spellEnd"/>
      <w:r w:rsidR="00110D40">
        <w:t xml:space="preserve"> tiesa to ir pārbaudījusi.</w:t>
      </w:r>
      <w:r>
        <w:t xml:space="preserve"> </w:t>
      </w:r>
      <w:r w:rsidR="00110D40">
        <w:t xml:space="preserve">Tas vien, ka šis jautājums tika risināts </w:t>
      </w:r>
      <w:r w:rsidR="00FE167F">
        <w:t>Satversmes tiesā</w:t>
      </w:r>
      <w:r w:rsidR="00811619">
        <w:t>,</w:t>
      </w:r>
      <w:r w:rsidR="00110D40">
        <w:t xml:space="preserve"> neliek </w:t>
      </w:r>
      <w:r w:rsidR="00DD72A2">
        <w:t>uzskatīt citādi</w:t>
      </w:r>
      <w:r w:rsidR="00FE167F">
        <w:t xml:space="preserve">. </w:t>
      </w:r>
    </w:p>
    <w:p w14:paraId="74D1C846" w14:textId="77777777" w:rsidR="00580B8E" w:rsidRDefault="00580B8E" w:rsidP="00EC3193">
      <w:pPr>
        <w:pStyle w:val="c01pointnumerotealtn"/>
        <w:spacing w:before="0" w:beforeAutospacing="0" w:after="0" w:afterAutospacing="0" w:line="276" w:lineRule="auto"/>
        <w:ind w:firstLine="426"/>
        <w:jc w:val="both"/>
        <w:rPr>
          <w:lang w:val="lv-LV"/>
        </w:rPr>
      </w:pPr>
    </w:p>
    <w:p w14:paraId="394B3255" w14:textId="050A2074" w:rsidR="00DC398D" w:rsidRPr="0088280E" w:rsidRDefault="00580B8E" w:rsidP="00EC3193">
      <w:pPr>
        <w:pStyle w:val="c01pointnumerotealtn"/>
        <w:spacing w:before="0" w:beforeAutospacing="0" w:after="0" w:afterAutospacing="0" w:line="276" w:lineRule="auto"/>
        <w:ind w:firstLine="567"/>
        <w:jc w:val="both"/>
        <w:rPr>
          <w:lang w:val="lv-LV"/>
        </w:rPr>
      </w:pPr>
      <w:r>
        <w:rPr>
          <w:lang w:val="lv-LV"/>
        </w:rPr>
        <w:lastRenderedPageBreak/>
        <w:t>[1</w:t>
      </w:r>
      <w:r w:rsidR="00766AF2">
        <w:rPr>
          <w:lang w:val="lv-LV"/>
        </w:rPr>
        <w:t>3</w:t>
      </w:r>
      <w:r>
        <w:rPr>
          <w:lang w:val="lv-LV"/>
        </w:rPr>
        <w:t>]</w:t>
      </w:r>
      <w:r w:rsidR="003B668B">
        <w:rPr>
          <w:lang w:val="lv-LV"/>
        </w:rPr>
        <w:t> </w:t>
      </w:r>
      <w:r w:rsidR="005B10D1">
        <w:rPr>
          <w:lang w:val="lv-LV"/>
        </w:rPr>
        <w:t xml:space="preserve">Kasācijas sūdzībā ir lūgts Senātam vērsties Eiropas Savienības Tiesā ar 12 </w:t>
      </w:r>
      <w:r w:rsidR="005B10D1" w:rsidRPr="0088280E">
        <w:rPr>
          <w:lang w:val="lv-LV"/>
        </w:rPr>
        <w:t xml:space="preserve">jautājumiem prejudiciālā nolēmuma sniegšanai, jo neesot konstatējams neviens no izņēmumiem, lai tajā nevērstos. </w:t>
      </w:r>
    </w:p>
    <w:p w14:paraId="58D8BB5B" w14:textId="2E5F95EE" w:rsidR="00FC4AAB" w:rsidRDefault="00FC4AAB" w:rsidP="00EC3193">
      <w:pPr>
        <w:pStyle w:val="c01pointnumerotealtn"/>
        <w:spacing w:before="0" w:beforeAutospacing="0" w:after="0" w:afterAutospacing="0" w:line="276" w:lineRule="auto"/>
        <w:ind w:firstLine="567"/>
        <w:jc w:val="both"/>
        <w:rPr>
          <w:lang w:val="lv-LV"/>
        </w:rPr>
      </w:pPr>
      <w:proofErr w:type="spellStart"/>
      <w:r>
        <w:t>Kā</w:t>
      </w:r>
      <w:proofErr w:type="spellEnd"/>
      <w:r>
        <w:t xml:space="preserve"> </w:t>
      </w:r>
      <w:proofErr w:type="spellStart"/>
      <w:r w:rsidR="00BE7E92">
        <w:t>vairākkārt</w:t>
      </w:r>
      <w:proofErr w:type="spellEnd"/>
      <w:r w:rsidR="00BE7E92">
        <w:t xml:space="preserve"> </w:t>
      </w:r>
      <w:proofErr w:type="spellStart"/>
      <w:r>
        <w:t>norādījusi</w:t>
      </w:r>
      <w:proofErr w:type="spellEnd"/>
      <w:r w:rsidR="005B10D1">
        <w:t xml:space="preserve"> </w:t>
      </w:r>
      <w:r w:rsidR="00680034">
        <w:rPr>
          <w:lang w:val="lv-LV"/>
        </w:rPr>
        <w:t>Eiropas Savienības Ties</w:t>
      </w:r>
      <w:r>
        <w:rPr>
          <w:lang w:val="lv-LV"/>
        </w:rPr>
        <w:t xml:space="preserve">a, </w:t>
      </w:r>
      <w:r w:rsidR="003B668B">
        <w:rPr>
          <w:lang w:val="lv-LV"/>
        </w:rPr>
        <w:t xml:space="preserve">gan </w:t>
      </w:r>
      <w:r w:rsidRPr="00FC4AAB">
        <w:rPr>
          <w:lang w:val="lv-LV"/>
        </w:rPr>
        <w:t xml:space="preserve">no LESD 267.panta formulējuma, gan no </w:t>
      </w:r>
      <w:r w:rsidR="003B668B">
        <w:rPr>
          <w:lang w:val="lv-LV"/>
        </w:rPr>
        <w:t xml:space="preserve">tā tvēruma </w:t>
      </w:r>
      <w:r w:rsidRPr="00FC4AAB">
        <w:rPr>
          <w:lang w:val="lv-LV"/>
        </w:rPr>
        <w:t>izriet, ka prejudiciālā nolēmuma tiesvedīb</w:t>
      </w:r>
      <w:r w:rsidR="003B668B">
        <w:rPr>
          <w:lang w:val="lv-LV"/>
        </w:rPr>
        <w:t xml:space="preserve">ā </w:t>
      </w:r>
      <w:r w:rsidRPr="00FC4AAB">
        <w:rPr>
          <w:lang w:val="lv-LV"/>
        </w:rPr>
        <w:t xml:space="preserve">lūgtajam prejudiciālajam nolēmumam ir jābūt </w:t>
      </w:r>
      <w:r w:rsidR="003B668B">
        <w:rPr>
          <w:lang w:val="lv-LV"/>
        </w:rPr>
        <w:t>„</w:t>
      </w:r>
      <w:r w:rsidRPr="00FC4AAB">
        <w:rPr>
          <w:lang w:val="lv-LV"/>
        </w:rPr>
        <w:t xml:space="preserve">vajadzīgam”, lai iesniedzējtiesa varētu </w:t>
      </w:r>
      <w:r w:rsidR="003B668B">
        <w:rPr>
          <w:lang w:val="lv-LV"/>
        </w:rPr>
        <w:t>„pieņemt</w:t>
      </w:r>
      <w:r w:rsidRPr="00FC4AAB">
        <w:rPr>
          <w:lang w:val="lv-LV"/>
        </w:rPr>
        <w:t xml:space="preserve"> spriedumu” lietā, kuru tā izskata. </w:t>
      </w:r>
      <w:r w:rsidR="00095C52">
        <w:rPr>
          <w:lang w:val="lv-LV"/>
        </w:rPr>
        <w:t xml:space="preserve">Nav pamatoti lūgt </w:t>
      </w:r>
      <w:r w:rsidRPr="00FC4AAB">
        <w:rPr>
          <w:lang w:val="lv-LV"/>
        </w:rPr>
        <w:t xml:space="preserve">sniegt prejudiciālu nolēmumu </w:t>
      </w:r>
      <w:r w:rsidR="00095C52">
        <w:rPr>
          <w:lang w:val="lv-LV"/>
        </w:rPr>
        <w:t xml:space="preserve">kā </w:t>
      </w:r>
      <w:r w:rsidRPr="00FC4AAB">
        <w:rPr>
          <w:lang w:val="lv-LV"/>
        </w:rPr>
        <w:t>konsultatīvu atzinumu par vispārīgiem vai hipotētiskiem jautājumiem</w:t>
      </w:r>
      <w:r w:rsidR="00095C52">
        <w:rPr>
          <w:lang w:val="lv-LV"/>
        </w:rPr>
        <w:t xml:space="preserve">. Atbildei uz prejudiciālo jautājumu jābūt nepieciešamai, lai </w:t>
      </w:r>
      <w:r w:rsidRPr="00FC4AAB">
        <w:rPr>
          <w:lang w:val="lv-LV"/>
        </w:rPr>
        <w:t>faktiski atrisināt</w:t>
      </w:r>
      <w:r w:rsidR="00095C52">
        <w:rPr>
          <w:lang w:val="lv-LV"/>
        </w:rPr>
        <w:t xml:space="preserve">u </w:t>
      </w:r>
      <w:r w:rsidRPr="00FC4AAB">
        <w:rPr>
          <w:lang w:val="lv-LV"/>
        </w:rPr>
        <w:t>strīdu</w:t>
      </w:r>
      <w:r>
        <w:rPr>
          <w:lang w:val="lv-LV"/>
        </w:rPr>
        <w:t xml:space="preserve"> (</w:t>
      </w:r>
      <w:r w:rsidR="003B668B" w:rsidRPr="003B668B">
        <w:rPr>
          <w:i/>
          <w:iCs/>
          <w:lang w:val="lv-LV"/>
        </w:rPr>
        <w:t>Eiropas Savienības Tiesas</w:t>
      </w:r>
      <w:r w:rsidR="003B668B">
        <w:rPr>
          <w:lang w:val="lv-LV"/>
        </w:rPr>
        <w:t xml:space="preserve"> </w:t>
      </w:r>
      <w:proofErr w:type="gramStart"/>
      <w:r w:rsidRPr="0017378C">
        <w:rPr>
          <w:i/>
          <w:iCs/>
          <w:lang w:val="lv-LV"/>
        </w:rPr>
        <w:t>2020.gada</w:t>
      </w:r>
      <w:proofErr w:type="gramEnd"/>
      <w:r w:rsidRPr="0017378C">
        <w:rPr>
          <w:i/>
          <w:iCs/>
          <w:lang w:val="lv-LV"/>
        </w:rPr>
        <w:t xml:space="preserve"> 25.jūnija sprieduma lietā </w:t>
      </w:r>
      <w:r w:rsidR="003B668B" w:rsidRPr="0017378C">
        <w:rPr>
          <w:i/>
          <w:iCs/>
          <w:shd w:val="clear" w:color="auto" w:fill="FFFFFF"/>
          <w:lang w:val="lv-LV"/>
        </w:rPr>
        <w:t>„VL”,</w:t>
      </w:r>
      <w:r w:rsidR="003B668B" w:rsidRPr="0017378C">
        <w:rPr>
          <w:i/>
          <w:iCs/>
          <w:lang w:val="lv-LV"/>
        </w:rPr>
        <w:t xml:space="preserve"> </w:t>
      </w:r>
      <w:r w:rsidRPr="0017378C">
        <w:rPr>
          <w:i/>
          <w:iCs/>
          <w:lang w:val="lv-LV"/>
        </w:rPr>
        <w:t>C-</w:t>
      </w:r>
      <w:r w:rsidR="0017378C" w:rsidRPr="0017378C">
        <w:rPr>
          <w:i/>
          <w:iCs/>
          <w:lang w:val="lv-LV"/>
        </w:rPr>
        <w:t>36/20</w:t>
      </w:r>
      <w:r w:rsidR="003B668B">
        <w:rPr>
          <w:i/>
          <w:iCs/>
          <w:lang w:val="lv-LV"/>
        </w:rPr>
        <w:t> PPU</w:t>
      </w:r>
      <w:r w:rsidR="0017378C" w:rsidRPr="0017378C">
        <w:rPr>
          <w:i/>
          <w:iCs/>
          <w:lang w:val="lv-LV"/>
        </w:rPr>
        <w:t>,</w:t>
      </w:r>
      <w:r w:rsidR="003B668B">
        <w:rPr>
          <w:i/>
          <w:iCs/>
          <w:lang w:val="lv-LV"/>
        </w:rPr>
        <w:t xml:space="preserve"> </w:t>
      </w:r>
      <w:r w:rsidR="003B668B" w:rsidRPr="003B668B">
        <w:rPr>
          <w:i/>
          <w:iCs/>
          <w:lang w:val="lv-LV"/>
        </w:rPr>
        <w:t>ECLI:EU:C:2020:495</w:t>
      </w:r>
      <w:r w:rsidR="00630951">
        <w:rPr>
          <w:i/>
          <w:iCs/>
          <w:lang w:val="lv-LV"/>
        </w:rPr>
        <w:t>,</w:t>
      </w:r>
      <w:r w:rsidR="0017378C" w:rsidRPr="0017378C">
        <w:rPr>
          <w:i/>
          <w:iCs/>
          <w:lang w:val="lv-LV"/>
        </w:rPr>
        <w:t xml:space="preserve"> </w:t>
      </w:r>
      <w:r w:rsidRPr="0017378C">
        <w:rPr>
          <w:i/>
          <w:iCs/>
          <w:lang w:val="lv-LV"/>
        </w:rPr>
        <w:t>48.punkts</w:t>
      </w:r>
      <w:r>
        <w:rPr>
          <w:lang w:val="lv-LV"/>
        </w:rPr>
        <w:t>)</w:t>
      </w:r>
      <w:r w:rsidR="00BE7E92">
        <w:rPr>
          <w:lang w:val="lv-LV"/>
        </w:rPr>
        <w:t>.</w:t>
      </w:r>
    </w:p>
    <w:p w14:paraId="1C70097C" w14:textId="162C3F62" w:rsidR="008D3DE7" w:rsidRPr="00B20119" w:rsidRDefault="00095C52" w:rsidP="00EC3193">
      <w:pPr>
        <w:pStyle w:val="c01pointnumerotealtn"/>
        <w:spacing w:before="0" w:beforeAutospacing="0" w:after="0" w:afterAutospacing="0" w:line="276" w:lineRule="auto"/>
        <w:ind w:firstLine="567"/>
        <w:jc w:val="both"/>
        <w:rPr>
          <w:lang w:val="fr-FR"/>
        </w:rPr>
      </w:pPr>
      <w:r>
        <w:rPr>
          <w:lang w:val="lv-LV"/>
        </w:rPr>
        <w:t xml:space="preserve">Senāts </w:t>
      </w:r>
      <w:r w:rsidR="008D3DE7" w:rsidRPr="00B20119">
        <w:rPr>
          <w:lang w:val="lv-LV"/>
        </w:rPr>
        <w:t>kā tiesa, kurai saskaņā ar Eiropas Savienības Tiesas atzīto ir pienākums novērtēt prejudiciālā nolēmuma nepieciešamību, un atbilstoši judikatūrai, kas izriet no sprieduma</w:t>
      </w:r>
      <w:r w:rsidR="00961949" w:rsidRPr="00B20119">
        <w:rPr>
          <w:lang w:val="lv-LV"/>
        </w:rPr>
        <w:t xml:space="preserve"> „</w:t>
      </w:r>
      <w:proofErr w:type="spellStart"/>
      <w:r w:rsidR="008D3DE7" w:rsidRPr="00EC3193">
        <w:rPr>
          <w:rStyle w:val="italic"/>
          <w:lang w:val="lv-LV"/>
        </w:rPr>
        <w:t>Cilfit</w:t>
      </w:r>
      <w:proofErr w:type="spellEnd"/>
      <w:r w:rsidR="008D3DE7" w:rsidRPr="00B20119">
        <w:rPr>
          <w:lang w:val="lv-LV"/>
        </w:rPr>
        <w:t> u.c.</w:t>
      </w:r>
      <w:r w:rsidR="00961949" w:rsidRPr="00B20119">
        <w:rPr>
          <w:lang w:val="lv-LV"/>
        </w:rPr>
        <w:t xml:space="preserve">”, </w:t>
      </w:r>
      <w:r w:rsidR="008D3DE7" w:rsidRPr="00B20119">
        <w:rPr>
          <w:lang w:val="lv-LV"/>
        </w:rPr>
        <w:t>283/81</w:t>
      </w:r>
      <w:r w:rsidR="00630951" w:rsidRPr="00B20119">
        <w:rPr>
          <w:lang w:val="lv-LV"/>
        </w:rPr>
        <w:t xml:space="preserve">, </w:t>
      </w:r>
      <w:r w:rsidR="008D3DE7" w:rsidRPr="00B20119">
        <w:rPr>
          <w:lang w:val="lv-LV"/>
        </w:rPr>
        <w:t>ECLI:EU:C:1982:335, var izvērtēt, vai Eiropas Savienības tiesību pareiza piemērošana ir tik acīmredzama, ka nepastāv nekādas pamatotas šaubas, un tādēļ nolemt nevērsties Eiropas Savienības Tiesā ar jautājumu par Eiropas Savienības tiesību interpretāciju, kas izvirzīts šajā lietā, un uzņemties atbildību to atrisināt (</w:t>
      </w:r>
      <w:proofErr w:type="spellStart"/>
      <w:r w:rsidR="008D3DE7" w:rsidRPr="00B20119">
        <w:rPr>
          <w:i/>
          <w:iCs/>
          <w:lang w:val="fr-FR"/>
        </w:rPr>
        <w:t>Eiropas</w:t>
      </w:r>
      <w:proofErr w:type="spellEnd"/>
      <w:r w:rsidR="008D3DE7" w:rsidRPr="00B20119">
        <w:rPr>
          <w:i/>
          <w:iCs/>
          <w:lang w:val="fr-FR"/>
        </w:rPr>
        <w:t xml:space="preserve"> </w:t>
      </w:r>
      <w:proofErr w:type="spellStart"/>
      <w:r w:rsidR="008D3DE7" w:rsidRPr="00B20119">
        <w:rPr>
          <w:i/>
          <w:iCs/>
          <w:lang w:val="fr-FR"/>
        </w:rPr>
        <w:t>Savienības</w:t>
      </w:r>
      <w:proofErr w:type="spellEnd"/>
      <w:r w:rsidR="008D3DE7" w:rsidRPr="00B20119">
        <w:rPr>
          <w:i/>
          <w:iCs/>
          <w:lang w:val="fr-FR"/>
        </w:rPr>
        <w:t xml:space="preserve"> </w:t>
      </w:r>
      <w:proofErr w:type="spellStart"/>
      <w:r w:rsidR="008D3DE7" w:rsidRPr="00B20119">
        <w:rPr>
          <w:i/>
          <w:iCs/>
          <w:lang w:val="fr-FR"/>
        </w:rPr>
        <w:t>Tiesas</w:t>
      </w:r>
      <w:proofErr w:type="spellEnd"/>
      <w:r w:rsidR="008D3DE7" w:rsidRPr="00B20119">
        <w:rPr>
          <w:i/>
          <w:iCs/>
          <w:lang w:val="fr-FR"/>
        </w:rPr>
        <w:t xml:space="preserve"> 2015.gada 9.septembra </w:t>
      </w:r>
      <w:proofErr w:type="spellStart"/>
      <w:r w:rsidR="008D3DE7" w:rsidRPr="00B20119">
        <w:rPr>
          <w:i/>
          <w:iCs/>
          <w:lang w:val="fr-FR"/>
        </w:rPr>
        <w:t>spriedum</w:t>
      </w:r>
      <w:r w:rsidR="00961949" w:rsidRPr="00B20119">
        <w:rPr>
          <w:i/>
          <w:iCs/>
          <w:lang w:val="fr-FR"/>
        </w:rPr>
        <w:t>a</w:t>
      </w:r>
      <w:proofErr w:type="spellEnd"/>
      <w:r w:rsidR="008D3DE7" w:rsidRPr="00B20119">
        <w:rPr>
          <w:i/>
          <w:iCs/>
          <w:lang w:val="fr-FR"/>
        </w:rPr>
        <w:t xml:space="preserve"> </w:t>
      </w:r>
      <w:proofErr w:type="spellStart"/>
      <w:r w:rsidR="00961949" w:rsidRPr="00B20119">
        <w:rPr>
          <w:i/>
          <w:iCs/>
          <w:lang w:val="fr-FR"/>
        </w:rPr>
        <w:t>apvienotajās</w:t>
      </w:r>
      <w:proofErr w:type="spellEnd"/>
      <w:r w:rsidR="00961949" w:rsidRPr="00B20119">
        <w:rPr>
          <w:i/>
          <w:iCs/>
          <w:lang w:val="fr-FR"/>
        </w:rPr>
        <w:t xml:space="preserve"> </w:t>
      </w:r>
      <w:proofErr w:type="spellStart"/>
      <w:r w:rsidR="008D3DE7" w:rsidRPr="00B20119">
        <w:rPr>
          <w:i/>
          <w:iCs/>
          <w:lang w:val="fr-FR"/>
        </w:rPr>
        <w:t>lietā</w:t>
      </w:r>
      <w:r w:rsidR="00961949" w:rsidRPr="00B20119">
        <w:rPr>
          <w:i/>
          <w:iCs/>
          <w:lang w:val="fr-FR"/>
        </w:rPr>
        <w:t>s</w:t>
      </w:r>
      <w:proofErr w:type="spellEnd"/>
      <w:r w:rsidR="008D3DE7" w:rsidRPr="00B20119">
        <w:rPr>
          <w:i/>
          <w:iCs/>
          <w:lang w:val="fr-FR"/>
        </w:rPr>
        <w:t xml:space="preserve"> </w:t>
      </w:r>
      <w:r w:rsidR="00961949" w:rsidRPr="00B20119">
        <w:rPr>
          <w:i/>
          <w:iCs/>
          <w:lang w:val="fr-FR"/>
        </w:rPr>
        <w:t>„</w:t>
      </w:r>
      <w:r w:rsidR="008D3DE7" w:rsidRPr="00B20119">
        <w:rPr>
          <w:i/>
          <w:iCs/>
          <w:lang w:val="fr-FR"/>
        </w:rPr>
        <w:t>X un van Dijk</w:t>
      </w:r>
      <w:r w:rsidR="00961949" w:rsidRPr="00B20119">
        <w:rPr>
          <w:i/>
          <w:iCs/>
          <w:lang w:val="fr-FR"/>
        </w:rPr>
        <w:t>”</w:t>
      </w:r>
      <w:r w:rsidR="008D3DE7" w:rsidRPr="00B20119">
        <w:rPr>
          <w:i/>
          <w:iCs/>
          <w:lang w:val="fr-FR"/>
        </w:rPr>
        <w:t>, C-72/14 un C-197/14, ECLI:EU:C:2015:564, 58.punkt</w:t>
      </w:r>
      <w:r w:rsidR="00A412AB">
        <w:rPr>
          <w:i/>
          <w:iCs/>
          <w:lang w:val="fr-FR"/>
        </w:rPr>
        <w:t>s</w:t>
      </w:r>
      <w:r w:rsidR="008D3DE7" w:rsidRPr="00B20119">
        <w:rPr>
          <w:lang w:val="fr-FR"/>
        </w:rPr>
        <w:t xml:space="preserve">). </w:t>
      </w:r>
    </w:p>
    <w:p w14:paraId="2A9B53D9" w14:textId="3DB58C4A" w:rsidR="00095C52" w:rsidRDefault="008D3DE7" w:rsidP="00EC3193">
      <w:pPr>
        <w:pStyle w:val="c01pointnumerotealtn"/>
        <w:spacing w:before="0" w:beforeAutospacing="0" w:after="0" w:afterAutospacing="0" w:line="276" w:lineRule="auto"/>
        <w:ind w:firstLine="567"/>
        <w:jc w:val="both"/>
        <w:rPr>
          <w:lang w:val="lv-LV"/>
        </w:rPr>
      </w:pPr>
      <w:proofErr w:type="spellStart"/>
      <w:r>
        <w:t>Vienlaikus</w:t>
      </w:r>
      <w:proofErr w:type="spellEnd"/>
      <w:r>
        <w:t xml:space="preserve"> </w:t>
      </w:r>
      <w:proofErr w:type="spellStart"/>
      <w:r>
        <w:t>Senāts</w:t>
      </w:r>
      <w:proofErr w:type="spellEnd"/>
      <w:r>
        <w:t xml:space="preserve"> </w:t>
      </w:r>
      <w:r w:rsidR="00095C52">
        <w:rPr>
          <w:lang w:val="lv-LV"/>
        </w:rPr>
        <w:t>atbilstoši Eiropas Cilvēktiesību tiesas judikatūrā nostiprinātajam tiesību uz taisnīgu tiesu tvērumam lietās, kas saistītas ar prejudiciālo jautājumu uzdošanu Eiropas Savienības Tiesai (</w:t>
      </w:r>
      <w:r w:rsidR="00095C52" w:rsidRPr="00AC4B81">
        <w:rPr>
          <w:iCs/>
          <w:lang w:val="lv-LV"/>
        </w:rPr>
        <w:t>jo īpaši sk.</w:t>
      </w:r>
      <w:r w:rsidR="00095C52" w:rsidRPr="00850DC2">
        <w:rPr>
          <w:i/>
          <w:iCs/>
          <w:lang w:val="lv-LV"/>
        </w:rPr>
        <w:t xml:space="preserve"> Eiropas Cilvēktiesību tiesas</w:t>
      </w:r>
      <w:r w:rsidR="00095C52">
        <w:rPr>
          <w:lang w:val="lv-LV"/>
        </w:rPr>
        <w:t xml:space="preserve"> </w:t>
      </w:r>
      <w:r w:rsidR="00850DC2" w:rsidRPr="007F0FDD">
        <w:rPr>
          <w:i/>
          <w:iCs/>
        </w:rPr>
        <w:t xml:space="preserve">2020.gada 13.februāra </w:t>
      </w:r>
      <w:proofErr w:type="spellStart"/>
      <w:r w:rsidR="00850DC2" w:rsidRPr="007F0FDD">
        <w:rPr>
          <w:i/>
          <w:iCs/>
        </w:rPr>
        <w:t>spriedum</w:t>
      </w:r>
      <w:r w:rsidR="00261BA4">
        <w:rPr>
          <w:i/>
          <w:iCs/>
        </w:rPr>
        <w:t>u</w:t>
      </w:r>
      <w:proofErr w:type="spellEnd"/>
      <w:r w:rsidR="00850DC2" w:rsidRPr="007F0FDD">
        <w:rPr>
          <w:i/>
          <w:iCs/>
        </w:rPr>
        <w:t xml:space="preserve"> </w:t>
      </w:r>
      <w:proofErr w:type="spellStart"/>
      <w:r w:rsidR="00850DC2" w:rsidRPr="007F0FDD">
        <w:rPr>
          <w:i/>
          <w:iCs/>
        </w:rPr>
        <w:t>lietā</w:t>
      </w:r>
      <w:proofErr w:type="spellEnd"/>
      <w:r w:rsidR="00850DC2" w:rsidRPr="007F0FDD">
        <w:rPr>
          <w:i/>
          <w:iCs/>
        </w:rPr>
        <w:t xml:space="preserve"> „</w:t>
      </w:r>
      <w:proofErr w:type="spellStart"/>
      <w:r w:rsidR="00850DC2" w:rsidRPr="007F0FDD">
        <w:rPr>
          <w:i/>
          <w:iCs/>
        </w:rPr>
        <w:t>Safoni</w:t>
      </w:r>
      <w:proofErr w:type="spellEnd"/>
      <w:r w:rsidR="00850DC2" w:rsidRPr="007F0FDD">
        <w:rPr>
          <w:i/>
          <w:iCs/>
        </w:rPr>
        <w:t xml:space="preserve"> Pasteur c. France”, </w:t>
      </w:r>
      <w:proofErr w:type="spellStart"/>
      <w:r w:rsidR="00850DC2" w:rsidRPr="007F0FDD">
        <w:rPr>
          <w:i/>
          <w:iCs/>
        </w:rPr>
        <w:t>iesnieguma</w:t>
      </w:r>
      <w:proofErr w:type="spellEnd"/>
      <w:r w:rsidR="00850DC2" w:rsidRPr="007F0FDD">
        <w:rPr>
          <w:i/>
          <w:iCs/>
        </w:rPr>
        <w:t xml:space="preserve"> Nr.</w:t>
      </w:r>
      <w:r w:rsidR="00261BA4">
        <w:rPr>
          <w:i/>
          <w:iCs/>
        </w:rPr>
        <w:t> </w:t>
      </w:r>
      <w:r w:rsidR="00850DC2" w:rsidRPr="007F0FDD">
        <w:rPr>
          <w:i/>
          <w:iCs/>
        </w:rPr>
        <w:t>25137/16, 78.punkt</w:t>
      </w:r>
      <w:r w:rsidR="00261BA4">
        <w:rPr>
          <w:i/>
          <w:iCs/>
        </w:rPr>
        <w:t xml:space="preserve">u un </w:t>
      </w:r>
      <w:proofErr w:type="spellStart"/>
      <w:r w:rsidR="00261BA4">
        <w:rPr>
          <w:i/>
          <w:iCs/>
        </w:rPr>
        <w:t>tajā</w:t>
      </w:r>
      <w:proofErr w:type="spellEnd"/>
      <w:r w:rsidR="00261BA4">
        <w:rPr>
          <w:i/>
          <w:iCs/>
        </w:rPr>
        <w:t xml:space="preserve"> </w:t>
      </w:r>
      <w:proofErr w:type="spellStart"/>
      <w:r w:rsidR="00261BA4">
        <w:rPr>
          <w:i/>
          <w:iCs/>
        </w:rPr>
        <w:t>minēto</w:t>
      </w:r>
      <w:proofErr w:type="spellEnd"/>
      <w:r w:rsidR="00261BA4">
        <w:rPr>
          <w:i/>
          <w:iCs/>
        </w:rPr>
        <w:t xml:space="preserve"> </w:t>
      </w:r>
      <w:proofErr w:type="spellStart"/>
      <w:r w:rsidR="00261BA4">
        <w:rPr>
          <w:i/>
          <w:iCs/>
        </w:rPr>
        <w:t>judikatūru</w:t>
      </w:r>
      <w:proofErr w:type="spellEnd"/>
      <w:r w:rsidR="00095C52">
        <w:rPr>
          <w:lang w:val="lv-LV"/>
        </w:rPr>
        <w:t>)</w:t>
      </w:r>
      <w:r w:rsidR="00961949">
        <w:rPr>
          <w:lang w:val="lv-LV"/>
        </w:rPr>
        <w:t>,</w:t>
      </w:r>
      <w:r w:rsidR="00850DC2">
        <w:rPr>
          <w:lang w:val="lv-LV"/>
        </w:rPr>
        <w:t xml:space="preserve"> </w:t>
      </w:r>
      <w:r w:rsidR="00095C52">
        <w:rPr>
          <w:lang w:val="lv-LV"/>
        </w:rPr>
        <w:t xml:space="preserve">apsverot katra norādītā jautājuma nepieciešamību lietas pareizai izlemšanai, </w:t>
      </w:r>
      <w:r w:rsidR="0039567F">
        <w:rPr>
          <w:lang w:val="lv-LV"/>
        </w:rPr>
        <w:t>sniedz turpmāk minēto</w:t>
      </w:r>
      <w:r w:rsidR="00EE0D96">
        <w:rPr>
          <w:lang w:val="lv-LV"/>
        </w:rPr>
        <w:t>s</w:t>
      </w:r>
      <w:r w:rsidR="0039567F">
        <w:rPr>
          <w:lang w:val="lv-LV"/>
        </w:rPr>
        <w:t xml:space="preserve"> argumentus</w:t>
      </w:r>
      <w:r w:rsidR="00095C52">
        <w:rPr>
          <w:lang w:val="lv-LV"/>
        </w:rPr>
        <w:t>.</w:t>
      </w:r>
    </w:p>
    <w:p w14:paraId="106DE725" w14:textId="1A87ACD6" w:rsidR="0039567F" w:rsidRDefault="00E2575B" w:rsidP="00EC3193">
      <w:pPr>
        <w:pStyle w:val="c01pointnumerotealtn"/>
        <w:spacing w:before="0" w:beforeAutospacing="0" w:after="0" w:afterAutospacing="0" w:line="276" w:lineRule="auto"/>
        <w:ind w:firstLine="567"/>
        <w:jc w:val="both"/>
        <w:rPr>
          <w:lang w:val="lv-LV"/>
        </w:rPr>
      </w:pPr>
      <w:r>
        <w:rPr>
          <w:lang w:val="lv-LV"/>
        </w:rPr>
        <w:t>Pirmkārt, kā jau norādīts iepriekš</w:t>
      </w:r>
      <w:r w:rsidR="008D3DE7">
        <w:rPr>
          <w:lang w:val="lv-LV"/>
        </w:rPr>
        <w:t xml:space="preserve"> </w:t>
      </w:r>
      <w:r w:rsidR="008D3DE7" w:rsidRPr="00D63FFD">
        <w:rPr>
          <w:lang w:val="lv-LV"/>
        </w:rPr>
        <w:t>sprieduma 5.punktā</w:t>
      </w:r>
      <w:r w:rsidRPr="00D63FFD">
        <w:rPr>
          <w:lang w:val="lv-LV"/>
        </w:rPr>
        <w:t xml:space="preserve">, Senāts nesaskata, ka </w:t>
      </w:r>
      <w:r w:rsidR="00E51F85" w:rsidRPr="00B20119">
        <w:rPr>
          <w:lang w:val="lv-LV"/>
        </w:rPr>
        <w:t>konkrētais ierobežojums ietekmē</w:t>
      </w:r>
      <w:r w:rsidR="00110D40" w:rsidRPr="00B20119">
        <w:rPr>
          <w:lang w:val="lv-LV"/>
        </w:rPr>
        <w:t>tu</w:t>
      </w:r>
      <w:r w:rsidR="00E51F85" w:rsidRPr="00B20119">
        <w:rPr>
          <w:lang w:val="lv-LV"/>
        </w:rPr>
        <w:t xml:space="preserve"> tirdzniecību starp dalībvalstīm</w:t>
      </w:r>
      <w:r w:rsidR="00095C52" w:rsidRPr="00B20119">
        <w:rPr>
          <w:lang w:val="lv-LV"/>
        </w:rPr>
        <w:t xml:space="preserve">, attiecīgi </w:t>
      </w:r>
      <w:r w:rsidR="006E7785" w:rsidRPr="00B20119">
        <w:rPr>
          <w:lang w:val="lv-LV"/>
        </w:rPr>
        <w:t>1.</w:t>
      </w:r>
      <w:r w:rsidR="00EE0D96">
        <w:rPr>
          <w:i/>
          <w:iCs/>
          <w:lang w:val="lv-LV"/>
        </w:rPr>
        <w:t>–</w:t>
      </w:r>
      <w:r w:rsidR="006E7785" w:rsidRPr="00B20119">
        <w:rPr>
          <w:lang w:val="lv-LV"/>
        </w:rPr>
        <w:t>3.</w:t>
      </w:r>
      <w:r w:rsidR="005C6820" w:rsidRPr="00B20119">
        <w:rPr>
          <w:lang w:val="lv-LV"/>
        </w:rPr>
        <w:t>, 5.</w:t>
      </w:r>
      <w:r w:rsidR="00EE0D96">
        <w:rPr>
          <w:i/>
          <w:iCs/>
          <w:lang w:val="lv-LV"/>
        </w:rPr>
        <w:t>–</w:t>
      </w:r>
      <w:r w:rsidR="005C6820" w:rsidRPr="00B20119">
        <w:rPr>
          <w:lang w:val="lv-LV"/>
        </w:rPr>
        <w:t>10.</w:t>
      </w:r>
      <w:r w:rsidR="006E7785" w:rsidRPr="00B20119">
        <w:rPr>
          <w:lang w:val="lv-LV"/>
        </w:rPr>
        <w:t>j</w:t>
      </w:r>
      <w:r w:rsidR="00261BA4" w:rsidRPr="00B20119">
        <w:rPr>
          <w:lang w:val="lv-LV"/>
        </w:rPr>
        <w:t>autājum</w:t>
      </w:r>
      <w:r w:rsidR="006E7785" w:rsidRPr="00B20119">
        <w:rPr>
          <w:lang w:val="lv-LV"/>
        </w:rPr>
        <w:t>s</w:t>
      </w:r>
      <w:r w:rsidR="00261BA4" w:rsidRPr="00B20119">
        <w:rPr>
          <w:lang w:val="lv-LV"/>
        </w:rPr>
        <w:t xml:space="preserve"> nav </w:t>
      </w:r>
      <w:r w:rsidR="00093046" w:rsidRPr="00B20119">
        <w:rPr>
          <w:lang w:val="lv-LV"/>
        </w:rPr>
        <w:t>attiecinām</w:t>
      </w:r>
      <w:r w:rsidR="00093046">
        <w:rPr>
          <w:lang w:val="lv-LV"/>
        </w:rPr>
        <w:t>s</w:t>
      </w:r>
      <w:r w:rsidR="00093046" w:rsidRPr="00B20119">
        <w:rPr>
          <w:lang w:val="lv-LV"/>
        </w:rPr>
        <w:t xml:space="preserve"> </w:t>
      </w:r>
      <w:r w:rsidR="00261BA4" w:rsidRPr="00B20119">
        <w:rPr>
          <w:lang w:val="lv-LV"/>
        </w:rPr>
        <w:t>uz lietas izlemšanu</w:t>
      </w:r>
      <w:r w:rsidR="00E51F85" w:rsidRPr="00B20119">
        <w:rPr>
          <w:lang w:val="lv-LV"/>
        </w:rPr>
        <w:t xml:space="preserve">. Taču, pat ja Eiropas Savienības Tiesa tās tiesvedībā esošajā lietā </w:t>
      </w:r>
      <w:r w:rsidR="00095C52" w:rsidRPr="00D63FFD">
        <w:rPr>
          <w:lang w:val="lv-LV"/>
        </w:rPr>
        <w:t xml:space="preserve">„TÜV </w:t>
      </w:r>
      <w:proofErr w:type="spellStart"/>
      <w:r w:rsidR="00095C52" w:rsidRPr="00D63FFD">
        <w:rPr>
          <w:lang w:val="lv-LV"/>
        </w:rPr>
        <w:t>Rheinland</w:t>
      </w:r>
      <w:proofErr w:type="spellEnd"/>
      <w:r w:rsidR="00095C52" w:rsidRPr="00D63FFD">
        <w:rPr>
          <w:lang w:val="lv-LV"/>
        </w:rPr>
        <w:t xml:space="preserve"> LGA </w:t>
      </w:r>
      <w:proofErr w:type="spellStart"/>
      <w:r w:rsidR="00095C52" w:rsidRPr="00D63FFD">
        <w:rPr>
          <w:lang w:val="lv-LV"/>
        </w:rPr>
        <w:t>Products</w:t>
      </w:r>
      <w:proofErr w:type="spellEnd"/>
      <w:r w:rsidR="00095C52" w:rsidRPr="00D63FFD">
        <w:rPr>
          <w:lang w:val="lv-LV"/>
        </w:rPr>
        <w:t xml:space="preserve"> un </w:t>
      </w:r>
      <w:proofErr w:type="spellStart"/>
      <w:r w:rsidR="00095C52" w:rsidRPr="00D63FFD">
        <w:rPr>
          <w:lang w:val="lv-LV"/>
        </w:rPr>
        <w:t>Allianz</w:t>
      </w:r>
      <w:proofErr w:type="spellEnd"/>
      <w:r w:rsidR="00095C52" w:rsidRPr="00D63FFD">
        <w:rPr>
          <w:lang w:val="lv-LV"/>
        </w:rPr>
        <w:t xml:space="preserve"> IARD”, </w:t>
      </w:r>
      <w:r w:rsidR="00E51F85" w:rsidRPr="00D63FFD">
        <w:rPr>
          <w:lang w:val="lv-LV"/>
        </w:rPr>
        <w:t>C-581/18</w:t>
      </w:r>
      <w:r w:rsidR="00EF75E6">
        <w:rPr>
          <w:lang w:val="lv-LV"/>
        </w:rPr>
        <w:t>,</w:t>
      </w:r>
      <w:r w:rsidR="00E51F85" w:rsidRPr="00D63FFD">
        <w:rPr>
          <w:i/>
          <w:iCs/>
          <w:lang w:val="lv-LV"/>
        </w:rPr>
        <w:t xml:space="preserve"> </w:t>
      </w:r>
      <w:r w:rsidR="00E51F85" w:rsidRPr="00D63FFD">
        <w:rPr>
          <w:lang w:val="lv-LV"/>
        </w:rPr>
        <w:t xml:space="preserve">apstiprinās LESD </w:t>
      </w:r>
      <w:proofErr w:type="gramStart"/>
      <w:r w:rsidR="00E51F85" w:rsidRPr="00D63FFD">
        <w:rPr>
          <w:lang w:val="lv-LV"/>
        </w:rPr>
        <w:t>56.panta</w:t>
      </w:r>
      <w:proofErr w:type="gramEnd"/>
      <w:r w:rsidR="00E51F85" w:rsidRPr="00D63FFD">
        <w:rPr>
          <w:lang w:val="lv-LV"/>
        </w:rPr>
        <w:t xml:space="preserve"> piemērojamību arī šādās lietās, </w:t>
      </w:r>
      <w:r w:rsidR="001718E6" w:rsidRPr="00D63FFD">
        <w:rPr>
          <w:lang w:val="lv-LV"/>
        </w:rPr>
        <w:t>Se</w:t>
      </w:r>
      <w:r w:rsidR="00BE7E92" w:rsidRPr="00D63FFD">
        <w:rPr>
          <w:lang w:val="lv-LV"/>
        </w:rPr>
        <w:t xml:space="preserve">nāts secina, ka </w:t>
      </w:r>
      <w:r w:rsidRPr="00D63FFD">
        <w:rPr>
          <w:lang w:val="lv-LV"/>
        </w:rPr>
        <w:t xml:space="preserve">Eiropas Savienības Tiesa apgabaltiesas spriedumā un šajā spriedumā minētajās lietās jau ir sniegusi pietiekami skaidras atbildes uz jautājumiem par to tiesību normu, kuras </w:t>
      </w:r>
      <w:r w:rsidR="00110D40" w:rsidRPr="00D63FFD">
        <w:rPr>
          <w:lang w:val="lv-LV"/>
        </w:rPr>
        <w:t xml:space="preserve">tiesas vai </w:t>
      </w:r>
      <w:r w:rsidRPr="00D63FFD">
        <w:rPr>
          <w:lang w:val="lv-LV"/>
        </w:rPr>
        <w:t xml:space="preserve">pieteicējas ieskatā ir piemērojamas konkrētajā lietā, interpretāciju. </w:t>
      </w:r>
      <w:r w:rsidR="00811619" w:rsidRPr="00D63FFD">
        <w:rPr>
          <w:lang w:val="lv-LV"/>
        </w:rPr>
        <w:t>Kasācijas sūdzība</w:t>
      </w:r>
      <w:r w:rsidR="0039567F">
        <w:rPr>
          <w:lang w:val="lv-LV"/>
        </w:rPr>
        <w:t xml:space="preserve"> faktiski</w:t>
      </w:r>
      <w:r w:rsidR="00811619" w:rsidRPr="00D63FFD">
        <w:rPr>
          <w:lang w:val="lv-LV"/>
        </w:rPr>
        <w:t xml:space="preserve"> neietver pretargumentus tiem argumentiem, kurus izmantojusi apgabaltiesa, atsaucoties uz Eiropas Savienības Tiesas sniegto tiesību normu interpretāciju. </w:t>
      </w:r>
    </w:p>
    <w:p w14:paraId="3EE6912D" w14:textId="313A09B4" w:rsidR="00580B8E" w:rsidRPr="00D63FFD" w:rsidRDefault="0039567F" w:rsidP="00EC3193">
      <w:pPr>
        <w:pStyle w:val="c01pointnumerotealtn"/>
        <w:spacing w:before="0" w:beforeAutospacing="0" w:after="0" w:afterAutospacing="0" w:line="276" w:lineRule="auto"/>
        <w:ind w:firstLine="567"/>
        <w:jc w:val="both"/>
        <w:rPr>
          <w:lang w:val="lv-LV"/>
        </w:rPr>
      </w:pPr>
      <w:r>
        <w:rPr>
          <w:lang w:val="lv-LV"/>
        </w:rPr>
        <w:t>Otrkārt,</w:t>
      </w:r>
      <w:r w:rsidR="00E2575B" w:rsidRPr="00D63FFD">
        <w:rPr>
          <w:lang w:val="lv-LV"/>
        </w:rPr>
        <w:t xml:space="preserve"> </w:t>
      </w:r>
      <w:r w:rsidR="00BE7E92" w:rsidRPr="00D63FFD">
        <w:rPr>
          <w:lang w:val="lv-LV"/>
        </w:rPr>
        <w:t>atbildes</w:t>
      </w:r>
      <w:r w:rsidR="004447AD" w:rsidRPr="00D63FFD">
        <w:rPr>
          <w:lang w:val="lv-LV"/>
        </w:rPr>
        <w:t xml:space="preserve"> uz 2., 7. un 12.jautājumu</w:t>
      </w:r>
      <w:r w:rsidR="001718E6" w:rsidRPr="00D63FFD">
        <w:rPr>
          <w:lang w:val="lv-LV"/>
        </w:rPr>
        <w:t xml:space="preserve">, </w:t>
      </w:r>
      <w:r w:rsidR="00E2575B" w:rsidRPr="00D63FFD">
        <w:rPr>
          <w:lang w:val="lv-LV"/>
        </w:rPr>
        <w:t xml:space="preserve">kā jau norādīts iepriekš, </w:t>
      </w:r>
      <w:r w:rsidR="001718E6" w:rsidRPr="00D63FFD">
        <w:rPr>
          <w:lang w:val="lv-LV"/>
        </w:rPr>
        <w:t>atbilstoši Eir</w:t>
      </w:r>
      <w:r w:rsidR="00442E54" w:rsidRPr="00D63FFD">
        <w:rPr>
          <w:lang w:val="lv-LV"/>
        </w:rPr>
        <w:t>o</w:t>
      </w:r>
      <w:r w:rsidR="001718E6" w:rsidRPr="00D63FFD">
        <w:rPr>
          <w:lang w:val="lv-LV"/>
        </w:rPr>
        <w:t>pas Savienības Tiesas judikatūrai pēc būtības ir jāat</w:t>
      </w:r>
      <w:r w:rsidR="00BE7E92" w:rsidRPr="00D63FFD">
        <w:rPr>
          <w:lang w:val="lv-LV"/>
        </w:rPr>
        <w:t>rod pašai</w:t>
      </w:r>
      <w:r w:rsidR="001718E6" w:rsidRPr="00D63FFD">
        <w:rPr>
          <w:lang w:val="lv-LV"/>
        </w:rPr>
        <w:t xml:space="preserve"> dalībvalsts tiesai.</w:t>
      </w:r>
    </w:p>
    <w:p w14:paraId="10C166E1" w14:textId="61FE3F45" w:rsidR="005C6820" w:rsidRPr="00D63FFD" w:rsidRDefault="0039567F" w:rsidP="00EC3193">
      <w:pPr>
        <w:pStyle w:val="c01pointnumerotealtn"/>
        <w:spacing w:before="0" w:beforeAutospacing="0" w:after="0" w:afterAutospacing="0" w:line="276" w:lineRule="auto"/>
        <w:ind w:firstLine="567"/>
        <w:jc w:val="both"/>
        <w:rPr>
          <w:lang w:val="lv-LV"/>
        </w:rPr>
      </w:pPr>
      <w:r>
        <w:rPr>
          <w:lang w:val="lv-LV"/>
        </w:rPr>
        <w:t>Treškār</w:t>
      </w:r>
      <w:r w:rsidR="005C6820" w:rsidRPr="00D63FFD">
        <w:rPr>
          <w:lang w:val="lv-LV"/>
        </w:rPr>
        <w:t xml:space="preserve">t, Senāts ir izvērtējis </w:t>
      </w:r>
      <w:r w:rsidR="00E737EC">
        <w:rPr>
          <w:lang w:val="lv-LV"/>
        </w:rPr>
        <w:t xml:space="preserve">pieteicējas </w:t>
      </w:r>
      <w:r w:rsidR="005C6820" w:rsidRPr="00D63FFD">
        <w:rPr>
          <w:lang w:val="lv-LV"/>
        </w:rPr>
        <w:t>piedāvātos jautājum</w:t>
      </w:r>
      <w:r w:rsidR="00AC4B81">
        <w:rPr>
          <w:lang w:val="lv-LV"/>
        </w:rPr>
        <w:t>u</w:t>
      </w:r>
      <w:r w:rsidR="005C6820" w:rsidRPr="00D63FFD">
        <w:rPr>
          <w:lang w:val="lv-LV"/>
        </w:rPr>
        <w:t xml:space="preserve">s kopumā un jo īpaši </w:t>
      </w:r>
      <w:r w:rsidR="00E737EC">
        <w:rPr>
          <w:lang w:val="lv-LV"/>
        </w:rPr>
        <w:t xml:space="preserve">šā </w:t>
      </w:r>
      <w:r w:rsidR="008D3DE7" w:rsidRPr="00D63FFD">
        <w:rPr>
          <w:lang w:val="lv-LV"/>
        </w:rPr>
        <w:t>sprieduma 7.</w:t>
      </w:r>
      <w:r w:rsidR="00961949" w:rsidRPr="00D63FFD">
        <w:rPr>
          <w:lang w:val="lv-LV"/>
        </w:rPr>
        <w:t>,</w:t>
      </w:r>
      <w:r w:rsidR="008D3DE7" w:rsidRPr="00D63FFD">
        <w:rPr>
          <w:lang w:val="lv-LV"/>
        </w:rPr>
        <w:t xml:space="preserve"> </w:t>
      </w:r>
      <w:r w:rsidR="00961949" w:rsidRPr="00D63FFD">
        <w:rPr>
          <w:lang w:val="lv-LV"/>
        </w:rPr>
        <w:t>1</w:t>
      </w:r>
      <w:r w:rsidR="009370FC">
        <w:rPr>
          <w:lang w:val="lv-LV"/>
        </w:rPr>
        <w:t>0</w:t>
      </w:r>
      <w:r w:rsidR="00961949" w:rsidRPr="00D63FFD">
        <w:rPr>
          <w:lang w:val="lv-LV"/>
        </w:rPr>
        <w:t xml:space="preserve">. </w:t>
      </w:r>
      <w:r w:rsidR="008D3DE7" w:rsidRPr="00D63FFD">
        <w:rPr>
          <w:lang w:val="lv-LV"/>
        </w:rPr>
        <w:t>un 1</w:t>
      </w:r>
      <w:r w:rsidR="009370FC">
        <w:rPr>
          <w:lang w:val="lv-LV"/>
        </w:rPr>
        <w:t>2</w:t>
      </w:r>
      <w:r w:rsidR="008D3DE7" w:rsidRPr="00D63FFD">
        <w:rPr>
          <w:lang w:val="lv-LV"/>
        </w:rPr>
        <w:t xml:space="preserve">.punktā </w:t>
      </w:r>
      <w:r w:rsidR="005C6820" w:rsidRPr="00D63FFD">
        <w:rPr>
          <w:lang w:val="lv-LV"/>
        </w:rPr>
        <w:t xml:space="preserve">sniedzis vērtējumu </w:t>
      </w:r>
      <w:r w:rsidR="00E737EC">
        <w:rPr>
          <w:lang w:val="lv-LV"/>
        </w:rPr>
        <w:t>saistībā ar pieteicējas</w:t>
      </w:r>
      <w:r w:rsidR="008D3DE7" w:rsidRPr="00D63FFD">
        <w:rPr>
          <w:lang w:val="lv-LV"/>
        </w:rPr>
        <w:t xml:space="preserve"> </w:t>
      </w:r>
      <w:r w:rsidR="005C6820" w:rsidRPr="00D63FFD">
        <w:rPr>
          <w:lang w:val="lv-LV"/>
        </w:rPr>
        <w:t>4.</w:t>
      </w:r>
      <w:r w:rsidR="00E737EC">
        <w:rPr>
          <w:lang w:val="lv-LV"/>
        </w:rPr>
        <w:t>,</w:t>
      </w:r>
      <w:r w:rsidR="005C6820" w:rsidRPr="00D63FFD">
        <w:rPr>
          <w:lang w:val="lv-LV"/>
        </w:rPr>
        <w:t xml:space="preserve"> </w:t>
      </w:r>
      <w:r w:rsidR="00961949" w:rsidRPr="00D63FFD">
        <w:rPr>
          <w:lang w:val="lv-LV"/>
        </w:rPr>
        <w:t xml:space="preserve">11. </w:t>
      </w:r>
      <w:r w:rsidR="005C6820" w:rsidRPr="00D63FFD">
        <w:rPr>
          <w:lang w:val="lv-LV"/>
        </w:rPr>
        <w:t>un 12.jautājum</w:t>
      </w:r>
      <w:r w:rsidR="008D3DE7" w:rsidRPr="00D63FFD">
        <w:rPr>
          <w:lang w:val="lv-LV"/>
        </w:rPr>
        <w:t>ā</w:t>
      </w:r>
      <w:r w:rsidR="005C6820" w:rsidRPr="00D63FFD">
        <w:rPr>
          <w:lang w:val="lv-LV"/>
        </w:rPr>
        <w:t xml:space="preserve"> izvirzītajiem apsvērumiem.</w:t>
      </w:r>
    </w:p>
    <w:p w14:paraId="20D92759" w14:textId="6584FA5C" w:rsidR="00580B8E" w:rsidRDefault="00E51F85" w:rsidP="00EC3193">
      <w:pPr>
        <w:pStyle w:val="c01pointnumerotealtn"/>
        <w:spacing w:before="0" w:beforeAutospacing="0" w:after="0" w:afterAutospacing="0" w:line="276" w:lineRule="auto"/>
        <w:ind w:firstLine="567"/>
        <w:jc w:val="both"/>
        <w:rPr>
          <w:lang w:val="lv-LV"/>
        </w:rPr>
      </w:pPr>
      <w:r w:rsidRPr="00D63FFD">
        <w:rPr>
          <w:lang w:val="lv-LV"/>
        </w:rPr>
        <w:t>Jāatzīmē arī, ka, lai vērstos Eiropas Savienības Tiesā ar</w:t>
      </w:r>
      <w:r>
        <w:rPr>
          <w:lang w:val="lv-LV"/>
        </w:rPr>
        <w:t xml:space="preserve"> jautājumiem, nav pietiekami, lai jautājum</w:t>
      </w:r>
      <w:r w:rsidR="00EE0D96">
        <w:rPr>
          <w:lang w:val="lv-LV"/>
        </w:rPr>
        <w:t>s</w:t>
      </w:r>
      <w:r>
        <w:rPr>
          <w:lang w:val="lv-LV"/>
        </w:rPr>
        <w:t xml:space="preserve"> kā tād</w:t>
      </w:r>
      <w:r w:rsidR="00EE0D96">
        <w:rPr>
          <w:lang w:val="lv-LV"/>
        </w:rPr>
        <w:t>s</w:t>
      </w:r>
      <w:r>
        <w:rPr>
          <w:lang w:val="lv-LV"/>
        </w:rPr>
        <w:t xml:space="preserve"> būtu </w:t>
      </w:r>
      <w:r w:rsidR="0039567F">
        <w:rPr>
          <w:lang w:val="lv-LV"/>
        </w:rPr>
        <w:t>saistīts</w:t>
      </w:r>
      <w:r w:rsidR="00110D40">
        <w:rPr>
          <w:lang w:val="lv-LV"/>
        </w:rPr>
        <w:t xml:space="preserve"> ar Eiropas Savienības tiesībām</w:t>
      </w:r>
      <w:r>
        <w:rPr>
          <w:lang w:val="lv-LV"/>
        </w:rPr>
        <w:t xml:space="preserve">. </w:t>
      </w:r>
      <w:r w:rsidR="00580B8E">
        <w:rPr>
          <w:lang w:val="lv-LV"/>
        </w:rPr>
        <w:t xml:space="preserve">Atbilstoši Eiropas Savienības Tiesas </w:t>
      </w:r>
      <w:r w:rsidR="00AB5221">
        <w:rPr>
          <w:lang w:val="lv-LV"/>
        </w:rPr>
        <w:t>„</w:t>
      </w:r>
      <w:r w:rsidR="00580B8E" w:rsidRPr="00EC3193">
        <w:rPr>
          <w:lang w:val="lv-LV"/>
        </w:rPr>
        <w:t>Ieteikumu valstu tiesām par prejudiciālā nolēmuma tiesvedības ierosināšanu</w:t>
      </w:r>
      <w:r w:rsidR="00AB5221">
        <w:rPr>
          <w:lang w:val="lv-LV"/>
        </w:rPr>
        <w:t>”</w:t>
      </w:r>
      <w:r w:rsidR="00580B8E">
        <w:rPr>
          <w:lang w:val="lv-LV"/>
        </w:rPr>
        <w:t xml:space="preserve"> 15.punktam p</w:t>
      </w:r>
      <w:r w:rsidR="00580B8E" w:rsidRPr="00580B8E">
        <w:rPr>
          <w:lang w:val="lv-LV"/>
        </w:rPr>
        <w:t>apildus pašam prejudiciālā kārtā Tiesai uzdoto jautājumu tekstam lūgumā sniegt prejudiciālu nolēmumu jāiekļauj</w:t>
      </w:r>
      <w:r w:rsidR="00580B8E">
        <w:rPr>
          <w:lang w:val="lv-LV"/>
        </w:rPr>
        <w:t xml:space="preserve"> </w:t>
      </w:r>
      <w:r w:rsidR="00580B8E" w:rsidRPr="00580B8E">
        <w:rPr>
          <w:lang w:val="lv-LV"/>
        </w:rPr>
        <w:t xml:space="preserve">to iemeslu izklāsts, kas iesniedzējtiesai likuši šaubīties par noteiktu </w:t>
      </w:r>
      <w:r w:rsidR="00261BA4">
        <w:rPr>
          <w:lang w:val="lv-LV"/>
        </w:rPr>
        <w:t xml:space="preserve">Eiropas </w:t>
      </w:r>
      <w:r w:rsidR="00580B8E" w:rsidRPr="00580B8E">
        <w:rPr>
          <w:lang w:val="lv-LV"/>
        </w:rPr>
        <w:t>Savienības tiesību normu interpretāciju</w:t>
      </w:r>
      <w:bookmarkStart w:id="8" w:name="_Hlk44586510"/>
      <w:r w:rsidR="00580B8E">
        <w:rPr>
          <w:lang w:val="lv-LV"/>
        </w:rPr>
        <w:t>.</w:t>
      </w:r>
      <w:r>
        <w:rPr>
          <w:lang w:val="lv-LV"/>
        </w:rPr>
        <w:t xml:space="preserve"> Konkrētajā lietā Senātam nav šādu </w:t>
      </w:r>
      <w:r>
        <w:rPr>
          <w:lang w:val="lv-LV"/>
        </w:rPr>
        <w:lastRenderedPageBreak/>
        <w:t>iemeslu</w:t>
      </w:r>
      <w:proofErr w:type="gramStart"/>
      <w:r w:rsidR="00961949" w:rsidRPr="00B20119">
        <w:rPr>
          <w:lang w:val="lv-LV"/>
        </w:rPr>
        <w:t xml:space="preserve"> un</w:t>
      </w:r>
      <w:proofErr w:type="gramEnd"/>
      <w:r w:rsidR="00961949" w:rsidRPr="00B20119">
        <w:rPr>
          <w:lang w:val="lv-LV"/>
        </w:rPr>
        <w:t xml:space="preserve"> tādējādi Senāts uzskata, ka kasācijas sūdzības izskatīšanai nav nepieciešams vērsties Eiropas Savienības Tiesā, jo Eiropas Savienības tiesību jautājumi nerada interpretācijas problēmas vai par atsevišķiem jautājumiem Eiropas Savienības Tiesa ir sniegusi skaidras norādes par lietā piemērojamo Eiropas Savienības tiesību normu interpretāciju</w:t>
      </w:r>
      <w:r>
        <w:rPr>
          <w:lang w:val="lv-LV"/>
        </w:rPr>
        <w:t>.</w:t>
      </w:r>
      <w:r w:rsidR="00811619" w:rsidRPr="00811619">
        <w:rPr>
          <w:lang w:val="lv-LV"/>
        </w:rPr>
        <w:t xml:space="preserve"> </w:t>
      </w:r>
      <w:r w:rsidR="00811619">
        <w:rPr>
          <w:lang w:val="lv-LV"/>
        </w:rPr>
        <w:t>Nianses, kuras kā atšķirīgas norādījusi pieteicēja, nav tik būtiskas, lai Senātam radītu šaubas</w:t>
      </w:r>
      <w:r w:rsidR="00261BA4">
        <w:rPr>
          <w:lang w:val="lv-LV"/>
        </w:rPr>
        <w:t xml:space="preserve"> par pareizu normu piemērošanu</w:t>
      </w:r>
      <w:r w:rsidR="00811619">
        <w:rPr>
          <w:lang w:val="lv-LV"/>
        </w:rPr>
        <w:t>.</w:t>
      </w:r>
    </w:p>
    <w:p w14:paraId="19C2B499" w14:textId="0CC0D420" w:rsidR="00B34AF5" w:rsidRPr="00B20119" w:rsidRDefault="00B34AF5" w:rsidP="00EC3193">
      <w:pPr>
        <w:pStyle w:val="c01pointnumerotealtn"/>
        <w:spacing w:before="0" w:beforeAutospacing="0" w:after="0" w:afterAutospacing="0" w:line="276" w:lineRule="auto"/>
        <w:ind w:firstLine="426"/>
        <w:jc w:val="both"/>
        <w:rPr>
          <w:lang w:val="lv-LV"/>
        </w:rPr>
      </w:pPr>
    </w:p>
    <w:bookmarkEnd w:id="8"/>
    <w:p w14:paraId="45A17CE2" w14:textId="4FDF841A" w:rsidR="00352227" w:rsidRDefault="00F0230D" w:rsidP="00EC3193">
      <w:pPr>
        <w:spacing w:line="276" w:lineRule="auto"/>
        <w:ind w:firstLine="567"/>
        <w:jc w:val="both"/>
      </w:pPr>
      <w:r>
        <w:t>[</w:t>
      </w:r>
      <w:r w:rsidR="007B1139">
        <w:t>1</w:t>
      </w:r>
      <w:r w:rsidR="00766AF2">
        <w:t>4</w:t>
      </w:r>
      <w:r w:rsidR="00352227">
        <w:t xml:space="preserve">] Apkopojot minēto, </w:t>
      </w:r>
      <w:r w:rsidR="007D2025">
        <w:t>Senāts atzīst, ka</w:t>
      </w:r>
      <w:r w:rsidR="006B5EA8">
        <w:t xml:space="preserve"> pieteicēja</w:t>
      </w:r>
      <w:r w:rsidR="00AD2183">
        <w:t>s</w:t>
      </w:r>
      <w:r w:rsidR="006B5EA8">
        <w:t xml:space="preserve"> norādītie argumenti </w:t>
      </w:r>
      <w:r w:rsidR="00C9720D">
        <w:t>nav pamatoti</w:t>
      </w:r>
      <w:r w:rsidR="00B975AD">
        <w:t>, tā</w:t>
      </w:r>
      <w:r w:rsidR="00C9720D">
        <w:t>pēc kasācijas sūdzība ir noraidāma.</w:t>
      </w:r>
    </w:p>
    <w:p w14:paraId="58F39F98" w14:textId="77777777" w:rsidR="00E51C35" w:rsidRDefault="00E51C35" w:rsidP="00EC3193">
      <w:pPr>
        <w:spacing w:line="276" w:lineRule="auto"/>
        <w:jc w:val="both"/>
      </w:pPr>
    </w:p>
    <w:p w14:paraId="0C318939" w14:textId="77777777" w:rsidR="00A51E6B" w:rsidRPr="00A51E6B" w:rsidRDefault="00A51E6B" w:rsidP="00EC3193">
      <w:pPr>
        <w:spacing w:line="276" w:lineRule="auto"/>
        <w:jc w:val="center"/>
        <w:rPr>
          <w:b/>
        </w:rPr>
      </w:pPr>
      <w:r w:rsidRPr="00A51E6B">
        <w:rPr>
          <w:b/>
        </w:rPr>
        <w:t>Rezolutīvā daļa</w:t>
      </w:r>
    </w:p>
    <w:p w14:paraId="636A0DBF" w14:textId="77777777" w:rsidR="00A51E6B" w:rsidRPr="00A51E6B" w:rsidRDefault="00A51E6B" w:rsidP="00EC3193">
      <w:pPr>
        <w:spacing w:line="276" w:lineRule="auto"/>
        <w:jc w:val="center"/>
        <w:rPr>
          <w:b/>
        </w:rPr>
      </w:pPr>
    </w:p>
    <w:p w14:paraId="769E4182" w14:textId="77777777" w:rsidR="00A51E6B" w:rsidRPr="00A51E6B" w:rsidRDefault="00A51E6B" w:rsidP="00EC3193">
      <w:pPr>
        <w:spacing w:line="276" w:lineRule="auto"/>
        <w:ind w:firstLine="567"/>
        <w:jc w:val="both"/>
      </w:pPr>
      <w:r w:rsidRPr="00A51E6B">
        <w:t>Pamatojoties uz Administratīvā procesa likuma</w:t>
      </w:r>
      <w:r w:rsidRPr="00A51E6B">
        <w:rPr>
          <w:vertAlign w:val="superscript"/>
        </w:rPr>
        <w:t xml:space="preserve"> </w:t>
      </w:r>
      <w:proofErr w:type="gramStart"/>
      <w:r w:rsidRPr="00A51E6B">
        <w:t>348.panta</w:t>
      </w:r>
      <w:proofErr w:type="gramEnd"/>
      <w:r w:rsidRPr="00A51E6B">
        <w:t xml:space="preserve"> pirmās daļas 1.punktu un 351.pantu, Senāts</w:t>
      </w:r>
    </w:p>
    <w:p w14:paraId="3044125C" w14:textId="77777777" w:rsidR="00A51E6B" w:rsidRPr="00A51E6B" w:rsidRDefault="00A51E6B" w:rsidP="00EC3193">
      <w:pPr>
        <w:spacing w:line="276" w:lineRule="auto"/>
        <w:ind w:firstLine="567"/>
        <w:jc w:val="both"/>
      </w:pPr>
    </w:p>
    <w:p w14:paraId="3E813042" w14:textId="77777777" w:rsidR="00A51E6B" w:rsidRPr="00A51E6B" w:rsidRDefault="00A51E6B" w:rsidP="00EC3193">
      <w:pPr>
        <w:tabs>
          <w:tab w:val="left" w:pos="2700"/>
          <w:tab w:val="left" w:pos="6660"/>
        </w:tabs>
        <w:spacing w:line="276" w:lineRule="auto"/>
        <w:jc w:val="center"/>
        <w:rPr>
          <w:b/>
        </w:rPr>
      </w:pPr>
      <w:bookmarkStart w:id="9" w:name="Dropdown14"/>
      <w:r w:rsidRPr="00A51E6B">
        <w:rPr>
          <w:b/>
        </w:rPr>
        <w:t>nosprieda</w:t>
      </w:r>
      <w:bookmarkEnd w:id="9"/>
    </w:p>
    <w:p w14:paraId="7D252FD6" w14:textId="77777777" w:rsidR="00A51E6B" w:rsidRPr="00A51E6B" w:rsidRDefault="00A51E6B" w:rsidP="00EC3193">
      <w:pPr>
        <w:tabs>
          <w:tab w:val="left" w:pos="2700"/>
          <w:tab w:val="left" w:pos="6660"/>
        </w:tabs>
        <w:spacing w:line="276" w:lineRule="auto"/>
        <w:ind w:firstLine="567"/>
        <w:jc w:val="both"/>
        <w:rPr>
          <w:bCs/>
          <w:spacing w:val="70"/>
        </w:rPr>
      </w:pPr>
    </w:p>
    <w:p w14:paraId="237ED6AC" w14:textId="77777777" w:rsidR="00EE0D96" w:rsidRDefault="00A51E6B" w:rsidP="00EC3193">
      <w:pPr>
        <w:tabs>
          <w:tab w:val="left" w:pos="2700"/>
          <w:tab w:val="left" w:pos="6660"/>
        </w:tabs>
        <w:spacing w:line="276" w:lineRule="auto"/>
        <w:ind w:firstLine="567"/>
        <w:jc w:val="both"/>
      </w:pPr>
      <w:r w:rsidRPr="00A51E6B">
        <w:t xml:space="preserve">atstāt negrozītu Administratīvās apgabaltiesas </w:t>
      </w:r>
      <w:proofErr w:type="gramStart"/>
      <w:r w:rsidR="008F11A3">
        <w:t>201</w:t>
      </w:r>
      <w:r w:rsidR="008E389E">
        <w:t>9</w:t>
      </w:r>
      <w:r w:rsidR="008F11A3">
        <w:t>.gada</w:t>
      </w:r>
      <w:proofErr w:type="gramEnd"/>
      <w:r w:rsidR="008F11A3">
        <w:t xml:space="preserve"> </w:t>
      </w:r>
      <w:r w:rsidR="00FC7406">
        <w:t>19.novembra</w:t>
      </w:r>
      <w:r w:rsidRPr="00A51E6B">
        <w:t xml:space="preserve"> spriedumu, bet </w:t>
      </w:r>
      <w:r w:rsidR="00FC7406" w:rsidRPr="00A373E2">
        <w:rPr>
          <w:color w:val="000000"/>
        </w:rPr>
        <w:t>SIA „</w:t>
      </w:r>
      <w:proofErr w:type="spellStart"/>
      <w:r w:rsidR="00FC7406" w:rsidRPr="00A373E2">
        <w:rPr>
          <w:color w:val="000000"/>
        </w:rPr>
        <w:t>Olympic</w:t>
      </w:r>
      <w:proofErr w:type="spellEnd"/>
      <w:r w:rsidR="00FC7406" w:rsidRPr="00A373E2">
        <w:rPr>
          <w:color w:val="000000"/>
        </w:rPr>
        <w:t xml:space="preserve"> </w:t>
      </w:r>
      <w:proofErr w:type="spellStart"/>
      <w:r w:rsidR="00FC7406" w:rsidRPr="00A373E2">
        <w:rPr>
          <w:color w:val="000000"/>
        </w:rPr>
        <w:t>Casino</w:t>
      </w:r>
      <w:proofErr w:type="spellEnd"/>
      <w:r w:rsidR="00FC7406" w:rsidRPr="00A373E2">
        <w:rPr>
          <w:color w:val="000000"/>
        </w:rPr>
        <w:t xml:space="preserve"> </w:t>
      </w:r>
      <w:proofErr w:type="spellStart"/>
      <w:r w:rsidR="00FC7406" w:rsidRPr="00A373E2">
        <w:rPr>
          <w:color w:val="000000"/>
        </w:rPr>
        <w:t>Latvia</w:t>
      </w:r>
      <w:proofErr w:type="spellEnd"/>
      <w:r w:rsidR="00FC7406" w:rsidRPr="00A373E2">
        <w:rPr>
          <w:color w:val="000000"/>
        </w:rPr>
        <w:t>”</w:t>
      </w:r>
      <w:r w:rsidR="00601E5B">
        <w:rPr>
          <w:color w:val="000000"/>
        </w:rPr>
        <w:t xml:space="preserve"> </w:t>
      </w:r>
      <w:r w:rsidRPr="00A51E6B">
        <w:t>kasācijas sūdzību noraidīt.</w:t>
      </w:r>
    </w:p>
    <w:p w14:paraId="7034FE17" w14:textId="3973A4B9" w:rsidR="00A51E6B" w:rsidRPr="00A51E6B" w:rsidRDefault="00A51E6B" w:rsidP="00EC3193">
      <w:pPr>
        <w:tabs>
          <w:tab w:val="left" w:pos="2700"/>
          <w:tab w:val="left" w:pos="6660"/>
        </w:tabs>
        <w:spacing w:line="276" w:lineRule="auto"/>
        <w:ind w:firstLine="567"/>
        <w:jc w:val="both"/>
      </w:pPr>
      <w:r w:rsidRPr="00A51E6B">
        <w:t>Spriedums nav pārsūdzams.</w:t>
      </w:r>
    </w:p>
    <w:sectPr w:rsidR="00A51E6B" w:rsidRPr="00A51E6B" w:rsidSect="0047413D">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D8263" w14:textId="77777777" w:rsidR="00AE6091" w:rsidRDefault="00AE6091" w:rsidP="00E12AD0">
      <w:r>
        <w:separator/>
      </w:r>
    </w:p>
  </w:endnote>
  <w:endnote w:type="continuationSeparator" w:id="0">
    <w:p w14:paraId="597DA01C" w14:textId="77777777" w:rsidR="00AE6091" w:rsidRDefault="00AE6091"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59709"/>
      <w:docPartObj>
        <w:docPartGallery w:val="Page Numbers (Bottom of Page)"/>
        <w:docPartUnique/>
      </w:docPartObj>
    </w:sdtPr>
    <w:sdtEndPr/>
    <w:sdtContent>
      <w:sdt>
        <w:sdtPr>
          <w:id w:val="1728636285"/>
          <w:docPartObj>
            <w:docPartGallery w:val="Page Numbers (Top of Page)"/>
            <w:docPartUnique/>
          </w:docPartObj>
        </w:sdtPr>
        <w:sdtEndPr/>
        <w:sdtContent>
          <w:p w14:paraId="70B94E42" w14:textId="77E42FFB" w:rsidR="008D3DE7" w:rsidRDefault="008D3DE7">
            <w:pPr>
              <w:pStyle w:val="Footer"/>
              <w:jc w:val="center"/>
            </w:pPr>
            <w:r w:rsidRPr="00963AC0">
              <w:rPr>
                <w:bCs/>
              </w:rPr>
              <w:fldChar w:fldCharType="begin"/>
            </w:r>
            <w:r w:rsidRPr="00963AC0">
              <w:rPr>
                <w:bCs/>
              </w:rPr>
              <w:instrText xml:space="preserve"> PAGE </w:instrText>
            </w:r>
            <w:r w:rsidRPr="00963AC0">
              <w:rPr>
                <w:bCs/>
              </w:rPr>
              <w:fldChar w:fldCharType="separate"/>
            </w:r>
            <w:r w:rsidR="005D28DD">
              <w:rPr>
                <w:bCs/>
                <w:noProof/>
              </w:rPr>
              <w:t>13</w:t>
            </w:r>
            <w:r w:rsidRPr="00963AC0">
              <w:rPr>
                <w:bCs/>
              </w:rPr>
              <w:fldChar w:fldCharType="end"/>
            </w:r>
            <w:r w:rsidRPr="00963AC0">
              <w:t xml:space="preserve"> no </w:t>
            </w:r>
            <w:r w:rsidRPr="00963AC0">
              <w:rPr>
                <w:bCs/>
              </w:rPr>
              <w:fldChar w:fldCharType="begin"/>
            </w:r>
            <w:r w:rsidRPr="00963AC0">
              <w:rPr>
                <w:bCs/>
              </w:rPr>
              <w:instrText xml:space="preserve"> NUMPAGES  </w:instrText>
            </w:r>
            <w:r w:rsidRPr="00963AC0">
              <w:rPr>
                <w:bCs/>
              </w:rPr>
              <w:fldChar w:fldCharType="separate"/>
            </w:r>
            <w:r w:rsidR="005D28DD">
              <w:rPr>
                <w:bCs/>
                <w:noProof/>
              </w:rPr>
              <w:t>13</w:t>
            </w:r>
            <w:r w:rsidRPr="00963AC0">
              <w:rPr>
                <w:bCs/>
              </w:rPr>
              <w:fldChar w:fldCharType="end"/>
            </w:r>
          </w:p>
        </w:sdtContent>
      </w:sdt>
    </w:sdtContent>
  </w:sdt>
  <w:p w14:paraId="2F8FD52A" w14:textId="77777777" w:rsidR="008D3DE7" w:rsidRDefault="008D3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74CED" w14:textId="77777777" w:rsidR="00AE6091" w:rsidRDefault="00AE6091" w:rsidP="00E12AD0">
      <w:r>
        <w:separator/>
      </w:r>
    </w:p>
  </w:footnote>
  <w:footnote w:type="continuationSeparator" w:id="0">
    <w:p w14:paraId="1E2E982C" w14:textId="77777777" w:rsidR="00AE6091" w:rsidRDefault="00AE6091"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02DD7"/>
    <w:multiLevelType w:val="hybridMultilevel"/>
    <w:tmpl w:val="C9B4B164"/>
    <w:lvl w:ilvl="0" w:tplc="F3883C0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42480A"/>
    <w:multiLevelType w:val="hybridMultilevel"/>
    <w:tmpl w:val="68D0814E"/>
    <w:lvl w:ilvl="0" w:tplc="0768A316">
      <w:start w:val="1"/>
      <w:numFmt w:val="decimal"/>
      <w:pStyle w:val="NoSpac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5227B8"/>
    <w:multiLevelType w:val="hybridMultilevel"/>
    <w:tmpl w:val="7A78E558"/>
    <w:lvl w:ilvl="0" w:tplc="C180D900">
      <w:start w:val="1"/>
      <w:numFmt w:val="lowerLetter"/>
      <w:lvlText w:val="%1)"/>
      <w:lvlJc w:val="left"/>
      <w:pPr>
        <w:ind w:left="2628" w:hanging="360"/>
      </w:pPr>
      <w:rPr>
        <w:rFonts w:hint="default"/>
        <w:color w:val="auto"/>
        <w:sz w:val="24"/>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18A0"/>
    <w:rsid w:val="00002077"/>
    <w:rsid w:val="0000727D"/>
    <w:rsid w:val="00016EEE"/>
    <w:rsid w:val="00027E25"/>
    <w:rsid w:val="00027E57"/>
    <w:rsid w:val="00031B07"/>
    <w:rsid w:val="000414D5"/>
    <w:rsid w:val="0004589B"/>
    <w:rsid w:val="000520BB"/>
    <w:rsid w:val="00053222"/>
    <w:rsid w:val="000544C9"/>
    <w:rsid w:val="000574E1"/>
    <w:rsid w:val="0006272F"/>
    <w:rsid w:val="00071FBC"/>
    <w:rsid w:val="00074426"/>
    <w:rsid w:val="00082DED"/>
    <w:rsid w:val="0008468C"/>
    <w:rsid w:val="00093046"/>
    <w:rsid w:val="00094D50"/>
    <w:rsid w:val="00095C52"/>
    <w:rsid w:val="000B5EA5"/>
    <w:rsid w:val="000C058B"/>
    <w:rsid w:val="000C1248"/>
    <w:rsid w:val="000D3145"/>
    <w:rsid w:val="000D743E"/>
    <w:rsid w:val="000E1B8B"/>
    <w:rsid w:val="000E235F"/>
    <w:rsid w:val="000E2F2D"/>
    <w:rsid w:val="000E6B4B"/>
    <w:rsid w:val="000F1856"/>
    <w:rsid w:val="000F6E67"/>
    <w:rsid w:val="00110809"/>
    <w:rsid w:val="00110D40"/>
    <w:rsid w:val="00131A82"/>
    <w:rsid w:val="001339DF"/>
    <w:rsid w:val="0014708A"/>
    <w:rsid w:val="001504B7"/>
    <w:rsid w:val="00153C70"/>
    <w:rsid w:val="0016754C"/>
    <w:rsid w:val="00167B63"/>
    <w:rsid w:val="001718E6"/>
    <w:rsid w:val="0017378C"/>
    <w:rsid w:val="00176FD6"/>
    <w:rsid w:val="00186FC1"/>
    <w:rsid w:val="00192B65"/>
    <w:rsid w:val="0019590B"/>
    <w:rsid w:val="00197058"/>
    <w:rsid w:val="001B169E"/>
    <w:rsid w:val="001B428A"/>
    <w:rsid w:val="001B64EF"/>
    <w:rsid w:val="001D1BFA"/>
    <w:rsid w:val="001D3246"/>
    <w:rsid w:val="001E52A1"/>
    <w:rsid w:val="001E558F"/>
    <w:rsid w:val="001E689E"/>
    <w:rsid w:val="001F2AEF"/>
    <w:rsid w:val="001F2C6D"/>
    <w:rsid w:val="001F7D7F"/>
    <w:rsid w:val="00200E74"/>
    <w:rsid w:val="00203762"/>
    <w:rsid w:val="002043FB"/>
    <w:rsid w:val="00205461"/>
    <w:rsid w:val="002142BC"/>
    <w:rsid w:val="002166C0"/>
    <w:rsid w:val="0021710F"/>
    <w:rsid w:val="00223198"/>
    <w:rsid w:val="00223CF9"/>
    <w:rsid w:val="002273EF"/>
    <w:rsid w:val="00232A2B"/>
    <w:rsid w:val="00235C1A"/>
    <w:rsid w:val="002469FE"/>
    <w:rsid w:val="002509E8"/>
    <w:rsid w:val="00261BA4"/>
    <w:rsid w:val="002749D7"/>
    <w:rsid w:val="00275601"/>
    <w:rsid w:val="00276D06"/>
    <w:rsid w:val="002824B4"/>
    <w:rsid w:val="00294521"/>
    <w:rsid w:val="002959EF"/>
    <w:rsid w:val="002B505E"/>
    <w:rsid w:val="002C3F86"/>
    <w:rsid w:val="002C4E04"/>
    <w:rsid w:val="002C77EA"/>
    <w:rsid w:val="002D1CA5"/>
    <w:rsid w:val="002D5EA0"/>
    <w:rsid w:val="002E0B28"/>
    <w:rsid w:val="002E0E8F"/>
    <w:rsid w:val="002E5DA9"/>
    <w:rsid w:val="002E71C5"/>
    <w:rsid w:val="002F0908"/>
    <w:rsid w:val="002F2985"/>
    <w:rsid w:val="00312CFA"/>
    <w:rsid w:val="00326185"/>
    <w:rsid w:val="00351769"/>
    <w:rsid w:val="00352227"/>
    <w:rsid w:val="003550A7"/>
    <w:rsid w:val="00357D3A"/>
    <w:rsid w:val="003673CA"/>
    <w:rsid w:val="00371AC9"/>
    <w:rsid w:val="0037214B"/>
    <w:rsid w:val="00383D12"/>
    <w:rsid w:val="00384C3C"/>
    <w:rsid w:val="00390675"/>
    <w:rsid w:val="003916EA"/>
    <w:rsid w:val="003944D4"/>
    <w:rsid w:val="0039567F"/>
    <w:rsid w:val="003A58E7"/>
    <w:rsid w:val="003B1394"/>
    <w:rsid w:val="003B5D74"/>
    <w:rsid w:val="003B668B"/>
    <w:rsid w:val="003C1106"/>
    <w:rsid w:val="003C3D18"/>
    <w:rsid w:val="003C4A37"/>
    <w:rsid w:val="003E06BB"/>
    <w:rsid w:val="003E0FCD"/>
    <w:rsid w:val="003F0875"/>
    <w:rsid w:val="004016A2"/>
    <w:rsid w:val="004028C7"/>
    <w:rsid w:val="0040441E"/>
    <w:rsid w:val="00407C24"/>
    <w:rsid w:val="00413E6F"/>
    <w:rsid w:val="004356CB"/>
    <w:rsid w:val="00435AC9"/>
    <w:rsid w:val="004425AD"/>
    <w:rsid w:val="00442E54"/>
    <w:rsid w:val="004433DE"/>
    <w:rsid w:val="004447AD"/>
    <w:rsid w:val="00445979"/>
    <w:rsid w:val="00453202"/>
    <w:rsid w:val="00460502"/>
    <w:rsid w:val="00462462"/>
    <w:rsid w:val="00465BAC"/>
    <w:rsid w:val="00466620"/>
    <w:rsid w:val="004719A7"/>
    <w:rsid w:val="0047413D"/>
    <w:rsid w:val="00474634"/>
    <w:rsid w:val="00475D43"/>
    <w:rsid w:val="00477210"/>
    <w:rsid w:val="004779FB"/>
    <w:rsid w:val="00490765"/>
    <w:rsid w:val="004A5B55"/>
    <w:rsid w:val="004A669B"/>
    <w:rsid w:val="004B3CC1"/>
    <w:rsid w:val="004B6C70"/>
    <w:rsid w:val="004C16F5"/>
    <w:rsid w:val="004C243E"/>
    <w:rsid w:val="004C6104"/>
    <w:rsid w:val="004D41A0"/>
    <w:rsid w:val="004D55F9"/>
    <w:rsid w:val="004E11EF"/>
    <w:rsid w:val="004E580C"/>
    <w:rsid w:val="004E6166"/>
    <w:rsid w:val="004F41FE"/>
    <w:rsid w:val="00501D9E"/>
    <w:rsid w:val="00504CAC"/>
    <w:rsid w:val="005059E3"/>
    <w:rsid w:val="00513672"/>
    <w:rsid w:val="00524077"/>
    <w:rsid w:val="005241EF"/>
    <w:rsid w:val="00524E76"/>
    <w:rsid w:val="00532A2B"/>
    <w:rsid w:val="0054031F"/>
    <w:rsid w:val="005479CE"/>
    <w:rsid w:val="00552D6B"/>
    <w:rsid w:val="00560254"/>
    <w:rsid w:val="005602D1"/>
    <w:rsid w:val="00561277"/>
    <w:rsid w:val="005729D8"/>
    <w:rsid w:val="0057459C"/>
    <w:rsid w:val="00580B8E"/>
    <w:rsid w:val="00593A5F"/>
    <w:rsid w:val="00596257"/>
    <w:rsid w:val="00596917"/>
    <w:rsid w:val="00596CF1"/>
    <w:rsid w:val="005A2660"/>
    <w:rsid w:val="005A5241"/>
    <w:rsid w:val="005B10D1"/>
    <w:rsid w:val="005C2E80"/>
    <w:rsid w:val="005C6820"/>
    <w:rsid w:val="005C6EF5"/>
    <w:rsid w:val="005D1C83"/>
    <w:rsid w:val="005D24CA"/>
    <w:rsid w:val="005D28DD"/>
    <w:rsid w:val="005F38E7"/>
    <w:rsid w:val="005F48F0"/>
    <w:rsid w:val="00601E5B"/>
    <w:rsid w:val="00602549"/>
    <w:rsid w:val="00606650"/>
    <w:rsid w:val="00606B05"/>
    <w:rsid w:val="00607153"/>
    <w:rsid w:val="006130EF"/>
    <w:rsid w:val="00614EE3"/>
    <w:rsid w:val="0061605A"/>
    <w:rsid w:val="00616EA6"/>
    <w:rsid w:val="00617EC4"/>
    <w:rsid w:val="0062172A"/>
    <w:rsid w:val="0062315F"/>
    <w:rsid w:val="00627D30"/>
    <w:rsid w:val="00630187"/>
    <w:rsid w:val="00630951"/>
    <w:rsid w:val="00644389"/>
    <w:rsid w:val="00646D6B"/>
    <w:rsid w:val="0065124E"/>
    <w:rsid w:val="00676DB4"/>
    <w:rsid w:val="00677740"/>
    <w:rsid w:val="00680034"/>
    <w:rsid w:val="0068033C"/>
    <w:rsid w:val="0068095C"/>
    <w:rsid w:val="00682CAF"/>
    <w:rsid w:val="006832B6"/>
    <w:rsid w:val="006855F3"/>
    <w:rsid w:val="006939FE"/>
    <w:rsid w:val="00696275"/>
    <w:rsid w:val="006963AF"/>
    <w:rsid w:val="00697AB0"/>
    <w:rsid w:val="006A36B1"/>
    <w:rsid w:val="006A4E7B"/>
    <w:rsid w:val="006B4A59"/>
    <w:rsid w:val="006B4B5E"/>
    <w:rsid w:val="006B53F6"/>
    <w:rsid w:val="006B5B11"/>
    <w:rsid w:val="006B5EA8"/>
    <w:rsid w:val="006B6F7B"/>
    <w:rsid w:val="006C08A1"/>
    <w:rsid w:val="006C411E"/>
    <w:rsid w:val="006E7785"/>
    <w:rsid w:val="006F3AD5"/>
    <w:rsid w:val="006F5D8E"/>
    <w:rsid w:val="006F6824"/>
    <w:rsid w:val="007127E2"/>
    <w:rsid w:val="00714003"/>
    <w:rsid w:val="00717195"/>
    <w:rsid w:val="00721438"/>
    <w:rsid w:val="00724B28"/>
    <w:rsid w:val="00724D8C"/>
    <w:rsid w:val="00726F13"/>
    <w:rsid w:val="00730B3E"/>
    <w:rsid w:val="00731E38"/>
    <w:rsid w:val="00737EBA"/>
    <w:rsid w:val="00745A6A"/>
    <w:rsid w:val="00746ABA"/>
    <w:rsid w:val="00753894"/>
    <w:rsid w:val="00755F8C"/>
    <w:rsid w:val="00760802"/>
    <w:rsid w:val="007648D9"/>
    <w:rsid w:val="00765C63"/>
    <w:rsid w:val="00766AF2"/>
    <w:rsid w:val="00772A7C"/>
    <w:rsid w:val="00783280"/>
    <w:rsid w:val="00787F77"/>
    <w:rsid w:val="007908F6"/>
    <w:rsid w:val="00794290"/>
    <w:rsid w:val="007A6AE1"/>
    <w:rsid w:val="007B1139"/>
    <w:rsid w:val="007C10BD"/>
    <w:rsid w:val="007C1A4A"/>
    <w:rsid w:val="007C575E"/>
    <w:rsid w:val="007D2025"/>
    <w:rsid w:val="007E0DE2"/>
    <w:rsid w:val="007E178F"/>
    <w:rsid w:val="007E21EC"/>
    <w:rsid w:val="007E56C5"/>
    <w:rsid w:val="007E5C9F"/>
    <w:rsid w:val="007E7C9C"/>
    <w:rsid w:val="00800148"/>
    <w:rsid w:val="0080458B"/>
    <w:rsid w:val="00804A1C"/>
    <w:rsid w:val="008060EE"/>
    <w:rsid w:val="00811619"/>
    <w:rsid w:val="00814AA2"/>
    <w:rsid w:val="0082657A"/>
    <w:rsid w:val="008277DA"/>
    <w:rsid w:val="00850DC2"/>
    <w:rsid w:val="00854211"/>
    <w:rsid w:val="00854282"/>
    <w:rsid w:val="00854FB9"/>
    <w:rsid w:val="00856FAE"/>
    <w:rsid w:val="00860E0C"/>
    <w:rsid w:val="00863910"/>
    <w:rsid w:val="00866BC4"/>
    <w:rsid w:val="008719B7"/>
    <w:rsid w:val="00871DD9"/>
    <w:rsid w:val="008733E6"/>
    <w:rsid w:val="0088280E"/>
    <w:rsid w:val="0088523B"/>
    <w:rsid w:val="00890145"/>
    <w:rsid w:val="00894EC3"/>
    <w:rsid w:val="008976EC"/>
    <w:rsid w:val="00897ED6"/>
    <w:rsid w:val="008A193B"/>
    <w:rsid w:val="008A1A3E"/>
    <w:rsid w:val="008A3163"/>
    <w:rsid w:val="008A50C9"/>
    <w:rsid w:val="008B4F40"/>
    <w:rsid w:val="008C3179"/>
    <w:rsid w:val="008D1E25"/>
    <w:rsid w:val="008D3DE7"/>
    <w:rsid w:val="008E2ED6"/>
    <w:rsid w:val="008E389E"/>
    <w:rsid w:val="008E5EEC"/>
    <w:rsid w:val="008F11A3"/>
    <w:rsid w:val="008F252D"/>
    <w:rsid w:val="00901F67"/>
    <w:rsid w:val="00903125"/>
    <w:rsid w:val="00906E50"/>
    <w:rsid w:val="009116E6"/>
    <w:rsid w:val="00912CB3"/>
    <w:rsid w:val="00926B6A"/>
    <w:rsid w:val="009370FC"/>
    <w:rsid w:val="0094190D"/>
    <w:rsid w:val="009420AB"/>
    <w:rsid w:val="00946116"/>
    <w:rsid w:val="00950106"/>
    <w:rsid w:val="0095577A"/>
    <w:rsid w:val="009568E6"/>
    <w:rsid w:val="00961949"/>
    <w:rsid w:val="00963AC0"/>
    <w:rsid w:val="00965C56"/>
    <w:rsid w:val="00971601"/>
    <w:rsid w:val="00976990"/>
    <w:rsid w:val="009770B6"/>
    <w:rsid w:val="00994E6F"/>
    <w:rsid w:val="009B07BD"/>
    <w:rsid w:val="009B0C99"/>
    <w:rsid w:val="009B1E9A"/>
    <w:rsid w:val="009B7E48"/>
    <w:rsid w:val="009C0BA3"/>
    <w:rsid w:val="009C461B"/>
    <w:rsid w:val="009C7108"/>
    <w:rsid w:val="009D405E"/>
    <w:rsid w:val="009D7088"/>
    <w:rsid w:val="009D7BEE"/>
    <w:rsid w:val="009E1BFD"/>
    <w:rsid w:val="00A154D9"/>
    <w:rsid w:val="00A160B5"/>
    <w:rsid w:val="00A20F01"/>
    <w:rsid w:val="00A30EE1"/>
    <w:rsid w:val="00A33031"/>
    <w:rsid w:val="00A412AB"/>
    <w:rsid w:val="00A46870"/>
    <w:rsid w:val="00A51E6B"/>
    <w:rsid w:val="00A53400"/>
    <w:rsid w:val="00A54F15"/>
    <w:rsid w:val="00A56B3D"/>
    <w:rsid w:val="00A61582"/>
    <w:rsid w:val="00A63477"/>
    <w:rsid w:val="00A64F73"/>
    <w:rsid w:val="00A70FD7"/>
    <w:rsid w:val="00A71CD0"/>
    <w:rsid w:val="00A73590"/>
    <w:rsid w:val="00A82066"/>
    <w:rsid w:val="00A83F0B"/>
    <w:rsid w:val="00A84DCB"/>
    <w:rsid w:val="00A878DA"/>
    <w:rsid w:val="00A90DFF"/>
    <w:rsid w:val="00A974D8"/>
    <w:rsid w:val="00AB5221"/>
    <w:rsid w:val="00AC0536"/>
    <w:rsid w:val="00AC15F5"/>
    <w:rsid w:val="00AC270C"/>
    <w:rsid w:val="00AC4B81"/>
    <w:rsid w:val="00AC521F"/>
    <w:rsid w:val="00AC5F13"/>
    <w:rsid w:val="00AC7F29"/>
    <w:rsid w:val="00AD2183"/>
    <w:rsid w:val="00AD3847"/>
    <w:rsid w:val="00AD7E9A"/>
    <w:rsid w:val="00AE3863"/>
    <w:rsid w:val="00AE6091"/>
    <w:rsid w:val="00AE642E"/>
    <w:rsid w:val="00AF6511"/>
    <w:rsid w:val="00AF733C"/>
    <w:rsid w:val="00B17D9B"/>
    <w:rsid w:val="00B20119"/>
    <w:rsid w:val="00B230C7"/>
    <w:rsid w:val="00B24055"/>
    <w:rsid w:val="00B34AF5"/>
    <w:rsid w:val="00B50C01"/>
    <w:rsid w:val="00B512E7"/>
    <w:rsid w:val="00B523A2"/>
    <w:rsid w:val="00B55F9C"/>
    <w:rsid w:val="00B60507"/>
    <w:rsid w:val="00B624B5"/>
    <w:rsid w:val="00B63121"/>
    <w:rsid w:val="00B75ECE"/>
    <w:rsid w:val="00B80627"/>
    <w:rsid w:val="00B82BCB"/>
    <w:rsid w:val="00B8570B"/>
    <w:rsid w:val="00B91185"/>
    <w:rsid w:val="00B975AD"/>
    <w:rsid w:val="00BB2B3A"/>
    <w:rsid w:val="00BB7559"/>
    <w:rsid w:val="00BC02C0"/>
    <w:rsid w:val="00BC2E27"/>
    <w:rsid w:val="00BD00DA"/>
    <w:rsid w:val="00BD21F2"/>
    <w:rsid w:val="00BD332B"/>
    <w:rsid w:val="00BD3801"/>
    <w:rsid w:val="00BE3503"/>
    <w:rsid w:val="00BE65C0"/>
    <w:rsid w:val="00BE7E92"/>
    <w:rsid w:val="00BE7FB8"/>
    <w:rsid w:val="00BF030B"/>
    <w:rsid w:val="00BF2179"/>
    <w:rsid w:val="00BF22AC"/>
    <w:rsid w:val="00BF29F4"/>
    <w:rsid w:val="00BF473B"/>
    <w:rsid w:val="00C04836"/>
    <w:rsid w:val="00C06FC4"/>
    <w:rsid w:val="00C2025B"/>
    <w:rsid w:val="00C21555"/>
    <w:rsid w:val="00C2315F"/>
    <w:rsid w:val="00C264BE"/>
    <w:rsid w:val="00C2701D"/>
    <w:rsid w:val="00C32C52"/>
    <w:rsid w:val="00C33B73"/>
    <w:rsid w:val="00C344E8"/>
    <w:rsid w:val="00C3561E"/>
    <w:rsid w:val="00C41550"/>
    <w:rsid w:val="00C42C31"/>
    <w:rsid w:val="00C47168"/>
    <w:rsid w:val="00C50209"/>
    <w:rsid w:val="00C50FB2"/>
    <w:rsid w:val="00C52066"/>
    <w:rsid w:val="00C54DB2"/>
    <w:rsid w:val="00C65F86"/>
    <w:rsid w:val="00C84901"/>
    <w:rsid w:val="00C85990"/>
    <w:rsid w:val="00C9720D"/>
    <w:rsid w:val="00CB5B3F"/>
    <w:rsid w:val="00CB7DAE"/>
    <w:rsid w:val="00CC1133"/>
    <w:rsid w:val="00CE1787"/>
    <w:rsid w:val="00CE34F1"/>
    <w:rsid w:val="00CF1A8E"/>
    <w:rsid w:val="00D0073E"/>
    <w:rsid w:val="00D02D36"/>
    <w:rsid w:val="00D062F2"/>
    <w:rsid w:val="00D102AF"/>
    <w:rsid w:val="00D11A06"/>
    <w:rsid w:val="00D11C90"/>
    <w:rsid w:val="00D12F20"/>
    <w:rsid w:val="00D2149E"/>
    <w:rsid w:val="00D2178D"/>
    <w:rsid w:val="00D218A2"/>
    <w:rsid w:val="00D2757E"/>
    <w:rsid w:val="00D51A1A"/>
    <w:rsid w:val="00D51C69"/>
    <w:rsid w:val="00D60EEA"/>
    <w:rsid w:val="00D63FFD"/>
    <w:rsid w:val="00D64836"/>
    <w:rsid w:val="00D64997"/>
    <w:rsid w:val="00D67877"/>
    <w:rsid w:val="00D818E8"/>
    <w:rsid w:val="00D91BD4"/>
    <w:rsid w:val="00DA0BD0"/>
    <w:rsid w:val="00DA2C59"/>
    <w:rsid w:val="00DA3A61"/>
    <w:rsid w:val="00DA61EC"/>
    <w:rsid w:val="00DB2E13"/>
    <w:rsid w:val="00DB3348"/>
    <w:rsid w:val="00DB4567"/>
    <w:rsid w:val="00DC398D"/>
    <w:rsid w:val="00DC7414"/>
    <w:rsid w:val="00DC7FEA"/>
    <w:rsid w:val="00DD72A2"/>
    <w:rsid w:val="00DE577A"/>
    <w:rsid w:val="00DE74B2"/>
    <w:rsid w:val="00DE7501"/>
    <w:rsid w:val="00DF57AC"/>
    <w:rsid w:val="00DF70A6"/>
    <w:rsid w:val="00DF7160"/>
    <w:rsid w:val="00E036D3"/>
    <w:rsid w:val="00E07577"/>
    <w:rsid w:val="00E07E60"/>
    <w:rsid w:val="00E12AD0"/>
    <w:rsid w:val="00E230F8"/>
    <w:rsid w:val="00E2575B"/>
    <w:rsid w:val="00E33368"/>
    <w:rsid w:val="00E356E1"/>
    <w:rsid w:val="00E35741"/>
    <w:rsid w:val="00E35D55"/>
    <w:rsid w:val="00E51C35"/>
    <w:rsid w:val="00E51F85"/>
    <w:rsid w:val="00E55249"/>
    <w:rsid w:val="00E55C9E"/>
    <w:rsid w:val="00E71AC5"/>
    <w:rsid w:val="00E737EC"/>
    <w:rsid w:val="00E81DAA"/>
    <w:rsid w:val="00E82AA3"/>
    <w:rsid w:val="00E83FDB"/>
    <w:rsid w:val="00E85B48"/>
    <w:rsid w:val="00E86FEC"/>
    <w:rsid w:val="00E9024A"/>
    <w:rsid w:val="00E9063D"/>
    <w:rsid w:val="00E91024"/>
    <w:rsid w:val="00E92365"/>
    <w:rsid w:val="00E937D0"/>
    <w:rsid w:val="00E93911"/>
    <w:rsid w:val="00EA6758"/>
    <w:rsid w:val="00EA7204"/>
    <w:rsid w:val="00EA7642"/>
    <w:rsid w:val="00EC10F2"/>
    <w:rsid w:val="00EC3193"/>
    <w:rsid w:val="00EC42A7"/>
    <w:rsid w:val="00ED0753"/>
    <w:rsid w:val="00EE0D96"/>
    <w:rsid w:val="00EE1E8F"/>
    <w:rsid w:val="00EF1CD9"/>
    <w:rsid w:val="00EF4D3F"/>
    <w:rsid w:val="00EF52BA"/>
    <w:rsid w:val="00EF6DC3"/>
    <w:rsid w:val="00EF75E6"/>
    <w:rsid w:val="00F0230D"/>
    <w:rsid w:val="00F02E74"/>
    <w:rsid w:val="00F0347F"/>
    <w:rsid w:val="00F04E77"/>
    <w:rsid w:val="00F067D6"/>
    <w:rsid w:val="00F10820"/>
    <w:rsid w:val="00F13681"/>
    <w:rsid w:val="00F17743"/>
    <w:rsid w:val="00F252BC"/>
    <w:rsid w:val="00F430A1"/>
    <w:rsid w:val="00F54462"/>
    <w:rsid w:val="00F602C0"/>
    <w:rsid w:val="00F616A9"/>
    <w:rsid w:val="00F61DD6"/>
    <w:rsid w:val="00F623D0"/>
    <w:rsid w:val="00F70D0D"/>
    <w:rsid w:val="00F74853"/>
    <w:rsid w:val="00F75607"/>
    <w:rsid w:val="00F758EB"/>
    <w:rsid w:val="00F7683B"/>
    <w:rsid w:val="00F84032"/>
    <w:rsid w:val="00FA0393"/>
    <w:rsid w:val="00FA3DF3"/>
    <w:rsid w:val="00FA4792"/>
    <w:rsid w:val="00FB3A28"/>
    <w:rsid w:val="00FB7E11"/>
    <w:rsid w:val="00FC4AAB"/>
    <w:rsid w:val="00FC7406"/>
    <w:rsid w:val="00FD1F9D"/>
    <w:rsid w:val="00FD2FFB"/>
    <w:rsid w:val="00FD3A40"/>
    <w:rsid w:val="00FE167F"/>
    <w:rsid w:val="00FE321B"/>
    <w:rsid w:val="00FE32C1"/>
    <w:rsid w:val="00FE4985"/>
    <w:rsid w:val="00FF31A8"/>
    <w:rsid w:val="00FF342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7E17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7E178F"/>
    <w:pPr>
      <w:keepNext w:val="0"/>
      <w:keepLines w:val="0"/>
      <w:spacing w:after="120"/>
      <w:contextualSpacing/>
      <w:jc w:val="both"/>
      <w:outlineLvl w:val="1"/>
    </w:pPr>
    <w:rPr>
      <w:rFonts w:ascii="Arial" w:eastAsiaTheme="minorHAnsi" w:hAnsi="Arial" w:cstheme="minorBidi"/>
      <w:b/>
      <w:bCs/>
      <w:color w:val="000000" w:themeColor="text1"/>
      <w:sz w:val="20"/>
      <w:szCs w:val="22"/>
      <w:lang w:eastAsia="en-US"/>
    </w:rPr>
  </w:style>
  <w:style w:type="paragraph" w:styleId="Heading3">
    <w:name w:val="heading 3"/>
    <w:basedOn w:val="Normal"/>
    <w:next w:val="Normal"/>
    <w:link w:val="Heading3Char"/>
    <w:uiPriority w:val="9"/>
    <w:semiHidden/>
    <w:unhideWhenUsed/>
    <w:qFormat/>
    <w:rsid w:val="00765C6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60EE"/>
    <w:rPr>
      <w:color w:val="954F72" w:themeColor="followedHyperlink"/>
      <w:u w:val="single"/>
    </w:rPr>
  </w:style>
  <w:style w:type="character" w:customStyle="1" w:styleId="Heading2Char">
    <w:name w:val="Heading 2 Char"/>
    <w:basedOn w:val="DefaultParagraphFont"/>
    <w:link w:val="Heading2"/>
    <w:uiPriority w:val="9"/>
    <w:rsid w:val="007E178F"/>
    <w:rPr>
      <w:rFonts w:ascii="Arial" w:hAnsi="Arial"/>
      <w:b/>
      <w:bCs/>
      <w:color w:val="000000" w:themeColor="text1"/>
      <w:sz w:val="20"/>
    </w:rPr>
  </w:style>
  <w:style w:type="character" w:customStyle="1" w:styleId="Heading1Char">
    <w:name w:val="Heading 1 Char"/>
    <w:basedOn w:val="DefaultParagraphFont"/>
    <w:link w:val="Heading1"/>
    <w:uiPriority w:val="9"/>
    <w:rsid w:val="007E178F"/>
    <w:rPr>
      <w:rFonts w:asciiTheme="majorHAnsi" w:eastAsiaTheme="majorEastAsia" w:hAnsiTheme="majorHAnsi" w:cstheme="majorBidi"/>
      <w:color w:val="2E74B5" w:themeColor="accent1" w:themeShade="BF"/>
      <w:sz w:val="32"/>
      <w:szCs w:val="32"/>
      <w:lang w:eastAsia="ru-RU"/>
    </w:rPr>
  </w:style>
  <w:style w:type="paragraph" w:styleId="NoSpacing">
    <w:name w:val="No Spacing"/>
    <w:basedOn w:val="ListParagraph"/>
    <w:uiPriority w:val="1"/>
    <w:qFormat/>
    <w:rsid w:val="00F84032"/>
    <w:pPr>
      <w:numPr>
        <w:numId w:val="2"/>
      </w:numPr>
      <w:tabs>
        <w:tab w:val="num" w:pos="360"/>
      </w:tabs>
      <w:spacing w:before="120"/>
      <w:ind w:left="0" w:hanging="567"/>
      <w:contextualSpacing w:val="0"/>
      <w:jc w:val="both"/>
    </w:pPr>
    <w:rPr>
      <w:rFonts w:ascii="Arial" w:eastAsiaTheme="minorHAnsi" w:hAnsi="Arial" w:cstheme="minorBidi"/>
      <w:color w:val="000000" w:themeColor="text1"/>
      <w:sz w:val="20"/>
      <w:szCs w:val="22"/>
      <w:lang w:eastAsia="en-US"/>
    </w:rPr>
  </w:style>
  <w:style w:type="paragraph" w:styleId="ListParagraph">
    <w:name w:val="List Paragraph"/>
    <w:basedOn w:val="Normal"/>
    <w:uiPriority w:val="34"/>
    <w:qFormat/>
    <w:rsid w:val="00F84032"/>
    <w:pPr>
      <w:ind w:left="720"/>
      <w:contextualSpacing/>
    </w:pPr>
  </w:style>
  <w:style w:type="character" w:customStyle="1" w:styleId="Heading3Char">
    <w:name w:val="Heading 3 Char"/>
    <w:basedOn w:val="DefaultParagraphFont"/>
    <w:link w:val="Heading3"/>
    <w:uiPriority w:val="9"/>
    <w:semiHidden/>
    <w:rsid w:val="00765C63"/>
    <w:rPr>
      <w:rFonts w:asciiTheme="majorHAnsi" w:eastAsiaTheme="majorEastAsia" w:hAnsiTheme="majorHAnsi" w:cstheme="majorBidi"/>
      <w:color w:val="1F4D78" w:themeColor="accent1" w:themeShade="7F"/>
      <w:sz w:val="24"/>
      <w:szCs w:val="24"/>
      <w:lang w:eastAsia="ru-RU"/>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
    <w:basedOn w:val="Normal"/>
    <w:link w:val="FootnoteTextChar"/>
    <w:uiPriority w:val="99"/>
    <w:unhideWhenUsed/>
    <w:qFormat/>
    <w:rsid w:val="00765C63"/>
    <w:pPr>
      <w:jc w:val="both"/>
    </w:pPr>
    <w:rPr>
      <w:rFonts w:ascii="Arial" w:eastAsiaTheme="minorHAnsi" w:hAnsi="Arial" w:cstheme="minorBidi"/>
      <w:color w:val="000000" w:themeColor="text1"/>
      <w:sz w:val="20"/>
      <w:szCs w:val="20"/>
      <w:lang w:eastAsia="en-US"/>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rsid w:val="00765C63"/>
    <w:rPr>
      <w:rFonts w:ascii="Arial" w:hAnsi="Arial"/>
      <w:color w:val="000000" w:themeColor="text1"/>
      <w:sz w:val="20"/>
      <w:szCs w:val="20"/>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link w:val="CharCharCharChar"/>
    <w:unhideWhenUsed/>
    <w:qFormat/>
    <w:rsid w:val="00765C63"/>
    <w:rPr>
      <w:vertAlign w:val="superscript"/>
    </w:rPr>
  </w:style>
  <w:style w:type="paragraph" w:customStyle="1" w:styleId="c01pointnumerotealtn">
    <w:name w:val="c01pointnumerotealtn"/>
    <w:basedOn w:val="Normal"/>
    <w:rsid w:val="00C06FC4"/>
    <w:pPr>
      <w:spacing w:before="100" w:beforeAutospacing="1" w:after="100" w:afterAutospacing="1"/>
    </w:pPr>
    <w:rPr>
      <w:lang w:val="en-US" w:eastAsia="en-US"/>
    </w:rPr>
  </w:style>
  <w:style w:type="paragraph" w:customStyle="1" w:styleId="CharCharCharChar">
    <w:name w:val="Char Char Char Char"/>
    <w:aliases w:val="Char2"/>
    <w:basedOn w:val="Normal"/>
    <w:next w:val="Normal"/>
    <w:link w:val="FootnoteReference"/>
    <w:rsid w:val="00C06FC4"/>
    <w:pPr>
      <w:keepNext/>
      <w:keepLines/>
      <w:spacing w:before="120" w:after="160" w:line="240" w:lineRule="exact"/>
      <w:jc w:val="both"/>
      <w:outlineLvl w:val="0"/>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rsid w:val="00DC398D"/>
    <w:pPr>
      <w:spacing w:before="100" w:beforeAutospacing="1" w:after="100" w:afterAutospacing="1"/>
    </w:pPr>
    <w:rPr>
      <w:lang w:val="en-US" w:eastAsia="en-US"/>
    </w:rPr>
  </w:style>
  <w:style w:type="paragraph" w:customStyle="1" w:styleId="Default">
    <w:name w:val="Default"/>
    <w:rsid w:val="0068003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ref-overlay2">
    <w:name w:val="ref-overlay2"/>
    <w:basedOn w:val="DefaultParagraphFont"/>
    <w:rsid w:val="00ED0753"/>
    <w:rPr>
      <w:shd w:val="clear" w:color="auto" w:fill="FFFFFF"/>
    </w:rPr>
  </w:style>
  <w:style w:type="character" w:customStyle="1" w:styleId="hlfld-contribauthor">
    <w:name w:val="hlfld-contribauthor"/>
    <w:basedOn w:val="DefaultParagraphFont"/>
    <w:rsid w:val="00ED0753"/>
  </w:style>
  <w:style w:type="character" w:customStyle="1" w:styleId="nlmgiven-names">
    <w:name w:val="nlm_given-names"/>
    <w:basedOn w:val="DefaultParagraphFont"/>
    <w:rsid w:val="00ED0753"/>
  </w:style>
  <w:style w:type="character" w:customStyle="1" w:styleId="nlmyear">
    <w:name w:val="nlm_year"/>
    <w:basedOn w:val="DefaultParagraphFont"/>
    <w:rsid w:val="00ED0753"/>
  </w:style>
  <w:style w:type="character" w:customStyle="1" w:styleId="nlmarticle-title">
    <w:name w:val="nlm_article-title"/>
    <w:basedOn w:val="DefaultParagraphFont"/>
    <w:rsid w:val="00ED0753"/>
  </w:style>
  <w:style w:type="character" w:customStyle="1" w:styleId="ref-links2">
    <w:name w:val="ref-links2"/>
    <w:basedOn w:val="DefaultParagraphFont"/>
    <w:rsid w:val="00ED0753"/>
  </w:style>
  <w:style w:type="character" w:customStyle="1" w:styleId="xlinks-container">
    <w:name w:val="xlinks-container"/>
    <w:basedOn w:val="DefaultParagraphFont"/>
    <w:rsid w:val="00ED0753"/>
  </w:style>
  <w:style w:type="character" w:customStyle="1" w:styleId="nlmfpage">
    <w:name w:val="nlm_fpage"/>
    <w:basedOn w:val="DefaultParagraphFont"/>
    <w:rsid w:val="00ED0753"/>
  </w:style>
  <w:style w:type="character" w:customStyle="1" w:styleId="nlmlpage">
    <w:name w:val="nlm_lpage"/>
    <w:basedOn w:val="DefaultParagraphFont"/>
    <w:rsid w:val="00ED0753"/>
  </w:style>
  <w:style w:type="character" w:customStyle="1" w:styleId="nlmpub-id">
    <w:name w:val="nlm_pub-id"/>
    <w:basedOn w:val="DefaultParagraphFont"/>
    <w:rsid w:val="00ED0753"/>
  </w:style>
  <w:style w:type="character" w:customStyle="1" w:styleId="nlmpublisher-name">
    <w:name w:val="nlm_publisher-name"/>
    <w:basedOn w:val="DefaultParagraphFont"/>
    <w:rsid w:val="00ED0753"/>
  </w:style>
  <w:style w:type="character" w:customStyle="1" w:styleId="italic">
    <w:name w:val="italic"/>
    <w:basedOn w:val="DefaultParagraphFont"/>
    <w:rsid w:val="005C6820"/>
  </w:style>
  <w:style w:type="character" w:styleId="UnresolvedMention">
    <w:name w:val="Unresolved Mention"/>
    <w:basedOn w:val="DefaultParagraphFont"/>
    <w:uiPriority w:val="99"/>
    <w:semiHidden/>
    <w:unhideWhenUsed/>
    <w:rsid w:val="00CE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177577545">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text=&amp;docid=151521&amp;pageIndex=0&amp;doclang=lv&amp;mode=lst&amp;dir=&amp;occ=first&amp;part=1&amp;cid=20133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42270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ui.gov.lv/lv/statistika/azartspeles-statistika?id=192" TargetMode="External"/><Relationship Id="rId5" Type="http://schemas.openxmlformats.org/officeDocument/2006/relationships/footnotes" Target="footnotes.xml"/><Relationship Id="rId10" Type="http://schemas.openxmlformats.org/officeDocument/2006/relationships/hyperlink" Target="http://tap.mk.gov.lv/mk/tap/?pid=40468195" TargetMode="External"/><Relationship Id="rId4" Type="http://schemas.openxmlformats.org/officeDocument/2006/relationships/webSettings" Target="webSettings.xml"/><Relationship Id="rId9" Type="http://schemas.openxmlformats.org/officeDocument/2006/relationships/hyperlink" Target="http://curia.europa.eu/juris/document/document.jsf?text=&amp;docid=191705&amp;pageIndex=0&amp;doclang=lv&amp;mode=lst&amp;dir=&amp;occ=first&amp;part=1&amp;cid=2011452"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28659</Words>
  <Characters>16337</Characters>
  <Application>Microsoft Office Word</Application>
  <DocSecurity>0</DocSecurity>
  <Lines>136</Lines>
  <Paragraphs>89</Paragraphs>
  <ScaleCrop>false</ScaleCrop>
  <Company/>
  <LinksUpToDate>false</LinksUpToDate>
  <CharactersWithSpaces>44907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2020-10-13T12:29:00Z</dcterms:created>
  <dcterms:modified xsi:type="dcterms:W3CDTF">2020-10-19T08:20:00Z</dcterms:modified>
</cp:coreProperties>
</file>