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9234A" w14:textId="77777777" w:rsidR="00A515B3" w:rsidRDefault="00A515B3" w:rsidP="00A515B3">
      <w:pPr>
        <w:spacing w:line="276" w:lineRule="auto"/>
        <w:jc w:val="both"/>
      </w:pPr>
      <w:r w:rsidRPr="005F4190">
        <w:rPr>
          <w:b/>
          <w:bCs/>
        </w:rPr>
        <w:t>Trūcīgai personai izvirzītās prasības par īpašuma neesību vērtēšana</w:t>
      </w:r>
      <w:r>
        <w:t xml:space="preserve"> </w:t>
      </w:r>
    </w:p>
    <w:p w14:paraId="6E1BBD73" w14:textId="77777777" w:rsidR="00A515B3" w:rsidRDefault="00A515B3" w:rsidP="00A515B3">
      <w:pPr>
        <w:spacing w:line="276" w:lineRule="auto"/>
        <w:jc w:val="both"/>
      </w:pPr>
      <w:r>
        <w:t xml:space="preserve">Ievērojot Sociālo pakalpojumu un sociālās palīdzības likuma </w:t>
      </w:r>
      <w:proofErr w:type="gramStart"/>
      <w:r>
        <w:t>5.panta</w:t>
      </w:r>
      <w:proofErr w:type="gramEnd"/>
      <w:r>
        <w:t xml:space="preserve"> pirmajā daļā reglamentēto sociālās palīdzības sniegšanas pamatprincipu, ka sociālo palīdzību personai sniedz, pamatojoties uz viņa materiālo resursu – ienākumu un īpašuma novērtējumu, individuāli paredzot katras personas līdzdarbību atbilstoši likumam „Par sociālo drošību”, tad arī īpašuma (piemēram, dzīvokļa) atbilstība īpašuma jēdzienam Ministru kabineta 2010.gada 30.marta noteikumu Nr. 299 „Noteikumi par ģimenes vai atsevišķi dzīvojošas personas atzīšanu par trūcīgu” izpratnē novērtējama kontekstā ar šo pamatprincipu.</w:t>
      </w:r>
    </w:p>
    <w:p w14:paraId="393FD073" w14:textId="77777777" w:rsidR="00A515B3" w:rsidRDefault="00A515B3" w:rsidP="00A515B3">
      <w:pPr>
        <w:spacing w:line="276" w:lineRule="auto"/>
        <w:jc w:val="both"/>
      </w:pPr>
      <w:r>
        <w:t xml:space="preserve">Līdz ar to Ministru kabineta </w:t>
      </w:r>
      <w:proofErr w:type="gramStart"/>
      <w:r>
        <w:t>2010.gada</w:t>
      </w:r>
      <w:proofErr w:type="gramEnd"/>
      <w:r>
        <w:t xml:space="preserve"> 30.marta noteikumu Nr. 299 „Noteikumi par ģimenes vai atsevišķi dzīvojošas personas atzīšanu par trūcīgu” 2.1.apakšpunkta piemērošanā ir jāievēro samērīguma princips. Proti, iestādei, konstatējot, ka personai pieder īpašums (manta vai tiesība), iespēju robežās ir jānovērtē šī fakta nozīme, t.i., vai īpašuma vērtība ir pietiekami nozīmīga, lai atzītu, ka persona nav atzīstama par trūcīgu personu. Pārāk formāli piemērojot šo tiesību normu, var nonākt pie gadījumiem, kad trūcīgas personas statuss tiek atteikts nepamatoti.</w:t>
      </w:r>
    </w:p>
    <w:p w14:paraId="50C582CD" w14:textId="7ABC67C7" w:rsidR="0007560A" w:rsidRDefault="0007560A" w:rsidP="00A515B3">
      <w:pPr>
        <w:spacing w:line="276" w:lineRule="auto"/>
        <w:jc w:val="both"/>
        <w:rPr>
          <w:bCs/>
        </w:rPr>
      </w:pPr>
    </w:p>
    <w:p w14:paraId="54D01B45" w14:textId="77777777" w:rsidR="00A515B3" w:rsidRDefault="00A515B3" w:rsidP="00A515B3">
      <w:pPr>
        <w:spacing w:line="276" w:lineRule="auto"/>
        <w:jc w:val="both"/>
        <w:rPr>
          <w:b/>
          <w:bCs/>
        </w:rPr>
      </w:pPr>
      <w:r w:rsidRPr="005F4190">
        <w:rPr>
          <w:b/>
          <w:bCs/>
        </w:rPr>
        <w:t>Jēdziena „atsevišķi dzīvojoša persona” interpretācija trūcīgas personas statusa pārbaudē</w:t>
      </w:r>
    </w:p>
    <w:p w14:paraId="4EB31077" w14:textId="77777777" w:rsidR="00A515B3" w:rsidRDefault="00A515B3" w:rsidP="00A515B3">
      <w:pPr>
        <w:spacing w:line="276" w:lineRule="auto"/>
        <w:jc w:val="both"/>
      </w:pPr>
      <w:r>
        <w:t xml:space="preserve">Ievērojot Ministru kabineta </w:t>
      </w:r>
      <w:proofErr w:type="gramStart"/>
      <w:r>
        <w:t>2010.gada</w:t>
      </w:r>
      <w:proofErr w:type="gramEnd"/>
      <w:r>
        <w:t xml:space="preserve"> 30.marta noteikumu Nr. 299 „Noteikumi par ģimenes vai atsevišķi dzīvojošas personas atzīšanu par trūcīgu” 1.punkta jēgu, ir svarīgi konstatēt ne tikai to, ka personas mitinās vienā mājoklī, bet arī to, ka viņām ir </w:t>
      </w:r>
      <w:r w:rsidRPr="00C72271">
        <w:rPr>
          <w:i/>
          <w:iCs/>
        </w:rPr>
        <w:t>kopēji izdevumi pamatvajadzību nodrošināšanai</w:t>
      </w:r>
      <w:r>
        <w:t>. Tas vien, ka personas mitinās vienā mājoklī, vēl nenozīmē, ka viņām ir kopēji izdevumi pamatvajadzību nodrošināšanai.</w:t>
      </w:r>
    </w:p>
    <w:p w14:paraId="28E63003" w14:textId="359ED3E4" w:rsidR="00A515B3" w:rsidRDefault="00A515B3" w:rsidP="00A515B3">
      <w:pPr>
        <w:spacing w:line="276" w:lineRule="auto"/>
        <w:jc w:val="both"/>
        <w:rPr>
          <w:bCs/>
        </w:rPr>
      </w:pPr>
    </w:p>
    <w:p w14:paraId="4634448B" w14:textId="77777777" w:rsidR="00A515B3" w:rsidRDefault="00A515B3" w:rsidP="00A515B3">
      <w:pPr>
        <w:spacing w:line="276" w:lineRule="auto"/>
        <w:jc w:val="both"/>
        <w:rPr>
          <w:b/>
          <w:bCs/>
        </w:rPr>
      </w:pPr>
      <w:r>
        <w:rPr>
          <w:b/>
          <w:bCs/>
        </w:rPr>
        <w:t>Sociālo dienestu pienākuma, izvērtēt personas atbilstību trūcīgas ģimenes (personas) statusam, interpretācija</w:t>
      </w:r>
    </w:p>
    <w:p w14:paraId="2933A6F3" w14:textId="11F942D1" w:rsidR="00A515B3" w:rsidRPr="00A515B3" w:rsidRDefault="00A515B3" w:rsidP="00A515B3">
      <w:pPr>
        <w:spacing w:line="276" w:lineRule="auto"/>
        <w:jc w:val="both"/>
        <w:rPr>
          <w:color w:val="0000FF"/>
        </w:rPr>
      </w:pPr>
      <w:r w:rsidRPr="0013145E">
        <w:t>S</w:t>
      </w:r>
      <w:r>
        <w:t>ociālajam dienestam piešķirtais izvērtēšanas pienākums prasa ne tikai vērtējumu par personas atbilstību trūcīgas ģimenes (personas) prasībām, bet arī plašāku vērtējumu par personas situāciju, lai nodrošinātu to, ka trūcīgas personas statusa piešķiršana vai atteikšana ļauj sasniegt sociālās palīdzības mērķi un ievērot arī tos pienākumus, kas valstij izriet no sociāli atbildīgas valsts principa.</w:t>
      </w:r>
    </w:p>
    <w:p w14:paraId="38A8A5D1" w14:textId="77777777" w:rsidR="0007560A" w:rsidRDefault="0007560A" w:rsidP="006B7BBC">
      <w:pPr>
        <w:spacing w:line="276" w:lineRule="auto"/>
        <w:jc w:val="center"/>
        <w:rPr>
          <w:b/>
        </w:rPr>
      </w:pPr>
    </w:p>
    <w:p w14:paraId="7BE7C4AD" w14:textId="780E1EEE" w:rsidR="003314AB" w:rsidRDefault="006B7BBC" w:rsidP="006B7BBC">
      <w:pPr>
        <w:spacing w:line="276" w:lineRule="auto"/>
        <w:jc w:val="center"/>
        <w:rPr>
          <w:b/>
        </w:rPr>
      </w:pPr>
      <w:r w:rsidRPr="0007560A">
        <w:rPr>
          <w:b/>
        </w:rPr>
        <w:t>Latvijas Republikas Senāt</w:t>
      </w:r>
      <w:r w:rsidR="0007560A">
        <w:rPr>
          <w:b/>
        </w:rPr>
        <w:t>a</w:t>
      </w:r>
    </w:p>
    <w:p w14:paraId="0256AD2E" w14:textId="4D011DE6" w:rsidR="0007560A" w:rsidRDefault="0007560A" w:rsidP="006B7BBC">
      <w:pPr>
        <w:spacing w:line="276" w:lineRule="auto"/>
        <w:jc w:val="center"/>
        <w:rPr>
          <w:b/>
        </w:rPr>
      </w:pPr>
      <w:r>
        <w:rPr>
          <w:b/>
        </w:rPr>
        <w:t>Administratīvo lietu departamenta</w:t>
      </w:r>
    </w:p>
    <w:p w14:paraId="3EE4E7F5" w14:textId="1AF943ED" w:rsidR="0007560A" w:rsidRPr="0007560A" w:rsidRDefault="0007560A" w:rsidP="006B7BBC">
      <w:pPr>
        <w:spacing w:line="276" w:lineRule="auto"/>
        <w:jc w:val="center"/>
        <w:rPr>
          <w:b/>
        </w:rPr>
      </w:pPr>
      <w:proofErr w:type="gramStart"/>
      <w:r>
        <w:rPr>
          <w:b/>
        </w:rPr>
        <w:t>2020.gada</w:t>
      </w:r>
      <w:proofErr w:type="gramEnd"/>
      <w:r>
        <w:rPr>
          <w:b/>
        </w:rPr>
        <w:t xml:space="preserve"> 8.decembra</w:t>
      </w:r>
    </w:p>
    <w:p w14:paraId="70630505" w14:textId="7B33562E" w:rsidR="00EC5534" w:rsidRDefault="00EC5534" w:rsidP="006B7BBC">
      <w:pPr>
        <w:spacing w:line="276" w:lineRule="auto"/>
        <w:jc w:val="center"/>
        <w:rPr>
          <w:b/>
        </w:rPr>
      </w:pPr>
      <w:r w:rsidRPr="0007560A">
        <w:rPr>
          <w:b/>
        </w:rPr>
        <w:t>SPRIEDUMS</w:t>
      </w:r>
    </w:p>
    <w:p w14:paraId="7B7E10C7" w14:textId="5B7DD625" w:rsidR="0007560A" w:rsidRDefault="0007560A" w:rsidP="006B7BBC">
      <w:pPr>
        <w:spacing w:line="276" w:lineRule="auto"/>
        <w:jc w:val="center"/>
        <w:rPr>
          <w:b/>
        </w:rPr>
      </w:pPr>
      <w:r>
        <w:rPr>
          <w:b/>
        </w:rPr>
        <w:t>Lieta Nr. A420238018, SKA-1005/2020</w:t>
      </w:r>
    </w:p>
    <w:p w14:paraId="058D2083" w14:textId="1E9D356B" w:rsidR="0007560A" w:rsidRPr="0007560A" w:rsidRDefault="0017117D" w:rsidP="006B7BBC">
      <w:pPr>
        <w:spacing w:line="276" w:lineRule="auto"/>
        <w:jc w:val="center"/>
      </w:pPr>
      <w:hyperlink r:id="rId8" w:history="1">
        <w:r w:rsidR="0007560A" w:rsidRPr="0007560A">
          <w:rPr>
            <w:rStyle w:val="Hyperlink"/>
          </w:rPr>
          <w:t>ECLI:LV:AT:2020:1208.A420238018.18.S</w:t>
        </w:r>
      </w:hyperlink>
    </w:p>
    <w:p w14:paraId="0872F2D1" w14:textId="77777777" w:rsidR="006B7BBC" w:rsidRDefault="006B7BBC" w:rsidP="006B7BBC">
      <w:pPr>
        <w:spacing w:line="276" w:lineRule="auto"/>
        <w:ind w:firstLine="567"/>
        <w:jc w:val="both"/>
      </w:pPr>
    </w:p>
    <w:p w14:paraId="3CD9DED8" w14:textId="2B25A2B5" w:rsidR="006B7BBC" w:rsidRDefault="006B7BBC" w:rsidP="006B7BBC">
      <w:pPr>
        <w:spacing w:line="276" w:lineRule="auto"/>
        <w:ind w:firstLine="567"/>
        <w:jc w:val="both"/>
      </w:pPr>
      <w:r w:rsidRPr="003069A8">
        <w:t>Tiesa šādā</w:t>
      </w:r>
      <w:r w:rsidRPr="0015480A">
        <w:t xml:space="preserve"> sastāvā:</w:t>
      </w:r>
      <w:r w:rsidR="00F637BB">
        <w:t xml:space="preserve"> senator</w:t>
      </w:r>
      <w:r w:rsidR="009D6C92">
        <w:t>i Andris Guļāns</w:t>
      </w:r>
      <w:r w:rsidR="005523A4">
        <w:t xml:space="preserve">, </w:t>
      </w:r>
      <w:r w:rsidR="005523A4" w:rsidRPr="005523A4">
        <w:t>Dzintra Amerika</w:t>
      </w:r>
      <w:r w:rsidR="005523A4">
        <w:t>,</w:t>
      </w:r>
      <w:r w:rsidR="005523A4" w:rsidRPr="005523A4">
        <w:t xml:space="preserve"> Rudīte Vīduša</w:t>
      </w:r>
    </w:p>
    <w:p w14:paraId="0D46D0AD" w14:textId="77777777" w:rsidR="003047F5" w:rsidRPr="0082381C" w:rsidRDefault="003047F5" w:rsidP="000B0A3A">
      <w:pPr>
        <w:spacing w:line="276" w:lineRule="auto"/>
        <w:ind w:firstLine="567"/>
        <w:jc w:val="both"/>
      </w:pPr>
    </w:p>
    <w:p w14:paraId="6E77A361" w14:textId="48132EB4" w:rsidR="005523A4" w:rsidRPr="0082381C" w:rsidRDefault="00941626" w:rsidP="00196462">
      <w:pPr>
        <w:spacing w:line="276" w:lineRule="auto"/>
        <w:ind w:firstLine="567"/>
        <w:jc w:val="both"/>
      </w:pPr>
      <w:r w:rsidRPr="0082381C">
        <w:t xml:space="preserve">rakstveida procesā izskatīja administratīvo lietu, kas ierosināta, pamatojoties </w:t>
      </w:r>
      <w:proofErr w:type="gramStart"/>
      <w:r w:rsidR="004F7BFF">
        <w:t>[</w:t>
      </w:r>
      <w:proofErr w:type="gramEnd"/>
      <w:r w:rsidR="004F7BFF">
        <w:t>pers. A]</w:t>
      </w:r>
      <w:r w:rsidR="005523A4">
        <w:t xml:space="preserve"> pieteikumu par </w:t>
      </w:r>
      <w:r w:rsidR="00196462">
        <w:t xml:space="preserve">labvēlīga administratīvā akta izdošanu, ar kuru </w:t>
      </w:r>
      <w:proofErr w:type="gramStart"/>
      <w:r w:rsidR="004F7BFF">
        <w:t>[</w:t>
      </w:r>
      <w:proofErr w:type="gramEnd"/>
      <w:r w:rsidR="004F7BFF">
        <w:t>pers. A]</w:t>
      </w:r>
      <w:r w:rsidR="008B6ADC">
        <w:t xml:space="preserve"> </w:t>
      </w:r>
      <w:r w:rsidR="00196462">
        <w:t>tiktu piešķirts maznodrošinātas personas statuss</w:t>
      </w:r>
      <w:r w:rsidR="005523A4">
        <w:t xml:space="preserve">, sakarā ar </w:t>
      </w:r>
      <w:proofErr w:type="gramStart"/>
      <w:r w:rsidR="004F7BFF">
        <w:t>[</w:t>
      </w:r>
      <w:proofErr w:type="gramEnd"/>
      <w:r w:rsidR="004F7BFF">
        <w:t>pers. A]</w:t>
      </w:r>
      <w:r w:rsidR="00196462" w:rsidRPr="00196462">
        <w:t xml:space="preserve"> </w:t>
      </w:r>
      <w:r w:rsidR="005523A4" w:rsidRPr="005523A4">
        <w:t xml:space="preserve">kasācijas sūdzību par Administratīvās </w:t>
      </w:r>
      <w:r w:rsidR="005523A4">
        <w:t>apgabal</w:t>
      </w:r>
      <w:r w:rsidR="005523A4" w:rsidRPr="005523A4">
        <w:t xml:space="preserve">tiesas </w:t>
      </w:r>
      <w:proofErr w:type="gramStart"/>
      <w:r w:rsidR="005523A4" w:rsidRPr="005523A4">
        <w:t>20</w:t>
      </w:r>
      <w:r w:rsidR="005523A4">
        <w:t>20</w:t>
      </w:r>
      <w:r w:rsidR="005523A4" w:rsidRPr="005523A4">
        <w:t>.gada</w:t>
      </w:r>
      <w:proofErr w:type="gramEnd"/>
      <w:r w:rsidR="005523A4" w:rsidRPr="005523A4">
        <w:t xml:space="preserve"> </w:t>
      </w:r>
      <w:r w:rsidR="005523A4">
        <w:t>1</w:t>
      </w:r>
      <w:r w:rsidR="00196462">
        <w:t>7</w:t>
      </w:r>
      <w:r w:rsidR="005523A4">
        <w:t>.februāra</w:t>
      </w:r>
      <w:r w:rsidR="005523A4" w:rsidRPr="005523A4">
        <w:t xml:space="preserve"> spriedumu.</w:t>
      </w:r>
    </w:p>
    <w:p w14:paraId="167B23CE" w14:textId="77777777" w:rsidR="00A6596A" w:rsidRPr="0082381C" w:rsidRDefault="00A6596A" w:rsidP="000B0A3A">
      <w:pPr>
        <w:spacing w:line="276" w:lineRule="auto"/>
        <w:ind w:firstLine="567"/>
        <w:jc w:val="both"/>
      </w:pPr>
    </w:p>
    <w:p w14:paraId="0D194651" w14:textId="77777777" w:rsidR="003047F5" w:rsidRPr="0082381C" w:rsidRDefault="003047F5" w:rsidP="00833668">
      <w:pPr>
        <w:pStyle w:val="ATvirsraksts"/>
      </w:pPr>
      <w:r w:rsidRPr="0082381C">
        <w:t>Aprakstošā daļa</w:t>
      </w:r>
    </w:p>
    <w:p w14:paraId="1DAB58E9" w14:textId="77777777" w:rsidR="003047F5" w:rsidRPr="0082381C" w:rsidRDefault="003047F5" w:rsidP="000B0A3A">
      <w:pPr>
        <w:spacing w:line="276" w:lineRule="auto"/>
        <w:ind w:firstLine="567"/>
        <w:jc w:val="both"/>
      </w:pPr>
    </w:p>
    <w:p w14:paraId="204C152A" w14:textId="10F721D9" w:rsidR="00196462" w:rsidRDefault="003047F5" w:rsidP="00196462">
      <w:pPr>
        <w:spacing w:line="276" w:lineRule="auto"/>
        <w:ind w:firstLine="567"/>
        <w:jc w:val="both"/>
      </w:pPr>
      <w:r w:rsidRPr="0082381C">
        <w:t>[1]</w:t>
      </w:r>
      <w:r w:rsidR="00001BCA">
        <w:t xml:space="preserve"> </w:t>
      </w:r>
      <w:r w:rsidR="00196462">
        <w:t xml:space="preserve">Pieteicēja </w:t>
      </w:r>
      <w:r w:rsidR="004F7BFF">
        <w:t>[pers. A]</w:t>
      </w:r>
      <w:r w:rsidR="008B6ADC">
        <w:t xml:space="preserve"> </w:t>
      </w:r>
      <w:r w:rsidR="00196462">
        <w:t xml:space="preserve">aizgādne </w:t>
      </w:r>
      <w:proofErr w:type="gramStart"/>
      <w:r w:rsidR="004F7BFF">
        <w:t>[</w:t>
      </w:r>
      <w:proofErr w:type="gramEnd"/>
      <w:r w:rsidR="004F7BFF">
        <w:t>pers. B]</w:t>
      </w:r>
      <w:r w:rsidR="00196462">
        <w:t xml:space="preserve"> </w:t>
      </w:r>
      <w:r w:rsidR="00196462" w:rsidRPr="00196462">
        <w:t xml:space="preserve">vērsās </w:t>
      </w:r>
      <w:r w:rsidR="00196462">
        <w:t xml:space="preserve">ar iesniegumu </w:t>
      </w:r>
      <w:r w:rsidR="004F7BFF">
        <w:t>[..]</w:t>
      </w:r>
      <w:r w:rsidR="00196462">
        <w:t xml:space="preserve"> pašvaldības Sociālajā dienestā </w:t>
      </w:r>
      <w:r w:rsidR="008936E1">
        <w:t xml:space="preserve">(turpmāk – sociālais dienests) </w:t>
      </w:r>
      <w:r w:rsidR="00196462">
        <w:t>ar lūgumu izvērtēt pieteicēja ienākumus un materiālo stāvokli, lai atzītu pieteicēju par maznodrošinātu personu.</w:t>
      </w:r>
    </w:p>
    <w:p w14:paraId="57D65CFF" w14:textId="7D1C0CF0" w:rsidR="00196462" w:rsidRDefault="00196462" w:rsidP="00196462">
      <w:pPr>
        <w:spacing w:line="276" w:lineRule="auto"/>
        <w:ind w:firstLine="567"/>
        <w:jc w:val="both"/>
      </w:pPr>
      <w:r>
        <w:t xml:space="preserve">Ar </w:t>
      </w:r>
      <w:r w:rsidR="004F7BFF">
        <w:t>[..]</w:t>
      </w:r>
      <w:r>
        <w:t xml:space="preserve"> novada domes </w:t>
      </w:r>
      <w:proofErr w:type="gramStart"/>
      <w:r>
        <w:t>2018.gada</w:t>
      </w:r>
      <w:proofErr w:type="gramEnd"/>
      <w:r>
        <w:t xml:space="preserve"> 20.jūnija lēmumu </w:t>
      </w:r>
      <w:r w:rsidR="008936E1">
        <w:t>kā administratīvo</w:t>
      </w:r>
      <w:r w:rsidR="000A7CF6">
        <w:t xml:space="preserve"> aktu tā galīgajā noformējumā</w:t>
      </w:r>
      <w:r w:rsidR="008936E1">
        <w:t xml:space="preserve"> atteikts atzīt pieteicēju par maznodrošinātu personu</w:t>
      </w:r>
      <w:r>
        <w:t>.</w:t>
      </w:r>
    </w:p>
    <w:p w14:paraId="2ED93482" w14:textId="77777777" w:rsidR="008936E1" w:rsidRDefault="008936E1" w:rsidP="00196462">
      <w:pPr>
        <w:spacing w:line="276" w:lineRule="auto"/>
        <w:ind w:firstLine="567"/>
        <w:jc w:val="both"/>
      </w:pPr>
    </w:p>
    <w:p w14:paraId="6F9886E5" w14:textId="0BCB6B76" w:rsidR="002C10BA" w:rsidRDefault="002C10BA" w:rsidP="00B37C69">
      <w:pPr>
        <w:spacing w:line="276" w:lineRule="auto"/>
        <w:ind w:firstLine="567"/>
        <w:jc w:val="both"/>
      </w:pPr>
      <w:r>
        <w:t>[</w:t>
      </w:r>
      <w:r w:rsidR="00260F46">
        <w:t>2</w:t>
      </w:r>
      <w:r>
        <w:t xml:space="preserve">] </w:t>
      </w:r>
      <w:r w:rsidR="00FA413B">
        <w:t>Iebilstot pret minēto lēmumu, p</w:t>
      </w:r>
      <w:r w:rsidR="00196462" w:rsidRPr="00196462">
        <w:t>ieteicēja aizgādne</w:t>
      </w:r>
      <w:r>
        <w:t xml:space="preserve"> vērsās </w:t>
      </w:r>
      <w:r w:rsidR="008936E1">
        <w:t xml:space="preserve">administratīvajā </w:t>
      </w:r>
      <w:r w:rsidR="00B37C69">
        <w:t>tiesā</w:t>
      </w:r>
      <w:r w:rsidR="00997B62">
        <w:t xml:space="preserve"> ar pieteikumu</w:t>
      </w:r>
      <w:r w:rsidR="001B7A80">
        <w:t>.</w:t>
      </w:r>
    </w:p>
    <w:p w14:paraId="12A81890" w14:textId="77777777" w:rsidR="008936E1" w:rsidRDefault="008936E1" w:rsidP="00B37C69">
      <w:pPr>
        <w:spacing w:line="276" w:lineRule="auto"/>
        <w:ind w:firstLine="567"/>
        <w:jc w:val="both"/>
      </w:pPr>
    </w:p>
    <w:p w14:paraId="759D7763" w14:textId="74456F75" w:rsidR="002C10BA" w:rsidRDefault="002C10BA" w:rsidP="002C10BA">
      <w:pPr>
        <w:spacing w:line="276" w:lineRule="auto"/>
        <w:ind w:firstLine="567"/>
        <w:jc w:val="both"/>
      </w:pPr>
      <w:r>
        <w:t>[</w:t>
      </w:r>
      <w:r w:rsidR="00260F46">
        <w:t>3</w:t>
      </w:r>
      <w:r>
        <w:t xml:space="preserve">] Administratīvā </w:t>
      </w:r>
      <w:r w:rsidR="00260F46">
        <w:t>apgabal</w:t>
      </w:r>
      <w:r>
        <w:t xml:space="preserve">tiesa ar </w:t>
      </w:r>
      <w:proofErr w:type="gramStart"/>
      <w:r w:rsidR="00260F46" w:rsidRPr="00260F46">
        <w:t>2020.gada</w:t>
      </w:r>
      <w:proofErr w:type="gramEnd"/>
      <w:r w:rsidR="00260F46" w:rsidRPr="00260F46">
        <w:t xml:space="preserve"> 1</w:t>
      </w:r>
      <w:r w:rsidR="00196462">
        <w:t>7</w:t>
      </w:r>
      <w:r w:rsidR="00260F46" w:rsidRPr="00260F46">
        <w:t xml:space="preserve">.februāra </w:t>
      </w:r>
      <w:r>
        <w:t>spriedumu</w:t>
      </w:r>
      <w:r w:rsidR="00260F46">
        <w:t>,</w:t>
      </w:r>
      <w:r w:rsidR="00001BCA">
        <w:t xml:space="preserve"> </w:t>
      </w:r>
      <w:r w:rsidR="00260F46">
        <w:t xml:space="preserve">pievienojoties </w:t>
      </w:r>
      <w:r w:rsidR="00997B62">
        <w:t>A</w:t>
      </w:r>
      <w:r w:rsidR="00260F46">
        <w:t xml:space="preserve">dministratīvās rajona tiesas 2019.gada </w:t>
      </w:r>
      <w:r w:rsidR="002A335F">
        <w:t>19.februāra</w:t>
      </w:r>
      <w:r w:rsidR="00260F46">
        <w:t xml:space="preserve"> sprieduma argumentiem,</w:t>
      </w:r>
      <w:r>
        <w:t xml:space="preserve"> noraidīja pieteikumu. Spriedums pamatots ar turpmāk norādītajiem apsvērumiem.</w:t>
      </w:r>
    </w:p>
    <w:p w14:paraId="6DE5A496" w14:textId="210DE26A" w:rsidR="0008352A" w:rsidRDefault="00583664" w:rsidP="0008352A">
      <w:pPr>
        <w:spacing w:line="276" w:lineRule="auto"/>
        <w:ind w:firstLine="567"/>
        <w:jc w:val="both"/>
      </w:pPr>
      <w:r>
        <w:t>[3.1]</w:t>
      </w:r>
      <w:r w:rsidR="008936E1">
        <w:t xml:space="preserve"> </w:t>
      </w:r>
      <w:r w:rsidR="00FA413B">
        <w:t>P</w:t>
      </w:r>
      <w:r w:rsidR="004770A6">
        <w:t>ieteicējam atteik</w:t>
      </w:r>
      <w:r w:rsidR="00F13D3C">
        <w:t>t</w:t>
      </w:r>
      <w:r w:rsidR="004770A6">
        <w:t>s piešķirt maznodrošinātas personas statusu, jo pieteicējam pieder nekustamais īpašums</w:t>
      </w:r>
      <w:r w:rsidR="008936E1">
        <w:t xml:space="preserve"> –</w:t>
      </w:r>
      <w:r w:rsidR="004770A6">
        <w:t xml:space="preserve"> ½</w:t>
      </w:r>
      <w:r w:rsidR="008936E1">
        <w:t> </w:t>
      </w:r>
      <w:r w:rsidR="004770A6">
        <w:t xml:space="preserve">domājamā daļa no dzīvokļa </w:t>
      </w:r>
      <w:r w:rsidR="004F7BFF">
        <w:t>[adrese A]</w:t>
      </w:r>
      <w:r w:rsidR="008936E1">
        <w:t xml:space="preserve"> –, </w:t>
      </w:r>
      <w:r w:rsidR="004770A6">
        <w:t>kurā viņš nedzīvo. Pieteicēj</w:t>
      </w:r>
      <w:r w:rsidR="0008352A">
        <w:t>s</w:t>
      </w:r>
      <w:r w:rsidR="004770A6">
        <w:t xml:space="preserve"> </w:t>
      </w:r>
      <w:r w:rsidR="008936E1">
        <w:t xml:space="preserve">savu dzīvesvietu </w:t>
      </w:r>
      <w:r w:rsidR="004770A6">
        <w:t>ir deklarē</w:t>
      </w:r>
      <w:r w:rsidR="008936E1">
        <w:t>jis</w:t>
      </w:r>
      <w:r w:rsidR="004770A6">
        <w:t xml:space="preserve"> un faktiski dzīvo kopā ar māti </w:t>
      </w:r>
      <w:r w:rsidR="004F7BFF">
        <w:t>[adrese B]</w:t>
      </w:r>
      <w:r w:rsidR="004770A6">
        <w:t xml:space="preserve">.  Pārsūdzētais lēmums ir pamatots </w:t>
      </w:r>
      <w:r w:rsidR="0008352A">
        <w:t xml:space="preserve">ar </w:t>
      </w:r>
      <w:r w:rsidR="004770A6">
        <w:t xml:space="preserve">Ministru kabineta </w:t>
      </w:r>
      <w:proofErr w:type="gramStart"/>
      <w:r w:rsidR="004770A6">
        <w:t>2010.gada</w:t>
      </w:r>
      <w:proofErr w:type="gramEnd"/>
      <w:r w:rsidR="0008352A">
        <w:t xml:space="preserve"> </w:t>
      </w:r>
      <w:r w:rsidR="004770A6">
        <w:t>30.marta noteikumu Nr.</w:t>
      </w:r>
      <w:r w:rsidR="008936E1">
        <w:t> </w:t>
      </w:r>
      <w:r w:rsidR="004770A6">
        <w:t>299 „Noteikumi par ģimenes vai atsevišķi dzīvojošas personas atzīšanu par</w:t>
      </w:r>
      <w:r w:rsidR="0008352A">
        <w:t xml:space="preserve"> </w:t>
      </w:r>
      <w:r w:rsidR="004770A6">
        <w:t>trūcīgu” (turpmāk – noteikumi Nr.</w:t>
      </w:r>
      <w:r w:rsidR="008936E1">
        <w:t> </w:t>
      </w:r>
      <w:r w:rsidR="004770A6">
        <w:t xml:space="preserve">299) 19.punktā noteikto, </w:t>
      </w:r>
      <w:r w:rsidR="0008352A">
        <w:t xml:space="preserve">proti, </w:t>
      </w:r>
      <w:r w:rsidR="008936E1">
        <w:t xml:space="preserve">ka </w:t>
      </w:r>
      <w:r w:rsidR="002A271E">
        <w:t>p</w:t>
      </w:r>
      <w:r w:rsidR="0008352A">
        <w:t>ar īpašumu šo noteikumu izpratnē nav uzskatām</w:t>
      </w:r>
      <w:r w:rsidR="002A271E">
        <w:t>s</w:t>
      </w:r>
      <w:r w:rsidR="0008352A">
        <w:t xml:space="preserve"> nekustamais īpašums vai tā daļa, kur savu dzīvesvietu deklarējis un dzīvo</w:t>
      </w:r>
      <w:r w:rsidR="002A271E">
        <w:t xml:space="preserve"> iesniedzējs.</w:t>
      </w:r>
    </w:p>
    <w:p w14:paraId="55BFD8F3" w14:textId="2A21719B" w:rsidR="00591F43" w:rsidRPr="005F37E5" w:rsidRDefault="00583664" w:rsidP="00591F43">
      <w:pPr>
        <w:spacing w:line="276" w:lineRule="auto"/>
        <w:ind w:firstLine="567"/>
        <w:jc w:val="both"/>
      </w:pPr>
      <w:r>
        <w:t>[3.2]</w:t>
      </w:r>
      <w:r w:rsidR="008936E1">
        <w:t xml:space="preserve"> </w:t>
      </w:r>
      <w:r w:rsidRPr="005F37E5">
        <w:t>L</w:t>
      </w:r>
      <w:r w:rsidR="00AE33FB" w:rsidRPr="005F37E5">
        <w:t xml:space="preserve">ietā nav strīda, ka pieteicējam pieder </w:t>
      </w:r>
      <w:r w:rsidR="008936E1">
        <w:t xml:space="preserve">minētais </w:t>
      </w:r>
      <w:r w:rsidR="00AE33FB" w:rsidRPr="005F37E5">
        <w:t>nekustamais īpašums</w:t>
      </w:r>
      <w:r w:rsidR="008936E1">
        <w:t>,</w:t>
      </w:r>
      <w:r w:rsidR="00AE33FB" w:rsidRPr="005F37E5">
        <w:t xml:space="preserve"> kas pēc</w:t>
      </w:r>
      <w:r w:rsidRPr="005F37E5">
        <w:t xml:space="preserve"> </w:t>
      </w:r>
      <w:r w:rsidR="00AE33FB" w:rsidRPr="005F37E5">
        <w:t>tā lietošanas veida ir paredzēts dzīvošanai</w:t>
      </w:r>
      <w:r w:rsidRPr="005F37E5">
        <w:t>.</w:t>
      </w:r>
      <w:r w:rsidR="00AE33FB" w:rsidRPr="005F37E5">
        <w:t xml:space="preserve"> No publiski pieejamās Valsts zemes dienesta datu bāzes nav konstatējams,</w:t>
      </w:r>
      <w:r w:rsidRPr="005F37E5">
        <w:t xml:space="preserve"> </w:t>
      </w:r>
      <w:r w:rsidR="00AE33FB" w:rsidRPr="005F37E5">
        <w:t xml:space="preserve">ka </w:t>
      </w:r>
      <w:r w:rsidR="008936E1">
        <w:t>šis</w:t>
      </w:r>
      <w:r w:rsidR="008936E1" w:rsidRPr="005F37E5">
        <w:t xml:space="preserve"> </w:t>
      </w:r>
      <w:r w:rsidR="00AE33FB" w:rsidRPr="005F37E5">
        <w:t xml:space="preserve">nekustamais īpašums būtu atzīts par dzīvošanai nederīgu dzīvojamo telpu. </w:t>
      </w:r>
      <w:r w:rsidR="00F74ECD">
        <w:t>Taču n</w:t>
      </w:r>
      <w:r w:rsidR="00591F43" w:rsidRPr="005F37E5">
        <w:t>o lietā saņemtajiem dokumentiem un fotogrāfijām nav iespējams izdarīt nepārprotamus secinājumus par strīdus dzīvokļa tehnisko stāvokli, proti, vai tas būtu piemērots dzīvošana</w:t>
      </w:r>
      <w:r w:rsidR="001B7A80">
        <w:t>i un līdz ar to arī izīrēšanai.</w:t>
      </w:r>
    </w:p>
    <w:p w14:paraId="72FBD780" w14:textId="05E6B74A" w:rsidR="00AE33FB" w:rsidRDefault="00583664" w:rsidP="00AE33FB">
      <w:pPr>
        <w:spacing w:line="276" w:lineRule="auto"/>
        <w:ind w:firstLine="567"/>
        <w:jc w:val="both"/>
      </w:pPr>
      <w:r>
        <w:t>[3.3]</w:t>
      </w:r>
      <w:r w:rsidR="00591F43">
        <w:t xml:space="preserve"> </w:t>
      </w:r>
      <w:r w:rsidR="00AE33FB">
        <w:t xml:space="preserve">No Sociālo pakalpojumu un sociālās palīdzības likuma </w:t>
      </w:r>
      <w:proofErr w:type="gramStart"/>
      <w:r w:rsidR="00AE33FB">
        <w:t>32.panta</w:t>
      </w:r>
      <w:proofErr w:type="gramEnd"/>
      <w:r w:rsidR="00AE33FB">
        <w:t xml:space="preserve"> un 33.panta pirmās daļas, kā arī noteikumu Nr.</w:t>
      </w:r>
      <w:r w:rsidR="00F74ECD">
        <w:t> </w:t>
      </w:r>
      <w:r w:rsidR="00AE33FB">
        <w:t>299 1.punkta izriet, ka sociālā palīdzība nav paredzēta ikvienai personai (ģimenei), bet gan tikai krīzē nonākušo trūcīgo vai maznodrošināto personu (ģimeņu) pamatvajadzību apmierināšanai, ņemot vērā atsevišķi dzīvojošas personas vai personu, kuras mitinās vienā mājoklī un kurām ir kopēji izdevumi pamatvajadzību apmierināšanai, materiālos resursus – ienākumu un īpašumu novērtējumu.</w:t>
      </w:r>
    </w:p>
    <w:p w14:paraId="2A34336A" w14:textId="0DA2584B" w:rsidR="00F74ECD" w:rsidRDefault="00AE33FB" w:rsidP="00F74ECD">
      <w:pPr>
        <w:spacing w:line="276" w:lineRule="auto"/>
        <w:ind w:firstLine="567"/>
        <w:jc w:val="both"/>
      </w:pPr>
      <w:r>
        <w:t xml:space="preserve">Kārtību, kādā nosaka maznodrošinātas personas statusu, </w:t>
      </w:r>
      <w:r w:rsidR="00FA413B">
        <w:t xml:space="preserve">noteic </w:t>
      </w:r>
      <w:r w:rsidR="004F7BFF">
        <w:t>[..]</w:t>
      </w:r>
      <w:r w:rsidR="00F74ECD">
        <w:t xml:space="preserve"> novada pašvaldības </w:t>
      </w:r>
      <w:proofErr w:type="gramStart"/>
      <w:r w:rsidR="00F74ECD">
        <w:t>2013.gada</w:t>
      </w:r>
      <w:proofErr w:type="gramEnd"/>
      <w:r w:rsidR="00F74ECD">
        <w:t xml:space="preserve"> 18.decembra </w:t>
      </w:r>
      <w:r>
        <w:t xml:space="preserve">saistošie noteikumi </w:t>
      </w:r>
      <w:r w:rsidRPr="00F74ECD">
        <w:t>Nr.</w:t>
      </w:r>
      <w:r w:rsidR="00F74ECD">
        <w:t xml:space="preserve"> </w:t>
      </w:r>
      <w:r w:rsidRPr="00F74ECD">
        <w:t>2013/41</w:t>
      </w:r>
      <w:r w:rsidR="00F74ECD">
        <w:t xml:space="preserve"> „Par ģimenes vai atsevišķi dzīvojošas personas atzīšanu par maznodrošinātu </w:t>
      </w:r>
      <w:r w:rsidR="004F7BFF">
        <w:t>[..]</w:t>
      </w:r>
      <w:r w:rsidR="00F74ECD">
        <w:t xml:space="preserve"> novadā</w:t>
      </w:r>
      <w:r w:rsidR="00F13D3C">
        <w:t>”</w:t>
      </w:r>
      <w:r w:rsidR="00FA413B">
        <w:t>. Šo noteikumu</w:t>
      </w:r>
      <w:r>
        <w:t xml:space="preserve"> 1.punktā arī noteikts, kam tiek izvērtēts ienākumu un materiālā stāvokļa līmenis, kuru nepārsniedzot ģimene, kas sastāv no laulātiem vai personām, kurām ir kopēji izdevumi par uzturu un kuras mitinās vienā mājoklī, vai atsevišķi dzīvojoša persona tiek atzīta par maznodrošinātu.</w:t>
      </w:r>
    </w:p>
    <w:p w14:paraId="3C933035" w14:textId="1926838B" w:rsidR="00AE33FB" w:rsidRDefault="00583664" w:rsidP="00AE33FB">
      <w:pPr>
        <w:spacing w:line="276" w:lineRule="auto"/>
        <w:ind w:firstLine="567"/>
        <w:jc w:val="both"/>
      </w:pPr>
      <w:r>
        <w:t>[3.4]</w:t>
      </w:r>
      <w:r w:rsidR="00F74ECD">
        <w:t xml:space="preserve"> </w:t>
      </w:r>
      <w:r w:rsidR="00AE33FB">
        <w:t>Interpretējot</w:t>
      </w:r>
      <w:r w:rsidR="00FA413B">
        <w:t xml:space="preserve"> pašvaldības</w:t>
      </w:r>
      <w:r w:rsidR="00AE33FB">
        <w:t xml:space="preserve"> saistošo noteikumu 3.punktu, </w:t>
      </w:r>
      <w:r w:rsidR="00F74ECD">
        <w:t xml:space="preserve">kā arī </w:t>
      </w:r>
      <w:r w:rsidR="00AE33FB">
        <w:t>3.1.apakšpunktu kopsakarā ar noteikumu Nr.</w:t>
      </w:r>
      <w:r w:rsidR="00F74ECD">
        <w:t> </w:t>
      </w:r>
      <w:r w:rsidR="00AE33FB">
        <w:t>299 19.1.apakšpunktā ietverto nosacījumu, secināms, ka pamats tam, lai persona (ģimene) tiktu atzīta par maznodrošinātu, ir fakts, ka tās ienākumu līmenis katram ģimenes loceklim pēdējo tr</w:t>
      </w:r>
      <w:r w:rsidR="001B7A80">
        <w:t>iju mēnešu laikā nepārsniedz 67 </w:t>
      </w:r>
      <w:r w:rsidR="00AE33FB">
        <w:t>procentus no valstī noteiktās minimālās mēneša darba algas (2018.gadā minimālā alga 430</w:t>
      </w:r>
      <w:r w:rsidR="00F74ECD">
        <w:t> </w:t>
      </w:r>
      <w:proofErr w:type="spellStart"/>
      <w:r w:rsidR="00AE33FB" w:rsidRPr="005F37E5">
        <w:rPr>
          <w:i/>
        </w:rPr>
        <w:t>euro</w:t>
      </w:r>
      <w:proofErr w:type="spellEnd"/>
      <w:r w:rsidR="00AE33FB">
        <w:t>, tātad – 288,10</w:t>
      </w:r>
      <w:r w:rsidR="00F74ECD">
        <w:t> </w:t>
      </w:r>
      <w:proofErr w:type="spellStart"/>
      <w:r w:rsidR="00AE33FB" w:rsidRPr="005F37E5">
        <w:rPr>
          <w:i/>
        </w:rPr>
        <w:t>euro</w:t>
      </w:r>
      <w:proofErr w:type="spellEnd"/>
      <w:r w:rsidR="00AE33FB">
        <w:t>) un ja tai pieder tikai tāds nekustamais īpašums, kurā tā deklarējusi savu dzīvesvietu un dzīvo tajā.</w:t>
      </w:r>
    </w:p>
    <w:p w14:paraId="5245AFC1" w14:textId="1F0F508F" w:rsidR="00AE33FB" w:rsidRDefault="00F13D3C" w:rsidP="00AE33FB">
      <w:pPr>
        <w:spacing w:line="276" w:lineRule="auto"/>
        <w:ind w:firstLine="567"/>
        <w:jc w:val="both"/>
      </w:pPr>
      <w:r>
        <w:lastRenderedPageBreak/>
        <w:t>[</w:t>
      </w:r>
      <w:r w:rsidR="001B7A80">
        <w:t>3.5]</w:t>
      </w:r>
      <w:r>
        <w:t xml:space="preserve"> </w:t>
      </w:r>
      <w:r w:rsidR="00AE33FB">
        <w:t>Sociālais dienests iztikas līdzekļu deklarācijā aprēķinājis vidējo ienākumu apmēru personai mēnesī – 207,05</w:t>
      </w:r>
      <w:r w:rsidR="00F74ECD">
        <w:t> </w:t>
      </w:r>
      <w:proofErr w:type="spellStart"/>
      <w:r w:rsidR="00AE33FB" w:rsidRPr="005F37E5">
        <w:rPr>
          <w:i/>
        </w:rPr>
        <w:t>euro</w:t>
      </w:r>
      <w:proofErr w:type="spellEnd"/>
      <w:r w:rsidR="00AE33FB">
        <w:t>, norādot, ka aprēķins veikts par atsevišķi dzīvojošu personu (par vienu personu).</w:t>
      </w:r>
    </w:p>
    <w:p w14:paraId="4D77D766" w14:textId="77CA190E" w:rsidR="00591F43" w:rsidRDefault="00583664" w:rsidP="00591F43">
      <w:pPr>
        <w:spacing w:line="276" w:lineRule="auto"/>
        <w:ind w:firstLine="567"/>
        <w:jc w:val="both"/>
      </w:pPr>
      <w:r>
        <w:t>[3.</w:t>
      </w:r>
      <w:r w:rsidR="001B7A80">
        <w:t>6</w:t>
      </w:r>
      <w:r>
        <w:t xml:space="preserve">] </w:t>
      </w:r>
      <w:r w:rsidR="00591F43">
        <w:t xml:space="preserve">No lietā esošajiem sociālā dienesta apsekošanas aktiem nepārprotami konstatējams, ka pieteicēja māte </w:t>
      </w:r>
      <w:r w:rsidR="004F7BFF">
        <w:t>[pers. C]</w:t>
      </w:r>
      <w:r w:rsidR="00591F43">
        <w:t xml:space="preserve"> savā nekustamajā īpašumā </w:t>
      </w:r>
      <w:r w:rsidR="004F7BFF">
        <w:t>[adrese B]</w:t>
      </w:r>
      <w:r w:rsidR="00591F43">
        <w:t>, dzīvo pastāvīgi, nevis tikai veic saimniecisko darbību. Tas, ka viņa jau ilgstoši aprūpē pieteicēju un dara to 24</w:t>
      </w:r>
      <w:r w:rsidR="00F74ECD">
        <w:t> </w:t>
      </w:r>
      <w:r w:rsidR="00591F43">
        <w:t xml:space="preserve">h diennaktī, nepārprotami izriet no pašas </w:t>
      </w:r>
      <w:proofErr w:type="gramStart"/>
      <w:r w:rsidR="004F7BFF">
        <w:t>[</w:t>
      </w:r>
      <w:proofErr w:type="gramEnd"/>
      <w:r w:rsidR="004F7BFF">
        <w:t>pers. C]</w:t>
      </w:r>
      <w:r w:rsidR="00591F43">
        <w:t xml:space="preserve"> paskaidrojumiem, kas fiksēti sociālā dienesta apsekošanas aktā.</w:t>
      </w:r>
    </w:p>
    <w:p w14:paraId="170B6652" w14:textId="6BB9B407" w:rsidR="00DD5C7C" w:rsidRDefault="00DD5C7C" w:rsidP="00591F43">
      <w:pPr>
        <w:spacing w:line="276" w:lineRule="auto"/>
        <w:ind w:firstLine="567"/>
        <w:jc w:val="both"/>
      </w:pPr>
      <w:r>
        <w:t>Konkrētajā gadījumā nepastāv šaub</w:t>
      </w:r>
      <w:r w:rsidR="00F13D3C">
        <w:t>as</w:t>
      </w:r>
      <w:r>
        <w:t>, ka pieteicēja aizgādne, pieprasot pašvaldībai attiecīgo sociālo palīdzību, ir nepareizi norādījusi pieteicēja ģimenes sastāvu. Pieteicējs nav uzskatāms par atsevišķi dzīvojošu personu sociālās palīdzības reglamentējošo tiesību aktu izpratnē. Līdz ar to sociālajam dienestam bija jāņem vērā arī pieteicēja mātes ienākumi, nosakot ģimenes (personu) ienākumu līmeni katram ģimenes loceklim pēdējo triju mēnešu laikā.</w:t>
      </w:r>
    </w:p>
    <w:p w14:paraId="490E8B80" w14:textId="4E3C6CA0" w:rsidR="00270D2F" w:rsidRDefault="00FA413B" w:rsidP="004770A6">
      <w:pPr>
        <w:spacing w:line="276" w:lineRule="auto"/>
        <w:ind w:firstLine="567"/>
        <w:jc w:val="both"/>
      </w:pPr>
      <w:r>
        <w:t>[3.</w:t>
      </w:r>
      <w:r w:rsidR="001B7A80">
        <w:t>7</w:t>
      </w:r>
      <w:r>
        <w:t xml:space="preserve">] </w:t>
      </w:r>
      <w:r w:rsidR="00DD5C7C">
        <w:t xml:space="preserve">Pastāvot konstatētajiem apstākļiem, </w:t>
      </w:r>
      <w:r w:rsidR="00BD235B">
        <w:t xml:space="preserve">ir </w:t>
      </w:r>
      <w:r w:rsidR="00DD5C7C">
        <w:t>atz</w:t>
      </w:r>
      <w:r w:rsidR="00BD235B">
        <w:t>īstams</w:t>
      </w:r>
      <w:r w:rsidR="00DD5C7C">
        <w:t xml:space="preserve">, ka pieteicēja aizgādnes </w:t>
      </w:r>
      <w:proofErr w:type="gramStart"/>
      <w:r w:rsidR="00DD5C7C">
        <w:t>2018.gada</w:t>
      </w:r>
      <w:proofErr w:type="gramEnd"/>
      <w:r w:rsidR="00DD5C7C">
        <w:t xml:space="preserve"> 19.marta iesnieguma iesniegšanas un</w:t>
      </w:r>
      <w:r w:rsidR="009E72E7">
        <w:t xml:space="preserve"> pārsūdzētā</w:t>
      </w:r>
      <w:r w:rsidR="00DD5C7C">
        <w:t xml:space="preserve"> lēmuma pieņemšanas laikā nepastāvēja </w:t>
      </w:r>
      <w:r w:rsidR="00BC658E">
        <w:t xml:space="preserve">priekšnoteikumi </w:t>
      </w:r>
      <w:r w:rsidR="00DD5C7C">
        <w:t>labvēlīga administratīvā akta izdošanai, jo pieteicējam piederošais īpašums, kurā viņš nav deklarē</w:t>
      </w:r>
      <w:r w:rsidR="00BD235B">
        <w:t>jis savu dzīvesvietu</w:t>
      </w:r>
      <w:r w:rsidR="00DD5C7C">
        <w:t xml:space="preserve"> un faktiski nedzīvo, nav uzskatāms par tādu īpašumu, kas pieļauj personas atzīšanu par maznodrošinātu</w:t>
      </w:r>
      <w:r w:rsidR="00BD235B">
        <w:t>. Tāpat</w:t>
      </w:r>
      <w:r w:rsidR="00DD5C7C">
        <w:t xml:space="preserve"> pamats labvēlīga administratīvā akta izdošanas atteikumam ir pieteicēja aizgādnes sniegtās nepilnīgās ziņas par pieteicēja ģimenes sastāvu.</w:t>
      </w:r>
    </w:p>
    <w:p w14:paraId="13C42994" w14:textId="366030DC" w:rsidR="007354A0" w:rsidRDefault="007354A0" w:rsidP="003666DD">
      <w:pPr>
        <w:spacing w:line="276" w:lineRule="auto"/>
        <w:ind w:firstLine="567"/>
        <w:jc w:val="both"/>
      </w:pPr>
    </w:p>
    <w:p w14:paraId="653C621C" w14:textId="5D32930C" w:rsidR="00DD7F53" w:rsidRDefault="007354A0" w:rsidP="00DA5114">
      <w:pPr>
        <w:spacing w:line="276" w:lineRule="auto"/>
        <w:ind w:firstLine="567"/>
        <w:jc w:val="both"/>
      </w:pPr>
      <w:r>
        <w:t xml:space="preserve">[4] </w:t>
      </w:r>
      <w:r w:rsidR="00DD7F53">
        <w:t>Pieteicēj</w:t>
      </w:r>
      <w:r w:rsidR="00BD235B">
        <w:t>s</w:t>
      </w:r>
      <w:r w:rsidR="00B37C69">
        <w:t xml:space="preserve"> par </w:t>
      </w:r>
      <w:r w:rsidR="009834D2">
        <w:t xml:space="preserve">apgabaltiesas </w:t>
      </w:r>
      <w:r w:rsidR="00B37C69">
        <w:t>spriedumu iesniedza kasācijas sūdzību, pamato</w:t>
      </w:r>
      <w:r w:rsidR="009834D2">
        <w:t>jot to</w:t>
      </w:r>
      <w:r w:rsidR="00B37C69">
        <w:t xml:space="preserve"> ar tu</w:t>
      </w:r>
      <w:r w:rsidR="001B7A80">
        <w:t>rpmāk norādītajiem apsvērumiem.</w:t>
      </w:r>
    </w:p>
    <w:p w14:paraId="0CBD123D" w14:textId="6E40A0F1" w:rsidR="003D0DC6" w:rsidRDefault="00DD7F53" w:rsidP="002C79EF">
      <w:pPr>
        <w:spacing w:line="276" w:lineRule="auto"/>
        <w:ind w:firstLine="567"/>
        <w:jc w:val="both"/>
      </w:pPr>
      <w:r>
        <w:t>[</w:t>
      </w:r>
      <w:r w:rsidR="007354A0">
        <w:t>4</w:t>
      </w:r>
      <w:r>
        <w:t xml:space="preserve">.1] </w:t>
      </w:r>
      <w:r w:rsidR="002C79EF">
        <w:t>Izskatot lietu</w:t>
      </w:r>
      <w:r w:rsidR="00DC7099">
        <w:t>,</w:t>
      </w:r>
      <w:r w:rsidR="002C79EF">
        <w:t xml:space="preserve"> tiesa </w:t>
      </w:r>
      <w:r w:rsidR="00143E05">
        <w:t>pieteikumu noraidījusi pēc formālām pazīmēm, neņemot vērā būtiskus lietas apstākļus, proti, to</w:t>
      </w:r>
      <w:r w:rsidR="00BD235B">
        <w:t>,</w:t>
      </w:r>
      <w:r w:rsidR="00143E05">
        <w:t xml:space="preserve"> ka pieteicējam piederošo nekustamo īpašumu viņš nevar izmantot </w:t>
      </w:r>
      <w:r w:rsidR="00BC658E">
        <w:t xml:space="preserve">nedz </w:t>
      </w:r>
      <w:r w:rsidR="00143E05">
        <w:t>sava materiālā stāvokļa uzlabošanai, nedz arī dzīvošanai.</w:t>
      </w:r>
    </w:p>
    <w:p w14:paraId="375091EA" w14:textId="77777777" w:rsidR="00DF5013" w:rsidRDefault="00143E05" w:rsidP="002C79EF">
      <w:pPr>
        <w:spacing w:line="276" w:lineRule="auto"/>
        <w:ind w:firstLine="567"/>
        <w:jc w:val="both"/>
      </w:pPr>
      <w:r>
        <w:t>[4.2] Tiesa nepamatoti uzskata, ka pieteicējs nav atsevišķi dzīvojoša</w:t>
      </w:r>
      <w:r w:rsidR="00DF5013">
        <w:t xml:space="preserve"> persona.</w:t>
      </w:r>
    </w:p>
    <w:p w14:paraId="5FC3529B" w14:textId="1E65BE15" w:rsidR="00143E05" w:rsidRDefault="00143E05" w:rsidP="002C79EF">
      <w:pPr>
        <w:spacing w:line="276" w:lineRule="auto"/>
        <w:ind w:firstLine="567"/>
        <w:jc w:val="both"/>
      </w:pPr>
    </w:p>
    <w:p w14:paraId="1A2E41E3" w14:textId="3DE7B33E" w:rsidR="003047F5" w:rsidRDefault="003047F5" w:rsidP="00BD235B">
      <w:pPr>
        <w:spacing w:line="276" w:lineRule="auto"/>
        <w:jc w:val="center"/>
        <w:rPr>
          <w:b/>
        </w:rPr>
      </w:pPr>
      <w:r w:rsidRPr="0082381C">
        <w:rPr>
          <w:b/>
        </w:rPr>
        <w:t>Motīvu daļa</w:t>
      </w:r>
    </w:p>
    <w:p w14:paraId="43E39091" w14:textId="77777777" w:rsidR="001E35E9" w:rsidRDefault="001E35E9" w:rsidP="001B7A80">
      <w:pPr>
        <w:spacing w:line="276" w:lineRule="auto"/>
        <w:ind w:firstLine="567"/>
        <w:rPr>
          <w:b/>
        </w:rPr>
      </w:pPr>
    </w:p>
    <w:p w14:paraId="63688B46" w14:textId="69B20B32" w:rsidR="00931357" w:rsidRDefault="001E35E9" w:rsidP="004C11D7">
      <w:pPr>
        <w:spacing w:line="276" w:lineRule="auto"/>
        <w:ind w:firstLine="567"/>
        <w:jc w:val="both"/>
      </w:pPr>
      <w:r w:rsidRPr="001E35E9">
        <w:t xml:space="preserve">[5] </w:t>
      </w:r>
      <w:r w:rsidR="00931357">
        <w:t xml:space="preserve">Kasācijas kārtībā Senātam </w:t>
      </w:r>
      <w:r w:rsidR="008A633C">
        <w:t>ir</w:t>
      </w:r>
      <w:r w:rsidR="00931357">
        <w:t xml:space="preserve"> jāizšķir</w:t>
      </w:r>
      <w:r w:rsidR="008A633C">
        <w:t xml:space="preserve"> strīds par to, vai</w:t>
      </w:r>
      <w:r w:rsidR="009834D2">
        <w:t xml:space="preserve"> </w:t>
      </w:r>
      <w:r w:rsidR="004C11D7">
        <w:t>tiesa pamatot</w:t>
      </w:r>
      <w:r w:rsidR="004B3D3C">
        <w:t>i</w:t>
      </w:r>
      <w:r w:rsidR="004C11D7">
        <w:t xml:space="preserve"> noraidīja pieteicēja pieteikumu par maznodrošinātas personas statusa</w:t>
      </w:r>
      <w:r w:rsidR="004C11D7" w:rsidRPr="004C11D7">
        <w:t xml:space="preserve"> no</w:t>
      </w:r>
      <w:r w:rsidR="004C11D7">
        <w:t>teikšanu</w:t>
      </w:r>
      <w:r w:rsidR="004C11D7" w:rsidRPr="004C11D7">
        <w:t xml:space="preserve"> (piešķir</w:t>
      </w:r>
      <w:r w:rsidR="004C11D7">
        <w:t>š</w:t>
      </w:r>
      <w:r w:rsidR="004C11D7" w:rsidRPr="004C11D7">
        <w:t>a</w:t>
      </w:r>
      <w:r w:rsidR="004C11D7">
        <w:t>nu</w:t>
      </w:r>
      <w:r w:rsidR="004C11D7" w:rsidRPr="004C11D7">
        <w:t>)</w:t>
      </w:r>
      <w:r w:rsidR="004C11D7">
        <w:t>.</w:t>
      </w:r>
    </w:p>
    <w:p w14:paraId="45120BFE" w14:textId="77777777" w:rsidR="006D2870" w:rsidRDefault="006D2870" w:rsidP="004C11D7">
      <w:pPr>
        <w:spacing w:line="276" w:lineRule="auto"/>
        <w:ind w:firstLine="567"/>
        <w:jc w:val="both"/>
      </w:pPr>
    </w:p>
    <w:p w14:paraId="743C42EE" w14:textId="43ACED0D" w:rsidR="008A633C" w:rsidRDefault="00931357" w:rsidP="00BA6AA0">
      <w:pPr>
        <w:spacing w:line="276" w:lineRule="auto"/>
        <w:ind w:firstLine="567"/>
        <w:jc w:val="both"/>
      </w:pPr>
      <w:r>
        <w:t xml:space="preserve">[6] </w:t>
      </w:r>
      <w:r w:rsidR="00164C43">
        <w:t>No pieteicēja kasācijas sūdzības izriet, ka</w:t>
      </w:r>
      <w:r w:rsidR="001858C2">
        <w:t>,</w:t>
      </w:r>
      <w:r w:rsidR="00164C43">
        <w:t xml:space="preserve"> viņa</w:t>
      </w:r>
      <w:r w:rsidR="001858C2">
        <w:t>prāt</w:t>
      </w:r>
      <w:r w:rsidR="00164C43">
        <w:t>, tiesa nav ņēmusi vērā to, ka pieteicējam piederošais dzīvoklis nav derīgs dzīvošanai un jebkādas peļņas gūšanai.</w:t>
      </w:r>
    </w:p>
    <w:p w14:paraId="2E8E5A61" w14:textId="7F2013B5" w:rsidR="003C649C" w:rsidRDefault="005E2C96" w:rsidP="00BA6AA0">
      <w:pPr>
        <w:spacing w:line="276" w:lineRule="auto"/>
        <w:ind w:firstLine="567"/>
        <w:jc w:val="both"/>
      </w:pPr>
      <w:r>
        <w:t xml:space="preserve">Pieteicēja pārstāve ir norādījusi, ka </w:t>
      </w:r>
      <w:r w:rsidR="003C649C">
        <w:t xml:space="preserve">dzīvojamās telpas ir nolietotas, </w:t>
      </w:r>
      <w:r>
        <w:t>dzīvokl</w:t>
      </w:r>
      <w:r w:rsidR="00AB264A">
        <w:t>ī griestu segums ir atdalījies un pastāv iespēja, ka tas var iebrukt, bojāta ir elektroinstalācija</w:t>
      </w:r>
      <w:r w:rsidR="003C649C">
        <w:t xml:space="preserve">, </w:t>
      </w:r>
      <w:proofErr w:type="gramStart"/>
      <w:r w:rsidR="003C649C">
        <w:t>nepieciešams papildu finansējums</w:t>
      </w:r>
      <w:proofErr w:type="gramEnd"/>
      <w:r w:rsidR="003C649C">
        <w:t>, lai veiktu apjomīgu remontu.</w:t>
      </w:r>
    </w:p>
    <w:p w14:paraId="7D963C97" w14:textId="0CA101F1" w:rsidR="001858C2" w:rsidRDefault="003C649C" w:rsidP="00C30DEE">
      <w:pPr>
        <w:spacing w:line="276" w:lineRule="auto"/>
        <w:ind w:firstLine="567"/>
        <w:jc w:val="both"/>
      </w:pPr>
      <w:r>
        <w:t xml:space="preserve">Savukārt tiesa </w:t>
      </w:r>
      <w:r w:rsidR="00C30DEE">
        <w:t xml:space="preserve">konstatēja, ka lietā nav iespējams izdarīt nepārprotamus secinājumus par strīdus dzīvokļa tehnisko stāvokli, proti, vai tas būtu piemērots dzīvošanai un līdz ar to arī izīrēšanai. Tiesa arī norādīja, </w:t>
      </w:r>
      <w:r w:rsidR="00BC658E">
        <w:t>k</w:t>
      </w:r>
      <w:r w:rsidR="00C30DEE">
        <w:t>a pieteicējs (pieteicēja aizgādne) apstākli par dzīvokļa slikto stāvokli varētu pierādīt</w:t>
      </w:r>
      <w:r w:rsidR="009E72E7">
        <w:t xml:space="preserve">, </w:t>
      </w:r>
      <w:r w:rsidR="00C30DEE">
        <w:t>piemēram, ar pašvaldības būvvaldes apsekošanas aktu</w:t>
      </w:r>
      <w:r w:rsidR="001858C2">
        <w:t>.</w:t>
      </w:r>
    </w:p>
    <w:p w14:paraId="146A26DC" w14:textId="0D30B712" w:rsidR="00C30DEE" w:rsidRDefault="001858C2" w:rsidP="00C30DEE">
      <w:pPr>
        <w:spacing w:line="276" w:lineRule="auto"/>
        <w:ind w:firstLine="567"/>
        <w:jc w:val="both"/>
      </w:pPr>
      <w:r>
        <w:t>Taču</w:t>
      </w:r>
      <w:r w:rsidR="00C30DEE">
        <w:t xml:space="preserve"> apgabaltiesa</w:t>
      </w:r>
      <w:r w:rsidR="009E72E7">
        <w:t>i</w:t>
      </w:r>
      <w:r w:rsidR="00C30DEE">
        <w:t xml:space="preserve">, </w:t>
      </w:r>
      <w:proofErr w:type="gramStart"/>
      <w:r w:rsidR="00BC658E">
        <w:t>Senāta ieskatā,</w:t>
      </w:r>
      <w:proofErr w:type="gramEnd"/>
      <w:r w:rsidR="00BC658E">
        <w:t xml:space="preserve"> vajadzēja apsvērt iespēju, vai šādos apstākļos nepastāv priekšnoteikumi pieteicējam labvēlīga administratīvā akta izdošanai, ņemot vērā izskatāmā gadījumā netipiskos apstākļus. Pieteicējs</w:t>
      </w:r>
      <w:r w:rsidR="00C30DEE">
        <w:t xml:space="preserve"> ir persona ar daļēji ierobežotu rīcībspēju, </w:t>
      </w:r>
      <w:r w:rsidR="00BC658E">
        <w:t xml:space="preserve">turklāt viņam </w:t>
      </w:r>
      <w:r w:rsidR="00C30DEE">
        <w:t>pieder</w:t>
      </w:r>
      <w:r w:rsidR="00BC658E">
        <w:t>ošā</w:t>
      </w:r>
      <w:r w:rsidR="00C30DEE">
        <w:t xml:space="preserve"> nekustamā īpašuma daļa</w:t>
      </w:r>
      <w:r w:rsidR="004B3D3C">
        <w:t>,</w:t>
      </w:r>
      <w:r w:rsidR="00C30DEE">
        <w:t xml:space="preserve"> </w:t>
      </w:r>
      <w:r w:rsidR="00BC658E">
        <w:t xml:space="preserve">iespējams, </w:t>
      </w:r>
      <w:r w:rsidR="00C30DEE">
        <w:t>faktiski nav izmantojama</w:t>
      </w:r>
      <w:r w:rsidR="00BC658E">
        <w:t xml:space="preserve">. </w:t>
      </w:r>
      <w:r w:rsidR="00BC658E">
        <w:lastRenderedPageBreak/>
        <w:t>Tādējādi</w:t>
      </w:r>
      <w:r w:rsidR="00C30DEE">
        <w:t xml:space="preserve"> normatīvais regulējums</w:t>
      </w:r>
      <w:r w:rsidR="00BC658E">
        <w:t>, iespējams,</w:t>
      </w:r>
      <w:r w:rsidR="00C30DEE">
        <w:t xml:space="preserve"> no </w:t>
      </w:r>
      <w:r w:rsidR="00BC658E">
        <w:t xml:space="preserve">pieteicēja </w:t>
      </w:r>
      <w:r w:rsidR="00C30DEE">
        <w:t xml:space="preserve">gribas neatkarīgu iemeslu dēļ liedz </w:t>
      </w:r>
      <w:r w:rsidR="00BC658E">
        <w:t xml:space="preserve">viņam </w:t>
      </w:r>
      <w:r w:rsidR="00C30DEE">
        <w:t>saņemt sociālo palīdzību</w:t>
      </w:r>
      <w:r w:rsidR="00BC658E">
        <w:t>.</w:t>
      </w:r>
      <w:r w:rsidR="00C30DEE">
        <w:t xml:space="preserve"> Taču, kā tas norādīts iepriekš, konkrētajā gadījumā minētais apstāklis nav pierādīts (</w:t>
      </w:r>
      <w:r w:rsidR="009E72E7">
        <w:t xml:space="preserve">apgabaltiesas </w:t>
      </w:r>
      <w:r w:rsidRPr="00ED562E">
        <w:t>spriedum</w:t>
      </w:r>
      <w:r w:rsidR="000C38F4">
        <w:t>a</w:t>
      </w:r>
      <w:r>
        <w:t xml:space="preserve"> </w:t>
      </w:r>
      <w:r w:rsidR="00C30DEE">
        <w:t>14.punkts).</w:t>
      </w:r>
    </w:p>
    <w:p w14:paraId="727B4684" w14:textId="5D97B685" w:rsidR="00C30DEE" w:rsidRDefault="009E72E7" w:rsidP="00BA6AA0">
      <w:pPr>
        <w:spacing w:line="276" w:lineRule="auto"/>
        <w:ind w:firstLine="567"/>
        <w:jc w:val="both"/>
      </w:pPr>
      <w:r>
        <w:t>Tas nozīmē, ka i</w:t>
      </w:r>
      <w:r w:rsidR="002B0BC9">
        <w:t>zskatāmajā lietā faktiski ir noskaidrojams, vai pieteicējam piederošais īpašums</w:t>
      </w:r>
      <w:r w:rsidR="00ED562E" w:rsidRPr="00ED562E">
        <w:t xml:space="preserve"> var būt šķērslis trūcīgas personas statusa iegūšanai, </w:t>
      </w:r>
      <w:r w:rsidR="00785343">
        <w:t>vai</w:t>
      </w:r>
      <w:r w:rsidR="00ED562E" w:rsidRPr="00ED562E">
        <w:t xml:space="preserve"> no tā var gūt ienākumus.</w:t>
      </w:r>
    </w:p>
    <w:p w14:paraId="221E0472" w14:textId="77777777" w:rsidR="00C43DCE" w:rsidRDefault="00C43DCE" w:rsidP="00BA6AA0">
      <w:pPr>
        <w:spacing w:line="276" w:lineRule="auto"/>
        <w:ind w:firstLine="567"/>
        <w:jc w:val="both"/>
      </w:pPr>
    </w:p>
    <w:p w14:paraId="749D5F0E" w14:textId="03B769BD" w:rsidR="00C43DCE" w:rsidRDefault="00C43DCE" w:rsidP="00BA6AA0">
      <w:pPr>
        <w:spacing w:line="276" w:lineRule="auto"/>
        <w:ind w:firstLine="567"/>
        <w:jc w:val="both"/>
      </w:pPr>
      <w:r>
        <w:t xml:space="preserve">[7] </w:t>
      </w:r>
      <w:r w:rsidRPr="00C43DCE">
        <w:t xml:space="preserve">No sociālās palīdzības </w:t>
      </w:r>
      <w:proofErr w:type="spellStart"/>
      <w:r w:rsidRPr="00C43DCE">
        <w:t>subsidiārā</w:t>
      </w:r>
      <w:proofErr w:type="spellEnd"/>
      <w:r w:rsidRPr="00C43DCE">
        <w:t xml:space="preserve"> rakstura izriet tas, ka valsts un pašvaldības pienākums palīdzēt personai pastāv tiktāl, ciktāl persona pati vai personas, kas var tai palīdzēt, nespēj personu pietiekami nodrošināt.</w:t>
      </w:r>
    </w:p>
    <w:p w14:paraId="59822CCF" w14:textId="389DFDD1" w:rsidR="00C43DCE" w:rsidRDefault="004C264F">
      <w:pPr>
        <w:spacing w:line="276" w:lineRule="auto"/>
        <w:ind w:firstLine="567"/>
        <w:jc w:val="both"/>
      </w:pPr>
      <w:r>
        <w:t xml:space="preserve">Ievērojot Sociālo pakalpojumu un sociālās palīdzības likuma </w:t>
      </w:r>
      <w:proofErr w:type="gramStart"/>
      <w:r>
        <w:t>5.panta</w:t>
      </w:r>
      <w:proofErr w:type="gramEnd"/>
      <w:r>
        <w:t xml:space="preserve"> pirmajā daļā reglamentēto sociālās palīdzības sniegšanas pamatprincipu, ka sociālo palīdzību klientam sniedz, pamatojoties uz viņa materiālo resursu – ienākumu un īpašuma novērtējumu, individuāli paredzot katra klienta līdzdarbību atbilstoši likumam „Par sociālo drošību”, tad arī īpašuma – </w:t>
      </w:r>
      <w:r w:rsidR="00785343">
        <w:t>dzīvokļa</w:t>
      </w:r>
      <w:r>
        <w:t xml:space="preserve"> – atbilstība īpašuma jēdzienam </w:t>
      </w:r>
      <w:r w:rsidR="001858C2">
        <w:t>n</w:t>
      </w:r>
      <w:r>
        <w:t>oteikumu Nr.</w:t>
      </w:r>
      <w:r w:rsidR="009E72E7">
        <w:t> </w:t>
      </w:r>
      <w:r>
        <w:t xml:space="preserve">299 izpratnē novērtējama kontekstā ar šo pamatprincipu. Arī no </w:t>
      </w:r>
      <w:r w:rsidR="001858C2">
        <w:t>n</w:t>
      </w:r>
      <w:r>
        <w:t>oteikumu Nr.</w:t>
      </w:r>
      <w:r w:rsidR="001858C2">
        <w:t> </w:t>
      </w:r>
      <w:r>
        <w:t>299 2.punktā minētā uzskaitījuma secināms, ka īpašumam ir jābūt tādam, kas var dot papildu ienākumu, kas varētu pārsniegt to ienākumu un materiālā stāvokļa līmeni, kas vairs nedod tiesības uz attiecīgo statusu. Līdz ar to noskaidrojams, vai pieteicēja</w:t>
      </w:r>
      <w:r w:rsidR="009E046F">
        <w:t xml:space="preserve"> īpašumā</w:t>
      </w:r>
      <w:r>
        <w:t xml:space="preserve"> esoš</w:t>
      </w:r>
      <w:r w:rsidR="009E046F">
        <w:t>ais dzīvokļa īpašums</w:t>
      </w:r>
      <w:r>
        <w:t xml:space="preserve"> varēja tikt atzīt</w:t>
      </w:r>
      <w:r w:rsidR="00552628">
        <w:t>s</w:t>
      </w:r>
      <w:r>
        <w:t xml:space="preserve"> par īpašumu </w:t>
      </w:r>
      <w:r w:rsidR="001858C2">
        <w:t>n</w:t>
      </w:r>
      <w:r>
        <w:t>oteikumu Nr.</w:t>
      </w:r>
      <w:r w:rsidR="001858C2">
        <w:t> </w:t>
      </w:r>
      <w:r>
        <w:t>299 2.1.</w:t>
      </w:r>
      <w:r w:rsidR="001858C2">
        <w:t>apakš</w:t>
      </w:r>
      <w:r>
        <w:t>punkta izpratnē, proti, par tādu īpašumu, no kura varēja gūt ienākumu</w:t>
      </w:r>
      <w:r w:rsidR="00C43DCE">
        <w:t>.</w:t>
      </w:r>
    </w:p>
    <w:p w14:paraId="62A01ABF" w14:textId="4F0A4F62" w:rsidR="009E046F" w:rsidRDefault="009E046F" w:rsidP="004C264F">
      <w:pPr>
        <w:spacing w:line="276" w:lineRule="auto"/>
        <w:ind w:firstLine="567"/>
        <w:jc w:val="both"/>
      </w:pPr>
      <w:r>
        <w:t>Senāta ieskatā</w:t>
      </w:r>
      <w:r w:rsidR="001858C2">
        <w:t>, n</w:t>
      </w:r>
      <w:r w:rsidRPr="009E046F">
        <w:t>oteikumu Nr.</w:t>
      </w:r>
      <w:r w:rsidR="001858C2">
        <w:t> </w:t>
      </w:r>
      <w:r w:rsidRPr="009E046F">
        <w:t>299 2.1.</w:t>
      </w:r>
      <w:r w:rsidR="001858C2">
        <w:t>apakš</w:t>
      </w:r>
      <w:r w:rsidRPr="009E046F">
        <w:t>punkta piemērošanā ir jāievēro samērīgum</w:t>
      </w:r>
      <w:r w:rsidR="001858C2">
        <w:t>a princips</w:t>
      </w:r>
      <w:r w:rsidRPr="009E046F">
        <w:t xml:space="preserve">. </w:t>
      </w:r>
      <w:r w:rsidR="009E72E7">
        <w:t>Proti, i</w:t>
      </w:r>
      <w:r w:rsidRPr="009E046F">
        <w:t>estādei</w:t>
      </w:r>
      <w:r w:rsidR="001858C2">
        <w:t>,</w:t>
      </w:r>
      <w:r w:rsidRPr="009E046F">
        <w:t xml:space="preserve"> konstatējot, ka personai pieder īpašums (manta vai tiesība), iespēju robežās ir jānovērtē šī fakta nozīme, </w:t>
      </w:r>
      <w:r w:rsidR="009E72E7">
        <w:t>t.i.</w:t>
      </w:r>
      <w:r w:rsidRPr="009E046F">
        <w:t xml:space="preserve">, vai īpašuma vērtība ir pietiekami nozīmīga, lai atzītu, ka persona nav atzīstama par trūcīgu personu. Pārāk formāli piemērojot </w:t>
      </w:r>
      <w:r w:rsidR="001858C2">
        <w:t>n</w:t>
      </w:r>
      <w:r w:rsidRPr="009E046F">
        <w:t>oteikumu Nr.</w:t>
      </w:r>
      <w:r w:rsidR="001858C2">
        <w:t> </w:t>
      </w:r>
      <w:r w:rsidRPr="009E046F">
        <w:t>299 2.1.</w:t>
      </w:r>
      <w:r w:rsidR="001858C2">
        <w:t>apakš</w:t>
      </w:r>
      <w:r w:rsidRPr="009E046F">
        <w:t>punktu, varētu nonākt pie gadījumiem, ka</w:t>
      </w:r>
      <w:r w:rsidR="004B3D3C">
        <w:t>d</w:t>
      </w:r>
      <w:r w:rsidRPr="009E046F">
        <w:t xml:space="preserve"> trūcīgas personas status</w:t>
      </w:r>
      <w:r w:rsidR="00263711">
        <w:t>s</w:t>
      </w:r>
      <w:r w:rsidRPr="009E046F">
        <w:t xml:space="preserve"> tiek atteikts nepamatoti</w:t>
      </w:r>
      <w:r w:rsidR="001B7A80">
        <w:t>.</w:t>
      </w:r>
    </w:p>
    <w:p w14:paraId="1A0BDF44" w14:textId="54926F6A" w:rsidR="00D371CA" w:rsidRDefault="001858C2" w:rsidP="004C264F">
      <w:pPr>
        <w:spacing w:line="276" w:lineRule="auto"/>
        <w:ind w:firstLine="567"/>
        <w:jc w:val="both"/>
      </w:pPr>
      <w:r>
        <w:t>Senāts atzīst, ka i</w:t>
      </w:r>
      <w:r w:rsidR="007B363D">
        <w:t xml:space="preserve">zskatāmajā lietā iestādes un arī </w:t>
      </w:r>
      <w:r>
        <w:t>apgabaltiesas</w:t>
      </w:r>
      <w:r w:rsidR="007B363D">
        <w:t xml:space="preserve"> rīcībā ir konstatējama tieši šāda formāla rīcība, </w:t>
      </w:r>
      <w:r w:rsidR="00D371CA">
        <w:t xml:space="preserve">kas </w:t>
      </w:r>
      <w:r w:rsidR="007B363D">
        <w:t>aprobežoj</w:t>
      </w:r>
      <w:r w:rsidR="00D371CA">
        <w:t xml:space="preserve">usies </w:t>
      </w:r>
      <w:r w:rsidR="007B363D">
        <w:t xml:space="preserve">ar </w:t>
      </w:r>
      <w:r w:rsidR="00263711">
        <w:t>secinājum</w:t>
      </w:r>
      <w:r w:rsidR="007B363D">
        <w:t>u, ka pieteicējam pieder nekustamais īpašums,</w:t>
      </w:r>
      <w:r w:rsidR="00D371CA">
        <w:t xml:space="preserve"> kur</w:t>
      </w:r>
      <w:r w:rsidR="00343243">
        <w:t>u</w:t>
      </w:r>
      <w:r w:rsidR="00D371CA">
        <w:t xml:space="preserve"> viņš neizmanto savu pamatvajadzību apmierināšanai.</w:t>
      </w:r>
    </w:p>
    <w:p w14:paraId="640F6A98" w14:textId="02A91D03" w:rsidR="00564DF4" w:rsidRDefault="00D371CA" w:rsidP="004C264F">
      <w:pPr>
        <w:spacing w:line="276" w:lineRule="auto"/>
        <w:ind w:firstLine="567"/>
        <w:jc w:val="both"/>
      </w:pPr>
      <w:r w:rsidRPr="00D371CA">
        <w:t xml:space="preserve">Kaut arī tiesas spriedumā norādīts, ka lietā nav iespējams izdarīt nepārprotamus secinājumus par strīdus dzīvokļa tehnisko stāvokli, </w:t>
      </w:r>
      <w:r>
        <w:t>kas varētu liecināt, ka tiesa</w:t>
      </w:r>
      <w:r w:rsidR="00C03ED1">
        <w:t xml:space="preserve"> ir</w:t>
      </w:r>
      <w:r>
        <w:t xml:space="preserve"> vērtējusi šo</w:t>
      </w:r>
      <w:r w:rsidR="00177C16">
        <w:t xml:space="preserve"> apstākli</w:t>
      </w:r>
      <w:r w:rsidR="001C5832">
        <w:t>, t</w:t>
      </w:r>
      <w:r>
        <w:t>omēr</w:t>
      </w:r>
      <w:r w:rsidR="00177C16">
        <w:t xml:space="preserve"> no tiesas argumentiem</w:t>
      </w:r>
      <w:r>
        <w:t xml:space="preserve"> nav saprotams, </w:t>
      </w:r>
      <w:r w:rsidR="001C5832">
        <w:t>cik pamatotas ir tiesas šaubas par</w:t>
      </w:r>
      <w:r w:rsidR="001C5832" w:rsidRPr="001C5832">
        <w:t xml:space="preserve"> strīdus dzīvokļa tehnisko stāvokli</w:t>
      </w:r>
      <w:r w:rsidR="001C5832">
        <w:t>.</w:t>
      </w:r>
    </w:p>
    <w:p w14:paraId="5BE76D97" w14:textId="77777777" w:rsidR="001858C2" w:rsidRDefault="001858C2" w:rsidP="004C264F">
      <w:pPr>
        <w:spacing w:line="276" w:lineRule="auto"/>
        <w:ind w:firstLine="567"/>
        <w:jc w:val="both"/>
      </w:pPr>
    </w:p>
    <w:p w14:paraId="4CD4B37C" w14:textId="58641D82" w:rsidR="00564DF4" w:rsidRDefault="001858C2" w:rsidP="004C264F">
      <w:pPr>
        <w:spacing w:line="276" w:lineRule="auto"/>
        <w:ind w:firstLine="567"/>
        <w:jc w:val="both"/>
      </w:pPr>
      <w:r>
        <w:t xml:space="preserve">[8] </w:t>
      </w:r>
      <w:r w:rsidR="00564DF4">
        <w:t xml:space="preserve">Saskaņā ar Administratīvā procesa likuma </w:t>
      </w:r>
      <w:proofErr w:type="gramStart"/>
      <w:r w:rsidR="00564DF4">
        <w:t>107.panta</w:t>
      </w:r>
      <w:proofErr w:type="gramEnd"/>
      <w:r w:rsidR="00564DF4">
        <w:t xml:space="preserve"> ceturto daļu, l</w:t>
      </w:r>
      <w:r w:rsidR="00564DF4" w:rsidRPr="00564DF4">
        <w:t>ai prasījuma robežās noskaidrotu patiesos lietas apstākļus un panāktu tiesisku un taisnīgu lietas izskatīšanu, tiesa dod administratīvā procesa dalībniekiem norādījumus un ieteikumus, kā arī savāc pierādījumus pēc savas iniciatīvas (objektīvās izmeklēšanas princips)</w:t>
      </w:r>
      <w:r w:rsidR="00564DF4">
        <w:t>.</w:t>
      </w:r>
    </w:p>
    <w:p w14:paraId="0D3008E9" w14:textId="480CAA8B" w:rsidR="0047210A" w:rsidRDefault="001C5832" w:rsidP="004C264F">
      <w:pPr>
        <w:spacing w:line="276" w:lineRule="auto"/>
        <w:ind w:firstLine="567"/>
        <w:jc w:val="both"/>
      </w:pPr>
      <w:r>
        <w:t xml:space="preserve"> Pieteicēja</w:t>
      </w:r>
      <w:r w:rsidR="009E72E7">
        <w:t xml:space="preserve"> aizgādne</w:t>
      </w:r>
      <w:r>
        <w:t xml:space="preserve"> pēc tiesas pieprasījuma ir iesniegusi vairākas fotogrāfijas, kas raksturo dzīvokļa slikto tehnisko stāvokli</w:t>
      </w:r>
      <w:r w:rsidR="00564DF4">
        <w:t xml:space="preserve">. Kaut gan tiesa nav prasījusi </w:t>
      </w:r>
      <w:r w:rsidR="009E72E7">
        <w:t xml:space="preserve">viņai </w:t>
      </w:r>
      <w:r w:rsidR="00564DF4">
        <w:t>iesniegt pašvaldības</w:t>
      </w:r>
      <w:r w:rsidR="00AE7DD7">
        <w:t xml:space="preserve"> būvvaldes apsekošanas aktu, t</w:t>
      </w:r>
      <w:r w:rsidR="00564DF4">
        <w:t xml:space="preserve">omēr tiesa spriedumā norāda, ka </w:t>
      </w:r>
      <w:r w:rsidR="00AE7DD7">
        <w:t xml:space="preserve">šāda pierādījuma trūkums liedz tiesai objektīvi izvērtēt īpašuma tehnisko stāvokli. Minētais liecina par tiesas nekonsekvenci un ir pretrunā </w:t>
      </w:r>
      <w:r w:rsidR="001858C2">
        <w:t xml:space="preserve">Administratīvā procesa likuma </w:t>
      </w:r>
      <w:proofErr w:type="gramStart"/>
      <w:r w:rsidR="001858C2">
        <w:t>107.panta</w:t>
      </w:r>
      <w:proofErr w:type="gramEnd"/>
      <w:r w:rsidR="001858C2">
        <w:t xml:space="preserve"> ceturtajai daļai</w:t>
      </w:r>
      <w:r w:rsidR="00C03ED1">
        <w:t>,</w:t>
      </w:r>
      <w:r w:rsidR="00C03ED1" w:rsidRPr="00C03ED1">
        <w:t xml:space="preserve"> jo tiesa ņ</w:t>
      </w:r>
      <w:r w:rsidR="00C03ED1">
        <w:t>ēma</w:t>
      </w:r>
      <w:r w:rsidR="00C03ED1" w:rsidRPr="00C03ED1">
        <w:t xml:space="preserve"> vērā tādu pierādījumu trūkumu, kuru iesniegšanu tiesa nav prasījusi</w:t>
      </w:r>
      <w:r w:rsidR="00C03ED1">
        <w:t>.</w:t>
      </w:r>
    </w:p>
    <w:p w14:paraId="3A73DF4B" w14:textId="0EFEF8A7" w:rsidR="00552628" w:rsidRDefault="00AE7DD7" w:rsidP="004C264F">
      <w:pPr>
        <w:spacing w:line="276" w:lineRule="auto"/>
        <w:ind w:firstLine="567"/>
        <w:jc w:val="both"/>
      </w:pPr>
      <w:r>
        <w:t>Izskatāmajā lietā minētā dzīvokļa īpašuma piemērotība</w:t>
      </w:r>
      <w:r w:rsidR="00223C71">
        <w:t>s</w:t>
      </w:r>
      <w:r>
        <w:t xml:space="preserve"> dzīvošanai, izīrēšanai vai atsavināšanai </w:t>
      </w:r>
      <w:r w:rsidR="00223C71">
        <w:t>noskaidrošan</w:t>
      </w:r>
      <w:r w:rsidR="001858C2">
        <w:t>ai</w:t>
      </w:r>
      <w:r w:rsidR="00223C71">
        <w:t xml:space="preserve"> </w:t>
      </w:r>
      <w:r>
        <w:t xml:space="preserve">ir </w:t>
      </w:r>
      <w:r w:rsidR="00223C71">
        <w:t xml:space="preserve">izšķiroša nozīme. </w:t>
      </w:r>
      <w:r w:rsidR="00DC1732">
        <w:t xml:space="preserve">Ņemot vērā, ka pieteicējam pieder </w:t>
      </w:r>
      <w:r w:rsidR="009E72E7">
        <w:t xml:space="preserve">½ </w:t>
      </w:r>
      <w:r w:rsidR="00DC1732">
        <w:lastRenderedPageBreak/>
        <w:t>domājamā</w:t>
      </w:r>
      <w:r w:rsidR="009E72E7">
        <w:t>s</w:t>
      </w:r>
      <w:r w:rsidR="00DC1732">
        <w:t xml:space="preserve"> daļas no dzīvokļa </w:t>
      </w:r>
      <w:r w:rsidR="004F7BFF">
        <w:t>[adrese A]</w:t>
      </w:r>
      <w:r w:rsidR="00DC1732">
        <w:t>,</w:t>
      </w:r>
      <w:r w:rsidR="009E72E7">
        <w:t xml:space="preserve"> Senāta vērtējumā</w:t>
      </w:r>
      <w:r w:rsidR="00DC1732">
        <w:t xml:space="preserve"> </w:t>
      </w:r>
      <w:r w:rsidR="00223C71">
        <w:t xml:space="preserve">svarīgi </w:t>
      </w:r>
      <w:r w:rsidR="009E72E7">
        <w:t xml:space="preserve">ir </w:t>
      </w:r>
      <w:r w:rsidR="00223C71">
        <w:t>pārliecināties ne tikai par īpašuma tehnisko stāvokli, bet arī</w:t>
      </w:r>
      <w:r w:rsidR="00DC1732">
        <w:t xml:space="preserve"> </w:t>
      </w:r>
      <w:r w:rsidR="004B3D3C">
        <w:t xml:space="preserve">par </w:t>
      </w:r>
      <w:r w:rsidR="00DC1732">
        <w:t>iespējām konkrētajā reģionā to izmantot</w:t>
      </w:r>
      <w:r w:rsidR="00223C71">
        <w:t xml:space="preserve"> </w:t>
      </w:r>
      <w:r w:rsidR="0047210A">
        <w:t>sava materiālā stāvokļa uzlabošanai, to pārdodot vai izīrējot.</w:t>
      </w:r>
    </w:p>
    <w:p w14:paraId="4897B5E6" w14:textId="7EDE5180" w:rsidR="00397E37" w:rsidRDefault="00397E37" w:rsidP="004C264F">
      <w:pPr>
        <w:spacing w:line="276" w:lineRule="auto"/>
        <w:ind w:firstLine="567"/>
        <w:jc w:val="both"/>
      </w:pPr>
      <w:r>
        <w:t xml:space="preserve">Ņemot vērā, ka šie apstākļi </w:t>
      </w:r>
      <w:r w:rsidR="00F95B02">
        <w:t xml:space="preserve">spriedumā </w:t>
      </w:r>
      <w:r>
        <w:t>nav noskaidroti</w:t>
      </w:r>
      <w:r w:rsidR="009E6721">
        <w:t>,</w:t>
      </w:r>
      <w:r>
        <w:t xml:space="preserve"> </w:t>
      </w:r>
      <w:r w:rsidR="00F95B02">
        <w:t>Senāts uzskata, ka apgabal</w:t>
      </w:r>
      <w:r>
        <w:t xml:space="preserve">tiesa </w:t>
      </w:r>
      <w:r w:rsidR="00F95B02">
        <w:t xml:space="preserve">ir </w:t>
      </w:r>
      <w:r>
        <w:t>priekšlaicīgi nonākusi pie secinājuma, ka pieteicējam piederošais dzīvokļa īpašums ir šķērslis trūcīgas personas statusa piešķiršanai.</w:t>
      </w:r>
    </w:p>
    <w:p w14:paraId="7D04E271" w14:textId="702E323C" w:rsidR="0047210A" w:rsidRDefault="009E72E7" w:rsidP="004C264F">
      <w:pPr>
        <w:spacing w:line="276" w:lineRule="auto"/>
        <w:ind w:firstLine="567"/>
        <w:jc w:val="both"/>
      </w:pPr>
      <w:r>
        <w:t>Turklāt i</w:t>
      </w:r>
      <w:r w:rsidR="007B3DB1">
        <w:t xml:space="preserve">zskatāmajā lietā ir noskaidrots, ka </w:t>
      </w:r>
      <w:proofErr w:type="gramStart"/>
      <w:r w:rsidR="007B3DB1">
        <w:t>2017.gada</w:t>
      </w:r>
      <w:proofErr w:type="gramEnd"/>
      <w:r w:rsidR="007B3DB1">
        <w:t xml:space="preserve"> 1.oktobrī ir noslēgts pieteicējam piederošā īpašuma patapinājuma līgums uz </w:t>
      </w:r>
      <w:r w:rsidR="00F95B02">
        <w:t>40 </w:t>
      </w:r>
      <w:r w:rsidR="007B3DB1">
        <w:t>gadiem</w:t>
      </w:r>
      <w:r w:rsidR="00397E37">
        <w:t xml:space="preserve">. No </w:t>
      </w:r>
      <w:r w:rsidR="004F7BFF">
        <w:t>[..]</w:t>
      </w:r>
      <w:r w:rsidR="00397E37">
        <w:t xml:space="preserve"> novada bāriņtiesas </w:t>
      </w:r>
      <w:proofErr w:type="gramStart"/>
      <w:r w:rsidR="00397E37">
        <w:t>2020.gada</w:t>
      </w:r>
      <w:proofErr w:type="gramEnd"/>
      <w:r w:rsidR="00397E37">
        <w:t xml:space="preserve"> 28.janvāra lēmuma redzams, ka </w:t>
      </w:r>
      <w:r w:rsidR="009E6721">
        <w:t>bāriņtiesa ir atzinusi, ka noslēgtais patapinājuma līgums ir noslēgts pieteicēja interesēs. Izskatot lietu no jauna</w:t>
      </w:r>
      <w:r w:rsidR="00F95B02">
        <w:t>,</w:t>
      </w:r>
      <w:r w:rsidR="009E6721">
        <w:t xml:space="preserve"> tiesai </w:t>
      </w:r>
      <w:r>
        <w:t xml:space="preserve">būtu </w:t>
      </w:r>
      <w:r w:rsidR="009E6721">
        <w:t>jāvērtē</w:t>
      </w:r>
      <w:r>
        <w:t xml:space="preserve"> arī</w:t>
      </w:r>
      <w:r w:rsidR="009E6721">
        <w:t xml:space="preserve"> bāriņtiesas secinājumi, ka patapinājuma līgums noslēgts</w:t>
      </w:r>
      <w:r w:rsidR="008D2A01">
        <w:t>, lai nekustamo īpašumu atjaunotu un izremontētu</w:t>
      </w:r>
      <w:r w:rsidR="00F95B02">
        <w:t>,</w:t>
      </w:r>
      <w:r w:rsidR="008D2A01">
        <w:t xml:space="preserve"> ieguldot tajā biedrības </w:t>
      </w:r>
      <w:r w:rsidR="00F95B02">
        <w:t>„</w:t>
      </w:r>
      <w:r w:rsidR="00CA45D5">
        <w:t>[nosaukums]</w:t>
      </w:r>
      <w:r w:rsidR="008D2A01">
        <w:t>” projekta līdzekļus</w:t>
      </w:r>
      <w:r w:rsidR="00D16365">
        <w:t>.</w:t>
      </w:r>
    </w:p>
    <w:p w14:paraId="1D61C5FE" w14:textId="77777777" w:rsidR="00D16365" w:rsidRDefault="00D16365" w:rsidP="004C264F">
      <w:pPr>
        <w:spacing w:line="276" w:lineRule="auto"/>
        <w:ind w:firstLine="567"/>
        <w:jc w:val="both"/>
      </w:pPr>
    </w:p>
    <w:p w14:paraId="6FB8E58E" w14:textId="02D28113" w:rsidR="00FD0DC1" w:rsidRDefault="00D16365" w:rsidP="00FD0DC1">
      <w:pPr>
        <w:spacing w:line="276" w:lineRule="auto"/>
        <w:ind w:firstLine="567"/>
        <w:jc w:val="both"/>
      </w:pPr>
      <w:r>
        <w:t>[</w:t>
      </w:r>
      <w:r w:rsidR="006D2870">
        <w:t>9</w:t>
      </w:r>
      <w:r>
        <w:t xml:space="preserve">] </w:t>
      </w:r>
      <w:r w:rsidR="00FD0DC1">
        <w:t xml:space="preserve">Kasācijas sūdzībā pieteicējs </w:t>
      </w:r>
      <w:r w:rsidR="00F95B02">
        <w:t xml:space="preserve">arī </w:t>
      </w:r>
      <w:r w:rsidR="00FD0DC1">
        <w:t>norāda, ka tiesa nepamatoti</w:t>
      </w:r>
      <w:r w:rsidR="00F95B02">
        <w:t xml:space="preserve"> ir</w:t>
      </w:r>
      <w:r w:rsidR="00FD0DC1">
        <w:t xml:space="preserve"> uzskat</w:t>
      </w:r>
      <w:r w:rsidR="00F95B02">
        <w:t>ījusi</w:t>
      </w:r>
      <w:r w:rsidR="00FD0DC1">
        <w:t>, ka viņš nav atsevišķi dzīvojoša persona.</w:t>
      </w:r>
    </w:p>
    <w:p w14:paraId="118B7EBB" w14:textId="59945205" w:rsidR="0018433F" w:rsidRDefault="00FD0DC1" w:rsidP="00FD0DC1">
      <w:pPr>
        <w:spacing w:line="276" w:lineRule="auto"/>
        <w:ind w:firstLine="567"/>
        <w:jc w:val="both"/>
      </w:pPr>
      <w:r>
        <w:t>Savukārt t</w:t>
      </w:r>
      <w:r w:rsidR="00D16365">
        <w:t xml:space="preserve">iesas spriedumā ir norādīts, ka </w:t>
      </w:r>
      <w:r>
        <w:t>pieteicēja aizgādne, lūdzot pašvaldībai izvērtēt pieteicēja mantisko stāvokli un piešķirt viņam maznodrošinātas personas statusu, ir nepamatoti norādījusi, ka pieteicējs ir atsevišķi dzīvojoša persona, jo minētais neatbilst lietā konstatētajiem apstākļiem.</w:t>
      </w:r>
      <w:r w:rsidRPr="00FD0DC1">
        <w:t xml:space="preserve"> </w:t>
      </w:r>
      <w:r w:rsidR="00662B08">
        <w:t xml:space="preserve">To apstiprina sociālā dienesta apsekošanas dati, no kuriem redzams, ka pieteicējs dzīvo kopā ar savu māti, kas viņu aprūpē. </w:t>
      </w:r>
      <w:r>
        <w:t>Līdz ar to pašvaldības sociālajam dienestam bija jāņem vērā arī pieteicēja mātes ienākumi, nosakot ģimenes (personu) ienākumu līmeni katram ģimenes loceklim pēdējo triju mēnešu laikā.</w:t>
      </w:r>
    </w:p>
    <w:p w14:paraId="70B0EB1B" w14:textId="1FD0CB9C" w:rsidR="00662B08" w:rsidRDefault="00662B08" w:rsidP="00FD0DC1">
      <w:pPr>
        <w:spacing w:line="276" w:lineRule="auto"/>
        <w:ind w:firstLine="567"/>
        <w:jc w:val="both"/>
      </w:pPr>
      <w:r>
        <w:t>Senāts šādu tiesas secinājumu atzīst par nepamatotu</w:t>
      </w:r>
      <w:r w:rsidR="00054730">
        <w:t xml:space="preserve"> </w:t>
      </w:r>
      <w:r w:rsidR="00F95B02">
        <w:t xml:space="preserve">turpmāk norādīto </w:t>
      </w:r>
      <w:r w:rsidR="00054730">
        <w:t>apsvērumu dēļ.</w:t>
      </w:r>
    </w:p>
    <w:p w14:paraId="5BCE39C7" w14:textId="785D8F1B" w:rsidR="0018433F" w:rsidRDefault="00D74262" w:rsidP="00FD0DC1">
      <w:pPr>
        <w:spacing w:line="276" w:lineRule="auto"/>
        <w:ind w:firstLine="567"/>
        <w:jc w:val="both"/>
      </w:pPr>
      <w:r w:rsidRPr="00D74262">
        <w:t xml:space="preserve">Atbilstoši Sociālo pakalpojumu un sociālās palīdzības likuma </w:t>
      </w:r>
      <w:proofErr w:type="gramStart"/>
      <w:r w:rsidRPr="00D74262">
        <w:t>32.pantam</w:t>
      </w:r>
      <w:proofErr w:type="gramEnd"/>
      <w:r w:rsidRPr="00D74262">
        <w:t xml:space="preserve"> sociālās palīdzības mērķis ir sniegt materiālu atbalstu trūcīgām, maznodrošinātām un krīzes situācijā nonākušām ģimenēm (personām), lai nodrošinātu to pamatvajadzības un veicinātu darbspējīgo personu līdzdarbību savas situācijas uzlabošanā. Savukārt saskaņā ar šā likuma </w:t>
      </w:r>
      <w:proofErr w:type="gramStart"/>
      <w:r w:rsidRPr="00D74262">
        <w:t>1.panta</w:t>
      </w:r>
      <w:proofErr w:type="gramEnd"/>
      <w:r w:rsidRPr="00D74262">
        <w:t xml:space="preserve"> 11.punktu personas pamatvajadzības ir ēdiens, apģērbs, mājoklis, veselī</w:t>
      </w:r>
      <w:r w:rsidR="001B7A80">
        <w:t>bas aprūpe, obligātā izglītība.</w:t>
      </w:r>
    </w:p>
    <w:p w14:paraId="41BB0A1E" w14:textId="105FF672" w:rsidR="00054730" w:rsidRDefault="00054730" w:rsidP="00FD0DC1">
      <w:pPr>
        <w:spacing w:line="276" w:lineRule="auto"/>
        <w:ind w:firstLine="567"/>
        <w:jc w:val="both"/>
      </w:pPr>
      <w:r>
        <w:t>Noteikumu Nr</w:t>
      </w:r>
      <w:r w:rsidR="00F95B02">
        <w:t>. </w:t>
      </w:r>
      <w:r>
        <w:t xml:space="preserve">299 </w:t>
      </w:r>
      <w:r w:rsidR="00F95B02">
        <w:t>1.</w:t>
      </w:r>
      <w:r>
        <w:t xml:space="preserve">punktā noteikts, ka </w:t>
      </w:r>
      <w:r w:rsidR="00F95B02">
        <w:t>šie noteikumi</w:t>
      </w:r>
      <w:r w:rsidR="00C86D99">
        <w:t xml:space="preserve"> </w:t>
      </w:r>
      <w:r w:rsidRPr="00054730">
        <w:t>nosaka ienākumu un materiālā stāvokļa līmeni, kuru nepārsniedzot ģimene, kas sastāv no laulātajiem vai personām</w:t>
      </w:r>
      <w:r w:rsidRPr="005F37E5">
        <w:t>,</w:t>
      </w:r>
      <w:r w:rsidRPr="0018433F">
        <w:rPr>
          <w:b/>
        </w:rPr>
        <w:t xml:space="preserve"> </w:t>
      </w:r>
      <w:r w:rsidRPr="00BB1BC0">
        <w:t>kurām ir kopēji izdevumi pamatvajadzību nodrošināšanai</w:t>
      </w:r>
      <w:r w:rsidRPr="00054730">
        <w:t xml:space="preserve"> un kuras mitinās vienā mājoklī, vai atsevišķi dzīvojoša persona tiek atzīta par trūcīgu, un kārtību, kādā ģimene (persona) tiek atzīta par trūcīgu.</w:t>
      </w:r>
    </w:p>
    <w:p w14:paraId="4CA3C38F" w14:textId="3EA7863C" w:rsidR="00BB1BC0" w:rsidRDefault="00BB1BC0">
      <w:pPr>
        <w:spacing w:line="276" w:lineRule="auto"/>
        <w:ind w:firstLine="567"/>
        <w:jc w:val="both"/>
      </w:pPr>
      <w:r>
        <w:t>Tātad</w:t>
      </w:r>
      <w:r w:rsidR="00F95B02">
        <w:t>, ievērojot</w:t>
      </w:r>
      <w:r>
        <w:t xml:space="preserve"> tiesību normas jēg</w:t>
      </w:r>
      <w:r w:rsidR="00F95B02">
        <w:t>u</w:t>
      </w:r>
      <w:r>
        <w:t>,</w:t>
      </w:r>
      <w:r w:rsidR="00F95B02">
        <w:t xml:space="preserve"> </w:t>
      </w:r>
      <w:r>
        <w:t>ir svarīgi konstatēt ne tikai to, ka personas mitinās vienā mājoklī, bet</w:t>
      </w:r>
      <w:r w:rsidR="00F95B02">
        <w:t xml:space="preserve"> arī to</w:t>
      </w:r>
      <w:r>
        <w:t xml:space="preserve">, ka viņām ir </w:t>
      </w:r>
      <w:r w:rsidRPr="005F37E5">
        <w:rPr>
          <w:i/>
        </w:rPr>
        <w:t>kopēji izdevumi pamatvajadzību nodrošināšanai</w:t>
      </w:r>
      <w:r>
        <w:t xml:space="preserve">. </w:t>
      </w:r>
      <w:r w:rsidR="009E72E7">
        <w:t>To, v</w:t>
      </w:r>
      <w:r>
        <w:t xml:space="preserve">ai pieteicējam un viņa mātei, kas viņu </w:t>
      </w:r>
      <w:r w:rsidR="009E72E7">
        <w:t xml:space="preserve">aprūpē </w:t>
      </w:r>
      <w:r>
        <w:t>un dzīvo vienā mājā</w:t>
      </w:r>
      <w:r w:rsidR="007F63B9">
        <w:t>,</w:t>
      </w:r>
      <w:r>
        <w:t xml:space="preserve"> ir kopēji izdevumi pamatvajadzību nodrošināšanai, ne pašvaldības sociālais dienests</w:t>
      </w:r>
      <w:r w:rsidR="00343243">
        <w:t>,</w:t>
      </w:r>
      <w:r>
        <w:t xml:space="preserve"> ne tiesa nav noskaidroju</w:t>
      </w:r>
      <w:r w:rsidR="00F95B02">
        <w:t>s</w:t>
      </w:r>
      <w:r>
        <w:t xml:space="preserve">i. </w:t>
      </w:r>
      <w:r w:rsidR="00224190">
        <w:t xml:space="preserve">Tas vien, ka personas mitinās vienā mājoklī, </w:t>
      </w:r>
      <w:r w:rsidR="00F95B02">
        <w:t xml:space="preserve">vēl </w:t>
      </w:r>
      <w:r w:rsidR="00224190">
        <w:t xml:space="preserve">nenozīmē, ka viņām ir kopēji izdevumi pamatvajadzību nodrošināšanai. </w:t>
      </w:r>
      <w:r>
        <w:t xml:space="preserve">Tiesa nepamatoti atsaucas uz </w:t>
      </w:r>
      <w:r w:rsidRPr="00BB1BC0">
        <w:t>sociāl</w:t>
      </w:r>
      <w:r>
        <w:t>ā</w:t>
      </w:r>
      <w:r w:rsidRPr="00BB1BC0">
        <w:t xml:space="preserve"> dienest</w:t>
      </w:r>
      <w:r>
        <w:t xml:space="preserve">a apsekošanas aktiem </w:t>
      </w:r>
      <w:r w:rsidR="007F63B9">
        <w:t>kā pierādījumu tam, ka</w:t>
      </w:r>
      <w:r w:rsidR="00F95B02">
        <w:t>,</w:t>
      </w:r>
      <w:r w:rsidR="007F63B9">
        <w:t xml:space="preserve"> aprēķinot pieteicēja izdevumus</w:t>
      </w:r>
      <w:r w:rsidR="00224190">
        <w:t>,</w:t>
      </w:r>
      <w:r w:rsidR="007F63B9">
        <w:t xml:space="preserve"> ir jāņem vērā arī mātes ienākumi. Apsekošanas aktos atspoguļotā informācija ir sadzīviska rakstura ar norādēm par pieteicēja</w:t>
      </w:r>
      <w:r w:rsidR="00B45132">
        <w:t xml:space="preserve"> slimības gaitu, medikamentu nepieciešamību, kurināmā dārdzību, tomēr tie nedod priekšstatu</w:t>
      </w:r>
      <w:r w:rsidR="00224190">
        <w:t xml:space="preserve">, </w:t>
      </w:r>
      <w:r w:rsidR="00B45132">
        <w:t>vai pieteicējam un viņa mātei ir kādi kopīgi izdevumi.</w:t>
      </w:r>
      <w:r w:rsidR="00224190">
        <w:t xml:space="preserve"> Tieši pretēji</w:t>
      </w:r>
      <w:r w:rsidR="00464AB7">
        <w:t xml:space="preserve">, </w:t>
      </w:r>
      <w:proofErr w:type="gramStart"/>
      <w:r w:rsidR="00464AB7">
        <w:t>2018.gada</w:t>
      </w:r>
      <w:proofErr w:type="gramEnd"/>
      <w:r w:rsidR="00464AB7">
        <w:t xml:space="preserve"> 18.maija apsekošanas aktā ir norādīts, ka pieteicēja aizgādne </w:t>
      </w:r>
      <w:r w:rsidR="004F7BFF">
        <w:t>[pers. B]</w:t>
      </w:r>
      <w:r w:rsidR="00F95B02">
        <w:t xml:space="preserve"> </w:t>
      </w:r>
      <w:r w:rsidR="005640B5">
        <w:t>apmaksā visus maksājumus.</w:t>
      </w:r>
    </w:p>
    <w:p w14:paraId="7429F96B" w14:textId="3A3D6839" w:rsidR="00B45132" w:rsidRDefault="00B45132" w:rsidP="00FD0DC1">
      <w:pPr>
        <w:spacing w:line="276" w:lineRule="auto"/>
        <w:ind w:firstLine="567"/>
        <w:jc w:val="both"/>
      </w:pPr>
      <w:r>
        <w:lastRenderedPageBreak/>
        <w:t xml:space="preserve">Tiesa nav </w:t>
      </w:r>
      <w:r w:rsidR="005640B5">
        <w:t xml:space="preserve">konkretizējusi, kādus maksājumus tieši veic pieteicēja aizgādne, kā tiek izlietoti un sadalīti </w:t>
      </w:r>
      <w:r w:rsidR="00F95B02">
        <w:t xml:space="preserve">šie </w:t>
      </w:r>
      <w:r w:rsidR="005640B5">
        <w:t>pieteicēja naudas līdzekļi, ar kuri</w:t>
      </w:r>
      <w:r w:rsidR="001B7A80">
        <w:t>em rīkojās pieteicēja aizgādne.</w:t>
      </w:r>
    </w:p>
    <w:p w14:paraId="03F12ED9" w14:textId="4675EBC4" w:rsidR="005640B5" w:rsidRDefault="005640B5" w:rsidP="00FD0DC1">
      <w:pPr>
        <w:spacing w:line="276" w:lineRule="auto"/>
        <w:ind w:firstLine="567"/>
        <w:jc w:val="both"/>
      </w:pPr>
      <w:r>
        <w:t xml:space="preserve">Ņemot vērā </w:t>
      </w:r>
      <w:r w:rsidR="00F95B02">
        <w:t xml:space="preserve">iepriekš </w:t>
      </w:r>
      <w:r>
        <w:t>minēto, Senāts atzīst, ka tiesa nav noskaidrojusi</w:t>
      </w:r>
      <w:r w:rsidR="007A12EA">
        <w:t>,</w:t>
      </w:r>
      <w:r>
        <w:t xml:space="preserve"> vai pieteicējam un viņa mātei ir kopēji izdevum</w:t>
      </w:r>
      <w:r w:rsidR="001B7A80">
        <w:t>i pamatvajadzību nodrošināšanā.</w:t>
      </w:r>
    </w:p>
    <w:p w14:paraId="7F07FCC1" w14:textId="77777777" w:rsidR="00F95B02" w:rsidRDefault="00F95B02" w:rsidP="000C38F4">
      <w:pPr>
        <w:spacing w:line="276" w:lineRule="auto"/>
        <w:ind w:firstLine="567"/>
        <w:jc w:val="both"/>
      </w:pPr>
    </w:p>
    <w:p w14:paraId="7EFA2A7E" w14:textId="649D7CCA" w:rsidR="00564DF4" w:rsidRDefault="006D2870">
      <w:pPr>
        <w:spacing w:line="276" w:lineRule="auto"/>
        <w:ind w:firstLine="567"/>
        <w:jc w:val="both"/>
      </w:pPr>
      <w:r>
        <w:t xml:space="preserve">[10] </w:t>
      </w:r>
      <w:r w:rsidR="00BC358E" w:rsidRPr="00BC358E">
        <w:t xml:space="preserve">Sociālo pakalpojumu un sociālās palīdzības likuma </w:t>
      </w:r>
      <w:proofErr w:type="gramStart"/>
      <w:r w:rsidR="00BC358E" w:rsidRPr="00BC358E">
        <w:t>34.panta</w:t>
      </w:r>
      <w:proofErr w:type="gramEnd"/>
      <w:r w:rsidR="00BC358E" w:rsidRPr="00BC358E">
        <w:t xml:space="preserve"> pirmā daļa noteic, ka pašvaldības sociālais dienests pēc personas un tās ģimenes locekļu ienākumu un citu materiālo resursu izvērtēšanas lemj par sociālās palīdzības pabalsta piešķiršanu personai, kas pabalstu pieprasījusi. Savukārt noteikumu Nr.</w:t>
      </w:r>
      <w:r w:rsidR="00F95B02">
        <w:t> </w:t>
      </w:r>
      <w:r w:rsidR="00BC358E" w:rsidRPr="00BC358E">
        <w:t xml:space="preserve">299 3.punkts paredz, ka ģimenes (personas) atbilstību trūcīgas ģimenes (personas) statusam pašvaldības sociālais dienests novērtē pēc iesnieguma saņemšanas par ģimenes (personas) atzīšanu par trūcīgu. Šajās normās ir norādīts, ka sociālajam dienestam ir jāizvērtē personas ienākumu un materiālo resursu līmenis un jānovērtē personas atbilstība trūcīgas personas statusam. </w:t>
      </w:r>
      <w:r w:rsidR="00F95B02">
        <w:t>Minēto</w:t>
      </w:r>
      <w:r w:rsidR="00BC358E" w:rsidRPr="00BC358E">
        <w:t xml:space="preserve"> tiesību normu teksts ļauj tās interpretēt tā, ka sociālajam dienestam piešķirtais izvērtēšanas pienākums nozīmē tikai to, ka sociālajam dienestam ir jāizvērtē personas atbilstība Ministru kabineta noteikumos un pašvaldības saistošajos noteikumos skaidri noteiktajām prasībām. Taču šo normu teksts ļauj tās interpretēt arī tā, ka sociālajam dienestam piešķirtais izvērtēšanas pienākums prasa ne tikai vērtējumu par personas atbilstību iepriekš minētajām prasībām, bet arī plašāku vērtējumu par personas situāciju, lai nodrošinātu to, ka trūcīgas personas statusa piešķiršana vai atteikšana ļauj sasniegt sociālās palīdzības mērķi un ievērot arī tos pienākumus, kas valstij izriet no sociāli atbildīgas valsts principa </w:t>
      </w:r>
      <w:r w:rsidR="00BC358E" w:rsidRPr="005F37E5">
        <w:t>(</w:t>
      </w:r>
      <w:r w:rsidR="00F95B02" w:rsidRPr="005F37E5">
        <w:t>sal.</w:t>
      </w:r>
      <w:r w:rsidR="00BC358E" w:rsidRPr="005F37E5">
        <w:t xml:space="preserve"> </w:t>
      </w:r>
      <w:bookmarkStart w:id="0" w:name="_Hlk58916577"/>
      <w:r w:rsidR="00BC358E" w:rsidRPr="00BC358E">
        <w:rPr>
          <w:i/>
        </w:rPr>
        <w:t>Senāta 2018.gada 22.jūnija sprieduma lietā Nr.</w:t>
      </w:r>
      <w:r w:rsidR="00F95B02">
        <w:rPr>
          <w:i/>
        </w:rPr>
        <w:t> </w:t>
      </w:r>
      <w:r w:rsidR="00BC358E" w:rsidRPr="00BC358E">
        <w:rPr>
          <w:i/>
        </w:rPr>
        <w:t>SKA-167/201</w:t>
      </w:r>
      <w:r w:rsidR="00F95B02">
        <w:rPr>
          <w:i/>
        </w:rPr>
        <w:t>8 (</w:t>
      </w:r>
      <w:hyperlink r:id="rId9" w:history="1">
        <w:r w:rsidR="00F95B02" w:rsidRPr="005F37E5">
          <w:rPr>
            <w:i/>
          </w:rPr>
          <w:t>ECLI:LV:AT:2018:0622.A420225314.3.S</w:t>
        </w:r>
      </w:hyperlink>
      <w:r w:rsidR="00F95B02">
        <w:rPr>
          <w:i/>
        </w:rPr>
        <w:t>)</w:t>
      </w:r>
      <w:r w:rsidR="00BC358E" w:rsidRPr="00BC358E">
        <w:rPr>
          <w:i/>
        </w:rPr>
        <w:t xml:space="preserve"> </w:t>
      </w:r>
      <w:bookmarkEnd w:id="0"/>
      <w:r w:rsidR="00BC358E" w:rsidRPr="00BC358E">
        <w:rPr>
          <w:i/>
        </w:rPr>
        <w:t>15.punkt</w:t>
      </w:r>
      <w:r w:rsidR="00F95B02">
        <w:rPr>
          <w:i/>
        </w:rPr>
        <w:t>s</w:t>
      </w:r>
      <w:r w:rsidR="00BC358E" w:rsidRPr="005F37E5">
        <w:t>)</w:t>
      </w:r>
      <w:r w:rsidR="00BC358E" w:rsidRPr="00BC358E">
        <w:rPr>
          <w:i/>
        </w:rPr>
        <w:t>.</w:t>
      </w:r>
    </w:p>
    <w:p w14:paraId="2D61429D" w14:textId="77777777" w:rsidR="002F0D1B" w:rsidRDefault="002F0D1B">
      <w:pPr>
        <w:spacing w:line="276" w:lineRule="auto"/>
        <w:ind w:firstLine="567"/>
        <w:jc w:val="both"/>
      </w:pPr>
    </w:p>
    <w:p w14:paraId="58AF0B2D" w14:textId="34E28B88" w:rsidR="00DD47D7" w:rsidRDefault="002F0D1B" w:rsidP="00DD47D7">
      <w:pPr>
        <w:spacing w:line="276" w:lineRule="auto"/>
        <w:ind w:firstLine="567"/>
        <w:jc w:val="both"/>
      </w:pPr>
      <w:r>
        <w:t>[</w:t>
      </w:r>
      <w:r w:rsidR="006D2870">
        <w:t>11</w:t>
      </w:r>
      <w:r>
        <w:t xml:space="preserve">] </w:t>
      </w:r>
      <w:r w:rsidR="00DD47D7">
        <w:t xml:space="preserve">Apkopojot minēto, pārsūdzētais </w:t>
      </w:r>
      <w:r w:rsidR="00DD6996">
        <w:t xml:space="preserve">apgabaltiesas </w:t>
      </w:r>
      <w:r w:rsidR="00DD47D7">
        <w:t xml:space="preserve">spriedums </w:t>
      </w:r>
      <w:r w:rsidR="00A35464">
        <w:t>ir atceļams un lieta nododama jaunai izskatīšanai.</w:t>
      </w:r>
    </w:p>
    <w:p w14:paraId="10D8D9EC" w14:textId="0577C672" w:rsidR="003047F5" w:rsidRPr="0082381C" w:rsidRDefault="003047F5" w:rsidP="00B261E0">
      <w:pPr>
        <w:spacing w:line="276" w:lineRule="auto"/>
        <w:jc w:val="both"/>
      </w:pPr>
    </w:p>
    <w:p w14:paraId="6A2CDC64" w14:textId="77777777" w:rsidR="003047F5" w:rsidRPr="0082381C" w:rsidRDefault="003047F5" w:rsidP="000B0A3A">
      <w:pPr>
        <w:spacing w:line="276" w:lineRule="auto"/>
        <w:jc w:val="center"/>
        <w:rPr>
          <w:b/>
        </w:rPr>
      </w:pPr>
      <w:r w:rsidRPr="0082381C">
        <w:rPr>
          <w:b/>
        </w:rPr>
        <w:t>Rezolutīvā daļa</w:t>
      </w:r>
    </w:p>
    <w:p w14:paraId="560FE83B" w14:textId="77777777" w:rsidR="003047F5" w:rsidRPr="0082381C" w:rsidRDefault="003047F5" w:rsidP="000B0A3A">
      <w:pPr>
        <w:spacing w:line="276" w:lineRule="auto"/>
        <w:ind w:firstLine="567"/>
        <w:jc w:val="both"/>
        <w:rPr>
          <w:bCs/>
          <w:spacing w:val="70"/>
        </w:rPr>
      </w:pPr>
    </w:p>
    <w:p w14:paraId="3E68B069" w14:textId="28E7F73E" w:rsidR="00A35464" w:rsidRPr="00A35464" w:rsidRDefault="003047F5" w:rsidP="00A35464">
      <w:pPr>
        <w:spacing w:line="276" w:lineRule="auto"/>
        <w:ind w:firstLine="567"/>
        <w:jc w:val="both"/>
        <w:rPr>
          <w:rFonts w:eastAsiaTheme="minorHAnsi"/>
          <w:lang w:eastAsia="en-US"/>
        </w:rPr>
      </w:pPr>
      <w:r w:rsidRPr="0082381C">
        <w:t xml:space="preserve">Pamatojoties uz </w:t>
      </w:r>
      <w:r w:rsidR="00941626" w:rsidRPr="0082381C">
        <w:rPr>
          <w:rFonts w:eastAsiaTheme="minorHAnsi"/>
          <w:lang w:eastAsia="en-US"/>
        </w:rPr>
        <w:t xml:space="preserve">Administratīvā procesa likuma </w:t>
      </w:r>
      <w:proofErr w:type="gramStart"/>
      <w:r w:rsidR="00A35464" w:rsidRPr="00A35464">
        <w:rPr>
          <w:rFonts w:eastAsiaTheme="minorHAnsi"/>
          <w:lang w:eastAsia="en-US"/>
        </w:rPr>
        <w:t>348.panta</w:t>
      </w:r>
      <w:proofErr w:type="gramEnd"/>
      <w:r w:rsidR="00A35464" w:rsidRPr="00A35464">
        <w:rPr>
          <w:rFonts w:eastAsiaTheme="minorHAnsi"/>
          <w:lang w:eastAsia="en-US"/>
        </w:rPr>
        <w:t xml:space="preserve"> pirmās daļas 2.punktu un 351.pantu, </w:t>
      </w:r>
      <w:r w:rsidR="006D2870">
        <w:rPr>
          <w:rFonts w:eastAsiaTheme="minorHAnsi"/>
          <w:lang w:eastAsia="en-US"/>
        </w:rPr>
        <w:t>Senāts</w:t>
      </w:r>
    </w:p>
    <w:p w14:paraId="51447C8B" w14:textId="77777777" w:rsidR="00A35464" w:rsidRPr="00A35464" w:rsidRDefault="00A35464" w:rsidP="00A35464">
      <w:pPr>
        <w:spacing w:line="276" w:lineRule="auto"/>
        <w:ind w:firstLine="567"/>
        <w:jc w:val="both"/>
        <w:rPr>
          <w:rFonts w:eastAsiaTheme="minorHAnsi"/>
          <w:lang w:eastAsia="en-US"/>
        </w:rPr>
      </w:pPr>
    </w:p>
    <w:p w14:paraId="4B6AB683" w14:textId="77777777" w:rsidR="00A35464" w:rsidRPr="00A35464" w:rsidRDefault="00A35464" w:rsidP="006D2870">
      <w:pPr>
        <w:spacing w:line="276" w:lineRule="auto"/>
        <w:jc w:val="center"/>
        <w:rPr>
          <w:rFonts w:eastAsiaTheme="minorHAnsi"/>
          <w:b/>
          <w:lang w:eastAsia="en-US"/>
        </w:rPr>
      </w:pPr>
      <w:r w:rsidRPr="00A35464">
        <w:rPr>
          <w:rFonts w:eastAsiaTheme="minorHAnsi"/>
          <w:b/>
          <w:lang w:eastAsia="en-US"/>
        </w:rPr>
        <w:t>nosprieda</w:t>
      </w:r>
    </w:p>
    <w:p w14:paraId="57E8AD82" w14:textId="77777777" w:rsidR="00A35464" w:rsidRPr="00A35464" w:rsidRDefault="00A35464" w:rsidP="00A35464">
      <w:pPr>
        <w:spacing w:line="276" w:lineRule="auto"/>
        <w:ind w:firstLine="567"/>
        <w:jc w:val="both"/>
        <w:rPr>
          <w:rFonts w:eastAsiaTheme="minorHAnsi"/>
          <w:lang w:eastAsia="en-US"/>
        </w:rPr>
      </w:pPr>
    </w:p>
    <w:p w14:paraId="14553FFA" w14:textId="1230D2C5" w:rsidR="00A35464" w:rsidRPr="00A35464" w:rsidRDefault="00A35464" w:rsidP="00A35464">
      <w:pPr>
        <w:spacing w:line="276" w:lineRule="auto"/>
        <w:ind w:firstLine="567"/>
        <w:jc w:val="both"/>
        <w:rPr>
          <w:rFonts w:eastAsiaTheme="minorHAnsi"/>
          <w:lang w:eastAsia="en-US"/>
        </w:rPr>
      </w:pPr>
      <w:r w:rsidRPr="00A35464">
        <w:rPr>
          <w:rFonts w:eastAsiaTheme="minorHAnsi"/>
          <w:lang w:eastAsia="en-US"/>
        </w:rPr>
        <w:t xml:space="preserve">atcelt Administratīvās apgabaltiesas </w:t>
      </w:r>
      <w:proofErr w:type="gramStart"/>
      <w:r w:rsidRPr="00A35464">
        <w:rPr>
          <w:rFonts w:eastAsiaTheme="minorHAnsi"/>
          <w:lang w:eastAsia="en-US"/>
        </w:rPr>
        <w:t>20</w:t>
      </w:r>
      <w:r>
        <w:rPr>
          <w:rFonts w:eastAsiaTheme="minorHAnsi"/>
          <w:lang w:eastAsia="en-US"/>
        </w:rPr>
        <w:t>20.gada</w:t>
      </w:r>
      <w:proofErr w:type="gramEnd"/>
      <w:r>
        <w:rPr>
          <w:rFonts w:eastAsiaTheme="minorHAnsi"/>
          <w:lang w:eastAsia="en-US"/>
        </w:rPr>
        <w:t xml:space="preserve"> 17.februāra</w:t>
      </w:r>
      <w:r w:rsidRPr="00A35464">
        <w:rPr>
          <w:rFonts w:eastAsiaTheme="minorHAnsi"/>
          <w:lang w:eastAsia="en-US"/>
        </w:rPr>
        <w:t xml:space="preserve"> spriedumu un nosūtīt lietu jaunai izskatīšanai apelācijas instances tiesai.</w:t>
      </w:r>
    </w:p>
    <w:p w14:paraId="3CDB6F45" w14:textId="7F2995FF" w:rsidR="00A65C09" w:rsidRPr="001B7A80" w:rsidRDefault="00941626" w:rsidP="004F7BFF">
      <w:pPr>
        <w:spacing w:line="276" w:lineRule="auto"/>
        <w:ind w:firstLine="567"/>
        <w:jc w:val="both"/>
      </w:pPr>
      <w:r w:rsidRPr="0082381C">
        <w:t xml:space="preserve">Spriedums </w:t>
      </w:r>
      <w:r w:rsidR="00A6596A" w:rsidRPr="0082381C">
        <w:t>nav pārsūdzams.</w:t>
      </w:r>
    </w:p>
    <w:sectPr w:rsidR="00A65C09" w:rsidRPr="001B7A80" w:rsidSect="00A659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3A324" w14:textId="77777777" w:rsidR="0017117D" w:rsidRDefault="0017117D" w:rsidP="003047F5">
      <w:r>
        <w:separator/>
      </w:r>
    </w:p>
  </w:endnote>
  <w:endnote w:type="continuationSeparator" w:id="0">
    <w:p w14:paraId="5A69A414" w14:textId="77777777" w:rsidR="0017117D" w:rsidRDefault="0017117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C3FCB" w14:textId="6378B98E" w:rsidR="0002170D" w:rsidRDefault="0002170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E05BD">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515B3">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99EC2" w14:textId="77777777" w:rsidR="0017117D" w:rsidRDefault="0017117D" w:rsidP="003047F5">
      <w:r>
        <w:separator/>
      </w:r>
    </w:p>
  </w:footnote>
  <w:footnote w:type="continuationSeparator" w:id="0">
    <w:p w14:paraId="1B78CF99" w14:textId="77777777" w:rsidR="0017117D" w:rsidRDefault="0017117D"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D7E77"/>
    <w:multiLevelType w:val="hybridMultilevel"/>
    <w:tmpl w:val="2478981E"/>
    <w:lvl w:ilvl="0" w:tplc="04260013">
      <w:start w:val="1"/>
      <w:numFmt w:val="upperRoman"/>
      <w:lvlText w:val="%1."/>
      <w:lvlJc w:val="right"/>
      <w:pPr>
        <w:tabs>
          <w:tab w:val="num" w:pos="720"/>
        </w:tabs>
        <w:ind w:left="720" w:hanging="360"/>
      </w:pPr>
    </w:lvl>
    <w:lvl w:ilvl="1" w:tplc="151426A6">
      <w:numFmt w:val="none"/>
      <w:lvlText w:val=""/>
      <w:lvlJc w:val="left"/>
      <w:pPr>
        <w:tabs>
          <w:tab w:val="num" w:pos="360"/>
        </w:tabs>
        <w:ind w:left="0" w:firstLine="0"/>
      </w:pPr>
    </w:lvl>
    <w:lvl w:ilvl="2" w:tplc="01D4A4AE">
      <w:numFmt w:val="none"/>
      <w:lvlText w:val=""/>
      <w:lvlJc w:val="left"/>
      <w:pPr>
        <w:tabs>
          <w:tab w:val="num" w:pos="360"/>
        </w:tabs>
        <w:ind w:left="0" w:firstLine="0"/>
      </w:pPr>
    </w:lvl>
    <w:lvl w:ilvl="3" w:tplc="4070789E">
      <w:numFmt w:val="none"/>
      <w:lvlText w:val=""/>
      <w:lvlJc w:val="left"/>
      <w:pPr>
        <w:tabs>
          <w:tab w:val="num" w:pos="360"/>
        </w:tabs>
        <w:ind w:left="0" w:firstLine="0"/>
      </w:pPr>
    </w:lvl>
    <w:lvl w:ilvl="4" w:tplc="D5E09C80">
      <w:numFmt w:val="none"/>
      <w:lvlText w:val=""/>
      <w:lvlJc w:val="left"/>
      <w:pPr>
        <w:tabs>
          <w:tab w:val="num" w:pos="360"/>
        </w:tabs>
        <w:ind w:left="0" w:firstLine="0"/>
      </w:pPr>
    </w:lvl>
    <w:lvl w:ilvl="5" w:tplc="623AA918">
      <w:numFmt w:val="none"/>
      <w:lvlText w:val=""/>
      <w:lvlJc w:val="left"/>
      <w:pPr>
        <w:tabs>
          <w:tab w:val="num" w:pos="360"/>
        </w:tabs>
        <w:ind w:left="0" w:firstLine="0"/>
      </w:pPr>
    </w:lvl>
    <w:lvl w:ilvl="6" w:tplc="A8181320">
      <w:numFmt w:val="none"/>
      <w:lvlText w:val=""/>
      <w:lvlJc w:val="left"/>
      <w:pPr>
        <w:tabs>
          <w:tab w:val="num" w:pos="360"/>
        </w:tabs>
        <w:ind w:left="0" w:firstLine="0"/>
      </w:pPr>
    </w:lvl>
    <w:lvl w:ilvl="7" w:tplc="36D2615A">
      <w:numFmt w:val="none"/>
      <w:lvlText w:val=""/>
      <w:lvlJc w:val="left"/>
      <w:pPr>
        <w:tabs>
          <w:tab w:val="num" w:pos="360"/>
        </w:tabs>
        <w:ind w:left="0" w:firstLine="0"/>
      </w:pPr>
    </w:lvl>
    <w:lvl w:ilvl="8" w:tplc="1D38663C">
      <w:numFmt w:val="none"/>
      <w:lvlText w:val=""/>
      <w:lvlJc w:val="left"/>
      <w:pPr>
        <w:tabs>
          <w:tab w:val="num" w:pos="360"/>
        </w:tabs>
        <w:ind w:left="0" w:firstLine="0"/>
      </w:pPr>
    </w:lvl>
  </w:abstractNum>
  <w:abstractNum w:abstractNumId="1" w15:restartNumberingAfterBreak="0">
    <w:nsid w:val="4ED216D7"/>
    <w:multiLevelType w:val="hybridMultilevel"/>
    <w:tmpl w:val="942604D2"/>
    <w:lvl w:ilvl="0" w:tplc="A470F55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7C64552"/>
    <w:multiLevelType w:val="hybridMultilevel"/>
    <w:tmpl w:val="71CAF416"/>
    <w:lvl w:ilvl="0" w:tplc="9E406EA6">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2"/>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BCA"/>
    <w:rsid w:val="00011668"/>
    <w:rsid w:val="0001376B"/>
    <w:rsid w:val="00015F11"/>
    <w:rsid w:val="00016346"/>
    <w:rsid w:val="0002170D"/>
    <w:rsid w:val="00045B14"/>
    <w:rsid w:val="00047346"/>
    <w:rsid w:val="00051B49"/>
    <w:rsid w:val="00054730"/>
    <w:rsid w:val="0005574B"/>
    <w:rsid w:val="00065102"/>
    <w:rsid w:val="0006691A"/>
    <w:rsid w:val="000708AF"/>
    <w:rsid w:val="00070BA4"/>
    <w:rsid w:val="00074E07"/>
    <w:rsid w:val="0007560A"/>
    <w:rsid w:val="000756B4"/>
    <w:rsid w:val="0008352A"/>
    <w:rsid w:val="00091E7D"/>
    <w:rsid w:val="000A274D"/>
    <w:rsid w:val="000A7CF6"/>
    <w:rsid w:val="000B0A3A"/>
    <w:rsid w:val="000C38F4"/>
    <w:rsid w:val="000D694E"/>
    <w:rsid w:val="000E67FA"/>
    <w:rsid w:val="000F7A2E"/>
    <w:rsid w:val="0010282A"/>
    <w:rsid w:val="00105581"/>
    <w:rsid w:val="00107DFD"/>
    <w:rsid w:val="001108D8"/>
    <w:rsid w:val="00123F78"/>
    <w:rsid w:val="00124C3E"/>
    <w:rsid w:val="00127BD4"/>
    <w:rsid w:val="00143E05"/>
    <w:rsid w:val="001537F3"/>
    <w:rsid w:val="001548D7"/>
    <w:rsid w:val="001619EA"/>
    <w:rsid w:val="001646E9"/>
    <w:rsid w:val="00164C43"/>
    <w:rsid w:val="00171011"/>
    <w:rsid w:val="0017117D"/>
    <w:rsid w:val="00177C16"/>
    <w:rsid w:val="0018433F"/>
    <w:rsid w:val="001858C2"/>
    <w:rsid w:val="00185C07"/>
    <w:rsid w:val="00190108"/>
    <w:rsid w:val="00190853"/>
    <w:rsid w:val="0019238A"/>
    <w:rsid w:val="00196462"/>
    <w:rsid w:val="001A0495"/>
    <w:rsid w:val="001B28C7"/>
    <w:rsid w:val="001B4850"/>
    <w:rsid w:val="001B6E54"/>
    <w:rsid w:val="001B7A80"/>
    <w:rsid w:val="001C1A3E"/>
    <w:rsid w:val="001C5832"/>
    <w:rsid w:val="001D4310"/>
    <w:rsid w:val="001E35E9"/>
    <w:rsid w:val="001E3A09"/>
    <w:rsid w:val="001E6CB8"/>
    <w:rsid w:val="001F0473"/>
    <w:rsid w:val="001F52E3"/>
    <w:rsid w:val="00201FCD"/>
    <w:rsid w:val="0020682A"/>
    <w:rsid w:val="002171BB"/>
    <w:rsid w:val="00223C71"/>
    <w:rsid w:val="00224190"/>
    <w:rsid w:val="00234CBA"/>
    <w:rsid w:val="00236E52"/>
    <w:rsid w:val="00237F92"/>
    <w:rsid w:val="00240210"/>
    <w:rsid w:val="00243249"/>
    <w:rsid w:val="002453BA"/>
    <w:rsid w:val="00246473"/>
    <w:rsid w:val="00257C42"/>
    <w:rsid w:val="00260F46"/>
    <w:rsid w:val="00263711"/>
    <w:rsid w:val="002648D5"/>
    <w:rsid w:val="00270D2F"/>
    <w:rsid w:val="0027469B"/>
    <w:rsid w:val="002748A8"/>
    <w:rsid w:val="00287923"/>
    <w:rsid w:val="00293462"/>
    <w:rsid w:val="002957EE"/>
    <w:rsid w:val="00297082"/>
    <w:rsid w:val="002A271E"/>
    <w:rsid w:val="002A335F"/>
    <w:rsid w:val="002A34B5"/>
    <w:rsid w:val="002A5429"/>
    <w:rsid w:val="002A6D41"/>
    <w:rsid w:val="002B029C"/>
    <w:rsid w:val="002B0BC9"/>
    <w:rsid w:val="002B5F3F"/>
    <w:rsid w:val="002C10BA"/>
    <w:rsid w:val="002C2655"/>
    <w:rsid w:val="002C44C6"/>
    <w:rsid w:val="002C4865"/>
    <w:rsid w:val="002C79EF"/>
    <w:rsid w:val="002D2229"/>
    <w:rsid w:val="002D6A08"/>
    <w:rsid w:val="002F0D1B"/>
    <w:rsid w:val="003010D6"/>
    <w:rsid w:val="00301A51"/>
    <w:rsid w:val="003047F5"/>
    <w:rsid w:val="0030627F"/>
    <w:rsid w:val="003069A8"/>
    <w:rsid w:val="00326B7D"/>
    <w:rsid w:val="003314AB"/>
    <w:rsid w:val="00333EED"/>
    <w:rsid w:val="00343243"/>
    <w:rsid w:val="0034481D"/>
    <w:rsid w:val="003465BC"/>
    <w:rsid w:val="0035346E"/>
    <w:rsid w:val="00354F38"/>
    <w:rsid w:val="003666DD"/>
    <w:rsid w:val="00371703"/>
    <w:rsid w:val="00371B08"/>
    <w:rsid w:val="00385104"/>
    <w:rsid w:val="00387E26"/>
    <w:rsid w:val="00397E37"/>
    <w:rsid w:val="003B5D4C"/>
    <w:rsid w:val="003B6206"/>
    <w:rsid w:val="003C1B4D"/>
    <w:rsid w:val="003C2B86"/>
    <w:rsid w:val="003C649C"/>
    <w:rsid w:val="003D0DC6"/>
    <w:rsid w:val="003E7228"/>
    <w:rsid w:val="003E73F4"/>
    <w:rsid w:val="003E76FE"/>
    <w:rsid w:val="003F72C4"/>
    <w:rsid w:val="004117B4"/>
    <w:rsid w:val="00415442"/>
    <w:rsid w:val="0041674D"/>
    <w:rsid w:val="00424B84"/>
    <w:rsid w:val="00426DA0"/>
    <w:rsid w:val="0043182C"/>
    <w:rsid w:val="00436E7A"/>
    <w:rsid w:val="004411CE"/>
    <w:rsid w:val="00451913"/>
    <w:rsid w:val="00453B8B"/>
    <w:rsid w:val="00454226"/>
    <w:rsid w:val="00455C73"/>
    <w:rsid w:val="00461AC9"/>
    <w:rsid w:val="00464AB7"/>
    <w:rsid w:val="0047210A"/>
    <w:rsid w:val="00473241"/>
    <w:rsid w:val="004770A6"/>
    <w:rsid w:val="00491DEC"/>
    <w:rsid w:val="004A4903"/>
    <w:rsid w:val="004B3D3C"/>
    <w:rsid w:val="004C11D7"/>
    <w:rsid w:val="004C264F"/>
    <w:rsid w:val="004D6B18"/>
    <w:rsid w:val="004F7BFF"/>
    <w:rsid w:val="005010E9"/>
    <w:rsid w:val="005142E6"/>
    <w:rsid w:val="00520A63"/>
    <w:rsid w:val="00521A02"/>
    <w:rsid w:val="00522E11"/>
    <w:rsid w:val="00522F98"/>
    <w:rsid w:val="0053169D"/>
    <w:rsid w:val="00535821"/>
    <w:rsid w:val="00543E46"/>
    <w:rsid w:val="005523A4"/>
    <w:rsid w:val="00552628"/>
    <w:rsid w:val="0055567D"/>
    <w:rsid w:val="005640B5"/>
    <w:rsid w:val="00564DF4"/>
    <w:rsid w:val="0057196B"/>
    <w:rsid w:val="00572C58"/>
    <w:rsid w:val="005739BC"/>
    <w:rsid w:val="00576D9D"/>
    <w:rsid w:val="00583664"/>
    <w:rsid w:val="00591F43"/>
    <w:rsid w:val="00596EE9"/>
    <w:rsid w:val="005A26BB"/>
    <w:rsid w:val="005A5FC6"/>
    <w:rsid w:val="005A6734"/>
    <w:rsid w:val="005B1BE2"/>
    <w:rsid w:val="005B1D4E"/>
    <w:rsid w:val="005B51F0"/>
    <w:rsid w:val="005C4A6F"/>
    <w:rsid w:val="005D39AD"/>
    <w:rsid w:val="005D423E"/>
    <w:rsid w:val="005D4745"/>
    <w:rsid w:val="005D55F9"/>
    <w:rsid w:val="005E05BD"/>
    <w:rsid w:val="005E2C96"/>
    <w:rsid w:val="005F1AB0"/>
    <w:rsid w:val="005F37E5"/>
    <w:rsid w:val="005F39F9"/>
    <w:rsid w:val="005F4635"/>
    <w:rsid w:val="005F53BD"/>
    <w:rsid w:val="005F637D"/>
    <w:rsid w:val="006036CA"/>
    <w:rsid w:val="006145FE"/>
    <w:rsid w:val="00622D70"/>
    <w:rsid w:val="00626C0A"/>
    <w:rsid w:val="00650F36"/>
    <w:rsid w:val="00651B70"/>
    <w:rsid w:val="00652AAD"/>
    <w:rsid w:val="00656BAC"/>
    <w:rsid w:val="00662199"/>
    <w:rsid w:val="00662B08"/>
    <w:rsid w:val="00665441"/>
    <w:rsid w:val="00671C1D"/>
    <w:rsid w:val="00683B9B"/>
    <w:rsid w:val="00685771"/>
    <w:rsid w:val="00685B72"/>
    <w:rsid w:val="00695F4F"/>
    <w:rsid w:val="006A4259"/>
    <w:rsid w:val="006A71BD"/>
    <w:rsid w:val="006B5183"/>
    <w:rsid w:val="006B7BBC"/>
    <w:rsid w:val="006B7C93"/>
    <w:rsid w:val="006D2870"/>
    <w:rsid w:val="006F5D3B"/>
    <w:rsid w:val="00711154"/>
    <w:rsid w:val="007246C5"/>
    <w:rsid w:val="00735298"/>
    <w:rsid w:val="007354A0"/>
    <w:rsid w:val="007513C3"/>
    <w:rsid w:val="00756534"/>
    <w:rsid w:val="00766E2B"/>
    <w:rsid w:val="007709C7"/>
    <w:rsid w:val="00783519"/>
    <w:rsid w:val="00784079"/>
    <w:rsid w:val="007846A6"/>
    <w:rsid w:val="00785343"/>
    <w:rsid w:val="00793EDC"/>
    <w:rsid w:val="00796CFE"/>
    <w:rsid w:val="007A12EA"/>
    <w:rsid w:val="007A1D5E"/>
    <w:rsid w:val="007A520A"/>
    <w:rsid w:val="007A58CE"/>
    <w:rsid w:val="007B015C"/>
    <w:rsid w:val="007B363D"/>
    <w:rsid w:val="007B3DB1"/>
    <w:rsid w:val="007B68ED"/>
    <w:rsid w:val="007C0509"/>
    <w:rsid w:val="007C13B9"/>
    <w:rsid w:val="007D2FAE"/>
    <w:rsid w:val="007E3719"/>
    <w:rsid w:val="007F1904"/>
    <w:rsid w:val="007F63B9"/>
    <w:rsid w:val="0080038B"/>
    <w:rsid w:val="008011EC"/>
    <w:rsid w:val="00803FB5"/>
    <w:rsid w:val="0082381C"/>
    <w:rsid w:val="00833668"/>
    <w:rsid w:val="008367B8"/>
    <w:rsid w:val="008372A1"/>
    <w:rsid w:val="008570F8"/>
    <w:rsid w:val="00870591"/>
    <w:rsid w:val="008717B6"/>
    <w:rsid w:val="008860F8"/>
    <w:rsid w:val="008936E1"/>
    <w:rsid w:val="008A3B69"/>
    <w:rsid w:val="008A633C"/>
    <w:rsid w:val="008B6ADC"/>
    <w:rsid w:val="008C5439"/>
    <w:rsid w:val="008D2054"/>
    <w:rsid w:val="008D2A01"/>
    <w:rsid w:val="008D45E5"/>
    <w:rsid w:val="008D4812"/>
    <w:rsid w:val="008E47CF"/>
    <w:rsid w:val="008F6DB3"/>
    <w:rsid w:val="008F6F1A"/>
    <w:rsid w:val="00915987"/>
    <w:rsid w:val="009229FE"/>
    <w:rsid w:val="00927372"/>
    <w:rsid w:val="00931357"/>
    <w:rsid w:val="00933011"/>
    <w:rsid w:val="00934CC7"/>
    <w:rsid w:val="009353DB"/>
    <w:rsid w:val="00941626"/>
    <w:rsid w:val="00951E82"/>
    <w:rsid w:val="00953DBA"/>
    <w:rsid w:val="00953EA7"/>
    <w:rsid w:val="009639F7"/>
    <w:rsid w:val="0098023E"/>
    <w:rsid w:val="009818E3"/>
    <w:rsid w:val="009834D2"/>
    <w:rsid w:val="00997B62"/>
    <w:rsid w:val="009A1C75"/>
    <w:rsid w:val="009A58F6"/>
    <w:rsid w:val="009A7358"/>
    <w:rsid w:val="009C7AD4"/>
    <w:rsid w:val="009D0CBF"/>
    <w:rsid w:val="009D3936"/>
    <w:rsid w:val="009D6C92"/>
    <w:rsid w:val="009E046F"/>
    <w:rsid w:val="009E6721"/>
    <w:rsid w:val="009E6FA3"/>
    <w:rsid w:val="009E72E7"/>
    <w:rsid w:val="009F0E52"/>
    <w:rsid w:val="00A00062"/>
    <w:rsid w:val="00A12964"/>
    <w:rsid w:val="00A35464"/>
    <w:rsid w:val="00A4387F"/>
    <w:rsid w:val="00A515B3"/>
    <w:rsid w:val="00A54262"/>
    <w:rsid w:val="00A55FC6"/>
    <w:rsid w:val="00A61A34"/>
    <w:rsid w:val="00A6328C"/>
    <w:rsid w:val="00A6596A"/>
    <w:rsid w:val="00A65C09"/>
    <w:rsid w:val="00A831F1"/>
    <w:rsid w:val="00A953A6"/>
    <w:rsid w:val="00AA3F54"/>
    <w:rsid w:val="00AB264A"/>
    <w:rsid w:val="00AB77D4"/>
    <w:rsid w:val="00AC02C4"/>
    <w:rsid w:val="00AC17FF"/>
    <w:rsid w:val="00AD2A80"/>
    <w:rsid w:val="00AD2C49"/>
    <w:rsid w:val="00AD41A7"/>
    <w:rsid w:val="00AD4492"/>
    <w:rsid w:val="00AE33FB"/>
    <w:rsid w:val="00AE623B"/>
    <w:rsid w:val="00AE7DD7"/>
    <w:rsid w:val="00AF0E8C"/>
    <w:rsid w:val="00AF2237"/>
    <w:rsid w:val="00AF3734"/>
    <w:rsid w:val="00AF4E39"/>
    <w:rsid w:val="00B07935"/>
    <w:rsid w:val="00B10A5C"/>
    <w:rsid w:val="00B21056"/>
    <w:rsid w:val="00B2159C"/>
    <w:rsid w:val="00B261E0"/>
    <w:rsid w:val="00B33A6B"/>
    <w:rsid w:val="00B36182"/>
    <w:rsid w:val="00B37C69"/>
    <w:rsid w:val="00B45132"/>
    <w:rsid w:val="00B540CE"/>
    <w:rsid w:val="00B819CB"/>
    <w:rsid w:val="00B85964"/>
    <w:rsid w:val="00B91FA5"/>
    <w:rsid w:val="00B925D5"/>
    <w:rsid w:val="00BA52A6"/>
    <w:rsid w:val="00BA6AA0"/>
    <w:rsid w:val="00BB1BC0"/>
    <w:rsid w:val="00BB4182"/>
    <w:rsid w:val="00BB5382"/>
    <w:rsid w:val="00BC358E"/>
    <w:rsid w:val="00BC658E"/>
    <w:rsid w:val="00BD1057"/>
    <w:rsid w:val="00BD235B"/>
    <w:rsid w:val="00BD2787"/>
    <w:rsid w:val="00BD5EC1"/>
    <w:rsid w:val="00BD6473"/>
    <w:rsid w:val="00BF424B"/>
    <w:rsid w:val="00C02B53"/>
    <w:rsid w:val="00C03ED1"/>
    <w:rsid w:val="00C0655E"/>
    <w:rsid w:val="00C30DEE"/>
    <w:rsid w:val="00C408DF"/>
    <w:rsid w:val="00C42222"/>
    <w:rsid w:val="00C4308B"/>
    <w:rsid w:val="00C4373F"/>
    <w:rsid w:val="00C43DCE"/>
    <w:rsid w:val="00C70D51"/>
    <w:rsid w:val="00C70DE4"/>
    <w:rsid w:val="00C728F7"/>
    <w:rsid w:val="00C836A2"/>
    <w:rsid w:val="00C83700"/>
    <w:rsid w:val="00C85F55"/>
    <w:rsid w:val="00C86D99"/>
    <w:rsid w:val="00C87400"/>
    <w:rsid w:val="00C91033"/>
    <w:rsid w:val="00CA2169"/>
    <w:rsid w:val="00CA45D5"/>
    <w:rsid w:val="00CA5D50"/>
    <w:rsid w:val="00CC02DE"/>
    <w:rsid w:val="00CD3964"/>
    <w:rsid w:val="00CD4F11"/>
    <w:rsid w:val="00CE0B33"/>
    <w:rsid w:val="00CE423E"/>
    <w:rsid w:val="00CE5B15"/>
    <w:rsid w:val="00CF2091"/>
    <w:rsid w:val="00D027EF"/>
    <w:rsid w:val="00D104E5"/>
    <w:rsid w:val="00D16365"/>
    <w:rsid w:val="00D26998"/>
    <w:rsid w:val="00D31B22"/>
    <w:rsid w:val="00D3210B"/>
    <w:rsid w:val="00D371CA"/>
    <w:rsid w:val="00D538B3"/>
    <w:rsid w:val="00D63500"/>
    <w:rsid w:val="00D7028E"/>
    <w:rsid w:val="00D7177F"/>
    <w:rsid w:val="00D74262"/>
    <w:rsid w:val="00D87494"/>
    <w:rsid w:val="00D87AE6"/>
    <w:rsid w:val="00D87DB1"/>
    <w:rsid w:val="00DA2F71"/>
    <w:rsid w:val="00DA5114"/>
    <w:rsid w:val="00DB22F2"/>
    <w:rsid w:val="00DB2D83"/>
    <w:rsid w:val="00DB3EF7"/>
    <w:rsid w:val="00DB548D"/>
    <w:rsid w:val="00DB7048"/>
    <w:rsid w:val="00DB7E45"/>
    <w:rsid w:val="00DC1732"/>
    <w:rsid w:val="00DC5FC0"/>
    <w:rsid w:val="00DC648F"/>
    <w:rsid w:val="00DC7099"/>
    <w:rsid w:val="00DD47D7"/>
    <w:rsid w:val="00DD5172"/>
    <w:rsid w:val="00DD5C7C"/>
    <w:rsid w:val="00DD6996"/>
    <w:rsid w:val="00DD6AE2"/>
    <w:rsid w:val="00DD7825"/>
    <w:rsid w:val="00DD7F53"/>
    <w:rsid w:val="00DE208D"/>
    <w:rsid w:val="00DE5844"/>
    <w:rsid w:val="00DE6BFE"/>
    <w:rsid w:val="00DF0CB9"/>
    <w:rsid w:val="00DF5013"/>
    <w:rsid w:val="00E06B7E"/>
    <w:rsid w:val="00E15022"/>
    <w:rsid w:val="00E25B9A"/>
    <w:rsid w:val="00E2723B"/>
    <w:rsid w:val="00E274AB"/>
    <w:rsid w:val="00E27E69"/>
    <w:rsid w:val="00E34246"/>
    <w:rsid w:val="00E362C9"/>
    <w:rsid w:val="00E371D7"/>
    <w:rsid w:val="00E425E7"/>
    <w:rsid w:val="00E47A16"/>
    <w:rsid w:val="00E5207C"/>
    <w:rsid w:val="00E5671F"/>
    <w:rsid w:val="00E6030A"/>
    <w:rsid w:val="00E60622"/>
    <w:rsid w:val="00E70302"/>
    <w:rsid w:val="00E84B75"/>
    <w:rsid w:val="00E87AA1"/>
    <w:rsid w:val="00E87F0F"/>
    <w:rsid w:val="00E9000E"/>
    <w:rsid w:val="00EA013D"/>
    <w:rsid w:val="00EA01A7"/>
    <w:rsid w:val="00EA02D4"/>
    <w:rsid w:val="00EA2D88"/>
    <w:rsid w:val="00EA3A97"/>
    <w:rsid w:val="00EB58CA"/>
    <w:rsid w:val="00EC5534"/>
    <w:rsid w:val="00ED562E"/>
    <w:rsid w:val="00EE1913"/>
    <w:rsid w:val="00EE1989"/>
    <w:rsid w:val="00EE683F"/>
    <w:rsid w:val="00EE6D67"/>
    <w:rsid w:val="00EF3F2A"/>
    <w:rsid w:val="00F01905"/>
    <w:rsid w:val="00F03EE5"/>
    <w:rsid w:val="00F1068D"/>
    <w:rsid w:val="00F13D3C"/>
    <w:rsid w:val="00F15D38"/>
    <w:rsid w:val="00F170E7"/>
    <w:rsid w:val="00F221BF"/>
    <w:rsid w:val="00F43FAD"/>
    <w:rsid w:val="00F45974"/>
    <w:rsid w:val="00F637BB"/>
    <w:rsid w:val="00F65EDB"/>
    <w:rsid w:val="00F7048C"/>
    <w:rsid w:val="00F74ECD"/>
    <w:rsid w:val="00F81367"/>
    <w:rsid w:val="00F95B02"/>
    <w:rsid w:val="00FA413B"/>
    <w:rsid w:val="00FB0D21"/>
    <w:rsid w:val="00FB560B"/>
    <w:rsid w:val="00FB73B2"/>
    <w:rsid w:val="00FC4CCD"/>
    <w:rsid w:val="00FC5AE2"/>
    <w:rsid w:val="00FD0DC1"/>
    <w:rsid w:val="00FD25E0"/>
    <w:rsid w:val="00FD6AB6"/>
    <w:rsid w:val="00FD703F"/>
    <w:rsid w:val="00FE4954"/>
    <w:rsid w:val="00FE4F82"/>
    <w:rsid w:val="00FF0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BE2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030A"/>
    <w:pPr>
      <w:ind w:left="720"/>
      <w:contextualSpacing/>
    </w:pPr>
  </w:style>
  <w:style w:type="character" w:styleId="Hyperlink">
    <w:name w:val="Hyperlink"/>
    <w:basedOn w:val="DefaultParagraphFont"/>
    <w:uiPriority w:val="99"/>
    <w:unhideWhenUsed/>
    <w:rsid w:val="00F95B02"/>
    <w:rPr>
      <w:color w:val="0000FF"/>
      <w:u w:val="single"/>
    </w:rPr>
  </w:style>
  <w:style w:type="character" w:styleId="UnresolvedMention">
    <w:name w:val="Unresolved Mention"/>
    <w:basedOn w:val="DefaultParagraphFont"/>
    <w:uiPriority w:val="99"/>
    <w:semiHidden/>
    <w:unhideWhenUsed/>
    <w:rsid w:val="0007560A"/>
    <w:rPr>
      <w:color w:val="605E5C"/>
      <w:shd w:val="clear" w:color="auto" w:fill="E1DFDD"/>
    </w:rPr>
  </w:style>
  <w:style w:type="character" w:styleId="FollowedHyperlink">
    <w:name w:val="FollowedHyperlink"/>
    <w:basedOn w:val="DefaultParagraphFont"/>
    <w:uiPriority w:val="99"/>
    <w:semiHidden/>
    <w:unhideWhenUsed/>
    <w:rsid w:val="000756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468527">
      <w:bodyDiv w:val="1"/>
      <w:marLeft w:val="0"/>
      <w:marRight w:val="0"/>
      <w:marTop w:val="0"/>
      <w:marBottom w:val="0"/>
      <w:divBdr>
        <w:top w:val="none" w:sz="0" w:space="0" w:color="auto"/>
        <w:left w:val="none" w:sz="0" w:space="0" w:color="auto"/>
        <w:bottom w:val="none" w:sz="0" w:space="0" w:color="auto"/>
        <w:right w:val="none" w:sz="0" w:space="0" w:color="auto"/>
      </w:divBdr>
    </w:div>
    <w:div w:id="1423797032">
      <w:bodyDiv w:val="1"/>
      <w:marLeft w:val="0"/>
      <w:marRight w:val="0"/>
      <w:marTop w:val="0"/>
      <w:marBottom w:val="0"/>
      <w:divBdr>
        <w:top w:val="none" w:sz="0" w:space="0" w:color="auto"/>
        <w:left w:val="none" w:sz="0" w:space="0" w:color="auto"/>
        <w:bottom w:val="none" w:sz="0" w:space="0" w:color="auto"/>
        <w:right w:val="none" w:sz="0" w:space="0" w:color="auto"/>
      </w:divBdr>
    </w:div>
    <w:div w:id="15014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208.A420238018.18.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s.ta.gov.lv/tisreal?Form=STAT_PROC_ENTER&amp;task=edit&amp;procid=64804528&amp;topmenuid=212&amp;stack=https%3A//tis.ta.gov.lv/tisreal%3F%26AjaxB%3D1%26Form%3DregProcListNew%26topmenuid%3D212%26liststart%3D1%26jformat%3D1%26jtype%3D2%26extseek%3D0%26DocType%3D0%26stack%3Dhttps%2525253A//tis.ta.gov.lv/tisreal%2525253FForm%2525253DTISBLANK%26objsubtype%3D-1%26%3D%25C5%25A0odien%26%3D%25C5%25A0oned%25C4%2593%25C4%25BC%26%3D%25C5%25A0om%25C4%2593nes%26activeyear%3D2018%26procnum%3D0167%26sort%3D1%26liststep%3D10%26%3DPar%25C4%2581d%25C4%25ABt%26plparam1%3Dlist%26pljmimetype%3D1%26%3DIzdruk%25C4%2581t%26%3DAtv%25C4%2593rt%26%3DAtv%25C4%2593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71B6-38D1-4803-B44E-C7985D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12631</Words>
  <Characters>7200</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2020-12-15T07:11:00Z</dcterms:created>
  <dcterms:modified xsi:type="dcterms:W3CDTF">2020-12-16T14:01:00Z</dcterms:modified>
</cp:coreProperties>
</file>