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BB51C" w14:textId="1ED3B043" w:rsidR="00A11C64" w:rsidRDefault="008A07C3" w:rsidP="008A07C3">
      <w:pPr>
        <w:spacing w:after="0" w:line="276" w:lineRule="auto"/>
        <w:jc w:val="both"/>
        <w:rPr>
          <w:rFonts w:eastAsia="Times New Roman" w:cs="Times New Roman"/>
          <w:szCs w:val="24"/>
        </w:rPr>
      </w:pPr>
      <w:r>
        <w:rPr>
          <w:b/>
          <w:bCs/>
        </w:rPr>
        <w:t>Drošības līdzekļa – apcietinājuma – piemērošana</w:t>
      </w:r>
    </w:p>
    <w:p w14:paraId="6808CE50" w14:textId="24F9D9E8" w:rsidR="008F060C" w:rsidRDefault="008F060C" w:rsidP="008F060C">
      <w:pPr>
        <w:spacing w:after="0" w:line="276" w:lineRule="auto"/>
        <w:jc w:val="right"/>
        <w:rPr>
          <w:rFonts w:eastAsia="Times New Roman" w:cs="Times New Roman"/>
          <w:szCs w:val="24"/>
        </w:rPr>
      </w:pPr>
    </w:p>
    <w:p w14:paraId="34DFC93A" w14:textId="2E7E57D9" w:rsidR="008F060C" w:rsidRDefault="008F060C" w:rsidP="008F060C">
      <w:pPr>
        <w:spacing w:after="0" w:line="276" w:lineRule="auto"/>
        <w:jc w:val="right"/>
        <w:rPr>
          <w:rFonts w:eastAsia="Times New Roman" w:cs="Times New Roman"/>
          <w:szCs w:val="24"/>
        </w:rPr>
      </w:pPr>
    </w:p>
    <w:p w14:paraId="27513E52" w14:textId="77777777" w:rsidR="00804BDA" w:rsidRPr="00804BDA" w:rsidRDefault="00804BDA" w:rsidP="00804BDA">
      <w:pPr>
        <w:spacing w:after="0" w:line="276" w:lineRule="auto"/>
        <w:jc w:val="center"/>
        <w:rPr>
          <w:rFonts w:eastAsia="Times New Roman" w:cs="Times New Roman"/>
          <w:b/>
          <w:bCs/>
          <w:szCs w:val="24"/>
        </w:rPr>
      </w:pPr>
      <w:r w:rsidRPr="00804BDA">
        <w:rPr>
          <w:rFonts w:eastAsia="Times New Roman" w:cs="Times New Roman"/>
          <w:b/>
          <w:bCs/>
          <w:szCs w:val="24"/>
        </w:rPr>
        <w:t xml:space="preserve">Latvijas Republikas Senāta </w:t>
      </w:r>
    </w:p>
    <w:p w14:paraId="54FF554B" w14:textId="77777777" w:rsidR="00804BDA" w:rsidRDefault="00804BDA" w:rsidP="00804BDA">
      <w:pPr>
        <w:spacing w:after="0" w:line="276" w:lineRule="auto"/>
        <w:jc w:val="center"/>
        <w:rPr>
          <w:rFonts w:eastAsia="Times New Roman" w:cs="Times New Roman"/>
          <w:b/>
          <w:bCs/>
          <w:szCs w:val="24"/>
        </w:rPr>
      </w:pPr>
      <w:r w:rsidRPr="00804BDA">
        <w:rPr>
          <w:rFonts w:eastAsia="Times New Roman" w:cs="Times New Roman"/>
          <w:b/>
          <w:bCs/>
          <w:szCs w:val="24"/>
        </w:rPr>
        <w:t xml:space="preserve">Krimināllietu departamenta </w:t>
      </w:r>
    </w:p>
    <w:p w14:paraId="549D5CC7" w14:textId="0C488412" w:rsidR="00804BDA" w:rsidRPr="00804BDA" w:rsidRDefault="00804BDA" w:rsidP="00804BDA">
      <w:pPr>
        <w:spacing w:after="0" w:line="276" w:lineRule="auto"/>
        <w:jc w:val="center"/>
        <w:rPr>
          <w:rFonts w:eastAsia="Times New Roman" w:cs="Times New Roman"/>
          <w:b/>
          <w:bCs/>
          <w:szCs w:val="24"/>
        </w:rPr>
      </w:pPr>
      <w:r w:rsidRPr="00804BDA">
        <w:rPr>
          <w:rFonts w:eastAsia="Times New Roman" w:cs="Times New Roman"/>
          <w:b/>
          <w:bCs/>
          <w:szCs w:val="24"/>
        </w:rPr>
        <w:t>senatora</w:t>
      </w:r>
    </w:p>
    <w:p w14:paraId="08377AB5" w14:textId="17D40362" w:rsidR="008F060C" w:rsidRPr="00804BDA" w:rsidRDefault="00804BDA" w:rsidP="00804BDA">
      <w:pPr>
        <w:spacing w:after="0" w:line="276" w:lineRule="auto"/>
        <w:jc w:val="center"/>
        <w:rPr>
          <w:rFonts w:eastAsia="Times New Roman" w:cs="Times New Roman"/>
          <w:b/>
          <w:bCs/>
          <w:szCs w:val="24"/>
        </w:rPr>
      </w:pPr>
      <w:proofErr w:type="gramStart"/>
      <w:r w:rsidRPr="00804BDA">
        <w:rPr>
          <w:rFonts w:eastAsia="Times New Roman" w:cs="Times New Roman"/>
          <w:b/>
          <w:bCs/>
          <w:szCs w:val="24"/>
        </w:rPr>
        <w:t>2020.gada</w:t>
      </w:r>
      <w:proofErr w:type="gramEnd"/>
      <w:r w:rsidRPr="00804BDA">
        <w:rPr>
          <w:rFonts w:eastAsia="Times New Roman" w:cs="Times New Roman"/>
          <w:b/>
          <w:bCs/>
          <w:szCs w:val="24"/>
        </w:rPr>
        <w:t xml:space="preserve"> </w:t>
      </w:r>
      <w:r w:rsidR="006D5135">
        <w:rPr>
          <w:rFonts w:eastAsia="Times New Roman" w:cs="Times New Roman"/>
          <w:b/>
          <w:bCs/>
          <w:szCs w:val="24"/>
        </w:rPr>
        <w:t>[..]</w:t>
      </w:r>
    </w:p>
    <w:p w14:paraId="1BDB0ABB" w14:textId="316F1EE7" w:rsidR="00804BDA" w:rsidRPr="00804BDA" w:rsidRDefault="008F060C" w:rsidP="00804BDA">
      <w:pPr>
        <w:spacing w:after="0" w:line="276" w:lineRule="auto"/>
        <w:jc w:val="center"/>
        <w:rPr>
          <w:rFonts w:eastAsia="Times New Roman" w:cs="Times New Roman"/>
          <w:b/>
          <w:bCs/>
          <w:szCs w:val="24"/>
        </w:rPr>
      </w:pPr>
      <w:r w:rsidRPr="00804BDA">
        <w:rPr>
          <w:rFonts w:eastAsia="Times New Roman" w:cs="Times New Roman"/>
          <w:b/>
          <w:bCs/>
          <w:szCs w:val="24"/>
        </w:rPr>
        <w:t>LĒMUMS</w:t>
      </w:r>
      <w:r w:rsidR="00804BDA">
        <w:rPr>
          <w:rStyle w:val="FootnoteReference"/>
          <w:rFonts w:eastAsia="Times New Roman" w:cs="Times New Roman"/>
          <w:b/>
          <w:bCs/>
          <w:szCs w:val="24"/>
        </w:rPr>
        <w:footnoteReference w:id="1"/>
      </w:r>
      <w:r w:rsidR="00804BDA" w:rsidRPr="00804BDA">
        <w:rPr>
          <w:rFonts w:eastAsia="Times New Roman" w:cs="Times New Roman"/>
          <w:b/>
          <w:bCs/>
          <w:szCs w:val="24"/>
        </w:rPr>
        <w:t xml:space="preserve"> </w:t>
      </w:r>
    </w:p>
    <w:p w14:paraId="536B33EA" w14:textId="3248A611" w:rsidR="008F060C" w:rsidRPr="00804BDA" w:rsidRDefault="00804BDA" w:rsidP="00804BDA">
      <w:pPr>
        <w:spacing w:after="0" w:line="276" w:lineRule="auto"/>
        <w:jc w:val="center"/>
        <w:rPr>
          <w:rFonts w:eastAsia="Times New Roman" w:cs="Times New Roman"/>
          <w:b/>
          <w:bCs/>
          <w:szCs w:val="24"/>
        </w:rPr>
      </w:pPr>
      <w:r w:rsidRPr="00804BDA">
        <w:rPr>
          <w:rFonts w:eastAsia="Times New Roman" w:cs="Times New Roman"/>
          <w:b/>
          <w:bCs/>
          <w:szCs w:val="24"/>
        </w:rPr>
        <w:t>Lieta Nr. </w:t>
      </w:r>
      <w:r w:rsidR="00B65609">
        <w:rPr>
          <w:rFonts w:eastAsia="Times New Roman" w:cs="Times New Roman"/>
          <w:b/>
          <w:bCs/>
          <w:szCs w:val="24"/>
        </w:rPr>
        <w:t>[..]</w:t>
      </w:r>
      <w:r w:rsidRPr="00804BDA">
        <w:rPr>
          <w:rFonts w:eastAsia="Times New Roman" w:cs="Times New Roman"/>
          <w:b/>
          <w:bCs/>
          <w:szCs w:val="24"/>
        </w:rPr>
        <w:t>, SKK-</w:t>
      </w:r>
      <w:r w:rsidR="00B65609">
        <w:rPr>
          <w:rFonts w:eastAsia="Times New Roman" w:cs="Times New Roman"/>
          <w:b/>
          <w:bCs/>
          <w:szCs w:val="24"/>
        </w:rPr>
        <w:t>[K]</w:t>
      </w:r>
      <w:r w:rsidRPr="00804BDA">
        <w:rPr>
          <w:rFonts w:eastAsia="Times New Roman" w:cs="Times New Roman"/>
          <w:b/>
          <w:bCs/>
          <w:szCs w:val="24"/>
        </w:rPr>
        <w:t>/2020</w:t>
      </w:r>
    </w:p>
    <w:p w14:paraId="10BA714F" w14:textId="3DC5AD64" w:rsidR="00804BDA" w:rsidRDefault="00804BDA" w:rsidP="00804BDA">
      <w:pPr>
        <w:spacing w:after="0" w:line="276" w:lineRule="auto"/>
        <w:jc w:val="center"/>
        <w:rPr>
          <w:rFonts w:eastAsia="Times New Roman" w:cs="Times New Roman"/>
          <w:b/>
          <w:sz w:val="26"/>
          <w:szCs w:val="26"/>
        </w:rPr>
      </w:pPr>
      <w:r>
        <w:t>ECLI:LV:AT:2020:[..]</w:t>
      </w:r>
    </w:p>
    <w:p w14:paraId="52B380C2" w14:textId="2E5AE001" w:rsidR="008F060C" w:rsidRDefault="008F060C" w:rsidP="00804BDA">
      <w:pPr>
        <w:spacing w:after="0" w:line="276" w:lineRule="auto"/>
        <w:jc w:val="center"/>
        <w:rPr>
          <w:rFonts w:eastAsia="Times New Roman" w:cs="Times New Roman"/>
          <w:szCs w:val="24"/>
        </w:rPr>
      </w:pPr>
    </w:p>
    <w:p w14:paraId="4B5F69C5" w14:textId="78F61A11" w:rsidR="008F060C" w:rsidRDefault="008F060C" w:rsidP="008F060C">
      <w:pPr>
        <w:autoSpaceDE w:val="0"/>
        <w:autoSpaceDN w:val="0"/>
        <w:adjustRightInd w:val="0"/>
        <w:spacing w:before="240" w:after="240" w:line="276" w:lineRule="auto"/>
        <w:ind w:firstLine="709"/>
        <w:jc w:val="both"/>
        <w:rPr>
          <w:rFonts w:eastAsia="Times New Roman" w:cs="Times New Roman"/>
          <w:szCs w:val="24"/>
        </w:rPr>
      </w:pPr>
      <w:r>
        <w:rPr>
          <w:rFonts w:eastAsia="Times New Roman" w:cs="Times New Roman"/>
          <w:szCs w:val="24"/>
        </w:rPr>
        <w:t>Latvijas Repu</w:t>
      </w:r>
      <w:r w:rsidR="002F7BCD">
        <w:rPr>
          <w:rFonts w:eastAsia="Times New Roman" w:cs="Times New Roman"/>
          <w:szCs w:val="24"/>
        </w:rPr>
        <w:t>blikas Augstākās tiesas senatore</w:t>
      </w:r>
      <w:r>
        <w:rPr>
          <w:rFonts w:eastAsia="Times New Roman" w:cs="Times New Roman"/>
          <w:szCs w:val="24"/>
        </w:rPr>
        <w:t xml:space="preserve"> </w:t>
      </w:r>
      <w:r w:rsidR="002F7BCD">
        <w:rPr>
          <w:rFonts w:eastAsia="Times New Roman" w:cs="Times New Roman"/>
          <w:szCs w:val="24"/>
        </w:rPr>
        <w:t xml:space="preserve">Sandra Kaija </w:t>
      </w:r>
      <w:r>
        <w:rPr>
          <w:rFonts w:eastAsia="Times New Roman" w:cs="Times New Roman"/>
          <w:szCs w:val="24"/>
        </w:rPr>
        <w:t>izskatīja slēgtā tiesas sēdē apsūdzētā</w:t>
      </w:r>
      <w:r w:rsidR="00A11C64">
        <w:rPr>
          <w:rFonts w:eastAsia="Times New Roman" w:cs="Times New Roman"/>
          <w:szCs w:val="24"/>
        </w:rPr>
        <w:t xml:space="preserve"> </w:t>
      </w:r>
      <w:r w:rsidR="006B6B0E">
        <w:rPr>
          <w:rFonts w:eastAsia="Times New Roman" w:cs="Times New Roman"/>
          <w:szCs w:val="24"/>
        </w:rPr>
        <w:t>[pers. A]</w:t>
      </w:r>
      <w:r>
        <w:rPr>
          <w:rFonts w:eastAsia="Times New Roman" w:cs="Times New Roman"/>
          <w:szCs w:val="24"/>
        </w:rPr>
        <w:t xml:space="preserve"> </w:t>
      </w:r>
      <w:r w:rsidR="002F7BCD">
        <w:rPr>
          <w:rFonts w:eastAsia="Times New Roman" w:cs="Times New Roman"/>
          <w:szCs w:val="24"/>
        </w:rPr>
        <w:t>sūdzību</w:t>
      </w:r>
      <w:r w:rsidR="0037106A">
        <w:rPr>
          <w:rFonts w:eastAsia="Times New Roman" w:cs="Times New Roman"/>
          <w:szCs w:val="24"/>
        </w:rPr>
        <w:t xml:space="preserve"> par </w:t>
      </w:r>
      <w:r w:rsidR="006B6B0E">
        <w:rPr>
          <w:rFonts w:eastAsia="Times New Roman" w:cs="Times New Roman"/>
          <w:szCs w:val="24"/>
        </w:rPr>
        <w:t>[..]</w:t>
      </w:r>
      <w:r w:rsidR="0037106A">
        <w:rPr>
          <w:rFonts w:eastAsia="Times New Roman" w:cs="Times New Roman"/>
          <w:szCs w:val="24"/>
        </w:rPr>
        <w:t xml:space="preserve"> apgabaltiesas </w:t>
      </w:r>
      <w:proofErr w:type="gramStart"/>
      <w:r w:rsidR="0037106A">
        <w:rPr>
          <w:rFonts w:eastAsia="Times New Roman" w:cs="Times New Roman"/>
          <w:szCs w:val="24"/>
        </w:rPr>
        <w:t>2020.gada</w:t>
      </w:r>
      <w:proofErr w:type="gramEnd"/>
      <w:r w:rsidR="0037106A">
        <w:rPr>
          <w:rFonts w:eastAsia="Times New Roman" w:cs="Times New Roman"/>
          <w:szCs w:val="24"/>
        </w:rPr>
        <w:t xml:space="preserve"> </w:t>
      </w:r>
      <w:r w:rsidR="00B65609">
        <w:rPr>
          <w:rFonts w:eastAsia="Times New Roman" w:cs="Times New Roman"/>
          <w:szCs w:val="24"/>
        </w:rPr>
        <w:t>[..]</w:t>
      </w:r>
      <w:r>
        <w:rPr>
          <w:rFonts w:eastAsia="Times New Roman" w:cs="Times New Roman"/>
          <w:szCs w:val="24"/>
        </w:rPr>
        <w:t xml:space="preserve"> lēmumu.</w:t>
      </w:r>
    </w:p>
    <w:p w14:paraId="2669757F" w14:textId="77777777" w:rsidR="008F060C" w:rsidRDefault="008F060C" w:rsidP="008F060C">
      <w:pPr>
        <w:autoSpaceDE w:val="0"/>
        <w:autoSpaceDN w:val="0"/>
        <w:adjustRightInd w:val="0"/>
        <w:spacing w:before="240" w:after="240" w:line="276" w:lineRule="auto"/>
        <w:jc w:val="center"/>
        <w:rPr>
          <w:rFonts w:eastAsia="Times New Roman" w:cs="Times New Roman"/>
          <w:b/>
          <w:bCs/>
          <w:szCs w:val="24"/>
        </w:rPr>
      </w:pPr>
      <w:r>
        <w:rPr>
          <w:rFonts w:eastAsia="Times New Roman" w:cs="Times New Roman"/>
          <w:b/>
          <w:bCs/>
          <w:szCs w:val="24"/>
        </w:rPr>
        <w:t>Aprakstošā daļa</w:t>
      </w:r>
    </w:p>
    <w:p w14:paraId="36CD5531" w14:textId="14D7920B" w:rsidR="008F060C" w:rsidRDefault="00B213E0" w:rsidP="008F060C">
      <w:pPr>
        <w:spacing w:after="0" w:line="276" w:lineRule="auto"/>
        <w:ind w:firstLine="709"/>
        <w:jc w:val="both"/>
        <w:rPr>
          <w:rFonts w:eastAsia="Times New Roman" w:cs="Times New Roman"/>
          <w:szCs w:val="24"/>
        </w:rPr>
      </w:pPr>
      <w:r>
        <w:rPr>
          <w:rFonts w:eastAsia="Times New Roman" w:cs="Times New Roman"/>
          <w:szCs w:val="24"/>
        </w:rPr>
        <w:t>[1] </w:t>
      </w:r>
      <w:r w:rsidR="008F060C">
        <w:rPr>
          <w:rFonts w:eastAsia="Times New Roman" w:cs="Times New Roman"/>
          <w:szCs w:val="24"/>
        </w:rPr>
        <w:t xml:space="preserve">Ar </w:t>
      </w:r>
      <w:r w:rsidR="00B65609">
        <w:rPr>
          <w:rFonts w:eastAsia="Times New Roman" w:cs="Times New Roman"/>
          <w:szCs w:val="24"/>
        </w:rPr>
        <w:t>[rajona (pilsētas)]</w:t>
      </w:r>
      <w:r w:rsidR="00CB1515">
        <w:rPr>
          <w:rFonts w:eastAsia="Times New Roman" w:cs="Times New Roman"/>
          <w:szCs w:val="24"/>
        </w:rPr>
        <w:t xml:space="preserve"> tiesas </w:t>
      </w:r>
      <w:proofErr w:type="gramStart"/>
      <w:r w:rsidR="00CB1515">
        <w:rPr>
          <w:rFonts w:eastAsia="Times New Roman" w:cs="Times New Roman"/>
          <w:szCs w:val="24"/>
        </w:rPr>
        <w:t>2019.gada</w:t>
      </w:r>
      <w:proofErr w:type="gramEnd"/>
      <w:r w:rsidR="00CB1515">
        <w:rPr>
          <w:rFonts w:eastAsia="Times New Roman" w:cs="Times New Roman"/>
          <w:szCs w:val="24"/>
        </w:rPr>
        <w:t xml:space="preserve"> </w:t>
      </w:r>
      <w:r w:rsidR="00B65609">
        <w:rPr>
          <w:rFonts w:eastAsia="Times New Roman" w:cs="Times New Roman"/>
          <w:szCs w:val="24"/>
        </w:rPr>
        <w:t>[..]</w:t>
      </w:r>
      <w:r w:rsidR="008F060C">
        <w:rPr>
          <w:rFonts w:eastAsia="Times New Roman" w:cs="Times New Roman"/>
          <w:szCs w:val="24"/>
        </w:rPr>
        <w:t xml:space="preserve"> spriedumu</w:t>
      </w:r>
    </w:p>
    <w:p w14:paraId="7E49FA49" w14:textId="36773686" w:rsidR="00B213E0" w:rsidRDefault="008F2F43" w:rsidP="008F060C">
      <w:pPr>
        <w:spacing w:after="0" w:line="276" w:lineRule="auto"/>
        <w:ind w:firstLine="709"/>
        <w:jc w:val="both"/>
        <w:rPr>
          <w:rFonts w:eastAsia="Times New Roman" w:cs="Times New Roman"/>
          <w:szCs w:val="24"/>
        </w:rPr>
      </w:pPr>
      <w:r>
        <w:rPr>
          <w:rFonts w:eastAsia="Times New Roman" w:cs="Times New Roman"/>
          <w:szCs w:val="24"/>
        </w:rPr>
        <w:t>[1.1] </w:t>
      </w:r>
      <w:r w:rsidR="00B65609">
        <w:rPr>
          <w:rFonts w:eastAsia="Times New Roman" w:cs="Times New Roman"/>
          <w:szCs w:val="24"/>
        </w:rPr>
        <w:t>[pers. A]</w:t>
      </w:r>
      <w:r w:rsidR="00CB1515">
        <w:rPr>
          <w:rFonts w:eastAsia="Times New Roman" w:cs="Times New Roman"/>
          <w:szCs w:val="24"/>
        </w:rPr>
        <w:t xml:space="preserve">, personas kods </w:t>
      </w:r>
      <w:r w:rsidR="00B65609">
        <w:rPr>
          <w:rFonts w:eastAsia="Times New Roman" w:cs="Times New Roman"/>
          <w:szCs w:val="24"/>
        </w:rPr>
        <w:t>[..]</w:t>
      </w:r>
      <w:r w:rsidR="00B213E0">
        <w:rPr>
          <w:rFonts w:eastAsia="Times New Roman" w:cs="Times New Roman"/>
          <w:szCs w:val="24"/>
        </w:rPr>
        <w:t>,</w:t>
      </w:r>
    </w:p>
    <w:p w14:paraId="7713B947" w14:textId="77777777" w:rsidR="008F060C" w:rsidRDefault="008F060C" w:rsidP="008F060C">
      <w:pPr>
        <w:spacing w:after="0" w:line="276" w:lineRule="auto"/>
        <w:ind w:firstLine="709"/>
        <w:jc w:val="both"/>
        <w:rPr>
          <w:rFonts w:eastAsia="Times New Roman" w:cs="Times New Roman"/>
          <w:szCs w:val="24"/>
        </w:rPr>
      </w:pPr>
      <w:r>
        <w:rPr>
          <w:rFonts w:eastAsia="Times New Roman" w:cs="Times New Roman"/>
          <w:szCs w:val="24"/>
        </w:rPr>
        <w:t>atzīt</w:t>
      </w:r>
      <w:r w:rsidR="00CB1515">
        <w:rPr>
          <w:rFonts w:eastAsia="Times New Roman" w:cs="Times New Roman"/>
          <w:szCs w:val="24"/>
        </w:rPr>
        <w:t xml:space="preserve">s par vainīgu Krimināllikuma </w:t>
      </w:r>
      <w:proofErr w:type="gramStart"/>
      <w:r w:rsidR="00CB1515">
        <w:rPr>
          <w:rFonts w:eastAsia="Times New Roman" w:cs="Times New Roman"/>
          <w:szCs w:val="24"/>
        </w:rPr>
        <w:t>15</w:t>
      </w:r>
      <w:r>
        <w:rPr>
          <w:rFonts w:eastAsia="Times New Roman" w:cs="Times New Roman"/>
          <w:szCs w:val="24"/>
        </w:rPr>
        <w:t>.panta</w:t>
      </w:r>
      <w:proofErr w:type="gramEnd"/>
      <w:r>
        <w:rPr>
          <w:rFonts w:eastAsia="Times New Roman" w:cs="Times New Roman"/>
          <w:szCs w:val="24"/>
        </w:rPr>
        <w:t xml:space="preserve"> </w:t>
      </w:r>
      <w:r w:rsidR="00CB1515">
        <w:rPr>
          <w:rFonts w:eastAsia="Times New Roman" w:cs="Times New Roman"/>
          <w:szCs w:val="24"/>
        </w:rPr>
        <w:t>ceturtajā</w:t>
      </w:r>
      <w:r>
        <w:rPr>
          <w:rFonts w:eastAsia="Times New Roman" w:cs="Times New Roman"/>
          <w:szCs w:val="24"/>
        </w:rPr>
        <w:t xml:space="preserve"> daļā </w:t>
      </w:r>
      <w:r w:rsidR="00CB1515">
        <w:rPr>
          <w:rFonts w:eastAsia="Times New Roman" w:cs="Times New Roman"/>
          <w:szCs w:val="24"/>
        </w:rPr>
        <w:t xml:space="preserve">un 175.panta ceturtajā daļā </w:t>
      </w:r>
      <w:r>
        <w:rPr>
          <w:rFonts w:eastAsia="Times New Roman" w:cs="Times New Roman"/>
          <w:szCs w:val="24"/>
        </w:rPr>
        <w:t>paredzētajā noziedzīgajā nodarījumā un sodīts ar brīvības atņemšanu uz</w:t>
      </w:r>
      <w:r w:rsidR="00FA3B5F">
        <w:rPr>
          <w:rFonts w:eastAsia="Times New Roman" w:cs="Times New Roman"/>
          <w:szCs w:val="24"/>
        </w:rPr>
        <w:t xml:space="preserve"> 2 gadiem un policijas kontroli uz 2 gadiem</w:t>
      </w:r>
      <w:r>
        <w:rPr>
          <w:rFonts w:eastAsia="Times New Roman" w:cs="Times New Roman"/>
          <w:szCs w:val="24"/>
        </w:rPr>
        <w:t>;</w:t>
      </w:r>
    </w:p>
    <w:p w14:paraId="4AB7D540" w14:textId="77777777" w:rsidR="008F060C" w:rsidRDefault="008F060C" w:rsidP="008F060C">
      <w:pPr>
        <w:spacing w:after="0" w:line="276" w:lineRule="auto"/>
        <w:ind w:firstLine="709"/>
        <w:jc w:val="both"/>
        <w:rPr>
          <w:rFonts w:eastAsia="Times New Roman" w:cs="Times New Roman"/>
          <w:szCs w:val="24"/>
        </w:rPr>
      </w:pPr>
      <w:r>
        <w:rPr>
          <w:rFonts w:eastAsia="Times New Roman" w:cs="Times New Roman"/>
          <w:szCs w:val="24"/>
        </w:rPr>
        <w:t>atzīts par vainīgu</w:t>
      </w:r>
      <w:r w:rsidR="00FA3B5F">
        <w:rPr>
          <w:rFonts w:eastAsia="Times New Roman" w:cs="Times New Roman"/>
          <w:szCs w:val="24"/>
        </w:rPr>
        <w:t xml:space="preserve"> Krimināllikuma 1</w:t>
      </w:r>
      <w:r w:rsidR="00E41E3B">
        <w:rPr>
          <w:rFonts w:eastAsia="Times New Roman" w:cs="Times New Roman"/>
          <w:szCs w:val="24"/>
        </w:rPr>
        <w:t xml:space="preserve">75.panta otrajā daļā paredzētajā noziedzīgajā nodarījumā un </w:t>
      </w:r>
      <w:r w:rsidR="00FA3B5F">
        <w:rPr>
          <w:rFonts w:eastAsia="Times New Roman" w:cs="Times New Roman"/>
          <w:szCs w:val="24"/>
        </w:rPr>
        <w:t>sodīts ar brīvības atņemšanu uz 1 gadu;</w:t>
      </w:r>
    </w:p>
    <w:p w14:paraId="097CC6DA" w14:textId="77777777" w:rsidR="00FA3B5F" w:rsidRDefault="00FA3B5F" w:rsidP="00621EFC">
      <w:pPr>
        <w:spacing w:after="0" w:line="276" w:lineRule="auto"/>
        <w:ind w:firstLine="709"/>
        <w:jc w:val="both"/>
        <w:rPr>
          <w:rFonts w:eastAsia="Times New Roman" w:cs="Times New Roman"/>
          <w:szCs w:val="24"/>
        </w:rPr>
      </w:pPr>
      <w:r>
        <w:rPr>
          <w:rFonts w:eastAsia="Times New Roman" w:cs="Times New Roman"/>
          <w:szCs w:val="24"/>
        </w:rPr>
        <w:t xml:space="preserve">atzīts par vainīgu Krimināllikuma </w:t>
      </w:r>
      <w:proofErr w:type="gramStart"/>
      <w:r>
        <w:rPr>
          <w:rFonts w:eastAsia="Times New Roman" w:cs="Times New Roman"/>
          <w:szCs w:val="24"/>
        </w:rPr>
        <w:t>175.panta</w:t>
      </w:r>
      <w:proofErr w:type="gramEnd"/>
      <w:r>
        <w:rPr>
          <w:rFonts w:eastAsia="Times New Roman" w:cs="Times New Roman"/>
          <w:szCs w:val="24"/>
        </w:rPr>
        <w:t xml:space="preserve"> trešajā daļā paredzētajā noziedzīgajā nodarījumā un sodīts ar brīvības atņemšanu uz 2 gadiem par noziedzīgo nodarījumu, kas izdarīts 2009.gada </w:t>
      </w:r>
      <w:r w:rsidR="00621EFC">
        <w:rPr>
          <w:rFonts w:eastAsia="Times New Roman" w:cs="Times New Roman"/>
          <w:szCs w:val="24"/>
        </w:rPr>
        <w:t xml:space="preserve">naktī uz </w:t>
      </w:r>
      <w:r>
        <w:rPr>
          <w:rFonts w:eastAsia="Times New Roman" w:cs="Times New Roman"/>
          <w:szCs w:val="24"/>
        </w:rPr>
        <w:t>19.oktobr</w:t>
      </w:r>
      <w:r w:rsidR="00621EFC">
        <w:rPr>
          <w:rFonts w:eastAsia="Times New Roman" w:cs="Times New Roman"/>
          <w:szCs w:val="24"/>
        </w:rPr>
        <w:t xml:space="preserve">i un </w:t>
      </w:r>
      <w:r w:rsidR="00A11C64">
        <w:rPr>
          <w:rFonts w:eastAsia="Times New Roman" w:cs="Times New Roman"/>
          <w:szCs w:val="24"/>
        </w:rPr>
        <w:t xml:space="preserve">sodīts </w:t>
      </w:r>
      <w:r w:rsidR="00621EFC">
        <w:rPr>
          <w:rFonts w:eastAsia="Times New Roman" w:cs="Times New Roman"/>
          <w:szCs w:val="24"/>
        </w:rPr>
        <w:t>ar brīvības atņemšanu uz 1 gadu par noziedzīgo nodarījumu, kas izdarīts 2009.gada naktī uz 22.oktobri.</w:t>
      </w:r>
    </w:p>
    <w:p w14:paraId="12E5616E" w14:textId="42DA1887" w:rsidR="00E41E3B" w:rsidRDefault="00E41E3B" w:rsidP="008F060C">
      <w:pPr>
        <w:spacing w:after="0" w:line="276" w:lineRule="auto"/>
        <w:ind w:firstLine="709"/>
        <w:jc w:val="both"/>
        <w:rPr>
          <w:rFonts w:eastAsia="Times New Roman" w:cs="Times New Roman"/>
          <w:szCs w:val="24"/>
        </w:rPr>
      </w:pPr>
      <w:r>
        <w:rPr>
          <w:rFonts w:eastAsia="Times New Roman" w:cs="Times New Roman"/>
          <w:szCs w:val="24"/>
        </w:rPr>
        <w:t xml:space="preserve">Saskaņā ar Krimināllikuma </w:t>
      </w:r>
      <w:proofErr w:type="gramStart"/>
      <w:r>
        <w:rPr>
          <w:rFonts w:eastAsia="Times New Roman" w:cs="Times New Roman"/>
          <w:szCs w:val="24"/>
        </w:rPr>
        <w:t>50.panta</w:t>
      </w:r>
      <w:proofErr w:type="gramEnd"/>
      <w:r>
        <w:rPr>
          <w:rFonts w:eastAsia="Times New Roman" w:cs="Times New Roman"/>
          <w:szCs w:val="24"/>
        </w:rPr>
        <w:t xml:space="preserve"> pirmo daļu sods </w:t>
      </w:r>
      <w:r w:rsidR="00B65609">
        <w:rPr>
          <w:rFonts w:eastAsia="Times New Roman" w:cs="Times New Roman"/>
          <w:szCs w:val="24"/>
        </w:rPr>
        <w:t>[pers. A]</w:t>
      </w:r>
      <w:r w:rsidR="00621EFC">
        <w:rPr>
          <w:rFonts w:eastAsia="Times New Roman" w:cs="Times New Roman"/>
          <w:szCs w:val="24"/>
        </w:rPr>
        <w:t xml:space="preserve"> noteiks brīvības atņemšana uz 3 gadiem 6 mēnešiem un policijas kontrole uz 2 gadiem.</w:t>
      </w:r>
    </w:p>
    <w:p w14:paraId="04D77056" w14:textId="3B1D550E" w:rsidR="00621EFC" w:rsidRDefault="00621EFC" w:rsidP="00621EFC">
      <w:pPr>
        <w:spacing w:after="0" w:line="276" w:lineRule="auto"/>
        <w:ind w:firstLine="709"/>
        <w:jc w:val="both"/>
        <w:rPr>
          <w:rFonts w:eastAsia="Times New Roman" w:cs="Times New Roman"/>
          <w:szCs w:val="24"/>
        </w:rPr>
      </w:pPr>
      <w:r>
        <w:rPr>
          <w:rFonts w:eastAsia="Times New Roman" w:cs="Times New Roman"/>
          <w:szCs w:val="24"/>
        </w:rPr>
        <w:t xml:space="preserve">Saskaņā ar Krimināllikuma </w:t>
      </w:r>
      <w:proofErr w:type="gramStart"/>
      <w:r>
        <w:rPr>
          <w:rFonts w:eastAsia="Times New Roman" w:cs="Times New Roman"/>
          <w:szCs w:val="24"/>
        </w:rPr>
        <w:t>51.panta</w:t>
      </w:r>
      <w:proofErr w:type="gramEnd"/>
      <w:r>
        <w:rPr>
          <w:rFonts w:eastAsia="Times New Roman" w:cs="Times New Roman"/>
          <w:szCs w:val="24"/>
        </w:rPr>
        <w:t xml:space="preserve"> pirmo daļu galīgais sods </w:t>
      </w:r>
      <w:r w:rsidR="00B65609">
        <w:rPr>
          <w:rFonts w:eastAsia="Times New Roman" w:cs="Times New Roman"/>
          <w:szCs w:val="24"/>
        </w:rPr>
        <w:t>[pers.</w:t>
      </w:r>
      <w:r w:rsidR="008A07C3">
        <w:rPr>
          <w:rFonts w:eastAsia="Times New Roman" w:cs="Times New Roman"/>
          <w:szCs w:val="24"/>
        </w:rPr>
        <w:t> </w:t>
      </w:r>
      <w:r w:rsidR="00B65609">
        <w:t>A]</w:t>
      </w:r>
      <w:r>
        <w:rPr>
          <w:rFonts w:eastAsia="Times New Roman" w:cs="Times New Roman"/>
          <w:szCs w:val="24"/>
        </w:rPr>
        <w:t xml:space="preserve"> noteik</w:t>
      </w:r>
      <w:r w:rsidR="00AB4A59">
        <w:rPr>
          <w:rFonts w:eastAsia="Times New Roman" w:cs="Times New Roman"/>
          <w:szCs w:val="24"/>
        </w:rPr>
        <w:t>t</w:t>
      </w:r>
      <w:r>
        <w:rPr>
          <w:rFonts w:eastAsia="Times New Roman" w:cs="Times New Roman"/>
          <w:szCs w:val="24"/>
        </w:rPr>
        <w:t>s brīvības atņemšana uz 5 gadiem un policijas kontrole uz 2 gadiem.</w:t>
      </w:r>
    </w:p>
    <w:p w14:paraId="57FD4FA2" w14:textId="7DF91D41" w:rsidR="00621EFC" w:rsidRDefault="00B65609" w:rsidP="008F060C">
      <w:pPr>
        <w:spacing w:after="0" w:line="276" w:lineRule="auto"/>
        <w:ind w:firstLine="709"/>
        <w:jc w:val="both"/>
        <w:rPr>
          <w:rFonts w:eastAsia="Times New Roman" w:cs="Times New Roman"/>
          <w:szCs w:val="24"/>
        </w:rPr>
      </w:pPr>
      <w:r>
        <w:rPr>
          <w:rFonts w:eastAsia="Times New Roman" w:cs="Times New Roman"/>
          <w:szCs w:val="24"/>
        </w:rPr>
        <w:t>[Pers. A]</w:t>
      </w:r>
      <w:r w:rsidR="00621EFC">
        <w:rPr>
          <w:rFonts w:eastAsia="Times New Roman" w:cs="Times New Roman"/>
          <w:szCs w:val="24"/>
        </w:rPr>
        <w:t xml:space="preserve"> drošības līdzeklis kriminālprocesā nav piemērots.</w:t>
      </w:r>
    </w:p>
    <w:p w14:paraId="2BE4E321" w14:textId="76EF298F" w:rsidR="0065716C" w:rsidRDefault="008F2F43" w:rsidP="008F060C">
      <w:pPr>
        <w:spacing w:after="0" w:line="276" w:lineRule="auto"/>
        <w:ind w:firstLine="709"/>
        <w:jc w:val="both"/>
        <w:rPr>
          <w:rFonts w:eastAsia="Times New Roman" w:cs="Times New Roman"/>
          <w:szCs w:val="24"/>
        </w:rPr>
      </w:pPr>
      <w:r>
        <w:rPr>
          <w:rFonts w:eastAsia="Times New Roman" w:cs="Times New Roman"/>
          <w:szCs w:val="24"/>
        </w:rPr>
        <w:t>[1.2] </w:t>
      </w:r>
      <w:r w:rsidR="0065716C">
        <w:rPr>
          <w:rFonts w:eastAsia="Times New Roman" w:cs="Times New Roman"/>
          <w:szCs w:val="24"/>
        </w:rPr>
        <w:t xml:space="preserve">Vēl ar pirmās instances tiesas spriedumu atzīti par vainīgiem un sodīti </w:t>
      </w:r>
      <w:r w:rsidR="00B65609">
        <w:rPr>
          <w:rFonts w:eastAsia="Times New Roman" w:cs="Times New Roman"/>
          <w:szCs w:val="24"/>
        </w:rPr>
        <w:t>[pers. </w:t>
      </w:r>
      <w:r w:rsidR="00B65609">
        <w:t>B]</w:t>
      </w:r>
      <w:r w:rsidR="00E72D52">
        <w:rPr>
          <w:rFonts w:eastAsia="Times New Roman" w:cs="Times New Roman"/>
          <w:szCs w:val="24"/>
        </w:rPr>
        <w:t xml:space="preserve">, </w:t>
      </w:r>
      <w:r w:rsidR="00B65609">
        <w:rPr>
          <w:rFonts w:eastAsia="Times New Roman" w:cs="Times New Roman"/>
          <w:szCs w:val="24"/>
        </w:rPr>
        <w:t>[pers. C]</w:t>
      </w:r>
      <w:r w:rsidR="00E72D52">
        <w:rPr>
          <w:rFonts w:eastAsia="Times New Roman" w:cs="Times New Roman"/>
          <w:szCs w:val="24"/>
        </w:rPr>
        <w:t xml:space="preserve">, </w:t>
      </w:r>
      <w:r w:rsidR="00B65609">
        <w:rPr>
          <w:rFonts w:eastAsia="Times New Roman" w:cs="Times New Roman"/>
          <w:szCs w:val="24"/>
        </w:rPr>
        <w:t>[pers. D]</w:t>
      </w:r>
      <w:r w:rsidR="00C701E5">
        <w:rPr>
          <w:rFonts w:eastAsia="Times New Roman" w:cs="Times New Roman"/>
          <w:szCs w:val="24"/>
        </w:rPr>
        <w:t xml:space="preserve">, </w:t>
      </w:r>
      <w:r w:rsidR="00B65609">
        <w:rPr>
          <w:rFonts w:eastAsia="Times New Roman" w:cs="Times New Roman"/>
          <w:szCs w:val="24"/>
        </w:rPr>
        <w:t>[pers. E]</w:t>
      </w:r>
      <w:r w:rsidR="0065716C">
        <w:rPr>
          <w:rFonts w:eastAsia="Times New Roman" w:cs="Times New Roman"/>
          <w:szCs w:val="24"/>
        </w:rPr>
        <w:t>.</w:t>
      </w:r>
    </w:p>
    <w:p w14:paraId="06EA2456" w14:textId="77777777" w:rsidR="008F2F43" w:rsidRDefault="008F2F43" w:rsidP="008F060C">
      <w:pPr>
        <w:spacing w:after="0" w:line="276" w:lineRule="auto"/>
        <w:ind w:firstLine="709"/>
        <w:jc w:val="both"/>
        <w:rPr>
          <w:rFonts w:eastAsia="Times New Roman" w:cs="Times New Roman"/>
          <w:szCs w:val="24"/>
        </w:rPr>
      </w:pPr>
    </w:p>
    <w:p w14:paraId="5F80A552" w14:textId="5601CC18" w:rsidR="00F5760A" w:rsidRDefault="008F2F43" w:rsidP="00F5760A">
      <w:pPr>
        <w:autoSpaceDE w:val="0"/>
        <w:autoSpaceDN w:val="0"/>
        <w:adjustRightInd w:val="0"/>
        <w:spacing w:after="0" w:line="276" w:lineRule="auto"/>
        <w:ind w:firstLine="709"/>
        <w:jc w:val="both"/>
        <w:rPr>
          <w:rFonts w:ascii="TimesNewRomanPSMT" w:hAnsi="TimesNewRomanPSMT" w:cs="TimesNewRomanPSMT"/>
          <w:szCs w:val="24"/>
        </w:rPr>
      </w:pPr>
      <w:r>
        <w:rPr>
          <w:rFonts w:eastAsia="Times New Roman" w:cs="Times New Roman"/>
          <w:szCs w:val="24"/>
        </w:rPr>
        <w:t xml:space="preserve">[2] Ar </w:t>
      </w:r>
      <w:r w:rsidR="00B65609">
        <w:rPr>
          <w:rFonts w:eastAsia="Times New Roman" w:cs="Times New Roman"/>
          <w:szCs w:val="24"/>
        </w:rPr>
        <w:t>[rajona (pilsētas)]</w:t>
      </w:r>
      <w:r w:rsidR="00F065BB">
        <w:rPr>
          <w:rFonts w:eastAsia="Times New Roman" w:cs="Times New Roman"/>
          <w:szCs w:val="24"/>
        </w:rPr>
        <w:t xml:space="preserve"> tiesas </w:t>
      </w:r>
      <w:proofErr w:type="gramStart"/>
      <w:r w:rsidR="00F065BB">
        <w:rPr>
          <w:rFonts w:eastAsia="Times New Roman" w:cs="Times New Roman"/>
          <w:szCs w:val="24"/>
        </w:rPr>
        <w:t>2019.gada</w:t>
      </w:r>
      <w:proofErr w:type="gramEnd"/>
      <w:r w:rsidR="00F065BB">
        <w:rPr>
          <w:rFonts w:eastAsia="Times New Roman" w:cs="Times New Roman"/>
          <w:szCs w:val="24"/>
        </w:rPr>
        <w:t xml:space="preserve"> </w:t>
      </w:r>
      <w:r w:rsidR="00B65609">
        <w:rPr>
          <w:rFonts w:eastAsia="Times New Roman" w:cs="Times New Roman"/>
          <w:szCs w:val="24"/>
        </w:rPr>
        <w:t>[..]</w:t>
      </w:r>
      <w:r w:rsidR="00F065BB">
        <w:rPr>
          <w:rFonts w:eastAsia="Times New Roman" w:cs="Times New Roman"/>
          <w:szCs w:val="24"/>
        </w:rPr>
        <w:t xml:space="preserve"> spriedumu </w:t>
      </w:r>
      <w:r w:rsidR="00B65609">
        <w:rPr>
          <w:rFonts w:eastAsia="Times New Roman" w:cs="Times New Roman"/>
          <w:szCs w:val="24"/>
        </w:rPr>
        <w:t>[pers. A]</w:t>
      </w:r>
      <w:r w:rsidR="00F065BB">
        <w:t xml:space="preserve"> </w:t>
      </w:r>
      <w:r>
        <w:rPr>
          <w:rFonts w:eastAsia="Times New Roman" w:cs="Times New Roman"/>
          <w:szCs w:val="24"/>
        </w:rPr>
        <w:t xml:space="preserve">atzīts par vainīgu un sodīts pēc Krimināllikuma </w:t>
      </w:r>
      <w:r w:rsidR="00F065BB">
        <w:rPr>
          <w:rFonts w:eastAsia="Times New Roman" w:cs="Times New Roman"/>
          <w:szCs w:val="24"/>
        </w:rPr>
        <w:t>15.panta ceturtās daļas un 175.panta ceturtās</w:t>
      </w:r>
      <w:r>
        <w:rPr>
          <w:rFonts w:eastAsia="Times New Roman" w:cs="Times New Roman"/>
          <w:szCs w:val="24"/>
        </w:rPr>
        <w:t xml:space="preserve"> daļas par </w:t>
      </w:r>
      <w:r w:rsidR="00F065BB">
        <w:rPr>
          <w:rFonts w:eastAsia="Times New Roman" w:cs="Times New Roman"/>
          <w:szCs w:val="24"/>
        </w:rPr>
        <w:t xml:space="preserve">mēģinājumu </w:t>
      </w:r>
      <w:r w:rsidR="00F065BB">
        <w:rPr>
          <w:rFonts w:ascii="TimesNewRomanPSMT" w:hAnsi="TimesNewRomanPSMT" w:cs="TimesNewRomanPSMT"/>
          <w:szCs w:val="24"/>
        </w:rPr>
        <w:t xml:space="preserve">personu grupā pēc iepriekšējas vienošanās izdarīt svešas kustamas mantas slepenu nolaupīšanu (zādzību) lielā apmērā no glabātavas, kas saistīta ar iekļūšanu telpā, </w:t>
      </w:r>
      <w:r w:rsidR="00F065BB">
        <w:rPr>
          <w:rFonts w:eastAsia="Times New Roman" w:cs="Times New Roman"/>
          <w:szCs w:val="24"/>
        </w:rPr>
        <w:t xml:space="preserve">pēc Krimināllikuma 175.panta otrās daļas </w:t>
      </w:r>
      <w:r w:rsidR="00F5760A">
        <w:rPr>
          <w:rFonts w:ascii="TimesNewRomanPSMT" w:hAnsi="TimesNewRomanPSMT" w:cs="TimesNewRomanPSMT"/>
          <w:szCs w:val="24"/>
        </w:rPr>
        <w:t xml:space="preserve">par to, ka </w:t>
      </w:r>
      <w:r w:rsidR="00F065BB">
        <w:rPr>
          <w:rFonts w:ascii="TimesNewRomanPSMT" w:hAnsi="TimesNewRomanPSMT" w:cs="TimesNewRomanPSMT"/>
          <w:szCs w:val="24"/>
        </w:rPr>
        <w:t>personu  grupā pēc iepriekšējas vienošanās izdarīja sveš</w:t>
      </w:r>
      <w:r w:rsidR="00F5760A">
        <w:rPr>
          <w:rFonts w:ascii="TimesNewRomanPSMT" w:hAnsi="TimesNewRomanPSMT" w:cs="TimesNewRomanPSMT"/>
          <w:szCs w:val="24"/>
        </w:rPr>
        <w:t xml:space="preserve">as kustamas mantas slepenu </w:t>
      </w:r>
      <w:r w:rsidR="00D53E5B">
        <w:rPr>
          <w:rFonts w:ascii="TimesNewRomanPSMT" w:hAnsi="TimesNewRomanPSMT" w:cs="TimesNewRomanPSMT"/>
          <w:szCs w:val="24"/>
        </w:rPr>
        <w:t xml:space="preserve">nolaupīšanu (zādzību) </w:t>
      </w:r>
      <w:r w:rsidR="00F5760A">
        <w:rPr>
          <w:rFonts w:ascii="TimesNewRomanPSMT" w:hAnsi="TimesNewRomanPSMT" w:cs="TimesNewRomanPSMT"/>
          <w:szCs w:val="24"/>
        </w:rPr>
        <w:t xml:space="preserve">un pēc </w:t>
      </w:r>
      <w:r w:rsidR="00F5760A">
        <w:rPr>
          <w:rFonts w:eastAsia="Times New Roman" w:cs="Times New Roman"/>
          <w:szCs w:val="24"/>
        </w:rPr>
        <w:t xml:space="preserve">Krimināllikuma 175.panta trešās daļas par to, ka </w:t>
      </w:r>
      <w:r w:rsidR="00F5760A">
        <w:rPr>
          <w:rFonts w:ascii="TimesNewRomanPSMT" w:hAnsi="TimesNewRomanPSMT" w:cs="TimesNewRomanPSMT"/>
          <w:szCs w:val="24"/>
        </w:rPr>
        <w:t>personu grupā pēc iepriekšējas vienošanās izdarīja svešas kustamas mantas slepenu nolaupīšanu (zādzību), kas saistīta ar iekļūšanu telpā.</w:t>
      </w:r>
    </w:p>
    <w:p w14:paraId="65532FD3" w14:textId="77777777" w:rsidR="00DF4643" w:rsidRDefault="00DF4643" w:rsidP="00F5760A">
      <w:pPr>
        <w:spacing w:after="0" w:line="276" w:lineRule="auto"/>
        <w:jc w:val="both"/>
        <w:rPr>
          <w:rFonts w:eastAsia="Times New Roman" w:cs="Times New Roman"/>
          <w:szCs w:val="24"/>
        </w:rPr>
      </w:pPr>
    </w:p>
    <w:p w14:paraId="435EA737" w14:textId="01C2BCAE" w:rsidR="00DF4643" w:rsidRDefault="0037106A" w:rsidP="008F060C">
      <w:pPr>
        <w:spacing w:after="0" w:line="276" w:lineRule="auto"/>
        <w:ind w:firstLine="709"/>
        <w:jc w:val="both"/>
        <w:rPr>
          <w:rFonts w:eastAsia="Times New Roman" w:cs="Times New Roman"/>
          <w:szCs w:val="24"/>
        </w:rPr>
      </w:pPr>
      <w:r>
        <w:rPr>
          <w:rFonts w:eastAsia="Times New Roman" w:cs="Times New Roman"/>
          <w:szCs w:val="24"/>
        </w:rPr>
        <w:t>[3</w:t>
      </w:r>
      <w:r w:rsidR="00F5760A">
        <w:rPr>
          <w:rFonts w:eastAsia="Times New Roman" w:cs="Times New Roman"/>
          <w:szCs w:val="24"/>
        </w:rPr>
        <w:t xml:space="preserve">] Ar </w:t>
      </w:r>
      <w:r w:rsidR="00B65609">
        <w:rPr>
          <w:rFonts w:eastAsia="Times New Roman" w:cs="Times New Roman"/>
          <w:szCs w:val="24"/>
        </w:rPr>
        <w:t>[..]</w:t>
      </w:r>
      <w:r w:rsidR="00F5760A">
        <w:rPr>
          <w:rFonts w:eastAsia="Times New Roman" w:cs="Times New Roman"/>
          <w:szCs w:val="24"/>
        </w:rPr>
        <w:t xml:space="preserve"> apgabaltiesas </w:t>
      </w:r>
      <w:proofErr w:type="gramStart"/>
      <w:r w:rsidR="00F5760A">
        <w:rPr>
          <w:rFonts w:eastAsia="Times New Roman" w:cs="Times New Roman"/>
          <w:szCs w:val="24"/>
        </w:rPr>
        <w:t>2020</w:t>
      </w:r>
      <w:r>
        <w:rPr>
          <w:rFonts w:eastAsia="Times New Roman" w:cs="Times New Roman"/>
          <w:szCs w:val="24"/>
        </w:rPr>
        <w:t>.gada</w:t>
      </w:r>
      <w:proofErr w:type="gramEnd"/>
      <w:r>
        <w:rPr>
          <w:rFonts w:eastAsia="Times New Roman" w:cs="Times New Roman"/>
          <w:szCs w:val="24"/>
        </w:rPr>
        <w:t xml:space="preserve"> </w:t>
      </w:r>
      <w:r w:rsidR="00B65609">
        <w:rPr>
          <w:rFonts w:eastAsia="Times New Roman" w:cs="Times New Roman"/>
          <w:szCs w:val="24"/>
        </w:rPr>
        <w:t>[..]</w:t>
      </w:r>
      <w:r w:rsidR="00331B27">
        <w:rPr>
          <w:rFonts w:eastAsia="Times New Roman" w:cs="Times New Roman"/>
          <w:szCs w:val="24"/>
        </w:rPr>
        <w:t xml:space="preserve"> lēmumu </w:t>
      </w:r>
      <w:r w:rsidR="00B65609">
        <w:rPr>
          <w:rFonts w:eastAsia="Times New Roman" w:cs="Times New Roman"/>
          <w:szCs w:val="24"/>
        </w:rPr>
        <w:t>[pers. A]</w:t>
      </w:r>
      <w:r>
        <w:rPr>
          <w:rFonts w:eastAsia="Times New Roman" w:cs="Times New Roman"/>
          <w:szCs w:val="24"/>
        </w:rPr>
        <w:t xml:space="preserve"> piemērots</w:t>
      </w:r>
      <w:r w:rsidR="00331B27">
        <w:rPr>
          <w:rFonts w:eastAsia="Times New Roman" w:cs="Times New Roman"/>
          <w:szCs w:val="24"/>
        </w:rPr>
        <w:t xml:space="preserve"> drošības līdzeklis –</w:t>
      </w:r>
      <w:r w:rsidR="00D33F2C">
        <w:rPr>
          <w:rFonts w:eastAsia="Times New Roman" w:cs="Times New Roman"/>
          <w:szCs w:val="24"/>
        </w:rPr>
        <w:t xml:space="preserve"> </w:t>
      </w:r>
      <w:r>
        <w:rPr>
          <w:rFonts w:eastAsia="Times New Roman" w:cs="Times New Roman"/>
          <w:szCs w:val="24"/>
        </w:rPr>
        <w:t>apcietinājums.</w:t>
      </w:r>
    </w:p>
    <w:p w14:paraId="2141C299" w14:textId="77777777" w:rsidR="00331B27" w:rsidRDefault="00331B27" w:rsidP="008F060C">
      <w:pPr>
        <w:spacing w:after="0" w:line="276" w:lineRule="auto"/>
        <w:ind w:firstLine="709"/>
        <w:jc w:val="both"/>
        <w:rPr>
          <w:rFonts w:eastAsia="Times New Roman" w:cs="Times New Roman"/>
          <w:szCs w:val="24"/>
        </w:rPr>
      </w:pPr>
    </w:p>
    <w:p w14:paraId="72D32459" w14:textId="16C21D5E" w:rsidR="002E6F10" w:rsidRPr="00A34035" w:rsidRDefault="00331B27" w:rsidP="00A34035">
      <w:pPr>
        <w:spacing w:after="0" w:line="276" w:lineRule="auto"/>
        <w:ind w:firstLine="709"/>
        <w:jc w:val="both"/>
        <w:rPr>
          <w:rFonts w:eastAsia="Times New Roman" w:cs="Times New Roman"/>
          <w:szCs w:val="24"/>
        </w:rPr>
      </w:pPr>
      <w:r>
        <w:rPr>
          <w:rFonts w:eastAsia="Times New Roman" w:cs="Times New Roman"/>
          <w:szCs w:val="24"/>
        </w:rPr>
        <w:t>[4] </w:t>
      </w:r>
      <w:r w:rsidR="002F63EE">
        <w:rPr>
          <w:rFonts w:eastAsia="Times New Roman" w:cs="Times New Roman"/>
          <w:szCs w:val="24"/>
        </w:rPr>
        <w:t xml:space="preserve"> </w:t>
      </w:r>
      <w:r>
        <w:rPr>
          <w:rFonts w:eastAsia="Times New Roman" w:cs="Times New Roman"/>
          <w:szCs w:val="24"/>
        </w:rPr>
        <w:t xml:space="preserve">Par </w:t>
      </w:r>
      <w:r w:rsidR="00C209A2">
        <w:rPr>
          <w:rFonts w:eastAsia="Times New Roman" w:cs="Times New Roman"/>
          <w:szCs w:val="24"/>
        </w:rPr>
        <w:t>[..]</w:t>
      </w:r>
      <w:r w:rsidR="00F5760A">
        <w:rPr>
          <w:rFonts w:eastAsia="Times New Roman" w:cs="Times New Roman"/>
          <w:szCs w:val="24"/>
        </w:rPr>
        <w:t xml:space="preserve"> apgabaltiesas </w:t>
      </w:r>
      <w:proofErr w:type="gramStart"/>
      <w:r w:rsidR="00F5760A">
        <w:rPr>
          <w:rFonts w:eastAsia="Times New Roman" w:cs="Times New Roman"/>
          <w:szCs w:val="24"/>
        </w:rPr>
        <w:t>2020</w:t>
      </w:r>
      <w:r w:rsidR="0037106A">
        <w:rPr>
          <w:rFonts w:eastAsia="Times New Roman" w:cs="Times New Roman"/>
          <w:szCs w:val="24"/>
        </w:rPr>
        <w:t>.gada</w:t>
      </w:r>
      <w:proofErr w:type="gramEnd"/>
      <w:r w:rsidR="0037106A">
        <w:rPr>
          <w:rFonts w:eastAsia="Times New Roman" w:cs="Times New Roman"/>
          <w:szCs w:val="24"/>
        </w:rPr>
        <w:t xml:space="preserve"> </w:t>
      </w:r>
      <w:r w:rsidR="00C209A2">
        <w:rPr>
          <w:rFonts w:eastAsia="Times New Roman" w:cs="Times New Roman"/>
          <w:szCs w:val="24"/>
        </w:rPr>
        <w:t>[..]</w:t>
      </w:r>
      <w:r w:rsidR="0037106A">
        <w:rPr>
          <w:rFonts w:eastAsia="Times New Roman" w:cs="Times New Roman"/>
          <w:szCs w:val="24"/>
        </w:rPr>
        <w:t xml:space="preserve"> lēmumu apsūdzētais</w:t>
      </w:r>
      <w:r>
        <w:rPr>
          <w:rFonts w:eastAsia="Times New Roman" w:cs="Times New Roman"/>
          <w:szCs w:val="24"/>
        </w:rPr>
        <w:t xml:space="preserve"> </w:t>
      </w:r>
      <w:r w:rsidR="00C209A2">
        <w:rPr>
          <w:rFonts w:eastAsia="Times New Roman" w:cs="Times New Roman"/>
          <w:szCs w:val="24"/>
        </w:rPr>
        <w:t>[pers. A]</w:t>
      </w:r>
      <w:r w:rsidR="0037106A">
        <w:rPr>
          <w:rFonts w:eastAsia="Times New Roman" w:cs="Times New Roman"/>
          <w:szCs w:val="24"/>
        </w:rPr>
        <w:t xml:space="preserve"> </w:t>
      </w:r>
      <w:r>
        <w:rPr>
          <w:rFonts w:eastAsia="Times New Roman" w:cs="Times New Roman"/>
          <w:szCs w:val="24"/>
        </w:rPr>
        <w:t xml:space="preserve">iesniedzis sūdzību, kurā lūdz </w:t>
      </w:r>
      <w:r w:rsidR="00B45640">
        <w:rPr>
          <w:rFonts w:eastAsia="Times New Roman" w:cs="Times New Roman"/>
          <w:szCs w:val="24"/>
        </w:rPr>
        <w:t xml:space="preserve">atcelt </w:t>
      </w:r>
      <w:r w:rsidR="00BA0C4B">
        <w:rPr>
          <w:rFonts w:eastAsia="Times New Roman" w:cs="Times New Roman"/>
          <w:szCs w:val="24"/>
        </w:rPr>
        <w:t xml:space="preserve">šo </w:t>
      </w:r>
      <w:r w:rsidR="00716079">
        <w:rPr>
          <w:rFonts w:eastAsia="Times New Roman" w:cs="Times New Roman"/>
          <w:szCs w:val="24"/>
        </w:rPr>
        <w:t>lēmumu.</w:t>
      </w:r>
    </w:p>
    <w:p w14:paraId="29265016" w14:textId="7210DEE1" w:rsidR="00291E49" w:rsidRPr="004B18EB" w:rsidRDefault="00D53E5B" w:rsidP="002F63EE">
      <w:pPr>
        <w:spacing w:after="0" w:line="276" w:lineRule="auto"/>
        <w:ind w:firstLine="709"/>
        <w:jc w:val="both"/>
      </w:pPr>
      <w:r w:rsidRPr="004B18EB">
        <w:rPr>
          <w:rFonts w:eastAsia="Times New Roman" w:cs="Times New Roman"/>
          <w:szCs w:val="24"/>
        </w:rPr>
        <w:t>[4.</w:t>
      </w:r>
      <w:r w:rsidR="00525C56" w:rsidRPr="00A34035">
        <w:rPr>
          <w:rFonts w:eastAsia="Times New Roman" w:cs="Times New Roman"/>
          <w:color w:val="000000" w:themeColor="text1"/>
          <w:szCs w:val="24"/>
        </w:rPr>
        <w:t>1</w:t>
      </w:r>
      <w:r w:rsidRPr="004B18EB">
        <w:rPr>
          <w:rFonts w:eastAsia="Times New Roman" w:cs="Times New Roman"/>
          <w:szCs w:val="24"/>
        </w:rPr>
        <w:t xml:space="preserve">] </w:t>
      </w:r>
      <w:r w:rsidR="00C209A2">
        <w:rPr>
          <w:rFonts w:eastAsia="Times New Roman" w:cs="Times New Roman"/>
          <w:szCs w:val="24"/>
        </w:rPr>
        <w:t>[Pers. A]</w:t>
      </w:r>
      <w:r w:rsidR="00E10DAC">
        <w:t xml:space="preserve"> uzskata, ka </w:t>
      </w:r>
      <w:r w:rsidR="00E10DAC" w:rsidRPr="004B18EB">
        <w:t xml:space="preserve">tiesa nepamatoti </w:t>
      </w:r>
      <w:r w:rsidR="00E10DAC">
        <w:t xml:space="preserve">atzinusi, ka viņš uz tiesas sēdi </w:t>
      </w:r>
      <w:r w:rsidR="00E10DAC" w:rsidRPr="004B18EB">
        <w:t xml:space="preserve">nav ieradies </w:t>
      </w:r>
      <w:r w:rsidR="00E10DAC">
        <w:t xml:space="preserve">neattaisnojošu iemeslu dēļ un saskaņā </w:t>
      </w:r>
      <w:r w:rsidR="00E10DAC" w:rsidRPr="004B18EB">
        <w:t>Kriminālprocesa likuma</w:t>
      </w:r>
      <w:r w:rsidR="00E10DAC">
        <w:t xml:space="preserve"> </w:t>
      </w:r>
      <w:proofErr w:type="gramStart"/>
      <w:r w:rsidR="00E10DAC">
        <w:t>463.panta</w:t>
      </w:r>
      <w:proofErr w:type="gramEnd"/>
      <w:r w:rsidR="00E10DAC">
        <w:t xml:space="preserve"> trešo daļu lēmusi par drošības līdzekļa – apcietinājuma – </w:t>
      </w:r>
      <w:r w:rsidR="00E10DAC" w:rsidRPr="004B18EB">
        <w:t>piemērošanu.</w:t>
      </w:r>
      <w:r w:rsidR="00E10DAC">
        <w:t xml:space="preserve"> </w:t>
      </w:r>
      <w:r w:rsidR="00091DF8" w:rsidRPr="00F11E5F">
        <w:t xml:space="preserve">Konkrētajā gadījumā </w:t>
      </w:r>
      <w:r w:rsidR="00D33F2C" w:rsidRPr="00F11E5F">
        <w:rPr>
          <w:rFonts w:eastAsia="Times New Roman" w:cs="Times New Roman"/>
          <w:szCs w:val="24"/>
        </w:rPr>
        <w:t xml:space="preserve">apcietinājuma piemērošana nav samērīga, </w:t>
      </w:r>
      <w:r w:rsidR="00D33F2C" w:rsidRPr="00F11E5F">
        <w:t>t</w:t>
      </w:r>
      <w:r w:rsidR="00E10DAC" w:rsidRPr="00F11E5F">
        <w:rPr>
          <w:rFonts w:eastAsia="Times New Roman" w:cs="Times New Roman"/>
          <w:szCs w:val="24"/>
        </w:rPr>
        <w:t>iesa nav vērtējusi mazāk ierobežojoša procesuālā piespiedu līdzekļa piemērošanas</w:t>
      </w:r>
      <w:r w:rsidR="00D33F2C" w:rsidRPr="00F11E5F">
        <w:rPr>
          <w:rFonts w:eastAsia="Times New Roman" w:cs="Times New Roman"/>
          <w:szCs w:val="24"/>
        </w:rPr>
        <w:t xml:space="preserve"> iespējamību.</w:t>
      </w:r>
      <w:r w:rsidR="00E10DAC">
        <w:rPr>
          <w:rFonts w:eastAsia="Times New Roman" w:cs="Times New Roman"/>
          <w:szCs w:val="24"/>
        </w:rPr>
        <w:t xml:space="preserve"> </w:t>
      </w:r>
      <w:r w:rsidR="002F63EE">
        <w:rPr>
          <w:rFonts w:eastAsia="Times New Roman" w:cs="Times New Roman"/>
          <w:szCs w:val="24"/>
        </w:rPr>
        <w:t>Apsūdzētais</w:t>
      </w:r>
      <w:r w:rsidR="002E6F10" w:rsidRPr="004B18EB">
        <w:rPr>
          <w:rFonts w:eastAsia="Times New Roman" w:cs="Times New Roman"/>
          <w:szCs w:val="24"/>
        </w:rPr>
        <w:t xml:space="preserve"> norāda, ka šā gada </w:t>
      </w:r>
      <w:proofErr w:type="gramStart"/>
      <w:r w:rsidR="002E6F10" w:rsidRPr="004B18EB">
        <w:rPr>
          <w:rFonts w:eastAsia="Times New Roman" w:cs="Times New Roman"/>
          <w:szCs w:val="24"/>
        </w:rPr>
        <w:t>28.septembrī</w:t>
      </w:r>
      <w:proofErr w:type="gramEnd"/>
      <w:r w:rsidR="002E6F10" w:rsidRPr="004B18EB">
        <w:rPr>
          <w:rFonts w:eastAsia="Times New Roman" w:cs="Times New Roman"/>
          <w:szCs w:val="24"/>
        </w:rPr>
        <w:t xml:space="preserve"> sakarā ar darba pienākumu izpildi devies</w:t>
      </w:r>
      <w:r w:rsidR="00BA0C4B">
        <w:rPr>
          <w:rFonts w:eastAsia="Times New Roman" w:cs="Times New Roman"/>
          <w:szCs w:val="24"/>
        </w:rPr>
        <w:t xml:space="preserve"> komandējumā uz </w:t>
      </w:r>
      <w:r w:rsidR="008A07C3">
        <w:rPr>
          <w:rFonts w:eastAsia="Times New Roman" w:cs="Times New Roman"/>
          <w:szCs w:val="24"/>
        </w:rPr>
        <w:t>[ārvalsti]</w:t>
      </w:r>
      <w:r w:rsidR="00BA0C4B">
        <w:rPr>
          <w:rFonts w:eastAsia="Times New Roman" w:cs="Times New Roman"/>
          <w:szCs w:val="24"/>
        </w:rPr>
        <w:t>, kur</w:t>
      </w:r>
      <w:r w:rsidR="002E6F10" w:rsidRPr="004B18EB">
        <w:rPr>
          <w:rFonts w:eastAsia="Times New Roman" w:cs="Times New Roman"/>
          <w:szCs w:val="24"/>
        </w:rPr>
        <w:t xml:space="preserve"> nekādi epidemioloģiskie pasākumi nebija jāievēro.  Atgriežoties no </w:t>
      </w:r>
      <w:r w:rsidR="008A07C3">
        <w:rPr>
          <w:rFonts w:eastAsia="Times New Roman" w:cs="Times New Roman"/>
          <w:szCs w:val="24"/>
        </w:rPr>
        <w:t>[ārvalsts]</w:t>
      </w:r>
      <w:r w:rsidR="00D738B7" w:rsidRPr="004B18EB">
        <w:rPr>
          <w:rFonts w:eastAsia="Times New Roman" w:cs="Times New Roman"/>
          <w:szCs w:val="24"/>
        </w:rPr>
        <w:t xml:space="preserve"> </w:t>
      </w:r>
      <w:r w:rsidR="00291E49" w:rsidRPr="004B18EB">
        <w:rPr>
          <w:rFonts w:eastAsia="Times New Roman" w:cs="Times New Roman"/>
          <w:szCs w:val="24"/>
        </w:rPr>
        <w:t xml:space="preserve">no </w:t>
      </w:r>
      <w:r w:rsidR="002E6F10" w:rsidRPr="004B18EB">
        <w:t xml:space="preserve">Slimību profilakses un kontroles centra </w:t>
      </w:r>
      <w:r w:rsidR="00503E13">
        <w:t>uzzināja</w:t>
      </w:r>
      <w:r w:rsidR="002E6F10" w:rsidRPr="004B18EB">
        <w:t>, ka viņam ir aizliegts apmeklēt tiesas sēdi klātienē un ir jāievēro pašizolācijas pasākumi. Par minēto</w:t>
      </w:r>
      <w:r w:rsidR="00291E49" w:rsidRPr="004B18EB">
        <w:t xml:space="preserve"> </w:t>
      </w:r>
      <w:r w:rsidR="00C209A2">
        <w:t>[pers. A]</w:t>
      </w:r>
      <w:r w:rsidR="002F63EE">
        <w:t xml:space="preserve"> nekavējoties informēja</w:t>
      </w:r>
      <w:r w:rsidR="002E6F10" w:rsidRPr="004B18EB">
        <w:t xml:space="preserve"> </w:t>
      </w:r>
      <w:r w:rsidR="00071AA3" w:rsidRPr="004B18EB">
        <w:t xml:space="preserve">savu aizstāvi un </w:t>
      </w:r>
      <w:r w:rsidRPr="004B18EB">
        <w:t xml:space="preserve">tiesu, </w:t>
      </w:r>
      <w:r w:rsidR="00E10DAC">
        <w:t>norād</w:t>
      </w:r>
      <w:r w:rsidR="002F63EE">
        <w:t>īja</w:t>
      </w:r>
      <w:r w:rsidR="002E6F10" w:rsidRPr="004B18EB">
        <w:t xml:space="preserve">, ka tiesas sēdē var piedalīties attālināti, ievērojot epidemioloģiskos ierobežojumus. Taču tiesa nebija pilnvērtīgi noskaidrojusi visus apstākļus saistībā ar </w:t>
      </w:r>
      <w:r w:rsidR="00C209A2">
        <w:t>[pers. A]</w:t>
      </w:r>
      <w:r w:rsidR="002E6F10" w:rsidRPr="004B18EB">
        <w:t xml:space="preserve"> </w:t>
      </w:r>
      <w:r w:rsidRPr="004B18EB">
        <w:t>ne</w:t>
      </w:r>
      <w:r w:rsidR="002E6F10" w:rsidRPr="004B18EB">
        <w:t xml:space="preserve">ierašanos uz tiesas sēdi, </w:t>
      </w:r>
      <w:proofErr w:type="gramStart"/>
      <w:r w:rsidR="002E6F10" w:rsidRPr="004B18EB">
        <w:t>līdz ar to liedzot viņam</w:t>
      </w:r>
      <w:r w:rsidR="00D738B7" w:rsidRPr="004B18EB">
        <w:t xml:space="preserve"> iespēju</w:t>
      </w:r>
      <w:proofErr w:type="gramEnd"/>
      <w:r w:rsidRPr="004B18EB">
        <w:t xml:space="preserve"> iesniegt</w:t>
      </w:r>
      <w:r w:rsidR="002E6F10" w:rsidRPr="004B18EB">
        <w:t xml:space="preserve"> </w:t>
      </w:r>
      <w:r w:rsidR="00071AA3" w:rsidRPr="004B18EB">
        <w:t>attaisnojošu</w:t>
      </w:r>
      <w:r w:rsidR="00291E49" w:rsidRPr="004B18EB">
        <w:t>s dokumentus.</w:t>
      </w:r>
    </w:p>
    <w:p w14:paraId="3DDB293E" w14:textId="2813C358" w:rsidR="002E6F10" w:rsidRPr="004B18EB" w:rsidRDefault="00D53E5B" w:rsidP="002E6F10">
      <w:pPr>
        <w:spacing w:after="0" w:line="276" w:lineRule="auto"/>
        <w:ind w:firstLine="709"/>
        <w:jc w:val="both"/>
        <w:rPr>
          <w:rFonts w:eastAsia="Times New Roman" w:cs="Times New Roman"/>
          <w:szCs w:val="24"/>
        </w:rPr>
      </w:pPr>
      <w:r w:rsidRPr="004B18EB">
        <w:rPr>
          <w:rFonts w:eastAsia="Times New Roman" w:cs="Times New Roman"/>
          <w:szCs w:val="24"/>
        </w:rPr>
        <w:t>[4</w:t>
      </w:r>
      <w:r w:rsidRPr="00A34035">
        <w:rPr>
          <w:rFonts w:eastAsia="Times New Roman" w:cs="Times New Roman"/>
          <w:color w:val="000000" w:themeColor="text1"/>
          <w:szCs w:val="24"/>
        </w:rPr>
        <w:t>.</w:t>
      </w:r>
      <w:r w:rsidR="00525C56" w:rsidRPr="00A34035">
        <w:rPr>
          <w:rFonts w:eastAsia="Times New Roman" w:cs="Times New Roman"/>
          <w:color w:val="000000" w:themeColor="text1"/>
          <w:szCs w:val="24"/>
        </w:rPr>
        <w:t>2</w:t>
      </w:r>
      <w:r w:rsidRPr="004B18EB">
        <w:rPr>
          <w:rFonts w:eastAsia="Times New Roman" w:cs="Times New Roman"/>
          <w:szCs w:val="24"/>
        </w:rPr>
        <w:t xml:space="preserve">] </w:t>
      </w:r>
      <w:r w:rsidR="002E6F10" w:rsidRPr="004B18EB">
        <w:rPr>
          <w:rFonts w:eastAsia="Times New Roman" w:cs="Times New Roman"/>
          <w:szCs w:val="24"/>
        </w:rPr>
        <w:t xml:space="preserve">Ņemot vērā Ministru kabineta </w:t>
      </w:r>
      <w:proofErr w:type="gramStart"/>
      <w:r w:rsidR="002E6F10" w:rsidRPr="004B18EB">
        <w:rPr>
          <w:rFonts w:eastAsia="Times New Roman" w:cs="Times New Roman"/>
          <w:szCs w:val="24"/>
        </w:rPr>
        <w:t>2020.gada</w:t>
      </w:r>
      <w:proofErr w:type="gramEnd"/>
      <w:r w:rsidR="002E6F10" w:rsidRPr="004B18EB">
        <w:rPr>
          <w:rFonts w:eastAsia="Times New Roman" w:cs="Times New Roman"/>
          <w:szCs w:val="24"/>
        </w:rPr>
        <w:t xml:space="preserve"> 6.novembra</w:t>
      </w:r>
      <w:r w:rsidR="00793B3A" w:rsidRPr="004B18EB">
        <w:rPr>
          <w:rFonts w:eastAsia="Times New Roman" w:cs="Times New Roman"/>
          <w:szCs w:val="24"/>
        </w:rPr>
        <w:t xml:space="preserve"> rīkojuma</w:t>
      </w:r>
      <w:r w:rsidR="002E6F10" w:rsidRPr="004B18EB">
        <w:rPr>
          <w:rFonts w:eastAsia="Times New Roman" w:cs="Times New Roman"/>
          <w:szCs w:val="24"/>
        </w:rPr>
        <w:t xml:space="preserve"> Nr. 655  ,,Par ārkārtējās situācijas izsludināšanu”  5.19.punktu, uzskata, ka ārkārtējās situācijas laikā tiesām maksimā</w:t>
      </w:r>
      <w:r w:rsidR="00793B3A" w:rsidRPr="004B18EB">
        <w:rPr>
          <w:rFonts w:eastAsia="Times New Roman" w:cs="Times New Roman"/>
          <w:szCs w:val="24"/>
        </w:rPr>
        <w:t>li jānodrošina lietu izskatīšana</w:t>
      </w:r>
      <w:r w:rsidR="002E6F10" w:rsidRPr="004B18EB">
        <w:rPr>
          <w:rFonts w:eastAsia="Times New Roman" w:cs="Times New Roman"/>
          <w:szCs w:val="24"/>
        </w:rPr>
        <w:t xml:space="preserve"> rakstveida procesā. Lai tiesas sēde notiktu klātienē, lietā ir jākonstatē nozīmīgs personas tiesību aizskārums un objektīva steidzamība, kā arī, ja lieta ir saistīta ar</w:t>
      </w:r>
      <w:r w:rsidRPr="004B18EB">
        <w:rPr>
          <w:rFonts w:eastAsia="Times New Roman" w:cs="Times New Roman"/>
          <w:szCs w:val="24"/>
        </w:rPr>
        <w:t xml:space="preserve"> valsts noslēpuma aizsardzību. </w:t>
      </w:r>
      <w:r w:rsidR="00E72D52" w:rsidRPr="004B18EB">
        <w:rPr>
          <w:rFonts w:eastAsia="Times New Roman" w:cs="Times New Roman"/>
          <w:szCs w:val="24"/>
        </w:rPr>
        <w:t xml:space="preserve">Pēc </w:t>
      </w:r>
      <w:r w:rsidR="00C209A2">
        <w:rPr>
          <w:rFonts w:eastAsia="Times New Roman" w:cs="Times New Roman"/>
          <w:szCs w:val="24"/>
        </w:rPr>
        <w:t>[pers. </w:t>
      </w:r>
      <w:r w:rsidR="00C209A2">
        <w:t>A]</w:t>
      </w:r>
      <w:r w:rsidR="00E72D52" w:rsidRPr="004B18EB">
        <w:rPr>
          <w:rFonts w:eastAsia="Times New Roman" w:cs="Times New Roman"/>
          <w:szCs w:val="24"/>
        </w:rPr>
        <w:t xml:space="preserve"> domām, </w:t>
      </w:r>
      <w:r w:rsidRPr="004B18EB">
        <w:rPr>
          <w:rFonts w:eastAsia="Times New Roman" w:cs="Times New Roman"/>
          <w:szCs w:val="24"/>
        </w:rPr>
        <w:t>m</w:t>
      </w:r>
      <w:r w:rsidR="002E6F10" w:rsidRPr="004B18EB">
        <w:rPr>
          <w:rFonts w:eastAsia="Times New Roman" w:cs="Times New Roman"/>
          <w:szCs w:val="24"/>
        </w:rPr>
        <w:t>inētie kritēriji neattiecas uz konkrēto lietu.</w:t>
      </w:r>
    </w:p>
    <w:p w14:paraId="1BCA13C8" w14:textId="3340FFBA" w:rsidR="002E6F10" w:rsidRDefault="00E10DAC" w:rsidP="00E10DAC">
      <w:pPr>
        <w:spacing w:after="0" w:line="276" w:lineRule="auto"/>
        <w:ind w:firstLine="709"/>
        <w:jc w:val="both"/>
        <w:rPr>
          <w:rFonts w:eastAsia="Times New Roman" w:cs="Times New Roman"/>
          <w:szCs w:val="24"/>
        </w:rPr>
      </w:pPr>
      <w:r>
        <w:rPr>
          <w:rFonts w:eastAsia="Times New Roman" w:cs="Times New Roman"/>
          <w:szCs w:val="24"/>
        </w:rPr>
        <w:t xml:space="preserve"> </w:t>
      </w:r>
      <w:r w:rsidR="00CD5909">
        <w:rPr>
          <w:rFonts w:eastAsia="Times New Roman" w:cs="Times New Roman"/>
          <w:szCs w:val="24"/>
        </w:rPr>
        <w:t>[4.</w:t>
      </w:r>
      <w:r w:rsidR="00525C56" w:rsidRPr="00A34035">
        <w:rPr>
          <w:rFonts w:eastAsia="Times New Roman" w:cs="Times New Roman"/>
          <w:color w:val="000000" w:themeColor="text1"/>
          <w:szCs w:val="24"/>
        </w:rPr>
        <w:t>3</w:t>
      </w:r>
      <w:r w:rsidR="00D53E5B" w:rsidRPr="00A34035">
        <w:rPr>
          <w:rFonts w:eastAsia="Times New Roman" w:cs="Times New Roman"/>
          <w:szCs w:val="24"/>
        </w:rPr>
        <w:t>]</w:t>
      </w:r>
      <w:r w:rsidR="006E2A0A">
        <w:rPr>
          <w:rFonts w:eastAsia="Times New Roman" w:cs="Times New Roman"/>
          <w:szCs w:val="24"/>
        </w:rPr>
        <w:t xml:space="preserve"> </w:t>
      </w:r>
      <w:r w:rsidR="00C209A2">
        <w:rPr>
          <w:rFonts w:eastAsia="Times New Roman" w:cs="Times New Roman"/>
          <w:szCs w:val="24"/>
        </w:rPr>
        <w:t>[Pers. </w:t>
      </w:r>
      <w:r w:rsidR="00C209A2">
        <w:t>A]</w:t>
      </w:r>
      <w:r w:rsidR="00525C56" w:rsidRPr="00A34035">
        <w:rPr>
          <w:rFonts w:eastAsia="Times New Roman" w:cs="Times New Roman"/>
          <w:szCs w:val="24"/>
        </w:rPr>
        <w:t xml:space="preserve"> uzskata, ka apelācijas instances tiesa nepamatoti piemērojusi Kriminālprocesa likuma </w:t>
      </w:r>
      <w:proofErr w:type="gramStart"/>
      <w:r w:rsidR="00525C56" w:rsidRPr="00A34035">
        <w:rPr>
          <w:rFonts w:eastAsia="Times New Roman" w:cs="Times New Roman"/>
          <w:szCs w:val="24"/>
        </w:rPr>
        <w:t>272.panta</w:t>
      </w:r>
      <w:proofErr w:type="gramEnd"/>
      <w:r w:rsidR="00525C56" w:rsidRPr="00A34035">
        <w:rPr>
          <w:rFonts w:eastAsia="Times New Roman" w:cs="Times New Roman"/>
          <w:szCs w:val="24"/>
        </w:rPr>
        <w:t xml:space="preserve"> ceturto daļu saistībā ar Kriminālprocesa likuma 241.panta trešo daļu, kā arī kļūdaini norādījusi, ka atbilstoši Krimināllikuma (domājams, Kriminālprocesa likuma) 272.panta pirmajai daļai apcietinājuma piemērošanas pamats ir izvairīšanās no tiesas.</w:t>
      </w:r>
      <w:r w:rsidR="00525C56" w:rsidRPr="00A34035">
        <w:rPr>
          <w:rFonts w:eastAsia="Times New Roman" w:cs="Times New Roman"/>
          <w:color w:val="FF0000"/>
          <w:szCs w:val="24"/>
        </w:rPr>
        <w:t xml:space="preserve"> </w:t>
      </w:r>
      <w:r w:rsidR="002E6F10" w:rsidRPr="00A34035">
        <w:rPr>
          <w:rFonts w:eastAsia="Times New Roman" w:cs="Times New Roman"/>
          <w:color w:val="000000" w:themeColor="text1"/>
          <w:szCs w:val="24"/>
        </w:rPr>
        <w:t xml:space="preserve">Ņemot vērā iepriekš minēto, </w:t>
      </w:r>
      <w:r w:rsidR="002E6F10">
        <w:rPr>
          <w:rFonts w:eastAsia="Times New Roman" w:cs="Times New Roman"/>
          <w:szCs w:val="24"/>
        </w:rPr>
        <w:t>tiesa ir pārkāpusi Eiropas Cilvēktiesību un pamatbrīvību aizsardzības konvencijas 6.panta 1., 3.punktā ,,c” apakšpunktā definētās tiesības uz lietas taisnīgu izskatīšanu un Kriminālprocesa likuma 12.panta pirmo daļu.</w:t>
      </w:r>
    </w:p>
    <w:p w14:paraId="3265947B" w14:textId="77777777" w:rsidR="00C15B53" w:rsidRDefault="00C15B53" w:rsidP="00F02520">
      <w:pPr>
        <w:spacing w:after="0" w:line="276" w:lineRule="auto"/>
        <w:ind w:firstLine="709"/>
        <w:jc w:val="both"/>
        <w:rPr>
          <w:rFonts w:eastAsia="Times New Roman" w:cs="Times New Roman"/>
          <w:szCs w:val="24"/>
        </w:rPr>
      </w:pPr>
    </w:p>
    <w:p w14:paraId="7DFE0EB1" w14:textId="2679AE98" w:rsidR="00013877" w:rsidRDefault="007B5CB8" w:rsidP="00F02520">
      <w:pPr>
        <w:spacing w:after="0" w:line="276" w:lineRule="auto"/>
        <w:ind w:firstLine="709"/>
        <w:jc w:val="both"/>
        <w:rPr>
          <w:rFonts w:eastAsia="Times New Roman" w:cs="Times New Roman"/>
          <w:szCs w:val="24"/>
        </w:rPr>
      </w:pPr>
      <w:r w:rsidRPr="00415444">
        <w:rPr>
          <w:rFonts w:eastAsia="Times New Roman" w:cs="Times New Roman"/>
          <w:szCs w:val="24"/>
        </w:rPr>
        <w:t xml:space="preserve"> </w:t>
      </w:r>
      <w:r w:rsidR="005D7BBC" w:rsidRPr="00415444">
        <w:rPr>
          <w:rFonts w:eastAsia="Times New Roman" w:cs="Times New Roman"/>
          <w:szCs w:val="24"/>
        </w:rPr>
        <w:t>[</w:t>
      </w:r>
      <w:r w:rsidR="002F63EE" w:rsidRPr="00415444">
        <w:rPr>
          <w:rFonts w:eastAsia="Times New Roman" w:cs="Times New Roman"/>
          <w:color w:val="000000" w:themeColor="text1"/>
          <w:szCs w:val="24"/>
        </w:rPr>
        <w:t>5</w:t>
      </w:r>
      <w:r w:rsidR="005D7BBC" w:rsidRPr="00415444">
        <w:rPr>
          <w:rFonts w:eastAsia="Times New Roman" w:cs="Times New Roman"/>
          <w:szCs w:val="24"/>
        </w:rPr>
        <w:t>] Tiesas sēdē apsūdzētais</w:t>
      </w:r>
      <w:r w:rsidR="00C0245E" w:rsidRPr="00415444">
        <w:rPr>
          <w:rFonts w:eastAsia="Times New Roman" w:cs="Times New Roman"/>
          <w:szCs w:val="24"/>
        </w:rPr>
        <w:t xml:space="preserve"> </w:t>
      </w:r>
      <w:r w:rsidR="00C209A2">
        <w:rPr>
          <w:rFonts w:eastAsia="Times New Roman" w:cs="Times New Roman"/>
          <w:szCs w:val="24"/>
        </w:rPr>
        <w:t>[pers. A]</w:t>
      </w:r>
      <w:r w:rsidRPr="00415444">
        <w:rPr>
          <w:rFonts w:eastAsia="Times New Roman" w:cs="Times New Roman"/>
          <w:szCs w:val="24"/>
        </w:rPr>
        <w:t xml:space="preserve"> </w:t>
      </w:r>
      <w:r w:rsidR="005D7BBC" w:rsidRPr="00415444">
        <w:rPr>
          <w:rFonts w:eastAsia="Times New Roman" w:cs="Times New Roman"/>
          <w:szCs w:val="24"/>
        </w:rPr>
        <w:t xml:space="preserve">uzturēja iesniegto </w:t>
      </w:r>
      <w:r w:rsidR="00D53E5B" w:rsidRPr="00415444">
        <w:rPr>
          <w:rFonts w:eastAsia="Times New Roman" w:cs="Times New Roman"/>
          <w:szCs w:val="24"/>
        </w:rPr>
        <w:t>sūdzību</w:t>
      </w:r>
      <w:r w:rsidR="007E02A3" w:rsidRPr="00415444">
        <w:rPr>
          <w:rFonts w:eastAsia="Times New Roman" w:cs="Times New Roman"/>
          <w:szCs w:val="24"/>
        </w:rPr>
        <w:t xml:space="preserve"> </w:t>
      </w:r>
      <w:r w:rsidR="00C15B53">
        <w:rPr>
          <w:rFonts w:eastAsia="Times New Roman" w:cs="Times New Roman"/>
          <w:szCs w:val="24"/>
        </w:rPr>
        <w:t>un</w:t>
      </w:r>
      <w:r w:rsidR="007E02A3" w:rsidRPr="00415444">
        <w:rPr>
          <w:rFonts w:eastAsia="Times New Roman" w:cs="Times New Roman"/>
          <w:szCs w:val="24"/>
        </w:rPr>
        <w:t xml:space="preserve"> tajā</w:t>
      </w:r>
      <w:r w:rsidR="00C15B53">
        <w:rPr>
          <w:rFonts w:eastAsia="Times New Roman" w:cs="Times New Roman"/>
          <w:szCs w:val="24"/>
        </w:rPr>
        <w:t xml:space="preserve"> norādītos motīvus</w:t>
      </w:r>
      <w:r w:rsidR="00C0245E" w:rsidRPr="00415444">
        <w:rPr>
          <w:rFonts w:eastAsia="Times New Roman" w:cs="Times New Roman"/>
          <w:szCs w:val="24"/>
        </w:rPr>
        <w:t>.</w:t>
      </w:r>
      <w:r w:rsidR="00415444">
        <w:rPr>
          <w:rFonts w:eastAsia="Times New Roman" w:cs="Times New Roman"/>
          <w:szCs w:val="24"/>
        </w:rPr>
        <w:t xml:space="preserve"> </w:t>
      </w:r>
      <w:r w:rsidR="00CC4FF2">
        <w:rPr>
          <w:rFonts w:eastAsia="Times New Roman" w:cs="Times New Roman"/>
          <w:szCs w:val="24"/>
        </w:rPr>
        <w:t xml:space="preserve"> Papildus norādīja, </w:t>
      </w:r>
      <w:r w:rsidR="00013877">
        <w:rPr>
          <w:rFonts w:eastAsia="Times New Roman" w:cs="Times New Roman"/>
          <w:szCs w:val="24"/>
        </w:rPr>
        <w:t>ka iepriekš nav izvairījies no tiesas sēžu apmeklējuma.</w:t>
      </w:r>
      <w:r w:rsidR="00FB0684">
        <w:rPr>
          <w:rFonts w:eastAsia="Times New Roman" w:cs="Times New Roman"/>
          <w:szCs w:val="24"/>
        </w:rPr>
        <w:t xml:space="preserve"> </w:t>
      </w:r>
    </w:p>
    <w:p w14:paraId="16869E9B" w14:textId="77777777" w:rsidR="00E51BC4" w:rsidRPr="00415444" w:rsidRDefault="00E51BC4" w:rsidP="00F02520">
      <w:pPr>
        <w:spacing w:after="0" w:line="276" w:lineRule="auto"/>
        <w:ind w:firstLine="709"/>
        <w:jc w:val="both"/>
        <w:rPr>
          <w:rFonts w:eastAsia="Times New Roman" w:cs="Times New Roman"/>
          <w:szCs w:val="24"/>
        </w:rPr>
      </w:pPr>
    </w:p>
    <w:p w14:paraId="457F4EFD" w14:textId="47FBA653" w:rsidR="00E51BC4" w:rsidRDefault="00013877" w:rsidP="00FB0684">
      <w:pPr>
        <w:spacing w:after="0" w:line="276" w:lineRule="auto"/>
        <w:ind w:firstLine="709"/>
        <w:jc w:val="both"/>
      </w:pPr>
      <w:r>
        <w:rPr>
          <w:rFonts w:eastAsia="Times New Roman" w:cs="Times New Roman"/>
          <w:szCs w:val="24"/>
        </w:rPr>
        <w:t>[6</w:t>
      </w:r>
      <w:r w:rsidR="00C15B53">
        <w:rPr>
          <w:rFonts w:eastAsia="Times New Roman" w:cs="Times New Roman"/>
          <w:szCs w:val="24"/>
        </w:rPr>
        <w:t>]</w:t>
      </w:r>
      <w:r>
        <w:rPr>
          <w:rFonts w:eastAsia="Times New Roman" w:cs="Times New Roman"/>
          <w:szCs w:val="24"/>
        </w:rPr>
        <w:t xml:space="preserve"> </w:t>
      </w:r>
      <w:r w:rsidR="00415444">
        <w:rPr>
          <w:rFonts w:eastAsia="Times New Roman" w:cs="Times New Roman"/>
          <w:szCs w:val="24"/>
        </w:rPr>
        <w:t>Apsūdzētā</w:t>
      </w:r>
      <w:r w:rsidR="00C0245E" w:rsidRPr="00415444">
        <w:rPr>
          <w:rFonts w:eastAsia="Times New Roman" w:cs="Times New Roman"/>
          <w:szCs w:val="24"/>
        </w:rPr>
        <w:t xml:space="preserve"> </w:t>
      </w:r>
      <w:r w:rsidR="00C209A2">
        <w:rPr>
          <w:rFonts w:eastAsia="Times New Roman" w:cs="Times New Roman"/>
          <w:szCs w:val="24"/>
        </w:rPr>
        <w:t>[pers.</w:t>
      </w:r>
      <w:r w:rsidR="008A07C3">
        <w:rPr>
          <w:rFonts w:eastAsia="Times New Roman" w:cs="Times New Roman"/>
          <w:szCs w:val="24"/>
        </w:rPr>
        <w:t> </w:t>
      </w:r>
      <w:r w:rsidR="00C209A2">
        <w:t>A]</w:t>
      </w:r>
      <w:r w:rsidR="00415444">
        <w:rPr>
          <w:rFonts w:eastAsia="Times New Roman" w:cs="Times New Roman"/>
          <w:szCs w:val="24"/>
        </w:rPr>
        <w:t xml:space="preserve"> </w:t>
      </w:r>
      <w:r w:rsidR="005D7BBC" w:rsidRPr="00415444">
        <w:rPr>
          <w:rFonts w:eastAsia="Times New Roman" w:cs="Times New Roman"/>
          <w:szCs w:val="24"/>
        </w:rPr>
        <w:t xml:space="preserve">aizstāvis </w:t>
      </w:r>
      <w:r w:rsidR="00415444">
        <w:rPr>
          <w:rFonts w:eastAsia="Times New Roman" w:cs="Times New Roman"/>
          <w:szCs w:val="24"/>
        </w:rPr>
        <w:t xml:space="preserve">E. Štāls tiesas sēdē pievienojās apsūdzētā </w:t>
      </w:r>
      <w:r>
        <w:rPr>
          <w:rFonts w:eastAsia="Times New Roman" w:cs="Times New Roman"/>
          <w:szCs w:val="24"/>
        </w:rPr>
        <w:t xml:space="preserve">iesniegtajai </w:t>
      </w:r>
      <w:r w:rsidR="00415444">
        <w:rPr>
          <w:rFonts w:eastAsia="Times New Roman" w:cs="Times New Roman"/>
          <w:szCs w:val="24"/>
        </w:rPr>
        <w:t>sūdzībai</w:t>
      </w:r>
      <w:r>
        <w:rPr>
          <w:rFonts w:eastAsia="Times New Roman" w:cs="Times New Roman"/>
          <w:szCs w:val="24"/>
        </w:rPr>
        <w:t xml:space="preserve">. Apstiprināja, ka </w:t>
      </w:r>
      <w:r w:rsidR="00CC4FF2">
        <w:rPr>
          <w:rFonts w:eastAsia="Times New Roman" w:cs="Times New Roman"/>
          <w:szCs w:val="24"/>
        </w:rPr>
        <w:t xml:space="preserve">apsūdzētais pirms </w:t>
      </w:r>
      <w:r>
        <w:rPr>
          <w:rFonts w:eastAsia="Times New Roman" w:cs="Times New Roman"/>
          <w:szCs w:val="24"/>
        </w:rPr>
        <w:t xml:space="preserve">tiesas </w:t>
      </w:r>
      <w:r w:rsidR="00CC4FF2">
        <w:rPr>
          <w:rFonts w:eastAsia="Times New Roman" w:cs="Times New Roman"/>
          <w:szCs w:val="24"/>
        </w:rPr>
        <w:t xml:space="preserve">sēdes </w:t>
      </w:r>
      <w:proofErr w:type="gramStart"/>
      <w:r>
        <w:rPr>
          <w:rFonts w:eastAsia="Times New Roman" w:cs="Times New Roman"/>
          <w:szCs w:val="24"/>
        </w:rPr>
        <w:t>2020.gada</w:t>
      </w:r>
      <w:proofErr w:type="gramEnd"/>
      <w:r>
        <w:rPr>
          <w:rFonts w:eastAsia="Times New Roman" w:cs="Times New Roman"/>
          <w:szCs w:val="24"/>
        </w:rPr>
        <w:t xml:space="preserve"> </w:t>
      </w:r>
      <w:r w:rsidR="00C209A2">
        <w:rPr>
          <w:rFonts w:eastAsia="Times New Roman" w:cs="Times New Roman"/>
          <w:szCs w:val="24"/>
        </w:rPr>
        <w:t>[..]</w:t>
      </w:r>
      <w:r>
        <w:rPr>
          <w:rFonts w:eastAsia="Times New Roman" w:cs="Times New Roman"/>
          <w:szCs w:val="24"/>
        </w:rPr>
        <w:t xml:space="preserve"> </w:t>
      </w:r>
      <w:r w:rsidR="00CC4FF2">
        <w:rPr>
          <w:rFonts w:eastAsia="Times New Roman" w:cs="Times New Roman"/>
          <w:szCs w:val="24"/>
        </w:rPr>
        <w:t>viņu informēja</w:t>
      </w:r>
      <w:r>
        <w:rPr>
          <w:rFonts w:eastAsia="Times New Roman" w:cs="Times New Roman"/>
          <w:szCs w:val="24"/>
        </w:rPr>
        <w:t xml:space="preserve"> par </w:t>
      </w:r>
      <w:r>
        <w:t>aizliegumu</w:t>
      </w:r>
      <w:r w:rsidRPr="004B18EB">
        <w:t xml:space="preserve"> apmeklēt tiesas sēdi klāti</w:t>
      </w:r>
      <w:r>
        <w:t xml:space="preserve">enē un pašizolācijas ievērošanu. </w:t>
      </w:r>
      <w:r w:rsidR="00E51BC4">
        <w:t xml:space="preserve">Vērsa uzmanību, ka apsūdzētajam </w:t>
      </w:r>
      <w:r w:rsidR="00C209A2">
        <w:t>[pers. A]</w:t>
      </w:r>
      <w:r w:rsidR="00E51BC4">
        <w:t xml:space="preserve"> ir </w:t>
      </w:r>
      <w:r w:rsidR="00E51BC4">
        <w:rPr>
          <w:rFonts w:eastAsia="Times New Roman" w:cs="Times New Roman"/>
          <w:szCs w:val="24"/>
        </w:rPr>
        <w:t>ģimene, patstāvīgs darbs un ienākumi.</w:t>
      </w:r>
    </w:p>
    <w:p w14:paraId="40061FF8" w14:textId="77777777" w:rsidR="00013877" w:rsidRPr="00C15B53" w:rsidRDefault="00415444" w:rsidP="00C15B53">
      <w:pPr>
        <w:spacing w:after="0" w:line="276" w:lineRule="auto"/>
        <w:ind w:firstLine="709"/>
        <w:jc w:val="both"/>
        <w:rPr>
          <w:rFonts w:eastAsia="Times New Roman" w:cs="Times New Roman"/>
          <w:szCs w:val="24"/>
        </w:rPr>
      </w:pPr>
      <w:r>
        <w:rPr>
          <w:rFonts w:eastAsia="Times New Roman" w:cs="Times New Roman"/>
          <w:szCs w:val="24"/>
        </w:rPr>
        <w:t xml:space="preserve">Papildus norādīja uz Augstākās tiesas </w:t>
      </w:r>
      <w:r w:rsidR="00C15B53">
        <w:rPr>
          <w:rFonts w:eastAsia="Times New Roman" w:cs="Times New Roman"/>
          <w:szCs w:val="24"/>
        </w:rPr>
        <w:t xml:space="preserve">Senāta </w:t>
      </w:r>
      <w:proofErr w:type="gramStart"/>
      <w:r w:rsidR="00C15B53">
        <w:rPr>
          <w:rFonts w:eastAsia="Times New Roman" w:cs="Times New Roman"/>
          <w:szCs w:val="24"/>
        </w:rPr>
        <w:t>2018.gada</w:t>
      </w:r>
      <w:proofErr w:type="gramEnd"/>
      <w:r w:rsidR="00C15B53">
        <w:rPr>
          <w:rFonts w:eastAsia="Times New Roman" w:cs="Times New Roman"/>
          <w:szCs w:val="24"/>
        </w:rPr>
        <w:t xml:space="preserve"> lēmumā</w:t>
      </w:r>
      <w:r w:rsidR="00E51BC4">
        <w:rPr>
          <w:rFonts w:eastAsia="Times New Roman" w:cs="Times New Roman"/>
          <w:szCs w:val="24"/>
        </w:rPr>
        <w:t xml:space="preserve"> par drošības līdzekļa izlemšanu </w:t>
      </w:r>
      <w:r w:rsidR="00FB0684">
        <w:rPr>
          <w:rFonts w:eastAsia="Times New Roman" w:cs="Times New Roman"/>
          <w:szCs w:val="24"/>
        </w:rPr>
        <w:t>izteiktajā</w:t>
      </w:r>
      <w:r w:rsidR="00013877">
        <w:rPr>
          <w:rFonts w:eastAsia="Times New Roman" w:cs="Times New Roman"/>
          <w:szCs w:val="24"/>
        </w:rPr>
        <w:t xml:space="preserve">m atziņām, kur tiesa </w:t>
      </w:r>
      <w:r w:rsidR="00FB0684">
        <w:rPr>
          <w:rFonts w:eastAsia="Times New Roman" w:cs="Times New Roman"/>
          <w:szCs w:val="24"/>
        </w:rPr>
        <w:t>vērtējusi</w:t>
      </w:r>
      <w:r w:rsidR="00C15B53">
        <w:rPr>
          <w:rFonts w:eastAsia="Times New Roman" w:cs="Times New Roman"/>
          <w:szCs w:val="24"/>
        </w:rPr>
        <w:t xml:space="preserve"> mazāk ierobežojošu procesuālo</w:t>
      </w:r>
      <w:r w:rsidR="00013877" w:rsidRPr="00F11E5F">
        <w:rPr>
          <w:rFonts w:eastAsia="Times New Roman" w:cs="Times New Roman"/>
          <w:szCs w:val="24"/>
        </w:rPr>
        <w:t xml:space="preserve"> piespiedu līdzekļ</w:t>
      </w:r>
      <w:r w:rsidR="00C15B53">
        <w:rPr>
          <w:rFonts w:eastAsia="Times New Roman" w:cs="Times New Roman"/>
          <w:szCs w:val="24"/>
        </w:rPr>
        <w:t>u piemērošanu</w:t>
      </w:r>
      <w:r w:rsidR="00013877">
        <w:rPr>
          <w:rFonts w:eastAsia="Times New Roman" w:cs="Times New Roman"/>
          <w:szCs w:val="24"/>
        </w:rPr>
        <w:t xml:space="preserve"> </w:t>
      </w:r>
      <w:r w:rsidR="00FB0684">
        <w:rPr>
          <w:rFonts w:eastAsia="Times New Roman" w:cs="Times New Roman"/>
          <w:szCs w:val="24"/>
        </w:rPr>
        <w:t>pirms</w:t>
      </w:r>
      <w:r w:rsidR="00013877">
        <w:rPr>
          <w:rFonts w:eastAsia="Times New Roman" w:cs="Times New Roman"/>
          <w:szCs w:val="24"/>
        </w:rPr>
        <w:t xml:space="preserve"> </w:t>
      </w:r>
      <w:r w:rsidR="00013877">
        <w:t>vis</w:t>
      </w:r>
      <w:r w:rsidR="00013877" w:rsidRPr="008457A4">
        <w:t>vairāk</w:t>
      </w:r>
      <w:r w:rsidR="00FB0684">
        <w:t xml:space="preserve"> ierobežojoša</w:t>
      </w:r>
      <w:r w:rsidR="00013877">
        <w:t xml:space="preserve"> drošības </w:t>
      </w:r>
      <w:r w:rsidR="00FB0684">
        <w:t>līdzekļa</w:t>
      </w:r>
      <w:r w:rsidR="00013877">
        <w:t xml:space="preserve"> – a</w:t>
      </w:r>
      <w:r w:rsidR="00FB0684">
        <w:t>pcietinājuma – piemērošanas.</w:t>
      </w:r>
      <w:r w:rsidR="00013877" w:rsidRPr="008457A4">
        <w:t xml:space="preserve"> </w:t>
      </w:r>
    </w:p>
    <w:p w14:paraId="460541B0" w14:textId="77777777" w:rsidR="00332154" w:rsidRDefault="00332154" w:rsidP="00013877">
      <w:pPr>
        <w:spacing w:after="0" w:line="276" w:lineRule="auto"/>
        <w:jc w:val="both"/>
        <w:rPr>
          <w:rFonts w:eastAsia="Times New Roman" w:cs="Times New Roman"/>
          <w:szCs w:val="24"/>
        </w:rPr>
      </w:pPr>
    </w:p>
    <w:p w14:paraId="52B5D98C" w14:textId="77777777" w:rsidR="005B509E" w:rsidRDefault="005B509E" w:rsidP="005B509E">
      <w:pPr>
        <w:spacing w:after="0" w:line="276" w:lineRule="auto"/>
        <w:jc w:val="center"/>
        <w:rPr>
          <w:rFonts w:eastAsia="Times New Roman" w:cs="Times New Roman"/>
          <w:b/>
          <w:szCs w:val="24"/>
        </w:rPr>
      </w:pPr>
      <w:r>
        <w:rPr>
          <w:rFonts w:eastAsia="Times New Roman" w:cs="Times New Roman"/>
          <w:b/>
          <w:szCs w:val="24"/>
        </w:rPr>
        <w:t>Motīvu daļa</w:t>
      </w:r>
    </w:p>
    <w:p w14:paraId="2567BD2F" w14:textId="77777777" w:rsidR="005B509E" w:rsidRDefault="005B509E" w:rsidP="005B509E">
      <w:pPr>
        <w:spacing w:after="0" w:line="276" w:lineRule="auto"/>
        <w:jc w:val="center"/>
        <w:rPr>
          <w:rFonts w:eastAsia="Times New Roman" w:cs="Times New Roman"/>
          <w:szCs w:val="24"/>
        </w:rPr>
      </w:pPr>
    </w:p>
    <w:p w14:paraId="17D16814" w14:textId="01E1A175" w:rsidR="00C12A59" w:rsidRDefault="00C0245E" w:rsidP="00C12A59">
      <w:pPr>
        <w:tabs>
          <w:tab w:val="left" w:pos="0"/>
          <w:tab w:val="left" w:pos="6660"/>
        </w:tabs>
        <w:spacing w:after="0" w:line="276" w:lineRule="auto"/>
        <w:ind w:firstLine="709"/>
        <w:jc w:val="both"/>
        <w:rPr>
          <w:rFonts w:eastAsia="Calibri" w:cs="Times New Roman"/>
          <w:szCs w:val="24"/>
        </w:rPr>
      </w:pPr>
      <w:r>
        <w:rPr>
          <w:rFonts w:eastAsia="Times New Roman" w:cs="Times New Roman"/>
          <w:szCs w:val="24"/>
        </w:rPr>
        <w:t>[</w:t>
      </w:r>
      <w:r w:rsidR="00013877">
        <w:rPr>
          <w:rFonts w:eastAsia="Times New Roman" w:cs="Times New Roman"/>
          <w:szCs w:val="24"/>
        </w:rPr>
        <w:t>7</w:t>
      </w:r>
      <w:r w:rsidR="005D7BBC">
        <w:rPr>
          <w:rFonts w:eastAsia="Times New Roman" w:cs="Times New Roman"/>
          <w:szCs w:val="24"/>
        </w:rPr>
        <w:t>] Senatore</w:t>
      </w:r>
      <w:r w:rsidR="005B509E">
        <w:rPr>
          <w:rFonts w:eastAsia="Times New Roman" w:cs="Times New Roman"/>
          <w:szCs w:val="24"/>
        </w:rPr>
        <w:t xml:space="preserve"> atzīst, ka </w:t>
      </w:r>
      <w:r w:rsidR="00D67916">
        <w:rPr>
          <w:rFonts w:eastAsia="Times New Roman" w:cs="Times New Roman"/>
          <w:szCs w:val="24"/>
        </w:rPr>
        <w:t xml:space="preserve">apsūdzētā </w:t>
      </w:r>
      <w:r w:rsidR="00C209A2">
        <w:rPr>
          <w:rFonts w:eastAsia="Times New Roman" w:cs="Times New Roman"/>
          <w:szCs w:val="24"/>
        </w:rPr>
        <w:t>[pers. A]</w:t>
      </w:r>
      <w:r w:rsidR="005D7BBC">
        <w:rPr>
          <w:rFonts w:eastAsia="Times New Roman" w:cs="Times New Roman"/>
          <w:szCs w:val="24"/>
        </w:rPr>
        <w:t xml:space="preserve"> sūdzība</w:t>
      </w:r>
      <w:r w:rsidR="002E6F10">
        <w:rPr>
          <w:rFonts w:eastAsia="Times New Roman" w:cs="Times New Roman"/>
          <w:szCs w:val="24"/>
        </w:rPr>
        <w:t xml:space="preserve"> ir</w:t>
      </w:r>
      <w:r w:rsidR="00A71105">
        <w:rPr>
          <w:rFonts w:eastAsia="Times New Roman" w:cs="Times New Roman"/>
          <w:szCs w:val="24"/>
        </w:rPr>
        <w:t xml:space="preserve"> </w:t>
      </w:r>
      <w:r w:rsidR="002E6F10">
        <w:rPr>
          <w:rFonts w:eastAsia="Times New Roman" w:cs="Times New Roman"/>
          <w:szCs w:val="24"/>
        </w:rPr>
        <w:t>apmierināma</w:t>
      </w:r>
      <w:r w:rsidR="00E51BC4">
        <w:rPr>
          <w:rFonts w:eastAsia="Times New Roman" w:cs="Times New Roman"/>
          <w:szCs w:val="24"/>
        </w:rPr>
        <w:t xml:space="preserve"> un</w:t>
      </w:r>
      <w:r w:rsidR="00D67916">
        <w:rPr>
          <w:rFonts w:eastAsia="Times New Roman" w:cs="Times New Roman"/>
          <w:szCs w:val="24"/>
        </w:rPr>
        <w:t xml:space="preserve"> </w:t>
      </w:r>
      <w:r w:rsidR="008A07C3">
        <w:rPr>
          <w:rFonts w:eastAsia="Calibri" w:cs="Times New Roman"/>
          <w:color w:val="000000" w:themeColor="text1"/>
          <w:szCs w:val="24"/>
        </w:rPr>
        <w:t>[..]</w:t>
      </w:r>
      <w:r w:rsidR="005D7BBC">
        <w:rPr>
          <w:rFonts w:eastAsia="Calibri" w:cs="Times New Roman"/>
          <w:color w:val="000000" w:themeColor="text1"/>
          <w:szCs w:val="24"/>
        </w:rPr>
        <w:t xml:space="preserve"> </w:t>
      </w:r>
      <w:r w:rsidR="00D67916" w:rsidRPr="006D4DF5">
        <w:rPr>
          <w:rFonts w:eastAsia="Calibri" w:cs="Times New Roman"/>
          <w:color w:val="000000" w:themeColor="text1"/>
          <w:szCs w:val="24"/>
        </w:rPr>
        <w:t>apgabalti</w:t>
      </w:r>
      <w:r w:rsidR="005D7BBC">
        <w:rPr>
          <w:rFonts w:eastAsia="Calibri" w:cs="Times New Roman"/>
          <w:color w:val="000000" w:themeColor="text1"/>
          <w:szCs w:val="24"/>
        </w:rPr>
        <w:t xml:space="preserve">esas </w:t>
      </w:r>
      <w:proofErr w:type="gramStart"/>
      <w:r w:rsidR="005D7BBC">
        <w:rPr>
          <w:rFonts w:eastAsia="Calibri" w:cs="Times New Roman"/>
          <w:color w:val="000000" w:themeColor="text1"/>
          <w:szCs w:val="24"/>
        </w:rPr>
        <w:t>2020.gada</w:t>
      </w:r>
      <w:proofErr w:type="gramEnd"/>
      <w:r w:rsidR="005D7BBC">
        <w:rPr>
          <w:rFonts w:eastAsia="Calibri" w:cs="Times New Roman"/>
          <w:color w:val="000000" w:themeColor="text1"/>
          <w:szCs w:val="24"/>
        </w:rPr>
        <w:t xml:space="preserve"> </w:t>
      </w:r>
      <w:r w:rsidR="008A07C3">
        <w:rPr>
          <w:rFonts w:eastAsia="Calibri" w:cs="Times New Roman"/>
          <w:color w:val="000000" w:themeColor="text1"/>
          <w:szCs w:val="24"/>
        </w:rPr>
        <w:t>[..]</w:t>
      </w:r>
      <w:r w:rsidR="00D67916">
        <w:rPr>
          <w:rFonts w:eastAsia="Calibri" w:cs="Times New Roman"/>
          <w:color w:val="000000" w:themeColor="text1"/>
          <w:szCs w:val="24"/>
        </w:rPr>
        <w:t xml:space="preserve"> lēmums atceļams</w:t>
      </w:r>
      <w:r w:rsidR="00D67916">
        <w:rPr>
          <w:rFonts w:eastAsia="Calibri" w:cs="Times New Roman"/>
          <w:szCs w:val="24"/>
        </w:rPr>
        <w:t>.</w:t>
      </w:r>
    </w:p>
    <w:p w14:paraId="57927CFD" w14:textId="77777777" w:rsidR="00C12A59" w:rsidRDefault="00C12A59" w:rsidP="00C12A59">
      <w:pPr>
        <w:tabs>
          <w:tab w:val="left" w:pos="0"/>
          <w:tab w:val="left" w:pos="6660"/>
        </w:tabs>
        <w:spacing w:after="0" w:line="276" w:lineRule="auto"/>
        <w:ind w:firstLine="709"/>
        <w:jc w:val="both"/>
        <w:rPr>
          <w:rFonts w:eastAsia="Calibri" w:cs="Times New Roman"/>
          <w:szCs w:val="24"/>
        </w:rPr>
      </w:pPr>
    </w:p>
    <w:p w14:paraId="29D1D8D1" w14:textId="77777777" w:rsidR="00C12A59" w:rsidRPr="00C12A59" w:rsidRDefault="00C12A59" w:rsidP="000D7527">
      <w:pPr>
        <w:tabs>
          <w:tab w:val="left" w:pos="0"/>
          <w:tab w:val="left" w:pos="2366"/>
          <w:tab w:val="left" w:pos="6660"/>
        </w:tabs>
        <w:spacing w:after="0" w:line="276" w:lineRule="auto"/>
        <w:ind w:firstLine="709"/>
        <w:jc w:val="both"/>
        <w:rPr>
          <w:rFonts w:eastAsia="Calibri" w:cs="Times New Roman"/>
          <w:szCs w:val="24"/>
        </w:rPr>
      </w:pPr>
      <w:r w:rsidRPr="008457A4">
        <w:t>[</w:t>
      </w:r>
      <w:r w:rsidR="00013877">
        <w:t>8</w:t>
      </w:r>
      <w:r w:rsidRPr="008457A4">
        <w:t>] Kriminālprocesa likuma 241.panta pirmā daļa noteic, ka procesuālā piespiedu līdzekļa piemērošanas pamats ir personas pretdarbība kriminālprocesa mērķa sasniegšanai konkrētajā kriminālprocesā vai atsevišķas procesuālās darbības veikšanai, savu procesuālo pienākumu nepildīšana vai nepienācīga pildīšana. Savukārt šā panta otrā daļa noteic, ka drošības līdzekli kā procesuālo piespiedu līdzekli piemēro aizdomās turētajam vai apsūdzētajam, ja ir pamats uzskatīt, ka attiecīgā persona turpinās noziedzīgās darbības, traucēs pirmstiesas kriminālprocesu vai tiesu vai izvairīsies no šā procesa vai tiesas.</w:t>
      </w:r>
    </w:p>
    <w:p w14:paraId="72779AC5" w14:textId="77777777" w:rsidR="00C932BA" w:rsidRDefault="00C12A59" w:rsidP="00C932BA">
      <w:pPr>
        <w:spacing w:after="0" w:line="276" w:lineRule="auto"/>
        <w:ind w:firstLine="709"/>
        <w:jc w:val="both"/>
      </w:pPr>
      <w:r w:rsidRPr="008457A4">
        <w:t xml:space="preserve">Drošības līdzekļa – apcietinājuma – piemērošanas pamats noteikts Kriminālprocesa likuma 272.pantā. Atbilstoši minētā panta pirmajai daļai apcietinājumu var piemērot tikai tad, ja kriminālprocesā iegūtas konkrētas ziņas par faktiem rada pamatotas aizdomas, ka persona ir izdarījusi noziedzīgu nodarījumu, par kuru likums paredz brīvības atņemšanas sodu, un cita drošības līdzekļa piemērošana nevar nodrošināt, ka persona neizdarīs jaunu noziedzīgu nodarījumu, netraucēs vai neizvairīsies no pirmstiesas kriminālprocesa, tiesas vai sprieduma izpildīšanas. Savukārt šā panta </w:t>
      </w:r>
      <w:r w:rsidR="000D50AD">
        <w:t>ceturtajā daļā kā papildu</w:t>
      </w:r>
      <w:r>
        <w:t xml:space="preserve"> pamats apcietinājuma piemērošanai norādīts tiesas spriedums par smaga vai</w:t>
      </w:r>
      <w:r w:rsidRPr="008457A4">
        <w:t xml:space="preserve"> sevišķi smaga nozi</w:t>
      </w:r>
      <w:r>
        <w:t>eguma izdarīšanu, par kuru piespriests brīvības atņemšanas sods.</w:t>
      </w:r>
    </w:p>
    <w:p w14:paraId="71797764" w14:textId="77777777" w:rsidR="001004F0" w:rsidRDefault="001004F0" w:rsidP="00F703A9">
      <w:pPr>
        <w:spacing w:line="276" w:lineRule="auto"/>
        <w:ind w:firstLine="720"/>
        <w:contextualSpacing/>
        <w:jc w:val="both"/>
        <w:rPr>
          <w:rFonts w:eastAsia="Times New Roman" w:cs="Times New Roman"/>
          <w:szCs w:val="24"/>
        </w:rPr>
      </w:pPr>
    </w:p>
    <w:p w14:paraId="5BE63309" w14:textId="2E4AF3CB" w:rsidR="000D50AD" w:rsidRDefault="00C0245E" w:rsidP="00F703A9">
      <w:pPr>
        <w:spacing w:line="276" w:lineRule="auto"/>
        <w:ind w:firstLine="720"/>
        <w:contextualSpacing/>
        <w:jc w:val="both"/>
        <w:rPr>
          <w:rFonts w:eastAsia="Times New Roman" w:cs="Times New Roman"/>
          <w:szCs w:val="24"/>
        </w:rPr>
      </w:pPr>
      <w:r>
        <w:rPr>
          <w:rFonts w:eastAsia="Times New Roman" w:cs="Times New Roman"/>
          <w:szCs w:val="24"/>
        </w:rPr>
        <w:t>[</w:t>
      </w:r>
      <w:r w:rsidR="00013877">
        <w:rPr>
          <w:rFonts w:eastAsia="Times New Roman" w:cs="Times New Roman"/>
          <w:szCs w:val="24"/>
        </w:rPr>
        <w:t>9</w:t>
      </w:r>
      <w:r w:rsidR="00D664E3">
        <w:rPr>
          <w:rFonts w:eastAsia="Times New Roman" w:cs="Times New Roman"/>
          <w:szCs w:val="24"/>
        </w:rPr>
        <w:t>] </w:t>
      </w:r>
      <w:r w:rsidR="00F703A9">
        <w:rPr>
          <w:rFonts w:eastAsia="Times New Roman" w:cs="Times New Roman"/>
          <w:szCs w:val="24"/>
        </w:rPr>
        <w:t xml:space="preserve"> </w:t>
      </w:r>
      <w:r w:rsidR="0062424E">
        <w:rPr>
          <w:rFonts w:eastAsia="Times New Roman" w:cs="Times New Roman"/>
          <w:szCs w:val="24"/>
        </w:rPr>
        <w:t xml:space="preserve">No </w:t>
      </w:r>
      <w:r w:rsidR="00C209A2">
        <w:rPr>
          <w:rFonts w:eastAsia="Calibri" w:cs="Times New Roman"/>
          <w:color w:val="000000" w:themeColor="text1"/>
          <w:szCs w:val="24"/>
        </w:rPr>
        <w:t>[..]</w:t>
      </w:r>
      <w:r w:rsidR="005D7BBC">
        <w:rPr>
          <w:rFonts w:eastAsia="Calibri" w:cs="Times New Roman"/>
          <w:color w:val="000000" w:themeColor="text1"/>
          <w:szCs w:val="24"/>
        </w:rPr>
        <w:t xml:space="preserve"> </w:t>
      </w:r>
      <w:r w:rsidR="005D7BBC" w:rsidRPr="006D4DF5">
        <w:rPr>
          <w:rFonts w:eastAsia="Calibri" w:cs="Times New Roman"/>
          <w:color w:val="000000" w:themeColor="text1"/>
          <w:szCs w:val="24"/>
        </w:rPr>
        <w:t>apgabalti</w:t>
      </w:r>
      <w:r w:rsidR="005D7BBC">
        <w:rPr>
          <w:rFonts w:eastAsia="Calibri" w:cs="Times New Roman"/>
          <w:color w:val="000000" w:themeColor="text1"/>
          <w:szCs w:val="24"/>
        </w:rPr>
        <w:t xml:space="preserve">esas </w:t>
      </w:r>
      <w:proofErr w:type="gramStart"/>
      <w:r w:rsidR="005D7BBC">
        <w:rPr>
          <w:rFonts w:eastAsia="Calibri" w:cs="Times New Roman"/>
          <w:color w:val="000000" w:themeColor="text1"/>
          <w:szCs w:val="24"/>
        </w:rPr>
        <w:t>2020.gada</w:t>
      </w:r>
      <w:proofErr w:type="gramEnd"/>
      <w:r w:rsidR="005D7BBC">
        <w:rPr>
          <w:rFonts w:eastAsia="Calibri" w:cs="Times New Roman"/>
          <w:color w:val="000000" w:themeColor="text1"/>
          <w:szCs w:val="24"/>
        </w:rPr>
        <w:t xml:space="preserve"> </w:t>
      </w:r>
      <w:r w:rsidR="0064272E">
        <w:rPr>
          <w:rFonts w:eastAsia="Calibri" w:cs="Times New Roman"/>
          <w:color w:val="000000" w:themeColor="text1"/>
          <w:szCs w:val="24"/>
        </w:rPr>
        <w:t>[..]</w:t>
      </w:r>
      <w:r w:rsidR="005D7BBC">
        <w:rPr>
          <w:rFonts w:eastAsia="Times New Roman" w:cs="Times New Roman"/>
          <w:szCs w:val="24"/>
        </w:rPr>
        <w:t xml:space="preserve"> </w:t>
      </w:r>
      <w:r w:rsidR="0062424E">
        <w:rPr>
          <w:rFonts w:eastAsia="Times New Roman" w:cs="Times New Roman"/>
          <w:szCs w:val="24"/>
        </w:rPr>
        <w:t>lēmuma redz</w:t>
      </w:r>
      <w:r w:rsidR="005D7BBC">
        <w:rPr>
          <w:rFonts w:eastAsia="Times New Roman" w:cs="Times New Roman"/>
          <w:szCs w:val="24"/>
        </w:rPr>
        <w:t>ams, ka tiesa drošības līdzekļa – apcietin</w:t>
      </w:r>
      <w:r w:rsidR="00D738B7">
        <w:rPr>
          <w:rFonts w:eastAsia="Times New Roman" w:cs="Times New Roman"/>
          <w:szCs w:val="24"/>
        </w:rPr>
        <w:t xml:space="preserve">ājuma – </w:t>
      </w:r>
      <w:r w:rsidR="005D7BBC">
        <w:rPr>
          <w:rFonts w:eastAsia="Times New Roman" w:cs="Times New Roman"/>
          <w:szCs w:val="24"/>
        </w:rPr>
        <w:t>piemēro</w:t>
      </w:r>
      <w:r w:rsidR="00D738B7">
        <w:rPr>
          <w:rFonts w:eastAsia="Times New Roman" w:cs="Times New Roman"/>
          <w:szCs w:val="24"/>
        </w:rPr>
        <w:t>šanu</w:t>
      </w:r>
      <w:r w:rsidR="005D7BBC">
        <w:rPr>
          <w:rFonts w:eastAsia="Times New Roman" w:cs="Times New Roman"/>
          <w:szCs w:val="24"/>
        </w:rPr>
        <w:t xml:space="preserve"> </w:t>
      </w:r>
      <w:r w:rsidR="0062424E">
        <w:rPr>
          <w:rFonts w:eastAsia="Times New Roman" w:cs="Times New Roman"/>
          <w:szCs w:val="24"/>
        </w:rPr>
        <w:t xml:space="preserve"> apsūdzētajam </w:t>
      </w:r>
      <w:r w:rsidR="008A07C3">
        <w:rPr>
          <w:rFonts w:eastAsia="Times New Roman" w:cs="Times New Roman"/>
          <w:szCs w:val="24"/>
        </w:rPr>
        <w:t>[pers. A]</w:t>
      </w:r>
      <w:r w:rsidR="000D50AD">
        <w:rPr>
          <w:rFonts w:eastAsia="Times New Roman" w:cs="Times New Roman"/>
          <w:szCs w:val="24"/>
        </w:rPr>
        <w:t xml:space="preserve"> motivējusi </w:t>
      </w:r>
      <w:r w:rsidR="0062424E">
        <w:rPr>
          <w:rFonts w:eastAsia="Times New Roman" w:cs="Times New Roman"/>
          <w:szCs w:val="24"/>
        </w:rPr>
        <w:t>ar</w:t>
      </w:r>
      <w:r w:rsidR="00D738B7">
        <w:rPr>
          <w:rFonts w:eastAsia="Times New Roman" w:cs="Times New Roman"/>
          <w:szCs w:val="24"/>
        </w:rPr>
        <w:t xml:space="preserve"> viņa apzinātu izvairīšanos no ierašanās tiesā.</w:t>
      </w:r>
    </w:p>
    <w:p w14:paraId="2940B5EA" w14:textId="1261D398" w:rsidR="000D50AD" w:rsidRDefault="00D738B7" w:rsidP="00F703A9">
      <w:pPr>
        <w:spacing w:line="276" w:lineRule="auto"/>
        <w:ind w:firstLine="720"/>
        <w:contextualSpacing/>
        <w:jc w:val="both"/>
        <w:rPr>
          <w:rFonts w:eastAsia="Times New Roman" w:cs="Times New Roman"/>
          <w:szCs w:val="24"/>
        </w:rPr>
      </w:pPr>
      <w:r>
        <w:rPr>
          <w:rFonts w:eastAsia="Times New Roman" w:cs="Times New Roman"/>
          <w:szCs w:val="24"/>
        </w:rPr>
        <w:t xml:space="preserve"> Tiesa </w:t>
      </w:r>
      <w:r w:rsidRPr="000D50AD">
        <w:rPr>
          <w:rFonts w:eastAsia="Times New Roman" w:cs="Times New Roman"/>
          <w:szCs w:val="24"/>
        </w:rPr>
        <w:t>lēmumā</w:t>
      </w:r>
      <w:r w:rsidR="00091DF8">
        <w:rPr>
          <w:rFonts w:eastAsia="Times New Roman" w:cs="Times New Roman"/>
          <w:szCs w:val="24"/>
        </w:rPr>
        <w:t xml:space="preserve"> norādījusi, ka </w:t>
      </w:r>
      <w:r w:rsidR="008A07C3">
        <w:rPr>
          <w:rFonts w:eastAsia="Times New Roman" w:cs="Times New Roman"/>
          <w:szCs w:val="24"/>
        </w:rPr>
        <w:t>[pers. A]</w:t>
      </w:r>
      <w:r>
        <w:rPr>
          <w:rFonts w:eastAsia="Times New Roman" w:cs="Times New Roman"/>
          <w:szCs w:val="24"/>
        </w:rPr>
        <w:t xml:space="preserve"> par tiesas sēdi zināja un viņam vajadzēja rēķināties ar ierobežojumiem, kādi jāievēro, atgriežoties no ārvalstīm.</w:t>
      </w:r>
    </w:p>
    <w:p w14:paraId="328F9D16" w14:textId="2BF41B37" w:rsidR="0010413E" w:rsidRDefault="00091DF8" w:rsidP="00F703A9">
      <w:pPr>
        <w:spacing w:line="276" w:lineRule="auto"/>
        <w:ind w:firstLine="720"/>
        <w:contextualSpacing/>
        <w:jc w:val="both"/>
        <w:rPr>
          <w:rFonts w:eastAsia="Times New Roman" w:cs="Times New Roman"/>
          <w:szCs w:val="24"/>
        </w:rPr>
      </w:pPr>
      <w:r>
        <w:rPr>
          <w:rFonts w:eastAsia="Times New Roman" w:cs="Times New Roman"/>
          <w:szCs w:val="24"/>
        </w:rPr>
        <w:t xml:space="preserve"> Lai izslēgtu apsūdzētā </w:t>
      </w:r>
      <w:r w:rsidR="008A07C3">
        <w:rPr>
          <w:rFonts w:eastAsia="Times New Roman" w:cs="Times New Roman"/>
          <w:szCs w:val="24"/>
        </w:rPr>
        <w:t>[pers. A]</w:t>
      </w:r>
      <w:r w:rsidR="00D738B7">
        <w:rPr>
          <w:rFonts w:eastAsia="Times New Roman" w:cs="Times New Roman"/>
          <w:szCs w:val="24"/>
        </w:rPr>
        <w:t xml:space="preserve"> izvairīšanos no procesuālo pienākumu ievērošanas, </w:t>
      </w:r>
      <w:r w:rsidR="0010413E">
        <w:rPr>
          <w:rFonts w:eastAsia="Times New Roman" w:cs="Times New Roman"/>
          <w:szCs w:val="24"/>
        </w:rPr>
        <w:t xml:space="preserve">tiesa </w:t>
      </w:r>
      <w:r w:rsidR="00D738B7">
        <w:rPr>
          <w:rFonts w:eastAsia="Times New Roman" w:cs="Times New Roman"/>
          <w:szCs w:val="24"/>
        </w:rPr>
        <w:t xml:space="preserve">saskaņā ar Kriminālprocesa likuma </w:t>
      </w:r>
      <w:proofErr w:type="gramStart"/>
      <w:r w:rsidR="00D738B7">
        <w:rPr>
          <w:rFonts w:eastAsia="Times New Roman" w:cs="Times New Roman"/>
          <w:szCs w:val="24"/>
        </w:rPr>
        <w:t>272.panta</w:t>
      </w:r>
      <w:proofErr w:type="gramEnd"/>
      <w:r w:rsidR="00D738B7">
        <w:rPr>
          <w:rFonts w:eastAsia="Times New Roman" w:cs="Times New Roman"/>
          <w:szCs w:val="24"/>
        </w:rPr>
        <w:t xml:space="preserve"> pirmo, ceturto daļu piemērojusi </w:t>
      </w:r>
      <w:r w:rsidR="0010413E">
        <w:rPr>
          <w:rFonts w:eastAsia="Times New Roman" w:cs="Times New Roman"/>
          <w:szCs w:val="24"/>
        </w:rPr>
        <w:t>viņam drošības līdzekli – apcietinājumu.</w:t>
      </w:r>
    </w:p>
    <w:p w14:paraId="4A8A2EFB" w14:textId="77777777" w:rsidR="00C932BA" w:rsidRDefault="00C932BA" w:rsidP="00F703A9">
      <w:pPr>
        <w:spacing w:line="276" w:lineRule="auto"/>
        <w:ind w:firstLine="720"/>
        <w:contextualSpacing/>
        <w:jc w:val="both"/>
        <w:rPr>
          <w:rFonts w:eastAsia="Times New Roman" w:cs="Times New Roman"/>
          <w:szCs w:val="24"/>
        </w:rPr>
      </w:pPr>
    </w:p>
    <w:p w14:paraId="323932CB" w14:textId="77777777" w:rsidR="00B8574F" w:rsidRDefault="002C0756" w:rsidP="00207BA9">
      <w:pPr>
        <w:spacing w:after="0" w:line="276" w:lineRule="auto"/>
        <w:ind w:firstLine="709"/>
        <w:jc w:val="both"/>
        <w:rPr>
          <w:color w:val="000000" w:themeColor="text1"/>
        </w:rPr>
      </w:pPr>
      <w:r>
        <w:rPr>
          <w:rFonts w:eastAsia="Times New Roman" w:cs="Times New Roman"/>
          <w:szCs w:val="24"/>
        </w:rPr>
        <w:t>[</w:t>
      </w:r>
      <w:r w:rsidR="00013877">
        <w:rPr>
          <w:rFonts w:eastAsia="Times New Roman" w:cs="Times New Roman"/>
          <w:szCs w:val="24"/>
        </w:rPr>
        <w:t>10</w:t>
      </w:r>
      <w:r w:rsidR="00F22421">
        <w:rPr>
          <w:rFonts w:eastAsia="Times New Roman" w:cs="Times New Roman"/>
          <w:szCs w:val="24"/>
        </w:rPr>
        <w:t>]</w:t>
      </w:r>
      <w:r w:rsidR="00B8574F" w:rsidRPr="00B8574F">
        <w:rPr>
          <w:color w:val="000000" w:themeColor="text1"/>
        </w:rPr>
        <w:t xml:space="preserve"> </w:t>
      </w:r>
      <w:r w:rsidR="001044FE">
        <w:rPr>
          <w:rFonts w:eastAsia="Times New Roman" w:cs="Times New Roman"/>
          <w:szCs w:val="24"/>
        </w:rPr>
        <w:t xml:space="preserve">Lai gan </w:t>
      </w:r>
      <w:r w:rsidR="00B8574F" w:rsidRPr="006F28B6">
        <w:rPr>
          <w:color w:val="000000" w:themeColor="text1"/>
        </w:rPr>
        <w:t xml:space="preserve">Eiropas Cilvēktiesību tiesa lietā </w:t>
      </w:r>
      <w:r w:rsidR="00B8574F" w:rsidRPr="00F11E5F">
        <w:rPr>
          <w:color w:val="000000" w:themeColor="text1"/>
        </w:rPr>
        <w:t>„</w:t>
      </w:r>
      <w:proofErr w:type="spellStart"/>
      <w:r w:rsidR="00B8574F" w:rsidRPr="00F11E5F">
        <w:rPr>
          <w:color w:val="000000" w:themeColor="text1"/>
        </w:rPr>
        <w:t>Ambruzkievich</w:t>
      </w:r>
      <w:proofErr w:type="spellEnd"/>
      <w:r w:rsidR="00B8574F" w:rsidRPr="00F11E5F">
        <w:rPr>
          <w:color w:val="000000" w:themeColor="text1"/>
        </w:rPr>
        <w:t xml:space="preserve"> v. </w:t>
      </w:r>
      <w:proofErr w:type="spellStart"/>
      <w:r w:rsidR="00B8574F" w:rsidRPr="00F11E5F">
        <w:rPr>
          <w:color w:val="000000" w:themeColor="text1"/>
        </w:rPr>
        <w:t>Poland</w:t>
      </w:r>
      <w:proofErr w:type="spellEnd"/>
      <w:r w:rsidR="00B8574F" w:rsidRPr="00F11E5F">
        <w:rPr>
          <w:color w:val="000000" w:themeColor="text1"/>
        </w:rPr>
        <w:t>”</w:t>
      </w:r>
      <w:r w:rsidR="00B8574F" w:rsidRPr="006F28B6">
        <w:rPr>
          <w:color w:val="000000" w:themeColor="text1"/>
        </w:rPr>
        <w:t xml:space="preserve"> atzinusi, ka atsevišķos izņēmuma gadījumos nav apstrīdams, ka brīvības atņemšana var būt vienīgais līdzeklis, kas garantē</w:t>
      </w:r>
      <w:r w:rsidR="001044FE">
        <w:rPr>
          <w:color w:val="000000" w:themeColor="text1"/>
        </w:rPr>
        <w:t xml:space="preserve"> apsūdzētā ierašanos [..], tomēr</w:t>
      </w:r>
      <w:r w:rsidR="00B8574F" w:rsidRPr="006F28B6">
        <w:rPr>
          <w:color w:val="000000" w:themeColor="text1"/>
        </w:rPr>
        <w:t xml:space="preserve"> nolēmumā obligāti jāan</w:t>
      </w:r>
      <w:r w:rsidR="00091DF8">
        <w:rPr>
          <w:color w:val="000000" w:themeColor="text1"/>
        </w:rPr>
        <w:t>alizē konkrētās lietas apstākļi</w:t>
      </w:r>
      <w:r w:rsidR="00B8574F" w:rsidRPr="006F28B6">
        <w:rPr>
          <w:color w:val="000000" w:themeColor="text1"/>
        </w:rPr>
        <w:t xml:space="preserve"> (</w:t>
      </w:r>
      <w:bookmarkStart w:id="0" w:name="_Hlk61607746"/>
      <w:r w:rsidR="00B8574F" w:rsidRPr="006F28B6">
        <w:rPr>
          <w:i/>
          <w:color w:val="000000" w:themeColor="text1"/>
        </w:rPr>
        <w:t xml:space="preserve">Eiropas Cilvēktiesību tiesas </w:t>
      </w:r>
      <w:proofErr w:type="gramStart"/>
      <w:r w:rsidR="00B8574F" w:rsidRPr="006F28B6">
        <w:rPr>
          <w:i/>
          <w:color w:val="000000" w:themeColor="text1"/>
        </w:rPr>
        <w:t>2006.gada</w:t>
      </w:r>
      <w:proofErr w:type="gramEnd"/>
      <w:r w:rsidR="00B8574F" w:rsidRPr="006F28B6">
        <w:rPr>
          <w:i/>
          <w:color w:val="000000" w:themeColor="text1"/>
        </w:rPr>
        <w:t xml:space="preserve"> 4.maija sprieduma lietā „</w:t>
      </w:r>
      <w:proofErr w:type="spellStart"/>
      <w:r w:rsidR="00B8574F" w:rsidRPr="006F28B6">
        <w:rPr>
          <w:i/>
          <w:color w:val="000000" w:themeColor="text1"/>
        </w:rPr>
        <w:t>Ambruszkiewicz</w:t>
      </w:r>
      <w:proofErr w:type="spellEnd"/>
      <w:r w:rsidR="00B8574F" w:rsidRPr="006F28B6">
        <w:rPr>
          <w:i/>
          <w:color w:val="000000" w:themeColor="text1"/>
        </w:rPr>
        <w:t xml:space="preserve"> v. </w:t>
      </w:r>
      <w:proofErr w:type="spellStart"/>
      <w:r w:rsidR="00B8574F" w:rsidRPr="006F28B6">
        <w:rPr>
          <w:i/>
          <w:color w:val="000000" w:themeColor="text1"/>
        </w:rPr>
        <w:t>Poland</w:t>
      </w:r>
      <w:proofErr w:type="spellEnd"/>
      <w:r w:rsidR="00B8574F" w:rsidRPr="006F28B6">
        <w:rPr>
          <w:i/>
          <w:color w:val="000000" w:themeColor="text1"/>
        </w:rPr>
        <w:t>”, pieteikuma Nr.38797/03</w:t>
      </w:r>
      <w:bookmarkEnd w:id="0"/>
      <w:r w:rsidR="00B8574F" w:rsidRPr="006F28B6">
        <w:rPr>
          <w:i/>
          <w:color w:val="000000" w:themeColor="text1"/>
        </w:rPr>
        <w:t>, 29.-30.punkts</w:t>
      </w:r>
      <w:r w:rsidR="00B8574F" w:rsidRPr="006F28B6">
        <w:rPr>
          <w:color w:val="000000" w:themeColor="text1"/>
        </w:rPr>
        <w:t>).</w:t>
      </w:r>
    </w:p>
    <w:p w14:paraId="575E66E4" w14:textId="77777777" w:rsidR="00207BA9" w:rsidRDefault="00F22421" w:rsidP="00207BA9">
      <w:pPr>
        <w:spacing w:after="0" w:line="276" w:lineRule="auto"/>
        <w:ind w:firstLine="709"/>
        <w:jc w:val="both"/>
      </w:pPr>
      <w:r>
        <w:rPr>
          <w:rFonts w:eastAsia="Times New Roman" w:cs="Times New Roman"/>
          <w:szCs w:val="24"/>
        </w:rPr>
        <w:t xml:space="preserve"> </w:t>
      </w:r>
      <w:r w:rsidR="001044FE">
        <w:t>Senatore</w:t>
      </w:r>
      <w:r w:rsidR="00BA240C">
        <w:t xml:space="preserve"> norāda, </w:t>
      </w:r>
      <w:r w:rsidR="00F703A9">
        <w:t>lai varētu piemērot apcietinājumu par tāda nozieguma izdarīšanu,</w:t>
      </w:r>
      <w:r w:rsidR="00F703A9" w:rsidRPr="008457A4">
        <w:t xml:space="preserve"> par kuru likums paredz brīvības atņemšanas sod</w:t>
      </w:r>
      <w:r w:rsidR="00F703A9">
        <w:t xml:space="preserve">u, </w:t>
      </w:r>
      <w:r w:rsidR="00BA240C">
        <w:t xml:space="preserve">ir ne tikai jākonstatē drošības līdzekļa piemērošanas pamats atbilstoši Kriminālprocesa likuma 241.panta otrajai daļai, bet tiesai arī jāpamato, ka </w:t>
      </w:r>
      <w:r w:rsidR="00F703A9" w:rsidRPr="008457A4">
        <w:t>cita drošības līdzekļa piemērošana nevar nodrošināt, ka persona neizdarīs jaunu noziedzīgu nodarījumu, netraucēs vai neizvairīsies no pirmstiesas kriminālprocesa, tiesas vai sprieduma izpildīšanas</w:t>
      </w:r>
      <w:r w:rsidR="00BA240C">
        <w:t>.</w:t>
      </w:r>
      <w:r w:rsidR="001044FE">
        <w:t xml:space="preserve"> </w:t>
      </w:r>
    </w:p>
    <w:p w14:paraId="5B9E2E2A" w14:textId="77777777" w:rsidR="00F703A9" w:rsidRDefault="00F703A9" w:rsidP="00291E49">
      <w:pPr>
        <w:spacing w:after="0" w:line="276" w:lineRule="auto"/>
        <w:ind w:firstLine="709"/>
        <w:jc w:val="both"/>
        <w:rPr>
          <w:rFonts w:eastAsia="Times New Roman" w:cs="Times New Roman"/>
          <w:szCs w:val="24"/>
        </w:rPr>
      </w:pPr>
    </w:p>
    <w:p w14:paraId="5E5DEC54" w14:textId="6568FAF2" w:rsidR="006F28B6" w:rsidRDefault="00BA240C" w:rsidP="00144A40">
      <w:pPr>
        <w:spacing w:after="0" w:line="276" w:lineRule="auto"/>
        <w:ind w:firstLine="709"/>
        <w:jc w:val="both"/>
        <w:rPr>
          <w:rFonts w:eastAsia="Times New Roman" w:cs="Times New Roman"/>
          <w:szCs w:val="24"/>
        </w:rPr>
      </w:pPr>
      <w:r>
        <w:rPr>
          <w:rFonts w:eastAsia="Times New Roman" w:cs="Times New Roman"/>
          <w:szCs w:val="24"/>
        </w:rPr>
        <w:t>[1</w:t>
      </w:r>
      <w:r w:rsidR="00013877">
        <w:rPr>
          <w:rFonts w:eastAsia="Times New Roman" w:cs="Times New Roman"/>
          <w:szCs w:val="24"/>
        </w:rPr>
        <w:t>1</w:t>
      </w:r>
      <w:r w:rsidRPr="006F28B6">
        <w:rPr>
          <w:rFonts w:eastAsia="Times New Roman" w:cs="Times New Roman"/>
          <w:color w:val="000000" w:themeColor="text1"/>
          <w:szCs w:val="24"/>
        </w:rPr>
        <w:t>]</w:t>
      </w:r>
      <w:r w:rsidR="00B8574F" w:rsidRPr="006F28B6">
        <w:rPr>
          <w:rFonts w:eastAsia="Times New Roman" w:cs="Times New Roman"/>
          <w:color w:val="000000" w:themeColor="text1"/>
          <w:szCs w:val="24"/>
        </w:rPr>
        <w:t xml:space="preserve"> </w:t>
      </w:r>
      <w:r w:rsidR="006F28B6">
        <w:rPr>
          <w:rFonts w:eastAsia="Times New Roman" w:cs="Times New Roman"/>
          <w:szCs w:val="24"/>
        </w:rPr>
        <w:t>Atbilstoši Kriminālprocesa likuma 244.panta pirmajai daļai procesa virzītājam ir</w:t>
      </w:r>
      <w:r w:rsidR="006F28B6" w:rsidRPr="00D664E3">
        <w:rPr>
          <w:rFonts w:eastAsia="Times New Roman" w:cs="Times New Roman"/>
          <w:szCs w:val="24"/>
        </w:rPr>
        <w:t xml:space="preserve"> </w:t>
      </w:r>
      <w:r w:rsidR="006F28B6">
        <w:rPr>
          <w:rFonts w:eastAsia="Times New Roman" w:cs="Times New Roman"/>
          <w:szCs w:val="24"/>
        </w:rPr>
        <w:t>jāizvēlas tāds procesuālais</w:t>
      </w:r>
      <w:r w:rsidR="006F28B6" w:rsidRPr="00D664E3">
        <w:rPr>
          <w:rFonts w:eastAsia="Times New Roman" w:cs="Times New Roman"/>
          <w:szCs w:val="24"/>
        </w:rPr>
        <w:t xml:space="preserve"> piespiedu līdzekli</w:t>
      </w:r>
      <w:r w:rsidR="006F28B6">
        <w:rPr>
          <w:rFonts w:eastAsia="Times New Roman" w:cs="Times New Roman"/>
          <w:szCs w:val="24"/>
        </w:rPr>
        <w:t>s</w:t>
      </w:r>
      <w:r w:rsidR="006F28B6" w:rsidRPr="00D664E3">
        <w:rPr>
          <w:rFonts w:eastAsia="Times New Roman" w:cs="Times New Roman"/>
          <w:szCs w:val="24"/>
        </w:rPr>
        <w:t>, kas pēc iespējas mazāk aizskar personas pamattiesības un ir samērīgs.</w:t>
      </w:r>
      <w:r w:rsidR="006F28B6">
        <w:rPr>
          <w:rFonts w:eastAsia="Times New Roman" w:cs="Times New Roman"/>
          <w:szCs w:val="24"/>
        </w:rPr>
        <w:t xml:space="preserve"> </w:t>
      </w:r>
      <w:r w:rsidR="008A07C3">
        <w:rPr>
          <w:rFonts w:eastAsia="Times New Roman" w:cs="Times New Roman"/>
          <w:szCs w:val="24"/>
        </w:rPr>
        <w:t>[Pers. A]</w:t>
      </w:r>
      <w:r w:rsidR="006F28B6">
        <w:rPr>
          <w:rFonts w:eastAsia="Times New Roman" w:cs="Times New Roman"/>
          <w:szCs w:val="24"/>
        </w:rPr>
        <w:t xml:space="preserve"> </w:t>
      </w:r>
      <w:r w:rsidR="006F28B6" w:rsidRPr="00776F36">
        <w:rPr>
          <w:rFonts w:eastAsia="Times New Roman" w:cs="Times New Roman"/>
          <w:szCs w:val="24"/>
        </w:rPr>
        <w:t xml:space="preserve">ar pirmās instances tiesas spriedumu </w:t>
      </w:r>
      <w:r w:rsidR="006F28B6">
        <w:rPr>
          <w:rFonts w:eastAsia="Times New Roman" w:cs="Times New Roman"/>
          <w:szCs w:val="24"/>
        </w:rPr>
        <w:t xml:space="preserve">drošības līdzeklis nav piemērots. </w:t>
      </w:r>
      <w:r w:rsidR="006F28B6" w:rsidRPr="00083751">
        <w:rPr>
          <w:rFonts w:eastAsia="Times New Roman" w:cs="Times New Roman"/>
          <w:szCs w:val="24"/>
        </w:rPr>
        <w:t xml:space="preserve">No lietas materiāliem redzams, ka </w:t>
      </w:r>
      <w:r w:rsidR="008A07C3">
        <w:rPr>
          <w:rFonts w:eastAsia="Times New Roman" w:cs="Times New Roman"/>
          <w:color w:val="000000" w:themeColor="text1"/>
          <w:szCs w:val="24"/>
        </w:rPr>
        <w:t>[pers. A]</w:t>
      </w:r>
      <w:r w:rsidR="006F28B6">
        <w:rPr>
          <w:rFonts w:eastAsia="Times New Roman" w:cs="Times New Roman"/>
          <w:color w:val="000000" w:themeColor="text1"/>
          <w:szCs w:val="24"/>
        </w:rPr>
        <w:t xml:space="preserve"> uz </w:t>
      </w:r>
      <w:r w:rsidR="006F28B6">
        <w:rPr>
          <w:rFonts w:eastAsia="Times New Roman" w:cs="Times New Roman"/>
          <w:szCs w:val="24"/>
        </w:rPr>
        <w:t>visām iepriekš nozīmētajām apelācijas instances tiesas sēdēm ir ieradies.</w:t>
      </w:r>
    </w:p>
    <w:p w14:paraId="54404202" w14:textId="77777777" w:rsidR="006C248D" w:rsidRDefault="00B8574F" w:rsidP="006C248D">
      <w:pPr>
        <w:spacing w:after="0" w:line="276" w:lineRule="auto"/>
        <w:ind w:firstLine="709"/>
        <w:jc w:val="both"/>
        <w:rPr>
          <w:rFonts w:ascii="TimesNewRomanPS-ItalicMT" w:hAnsi="TimesNewRomanPS-ItalicMT" w:cs="TimesNewRomanPS-ItalicMT"/>
          <w:i/>
          <w:iCs/>
          <w:szCs w:val="24"/>
        </w:rPr>
      </w:pPr>
      <w:r>
        <w:rPr>
          <w:rFonts w:ascii="TimesNewRomanPSMT" w:hAnsi="TimesNewRomanPSMT" w:cs="TimesNewRomanPSMT"/>
          <w:szCs w:val="24"/>
        </w:rPr>
        <w:t xml:space="preserve">Arī Eiropas Cilvēktiesību tiesa norādījusi, ka nacionālajām iestādēm vienmēr jāapsver iespēja noteikt mazāk ierobežojošu līdzekli </w:t>
      </w:r>
      <w:r w:rsidRPr="00F11E5F">
        <w:rPr>
          <w:rFonts w:ascii="TimesNewRomanPS-ItalicMT" w:hAnsi="TimesNewRomanPS-ItalicMT" w:cs="TimesNewRomanPS-ItalicMT"/>
          <w:iCs/>
          <w:szCs w:val="24"/>
        </w:rPr>
        <w:t>(sk.,</w:t>
      </w:r>
      <w:r>
        <w:rPr>
          <w:rFonts w:ascii="TimesNewRomanPSMT" w:hAnsi="TimesNewRomanPSMT" w:cs="TimesNewRomanPSMT"/>
          <w:szCs w:val="24"/>
        </w:rPr>
        <w:t xml:space="preserve"> </w:t>
      </w:r>
      <w:r>
        <w:rPr>
          <w:rFonts w:ascii="TimesNewRomanPS-ItalicMT" w:hAnsi="TimesNewRomanPS-ItalicMT" w:cs="TimesNewRomanPS-ItalicMT"/>
          <w:i/>
          <w:iCs/>
          <w:szCs w:val="24"/>
        </w:rPr>
        <w:t xml:space="preserve">piemēram, </w:t>
      </w:r>
      <w:bookmarkStart w:id="1" w:name="_Hlk61607866"/>
      <w:r>
        <w:rPr>
          <w:rFonts w:ascii="TimesNewRomanPS-ItalicMT" w:hAnsi="TimesNewRomanPS-ItalicMT" w:cs="TimesNewRomanPS-ItalicMT"/>
          <w:i/>
          <w:iCs/>
          <w:szCs w:val="24"/>
        </w:rPr>
        <w:t xml:space="preserve">Eiropas Cilvēktiesību tiesas </w:t>
      </w:r>
      <w:proofErr w:type="gramStart"/>
      <w:r>
        <w:rPr>
          <w:rFonts w:ascii="TimesNewRomanPS-ItalicMT" w:hAnsi="TimesNewRomanPS-ItalicMT" w:cs="TimesNewRomanPS-ItalicMT"/>
          <w:i/>
          <w:iCs/>
          <w:szCs w:val="24"/>
        </w:rPr>
        <w:t>2008.gada</w:t>
      </w:r>
      <w:proofErr w:type="gramEnd"/>
      <w:r>
        <w:rPr>
          <w:rFonts w:ascii="TimesNewRomanPS-ItalicMT" w:hAnsi="TimesNewRomanPS-ItalicMT" w:cs="TimesNewRomanPS-ItalicMT"/>
          <w:i/>
          <w:iCs/>
          <w:szCs w:val="24"/>
        </w:rPr>
        <w:t xml:space="preserve"> 18.marta sprieduma lietā „</w:t>
      </w:r>
      <w:proofErr w:type="spellStart"/>
      <w:r>
        <w:rPr>
          <w:rFonts w:ascii="TimesNewRomanPS-ItalicMT" w:hAnsi="TimesNewRomanPS-ItalicMT" w:cs="TimesNewRomanPS-ItalicMT"/>
          <w:i/>
          <w:iCs/>
          <w:szCs w:val="24"/>
        </w:rPr>
        <w:t>Ladent</w:t>
      </w:r>
      <w:proofErr w:type="spellEnd"/>
      <w:r>
        <w:rPr>
          <w:rFonts w:ascii="TimesNewRomanPS-ItalicMT" w:hAnsi="TimesNewRomanPS-ItalicMT" w:cs="TimesNewRomanPS-ItalicMT"/>
          <w:i/>
          <w:iCs/>
          <w:szCs w:val="24"/>
        </w:rPr>
        <w:t xml:space="preserve"> v. </w:t>
      </w:r>
      <w:proofErr w:type="spellStart"/>
      <w:r>
        <w:rPr>
          <w:rFonts w:ascii="TimesNewRomanPS-ItalicMT" w:hAnsi="TimesNewRomanPS-ItalicMT" w:cs="TimesNewRomanPS-ItalicMT"/>
          <w:i/>
          <w:iCs/>
          <w:szCs w:val="24"/>
        </w:rPr>
        <w:t>Poland</w:t>
      </w:r>
      <w:proofErr w:type="spellEnd"/>
      <w:r>
        <w:rPr>
          <w:rFonts w:ascii="TimesNewRomanPS-ItalicMT" w:hAnsi="TimesNewRomanPS-ItalicMT" w:cs="TimesNewRomanPS-ItalicMT"/>
          <w:i/>
          <w:iCs/>
          <w:szCs w:val="24"/>
        </w:rPr>
        <w:t>”,</w:t>
      </w:r>
      <w:r>
        <w:rPr>
          <w:rFonts w:ascii="TimesNewRomanPSMT" w:hAnsi="TimesNewRomanPSMT" w:cs="TimesNewRomanPSMT"/>
          <w:szCs w:val="24"/>
        </w:rPr>
        <w:t xml:space="preserve"> </w:t>
      </w:r>
      <w:r>
        <w:rPr>
          <w:rFonts w:ascii="TimesNewRomanPS-ItalicMT" w:hAnsi="TimesNewRomanPS-ItalicMT" w:cs="TimesNewRomanPS-ItalicMT"/>
          <w:i/>
          <w:iCs/>
          <w:szCs w:val="24"/>
        </w:rPr>
        <w:t>pieteikuma Nr.11036/03</w:t>
      </w:r>
      <w:bookmarkEnd w:id="1"/>
      <w:r>
        <w:rPr>
          <w:rFonts w:ascii="TimesNewRomanPS-ItalicMT" w:hAnsi="TimesNewRomanPS-ItalicMT" w:cs="TimesNewRomanPS-ItalicMT"/>
          <w:i/>
          <w:iCs/>
          <w:szCs w:val="24"/>
        </w:rPr>
        <w:t xml:space="preserve">, 56.punktu un </w:t>
      </w:r>
      <w:bookmarkStart w:id="2" w:name="_Hlk61607953"/>
      <w:proofErr w:type="gramStart"/>
      <w:r>
        <w:rPr>
          <w:rFonts w:ascii="TimesNewRomanPS-ItalicMT" w:hAnsi="TimesNewRomanPS-ItalicMT" w:cs="TimesNewRomanPS-ItalicMT"/>
          <w:i/>
          <w:iCs/>
          <w:szCs w:val="24"/>
        </w:rPr>
        <w:t>2004.gada</w:t>
      </w:r>
      <w:proofErr w:type="gramEnd"/>
      <w:r>
        <w:rPr>
          <w:rFonts w:ascii="TimesNewRomanPS-ItalicMT" w:hAnsi="TimesNewRomanPS-ItalicMT" w:cs="TimesNewRomanPS-ItalicMT"/>
          <w:i/>
          <w:iCs/>
          <w:szCs w:val="24"/>
        </w:rPr>
        <w:t xml:space="preserve"> 20.janvāra sprieduma lietā „G.K. v. </w:t>
      </w:r>
      <w:proofErr w:type="spellStart"/>
      <w:r>
        <w:rPr>
          <w:rFonts w:ascii="TimesNewRomanPS-ItalicMT" w:hAnsi="TimesNewRomanPS-ItalicMT" w:cs="TimesNewRomanPS-ItalicMT"/>
          <w:i/>
          <w:iCs/>
          <w:szCs w:val="24"/>
        </w:rPr>
        <w:t>Poland</w:t>
      </w:r>
      <w:proofErr w:type="spellEnd"/>
      <w:r>
        <w:rPr>
          <w:rFonts w:ascii="TimesNewRomanPS-ItalicMT" w:hAnsi="TimesNewRomanPS-ItalicMT" w:cs="TimesNewRomanPS-ItalicMT"/>
          <w:i/>
          <w:iCs/>
          <w:szCs w:val="24"/>
        </w:rPr>
        <w:t>”,</w:t>
      </w:r>
      <w:r>
        <w:rPr>
          <w:rFonts w:ascii="TimesNewRomanPSMT" w:hAnsi="TimesNewRomanPSMT" w:cs="TimesNewRomanPSMT"/>
          <w:szCs w:val="24"/>
        </w:rPr>
        <w:t xml:space="preserve"> </w:t>
      </w:r>
      <w:r>
        <w:rPr>
          <w:rFonts w:ascii="TimesNewRomanPS-ItalicMT" w:hAnsi="TimesNewRomanPS-ItalicMT" w:cs="TimesNewRomanPS-ItalicMT"/>
          <w:i/>
          <w:iCs/>
          <w:szCs w:val="24"/>
        </w:rPr>
        <w:t>pieteikuma Nr.3881/97</w:t>
      </w:r>
      <w:bookmarkEnd w:id="2"/>
      <w:r>
        <w:rPr>
          <w:rFonts w:ascii="TimesNewRomanPS-ItalicMT" w:hAnsi="TimesNewRomanPS-ItalicMT" w:cs="TimesNewRomanPS-ItalicMT"/>
          <w:i/>
          <w:iCs/>
          <w:szCs w:val="24"/>
        </w:rPr>
        <w:t>, 85.punktu</w:t>
      </w:r>
      <w:r w:rsidRPr="006E2A0A">
        <w:rPr>
          <w:rFonts w:ascii="TimesNewRomanPS-ItalicMT" w:hAnsi="TimesNewRomanPS-ItalicMT" w:cs="TimesNewRomanPS-ItalicMT"/>
          <w:iCs/>
          <w:szCs w:val="24"/>
        </w:rPr>
        <w:t>)</w:t>
      </w:r>
      <w:r>
        <w:rPr>
          <w:rFonts w:ascii="TimesNewRomanPS-ItalicMT" w:hAnsi="TimesNewRomanPS-ItalicMT" w:cs="TimesNewRomanPS-ItalicMT"/>
          <w:i/>
          <w:iCs/>
          <w:szCs w:val="24"/>
        </w:rPr>
        <w:t>.</w:t>
      </w:r>
    </w:p>
    <w:p w14:paraId="40312B5B" w14:textId="48F0CA3C" w:rsidR="006C248D" w:rsidRPr="006C248D" w:rsidRDefault="006C248D" w:rsidP="006C248D">
      <w:pPr>
        <w:spacing w:after="0" w:line="276" w:lineRule="auto"/>
        <w:ind w:firstLine="709"/>
        <w:jc w:val="both"/>
        <w:rPr>
          <w:rFonts w:ascii="TimesNewRomanPS-ItalicMT" w:hAnsi="TimesNewRomanPS-ItalicMT" w:cs="TimesNewRomanPS-ItalicMT"/>
          <w:i/>
          <w:iCs/>
          <w:szCs w:val="24"/>
        </w:rPr>
      </w:pPr>
      <w:r>
        <w:rPr>
          <w:rFonts w:eastAsia="Times New Roman" w:cs="Times New Roman"/>
          <w:szCs w:val="24"/>
        </w:rPr>
        <w:t>Turklāt tiesa nav ievērojusi Kriminālprocesa likuma 244.panta otrajā daļā noteikto, ka, i</w:t>
      </w:r>
      <w:r w:rsidRPr="00B12CDA">
        <w:rPr>
          <w:rFonts w:eastAsia="Times New Roman" w:cs="Times New Roman"/>
          <w:szCs w:val="24"/>
        </w:rPr>
        <w:t xml:space="preserve">zvēloties drošības līdzekli, procesa virzītājs ņem vērā noziedzīga nodarījuma raksturu un kaitīgumu, aizdomās turētā vai apsūdzētā personību, viņa ģimenes stāvokli, veselību un citus </w:t>
      </w:r>
      <w:r w:rsidRPr="00BA240C">
        <w:rPr>
          <w:rFonts w:eastAsia="Times New Roman" w:cs="Times New Roman"/>
          <w:szCs w:val="24"/>
        </w:rPr>
        <w:t xml:space="preserve">apstākļus. </w:t>
      </w:r>
      <w:r>
        <w:rPr>
          <w:rFonts w:eastAsia="Times New Roman" w:cs="Times New Roman"/>
          <w:szCs w:val="24"/>
        </w:rPr>
        <w:t xml:space="preserve">Tiesa šos apstākļus </w:t>
      </w:r>
      <w:r w:rsidRPr="00BA240C">
        <w:rPr>
          <w:rFonts w:eastAsia="Times New Roman" w:cs="Times New Roman"/>
          <w:szCs w:val="24"/>
        </w:rPr>
        <w:t>nav vērtējusi, vienīgi at</w:t>
      </w:r>
      <w:r>
        <w:rPr>
          <w:rFonts w:eastAsia="Times New Roman" w:cs="Times New Roman"/>
          <w:szCs w:val="24"/>
        </w:rPr>
        <w:t xml:space="preserve">saukusies uz pastāvošo ārkārtējo situāciju </w:t>
      </w:r>
      <w:r w:rsidRPr="006E2A0A">
        <w:rPr>
          <w:rFonts w:eastAsia="Times New Roman" w:cs="Times New Roman"/>
          <w:color w:val="000000" w:themeColor="text1"/>
          <w:szCs w:val="24"/>
        </w:rPr>
        <w:t xml:space="preserve">valstī, kā arī norādījusi, ka </w:t>
      </w:r>
      <w:r w:rsidR="008A07C3">
        <w:rPr>
          <w:rFonts w:eastAsia="Times New Roman" w:cs="Times New Roman"/>
          <w:color w:val="000000" w:themeColor="text1"/>
          <w:szCs w:val="24"/>
        </w:rPr>
        <w:t>[pers. </w:t>
      </w:r>
      <w:r w:rsidR="008A07C3">
        <w:t>A]</w:t>
      </w:r>
      <w:r w:rsidRPr="006E2A0A">
        <w:rPr>
          <w:rFonts w:eastAsia="Times New Roman" w:cs="Times New Roman"/>
          <w:color w:val="000000" w:themeColor="text1"/>
          <w:szCs w:val="24"/>
        </w:rPr>
        <w:t xml:space="preserve"> apsūdzēts sevišķi smaga nozieguma mēģinājumā un divu smagu noziegumu izdarīšanā. </w:t>
      </w:r>
    </w:p>
    <w:p w14:paraId="395919BA" w14:textId="548113EB" w:rsidR="00480CAB" w:rsidRDefault="002C0756" w:rsidP="00480CAB">
      <w:pPr>
        <w:spacing w:after="0" w:line="276" w:lineRule="auto"/>
        <w:ind w:firstLine="709"/>
        <w:jc w:val="both"/>
      </w:pPr>
      <w:r w:rsidRPr="00E51BC4">
        <w:t>S</w:t>
      </w:r>
      <w:r w:rsidR="00C24770" w:rsidRPr="00E51BC4">
        <w:t>enatore atzīst, ka p</w:t>
      </w:r>
      <w:r w:rsidR="00480CAB" w:rsidRPr="00E51BC4">
        <w:t>rocesuālo piespiedu līdzekļu piemērošana ir saistīta ar noteiktu tiesisko priekšrakstu i</w:t>
      </w:r>
      <w:r w:rsidR="00C24770" w:rsidRPr="00E51BC4">
        <w:t xml:space="preserve">evērošanu, kurus </w:t>
      </w:r>
      <w:r w:rsidR="008A07C3">
        <w:rPr>
          <w:rFonts w:eastAsia="Times New Roman" w:cs="Times New Roman"/>
          <w:szCs w:val="24"/>
        </w:rPr>
        <w:t>[..]</w:t>
      </w:r>
      <w:r w:rsidR="00480CAB" w:rsidRPr="00E51BC4">
        <w:rPr>
          <w:rFonts w:eastAsia="Times New Roman" w:cs="Times New Roman"/>
          <w:szCs w:val="24"/>
        </w:rPr>
        <w:t xml:space="preserve"> apgabaltiesa </w:t>
      </w:r>
      <w:r w:rsidR="00480CAB" w:rsidRPr="00E51BC4">
        <w:t xml:space="preserve">savā lēmumā nav </w:t>
      </w:r>
      <w:r w:rsidR="00C24770" w:rsidRPr="00E51BC4">
        <w:t>ievērojusi</w:t>
      </w:r>
      <w:r w:rsidR="00E51BC4">
        <w:t>. T</w:t>
      </w:r>
      <w:r>
        <w:t xml:space="preserve">iesa </w:t>
      </w:r>
      <w:r w:rsidR="00C24770">
        <w:t xml:space="preserve">nav </w:t>
      </w:r>
      <w:r>
        <w:t xml:space="preserve">pietiekami </w:t>
      </w:r>
      <w:r w:rsidR="00480CAB" w:rsidRPr="008457A4">
        <w:t>izvērtējusi visus apstākļus,</w:t>
      </w:r>
      <w:r w:rsidR="00091DF8">
        <w:t xml:space="preserve"> kas atbilstoši Eiropas Cilvēk</w:t>
      </w:r>
      <w:r w:rsidR="00480CAB" w:rsidRPr="008457A4">
        <w:t xml:space="preserve">tiesību un pamatbrīvību aizsardzības konvencijas </w:t>
      </w:r>
      <w:r w:rsidR="00480CAB">
        <w:t xml:space="preserve">un Kriminālprocesa likuma </w:t>
      </w:r>
      <w:r w:rsidR="00480CAB" w:rsidRPr="008457A4">
        <w:t xml:space="preserve">prasībām varētu būt pamats tam, lai apsūdzētajam </w:t>
      </w:r>
      <w:r w:rsidR="008A07C3">
        <w:rPr>
          <w:rFonts w:eastAsia="Times New Roman" w:cs="Times New Roman"/>
          <w:szCs w:val="24"/>
        </w:rPr>
        <w:t>[pers. A]</w:t>
      </w:r>
      <w:r w:rsidR="00480CAB">
        <w:rPr>
          <w:rFonts w:eastAsia="Times New Roman" w:cs="Times New Roman"/>
          <w:szCs w:val="24"/>
        </w:rPr>
        <w:t xml:space="preserve"> </w:t>
      </w:r>
      <w:r w:rsidR="00480CAB" w:rsidRPr="008457A4">
        <w:t xml:space="preserve">izraudzītos </w:t>
      </w:r>
      <w:r w:rsidR="00480CAB">
        <w:t>vis</w:t>
      </w:r>
      <w:r w:rsidR="00480CAB" w:rsidRPr="008457A4">
        <w:t>vairāk</w:t>
      </w:r>
      <w:r w:rsidR="00480CAB">
        <w:t xml:space="preserve"> ierobežojošu drošības </w:t>
      </w:r>
      <w:r w:rsidR="00A74B7F">
        <w:t>līdzekli – a</w:t>
      </w:r>
      <w:r w:rsidR="00480CAB">
        <w:t>pcietinājumu.</w:t>
      </w:r>
      <w:r w:rsidR="00480CAB" w:rsidRPr="008457A4">
        <w:t xml:space="preserve"> </w:t>
      </w:r>
    </w:p>
    <w:p w14:paraId="2A3CBBFB" w14:textId="77777777" w:rsidR="000D50AD" w:rsidRDefault="000D50AD" w:rsidP="006E2A0A">
      <w:pPr>
        <w:spacing w:after="0" w:line="276" w:lineRule="auto"/>
        <w:jc w:val="both"/>
        <w:rPr>
          <w:rFonts w:eastAsia="Times New Roman" w:cs="Times New Roman"/>
          <w:szCs w:val="24"/>
        </w:rPr>
      </w:pPr>
    </w:p>
    <w:p w14:paraId="770443A1" w14:textId="77777777" w:rsidR="00B95AC1" w:rsidRPr="00B95AC1" w:rsidRDefault="00B95AC1" w:rsidP="00B95AC1">
      <w:pPr>
        <w:spacing w:after="0" w:line="276" w:lineRule="auto"/>
        <w:jc w:val="center"/>
        <w:rPr>
          <w:rFonts w:eastAsia="Times New Roman" w:cs="Times New Roman"/>
          <w:b/>
          <w:szCs w:val="24"/>
        </w:rPr>
      </w:pPr>
      <w:r w:rsidRPr="00B95AC1">
        <w:rPr>
          <w:rFonts w:eastAsia="Times New Roman" w:cs="Times New Roman"/>
          <w:b/>
          <w:szCs w:val="24"/>
        </w:rPr>
        <w:t>Rezolutīvā daļa</w:t>
      </w:r>
    </w:p>
    <w:p w14:paraId="79A36135" w14:textId="77777777" w:rsidR="00B95AC1" w:rsidRDefault="00B95AC1" w:rsidP="005B4629">
      <w:pPr>
        <w:spacing w:after="0" w:line="276" w:lineRule="auto"/>
        <w:ind w:firstLine="709"/>
        <w:jc w:val="both"/>
        <w:rPr>
          <w:rFonts w:eastAsia="Times New Roman" w:cs="Times New Roman"/>
          <w:szCs w:val="24"/>
        </w:rPr>
      </w:pPr>
    </w:p>
    <w:p w14:paraId="0BD539D9" w14:textId="77777777" w:rsidR="005B4629" w:rsidRDefault="005B4629" w:rsidP="001846DC">
      <w:pPr>
        <w:tabs>
          <w:tab w:val="left" w:pos="0"/>
          <w:tab w:val="left" w:pos="709"/>
        </w:tabs>
        <w:spacing w:after="0" w:line="276" w:lineRule="auto"/>
        <w:ind w:firstLine="709"/>
        <w:jc w:val="both"/>
        <w:rPr>
          <w:rFonts w:eastAsia="Calibri" w:cs="Times New Roman"/>
          <w:szCs w:val="24"/>
        </w:rPr>
      </w:pPr>
      <w:r>
        <w:rPr>
          <w:rFonts w:eastAsia="Calibri" w:cs="Times New Roman"/>
          <w:szCs w:val="24"/>
        </w:rPr>
        <w:t xml:space="preserve">Pamatojoties uz </w:t>
      </w:r>
      <w:r w:rsidR="006D4DF5">
        <w:rPr>
          <w:rFonts w:eastAsia="Calibri" w:cs="Times New Roman"/>
          <w:szCs w:val="24"/>
        </w:rPr>
        <w:t xml:space="preserve">Kriminālprocesa likuma </w:t>
      </w:r>
      <w:r w:rsidR="006D4DF5" w:rsidRPr="00071AA3">
        <w:rPr>
          <w:rFonts w:eastAsia="Calibri" w:cs="Times New Roman"/>
          <w:szCs w:val="24"/>
        </w:rPr>
        <w:t>287.panta trešās daļas 2.punktu</w:t>
      </w:r>
      <w:r w:rsidR="0010413E" w:rsidRPr="00071AA3">
        <w:rPr>
          <w:rFonts w:eastAsia="Calibri" w:cs="Times New Roman"/>
          <w:szCs w:val="24"/>
        </w:rPr>
        <w:t>,</w:t>
      </w:r>
      <w:r w:rsidR="0010413E">
        <w:rPr>
          <w:rFonts w:eastAsia="Calibri" w:cs="Times New Roman"/>
          <w:szCs w:val="24"/>
        </w:rPr>
        <w:t xml:space="preserve"> senatore</w:t>
      </w:r>
      <w:r>
        <w:rPr>
          <w:rFonts w:eastAsia="Calibri" w:cs="Times New Roman"/>
          <w:szCs w:val="24"/>
        </w:rPr>
        <w:tab/>
      </w:r>
    </w:p>
    <w:p w14:paraId="0E18FC99" w14:textId="77777777" w:rsidR="00CD5909" w:rsidRDefault="00CD5909" w:rsidP="001846DC">
      <w:pPr>
        <w:tabs>
          <w:tab w:val="left" w:pos="0"/>
          <w:tab w:val="left" w:pos="709"/>
        </w:tabs>
        <w:spacing w:after="0" w:line="276" w:lineRule="auto"/>
        <w:ind w:firstLine="709"/>
        <w:jc w:val="both"/>
        <w:rPr>
          <w:rFonts w:eastAsia="Calibri" w:cs="Times New Roman"/>
          <w:szCs w:val="24"/>
        </w:rPr>
      </w:pPr>
    </w:p>
    <w:p w14:paraId="6F9F26FC" w14:textId="77777777" w:rsidR="005B4629" w:rsidRDefault="005B4629" w:rsidP="005B4629">
      <w:pPr>
        <w:tabs>
          <w:tab w:val="left" w:pos="0"/>
          <w:tab w:val="left" w:pos="6660"/>
        </w:tabs>
        <w:spacing w:after="0" w:line="276" w:lineRule="auto"/>
        <w:jc w:val="center"/>
        <w:rPr>
          <w:rFonts w:eastAsia="Calibri" w:cs="Times New Roman"/>
          <w:b/>
          <w:szCs w:val="24"/>
        </w:rPr>
      </w:pPr>
      <w:r>
        <w:rPr>
          <w:rFonts w:eastAsia="Calibri" w:cs="Times New Roman"/>
          <w:b/>
          <w:szCs w:val="24"/>
        </w:rPr>
        <w:t>nolēma:</w:t>
      </w:r>
    </w:p>
    <w:p w14:paraId="47A79499" w14:textId="77777777" w:rsidR="005B4629" w:rsidRDefault="005B4629" w:rsidP="005B4629">
      <w:pPr>
        <w:tabs>
          <w:tab w:val="left" w:pos="0"/>
          <w:tab w:val="left" w:pos="6660"/>
        </w:tabs>
        <w:spacing w:after="0" w:line="276" w:lineRule="auto"/>
        <w:jc w:val="both"/>
        <w:rPr>
          <w:rFonts w:eastAsia="Calibri" w:cs="Times New Roman"/>
          <w:b/>
          <w:szCs w:val="24"/>
        </w:rPr>
      </w:pPr>
    </w:p>
    <w:p w14:paraId="02FC7F96" w14:textId="2C11D724" w:rsidR="005B4629" w:rsidRDefault="00D67916" w:rsidP="005B4629">
      <w:pPr>
        <w:tabs>
          <w:tab w:val="left" w:pos="0"/>
          <w:tab w:val="left" w:pos="6660"/>
        </w:tabs>
        <w:spacing w:after="0" w:line="276" w:lineRule="auto"/>
        <w:ind w:firstLine="709"/>
        <w:jc w:val="both"/>
        <w:rPr>
          <w:rFonts w:eastAsia="Calibri" w:cs="Times New Roman"/>
          <w:szCs w:val="24"/>
        </w:rPr>
      </w:pPr>
      <w:r>
        <w:rPr>
          <w:rFonts w:eastAsia="Times New Roman" w:cs="Times New Roman"/>
          <w:szCs w:val="24"/>
        </w:rPr>
        <w:t xml:space="preserve">apsūdzētā </w:t>
      </w:r>
      <w:r w:rsidR="008A07C3">
        <w:rPr>
          <w:rFonts w:eastAsia="Times New Roman" w:cs="Times New Roman"/>
          <w:szCs w:val="24"/>
        </w:rPr>
        <w:t>[pers. A]</w:t>
      </w:r>
      <w:r w:rsidR="0010413E">
        <w:rPr>
          <w:rFonts w:eastAsia="Times New Roman" w:cs="Times New Roman"/>
          <w:szCs w:val="24"/>
        </w:rPr>
        <w:t xml:space="preserve"> sūdzību</w:t>
      </w:r>
      <w:r w:rsidR="00E51BC4">
        <w:rPr>
          <w:rFonts w:eastAsia="Times New Roman" w:cs="Times New Roman"/>
          <w:szCs w:val="24"/>
        </w:rPr>
        <w:t xml:space="preserve"> apmierināt un</w:t>
      </w:r>
      <w:r w:rsidR="0010413E" w:rsidRPr="0010413E">
        <w:rPr>
          <w:rFonts w:eastAsia="Calibri" w:cs="Times New Roman"/>
          <w:color w:val="000000" w:themeColor="text1"/>
          <w:szCs w:val="24"/>
        </w:rPr>
        <w:t xml:space="preserve"> </w:t>
      </w:r>
      <w:r w:rsidR="008A07C3">
        <w:rPr>
          <w:rFonts w:eastAsia="Calibri" w:cs="Times New Roman"/>
          <w:color w:val="000000" w:themeColor="text1"/>
          <w:szCs w:val="24"/>
        </w:rPr>
        <w:t>[..]</w:t>
      </w:r>
      <w:r w:rsidR="0010413E">
        <w:rPr>
          <w:rFonts w:eastAsia="Calibri" w:cs="Times New Roman"/>
          <w:color w:val="000000" w:themeColor="text1"/>
          <w:szCs w:val="24"/>
        </w:rPr>
        <w:t xml:space="preserve"> </w:t>
      </w:r>
      <w:r w:rsidR="0010413E" w:rsidRPr="006D4DF5">
        <w:rPr>
          <w:rFonts w:eastAsia="Calibri" w:cs="Times New Roman"/>
          <w:color w:val="000000" w:themeColor="text1"/>
          <w:szCs w:val="24"/>
        </w:rPr>
        <w:t>apgabalti</w:t>
      </w:r>
      <w:r w:rsidR="0010413E">
        <w:rPr>
          <w:rFonts w:eastAsia="Calibri" w:cs="Times New Roman"/>
          <w:color w:val="000000" w:themeColor="text1"/>
          <w:szCs w:val="24"/>
        </w:rPr>
        <w:t xml:space="preserve">esas </w:t>
      </w:r>
      <w:proofErr w:type="gramStart"/>
      <w:r w:rsidR="0010413E">
        <w:rPr>
          <w:rFonts w:eastAsia="Calibri" w:cs="Times New Roman"/>
          <w:color w:val="000000" w:themeColor="text1"/>
          <w:szCs w:val="24"/>
        </w:rPr>
        <w:t>2020.gada</w:t>
      </w:r>
      <w:proofErr w:type="gramEnd"/>
      <w:r w:rsidR="0010413E">
        <w:rPr>
          <w:rFonts w:eastAsia="Calibri" w:cs="Times New Roman"/>
          <w:color w:val="000000" w:themeColor="text1"/>
          <w:szCs w:val="24"/>
        </w:rPr>
        <w:t xml:space="preserve"> </w:t>
      </w:r>
      <w:r w:rsidR="008A07C3">
        <w:rPr>
          <w:rFonts w:eastAsia="Calibri" w:cs="Times New Roman"/>
          <w:color w:val="000000" w:themeColor="text1"/>
          <w:szCs w:val="24"/>
        </w:rPr>
        <w:t>[..]</w:t>
      </w:r>
      <w:r w:rsidR="0010413E">
        <w:rPr>
          <w:rFonts w:eastAsia="Times New Roman" w:cs="Times New Roman"/>
          <w:szCs w:val="24"/>
        </w:rPr>
        <w:t xml:space="preserve"> </w:t>
      </w:r>
      <w:r>
        <w:rPr>
          <w:rFonts w:eastAsia="Times New Roman" w:cs="Times New Roman"/>
          <w:szCs w:val="24"/>
        </w:rPr>
        <w:t xml:space="preserve"> </w:t>
      </w:r>
      <w:r w:rsidR="005B4629" w:rsidRPr="006D4DF5">
        <w:rPr>
          <w:rFonts w:eastAsia="Calibri" w:cs="Times New Roman"/>
          <w:color w:val="000000" w:themeColor="text1"/>
          <w:szCs w:val="24"/>
        </w:rPr>
        <w:t>lēmumu</w:t>
      </w:r>
      <w:r>
        <w:rPr>
          <w:rFonts w:eastAsia="Calibri" w:cs="Times New Roman"/>
          <w:color w:val="000000" w:themeColor="text1"/>
          <w:szCs w:val="24"/>
        </w:rPr>
        <w:t xml:space="preserve"> atcelt</w:t>
      </w:r>
      <w:r w:rsidR="005B4629">
        <w:rPr>
          <w:rFonts w:eastAsia="Calibri" w:cs="Times New Roman"/>
          <w:szCs w:val="24"/>
        </w:rPr>
        <w:t>.</w:t>
      </w:r>
    </w:p>
    <w:p w14:paraId="2BB75457" w14:textId="77777777" w:rsidR="005B4629" w:rsidRDefault="005B4629" w:rsidP="001846DC">
      <w:pPr>
        <w:tabs>
          <w:tab w:val="left" w:pos="0"/>
          <w:tab w:val="left" w:pos="6660"/>
        </w:tabs>
        <w:spacing w:after="0" w:line="276" w:lineRule="auto"/>
        <w:ind w:firstLine="709"/>
        <w:jc w:val="both"/>
        <w:rPr>
          <w:rFonts w:eastAsia="Calibri" w:cs="Times New Roman"/>
          <w:szCs w:val="24"/>
        </w:rPr>
      </w:pPr>
      <w:r>
        <w:rPr>
          <w:rFonts w:eastAsia="Calibri" w:cs="Times New Roman"/>
          <w:szCs w:val="24"/>
        </w:rPr>
        <w:t>Lēmums nav pārsūdzams.</w:t>
      </w:r>
    </w:p>
    <w:p w14:paraId="22F2EBAD" w14:textId="77777777" w:rsidR="00232C3A" w:rsidRDefault="00232C3A" w:rsidP="00FC1AAD">
      <w:pPr>
        <w:spacing w:line="259" w:lineRule="auto"/>
      </w:pPr>
    </w:p>
    <w:sectPr w:rsidR="00232C3A" w:rsidSect="00814606">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9FB91" w14:textId="77777777" w:rsidR="003A6FA4" w:rsidRDefault="003A6FA4" w:rsidP="00741C72">
      <w:pPr>
        <w:spacing w:after="0" w:line="240" w:lineRule="auto"/>
      </w:pPr>
      <w:r>
        <w:separator/>
      </w:r>
    </w:p>
  </w:endnote>
  <w:endnote w:type="continuationSeparator" w:id="0">
    <w:p w14:paraId="1CCB6E8F" w14:textId="77777777" w:rsidR="003A6FA4" w:rsidRDefault="003A6FA4" w:rsidP="0074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ont229">
    <w:altName w:val="Times New Roman"/>
    <w:charset w:val="BA"/>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870859"/>
      <w:docPartObj>
        <w:docPartGallery w:val="Page Numbers (Bottom of Page)"/>
        <w:docPartUnique/>
      </w:docPartObj>
    </w:sdtPr>
    <w:sdtEndPr/>
    <w:sdtContent>
      <w:sdt>
        <w:sdtPr>
          <w:id w:val="1728636285"/>
          <w:docPartObj>
            <w:docPartGallery w:val="Page Numbers (Top of Page)"/>
            <w:docPartUnique/>
          </w:docPartObj>
        </w:sdtPr>
        <w:sdtEndPr/>
        <w:sdtContent>
          <w:p w14:paraId="66E5306C" w14:textId="77777777" w:rsidR="001846DC" w:rsidRDefault="001846DC">
            <w:pPr>
              <w:pStyle w:val="Footer"/>
              <w:jc w:val="center"/>
            </w:pPr>
            <w:r w:rsidRPr="00741C72">
              <w:rPr>
                <w:bCs/>
                <w:szCs w:val="24"/>
              </w:rPr>
              <w:fldChar w:fldCharType="begin"/>
            </w:r>
            <w:r w:rsidRPr="00741C72">
              <w:rPr>
                <w:bCs/>
              </w:rPr>
              <w:instrText xml:space="preserve"> PAGE </w:instrText>
            </w:r>
            <w:r w:rsidRPr="00741C72">
              <w:rPr>
                <w:bCs/>
                <w:szCs w:val="24"/>
              </w:rPr>
              <w:fldChar w:fldCharType="separate"/>
            </w:r>
            <w:r w:rsidR="00BA0C4B">
              <w:rPr>
                <w:bCs/>
                <w:noProof/>
              </w:rPr>
              <w:t>2</w:t>
            </w:r>
            <w:r w:rsidRPr="00741C72">
              <w:rPr>
                <w:bCs/>
                <w:szCs w:val="24"/>
              </w:rPr>
              <w:fldChar w:fldCharType="end"/>
            </w:r>
            <w:r w:rsidRPr="00741C72">
              <w:t xml:space="preserve"> no </w:t>
            </w:r>
            <w:r w:rsidR="00672FAA">
              <w:rPr>
                <w:bCs/>
                <w:szCs w:val="24"/>
              </w:rPr>
              <w:t>4</w:t>
            </w:r>
          </w:p>
        </w:sdtContent>
      </w:sdt>
    </w:sdtContent>
  </w:sdt>
  <w:p w14:paraId="017F7F5F" w14:textId="77777777" w:rsidR="001846DC" w:rsidRDefault="00184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821DD" w14:textId="77777777" w:rsidR="003A6FA4" w:rsidRDefault="003A6FA4" w:rsidP="00741C72">
      <w:pPr>
        <w:spacing w:after="0" w:line="240" w:lineRule="auto"/>
      </w:pPr>
      <w:r>
        <w:separator/>
      </w:r>
    </w:p>
  </w:footnote>
  <w:footnote w:type="continuationSeparator" w:id="0">
    <w:p w14:paraId="2495FBA4" w14:textId="77777777" w:rsidR="003A6FA4" w:rsidRDefault="003A6FA4" w:rsidP="00741C72">
      <w:pPr>
        <w:spacing w:after="0" w:line="240" w:lineRule="auto"/>
      </w:pPr>
      <w:r>
        <w:continuationSeparator/>
      </w:r>
    </w:p>
  </w:footnote>
  <w:footnote w:id="1">
    <w:p w14:paraId="0F0160E8" w14:textId="3399198A" w:rsidR="00804BDA" w:rsidRPr="006B6B0E" w:rsidRDefault="00804BDA">
      <w:pPr>
        <w:pStyle w:val="FootnoteText"/>
        <w:rPr>
          <w:sz w:val="20"/>
          <w:szCs w:val="20"/>
        </w:rPr>
      </w:pPr>
      <w:r w:rsidRPr="006B6B0E">
        <w:rPr>
          <w:rStyle w:val="FootnoteReference"/>
          <w:sz w:val="20"/>
          <w:szCs w:val="20"/>
        </w:rPr>
        <w:footnoteRef/>
      </w:r>
      <w:r w:rsidRPr="006B6B0E">
        <w:rPr>
          <w:sz w:val="20"/>
          <w:szCs w:val="20"/>
        </w:rPr>
        <w:t xml:space="preserve"> </w:t>
      </w:r>
      <w:r w:rsidR="006B6B0E" w:rsidRPr="006B6B0E">
        <w:rPr>
          <w:sz w:val="20"/>
          <w:szCs w:val="20"/>
        </w:rPr>
        <w:t>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C410A9"/>
    <w:multiLevelType w:val="hybridMultilevel"/>
    <w:tmpl w:val="1FB007D2"/>
    <w:lvl w:ilvl="0" w:tplc="4F3AB62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0C"/>
    <w:rsid w:val="00005444"/>
    <w:rsid w:val="00013877"/>
    <w:rsid w:val="00017544"/>
    <w:rsid w:val="00071AA3"/>
    <w:rsid w:val="00083751"/>
    <w:rsid w:val="00091DF8"/>
    <w:rsid w:val="000933FF"/>
    <w:rsid w:val="000D48A6"/>
    <w:rsid w:val="000D50AD"/>
    <w:rsid w:val="000D7527"/>
    <w:rsid w:val="000F6A23"/>
    <w:rsid w:val="001004F0"/>
    <w:rsid w:val="0010413E"/>
    <w:rsid w:val="001044FE"/>
    <w:rsid w:val="00123CEE"/>
    <w:rsid w:val="00141B93"/>
    <w:rsid w:val="00144A40"/>
    <w:rsid w:val="001540AE"/>
    <w:rsid w:val="00166FC6"/>
    <w:rsid w:val="001846DC"/>
    <w:rsid w:val="00194308"/>
    <w:rsid w:val="001A78E1"/>
    <w:rsid w:val="001B5601"/>
    <w:rsid w:val="001E2327"/>
    <w:rsid w:val="001F25AB"/>
    <w:rsid w:val="00201A21"/>
    <w:rsid w:val="0020486E"/>
    <w:rsid w:val="00207BA9"/>
    <w:rsid w:val="00220E24"/>
    <w:rsid w:val="002217D8"/>
    <w:rsid w:val="00232C3A"/>
    <w:rsid w:val="002379B9"/>
    <w:rsid w:val="00287A1C"/>
    <w:rsid w:val="00291E49"/>
    <w:rsid w:val="002A3B15"/>
    <w:rsid w:val="002C0756"/>
    <w:rsid w:val="002D1086"/>
    <w:rsid w:val="002D3278"/>
    <w:rsid w:val="002E6B10"/>
    <w:rsid w:val="002E6F10"/>
    <w:rsid w:val="002F1B4F"/>
    <w:rsid w:val="002F63EE"/>
    <w:rsid w:val="002F7BCD"/>
    <w:rsid w:val="00312CCA"/>
    <w:rsid w:val="00316205"/>
    <w:rsid w:val="00331B27"/>
    <w:rsid w:val="00331BDC"/>
    <w:rsid w:val="00332154"/>
    <w:rsid w:val="003355CD"/>
    <w:rsid w:val="00343AE5"/>
    <w:rsid w:val="003547C2"/>
    <w:rsid w:val="00366327"/>
    <w:rsid w:val="0037106A"/>
    <w:rsid w:val="003803C6"/>
    <w:rsid w:val="00385F8D"/>
    <w:rsid w:val="003960BF"/>
    <w:rsid w:val="00397BDF"/>
    <w:rsid w:val="003A6FA4"/>
    <w:rsid w:val="003A7DDB"/>
    <w:rsid w:val="003B0240"/>
    <w:rsid w:val="003B1E91"/>
    <w:rsid w:val="003F08B1"/>
    <w:rsid w:val="00401A4E"/>
    <w:rsid w:val="00415444"/>
    <w:rsid w:val="0043785A"/>
    <w:rsid w:val="004466CC"/>
    <w:rsid w:val="00473C9A"/>
    <w:rsid w:val="00480CAB"/>
    <w:rsid w:val="004A26AB"/>
    <w:rsid w:val="004B18EB"/>
    <w:rsid w:val="004D03B6"/>
    <w:rsid w:val="004F5D6C"/>
    <w:rsid w:val="00503E13"/>
    <w:rsid w:val="00525C56"/>
    <w:rsid w:val="0055797D"/>
    <w:rsid w:val="005879A3"/>
    <w:rsid w:val="00590B15"/>
    <w:rsid w:val="00591995"/>
    <w:rsid w:val="005A726D"/>
    <w:rsid w:val="005B4629"/>
    <w:rsid w:val="005B509E"/>
    <w:rsid w:val="005D7BBC"/>
    <w:rsid w:val="00611042"/>
    <w:rsid w:val="00613020"/>
    <w:rsid w:val="00617DD9"/>
    <w:rsid w:val="00621EFC"/>
    <w:rsid w:val="0062424E"/>
    <w:rsid w:val="0064272E"/>
    <w:rsid w:val="00653C95"/>
    <w:rsid w:val="0065716C"/>
    <w:rsid w:val="00664299"/>
    <w:rsid w:val="00672FAA"/>
    <w:rsid w:val="006963F8"/>
    <w:rsid w:val="006970AE"/>
    <w:rsid w:val="006A1DE6"/>
    <w:rsid w:val="006B6B0E"/>
    <w:rsid w:val="006C248D"/>
    <w:rsid w:val="006C6BC3"/>
    <w:rsid w:val="006D4DF5"/>
    <w:rsid w:val="006D5135"/>
    <w:rsid w:val="006E2A0A"/>
    <w:rsid w:val="006F28B6"/>
    <w:rsid w:val="006F64B0"/>
    <w:rsid w:val="00704C24"/>
    <w:rsid w:val="00713AFE"/>
    <w:rsid w:val="00716079"/>
    <w:rsid w:val="00717AD7"/>
    <w:rsid w:val="00727AF3"/>
    <w:rsid w:val="00741C72"/>
    <w:rsid w:val="00744B49"/>
    <w:rsid w:val="00752454"/>
    <w:rsid w:val="00776F36"/>
    <w:rsid w:val="00793B3A"/>
    <w:rsid w:val="007A2B3B"/>
    <w:rsid w:val="007B3077"/>
    <w:rsid w:val="007B5CB8"/>
    <w:rsid w:val="007B62A7"/>
    <w:rsid w:val="007C0C31"/>
    <w:rsid w:val="007E02A3"/>
    <w:rsid w:val="00804BDA"/>
    <w:rsid w:val="00814606"/>
    <w:rsid w:val="00827205"/>
    <w:rsid w:val="00847579"/>
    <w:rsid w:val="00866D6F"/>
    <w:rsid w:val="00897F18"/>
    <w:rsid w:val="008A07C3"/>
    <w:rsid w:val="008E2B41"/>
    <w:rsid w:val="008E324D"/>
    <w:rsid w:val="008F060C"/>
    <w:rsid w:val="008F2F43"/>
    <w:rsid w:val="009131E7"/>
    <w:rsid w:val="00921CB9"/>
    <w:rsid w:val="0094212B"/>
    <w:rsid w:val="0096093C"/>
    <w:rsid w:val="00963FBC"/>
    <w:rsid w:val="0096485F"/>
    <w:rsid w:val="00972B98"/>
    <w:rsid w:val="00A03186"/>
    <w:rsid w:val="00A06802"/>
    <w:rsid w:val="00A11C64"/>
    <w:rsid w:val="00A20FFD"/>
    <w:rsid w:val="00A2655C"/>
    <w:rsid w:val="00A34035"/>
    <w:rsid w:val="00A71105"/>
    <w:rsid w:val="00A74B7F"/>
    <w:rsid w:val="00AA062C"/>
    <w:rsid w:val="00AB4A59"/>
    <w:rsid w:val="00B1120C"/>
    <w:rsid w:val="00B12CDA"/>
    <w:rsid w:val="00B17617"/>
    <w:rsid w:val="00B213E0"/>
    <w:rsid w:val="00B22A44"/>
    <w:rsid w:val="00B23F88"/>
    <w:rsid w:val="00B45640"/>
    <w:rsid w:val="00B45FAC"/>
    <w:rsid w:val="00B5718F"/>
    <w:rsid w:val="00B65609"/>
    <w:rsid w:val="00B8004C"/>
    <w:rsid w:val="00B84FFB"/>
    <w:rsid w:val="00B8574F"/>
    <w:rsid w:val="00B95AC1"/>
    <w:rsid w:val="00B9746D"/>
    <w:rsid w:val="00B97E1C"/>
    <w:rsid w:val="00BA0C4B"/>
    <w:rsid w:val="00BA240C"/>
    <w:rsid w:val="00BE0DD2"/>
    <w:rsid w:val="00BF0E17"/>
    <w:rsid w:val="00C0245E"/>
    <w:rsid w:val="00C0741D"/>
    <w:rsid w:val="00C12A59"/>
    <w:rsid w:val="00C15B53"/>
    <w:rsid w:val="00C209A2"/>
    <w:rsid w:val="00C24770"/>
    <w:rsid w:val="00C5063F"/>
    <w:rsid w:val="00C50680"/>
    <w:rsid w:val="00C701E5"/>
    <w:rsid w:val="00C932BA"/>
    <w:rsid w:val="00CB1515"/>
    <w:rsid w:val="00CC0EB2"/>
    <w:rsid w:val="00CC4FF2"/>
    <w:rsid w:val="00CC5F56"/>
    <w:rsid w:val="00CD5909"/>
    <w:rsid w:val="00CF27BF"/>
    <w:rsid w:val="00D13BA4"/>
    <w:rsid w:val="00D305CF"/>
    <w:rsid w:val="00D33F2C"/>
    <w:rsid w:val="00D453F5"/>
    <w:rsid w:val="00D472CF"/>
    <w:rsid w:val="00D47D2B"/>
    <w:rsid w:val="00D53E5B"/>
    <w:rsid w:val="00D65469"/>
    <w:rsid w:val="00D664E3"/>
    <w:rsid w:val="00D67916"/>
    <w:rsid w:val="00D67FCA"/>
    <w:rsid w:val="00D70D23"/>
    <w:rsid w:val="00D738B7"/>
    <w:rsid w:val="00D9115A"/>
    <w:rsid w:val="00D92D84"/>
    <w:rsid w:val="00DA6C58"/>
    <w:rsid w:val="00DF4643"/>
    <w:rsid w:val="00E10DAC"/>
    <w:rsid w:val="00E17C80"/>
    <w:rsid w:val="00E41E3B"/>
    <w:rsid w:val="00E44FCA"/>
    <w:rsid w:val="00E45848"/>
    <w:rsid w:val="00E51BC4"/>
    <w:rsid w:val="00E60F52"/>
    <w:rsid w:val="00E72D52"/>
    <w:rsid w:val="00E74447"/>
    <w:rsid w:val="00E817AF"/>
    <w:rsid w:val="00E91B75"/>
    <w:rsid w:val="00EB213B"/>
    <w:rsid w:val="00ED7327"/>
    <w:rsid w:val="00ED73EC"/>
    <w:rsid w:val="00EE6CE2"/>
    <w:rsid w:val="00F02520"/>
    <w:rsid w:val="00F03FE3"/>
    <w:rsid w:val="00F065BB"/>
    <w:rsid w:val="00F11E5F"/>
    <w:rsid w:val="00F142CD"/>
    <w:rsid w:val="00F22421"/>
    <w:rsid w:val="00F23F4E"/>
    <w:rsid w:val="00F26B63"/>
    <w:rsid w:val="00F5760A"/>
    <w:rsid w:val="00F57734"/>
    <w:rsid w:val="00F703A9"/>
    <w:rsid w:val="00F80013"/>
    <w:rsid w:val="00F92DF6"/>
    <w:rsid w:val="00F94434"/>
    <w:rsid w:val="00FA3B5F"/>
    <w:rsid w:val="00FB0684"/>
    <w:rsid w:val="00FB2EA2"/>
    <w:rsid w:val="00FC1AAD"/>
    <w:rsid w:val="00FC6D24"/>
    <w:rsid w:val="00FE66AD"/>
    <w:rsid w:val="00FF0E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CB3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0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60C"/>
    <w:rPr>
      <w:color w:val="0563C1" w:themeColor="hyperlink"/>
      <w:u w:val="single"/>
    </w:rPr>
  </w:style>
  <w:style w:type="paragraph" w:styleId="ListParagraph">
    <w:name w:val="List Paragraph"/>
    <w:basedOn w:val="Normal"/>
    <w:uiPriority w:val="34"/>
    <w:qFormat/>
    <w:rsid w:val="00AA062C"/>
    <w:pPr>
      <w:ind w:left="720"/>
      <w:contextualSpacing/>
    </w:pPr>
  </w:style>
  <w:style w:type="paragraph" w:styleId="Header">
    <w:name w:val="header"/>
    <w:basedOn w:val="Normal"/>
    <w:link w:val="HeaderChar"/>
    <w:uiPriority w:val="99"/>
    <w:unhideWhenUsed/>
    <w:rsid w:val="00741C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1C72"/>
  </w:style>
  <w:style w:type="paragraph" w:styleId="Footer">
    <w:name w:val="footer"/>
    <w:basedOn w:val="Normal"/>
    <w:link w:val="FooterChar"/>
    <w:uiPriority w:val="99"/>
    <w:unhideWhenUsed/>
    <w:rsid w:val="00741C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1C72"/>
  </w:style>
  <w:style w:type="paragraph" w:styleId="BalloonText">
    <w:name w:val="Balloon Text"/>
    <w:basedOn w:val="Normal"/>
    <w:link w:val="BalloonTextChar"/>
    <w:uiPriority w:val="99"/>
    <w:semiHidden/>
    <w:unhideWhenUsed/>
    <w:rsid w:val="00ED7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EC"/>
    <w:rPr>
      <w:rFonts w:ascii="Segoe UI" w:hAnsi="Segoe UI" w:cs="Segoe UI"/>
      <w:sz w:val="18"/>
      <w:szCs w:val="18"/>
    </w:rPr>
  </w:style>
  <w:style w:type="character" w:customStyle="1" w:styleId="FootnoteReference1">
    <w:name w:val="Footnote Reference1"/>
    <w:basedOn w:val="DefaultParagraphFont"/>
    <w:rsid w:val="000D50AD"/>
    <w:rPr>
      <w:vertAlign w:val="superscript"/>
    </w:rPr>
  </w:style>
  <w:style w:type="character" w:customStyle="1" w:styleId="FootnoteCharacters">
    <w:name w:val="Footnote Characters"/>
    <w:rsid w:val="000D50AD"/>
  </w:style>
  <w:style w:type="character" w:styleId="FootnoteReference">
    <w:name w:val="footnote reference"/>
    <w:rsid w:val="000D50AD"/>
    <w:rPr>
      <w:vertAlign w:val="superscript"/>
    </w:rPr>
  </w:style>
  <w:style w:type="paragraph" w:styleId="FootnoteText">
    <w:name w:val="footnote text"/>
    <w:basedOn w:val="Normal"/>
    <w:link w:val="FootnoteTextChar"/>
    <w:rsid w:val="000D50AD"/>
    <w:pPr>
      <w:suppressAutoHyphens/>
      <w:spacing w:after="40" w:line="360" w:lineRule="auto"/>
      <w:jc w:val="both"/>
    </w:pPr>
    <w:rPr>
      <w:rFonts w:eastAsia="Calibri" w:cs="font229"/>
      <w:kern w:val="1"/>
    </w:rPr>
  </w:style>
  <w:style w:type="character" w:customStyle="1" w:styleId="FootnoteTextChar">
    <w:name w:val="Footnote Text Char"/>
    <w:basedOn w:val="DefaultParagraphFont"/>
    <w:link w:val="FootnoteText"/>
    <w:rsid w:val="000D50AD"/>
    <w:rPr>
      <w:rFonts w:eastAsia="Calibri" w:cs="font229"/>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485132">
      <w:bodyDiv w:val="1"/>
      <w:marLeft w:val="0"/>
      <w:marRight w:val="0"/>
      <w:marTop w:val="0"/>
      <w:marBottom w:val="0"/>
      <w:divBdr>
        <w:top w:val="none" w:sz="0" w:space="0" w:color="auto"/>
        <w:left w:val="none" w:sz="0" w:space="0" w:color="auto"/>
        <w:bottom w:val="none" w:sz="0" w:space="0" w:color="auto"/>
        <w:right w:val="none" w:sz="0" w:space="0" w:color="auto"/>
      </w:divBdr>
    </w:div>
    <w:div w:id="1739396630">
      <w:bodyDiv w:val="1"/>
      <w:marLeft w:val="0"/>
      <w:marRight w:val="0"/>
      <w:marTop w:val="0"/>
      <w:marBottom w:val="0"/>
      <w:divBdr>
        <w:top w:val="none" w:sz="0" w:space="0" w:color="auto"/>
        <w:left w:val="none" w:sz="0" w:space="0" w:color="auto"/>
        <w:bottom w:val="none" w:sz="0" w:space="0" w:color="auto"/>
        <w:right w:val="none" w:sz="0" w:space="0" w:color="auto"/>
      </w:divBdr>
    </w:div>
    <w:div w:id="21128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5B50-029A-4ED9-89B3-8A572575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6592</Words>
  <Characters>3758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2021-01-18T13:13:00Z</dcterms:created>
  <dcterms:modified xsi:type="dcterms:W3CDTF">2021-01-18T13:13:00Z</dcterms:modified>
</cp:coreProperties>
</file>