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1893D" w14:textId="77777777" w:rsidR="00602C48" w:rsidRDefault="00602C48" w:rsidP="00602C48">
      <w:pPr>
        <w:spacing w:line="276" w:lineRule="auto"/>
        <w:jc w:val="both"/>
        <w:rPr>
          <w:b/>
          <w:bCs/>
        </w:rPr>
      </w:pPr>
      <w:r>
        <w:rPr>
          <w:b/>
          <w:bCs/>
        </w:rPr>
        <w:t>Jēdziena „kredīta kopējās izmaksas patērētājam” saturs</w:t>
      </w:r>
    </w:p>
    <w:p w14:paraId="6AAAC64B" w14:textId="77777777" w:rsidR="00602C48" w:rsidRDefault="00602C48" w:rsidP="00602C48">
      <w:pPr>
        <w:spacing w:line="276" w:lineRule="auto"/>
        <w:jc w:val="both"/>
      </w:pPr>
      <w:r>
        <w:t>„Kredīta kopējās izmaksas patērētājam” ir autonoms Eiropas Savienības tiesību jēdziens, kurš visā tās teritorijā ir jāinterpretē vienādi. Tas aptver visas izmaksas, kuras patērētājam jāmaksā saistībā ar kredītlīgumu, un ir kreditoram zināmas, tostarp gan izmaksas, kas ir saistītas ar kredīta saņemšanu, gan izmaksas, kas ir saistītas ar tā lietošanu laika gaitā.</w:t>
      </w:r>
    </w:p>
    <w:p w14:paraId="348622FC" w14:textId="77777777" w:rsidR="00602C48" w:rsidRDefault="00602C48" w:rsidP="00602C48">
      <w:pPr>
        <w:spacing w:line="276" w:lineRule="auto"/>
        <w:jc w:val="both"/>
      </w:pPr>
      <w:r>
        <w:t xml:space="preserve">Kreditēšanas līgumu gadījumā, kuru nosacījumos un noteikumos, par kuriem, noslēdzot līgumu, vienojas kredīta devējs un kredīta ņēmējs, </w:t>
      </w:r>
      <w:proofErr w:type="spellStart"/>
      <w:r>
        <w:t>citstarp</w:t>
      </w:r>
      <w:proofErr w:type="spellEnd"/>
      <w:r>
        <w:t xml:space="preserve"> ietilpst arī kredīta pagarināšanas noteikumi –, kredīta kopējās izmaksās patērētājam ietilpst arī kredīta pagarināšanas izmaksas.</w:t>
      </w:r>
    </w:p>
    <w:p w14:paraId="4A33A0CD" w14:textId="4D255558" w:rsidR="004B028A" w:rsidRDefault="004B028A" w:rsidP="00602C48">
      <w:pPr>
        <w:spacing w:line="276" w:lineRule="auto"/>
        <w:jc w:val="both"/>
        <w:rPr>
          <w:b/>
          <w:bCs/>
        </w:rPr>
      </w:pPr>
    </w:p>
    <w:p w14:paraId="7D8BB77A" w14:textId="77777777" w:rsidR="00602C48" w:rsidRDefault="00602C48" w:rsidP="00602C48">
      <w:pPr>
        <w:spacing w:line="276" w:lineRule="auto"/>
        <w:jc w:val="both"/>
        <w:rPr>
          <w:b/>
          <w:bCs/>
        </w:rPr>
      </w:pPr>
      <w:r>
        <w:rPr>
          <w:b/>
          <w:bCs/>
        </w:rPr>
        <w:t>Konkrētība kā būtiska uzziņas raksturojošā pazīme</w:t>
      </w:r>
    </w:p>
    <w:p w14:paraId="2C47E411" w14:textId="571F8F47" w:rsidR="00602C48" w:rsidRPr="00602C48" w:rsidRDefault="00602C48" w:rsidP="00602C48">
      <w:pPr>
        <w:spacing w:line="276" w:lineRule="auto"/>
        <w:jc w:val="both"/>
        <w:rPr>
          <w:color w:val="0000FF"/>
        </w:rPr>
      </w:pPr>
      <w:r>
        <w:t xml:space="preserve">No Administratīvā procesa likuma </w:t>
      </w:r>
      <w:proofErr w:type="gramStart"/>
      <w:r>
        <w:t>98.panta</w:t>
      </w:r>
      <w:proofErr w:type="gramEnd"/>
      <w:r>
        <w:t xml:space="preserve"> trešās daļas 2.punkta un 100.panta 5.punkta izriet, ka būtiska uzziņas institūtu raksturojošā pazīme ir konkrētība – proti, personai iesniegumā par uzziņu ir jānorāda konkrēts jautājums, atbilde uz kuru ir atkarīga no personas aprakstīto faktu juridiska vērtējuma, bet iestādei uzziņā ir jāietver atbilde uz šo jautājumu. Šis aspekts ir attiecināms arī gadījumiem, kad kompetentā iestāde savu atbildi sniegusi ne tikai uzziņas, bet arī kādā citā formā. Proti, jo konkrētāku jautājumu persona uzdod iestādei un jo konkrētu atbildi personai sniedz iestāde, jo vairāk ir aizsargājama personas paļāvība uz iestādes doto apsolījumu par konkrētu tiesisko seku iestāšanos nākotnē.</w:t>
      </w:r>
    </w:p>
    <w:p w14:paraId="05D8866A" w14:textId="77777777" w:rsidR="00602C48" w:rsidRDefault="00602C48" w:rsidP="006B7BBC">
      <w:pPr>
        <w:spacing w:line="276" w:lineRule="auto"/>
        <w:jc w:val="center"/>
        <w:rPr>
          <w:b/>
        </w:rPr>
      </w:pPr>
    </w:p>
    <w:p w14:paraId="5B96512A" w14:textId="10436C29" w:rsidR="006B7BBC" w:rsidRDefault="006B7BBC" w:rsidP="006B7BBC">
      <w:pPr>
        <w:spacing w:line="276" w:lineRule="auto"/>
        <w:jc w:val="center"/>
        <w:rPr>
          <w:b/>
        </w:rPr>
      </w:pPr>
      <w:r w:rsidRPr="004B028A">
        <w:rPr>
          <w:b/>
        </w:rPr>
        <w:t>Latvijas Republikas Senāt</w:t>
      </w:r>
      <w:r w:rsidR="004B028A">
        <w:rPr>
          <w:b/>
        </w:rPr>
        <w:t>a</w:t>
      </w:r>
    </w:p>
    <w:p w14:paraId="6BFFC0B4" w14:textId="110CF728" w:rsidR="004B028A" w:rsidRDefault="004B028A" w:rsidP="006B7BBC">
      <w:pPr>
        <w:spacing w:line="276" w:lineRule="auto"/>
        <w:jc w:val="center"/>
        <w:rPr>
          <w:b/>
        </w:rPr>
      </w:pPr>
      <w:r>
        <w:rPr>
          <w:b/>
        </w:rPr>
        <w:t>Administratīvo lietu departamenta</w:t>
      </w:r>
    </w:p>
    <w:p w14:paraId="3972643E" w14:textId="35345957" w:rsidR="004B028A" w:rsidRPr="004B028A" w:rsidRDefault="004B028A" w:rsidP="006B7BBC">
      <w:pPr>
        <w:spacing w:line="276" w:lineRule="auto"/>
        <w:jc w:val="center"/>
        <w:rPr>
          <w:b/>
        </w:rPr>
      </w:pPr>
      <w:proofErr w:type="gramStart"/>
      <w:r>
        <w:rPr>
          <w:b/>
        </w:rPr>
        <w:t>2020.gada</w:t>
      </w:r>
      <w:proofErr w:type="gramEnd"/>
      <w:r>
        <w:rPr>
          <w:b/>
        </w:rPr>
        <w:t xml:space="preserve"> 22.decembra</w:t>
      </w:r>
    </w:p>
    <w:p w14:paraId="30B4B012" w14:textId="2ED42814" w:rsidR="006B7BBC" w:rsidRDefault="0089619C" w:rsidP="006B7BBC">
      <w:pPr>
        <w:spacing w:line="276" w:lineRule="auto"/>
        <w:jc w:val="center"/>
        <w:rPr>
          <w:b/>
        </w:rPr>
      </w:pPr>
      <w:r w:rsidRPr="004B028A">
        <w:rPr>
          <w:b/>
        </w:rPr>
        <w:t>SPRIEDUMS</w:t>
      </w:r>
    </w:p>
    <w:p w14:paraId="1C125F9C" w14:textId="025386C9" w:rsidR="004B028A" w:rsidRDefault="004B028A" w:rsidP="006B7BBC">
      <w:pPr>
        <w:spacing w:line="276" w:lineRule="auto"/>
        <w:jc w:val="center"/>
        <w:rPr>
          <w:b/>
        </w:rPr>
      </w:pPr>
      <w:r>
        <w:rPr>
          <w:b/>
        </w:rPr>
        <w:t>Lieta Nr. A420185217, SKA-436/2020</w:t>
      </w:r>
    </w:p>
    <w:p w14:paraId="59667B19" w14:textId="64A0F0CC" w:rsidR="004B028A" w:rsidRPr="004B028A" w:rsidRDefault="00905F7B" w:rsidP="006B7BBC">
      <w:pPr>
        <w:spacing w:line="276" w:lineRule="auto"/>
        <w:jc w:val="center"/>
        <w:rPr>
          <w:b/>
          <w:color w:val="0000FF"/>
        </w:rPr>
      </w:pPr>
      <w:hyperlink r:id="rId7" w:history="1">
        <w:r w:rsidR="004B028A" w:rsidRPr="004B028A">
          <w:rPr>
            <w:rStyle w:val="Hyperlink"/>
            <w:color w:val="0000FF"/>
          </w:rPr>
          <w:t>ECLI:LV:AT:2020:1222.A420185217.14.S</w:t>
        </w:r>
      </w:hyperlink>
    </w:p>
    <w:p w14:paraId="2F242BC5" w14:textId="77777777" w:rsidR="006B7BBC" w:rsidRDefault="006B7BBC" w:rsidP="006B7BBC">
      <w:pPr>
        <w:spacing w:line="276" w:lineRule="auto"/>
        <w:ind w:firstLine="567"/>
        <w:jc w:val="both"/>
      </w:pPr>
    </w:p>
    <w:p w14:paraId="19AFEF33" w14:textId="1F11FA62" w:rsidR="006B7BBC" w:rsidRDefault="006B7BBC" w:rsidP="006B7BBC">
      <w:pPr>
        <w:spacing w:line="276" w:lineRule="auto"/>
        <w:ind w:firstLine="567"/>
        <w:jc w:val="both"/>
      </w:pPr>
      <w:r w:rsidRPr="00B75A4A">
        <w:t>Tiesa</w:t>
      </w:r>
      <w:r w:rsidRPr="0015480A">
        <w:t xml:space="preserve"> šādā sastāvā: senator</w:t>
      </w:r>
      <w:r w:rsidR="00C92051">
        <w:t xml:space="preserve">es Ieva Višķere, </w:t>
      </w:r>
      <w:r w:rsidR="00DF017B">
        <w:t>Vēsma Kakste, Veronika Krūmiņa</w:t>
      </w:r>
    </w:p>
    <w:p w14:paraId="3049557F" w14:textId="77777777" w:rsidR="003047F5" w:rsidRPr="0082381C" w:rsidRDefault="003047F5" w:rsidP="000B0A3A">
      <w:pPr>
        <w:spacing w:line="276" w:lineRule="auto"/>
        <w:ind w:firstLine="567"/>
        <w:jc w:val="both"/>
      </w:pPr>
    </w:p>
    <w:p w14:paraId="6835DCE1" w14:textId="031D3B7A" w:rsidR="00C92051" w:rsidRDefault="00C92051" w:rsidP="004A7D94">
      <w:pPr>
        <w:spacing w:line="276" w:lineRule="auto"/>
        <w:ind w:firstLine="567"/>
        <w:jc w:val="both"/>
      </w:pPr>
      <w:r w:rsidRPr="00E70B6A">
        <w:t xml:space="preserve">rakstveida procesā </w:t>
      </w:r>
      <w:r>
        <w:t xml:space="preserve">izskatīja administratīvo lietu, kas ierosināta, pamatojoties uz </w:t>
      </w:r>
      <w:r w:rsidR="004A7D94" w:rsidRPr="004A7D94">
        <w:t xml:space="preserve">SIA „OC </w:t>
      </w:r>
      <w:proofErr w:type="spellStart"/>
      <w:r w:rsidR="004A7D94" w:rsidRPr="004A7D94">
        <w:t>Finance</w:t>
      </w:r>
      <w:proofErr w:type="spellEnd"/>
      <w:r w:rsidR="004A7D94" w:rsidRPr="004A7D94">
        <w:t xml:space="preserve">” pieteikumu par Patērētāju tiesību aizsardzības centra </w:t>
      </w:r>
      <w:proofErr w:type="gramStart"/>
      <w:r w:rsidR="004A7D94" w:rsidRPr="004A7D94">
        <w:t>2017.gada</w:t>
      </w:r>
      <w:proofErr w:type="gramEnd"/>
      <w:r w:rsidR="004A7D94" w:rsidRPr="004A7D94">
        <w:t xml:space="preserve"> 21.februāra lēmuma Nr. 6-pk atcelšanu, sakarā ar SIA „OC </w:t>
      </w:r>
      <w:proofErr w:type="spellStart"/>
      <w:r w:rsidR="004A7D94" w:rsidRPr="004A7D94">
        <w:t>Finance</w:t>
      </w:r>
      <w:proofErr w:type="spellEnd"/>
      <w:r w:rsidR="004A7D94" w:rsidRPr="004A7D94">
        <w:t>” kasācijas sūdzību par Administratīvās apgabaltiesas 2018.gada 26.novembra 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4719C44E" w14:textId="18A384BC" w:rsidR="00D16DC4" w:rsidRDefault="004A7D94" w:rsidP="00D16DC4">
      <w:pPr>
        <w:spacing w:line="276" w:lineRule="auto"/>
        <w:ind w:firstLine="567"/>
        <w:jc w:val="both"/>
      </w:pPr>
      <w:r>
        <w:t>[1] </w:t>
      </w:r>
      <w:r w:rsidR="00D16DC4" w:rsidRPr="00314B98">
        <w:t xml:space="preserve">Patērētāju tiesību </w:t>
      </w:r>
      <w:r w:rsidR="00D16DC4">
        <w:t>aizsardzības centrs (turpmāk – C</w:t>
      </w:r>
      <w:r w:rsidR="00D16DC4" w:rsidRPr="00314B98">
        <w:t xml:space="preserve">entrs) </w:t>
      </w:r>
      <w:proofErr w:type="gramStart"/>
      <w:r w:rsidR="00A37EB8">
        <w:t>2016.gada</w:t>
      </w:r>
      <w:proofErr w:type="gramEnd"/>
      <w:r w:rsidR="00A37EB8">
        <w:t xml:space="preserve"> 16.septembrī </w:t>
      </w:r>
      <w:r w:rsidR="00D16DC4" w:rsidRPr="00314B98">
        <w:t xml:space="preserve">veica pieteicējas SIA „OC </w:t>
      </w:r>
      <w:proofErr w:type="spellStart"/>
      <w:r w:rsidR="00D16DC4" w:rsidRPr="00314B98">
        <w:t>Finance</w:t>
      </w:r>
      <w:proofErr w:type="spellEnd"/>
      <w:r w:rsidR="00D16DC4" w:rsidRPr="00314B98">
        <w:t xml:space="preserve">” distances pakalpojumu sniegšanas </w:t>
      </w:r>
      <w:r w:rsidR="00D16DC4" w:rsidRPr="00D16DC4">
        <w:t>viet</w:t>
      </w:r>
      <w:r w:rsidR="00B95FF6">
        <w:t>nē</w:t>
      </w:r>
      <w:r w:rsidR="00D16DC4" w:rsidRPr="00D16DC4">
        <w:t xml:space="preserve"> </w:t>
      </w:r>
      <w:hyperlink r:id="rId8" w:history="1">
        <w:r w:rsidR="00D16DC4" w:rsidRPr="00D16DC4">
          <w:rPr>
            <w:rStyle w:val="Hyperlink"/>
            <w:i/>
            <w:color w:val="auto"/>
          </w:rPr>
          <w:t>www.opencredit.lv</w:t>
        </w:r>
      </w:hyperlink>
      <w:r w:rsidR="00D16DC4" w:rsidRPr="00D16DC4">
        <w:t xml:space="preserve"> norādītās </w:t>
      </w:r>
      <w:r w:rsidR="00D16DC4" w:rsidRPr="00314B98">
        <w:t>inform</w:t>
      </w:r>
      <w:r w:rsidR="00D16DC4">
        <w:t>ācijas atbilstības patērētāju tiesību aizsardzību regulējošo normatīvo aktu prasībām pārbaudi.</w:t>
      </w:r>
    </w:p>
    <w:p w14:paraId="428CC12C" w14:textId="0977FA54" w:rsidR="00D16DC4" w:rsidRDefault="00D16DC4" w:rsidP="00BC2F3F">
      <w:pPr>
        <w:spacing w:line="276" w:lineRule="auto"/>
        <w:ind w:firstLine="567"/>
        <w:jc w:val="both"/>
      </w:pPr>
      <w:r>
        <w:t xml:space="preserve">Uzskatot, ka patērētājiem piedāvāto kreditēšanas līgumu kopējās izmaksās ietilpst </w:t>
      </w:r>
      <w:r w:rsidR="00111C95">
        <w:t xml:space="preserve">arī </w:t>
      </w:r>
      <w:r>
        <w:t xml:space="preserve">kredīta termiņa pagarināšanas izmaksas, Centrs konstatēja, ka pieteicēja patērētājiem piedāvā kreditēšanas līgumus ar Patērētāju tiesību aizsardzības likuma </w:t>
      </w:r>
      <w:proofErr w:type="gramStart"/>
      <w:r>
        <w:t>8.panta</w:t>
      </w:r>
      <w:proofErr w:type="gramEnd"/>
      <w:r>
        <w:t xml:space="preserve"> 2.</w:t>
      </w:r>
      <w:r w:rsidRPr="00A1671D">
        <w:rPr>
          <w:vertAlign w:val="superscript"/>
        </w:rPr>
        <w:t>3</w:t>
      </w:r>
      <w:r>
        <w:t xml:space="preserve">daļai neatbilstošām kredīta kopējām izmaksām dienā, </w:t>
      </w:r>
      <w:r w:rsidR="00DA4063">
        <w:t xml:space="preserve">līdz ar to šīs izmaksas </w:t>
      </w:r>
      <w:r>
        <w:t>neesot samērīgas un neatbilstot godīgai darījumu praksei saskaņā ar minētā panta 2.</w:t>
      </w:r>
      <w:r w:rsidRPr="00FD75D2">
        <w:rPr>
          <w:vertAlign w:val="superscript"/>
        </w:rPr>
        <w:t>2</w:t>
      </w:r>
      <w:r>
        <w:t xml:space="preserve">daļu. Ievērojot pārbaudē konstatēto, Centrs 2016.gada 16.septembrī uzsāka patērētāju kolektīvo interešu lietu par pieteicējas </w:t>
      </w:r>
      <w:r w:rsidR="00BC2F3F">
        <w:t>īstenotās komercprakses atbilstību Patērētāju tiesību aizsardzības likum</w:t>
      </w:r>
      <w:r w:rsidR="00B95FF6">
        <w:t>am</w:t>
      </w:r>
      <w:r w:rsidR="00BC2F3F">
        <w:t>.</w:t>
      </w:r>
    </w:p>
    <w:p w14:paraId="67052284" w14:textId="0ECE1C6B" w:rsidR="00D16DC4" w:rsidRDefault="00D16DC4" w:rsidP="00D16DC4">
      <w:pPr>
        <w:spacing w:line="276" w:lineRule="auto"/>
        <w:ind w:firstLine="567"/>
        <w:jc w:val="both"/>
      </w:pPr>
      <w:r>
        <w:lastRenderedPageBreak/>
        <w:t xml:space="preserve">Administratīvais process iestādē noslēdzās ar Centra </w:t>
      </w:r>
      <w:proofErr w:type="gramStart"/>
      <w:r>
        <w:t>2017.gada</w:t>
      </w:r>
      <w:proofErr w:type="gramEnd"/>
      <w:r>
        <w:t xml:space="preserve"> 21.februāra lēmumu Nr. 6-pk (turpmāk – pārsūdzētais lēmums), ar kuru pieteicējai piemērota </w:t>
      </w:r>
      <w:r w:rsidR="00DA4063">
        <w:t>17 000 </w:t>
      </w:r>
      <w:proofErr w:type="spellStart"/>
      <w:r w:rsidR="00DA4063" w:rsidRPr="00EF10BF">
        <w:rPr>
          <w:i/>
        </w:rPr>
        <w:t>euro</w:t>
      </w:r>
      <w:proofErr w:type="spellEnd"/>
      <w:r w:rsidR="00DA4063" w:rsidRPr="00EF10BF">
        <w:rPr>
          <w:i/>
        </w:rPr>
        <w:t xml:space="preserve"> </w:t>
      </w:r>
      <w:r>
        <w:t>soda nauda par negodīgas komercprakses īstenošanu.</w:t>
      </w:r>
    </w:p>
    <w:p w14:paraId="23054008" w14:textId="77777777" w:rsidR="00C92051" w:rsidRDefault="00C92051" w:rsidP="00C92051">
      <w:pPr>
        <w:spacing w:line="276" w:lineRule="auto"/>
        <w:ind w:firstLine="567"/>
        <w:jc w:val="both"/>
      </w:pPr>
    </w:p>
    <w:p w14:paraId="1B763871" w14:textId="09EA71BD" w:rsidR="00C92051" w:rsidRDefault="00C92051" w:rsidP="00C92051">
      <w:pPr>
        <w:spacing w:line="276" w:lineRule="auto"/>
        <w:ind w:firstLine="567"/>
        <w:jc w:val="both"/>
      </w:pPr>
      <w:r>
        <w:t>[2] </w:t>
      </w:r>
      <w:r w:rsidR="00692644">
        <w:t>Nepiekrītot pārsūdzētajam lēmumam, pieteicēja vērsās ties</w:t>
      </w:r>
      <w:r w:rsidR="002F05F1">
        <w:t>ā.</w:t>
      </w:r>
    </w:p>
    <w:p w14:paraId="2160101C" w14:textId="77777777" w:rsidR="00C92051" w:rsidRDefault="00C92051" w:rsidP="00C92051">
      <w:pPr>
        <w:spacing w:line="276" w:lineRule="auto"/>
        <w:ind w:firstLine="567"/>
        <w:jc w:val="both"/>
      </w:pPr>
    </w:p>
    <w:p w14:paraId="7D56B977" w14:textId="03E0B1B4" w:rsidR="00C92051" w:rsidRPr="00104126" w:rsidRDefault="00C92051" w:rsidP="00C92051">
      <w:pPr>
        <w:spacing w:line="276" w:lineRule="auto"/>
        <w:ind w:firstLine="567"/>
        <w:jc w:val="both"/>
      </w:pPr>
      <w:r w:rsidRPr="00104126">
        <w:t xml:space="preserve">[3] Administratīvā apgabaltiesa, izskatījusi lietu apelācijas kārtībā, ar </w:t>
      </w:r>
      <w:proofErr w:type="gramStart"/>
      <w:r w:rsidRPr="00104126">
        <w:t>2018.gada</w:t>
      </w:r>
      <w:proofErr w:type="gramEnd"/>
      <w:r w:rsidRPr="00104126">
        <w:t xml:space="preserve"> </w:t>
      </w:r>
      <w:r w:rsidR="00BC2F3F">
        <w:t>26.novembra</w:t>
      </w:r>
      <w:r w:rsidRPr="00104126">
        <w:t xml:space="preserve"> spriedumu pieteicējas pieteikumu noraidīja. Apgabaltiesas spriedums, ievērojot pievienošanos rajona tiesas sprieduma motivācijai, pamatots ar turpmāk norādītajiem argumentiem.</w:t>
      </w:r>
    </w:p>
    <w:p w14:paraId="605962DE" w14:textId="7F5A372B" w:rsidR="00B867E8" w:rsidRDefault="00C92051" w:rsidP="005E4B6E">
      <w:pPr>
        <w:spacing w:line="276" w:lineRule="auto"/>
        <w:ind w:firstLine="567"/>
        <w:jc w:val="both"/>
      </w:pPr>
      <w:r w:rsidRPr="00104126">
        <w:t>[3.1] </w:t>
      </w:r>
      <w:r w:rsidR="00B867E8">
        <w:t xml:space="preserve">Patērētāju tiesību aizsardzības likuma </w:t>
      </w:r>
      <w:proofErr w:type="gramStart"/>
      <w:r w:rsidR="00B867E8">
        <w:t>1.panta</w:t>
      </w:r>
      <w:proofErr w:type="gramEnd"/>
      <w:r w:rsidR="00B867E8">
        <w:t xml:space="preserve"> 9.punkta normas teksts norāda, ka jebkuras izmaksu pozīcijas izslēgšana no kredīta kopējām izmaksām patērētājam ir izņēmums.</w:t>
      </w:r>
      <w:r w:rsidR="005E4B6E">
        <w:t xml:space="preserve"> </w:t>
      </w:r>
      <w:r w:rsidR="00B867E8">
        <w:t xml:space="preserve">Komisijas maksa par kredīta termiņa pagarināšanu pēc sava rakstura ir komisijas maksa par papildu pakalpojuma sniegšanu, proti, kredīta termiņa pagarināšanu. Līdz ar to šāda maksa ietilpst kredīta kopējās izmaksās līdzvērtīgi kā jebkura cita komisijas maksa, kas ir jāmaksā par pakalpojuma saņemšanu. </w:t>
      </w:r>
      <w:r w:rsidR="005E4B6E">
        <w:t>Nevar arī piekrist pieteicējai, ka komisijas maksa par kredīta termiņa pagarināšanu ir uzskatāma par tādu maksājumu, kas kredīta devējam nav zināms.</w:t>
      </w:r>
    </w:p>
    <w:p w14:paraId="43037C09" w14:textId="1424F457" w:rsidR="005E4B6E" w:rsidRDefault="005E4B6E" w:rsidP="005E4B6E">
      <w:pPr>
        <w:spacing w:line="276" w:lineRule="auto"/>
        <w:ind w:firstLine="567"/>
        <w:jc w:val="both"/>
      </w:pPr>
      <w:r>
        <w:t>[3.2] </w:t>
      </w:r>
      <w:r w:rsidR="00C15E0B">
        <w:t xml:space="preserve">Ievērojot minēto, atzīstams, ka pieteicēja ilgstoši – </w:t>
      </w:r>
      <w:r w:rsidR="00570E44">
        <w:t xml:space="preserve">10 </w:t>
      </w:r>
      <w:r w:rsidR="00C15E0B">
        <w:t xml:space="preserve">mēnešus – ir pārkāpusi Patērētāju tiesību aizsardzības likuma </w:t>
      </w:r>
      <w:proofErr w:type="gramStart"/>
      <w:r w:rsidR="00C15E0B">
        <w:t>8.panta</w:t>
      </w:r>
      <w:proofErr w:type="gramEnd"/>
      <w:r w:rsidR="00C15E0B">
        <w:t xml:space="preserve"> 2.</w:t>
      </w:r>
      <w:r w:rsidR="00C15E0B" w:rsidRPr="00C15E0B">
        <w:rPr>
          <w:vertAlign w:val="superscript"/>
        </w:rPr>
        <w:t>3</w:t>
      </w:r>
      <w:r w:rsidR="00C15E0B">
        <w:t>daļas noteikumus, piedāvājot patērētājiem slēgt kreditēšanas līgumus, kuru izmaksas nav samērīgas un neatbilst godīgai darījumu praksei.</w:t>
      </w:r>
      <w:r w:rsidR="0038000A">
        <w:t xml:space="preserve"> Patērētājiem ir sarežģīti pārzināt kreditēšanas jomas specifisko regulējumu, tostarp pārbaudīt, vai kredīta pagarināšanas </w:t>
      </w:r>
      <w:r w:rsidR="00062043">
        <w:t>komisijas</w:t>
      </w:r>
      <w:r w:rsidR="0038000A">
        <w:t xml:space="preserve"> apmērs ir noteikts, ievērojot tiesību normu prasības. Turklāt kredīta pagarināšanas brīdī daudzi patērētāji atrodas situācijā, kurā tiem ir ierobežotas iespējas izvēlēties citu pakalpojumu sniedz</w:t>
      </w:r>
      <w:r w:rsidR="00DC7D43">
        <w:t>ēju</w:t>
      </w:r>
      <w:r w:rsidR="00062043">
        <w:t xml:space="preserve"> un</w:t>
      </w:r>
      <w:r w:rsidR="00DC7D43">
        <w:t xml:space="preserve"> ir mazāk aizsargāti pret negodīgiem līguma noteikumiem. Pieteicēja šo situāciju ir izmantojusi savās interesēs. Tālab pieteicējas rīcība atzīstama par tādu, kas neatbilda profesionālajai rūpībai un būtiski negatīvi ietekmēja patērētāju ekonomisko rīcību. Par negatīvās ietekmes būtiskumu liecina lielais darījumu skaits – 16 085 darījumi</w:t>
      </w:r>
      <w:r w:rsidR="00062043">
        <w:t>,</w:t>
      </w:r>
      <w:r w:rsidR="00DC7D43">
        <w:t xml:space="preserve"> kuros nav ievērotas tiesību normu prasības, un patērētājiem nodarītais zaudējumu kopējais apmērs – 250 094 </w:t>
      </w:r>
      <w:proofErr w:type="spellStart"/>
      <w:r w:rsidR="00DC7D43" w:rsidRPr="00EE328B">
        <w:rPr>
          <w:i/>
        </w:rPr>
        <w:t>euro</w:t>
      </w:r>
      <w:proofErr w:type="spellEnd"/>
      <w:r w:rsidR="00DC7D43">
        <w:t>.</w:t>
      </w:r>
    </w:p>
    <w:p w14:paraId="5B1134DD" w14:textId="77777777" w:rsidR="00B14CC7" w:rsidRDefault="0058088A" w:rsidP="004B16DD">
      <w:pPr>
        <w:spacing w:line="276" w:lineRule="auto"/>
        <w:ind w:firstLine="567"/>
        <w:jc w:val="both"/>
      </w:pPr>
      <w:r>
        <w:t>[3.3] </w:t>
      </w:r>
      <w:r w:rsidR="004B16DD">
        <w:t xml:space="preserve">Pieteicēja uzskata, ka soda naudas piemērošana nebija nepieciešama mērķa sasniegšanai, jo Centrs </w:t>
      </w:r>
      <w:proofErr w:type="gramStart"/>
      <w:r w:rsidR="004B16DD">
        <w:t>2016.gada</w:t>
      </w:r>
      <w:proofErr w:type="gramEnd"/>
      <w:r w:rsidR="004B16DD">
        <w:t xml:space="preserve"> 26.oktobrī pieteicējai izsniedza speciālo atļauju (licenci) patērētāju kreditēšanas pakalpojumu sniegšanai uz nenoteiktu laiku ar nosacījumu – pienākumu novērst Centra konstatēto pārkāpumu. Līdz ar to pieteicēja bija spiesta mainīt komercpraksi, jo pretējā gadījumā pieteicējai varēja draudēt licences anulēšana.</w:t>
      </w:r>
      <w:r w:rsidR="006C18C6">
        <w:t xml:space="preserve"> Tomēr licences izsniegšanas process ir nošķirams no Negodīgas komercprakses aizlieguma likuma </w:t>
      </w:r>
      <w:proofErr w:type="gramStart"/>
      <w:r w:rsidR="006C18C6">
        <w:t>15.panta</w:t>
      </w:r>
      <w:proofErr w:type="gramEnd"/>
      <w:r w:rsidR="006C18C6">
        <w:t xml:space="preserve"> astotās daļas piemērošanas, jo katram procesam ir savs mēr</w:t>
      </w:r>
      <w:r w:rsidR="00B14CC7">
        <w:t>ķis.</w:t>
      </w:r>
    </w:p>
    <w:p w14:paraId="0F635BA4" w14:textId="3E25EBC9" w:rsidR="004B16DD" w:rsidRDefault="006C18C6" w:rsidP="004B16DD">
      <w:pPr>
        <w:spacing w:line="276" w:lineRule="auto"/>
        <w:ind w:firstLine="567"/>
        <w:jc w:val="both"/>
      </w:pPr>
      <w:r>
        <w:t xml:space="preserve">Tas, ka izmaiņas pieteicējas komercpraksē lielā mērā tika panāktas ar nosacījuma iekļaušanu licencē, ir ņemams vērā soda naudas noteikšanā kā fakts, kas liecina, ka pārkāpums ir pārtraukts. </w:t>
      </w:r>
      <w:r w:rsidR="00D31AD6">
        <w:t>Tomēr tas ir tikai viens no apstākļiem, kam ir piešķirama nozīme, lemjot par soda naudas piemērošanu un tās apmēru. No tiesību normām arī neizriet, ka pārkāpuma pārtraukšana pati par sevi būtu pamats lietas izbeigšanai. Turklāt konkrētajā gadījumā arī konstatējams, ka pieteicējai tika dota iespēja iesniegt rakstveida apņemšanos par pārkāpuma pārtraukšanu, taču pieteicēja atteicās to darīt. Tāpat pieteicēja neuzsāka nekādas darbības, lai atlīdzinātu patērētājiem nodarītos zaudējumus.</w:t>
      </w:r>
    </w:p>
    <w:p w14:paraId="4FD34E44" w14:textId="3BF6C767" w:rsidR="00B14CC7" w:rsidRDefault="00B14CC7" w:rsidP="004B16DD">
      <w:pPr>
        <w:spacing w:line="276" w:lineRule="auto"/>
        <w:ind w:firstLine="567"/>
        <w:jc w:val="both"/>
      </w:pPr>
      <w:r>
        <w:t>[3.4] </w:t>
      </w:r>
      <w:r w:rsidR="00361D11">
        <w:t>Nepamatots ir pieteicējas arguments, ka pārsūdzētais lēmums neatbilst tiesiskās noteiktības principam. Latvijas Alternatīvo finanšu pakalpojumu asociācijas vadlīnij</w:t>
      </w:r>
      <w:r w:rsidR="00CE3A59">
        <w:t>ā</w:t>
      </w:r>
      <w:r w:rsidR="00361D11">
        <w:t xml:space="preserve">s </w:t>
      </w:r>
      <w:r w:rsidR="005F5151">
        <w:t xml:space="preserve">par </w:t>
      </w:r>
      <w:proofErr w:type="gramStart"/>
      <w:r w:rsidR="005F5151">
        <w:lastRenderedPageBreak/>
        <w:t>2015.gada</w:t>
      </w:r>
      <w:proofErr w:type="gramEnd"/>
      <w:r w:rsidR="005F5151">
        <w:t xml:space="preserve"> 28.maijā pieņemto grozījumu Patērētāju tiesību aizsardzības likumā piemērošanu n</w:t>
      </w:r>
      <w:r w:rsidR="00CE3A59">
        <w:t>av</w:t>
      </w:r>
      <w:r w:rsidR="005F5151">
        <w:t xml:space="preserve"> tād</w:t>
      </w:r>
      <w:r w:rsidR="00CE3A59">
        <w:t>a</w:t>
      </w:r>
      <w:r w:rsidR="005F5151">
        <w:t xml:space="preserve"> tiesību normu interpretācijas aprakst</w:t>
      </w:r>
      <w:r w:rsidR="00CE3A59">
        <w:t>a</w:t>
      </w:r>
      <w:r w:rsidR="005F5151">
        <w:t xml:space="preserve">, kādu vēlas pieteicēja. Turklāt vadlīniju esība pieteicējai varēja radīt maldīgu priekšstatu par tiesību normu interpretāciju ne ilgāk kā līdz </w:t>
      </w:r>
      <w:proofErr w:type="gramStart"/>
      <w:r w:rsidR="005F5151">
        <w:t>2016.gada</w:t>
      </w:r>
      <w:proofErr w:type="gramEnd"/>
      <w:r w:rsidR="005F5151">
        <w:t xml:space="preserve"> 11.janvārim, kad Centrs pauda skaidru viedokli par Patērētāju tiesību aizsardzības likuma 8.panta 2.</w:t>
      </w:r>
      <w:r w:rsidR="005F5151" w:rsidRPr="005F5151">
        <w:rPr>
          <w:vertAlign w:val="superscript"/>
        </w:rPr>
        <w:t>3</w:t>
      </w:r>
      <w:r w:rsidR="005F5151">
        <w:t>daļas piemērošanu kredīta pagarināšanas gadījumā.</w:t>
      </w:r>
      <w:r w:rsidR="009E6118">
        <w:t xml:space="preserve"> </w:t>
      </w:r>
      <w:r w:rsidR="000B0F79">
        <w:t xml:space="preserve">Kaut arī pieteicēja ir norādījusi arī uz nekonsekventu Centra viedokli par to, kā tieši ir aprēķināmas kredīta kopējās izmaksas patērētājam kredīta pagarināšanas gadījumā, tomēr tas nav bijis galvenais strīda priekšmets, jo pieteicēja </w:t>
      </w:r>
      <w:r w:rsidR="00DC733C">
        <w:t>konsekventi vispār nav piekritusi</w:t>
      </w:r>
      <w:r w:rsidR="000B0F79">
        <w:t xml:space="preserve"> kredīta kopējās izmaksās patērētājam iekļaut arī kredīta pagarināšanas izmaksas. </w:t>
      </w:r>
      <w:r w:rsidR="00DC733C">
        <w:t xml:space="preserve">Tas, ka </w:t>
      </w:r>
      <w:r w:rsidR="00AC216E">
        <w:t>nozares pārstāvji ilgstoši</w:t>
      </w:r>
      <w:r w:rsidR="00DC733C">
        <w:t xml:space="preserve"> iesaistīj</w:t>
      </w:r>
      <w:r w:rsidR="00AC216E">
        <w:t xml:space="preserve">ās </w:t>
      </w:r>
      <w:r w:rsidR="00DC733C">
        <w:t>sarunās ar Centr</w:t>
      </w:r>
      <w:r w:rsidR="00570E44">
        <w:t>u</w:t>
      </w:r>
      <w:r w:rsidR="00DC733C">
        <w:t xml:space="preserve"> un Ekonomikas ministrij</w:t>
      </w:r>
      <w:r w:rsidR="00570E44">
        <w:t>u</w:t>
      </w:r>
      <w:r w:rsidR="00DC733C">
        <w:t xml:space="preserve"> par tiesību normu interpretāciju, pats par sevi neliecina par jautājuma komplicētību, </w:t>
      </w:r>
      <w:r w:rsidR="00AC216E">
        <w:t xml:space="preserve">bet gan par tā ekonomisko nozīmīgumu, tostarp tāpēc, ka </w:t>
      </w:r>
      <w:r w:rsidR="00DC733C">
        <w:t>iestāžu viedoklis bija skaidrs</w:t>
      </w:r>
      <w:r w:rsidR="00AC216E">
        <w:t>.</w:t>
      </w:r>
    </w:p>
    <w:p w14:paraId="064EB72D" w14:textId="1098D080" w:rsidR="00646A12" w:rsidRDefault="00646A12" w:rsidP="004B16DD">
      <w:pPr>
        <w:spacing w:line="276" w:lineRule="auto"/>
        <w:ind w:firstLine="567"/>
        <w:jc w:val="both"/>
      </w:pPr>
      <w:r>
        <w:t>[3.5] Pieteicējai piemērotā soda nauda ir samērīga</w:t>
      </w:r>
      <w:r w:rsidR="0086076D">
        <w:t>,</w:t>
      </w:r>
      <w:r>
        <w:t xml:space="preserve"> un nav saskatāms, ka, to nosakot, būtu pārkāpts vienlīdzības princips.</w:t>
      </w:r>
    </w:p>
    <w:p w14:paraId="6029A249" w14:textId="77777777" w:rsidR="009864E6" w:rsidRDefault="009864E6" w:rsidP="00C92051">
      <w:pPr>
        <w:spacing w:line="276" w:lineRule="auto"/>
        <w:jc w:val="both"/>
      </w:pPr>
    </w:p>
    <w:p w14:paraId="23FD0449" w14:textId="18BC41DF" w:rsidR="00C92051" w:rsidRDefault="00C92051" w:rsidP="00C92051">
      <w:pPr>
        <w:spacing w:line="276" w:lineRule="auto"/>
        <w:ind w:firstLine="567"/>
        <w:jc w:val="both"/>
      </w:pPr>
      <w:r>
        <w:t>[4] Pieteicēja par minēto apgabaltiesas spriedu</w:t>
      </w:r>
      <w:r w:rsidR="00AE5EB6">
        <w:t xml:space="preserve">mu iesniedza kasācijas sūdzību, kas </w:t>
      </w:r>
      <w:r>
        <w:t>pamatota ar turpmāk norādītajiem argumentiem.</w:t>
      </w:r>
    </w:p>
    <w:p w14:paraId="51838B9A" w14:textId="123BF668" w:rsidR="0086076D" w:rsidRDefault="00C92051" w:rsidP="00DD6C9A">
      <w:pPr>
        <w:spacing w:line="276" w:lineRule="auto"/>
        <w:ind w:firstLine="567"/>
        <w:jc w:val="both"/>
      </w:pPr>
      <w:r>
        <w:t xml:space="preserve">[4.1] Tiesa nepareizi iztulkojusi Patērētāju tiesību aizsardzības likuma </w:t>
      </w:r>
      <w:proofErr w:type="gramStart"/>
      <w:r>
        <w:t>1.panta</w:t>
      </w:r>
      <w:proofErr w:type="gramEnd"/>
      <w:r>
        <w:t xml:space="preserve"> 9.punktu, kļūdaini secinot, ka minētajā </w:t>
      </w:r>
      <w:r w:rsidR="005F0C06">
        <w:t xml:space="preserve">tiesību </w:t>
      </w:r>
      <w:r>
        <w:t xml:space="preserve">normā definētais jēdziens „kredīta kopējās izmaksas patērētājam” aptver arī komisiju par kredīta termiņa pagarināšanu. </w:t>
      </w:r>
      <w:r w:rsidR="0086076D">
        <w:t>Tā</w:t>
      </w:r>
      <w:r w:rsidR="00D46C10">
        <w:t>da tiesību normu interpretācija</w:t>
      </w:r>
      <w:r w:rsidR="0086076D">
        <w:t>, saskaņā ar kuru komisija par kredīta termiņa pagarināšanu nav iekļaujama kredīta kopējās izmaksās patērētājam,</w:t>
      </w:r>
      <w:r w:rsidR="00D46C10">
        <w:t xml:space="preserve"> </w:t>
      </w:r>
      <w:proofErr w:type="spellStart"/>
      <w:r w:rsidR="00D46C10">
        <w:t>citstarp</w:t>
      </w:r>
      <w:proofErr w:type="spellEnd"/>
      <w:r w:rsidR="00D46C10">
        <w:t xml:space="preserve"> apstiprināta</w:t>
      </w:r>
      <w:r w:rsidR="0086076D">
        <w:t xml:space="preserve"> </w:t>
      </w:r>
      <w:r w:rsidR="00D46C10">
        <w:t>Eiropas Komisijas vadlīnijās</w:t>
      </w:r>
      <w:r w:rsidR="0086076D">
        <w:t xml:space="preserve"> Eiropas Parlamenta un Padomes </w:t>
      </w:r>
      <w:proofErr w:type="gramStart"/>
      <w:r w:rsidR="0086076D">
        <w:t>2008.gada</w:t>
      </w:r>
      <w:proofErr w:type="gramEnd"/>
      <w:r w:rsidR="0086076D">
        <w:t xml:space="preserve"> 23.aprīļa Direktīvas 2008/48/EK par patēriņa kredītlīgumiem un ar ko atceļ Direktīvu 87/102/EEK (turpmāk – Direktīva 2008/48/EK) piemērošanai, no kuras ir aizgūts Latvijas nacionālajās tiesību normās iekļautais regulējums.</w:t>
      </w:r>
    </w:p>
    <w:p w14:paraId="3ABD5713" w14:textId="054C9C0E" w:rsidR="001F6C19" w:rsidRDefault="00180BC5" w:rsidP="001F6C19">
      <w:pPr>
        <w:spacing w:line="276" w:lineRule="auto"/>
        <w:ind w:firstLine="567"/>
        <w:jc w:val="both"/>
      </w:pPr>
      <w:r>
        <w:t>[4.2] </w:t>
      </w:r>
      <w:r w:rsidR="00635BA8">
        <w:t>Pieteicējai soda nauda piemērota tādā situācijā, k</w:t>
      </w:r>
      <w:r w:rsidR="00B95FF6">
        <w:t>urā</w:t>
      </w:r>
      <w:r w:rsidR="00635BA8">
        <w:t xml:space="preserve"> Patērētāju tiesību aizsardzības likuma normas skaidri nenoteica, ka, aprēķinot kredīta kopējās izmaksas patērētājam, ir jāņem vērā arī komisija par kredīta termiņa pagarināšanu. Nepamatoti ir tiesas secinājumi par to, ka Latvijas Alternatīvo finanšu pakalpojumu </w:t>
      </w:r>
      <w:r w:rsidR="009E319A">
        <w:t xml:space="preserve">asociācijas </w:t>
      </w:r>
      <w:r w:rsidR="00635BA8">
        <w:t>vadlīniju saskaņošana pieteicējai nevarēja radīt paļāvību, ka kredīta kopējās izmaksās patērētājam nav iekļaujamas kredīta pagarinā</w:t>
      </w:r>
      <w:r w:rsidR="00F4323A">
        <w:t>šanas izmaksas. Nepareizi ir arī tiesas secinājumi par nekonsekvento Centra viedokli attiecībā uz to, kā aprēķināmi kredīta kopējo izmaksu patērētājam ierobežojumi kredīta pagarināšanas gadījumā</w:t>
      </w:r>
      <w:r w:rsidR="009E319A">
        <w:t>, jo tiesa</w:t>
      </w:r>
      <w:r w:rsidR="00F4323A">
        <w:t xml:space="preserve"> nav ņēmusi vērā, ka skaidra viedokļa neesība </w:t>
      </w:r>
      <w:r w:rsidR="009E319A">
        <w:t xml:space="preserve">pieteicējai </w:t>
      </w:r>
      <w:r w:rsidR="00F4323A">
        <w:t>radīja objektīvu</w:t>
      </w:r>
      <w:r w:rsidR="009E319A">
        <w:t>s</w:t>
      </w:r>
      <w:r w:rsidR="00F4323A">
        <w:t xml:space="preserve"> </w:t>
      </w:r>
      <w:r w:rsidR="009E319A">
        <w:t>šķēršļus</w:t>
      </w:r>
      <w:r w:rsidR="00F4323A">
        <w:t xml:space="preserve"> </w:t>
      </w:r>
      <w:r w:rsidR="00DA4063">
        <w:t xml:space="preserve">laikus </w:t>
      </w:r>
      <w:r w:rsidR="00F4323A">
        <w:t xml:space="preserve">ieviest nepieciešamās izmaiņas </w:t>
      </w:r>
      <w:r w:rsidR="009E319A">
        <w:t>kredīta komisiju aprēķināšanā.</w:t>
      </w:r>
    </w:p>
    <w:p w14:paraId="3D543073" w14:textId="670B6C32" w:rsidR="005E1D92" w:rsidRDefault="00D12D65" w:rsidP="001F6C19">
      <w:pPr>
        <w:spacing w:line="276" w:lineRule="auto"/>
        <w:ind w:firstLine="567"/>
        <w:jc w:val="both"/>
      </w:pPr>
      <w:r>
        <w:t>[4.3] </w:t>
      </w:r>
      <w:r w:rsidR="007F1617">
        <w:t xml:space="preserve">Atzīstot pieteicējas īstenoto komercpraksi par neatbilstošu profesionālajai rūpībai, tiesa nav ņēmusi vērā pieteicējas </w:t>
      </w:r>
      <w:r w:rsidR="00B86316">
        <w:t xml:space="preserve">iesaistīšanos ilgstošā dialogā ar Centru un Ekonomijas ministriju par Patērētāju tiesību aizsardzības likuma </w:t>
      </w:r>
      <w:proofErr w:type="gramStart"/>
      <w:r w:rsidR="00B86316">
        <w:t>8.panta</w:t>
      </w:r>
      <w:proofErr w:type="gramEnd"/>
      <w:r w:rsidR="00B86316">
        <w:t xml:space="preserve"> 2.</w:t>
      </w:r>
      <w:r w:rsidR="00B86316" w:rsidRPr="005E1D92">
        <w:rPr>
          <w:vertAlign w:val="superscript"/>
        </w:rPr>
        <w:t>3</w:t>
      </w:r>
      <w:r w:rsidR="00B86316">
        <w:t>daļas piemērošanu</w:t>
      </w:r>
      <w:r w:rsidR="008B23C1">
        <w:t xml:space="preserve">, izmantojot </w:t>
      </w:r>
      <w:r w:rsidR="00B86316">
        <w:t>Latvijas Alternatīvo finanšu pakal</w:t>
      </w:r>
      <w:r w:rsidR="008B23C1">
        <w:t>pojumu asociācijas starpniecību,</w:t>
      </w:r>
      <w:r w:rsidR="00B86316">
        <w:t xml:space="preserve"> un to, ka Centrs pats ilgstoši nespēja sniegt skaidru viedokli šajā jautājumā. Apstākļos, kad Centra sniegtā informācija bija pretrunīga, pieteicējai nebija iespējams </w:t>
      </w:r>
      <w:r w:rsidR="00DA4063">
        <w:t>laikus</w:t>
      </w:r>
      <w:r w:rsidR="00B86316">
        <w:t xml:space="preserve"> ieviest nepieciešamās izmaiņas tās līgumos un informācijas tehnoloģiju sistēmā un apmācīt darbiniekus.</w:t>
      </w:r>
    </w:p>
    <w:p w14:paraId="0A3AA231" w14:textId="1A7D685D" w:rsidR="00B86316" w:rsidRDefault="005E1D92" w:rsidP="00B86316">
      <w:pPr>
        <w:spacing w:line="276" w:lineRule="auto"/>
        <w:ind w:firstLine="567"/>
        <w:jc w:val="both"/>
      </w:pPr>
      <w:r>
        <w:t xml:space="preserve">Savukārt, atzīstot, ka pieteicējas īstenotā komercprakse negatīvi ietekmējusi patērētāju </w:t>
      </w:r>
      <w:r w:rsidR="008B23C1">
        <w:t xml:space="preserve">ekonomisko </w:t>
      </w:r>
      <w:r>
        <w:t>rīcību, tiesa nav ņēmusi vērā, ka pirms vienošanās noslēgšanas par kredīta</w:t>
      </w:r>
      <w:r w:rsidR="00837A76">
        <w:t xml:space="preserve"> termiņa pagarināšanu patērētājie</w:t>
      </w:r>
      <w:r>
        <w:t xml:space="preserve">m bija pieejama informācija </w:t>
      </w:r>
      <w:r w:rsidR="004B6F75">
        <w:t xml:space="preserve">par komisijas apmēru kredīta termiņa pagarināšanas gadījumā un tātad – nodrošināta iespēja pieņemt uz informāciju balstītu un </w:t>
      </w:r>
      <w:r w:rsidR="004B6F75">
        <w:lastRenderedPageBreak/>
        <w:t xml:space="preserve">ekonomiski pamatotu lēmumu vai nu atmaksāt kredītu </w:t>
      </w:r>
      <w:proofErr w:type="gramStart"/>
      <w:r w:rsidR="004B6F75">
        <w:t>(</w:t>
      </w:r>
      <w:proofErr w:type="gramEnd"/>
      <w:r w:rsidR="004B6F75">
        <w:t>tostarp pa daļām), vai pagarināt kredīta termiņu.</w:t>
      </w:r>
    </w:p>
    <w:p w14:paraId="405D9E14" w14:textId="4E1764F5" w:rsidR="005A14CA" w:rsidRDefault="003A1D0B" w:rsidP="005A14CA">
      <w:pPr>
        <w:spacing w:line="276" w:lineRule="auto"/>
        <w:ind w:firstLine="567"/>
        <w:jc w:val="both"/>
      </w:pPr>
      <w:r>
        <w:t>[4.4] </w:t>
      </w:r>
      <w:r w:rsidR="007D42FE">
        <w:t>Tiesa nav iztulkojusi Negodīgas komercprakses aizlieguma likuma 15.</w:t>
      </w:r>
      <w:proofErr w:type="gramStart"/>
      <w:r w:rsidR="007D42FE" w:rsidRPr="003C0E07">
        <w:rPr>
          <w:vertAlign w:val="superscript"/>
        </w:rPr>
        <w:t>2</w:t>
      </w:r>
      <w:r w:rsidR="007D42FE">
        <w:t>panta</w:t>
      </w:r>
      <w:proofErr w:type="gramEnd"/>
      <w:r w:rsidR="007D42FE">
        <w:t xml:space="preserve"> pirmo daļu</w:t>
      </w:r>
      <w:r w:rsidR="006A7BA1">
        <w:t xml:space="preserve"> atbilstoši tās mērķim</w:t>
      </w:r>
      <w:r w:rsidR="008B23C1">
        <w:t xml:space="preserve">. No lietas apstākļiem izriet, ka pieteicēja faktiski ir tikusi sodīta par </w:t>
      </w:r>
      <w:r w:rsidR="00DA4063">
        <w:t xml:space="preserve">minētā </w:t>
      </w:r>
      <w:r w:rsidR="008B23C1">
        <w:t>likuma 15.</w:t>
      </w:r>
      <w:proofErr w:type="gramStart"/>
      <w:r w:rsidR="008B23C1" w:rsidRPr="00456ECC">
        <w:rPr>
          <w:vertAlign w:val="superscript"/>
        </w:rPr>
        <w:t>1</w:t>
      </w:r>
      <w:r w:rsidR="008B23C1">
        <w:t>pantā</w:t>
      </w:r>
      <w:proofErr w:type="gramEnd"/>
      <w:r w:rsidR="008B23C1">
        <w:t xml:space="preserve"> paredzētās rakstveida apņemšanās neiesniegšanu Centram. </w:t>
      </w:r>
      <w:r w:rsidR="005A14CA">
        <w:t>Tāpēc konkrētajos apstākļos soda naudas piemērošana pieteicējai nevar tikt atzīta ne par efektīvu, ne samērīgu, ne arī preventīvu.</w:t>
      </w:r>
    </w:p>
    <w:p w14:paraId="07267E67" w14:textId="77777777" w:rsidR="00C92051" w:rsidRDefault="00C92051" w:rsidP="00C92051">
      <w:pPr>
        <w:spacing w:line="276" w:lineRule="auto"/>
        <w:ind w:firstLine="567"/>
        <w:jc w:val="both"/>
      </w:pPr>
    </w:p>
    <w:p w14:paraId="6ACBEA8A" w14:textId="479A8342" w:rsidR="00C92051" w:rsidRDefault="00C92051" w:rsidP="00C92051">
      <w:pPr>
        <w:spacing w:line="276" w:lineRule="auto"/>
        <w:ind w:firstLine="567"/>
        <w:jc w:val="both"/>
      </w:pPr>
      <w:r>
        <w:t xml:space="preserve">[5] Centrs paskaidrojumos par kasācijas sūdzību lūdz </w:t>
      </w:r>
      <w:r w:rsidR="001338F5">
        <w:t>to</w:t>
      </w:r>
      <w:r>
        <w:t xml:space="preserve"> noraidīt</w:t>
      </w:r>
      <w:r w:rsidR="008C0865">
        <w:t>.</w:t>
      </w:r>
    </w:p>
    <w:p w14:paraId="36EC309F" w14:textId="77777777" w:rsidR="00247AA6" w:rsidRDefault="00247AA6" w:rsidP="00345130">
      <w:pPr>
        <w:spacing w:line="276" w:lineRule="auto"/>
        <w:jc w:val="center"/>
        <w:rPr>
          <w:b/>
        </w:rPr>
      </w:pPr>
    </w:p>
    <w:p w14:paraId="270D2A53" w14:textId="7ACA1DF5" w:rsidR="00746DA8" w:rsidRPr="00746DA8" w:rsidRDefault="003047F5" w:rsidP="00345130">
      <w:pPr>
        <w:spacing w:line="276" w:lineRule="auto"/>
        <w:jc w:val="center"/>
        <w:rPr>
          <w:b/>
        </w:rPr>
      </w:pPr>
      <w:r w:rsidRPr="0082381C">
        <w:rPr>
          <w:b/>
        </w:rPr>
        <w:t>Motīvu daļa</w:t>
      </w:r>
    </w:p>
    <w:p w14:paraId="7043DFB1" w14:textId="59CBE741" w:rsidR="00746DA8" w:rsidRDefault="00746DA8" w:rsidP="00984A02">
      <w:pPr>
        <w:spacing w:line="276" w:lineRule="auto"/>
        <w:jc w:val="both"/>
      </w:pPr>
    </w:p>
    <w:p w14:paraId="7E739867" w14:textId="1DC069E9" w:rsidR="00E124A4" w:rsidRPr="00201B6A" w:rsidRDefault="00E124A4" w:rsidP="00201B6A">
      <w:pPr>
        <w:spacing w:line="276" w:lineRule="auto"/>
        <w:jc w:val="center"/>
        <w:rPr>
          <w:b/>
          <w:bCs/>
        </w:rPr>
      </w:pPr>
      <w:r w:rsidRPr="00201B6A">
        <w:rPr>
          <w:b/>
          <w:bCs/>
        </w:rPr>
        <w:t>I</w:t>
      </w:r>
    </w:p>
    <w:p w14:paraId="7B2C4504" w14:textId="77777777" w:rsidR="00E124A4" w:rsidRDefault="00E124A4" w:rsidP="00984A02">
      <w:pPr>
        <w:spacing w:line="276" w:lineRule="auto"/>
        <w:jc w:val="both"/>
      </w:pPr>
    </w:p>
    <w:p w14:paraId="21E5003B" w14:textId="2F930500" w:rsidR="000C2332" w:rsidRDefault="00345130" w:rsidP="00B40E5B">
      <w:pPr>
        <w:spacing w:line="276" w:lineRule="auto"/>
        <w:ind w:firstLine="567"/>
        <w:jc w:val="both"/>
      </w:pPr>
      <w:r>
        <w:t>[6</w:t>
      </w:r>
      <w:r w:rsidR="00075F68">
        <w:t>] </w:t>
      </w:r>
      <w:r w:rsidR="00FF4C6E">
        <w:t>Pieteicējas k</w:t>
      </w:r>
      <w:r w:rsidR="00BD1811">
        <w:t xml:space="preserve">asācijas sūdzības </w:t>
      </w:r>
      <w:r w:rsidR="00EF2744">
        <w:t>centrālais</w:t>
      </w:r>
      <w:r w:rsidR="00BD1811">
        <w:t xml:space="preserve"> arguments ir tas, ka</w:t>
      </w:r>
      <w:r w:rsidR="00271B0F">
        <w:t xml:space="preserve"> kredīta pagarināšanas izmaksas neietilpst</w:t>
      </w:r>
      <w:r w:rsidR="00BD1811">
        <w:t xml:space="preserve"> kredīta kopējās izmaksās patērēt</w:t>
      </w:r>
      <w:r w:rsidR="00FF4C6E">
        <w:t>ājam</w:t>
      </w:r>
      <w:r w:rsidR="00B40E5B">
        <w:t xml:space="preserve">. Līdz ar to primārais jautājums, kas ir izšķirams kasācijas kārtībā, ir, vai kredīta kopējās izmaksas patērētājam ietver arī </w:t>
      </w:r>
      <w:r w:rsidR="000C2332">
        <w:t>kredīta pagarināšanas izmaksas.</w:t>
      </w:r>
    </w:p>
    <w:p w14:paraId="4DC2BF8B" w14:textId="77777777" w:rsidR="005A30B9" w:rsidRDefault="005A30B9" w:rsidP="00B40E5B">
      <w:pPr>
        <w:spacing w:line="276" w:lineRule="auto"/>
        <w:ind w:firstLine="567"/>
        <w:jc w:val="both"/>
      </w:pPr>
    </w:p>
    <w:p w14:paraId="4A7414AA" w14:textId="7288DC60" w:rsidR="005A30B9" w:rsidRDefault="00345130" w:rsidP="00B40E5B">
      <w:pPr>
        <w:spacing w:line="276" w:lineRule="auto"/>
        <w:ind w:firstLine="567"/>
        <w:jc w:val="both"/>
      </w:pPr>
      <w:r>
        <w:t>[7</w:t>
      </w:r>
      <w:r w:rsidR="005A30B9">
        <w:t>] </w:t>
      </w:r>
      <w:r w:rsidR="00A72A71">
        <w:t xml:space="preserve">Jēdziena „kredīta kopējās izmaksas patērētājam” definīcija sniegta Patērētāju tiesību aizsardzības likuma </w:t>
      </w:r>
      <w:proofErr w:type="gramStart"/>
      <w:r w:rsidR="00A72A71">
        <w:t>1.panta</w:t>
      </w:r>
      <w:proofErr w:type="gramEnd"/>
      <w:r w:rsidR="00A72A71">
        <w:t xml:space="preserve"> 9.punktā. </w:t>
      </w:r>
      <w:r w:rsidR="000B3659">
        <w:t xml:space="preserve">Minētā tiesību norma likumā ieviesta atbilstoši Direktīvas 2008/48/EK </w:t>
      </w:r>
      <w:proofErr w:type="gramStart"/>
      <w:r w:rsidR="000B3659">
        <w:t>3.panta</w:t>
      </w:r>
      <w:proofErr w:type="gramEnd"/>
      <w:r w:rsidR="000B3659">
        <w:t xml:space="preserve"> „g” punktam. Saskaņā ar šo direktīvas normu par kredīta kopējām izmaksām patērētājam uzskatāmas </w:t>
      </w:r>
      <w:r w:rsidR="000B3659" w:rsidRPr="000B3659">
        <w:t xml:space="preserve">visas izmaksas, tostarp procenti, komisijas nauda, nodokļi un jebkādi citi maksājumi, kas patērētājam jāmaksā saistībā ar kredītlīgumu un kas ir kreditoram </w:t>
      </w:r>
      <w:r w:rsidR="005913BD">
        <w:t>z</w:t>
      </w:r>
      <w:r w:rsidR="00F3040A">
        <w:t>ināmi, izņemot notāra izmaksas.</w:t>
      </w:r>
    </w:p>
    <w:p w14:paraId="22DA932F" w14:textId="077B32C2" w:rsidR="002673E8" w:rsidRDefault="00DE0C2E" w:rsidP="009626C4">
      <w:pPr>
        <w:spacing w:line="276" w:lineRule="auto"/>
        <w:ind w:firstLine="567"/>
        <w:jc w:val="both"/>
      </w:pPr>
      <w:r>
        <w:t xml:space="preserve">Senāts </w:t>
      </w:r>
      <w:r w:rsidR="00395E83">
        <w:t>lietā ar līdzīgiem apstākļiem</w:t>
      </w:r>
      <w:r w:rsidR="001B21C0">
        <w:t>, kurā arī bija strīds par</w:t>
      </w:r>
      <w:r w:rsidR="009626C4">
        <w:t xml:space="preserve"> kredīta kopējo izmaksu patērētājam tvērumu, </w:t>
      </w:r>
      <w:r>
        <w:t xml:space="preserve">vērsās Eiropas Savienības Tiesā ar prejudiciālajiem jautājumiem par </w:t>
      </w:r>
      <w:r w:rsidR="00DA4063">
        <w:t>minētās direktīvas</w:t>
      </w:r>
      <w:r>
        <w:t xml:space="preserve"> </w:t>
      </w:r>
      <w:proofErr w:type="gramStart"/>
      <w:r>
        <w:t>3.panta</w:t>
      </w:r>
      <w:proofErr w:type="gramEnd"/>
      <w:r>
        <w:t xml:space="preserve"> „g” punkta interpret</w:t>
      </w:r>
      <w:r w:rsidR="00CA48D0">
        <w:t>āciju (</w:t>
      </w:r>
      <w:r w:rsidR="00CA48D0" w:rsidRPr="000C2069">
        <w:rPr>
          <w:i/>
        </w:rPr>
        <w:t xml:space="preserve">Senāta </w:t>
      </w:r>
      <w:r w:rsidR="00993848" w:rsidRPr="000C2069">
        <w:rPr>
          <w:i/>
        </w:rPr>
        <w:t>2019.gada 12.septembra lēmum</w:t>
      </w:r>
      <w:r w:rsidR="00E124A4">
        <w:rPr>
          <w:i/>
        </w:rPr>
        <w:t>s</w:t>
      </w:r>
      <w:r w:rsidR="00993848" w:rsidRPr="000C2069">
        <w:rPr>
          <w:i/>
        </w:rPr>
        <w:t xml:space="preserve"> lietā Nr. SKA-1006/2019 (ECLI:LV:AT:2019:0912.A420186717.11.L)</w:t>
      </w:r>
      <w:r w:rsidR="00993848">
        <w:t>).</w:t>
      </w:r>
      <w:r w:rsidR="00395E83">
        <w:t xml:space="preserve"> Pamatojoties uz minēto lūgumu sniegt prejudiciālo nolēmumu, Eiropas Savienības Tiesa</w:t>
      </w:r>
      <w:r w:rsidR="002673E8">
        <w:t xml:space="preserve"> 2020.gada 16.jūlijā pasludināja spriedumu lietā Nr. </w:t>
      </w:r>
      <w:bookmarkStart w:id="0" w:name="_Hlk60134572"/>
      <w:r w:rsidR="002673E8">
        <w:t>C-686/19 (</w:t>
      </w:r>
      <w:r w:rsidR="002673E8" w:rsidRPr="00AE6789">
        <w:rPr>
          <w:i/>
        </w:rPr>
        <w:t>SIA „</w:t>
      </w:r>
      <w:proofErr w:type="spellStart"/>
      <w:r w:rsidR="002673E8" w:rsidRPr="00AE6789">
        <w:rPr>
          <w:i/>
        </w:rPr>
        <w:t>Soho</w:t>
      </w:r>
      <w:proofErr w:type="spellEnd"/>
      <w:r w:rsidR="002673E8" w:rsidRPr="00AE6789">
        <w:rPr>
          <w:i/>
        </w:rPr>
        <w:t xml:space="preserve"> </w:t>
      </w:r>
      <w:proofErr w:type="spellStart"/>
      <w:r w:rsidR="002673E8" w:rsidRPr="00AE6789">
        <w:rPr>
          <w:i/>
        </w:rPr>
        <w:t>Group</w:t>
      </w:r>
      <w:proofErr w:type="spellEnd"/>
      <w:r w:rsidR="002673E8" w:rsidRPr="00AE6789">
        <w:rPr>
          <w:i/>
        </w:rPr>
        <w:t>”</w:t>
      </w:r>
      <w:r w:rsidR="002673E8">
        <w:rPr>
          <w:i/>
        </w:rPr>
        <w:t xml:space="preserve">, </w:t>
      </w:r>
      <w:r w:rsidR="002673E8" w:rsidRPr="00AE6789">
        <w:rPr>
          <w:i/>
        </w:rPr>
        <w:t>ECLI:EU:C:2020:582</w:t>
      </w:r>
      <w:bookmarkEnd w:id="0"/>
      <w:r w:rsidR="002673E8">
        <w:t>).</w:t>
      </w:r>
    </w:p>
    <w:p w14:paraId="2850A7E4" w14:textId="1C56F4E6" w:rsidR="001E2DF2" w:rsidRDefault="00CA26FF" w:rsidP="00491F4C">
      <w:pPr>
        <w:spacing w:line="276" w:lineRule="auto"/>
        <w:ind w:firstLine="567"/>
        <w:jc w:val="both"/>
      </w:pPr>
      <w:r>
        <w:t xml:space="preserve">Eiropas Savienības Tiesa minētajā spriedumā norādīja, ka jēdziens „kredīta kopējās izmaksas patērētājam” ir autonoms Eiropas Savienības tiesību jēdziens, </w:t>
      </w:r>
      <w:r w:rsidR="00716A43">
        <w:t xml:space="preserve">kurš visā tās teritorijā ir jāinterpretē </w:t>
      </w:r>
      <w:r w:rsidR="006800C8">
        <w:t xml:space="preserve">vienādi </w:t>
      </w:r>
      <w:r w:rsidR="00716A43">
        <w:t>(</w:t>
      </w:r>
      <w:r w:rsidR="00716A43" w:rsidRPr="009117B2">
        <w:rPr>
          <w:i/>
        </w:rPr>
        <w:t>sprieduma 38.</w:t>
      </w:r>
      <w:r w:rsidR="009C6288" w:rsidRPr="009117B2">
        <w:rPr>
          <w:i/>
        </w:rPr>
        <w:t>–39.punkts</w:t>
      </w:r>
      <w:r w:rsidR="009C6288">
        <w:t>).</w:t>
      </w:r>
      <w:r w:rsidR="00616487">
        <w:t xml:space="preserve"> Tiesa, atsaucoties uz tās iepriekš pieņemtajiem nolēmumiem, atgādināja, ka</w:t>
      </w:r>
      <w:r w:rsidR="00404583">
        <w:t xml:space="preserve"> </w:t>
      </w:r>
      <w:r w:rsidR="00616487">
        <w:t>nolūkā nodrošināt augstu patērētāju aizsardz</w:t>
      </w:r>
      <w:r w:rsidR="00404583">
        <w:t xml:space="preserve">ību </w:t>
      </w:r>
      <w:r w:rsidR="00616487">
        <w:t>likumdevējs Direktīvā 2008/48/EK ir paredzējis plašu</w:t>
      </w:r>
      <w:r w:rsidR="006972C0">
        <w:t xml:space="preserve"> minētā jēdziena definīciju, </w:t>
      </w:r>
      <w:proofErr w:type="gramStart"/>
      <w:r w:rsidR="006972C0">
        <w:t>kas</w:t>
      </w:r>
      <w:r w:rsidR="00B70734">
        <w:t xml:space="preserve"> aptver visas izmaksas, kuras patērētājam jāmaksā saistībā ar kredītlīgumu</w:t>
      </w:r>
      <w:proofErr w:type="gramEnd"/>
      <w:r w:rsidR="00B70734">
        <w:t xml:space="preserve"> un ir kreditoram zināmas, tostarp gan izmaksas, kas ir saistītas ar kredīta saņemšanu, gan izmaksas, kas ir saistītas ar tā lietošanu laika gaitā (</w:t>
      </w:r>
      <w:r w:rsidR="00B70734">
        <w:rPr>
          <w:i/>
        </w:rPr>
        <w:t>sprieduma 30</w:t>
      </w:r>
      <w:r w:rsidR="00B70734" w:rsidRPr="009117B2">
        <w:rPr>
          <w:i/>
        </w:rPr>
        <w:t>.–</w:t>
      </w:r>
      <w:r w:rsidR="00B70734">
        <w:rPr>
          <w:i/>
        </w:rPr>
        <w:t>33</w:t>
      </w:r>
      <w:r w:rsidR="00B70734" w:rsidRPr="009117B2">
        <w:rPr>
          <w:i/>
        </w:rPr>
        <w:t>.punkts</w:t>
      </w:r>
      <w:r w:rsidR="00B70734">
        <w:t>).</w:t>
      </w:r>
      <w:r w:rsidR="006800C8">
        <w:t xml:space="preserve"> </w:t>
      </w:r>
      <w:r w:rsidR="00EC323C">
        <w:t>Aplūkojot</w:t>
      </w:r>
      <w:r w:rsidR="00B1630F">
        <w:t xml:space="preserve"> konkrētās lietas apstākļus – proti, situāciju, kad kredīta pagarināšanas nosacījumi ir daļa no kredītlīguma noteikumiem un nosacījumiem, par kuriem vienojas kredīta devējs un kredīta ņēmējs</w:t>
      </w:r>
      <w:r w:rsidR="00EC323C">
        <w:t>,</w:t>
      </w:r>
      <w:r w:rsidR="00B1630F">
        <w:t xml:space="preserve"> – tiesa </w:t>
      </w:r>
      <w:r w:rsidR="00EC323C">
        <w:t>atzina, ka</w:t>
      </w:r>
      <w:r w:rsidR="00D07E61">
        <w:t xml:space="preserve"> šādā situācijā</w:t>
      </w:r>
      <w:r w:rsidR="00EC323C">
        <w:t xml:space="preserve"> kredīta pagarināšanas izmaksas ir uzskatāmas par kredīta devējam zināmām (</w:t>
      </w:r>
      <w:r w:rsidR="004945A2">
        <w:t xml:space="preserve">tas ir, </w:t>
      </w:r>
      <w:r w:rsidR="00EC323C">
        <w:t>noteiktām vai nosakāmām)</w:t>
      </w:r>
      <w:r w:rsidR="004945A2">
        <w:t xml:space="preserve"> un tātad – atzīstamas par tādām izmaksām, kuras aptver jēdziens „kredīta kopējās izmaksas patērētājam” (</w:t>
      </w:r>
      <w:r w:rsidR="004945A2" w:rsidRPr="001E2DF2">
        <w:rPr>
          <w:i/>
        </w:rPr>
        <w:t>sprieduma 35.–</w:t>
      </w:r>
      <w:r w:rsidR="004945A2">
        <w:rPr>
          <w:i/>
        </w:rPr>
        <w:t>36.punkts</w:t>
      </w:r>
      <w:r w:rsidR="004945A2">
        <w:t xml:space="preserve">). </w:t>
      </w:r>
      <w:r w:rsidR="00D07E61">
        <w:t xml:space="preserve">Izvērtējot jēdzienu „kredīta kopējās izmaksas patērētājam”, „kredīta kopsumma” un „kopējā summa, kas jāmaksā patērētājam” savstarpējo saistību, tiesa arī atzina par nepamatotu argumentu, ka ar kredīta </w:t>
      </w:r>
      <w:r w:rsidR="00D07E61">
        <w:lastRenderedPageBreak/>
        <w:t>pagarināšanu saistītās izmaksas nevarot ietilpt kredīta kopējās izmaksās patērētājam</w:t>
      </w:r>
      <w:r w:rsidR="00D62A09">
        <w:t xml:space="preserve"> tā iemesla dēļ, ka kredītlīguma noslēgšanas brīdī nav droši zināms, vai līgums tiks pagarināts (</w:t>
      </w:r>
      <w:r w:rsidR="00D62A09" w:rsidRPr="00D62A09">
        <w:rPr>
          <w:i/>
        </w:rPr>
        <w:t>sprieduma 37.–4</w:t>
      </w:r>
      <w:r w:rsidR="00D62A09">
        <w:rPr>
          <w:i/>
        </w:rPr>
        <w:t>7.punkts</w:t>
      </w:r>
      <w:r w:rsidR="00D62A09">
        <w:t>).</w:t>
      </w:r>
      <w:r w:rsidR="00E9408F">
        <w:t xml:space="preserve"> Līdz ar to sprieduma noslēgumā tiesa secināja: jēdziens „kredīta kopējās izmaksas patērētājam” ir jāinterpretē tādējādi, ka</w:t>
      </w:r>
      <w:r w:rsidR="00491F4C">
        <w:t xml:space="preserve"> šis jēdziens sevī ietver kredīta iespējamas pagarināšanas izmaksas gadījumā, ja, pirmkārt, konkrēti un precīzi noteikumi par kredīta iespējamu pagarināšanu, ieskaitot tā termiņu, ietilpst kredītlīguma noteikumos un nosacījumos, par kuriem vienojas kredīta devējs un kredīta ņēmējs, un, otrkārt, ja šīs izmaksas kredīta devējam ir zināmas (</w:t>
      </w:r>
      <w:r w:rsidR="00491F4C" w:rsidRPr="00491F4C">
        <w:rPr>
          <w:i/>
        </w:rPr>
        <w:t>sprieduma 53.punkts</w:t>
      </w:r>
      <w:r w:rsidR="00491F4C">
        <w:t>).</w:t>
      </w:r>
    </w:p>
    <w:p w14:paraId="6E4530C0" w14:textId="77777777" w:rsidR="00E124A4" w:rsidRDefault="00E124A4" w:rsidP="00491F4C">
      <w:pPr>
        <w:spacing w:line="276" w:lineRule="auto"/>
        <w:ind w:firstLine="567"/>
        <w:jc w:val="both"/>
      </w:pPr>
    </w:p>
    <w:p w14:paraId="68A5EF92" w14:textId="25BE4B58" w:rsidR="004D0953" w:rsidRDefault="00E124A4" w:rsidP="009626C4">
      <w:pPr>
        <w:spacing w:line="276" w:lineRule="auto"/>
        <w:ind w:firstLine="567"/>
        <w:jc w:val="both"/>
      </w:pPr>
      <w:r>
        <w:t xml:space="preserve">[8] </w:t>
      </w:r>
      <w:r w:rsidR="004D0953">
        <w:t xml:space="preserve">Tādējādi no Eiropas Savienības Tiesas spriedumā lietā Nr. C-686/19 sniegtās Direktīvas 2008/48/EK </w:t>
      </w:r>
      <w:proofErr w:type="gramStart"/>
      <w:r w:rsidR="004D0953">
        <w:t>3.panta</w:t>
      </w:r>
      <w:proofErr w:type="gramEnd"/>
      <w:r w:rsidR="004D0953">
        <w:t xml:space="preserve"> „g” punkta interpretācijas izriet skaidra atbilde, ka tādu kreditēšanas līgumu gadījumā, par kādiem ir strīds izskatāmajā lietā – proti, kuru</w:t>
      </w:r>
      <w:r w:rsidR="0044793C">
        <w:t xml:space="preserve"> nosacījumos un noteikumos, par kuriem, </w:t>
      </w:r>
      <w:r w:rsidR="00491F4C">
        <w:t>noslēdzot</w:t>
      </w:r>
      <w:r w:rsidR="0044793C">
        <w:t xml:space="preserve"> līgumu, vienojas kredīta devējs un kredīta ņēmējs, </w:t>
      </w:r>
      <w:proofErr w:type="spellStart"/>
      <w:r w:rsidR="0044793C">
        <w:t>citstarp</w:t>
      </w:r>
      <w:proofErr w:type="spellEnd"/>
      <w:r w:rsidR="0044793C">
        <w:t xml:space="preserve"> ietilpst arī kredīta pagarināšanas noteikumi –, kredīta kopējās izmaksās patērētājam ietilpst arī kredīta pagarināšanas izmaksas.</w:t>
      </w:r>
      <w:r w:rsidR="00075F68">
        <w:t xml:space="preserve"> </w:t>
      </w:r>
      <w:r>
        <w:t>Līdz ar to p</w:t>
      </w:r>
      <w:r w:rsidR="00075F68">
        <w:t>ieteicējas kasācijas sūdzības argumenti, no kuriem izriet pretējs secinājums, nav pamatoti.</w:t>
      </w:r>
    </w:p>
    <w:p w14:paraId="198839AA" w14:textId="77777777" w:rsidR="00075F68" w:rsidRDefault="00075F68" w:rsidP="009626C4">
      <w:pPr>
        <w:spacing w:line="276" w:lineRule="auto"/>
        <w:ind w:firstLine="567"/>
        <w:jc w:val="both"/>
      </w:pPr>
    </w:p>
    <w:p w14:paraId="480AC533" w14:textId="603C2060" w:rsidR="00075F68" w:rsidRDefault="00075F68" w:rsidP="00075F68">
      <w:pPr>
        <w:spacing w:line="276" w:lineRule="auto"/>
        <w:jc w:val="center"/>
        <w:rPr>
          <w:b/>
        </w:rPr>
      </w:pPr>
      <w:r w:rsidRPr="00075F68">
        <w:rPr>
          <w:b/>
        </w:rPr>
        <w:t>II</w:t>
      </w:r>
    </w:p>
    <w:p w14:paraId="12D08ACB" w14:textId="77777777" w:rsidR="00075F68" w:rsidRDefault="00075F68" w:rsidP="00075F68">
      <w:pPr>
        <w:spacing w:line="276" w:lineRule="auto"/>
        <w:jc w:val="center"/>
        <w:rPr>
          <w:b/>
        </w:rPr>
      </w:pPr>
    </w:p>
    <w:p w14:paraId="65694B7C" w14:textId="105D3987" w:rsidR="00075F68" w:rsidRPr="00075F68" w:rsidRDefault="00345130" w:rsidP="00075F68">
      <w:pPr>
        <w:spacing w:line="276" w:lineRule="auto"/>
        <w:ind w:firstLine="567"/>
        <w:jc w:val="both"/>
      </w:pPr>
      <w:r>
        <w:t>[</w:t>
      </w:r>
      <w:r w:rsidR="008C3076">
        <w:t>9</w:t>
      </w:r>
      <w:r w:rsidR="00075F68" w:rsidRPr="00075F68">
        <w:t>]</w:t>
      </w:r>
      <w:r w:rsidR="00075F68">
        <w:t> Pieteicēja kasācijas sūdzībā izteikusi arī vairākus citus iebildumus pret pārsūdzēto spriedumu.</w:t>
      </w:r>
    </w:p>
    <w:p w14:paraId="161CDD79" w14:textId="77777777" w:rsidR="00694BB1" w:rsidRDefault="00694BB1" w:rsidP="009626C4">
      <w:pPr>
        <w:spacing w:line="276" w:lineRule="auto"/>
        <w:ind w:firstLine="567"/>
        <w:jc w:val="both"/>
      </w:pPr>
    </w:p>
    <w:p w14:paraId="77B8D1BB" w14:textId="284A4977" w:rsidR="001F795D" w:rsidRDefault="00075F68" w:rsidP="00C86B97">
      <w:pPr>
        <w:spacing w:line="276" w:lineRule="auto"/>
        <w:ind w:firstLine="567"/>
        <w:jc w:val="both"/>
      </w:pPr>
      <w:r>
        <w:t>[</w:t>
      </w:r>
      <w:r w:rsidR="008C3076">
        <w:t>10</w:t>
      </w:r>
      <w:r w:rsidR="00694BB1">
        <w:t>] </w:t>
      </w:r>
      <w:r w:rsidR="00E85A7B">
        <w:t>No kasācijas sūdzīb</w:t>
      </w:r>
      <w:r w:rsidR="0053660E">
        <w:t>ā norādītajiem argumentiem</w:t>
      </w:r>
      <w:r>
        <w:t xml:space="preserve"> </w:t>
      </w:r>
      <w:r w:rsidR="00E85A7B">
        <w:t xml:space="preserve">izriet pieteicējas uzskats, ka, pat ja </w:t>
      </w:r>
      <w:r w:rsidR="007F5D85">
        <w:t xml:space="preserve">tiesa izskatāmajā lietā secinātu, ka </w:t>
      </w:r>
      <w:r w:rsidR="00E85A7B">
        <w:t xml:space="preserve">kredīta pagarināšanas izmaksas ietilpst kredīta kopējās izmaksās, </w:t>
      </w:r>
      <w:r w:rsidR="007F5D85">
        <w:t xml:space="preserve">pārsūdzētā lēmuma pieņemšanas brīdī </w:t>
      </w:r>
      <w:r w:rsidR="002B4496">
        <w:t xml:space="preserve">tas </w:t>
      </w:r>
      <w:r w:rsidR="007F5D85">
        <w:t>nebija skaidri izsecināms no Patērētāju tiesību aizsardzības likuma</w:t>
      </w:r>
      <w:r w:rsidR="00E71CED">
        <w:t xml:space="preserve"> normām</w:t>
      </w:r>
      <w:r w:rsidR="007F5D85">
        <w:t>.</w:t>
      </w:r>
      <w:r w:rsidR="00CF3686">
        <w:t xml:space="preserve"> Proti, pieteicējas ieskatā,</w:t>
      </w:r>
      <w:r w:rsidR="00E71CED">
        <w:t xml:space="preserve"> </w:t>
      </w:r>
      <w:r w:rsidR="00DA4063">
        <w:t>minētā</w:t>
      </w:r>
      <w:r w:rsidR="00E71CED">
        <w:t xml:space="preserve"> likuma </w:t>
      </w:r>
      <w:proofErr w:type="gramStart"/>
      <w:r w:rsidR="00DE61E2">
        <w:t>8.panta</w:t>
      </w:r>
      <w:proofErr w:type="gramEnd"/>
      <w:r w:rsidR="00DE61E2">
        <w:t xml:space="preserve"> 2.</w:t>
      </w:r>
      <w:r w:rsidR="00DE61E2" w:rsidRPr="00DE61E2">
        <w:rPr>
          <w:vertAlign w:val="superscript"/>
        </w:rPr>
        <w:t>3</w:t>
      </w:r>
      <w:r w:rsidR="00DE61E2">
        <w:t>daļa nebija tik skaidri noformulēta, lai Centrs būtu tiesīgs pieteicējai piemērot soda naudu par neatbilstošu rīcību saistībā ar kredīta pagarināšanas izmaksu noteikšanu patērētājiem.</w:t>
      </w:r>
      <w:r w:rsidR="00F755E7">
        <w:t xml:space="preserve"> Pamatojot </w:t>
      </w:r>
      <w:r w:rsidR="00DA4063">
        <w:t>šo</w:t>
      </w:r>
      <w:r w:rsidR="00F755E7">
        <w:t xml:space="preserve"> </w:t>
      </w:r>
      <w:r w:rsidR="00090728">
        <w:t>viedokli</w:t>
      </w:r>
      <w:r w:rsidR="00F755E7">
        <w:t>, pieteicēja jo īpa</w:t>
      </w:r>
      <w:r w:rsidR="002B7EBE">
        <w:t>ši uzsver</w:t>
      </w:r>
      <w:r w:rsidR="00F755E7">
        <w:t xml:space="preserve">, ka </w:t>
      </w:r>
      <w:r w:rsidR="001F795D">
        <w:t>pats Centrs ilgstoš</w:t>
      </w:r>
      <w:r w:rsidR="00570E44">
        <w:t>i</w:t>
      </w:r>
      <w:r w:rsidR="00DA4063">
        <w:t xml:space="preserve"> </w:t>
      </w:r>
      <w:r w:rsidR="001F795D">
        <w:t>neesot varējis noformulēt skaidru viedokli par minētās tiesību normas piemērošanu kredīta pagarināšanas gadījumā.</w:t>
      </w:r>
    </w:p>
    <w:p w14:paraId="4B5C0C67" w14:textId="581D5908" w:rsidR="00C86B97" w:rsidRDefault="00C86B97" w:rsidP="00C86B97">
      <w:pPr>
        <w:spacing w:line="276" w:lineRule="auto"/>
        <w:ind w:firstLine="567"/>
        <w:jc w:val="both"/>
      </w:pPr>
      <w:r>
        <w:t>Senāts turpmāk norādīto apsvērumu dēļ minētos argumentus atzīst par nepamatotiem.</w:t>
      </w:r>
    </w:p>
    <w:p w14:paraId="5DF424C4" w14:textId="77777777" w:rsidR="0063643E" w:rsidRDefault="0063643E" w:rsidP="00C86B97">
      <w:pPr>
        <w:spacing w:line="276" w:lineRule="auto"/>
        <w:ind w:firstLine="567"/>
        <w:jc w:val="both"/>
      </w:pPr>
    </w:p>
    <w:p w14:paraId="5997D077" w14:textId="1EAE7648" w:rsidR="00293B15" w:rsidRDefault="00075F68" w:rsidP="00C86B97">
      <w:pPr>
        <w:spacing w:line="276" w:lineRule="auto"/>
        <w:ind w:firstLine="567"/>
        <w:jc w:val="both"/>
      </w:pPr>
      <w:r>
        <w:t>[</w:t>
      </w:r>
      <w:r w:rsidR="008C3076">
        <w:t>11</w:t>
      </w:r>
      <w:r w:rsidR="00293B15">
        <w:t>] </w:t>
      </w:r>
      <w:r w:rsidR="00C55EB7">
        <w:t>Pieteicēja norāda, ka Latvijas Alternatīvo finanšu paka</w:t>
      </w:r>
      <w:r w:rsidR="008E39F5">
        <w:t>lpojumu asociācija (kuras biedre</w:t>
      </w:r>
      <w:r w:rsidR="00C55EB7">
        <w:t xml:space="preserve"> ir arī pieteicēja) </w:t>
      </w:r>
      <w:proofErr w:type="gramStart"/>
      <w:r w:rsidR="00C55EB7">
        <w:t>2015.gada</w:t>
      </w:r>
      <w:proofErr w:type="gramEnd"/>
      <w:r w:rsidR="00C55EB7">
        <w:t xml:space="preserve"> jūlijā tās biedriem izstrādāja vadlīnijas par </w:t>
      </w:r>
      <w:r w:rsidR="002C754D">
        <w:t xml:space="preserve">2015.gada 28.maijā pieņemto grozījumu Patērētāju tiesību aizsardzības likumā piemērošanu. Minētajās vadlīnijās </w:t>
      </w:r>
      <w:proofErr w:type="spellStart"/>
      <w:r w:rsidR="002C754D">
        <w:t>citstarp</w:t>
      </w:r>
      <w:proofErr w:type="spellEnd"/>
      <w:r w:rsidR="002C754D">
        <w:t xml:space="preserve"> esot norādīts, ka, aprēķinot kredīta kopējās izmaksas patērētājam,</w:t>
      </w:r>
      <w:r w:rsidR="00810719">
        <w:t xml:space="preserve"> </w:t>
      </w:r>
      <w:r w:rsidR="001A1BDE">
        <w:t>neesot</w:t>
      </w:r>
      <w:r w:rsidR="00810719">
        <w:t xml:space="preserve"> jāņem vērā maksājumi, kas kredīta devējam nav zināmi kredīta līguma noslēgšanas laikā, un kā viens no piemēriem šādiem maksājumiem min</w:t>
      </w:r>
      <w:r w:rsidR="00705661">
        <w:t>ēt</w:t>
      </w:r>
      <w:r w:rsidR="001A1BDE">
        <w:t>s</w:t>
      </w:r>
      <w:r w:rsidR="00785BCA">
        <w:t>:</w:t>
      </w:r>
      <w:r w:rsidR="001A1BDE">
        <w:t xml:space="preserve"> </w:t>
      </w:r>
      <w:r w:rsidR="00810719">
        <w:t>„</w:t>
      </w:r>
      <w:r w:rsidR="00C42516">
        <w:t>pagarināšanas maksas</w:t>
      </w:r>
      <w:r w:rsidR="00810719">
        <w:t>”</w:t>
      </w:r>
      <w:r w:rsidR="00C42516">
        <w:t xml:space="preserve">. </w:t>
      </w:r>
      <w:r w:rsidR="003150DE">
        <w:t>Vadlīnij</w:t>
      </w:r>
      <w:r w:rsidR="005B7739">
        <w:t>u projekts esot nosūtīt</w:t>
      </w:r>
      <w:r w:rsidR="003150DE">
        <w:t xml:space="preserve">s apstiprināšanai Centra Finanšu pakalpojumu uzraudzības daļas vadītājam, kurš </w:t>
      </w:r>
      <w:proofErr w:type="gramStart"/>
      <w:r w:rsidR="003150DE">
        <w:t>2015.gada</w:t>
      </w:r>
      <w:proofErr w:type="gramEnd"/>
      <w:r w:rsidR="003150DE">
        <w:t xml:space="preserve"> 4.augusta elektroniskā pasta vēstulē</w:t>
      </w:r>
      <w:r w:rsidR="005E419A">
        <w:t xml:space="preserve"> </w:t>
      </w:r>
      <w:r w:rsidR="00785BCA">
        <w:t xml:space="preserve">esot </w:t>
      </w:r>
      <w:r w:rsidR="005E419A">
        <w:t xml:space="preserve">apstiprinājis </w:t>
      </w:r>
      <w:r w:rsidR="00890B5A">
        <w:t>projekta</w:t>
      </w:r>
      <w:r w:rsidR="005E419A">
        <w:t xml:space="preserve"> atbilstību likuma grozījumiem.</w:t>
      </w:r>
    </w:p>
    <w:p w14:paraId="66C7E5AF" w14:textId="6FC15DC0" w:rsidR="004E13F6" w:rsidRDefault="00EB4BD2" w:rsidP="004E13F6">
      <w:pPr>
        <w:spacing w:line="276" w:lineRule="auto"/>
        <w:ind w:firstLine="567"/>
        <w:jc w:val="both"/>
      </w:pPr>
      <w:r>
        <w:t xml:space="preserve">No minētajiem </w:t>
      </w:r>
      <w:r w:rsidR="00AE4776">
        <w:t>apsv</w:t>
      </w:r>
      <w:r w:rsidR="001A1BDE">
        <w:t xml:space="preserve">ērumiem noprotams </w:t>
      </w:r>
      <w:r w:rsidR="00785BCA">
        <w:t xml:space="preserve">pieteicējas </w:t>
      </w:r>
      <w:r w:rsidR="001A1BDE">
        <w:t xml:space="preserve">uzskats, ka </w:t>
      </w:r>
      <w:r w:rsidR="00D96229">
        <w:t>Centra Finanšu pakalpojumu uzraudzības daļas vadītāja elektroniskā pasta vēstule asociācijas biedriem</w:t>
      </w:r>
      <w:r w:rsidR="004E13F6">
        <w:t xml:space="preserve">, tostarp pieteicējai, </w:t>
      </w:r>
      <w:r w:rsidR="00785BCA">
        <w:t xml:space="preserve">varēja </w:t>
      </w:r>
      <w:r w:rsidR="004E13F6">
        <w:t>rad</w:t>
      </w:r>
      <w:r w:rsidR="00785BCA">
        <w:t>īt</w:t>
      </w:r>
      <w:r w:rsidR="00D96229">
        <w:t xml:space="preserve"> paļāvību, ka Patērētāju tiesību aizsardzības likuma normas</w:t>
      </w:r>
      <w:r w:rsidR="00785BCA">
        <w:t xml:space="preserve"> par kredīta </w:t>
      </w:r>
      <w:r w:rsidR="00785BCA">
        <w:lastRenderedPageBreak/>
        <w:t>kopējām izmaksām patērētājam</w:t>
      </w:r>
      <w:r w:rsidR="00D96229">
        <w:t xml:space="preserve"> ir interpretējamas tādēj</w:t>
      </w:r>
      <w:r w:rsidR="00785BCA">
        <w:t>ādi, ka tajās</w:t>
      </w:r>
      <w:r w:rsidR="00D96229">
        <w:t xml:space="preserve"> nav iekļaujamas kredīta pagarināšanas izmaksas.</w:t>
      </w:r>
      <w:r w:rsidR="004E13F6">
        <w:t xml:space="preserve"> </w:t>
      </w:r>
      <w:r w:rsidR="00D96229">
        <w:t>Senāts šādam viedoklim nepiekr</w:t>
      </w:r>
      <w:r w:rsidR="004E13F6">
        <w:t>īt.</w:t>
      </w:r>
    </w:p>
    <w:p w14:paraId="3E313B09" w14:textId="68367A45" w:rsidR="00A97EA5" w:rsidRDefault="00D96229" w:rsidP="00A97EA5">
      <w:pPr>
        <w:pStyle w:val="ATpamattesksts"/>
        <w:rPr>
          <w:iCs/>
        </w:rPr>
      </w:pPr>
      <w:r>
        <w:t xml:space="preserve">Kā konsekventi atzīts Senāta praksē, </w:t>
      </w:r>
      <w:r w:rsidR="00197BFB">
        <w:t>vērtējot to, vai konkrētajā gadījumā ir konstatējama aizsargājama tiesiskā pa</w:t>
      </w:r>
      <w:r w:rsidR="00603DAE">
        <w:t>ļāvība</w:t>
      </w:r>
      <w:r w:rsidR="00197BFB">
        <w:t>, jāp</w:t>
      </w:r>
      <w:r w:rsidR="004E13F6">
        <w:t>ārbauda, vai tiešām ir bijis</w:t>
      </w:r>
      <w:r w:rsidR="000D0233">
        <w:t xml:space="preserve"> iestādes</w:t>
      </w:r>
      <w:r w:rsidR="004E13F6">
        <w:t xml:space="preserve"> skaidrs un beznosacījuma apsolījums, kas </w:t>
      </w:r>
      <w:r w:rsidR="006E4301">
        <w:t xml:space="preserve">personai </w:t>
      </w:r>
      <w:r w:rsidR="004E13F6">
        <w:t xml:space="preserve">varēja </w:t>
      </w:r>
      <w:r w:rsidR="00142231">
        <w:t xml:space="preserve">radīt pamatotu paļāvību, vai </w:t>
      </w:r>
      <w:r w:rsidR="006E4301">
        <w:t>persona</w:t>
      </w:r>
      <w:r w:rsidR="00142231">
        <w:t xml:space="preserve"> uz šo apsolījumu ir paļāvusies un vai </w:t>
      </w:r>
      <w:r w:rsidR="006E4301">
        <w:t>personas</w:t>
      </w:r>
      <w:r w:rsidR="00142231">
        <w:t xml:space="preserve"> paļāvība ir aizsardzības vērta </w:t>
      </w:r>
      <w:proofErr w:type="gramStart"/>
      <w:r w:rsidR="00142231">
        <w:t>(</w:t>
      </w:r>
      <w:proofErr w:type="gramEnd"/>
      <w:r w:rsidR="00142231">
        <w:t xml:space="preserve">piemēram, </w:t>
      </w:r>
      <w:bookmarkStart w:id="1" w:name="_Hlk60134545"/>
      <w:r w:rsidR="00142231" w:rsidRPr="00195F02">
        <w:rPr>
          <w:bCs/>
          <w:i/>
        </w:rPr>
        <w:t xml:space="preserve">Senāta 2008.gada 14.februāra sprieduma lietā Nr. SKA-34/2008 (A42231904) 15.punkts, </w:t>
      </w:r>
      <w:r w:rsidR="00142231">
        <w:rPr>
          <w:bCs/>
          <w:i/>
        </w:rPr>
        <w:t xml:space="preserve">2016.gada 14.septembra sprieduma lietā Nr. SKA-461/2016 (A43017613) 16.punkts, </w:t>
      </w:r>
      <w:r w:rsidR="00142231" w:rsidRPr="00195F02">
        <w:rPr>
          <w:bCs/>
          <w:i/>
        </w:rPr>
        <w:t xml:space="preserve">2020.gada 14.februāra sprieduma lietā Nr. SKA-160/2020 (ECLI:LV:AT:2020:0214.A420302514.4.S) </w:t>
      </w:r>
      <w:bookmarkEnd w:id="1"/>
      <w:r w:rsidR="00142231" w:rsidRPr="00195F02">
        <w:rPr>
          <w:bCs/>
          <w:i/>
        </w:rPr>
        <w:t>12.punkts</w:t>
      </w:r>
      <w:r w:rsidR="00142231">
        <w:rPr>
          <w:bCs/>
        </w:rPr>
        <w:t>).</w:t>
      </w:r>
      <w:r w:rsidR="00A97EA5">
        <w:rPr>
          <w:bCs/>
        </w:rPr>
        <w:t xml:space="preserve"> Tātad vispirms ir </w:t>
      </w:r>
      <w:r w:rsidR="00564337">
        <w:rPr>
          <w:bCs/>
        </w:rPr>
        <w:t>pārbaudāms</w:t>
      </w:r>
      <w:r w:rsidR="00A97EA5">
        <w:rPr>
          <w:bCs/>
        </w:rPr>
        <w:t xml:space="preserve">, vai iestāde ir </w:t>
      </w:r>
      <w:r w:rsidR="00DA4063">
        <w:rPr>
          <w:bCs/>
        </w:rPr>
        <w:t xml:space="preserve">raisījusi </w:t>
      </w:r>
      <w:r w:rsidR="00A97EA5">
        <w:rPr>
          <w:bCs/>
        </w:rPr>
        <w:t xml:space="preserve">personā pamatotas cerības uz </w:t>
      </w:r>
      <w:r w:rsidR="00B0120E">
        <w:rPr>
          <w:bCs/>
        </w:rPr>
        <w:t>kādu konkrētu tiesisko seku iestāšanos nākotnē</w:t>
      </w:r>
      <w:r w:rsidR="00A97EA5">
        <w:rPr>
          <w:bCs/>
        </w:rPr>
        <w:t xml:space="preserve"> vai citu leģitīmu pozīciju – proti, sniegusi precīzus, beznosacījuma un saskaņotus solījumus (sal. </w:t>
      </w:r>
      <w:bookmarkStart w:id="2" w:name="_Hlk60134536"/>
      <w:r w:rsidR="00A97EA5" w:rsidRPr="00C3398D">
        <w:rPr>
          <w:i/>
          <w:iCs/>
        </w:rPr>
        <w:t>Senāta</w:t>
      </w:r>
      <w:r w:rsidR="00A97EA5">
        <w:rPr>
          <w:i/>
          <w:iCs/>
        </w:rPr>
        <w:t xml:space="preserve"> </w:t>
      </w:r>
      <w:r w:rsidR="00A97EA5" w:rsidRPr="00C3398D">
        <w:rPr>
          <w:i/>
          <w:iCs/>
        </w:rPr>
        <w:t>2017.gada 28.februāra sprieduma lietā Nr. SKA-706/2017 (A420193416) 21.punkts,</w:t>
      </w:r>
      <w:r w:rsidR="00A97EA5">
        <w:rPr>
          <w:iCs/>
        </w:rPr>
        <w:t xml:space="preserve"> </w:t>
      </w:r>
      <w:r w:rsidR="00145BE3">
        <w:rPr>
          <w:i/>
          <w:iCs/>
        </w:rPr>
        <w:t>2020.gada 14.jūlija sprieduma lietā Nr. SKA-278/2020 (</w:t>
      </w:r>
      <w:r w:rsidR="00145BE3" w:rsidRPr="00A97EA5">
        <w:rPr>
          <w:i/>
          <w:iCs/>
        </w:rPr>
        <w:t>ECLI:LV:AT:2020:0714.A420355016.8.S</w:t>
      </w:r>
      <w:r w:rsidR="00145BE3">
        <w:rPr>
          <w:i/>
          <w:iCs/>
        </w:rPr>
        <w:t xml:space="preserve">) </w:t>
      </w:r>
      <w:bookmarkEnd w:id="2"/>
      <w:r w:rsidR="00145BE3">
        <w:rPr>
          <w:i/>
          <w:iCs/>
        </w:rPr>
        <w:t>14.punkts</w:t>
      </w:r>
      <w:r w:rsidR="00145BE3">
        <w:rPr>
          <w:i/>
        </w:rPr>
        <w:t xml:space="preserve">, </w:t>
      </w:r>
      <w:r w:rsidR="00A97EA5" w:rsidRPr="004E7C7F">
        <w:rPr>
          <w:i/>
        </w:rPr>
        <w:t xml:space="preserve">Briede J. </w:t>
      </w:r>
      <w:r w:rsidR="00A97EA5">
        <w:rPr>
          <w:i/>
        </w:rPr>
        <w:t>Administratīvā procesa likuma 10</w:t>
      </w:r>
      <w:r w:rsidR="00A97EA5" w:rsidRPr="004E7C7F">
        <w:rPr>
          <w:i/>
        </w:rPr>
        <w:t xml:space="preserve">.panta komentārs. </w:t>
      </w:r>
      <w:proofErr w:type="spellStart"/>
      <w:r w:rsidR="00A97EA5" w:rsidRPr="004E7C7F">
        <w:rPr>
          <w:i/>
        </w:rPr>
        <w:t>Grām</w:t>
      </w:r>
      <w:proofErr w:type="spellEnd"/>
      <w:r w:rsidR="00A97EA5" w:rsidRPr="004E7C7F">
        <w:rPr>
          <w:i/>
        </w:rPr>
        <w:t xml:space="preserve">.: </w:t>
      </w:r>
      <w:r w:rsidR="00A97EA5" w:rsidRPr="002401CC">
        <w:rPr>
          <w:i/>
          <w:iCs/>
        </w:rPr>
        <w:t>Administratīvā procesa likuma komentāri. A un B daļa. Briede J. (</w:t>
      </w:r>
      <w:proofErr w:type="spellStart"/>
      <w:r w:rsidR="00A97EA5" w:rsidRPr="002401CC">
        <w:rPr>
          <w:i/>
          <w:iCs/>
        </w:rPr>
        <w:t>Zin</w:t>
      </w:r>
      <w:proofErr w:type="spellEnd"/>
      <w:r w:rsidR="00A97EA5" w:rsidRPr="002401CC">
        <w:rPr>
          <w:i/>
          <w:iCs/>
        </w:rPr>
        <w:t>. red.) R</w:t>
      </w:r>
      <w:r w:rsidR="00A97EA5">
        <w:rPr>
          <w:i/>
          <w:iCs/>
        </w:rPr>
        <w:t>īga: Tiesu namu aģentūra, 2013, 169.</w:t>
      </w:r>
      <w:r w:rsidR="00A97EA5" w:rsidRPr="002401CC">
        <w:rPr>
          <w:i/>
          <w:iCs/>
        </w:rPr>
        <w:t>lpp.</w:t>
      </w:r>
      <w:r w:rsidR="00A97EA5" w:rsidRPr="007651E0">
        <w:rPr>
          <w:iCs/>
        </w:rPr>
        <w:t>).</w:t>
      </w:r>
    </w:p>
    <w:p w14:paraId="00058593" w14:textId="7F1511F4" w:rsidR="00D823D2" w:rsidRDefault="00623135" w:rsidP="00FD4DFB">
      <w:pPr>
        <w:pStyle w:val="ATpamattesksts"/>
        <w:rPr>
          <w:iCs/>
        </w:rPr>
      </w:pPr>
      <w:r>
        <w:rPr>
          <w:iCs/>
        </w:rPr>
        <w:t>Vērtējot, vai strīdus elektroniskā pasta vēstul</w:t>
      </w:r>
      <w:r w:rsidR="00BD4491">
        <w:rPr>
          <w:iCs/>
        </w:rPr>
        <w:t>ē ir</w:t>
      </w:r>
      <w:r>
        <w:rPr>
          <w:iCs/>
        </w:rPr>
        <w:t xml:space="preserve"> skaidr</w:t>
      </w:r>
      <w:r w:rsidR="00BD4491">
        <w:rPr>
          <w:iCs/>
        </w:rPr>
        <w:t>s</w:t>
      </w:r>
      <w:r>
        <w:rPr>
          <w:iCs/>
        </w:rPr>
        <w:t xml:space="preserve"> un beznosacījuma apsolījum</w:t>
      </w:r>
      <w:r w:rsidR="00BD4491">
        <w:rPr>
          <w:iCs/>
        </w:rPr>
        <w:t>s</w:t>
      </w:r>
      <w:r w:rsidR="0029077E">
        <w:rPr>
          <w:iCs/>
        </w:rPr>
        <w:t xml:space="preserve"> par konkrētu tiesību normu interpretāciju, uz kuru pieteicēja </w:t>
      </w:r>
      <w:r w:rsidR="00AF2BE1">
        <w:rPr>
          <w:iCs/>
        </w:rPr>
        <w:t>kā asoci</w:t>
      </w:r>
      <w:r w:rsidR="00F844B0">
        <w:rPr>
          <w:iCs/>
        </w:rPr>
        <w:t>ācijas biedre</w:t>
      </w:r>
      <w:r w:rsidR="00AF2BE1">
        <w:rPr>
          <w:iCs/>
        </w:rPr>
        <w:t xml:space="preserve"> </w:t>
      </w:r>
      <w:r w:rsidR="0029077E">
        <w:rPr>
          <w:iCs/>
        </w:rPr>
        <w:t>varē</w:t>
      </w:r>
      <w:r w:rsidR="00954B99">
        <w:rPr>
          <w:iCs/>
        </w:rPr>
        <w:t>ja</w:t>
      </w:r>
      <w:r w:rsidR="0029077E">
        <w:rPr>
          <w:iCs/>
        </w:rPr>
        <w:t xml:space="preserve"> paļauties nākotnē,</w:t>
      </w:r>
      <w:r w:rsidR="00AF2BE1">
        <w:rPr>
          <w:iCs/>
        </w:rPr>
        <w:t xml:space="preserve"> </w:t>
      </w:r>
      <w:r w:rsidR="0029077E">
        <w:rPr>
          <w:iCs/>
        </w:rPr>
        <w:t xml:space="preserve">ņemams vērā, ka ne Patērētāju tiesību aizsardzības likuma, ne Ministru kabineta </w:t>
      </w:r>
      <w:proofErr w:type="gramStart"/>
      <w:r w:rsidR="0029077E">
        <w:rPr>
          <w:iCs/>
        </w:rPr>
        <w:t>2006.gada</w:t>
      </w:r>
      <w:proofErr w:type="gramEnd"/>
      <w:r w:rsidR="0029077E">
        <w:rPr>
          <w:iCs/>
        </w:rPr>
        <w:t xml:space="preserve"> 1.augusta noteikumu Nr. 632 „</w:t>
      </w:r>
      <w:r w:rsidR="00C304B1">
        <w:rPr>
          <w:iCs/>
        </w:rPr>
        <w:t>Patērētāju tiesību aizsardzības centra nolikums</w:t>
      </w:r>
      <w:r w:rsidR="0029077E">
        <w:rPr>
          <w:iCs/>
        </w:rPr>
        <w:t>”</w:t>
      </w:r>
      <w:r w:rsidR="00C304B1">
        <w:rPr>
          <w:iCs/>
        </w:rPr>
        <w:t xml:space="preserve">, ne arī kāda cita </w:t>
      </w:r>
      <w:r w:rsidR="00F6353E">
        <w:rPr>
          <w:iCs/>
        </w:rPr>
        <w:t xml:space="preserve">ārējā </w:t>
      </w:r>
      <w:r w:rsidR="00C304B1">
        <w:rPr>
          <w:iCs/>
        </w:rPr>
        <w:t xml:space="preserve">normatīvā akta normās nav noteikta Centra kompetence saskaņot asociācijas, kurā apvienojušies konkrētu nozari pārstāvoši komercprakses īstenotāji, </w:t>
      </w:r>
      <w:r w:rsidR="00C93BF9">
        <w:rPr>
          <w:iCs/>
        </w:rPr>
        <w:t xml:space="preserve">izstrādātās </w:t>
      </w:r>
      <w:r w:rsidR="00C304B1">
        <w:rPr>
          <w:iCs/>
        </w:rPr>
        <w:t xml:space="preserve">vadlīnijas komercprakses īstenošanai. </w:t>
      </w:r>
      <w:r w:rsidR="00C93BF9">
        <w:rPr>
          <w:iCs/>
        </w:rPr>
        <w:t xml:space="preserve">Tālab situācijā, kad publisko tiesību normas Centram nemaz neparedz funkciju saskaņot komercprakses īstenotāju izstrādātas vadlīnijas, apstāklis, ka </w:t>
      </w:r>
      <w:r w:rsidR="00597A9A">
        <w:rPr>
          <w:iCs/>
        </w:rPr>
        <w:t xml:space="preserve">konkrēts Centra darbinieks pēc asociācijas lūguma ir pārbaudījis asociācijas izstrādātās vadlīnijas un norādījis, ka tās kopumā atbilst patērētāju tiesību aizsardzību regulējošajām tiesību normām, </w:t>
      </w:r>
      <w:r w:rsidR="007C551A">
        <w:rPr>
          <w:iCs/>
        </w:rPr>
        <w:t>pats par sevi nevar tikt vērtēts k</w:t>
      </w:r>
      <w:r w:rsidR="002776BF">
        <w:rPr>
          <w:iCs/>
        </w:rPr>
        <w:t xml:space="preserve">ā </w:t>
      </w:r>
      <w:r w:rsidR="00FD4DFB">
        <w:rPr>
          <w:iCs/>
        </w:rPr>
        <w:t>visa Centra vārdā izteikts viedoklis par to, ka tiesību normas ir piemērojamas tieši tādā veidā, kā atsp</w:t>
      </w:r>
      <w:r w:rsidR="00D823D2">
        <w:rPr>
          <w:iCs/>
        </w:rPr>
        <w:t>oguļots asociācijas vadlīnijās.</w:t>
      </w:r>
    </w:p>
    <w:p w14:paraId="0445C134" w14:textId="4B302133" w:rsidR="0056799F" w:rsidRDefault="008223ED" w:rsidP="0056799F">
      <w:pPr>
        <w:pStyle w:val="ATpamattesksts"/>
        <w:rPr>
          <w:iCs/>
        </w:rPr>
      </w:pPr>
      <w:r>
        <w:rPr>
          <w:iCs/>
        </w:rPr>
        <w:t>K</w:t>
      </w:r>
      <w:r w:rsidR="00693AC9">
        <w:rPr>
          <w:iCs/>
        </w:rPr>
        <w:t xml:space="preserve">onkrētā gadījuma kontekstā par to </w:t>
      </w:r>
      <w:r w:rsidR="00890B5A">
        <w:rPr>
          <w:iCs/>
        </w:rPr>
        <w:t>arī ne</w:t>
      </w:r>
      <w:r w:rsidR="00693AC9">
        <w:rPr>
          <w:iCs/>
        </w:rPr>
        <w:t xml:space="preserve">liecina </w:t>
      </w:r>
      <w:r w:rsidR="00890B5A">
        <w:rPr>
          <w:iCs/>
        </w:rPr>
        <w:t xml:space="preserve">ne </w:t>
      </w:r>
      <w:r w:rsidR="00693AC9">
        <w:rPr>
          <w:iCs/>
        </w:rPr>
        <w:t>strīdus vēstules forma</w:t>
      </w:r>
      <w:r w:rsidR="00890B5A">
        <w:rPr>
          <w:iCs/>
        </w:rPr>
        <w:t>, ne</w:t>
      </w:r>
      <w:r w:rsidR="00693AC9">
        <w:rPr>
          <w:iCs/>
        </w:rPr>
        <w:t xml:space="preserve"> saturs.</w:t>
      </w:r>
      <w:r w:rsidR="003F276E">
        <w:rPr>
          <w:iCs/>
        </w:rPr>
        <w:t xml:space="preserve"> Proti, </w:t>
      </w:r>
      <w:r w:rsidR="000D2339">
        <w:rPr>
          <w:iCs/>
        </w:rPr>
        <w:t>tā ir elektroniskā pasta vēstule, kas ir sūtīta no konkrēta Centra darbinieka – Finanšu pakalpojumu uzraudzības daļas vadītāj</w:t>
      </w:r>
      <w:r>
        <w:rPr>
          <w:iCs/>
        </w:rPr>
        <w:t>a – elektroniskā pasta adreses (</w:t>
      </w:r>
      <w:r w:rsidR="000D2339">
        <w:rPr>
          <w:iCs/>
        </w:rPr>
        <w:t>nevis Centra oficiālās elektronisk</w:t>
      </w:r>
      <w:r w:rsidR="005B7739">
        <w:rPr>
          <w:iCs/>
        </w:rPr>
        <w:t>ā pasta adreses</w:t>
      </w:r>
      <w:r>
        <w:rPr>
          <w:iCs/>
        </w:rPr>
        <w:t>)</w:t>
      </w:r>
      <w:r w:rsidR="005B7739">
        <w:rPr>
          <w:iCs/>
        </w:rPr>
        <w:t xml:space="preserve">, </w:t>
      </w:r>
      <w:r>
        <w:rPr>
          <w:iCs/>
        </w:rPr>
        <w:t xml:space="preserve">atbildot uz asociācijas pārstāves elektroniskā pasta vēstulē izteikto lūgumu </w:t>
      </w:r>
      <w:r w:rsidR="008A257D">
        <w:rPr>
          <w:iCs/>
        </w:rPr>
        <w:t>„apskatīties vadlīnijas un sniegt par tām komentārus”</w:t>
      </w:r>
      <w:r>
        <w:rPr>
          <w:iCs/>
        </w:rPr>
        <w:t xml:space="preserve">, </w:t>
      </w:r>
      <w:r w:rsidR="005B7739">
        <w:rPr>
          <w:iCs/>
        </w:rPr>
        <w:t xml:space="preserve">un tajā </w:t>
      </w:r>
      <w:r>
        <w:rPr>
          <w:iCs/>
        </w:rPr>
        <w:t>norādīts</w:t>
      </w:r>
      <w:r w:rsidR="005B7739">
        <w:rPr>
          <w:iCs/>
        </w:rPr>
        <w:t xml:space="preserve">, ka asociācijas vadlīniju </w:t>
      </w:r>
      <w:r w:rsidR="00890B5A">
        <w:rPr>
          <w:iCs/>
        </w:rPr>
        <w:t>projektā „pa lielam viss ir kārtībā”</w:t>
      </w:r>
      <w:r>
        <w:rPr>
          <w:iCs/>
        </w:rPr>
        <w:t xml:space="preserve"> (</w:t>
      </w:r>
      <w:r w:rsidRPr="008223ED">
        <w:rPr>
          <w:i/>
          <w:iCs/>
        </w:rPr>
        <w:t xml:space="preserve">lietas 1.sēj. </w:t>
      </w:r>
      <w:r w:rsidR="00345130">
        <w:rPr>
          <w:i/>
          <w:iCs/>
        </w:rPr>
        <w:t>48</w:t>
      </w:r>
      <w:r w:rsidRPr="008223ED">
        <w:rPr>
          <w:i/>
          <w:iCs/>
        </w:rPr>
        <w:t>.</w:t>
      </w:r>
      <w:r w:rsidRPr="008223ED">
        <w:rPr>
          <w:i/>
        </w:rPr>
        <w:t>–</w:t>
      </w:r>
      <w:r w:rsidR="00345130">
        <w:rPr>
          <w:i/>
        </w:rPr>
        <w:t>52</w:t>
      </w:r>
      <w:r w:rsidRPr="008223ED">
        <w:rPr>
          <w:i/>
        </w:rPr>
        <w:t>.lp.</w:t>
      </w:r>
      <w:r>
        <w:t>)</w:t>
      </w:r>
      <w:r w:rsidR="00F5349E">
        <w:rPr>
          <w:iCs/>
        </w:rPr>
        <w:t xml:space="preserve">. </w:t>
      </w:r>
      <w:r w:rsidR="006956DD">
        <w:rPr>
          <w:iCs/>
        </w:rPr>
        <w:t>Šādi konkrēto vēstuli raksturojošie apstākļi paši</w:t>
      </w:r>
      <w:r w:rsidR="009C6425">
        <w:rPr>
          <w:iCs/>
        </w:rPr>
        <w:t xml:space="preserve"> par sevi neliecina ne par to, ka vēstulē norādītais viedoklis būtu uzskatāms par visa Centra vārdā sniegtu viedokli, ne </w:t>
      </w:r>
      <w:r w:rsidR="006956DD">
        <w:rPr>
          <w:iCs/>
        </w:rPr>
        <w:t xml:space="preserve">arī </w:t>
      </w:r>
      <w:r w:rsidR="009C6425">
        <w:rPr>
          <w:iCs/>
        </w:rPr>
        <w:t xml:space="preserve">par to, ka </w:t>
      </w:r>
      <w:r w:rsidR="00F5349E">
        <w:rPr>
          <w:iCs/>
        </w:rPr>
        <w:t>konkrētais Centra darbinieks</w:t>
      </w:r>
      <w:r w:rsidR="00344414">
        <w:rPr>
          <w:iCs/>
        </w:rPr>
        <w:t xml:space="preserve"> būtu detalizēti iedziļināj</w:t>
      </w:r>
      <w:r w:rsidR="00F5349E">
        <w:rPr>
          <w:iCs/>
        </w:rPr>
        <w:t>ies</w:t>
      </w:r>
      <w:r w:rsidR="00344414">
        <w:rPr>
          <w:iCs/>
        </w:rPr>
        <w:t xml:space="preserve"> </w:t>
      </w:r>
      <w:r w:rsidR="00CE20E6">
        <w:rPr>
          <w:iCs/>
        </w:rPr>
        <w:t>ikvienā vadlīnijās aplūkotajā jautājum</w:t>
      </w:r>
      <w:r w:rsidR="00E35D51">
        <w:rPr>
          <w:iCs/>
        </w:rPr>
        <w:t xml:space="preserve">ā, </w:t>
      </w:r>
      <w:r w:rsidR="00F5349E">
        <w:rPr>
          <w:iCs/>
        </w:rPr>
        <w:t>kas</w:t>
      </w:r>
      <w:r w:rsidR="00CE20E6">
        <w:rPr>
          <w:iCs/>
        </w:rPr>
        <w:t xml:space="preserve"> var radīt potenciālos strīdus</w:t>
      </w:r>
      <w:r w:rsidR="00F72D0E">
        <w:rPr>
          <w:iCs/>
        </w:rPr>
        <w:t>, un apsvēr</w:t>
      </w:r>
      <w:r w:rsidR="00F5349E">
        <w:rPr>
          <w:iCs/>
        </w:rPr>
        <w:t>is</w:t>
      </w:r>
      <w:r w:rsidR="00F72D0E">
        <w:rPr>
          <w:iCs/>
        </w:rPr>
        <w:t xml:space="preserve"> visas iespējamās situācijas, kādās piemērojam</w:t>
      </w:r>
      <w:r w:rsidR="00DA4063">
        <w:rPr>
          <w:iCs/>
        </w:rPr>
        <w:t>as</w:t>
      </w:r>
      <w:r w:rsidR="00F72D0E">
        <w:rPr>
          <w:iCs/>
        </w:rPr>
        <w:t xml:space="preserve"> Patērētāju tiesību aizsardzības likumā </w:t>
      </w:r>
      <w:r w:rsidR="00DA4063">
        <w:rPr>
          <w:iCs/>
        </w:rPr>
        <w:t>grozītās normas</w:t>
      </w:r>
      <w:r w:rsidR="00A72F2B">
        <w:rPr>
          <w:iCs/>
        </w:rPr>
        <w:t xml:space="preserve">, kā arī </w:t>
      </w:r>
      <w:r w:rsidR="00F72D0E">
        <w:rPr>
          <w:iCs/>
        </w:rPr>
        <w:t xml:space="preserve">to piemērošanas nianses. </w:t>
      </w:r>
      <w:r w:rsidR="0056799F">
        <w:rPr>
          <w:iCs/>
        </w:rPr>
        <w:t xml:space="preserve">Šajā sakarā </w:t>
      </w:r>
      <w:r w:rsidR="007E5E93">
        <w:rPr>
          <w:iCs/>
        </w:rPr>
        <w:t>jo īpaši būtiski paturēt prātā</w:t>
      </w:r>
      <w:r w:rsidR="0056799F">
        <w:rPr>
          <w:iCs/>
        </w:rPr>
        <w:t xml:space="preserve">, ka kredīta </w:t>
      </w:r>
      <w:r w:rsidR="00621436">
        <w:rPr>
          <w:iCs/>
        </w:rPr>
        <w:t xml:space="preserve">pagarināšanas izmaksas </w:t>
      </w:r>
      <w:r w:rsidR="0056799F">
        <w:rPr>
          <w:iCs/>
        </w:rPr>
        <w:t>ir tikai viens no jautājumiem, kas ir skarts asociācijas izstrādātajās vadlīnijās, un asociācija, nosūtot Centram vadlīniju projektu, nav uzdevusi nevienu konkrētu jaut</w:t>
      </w:r>
      <w:r w:rsidR="005143F3">
        <w:rPr>
          <w:iCs/>
        </w:rPr>
        <w:t>ājumu</w:t>
      </w:r>
      <w:r w:rsidR="00E054E0">
        <w:rPr>
          <w:iCs/>
        </w:rPr>
        <w:t xml:space="preserve"> saistībā ar jēdziena „kredīta kopējās izmaksas patērētājam” tvērumu</w:t>
      </w:r>
      <w:r w:rsidR="00621436">
        <w:rPr>
          <w:iCs/>
        </w:rPr>
        <w:t xml:space="preserve"> kontekstā ar kredīta pagarināšanas izmaksām</w:t>
      </w:r>
      <w:r w:rsidR="005143F3">
        <w:rPr>
          <w:iCs/>
        </w:rPr>
        <w:t xml:space="preserve">. </w:t>
      </w:r>
      <w:r w:rsidR="000000DD">
        <w:rPr>
          <w:iCs/>
        </w:rPr>
        <w:t>Tādējādi</w:t>
      </w:r>
      <w:r w:rsidR="005143F3">
        <w:rPr>
          <w:iCs/>
        </w:rPr>
        <w:t xml:space="preserve"> nav pamata uzskatīt, ka strīdus vēstulē paustais viedoklis, ka vadlīnijas kopumā ir atzīstamas par atbilstošām </w:t>
      </w:r>
      <w:r w:rsidR="000000DD">
        <w:rPr>
          <w:iCs/>
        </w:rPr>
        <w:t>Patērētāju tiesību aizsardzības likumā pieņemtajiem groz</w:t>
      </w:r>
      <w:r w:rsidR="00C47EA5">
        <w:rPr>
          <w:iCs/>
        </w:rPr>
        <w:t xml:space="preserve">ījumiem, </w:t>
      </w:r>
      <w:r w:rsidR="000663DA">
        <w:rPr>
          <w:iCs/>
        </w:rPr>
        <w:t>konkrēti</w:t>
      </w:r>
      <w:r w:rsidR="00E054E0">
        <w:rPr>
          <w:iCs/>
        </w:rPr>
        <w:t xml:space="preserve"> un tieši</w:t>
      </w:r>
      <w:r w:rsidR="000663DA">
        <w:rPr>
          <w:iCs/>
        </w:rPr>
        <w:t xml:space="preserve"> </w:t>
      </w:r>
      <w:r w:rsidR="00C47EA5">
        <w:rPr>
          <w:iCs/>
        </w:rPr>
        <w:lastRenderedPageBreak/>
        <w:t>attie</w:t>
      </w:r>
      <w:r w:rsidR="000663DA">
        <w:rPr>
          <w:iCs/>
        </w:rPr>
        <w:t>ktos</w:t>
      </w:r>
      <w:r w:rsidR="00C47EA5">
        <w:rPr>
          <w:iCs/>
        </w:rPr>
        <w:t xml:space="preserve"> arī uz jautājumu, vai kredīta kopējās izmaksās patērēt</w:t>
      </w:r>
      <w:r w:rsidR="0044610E">
        <w:rPr>
          <w:iCs/>
        </w:rPr>
        <w:t xml:space="preserve">ājam </w:t>
      </w:r>
      <w:r w:rsidR="003F37EE">
        <w:rPr>
          <w:iCs/>
        </w:rPr>
        <w:t xml:space="preserve">ir iekļaujamas arī </w:t>
      </w:r>
      <w:r w:rsidR="00C47EA5">
        <w:rPr>
          <w:iCs/>
        </w:rPr>
        <w:t>kredīta pagarināšanas izmaksas.</w:t>
      </w:r>
    </w:p>
    <w:p w14:paraId="7EEC248A" w14:textId="07EB2F99" w:rsidR="00BB4CFF" w:rsidRDefault="00E054E0" w:rsidP="00632BBF">
      <w:pPr>
        <w:pStyle w:val="ATpamattesksts"/>
      </w:pPr>
      <w:r>
        <w:rPr>
          <w:iCs/>
        </w:rPr>
        <w:t>L</w:t>
      </w:r>
      <w:r w:rsidR="00BB4CFF">
        <w:rPr>
          <w:iCs/>
        </w:rPr>
        <w:t xml:space="preserve">īdz ar to konkrētajos apstākļos nav saskatāms, ka </w:t>
      </w:r>
      <w:r w:rsidR="00BB4CFF">
        <w:t xml:space="preserve">Centra Finanšu pakalpojumu uzraudzības daļas vadītāja elektroniskā pasta vēstulē būtu pausts tāds viedoklis, kas asociācijas biedriem varēja radīt paļāvību, ka Patērētāju tiesību aizsardzības likuma normas par kredīta kopējām izmaksām patērētājam ir interpretējamas </w:t>
      </w:r>
      <w:r w:rsidR="00627C95">
        <w:t>tādā veidā</w:t>
      </w:r>
      <w:r w:rsidR="00BB4CFF">
        <w:t xml:space="preserve">, ka tajās </w:t>
      </w:r>
      <w:r w:rsidR="003F37EE">
        <w:t xml:space="preserve">nav iekļaujamas </w:t>
      </w:r>
      <w:r w:rsidR="00BB4CFF">
        <w:t>kredīta pagarināšanas izmaksas.</w:t>
      </w:r>
      <w:r w:rsidR="000452B7">
        <w:t xml:space="preserve"> Turklāt, Senāta ieskatā, to apzinājās arī pati asociācija, jo, kā izriet no lietas materiāliem, asociācija 2015.gada 9.decembrī vērsās Centrā ar visam Centram (nevis kādam konkrētam tā darbiniekam) adresētu vēstuli</w:t>
      </w:r>
      <w:r w:rsidR="00C5379D">
        <w:t>, kurā lūdza sniegt viedokli par asociācijas izstrādāto vadlīniju saturu (</w:t>
      </w:r>
      <w:r w:rsidR="00C5379D" w:rsidRPr="00C5379D">
        <w:t>sk.</w:t>
      </w:r>
      <w:r w:rsidR="00C5379D" w:rsidRPr="00C5379D">
        <w:rPr>
          <w:i/>
        </w:rPr>
        <w:t xml:space="preserve"> asociācijas skaidrojumu lietas 1.sēj. </w:t>
      </w:r>
      <w:r w:rsidR="00345130">
        <w:rPr>
          <w:i/>
        </w:rPr>
        <w:t>36</w:t>
      </w:r>
      <w:r w:rsidR="00C5379D" w:rsidRPr="00C5379D">
        <w:rPr>
          <w:i/>
        </w:rPr>
        <w:t>.–</w:t>
      </w:r>
      <w:r w:rsidR="00345130">
        <w:rPr>
          <w:i/>
        </w:rPr>
        <w:t>40</w:t>
      </w:r>
      <w:r w:rsidR="00C5379D">
        <w:rPr>
          <w:i/>
        </w:rPr>
        <w:t xml:space="preserve">.lp. un Centra 2016.gada 11.janvāra atbildes vēstuli </w:t>
      </w:r>
      <w:r w:rsidR="0065317D">
        <w:rPr>
          <w:i/>
        </w:rPr>
        <w:t xml:space="preserve">lietas </w:t>
      </w:r>
      <w:r w:rsidR="00C5379D">
        <w:rPr>
          <w:i/>
        </w:rPr>
        <w:t xml:space="preserve">1.sēj. </w:t>
      </w:r>
      <w:r w:rsidR="00345130">
        <w:rPr>
          <w:i/>
        </w:rPr>
        <w:t>55</w:t>
      </w:r>
      <w:r w:rsidR="00C5379D">
        <w:rPr>
          <w:i/>
        </w:rPr>
        <w:t>.lp.</w:t>
      </w:r>
      <w:r w:rsidR="00C5379D">
        <w:t>).</w:t>
      </w:r>
    </w:p>
    <w:p w14:paraId="68735570" w14:textId="2C1FA5A9" w:rsidR="00CA3A36" w:rsidRDefault="00BB4CFF" w:rsidP="00264C4B">
      <w:pPr>
        <w:pStyle w:val="ATpamattesksts"/>
        <w:rPr>
          <w:iCs/>
        </w:rPr>
      </w:pPr>
      <w:r>
        <w:t>[</w:t>
      </w:r>
      <w:r w:rsidR="008C3076">
        <w:t>12</w:t>
      </w:r>
      <w:r>
        <w:t>]</w:t>
      </w:r>
      <w:r w:rsidR="00264C4B">
        <w:t> </w:t>
      </w:r>
      <w:r w:rsidR="00E53748">
        <w:rPr>
          <w:iCs/>
        </w:rPr>
        <w:t xml:space="preserve">Šajā sakarā </w:t>
      </w:r>
      <w:r w:rsidR="00FA73A3">
        <w:rPr>
          <w:iCs/>
        </w:rPr>
        <w:t xml:space="preserve">Senāts </w:t>
      </w:r>
      <w:r w:rsidR="00264C4B">
        <w:rPr>
          <w:iCs/>
        </w:rPr>
        <w:t xml:space="preserve">arī </w:t>
      </w:r>
      <w:r w:rsidR="00FA73A3">
        <w:rPr>
          <w:iCs/>
        </w:rPr>
        <w:t>uzskata par pamatotu vērst pieteicējas uzmanību</w:t>
      </w:r>
      <w:r w:rsidR="00E53748">
        <w:rPr>
          <w:iCs/>
        </w:rPr>
        <w:t>, ka Administratīvā procesa likumā ir paredzēts speciāls institūts, ar kura palīdzību persona var noskaidrot kompetentās iestādes viedokli par to, kā konkrētajos faktiskajos apstākļos ir piemērojamas tiesību normas – proti, uzziņas institūts (</w:t>
      </w:r>
      <w:r w:rsidR="00E53748" w:rsidRPr="00E678DF">
        <w:rPr>
          <w:i/>
          <w:iCs/>
        </w:rPr>
        <w:t>Administratīvā procesa likuma 98.</w:t>
      </w:r>
      <w:r w:rsidR="00E53748" w:rsidRPr="00E678DF">
        <w:rPr>
          <w:bCs/>
          <w:i/>
        </w:rPr>
        <w:t>–101.pants</w:t>
      </w:r>
      <w:r w:rsidR="00E53748">
        <w:rPr>
          <w:bCs/>
        </w:rPr>
        <w:t>)</w:t>
      </w:r>
      <w:r w:rsidR="00851998">
        <w:rPr>
          <w:bCs/>
        </w:rPr>
        <w:t>.</w:t>
      </w:r>
      <w:r w:rsidR="00264C4B">
        <w:rPr>
          <w:bCs/>
        </w:rPr>
        <w:t xml:space="preserve"> </w:t>
      </w:r>
      <w:r w:rsidR="00A81613">
        <w:rPr>
          <w:bCs/>
        </w:rPr>
        <w:t xml:space="preserve">Tieši kompetentās iestādes sniegta uzziņa ir tas tiesību institūts, kuram </w:t>
      </w:r>
      <w:r w:rsidR="00CA3A36">
        <w:rPr>
          <w:bCs/>
        </w:rPr>
        <w:t>likumdevējs ir piešķīris visaugstāko aizsardzību tiesiskās paļāvības kontekstā</w:t>
      </w:r>
      <w:r w:rsidR="00A11F9B">
        <w:rPr>
          <w:bCs/>
        </w:rPr>
        <w:t xml:space="preserve">. Proti, likumdevējs paredzējis, ka </w:t>
      </w:r>
      <w:r w:rsidR="00A81613">
        <w:rPr>
          <w:bCs/>
        </w:rPr>
        <w:t xml:space="preserve">uzziņa </w:t>
      </w:r>
      <w:r w:rsidR="00A11F9B">
        <w:rPr>
          <w:bCs/>
        </w:rPr>
        <w:t>personai garantē drošību, ka tās paļāvība uz iestādes izteikumu ir aizsargājama,</w:t>
      </w:r>
      <w:r w:rsidR="00DF4126">
        <w:rPr>
          <w:bCs/>
        </w:rPr>
        <w:t xml:space="preserve"> un, kuru saņemot, persona var plānot savu rīcību, nebaidoties, vai ir pa</w:t>
      </w:r>
      <w:r w:rsidR="00B63B06">
        <w:rPr>
          <w:bCs/>
        </w:rPr>
        <w:t>reizi sapratusi tiesību normas</w:t>
      </w:r>
      <w:r w:rsidR="007B351F">
        <w:rPr>
          <w:bCs/>
        </w:rPr>
        <w:t xml:space="preserve">. Savukārt tad, ja persona izvēlas </w:t>
      </w:r>
      <w:r w:rsidR="00DA4063">
        <w:rPr>
          <w:bCs/>
        </w:rPr>
        <w:t>savas</w:t>
      </w:r>
      <w:r w:rsidR="007B351F">
        <w:rPr>
          <w:bCs/>
        </w:rPr>
        <w:t xml:space="preserve"> tiesības uz uzziņu neizmantot, tai</w:t>
      </w:r>
      <w:r w:rsidR="00331A43">
        <w:rPr>
          <w:bCs/>
        </w:rPr>
        <w:t xml:space="preserve"> ir jārēķinās, ka strīda gadījumā tās paļāvība uz iestādes sniegtu izteikumu var arī netikt atzīta</w:t>
      </w:r>
      <w:r w:rsidR="00DA4063">
        <w:rPr>
          <w:bCs/>
        </w:rPr>
        <w:t xml:space="preserve"> kā pamatota</w:t>
      </w:r>
      <w:r w:rsidR="00B63B06">
        <w:rPr>
          <w:bCs/>
        </w:rPr>
        <w:t xml:space="preserve"> </w:t>
      </w:r>
      <w:r w:rsidR="00DA4EF3">
        <w:rPr>
          <w:bCs/>
        </w:rPr>
        <w:t>(</w:t>
      </w:r>
      <w:bookmarkStart w:id="3" w:name="_Hlk60134526"/>
      <w:r w:rsidR="00DA4EF3" w:rsidRPr="00564FC5">
        <w:rPr>
          <w:bCs/>
          <w:i/>
        </w:rPr>
        <w:t xml:space="preserve">Senāta 2020.gada 14.jūlija sprieduma lietā Nr. SKA-278/2020 (ECLI:LV:AT:2020:0714.A420355016.8.S) </w:t>
      </w:r>
      <w:bookmarkEnd w:id="3"/>
      <w:r w:rsidR="00DA4EF3" w:rsidRPr="00564FC5">
        <w:rPr>
          <w:bCs/>
          <w:i/>
        </w:rPr>
        <w:t>13.</w:t>
      </w:r>
      <w:r w:rsidR="00873C18">
        <w:rPr>
          <w:iCs/>
        </w:rPr>
        <w:t xml:space="preserve">, </w:t>
      </w:r>
      <w:r w:rsidR="00B63B06">
        <w:rPr>
          <w:i/>
          <w:iCs/>
        </w:rPr>
        <w:t>14.</w:t>
      </w:r>
      <w:r w:rsidR="00873C18">
        <w:rPr>
          <w:i/>
          <w:iCs/>
        </w:rPr>
        <w:t xml:space="preserve"> un 17.</w:t>
      </w:r>
      <w:r w:rsidR="00564FC5" w:rsidRPr="00564FC5">
        <w:rPr>
          <w:i/>
          <w:iCs/>
        </w:rPr>
        <w:t>punkt</w:t>
      </w:r>
      <w:r w:rsidR="00BD4491">
        <w:rPr>
          <w:i/>
          <w:iCs/>
        </w:rPr>
        <w:t>s</w:t>
      </w:r>
      <w:r w:rsidR="00873C18">
        <w:rPr>
          <w:i/>
          <w:iCs/>
        </w:rPr>
        <w:t>,</w:t>
      </w:r>
      <w:r w:rsidR="00DA4EF3" w:rsidRPr="00564FC5">
        <w:rPr>
          <w:i/>
          <w:iCs/>
        </w:rPr>
        <w:t xml:space="preserve"> un </w:t>
      </w:r>
      <w:r w:rsidR="00873C18">
        <w:rPr>
          <w:i/>
          <w:iCs/>
        </w:rPr>
        <w:t>taj</w:t>
      </w:r>
      <w:r w:rsidR="00BD4491">
        <w:rPr>
          <w:i/>
          <w:iCs/>
        </w:rPr>
        <w:t>ā</w:t>
      </w:r>
      <w:r w:rsidR="00564FC5" w:rsidRPr="00564FC5">
        <w:rPr>
          <w:i/>
          <w:iCs/>
        </w:rPr>
        <w:t xml:space="preserve"> norādīt</w:t>
      </w:r>
      <w:r w:rsidR="00BD4491">
        <w:rPr>
          <w:i/>
          <w:iCs/>
        </w:rPr>
        <w:t>ā</w:t>
      </w:r>
      <w:r w:rsidR="00564FC5" w:rsidRPr="00564FC5">
        <w:rPr>
          <w:i/>
          <w:iCs/>
        </w:rPr>
        <w:t xml:space="preserve"> judikatūr</w:t>
      </w:r>
      <w:r w:rsidR="00BD4491">
        <w:rPr>
          <w:i/>
          <w:iCs/>
        </w:rPr>
        <w:t>a</w:t>
      </w:r>
      <w:r w:rsidR="00564FC5" w:rsidRPr="00564FC5">
        <w:rPr>
          <w:i/>
          <w:iCs/>
        </w:rPr>
        <w:t xml:space="preserve"> un tiesību doktrīn</w:t>
      </w:r>
      <w:r w:rsidR="00BD4491">
        <w:rPr>
          <w:i/>
          <w:iCs/>
        </w:rPr>
        <w:t>a</w:t>
      </w:r>
      <w:r w:rsidR="00564FC5">
        <w:rPr>
          <w:iCs/>
        </w:rPr>
        <w:t>).</w:t>
      </w:r>
    </w:p>
    <w:p w14:paraId="14099CCF" w14:textId="46C452A3" w:rsidR="00331A43" w:rsidRDefault="00331A43" w:rsidP="00666504">
      <w:pPr>
        <w:pStyle w:val="ATpamattesksts"/>
      </w:pPr>
      <w:r>
        <w:rPr>
          <w:iCs/>
        </w:rPr>
        <w:t xml:space="preserve">Kā redzams no Administratīvā procesa likuma </w:t>
      </w:r>
      <w:proofErr w:type="gramStart"/>
      <w:r>
        <w:rPr>
          <w:iCs/>
        </w:rPr>
        <w:t>98.panta</w:t>
      </w:r>
      <w:proofErr w:type="gramEnd"/>
      <w:r>
        <w:rPr>
          <w:iCs/>
        </w:rPr>
        <w:t xml:space="preserve"> trešās daļas 2.punkta un 100.panta 5.punkta, būtiska uzziņas raksturojošā pazīme ir konkrētība – proti, personai iesniegumā par uzziņu ir jānorāda </w:t>
      </w:r>
      <w:r w:rsidRPr="009B7A6B">
        <w:rPr>
          <w:iCs/>
        </w:rPr>
        <w:t xml:space="preserve">konkrēts </w:t>
      </w:r>
      <w:r>
        <w:rPr>
          <w:iCs/>
        </w:rPr>
        <w:t xml:space="preserve">jautājums, atbilde uz kuru ir atkarīga no </w:t>
      </w:r>
      <w:r w:rsidR="00DC7C8D">
        <w:rPr>
          <w:iCs/>
        </w:rPr>
        <w:t xml:space="preserve">personas aprakstīto faktu juridiska vērtējuma, </w:t>
      </w:r>
      <w:r w:rsidR="003F2A80">
        <w:rPr>
          <w:iCs/>
        </w:rPr>
        <w:t>bet</w:t>
      </w:r>
      <w:r w:rsidR="00DC7C8D">
        <w:rPr>
          <w:iCs/>
        </w:rPr>
        <w:t xml:space="preserve"> iestādei uzziņā ir jāietver atbilde uz šo jautājumu.</w:t>
      </w:r>
      <w:r w:rsidR="003F2A80">
        <w:rPr>
          <w:iCs/>
        </w:rPr>
        <w:t xml:space="preserve"> </w:t>
      </w:r>
      <w:r w:rsidR="006664DC">
        <w:rPr>
          <w:iCs/>
        </w:rPr>
        <w:t xml:space="preserve">Šis princips ir attiecināms arī </w:t>
      </w:r>
      <w:r w:rsidR="004C4CA8">
        <w:rPr>
          <w:iCs/>
        </w:rPr>
        <w:t>gadījumiem, kad iest</w:t>
      </w:r>
      <w:r w:rsidR="009B7A6B">
        <w:rPr>
          <w:iCs/>
        </w:rPr>
        <w:t>āde</w:t>
      </w:r>
      <w:r w:rsidR="004C4CA8">
        <w:rPr>
          <w:iCs/>
        </w:rPr>
        <w:t xml:space="preserve"> </w:t>
      </w:r>
      <w:r w:rsidR="009B7A6B">
        <w:rPr>
          <w:iCs/>
        </w:rPr>
        <w:t xml:space="preserve">izteikumu, kas </w:t>
      </w:r>
      <w:r w:rsidR="004C4CA8">
        <w:rPr>
          <w:iCs/>
        </w:rPr>
        <w:t>personā modināj</w:t>
      </w:r>
      <w:r w:rsidR="009B7A6B">
        <w:rPr>
          <w:iCs/>
        </w:rPr>
        <w:t xml:space="preserve">is </w:t>
      </w:r>
      <w:r w:rsidR="004C4CA8">
        <w:rPr>
          <w:iCs/>
        </w:rPr>
        <w:t>pamatotas cerības uz kādām tiesībām vai citu leģitīmu pozīciju</w:t>
      </w:r>
      <w:r w:rsidR="009B7A6B">
        <w:rPr>
          <w:iCs/>
        </w:rPr>
        <w:t>, sniegusi</w:t>
      </w:r>
      <w:r w:rsidR="004C4CA8">
        <w:rPr>
          <w:iCs/>
        </w:rPr>
        <w:t xml:space="preserve"> ne tikai uzziņas, bet arī kādā citā formā. Proti, jo konkrētāku jautājumu persona uzdod iestādei un jo konkrētu atbildi personai sniedz iestāde, jo vairāk ir </w:t>
      </w:r>
      <w:r w:rsidR="009B7A6B">
        <w:rPr>
          <w:iCs/>
        </w:rPr>
        <w:t>aizsargājama</w:t>
      </w:r>
      <w:r w:rsidR="004C4CA8">
        <w:rPr>
          <w:iCs/>
        </w:rPr>
        <w:t xml:space="preserve"> personas paļāvība uz iestādes doto apsolījumu par konkrētu tiesisko seku iestāšanos nākotnē.</w:t>
      </w:r>
      <w:r w:rsidR="00456C42">
        <w:rPr>
          <w:iCs/>
        </w:rPr>
        <w:t xml:space="preserve"> Izskatāmajā situācijā</w:t>
      </w:r>
      <w:r w:rsidR="007A2EE1">
        <w:rPr>
          <w:iCs/>
        </w:rPr>
        <w:t xml:space="preserve">, kā jau minēts, ne </w:t>
      </w:r>
      <w:r w:rsidR="007A2EE1">
        <w:t>Latvijas Alternatīvo finanšu pakalpojumu asociācija, kuras biedre ir pieteicēja, ne arī pati pieteic</w:t>
      </w:r>
      <w:r w:rsidR="00DF7C8F">
        <w:t xml:space="preserve">ēja </w:t>
      </w:r>
      <w:r w:rsidR="007A2EE1">
        <w:t xml:space="preserve">nebija </w:t>
      </w:r>
      <w:r w:rsidR="00DC016F">
        <w:t>izvēlējušās vērsties</w:t>
      </w:r>
      <w:r w:rsidR="009B7A6B">
        <w:t xml:space="preserve"> Centrā</w:t>
      </w:r>
      <w:r w:rsidR="007A2EE1">
        <w:t xml:space="preserve"> ar konkrētu jautājumu par kredīta pagarināšanas izmaksu iekļaušanu kredīta kopējo izmaksu patērētājam aprēķinā</w:t>
      </w:r>
      <w:r w:rsidR="003204DC">
        <w:t xml:space="preserve">, kaut arī </w:t>
      </w:r>
      <w:r w:rsidR="00666504">
        <w:t xml:space="preserve">no pieteicējas kā pietiekami informētas komercprakses īstenotājas patērētāju kreditēšanas jomā (un asociācijas kā vairāku šādu komercprakses īstenotāju pārstāves) </w:t>
      </w:r>
      <w:r w:rsidR="003204DC">
        <w:t>būtu saprātīgi sagaidāma tieši šāda rīcība</w:t>
      </w:r>
      <w:r w:rsidR="00BC785C">
        <w:t>, ja komercprakses īstenotājiem par minēto jautājumu bija neskaidrības</w:t>
      </w:r>
      <w:r w:rsidR="003204DC">
        <w:t>.</w:t>
      </w:r>
      <w:r w:rsidR="009D547F">
        <w:t xml:space="preserve"> Izšķiroties </w:t>
      </w:r>
      <w:r w:rsidR="00DC016F">
        <w:t xml:space="preserve">neizmantot </w:t>
      </w:r>
      <w:r w:rsidR="009D547F">
        <w:t xml:space="preserve">pieejamos </w:t>
      </w:r>
      <w:r w:rsidR="00DC016F">
        <w:t>tiesiskos līdzekļus, lai saņemtu tādu Centra sniegtu skaidru izteikumu, kas pieteicējai nākotnē varētu radīt pamatotu paļāv</w:t>
      </w:r>
      <w:r w:rsidR="009D547F">
        <w:t>ību, pieteicējai bija jārēķinās ar tai iespējami nelabvēlīgām sekām.</w:t>
      </w:r>
    </w:p>
    <w:p w14:paraId="65A023B5" w14:textId="77777777" w:rsidR="009D547F" w:rsidRDefault="009D547F" w:rsidP="00A90A9F">
      <w:pPr>
        <w:pStyle w:val="ATpamattesksts"/>
      </w:pPr>
    </w:p>
    <w:p w14:paraId="224CCF24" w14:textId="5523085B" w:rsidR="00733CD3" w:rsidRDefault="000415FA" w:rsidP="00A90A9F">
      <w:pPr>
        <w:pStyle w:val="ATpamattesksts"/>
      </w:pPr>
      <w:r>
        <w:t>[</w:t>
      </w:r>
      <w:r w:rsidR="008C3076">
        <w:t>13</w:t>
      </w:r>
      <w:r>
        <w:t>]</w:t>
      </w:r>
      <w:r w:rsidR="00DF7C8F">
        <w:t xml:space="preserve"> Lietā nav strīda, ka skaidru </w:t>
      </w:r>
      <w:r w:rsidR="00DA4063">
        <w:t xml:space="preserve">izteikumu </w:t>
      </w:r>
      <w:r w:rsidR="00DF7C8F">
        <w:t xml:space="preserve">par to, ka </w:t>
      </w:r>
      <w:r w:rsidR="00C17EE8">
        <w:t>kredīta kopējās izmaksās patērētājam ir iekļaujamas arī kredīta pagarināšanas izmaksas</w:t>
      </w:r>
      <w:r w:rsidR="00510EA8">
        <w:t>,</w:t>
      </w:r>
      <w:r w:rsidR="00C17EE8">
        <w:t xml:space="preserve"> Centrs </w:t>
      </w:r>
      <w:r w:rsidR="008E5DA6">
        <w:t>pauda</w:t>
      </w:r>
      <w:r w:rsidR="00C17EE8">
        <w:t xml:space="preserve"> īsi pēc </w:t>
      </w:r>
      <w:proofErr w:type="gramStart"/>
      <w:r w:rsidR="00C17EE8">
        <w:t>2015.gada</w:t>
      </w:r>
      <w:proofErr w:type="gramEnd"/>
      <w:r w:rsidR="00C17EE8">
        <w:t xml:space="preserve"> 28.maijā pieņemto grozījumu Patērētāju tiesību aizsardzības likumā spēkā stāšanās – proti, 2016.gada </w:t>
      </w:r>
      <w:r w:rsidR="00C17EE8">
        <w:lastRenderedPageBreak/>
        <w:t>11.janvār</w:t>
      </w:r>
      <w:r w:rsidR="00D56024">
        <w:t>ī</w:t>
      </w:r>
      <w:r w:rsidR="00C17EE8">
        <w:t xml:space="preserve">, atbildot </w:t>
      </w:r>
      <w:r w:rsidR="00395BF4">
        <w:t xml:space="preserve">uz </w:t>
      </w:r>
      <w:r w:rsidR="00D56024">
        <w:t xml:space="preserve">Latvijas Alternatīvo finanšu pakalpojumu </w:t>
      </w:r>
      <w:r w:rsidR="00395BF4">
        <w:t xml:space="preserve">asociācijas 2015.gada </w:t>
      </w:r>
      <w:r w:rsidR="00510EA8">
        <w:t>9</w:t>
      </w:r>
      <w:r w:rsidR="00395BF4">
        <w:t>.decembra v</w:t>
      </w:r>
      <w:r w:rsidR="00C56AA1">
        <w:t>ēstuli</w:t>
      </w:r>
      <w:r w:rsidR="00BC785C">
        <w:t>, kurā bija lūgts sniegt viedokli par asociācijas izstrādāto vadlīniju saturu (</w:t>
      </w:r>
      <w:r w:rsidR="00644FD8">
        <w:rPr>
          <w:i/>
        </w:rPr>
        <w:t>lietas 1.sēj. 55</w:t>
      </w:r>
      <w:r w:rsidR="00BC785C" w:rsidRPr="00E809ED">
        <w:rPr>
          <w:i/>
        </w:rPr>
        <w:t>.lp.</w:t>
      </w:r>
      <w:r w:rsidR="00BC785C">
        <w:t>)</w:t>
      </w:r>
      <w:r w:rsidR="00733CD3">
        <w:t>.</w:t>
      </w:r>
    </w:p>
    <w:p w14:paraId="0AA73815" w14:textId="0E2CCDEA" w:rsidR="009D547F" w:rsidRDefault="00C56AA1" w:rsidP="00A90A9F">
      <w:pPr>
        <w:pStyle w:val="ATpamattesksts"/>
      </w:pPr>
      <w:r>
        <w:t xml:space="preserve">Tomēr pieteicēja </w:t>
      </w:r>
      <w:r w:rsidR="00CB379F">
        <w:t>argument</w:t>
      </w:r>
      <w:r w:rsidR="00631496">
        <w:t>ē, ka no minētās vēstules sagatavošanas brīža līdz pārsūdzētā lēmuma pieņemšanas brīdim</w:t>
      </w:r>
      <w:r>
        <w:t xml:space="preserve"> </w:t>
      </w:r>
      <w:r w:rsidR="00631496">
        <w:t>Centrs vēl vairākas reizes mainīja viedokli par to, kā ir aprēķināmi</w:t>
      </w:r>
      <w:r w:rsidR="00B165E7">
        <w:t xml:space="preserve"> kredīta kopējo izmaksu ierobežojumi kredīta pagarināšanas gadījumā. Minētā iemesla dēļ pieteicēja objektīvi neesot varējusi nodrošināt izmaiņu </w:t>
      </w:r>
      <w:r w:rsidR="00F46868">
        <w:t>izdarīšanu</w:t>
      </w:r>
      <w:r w:rsidR="00B165E7">
        <w:t xml:space="preserve"> tās informācijas tehnoloģiju sistēmās un tipveida līgumos, apmācīt darbiniekus, kā arī </w:t>
      </w:r>
      <w:r w:rsidR="008E5DA6">
        <w:t xml:space="preserve">veikt </w:t>
      </w:r>
      <w:r w:rsidR="00B165E7">
        <w:t>citas nepieciešamās darbības</w:t>
      </w:r>
      <w:r w:rsidR="006D3118">
        <w:t xml:space="preserve">, lai patērētājiem piedāvātu tādus kreditēšanas līgumus, kādus par pareiziem uzskata Centrs, jo šādu izmaiņu </w:t>
      </w:r>
      <w:r w:rsidR="00F46868">
        <w:t>izdarīšanai</w:t>
      </w:r>
      <w:r w:rsidR="006D3118">
        <w:t xml:space="preserve"> </w:t>
      </w:r>
      <w:r w:rsidR="002C5BF8">
        <w:t xml:space="preserve">pēc katras Centra viedokļa maiņas </w:t>
      </w:r>
      <w:r w:rsidR="006D3118">
        <w:t>esot nepieciešams laiks.</w:t>
      </w:r>
    </w:p>
    <w:p w14:paraId="0DE71FDE" w14:textId="246F9E9B" w:rsidR="00A10316" w:rsidRDefault="00692FF9" w:rsidP="00A90A9F">
      <w:pPr>
        <w:pStyle w:val="ATpamattesksts"/>
      </w:pPr>
      <w:r>
        <w:t xml:space="preserve">Senāts </w:t>
      </w:r>
      <w:r w:rsidR="00644FD8">
        <w:t>piekrīt apgabaltiesai</w:t>
      </w:r>
      <w:r>
        <w:t xml:space="preserve">, ka minētie argumenti nav tādi, kas pamatotu, ka Centrs </w:t>
      </w:r>
      <w:r w:rsidR="00A820B6">
        <w:t xml:space="preserve">dažādos laika periodos </w:t>
      </w:r>
      <w:r>
        <w:t>bija paudis neskaidru</w:t>
      </w:r>
      <w:r w:rsidR="0066084C">
        <w:t xml:space="preserve"> vai savstarpēji pretrunīgu</w:t>
      </w:r>
      <w:r>
        <w:t xml:space="preserve"> viedokli par to, vai kredīta kopējās izmaksās patērētājam ir vai nav iekļaujamas kredīta pagarināšanas izmaksas. </w:t>
      </w:r>
      <w:r w:rsidR="007F1A58">
        <w:t xml:space="preserve">No </w:t>
      </w:r>
      <w:proofErr w:type="gramStart"/>
      <w:r w:rsidR="007F1A58">
        <w:t>2016.gada</w:t>
      </w:r>
      <w:proofErr w:type="gramEnd"/>
      <w:r w:rsidR="007F1A58">
        <w:t xml:space="preserve"> 11.janvāra, kad Centrs vēstulē asociācijai norādīja, ka kredīta kopējās izmaksās patērētājam ir iekļaujamas kredīta pagarināšanas izmaksas, Centra viedoklis par minēto jautājumu ir bijis </w:t>
      </w:r>
      <w:r w:rsidR="00A820B6">
        <w:t xml:space="preserve">pilnībā </w:t>
      </w:r>
      <w:r w:rsidR="008062D3">
        <w:t>skaidrs</w:t>
      </w:r>
      <w:r w:rsidR="007F1A58">
        <w:t xml:space="preserve"> </w:t>
      </w:r>
      <w:r w:rsidR="00D31A63">
        <w:t xml:space="preserve">un no minētā brīža </w:t>
      </w:r>
      <w:r w:rsidR="0066084C">
        <w:t>nav main</w:t>
      </w:r>
      <w:r w:rsidR="002F465C">
        <w:t xml:space="preserve">ījies. </w:t>
      </w:r>
      <w:r w:rsidR="004E23C8">
        <w:t xml:space="preserve">Tas, ka laikā no </w:t>
      </w:r>
      <w:proofErr w:type="gramStart"/>
      <w:r w:rsidR="004E23C8">
        <w:t>2016.gada</w:t>
      </w:r>
      <w:proofErr w:type="gramEnd"/>
      <w:r w:rsidR="004E23C8">
        <w:t xml:space="preserve"> janvāra līdz 2017.gada februārim, kad tika pieņemts pārsūdzētais lēmums, Centrs dažādās vēstulēs un publiski pieejamos informācijas avotos bija norādījis atšķirīgus veidus, kā tieši ir aprēķināmi kredīta kopējo izmaksu ierobežojumi kredīta pagarināšanas gadījumā</w:t>
      </w:r>
      <w:r w:rsidR="0016033C">
        <w:t xml:space="preserve">, pats par sevi nenozīmē, ka pieteicēja varēja paļauties, ka netiks sodīta, ja kredīta kopējo izmaksu patērētājam aprēķinā vispār neiekļaus </w:t>
      </w:r>
      <w:r w:rsidR="00285CD9">
        <w:t>kredīta pagarināšanas izmaksas.</w:t>
      </w:r>
      <w:r w:rsidR="004C177A">
        <w:t xml:space="preserve"> </w:t>
      </w:r>
      <w:r w:rsidR="00217C42">
        <w:t>Šajā sakarā arī norādāms, ka kredīta pagarināšanas izmaksu noteik</w:t>
      </w:r>
      <w:r w:rsidR="00FE7CE4">
        <w:t xml:space="preserve">šana </w:t>
      </w:r>
      <w:r w:rsidR="00272722">
        <w:t>ietilpst tieši</w:t>
      </w:r>
      <w:r w:rsidR="00FE7CE4">
        <w:t xml:space="preserve"> pieteicējas kā komercsabiedrības, kas īsteno komercpraksi patērētāju kreditēšanas jomā, </w:t>
      </w:r>
      <w:r w:rsidR="00272722">
        <w:t xml:space="preserve">kompetencē. </w:t>
      </w:r>
      <w:r w:rsidR="008F4418">
        <w:t>Tāp</w:t>
      </w:r>
      <w:r w:rsidR="005611AF">
        <w:t xml:space="preserve">ēc </w:t>
      </w:r>
      <w:r w:rsidR="008F4418">
        <w:t>pieteicējai pastāv</w:t>
      </w:r>
      <w:r w:rsidR="0066610A">
        <w:t>ēja</w:t>
      </w:r>
      <w:r w:rsidR="008F4418">
        <w:t xml:space="preserve"> iespēja noteikt </w:t>
      </w:r>
      <w:r w:rsidR="00542158">
        <w:t xml:space="preserve">arī </w:t>
      </w:r>
      <w:r w:rsidR="008F4418">
        <w:t>tādas kredīta pagarināšanas izmaksas, kuras</w:t>
      </w:r>
      <w:r w:rsidR="0066610A">
        <w:t xml:space="preserve"> iekļaujot kredīta kopējo izmaksu patērētājam aprēķinā netiktu pārsniegts </w:t>
      </w:r>
      <w:r w:rsidR="005611AF">
        <w:t xml:space="preserve">pat </w:t>
      </w:r>
      <w:r w:rsidR="0066610A">
        <w:t>patērētājiem labvēlīgākais kredīta kopējo izmaksu ierobežojuma apmērs.</w:t>
      </w:r>
      <w:r w:rsidR="005611AF">
        <w:t xml:space="preserve"> Savukārt, ja pieteicēja šādas – savai komercdarbībai neizdevīgākas – kredīta pagarināšanas izmaksas</w:t>
      </w:r>
      <w:r w:rsidR="00747F05">
        <w:t xml:space="preserve"> nevēlējās noteikt, pieteicēja minētās izmaksas arī varēja noteikt, pamatojoties uz tādu kredīta kopējo izmaksu patērētājam aprēķina metodi, kādu uzskatīja par atbilstošāko tiesību normām, un risināt strīdu ar Centru tieši par šo jaut</w:t>
      </w:r>
      <w:r w:rsidR="00510EA8">
        <w:t xml:space="preserve">ājumu. </w:t>
      </w:r>
      <w:r w:rsidR="005D6C8E">
        <w:t>P</w:t>
      </w:r>
      <w:r w:rsidR="001824CC">
        <w:t>ieteicējas norādītie apsvērumi par nepieciešamību ieguldīt laiku un citus resursus, lai patērētājiem piedāvātu kreditēšanas līgumus ar tādām kredīta pagarināšanas izmaksām, kādas Centrs uzskatītu</w:t>
      </w:r>
      <w:r w:rsidR="000D5802">
        <w:t xml:space="preserve"> par atbilstošām tiesību normām, </w:t>
      </w:r>
      <w:r w:rsidR="00A10316">
        <w:t xml:space="preserve">paši par sevi </w:t>
      </w:r>
      <w:r w:rsidR="000D5802">
        <w:t xml:space="preserve">nepamato, kāpēc </w:t>
      </w:r>
      <w:r w:rsidR="00A10316">
        <w:t xml:space="preserve">pieteicēja pēc 2015.gada 28.maija grozījumu Patērētāju tiesību aizsardzības likumā </w:t>
      </w:r>
      <w:r w:rsidR="00E214E6">
        <w:t xml:space="preserve">spēkā stāšanās </w:t>
      </w:r>
      <w:r w:rsidR="00A10316">
        <w:t xml:space="preserve">ieņēma pasīvu pozīciju, kredīta pagarināšanas izmaksas vispār neiekļaujot kredīta kopējo izmaksu </w:t>
      </w:r>
      <w:r w:rsidR="00E214E6">
        <w:t xml:space="preserve">patērētājam </w:t>
      </w:r>
      <w:r w:rsidR="00A10316">
        <w:t>aprēķinā.</w:t>
      </w:r>
    </w:p>
    <w:p w14:paraId="7FD2EAA1" w14:textId="77777777" w:rsidR="005B696B" w:rsidRDefault="005B696B" w:rsidP="00A90A9F">
      <w:pPr>
        <w:pStyle w:val="ATpamattesksts"/>
      </w:pPr>
    </w:p>
    <w:p w14:paraId="59802490" w14:textId="651417D9" w:rsidR="005B696B" w:rsidRDefault="005B696B" w:rsidP="00A90A9F">
      <w:pPr>
        <w:pStyle w:val="ATpamattesksts"/>
      </w:pPr>
      <w:r>
        <w:t>[</w:t>
      </w:r>
      <w:r w:rsidR="008C3076">
        <w:t>14</w:t>
      </w:r>
      <w:r>
        <w:t xml:space="preserve">] Senāts nekonstatē arī citus apstākļus, kuru dēļ būtu pamats secināt, ka pārsūdzētā lēmuma pieņemšanas brīdī Patērētāju tiesību aizsardzības likuma normas nebija pietiekami skaidras, lai pieteicējai </w:t>
      </w:r>
      <w:r w:rsidR="00AA1C0C">
        <w:t xml:space="preserve">piemērotu soda naudu par minētā likuma </w:t>
      </w:r>
      <w:proofErr w:type="gramStart"/>
      <w:r w:rsidR="00AA1C0C">
        <w:t>8.panta</w:t>
      </w:r>
      <w:proofErr w:type="gramEnd"/>
      <w:r w:rsidR="00AA1C0C">
        <w:t xml:space="preserve"> 2.</w:t>
      </w:r>
      <w:r w:rsidR="00AA1C0C" w:rsidRPr="00AA1C0C">
        <w:rPr>
          <w:vertAlign w:val="superscript"/>
        </w:rPr>
        <w:t>3</w:t>
      </w:r>
      <w:r w:rsidR="00AA1C0C">
        <w:t>daļai neatbilstošu rīcību saistībā ar kredīta pagarināšanas izmaksu noteikšanu patērētājiem.</w:t>
      </w:r>
    </w:p>
    <w:p w14:paraId="084B6F47" w14:textId="37E72562" w:rsidR="00F46868" w:rsidRDefault="00B31B69" w:rsidP="00F46868">
      <w:pPr>
        <w:pStyle w:val="ATpamattesksts"/>
      </w:pPr>
      <w:r>
        <w:t>Pieteicēja kasācijas sūdzībā pamatoti norādījusi, ka</w:t>
      </w:r>
      <w:r w:rsidR="00622032">
        <w:t xml:space="preserve"> atbilstoši Latvijas Republikas Satversmes </w:t>
      </w:r>
      <w:proofErr w:type="gramStart"/>
      <w:r w:rsidR="00622032">
        <w:t>90.pantā</w:t>
      </w:r>
      <w:proofErr w:type="gramEnd"/>
      <w:r w:rsidR="00622032">
        <w:t xml:space="preserve"> ietvertajiem tiesību normu kvalitātes kritērijiem</w:t>
      </w:r>
      <w:r w:rsidR="00D9327F">
        <w:t xml:space="preserve"> </w:t>
      </w:r>
      <w:r>
        <w:t xml:space="preserve">ikvienai tiesību normai jābūt pieejamai, kā arī pietiekami skaidrai un paredzamai (piemēram, </w:t>
      </w:r>
      <w:bookmarkStart w:id="4" w:name="_Hlk60134495"/>
      <w:r w:rsidRPr="00D9327F">
        <w:rPr>
          <w:i/>
        </w:rPr>
        <w:t>Satversmes tiesas 2006.gada 20.decembra sprieduma lietā Nr. 2006-12-01 16.punkt</w:t>
      </w:r>
      <w:r w:rsidR="00F46868">
        <w:rPr>
          <w:i/>
        </w:rPr>
        <w:t>s</w:t>
      </w:r>
      <w:r w:rsidRPr="00D9327F">
        <w:rPr>
          <w:i/>
        </w:rPr>
        <w:t xml:space="preserve">, 2011.gada 30.marta sprieduma </w:t>
      </w:r>
      <w:r w:rsidR="00351DA1">
        <w:rPr>
          <w:i/>
        </w:rPr>
        <w:t>lietā Nr. 2010-60-01 15.2.punkt</w:t>
      </w:r>
      <w:r w:rsidR="00F46868">
        <w:rPr>
          <w:i/>
        </w:rPr>
        <w:t>s</w:t>
      </w:r>
      <w:r w:rsidRPr="00D9327F">
        <w:rPr>
          <w:i/>
        </w:rPr>
        <w:t xml:space="preserve">, </w:t>
      </w:r>
      <w:r w:rsidR="006150C8" w:rsidRPr="00D9327F">
        <w:rPr>
          <w:i/>
        </w:rPr>
        <w:t>2019.gada 21.februāra sprieduma lietā Nr. 2018-10-0103</w:t>
      </w:r>
      <w:bookmarkEnd w:id="4"/>
      <w:r w:rsidR="006150C8" w:rsidRPr="00D9327F">
        <w:rPr>
          <w:i/>
        </w:rPr>
        <w:t xml:space="preserve"> </w:t>
      </w:r>
      <w:r w:rsidR="00351DA1">
        <w:rPr>
          <w:i/>
        </w:rPr>
        <w:t>13.1.punkt</w:t>
      </w:r>
      <w:r w:rsidR="00F46868">
        <w:rPr>
          <w:i/>
        </w:rPr>
        <w:t>s</w:t>
      </w:r>
      <w:r w:rsidR="006150C8">
        <w:t>)</w:t>
      </w:r>
      <w:r w:rsidR="00A2738C">
        <w:t>.</w:t>
      </w:r>
      <w:r w:rsidR="006C13AC">
        <w:t xml:space="preserve"> Tomēr jāņem vērā, ka tiesību normas skaidrība un paredzamība ir </w:t>
      </w:r>
      <w:r w:rsidR="006C13AC">
        <w:lastRenderedPageBreak/>
        <w:t xml:space="preserve">vērtējama, pamatojoties uz šīs normas interpretāciju. Proti, tiesību norma </w:t>
      </w:r>
      <w:r w:rsidR="00F46868">
        <w:t xml:space="preserve">pamatā </w:t>
      </w:r>
      <w:r w:rsidR="006C13AC">
        <w:t xml:space="preserve">atzīstama par neskaidru tad, ja ar interpretācijas metožu palīdzību nav iespējams noskaidrot tās patieso jēgu (piemēram, </w:t>
      </w:r>
      <w:bookmarkStart w:id="5" w:name="_Hlk60134481"/>
      <w:r w:rsidR="006C13AC" w:rsidRPr="006C13AC">
        <w:rPr>
          <w:i/>
        </w:rPr>
        <w:t>Satversmes tiesas</w:t>
      </w:r>
      <w:r w:rsidR="006C13AC">
        <w:t xml:space="preserve"> </w:t>
      </w:r>
      <w:r w:rsidR="006C13AC" w:rsidRPr="00D9327F">
        <w:rPr>
          <w:i/>
        </w:rPr>
        <w:t xml:space="preserve">2011.gada 30.marta sprieduma </w:t>
      </w:r>
      <w:r w:rsidR="00CD2EDD">
        <w:rPr>
          <w:i/>
        </w:rPr>
        <w:t>lietā Nr. 2010-60-01 15.2.punkt</w:t>
      </w:r>
      <w:r w:rsidR="00F46868">
        <w:rPr>
          <w:i/>
        </w:rPr>
        <w:t>s</w:t>
      </w:r>
      <w:r w:rsidR="006C13AC" w:rsidRPr="00D9327F">
        <w:rPr>
          <w:i/>
        </w:rPr>
        <w:t>, 2019.gada 21.februāra sprieduma li</w:t>
      </w:r>
      <w:r w:rsidR="00CD2EDD">
        <w:rPr>
          <w:i/>
        </w:rPr>
        <w:t xml:space="preserve">etā Nr. 2018-10-0103 </w:t>
      </w:r>
      <w:bookmarkEnd w:id="5"/>
      <w:r w:rsidR="00CD2EDD">
        <w:rPr>
          <w:i/>
        </w:rPr>
        <w:t>13.1.punkt</w:t>
      </w:r>
      <w:r w:rsidR="00F46868">
        <w:rPr>
          <w:i/>
        </w:rPr>
        <w:t>s</w:t>
      </w:r>
      <w:r w:rsidR="006C13AC">
        <w:t>).</w:t>
      </w:r>
      <w:r w:rsidR="00E75143">
        <w:t xml:space="preserve"> Tas acīmredzami nav izskatāmais gadījums, jo </w:t>
      </w:r>
      <w:r w:rsidR="00A5184C">
        <w:t>Eiropas Savienības Tiesa spriedumā lietā Nr. C-686/19, izmantojot interpretācijas metodes, ir noskaidrojusi Direktīvā 2008/48/EK ietvertā jēdziena „kredīta kopējās izmaksas patērētājam” saturu</w:t>
      </w:r>
      <w:r w:rsidR="004E4494">
        <w:t xml:space="preserve"> (kas atbilstoši minētajai direktīvai ieviests arī Patērētāju tiesību aizsardzības likumā)</w:t>
      </w:r>
      <w:r w:rsidR="00A5184C">
        <w:t xml:space="preserve">, atzīstot, ka tas </w:t>
      </w:r>
      <w:proofErr w:type="spellStart"/>
      <w:r w:rsidR="00870F81">
        <w:t>citstarp</w:t>
      </w:r>
      <w:proofErr w:type="spellEnd"/>
      <w:r w:rsidR="00870F81">
        <w:t xml:space="preserve"> aptver</w:t>
      </w:r>
      <w:r w:rsidR="00A5184C">
        <w:t xml:space="preserve"> kredīta pagarinā</w:t>
      </w:r>
      <w:r w:rsidR="00AA5D32">
        <w:t>šanas izmaksas.</w:t>
      </w:r>
      <w:r w:rsidR="00037C46">
        <w:t xml:space="preserve"> Šajā sakarā par nepamatotu atzīstams arī pieteicējas viedoklis, ka pretējs secinājums – proti, ka kredīta kopējās izmaksās patērētājam tomēr nav iekļaujamas kredīta pagarināšanas izmaksas</w:t>
      </w:r>
      <w:r w:rsidR="00F5507F">
        <w:t xml:space="preserve"> – </w:t>
      </w:r>
      <w:r w:rsidR="00037C46">
        <w:t>izrietēja no Eiropas Komisijas vadlīnijām Direktīvas 2008/48/EK piemērošanai</w:t>
      </w:r>
      <w:r w:rsidR="00F5507F">
        <w:t>, un tālab varēja pieteicējai radīt paļāvību par to, kā ir interpretējama Patērētāju tiesību aizsardzības likuma 8.panta 2.</w:t>
      </w:r>
      <w:r w:rsidR="00F5507F" w:rsidRPr="00F5507F">
        <w:rPr>
          <w:vertAlign w:val="superscript"/>
        </w:rPr>
        <w:t>3</w:t>
      </w:r>
      <w:r w:rsidR="00F5507F">
        <w:t>daļa</w:t>
      </w:r>
      <w:r w:rsidR="00037C46">
        <w:t xml:space="preserve">. </w:t>
      </w:r>
    </w:p>
    <w:p w14:paraId="76993355" w14:textId="77777777" w:rsidR="00F46868" w:rsidRDefault="00F46868" w:rsidP="00F46868">
      <w:pPr>
        <w:pStyle w:val="ATpamattesksts"/>
      </w:pPr>
      <w:bookmarkStart w:id="6" w:name="_Hlk60134471"/>
      <w:r>
        <w:t xml:space="preserve">Senāts lietā Nr. SKA-1006/2019 </w:t>
      </w:r>
      <w:bookmarkEnd w:id="6"/>
      <w:r>
        <w:t xml:space="preserve">nolēma uzdot prejudiciālos jautājumus Eiropas Savienības Tiesai </w:t>
      </w:r>
      <w:proofErr w:type="spellStart"/>
      <w:r>
        <w:t>citstarp</w:t>
      </w:r>
      <w:proofErr w:type="spellEnd"/>
      <w:r>
        <w:t xml:space="preserve"> tieši tāpēc, ka no minētajām vadlīnijām izriet, ka kredīta kopējās izmaksas patērētājam aptver arī kredīta pagarināšanas izmaksas, ko apstiprināja arī Eiropas Savienības Tiesa, atbildot uz prejudiciālo jautājumu.</w:t>
      </w:r>
    </w:p>
    <w:p w14:paraId="12746A4C" w14:textId="479607DE" w:rsidR="00564B05" w:rsidRDefault="00656933" w:rsidP="00564B05">
      <w:pPr>
        <w:pStyle w:val="ATpamattesksts"/>
      </w:pPr>
      <w:r>
        <w:t>Citādu secinājumu neliek izdarīt arī t</w:t>
      </w:r>
      <w:r w:rsidR="004E66C9">
        <w:t>as</w:t>
      </w:r>
      <w:r w:rsidR="00F12AA6">
        <w:t xml:space="preserve">, ka </w:t>
      </w:r>
      <w:r w:rsidR="001233BA">
        <w:t>jēdziena „kredīta kopējās izmaksas patērētājam” tvērums galīgi noskaidrots tikai izskatāmās lietas tiesvedības gaitā</w:t>
      </w:r>
      <w:r>
        <w:t xml:space="preserve">. </w:t>
      </w:r>
      <w:r w:rsidR="00F12AA6">
        <w:t>Kā atzinusi Satversmes tiesa, šaubas par definīcijas robežām pašas par sevi vēl nepadara attiecīgo jēdzienu par nesaprotamu un neskaidru, un tieši tiesas uzdevums ir interpretācijas ceļā šīs šaubas kliedēt</w:t>
      </w:r>
      <w:r w:rsidR="001233BA">
        <w:t xml:space="preserve"> (</w:t>
      </w:r>
      <w:bookmarkStart w:id="7" w:name="_Hlk60134465"/>
      <w:r w:rsidR="001233BA" w:rsidRPr="00603977">
        <w:rPr>
          <w:i/>
        </w:rPr>
        <w:t xml:space="preserve">Satversmes tiesas </w:t>
      </w:r>
      <w:proofErr w:type="gramStart"/>
      <w:r w:rsidR="001233BA" w:rsidRPr="00603977">
        <w:rPr>
          <w:i/>
        </w:rPr>
        <w:t>2008.gada</w:t>
      </w:r>
      <w:proofErr w:type="gramEnd"/>
      <w:r w:rsidR="001233BA" w:rsidRPr="00603977">
        <w:rPr>
          <w:i/>
        </w:rPr>
        <w:t xml:space="preserve"> 16.decembra sprieduma lietā Nr. </w:t>
      </w:r>
      <w:r w:rsidR="00603977" w:rsidRPr="00603977">
        <w:rPr>
          <w:i/>
        </w:rPr>
        <w:t xml:space="preserve">2008-09-0106 </w:t>
      </w:r>
      <w:bookmarkEnd w:id="7"/>
      <w:r w:rsidR="00603977" w:rsidRPr="00603977">
        <w:rPr>
          <w:i/>
        </w:rPr>
        <w:t>7.3.punkts</w:t>
      </w:r>
      <w:r w:rsidR="00603977">
        <w:t xml:space="preserve">). </w:t>
      </w:r>
      <w:r w:rsidR="00D92302">
        <w:t>Tālab tas, ka konkrēta jēdziena saturs galīgi tiek noskaidrots tiesā, pats par sevi neliecina par netipisku situāciju, kuras dēļ konkrēt</w:t>
      </w:r>
      <w:r w:rsidR="004E66C9">
        <w:t>ā</w:t>
      </w:r>
      <w:r w:rsidR="00D92302">
        <w:t xml:space="preserve"> jēdziena saturs pirms tiesvedības noslēgšan</w:t>
      </w:r>
      <w:r w:rsidR="00742476">
        <w:t>ās būtu atzīstams par neskaidru vai nesaprotamu.</w:t>
      </w:r>
    </w:p>
    <w:p w14:paraId="5619EACA" w14:textId="77777777" w:rsidR="00743CC7" w:rsidRDefault="00743CC7" w:rsidP="00564B05">
      <w:pPr>
        <w:pStyle w:val="ATpamattesksts"/>
      </w:pPr>
    </w:p>
    <w:p w14:paraId="4135B974" w14:textId="4EE3D8C4" w:rsidR="007A76CB" w:rsidRDefault="00564B05" w:rsidP="007A76CB">
      <w:pPr>
        <w:pStyle w:val="ATpamattesksts"/>
      </w:pPr>
      <w:r>
        <w:t>[</w:t>
      </w:r>
      <w:r w:rsidR="008C3076">
        <w:t>15</w:t>
      </w:r>
      <w:r>
        <w:t>] </w:t>
      </w:r>
      <w:r w:rsidR="007D11C3">
        <w:t xml:space="preserve">Pieteicēja kasācijas sūdzībā </w:t>
      </w:r>
      <w:r w:rsidR="00645E69">
        <w:t xml:space="preserve">arī nepiekrīt apgabaltiesas </w:t>
      </w:r>
      <w:r w:rsidR="00C32DDB">
        <w:t>secinājumam</w:t>
      </w:r>
      <w:r w:rsidR="00645E69">
        <w:t xml:space="preserve">, ka pieteicēja, piedāvājot patērētājiem kreditēšanas līgumus ar Patērētāju tiesību aizsardzības likuma </w:t>
      </w:r>
      <w:proofErr w:type="gramStart"/>
      <w:r w:rsidR="00645E69">
        <w:t>8.panta</w:t>
      </w:r>
      <w:proofErr w:type="gramEnd"/>
      <w:r w:rsidR="00645E69">
        <w:t xml:space="preserve"> 2.</w:t>
      </w:r>
      <w:r w:rsidR="00645E69" w:rsidRPr="00AA15D5">
        <w:rPr>
          <w:vertAlign w:val="superscript"/>
        </w:rPr>
        <w:t>3</w:t>
      </w:r>
      <w:r w:rsidR="00645E69">
        <w:t>daļai neatbil</w:t>
      </w:r>
      <w:r w:rsidR="0079332C">
        <w:t xml:space="preserve">stošām kredīta kopējām izmaksām </w:t>
      </w:r>
      <w:r w:rsidR="00645E69">
        <w:t>patērētājam, ir īstenojusi profesionālajai rūpībai neatbilstošu komercpraksi, kas būtiski negatīvi ietekmējusi patērētāju ekonomisko rīcību.</w:t>
      </w:r>
    </w:p>
    <w:p w14:paraId="06FC76B3" w14:textId="12C3D505" w:rsidR="0079332C" w:rsidRDefault="00054DD9" w:rsidP="004716D8">
      <w:pPr>
        <w:pStyle w:val="ATpamattesksts"/>
      </w:pPr>
      <w:r>
        <w:t xml:space="preserve">Pieteicēja </w:t>
      </w:r>
      <w:r w:rsidR="008D3693">
        <w:t>norāda</w:t>
      </w:r>
      <w:r>
        <w:t xml:space="preserve">, ka tiesa, atzīstot </w:t>
      </w:r>
      <w:r w:rsidR="00F46868">
        <w:t xml:space="preserve">tās </w:t>
      </w:r>
      <w:r>
        <w:t>komercpraksi par</w:t>
      </w:r>
      <w:r w:rsidR="00A3787D">
        <w:t xml:space="preserve"> neatbilstošu</w:t>
      </w:r>
      <w:r>
        <w:t xml:space="preserve"> profesionālajai rūpībai, neesot ņēmusi vērā pieteicējas ilgstošos centienus ar Latvijas Alternatīvo finanšu pakalpojumu asociācijas starpniecību noskaidrot Centra un Ekonomikas ministrijas </w:t>
      </w:r>
      <w:r w:rsidR="00F46868">
        <w:t xml:space="preserve">viedokli </w:t>
      </w:r>
      <w:r>
        <w:t xml:space="preserve">jautājumā par Patērētāju tiesību aizsardzības likuma </w:t>
      </w:r>
      <w:proofErr w:type="gramStart"/>
      <w:r>
        <w:t>8.panta</w:t>
      </w:r>
      <w:proofErr w:type="gramEnd"/>
      <w:r>
        <w:t xml:space="preserve"> 2.</w:t>
      </w:r>
      <w:r w:rsidRPr="004E1869">
        <w:rPr>
          <w:vertAlign w:val="superscript"/>
        </w:rPr>
        <w:t>3</w:t>
      </w:r>
      <w:r>
        <w:t>daļas piemērošanu attiecībā uz kredīta pagarināšanas izmaksām.</w:t>
      </w:r>
      <w:r w:rsidR="0079332C">
        <w:t xml:space="preserve"> Tomēr Senāts jau iepriekš šajā spriedumā atzina, ka jau sākot no </w:t>
      </w:r>
      <w:proofErr w:type="gramStart"/>
      <w:r w:rsidR="0079332C">
        <w:t>2016.gada</w:t>
      </w:r>
      <w:proofErr w:type="gramEnd"/>
      <w:r w:rsidR="0079332C">
        <w:t xml:space="preserve"> janvāra Centrs bija paudis skaidru un konsekventu viedokli par minētajā tiesību normā lietotā jēdziena „kredīta kopējās izmaksas patērētājam” tvērumu, proti, to, ka </w:t>
      </w:r>
      <w:r w:rsidR="00B72031">
        <w:t>minētais jēdziens</w:t>
      </w:r>
      <w:r w:rsidR="0079332C">
        <w:t xml:space="preserve"> aptver arī kredīta pagarināšanas izmaksas. </w:t>
      </w:r>
      <w:r w:rsidR="00F14107">
        <w:t>Savukārt tas, ka līdz pārsūdzētā lēmuma pieņemšanas brīdim vēl saglabājās zināmas neskaidrības par to, kā tieši ir aprēķināmas kredīta kopējās izmaksas patērētājam kredīta pagarināšanas gadījumā, pats par sevi nenozīmē, ka par atbilstošu būtu atzīstama pieteicējas rīcība, kredīta kopējo izmaksu patērētājam aprēķinā vispār neiekļaujot kredīta pagarināšanas izmaksas. Šāda pieteicējas rīcība</w:t>
      </w:r>
      <w:r w:rsidR="00B72031">
        <w:t xml:space="preserve"> acīmredzami neliecina par tādu rūpību,</w:t>
      </w:r>
      <w:r w:rsidR="004716D8">
        <w:t xml:space="preserve"> </w:t>
      </w:r>
      <w:r w:rsidR="00B72031">
        <w:t>ko no patērētāju kreditēšanas nozares profesionāļa</w:t>
      </w:r>
      <w:r w:rsidR="0024654F">
        <w:t xml:space="preserve"> </w:t>
      </w:r>
      <w:r w:rsidR="000A6F1A">
        <w:t xml:space="preserve">pamatoti </w:t>
      </w:r>
      <w:r w:rsidR="0024654F">
        <w:t xml:space="preserve">varētu sagaidīt patērētājs, </w:t>
      </w:r>
      <w:r w:rsidR="00242ABD">
        <w:t xml:space="preserve">jo ir saprātīgi </w:t>
      </w:r>
      <w:r w:rsidR="004716D8">
        <w:t>pieņemt</w:t>
      </w:r>
      <w:r w:rsidR="00242ABD">
        <w:t>, ka nozares profesionālis</w:t>
      </w:r>
      <w:r w:rsidR="00D8081A">
        <w:t xml:space="preserve"> ievēros konkrētajai komercdarbības nozarei izvirzītās prasības (sal. </w:t>
      </w:r>
      <w:bookmarkStart w:id="8" w:name="_Hlk60134456"/>
      <w:r w:rsidR="00D8081A" w:rsidRPr="00AF6EE1">
        <w:rPr>
          <w:i/>
        </w:rPr>
        <w:t>Senāta 2019.gada 29.novembra sprieduma lietā Nr. SKA-</w:t>
      </w:r>
      <w:r w:rsidR="00D8081A" w:rsidRPr="00AF6EE1">
        <w:rPr>
          <w:i/>
        </w:rPr>
        <w:lastRenderedPageBreak/>
        <w:t>438/2019 (</w:t>
      </w:r>
      <w:r w:rsidR="00AF6EE1" w:rsidRPr="00AF6EE1">
        <w:rPr>
          <w:i/>
        </w:rPr>
        <w:t>ECLI:LV:AT:2019:1129.A420201516.5.S</w:t>
      </w:r>
      <w:r w:rsidR="00D8081A" w:rsidRPr="00AF6EE1">
        <w:rPr>
          <w:i/>
        </w:rPr>
        <w:t xml:space="preserve">) </w:t>
      </w:r>
      <w:bookmarkEnd w:id="8"/>
      <w:r w:rsidR="00D8081A" w:rsidRPr="00AF6EE1">
        <w:rPr>
          <w:i/>
        </w:rPr>
        <w:t>8.punkts</w:t>
      </w:r>
      <w:r w:rsidR="00D8081A">
        <w:t xml:space="preserve">). </w:t>
      </w:r>
      <w:r w:rsidR="0024654F">
        <w:t xml:space="preserve">Tālab Senāts </w:t>
      </w:r>
      <w:r w:rsidR="001A7C2D">
        <w:t xml:space="preserve">nekonstatē </w:t>
      </w:r>
      <w:r w:rsidR="0024654F">
        <w:t xml:space="preserve">apgabaltiesas pieļautas kļūdas, </w:t>
      </w:r>
      <w:r w:rsidR="00E46B57">
        <w:t xml:space="preserve">tiesai </w:t>
      </w:r>
      <w:r w:rsidR="0024654F">
        <w:t>atzīstot, ka pieteic</w:t>
      </w:r>
      <w:r w:rsidR="00E46B57">
        <w:t>ējas īstenotā komercprakse neatbi</w:t>
      </w:r>
      <w:r w:rsidR="000B6C55">
        <w:t xml:space="preserve">lda </w:t>
      </w:r>
      <w:r w:rsidR="00E46B57">
        <w:t>profesionālajai rūpībai.</w:t>
      </w:r>
    </w:p>
    <w:p w14:paraId="61C3BCDF" w14:textId="2104093C" w:rsidR="006F111C" w:rsidRDefault="00A3787D" w:rsidP="00A3787D">
      <w:pPr>
        <w:pStyle w:val="ATpamattesksts"/>
      </w:pPr>
      <w:r>
        <w:t xml:space="preserve">Pieteicēja arī argumentē, ka tiesa, atzīstot pieteicējas komercpraksi par patērētāju ekonomisko rīcību negatīvi ietekmējošu, neesot ņēmusi vērā, ka </w:t>
      </w:r>
      <w:r w:rsidR="00866BF5">
        <w:t>patērētājiem</w:t>
      </w:r>
      <w:r>
        <w:t>, pirms vienošanās par kredīta pagarināšanu noslēgšanas, bija pieejama visa nepieciešamā informācija (tostarp informācija par kredīta pagarināšanas komisijas maksu), lai pieņemtu uz informāciju balstītu l</w:t>
      </w:r>
      <w:r w:rsidR="006B1032">
        <w:t xml:space="preserve">ēmumu vai nu par kredīta atmaksu noteiktajā termiņā, vai tā termiņa pagarināšanu. </w:t>
      </w:r>
      <w:r w:rsidR="007977B5">
        <w:t xml:space="preserve">Tomēr Senāts nesaskata, ka šie argumenti paši par sevi </w:t>
      </w:r>
      <w:r w:rsidR="00F46868">
        <w:t>ļautu</w:t>
      </w:r>
      <w:r w:rsidR="007977B5">
        <w:t xml:space="preserve"> izdarīt secinājumu, ka pieteicējas īstenotā komercprakse nav būtiski negatīvi ietekmējusi patērētāju ekonomisko rīcību saistībā ar darījumu (proti, izvēles izdarīšanu attiecībā uz kredīta pagarināšanu). Jāņem vērā, ka pieteicēja patērētājiem piedāvāja iespēju pagarināt kredīta termiņu, par šo pakalpojumu maksājot </w:t>
      </w:r>
      <w:r w:rsidR="00BC6529">
        <w:t>lielāku komisijas maksu, nekā pieļ</w:t>
      </w:r>
      <w:r w:rsidR="00B94912">
        <w:t>āva</w:t>
      </w:r>
      <w:r w:rsidR="00011D32">
        <w:t xml:space="preserve"> ties</w:t>
      </w:r>
      <w:r w:rsidR="00392977">
        <w:t xml:space="preserve">ību normas, kaut arī, kā jau minēts, patērētāji no pieteicējas kā patērētāju kreditēšanas nozares profesionāļa saprātīgi varēja sagaidīt, ka visi ar kredītu saistītie maksājumi ir noteikti atbilstoši tiesību normām. </w:t>
      </w:r>
      <w:r w:rsidR="005045D9">
        <w:t xml:space="preserve">Tālab, pat ja patērētājiem bija pieejama informācija par kredīta pagarināšanas komisiju, patērētājiem būtībā nebija zināms, ka tā neatbilst tiesību normās noteiktajiem kredīta </w:t>
      </w:r>
      <w:r w:rsidR="00077271">
        <w:t xml:space="preserve">kopējo </w:t>
      </w:r>
      <w:r w:rsidR="005045D9">
        <w:t>izmaksu ierobežoj</w:t>
      </w:r>
      <w:r w:rsidR="00077271">
        <w:t>umiem. Tas nozīmē, ka patērētājie</w:t>
      </w:r>
      <w:r w:rsidR="005045D9">
        <w:t>m, nonākot situācijā, kurā t</w:t>
      </w:r>
      <w:r w:rsidR="00F122AF">
        <w:t>ie</w:t>
      </w:r>
      <w:r w:rsidR="005045D9">
        <w:t xml:space="preserve"> nevarēja atmaksāt saņemto kredītu, faktiski bija </w:t>
      </w:r>
      <w:r w:rsidR="009C40EB">
        <w:t>jāizdara izvēle starp kredīta atmaksu</w:t>
      </w:r>
      <w:r w:rsidR="005045D9">
        <w:t xml:space="preserve"> noteiktajā termiņā</w:t>
      </w:r>
      <w:r w:rsidR="009C40EB">
        <w:t xml:space="preserve"> vai arī kredīta termiņa pagarināšanu</w:t>
      </w:r>
      <w:r w:rsidR="005045D9">
        <w:t xml:space="preserve">, par to maksājot lielāku komisijas maksu, nekā </w:t>
      </w:r>
      <w:r w:rsidR="00194FEF">
        <w:t>pieļāva tiesiskais regulējums. Šajā kontekstā arī nevar ignor</w:t>
      </w:r>
      <w:r w:rsidR="0090244F">
        <w:t xml:space="preserve">ēt, ka vidusmēra patērētājs, kurš </w:t>
      </w:r>
      <w:r w:rsidR="000369EA">
        <w:t>nonāk šādā situācijā</w:t>
      </w:r>
      <w:r w:rsidR="004B142C">
        <w:t>,</w:t>
      </w:r>
      <w:r w:rsidR="000369EA">
        <w:t xml:space="preserve"> ar lielu varbūtība ir persona, k</w:t>
      </w:r>
      <w:r w:rsidR="00D04427">
        <w:t>as atrodas finansiālās grūtībās</w:t>
      </w:r>
      <w:r w:rsidR="000369EA">
        <w:t xml:space="preserve"> </w:t>
      </w:r>
      <w:r w:rsidR="00653177">
        <w:t>un kuras faktiskās iespējas izdarīt vienu vai otru no minētajām izvēlēm būtībā ir ierobežotas</w:t>
      </w:r>
      <w:r w:rsidR="00FC2C77">
        <w:t xml:space="preserve">, jo tai gluži vienkārši nav finanšu līdzekļu, ar kuriem kredītu atmaksāt. </w:t>
      </w:r>
      <w:r w:rsidR="006F111C">
        <w:t xml:space="preserve">Šādos apstākļos Senāts </w:t>
      </w:r>
      <w:r w:rsidR="002310AE">
        <w:t xml:space="preserve">nesaskata pamatu atzīt par nepareizu </w:t>
      </w:r>
      <w:r w:rsidR="006F111C">
        <w:t>apgabaltiesas secinājumu, ka pieteicējas īstenot</w:t>
      </w:r>
      <w:r w:rsidR="00623D88">
        <w:t>ā komercprakse</w:t>
      </w:r>
      <w:r w:rsidR="006F111C">
        <w:t xml:space="preserve"> ir negatīvi ietekmējusi patērētāju ekonomisko rīcību.</w:t>
      </w:r>
    </w:p>
    <w:p w14:paraId="625803D0" w14:textId="77777777" w:rsidR="006F111C" w:rsidRDefault="006F111C" w:rsidP="00A3787D">
      <w:pPr>
        <w:pStyle w:val="ATpamattesksts"/>
      </w:pPr>
    </w:p>
    <w:p w14:paraId="306DCD55" w14:textId="5AA0FC46" w:rsidR="00F46868" w:rsidRDefault="006F111C" w:rsidP="00A3787D">
      <w:pPr>
        <w:pStyle w:val="ATpamattesksts"/>
      </w:pPr>
      <w:r>
        <w:t>[</w:t>
      </w:r>
      <w:r w:rsidR="008C3076">
        <w:t>16</w:t>
      </w:r>
      <w:r>
        <w:t>]</w:t>
      </w:r>
      <w:r w:rsidR="004B2643">
        <w:t> </w:t>
      </w:r>
      <w:r w:rsidR="00F46868">
        <w:t>Pieteicēja kasācijas sūdzībā argumentē, ka apgabaltiesa Negodīgas komercprakses aizlieguma likuma 15.</w:t>
      </w:r>
      <w:proofErr w:type="gramStart"/>
      <w:r w:rsidR="00F46868" w:rsidRPr="00F1543F">
        <w:rPr>
          <w:vertAlign w:val="superscript"/>
        </w:rPr>
        <w:t>2</w:t>
      </w:r>
      <w:r w:rsidR="00F46868">
        <w:t>panta</w:t>
      </w:r>
      <w:proofErr w:type="gramEnd"/>
      <w:r w:rsidR="00F46868">
        <w:t xml:space="preserve"> pirmo daļu</w:t>
      </w:r>
      <w:r w:rsidR="00F46868" w:rsidDel="003370F7">
        <w:t xml:space="preserve"> </w:t>
      </w:r>
      <w:r w:rsidR="00F46868">
        <w:t xml:space="preserve"> ir iztulkojusi neatbilstoši tās mērķim.</w:t>
      </w:r>
    </w:p>
    <w:p w14:paraId="07EC060D" w14:textId="71189249" w:rsidR="00990A1C" w:rsidRDefault="00653508" w:rsidP="00653508">
      <w:pPr>
        <w:pStyle w:val="ATpamattesksts"/>
      </w:pPr>
      <w:r>
        <w:t xml:space="preserve">Proti, pieteicēja norāda, ka tā </w:t>
      </w:r>
      <w:proofErr w:type="gramStart"/>
      <w:r>
        <w:t>2016.gada</w:t>
      </w:r>
      <w:proofErr w:type="gramEnd"/>
      <w:r>
        <w:t xml:space="preserve"> 7.oktobra vēstulē Centram bija apņēmusies labprātīgi ieviest Centra prasītās izmaiņas saistībā ar kredīta pagarināšanas komisiju noteikšanu. </w:t>
      </w:r>
      <w:r w:rsidR="00FF6EBC">
        <w:t xml:space="preserve">Turklāt </w:t>
      </w:r>
      <w:proofErr w:type="gramStart"/>
      <w:r w:rsidR="00FF6EBC">
        <w:t>2016.gada</w:t>
      </w:r>
      <w:proofErr w:type="gramEnd"/>
      <w:r w:rsidR="00FF6EBC">
        <w:t xml:space="preserve"> </w:t>
      </w:r>
      <w:r>
        <w:t xml:space="preserve">26.oktobrī </w:t>
      </w:r>
      <w:r w:rsidR="00FF6EBC">
        <w:t xml:space="preserve">Centrs pieņēma lēmumu par speciālās atļaujas (licences) izsniegšanu pieteicējai patērētāju kreditēšanas pakalpojumu sniegšanai uz nenoteiktu laiku ar nosacījumu, ka pieteicēja novērsīs </w:t>
      </w:r>
      <w:r w:rsidR="001F2020">
        <w:t xml:space="preserve">izskatāmajā lietā </w:t>
      </w:r>
      <w:r w:rsidR="00F46868">
        <w:t xml:space="preserve">Centra </w:t>
      </w:r>
      <w:r w:rsidR="001F2020">
        <w:t>konstatēto pārkāpumu.</w:t>
      </w:r>
      <w:r w:rsidR="001F612B">
        <w:t xml:space="preserve"> </w:t>
      </w:r>
      <w:r w:rsidR="00E55237">
        <w:t xml:space="preserve">Līdz </w:t>
      </w:r>
      <w:proofErr w:type="gramStart"/>
      <w:r w:rsidR="00E55237">
        <w:t>2016.gada</w:t>
      </w:r>
      <w:proofErr w:type="gramEnd"/>
      <w:r w:rsidR="00E55237">
        <w:t xml:space="preserve"> 30.oktobrim pieteicēja visas Centra prasītās izmaiņas bija labprātīgi ieviesusi. </w:t>
      </w:r>
      <w:r w:rsidR="001F612B">
        <w:t>Neskatoties uz minēto</w:t>
      </w:r>
      <w:r w:rsidR="00E55237">
        <w:t xml:space="preserve">, Centrs </w:t>
      </w:r>
      <w:proofErr w:type="gramStart"/>
      <w:r w:rsidR="00E55237">
        <w:t>2016.gada</w:t>
      </w:r>
      <w:proofErr w:type="gramEnd"/>
      <w:r w:rsidR="00E55237">
        <w:t xml:space="preserve"> 2</w:t>
      </w:r>
      <w:r w:rsidR="004E7F70">
        <w:t xml:space="preserve">6.septembrī nosūtīja pieteicējai vēstuli, kurā aicināja pieteicēju rakstveidā apņemties līdz 2016.gada 30.oktobrim </w:t>
      </w:r>
      <w:r w:rsidR="00F46868">
        <w:t xml:space="preserve">izdarīt </w:t>
      </w:r>
      <w:r w:rsidR="004E7F70">
        <w:t>izmaiņas kredīta pagarināšanas komisijas apmēros un aprēķināšanas kārtībā. Minēto apstākļu dē</w:t>
      </w:r>
      <w:r w:rsidR="00000879">
        <w:t>ļ</w:t>
      </w:r>
      <w:r w:rsidR="004E7F70">
        <w:t xml:space="preserve"> pieteicēja uzskata, ka Centrs pieteicējai soda naudu faktiski piemērojis par rakstveida apņemšanās neiesniegšanu</w:t>
      </w:r>
      <w:r w:rsidR="00603F1B">
        <w:t xml:space="preserve">. </w:t>
      </w:r>
      <w:r w:rsidR="005A6571">
        <w:t>Tālab lēmums par soda naudas piemērošanu pieteicējai neesot ne efektīvs, ne samērīgs, ne arī preventīvs.</w:t>
      </w:r>
    </w:p>
    <w:p w14:paraId="69EE7CC1" w14:textId="58B40893" w:rsidR="00F46868" w:rsidRPr="0076430B" w:rsidRDefault="005A6571" w:rsidP="00F46868">
      <w:pPr>
        <w:pStyle w:val="ATpamattesksts"/>
      </w:pPr>
      <w:r>
        <w:t>Senāts minētos argumentus atzīst par nepamatotiem.</w:t>
      </w:r>
      <w:r w:rsidR="00CB1FFA">
        <w:t xml:space="preserve"> Tas, ka pieteicēja Centram bija norādīj</w:t>
      </w:r>
      <w:r w:rsidR="00E55237">
        <w:t>usi</w:t>
      </w:r>
      <w:r w:rsidR="00CB1FFA">
        <w:t xml:space="preserve">, ka </w:t>
      </w:r>
      <w:r w:rsidR="00E55237">
        <w:t>tā</w:t>
      </w:r>
      <w:r w:rsidR="00CB1FFA">
        <w:t xml:space="preserve"> apņemas nodrošināt komercprakses atbilstību Patērētāju tiesību aizsardzības likuma </w:t>
      </w:r>
      <w:proofErr w:type="gramStart"/>
      <w:r w:rsidR="00CB1FFA">
        <w:t>8.panta</w:t>
      </w:r>
      <w:proofErr w:type="gramEnd"/>
      <w:r w:rsidR="00CB1FFA">
        <w:t xml:space="preserve"> 2.</w:t>
      </w:r>
      <w:r w:rsidR="00CB1FFA" w:rsidRPr="00CB1FFA">
        <w:rPr>
          <w:vertAlign w:val="superscript"/>
        </w:rPr>
        <w:t>3</w:t>
      </w:r>
      <w:r w:rsidR="00CB1FFA">
        <w:t>daļai</w:t>
      </w:r>
      <w:r w:rsidR="007D2156">
        <w:t xml:space="preserve">, </w:t>
      </w:r>
      <w:r w:rsidR="00BB4268">
        <w:t xml:space="preserve">būtībā ir vērtējams kā informācijas sniegšana Centram par pieteicējas </w:t>
      </w:r>
      <w:r w:rsidR="00457864">
        <w:t>plāniem komercprakses īstenošanā</w:t>
      </w:r>
      <w:r w:rsidR="00BB4268">
        <w:t xml:space="preserve"> nākotnē. </w:t>
      </w:r>
      <w:r w:rsidR="00F46868">
        <w:t xml:space="preserve">Līdz ar to </w:t>
      </w:r>
      <w:r w:rsidR="00F46868" w:rsidRPr="0076430B">
        <w:t>Centrs pamatot</w:t>
      </w:r>
      <w:r w:rsidR="00F46868">
        <w:t>i</w:t>
      </w:r>
      <w:r w:rsidR="00F46868" w:rsidRPr="0076430B">
        <w:t xml:space="preserve"> prasīja pieteicējas apsolījuma izteikšanu likumā noteiktajā formā un kārtībā.</w:t>
      </w:r>
    </w:p>
    <w:p w14:paraId="19215A59" w14:textId="44C464AD" w:rsidR="009B06AA" w:rsidRDefault="00E912E6" w:rsidP="004657F4">
      <w:pPr>
        <w:pStyle w:val="ATpamattesksts"/>
      </w:pPr>
      <w:r>
        <w:lastRenderedPageBreak/>
        <w:t>Savukārt licencē ietvertais nosacījums</w:t>
      </w:r>
      <w:r w:rsidR="00E55237">
        <w:t xml:space="preserve">, kā </w:t>
      </w:r>
      <w:r w:rsidR="00603F1B">
        <w:t xml:space="preserve">to </w:t>
      </w:r>
      <w:r w:rsidR="004B142C">
        <w:t xml:space="preserve">pareizi </w:t>
      </w:r>
      <w:r w:rsidR="00603F1B">
        <w:t xml:space="preserve">norādījusi </w:t>
      </w:r>
      <w:r w:rsidR="00E55237">
        <w:t>apgabaltiesa,</w:t>
      </w:r>
      <w:r>
        <w:t xml:space="preserve"> attiecas uz citu administratīvo procesu</w:t>
      </w:r>
      <w:r w:rsidR="00114F38">
        <w:t xml:space="preserve">, kuram ir atšķirīgs mērķis. </w:t>
      </w:r>
      <w:r w:rsidR="00A27EF5">
        <w:t>Proti, l</w:t>
      </w:r>
      <w:r w:rsidR="0007409B">
        <w:t>icencē ietvertais nosacījums par nepieciešamību novērst Centra konstatēto pārkāpumu ir vērsts uz nākotni</w:t>
      </w:r>
      <w:r w:rsidR="003273D2">
        <w:t xml:space="preserve"> –</w:t>
      </w:r>
      <w:r w:rsidR="00A27EF5">
        <w:t xml:space="preserve"> </w:t>
      </w:r>
      <w:r w:rsidR="003273D2">
        <w:t>ar š</w:t>
      </w:r>
      <w:r w:rsidR="00A36364">
        <w:t>ā</w:t>
      </w:r>
      <w:r w:rsidR="003273D2">
        <w:t xml:space="preserve"> nosacījuma ietveršanu licencē pieteicējai būtībā ir darīts zināms, ka gadījumā, ja tā pārkāpumu nenovērsīs, tā nākotnē vispār nevarēs sniegt kreditēšanas pakalpojumus patērētājiem. </w:t>
      </w:r>
      <w:r w:rsidR="00A27EF5">
        <w:t>Taču tas pats par sevi nenozīmē</w:t>
      </w:r>
      <w:r w:rsidR="00543D91">
        <w:t xml:space="preserve">, ka pieteicēja </w:t>
      </w:r>
      <w:r w:rsidR="005C6BD8">
        <w:t>tikusi</w:t>
      </w:r>
      <w:r w:rsidR="00543D91">
        <w:t xml:space="preserve"> atbrīvota no</w:t>
      </w:r>
      <w:r w:rsidR="00F9743F">
        <w:t xml:space="preserve"> pienākuma izbeigt</w:t>
      </w:r>
      <w:r w:rsidR="00543D91">
        <w:t xml:space="preserve"> pagātnē </w:t>
      </w:r>
      <w:r w:rsidR="00F46868">
        <w:t xml:space="preserve">izdarīto </w:t>
      </w:r>
      <w:r w:rsidR="00543D91">
        <w:t>pārkāpum</w:t>
      </w:r>
      <w:r w:rsidR="00F9743F">
        <w:t>u</w:t>
      </w:r>
      <w:r w:rsidR="00417FB7">
        <w:t>, kas konstatēts tieši izskatāmā administratīvā procesa ietvaros,</w:t>
      </w:r>
      <w:r w:rsidR="00F9743F">
        <w:t xml:space="preserve"> </w:t>
      </w:r>
      <w:r w:rsidR="005C6BD8">
        <w:t xml:space="preserve">vai ka pieteicēja </w:t>
      </w:r>
      <w:r w:rsidR="00543D91">
        <w:t>varēja paļauties, ka tai par šo pārkāpumu netiks piemērota soda nauda</w:t>
      </w:r>
      <w:r w:rsidR="00E65727">
        <w:t xml:space="preserve">, ja tā </w:t>
      </w:r>
      <w:r w:rsidR="003E1CA9">
        <w:t>izvēlēsies neizmantot</w:t>
      </w:r>
      <w:r w:rsidR="005C6BD8">
        <w:t xml:space="preserve"> </w:t>
      </w:r>
      <w:r w:rsidR="00E65727">
        <w:t>Negodīgas komercprakses aizlieguma likuma 15.</w:t>
      </w:r>
      <w:r w:rsidR="00E65727" w:rsidRPr="00E65727">
        <w:rPr>
          <w:vertAlign w:val="superscript"/>
        </w:rPr>
        <w:t>1</w:t>
      </w:r>
      <w:r w:rsidR="005C6BD8">
        <w:t>pantā paredzēto iespēju iesniegt Centram rakstveida apņemšanos</w:t>
      </w:r>
      <w:r w:rsidR="00E65727">
        <w:t>.</w:t>
      </w:r>
      <w:r w:rsidR="007F401F">
        <w:t xml:space="preserve"> </w:t>
      </w:r>
      <w:r w:rsidR="006F33AC">
        <w:t>Tālab Senāts nesaskata, ka, piem</w:t>
      </w:r>
      <w:r w:rsidR="003E1CA9">
        <w:t>ērojot pieteicējai soda naudu, nebūtu</w:t>
      </w:r>
      <w:r w:rsidR="006F33AC">
        <w:t xml:space="preserve"> sasniegts Negodīgas komercprakses aizlieguma likuma 15.</w:t>
      </w:r>
      <w:r w:rsidR="006F33AC" w:rsidRPr="006F33AC">
        <w:rPr>
          <w:vertAlign w:val="superscript"/>
        </w:rPr>
        <w:t>2</w:t>
      </w:r>
      <w:r w:rsidR="006F33AC">
        <w:t>panta pirmās daļas mērķis</w:t>
      </w:r>
      <w:r w:rsidR="007F401F">
        <w:t xml:space="preserve"> </w:t>
      </w:r>
      <w:r w:rsidR="006F33AC">
        <w:t xml:space="preserve">– tieši pretēji, šāds lēmums pieņemts </w:t>
      </w:r>
      <w:proofErr w:type="spellStart"/>
      <w:r w:rsidR="006F33AC">
        <w:t>citstarp</w:t>
      </w:r>
      <w:proofErr w:type="spellEnd"/>
      <w:r w:rsidR="006F33AC">
        <w:t xml:space="preserve"> tieši tāpēc, lai pieteicēja turpmāk apzinātos, ka tiesību normu pārkāpumi patērētāju tiesību aizsardzības jomā nav pieļaujami</w:t>
      </w:r>
      <w:r w:rsidR="000F696D">
        <w:t>, un, š</w:t>
      </w:r>
      <w:r w:rsidR="004657F4">
        <w:t>ādā aspektā raugoties, pārsūdzētais lēmums ir gan efektīvs, gan samērīgs, gan arī preventīvs.</w:t>
      </w:r>
    </w:p>
    <w:p w14:paraId="5A73F7DE" w14:textId="77777777" w:rsidR="00F33634" w:rsidRDefault="00F33634" w:rsidP="00801FD2">
      <w:pPr>
        <w:pStyle w:val="ATpamattesksts"/>
      </w:pPr>
    </w:p>
    <w:p w14:paraId="2DF8E268" w14:textId="401272B1" w:rsidR="00F33634" w:rsidRPr="00F33634" w:rsidRDefault="00F33634" w:rsidP="00F33634">
      <w:pPr>
        <w:pStyle w:val="ATpamattesksts"/>
        <w:ind w:firstLine="0"/>
        <w:jc w:val="center"/>
        <w:rPr>
          <w:b/>
        </w:rPr>
      </w:pPr>
      <w:r w:rsidRPr="00F33634">
        <w:rPr>
          <w:b/>
        </w:rPr>
        <w:t>III</w:t>
      </w:r>
    </w:p>
    <w:p w14:paraId="409917CE" w14:textId="77777777" w:rsidR="00F94ACC" w:rsidRDefault="00F94ACC" w:rsidP="00801FD2">
      <w:pPr>
        <w:pStyle w:val="ATpamattesksts"/>
      </w:pPr>
    </w:p>
    <w:p w14:paraId="4C332176" w14:textId="5F379F69" w:rsidR="00F94ACC" w:rsidRDefault="00F94ACC" w:rsidP="00801FD2">
      <w:pPr>
        <w:pStyle w:val="ATpamattesksts"/>
      </w:pPr>
      <w:r>
        <w:t>[</w:t>
      </w:r>
      <w:r w:rsidR="008C3076">
        <w:t>17</w:t>
      </w:r>
      <w:r>
        <w:t>] </w:t>
      </w:r>
      <w:r w:rsidR="002D289A">
        <w:t>Rezumējot minēto,</w:t>
      </w:r>
      <w:r w:rsidR="00F33634">
        <w:t xml:space="preserve"> pieteicēja kasācijas sūdzībā nav norādījusi tādus apgabaltiesas pieļautus materiālo vai procesuālo tiesību normu pārkāpumus, kas būtu pamats pārsūdzētā sprieduma atcelšanai. Līdz ar to</w:t>
      </w:r>
      <w:r w:rsidR="002D289A">
        <w:t xml:space="preserve"> pārsūdzētais apgabaltiesas spriedums atstājams negrozīts, bet pieteicējas kasācijas sūdzība noraidāma.</w:t>
      </w:r>
    </w:p>
    <w:p w14:paraId="248AE22A" w14:textId="77777777" w:rsidR="003047F5" w:rsidRPr="0082381C" w:rsidRDefault="003047F5" w:rsidP="00CA2D07">
      <w:pPr>
        <w:spacing w:line="276" w:lineRule="auto"/>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28C7D74F"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Administratīvā procesa likuma</w:t>
      </w:r>
      <w:r w:rsidR="00C92051">
        <w:rPr>
          <w:rFonts w:eastAsiaTheme="minorHAnsi"/>
          <w:lang w:eastAsia="en-US"/>
        </w:rPr>
        <w:t xml:space="preserve">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C92051">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159BC805"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2D9692AA" w14:textId="3E4472C7" w:rsidR="00A6596A" w:rsidRPr="0082381C" w:rsidRDefault="00C92051" w:rsidP="00DF017B">
      <w:pPr>
        <w:spacing w:line="276" w:lineRule="auto"/>
        <w:ind w:firstLine="567"/>
        <w:jc w:val="both"/>
      </w:pPr>
      <w:r>
        <w:t xml:space="preserve">Atstāt negrozītu Administratīvās apgabaltiesas </w:t>
      </w:r>
      <w:proofErr w:type="gramStart"/>
      <w:r>
        <w:t>2018.gada</w:t>
      </w:r>
      <w:proofErr w:type="gramEnd"/>
      <w:r>
        <w:t xml:space="preserve"> </w:t>
      </w:r>
      <w:r w:rsidR="00F862A0">
        <w:t>26.novembra</w:t>
      </w:r>
      <w:r w:rsidR="00DF017B">
        <w:t xml:space="preserve"> spriedumu, bet SIA „</w:t>
      </w:r>
      <w:r w:rsidR="00F862A0">
        <w:t xml:space="preserve">OC </w:t>
      </w:r>
      <w:proofErr w:type="spellStart"/>
      <w:r w:rsidR="00F862A0">
        <w:t>Finance</w:t>
      </w:r>
      <w:proofErr w:type="spellEnd"/>
      <w:r w:rsidR="00DF017B">
        <w:t>” kasācijas sūdzību noraidīt.</w:t>
      </w:r>
    </w:p>
    <w:p w14:paraId="6BC58DF5" w14:textId="1D717DB4" w:rsidR="00DF017B" w:rsidRPr="00F062CC" w:rsidRDefault="00941626" w:rsidP="00F062CC">
      <w:pPr>
        <w:spacing w:line="276" w:lineRule="auto"/>
        <w:ind w:firstLine="567"/>
        <w:jc w:val="both"/>
      </w:pPr>
      <w:r w:rsidRPr="0082381C">
        <w:t xml:space="preserve">Spriedums </w:t>
      </w:r>
      <w:r w:rsidR="00801CD9" w:rsidRPr="001F40A0">
        <w:t>nav pārsūdzams.</w:t>
      </w:r>
    </w:p>
    <w:sectPr w:rsidR="00DF017B" w:rsidRPr="00F062CC"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B6E82" w14:textId="77777777" w:rsidR="00905F7B" w:rsidRDefault="00905F7B" w:rsidP="003047F5">
      <w:r>
        <w:separator/>
      </w:r>
    </w:p>
  </w:endnote>
  <w:endnote w:type="continuationSeparator" w:id="0">
    <w:p w14:paraId="50C0957E" w14:textId="77777777" w:rsidR="00905F7B" w:rsidRDefault="00905F7B"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4E21EA1D" w:rsidR="0042774A" w:rsidRDefault="0042774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E97B3F">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602C48">
      <w:rPr>
        <w:rStyle w:val="PageNumber"/>
        <w:noProof/>
      </w:rPr>
      <w:t>11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A7200" w14:textId="77777777" w:rsidR="00905F7B" w:rsidRDefault="00905F7B" w:rsidP="003047F5">
      <w:r>
        <w:separator/>
      </w:r>
    </w:p>
  </w:footnote>
  <w:footnote w:type="continuationSeparator" w:id="0">
    <w:p w14:paraId="09689BDE" w14:textId="77777777" w:rsidR="00905F7B" w:rsidRDefault="00905F7B"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0DD"/>
    <w:rsid w:val="00000879"/>
    <w:rsid w:val="000051D9"/>
    <w:rsid w:val="00011D32"/>
    <w:rsid w:val="00030D8D"/>
    <w:rsid w:val="00031F4F"/>
    <w:rsid w:val="00033C1C"/>
    <w:rsid w:val="000369EA"/>
    <w:rsid w:val="00037813"/>
    <w:rsid w:val="00037C46"/>
    <w:rsid w:val="000415FA"/>
    <w:rsid w:val="00044131"/>
    <w:rsid w:val="000452B7"/>
    <w:rsid w:val="00047AE7"/>
    <w:rsid w:val="000503E7"/>
    <w:rsid w:val="000519C9"/>
    <w:rsid w:val="00054DD9"/>
    <w:rsid w:val="00062043"/>
    <w:rsid w:val="000637F0"/>
    <w:rsid w:val="000663DA"/>
    <w:rsid w:val="0007035B"/>
    <w:rsid w:val="000708AF"/>
    <w:rsid w:val="00072833"/>
    <w:rsid w:val="0007409B"/>
    <w:rsid w:val="000740E9"/>
    <w:rsid w:val="00075F68"/>
    <w:rsid w:val="00076794"/>
    <w:rsid w:val="00077271"/>
    <w:rsid w:val="00084365"/>
    <w:rsid w:val="0008650A"/>
    <w:rsid w:val="00090728"/>
    <w:rsid w:val="000908C6"/>
    <w:rsid w:val="0009102D"/>
    <w:rsid w:val="00095970"/>
    <w:rsid w:val="000A6F1A"/>
    <w:rsid w:val="000A781C"/>
    <w:rsid w:val="000B0A3A"/>
    <w:rsid w:val="000B0F79"/>
    <w:rsid w:val="000B3659"/>
    <w:rsid w:val="000B3852"/>
    <w:rsid w:val="000B6C55"/>
    <w:rsid w:val="000B7E5E"/>
    <w:rsid w:val="000C2069"/>
    <w:rsid w:val="000C2332"/>
    <w:rsid w:val="000C2ED5"/>
    <w:rsid w:val="000D0233"/>
    <w:rsid w:val="000D2339"/>
    <w:rsid w:val="000D4062"/>
    <w:rsid w:val="000D5802"/>
    <w:rsid w:val="000D58AB"/>
    <w:rsid w:val="000E68A3"/>
    <w:rsid w:val="000F3EDE"/>
    <w:rsid w:val="000F696D"/>
    <w:rsid w:val="000F6F21"/>
    <w:rsid w:val="00101F68"/>
    <w:rsid w:val="001108D8"/>
    <w:rsid w:val="00111B41"/>
    <w:rsid w:val="00111C95"/>
    <w:rsid w:val="00114F38"/>
    <w:rsid w:val="001233BA"/>
    <w:rsid w:val="00132014"/>
    <w:rsid w:val="00133127"/>
    <w:rsid w:val="001338F5"/>
    <w:rsid w:val="00142231"/>
    <w:rsid w:val="00145BE3"/>
    <w:rsid w:val="0016033C"/>
    <w:rsid w:val="001618EF"/>
    <w:rsid w:val="0016381F"/>
    <w:rsid w:val="001646E9"/>
    <w:rsid w:val="00165A35"/>
    <w:rsid w:val="00167866"/>
    <w:rsid w:val="00177BC2"/>
    <w:rsid w:val="00180BC5"/>
    <w:rsid w:val="001824CC"/>
    <w:rsid w:val="00182D5C"/>
    <w:rsid w:val="0019238A"/>
    <w:rsid w:val="00192F8B"/>
    <w:rsid w:val="00194FEF"/>
    <w:rsid w:val="00197BFB"/>
    <w:rsid w:val="001A0495"/>
    <w:rsid w:val="001A06D3"/>
    <w:rsid w:val="001A0FC7"/>
    <w:rsid w:val="001A1BDE"/>
    <w:rsid w:val="001A7C2D"/>
    <w:rsid w:val="001B21C0"/>
    <w:rsid w:val="001C1CE3"/>
    <w:rsid w:val="001D1BFF"/>
    <w:rsid w:val="001D6829"/>
    <w:rsid w:val="001E2DF2"/>
    <w:rsid w:val="001E3A09"/>
    <w:rsid w:val="001E7E6A"/>
    <w:rsid w:val="001F17CC"/>
    <w:rsid w:val="001F1FD5"/>
    <w:rsid w:val="001F2020"/>
    <w:rsid w:val="001F612B"/>
    <w:rsid w:val="001F6C19"/>
    <w:rsid w:val="001F795D"/>
    <w:rsid w:val="00201B6A"/>
    <w:rsid w:val="002112AF"/>
    <w:rsid w:val="00211A07"/>
    <w:rsid w:val="002161B6"/>
    <w:rsid w:val="00217C42"/>
    <w:rsid w:val="00225DE4"/>
    <w:rsid w:val="00230AF4"/>
    <w:rsid w:val="002310AE"/>
    <w:rsid w:val="00231F1B"/>
    <w:rsid w:val="00236E52"/>
    <w:rsid w:val="00237F92"/>
    <w:rsid w:val="00241EB1"/>
    <w:rsid w:val="00242ABD"/>
    <w:rsid w:val="0024654F"/>
    <w:rsid w:val="0024751F"/>
    <w:rsid w:val="00247AA6"/>
    <w:rsid w:val="0026217E"/>
    <w:rsid w:val="00263166"/>
    <w:rsid w:val="00264C4B"/>
    <w:rsid w:val="00266EAD"/>
    <w:rsid w:val="002673E8"/>
    <w:rsid w:val="00271B0F"/>
    <w:rsid w:val="00272722"/>
    <w:rsid w:val="0027469B"/>
    <w:rsid w:val="00276E11"/>
    <w:rsid w:val="00277105"/>
    <w:rsid w:val="002776BF"/>
    <w:rsid w:val="00285CD9"/>
    <w:rsid w:val="0029077E"/>
    <w:rsid w:val="00291D3E"/>
    <w:rsid w:val="00293462"/>
    <w:rsid w:val="002937E6"/>
    <w:rsid w:val="00293B15"/>
    <w:rsid w:val="002952CA"/>
    <w:rsid w:val="00296C2C"/>
    <w:rsid w:val="00297F40"/>
    <w:rsid w:val="002A5960"/>
    <w:rsid w:val="002B4496"/>
    <w:rsid w:val="002B5C5D"/>
    <w:rsid w:val="002B7EBE"/>
    <w:rsid w:val="002C0D4E"/>
    <w:rsid w:val="002C54F5"/>
    <w:rsid w:val="002C5509"/>
    <w:rsid w:val="002C5BF8"/>
    <w:rsid w:val="002C6F37"/>
    <w:rsid w:val="002C754D"/>
    <w:rsid w:val="002D289A"/>
    <w:rsid w:val="002D5F78"/>
    <w:rsid w:val="002D7041"/>
    <w:rsid w:val="002D7F71"/>
    <w:rsid w:val="002E00A1"/>
    <w:rsid w:val="002E120C"/>
    <w:rsid w:val="002E76D6"/>
    <w:rsid w:val="002F05F1"/>
    <w:rsid w:val="002F465C"/>
    <w:rsid w:val="002F7EF8"/>
    <w:rsid w:val="00300D2B"/>
    <w:rsid w:val="00301A51"/>
    <w:rsid w:val="003047F5"/>
    <w:rsid w:val="003139A9"/>
    <w:rsid w:val="003150DE"/>
    <w:rsid w:val="003204DC"/>
    <w:rsid w:val="003273D2"/>
    <w:rsid w:val="00331A43"/>
    <w:rsid w:val="003346D2"/>
    <w:rsid w:val="003429A5"/>
    <w:rsid w:val="00342D16"/>
    <w:rsid w:val="00344414"/>
    <w:rsid w:val="00345130"/>
    <w:rsid w:val="00351DA1"/>
    <w:rsid w:val="0035346E"/>
    <w:rsid w:val="00361D11"/>
    <w:rsid w:val="00365724"/>
    <w:rsid w:val="003706A1"/>
    <w:rsid w:val="00377CB7"/>
    <w:rsid w:val="0038000A"/>
    <w:rsid w:val="00392977"/>
    <w:rsid w:val="00395BF4"/>
    <w:rsid w:val="00395E83"/>
    <w:rsid w:val="00396C62"/>
    <w:rsid w:val="003A1D0B"/>
    <w:rsid w:val="003C0E07"/>
    <w:rsid w:val="003D653F"/>
    <w:rsid w:val="003E06F6"/>
    <w:rsid w:val="003E0F7D"/>
    <w:rsid w:val="003E1CA9"/>
    <w:rsid w:val="003E73F4"/>
    <w:rsid w:val="003F276E"/>
    <w:rsid w:val="003F2A80"/>
    <w:rsid w:val="003F37EE"/>
    <w:rsid w:val="00401217"/>
    <w:rsid w:val="00404583"/>
    <w:rsid w:val="00417FB7"/>
    <w:rsid w:val="0042064F"/>
    <w:rsid w:val="00421940"/>
    <w:rsid w:val="00424B84"/>
    <w:rsid w:val="0042774A"/>
    <w:rsid w:val="0043182C"/>
    <w:rsid w:val="0043387D"/>
    <w:rsid w:val="00437817"/>
    <w:rsid w:val="00440A95"/>
    <w:rsid w:val="00440AED"/>
    <w:rsid w:val="004453C5"/>
    <w:rsid w:val="0044610E"/>
    <w:rsid w:val="0044793C"/>
    <w:rsid w:val="00451FFD"/>
    <w:rsid w:val="00454AA2"/>
    <w:rsid w:val="00456C42"/>
    <w:rsid w:val="00456ECC"/>
    <w:rsid w:val="00457864"/>
    <w:rsid w:val="0046457D"/>
    <w:rsid w:val="004657F4"/>
    <w:rsid w:val="00470A4F"/>
    <w:rsid w:val="004716D8"/>
    <w:rsid w:val="00473B8F"/>
    <w:rsid w:val="00490074"/>
    <w:rsid w:val="00491DEC"/>
    <w:rsid w:val="00491F4C"/>
    <w:rsid w:val="00492CB3"/>
    <w:rsid w:val="00493879"/>
    <w:rsid w:val="004945A2"/>
    <w:rsid w:val="004972D9"/>
    <w:rsid w:val="004A4903"/>
    <w:rsid w:val="004A7D94"/>
    <w:rsid w:val="004B028A"/>
    <w:rsid w:val="004B142C"/>
    <w:rsid w:val="004B16DD"/>
    <w:rsid w:val="004B2643"/>
    <w:rsid w:val="004B6F75"/>
    <w:rsid w:val="004C12AA"/>
    <w:rsid w:val="004C177A"/>
    <w:rsid w:val="004C2E4A"/>
    <w:rsid w:val="004C4CA8"/>
    <w:rsid w:val="004D0953"/>
    <w:rsid w:val="004D59EB"/>
    <w:rsid w:val="004E13F6"/>
    <w:rsid w:val="004E1869"/>
    <w:rsid w:val="004E23C8"/>
    <w:rsid w:val="004E4494"/>
    <w:rsid w:val="004E5D89"/>
    <w:rsid w:val="004E66C9"/>
    <w:rsid w:val="004E7F70"/>
    <w:rsid w:val="004F73BD"/>
    <w:rsid w:val="0050114B"/>
    <w:rsid w:val="005045D9"/>
    <w:rsid w:val="00510EA8"/>
    <w:rsid w:val="005143F3"/>
    <w:rsid w:val="00514E7C"/>
    <w:rsid w:val="005216EC"/>
    <w:rsid w:val="00521A02"/>
    <w:rsid w:val="00523DBB"/>
    <w:rsid w:val="0053660E"/>
    <w:rsid w:val="005367DC"/>
    <w:rsid w:val="005409C3"/>
    <w:rsid w:val="00542158"/>
    <w:rsid w:val="0054298B"/>
    <w:rsid w:val="00543D91"/>
    <w:rsid w:val="00543E46"/>
    <w:rsid w:val="005611AF"/>
    <w:rsid w:val="00561B3F"/>
    <w:rsid w:val="00562B3B"/>
    <w:rsid w:val="00564337"/>
    <w:rsid w:val="00564B05"/>
    <w:rsid w:val="00564FC5"/>
    <w:rsid w:val="0056799F"/>
    <w:rsid w:val="00570828"/>
    <w:rsid w:val="00570E44"/>
    <w:rsid w:val="00576049"/>
    <w:rsid w:val="0058088A"/>
    <w:rsid w:val="005913BD"/>
    <w:rsid w:val="005919F6"/>
    <w:rsid w:val="00595A75"/>
    <w:rsid w:val="00597A9A"/>
    <w:rsid w:val="005A14CA"/>
    <w:rsid w:val="005A30B9"/>
    <w:rsid w:val="005A5395"/>
    <w:rsid w:val="005A6571"/>
    <w:rsid w:val="005B0565"/>
    <w:rsid w:val="005B696B"/>
    <w:rsid w:val="005B7739"/>
    <w:rsid w:val="005C0C14"/>
    <w:rsid w:val="005C393D"/>
    <w:rsid w:val="005C6BD8"/>
    <w:rsid w:val="005D34DC"/>
    <w:rsid w:val="005D6C8E"/>
    <w:rsid w:val="005D7E41"/>
    <w:rsid w:val="005E1D92"/>
    <w:rsid w:val="005E419A"/>
    <w:rsid w:val="005E4B6E"/>
    <w:rsid w:val="005F0C06"/>
    <w:rsid w:val="005F1AAE"/>
    <w:rsid w:val="005F5151"/>
    <w:rsid w:val="00602C48"/>
    <w:rsid w:val="00603977"/>
    <w:rsid w:val="00603DAE"/>
    <w:rsid w:val="00603F1B"/>
    <w:rsid w:val="00610AF0"/>
    <w:rsid w:val="00614517"/>
    <w:rsid w:val="006150C8"/>
    <w:rsid w:val="00616487"/>
    <w:rsid w:val="00621436"/>
    <w:rsid w:val="00622032"/>
    <w:rsid w:val="00623135"/>
    <w:rsid w:val="00623D88"/>
    <w:rsid w:val="00627C95"/>
    <w:rsid w:val="00631496"/>
    <w:rsid w:val="00632416"/>
    <w:rsid w:val="00632BBF"/>
    <w:rsid w:val="006334B6"/>
    <w:rsid w:val="00635BA8"/>
    <w:rsid w:val="0063643E"/>
    <w:rsid w:val="006369D6"/>
    <w:rsid w:val="00644FD8"/>
    <w:rsid w:val="00645E69"/>
    <w:rsid w:val="00646A12"/>
    <w:rsid w:val="00652AAD"/>
    <w:rsid w:val="00653177"/>
    <w:rsid w:val="0065317D"/>
    <w:rsid w:val="00653508"/>
    <w:rsid w:val="00656933"/>
    <w:rsid w:val="0066084C"/>
    <w:rsid w:val="0066610A"/>
    <w:rsid w:val="006664DC"/>
    <w:rsid w:val="00666504"/>
    <w:rsid w:val="0067147E"/>
    <w:rsid w:val="006800C8"/>
    <w:rsid w:val="0068432E"/>
    <w:rsid w:val="00691234"/>
    <w:rsid w:val="00692644"/>
    <w:rsid w:val="00692FF9"/>
    <w:rsid w:val="00693AC9"/>
    <w:rsid w:val="0069413D"/>
    <w:rsid w:val="006944E2"/>
    <w:rsid w:val="00694BB1"/>
    <w:rsid w:val="006956DD"/>
    <w:rsid w:val="006972C0"/>
    <w:rsid w:val="006A7BA1"/>
    <w:rsid w:val="006B1032"/>
    <w:rsid w:val="006B5D47"/>
    <w:rsid w:val="006B7BBC"/>
    <w:rsid w:val="006C13AC"/>
    <w:rsid w:val="006C18C6"/>
    <w:rsid w:val="006D3118"/>
    <w:rsid w:val="006D6AE7"/>
    <w:rsid w:val="006E4301"/>
    <w:rsid w:val="006F0B8D"/>
    <w:rsid w:val="006F111C"/>
    <w:rsid w:val="006F33AC"/>
    <w:rsid w:val="006F5BC4"/>
    <w:rsid w:val="006F5D3B"/>
    <w:rsid w:val="006F7EBE"/>
    <w:rsid w:val="00705661"/>
    <w:rsid w:val="0070576D"/>
    <w:rsid w:val="00712C2C"/>
    <w:rsid w:val="007142EA"/>
    <w:rsid w:val="00716A43"/>
    <w:rsid w:val="0072572A"/>
    <w:rsid w:val="007276BE"/>
    <w:rsid w:val="007323C2"/>
    <w:rsid w:val="00733CD3"/>
    <w:rsid w:val="00742476"/>
    <w:rsid w:val="00743CC7"/>
    <w:rsid w:val="00746DA8"/>
    <w:rsid w:val="00747F05"/>
    <w:rsid w:val="00750C0D"/>
    <w:rsid w:val="00755454"/>
    <w:rsid w:val="00755FD5"/>
    <w:rsid w:val="00766741"/>
    <w:rsid w:val="00770862"/>
    <w:rsid w:val="007709C7"/>
    <w:rsid w:val="00773300"/>
    <w:rsid w:val="00773327"/>
    <w:rsid w:val="0077509E"/>
    <w:rsid w:val="00785BCA"/>
    <w:rsid w:val="0079332C"/>
    <w:rsid w:val="00795E0F"/>
    <w:rsid w:val="007977B5"/>
    <w:rsid w:val="007A2EE1"/>
    <w:rsid w:val="007A76CB"/>
    <w:rsid w:val="007B3496"/>
    <w:rsid w:val="007B351F"/>
    <w:rsid w:val="007B5442"/>
    <w:rsid w:val="007B6691"/>
    <w:rsid w:val="007C551A"/>
    <w:rsid w:val="007D11C3"/>
    <w:rsid w:val="007D2156"/>
    <w:rsid w:val="007D42FE"/>
    <w:rsid w:val="007E054F"/>
    <w:rsid w:val="007E48CC"/>
    <w:rsid w:val="007E4DC7"/>
    <w:rsid w:val="007E5E93"/>
    <w:rsid w:val="007F1617"/>
    <w:rsid w:val="007F1A58"/>
    <w:rsid w:val="007F1ACB"/>
    <w:rsid w:val="007F401F"/>
    <w:rsid w:val="007F5D85"/>
    <w:rsid w:val="00801215"/>
    <w:rsid w:val="0080147F"/>
    <w:rsid w:val="00801CD9"/>
    <w:rsid w:val="00801FD2"/>
    <w:rsid w:val="008062D3"/>
    <w:rsid w:val="00810719"/>
    <w:rsid w:val="00811C77"/>
    <w:rsid w:val="00812E7F"/>
    <w:rsid w:val="00820FA0"/>
    <w:rsid w:val="008223ED"/>
    <w:rsid w:val="0082381C"/>
    <w:rsid w:val="0083248F"/>
    <w:rsid w:val="00833668"/>
    <w:rsid w:val="00836F8E"/>
    <w:rsid w:val="00837A76"/>
    <w:rsid w:val="0084236F"/>
    <w:rsid w:val="008441FB"/>
    <w:rsid w:val="00851998"/>
    <w:rsid w:val="00851C4C"/>
    <w:rsid w:val="0085708B"/>
    <w:rsid w:val="008570F8"/>
    <w:rsid w:val="0086076D"/>
    <w:rsid w:val="00866BF5"/>
    <w:rsid w:val="00870F81"/>
    <w:rsid w:val="00872E4F"/>
    <w:rsid w:val="00873319"/>
    <w:rsid w:val="00873C18"/>
    <w:rsid w:val="008841D3"/>
    <w:rsid w:val="00890B5A"/>
    <w:rsid w:val="0089619C"/>
    <w:rsid w:val="008A1938"/>
    <w:rsid w:val="008A1DB6"/>
    <w:rsid w:val="008A257D"/>
    <w:rsid w:val="008A731E"/>
    <w:rsid w:val="008B23C1"/>
    <w:rsid w:val="008C0865"/>
    <w:rsid w:val="008C3076"/>
    <w:rsid w:val="008C329F"/>
    <w:rsid w:val="008C5DEF"/>
    <w:rsid w:val="008D2D53"/>
    <w:rsid w:val="008D3693"/>
    <w:rsid w:val="008E39F5"/>
    <w:rsid w:val="008E5DA6"/>
    <w:rsid w:val="008E6FB6"/>
    <w:rsid w:val="008F17DA"/>
    <w:rsid w:val="008F2640"/>
    <w:rsid w:val="008F4418"/>
    <w:rsid w:val="0090244F"/>
    <w:rsid w:val="00905F7B"/>
    <w:rsid w:val="009117B2"/>
    <w:rsid w:val="00920135"/>
    <w:rsid w:val="009214C6"/>
    <w:rsid w:val="009229FE"/>
    <w:rsid w:val="00923246"/>
    <w:rsid w:val="009232BB"/>
    <w:rsid w:val="0092416E"/>
    <w:rsid w:val="00936DFF"/>
    <w:rsid w:val="00937641"/>
    <w:rsid w:val="00941626"/>
    <w:rsid w:val="00942BE7"/>
    <w:rsid w:val="0094576B"/>
    <w:rsid w:val="00954B99"/>
    <w:rsid w:val="009626C4"/>
    <w:rsid w:val="009639F7"/>
    <w:rsid w:val="00963A1F"/>
    <w:rsid w:val="00967FC7"/>
    <w:rsid w:val="00972BA7"/>
    <w:rsid w:val="00973C6C"/>
    <w:rsid w:val="0097457B"/>
    <w:rsid w:val="00984A02"/>
    <w:rsid w:val="009864E6"/>
    <w:rsid w:val="009877F0"/>
    <w:rsid w:val="00987B28"/>
    <w:rsid w:val="00990A1C"/>
    <w:rsid w:val="00993848"/>
    <w:rsid w:val="0099486E"/>
    <w:rsid w:val="00994B67"/>
    <w:rsid w:val="009A0544"/>
    <w:rsid w:val="009B06AA"/>
    <w:rsid w:val="009B386F"/>
    <w:rsid w:val="009B7A6B"/>
    <w:rsid w:val="009C383F"/>
    <w:rsid w:val="009C40EB"/>
    <w:rsid w:val="009C4A18"/>
    <w:rsid w:val="009C6288"/>
    <w:rsid w:val="009C6425"/>
    <w:rsid w:val="009D547F"/>
    <w:rsid w:val="009E319A"/>
    <w:rsid w:val="009E36DE"/>
    <w:rsid w:val="009E4BD8"/>
    <w:rsid w:val="009E6118"/>
    <w:rsid w:val="009F2073"/>
    <w:rsid w:val="00A00062"/>
    <w:rsid w:val="00A02C56"/>
    <w:rsid w:val="00A10316"/>
    <w:rsid w:val="00A11782"/>
    <w:rsid w:val="00A11F9B"/>
    <w:rsid w:val="00A127EA"/>
    <w:rsid w:val="00A13B4A"/>
    <w:rsid w:val="00A1754C"/>
    <w:rsid w:val="00A20DF5"/>
    <w:rsid w:val="00A26D6E"/>
    <w:rsid w:val="00A2738C"/>
    <w:rsid w:val="00A27EF5"/>
    <w:rsid w:val="00A32DDD"/>
    <w:rsid w:val="00A3611E"/>
    <w:rsid w:val="00A36364"/>
    <w:rsid w:val="00A3787D"/>
    <w:rsid w:val="00A37EB8"/>
    <w:rsid w:val="00A47669"/>
    <w:rsid w:val="00A5184C"/>
    <w:rsid w:val="00A56C58"/>
    <w:rsid w:val="00A6596A"/>
    <w:rsid w:val="00A72A71"/>
    <w:rsid w:val="00A72F2B"/>
    <w:rsid w:val="00A774DE"/>
    <w:rsid w:val="00A81613"/>
    <w:rsid w:val="00A820B6"/>
    <w:rsid w:val="00A82555"/>
    <w:rsid w:val="00A831F1"/>
    <w:rsid w:val="00A90A9F"/>
    <w:rsid w:val="00A96D09"/>
    <w:rsid w:val="00A97EA5"/>
    <w:rsid w:val="00AA15D5"/>
    <w:rsid w:val="00AA1C0C"/>
    <w:rsid w:val="00AA3F6D"/>
    <w:rsid w:val="00AA5D32"/>
    <w:rsid w:val="00AA7F13"/>
    <w:rsid w:val="00AC216E"/>
    <w:rsid w:val="00AD026E"/>
    <w:rsid w:val="00AE2FCA"/>
    <w:rsid w:val="00AE4776"/>
    <w:rsid w:val="00AE5EB6"/>
    <w:rsid w:val="00AE6789"/>
    <w:rsid w:val="00AF2237"/>
    <w:rsid w:val="00AF2BE1"/>
    <w:rsid w:val="00AF31F7"/>
    <w:rsid w:val="00AF4925"/>
    <w:rsid w:val="00AF6EE1"/>
    <w:rsid w:val="00B00558"/>
    <w:rsid w:val="00B0120E"/>
    <w:rsid w:val="00B0446B"/>
    <w:rsid w:val="00B066F6"/>
    <w:rsid w:val="00B0744C"/>
    <w:rsid w:val="00B14287"/>
    <w:rsid w:val="00B14CC7"/>
    <w:rsid w:val="00B1630F"/>
    <w:rsid w:val="00B165E7"/>
    <w:rsid w:val="00B23853"/>
    <w:rsid w:val="00B31B69"/>
    <w:rsid w:val="00B40242"/>
    <w:rsid w:val="00B40E5B"/>
    <w:rsid w:val="00B44397"/>
    <w:rsid w:val="00B463CF"/>
    <w:rsid w:val="00B47423"/>
    <w:rsid w:val="00B52D99"/>
    <w:rsid w:val="00B63B06"/>
    <w:rsid w:val="00B64A02"/>
    <w:rsid w:val="00B67EB0"/>
    <w:rsid w:val="00B67F4F"/>
    <w:rsid w:val="00B70734"/>
    <w:rsid w:val="00B72031"/>
    <w:rsid w:val="00B74841"/>
    <w:rsid w:val="00B75A4A"/>
    <w:rsid w:val="00B86316"/>
    <w:rsid w:val="00B867E8"/>
    <w:rsid w:val="00B94912"/>
    <w:rsid w:val="00B94E7A"/>
    <w:rsid w:val="00B95FF6"/>
    <w:rsid w:val="00BA0B19"/>
    <w:rsid w:val="00BA1906"/>
    <w:rsid w:val="00BA46F7"/>
    <w:rsid w:val="00BB4182"/>
    <w:rsid w:val="00BB4268"/>
    <w:rsid w:val="00BB4CFF"/>
    <w:rsid w:val="00BB5382"/>
    <w:rsid w:val="00BC0536"/>
    <w:rsid w:val="00BC2F3F"/>
    <w:rsid w:val="00BC312D"/>
    <w:rsid w:val="00BC427F"/>
    <w:rsid w:val="00BC4C0C"/>
    <w:rsid w:val="00BC6529"/>
    <w:rsid w:val="00BC785C"/>
    <w:rsid w:val="00BD1811"/>
    <w:rsid w:val="00BD4491"/>
    <w:rsid w:val="00BD6C34"/>
    <w:rsid w:val="00BD7C17"/>
    <w:rsid w:val="00BF5409"/>
    <w:rsid w:val="00C02D95"/>
    <w:rsid w:val="00C104DF"/>
    <w:rsid w:val="00C15E0B"/>
    <w:rsid w:val="00C17EE8"/>
    <w:rsid w:val="00C27981"/>
    <w:rsid w:val="00C27F6E"/>
    <w:rsid w:val="00C304B1"/>
    <w:rsid w:val="00C31C92"/>
    <w:rsid w:val="00C32DDB"/>
    <w:rsid w:val="00C401D9"/>
    <w:rsid w:val="00C41BDB"/>
    <w:rsid w:val="00C42516"/>
    <w:rsid w:val="00C47EA5"/>
    <w:rsid w:val="00C5379D"/>
    <w:rsid w:val="00C55AF4"/>
    <w:rsid w:val="00C55DA2"/>
    <w:rsid w:val="00C55EB7"/>
    <w:rsid w:val="00C56AA1"/>
    <w:rsid w:val="00C86B97"/>
    <w:rsid w:val="00C92051"/>
    <w:rsid w:val="00C93BF9"/>
    <w:rsid w:val="00C948FC"/>
    <w:rsid w:val="00C97A37"/>
    <w:rsid w:val="00CA0590"/>
    <w:rsid w:val="00CA26FF"/>
    <w:rsid w:val="00CA2D07"/>
    <w:rsid w:val="00CA3670"/>
    <w:rsid w:val="00CA3A36"/>
    <w:rsid w:val="00CA48D0"/>
    <w:rsid w:val="00CA4D42"/>
    <w:rsid w:val="00CA5EEE"/>
    <w:rsid w:val="00CA6807"/>
    <w:rsid w:val="00CB0833"/>
    <w:rsid w:val="00CB1FFA"/>
    <w:rsid w:val="00CB379F"/>
    <w:rsid w:val="00CB672A"/>
    <w:rsid w:val="00CD2EDD"/>
    <w:rsid w:val="00CD44CC"/>
    <w:rsid w:val="00CD5747"/>
    <w:rsid w:val="00CE20E6"/>
    <w:rsid w:val="00CE3A59"/>
    <w:rsid w:val="00CF3686"/>
    <w:rsid w:val="00D04427"/>
    <w:rsid w:val="00D06E17"/>
    <w:rsid w:val="00D07E61"/>
    <w:rsid w:val="00D12D65"/>
    <w:rsid w:val="00D1344B"/>
    <w:rsid w:val="00D16DC4"/>
    <w:rsid w:val="00D31A63"/>
    <w:rsid w:val="00D31AD6"/>
    <w:rsid w:val="00D3210B"/>
    <w:rsid w:val="00D378F0"/>
    <w:rsid w:val="00D4008A"/>
    <w:rsid w:val="00D4472C"/>
    <w:rsid w:val="00D44B90"/>
    <w:rsid w:val="00D46C10"/>
    <w:rsid w:val="00D56024"/>
    <w:rsid w:val="00D62A09"/>
    <w:rsid w:val="00D62AD3"/>
    <w:rsid w:val="00D7028E"/>
    <w:rsid w:val="00D7177F"/>
    <w:rsid w:val="00D8081A"/>
    <w:rsid w:val="00D80AAF"/>
    <w:rsid w:val="00D823D2"/>
    <w:rsid w:val="00D86A44"/>
    <w:rsid w:val="00D92302"/>
    <w:rsid w:val="00D9327F"/>
    <w:rsid w:val="00D9453E"/>
    <w:rsid w:val="00D96229"/>
    <w:rsid w:val="00DA1034"/>
    <w:rsid w:val="00DA4063"/>
    <w:rsid w:val="00DA4EF3"/>
    <w:rsid w:val="00DB0F58"/>
    <w:rsid w:val="00DB31FB"/>
    <w:rsid w:val="00DC016F"/>
    <w:rsid w:val="00DC3F03"/>
    <w:rsid w:val="00DC733C"/>
    <w:rsid w:val="00DC7C8D"/>
    <w:rsid w:val="00DC7D43"/>
    <w:rsid w:val="00DD6C9A"/>
    <w:rsid w:val="00DE0C2E"/>
    <w:rsid w:val="00DE43D8"/>
    <w:rsid w:val="00DE61A7"/>
    <w:rsid w:val="00DE61E2"/>
    <w:rsid w:val="00DF017B"/>
    <w:rsid w:val="00DF4126"/>
    <w:rsid w:val="00DF7C8F"/>
    <w:rsid w:val="00E054E0"/>
    <w:rsid w:val="00E07D4D"/>
    <w:rsid w:val="00E124A4"/>
    <w:rsid w:val="00E1503E"/>
    <w:rsid w:val="00E214E6"/>
    <w:rsid w:val="00E233AB"/>
    <w:rsid w:val="00E2541E"/>
    <w:rsid w:val="00E35D51"/>
    <w:rsid w:val="00E36EF1"/>
    <w:rsid w:val="00E46B57"/>
    <w:rsid w:val="00E5207C"/>
    <w:rsid w:val="00E53748"/>
    <w:rsid w:val="00E54ED2"/>
    <w:rsid w:val="00E55237"/>
    <w:rsid w:val="00E57871"/>
    <w:rsid w:val="00E65727"/>
    <w:rsid w:val="00E678DF"/>
    <w:rsid w:val="00E71CED"/>
    <w:rsid w:val="00E75143"/>
    <w:rsid w:val="00E80315"/>
    <w:rsid w:val="00E809ED"/>
    <w:rsid w:val="00E85A7B"/>
    <w:rsid w:val="00E91058"/>
    <w:rsid w:val="00E912E6"/>
    <w:rsid w:val="00E9408F"/>
    <w:rsid w:val="00E97B3F"/>
    <w:rsid w:val="00EB4BD2"/>
    <w:rsid w:val="00EB590E"/>
    <w:rsid w:val="00EC323C"/>
    <w:rsid w:val="00EC4FB3"/>
    <w:rsid w:val="00EC52F0"/>
    <w:rsid w:val="00ED6521"/>
    <w:rsid w:val="00EE18D1"/>
    <w:rsid w:val="00EE1F7C"/>
    <w:rsid w:val="00EE26BE"/>
    <w:rsid w:val="00EE2A8D"/>
    <w:rsid w:val="00EE328B"/>
    <w:rsid w:val="00EE3839"/>
    <w:rsid w:val="00EE683F"/>
    <w:rsid w:val="00EF2744"/>
    <w:rsid w:val="00F062CC"/>
    <w:rsid w:val="00F122AF"/>
    <w:rsid w:val="00F12AA6"/>
    <w:rsid w:val="00F14107"/>
    <w:rsid w:val="00F1543F"/>
    <w:rsid w:val="00F15A31"/>
    <w:rsid w:val="00F3040A"/>
    <w:rsid w:val="00F31E0F"/>
    <w:rsid w:val="00F33634"/>
    <w:rsid w:val="00F33C33"/>
    <w:rsid w:val="00F4235C"/>
    <w:rsid w:val="00F42B01"/>
    <w:rsid w:val="00F4323A"/>
    <w:rsid w:val="00F43FAD"/>
    <w:rsid w:val="00F466FF"/>
    <w:rsid w:val="00F46868"/>
    <w:rsid w:val="00F51CB2"/>
    <w:rsid w:val="00F5349E"/>
    <w:rsid w:val="00F5507F"/>
    <w:rsid w:val="00F55F20"/>
    <w:rsid w:val="00F61EEF"/>
    <w:rsid w:val="00F623CA"/>
    <w:rsid w:val="00F6353E"/>
    <w:rsid w:val="00F6734E"/>
    <w:rsid w:val="00F72D0E"/>
    <w:rsid w:val="00F755E7"/>
    <w:rsid w:val="00F7665C"/>
    <w:rsid w:val="00F81367"/>
    <w:rsid w:val="00F844B0"/>
    <w:rsid w:val="00F862A0"/>
    <w:rsid w:val="00F933FD"/>
    <w:rsid w:val="00F94ACC"/>
    <w:rsid w:val="00F96E75"/>
    <w:rsid w:val="00F9743F"/>
    <w:rsid w:val="00FA1EF1"/>
    <w:rsid w:val="00FA2608"/>
    <w:rsid w:val="00FA2E89"/>
    <w:rsid w:val="00FA73A3"/>
    <w:rsid w:val="00FB1F7C"/>
    <w:rsid w:val="00FC1920"/>
    <w:rsid w:val="00FC2C77"/>
    <w:rsid w:val="00FC5AE2"/>
    <w:rsid w:val="00FD0D62"/>
    <w:rsid w:val="00FD25E0"/>
    <w:rsid w:val="00FD2D6F"/>
    <w:rsid w:val="00FD4DFB"/>
    <w:rsid w:val="00FE7CE4"/>
    <w:rsid w:val="00FF4C6E"/>
    <w:rsid w:val="00FF6E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2051"/>
    <w:rPr>
      <w:color w:val="0563C1" w:themeColor="hyperlink"/>
      <w:u w:val="single"/>
    </w:rPr>
  </w:style>
  <w:style w:type="character" w:styleId="UnresolvedMention">
    <w:name w:val="Unresolved Mention"/>
    <w:basedOn w:val="DefaultParagraphFont"/>
    <w:uiPriority w:val="99"/>
    <w:semiHidden/>
    <w:unhideWhenUsed/>
    <w:rsid w:val="004B0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redit.lv" TargetMode="External"/><Relationship Id="rId3" Type="http://schemas.openxmlformats.org/officeDocument/2006/relationships/settings" Target="settings.xml"/><Relationship Id="rId7" Type="http://schemas.openxmlformats.org/officeDocument/2006/relationships/hyperlink" Target="https://manas.tiesas.lv/eTiesasMvc/eclinolemumi/ECLI:LV:AT:2020:1222.A420185217.1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B693-D6AE-45F6-AF35-1CF4691D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24579</Words>
  <Characters>14011</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2020-12-29T09:31:00Z</dcterms:created>
  <dcterms:modified xsi:type="dcterms:W3CDTF">2021-01-22T12:57:00Z</dcterms:modified>
</cp:coreProperties>
</file>