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943B" w14:textId="66BD90A5" w:rsidR="002A52E2" w:rsidRPr="009A4C7C" w:rsidRDefault="009A4C7C" w:rsidP="009A4C7C">
      <w:pPr>
        <w:pStyle w:val="BodyText2"/>
        <w:spacing w:line="276" w:lineRule="auto"/>
        <w:contextualSpacing/>
        <w:jc w:val="both"/>
        <w:outlineLvl w:val="0"/>
        <w:rPr>
          <w:rFonts w:ascii="Times New Roman" w:hAnsi="Times New Roman"/>
          <w:b/>
          <w:bCs/>
          <w:sz w:val="24"/>
          <w:szCs w:val="24"/>
        </w:rPr>
      </w:pPr>
      <w:r w:rsidRPr="009A4C7C">
        <w:rPr>
          <w:rFonts w:ascii="Times New Roman" w:hAnsi="Times New Roman"/>
          <w:b/>
          <w:bCs/>
          <w:sz w:val="24"/>
          <w:szCs w:val="24"/>
        </w:rPr>
        <w:t>Izvairīšanās no uzturēšanas</w:t>
      </w:r>
    </w:p>
    <w:p w14:paraId="11630667" w14:textId="1EF94595" w:rsidR="009A4C7C" w:rsidRPr="009A4C7C" w:rsidRDefault="009A4C7C" w:rsidP="009A4C7C">
      <w:pPr>
        <w:pStyle w:val="BodyText2"/>
        <w:spacing w:line="276" w:lineRule="auto"/>
        <w:contextualSpacing/>
        <w:jc w:val="both"/>
        <w:outlineLvl w:val="0"/>
        <w:rPr>
          <w:rFonts w:ascii="Times New Roman" w:hAnsi="Times New Roman"/>
          <w:b/>
          <w:bCs/>
          <w:sz w:val="24"/>
          <w:szCs w:val="24"/>
        </w:rPr>
      </w:pPr>
    </w:p>
    <w:p w14:paraId="5BEF2664" w14:textId="57AC73F0" w:rsidR="009A4C7C" w:rsidRPr="009A4C7C" w:rsidRDefault="009A4C7C" w:rsidP="009A4C7C">
      <w:pPr>
        <w:pStyle w:val="BodyText2"/>
        <w:spacing w:line="276" w:lineRule="auto"/>
        <w:contextualSpacing/>
        <w:jc w:val="both"/>
        <w:outlineLvl w:val="0"/>
        <w:rPr>
          <w:rFonts w:ascii="Times New Roman" w:hAnsi="Times New Roman"/>
          <w:sz w:val="24"/>
          <w:szCs w:val="24"/>
        </w:rPr>
      </w:pPr>
      <w:r w:rsidRPr="009A4C7C">
        <w:rPr>
          <w:rFonts w:ascii="Times New Roman" w:hAnsi="Times New Roman"/>
          <w:b/>
          <w:bCs/>
          <w:sz w:val="24"/>
          <w:szCs w:val="24"/>
        </w:rPr>
        <w:t>Morālā kaitējuma kompensācijas apmēra noteikšana</w:t>
      </w:r>
    </w:p>
    <w:p w14:paraId="367B74E6" w14:textId="6A908C9D" w:rsidR="002A52E2" w:rsidRPr="009A4C7C" w:rsidRDefault="002A52E2" w:rsidP="002A52E2">
      <w:pPr>
        <w:pStyle w:val="BodyText2"/>
        <w:spacing w:line="276" w:lineRule="auto"/>
        <w:ind w:firstLine="720"/>
        <w:contextualSpacing/>
        <w:outlineLvl w:val="0"/>
        <w:rPr>
          <w:rFonts w:ascii="Times New Roman" w:hAnsi="Times New Roman"/>
          <w:sz w:val="24"/>
          <w:szCs w:val="24"/>
        </w:rPr>
      </w:pPr>
    </w:p>
    <w:p w14:paraId="78323D61" w14:textId="1E9AD052" w:rsidR="002A52E2" w:rsidRPr="009A4C7C" w:rsidRDefault="002A52E2" w:rsidP="009A4C7C">
      <w:pPr>
        <w:pStyle w:val="BodyText2"/>
        <w:spacing w:line="276" w:lineRule="auto"/>
        <w:contextualSpacing/>
        <w:jc w:val="left"/>
        <w:rPr>
          <w:rFonts w:ascii="Times New Roman" w:hAnsi="Times New Roman"/>
          <w:sz w:val="24"/>
          <w:szCs w:val="24"/>
        </w:rPr>
      </w:pPr>
    </w:p>
    <w:p w14:paraId="4E2DB2A7" w14:textId="77777777" w:rsidR="009A4C7C" w:rsidRPr="009A4C7C" w:rsidRDefault="002A52E2" w:rsidP="002A52E2">
      <w:pPr>
        <w:spacing w:line="276" w:lineRule="auto"/>
        <w:ind w:firstLine="720"/>
        <w:contextualSpacing/>
        <w:jc w:val="center"/>
        <w:rPr>
          <w:b/>
        </w:rPr>
      </w:pPr>
      <w:r w:rsidRPr="009A4C7C">
        <w:rPr>
          <w:b/>
        </w:rPr>
        <w:t>Latvijas Republikas Senāt</w:t>
      </w:r>
      <w:r w:rsidR="009A4C7C" w:rsidRPr="009A4C7C">
        <w:rPr>
          <w:b/>
        </w:rPr>
        <w:t>a</w:t>
      </w:r>
      <w:r w:rsidRPr="009A4C7C">
        <w:rPr>
          <w:b/>
        </w:rPr>
        <w:t xml:space="preserve"> </w:t>
      </w:r>
    </w:p>
    <w:p w14:paraId="4CAF7BC4" w14:textId="77777777" w:rsidR="009A4C7C" w:rsidRPr="009A4C7C" w:rsidRDefault="009A4C7C" w:rsidP="002A52E2">
      <w:pPr>
        <w:spacing w:line="276" w:lineRule="auto"/>
        <w:ind w:firstLine="720"/>
        <w:contextualSpacing/>
        <w:jc w:val="center"/>
        <w:rPr>
          <w:b/>
        </w:rPr>
      </w:pPr>
      <w:r w:rsidRPr="009A4C7C">
        <w:rPr>
          <w:b/>
        </w:rPr>
        <w:t>Krimināllietu departamenta</w:t>
      </w:r>
    </w:p>
    <w:p w14:paraId="3A69A4F4" w14:textId="5EA3CAFF" w:rsidR="002A52E2" w:rsidRPr="009A4C7C" w:rsidRDefault="009A4C7C" w:rsidP="002A52E2">
      <w:pPr>
        <w:spacing w:line="276" w:lineRule="auto"/>
        <w:ind w:firstLine="720"/>
        <w:contextualSpacing/>
        <w:jc w:val="center"/>
        <w:rPr>
          <w:b/>
        </w:rPr>
      </w:pPr>
      <w:proofErr w:type="gramStart"/>
      <w:r w:rsidRPr="009A4C7C">
        <w:rPr>
          <w:b/>
        </w:rPr>
        <w:t>2021.gada</w:t>
      </w:r>
      <w:proofErr w:type="gramEnd"/>
      <w:r w:rsidRPr="009A4C7C">
        <w:rPr>
          <w:b/>
        </w:rPr>
        <w:t xml:space="preserve"> 12.februāra</w:t>
      </w:r>
    </w:p>
    <w:p w14:paraId="2F8E3E37" w14:textId="77777777" w:rsidR="009A4C7C" w:rsidRPr="009A4C7C" w:rsidRDefault="002A52E2" w:rsidP="002A52E2">
      <w:pPr>
        <w:spacing w:line="276" w:lineRule="auto"/>
        <w:ind w:firstLine="720"/>
        <w:contextualSpacing/>
        <w:jc w:val="center"/>
        <w:rPr>
          <w:b/>
        </w:rPr>
      </w:pPr>
      <w:r w:rsidRPr="009A4C7C">
        <w:rPr>
          <w:b/>
        </w:rPr>
        <w:t>LĒMUMS</w:t>
      </w:r>
      <w:r w:rsidR="009A4C7C" w:rsidRPr="009A4C7C">
        <w:rPr>
          <w:b/>
        </w:rPr>
        <w:t xml:space="preserve"> </w:t>
      </w:r>
    </w:p>
    <w:p w14:paraId="01EA0215" w14:textId="2BF71E07" w:rsidR="002A52E2" w:rsidRPr="009A4C7C" w:rsidRDefault="009A4C7C" w:rsidP="002A52E2">
      <w:pPr>
        <w:spacing w:line="276" w:lineRule="auto"/>
        <w:ind w:firstLine="720"/>
        <w:contextualSpacing/>
        <w:jc w:val="center"/>
        <w:rPr>
          <w:b/>
        </w:rPr>
      </w:pPr>
      <w:r w:rsidRPr="009A4C7C">
        <w:rPr>
          <w:b/>
        </w:rPr>
        <w:t>Lieta Nr. 11261094816, SKK-73/2021</w:t>
      </w:r>
    </w:p>
    <w:p w14:paraId="4247C33E" w14:textId="3D43D5BF" w:rsidR="009A4C7C" w:rsidRPr="009A4C7C" w:rsidRDefault="00503301" w:rsidP="002A52E2">
      <w:pPr>
        <w:spacing w:line="276" w:lineRule="auto"/>
        <w:ind w:firstLine="720"/>
        <w:contextualSpacing/>
        <w:jc w:val="center"/>
        <w:rPr>
          <w:bCs/>
        </w:rPr>
      </w:pPr>
      <w:hyperlink r:id="rId8" w:history="1">
        <w:r w:rsidR="009A4C7C" w:rsidRPr="009A4C7C">
          <w:rPr>
            <w:rStyle w:val="Hyperlink"/>
            <w:bCs/>
            <w:shd w:val="clear" w:color="auto" w:fill="FFFFFF"/>
          </w:rPr>
          <w:t>ECLI:LV:AT:2021:0212.11261094816.5.L</w:t>
        </w:r>
      </w:hyperlink>
    </w:p>
    <w:p w14:paraId="095E8027" w14:textId="093828E1" w:rsidR="002A52E2" w:rsidRPr="009E6006" w:rsidRDefault="002A52E2" w:rsidP="002A52E2">
      <w:pPr>
        <w:spacing w:line="276" w:lineRule="auto"/>
        <w:ind w:firstLine="720"/>
        <w:contextualSpacing/>
        <w:jc w:val="center"/>
        <w:outlineLvl w:val="0"/>
      </w:pPr>
    </w:p>
    <w:p w14:paraId="09670535" w14:textId="77777777" w:rsidR="002A52E2" w:rsidRPr="009E6006" w:rsidRDefault="002A52E2" w:rsidP="00934987">
      <w:pPr>
        <w:spacing w:line="276" w:lineRule="auto"/>
        <w:ind w:firstLine="652"/>
        <w:contextualSpacing/>
        <w:jc w:val="center"/>
      </w:pPr>
    </w:p>
    <w:p w14:paraId="503F6CBA" w14:textId="77777777" w:rsidR="002A52E2" w:rsidRPr="00A45415" w:rsidRDefault="002A52E2" w:rsidP="00934987">
      <w:pPr>
        <w:spacing w:line="276" w:lineRule="auto"/>
        <w:ind w:firstLine="652"/>
        <w:contextualSpacing/>
      </w:pPr>
      <w:r>
        <w:t>Tiesa šādā sastāvā</w:t>
      </w:r>
      <w:r w:rsidRPr="007E0DE2">
        <w:t xml:space="preserve">: </w:t>
      </w:r>
      <w:r>
        <w:t xml:space="preserve">senatori Aija Branta, Sandra Kaija, Aivars Uminskis </w:t>
      </w:r>
    </w:p>
    <w:p w14:paraId="2C3B0C24" w14:textId="77777777" w:rsidR="002A52E2" w:rsidRPr="009E6006" w:rsidRDefault="002A52E2" w:rsidP="00934987">
      <w:pPr>
        <w:tabs>
          <w:tab w:val="left" w:pos="-3120"/>
        </w:tabs>
        <w:suppressAutoHyphens/>
        <w:spacing w:line="276" w:lineRule="auto"/>
        <w:ind w:firstLine="652"/>
        <w:contextualSpacing/>
        <w:jc w:val="both"/>
      </w:pPr>
    </w:p>
    <w:p w14:paraId="704D9B97" w14:textId="5B4CE0DC" w:rsidR="002A1ADD" w:rsidRDefault="002A52E2" w:rsidP="002A1ADD">
      <w:pPr>
        <w:tabs>
          <w:tab w:val="left" w:pos="-3120"/>
        </w:tabs>
        <w:suppressAutoHyphens/>
        <w:spacing w:line="276" w:lineRule="auto"/>
        <w:ind w:firstLine="652"/>
        <w:contextualSpacing/>
        <w:jc w:val="both"/>
      </w:pPr>
      <w:r w:rsidRPr="009E6006">
        <w:t xml:space="preserve">izskatīja </w:t>
      </w:r>
      <w:r>
        <w:t>rakstveida</w:t>
      </w:r>
      <w:r w:rsidRPr="009E6006">
        <w:t xml:space="preserve"> procesā krimināllietu sakarā ar</w:t>
      </w:r>
      <w:r>
        <w:t xml:space="preserve"> cietušās </w:t>
      </w:r>
      <w:r w:rsidR="009A4C7C">
        <w:t>[pers. A]</w:t>
      </w:r>
      <w:r>
        <w:t xml:space="preserve"> kasācijas sūdzību par Kurzemes apgabaltiesas </w:t>
      </w:r>
      <w:proofErr w:type="gramStart"/>
      <w:r>
        <w:t>2020.gada</w:t>
      </w:r>
      <w:proofErr w:type="gramEnd"/>
      <w:r>
        <w:t xml:space="preserve"> 17.jūnija lēmumu</w:t>
      </w:r>
      <w:r w:rsidRPr="009E6006">
        <w:t>.</w:t>
      </w:r>
    </w:p>
    <w:p w14:paraId="6C56D9E0" w14:textId="77777777" w:rsidR="002A1ADD" w:rsidRDefault="002A1ADD" w:rsidP="002A1ADD">
      <w:pPr>
        <w:tabs>
          <w:tab w:val="left" w:pos="-3120"/>
        </w:tabs>
        <w:suppressAutoHyphens/>
        <w:spacing w:line="276" w:lineRule="auto"/>
        <w:ind w:firstLine="652"/>
        <w:contextualSpacing/>
        <w:jc w:val="both"/>
      </w:pPr>
    </w:p>
    <w:p w14:paraId="5AF1677A" w14:textId="77777777" w:rsidR="002A1ADD" w:rsidRPr="002A1ADD" w:rsidRDefault="002A1ADD" w:rsidP="002A1ADD">
      <w:pPr>
        <w:spacing w:line="276" w:lineRule="auto"/>
        <w:ind w:firstLine="652"/>
        <w:contextualSpacing/>
        <w:jc w:val="center"/>
        <w:rPr>
          <w:b/>
        </w:rPr>
      </w:pPr>
      <w:r w:rsidRPr="009E6006">
        <w:rPr>
          <w:b/>
        </w:rPr>
        <w:t>Aprakstošā daļa</w:t>
      </w:r>
    </w:p>
    <w:p w14:paraId="7A1B8BF5" w14:textId="77777777" w:rsidR="002A1ADD" w:rsidRDefault="002A1ADD" w:rsidP="002A1ADD">
      <w:pPr>
        <w:tabs>
          <w:tab w:val="left" w:pos="-3120"/>
        </w:tabs>
        <w:suppressAutoHyphens/>
        <w:spacing w:line="276" w:lineRule="auto"/>
        <w:ind w:firstLine="652"/>
        <w:contextualSpacing/>
        <w:jc w:val="both"/>
      </w:pPr>
    </w:p>
    <w:p w14:paraId="0DD531A4" w14:textId="77777777" w:rsidR="002A52E2" w:rsidRPr="009E6006" w:rsidRDefault="002A52E2" w:rsidP="002A1ADD">
      <w:pPr>
        <w:tabs>
          <w:tab w:val="left" w:pos="-3120"/>
        </w:tabs>
        <w:suppressAutoHyphens/>
        <w:spacing w:line="276" w:lineRule="auto"/>
        <w:ind w:firstLine="652"/>
        <w:contextualSpacing/>
        <w:jc w:val="both"/>
      </w:pPr>
      <w:r>
        <w:t xml:space="preserve">[1] </w:t>
      </w:r>
      <w:r w:rsidRPr="009E6006">
        <w:t>Ar</w:t>
      </w:r>
      <w:r>
        <w:t xml:space="preserve"> Kurzemes rajona tiesas </w:t>
      </w:r>
      <w:proofErr w:type="gramStart"/>
      <w:r>
        <w:t>2019.gada</w:t>
      </w:r>
      <w:proofErr w:type="gramEnd"/>
      <w:r>
        <w:t xml:space="preserve"> 12.septembra</w:t>
      </w:r>
      <w:r w:rsidRPr="009E6006">
        <w:t xml:space="preserve"> spriedumu</w:t>
      </w:r>
      <w:r>
        <w:t xml:space="preserve">  </w:t>
      </w:r>
    </w:p>
    <w:p w14:paraId="46DE08F7" w14:textId="5157BD52" w:rsidR="002A52E2" w:rsidRPr="009E6006" w:rsidRDefault="003E6EC2" w:rsidP="00934987">
      <w:pPr>
        <w:pStyle w:val="tv213"/>
        <w:spacing w:before="0" w:beforeAutospacing="0" w:after="0" w:afterAutospacing="0" w:line="276" w:lineRule="auto"/>
        <w:ind w:firstLine="652"/>
        <w:contextualSpacing/>
        <w:jc w:val="both"/>
      </w:pPr>
      <w:r>
        <w:t>[pers. B]</w:t>
      </w:r>
      <w:r w:rsidR="002A52E2">
        <w:t>,</w:t>
      </w:r>
      <w:r w:rsidR="002A52E2" w:rsidRPr="009E6006">
        <w:t xml:space="preserve"> personas kods </w:t>
      </w:r>
      <w:r>
        <w:t>[..]</w:t>
      </w:r>
      <w:r w:rsidR="002A52E2" w:rsidRPr="009E6006">
        <w:t>,</w:t>
      </w:r>
    </w:p>
    <w:p w14:paraId="4F0AC1E6" w14:textId="77777777" w:rsidR="002A52E2" w:rsidRDefault="002A52E2" w:rsidP="00934987">
      <w:pPr>
        <w:spacing w:line="276" w:lineRule="auto"/>
        <w:ind w:firstLine="652"/>
        <w:contextualSpacing/>
        <w:jc w:val="both"/>
      </w:pPr>
      <w:r w:rsidRPr="009E6006">
        <w:t xml:space="preserve">atzīts par vainīgu </w:t>
      </w:r>
      <w:r>
        <w:t xml:space="preserve">Krimināllikuma </w:t>
      </w:r>
      <w:proofErr w:type="gramStart"/>
      <w:r>
        <w:t>170.pantā</w:t>
      </w:r>
      <w:proofErr w:type="gramEnd"/>
      <w:r>
        <w:t xml:space="preserve"> (likuma redakcijā līdz 2017.gada 31.decembrim) paredzētajā noziedzīgajā nodarījumā un sodīts ar piespiedu darbu uz 60 stundām.</w:t>
      </w:r>
    </w:p>
    <w:p w14:paraId="6ABD6A0C" w14:textId="2C506948" w:rsidR="00750C26" w:rsidRDefault="00750C26" w:rsidP="00934987">
      <w:pPr>
        <w:spacing w:line="276" w:lineRule="auto"/>
        <w:ind w:firstLine="652"/>
        <w:contextualSpacing/>
        <w:jc w:val="both"/>
      </w:pPr>
      <w:r>
        <w:t>Materiāl</w:t>
      </w:r>
      <w:r w:rsidR="00D97677">
        <w:t>ā</w:t>
      </w:r>
      <w:r>
        <w:t xml:space="preserve"> kaitējuma kompensāciju cietušās </w:t>
      </w:r>
      <w:r w:rsidR="003E6EC2">
        <w:t>[pers. A]</w:t>
      </w:r>
      <w:r>
        <w:t xml:space="preserve"> labā nolemts nenoteikt.</w:t>
      </w:r>
    </w:p>
    <w:p w14:paraId="7F9A31DC" w14:textId="6B6055A7" w:rsidR="00CA5C82" w:rsidRDefault="002A52E2" w:rsidP="00934987">
      <w:pPr>
        <w:spacing w:line="276" w:lineRule="auto"/>
        <w:ind w:firstLine="652"/>
        <w:contextualSpacing/>
        <w:jc w:val="both"/>
      </w:pPr>
      <w:r>
        <w:t xml:space="preserve">No </w:t>
      </w:r>
      <w:r w:rsidR="003E6EC2">
        <w:t>[pers. B]</w:t>
      </w:r>
      <w:r>
        <w:t xml:space="preserve"> cietušās </w:t>
      </w:r>
      <w:r w:rsidR="003E6EC2">
        <w:t>[pers. A]</w:t>
      </w:r>
      <w:r>
        <w:t xml:space="preserve"> labā piedzīta </w:t>
      </w:r>
      <w:r w:rsidR="00750C26">
        <w:t>morālā</w:t>
      </w:r>
      <w:r>
        <w:t xml:space="preserve"> kaitējuma kompensācija </w:t>
      </w:r>
      <w:r w:rsidR="00750C26">
        <w:t>200</w:t>
      </w:r>
      <w:r w:rsidR="00750C26">
        <w:rPr>
          <w:i/>
          <w:iCs/>
        </w:rPr>
        <w:t> </w:t>
      </w:r>
      <w:proofErr w:type="spellStart"/>
      <w:r w:rsidRPr="00DE68AA">
        <w:rPr>
          <w:i/>
          <w:iCs/>
        </w:rPr>
        <w:t>euro</w:t>
      </w:r>
      <w:proofErr w:type="spellEnd"/>
      <w:r>
        <w:t>.</w:t>
      </w:r>
      <w:r w:rsidR="00750C26">
        <w:t xml:space="preserve"> Pārējā daļā morāl</w:t>
      </w:r>
      <w:r w:rsidR="00D97677">
        <w:t>ā</w:t>
      </w:r>
      <w:r w:rsidR="00750C26">
        <w:t xml:space="preserve"> kaitējuma kompensāciju nolemts nenoteikt. </w:t>
      </w:r>
    </w:p>
    <w:p w14:paraId="5977CD84" w14:textId="77777777" w:rsidR="002A52E2" w:rsidRDefault="002A52E2" w:rsidP="00934987">
      <w:pPr>
        <w:spacing w:line="276" w:lineRule="auto"/>
        <w:ind w:firstLine="652"/>
        <w:contextualSpacing/>
        <w:jc w:val="both"/>
      </w:pPr>
    </w:p>
    <w:p w14:paraId="64141FE3" w14:textId="5019EE20" w:rsidR="002A52E2" w:rsidRDefault="002A52E2" w:rsidP="00934987">
      <w:pPr>
        <w:spacing w:line="276" w:lineRule="auto"/>
        <w:ind w:firstLine="652"/>
        <w:contextualSpacing/>
        <w:jc w:val="both"/>
      </w:pPr>
      <w:r>
        <w:t xml:space="preserve">[2] Ar </w:t>
      </w:r>
      <w:r w:rsidR="00750C26">
        <w:t xml:space="preserve">Kurzemes rajona tiesas </w:t>
      </w:r>
      <w:proofErr w:type="gramStart"/>
      <w:r w:rsidR="00750C26">
        <w:t>2019.gada</w:t>
      </w:r>
      <w:proofErr w:type="gramEnd"/>
      <w:r w:rsidR="00750C26">
        <w:t xml:space="preserve"> 12.septembra</w:t>
      </w:r>
      <w:r w:rsidR="00750C26" w:rsidRPr="009E6006">
        <w:t xml:space="preserve"> spriedumu</w:t>
      </w:r>
      <w:r w:rsidR="00750C26">
        <w:t xml:space="preserve"> </w:t>
      </w:r>
      <w:r w:rsidR="003E6EC2">
        <w:t>[pers. B]</w:t>
      </w:r>
      <w:r>
        <w:t xml:space="preserve"> atzīts par vainīgu un sodīts pēc Krimināllikuma </w:t>
      </w:r>
      <w:r w:rsidR="00750C26">
        <w:t>170</w:t>
      </w:r>
      <w:r>
        <w:t xml:space="preserve">.panta par </w:t>
      </w:r>
      <w:r w:rsidR="00750C26">
        <w:t>izvairīšanos apgādāt un dot uzturu bijušajai laulātajai, ja tāds pienākums uzlikts ar tiesas spriedumu.</w:t>
      </w:r>
    </w:p>
    <w:p w14:paraId="7318269F" w14:textId="77777777" w:rsidR="002A52E2" w:rsidRDefault="002A52E2" w:rsidP="00934987">
      <w:pPr>
        <w:spacing w:line="276" w:lineRule="auto"/>
        <w:ind w:firstLine="652"/>
        <w:contextualSpacing/>
        <w:jc w:val="both"/>
      </w:pPr>
    </w:p>
    <w:p w14:paraId="008E95D4" w14:textId="208B8DDD" w:rsidR="00750C26" w:rsidRDefault="002A52E2" w:rsidP="00934987">
      <w:pPr>
        <w:spacing w:line="276" w:lineRule="auto"/>
        <w:ind w:firstLine="652"/>
        <w:contextualSpacing/>
        <w:jc w:val="both"/>
      </w:pPr>
      <w:r>
        <w:t xml:space="preserve">[3] Ar </w:t>
      </w:r>
      <w:r w:rsidR="00750C26">
        <w:t xml:space="preserve">Kurzemes apgabaltiesas </w:t>
      </w:r>
      <w:proofErr w:type="gramStart"/>
      <w:r w:rsidR="00750C26">
        <w:t>2020.gada</w:t>
      </w:r>
      <w:proofErr w:type="gramEnd"/>
      <w:r w:rsidR="00750C26">
        <w:t xml:space="preserve"> 17.jūnija lēmumu, iztiesājot lietu sakarā ar apsūdzētā </w:t>
      </w:r>
      <w:r w:rsidR="003E6EC2">
        <w:t>[pers. B]</w:t>
      </w:r>
      <w:r w:rsidR="00750C26">
        <w:t xml:space="preserve"> aizstāvja Andra Purmaļa un cietušās </w:t>
      </w:r>
      <w:r w:rsidR="003E6EC2">
        <w:t>[pers. A]</w:t>
      </w:r>
      <w:r w:rsidR="00750C26">
        <w:t xml:space="preserve"> apelācijas sūdzībām, Kurzemes rajona tiesas 2019.gada 12.septembra</w:t>
      </w:r>
      <w:r w:rsidR="00750C26" w:rsidRPr="009E6006">
        <w:t xml:space="preserve"> spriedum</w:t>
      </w:r>
      <w:r w:rsidR="00750C26">
        <w:t>s atstāts negrozīts.</w:t>
      </w:r>
    </w:p>
    <w:p w14:paraId="7916A76D" w14:textId="77777777" w:rsidR="00750C26" w:rsidRDefault="00750C26" w:rsidP="00934987">
      <w:pPr>
        <w:spacing w:line="276" w:lineRule="auto"/>
        <w:ind w:firstLine="652"/>
        <w:contextualSpacing/>
        <w:jc w:val="both"/>
      </w:pPr>
    </w:p>
    <w:p w14:paraId="7521F064" w14:textId="063DEED0" w:rsidR="00B239F7" w:rsidRDefault="002A52E2" w:rsidP="00202C71">
      <w:pPr>
        <w:spacing w:line="276" w:lineRule="auto"/>
        <w:ind w:firstLine="652"/>
        <w:contextualSpacing/>
        <w:jc w:val="both"/>
      </w:pPr>
      <w:r>
        <w:t xml:space="preserve">[4] Par </w:t>
      </w:r>
      <w:r w:rsidR="00750C26">
        <w:t xml:space="preserve">Kurzemes apgabaltiesas </w:t>
      </w:r>
      <w:proofErr w:type="gramStart"/>
      <w:r w:rsidR="00750C26">
        <w:t>2020.gada</w:t>
      </w:r>
      <w:proofErr w:type="gramEnd"/>
      <w:r w:rsidR="00750C26">
        <w:t xml:space="preserve"> 17.jūnija lēmumu </w:t>
      </w:r>
      <w:r>
        <w:t xml:space="preserve">kasācijas sūdzību </w:t>
      </w:r>
      <w:r w:rsidR="00750C26">
        <w:t xml:space="preserve">iesniegusi cietusī </w:t>
      </w:r>
      <w:r w:rsidR="003E6EC2">
        <w:t>[pers. A]</w:t>
      </w:r>
      <w:r>
        <w:t xml:space="preserve">, lūdzot atcelt </w:t>
      </w:r>
      <w:r w:rsidR="00750C26">
        <w:t xml:space="preserve">lēmumu daļā par apsūdzētajam </w:t>
      </w:r>
      <w:r w:rsidR="003E6EC2">
        <w:t>[pers. B]</w:t>
      </w:r>
      <w:r w:rsidR="00750C26">
        <w:t xml:space="preserve"> piespriesto sodu un noteikto morālā</w:t>
      </w:r>
      <w:r w:rsidR="00202C71">
        <w:t xml:space="preserve"> kaitējuma kompensācijas apmēru </w:t>
      </w:r>
      <w:r w:rsidR="005831B0">
        <w:t xml:space="preserve">un atceltajā daļā nosūtīt lietu jaunai izskatīšanai apelācijas instances tiesā </w:t>
      </w:r>
      <w:r w:rsidR="00202C71">
        <w:t>sakarā ar tiesas pieļaut</w:t>
      </w:r>
      <w:r w:rsidR="007649F3">
        <w:t>ajiem</w:t>
      </w:r>
      <w:r w:rsidR="00202C71">
        <w:t xml:space="preserve"> Kriminālprocesa likuma </w:t>
      </w:r>
      <w:proofErr w:type="gramStart"/>
      <w:r w:rsidR="00202C71">
        <w:t>128.panta</w:t>
      </w:r>
      <w:proofErr w:type="gramEnd"/>
      <w:r w:rsidR="00202C71">
        <w:t xml:space="preserve"> otrās daļas, 511., 512.panta, 562.panta pirmās daļas un 564.panta ceturtās daļas pārkāpum</w:t>
      </w:r>
      <w:r w:rsidR="007649F3">
        <w:t>iem</w:t>
      </w:r>
      <w:r w:rsidR="00202C71">
        <w:t>, kas atzīstam</w:t>
      </w:r>
      <w:r w:rsidR="00AD65AA">
        <w:t>i</w:t>
      </w:r>
      <w:r w:rsidR="00202C71">
        <w:t xml:space="preserve"> par Kriminālprocesa likuma būtisku pārkāpumu</w:t>
      </w:r>
      <w:r w:rsidR="00F57C31">
        <w:t xml:space="preserve"> šā likuma 575.panta trešās daļas izpratnē</w:t>
      </w:r>
      <w:r w:rsidR="00285A9B">
        <w:t>.</w:t>
      </w:r>
    </w:p>
    <w:p w14:paraId="32101202" w14:textId="19E9C5F1" w:rsidR="00750C26" w:rsidRDefault="00750C26" w:rsidP="00202C71">
      <w:pPr>
        <w:spacing w:line="276" w:lineRule="auto"/>
        <w:ind w:firstLine="652"/>
        <w:contextualSpacing/>
        <w:jc w:val="both"/>
      </w:pPr>
      <w:r>
        <w:lastRenderedPageBreak/>
        <w:t xml:space="preserve">Kasācijas sūdzībā </w:t>
      </w:r>
      <w:r w:rsidR="00CA5C82">
        <w:t xml:space="preserve">izteikto </w:t>
      </w:r>
      <w:r>
        <w:t xml:space="preserve">lūgumu </w:t>
      </w:r>
      <w:r w:rsidR="003E6EC2">
        <w:t>[pers. A]</w:t>
      </w:r>
      <w:r>
        <w:t xml:space="preserve"> pamatojusi ar turpmāk norādītajiem argumentiem.</w:t>
      </w:r>
    </w:p>
    <w:p w14:paraId="4755C457" w14:textId="0D0AF895" w:rsidR="006E7147" w:rsidRDefault="006E7147" w:rsidP="008D2E06">
      <w:pPr>
        <w:spacing w:line="276" w:lineRule="auto"/>
        <w:ind w:firstLine="652"/>
        <w:contextualSpacing/>
        <w:jc w:val="both"/>
      </w:pPr>
      <w:r>
        <w:t>[4.1] </w:t>
      </w:r>
      <w:r w:rsidR="00C07A4C">
        <w:t>Apelācijas instances tiesa</w:t>
      </w:r>
      <w:r w:rsidR="00F57C31">
        <w:t>,</w:t>
      </w:r>
      <w:r w:rsidR="00C07A4C">
        <w:t xml:space="preserve"> iespējams</w:t>
      </w:r>
      <w:r w:rsidR="00F57C31">
        <w:t>,</w:t>
      </w:r>
      <w:r w:rsidR="00C07A4C">
        <w:t xml:space="preserve"> kļūdaini interpretējusi apsūdzētajam </w:t>
      </w:r>
      <w:r w:rsidR="003E6EC2">
        <w:t>[pers. B]</w:t>
      </w:r>
      <w:r w:rsidR="00C07A4C">
        <w:t xml:space="preserve"> inkriminētā Krimināllikuma </w:t>
      </w:r>
      <w:proofErr w:type="gramStart"/>
      <w:r w:rsidR="00C07A4C">
        <w:t>170.pantā</w:t>
      </w:r>
      <w:proofErr w:type="gramEnd"/>
      <w:r w:rsidR="00C07A4C">
        <w:t xml:space="preserve"> paredzētā noziedzīgā nodarījuma sastāvu, norādot, ka mantisks zaudējums nav šajā pantā paredzētā noziedzīgā nodarījuma sastāva obligāts elements. </w:t>
      </w:r>
    </w:p>
    <w:p w14:paraId="7FC7B18F" w14:textId="0117128C" w:rsidR="00184915" w:rsidRDefault="00750C26" w:rsidP="008D2E06">
      <w:pPr>
        <w:spacing w:line="276" w:lineRule="auto"/>
        <w:ind w:firstLine="652"/>
        <w:contextualSpacing/>
        <w:jc w:val="both"/>
      </w:pPr>
      <w:r>
        <w:t>[4.</w:t>
      </w:r>
      <w:r w:rsidR="006E7147">
        <w:t>2</w:t>
      </w:r>
      <w:r>
        <w:t>]</w:t>
      </w:r>
      <w:r w:rsidR="006E7147">
        <w:t> </w:t>
      </w:r>
      <w:r w:rsidR="00C07A4C">
        <w:t>Pierādījumu izvērtēšanā a</w:t>
      </w:r>
      <w:r w:rsidR="00706E9A">
        <w:t>pelācijas instances tiesa</w:t>
      </w:r>
      <w:r w:rsidR="006E7147">
        <w:t xml:space="preserve"> </w:t>
      </w:r>
      <w:r w:rsidR="005831B0">
        <w:t xml:space="preserve">pieļāvusi </w:t>
      </w:r>
      <w:r w:rsidR="00ED7433">
        <w:t>Kriminālprocesa likuma 123.-</w:t>
      </w:r>
      <w:proofErr w:type="gramStart"/>
      <w:r w:rsidR="00ED7433">
        <w:t>137.panta</w:t>
      </w:r>
      <w:proofErr w:type="gramEnd"/>
      <w:r w:rsidR="00ED7433">
        <w:t xml:space="preserve"> </w:t>
      </w:r>
      <w:r w:rsidR="005831B0">
        <w:t>pārkāpumu</w:t>
      </w:r>
      <w:r w:rsidR="008D2E06">
        <w:t xml:space="preserve">. </w:t>
      </w:r>
    </w:p>
    <w:p w14:paraId="79845E3A" w14:textId="53CA0A07" w:rsidR="009D7837" w:rsidRDefault="00C07A4C" w:rsidP="006E7147">
      <w:pPr>
        <w:spacing w:line="276" w:lineRule="auto"/>
        <w:ind w:firstLine="652"/>
        <w:contextualSpacing/>
        <w:jc w:val="both"/>
      </w:pPr>
      <w:r>
        <w:t>Proti, apelācijas instances tiesa nepamatoti atzinusi, ka</w:t>
      </w:r>
      <w:r w:rsidR="00184915">
        <w:t xml:space="preserve"> lietā nav konstatējami jauni apstākļi, kurus kaitējuma kompensācijas apmēra noteikšanā jau nebūtu ņēmusi vērā pirmās instances tiesa. A</w:t>
      </w:r>
      <w:r w:rsidR="00D97677">
        <w:t>pelācijas instances ties</w:t>
      </w:r>
      <w:r w:rsidR="00184915">
        <w:t>ā iesnieg</w:t>
      </w:r>
      <w:r w:rsidR="00FE5E51">
        <w:t>ta</w:t>
      </w:r>
      <w:r w:rsidR="00184915">
        <w:t xml:space="preserve"> </w:t>
      </w:r>
      <w:r w:rsidR="00F71FD4">
        <w:t>izziņ</w:t>
      </w:r>
      <w:r w:rsidR="00FE5E51">
        <w:t>a</w:t>
      </w:r>
      <w:r w:rsidR="00F71FD4">
        <w:t xml:space="preserve"> par</w:t>
      </w:r>
      <w:r w:rsidR="00FE5E51">
        <w:t xml:space="preserve"> viņas</w:t>
      </w:r>
      <w:r w:rsidR="00F71FD4">
        <w:t xml:space="preserve"> invaliditāti, par </w:t>
      </w:r>
      <w:r w:rsidR="00341B47">
        <w:t xml:space="preserve">piešķirto </w:t>
      </w:r>
      <w:r w:rsidR="00F71FD4">
        <w:t xml:space="preserve">maznodrošinātās personas statusu un </w:t>
      </w:r>
      <w:r w:rsidR="00FE5E51">
        <w:t xml:space="preserve">viņas labā noteikto </w:t>
      </w:r>
      <w:r w:rsidR="00F71FD4">
        <w:t xml:space="preserve">uzturlīdzekļu parāda apmēru. Tiesa </w:t>
      </w:r>
      <w:r w:rsidR="00D97677">
        <w:t>pieņēmusi un pievienojusi lietas materiāliem</w:t>
      </w:r>
      <w:r w:rsidR="00F71FD4">
        <w:t xml:space="preserve"> m</w:t>
      </w:r>
      <w:r w:rsidR="00AD65AA">
        <w:t>inētos</w:t>
      </w:r>
      <w:r w:rsidR="00184915">
        <w:t xml:space="preserve"> dokumentus</w:t>
      </w:r>
      <w:r w:rsidR="00F71FD4">
        <w:t>, tomēr</w:t>
      </w:r>
      <w:r w:rsidR="00184915">
        <w:t xml:space="preserve"> </w:t>
      </w:r>
      <w:r w:rsidR="00F71FD4">
        <w:t>tos</w:t>
      </w:r>
      <w:r w:rsidR="00184915">
        <w:t xml:space="preserve"> nav </w:t>
      </w:r>
      <w:r w:rsidR="00AD65AA">
        <w:t>iz</w:t>
      </w:r>
      <w:r w:rsidR="00184915">
        <w:t>vērtējusi kopsakarībā ar citiem pierādījumiem lietā. Neizvērtējot visus pierādījumus, kas ietekmē m</w:t>
      </w:r>
      <w:r w:rsidR="003C4979">
        <w:t>orālā</w:t>
      </w:r>
      <w:r w:rsidR="00184915">
        <w:t xml:space="preserve"> kaitējuma kompensācijas apmēr</w:t>
      </w:r>
      <w:r w:rsidR="00FE5E51">
        <w:t>u</w:t>
      </w:r>
      <w:r w:rsidR="00184915">
        <w:t xml:space="preserve">, apelācijas instances tiesa </w:t>
      </w:r>
      <w:r w:rsidR="00FE5E51">
        <w:t xml:space="preserve">to </w:t>
      </w:r>
      <w:r w:rsidR="00184915">
        <w:t>noteikusi nesamērīg</w:t>
      </w:r>
      <w:r w:rsidR="006E7147">
        <w:t xml:space="preserve">i mazā </w:t>
      </w:r>
      <w:r w:rsidR="00FE5E51">
        <w:t>apmērā.</w:t>
      </w:r>
    </w:p>
    <w:p w14:paraId="661FDC5E" w14:textId="3761F7FC" w:rsidR="006D6034" w:rsidRDefault="007649F3" w:rsidP="00934987">
      <w:pPr>
        <w:spacing w:line="276" w:lineRule="auto"/>
        <w:ind w:firstLine="652"/>
        <w:contextualSpacing/>
        <w:jc w:val="both"/>
      </w:pPr>
      <w:r>
        <w:t>N</w:t>
      </w:r>
      <w:r w:rsidR="009D7837">
        <w:t xml:space="preserve">osakot morālā kaitējuma </w:t>
      </w:r>
      <w:r w:rsidR="00FC2414">
        <w:t>kompensācij</w:t>
      </w:r>
      <w:r w:rsidR="003C4979">
        <w:t>u</w:t>
      </w:r>
      <w:r w:rsidR="009D7837">
        <w:t xml:space="preserve">, </w:t>
      </w:r>
      <w:r w:rsidR="00ED7433">
        <w:t>apelācijas instances tiesa</w:t>
      </w:r>
      <w:r w:rsidR="003C4979">
        <w:t xml:space="preserve"> </w:t>
      </w:r>
      <w:r w:rsidR="009D7837">
        <w:t xml:space="preserve">nav ņēmusi vērā </w:t>
      </w:r>
      <w:r w:rsidR="003C4979">
        <w:t xml:space="preserve">apsūdzētā </w:t>
      </w:r>
      <w:r w:rsidR="003E6EC2">
        <w:t>[pers. B]</w:t>
      </w:r>
      <w:r w:rsidR="009D7837">
        <w:t xml:space="preserve"> subjektīvo attieksmi pret nodarījumu</w:t>
      </w:r>
      <w:r w:rsidR="00AD65AA">
        <w:t xml:space="preserve"> un</w:t>
      </w:r>
      <w:r w:rsidR="009D7837">
        <w:t xml:space="preserve"> viņa regulāros ienākumus</w:t>
      </w:r>
      <w:r>
        <w:t>. Tāpat nav ņemts vērā apstāklis, ka</w:t>
      </w:r>
      <w:r w:rsidR="003C4979">
        <w:t xml:space="preserve"> viņas veselības stāvoklis</w:t>
      </w:r>
      <w:r>
        <w:t xml:space="preserve"> turpina pasliktināties</w:t>
      </w:r>
      <w:r w:rsidR="003C4979">
        <w:t xml:space="preserve"> un līdz ar to arī palielinās nodarītais morālais kaitējums</w:t>
      </w:r>
      <w:r w:rsidR="006E7147">
        <w:t>.</w:t>
      </w:r>
      <w:r w:rsidR="003D2AD6">
        <w:t xml:space="preserve"> </w:t>
      </w:r>
    </w:p>
    <w:p w14:paraId="6F55E161" w14:textId="38DF3021" w:rsidR="00B10B60" w:rsidRDefault="00A21AA0" w:rsidP="00934987">
      <w:pPr>
        <w:spacing w:line="276" w:lineRule="auto"/>
        <w:ind w:firstLine="652"/>
        <w:contextualSpacing/>
        <w:jc w:val="both"/>
      </w:pPr>
      <w:r>
        <w:t xml:space="preserve"> </w:t>
      </w:r>
      <w:r w:rsidR="00DF43DC">
        <w:t>A</w:t>
      </w:r>
      <w:r>
        <w:t>tz</w:t>
      </w:r>
      <w:r w:rsidR="00DF43DC">
        <w:t>īstot</w:t>
      </w:r>
      <w:r>
        <w:t xml:space="preserve">, ka ar noziedzīgo nodarījumu </w:t>
      </w:r>
      <w:r w:rsidR="007649F3">
        <w:t>viņai</w:t>
      </w:r>
      <w:r>
        <w:t xml:space="preserve"> nav nodarītas fiziskas sāpes </w:t>
      </w:r>
      <w:r w:rsidR="003C4979">
        <w:t>un</w:t>
      </w:r>
      <w:r>
        <w:t xml:space="preserve"> radītas paliekošas psihiskas traumas</w:t>
      </w:r>
      <w:r w:rsidR="00DF43DC">
        <w:t>,</w:t>
      </w:r>
      <w:r w:rsidR="00B10B60">
        <w:t xml:space="preserve"> </w:t>
      </w:r>
      <w:r w:rsidR="00DF43DC">
        <w:t>apelācijas instances tiesa</w:t>
      </w:r>
      <w:r w:rsidR="00F57C31">
        <w:t>,</w:t>
      </w:r>
      <w:r w:rsidR="00DF43DC">
        <w:t xml:space="preserve"> pretēji vispārējiem tiesību principiem</w:t>
      </w:r>
      <w:r w:rsidR="003C4979">
        <w:t>,</w:t>
      </w:r>
      <w:r w:rsidR="00DF43DC">
        <w:t xml:space="preserve"> Eiropas Savienības Tiesas praksē </w:t>
      </w:r>
      <w:r w:rsidR="003C4979">
        <w:t>atzīta</w:t>
      </w:r>
      <w:r w:rsidR="00DF43DC">
        <w:t xml:space="preserve">jiem kritērijiem un vērtībām, </w:t>
      </w:r>
      <w:r w:rsidR="003C4979">
        <w:t>kā arī pretēji taisnīguma principam</w:t>
      </w:r>
      <w:r w:rsidR="00F57C31">
        <w:t>,</w:t>
      </w:r>
      <w:r w:rsidR="003C4979">
        <w:t xml:space="preserve"> </w:t>
      </w:r>
      <w:r w:rsidR="00FE5E51">
        <w:t xml:space="preserve">viņas </w:t>
      </w:r>
      <w:r w:rsidR="00B10B60">
        <w:t>labklājības intereses</w:t>
      </w:r>
      <w:r w:rsidR="00F17C58">
        <w:t xml:space="preserve"> novērtējusi nepamatoti zemu.</w:t>
      </w:r>
    </w:p>
    <w:p w14:paraId="4CB44145" w14:textId="3AEAB6C9" w:rsidR="00706E9A" w:rsidRDefault="00706E9A" w:rsidP="00934987">
      <w:pPr>
        <w:spacing w:line="276" w:lineRule="auto"/>
        <w:ind w:firstLine="652"/>
        <w:contextualSpacing/>
        <w:jc w:val="both"/>
      </w:pPr>
      <w:r>
        <w:t>[4.</w:t>
      </w:r>
      <w:r w:rsidR="006E7147">
        <w:t>3</w:t>
      </w:r>
      <w:r>
        <w:t xml:space="preserve">] </w:t>
      </w:r>
      <w:r w:rsidR="003C4979">
        <w:t>Apelācijas instances tiesa pārkāpusi</w:t>
      </w:r>
      <w:r>
        <w:t xml:space="preserve"> kriminālprocesā lietojamās valodas </w:t>
      </w:r>
      <w:r w:rsidR="003C4979">
        <w:t xml:space="preserve">principu. Proti, nav veikts </w:t>
      </w:r>
      <w:r w:rsidR="003E6EC2">
        <w:t>[pers. B]</w:t>
      </w:r>
      <w:r w:rsidR="003C4979">
        <w:t xml:space="preserve"> pēdējā vārd</w:t>
      </w:r>
      <w:r w:rsidR="005C1038">
        <w:t>ā teiktā</w:t>
      </w:r>
      <w:r w:rsidR="003C4979">
        <w:t xml:space="preserve"> </w:t>
      </w:r>
      <w:r w:rsidR="005C1038">
        <w:t xml:space="preserve">mutvārdu </w:t>
      </w:r>
      <w:r w:rsidR="003C4979">
        <w:t xml:space="preserve">tulkojums </w:t>
      </w:r>
      <w:r w:rsidR="005C1038">
        <w:t>valsts</w:t>
      </w:r>
      <w:r w:rsidR="003C4979">
        <w:t xml:space="preserve"> valodā</w:t>
      </w:r>
      <w:r w:rsidR="00DC49D5">
        <w:t xml:space="preserve">, kas </w:t>
      </w:r>
      <w:r>
        <w:t xml:space="preserve">atzīstams par Kriminālprocesa likuma būtisku pārkāpumu šā likuma </w:t>
      </w:r>
      <w:proofErr w:type="gramStart"/>
      <w:r>
        <w:t>575.panta</w:t>
      </w:r>
      <w:proofErr w:type="gramEnd"/>
      <w:r>
        <w:t xml:space="preserve"> trešās daļas izpratnē.</w:t>
      </w:r>
    </w:p>
    <w:p w14:paraId="00D9199A" w14:textId="77777777" w:rsidR="00750C26" w:rsidRDefault="00750C26" w:rsidP="00202C71">
      <w:pPr>
        <w:spacing w:line="276" w:lineRule="auto"/>
        <w:contextualSpacing/>
        <w:jc w:val="both"/>
      </w:pPr>
    </w:p>
    <w:p w14:paraId="23B7DBE6" w14:textId="77777777" w:rsidR="002A52E2" w:rsidRDefault="002A52E2" w:rsidP="00934987">
      <w:pPr>
        <w:spacing w:line="276" w:lineRule="auto"/>
        <w:ind w:firstLine="652"/>
        <w:contextualSpacing/>
        <w:jc w:val="both"/>
        <w:rPr>
          <w:b/>
          <w:bCs/>
        </w:rPr>
      </w:pPr>
      <w:r w:rsidRPr="00742293">
        <w:rPr>
          <w:b/>
          <w:bCs/>
        </w:rPr>
        <w:t xml:space="preserve">                                                 Motīvu daļa</w:t>
      </w:r>
    </w:p>
    <w:p w14:paraId="5F7BCDD0" w14:textId="77777777" w:rsidR="002A52E2" w:rsidRDefault="002A52E2" w:rsidP="00934987">
      <w:pPr>
        <w:spacing w:line="276" w:lineRule="auto"/>
        <w:ind w:firstLine="652"/>
        <w:contextualSpacing/>
        <w:jc w:val="both"/>
        <w:rPr>
          <w:b/>
          <w:bCs/>
        </w:rPr>
      </w:pPr>
    </w:p>
    <w:p w14:paraId="2B937FF0" w14:textId="514758EF" w:rsidR="002A52E2" w:rsidRDefault="002A52E2" w:rsidP="00934987">
      <w:pPr>
        <w:spacing w:line="276" w:lineRule="auto"/>
        <w:ind w:firstLine="652"/>
        <w:contextualSpacing/>
        <w:jc w:val="both"/>
      </w:pPr>
      <w:r>
        <w:t xml:space="preserve">[5]  </w:t>
      </w:r>
      <w:r w:rsidR="00A07487">
        <w:t xml:space="preserve">Senāts atzīst, ka Kurzemes apgabaltiesas </w:t>
      </w:r>
      <w:proofErr w:type="gramStart"/>
      <w:r w:rsidR="00A07487">
        <w:t>2020.gada</w:t>
      </w:r>
      <w:proofErr w:type="gramEnd"/>
      <w:r w:rsidR="00A07487">
        <w:t xml:space="preserve"> 17.jūnija lēmums atstājams negrozīts, bet cietušās </w:t>
      </w:r>
      <w:r w:rsidR="003E6EC2">
        <w:t>[pers. A]</w:t>
      </w:r>
      <w:r w:rsidR="00A07487">
        <w:t xml:space="preserve"> kasācijas sūdzība noraidāma. </w:t>
      </w:r>
    </w:p>
    <w:p w14:paraId="549FF466" w14:textId="02224BAD" w:rsidR="00FF30AD" w:rsidRDefault="00FF30AD" w:rsidP="00934987">
      <w:pPr>
        <w:spacing w:line="276" w:lineRule="auto"/>
        <w:ind w:firstLine="652"/>
        <w:contextualSpacing/>
        <w:jc w:val="both"/>
      </w:pPr>
      <w:r>
        <w:t xml:space="preserve">Apelācijas instances tiesa, iztiesājot lietu, nav pieļāvusi Krimināllikuma pārkāpumus un tādus Kriminālprocesa likuma pārkāpumus, kas varētu būt par pamatu apelācijas instances tiesas </w:t>
      </w:r>
      <w:r w:rsidR="00884CE9">
        <w:t xml:space="preserve">lēmuma </w:t>
      </w:r>
      <w:r>
        <w:t>grozīšanai vai atcelšanai.</w:t>
      </w:r>
    </w:p>
    <w:p w14:paraId="176FE192" w14:textId="77777777" w:rsidR="00C161E6" w:rsidRDefault="00C161E6" w:rsidP="00934987">
      <w:pPr>
        <w:spacing w:line="276" w:lineRule="auto"/>
        <w:ind w:firstLine="652"/>
        <w:contextualSpacing/>
        <w:jc w:val="both"/>
      </w:pPr>
    </w:p>
    <w:p w14:paraId="5FCD1BC7" w14:textId="67BD7B07" w:rsidR="00DA33C4" w:rsidRDefault="009A238F" w:rsidP="00341B47">
      <w:pPr>
        <w:spacing w:line="276" w:lineRule="auto"/>
        <w:ind w:firstLine="652"/>
        <w:contextualSpacing/>
        <w:jc w:val="both"/>
      </w:pPr>
      <w:r>
        <w:t>[6]</w:t>
      </w:r>
      <w:r w:rsidR="00341B47">
        <w:t> </w:t>
      </w:r>
      <w:r w:rsidR="00DF5654">
        <w:t xml:space="preserve">Pirmās instances tiesa, pārbaudot un izvērtējot lietā iegūtos pierādījumus, atzinusi, ka </w:t>
      </w:r>
      <w:r w:rsidR="003E6EC2">
        <w:t>[pers. B]</w:t>
      </w:r>
      <w:r w:rsidR="00DF5654">
        <w:t xml:space="preserve"> darbībās konstatējamas v</w:t>
      </w:r>
      <w:r w:rsidR="00FE5E51">
        <w:t>iņam inkriminētā</w:t>
      </w:r>
      <w:r w:rsidR="00DF5654">
        <w:t xml:space="preserve"> Krimināllikuma </w:t>
      </w:r>
      <w:proofErr w:type="gramStart"/>
      <w:r w:rsidR="00DF5654">
        <w:t>170.pantā</w:t>
      </w:r>
      <w:proofErr w:type="gramEnd"/>
      <w:r w:rsidR="00DF5654">
        <w:t xml:space="preserve"> paredzētā noziedzīgā nodarījuma sastāva </w:t>
      </w:r>
      <w:r w:rsidR="00C07A4C">
        <w:t xml:space="preserve">nepieciešamās un obligātās </w:t>
      </w:r>
      <w:r w:rsidR="00DF5654">
        <w:t xml:space="preserve">pazīmes. </w:t>
      </w:r>
      <w:r w:rsidR="00DA33C4">
        <w:t>A</w:t>
      </w:r>
      <w:r w:rsidR="00DF5654">
        <w:t xml:space="preserve">pelācijas instances tiesa, izvērtējot apelācijas sūdzībā minētos argumentus, atstājusi negrozītu pirmās instances tiesas spriedumu, atzīstot, ka apsūdzētā vainīgums ir pierādīts ar pirmās instances tiesas spriedumā izvērtētajiem pierādījumiem, un, pamatojoties uz Kriminālprocesa likuma </w:t>
      </w:r>
      <w:proofErr w:type="gramStart"/>
      <w:r w:rsidR="00DF5654">
        <w:t>564.panta</w:t>
      </w:r>
      <w:proofErr w:type="gramEnd"/>
      <w:r w:rsidR="00DF5654">
        <w:t xml:space="preserve"> sesto daļu, atzinusi par iespējamu neatkārtot pirmās instances tiesas spriedumā minētos pierādījumus un atzinumus. Vienlaikus apelācijas instances tiesa pierādījumus izvērtējusi saistībā ar cietušās </w:t>
      </w:r>
      <w:r w:rsidR="003E6EC2">
        <w:lastRenderedPageBreak/>
        <w:t>[pers. A]</w:t>
      </w:r>
      <w:r w:rsidR="00DF5654">
        <w:t xml:space="preserve"> apelācijas sūdzībā minētajiem argumentiem. Apelācijas sūdzībā minētos argumentus cietusī </w:t>
      </w:r>
      <w:r w:rsidR="003E6EC2">
        <w:t>[pers. A]</w:t>
      </w:r>
      <w:r w:rsidR="00DF5654">
        <w:t xml:space="preserve"> atkārtojusi arī kasācijas sūdzībā</w:t>
      </w:r>
      <w:r w:rsidR="00DA33C4">
        <w:t>.</w:t>
      </w:r>
      <w:r w:rsidR="00DF5654">
        <w:t xml:space="preserve"> </w:t>
      </w:r>
    </w:p>
    <w:p w14:paraId="31A46E9B" w14:textId="77777777" w:rsidR="00DA47EE" w:rsidRDefault="00DA47EE" w:rsidP="00341B47">
      <w:pPr>
        <w:spacing w:line="276" w:lineRule="auto"/>
        <w:ind w:firstLine="652"/>
        <w:contextualSpacing/>
        <w:jc w:val="both"/>
      </w:pPr>
    </w:p>
    <w:p w14:paraId="4CF109AA" w14:textId="2EE82E02" w:rsidR="007B5D1F" w:rsidRDefault="00DA33C4" w:rsidP="00341B47">
      <w:pPr>
        <w:spacing w:line="276" w:lineRule="auto"/>
        <w:ind w:firstLine="652"/>
        <w:contextualSpacing/>
        <w:jc w:val="both"/>
      </w:pPr>
      <w:r>
        <w:t xml:space="preserve">[7] Kasācijas sūdzībā cietusī apšaubījusi </w:t>
      </w:r>
      <w:r w:rsidR="00DF5654">
        <w:t xml:space="preserve">apelācijas instances tiesas veikto Krimināllikuma </w:t>
      </w:r>
      <w:proofErr w:type="gramStart"/>
      <w:r w:rsidR="00DF5654">
        <w:t>170.pantā</w:t>
      </w:r>
      <w:proofErr w:type="gramEnd"/>
      <w:r w:rsidR="00DF5654">
        <w:t xml:space="preserve"> paredzētā noziedzīgā nodarījuma sastāva </w:t>
      </w:r>
      <w:r w:rsidR="00161B16">
        <w:t>elementu izvērtējumu</w:t>
      </w:r>
      <w:r w:rsidR="00DF5654">
        <w:t>.</w:t>
      </w:r>
    </w:p>
    <w:p w14:paraId="56EB4AAF" w14:textId="0606758D" w:rsidR="00341B47" w:rsidRDefault="00FE5E51" w:rsidP="004727ED">
      <w:pPr>
        <w:spacing w:line="276" w:lineRule="auto"/>
        <w:ind w:firstLine="652"/>
        <w:contextualSpacing/>
        <w:jc w:val="both"/>
      </w:pPr>
      <w:r>
        <w:t>Senāts norāda, ka, l</w:t>
      </w:r>
      <w:r w:rsidR="00341B47">
        <w:t xml:space="preserve">ai personu sauktu pie kriminālatbildības par Krimināllikuma </w:t>
      </w:r>
      <w:proofErr w:type="gramStart"/>
      <w:r w:rsidR="00341B47">
        <w:t>170.pantā</w:t>
      </w:r>
      <w:proofErr w:type="gramEnd"/>
      <w:r w:rsidR="00341B47">
        <w:t xml:space="preserve"> paredzēto noziedzīgo nodarījumu, ir</w:t>
      </w:r>
      <w:r w:rsidR="00AD57C3">
        <w:t xml:space="preserve"> jākonstatē divi apstākļi. Proti,</w:t>
      </w:r>
      <w:r w:rsidR="00341B47">
        <w:t xml:space="preserve"> jābūt tiesas spriedumam vai tiesneša lēmumam</w:t>
      </w:r>
      <w:r w:rsidR="00161B16">
        <w:t>,</w:t>
      </w:r>
      <w:r w:rsidR="00341B47">
        <w:t xml:space="preserve"> </w:t>
      </w:r>
      <w:proofErr w:type="gramStart"/>
      <w:r w:rsidR="00341B47">
        <w:t>ar kuru uzlikts pienākums</w:t>
      </w:r>
      <w:proofErr w:type="gramEnd"/>
      <w:r w:rsidR="00341B47">
        <w:t xml:space="preserve"> apgādāt un dot uzturu, kā arī jākonstatē, ka persona ir izvairījusies no šā pienākuma pildīšanas. Šajā pantā paredzētais noziedzīgais nodarījums ir ar formālu sastāvu</w:t>
      </w:r>
      <w:r w:rsidR="00AD57C3">
        <w:t>,</w:t>
      </w:r>
      <w:r w:rsidR="00341B47">
        <w:t xml:space="preserve"> un ir pabeigts ar brīdi, kad persona </w:t>
      </w:r>
      <w:r w:rsidR="00341B47" w:rsidRPr="008E18A4">
        <w:t>ļaunprātīgi</w:t>
      </w:r>
      <w:r w:rsidR="00341B47">
        <w:t xml:space="preserve"> izvairās no tiesas uzliktā uzturēšanas pienākuma.</w:t>
      </w:r>
      <w:r w:rsidR="00AD57C3">
        <w:t xml:space="preserve"> No subjektīvās puses izvairīšanās no uzturēšan</w:t>
      </w:r>
      <w:r w:rsidR="00AA20AE">
        <w:t>a</w:t>
      </w:r>
      <w:r w:rsidR="00AD57C3">
        <w:t xml:space="preserve">s ir tīšs noziedzīgs nodarījums, ko izdara tikai ar tiešu nodomu. Proti, vainīgais zina, ka ir likumīgā spēkā stājies tiesas spriedums vai tiesneša lēmums par uzturēšanu, un vēlas izvairīties no sava pienākuma pildīšanas. </w:t>
      </w:r>
    </w:p>
    <w:p w14:paraId="0662648F" w14:textId="10A78D4C" w:rsidR="00D91E51" w:rsidRDefault="00D91E51" w:rsidP="005C1038">
      <w:pPr>
        <w:spacing w:line="276" w:lineRule="auto"/>
        <w:ind w:firstLine="720"/>
        <w:contextualSpacing/>
        <w:jc w:val="both"/>
      </w:pPr>
      <w:r>
        <w:t xml:space="preserve">Apelācijas instances tiesa atzinusi, ka, iztiesājot lietu, pirmās instances tiesa apsūdzētā </w:t>
      </w:r>
      <w:r w:rsidR="003E6EC2">
        <w:t>[pers. B]</w:t>
      </w:r>
      <w:r>
        <w:t xml:space="preserve"> darbībās pamatoti konstatējusi Krimināllikuma </w:t>
      </w:r>
      <w:proofErr w:type="gramStart"/>
      <w:r>
        <w:t>170.pantā</w:t>
      </w:r>
      <w:proofErr w:type="gramEnd"/>
      <w:r>
        <w:t xml:space="preserve"> paredzētā noziedzīgā nodarījuma sastāva pazīmes</w:t>
      </w:r>
      <w:r w:rsidR="00AA20AE">
        <w:t xml:space="preserve">. Proti, </w:t>
      </w:r>
      <w:r w:rsidR="00A431FD">
        <w:t xml:space="preserve">pirmās instances tiesa konstatējusi, </w:t>
      </w:r>
      <w:r w:rsidR="00AA20AE">
        <w:t>ka</w:t>
      </w:r>
      <w:r w:rsidR="00B278DE">
        <w:t xml:space="preserve"> </w:t>
      </w:r>
      <w:proofErr w:type="gramStart"/>
      <w:r w:rsidR="00B278DE">
        <w:t>2016.gada</w:t>
      </w:r>
      <w:proofErr w:type="gramEnd"/>
      <w:r w:rsidR="00B278DE">
        <w:t xml:space="preserve"> 28.janvārī spēkā stājies tiesas spriedums, ar kuru no </w:t>
      </w:r>
      <w:r w:rsidR="003E6EC2">
        <w:t>[pers. B]</w:t>
      </w:r>
      <w:r w:rsidR="00B278DE">
        <w:t xml:space="preserve"> piedzīti uzturlīdzekļi </w:t>
      </w:r>
      <w:r w:rsidR="003E6EC2">
        <w:t>[pers. A]</w:t>
      </w:r>
      <w:r w:rsidR="00B278DE">
        <w:t xml:space="preserve"> labā, un, ka </w:t>
      </w:r>
      <w:r w:rsidR="003E6EC2">
        <w:t>[pers. B]</w:t>
      </w:r>
      <w:r w:rsidR="00B278DE">
        <w:t xml:space="preserve">, lai gan bija nodarbināts un saņēma darba algu, šo spriedumu nepildīja. Apelācijas instances tiesa arī atzinusi, ka </w:t>
      </w:r>
      <w:r w:rsidR="003E6EC2">
        <w:t>[pers. B]</w:t>
      </w:r>
      <w:r w:rsidR="005C1038">
        <w:t xml:space="preserve"> vainīgums </w:t>
      </w:r>
      <w:r w:rsidR="005C1038" w:rsidRPr="00FE3219">
        <w:rPr>
          <w:color w:val="000000"/>
          <w:shd w:val="clear" w:color="auto" w:fill="FFFFFF"/>
        </w:rPr>
        <w:t xml:space="preserve">ar pirmās instances tiesas spriedumā </w:t>
      </w:r>
      <w:r w:rsidR="005C1038">
        <w:rPr>
          <w:color w:val="000000"/>
          <w:shd w:val="clear" w:color="auto" w:fill="FFFFFF"/>
        </w:rPr>
        <w:t xml:space="preserve">pareizi novērtētajiem </w:t>
      </w:r>
      <w:r w:rsidR="005C1038" w:rsidRPr="00FE3219">
        <w:rPr>
          <w:color w:val="000000"/>
          <w:shd w:val="clear" w:color="auto" w:fill="FFFFFF"/>
        </w:rPr>
        <w:t>pierādījumiem</w:t>
      </w:r>
      <w:r w:rsidR="005C1038">
        <w:rPr>
          <w:color w:val="000000"/>
          <w:shd w:val="clear" w:color="auto" w:fill="FFFFFF"/>
        </w:rPr>
        <w:t xml:space="preserve"> </w:t>
      </w:r>
      <w:r w:rsidR="005C1038">
        <w:t>ir pierādīts ārpus saprātīgām šaubām. Senātam nav pamata apšaubīt apelācijas instances tiesas atzinumus.</w:t>
      </w:r>
    </w:p>
    <w:p w14:paraId="1D442B28" w14:textId="1EEE2023" w:rsidR="00077FEA" w:rsidRDefault="00077FEA" w:rsidP="00077FEA">
      <w:pPr>
        <w:autoSpaceDE w:val="0"/>
        <w:autoSpaceDN w:val="0"/>
        <w:adjustRightInd w:val="0"/>
        <w:spacing w:line="276" w:lineRule="auto"/>
        <w:jc w:val="both"/>
      </w:pPr>
      <w:r>
        <w:tab/>
      </w:r>
      <w:r w:rsidR="005C1038">
        <w:t xml:space="preserve">Tāpat </w:t>
      </w:r>
      <w:r w:rsidR="00341B47">
        <w:t xml:space="preserve">Senāts atzīst par pamatotu apelācijas instances tiesas nolēmumā </w:t>
      </w:r>
      <w:r w:rsidR="00B278DE">
        <w:t>atzīto</w:t>
      </w:r>
      <w:r w:rsidR="00341B47">
        <w:t xml:space="preserve">, ka mantisks zaudējums nav Krimināllikuma </w:t>
      </w:r>
      <w:proofErr w:type="gramStart"/>
      <w:r w:rsidR="00341B47">
        <w:t>170.pantā</w:t>
      </w:r>
      <w:proofErr w:type="gramEnd"/>
      <w:r w:rsidR="00341B47">
        <w:t xml:space="preserve"> paredzētā noziedzīgā nodarījuma sastāva obligāts elements</w:t>
      </w:r>
      <w:r>
        <w:t>.</w:t>
      </w:r>
      <w:r w:rsidR="009E02CE">
        <w:t xml:space="preserve"> Šajā pantā</w:t>
      </w:r>
      <w:r>
        <w:t xml:space="preserve"> paredzētā noziedzīgā nodarījuma sastāvs ir formāls</w:t>
      </w:r>
      <w:r w:rsidR="00AD57C3">
        <w:t>, jo</w:t>
      </w:r>
      <w:r>
        <w:t xml:space="preserve"> satur vienīgi tādas pazīmes, kas raksturo pašu prettiesisko darbību, neatkarīgi no kaitīgo seku iestāšanās</w:t>
      </w:r>
      <w:r w:rsidR="009E02CE">
        <w:t>.</w:t>
      </w:r>
    </w:p>
    <w:p w14:paraId="6525E12E" w14:textId="77777777" w:rsidR="009E02CE" w:rsidRPr="00077FEA" w:rsidRDefault="009E02CE" w:rsidP="00077FEA">
      <w:pPr>
        <w:autoSpaceDE w:val="0"/>
        <w:autoSpaceDN w:val="0"/>
        <w:adjustRightInd w:val="0"/>
        <w:spacing w:line="276" w:lineRule="auto"/>
        <w:jc w:val="both"/>
        <w:rPr>
          <w:rFonts w:ascii="TimesNewRomanPSMT" w:eastAsiaTheme="minorHAnsi" w:hAnsi="TimesNewRomanPSMT" w:cs="TimesNewRomanPSMT"/>
          <w:sz w:val="28"/>
          <w:szCs w:val="28"/>
        </w:rPr>
      </w:pPr>
    </w:p>
    <w:p w14:paraId="0D870571" w14:textId="3F6B5409" w:rsidR="009E02CE" w:rsidRDefault="00FF30AD" w:rsidP="009E02CE">
      <w:pPr>
        <w:spacing w:line="276" w:lineRule="auto"/>
        <w:ind w:firstLine="652"/>
        <w:contextualSpacing/>
        <w:jc w:val="both"/>
      </w:pPr>
      <w:r>
        <w:t>[</w:t>
      </w:r>
      <w:r w:rsidR="00DA47EE">
        <w:t>8</w:t>
      </w:r>
      <w:r w:rsidR="00C161E6">
        <w:t xml:space="preserve">] </w:t>
      </w:r>
      <w:r w:rsidR="005C1038">
        <w:t>Apelācijas instances tiesa atzinusi par pamatotu pirmās instances tiesas</w:t>
      </w:r>
      <w:r w:rsidR="000B6398">
        <w:t xml:space="preserve"> </w:t>
      </w:r>
      <w:r w:rsidR="005C1038">
        <w:t>noteikt</w:t>
      </w:r>
      <w:r w:rsidR="000B6398">
        <w:t>o</w:t>
      </w:r>
      <w:r w:rsidR="005C1038">
        <w:t xml:space="preserve"> morālā kaitējuma kompensācijas apmēru.</w:t>
      </w:r>
      <w:r w:rsidR="008E1CD0">
        <w:t xml:space="preserve"> </w:t>
      </w:r>
    </w:p>
    <w:p w14:paraId="06746C02" w14:textId="1C39D2FA" w:rsidR="00CA5C15" w:rsidRDefault="008E1CD0" w:rsidP="00BC619D">
      <w:pPr>
        <w:pStyle w:val="tv213"/>
        <w:spacing w:before="0" w:beforeAutospacing="0" w:after="0" w:afterAutospacing="0" w:line="276" w:lineRule="auto"/>
        <w:ind w:firstLine="652"/>
        <w:contextualSpacing/>
        <w:jc w:val="both"/>
        <w:rPr>
          <w:i/>
        </w:rPr>
      </w:pPr>
      <w:r>
        <w:t>Augstākās tiesas 2010./2011 prakses pētījum</w:t>
      </w:r>
      <w:r w:rsidR="000B6398">
        <w:t>ā</w:t>
      </w:r>
      <w:r>
        <w:t xml:space="preserve"> „Tiesu prakse par morālā kaitējuma kompensāciju kriminālprocesā” </w:t>
      </w:r>
      <w:r w:rsidR="00DA03B0">
        <w:t>norādīts</w:t>
      </w:r>
      <w:r>
        <w:t xml:space="preserve">, ka likumdevējs ir noteicis tiesai tiesības lemt par morālā kaitējuma kompensācijas apmēru pēc sava ieskata, jo jautājuma komplicētības un individualitātes dēļ likumā nav iespējams uzskaitīt visus gadījumus, kad kompensācija ir piešķirama, un noteikt tās apmēru katrā konkrētā gadījumā. Vienlaikus likumdevējs </w:t>
      </w:r>
      <w:r w:rsidR="00DA03B0">
        <w:t>paredzējis</w:t>
      </w:r>
      <w:r>
        <w:t xml:space="preserve"> vairākus kritērijus kompensācijas apmēra </w:t>
      </w:r>
      <w:r w:rsidRPr="00F01637">
        <w:t>noteikšanai, un kaitējuma kompensācija uzskatāma par atbilstīgu nodarījumam</w:t>
      </w:r>
      <w:r w:rsidRPr="00070740">
        <w:t xml:space="preserve"> tikai tad, ja šie kritēriji ir izvērtēti  </w:t>
      </w:r>
      <w:r>
        <w:t>(</w:t>
      </w:r>
      <w:r w:rsidRPr="006453D2">
        <w:rPr>
          <w:i/>
        </w:rPr>
        <w:t>pieejams: http://www.at.gov.lv/files/uploads/files/docs/petijumi/tiesu%20prakse%20moralais %20kaitejums_an.doc</w:t>
      </w:r>
      <w:r w:rsidRPr="00F17C58">
        <w:t>)</w:t>
      </w:r>
      <w:r w:rsidR="00F57C31">
        <w:rPr>
          <w:i/>
        </w:rPr>
        <w:t>.</w:t>
      </w:r>
    </w:p>
    <w:p w14:paraId="27366208" w14:textId="0F10A19C" w:rsidR="00CA5C15" w:rsidRDefault="00CA5C15" w:rsidP="00BC619D">
      <w:pPr>
        <w:pStyle w:val="tv213"/>
        <w:spacing w:before="0" w:beforeAutospacing="0" w:after="0" w:afterAutospacing="0" w:line="276" w:lineRule="auto"/>
        <w:ind w:firstLine="652"/>
        <w:contextualSpacing/>
        <w:jc w:val="both"/>
      </w:pPr>
      <w:r>
        <w:t xml:space="preserve">Atbilstoši Kriminālprocesa likuma </w:t>
      </w:r>
      <w:proofErr w:type="gramStart"/>
      <w:r>
        <w:t>352.panta</w:t>
      </w:r>
      <w:proofErr w:type="gramEnd"/>
      <w:r>
        <w:t xml:space="preserve"> pirmajā daļā noteiktajam</w:t>
      </w:r>
      <w:r w:rsidR="002955E7">
        <w:t xml:space="preserve"> </w:t>
      </w:r>
      <w:r w:rsidR="00F17C58">
        <w:t>šie kritēriji ir: 1) </w:t>
      </w:r>
      <w:r>
        <w:t xml:space="preserve">radītā mantiskā zaudējuma apmērs; 2) </w:t>
      </w:r>
      <w:r w:rsidR="00E12E14">
        <w:t xml:space="preserve">noziedzīgā </w:t>
      </w:r>
      <w:r>
        <w:t>nodarījuma smagums un izdarīšanas raksturs; 3) nodarītās fiziskās ciešanas, paliekoši sakropļojumi un darbspēju zudums; 4) morālā aizskāruma dziļums un publiskums; 5) psihiskas traumas.</w:t>
      </w:r>
    </w:p>
    <w:p w14:paraId="23112014" w14:textId="61EEDDB1" w:rsidR="00E80EA3" w:rsidRPr="00F17C58" w:rsidRDefault="00E80EA3" w:rsidP="00F17C58">
      <w:pPr>
        <w:pStyle w:val="tv213"/>
        <w:spacing w:before="0" w:beforeAutospacing="0" w:after="0" w:afterAutospacing="0" w:line="276" w:lineRule="auto"/>
        <w:ind w:firstLine="652"/>
        <w:contextualSpacing/>
        <w:jc w:val="both"/>
        <w:rPr>
          <w:i/>
          <w:iCs/>
        </w:rPr>
      </w:pPr>
      <w:proofErr w:type="gramStart"/>
      <w:r>
        <w:t>Lai arī no citētās Kriminālprocesa likuma normas var</w:t>
      </w:r>
      <w:proofErr w:type="gramEnd"/>
      <w:r>
        <w:t xml:space="preserve"> spriest, ka izvērtējamo apstākļu klāsts, nosakot morālā kaitējuma kompensāciju, ir izsmeļošs</w:t>
      </w:r>
      <w:r w:rsidR="00376673">
        <w:t xml:space="preserve">, </w:t>
      </w:r>
      <w:r w:rsidR="00070740">
        <w:t>Augstākās tiesas 2010./2011 prakses pētījumā „Tiesu prakse par morālā kaitējuma kompensāciju kriminālprocesā” ir atzīts, ka</w:t>
      </w:r>
      <w:r w:rsidR="00070740" w:rsidRPr="00C04BA4">
        <w:t>, izlemjot jautājumu par morālā kaitējuma kompensācijas apmēru, ties</w:t>
      </w:r>
      <w:r w:rsidR="00F17C58">
        <w:t>ai jāvadās arī no cilvēktiesību un </w:t>
      </w:r>
      <w:r w:rsidR="00070740" w:rsidRPr="00C04BA4">
        <w:t>krim</w:t>
      </w:r>
      <w:r w:rsidR="00F17C58">
        <w:t>inālprocesa </w:t>
      </w:r>
      <w:r w:rsidR="00070740" w:rsidRPr="00C04BA4">
        <w:t>principiem</w:t>
      </w:r>
      <w:r w:rsidR="00F17C58">
        <w:t> </w:t>
      </w:r>
      <w:r w:rsidR="00C04BA4">
        <w:t>(</w:t>
      </w:r>
      <w:r w:rsidR="00C04BA4" w:rsidRPr="006453D2">
        <w:rPr>
          <w:i/>
        </w:rPr>
        <w:t>pieejams: http://www.at.gov.lv/files/uploads/files/docs/petijumi/tiesu%20prakse%20moralais %20kaitejums_an.doc</w:t>
      </w:r>
      <w:r w:rsidR="00C04BA4">
        <w:rPr>
          <w:i/>
        </w:rPr>
        <w:t>)</w:t>
      </w:r>
      <w:r w:rsidR="002955E7">
        <w:rPr>
          <w:i/>
        </w:rPr>
        <w:t>.</w:t>
      </w:r>
      <w:r w:rsidR="00F01637">
        <w:rPr>
          <w:i/>
          <w:iCs/>
        </w:rPr>
        <w:t xml:space="preserve"> </w:t>
      </w:r>
    </w:p>
    <w:p w14:paraId="43D360A6" w14:textId="505B87B9" w:rsidR="00B80AFA" w:rsidRDefault="00E80EA3" w:rsidP="002955E7">
      <w:pPr>
        <w:spacing w:line="276" w:lineRule="auto"/>
        <w:ind w:firstLine="652"/>
        <w:contextualSpacing/>
        <w:jc w:val="both"/>
      </w:pPr>
      <w:r>
        <w:t xml:space="preserve">Vienlaikus </w:t>
      </w:r>
      <w:r w:rsidR="002955E7">
        <w:t xml:space="preserve">judikatūrā šajā aspektā ir pausta atziņa, </w:t>
      </w:r>
      <w:r w:rsidR="00897E19">
        <w:t xml:space="preserve">ka, </w:t>
      </w:r>
      <w:r>
        <w:t>lemjot par morālā kaitējuma kompensācijas apmēru, jāievēro samērīguma princips un tas, ka morālā kaitējuma kompensācija ir tikai viens no kompensācijas veidiem un neaizstāj cietušā mantai un veselībai nodarīto kaitējumu</w:t>
      </w:r>
      <w:r w:rsidR="002955E7">
        <w:t>.</w:t>
      </w:r>
      <w:r w:rsidR="002955E7" w:rsidRPr="002955E7">
        <w:t xml:space="preserve"> </w:t>
      </w:r>
      <w:r w:rsidR="002955E7">
        <w:t xml:space="preserve">Izlemjot morālā kaitējuma atlīdzības apmēru, jāņem vērā, ka morālā kaitējuma atlīdzība neietver tādu kritēriju kā cietušā iepriekšējā labklājības līmeņa (mantiskā stāvokļa) nodrošināšana, jo ar morālo kaitējumu jāsaprot fiziskas vai garīgas ciešanas, kas izraisītas ar neatļautas darbības rezultātā nodarītu cietušā nemantisku tiesību vai nemantisku labumu aizskārumu </w:t>
      </w:r>
      <w:proofErr w:type="gramStart"/>
      <w:r w:rsidR="002955E7">
        <w:t>(</w:t>
      </w:r>
      <w:proofErr w:type="gramEnd"/>
      <w:r w:rsidR="002955E7">
        <w:rPr>
          <w:i/>
          <w:iCs/>
        </w:rPr>
        <w:t xml:space="preserve">Augstākās tiesas 2010.gada 4.februāra lēmums lietā </w:t>
      </w:r>
      <w:r w:rsidR="002955E7" w:rsidRPr="00897E19">
        <w:rPr>
          <w:i/>
          <w:iCs/>
        </w:rPr>
        <w:t>Nr. SKK-8/2010 (11390077408</w:t>
      </w:r>
      <w:r w:rsidR="002955E7">
        <w:rPr>
          <w:i/>
          <w:iCs/>
        </w:rPr>
        <w:t>),</w:t>
      </w:r>
      <w:r w:rsidR="002955E7" w:rsidRPr="00DF5CDF">
        <w:rPr>
          <w:i/>
        </w:rPr>
        <w:t xml:space="preserve"> 2013.gada 31.janvāra lē</w:t>
      </w:r>
      <w:r w:rsidR="002955E7">
        <w:rPr>
          <w:i/>
        </w:rPr>
        <w:t>mums lietā Nr. SKK-47/2013 (</w:t>
      </w:r>
      <w:r w:rsidR="002955E7" w:rsidRPr="00DF5CDF">
        <w:rPr>
          <w:i/>
        </w:rPr>
        <w:t>11521029910)</w:t>
      </w:r>
      <w:r w:rsidR="002955E7">
        <w:rPr>
          <w:i/>
        </w:rPr>
        <w:t xml:space="preserve"> un 2012.gada 18.septembra lēmums lietā Nr. SKK- 406/12 (</w:t>
      </w:r>
      <w:r w:rsidR="002955E7" w:rsidRPr="00903029">
        <w:rPr>
          <w:i/>
        </w:rPr>
        <w:t>11130120608)</w:t>
      </w:r>
      <w:r w:rsidR="002955E7">
        <w:t>).</w:t>
      </w:r>
      <w:r w:rsidR="00897E19">
        <w:t xml:space="preserve"> </w:t>
      </w:r>
    </w:p>
    <w:p w14:paraId="30DDBB5F" w14:textId="3584888E" w:rsidR="00626B69" w:rsidRDefault="002955E7" w:rsidP="002D6684">
      <w:pPr>
        <w:spacing w:line="276" w:lineRule="auto"/>
        <w:ind w:firstLine="652"/>
        <w:contextualSpacing/>
        <w:jc w:val="both"/>
      </w:pPr>
      <w:r>
        <w:t>Turklāt, l</w:t>
      </w:r>
      <w:r w:rsidR="00626B69">
        <w:t>ai morālā kaitējuma atlīdzinājums būtu atbilstīgs, tam ir jābūt samērojamam ar nodarīto kaitējumu, un, jo nopietnāks kaitējums, jo ievērojamākam jābūt atlīdzinājumam. Tiesai ne tikai jānosaka atbilstīgs atlīdzinājums, bet arī jāpamato, kādēļ tā uzskatījusi atlīdzinājumu par atbilstīgu. Pamatojumam ir jāparāda, ka tiesa ir</w:t>
      </w:r>
      <w:r w:rsidR="00626B69" w:rsidRPr="00626B69">
        <w:t xml:space="preserve"> </w:t>
      </w:r>
      <w:r>
        <w:t>ņ</w:t>
      </w:r>
      <w:r w:rsidR="00626B69">
        <w:t>ēmusi vērā un izvērtējusi visus atlīdzinājuma noteikšanā būtiskos apstākļus un ka tiesa, nosakot atlīdzinājumu, nav balstījusies vienīgi uz saviem subjektīvajiem ieskatiem, bet gan uz racionāliem juridiskiem apsvērumiem. Šāds pamatojums ir būtisks, lai ikviens varētu pārliecināties par tiesas nolēmuma tiesiskumu</w:t>
      </w:r>
      <w:r>
        <w:t>.</w:t>
      </w:r>
    </w:p>
    <w:p w14:paraId="746BBA17" w14:textId="0233B05D" w:rsidR="002C1831" w:rsidRDefault="002C1831" w:rsidP="002D6684">
      <w:pPr>
        <w:spacing w:line="276" w:lineRule="auto"/>
        <w:ind w:firstLine="652"/>
        <w:contextualSpacing/>
        <w:jc w:val="both"/>
      </w:pPr>
      <w:r>
        <w:t xml:space="preserve">Apelācijas instances tiesa </w:t>
      </w:r>
      <w:r w:rsidR="00DA03B0">
        <w:t>atzinusi</w:t>
      </w:r>
      <w:r>
        <w:t xml:space="preserve">, ka, iztiesājot lietu, pirmās instances tiesa </w:t>
      </w:r>
      <w:r w:rsidR="002D6684">
        <w:t xml:space="preserve">izvērtējusi </w:t>
      </w:r>
      <w:r w:rsidR="002955E7">
        <w:t xml:space="preserve">gan Kriminālprocesa </w:t>
      </w:r>
      <w:r w:rsidR="00DA03B0">
        <w:t>likumā noteiktos</w:t>
      </w:r>
      <w:r>
        <w:t xml:space="preserve"> kritērijus</w:t>
      </w:r>
      <w:r w:rsidR="002D6684">
        <w:t xml:space="preserve">, </w:t>
      </w:r>
      <w:r w:rsidR="002955E7">
        <w:t>gan</w:t>
      </w:r>
      <w:r w:rsidR="00DA03B0">
        <w:t xml:space="preserve"> ņēmusi vērā </w:t>
      </w:r>
      <w:r w:rsidR="002D6684">
        <w:t xml:space="preserve">Latvijas Republikas Satversmes </w:t>
      </w:r>
      <w:proofErr w:type="gramStart"/>
      <w:r w:rsidR="002D6684">
        <w:t>94.pantā</w:t>
      </w:r>
      <w:proofErr w:type="gramEnd"/>
      <w:r w:rsidR="002D6684">
        <w:t xml:space="preserve"> un Eiropas </w:t>
      </w:r>
      <w:r w:rsidR="00E52142">
        <w:t>Padomes</w:t>
      </w:r>
      <w:r w:rsidR="002D6684">
        <w:t xml:space="preserve"> 2004.gada 29.aprīļa </w:t>
      </w:r>
      <w:r w:rsidR="00F57C31">
        <w:t>D</w:t>
      </w:r>
      <w:r w:rsidR="002D6684">
        <w:t xml:space="preserve">irektīvā </w:t>
      </w:r>
      <w:r w:rsidR="00F57C31">
        <w:t>2004/80/EK p</w:t>
      </w:r>
      <w:r w:rsidR="002D6684">
        <w:t>ar kompensāciju noziegumos cietušajiem ietvertos principu</w:t>
      </w:r>
      <w:r w:rsidR="00A431FD">
        <w:t xml:space="preserve">s un cietušajai </w:t>
      </w:r>
      <w:r w:rsidR="003E6EC2">
        <w:t>[pers. A]</w:t>
      </w:r>
      <w:r w:rsidR="00A431FD">
        <w:t xml:space="preserve"> noteikusi atbilstīgu morālā kaitējuma atlīdzinājumu</w:t>
      </w:r>
      <w:r w:rsidR="002D6684">
        <w:t>.</w:t>
      </w:r>
    </w:p>
    <w:p w14:paraId="19643FD1" w14:textId="1C6F7EF8" w:rsidR="00644733" w:rsidRDefault="00644733" w:rsidP="00644733">
      <w:pPr>
        <w:spacing w:line="276" w:lineRule="auto"/>
        <w:ind w:firstLine="652"/>
        <w:contextualSpacing/>
        <w:jc w:val="both"/>
      </w:pPr>
    </w:p>
    <w:p w14:paraId="63035D76" w14:textId="4ABA89BB" w:rsidR="000466AF" w:rsidRDefault="00644733" w:rsidP="006B0815">
      <w:pPr>
        <w:pStyle w:val="tv213"/>
        <w:spacing w:before="0" w:beforeAutospacing="0" w:after="0" w:afterAutospacing="0" w:line="276" w:lineRule="auto"/>
        <w:ind w:firstLine="652"/>
        <w:contextualSpacing/>
        <w:jc w:val="both"/>
      </w:pPr>
      <w:r>
        <w:t>[</w:t>
      </w:r>
      <w:r w:rsidR="00DA47EE">
        <w:t>9</w:t>
      </w:r>
      <w:r>
        <w:t>] </w:t>
      </w:r>
      <w:r w:rsidR="00514823">
        <w:t>Nepamatots ir</w:t>
      </w:r>
      <w:r w:rsidR="00043B1D">
        <w:t xml:space="preserve"> </w:t>
      </w:r>
      <w:r>
        <w:t xml:space="preserve">cietušās </w:t>
      </w:r>
      <w:r w:rsidR="003E6EC2">
        <w:t>[pers. A]</w:t>
      </w:r>
      <w:r w:rsidR="00043B1D">
        <w:t xml:space="preserve"> kasācijas sūdzībā norādīta</w:t>
      </w:r>
      <w:r w:rsidR="00514823">
        <w:t>is par pieļautajiem Kriminālprocesa likuma pārkāpumiem pierādījumu izvērtēšanā. A</w:t>
      </w:r>
      <w:r w:rsidR="005772E0">
        <w:t xml:space="preserve">pelācijas instances tiesa </w:t>
      </w:r>
      <w:r w:rsidR="00514823">
        <w:t xml:space="preserve">ir </w:t>
      </w:r>
      <w:r>
        <w:t>atzinusi</w:t>
      </w:r>
      <w:r w:rsidR="005772E0">
        <w:t xml:space="preserve">, ka </w:t>
      </w:r>
      <w:r w:rsidR="008E18A4">
        <w:t>ziņas par cietušās veselības stāvokli, invaliditāti, finansiālo stāvokli un piešķirto maznodrošinātas personas statusu,</w:t>
      </w:r>
      <w:r w:rsidR="002D6684">
        <w:t xml:space="preserve"> kuras apelācijas instances tiesā iesniegusi cietušās pārstāve, jau </w:t>
      </w:r>
      <w:r w:rsidR="00514823">
        <w:t xml:space="preserve">ir </w:t>
      </w:r>
      <w:r w:rsidR="002D6684">
        <w:t xml:space="preserve">pārbaudījusi </w:t>
      </w:r>
      <w:r w:rsidR="00514823">
        <w:t xml:space="preserve">pirmās instances tiesa </w:t>
      </w:r>
      <w:r w:rsidR="002D6684">
        <w:t xml:space="preserve">un izvērtējusi </w:t>
      </w:r>
      <w:r w:rsidR="00514823">
        <w:t>spriedumā</w:t>
      </w:r>
      <w:r w:rsidR="002D6684">
        <w:t>.</w:t>
      </w:r>
    </w:p>
    <w:p w14:paraId="3AA3B1E7" w14:textId="77777777" w:rsidR="00E52142" w:rsidRDefault="00E52142" w:rsidP="006B0815">
      <w:pPr>
        <w:pStyle w:val="tv213"/>
        <w:spacing w:before="0" w:beforeAutospacing="0" w:after="0" w:afterAutospacing="0" w:line="276" w:lineRule="auto"/>
        <w:ind w:firstLine="652"/>
        <w:contextualSpacing/>
        <w:jc w:val="both"/>
      </w:pPr>
    </w:p>
    <w:p w14:paraId="0A6BB931" w14:textId="1DB6AE5B" w:rsidR="00E52142" w:rsidRDefault="00CF2A9B" w:rsidP="00E52142">
      <w:pPr>
        <w:pStyle w:val="tv213"/>
        <w:spacing w:before="0" w:beforeAutospacing="0" w:after="0" w:afterAutospacing="0" w:line="276" w:lineRule="auto"/>
        <w:ind w:firstLine="652"/>
        <w:contextualSpacing/>
        <w:jc w:val="both"/>
      </w:pPr>
      <w:r>
        <w:t>[</w:t>
      </w:r>
      <w:r w:rsidR="00DA47EE">
        <w:t>10</w:t>
      </w:r>
      <w:r>
        <w:t xml:space="preserve">] </w:t>
      </w:r>
      <w:r w:rsidR="009E334A">
        <w:t>Kriminālproces</w:t>
      </w:r>
      <w:r w:rsidR="006B0815">
        <w:t xml:space="preserve">a likuma </w:t>
      </w:r>
      <w:proofErr w:type="gramStart"/>
      <w:r w:rsidR="006B0815">
        <w:t>11.pantā</w:t>
      </w:r>
      <w:proofErr w:type="gramEnd"/>
      <w:r w:rsidR="006B0815">
        <w:t xml:space="preserve"> nostiprināts kriminālproces</w:t>
      </w:r>
      <w:r w:rsidR="000466AF">
        <w:t>ā</w:t>
      </w:r>
      <w:r w:rsidR="009E334A">
        <w:t xml:space="preserve"> lietojamās valodas princips</w:t>
      </w:r>
      <w:r w:rsidR="006B0815">
        <w:t>.</w:t>
      </w:r>
      <w:r w:rsidR="009E334A">
        <w:t xml:space="preserve"> Šā panta pirmā daļa noteic, ka kriminālprocess notiek valsts valodā, savukārt panta otrā daļ</w:t>
      </w:r>
      <w:r w:rsidR="000466AF">
        <w:t>a</w:t>
      </w:r>
      <w:r w:rsidR="009E334A">
        <w:t xml:space="preserve"> no</w:t>
      </w:r>
      <w:r w:rsidR="006B0815">
        <w:t>tei</w:t>
      </w:r>
      <w:r w:rsidR="000466AF">
        <w:t>c</w:t>
      </w:r>
      <w:r w:rsidR="009E334A">
        <w:t>, ka personai, kurai ir tiesības uz aizstāvību, cietušajam un viņa pārstāvim,  ja tās neprot valsts valodu, procesuālo darbību veikšanas laikā ir tiesības lietot valodu, kuru šīs personas prot, un bez atlīdzības izmantot tulka palīdzību, kura piedalīšanos nodrošina procesa virzītājs.</w:t>
      </w:r>
    </w:p>
    <w:p w14:paraId="56141CE6" w14:textId="3640E74D" w:rsidR="006B0815" w:rsidRDefault="00E52142" w:rsidP="00E52142">
      <w:pPr>
        <w:pStyle w:val="tv213"/>
        <w:spacing w:before="0" w:beforeAutospacing="0" w:after="0" w:afterAutospacing="0" w:line="276" w:lineRule="auto"/>
        <w:ind w:firstLine="652"/>
        <w:contextualSpacing/>
        <w:jc w:val="both"/>
      </w:pPr>
      <w:r>
        <w:t xml:space="preserve">Minētajās tiesību normās nostiprināts valsts valodas princips, ar kuru noteiktas divas būtiskas garantijas – valsts valodas kā vienīgās procesa valodas atzīšana, un tiesības uz sev saprotamas valodas lietošanu tām procesā iesaistītajām personām, kuras valsts valodu nepārvalda pietiekamā līmenī </w:t>
      </w:r>
      <w:proofErr w:type="gramStart"/>
      <w:r>
        <w:t>(</w:t>
      </w:r>
      <w:proofErr w:type="gramEnd"/>
      <w:r w:rsidRPr="002C63AB">
        <w:rPr>
          <w:i/>
        </w:rPr>
        <w:t xml:space="preserve">Kriminālprocesa likuma komentāri. A daļa. Zinātniska monogrāfija prof. Kristīnes </w:t>
      </w:r>
      <w:proofErr w:type="spellStart"/>
      <w:r w:rsidRPr="002C63AB">
        <w:rPr>
          <w:i/>
        </w:rPr>
        <w:t>Stradas-Rozenbergas</w:t>
      </w:r>
      <w:proofErr w:type="spellEnd"/>
      <w:r w:rsidRPr="002C63AB">
        <w:rPr>
          <w:i/>
        </w:rPr>
        <w:t xml:space="preserve"> zinātniskā redakcijā. Rīga: Latvijas Vēstnesis, 2019, 55.lpp.</w:t>
      </w:r>
      <w:r>
        <w:t>).</w:t>
      </w:r>
    </w:p>
    <w:p w14:paraId="4378D609" w14:textId="195CDA6E" w:rsidR="00DC77D9" w:rsidRPr="000466AF" w:rsidRDefault="000466AF" w:rsidP="00DC77D9">
      <w:pPr>
        <w:pStyle w:val="tv213"/>
        <w:spacing w:before="0" w:beforeAutospacing="0" w:after="0" w:afterAutospacing="0" w:line="276" w:lineRule="auto"/>
        <w:ind w:firstLine="652"/>
        <w:contextualSpacing/>
        <w:jc w:val="both"/>
        <w:rPr>
          <w:shd w:val="clear" w:color="auto" w:fill="FFFFFF"/>
        </w:rPr>
      </w:pPr>
      <w:r>
        <w:t xml:space="preserve">Cietusī </w:t>
      </w:r>
      <w:r w:rsidR="003E6EC2">
        <w:t>[pers. A]</w:t>
      </w:r>
      <w:r w:rsidR="00DC77D9">
        <w:t xml:space="preserve"> kasācijas sūdzībā pamatoti norādījusi, ka apsūdzētā pēdējā vārdā teiktajam apelācijas instances tiesas sēdē nav sniegts mutvārdu tulkojums valsts valodā. </w:t>
      </w:r>
      <w:r w:rsidR="00FB7247">
        <w:t xml:space="preserve">Vienlaikus no lietas materiāliem konstatējams, ka apsūdzētā </w:t>
      </w:r>
      <w:r w:rsidR="003E6EC2">
        <w:t>[pers. B]</w:t>
      </w:r>
      <w:r w:rsidR="00FB7247">
        <w:t xml:space="preserve"> pēdējā vārdā teiktajam sniegts tulkojums </w:t>
      </w:r>
      <w:r>
        <w:t xml:space="preserve">valsts valodā </w:t>
      </w:r>
      <w:r w:rsidR="00FB7247">
        <w:t>rakstveidā.</w:t>
      </w:r>
      <w:r w:rsidR="00DC77D9">
        <w:t xml:space="preserve"> </w:t>
      </w:r>
    </w:p>
    <w:p w14:paraId="5F4F5665" w14:textId="056EFBD7" w:rsidR="008D35BD" w:rsidRPr="000466AF" w:rsidRDefault="00DC77D9" w:rsidP="00FB7247">
      <w:pPr>
        <w:pStyle w:val="tv213"/>
        <w:spacing w:before="0" w:beforeAutospacing="0" w:after="0" w:afterAutospacing="0" w:line="276" w:lineRule="auto"/>
        <w:ind w:firstLine="652"/>
        <w:contextualSpacing/>
        <w:jc w:val="both"/>
        <w:rPr>
          <w:shd w:val="clear" w:color="auto" w:fill="FFFFFF"/>
        </w:rPr>
      </w:pPr>
      <w:r w:rsidRPr="009103B8">
        <w:t xml:space="preserve">Saskaņā ar Kriminālprocesa likuma </w:t>
      </w:r>
      <w:proofErr w:type="gramStart"/>
      <w:r w:rsidRPr="009103B8">
        <w:t>571.panta</w:t>
      </w:r>
      <w:proofErr w:type="gramEnd"/>
      <w:r w:rsidRPr="009103B8">
        <w:t xml:space="preserve"> otro daļu </w:t>
      </w:r>
      <w:r>
        <w:t xml:space="preserve">par savu tiesību aizskārumu </w:t>
      </w:r>
      <w:r w:rsidR="00FB7247">
        <w:t xml:space="preserve">sūdzību </w:t>
      </w:r>
      <w:r>
        <w:t xml:space="preserve">var iesniegt </w:t>
      </w:r>
      <w:r w:rsidRPr="009103B8">
        <w:t>a</w:t>
      </w:r>
      <w:r w:rsidRPr="009103B8">
        <w:rPr>
          <w:shd w:val="clear" w:color="auto" w:fill="FFFFFF"/>
        </w:rPr>
        <w:t>psūdzētai</w:t>
      </w:r>
      <w:r w:rsidR="00E12E14">
        <w:rPr>
          <w:shd w:val="clear" w:color="auto" w:fill="FFFFFF"/>
        </w:rPr>
        <w:t>s</w:t>
      </w:r>
      <w:r w:rsidRPr="009103B8">
        <w:rPr>
          <w:shd w:val="clear" w:color="auto" w:fill="FFFFFF"/>
        </w:rPr>
        <w:t>, bet cietušais var iesniegt sūdzību daļā, kas aizskar viņa tiesības un</w:t>
      </w:r>
      <w:r w:rsidR="00FB7247" w:rsidRPr="009103B8">
        <w:rPr>
          <w:shd w:val="clear" w:color="auto" w:fill="FFFFFF"/>
        </w:rPr>
        <w:t xml:space="preserve"> </w:t>
      </w:r>
      <w:r w:rsidRPr="009103B8">
        <w:rPr>
          <w:shd w:val="clear" w:color="auto" w:fill="FFFFFF"/>
        </w:rPr>
        <w:t>intereses.</w:t>
      </w:r>
      <w:r>
        <w:t xml:space="preserve"> </w:t>
      </w:r>
    </w:p>
    <w:p w14:paraId="0D5E6DC8" w14:textId="1C3FC9C6" w:rsidR="00891E95" w:rsidRDefault="00DC77D9" w:rsidP="00891E95">
      <w:pPr>
        <w:pStyle w:val="tv213"/>
        <w:spacing w:before="0" w:beforeAutospacing="0" w:after="0" w:afterAutospacing="0" w:line="276" w:lineRule="auto"/>
        <w:ind w:firstLine="652"/>
        <w:contextualSpacing/>
        <w:jc w:val="both"/>
      </w:pPr>
      <w:r>
        <w:t xml:space="preserve">Apelācijas instances tiesā cietusī </w:t>
      </w:r>
      <w:r w:rsidR="003E6EC2">
        <w:t>[pers. </w:t>
      </w:r>
      <w:r w:rsidR="005F13B4">
        <w:t>A</w:t>
      </w:r>
      <w:r w:rsidR="003E6EC2">
        <w:t>]</w:t>
      </w:r>
      <w:r>
        <w:t xml:space="preserve"> </w:t>
      </w:r>
      <w:r w:rsidR="00891E95">
        <w:t>savas tiesības īstenoj</w:t>
      </w:r>
      <w:r w:rsidR="000466AF">
        <w:t>a</w:t>
      </w:r>
      <w:r w:rsidR="00891E95">
        <w:t xml:space="preserve"> ar pārstāves starpniecību.</w:t>
      </w:r>
      <w:r w:rsidR="00FB7247">
        <w:t xml:space="preserve"> Savukārt kasācijas sūdzībā cietusī nav minējusi, kādā veidā</w:t>
      </w:r>
      <w:r w:rsidR="00DE0D2F">
        <w:t>, lietai pievienojot</w:t>
      </w:r>
      <w:r w:rsidR="00FB7247">
        <w:t xml:space="preserve"> apsūdzētā </w:t>
      </w:r>
      <w:r w:rsidR="003E6EC2">
        <w:t>[pers. B]</w:t>
      </w:r>
      <w:r w:rsidR="00FB7247">
        <w:t xml:space="preserve"> pēdējā vārdā teiktā rakstveida tulkojum</w:t>
      </w:r>
      <w:r w:rsidR="00DE0D2F">
        <w:t>u</w:t>
      </w:r>
      <w:r w:rsidR="00FB7247">
        <w:t>, aizsk</w:t>
      </w:r>
      <w:r w:rsidR="00DE0D2F">
        <w:t xml:space="preserve">artas </w:t>
      </w:r>
      <w:r w:rsidR="00FB7247">
        <w:t>viņas tiesības un intereses.</w:t>
      </w:r>
    </w:p>
    <w:p w14:paraId="73D4EF17" w14:textId="77777777" w:rsidR="003F3E16" w:rsidRDefault="003F3E16" w:rsidP="003F3E16">
      <w:pPr>
        <w:pStyle w:val="tv213"/>
        <w:spacing w:before="0" w:beforeAutospacing="0" w:after="0" w:afterAutospacing="0" w:line="276" w:lineRule="auto"/>
        <w:ind w:firstLine="652"/>
        <w:contextualSpacing/>
        <w:jc w:val="both"/>
      </w:pPr>
    </w:p>
    <w:p w14:paraId="4AE52D0F" w14:textId="61E80F1A" w:rsidR="003F3E16" w:rsidRDefault="003F3E16" w:rsidP="00BF48FB">
      <w:pPr>
        <w:spacing w:line="276" w:lineRule="auto"/>
        <w:ind w:firstLine="652"/>
        <w:contextualSpacing/>
        <w:jc w:val="both"/>
      </w:pPr>
      <w:r>
        <w:t>[</w:t>
      </w:r>
      <w:r w:rsidR="000466AF">
        <w:t>1</w:t>
      </w:r>
      <w:r w:rsidR="00DA47EE">
        <w:t>1</w:t>
      </w:r>
      <w:r>
        <w:t xml:space="preserve">] Senāts atzīst, ka apelācijas instances tiesas </w:t>
      </w:r>
      <w:r w:rsidR="000466AF">
        <w:t>no</w:t>
      </w:r>
      <w:r>
        <w:t xml:space="preserve">lēmums atbilst Kriminālprocesa likuma 511., 512. un </w:t>
      </w:r>
      <w:proofErr w:type="gramStart"/>
      <w:r>
        <w:t>564.panta</w:t>
      </w:r>
      <w:proofErr w:type="gramEnd"/>
      <w:r>
        <w:t xml:space="preserve"> prasībām. </w:t>
      </w:r>
      <w:r w:rsidR="000466AF">
        <w:t>I</w:t>
      </w:r>
      <w:r>
        <w:t xml:space="preserve">ztiesājot lietu, </w:t>
      </w:r>
      <w:r w:rsidR="000466AF">
        <w:t xml:space="preserve">apelācijas instances tiesa </w:t>
      </w:r>
      <w:r>
        <w:t>nav pieļāvusi Krimināllikuma pārkāpumu vai Kriminālprocesa likuma būtisku pārkāpumu, tādēļ apelācijas instances tiesas lēmums</w:t>
      </w:r>
      <w:r w:rsidR="00BF48FB">
        <w:t xml:space="preserve"> atstājams negrozīts.</w:t>
      </w:r>
    </w:p>
    <w:p w14:paraId="54FE6673" w14:textId="77777777" w:rsidR="003F3E16" w:rsidRDefault="003F3E16" w:rsidP="003F3E16">
      <w:pPr>
        <w:pStyle w:val="tv213"/>
        <w:spacing w:before="0" w:beforeAutospacing="0" w:after="0" w:afterAutospacing="0" w:line="276" w:lineRule="auto"/>
        <w:ind w:firstLine="652"/>
        <w:contextualSpacing/>
        <w:jc w:val="both"/>
      </w:pPr>
    </w:p>
    <w:p w14:paraId="3EAD26FD" w14:textId="77777777" w:rsidR="002A52E2" w:rsidRPr="003F3E16" w:rsidRDefault="002A52E2" w:rsidP="003F3E16">
      <w:pPr>
        <w:pStyle w:val="tv213"/>
        <w:spacing w:before="0" w:beforeAutospacing="0" w:after="0" w:afterAutospacing="0" w:line="276" w:lineRule="auto"/>
        <w:ind w:firstLine="652"/>
        <w:contextualSpacing/>
        <w:jc w:val="center"/>
      </w:pPr>
      <w:r w:rsidRPr="00473F47">
        <w:rPr>
          <w:b/>
        </w:rPr>
        <w:t>Rezolutīvā daļa</w:t>
      </w:r>
    </w:p>
    <w:p w14:paraId="13BD9041" w14:textId="77777777" w:rsidR="002A52E2" w:rsidRDefault="002A52E2" w:rsidP="00934987">
      <w:pPr>
        <w:pStyle w:val="tv213"/>
        <w:spacing w:before="0" w:beforeAutospacing="0" w:after="0" w:afterAutospacing="0" w:line="276" w:lineRule="auto"/>
        <w:ind w:firstLine="652"/>
        <w:contextualSpacing/>
        <w:jc w:val="both"/>
      </w:pPr>
    </w:p>
    <w:p w14:paraId="6A53C702" w14:textId="77777777" w:rsidR="002A52E2" w:rsidRPr="00473F47" w:rsidRDefault="002A52E2" w:rsidP="00934987">
      <w:pPr>
        <w:pStyle w:val="tv213"/>
        <w:spacing w:before="0" w:beforeAutospacing="0" w:after="0" w:afterAutospacing="0" w:line="276" w:lineRule="auto"/>
        <w:ind w:firstLine="652"/>
        <w:contextualSpacing/>
        <w:jc w:val="both"/>
      </w:pPr>
      <w:r w:rsidRPr="00473F47">
        <w:t>Pamatojoties uz Krim</w:t>
      </w:r>
      <w:r>
        <w:t xml:space="preserve">inālprocesa likuma 585. un </w:t>
      </w:r>
      <w:proofErr w:type="gramStart"/>
      <w:r>
        <w:t>587.</w:t>
      </w:r>
      <w:r w:rsidRPr="00473F47">
        <w:t>pantu</w:t>
      </w:r>
      <w:proofErr w:type="gramEnd"/>
      <w:r w:rsidRPr="00473F47">
        <w:t xml:space="preserve">, </w:t>
      </w:r>
      <w:r>
        <w:t>tiesa</w:t>
      </w:r>
    </w:p>
    <w:p w14:paraId="2B0676D0" w14:textId="77777777" w:rsidR="002A52E2" w:rsidRDefault="002A52E2" w:rsidP="00934987">
      <w:pPr>
        <w:pStyle w:val="tv213"/>
        <w:spacing w:before="0" w:beforeAutospacing="0" w:after="0" w:afterAutospacing="0" w:line="276" w:lineRule="auto"/>
        <w:ind w:firstLine="652"/>
        <w:contextualSpacing/>
        <w:jc w:val="center"/>
        <w:rPr>
          <w:b/>
        </w:rPr>
      </w:pPr>
    </w:p>
    <w:p w14:paraId="3208D04C" w14:textId="77777777" w:rsidR="00485424" w:rsidRPr="00FF30AD" w:rsidRDefault="002A52E2" w:rsidP="00934987">
      <w:pPr>
        <w:pStyle w:val="tv213"/>
        <w:spacing w:before="0" w:beforeAutospacing="0" w:after="0" w:afterAutospacing="0" w:line="276" w:lineRule="auto"/>
        <w:ind w:firstLine="652"/>
        <w:contextualSpacing/>
        <w:jc w:val="center"/>
        <w:rPr>
          <w:b/>
        </w:rPr>
      </w:pPr>
      <w:r>
        <w:rPr>
          <w:b/>
        </w:rPr>
        <w:t>nolēma:</w:t>
      </w:r>
    </w:p>
    <w:p w14:paraId="172BB912" w14:textId="77777777" w:rsidR="00485424" w:rsidRDefault="00485424" w:rsidP="00934987">
      <w:pPr>
        <w:tabs>
          <w:tab w:val="left" w:pos="-3120"/>
        </w:tabs>
        <w:suppressAutoHyphens/>
        <w:spacing w:line="276" w:lineRule="auto"/>
        <w:ind w:firstLine="652"/>
        <w:contextualSpacing/>
        <w:jc w:val="both"/>
      </w:pPr>
    </w:p>
    <w:p w14:paraId="0367A9A1" w14:textId="2690F809" w:rsidR="00FF30AD" w:rsidRDefault="00FF30AD" w:rsidP="00934987">
      <w:pPr>
        <w:spacing w:line="276" w:lineRule="auto"/>
        <w:ind w:firstLine="652"/>
        <w:contextualSpacing/>
        <w:jc w:val="both"/>
      </w:pPr>
      <w:r>
        <w:rPr>
          <w:color w:val="000000"/>
        </w:rPr>
        <w:t xml:space="preserve">atstāt negrozītu </w:t>
      </w:r>
      <w:r>
        <w:t xml:space="preserve">Kurzemes apgabaltiesas </w:t>
      </w:r>
      <w:proofErr w:type="gramStart"/>
      <w:r>
        <w:t>2020.gada</w:t>
      </w:r>
      <w:proofErr w:type="gramEnd"/>
      <w:r>
        <w:t xml:space="preserve"> 17.jūnija lēmumu, bet cietušās </w:t>
      </w:r>
      <w:r w:rsidR="003E6EC2">
        <w:t>[pers. A]</w:t>
      </w:r>
      <w:r>
        <w:t xml:space="preserve"> kasācijas sūdzīb</w:t>
      </w:r>
      <w:r w:rsidR="00DD2475">
        <w:t>u</w:t>
      </w:r>
      <w:r>
        <w:t xml:space="preserve"> noraidīt.</w:t>
      </w:r>
    </w:p>
    <w:p w14:paraId="5CC9377D" w14:textId="1A1F7784" w:rsidR="005D093A" w:rsidRPr="003E6EC2" w:rsidRDefault="00FF30AD" w:rsidP="003E6EC2">
      <w:pPr>
        <w:tabs>
          <w:tab w:val="left" w:pos="-3120"/>
        </w:tabs>
        <w:suppressAutoHyphens/>
        <w:spacing w:line="276" w:lineRule="auto"/>
        <w:ind w:firstLine="652"/>
        <w:contextualSpacing/>
        <w:jc w:val="both"/>
        <w:rPr>
          <w:color w:val="000000"/>
        </w:rPr>
      </w:pPr>
      <w:r>
        <w:rPr>
          <w:color w:val="000000"/>
        </w:rPr>
        <w:t xml:space="preserve"> </w:t>
      </w:r>
      <w:r w:rsidR="002A52E2" w:rsidRPr="00473F47">
        <w:rPr>
          <w:color w:val="000000"/>
        </w:rPr>
        <w:t>Lēmums nav pārsū</w:t>
      </w:r>
      <w:r w:rsidR="002A52E2">
        <w:rPr>
          <w:color w:val="000000"/>
        </w:rPr>
        <w:t>dzams.</w:t>
      </w:r>
    </w:p>
    <w:sectPr w:rsidR="005D093A" w:rsidRPr="003E6EC2" w:rsidSect="00D8444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BFCEE" w14:textId="77777777" w:rsidR="00963122" w:rsidRDefault="00963122" w:rsidP="00A21AA0">
      <w:r>
        <w:separator/>
      </w:r>
    </w:p>
  </w:endnote>
  <w:endnote w:type="continuationSeparator" w:id="0">
    <w:p w14:paraId="0D57938B" w14:textId="77777777" w:rsidR="00963122" w:rsidRDefault="00963122" w:rsidP="00A2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462631"/>
      <w:docPartObj>
        <w:docPartGallery w:val="Page Numbers (Bottom of Page)"/>
        <w:docPartUnique/>
      </w:docPartObj>
    </w:sdtPr>
    <w:sdtEndPr/>
    <w:sdtContent>
      <w:sdt>
        <w:sdtPr>
          <w:id w:val="1728636285"/>
          <w:docPartObj>
            <w:docPartGallery w:val="Page Numbers (Top of Page)"/>
            <w:docPartUnique/>
          </w:docPartObj>
        </w:sdtPr>
        <w:sdtEndPr/>
        <w:sdtContent>
          <w:p w14:paraId="3592E9BC" w14:textId="77777777" w:rsidR="00A21AA0" w:rsidRDefault="00A21AA0">
            <w:pPr>
              <w:pStyle w:val="Footer"/>
              <w:jc w:val="center"/>
            </w:pPr>
            <w:r w:rsidRPr="00A21AA0">
              <w:rPr>
                <w:bCs/>
              </w:rPr>
              <w:fldChar w:fldCharType="begin"/>
            </w:r>
            <w:r w:rsidRPr="00A21AA0">
              <w:rPr>
                <w:bCs/>
              </w:rPr>
              <w:instrText xml:space="preserve"> PAGE </w:instrText>
            </w:r>
            <w:r w:rsidRPr="00A21AA0">
              <w:rPr>
                <w:bCs/>
              </w:rPr>
              <w:fldChar w:fldCharType="separate"/>
            </w:r>
            <w:r w:rsidR="00DD2475">
              <w:rPr>
                <w:bCs/>
                <w:noProof/>
              </w:rPr>
              <w:t>4</w:t>
            </w:r>
            <w:r w:rsidRPr="00A21AA0">
              <w:rPr>
                <w:bCs/>
              </w:rPr>
              <w:fldChar w:fldCharType="end"/>
            </w:r>
            <w:r w:rsidRPr="00A21AA0">
              <w:t xml:space="preserve"> no </w:t>
            </w:r>
            <w:r w:rsidRPr="00A21AA0">
              <w:rPr>
                <w:bCs/>
              </w:rPr>
              <w:fldChar w:fldCharType="begin"/>
            </w:r>
            <w:r w:rsidRPr="00A21AA0">
              <w:rPr>
                <w:bCs/>
              </w:rPr>
              <w:instrText xml:space="preserve"> NUMPAGES  </w:instrText>
            </w:r>
            <w:r w:rsidRPr="00A21AA0">
              <w:rPr>
                <w:bCs/>
              </w:rPr>
              <w:fldChar w:fldCharType="separate"/>
            </w:r>
            <w:r w:rsidR="00DD2475">
              <w:rPr>
                <w:bCs/>
                <w:noProof/>
              </w:rPr>
              <w:t>5</w:t>
            </w:r>
            <w:r w:rsidRPr="00A21AA0">
              <w:rPr>
                <w:bCs/>
              </w:rPr>
              <w:fldChar w:fldCharType="end"/>
            </w:r>
          </w:p>
        </w:sdtContent>
      </w:sdt>
    </w:sdtContent>
  </w:sdt>
  <w:p w14:paraId="601D8EF6" w14:textId="77777777" w:rsidR="00A21AA0" w:rsidRDefault="00A2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4089D" w14:textId="77777777" w:rsidR="00963122" w:rsidRDefault="00963122" w:rsidP="00A21AA0">
      <w:r>
        <w:separator/>
      </w:r>
    </w:p>
  </w:footnote>
  <w:footnote w:type="continuationSeparator" w:id="0">
    <w:p w14:paraId="2C0CE51E" w14:textId="77777777" w:rsidR="00963122" w:rsidRDefault="00963122" w:rsidP="00A21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4D5E48F6"/>
    <w:multiLevelType w:val="hybridMultilevel"/>
    <w:tmpl w:val="A58C65CA"/>
    <w:lvl w:ilvl="0" w:tplc="5ED6B206">
      <w:start w:val="1"/>
      <w:numFmt w:val="bullet"/>
      <w:lvlText w:val=""/>
      <w:lvlPicBulletId w:val="0"/>
      <w:lvlJc w:val="left"/>
      <w:pPr>
        <w:tabs>
          <w:tab w:val="num" w:pos="720"/>
        </w:tabs>
        <w:ind w:left="720" w:hanging="360"/>
      </w:pPr>
      <w:rPr>
        <w:rFonts w:ascii="Symbol" w:hAnsi="Symbol" w:hint="default"/>
      </w:rPr>
    </w:lvl>
    <w:lvl w:ilvl="1" w:tplc="1F989422" w:tentative="1">
      <w:start w:val="1"/>
      <w:numFmt w:val="bullet"/>
      <w:lvlText w:val=""/>
      <w:lvlJc w:val="left"/>
      <w:pPr>
        <w:tabs>
          <w:tab w:val="num" w:pos="1440"/>
        </w:tabs>
        <w:ind w:left="1440" w:hanging="360"/>
      </w:pPr>
      <w:rPr>
        <w:rFonts w:ascii="Symbol" w:hAnsi="Symbol" w:hint="default"/>
      </w:rPr>
    </w:lvl>
    <w:lvl w:ilvl="2" w:tplc="6100DC0C" w:tentative="1">
      <w:start w:val="1"/>
      <w:numFmt w:val="bullet"/>
      <w:lvlText w:val=""/>
      <w:lvlJc w:val="left"/>
      <w:pPr>
        <w:tabs>
          <w:tab w:val="num" w:pos="2160"/>
        </w:tabs>
        <w:ind w:left="2160" w:hanging="360"/>
      </w:pPr>
      <w:rPr>
        <w:rFonts w:ascii="Symbol" w:hAnsi="Symbol" w:hint="default"/>
      </w:rPr>
    </w:lvl>
    <w:lvl w:ilvl="3" w:tplc="726AD6F2" w:tentative="1">
      <w:start w:val="1"/>
      <w:numFmt w:val="bullet"/>
      <w:lvlText w:val=""/>
      <w:lvlJc w:val="left"/>
      <w:pPr>
        <w:tabs>
          <w:tab w:val="num" w:pos="2880"/>
        </w:tabs>
        <w:ind w:left="2880" w:hanging="360"/>
      </w:pPr>
      <w:rPr>
        <w:rFonts w:ascii="Symbol" w:hAnsi="Symbol" w:hint="default"/>
      </w:rPr>
    </w:lvl>
    <w:lvl w:ilvl="4" w:tplc="8702EB24" w:tentative="1">
      <w:start w:val="1"/>
      <w:numFmt w:val="bullet"/>
      <w:lvlText w:val=""/>
      <w:lvlJc w:val="left"/>
      <w:pPr>
        <w:tabs>
          <w:tab w:val="num" w:pos="3600"/>
        </w:tabs>
        <w:ind w:left="3600" w:hanging="360"/>
      </w:pPr>
      <w:rPr>
        <w:rFonts w:ascii="Symbol" w:hAnsi="Symbol" w:hint="default"/>
      </w:rPr>
    </w:lvl>
    <w:lvl w:ilvl="5" w:tplc="4E9E5A20" w:tentative="1">
      <w:start w:val="1"/>
      <w:numFmt w:val="bullet"/>
      <w:lvlText w:val=""/>
      <w:lvlJc w:val="left"/>
      <w:pPr>
        <w:tabs>
          <w:tab w:val="num" w:pos="4320"/>
        </w:tabs>
        <w:ind w:left="4320" w:hanging="360"/>
      </w:pPr>
      <w:rPr>
        <w:rFonts w:ascii="Symbol" w:hAnsi="Symbol" w:hint="default"/>
      </w:rPr>
    </w:lvl>
    <w:lvl w:ilvl="6" w:tplc="FC60A916" w:tentative="1">
      <w:start w:val="1"/>
      <w:numFmt w:val="bullet"/>
      <w:lvlText w:val=""/>
      <w:lvlJc w:val="left"/>
      <w:pPr>
        <w:tabs>
          <w:tab w:val="num" w:pos="5040"/>
        </w:tabs>
        <w:ind w:left="5040" w:hanging="360"/>
      </w:pPr>
      <w:rPr>
        <w:rFonts w:ascii="Symbol" w:hAnsi="Symbol" w:hint="default"/>
      </w:rPr>
    </w:lvl>
    <w:lvl w:ilvl="7" w:tplc="1F848EC4" w:tentative="1">
      <w:start w:val="1"/>
      <w:numFmt w:val="bullet"/>
      <w:lvlText w:val=""/>
      <w:lvlJc w:val="left"/>
      <w:pPr>
        <w:tabs>
          <w:tab w:val="num" w:pos="5760"/>
        </w:tabs>
        <w:ind w:left="5760" w:hanging="360"/>
      </w:pPr>
      <w:rPr>
        <w:rFonts w:ascii="Symbol" w:hAnsi="Symbol" w:hint="default"/>
      </w:rPr>
    </w:lvl>
    <w:lvl w:ilvl="8" w:tplc="9C920D2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96E1722"/>
    <w:multiLevelType w:val="hybridMultilevel"/>
    <w:tmpl w:val="400C6C50"/>
    <w:lvl w:ilvl="0" w:tplc="D9D694B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E2"/>
    <w:rsid w:val="0002315A"/>
    <w:rsid w:val="00025529"/>
    <w:rsid w:val="000421B0"/>
    <w:rsid w:val="00043B1D"/>
    <w:rsid w:val="000466AF"/>
    <w:rsid w:val="00066448"/>
    <w:rsid w:val="00070740"/>
    <w:rsid w:val="00077FEA"/>
    <w:rsid w:val="00080F6D"/>
    <w:rsid w:val="00090A8D"/>
    <w:rsid w:val="0009275A"/>
    <w:rsid w:val="000B6398"/>
    <w:rsid w:val="000E3308"/>
    <w:rsid w:val="00161B16"/>
    <w:rsid w:val="00184915"/>
    <w:rsid w:val="001900FD"/>
    <w:rsid w:val="00197220"/>
    <w:rsid w:val="001B2D35"/>
    <w:rsid w:val="001B4CE3"/>
    <w:rsid w:val="001D5C50"/>
    <w:rsid w:val="00202C71"/>
    <w:rsid w:val="0020767C"/>
    <w:rsid w:val="00207F8D"/>
    <w:rsid w:val="00211B93"/>
    <w:rsid w:val="00245CAE"/>
    <w:rsid w:val="002552A7"/>
    <w:rsid w:val="002737AD"/>
    <w:rsid w:val="00274889"/>
    <w:rsid w:val="002854FF"/>
    <w:rsid w:val="00285A9B"/>
    <w:rsid w:val="002955E7"/>
    <w:rsid w:val="002A1ADD"/>
    <w:rsid w:val="002A52E2"/>
    <w:rsid w:val="002A54FF"/>
    <w:rsid w:val="002A7F33"/>
    <w:rsid w:val="002B088B"/>
    <w:rsid w:val="002C1831"/>
    <w:rsid w:val="002C63AB"/>
    <w:rsid w:val="002D6684"/>
    <w:rsid w:val="002F56A0"/>
    <w:rsid w:val="002F56A6"/>
    <w:rsid w:val="003138A1"/>
    <w:rsid w:val="00341B47"/>
    <w:rsid w:val="00376673"/>
    <w:rsid w:val="003C4979"/>
    <w:rsid w:val="003C78D3"/>
    <w:rsid w:val="003D2AD6"/>
    <w:rsid w:val="003E2192"/>
    <w:rsid w:val="003E6EC2"/>
    <w:rsid w:val="003F3E16"/>
    <w:rsid w:val="00412710"/>
    <w:rsid w:val="0042436F"/>
    <w:rsid w:val="004727ED"/>
    <w:rsid w:val="00485424"/>
    <w:rsid w:val="004A0FB1"/>
    <w:rsid w:val="004F65AD"/>
    <w:rsid w:val="00503301"/>
    <w:rsid w:val="00504F0D"/>
    <w:rsid w:val="00513216"/>
    <w:rsid w:val="00514823"/>
    <w:rsid w:val="00536CEB"/>
    <w:rsid w:val="00537909"/>
    <w:rsid w:val="00546174"/>
    <w:rsid w:val="005772E0"/>
    <w:rsid w:val="005831B0"/>
    <w:rsid w:val="00593F0B"/>
    <w:rsid w:val="005B49E9"/>
    <w:rsid w:val="005C1038"/>
    <w:rsid w:val="005D093A"/>
    <w:rsid w:val="005D7391"/>
    <w:rsid w:val="005E614A"/>
    <w:rsid w:val="005F13B4"/>
    <w:rsid w:val="005F4D63"/>
    <w:rsid w:val="006051E8"/>
    <w:rsid w:val="00613FD2"/>
    <w:rsid w:val="00617871"/>
    <w:rsid w:val="00626B69"/>
    <w:rsid w:val="00640929"/>
    <w:rsid w:val="00644733"/>
    <w:rsid w:val="006453D2"/>
    <w:rsid w:val="006607C9"/>
    <w:rsid w:val="00675B1B"/>
    <w:rsid w:val="00686E77"/>
    <w:rsid w:val="006B0815"/>
    <w:rsid w:val="006D6034"/>
    <w:rsid w:val="006E7147"/>
    <w:rsid w:val="00706E9A"/>
    <w:rsid w:val="00744CC8"/>
    <w:rsid w:val="00750C26"/>
    <w:rsid w:val="007649F3"/>
    <w:rsid w:val="00791482"/>
    <w:rsid w:val="007A6658"/>
    <w:rsid w:val="007B5D1F"/>
    <w:rsid w:val="007C5F05"/>
    <w:rsid w:val="008365C7"/>
    <w:rsid w:val="00884CE9"/>
    <w:rsid w:val="00891E95"/>
    <w:rsid w:val="00897E19"/>
    <w:rsid w:val="008B56FE"/>
    <w:rsid w:val="008D2E06"/>
    <w:rsid w:val="008D35BD"/>
    <w:rsid w:val="008D543A"/>
    <w:rsid w:val="008E18A4"/>
    <w:rsid w:val="008E1CD0"/>
    <w:rsid w:val="008F58F2"/>
    <w:rsid w:val="00903029"/>
    <w:rsid w:val="009103B8"/>
    <w:rsid w:val="00923454"/>
    <w:rsid w:val="0092688A"/>
    <w:rsid w:val="00934987"/>
    <w:rsid w:val="0095766B"/>
    <w:rsid w:val="00963122"/>
    <w:rsid w:val="0097138B"/>
    <w:rsid w:val="00983EC9"/>
    <w:rsid w:val="00996472"/>
    <w:rsid w:val="009A238F"/>
    <w:rsid w:val="009A4C7C"/>
    <w:rsid w:val="009C6319"/>
    <w:rsid w:val="009D7837"/>
    <w:rsid w:val="009E02CE"/>
    <w:rsid w:val="009E117D"/>
    <w:rsid w:val="009E2403"/>
    <w:rsid w:val="009E2D95"/>
    <w:rsid w:val="009E334A"/>
    <w:rsid w:val="009E7C88"/>
    <w:rsid w:val="00A07487"/>
    <w:rsid w:val="00A21AA0"/>
    <w:rsid w:val="00A41DE6"/>
    <w:rsid w:val="00A431FD"/>
    <w:rsid w:val="00A721E2"/>
    <w:rsid w:val="00A929C8"/>
    <w:rsid w:val="00AA20AE"/>
    <w:rsid w:val="00AD57C3"/>
    <w:rsid w:val="00AD65AA"/>
    <w:rsid w:val="00B10B60"/>
    <w:rsid w:val="00B239F7"/>
    <w:rsid w:val="00B278DE"/>
    <w:rsid w:val="00B77D93"/>
    <w:rsid w:val="00B80AFA"/>
    <w:rsid w:val="00B83EB7"/>
    <w:rsid w:val="00B8670A"/>
    <w:rsid w:val="00BC619D"/>
    <w:rsid w:val="00BE6B83"/>
    <w:rsid w:val="00BF48FB"/>
    <w:rsid w:val="00BF6E49"/>
    <w:rsid w:val="00C04BA4"/>
    <w:rsid w:val="00C07A4C"/>
    <w:rsid w:val="00C161E6"/>
    <w:rsid w:val="00C20217"/>
    <w:rsid w:val="00C46FDB"/>
    <w:rsid w:val="00CA4090"/>
    <w:rsid w:val="00CA4B56"/>
    <w:rsid w:val="00CA5C15"/>
    <w:rsid w:val="00CA5C82"/>
    <w:rsid w:val="00CE5D78"/>
    <w:rsid w:val="00CF2A9B"/>
    <w:rsid w:val="00D03764"/>
    <w:rsid w:val="00D518AA"/>
    <w:rsid w:val="00D71760"/>
    <w:rsid w:val="00D84442"/>
    <w:rsid w:val="00D87F8F"/>
    <w:rsid w:val="00D9136F"/>
    <w:rsid w:val="00D91E51"/>
    <w:rsid w:val="00D97677"/>
    <w:rsid w:val="00DA03B0"/>
    <w:rsid w:val="00DA33C4"/>
    <w:rsid w:val="00DA47EE"/>
    <w:rsid w:val="00DA4D35"/>
    <w:rsid w:val="00DC49D5"/>
    <w:rsid w:val="00DC77D9"/>
    <w:rsid w:val="00DD2475"/>
    <w:rsid w:val="00DD3E42"/>
    <w:rsid w:val="00DE0D2F"/>
    <w:rsid w:val="00DF43DC"/>
    <w:rsid w:val="00DF5654"/>
    <w:rsid w:val="00DF5CDF"/>
    <w:rsid w:val="00E05E6D"/>
    <w:rsid w:val="00E118ED"/>
    <w:rsid w:val="00E12E14"/>
    <w:rsid w:val="00E52142"/>
    <w:rsid w:val="00E60FAC"/>
    <w:rsid w:val="00E80EA3"/>
    <w:rsid w:val="00EA5999"/>
    <w:rsid w:val="00ED7433"/>
    <w:rsid w:val="00EE5449"/>
    <w:rsid w:val="00EF0697"/>
    <w:rsid w:val="00F00AB9"/>
    <w:rsid w:val="00F01637"/>
    <w:rsid w:val="00F04A61"/>
    <w:rsid w:val="00F17C58"/>
    <w:rsid w:val="00F57C31"/>
    <w:rsid w:val="00F71FD4"/>
    <w:rsid w:val="00F97545"/>
    <w:rsid w:val="00FB7247"/>
    <w:rsid w:val="00FC2414"/>
    <w:rsid w:val="00FD1772"/>
    <w:rsid w:val="00FE12EB"/>
    <w:rsid w:val="00FE5E51"/>
    <w:rsid w:val="00FF30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7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2E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52E2"/>
    <w:pPr>
      <w:jc w:val="right"/>
    </w:pPr>
    <w:rPr>
      <w:rFonts w:ascii="Garamond" w:hAnsi="Garamond"/>
      <w:sz w:val="28"/>
      <w:szCs w:val="28"/>
    </w:rPr>
  </w:style>
  <w:style w:type="character" w:customStyle="1" w:styleId="BodyText2Char">
    <w:name w:val="Body Text 2 Char"/>
    <w:basedOn w:val="DefaultParagraphFont"/>
    <w:link w:val="BodyText2"/>
    <w:rsid w:val="002A52E2"/>
    <w:rPr>
      <w:rFonts w:ascii="Garamond" w:eastAsia="Times New Roman" w:hAnsi="Garamond" w:cs="Times New Roman"/>
      <w:sz w:val="28"/>
      <w:szCs w:val="28"/>
    </w:rPr>
  </w:style>
  <w:style w:type="paragraph" w:customStyle="1" w:styleId="tv213">
    <w:name w:val="tv213"/>
    <w:basedOn w:val="Normal"/>
    <w:rsid w:val="002A52E2"/>
    <w:pPr>
      <w:spacing w:before="100" w:beforeAutospacing="1" w:after="100" w:afterAutospacing="1"/>
    </w:pPr>
    <w:rPr>
      <w:lang w:eastAsia="lv-LV"/>
    </w:rPr>
  </w:style>
  <w:style w:type="paragraph" w:styleId="ListParagraph">
    <w:name w:val="List Paragraph"/>
    <w:basedOn w:val="Normal"/>
    <w:uiPriority w:val="34"/>
    <w:qFormat/>
    <w:rsid w:val="002A52E2"/>
    <w:pPr>
      <w:ind w:left="720"/>
      <w:contextualSpacing/>
    </w:pPr>
  </w:style>
  <w:style w:type="table" w:styleId="TableGrid">
    <w:name w:val="Table Grid"/>
    <w:basedOn w:val="TableNormal"/>
    <w:uiPriority w:val="39"/>
    <w:rsid w:val="002A52E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AA0"/>
    <w:pPr>
      <w:tabs>
        <w:tab w:val="center" w:pos="4153"/>
        <w:tab w:val="right" w:pos="8306"/>
      </w:tabs>
    </w:pPr>
  </w:style>
  <w:style w:type="character" w:customStyle="1" w:styleId="HeaderChar">
    <w:name w:val="Header Char"/>
    <w:basedOn w:val="DefaultParagraphFont"/>
    <w:link w:val="Header"/>
    <w:uiPriority w:val="99"/>
    <w:rsid w:val="00A21AA0"/>
    <w:rPr>
      <w:rFonts w:eastAsia="Times New Roman" w:cs="Times New Roman"/>
      <w:szCs w:val="24"/>
    </w:rPr>
  </w:style>
  <w:style w:type="paragraph" w:styleId="Footer">
    <w:name w:val="footer"/>
    <w:basedOn w:val="Normal"/>
    <w:link w:val="FooterChar"/>
    <w:uiPriority w:val="99"/>
    <w:unhideWhenUsed/>
    <w:rsid w:val="00A21AA0"/>
    <w:pPr>
      <w:tabs>
        <w:tab w:val="center" w:pos="4153"/>
        <w:tab w:val="right" w:pos="8306"/>
      </w:tabs>
    </w:pPr>
  </w:style>
  <w:style w:type="character" w:customStyle="1" w:styleId="FooterChar">
    <w:name w:val="Footer Char"/>
    <w:basedOn w:val="DefaultParagraphFont"/>
    <w:link w:val="Footer"/>
    <w:uiPriority w:val="99"/>
    <w:rsid w:val="00A21AA0"/>
    <w:rPr>
      <w:rFonts w:eastAsia="Times New Roman" w:cs="Times New Roman"/>
      <w:szCs w:val="24"/>
    </w:rPr>
  </w:style>
  <w:style w:type="paragraph" w:styleId="BalloonText">
    <w:name w:val="Balloon Text"/>
    <w:basedOn w:val="Normal"/>
    <w:link w:val="BalloonTextChar"/>
    <w:uiPriority w:val="99"/>
    <w:semiHidden/>
    <w:unhideWhenUsed/>
    <w:rsid w:val="0058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B0"/>
    <w:rPr>
      <w:rFonts w:ascii="Segoe UI" w:eastAsia="Times New Roman" w:hAnsi="Segoe UI" w:cs="Segoe UI"/>
      <w:sz w:val="18"/>
      <w:szCs w:val="18"/>
    </w:rPr>
  </w:style>
  <w:style w:type="character" w:styleId="Emphasis">
    <w:name w:val="Emphasis"/>
    <w:basedOn w:val="DefaultParagraphFont"/>
    <w:uiPriority w:val="20"/>
    <w:qFormat/>
    <w:rsid w:val="006607C9"/>
    <w:rPr>
      <w:i/>
      <w:iCs/>
    </w:rPr>
  </w:style>
  <w:style w:type="character" w:styleId="Hyperlink">
    <w:name w:val="Hyperlink"/>
    <w:basedOn w:val="DefaultParagraphFont"/>
    <w:uiPriority w:val="99"/>
    <w:unhideWhenUsed/>
    <w:rsid w:val="009A4C7C"/>
    <w:rPr>
      <w:color w:val="0563C1" w:themeColor="hyperlink"/>
      <w:u w:val="single"/>
    </w:rPr>
  </w:style>
  <w:style w:type="character" w:styleId="UnresolvedMention">
    <w:name w:val="Unresolved Mention"/>
    <w:basedOn w:val="DefaultParagraphFont"/>
    <w:uiPriority w:val="99"/>
    <w:semiHidden/>
    <w:unhideWhenUsed/>
    <w:rsid w:val="009A4C7C"/>
    <w:rPr>
      <w:color w:val="605E5C"/>
      <w:shd w:val="clear" w:color="auto" w:fill="E1DFDD"/>
    </w:rPr>
  </w:style>
  <w:style w:type="character" w:styleId="FollowedHyperlink">
    <w:name w:val="FollowedHyperlink"/>
    <w:basedOn w:val="DefaultParagraphFont"/>
    <w:uiPriority w:val="99"/>
    <w:semiHidden/>
    <w:unhideWhenUsed/>
    <w:rsid w:val="005F13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6080">
      <w:bodyDiv w:val="1"/>
      <w:marLeft w:val="0"/>
      <w:marRight w:val="0"/>
      <w:marTop w:val="0"/>
      <w:marBottom w:val="0"/>
      <w:divBdr>
        <w:top w:val="none" w:sz="0" w:space="0" w:color="auto"/>
        <w:left w:val="none" w:sz="0" w:space="0" w:color="auto"/>
        <w:bottom w:val="none" w:sz="0" w:space="0" w:color="auto"/>
        <w:right w:val="none" w:sz="0" w:space="0" w:color="auto"/>
      </w:divBdr>
    </w:div>
    <w:div w:id="1232109338">
      <w:bodyDiv w:val="1"/>
      <w:marLeft w:val="0"/>
      <w:marRight w:val="0"/>
      <w:marTop w:val="0"/>
      <w:marBottom w:val="0"/>
      <w:divBdr>
        <w:top w:val="none" w:sz="0" w:space="0" w:color="auto"/>
        <w:left w:val="none" w:sz="0" w:space="0" w:color="auto"/>
        <w:bottom w:val="none" w:sz="0" w:space="0" w:color="auto"/>
        <w:right w:val="none" w:sz="0" w:space="0" w:color="auto"/>
      </w:divBdr>
    </w:div>
    <w:div w:id="1359118252">
      <w:bodyDiv w:val="1"/>
      <w:marLeft w:val="0"/>
      <w:marRight w:val="0"/>
      <w:marTop w:val="0"/>
      <w:marBottom w:val="0"/>
      <w:divBdr>
        <w:top w:val="none" w:sz="0" w:space="0" w:color="auto"/>
        <w:left w:val="none" w:sz="0" w:space="0" w:color="auto"/>
        <w:bottom w:val="none" w:sz="0" w:space="0" w:color="auto"/>
        <w:right w:val="none" w:sz="0" w:space="0" w:color="auto"/>
      </w:divBdr>
    </w:div>
    <w:div w:id="1601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929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4AA3E-46CD-4C81-B21D-17DB8FC8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8775</Words>
  <Characters>5002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2021-03-19T08:08:00Z</dcterms:created>
  <dcterms:modified xsi:type="dcterms:W3CDTF">2021-03-19T08:08:00Z</dcterms:modified>
</cp:coreProperties>
</file>