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91A12" w14:textId="28D9EF95" w:rsidR="007328F9" w:rsidRDefault="002B46EA" w:rsidP="002B46EA">
      <w:pPr>
        <w:spacing w:after="0" w:line="276" w:lineRule="auto"/>
        <w:jc w:val="both"/>
        <w:rPr>
          <w:b/>
          <w:bCs/>
          <w:color w:val="000000"/>
        </w:rPr>
      </w:pPr>
      <w:r w:rsidRPr="009C493C">
        <w:rPr>
          <w:b/>
          <w:bCs/>
          <w:color w:val="000000"/>
        </w:rPr>
        <w:t>Apsūdzētā izdarīto darbību pārkvalificēšana iztiesāšanas laikā</w:t>
      </w:r>
    </w:p>
    <w:p w14:paraId="1F05576C" w14:textId="2928D105" w:rsidR="002B46EA" w:rsidRDefault="002B46EA" w:rsidP="002B46EA">
      <w:pPr>
        <w:spacing w:after="0" w:line="276" w:lineRule="auto"/>
        <w:jc w:val="both"/>
        <w:rPr>
          <w:color w:val="000000"/>
        </w:rPr>
      </w:pPr>
      <w:r>
        <w:rPr>
          <w:color w:val="000000"/>
        </w:rPr>
        <w:t>Izlemjot jautājumus, vai apsūdzētajam inkriminētajā noziedzīgajā nodarījumā ir noziedzīga nodarījuma sastāvs, un, kurā Krimināllikuma pantā, tā daļā, punktā tas paredzēts, tiesa iztiesāšanā var pārkvalificēt apsūdzētā izdarītās darbības, ja ar to nepasliktinās apsūdzētā stāvoklis un netiek pārkāptas apsūdzētā tiesības uz aizstāvību.</w:t>
      </w:r>
    </w:p>
    <w:p w14:paraId="397EF784" w14:textId="2FCA75E0" w:rsidR="002B46EA" w:rsidRDefault="002B46EA" w:rsidP="002B46EA">
      <w:pPr>
        <w:spacing w:after="0" w:line="276" w:lineRule="auto"/>
        <w:jc w:val="both"/>
        <w:rPr>
          <w:rFonts w:cs="Times New Roman"/>
          <w:szCs w:val="24"/>
        </w:rPr>
      </w:pPr>
      <w:r>
        <w:rPr>
          <w:color w:val="000000"/>
        </w:rPr>
        <w:t xml:space="preserve">Kriminālprocesa likuma </w:t>
      </w:r>
      <w:proofErr w:type="gramStart"/>
      <w:r>
        <w:rPr>
          <w:color w:val="000000"/>
        </w:rPr>
        <w:t>455.panta</w:t>
      </w:r>
      <w:proofErr w:type="gramEnd"/>
      <w:r>
        <w:rPr>
          <w:color w:val="000000"/>
        </w:rPr>
        <w:t xml:space="preserve"> trešajā daļā noteikto tiesas tiesību izmantošana, kad tam ir tiesisks pamats, ir nepieciešama, lai atbilstoši Kriminālprocesa likuma 1.pantam nodrošinātu efektīvu Krimināllikuma normu piemērošanu un krimināltiesisko attiecību taisnīgu noregulējumu bez neattaisnotas iejaukšanās personas dzīvē.</w:t>
      </w:r>
    </w:p>
    <w:p w14:paraId="654E334E" w14:textId="771805E4" w:rsidR="007328F9" w:rsidRDefault="007328F9" w:rsidP="002B46EA">
      <w:pPr>
        <w:spacing w:after="0" w:line="360" w:lineRule="auto"/>
        <w:rPr>
          <w:rFonts w:eastAsia="Times New Roman" w:cs="Times New Roman"/>
          <w:szCs w:val="24"/>
        </w:rPr>
      </w:pPr>
    </w:p>
    <w:p w14:paraId="502F3771" w14:textId="77777777" w:rsidR="0064734D" w:rsidRPr="0064734D" w:rsidRDefault="007328F9" w:rsidP="007328F9">
      <w:pPr>
        <w:spacing w:after="0" w:line="276" w:lineRule="auto"/>
        <w:jc w:val="center"/>
        <w:rPr>
          <w:rFonts w:cs="Times New Roman"/>
          <w:b/>
          <w:szCs w:val="24"/>
        </w:rPr>
      </w:pPr>
      <w:r w:rsidRPr="0064734D">
        <w:rPr>
          <w:rFonts w:cs="Times New Roman"/>
          <w:b/>
          <w:szCs w:val="24"/>
        </w:rPr>
        <w:t>Latvijas Republikas Senāt</w:t>
      </w:r>
      <w:r w:rsidR="0064734D" w:rsidRPr="0064734D">
        <w:rPr>
          <w:rFonts w:cs="Times New Roman"/>
          <w:b/>
          <w:szCs w:val="24"/>
        </w:rPr>
        <w:t xml:space="preserve">a </w:t>
      </w:r>
    </w:p>
    <w:p w14:paraId="3C353E4B" w14:textId="77777777" w:rsidR="0064734D" w:rsidRPr="0064734D" w:rsidRDefault="0064734D" w:rsidP="007328F9">
      <w:pPr>
        <w:spacing w:after="0" w:line="276" w:lineRule="auto"/>
        <w:jc w:val="center"/>
        <w:rPr>
          <w:rFonts w:cs="Times New Roman"/>
          <w:b/>
          <w:szCs w:val="24"/>
        </w:rPr>
      </w:pPr>
      <w:r w:rsidRPr="0064734D">
        <w:rPr>
          <w:rFonts w:cs="Times New Roman"/>
          <w:b/>
          <w:szCs w:val="24"/>
        </w:rPr>
        <w:t>Krimināllietu departamenta</w:t>
      </w:r>
    </w:p>
    <w:p w14:paraId="6A4542FF" w14:textId="3EB24F1E" w:rsidR="0064734D" w:rsidRPr="0064734D" w:rsidRDefault="0064734D" w:rsidP="0064734D">
      <w:pPr>
        <w:spacing w:after="0" w:line="276" w:lineRule="auto"/>
        <w:jc w:val="center"/>
        <w:rPr>
          <w:rFonts w:cs="Times New Roman"/>
          <w:b/>
          <w:szCs w:val="24"/>
        </w:rPr>
      </w:pPr>
      <w:proofErr w:type="gramStart"/>
      <w:r w:rsidRPr="0064734D">
        <w:rPr>
          <w:rFonts w:cs="Times New Roman"/>
          <w:b/>
          <w:szCs w:val="24"/>
        </w:rPr>
        <w:t>2021.gada</w:t>
      </w:r>
      <w:proofErr w:type="gramEnd"/>
      <w:r w:rsidRPr="0064734D">
        <w:rPr>
          <w:rFonts w:cs="Times New Roman"/>
          <w:b/>
          <w:szCs w:val="24"/>
        </w:rPr>
        <w:t xml:space="preserve"> </w:t>
      </w:r>
      <w:r>
        <w:rPr>
          <w:rFonts w:cs="Times New Roman"/>
          <w:b/>
          <w:szCs w:val="24"/>
        </w:rPr>
        <w:t>[..]</w:t>
      </w:r>
      <w:r w:rsidRPr="0064734D">
        <w:rPr>
          <w:rFonts w:cs="Times New Roman"/>
          <w:b/>
          <w:szCs w:val="24"/>
        </w:rPr>
        <w:t xml:space="preserve"> </w:t>
      </w:r>
    </w:p>
    <w:p w14:paraId="0E7B547A" w14:textId="38A8CBB6" w:rsidR="0064734D" w:rsidRPr="0064734D" w:rsidRDefault="0064734D" w:rsidP="0064734D">
      <w:pPr>
        <w:spacing w:after="0" w:line="276" w:lineRule="auto"/>
        <w:jc w:val="center"/>
        <w:rPr>
          <w:rFonts w:cs="Times New Roman"/>
          <w:b/>
          <w:szCs w:val="24"/>
        </w:rPr>
      </w:pPr>
      <w:r w:rsidRPr="0064734D">
        <w:rPr>
          <w:rFonts w:cs="Times New Roman"/>
          <w:b/>
          <w:szCs w:val="24"/>
        </w:rPr>
        <w:t>LĒMUMS</w:t>
      </w:r>
      <w:r w:rsidR="00041BFA">
        <w:rPr>
          <w:rStyle w:val="FootnoteReference"/>
          <w:rFonts w:cs="Times New Roman"/>
          <w:b/>
          <w:szCs w:val="24"/>
        </w:rPr>
        <w:footnoteReference w:id="1"/>
      </w:r>
    </w:p>
    <w:p w14:paraId="041325B6" w14:textId="66BE9DFA" w:rsidR="007328F9" w:rsidRPr="0064734D" w:rsidRDefault="0064734D" w:rsidP="007328F9">
      <w:pPr>
        <w:spacing w:after="0" w:line="276" w:lineRule="auto"/>
        <w:jc w:val="center"/>
        <w:rPr>
          <w:rFonts w:cs="Times New Roman"/>
          <w:bCs/>
          <w:szCs w:val="24"/>
        </w:rPr>
      </w:pPr>
      <w:r w:rsidRPr="0064734D">
        <w:rPr>
          <w:rFonts w:cs="Times New Roman"/>
          <w:b/>
          <w:szCs w:val="24"/>
        </w:rPr>
        <w:t>Lieta Nr. </w:t>
      </w:r>
      <w:r>
        <w:rPr>
          <w:rFonts w:cs="Times New Roman"/>
          <w:b/>
          <w:szCs w:val="24"/>
        </w:rPr>
        <w:t>[..]</w:t>
      </w:r>
      <w:r w:rsidRPr="0064734D">
        <w:rPr>
          <w:rFonts w:cs="Times New Roman"/>
          <w:b/>
          <w:szCs w:val="24"/>
        </w:rPr>
        <w:t>, SKK</w:t>
      </w:r>
      <w:r w:rsidRPr="0064734D">
        <w:rPr>
          <w:rFonts w:cs="Times New Roman"/>
          <w:b/>
          <w:szCs w:val="24"/>
        </w:rPr>
        <w:noBreakHyphen/>
      </w:r>
      <w:r>
        <w:rPr>
          <w:rFonts w:cs="Times New Roman"/>
          <w:b/>
          <w:szCs w:val="24"/>
        </w:rPr>
        <w:t>[B]</w:t>
      </w:r>
      <w:r w:rsidRPr="0064734D">
        <w:rPr>
          <w:rFonts w:cs="Times New Roman"/>
          <w:b/>
          <w:szCs w:val="24"/>
        </w:rPr>
        <w:t>/2021</w:t>
      </w:r>
    </w:p>
    <w:p w14:paraId="47575C70" w14:textId="581E01D0" w:rsidR="0064734D" w:rsidRPr="0064734D" w:rsidRDefault="0064734D" w:rsidP="007328F9">
      <w:pPr>
        <w:spacing w:after="0" w:line="276" w:lineRule="auto"/>
        <w:jc w:val="center"/>
        <w:rPr>
          <w:rFonts w:cs="Times New Roman"/>
          <w:bCs/>
          <w:szCs w:val="24"/>
        </w:rPr>
      </w:pPr>
      <w:r w:rsidRPr="0064734D">
        <w:rPr>
          <w:rFonts w:cs="Times New Roman"/>
          <w:bCs/>
          <w:color w:val="000000"/>
          <w:szCs w:val="24"/>
          <w:shd w:val="clear" w:color="auto" w:fill="FFFFFF"/>
        </w:rPr>
        <w:t>ECLI:LV:AT:2021:[..]</w:t>
      </w:r>
    </w:p>
    <w:p w14:paraId="1BBC911D" w14:textId="27D1CB59" w:rsidR="007328F9" w:rsidRDefault="007328F9" w:rsidP="007328F9">
      <w:pPr>
        <w:spacing w:before="240" w:after="200" w:line="276" w:lineRule="auto"/>
        <w:ind w:firstLine="709"/>
        <w:jc w:val="both"/>
        <w:rPr>
          <w:rFonts w:cs="Times New Roman"/>
          <w:color w:val="000000" w:themeColor="text1"/>
          <w:szCs w:val="24"/>
        </w:rPr>
      </w:pPr>
      <w:r>
        <w:rPr>
          <w:rFonts w:cs="Times New Roman"/>
          <w:szCs w:val="24"/>
        </w:rPr>
        <w:t xml:space="preserve">Tiesa šādā sastāvā: senatori Aivars Uminskis, </w:t>
      </w:r>
      <w:r w:rsidR="003339EB">
        <w:rPr>
          <w:rFonts w:cs="Times New Roman"/>
          <w:color w:val="000000" w:themeColor="text1"/>
          <w:szCs w:val="24"/>
        </w:rPr>
        <w:t>Sandra Kaija</w:t>
      </w:r>
      <w:r>
        <w:rPr>
          <w:rFonts w:cs="Times New Roman"/>
          <w:color w:val="000000" w:themeColor="text1"/>
          <w:szCs w:val="24"/>
        </w:rPr>
        <w:t xml:space="preserve">, </w:t>
      </w:r>
      <w:r w:rsidR="003339EB">
        <w:rPr>
          <w:rFonts w:cs="Times New Roman"/>
          <w:color w:val="000000" w:themeColor="text1"/>
          <w:szCs w:val="24"/>
        </w:rPr>
        <w:t>Anita Poļakova</w:t>
      </w:r>
      <w:r>
        <w:rPr>
          <w:rFonts w:cs="Times New Roman"/>
          <w:color w:val="000000" w:themeColor="text1"/>
          <w:szCs w:val="24"/>
        </w:rPr>
        <w:t xml:space="preserve"> </w:t>
      </w:r>
    </w:p>
    <w:p w14:paraId="6CE49C93" w14:textId="0461CD74" w:rsidR="008A093C" w:rsidRDefault="007328F9" w:rsidP="007328F9">
      <w:pPr>
        <w:spacing w:after="0" w:line="276" w:lineRule="auto"/>
        <w:ind w:firstLine="709"/>
        <w:jc w:val="both"/>
        <w:rPr>
          <w:rFonts w:cs="Times New Roman"/>
          <w:szCs w:val="24"/>
        </w:rPr>
      </w:pPr>
      <w:r>
        <w:rPr>
          <w:rFonts w:cs="Times New Roman"/>
          <w:szCs w:val="24"/>
        </w:rPr>
        <w:t xml:space="preserve">izskatīja rakstveida procesā krimināllietu sakarā ar </w:t>
      </w:r>
      <w:r w:rsidR="00041BFA">
        <w:rPr>
          <w:rFonts w:cs="Times New Roman"/>
          <w:szCs w:val="24"/>
        </w:rPr>
        <w:t>[..]</w:t>
      </w:r>
      <w:r w:rsidR="008A093C">
        <w:rPr>
          <w:rFonts w:cs="Times New Roman"/>
          <w:szCs w:val="24"/>
        </w:rPr>
        <w:t xml:space="preserve"> prokuratūras virsprokurores Elitas </w:t>
      </w:r>
      <w:proofErr w:type="spellStart"/>
      <w:r w:rsidR="008A093C">
        <w:rPr>
          <w:rFonts w:cs="Times New Roman"/>
          <w:szCs w:val="24"/>
        </w:rPr>
        <w:t>Dreiblathenas</w:t>
      </w:r>
      <w:proofErr w:type="spellEnd"/>
      <w:r w:rsidR="008A093C">
        <w:rPr>
          <w:rFonts w:cs="Times New Roman"/>
          <w:szCs w:val="24"/>
        </w:rPr>
        <w:t xml:space="preserve"> kasācijas protestu par </w:t>
      </w:r>
      <w:r w:rsidR="00041BFA">
        <w:rPr>
          <w:rFonts w:cs="Times New Roman"/>
          <w:szCs w:val="24"/>
        </w:rPr>
        <w:t>[..]</w:t>
      </w:r>
      <w:r w:rsidR="008A093C">
        <w:rPr>
          <w:rFonts w:cs="Times New Roman"/>
          <w:szCs w:val="24"/>
        </w:rPr>
        <w:t xml:space="preserve"> apgabaltiesas </w:t>
      </w:r>
      <w:proofErr w:type="gramStart"/>
      <w:r w:rsidR="008A093C">
        <w:rPr>
          <w:rFonts w:cs="Times New Roman"/>
          <w:szCs w:val="24"/>
        </w:rPr>
        <w:t>2020.gada</w:t>
      </w:r>
      <w:proofErr w:type="gramEnd"/>
      <w:r w:rsidR="008A093C">
        <w:rPr>
          <w:rFonts w:cs="Times New Roman"/>
          <w:szCs w:val="24"/>
        </w:rPr>
        <w:t xml:space="preserve"> </w:t>
      </w:r>
      <w:r w:rsidR="00041BFA">
        <w:rPr>
          <w:rFonts w:cs="Times New Roman"/>
          <w:szCs w:val="24"/>
        </w:rPr>
        <w:t>[..]</w:t>
      </w:r>
      <w:r w:rsidR="008A093C">
        <w:rPr>
          <w:rFonts w:cs="Times New Roman"/>
          <w:szCs w:val="24"/>
        </w:rPr>
        <w:t xml:space="preserve"> lēmumu.</w:t>
      </w:r>
    </w:p>
    <w:p w14:paraId="28EFEDEC" w14:textId="77777777" w:rsidR="007328F9" w:rsidRDefault="007328F9" w:rsidP="007328F9">
      <w:pPr>
        <w:spacing w:after="0" w:line="276" w:lineRule="auto"/>
        <w:ind w:firstLine="709"/>
        <w:jc w:val="both"/>
        <w:rPr>
          <w:rFonts w:cs="Times New Roman"/>
          <w:szCs w:val="24"/>
        </w:rPr>
      </w:pPr>
    </w:p>
    <w:p w14:paraId="1787402B" w14:textId="77777777" w:rsidR="007328F9" w:rsidRDefault="007328F9" w:rsidP="007328F9">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3AB56566" w14:textId="77777777" w:rsidR="007328F9" w:rsidRDefault="007328F9" w:rsidP="007328F9">
      <w:pPr>
        <w:autoSpaceDE w:val="0"/>
        <w:autoSpaceDN w:val="0"/>
        <w:adjustRightInd w:val="0"/>
        <w:spacing w:after="0" w:line="276" w:lineRule="auto"/>
        <w:jc w:val="center"/>
        <w:rPr>
          <w:rFonts w:cs="Times New Roman"/>
          <w:b/>
          <w:bCs/>
          <w:szCs w:val="24"/>
        </w:rPr>
      </w:pPr>
    </w:p>
    <w:p w14:paraId="596EF33E" w14:textId="59D7B8D6" w:rsidR="008A093C" w:rsidRDefault="007328F9" w:rsidP="00025094">
      <w:pPr>
        <w:spacing w:after="0" w:line="276" w:lineRule="auto"/>
        <w:ind w:firstLine="709"/>
        <w:jc w:val="both"/>
        <w:rPr>
          <w:rFonts w:cs="Times New Roman"/>
          <w:szCs w:val="24"/>
        </w:rPr>
      </w:pPr>
      <w:r>
        <w:rPr>
          <w:rFonts w:cs="Times New Roman"/>
          <w:szCs w:val="24"/>
        </w:rPr>
        <w:t xml:space="preserve">[1] Ar </w:t>
      </w:r>
      <w:r w:rsidR="00041BFA">
        <w:rPr>
          <w:rFonts w:cs="Times New Roman"/>
          <w:szCs w:val="24"/>
        </w:rPr>
        <w:t>[rajona (pilsētas)]</w:t>
      </w:r>
      <w:r w:rsidR="008A093C">
        <w:rPr>
          <w:rFonts w:cs="Times New Roman"/>
          <w:szCs w:val="24"/>
        </w:rPr>
        <w:t xml:space="preserve"> tiesas </w:t>
      </w:r>
      <w:proofErr w:type="gramStart"/>
      <w:r w:rsidR="008A093C">
        <w:rPr>
          <w:rFonts w:cs="Times New Roman"/>
          <w:szCs w:val="24"/>
        </w:rPr>
        <w:t>2019.gada</w:t>
      </w:r>
      <w:proofErr w:type="gramEnd"/>
      <w:r w:rsidR="008A093C">
        <w:rPr>
          <w:rFonts w:cs="Times New Roman"/>
          <w:szCs w:val="24"/>
        </w:rPr>
        <w:t xml:space="preserve"> </w:t>
      </w:r>
      <w:r w:rsidR="00041BFA">
        <w:rPr>
          <w:rFonts w:cs="Times New Roman"/>
          <w:szCs w:val="24"/>
        </w:rPr>
        <w:t>[..]</w:t>
      </w:r>
      <w:r w:rsidR="008A093C">
        <w:rPr>
          <w:rFonts w:cs="Times New Roman"/>
          <w:szCs w:val="24"/>
        </w:rPr>
        <w:t xml:space="preserve"> spriedumu</w:t>
      </w:r>
      <w:r w:rsidR="0002073A">
        <w:rPr>
          <w:rFonts w:cs="Times New Roman"/>
          <w:szCs w:val="24"/>
        </w:rPr>
        <w:t xml:space="preserve"> </w:t>
      </w:r>
      <w:r w:rsidR="00041BFA">
        <w:rPr>
          <w:rFonts w:cs="Times New Roman"/>
          <w:szCs w:val="24"/>
        </w:rPr>
        <w:t>[pers. A]</w:t>
      </w:r>
      <w:r w:rsidR="008A093C">
        <w:rPr>
          <w:rFonts w:cs="Times New Roman"/>
          <w:szCs w:val="24"/>
        </w:rPr>
        <w:t xml:space="preserve">, personas kods </w:t>
      </w:r>
      <w:r w:rsidR="00041BFA">
        <w:rPr>
          <w:rFonts w:cs="Times New Roman"/>
          <w:szCs w:val="24"/>
        </w:rPr>
        <w:t>[..]</w:t>
      </w:r>
      <w:r w:rsidR="008A093C">
        <w:rPr>
          <w:rFonts w:cs="Times New Roman"/>
          <w:szCs w:val="24"/>
        </w:rPr>
        <w:t>,</w:t>
      </w:r>
      <w:r w:rsidR="0002073A">
        <w:rPr>
          <w:rFonts w:cs="Times New Roman"/>
          <w:szCs w:val="24"/>
        </w:rPr>
        <w:t xml:space="preserve"> </w:t>
      </w:r>
      <w:r w:rsidR="008A093C">
        <w:rPr>
          <w:rFonts w:cs="Times New Roman"/>
          <w:szCs w:val="24"/>
        </w:rPr>
        <w:t xml:space="preserve">atzīts par </w:t>
      </w:r>
      <w:r w:rsidR="0002073A">
        <w:rPr>
          <w:rFonts w:cs="Times New Roman"/>
          <w:szCs w:val="24"/>
        </w:rPr>
        <w:t>nevainīgu Krimināllikuma 231.panta otrajā daļā paredzētajā noziedzīgajā nodarījumā un attaisnots;</w:t>
      </w:r>
    </w:p>
    <w:p w14:paraId="736DF33D" w14:textId="651BF973" w:rsidR="0002073A" w:rsidRDefault="0002073A" w:rsidP="0002073A">
      <w:pPr>
        <w:spacing w:after="0" w:line="276" w:lineRule="auto"/>
        <w:ind w:firstLine="709"/>
        <w:jc w:val="both"/>
        <w:rPr>
          <w:rFonts w:cs="Times New Roman"/>
          <w:szCs w:val="24"/>
        </w:rPr>
      </w:pPr>
      <w:r>
        <w:rPr>
          <w:rFonts w:cs="Times New Roman"/>
          <w:szCs w:val="24"/>
        </w:rPr>
        <w:t xml:space="preserve">atzīts par vainīgu Krimināllikuma </w:t>
      </w:r>
      <w:proofErr w:type="gramStart"/>
      <w:r>
        <w:rPr>
          <w:rFonts w:cs="Times New Roman"/>
          <w:szCs w:val="24"/>
        </w:rPr>
        <w:t>125.panta</w:t>
      </w:r>
      <w:proofErr w:type="gramEnd"/>
      <w:r>
        <w:rPr>
          <w:rFonts w:cs="Times New Roman"/>
          <w:szCs w:val="24"/>
        </w:rPr>
        <w:t xml:space="preserve"> pirmajā daļā paredzētajā noziedzīgajā nodarījumā un sodīts ar brīvības atņemšanu uz 8 mēnešiem un probācijas uzraudzību uz 2 gadiem.</w:t>
      </w:r>
    </w:p>
    <w:p w14:paraId="7D3D9939" w14:textId="1583D5D5" w:rsidR="00FA614B" w:rsidRDefault="00FA614B" w:rsidP="0002073A">
      <w:pPr>
        <w:spacing w:after="0" w:line="276" w:lineRule="auto"/>
        <w:ind w:firstLine="709"/>
        <w:jc w:val="both"/>
        <w:rPr>
          <w:rFonts w:cs="Times New Roman"/>
          <w:szCs w:val="24"/>
        </w:rPr>
      </w:pPr>
      <w:r>
        <w:rPr>
          <w:rFonts w:cs="Times New Roman"/>
          <w:szCs w:val="24"/>
        </w:rPr>
        <w:t xml:space="preserve">Atstāta bez izskatīšanas cietušā </w:t>
      </w:r>
      <w:r w:rsidR="00041BFA">
        <w:rPr>
          <w:rFonts w:cs="Times New Roman"/>
          <w:szCs w:val="24"/>
        </w:rPr>
        <w:t>[pers. B]</w:t>
      </w:r>
      <w:r>
        <w:rPr>
          <w:rFonts w:cs="Times New Roman"/>
          <w:szCs w:val="24"/>
        </w:rPr>
        <w:t xml:space="preserve"> pieteiktā morālā kaitējuma kompensācija 1650 </w:t>
      </w:r>
      <w:proofErr w:type="spellStart"/>
      <w:r w:rsidRPr="00FA614B">
        <w:rPr>
          <w:rFonts w:cs="Times New Roman"/>
          <w:i/>
          <w:iCs/>
          <w:szCs w:val="24"/>
        </w:rPr>
        <w:t>euro</w:t>
      </w:r>
      <w:proofErr w:type="spellEnd"/>
      <w:r>
        <w:rPr>
          <w:rFonts w:cs="Times New Roman"/>
          <w:szCs w:val="24"/>
        </w:rPr>
        <w:t xml:space="preserve">. </w:t>
      </w:r>
    </w:p>
    <w:p w14:paraId="6DFF9F00" w14:textId="2918622A" w:rsidR="00FA614B" w:rsidRDefault="00FA614B" w:rsidP="0002073A">
      <w:pPr>
        <w:spacing w:after="0" w:line="276" w:lineRule="auto"/>
        <w:ind w:firstLine="709"/>
        <w:jc w:val="both"/>
        <w:rPr>
          <w:rFonts w:cs="Times New Roman"/>
          <w:szCs w:val="24"/>
        </w:rPr>
      </w:pPr>
      <w:r>
        <w:rPr>
          <w:rFonts w:cs="Times New Roman"/>
          <w:szCs w:val="24"/>
        </w:rPr>
        <w:t xml:space="preserve">Atcelts </w:t>
      </w:r>
      <w:r w:rsidR="00041BFA">
        <w:rPr>
          <w:rFonts w:cs="Times New Roman"/>
          <w:szCs w:val="24"/>
        </w:rPr>
        <w:t>[pers. A]</w:t>
      </w:r>
      <w:r>
        <w:rPr>
          <w:rFonts w:cs="Times New Roman"/>
          <w:szCs w:val="24"/>
        </w:rPr>
        <w:t xml:space="preserve"> piemērotais drošības līdzeklis – apcietinājums –, atbrīvojot viņu tiesas zālē. </w:t>
      </w:r>
    </w:p>
    <w:p w14:paraId="224C16FB" w14:textId="5978DC6F" w:rsidR="00025094" w:rsidRDefault="00025094" w:rsidP="0002073A">
      <w:pPr>
        <w:spacing w:after="0" w:line="276" w:lineRule="auto"/>
        <w:ind w:firstLine="709"/>
        <w:jc w:val="both"/>
        <w:rPr>
          <w:rFonts w:cs="Times New Roman"/>
          <w:szCs w:val="24"/>
        </w:rPr>
      </w:pPr>
    </w:p>
    <w:p w14:paraId="0CAD63BF" w14:textId="650E4CCF" w:rsidR="005C6552" w:rsidRDefault="005C6552" w:rsidP="0002073A">
      <w:pPr>
        <w:spacing w:after="0" w:line="276" w:lineRule="auto"/>
        <w:ind w:firstLine="709"/>
        <w:jc w:val="both"/>
        <w:rPr>
          <w:rFonts w:cs="Times New Roman"/>
          <w:szCs w:val="24"/>
        </w:rPr>
      </w:pPr>
      <w:r>
        <w:rPr>
          <w:rFonts w:cs="Times New Roman"/>
          <w:szCs w:val="24"/>
        </w:rPr>
        <w:t>[2] </w:t>
      </w:r>
      <w:r w:rsidR="003E7D9A">
        <w:rPr>
          <w:rFonts w:cs="Times New Roman"/>
          <w:szCs w:val="24"/>
        </w:rPr>
        <w:t xml:space="preserve">Ar </w:t>
      </w:r>
      <w:r w:rsidR="00041BFA">
        <w:rPr>
          <w:rFonts w:cs="Times New Roman"/>
          <w:szCs w:val="24"/>
        </w:rPr>
        <w:t>[rajona (pilsētas)]</w:t>
      </w:r>
      <w:r w:rsidR="003E7D9A">
        <w:rPr>
          <w:rFonts w:cs="Times New Roman"/>
          <w:szCs w:val="24"/>
        </w:rPr>
        <w:t xml:space="preserve"> tiesas </w:t>
      </w:r>
      <w:proofErr w:type="gramStart"/>
      <w:r w:rsidR="003E7D9A">
        <w:rPr>
          <w:rFonts w:cs="Times New Roman"/>
          <w:szCs w:val="24"/>
        </w:rPr>
        <w:t>2019.gada</w:t>
      </w:r>
      <w:proofErr w:type="gramEnd"/>
      <w:r w:rsidR="003E7D9A">
        <w:rPr>
          <w:rFonts w:cs="Times New Roman"/>
          <w:szCs w:val="24"/>
        </w:rPr>
        <w:t xml:space="preserve"> </w:t>
      </w:r>
      <w:r w:rsidR="00041BFA">
        <w:rPr>
          <w:rFonts w:cs="Times New Roman"/>
          <w:szCs w:val="24"/>
        </w:rPr>
        <w:t>[..]</w:t>
      </w:r>
      <w:r w:rsidR="003E7D9A">
        <w:rPr>
          <w:rFonts w:cs="Times New Roman"/>
          <w:szCs w:val="24"/>
        </w:rPr>
        <w:t xml:space="preserve"> spriedumu</w:t>
      </w:r>
      <w:r w:rsidR="00043761">
        <w:rPr>
          <w:rFonts w:cs="Times New Roman"/>
          <w:szCs w:val="24"/>
        </w:rPr>
        <w:t xml:space="preserve"> </w:t>
      </w:r>
      <w:r w:rsidR="00041BFA">
        <w:rPr>
          <w:rFonts w:cs="Times New Roman"/>
          <w:szCs w:val="24"/>
        </w:rPr>
        <w:t>[pers. A]</w:t>
      </w:r>
      <w:r w:rsidR="00043761">
        <w:rPr>
          <w:rFonts w:cs="Times New Roman"/>
          <w:szCs w:val="24"/>
        </w:rPr>
        <w:t xml:space="preserve"> atzīts par nevainīgu un attaisnots pēc Krimināllikuma 231.panta otrās daļas par rupju sabiedriskā</w:t>
      </w:r>
      <w:r w:rsidR="00293FC1">
        <w:rPr>
          <w:rFonts w:cs="Times New Roman"/>
          <w:szCs w:val="24"/>
        </w:rPr>
        <w:t>s</w:t>
      </w:r>
      <w:r w:rsidR="00043761">
        <w:rPr>
          <w:rFonts w:cs="Times New Roman"/>
          <w:szCs w:val="24"/>
        </w:rPr>
        <w:t xml:space="preserve"> </w:t>
      </w:r>
      <w:r w:rsidR="00293FC1">
        <w:rPr>
          <w:rFonts w:cs="Times New Roman"/>
          <w:szCs w:val="24"/>
        </w:rPr>
        <w:t>kārtības</w:t>
      </w:r>
      <w:r w:rsidR="00043761">
        <w:rPr>
          <w:rFonts w:cs="Times New Roman"/>
          <w:szCs w:val="24"/>
        </w:rPr>
        <w:t xml:space="preserve"> traucēšanu, kas izpaudās acīmredzamā necieņā pret sabiedrību un bezkaunībā,</w:t>
      </w:r>
      <w:r w:rsidR="00043761" w:rsidRPr="00043761">
        <w:t xml:space="preserve"> </w:t>
      </w:r>
      <w:r w:rsidR="00043761" w:rsidRPr="00043761">
        <w:rPr>
          <w:rFonts w:cs="Times New Roman"/>
          <w:szCs w:val="24"/>
        </w:rPr>
        <w:t>ignorējot vispārpieņemtās uzvedības normas un traucējot cilvēku mieru</w:t>
      </w:r>
      <w:r w:rsidR="00043761">
        <w:rPr>
          <w:rFonts w:cs="Times New Roman"/>
          <w:szCs w:val="24"/>
        </w:rPr>
        <w:t xml:space="preserve"> (huligānismu), kas saistīts ar miesas bojājumu nodarīšanu</w:t>
      </w:r>
      <w:r w:rsidR="00A179FE">
        <w:rPr>
          <w:rFonts w:cs="Times New Roman"/>
          <w:szCs w:val="24"/>
        </w:rPr>
        <w:t>,</w:t>
      </w:r>
      <w:r w:rsidR="00A179FE" w:rsidRPr="00A179FE">
        <w:rPr>
          <w:rFonts w:cs="Times New Roman"/>
          <w:szCs w:val="24"/>
        </w:rPr>
        <w:t xml:space="preserve"> </w:t>
      </w:r>
      <w:r w:rsidR="00A179FE">
        <w:rPr>
          <w:rFonts w:cs="Times New Roman"/>
          <w:szCs w:val="24"/>
        </w:rPr>
        <w:t>personu grupā ar personām, pret kurām stājies spēkā notiesājošs spriedums</w:t>
      </w:r>
      <w:r w:rsidR="007A6FF8">
        <w:rPr>
          <w:rFonts w:cs="Times New Roman"/>
          <w:szCs w:val="24"/>
        </w:rPr>
        <w:t>;</w:t>
      </w:r>
    </w:p>
    <w:p w14:paraId="45B57652" w14:textId="3FB798D9" w:rsidR="007A6FF8" w:rsidRDefault="007A6FF8" w:rsidP="0002073A">
      <w:pPr>
        <w:spacing w:after="0" w:line="276" w:lineRule="auto"/>
        <w:ind w:firstLine="709"/>
        <w:jc w:val="both"/>
        <w:rPr>
          <w:rFonts w:cs="Times New Roman"/>
          <w:szCs w:val="24"/>
        </w:rPr>
      </w:pPr>
      <w:r>
        <w:rPr>
          <w:rFonts w:cs="Times New Roman"/>
          <w:szCs w:val="24"/>
        </w:rPr>
        <w:t xml:space="preserve">atzīts par vainīgu un sodīts pēc Krimināllikuma </w:t>
      </w:r>
      <w:proofErr w:type="gramStart"/>
      <w:r>
        <w:rPr>
          <w:rFonts w:cs="Times New Roman"/>
          <w:szCs w:val="24"/>
        </w:rPr>
        <w:t>125.panta</w:t>
      </w:r>
      <w:proofErr w:type="gramEnd"/>
      <w:r>
        <w:rPr>
          <w:rFonts w:cs="Times New Roman"/>
          <w:szCs w:val="24"/>
        </w:rPr>
        <w:t xml:space="preserve"> pirmās daļas par </w:t>
      </w:r>
      <w:r w:rsidR="00CE1087" w:rsidRPr="00CE1087">
        <w:rPr>
          <w:rFonts w:cs="Times New Roman"/>
          <w:szCs w:val="24"/>
        </w:rPr>
        <w:t>smaga, dzīvībai bīstama miesas bojājuma tīšu nodarīšanu.</w:t>
      </w:r>
    </w:p>
    <w:p w14:paraId="5B476212" w14:textId="5C8A2717" w:rsidR="00293FC1" w:rsidRDefault="00293FC1" w:rsidP="0002073A">
      <w:pPr>
        <w:spacing w:after="0" w:line="276" w:lineRule="auto"/>
        <w:ind w:firstLine="709"/>
        <w:jc w:val="both"/>
        <w:rPr>
          <w:rFonts w:cs="Times New Roman"/>
          <w:szCs w:val="24"/>
        </w:rPr>
      </w:pPr>
    </w:p>
    <w:p w14:paraId="685C49AD" w14:textId="45839B36" w:rsidR="00837813" w:rsidRDefault="00CC6779" w:rsidP="00837813">
      <w:pPr>
        <w:spacing w:after="0" w:line="276" w:lineRule="auto"/>
        <w:ind w:firstLine="709"/>
        <w:jc w:val="both"/>
        <w:rPr>
          <w:rFonts w:cs="Times New Roman"/>
          <w:szCs w:val="24"/>
        </w:rPr>
      </w:pPr>
      <w:r>
        <w:rPr>
          <w:rFonts w:cs="Times New Roman"/>
          <w:szCs w:val="24"/>
        </w:rPr>
        <w:lastRenderedPageBreak/>
        <w:t xml:space="preserve">[3] Ar </w:t>
      </w:r>
      <w:r w:rsidR="00041BFA">
        <w:rPr>
          <w:rFonts w:cs="Times New Roman"/>
          <w:szCs w:val="24"/>
        </w:rPr>
        <w:t>[..]</w:t>
      </w:r>
      <w:r>
        <w:rPr>
          <w:rFonts w:cs="Times New Roman"/>
          <w:szCs w:val="24"/>
        </w:rPr>
        <w:t xml:space="preserve"> apgabaltiesas </w:t>
      </w:r>
      <w:proofErr w:type="gramStart"/>
      <w:r>
        <w:rPr>
          <w:rFonts w:cs="Times New Roman"/>
          <w:szCs w:val="24"/>
        </w:rPr>
        <w:t>2020.gada</w:t>
      </w:r>
      <w:proofErr w:type="gramEnd"/>
      <w:r>
        <w:rPr>
          <w:rFonts w:cs="Times New Roman"/>
          <w:szCs w:val="24"/>
        </w:rPr>
        <w:t xml:space="preserve"> </w:t>
      </w:r>
      <w:r w:rsidR="00041BFA">
        <w:rPr>
          <w:rFonts w:cs="Times New Roman"/>
          <w:szCs w:val="24"/>
        </w:rPr>
        <w:t>[..]</w:t>
      </w:r>
      <w:r>
        <w:rPr>
          <w:rFonts w:cs="Times New Roman"/>
          <w:szCs w:val="24"/>
        </w:rPr>
        <w:t xml:space="preserve"> lēmumu, izskatot krimināllietu apelācijas kārtībā sakarā ar </w:t>
      </w:r>
      <w:r w:rsidR="00041BFA">
        <w:rPr>
          <w:rFonts w:cs="Times New Roman"/>
          <w:szCs w:val="24"/>
        </w:rPr>
        <w:t>[..]</w:t>
      </w:r>
      <w:r>
        <w:rPr>
          <w:rFonts w:cs="Times New Roman"/>
          <w:szCs w:val="24"/>
        </w:rPr>
        <w:t xml:space="preserve"> prokuratūras prokurores </w:t>
      </w:r>
      <w:r w:rsidR="00AE3E4C">
        <w:rPr>
          <w:rFonts w:cs="Times New Roman"/>
          <w:szCs w:val="24"/>
        </w:rPr>
        <w:t xml:space="preserve">Ilzes </w:t>
      </w:r>
      <w:proofErr w:type="spellStart"/>
      <w:r w:rsidR="00AE3E4C">
        <w:rPr>
          <w:rFonts w:cs="Times New Roman"/>
          <w:szCs w:val="24"/>
        </w:rPr>
        <w:t>Saveļjevas</w:t>
      </w:r>
      <w:proofErr w:type="spellEnd"/>
      <w:r w:rsidR="00AE3E4C">
        <w:rPr>
          <w:rFonts w:cs="Times New Roman"/>
          <w:szCs w:val="24"/>
        </w:rPr>
        <w:t xml:space="preserve"> apelācijas protestu un cietušā </w:t>
      </w:r>
      <w:r w:rsidR="00041BFA">
        <w:rPr>
          <w:rFonts w:cs="Times New Roman"/>
          <w:szCs w:val="24"/>
        </w:rPr>
        <w:t>[pers. B]</w:t>
      </w:r>
      <w:r w:rsidR="00AE3E4C">
        <w:rPr>
          <w:rFonts w:cs="Times New Roman"/>
          <w:szCs w:val="24"/>
        </w:rPr>
        <w:t xml:space="preserve"> un viņa pārstāves </w:t>
      </w:r>
      <w:r w:rsidR="00041BFA">
        <w:rPr>
          <w:rFonts w:cs="Times New Roman"/>
          <w:szCs w:val="24"/>
        </w:rPr>
        <w:t>[pers. C]</w:t>
      </w:r>
      <w:r w:rsidR="00AE3E4C" w:rsidRPr="009B76DA">
        <w:rPr>
          <w:rFonts w:cs="Times New Roman"/>
          <w:szCs w:val="24"/>
        </w:rPr>
        <w:t xml:space="preserve"> iesniegto </w:t>
      </w:r>
      <w:r w:rsidR="00AE3E4C">
        <w:rPr>
          <w:rFonts w:cs="Times New Roman"/>
          <w:szCs w:val="24"/>
        </w:rPr>
        <w:t xml:space="preserve">apelācijas sūdzību, </w:t>
      </w:r>
      <w:r w:rsidR="00041BFA">
        <w:rPr>
          <w:rFonts w:cs="Times New Roman"/>
          <w:szCs w:val="24"/>
        </w:rPr>
        <w:t>[rajona (pilsētas)]</w:t>
      </w:r>
      <w:r w:rsidR="00AE3E4C" w:rsidRPr="00AE3E4C">
        <w:rPr>
          <w:rFonts w:cs="Times New Roman"/>
          <w:szCs w:val="24"/>
        </w:rPr>
        <w:t xml:space="preserve"> tiesas 2019.gada </w:t>
      </w:r>
      <w:r w:rsidR="00041BFA">
        <w:rPr>
          <w:rFonts w:cs="Times New Roman"/>
          <w:szCs w:val="24"/>
        </w:rPr>
        <w:t>[..]</w:t>
      </w:r>
      <w:r w:rsidR="00AE3E4C" w:rsidRPr="00AE3E4C">
        <w:rPr>
          <w:rFonts w:cs="Times New Roman"/>
          <w:szCs w:val="24"/>
        </w:rPr>
        <w:t xml:space="preserve"> spriedum</w:t>
      </w:r>
      <w:r w:rsidR="00AE3E4C">
        <w:rPr>
          <w:rFonts w:cs="Times New Roman"/>
          <w:szCs w:val="24"/>
        </w:rPr>
        <w:t>s atstāts negrozīts.</w:t>
      </w:r>
    </w:p>
    <w:p w14:paraId="06D67B00" w14:textId="6D3968FE" w:rsidR="00837813" w:rsidRDefault="00837813" w:rsidP="00837813">
      <w:pPr>
        <w:spacing w:after="0" w:line="276" w:lineRule="auto"/>
        <w:ind w:firstLine="709"/>
        <w:jc w:val="both"/>
        <w:rPr>
          <w:rFonts w:cs="Times New Roman"/>
          <w:szCs w:val="24"/>
        </w:rPr>
      </w:pPr>
    </w:p>
    <w:p w14:paraId="4E7DC8BE" w14:textId="45AA6072" w:rsidR="00837813" w:rsidRDefault="00837813" w:rsidP="00837813">
      <w:pPr>
        <w:spacing w:after="0" w:line="276" w:lineRule="auto"/>
        <w:ind w:firstLine="709"/>
        <w:jc w:val="both"/>
        <w:rPr>
          <w:rFonts w:cs="Times New Roman"/>
          <w:szCs w:val="24"/>
        </w:rPr>
      </w:pPr>
      <w:r>
        <w:rPr>
          <w:rFonts w:cs="Times New Roman"/>
          <w:szCs w:val="24"/>
        </w:rPr>
        <w:t xml:space="preserve">[4] Par </w:t>
      </w:r>
      <w:r w:rsidR="00041BFA">
        <w:rPr>
          <w:rFonts w:cs="Times New Roman"/>
          <w:szCs w:val="24"/>
        </w:rPr>
        <w:t>[..]</w:t>
      </w:r>
      <w:r>
        <w:rPr>
          <w:rFonts w:cs="Times New Roman"/>
          <w:szCs w:val="24"/>
        </w:rPr>
        <w:t xml:space="preserve"> apgabaltiesas </w:t>
      </w:r>
      <w:proofErr w:type="gramStart"/>
      <w:r>
        <w:rPr>
          <w:rFonts w:cs="Times New Roman"/>
          <w:szCs w:val="24"/>
        </w:rPr>
        <w:t>2020.gada</w:t>
      </w:r>
      <w:proofErr w:type="gramEnd"/>
      <w:r>
        <w:rPr>
          <w:rFonts w:cs="Times New Roman"/>
          <w:szCs w:val="24"/>
        </w:rPr>
        <w:t xml:space="preserve"> </w:t>
      </w:r>
      <w:r w:rsidR="00041BFA">
        <w:rPr>
          <w:rFonts w:cs="Times New Roman"/>
          <w:szCs w:val="24"/>
        </w:rPr>
        <w:t>[..]</w:t>
      </w:r>
      <w:r>
        <w:rPr>
          <w:rFonts w:cs="Times New Roman"/>
          <w:szCs w:val="24"/>
        </w:rPr>
        <w:t xml:space="preserve"> lēmumu </w:t>
      </w:r>
      <w:r w:rsidR="00041BFA">
        <w:rPr>
          <w:rFonts w:cs="Times New Roman"/>
          <w:szCs w:val="24"/>
        </w:rPr>
        <w:t>[..]</w:t>
      </w:r>
      <w:r w:rsidRPr="00837813">
        <w:rPr>
          <w:rFonts w:cs="Times New Roman"/>
          <w:szCs w:val="24"/>
        </w:rPr>
        <w:t xml:space="preserve"> rajona prokuratūras virsprokurore E</w:t>
      </w:r>
      <w:r>
        <w:rPr>
          <w:rFonts w:cs="Times New Roman"/>
          <w:szCs w:val="24"/>
        </w:rPr>
        <w:t>. </w:t>
      </w:r>
      <w:proofErr w:type="spellStart"/>
      <w:r w:rsidRPr="00837813">
        <w:rPr>
          <w:rFonts w:cs="Times New Roman"/>
          <w:szCs w:val="24"/>
        </w:rPr>
        <w:t>Dreiblathena</w:t>
      </w:r>
      <w:proofErr w:type="spellEnd"/>
      <w:r>
        <w:rPr>
          <w:rFonts w:cs="Times New Roman"/>
          <w:szCs w:val="24"/>
        </w:rPr>
        <w:t xml:space="preserve"> iesniegusi kasācijas protestu, kurā lūdz </w:t>
      </w:r>
      <w:r w:rsidR="00117C54">
        <w:rPr>
          <w:rFonts w:cs="Times New Roman"/>
          <w:szCs w:val="24"/>
        </w:rPr>
        <w:t xml:space="preserve">apelācijas instances tiesas lēmumu un pirmās instances tiesas spriedumu atcelt daļā par </w:t>
      </w:r>
      <w:r w:rsidR="00041BFA">
        <w:rPr>
          <w:rFonts w:cs="Times New Roman"/>
          <w:szCs w:val="24"/>
        </w:rPr>
        <w:t>[pers. A]</w:t>
      </w:r>
      <w:r w:rsidR="00117C54">
        <w:rPr>
          <w:rFonts w:cs="Times New Roman"/>
          <w:szCs w:val="24"/>
        </w:rPr>
        <w:t xml:space="preserve"> atzīšanu par nevainīgu un attaisnošanu pēc Krimināllikuma 231.panta otrās daļas un nosūtīt lietu jaunai izskatīšanai </w:t>
      </w:r>
      <w:r w:rsidR="00041BFA">
        <w:rPr>
          <w:rFonts w:cs="Times New Roman"/>
          <w:szCs w:val="24"/>
        </w:rPr>
        <w:t>[rajona (pilsētas)]</w:t>
      </w:r>
      <w:r w:rsidR="00287AC7">
        <w:rPr>
          <w:rFonts w:cs="Times New Roman"/>
          <w:szCs w:val="24"/>
        </w:rPr>
        <w:t xml:space="preserve"> tiesā. </w:t>
      </w:r>
    </w:p>
    <w:p w14:paraId="263A8736" w14:textId="448B5653" w:rsidR="009B76DA" w:rsidRDefault="009B76DA" w:rsidP="00837813">
      <w:pPr>
        <w:spacing w:after="0" w:line="276" w:lineRule="auto"/>
        <w:ind w:firstLine="709"/>
        <w:jc w:val="both"/>
        <w:rPr>
          <w:rFonts w:cs="Times New Roman"/>
          <w:szCs w:val="24"/>
        </w:rPr>
      </w:pPr>
      <w:r>
        <w:rPr>
          <w:rFonts w:cs="Times New Roman"/>
          <w:szCs w:val="24"/>
        </w:rPr>
        <w:t xml:space="preserve">Apelācijas instances tiesa ir pieļāvusi Kriminālprocesa likuma </w:t>
      </w:r>
      <w:proofErr w:type="gramStart"/>
      <w:r>
        <w:rPr>
          <w:rFonts w:cs="Times New Roman"/>
          <w:szCs w:val="24"/>
        </w:rPr>
        <w:t>461.panta</w:t>
      </w:r>
      <w:proofErr w:type="gramEnd"/>
      <w:r>
        <w:rPr>
          <w:rFonts w:cs="Times New Roman"/>
          <w:szCs w:val="24"/>
        </w:rPr>
        <w:t>, 514.panta pirmās daļas, 525.panta otrās daļas 1.punkta un 566.panta pārkāpumus, kas atzīstami par Kriminālprocesa likuma būtisku pārkāpumu šā likuma 575.panta treš</w:t>
      </w:r>
      <w:r w:rsidR="00A55179">
        <w:rPr>
          <w:rFonts w:cs="Times New Roman"/>
          <w:szCs w:val="24"/>
        </w:rPr>
        <w:t>ās daļas izpratnē</w:t>
      </w:r>
      <w:r w:rsidR="00C269CF">
        <w:rPr>
          <w:rFonts w:cs="Times New Roman"/>
          <w:szCs w:val="24"/>
        </w:rPr>
        <w:t xml:space="preserve">. </w:t>
      </w:r>
      <w:r w:rsidR="00772603">
        <w:rPr>
          <w:rFonts w:cs="Times New Roman"/>
          <w:szCs w:val="24"/>
        </w:rPr>
        <w:t xml:space="preserve">Tādējādi </w:t>
      </w:r>
      <w:r w:rsidR="00C269CF">
        <w:rPr>
          <w:rFonts w:cs="Times New Roman"/>
          <w:szCs w:val="24"/>
        </w:rPr>
        <w:t>apelācijas instances tiesa</w:t>
      </w:r>
      <w:r w:rsidR="002E00A0">
        <w:rPr>
          <w:rFonts w:cs="Times New Roman"/>
          <w:szCs w:val="24"/>
        </w:rPr>
        <w:t xml:space="preserve"> nav nodrošinājusi Kriminālprocesa likuma </w:t>
      </w:r>
      <w:proofErr w:type="gramStart"/>
      <w:r w:rsidR="002E00A0">
        <w:rPr>
          <w:rFonts w:cs="Times New Roman"/>
          <w:szCs w:val="24"/>
        </w:rPr>
        <w:t>1.pantā</w:t>
      </w:r>
      <w:proofErr w:type="gramEnd"/>
      <w:r w:rsidR="002E00A0">
        <w:rPr>
          <w:rFonts w:cs="Times New Roman"/>
          <w:szCs w:val="24"/>
        </w:rPr>
        <w:t xml:space="preserve"> paredzētā </w:t>
      </w:r>
      <w:r w:rsidR="001C3C90">
        <w:rPr>
          <w:rFonts w:cs="Times New Roman"/>
          <w:szCs w:val="24"/>
        </w:rPr>
        <w:t>K</w:t>
      </w:r>
      <w:r w:rsidR="002E00A0">
        <w:rPr>
          <w:rFonts w:cs="Times New Roman"/>
          <w:szCs w:val="24"/>
        </w:rPr>
        <w:t xml:space="preserve">riminālprocesa likuma mērķa sasniegšanu. </w:t>
      </w:r>
    </w:p>
    <w:p w14:paraId="1BC0E227" w14:textId="75B56484" w:rsidR="00103444" w:rsidRDefault="00041BFA" w:rsidP="00103444">
      <w:pPr>
        <w:spacing w:after="0" w:line="276" w:lineRule="auto"/>
        <w:ind w:firstLine="709"/>
        <w:jc w:val="both"/>
        <w:rPr>
          <w:rFonts w:cs="Times New Roman"/>
          <w:szCs w:val="24"/>
        </w:rPr>
      </w:pPr>
      <w:r>
        <w:rPr>
          <w:rFonts w:cs="Times New Roman"/>
          <w:szCs w:val="24"/>
        </w:rPr>
        <w:t>[Pers. A]</w:t>
      </w:r>
      <w:r w:rsidR="00941FA1">
        <w:rPr>
          <w:rFonts w:cs="Times New Roman"/>
          <w:szCs w:val="24"/>
        </w:rPr>
        <w:t xml:space="preserve"> </w:t>
      </w:r>
      <w:r w:rsidR="00325C04">
        <w:rPr>
          <w:rFonts w:cs="Times New Roman"/>
          <w:szCs w:val="24"/>
        </w:rPr>
        <w:t xml:space="preserve">celtajā apsūdzībā pēc Krimināllikuma </w:t>
      </w:r>
      <w:proofErr w:type="gramStart"/>
      <w:r w:rsidR="00325C04">
        <w:rPr>
          <w:rFonts w:cs="Times New Roman"/>
          <w:szCs w:val="24"/>
        </w:rPr>
        <w:t>231.panta</w:t>
      </w:r>
      <w:proofErr w:type="gramEnd"/>
      <w:r w:rsidR="00325C04">
        <w:rPr>
          <w:rFonts w:cs="Times New Roman"/>
          <w:szCs w:val="24"/>
        </w:rPr>
        <w:t xml:space="preserve"> otrās daļas</w:t>
      </w:r>
      <w:r w:rsidR="00941FA1">
        <w:rPr>
          <w:rFonts w:cs="Times New Roman"/>
          <w:szCs w:val="24"/>
        </w:rPr>
        <w:t xml:space="preserve"> ir ietvertas Krimināllikuma 143.panta otrajā daļā paredzētā noziedzīgā nodarījuma sastāva pazīmes. </w:t>
      </w:r>
      <w:r w:rsidR="00325C04">
        <w:rPr>
          <w:rFonts w:cs="Times New Roman"/>
          <w:szCs w:val="24"/>
        </w:rPr>
        <w:t>Celtajā apsūdzībā</w:t>
      </w:r>
      <w:r w:rsidR="00941FA1">
        <w:rPr>
          <w:rFonts w:cs="Times New Roman"/>
          <w:szCs w:val="24"/>
        </w:rPr>
        <w:t xml:space="preserve"> norādīts, ka </w:t>
      </w:r>
      <w:r>
        <w:rPr>
          <w:rFonts w:cs="Times New Roman"/>
          <w:szCs w:val="24"/>
        </w:rPr>
        <w:t>[pers. A]</w:t>
      </w:r>
      <w:r w:rsidR="00103444" w:rsidRPr="00103444">
        <w:t xml:space="preserve"> </w:t>
      </w:r>
      <w:r w:rsidR="00103444" w:rsidRPr="00103444">
        <w:rPr>
          <w:rFonts w:cs="Times New Roman"/>
          <w:szCs w:val="24"/>
        </w:rPr>
        <w:t>personu grupā ar personām, pret kurām stājies spēkā notiesājošs spriedums</w:t>
      </w:r>
      <w:r w:rsidR="00103444">
        <w:rPr>
          <w:rFonts w:cs="Times New Roman"/>
          <w:szCs w:val="24"/>
        </w:rPr>
        <w:t>, aizgāja</w:t>
      </w:r>
      <w:r w:rsidR="00325C04">
        <w:rPr>
          <w:rFonts w:cs="Times New Roman"/>
          <w:szCs w:val="24"/>
        </w:rPr>
        <w:t xml:space="preserve"> uz</w:t>
      </w:r>
      <w:r w:rsidR="00103444">
        <w:rPr>
          <w:rFonts w:cs="Times New Roman"/>
          <w:szCs w:val="24"/>
        </w:rPr>
        <w:t xml:space="preserve"> </w:t>
      </w:r>
      <w:r w:rsidR="00325C04">
        <w:rPr>
          <w:rFonts w:cs="Times New Roman"/>
          <w:szCs w:val="24"/>
        </w:rPr>
        <w:t>dzīvokli Nr.</w:t>
      </w:r>
      <w:r w:rsidR="00BC1AB0">
        <w:rPr>
          <w:rFonts w:cs="Times New Roman"/>
          <w:szCs w:val="24"/>
        </w:rPr>
        <w:t> </w:t>
      </w:r>
      <w:r w:rsidR="0058060F">
        <w:rPr>
          <w:rFonts w:cs="Times New Roman"/>
          <w:szCs w:val="24"/>
        </w:rPr>
        <w:t>[..]</w:t>
      </w:r>
      <w:r w:rsidR="00325C04">
        <w:rPr>
          <w:rFonts w:cs="Times New Roman"/>
          <w:szCs w:val="24"/>
        </w:rPr>
        <w:t>, kas atrodas</w:t>
      </w:r>
      <w:r w:rsidR="00103444">
        <w:rPr>
          <w:rFonts w:cs="Times New Roman"/>
          <w:szCs w:val="24"/>
        </w:rPr>
        <w:t xml:space="preserve"> </w:t>
      </w:r>
      <w:r w:rsidR="0058060F">
        <w:rPr>
          <w:rFonts w:cs="Times New Roman"/>
          <w:szCs w:val="24"/>
        </w:rPr>
        <w:t>[adrese]</w:t>
      </w:r>
      <w:r w:rsidR="00325C04">
        <w:rPr>
          <w:rFonts w:cs="Times New Roman"/>
          <w:szCs w:val="24"/>
        </w:rPr>
        <w:t xml:space="preserve">, </w:t>
      </w:r>
      <w:r w:rsidR="00103444">
        <w:rPr>
          <w:rFonts w:cs="Times New Roman"/>
          <w:szCs w:val="24"/>
        </w:rPr>
        <w:t xml:space="preserve">un piezvanīja pie dzīvokļa durvīm. Reaģējot uz zvanu, dzīvoklī dzīvojošais </w:t>
      </w:r>
      <w:r w:rsidR="0058060F">
        <w:rPr>
          <w:rFonts w:cs="Times New Roman"/>
          <w:szCs w:val="24"/>
        </w:rPr>
        <w:t>[pers. B]</w:t>
      </w:r>
      <w:r w:rsidR="00103444">
        <w:rPr>
          <w:rFonts w:cs="Times New Roman"/>
          <w:szCs w:val="24"/>
        </w:rPr>
        <w:t xml:space="preserve"> atvēra durvis un </w:t>
      </w:r>
      <w:r w:rsidR="0058060F">
        <w:rPr>
          <w:rFonts w:cs="Times New Roman"/>
          <w:szCs w:val="24"/>
        </w:rPr>
        <w:t>[pers. A]</w:t>
      </w:r>
      <w:r w:rsidR="00103444">
        <w:rPr>
          <w:rFonts w:cs="Times New Roman"/>
          <w:szCs w:val="24"/>
        </w:rPr>
        <w:t xml:space="preserve"> un </w:t>
      </w:r>
      <w:r w:rsidR="00103444" w:rsidRPr="00103444">
        <w:rPr>
          <w:rFonts w:cs="Times New Roman"/>
          <w:szCs w:val="24"/>
        </w:rPr>
        <w:t>person</w:t>
      </w:r>
      <w:r w:rsidR="00103444">
        <w:rPr>
          <w:rFonts w:cs="Times New Roman"/>
          <w:szCs w:val="24"/>
        </w:rPr>
        <w:t>as</w:t>
      </w:r>
      <w:r w:rsidR="00103444" w:rsidRPr="00103444">
        <w:rPr>
          <w:rFonts w:cs="Times New Roman"/>
          <w:szCs w:val="24"/>
        </w:rPr>
        <w:t>, pret kurām stājies spēkā notiesājošs spriedums</w:t>
      </w:r>
      <w:r w:rsidR="00F46204">
        <w:rPr>
          <w:rFonts w:cs="Times New Roman"/>
          <w:szCs w:val="24"/>
        </w:rPr>
        <w:t>,</w:t>
      </w:r>
      <w:r w:rsidR="00103444">
        <w:rPr>
          <w:rFonts w:cs="Times New Roman"/>
          <w:szCs w:val="24"/>
        </w:rPr>
        <w:t xml:space="preserve"> pret </w:t>
      </w:r>
      <w:r w:rsidR="0058060F">
        <w:rPr>
          <w:rFonts w:cs="Times New Roman"/>
          <w:szCs w:val="24"/>
        </w:rPr>
        <w:t>[pers. B]</w:t>
      </w:r>
      <w:r w:rsidR="00103444">
        <w:rPr>
          <w:rFonts w:cs="Times New Roman"/>
          <w:szCs w:val="24"/>
        </w:rPr>
        <w:t xml:space="preserve"> gribu, pielietojot vardarbību, prettiesiski iekļuva dzīvoklī. </w:t>
      </w:r>
    </w:p>
    <w:p w14:paraId="6B899F8F" w14:textId="1E30AF00" w:rsidR="00103444" w:rsidRDefault="00103444" w:rsidP="00103444">
      <w:pPr>
        <w:spacing w:after="0" w:line="276" w:lineRule="auto"/>
        <w:ind w:firstLine="709"/>
        <w:jc w:val="both"/>
        <w:rPr>
          <w:rFonts w:cs="Times New Roman"/>
          <w:szCs w:val="24"/>
        </w:rPr>
      </w:pPr>
      <w:r>
        <w:rPr>
          <w:rFonts w:cs="Times New Roman"/>
          <w:szCs w:val="24"/>
        </w:rPr>
        <w:t xml:space="preserve">Pirmās instances tiesa, attaisnojot </w:t>
      </w:r>
      <w:r w:rsidR="0058060F">
        <w:rPr>
          <w:rFonts w:cs="Times New Roman"/>
          <w:szCs w:val="24"/>
        </w:rPr>
        <w:t>[pers. A]</w:t>
      </w:r>
      <w:r>
        <w:rPr>
          <w:rFonts w:cs="Times New Roman"/>
          <w:szCs w:val="24"/>
        </w:rPr>
        <w:t xml:space="preserve">, vērtējusi tikai pierādīto apstākļu pietiekamību un atbilstību Krimināllikuma </w:t>
      </w:r>
      <w:proofErr w:type="gramStart"/>
      <w:r>
        <w:rPr>
          <w:rFonts w:cs="Times New Roman"/>
          <w:szCs w:val="24"/>
        </w:rPr>
        <w:t>231.panta</w:t>
      </w:r>
      <w:proofErr w:type="gramEnd"/>
      <w:r>
        <w:rPr>
          <w:rFonts w:cs="Times New Roman"/>
          <w:szCs w:val="24"/>
        </w:rPr>
        <w:t xml:space="preserve"> otrajai daļai, bet nepamatoti nav vērtējusi</w:t>
      </w:r>
      <w:r w:rsidR="00C25F1C">
        <w:rPr>
          <w:rFonts w:cs="Times New Roman"/>
          <w:szCs w:val="24"/>
        </w:rPr>
        <w:t>, vai</w:t>
      </w:r>
      <w:r>
        <w:rPr>
          <w:rFonts w:cs="Times New Roman"/>
          <w:szCs w:val="24"/>
        </w:rPr>
        <w:t xml:space="preserve"> </w:t>
      </w:r>
      <w:r w:rsidR="0058060F">
        <w:rPr>
          <w:rFonts w:cs="Times New Roman"/>
          <w:szCs w:val="24"/>
        </w:rPr>
        <w:t>[pers. A]</w:t>
      </w:r>
      <w:r>
        <w:rPr>
          <w:rFonts w:cs="Times New Roman"/>
          <w:szCs w:val="24"/>
        </w:rPr>
        <w:t xml:space="preserve"> darbībās </w:t>
      </w:r>
      <w:r w:rsidR="00C25F1C">
        <w:rPr>
          <w:rFonts w:cs="Times New Roman"/>
          <w:szCs w:val="24"/>
        </w:rPr>
        <w:t xml:space="preserve">nav saskatāms </w:t>
      </w:r>
      <w:r w:rsidRPr="00103444">
        <w:rPr>
          <w:rFonts w:cs="Times New Roman"/>
          <w:szCs w:val="24"/>
        </w:rPr>
        <w:t>Krimināllikuma 143.panta otrajā daļā paredzētā noziedzīgā nodarījuma sastāv</w:t>
      </w:r>
      <w:r w:rsidR="00C25F1C">
        <w:rPr>
          <w:rFonts w:cs="Times New Roman"/>
          <w:szCs w:val="24"/>
        </w:rPr>
        <w:t>s</w:t>
      </w:r>
      <w:r>
        <w:rPr>
          <w:rFonts w:cs="Times New Roman"/>
          <w:szCs w:val="24"/>
        </w:rPr>
        <w:t>.</w:t>
      </w:r>
      <w:r w:rsidR="00025206">
        <w:rPr>
          <w:rFonts w:cs="Times New Roman"/>
          <w:szCs w:val="24"/>
        </w:rPr>
        <w:t xml:space="preserve"> Pretēji Kriminālprocesa likuma </w:t>
      </w:r>
      <w:bookmarkStart w:id="1" w:name="_Hlk62487988"/>
      <w:proofErr w:type="gramStart"/>
      <w:r w:rsidR="00025206">
        <w:rPr>
          <w:rFonts w:cs="Times New Roman"/>
          <w:szCs w:val="24"/>
        </w:rPr>
        <w:t>525.panta</w:t>
      </w:r>
      <w:proofErr w:type="gramEnd"/>
      <w:r w:rsidR="00025206">
        <w:rPr>
          <w:rFonts w:cs="Times New Roman"/>
          <w:szCs w:val="24"/>
        </w:rPr>
        <w:t xml:space="preserve"> otrās daļas 1.punktam</w:t>
      </w:r>
      <w:bookmarkEnd w:id="1"/>
      <w:r w:rsidR="00025206">
        <w:rPr>
          <w:rFonts w:cs="Times New Roman"/>
          <w:szCs w:val="24"/>
        </w:rPr>
        <w:t xml:space="preserve">, pirmās instances tiesa spriedumā nav norādījusi visus tiesas noskaidrotos notikuma apstākļus, kā arī nav ievērojusi Kriminālprocesa likuma 514.panta pirmajā daļā noteikto apspriedes laikā izlemjamo jautājumu apjomu un secību. Savukārt apelācijas instances tiesa nav vērtējusi, vai pirmās instances tiesas spriedums atbilst Kriminālprocesa likuma </w:t>
      </w:r>
      <w:proofErr w:type="gramStart"/>
      <w:r w:rsidR="00025206">
        <w:rPr>
          <w:rFonts w:cs="Times New Roman"/>
          <w:szCs w:val="24"/>
        </w:rPr>
        <w:t>525.panta</w:t>
      </w:r>
      <w:proofErr w:type="gramEnd"/>
      <w:r w:rsidR="00025206">
        <w:rPr>
          <w:rFonts w:cs="Times New Roman"/>
          <w:szCs w:val="24"/>
        </w:rPr>
        <w:t xml:space="preserve"> otrās daļas 1.punktam un 514.panta pirmajai daļai. </w:t>
      </w:r>
    </w:p>
    <w:p w14:paraId="7D7F220A" w14:textId="4044F977" w:rsidR="006D513A" w:rsidRDefault="00025206" w:rsidP="00103444">
      <w:pPr>
        <w:spacing w:after="0" w:line="276" w:lineRule="auto"/>
        <w:ind w:firstLine="709"/>
        <w:jc w:val="both"/>
        <w:rPr>
          <w:rFonts w:cs="Times New Roman"/>
          <w:szCs w:val="24"/>
        </w:rPr>
      </w:pPr>
      <w:r>
        <w:rPr>
          <w:rFonts w:cs="Times New Roman"/>
          <w:szCs w:val="24"/>
        </w:rPr>
        <w:t>Savukārt apelācijas instances tiesas atzinums</w:t>
      </w:r>
      <w:r w:rsidR="006D513A">
        <w:rPr>
          <w:rFonts w:cs="Times New Roman"/>
          <w:szCs w:val="24"/>
        </w:rPr>
        <w:t xml:space="preserve">, ka </w:t>
      </w:r>
      <w:r>
        <w:rPr>
          <w:rFonts w:cs="Times New Roman"/>
          <w:szCs w:val="24"/>
        </w:rPr>
        <w:t>pirmās instances tiesai</w:t>
      </w:r>
      <w:r w:rsidR="006D513A">
        <w:rPr>
          <w:rFonts w:cs="Times New Roman"/>
          <w:szCs w:val="24"/>
        </w:rPr>
        <w:t xml:space="preserve"> nebija jāvērtē Krimināllikuma </w:t>
      </w:r>
      <w:proofErr w:type="gramStart"/>
      <w:r w:rsidR="006D513A">
        <w:rPr>
          <w:rFonts w:cs="Times New Roman"/>
          <w:szCs w:val="24"/>
        </w:rPr>
        <w:t>143.panta</w:t>
      </w:r>
      <w:proofErr w:type="gramEnd"/>
      <w:r w:rsidR="006D513A">
        <w:rPr>
          <w:rFonts w:cs="Times New Roman"/>
          <w:szCs w:val="24"/>
        </w:rPr>
        <w:t xml:space="preserve"> otrajā daļā paredzētā noziedzīgā nodarījuma sastāva esība</w:t>
      </w:r>
      <w:r>
        <w:rPr>
          <w:rFonts w:cs="Times New Roman"/>
          <w:szCs w:val="24"/>
        </w:rPr>
        <w:t xml:space="preserve"> </w:t>
      </w:r>
      <w:r w:rsidR="0058060F">
        <w:rPr>
          <w:rFonts w:cs="Times New Roman"/>
          <w:szCs w:val="24"/>
        </w:rPr>
        <w:t>[pers. A]</w:t>
      </w:r>
      <w:r>
        <w:rPr>
          <w:rFonts w:cs="Times New Roman"/>
          <w:szCs w:val="24"/>
        </w:rPr>
        <w:t xml:space="preserve"> darbībās</w:t>
      </w:r>
      <w:r w:rsidR="006D513A">
        <w:rPr>
          <w:rFonts w:cs="Times New Roman"/>
          <w:szCs w:val="24"/>
        </w:rPr>
        <w:t xml:space="preserve">, pamatojoties uz argumentu, ka tādējādi būtiski mainās lietas faktiskie apstākļi, </w:t>
      </w:r>
      <w:r w:rsidR="006D513A" w:rsidRPr="006D513A">
        <w:rPr>
          <w:rFonts w:cs="Times New Roman"/>
          <w:szCs w:val="24"/>
        </w:rPr>
        <w:t xml:space="preserve">noziedzīgā nodarījuma apdraudējuma objekts </w:t>
      </w:r>
      <w:r w:rsidR="006D513A">
        <w:rPr>
          <w:rFonts w:cs="Times New Roman"/>
          <w:szCs w:val="24"/>
        </w:rPr>
        <w:t xml:space="preserve">un tiktu pārkāptas apsūdzētā tiesības uz aizstāvību, ir nepamatots. </w:t>
      </w:r>
    </w:p>
    <w:p w14:paraId="4D5F5C38" w14:textId="2B6A8609" w:rsidR="0002073A" w:rsidRPr="004B48A0" w:rsidRDefault="00F46204" w:rsidP="0002073A">
      <w:pPr>
        <w:spacing w:after="0" w:line="276" w:lineRule="auto"/>
        <w:ind w:firstLine="709"/>
        <w:jc w:val="both"/>
        <w:rPr>
          <w:rFonts w:cs="Times New Roman"/>
          <w:szCs w:val="24"/>
        </w:rPr>
      </w:pPr>
      <w:r w:rsidRPr="004B48A0">
        <w:rPr>
          <w:rFonts w:cs="Times New Roman"/>
          <w:szCs w:val="24"/>
        </w:rPr>
        <w:t xml:space="preserve">Apelācijas protestā tika lūgts izvērtēt, vai apsūdzībā norādītās darbības satur Krimināllikuma </w:t>
      </w:r>
      <w:proofErr w:type="gramStart"/>
      <w:r w:rsidRPr="004B48A0">
        <w:rPr>
          <w:rFonts w:cs="Times New Roman"/>
          <w:szCs w:val="24"/>
        </w:rPr>
        <w:t>143.panta</w:t>
      </w:r>
      <w:proofErr w:type="gramEnd"/>
      <w:r w:rsidRPr="004B48A0">
        <w:rPr>
          <w:rFonts w:cs="Times New Roman"/>
          <w:szCs w:val="24"/>
        </w:rPr>
        <w:t xml:space="preserve"> otrajā daļā paredzētā noziedzīgā nodarījuma sastāva pazīmes. Citu, no apsūdzības atšķirīgu</w:t>
      </w:r>
      <w:r w:rsidR="007A5B96" w:rsidRPr="004B48A0">
        <w:rPr>
          <w:rFonts w:cs="Times New Roman"/>
          <w:szCs w:val="24"/>
        </w:rPr>
        <w:t>,</w:t>
      </w:r>
      <w:r w:rsidRPr="004B48A0">
        <w:rPr>
          <w:rFonts w:cs="Times New Roman"/>
          <w:szCs w:val="24"/>
        </w:rPr>
        <w:t xml:space="preserve"> faktisko apstākļu konstatēšana nav nepieciešama. </w:t>
      </w:r>
      <w:r w:rsidR="0058060F">
        <w:rPr>
          <w:rFonts w:cs="Times New Roman"/>
          <w:szCs w:val="24"/>
        </w:rPr>
        <w:t>[Pers.</w:t>
      </w:r>
      <w:r w:rsidR="00FF4323">
        <w:rPr>
          <w:rFonts w:cs="Times New Roman"/>
          <w:szCs w:val="24"/>
        </w:rPr>
        <w:t> </w:t>
      </w:r>
      <w:r w:rsidR="0058060F">
        <w:t>A]</w:t>
      </w:r>
      <w:r w:rsidRPr="004B48A0">
        <w:rPr>
          <w:rFonts w:cs="Times New Roman"/>
          <w:szCs w:val="24"/>
        </w:rPr>
        <w:t xml:space="preserve"> bija zināms, kādu darbību izdarīšanā viņš tiek apsūdzēts un </w:t>
      </w:r>
      <w:r w:rsidR="006F1DE4" w:rsidRPr="004B48A0">
        <w:rPr>
          <w:rFonts w:cs="Times New Roman"/>
          <w:szCs w:val="24"/>
        </w:rPr>
        <w:t xml:space="preserve">bija iespēja </w:t>
      </w:r>
      <w:r w:rsidRPr="004B48A0">
        <w:rPr>
          <w:rFonts w:cs="Times New Roman"/>
          <w:szCs w:val="24"/>
        </w:rPr>
        <w:t>aizstāvēties</w:t>
      </w:r>
      <w:r w:rsidR="006F1DE4" w:rsidRPr="004B48A0">
        <w:rPr>
          <w:rFonts w:cs="Times New Roman"/>
          <w:szCs w:val="24"/>
        </w:rPr>
        <w:t xml:space="preserve"> pret celto apsūdzību</w:t>
      </w:r>
      <w:r w:rsidRPr="004B48A0">
        <w:rPr>
          <w:rFonts w:cs="Times New Roman"/>
          <w:szCs w:val="24"/>
        </w:rPr>
        <w:t xml:space="preserve">. </w:t>
      </w:r>
    </w:p>
    <w:p w14:paraId="3E2C4470" w14:textId="2D775681" w:rsidR="008A093C" w:rsidRDefault="00C50841" w:rsidP="00BC2973">
      <w:pPr>
        <w:spacing w:after="0" w:line="276" w:lineRule="auto"/>
        <w:ind w:firstLine="709"/>
        <w:jc w:val="both"/>
        <w:rPr>
          <w:rFonts w:cs="Times New Roman"/>
          <w:szCs w:val="24"/>
        </w:rPr>
      </w:pPr>
      <w:r>
        <w:rPr>
          <w:rFonts w:cs="Times New Roman"/>
          <w:szCs w:val="24"/>
        </w:rPr>
        <w:t xml:space="preserve">Apelācijas instances tiesa lēmumā </w:t>
      </w:r>
      <w:r w:rsidR="00D65BD4">
        <w:rPr>
          <w:rFonts w:cs="Times New Roman"/>
          <w:szCs w:val="24"/>
        </w:rPr>
        <w:t>atsaukusies</w:t>
      </w:r>
      <w:r>
        <w:rPr>
          <w:rFonts w:cs="Times New Roman"/>
          <w:szCs w:val="24"/>
        </w:rPr>
        <w:t xml:space="preserve"> uz Kriminālprocesa likuma </w:t>
      </w:r>
      <w:proofErr w:type="gramStart"/>
      <w:r>
        <w:rPr>
          <w:rFonts w:cs="Times New Roman"/>
          <w:szCs w:val="24"/>
        </w:rPr>
        <w:t>461.pantā</w:t>
      </w:r>
      <w:proofErr w:type="gramEnd"/>
      <w:r>
        <w:rPr>
          <w:rFonts w:cs="Times New Roman"/>
          <w:szCs w:val="24"/>
        </w:rPr>
        <w:t xml:space="preserve"> paredzēto prokurora pienākumu grozīt apsūdzību, </w:t>
      </w:r>
      <w:r w:rsidR="00BC2973">
        <w:rPr>
          <w:rFonts w:cs="Times New Roman"/>
          <w:szCs w:val="24"/>
        </w:rPr>
        <w:t>j</w:t>
      </w:r>
      <w:r w:rsidR="00BC2973" w:rsidRPr="00BC2973">
        <w:rPr>
          <w:rFonts w:cs="Times New Roman"/>
          <w:szCs w:val="24"/>
        </w:rPr>
        <w:t>a krimināllietas iztiesāšanas gaitā prokurors atzīst, ka celtā un izsniegtā apsūdzība ir grozāma</w:t>
      </w:r>
      <w:r w:rsidR="00BC2973">
        <w:rPr>
          <w:rFonts w:cs="Times New Roman"/>
          <w:szCs w:val="24"/>
        </w:rPr>
        <w:t xml:space="preserve">, bet tiesa nav ņēmusi vērā minētā panta otrajā daļā noteikto, ka prokurors var grozīt apsūdzību līdz brīdim, kad tiesa aiziet taisīt spriedumu. </w:t>
      </w:r>
      <w:r w:rsidR="00BC2973">
        <w:rPr>
          <w:rFonts w:cs="Times New Roman"/>
          <w:szCs w:val="24"/>
        </w:rPr>
        <w:lastRenderedPageBreak/>
        <w:t xml:space="preserve">Līdz ar to apelācijas instances tiesa, atzīstot, ka prokuroram bija pienākums grozīt apsūdzību, </w:t>
      </w:r>
      <w:r>
        <w:rPr>
          <w:rFonts w:cs="Times New Roman"/>
          <w:szCs w:val="24"/>
        </w:rPr>
        <w:t>lai netiktu pārkāptas apsūdzētā tiesības uz aizstāvību</w:t>
      </w:r>
      <w:r w:rsidR="00D65BD4">
        <w:rPr>
          <w:rFonts w:cs="Times New Roman"/>
          <w:szCs w:val="24"/>
        </w:rPr>
        <w:t>,</w:t>
      </w:r>
      <w:r w:rsidR="00BC2973">
        <w:rPr>
          <w:rFonts w:cs="Times New Roman"/>
          <w:szCs w:val="24"/>
        </w:rPr>
        <w:t xml:space="preserve"> </w:t>
      </w:r>
      <w:r>
        <w:rPr>
          <w:rFonts w:cs="Times New Roman"/>
          <w:szCs w:val="24"/>
        </w:rPr>
        <w:t xml:space="preserve">atbilstoši Kriminālprocesa likuma 566.pantam bija jālemj par pirmās instances tiesas sprieduma atcelšanu daļā par </w:t>
      </w:r>
      <w:r w:rsidR="0058060F">
        <w:rPr>
          <w:rFonts w:cs="Times New Roman"/>
          <w:szCs w:val="24"/>
        </w:rPr>
        <w:t>[pers. A]</w:t>
      </w:r>
      <w:r>
        <w:rPr>
          <w:rFonts w:cs="Times New Roman"/>
          <w:szCs w:val="24"/>
        </w:rPr>
        <w:t xml:space="preserve"> attaisnošanu un lietas nosūtīšanu jaunai </w:t>
      </w:r>
      <w:r w:rsidRPr="00C50841">
        <w:rPr>
          <w:rFonts w:cs="Times New Roman"/>
          <w:szCs w:val="24"/>
        </w:rPr>
        <w:t>izskatīšanai</w:t>
      </w:r>
      <w:r>
        <w:rPr>
          <w:rFonts w:cs="Times New Roman"/>
          <w:szCs w:val="24"/>
        </w:rPr>
        <w:t xml:space="preserve"> pirmās instances tiesai. </w:t>
      </w:r>
    </w:p>
    <w:p w14:paraId="0D9B2B95" w14:textId="77777777" w:rsidR="00C50841" w:rsidRDefault="00C50841" w:rsidP="007328F9">
      <w:pPr>
        <w:spacing w:after="0" w:line="276" w:lineRule="auto"/>
        <w:ind w:firstLine="709"/>
        <w:jc w:val="both"/>
        <w:rPr>
          <w:rFonts w:cs="Times New Roman"/>
          <w:szCs w:val="24"/>
        </w:rPr>
      </w:pPr>
    </w:p>
    <w:p w14:paraId="158401F1" w14:textId="77777777" w:rsidR="00C50841" w:rsidRDefault="00C50841" w:rsidP="00C50841">
      <w:pPr>
        <w:spacing w:after="0" w:line="276" w:lineRule="auto"/>
        <w:jc w:val="center"/>
        <w:rPr>
          <w:rFonts w:cs="Times New Roman"/>
          <w:b/>
          <w:szCs w:val="24"/>
        </w:rPr>
      </w:pPr>
      <w:r>
        <w:rPr>
          <w:rFonts w:cs="Times New Roman"/>
          <w:b/>
          <w:szCs w:val="24"/>
        </w:rPr>
        <w:t>Motīvu daļa</w:t>
      </w:r>
    </w:p>
    <w:p w14:paraId="044B34A0" w14:textId="77777777" w:rsidR="00C50841" w:rsidRDefault="00C50841" w:rsidP="00C50841">
      <w:pPr>
        <w:spacing w:after="0" w:line="276" w:lineRule="auto"/>
        <w:ind w:firstLine="709"/>
        <w:jc w:val="both"/>
        <w:rPr>
          <w:rFonts w:cs="Times New Roman"/>
          <w:szCs w:val="24"/>
        </w:rPr>
      </w:pPr>
    </w:p>
    <w:p w14:paraId="5E0ADA19" w14:textId="6EF6226D" w:rsidR="007150CE" w:rsidRDefault="00C50841" w:rsidP="00C50841">
      <w:pPr>
        <w:spacing w:after="0" w:line="276" w:lineRule="auto"/>
        <w:ind w:firstLine="709"/>
        <w:jc w:val="both"/>
      </w:pPr>
      <w:r>
        <w:rPr>
          <w:rFonts w:cs="Times New Roman"/>
          <w:szCs w:val="24"/>
        </w:rPr>
        <w:t xml:space="preserve">[5] Senāts atzīst, ka </w:t>
      </w:r>
      <w:r w:rsidR="0058060F">
        <w:rPr>
          <w:rFonts w:cs="Times New Roman"/>
          <w:szCs w:val="24"/>
        </w:rPr>
        <w:t>[..]</w:t>
      </w:r>
      <w:r w:rsidRPr="00C50841">
        <w:rPr>
          <w:rFonts w:cs="Times New Roman"/>
          <w:szCs w:val="24"/>
        </w:rPr>
        <w:t xml:space="preserve">apgabaltiesas </w:t>
      </w:r>
      <w:proofErr w:type="gramStart"/>
      <w:r w:rsidRPr="00C50841">
        <w:rPr>
          <w:rFonts w:cs="Times New Roman"/>
          <w:szCs w:val="24"/>
        </w:rPr>
        <w:t>2020.gada</w:t>
      </w:r>
      <w:proofErr w:type="gramEnd"/>
      <w:r w:rsidRPr="00C50841">
        <w:rPr>
          <w:rFonts w:cs="Times New Roman"/>
          <w:szCs w:val="24"/>
        </w:rPr>
        <w:t xml:space="preserve"> </w:t>
      </w:r>
      <w:r w:rsidR="0058060F">
        <w:rPr>
          <w:rFonts w:cs="Times New Roman"/>
          <w:szCs w:val="24"/>
        </w:rPr>
        <w:t>[..]</w:t>
      </w:r>
      <w:r w:rsidRPr="00C50841">
        <w:rPr>
          <w:rFonts w:cs="Times New Roman"/>
          <w:szCs w:val="24"/>
        </w:rPr>
        <w:t xml:space="preserve"> lēmum</w:t>
      </w:r>
      <w:r>
        <w:rPr>
          <w:rFonts w:cs="Times New Roman"/>
          <w:szCs w:val="24"/>
        </w:rPr>
        <w:t>s</w:t>
      </w:r>
      <w:r w:rsidRPr="00C50841">
        <w:t xml:space="preserve"> </w:t>
      </w:r>
      <w:r w:rsidR="003039C0">
        <w:t xml:space="preserve">atceļams daļā par </w:t>
      </w:r>
      <w:r w:rsidR="0058060F">
        <w:t>[pers. A]</w:t>
      </w:r>
      <w:r w:rsidR="003039C0">
        <w:t xml:space="preserve"> atzīšanu par nevainīgu un attaisnošanu pēc Krimināllikuma 231.panta otrās daļas un daļā par cietušā </w:t>
      </w:r>
      <w:r w:rsidR="0058060F">
        <w:t>[pers. B]</w:t>
      </w:r>
      <w:r w:rsidR="003039C0">
        <w:t xml:space="preserve"> pieteiktās morālā kaitējuma kompensācijas 1650 </w:t>
      </w:r>
      <w:proofErr w:type="spellStart"/>
      <w:r w:rsidR="003039C0" w:rsidRPr="003039C0">
        <w:rPr>
          <w:i/>
          <w:iCs/>
        </w:rPr>
        <w:t>euro</w:t>
      </w:r>
      <w:proofErr w:type="spellEnd"/>
      <w:r w:rsidR="003039C0">
        <w:t xml:space="preserve"> atstāšanu bez izskatīšanas.</w:t>
      </w:r>
      <w:r w:rsidR="003039C0" w:rsidRPr="003039C0">
        <w:t xml:space="preserve"> Atceltajā daļā lieta nosūtāma jaunai izskatīšanai </w:t>
      </w:r>
      <w:r w:rsidR="0058060F">
        <w:t>[..]</w:t>
      </w:r>
      <w:r w:rsidR="003039C0" w:rsidRPr="003039C0">
        <w:t xml:space="preserve"> apgabaltiesā. Pārējā daļā </w:t>
      </w:r>
      <w:r w:rsidR="003039C0">
        <w:t>apelācijas instances tiesas lēmums</w:t>
      </w:r>
      <w:r w:rsidR="003039C0" w:rsidRPr="003039C0">
        <w:t xml:space="preserve"> atstājams negrozīts.</w:t>
      </w:r>
    </w:p>
    <w:p w14:paraId="5021142B" w14:textId="073A51EA" w:rsidR="0076274E" w:rsidRDefault="00AC6A2F" w:rsidP="004347EC">
      <w:pPr>
        <w:spacing w:after="0" w:line="276" w:lineRule="auto"/>
        <w:ind w:firstLine="709"/>
        <w:jc w:val="both"/>
        <w:rPr>
          <w:rFonts w:cs="Times New Roman"/>
          <w:szCs w:val="24"/>
        </w:rPr>
      </w:pPr>
      <w:r>
        <w:t>[5.1] </w:t>
      </w:r>
      <w:r w:rsidR="0058060F">
        <w:rPr>
          <w:rFonts w:cs="Times New Roman"/>
          <w:szCs w:val="24"/>
        </w:rPr>
        <w:t>[Pers. A]</w:t>
      </w:r>
      <w:r>
        <w:rPr>
          <w:rFonts w:cs="Times New Roman"/>
          <w:szCs w:val="24"/>
        </w:rPr>
        <w:t xml:space="preserve"> celt</w:t>
      </w:r>
      <w:r w:rsidR="00586AAB">
        <w:rPr>
          <w:rFonts w:cs="Times New Roman"/>
          <w:szCs w:val="24"/>
        </w:rPr>
        <w:t>ajā</w:t>
      </w:r>
      <w:r>
        <w:rPr>
          <w:rFonts w:cs="Times New Roman"/>
          <w:szCs w:val="24"/>
        </w:rPr>
        <w:t xml:space="preserve"> apsūdzīb</w:t>
      </w:r>
      <w:r w:rsidR="00586AAB">
        <w:rPr>
          <w:rFonts w:cs="Times New Roman"/>
          <w:szCs w:val="24"/>
        </w:rPr>
        <w:t>ā norādīts,</w:t>
      </w:r>
      <w:r>
        <w:rPr>
          <w:rFonts w:cs="Times New Roman"/>
          <w:szCs w:val="24"/>
        </w:rPr>
        <w:t xml:space="preserve"> ka </w:t>
      </w:r>
      <w:proofErr w:type="gramStart"/>
      <w:r w:rsidRPr="006851BC">
        <w:rPr>
          <w:rFonts w:cs="Times New Roman"/>
          <w:szCs w:val="24"/>
        </w:rPr>
        <w:t>2017.gada</w:t>
      </w:r>
      <w:proofErr w:type="gramEnd"/>
      <w:r w:rsidRPr="006851BC">
        <w:rPr>
          <w:rFonts w:cs="Times New Roman"/>
          <w:szCs w:val="24"/>
        </w:rPr>
        <w:t xml:space="preserve"> </w:t>
      </w:r>
      <w:r w:rsidR="0058060F">
        <w:rPr>
          <w:rFonts w:cs="Times New Roman"/>
          <w:szCs w:val="24"/>
        </w:rPr>
        <w:t>[..]</w:t>
      </w:r>
      <w:r w:rsidRPr="006851BC">
        <w:rPr>
          <w:rFonts w:cs="Times New Roman"/>
          <w:szCs w:val="24"/>
        </w:rPr>
        <w:t xml:space="preserve"> plkst.23.00 </w:t>
      </w:r>
      <w:r w:rsidR="0058060F">
        <w:rPr>
          <w:rFonts w:cs="Times New Roman"/>
          <w:szCs w:val="24"/>
        </w:rPr>
        <w:t>[pers. A]</w:t>
      </w:r>
      <w:r w:rsidRPr="006851BC">
        <w:rPr>
          <w:rFonts w:cs="Times New Roman"/>
          <w:szCs w:val="24"/>
        </w:rPr>
        <w:t xml:space="preserve"> personu grupā ar personām, pret</w:t>
      </w:r>
      <w:r>
        <w:rPr>
          <w:rFonts w:cs="Times New Roman"/>
          <w:szCs w:val="24"/>
        </w:rPr>
        <w:t xml:space="preserve"> </w:t>
      </w:r>
      <w:r w:rsidRPr="006851BC">
        <w:rPr>
          <w:rFonts w:cs="Times New Roman"/>
          <w:szCs w:val="24"/>
        </w:rPr>
        <w:t>kurām</w:t>
      </w:r>
      <w:r>
        <w:rPr>
          <w:rFonts w:cs="Times New Roman"/>
          <w:szCs w:val="24"/>
        </w:rPr>
        <w:t xml:space="preserve"> </w:t>
      </w:r>
      <w:r w:rsidRPr="006851BC">
        <w:rPr>
          <w:rFonts w:cs="Times New Roman"/>
          <w:szCs w:val="24"/>
        </w:rPr>
        <w:t>stājies spēkā notiesājošs tiesas spriedums,</w:t>
      </w:r>
      <w:r w:rsidR="005262EA" w:rsidRPr="005262EA">
        <w:t xml:space="preserve"> </w:t>
      </w:r>
      <w:r w:rsidR="005262EA" w:rsidRPr="005262EA">
        <w:rPr>
          <w:rFonts w:cs="Times New Roman"/>
          <w:szCs w:val="24"/>
        </w:rPr>
        <w:t>atrodoties alkohola ietekmē</w:t>
      </w:r>
      <w:r w:rsidR="005262EA">
        <w:rPr>
          <w:rFonts w:cs="Times New Roman"/>
          <w:szCs w:val="24"/>
        </w:rPr>
        <w:t>,</w:t>
      </w:r>
      <w:r>
        <w:rPr>
          <w:rFonts w:cs="Times New Roman"/>
          <w:szCs w:val="24"/>
        </w:rPr>
        <w:t xml:space="preserve"> </w:t>
      </w:r>
      <w:r w:rsidRPr="006851BC">
        <w:rPr>
          <w:rFonts w:cs="Times New Roman"/>
          <w:szCs w:val="24"/>
        </w:rPr>
        <w:t>bez jebkādas reālas</w:t>
      </w:r>
      <w:r>
        <w:rPr>
          <w:rFonts w:cs="Times New Roman"/>
          <w:szCs w:val="24"/>
        </w:rPr>
        <w:t xml:space="preserve"> </w:t>
      </w:r>
      <w:r w:rsidRPr="006851BC">
        <w:rPr>
          <w:rFonts w:cs="Times New Roman"/>
          <w:szCs w:val="24"/>
        </w:rPr>
        <w:t>vajadzības un iemesla, tikai huligānisku motīvu vadīti, ar mērķi traucēt citu personu mieru un</w:t>
      </w:r>
      <w:r>
        <w:rPr>
          <w:rFonts w:cs="Times New Roman"/>
          <w:szCs w:val="24"/>
        </w:rPr>
        <w:t xml:space="preserve"> </w:t>
      </w:r>
      <w:r w:rsidRPr="006851BC">
        <w:rPr>
          <w:rFonts w:cs="Times New Roman"/>
          <w:szCs w:val="24"/>
        </w:rPr>
        <w:t xml:space="preserve">likumiskās tiesības, aizgāja līdz dzīvoklim </w:t>
      </w:r>
      <w:r w:rsidR="0058060F">
        <w:rPr>
          <w:rFonts w:cs="Times New Roman"/>
          <w:szCs w:val="24"/>
        </w:rPr>
        <w:t>[adrese]</w:t>
      </w:r>
      <w:r w:rsidRPr="006851BC">
        <w:rPr>
          <w:rFonts w:cs="Times New Roman"/>
          <w:szCs w:val="24"/>
        </w:rPr>
        <w:t>, un piezvanīja pie dzīvokļa</w:t>
      </w:r>
      <w:r>
        <w:rPr>
          <w:rFonts w:cs="Times New Roman"/>
          <w:szCs w:val="24"/>
        </w:rPr>
        <w:t xml:space="preserve"> </w:t>
      </w:r>
      <w:r w:rsidRPr="006851BC">
        <w:rPr>
          <w:rFonts w:cs="Times New Roman"/>
          <w:szCs w:val="24"/>
        </w:rPr>
        <w:t xml:space="preserve">durvīm. Laikā, kad reaģējot uz zvanu, dzīvoklī dzīvojošais </w:t>
      </w:r>
      <w:r w:rsidR="0058060F">
        <w:rPr>
          <w:rFonts w:cs="Times New Roman"/>
          <w:szCs w:val="24"/>
        </w:rPr>
        <w:t>[pers. B]</w:t>
      </w:r>
      <w:r w:rsidRPr="006851BC">
        <w:rPr>
          <w:rFonts w:cs="Times New Roman"/>
          <w:szCs w:val="24"/>
        </w:rPr>
        <w:t xml:space="preserve"> atvēra durvis, </w:t>
      </w:r>
      <w:r w:rsidR="0058060F">
        <w:rPr>
          <w:rFonts w:cs="Times New Roman"/>
          <w:szCs w:val="24"/>
        </w:rPr>
        <w:t>[pers. A]</w:t>
      </w:r>
      <w:r>
        <w:rPr>
          <w:rFonts w:cs="Times New Roman"/>
          <w:szCs w:val="24"/>
        </w:rPr>
        <w:t xml:space="preserve"> </w:t>
      </w:r>
      <w:r w:rsidRPr="006851BC">
        <w:rPr>
          <w:rFonts w:cs="Times New Roman"/>
          <w:szCs w:val="24"/>
        </w:rPr>
        <w:t>un personas, pret kurām stājies spēkā notiesājošs tiesas spriedums, pret dzīvoklī dzīvojošās</w:t>
      </w:r>
      <w:r>
        <w:rPr>
          <w:rFonts w:cs="Times New Roman"/>
          <w:szCs w:val="24"/>
        </w:rPr>
        <w:t xml:space="preserve"> </w:t>
      </w:r>
      <w:r w:rsidRPr="006851BC">
        <w:rPr>
          <w:rFonts w:cs="Times New Roman"/>
          <w:szCs w:val="24"/>
        </w:rPr>
        <w:t>personas gribu, lietojot vardarbību, prettiesiski iekļuva dzīvoklī</w:t>
      </w:r>
      <w:r>
        <w:rPr>
          <w:rFonts w:cs="Times New Roman"/>
          <w:szCs w:val="24"/>
        </w:rPr>
        <w:t>. A</w:t>
      </w:r>
      <w:r w:rsidRPr="006851BC">
        <w:rPr>
          <w:rFonts w:cs="Times New Roman"/>
          <w:szCs w:val="24"/>
        </w:rPr>
        <w:t>tbalstot vienam otra</w:t>
      </w:r>
      <w:r>
        <w:rPr>
          <w:rFonts w:cs="Times New Roman"/>
          <w:szCs w:val="24"/>
        </w:rPr>
        <w:t xml:space="preserve"> </w:t>
      </w:r>
      <w:r w:rsidRPr="006851BC">
        <w:rPr>
          <w:rFonts w:cs="Times New Roman"/>
          <w:szCs w:val="24"/>
        </w:rPr>
        <w:t>huligāniskās darbības, bez jebkāda reāla iemesla un pamata, ignorējot vispārpieņemtās uzvedības</w:t>
      </w:r>
      <w:r>
        <w:rPr>
          <w:rFonts w:cs="Times New Roman"/>
          <w:szCs w:val="24"/>
        </w:rPr>
        <w:t xml:space="preserve"> </w:t>
      </w:r>
      <w:r w:rsidRPr="006851BC">
        <w:rPr>
          <w:rFonts w:cs="Times New Roman"/>
          <w:szCs w:val="24"/>
        </w:rPr>
        <w:t xml:space="preserve">normas, traucējot </w:t>
      </w:r>
      <w:r w:rsidR="0058060F">
        <w:rPr>
          <w:rFonts w:cs="Times New Roman"/>
          <w:szCs w:val="24"/>
        </w:rPr>
        <w:t>[pers. B]</w:t>
      </w:r>
      <w:r w:rsidRPr="006851BC">
        <w:rPr>
          <w:rFonts w:cs="Times New Roman"/>
          <w:szCs w:val="24"/>
        </w:rPr>
        <w:t xml:space="preserve"> mieru un izrādot acīmredzamu necieņu un bezkaunību pret </w:t>
      </w:r>
      <w:r w:rsidR="0058060F">
        <w:rPr>
          <w:rFonts w:cs="Times New Roman"/>
          <w:szCs w:val="24"/>
        </w:rPr>
        <w:t>[pers. B]</w:t>
      </w:r>
      <w:r w:rsidRPr="006851BC">
        <w:rPr>
          <w:rFonts w:cs="Times New Roman"/>
          <w:szCs w:val="24"/>
        </w:rPr>
        <w:t xml:space="preserve"> un citām mājā dzīvojošām personām, kuras dzirdēja notiekošo, </w:t>
      </w:r>
      <w:r w:rsidRPr="000D68FF">
        <w:rPr>
          <w:rFonts w:cs="Times New Roman"/>
          <w:szCs w:val="24"/>
        </w:rPr>
        <w:t xml:space="preserve">nodarīja </w:t>
      </w:r>
      <w:r w:rsidR="0058060F">
        <w:rPr>
          <w:rFonts w:cs="Times New Roman"/>
          <w:szCs w:val="24"/>
        </w:rPr>
        <w:t>[pers. B]</w:t>
      </w:r>
      <w:r w:rsidRPr="000D68FF">
        <w:rPr>
          <w:rFonts w:cs="Times New Roman"/>
          <w:szCs w:val="24"/>
        </w:rPr>
        <w:t xml:space="preserve"> miesas bojājumus. </w:t>
      </w:r>
      <w:r w:rsidR="0058060F">
        <w:rPr>
          <w:rFonts w:cs="Times New Roman"/>
          <w:szCs w:val="24"/>
        </w:rPr>
        <w:t>[Pers. A]</w:t>
      </w:r>
      <w:r w:rsidRPr="006851BC">
        <w:rPr>
          <w:rFonts w:cs="Times New Roman"/>
          <w:szCs w:val="24"/>
        </w:rPr>
        <w:t xml:space="preserve"> izdarīja ne mazāk kā 10 tīšus</w:t>
      </w:r>
      <w:r>
        <w:rPr>
          <w:rFonts w:cs="Times New Roman"/>
          <w:szCs w:val="24"/>
        </w:rPr>
        <w:t xml:space="preserve"> </w:t>
      </w:r>
      <w:r w:rsidRPr="006851BC">
        <w:rPr>
          <w:rFonts w:cs="Times New Roman"/>
          <w:szCs w:val="24"/>
        </w:rPr>
        <w:t xml:space="preserve">sitienus ar dūri cietušajam </w:t>
      </w:r>
      <w:r w:rsidR="0058060F">
        <w:rPr>
          <w:rFonts w:cs="Times New Roman"/>
          <w:szCs w:val="24"/>
        </w:rPr>
        <w:t>[pers. B]</w:t>
      </w:r>
      <w:r w:rsidRPr="006851BC">
        <w:rPr>
          <w:rFonts w:cs="Times New Roman"/>
          <w:szCs w:val="24"/>
        </w:rPr>
        <w:t xml:space="preserve"> pa seju un ķermeni</w:t>
      </w:r>
      <w:r>
        <w:rPr>
          <w:rFonts w:cs="Times New Roman"/>
          <w:szCs w:val="24"/>
        </w:rPr>
        <w:t>.</w:t>
      </w:r>
    </w:p>
    <w:p w14:paraId="34B446E4" w14:textId="2405EC9F" w:rsidR="004347EC" w:rsidRPr="00CC06F7" w:rsidRDefault="00F57C2F" w:rsidP="00CC06F7">
      <w:pPr>
        <w:spacing w:after="0" w:line="276" w:lineRule="auto"/>
        <w:ind w:firstLine="709"/>
        <w:jc w:val="both"/>
        <w:rPr>
          <w:bCs/>
        </w:rPr>
      </w:pPr>
      <w:r>
        <w:rPr>
          <w:bCs/>
        </w:rPr>
        <w:t>Ar p</w:t>
      </w:r>
      <w:r w:rsidR="004347EC">
        <w:rPr>
          <w:bCs/>
        </w:rPr>
        <w:t xml:space="preserve">irmās instances tiesas spriedumu, kuru apelācijas instances tiesa atstājusi negrozītu, </w:t>
      </w:r>
      <w:r w:rsidR="0058060F">
        <w:rPr>
          <w:bCs/>
        </w:rPr>
        <w:t>[pers. A]</w:t>
      </w:r>
      <w:r w:rsidR="004347EC">
        <w:rPr>
          <w:bCs/>
        </w:rPr>
        <w:t xml:space="preserve"> atzīts par nevainīgu un attaisnots celtajā apsūdzībā pēc Krimināllikuma </w:t>
      </w:r>
      <w:proofErr w:type="gramStart"/>
      <w:r w:rsidR="004347EC">
        <w:rPr>
          <w:bCs/>
        </w:rPr>
        <w:t>231.panta</w:t>
      </w:r>
      <w:proofErr w:type="gramEnd"/>
      <w:r w:rsidR="004347EC">
        <w:rPr>
          <w:bCs/>
        </w:rPr>
        <w:t xml:space="preserve"> otrās daļas</w:t>
      </w:r>
      <w:r>
        <w:rPr>
          <w:bCs/>
        </w:rPr>
        <w:t>. Pirmās instances tiesa atzin</w:t>
      </w:r>
      <w:r w:rsidR="00BC60E2">
        <w:rPr>
          <w:bCs/>
        </w:rPr>
        <w:t>usi</w:t>
      </w:r>
      <w:r>
        <w:rPr>
          <w:bCs/>
        </w:rPr>
        <w:t xml:space="preserve">, ka </w:t>
      </w:r>
      <w:r w:rsidR="0058060F">
        <w:rPr>
          <w:bCs/>
        </w:rPr>
        <w:t>[pers. A]</w:t>
      </w:r>
      <w:r>
        <w:rPr>
          <w:bCs/>
        </w:rPr>
        <w:t xml:space="preserve"> pret dzīvoklī dzīvojošās personas gribu, lietojot vardarbību, prettiesiski iekļuva dzīvoklī, </w:t>
      </w:r>
      <w:r w:rsidR="00CC06F7">
        <w:rPr>
          <w:bCs/>
        </w:rPr>
        <w:t xml:space="preserve">taču apsūdzētā izdarītajā nodarījumā nav noziedzīgā nodarījuma sastāva, </w:t>
      </w:r>
      <w:r w:rsidR="00B40D5D">
        <w:rPr>
          <w:bCs/>
        </w:rPr>
        <w:t xml:space="preserve">jo </w:t>
      </w:r>
      <w:r w:rsidR="00CC06F7">
        <w:rPr>
          <w:bCs/>
        </w:rPr>
        <w:t xml:space="preserve">ar </w:t>
      </w:r>
      <w:r w:rsidR="0058060F">
        <w:rPr>
          <w:bCs/>
        </w:rPr>
        <w:t>[pers. A]</w:t>
      </w:r>
      <w:r w:rsidR="00CC06F7">
        <w:rPr>
          <w:bCs/>
        </w:rPr>
        <w:t xml:space="preserve"> darbībām netika traucēta sabiedriskā kārtība un sabiedriskais miers.</w:t>
      </w:r>
      <w:r>
        <w:rPr>
          <w:bCs/>
        </w:rPr>
        <w:t xml:space="preserve"> </w:t>
      </w:r>
    </w:p>
    <w:p w14:paraId="55E6F33C" w14:textId="08CC6EAC" w:rsidR="003039C0" w:rsidRDefault="002A4E65" w:rsidP="00C50841">
      <w:pPr>
        <w:spacing w:after="0" w:line="276" w:lineRule="auto"/>
        <w:ind w:firstLine="709"/>
        <w:jc w:val="both"/>
      </w:pPr>
      <w:r>
        <w:t>[5.2] Senāts atzīst, ka apelācijas instances tiesa, atzīstot</w:t>
      </w:r>
      <w:r w:rsidR="00D017E6">
        <w:t>, ka</w:t>
      </w:r>
      <w:r>
        <w:t xml:space="preserve"> </w:t>
      </w:r>
      <w:r w:rsidR="0058060F">
        <w:t>[pers. A]</w:t>
      </w:r>
      <w:r w:rsidR="00D017E6">
        <w:t xml:space="preserve"> nodarījumā nav</w:t>
      </w:r>
      <w:r>
        <w:t xml:space="preserve"> Krimināllikuma </w:t>
      </w:r>
      <w:proofErr w:type="gramStart"/>
      <w:r>
        <w:t>231.panta</w:t>
      </w:r>
      <w:proofErr w:type="gramEnd"/>
      <w:r>
        <w:t xml:space="preserve"> otr</w:t>
      </w:r>
      <w:r w:rsidR="00D017E6">
        <w:t>ajā</w:t>
      </w:r>
      <w:r>
        <w:t xml:space="preserve"> daļ</w:t>
      </w:r>
      <w:r w:rsidR="00D017E6">
        <w:t>ā paredzētā noziedzīgā nodarījuma sastāva</w:t>
      </w:r>
      <w:r>
        <w:t xml:space="preserve">, nav </w:t>
      </w:r>
      <w:r w:rsidR="00D017E6">
        <w:t>devusi vērtējumu</w:t>
      </w:r>
      <w:r>
        <w:t xml:space="preserve">, vai </w:t>
      </w:r>
      <w:r w:rsidR="00D017E6">
        <w:t xml:space="preserve">par pierādītām atzītās </w:t>
      </w:r>
      <w:r w:rsidR="0058060F">
        <w:t>[pers. A]</w:t>
      </w:r>
      <w:r w:rsidRPr="002A4E65">
        <w:t xml:space="preserve"> darbīb</w:t>
      </w:r>
      <w:r w:rsidR="00D017E6">
        <w:t xml:space="preserve">as neatbilst </w:t>
      </w:r>
      <w:r w:rsidRPr="002A4E65">
        <w:t>Krimināllikuma 143.panta otrajā daļā paredzēt</w:t>
      </w:r>
      <w:r w:rsidR="00D017E6">
        <w:t>a</w:t>
      </w:r>
      <w:r w:rsidR="004347EC">
        <w:t>jam</w:t>
      </w:r>
      <w:r w:rsidRPr="002A4E65">
        <w:t xml:space="preserve"> noziedzīgā nodarījuma sastāv</w:t>
      </w:r>
      <w:r w:rsidR="00D017E6">
        <w:t>am</w:t>
      </w:r>
      <w:r>
        <w:t xml:space="preserve">, </w:t>
      </w:r>
      <w:r w:rsidR="000519F7">
        <w:t>lai arī</w:t>
      </w:r>
      <w:r>
        <w:t xml:space="preserve"> šāds lūgums ticis pausts apelācijas protestā. </w:t>
      </w:r>
    </w:p>
    <w:p w14:paraId="44016084" w14:textId="7F14FF14" w:rsidR="00A25DA9" w:rsidRPr="000D7177" w:rsidRDefault="005C2645" w:rsidP="00C50841">
      <w:pPr>
        <w:spacing w:after="0" w:line="276" w:lineRule="auto"/>
        <w:ind w:firstLine="709"/>
        <w:jc w:val="both"/>
      </w:pPr>
      <w:r w:rsidRPr="000D7177">
        <w:t>Noraidot prokurora lūgumu izvērtēt</w:t>
      </w:r>
      <w:r w:rsidR="000D7177" w:rsidRPr="000D7177">
        <w:t xml:space="preserve">, vai par pierādītām atzītās </w:t>
      </w:r>
      <w:r w:rsidR="0058060F">
        <w:t>[pers. A]</w:t>
      </w:r>
      <w:r w:rsidRPr="000D7177">
        <w:t xml:space="preserve"> </w:t>
      </w:r>
      <w:r w:rsidR="000D7177" w:rsidRPr="000D7177">
        <w:t>darbības</w:t>
      </w:r>
      <w:r w:rsidR="000D7177">
        <w:t xml:space="preserve">, kas norādītas apsūdzībā pēc Krimināllikuma </w:t>
      </w:r>
      <w:proofErr w:type="gramStart"/>
      <w:r w:rsidR="000D7177">
        <w:t>231.panta</w:t>
      </w:r>
      <w:proofErr w:type="gramEnd"/>
      <w:r w:rsidR="000D7177">
        <w:t xml:space="preserve"> otrās daļas,</w:t>
      </w:r>
      <w:r w:rsidR="000D7177" w:rsidRPr="000D7177">
        <w:t xml:space="preserve"> atbilst</w:t>
      </w:r>
      <w:r w:rsidRPr="000D7177">
        <w:t xml:space="preserve"> Krimināllikuma 143.panta otraj</w:t>
      </w:r>
      <w:r w:rsidR="000D68FF" w:rsidRPr="000D7177">
        <w:t>ā</w:t>
      </w:r>
      <w:r w:rsidRPr="000D7177">
        <w:t xml:space="preserve"> daļā paredzētā noziedzīgā nodarījuma sastāvam, a</w:t>
      </w:r>
      <w:r w:rsidR="007758F2" w:rsidRPr="000D7177">
        <w:t>pelācijas instances tiesa lēmumā atsau</w:t>
      </w:r>
      <w:r w:rsidR="001C289B" w:rsidRPr="000D7177">
        <w:t xml:space="preserve">kusies </w:t>
      </w:r>
      <w:r w:rsidR="007758F2" w:rsidRPr="000D7177">
        <w:t xml:space="preserve">uz prokurora pienākumu grozīt apsūdzību, </w:t>
      </w:r>
      <w:r w:rsidR="001C289B" w:rsidRPr="000D7177">
        <w:t xml:space="preserve">bet </w:t>
      </w:r>
      <w:r w:rsidR="007758F2" w:rsidRPr="000D7177">
        <w:t>nav ņēmusi vērā Kriminālprocesa likuma 514.panta pirmās daļas 2.punktā noteikto, ka tiesai ir jāizlemj, vai apsūdzētajam inkriminētajā noziedzīgajā nodarījumā ir noziedzīga nodarījuma sastāvs, un kurā Krimināllikuma pantā, tā daļā, punktā tas paredzēts.</w:t>
      </w:r>
    </w:p>
    <w:p w14:paraId="0E94A77C" w14:textId="2259C4F2" w:rsidR="00BC2973" w:rsidRDefault="001D7858" w:rsidP="00C50841">
      <w:pPr>
        <w:spacing w:after="0" w:line="276" w:lineRule="auto"/>
        <w:ind w:firstLine="709"/>
        <w:jc w:val="both"/>
      </w:pPr>
      <w:r>
        <w:t>I</w:t>
      </w:r>
      <w:r w:rsidR="001C289B">
        <w:t>zlemjot jautājumu, vai a</w:t>
      </w:r>
      <w:r w:rsidR="001C289B" w:rsidRPr="001C289B">
        <w:t>psūdzētajam inkriminētajā noziedzīgajā nodarījumā ir noziedzīga nodarījuma sastāvs</w:t>
      </w:r>
      <w:r w:rsidR="001C289B">
        <w:t xml:space="preserve">, </w:t>
      </w:r>
      <w:proofErr w:type="gramStart"/>
      <w:r w:rsidR="001C289B">
        <w:t>un</w:t>
      </w:r>
      <w:proofErr w:type="gramEnd"/>
      <w:r w:rsidR="001C289B" w:rsidRPr="001C289B">
        <w:t xml:space="preserve"> kurā Krimināllikuma pantā, tā daļā, punktā tas paredzēts</w:t>
      </w:r>
      <w:r w:rsidR="001C289B">
        <w:t xml:space="preserve">, </w:t>
      </w:r>
      <w:r w:rsidR="00D22E91">
        <w:lastRenderedPageBreak/>
        <w:t xml:space="preserve">tiesa </w:t>
      </w:r>
      <w:r w:rsidR="00D22E91" w:rsidRPr="00D22E91">
        <w:t xml:space="preserve">iztiesāšanā </w:t>
      </w:r>
      <w:r w:rsidR="00E37369" w:rsidRPr="00E37369">
        <w:t xml:space="preserve">var </w:t>
      </w:r>
      <w:r w:rsidR="00912893">
        <w:t>pārkvalificēt apsūdzētā izdarītās darbības</w:t>
      </w:r>
      <w:r w:rsidR="00D22E91">
        <w:t xml:space="preserve">, </w:t>
      </w:r>
      <w:r w:rsidR="001F503C" w:rsidRPr="001F503C">
        <w:t>ja ar to nepasliktinās apsūdzētā stāvoklis</w:t>
      </w:r>
      <w:r w:rsidR="001F503C">
        <w:t xml:space="preserve"> un </w:t>
      </w:r>
      <w:r w:rsidR="00D22E91">
        <w:t xml:space="preserve">netiek </w:t>
      </w:r>
      <w:r w:rsidR="00D22E91" w:rsidRPr="00D22E91">
        <w:t>pārkāptas apsūdzētā tiesības uz aizstāvību</w:t>
      </w:r>
      <w:r w:rsidR="00D22E91">
        <w:t>.</w:t>
      </w:r>
    </w:p>
    <w:p w14:paraId="731AE3AF" w14:textId="17A52A42" w:rsidR="00860992" w:rsidRDefault="00860992" w:rsidP="00C50841">
      <w:pPr>
        <w:spacing w:after="0" w:line="276" w:lineRule="auto"/>
        <w:ind w:firstLine="709"/>
        <w:jc w:val="both"/>
      </w:pPr>
      <w:r>
        <w:t xml:space="preserve">Turklāt Kriminālprocesa likuma </w:t>
      </w:r>
      <w:proofErr w:type="gramStart"/>
      <w:r>
        <w:t>455.panta</w:t>
      </w:r>
      <w:proofErr w:type="gramEnd"/>
      <w:r>
        <w:t xml:space="preserve"> trešajā daļā noteikto tiesas tiesību izmantošana, kad tam ir tiesisks pamats, ir nepieciešama, lai atbilstoši Kriminālprocesa likuma 1.pantam </w:t>
      </w:r>
      <w:r w:rsidRPr="00860992">
        <w:t>nodrošin</w:t>
      </w:r>
      <w:r>
        <w:t>ātu</w:t>
      </w:r>
      <w:r w:rsidRPr="00860992">
        <w:t xml:space="preserve"> efektīvu Krimināllikuma normu piemērošanu un krimināltiesisko attiecību taisnīgu noregulējumu bez neattaisnotas iejaukšanās personas dzīvē</w:t>
      </w:r>
      <w:r>
        <w:t>.</w:t>
      </w:r>
    </w:p>
    <w:p w14:paraId="171AC895" w14:textId="1D1B85AE" w:rsidR="00E37369" w:rsidRDefault="000718A5" w:rsidP="005463FD">
      <w:pPr>
        <w:spacing w:after="0" w:line="276" w:lineRule="auto"/>
        <w:ind w:firstLine="709"/>
        <w:jc w:val="both"/>
      </w:pPr>
      <w:r>
        <w:t xml:space="preserve">Augstākās tiesas judikatūrā ir atzīts, ka Kriminālprocesa likuma </w:t>
      </w:r>
      <w:proofErr w:type="gramStart"/>
      <w:r>
        <w:t>455.panta</w:t>
      </w:r>
      <w:proofErr w:type="gramEnd"/>
      <w:r>
        <w:t xml:space="preserve"> trešajā daļā</w:t>
      </w:r>
      <w:r w:rsidRPr="000718A5">
        <w:t xml:space="preserve"> ietvertais nosacījums par tiesas tiesībām atzīt par pierādītiem no apsūdzības atšķirīgus noziedzīgā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w:t>
      </w:r>
      <w:r>
        <w:t xml:space="preserve"> (</w:t>
      </w:r>
      <w:r w:rsidRPr="000718A5">
        <w:rPr>
          <w:i/>
          <w:iCs/>
        </w:rPr>
        <w:t>Augstākās tiesas 2014.gada 30.janvāra lēmums lietā Nr. SKK-4/2014 (11370003509)</w:t>
      </w:r>
      <w:r>
        <w:t>).</w:t>
      </w:r>
    </w:p>
    <w:p w14:paraId="1A72EF5A" w14:textId="105D3D0A" w:rsidR="00E37369" w:rsidRDefault="005463FD" w:rsidP="00DE6FE1">
      <w:pPr>
        <w:spacing w:after="0" w:line="276" w:lineRule="auto"/>
        <w:ind w:firstLine="709"/>
        <w:jc w:val="both"/>
      </w:pPr>
      <w:r>
        <w:t xml:space="preserve">Turklāt Kriminālprocesa likuma </w:t>
      </w:r>
      <w:proofErr w:type="gramStart"/>
      <w:r>
        <w:t>455.panta</w:t>
      </w:r>
      <w:proofErr w:type="gramEnd"/>
      <w:r>
        <w:t xml:space="preserve"> trešajā daļā paredzētais nosacījums ir piemērojams arī apelācijas instances tiesā, ievērojot </w:t>
      </w:r>
      <w:r w:rsidRPr="005463FD">
        <w:t>īpašu uzmanību vērtē</w:t>
      </w:r>
      <w:r>
        <w:t>jot</w:t>
      </w:r>
      <w:r w:rsidRPr="005463FD">
        <w:t>, vai apsūdzības grozīšana Kriminālprocesa likuma 455.panta trešās daļas kārtībā nepārkāpj apsūdzētā tiesības uz aizstāvību un taisnīgu tiesu</w:t>
      </w:r>
      <w:r w:rsidR="00DE6FE1">
        <w:t xml:space="preserve"> (</w:t>
      </w:r>
      <w:r w:rsidR="00DE6FE1" w:rsidRPr="00DE6FE1">
        <w:rPr>
          <w:i/>
          <w:iCs/>
        </w:rPr>
        <w:t>Augstākās tiesas 2016. gada 14.jūnija lēmums lietā Nr. SKK-6/2016 (15830604408)</w:t>
      </w:r>
      <w:r w:rsidR="00DE6FE1">
        <w:t>).</w:t>
      </w:r>
    </w:p>
    <w:p w14:paraId="4DEC0E21" w14:textId="3D70211B" w:rsidR="005262EA" w:rsidRDefault="004801B6" w:rsidP="000718A5">
      <w:pPr>
        <w:spacing w:after="0" w:line="276" w:lineRule="auto"/>
        <w:ind w:firstLine="720"/>
        <w:jc w:val="both"/>
        <w:rPr>
          <w:rFonts w:cs="Times New Roman"/>
          <w:szCs w:val="24"/>
        </w:rPr>
      </w:pPr>
      <w:r w:rsidRPr="006349BA">
        <w:rPr>
          <w:rFonts w:cs="Times New Roman"/>
          <w:szCs w:val="24"/>
        </w:rPr>
        <w:t>[5.</w:t>
      </w:r>
      <w:r w:rsidR="00DE6FE1" w:rsidRPr="006349BA">
        <w:rPr>
          <w:rFonts w:cs="Times New Roman"/>
          <w:szCs w:val="24"/>
        </w:rPr>
        <w:t>3</w:t>
      </w:r>
      <w:r w:rsidRPr="006349BA">
        <w:rPr>
          <w:rFonts w:cs="Times New Roman"/>
          <w:szCs w:val="24"/>
        </w:rPr>
        <w:t>] </w:t>
      </w:r>
      <w:r w:rsidR="00AC6A2F" w:rsidRPr="006349BA">
        <w:rPr>
          <w:rFonts w:cs="Times New Roman"/>
          <w:szCs w:val="24"/>
        </w:rPr>
        <w:t xml:space="preserve">Senāts atzīst, ka apelācijas instances tiesa atbilstoši Kriminālprocesa likuma </w:t>
      </w:r>
      <w:proofErr w:type="gramStart"/>
      <w:r w:rsidR="00AC6A2F" w:rsidRPr="006349BA">
        <w:rPr>
          <w:rFonts w:cs="Times New Roman"/>
          <w:szCs w:val="24"/>
        </w:rPr>
        <w:t>514.panta</w:t>
      </w:r>
      <w:proofErr w:type="gramEnd"/>
      <w:r w:rsidR="00AC6A2F" w:rsidRPr="006349BA">
        <w:rPr>
          <w:rFonts w:cs="Times New Roman"/>
          <w:szCs w:val="24"/>
        </w:rPr>
        <w:t xml:space="preserve"> pirmās daļas 2.punktam</w:t>
      </w:r>
      <w:r w:rsidR="00DE6FE1" w:rsidRPr="006349BA">
        <w:rPr>
          <w:rFonts w:cs="Times New Roman"/>
          <w:szCs w:val="24"/>
        </w:rPr>
        <w:t>,</w:t>
      </w:r>
      <w:r w:rsidR="00647B96" w:rsidRPr="006349BA">
        <w:rPr>
          <w:rFonts w:cs="Times New Roman"/>
          <w:szCs w:val="24"/>
        </w:rPr>
        <w:t xml:space="preserve"> </w:t>
      </w:r>
      <w:r w:rsidR="000718A5" w:rsidRPr="006349BA">
        <w:rPr>
          <w:rFonts w:cs="Times New Roman"/>
          <w:szCs w:val="24"/>
        </w:rPr>
        <w:t>neizvērtējot</w:t>
      </w:r>
      <w:r w:rsidR="00AC6A2F" w:rsidRPr="006349BA">
        <w:rPr>
          <w:rFonts w:cs="Times New Roman"/>
          <w:szCs w:val="24"/>
        </w:rPr>
        <w:t xml:space="preserve">, vai </w:t>
      </w:r>
      <w:r w:rsidR="0058060F">
        <w:rPr>
          <w:rFonts w:cs="Times New Roman"/>
          <w:szCs w:val="24"/>
        </w:rPr>
        <w:t>[pers. A]</w:t>
      </w:r>
      <w:r w:rsidR="00AC6A2F" w:rsidRPr="006349BA">
        <w:rPr>
          <w:rFonts w:cs="Times New Roman"/>
          <w:szCs w:val="24"/>
        </w:rPr>
        <w:t xml:space="preserve"> celt</w:t>
      </w:r>
      <w:r w:rsidR="0032414A">
        <w:rPr>
          <w:rFonts w:cs="Times New Roman"/>
          <w:szCs w:val="24"/>
        </w:rPr>
        <w:t>ajā</w:t>
      </w:r>
      <w:r w:rsidR="00AC6A2F" w:rsidRPr="006349BA">
        <w:rPr>
          <w:rFonts w:cs="Times New Roman"/>
          <w:szCs w:val="24"/>
        </w:rPr>
        <w:t xml:space="preserve"> apsūdzīb</w:t>
      </w:r>
      <w:r w:rsidR="0032414A">
        <w:rPr>
          <w:rFonts w:cs="Times New Roman"/>
          <w:szCs w:val="24"/>
        </w:rPr>
        <w:t>ā</w:t>
      </w:r>
      <w:r w:rsidR="00AC6A2F" w:rsidRPr="006349BA">
        <w:rPr>
          <w:rFonts w:cs="Times New Roman"/>
          <w:szCs w:val="24"/>
        </w:rPr>
        <w:t xml:space="preserve"> pēc Krimināllikuma 231.panta otrās daļas</w:t>
      </w:r>
      <w:r w:rsidR="0032414A">
        <w:rPr>
          <w:rFonts w:cs="Times New Roman"/>
          <w:szCs w:val="24"/>
        </w:rPr>
        <w:t xml:space="preserve"> nodarījuma faktiskie apstākļi, ciktāl tiesa tos atzina par pierādītiem</w:t>
      </w:r>
      <w:r w:rsidR="00B40D5D">
        <w:rPr>
          <w:rFonts w:cs="Times New Roman"/>
          <w:szCs w:val="24"/>
        </w:rPr>
        <w:t xml:space="preserve">, </w:t>
      </w:r>
      <w:r w:rsidR="00AC6A2F" w:rsidRPr="006349BA">
        <w:rPr>
          <w:rFonts w:cs="Times New Roman"/>
          <w:szCs w:val="24"/>
        </w:rPr>
        <w:t xml:space="preserve">satur </w:t>
      </w:r>
      <w:r w:rsidR="000718A5" w:rsidRPr="006349BA">
        <w:rPr>
          <w:rFonts w:cs="Times New Roman"/>
          <w:szCs w:val="24"/>
        </w:rPr>
        <w:t>Krimināllikuma 143.panta otrajā daļā paredzētā noziedzīgā nodarījuma sastāvu</w:t>
      </w:r>
      <w:r w:rsidR="0032414A">
        <w:rPr>
          <w:rFonts w:cs="Times New Roman"/>
          <w:szCs w:val="24"/>
        </w:rPr>
        <w:t>,</w:t>
      </w:r>
      <w:r w:rsidR="0032414A" w:rsidRPr="0032414A">
        <w:rPr>
          <w:rFonts w:cs="Times New Roman"/>
          <w:szCs w:val="24"/>
        </w:rPr>
        <w:t xml:space="preserve"> </w:t>
      </w:r>
      <w:r w:rsidR="000718A5" w:rsidRPr="006349BA">
        <w:rPr>
          <w:rFonts w:cs="Times New Roman"/>
          <w:szCs w:val="24"/>
        </w:rPr>
        <w:t xml:space="preserve">ir </w:t>
      </w:r>
      <w:r w:rsidR="005262EA" w:rsidRPr="006349BA">
        <w:rPr>
          <w:rFonts w:cs="Times New Roman"/>
          <w:szCs w:val="24"/>
        </w:rPr>
        <w:t>pieļāvusi</w:t>
      </w:r>
      <w:r w:rsidR="00EA3BE4" w:rsidRPr="006349BA">
        <w:rPr>
          <w:rFonts w:cs="Times New Roman"/>
          <w:szCs w:val="24"/>
        </w:rPr>
        <w:t xml:space="preserve"> </w:t>
      </w:r>
      <w:r w:rsidR="007C30D6" w:rsidRPr="006349BA">
        <w:rPr>
          <w:rFonts w:cs="Times New Roman"/>
          <w:szCs w:val="24"/>
        </w:rPr>
        <w:t xml:space="preserve">Kriminālprocesa likuma </w:t>
      </w:r>
      <w:r w:rsidR="007C30D6" w:rsidRPr="007C30D6">
        <w:rPr>
          <w:rFonts w:cs="Times New Roman"/>
          <w:szCs w:val="24"/>
        </w:rPr>
        <w:t>būtisku pārkāpumu šā likuma 575.panta trešās daļas izpratnē</w:t>
      </w:r>
      <w:r w:rsidR="007C30D6">
        <w:rPr>
          <w:rFonts w:cs="Times New Roman"/>
          <w:szCs w:val="24"/>
        </w:rPr>
        <w:t>, kas</w:t>
      </w:r>
      <w:r w:rsidR="007C30D6" w:rsidRPr="007C30D6">
        <w:rPr>
          <w:rFonts w:cs="Times New Roman"/>
          <w:szCs w:val="24"/>
        </w:rPr>
        <w:t xml:space="preserve"> novedis pie nelikumīga nolēmuma</w:t>
      </w:r>
      <w:r w:rsidR="007C30D6">
        <w:rPr>
          <w:rFonts w:cs="Times New Roman"/>
          <w:szCs w:val="24"/>
        </w:rPr>
        <w:t xml:space="preserve"> daļā par </w:t>
      </w:r>
      <w:r w:rsidR="0058060F">
        <w:rPr>
          <w:rFonts w:cs="Times New Roman"/>
          <w:szCs w:val="24"/>
        </w:rPr>
        <w:t>[pers. A]</w:t>
      </w:r>
      <w:r w:rsidR="007C30D6">
        <w:rPr>
          <w:rFonts w:cs="Times New Roman"/>
          <w:szCs w:val="24"/>
        </w:rPr>
        <w:t xml:space="preserve"> atzīšanu par nevainīgu un attaisnošanu pēc Krimināllikuma 231.panta otrās daļas. Minētais pārkāpums ir pamats apelācijas instances tiesas lēmuma atcelšanai šajā daļā</w:t>
      </w:r>
      <w:r w:rsidR="0078085A">
        <w:rPr>
          <w:rFonts w:cs="Times New Roman"/>
          <w:szCs w:val="24"/>
        </w:rPr>
        <w:t xml:space="preserve">. </w:t>
      </w:r>
    </w:p>
    <w:p w14:paraId="29A8F62C" w14:textId="24BCEB40" w:rsidR="005262EA" w:rsidRDefault="0078085A" w:rsidP="007C30D6">
      <w:pPr>
        <w:spacing w:after="0" w:line="276" w:lineRule="auto"/>
        <w:ind w:firstLine="720"/>
        <w:jc w:val="both"/>
      </w:pPr>
      <w:r w:rsidRPr="005262EA">
        <w:rPr>
          <w:rFonts w:cs="Times New Roman"/>
          <w:szCs w:val="24"/>
        </w:rPr>
        <w:t xml:space="preserve">Līdz ar to apelācijas instances tiesas lēmums ir atceļams arī daļā par </w:t>
      </w:r>
      <w:r w:rsidRPr="005262EA">
        <w:t xml:space="preserve">cietušā </w:t>
      </w:r>
      <w:r w:rsidR="0058060F">
        <w:t>[pers. B]</w:t>
      </w:r>
      <w:r w:rsidRPr="005262EA">
        <w:t xml:space="preserve"> pieteiktās morālā kaitējuma kompensācijas 1650 </w:t>
      </w:r>
      <w:proofErr w:type="spellStart"/>
      <w:r w:rsidRPr="005262EA">
        <w:rPr>
          <w:i/>
          <w:iCs/>
        </w:rPr>
        <w:t>euro</w:t>
      </w:r>
      <w:proofErr w:type="spellEnd"/>
      <w:r w:rsidRPr="005262EA">
        <w:t xml:space="preserve"> atstāšanu bez izskatīšanas, jo </w:t>
      </w:r>
      <w:r w:rsidR="005262EA">
        <w:t xml:space="preserve">morālā kaitējuma kompensācija šajā daļā atstāta bez izskatīšanas, pamatojoties uz </w:t>
      </w:r>
      <w:r w:rsidR="00E70931">
        <w:t xml:space="preserve">tiesas </w:t>
      </w:r>
      <w:r w:rsidR="005262EA">
        <w:t xml:space="preserve">attaisnojošo spriedumu </w:t>
      </w:r>
      <w:r w:rsidR="0058060F">
        <w:t>[pers. A]</w:t>
      </w:r>
      <w:r w:rsidR="005262EA">
        <w:t xml:space="preserve"> celtajā apsūdzībā pēc Krimināllikuma </w:t>
      </w:r>
      <w:proofErr w:type="gramStart"/>
      <w:r w:rsidR="005262EA">
        <w:t>231.panta</w:t>
      </w:r>
      <w:proofErr w:type="gramEnd"/>
      <w:r w:rsidR="005262EA">
        <w:t xml:space="preserve"> otrās daļas. </w:t>
      </w:r>
    </w:p>
    <w:p w14:paraId="2E3A3F64" w14:textId="0A269E78" w:rsidR="00941D64" w:rsidRDefault="00DD23EA" w:rsidP="00073807">
      <w:pPr>
        <w:spacing w:after="0" w:line="276" w:lineRule="auto"/>
        <w:ind w:firstLine="709"/>
        <w:jc w:val="both"/>
      </w:pPr>
      <w:r>
        <w:t xml:space="preserve">Savukārt virsprokurores lūgums par krimināllietas nosūtīšanu jaunai izskatīšanai </w:t>
      </w:r>
      <w:r w:rsidR="0058060F">
        <w:t>[rajona (pilsētas)]</w:t>
      </w:r>
      <w:r w:rsidRPr="00DD23EA">
        <w:t xml:space="preserve"> tiesā</w:t>
      </w:r>
      <w:r>
        <w:t xml:space="preserve"> ir noraidāms, jo lietā nav konstatējami tādi Kriminālprocesa likuma</w:t>
      </w:r>
      <w:r w:rsidRPr="00DD23EA">
        <w:t xml:space="preserve"> pārkāpum</w:t>
      </w:r>
      <w:r>
        <w:t>i</w:t>
      </w:r>
      <w:r w:rsidRPr="00DD23EA">
        <w:t>, kur</w:t>
      </w:r>
      <w:r>
        <w:t>us</w:t>
      </w:r>
      <w:r w:rsidRPr="00DD23EA">
        <w:t xml:space="preserve"> </w:t>
      </w:r>
      <w:r w:rsidR="0058060F">
        <w:t>[..]</w:t>
      </w:r>
      <w:r w:rsidR="000E367B">
        <w:t xml:space="preserve"> apgabaltiesa</w:t>
      </w:r>
      <w:r w:rsidRPr="00DD23EA">
        <w:t xml:space="preserve"> pati nevar novērst, nepārkāpjot apsūdzētā tiesības uz aizstāvību</w:t>
      </w:r>
      <w:r>
        <w:t>.</w:t>
      </w:r>
    </w:p>
    <w:p w14:paraId="5C5D36AC" w14:textId="77777777" w:rsidR="00F357AD" w:rsidRDefault="00F357AD" w:rsidP="007C30D6">
      <w:pPr>
        <w:spacing w:after="0" w:line="276" w:lineRule="auto"/>
        <w:ind w:firstLine="720"/>
        <w:jc w:val="both"/>
      </w:pPr>
    </w:p>
    <w:p w14:paraId="1EA8D3BC" w14:textId="74FF56F4" w:rsidR="00F357AD" w:rsidRDefault="00F357AD" w:rsidP="00F357AD">
      <w:pPr>
        <w:spacing w:after="0" w:line="276" w:lineRule="auto"/>
        <w:ind w:firstLine="720"/>
        <w:jc w:val="both"/>
      </w:pPr>
      <w:r>
        <w:t>[</w:t>
      </w:r>
      <w:r w:rsidR="006322F7">
        <w:t>6</w:t>
      </w:r>
      <w:r>
        <w:t xml:space="preserve">] Pirmās instances tiesa atcēlusi </w:t>
      </w:r>
      <w:r w:rsidR="0058060F">
        <w:t>[pers. A]</w:t>
      </w:r>
      <w:r>
        <w:t xml:space="preserve"> piemēroto drošības līdzekli – apcietinājumu. </w:t>
      </w:r>
      <w:r w:rsidR="00860992">
        <w:t>A</w:t>
      </w:r>
      <w:r>
        <w:t xml:space="preserve">tstājot </w:t>
      </w:r>
      <w:r w:rsidR="00860992">
        <w:t xml:space="preserve">negrozītu </w:t>
      </w:r>
      <w:r>
        <w:t xml:space="preserve">pirmās instances tiesas spriedumu, </w:t>
      </w:r>
      <w:r w:rsidR="00860992">
        <w:t xml:space="preserve">apelācijas instances tiesa </w:t>
      </w:r>
      <w:r w:rsidR="00DE1FAE">
        <w:t xml:space="preserve">nav piemērojusi </w:t>
      </w:r>
      <w:r w:rsidR="0058060F">
        <w:t>[pers. A]</w:t>
      </w:r>
      <w:r w:rsidR="00DE1FAE">
        <w:t xml:space="preserve"> </w:t>
      </w:r>
      <w:r>
        <w:t xml:space="preserve">drošības līdzekli. </w:t>
      </w:r>
      <w:r w:rsidRPr="00F357AD">
        <w:t xml:space="preserve">Senāts atzīst, ka drošības līdzekļa piemērošanai apsūdzētajam </w:t>
      </w:r>
      <w:r w:rsidR="0058060F">
        <w:t>[pers. A]</w:t>
      </w:r>
      <w:r w:rsidRPr="00F357AD">
        <w:t xml:space="preserve"> šajā kriminālprocesa stadijā nav tiesiska pamata.</w:t>
      </w:r>
    </w:p>
    <w:p w14:paraId="317439D6" w14:textId="2CC77CA6" w:rsidR="007328F9" w:rsidRDefault="007328F9" w:rsidP="00F357AD">
      <w:pPr>
        <w:spacing w:line="259" w:lineRule="auto"/>
        <w:rPr>
          <w:rFonts w:cs="Times New Roman"/>
          <w:szCs w:val="24"/>
        </w:rPr>
      </w:pPr>
    </w:p>
    <w:p w14:paraId="52DBA41A" w14:textId="77777777" w:rsidR="007328F9" w:rsidRDefault="007328F9" w:rsidP="007328F9">
      <w:pPr>
        <w:spacing w:after="0" w:line="276" w:lineRule="auto"/>
        <w:jc w:val="center"/>
        <w:rPr>
          <w:rFonts w:cs="Times New Roman"/>
          <w:b/>
          <w:szCs w:val="24"/>
        </w:rPr>
      </w:pPr>
      <w:r>
        <w:rPr>
          <w:rFonts w:cs="Times New Roman"/>
          <w:b/>
          <w:szCs w:val="24"/>
        </w:rPr>
        <w:t>Rezolutīvā daļa</w:t>
      </w:r>
    </w:p>
    <w:p w14:paraId="4F335FB9" w14:textId="77777777" w:rsidR="007328F9" w:rsidRDefault="007328F9" w:rsidP="007328F9">
      <w:pPr>
        <w:spacing w:after="0" w:line="276" w:lineRule="auto"/>
        <w:jc w:val="center"/>
        <w:rPr>
          <w:rFonts w:cs="Times New Roman"/>
          <w:b/>
          <w:szCs w:val="24"/>
        </w:rPr>
      </w:pPr>
    </w:p>
    <w:p w14:paraId="00EC13BA" w14:textId="77777777" w:rsidR="007328F9" w:rsidRDefault="007328F9" w:rsidP="007328F9">
      <w:pPr>
        <w:spacing w:after="0" w:line="276" w:lineRule="auto"/>
        <w:ind w:firstLine="720"/>
        <w:jc w:val="both"/>
        <w:rPr>
          <w:rFonts w:cs="Times New Roman"/>
          <w:szCs w:val="24"/>
        </w:rPr>
      </w:pPr>
      <w:r>
        <w:rPr>
          <w:rFonts w:cs="Times New Roman"/>
          <w:szCs w:val="24"/>
        </w:rPr>
        <w:t xml:space="preserve">Pamatojoties uz Kriminālprocesa likuma </w:t>
      </w:r>
      <w:proofErr w:type="gramStart"/>
      <w:r>
        <w:rPr>
          <w:rFonts w:cs="Times New Roman"/>
          <w:szCs w:val="24"/>
        </w:rPr>
        <w:t>585.pantu</w:t>
      </w:r>
      <w:proofErr w:type="gramEnd"/>
      <w:r>
        <w:rPr>
          <w:rFonts w:cs="Times New Roman"/>
          <w:szCs w:val="24"/>
        </w:rPr>
        <w:t xml:space="preserve"> un 587.panta pirmās daļas 2.punktu, tiesa</w:t>
      </w:r>
    </w:p>
    <w:p w14:paraId="6AADA563" w14:textId="77777777" w:rsidR="001B03BF" w:rsidRDefault="001B03BF" w:rsidP="007328F9">
      <w:pPr>
        <w:spacing w:after="0" w:line="276" w:lineRule="auto"/>
        <w:jc w:val="center"/>
        <w:rPr>
          <w:rFonts w:cs="Times New Roman"/>
          <w:b/>
          <w:szCs w:val="24"/>
        </w:rPr>
      </w:pPr>
    </w:p>
    <w:p w14:paraId="7BBD8009" w14:textId="6ED4898C" w:rsidR="007328F9" w:rsidRDefault="007328F9" w:rsidP="007328F9">
      <w:pPr>
        <w:spacing w:after="0" w:line="276" w:lineRule="auto"/>
        <w:jc w:val="center"/>
        <w:rPr>
          <w:rFonts w:cs="Times New Roman"/>
          <w:b/>
          <w:szCs w:val="24"/>
        </w:rPr>
      </w:pPr>
      <w:r>
        <w:rPr>
          <w:rFonts w:cs="Times New Roman"/>
          <w:b/>
          <w:szCs w:val="24"/>
        </w:rPr>
        <w:t>nolēma:</w:t>
      </w:r>
    </w:p>
    <w:p w14:paraId="2FE5E5B0" w14:textId="77777777" w:rsidR="007328F9" w:rsidRDefault="007328F9" w:rsidP="007328F9">
      <w:pPr>
        <w:spacing w:after="0" w:line="276" w:lineRule="auto"/>
        <w:jc w:val="center"/>
        <w:rPr>
          <w:rFonts w:cs="Times New Roman"/>
          <w:b/>
          <w:szCs w:val="24"/>
        </w:rPr>
      </w:pPr>
    </w:p>
    <w:p w14:paraId="03E59B65" w14:textId="7073AF5A" w:rsidR="00F357AD" w:rsidRDefault="007328F9" w:rsidP="007328F9">
      <w:pPr>
        <w:spacing w:after="0" w:line="276" w:lineRule="auto"/>
        <w:ind w:firstLine="720"/>
        <w:jc w:val="both"/>
        <w:rPr>
          <w:rFonts w:cs="Times New Roman"/>
          <w:szCs w:val="24"/>
        </w:rPr>
      </w:pPr>
      <w:r>
        <w:rPr>
          <w:rFonts w:cs="Times New Roman"/>
          <w:szCs w:val="24"/>
        </w:rPr>
        <w:t xml:space="preserve">atcelt </w:t>
      </w:r>
      <w:r w:rsidR="0058060F">
        <w:rPr>
          <w:rFonts w:cs="Times New Roman"/>
          <w:szCs w:val="24"/>
        </w:rPr>
        <w:t>[..]</w:t>
      </w:r>
      <w:r w:rsidR="00F357AD" w:rsidRPr="00F357AD">
        <w:rPr>
          <w:rFonts w:cs="Times New Roman"/>
          <w:szCs w:val="24"/>
        </w:rPr>
        <w:t xml:space="preserve"> apgabaltiesas </w:t>
      </w:r>
      <w:proofErr w:type="gramStart"/>
      <w:r w:rsidR="00F357AD" w:rsidRPr="00F357AD">
        <w:rPr>
          <w:rFonts w:cs="Times New Roman"/>
          <w:szCs w:val="24"/>
        </w:rPr>
        <w:t>2020.gada</w:t>
      </w:r>
      <w:proofErr w:type="gramEnd"/>
      <w:r w:rsidR="00F357AD" w:rsidRPr="00F357AD">
        <w:rPr>
          <w:rFonts w:cs="Times New Roman"/>
          <w:szCs w:val="24"/>
        </w:rPr>
        <w:t xml:space="preserve"> </w:t>
      </w:r>
      <w:r w:rsidR="0058060F">
        <w:rPr>
          <w:rFonts w:cs="Times New Roman"/>
          <w:szCs w:val="24"/>
        </w:rPr>
        <w:t>[..]</w:t>
      </w:r>
      <w:r w:rsidR="00F357AD" w:rsidRPr="00F357AD">
        <w:rPr>
          <w:rFonts w:cs="Times New Roman"/>
          <w:szCs w:val="24"/>
        </w:rPr>
        <w:t xml:space="preserve"> lēmumu </w:t>
      </w:r>
      <w:r>
        <w:rPr>
          <w:rFonts w:cs="Times New Roman"/>
          <w:szCs w:val="24"/>
        </w:rPr>
        <w:t xml:space="preserve">daļā par </w:t>
      </w:r>
      <w:r w:rsidR="0058060F">
        <w:rPr>
          <w:rFonts w:cs="Times New Roman"/>
          <w:szCs w:val="24"/>
        </w:rPr>
        <w:t>[pers. A]</w:t>
      </w:r>
      <w:r w:rsidR="00F357AD" w:rsidRPr="00F357AD">
        <w:t xml:space="preserve"> </w:t>
      </w:r>
      <w:r w:rsidR="00F357AD" w:rsidRPr="00F357AD">
        <w:rPr>
          <w:rFonts w:cs="Times New Roman"/>
          <w:szCs w:val="24"/>
        </w:rPr>
        <w:t xml:space="preserve">atzīšanu par nevainīgu un attaisnošanu pēc Krimināllikuma 231.panta otrās daļas un daļā par cietušā </w:t>
      </w:r>
      <w:r w:rsidR="0058060F">
        <w:rPr>
          <w:rFonts w:cs="Times New Roman"/>
          <w:szCs w:val="24"/>
        </w:rPr>
        <w:t>[pers. B]</w:t>
      </w:r>
      <w:r w:rsidR="00F357AD" w:rsidRPr="00F357AD">
        <w:rPr>
          <w:rFonts w:cs="Times New Roman"/>
          <w:szCs w:val="24"/>
        </w:rPr>
        <w:t xml:space="preserve"> pieteiktās morālā kaitējuma kompensācijas 1650</w:t>
      </w:r>
      <w:r w:rsidR="00F357AD">
        <w:rPr>
          <w:rFonts w:cs="Times New Roman"/>
          <w:szCs w:val="24"/>
        </w:rPr>
        <w:t> </w:t>
      </w:r>
      <w:proofErr w:type="spellStart"/>
      <w:r w:rsidR="00F357AD" w:rsidRPr="00F357AD">
        <w:rPr>
          <w:rFonts w:cs="Times New Roman"/>
          <w:i/>
          <w:iCs/>
          <w:szCs w:val="24"/>
        </w:rPr>
        <w:t>euro</w:t>
      </w:r>
      <w:proofErr w:type="spellEnd"/>
      <w:r w:rsidR="00F357AD" w:rsidRPr="00F357AD">
        <w:rPr>
          <w:rFonts w:cs="Times New Roman"/>
          <w:szCs w:val="24"/>
        </w:rPr>
        <w:t xml:space="preserve"> atstāšanu bez izskatīšanas.</w:t>
      </w:r>
    </w:p>
    <w:p w14:paraId="64B8DF8B" w14:textId="6DE85C03" w:rsidR="00F357AD" w:rsidRDefault="00F357AD" w:rsidP="007328F9">
      <w:pPr>
        <w:spacing w:after="0" w:line="276" w:lineRule="auto"/>
        <w:ind w:firstLine="720"/>
        <w:jc w:val="both"/>
        <w:rPr>
          <w:rFonts w:cs="Times New Roman"/>
          <w:szCs w:val="24"/>
        </w:rPr>
      </w:pPr>
      <w:r w:rsidRPr="00F357AD">
        <w:rPr>
          <w:rFonts w:cs="Times New Roman"/>
          <w:szCs w:val="24"/>
        </w:rPr>
        <w:t>Atceltajā daļā liet</w:t>
      </w:r>
      <w:r>
        <w:rPr>
          <w:rFonts w:cs="Times New Roman"/>
          <w:szCs w:val="24"/>
        </w:rPr>
        <w:t>u</w:t>
      </w:r>
      <w:r w:rsidRPr="00F357AD">
        <w:rPr>
          <w:rFonts w:cs="Times New Roman"/>
          <w:szCs w:val="24"/>
        </w:rPr>
        <w:t xml:space="preserve"> nosūt</w:t>
      </w:r>
      <w:r>
        <w:rPr>
          <w:rFonts w:cs="Times New Roman"/>
          <w:szCs w:val="24"/>
        </w:rPr>
        <w:t>īt</w:t>
      </w:r>
      <w:r w:rsidRPr="00F357AD">
        <w:rPr>
          <w:rFonts w:cs="Times New Roman"/>
          <w:szCs w:val="24"/>
        </w:rPr>
        <w:t xml:space="preserve"> jaunai izskatīšanai </w:t>
      </w:r>
      <w:r w:rsidR="0058060F">
        <w:rPr>
          <w:rFonts w:cs="Times New Roman"/>
          <w:szCs w:val="24"/>
        </w:rPr>
        <w:t>[..]</w:t>
      </w:r>
      <w:r w:rsidRPr="00F357AD">
        <w:rPr>
          <w:rFonts w:cs="Times New Roman"/>
          <w:szCs w:val="24"/>
        </w:rPr>
        <w:t xml:space="preserve"> apgabaltiesā. </w:t>
      </w:r>
    </w:p>
    <w:p w14:paraId="7ECEA721" w14:textId="335704EC" w:rsidR="00F357AD" w:rsidRDefault="00F357AD" w:rsidP="007328F9">
      <w:pPr>
        <w:spacing w:after="0" w:line="276" w:lineRule="auto"/>
        <w:ind w:firstLine="720"/>
        <w:jc w:val="both"/>
        <w:rPr>
          <w:rFonts w:cs="Times New Roman"/>
          <w:szCs w:val="24"/>
        </w:rPr>
      </w:pPr>
      <w:r w:rsidRPr="00F357AD">
        <w:rPr>
          <w:rFonts w:cs="Times New Roman"/>
          <w:szCs w:val="24"/>
        </w:rPr>
        <w:t>Pārējā daļā apelācijas instances tiesas lēmum</w:t>
      </w:r>
      <w:r>
        <w:rPr>
          <w:rFonts w:cs="Times New Roman"/>
          <w:szCs w:val="24"/>
        </w:rPr>
        <w:t>u</w:t>
      </w:r>
      <w:r w:rsidRPr="00F357AD">
        <w:rPr>
          <w:rFonts w:cs="Times New Roman"/>
          <w:szCs w:val="24"/>
        </w:rPr>
        <w:t xml:space="preserve"> atstā</w:t>
      </w:r>
      <w:r>
        <w:rPr>
          <w:rFonts w:cs="Times New Roman"/>
          <w:szCs w:val="24"/>
        </w:rPr>
        <w:t xml:space="preserve">t </w:t>
      </w:r>
      <w:r w:rsidRPr="00F357AD">
        <w:rPr>
          <w:rFonts w:cs="Times New Roman"/>
          <w:szCs w:val="24"/>
        </w:rPr>
        <w:t>negrozīt</w:t>
      </w:r>
      <w:r>
        <w:rPr>
          <w:rFonts w:cs="Times New Roman"/>
          <w:szCs w:val="24"/>
        </w:rPr>
        <w:t>u</w:t>
      </w:r>
      <w:r w:rsidRPr="00F357AD">
        <w:rPr>
          <w:rFonts w:cs="Times New Roman"/>
          <w:szCs w:val="24"/>
        </w:rPr>
        <w:t>.</w:t>
      </w:r>
    </w:p>
    <w:p w14:paraId="62EDEF6A" w14:textId="061ED568" w:rsidR="00B80873" w:rsidRPr="0058060F" w:rsidRDefault="007328F9" w:rsidP="0058060F">
      <w:pPr>
        <w:spacing w:after="0" w:line="276" w:lineRule="auto"/>
        <w:ind w:firstLine="720"/>
        <w:jc w:val="both"/>
        <w:rPr>
          <w:rFonts w:cs="Times New Roman"/>
          <w:szCs w:val="24"/>
        </w:rPr>
      </w:pPr>
      <w:r>
        <w:rPr>
          <w:rFonts w:cs="Times New Roman"/>
          <w:szCs w:val="24"/>
        </w:rPr>
        <w:t>Lēmums nav pārsūdzams.</w:t>
      </w:r>
    </w:p>
    <w:sectPr w:rsidR="00B80873" w:rsidRPr="0058060F" w:rsidSect="001B03BF">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FDBD9" w14:textId="77777777" w:rsidR="00593492" w:rsidRDefault="00593492" w:rsidP="00596015">
      <w:pPr>
        <w:spacing w:after="0" w:line="240" w:lineRule="auto"/>
      </w:pPr>
      <w:r>
        <w:separator/>
      </w:r>
    </w:p>
  </w:endnote>
  <w:endnote w:type="continuationSeparator" w:id="0">
    <w:p w14:paraId="0E3F9414" w14:textId="77777777" w:rsidR="00593492" w:rsidRDefault="00593492" w:rsidP="0059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394343"/>
      <w:docPartObj>
        <w:docPartGallery w:val="Page Numbers (Bottom of Page)"/>
        <w:docPartUnique/>
      </w:docPartObj>
    </w:sdtPr>
    <w:sdtEndPr/>
    <w:sdtContent>
      <w:sdt>
        <w:sdtPr>
          <w:id w:val="1728636285"/>
          <w:docPartObj>
            <w:docPartGallery w:val="Page Numbers (Top of Page)"/>
            <w:docPartUnique/>
          </w:docPartObj>
        </w:sdtPr>
        <w:sdtEndPr/>
        <w:sdtContent>
          <w:p w14:paraId="7503B7A2" w14:textId="064DD4FA" w:rsidR="00596015" w:rsidRDefault="00596015">
            <w:pPr>
              <w:pStyle w:val="Footer"/>
              <w:jc w:val="center"/>
            </w:pPr>
            <w:r w:rsidRPr="00596015">
              <w:rPr>
                <w:szCs w:val="24"/>
              </w:rPr>
              <w:fldChar w:fldCharType="begin"/>
            </w:r>
            <w:r w:rsidRPr="00596015">
              <w:instrText xml:space="preserve"> PAGE </w:instrText>
            </w:r>
            <w:r w:rsidRPr="00596015">
              <w:rPr>
                <w:szCs w:val="24"/>
              </w:rPr>
              <w:fldChar w:fldCharType="separate"/>
            </w:r>
            <w:r w:rsidRPr="00596015">
              <w:rPr>
                <w:noProof/>
              </w:rPr>
              <w:t>2</w:t>
            </w:r>
            <w:r w:rsidRPr="00596015">
              <w:rPr>
                <w:szCs w:val="24"/>
              </w:rPr>
              <w:fldChar w:fldCharType="end"/>
            </w:r>
            <w:r w:rsidRPr="00596015">
              <w:t xml:space="preserve"> no </w:t>
            </w:r>
            <w:r w:rsidR="009951A5">
              <w:fldChar w:fldCharType="begin"/>
            </w:r>
            <w:r w:rsidR="009951A5">
              <w:instrText xml:space="preserve"> NUMPAGES  </w:instrText>
            </w:r>
            <w:r w:rsidR="009951A5">
              <w:fldChar w:fldCharType="separate"/>
            </w:r>
            <w:r w:rsidRPr="00596015">
              <w:rPr>
                <w:noProof/>
              </w:rPr>
              <w:t>2</w:t>
            </w:r>
            <w:r w:rsidR="009951A5">
              <w:rPr>
                <w:noProof/>
              </w:rPr>
              <w:fldChar w:fldCharType="end"/>
            </w:r>
          </w:p>
        </w:sdtContent>
      </w:sdt>
    </w:sdtContent>
  </w:sdt>
  <w:p w14:paraId="2531A3FB" w14:textId="77777777" w:rsidR="00596015" w:rsidRDefault="00596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26FD6" w14:textId="77777777" w:rsidR="00593492" w:rsidRDefault="00593492" w:rsidP="00596015">
      <w:pPr>
        <w:spacing w:after="0" w:line="240" w:lineRule="auto"/>
      </w:pPr>
      <w:r>
        <w:separator/>
      </w:r>
    </w:p>
  </w:footnote>
  <w:footnote w:type="continuationSeparator" w:id="0">
    <w:p w14:paraId="61F75393" w14:textId="77777777" w:rsidR="00593492" w:rsidRDefault="00593492" w:rsidP="00596015">
      <w:pPr>
        <w:spacing w:after="0" w:line="240" w:lineRule="auto"/>
      </w:pPr>
      <w:r>
        <w:continuationSeparator/>
      </w:r>
    </w:p>
  </w:footnote>
  <w:footnote w:id="1">
    <w:p w14:paraId="3E9BD358" w14:textId="7BB19064" w:rsidR="00041BFA" w:rsidRDefault="00041BFA">
      <w:pPr>
        <w:pStyle w:val="FootnoteText"/>
      </w:pPr>
      <w:r>
        <w:rPr>
          <w:rStyle w:val="FootnoteReference"/>
        </w:rPr>
        <w:footnoteRef/>
      </w:r>
      <w:r>
        <w:t xml:space="preserve"> </w:t>
      </w:r>
      <w:bookmarkStart w:id="0" w:name="_Hlk67044535"/>
      <w:r w:rsidR="000F26F8">
        <w:t xml:space="preserve">Slēgtas lietas statuss. </w:t>
      </w:r>
      <w:r w:rsidR="000F26F8" w:rsidRPr="00B95AA6">
        <w:t>Publicēti izvilkumi no nolēmuma</w:t>
      </w:r>
      <w:r w:rsidR="000F26F8">
        <w:t>.</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F9"/>
    <w:rsid w:val="0002073A"/>
    <w:rsid w:val="00025094"/>
    <w:rsid w:val="00025206"/>
    <w:rsid w:val="00041BFA"/>
    <w:rsid w:val="00041E95"/>
    <w:rsid w:val="00043761"/>
    <w:rsid w:val="000519F7"/>
    <w:rsid w:val="00065A12"/>
    <w:rsid w:val="00067416"/>
    <w:rsid w:val="000718A5"/>
    <w:rsid w:val="00073807"/>
    <w:rsid w:val="000D68FF"/>
    <w:rsid w:val="000D7177"/>
    <w:rsid w:val="000E367B"/>
    <w:rsid w:val="000F26F8"/>
    <w:rsid w:val="001024B7"/>
    <w:rsid w:val="00103444"/>
    <w:rsid w:val="00116EC9"/>
    <w:rsid w:val="00117C54"/>
    <w:rsid w:val="00164163"/>
    <w:rsid w:val="00185E48"/>
    <w:rsid w:val="00192F8C"/>
    <w:rsid w:val="001B03BF"/>
    <w:rsid w:val="001C289B"/>
    <w:rsid w:val="001C28C9"/>
    <w:rsid w:val="001C3C90"/>
    <w:rsid w:val="001D7858"/>
    <w:rsid w:val="001E7407"/>
    <w:rsid w:val="001F503C"/>
    <w:rsid w:val="002168C1"/>
    <w:rsid w:val="002222D5"/>
    <w:rsid w:val="00231EAC"/>
    <w:rsid w:val="0024146D"/>
    <w:rsid w:val="002658D2"/>
    <w:rsid w:val="00287AC7"/>
    <w:rsid w:val="00293FC1"/>
    <w:rsid w:val="002A4E65"/>
    <w:rsid w:val="002B46EA"/>
    <w:rsid w:val="002E00A0"/>
    <w:rsid w:val="002E60C7"/>
    <w:rsid w:val="003039C0"/>
    <w:rsid w:val="00305E68"/>
    <w:rsid w:val="0032414A"/>
    <w:rsid w:val="00325C04"/>
    <w:rsid w:val="003339EB"/>
    <w:rsid w:val="003408A8"/>
    <w:rsid w:val="00356C9B"/>
    <w:rsid w:val="00384D5D"/>
    <w:rsid w:val="003A5288"/>
    <w:rsid w:val="003E7D9A"/>
    <w:rsid w:val="004347EC"/>
    <w:rsid w:val="004801B6"/>
    <w:rsid w:val="00486F0D"/>
    <w:rsid w:val="004B48A0"/>
    <w:rsid w:val="004E6C6C"/>
    <w:rsid w:val="004F58FB"/>
    <w:rsid w:val="005262EA"/>
    <w:rsid w:val="005463FD"/>
    <w:rsid w:val="00555670"/>
    <w:rsid w:val="00556C25"/>
    <w:rsid w:val="005673E2"/>
    <w:rsid w:val="0058060F"/>
    <w:rsid w:val="00586AAB"/>
    <w:rsid w:val="00593492"/>
    <w:rsid w:val="00596015"/>
    <w:rsid w:val="005C07B6"/>
    <w:rsid w:val="005C2645"/>
    <w:rsid w:val="005C6552"/>
    <w:rsid w:val="005C7A22"/>
    <w:rsid w:val="006322F7"/>
    <w:rsid w:val="006349BA"/>
    <w:rsid w:val="0063553E"/>
    <w:rsid w:val="0064734D"/>
    <w:rsid w:val="00647B96"/>
    <w:rsid w:val="00653A57"/>
    <w:rsid w:val="006851BC"/>
    <w:rsid w:val="00686C25"/>
    <w:rsid w:val="006A1CB8"/>
    <w:rsid w:val="006C77BC"/>
    <w:rsid w:val="006D513A"/>
    <w:rsid w:val="006F1DE4"/>
    <w:rsid w:val="007150CE"/>
    <w:rsid w:val="007328F9"/>
    <w:rsid w:val="0076274E"/>
    <w:rsid w:val="00772603"/>
    <w:rsid w:val="007758F2"/>
    <w:rsid w:val="0078085A"/>
    <w:rsid w:val="007A5B96"/>
    <w:rsid w:val="007A6FF8"/>
    <w:rsid w:val="007C30D6"/>
    <w:rsid w:val="007F229C"/>
    <w:rsid w:val="007F29FC"/>
    <w:rsid w:val="007F3A48"/>
    <w:rsid w:val="00812F7E"/>
    <w:rsid w:val="00821943"/>
    <w:rsid w:val="00837813"/>
    <w:rsid w:val="008468EE"/>
    <w:rsid w:val="00860992"/>
    <w:rsid w:val="00872397"/>
    <w:rsid w:val="008A093C"/>
    <w:rsid w:val="008B5679"/>
    <w:rsid w:val="008D176E"/>
    <w:rsid w:val="00912893"/>
    <w:rsid w:val="00941D64"/>
    <w:rsid w:val="00941FA1"/>
    <w:rsid w:val="00983B8D"/>
    <w:rsid w:val="009951A5"/>
    <w:rsid w:val="009B76DA"/>
    <w:rsid w:val="009C2DDF"/>
    <w:rsid w:val="00A179FE"/>
    <w:rsid w:val="00A25DA9"/>
    <w:rsid w:val="00A55179"/>
    <w:rsid w:val="00A9249B"/>
    <w:rsid w:val="00AC6A2F"/>
    <w:rsid w:val="00AE3E4C"/>
    <w:rsid w:val="00B00A59"/>
    <w:rsid w:val="00B40D5D"/>
    <w:rsid w:val="00B504B6"/>
    <w:rsid w:val="00B6429A"/>
    <w:rsid w:val="00B76E73"/>
    <w:rsid w:val="00B80873"/>
    <w:rsid w:val="00BC1AB0"/>
    <w:rsid w:val="00BC2973"/>
    <w:rsid w:val="00BC60E2"/>
    <w:rsid w:val="00BE5ED4"/>
    <w:rsid w:val="00BF2F52"/>
    <w:rsid w:val="00BF5476"/>
    <w:rsid w:val="00C17D87"/>
    <w:rsid w:val="00C25F1C"/>
    <w:rsid w:val="00C269CF"/>
    <w:rsid w:val="00C34251"/>
    <w:rsid w:val="00C41B36"/>
    <w:rsid w:val="00C47F4E"/>
    <w:rsid w:val="00C50841"/>
    <w:rsid w:val="00C655FC"/>
    <w:rsid w:val="00C71A90"/>
    <w:rsid w:val="00C95613"/>
    <w:rsid w:val="00CC06F7"/>
    <w:rsid w:val="00CC6779"/>
    <w:rsid w:val="00CD5EEC"/>
    <w:rsid w:val="00CE1087"/>
    <w:rsid w:val="00D017E6"/>
    <w:rsid w:val="00D22E91"/>
    <w:rsid w:val="00D25C55"/>
    <w:rsid w:val="00D45B38"/>
    <w:rsid w:val="00D65BD4"/>
    <w:rsid w:val="00D66354"/>
    <w:rsid w:val="00D95502"/>
    <w:rsid w:val="00DD23EA"/>
    <w:rsid w:val="00DD51EB"/>
    <w:rsid w:val="00DE1FAE"/>
    <w:rsid w:val="00DE6FE1"/>
    <w:rsid w:val="00E37369"/>
    <w:rsid w:val="00E66B28"/>
    <w:rsid w:val="00E70931"/>
    <w:rsid w:val="00E97F01"/>
    <w:rsid w:val="00EA3BE4"/>
    <w:rsid w:val="00EC0699"/>
    <w:rsid w:val="00ED6A97"/>
    <w:rsid w:val="00F357AD"/>
    <w:rsid w:val="00F35EF1"/>
    <w:rsid w:val="00F46204"/>
    <w:rsid w:val="00F57C2F"/>
    <w:rsid w:val="00F96D2D"/>
    <w:rsid w:val="00F971FA"/>
    <w:rsid w:val="00FA614B"/>
    <w:rsid w:val="00FD5A6E"/>
    <w:rsid w:val="00FF4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CB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8F9"/>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28F9"/>
    <w:rPr>
      <w:color w:val="0563C1" w:themeColor="hyperlink"/>
      <w:u w:val="single"/>
    </w:rPr>
  </w:style>
  <w:style w:type="table" w:styleId="TableGrid">
    <w:name w:val="Table Grid"/>
    <w:basedOn w:val="TableNormal"/>
    <w:uiPriority w:val="39"/>
    <w:rsid w:val="007328F9"/>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3761"/>
    <w:rPr>
      <w:sz w:val="16"/>
      <w:szCs w:val="16"/>
    </w:rPr>
  </w:style>
  <w:style w:type="paragraph" w:styleId="CommentText">
    <w:name w:val="annotation text"/>
    <w:basedOn w:val="Normal"/>
    <w:link w:val="CommentTextChar"/>
    <w:uiPriority w:val="99"/>
    <w:semiHidden/>
    <w:unhideWhenUsed/>
    <w:rsid w:val="00043761"/>
    <w:pPr>
      <w:spacing w:line="240" w:lineRule="auto"/>
    </w:pPr>
    <w:rPr>
      <w:sz w:val="20"/>
      <w:szCs w:val="20"/>
    </w:rPr>
  </w:style>
  <w:style w:type="character" w:customStyle="1" w:styleId="CommentTextChar">
    <w:name w:val="Comment Text Char"/>
    <w:basedOn w:val="DefaultParagraphFont"/>
    <w:link w:val="CommentText"/>
    <w:uiPriority w:val="99"/>
    <w:semiHidden/>
    <w:rsid w:val="000437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3761"/>
    <w:rPr>
      <w:b/>
      <w:bCs/>
    </w:rPr>
  </w:style>
  <w:style w:type="character" w:customStyle="1" w:styleId="CommentSubjectChar">
    <w:name w:val="Comment Subject Char"/>
    <w:basedOn w:val="CommentTextChar"/>
    <w:link w:val="CommentSubject"/>
    <w:uiPriority w:val="99"/>
    <w:semiHidden/>
    <w:rsid w:val="00043761"/>
    <w:rPr>
      <w:rFonts w:ascii="Times New Roman" w:hAnsi="Times New Roman"/>
      <w:b/>
      <w:bCs/>
      <w:sz w:val="20"/>
      <w:szCs w:val="20"/>
    </w:rPr>
  </w:style>
  <w:style w:type="paragraph" w:styleId="Header">
    <w:name w:val="header"/>
    <w:basedOn w:val="Normal"/>
    <w:link w:val="HeaderChar"/>
    <w:uiPriority w:val="99"/>
    <w:unhideWhenUsed/>
    <w:rsid w:val="0059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015"/>
    <w:rPr>
      <w:rFonts w:ascii="Times New Roman" w:hAnsi="Times New Roman"/>
      <w:sz w:val="24"/>
    </w:rPr>
  </w:style>
  <w:style w:type="paragraph" w:styleId="Footer">
    <w:name w:val="footer"/>
    <w:basedOn w:val="Normal"/>
    <w:link w:val="FooterChar"/>
    <w:uiPriority w:val="99"/>
    <w:unhideWhenUsed/>
    <w:rsid w:val="00596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015"/>
    <w:rPr>
      <w:rFonts w:ascii="Times New Roman" w:hAnsi="Times New Roman"/>
      <w:sz w:val="24"/>
    </w:rPr>
  </w:style>
  <w:style w:type="paragraph" w:styleId="FootnoteText">
    <w:name w:val="footnote text"/>
    <w:basedOn w:val="Normal"/>
    <w:link w:val="FootnoteTextChar"/>
    <w:uiPriority w:val="99"/>
    <w:semiHidden/>
    <w:unhideWhenUsed/>
    <w:rsid w:val="00041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BFA"/>
    <w:rPr>
      <w:rFonts w:ascii="Times New Roman" w:hAnsi="Times New Roman"/>
      <w:sz w:val="20"/>
      <w:szCs w:val="20"/>
    </w:rPr>
  </w:style>
  <w:style w:type="character" w:styleId="FootnoteReference">
    <w:name w:val="footnote reference"/>
    <w:basedOn w:val="DefaultParagraphFont"/>
    <w:uiPriority w:val="99"/>
    <w:semiHidden/>
    <w:unhideWhenUsed/>
    <w:rsid w:val="00041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6B32F-F86D-4B3E-9867-7F3854FD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8319</Words>
  <Characters>4743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2021-03-22T14:18:00Z</dcterms:created>
  <dcterms:modified xsi:type="dcterms:W3CDTF">2021-03-22T14:18:00Z</dcterms:modified>
</cp:coreProperties>
</file>