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46AFE" w14:textId="64D7C9FD" w:rsidR="000B1C5B" w:rsidRPr="00831AEB" w:rsidRDefault="00D57EB7" w:rsidP="00D57EB7">
      <w:pPr>
        <w:spacing w:after="0" w:line="276" w:lineRule="auto"/>
        <w:jc w:val="both"/>
      </w:pPr>
      <w:proofErr w:type="gramStart"/>
      <w:r w:rsidRPr="004633F6">
        <w:rPr>
          <w:b/>
          <w:bCs/>
        </w:rPr>
        <w:t>Policijas darbinieka slepeni veikta</w:t>
      </w:r>
      <w:proofErr w:type="gramEnd"/>
      <w:r w:rsidRPr="004633F6">
        <w:rPr>
          <w:b/>
          <w:bCs/>
        </w:rPr>
        <w:t xml:space="preserve"> sarunas ieraksta pieļaujamības izvērtēšana kopsakarā ar personas tiesībām neliecināt un nesniegt sevi inkriminējošu (apsūdzošu) informāciju</w:t>
      </w:r>
    </w:p>
    <w:p w14:paraId="10360E19" w14:textId="22C51948" w:rsidR="000B1C5B" w:rsidRPr="003B229E" w:rsidRDefault="000B1C5B" w:rsidP="000B1C5B">
      <w:pPr>
        <w:spacing w:after="0" w:line="276" w:lineRule="auto"/>
        <w:jc w:val="center"/>
        <w:rPr>
          <w:rFonts w:eastAsia="Calibri"/>
          <w:szCs w:val="24"/>
        </w:rPr>
      </w:pPr>
    </w:p>
    <w:p w14:paraId="4DB37BB6" w14:textId="77777777" w:rsidR="00D57EB7" w:rsidRPr="00D57EB7" w:rsidRDefault="000B1C5B" w:rsidP="000B1C5B">
      <w:pPr>
        <w:spacing w:after="0" w:line="276" w:lineRule="auto"/>
        <w:jc w:val="center"/>
        <w:rPr>
          <w:b/>
          <w:szCs w:val="24"/>
        </w:rPr>
      </w:pPr>
      <w:r w:rsidRPr="00D57EB7">
        <w:rPr>
          <w:b/>
          <w:szCs w:val="24"/>
        </w:rPr>
        <w:t>Latvijas Republikas Senāt</w:t>
      </w:r>
      <w:r w:rsidR="00D57EB7" w:rsidRPr="00D57EB7">
        <w:rPr>
          <w:b/>
          <w:szCs w:val="24"/>
        </w:rPr>
        <w:t>a</w:t>
      </w:r>
      <w:r w:rsidRPr="00D57EB7">
        <w:rPr>
          <w:b/>
          <w:szCs w:val="24"/>
        </w:rPr>
        <w:t xml:space="preserve"> </w:t>
      </w:r>
    </w:p>
    <w:p w14:paraId="27E7EAC4" w14:textId="77777777" w:rsidR="00D57EB7" w:rsidRPr="00D57EB7" w:rsidRDefault="00D57EB7" w:rsidP="000B1C5B">
      <w:pPr>
        <w:spacing w:after="0" w:line="276" w:lineRule="auto"/>
        <w:jc w:val="center"/>
        <w:rPr>
          <w:b/>
          <w:szCs w:val="24"/>
        </w:rPr>
      </w:pPr>
      <w:r w:rsidRPr="00D57EB7">
        <w:rPr>
          <w:b/>
          <w:szCs w:val="24"/>
        </w:rPr>
        <w:t>Krimināllietu departamenta</w:t>
      </w:r>
    </w:p>
    <w:p w14:paraId="04C79D51" w14:textId="7CDF91C3" w:rsidR="000B1C5B" w:rsidRPr="00D57EB7" w:rsidRDefault="00D57EB7" w:rsidP="000B1C5B">
      <w:pPr>
        <w:spacing w:after="0" w:line="276" w:lineRule="auto"/>
        <w:jc w:val="center"/>
        <w:rPr>
          <w:b/>
          <w:szCs w:val="24"/>
        </w:rPr>
      </w:pPr>
      <w:proofErr w:type="gramStart"/>
      <w:r w:rsidRPr="00D57EB7">
        <w:rPr>
          <w:b/>
          <w:szCs w:val="24"/>
        </w:rPr>
        <w:t>2021.gada</w:t>
      </w:r>
      <w:proofErr w:type="gramEnd"/>
      <w:r w:rsidRPr="00D57EB7">
        <w:rPr>
          <w:b/>
          <w:szCs w:val="24"/>
        </w:rPr>
        <w:t xml:space="preserve"> 10.februāra</w:t>
      </w:r>
    </w:p>
    <w:p w14:paraId="1316E8DD" w14:textId="77777777" w:rsidR="00D57EB7" w:rsidRPr="00D57EB7" w:rsidRDefault="000B1C5B" w:rsidP="000B1C5B">
      <w:pPr>
        <w:spacing w:after="0" w:line="276" w:lineRule="auto"/>
        <w:jc w:val="center"/>
        <w:rPr>
          <w:b/>
          <w:szCs w:val="24"/>
        </w:rPr>
      </w:pPr>
      <w:r w:rsidRPr="00D57EB7">
        <w:rPr>
          <w:b/>
          <w:szCs w:val="24"/>
        </w:rPr>
        <w:t>LĒMUMS</w:t>
      </w:r>
      <w:r w:rsidR="00D57EB7" w:rsidRPr="00D57EB7">
        <w:rPr>
          <w:b/>
          <w:szCs w:val="24"/>
        </w:rPr>
        <w:t xml:space="preserve"> </w:t>
      </w:r>
    </w:p>
    <w:p w14:paraId="78EAE3CB" w14:textId="0D69A399" w:rsidR="000B1C5B" w:rsidRDefault="00D57EB7" w:rsidP="000B1C5B">
      <w:pPr>
        <w:spacing w:after="0" w:line="276" w:lineRule="auto"/>
        <w:jc w:val="center"/>
        <w:rPr>
          <w:b/>
          <w:szCs w:val="24"/>
        </w:rPr>
      </w:pPr>
      <w:r w:rsidRPr="00D57EB7">
        <w:rPr>
          <w:b/>
          <w:szCs w:val="24"/>
        </w:rPr>
        <w:t>Lieta</w:t>
      </w:r>
      <w:r w:rsidRPr="00D57EB7">
        <w:rPr>
          <w:b/>
          <w:szCs w:val="24"/>
          <w:lang w:val="en-US"/>
        </w:rPr>
        <w:t xml:space="preserve"> </w:t>
      </w:r>
      <w:r w:rsidRPr="00D57EB7">
        <w:rPr>
          <w:b/>
          <w:szCs w:val="24"/>
        </w:rPr>
        <w:t>Nr. 11370018417, SKK-92/2021</w:t>
      </w:r>
    </w:p>
    <w:p w14:paraId="28B5E625" w14:textId="08101FD6" w:rsidR="00D57EB7" w:rsidRPr="00D57EB7" w:rsidRDefault="00082C40" w:rsidP="000B1C5B">
      <w:pPr>
        <w:spacing w:after="0" w:line="276" w:lineRule="auto"/>
        <w:jc w:val="center"/>
        <w:rPr>
          <w:rFonts w:cs="Times New Roman"/>
          <w:b/>
          <w:szCs w:val="24"/>
        </w:rPr>
      </w:pPr>
      <w:hyperlink r:id="rId8" w:history="1">
        <w:r w:rsidR="00D57EB7" w:rsidRPr="00D57EB7">
          <w:rPr>
            <w:rStyle w:val="Hyperlink"/>
            <w:rFonts w:cs="Times New Roman"/>
            <w:szCs w:val="24"/>
            <w:shd w:val="clear" w:color="auto" w:fill="FFFFFF"/>
          </w:rPr>
          <w:t>ECLI:LV:AT:2021:0210.11370018417.6.L</w:t>
        </w:r>
      </w:hyperlink>
    </w:p>
    <w:p w14:paraId="7EAF6271" w14:textId="797C0584" w:rsidR="005F7297" w:rsidRPr="00D57EB7" w:rsidRDefault="005F7297" w:rsidP="005F7297">
      <w:pPr>
        <w:spacing w:after="0" w:line="276" w:lineRule="auto"/>
        <w:jc w:val="center"/>
        <w:rPr>
          <w:b/>
          <w:szCs w:val="24"/>
        </w:rPr>
      </w:pPr>
    </w:p>
    <w:p w14:paraId="2960800A" w14:textId="77777777" w:rsidR="005F7297" w:rsidRPr="003B229E" w:rsidRDefault="005F7297" w:rsidP="005F7297">
      <w:pPr>
        <w:spacing w:after="0" w:line="276" w:lineRule="auto"/>
        <w:jc w:val="center"/>
      </w:pPr>
    </w:p>
    <w:p w14:paraId="761CC430" w14:textId="77777777" w:rsidR="005F7297" w:rsidRPr="003B229E" w:rsidRDefault="005F7297" w:rsidP="005F7297">
      <w:pPr>
        <w:spacing w:after="0" w:line="276" w:lineRule="auto"/>
        <w:ind w:firstLine="720"/>
        <w:jc w:val="both"/>
        <w:rPr>
          <w:rFonts w:eastAsia="Calibri"/>
        </w:rPr>
      </w:pPr>
      <w:r w:rsidRPr="003B229E">
        <w:t xml:space="preserve">Tiesa šādā sastāvā: senatori Artūrs Freibergs, </w:t>
      </w:r>
      <w:r>
        <w:t>Sandra Kaija, Aivars Uminskis</w:t>
      </w:r>
    </w:p>
    <w:p w14:paraId="489F6D5B" w14:textId="77777777" w:rsidR="005F7297" w:rsidRPr="003B229E" w:rsidRDefault="005F7297" w:rsidP="005F7297">
      <w:pPr>
        <w:suppressAutoHyphens/>
        <w:spacing w:after="0" w:line="276" w:lineRule="auto"/>
        <w:ind w:firstLine="720"/>
        <w:jc w:val="both"/>
        <w:rPr>
          <w:rFonts w:eastAsia="Calibri"/>
        </w:rPr>
      </w:pPr>
    </w:p>
    <w:p w14:paraId="27332915" w14:textId="77777777" w:rsidR="005F7297" w:rsidRPr="003B229E" w:rsidRDefault="005F7297" w:rsidP="005F7297">
      <w:pPr>
        <w:autoSpaceDE w:val="0"/>
        <w:autoSpaceDN w:val="0"/>
        <w:adjustRightInd w:val="0"/>
        <w:spacing w:after="0" w:line="276" w:lineRule="auto"/>
        <w:ind w:firstLine="720"/>
        <w:jc w:val="both"/>
      </w:pPr>
      <w:r w:rsidRPr="003B229E">
        <w:rPr>
          <w:rFonts w:eastAsia="Calibri" w:cs="Times New Roman"/>
          <w:szCs w:val="24"/>
        </w:rPr>
        <w:t>izskatīja rakstveida procesā krimināllietu sakarā ar</w:t>
      </w:r>
      <w:r>
        <w:rPr>
          <w:rFonts w:eastAsia="Calibri" w:cs="Times New Roman"/>
          <w:szCs w:val="24"/>
        </w:rPr>
        <w:t xml:space="preserve"> Aizkraukles rajona prokuratūras prokurores Sanitas </w:t>
      </w:r>
      <w:proofErr w:type="spellStart"/>
      <w:r>
        <w:rPr>
          <w:rFonts w:eastAsia="Calibri" w:cs="Times New Roman"/>
          <w:szCs w:val="24"/>
        </w:rPr>
        <w:t>Hščanovičas</w:t>
      </w:r>
      <w:proofErr w:type="spellEnd"/>
      <w:r>
        <w:rPr>
          <w:rFonts w:eastAsia="Calibri" w:cs="Times New Roman"/>
          <w:szCs w:val="24"/>
        </w:rPr>
        <w:t xml:space="preserve"> kasācijas protestu pa</w:t>
      </w:r>
      <w:r w:rsidRPr="003B229E">
        <w:t xml:space="preserve">r </w:t>
      </w:r>
      <w:r>
        <w:t>Zemgales</w:t>
      </w:r>
      <w:r w:rsidRPr="003B229E">
        <w:t xml:space="preserve"> apgabaltiesas </w:t>
      </w:r>
      <w:proofErr w:type="gramStart"/>
      <w:r w:rsidRPr="003B229E">
        <w:t>2020.gada</w:t>
      </w:r>
      <w:proofErr w:type="gramEnd"/>
      <w:r w:rsidRPr="003B229E">
        <w:t xml:space="preserve"> </w:t>
      </w:r>
      <w:r>
        <w:t xml:space="preserve">14.septembra spriedumu. </w:t>
      </w:r>
    </w:p>
    <w:p w14:paraId="452A4C93" w14:textId="77777777" w:rsidR="000B1C5B" w:rsidRPr="003B229E" w:rsidRDefault="000B1C5B" w:rsidP="000B1C5B">
      <w:pPr>
        <w:spacing w:after="0" w:line="276" w:lineRule="auto"/>
        <w:jc w:val="both"/>
        <w:rPr>
          <w:rFonts w:eastAsia="Times New Roman" w:cs="Times New Roman"/>
          <w:szCs w:val="24"/>
        </w:rPr>
      </w:pPr>
    </w:p>
    <w:p w14:paraId="02C87A2C" w14:textId="77777777" w:rsidR="000B1C5B" w:rsidRPr="003B229E" w:rsidRDefault="000B1C5B" w:rsidP="004A5BA3">
      <w:pPr>
        <w:spacing w:after="0" w:line="276" w:lineRule="auto"/>
        <w:jc w:val="center"/>
        <w:rPr>
          <w:b/>
        </w:rPr>
      </w:pPr>
      <w:r w:rsidRPr="003B229E">
        <w:rPr>
          <w:b/>
        </w:rPr>
        <w:t>Aprakstošā daļa</w:t>
      </w:r>
    </w:p>
    <w:p w14:paraId="6003AA7F" w14:textId="77777777" w:rsidR="000B1C5B" w:rsidRPr="004242E1" w:rsidRDefault="000B1C5B" w:rsidP="000B1C5B">
      <w:pPr>
        <w:spacing w:after="0" w:line="276" w:lineRule="auto"/>
        <w:jc w:val="center"/>
        <w:rPr>
          <w:b/>
        </w:rPr>
      </w:pPr>
    </w:p>
    <w:p w14:paraId="07B0B30B" w14:textId="54DF0A76" w:rsidR="000B1C5B" w:rsidRPr="004242E1" w:rsidRDefault="000B1C5B" w:rsidP="000B1C5B">
      <w:pPr>
        <w:autoSpaceDE w:val="0"/>
        <w:autoSpaceDN w:val="0"/>
        <w:adjustRightInd w:val="0"/>
        <w:spacing w:after="0" w:line="276" w:lineRule="auto"/>
        <w:ind w:left="720"/>
        <w:jc w:val="both"/>
        <w:rPr>
          <w:szCs w:val="24"/>
        </w:rPr>
      </w:pPr>
      <w:r w:rsidRPr="004242E1">
        <w:rPr>
          <w:szCs w:val="24"/>
        </w:rPr>
        <w:t xml:space="preserve">[1] Ar </w:t>
      </w:r>
      <w:r w:rsidR="0089266B">
        <w:rPr>
          <w:szCs w:val="24"/>
        </w:rPr>
        <w:t>Zemgales</w:t>
      </w:r>
      <w:r w:rsidR="00AE2F4D" w:rsidRPr="004242E1">
        <w:rPr>
          <w:szCs w:val="24"/>
        </w:rPr>
        <w:t xml:space="preserve"> </w:t>
      </w:r>
      <w:r w:rsidR="006345F2" w:rsidRPr="004242E1">
        <w:rPr>
          <w:szCs w:val="24"/>
        </w:rPr>
        <w:t>rajona tiesas</w:t>
      </w:r>
      <w:r w:rsidR="00D42B5D" w:rsidRPr="004242E1">
        <w:rPr>
          <w:szCs w:val="24"/>
        </w:rPr>
        <w:t xml:space="preserve"> </w:t>
      </w:r>
      <w:proofErr w:type="gramStart"/>
      <w:r w:rsidR="00AE2F4D" w:rsidRPr="004242E1">
        <w:rPr>
          <w:szCs w:val="24"/>
        </w:rPr>
        <w:t>2019.gada</w:t>
      </w:r>
      <w:proofErr w:type="gramEnd"/>
      <w:r w:rsidR="00AE2F4D" w:rsidRPr="004242E1">
        <w:rPr>
          <w:szCs w:val="24"/>
        </w:rPr>
        <w:t xml:space="preserve"> </w:t>
      </w:r>
      <w:r w:rsidR="0089266B">
        <w:rPr>
          <w:szCs w:val="24"/>
        </w:rPr>
        <w:t>5.februāra</w:t>
      </w:r>
      <w:r w:rsidR="006345F2" w:rsidRPr="004242E1">
        <w:rPr>
          <w:szCs w:val="24"/>
        </w:rPr>
        <w:t xml:space="preserve"> spriedumu</w:t>
      </w:r>
    </w:p>
    <w:p w14:paraId="20D15C81" w14:textId="62FA2F87" w:rsidR="000B1C5B" w:rsidRPr="004242E1" w:rsidRDefault="00D57EB7" w:rsidP="004713ED">
      <w:pPr>
        <w:autoSpaceDE w:val="0"/>
        <w:autoSpaceDN w:val="0"/>
        <w:adjustRightInd w:val="0"/>
        <w:spacing w:after="0" w:line="276" w:lineRule="auto"/>
        <w:ind w:left="720"/>
        <w:jc w:val="both"/>
      </w:pPr>
      <w:r>
        <w:t>[pers. A]</w:t>
      </w:r>
      <w:r w:rsidR="000B1C5B" w:rsidRPr="004242E1">
        <w:t xml:space="preserve">, personas kods </w:t>
      </w:r>
      <w:r>
        <w:t>[..]</w:t>
      </w:r>
      <w:r w:rsidR="000B1C5B" w:rsidRPr="004242E1">
        <w:t>,</w:t>
      </w:r>
    </w:p>
    <w:p w14:paraId="4742B65D" w14:textId="6FFD7A9F" w:rsidR="00AE2F4D" w:rsidRPr="004242E1" w:rsidRDefault="00AE2F4D" w:rsidP="004F7526">
      <w:pPr>
        <w:spacing w:after="0" w:line="276" w:lineRule="auto"/>
        <w:ind w:firstLine="720"/>
        <w:jc w:val="both"/>
        <w:rPr>
          <w:szCs w:val="24"/>
        </w:rPr>
      </w:pPr>
      <w:r w:rsidRPr="004242E1">
        <w:rPr>
          <w:szCs w:val="24"/>
        </w:rPr>
        <w:t>atzīta</w:t>
      </w:r>
      <w:r w:rsidR="000B1C5B" w:rsidRPr="004242E1">
        <w:rPr>
          <w:szCs w:val="24"/>
        </w:rPr>
        <w:t xml:space="preserve"> par </w:t>
      </w:r>
      <w:r w:rsidR="0089266B">
        <w:rPr>
          <w:szCs w:val="24"/>
        </w:rPr>
        <w:t>ne</w:t>
      </w:r>
      <w:r w:rsidR="000B1C5B" w:rsidRPr="004242E1">
        <w:rPr>
          <w:szCs w:val="24"/>
        </w:rPr>
        <w:t xml:space="preserve">vainīgu Krimināllikuma </w:t>
      </w:r>
      <w:proofErr w:type="gramStart"/>
      <w:r w:rsidR="0089266B">
        <w:rPr>
          <w:szCs w:val="24"/>
        </w:rPr>
        <w:t>253.panta</w:t>
      </w:r>
      <w:proofErr w:type="gramEnd"/>
      <w:r w:rsidR="0089266B">
        <w:rPr>
          <w:szCs w:val="24"/>
        </w:rPr>
        <w:t xml:space="preserve"> pirmajā daļā</w:t>
      </w:r>
      <w:r w:rsidR="0055397B" w:rsidRPr="004242E1">
        <w:rPr>
          <w:szCs w:val="24"/>
        </w:rPr>
        <w:t xml:space="preserve"> </w:t>
      </w:r>
      <w:r w:rsidR="000B1C5B" w:rsidRPr="004242E1">
        <w:rPr>
          <w:szCs w:val="24"/>
        </w:rPr>
        <w:t>paredzētajā noziedzīgajā nodarījumā</w:t>
      </w:r>
      <w:r w:rsidR="00C63E42" w:rsidRPr="004242E1">
        <w:rPr>
          <w:szCs w:val="24"/>
        </w:rPr>
        <w:t xml:space="preserve"> </w:t>
      </w:r>
      <w:r w:rsidR="00A30508" w:rsidRPr="004242E1">
        <w:rPr>
          <w:szCs w:val="24"/>
        </w:rPr>
        <w:t>un</w:t>
      </w:r>
      <w:r w:rsidR="000D76FE" w:rsidRPr="004242E1">
        <w:rPr>
          <w:szCs w:val="24"/>
        </w:rPr>
        <w:t xml:space="preserve"> </w:t>
      </w:r>
      <w:r w:rsidR="0089266B">
        <w:rPr>
          <w:szCs w:val="24"/>
        </w:rPr>
        <w:t xml:space="preserve">attaisnota. </w:t>
      </w:r>
      <w:r w:rsidRPr="004242E1">
        <w:rPr>
          <w:szCs w:val="24"/>
        </w:rPr>
        <w:t xml:space="preserve"> </w:t>
      </w:r>
      <w:r w:rsidR="004713ED">
        <w:rPr>
          <w:szCs w:val="24"/>
        </w:rPr>
        <w:t xml:space="preserve"> </w:t>
      </w:r>
    </w:p>
    <w:p w14:paraId="240886BA" w14:textId="77777777" w:rsidR="00EE2EB7" w:rsidRPr="004242E1" w:rsidRDefault="00EE2EB7" w:rsidP="004F7526">
      <w:pPr>
        <w:spacing w:after="0" w:line="276" w:lineRule="auto"/>
        <w:ind w:firstLine="720"/>
        <w:jc w:val="both"/>
        <w:rPr>
          <w:szCs w:val="24"/>
        </w:rPr>
      </w:pPr>
    </w:p>
    <w:p w14:paraId="7CC3D9EA" w14:textId="76D125C7" w:rsidR="00413D8D" w:rsidRPr="004242E1" w:rsidRDefault="000B1C5B" w:rsidP="007B7E9F">
      <w:pPr>
        <w:tabs>
          <w:tab w:val="left" w:pos="6096"/>
        </w:tabs>
        <w:spacing w:after="0" w:line="276" w:lineRule="auto"/>
        <w:ind w:firstLine="720"/>
        <w:jc w:val="both"/>
      </w:pPr>
      <w:r w:rsidRPr="004242E1">
        <w:rPr>
          <w:szCs w:val="24"/>
        </w:rPr>
        <w:t>[</w:t>
      </w:r>
      <w:r w:rsidR="00592525" w:rsidRPr="004242E1">
        <w:rPr>
          <w:szCs w:val="24"/>
        </w:rPr>
        <w:t>2</w:t>
      </w:r>
      <w:r w:rsidR="006E79BF" w:rsidRPr="004242E1">
        <w:rPr>
          <w:szCs w:val="24"/>
        </w:rPr>
        <w:t xml:space="preserve">] </w:t>
      </w:r>
      <w:bookmarkStart w:id="0" w:name="_Hlk49267293"/>
      <w:r w:rsidR="00DE1D46">
        <w:t xml:space="preserve">Pirmstiesas kriminālprocesā </w:t>
      </w:r>
      <w:r w:rsidR="00D57EB7">
        <w:t>[pers. A]</w:t>
      </w:r>
      <w:r w:rsidR="00C97360">
        <w:t xml:space="preserve"> </w:t>
      </w:r>
      <w:bookmarkEnd w:id="0"/>
      <w:r w:rsidR="00DE1D46">
        <w:t xml:space="preserve">celta apsūdzība </w:t>
      </w:r>
      <w:r w:rsidR="00E27CE7" w:rsidRPr="004242E1">
        <w:t xml:space="preserve">pēc Krimināllikuma </w:t>
      </w:r>
      <w:proofErr w:type="gramStart"/>
      <w:r w:rsidR="00EE2EB7" w:rsidRPr="004242E1">
        <w:t>2</w:t>
      </w:r>
      <w:r w:rsidR="00C97360">
        <w:t>53</w:t>
      </w:r>
      <w:r w:rsidR="00EE2EB7" w:rsidRPr="004242E1">
        <w:t>.panta</w:t>
      </w:r>
      <w:proofErr w:type="gramEnd"/>
      <w:r w:rsidR="00EE2EB7" w:rsidRPr="004242E1">
        <w:t xml:space="preserve"> pirmās daļas</w:t>
      </w:r>
      <w:r w:rsidR="00C97360">
        <w:t xml:space="preserve"> </w:t>
      </w:r>
      <w:r w:rsidR="00DE1D46">
        <w:t xml:space="preserve">par psihotropo vielu neatļautu iegādāšanos un glabāšanu </w:t>
      </w:r>
      <w:r w:rsidR="00CC295A">
        <w:t>bez nolūka to realizēt.</w:t>
      </w:r>
    </w:p>
    <w:p w14:paraId="501D46FB" w14:textId="77777777" w:rsidR="000B1C5B" w:rsidRPr="004242E1" w:rsidRDefault="000B1C5B" w:rsidP="000B1C5B">
      <w:pPr>
        <w:spacing w:after="0" w:line="276" w:lineRule="auto"/>
        <w:ind w:firstLine="720"/>
        <w:jc w:val="both"/>
        <w:rPr>
          <w:szCs w:val="24"/>
        </w:rPr>
      </w:pPr>
    </w:p>
    <w:p w14:paraId="1AEBA203" w14:textId="3385B08E" w:rsidR="006957AB" w:rsidRDefault="000B1C5B" w:rsidP="008F602A">
      <w:pPr>
        <w:autoSpaceDE w:val="0"/>
        <w:autoSpaceDN w:val="0"/>
        <w:adjustRightInd w:val="0"/>
        <w:spacing w:after="0" w:line="276" w:lineRule="auto"/>
        <w:ind w:firstLine="720"/>
        <w:jc w:val="both"/>
      </w:pPr>
      <w:r w:rsidRPr="004242E1">
        <w:rPr>
          <w:rFonts w:cs="Times New Roman"/>
          <w:szCs w:val="24"/>
        </w:rPr>
        <w:t>[</w:t>
      </w:r>
      <w:r w:rsidR="00592525" w:rsidRPr="004242E1">
        <w:rPr>
          <w:rFonts w:cs="Times New Roman"/>
          <w:szCs w:val="24"/>
        </w:rPr>
        <w:t>3</w:t>
      </w:r>
      <w:r w:rsidRPr="004242E1">
        <w:rPr>
          <w:rFonts w:cs="Times New Roman"/>
          <w:szCs w:val="24"/>
        </w:rPr>
        <w:t>]</w:t>
      </w:r>
      <w:r w:rsidR="00263F3C" w:rsidRPr="004242E1">
        <w:t xml:space="preserve"> </w:t>
      </w:r>
      <w:r w:rsidR="00562B8D">
        <w:t>Zemgales apgabaltiesa, izskatot lietu apelācijas kārtībā sakarā ar Aizkraukles rajona prokuratūras prokurores S. </w:t>
      </w:r>
      <w:proofErr w:type="spellStart"/>
      <w:r w:rsidR="00562B8D">
        <w:t>Hščanovičas</w:t>
      </w:r>
      <w:proofErr w:type="spellEnd"/>
      <w:r w:rsidR="00562B8D">
        <w:t xml:space="preserve"> apelācijas protestu, ar </w:t>
      </w:r>
      <w:proofErr w:type="gramStart"/>
      <w:r w:rsidR="00562B8D">
        <w:t>2019.gada</w:t>
      </w:r>
      <w:proofErr w:type="gramEnd"/>
      <w:r w:rsidR="00562B8D">
        <w:t xml:space="preserve"> 30.aprīļa lēmumu nolēma Zemgales rajona tiesas 2019.gada 5.februāra spriedumu atstāt negrozītu.</w:t>
      </w:r>
    </w:p>
    <w:p w14:paraId="28FE7FAA" w14:textId="77777777" w:rsidR="00C97360" w:rsidRDefault="00C97360" w:rsidP="008F602A">
      <w:pPr>
        <w:autoSpaceDE w:val="0"/>
        <w:autoSpaceDN w:val="0"/>
        <w:adjustRightInd w:val="0"/>
        <w:spacing w:after="0" w:line="276" w:lineRule="auto"/>
        <w:ind w:firstLine="720"/>
        <w:jc w:val="both"/>
      </w:pPr>
    </w:p>
    <w:p w14:paraId="785372AA" w14:textId="33D66D99" w:rsidR="00C97360" w:rsidRDefault="004713ED" w:rsidP="008F602A">
      <w:pPr>
        <w:autoSpaceDE w:val="0"/>
        <w:autoSpaceDN w:val="0"/>
        <w:adjustRightInd w:val="0"/>
        <w:spacing w:after="0" w:line="276" w:lineRule="auto"/>
        <w:ind w:firstLine="720"/>
        <w:jc w:val="both"/>
      </w:pPr>
      <w:r>
        <w:t xml:space="preserve">[4] Ar </w:t>
      </w:r>
      <w:r w:rsidR="00C97360">
        <w:t xml:space="preserve">Senāta </w:t>
      </w:r>
      <w:proofErr w:type="gramStart"/>
      <w:r w:rsidR="00C97360">
        <w:t>2019.g</w:t>
      </w:r>
      <w:r w:rsidR="00850C83">
        <w:t>a</w:t>
      </w:r>
      <w:r w:rsidR="00C97360">
        <w:t>da</w:t>
      </w:r>
      <w:proofErr w:type="gramEnd"/>
      <w:r w:rsidR="00C97360">
        <w:t xml:space="preserve"> 20.decembra lēmumu nolemts atcelt pilnībā Zemgales apgabaltiesas</w:t>
      </w:r>
      <w:r w:rsidR="00850C83">
        <w:t xml:space="preserve"> 2019.gada 30.aprīļa</w:t>
      </w:r>
      <w:r w:rsidR="00C97360">
        <w:t xml:space="preserve"> lēmumu, nosūtot lietu jaunai izskatīšanai Zemgales apgabaltiesā. </w:t>
      </w:r>
    </w:p>
    <w:p w14:paraId="7D71E4F6" w14:textId="77777777" w:rsidR="00C97360" w:rsidRDefault="00C97360" w:rsidP="008F602A">
      <w:pPr>
        <w:autoSpaceDE w:val="0"/>
        <w:autoSpaceDN w:val="0"/>
        <w:adjustRightInd w:val="0"/>
        <w:spacing w:after="0" w:line="276" w:lineRule="auto"/>
        <w:ind w:firstLine="720"/>
        <w:jc w:val="both"/>
      </w:pPr>
    </w:p>
    <w:p w14:paraId="127AA39D" w14:textId="25A95F25" w:rsidR="00C97360" w:rsidRDefault="00C97360" w:rsidP="008F602A">
      <w:pPr>
        <w:autoSpaceDE w:val="0"/>
        <w:autoSpaceDN w:val="0"/>
        <w:adjustRightInd w:val="0"/>
        <w:spacing w:after="0" w:line="276" w:lineRule="auto"/>
        <w:ind w:firstLine="720"/>
        <w:jc w:val="both"/>
      </w:pPr>
      <w:r>
        <w:t>[5] Zemgales apgabaltiesa, izskatot lietu apelācijas kārtībā sakarā ar Aizkraukles rajona prokuratūras prokurores S. </w:t>
      </w:r>
      <w:proofErr w:type="spellStart"/>
      <w:r>
        <w:t>Hščanovičas</w:t>
      </w:r>
      <w:proofErr w:type="spellEnd"/>
      <w:r>
        <w:t xml:space="preserve"> apelācijas protestu, ar </w:t>
      </w:r>
      <w:proofErr w:type="gramStart"/>
      <w:r>
        <w:t>2020.gada</w:t>
      </w:r>
      <w:proofErr w:type="gramEnd"/>
      <w:r>
        <w:t xml:space="preserve"> 14.septembra </w:t>
      </w:r>
      <w:r w:rsidR="000F32F1">
        <w:t>spriedumu</w:t>
      </w:r>
      <w:r>
        <w:t xml:space="preserve"> nolēma Zemgales rajona tiesas 2019.gada 5.februāra spriedumu atcelt. </w:t>
      </w:r>
    </w:p>
    <w:p w14:paraId="01355591" w14:textId="0143D5BB" w:rsidR="00C97360" w:rsidRPr="004242E1" w:rsidRDefault="00D57EB7" w:rsidP="008F602A">
      <w:pPr>
        <w:autoSpaceDE w:val="0"/>
        <w:autoSpaceDN w:val="0"/>
        <w:adjustRightInd w:val="0"/>
        <w:spacing w:after="0" w:line="276" w:lineRule="auto"/>
        <w:ind w:firstLine="720"/>
        <w:jc w:val="both"/>
        <w:rPr>
          <w:szCs w:val="24"/>
        </w:rPr>
      </w:pPr>
      <w:r>
        <w:t>[Pers. A]</w:t>
      </w:r>
      <w:r w:rsidR="00C97360">
        <w:t xml:space="preserve"> atzīta par </w:t>
      </w:r>
      <w:r w:rsidR="00562B8D">
        <w:rPr>
          <w:szCs w:val="24"/>
        </w:rPr>
        <w:t>ne</w:t>
      </w:r>
      <w:r w:rsidR="00562B8D" w:rsidRPr="004242E1">
        <w:rPr>
          <w:szCs w:val="24"/>
        </w:rPr>
        <w:t xml:space="preserve">vainīgu Krimināllikuma </w:t>
      </w:r>
      <w:proofErr w:type="gramStart"/>
      <w:r w:rsidR="00562B8D">
        <w:rPr>
          <w:szCs w:val="24"/>
        </w:rPr>
        <w:t>253.panta</w:t>
      </w:r>
      <w:proofErr w:type="gramEnd"/>
      <w:r w:rsidR="00562B8D">
        <w:rPr>
          <w:szCs w:val="24"/>
        </w:rPr>
        <w:t xml:space="preserve"> pirmajā daļā</w:t>
      </w:r>
      <w:r w:rsidR="00562B8D" w:rsidRPr="004242E1">
        <w:rPr>
          <w:szCs w:val="24"/>
        </w:rPr>
        <w:t xml:space="preserve"> paredzētajā noziedzīgajā nodarījumā un </w:t>
      </w:r>
      <w:r w:rsidR="00562B8D">
        <w:rPr>
          <w:szCs w:val="24"/>
        </w:rPr>
        <w:t xml:space="preserve">attaisnota. </w:t>
      </w:r>
      <w:r w:rsidR="00562B8D" w:rsidRPr="004242E1">
        <w:rPr>
          <w:szCs w:val="24"/>
        </w:rPr>
        <w:t xml:space="preserve"> </w:t>
      </w:r>
    </w:p>
    <w:p w14:paraId="40EE2182" w14:textId="77777777" w:rsidR="007E192F" w:rsidRPr="004242E1" w:rsidRDefault="007E192F" w:rsidP="007E192F">
      <w:pPr>
        <w:autoSpaceDE w:val="0"/>
        <w:autoSpaceDN w:val="0"/>
        <w:adjustRightInd w:val="0"/>
        <w:spacing w:after="0" w:line="276" w:lineRule="auto"/>
        <w:jc w:val="both"/>
        <w:rPr>
          <w:szCs w:val="24"/>
        </w:rPr>
      </w:pPr>
    </w:p>
    <w:p w14:paraId="61D9A8C2" w14:textId="77777777" w:rsidR="005F7297" w:rsidRPr="004242E1" w:rsidRDefault="005F7297" w:rsidP="005F7297">
      <w:pPr>
        <w:autoSpaceDE w:val="0"/>
        <w:autoSpaceDN w:val="0"/>
        <w:adjustRightInd w:val="0"/>
        <w:spacing w:after="0" w:line="276" w:lineRule="auto"/>
        <w:ind w:firstLine="720"/>
        <w:jc w:val="both"/>
      </w:pPr>
      <w:r w:rsidRPr="004242E1">
        <w:rPr>
          <w:szCs w:val="24"/>
        </w:rPr>
        <w:t>[</w:t>
      </w:r>
      <w:r>
        <w:rPr>
          <w:szCs w:val="24"/>
        </w:rPr>
        <w:t>6</w:t>
      </w:r>
      <w:r w:rsidRPr="004242E1">
        <w:rPr>
          <w:szCs w:val="24"/>
        </w:rPr>
        <w:t>] </w:t>
      </w:r>
      <w:r w:rsidRPr="004242E1">
        <w:rPr>
          <w:rFonts w:cs="Times New Roman"/>
          <w:szCs w:val="24"/>
        </w:rPr>
        <w:t>Par</w:t>
      </w:r>
      <w:r w:rsidRPr="004242E1">
        <w:t xml:space="preserve"> </w:t>
      </w:r>
      <w:r>
        <w:rPr>
          <w:szCs w:val="24"/>
        </w:rPr>
        <w:t>Zemgales</w:t>
      </w:r>
      <w:r w:rsidRPr="004242E1">
        <w:rPr>
          <w:szCs w:val="24"/>
        </w:rPr>
        <w:t xml:space="preserve"> apgabaltiesas </w:t>
      </w:r>
      <w:proofErr w:type="gramStart"/>
      <w:r w:rsidRPr="004242E1">
        <w:rPr>
          <w:szCs w:val="24"/>
        </w:rPr>
        <w:t>2020.gada</w:t>
      </w:r>
      <w:proofErr w:type="gramEnd"/>
      <w:r w:rsidRPr="004242E1">
        <w:rPr>
          <w:szCs w:val="24"/>
        </w:rPr>
        <w:t xml:space="preserve"> </w:t>
      </w:r>
      <w:r>
        <w:rPr>
          <w:szCs w:val="24"/>
        </w:rPr>
        <w:t>14.septembra spriedumu</w:t>
      </w:r>
      <w:r w:rsidRPr="004242E1">
        <w:rPr>
          <w:szCs w:val="24"/>
        </w:rPr>
        <w:t xml:space="preserve"> kasācijas </w:t>
      </w:r>
      <w:r>
        <w:rPr>
          <w:szCs w:val="24"/>
        </w:rPr>
        <w:t>protestu iesniegusi prokurore S. </w:t>
      </w:r>
      <w:proofErr w:type="spellStart"/>
      <w:r>
        <w:rPr>
          <w:szCs w:val="24"/>
        </w:rPr>
        <w:t>Hščanoviča</w:t>
      </w:r>
      <w:proofErr w:type="spellEnd"/>
      <w:r>
        <w:rPr>
          <w:szCs w:val="24"/>
        </w:rPr>
        <w:t>, kura lūdz</w:t>
      </w:r>
      <w:r w:rsidRPr="004242E1">
        <w:rPr>
          <w:szCs w:val="24"/>
        </w:rPr>
        <w:t xml:space="preserve"> atcelt</w:t>
      </w:r>
      <w:r>
        <w:rPr>
          <w:szCs w:val="24"/>
        </w:rPr>
        <w:t xml:space="preserve"> Zemgales apgabaltiesas spriedumu un nosūtīt lietu jaunai izskatīšanai apelācijas instances tiesā. </w:t>
      </w:r>
    </w:p>
    <w:p w14:paraId="762C1535" w14:textId="77777777" w:rsidR="005F7297" w:rsidRPr="004242E1" w:rsidRDefault="005F7297" w:rsidP="005F7297">
      <w:pPr>
        <w:autoSpaceDE w:val="0"/>
        <w:autoSpaceDN w:val="0"/>
        <w:adjustRightInd w:val="0"/>
        <w:spacing w:after="0" w:line="276" w:lineRule="auto"/>
        <w:ind w:firstLine="720"/>
        <w:jc w:val="both"/>
      </w:pPr>
      <w:r w:rsidRPr="004242E1">
        <w:t xml:space="preserve">Kasācijas </w:t>
      </w:r>
      <w:r>
        <w:t xml:space="preserve">protests pamatots </w:t>
      </w:r>
      <w:r w:rsidRPr="004242E1">
        <w:t>ar šādiem argumentiem.</w:t>
      </w:r>
    </w:p>
    <w:p w14:paraId="14368054" w14:textId="77777777" w:rsidR="005F7297" w:rsidRDefault="005F7297" w:rsidP="005F7297">
      <w:pPr>
        <w:autoSpaceDE w:val="0"/>
        <w:autoSpaceDN w:val="0"/>
        <w:adjustRightInd w:val="0"/>
        <w:spacing w:after="0" w:line="276" w:lineRule="auto"/>
        <w:ind w:firstLine="720"/>
        <w:jc w:val="both"/>
      </w:pPr>
      <w:r w:rsidRPr="003B229E">
        <w:lastRenderedPageBreak/>
        <w:t>[</w:t>
      </w:r>
      <w:r>
        <w:t>6</w:t>
      </w:r>
      <w:r w:rsidRPr="003B229E">
        <w:t>.1] </w:t>
      </w:r>
      <w:r>
        <w:t>Zemgales apgabaltiesa ir pieļāvusi Kriminālprocesa likuma 574.panta 2.punktā norādīto pārkāpumu – Krimināllikuma panta, tā daļas vai punkta nepareiza piemērošana, kvalificējot noziedzīgu nodarījumu. Tāpat tiesa pieļāvusi Kriminālprocesa likuma 128.panta otrās un trešās daļas, 511.panta otrās daļas, 512.panta otrās daļas, 525.panta otrās daļas 2., 3.punkta, 564.panta ceturtās daļas pārkāpumus, kas atzīstami par Kriminālprocesa likuma būtiskiem pārkāpumiem šā likuma 575.panta trešās daļas izpratnē.</w:t>
      </w:r>
    </w:p>
    <w:p w14:paraId="09E5C38D" w14:textId="1E0F3C02" w:rsidR="005F7297" w:rsidRDefault="005F7297" w:rsidP="005F7297">
      <w:pPr>
        <w:autoSpaceDE w:val="0"/>
        <w:autoSpaceDN w:val="0"/>
        <w:adjustRightInd w:val="0"/>
        <w:spacing w:after="0" w:line="276" w:lineRule="auto"/>
        <w:ind w:firstLine="720"/>
        <w:jc w:val="both"/>
      </w:pPr>
      <w:r>
        <w:t xml:space="preserve">[6.2] Apelācijas instances tiesa nepamatoti atzinusi, ka saskaņā ar Kriminālprocesa likuma </w:t>
      </w:r>
      <w:proofErr w:type="gramStart"/>
      <w:r>
        <w:t>130.pantu</w:t>
      </w:r>
      <w:proofErr w:type="gramEnd"/>
      <w:r>
        <w:t xml:space="preserve"> ziņas par faktiem, kuras, </w:t>
      </w:r>
      <w:r w:rsidR="00D57EB7">
        <w:t>[pers. B]</w:t>
      </w:r>
      <w:r>
        <w:t xml:space="preserve"> veicot </w:t>
      </w:r>
      <w:r w:rsidR="000044DF">
        <w:t>telefon</w:t>
      </w:r>
      <w:r>
        <w:t xml:space="preserve">sarunas ierakstu, iegūtas no </w:t>
      </w:r>
      <w:r w:rsidR="00D57EB7">
        <w:t>[pers. A]</w:t>
      </w:r>
      <w:r>
        <w:t xml:space="preserve">, ir nepieļaujamas un pierādīšanā nav izmantojamas, jo pārkāpts viens no kriminālprocesa pamatprincipiem – tiesības uz aizstāvību. </w:t>
      </w:r>
    </w:p>
    <w:p w14:paraId="4E8BB211" w14:textId="1118325D" w:rsidR="005F7297" w:rsidRDefault="005F7297" w:rsidP="005F7297">
      <w:pPr>
        <w:autoSpaceDE w:val="0"/>
        <w:autoSpaceDN w:val="0"/>
        <w:adjustRightInd w:val="0"/>
        <w:spacing w:after="0" w:line="276" w:lineRule="auto"/>
        <w:ind w:firstLine="720"/>
        <w:jc w:val="both"/>
      </w:pPr>
      <w:r>
        <w:t xml:space="preserve">Tiesa atzinusi, ka pārkāptas </w:t>
      </w:r>
      <w:r w:rsidR="00D57EB7">
        <w:t>[pers. A]</w:t>
      </w:r>
      <w:r>
        <w:t xml:space="preserve"> tiesības izvēlēties savu aizstāvības pozīciju un sevi neaprunāt, kā arī tiesības atteikties liecināt. Tiesas ieskatā </w:t>
      </w:r>
      <w:r w:rsidR="00D57EB7">
        <w:t>[pers. B]</w:t>
      </w:r>
      <w:r>
        <w:t xml:space="preserve"> veicis slepenu </w:t>
      </w:r>
      <w:r w:rsidR="000044DF">
        <w:t>telefon</w:t>
      </w:r>
      <w:r>
        <w:t xml:space="preserve">sarunas ierakstu, neinformējot </w:t>
      </w:r>
      <w:r w:rsidR="00D57EB7">
        <w:t>[pers. A]</w:t>
      </w:r>
      <w:r>
        <w:t xml:space="preserve"> par viņas statusu un to</w:t>
      </w:r>
      <w:r w:rsidR="00626210">
        <w:t xml:space="preserve">, ka saruna tiek ierakstīta. </w:t>
      </w:r>
      <w:r w:rsidR="00D57EB7">
        <w:t>[Pers. B]</w:t>
      </w:r>
      <w:r>
        <w:t xml:space="preserve"> nav informējis, ka sarunā teikto turpmāk varētu izmantot viņas vainīguma pierādīšanā. Pēc veiktā </w:t>
      </w:r>
      <w:r w:rsidR="000044DF">
        <w:t>telefon</w:t>
      </w:r>
      <w:r>
        <w:t xml:space="preserve">sarunas ieraksta </w:t>
      </w:r>
      <w:r w:rsidR="00D57EB7">
        <w:t>[pers. A]</w:t>
      </w:r>
      <w:r>
        <w:t xml:space="preserve"> ar to netika iepazīstināta. </w:t>
      </w:r>
    </w:p>
    <w:p w14:paraId="603B18B4" w14:textId="5A15D264" w:rsidR="005F7297" w:rsidRDefault="005F7297" w:rsidP="005F7297">
      <w:pPr>
        <w:autoSpaceDE w:val="0"/>
        <w:autoSpaceDN w:val="0"/>
        <w:adjustRightInd w:val="0"/>
        <w:spacing w:after="0" w:line="276" w:lineRule="auto"/>
        <w:ind w:firstLine="720"/>
        <w:jc w:val="both"/>
      </w:pPr>
      <w:r>
        <w:t xml:space="preserve">Konkrētajā lietā nav konstatēts, ka, iegūstot ziņas par faktiem telefonsarunas laikā ar </w:t>
      </w:r>
      <w:r w:rsidR="00D57EB7">
        <w:t>[pers. A]</w:t>
      </w:r>
      <w:r>
        <w:t xml:space="preserve">, izdarīts spiediens uz apsūdzēto vai veikta mērķtiecīga pratināšanai līdzīga iztaujāšana, neatklājot izmeklēšanas nolūkus, lai izvilinātu </w:t>
      </w:r>
      <w:proofErr w:type="spellStart"/>
      <w:r>
        <w:t>pašapsūdzošas</w:t>
      </w:r>
      <w:proofErr w:type="spellEnd"/>
      <w:r>
        <w:t xml:space="preserve"> liecības. To pierāda fakts, ka telefonsaruna notikusi </w:t>
      </w:r>
      <w:proofErr w:type="gramStart"/>
      <w:r>
        <w:t>2016.gada</w:t>
      </w:r>
      <w:proofErr w:type="gramEnd"/>
      <w:r>
        <w:t xml:space="preserve"> 30.novembrī – brīdī, kad nebija uzsākta ne administratīvā lietvedība, ne kriminālprocess, bet tika veikta </w:t>
      </w:r>
      <w:proofErr w:type="spellStart"/>
      <w:r>
        <w:t>resoriskā</w:t>
      </w:r>
      <w:proofErr w:type="spellEnd"/>
      <w:r>
        <w:t xml:space="preserve"> pārbaude par 201</w:t>
      </w:r>
      <w:r w:rsidR="00C15D1C">
        <w:t>6.gada 29.novembra Aizkraukles N</w:t>
      </w:r>
      <w:r>
        <w:t xml:space="preserve">eatliekamās medicīniskās palīdzības dienesta telefonisko ziņojumu. Turklāt policijas darbiniekam nebija informācijas par to, ka </w:t>
      </w:r>
      <w:r w:rsidR="00626210">
        <w:t>me</w:t>
      </w:r>
      <w:r w:rsidR="001975E1">
        <w:t>dikamenti</w:t>
      </w:r>
      <w:r>
        <w:t xml:space="preserve"> </w:t>
      </w:r>
      <w:proofErr w:type="spellStart"/>
      <w:r w:rsidRPr="00F2262C">
        <w:rPr>
          <w:i/>
        </w:rPr>
        <w:t>Somnols</w:t>
      </w:r>
      <w:proofErr w:type="spellEnd"/>
      <w:r w:rsidRPr="00F2262C">
        <w:rPr>
          <w:i/>
        </w:rPr>
        <w:t xml:space="preserve"> </w:t>
      </w:r>
      <w:proofErr w:type="spellStart"/>
      <w:r w:rsidRPr="00F2262C">
        <w:rPr>
          <w:i/>
        </w:rPr>
        <w:t>Zopiclonum</w:t>
      </w:r>
      <w:proofErr w:type="spellEnd"/>
      <w:r>
        <w:t xml:space="preserve"> 7,5 mg satur </w:t>
      </w:r>
      <w:proofErr w:type="spellStart"/>
      <w:r>
        <w:t>zopiklonu</w:t>
      </w:r>
      <w:proofErr w:type="spellEnd"/>
      <w:r>
        <w:t xml:space="preserve">, kas ir psihotropā viela. </w:t>
      </w:r>
    </w:p>
    <w:p w14:paraId="562FAC1F" w14:textId="4D3E12E2" w:rsidR="005F7297" w:rsidRDefault="005F7297" w:rsidP="005F7297">
      <w:pPr>
        <w:autoSpaceDE w:val="0"/>
        <w:autoSpaceDN w:val="0"/>
        <w:adjustRightInd w:val="0"/>
        <w:spacing w:after="0" w:line="276" w:lineRule="auto"/>
        <w:ind w:firstLine="720"/>
        <w:jc w:val="both"/>
      </w:pPr>
      <w:r>
        <w:t xml:space="preserve">Pabeidzot pirmstiesas kriminālprocesu, </w:t>
      </w:r>
      <w:r w:rsidR="00D57EB7">
        <w:t>[pers. A]</w:t>
      </w:r>
      <w:r>
        <w:t xml:space="preserve"> tika nodrošināta iespēja iepazīties ar lietas materiāliem, tajā skaitā telefonsarunas audioierakstu. Turklāt tiesas izmeklēšanas laikā pirmās instances tiesā audioieraksts tika atskaņots un apsūdzētā </w:t>
      </w:r>
      <w:r w:rsidR="00D57EB7">
        <w:t>[pers. A]</w:t>
      </w:r>
      <w:r>
        <w:t xml:space="preserve"> apstiprināja šajā sarunā dzirdamās ziņas par faktiem, līdz ar to viņai bija nodrošināta iespēja pret tiem aizstāvēties. </w:t>
      </w:r>
    </w:p>
    <w:p w14:paraId="7DEB0F54" w14:textId="2C3CFDAF" w:rsidR="005F7297" w:rsidRPr="00B36440" w:rsidRDefault="005F7297" w:rsidP="005F7297">
      <w:pPr>
        <w:autoSpaceDE w:val="0"/>
        <w:autoSpaceDN w:val="0"/>
        <w:adjustRightInd w:val="0"/>
        <w:spacing w:after="0" w:line="276" w:lineRule="auto"/>
        <w:ind w:firstLine="720"/>
        <w:jc w:val="both"/>
      </w:pPr>
      <w:r>
        <w:rPr>
          <w:bCs/>
        </w:rPr>
        <w:t xml:space="preserve">Policijas darbinieks </w:t>
      </w:r>
      <w:r w:rsidR="00D57EB7">
        <w:rPr>
          <w:bCs/>
        </w:rPr>
        <w:t>[pers. B]</w:t>
      </w:r>
      <w:r>
        <w:rPr>
          <w:bCs/>
        </w:rPr>
        <w:t xml:space="preserve">, pildot savus dienesta pienākumus, ir instalējis savā tālrunī programmu, kas ieraksta visas sarunas. Šādā veidā ierakstīta arī telefonsaruna ar </w:t>
      </w:r>
      <w:r w:rsidR="00D57EB7">
        <w:rPr>
          <w:bCs/>
        </w:rPr>
        <w:t>[pers. A]</w:t>
      </w:r>
      <w:r>
        <w:t xml:space="preserve">, kura iesniegta procesa virzītājam, kurš veicis darbības pierādījuma nostiprināšanai. Sarunas ieraksts pilnībā saskan ar </w:t>
      </w:r>
      <w:r w:rsidR="00D57EB7">
        <w:t>[pers. B]</w:t>
      </w:r>
      <w:r>
        <w:t xml:space="preserve"> sniegto liecību pirmstiesas procesā un tiesas izmeklēšanā, kā arī ar viņa dienesta ziņojumā norādīto.  </w:t>
      </w:r>
    </w:p>
    <w:p w14:paraId="3DB80333" w14:textId="17B03195" w:rsidR="005F7297" w:rsidRDefault="005F7297" w:rsidP="005F7297">
      <w:pPr>
        <w:autoSpaceDE w:val="0"/>
        <w:autoSpaceDN w:val="0"/>
        <w:adjustRightInd w:val="0"/>
        <w:spacing w:after="0" w:line="276" w:lineRule="auto"/>
        <w:ind w:firstLine="720"/>
        <w:jc w:val="both"/>
        <w:rPr>
          <w:bCs/>
        </w:rPr>
      </w:pPr>
      <w:r>
        <w:rPr>
          <w:bCs/>
        </w:rPr>
        <w:t xml:space="preserve">Tiesas atzinums, ka </w:t>
      </w:r>
      <w:r w:rsidR="00D57EB7">
        <w:rPr>
          <w:bCs/>
        </w:rPr>
        <w:t>[pers. A]</w:t>
      </w:r>
      <w:r>
        <w:rPr>
          <w:bCs/>
        </w:rPr>
        <w:t xml:space="preserve"> nav apstiprinājusi liecinieka </w:t>
      </w:r>
      <w:r w:rsidR="00D57EB7">
        <w:rPr>
          <w:bCs/>
        </w:rPr>
        <w:t>[pers. B]</w:t>
      </w:r>
      <w:r>
        <w:rPr>
          <w:bCs/>
        </w:rPr>
        <w:t xml:space="preserve"> liecībā sniegtās ziņas, proti, ka apsūdzētā būtu lūgusi māsai, lai māsas ģimenes ārsts izraksta priekš </w:t>
      </w:r>
      <w:r w:rsidR="00D57EB7">
        <w:rPr>
          <w:bCs/>
        </w:rPr>
        <w:t>[pers. A]</w:t>
      </w:r>
      <w:r>
        <w:rPr>
          <w:bCs/>
        </w:rPr>
        <w:t xml:space="preserve"> apsūdzībā norādītās zāles, neatbilst apsūdzētās tiesas izmeklēšanā sniegtajām liecībām un pārbaudītajiem pierādījumiem. </w:t>
      </w:r>
    </w:p>
    <w:p w14:paraId="575F94C4" w14:textId="0C6E2E77" w:rsidR="005F7297" w:rsidRDefault="005F7297" w:rsidP="005F7297">
      <w:pPr>
        <w:autoSpaceDE w:val="0"/>
        <w:autoSpaceDN w:val="0"/>
        <w:adjustRightInd w:val="0"/>
        <w:spacing w:after="0" w:line="276" w:lineRule="auto"/>
        <w:ind w:firstLine="720"/>
        <w:jc w:val="both"/>
        <w:rPr>
          <w:bCs/>
        </w:rPr>
      </w:pPr>
      <w:r>
        <w:rPr>
          <w:bCs/>
        </w:rPr>
        <w:t xml:space="preserve">[6.3] Apelācijas instances tiesa nepamatoti atzinusi, ka </w:t>
      </w:r>
      <w:r w:rsidR="00D57EB7">
        <w:rPr>
          <w:bCs/>
        </w:rPr>
        <w:t>[pers. A]</w:t>
      </w:r>
      <w:r>
        <w:rPr>
          <w:bCs/>
        </w:rPr>
        <w:t xml:space="preserve"> nodarījumā nav noziedzīgā nodarījuma sastāva subjektīvās puses. </w:t>
      </w:r>
    </w:p>
    <w:p w14:paraId="08DB09DC" w14:textId="77777777" w:rsidR="005F7297" w:rsidRDefault="005F7297" w:rsidP="005F7297">
      <w:pPr>
        <w:autoSpaceDE w:val="0"/>
        <w:autoSpaceDN w:val="0"/>
        <w:adjustRightInd w:val="0"/>
        <w:spacing w:after="0" w:line="276" w:lineRule="auto"/>
        <w:ind w:firstLine="720"/>
        <w:jc w:val="both"/>
        <w:rPr>
          <w:bCs/>
        </w:rPr>
      </w:pPr>
      <w:r>
        <w:rPr>
          <w:bCs/>
        </w:rPr>
        <w:t xml:space="preserve">Apelācijas instances tiesas atzinums, ka apsūdzētā nezināja un viņai nevajadzēja zināt, ka darbības ar medikamentu </w:t>
      </w:r>
      <w:proofErr w:type="spellStart"/>
      <w:r w:rsidRPr="005429D7">
        <w:rPr>
          <w:bCs/>
          <w:i/>
        </w:rPr>
        <w:t>Somnol</w:t>
      </w:r>
      <w:proofErr w:type="spellEnd"/>
      <w:r w:rsidRPr="005429D7">
        <w:rPr>
          <w:bCs/>
          <w:i/>
        </w:rPr>
        <w:t xml:space="preserve"> </w:t>
      </w:r>
      <w:proofErr w:type="spellStart"/>
      <w:r w:rsidRPr="005429D7">
        <w:rPr>
          <w:bCs/>
          <w:i/>
        </w:rPr>
        <w:t>Zopiclonum</w:t>
      </w:r>
      <w:proofErr w:type="spellEnd"/>
      <w:r>
        <w:rPr>
          <w:bCs/>
        </w:rPr>
        <w:t xml:space="preserve"> ir aizliegtas, kā arī nezināja, ka medikamenti satur psihotropo vielu, nevar būt par pietiekamu pamatu, lai atzītu, ka apsūdzētās darbībās nav viņai inkriminētā noziedzīgā nodarījuma sastāva. </w:t>
      </w:r>
    </w:p>
    <w:p w14:paraId="5615EA8D" w14:textId="602DB520" w:rsidR="005F7297" w:rsidRDefault="005F7297" w:rsidP="005F7297">
      <w:pPr>
        <w:autoSpaceDE w:val="0"/>
        <w:autoSpaceDN w:val="0"/>
        <w:adjustRightInd w:val="0"/>
        <w:spacing w:after="0" w:line="276" w:lineRule="auto"/>
        <w:ind w:firstLine="720"/>
        <w:jc w:val="both"/>
        <w:rPr>
          <w:bCs/>
        </w:rPr>
      </w:pPr>
      <w:r>
        <w:rPr>
          <w:bCs/>
        </w:rPr>
        <w:lastRenderedPageBreak/>
        <w:t xml:space="preserve">Apsūdzētā zināja, ka </w:t>
      </w:r>
      <w:proofErr w:type="spellStart"/>
      <w:r w:rsidRPr="005429D7">
        <w:rPr>
          <w:bCs/>
          <w:i/>
        </w:rPr>
        <w:t>Somnol</w:t>
      </w:r>
      <w:proofErr w:type="spellEnd"/>
      <w:r w:rsidRPr="005429D7">
        <w:rPr>
          <w:bCs/>
          <w:i/>
        </w:rPr>
        <w:t xml:space="preserve"> </w:t>
      </w:r>
      <w:proofErr w:type="spellStart"/>
      <w:r w:rsidRPr="005429D7">
        <w:rPr>
          <w:bCs/>
          <w:i/>
        </w:rPr>
        <w:t>Zopiclonum</w:t>
      </w:r>
      <w:proofErr w:type="spellEnd"/>
      <w:r>
        <w:rPr>
          <w:bCs/>
        </w:rPr>
        <w:t xml:space="preserve"> ir miega zāles un recepšu medikaments, līdz ar to viņai nebija tiesību tās iegūt savā valdījumā un glabāt. Prokurore uzskata, ka nav nepieciešams, lai apsūdzētā konkrēto vielu subj</w:t>
      </w:r>
      <w:r w:rsidR="0015552F">
        <w:rPr>
          <w:bCs/>
        </w:rPr>
        <w:t>ektīvi kvalificētu kā psihotropu</w:t>
      </w:r>
      <w:r>
        <w:rPr>
          <w:bCs/>
        </w:rPr>
        <w:t xml:space="preserve"> vielu. </w:t>
      </w:r>
    </w:p>
    <w:p w14:paraId="21D414D1" w14:textId="1C41A6C5" w:rsidR="005F7297" w:rsidRDefault="005F7297" w:rsidP="005F7297">
      <w:pPr>
        <w:autoSpaceDE w:val="0"/>
        <w:autoSpaceDN w:val="0"/>
        <w:adjustRightInd w:val="0"/>
        <w:spacing w:after="0" w:line="276" w:lineRule="auto"/>
        <w:ind w:firstLine="720"/>
        <w:jc w:val="both"/>
        <w:rPr>
          <w:bCs/>
        </w:rPr>
      </w:pPr>
      <w:r>
        <w:rPr>
          <w:bCs/>
        </w:rPr>
        <w:t xml:space="preserve">Lietā konstatētie apstākļi un pārbaudītie pierādījumi norāda uz to, ka minētās darbības apsūdzētā </w:t>
      </w:r>
      <w:r w:rsidR="00D57EB7">
        <w:rPr>
          <w:bCs/>
        </w:rPr>
        <w:t>[pers. A]</w:t>
      </w:r>
      <w:r>
        <w:rPr>
          <w:bCs/>
        </w:rPr>
        <w:t xml:space="preserve"> ir veikusi tīši. No tā izriet, ka ir konstatējama arī noziedzīga nodarījuma sastāva subjektīvā puse. </w:t>
      </w:r>
    </w:p>
    <w:p w14:paraId="2570E219" w14:textId="77777777" w:rsidR="00591228" w:rsidRDefault="00591228" w:rsidP="00591228">
      <w:pPr>
        <w:autoSpaceDE w:val="0"/>
        <w:autoSpaceDN w:val="0"/>
        <w:adjustRightInd w:val="0"/>
        <w:spacing w:after="0" w:line="276" w:lineRule="auto"/>
        <w:ind w:firstLine="720"/>
        <w:jc w:val="both"/>
        <w:rPr>
          <w:bCs/>
        </w:rPr>
      </w:pPr>
    </w:p>
    <w:p w14:paraId="1DA04750" w14:textId="3FB44A67" w:rsidR="00BD7D65" w:rsidRDefault="008A7C52" w:rsidP="00591228">
      <w:pPr>
        <w:autoSpaceDE w:val="0"/>
        <w:autoSpaceDN w:val="0"/>
        <w:adjustRightInd w:val="0"/>
        <w:spacing w:after="0" w:line="276" w:lineRule="auto"/>
        <w:ind w:firstLine="720"/>
        <w:jc w:val="both"/>
      </w:pPr>
      <w:r>
        <w:rPr>
          <w:bCs/>
        </w:rPr>
        <w:t>[</w:t>
      </w:r>
      <w:r w:rsidR="00BD7D65">
        <w:rPr>
          <w:bCs/>
        </w:rPr>
        <w:t>7</w:t>
      </w:r>
      <w:r>
        <w:rPr>
          <w:bCs/>
        </w:rPr>
        <w:t xml:space="preserve">] </w:t>
      </w:r>
      <w:r w:rsidR="00BD7D65" w:rsidRPr="00153DD0">
        <w:t xml:space="preserve">Kriminālprocesa likuma 585.panta otrās daļas kārtībā </w:t>
      </w:r>
      <w:r w:rsidR="00591228">
        <w:t>prokurore S. </w:t>
      </w:r>
      <w:proofErr w:type="spellStart"/>
      <w:r w:rsidR="00591228">
        <w:t>Hščanoviča</w:t>
      </w:r>
      <w:proofErr w:type="spellEnd"/>
      <w:r w:rsidR="00591228">
        <w:t xml:space="preserve"> iesniedza </w:t>
      </w:r>
      <w:r w:rsidR="00BD7D65" w:rsidRPr="00153DD0">
        <w:t>viedokli</w:t>
      </w:r>
      <w:r w:rsidR="00591228">
        <w:t xml:space="preserve">. </w:t>
      </w:r>
    </w:p>
    <w:p w14:paraId="5A3C7C27" w14:textId="21B749E6" w:rsidR="00591228" w:rsidRPr="006E784E" w:rsidRDefault="00591228" w:rsidP="00591228">
      <w:pPr>
        <w:autoSpaceDE w:val="0"/>
        <w:autoSpaceDN w:val="0"/>
        <w:adjustRightInd w:val="0"/>
        <w:spacing w:after="0" w:line="276" w:lineRule="auto"/>
        <w:ind w:firstLine="720"/>
        <w:jc w:val="both"/>
        <w:rPr>
          <w:bCs/>
        </w:rPr>
      </w:pPr>
      <w:r w:rsidRPr="006E784E">
        <w:t xml:space="preserve">Viedoklī prokurore norādījusi </w:t>
      </w:r>
      <w:proofErr w:type="gramStart"/>
      <w:r w:rsidR="001667B0">
        <w:t xml:space="preserve">tos </w:t>
      </w:r>
      <w:r w:rsidR="008A7C52" w:rsidRPr="006E784E">
        <w:rPr>
          <w:bCs/>
        </w:rPr>
        <w:t>Eiropas Cilvēktiesību tiesas</w:t>
      </w:r>
      <w:proofErr w:type="gramEnd"/>
      <w:r w:rsidR="008A7C52" w:rsidRPr="006E784E">
        <w:rPr>
          <w:bCs/>
        </w:rPr>
        <w:t xml:space="preserve"> (turpmāk arī – ECT) </w:t>
      </w:r>
      <w:r w:rsidRPr="006E784E">
        <w:rPr>
          <w:bCs/>
        </w:rPr>
        <w:t xml:space="preserve">nolēmumus, </w:t>
      </w:r>
      <w:r w:rsidR="00631373">
        <w:rPr>
          <w:bCs/>
        </w:rPr>
        <w:t xml:space="preserve">ar kuros izteiktajām atziņām </w:t>
      </w:r>
      <w:r w:rsidR="001667B0">
        <w:rPr>
          <w:bCs/>
        </w:rPr>
        <w:t xml:space="preserve">viņa </w:t>
      </w:r>
      <w:r w:rsidR="00631373">
        <w:rPr>
          <w:bCs/>
        </w:rPr>
        <w:t>pamatojusi kasācijas protestu, bet nebija norādījusi kasācijas protestā</w:t>
      </w:r>
      <w:r w:rsidRPr="006E784E">
        <w:rPr>
          <w:bCs/>
        </w:rPr>
        <w:t xml:space="preserve">. Viedoklī </w:t>
      </w:r>
      <w:r w:rsidR="001438BF">
        <w:rPr>
          <w:bCs/>
        </w:rPr>
        <w:t xml:space="preserve">uzskaitīti </w:t>
      </w:r>
      <w:r w:rsidRPr="006E784E">
        <w:rPr>
          <w:bCs/>
        </w:rPr>
        <w:t xml:space="preserve">šādi ECT nolēmumi: </w:t>
      </w:r>
      <w:proofErr w:type="gramStart"/>
      <w:r w:rsidR="00E203BF" w:rsidRPr="006E784E">
        <w:rPr>
          <w:bCs/>
        </w:rPr>
        <w:t>1996.gada</w:t>
      </w:r>
      <w:proofErr w:type="gramEnd"/>
      <w:r w:rsidR="00E203BF" w:rsidRPr="006E784E">
        <w:rPr>
          <w:bCs/>
        </w:rPr>
        <w:t xml:space="preserve"> 8.februāra spriedums lietā</w:t>
      </w:r>
      <w:r w:rsidR="001438BF">
        <w:rPr>
          <w:bCs/>
        </w:rPr>
        <w:t xml:space="preserve"> (Lielā palāta)</w:t>
      </w:r>
      <w:r w:rsidR="00E203BF" w:rsidRPr="006E784E">
        <w:rPr>
          <w:bCs/>
        </w:rPr>
        <w:t xml:space="preserve"> „</w:t>
      </w:r>
      <w:proofErr w:type="spellStart"/>
      <w:r w:rsidR="00E203BF" w:rsidRPr="006E784E">
        <w:rPr>
          <w:bCs/>
        </w:rPr>
        <w:t>Murray</w:t>
      </w:r>
      <w:proofErr w:type="spellEnd"/>
      <w:r w:rsidR="00E203BF" w:rsidRPr="006E784E">
        <w:rPr>
          <w:bCs/>
        </w:rPr>
        <w:t xml:space="preserve"> v. </w:t>
      </w:r>
      <w:proofErr w:type="spellStart"/>
      <w:r w:rsidR="001438BF">
        <w:rPr>
          <w:bCs/>
        </w:rPr>
        <w:t>the</w:t>
      </w:r>
      <w:proofErr w:type="spellEnd"/>
      <w:r w:rsidR="001438BF">
        <w:rPr>
          <w:bCs/>
        </w:rPr>
        <w:t xml:space="preserve"> </w:t>
      </w:r>
      <w:proofErr w:type="spellStart"/>
      <w:r w:rsidR="00E203BF" w:rsidRPr="006E784E">
        <w:rPr>
          <w:bCs/>
        </w:rPr>
        <w:t>United</w:t>
      </w:r>
      <w:proofErr w:type="spellEnd"/>
      <w:r w:rsidR="00E203BF" w:rsidRPr="006E784E">
        <w:rPr>
          <w:bCs/>
        </w:rPr>
        <w:t xml:space="preserve"> </w:t>
      </w:r>
      <w:proofErr w:type="spellStart"/>
      <w:r w:rsidR="00E203BF" w:rsidRPr="006E784E">
        <w:rPr>
          <w:bCs/>
        </w:rPr>
        <w:t>Kingdom</w:t>
      </w:r>
      <w:proofErr w:type="spellEnd"/>
      <w:r w:rsidR="00E203BF" w:rsidRPr="006E784E">
        <w:rPr>
          <w:bCs/>
        </w:rPr>
        <w:t>”, iesnieguma Nr. 18731/91, 45.punkts, 2002.gada 10.septembra lēmums par lietas pieņemšanu izskatīšanai lietā „</w:t>
      </w:r>
      <w:proofErr w:type="spellStart"/>
      <w:r w:rsidR="00E203BF" w:rsidRPr="006E784E">
        <w:rPr>
          <w:bCs/>
        </w:rPr>
        <w:t>Allen</w:t>
      </w:r>
      <w:proofErr w:type="spellEnd"/>
      <w:r w:rsidR="00E203BF" w:rsidRPr="006E784E">
        <w:rPr>
          <w:bCs/>
        </w:rPr>
        <w:t xml:space="preserve"> v. </w:t>
      </w:r>
      <w:proofErr w:type="spellStart"/>
      <w:r w:rsidR="00E203BF" w:rsidRPr="006E784E">
        <w:rPr>
          <w:bCs/>
        </w:rPr>
        <w:t>the</w:t>
      </w:r>
      <w:proofErr w:type="spellEnd"/>
      <w:r w:rsidR="00E203BF" w:rsidRPr="006E784E">
        <w:rPr>
          <w:bCs/>
        </w:rPr>
        <w:t xml:space="preserve"> </w:t>
      </w:r>
      <w:proofErr w:type="spellStart"/>
      <w:r w:rsidR="00E203BF" w:rsidRPr="006E784E">
        <w:rPr>
          <w:bCs/>
        </w:rPr>
        <w:t>United</w:t>
      </w:r>
      <w:proofErr w:type="spellEnd"/>
      <w:r w:rsidR="00E203BF" w:rsidRPr="006E784E">
        <w:rPr>
          <w:bCs/>
        </w:rPr>
        <w:t xml:space="preserve"> </w:t>
      </w:r>
      <w:proofErr w:type="spellStart"/>
      <w:r w:rsidR="00E203BF" w:rsidRPr="006E784E">
        <w:rPr>
          <w:bCs/>
        </w:rPr>
        <w:t>Kingdom</w:t>
      </w:r>
      <w:proofErr w:type="spellEnd"/>
      <w:r w:rsidR="00E203BF" w:rsidRPr="006E784E">
        <w:rPr>
          <w:bCs/>
        </w:rPr>
        <w:t>”, iesniegums Nr. 76574/01, 2002.gada 5.novembra spriedums lietā „</w:t>
      </w:r>
      <w:proofErr w:type="spellStart"/>
      <w:r w:rsidR="00E203BF" w:rsidRPr="006E784E">
        <w:rPr>
          <w:bCs/>
        </w:rPr>
        <w:t>Allan</w:t>
      </w:r>
      <w:proofErr w:type="spellEnd"/>
      <w:r w:rsidR="00E203BF" w:rsidRPr="006E784E">
        <w:rPr>
          <w:bCs/>
        </w:rPr>
        <w:t xml:space="preserve"> v. </w:t>
      </w:r>
      <w:proofErr w:type="spellStart"/>
      <w:r w:rsidR="00E203BF" w:rsidRPr="006E784E">
        <w:rPr>
          <w:bCs/>
        </w:rPr>
        <w:t>the</w:t>
      </w:r>
      <w:proofErr w:type="spellEnd"/>
      <w:r w:rsidR="00E203BF" w:rsidRPr="006E784E">
        <w:rPr>
          <w:bCs/>
        </w:rPr>
        <w:t xml:space="preserve"> </w:t>
      </w:r>
      <w:proofErr w:type="spellStart"/>
      <w:r w:rsidR="00E203BF" w:rsidRPr="006E784E">
        <w:rPr>
          <w:bCs/>
        </w:rPr>
        <w:t>United</w:t>
      </w:r>
      <w:proofErr w:type="spellEnd"/>
      <w:r w:rsidR="00E203BF" w:rsidRPr="006E784E">
        <w:rPr>
          <w:bCs/>
        </w:rPr>
        <w:t xml:space="preserve"> </w:t>
      </w:r>
      <w:proofErr w:type="spellStart"/>
      <w:r w:rsidR="00E203BF" w:rsidRPr="006E784E">
        <w:rPr>
          <w:bCs/>
        </w:rPr>
        <w:t>Kingdom</w:t>
      </w:r>
      <w:proofErr w:type="spellEnd"/>
      <w:r w:rsidR="00E203BF" w:rsidRPr="006E784E">
        <w:rPr>
          <w:bCs/>
        </w:rPr>
        <w:t>”, iesniegums Nr. 48539/99, 50.</w:t>
      </w:r>
      <w:r w:rsidR="008D1C5E">
        <w:rPr>
          <w:bCs/>
        </w:rPr>
        <w:noBreakHyphen/>
      </w:r>
      <w:r w:rsidR="00E203BF" w:rsidRPr="006E784E">
        <w:rPr>
          <w:bCs/>
        </w:rPr>
        <w:t>52., 102.</w:t>
      </w:r>
      <w:r w:rsidR="008D1C5E">
        <w:rPr>
          <w:bCs/>
        </w:rPr>
        <w:noBreakHyphen/>
      </w:r>
      <w:r w:rsidR="00E203BF" w:rsidRPr="006E784E">
        <w:rPr>
          <w:bCs/>
        </w:rPr>
        <w:t>104.punkts, 2004.gada 8.aprīļa spriedums lietā „</w:t>
      </w:r>
      <w:proofErr w:type="spellStart"/>
      <w:r w:rsidR="00E203BF" w:rsidRPr="006E784E">
        <w:rPr>
          <w:bCs/>
        </w:rPr>
        <w:t>Weh</w:t>
      </w:r>
      <w:proofErr w:type="spellEnd"/>
      <w:r w:rsidR="00E203BF" w:rsidRPr="006E784E">
        <w:rPr>
          <w:bCs/>
        </w:rPr>
        <w:t xml:space="preserve"> v. </w:t>
      </w:r>
      <w:proofErr w:type="spellStart"/>
      <w:r w:rsidR="00E203BF" w:rsidRPr="006E784E">
        <w:rPr>
          <w:bCs/>
        </w:rPr>
        <w:t>Austria</w:t>
      </w:r>
      <w:proofErr w:type="spellEnd"/>
      <w:r w:rsidR="00E203BF" w:rsidRPr="006E784E">
        <w:rPr>
          <w:bCs/>
        </w:rPr>
        <w:t>”, iesniegums Nr. 38544/97, 42.</w:t>
      </w:r>
      <w:r w:rsidR="008D1C5E">
        <w:rPr>
          <w:bCs/>
        </w:rPr>
        <w:noBreakHyphen/>
      </w:r>
      <w:r w:rsidR="00E203BF" w:rsidRPr="006E784E">
        <w:rPr>
          <w:bCs/>
        </w:rPr>
        <w:t xml:space="preserve">45.punkts, </w:t>
      </w:r>
      <w:r w:rsidR="00E22E96" w:rsidRPr="006E784E">
        <w:rPr>
          <w:bCs/>
        </w:rPr>
        <w:t>1996.gada 17.decembra spriedums lietā „</w:t>
      </w:r>
      <w:proofErr w:type="spellStart"/>
      <w:r w:rsidR="00E22E96" w:rsidRPr="006E784E">
        <w:rPr>
          <w:bCs/>
        </w:rPr>
        <w:t>Saunders</w:t>
      </w:r>
      <w:proofErr w:type="spellEnd"/>
      <w:r w:rsidR="00E22E96" w:rsidRPr="006E784E">
        <w:rPr>
          <w:bCs/>
        </w:rPr>
        <w:t xml:space="preserve"> v. </w:t>
      </w:r>
      <w:proofErr w:type="spellStart"/>
      <w:r w:rsidR="00E22E96" w:rsidRPr="006E784E">
        <w:rPr>
          <w:bCs/>
        </w:rPr>
        <w:t>the</w:t>
      </w:r>
      <w:proofErr w:type="spellEnd"/>
      <w:r w:rsidR="00E22E96" w:rsidRPr="006E784E">
        <w:rPr>
          <w:bCs/>
        </w:rPr>
        <w:t xml:space="preserve"> </w:t>
      </w:r>
      <w:proofErr w:type="spellStart"/>
      <w:r w:rsidR="00E22E96" w:rsidRPr="006E784E">
        <w:rPr>
          <w:bCs/>
        </w:rPr>
        <w:t>United</w:t>
      </w:r>
      <w:proofErr w:type="spellEnd"/>
      <w:r w:rsidR="00E22E96" w:rsidRPr="006E784E">
        <w:rPr>
          <w:bCs/>
        </w:rPr>
        <w:t xml:space="preserve"> </w:t>
      </w:r>
      <w:proofErr w:type="spellStart"/>
      <w:r w:rsidR="00E22E96" w:rsidRPr="006E784E">
        <w:rPr>
          <w:bCs/>
        </w:rPr>
        <w:t>Kingdom</w:t>
      </w:r>
      <w:proofErr w:type="spellEnd"/>
      <w:r w:rsidR="00E22E96" w:rsidRPr="006E784E">
        <w:rPr>
          <w:bCs/>
        </w:rPr>
        <w:t>”, iesniegums Nr. 19187/91, 67.</w:t>
      </w:r>
      <w:r w:rsidR="008D1C5E">
        <w:rPr>
          <w:bCs/>
        </w:rPr>
        <w:noBreakHyphen/>
      </w:r>
      <w:r w:rsidR="00E22E96" w:rsidRPr="006E784E">
        <w:rPr>
          <w:bCs/>
        </w:rPr>
        <w:t>76.punkts, 2009.gada 10.marta spriedums lietā „</w:t>
      </w:r>
      <w:proofErr w:type="spellStart"/>
      <w:r w:rsidR="00E22E96" w:rsidRPr="006E784E">
        <w:rPr>
          <w:bCs/>
        </w:rPr>
        <w:t>Bykov</w:t>
      </w:r>
      <w:proofErr w:type="spellEnd"/>
      <w:r w:rsidR="00E22E96" w:rsidRPr="006E784E">
        <w:rPr>
          <w:bCs/>
        </w:rPr>
        <w:t xml:space="preserve"> v. </w:t>
      </w:r>
      <w:proofErr w:type="spellStart"/>
      <w:r w:rsidR="00E22E96" w:rsidRPr="006E784E">
        <w:rPr>
          <w:bCs/>
        </w:rPr>
        <w:t>Russia</w:t>
      </w:r>
      <w:proofErr w:type="spellEnd"/>
      <w:r w:rsidR="00E22E96" w:rsidRPr="006E784E">
        <w:rPr>
          <w:bCs/>
        </w:rPr>
        <w:t>”, iesniegums Nr. 4378/02, 10.</w:t>
      </w:r>
      <w:r w:rsidR="008D1C5E">
        <w:rPr>
          <w:bCs/>
        </w:rPr>
        <w:noBreakHyphen/>
      </w:r>
      <w:r w:rsidR="00E22E96" w:rsidRPr="006E784E">
        <w:rPr>
          <w:bCs/>
        </w:rPr>
        <w:t>15.punkts, 92.punkts, 2010.gada 18.februāra spriedums lietā „</w:t>
      </w:r>
      <w:r w:rsidR="00792393">
        <w:rPr>
          <w:bCs/>
        </w:rPr>
        <w:t xml:space="preserve">Aleksandr </w:t>
      </w:r>
      <w:proofErr w:type="spellStart"/>
      <w:r w:rsidR="00E22E96" w:rsidRPr="006E784E">
        <w:rPr>
          <w:bCs/>
        </w:rPr>
        <w:t>Zaichenko</w:t>
      </w:r>
      <w:proofErr w:type="spellEnd"/>
      <w:r w:rsidR="00E22E96" w:rsidRPr="006E784E">
        <w:rPr>
          <w:bCs/>
        </w:rPr>
        <w:t xml:space="preserve"> v. </w:t>
      </w:r>
      <w:proofErr w:type="spellStart"/>
      <w:r w:rsidR="00E22E96" w:rsidRPr="006E784E">
        <w:rPr>
          <w:bCs/>
        </w:rPr>
        <w:t>Russia</w:t>
      </w:r>
      <w:proofErr w:type="spellEnd"/>
      <w:r w:rsidR="00E22E96" w:rsidRPr="006E784E">
        <w:rPr>
          <w:bCs/>
        </w:rPr>
        <w:t>”, iesniegums Nr. 39660/02, 40., 54.punkts, 2006.gada 11.jūlija spriedums lietā „</w:t>
      </w:r>
      <w:proofErr w:type="spellStart"/>
      <w:r w:rsidR="00792393">
        <w:rPr>
          <w:bCs/>
        </w:rPr>
        <w:t>Jalloh</w:t>
      </w:r>
      <w:proofErr w:type="spellEnd"/>
      <w:r w:rsidR="00792393">
        <w:rPr>
          <w:bCs/>
        </w:rPr>
        <w:t xml:space="preserve"> v. </w:t>
      </w:r>
      <w:proofErr w:type="spellStart"/>
      <w:r w:rsidR="00792393">
        <w:rPr>
          <w:bCs/>
        </w:rPr>
        <w:t>Germany</w:t>
      </w:r>
      <w:proofErr w:type="spellEnd"/>
      <w:r w:rsidR="00792393">
        <w:rPr>
          <w:bCs/>
        </w:rPr>
        <w:t>”, iesniegums N</w:t>
      </w:r>
      <w:r w:rsidR="00E22E96" w:rsidRPr="006E784E">
        <w:rPr>
          <w:bCs/>
        </w:rPr>
        <w:t xml:space="preserve">r. 54810/00, 117.punkts, </w:t>
      </w:r>
      <w:r w:rsidR="00525FB7" w:rsidRPr="006E784E">
        <w:rPr>
          <w:bCs/>
        </w:rPr>
        <w:t>2007.gada 29.jūnija spriedums lietā „</w:t>
      </w:r>
      <w:proofErr w:type="spellStart"/>
      <w:r w:rsidR="006E784E" w:rsidRPr="006E784E">
        <w:rPr>
          <w:bCs/>
        </w:rPr>
        <w:t>O</w:t>
      </w:r>
      <w:r w:rsidR="00DF416A" w:rsidRPr="00DF416A">
        <w:rPr>
          <w:rStyle w:val="s7d2086b4"/>
          <w:rFonts w:cs="Times New Roman"/>
          <w:bCs/>
          <w:color w:val="000000"/>
          <w:shd w:val="clear" w:color="auto" w:fill="FFFFFF"/>
        </w:rPr>
        <w:t>’</w:t>
      </w:r>
      <w:r w:rsidR="006E784E" w:rsidRPr="006E784E">
        <w:rPr>
          <w:bCs/>
        </w:rPr>
        <w:t>Halloran</w:t>
      </w:r>
      <w:proofErr w:type="spellEnd"/>
      <w:r w:rsidR="00DF416A">
        <w:rPr>
          <w:bCs/>
        </w:rPr>
        <w:t xml:space="preserve"> </w:t>
      </w:r>
      <w:proofErr w:type="spellStart"/>
      <w:r w:rsidR="00DF416A">
        <w:rPr>
          <w:bCs/>
        </w:rPr>
        <w:t>a</w:t>
      </w:r>
      <w:r w:rsidR="006E784E" w:rsidRPr="006E784E">
        <w:rPr>
          <w:bCs/>
        </w:rPr>
        <w:t>nd</w:t>
      </w:r>
      <w:proofErr w:type="spellEnd"/>
      <w:r w:rsidR="006E784E" w:rsidRPr="006E784E">
        <w:rPr>
          <w:bCs/>
        </w:rPr>
        <w:t xml:space="preserve"> Francis v. </w:t>
      </w:r>
      <w:proofErr w:type="spellStart"/>
      <w:r w:rsidR="006E784E" w:rsidRPr="006E784E">
        <w:rPr>
          <w:bCs/>
        </w:rPr>
        <w:t>the</w:t>
      </w:r>
      <w:proofErr w:type="spellEnd"/>
      <w:r w:rsidR="006E784E" w:rsidRPr="006E784E">
        <w:rPr>
          <w:bCs/>
        </w:rPr>
        <w:t xml:space="preserve"> </w:t>
      </w:r>
      <w:proofErr w:type="spellStart"/>
      <w:r w:rsidR="006E784E" w:rsidRPr="006E784E">
        <w:rPr>
          <w:bCs/>
        </w:rPr>
        <w:t>United</w:t>
      </w:r>
      <w:proofErr w:type="spellEnd"/>
      <w:r w:rsidR="006E784E" w:rsidRPr="006E784E">
        <w:rPr>
          <w:bCs/>
        </w:rPr>
        <w:t xml:space="preserve"> </w:t>
      </w:r>
      <w:proofErr w:type="spellStart"/>
      <w:r w:rsidR="006E784E" w:rsidRPr="006E784E">
        <w:rPr>
          <w:bCs/>
        </w:rPr>
        <w:t>Kingdom</w:t>
      </w:r>
      <w:proofErr w:type="spellEnd"/>
      <w:r w:rsidR="00525FB7" w:rsidRPr="006E784E">
        <w:rPr>
          <w:bCs/>
        </w:rPr>
        <w:t>”</w:t>
      </w:r>
      <w:r w:rsidR="006E784E" w:rsidRPr="006E784E">
        <w:rPr>
          <w:bCs/>
        </w:rPr>
        <w:t>, iesniegumi Nr. 15809/02 un 25624/02, 9.</w:t>
      </w:r>
      <w:r w:rsidR="00792393">
        <w:rPr>
          <w:bCs/>
        </w:rPr>
        <w:noBreakHyphen/>
      </w:r>
      <w:r w:rsidR="006E784E" w:rsidRPr="006E784E">
        <w:rPr>
          <w:bCs/>
        </w:rPr>
        <w:t>24., 43., 49., 55., 57.</w:t>
      </w:r>
      <w:r w:rsidR="00792393">
        <w:rPr>
          <w:bCs/>
        </w:rPr>
        <w:noBreakHyphen/>
      </w:r>
      <w:r w:rsidR="006E784E" w:rsidRPr="006E784E">
        <w:rPr>
          <w:bCs/>
        </w:rPr>
        <w:t>60.punkts</w:t>
      </w:r>
      <w:r w:rsidR="00871DE1">
        <w:rPr>
          <w:bCs/>
        </w:rPr>
        <w:t>. T</w:t>
      </w:r>
      <w:r w:rsidR="006E784E" w:rsidRPr="006E784E">
        <w:rPr>
          <w:bCs/>
        </w:rPr>
        <w:t>āpat viedoklī izdarīta atsauce uz četrām tiesnešu atsevišķajām domām lietā „</w:t>
      </w:r>
      <w:proofErr w:type="spellStart"/>
      <w:r w:rsidR="006E784E" w:rsidRPr="006E784E">
        <w:rPr>
          <w:bCs/>
        </w:rPr>
        <w:t>Sa</w:t>
      </w:r>
      <w:r w:rsidR="00DF416A">
        <w:rPr>
          <w:bCs/>
        </w:rPr>
        <w:t>unders</w:t>
      </w:r>
      <w:proofErr w:type="spellEnd"/>
      <w:r w:rsidR="00DF416A">
        <w:rPr>
          <w:bCs/>
        </w:rPr>
        <w:t xml:space="preserve"> v. </w:t>
      </w:r>
      <w:proofErr w:type="spellStart"/>
      <w:r w:rsidR="00DF416A">
        <w:rPr>
          <w:bCs/>
        </w:rPr>
        <w:t>the</w:t>
      </w:r>
      <w:proofErr w:type="spellEnd"/>
      <w:r w:rsidR="00DF416A">
        <w:rPr>
          <w:bCs/>
        </w:rPr>
        <w:t xml:space="preserve"> </w:t>
      </w:r>
      <w:proofErr w:type="spellStart"/>
      <w:r w:rsidR="00DF416A">
        <w:rPr>
          <w:bCs/>
        </w:rPr>
        <w:t>United</w:t>
      </w:r>
      <w:proofErr w:type="spellEnd"/>
      <w:r w:rsidR="00DF416A">
        <w:rPr>
          <w:bCs/>
        </w:rPr>
        <w:t xml:space="preserve"> </w:t>
      </w:r>
      <w:proofErr w:type="spellStart"/>
      <w:r w:rsidR="00DF416A">
        <w:rPr>
          <w:bCs/>
        </w:rPr>
        <w:t>Kingdom</w:t>
      </w:r>
      <w:proofErr w:type="spellEnd"/>
      <w:r w:rsidR="00DF416A">
        <w:rPr>
          <w:bCs/>
        </w:rPr>
        <w:t xml:space="preserve">”, kā arī </w:t>
      </w:r>
      <w:r w:rsidR="00871DE1">
        <w:rPr>
          <w:bCs/>
        </w:rPr>
        <w:t xml:space="preserve">uz </w:t>
      </w:r>
      <w:r w:rsidR="006E784E" w:rsidRPr="006E784E">
        <w:rPr>
          <w:bCs/>
        </w:rPr>
        <w:t>Augstākās tie</w:t>
      </w:r>
      <w:r w:rsidR="00DF416A">
        <w:rPr>
          <w:bCs/>
        </w:rPr>
        <w:t>sas 2020.gada 25.februāra lēmumā</w:t>
      </w:r>
      <w:r w:rsidR="006E784E" w:rsidRPr="006E784E">
        <w:rPr>
          <w:bCs/>
        </w:rPr>
        <w:t xml:space="preserve"> lietā Nr. SKK-2/2020 11.3</w:t>
      </w:r>
      <w:r w:rsidR="001D0026">
        <w:rPr>
          <w:bCs/>
        </w:rPr>
        <w:t>.</w:t>
      </w:r>
      <w:r w:rsidR="006E784E" w:rsidRPr="006E784E">
        <w:rPr>
          <w:bCs/>
        </w:rPr>
        <w:t xml:space="preserve">punktā </w:t>
      </w:r>
      <w:r w:rsidR="00DF416A">
        <w:rPr>
          <w:bCs/>
        </w:rPr>
        <w:t>norādīto.</w:t>
      </w:r>
    </w:p>
    <w:p w14:paraId="38D0CF6D" w14:textId="77777777" w:rsidR="008A7C52" w:rsidRPr="003B229E" w:rsidRDefault="008A7C52" w:rsidP="00683C00">
      <w:pPr>
        <w:autoSpaceDE w:val="0"/>
        <w:autoSpaceDN w:val="0"/>
        <w:adjustRightInd w:val="0"/>
        <w:spacing w:after="0" w:line="276" w:lineRule="auto"/>
        <w:ind w:firstLine="720"/>
        <w:jc w:val="both"/>
      </w:pPr>
    </w:p>
    <w:p w14:paraId="62F87FE0" w14:textId="77777777" w:rsidR="000B1C5B" w:rsidRPr="003B229E" w:rsidRDefault="000B1C5B" w:rsidP="004A5BA3">
      <w:pPr>
        <w:autoSpaceDE w:val="0"/>
        <w:autoSpaceDN w:val="0"/>
        <w:adjustRightInd w:val="0"/>
        <w:spacing w:after="0" w:line="276" w:lineRule="auto"/>
        <w:jc w:val="center"/>
      </w:pPr>
      <w:r w:rsidRPr="003B229E">
        <w:rPr>
          <w:rFonts w:cs="Times New Roman"/>
          <w:b/>
          <w:szCs w:val="24"/>
        </w:rPr>
        <w:t>Motīvu daļa</w:t>
      </w:r>
    </w:p>
    <w:p w14:paraId="724EAA16" w14:textId="77777777" w:rsidR="000B1C5B" w:rsidRPr="003B229E" w:rsidRDefault="000B1C5B" w:rsidP="008A41FC">
      <w:pPr>
        <w:spacing w:after="0" w:line="276" w:lineRule="auto"/>
        <w:jc w:val="center"/>
        <w:rPr>
          <w:rFonts w:cs="Times New Roman"/>
          <w:szCs w:val="24"/>
        </w:rPr>
      </w:pPr>
    </w:p>
    <w:p w14:paraId="34B37F54" w14:textId="5E9DB159" w:rsidR="00011047" w:rsidRDefault="004A5BA3" w:rsidP="004C1DE6">
      <w:pPr>
        <w:spacing w:after="0" w:line="276" w:lineRule="auto"/>
        <w:ind w:firstLine="720"/>
        <w:jc w:val="both"/>
      </w:pPr>
      <w:r w:rsidRPr="003B229E">
        <w:t>[</w:t>
      </w:r>
      <w:r w:rsidR="00BD7D65">
        <w:t>8</w:t>
      </w:r>
      <w:r w:rsidRPr="003B229E">
        <w:t>]</w:t>
      </w:r>
      <w:r w:rsidR="002029B3" w:rsidRPr="003B229E">
        <w:t> </w:t>
      </w:r>
      <w:r w:rsidR="00160F66" w:rsidRPr="003B229E">
        <w:t xml:space="preserve">Senāts atzīst, ka </w:t>
      </w:r>
      <w:r w:rsidR="00D17796">
        <w:t>Zemgales</w:t>
      </w:r>
      <w:r w:rsidR="0084116A">
        <w:t xml:space="preserve"> apgabaltiesas </w:t>
      </w:r>
      <w:proofErr w:type="gramStart"/>
      <w:r w:rsidR="0084116A">
        <w:t>2020.gada</w:t>
      </w:r>
      <w:proofErr w:type="gramEnd"/>
      <w:r w:rsidR="0084116A">
        <w:t xml:space="preserve"> </w:t>
      </w:r>
      <w:r w:rsidR="00D17796">
        <w:t>14</w:t>
      </w:r>
      <w:r w:rsidR="0084116A">
        <w:t xml:space="preserve">.septembra </w:t>
      </w:r>
      <w:r w:rsidR="005F7297">
        <w:t>spriedums</w:t>
      </w:r>
      <w:r w:rsidR="005F7297" w:rsidRPr="0065234A">
        <w:rPr>
          <w:rFonts w:eastAsia="Times New Roman" w:cs="Times New Roman"/>
          <w:szCs w:val="24"/>
        </w:rPr>
        <w:t xml:space="preserve"> atstājams negrozīts, bet kasācijas protests noraidāms.</w:t>
      </w:r>
    </w:p>
    <w:p w14:paraId="7FB47239" w14:textId="77777777" w:rsidR="004C1DE6" w:rsidRDefault="004C1DE6" w:rsidP="004C1DE6">
      <w:pPr>
        <w:autoSpaceDE w:val="0"/>
        <w:autoSpaceDN w:val="0"/>
        <w:adjustRightInd w:val="0"/>
        <w:spacing w:after="0" w:line="276" w:lineRule="auto"/>
        <w:ind w:firstLine="720"/>
        <w:jc w:val="both"/>
        <w:rPr>
          <w:rFonts w:eastAsia="Times New Roman" w:cs="Times New Roman"/>
          <w:szCs w:val="24"/>
        </w:rPr>
      </w:pPr>
    </w:p>
    <w:p w14:paraId="7CBAAB29" w14:textId="5380C4C0" w:rsidR="008136D5" w:rsidRDefault="005F7297"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w:t>
      </w:r>
      <w:r w:rsidR="000F4935">
        <w:rPr>
          <w:rFonts w:eastAsia="Times New Roman" w:cs="Times New Roman"/>
          <w:szCs w:val="24"/>
        </w:rPr>
        <w:t>9</w:t>
      </w:r>
      <w:r>
        <w:rPr>
          <w:rFonts w:eastAsia="Times New Roman" w:cs="Times New Roman"/>
          <w:szCs w:val="24"/>
        </w:rPr>
        <w:t>] </w:t>
      </w:r>
      <w:r w:rsidR="008136D5">
        <w:rPr>
          <w:rFonts w:eastAsia="Times New Roman" w:cs="Times New Roman"/>
          <w:szCs w:val="24"/>
        </w:rPr>
        <w:t>Kriminālprocesa likuma 569.panta pirmā daļa noteic, ka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w:t>
      </w:r>
    </w:p>
    <w:p w14:paraId="0FAED122" w14:textId="433C55F7" w:rsidR="005F7297" w:rsidRPr="0065234A" w:rsidRDefault="005F7297"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Atbilstoši Kriminālprocesa likuma 584.panta pirmajai daļai tiesas nolēmumu tiesiskuma pārbaude notiek kasācijas sūdzībā vai protestā izteikto prasību apjomā un ietvaros. Šā panta otrā daļa noteic, ka kasācijas instances tiesa drīkst pārsniegt kasācijas sūdzībā vai protestā izteikto prasību apjomu un ietvarus gadījumos, kad tā konstatē šā likuma 574. un 575.pantā norādītos pārkāpumus un tie nav norādīti sūdzībā vai protestā.</w:t>
      </w:r>
    </w:p>
    <w:p w14:paraId="4099CBA2" w14:textId="6A37287E" w:rsidR="005F7297" w:rsidRPr="0065234A" w:rsidRDefault="005F7297"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 xml:space="preserve">Augstākā tiesa jau iepriekš izteikusi atziņu, kādos gadījumos kasācijas instances tiesa nevar pārsniegt </w:t>
      </w:r>
      <w:r w:rsidR="003209F5">
        <w:rPr>
          <w:rFonts w:eastAsia="Times New Roman" w:cs="Times New Roman"/>
          <w:szCs w:val="24"/>
        </w:rPr>
        <w:t xml:space="preserve">kasācijas </w:t>
      </w:r>
      <w:r w:rsidRPr="0065234A">
        <w:rPr>
          <w:rFonts w:eastAsia="Times New Roman" w:cs="Times New Roman"/>
          <w:szCs w:val="24"/>
        </w:rPr>
        <w:t>protesta apjomu (</w:t>
      </w:r>
      <w:bookmarkStart w:id="1" w:name="_Hlk67581063"/>
      <w:r w:rsidRPr="0065234A">
        <w:rPr>
          <w:rFonts w:eastAsia="Times New Roman" w:cs="Times New Roman"/>
          <w:i/>
          <w:szCs w:val="24"/>
        </w:rPr>
        <w:t xml:space="preserve">Augstākās tiesas </w:t>
      </w:r>
      <w:proofErr w:type="gramStart"/>
      <w:r w:rsidRPr="0065234A">
        <w:rPr>
          <w:rFonts w:eastAsia="Times New Roman" w:cs="Times New Roman"/>
          <w:i/>
          <w:szCs w:val="24"/>
        </w:rPr>
        <w:t>2018.gada</w:t>
      </w:r>
      <w:proofErr w:type="gramEnd"/>
      <w:r w:rsidRPr="0065234A">
        <w:rPr>
          <w:rFonts w:eastAsia="Times New Roman" w:cs="Times New Roman"/>
          <w:i/>
          <w:szCs w:val="24"/>
        </w:rPr>
        <w:t xml:space="preserve"> 27.aprīļa lēmums lietā Nr. SKK-21/2018 (ECLI:LV:AT:2018:0427.15830105308.1.L</w:t>
      </w:r>
      <w:bookmarkEnd w:id="1"/>
      <w:r w:rsidRPr="0065234A">
        <w:rPr>
          <w:rFonts w:eastAsia="Times New Roman" w:cs="Times New Roman"/>
          <w:i/>
          <w:szCs w:val="24"/>
        </w:rPr>
        <w:t>)</w:t>
      </w:r>
      <w:r w:rsidRPr="0065234A">
        <w:rPr>
          <w:rFonts w:eastAsia="Times New Roman" w:cs="Times New Roman"/>
          <w:szCs w:val="24"/>
        </w:rPr>
        <w:t xml:space="preserve">). </w:t>
      </w:r>
    </w:p>
    <w:p w14:paraId="6725EE39" w14:textId="0C1DBA8B" w:rsidR="005F7297" w:rsidRDefault="005F7297"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lastRenderedPageBreak/>
        <w:t>Ievērojot Kriminālprocesa likuma 584.pantā noteikto, Senāts izskata tikai kasācijas protestā minētos argumentus atbilstoši savas kompetences apjomam</w:t>
      </w:r>
      <w:r w:rsidR="008136D5">
        <w:rPr>
          <w:rFonts w:eastAsia="Times New Roman" w:cs="Times New Roman"/>
          <w:szCs w:val="24"/>
        </w:rPr>
        <w:t xml:space="preserve"> – vai apelācijas instances tiesa ir pieļāvusi Kriminālprocesa likuma 574.panta 2</w:t>
      </w:r>
      <w:r w:rsidRPr="0065234A">
        <w:rPr>
          <w:rFonts w:eastAsia="Times New Roman" w:cs="Times New Roman"/>
          <w:szCs w:val="24"/>
        </w:rPr>
        <w:t>.</w:t>
      </w:r>
      <w:r w:rsidR="008136D5">
        <w:rPr>
          <w:rFonts w:eastAsia="Times New Roman" w:cs="Times New Roman"/>
          <w:szCs w:val="24"/>
        </w:rPr>
        <w:t xml:space="preserve">punktā norādīto pārkāpumu, vai apelācijas instances tiesa ir pieļāvusi Kriminālprocesa likuma būtisku pārkāpumu šā likuma 575.panta trešās daļas izpratnē, atzīstot </w:t>
      </w:r>
      <w:r w:rsidR="00BD01AE">
        <w:rPr>
          <w:rFonts w:eastAsia="Times New Roman" w:cs="Times New Roman"/>
          <w:szCs w:val="24"/>
        </w:rPr>
        <w:t>telefon</w:t>
      </w:r>
      <w:r w:rsidR="00821194">
        <w:rPr>
          <w:rFonts w:eastAsia="Times New Roman" w:cs="Times New Roman"/>
          <w:szCs w:val="24"/>
        </w:rPr>
        <w:t>sarunas ierakstu par nepieļaujamu un tāpēc pierādīšanā neizmantojamu pierādījumu.</w:t>
      </w:r>
    </w:p>
    <w:p w14:paraId="34221AA3" w14:textId="6D58FB2D" w:rsidR="005F7297" w:rsidRPr="0065234A" w:rsidRDefault="005F7297"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Kasācijas instances tiesa atzīst, ka apelācijas instances tiesa nav pieļāvusi kasācijas protestā norādītos Kriminālprocesa likuma un Krimināllikuma pārkāpumus.</w:t>
      </w:r>
    </w:p>
    <w:p w14:paraId="1B64A965" w14:textId="58481018" w:rsidR="005F7297" w:rsidRDefault="000F4935" w:rsidP="004C1DE6">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[9.1</w:t>
      </w:r>
      <w:r w:rsidR="005F7297" w:rsidRPr="0065234A">
        <w:rPr>
          <w:rFonts w:eastAsia="Times New Roman" w:cs="Times New Roman"/>
          <w:szCs w:val="24"/>
        </w:rPr>
        <w:t>]</w:t>
      </w:r>
      <w:r w:rsidR="005F7297">
        <w:rPr>
          <w:rFonts w:eastAsia="Times New Roman" w:cs="Times New Roman"/>
          <w:szCs w:val="24"/>
        </w:rPr>
        <w:t xml:space="preserve"> Senāts atzīst, ka atsauce kasācijas protestā uz Kriminālprocesa likuma 574.panta 2.punktā norādīto Krimināllikuma pārkāpumu ir nepamatota.</w:t>
      </w:r>
    </w:p>
    <w:p w14:paraId="7FC35AC9" w14:textId="77777777" w:rsidR="005F7297" w:rsidRDefault="005F7297" w:rsidP="004C1DE6">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Kriminālprocesa likuma 574.panta 2.punktā noteikts, ka Krimināllikuma pārkāpums ir Krimināllikuma Vispārīgās daļas panta, tā daļas vai punkta nepareiza piemērošana, kvalificējot noziedzīgu nodarījumu.</w:t>
      </w:r>
    </w:p>
    <w:p w14:paraId="25A6643F" w14:textId="63532901" w:rsidR="0084116A" w:rsidRPr="006F50B8" w:rsidRDefault="005F7297" w:rsidP="004C1DE6">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 xml:space="preserve">Kasācijas protestā izklāstītie argumenti ar atsauci uz Kriminālprocesa likuma 574.panta 2.punktā norādīto pārkāpumu nav saistīti ar materiālās tiesību normas nepareizu piemērošanu, bet gan ar kasācijas protesta autores atšķirīgo viedokli par pierādījumu vērtējumu. Apelācijas instances tiesa nav nepareizi kvalificējusi noziedzīgo nodarījumu, bet atzinusi </w:t>
      </w:r>
      <w:r w:rsidR="00D57EB7">
        <w:rPr>
          <w:rFonts w:eastAsia="Times New Roman" w:cs="Times New Roman"/>
          <w:szCs w:val="24"/>
        </w:rPr>
        <w:t>[pers. A]</w:t>
      </w:r>
      <w:r>
        <w:rPr>
          <w:rFonts w:eastAsia="Times New Roman" w:cs="Times New Roman"/>
          <w:szCs w:val="24"/>
        </w:rPr>
        <w:t xml:space="preserve"> par nevainīgu un attaisnojusi apsūdzībā pēc Krimināllikuma </w:t>
      </w:r>
      <w:proofErr w:type="gramStart"/>
      <w:r>
        <w:rPr>
          <w:rFonts w:eastAsia="Times New Roman" w:cs="Times New Roman"/>
          <w:szCs w:val="24"/>
        </w:rPr>
        <w:t>253.panta</w:t>
      </w:r>
      <w:proofErr w:type="gramEnd"/>
      <w:r>
        <w:rPr>
          <w:rFonts w:eastAsia="Times New Roman" w:cs="Times New Roman"/>
          <w:szCs w:val="24"/>
        </w:rPr>
        <w:t xml:space="preserve"> pirmās daļas</w:t>
      </w:r>
      <w:r w:rsidR="001667B0">
        <w:rPr>
          <w:rFonts w:eastAsia="Times New Roman" w:cs="Times New Roman"/>
          <w:szCs w:val="24"/>
        </w:rPr>
        <w:t>, nekons</w:t>
      </w:r>
      <w:r w:rsidR="00E0706A">
        <w:rPr>
          <w:rFonts w:eastAsia="Times New Roman" w:cs="Times New Roman"/>
          <w:szCs w:val="24"/>
        </w:rPr>
        <w:t>tatējot noziedzīga</w:t>
      </w:r>
      <w:r w:rsidR="001667B0">
        <w:rPr>
          <w:rFonts w:eastAsia="Times New Roman" w:cs="Times New Roman"/>
          <w:szCs w:val="24"/>
        </w:rPr>
        <w:t xml:space="preserve"> nodarījuma sastāva subjektīvo pusi</w:t>
      </w:r>
      <w:r>
        <w:rPr>
          <w:rFonts w:eastAsia="Times New Roman" w:cs="Times New Roman"/>
          <w:szCs w:val="24"/>
        </w:rPr>
        <w:t>.</w:t>
      </w:r>
    </w:p>
    <w:p w14:paraId="53C656A1" w14:textId="58A53481" w:rsidR="00C732F9" w:rsidRPr="003111D8" w:rsidRDefault="00BD7D65" w:rsidP="004C1DE6">
      <w:pPr>
        <w:spacing w:after="0" w:line="276" w:lineRule="auto"/>
        <w:ind w:firstLine="720"/>
        <w:jc w:val="both"/>
      </w:pPr>
      <w:r>
        <w:t>[</w:t>
      </w:r>
      <w:r w:rsidR="000F4935">
        <w:t>9.2</w:t>
      </w:r>
      <w:r w:rsidR="005F7297">
        <w:t>]</w:t>
      </w:r>
      <w:r w:rsidR="00C732F9" w:rsidRPr="00C732F9">
        <w:t xml:space="preserve"> </w:t>
      </w:r>
      <w:r w:rsidR="00C732F9" w:rsidRPr="003111D8">
        <w:t>Noziedzīga nodarījuma subjektīvā puse ir noziedzīgu nodarījumu izdarījušās personas (nodarījuma subjekta) psihiskā darbība, kas tieši saistīta ar viņas izdarīto (nodarījuma objektīvajām pazīmēm), un tā apvieno vienotā veselā personas psihiskās darbības intelektuālos un gribas procesus. Noziedzīga nodarījuma subjektīvā puse atspoguļo saistību starp personas apziņu un gribu un viņas izdarīto nodarījumu. Tieši apziņa un griba kā personas psihiskās darbības vienots process saistībā ar viņas izdarīto noziedzīgo nodarījumu veido vainas saturu</w:t>
      </w:r>
      <w:r w:rsidR="00C732F9">
        <w:t>.</w:t>
      </w:r>
      <w:r w:rsidR="00C732F9" w:rsidRPr="003111D8">
        <w:t xml:space="preserve"> Vaina krimināltiesiskā izpratnē ir personas psihiskās darbības izpausme kā katra noziedzīga nodarījuma sastāva nepieciešama sastāvdaļa (elements) attieksmē pret nodarījuma ārējo izpausmi </w:t>
      </w:r>
      <w:proofErr w:type="gramStart"/>
      <w:r w:rsidR="00C732F9" w:rsidRPr="003111D8">
        <w:t>(</w:t>
      </w:r>
      <w:proofErr w:type="gramEnd"/>
      <w:r w:rsidR="00C732F9" w:rsidRPr="003111D8">
        <w:rPr>
          <w:i/>
        </w:rPr>
        <w:t>Krastiņš U. Noziedzīga nodarījuma sastāvs un nodarījuma kvalifikācija. Teorētiskie aspekti. Rīga: Tiesu namu aģentūra, 2014, 127.</w:t>
      </w:r>
      <w:r w:rsidR="00C732F9">
        <w:rPr>
          <w:i/>
        </w:rPr>
        <w:t>, 133.</w:t>
      </w:r>
      <w:r w:rsidR="00C732F9" w:rsidRPr="003111D8">
        <w:rPr>
          <w:i/>
        </w:rPr>
        <w:t>lpp.</w:t>
      </w:r>
      <w:r w:rsidR="00C732F9" w:rsidRPr="003111D8">
        <w:t xml:space="preserve">). </w:t>
      </w:r>
    </w:p>
    <w:p w14:paraId="7AF64AAE" w14:textId="77777777" w:rsidR="00C732F9" w:rsidRPr="003111D8" w:rsidRDefault="00C732F9" w:rsidP="004C1DE6">
      <w:pPr>
        <w:spacing w:after="0" w:line="276" w:lineRule="auto"/>
        <w:ind w:firstLine="720"/>
        <w:jc w:val="both"/>
      </w:pPr>
      <w:r w:rsidRPr="003111D8">
        <w:t xml:space="preserve">Krimināllikuma 253.pantā paredzētais noziedzīgais nodarījums no subjektīvās puses ir tīšs nodarījums, ko raksturo tiešs nodoms. Vainīgais apzinās savas darbības kaitīgumu, proti, ka veic neatļautas darbības ar narkotiskām vai psihotropām vielām, un apzināti tā rīkojas </w:t>
      </w:r>
      <w:proofErr w:type="gramStart"/>
      <w:r w:rsidRPr="003111D8">
        <w:t>(</w:t>
      </w:r>
      <w:proofErr w:type="gramEnd"/>
      <w:r w:rsidRPr="003111D8">
        <w:rPr>
          <w:i/>
        </w:rPr>
        <w:t xml:space="preserve">Krastiņš U., </w:t>
      </w:r>
      <w:proofErr w:type="spellStart"/>
      <w:r w:rsidRPr="003111D8">
        <w:rPr>
          <w:i/>
        </w:rPr>
        <w:t>Liholaja</w:t>
      </w:r>
      <w:proofErr w:type="spellEnd"/>
      <w:r w:rsidRPr="003111D8">
        <w:rPr>
          <w:i/>
        </w:rPr>
        <w:t xml:space="preserve"> V., </w:t>
      </w:r>
      <w:proofErr w:type="spellStart"/>
      <w:r w:rsidRPr="003111D8">
        <w:rPr>
          <w:i/>
        </w:rPr>
        <w:t>Hamkova</w:t>
      </w:r>
      <w:proofErr w:type="spellEnd"/>
      <w:r w:rsidRPr="003111D8">
        <w:rPr>
          <w:i/>
        </w:rPr>
        <w:t xml:space="preserve"> D. Krimināllikuma komentāri. Trešā daļa (XVIII-XXV nodaļa), otrais papildinātais izdevums. Rīga: Tiesu namu aģentūra, 2019, 405.lpp</w:t>
      </w:r>
      <w:r w:rsidRPr="003111D8">
        <w:t xml:space="preserve">.). </w:t>
      </w:r>
    </w:p>
    <w:p w14:paraId="0E6D281C" w14:textId="45036A28" w:rsidR="0077204D" w:rsidRDefault="0077204D" w:rsidP="004C1DE6">
      <w:pPr>
        <w:spacing w:after="0" w:line="276" w:lineRule="auto"/>
        <w:ind w:firstLine="720"/>
        <w:jc w:val="both"/>
        <w:rPr>
          <w:rFonts w:eastAsia="Times New Roman" w:cs="Times New Roman"/>
          <w:szCs w:val="24"/>
        </w:rPr>
      </w:pPr>
      <w:r>
        <w:rPr>
          <w:rFonts w:eastAsia="Times New Roman" w:cs="Times New Roman"/>
          <w:szCs w:val="24"/>
        </w:rPr>
        <w:t xml:space="preserve">Novērtējot lietā iegūtos un iztiesāšanā pārbaudītos pierādījumus, ar kuriem pamatota apsūdzība, Zemgales apgabaltiesa atzinusi, ka apsūdzētās </w:t>
      </w:r>
      <w:r w:rsidR="00CC1644">
        <w:rPr>
          <w:rFonts w:eastAsia="Times New Roman" w:cs="Times New Roman"/>
          <w:szCs w:val="24"/>
        </w:rPr>
        <w:t>[pers. A]</w:t>
      </w:r>
      <w:r>
        <w:rPr>
          <w:rFonts w:eastAsia="Times New Roman" w:cs="Times New Roman"/>
          <w:szCs w:val="24"/>
        </w:rPr>
        <w:t xml:space="preserve"> darbībās nav konstatējams viens no Krimināllikuma </w:t>
      </w:r>
      <w:proofErr w:type="gramStart"/>
      <w:r>
        <w:rPr>
          <w:rFonts w:eastAsia="Times New Roman" w:cs="Times New Roman"/>
          <w:szCs w:val="24"/>
        </w:rPr>
        <w:t>253.panta</w:t>
      </w:r>
      <w:proofErr w:type="gramEnd"/>
      <w:r>
        <w:rPr>
          <w:rFonts w:eastAsia="Times New Roman" w:cs="Times New Roman"/>
          <w:szCs w:val="24"/>
        </w:rPr>
        <w:t xml:space="preserve"> pirmajā daļā paredzētā noziedzīgā nodarījuma sastāva elementiem – subjektīvā puse. </w:t>
      </w:r>
    </w:p>
    <w:p w14:paraId="5A6116E9" w14:textId="6528F8A7" w:rsidR="0077204D" w:rsidRDefault="0077204D" w:rsidP="004C1DE6">
      <w:pPr>
        <w:spacing w:after="0" w:line="276" w:lineRule="auto"/>
        <w:ind w:firstLine="720"/>
        <w:jc w:val="both"/>
        <w:rPr>
          <w:bCs/>
        </w:rPr>
      </w:pPr>
      <w:r>
        <w:rPr>
          <w:rFonts w:eastAsia="Times New Roman" w:cs="Times New Roman"/>
          <w:szCs w:val="24"/>
        </w:rPr>
        <w:t xml:space="preserve">Apelācijas instances tiesa atzinusi, ka nav iegūti pierādījumi tam, ka apsūdzētā vēlējās iegādāties un glabāt psihotropo vielu bez nolūka to realizēt. Tas apstāklis, ka apsūdzētā </w:t>
      </w:r>
      <w:r w:rsidR="00CC1644">
        <w:rPr>
          <w:rFonts w:eastAsia="Times New Roman" w:cs="Times New Roman"/>
          <w:szCs w:val="24"/>
        </w:rPr>
        <w:t>[pers. A]</w:t>
      </w:r>
      <w:r>
        <w:rPr>
          <w:rFonts w:eastAsia="Times New Roman" w:cs="Times New Roman"/>
          <w:szCs w:val="24"/>
        </w:rPr>
        <w:t xml:space="preserve"> atzina, ka māsai izrakstītais medikaments </w:t>
      </w:r>
      <w:proofErr w:type="spellStart"/>
      <w:r w:rsidRPr="005429D7">
        <w:rPr>
          <w:bCs/>
          <w:i/>
        </w:rPr>
        <w:t>Somnol</w:t>
      </w:r>
      <w:proofErr w:type="spellEnd"/>
      <w:r w:rsidRPr="005429D7">
        <w:rPr>
          <w:bCs/>
          <w:i/>
        </w:rPr>
        <w:t xml:space="preserve"> </w:t>
      </w:r>
      <w:proofErr w:type="spellStart"/>
      <w:r w:rsidRPr="005429D7">
        <w:rPr>
          <w:bCs/>
          <w:i/>
        </w:rPr>
        <w:t>Zopiclonum</w:t>
      </w:r>
      <w:proofErr w:type="spellEnd"/>
      <w:r>
        <w:rPr>
          <w:bCs/>
        </w:rPr>
        <w:t xml:space="preserve"> atradās un tika izņemts viņas mājā, neapstiprina apsūdzētās ļaunprātīgu nodomu neatļauti iegādāties un glabāt psihotropo vielu. </w:t>
      </w:r>
    </w:p>
    <w:p w14:paraId="07CC3BD4" w14:textId="4980BC4A" w:rsidR="001F340A" w:rsidRDefault="00D03792" w:rsidP="004C1DE6">
      <w:pPr>
        <w:spacing w:after="0" w:line="276" w:lineRule="auto"/>
        <w:ind w:firstLine="720"/>
        <w:jc w:val="both"/>
        <w:rPr>
          <w:bCs/>
        </w:rPr>
      </w:pPr>
      <w:r>
        <w:rPr>
          <w:bCs/>
        </w:rPr>
        <w:t xml:space="preserve">Zemgales apgabaltiesa </w:t>
      </w:r>
      <w:r w:rsidR="0077204D">
        <w:rPr>
          <w:bCs/>
        </w:rPr>
        <w:t xml:space="preserve">atzinusi, ka valsts apsūdzības pieņēmums par subjektīvās puses esību nevar būt par pamatu, lai notiesātu personu, ja likumdevējs ir strikti norādījis, ka personai </w:t>
      </w:r>
      <w:r w:rsidR="0077204D">
        <w:rPr>
          <w:bCs/>
        </w:rPr>
        <w:lastRenderedPageBreak/>
        <w:t xml:space="preserve">ir jāapzinās, ka tā veic kādas neatļautas, prettiesiskas darbības tieši ar narkotisko vai psihotropo vielu, līdz ar to personai jāapzinās savas darbības kaitīgums. </w:t>
      </w:r>
      <w:r>
        <w:rPr>
          <w:bCs/>
        </w:rPr>
        <w:t xml:space="preserve">Tiesa </w:t>
      </w:r>
      <w:r w:rsidR="0077204D">
        <w:rPr>
          <w:bCs/>
        </w:rPr>
        <w:t xml:space="preserve">atzinusi, ka šādi pierādījumi tiesas izmeklēšanā netika iegūti. </w:t>
      </w:r>
    </w:p>
    <w:p w14:paraId="4903B4DF" w14:textId="595EF557" w:rsidR="0077204D" w:rsidRDefault="00DD6EF1" w:rsidP="004C1DE6">
      <w:pPr>
        <w:spacing w:after="0" w:line="276" w:lineRule="auto"/>
        <w:ind w:firstLine="720"/>
        <w:jc w:val="both"/>
        <w:rPr>
          <w:bCs/>
        </w:rPr>
      </w:pPr>
      <w:r>
        <w:rPr>
          <w:bCs/>
        </w:rPr>
        <w:t>Apelācijas instances tiesa atzinusi, ka l</w:t>
      </w:r>
      <w:r w:rsidR="0077204D">
        <w:rPr>
          <w:bCs/>
        </w:rPr>
        <w:t>ietā nav iegūti pierādījumi par to, ka apsūdzētās māsa būtu viņai nodevusi zāles</w:t>
      </w:r>
      <w:r w:rsidR="00E0706A">
        <w:rPr>
          <w:bCs/>
        </w:rPr>
        <w:t>,</w:t>
      </w:r>
      <w:r w:rsidR="0077204D">
        <w:rPr>
          <w:bCs/>
        </w:rPr>
        <w:t xml:space="preserve"> </w:t>
      </w:r>
      <w:r w:rsidR="00E0706A">
        <w:rPr>
          <w:bCs/>
        </w:rPr>
        <w:t>informējot</w:t>
      </w:r>
      <w:r w:rsidR="0077204D">
        <w:rPr>
          <w:bCs/>
        </w:rPr>
        <w:t>, ka tās satur psiho</w:t>
      </w:r>
      <w:r w:rsidR="00CD2FC3">
        <w:rPr>
          <w:bCs/>
        </w:rPr>
        <w:t xml:space="preserve">tropu vielu. </w:t>
      </w:r>
      <w:r w:rsidR="00CC1644">
        <w:rPr>
          <w:bCs/>
        </w:rPr>
        <w:t>[Pers. C]</w:t>
      </w:r>
      <w:r w:rsidR="0077204D">
        <w:rPr>
          <w:bCs/>
        </w:rPr>
        <w:t xml:space="preserve"> kriminālprocesā atteicās dot liecību pret savu māsu – apsūdzēto </w:t>
      </w:r>
      <w:r w:rsidR="00CC1644">
        <w:rPr>
          <w:bCs/>
        </w:rPr>
        <w:t>[pers. A]</w:t>
      </w:r>
      <w:r w:rsidR="0077204D">
        <w:rPr>
          <w:bCs/>
        </w:rPr>
        <w:t>.</w:t>
      </w:r>
      <w:r w:rsidRPr="00DD6EF1">
        <w:rPr>
          <w:bCs/>
        </w:rPr>
        <w:t xml:space="preserve"> </w:t>
      </w:r>
      <w:r>
        <w:rPr>
          <w:bCs/>
        </w:rPr>
        <w:t>Apsūdzētā nebija atvērusi zāļu iepakojumu, nebija iepazinusies ar tā saturu un zāļu lietošanas instrukciju.</w:t>
      </w:r>
      <w:r w:rsidR="0077204D">
        <w:rPr>
          <w:bCs/>
        </w:rPr>
        <w:t xml:space="preserve"> Zāļu iepakojums, ko </w:t>
      </w:r>
      <w:r w:rsidR="001F340A">
        <w:rPr>
          <w:bCs/>
        </w:rPr>
        <w:t>apsūdzētās</w:t>
      </w:r>
      <w:r w:rsidR="0077204D">
        <w:rPr>
          <w:bCs/>
        </w:rPr>
        <w:t xml:space="preserve"> mājā bija aizmirsusi māsa, neatvērts stāvēja uz skapīša un to atvēr</w:t>
      </w:r>
      <w:r w:rsidR="00C732F9">
        <w:rPr>
          <w:bCs/>
        </w:rPr>
        <w:t>a</w:t>
      </w:r>
      <w:r w:rsidR="00624C4B">
        <w:rPr>
          <w:bCs/>
        </w:rPr>
        <w:t xml:space="preserve"> </w:t>
      </w:r>
      <w:r w:rsidR="00CC1644">
        <w:rPr>
          <w:bCs/>
        </w:rPr>
        <w:t>[pers. D]</w:t>
      </w:r>
      <w:r w:rsidR="0077204D">
        <w:rPr>
          <w:bCs/>
        </w:rPr>
        <w:t>. Tikai pēc tam,</w:t>
      </w:r>
      <w:r w:rsidR="000D0EEB">
        <w:rPr>
          <w:bCs/>
        </w:rPr>
        <w:t xml:space="preserve"> kad bija nepieciešams izsaukt N</w:t>
      </w:r>
      <w:r w:rsidR="0077204D">
        <w:rPr>
          <w:bCs/>
        </w:rPr>
        <w:t>eatliekam</w:t>
      </w:r>
      <w:r w:rsidR="000D0EEB">
        <w:rPr>
          <w:bCs/>
        </w:rPr>
        <w:t>ās medicīniskās</w:t>
      </w:r>
      <w:r w:rsidR="0077204D">
        <w:rPr>
          <w:bCs/>
        </w:rPr>
        <w:t xml:space="preserve"> palīdzīb</w:t>
      </w:r>
      <w:r w:rsidR="000D0EEB">
        <w:rPr>
          <w:bCs/>
        </w:rPr>
        <w:t>as dienestu</w:t>
      </w:r>
      <w:r w:rsidR="00E0706A">
        <w:rPr>
          <w:bCs/>
        </w:rPr>
        <w:t xml:space="preserve"> </w:t>
      </w:r>
      <w:r w:rsidR="00CC1644">
        <w:rPr>
          <w:bCs/>
        </w:rPr>
        <w:t>[pers. D]</w:t>
      </w:r>
      <w:r w:rsidR="0077204D">
        <w:rPr>
          <w:bCs/>
        </w:rPr>
        <w:t>, apsūdzētā no māsas uzzinājusi, ka tās ir stipras miega zāles, ko apstiprinājuši arī medicīnas darbinieki. Neviena persona apsūdzēto nav informējusi, ka medikaments satur psihotropu vielu. Turklāt lietā pārbaudītie pierādījumi neapstiprina, ka apsūdz</w:t>
      </w:r>
      <w:r w:rsidR="000D0EEB">
        <w:rPr>
          <w:bCs/>
        </w:rPr>
        <w:t xml:space="preserve">ētā </w:t>
      </w:r>
      <w:r w:rsidR="00CC1644">
        <w:rPr>
          <w:bCs/>
        </w:rPr>
        <w:t>[pers. A]</w:t>
      </w:r>
      <w:r w:rsidR="000D0EEB">
        <w:rPr>
          <w:bCs/>
        </w:rPr>
        <w:t xml:space="preserve"> lieto psihotropā</w:t>
      </w:r>
      <w:r w:rsidR="0077204D">
        <w:rPr>
          <w:bCs/>
        </w:rPr>
        <w:t xml:space="preserve">s vielas. </w:t>
      </w:r>
    </w:p>
    <w:p w14:paraId="1851281F" w14:textId="5FE7BE05" w:rsidR="0077204D" w:rsidRPr="006F50B8" w:rsidRDefault="0077204D" w:rsidP="004C1DE6">
      <w:pPr>
        <w:spacing w:after="0" w:line="276" w:lineRule="auto"/>
        <w:ind w:firstLine="720"/>
        <w:jc w:val="both"/>
        <w:rPr>
          <w:bCs/>
        </w:rPr>
      </w:pPr>
      <w:r>
        <w:rPr>
          <w:bCs/>
        </w:rPr>
        <w:t>Apelācijas instances tiesa atzinusi, ka lietā esošais pierādījumu kopums, ar kuriem tiek pamatota apsūdzība, nav pietiekams, lai konstatētu apsūdzētā</w:t>
      </w:r>
      <w:r w:rsidR="00E0706A">
        <w:rPr>
          <w:bCs/>
        </w:rPr>
        <w:t>s</w:t>
      </w:r>
      <w:r>
        <w:rPr>
          <w:bCs/>
        </w:rPr>
        <w:t xml:space="preserve"> nodomu neatļauti iegādāties un glabāt psihotropu vielu saturošu medikamentu un atzītu apsūdzēto </w:t>
      </w:r>
      <w:r w:rsidR="00CC1644">
        <w:rPr>
          <w:bCs/>
        </w:rPr>
        <w:t>[pers. A]</w:t>
      </w:r>
      <w:r>
        <w:rPr>
          <w:bCs/>
        </w:rPr>
        <w:t xml:space="preserve"> par vainīgu Krimināllikuma </w:t>
      </w:r>
      <w:proofErr w:type="gramStart"/>
      <w:r>
        <w:rPr>
          <w:bCs/>
        </w:rPr>
        <w:t>253.panta</w:t>
      </w:r>
      <w:proofErr w:type="gramEnd"/>
      <w:r>
        <w:rPr>
          <w:bCs/>
        </w:rPr>
        <w:t xml:space="preserve"> pirmajā daļā paredzētajā noziedzīgajā nodarījumā. Turklāt no apsūdzības satura redzams, ka pirmstiesas kriminālprocesā nav noskaidroti apstākļi, kādos </w:t>
      </w:r>
      <w:r w:rsidR="00CC1644">
        <w:rPr>
          <w:bCs/>
        </w:rPr>
        <w:t>[pers. A]</w:t>
      </w:r>
      <w:r>
        <w:rPr>
          <w:bCs/>
        </w:rPr>
        <w:t xml:space="preserve"> ieguvusi savā valdījumā apsūdzībā norādīto medikamentu. </w:t>
      </w:r>
      <w:r w:rsidR="00DD6EF1">
        <w:rPr>
          <w:bCs/>
        </w:rPr>
        <w:t>Tiesa atzinusi, ka l</w:t>
      </w:r>
      <w:r>
        <w:rPr>
          <w:bCs/>
        </w:rPr>
        <w:t xml:space="preserve">ietā nav iegūti objektīvi pierādījumi, kas apstiprina apsūdzētās </w:t>
      </w:r>
      <w:r w:rsidR="00CC1644">
        <w:rPr>
          <w:bCs/>
        </w:rPr>
        <w:t>[pers. A]</w:t>
      </w:r>
      <w:r>
        <w:rPr>
          <w:bCs/>
        </w:rPr>
        <w:t xml:space="preserve"> nodomu iegādāties un savām </w:t>
      </w:r>
      <w:r w:rsidRPr="003111D8">
        <w:rPr>
          <w:bCs/>
        </w:rPr>
        <w:t xml:space="preserve">vajadzībām glabāt medikamentu, kas satur psihotropu vielu, kā arī nav </w:t>
      </w:r>
      <w:r>
        <w:rPr>
          <w:bCs/>
        </w:rPr>
        <w:t xml:space="preserve">iegūti </w:t>
      </w:r>
      <w:r w:rsidRPr="003111D8">
        <w:rPr>
          <w:bCs/>
        </w:rPr>
        <w:t xml:space="preserve">pierādījumi par to, ka apsūdzētā </w:t>
      </w:r>
      <w:r w:rsidR="00CC1644">
        <w:rPr>
          <w:bCs/>
        </w:rPr>
        <w:t>[pers. A]</w:t>
      </w:r>
      <w:r w:rsidRPr="003111D8">
        <w:rPr>
          <w:bCs/>
        </w:rPr>
        <w:t xml:space="preserve"> zināja, ka medikaments satur psihotropu vielu. </w:t>
      </w:r>
    </w:p>
    <w:p w14:paraId="421C1C9D" w14:textId="787C80D2" w:rsidR="00FD0576" w:rsidRDefault="0077204D" w:rsidP="004C1DE6">
      <w:pPr>
        <w:spacing w:after="0" w:line="276" w:lineRule="auto"/>
        <w:ind w:firstLine="720"/>
        <w:jc w:val="both"/>
      </w:pPr>
      <w:r w:rsidRPr="003111D8">
        <w:t>Senāts atzīst, ka a</w:t>
      </w:r>
      <w:r>
        <w:t>pe</w:t>
      </w:r>
      <w:r w:rsidRPr="003111D8">
        <w:t>lācijas instances tiesas atzinumi šajā lietā</w:t>
      </w:r>
      <w:r>
        <w:t xml:space="preserve"> par noziedzīga nodarījuma sastāva subjektīvās puses neesību</w:t>
      </w:r>
      <w:r w:rsidR="006F50B8">
        <w:t xml:space="preserve"> ir pamatoti un atbilst</w:t>
      </w:r>
      <w:r w:rsidRPr="003111D8">
        <w:t xml:space="preserve"> </w:t>
      </w:r>
      <w:r w:rsidR="00821194">
        <w:t xml:space="preserve">arī </w:t>
      </w:r>
      <w:r w:rsidRPr="003111D8">
        <w:t>tiesību teorijā nostiprinātajām atziņām</w:t>
      </w:r>
      <w:r>
        <w:t>.</w:t>
      </w:r>
    </w:p>
    <w:p w14:paraId="4510EF14" w14:textId="3BD69206" w:rsidR="00FD0576" w:rsidRDefault="00FD0576" w:rsidP="004C1DE6">
      <w:pPr>
        <w:autoSpaceDE w:val="0"/>
        <w:autoSpaceDN w:val="0"/>
        <w:adjustRightInd w:val="0"/>
        <w:spacing w:after="0" w:line="276" w:lineRule="auto"/>
        <w:ind w:firstLine="720"/>
        <w:jc w:val="both"/>
        <w:rPr>
          <w:rFonts w:eastAsia="Times New Roman" w:cs="Times New Roman"/>
          <w:szCs w:val="24"/>
        </w:rPr>
      </w:pPr>
      <w:r>
        <w:t>[</w:t>
      </w:r>
      <w:r w:rsidR="000F4935">
        <w:t>9.3</w:t>
      </w:r>
      <w:r>
        <w:t>]</w:t>
      </w:r>
      <w:r w:rsidR="00807551">
        <w:t> </w:t>
      </w:r>
      <w:r w:rsidRPr="0065234A">
        <w:rPr>
          <w:rFonts w:eastAsia="Times New Roman" w:cs="Times New Roman"/>
          <w:szCs w:val="24"/>
        </w:rPr>
        <w:t>Apelācijas instances tiesa</w:t>
      </w:r>
      <w:r>
        <w:rPr>
          <w:rFonts w:eastAsia="Times New Roman" w:cs="Times New Roman"/>
          <w:szCs w:val="24"/>
        </w:rPr>
        <w:t xml:space="preserve"> pamatoti atsaukusies uz Kr</w:t>
      </w:r>
      <w:r w:rsidRPr="0065234A">
        <w:rPr>
          <w:rFonts w:eastAsia="Times New Roman" w:cs="Times New Roman"/>
          <w:szCs w:val="24"/>
        </w:rPr>
        <w:t>i</w:t>
      </w:r>
      <w:r>
        <w:rPr>
          <w:rFonts w:eastAsia="Times New Roman" w:cs="Times New Roman"/>
          <w:szCs w:val="24"/>
        </w:rPr>
        <w:t xml:space="preserve">minālprocesa likuma </w:t>
      </w:r>
      <w:proofErr w:type="gramStart"/>
      <w:r>
        <w:rPr>
          <w:rFonts w:eastAsia="Times New Roman" w:cs="Times New Roman"/>
          <w:szCs w:val="24"/>
        </w:rPr>
        <w:t>19.pantu</w:t>
      </w:r>
      <w:proofErr w:type="gramEnd"/>
      <w:r>
        <w:rPr>
          <w:rFonts w:eastAsia="Times New Roman" w:cs="Times New Roman"/>
          <w:szCs w:val="24"/>
        </w:rPr>
        <w:t>, jo tiesai bija</w:t>
      </w:r>
      <w:r w:rsidRPr="0065234A">
        <w:rPr>
          <w:rFonts w:eastAsia="Times New Roman" w:cs="Times New Roman"/>
          <w:szCs w:val="24"/>
        </w:rPr>
        <w:t xml:space="preserve"> radušās šaubas par </w:t>
      </w:r>
      <w:r w:rsidR="00CC1644">
        <w:rPr>
          <w:rFonts w:eastAsia="Times New Roman" w:cs="Times New Roman"/>
          <w:szCs w:val="24"/>
        </w:rPr>
        <w:t>[pers. A]</w:t>
      </w:r>
      <w:r>
        <w:rPr>
          <w:rFonts w:eastAsia="Times New Roman" w:cs="Times New Roman"/>
          <w:szCs w:val="24"/>
        </w:rPr>
        <w:t xml:space="preserve"> vainīgumu.</w:t>
      </w:r>
    </w:p>
    <w:p w14:paraId="35B0B207" w14:textId="7B4A3947" w:rsidR="00FD0576" w:rsidRPr="0065234A" w:rsidRDefault="00FD0576"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Eiropas Cilvēka tiesību un pamatbrīvību aizsardzības konvencijas</w:t>
      </w:r>
      <w:r w:rsidR="00BF0998">
        <w:rPr>
          <w:rFonts w:eastAsia="Times New Roman" w:cs="Times New Roman"/>
          <w:szCs w:val="24"/>
        </w:rPr>
        <w:t xml:space="preserve"> (turpmāk arī – Konvencija)</w:t>
      </w:r>
      <w:r w:rsidRPr="0065234A">
        <w:rPr>
          <w:rFonts w:eastAsia="Times New Roman" w:cs="Times New Roman"/>
          <w:szCs w:val="24"/>
        </w:rPr>
        <w:t xml:space="preserve"> </w:t>
      </w:r>
      <w:proofErr w:type="gramStart"/>
      <w:r w:rsidRPr="0065234A">
        <w:rPr>
          <w:rFonts w:eastAsia="Times New Roman" w:cs="Times New Roman"/>
          <w:szCs w:val="24"/>
        </w:rPr>
        <w:t>6.panta</w:t>
      </w:r>
      <w:proofErr w:type="gramEnd"/>
      <w:r w:rsidRPr="0065234A">
        <w:rPr>
          <w:rFonts w:eastAsia="Times New Roman" w:cs="Times New Roman"/>
          <w:szCs w:val="24"/>
        </w:rPr>
        <w:t xml:space="preserve"> 2.punktā norādīts, ka ikviens, kas tiek apsūdzēts kriminālnoziegumā, tiek uzskatīts par nevainīgu, kamēr viņa vaina netiek pierādīta saskaņā ar likumu.</w:t>
      </w:r>
    </w:p>
    <w:p w14:paraId="56AA7ABA" w14:textId="77777777" w:rsidR="00FD0576" w:rsidRPr="0065234A" w:rsidRDefault="00FD0576"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 xml:space="preserve">Kriminālprocesa likuma </w:t>
      </w:r>
      <w:proofErr w:type="gramStart"/>
      <w:r w:rsidRPr="0065234A">
        <w:rPr>
          <w:rFonts w:eastAsia="Times New Roman" w:cs="Times New Roman"/>
          <w:szCs w:val="24"/>
        </w:rPr>
        <w:t>19.pantā</w:t>
      </w:r>
      <w:proofErr w:type="gramEnd"/>
      <w:r w:rsidRPr="0065234A">
        <w:rPr>
          <w:rFonts w:eastAsia="Times New Roman" w:cs="Times New Roman"/>
          <w:szCs w:val="24"/>
        </w:rPr>
        <w:t xml:space="preserve"> definēts viens no kriminālprocesa pamatprincipiem –nevainīguma prezumpcija. Minētā panta otrā daļa noteic, ka personai, kurai ir tiesības uz aizstāvību, nav jāpierāda savs nevainīgums, bet trešā daļa noteic, ka visas saprātīgās šaubas par vainu, kuras nav iespējams novērst, jāvērtē par labu personai, kurai ir tiesības uz aizstāvību.</w:t>
      </w:r>
    </w:p>
    <w:p w14:paraId="653316A6" w14:textId="77777777" w:rsidR="00FD0576" w:rsidRPr="0065234A" w:rsidRDefault="00FD0576"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 xml:space="preserve">Tiesību zinātnē par nevainīguma prezumpciju izteiktas šādas atziņas. </w:t>
      </w:r>
    </w:p>
    <w:p w14:paraId="66E6C9EF" w14:textId="42DB9811" w:rsidR="00FD0576" w:rsidRPr="006F50B8" w:rsidRDefault="00FD0576"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Nevainīguma prezumpcija ir viens no fundamentāliem kriminālprocesa pamatprincipiem, kura tiesiskais regulējums ietverts gan Satversmē, gan starptautiskos un Eiropas Savienības normatīvos aktos, gan Kriminālprocesa likumā. Nevainīguma prezumpcija nav tipiska prezumpcija, kas balstīta faktos vai pieredzē, bet gan tiesiski nostiprināts pieņēmums, kurš nosaka procesuālās rīcības šī vārda plašākā nozīmē modeli. Nevainīguma prezumpcija paredz kā pieņēmumu personas nevainīgumu, nevis vienādojama ar vainas prezumpcijas neesamību. Nevai</w:t>
      </w:r>
      <w:r w:rsidR="00D208A6">
        <w:rPr>
          <w:rFonts w:eastAsia="Times New Roman" w:cs="Times New Roman"/>
          <w:szCs w:val="24"/>
        </w:rPr>
        <w:t>nīguma prezumpcija nodrošina</w:t>
      </w:r>
      <w:r w:rsidRPr="0065234A">
        <w:rPr>
          <w:rFonts w:eastAsia="Times New Roman" w:cs="Times New Roman"/>
          <w:szCs w:val="24"/>
        </w:rPr>
        <w:t xml:space="preserve"> to, ka, pirms vainīgums nav konstatēts likumā noteiktā kārtībā, persona netiek nedz atzīta, nedz uzskatīta par vainīgu. Kamēr pirmais nodrošina tiesisku un citu seku pāragru neattiecināšanu pret personu, otrais gādā par atbilstošu attieksmi pret personu procesa laikā </w:t>
      </w:r>
      <w:proofErr w:type="gramStart"/>
      <w:r w:rsidRPr="0065234A">
        <w:rPr>
          <w:rFonts w:eastAsia="Times New Roman" w:cs="Times New Roman"/>
          <w:szCs w:val="24"/>
        </w:rPr>
        <w:t>(</w:t>
      </w:r>
      <w:proofErr w:type="gramEnd"/>
      <w:r w:rsidRPr="0065234A">
        <w:rPr>
          <w:rFonts w:eastAsia="Times New Roman" w:cs="Times New Roman"/>
          <w:i/>
          <w:szCs w:val="24"/>
        </w:rPr>
        <w:t>Strada</w:t>
      </w:r>
      <w:r w:rsidRPr="0065234A">
        <w:rPr>
          <w:rFonts w:eastAsia="Times New Roman" w:cs="Times New Roman"/>
          <w:i/>
          <w:szCs w:val="24"/>
        </w:rPr>
        <w:noBreakHyphen/>
        <w:t xml:space="preserve">Rozenberga K. Kas ir nevainīguma </w:t>
      </w:r>
      <w:r w:rsidRPr="0065234A">
        <w:rPr>
          <w:rFonts w:eastAsia="Times New Roman" w:cs="Times New Roman"/>
          <w:i/>
          <w:szCs w:val="24"/>
        </w:rPr>
        <w:lastRenderedPageBreak/>
        <w:t>prezumpcija, un ko tā paredz. Jurista Vārds, 06.08.2019., Nr. 31, kopsavilkuma 1., 3., 5., 6.punkts</w:t>
      </w:r>
      <w:r w:rsidRPr="0065234A">
        <w:rPr>
          <w:rFonts w:eastAsia="Times New Roman" w:cs="Times New Roman"/>
          <w:szCs w:val="24"/>
        </w:rPr>
        <w:t>).</w:t>
      </w:r>
    </w:p>
    <w:p w14:paraId="7993757F" w14:textId="5297998A" w:rsidR="00EB513A" w:rsidRDefault="00FD0576" w:rsidP="004C1DE6">
      <w:pPr>
        <w:spacing w:after="0" w:line="276" w:lineRule="auto"/>
        <w:ind w:firstLine="720"/>
        <w:jc w:val="both"/>
      </w:pPr>
      <w:r>
        <w:t>[</w:t>
      </w:r>
      <w:r w:rsidR="000F4935">
        <w:t>9.4</w:t>
      </w:r>
      <w:r>
        <w:t xml:space="preserve">] </w:t>
      </w:r>
      <w:r w:rsidR="00946F00">
        <w:t>Kriminālprocesa likuma 130.panta otrās daļas 4.punkts noteic, ka par nepieļaujamām un pierādīšanā neizmantojamām atzīstamas tādas ziņas par faktiem, kuras iegūtas, pārkāpjot kriminālprocesa pamatprincipus.</w:t>
      </w:r>
      <w:r w:rsidR="00946F00" w:rsidRPr="00946F00">
        <w:t xml:space="preserve"> </w:t>
      </w:r>
    </w:p>
    <w:p w14:paraId="4ED6A991" w14:textId="1340F5F4" w:rsidR="00EB513A" w:rsidRDefault="00EB513A" w:rsidP="004C1DE6">
      <w:pPr>
        <w:spacing w:after="0" w:line="276" w:lineRule="auto"/>
        <w:ind w:firstLine="720"/>
        <w:jc w:val="both"/>
      </w:pPr>
      <w:r>
        <w:t>Apelācijas instances tiesa</w:t>
      </w:r>
      <w:r w:rsidRPr="005B6D6D">
        <w:t xml:space="preserve"> </w:t>
      </w:r>
      <w:r>
        <w:t>atzinusi par nepieļaujamu un pierādīšanā neizmantojamu pierādījumu</w:t>
      </w:r>
      <w:r w:rsidR="00D208A6">
        <w:t xml:space="preserve"> </w:t>
      </w:r>
      <w:r w:rsidR="00BF0D2F">
        <w:t>policijas darbinieka</w:t>
      </w:r>
      <w:r w:rsidR="00D208A6">
        <w:t xml:space="preserve"> </w:t>
      </w:r>
      <w:r w:rsidR="00CC1644">
        <w:t>[pers. B]</w:t>
      </w:r>
      <w:r>
        <w:t xml:space="preserve"> telefonsarunas ierakstu</w:t>
      </w:r>
      <w:r w:rsidR="00BF0D2F">
        <w:t xml:space="preserve"> ar</w:t>
      </w:r>
      <w:r w:rsidR="00D208A6">
        <w:t xml:space="preserve"> </w:t>
      </w:r>
      <w:r w:rsidR="00CC1644">
        <w:t>[pers. A]</w:t>
      </w:r>
      <w:r>
        <w:t xml:space="preserve">. </w:t>
      </w:r>
    </w:p>
    <w:p w14:paraId="17D58473" w14:textId="2F19FA52" w:rsidR="00946F00" w:rsidRDefault="00946F00" w:rsidP="004C1DE6">
      <w:pPr>
        <w:spacing w:after="0" w:line="276" w:lineRule="auto"/>
        <w:ind w:firstLine="720"/>
        <w:jc w:val="both"/>
      </w:pPr>
      <w:r>
        <w:t>Apelācijas instances tiesa konstatējusi, ka,</w:t>
      </w:r>
      <w:r w:rsidR="00014533">
        <w:t xml:space="preserve"> pārbaudot policijā reģistrēto N</w:t>
      </w:r>
      <w:r>
        <w:t xml:space="preserve">eatliekamās medicīniskās palīdzības dienesta ziņojumu, policijas darbinieks </w:t>
      </w:r>
      <w:r w:rsidR="00CC1644">
        <w:t>[pers. B]</w:t>
      </w:r>
      <w:r>
        <w:t xml:space="preserve"> sazinājās ar </w:t>
      </w:r>
      <w:r w:rsidR="00CC1644">
        <w:t>[pers. A]</w:t>
      </w:r>
      <w:r>
        <w:t xml:space="preserve"> telefoniski un slepeni veica sarunas ierakstu, neinformēja </w:t>
      </w:r>
      <w:r w:rsidR="00CC1644">
        <w:t>[pers. A]</w:t>
      </w:r>
      <w:r>
        <w:t>, ka saruna tiek ierakstīta, kā arī neinformēja par tiesībām sevi neaprunāt, ka sarunā teikto turpmāk varētu izmantot viņas vainīguma pierādīšanai pārkāpuma izdarīšanā.</w:t>
      </w:r>
      <w:r w:rsidR="00EB513A" w:rsidRPr="00EB513A">
        <w:t xml:space="preserve"> </w:t>
      </w:r>
      <w:r w:rsidR="00EB513A">
        <w:t xml:space="preserve">Apelācijas instances tiesa atzinusi, ka </w:t>
      </w:r>
      <w:r w:rsidR="00CC1644">
        <w:t>[pers.</w:t>
      </w:r>
      <w:r w:rsidR="00022B1D">
        <w:t> </w:t>
      </w:r>
      <w:r w:rsidR="00CC1644">
        <w:t>A]</w:t>
      </w:r>
      <w:r w:rsidR="00EB513A">
        <w:t xml:space="preserve"> tiesības uz aizstāvību tika pārkāptas, jo kriminālprocesā personai, kurai ir tiesības uz aizstāvību, ir tiesības sevi neaprunāt un atteikties liecināt. </w:t>
      </w:r>
    </w:p>
    <w:p w14:paraId="2B8280A1" w14:textId="1A341DEC" w:rsidR="005F7297" w:rsidRDefault="005F7297" w:rsidP="004C1DE6">
      <w:pPr>
        <w:spacing w:after="0" w:line="276" w:lineRule="auto"/>
        <w:ind w:firstLine="720"/>
        <w:jc w:val="both"/>
      </w:pPr>
      <w:r>
        <w:t>Tiesa atzinusi, ka ir pārkāpts vien</w:t>
      </w:r>
      <w:r w:rsidR="002B11E4">
        <w:t>s</w:t>
      </w:r>
      <w:r>
        <w:t xml:space="preserve"> no kriminālprocesa pamatprincipiem – tiesības uz aizstāvību –, proti, personai ir jābūt informētai par savu statusu, par tiesībām uz aizstāvību, par iegūtajiem pierādījumiem un tai jānodrošina iespēja pret tiem aizstāvēties. </w:t>
      </w:r>
    </w:p>
    <w:p w14:paraId="4051AC24" w14:textId="3C70B840" w:rsidR="00BC3C1D" w:rsidRDefault="00BC3C1D" w:rsidP="004C1DE6">
      <w:pPr>
        <w:spacing w:after="0" w:line="276" w:lineRule="auto"/>
        <w:ind w:firstLine="720"/>
        <w:jc w:val="both"/>
      </w:pPr>
      <w:r>
        <w:t xml:space="preserve">Prokurore kasācijas protestā norādījusi, ka slepenā telefonsarunas ierakstīšanas situācija neatšķiras no tām, kurās persona atklāj draugam vai paziņam, kuram uzticas, informāciju, maldīgi uzskatot, ka tā netiks izpausta tālāk. </w:t>
      </w:r>
    </w:p>
    <w:p w14:paraId="7467D89E" w14:textId="22ED5315" w:rsidR="00E86803" w:rsidRDefault="00BC3C1D" w:rsidP="004C1DE6">
      <w:pPr>
        <w:spacing w:after="0" w:line="276" w:lineRule="auto"/>
        <w:ind w:firstLine="720"/>
        <w:jc w:val="both"/>
      </w:pPr>
      <w:r>
        <w:t>Kasācijas instances tiesa</w:t>
      </w:r>
      <w:r w:rsidR="00EB513A">
        <w:t>s ieskatā</w:t>
      </w:r>
      <w:r>
        <w:t xml:space="preserve"> atšķirīgi jāvērtē gadījumi, kad telefonsarunu ierakstus veic fiziska persona vai valsts varas pārstāvis, piemēram, policijas darbinieks, pildot </w:t>
      </w:r>
      <w:r w:rsidR="00C5114B">
        <w:t>savus dienesta pienākumus. A</w:t>
      </w:r>
      <w:r>
        <w:t xml:space="preserve">pstāklis, ka sarunas laikā kriminālprocess nebija uzsākts, </w:t>
      </w:r>
      <w:r w:rsidR="00EB513A">
        <w:t xml:space="preserve">pēc </w:t>
      </w:r>
      <w:r>
        <w:t xml:space="preserve">Senāta </w:t>
      </w:r>
      <w:r w:rsidR="00EB513A">
        <w:t>domām,</w:t>
      </w:r>
      <w:r>
        <w:t xml:space="preserve"> nav izšķirošs</w:t>
      </w:r>
      <w:r w:rsidR="00EB513A">
        <w:t>, jo policijas darbinieks pārbaudīja konkrētu informāciju par iespējamu personas pārkāpumu</w:t>
      </w:r>
      <w:r>
        <w:t xml:space="preserve">. </w:t>
      </w:r>
      <w:r w:rsidR="00AD7A7E">
        <w:t xml:space="preserve">Turklāt </w:t>
      </w:r>
      <w:r w:rsidR="00CC1644">
        <w:t>[pers. B]</w:t>
      </w:r>
      <w:r w:rsidR="00E86803">
        <w:t xml:space="preserve"> bija tā persona, kas izņēma norādīto medikamentu un arī pieņēma lēmumu par kriminālprocesa uzsākšanu. Tādējādi policijas darbinieks faktiski jau bija sācis vākt </w:t>
      </w:r>
      <w:r w:rsidR="00913622">
        <w:t>ziņas par faktiem</w:t>
      </w:r>
      <w:r w:rsidR="00E86803">
        <w:t xml:space="preserve">. </w:t>
      </w:r>
    </w:p>
    <w:p w14:paraId="4D021506" w14:textId="04696940" w:rsidR="00AF1C20" w:rsidRDefault="00EB513A" w:rsidP="004C1DE6">
      <w:pPr>
        <w:spacing w:after="0" w:line="276" w:lineRule="auto"/>
        <w:ind w:firstLine="720"/>
        <w:jc w:val="both"/>
      </w:pPr>
      <w:r>
        <w:t>Liegums uzlikt pierādīšanas pienākumu uz personām, kas bauda tiesības uz aizstāvību, skatāms kopsakarā ar šo personu tiesībām neliecināt un nesniegt sevi inkrimi</w:t>
      </w:r>
      <w:r w:rsidR="00150229">
        <w:t xml:space="preserve">nējošu (apsūdzošu) informāciju </w:t>
      </w:r>
      <w:proofErr w:type="gramStart"/>
      <w:r w:rsidR="00150229">
        <w:t>(</w:t>
      </w:r>
      <w:proofErr w:type="gramEnd"/>
      <w:r w:rsidR="00B858F7">
        <w:rPr>
          <w:i/>
        </w:rPr>
        <w:t>Zinātniskā monogrāfija prof. K. </w:t>
      </w:r>
      <w:proofErr w:type="spellStart"/>
      <w:r w:rsidR="00B858F7">
        <w:rPr>
          <w:i/>
        </w:rPr>
        <w:t>Stradas</w:t>
      </w:r>
      <w:proofErr w:type="spellEnd"/>
      <w:r w:rsidR="00B858F7">
        <w:rPr>
          <w:i/>
        </w:rPr>
        <w:noBreakHyphen/>
        <w:t xml:space="preserve">Rozenbergas zinātniskā redakcijā. </w:t>
      </w:r>
      <w:r w:rsidR="00150229">
        <w:rPr>
          <w:i/>
        </w:rPr>
        <w:t xml:space="preserve">Kriminālprocesa likuma komentāri. A daļa. Rīga: Latvijas Vēstnesis, </w:t>
      </w:r>
      <w:r w:rsidR="00150229" w:rsidRPr="00150229">
        <w:rPr>
          <w:i/>
        </w:rPr>
        <w:t>2019, 91.lpp.</w:t>
      </w:r>
      <w:r w:rsidR="00150229">
        <w:t>).</w:t>
      </w:r>
      <w:r w:rsidR="00AF1C20" w:rsidRPr="00AF1C20">
        <w:t xml:space="preserve"> </w:t>
      </w:r>
    </w:p>
    <w:p w14:paraId="437A4B7E" w14:textId="23918A4D" w:rsidR="001B1819" w:rsidRDefault="00AF5AB6" w:rsidP="004C1DE6">
      <w:pPr>
        <w:spacing w:after="0" w:line="276" w:lineRule="auto"/>
        <w:ind w:firstLine="720"/>
        <w:jc w:val="both"/>
      </w:pPr>
      <w:r w:rsidRPr="00AF5AB6">
        <w:t>Uz tiesību klusēt īpašu nozīmi un vietu tiesiskuma nodrošināšanas mehānismā norāda arī apstāklis, ka tās ir cieši saistītas vienlaikus ar vairākiem kriminālprocesuālajiem pamatprincipiem – nevainīguma prezumpciju, tiesībām uz taisnīgu tiesu, tiesībām uz aizstāvību, cilvēktiesību garantēšanas principu, spīdzināšanas un pazemošanas aizliegumu, procesuālo pilnvaru līdzvērtības principu u.c.</w:t>
      </w:r>
      <w:r>
        <w:t xml:space="preserve"> </w:t>
      </w:r>
      <w:proofErr w:type="spellStart"/>
      <w:r w:rsidRPr="00AF5AB6">
        <w:t>Pašapsūdzošo</w:t>
      </w:r>
      <w:proofErr w:type="spellEnd"/>
      <w:r w:rsidRPr="00AF5AB6">
        <w:t xml:space="preserve"> ziņu sniegšana kā tāda neliedz tās izmantot pret cilvēku celtās apsūdzības pamatošanai. Ja persona, pret kuru notiek kriminālprocess, brīvprātīgi jebkādā daļā atsakās no tiesībām klusēt un apzinās šīs atteikšanās sekas, no tās iegūto informāciju var izmantot vainīguma pierādīšanā. Atteikšanās no privilēģijas sevi neapsūdzēt</w:t>
      </w:r>
      <w:proofErr w:type="gramStart"/>
      <w:r w:rsidRPr="00AF5AB6">
        <w:t xml:space="preserve"> un</w:t>
      </w:r>
      <w:proofErr w:type="gramEnd"/>
      <w:r w:rsidRPr="00AF5AB6">
        <w:t xml:space="preserve"> šādas rīcības rezultāta apzināšanās ir saistāma ar pienācīgu tiesību klusēt izskaidrošanu un juridiskās palīdzības nodrošināšanu personai, kurai ir tiesības uz aizstāvību. Šie ir divi procesuālā rakstura aspekti, kuri būtiski mazina iespēju, ka persona ziņas, kuras varētu tikt izmantotas pret viņu, sniedz pretēji savai gribai.</w:t>
      </w:r>
      <w:r>
        <w:t xml:space="preserve"> </w:t>
      </w:r>
      <w:r w:rsidRPr="00AF5AB6">
        <w:t xml:space="preserve">Attiecībā uz maldināšanu kā personas gribas ietekmēšanas veidu jānorāda, ka tā praksē visbiežāk izpaužas kā ziņu nesniegšana par personas tiesībām sevi neapsūdzēt vai nepilnīgas, sagrozītas informācijas </w:t>
      </w:r>
      <w:r w:rsidRPr="00AF5AB6">
        <w:lastRenderedPageBreak/>
        <w:t>sniegšana personai. Turklāt jāievēro, ka par maldināšanu ir uzskatāmi arī gadījumi, kad personu neinformē arī par tiesību klusēt neizmantošanas sekām.</w:t>
      </w:r>
      <w:r>
        <w:t xml:space="preserve"> </w:t>
      </w:r>
      <w:r>
        <w:rPr>
          <w:color w:val="101820"/>
        </w:rPr>
        <w:t>Tiesību klusēt aizskāruma gadījumā vienīgā iespēja nostādīt personu tādā pašā stāvoklī, kādā tā būtu bijusi, ir atzīt par pierādīšanā neizmantojamām tās ziņas, kuras iegūtas, pārkāpjot minētās kriminālprocesuālās pamattiesības un nevainīguma prezumpciju (</w:t>
      </w:r>
      <w:proofErr w:type="spellStart"/>
      <w:r w:rsidRPr="00AF5AB6">
        <w:rPr>
          <w:i/>
          <w:color w:val="101820"/>
        </w:rPr>
        <w:t>Berezins</w:t>
      </w:r>
      <w:proofErr w:type="spellEnd"/>
      <w:r w:rsidRPr="00AF5AB6">
        <w:rPr>
          <w:i/>
          <w:color w:val="101820"/>
        </w:rPr>
        <w:t xml:space="preserve"> A. Kriminālprocesuālā </w:t>
      </w:r>
      <w:proofErr w:type="spellStart"/>
      <w:r w:rsidRPr="00AF5AB6">
        <w:rPr>
          <w:i/>
          <w:color w:val="101820"/>
        </w:rPr>
        <w:t>pamattiesība</w:t>
      </w:r>
      <w:proofErr w:type="spellEnd"/>
      <w:r w:rsidRPr="00AF5AB6">
        <w:rPr>
          <w:i/>
          <w:color w:val="101820"/>
        </w:rPr>
        <w:t xml:space="preserve"> klusēt: saturs un problemātika. Jurista Vārds, 19.12.2017., Nr. 52, 1., 7.-9.lpp.</w:t>
      </w:r>
      <w:r>
        <w:rPr>
          <w:color w:val="101820"/>
        </w:rPr>
        <w:t xml:space="preserve">). </w:t>
      </w:r>
    </w:p>
    <w:p w14:paraId="7B6088FE" w14:textId="7D70FEFA" w:rsidR="0084116A" w:rsidRDefault="00AF1C20" w:rsidP="004C1DE6">
      <w:pPr>
        <w:spacing w:after="0" w:line="276" w:lineRule="auto"/>
        <w:ind w:firstLine="720"/>
        <w:jc w:val="both"/>
      </w:pPr>
      <w:r>
        <w:t xml:space="preserve">Senāts konstatē, ka prokurores viedoklī ietvertā atsauce uz Augstākās tiesas </w:t>
      </w:r>
      <w:proofErr w:type="gramStart"/>
      <w:r>
        <w:t>2020.gada</w:t>
      </w:r>
      <w:proofErr w:type="gramEnd"/>
      <w:r>
        <w:t xml:space="preserve"> 25.februāra lēmumu lietā Nr. SKK-2/2020 ir nepamatota, jo norādītajā lēmumā ir vērtēti atšķirīgi faktiskie un juridiskie apstākļi, proti, tiesa ir vērtējusi pierādījuma – balss parauga – pieļaujamību. Turklāt tiesa konstatējusi, ka no protokola par nepieciešamo paraugu ņemšanu salīdzinošajai izpētei redzams, ka apsūdzētais balss paraugus iesniedzis labprātīgi saskaņā ar Kriminālprocesa likuma 208.panta prasībām. Līdz ar to tiesa atzinusi, ka balss paraugi iegūti nepārkāpjot personas tiesības sevi neapsūdzēt.</w:t>
      </w:r>
      <w:r w:rsidRPr="009F5DED">
        <w:t xml:space="preserve"> </w:t>
      </w:r>
    </w:p>
    <w:p w14:paraId="43536AE6" w14:textId="08C8DC49" w:rsidR="004C4E10" w:rsidRPr="00150229" w:rsidRDefault="005F7297" w:rsidP="004C1DE6">
      <w:pPr>
        <w:spacing w:after="0" w:line="276" w:lineRule="auto"/>
        <w:ind w:firstLine="720"/>
        <w:jc w:val="both"/>
      </w:pPr>
      <w:r>
        <w:t xml:space="preserve">Eiropas Cilvēktiesību tiesas ieskatā pierādījumu iegūšana, </w:t>
      </w:r>
      <w:proofErr w:type="gramStart"/>
      <w:r>
        <w:t>ne</w:t>
      </w:r>
      <w:r w:rsidR="00760638">
        <w:t>ņemot vērā</w:t>
      </w:r>
      <w:r>
        <w:t xml:space="preserve"> </w:t>
      </w:r>
      <w:r w:rsidR="009F5DED">
        <w:t>personas</w:t>
      </w:r>
      <w:r>
        <w:t xml:space="preserve"> pausto gribu klusēt</w:t>
      </w:r>
      <w:proofErr w:type="gramEnd"/>
      <w:r>
        <w:t xml:space="preserve"> un neliecināt pret sevi,</w:t>
      </w:r>
      <w:r w:rsidR="009F5DED">
        <w:t xml:space="preserve"> </w:t>
      </w:r>
      <w:r>
        <w:t xml:space="preserve">un to izmantošana tiesas procesā ir pretrunā tiesībām uz taisnīgu tiesu. </w:t>
      </w:r>
      <w:r w:rsidR="009F5DED" w:rsidRPr="007C2825">
        <w:rPr>
          <w:rFonts w:cs="Times New Roman"/>
          <w:szCs w:val="24"/>
        </w:rPr>
        <w:t xml:space="preserve">Tāpat </w:t>
      </w:r>
      <w:bookmarkStart w:id="2" w:name="_Hlk67581152"/>
      <w:proofErr w:type="gramStart"/>
      <w:r w:rsidR="009F5DED" w:rsidRPr="007C2825">
        <w:rPr>
          <w:rFonts w:cs="Times New Roman"/>
          <w:szCs w:val="24"/>
        </w:rPr>
        <w:t>2003.gada</w:t>
      </w:r>
      <w:proofErr w:type="gramEnd"/>
      <w:r w:rsidR="009F5DED" w:rsidRPr="007C2825">
        <w:rPr>
          <w:rFonts w:cs="Times New Roman"/>
          <w:szCs w:val="24"/>
        </w:rPr>
        <w:t xml:space="preserve"> 19.jūnija sprieduma lietā „</w:t>
      </w:r>
      <w:proofErr w:type="spellStart"/>
      <w:r w:rsidR="009F5DED" w:rsidRPr="007C2825">
        <w:rPr>
          <w:rFonts w:cs="Times New Roman"/>
          <w:szCs w:val="24"/>
        </w:rPr>
        <w:t>Hulki</w:t>
      </w:r>
      <w:proofErr w:type="spellEnd"/>
      <w:r w:rsidR="009F5DED" w:rsidRPr="007C2825">
        <w:rPr>
          <w:rFonts w:cs="Times New Roman"/>
          <w:szCs w:val="24"/>
        </w:rPr>
        <w:t xml:space="preserve"> </w:t>
      </w:r>
      <w:proofErr w:type="spellStart"/>
      <w:r w:rsidR="009F5DED" w:rsidRPr="007C2825">
        <w:rPr>
          <w:rFonts w:cs="Times New Roman"/>
          <w:szCs w:val="24"/>
        </w:rPr>
        <w:t>Güneş</w:t>
      </w:r>
      <w:proofErr w:type="spellEnd"/>
      <w:r w:rsidR="009F5DED" w:rsidRPr="007C2825">
        <w:rPr>
          <w:rFonts w:cs="Times New Roman"/>
          <w:szCs w:val="24"/>
        </w:rPr>
        <w:t xml:space="preserve"> v. </w:t>
      </w:r>
      <w:proofErr w:type="spellStart"/>
      <w:r w:rsidR="009F5DED" w:rsidRPr="007C2825">
        <w:rPr>
          <w:rFonts w:cs="Times New Roman"/>
          <w:szCs w:val="24"/>
        </w:rPr>
        <w:t>Turkey</w:t>
      </w:r>
      <w:proofErr w:type="spellEnd"/>
      <w:r w:rsidR="009F5DED" w:rsidRPr="007C2825">
        <w:rPr>
          <w:rFonts w:cs="Times New Roman"/>
          <w:szCs w:val="24"/>
        </w:rPr>
        <w:t>”, iesnieguma Nr. 28490/95</w:t>
      </w:r>
      <w:bookmarkEnd w:id="2"/>
      <w:r w:rsidR="009F5DED" w:rsidRPr="007C2825">
        <w:rPr>
          <w:rFonts w:cs="Times New Roman"/>
          <w:szCs w:val="24"/>
        </w:rPr>
        <w:t xml:space="preserve">, 86.punktā ECT atzinusi, ka pierādījumu iegūšanu galvenokārt reglamentē katras valsts tiesību normas un principā pierādījumi ir jāvērtē katras valsts tiesām. </w:t>
      </w:r>
      <w:r w:rsidR="006F50B8">
        <w:rPr>
          <w:rFonts w:cs="Times New Roman"/>
          <w:szCs w:val="24"/>
        </w:rPr>
        <w:t>EC</w:t>
      </w:r>
      <w:r w:rsidR="009F5DED" w:rsidRPr="007C2825">
        <w:rPr>
          <w:rFonts w:cs="Times New Roman"/>
          <w:szCs w:val="24"/>
        </w:rPr>
        <w:t xml:space="preserve">T uzdevums saskaņā ar Konvenciju ir pārliecināties, vai tiesvedība kopumā, ieskaitot pierādījumu iegūšanas veidu, ir bijusi taisnīga </w:t>
      </w:r>
      <w:r w:rsidR="009F5DED" w:rsidRPr="00150229">
        <w:rPr>
          <w:rFonts w:cs="Times New Roman"/>
          <w:szCs w:val="24"/>
        </w:rPr>
        <w:t xml:space="preserve">[..]. </w:t>
      </w:r>
      <w:bookmarkStart w:id="3" w:name="_Hlk62475201"/>
    </w:p>
    <w:bookmarkEnd w:id="3"/>
    <w:p w14:paraId="666FF452" w14:textId="3EE3D072" w:rsidR="00DB6FB5" w:rsidRDefault="00D14C53" w:rsidP="004C1DE6">
      <w:pPr>
        <w:spacing w:after="0" w:line="276" w:lineRule="auto"/>
        <w:ind w:firstLine="720"/>
        <w:jc w:val="both"/>
      </w:pPr>
      <w:r>
        <w:t xml:space="preserve">Prokurore viedoklī </w:t>
      </w:r>
      <w:r w:rsidR="004D096C">
        <w:t xml:space="preserve">norādījusi vairākus ECT nolēmumus, kuros </w:t>
      </w:r>
      <w:r w:rsidR="003F3BAD">
        <w:t>izteiktās atziņas</w:t>
      </w:r>
      <w:r w:rsidR="00C5114B">
        <w:t xml:space="preserve"> prokurores ieskatā </w:t>
      </w:r>
      <w:r w:rsidR="004D096C">
        <w:t>pamato kasācijas protestā pausto viedokli</w:t>
      </w:r>
      <w:r>
        <w:t xml:space="preserve"> </w:t>
      </w:r>
      <w:r w:rsidR="00666EB3">
        <w:t>par apel</w:t>
      </w:r>
      <w:r w:rsidR="003F3BAD">
        <w:t>ācijas instances tiesas kļūdaino</w:t>
      </w:r>
      <w:r w:rsidR="00666EB3">
        <w:t xml:space="preserve"> </w:t>
      </w:r>
      <w:r w:rsidR="00275260">
        <w:t>secinājumu</w:t>
      </w:r>
      <w:r w:rsidR="00AF1C20">
        <w:t xml:space="preserve"> </w:t>
      </w:r>
      <w:r w:rsidR="003F3BAD">
        <w:t>izslēgt</w:t>
      </w:r>
      <w:r w:rsidR="00666EB3">
        <w:t xml:space="preserve"> no pierādījumu loka policijas darbiniek</w:t>
      </w:r>
      <w:r w:rsidR="00A95A53">
        <w:t xml:space="preserve">a </w:t>
      </w:r>
      <w:r w:rsidR="00097B98">
        <w:t>[pers. B]</w:t>
      </w:r>
      <w:r w:rsidR="00A95A53">
        <w:t xml:space="preserve"> ierakstīto telefon</w:t>
      </w:r>
      <w:r w:rsidR="00666EB3">
        <w:t xml:space="preserve">sarunu ar </w:t>
      </w:r>
      <w:r w:rsidR="00097B98">
        <w:t>[pers. A]</w:t>
      </w:r>
      <w:r w:rsidR="00666EB3">
        <w:t>.</w:t>
      </w:r>
      <w:r w:rsidR="00275260">
        <w:t xml:space="preserve"> </w:t>
      </w:r>
    </w:p>
    <w:p w14:paraId="356FB5BA" w14:textId="6FFCE67F" w:rsidR="00275260" w:rsidRDefault="00DB6FB5" w:rsidP="004C1DE6">
      <w:pPr>
        <w:spacing w:after="0" w:line="276" w:lineRule="auto"/>
        <w:ind w:firstLine="720"/>
        <w:jc w:val="both"/>
      </w:pPr>
      <w:r>
        <w:t xml:space="preserve">Turpmāk šajā lēmumā </w:t>
      </w:r>
      <w:r w:rsidR="00275260">
        <w:t>tiks apskatīt</w:t>
      </w:r>
      <w:r w:rsidR="00A82D2F">
        <w:t xml:space="preserve">i prokurores norādītie ECT nolēmumi. </w:t>
      </w:r>
    </w:p>
    <w:p w14:paraId="2911F410" w14:textId="036D4A37" w:rsidR="00666EB3" w:rsidRDefault="00666EB3" w:rsidP="004C1DE6">
      <w:pPr>
        <w:spacing w:after="0" w:line="276" w:lineRule="auto"/>
        <w:ind w:firstLine="720"/>
        <w:jc w:val="both"/>
      </w:pPr>
      <w:r>
        <w:t xml:space="preserve">ECT (Lielā palāta) </w:t>
      </w:r>
      <w:bookmarkStart w:id="4" w:name="_Hlk67581187"/>
      <w:proofErr w:type="gramStart"/>
      <w:r>
        <w:t>1996.gada</w:t>
      </w:r>
      <w:proofErr w:type="gramEnd"/>
      <w:r>
        <w:t xml:space="preserve"> 8.februāra sprieduma lietā „</w:t>
      </w:r>
      <w:proofErr w:type="spellStart"/>
      <w:r>
        <w:t>Murray</w:t>
      </w:r>
      <w:proofErr w:type="spellEnd"/>
      <w:r>
        <w:t xml:space="preserve"> v. </w:t>
      </w:r>
      <w:proofErr w:type="spellStart"/>
      <w:r>
        <w:t>the</w:t>
      </w:r>
      <w:proofErr w:type="spellEnd"/>
      <w:r>
        <w:t xml:space="preserve"> </w:t>
      </w:r>
      <w:proofErr w:type="spellStart"/>
      <w:r>
        <w:t>United</w:t>
      </w:r>
      <w:proofErr w:type="spellEnd"/>
      <w:r>
        <w:t xml:space="preserve"> </w:t>
      </w:r>
      <w:proofErr w:type="spellStart"/>
      <w:r>
        <w:t>Kingdom</w:t>
      </w:r>
      <w:proofErr w:type="spellEnd"/>
      <w:r>
        <w:t>”, iesnieguma Nr. </w:t>
      </w:r>
      <w:r w:rsidR="00275260">
        <w:t>18731/91</w:t>
      </w:r>
      <w:bookmarkEnd w:id="4"/>
      <w:r w:rsidR="00275260">
        <w:t>, 45.punktā</w:t>
      </w:r>
      <w:r>
        <w:t xml:space="preserve"> norādīts: „lai gan Konvencijas 6.pantā tas nav atsevišķi minēts, nav šaubu, ka tiesības klusēt policijas nopratināšanas laikā un atļauja neliecināt pret sevi ir vispāratzīti starptautiski standarti, kas saskaņā ar 6.pantu ir taisnīga tiesas procesa jēdziena pamatā [..]. Nodrošinot apsūdzētajiem aizsardzību pret varas iestā</w:t>
      </w:r>
      <w:r w:rsidR="003F3BAD">
        <w:t>ž</w:t>
      </w:r>
      <w:r>
        <w:t xml:space="preserve">u veiktu nepieņemamu piespiešanu, šīs imunitātes palīdz izvairīties no netaisnīgas tiesvedības un sasniegt 6.panta mērķus”. </w:t>
      </w:r>
    </w:p>
    <w:p w14:paraId="12C4E3DE" w14:textId="5CD885EF" w:rsidR="0020034A" w:rsidRDefault="0020034A" w:rsidP="004C1DE6">
      <w:pPr>
        <w:spacing w:after="0" w:line="276" w:lineRule="auto"/>
        <w:ind w:firstLine="720"/>
        <w:jc w:val="both"/>
      </w:pPr>
      <w:r>
        <w:t>Kasācijas instances tiesa nesaskata šajā ECT spriedumā izklāstītajās atziņās pamatojumu protestā izteiktajam apgalvojumam.</w:t>
      </w:r>
    </w:p>
    <w:p w14:paraId="233A31E5" w14:textId="0A931A54" w:rsidR="00870162" w:rsidRDefault="00666EB3" w:rsidP="004C1DE6">
      <w:pPr>
        <w:spacing w:after="0" w:line="276" w:lineRule="auto"/>
        <w:ind w:firstLine="720"/>
        <w:jc w:val="both"/>
      </w:pPr>
      <w:r>
        <w:t xml:space="preserve">ECT </w:t>
      </w:r>
      <w:bookmarkStart w:id="5" w:name="_Hlk67581218"/>
      <w:proofErr w:type="gramStart"/>
      <w:r>
        <w:t>2002.gada</w:t>
      </w:r>
      <w:proofErr w:type="gramEnd"/>
      <w:r>
        <w:t xml:space="preserve"> 10.septembra lēmumā par lietas pieņemšanu izskatīšanai lietā „</w:t>
      </w:r>
      <w:proofErr w:type="spellStart"/>
      <w:r>
        <w:t>Allen</w:t>
      </w:r>
      <w:proofErr w:type="spellEnd"/>
      <w:r>
        <w:t xml:space="preserve"> v. </w:t>
      </w:r>
      <w:proofErr w:type="spellStart"/>
      <w:r>
        <w:t>the</w:t>
      </w:r>
      <w:proofErr w:type="spellEnd"/>
      <w:r>
        <w:t xml:space="preserve"> </w:t>
      </w:r>
      <w:proofErr w:type="spellStart"/>
      <w:r>
        <w:t>United</w:t>
      </w:r>
      <w:proofErr w:type="spellEnd"/>
      <w:r>
        <w:t xml:space="preserve"> </w:t>
      </w:r>
      <w:proofErr w:type="spellStart"/>
      <w:r>
        <w:t>Kingdom</w:t>
      </w:r>
      <w:proofErr w:type="spellEnd"/>
      <w:r>
        <w:t>”, iesnieguma Nr. 76574/01</w:t>
      </w:r>
      <w:bookmarkEnd w:id="5"/>
      <w:r>
        <w:t xml:space="preserve">, </w:t>
      </w:r>
      <w:r w:rsidR="0067696A">
        <w:t>kā nepieņemamu noraidījusi</w:t>
      </w:r>
      <w:r w:rsidR="00275260">
        <w:t xml:space="preserve"> sūdzību, kurā iesniedzējs apstrīd Ieņēmumu dienesta iegūto pierādījumu pieļaujamību, uzskatot, ka tie iegūti no viņa piespiedu kārtā vai pierunājot. ECT uzskatīja, ka šajā gadījumā iesniedzēja sūdzība nav par Ieņēmumu dienestam sniegto informāciju, kas varētu tikt izmantota pret viņu tādā nozīmē, ka no tās izrietētu iesniedzēja apsūdzība par darbību vai bezdarbību, kurā viņš pirms tam būtu bijis iesaistīts. Iesniedzējs tika apsūdzēts un notiesāts par </w:t>
      </w:r>
      <w:r w:rsidR="00A82D2F">
        <w:t xml:space="preserve">nepatiesas deklarācijas iesniegšanu attiecībā uz saviem aktīviem, proti, viņš bija melojis un sagrozījis patiesību, sniedzot neprecīzu informāciju. </w:t>
      </w:r>
    </w:p>
    <w:p w14:paraId="5DC72E39" w14:textId="0C95C694" w:rsidR="00A82D2F" w:rsidRDefault="00A82D2F" w:rsidP="004C1DE6">
      <w:pPr>
        <w:spacing w:after="0" w:line="276" w:lineRule="auto"/>
        <w:ind w:firstLine="720"/>
        <w:jc w:val="both"/>
      </w:pPr>
      <w:r>
        <w:t xml:space="preserve">Kasācijas instances tiesa secina, ka izskatāmajā lietā un šajā ECT lēmumā konstatētie juridiskie un faktiskie apstākļi nav līdzīgi. </w:t>
      </w:r>
    </w:p>
    <w:p w14:paraId="1D40676D" w14:textId="02A84E8F" w:rsidR="0020034A" w:rsidRDefault="00A82D2F" w:rsidP="004C1DE6">
      <w:pPr>
        <w:spacing w:after="0" w:line="276" w:lineRule="auto"/>
        <w:ind w:firstLine="720"/>
        <w:jc w:val="both"/>
      </w:pPr>
      <w:r>
        <w:lastRenderedPageBreak/>
        <w:t xml:space="preserve">ECT </w:t>
      </w:r>
      <w:bookmarkStart w:id="6" w:name="_Hlk67581250"/>
      <w:proofErr w:type="gramStart"/>
      <w:r>
        <w:t>2002.gada</w:t>
      </w:r>
      <w:proofErr w:type="gramEnd"/>
      <w:r>
        <w:t xml:space="preserve"> 5.novembra spriedum</w:t>
      </w:r>
      <w:r w:rsidR="00DB6FB5">
        <w:t>a</w:t>
      </w:r>
      <w:r>
        <w:t xml:space="preserve"> lietā „</w:t>
      </w:r>
      <w:proofErr w:type="spellStart"/>
      <w:r>
        <w:t>Allan</w:t>
      </w:r>
      <w:proofErr w:type="spellEnd"/>
      <w:r>
        <w:t xml:space="preserve"> v. </w:t>
      </w:r>
      <w:proofErr w:type="spellStart"/>
      <w:r>
        <w:t>the</w:t>
      </w:r>
      <w:proofErr w:type="spellEnd"/>
      <w:r>
        <w:t xml:space="preserve"> </w:t>
      </w:r>
      <w:proofErr w:type="spellStart"/>
      <w:r>
        <w:t>United</w:t>
      </w:r>
      <w:proofErr w:type="spellEnd"/>
      <w:r>
        <w:t xml:space="preserve"> </w:t>
      </w:r>
      <w:proofErr w:type="spellStart"/>
      <w:r>
        <w:t>Kingdom</w:t>
      </w:r>
      <w:proofErr w:type="spellEnd"/>
      <w:r>
        <w:t>”, iesnieguma Nr. 48539/99</w:t>
      </w:r>
      <w:bookmarkEnd w:id="6"/>
      <w:r>
        <w:t xml:space="preserve">, 50.-52.punktā norādīts, ka iesniedzējs tika aizturēts sakarā </w:t>
      </w:r>
      <w:r w:rsidR="00760638">
        <w:t>ar</w:t>
      </w:r>
      <w:r>
        <w:t xml:space="preserve"> aizdomām par slepkavības veikšanu un policijas nopratināšanas laikā izmantoja savas tiesības klusēt. Viņa kamerā tika ievietots policijas informators, kurš vēlāk sniedza liecību, ka iesniedzējs atzinis savu klātbūtni slepkavības vietā. Šī atzīšanās nebija iztei</w:t>
      </w:r>
      <w:r w:rsidR="001B1819">
        <w:t>kta ierakstīto nopratināšanu lai</w:t>
      </w:r>
      <w:r>
        <w:t xml:space="preserve">kā, un iesniedzējs šo pierādījumu apstrīdēja. </w:t>
      </w:r>
      <w:r w:rsidR="00A14024">
        <w:t xml:space="preserve">ECT nosprieda, ka šādā veidā nelikumīgi iegūtu pierādījumu izmantošana, kad aizdomās turamais bija skaidri paudis vēlēšanos izmantot savas tiesības klusēt policijas nopratināšanas laikā, ir Konvencijas </w:t>
      </w:r>
      <w:proofErr w:type="gramStart"/>
      <w:r w:rsidR="00A14024">
        <w:t>6.panta</w:t>
      </w:r>
      <w:proofErr w:type="gramEnd"/>
      <w:r w:rsidR="00A14024">
        <w:t xml:space="preserve"> pārkāpums, jo iesniedzējs bija pakļauts psiholoģiskam spiedienam, kas ir pretrunā tam, </w:t>
      </w:r>
      <w:r w:rsidR="00B26D05">
        <w:t>k</w:t>
      </w:r>
      <w:r w:rsidR="00A14024">
        <w:t xml:space="preserve">a atzīšanās būtu sniegta brīvprātīgi. Tas, vai tiesības klusēt ir ierobežotas tādā mērā, lai izraisītu Konvencijas </w:t>
      </w:r>
      <w:proofErr w:type="gramStart"/>
      <w:r w:rsidR="00A14024">
        <w:t>6.pa</w:t>
      </w:r>
      <w:r w:rsidR="009B7616">
        <w:t>nta</w:t>
      </w:r>
      <w:proofErr w:type="gramEnd"/>
      <w:r w:rsidR="00A14024">
        <w:t xml:space="preserve"> pārkāpumu, ir atkarīgs no visiem konkrētās lietas apstākļiem.</w:t>
      </w:r>
      <w:r w:rsidR="0020034A" w:rsidRPr="0020034A">
        <w:t xml:space="preserve"> </w:t>
      </w:r>
    </w:p>
    <w:p w14:paraId="51647D65" w14:textId="69768B88" w:rsidR="00A14024" w:rsidRDefault="0020034A" w:rsidP="004C1DE6">
      <w:pPr>
        <w:spacing w:after="0" w:line="276" w:lineRule="auto"/>
        <w:ind w:firstLine="720"/>
        <w:jc w:val="both"/>
      </w:pPr>
      <w:r>
        <w:t>Kasācijas instances tiesa nesaskata šajā ECT spriedumā izklāstītajās atziņās pamatojumu protestā izteiktajam apgalvojumam. Turklāt š</w:t>
      </w:r>
      <w:r w:rsidR="00A14024">
        <w:t>ajā ECT spriedumā nav prokurores viedoklī norādīto punktu</w:t>
      </w:r>
      <w:r w:rsidR="00B26D05">
        <w:t xml:space="preserve"> </w:t>
      </w:r>
      <w:r w:rsidR="00A14024">
        <w:t xml:space="preserve">102.-104. </w:t>
      </w:r>
    </w:p>
    <w:p w14:paraId="4BA78DE8" w14:textId="43149F65" w:rsidR="00A14024" w:rsidRDefault="00DB6FB5" w:rsidP="004C1DE6">
      <w:pPr>
        <w:spacing w:after="0" w:line="276" w:lineRule="auto"/>
        <w:ind w:firstLine="720"/>
        <w:jc w:val="both"/>
      </w:pPr>
      <w:r>
        <w:t xml:space="preserve">ECT </w:t>
      </w:r>
      <w:bookmarkStart w:id="7" w:name="_Hlk67581285"/>
      <w:proofErr w:type="gramStart"/>
      <w:r>
        <w:t>2004.gada</w:t>
      </w:r>
      <w:proofErr w:type="gramEnd"/>
      <w:r>
        <w:t xml:space="preserve"> 8.aprīļa spriedum</w:t>
      </w:r>
      <w:r w:rsidR="00B134F0">
        <w:t>ā</w:t>
      </w:r>
      <w:r>
        <w:t xml:space="preserve"> lietā „</w:t>
      </w:r>
      <w:proofErr w:type="spellStart"/>
      <w:r>
        <w:t>Weh</w:t>
      </w:r>
      <w:proofErr w:type="spellEnd"/>
      <w:r>
        <w:t xml:space="preserve"> v. </w:t>
      </w:r>
      <w:proofErr w:type="spellStart"/>
      <w:r>
        <w:t>Austria</w:t>
      </w:r>
      <w:proofErr w:type="spellEnd"/>
      <w:r>
        <w:t>”, iesnieguma Nr. 38544/97</w:t>
      </w:r>
      <w:bookmarkEnd w:id="7"/>
      <w:r>
        <w:t xml:space="preserve">, norādīts, ka iesniedzējs </w:t>
      </w:r>
      <w:proofErr w:type="gramStart"/>
      <w:r>
        <w:t>1995.gada</w:t>
      </w:r>
      <w:proofErr w:type="gramEnd"/>
      <w:r>
        <w:t xml:space="preserve"> 25.martā saņēma soda kvīti par 800 Austrijas šiliņiem, jo </w:t>
      </w:r>
      <w:r w:rsidR="007B5FFC">
        <w:t>persona</w:t>
      </w:r>
      <w:r>
        <w:t xml:space="preserve">, kas </w:t>
      </w:r>
      <w:r w:rsidR="00806929">
        <w:t xml:space="preserve">5.martā </w:t>
      </w:r>
      <w:r>
        <w:t>vadīj</w:t>
      </w:r>
      <w:r w:rsidR="00806929">
        <w:t>a</w:t>
      </w:r>
      <w:r>
        <w:t xml:space="preserve"> viņa autom</w:t>
      </w:r>
      <w:r w:rsidR="00B134F0">
        <w:t>ašīnu</w:t>
      </w:r>
      <w:r>
        <w:t xml:space="preserve">, </w:t>
      </w:r>
      <w:r w:rsidR="00806929">
        <w:t>bija pārsniegusi atļauto braukšanas ātrumu</w:t>
      </w:r>
      <w:r>
        <w:t>. Iesniedzējs soda kvīti neapmaksāja. Vietējās varas iestādes ierosināja kriminālprocesu par ātruma pārsniegšanu pret nezināmu pārkāpēju un noteica, ka iesniedzējam kā autom</w:t>
      </w:r>
      <w:r w:rsidR="00B134F0">
        <w:t>ašīnas</w:t>
      </w:r>
      <w:r>
        <w:t xml:space="preserve"> īpašniekam saskaņā ar attiecīgo likumu ir jāatklāj, kas </w:t>
      </w:r>
      <w:r w:rsidR="00B134F0">
        <w:t>to vadīja</w:t>
      </w:r>
      <w:r>
        <w:t>. Iesniedzējs sniedza nepilnīgu informāciju</w:t>
      </w:r>
      <w:r w:rsidR="00AC2DA5">
        <w:t>, tāpēc</w:t>
      </w:r>
      <w:r>
        <w:t xml:space="preserve"> tika sodīts ar naudas sodu 900 Austrijas šiliņu apmērā par neprecīzas informācijas sniegšanu. Iesniedzējs šo lēmumu </w:t>
      </w:r>
      <w:r w:rsidR="00913622">
        <w:t>pārsūdzēja, bet nesekmīgi. Par ā</w:t>
      </w:r>
      <w:r>
        <w:t xml:space="preserve">truma pārsniegšanu viņš netika sodīts. ECT šajā lietā neatzina Konvencijas </w:t>
      </w:r>
      <w:proofErr w:type="gramStart"/>
      <w:r>
        <w:t>6.panta</w:t>
      </w:r>
      <w:proofErr w:type="gramEnd"/>
      <w:r>
        <w:t xml:space="preserve"> 1.punkta pārkāpumu. </w:t>
      </w:r>
    </w:p>
    <w:p w14:paraId="46CDD29F" w14:textId="5BBB4AF2" w:rsidR="00DB6FB5" w:rsidRDefault="00DB6FB5" w:rsidP="004C1DE6">
      <w:pPr>
        <w:spacing w:after="0" w:line="276" w:lineRule="auto"/>
        <w:ind w:firstLine="720"/>
        <w:jc w:val="both"/>
      </w:pPr>
      <w:r>
        <w:t xml:space="preserve">Kasācijas instances tiesa secina, ka izskatāmajā lietā un šajā ECT </w:t>
      </w:r>
      <w:r w:rsidR="00B134F0">
        <w:t xml:space="preserve">spriedumā </w:t>
      </w:r>
      <w:r>
        <w:t xml:space="preserve">konstatētie juridiskie un faktiskie apstākļi nav līdzīgi. </w:t>
      </w:r>
    </w:p>
    <w:p w14:paraId="04E537E3" w14:textId="2CB900CD" w:rsidR="00E05B16" w:rsidRDefault="0074692D" w:rsidP="004C1DE6">
      <w:pPr>
        <w:spacing w:after="0" w:line="276" w:lineRule="auto"/>
        <w:ind w:firstLine="720"/>
        <w:jc w:val="both"/>
      </w:pPr>
      <w:r>
        <w:t xml:space="preserve">ECT </w:t>
      </w:r>
      <w:bookmarkStart w:id="8" w:name="_Hlk67581308"/>
      <w:proofErr w:type="gramStart"/>
      <w:r>
        <w:t>1996.gada</w:t>
      </w:r>
      <w:proofErr w:type="gramEnd"/>
      <w:r>
        <w:t xml:space="preserve"> 17.decembra spriedum</w:t>
      </w:r>
      <w:r w:rsidR="00895021">
        <w:t>ā</w:t>
      </w:r>
      <w:r>
        <w:t xml:space="preserve"> lietā „</w:t>
      </w:r>
      <w:proofErr w:type="spellStart"/>
      <w:r>
        <w:t>Saunders</w:t>
      </w:r>
      <w:proofErr w:type="spellEnd"/>
      <w:r>
        <w:t xml:space="preserve"> v. </w:t>
      </w:r>
      <w:proofErr w:type="spellStart"/>
      <w:r>
        <w:t>the</w:t>
      </w:r>
      <w:proofErr w:type="spellEnd"/>
      <w:r>
        <w:t xml:space="preserve"> </w:t>
      </w:r>
      <w:proofErr w:type="spellStart"/>
      <w:r>
        <w:t>United</w:t>
      </w:r>
      <w:proofErr w:type="spellEnd"/>
      <w:r>
        <w:t xml:space="preserve"> </w:t>
      </w:r>
      <w:proofErr w:type="spellStart"/>
      <w:r>
        <w:t>Kingdom</w:t>
      </w:r>
      <w:proofErr w:type="spellEnd"/>
      <w:r>
        <w:t>”, iesnieguma Nr. </w:t>
      </w:r>
      <w:r w:rsidR="00895021">
        <w:t>19187/91</w:t>
      </w:r>
      <w:bookmarkEnd w:id="8"/>
      <w:r w:rsidR="00895021">
        <w:t xml:space="preserve">, </w:t>
      </w:r>
      <w:r w:rsidR="00E05B16">
        <w:t>noraidīja valdības argumentu, ka lielu krāpšanas gadījumu sarežģītība un sabiedrības intereses panākt notiesājošu spriedumu attaisno piespiešanu</w:t>
      </w:r>
      <w:r w:rsidR="007B5FFC">
        <w:t>.</w:t>
      </w:r>
      <w:r w:rsidR="00A95A53">
        <w:t xml:space="preserve"> Tiesa paziņoja, ka „</w:t>
      </w:r>
      <w:r w:rsidR="00E05B16">
        <w:t xml:space="preserve">sabiedrības interesēs nevar atsaukties uz tādām atbildēm, kuras iegūtas ārpustiesas izmeklēšanā, lai apsūdzētu personas tiesas procesa laikā” un „krimināllietā apsūdzībai </w:t>
      </w:r>
      <w:r w:rsidR="00A95A53">
        <w:t>„</w:t>
      </w:r>
      <w:r w:rsidR="00BD72C9">
        <w:t>jācenšas</w:t>
      </w:r>
      <w:r w:rsidR="00A95A53">
        <w:t>”</w:t>
      </w:r>
      <w:r w:rsidR="00E05B16">
        <w:t xml:space="preserve"> pierādīt apsūdzību, neizmantojot pierādījumus, kas iegūti ar piespiešanas vai apspiešanas metodēm, neievērojot apsūdzētā gribu”. </w:t>
      </w:r>
    </w:p>
    <w:p w14:paraId="06340A3A" w14:textId="0933AC5A" w:rsidR="00E05B16" w:rsidRDefault="00E05B16" w:rsidP="004C1DE6">
      <w:pPr>
        <w:spacing w:after="0" w:line="276" w:lineRule="auto"/>
        <w:ind w:firstLine="720"/>
        <w:jc w:val="both"/>
      </w:pPr>
      <w:r>
        <w:t xml:space="preserve">Turklāt prokurore atsaukusies uz šajā lietā dažu </w:t>
      </w:r>
      <w:r w:rsidR="0020034A">
        <w:t xml:space="preserve">ECT </w:t>
      </w:r>
      <w:r>
        <w:t>tiesnešu izteiktajām atsevišķajām domām. Senāta ieskatā at</w:t>
      </w:r>
      <w:r w:rsidR="00BE36A9">
        <w:t>saukšanās</w:t>
      </w:r>
      <w:r>
        <w:t xml:space="preserve"> uz dažu tiesnešu atšķirīgu viedokli nav </w:t>
      </w:r>
      <w:r w:rsidR="00BE36A9">
        <w:t>pamats kasācijas instances tiesai vērtēt šo situā</w:t>
      </w:r>
      <w:r w:rsidR="00EC498F">
        <w:t xml:space="preserve">ciju citādāk, ņemot vērā, ka ECT ar pārliecinošu 16 tiesnešu balsu vairākumu šajā lietā atzinusi Konvencijas pārkāpumu. </w:t>
      </w:r>
    </w:p>
    <w:p w14:paraId="75A02B0C" w14:textId="6A6714FC" w:rsidR="00BE36A9" w:rsidRDefault="00BE36A9" w:rsidP="004C1DE6">
      <w:pPr>
        <w:spacing w:after="0" w:line="276" w:lineRule="auto"/>
        <w:ind w:firstLine="720"/>
        <w:jc w:val="both"/>
      </w:pPr>
      <w:r>
        <w:t xml:space="preserve">Prokurore atsaukusies uz ECT </w:t>
      </w:r>
      <w:bookmarkStart w:id="9" w:name="_Hlk67581333"/>
      <w:proofErr w:type="gramStart"/>
      <w:r>
        <w:t>2009.gada</w:t>
      </w:r>
      <w:proofErr w:type="gramEnd"/>
      <w:r>
        <w:t xml:space="preserve"> 10.marta sprieduma lietā „</w:t>
      </w:r>
      <w:proofErr w:type="spellStart"/>
      <w:r>
        <w:t>Bykov</w:t>
      </w:r>
      <w:proofErr w:type="spellEnd"/>
      <w:r>
        <w:t xml:space="preserve"> v. </w:t>
      </w:r>
      <w:proofErr w:type="spellStart"/>
      <w:r>
        <w:t>Russia</w:t>
      </w:r>
      <w:proofErr w:type="spellEnd"/>
      <w:r>
        <w:t>”, iesnieguma Nr. 4378/02</w:t>
      </w:r>
      <w:bookmarkEnd w:id="9"/>
      <w:r>
        <w:t xml:space="preserve">, 92.punktu, kur teikts, ka tiesības neliecināt pret sevi un tiesības klusēt ir vispāratzīti starptautiski standarti, kas ir taisnīga procesa pamatā. Šo standartu mērķis ir nodrošināt apsūdzēto personu aizsardzību pret nepieļaujamu spiedienu no varas iestāžu puses un tādējādi izvairīties no taisnīguma neievērošanas un nodrošināt </w:t>
      </w:r>
      <w:proofErr w:type="gramStart"/>
      <w:r>
        <w:t>6.panta</w:t>
      </w:r>
      <w:proofErr w:type="gramEnd"/>
      <w:r>
        <w:t xml:space="preserve"> mērķus [..]. Tiesības neapsūdzēt sevi galvenokārt attiecas uz apsūdzētās personas gribas klusēt ievērošanu un paredz, ka apsūdzības uzturētājs krimināllietā cenšas pierādīt apsūdzētā vainu, neizmantojot pierādījumus, kas iegūti, izmantojot piespiešanas paņēmienus, pretēji apsūdzētā gribai. [..] </w:t>
      </w:r>
      <w:r>
        <w:lastRenderedPageBreak/>
        <w:t xml:space="preserve">Pārbaudot, vai procesā nav skarta pati atļaujas neliecināt pret sevi būtība, tiesai jāpārbauda piespiešanas raksturs un pakāpe, procesuālo aizsardzības līdzekļu esamība un tas, kā izmantoti šādā veidā iegūtie materiāli [..]. ECT šajā lietā nekonstatēja Konvencijas 6.panta 1.punkta pārkāpumu, bet </w:t>
      </w:r>
      <w:r w:rsidR="009949CB">
        <w:t>gan</w:t>
      </w:r>
      <w:r>
        <w:t xml:space="preserve"> 8.panta (tiesību uz privātās dzīves aizsardzību) pārkāpumu. </w:t>
      </w:r>
    </w:p>
    <w:p w14:paraId="1A10451B" w14:textId="6F1FF481" w:rsidR="00BE36A9" w:rsidRDefault="00AD481A" w:rsidP="004C1DE6">
      <w:pPr>
        <w:spacing w:after="0" w:line="276" w:lineRule="auto"/>
        <w:ind w:firstLine="720"/>
        <w:jc w:val="both"/>
      </w:pPr>
      <w:r>
        <w:t xml:space="preserve">ECT </w:t>
      </w:r>
      <w:bookmarkStart w:id="10" w:name="_Hlk67581356"/>
      <w:proofErr w:type="gramStart"/>
      <w:r>
        <w:t>2010.gada</w:t>
      </w:r>
      <w:proofErr w:type="gramEnd"/>
      <w:r>
        <w:t xml:space="preserve"> 18.februāra spriedum</w:t>
      </w:r>
      <w:r w:rsidR="00BD72C9">
        <w:t>ā</w:t>
      </w:r>
      <w:r>
        <w:t xml:space="preserve"> lietā „</w:t>
      </w:r>
      <w:proofErr w:type="spellStart"/>
      <w:r>
        <w:t>Zaichenko</w:t>
      </w:r>
      <w:proofErr w:type="spellEnd"/>
      <w:r>
        <w:t xml:space="preserve"> v. </w:t>
      </w:r>
      <w:proofErr w:type="spellStart"/>
      <w:r>
        <w:t>Russia</w:t>
      </w:r>
      <w:proofErr w:type="spellEnd"/>
      <w:r>
        <w:t>”,</w:t>
      </w:r>
      <w:r w:rsidR="007B5FFC">
        <w:t xml:space="preserve"> iesnieguma Nr. 39660/02</w:t>
      </w:r>
      <w:bookmarkEnd w:id="10"/>
      <w:r w:rsidR="007B5FFC">
        <w:t>, atzinusi</w:t>
      </w:r>
      <w:r>
        <w:t xml:space="preserve"> Konvenci</w:t>
      </w:r>
      <w:r w:rsidR="00BD72C9">
        <w:t xml:space="preserve">jas </w:t>
      </w:r>
      <w:proofErr w:type="gramStart"/>
      <w:r w:rsidR="00BD72C9">
        <w:t>6.panta</w:t>
      </w:r>
      <w:proofErr w:type="gramEnd"/>
      <w:r w:rsidR="00BD72C9">
        <w:t xml:space="preserve"> 1.punkta pārkāpumu. Tiesa </w:t>
      </w:r>
      <w:r w:rsidR="0039626E">
        <w:t xml:space="preserve">sprieduma 40. un 54.punktā </w:t>
      </w:r>
      <w:r>
        <w:t>norā</w:t>
      </w:r>
      <w:r w:rsidR="00BD72C9">
        <w:t>dījusi</w:t>
      </w:r>
      <w:r>
        <w:t xml:space="preserve">, ka atteikšanās no tiesībām, kuras garantē Konvencija </w:t>
      </w:r>
      <w:r w:rsidR="00BD72C9">
        <w:t>(</w:t>
      </w:r>
      <w:r>
        <w:t xml:space="preserve">ciktāl tas ir </w:t>
      </w:r>
      <w:r w:rsidR="00BD72C9">
        <w:t>pieļaujams),</w:t>
      </w:r>
      <w:r>
        <w:t xml:space="preserve"> nedrīkst būt pretrunā nekādām</w:t>
      </w:r>
      <w:r w:rsidR="007B5FFC">
        <w:t xml:space="preserve"> svarīgām sabiedrības interesēm, t</w:t>
      </w:r>
      <w:r w:rsidR="00BD72C9">
        <w:t xml:space="preserve">ās </w:t>
      </w:r>
      <w:r>
        <w:t>ir jānosaka nepārprotami</w:t>
      </w:r>
      <w:r w:rsidR="00BD72C9">
        <w:t>,</w:t>
      </w:r>
      <w:r>
        <w:t xml:space="preserve"> un, šādu atteikšanos piemērojot, jāievēro m</w:t>
      </w:r>
      <w:r w:rsidR="0039626E">
        <w:t>inimālie procesuālās aizsardzības līdzekļi, kas ir samērīgi ar šīs atteikšanās nozīmīgumu. [..] Pirms var teikt, ka apsūdzētais netieši ar savu uzvedību atteicies no svarīgām tiesībām, kas noteiktas 6.pantā, ir jāpierāda, ka viņš saprātīgi varēja paredzēt, kādas būs viņa uzvedības sekas. Paturot prātā taisnīguma</w:t>
      </w:r>
      <w:r w:rsidR="007B5FFC">
        <w:t xml:space="preserve"> konceptu, kas ietverts 6.pantā</w:t>
      </w:r>
      <w:r w:rsidR="00913622">
        <w:t>,</w:t>
      </w:r>
      <w:r w:rsidR="0039626E">
        <w:t xml:space="preserve"> ECT uzskata, ka tiesības neliecināt pret sevi pamatoti nevar tikt ierobežotas ar paziņojumiem par pārkāpumu atzīšanu vai izteikumiem, kas ir tieši </w:t>
      </w:r>
      <w:proofErr w:type="spellStart"/>
      <w:r w:rsidR="0039626E">
        <w:t>pašapsūdzoši</w:t>
      </w:r>
      <w:proofErr w:type="spellEnd"/>
      <w:r w:rsidR="0039626E">
        <w:t xml:space="preserve">. Liecība, kas iegūta piespiedu kārtā un kas sākotnēji nešķiet ar </w:t>
      </w:r>
      <w:proofErr w:type="spellStart"/>
      <w:r w:rsidR="0039626E">
        <w:t>pašapsūdzošu</w:t>
      </w:r>
      <w:proofErr w:type="spellEnd"/>
      <w:r w:rsidR="0039626E">
        <w:t xml:space="preserve"> raksturu – kā, piemēram, attaisnošanā</w:t>
      </w:r>
      <w:r w:rsidR="0047254E">
        <w:t>s</w:t>
      </w:r>
      <w:r w:rsidR="0039626E">
        <w:t xml:space="preserve"> izteikumi vai tikai informācija par faktiem – vēlāk var tikt izmantota kriminālprocesā, </w:t>
      </w:r>
      <w:r w:rsidR="0047254E">
        <w:t>pamatojot</w:t>
      </w:r>
      <w:r w:rsidR="0039626E">
        <w:t xml:space="preserve"> apsūdzības viedokli, piemēram, norādot uz pretrunām vai apšaubot citus apsūdzētā paziņojumus vai pierādījumus, ko viņš sniedzis tiesas laikā, vai citādi mazinot uzticību viņam. </w:t>
      </w:r>
    </w:p>
    <w:p w14:paraId="61E8C496" w14:textId="187A464B" w:rsidR="00EA33B3" w:rsidRDefault="00EA33B3" w:rsidP="004C1DE6">
      <w:pPr>
        <w:spacing w:after="0" w:line="276" w:lineRule="auto"/>
        <w:ind w:firstLine="720"/>
        <w:jc w:val="both"/>
      </w:pPr>
      <w:r>
        <w:t xml:space="preserve">Tāpat prokurore atsaukusies uz </w:t>
      </w:r>
      <w:bookmarkStart w:id="11" w:name="_Hlk67581379"/>
      <w:r>
        <w:t xml:space="preserve">ECT </w:t>
      </w:r>
      <w:proofErr w:type="gramStart"/>
      <w:r>
        <w:t>2007.gada</w:t>
      </w:r>
      <w:proofErr w:type="gramEnd"/>
      <w:r>
        <w:t xml:space="preserve"> 29.jūnija sprieduma lietā „</w:t>
      </w:r>
      <w:r w:rsidR="0047254E" w:rsidRPr="0047254E">
        <w:rPr>
          <w:bCs/>
        </w:rPr>
        <w:t xml:space="preserve"> </w:t>
      </w:r>
      <w:proofErr w:type="spellStart"/>
      <w:r w:rsidR="0047254E" w:rsidRPr="006E784E">
        <w:rPr>
          <w:bCs/>
        </w:rPr>
        <w:t>O</w:t>
      </w:r>
      <w:r w:rsidR="0047254E" w:rsidRPr="00DF416A">
        <w:rPr>
          <w:rStyle w:val="s7d2086b4"/>
          <w:rFonts w:cs="Times New Roman"/>
          <w:bCs/>
          <w:color w:val="000000"/>
          <w:shd w:val="clear" w:color="auto" w:fill="FFFFFF"/>
        </w:rPr>
        <w:t>’</w:t>
      </w:r>
      <w:r w:rsidR="0047254E" w:rsidRPr="006E784E">
        <w:rPr>
          <w:bCs/>
        </w:rPr>
        <w:t>Halloran</w:t>
      </w:r>
      <w:proofErr w:type="spellEnd"/>
      <w:r w:rsidR="0047254E">
        <w:t xml:space="preserve"> </w:t>
      </w:r>
      <w:proofErr w:type="spellStart"/>
      <w:r>
        <w:t>and</w:t>
      </w:r>
      <w:proofErr w:type="spellEnd"/>
      <w:r>
        <w:t xml:space="preserve"> Francis v. </w:t>
      </w:r>
      <w:proofErr w:type="spellStart"/>
      <w:r>
        <w:t>the</w:t>
      </w:r>
      <w:proofErr w:type="spellEnd"/>
      <w:r>
        <w:t xml:space="preserve"> </w:t>
      </w:r>
      <w:proofErr w:type="spellStart"/>
      <w:r>
        <w:t>United</w:t>
      </w:r>
      <w:proofErr w:type="spellEnd"/>
      <w:r>
        <w:t xml:space="preserve"> </w:t>
      </w:r>
      <w:proofErr w:type="spellStart"/>
      <w:r>
        <w:t>Kingdom</w:t>
      </w:r>
      <w:proofErr w:type="spellEnd"/>
      <w:r>
        <w:t>”, iesnieguma Nr. 15809/02 un 25624/02</w:t>
      </w:r>
      <w:bookmarkEnd w:id="11"/>
      <w:r>
        <w:t>, 9</w:t>
      </w:r>
      <w:r w:rsidR="00134BE9">
        <w:t>.</w:t>
      </w:r>
      <w:r>
        <w:t>-24., 43., 49., 55., 57.-60.punktu. Konkrētajā lietā ECT izskatīja</w:t>
      </w:r>
      <w:r w:rsidR="00756E6A">
        <w:t xml:space="preserve"> divu</w:t>
      </w:r>
      <w:r>
        <w:t xml:space="preserve"> iesniedz</w:t>
      </w:r>
      <w:r w:rsidR="00756E6A">
        <w:t xml:space="preserve">ēju, kuri bija Apvienotās Karalistes valstspiederīgie, iesniegumu, kur </w:t>
      </w:r>
      <w:r w:rsidR="00115D4B">
        <w:t>norādīti šādi faktiskie apstākļi</w:t>
      </w:r>
      <w:r w:rsidR="002F314E">
        <w:t>:</w:t>
      </w:r>
      <w:r w:rsidR="00115D4B">
        <w:t xml:space="preserve"> uz ceļiem izvietotās ātruma kameras fiksēja, ka ar iesniedzējiem piederošajām automašīnām, ar katru vienu reizi, tiek pārkāpti noteiktie ātruma ierobežojumi. Abos ganījumos iesniedzēji tika informēti, ka policija plāno saukt pie atbildības transportlīdzekļ</w:t>
      </w:r>
      <w:r w:rsidR="002F314E">
        <w:t>u</w:t>
      </w:r>
      <w:r w:rsidR="00115D4B">
        <w:t xml:space="preserve"> vadītāju</w:t>
      </w:r>
      <w:r w:rsidR="002F314E">
        <w:t>s</w:t>
      </w:r>
      <w:r w:rsidR="00115D4B">
        <w:t>. Viņiem tika lūgts norādīt transportlīdzekļ</w:t>
      </w:r>
      <w:r w:rsidR="002F314E">
        <w:t>u</w:t>
      </w:r>
      <w:r w:rsidR="00115D4B">
        <w:t xml:space="preserve"> vadītāj</w:t>
      </w:r>
      <w:r w:rsidR="002F314E">
        <w:t>u</w:t>
      </w:r>
      <w:r w:rsidR="00115D4B">
        <w:t xml:space="preserve"> pilnu vārdu un adresi vai arī sniegt citu informāciju, kas viņiem pieejama un kas ļautu identificēt vadītājus. Abi iesniedzēji tika informēti arī par to, ka informācijas nesniegšana ir noziedzīgs nodarījums saskaņā ar </w:t>
      </w:r>
      <w:proofErr w:type="gramStart"/>
      <w:r w:rsidR="00115D4B">
        <w:t>1988.gada</w:t>
      </w:r>
      <w:proofErr w:type="gramEnd"/>
      <w:r w:rsidR="00115D4B">
        <w:t xml:space="preserve"> Ceļu satiksmes likuma 172.pantu. Viens no iesniedzējiem atbildēja uz vēstuli, apstiprinot, ka attiecīgajā brīdī vadītājs bijis viņš. Savukārt otrs iesniedzējs savā atbildē policijai atsaucās uz tiesībām klusēt un atļauju neapsūdzēt sevi. </w:t>
      </w:r>
    </w:p>
    <w:p w14:paraId="481DF77D" w14:textId="6E32C8C9" w:rsidR="00EA33B3" w:rsidRDefault="00EA33B3" w:rsidP="004C1DE6">
      <w:pPr>
        <w:spacing w:after="0" w:line="276" w:lineRule="auto"/>
        <w:ind w:firstLine="720"/>
        <w:jc w:val="both"/>
      </w:pPr>
      <w:r>
        <w:t>Kasācijas instances tiesa secina, ka izskatāmajā lietā un šaj</w:t>
      </w:r>
      <w:r w:rsidR="00756E6A">
        <w:t>os</w:t>
      </w:r>
      <w:r>
        <w:t xml:space="preserve"> </w:t>
      </w:r>
      <w:r w:rsidR="00267F10">
        <w:t xml:space="preserve">abos </w:t>
      </w:r>
      <w:r>
        <w:t xml:space="preserve">ECT </w:t>
      </w:r>
      <w:r w:rsidR="00756E6A">
        <w:t>nolēmumos</w:t>
      </w:r>
      <w:r>
        <w:t xml:space="preserve"> konstatētie juridiskie un faktiskie apstākļi nav līdzīgi.</w:t>
      </w:r>
    </w:p>
    <w:p w14:paraId="1378B57D" w14:textId="2AB465A4" w:rsidR="00AF1C20" w:rsidRDefault="00AF1C20" w:rsidP="004C1DE6">
      <w:pPr>
        <w:spacing w:after="0" w:line="276" w:lineRule="auto"/>
        <w:ind w:firstLine="720"/>
        <w:jc w:val="both"/>
      </w:pPr>
      <w:r>
        <w:t xml:space="preserve">Senāts </w:t>
      </w:r>
      <w:r w:rsidR="0020034A">
        <w:t>atzīst</w:t>
      </w:r>
      <w:r>
        <w:t xml:space="preserve">, ka prokurores viedoklī, kas iesniegts Kriminālprocesa likuma 585.panta otrās daļas kārtībā, nav izklāstīti tādi ECT judikatūrā izteikti apsvērumi, kuri būtu kategoriski pretēji tiesas atzinumiem šajā lietā. </w:t>
      </w:r>
    </w:p>
    <w:p w14:paraId="680C2B2D" w14:textId="4CB9ACAF" w:rsidR="009F5DED" w:rsidRDefault="00AF1C20" w:rsidP="004C1DE6">
      <w:pPr>
        <w:spacing w:after="0" w:line="276" w:lineRule="auto"/>
        <w:ind w:firstLine="720"/>
        <w:jc w:val="both"/>
      </w:pPr>
      <w:r>
        <w:t xml:space="preserve">Ar Senāta </w:t>
      </w:r>
      <w:proofErr w:type="gramStart"/>
      <w:r>
        <w:t>2019.gada</w:t>
      </w:r>
      <w:proofErr w:type="gramEnd"/>
      <w:r>
        <w:t xml:space="preserve"> 20.decembra lēmumu atcelts </w:t>
      </w:r>
      <w:r w:rsidR="0020034A">
        <w:t xml:space="preserve">iepriekšējais apelācijas instances </w:t>
      </w:r>
      <w:r>
        <w:t>tiesas lēmums šajā lietā.</w:t>
      </w:r>
      <w:r w:rsidR="00E86803">
        <w:t xml:space="preserve"> K</w:t>
      </w:r>
      <w:r w:rsidR="009F5DED">
        <w:t xml:space="preserve">asācijas instances tiesa </w:t>
      </w:r>
      <w:proofErr w:type="gramStart"/>
      <w:r w:rsidR="009F5DED">
        <w:t>201</w:t>
      </w:r>
      <w:r w:rsidR="00913622">
        <w:t>9.gada</w:t>
      </w:r>
      <w:proofErr w:type="gramEnd"/>
      <w:r w:rsidR="00913622">
        <w:t xml:space="preserve"> 20.decembra lēmumā atzinusi par kļūdainu apelācijas instances tiesas 2020.gada 30.aprīļa lēmumā izteikto atziņu, ka policijas darbinieks </w:t>
      </w:r>
      <w:r w:rsidR="00CC1644">
        <w:t>[pers. B]</w:t>
      </w:r>
      <w:r w:rsidR="00913622">
        <w:t xml:space="preserve">, ierakstot telefonsarunu ar </w:t>
      </w:r>
      <w:r w:rsidR="00CC1644">
        <w:t>[pers. A]</w:t>
      </w:r>
      <w:r w:rsidR="00913622">
        <w:t>, ir veicis operatīvās darbības pasākumu</w:t>
      </w:r>
      <w:r w:rsidR="009F5DED">
        <w:t>. Senāts konstatēja, ka policijas darbiniek</w:t>
      </w:r>
      <w:r w:rsidR="00760638">
        <w:t>am</w:t>
      </w:r>
      <w:r w:rsidR="0047254E">
        <w:t xml:space="preserve"> </w:t>
      </w:r>
      <w:r w:rsidR="00CC1644">
        <w:t>[pers. B]</w:t>
      </w:r>
      <w:r w:rsidR="009F5DED">
        <w:t xml:space="preserve"> nebija uzdots</w:t>
      </w:r>
      <w:r w:rsidR="00760638">
        <w:t xml:space="preserve"> veikt</w:t>
      </w:r>
      <w:proofErr w:type="gramStart"/>
      <w:r w:rsidR="009F5DED">
        <w:t xml:space="preserve"> un</w:t>
      </w:r>
      <w:proofErr w:type="gramEnd"/>
      <w:r w:rsidR="009F5DED">
        <w:t xml:space="preserve"> viņš nebija veicis Operatīvās darbības likumā </w:t>
      </w:r>
      <w:r w:rsidR="00760638">
        <w:t>paredzētos</w:t>
      </w:r>
      <w:r w:rsidR="009F5DED">
        <w:t xml:space="preserve"> pasākumus. Tādējādi </w:t>
      </w:r>
      <w:r w:rsidR="00760638">
        <w:t>iepriekšējā kasācijas instances tiesas</w:t>
      </w:r>
      <w:r w:rsidR="009F5DED">
        <w:t xml:space="preserve"> lēmumā un šajā </w:t>
      </w:r>
      <w:r w:rsidR="00760638">
        <w:t>Senāta</w:t>
      </w:r>
      <w:r w:rsidR="009F5DED">
        <w:t xml:space="preserve"> lēmumā izteiktās atziņas nav pretējas. </w:t>
      </w:r>
    </w:p>
    <w:p w14:paraId="54A58ED0" w14:textId="7F104465" w:rsidR="00F01D9B" w:rsidRPr="000D10E1" w:rsidRDefault="00AD7A7E" w:rsidP="004C1DE6">
      <w:pPr>
        <w:spacing w:after="0" w:line="276" w:lineRule="auto"/>
        <w:ind w:firstLine="720"/>
        <w:jc w:val="both"/>
        <w:rPr>
          <w:rFonts w:cs="Times New Roman"/>
          <w:szCs w:val="24"/>
        </w:rPr>
      </w:pPr>
      <w:bookmarkStart w:id="12" w:name="_Hlk62472180"/>
      <w:r>
        <w:rPr>
          <w:rFonts w:cs="Times New Roman"/>
          <w:szCs w:val="24"/>
        </w:rPr>
        <w:lastRenderedPageBreak/>
        <w:t xml:space="preserve">Senāts </w:t>
      </w:r>
      <w:r w:rsidR="00E86803">
        <w:rPr>
          <w:rFonts w:cs="Times New Roman"/>
          <w:szCs w:val="24"/>
        </w:rPr>
        <w:t>konstatē</w:t>
      </w:r>
      <w:r>
        <w:rPr>
          <w:rFonts w:cs="Times New Roman"/>
          <w:szCs w:val="24"/>
        </w:rPr>
        <w:t>, ka apelācijas instances tiesa, atzīstot sarunas ierakstu par nepieļaujamu pierādījumu, nav pieļāvusi Kriminālprocesa likuma būtisku pārkāpumu šā likuma 575.panta trešās daļas izpratnē.</w:t>
      </w:r>
    </w:p>
    <w:bookmarkEnd w:id="12"/>
    <w:p w14:paraId="0C93001F" w14:textId="7BBB9267" w:rsidR="004C1DE6" w:rsidRDefault="00F01D9B"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w:t>
      </w:r>
      <w:r w:rsidR="000F4935">
        <w:rPr>
          <w:rFonts w:eastAsia="Times New Roman" w:cs="Times New Roman"/>
          <w:szCs w:val="24"/>
        </w:rPr>
        <w:t>9.5</w:t>
      </w:r>
      <w:r w:rsidRPr="0065234A">
        <w:rPr>
          <w:rFonts w:eastAsia="Times New Roman" w:cs="Times New Roman"/>
          <w:szCs w:val="24"/>
        </w:rPr>
        <w:t xml:space="preserve">] Senāts </w:t>
      </w:r>
      <w:r w:rsidR="00E86803">
        <w:rPr>
          <w:rFonts w:eastAsia="Times New Roman" w:cs="Times New Roman"/>
          <w:szCs w:val="24"/>
        </w:rPr>
        <w:t>atzīst</w:t>
      </w:r>
      <w:r w:rsidRPr="0065234A">
        <w:rPr>
          <w:rFonts w:eastAsia="Times New Roman" w:cs="Times New Roman"/>
          <w:szCs w:val="24"/>
        </w:rPr>
        <w:t>, ka protestā min</w:t>
      </w:r>
      <w:r>
        <w:rPr>
          <w:rFonts w:eastAsia="Times New Roman" w:cs="Times New Roman"/>
          <w:szCs w:val="24"/>
        </w:rPr>
        <w:t>ētās atsauces uz</w:t>
      </w:r>
      <w:r w:rsidRPr="0065234A">
        <w:rPr>
          <w:rFonts w:eastAsia="Times New Roman" w:cs="Times New Roman"/>
          <w:szCs w:val="24"/>
        </w:rPr>
        <w:t xml:space="preserve"> Kriminālprocesa likuma </w:t>
      </w:r>
      <w:r w:rsidR="00E86803">
        <w:rPr>
          <w:rFonts w:eastAsia="Times New Roman" w:cs="Times New Roman"/>
          <w:szCs w:val="24"/>
        </w:rPr>
        <w:t xml:space="preserve">128.panta otrās un trešās daļas, 511.panta otrās daļas, 512.panta otrās </w:t>
      </w:r>
      <w:r w:rsidR="009919EF">
        <w:rPr>
          <w:rFonts w:eastAsia="Times New Roman" w:cs="Times New Roman"/>
          <w:szCs w:val="24"/>
        </w:rPr>
        <w:t>daļas, 525.panta otrās daļas 2. un</w:t>
      </w:r>
      <w:r w:rsidR="00E86803">
        <w:rPr>
          <w:rFonts w:eastAsia="Times New Roman" w:cs="Times New Roman"/>
          <w:szCs w:val="24"/>
        </w:rPr>
        <w:t xml:space="preserve"> 3.punkta, 564.panta ceturtās daļas</w:t>
      </w:r>
      <w:r w:rsidRPr="0065234A">
        <w:rPr>
          <w:rFonts w:eastAsia="Times New Roman" w:cs="Times New Roman"/>
          <w:szCs w:val="24"/>
        </w:rPr>
        <w:t xml:space="preserve"> pārkāpumi</w:t>
      </w:r>
      <w:r>
        <w:rPr>
          <w:rFonts w:eastAsia="Times New Roman" w:cs="Times New Roman"/>
          <w:szCs w:val="24"/>
        </w:rPr>
        <w:t xml:space="preserve">em </w:t>
      </w:r>
      <w:r w:rsidRPr="0065234A">
        <w:rPr>
          <w:rFonts w:eastAsia="Times New Roman" w:cs="Times New Roman"/>
          <w:szCs w:val="24"/>
        </w:rPr>
        <w:t>ir</w:t>
      </w:r>
      <w:r w:rsidRPr="00530496">
        <w:rPr>
          <w:rFonts w:eastAsia="Times New Roman" w:cs="Times New Roman"/>
          <w:szCs w:val="24"/>
        </w:rPr>
        <w:t xml:space="preserve"> </w:t>
      </w:r>
      <w:r w:rsidRPr="0065234A">
        <w:rPr>
          <w:rFonts w:eastAsia="Times New Roman" w:cs="Times New Roman"/>
          <w:szCs w:val="24"/>
        </w:rPr>
        <w:t xml:space="preserve">saistītas ar vēlmi </w:t>
      </w:r>
      <w:r>
        <w:rPr>
          <w:rFonts w:eastAsia="Times New Roman" w:cs="Times New Roman"/>
          <w:szCs w:val="24"/>
        </w:rPr>
        <w:t xml:space="preserve">panākt </w:t>
      </w:r>
      <w:r w:rsidRPr="0065234A">
        <w:rPr>
          <w:rFonts w:eastAsia="Times New Roman" w:cs="Times New Roman"/>
          <w:szCs w:val="24"/>
        </w:rPr>
        <w:t>kasācijas instances tiesā lietas izskatīšanu pēc būtības un pierādījumu vērtēšanu no jauna</w:t>
      </w:r>
      <w:r>
        <w:rPr>
          <w:rFonts w:eastAsia="Times New Roman" w:cs="Times New Roman"/>
          <w:szCs w:val="24"/>
        </w:rPr>
        <w:t>. Tādējādi atzīstams, ka kasācijas protests iesniegts</w:t>
      </w:r>
      <w:r w:rsidRPr="0065234A">
        <w:rPr>
          <w:rFonts w:eastAsia="Times New Roman" w:cs="Times New Roman"/>
          <w:szCs w:val="24"/>
        </w:rPr>
        <w:t xml:space="preserve"> nolūkā panākt </w:t>
      </w:r>
      <w:r>
        <w:rPr>
          <w:rFonts w:eastAsia="Times New Roman" w:cs="Times New Roman"/>
          <w:szCs w:val="24"/>
        </w:rPr>
        <w:t>Zemgales</w:t>
      </w:r>
      <w:r w:rsidRPr="0065234A">
        <w:rPr>
          <w:rFonts w:eastAsia="Times New Roman" w:cs="Times New Roman"/>
          <w:szCs w:val="24"/>
        </w:rPr>
        <w:t xml:space="preserve"> apgabaltiesas sprieduma atcelšanu faktisku, bet ne juridisku iemeslu dēļ. </w:t>
      </w:r>
    </w:p>
    <w:p w14:paraId="288483BC" w14:textId="65EC7892" w:rsidR="00F01D9B" w:rsidRDefault="00F01D9B"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Kasācijas protestā atreferētas atsevišķas apelācijas instances tiesas atziņas par pierādījumu ticamību un pietiekamību, apstrīdot minētās atziņas. Prokuror</w:t>
      </w:r>
      <w:r>
        <w:rPr>
          <w:rFonts w:eastAsia="Times New Roman" w:cs="Times New Roman"/>
          <w:szCs w:val="24"/>
        </w:rPr>
        <w:t>e</w:t>
      </w:r>
      <w:r w:rsidRPr="0065234A">
        <w:rPr>
          <w:rFonts w:eastAsia="Times New Roman" w:cs="Times New Roman"/>
          <w:szCs w:val="24"/>
        </w:rPr>
        <w:t xml:space="preserve"> izklāstīj</w:t>
      </w:r>
      <w:r>
        <w:rPr>
          <w:rFonts w:eastAsia="Times New Roman" w:cs="Times New Roman"/>
          <w:szCs w:val="24"/>
        </w:rPr>
        <w:t>usi</w:t>
      </w:r>
      <w:r w:rsidRPr="0065234A">
        <w:rPr>
          <w:rFonts w:eastAsia="Times New Roman" w:cs="Times New Roman"/>
          <w:szCs w:val="24"/>
        </w:rPr>
        <w:t xml:space="preserve"> dažus faktus un izdarīj</w:t>
      </w:r>
      <w:r>
        <w:rPr>
          <w:rFonts w:eastAsia="Times New Roman" w:cs="Times New Roman"/>
          <w:szCs w:val="24"/>
        </w:rPr>
        <w:t>usi</w:t>
      </w:r>
      <w:r w:rsidRPr="0065234A">
        <w:rPr>
          <w:rFonts w:eastAsia="Times New Roman" w:cs="Times New Roman"/>
          <w:szCs w:val="24"/>
        </w:rPr>
        <w:t xml:space="preserve"> secinājumus, kas ir pretēji tiesas secinājumiem, kā pamatojumu savam viedoklim akcentējot atsevišķas atzi</w:t>
      </w:r>
      <w:r w:rsidR="00821F11">
        <w:rPr>
          <w:rFonts w:eastAsia="Times New Roman" w:cs="Times New Roman"/>
          <w:szCs w:val="24"/>
        </w:rPr>
        <w:t>ņas no sprieduma motīvu daļas.</w:t>
      </w:r>
    </w:p>
    <w:p w14:paraId="7EBE7C50" w14:textId="5C8880FD" w:rsidR="00F01D9B" w:rsidRPr="0065234A" w:rsidRDefault="00F01D9B"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 xml:space="preserve">Senāts </w:t>
      </w:r>
      <w:r>
        <w:rPr>
          <w:rFonts w:eastAsia="Times New Roman" w:cs="Times New Roman"/>
          <w:szCs w:val="24"/>
        </w:rPr>
        <w:t>atzīst</w:t>
      </w:r>
      <w:r w:rsidRPr="0065234A">
        <w:rPr>
          <w:rFonts w:eastAsia="Times New Roman" w:cs="Times New Roman"/>
          <w:szCs w:val="24"/>
        </w:rPr>
        <w:t xml:space="preserve">, ka </w:t>
      </w:r>
      <w:r>
        <w:rPr>
          <w:rFonts w:eastAsia="Times New Roman" w:cs="Times New Roman"/>
          <w:szCs w:val="24"/>
        </w:rPr>
        <w:t>Zemgales</w:t>
      </w:r>
      <w:r w:rsidRPr="0065234A">
        <w:rPr>
          <w:rFonts w:eastAsia="Times New Roman" w:cs="Times New Roman"/>
          <w:szCs w:val="24"/>
        </w:rPr>
        <w:t xml:space="preserve"> apgabaltiesas atzinums par </w:t>
      </w:r>
      <w:r w:rsidR="00CC1644">
        <w:rPr>
          <w:rFonts w:eastAsia="Times New Roman" w:cs="Times New Roman"/>
          <w:szCs w:val="24"/>
        </w:rPr>
        <w:t>[pers. A]</w:t>
      </w:r>
      <w:r>
        <w:rPr>
          <w:rFonts w:eastAsia="Times New Roman" w:cs="Times New Roman"/>
          <w:szCs w:val="24"/>
        </w:rPr>
        <w:t xml:space="preserve"> </w:t>
      </w:r>
      <w:r w:rsidRPr="0065234A">
        <w:rPr>
          <w:rFonts w:eastAsia="Times New Roman" w:cs="Times New Roman"/>
          <w:szCs w:val="24"/>
        </w:rPr>
        <w:t xml:space="preserve">attaisnojoša sprieduma taisīšanas pamatu ir balstīts uz lietā iegūto pierādījumu, kurus tiesa atzina par attiecināmiem, pieļaujamiem un ticamiem, vērtējumu. </w:t>
      </w:r>
    </w:p>
    <w:p w14:paraId="6CB41207" w14:textId="77777777" w:rsidR="00F01D9B" w:rsidRPr="0065234A" w:rsidRDefault="00F01D9B"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 xml:space="preserve">Kasācijas instances tiesa atzīmē, ka prokurora nepiekrišana pierādījumu citādam vērtējumam nevar tikt uzskatīta par Kriminālprocesa likuma būtisku pārkāpumu. </w:t>
      </w:r>
    </w:p>
    <w:p w14:paraId="5324983E" w14:textId="4314831D" w:rsidR="00F01D9B" w:rsidRPr="0065234A" w:rsidRDefault="00F01D9B"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No sprieduma motīvu daļas redzams, ka tiesa rūpīgi un detalizēti izvērtējusi pierādījumus. Kasācijas instances tiesa konstatē, ka pierādījumu vērtēšanā tiesa nav pieļāvusi Kriminālprocesa likuma 9.nodaļas normu</w:t>
      </w:r>
      <w:r w:rsidR="00FA16DF">
        <w:rPr>
          <w:rFonts w:eastAsia="Times New Roman" w:cs="Times New Roman"/>
          <w:szCs w:val="24"/>
        </w:rPr>
        <w:t>,</w:t>
      </w:r>
      <w:r w:rsidRPr="0065234A">
        <w:rPr>
          <w:rFonts w:eastAsia="Times New Roman" w:cs="Times New Roman"/>
          <w:szCs w:val="24"/>
        </w:rPr>
        <w:t xml:space="preserve"> tostarp 128.panta </w:t>
      </w:r>
      <w:r w:rsidR="007A57A3">
        <w:rPr>
          <w:rFonts w:eastAsia="Times New Roman" w:cs="Times New Roman"/>
          <w:szCs w:val="24"/>
        </w:rPr>
        <w:t>otrā</w:t>
      </w:r>
      <w:r w:rsidR="009919EF">
        <w:rPr>
          <w:rFonts w:eastAsia="Times New Roman" w:cs="Times New Roman"/>
          <w:szCs w:val="24"/>
        </w:rPr>
        <w:t>s</w:t>
      </w:r>
      <w:r w:rsidR="007A57A3">
        <w:rPr>
          <w:rFonts w:eastAsia="Times New Roman" w:cs="Times New Roman"/>
          <w:szCs w:val="24"/>
        </w:rPr>
        <w:t xml:space="preserve"> un</w:t>
      </w:r>
      <w:r>
        <w:rPr>
          <w:rFonts w:eastAsia="Times New Roman" w:cs="Times New Roman"/>
          <w:szCs w:val="24"/>
        </w:rPr>
        <w:t xml:space="preserve"> </w:t>
      </w:r>
      <w:r w:rsidRPr="0065234A">
        <w:rPr>
          <w:rFonts w:eastAsia="Times New Roman" w:cs="Times New Roman"/>
          <w:szCs w:val="24"/>
        </w:rPr>
        <w:t>trešās daļas</w:t>
      </w:r>
      <w:r w:rsidR="00FA16DF">
        <w:rPr>
          <w:rFonts w:eastAsia="Times New Roman" w:cs="Times New Roman"/>
          <w:szCs w:val="24"/>
        </w:rPr>
        <w:t>,</w:t>
      </w:r>
      <w:r w:rsidRPr="0065234A">
        <w:rPr>
          <w:rFonts w:eastAsia="Times New Roman" w:cs="Times New Roman"/>
          <w:szCs w:val="24"/>
        </w:rPr>
        <w:t xml:space="preserve"> pārkāpumus. </w:t>
      </w:r>
    </w:p>
    <w:p w14:paraId="3DF16C8C" w14:textId="77777777" w:rsidR="00F01D9B" w:rsidRPr="0065234A" w:rsidRDefault="00F01D9B"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 xml:space="preserve">Pierādījumu ticamības jēdziens un novērtēšanas prasības ir noteiktas Kriminālprocesa likuma 128.pantā,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w:t>
      </w:r>
    </w:p>
    <w:p w14:paraId="71DE1185" w14:textId="77777777" w:rsidR="00F01D9B" w:rsidRPr="0065234A" w:rsidRDefault="00F01D9B"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 xml:space="preserve">Atbilstoši Kriminālprocesa likuma 569.panta pirmajai un trešajai daļai kasācijas instances tiesa krimināllietu pēc būtības neizskata, lietas faktiskos apstākļus neskaidro un pierādījumus lietā no jauna neizvērtē. </w:t>
      </w:r>
    </w:p>
    <w:p w14:paraId="6F531346" w14:textId="0DA3852D" w:rsidR="00F01D9B" w:rsidRPr="0065234A" w:rsidRDefault="00F01D9B" w:rsidP="004C1DE6">
      <w:pPr>
        <w:autoSpaceDE w:val="0"/>
        <w:autoSpaceDN w:val="0"/>
        <w:adjustRightInd w:val="0"/>
        <w:spacing w:after="0" w:line="276" w:lineRule="auto"/>
        <w:ind w:firstLine="720"/>
        <w:jc w:val="both"/>
        <w:rPr>
          <w:rFonts w:eastAsia="Times New Roman" w:cs="Times New Roman"/>
          <w:szCs w:val="24"/>
        </w:rPr>
      </w:pPr>
      <w:r w:rsidRPr="0065234A">
        <w:rPr>
          <w:rFonts w:eastAsia="Times New Roman" w:cs="Times New Roman"/>
          <w:szCs w:val="24"/>
        </w:rPr>
        <w:t xml:space="preserve">Senāts atzīst, ka apelācijas instances tiesas spriedums atbilst Kriminālprocesa likuma </w:t>
      </w:r>
      <w:r w:rsidR="000D10E1">
        <w:rPr>
          <w:rFonts w:eastAsia="Times New Roman" w:cs="Times New Roman"/>
          <w:szCs w:val="24"/>
        </w:rPr>
        <w:t xml:space="preserve">511.panta otrās daļas, </w:t>
      </w:r>
      <w:r w:rsidR="00E86803">
        <w:rPr>
          <w:rFonts w:eastAsia="Times New Roman" w:cs="Times New Roman"/>
          <w:szCs w:val="24"/>
        </w:rPr>
        <w:t xml:space="preserve">512., </w:t>
      </w:r>
      <w:r w:rsidR="00B3339A">
        <w:rPr>
          <w:rFonts w:eastAsia="Times New Roman" w:cs="Times New Roman"/>
          <w:szCs w:val="24"/>
        </w:rPr>
        <w:t>525. un</w:t>
      </w:r>
      <w:r w:rsidR="000D10E1">
        <w:rPr>
          <w:rFonts w:eastAsia="Times New Roman" w:cs="Times New Roman"/>
          <w:szCs w:val="24"/>
        </w:rPr>
        <w:t xml:space="preserve"> </w:t>
      </w:r>
      <w:r w:rsidRPr="0065234A">
        <w:rPr>
          <w:rFonts w:eastAsia="Times New Roman" w:cs="Times New Roman"/>
          <w:szCs w:val="24"/>
        </w:rPr>
        <w:t xml:space="preserve">564.panta prasībām. </w:t>
      </w:r>
    </w:p>
    <w:p w14:paraId="249094B5" w14:textId="61175D4A" w:rsidR="00870162" w:rsidRDefault="00F01D9B" w:rsidP="004C1DE6">
      <w:pPr>
        <w:spacing w:after="0" w:line="276" w:lineRule="auto"/>
        <w:ind w:firstLine="720"/>
        <w:jc w:val="both"/>
      </w:pPr>
      <w:r w:rsidRPr="0065234A">
        <w:rPr>
          <w:rFonts w:eastAsia="Times New Roman" w:cs="Times New Roman"/>
          <w:szCs w:val="24"/>
        </w:rPr>
        <w:t xml:space="preserve">Ievērojot minēto, Senāts atzīst, ka </w:t>
      </w:r>
      <w:r>
        <w:rPr>
          <w:rFonts w:eastAsia="Times New Roman" w:cs="Times New Roman"/>
          <w:szCs w:val="24"/>
        </w:rPr>
        <w:t>Zemgales</w:t>
      </w:r>
      <w:r w:rsidRPr="0065234A">
        <w:rPr>
          <w:rFonts w:eastAsia="Times New Roman" w:cs="Times New Roman"/>
          <w:szCs w:val="24"/>
        </w:rPr>
        <w:t xml:space="preserve"> apgabaltiesas sprieduma atcelšanai nav tiesiska pamata.</w:t>
      </w:r>
    </w:p>
    <w:p w14:paraId="59A5AE9B" w14:textId="77777777" w:rsidR="00870162" w:rsidRDefault="00870162" w:rsidP="00870162">
      <w:pPr>
        <w:spacing w:after="0" w:line="276" w:lineRule="auto"/>
        <w:ind w:firstLine="709"/>
        <w:jc w:val="both"/>
      </w:pPr>
    </w:p>
    <w:p w14:paraId="00DBB08A" w14:textId="77777777" w:rsidR="008A41FC" w:rsidRPr="003B229E" w:rsidRDefault="008A41FC" w:rsidP="0040039B">
      <w:pPr>
        <w:spacing w:after="0" w:line="276" w:lineRule="auto"/>
        <w:jc w:val="center"/>
        <w:rPr>
          <w:b/>
          <w:szCs w:val="24"/>
        </w:rPr>
      </w:pPr>
      <w:r w:rsidRPr="003B229E">
        <w:rPr>
          <w:b/>
          <w:szCs w:val="24"/>
        </w:rPr>
        <w:t>Rezolutīvā daļa</w:t>
      </w:r>
    </w:p>
    <w:p w14:paraId="071045D9" w14:textId="77777777" w:rsidR="0040039B" w:rsidRPr="003B229E" w:rsidRDefault="0040039B" w:rsidP="0040039B">
      <w:pPr>
        <w:spacing w:after="0" w:line="276" w:lineRule="auto"/>
        <w:jc w:val="center"/>
        <w:rPr>
          <w:szCs w:val="24"/>
        </w:rPr>
      </w:pPr>
    </w:p>
    <w:p w14:paraId="165453A7" w14:textId="77777777" w:rsidR="008A41FC" w:rsidRDefault="008A41FC" w:rsidP="0040039B">
      <w:pPr>
        <w:spacing w:after="0" w:line="276" w:lineRule="auto"/>
        <w:ind w:firstLine="709"/>
        <w:jc w:val="both"/>
        <w:rPr>
          <w:bCs/>
          <w:szCs w:val="24"/>
        </w:rPr>
      </w:pPr>
      <w:r w:rsidRPr="003B229E">
        <w:rPr>
          <w:szCs w:val="24"/>
        </w:rPr>
        <w:t>P</w:t>
      </w:r>
      <w:r w:rsidRPr="003B229E">
        <w:rPr>
          <w:bCs/>
          <w:szCs w:val="24"/>
        </w:rPr>
        <w:t>amatojoties uz Kriminālprocesa likuma 585. un 587.pantu, tiesa</w:t>
      </w:r>
    </w:p>
    <w:p w14:paraId="5E8AB82C" w14:textId="77777777" w:rsidR="00B73080" w:rsidRPr="003B229E" w:rsidRDefault="00B73080" w:rsidP="0040039B">
      <w:pPr>
        <w:spacing w:after="0" w:line="276" w:lineRule="auto"/>
        <w:rPr>
          <w:szCs w:val="24"/>
        </w:rPr>
      </w:pPr>
    </w:p>
    <w:p w14:paraId="48C0BFF6" w14:textId="77777777" w:rsidR="008A41FC" w:rsidRPr="003B229E" w:rsidRDefault="008A41FC" w:rsidP="0040039B">
      <w:pPr>
        <w:spacing w:after="0" w:line="276" w:lineRule="auto"/>
        <w:jc w:val="center"/>
        <w:rPr>
          <w:b/>
          <w:szCs w:val="24"/>
        </w:rPr>
      </w:pPr>
      <w:r w:rsidRPr="003B229E">
        <w:rPr>
          <w:b/>
          <w:szCs w:val="24"/>
        </w:rPr>
        <w:t>nolēma:</w:t>
      </w:r>
    </w:p>
    <w:p w14:paraId="2B9F9B7B" w14:textId="77777777" w:rsidR="00B86989" w:rsidRDefault="00B86989" w:rsidP="0040039B">
      <w:pPr>
        <w:spacing w:after="0" w:line="276" w:lineRule="auto"/>
        <w:ind w:firstLine="709"/>
        <w:jc w:val="both"/>
        <w:rPr>
          <w:szCs w:val="24"/>
        </w:rPr>
      </w:pPr>
    </w:p>
    <w:p w14:paraId="5827C5EC" w14:textId="25E777F9" w:rsidR="0084116A" w:rsidRDefault="00870162" w:rsidP="00011047">
      <w:pPr>
        <w:spacing w:after="0" w:line="276" w:lineRule="auto"/>
        <w:ind w:firstLine="709"/>
        <w:jc w:val="both"/>
        <w:rPr>
          <w:bCs/>
        </w:rPr>
      </w:pPr>
      <w:r>
        <w:rPr>
          <w:bCs/>
        </w:rPr>
        <w:lastRenderedPageBreak/>
        <w:t xml:space="preserve">atstāt negrozītu Zemgales apgabaltiesas </w:t>
      </w:r>
      <w:proofErr w:type="gramStart"/>
      <w:r>
        <w:rPr>
          <w:bCs/>
        </w:rPr>
        <w:t>2020.gada</w:t>
      </w:r>
      <w:proofErr w:type="gramEnd"/>
      <w:r>
        <w:rPr>
          <w:bCs/>
        </w:rPr>
        <w:t xml:space="preserve"> 14.septembra spriedumu, bet </w:t>
      </w:r>
      <w:r>
        <w:rPr>
          <w:rFonts w:eastAsia="Calibri" w:cs="Times New Roman"/>
          <w:szCs w:val="24"/>
        </w:rPr>
        <w:t xml:space="preserve">kasācijas protestu noraidīt. </w:t>
      </w:r>
    </w:p>
    <w:p w14:paraId="4AFA912D" w14:textId="369D5E02" w:rsidR="008A41FC" w:rsidRPr="003B229E" w:rsidRDefault="008A41FC" w:rsidP="00011047">
      <w:pPr>
        <w:spacing w:after="0" w:line="276" w:lineRule="auto"/>
        <w:ind w:firstLine="709"/>
        <w:jc w:val="both"/>
        <w:rPr>
          <w:szCs w:val="24"/>
        </w:rPr>
      </w:pPr>
      <w:r w:rsidRPr="003B229E">
        <w:rPr>
          <w:szCs w:val="24"/>
        </w:rPr>
        <w:t>Lēmums nav pārsūdzams.</w:t>
      </w:r>
    </w:p>
    <w:sectPr w:rsidR="008A41FC" w:rsidRPr="003B229E" w:rsidSect="00C64445">
      <w:footerReference w:type="even" r:id="rId9"/>
      <w:footerReference w:type="default" r:id="rId10"/>
      <w:pgSz w:w="11906" w:h="16838"/>
      <w:pgMar w:top="1134"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45816" w14:textId="77777777" w:rsidR="00E138F5" w:rsidRDefault="00E138F5">
      <w:pPr>
        <w:spacing w:after="0" w:line="240" w:lineRule="auto"/>
      </w:pPr>
      <w:r>
        <w:separator/>
      </w:r>
    </w:p>
  </w:endnote>
  <w:endnote w:type="continuationSeparator" w:id="0">
    <w:p w14:paraId="6815DF66" w14:textId="77777777" w:rsidR="00E138F5" w:rsidRDefault="00E1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7F63" w14:textId="77777777" w:rsidR="00115D4B" w:rsidRDefault="00115D4B" w:rsidP="00524F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198C6AA" w14:textId="77777777" w:rsidR="00115D4B" w:rsidRDefault="00115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4777813"/>
      <w:docPartObj>
        <w:docPartGallery w:val="Page Numbers (Bottom of Page)"/>
        <w:docPartUnique/>
      </w:docPartObj>
    </w:sdtPr>
    <w:sdtEndPr/>
    <w:sdtContent>
      <w:sdt>
        <w:sdtPr>
          <w:id w:val="1728636285"/>
          <w:docPartObj>
            <w:docPartGallery w:val="Page Numbers (Top of Page)"/>
            <w:docPartUnique/>
          </w:docPartObj>
        </w:sdtPr>
        <w:sdtEndPr/>
        <w:sdtContent>
          <w:p w14:paraId="2F972454" w14:textId="77777777" w:rsidR="00115D4B" w:rsidRPr="001E1E21" w:rsidRDefault="00115D4B">
            <w:pPr>
              <w:pStyle w:val="Footer"/>
              <w:jc w:val="center"/>
            </w:pPr>
            <w:r w:rsidRPr="001E1E21">
              <w:rPr>
                <w:szCs w:val="24"/>
              </w:rPr>
              <w:fldChar w:fldCharType="begin"/>
            </w:r>
            <w:r w:rsidRPr="001E1E21">
              <w:instrText xml:space="preserve"> PAGE </w:instrText>
            </w:r>
            <w:r w:rsidRPr="001E1E21">
              <w:rPr>
                <w:szCs w:val="24"/>
              </w:rPr>
              <w:fldChar w:fldCharType="separate"/>
            </w:r>
            <w:r w:rsidR="00E370A6">
              <w:rPr>
                <w:noProof/>
              </w:rPr>
              <w:t>11</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E370A6">
              <w:rPr>
                <w:noProof/>
              </w:rPr>
              <w:t>11</w:t>
            </w:r>
            <w:r>
              <w:rPr>
                <w:noProof/>
              </w:rPr>
              <w:fldChar w:fldCharType="end"/>
            </w:r>
          </w:p>
        </w:sdtContent>
      </w:sdt>
    </w:sdtContent>
  </w:sdt>
  <w:p w14:paraId="545988C6" w14:textId="77777777" w:rsidR="00115D4B" w:rsidRPr="00A50AA2" w:rsidRDefault="00115D4B" w:rsidP="00A50AA2">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D8CB4" w14:textId="77777777" w:rsidR="00E138F5" w:rsidRDefault="00E138F5">
      <w:pPr>
        <w:spacing w:after="0" w:line="240" w:lineRule="auto"/>
      </w:pPr>
      <w:r>
        <w:separator/>
      </w:r>
    </w:p>
  </w:footnote>
  <w:footnote w:type="continuationSeparator" w:id="0">
    <w:p w14:paraId="1BD72C97" w14:textId="77777777" w:rsidR="00E138F5" w:rsidRDefault="00E13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4329A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D36ACC"/>
    <w:multiLevelType w:val="hybridMultilevel"/>
    <w:tmpl w:val="5BB6D30A"/>
    <w:lvl w:ilvl="0" w:tplc="0562CF6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5B"/>
    <w:rsid w:val="00001D1B"/>
    <w:rsid w:val="00002041"/>
    <w:rsid w:val="0000383F"/>
    <w:rsid w:val="000044DF"/>
    <w:rsid w:val="00004C79"/>
    <w:rsid w:val="00005E2C"/>
    <w:rsid w:val="0000690E"/>
    <w:rsid w:val="000073D3"/>
    <w:rsid w:val="00010400"/>
    <w:rsid w:val="00011047"/>
    <w:rsid w:val="000125E9"/>
    <w:rsid w:val="0001271E"/>
    <w:rsid w:val="00014533"/>
    <w:rsid w:val="00014BBA"/>
    <w:rsid w:val="000162C5"/>
    <w:rsid w:val="0002131E"/>
    <w:rsid w:val="00021680"/>
    <w:rsid w:val="00022B1D"/>
    <w:rsid w:val="0002724F"/>
    <w:rsid w:val="000345AA"/>
    <w:rsid w:val="00035172"/>
    <w:rsid w:val="00036445"/>
    <w:rsid w:val="0003674C"/>
    <w:rsid w:val="00037199"/>
    <w:rsid w:val="0003793E"/>
    <w:rsid w:val="00042921"/>
    <w:rsid w:val="00043311"/>
    <w:rsid w:val="00052757"/>
    <w:rsid w:val="0005639C"/>
    <w:rsid w:val="000600CB"/>
    <w:rsid w:val="000604D2"/>
    <w:rsid w:val="000626FF"/>
    <w:rsid w:val="00063CD9"/>
    <w:rsid w:val="00064846"/>
    <w:rsid w:val="00067F37"/>
    <w:rsid w:val="000721CB"/>
    <w:rsid w:val="00072FAA"/>
    <w:rsid w:val="00076908"/>
    <w:rsid w:val="00076B3E"/>
    <w:rsid w:val="00082D39"/>
    <w:rsid w:val="000841D0"/>
    <w:rsid w:val="0008498C"/>
    <w:rsid w:val="00085230"/>
    <w:rsid w:val="000872B6"/>
    <w:rsid w:val="00087C0E"/>
    <w:rsid w:val="00092A06"/>
    <w:rsid w:val="000947D1"/>
    <w:rsid w:val="00097B98"/>
    <w:rsid w:val="00097F44"/>
    <w:rsid w:val="000A5CE2"/>
    <w:rsid w:val="000A6225"/>
    <w:rsid w:val="000B0A2A"/>
    <w:rsid w:val="000B0A41"/>
    <w:rsid w:val="000B1158"/>
    <w:rsid w:val="000B1C5B"/>
    <w:rsid w:val="000B3D86"/>
    <w:rsid w:val="000B6480"/>
    <w:rsid w:val="000B797A"/>
    <w:rsid w:val="000B7980"/>
    <w:rsid w:val="000C09EE"/>
    <w:rsid w:val="000C4BBF"/>
    <w:rsid w:val="000C6E70"/>
    <w:rsid w:val="000C71A9"/>
    <w:rsid w:val="000D07B4"/>
    <w:rsid w:val="000D0EEB"/>
    <w:rsid w:val="000D10E1"/>
    <w:rsid w:val="000D14C2"/>
    <w:rsid w:val="000D1674"/>
    <w:rsid w:val="000D18FD"/>
    <w:rsid w:val="000D5AC1"/>
    <w:rsid w:val="000D6372"/>
    <w:rsid w:val="000D76FE"/>
    <w:rsid w:val="000E3353"/>
    <w:rsid w:val="000E3F32"/>
    <w:rsid w:val="000E4673"/>
    <w:rsid w:val="000E493F"/>
    <w:rsid w:val="000F2C9F"/>
    <w:rsid w:val="000F32F1"/>
    <w:rsid w:val="000F3AC6"/>
    <w:rsid w:val="000F4935"/>
    <w:rsid w:val="000F49E8"/>
    <w:rsid w:val="000F5727"/>
    <w:rsid w:val="000F59FA"/>
    <w:rsid w:val="001036C0"/>
    <w:rsid w:val="00103968"/>
    <w:rsid w:val="00104A3C"/>
    <w:rsid w:val="0010516A"/>
    <w:rsid w:val="00110009"/>
    <w:rsid w:val="00110B43"/>
    <w:rsid w:val="00110C57"/>
    <w:rsid w:val="00111AC4"/>
    <w:rsid w:val="00113032"/>
    <w:rsid w:val="001137A8"/>
    <w:rsid w:val="00113C75"/>
    <w:rsid w:val="00113E4B"/>
    <w:rsid w:val="00115D4B"/>
    <w:rsid w:val="00117F53"/>
    <w:rsid w:val="00121D29"/>
    <w:rsid w:val="001223E4"/>
    <w:rsid w:val="00125C34"/>
    <w:rsid w:val="001279CD"/>
    <w:rsid w:val="00131F29"/>
    <w:rsid w:val="00132713"/>
    <w:rsid w:val="00133B26"/>
    <w:rsid w:val="00134BE9"/>
    <w:rsid w:val="00136FEA"/>
    <w:rsid w:val="001438BF"/>
    <w:rsid w:val="0014482C"/>
    <w:rsid w:val="00146956"/>
    <w:rsid w:val="00150229"/>
    <w:rsid w:val="00150B49"/>
    <w:rsid w:val="00150CA4"/>
    <w:rsid w:val="00151692"/>
    <w:rsid w:val="0015232B"/>
    <w:rsid w:val="00152728"/>
    <w:rsid w:val="00152F15"/>
    <w:rsid w:val="00154F23"/>
    <w:rsid w:val="0015552F"/>
    <w:rsid w:val="001563A1"/>
    <w:rsid w:val="00156F8F"/>
    <w:rsid w:val="0015756F"/>
    <w:rsid w:val="00157820"/>
    <w:rsid w:val="00160B8D"/>
    <w:rsid w:val="00160F66"/>
    <w:rsid w:val="00163207"/>
    <w:rsid w:val="001667B0"/>
    <w:rsid w:val="001700D7"/>
    <w:rsid w:val="0017242D"/>
    <w:rsid w:val="00177329"/>
    <w:rsid w:val="00177550"/>
    <w:rsid w:val="001777CA"/>
    <w:rsid w:val="00181C6F"/>
    <w:rsid w:val="001876B9"/>
    <w:rsid w:val="00191ACD"/>
    <w:rsid w:val="00191F5A"/>
    <w:rsid w:val="00192B04"/>
    <w:rsid w:val="001975E1"/>
    <w:rsid w:val="00197B92"/>
    <w:rsid w:val="00197F5F"/>
    <w:rsid w:val="001A10F7"/>
    <w:rsid w:val="001A11C5"/>
    <w:rsid w:val="001A22A4"/>
    <w:rsid w:val="001A7220"/>
    <w:rsid w:val="001B01B9"/>
    <w:rsid w:val="001B153F"/>
    <w:rsid w:val="001B1819"/>
    <w:rsid w:val="001B188A"/>
    <w:rsid w:val="001B19AA"/>
    <w:rsid w:val="001B202C"/>
    <w:rsid w:val="001C2A9E"/>
    <w:rsid w:val="001C2B48"/>
    <w:rsid w:val="001C52E7"/>
    <w:rsid w:val="001C6555"/>
    <w:rsid w:val="001D0026"/>
    <w:rsid w:val="001D1823"/>
    <w:rsid w:val="001D470B"/>
    <w:rsid w:val="001D6738"/>
    <w:rsid w:val="001D6C0F"/>
    <w:rsid w:val="001E1E21"/>
    <w:rsid w:val="001E5781"/>
    <w:rsid w:val="001E5EE0"/>
    <w:rsid w:val="001F271C"/>
    <w:rsid w:val="001F340A"/>
    <w:rsid w:val="001F4472"/>
    <w:rsid w:val="001F622F"/>
    <w:rsid w:val="001F78F4"/>
    <w:rsid w:val="0020034A"/>
    <w:rsid w:val="002005BC"/>
    <w:rsid w:val="00201EC7"/>
    <w:rsid w:val="00202813"/>
    <w:rsid w:val="002029B3"/>
    <w:rsid w:val="0020369B"/>
    <w:rsid w:val="00210E1E"/>
    <w:rsid w:val="0021149C"/>
    <w:rsid w:val="002120A4"/>
    <w:rsid w:val="00213B06"/>
    <w:rsid w:val="00213E6C"/>
    <w:rsid w:val="00214AE4"/>
    <w:rsid w:val="00221F85"/>
    <w:rsid w:val="00224831"/>
    <w:rsid w:val="00226C71"/>
    <w:rsid w:val="0023047E"/>
    <w:rsid w:val="00231321"/>
    <w:rsid w:val="00231E9B"/>
    <w:rsid w:val="00233DBE"/>
    <w:rsid w:val="0023412B"/>
    <w:rsid w:val="00240259"/>
    <w:rsid w:val="00245741"/>
    <w:rsid w:val="00245F32"/>
    <w:rsid w:val="00246CB9"/>
    <w:rsid w:val="00250549"/>
    <w:rsid w:val="00250B11"/>
    <w:rsid w:val="0025207F"/>
    <w:rsid w:val="00252257"/>
    <w:rsid w:val="00254539"/>
    <w:rsid w:val="00255311"/>
    <w:rsid w:val="002553C3"/>
    <w:rsid w:val="0025714C"/>
    <w:rsid w:val="0025739B"/>
    <w:rsid w:val="0026084A"/>
    <w:rsid w:val="00262F11"/>
    <w:rsid w:val="00263F3C"/>
    <w:rsid w:val="002651D3"/>
    <w:rsid w:val="00267AE7"/>
    <w:rsid w:val="00267F10"/>
    <w:rsid w:val="0027051E"/>
    <w:rsid w:val="00270BDA"/>
    <w:rsid w:val="0027140A"/>
    <w:rsid w:val="00272024"/>
    <w:rsid w:val="00273FF3"/>
    <w:rsid w:val="00275260"/>
    <w:rsid w:val="00275AA0"/>
    <w:rsid w:val="002773DA"/>
    <w:rsid w:val="00277A02"/>
    <w:rsid w:val="00280BD9"/>
    <w:rsid w:val="00285B5C"/>
    <w:rsid w:val="0028683C"/>
    <w:rsid w:val="00290141"/>
    <w:rsid w:val="00291C92"/>
    <w:rsid w:val="0029573D"/>
    <w:rsid w:val="00295E27"/>
    <w:rsid w:val="002971FC"/>
    <w:rsid w:val="002A124A"/>
    <w:rsid w:val="002A67C8"/>
    <w:rsid w:val="002B037E"/>
    <w:rsid w:val="002B0BB7"/>
    <w:rsid w:val="002B0DBC"/>
    <w:rsid w:val="002B11E4"/>
    <w:rsid w:val="002B47ED"/>
    <w:rsid w:val="002B7883"/>
    <w:rsid w:val="002B7DF7"/>
    <w:rsid w:val="002C1D4D"/>
    <w:rsid w:val="002C2AC4"/>
    <w:rsid w:val="002C4C67"/>
    <w:rsid w:val="002C6257"/>
    <w:rsid w:val="002C79F4"/>
    <w:rsid w:val="002D50FB"/>
    <w:rsid w:val="002D57B0"/>
    <w:rsid w:val="002E0A32"/>
    <w:rsid w:val="002E0AD8"/>
    <w:rsid w:val="002E1D6F"/>
    <w:rsid w:val="002E310C"/>
    <w:rsid w:val="002E42EB"/>
    <w:rsid w:val="002E5F35"/>
    <w:rsid w:val="002E7F41"/>
    <w:rsid w:val="002F314E"/>
    <w:rsid w:val="002F56F6"/>
    <w:rsid w:val="002F5920"/>
    <w:rsid w:val="002F70D8"/>
    <w:rsid w:val="00300EC7"/>
    <w:rsid w:val="0030200D"/>
    <w:rsid w:val="003029B6"/>
    <w:rsid w:val="00304AEF"/>
    <w:rsid w:val="00307FFB"/>
    <w:rsid w:val="003111D8"/>
    <w:rsid w:val="0031209F"/>
    <w:rsid w:val="00313908"/>
    <w:rsid w:val="00313983"/>
    <w:rsid w:val="0032019B"/>
    <w:rsid w:val="003209F5"/>
    <w:rsid w:val="003211F9"/>
    <w:rsid w:val="00321E57"/>
    <w:rsid w:val="00321EAB"/>
    <w:rsid w:val="003279D9"/>
    <w:rsid w:val="00327FB2"/>
    <w:rsid w:val="00330FB0"/>
    <w:rsid w:val="003347F6"/>
    <w:rsid w:val="00335415"/>
    <w:rsid w:val="00335B6F"/>
    <w:rsid w:val="00335D10"/>
    <w:rsid w:val="0033667D"/>
    <w:rsid w:val="00343196"/>
    <w:rsid w:val="003437B7"/>
    <w:rsid w:val="00343A5A"/>
    <w:rsid w:val="003453C9"/>
    <w:rsid w:val="00345FEA"/>
    <w:rsid w:val="00347445"/>
    <w:rsid w:val="00354ED6"/>
    <w:rsid w:val="00355045"/>
    <w:rsid w:val="00355F09"/>
    <w:rsid w:val="00356A6C"/>
    <w:rsid w:val="003577E7"/>
    <w:rsid w:val="00357F29"/>
    <w:rsid w:val="00360743"/>
    <w:rsid w:val="00361C9D"/>
    <w:rsid w:val="00364DC4"/>
    <w:rsid w:val="00365037"/>
    <w:rsid w:val="003731F0"/>
    <w:rsid w:val="00375A2A"/>
    <w:rsid w:val="00381DDB"/>
    <w:rsid w:val="00382466"/>
    <w:rsid w:val="00385890"/>
    <w:rsid w:val="00386369"/>
    <w:rsid w:val="00387586"/>
    <w:rsid w:val="00390B12"/>
    <w:rsid w:val="003933DF"/>
    <w:rsid w:val="00394B0B"/>
    <w:rsid w:val="00395E30"/>
    <w:rsid w:val="0039626E"/>
    <w:rsid w:val="003965E9"/>
    <w:rsid w:val="003B229E"/>
    <w:rsid w:val="003B27CE"/>
    <w:rsid w:val="003B668D"/>
    <w:rsid w:val="003B7EAF"/>
    <w:rsid w:val="003C17CE"/>
    <w:rsid w:val="003C1800"/>
    <w:rsid w:val="003C2200"/>
    <w:rsid w:val="003C24F5"/>
    <w:rsid w:val="003D0A93"/>
    <w:rsid w:val="003D1A8F"/>
    <w:rsid w:val="003D28FB"/>
    <w:rsid w:val="003D41E0"/>
    <w:rsid w:val="003D4879"/>
    <w:rsid w:val="003D5142"/>
    <w:rsid w:val="003D749B"/>
    <w:rsid w:val="003E20C5"/>
    <w:rsid w:val="003E239B"/>
    <w:rsid w:val="003E3557"/>
    <w:rsid w:val="003E7940"/>
    <w:rsid w:val="003F0CC6"/>
    <w:rsid w:val="003F160D"/>
    <w:rsid w:val="003F2A24"/>
    <w:rsid w:val="003F3462"/>
    <w:rsid w:val="003F3BAD"/>
    <w:rsid w:val="003F4E89"/>
    <w:rsid w:val="003F4FC6"/>
    <w:rsid w:val="003F5D63"/>
    <w:rsid w:val="003F6A07"/>
    <w:rsid w:val="003F74CC"/>
    <w:rsid w:val="0040039B"/>
    <w:rsid w:val="0040073E"/>
    <w:rsid w:val="004011F8"/>
    <w:rsid w:val="0040251F"/>
    <w:rsid w:val="00402C2D"/>
    <w:rsid w:val="00405753"/>
    <w:rsid w:val="00407848"/>
    <w:rsid w:val="00407DC2"/>
    <w:rsid w:val="00410CF7"/>
    <w:rsid w:val="00410F0E"/>
    <w:rsid w:val="004114B6"/>
    <w:rsid w:val="00412337"/>
    <w:rsid w:val="00413D8D"/>
    <w:rsid w:val="004142C1"/>
    <w:rsid w:val="00414737"/>
    <w:rsid w:val="004206B8"/>
    <w:rsid w:val="00420BA4"/>
    <w:rsid w:val="00422C5C"/>
    <w:rsid w:val="00423B24"/>
    <w:rsid w:val="004242E1"/>
    <w:rsid w:val="00427358"/>
    <w:rsid w:val="00431B7B"/>
    <w:rsid w:val="00435009"/>
    <w:rsid w:val="0043557D"/>
    <w:rsid w:val="00435DD8"/>
    <w:rsid w:val="004369CB"/>
    <w:rsid w:val="00436AB9"/>
    <w:rsid w:val="00436C37"/>
    <w:rsid w:val="004402A3"/>
    <w:rsid w:val="0044347C"/>
    <w:rsid w:val="00443D33"/>
    <w:rsid w:val="004452D8"/>
    <w:rsid w:val="004455CB"/>
    <w:rsid w:val="004504A7"/>
    <w:rsid w:val="00453835"/>
    <w:rsid w:val="0045607D"/>
    <w:rsid w:val="00457FA4"/>
    <w:rsid w:val="004606A3"/>
    <w:rsid w:val="0046101C"/>
    <w:rsid w:val="00463991"/>
    <w:rsid w:val="00463E7B"/>
    <w:rsid w:val="00464D17"/>
    <w:rsid w:val="00466258"/>
    <w:rsid w:val="00470365"/>
    <w:rsid w:val="004713ED"/>
    <w:rsid w:val="00471C50"/>
    <w:rsid w:val="0047254E"/>
    <w:rsid w:val="004745A6"/>
    <w:rsid w:val="00477FF4"/>
    <w:rsid w:val="00480FA2"/>
    <w:rsid w:val="00481589"/>
    <w:rsid w:val="00482D0A"/>
    <w:rsid w:val="0048468A"/>
    <w:rsid w:val="00484CAE"/>
    <w:rsid w:val="00487595"/>
    <w:rsid w:val="00487B75"/>
    <w:rsid w:val="00491A56"/>
    <w:rsid w:val="004925ED"/>
    <w:rsid w:val="00496503"/>
    <w:rsid w:val="004976DA"/>
    <w:rsid w:val="00497700"/>
    <w:rsid w:val="004A123B"/>
    <w:rsid w:val="004A2E1D"/>
    <w:rsid w:val="004A3B37"/>
    <w:rsid w:val="004A5BA3"/>
    <w:rsid w:val="004A5BD4"/>
    <w:rsid w:val="004A71B5"/>
    <w:rsid w:val="004A79F2"/>
    <w:rsid w:val="004B0698"/>
    <w:rsid w:val="004B263B"/>
    <w:rsid w:val="004B2F8B"/>
    <w:rsid w:val="004B4113"/>
    <w:rsid w:val="004B5057"/>
    <w:rsid w:val="004B661A"/>
    <w:rsid w:val="004B7DA4"/>
    <w:rsid w:val="004C15A6"/>
    <w:rsid w:val="004C1DE6"/>
    <w:rsid w:val="004C4E10"/>
    <w:rsid w:val="004C5C84"/>
    <w:rsid w:val="004D0492"/>
    <w:rsid w:val="004D06D9"/>
    <w:rsid w:val="004D096C"/>
    <w:rsid w:val="004D2C03"/>
    <w:rsid w:val="004D3F45"/>
    <w:rsid w:val="004D577F"/>
    <w:rsid w:val="004D5CE9"/>
    <w:rsid w:val="004D6199"/>
    <w:rsid w:val="004D6CF9"/>
    <w:rsid w:val="004D72C1"/>
    <w:rsid w:val="004D799B"/>
    <w:rsid w:val="004E01A7"/>
    <w:rsid w:val="004E4CCF"/>
    <w:rsid w:val="004E6465"/>
    <w:rsid w:val="004F1CCF"/>
    <w:rsid w:val="004F2FB8"/>
    <w:rsid w:val="004F448C"/>
    <w:rsid w:val="004F4914"/>
    <w:rsid w:val="004F5691"/>
    <w:rsid w:val="004F6BDA"/>
    <w:rsid w:val="004F7460"/>
    <w:rsid w:val="004F7526"/>
    <w:rsid w:val="00500235"/>
    <w:rsid w:val="005041BD"/>
    <w:rsid w:val="005072E0"/>
    <w:rsid w:val="005116C2"/>
    <w:rsid w:val="00513A5D"/>
    <w:rsid w:val="005148B0"/>
    <w:rsid w:val="00515DFD"/>
    <w:rsid w:val="005164DB"/>
    <w:rsid w:val="005169C4"/>
    <w:rsid w:val="00516B55"/>
    <w:rsid w:val="005172CC"/>
    <w:rsid w:val="00517959"/>
    <w:rsid w:val="00517AEA"/>
    <w:rsid w:val="00520914"/>
    <w:rsid w:val="005238AD"/>
    <w:rsid w:val="00523E80"/>
    <w:rsid w:val="00524FDA"/>
    <w:rsid w:val="00525383"/>
    <w:rsid w:val="00525D88"/>
    <w:rsid w:val="00525FB7"/>
    <w:rsid w:val="0053057F"/>
    <w:rsid w:val="00531673"/>
    <w:rsid w:val="005326F7"/>
    <w:rsid w:val="00532D89"/>
    <w:rsid w:val="00533B16"/>
    <w:rsid w:val="005376B1"/>
    <w:rsid w:val="005429D7"/>
    <w:rsid w:val="00543ED5"/>
    <w:rsid w:val="0054406C"/>
    <w:rsid w:val="0055397B"/>
    <w:rsid w:val="00555BAD"/>
    <w:rsid w:val="00562B8D"/>
    <w:rsid w:val="00563DB1"/>
    <w:rsid w:val="00563EEA"/>
    <w:rsid w:val="00564F53"/>
    <w:rsid w:val="00566560"/>
    <w:rsid w:val="005666EA"/>
    <w:rsid w:val="00571EFC"/>
    <w:rsid w:val="00572C0D"/>
    <w:rsid w:val="00574BE6"/>
    <w:rsid w:val="00574DB2"/>
    <w:rsid w:val="00576080"/>
    <w:rsid w:val="00580DD1"/>
    <w:rsid w:val="00581FE6"/>
    <w:rsid w:val="0058493A"/>
    <w:rsid w:val="00585C59"/>
    <w:rsid w:val="00585FAA"/>
    <w:rsid w:val="00586746"/>
    <w:rsid w:val="00591228"/>
    <w:rsid w:val="0059168D"/>
    <w:rsid w:val="00592525"/>
    <w:rsid w:val="005932F5"/>
    <w:rsid w:val="00596F1F"/>
    <w:rsid w:val="005A1D46"/>
    <w:rsid w:val="005A69ED"/>
    <w:rsid w:val="005B01CD"/>
    <w:rsid w:val="005B1934"/>
    <w:rsid w:val="005B28B9"/>
    <w:rsid w:val="005B404A"/>
    <w:rsid w:val="005B54F7"/>
    <w:rsid w:val="005B566C"/>
    <w:rsid w:val="005B6D6D"/>
    <w:rsid w:val="005B7F5E"/>
    <w:rsid w:val="005C067B"/>
    <w:rsid w:val="005C2C24"/>
    <w:rsid w:val="005C58FD"/>
    <w:rsid w:val="005D0289"/>
    <w:rsid w:val="005D0B91"/>
    <w:rsid w:val="005D31B6"/>
    <w:rsid w:val="005D4EAF"/>
    <w:rsid w:val="005F0344"/>
    <w:rsid w:val="005F35E2"/>
    <w:rsid w:val="005F668F"/>
    <w:rsid w:val="005F6FAB"/>
    <w:rsid w:val="005F70CE"/>
    <w:rsid w:val="005F7297"/>
    <w:rsid w:val="005F78BE"/>
    <w:rsid w:val="005F7913"/>
    <w:rsid w:val="006028FD"/>
    <w:rsid w:val="00604AA5"/>
    <w:rsid w:val="006060FB"/>
    <w:rsid w:val="00610E08"/>
    <w:rsid w:val="006119E7"/>
    <w:rsid w:val="00612913"/>
    <w:rsid w:val="00613BB3"/>
    <w:rsid w:val="00616BCF"/>
    <w:rsid w:val="006178F7"/>
    <w:rsid w:val="00620D98"/>
    <w:rsid w:val="00623401"/>
    <w:rsid w:val="00624C4B"/>
    <w:rsid w:val="006250F4"/>
    <w:rsid w:val="006258A1"/>
    <w:rsid w:val="00626210"/>
    <w:rsid w:val="006267EA"/>
    <w:rsid w:val="00631373"/>
    <w:rsid w:val="00633D9C"/>
    <w:rsid w:val="006345F2"/>
    <w:rsid w:val="00636BA7"/>
    <w:rsid w:val="00641EA6"/>
    <w:rsid w:val="00641F3D"/>
    <w:rsid w:val="00642083"/>
    <w:rsid w:val="00643AD7"/>
    <w:rsid w:val="00644A9A"/>
    <w:rsid w:val="0064763A"/>
    <w:rsid w:val="00647855"/>
    <w:rsid w:val="00651C9D"/>
    <w:rsid w:val="00652091"/>
    <w:rsid w:val="0065243D"/>
    <w:rsid w:val="0065300A"/>
    <w:rsid w:val="00653291"/>
    <w:rsid w:val="00654217"/>
    <w:rsid w:val="006556EE"/>
    <w:rsid w:val="006558D5"/>
    <w:rsid w:val="00661861"/>
    <w:rsid w:val="0066217A"/>
    <w:rsid w:val="0066270C"/>
    <w:rsid w:val="00663A45"/>
    <w:rsid w:val="006650DE"/>
    <w:rsid w:val="00665833"/>
    <w:rsid w:val="00666EB3"/>
    <w:rsid w:val="00676700"/>
    <w:rsid w:val="0067696A"/>
    <w:rsid w:val="00681221"/>
    <w:rsid w:val="006821F9"/>
    <w:rsid w:val="00683C00"/>
    <w:rsid w:val="00685D6D"/>
    <w:rsid w:val="00686B92"/>
    <w:rsid w:val="00687414"/>
    <w:rsid w:val="006945A5"/>
    <w:rsid w:val="00695630"/>
    <w:rsid w:val="006957AB"/>
    <w:rsid w:val="006A19E7"/>
    <w:rsid w:val="006A2588"/>
    <w:rsid w:val="006A46C2"/>
    <w:rsid w:val="006A4B2E"/>
    <w:rsid w:val="006A4BD6"/>
    <w:rsid w:val="006A6B6D"/>
    <w:rsid w:val="006B0400"/>
    <w:rsid w:val="006B06A9"/>
    <w:rsid w:val="006B2513"/>
    <w:rsid w:val="006B52DA"/>
    <w:rsid w:val="006B53A4"/>
    <w:rsid w:val="006B567E"/>
    <w:rsid w:val="006B6F03"/>
    <w:rsid w:val="006C21A2"/>
    <w:rsid w:val="006C21F9"/>
    <w:rsid w:val="006C22CE"/>
    <w:rsid w:val="006C2FF4"/>
    <w:rsid w:val="006C64A6"/>
    <w:rsid w:val="006C67FF"/>
    <w:rsid w:val="006C682A"/>
    <w:rsid w:val="006C6975"/>
    <w:rsid w:val="006C7122"/>
    <w:rsid w:val="006D0357"/>
    <w:rsid w:val="006D0C7A"/>
    <w:rsid w:val="006D0E05"/>
    <w:rsid w:val="006D5467"/>
    <w:rsid w:val="006E0023"/>
    <w:rsid w:val="006E160D"/>
    <w:rsid w:val="006E3375"/>
    <w:rsid w:val="006E39A2"/>
    <w:rsid w:val="006E6422"/>
    <w:rsid w:val="006E6A98"/>
    <w:rsid w:val="006E784E"/>
    <w:rsid w:val="006E79BF"/>
    <w:rsid w:val="006F0F2E"/>
    <w:rsid w:val="006F1884"/>
    <w:rsid w:val="006F368F"/>
    <w:rsid w:val="006F4856"/>
    <w:rsid w:val="006F5022"/>
    <w:rsid w:val="006F50B8"/>
    <w:rsid w:val="006F51D6"/>
    <w:rsid w:val="006F70B0"/>
    <w:rsid w:val="00700007"/>
    <w:rsid w:val="00703860"/>
    <w:rsid w:val="00703A54"/>
    <w:rsid w:val="00710908"/>
    <w:rsid w:val="00714346"/>
    <w:rsid w:val="007145FA"/>
    <w:rsid w:val="00714D30"/>
    <w:rsid w:val="00716196"/>
    <w:rsid w:val="00717D7C"/>
    <w:rsid w:val="00723E0F"/>
    <w:rsid w:val="00724CBE"/>
    <w:rsid w:val="00727B49"/>
    <w:rsid w:val="00733CCD"/>
    <w:rsid w:val="00735ECA"/>
    <w:rsid w:val="00737EF2"/>
    <w:rsid w:val="007421A7"/>
    <w:rsid w:val="00742A00"/>
    <w:rsid w:val="007441EC"/>
    <w:rsid w:val="00745340"/>
    <w:rsid w:val="0074692D"/>
    <w:rsid w:val="007476FC"/>
    <w:rsid w:val="00751C30"/>
    <w:rsid w:val="0075332D"/>
    <w:rsid w:val="007556D2"/>
    <w:rsid w:val="007556E3"/>
    <w:rsid w:val="00756E6A"/>
    <w:rsid w:val="00757832"/>
    <w:rsid w:val="00757D70"/>
    <w:rsid w:val="0076031E"/>
    <w:rsid w:val="00760638"/>
    <w:rsid w:val="0076421F"/>
    <w:rsid w:val="0076582D"/>
    <w:rsid w:val="00767954"/>
    <w:rsid w:val="00771D80"/>
    <w:rsid w:val="0077204D"/>
    <w:rsid w:val="00772477"/>
    <w:rsid w:val="00772882"/>
    <w:rsid w:val="00772BA1"/>
    <w:rsid w:val="007733E0"/>
    <w:rsid w:val="0077667D"/>
    <w:rsid w:val="00781B9C"/>
    <w:rsid w:val="007837E1"/>
    <w:rsid w:val="00785A43"/>
    <w:rsid w:val="0078665F"/>
    <w:rsid w:val="00790B81"/>
    <w:rsid w:val="00791DDC"/>
    <w:rsid w:val="00792393"/>
    <w:rsid w:val="00794250"/>
    <w:rsid w:val="00794C3B"/>
    <w:rsid w:val="007A1BD0"/>
    <w:rsid w:val="007A57A3"/>
    <w:rsid w:val="007B2D15"/>
    <w:rsid w:val="007B5FFC"/>
    <w:rsid w:val="007B7E1C"/>
    <w:rsid w:val="007B7E9F"/>
    <w:rsid w:val="007C213E"/>
    <w:rsid w:val="007C2825"/>
    <w:rsid w:val="007C2FFE"/>
    <w:rsid w:val="007C6CAE"/>
    <w:rsid w:val="007C77EC"/>
    <w:rsid w:val="007D0A07"/>
    <w:rsid w:val="007D4045"/>
    <w:rsid w:val="007D73B6"/>
    <w:rsid w:val="007D77AF"/>
    <w:rsid w:val="007E04A3"/>
    <w:rsid w:val="007E08E8"/>
    <w:rsid w:val="007E192F"/>
    <w:rsid w:val="007E31C7"/>
    <w:rsid w:val="007F3B5F"/>
    <w:rsid w:val="007F4E1E"/>
    <w:rsid w:val="008007D0"/>
    <w:rsid w:val="0080087E"/>
    <w:rsid w:val="00804E0B"/>
    <w:rsid w:val="00806929"/>
    <w:rsid w:val="0080732B"/>
    <w:rsid w:val="00807551"/>
    <w:rsid w:val="0081272C"/>
    <w:rsid w:val="008136D5"/>
    <w:rsid w:val="00820068"/>
    <w:rsid w:val="00821194"/>
    <w:rsid w:val="00821E3E"/>
    <w:rsid w:val="00821F11"/>
    <w:rsid w:val="008244DA"/>
    <w:rsid w:val="00824A40"/>
    <w:rsid w:val="00825502"/>
    <w:rsid w:val="00826595"/>
    <w:rsid w:val="00827020"/>
    <w:rsid w:val="00831AEB"/>
    <w:rsid w:val="00833A5D"/>
    <w:rsid w:val="00834430"/>
    <w:rsid w:val="008345E1"/>
    <w:rsid w:val="00835554"/>
    <w:rsid w:val="008362DD"/>
    <w:rsid w:val="00837BF0"/>
    <w:rsid w:val="00837C5B"/>
    <w:rsid w:val="00840292"/>
    <w:rsid w:val="0084116A"/>
    <w:rsid w:val="00842424"/>
    <w:rsid w:val="00845051"/>
    <w:rsid w:val="00845411"/>
    <w:rsid w:val="008460D2"/>
    <w:rsid w:val="00850915"/>
    <w:rsid w:val="00850C83"/>
    <w:rsid w:val="00851D4D"/>
    <w:rsid w:val="00852D76"/>
    <w:rsid w:val="00857DC9"/>
    <w:rsid w:val="00861AA7"/>
    <w:rsid w:val="008667E7"/>
    <w:rsid w:val="00870162"/>
    <w:rsid w:val="00871DE1"/>
    <w:rsid w:val="00880FA7"/>
    <w:rsid w:val="008817BD"/>
    <w:rsid w:val="00881AFD"/>
    <w:rsid w:val="008835DD"/>
    <w:rsid w:val="00885728"/>
    <w:rsid w:val="00886430"/>
    <w:rsid w:val="008908B1"/>
    <w:rsid w:val="00891B53"/>
    <w:rsid w:val="00892421"/>
    <w:rsid w:val="0089266B"/>
    <w:rsid w:val="00893A24"/>
    <w:rsid w:val="0089439A"/>
    <w:rsid w:val="00895021"/>
    <w:rsid w:val="00897ED2"/>
    <w:rsid w:val="008A156A"/>
    <w:rsid w:val="008A1A81"/>
    <w:rsid w:val="008A1DBD"/>
    <w:rsid w:val="008A32DA"/>
    <w:rsid w:val="008A41FC"/>
    <w:rsid w:val="008A58E1"/>
    <w:rsid w:val="008A6E4F"/>
    <w:rsid w:val="008A7747"/>
    <w:rsid w:val="008A7B80"/>
    <w:rsid w:val="008A7C52"/>
    <w:rsid w:val="008B2118"/>
    <w:rsid w:val="008B4BB6"/>
    <w:rsid w:val="008B4EA3"/>
    <w:rsid w:val="008B5021"/>
    <w:rsid w:val="008B5154"/>
    <w:rsid w:val="008B72B8"/>
    <w:rsid w:val="008C279B"/>
    <w:rsid w:val="008C31F6"/>
    <w:rsid w:val="008C35CF"/>
    <w:rsid w:val="008C36C5"/>
    <w:rsid w:val="008C4E58"/>
    <w:rsid w:val="008C7301"/>
    <w:rsid w:val="008D1C5E"/>
    <w:rsid w:val="008D28B3"/>
    <w:rsid w:val="008E0220"/>
    <w:rsid w:val="008E28DC"/>
    <w:rsid w:val="008E3E2A"/>
    <w:rsid w:val="008E468C"/>
    <w:rsid w:val="008E67FA"/>
    <w:rsid w:val="008E7609"/>
    <w:rsid w:val="008E777E"/>
    <w:rsid w:val="008F02E4"/>
    <w:rsid w:val="008F1AC7"/>
    <w:rsid w:val="008F27C6"/>
    <w:rsid w:val="008F28A7"/>
    <w:rsid w:val="008F49CF"/>
    <w:rsid w:val="008F602A"/>
    <w:rsid w:val="008F6BE8"/>
    <w:rsid w:val="00900152"/>
    <w:rsid w:val="009072B6"/>
    <w:rsid w:val="00913622"/>
    <w:rsid w:val="009162BB"/>
    <w:rsid w:val="00916EFA"/>
    <w:rsid w:val="009204FC"/>
    <w:rsid w:val="0092098D"/>
    <w:rsid w:val="00923ECE"/>
    <w:rsid w:val="009246C9"/>
    <w:rsid w:val="00925AAD"/>
    <w:rsid w:val="009278E9"/>
    <w:rsid w:val="00927F3D"/>
    <w:rsid w:val="00931F6C"/>
    <w:rsid w:val="0093451C"/>
    <w:rsid w:val="00937967"/>
    <w:rsid w:val="009422DD"/>
    <w:rsid w:val="009434D5"/>
    <w:rsid w:val="00946F00"/>
    <w:rsid w:val="009477B7"/>
    <w:rsid w:val="00947AA0"/>
    <w:rsid w:val="00947AF2"/>
    <w:rsid w:val="00962364"/>
    <w:rsid w:val="009639A0"/>
    <w:rsid w:val="00963F5D"/>
    <w:rsid w:val="0096634A"/>
    <w:rsid w:val="00966A33"/>
    <w:rsid w:val="00967C0A"/>
    <w:rsid w:val="00967C30"/>
    <w:rsid w:val="00974667"/>
    <w:rsid w:val="00976515"/>
    <w:rsid w:val="00976FDF"/>
    <w:rsid w:val="009776E5"/>
    <w:rsid w:val="009824DF"/>
    <w:rsid w:val="00983C6F"/>
    <w:rsid w:val="00983DAC"/>
    <w:rsid w:val="009854E6"/>
    <w:rsid w:val="009862DA"/>
    <w:rsid w:val="00987C3A"/>
    <w:rsid w:val="00987D6C"/>
    <w:rsid w:val="009919EF"/>
    <w:rsid w:val="009942A7"/>
    <w:rsid w:val="009949CB"/>
    <w:rsid w:val="009975B4"/>
    <w:rsid w:val="009A101C"/>
    <w:rsid w:val="009A12F5"/>
    <w:rsid w:val="009A5A26"/>
    <w:rsid w:val="009B1831"/>
    <w:rsid w:val="009B1F9B"/>
    <w:rsid w:val="009B726A"/>
    <w:rsid w:val="009B7616"/>
    <w:rsid w:val="009B7E54"/>
    <w:rsid w:val="009C16F6"/>
    <w:rsid w:val="009C20AC"/>
    <w:rsid w:val="009C2DCC"/>
    <w:rsid w:val="009C3A84"/>
    <w:rsid w:val="009C444D"/>
    <w:rsid w:val="009C455C"/>
    <w:rsid w:val="009C58C9"/>
    <w:rsid w:val="009D2816"/>
    <w:rsid w:val="009D59DE"/>
    <w:rsid w:val="009D65CA"/>
    <w:rsid w:val="009E074D"/>
    <w:rsid w:val="009E0D12"/>
    <w:rsid w:val="009E0FA7"/>
    <w:rsid w:val="009E3519"/>
    <w:rsid w:val="009E5547"/>
    <w:rsid w:val="009E6325"/>
    <w:rsid w:val="009F29EB"/>
    <w:rsid w:val="009F2AFA"/>
    <w:rsid w:val="009F5DED"/>
    <w:rsid w:val="009F7F4E"/>
    <w:rsid w:val="00A015F7"/>
    <w:rsid w:val="00A01BA1"/>
    <w:rsid w:val="00A04D69"/>
    <w:rsid w:val="00A05A0A"/>
    <w:rsid w:val="00A10CE7"/>
    <w:rsid w:val="00A11357"/>
    <w:rsid w:val="00A14024"/>
    <w:rsid w:val="00A162FD"/>
    <w:rsid w:val="00A16A0C"/>
    <w:rsid w:val="00A22BC3"/>
    <w:rsid w:val="00A248E3"/>
    <w:rsid w:val="00A24A44"/>
    <w:rsid w:val="00A26080"/>
    <w:rsid w:val="00A30508"/>
    <w:rsid w:val="00A321C0"/>
    <w:rsid w:val="00A3246E"/>
    <w:rsid w:val="00A35CC6"/>
    <w:rsid w:val="00A36501"/>
    <w:rsid w:val="00A4088C"/>
    <w:rsid w:val="00A43E68"/>
    <w:rsid w:val="00A46827"/>
    <w:rsid w:val="00A477DE"/>
    <w:rsid w:val="00A479B7"/>
    <w:rsid w:val="00A504AC"/>
    <w:rsid w:val="00A50AA2"/>
    <w:rsid w:val="00A52633"/>
    <w:rsid w:val="00A52899"/>
    <w:rsid w:val="00A52EA3"/>
    <w:rsid w:val="00A539D1"/>
    <w:rsid w:val="00A56851"/>
    <w:rsid w:val="00A579ED"/>
    <w:rsid w:val="00A57B97"/>
    <w:rsid w:val="00A57BB7"/>
    <w:rsid w:val="00A61ABB"/>
    <w:rsid w:val="00A61DD4"/>
    <w:rsid w:val="00A628AB"/>
    <w:rsid w:val="00A63AEB"/>
    <w:rsid w:val="00A66A2F"/>
    <w:rsid w:val="00A70154"/>
    <w:rsid w:val="00A71F07"/>
    <w:rsid w:val="00A727B1"/>
    <w:rsid w:val="00A73B84"/>
    <w:rsid w:val="00A7556B"/>
    <w:rsid w:val="00A82D2F"/>
    <w:rsid w:val="00A87585"/>
    <w:rsid w:val="00A87997"/>
    <w:rsid w:val="00A87B2D"/>
    <w:rsid w:val="00A87CAE"/>
    <w:rsid w:val="00A9044C"/>
    <w:rsid w:val="00A95A53"/>
    <w:rsid w:val="00A97466"/>
    <w:rsid w:val="00AA070C"/>
    <w:rsid w:val="00AA52CF"/>
    <w:rsid w:val="00AA5330"/>
    <w:rsid w:val="00AA6363"/>
    <w:rsid w:val="00AA6376"/>
    <w:rsid w:val="00AA7A21"/>
    <w:rsid w:val="00AA7B90"/>
    <w:rsid w:val="00AB0007"/>
    <w:rsid w:val="00AB2DA9"/>
    <w:rsid w:val="00AB384C"/>
    <w:rsid w:val="00AC004C"/>
    <w:rsid w:val="00AC00DB"/>
    <w:rsid w:val="00AC17C5"/>
    <w:rsid w:val="00AC2DA5"/>
    <w:rsid w:val="00AD3085"/>
    <w:rsid w:val="00AD42F9"/>
    <w:rsid w:val="00AD481A"/>
    <w:rsid w:val="00AD49CB"/>
    <w:rsid w:val="00AD5DEF"/>
    <w:rsid w:val="00AD5FC2"/>
    <w:rsid w:val="00AD651E"/>
    <w:rsid w:val="00AD654D"/>
    <w:rsid w:val="00AD7A7E"/>
    <w:rsid w:val="00AE2B4A"/>
    <w:rsid w:val="00AE2F4D"/>
    <w:rsid w:val="00AE51FB"/>
    <w:rsid w:val="00AE570A"/>
    <w:rsid w:val="00AE6FC6"/>
    <w:rsid w:val="00AE7090"/>
    <w:rsid w:val="00AE7101"/>
    <w:rsid w:val="00AF1412"/>
    <w:rsid w:val="00AF1582"/>
    <w:rsid w:val="00AF1C20"/>
    <w:rsid w:val="00AF5AB6"/>
    <w:rsid w:val="00B046A2"/>
    <w:rsid w:val="00B06AB8"/>
    <w:rsid w:val="00B06F30"/>
    <w:rsid w:val="00B07B84"/>
    <w:rsid w:val="00B10986"/>
    <w:rsid w:val="00B11618"/>
    <w:rsid w:val="00B134F0"/>
    <w:rsid w:val="00B15DED"/>
    <w:rsid w:val="00B160B3"/>
    <w:rsid w:val="00B2055A"/>
    <w:rsid w:val="00B24FC4"/>
    <w:rsid w:val="00B26599"/>
    <w:rsid w:val="00B26776"/>
    <w:rsid w:val="00B26D05"/>
    <w:rsid w:val="00B3339A"/>
    <w:rsid w:val="00B350D3"/>
    <w:rsid w:val="00B36440"/>
    <w:rsid w:val="00B36A6D"/>
    <w:rsid w:val="00B40354"/>
    <w:rsid w:val="00B40B82"/>
    <w:rsid w:val="00B4551D"/>
    <w:rsid w:val="00B45883"/>
    <w:rsid w:val="00B45B2E"/>
    <w:rsid w:val="00B46C43"/>
    <w:rsid w:val="00B476A2"/>
    <w:rsid w:val="00B5138F"/>
    <w:rsid w:val="00B51585"/>
    <w:rsid w:val="00B53A30"/>
    <w:rsid w:val="00B547E6"/>
    <w:rsid w:val="00B57A95"/>
    <w:rsid w:val="00B57C0F"/>
    <w:rsid w:val="00B716C3"/>
    <w:rsid w:val="00B71E2D"/>
    <w:rsid w:val="00B726EC"/>
    <w:rsid w:val="00B73080"/>
    <w:rsid w:val="00B753C4"/>
    <w:rsid w:val="00B809B1"/>
    <w:rsid w:val="00B80FFA"/>
    <w:rsid w:val="00B8169C"/>
    <w:rsid w:val="00B825DA"/>
    <w:rsid w:val="00B84E2B"/>
    <w:rsid w:val="00B858F7"/>
    <w:rsid w:val="00B86989"/>
    <w:rsid w:val="00B9439F"/>
    <w:rsid w:val="00B9463D"/>
    <w:rsid w:val="00B94B8C"/>
    <w:rsid w:val="00B957C7"/>
    <w:rsid w:val="00B962AB"/>
    <w:rsid w:val="00B963ED"/>
    <w:rsid w:val="00BA0A28"/>
    <w:rsid w:val="00BA27AD"/>
    <w:rsid w:val="00BA39C4"/>
    <w:rsid w:val="00BA5433"/>
    <w:rsid w:val="00BB5567"/>
    <w:rsid w:val="00BB569A"/>
    <w:rsid w:val="00BC1AB3"/>
    <w:rsid w:val="00BC31A1"/>
    <w:rsid w:val="00BC394C"/>
    <w:rsid w:val="00BC3C1D"/>
    <w:rsid w:val="00BC3CB1"/>
    <w:rsid w:val="00BC5CB4"/>
    <w:rsid w:val="00BD01AE"/>
    <w:rsid w:val="00BD1FFC"/>
    <w:rsid w:val="00BD30A0"/>
    <w:rsid w:val="00BD72C9"/>
    <w:rsid w:val="00BD7632"/>
    <w:rsid w:val="00BD7D65"/>
    <w:rsid w:val="00BE0CD3"/>
    <w:rsid w:val="00BE10E5"/>
    <w:rsid w:val="00BE1A04"/>
    <w:rsid w:val="00BE36A9"/>
    <w:rsid w:val="00BE641A"/>
    <w:rsid w:val="00BE7F24"/>
    <w:rsid w:val="00BF0998"/>
    <w:rsid w:val="00BF0D2F"/>
    <w:rsid w:val="00BF17E6"/>
    <w:rsid w:val="00BF3A51"/>
    <w:rsid w:val="00C000C3"/>
    <w:rsid w:val="00C00357"/>
    <w:rsid w:val="00C00C29"/>
    <w:rsid w:val="00C03B59"/>
    <w:rsid w:val="00C04295"/>
    <w:rsid w:val="00C04570"/>
    <w:rsid w:val="00C14F26"/>
    <w:rsid w:val="00C15D1C"/>
    <w:rsid w:val="00C1660C"/>
    <w:rsid w:val="00C176F3"/>
    <w:rsid w:val="00C212B6"/>
    <w:rsid w:val="00C21570"/>
    <w:rsid w:val="00C267DE"/>
    <w:rsid w:val="00C308D4"/>
    <w:rsid w:val="00C41611"/>
    <w:rsid w:val="00C43483"/>
    <w:rsid w:val="00C5114B"/>
    <w:rsid w:val="00C5498F"/>
    <w:rsid w:val="00C60EC2"/>
    <w:rsid w:val="00C6190B"/>
    <w:rsid w:val="00C63E42"/>
    <w:rsid w:val="00C640A4"/>
    <w:rsid w:val="00C64445"/>
    <w:rsid w:val="00C64CE3"/>
    <w:rsid w:val="00C653F3"/>
    <w:rsid w:val="00C732F9"/>
    <w:rsid w:val="00C73422"/>
    <w:rsid w:val="00C75811"/>
    <w:rsid w:val="00C75EE2"/>
    <w:rsid w:val="00C77EAB"/>
    <w:rsid w:val="00C8475A"/>
    <w:rsid w:val="00C8488C"/>
    <w:rsid w:val="00C86532"/>
    <w:rsid w:val="00C9240D"/>
    <w:rsid w:val="00C93FE4"/>
    <w:rsid w:val="00C95442"/>
    <w:rsid w:val="00C95BC3"/>
    <w:rsid w:val="00C97360"/>
    <w:rsid w:val="00CA0093"/>
    <w:rsid w:val="00CA00C6"/>
    <w:rsid w:val="00CA2B4A"/>
    <w:rsid w:val="00CA36B4"/>
    <w:rsid w:val="00CA42D9"/>
    <w:rsid w:val="00CA5130"/>
    <w:rsid w:val="00CA6744"/>
    <w:rsid w:val="00CA7E85"/>
    <w:rsid w:val="00CB2987"/>
    <w:rsid w:val="00CC1644"/>
    <w:rsid w:val="00CC295A"/>
    <w:rsid w:val="00CD07FE"/>
    <w:rsid w:val="00CD0C2D"/>
    <w:rsid w:val="00CD12CF"/>
    <w:rsid w:val="00CD1324"/>
    <w:rsid w:val="00CD15F6"/>
    <w:rsid w:val="00CD2FC3"/>
    <w:rsid w:val="00CD36EF"/>
    <w:rsid w:val="00CD47FA"/>
    <w:rsid w:val="00CD4940"/>
    <w:rsid w:val="00CD7F60"/>
    <w:rsid w:val="00CE005C"/>
    <w:rsid w:val="00CE42EF"/>
    <w:rsid w:val="00CE4338"/>
    <w:rsid w:val="00CE7BAE"/>
    <w:rsid w:val="00CF1CF8"/>
    <w:rsid w:val="00CF3917"/>
    <w:rsid w:val="00CF39BC"/>
    <w:rsid w:val="00CF7B00"/>
    <w:rsid w:val="00D0209D"/>
    <w:rsid w:val="00D03792"/>
    <w:rsid w:val="00D03AC3"/>
    <w:rsid w:val="00D04F5D"/>
    <w:rsid w:val="00D05051"/>
    <w:rsid w:val="00D05E07"/>
    <w:rsid w:val="00D0627A"/>
    <w:rsid w:val="00D11350"/>
    <w:rsid w:val="00D11FFE"/>
    <w:rsid w:val="00D132B9"/>
    <w:rsid w:val="00D13F4F"/>
    <w:rsid w:val="00D14C53"/>
    <w:rsid w:val="00D15A79"/>
    <w:rsid w:val="00D16BC1"/>
    <w:rsid w:val="00D17796"/>
    <w:rsid w:val="00D17A57"/>
    <w:rsid w:val="00D208A6"/>
    <w:rsid w:val="00D20EEC"/>
    <w:rsid w:val="00D22711"/>
    <w:rsid w:val="00D231E0"/>
    <w:rsid w:val="00D243CE"/>
    <w:rsid w:val="00D25C96"/>
    <w:rsid w:val="00D31BDD"/>
    <w:rsid w:val="00D32426"/>
    <w:rsid w:val="00D33ADD"/>
    <w:rsid w:val="00D3587A"/>
    <w:rsid w:val="00D36759"/>
    <w:rsid w:val="00D36A32"/>
    <w:rsid w:val="00D36C35"/>
    <w:rsid w:val="00D37A47"/>
    <w:rsid w:val="00D4063F"/>
    <w:rsid w:val="00D415D4"/>
    <w:rsid w:val="00D42410"/>
    <w:rsid w:val="00D42B5D"/>
    <w:rsid w:val="00D42DD0"/>
    <w:rsid w:val="00D44BF1"/>
    <w:rsid w:val="00D51F97"/>
    <w:rsid w:val="00D53150"/>
    <w:rsid w:val="00D53487"/>
    <w:rsid w:val="00D57EB7"/>
    <w:rsid w:val="00D61503"/>
    <w:rsid w:val="00D61D26"/>
    <w:rsid w:val="00D629AB"/>
    <w:rsid w:val="00D671D3"/>
    <w:rsid w:val="00D72313"/>
    <w:rsid w:val="00D74E36"/>
    <w:rsid w:val="00D7659F"/>
    <w:rsid w:val="00D77364"/>
    <w:rsid w:val="00D77DE3"/>
    <w:rsid w:val="00D845CA"/>
    <w:rsid w:val="00D84ADB"/>
    <w:rsid w:val="00D85272"/>
    <w:rsid w:val="00D85527"/>
    <w:rsid w:val="00D8587B"/>
    <w:rsid w:val="00D86989"/>
    <w:rsid w:val="00D87C0A"/>
    <w:rsid w:val="00D90084"/>
    <w:rsid w:val="00D91196"/>
    <w:rsid w:val="00D953A1"/>
    <w:rsid w:val="00DA0233"/>
    <w:rsid w:val="00DA2D4C"/>
    <w:rsid w:val="00DA3893"/>
    <w:rsid w:val="00DA574B"/>
    <w:rsid w:val="00DA5C15"/>
    <w:rsid w:val="00DA6241"/>
    <w:rsid w:val="00DA6370"/>
    <w:rsid w:val="00DA650C"/>
    <w:rsid w:val="00DA671D"/>
    <w:rsid w:val="00DA7AA3"/>
    <w:rsid w:val="00DB2C19"/>
    <w:rsid w:val="00DB32BC"/>
    <w:rsid w:val="00DB4386"/>
    <w:rsid w:val="00DB55A1"/>
    <w:rsid w:val="00DB56F3"/>
    <w:rsid w:val="00DB6113"/>
    <w:rsid w:val="00DB6384"/>
    <w:rsid w:val="00DB6FB5"/>
    <w:rsid w:val="00DB777B"/>
    <w:rsid w:val="00DC0442"/>
    <w:rsid w:val="00DC125D"/>
    <w:rsid w:val="00DC1330"/>
    <w:rsid w:val="00DC450F"/>
    <w:rsid w:val="00DC5068"/>
    <w:rsid w:val="00DC57D1"/>
    <w:rsid w:val="00DC6379"/>
    <w:rsid w:val="00DC6942"/>
    <w:rsid w:val="00DC73A2"/>
    <w:rsid w:val="00DC75C0"/>
    <w:rsid w:val="00DD0FF5"/>
    <w:rsid w:val="00DD2E38"/>
    <w:rsid w:val="00DD3048"/>
    <w:rsid w:val="00DD6EF1"/>
    <w:rsid w:val="00DE09F2"/>
    <w:rsid w:val="00DE1D46"/>
    <w:rsid w:val="00DE2436"/>
    <w:rsid w:val="00DE374D"/>
    <w:rsid w:val="00DE4858"/>
    <w:rsid w:val="00DE55FF"/>
    <w:rsid w:val="00DE594E"/>
    <w:rsid w:val="00DE6D93"/>
    <w:rsid w:val="00DF26D7"/>
    <w:rsid w:val="00DF336A"/>
    <w:rsid w:val="00DF416A"/>
    <w:rsid w:val="00DF4B8A"/>
    <w:rsid w:val="00DF55F9"/>
    <w:rsid w:val="00DF6AAF"/>
    <w:rsid w:val="00E009D9"/>
    <w:rsid w:val="00E04098"/>
    <w:rsid w:val="00E04256"/>
    <w:rsid w:val="00E04336"/>
    <w:rsid w:val="00E051D3"/>
    <w:rsid w:val="00E05B16"/>
    <w:rsid w:val="00E0706A"/>
    <w:rsid w:val="00E10104"/>
    <w:rsid w:val="00E138F5"/>
    <w:rsid w:val="00E15431"/>
    <w:rsid w:val="00E1793F"/>
    <w:rsid w:val="00E203BF"/>
    <w:rsid w:val="00E20FBB"/>
    <w:rsid w:val="00E22523"/>
    <w:rsid w:val="00E22639"/>
    <w:rsid w:val="00E22E96"/>
    <w:rsid w:val="00E235E6"/>
    <w:rsid w:val="00E24541"/>
    <w:rsid w:val="00E25021"/>
    <w:rsid w:val="00E2521F"/>
    <w:rsid w:val="00E27CE7"/>
    <w:rsid w:val="00E328CE"/>
    <w:rsid w:val="00E370A6"/>
    <w:rsid w:val="00E37219"/>
    <w:rsid w:val="00E41494"/>
    <w:rsid w:val="00E41FE4"/>
    <w:rsid w:val="00E420F1"/>
    <w:rsid w:val="00E42E6F"/>
    <w:rsid w:val="00E42FF9"/>
    <w:rsid w:val="00E43607"/>
    <w:rsid w:val="00E44263"/>
    <w:rsid w:val="00E45E69"/>
    <w:rsid w:val="00E512D9"/>
    <w:rsid w:val="00E52332"/>
    <w:rsid w:val="00E5581A"/>
    <w:rsid w:val="00E57644"/>
    <w:rsid w:val="00E57DED"/>
    <w:rsid w:val="00E60342"/>
    <w:rsid w:val="00E60F1E"/>
    <w:rsid w:val="00E679E3"/>
    <w:rsid w:val="00E67A86"/>
    <w:rsid w:val="00E67CE8"/>
    <w:rsid w:val="00E72253"/>
    <w:rsid w:val="00E7241F"/>
    <w:rsid w:val="00E75454"/>
    <w:rsid w:val="00E8095A"/>
    <w:rsid w:val="00E82B1D"/>
    <w:rsid w:val="00E86803"/>
    <w:rsid w:val="00E90711"/>
    <w:rsid w:val="00E932FF"/>
    <w:rsid w:val="00EA0A3B"/>
    <w:rsid w:val="00EA0A98"/>
    <w:rsid w:val="00EA2ADB"/>
    <w:rsid w:val="00EA33B3"/>
    <w:rsid w:val="00EA4011"/>
    <w:rsid w:val="00EA4153"/>
    <w:rsid w:val="00EA4986"/>
    <w:rsid w:val="00EA640F"/>
    <w:rsid w:val="00EA7631"/>
    <w:rsid w:val="00EA7970"/>
    <w:rsid w:val="00EB513A"/>
    <w:rsid w:val="00EC3D54"/>
    <w:rsid w:val="00EC498F"/>
    <w:rsid w:val="00EC4E1E"/>
    <w:rsid w:val="00EC51F8"/>
    <w:rsid w:val="00EC5D2A"/>
    <w:rsid w:val="00ED0552"/>
    <w:rsid w:val="00ED17A7"/>
    <w:rsid w:val="00ED41A1"/>
    <w:rsid w:val="00ED5EDA"/>
    <w:rsid w:val="00EE0FDB"/>
    <w:rsid w:val="00EE2EB7"/>
    <w:rsid w:val="00EE3375"/>
    <w:rsid w:val="00EE3D7E"/>
    <w:rsid w:val="00EE6EFC"/>
    <w:rsid w:val="00EF2ABB"/>
    <w:rsid w:val="00EF2C1F"/>
    <w:rsid w:val="00EF325F"/>
    <w:rsid w:val="00EF619E"/>
    <w:rsid w:val="00F015C7"/>
    <w:rsid w:val="00F01D9B"/>
    <w:rsid w:val="00F021EF"/>
    <w:rsid w:val="00F04521"/>
    <w:rsid w:val="00F05D03"/>
    <w:rsid w:val="00F07222"/>
    <w:rsid w:val="00F07548"/>
    <w:rsid w:val="00F1235F"/>
    <w:rsid w:val="00F13E2F"/>
    <w:rsid w:val="00F1542C"/>
    <w:rsid w:val="00F2262C"/>
    <w:rsid w:val="00F233AF"/>
    <w:rsid w:val="00F400CC"/>
    <w:rsid w:val="00F41D40"/>
    <w:rsid w:val="00F429FE"/>
    <w:rsid w:val="00F43990"/>
    <w:rsid w:val="00F452B0"/>
    <w:rsid w:val="00F45DFD"/>
    <w:rsid w:val="00F46A66"/>
    <w:rsid w:val="00F50D65"/>
    <w:rsid w:val="00F5748F"/>
    <w:rsid w:val="00F629BC"/>
    <w:rsid w:val="00F62C08"/>
    <w:rsid w:val="00F64291"/>
    <w:rsid w:val="00F66B5A"/>
    <w:rsid w:val="00F66CE2"/>
    <w:rsid w:val="00F72E3C"/>
    <w:rsid w:val="00F74E49"/>
    <w:rsid w:val="00F75713"/>
    <w:rsid w:val="00F76EB8"/>
    <w:rsid w:val="00F81139"/>
    <w:rsid w:val="00F816ED"/>
    <w:rsid w:val="00F81EE2"/>
    <w:rsid w:val="00F85C3C"/>
    <w:rsid w:val="00F869C8"/>
    <w:rsid w:val="00F86E78"/>
    <w:rsid w:val="00F90295"/>
    <w:rsid w:val="00F905E5"/>
    <w:rsid w:val="00F94182"/>
    <w:rsid w:val="00F94A5A"/>
    <w:rsid w:val="00F954CB"/>
    <w:rsid w:val="00FA16DF"/>
    <w:rsid w:val="00FA289C"/>
    <w:rsid w:val="00FA3026"/>
    <w:rsid w:val="00FA3F51"/>
    <w:rsid w:val="00FB1ADE"/>
    <w:rsid w:val="00FB4581"/>
    <w:rsid w:val="00FB748B"/>
    <w:rsid w:val="00FC0C7D"/>
    <w:rsid w:val="00FC28CA"/>
    <w:rsid w:val="00FC3376"/>
    <w:rsid w:val="00FC34D6"/>
    <w:rsid w:val="00FC5524"/>
    <w:rsid w:val="00FC5BB7"/>
    <w:rsid w:val="00FC7286"/>
    <w:rsid w:val="00FD0576"/>
    <w:rsid w:val="00FD3104"/>
    <w:rsid w:val="00FD4687"/>
    <w:rsid w:val="00FD497A"/>
    <w:rsid w:val="00FE3754"/>
    <w:rsid w:val="00FE7702"/>
    <w:rsid w:val="00FF2DD0"/>
    <w:rsid w:val="00FF3077"/>
    <w:rsid w:val="00FF4FD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9B9C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B3"/>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1C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1C5B"/>
    <w:rPr>
      <w:szCs w:val="22"/>
    </w:rPr>
  </w:style>
  <w:style w:type="character" w:styleId="PageNumber">
    <w:name w:val="page number"/>
    <w:basedOn w:val="DefaultParagraphFont"/>
    <w:rsid w:val="000B1C5B"/>
    <w:rPr>
      <w:rFonts w:cs="Times New Roman"/>
    </w:rPr>
  </w:style>
  <w:style w:type="paragraph" w:styleId="Header">
    <w:name w:val="header"/>
    <w:basedOn w:val="Normal"/>
    <w:link w:val="HeaderChar"/>
    <w:uiPriority w:val="99"/>
    <w:unhideWhenUsed/>
    <w:rsid w:val="000B1C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1C5B"/>
    <w:rPr>
      <w:szCs w:val="22"/>
    </w:rPr>
  </w:style>
  <w:style w:type="table" w:styleId="TableGrid">
    <w:name w:val="Table Grid"/>
    <w:basedOn w:val="TableNormal"/>
    <w:uiPriority w:val="39"/>
    <w:rsid w:val="000B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6B4"/>
    <w:pPr>
      <w:ind w:left="720"/>
      <w:contextualSpacing/>
    </w:pPr>
  </w:style>
  <w:style w:type="character" w:styleId="Hyperlink">
    <w:name w:val="Hyperlink"/>
    <w:basedOn w:val="DefaultParagraphFont"/>
    <w:uiPriority w:val="99"/>
    <w:unhideWhenUsed/>
    <w:rsid w:val="00F021EF"/>
    <w:rPr>
      <w:color w:val="0563C1" w:themeColor="hyperlink"/>
      <w:u w:val="single"/>
    </w:rPr>
  </w:style>
  <w:style w:type="paragraph" w:styleId="BalloonText">
    <w:name w:val="Balloon Text"/>
    <w:basedOn w:val="Normal"/>
    <w:link w:val="BalloonTextChar"/>
    <w:uiPriority w:val="99"/>
    <w:semiHidden/>
    <w:unhideWhenUsed/>
    <w:rsid w:val="00A5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A2"/>
    <w:rPr>
      <w:rFonts w:ascii="Segoe UI" w:hAnsi="Segoe UI" w:cs="Segoe UI"/>
      <w:sz w:val="18"/>
      <w:szCs w:val="18"/>
    </w:rPr>
  </w:style>
  <w:style w:type="paragraph" w:styleId="ListBullet">
    <w:name w:val="List Bullet"/>
    <w:basedOn w:val="Normal"/>
    <w:uiPriority w:val="99"/>
    <w:unhideWhenUsed/>
    <w:rsid w:val="00110B43"/>
    <w:pPr>
      <w:numPr>
        <w:numId w:val="3"/>
      </w:numPr>
      <w:contextualSpacing/>
    </w:pPr>
  </w:style>
  <w:style w:type="paragraph" w:styleId="FootnoteText">
    <w:name w:val="footnote text"/>
    <w:basedOn w:val="Normal"/>
    <w:link w:val="FootnoteTextChar"/>
    <w:uiPriority w:val="99"/>
    <w:semiHidden/>
    <w:unhideWhenUsed/>
    <w:rsid w:val="008A7C52"/>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8A7C52"/>
    <w:rPr>
      <w:rFonts w:ascii="Calibri" w:hAnsi="Calibri" w:cs="Calibri"/>
      <w:sz w:val="20"/>
      <w:szCs w:val="20"/>
    </w:rPr>
  </w:style>
  <w:style w:type="character" w:styleId="FootnoteReference">
    <w:name w:val="footnote reference"/>
    <w:basedOn w:val="DefaultParagraphFont"/>
    <w:uiPriority w:val="99"/>
    <w:semiHidden/>
    <w:unhideWhenUsed/>
    <w:rsid w:val="008A7C52"/>
    <w:rPr>
      <w:vertAlign w:val="superscript"/>
    </w:rPr>
  </w:style>
  <w:style w:type="character" w:customStyle="1" w:styleId="s7d2086b4">
    <w:name w:val="s7d2086b4"/>
    <w:basedOn w:val="DefaultParagraphFont"/>
    <w:rsid w:val="00DF416A"/>
  </w:style>
  <w:style w:type="character" w:styleId="UnresolvedMention">
    <w:name w:val="Unresolved Mention"/>
    <w:basedOn w:val="DefaultParagraphFont"/>
    <w:uiPriority w:val="99"/>
    <w:semiHidden/>
    <w:unhideWhenUsed/>
    <w:rsid w:val="00D57EB7"/>
    <w:rPr>
      <w:color w:val="605E5C"/>
      <w:shd w:val="clear" w:color="auto" w:fill="E1DFDD"/>
    </w:rPr>
  </w:style>
  <w:style w:type="character" w:styleId="FollowedHyperlink">
    <w:name w:val="FollowedHyperlink"/>
    <w:basedOn w:val="DefaultParagraphFont"/>
    <w:uiPriority w:val="99"/>
    <w:semiHidden/>
    <w:unhideWhenUsed/>
    <w:rsid w:val="003E2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52558">
      <w:bodyDiv w:val="1"/>
      <w:marLeft w:val="0"/>
      <w:marRight w:val="0"/>
      <w:marTop w:val="0"/>
      <w:marBottom w:val="0"/>
      <w:divBdr>
        <w:top w:val="none" w:sz="0" w:space="0" w:color="auto"/>
        <w:left w:val="none" w:sz="0" w:space="0" w:color="auto"/>
        <w:bottom w:val="none" w:sz="0" w:space="0" w:color="auto"/>
        <w:right w:val="none" w:sz="0" w:space="0" w:color="auto"/>
      </w:divBdr>
    </w:div>
    <w:div w:id="853493537">
      <w:bodyDiv w:val="1"/>
      <w:marLeft w:val="0"/>
      <w:marRight w:val="0"/>
      <w:marTop w:val="0"/>
      <w:marBottom w:val="0"/>
      <w:divBdr>
        <w:top w:val="none" w:sz="0" w:space="0" w:color="auto"/>
        <w:left w:val="none" w:sz="0" w:space="0" w:color="auto"/>
        <w:bottom w:val="none" w:sz="0" w:space="0" w:color="auto"/>
        <w:right w:val="none" w:sz="0" w:space="0" w:color="auto"/>
      </w:divBdr>
    </w:div>
    <w:div w:id="1068380254">
      <w:bodyDiv w:val="1"/>
      <w:marLeft w:val="0"/>
      <w:marRight w:val="0"/>
      <w:marTop w:val="0"/>
      <w:marBottom w:val="0"/>
      <w:divBdr>
        <w:top w:val="none" w:sz="0" w:space="0" w:color="auto"/>
        <w:left w:val="none" w:sz="0" w:space="0" w:color="auto"/>
        <w:bottom w:val="none" w:sz="0" w:space="0" w:color="auto"/>
        <w:right w:val="none" w:sz="0" w:space="0" w:color="auto"/>
      </w:divBdr>
    </w:div>
    <w:div w:id="1386416583">
      <w:bodyDiv w:val="1"/>
      <w:marLeft w:val="0"/>
      <w:marRight w:val="0"/>
      <w:marTop w:val="0"/>
      <w:marBottom w:val="0"/>
      <w:divBdr>
        <w:top w:val="none" w:sz="0" w:space="0" w:color="auto"/>
        <w:left w:val="none" w:sz="0" w:space="0" w:color="auto"/>
        <w:bottom w:val="none" w:sz="0" w:space="0" w:color="auto"/>
        <w:right w:val="none" w:sz="0" w:space="0" w:color="auto"/>
      </w:divBdr>
    </w:div>
    <w:div w:id="1513496590">
      <w:bodyDiv w:val="1"/>
      <w:marLeft w:val="0"/>
      <w:marRight w:val="0"/>
      <w:marTop w:val="0"/>
      <w:marBottom w:val="0"/>
      <w:divBdr>
        <w:top w:val="none" w:sz="0" w:space="0" w:color="auto"/>
        <w:left w:val="none" w:sz="0" w:space="0" w:color="auto"/>
        <w:bottom w:val="none" w:sz="0" w:space="0" w:color="auto"/>
        <w:right w:val="none" w:sz="0" w:space="0" w:color="auto"/>
      </w:divBdr>
    </w:div>
    <w:div w:id="1531258701">
      <w:bodyDiv w:val="1"/>
      <w:marLeft w:val="0"/>
      <w:marRight w:val="0"/>
      <w:marTop w:val="0"/>
      <w:marBottom w:val="0"/>
      <w:divBdr>
        <w:top w:val="none" w:sz="0" w:space="0" w:color="auto"/>
        <w:left w:val="none" w:sz="0" w:space="0" w:color="auto"/>
        <w:bottom w:val="none" w:sz="0" w:space="0" w:color="auto"/>
        <w:right w:val="none" w:sz="0" w:space="0" w:color="auto"/>
      </w:divBdr>
      <w:divsChild>
        <w:div w:id="1887789682">
          <w:marLeft w:val="0"/>
          <w:marRight w:val="0"/>
          <w:marTop w:val="0"/>
          <w:marBottom w:val="0"/>
          <w:divBdr>
            <w:top w:val="none" w:sz="0" w:space="0" w:color="auto"/>
            <w:left w:val="none" w:sz="0" w:space="0" w:color="auto"/>
            <w:bottom w:val="none" w:sz="0" w:space="0" w:color="auto"/>
            <w:right w:val="none" w:sz="0" w:space="0" w:color="auto"/>
          </w:divBdr>
        </w:div>
      </w:divsChild>
    </w:div>
    <w:div w:id="19716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3929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E01FE-2074-4CD6-93CB-12B9F609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21909</Words>
  <Characters>12489</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2021-03-26T08:32:00Z</dcterms:created>
  <dcterms:modified xsi:type="dcterms:W3CDTF">2021-03-26T08:32:00Z</dcterms:modified>
</cp:coreProperties>
</file>