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64AE" w14:textId="77777777" w:rsidR="00FF0C9A" w:rsidRPr="00FF0C9A" w:rsidRDefault="00FF0C9A" w:rsidP="00FF0C9A">
      <w:pPr>
        <w:pStyle w:val="NoSpacing"/>
        <w:spacing w:line="276" w:lineRule="auto"/>
        <w:jc w:val="both"/>
        <w:rPr>
          <w:b/>
          <w:bCs/>
        </w:rPr>
      </w:pPr>
      <w:r w:rsidRPr="00FF0C9A">
        <w:rPr>
          <w:b/>
          <w:bCs/>
        </w:rPr>
        <w:t>Rīcībspējas ierobežojumu apjoma noteikšana tiesas spriedumā</w:t>
      </w:r>
    </w:p>
    <w:p w14:paraId="18400C26" w14:textId="0B82DA40" w:rsidR="00FF0C9A" w:rsidRDefault="00FF0C9A" w:rsidP="00FF0C9A">
      <w:pPr>
        <w:pStyle w:val="NoSpacing"/>
        <w:spacing w:line="276" w:lineRule="auto"/>
        <w:ind w:firstLine="567"/>
        <w:jc w:val="both"/>
      </w:pPr>
      <w:r>
        <w:t>Spriedums par personas rīcībspējas ierobežošanu, kura rezolutīvajā daļā nav norādīts rīcībspējas ierobežojumu apjoms, pārkāpj personas tiesības uz rīcībspējas neaizskaramību.</w:t>
      </w:r>
    </w:p>
    <w:p w14:paraId="744E28CA" w14:textId="77777777" w:rsidR="00FF0C9A" w:rsidRDefault="00FF0C9A" w:rsidP="00FA2233">
      <w:pPr>
        <w:pStyle w:val="NoSpacing"/>
        <w:spacing w:line="276" w:lineRule="auto"/>
        <w:ind w:firstLine="567"/>
        <w:jc w:val="right"/>
      </w:pPr>
    </w:p>
    <w:p w14:paraId="45F1A4BA" w14:textId="77777777" w:rsidR="00E90F21" w:rsidRPr="00E90F21" w:rsidRDefault="00E90F21" w:rsidP="00E90F21">
      <w:pPr>
        <w:spacing w:after="0" w:line="276" w:lineRule="auto"/>
        <w:ind w:right="-1"/>
        <w:jc w:val="center"/>
        <w:rPr>
          <w:rFonts w:eastAsia="Times New Roman" w:cs="Times New Roman"/>
          <w:b/>
          <w:bCs/>
          <w:noProof/>
          <w:szCs w:val="24"/>
          <w:lang w:eastAsia="lv-LV"/>
        </w:rPr>
      </w:pPr>
      <w:r w:rsidRPr="00E90F21">
        <w:rPr>
          <w:rFonts w:eastAsia="Times New Roman" w:cs="Times New Roman"/>
          <w:b/>
          <w:bCs/>
          <w:noProof/>
          <w:szCs w:val="24"/>
          <w:lang w:eastAsia="lv-LV"/>
        </w:rPr>
        <w:t>Latvijas Republikas Senāta</w:t>
      </w:r>
    </w:p>
    <w:p w14:paraId="62494564" w14:textId="77777777" w:rsidR="00E90F21" w:rsidRPr="00E90F21" w:rsidRDefault="00E90F21" w:rsidP="00E90F21">
      <w:pPr>
        <w:spacing w:after="0" w:line="276" w:lineRule="auto"/>
        <w:ind w:right="-1"/>
        <w:jc w:val="center"/>
        <w:rPr>
          <w:rFonts w:eastAsia="Times New Roman" w:cs="Times New Roman"/>
          <w:b/>
          <w:bCs/>
          <w:noProof/>
          <w:szCs w:val="24"/>
          <w:lang w:eastAsia="lv-LV"/>
        </w:rPr>
      </w:pPr>
      <w:r w:rsidRPr="00E90F21">
        <w:rPr>
          <w:rFonts w:eastAsia="Times New Roman" w:cs="Times New Roman"/>
          <w:b/>
          <w:bCs/>
          <w:noProof/>
          <w:szCs w:val="24"/>
          <w:lang w:eastAsia="lv-LV"/>
        </w:rPr>
        <w:t xml:space="preserve">Civillietu departamenta </w:t>
      </w:r>
    </w:p>
    <w:p w14:paraId="2FF7F4A8" w14:textId="77777777" w:rsidR="00E90F21" w:rsidRPr="00E90F21" w:rsidRDefault="00E90F21" w:rsidP="00E90F21">
      <w:pPr>
        <w:spacing w:after="0" w:line="276" w:lineRule="auto"/>
        <w:ind w:right="-1"/>
        <w:jc w:val="center"/>
        <w:rPr>
          <w:rFonts w:eastAsia="Times New Roman" w:cs="Times New Roman"/>
          <w:b/>
          <w:bCs/>
          <w:noProof/>
          <w:szCs w:val="24"/>
          <w:lang w:eastAsia="lv-LV"/>
        </w:rPr>
      </w:pPr>
      <w:r w:rsidRPr="00E90F21">
        <w:rPr>
          <w:rFonts w:eastAsia="Times New Roman" w:cs="Times New Roman"/>
          <w:b/>
          <w:bCs/>
          <w:noProof/>
          <w:szCs w:val="24"/>
          <w:lang w:eastAsia="lv-LV"/>
        </w:rPr>
        <w:t>2021.gada [..]</w:t>
      </w:r>
    </w:p>
    <w:p w14:paraId="56719703" w14:textId="77777777" w:rsidR="00E90F21" w:rsidRPr="00E90F21" w:rsidRDefault="00E90F21" w:rsidP="00E90F21">
      <w:pPr>
        <w:spacing w:after="0" w:line="276" w:lineRule="auto"/>
        <w:ind w:right="-1"/>
        <w:jc w:val="center"/>
        <w:rPr>
          <w:rFonts w:eastAsia="Times New Roman" w:cs="Times New Roman"/>
          <w:b/>
          <w:bCs/>
          <w:noProof/>
          <w:szCs w:val="24"/>
          <w:lang w:eastAsia="lv-LV"/>
        </w:rPr>
      </w:pPr>
      <w:r w:rsidRPr="00E90F21">
        <w:rPr>
          <w:rFonts w:eastAsia="Times New Roman" w:cs="Times New Roman"/>
          <w:b/>
          <w:bCs/>
          <w:noProof/>
          <w:szCs w:val="24"/>
          <w:lang w:eastAsia="lv-LV"/>
        </w:rPr>
        <w:t>SPRIEDUMS</w:t>
      </w:r>
    </w:p>
    <w:p w14:paraId="5EBB40F4" w14:textId="7B6417E0" w:rsidR="00E90F21" w:rsidRPr="00E90F21" w:rsidRDefault="00E90F21" w:rsidP="00E90F21">
      <w:pPr>
        <w:spacing w:after="0" w:line="276" w:lineRule="auto"/>
        <w:ind w:right="-1"/>
        <w:jc w:val="center"/>
        <w:rPr>
          <w:rFonts w:eastAsia="Times New Roman" w:cs="Times New Roman"/>
          <w:b/>
          <w:bCs/>
          <w:noProof/>
          <w:szCs w:val="24"/>
          <w:lang w:eastAsia="lv-LV"/>
        </w:rPr>
      </w:pPr>
      <w:r w:rsidRPr="00E90F21">
        <w:rPr>
          <w:rFonts w:eastAsia="Times New Roman" w:cs="Times New Roman"/>
          <w:b/>
          <w:bCs/>
          <w:noProof/>
          <w:szCs w:val="24"/>
          <w:lang w:eastAsia="lv-LV"/>
        </w:rPr>
        <w:t>Lieta Nr. C[..], SKC-[</w:t>
      </w:r>
      <w:r>
        <w:rPr>
          <w:rFonts w:eastAsia="Times New Roman" w:cs="Times New Roman"/>
          <w:b/>
          <w:bCs/>
          <w:noProof/>
          <w:szCs w:val="24"/>
          <w:lang w:eastAsia="lv-LV"/>
        </w:rPr>
        <w:t>B</w:t>
      </w:r>
      <w:r w:rsidRPr="00E90F21">
        <w:rPr>
          <w:rFonts w:eastAsia="Times New Roman" w:cs="Times New Roman"/>
          <w:b/>
          <w:bCs/>
          <w:noProof/>
          <w:szCs w:val="24"/>
          <w:lang w:eastAsia="lv-LV"/>
        </w:rPr>
        <w:t>]/2021</w:t>
      </w:r>
      <w:r w:rsidRPr="00E90F21">
        <w:rPr>
          <w:rFonts w:eastAsia="Times New Roman" w:cs="Times New Roman"/>
          <w:noProof/>
          <w:szCs w:val="24"/>
          <w:vertAlign w:val="superscript"/>
          <w:lang w:eastAsia="lv-LV"/>
        </w:rPr>
        <w:footnoteReference w:id="1"/>
      </w:r>
    </w:p>
    <w:p w14:paraId="50B7BBF0" w14:textId="77777777" w:rsidR="00E90F21" w:rsidRPr="00E90F21" w:rsidRDefault="004B6553" w:rsidP="00E90F21">
      <w:pPr>
        <w:spacing w:after="0" w:line="276" w:lineRule="auto"/>
        <w:ind w:right="-1"/>
        <w:jc w:val="center"/>
        <w:rPr>
          <w:rFonts w:eastAsia="Times New Roman" w:cs="Times New Roman"/>
          <w:noProof/>
          <w:szCs w:val="24"/>
          <w:lang w:eastAsia="lv-LV"/>
        </w:rPr>
      </w:pPr>
      <w:hyperlink r:id="rId7" w:history="1">
        <w:r w:rsidR="00E90F21" w:rsidRPr="00E90F21">
          <w:rPr>
            <w:rFonts w:eastAsia="Times New Roman" w:cs="Times New Roman"/>
            <w:noProof/>
            <w:color w:val="0563C1" w:themeColor="hyperlink"/>
            <w:szCs w:val="24"/>
            <w:u w:val="single"/>
            <w:lang w:eastAsia="lv-LV"/>
          </w:rPr>
          <w:t>ECLI:LV:AT:2021:[..].S</w:t>
        </w:r>
      </w:hyperlink>
    </w:p>
    <w:p w14:paraId="76D8F1E2" w14:textId="77777777" w:rsidR="007D3B74" w:rsidRPr="007247AB" w:rsidRDefault="007D3B74" w:rsidP="007247AB">
      <w:pPr>
        <w:pStyle w:val="NoSpacing"/>
        <w:spacing w:line="276" w:lineRule="auto"/>
        <w:ind w:firstLine="567"/>
        <w:jc w:val="both"/>
      </w:pPr>
    </w:p>
    <w:p w14:paraId="7BC469CD" w14:textId="77777777" w:rsidR="007D3B74" w:rsidRPr="007247AB" w:rsidRDefault="007D3B74" w:rsidP="007247AB">
      <w:pPr>
        <w:pStyle w:val="NoSpacing"/>
        <w:spacing w:line="276" w:lineRule="auto"/>
        <w:ind w:firstLine="567"/>
        <w:jc w:val="both"/>
      </w:pPr>
      <w:r w:rsidRPr="007247AB">
        <w:t xml:space="preserve">Senāts šādā sastāvā: </w:t>
      </w:r>
    </w:p>
    <w:p w14:paraId="391BE3AC" w14:textId="77777777" w:rsidR="007D3B74" w:rsidRPr="007247AB" w:rsidRDefault="007D3B74" w:rsidP="007247AB">
      <w:pPr>
        <w:pStyle w:val="NoSpacing"/>
        <w:spacing w:line="276" w:lineRule="auto"/>
        <w:ind w:firstLine="1134"/>
        <w:jc w:val="both"/>
      </w:pPr>
      <w:r w:rsidRPr="007247AB">
        <w:t xml:space="preserve">senatore Ļubova Kušnire, </w:t>
      </w:r>
    </w:p>
    <w:p w14:paraId="7DF9FD3F" w14:textId="77777777" w:rsidR="007D3B74" w:rsidRPr="007247AB" w:rsidRDefault="007D3B74" w:rsidP="007247AB">
      <w:pPr>
        <w:pStyle w:val="NoSpacing"/>
        <w:spacing w:line="276" w:lineRule="auto"/>
        <w:ind w:firstLine="1134"/>
        <w:jc w:val="both"/>
      </w:pPr>
      <w:r w:rsidRPr="007247AB">
        <w:t xml:space="preserve">senators Aivars Keišs, </w:t>
      </w:r>
    </w:p>
    <w:p w14:paraId="7A7549D4" w14:textId="77777777" w:rsidR="007D3B74" w:rsidRPr="007247AB" w:rsidRDefault="007D3B74" w:rsidP="007247AB">
      <w:pPr>
        <w:pStyle w:val="NoSpacing"/>
        <w:spacing w:line="276" w:lineRule="auto"/>
        <w:ind w:firstLine="1134"/>
        <w:jc w:val="both"/>
      </w:pPr>
      <w:r w:rsidRPr="007247AB">
        <w:t>senatore Inta Lauka,</w:t>
      </w:r>
    </w:p>
    <w:p w14:paraId="009E323F" w14:textId="77777777" w:rsidR="007D3B74" w:rsidRPr="007247AB" w:rsidRDefault="007D3B74" w:rsidP="007247AB">
      <w:pPr>
        <w:pStyle w:val="NoSpacing"/>
        <w:spacing w:line="276" w:lineRule="auto"/>
        <w:ind w:firstLine="567"/>
        <w:jc w:val="both"/>
      </w:pPr>
    </w:p>
    <w:p w14:paraId="4FFA4179" w14:textId="28975E67" w:rsidR="007D3B74" w:rsidRPr="007247AB" w:rsidRDefault="007D3B74" w:rsidP="007247AB">
      <w:pPr>
        <w:pStyle w:val="NoSpacing"/>
        <w:spacing w:line="276" w:lineRule="auto"/>
        <w:ind w:firstLine="567"/>
        <w:jc w:val="both"/>
      </w:pPr>
      <w:r w:rsidRPr="007247AB">
        <w:t xml:space="preserve">rakstveida procesā izskatīja civillietu sakarā ar </w:t>
      </w:r>
      <w:r w:rsidR="00940F84">
        <w:t xml:space="preserve">[Nosaukums] </w:t>
      </w:r>
      <w:r w:rsidRPr="007247AB">
        <w:t xml:space="preserve">rajona prokuratūras prokurora kasācijas protestu par </w:t>
      </w:r>
      <w:r w:rsidR="00940F84">
        <w:t>[Nosaukums 1]</w:t>
      </w:r>
      <w:r w:rsidRPr="007247AB">
        <w:t xml:space="preserve"> apgabaltiesas Civillietu tiesas kolēģijas </w:t>
      </w:r>
      <w:proofErr w:type="gramStart"/>
      <w:r w:rsidRPr="007247AB">
        <w:t>2020.gada</w:t>
      </w:r>
      <w:proofErr w:type="gramEnd"/>
      <w:r w:rsidRPr="007247AB">
        <w:t xml:space="preserve"> </w:t>
      </w:r>
      <w:r w:rsidR="003E1F0A">
        <w:t>[..]</w:t>
      </w:r>
      <w:r w:rsidRPr="007247AB">
        <w:t xml:space="preserve"> spriedumu </w:t>
      </w:r>
      <w:r w:rsidR="00BE6CC8">
        <w:t>[pers. A]</w:t>
      </w:r>
      <w:r w:rsidRPr="007247AB">
        <w:t xml:space="preserve"> pieteikumā par </w:t>
      </w:r>
      <w:r w:rsidR="00BE6CC8">
        <w:t>[pers. B]</w:t>
      </w:r>
      <w:r w:rsidRPr="007247AB">
        <w:t xml:space="preserve"> rīcībspējas ierobežošanu un aizgādnības nodibināšanu. </w:t>
      </w:r>
    </w:p>
    <w:p w14:paraId="4EAEADB4" w14:textId="77777777" w:rsidR="007D3B74" w:rsidRPr="007247AB" w:rsidRDefault="007D3B74" w:rsidP="007247AB">
      <w:pPr>
        <w:spacing w:after="0" w:line="276" w:lineRule="auto"/>
        <w:ind w:firstLine="567"/>
        <w:jc w:val="both"/>
        <w:rPr>
          <w:rFonts w:eastAsia="Times New Roman" w:cs="Times New Roman"/>
          <w:b/>
          <w:szCs w:val="24"/>
          <w:lang w:eastAsia="ru-RU"/>
        </w:rPr>
      </w:pPr>
    </w:p>
    <w:p w14:paraId="1E4AA32A" w14:textId="77777777" w:rsidR="007D3B74" w:rsidRPr="007247AB" w:rsidRDefault="007D3B74" w:rsidP="00BE6CC8">
      <w:pPr>
        <w:spacing w:after="0" w:line="276" w:lineRule="auto"/>
        <w:jc w:val="center"/>
        <w:rPr>
          <w:rFonts w:eastAsia="Times New Roman" w:cs="Times New Roman"/>
          <w:b/>
          <w:szCs w:val="24"/>
          <w:lang w:eastAsia="ru-RU"/>
        </w:rPr>
      </w:pPr>
      <w:r w:rsidRPr="007247AB">
        <w:rPr>
          <w:rFonts w:eastAsia="Times New Roman" w:cs="Times New Roman"/>
          <w:b/>
          <w:szCs w:val="24"/>
          <w:lang w:eastAsia="ru-RU"/>
        </w:rPr>
        <w:t>Aprakstošā daļa</w:t>
      </w:r>
    </w:p>
    <w:p w14:paraId="306254C1" w14:textId="77777777" w:rsidR="007D3B74" w:rsidRPr="007247AB" w:rsidRDefault="007D3B74" w:rsidP="007247AB">
      <w:pPr>
        <w:spacing w:after="0" w:line="276" w:lineRule="auto"/>
        <w:ind w:firstLine="567"/>
        <w:jc w:val="both"/>
        <w:rPr>
          <w:rFonts w:eastAsia="Times New Roman" w:cs="Times New Roman"/>
          <w:szCs w:val="24"/>
          <w:lang w:eastAsia="ru-RU"/>
        </w:rPr>
      </w:pPr>
    </w:p>
    <w:p w14:paraId="475A496D" w14:textId="451B372F" w:rsidR="007D3B74" w:rsidRPr="007247AB" w:rsidRDefault="007D3B74" w:rsidP="007247AB">
      <w:pPr>
        <w:spacing w:after="0" w:line="276" w:lineRule="auto"/>
        <w:ind w:firstLine="567"/>
        <w:jc w:val="both"/>
        <w:rPr>
          <w:rFonts w:eastAsia="Times New Roman" w:cs="Times New Roman"/>
          <w:szCs w:val="24"/>
          <w:lang w:eastAsia="ru-RU"/>
        </w:rPr>
      </w:pPr>
      <w:r w:rsidRPr="007247AB">
        <w:rPr>
          <w:rFonts w:eastAsia="Times New Roman" w:cs="Times New Roman"/>
          <w:szCs w:val="24"/>
          <w:lang w:eastAsia="ru-RU"/>
        </w:rPr>
        <w:t>[1] </w:t>
      </w:r>
      <w:r w:rsidR="00BE6CC8">
        <w:t>[</w:t>
      </w:r>
      <w:r w:rsidR="00940F84">
        <w:t>P</w:t>
      </w:r>
      <w:r w:rsidR="00BE6CC8">
        <w:t>ers. A]</w:t>
      </w:r>
      <w:r w:rsidRPr="007247AB">
        <w:rPr>
          <w:rFonts w:eastAsia="Times New Roman" w:cs="Times New Roman"/>
          <w:szCs w:val="24"/>
          <w:lang w:eastAsia="ru-RU"/>
        </w:rPr>
        <w:t xml:space="preserve"> </w:t>
      </w:r>
      <w:r w:rsidR="00940F84">
        <w:t>[Nosaukums 1]</w:t>
      </w:r>
      <w:r w:rsidRPr="007247AB">
        <w:rPr>
          <w:rFonts w:eastAsia="Times New Roman" w:cs="Times New Roman"/>
          <w:szCs w:val="24"/>
          <w:lang w:eastAsia="ru-RU"/>
        </w:rPr>
        <w:t xml:space="preserve"> rajona tiesā </w:t>
      </w:r>
      <w:proofErr w:type="gramStart"/>
      <w:r w:rsidR="000F6BB2" w:rsidRPr="007247AB">
        <w:rPr>
          <w:rFonts w:eastAsia="Times New Roman" w:cs="Times New Roman"/>
          <w:szCs w:val="24"/>
          <w:lang w:eastAsia="ru-RU"/>
        </w:rPr>
        <w:t>2019.gada</w:t>
      </w:r>
      <w:proofErr w:type="gramEnd"/>
      <w:r w:rsidR="000F6BB2" w:rsidRPr="007247AB">
        <w:rPr>
          <w:rFonts w:eastAsia="Times New Roman" w:cs="Times New Roman"/>
          <w:szCs w:val="24"/>
          <w:lang w:eastAsia="ru-RU"/>
        </w:rPr>
        <w:t xml:space="preserve"> </w:t>
      </w:r>
      <w:r w:rsidR="003E1F0A">
        <w:rPr>
          <w:rFonts w:eastAsia="Times New Roman" w:cs="Times New Roman"/>
          <w:szCs w:val="24"/>
          <w:lang w:eastAsia="ru-RU"/>
        </w:rPr>
        <w:t>[..]</w:t>
      </w:r>
      <w:r w:rsidR="000F6BB2" w:rsidRPr="007247AB">
        <w:rPr>
          <w:rFonts w:eastAsia="Times New Roman" w:cs="Times New Roman"/>
          <w:szCs w:val="24"/>
          <w:lang w:eastAsia="ru-RU"/>
        </w:rPr>
        <w:t xml:space="preserve"> </w:t>
      </w:r>
      <w:r w:rsidRPr="007247AB">
        <w:rPr>
          <w:rFonts w:eastAsia="Times New Roman" w:cs="Times New Roman"/>
          <w:szCs w:val="24"/>
          <w:lang w:eastAsia="ru-RU"/>
        </w:rPr>
        <w:t xml:space="preserve">iesniedza pieteikumu, </w:t>
      </w:r>
      <w:r w:rsidR="007C4407" w:rsidRPr="007247AB">
        <w:rPr>
          <w:rFonts w:eastAsia="Times New Roman" w:cs="Times New Roman"/>
          <w:szCs w:val="24"/>
          <w:lang w:eastAsia="ru-RU"/>
        </w:rPr>
        <w:t xml:space="preserve">lūdzot ierobežot </w:t>
      </w:r>
      <w:r w:rsidR="00BE6CC8">
        <w:t>[pers. B]</w:t>
      </w:r>
      <w:r w:rsidRPr="007247AB">
        <w:rPr>
          <w:rFonts w:eastAsia="Times New Roman" w:cs="Times New Roman"/>
          <w:szCs w:val="24"/>
          <w:lang w:eastAsia="ru-RU"/>
        </w:rPr>
        <w:t xml:space="preserve"> rīcībspēj</w:t>
      </w:r>
      <w:r w:rsidR="007C4407" w:rsidRPr="007247AB">
        <w:rPr>
          <w:rFonts w:eastAsia="Times New Roman" w:cs="Times New Roman"/>
          <w:szCs w:val="24"/>
          <w:lang w:eastAsia="ru-RU"/>
        </w:rPr>
        <w:t>u</w:t>
      </w:r>
      <w:r w:rsidRPr="007247AB">
        <w:rPr>
          <w:rFonts w:eastAsia="Times New Roman" w:cs="Times New Roman"/>
          <w:szCs w:val="24"/>
          <w:lang w:eastAsia="ru-RU"/>
        </w:rPr>
        <w:t xml:space="preserve"> un nodibināt </w:t>
      </w:r>
      <w:r w:rsidR="007C4407" w:rsidRPr="007247AB">
        <w:rPr>
          <w:rFonts w:eastAsia="Times New Roman" w:cs="Times New Roman"/>
          <w:szCs w:val="24"/>
          <w:lang w:eastAsia="ru-RU"/>
        </w:rPr>
        <w:t>viņai</w:t>
      </w:r>
      <w:r w:rsidRPr="007247AB">
        <w:rPr>
          <w:rFonts w:eastAsia="Times New Roman" w:cs="Times New Roman"/>
          <w:szCs w:val="24"/>
          <w:lang w:eastAsia="ru-RU"/>
        </w:rPr>
        <w:t xml:space="preserve"> aizgādnību.</w:t>
      </w:r>
    </w:p>
    <w:p w14:paraId="6DBFC837" w14:textId="77777777" w:rsidR="007D3B74" w:rsidRPr="007247AB" w:rsidRDefault="007D3B74" w:rsidP="007247AB">
      <w:pPr>
        <w:spacing w:after="0" w:line="276" w:lineRule="auto"/>
        <w:ind w:firstLine="567"/>
        <w:jc w:val="both"/>
        <w:rPr>
          <w:rFonts w:eastAsia="Times New Roman" w:cs="Times New Roman"/>
          <w:szCs w:val="24"/>
          <w:lang w:eastAsia="ru-RU"/>
        </w:rPr>
      </w:pPr>
    </w:p>
    <w:p w14:paraId="7170DC37" w14:textId="52A2B43E" w:rsidR="007D3B74" w:rsidRPr="007247AB" w:rsidRDefault="007D3B74" w:rsidP="007247AB">
      <w:pPr>
        <w:spacing w:after="0" w:line="276" w:lineRule="auto"/>
        <w:ind w:firstLine="567"/>
        <w:jc w:val="both"/>
        <w:rPr>
          <w:rFonts w:cs="Times New Roman"/>
          <w:szCs w:val="24"/>
        </w:rPr>
      </w:pPr>
      <w:r w:rsidRPr="007247AB">
        <w:rPr>
          <w:rFonts w:eastAsia="Times New Roman" w:cs="Times New Roman"/>
          <w:szCs w:val="24"/>
          <w:lang w:eastAsia="ru-RU"/>
        </w:rPr>
        <w:t>[2] </w:t>
      </w:r>
      <w:r w:rsidR="008B4C81" w:rsidRPr="007247AB">
        <w:rPr>
          <w:rFonts w:eastAsia="Times New Roman" w:cs="Times New Roman"/>
          <w:szCs w:val="24"/>
          <w:lang w:eastAsia="ru-RU"/>
        </w:rPr>
        <w:t xml:space="preserve">Ar </w:t>
      </w:r>
      <w:r w:rsidR="00940F84">
        <w:t xml:space="preserve">[Nosaukums 1] </w:t>
      </w:r>
      <w:r w:rsidR="008B4C81" w:rsidRPr="007247AB">
        <w:rPr>
          <w:rFonts w:eastAsia="Times New Roman" w:cs="Times New Roman"/>
          <w:szCs w:val="24"/>
          <w:lang w:eastAsia="ru-RU"/>
        </w:rPr>
        <w:t xml:space="preserve">rajona tiesas </w:t>
      </w:r>
      <w:proofErr w:type="gramStart"/>
      <w:r w:rsidR="008B4C81" w:rsidRPr="007247AB">
        <w:rPr>
          <w:rFonts w:eastAsia="Times New Roman" w:cs="Times New Roman"/>
          <w:szCs w:val="24"/>
          <w:lang w:eastAsia="ru-RU"/>
        </w:rPr>
        <w:t>2020.gada</w:t>
      </w:r>
      <w:proofErr w:type="gramEnd"/>
      <w:r w:rsidR="008B4C81" w:rsidRPr="007247AB">
        <w:rPr>
          <w:rFonts w:eastAsia="Times New Roman" w:cs="Times New Roman"/>
          <w:szCs w:val="24"/>
          <w:lang w:eastAsia="ru-RU"/>
        </w:rPr>
        <w:t xml:space="preserve"> </w:t>
      </w:r>
      <w:r w:rsidR="003E1F0A">
        <w:rPr>
          <w:rFonts w:eastAsia="Times New Roman" w:cs="Times New Roman"/>
          <w:szCs w:val="24"/>
          <w:lang w:eastAsia="ru-RU"/>
        </w:rPr>
        <w:t>[..]</w:t>
      </w:r>
      <w:r w:rsidR="008B4C81" w:rsidRPr="007247AB">
        <w:rPr>
          <w:rFonts w:eastAsia="Times New Roman" w:cs="Times New Roman"/>
          <w:szCs w:val="24"/>
          <w:lang w:eastAsia="ru-RU"/>
        </w:rPr>
        <w:t xml:space="preserve"> spriedumu</w:t>
      </w:r>
      <w:r w:rsidR="0021053D">
        <w:rPr>
          <w:rFonts w:eastAsia="Times New Roman" w:cs="Times New Roman"/>
          <w:szCs w:val="24"/>
          <w:lang w:eastAsia="ru-RU"/>
        </w:rPr>
        <w:t>, pamatojoties uz Civilprocesa likuma 267.</w:t>
      </w:r>
      <w:r w:rsidR="0021053D" w:rsidRPr="0021053D">
        <w:rPr>
          <w:rFonts w:eastAsia="Times New Roman" w:cs="Times New Roman"/>
          <w:szCs w:val="24"/>
          <w:vertAlign w:val="superscript"/>
          <w:lang w:eastAsia="ru-RU"/>
        </w:rPr>
        <w:t>1</w:t>
      </w:r>
      <w:r w:rsidR="0021053D">
        <w:rPr>
          <w:rFonts w:eastAsia="Times New Roman" w:cs="Times New Roman"/>
          <w:szCs w:val="24"/>
          <w:lang w:eastAsia="ru-RU"/>
        </w:rPr>
        <w:t> , 268. un 269.pantu,</w:t>
      </w:r>
      <w:r w:rsidR="008B4C81" w:rsidRPr="007247AB">
        <w:rPr>
          <w:rFonts w:eastAsia="Times New Roman" w:cs="Times New Roman"/>
          <w:szCs w:val="24"/>
          <w:lang w:eastAsia="ru-RU"/>
        </w:rPr>
        <w:t xml:space="preserve"> pi</w:t>
      </w:r>
      <w:r w:rsidR="0021053D">
        <w:rPr>
          <w:rFonts w:eastAsia="Times New Roman" w:cs="Times New Roman"/>
          <w:szCs w:val="24"/>
          <w:lang w:eastAsia="ru-RU"/>
        </w:rPr>
        <w:t xml:space="preserve">eteikums apmierināts, ierobežojot </w:t>
      </w:r>
      <w:r w:rsidR="00BE6CC8">
        <w:t xml:space="preserve">[pers. B] </w:t>
      </w:r>
      <w:r w:rsidR="0021053D">
        <w:rPr>
          <w:rFonts w:eastAsia="Times New Roman" w:cs="Times New Roman"/>
          <w:szCs w:val="24"/>
          <w:lang w:eastAsia="ru-RU"/>
        </w:rPr>
        <w:t>rīcībspēju</w:t>
      </w:r>
      <w:r w:rsidR="008B4C81" w:rsidRPr="007247AB">
        <w:rPr>
          <w:rFonts w:eastAsia="Times New Roman" w:cs="Times New Roman"/>
          <w:szCs w:val="24"/>
          <w:lang w:eastAsia="ru-RU"/>
        </w:rPr>
        <w:t xml:space="preserve"> šādās jomās: 1) maksājumu izdarīšana un saņemšana, 2) darījumu slēgšana, 3) rīcība </w:t>
      </w:r>
      <w:r w:rsidR="0021053D">
        <w:rPr>
          <w:rFonts w:eastAsia="Times New Roman" w:cs="Times New Roman"/>
          <w:szCs w:val="24"/>
          <w:lang w:eastAsia="ru-RU"/>
        </w:rPr>
        <w:t>ar mantu un tās pārvaldība</w:t>
      </w:r>
      <w:r w:rsidR="008B4C81" w:rsidRPr="007247AB">
        <w:rPr>
          <w:rFonts w:eastAsia="Times New Roman" w:cs="Times New Roman"/>
          <w:szCs w:val="24"/>
          <w:lang w:eastAsia="ru-RU"/>
        </w:rPr>
        <w:t>, it īpaši nekustamo īpašumu atsavināšana, ieķīlāšana un a</w:t>
      </w:r>
      <w:r w:rsidR="0021053D">
        <w:rPr>
          <w:rFonts w:eastAsia="Times New Roman" w:cs="Times New Roman"/>
          <w:szCs w:val="24"/>
          <w:lang w:eastAsia="ru-RU"/>
        </w:rPr>
        <w:t xml:space="preserve">pgrūtināšana ar lietu tiesībām. </w:t>
      </w:r>
      <w:r w:rsidR="00BE6CC8">
        <w:t>[Pers. B]</w:t>
      </w:r>
      <w:r w:rsidR="008B4C81" w:rsidRPr="007247AB">
        <w:rPr>
          <w:rFonts w:eastAsia="Times New Roman" w:cs="Times New Roman"/>
          <w:szCs w:val="24"/>
          <w:lang w:eastAsia="ru-RU"/>
        </w:rPr>
        <w:t xml:space="preserve"> </w:t>
      </w:r>
      <w:r w:rsidR="000B1E3D" w:rsidRPr="007247AB">
        <w:rPr>
          <w:rFonts w:eastAsia="Times New Roman" w:cs="Times New Roman"/>
          <w:szCs w:val="24"/>
          <w:lang w:eastAsia="ru-RU"/>
        </w:rPr>
        <w:t xml:space="preserve">nodibināta aizgādnība un </w:t>
      </w:r>
      <w:r w:rsidR="008B4C81" w:rsidRPr="007247AB">
        <w:rPr>
          <w:rFonts w:eastAsia="Times New Roman" w:cs="Times New Roman"/>
          <w:szCs w:val="24"/>
          <w:lang w:eastAsia="ru-RU"/>
        </w:rPr>
        <w:t xml:space="preserve">noteikts, ka </w:t>
      </w:r>
      <w:r w:rsidR="000B1E3D" w:rsidRPr="007247AB">
        <w:rPr>
          <w:rFonts w:eastAsia="Times New Roman" w:cs="Times New Roman"/>
          <w:szCs w:val="24"/>
          <w:lang w:eastAsia="ru-RU"/>
        </w:rPr>
        <w:t>viņa</w:t>
      </w:r>
      <w:r w:rsidR="008B4C81" w:rsidRPr="007247AB">
        <w:rPr>
          <w:rFonts w:eastAsia="Times New Roman" w:cs="Times New Roman"/>
          <w:szCs w:val="24"/>
          <w:lang w:eastAsia="ru-RU"/>
        </w:rPr>
        <w:t xml:space="preserve">s aizgādnis rīkojas kopā ar </w:t>
      </w:r>
      <w:r w:rsidR="00BE6CC8">
        <w:t>[pers. B]</w:t>
      </w:r>
      <w:r w:rsidR="008B4C81" w:rsidRPr="007247AB">
        <w:rPr>
          <w:rFonts w:cs="Times New Roman"/>
          <w:szCs w:val="24"/>
        </w:rPr>
        <w:t xml:space="preserve"> jomās, kurās viņai ir ierobežota rīcībspēja.</w:t>
      </w:r>
    </w:p>
    <w:p w14:paraId="11BD1C19" w14:textId="77777777" w:rsidR="008B4C81" w:rsidRPr="007247AB" w:rsidRDefault="008B4C81" w:rsidP="007247AB">
      <w:pPr>
        <w:spacing w:after="0" w:line="276" w:lineRule="auto"/>
        <w:ind w:firstLine="567"/>
        <w:jc w:val="both"/>
        <w:rPr>
          <w:rFonts w:cs="Times New Roman"/>
          <w:szCs w:val="24"/>
        </w:rPr>
      </w:pPr>
    </w:p>
    <w:p w14:paraId="1EEBB723" w14:textId="5CF974D0" w:rsidR="004B3DAF" w:rsidRPr="007247AB" w:rsidRDefault="008B4C81" w:rsidP="007247AB">
      <w:pPr>
        <w:spacing w:after="0" w:line="276" w:lineRule="auto"/>
        <w:ind w:firstLine="567"/>
        <w:jc w:val="both"/>
        <w:rPr>
          <w:rFonts w:cs="Times New Roman"/>
          <w:szCs w:val="24"/>
        </w:rPr>
      </w:pPr>
      <w:r w:rsidRPr="007247AB">
        <w:rPr>
          <w:rFonts w:cs="Times New Roman"/>
          <w:szCs w:val="24"/>
        </w:rPr>
        <w:t>[3] </w:t>
      </w:r>
      <w:r w:rsidR="004B3DAF" w:rsidRPr="007247AB">
        <w:rPr>
          <w:rFonts w:cs="Times New Roman"/>
          <w:szCs w:val="24"/>
        </w:rPr>
        <w:t xml:space="preserve">Par minēto spriedumu </w:t>
      </w:r>
      <w:r w:rsidR="00BE6CC8">
        <w:t>[pers. A]</w:t>
      </w:r>
      <w:r w:rsidR="004B3DAF" w:rsidRPr="007247AB">
        <w:rPr>
          <w:rFonts w:cs="Times New Roman"/>
          <w:szCs w:val="24"/>
        </w:rPr>
        <w:t xml:space="preserve"> iesniedza apelācijas sūdzību, lūdzot papildus ierobežot </w:t>
      </w:r>
      <w:r w:rsidR="00BE6CC8">
        <w:t>[pers. B]</w:t>
      </w:r>
      <w:r w:rsidR="004B3DAF" w:rsidRPr="007247AB">
        <w:rPr>
          <w:rFonts w:cs="Times New Roman"/>
          <w:szCs w:val="24"/>
        </w:rPr>
        <w:t xml:space="preserve"> rīcībspēju tiesās. </w:t>
      </w:r>
    </w:p>
    <w:p w14:paraId="53DD7B34" w14:textId="77777777" w:rsidR="004B3DAF" w:rsidRPr="007247AB" w:rsidRDefault="004B3DAF" w:rsidP="007247AB">
      <w:pPr>
        <w:spacing w:after="0" w:line="276" w:lineRule="auto"/>
        <w:ind w:firstLine="567"/>
        <w:jc w:val="both"/>
        <w:rPr>
          <w:rFonts w:cs="Times New Roman"/>
          <w:szCs w:val="24"/>
        </w:rPr>
      </w:pPr>
    </w:p>
    <w:p w14:paraId="72CC4A49" w14:textId="7E2ADAD4" w:rsidR="008B4C81" w:rsidRPr="007247AB" w:rsidRDefault="004B3DAF" w:rsidP="007247AB">
      <w:pPr>
        <w:spacing w:after="0" w:line="276" w:lineRule="auto"/>
        <w:ind w:firstLine="567"/>
        <w:jc w:val="both"/>
        <w:rPr>
          <w:rFonts w:cs="Times New Roman"/>
          <w:szCs w:val="24"/>
        </w:rPr>
      </w:pPr>
      <w:r w:rsidRPr="007247AB">
        <w:rPr>
          <w:rFonts w:cs="Times New Roman"/>
          <w:szCs w:val="24"/>
        </w:rPr>
        <w:t xml:space="preserve">[4] Izskatot lietu sakarā ar </w:t>
      </w:r>
      <w:r w:rsidR="00BE6CC8">
        <w:t>[pers. A]</w:t>
      </w:r>
      <w:r w:rsidRPr="007247AB">
        <w:rPr>
          <w:rFonts w:cs="Times New Roman"/>
          <w:szCs w:val="24"/>
        </w:rPr>
        <w:t xml:space="preserve"> apelācijas sūdzību, ar </w:t>
      </w:r>
      <w:r w:rsidR="00940F84">
        <w:t>[Nosaukums 1]</w:t>
      </w:r>
      <w:r w:rsidRPr="007247AB">
        <w:rPr>
          <w:rFonts w:cs="Times New Roman"/>
          <w:szCs w:val="24"/>
        </w:rPr>
        <w:t xml:space="preserve"> apgabaltiesas </w:t>
      </w:r>
      <w:proofErr w:type="gramStart"/>
      <w:r w:rsidR="00590393" w:rsidRPr="007247AB">
        <w:rPr>
          <w:rFonts w:cs="Times New Roman"/>
          <w:szCs w:val="24"/>
        </w:rPr>
        <w:t>2020.gada</w:t>
      </w:r>
      <w:proofErr w:type="gramEnd"/>
      <w:r w:rsidR="00590393" w:rsidRPr="007247AB">
        <w:rPr>
          <w:rFonts w:cs="Times New Roman"/>
          <w:szCs w:val="24"/>
        </w:rPr>
        <w:t xml:space="preserve"> </w:t>
      </w:r>
      <w:r w:rsidR="003E1F0A">
        <w:rPr>
          <w:rFonts w:cs="Times New Roman"/>
          <w:szCs w:val="24"/>
        </w:rPr>
        <w:t>[..]</w:t>
      </w:r>
      <w:r w:rsidR="00590393" w:rsidRPr="007247AB">
        <w:rPr>
          <w:rFonts w:cs="Times New Roman"/>
          <w:szCs w:val="24"/>
        </w:rPr>
        <w:t xml:space="preserve"> spriedumu pieteikums apmierināts, papildus </w:t>
      </w:r>
      <w:r w:rsidR="00940F84">
        <w:t>[Nosaukums 1] ra</w:t>
      </w:r>
      <w:r w:rsidR="00590393" w:rsidRPr="007247AB">
        <w:rPr>
          <w:rFonts w:cs="Times New Roman"/>
          <w:szCs w:val="24"/>
        </w:rPr>
        <w:t xml:space="preserve">jona </w:t>
      </w:r>
      <w:r w:rsidR="002E3FB4" w:rsidRPr="007247AB">
        <w:rPr>
          <w:rFonts w:cs="Times New Roman"/>
          <w:szCs w:val="24"/>
        </w:rPr>
        <w:t xml:space="preserve">tiesas 2020.gada </w:t>
      </w:r>
      <w:r w:rsidR="003E1F0A">
        <w:rPr>
          <w:rFonts w:cs="Times New Roman"/>
          <w:szCs w:val="24"/>
        </w:rPr>
        <w:t>[..]</w:t>
      </w:r>
      <w:r w:rsidR="002E3FB4" w:rsidRPr="007247AB">
        <w:rPr>
          <w:rFonts w:cs="Times New Roman"/>
          <w:szCs w:val="24"/>
        </w:rPr>
        <w:t xml:space="preserve"> spriedum</w:t>
      </w:r>
      <w:r w:rsidR="007C4407" w:rsidRPr="007247AB">
        <w:rPr>
          <w:rFonts w:cs="Times New Roman"/>
          <w:szCs w:val="24"/>
        </w:rPr>
        <w:t>ā</w:t>
      </w:r>
      <w:r w:rsidR="002E3FB4" w:rsidRPr="007247AB">
        <w:rPr>
          <w:rFonts w:cs="Times New Roman"/>
          <w:szCs w:val="24"/>
        </w:rPr>
        <w:t xml:space="preserve"> noteiktajiem rīcībspējas ierobežojumiem noteikt</w:t>
      </w:r>
      <w:r w:rsidR="000F6BB2" w:rsidRPr="007247AB">
        <w:rPr>
          <w:rFonts w:cs="Times New Roman"/>
          <w:szCs w:val="24"/>
        </w:rPr>
        <w:t>s</w:t>
      </w:r>
      <w:r w:rsidR="002E3FB4" w:rsidRPr="007247AB">
        <w:rPr>
          <w:rFonts w:cs="Times New Roman"/>
          <w:szCs w:val="24"/>
        </w:rPr>
        <w:t xml:space="preserve">, ka </w:t>
      </w:r>
      <w:r w:rsidR="00BE6CC8">
        <w:t>[pers. B]</w:t>
      </w:r>
      <w:r w:rsidR="002E3FB4" w:rsidRPr="007247AB">
        <w:rPr>
          <w:rFonts w:cs="Times New Roman"/>
          <w:szCs w:val="24"/>
        </w:rPr>
        <w:t xml:space="preserve"> rīcībspēja ir ierobežota tiesās un aizgādnis šajā jomā rīkojas patstāvīgi. Apelācijas instances </w:t>
      </w:r>
      <w:r w:rsidR="004100E4" w:rsidRPr="007247AB">
        <w:rPr>
          <w:rFonts w:cs="Times New Roman"/>
          <w:szCs w:val="24"/>
        </w:rPr>
        <w:t>tiesas spriedumā norādīti šādi motīv</w:t>
      </w:r>
      <w:r w:rsidR="002E3FB4" w:rsidRPr="007247AB">
        <w:rPr>
          <w:rFonts w:cs="Times New Roman"/>
          <w:szCs w:val="24"/>
        </w:rPr>
        <w:t>i.</w:t>
      </w:r>
    </w:p>
    <w:p w14:paraId="224ACEE7" w14:textId="5C16C181" w:rsidR="002E3FB4" w:rsidRPr="007247AB" w:rsidRDefault="004100E4" w:rsidP="007247AB">
      <w:pPr>
        <w:spacing w:after="0" w:line="276" w:lineRule="auto"/>
        <w:ind w:firstLine="567"/>
        <w:jc w:val="both"/>
        <w:rPr>
          <w:rFonts w:cs="Times New Roman"/>
          <w:szCs w:val="24"/>
        </w:rPr>
      </w:pPr>
      <w:r w:rsidRPr="007247AB">
        <w:rPr>
          <w:rFonts w:cs="Times New Roman"/>
          <w:szCs w:val="24"/>
        </w:rPr>
        <w:t>[4.1] </w:t>
      </w:r>
      <w:r w:rsidR="002E3FB4" w:rsidRPr="007247AB">
        <w:rPr>
          <w:rFonts w:cs="Times New Roman"/>
          <w:szCs w:val="24"/>
        </w:rPr>
        <w:t xml:space="preserve">Apelācijas kārtībā nav pārsūdzēts pirmās instances tiesas spriedums </w:t>
      </w:r>
      <w:r w:rsidR="00FD12C0">
        <w:rPr>
          <w:rFonts w:cs="Times New Roman"/>
          <w:szCs w:val="24"/>
        </w:rPr>
        <w:t xml:space="preserve">daļā </w:t>
      </w:r>
      <w:r w:rsidR="002E3FB4" w:rsidRPr="007247AB">
        <w:rPr>
          <w:rFonts w:cs="Times New Roman"/>
          <w:szCs w:val="24"/>
        </w:rPr>
        <w:t xml:space="preserve">par rīcībspējas ierobežošanu. Tātad apelācijas instances tiesā nav strīda par lietas faktiskajiem </w:t>
      </w:r>
      <w:r w:rsidR="002E3FB4" w:rsidRPr="007247AB">
        <w:rPr>
          <w:rFonts w:cs="Times New Roman"/>
          <w:szCs w:val="24"/>
        </w:rPr>
        <w:lastRenderedPageBreak/>
        <w:t>apstākļiem</w:t>
      </w:r>
      <w:r w:rsidR="00FD12C0">
        <w:rPr>
          <w:rFonts w:cs="Times New Roman"/>
          <w:szCs w:val="24"/>
        </w:rPr>
        <w:t xml:space="preserve"> un pirmās instances tiesas secinājumu</w:t>
      </w:r>
      <w:r w:rsidR="002E3FB4" w:rsidRPr="007247AB">
        <w:rPr>
          <w:rFonts w:cs="Times New Roman"/>
          <w:szCs w:val="24"/>
        </w:rPr>
        <w:t xml:space="preserve">, ka </w:t>
      </w:r>
      <w:r w:rsidR="00BE6CC8">
        <w:t>[pers. B]</w:t>
      </w:r>
      <w:r w:rsidR="002E3FB4" w:rsidRPr="007247AB">
        <w:rPr>
          <w:rFonts w:cs="Times New Roman"/>
          <w:szCs w:val="24"/>
        </w:rPr>
        <w:t xml:space="preserve"> rīcībspēja ir ierobežojama</w:t>
      </w:r>
      <w:proofErr w:type="gramStart"/>
      <w:r w:rsidR="002E3FB4" w:rsidRPr="007247AB">
        <w:rPr>
          <w:rFonts w:cs="Times New Roman"/>
          <w:szCs w:val="24"/>
        </w:rPr>
        <w:t xml:space="preserve"> un</w:t>
      </w:r>
      <w:proofErr w:type="gramEnd"/>
      <w:r w:rsidR="002E3FB4" w:rsidRPr="007247AB">
        <w:rPr>
          <w:rFonts w:cs="Times New Roman"/>
          <w:szCs w:val="24"/>
        </w:rPr>
        <w:t xml:space="preserve"> aizgādnība ir nodibināma. Ir izskatāms jautājums par to, vai </w:t>
      </w:r>
      <w:r w:rsidR="00090D8A" w:rsidRPr="007247AB">
        <w:rPr>
          <w:rFonts w:cs="Times New Roman"/>
          <w:szCs w:val="24"/>
        </w:rPr>
        <w:t>viņa</w:t>
      </w:r>
      <w:r w:rsidR="002E3FB4" w:rsidRPr="007247AB">
        <w:rPr>
          <w:rFonts w:cs="Times New Roman"/>
          <w:szCs w:val="24"/>
        </w:rPr>
        <w:t>i rīcībspēja ir ierobežojama arī</w:t>
      </w:r>
      <w:r w:rsidR="00094C9A" w:rsidRPr="007247AB">
        <w:rPr>
          <w:rFonts w:cs="Times New Roman"/>
          <w:szCs w:val="24"/>
        </w:rPr>
        <w:t xml:space="preserve"> tiesās</w:t>
      </w:r>
      <w:r w:rsidR="002E3FB4" w:rsidRPr="007247AB">
        <w:rPr>
          <w:rFonts w:cs="Times New Roman"/>
          <w:szCs w:val="24"/>
        </w:rPr>
        <w:t>.</w:t>
      </w:r>
    </w:p>
    <w:p w14:paraId="2AF03B7A" w14:textId="51F3FF3B" w:rsidR="002E3FB4" w:rsidRPr="007247AB" w:rsidRDefault="00094C9A" w:rsidP="007247AB">
      <w:pPr>
        <w:spacing w:after="0" w:line="276" w:lineRule="auto"/>
        <w:ind w:firstLine="567"/>
        <w:jc w:val="both"/>
        <w:rPr>
          <w:rFonts w:cs="Times New Roman"/>
          <w:szCs w:val="24"/>
        </w:rPr>
      </w:pPr>
      <w:r w:rsidRPr="007247AB">
        <w:rPr>
          <w:rFonts w:cs="Times New Roman"/>
          <w:szCs w:val="24"/>
        </w:rPr>
        <w:t xml:space="preserve">Pirmās instances tiesa ir pieļāvusi procesuālo tiesību normu pārkāpumus, atsakot pieņemt </w:t>
      </w:r>
      <w:r w:rsidR="00BE6CC8">
        <w:t>[pers. A]</w:t>
      </w:r>
      <w:r w:rsidRPr="007247AB">
        <w:rPr>
          <w:rFonts w:cs="Times New Roman"/>
          <w:szCs w:val="24"/>
        </w:rPr>
        <w:t xml:space="preserve"> pieteikumu par </w:t>
      </w:r>
      <w:r w:rsidR="00BE6CC8">
        <w:t>[pers. B]</w:t>
      </w:r>
      <w:r w:rsidRPr="007247AB">
        <w:rPr>
          <w:rFonts w:cs="Times New Roman"/>
          <w:szCs w:val="24"/>
        </w:rPr>
        <w:t xml:space="preserve"> </w:t>
      </w:r>
      <w:r w:rsidR="000F6BB2" w:rsidRPr="007247AB">
        <w:rPr>
          <w:rFonts w:cs="Times New Roman"/>
          <w:szCs w:val="24"/>
        </w:rPr>
        <w:t xml:space="preserve">rīcībspējas </w:t>
      </w:r>
      <w:r w:rsidR="00D836B2" w:rsidRPr="007247AB">
        <w:rPr>
          <w:rFonts w:cs="Times New Roman"/>
          <w:szCs w:val="24"/>
        </w:rPr>
        <w:t xml:space="preserve">papildus </w:t>
      </w:r>
      <w:r w:rsidR="000F6BB2" w:rsidRPr="007247AB">
        <w:rPr>
          <w:rFonts w:cs="Times New Roman"/>
          <w:szCs w:val="24"/>
        </w:rPr>
        <w:t xml:space="preserve">ierobežošanu un </w:t>
      </w:r>
      <w:r w:rsidRPr="007247AB">
        <w:rPr>
          <w:rFonts w:cs="Times New Roman"/>
          <w:szCs w:val="24"/>
        </w:rPr>
        <w:t xml:space="preserve">pieteikums izskatāms pēc būtības. </w:t>
      </w:r>
    </w:p>
    <w:p w14:paraId="5D267CB4" w14:textId="486D4BAD" w:rsidR="007D3B74" w:rsidRPr="007247AB" w:rsidRDefault="004100E4" w:rsidP="007247AB">
      <w:pPr>
        <w:spacing w:after="0" w:line="276" w:lineRule="auto"/>
        <w:ind w:firstLine="567"/>
        <w:jc w:val="both"/>
        <w:rPr>
          <w:rFonts w:cs="Times New Roman"/>
          <w:szCs w:val="24"/>
        </w:rPr>
      </w:pPr>
      <w:r w:rsidRPr="007247AB">
        <w:rPr>
          <w:rFonts w:cs="Times New Roman"/>
          <w:szCs w:val="24"/>
        </w:rPr>
        <w:t>[4.2] </w:t>
      </w:r>
      <w:r w:rsidR="00643858" w:rsidRPr="007247AB">
        <w:rPr>
          <w:rFonts w:cs="Times New Roman"/>
          <w:szCs w:val="24"/>
        </w:rPr>
        <w:t xml:space="preserve">Uz </w:t>
      </w:r>
      <w:r w:rsidR="00BE6CC8">
        <w:t>[pers. A]</w:t>
      </w:r>
      <w:r w:rsidR="00643858" w:rsidRPr="007247AB">
        <w:rPr>
          <w:rFonts w:cs="Times New Roman"/>
          <w:szCs w:val="24"/>
        </w:rPr>
        <w:t xml:space="preserve"> pieteikumu nav attiecināms Civillikuma 356.</w:t>
      </w:r>
      <w:r w:rsidR="00643858" w:rsidRPr="007247AB">
        <w:rPr>
          <w:rFonts w:cs="Times New Roman"/>
          <w:szCs w:val="24"/>
          <w:vertAlign w:val="superscript"/>
        </w:rPr>
        <w:t>1</w:t>
      </w:r>
      <w:r w:rsidRPr="007247AB">
        <w:rPr>
          <w:rFonts w:cs="Times New Roman"/>
          <w:szCs w:val="24"/>
        </w:rPr>
        <w:t> pants, j</w:t>
      </w:r>
      <w:r w:rsidR="00643858" w:rsidRPr="007247AB">
        <w:rPr>
          <w:rFonts w:cs="Times New Roman"/>
          <w:szCs w:val="24"/>
        </w:rPr>
        <w:t>o tajā ir not</w:t>
      </w:r>
      <w:r w:rsidR="000F6BB2" w:rsidRPr="007247AB">
        <w:rPr>
          <w:rFonts w:cs="Times New Roman"/>
          <w:szCs w:val="24"/>
        </w:rPr>
        <w:t>eikts, ka persona</w:t>
      </w:r>
      <w:r w:rsidR="00643858" w:rsidRPr="007247AB">
        <w:rPr>
          <w:rFonts w:cs="Times New Roman"/>
          <w:szCs w:val="24"/>
        </w:rPr>
        <w:t xml:space="preserve"> nav ierobežojama aizstāvēt savas tiesības un likumiskās intereses iestādēs un tiesā saistībā ar tās rīcībspējas un brīvības ierobežojumiem, domstarpībām, strīdiem ar aizgādni un aizgādņa iecelšanu un atcelšanu. </w:t>
      </w:r>
      <w:r w:rsidR="0071077B" w:rsidRPr="007247AB">
        <w:rPr>
          <w:rFonts w:eastAsia="Times New Roman" w:cs="Times New Roman"/>
          <w:szCs w:val="24"/>
          <w:lang w:eastAsia="ru-RU"/>
        </w:rPr>
        <w:t>Šī</w:t>
      </w:r>
      <w:r w:rsidR="000F6BB2" w:rsidRPr="007247AB">
        <w:rPr>
          <w:rFonts w:eastAsia="Times New Roman" w:cs="Times New Roman"/>
          <w:szCs w:val="24"/>
          <w:lang w:eastAsia="ru-RU"/>
        </w:rPr>
        <w:t xml:space="preserve"> tiesību norma</w:t>
      </w:r>
      <w:r w:rsidR="00643858" w:rsidRPr="007247AB">
        <w:rPr>
          <w:rFonts w:eastAsia="Times New Roman" w:cs="Times New Roman"/>
          <w:szCs w:val="24"/>
          <w:lang w:eastAsia="ru-RU"/>
        </w:rPr>
        <w:t xml:space="preserve"> attiecināma tikai uz tiesvedību izskatāmajā lietā par rīcībspējas ierobežošanu, bet ne uz citām tiesvedībām. Civillikuma 356.</w:t>
      </w:r>
      <w:r w:rsidR="00643858" w:rsidRPr="007247AB">
        <w:rPr>
          <w:rFonts w:eastAsia="Times New Roman" w:cs="Times New Roman"/>
          <w:szCs w:val="24"/>
          <w:vertAlign w:val="superscript"/>
          <w:lang w:eastAsia="ru-RU"/>
        </w:rPr>
        <w:t>1</w:t>
      </w:r>
      <w:r w:rsidR="00643858" w:rsidRPr="007247AB">
        <w:rPr>
          <w:rFonts w:cs="Times New Roman"/>
          <w:szCs w:val="24"/>
        </w:rPr>
        <w:t xml:space="preserve"> panta mērķis ir informēt par tiesvedību personu, par kuras rīcībspējas ierobežošanu izskata lietu, lai persona varētu īstenot likuma paredzētās tiesības tiesvedības laikā. </w:t>
      </w:r>
    </w:p>
    <w:p w14:paraId="1697E259" w14:textId="29B9801C" w:rsidR="00090D8A" w:rsidRPr="007247AB" w:rsidRDefault="0071077B" w:rsidP="007247AB">
      <w:pPr>
        <w:spacing w:after="0" w:line="276" w:lineRule="auto"/>
        <w:ind w:firstLine="567"/>
        <w:jc w:val="both"/>
        <w:rPr>
          <w:rFonts w:cs="Times New Roman"/>
          <w:szCs w:val="24"/>
        </w:rPr>
      </w:pPr>
      <w:r w:rsidRPr="007247AB">
        <w:rPr>
          <w:rFonts w:cs="Times New Roman"/>
          <w:szCs w:val="24"/>
        </w:rPr>
        <w:t xml:space="preserve">Minētais ir secināms arī no Civilprocesa likuma </w:t>
      </w:r>
      <w:proofErr w:type="gramStart"/>
      <w:r w:rsidRPr="007247AB">
        <w:rPr>
          <w:rFonts w:cs="Times New Roman"/>
          <w:szCs w:val="24"/>
        </w:rPr>
        <w:t>72.panta</w:t>
      </w:r>
      <w:proofErr w:type="gramEnd"/>
      <w:r w:rsidRPr="007247AB">
        <w:rPr>
          <w:rFonts w:cs="Times New Roman"/>
          <w:szCs w:val="24"/>
        </w:rPr>
        <w:t xml:space="preserve"> piektās daļas, kas norāda uz to, ka tiesai bija jāvērtē </w:t>
      </w:r>
      <w:r w:rsidR="00BE6CC8">
        <w:t>[pers. B]</w:t>
      </w:r>
      <w:r w:rsidRPr="007247AB">
        <w:rPr>
          <w:rFonts w:cs="Times New Roman"/>
          <w:szCs w:val="24"/>
        </w:rPr>
        <w:t xml:space="preserve"> rīcībspēja arī šajā jomā, t. i., vai viņa spēj pati savas intereses pārstāvēt tiesā. </w:t>
      </w:r>
      <w:r w:rsidR="002B7E6A" w:rsidRPr="007247AB">
        <w:rPr>
          <w:rFonts w:cs="Times New Roman"/>
          <w:szCs w:val="24"/>
        </w:rPr>
        <w:t xml:space="preserve">No Tiesu informatīvās sistēmas ierakstiem ir redzams, ka </w:t>
      </w:r>
      <w:r w:rsidR="00BE6CC8">
        <w:t>[pers. A]</w:t>
      </w:r>
      <w:r w:rsidR="002B7E6A" w:rsidRPr="007247AB">
        <w:rPr>
          <w:rFonts w:cs="Times New Roman"/>
          <w:szCs w:val="24"/>
        </w:rPr>
        <w:t xml:space="preserve"> ir cēlusi prasību pret </w:t>
      </w:r>
      <w:r w:rsidR="00BE6CC8">
        <w:t>[pers. B]</w:t>
      </w:r>
      <w:r w:rsidR="002B7E6A" w:rsidRPr="007247AB">
        <w:rPr>
          <w:rFonts w:cs="Times New Roman"/>
          <w:szCs w:val="24"/>
        </w:rPr>
        <w:t xml:space="preserve"> un </w:t>
      </w:r>
      <w:r w:rsidR="00BE6CC8">
        <w:t>[pers. C]</w:t>
      </w:r>
      <w:r w:rsidR="002B6F4B" w:rsidRPr="007247AB">
        <w:rPr>
          <w:rFonts w:cs="Times New Roman"/>
          <w:szCs w:val="24"/>
        </w:rPr>
        <w:t xml:space="preserve"> par līg</w:t>
      </w:r>
      <w:r w:rsidR="00090D8A" w:rsidRPr="007247AB">
        <w:rPr>
          <w:rFonts w:cs="Times New Roman"/>
          <w:szCs w:val="24"/>
        </w:rPr>
        <w:t>uma atzīšanu par spēkā neesošu.</w:t>
      </w:r>
    </w:p>
    <w:p w14:paraId="73C7DEE9" w14:textId="5BD333B1" w:rsidR="002B7E6A" w:rsidRPr="007247AB" w:rsidRDefault="00B5253B" w:rsidP="007247AB">
      <w:pPr>
        <w:spacing w:after="0" w:line="276" w:lineRule="auto"/>
        <w:ind w:firstLine="567"/>
        <w:jc w:val="both"/>
        <w:rPr>
          <w:rFonts w:cs="Times New Roman"/>
          <w:szCs w:val="24"/>
        </w:rPr>
      </w:pPr>
      <w:r w:rsidRPr="007247AB">
        <w:rPr>
          <w:rFonts w:cs="Times New Roman"/>
          <w:szCs w:val="24"/>
        </w:rPr>
        <w:t>Konstatējot Civillikuma 358.</w:t>
      </w:r>
      <w:r w:rsidRPr="007247AB">
        <w:rPr>
          <w:rFonts w:cs="Times New Roman"/>
          <w:szCs w:val="24"/>
          <w:vertAlign w:val="superscript"/>
        </w:rPr>
        <w:t>1</w:t>
      </w:r>
      <w:r w:rsidRPr="007247AB">
        <w:rPr>
          <w:rFonts w:cs="Times New Roman"/>
          <w:szCs w:val="24"/>
        </w:rPr>
        <w:t xml:space="preserve"> pantā minētos apstākļus, personai ir nodibināma aizgādnība. Tiesa, izvērtējot personas spējas, vispirms nosaka, vai un kādā apjomā aizgādnis ar aizgādnībā esošo personu rīkojas kopā, un tikai pēc tam – vai un kādā apjomā aizgādnis rīkosies patstāvīgi. </w:t>
      </w:r>
    </w:p>
    <w:p w14:paraId="55BF920B" w14:textId="59B48B06" w:rsidR="0007597C" w:rsidRPr="007247AB" w:rsidRDefault="00740334" w:rsidP="007247AB">
      <w:pPr>
        <w:spacing w:after="0" w:line="276" w:lineRule="auto"/>
        <w:ind w:firstLine="567"/>
        <w:jc w:val="both"/>
        <w:rPr>
          <w:rFonts w:cs="Times New Roman"/>
          <w:szCs w:val="24"/>
        </w:rPr>
      </w:pPr>
      <w:r w:rsidRPr="007247AB">
        <w:rPr>
          <w:rFonts w:cs="Times New Roman"/>
          <w:szCs w:val="24"/>
        </w:rPr>
        <w:t xml:space="preserve">No pierādījumiem lietā ir secināms, ka </w:t>
      </w:r>
      <w:r w:rsidR="00BE6CC8">
        <w:t>[pers. B]</w:t>
      </w:r>
      <w:r w:rsidRPr="007247AB">
        <w:rPr>
          <w:rFonts w:cs="Times New Roman"/>
          <w:szCs w:val="24"/>
        </w:rPr>
        <w:t xml:space="preserve"> savas tiesības tiesā realizēt pati nespēj. </w:t>
      </w:r>
      <w:r w:rsidR="006673FE" w:rsidRPr="007247AB">
        <w:rPr>
          <w:rFonts w:cs="Times New Roman"/>
          <w:szCs w:val="24"/>
        </w:rPr>
        <w:t xml:space="preserve">Bāriņtiesas pārstāve, ārstējošā ārste un eksperte apliecināja, ka </w:t>
      </w:r>
      <w:r w:rsidR="00090D8A" w:rsidRPr="007247AB">
        <w:rPr>
          <w:rFonts w:cs="Times New Roman"/>
          <w:szCs w:val="24"/>
        </w:rPr>
        <w:t>viņa</w:t>
      </w:r>
      <w:r w:rsidR="006673FE" w:rsidRPr="007247AB">
        <w:rPr>
          <w:rFonts w:cs="Times New Roman"/>
          <w:szCs w:val="24"/>
        </w:rPr>
        <w:t xml:space="preserve">s slimība strauji progresē. Eksperta </w:t>
      </w:r>
      <w:proofErr w:type="gramStart"/>
      <w:r w:rsidR="006673FE" w:rsidRPr="007247AB">
        <w:rPr>
          <w:rFonts w:cs="Times New Roman"/>
          <w:szCs w:val="24"/>
        </w:rPr>
        <w:t>2019.gada</w:t>
      </w:r>
      <w:proofErr w:type="gramEnd"/>
      <w:r w:rsidR="006673FE" w:rsidRPr="007247AB">
        <w:rPr>
          <w:rFonts w:cs="Times New Roman"/>
          <w:szCs w:val="24"/>
        </w:rPr>
        <w:t xml:space="preserve"> 27.novembra atzinumā norādīts, ka </w:t>
      </w:r>
      <w:r w:rsidR="00BE6CC8">
        <w:t>[pers. B]</w:t>
      </w:r>
      <w:r w:rsidR="006673FE" w:rsidRPr="007247AB">
        <w:rPr>
          <w:rFonts w:cs="Times New Roman"/>
          <w:szCs w:val="24"/>
        </w:rPr>
        <w:t xml:space="preserve"> ir garīga rakstura traucējumi (</w:t>
      </w:r>
      <w:r w:rsidR="00940F84">
        <w:rPr>
          <w:rFonts w:cs="Times New Roman"/>
          <w:i/>
          <w:szCs w:val="24"/>
        </w:rPr>
        <w:t>diagnoze</w:t>
      </w:r>
      <w:r w:rsidR="006673FE" w:rsidRPr="007247AB">
        <w:rPr>
          <w:rFonts w:cs="Times New Roman"/>
          <w:szCs w:val="24"/>
        </w:rPr>
        <w:t xml:space="preserve">), kuru dēļ viņai trūkst prāta spēju </w:t>
      </w:r>
      <w:r w:rsidR="0007597C" w:rsidRPr="007247AB">
        <w:rPr>
          <w:rFonts w:cs="Times New Roman"/>
          <w:szCs w:val="24"/>
        </w:rPr>
        <w:t>tādā mērā, ka viņa nespēj saprast savas darbības un vadīt tās. Garīgo rakstura traucējumu dēļ viņa nav spējīga patstāvīgi izdarīt maksājumus un to</w:t>
      </w:r>
      <w:r w:rsidR="00A65863">
        <w:rPr>
          <w:rFonts w:cs="Times New Roman"/>
          <w:szCs w:val="24"/>
        </w:rPr>
        <w:t>s</w:t>
      </w:r>
      <w:r w:rsidR="0007597C" w:rsidRPr="007247AB">
        <w:rPr>
          <w:rFonts w:cs="Times New Roman"/>
          <w:szCs w:val="24"/>
        </w:rPr>
        <w:t xml:space="preserve"> saņemt, nav spējīga slēgt darījumus, patstāvīgi rīkoties ar mantu un to pārvaldīt, tajā skaitā, atsavināt nekustamo īpašumu, ieķīlāt to un apgrūtināt ar lietu tiesībām</w:t>
      </w:r>
      <w:r w:rsidR="00A65863">
        <w:rPr>
          <w:rFonts w:cs="Times New Roman"/>
          <w:szCs w:val="24"/>
        </w:rPr>
        <w:t>. P</w:t>
      </w:r>
      <w:r w:rsidR="00CB0F89" w:rsidRPr="007247AB">
        <w:rPr>
          <w:rFonts w:cs="Times New Roman"/>
          <w:szCs w:val="24"/>
        </w:rPr>
        <w:t>sihiskā stāvokļa dēļ piedalīšanās tiesas sēdē nav vēlama, tā var pasliktināt viņas veselības stāvokli.</w:t>
      </w:r>
    </w:p>
    <w:p w14:paraId="3152A483" w14:textId="19413CF6" w:rsidR="004100E4" w:rsidRPr="007247AB" w:rsidRDefault="004100E4" w:rsidP="007247AB">
      <w:pPr>
        <w:spacing w:after="0" w:line="276" w:lineRule="auto"/>
        <w:ind w:firstLine="567"/>
        <w:jc w:val="both"/>
        <w:rPr>
          <w:rFonts w:cs="Times New Roman"/>
          <w:szCs w:val="24"/>
        </w:rPr>
      </w:pPr>
      <w:r w:rsidRPr="007247AB">
        <w:rPr>
          <w:rFonts w:cs="Times New Roman"/>
          <w:szCs w:val="24"/>
        </w:rPr>
        <w:t>A</w:t>
      </w:r>
      <w:r w:rsidR="00CB0F89" w:rsidRPr="007247AB">
        <w:rPr>
          <w:rFonts w:cs="Times New Roman"/>
          <w:szCs w:val="24"/>
        </w:rPr>
        <w:t>r</w:t>
      </w:r>
      <w:r w:rsidRPr="007247AB">
        <w:rPr>
          <w:rFonts w:cs="Times New Roman"/>
          <w:szCs w:val="24"/>
        </w:rPr>
        <w:t>ī</w:t>
      </w:r>
      <w:r w:rsidR="00CB0F89" w:rsidRPr="007247AB">
        <w:rPr>
          <w:rFonts w:cs="Times New Roman"/>
          <w:szCs w:val="24"/>
        </w:rPr>
        <w:t xml:space="preserve"> no bāriņtiesas </w:t>
      </w:r>
      <w:r w:rsidR="00FF0EDD">
        <w:rPr>
          <w:rFonts w:cs="Times New Roman"/>
          <w:szCs w:val="24"/>
        </w:rPr>
        <w:t xml:space="preserve">pārstāvja </w:t>
      </w:r>
      <w:proofErr w:type="gramStart"/>
      <w:r w:rsidR="00CB0F89" w:rsidRPr="007247AB">
        <w:rPr>
          <w:rFonts w:cs="Times New Roman"/>
          <w:szCs w:val="24"/>
        </w:rPr>
        <w:t>2020.gada</w:t>
      </w:r>
      <w:proofErr w:type="gramEnd"/>
      <w:r w:rsidR="00CB0F89" w:rsidRPr="007247AB">
        <w:rPr>
          <w:rFonts w:cs="Times New Roman"/>
          <w:szCs w:val="24"/>
        </w:rPr>
        <w:t xml:space="preserve"> </w:t>
      </w:r>
      <w:r w:rsidR="003E1F0A">
        <w:rPr>
          <w:rFonts w:cs="Times New Roman"/>
          <w:szCs w:val="24"/>
        </w:rPr>
        <w:t>[..]</w:t>
      </w:r>
      <w:r w:rsidR="00CB0F89" w:rsidRPr="007247AB">
        <w:rPr>
          <w:rFonts w:cs="Times New Roman"/>
          <w:szCs w:val="24"/>
        </w:rPr>
        <w:t xml:space="preserve"> sarunas ar </w:t>
      </w:r>
      <w:r w:rsidR="00BE6CC8">
        <w:t>[pers. B]</w:t>
      </w:r>
      <w:r w:rsidR="00CB0F89" w:rsidRPr="007247AB">
        <w:rPr>
          <w:rFonts w:cs="Times New Roman"/>
          <w:szCs w:val="24"/>
        </w:rPr>
        <w:t xml:space="preserve"> un sociālā aprūpes centra „</w:t>
      </w:r>
      <w:r w:rsidR="00940F84">
        <w:rPr>
          <w:rFonts w:cs="Times New Roman"/>
          <w:szCs w:val="24"/>
        </w:rPr>
        <w:t>Nosaukums 2</w:t>
      </w:r>
      <w:r w:rsidR="00CB0F89" w:rsidRPr="007247AB">
        <w:rPr>
          <w:rFonts w:cs="Times New Roman"/>
          <w:szCs w:val="24"/>
        </w:rPr>
        <w:t xml:space="preserve">” darbinieku protokola ir secināms, ka </w:t>
      </w:r>
      <w:r w:rsidR="00C904F0" w:rsidRPr="007247AB">
        <w:rPr>
          <w:rFonts w:cs="Times New Roman"/>
          <w:szCs w:val="24"/>
        </w:rPr>
        <w:t>viņa</w:t>
      </w:r>
      <w:r w:rsidR="00CB0F89" w:rsidRPr="007247AB">
        <w:rPr>
          <w:rFonts w:cs="Times New Roman"/>
          <w:szCs w:val="24"/>
        </w:rPr>
        <w:t xml:space="preserve"> pati nespēj realizēt savas tiesības tiesā, nevar </w:t>
      </w:r>
      <w:r w:rsidR="00941215" w:rsidRPr="007247AB">
        <w:rPr>
          <w:rFonts w:cs="Times New Roman"/>
          <w:szCs w:val="24"/>
        </w:rPr>
        <w:t xml:space="preserve">šajā sakarā dot aizgādnim </w:t>
      </w:r>
      <w:r w:rsidR="00FF0EDD">
        <w:rPr>
          <w:rFonts w:cs="Times New Roman"/>
          <w:szCs w:val="24"/>
        </w:rPr>
        <w:t>rīkojumus, jo nesaprot</w:t>
      </w:r>
      <w:r w:rsidR="00941215" w:rsidRPr="007247AB">
        <w:rPr>
          <w:rFonts w:cs="Times New Roman"/>
          <w:szCs w:val="24"/>
        </w:rPr>
        <w:t xml:space="preserve"> to jēgu, tāpēc viņas rīcībspēja tiesās ir ierobežojama, nosakot, ka aizgādnis šajā jomā rīkojas patstāvīgi. </w:t>
      </w:r>
    </w:p>
    <w:p w14:paraId="4A7DFA60" w14:textId="644ACCFF" w:rsidR="00A5395C" w:rsidRPr="007247AB" w:rsidRDefault="004100E4" w:rsidP="007247AB">
      <w:pPr>
        <w:spacing w:after="0" w:line="276" w:lineRule="auto"/>
        <w:ind w:firstLine="567"/>
        <w:jc w:val="both"/>
        <w:rPr>
          <w:rFonts w:cs="Times New Roman"/>
          <w:szCs w:val="24"/>
          <w:shd w:val="clear" w:color="auto" w:fill="FFFFFF"/>
        </w:rPr>
      </w:pPr>
      <w:r w:rsidRPr="007247AB">
        <w:rPr>
          <w:rFonts w:cs="Times New Roman"/>
          <w:szCs w:val="24"/>
        </w:rPr>
        <w:t>[4.3] </w:t>
      </w:r>
      <w:r w:rsidR="0095023E" w:rsidRPr="007247AB">
        <w:rPr>
          <w:rFonts w:cs="Times New Roman"/>
          <w:szCs w:val="24"/>
        </w:rPr>
        <w:t>Turklāt tiesas s</w:t>
      </w:r>
      <w:r w:rsidR="005F288B" w:rsidRPr="007247AB">
        <w:rPr>
          <w:rFonts w:cs="Times New Roman"/>
          <w:szCs w:val="24"/>
        </w:rPr>
        <w:t xml:space="preserve">priedumi par personas ierobežošanu tiesās pieņemti arī citās līdzīgās lietās – </w:t>
      </w:r>
      <w:r w:rsidR="00940F84">
        <w:t>[Nosaukums 3]</w:t>
      </w:r>
      <w:r w:rsidR="005F288B" w:rsidRPr="007247AB">
        <w:rPr>
          <w:rFonts w:cs="Times New Roman"/>
          <w:szCs w:val="24"/>
        </w:rPr>
        <w:t xml:space="preserve"> rajona tiesas spriedums </w:t>
      </w:r>
      <w:r w:rsidR="005F288B" w:rsidRPr="007247AB">
        <w:rPr>
          <w:rFonts w:cs="Times New Roman"/>
          <w:szCs w:val="24"/>
          <w:shd w:val="clear" w:color="auto" w:fill="FFFFFF"/>
        </w:rPr>
        <w:t>ECLI:LV:</w:t>
      </w:r>
      <w:r w:rsidR="00940F84">
        <w:rPr>
          <w:rFonts w:cs="Times New Roman"/>
          <w:szCs w:val="24"/>
          <w:shd w:val="clear" w:color="auto" w:fill="FFFFFF"/>
        </w:rPr>
        <w:t>[..]</w:t>
      </w:r>
      <w:r w:rsidR="005F288B" w:rsidRPr="007247AB">
        <w:rPr>
          <w:rFonts w:cs="Times New Roman"/>
          <w:szCs w:val="24"/>
          <w:shd w:val="clear" w:color="auto" w:fill="FFFFFF"/>
        </w:rPr>
        <w:t>:2020:</w:t>
      </w:r>
      <w:r w:rsidR="00940F84">
        <w:rPr>
          <w:rFonts w:cs="Times New Roman"/>
          <w:szCs w:val="24"/>
          <w:shd w:val="clear" w:color="auto" w:fill="FFFFFF"/>
        </w:rPr>
        <w:t>[..]</w:t>
      </w:r>
      <w:r w:rsidR="005F288B" w:rsidRPr="007247AB">
        <w:rPr>
          <w:rFonts w:cs="Times New Roman"/>
          <w:szCs w:val="24"/>
          <w:shd w:val="clear" w:color="auto" w:fill="FFFFFF"/>
        </w:rPr>
        <w:t>.S un ECLI:LV:</w:t>
      </w:r>
      <w:r w:rsidR="00940F84">
        <w:rPr>
          <w:rFonts w:cs="Times New Roman"/>
          <w:szCs w:val="24"/>
          <w:shd w:val="clear" w:color="auto" w:fill="FFFFFF"/>
        </w:rPr>
        <w:t>[..]</w:t>
      </w:r>
      <w:r w:rsidR="005F288B" w:rsidRPr="007247AB">
        <w:rPr>
          <w:rFonts w:cs="Times New Roman"/>
          <w:szCs w:val="24"/>
          <w:shd w:val="clear" w:color="auto" w:fill="FFFFFF"/>
        </w:rPr>
        <w:t>:2020:</w:t>
      </w:r>
      <w:r w:rsidR="00940F84">
        <w:rPr>
          <w:rFonts w:cs="Times New Roman"/>
          <w:szCs w:val="24"/>
          <w:shd w:val="clear" w:color="auto" w:fill="FFFFFF"/>
        </w:rPr>
        <w:t>[..]</w:t>
      </w:r>
      <w:r w:rsidR="005F288B" w:rsidRPr="007247AB">
        <w:rPr>
          <w:rFonts w:cs="Times New Roman"/>
          <w:szCs w:val="24"/>
          <w:shd w:val="clear" w:color="auto" w:fill="FFFFFF"/>
        </w:rPr>
        <w:t>.S</w:t>
      </w:r>
      <w:r w:rsidR="005F288B" w:rsidRPr="007247AB">
        <w:rPr>
          <w:rFonts w:cs="Times New Roman"/>
          <w:szCs w:val="24"/>
        </w:rPr>
        <w:t xml:space="preserve">, </w:t>
      </w:r>
      <w:r w:rsidR="00940F84">
        <w:t>[Nosaukums 4]</w:t>
      </w:r>
      <w:r w:rsidR="005F288B" w:rsidRPr="007247AB">
        <w:rPr>
          <w:rFonts w:cs="Times New Roman"/>
          <w:szCs w:val="24"/>
        </w:rPr>
        <w:t xml:space="preserve"> priekšpilsētas tiesas spriedums </w:t>
      </w:r>
      <w:r w:rsidR="005F288B" w:rsidRPr="007247AB">
        <w:rPr>
          <w:rFonts w:cs="Times New Roman"/>
          <w:szCs w:val="24"/>
          <w:shd w:val="clear" w:color="auto" w:fill="FFFFFF"/>
        </w:rPr>
        <w:t>ECLI:LV:</w:t>
      </w:r>
      <w:r w:rsidR="00940F84">
        <w:rPr>
          <w:rFonts w:cs="Times New Roman"/>
          <w:szCs w:val="24"/>
          <w:shd w:val="clear" w:color="auto" w:fill="FFFFFF"/>
        </w:rPr>
        <w:t>[..]</w:t>
      </w:r>
      <w:r w:rsidR="003E1F0A">
        <w:rPr>
          <w:rFonts w:cs="Times New Roman"/>
          <w:szCs w:val="24"/>
          <w:shd w:val="clear" w:color="auto" w:fill="FFFFFF"/>
        </w:rPr>
        <w:t>:</w:t>
      </w:r>
      <w:r w:rsidR="00940F84">
        <w:rPr>
          <w:rFonts w:cs="Times New Roman"/>
          <w:szCs w:val="24"/>
          <w:shd w:val="clear" w:color="auto" w:fill="FFFFFF"/>
        </w:rPr>
        <w:t>20</w:t>
      </w:r>
      <w:r w:rsidR="003E1F0A">
        <w:rPr>
          <w:rFonts w:cs="Times New Roman"/>
          <w:szCs w:val="24"/>
          <w:shd w:val="clear" w:color="auto" w:fill="FFFFFF"/>
        </w:rPr>
        <w:t>2</w:t>
      </w:r>
      <w:r w:rsidR="005F288B" w:rsidRPr="007247AB">
        <w:rPr>
          <w:rFonts w:cs="Times New Roman"/>
          <w:szCs w:val="24"/>
          <w:shd w:val="clear" w:color="auto" w:fill="FFFFFF"/>
        </w:rPr>
        <w:t>0:</w:t>
      </w:r>
      <w:r w:rsidR="003E1F0A">
        <w:rPr>
          <w:rFonts w:cs="Times New Roman"/>
          <w:szCs w:val="24"/>
          <w:shd w:val="clear" w:color="auto" w:fill="FFFFFF"/>
        </w:rPr>
        <w:t>[..]</w:t>
      </w:r>
      <w:r w:rsidR="005F288B" w:rsidRPr="007247AB">
        <w:rPr>
          <w:rFonts w:cs="Times New Roman"/>
          <w:szCs w:val="24"/>
          <w:shd w:val="clear" w:color="auto" w:fill="FFFFFF"/>
        </w:rPr>
        <w:t xml:space="preserve">.S, </w:t>
      </w:r>
      <w:r w:rsidR="00940F84">
        <w:t>[Nosaukums 1]</w:t>
      </w:r>
      <w:r w:rsidR="005F288B" w:rsidRPr="007247AB">
        <w:rPr>
          <w:rFonts w:cs="Times New Roman"/>
          <w:szCs w:val="24"/>
          <w:shd w:val="clear" w:color="auto" w:fill="FFFFFF"/>
        </w:rPr>
        <w:t xml:space="preserve"> priekšpilsētas tiesas spriedums ECLI:LV:</w:t>
      </w:r>
      <w:r w:rsidR="003E1F0A">
        <w:rPr>
          <w:rFonts w:cs="Times New Roman"/>
          <w:szCs w:val="24"/>
          <w:shd w:val="clear" w:color="auto" w:fill="FFFFFF"/>
        </w:rPr>
        <w:t>[..]</w:t>
      </w:r>
      <w:r w:rsidR="005F288B" w:rsidRPr="007247AB">
        <w:rPr>
          <w:rFonts w:cs="Times New Roman"/>
          <w:szCs w:val="24"/>
          <w:shd w:val="clear" w:color="auto" w:fill="FFFFFF"/>
        </w:rPr>
        <w:t>:2020:</w:t>
      </w:r>
      <w:r w:rsidR="003E1F0A">
        <w:rPr>
          <w:rFonts w:cs="Times New Roman"/>
          <w:szCs w:val="24"/>
          <w:shd w:val="clear" w:color="auto" w:fill="FFFFFF"/>
        </w:rPr>
        <w:t>[..]</w:t>
      </w:r>
      <w:r w:rsidR="005F288B" w:rsidRPr="007247AB">
        <w:rPr>
          <w:rFonts w:cs="Times New Roman"/>
          <w:szCs w:val="24"/>
          <w:shd w:val="clear" w:color="auto" w:fill="FFFFFF"/>
        </w:rPr>
        <w:t xml:space="preserve">.S un </w:t>
      </w:r>
      <w:r w:rsidR="00A5395C" w:rsidRPr="007247AB">
        <w:rPr>
          <w:rFonts w:eastAsia="Times New Roman" w:cs="Times New Roman"/>
          <w:szCs w:val="24"/>
          <w:lang w:eastAsia="lv-LV"/>
        </w:rPr>
        <w:t>ECLI:LV:</w:t>
      </w:r>
      <w:r w:rsidR="003E1F0A">
        <w:rPr>
          <w:rFonts w:eastAsia="Times New Roman" w:cs="Times New Roman"/>
          <w:szCs w:val="24"/>
          <w:lang w:eastAsia="lv-LV"/>
        </w:rPr>
        <w:t>[..]</w:t>
      </w:r>
      <w:r w:rsidR="00A5395C" w:rsidRPr="007247AB">
        <w:rPr>
          <w:rFonts w:eastAsia="Times New Roman" w:cs="Times New Roman"/>
          <w:szCs w:val="24"/>
          <w:lang w:eastAsia="lv-LV"/>
        </w:rPr>
        <w:t>:2020:</w:t>
      </w:r>
      <w:r w:rsidR="003E1F0A">
        <w:rPr>
          <w:rFonts w:eastAsia="Times New Roman" w:cs="Times New Roman"/>
          <w:szCs w:val="24"/>
          <w:lang w:eastAsia="lv-LV"/>
        </w:rPr>
        <w:t>[..]</w:t>
      </w:r>
      <w:r w:rsidR="00A5395C" w:rsidRPr="007247AB">
        <w:rPr>
          <w:rFonts w:eastAsia="Times New Roman" w:cs="Times New Roman"/>
          <w:szCs w:val="24"/>
          <w:lang w:eastAsia="lv-LV"/>
        </w:rPr>
        <w:t xml:space="preserve">.S, </w:t>
      </w:r>
      <w:r w:rsidR="00940F84">
        <w:t xml:space="preserve">[Nosaukums 5] </w:t>
      </w:r>
      <w:r w:rsidR="00A5395C" w:rsidRPr="007247AB">
        <w:rPr>
          <w:rFonts w:eastAsia="Times New Roman" w:cs="Times New Roman"/>
          <w:szCs w:val="24"/>
          <w:lang w:eastAsia="lv-LV"/>
        </w:rPr>
        <w:t xml:space="preserve">tiesas spriedums </w:t>
      </w:r>
      <w:r w:rsidR="00A5395C" w:rsidRPr="007247AB">
        <w:rPr>
          <w:rFonts w:cs="Times New Roman"/>
          <w:szCs w:val="24"/>
          <w:shd w:val="clear" w:color="auto" w:fill="FFFFFF"/>
        </w:rPr>
        <w:t>ECLI:LV:</w:t>
      </w:r>
      <w:r w:rsidR="003E1F0A">
        <w:rPr>
          <w:rFonts w:cs="Times New Roman"/>
          <w:szCs w:val="24"/>
          <w:shd w:val="clear" w:color="auto" w:fill="FFFFFF"/>
        </w:rPr>
        <w:t>[..]</w:t>
      </w:r>
      <w:r w:rsidR="00A5395C" w:rsidRPr="007247AB">
        <w:rPr>
          <w:rFonts w:cs="Times New Roman"/>
          <w:szCs w:val="24"/>
          <w:shd w:val="clear" w:color="auto" w:fill="FFFFFF"/>
        </w:rPr>
        <w:t>:2020:</w:t>
      </w:r>
      <w:r w:rsidR="003E1F0A">
        <w:rPr>
          <w:rFonts w:cs="Times New Roman"/>
          <w:szCs w:val="24"/>
          <w:shd w:val="clear" w:color="auto" w:fill="FFFFFF"/>
        </w:rPr>
        <w:t>[..].</w:t>
      </w:r>
      <w:r w:rsidR="00A5395C" w:rsidRPr="007247AB">
        <w:rPr>
          <w:rFonts w:cs="Times New Roman"/>
          <w:szCs w:val="24"/>
          <w:shd w:val="clear" w:color="auto" w:fill="FFFFFF"/>
        </w:rPr>
        <w:t xml:space="preserve">S, </w:t>
      </w:r>
      <w:r w:rsidR="00940F84">
        <w:t>[Nosaukums 6]</w:t>
      </w:r>
      <w:r w:rsidR="00A5395C" w:rsidRPr="007247AB">
        <w:rPr>
          <w:rFonts w:cs="Times New Roman"/>
          <w:szCs w:val="24"/>
          <w:shd w:val="clear" w:color="auto" w:fill="FFFFFF"/>
        </w:rPr>
        <w:t xml:space="preserve"> tiesas spriedums ECLI:LV:</w:t>
      </w:r>
      <w:r w:rsidR="003E1F0A">
        <w:rPr>
          <w:rFonts w:cs="Times New Roman"/>
          <w:szCs w:val="24"/>
          <w:shd w:val="clear" w:color="auto" w:fill="FFFFFF"/>
        </w:rPr>
        <w:t>[..]</w:t>
      </w:r>
      <w:r w:rsidR="00A5395C" w:rsidRPr="007247AB">
        <w:rPr>
          <w:rFonts w:cs="Times New Roman"/>
          <w:szCs w:val="24"/>
          <w:shd w:val="clear" w:color="auto" w:fill="FFFFFF"/>
        </w:rPr>
        <w:t>:2020:</w:t>
      </w:r>
      <w:r w:rsidR="003E1F0A">
        <w:rPr>
          <w:rFonts w:cs="Times New Roman"/>
          <w:szCs w:val="24"/>
          <w:shd w:val="clear" w:color="auto" w:fill="FFFFFF"/>
        </w:rPr>
        <w:t>[..]</w:t>
      </w:r>
      <w:r w:rsidR="00A5395C" w:rsidRPr="007247AB">
        <w:rPr>
          <w:rFonts w:cs="Times New Roman"/>
          <w:szCs w:val="24"/>
          <w:shd w:val="clear" w:color="auto" w:fill="FFFFFF"/>
        </w:rPr>
        <w:t xml:space="preserve">.S. </w:t>
      </w:r>
    </w:p>
    <w:p w14:paraId="5DFB04F9" w14:textId="77777777" w:rsidR="00A5395C" w:rsidRPr="007247AB" w:rsidRDefault="00A5395C" w:rsidP="007247AB">
      <w:pPr>
        <w:spacing w:after="0" w:line="276" w:lineRule="auto"/>
        <w:ind w:firstLine="567"/>
        <w:jc w:val="both"/>
        <w:rPr>
          <w:rFonts w:cs="Times New Roman"/>
          <w:szCs w:val="24"/>
          <w:shd w:val="clear" w:color="auto" w:fill="FFFFFF"/>
        </w:rPr>
      </w:pPr>
    </w:p>
    <w:p w14:paraId="01FAA4F8" w14:textId="7A801A78" w:rsidR="00225EFF" w:rsidRPr="007247AB" w:rsidRDefault="00225EFF" w:rsidP="007247AB">
      <w:pPr>
        <w:spacing w:after="0" w:line="276" w:lineRule="auto"/>
        <w:ind w:firstLine="567"/>
        <w:jc w:val="both"/>
        <w:rPr>
          <w:rFonts w:cs="Times New Roman"/>
          <w:szCs w:val="24"/>
        </w:rPr>
      </w:pPr>
      <w:r w:rsidRPr="007247AB">
        <w:rPr>
          <w:rFonts w:cs="Times New Roman"/>
          <w:szCs w:val="24"/>
          <w:shd w:val="clear" w:color="auto" w:fill="FFFFFF"/>
        </w:rPr>
        <w:t xml:space="preserve">[5] Par minēto spriedumu </w:t>
      </w:r>
      <w:r w:rsidR="00940F84">
        <w:rPr>
          <w:rFonts w:cs="Times New Roman"/>
          <w:szCs w:val="24"/>
          <w:shd w:val="clear" w:color="auto" w:fill="FFFFFF"/>
        </w:rPr>
        <w:t>[Nosaukums]</w:t>
      </w:r>
      <w:r w:rsidRPr="007247AB">
        <w:rPr>
          <w:rFonts w:cs="Times New Roman"/>
          <w:szCs w:val="24"/>
          <w:shd w:val="clear" w:color="auto" w:fill="FFFFFF"/>
        </w:rPr>
        <w:t xml:space="preserve"> rajona prokuratūras prokurors iesniedza kasācijas protestu, lūdzot </w:t>
      </w:r>
      <w:r w:rsidR="00C909F7" w:rsidRPr="007247AB">
        <w:rPr>
          <w:rFonts w:cs="Times New Roman"/>
          <w:szCs w:val="24"/>
          <w:shd w:val="clear" w:color="auto" w:fill="FFFFFF"/>
        </w:rPr>
        <w:t xml:space="preserve">spriedumu atcelt daļā, ar kuru </w:t>
      </w:r>
      <w:r w:rsidR="00BE6CC8">
        <w:t>[pers. B]</w:t>
      </w:r>
      <w:r w:rsidR="00C909F7" w:rsidRPr="007247AB">
        <w:rPr>
          <w:rFonts w:cs="Times New Roman"/>
          <w:szCs w:val="24"/>
        </w:rPr>
        <w:t xml:space="preserve"> ierobežota rīcībspēja tiesās</w:t>
      </w:r>
      <w:proofErr w:type="gramStart"/>
      <w:r w:rsidR="00C909F7" w:rsidRPr="007247AB">
        <w:rPr>
          <w:rFonts w:cs="Times New Roman"/>
          <w:szCs w:val="24"/>
        </w:rPr>
        <w:t xml:space="preserve"> un</w:t>
      </w:r>
      <w:proofErr w:type="gramEnd"/>
      <w:r w:rsidR="00C909F7" w:rsidRPr="007247AB">
        <w:rPr>
          <w:rFonts w:cs="Times New Roman"/>
          <w:szCs w:val="24"/>
        </w:rPr>
        <w:t xml:space="preserve"> noteikts, ka aizgādnis šajā jomā rīkojas patstāvīgi.</w:t>
      </w:r>
    </w:p>
    <w:p w14:paraId="07976FC6" w14:textId="77777777" w:rsidR="00C909F7" w:rsidRPr="007247AB" w:rsidRDefault="00C909F7" w:rsidP="007247AB">
      <w:pPr>
        <w:spacing w:after="0" w:line="276" w:lineRule="auto"/>
        <w:ind w:firstLine="567"/>
        <w:jc w:val="both"/>
        <w:rPr>
          <w:rFonts w:cs="Times New Roman"/>
          <w:szCs w:val="24"/>
        </w:rPr>
      </w:pPr>
      <w:r w:rsidRPr="007247AB">
        <w:rPr>
          <w:rFonts w:cs="Times New Roman"/>
          <w:szCs w:val="24"/>
        </w:rPr>
        <w:t>Kasācijas protestā norādīti šādi argumenti.</w:t>
      </w:r>
    </w:p>
    <w:p w14:paraId="57A7C2D1" w14:textId="77777777" w:rsidR="00B5253C" w:rsidRPr="007247AB" w:rsidRDefault="00B5253C" w:rsidP="007247AB">
      <w:pPr>
        <w:spacing w:after="0" w:line="276" w:lineRule="auto"/>
        <w:ind w:firstLine="567"/>
        <w:jc w:val="both"/>
        <w:rPr>
          <w:rFonts w:cs="Times New Roman"/>
          <w:szCs w:val="24"/>
        </w:rPr>
      </w:pPr>
      <w:r w:rsidRPr="007247AB">
        <w:rPr>
          <w:rFonts w:cs="Times New Roman"/>
          <w:szCs w:val="24"/>
        </w:rPr>
        <w:lastRenderedPageBreak/>
        <w:t xml:space="preserve">Atbilstoši Civilprocesa likuma 189.panta trešajai daļai un 190.panta pirmajai daļai, lai tiesas spriedums būtu atzīstams par likumīgu un pamatotu, tam jāatbilst materiālo un procesuālo tiesību normām. </w:t>
      </w:r>
    </w:p>
    <w:p w14:paraId="59E9AC20" w14:textId="77777777" w:rsidR="00B5253C" w:rsidRPr="007247AB" w:rsidRDefault="00B5253C" w:rsidP="007247AB">
      <w:pPr>
        <w:spacing w:after="0" w:line="276" w:lineRule="auto"/>
        <w:ind w:firstLine="567"/>
        <w:jc w:val="both"/>
        <w:rPr>
          <w:rFonts w:cs="Times New Roman"/>
          <w:szCs w:val="24"/>
        </w:rPr>
      </w:pPr>
      <w:r w:rsidRPr="007247AB">
        <w:rPr>
          <w:rFonts w:cs="Times New Roman"/>
          <w:szCs w:val="24"/>
        </w:rPr>
        <w:t>Civillikuma 356.</w:t>
      </w:r>
      <w:r w:rsidRPr="007247AB">
        <w:rPr>
          <w:rFonts w:cs="Times New Roman"/>
          <w:szCs w:val="24"/>
          <w:vertAlign w:val="superscript"/>
        </w:rPr>
        <w:t>1</w:t>
      </w:r>
      <w:r w:rsidRPr="007247AB">
        <w:rPr>
          <w:rFonts w:cs="Times New Roman"/>
          <w:szCs w:val="24"/>
        </w:rPr>
        <w:t xml:space="preserve"> pants noteic, ka persona nav ierobežojama personiskajās nemantiskajās tiesībās, kā arī aizstāvēt savas tiesības un likumiskās intereses iestādēs un tiesā saistībā ar tās rīcībspējas un brīvības ierobežojumiem, domstarpībām, strīdiem ar aizgādni un aizgādņa iecelšanu un atcelšanu. </w:t>
      </w:r>
    </w:p>
    <w:p w14:paraId="747D1ADE" w14:textId="5DFC1337" w:rsidR="00A9532B" w:rsidRPr="007247AB" w:rsidRDefault="00B5253C" w:rsidP="007247AB">
      <w:pPr>
        <w:spacing w:after="0" w:line="276" w:lineRule="auto"/>
        <w:ind w:firstLine="567"/>
        <w:jc w:val="both"/>
        <w:rPr>
          <w:rFonts w:cs="Times New Roman"/>
          <w:szCs w:val="24"/>
        </w:rPr>
      </w:pPr>
      <w:r w:rsidRPr="007247AB">
        <w:rPr>
          <w:rFonts w:cs="Times New Roman"/>
          <w:szCs w:val="24"/>
        </w:rPr>
        <w:t>Apelācijas instances tiesas sprieduma motīvu daļā ir norādīts, ka personai nav ierobežojama rīcībspēja Civillikuma 356.</w:t>
      </w:r>
      <w:r w:rsidRPr="007247AB">
        <w:rPr>
          <w:rFonts w:cs="Times New Roman"/>
          <w:szCs w:val="24"/>
          <w:vertAlign w:val="superscript"/>
        </w:rPr>
        <w:t>1</w:t>
      </w:r>
      <w:r w:rsidRPr="007247AB">
        <w:rPr>
          <w:rFonts w:cs="Times New Roman"/>
          <w:szCs w:val="24"/>
        </w:rPr>
        <w:t xml:space="preserve"> pantā noteiktajās jomās. Savukārt sprieduma rezolutīvajā daļā nospriests, ka </w:t>
      </w:r>
      <w:r w:rsidR="00BE6CC8">
        <w:t>[pers. B]</w:t>
      </w:r>
      <w:r w:rsidRPr="007247AB">
        <w:rPr>
          <w:rFonts w:cs="Times New Roman"/>
          <w:szCs w:val="24"/>
        </w:rPr>
        <w:t xml:space="preserve"> ierobežota rīcībspēja tiesās, ne</w:t>
      </w:r>
      <w:r w:rsidR="00C62AC6">
        <w:rPr>
          <w:rFonts w:cs="Times New Roman"/>
          <w:szCs w:val="24"/>
        </w:rPr>
        <w:t>nosak</w:t>
      </w:r>
      <w:r w:rsidRPr="007247AB">
        <w:rPr>
          <w:rFonts w:cs="Times New Roman"/>
          <w:szCs w:val="24"/>
        </w:rPr>
        <w:t xml:space="preserve">ot, ka tas neattiecas uz </w:t>
      </w:r>
      <w:r w:rsidR="007247AB" w:rsidRPr="007247AB">
        <w:rPr>
          <w:rFonts w:cs="Times New Roman"/>
          <w:szCs w:val="24"/>
        </w:rPr>
        <w:t>minētajā tiesību normā</w:t>
      </w:r>
      <w:r w:rsidR="0086046C" w:rsidRPr="007247AB">
        <w:rPr>
          <w:rFonts w:cs="Times New Roman"/>
          <w:szCs w:val="24"/>
        </w:rPr>
        <w:t xml:space="preserve"> noteiktajām jomām</w:t>
      </w:r>
      <w:r w:rsidR="00A9532B" w:rsidRPr="007247AB">
        <w:rPr>
          <w:rFonts w:cs="Times New Roman"/>
          <w:szCs w:val="24"/>
        </w:rPr>
        <w:t xml:space="preserve">. </w:t>
      </w:r>
    </w:p>
    <w:p w14:paraId="7E7CAF48" w14:textId="3ED2F288" w:rsidR="00A9532B" w:rsidRPr="007247AB" w:rsidRDefault="00A9532B" w:rsidP="007247AB">
      <w:pPr>
        <w:spacing w:after="0" w:line="276" w:lineRule="auto"/>
        <w:ind w:firstLine="567"/>
        <w:jc w:val="both"/>
        <w:rPr>
          <w:rFonts w:cs="Times New Roman"/>
          <w:szCs w:val="24"/>
        </w:rPr>
      </w:pPr>
      <w:r w:rsidRPr="007247AB">
        <w:rPr>
          <w:rFonts w:cs="Times New Roman"/>
          <w:szCs w:val="24"/>
        </w:rPr>
        <w:t>Apelācijas instances t</w:t>
      </w:r>
      <w:r w:rsidR="0086046C" w:rsidRPr="007247AB">
        <w:rPr>
          <w:rFonts w:cs="Times New Roman"/>
          <w:szCs w:val="24"/>
        </w:rPr>
        <w:t>iesa</w:t>
      </w:r>
      <w:r w:rsidRPr="007247AB">
        <w:rPr>
          <w:rFonts w:cs="Times New Roman"/>
          <w:szCs w:val="24"/>
        </w:rPr>
        <w:t xml:space="preserve"> Civillikuma 356.</w:t>
      </w:r>
      <w:r w:rsidRPr="007247AB">
        <w:rPr>
          <w:rFonts w:cs="Times New Roman"/>
          <w:szCs w:val="24"/>
          <w:vertAlign w:val="superscript"/>
        </w:rPr>
        <w:t>1</w:t>
      </w:r>
      <w:r w:rsidRPr="007247AB">
        <w:rPr>
          <w:rFonts w:cs="Times New Roman"/>
          <w:szCs w:val="24"/>
        </w:rPr>
        <w:t> pantu</w:t>
      </w:r>
      <w:r w:rsidR="00BD1F11" w:rsidRPr="007247AB">
        <w:rPr>
          <w:rFonts w:cs="Times New Roman"/>
          <w:szCs w:val="24"/>
        </w:rPr>
        <w:t xml:space="preserve"> piemērojusi </w:t>
      </w:r>
      <w:r w:rsidR="00CF76C8">
        <w:rPr>
          <w:rFonts w:cs="Times New Roman"/>
          <w:szCs w:val="24"/>
        </w:rPr>
        <w:t>kļūdain</w:t>
      </w:r>
      <w:r w:rsidR="00BD1F11" w:rsidRPr="007247AB">
        <w:rPr>
          <w:rFonts w:cs="Times New Roman"/>
          <w:szCs w:val="24"/>
        </w:rPr>
        <w:t>i</w:t>
      </w:r>
      <w:r w:rsidRPr="007247AB">
        <w:rPr>
          <w:rFonts w:cs="Times New Roman"/>
          <w:szCs w:val="24"/>
        </w:rPr>
        <w:t xml:space="preserve">, kas novedis pie lietas nepareizas izspriešanas, t. i., </w:t>
      </w:r>
      <w:r w:rsidR="00BE6CC8">
        <w:t>[pers. B]</w:t>
      </w:r>
      <w:r w:rsidRPr="007247AB">
        <w:rPr>
          <w:rFonts w:cs="Times New Roman"/>
          <w:szCs w:val="24"/>
        </w:rPr>
        <w:t xml:space="preserve"> pretlikumīgi ierobežota rīcībspēja arī tajās jomās, kurās atbilstoši minētajai tiesību normai tā nav ierobežojama.</w:t>
      </w:r>
    </w:p>
    <w:p w14:paraId="105D4815" w14:textId="77777777" w:rsidR="00A9532B" w:rsidRPr="007247AB" w:rsidRDefault="00A9532B" w:rsidP="007247AB">
      <w:pPr>
        <w:spacing w:after="0" w:line="276" w:lineRule="auto"/>
        <w:ind w:firstLine="567"/>
        <w:jc w:val="both"/>
        <w:rPr>
          <w:rFonts w:cs="Times New Roman"/>
          <w:szCs w:val="24"/>
        </w:rPr>
      </w:pPr>
    </w:p>
    <w:p w14:paraId="65A308E5" w14:textId="703D4D67" w:rsidR="003E692A" w:rsidRDefault="003E692A" w:rsidP="007247AB">
      <w:pPr>
        <w:spacing w:after="0" w:line="276" w:lineRule="auto"/>
        <w:ind w:firstLine="567"/>
        <w:jc w:val="both"/>
        <w:rPr>
          <w:rFonts w:cs="Times New Roman"/>
          <w:szCs w:val="24"/>
        </w:rPr>
      </w:pPr>
      <w:r w:rsidRPr="007247AB">
        <w:rPr>
          <w:rFonts w:cs="Times New Roman"/>
          <w:szCs w:val="24"/>
        </w:rPr>
        <w:t xml:space="preserve">[6] Sakarā ar kasācijas protestu Augstākajā tiesā saņemts </w:t>
      </w:r>
      <w:r w:rsidR="00BE6CC8">
        <w:t>[pers. A]</w:t>
      </w:r>
      <w:r w:rsidRPr="007247AB">
        <w:rPr>
          <w:rFonts w:cs="Times New Roman"/>
          <w:szCs w:val="24"/>
        </w:rPr>
        <w:t xml:space="preserve"> paskaidrojums, kurā norādīts, ka nav pamata apelācijas instances tiesas sprieduma atcelšanai, jo personai rīcībspēja ierobežojama tikai likumā noteiktajā apjomā</w:t>
      </w:r>
      <w:r w:rsidR="00D94B15" w:rsidRPr="007247AB">
        <w:rPr>
          <w:rFonts w:cs="Times New Roman"/>
          <w:szCs w:val="24"/>
        </w:rPr>
        <w:t>,</w:t>
      </w:r>
      <w:r w:rsidRPr="007247AB">
        <w:rPr>
          <w:rFonts w:cs="Times New Roman"/>
          <w:szCs w:val="24"/>
        </w:rPr>
        <w:t xml:space="preserve"> un apstāklis, ka tiesas sprieduma rezolutīvajā daļā nav noteikts konkrēts apjoms, negroza ar likumu piešķirtās tiesības.</w:t>
      </w:r>
    </w:p>
    <w:p w14:paraId="7ACF66D2" w14:textId="77777777" w:rsidR="0069743E" w:rsidRPr="007247AB" w:rsidRDefault="0069743E" w:rsidP="0069743E">
      <w:pPr>
        <w:spacing w:after="0" w:line="276" w:lineRule="auto"/>
        <w:ind w:firstLine="567"/>
        <w:jc w:val="both"/>
        <w:rPr>
          <w:rFonts w:cs="Times New Roman"/>
          <w:szCs w:val="24"/>
        </w:rPr>
      </w:pPr>
    </w:p>
    <w:p w14:paraId="0CC72796" w14:textId="01A8709E" w:rsidR="00405032" w:rsidRDefault="00405032" w:rsidP="0069743E">
      <w:pPr>
        <w:spacing w:after="0" w:line="276" w:lineRule="auto"/>
        <w:jc w:val="center"/>
        <w:rPr>
          <w:rFonts w:cs="Times New Roman"/>
          <w:b/>
          <w:bCs/>
          <w:szCs w:val="24"/>
          <w:lang w:eastAsia="ru-RU"/>
        </w:rPr>
      </w:pPr>
      <w:bookmarkStart w:id="0" w:name="_Hlk36647921"/>
      <w:r w:rsidRPr="007247AB">
        <w:rPr>
          <w:rFonts w:cs="Times New Roman"/>
          <w:b/>
          <w:bCs/>
          <w:szCs w:val="24"/>
          <w:lang w:eastAsia="ru-RU"/>
        </w:rPr>
        <w:t>Motīvu daļa</w:t>
      </w:r>
    </w:p>
    <w:p w14:paraId="35F50749" w14:textId="77777777" w:rsidR="0069743E" w:rsidRPr="007247AB" w:rsidRDefault="0069743E" w:rsidP="0069743E">
      <w:pPr>
        <w:spacing w:after="0" w:line="276" w:lineRule="auto"/>
        <w:jc w:val="center"/>
        <w:rPr>
          <w:rFonts w:cs="Times New Roman"/>
          <w:b/>
          <w:bCs/>
          <w:szCs w:val="24"/>
          <w:lang w:eastAsia="ru-RU"/>
        </w:rPr>
      </w:pPr>
    </w:p>
    <w:p w14:paraId="58EF9258" w14:textId="0B010D1A"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color w:val="000000"/>
          <w:szCs w:val="24"/>
          <w:shd w:val="clear" w:color="auto" w:fill="FFFFFF"/>
        </w:rPr>
        <w:t>[7] Izvērtējot pārsūdzēto tiesas spriedumu atbilstoši kasācijas protesta argumentiem, Senāts atzīst, ka spriedums ir atceļams.</w:t>
      </w:r>
    </w:p>
    <w:p w14:paraId="79CE0C63" w14:textId="77777777" w:rsidR="00405032" w:rsidRPr="007247AB" w:rsidRDefault="00405032" w:rsidP="007247AB">
      <w:pPr>
        <w:spacing w:after="0" w:line="276" w:lineRule="auto"/>
        <w:ind w:firstLine="567"/>
        <w:jc w:val="both"/>
        <w:rPr>
          <w:rFonts w:cs="Times New Roman"/>
          <w:szCs w:val="24"/>
          <w:shd w:val="clear" w:color="auto" w:fill="FFFFFF"/>
        </w:rPr>
      </w:pPr>
    </w:p>
    <w:p w14:paraId="70BE2AAC" w14:textId="06898183"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color w:val="000000"/>
          <w:szCs w:val="24"/>
          <w:shd w:val="clear" w:color="auto" w:fill="FFFFFF"/>
        </w:rPr>
        <w:t>[8] Civilprocesa likuma 268.pants noteic, ka gadījumā, ja tiesa uz pierādījumu pamata konstatē, ka personas rīcībspēja ir ierobežojama, tā taisa spriedumu, kurā norāda rīcībspējas ierobežojuma apjomu un ar kuru nodibina personai aizgādnību (šā panta pirmā daļa).</w:t>
      </w:r>
    </w:p>
    <w:p w14:paraId="4A77FA4D" w14:textId="77777777"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color w:val="000000"/>
          <w:szCs w:val="24"/>
          <w:shd w:val="clear" w:color="auto" w:fill="FFFFFF"/>
        </w:rPr>
        <w:t>Tiesa, nosakot rīcībspējas ierobežojuma apjomu, pēc lietas dalībnieka lūguma var vērtēt rīcībspējas ierobežošanu tādās jomās kā: 1) maksājumu izdarīšana un saņemšana; 2) darījumu slēgšana; 3) rīcība ar mantu un tās pārvaldība, it īpaši nekustamā īpašuma atsavināšana, ieķīlāšana un apgrūtināšana ar lietu tiesībām; 4) komercdarbības un saimnieciskās darbības veikšana (šā panta otrā daļa).</w:t>
      </w:r>
    </w:p>
    <w:p w14:paraId="77CA3283" w14:textId="77777777"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color w:val="000000"/>
          <w:szCs w:val="24"/>
          <w:shd w:val="clear" w:color="auto" w:fill="FFFFFF"/>
        </w:rPr>
        <w:t xml:space="preserve">Tiesa rīcībspējas ierobežojuma apjomu var vērtēt arī citās jomās, izņemot </w:t>
      </w:r>
      <w:hyperlink r:id="rId8" w:tgtFrame="_blank" w:history="1">
        <w:r w:rsidRPr="007247AB">
          <w:rPr>
            <w:rStyle w:val="Hyperlink"/>
            <w:rFonts w:cs="Times New Roman"/>
            <w:color w:val="000000"/>
            <w:szCs w:val="24"/>
            <w:u w:val="none"/>
            <w:shd w:val="clear" w:color="auto" w:fill="FFFFFF"/>
          </w:rPr>
          <w:t>Civillikuma</w:t>
        </w:r>
      </w:hyperlink>
      <w:r w:rsidRPr="007247AB">
        <w:rPr>
          <w:rFonts w:cs="Times New Roman"/>
          <w:color w:val="000000"/>
          <w:szCs w:val="24"/>
          <w:shd w:val="clear" w:color="auto" w:fill="FFFFFF"/>
        </w:rPr>
        <w:t xml:space="preserve"> </w:t>
      </w:r>
      <w:hyperlink r:id="rId9" w:anchor="p356.1" w:tgtFrame="_blank" w:history="1">
        <w:r w:rsidRPr="007247AB">
          <w:rPr>
            <w:rStyle w:val="Hyperlink"/>
            <w:rFonts w:cs="Times New Roman"/>
            <w:color w:val="000000"/>
            <w:szCs w:val="24"/>
            <w:u w:val="none"/>
            <w:shd w:val="clear" w:color="auto" w:fill="FFFFFF"/>
          </w:rPr>
          <w:t>356.</w:t>
        </w:r>
        <w:r w:rsidRPr="007247AB">
          <w:rPr>
            <w:rStyle w:val="Hyperlink"/>
            <w:rFonts w:cs="Times New Roman"/>
            <w:color w:val="000000"/>
            <w:szCs w:val="24"/>
            <w:u w:val="none"/>
            <w:shd w:val="clear" w:color="auto" w:fill="FFFFFF"/>
            <w:vertAlign w:val="superscript"/>
          </w:rPr>
          <w:t>1</w:t>
        </w:r>
        <w:r w:rsidRPr="007247AB">
          <w:rPr>
            <w:rStyle w:val="Hyperlink"/>
            <w:rFonts w:cs="Times New Roman"/>
            <w:color w:val="000000"/>
            <w:szCs w:val="24"/>
            <w:u w:val="none"/>
            <w:shd w:val="clear" w:color="auto" w:fill="FFFFFF"/>
          </w:rPr>
          <w:t> pantā</w:t>
        </w:r>
      </w:hyperlink>
      <w:r w:rsidRPr="007247AB">
        <w:rPr>
          <w:rFonts w:cs="Times New Roman"/>
          <w:color w:val="000000"/>
          <w:szCs w:val="24"/>
          <w:shd w:val="clear" w:color="auto" w:fill="FFFFFF"/>
        </w:rPr>
        <w:t xml:space="preserve"> minētos gadījumus (trešā daļa). Tāpat tiesa, izvērtējot personas spējas, nosaka, vai un kādā apjomā aizgādnis ar aizgādnībā esošo rīkojas kopā, un tikai pēc tam apjomu, kādā aizgādnis rīkosies patstāvīgi (ceturtā daļa).</w:t>
      </w:r>
    </w:p>
    <w:p w14:paraId="2300C3ED" w14:textId="77777777"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color w:val="000000"/>
          <w:szCs w:val="24"/>
          <w:shd w:val="clear" w:color="auto" w:fill="FFFFFF"/>
        </w:rPr>
        <w:t>Atbilstoši Civillikuma 356.</w:t>
      </w:r>
      <w:r w:rsidRPr="007247AB">
        <w:rPr>
          <w:rFonts w:cs="Times New Roman"/>
          <w:color w:val="000000"/>
          <w:szCs w:val="24"/>
          <w:shd w:val="clear" w:color="auto" w:fill="FFFFFF"/>
          <w:vertAlign w:val="superscript"/>
        </w:rPr>
        <w:t>1</w:t>
      </w:r>
      <w:r w:rsidRPr="007247AB">
        <w:rPr>
          <w:rFonts w:cs="Times New Roman"/>
          <w:color w:val="000000"/>
          <w:szCs w:val="24"/>
          <w:shd w:val="clear" w:color="auto" w:fill="FFFFFF"/>
        </w:rPr>
        <w:t> pantam persona nav ierobežojama personiskajās nemantiskajās tiesībās, kā arī aizstāvēt savas tiesības un likumiskās intereses iestādēs un tiesā saistībā ar tās rīcībspējas un brīvības ierobežojumiem, domstarpībām, strīdiem ar aizgādni un aizgādņa iecelšanu un atcelšanu.</w:t>
      </w:r>
    </w:p>
    <w:p w14:paraId="6F692A25" w14:textId="420B398D" w:rsidR="00405032" w:rsidRPr="007247AB" w:rsidRDefault="00405032" w:rsidP="007247AB">
      <w:pPr>
        <w:spacing w:after="0" w:line="276" w:lineRule="auto"/>
        <w:ind w:firstLine="567"/>
        <w:jc w:val="both"/>
        <w:rPr>
          <w:rFonts w:cs="Times New Roman"/>
          <w:szCs w:val="24"/>
        </w:rPr>
      </w:pPr>
      <w:r w:rsidRPr="007247AB">
        <w:rPr>
          <w:rFonts w:cs="Times New Roman"/>
          <w:szCs w:val="24"/>
        </w:rPr>
        <w:t>Kā redzams, Civillikuma 356.</w:t>
      </w:r>
      <w:r w:rsidRPr="007247AB">
        <w:rPr>
          <w:rFonts w:cs="Times New Roman"/>
          <w:szCs w:val="24"/>
          <w:vertAlign w:val="superscript"/>
        </w:rPr>
        <w:t>1</w:t>
      </w:r>
      <w:r w:rsidRPr="007247AB">
        <w:rPr>
          <w:rFonts w:cs="Times New Roman"/>
          <w:szCs w:val="24"/>
        </w:rPr>
        <w:t> pants nosaka apjomu, kurā personai rīcībspēja tiesās nav ierobežojama un personai šā rīcībspējas apjoma robežās ir tiesības rīkoties bez aizgādņa starpniecības. Tātad nav iespējama situācijā, kurā personas rīcībspēja tiesās ar tiesas spriedumu tiek ierobežota pilnā apjomā. Līdz ar to</w:t>
      </w:r>
      <w:r w:rsidRPr="007247AB">
        <w:rPr>
          <w:rFonts w:cs="Times New Roman"/>
          <w:color w:val="000000"/>
          <w:szCs w:val="24"/>
          <w:shd w:val="clear" w:color="auto" w:fill="FFFFFF"/>
        </w:rPr>
        <w:t xml:space="preserve"> gadījumā, kad tiesa taisa spriedumu </w:t>
      </w:r>
      <w:r w:rsidRPr="007247AB">
        <w:rPr>
          <w:rFonts w:cs="Times New Roman"/>
          <w:szCs w:val="24"/>
        </w:rPr>
        <w:t xml:space="preserve">par rīcībspējas </w:t>
      </w:r>
      <w:r w:rsidRPr="007247AB">
        <w:rPr>
          <w:rFonts w:cs="Times New Roman"/>
          <w:szCs w:val="24"/>
        </w:rPr>
        <w:lastRenderedPageBreak/>
        <w:t>ierobežošanu šajā jomā, sprieduma rezolutīvajā daļā saskaņā ar Civilprocesa likuma 268</w:t>
      </w:r>
      <w:r w:rsidR="00A9607C">
        <w:rPr>
          <w:rFonts w:cs="Times New Roman"/>
          <w:szCs w:val="24"/>
        </w:rPr>
        <w:t>.panta pirmās daļas priekšrakstie</w:t>
      </w:r>
      <w:r w:rsidRPr="007247AB">
        <w:rPr>
          <w:rFonts w:cs="Times New Roman"/>
          <w:szCs w:val="24"/>
        </w:rPr>
        <w:t>m obligāti ir jābūt norādītam</w:t>
      </w:r>
      <w:r w:rsidR="00F63787">
        <w:rPr>
          <w:rFonts w:cs="Times New Roman"/>
          <w:szCs w:val="24"/>
        </w:rPr>
        <w:t xml:space="preserve"> noteiktā</w:t>
      </w:r>
      <w:r w:rsidRPr="007247AB">
        <w:rPr>
          <w:rFonts w:cs="Times New Roman"/>
          <w:szCs w:val="24"/>
        </w:rPr>
        <w:t xml:space="preserve"> rīcībspējas ierobežojuma apjomam.</w:t>
      </w:r>
    </w:p>
    <w:p w14:paraId="3082BF7C" w14:textId="390C8A1D" w:rsidR="00405032" w:rsidRPr="007247AB" w:rsidRDefault="00405032" w:rsidP="007247AB">
      <w:pPr>
        <w:spacing w:after="0" w:line="276" w:lineRule="auto"/>
        <w:ind w:firstLine="567"/>
        <w:jc w:val="both"/>
        <w:rPr>
          <w:rFonts w:cs="Times New Roman"/>
          <w:szCs w:val="24"/>
          <w:shd w:val="clear" w:color="auto" w:fill="FFFFFF"/>
        </w:rPr>
      </w:pPr>
      <w:r w:rsidRPr="007247AB">
        <w:rPr>
          <w:rFonts w:cs="Times New Roman"/>
          <w:szCs w:val="24"/>
        </w:rPr>
        <w:t xml:space="preserve">Spriedumam ir likuma spēks, visiem tas ir obligāts un pret to jāizturas ar tādu pašu cieņu kā pret likumu (sk. likuma „Par tiesu varu” </w:t>
      </w:r>
      <w:proofErr w:type="gramStart"/>
      <w:r w:rsidRPr="007247AB">
        <w:rPr>
          <w:rFonts w:cs="Times New Roman"/>
          <w:szCs w:val="24"/>
        </w:rPr>
        <w:t>16.panta</w:t>
      </w:r>
      <w:proofErr w:type="gramEnd"/>
      <w:r w:rsidRPr="007247AB">
        <w:rPr>
          <w:rFonts w:cs="Times New Roman"/>
          <w:szCs w:val="24"/>
        </w:rPr>
        <w:t xml:space="preserve"> ceturto daļu). Šādu nozīmi iegūst ikviens spriedums, kas ir stājies likumīgā spēkā, tostarp arī spriedums, kura rezolutīvajā daļā pretēji procesuālajā normā paredzētajam ierobežojumu apjoms nav konkretizēts. Spriedums, no kura rezolutīvās daļas neizriet, ka rīcībspējas ierobežojums neattiecas uz personas tiesībām aizstāvēt </w:t>
      </w:r>
      <w:r w:rsidRPr="007247AB">
        <w:rPr>
          <w:rFonts w:cs="Times New Roman"/>
          <w:color w:val="000000"/>
          <w:szCs w:val="24"/>
          <w:shd w:val="clear" w:color="auto" w:fill="FFFFFF"/>
        </w:rPr>
        <w:t xml:space="preserve">tiesības un likumiskās intereses tiesā saistībā ar tās rīcībspējas un brīvības ierobežojumiem, domstarpībām, strīdiem ar aizgādni un aizgādņa iecelšanu un atcelšanu, pārkāpj personas tiesības uz rīcībspējas neaizskaramību likumā noteiktajā apjomā. </w:t>
      </w:r>
    </w:p>
    <w:p w14:paraId="22F8BD35" w14:textId="212B2306" w:rsidR="00405032" w:rsidRPr="007247AB" w:rsidRDefault="00405032" w:rsidP="007247AB">
      <w:pPr>
        <w:spacing w:after="0" w:line="276" w:lineRule="auto"/>
        <w:ind w:firstLine="567"/>
        <w:jc w:val="both"/>
        <w:rPr>
          <w:rFonts w:cs="Times New Roman"/>
          <w:szCs w:val="24"/>
        </w:rPr>
      </w:pPr>
      <w:r w:rsidRPr="007247AB">
        <w:rPr>
          <w:rFonts w:cs="Times New Roman"/>
          <w:szCs w:val="24"/>
        </w:rPr>
        <w:t>Apstāklis, ka minimālo tiesību apjomu, kurā personai rīcībspēju ierobežot nav atļauts, noteic likuma norma, nerada pamatu tiesai ignorēt Civilprocesa likuma 268.panta pirmās daļas priekšrakstu</w:t>
      </w:r>
      <w:r w:rsidR="00D016F1">
        <w:rPr>
          <w:rFonts w:cs="Times New Roman"/>
          <w:szCs w:val="24"/>
        </w:rPr>
        <w:t>s, no kā</w:t>
      </w:r>
      <w:r w:rsidRPr="007247AB">
        <w:rPr>
          <w:rFonts w:cs="Times New Roman"/>
          <w:szCs w:val="24"/>
        </w:rPr>
        <w:t xml:space="preserve"> tiesai izriet pienākums norādīt spriedumā ierobežojuma apjomu.</w:t>
      </w:r>
    </w:p>
    <w:p w14:paraId="0D1E7833" w14:textId="65608A4A" w:rsidR="00405032" w:rsidRPr="007247AB" w:rsidRDefault="00405032" w:rsidP="007247AB">
      <w:pPr>
        <w:spacing w:after="0" w:line="276" w:lineRule="auto"/>
        <w:ind w:firstLine="567"/>
        <w:jc w:val="both"/>
        <w:rPr>
          <w:rFonts w:cs="Times New Roman"/>
          <w:szCs w:val="24"/>
        </w:rPr>
      </w:pPr>
      <w:r w:rsidRPr="007247AB">
        <w:rPr>
          <w:rFonts w:cs="Times New Roman"/>
          <w:szCs w:val="24"/>
        </w:rPr>
        <w:t xml:space="preserve">Atbilstoši </w:t>
      </w:r>
      <w:r w:rsidRPr="007247AB">
        <w:rPr>
          <w:rFonts w:cs="Times New Roman"/>
          <w:color w:val="000000"/>
          <w:szCs w:val="24"/>
          <w:shd w:val="clear" w:color="auto" w:fill="FFFFFF"/>
        </w:rPr>
        <w:t xml:space="preserve">pārbaudāmā </w:t>
      </w:r>
      <w:r w:rsidRPr="007247AB">
        <w:rPr>
          <w:rFonts w:cs="Times New Roman"/>
          <w:szCs w:val="24"/>
        </w:rPr>
        <w:t xml:space="preserve">sprieduma rezolutīvajai daļai </w:t>
      </w:r>
      <w:r w:rsidR="00BE6CC8">
        <w:t>[pers. B]</w:t>
      </w:r>
      <w:r w:rsidRPr="007247AB">
        <w:rPr>
          <w:rFonts w:cs="Times New Roman"/>
          <w:szCs w:val="24"/>
        </w:rPr>
        <w:t xml:space="preserve"> rīcībspēja tiesās ir ierobežota pilnīgi. Tādējādi minētās personas rīcībspēja tika ierobežota arī daļā, kurā saskaņā ar likumu tā nebija ierobežojama.</w:t>
      </w:r>
      <w:r w:rsidR="00F63787">
        <w:rPr>
          <w:rFonts w:cs="Times New Roman"/>
          <w:szCs w:val="24"/>
        </w:rPr>
        <w:t xml:space="preserve"> </w:t>
      </w:r>
      <w:r w:rsidRPr="007247AB">
        <w:rPr>
          <w:rFonts w:cs="Times New Roman"/>
          <w:szCs w:val="24"/>
        </w:rPr>
        <w:t>Šādu spriedumu iepriekš minēto apsvērumu dēļ nevar atzīt par likumīgu un pamatotu, kā rezultātā tas ir atceļams.</w:t>
      </w:r>
    </w:p>
    <w:bookmarkEnd w:id="0"/>
    <w:p w14:paraId="38D2B43E" w14:textId="3222DDA4" w:rsidR="007D3B74" w:rsidRPr="007247AB" w:rsidRDefault="003E1F0A" w:rsidP="003E1F0A">
      <w:pPr>
        <w:pStyle w:val="NoSpacing"/>
        <w:spacing w:before="120" w:after="120" w:line="276" w:lineRule="auto"/>
        <w:jc w:val="center"/>
        <w:rPr>
          <w:b/>
        </w:rPr>
      </w:pPr>
      <w:r>
        <w:rPr>
          <w:b/>
        </w:rPr>
        <w:t>R</w:t>
      </w:r>
      <w:r w:rsidR="007D3B74" w:rsidRPr="007247AB">
        <w:rPr>
          <w:b/>
        </w:rPr>
        <w:t>ezolutīvā daļa</w:t>
      </w:r>
    </w:p>
    <w:p w14:paraId="33AEAB03" w14:textId="77777777" w:rsidR="007D3B74" w:rsidRPr="007247AB" w:rsidRDefault="007D3B74" w:rsidP="007247AB">
      <w:pPr>
        <w:pStyle w:val="NoSpacing"/>
        <w:spacing w:line="276" w:lineRule="auto"/>
        <w:ind w:firstLine="567"/>
        <w:jc w:val="both"/>
      </w:pPr>
      <w:r w:rsidRPr="007247AB">
        <w:t xml:space="preserve">Pamatojoties uz Civilprocesa likuma </w:t>
      </w:r>
      <w:proofErr w:type="gramStart"/>
      <w:r w:rsidRPr="007247AB">
        <w:t>474.panta</w:t>
      </w:r>
      <w:proofErr w:type="gramEnd"/>
      <w:r w:rsidRPr="007247AB">
        <w:t xml:space="preserve"> 2.punktu, Senāts</w:t>
      </w:r>
    </w:p>
    <w:p w14:paraId="0188CAFD" w14:textId="77777777" w:rsidR="007D3B74" w:rsidRPr="007247AB" w:rsidRDefault="007D3B74" w:rsidP="003E1F0A">
      <w:pPr>
        <w:pStyle w:val="NoSpacing"/>
        <w:spacing w:before="120" w:after="120" w:line="276" w:lineRule="auto"/>
        <w:jc w:val="center"/>
        <w:rPr>
          <w:b/>
        </w:rPr>
      </w:pPr>
      <w:r w:rsidRPr="007247AB">
        <w:rPr>
          <w:b/>
        </w:rPr>
        <w:t>nosprieda</w:t>
      </w:r>
    </w:p>
    <w:p w14:paraId="1D5B9BD2" w14:textId="1D54BB9A" w:rsidR="00924EAA" w:rsidRPr="007247AB" w:rsidRDefault="0036708F" w:rsidP="007247AB">
      <w:pPr>
        <w:pStyle w:val="NoSpacing"/>
        <w:spacing w:line="276" w:lineRule="auto"/>
        <w:ind w:firstLine="567"/>
        <w:jc w:val="both"/>
      </w:pPr>
      <w:r w:rsidRPr="007247AB">
        <w:t xml:space="preserve">atcelt </w:t>
      </w:r>
      <w:r w:rsidR="00940F84">
        <w:t>[Nosaukums 1]</w:t>
      </w:r>
      <w:r w:rsidRPr="007247AB">
        <w:t xml:space="preserve"> apgabaltiesas Civillietu tiesas kolēģijas </w:t>
      </w:r>
      <w:proofErr w:type="gramStart"/>
      <w:r w:rsidRPr="007247AB">
        <w:t>2020.gada</w:t>
      </w:r>
      <w:proofErr w:type="gramEnd"/>
      <w:r w:rsidRPr="007247AB">
        <w:t xml:space="preserve"> </w:t>
      </w:r>
      <w:r w:rsidR="003E1F0A">
        <w:t>[..]</w:t>
      </w:r>
      <w:r w:rsidRPr="007247AB">
        <w:t xml:space="preserve"> spriedumu </w:t>
      </w:r>
      <w:r w:rsidR="00405032" w:rsidRPr="007247AB">
        <w:t xml:space="preserve">un nodot lietu jaunai izskatīšanai </w:t>
      </w:r>
      <w:r w:rsidR="00940F84">
        <w:t xml:space="preserve">[Nosaukums 1] </w:t>
      </w:r>
      <w:r w:rsidR="00405032" w:rsidRPr="007247AB">
        <w:t>apgabaltiesā.</w:t>
      </w:r>
    </w:p>
    <w:p w14:paraId="38B4F304" w14:textId="77777777" w:rsidR="007D3B74" w:rsidRPr="007247AB" w:rsidRDefault="007D3B74" w:rsidP="007247AB">
      <w:pPr>
        <w:pStyle w:val="NoSpacing"/>
        <w:spacing w:line="276" w:lineRule="auto"/>
        <w:ind w:firstLine="567"/>
        <w:jc w:val="both"/>
      </w:pPr>
      <w:r w:rsidRPr="007247AB">
        <w:t>Spriedums nav pārsūdzams.</w:t>
      </w:r>
    </w:p>
    <w:sectPr w:rsidR="007D3B74" w:rsidRPr="007247AB" w:rsidSect="00FA223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105E" w14:textId="77777777" w:rsidR="004B6553" w:rsidRDefault="004B6553" w:rsidP="00590393">
      <w:pPr>
        <w:spacing w:after="0" w:line="240" w:lineRule="auto"/>
      </w:pPr>
      <w:r>
        <w:separator/>
      </w:r>
    </w:p>
  </w:endnote>
  <w:endnote w:type="continuationSeparator" w:id="0">
    <w:p w14:paraId="40D63135" w14:textId="77777777" w:rsidR="004B6553" w:rsidRDefault="004B6553" w:rsidP="0059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F336" w14:textId="77777777" w:rsidR="00E90F21" w:rsidRDefault="00E90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125176"/>
      <w:docPartObj>
        <w:docPartGallery w:val="Page Numbers (Bottom of Page)"/>
        <w:docPartUnique/>
      </w:docPartObj>
    </w:sdtPr>
    <w:sdtEndPr>
      <w:rPr>
        <w:color w:val="808080" w:themeColor="background1" w:themeShade="80"/>
        <w:sz w:val="22"/>
        <w:szCs w:val="20"/>
      </w:rPr>
    </w:sdtEndPr>
    <w:sdtContent>
      <w:sdt>
        <w:sdtPr>
          <w:id w:val="1728636285"/>
          <w:docPartObj>
            <w:docPartGallery w:val="Page Numbers (Top of Page)"/>
            <w:docPartUnique/>
          </w:docPartObj>
        </w:sdtPr>
        <w:sdtEndPr>
          <w:rPr>
            <w:color w:val="808080" w:themeColor="background1" w:themeShade="80"/>
            <w:sz w:val="22"/>
            <w:szCs w:val="20"/>
          </w:rPr>
        </w:sdtEndPr>
        <w:sdtContent>
          <w:p w14:paraId="1EF214CA" w14:textId="77777777" w:rsidR="003E692A" w:rsidRPr="00E90F21" w:rsidRDefault="003E692A">
            <w:pPr>
              <w:pStyle w:val="Footer"/>
              <w:jc w:val="center"/>
              <w:rPr>
                <w:color w:val="808080" w:themeColor="background1" w:themeShade="80"/>
                <w:sz w:val="22"/>
                <w:szCs w:val="20"/>
              </w:rPr>
            </w:pPr>
            <w:r w:rsidRPr="00E90F21">
              <w:rPr>
                <w:bCs/>
                <w:color w:val="808080" w:themeColor="background1" w:themeShade="80"/>
                <w:sz w:val="22"/>
              </w:rPr>
              <w:fldChar w:fldCharType="begin"/>
            </w:r>
            <w:r w:rsidRPr="00E90F21">
              <w:rPr>
                <w:bCs/>
                <w:color w:val="808080" w:themeColor="background1" w:themeShade="80"/>
                <w:sz w:val="22"/>
                <w:szCs w:val="20"/>
              </w:rPr>
              <w:instrText xml:space="preserve"> PAGE </w:instrText>
            </w:r>
            <w:r w:rsidRPr="00E90F21">
              <w:rPr>
                <w:bCs/>
                <w:color w:val="808080" w:themeColor="background1" w:themeShade="80"/>
                <w:sz w:val="22"/>
              </w:rPr>
              <w:fldChar w:fldCharType="separate"/>
            </w:r>
            <w:r w:rsidR="009B4F8F" w:rsidRPr="00E90F21">
              <w:rPr>
                <w:bCs/>
                <w:noProof/>
                <w:color w:val="808080" w:themeColor="background1" w:themeShade="80"/>
                <w:sz w:val="22"/>
                <w:szCs w:val="20"/>
              </w:rPr>
              <w:t>4</w:t>
            </w:r>
            <w:r w:rsidRPr="00E90F21">
              <w:rPr>
                <w:bCs/>
                <w:color w:val="808080" w:themeColor="background1" w:themeShade="80"/>
                <w:sz w:val="22"/>
              </w:rPr>
              <w:fldChar w:fldCharType="end"/>
            </w:r>
            <w:r w:rsidRPr="00E90F21">
              <w:rPr>
                <w:color w:val="808080" w:themeColor="background1" w:themeShade="80"/>
                <w:sz w:val="22"/>
                <w:szCs w:val="20"/>
              </w:rPr>
              <w:t xml:space="preserve"> no </w:t>
            </w:r>
            <w:r w:rsidRPr="00E90F21">
              <w:rPr>
                <w:bCs/>
                <w:color w:val="808080" w:themeColor="background1" w:themeShade="80"/>
                <w:sz w:val="22"/>
              </w:rPr>
              <w:fldChar w:fldCharType="begin"/>
            </w:r>
            <w:r w:rsidRPr="00E90F21">
              <w:rPr>
                <w:bCs/>
                <w:color w:val="808080" w:themeColor="background1" w:themeShade="80"/>
                <w:sz w:val="22"/>
                <w:szCs w:val="20"/>
              </w:rPr>
              <w:instrText xml:space="preserve"> NUMPAGES  </w:instrText>
            </w:r>
            <w:r w:rsidRPr="00E90F21">
              <w:rPr>
                <w:bCs/>
                <w:color w:val="808080" w:themeColor="background1" w:themeShade="80"/>
                <w:sz w:val="22"/>
              </w:rPr>
              <w:fldChar w:fldCharType="separate"/>
            </w:r>
            <w:r w:rsidR="009B4F8F" w:rsidRPr="00E90F21">
              <w:rPr>
                <w:bCs/>
                <w:noProof/>
                <w:color w:val="808080" w:themeColor="background1" w:themeShade="80"/>
                <w:sz w:val="22"/>
                <w:szCs w:val="20"/>
              </w:rPr>
              <w:t>4</w:t>
            </w:r>
            <w:r w:rsidRPr="00E90F21">
              <w:rPr>
                <w:bCs/>
                <w:color w:val="808080" w:themeColor="background1" w:themeShade="80"/>
                <w:sz w:val="22"/>
              </w:rPr>
              <w:fldChar w:fldCharType="end"/>
            </w:r>
          </w:p>
        </w:sdtContent>
      </w:sdt>
    </w:sdtContent>
  </w:sdt>
  <w:p w14:paraId="48144EB1" w14:textId="77777777" w:rsidR="003E692A" w:rsidRDefault="003E6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D885" w14:textId="77777777" w:rsidR="00E90F21" w:rsidRDefault="00E90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F0BB" w14:textId="77777777" w:rsidR="004B6553" w:rsidRDefault="004B6553" w:rsidP="00590393">
      <w:pPr>
        <w:spacing w:after="0" w:line="240" w:lineRule="auto"/>
      </w:pPr>
      <w:r>
        <w:separator/>
      </w:r>
    </w:p>
  </w:footnote>
  <w:footnote w:type="continuationSeparator" w:id="0">
    <w:p w14:paraId="105E62A3" w14:textId="77777777" w:rsidR="004B6553" w:rsidRDefault="004B6553" w:rsidP="00590393">
      <w:pPr>
        <w:spacing w:after="0" w:line="240" w:lineRule="auto"/>
      </w:pPr>
      <w:r>
        <w:continuationSeparator/>
      </w:r>
    </w:p>
  </w:footnote>
  <w:footnote w:id="1">
    <w:p w14:paraId="33B1C439" w14:textId="7A56D52E" w:rsidR="00E90F21" w:rsidRDefault="00E90F21" w:rsidP="00E90F21">
      <w:pPr>
        <w:pStyle w:val="FootnoteText"/>
      </w:pPr>
      <w:r>
        <w:rPr>
          <w:rStyle w:val="FootnoteReference"/>
        </w:rPr>
        <w:footnoteRef/>
      </w:r>
      <w:r>
        <w:t xml:space="preserve"> Lieta izskatīta slēgtā sēdē, t</w:t>
      </w:r>
      <w:r w:rsidR="0069743E">
        <w:t>ādēļ</w:t>
      </w:r>
      <w:r>
        <w:t xml:space="preserve"> piedāvāti izvilkumi no sprieduma.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68A6" w14:textId="77777777" w:rsidR="00E90F21" w:rsidRDefault="00E90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A9CC" w14:textId="77777777" w:rsidR="00E90F21" w:rsidRDefault="00E90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889F" w14:textId="77777777" w:rsidR="00E90F21" w:rsidRDefault="00E90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74"/>
    <w:rsid w:val="0007597C"/>
    <w:rsid w:val="00090D8A"/>
    <w:rsid w:val="00094C9A"/>
    <w:rsid w:val="000B04CA"/>
    <w:rsid w:val="000B1E3D"/>
    <w:rsid w:val="000D1085"/>
    <w:rsid w:val="000F6BB2"/>
    <w:rsid w:val="0015463B"/>
    <w:rsid w:val="00161684"/>
    <w:rsid w:val="0021053D"/>
    <w:rsid w:val="00217FD7"/>
    <w:rsid w:val="00225EFF"/>
    <w:rsid w:val="002634F9"/>
    <w:rsid w:val="002B6F4B"/>
    <w:rsid w:val="002B7E6A"/>
    <w:rsid w:val="002E3FB4"/>
    <w:rsid w:val="00307949"/>
    <w:rsid w:val="00326634"/>
    <w:rsid w:val="00355A2E"/>
    <w:rsid w:val="0036708F"/>
    <w:rsid w:val="00373D1B"/>
    <w:rsid w:val="003856A2"/>
    <w:rsid w:val="003E1F0A"/>
    <w:rsid w:val="003E692A"/>
    <w:rsid w:val="00405032"/>
    <w:rsid w:val="004100E4"/>
    <w:rsid w:val="004468D7"/>
    <w:rsid w:val="004706C2"/>
    <w:rsid w:val="004A56FA"/>
    <w:rsid w:val="004B3DAF"/>
    <w:rsid w:val="004B6553"/>
    <w:rsid w:val="004D71E9"/>
    <w:rsid w:val="00590393"/>
    <w:rsid w:val="005C4BAB"/>
    <w:rsid w:val="005F04C3"/>
    <w:rsid w:val="005F0961"/>
    <w:rsid w:val="005F288B"/>
    <w:rsid w:val="00643858"/>
    <w:rsid w:val="006673FE"/>
    <w:rsid w:val="00691709"/>
    <w:rsid w:val="006973D5"/>
    <w:rsid w:val="0069743E"/>
    <w:rsid w:val="006B10D9"/>
    <w:rsid w:val="0070082F"/>
    <w:rsid w:val="00703F34"/>
    <w:rsid w:val="0071077B"/>
    <w:rsid w:val="007247AB"/>
    <w:rsid w:val="00740334"/>
    <w:rsid w:val="007956D0"/>
    <w:rsid w:val="007C4407"/>
    <w:rsid w:val="007D3B74"/>
    <w:rsid w:val="00832098"/>
    <w:rsid w:val="0086046C"/>
    <w:rsid w:val="008B4C81"/>
    <w:rsid w:val="00910441"/>
    <w:rsid w:val="00924EAA"/>
    <w:rsid w:val="00940F84"/>
    <w:rsid w:val="00941215"/>
    <w:rsid w:val="0095023E"/>
    <w:rsid w:val="00995CED"/>
    <w:rsid w:val="009B4F8F"/>
    <w:rsid w:val="00A035D9"/>
    <w:rsid w:val="00A33F9A"/>
    <w:rsid w:val="00A507F6"/>
    <w:rsid w:val="00A5395C"/>
    <w:rsid w:val="00A65863"/>
    <w:rsid w:val="00A9532B"/>
    <w:rsid w:val="00A9607C"/>
    <w:rsid w:val="00AD681B"/>
    <w:rsid w:val="00B034C5"/>
    <w:rsid w:val="00B5253B"/>
    <w:rsid w:val="00B5253C"/>
    <w:rsid w:val="00BD1F11"/>
    <w:rsid w:val="00BE6CC8"/>
    <w:rsid w:val="00C1176B"/>
    <w:rsid w:val="00C62AC6"/>
    <w:rsid w:val="00C904F0"/>
    <w:rsid w:val="00C909F7"/>
    <w:rsid w:val="00C976D5"/>
    <w:rsid w:val="00CB0F89"/>
    <w:rsid w:val="00CD343E"/>
    <w:rsid w:val="00CF76C8"/>
    <w:rsid w:val="00D016F1"/>
    <w:rsid w:val="00D325D8"/>
    <w:rsid w:val="00D6524E"/>
    <w:rsid w:val="00D836B2"/>
    <w:rsid w:val="00D94B15"/>
    <w:rsid w:val="00DB5A65"/>
    <w:rsid w:val="00DF26BC"/>
    <w:rsid w:val="00E2621E"/>
    <w:rsid w:val="00E40D32"/>
    <w:rsid w:val="00E90F21"/>
    <w:rsid w:val="00EC78C0"/>
    <w:rsid w:val="00F3586B"/>
    <w:rsid w:val="00F63787"/>
    <w:rsid w:val="00FA2233"/>
    <w:rsid w:val="00FA4B8A"/>
    <w:rsid w:val="00FD12C0"/>
    <w:rsid w:val="00FF0C9A"/>
    <w:rsid w:val="00FF0E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EBC20"/>
  <w15:chartTrackingRefBased/>
  <w15:docId w15:val="{BA301456-B83D-425D-9897-E6ED7138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74"/>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B74"/>
    <w:rPr>
      <w:color w:val="0563C1" w:themeColor="hyperlink"/>
      <w:u w:val="single"/>
    </w:rPr>
  </w:style>
  <w:style w:type="paragraph" w:styleId="BodyText">
    <w:name w:val="Body Text"/>
    <w:basedOn w:val="Normal"/>
    <w:link w:val="BodyTextChar"/>
    <w:semiHidden/>
    <w:unhideWhenUsed/>
    <w:rsid w:val="007D3B74"/>
    <w:pPr>
      <w:spacing w:after="120" w:line="276" w:lineRule="auto"/>
    </w:pPr>
    <w:rPr>
      <w:rFonts w:eastAsia="Calibri" w:cs="Times New Roman"/>
      <w:lang w:val="en-US"/>
    </w:rPr>
  </w:style>
  <w:style w:type="character" w:customStyle="1" w:styleId="BodyTextChar">
    <w:name w:val="Body Text Char"/>
    <w:basedOn w:val="DefaultParagraphFont"/>
    <w:link w:val="BodyText"/>
    <w:semiHidden/>
    <w:rsid w:val="007D3B74"/>
    <w:rPr>
      <w:rFonts w:ascii="Times New Roman" w:eastAsia="Calibri" w:hAnsi="Times New Roman" w:cs="Times New Roman"/>
      <w:sz w:val="24"/>
      <w:lang w:val="en-US"/>
    </w:rPr>
  </w:style>
  <w:style w:type="paragraph" w:styleId="NoSpacing">
    <w:name w:val="No Spacing"/>
    <w:uiPriority w:val="1"/>
    <w:qFormat/>
    <w:rsid w:val="007D3B74"/>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5903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0393"/>
    <w:rPr>
      <w:rFonts w:ascii="Times New Roman" w:hAnsi="Times New Roman"/>
      <w:sz w:val="24"/>
    </w:rPr>
  </w:style>
  <w:style w:type="paragraph" w:styleId="Footer">
    <w:name w:val="footer"/>
    <w:basedOn w:val="Normal"/>
    <w:link w:val="FooterChar"/>
    <w:uiPriority w:val="99"/>
    <w:unhideWhenUsed/>
    <w:rsid w:val="005903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0393"/>
    <w:rPr>
      <w:rFonts w:ascii="Times New Roman" w:hAnsi="Times New Roman"/>
      <w:sz w:val="24"/>
    </w:rPr>
  </w:style>
  <w:style w:type="paragraph" w:styleId="FootnoteText">
    <w:name w:val="footnote text"/>
    <w:basedOn w:val="Normal"/>
    <w:link w:val="FootnoteTextChar"/>
    <w:uiPriority w:val="99"/>
    <w:semiHidden/>
    <w:unhideWhenUsed/>
    <w:rsid w:val="00E9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F21"/>
    <w:rPr>
      <w:rFonts w:ascii="Times New Roman" w:hAnsi="Times New Roman"/>
      <w:sz w:val="20"/>
      <w:szCs w:val="20"/>
    </w:rPr>
  </w:style>
  <w:style w:type="character" w:styleId="FootnoteReference">
    <w:name w:val="footnote reference"/>
    <w:basedOn w:val="DefaultParagraphFont"/>
    <w:uiPriority w:val="99"/>
    <w:semiHidden/>
    <w:unhideWhenUsed/>
    <w:rsid w:val="00E90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894">
      <w:bodyDiv w:val="1"/>
      <w:marLeft w:val="0"/>
      <w:marRight w:val="0"/>
      <w:marTop w:val="0"/>
      <w:marBottom w:val="0"/>
      <w:divBdr>
        <w:top w:val="none" w:sz="0" w:space="0" w:color="auto"/>
        <w:left w:val="none" w:sz="0" w:space="0" w:color="auto"/>
        <w:bottom w:val="none" w:sz="0" w:space="0" w:color="auto"/>
        <w:right w:val="none" w:sz="0" w:space="0" w:color="auto"/>
      </w:divBdr>
    </w:div>
    <w:div w:id="541868770">
      <w:bodyDiv w:val="1"/>
      <w:marLeft w:val="0"/>
      <w:marRight w:val="0"/>
      <w:marTop w:val="0"/>
      <w:marBottom w:val="0"/>
      <w:divBdr>
        <w:top w:val="none" w:sz="0" w:space="0" w:color="auto"/>
        <w:left w:val="none" w:sz="0" w:space="0" w:color="auto"/>
        <w:bottom w:val="none" w:sz="0" w:space="0" w:color="auto"/>
        <w:right w:val="none" w:sz="0" w:space="0" w:color="auto"/>
      </w:divBdr>
    </w:div>
    <w:div w:id="735670857">
      <w:bodyDiv w:val="1"/>
      <w:marLeft w:val="0"/>
      <w:marRight w:val="0"/>
      <w:marTop w:val="0"/>
      <w:marBottom w:val="0"/>
      <w:divBdr>
        <w:top w:val="none" w:sz="0" w:space="0" w:color="auto"/>
        <w:left w:val="none" w:sz="0" w:space="0" w:color="auto"/>
        <w:bottom w:val="none" w:sz="0" w:space="0" w:color="auto"/>
        <w:right w:val="none" w:sz="0" w:space="0" w:color="auto"/>
      </w:divBdr>
    </w:div>
    <w:div w:id="83561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FE33-7617-4EC8-86DD-3F7C522A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Pages>
  <Words>6938</Words>
  <Characters>3956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76</cp:revision>
  <cp:lastPrinted>2021-03-02T12:03:00Z</cp:lastPrinted>
  <dcterms:created xsi:type="dcterms:W3CDTF">2021-01-29T10:57:00Z</dcterms:created>
  <dcterms:modified xsi:type="dcterms:W3CDTF">2021-04-15T12:46:00Z</dcterms:modified>
</cp:coreProperties>
</file>