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534B" w14:textId="38CE934C" w:rsidR="003C0B6A" w:rsidRDefault="00047025" w:rsidP="009E228E">
      <w:pPr>
        <w:jc w:val="center"/>
        <w:rPr>
          <w:b/>
          <w:bCs/>
        </w:rPr>
      </w:pPr>
      <w:r w:rsidRPr="00870413">
        <w:rPr>
          <w:b/>
          <w:bCs/>
        </w:rPr>
        <w:t xml:space="preserve">Eiropas Cilvēktiesību tiesas 2023. gada 1. jūnija spriedums (Lielā palāta) lietā „FU QUAN, </w:t>
      </w:r>
      <w:proofErr w:type="spellStart"/>
      <w:r w:rsidRPr="00870413">
        <w:rPr>
          <w:b/>
          <w:bCs/>
        </w:rPr>
        <w:t>s.r.o</w:t>
      </w:r>
      <w:proofErr w:type="spellEnd"/>
      <w:r w:rsidRPr="00870413">
        <w:rPr>
          <w:b/>
          <w:bCs/>
        </w:rPr>
        <w:t xml:space="preserve">. v. </w:t>
      </w:r>
      <w:proofErr w:type="spellStart"/>
      <w:r w:rsidRPr="00870413">
        <w:rPr>
          <w:b/>
          <w:bCs/>
        </w:rPr>
        <w:t>the</w:t>
      </w:r>
      <w:proofErr w:type="spellEnd"/>
      <w:r w:rsidRPr="00870413">
        <w:rPr>
          <w:b/>
          <w:bCs/>
        </w:rPr>
        <w:t xml:space="preserve"> </w:t>
      </w:r>
      <w:proofErr w:type="spellStart"/>
      <w:r w:rsidRPr="00870413">
        <w:rPr>
          <w:b/>
          <w:bCs/>
        </w:rPr>
        <w:t>Czech</w:t>
      </w:r>
      <w:proofErr w:type="spellEnd"/>
      <w:r w:rsidRPr="00870413">
        <w:rPr>
          <w:b/>
          <w:bCs/>
        </w:rPr>
        <w:t xml:space="preserve"> </w:t>
      </w:r>
      <w:proofErr w:type="spellStart"/>
      <w:r w:rsidRPr="00870413">
        <w:rPr>
          <w:b/>
          <w:bCs/>
        </w:rPr>
        <w:t>Republic</w:t>
      </w:r>
      <w:proofErr w:type="spellEnd"/>
      <w:r w:rsidRPr="00870413">
        <w:rPr>
          <w:b/>
          <w:bCs/>
        </w:rPr>
        <w:t>”, iesnieguma Nr. </w:t>
      </w:r>
      <w:hyperlink r:id="rId6" w:history="1">
        <w:r w:rsidRPr="00870413">
          <w:rPr>
            <w:rStyle w:val="Hyperlink"/>
            <w:b/>
            <w:bCs/>
          </w:rPr>
          <w:t>24827/14</w:t>
        </w:r>
      </w:hyperlink>
    </w:p>
    <w:p w14:paraId="53A29120" w14:textId="4EA541A8" w:rsidR="00047025" w:rsidRPr="00326FE4" w:rsidRDefault="00F24DF5" w:rsidP="00326FE4">
      <w:pPr>
        <w:jc w:val="both"/>
        <w:rPr>
          <w:i/>
          <w:iCs/>
        </w:rPr>
      </w:pPr>
      <w:r>
        <w:rPr>
          <w:i/>
          <w:iCs/>
        </w:rPr>
        <w:t xml:space="preserve">Lietas fakti: </w:t>
      </w:r>
      <w:r w:rsidR="00F22DB9" w:rsidRPr="00326FE4">
        <w:rPr>
          <w:i/>
          <w:iCs/>
        </w:rPr>
        <w:t xml:space="preserve">Iesniedzējas – komercsabiedrības – </w:t>
      </w:r>
      <w:r w:rsidR="00917806" w:rsidRPr="00326FE4">
        <w:rPr>
          <w:i/>
          <w:iCs/>
        </w:rPr>
        <w:t>precēm piecus gadus bija noteikts arests</w:t>
      </w:r>
      <w:r w:rsidR="00F22DB9" w:rsidRPr="00326FE4">
        <w:rPr>
          <w:i/>
          <w:iCs/>
        </w:rPr>
        <w:t xml:space="preserve"> saistībā ar </w:t>
      </w:r>
      <w:r w:rsidR="00917806" w:rsidRPr="00326FE4">
        <w:rPr>
          <w:i/>
          <w:iCs/>
        </w:rPr>
        <w:t>apsūdzīb</w:t>
      </w:r>
      <w:r w:rsidR="00870413" w:rsidRPr="00326FE4">
        <w:rPr>
          <w:i/>
          <w:iCs/>
        </w:rPr>
        <w:t>ām</w:t>
      </w:r>
      <w:r w:rsidR="00F22DB9" w:rsidRPr="00326FE4">
        <w:rPr>
          <w:i/>
          <w:iCs/>
        </w:rPr>
        <w:t xml:space="preserve"> pret tās </w:t>
      </w:r>
      <w:r w:rsidR="00077CE2">
        <w:rPr>
          <w:i/>
          <w:iCs/>
        </w:rPr>
        <w:t>valdes priekšsēdētāju un citu valdes locek</w:t>
      </w:r>
      <w:r w:rsidR="00AB3146">
        <w:rPr>
          <w:i/>
          <w:iCs/>
        </w:rPr>
        <w:t>l</w:t>
      </w:r>
      <w:r w:rsidR="00077CE2">
        <w:rPr>
          <w:i/>
          <w:iCs/>
        </w:rPr>
        <w:t>i</w:t>
      </w:r>
      <w:r w:rsidR="00870413" w:rsidRPr="00326FE4">
        <w:rPr>
          <w:i/>
          <w:iCs/>
        </w:rPr>
        <w:t>; kriminālprocess noslēdzās ar apsūdzēto attaisnošanu</w:t>
      </w:r>
      <w:r w:rsidR="00917806" w:rsidRPr="00326FE4">
        <w:rPr>
          <w:i/>
          <w:iCs/>
        </w:rPr>
        <w:t xml:space="preserve">. Iesniedzēja </w:t>
      </w:r>
      <w:r w:rsidR="00AB3146">
        <w:rPr>
          <w:i/>
          <w:iCs/>
        </w:rPr>
        <w:t>vērsās</w:t>
      </w:r>
      <w:r w:rsidR="00AB3146" w:rsidRPr="00326FE4">
        <w:rPr>
          <w:i/>
          <w:iCs/>
        </w:rPr>
        <w:t xml:space="preserve"> </w:t>
      </w:r>
      <w:r w:rsidR="00917806" w:rsidRPr="00326FE4">
        <w:rPr>
          <w:i/>
          <w:iCs/>
        </w:rPr>
        <w:t xml:space="preserve">Eiropas Cilvēktiesību tiesā </w:t>
      </w:r>
      <w:r w:rsidR="00AB3146">
        <w:rPr>
          <w:i/>
          <w:iCs/>
        </w:rPr>
        <w:t>saistībā ar</w:t>
      </w:r>
      <w:r w:rsidR="00AB3146" w:rsidRPr="00326FE4">
        <w:rPr>
          <w:i/>
          <w:iCs/>
        </w:rPr>
        <w:t xml:space="preserve"> </w:t>
      </w:r>
      <w:r w:rsidR="00917806" w:rsidRPr="00326FE4">
        <w:rPr>
          <w:i/>
          <w:iCs/>
        </w:rPr>
        <w:t>tās īpašumtiesību un tiesību uz taisnīgu tiesu aizskārumu sakarā ar to, ka aresta laikā iesniedzējas manta bija zaudējusi vērtību</w:t>
      </w:r>
      <w:r w:rsidR="00870413" w:rsidRPr="00326FE4">
        <w:rPr>
          <w:i/>
          <w:iCs/>
        </w:rPr>
        <w:t>, turklāt arestu iesniedzējas mantai noņēma pusotru gadu pēc apsūdzēto attaisnošanas.</w:t>
      </w:r>
      <w:r w:rsidR="003D02E4">
        <w:rPr>
          <w:i/>
          <w:iCs/>
        </w:rPr>
        <w:t xml:space="preserve"> Iesniedzēja sūdzējās par nacionālo tiesību normu ierobežojošu iztulkošanu un tiesu formālu pieeju lietas izskatīšanai.</w:t>
      </w:r>
    </w:p>
    <w:p w14:paraId="27859CBD" w14:textId="68A5FAF0" w:rsidR="009E228E" w:rsidRPr="003C0B6A" w:rsidRDefault="003C0B6A" w:rsidP="003C0B6A">
      <w:pPr>
        <w:jc w:val="center"/>
        <w:rPr>
          <w:b/>
          <w:bCs/>
          <w:i/>
          <w:iCs/>
        </w:rPr>
      </w:pPr>
      <w:r w:rsidRPr="003C0B6A">
        <w:rPr>
          <w:b/>
          <w:bCs/>
          <w:i/>
          <w:iCs/>
        </w:rPr>
        <w:t>(fragmenti)</w:t>
      </w:r>
    </w:p>
    <w:p w14:paraId="001F7B83" w14:textId="6D5DEB52" w:rsidR="00607F40" w:rsidRDefault="00607F40" w:rsidP="003D02E4">
      <w:pPr>
        <w:jc w:val="both"/>
      </w:pPr>
      <w:r>
        <w:t xml:space="preserve">III. </w:t>
      </w:r>
      <w:r w:rsidRPr="00607F40">
        <w:t>IESPĒJAMI KONVENCIJAS 6.</w:t>
      </w:r>
      <w:r>
        <w:t> </w:t>
      </w:r>
      <w:r w:rsidRPr="00607F40">
        <w:t>PANTA 1.</w:t>
      </w:r>
      <w:r>
        <w:t> </w:t>
      </w:r>
      <w:r w:rsidRPr="00607F40">
        <w:t>PUNKTA UN 13.</w:t>
      </w:r>
      <w:r>
        <w:t> </w:t>
      </w:r>
      <w:r w:rsidRPr="00607F40">
        <w:t>PANTA PĀRKĀPUMI</w:t>
      </w:r>
    </w:p>
    <w:p w14:paraId="72F2F4C9" w14:textId="2E33465F" w:rsidR="00607F40" w:rsidRPr="00607F40" w:rsidRDefault="00607F40" w:rsidP="003D02E4">
      <w:pPr>
        <w:jc w:val="both"/>
        <w:rPr>
          <w:b/>
          <w:bCs/>
        </w:rPr>
      </w:pPr>
      <w:r w:rsidRPr="00607F40">
        <w:rPr>
          <w:b/>
          <w:bCs/>
        </w:rPr>
        <w:t>C. Tiesas novērtējums</w:t>
      </w:r>
    </w:p>
    <w:p w14:paraId="23C241FD" w14:textId="37EE223F" w:rsidR="003D02E4" w:rsidRDefault="003D02E4" w:rsidP="003D02E4">
      <w:pPr>
        <w:jc w:val="both"/>
      </w:pPr>
      <w:r>
        <w:t xml:space="preserve">113. Nozīmīgie principi, kas izriet no Tiesas judikatūras attiecībā uz tiesībām uz piekļuvi tiesai, jo īpaši, situācijām, kad šo tiesību ierobežojums sasniedz </w:t>
      </w:r>
      <w:r w:rsidR="00FA44C9">
        <w:t>„</w:t>
      </w:r>
      <w:r>
        <w:t>pārmērīgu formālismu”, ir apkopoti lietā „</w:t>
      </w:r>
      <w:proofErr w:type="spellStart"/>
      <w:r>
        <w:t>Zubac</w:t>
      </w:r>
      <w:proofErr w:type="spellEnd"/>
      <w:r>
        <w:t xml:space="preserve"> v. </w:t>
      </w:r>
      <w:proofErr w:type="spellStart"/>
      <w:r>
        <w:t>Croatia</w:t>
      </w:r>
      <w:proofErr w:type="spellEnd"/>
      <w:r>
        <w:t>” (</w:t>
      </w:r>
      <w:r w:rsidRPr="003D02E4">
        <w:rPr>
          <w:i/>
          <w:iCs/>
        </w:rPr>
        <w:t>Lielās palātas 2018. gada 5. aprīļa spriedums, iesnieguma Nr. </w:t>
      </w:r>
      <w:hyperlink r:id="rId7" w:history="1">
        <w:r w:rsidRPr="003D02E4">
          <w:rPr>
            <w:rStyle w:val="Hyperlink"/>
            <w:i/>
            <w:iCs/>
          </w:rPr>
          <w:t>40160/12</w:t>
        </w:r>
      </w:hyperlink>
      <w:r w:rsidRPr="003D02E4">
        <w:rPr>
          <w:i/>
          <w:iCs/>
        </w:rPr>
        <w:t>, 76.–79. un 90.–99. punkts</w:t>
      </w:r>
      <w:r>
        <w:t>).</w:t>
      </w:r>
    </w:p>
    <w:p w14:paraId="5120AF32" w14:textId="196F2E91" w:rsidR="00607F40" w:rsidRDefault="003D02E4" w:rsidP="003D02E4">
      <w:pPr>
        <w:jc w:val="both"/>
      </w:pPr>
      <w:r>
        <w:t xml:space="preserve">114. Kā atzīmējusi Palāta, </w:t>
      </w:r>
      <w:r w:rsidRPr="00607F40">
        <w:rPr>
          <w:u w:val="single"/>
        </w:rPr>
        <w:t>iesniedzēja sabiedrība cēl</w:t>
      </w:r>
      <w:r w:rsidR="00607F40" w:rsidRPr="00607F40">
        <w:rPr>
          <w:u w:val="single"/>
        </w:rPr>
        <w:t>usi</w:t>
      </w:r>
      <w:r w:rsidRPr="00607F40">
        <w:rPr>
          <w:u w:val="single"/>
        </w:rPr>
        <w:t xml:space="preserve"> prasību par valsts nodarīto zaudējumu atlīdzināšanu saskaņā ar </w:t>
      </w:r>
      <w:r w:rsidR="00607F40" w:rsidRPr="00607F40">
        <w:rPr>
          <w:u w:val="single"/>
        </w:rPr>
        <w:t>V</w:t>
      </w:r>
      <w:r w:rsidRPr="00607F40">
        <w:rPr>
          <w:u w:val="single"/>
        </w:rPr>
        <w:t xml:space="preserve">alsts </w:t>
      </w:r>
      <w:r w:rsidR="00607F40" w:rsidRPr="00607F40">
        <w:rPr>
          <w:u w:val="single"/>
        </w:rPr>
        <w:t>atbildības likumu</w:t>
      </w:r>
      <w:r w:rsidRPr="00607F40">
        <w:rPr>
          <w:u w:val="single"/>
        </w:rPr>
        <w:t xml:space="preserve">, skaidri nenorādot, vai </w:t>
      </w:r>
      <w:r w:rsidR="00607F40" w:rsidRPr="00607F40">
        <w:rPr>
          <w:u w:val="single"/>
        </w:rPr>
        <w:t xml:space="preserve">zaudējumi </w:t>
      </w:r>
      <w:r w:rsidRPr="00607F40">
        <w:rPr>
          <w:u w:val="single"/>
        </w:rPr>
        <w:t>ir nodarīt</w:t>
      </w:r>
      <w:r w:rsidR="00607F40" w:rsidRPr="00607F40">
        <w:rPr>
          <w:u w:val="single"/>
        </w:rPr>
        <w:t>i</w:t>
      </w:r>
      <w:r w:rsidRPr="00607F40">
        <w:rPr>
          <w:u w:val="single"/>
        </w:rPr>
        <w:t xml:space="preserve"> prettiesisk</w:t>
      </w:r>
      <w:r w:rsidR="00607F40" w:rsidRPr="00607F40">
        <w:rPr>
          <w:u w:val="single"/>
        </w:rPr>
        <w:t xml:space="preserve">u </w:t>
      </w:r>
      <w:r w:rsidRPr="00607F40">
        <w:rPr>
          <w:u w:val="single"/>
        </w:rPr>
        <w:t>lēmum</w:t>
      </w:r>
      <w:r w:rsidR="00607F40" w:rsidRPr="00607F40">
        <w:rPr>
          <w:u w:val="single"/>
        </w:rPr>
        <w:t>u</w:t>
      </w:r>
      <w:r w:rsidRPr="00607F40">
        <w:rPr>
          <w:u w:val="single"/>
        </w:rPr>
        <w:t xml:space="preserve"> vai </w:t>
      </w:r>
      <w:r w:rsidR="00607F40" w:rsidRPr="00607F40">
        <w:rPr>
          <w:u w:val="single"/>
        </w:rPr>
        <w:t>ar prettiesisku amatpersonas rīcību</w:t>
      </w:r>
      <w:r w:rsidRPr="00607F40">
        <w:rPr>
          <w:u w:val="single"/>
        </w:rPr>
        <w:t xml:space="preserve">, </w:t>
      </w:r>
      <w:r w:rsidR="00607F40" w:rsidRPr="00607F40">
        <w:rPr>
          <w:u w:val="single"/>
        </w:rPr>
        <w:t xml:space="preserve">kas ir </w:t>
      </w:r>
      <w:r w:rsidRPr="00607F40">
        <w:rPr>
          <w:u w:val="single"/>
        </w:rPr>
        <w:t xml:space="preserve">divi iespējamie </w:t>
      </w:r>
      <w:r w:rsidR="00607F40" w:rsidRPr="00607F40">
        <w:rPr>
          <w:u w:val="single"/>
        </w:rPr>
        <w:t>pamati</w:t>
      </w:r>
      <w:r w:rsidRPr="00607F40">
        <w:rPr>
          <w:u w:val="single"/>
        </w:rPr>
        <w:t xml:space="preserve"> </w:t>
      </w:r>
      <w:r w:rsidR="00607F40" w:rsidRPr="00607F40">
        <w:rPr>
          <w:u w:val="single"/>
        </w:rPr>
        <w:t>prasībai</w:t>
      </w:r>
      <w:r w:rsidRPr="00607F40">
        <w:rPr>
          <w:u w:val="single"/>
        </w:rPr>
        <w:t xml:space="preserve"> saskaņā ar</w:t>
      </w:r>
      <w:r w:rsidR="00607F40" w:rsidRPr="00607F40">
        <w:rPr>
          <w:u w:val="single"/>
        </w:rPr>
        <w:t xml:space="preserve"> šo</w:t>
      </w:r>
      <w:r w:rsidRPr="00607F40">
        <w:rPr>
          <w:u w:val="single"/>
        </w:rPr>
        <w:t xml:space="preserve"> likumu</w:t>
      </w:r>
      <w:r>
        <w:t>. Tomēr, kā norādīja valdība</w:t>
      </w:r>
      <w:r w:rsidR="00607F40">
        <w:t xml:space="preserve">, </w:t>
      </w:r>
      <w:r>
        <w:t>iesniedzēj</w:t>
      </w:r>
      <w:r w:rsidR="00607F40">
        <w:t>as sabiedrība</w:t>
      </w:r>
      <w:r>
        <w:t xml:space="preserve"> atsaucās uz likuma 33.</w:t>
      </w:r>
      <w:r w:rsidR="00607F40">
        <w:t> </w:t>
      </w:r>
      <w:r>
        <w:t xml:space="preserve">pantu, kurā ir noteikts termiņš prasību iesniegšanai par zaudējumu atlīdzināšanu, kas radušies </w:t>
      </w:r>
      <w:r w:rsidR="00607F40">
        <w:t>prettiesiska</w:t>
      </w:r>
      <w:r>
        <w:t xml:space="preserve"> lēmuma dēļ.</w:t>
      </w:r>
    </w:p>
    <w:p w14:paraId="3BE58782" w14:textId="125841B0" w:rsidR="00607F40" w:rsidRDefault="00607F40" w:rsidP="003D02E4">
      <w:pPr>
        <w:jc w:val="both"/>
      </w:pPr>
      <w:r w:rsidRPr="00607F40">
        <w:t xml:space="preserve">115. Šādos apstākļos </w:t>
      </w:r>
      <w:r>
        <w:t>nacionālās</w:t>
      </w:r>
      <w:r w:rsidRPr="00607F40">
        <w:t xml:space="preserve"> tiesas </w:t>
      </w:r>
      <w:r>
        <w:t>attiecās pret iesniedzējas sabiedrības</w:t>
      </w:r>
      <w:r w:rsidRPr="00607F40">
        <w:t xml:space="preserve"> prasību </w:t>
      </w:r>
      <w:r>
        <w:t>kā pret</w:t>
      </w:r>
      <w:r w:rsidRPr="00607F40">
        <w:t xml:space="preserve"> </w:t>
      </w:r>
      <w:r w:rsidR="00A66790">
        <w:t>prasību</w:t>
      </w:r>
      <w:r>
        <w:t>, kas vērst</w:t>
      </w:r>
      <w:r w:rsidR="00A66790">
        <w:t>a</w:t>
      </w:r>
      <w:r>
        <w:t xml:space="preserve"> pret prettiesisku </w:t>
      </w:r>
      <w:r w:rsidRPr="00607F40">
        <w:t>lēmumu saskaņā ar Valsts atbildības likuma 7.</w:t>
      </w:r>
      <w:r>
        <w:t> </w:t>
      </w:r>
      <w:r w:rsidRPr="00607F40">
        <w:t>pantu</w:t>
      </w:r>
      <w:r>
        <w:t>,</w:t>
      </w:r>
      <w:r w:rsidRPr="00607F40">
        <w:t xml:space="preserve"> un noraidīja to </w:t>
      </w:r>
      <w:r>
        <w:t>iesniedzēja</w:t>
      </w:r>
      <w:r w:rsidR="006E5F16">
        <w:t>s</w:t>
      </w:r>
      <w:r>
        <w:t xml:space="preserve"> </w:t>
      </w:r>
      <w:r w:rsidR="006E5F16">
        <w:t xml:space="preserve">prasības </w:t>
      </w:r>
      <w:r w:rsidRPr="00607F40">
        <w:t xml:space="preserve">tiesību </w:t>
      </w:r>
      <w:r w:rsidR="006E5F16">
        <w:t>neesības dēļ</w:t>
      </w:r>
      <w:r w:rsidRPr="00607F40">
        <w:t xml:space="preserve">, jo tikai tās lietas dalībnieki, </w:t>
      </w:r>
      <w:r w:rsidR="006E5F16">
        <w:t>kurā</w:t>
      </w:r>
      <w:r w:rsidRPr="00607F40">
        <w:t xml:space="preserve"> tika pieņemti nelikumīgie lēmumi, varēja celt prasību</w:t>
      </w:r>
      <w:r w:rsidR="006E5F16">
        <w:t xml:space="preserve"> par</w:t>
      </w:r>
      <w:r w:rsidRPr="00607F40">
        <w:t xml:space="preserve"> kompensāciju no valsts.</w:t>
      </w:r>
    </w:p>
    <w:p w14:paraId="352EF4C8" w14:textId="34BB853D" w:rsidR="006E5F16" w:rsidRDefault="006E5F16" w:rsidP="003D02E4">
      <w:pPr>
        <w:jc w:val="both"/>
      </w:pPr>
      <w:r w:rsidRPr="006E5F16">
        <w:t xml:space="preserve">120. Jebkurā gadījumā </w:t>
      </w:r>
      <w:r w:rsidRPr="006E5F16">
        <w:rPr>
          <w:u w:val="single"/>
        </w:rPr>
        <w:t>nacionālo tiesību aktu iztulkošan</w:t>
      </w:r>
      <w:r w:rsidR="00FA44C9">
        <w:rPr>
          <w:u w:val="single"/>
        </w:rPr>
        <w:t>u</w:t>
      </w:r>
      <w:r w:rsidRPr="006E5F16">
        <w:rPr>
          <w:u w:val="single"/>
        </w:rPr>
        <w:t xml:space="preserve"> un piemērošan</w:t>
      </w:r>
      <w:r w:rsidR="00FA44C9">
        <w:rPr>
          <w:u w:val="single"/>
        </w:rPr>
        <w:t>u</w:t>
      </w:r>
      <w:r w:rsidRPr="006E5F16">
        <w:rPr>
          <w:u w:val="single"/>
        </w:rPr>
        <w:t xml:space="preserve"> </w:t>
      </w:r>
      <w:r w:rsidR="00FA44C9">
        <w:rPr>
          <w:u w:val="single"/>
        </w:rPr>
        <w:t xml:space="preserve">visupirms veic </w:t>
      </w:r>
      <w:r w:rsidRPr="00FA44C9">
        <w:rPr>
          <w:u w:val="single"/>
        </w:rPr>
        <w:t>valsts iestād</w:t>
      </w:r>
      <w:r w:rsidR="00FA44C9">
        <w:rPr>
          <w:u w:val="single"/>
        </w:rPr>
        <w:t>es</w:t>
      </w:r>
      <w:r w:rsidRPr="00FA44C9">
        <w:rPr>
          <w:u w:val="single"/>
        </w:rPr>
        <w:t xml:space="preserve"> un it īpaši ties</w:t>
      </w:r>
      <w:r w:rsidR="00FA44C9">
        <w:rPr>
          <w:u w:val="single"/>
        </w:rPr>
        <w:t>as</w:t>
      </w:r>
      <w:r w:rsidRPr="00FA44C9">
        <w:rPr>
          <w:u w:val="single"/>
        </w:rPr>
        <w:t>. Tiesas uzdevums ir tikai noskaidrot, vai šādas iztu</w:t>
      </w:r>
      <w:r w:rsidRPr="006E5F16">
        <w:rPr>
          <w:u w:val="single"/>
        </w:rPr>
        <w:t>lkošanas sekas ir saderīgas ar Konvenciju. Jo īpaši tas attiecas uz tiesu veikto procesuāla rakstura noteikumu iztulkošanu</w:t>
      </w:r>
      <w:r>
        <w:t xml:space="preserve"> </w:t>
      </w:r>
      <w:r w:rsidRPr="006E5F16">
        <w:t xml:space="preserve">(sk., </w:t>
      </w:r>
      <w:r w:rsidRPr="006E5F16">
        <w:rPr>
          <w:i/>
          <w:iCs/>
        </w:rPr>
        <w:t>piemēram, 1997.</w:t>
      </w:r>
      <w:r>
        <w:rPr>
          <w:i/>
          <w:iCs/>
        </w:rPr>
        <w:t> </w:t>
      </w:r>
      <w:r w:rsidRPr="006E5F16">
        <w:rPr>
          <w:i/>
          <w:iCs/>
        </w:rPr>
        <w:t>gada 16.</w:t>
      </w:r>
      <w:r>
        <w:rPr>
          <w:i/>
          <w:iCs/>
        </w:rPr>
        <w:t> </w:t>
      </w:r>
      <w:r w:rsidRPr="006E5F16">
        <w:rPr>
          <w:i/>
          <w:iCs/>
        </w:rPr>
        <w:t>decembra sprieduma lietā „</w:t>
      </w:r>
      <w:proofErr w:type="spellStart"/>
      <w:r w:rsidRPr="006E5F16">
        <w:rPr>
          <w:i/>
          <w:iCs/>
        </w:rPr>
        <w:t>Tejedor</w:t>
      </w:r>
      <w:proofErr w:type="spellEnd"/>
      <w:r w:rsidRPr="006E5F16">
        <w:rPr>
          <w:i/>
          <w:iCs/>
        </w:rPr>
        <w:t xml:space="preserve"> </w:t>
      </w:r>
      <w:proofErr w:type="spellStart"/>
      <w:r w:rsidRPr="006E5F16">
        <w:rPr>
          <w:i/>
          <w:iCs/>
        </w:rPr>
        <w:t>García</w:t>
      </w:r>
      <w:proofErr w:type="spellEnd"/>
      <w:r w:rsidRPr="006E5F16">
        <w:rPr>
          <w:i/>
          <w:iCs/>
        </w:rPr>
        <w:t xml:space="preserve"> v. </w:t>
      </w:r>
      <w:proofErr w:type="spellStart"/>
      <w:r w:rsidRPr="006E5F16">
        <w:rPr>
          <w:i/>
          <w:iCs/>
        </w:rPr>
        <w:t>Spain</w:t>
      </w:r>
      <w:proofErr w:type="spellEnd"/>
      <w:r w:rsidRPr="006E5F16">
        <w:rPr>
          <w:i/>
          <w:iCs/>
        </w:rPr>
        <w:t>”, iesnieguma Nr. </w:t>
      </w:r>
      <w:hyperlink r:id="rId8" w:history="1">
        <w:r w:rsidRPr="006E5F16">
          <w:rPr>
            <w:rStyle w:val="Hyperlink"/>
            <w:i/>
            <w:iCs/>
          </w:rPr>
          <w:t>25420/94</w:t>
        </w:r>
      </w:hyperlink>
      <w:r w:rsidRPr="006E5F16">
        <w:rPr>
          <w:i/>
          <w:iCs/>
        </w:rPr>
        <w:t>, 31. punktu</w:t>
      </w:r>
      <w:r w:rsidRPr="006E5F16">
        <w:t xml:space="preserve">). Šajā gadījumā tas nozīmē, ka ir jāpārbauda, ​​vai fakts, ka nacionālās tiesas nepiemēroja </w:t>
      </w:r>
      <w:r w:rsidRPr="006E5F16">
        <w:rPr>
          <w:i/>
          <w:iCs/>
        </w:rPr>
        <w:t xml:space="preserve">jura </w:t>
      </w:r>
      <w:proofErr w:type="spellStart"/>
      <w:r w:rsidRPr="006E5F16">
        <w:rPr>
          <w:i/>
          <w:iCs/>
        </w:rPr>
        <w:t>novit</w:t>
      </w:r>
      <w:proofErr w:type="spellEnd"/>
      <w:r w:rsidRPr="006E5F16">
        <w:rPr>
          <w:i/>
          <w:iCs/>
        </w:rPr>
        <w:t xml:space="preserve"> </w:t>
      </w:r>
      <w:proofErr w:type="spellStart"/>
      <w:r w:rsidRPr="006E5F16">
        <w:rPr>
          <w:i/>
          <w:iCs/>
        </w:rPr>
        <w:t>curia</w:t>
      </w:r>
      <w:proofErr w:type="spellEnd"/>
      <w:r w:rsidRPr="006E5F16">
        <w:t xml:space="preserve"> principu un </w:t>
      </w:r>
      <w:r w:rsidR="00A66790">
        <w:t>neattiecās pret</w:t>
      </w:r>
      <w:r w:rsidRPr="006E5F16">
        <w:t xml:space="preserve"> </w:t>
      </w:r>
      <w:r>
        <w:t>iesniedzējas sabiedrības</w:t>
      </w:r>
      <w:r w:rsidRPr="006E5F16">
        <w:t xml:space="preserve"> </w:t>
      </w:r>
      <w:r>
        <w:t>prasīb</w:t>
      </w:r>
      <w:r w:rsidR="00A66790">
        <w:t>u kā pret prasību, kas</w:t>
      </w:r>
      <w:r w:rsidRPr="006E5F16">
        <w:t xml:space="preserve"> </w:t>
      </w:r>
      <w:r>
        <w:t>attiecas uz prettiesisku amatpersonas rīcību</w:t>
      </w:r>
      <w:r w:rsidRPr="006E5F16">
        <w:t xml:space="preserve">, ir pārmērīgs formālisms un tādējādi nepamatoti ierobežoja </w:t>
      </w:r>
      <w:r w:rsidR="00A66790">
        <w:t>tās</w:t>
      </w:r>
      <w:r w:rsidRPr="006E5F16">
        <w:t xml:space="preserve"> pieeju tiesai.</w:t>
      </w:r>
    </w:p>
    <w:p w14:paraId="165F2113" w14:textId="4994DFE3" w:rsidR="00A66790" w:rsidRDefault="00A66790" w:rsidP="003D02E4">
      <w:pPr>
        <w:jc w:val="both"/>
      </w:pPr>
      <w:r w:rsidRPr="00A66790">
        <w:t xml:space="preserve">123. </w:t>
      </w:r>
      <w:r w:rsidR="00FA44C9">
        <w:t>Eiropas Cilvēktiesību t</w:t>
      </w:r>
      <w:r w:rsidRPr="00A66790">
        <w:t xml:space="preserve">iesā iesniedzēja </w:t>
      </w:r>
      <w:r>
        <w:t>sabiedrība</w:t>
      </w:r>
      <w:r w:rsidRPr="00A66790">
        <w:t xml:space="preserve"> </w:t>
      </w:r>
      <w:r>
        <w:t>uzturēja</w:t>
      </w:r>
      <w:r w:rsidRPr="00A66790">
        <w:t xml:space="preserve"> pilnīgi atšķirīgu </w:t>
      </w:r>
      <w:r>
        <w:t>nostāju [salīdzinot ar nacionālo procesu]</w:t>
      </w:r>
      <w:r w:rsidRPr="00A66790">
        <w:t xml:space="preserve">, apgalvojot, ka nacionālajām tiesām tās civilprasība bija jāuzskata par tādu, kas balstīta </w:t>
      </w:r>
      <w:r>
        <w:t>uz prettiesisku amatpersonas</w:t>
      </w:r>
      <w:r w:rsidRPr="00A66790">
        <w:t xml:space="preserve"> rīcību. Tomēr </w:t>
      </w:r>
      <w:r w:rsidRPr="00A66790">
        <w:rPr>
          <w:u w:val="single"/>
        </w:rPr>
        <w:t>puses nevar izvirzīt Tiesā argumentus, ko tās nekad nav izteikušas nacionālajās</w:t>
      </w:r>
      <w:r w:rsidRPr="00A66790">
        <w:t xml:space="preserve"> tiesās (sk. </w:t>
      </w:r>
      <w:proofErr w:type="spellStart"/>
      <w:r w:rsidRPr="00A66790">
        <w:rPr>
          <w:i/>
          <w:iCs/>
        </w:rPr>
        <w:t>mutatis</w:t>
      </w:r>
      <w:proofErr w:type="spellEnd"/>
      <w:r w:rsidRPr="00A66790">
        <w:rPr>
          <w:i/>
          <w:iCs/>
        </w:rPr>
        <w:t xml:space="preserve"> </w:t>
      </w:r>
      <w:proofErr w:type="spellStart"/>
      <w:r w:rsidRPr="00A66790">
        <w:rPr>
          <w:i/>
          <w:iCs/>
        </w:rPr>
        <w:t>mutandis</w:t>
      </w:r>
      <w:proofErr w:type="spellEnd"/>
      <w:r w:rsidRPr="00A66790">
        <w:rPr>
          <w:i/>
          <w:iCs/>
        </w:rPr>
        <w:t xml:space="preserve"> 1991. gada 29. novembra sprieduma lietā „</w:t>
      </w:r>
      <w:proofErr w:type="spellStart"/>
      <w:r w:rsidRPr="00A66790">
        <w:rPr>
          <w:i/>
          <w:iCs/>
        </w:rPr>
        <w:t>Pine</w:t>
      </w:r>
      <w:proofErr w:type="spellEnd"/>
      <w:r w:rsidRPr="00A66790">
        <w:rPr>
          <w:i/>
          <w:iCs/>
        </w:rPr>
        <w:t xml:space="preserve"> </w:t>
      </w:r>
      <w:proofErr w:type="spellStart"/>
      <w:r w:rsidRPr="00A66790">
        <w:rPr>
          <w:i/>
          <w:iCs/>
        </w:rPr>
        <w:t>Valley</w:t>
      </w:r>
      <w:proofErr w:type="spellEnd"/>
      <w:r w:rsidRPr="00A66790">
        <w:rPr>
          <w:i/>
          <w:iCs/>
        </w:rPr>
        <w:t xml:space="preserve"> </w:t>
      </w:r>
      <w:proofErr w:type="spellStart"/>
      <w:r w:rsidRPr="00A66790">
        <w:rPr>
          <w:i/>
          <w:iCs/>
        </w:rPr>
        <w:t>Developments</w:t>
      </w:r>
      <w:proofErr w:type="spellEnd"/>
      <w:r w:rsidRPr="00A66790">
        <w:rPr>
          <w:i/>
          <w:iCs/>
        </w:rPr>
        <w:t xml:space="preserve"> </w:t>
      </w:r>
      <w:proofErr w:type="spellStart"/>
      <w:r w:rsidRPr="00A66790">
        <w:rPr>
          <w:i/>
          <w:iCs/>
        </w:rPr>
        <w:t>Ltd</w:t>
      </w:r>
      <w:proofErr w:type="spellEnd"/>
      <w:r w:rsidRPr="00A66790">
        <w:rPr>
          <w:i/>
          <w:iCs/>
        </w:rPr>
        <w:t xml:space="preserve"> </w:t>
      </w:r>
      <w:proofErr w:type="spellStart"/>
      <w:r w:rsidRPr="00A66790">
        <w:rPr>
          <w:i/>
          <w:iCs/>
        </w:rPr>
        <w:t>and</w:t>
      </w:r>
      <w:proofErr w:type="spellEnd"/>
      <w:r w:rsidRPr="00A66790">
        <w:rPr>
          <w:i/>
          <w:iCs/>
        </w:rPr>
        <w:t xml:space="preserve"> </w:t>
      </w:r>
      <w:proofErr w:type="spellStart"/>
      <w:r w:rsidRPr="00A66790">
        <w:rPr>
          <w:i/>
          <w:iCs/>
        </w:rPr>
        <w:t>Others</w:t>
      </w:r>
      <w:proofErr w:type="spellEnd"/>
      <w:r w:rsidRPr="00A66790">
        <w:rPr>
          <w:i/>
          <w:iCs/>
        </w:rPr>
        <w:t xml:space="preserve"> v. </w:t>
      </w:r>
      <w:proofErr w:type="spellStart"/>
      <w:r w:rsidRPr="00A66790">
        <w:rPr>
          <w:i/>
          <w:iCs/>
        </w:rPr>
        <w:t>Ireland</w:t>
      </w:r>
      <w:proofErr w:type="spellEnd"/>
      <w:r w:rsidRPr="00A66790">
        <w:rPr>
          <w:i/>
          <w:iCs/>
        </w:rPr>
        <w:t>”, iesnieguma Nr. </w:t>
      </w:r>
      <w:hyperlink r:id="rId9" w:history="1">
        <w:r w:rsidRPr="00A66790">
          <w:rPr>
            <w:rStyle w:val="Hyperlink"/>
            <w:i/>
            <w:iCs/>
          </w:rPr>
          <w:t>12742/87</w:t>
        </w:r>
      </w:hyperlink>
      <w:r w:rsidRPr="00A66790">
        <w:rPr>
          <w:i/>
          <w:iCs/>
        </w:rPr>
        <w:t>, 47. punkt</w:t>
      </w:r>
      <w:r>
        <w:rPr>
          <w:i/>
          <w:iCs/>
        </w:rPr>
        <w:t>u</w:t>
      </w:r>
      <w:r w:rsidRPr="00A66790">
        <w:t xml:space="preserve">). Šādos apstākļos </w:t>
      </w:r>
      <w:r>
        <w:t>nacionālajām</w:t>
      </w:r>
      <w:r w:rsidRPr="00A66790">
        <w:t xml:space="preserve"> tiesām nevar pārmest, ka tās </w:t>
      </w:r>
      <w:r>
        <w:t xml:space="preserve">pret </w:t>
      </w:r>
      <w:r w:rsidRPr="00A66790">
        <w:t>p</w:t>
      </w:r>
      <w:r>
        <w:t>iesniedzējas sabiedrības prasību</w:t>
      </w:r>
      <w:r w:rsidRPr="00A66790">
        <w:t xml:space="preserve"> </w:t>
      </w:r>
      <w:r>
        <w:t>neattiecās kā pret</w:t>
      </w:r>
      <w:r w:rsidRPr="00607F40">
        <w:t xml:space="preserve"> </w:t>
      </w:r>
      <w:r>
        <w:t xml:space="preserve">prasību, kas vērsta pret prettiesisku </w:t>
      </w:r>
      <w:r w:rsidRPr="00607F40">
        <w:t>lēmum</w:t>
      </w:r>
      <w:r>
        <w:t>u</w:t>
      </w:r>
      <w:r w:rsidRPr="00A66790">
        <w:t>.</w:t>
      </w:r>
    </w:p>
    <w:p w14:paraId="65F32516" w14:textId="67A35899" w:rsidR="00A66790" w:rsidRDefault="00A66790" w:rsidP="00A66790">
      <w:pPr>
        <w:jc w:val="both"/>
      </w:pPr>
      <w:r>
        <w:t xml:space="preserve">124. Visbeidzot, Tiesa atzīmē, ka savos apsvērumos Palātā valdība apgalvoja, ka pat pēc iesniedzējas sabiedrības civilprasības noraidīšanas </w:t>
      </w:r>
      <w:r w:rsidR="00B724AB">
        <w:t>iesniedzēja</w:t>
      </w:r>
      <w:r>
        <w:t xml:space="preserve"> būtu varējusi celt jaunu prasību, kurā kā kaitējuma cēlonis </w:t>
      </w:r>
      <w:r w:rsidR="00B724AB">
        <w:t xml:space="preserve">būtu </w:t>
      </w:r>
      <w:r>
        <w:t xml:space="preserve">norādīta </w:t>
      </w:r>
      <w:r w:rsidR="00B724AB">
        <w:t>prettiesiska amatpersonas</w:t>
      </w:r>
      <w:r>
        <w:t xml:space="preserve"> rīcība. Saskaņā ar valdības teikto šī iespēja iesniedzējai sabiedrībai bija pieejama vēl četrus mēnešus pēc tam, kad lēmums kompensācijas </w:t>
      </w:r>
      <w:r w:rsidR="00B724AB">
        <w:t xml:space="preserve">tiesvedībā </w:t>
      </w:r>
      <w:r>
        <w:t xml:space="preserve">bija kļuvis galīgs. </w:t>
      </w:r>
      <w:r w:rsidR="00B724AB">
        <w:t>I</w:t>
      </w:r>
      <w:r>
        <w:t>esniedzēj</w:t>
      </w:r>
      <w:r w:rsidR="00B724AB">
        <w:t>a sabiedrība</w:t>
      </w:r>
      <w:r>
        <w:t xml:space="preserve"> to neapstrīdēja, un Tiesa neredz iemeslu apšaubīt</w:t>
      </w:r>
      <w:r w:rsidR="00B724AB">
        <w:t>, ka šāda iespēja pastāvēja.</w:t>
      </w:r>
    </w:p>
    <w:p w14:paraId="6ABAA5E8" w14:textId="6ABD3B0C" w:rsidR="00A66790" w:rsidRDefault="00A66790" w:rsidP="00A66790">
      <w:pPr>
        <w:jc w:val="both"/>
      </w:pPr>
      <w:r>
        <w:t>125. No tā izriet, ka iesniedzēja</w:t>
      </w:r>
      <w:r w:rsidR="00B724AB">
        <w:t>s sabiedrības</w:t>
      </w:r>
      <w:r>
        <w:t xml:space="preserve"> sūdzība par piekļuvi tiesai ir nepieņemama saskaņā ar Konvencijas 35.</w:t>
      </w:r>
      <w:r w:rsidR="00B724AB">
        <w:t> </w:t>
      </w:r>
      <w:r>
        <w:t>panta 3.</w:t>
      </w:r>
      <w:r w:rsidR="00B724AB">
        <w:t> </w:t>
      </w:r>
      <w:r>
        <w:t xml:space="preserve">punkta </w:t>
      </w:r>
      <w:r w:rsidR="00B724AB">
        <w:t xml:space="preserve">„a” </w:t>
      </w:r>
      <w:r>
        <w:t xml:space="preserve">apakšpunktu kā acīmredzami nepamatota un ka </w:t>
      </w:r>
      <w:r w:rsidR="00B724AB">
        <w:t>šī sūdzība</w:t>
      </w:r>
      <w:r>
        <w:t xml:space="preserve"> ir jānoraida saskaņā ar 35.</w:t>
      </w:r>
      <w:r w:rsidR="00B724AB">
        <w:t> </w:t>
      </w:r>
      <w:r>
        <w:t>panta 4.</w:t>
      </w:r>
      <w:r w:rsidR="00B724AB">
        <w:t> </w:t>
      </w:r>
      <w:r>
        <w:t>punktu.</w:t>
      </w:r>
    </w:p>
    <w:p w14:paraId="6071F6F5" w14:textId="4E31373B" w:rsidR="0044011A" w:rsidRDefault="0044011A" w:rsidP="003D02E4">
      <w:pPr>
        <w:jc w:val="both"/>
      </w:pPr>
      <w:r>
        <w:t xml:space="preserve">IV. </w:t>
      </w:r>
      <w:r w:rsidRPr="0044011A">
        <w:t xml:space="preserve">IESPĒJAMIE </w:t>
      </w:r>
      <w:r>
        <w:t>KONVENCIJAS 1. </w:t>
      </w:r>
      <w:r w:rsidRPr="0044011A">
        <w:t>PROTOKOLA 1.</w:t>
      </w:r>
      <w:r>
        <w:t> </w:t>
      </w:r>
      <w:r w:rsidRPr="0044011A">
        <w:t>PANTA PĀRKĀPUMI</w:t>
      </w:r>
    </w:p>
    <w:p w14:paraId="07055916" w14:textId="702116E0" w:rsidR="0044011A" w:rsidRPr="008F11F7" w:rsidRDefault="0044011A" w:rsidP="00326FE4">
      <w:pPr>
        <w:jc w:val="both"/>
        <w:rPr>
          <w:b/>
          <w:bCs/>
        </w:rPr>
      </w:pPr>
      <w:r w:rsidRPr="008F11F7">
        <w:rPr>
          <w:b/>
          <w:bCs/>
        </w:rPr>
        <w:t>A. Iesniedzējas sabiedrības sūdzību tvērums saskaņā ar šo pantu</w:t>
      </w:r>
    </w:p>
    <w:p w14:paraId="42E373EF" w14:textId="2EB1E63E" w:rsidR="0044011A" w:rsidRPr="0044011A" w:rsidRDefault="0044011A" w:rsidP="00326FE4">
      <w:pPr>
        <w:jc w:val="both"/>
        <w:rPr>
          <w:i/>
          <w:iCs/>
        </w:rPr>
      </w:pPr>
      <w:r w:rsidRPr="0044011A">
        <w:rPr>
          <w:i/>
          <w:iCs/>
        </w:rPr>
        <w:t>3. Lielās palātas novērtējums</w:t>
      </w:r>
    </w:p>
    <w:p w14:paraId="00E91674" w14:textId="38FFEE6D" w:rsidR="00870413" w:rsidRDefault="00870413" w:rsidP="00326FE4">
      <w:pPr>
        <w:jc w:val="both"/>
      </w:pPr>
      <w:r>
        <w:t>137. Iesākumā jāatgādina, ka lietas tvērumu</w:t>
      </w:r>
      <w:r w:rsidR="007E65BC">
        <w:t>, kas „tiek nodots” Tiesai, īstenojot</w:t>
      </w:r>
      <w:r>
        <w:t xml:space="preserve"> tiesīb</w:t>
      </w:r>
      <w:r w:rsidR="007E65BC">
        <w:t xml:space="preserve">as vērsties ar </w:t>
      </w:r>
      <w:r>
        <w:t>personisku iesniegumu</w:t>
      </w:r>
      <w:r w:rsidR="007E65BC">
        <w:t xml:space="preserve">, </w:t>
      </w:r>
      <w:r>
        <w:t xml:space="preserve">noteic </w:t>
      </w:r>
      <w:r w:rsidR="007E65BC">
        <w:t>iesniedzēja sūdzība jeb „iesniegums”, kas ir 34. pantā lietotais termins (</w:t>
      </w:r>
      <w:r w:rsidR="007E65BC" w:rsidRPr="007E65BC">
        <w:t xml:space="preserve">sk. </w:t>
      </w:r>
      <w:r w:rsidR="008D0634" w:rsidRPr="008D0634">
        <w:rPr>
          <w:i/>
          <w:iCs/>
        </w:rPr>
        <w:t xml:space="preserve">Lielās palātas 2018. gada 20. marta sprieduma apvienotajās lietās </w:t>
      </w:r>
      <w:r w:rsidR="007E65BC" w:rsidRPr="008D0634">
        <w:rPr>
          <w:i/>
          <w:iCs/>
        </w:rPr>
        <w:t>„</w:t>
      </w:r>
      <w:proofErr w:type="spellStart"/>
      <w:r w:rsidR="007E65BC" w:rsidRPr="008D0634">
        <w:rPr>
          <w:i/>
          <w:iCs/>
        </w:rPr>
        <w:t>Radomilja</w:t>
      </w:r>
      <w:proofErr w:type="spellEnd"/>
      <w:r w:rsidR="007E65BC" w:rsidRPr="008D0634">
        <w:rPr>
          <w:i/>
          <w:iCs/>
        </w:rPr>
        <w:t xml:space="preserve"> </w:t>
      </w:r>
      <w:proofErr w:type="spellStart"/>
      <w:r w:rsidR="007E65BC" w:rsidRPr="008D0634">
        <w:rPr>
          <w:i/>
          <w:iCs/>
        </w:rPr>
        <w:t>and</w:t>
      </w:r>
      <w:proofErr w:type="spellEnd"/>
      <w:r w:rsidR="007E65BC" w:rsidRPr="008D0634">
        <w:rPr>
          <w:i/>
          <w:iCs/>
        </w:rPr>
        <w:t xml:space="preserve"> </w:t>
      </w:r>
      <w:proofErr w:type="spellStart"/>
      <w:r w:rsidR="007E65BC" w:rsidRPr="008D0634">
        <w:rPr>
          <w:i/>
          <w:iCs/>
        </w:rPr>
        <w:t>Others</w:t>
      </w:r>
      <w:proofErr w:type="spellEnd"/>
      <w:r w:rsidR="008D0634" w:rsidRPr="008D0634">
        <w:rPr>
          <w:i/>
          <w:iCs/>
        </w:rPr>
        <w:t xml:space="preserve"> v. </w:t>
      </w:r>
      <w:proofErr w:type="spellStart"/>
      <w:r w:rsidR="008D0634" w:rsidRPr="008D0634">
        <w:rPr>
          <w:i/>
          <w:iCs/>
        </w:rPr>
        <w:t>Croatia</w:t>
      </w:r>
      <w:proofErr w:type="spellEnd"/>
      <w:r w:rsidR="007E65BC" w:rsidRPr="008D0634">
        <w:rPr>
          <w:i/>
          <w:iCs/>
        </w:rPr>
        <w:t xml:space="preserve">”, </w:t>
      </w:r>
      <w:r w:rsidR="008D0634" w:rsidRPr="008D0634">
        <w:rPr>
          <w:i/>
          <w:iCs/>
        </w:rPr>
        <w:t>iesnieguma Nr. </w:t>
      </w:r>
      <w:hyperlink r:id="rId10" w:history="1">
        <w:r w:rsidR="008D0634" w:rsidRPr="008D0634">
          <w:rPr>
            <w:rStyle w:val="Hyperlink"/>
            <w:i/>
            <w:iCs/>
          </w:rPr>
          <w:t>37685/10</w:t>
        </w:r>
      </w:hyperlink>
      <w:r w:rsidR="008D0634" w:rsidRPr="008D0634">
        <w:rPr>
          <w:i/>
          <w:iCs/>
        </w:rPr>
        <w:t xml:space="preserve"> un </w:t>
      </w:r>
      <w:hyperlink r:id="rId11" w:history="1">
        <w:r w:rsidR="008D0634" w:rsidRPr="008D0634">
          <w:rPr>
            <w:rStyle w:val="Hyperlink"/>
            <w:i/>
            <w:iCs/>
          </w:rPr>
          <w:t>22768/12</w:t>
        </w:r>
      </w:hyperlink>
      <w:r w:rsidR="007E65BC" w:rsidRPr="008D0634">
        <w:rPr>
          <w:i/>
          <w:iCs/>
        </w:rPr>
        <w:t>, 109. punktu</w:t>
      </w:r>
      <w:r w:rsidR="007E65BC" w:rsidRPr="007E65BC">
        <w:t>)</w:t>
      </w:r>
      <w:r w:rsidR="00326FE4">
        <w:t xml:space="preserve">. </w:t>
      </w:r>
      <w:r w:rsidR="00326FE4" w:rsidRPr="00077CE2">
        <w:rPr>
          <w:u w:val="single"/>
        </w:rPr>
        <w:t>Sūdzība saskaņā ar Konvenciju ietver divus elementus, proti, apgalvojum</w:t>
      </w:r>
      <w:r w:rsidR="00B32F8A" w:rsidRPr="00077CE2">
        <w:rPr>
          <w:u w:val="single"/>
        </w:rPr>
        <w:t>us</w:t>
      </w:r>
      <w:r w:rsidR="00326FE4" w:rsidRPr="00077CE2">
        <w:rPr>
          <w:u w:val="single"/>
        </w:rPr>
        <w:t xml:space="preserve"> par faktiem</w:t>
      </w:r>
      <w:r w:rsidR="00326FE4">
        <w:t xml:space="preserve"> (tas ir, ka iesniedzējs ir no darbības vai bezdarbības „cietušais”) </w:t>
      </w:r>
      <w:r w:rsidR="00326FE4" w:rsidRPr="00077CE2">
        <w:rPr>
          <w:u w:val="single"/>
        </w:rPr>
        <w:t>un juridiskos argumentus, kas tos pamato</w:t>
      </w:r>
      <w:r w:rsidR="00326FE4">
        <w:t xml:space="preserve"> (tas ir, ka minētā darbība vai bezdarbība ir saistīta ar to, ka „kāda no </w:t>
      </w:r>
      <w:r w:rsidR="00A76867">
        <w:t>a</w:t>
      </w:r>
      <w:r w:rsidR="00326FE4">
        <w:t xml:space="preserve">ugstajām </w:t>
      </w:r>
      <w:r w:rsidR="00A76867">
        <w:t>l</w:t>
      </w:r>
      <w:r w:rsidR="00326FE4">
        <w:t xml:space="preserve">īgumslēdzējām </w:t>
      </w:r>
      <w:r w:rsidR="00A76867">
        <w:t>p</w:t>
      </w:r>
      <w:r w:rsidR="00326FE4">
        <w:t xml:space="preserve">usēm ir pārkāpusi iesniedzēja tiesības, kas noteiktas Konvencijā vai tās protokolos”). Šie divi elementi ir savstarpēji saistīti, jo </w:t>
      </w:r>
      <w:r w:rsidR="00326FE4" w:rsidRPr="00077CE2">
        <w:rPr>
          <w:u w:val="single"/>
        </w:rPr>
        <w:t>fakti, par kuriem iesniedzējs sūdzējies, ir jā</w:t>
      </w:r>
      <w:r w:rsidR="00FA44C9">
        <w:rPr>
          <w:u w:val="single"/>
        </w:rPr>
        <w:t>iz</w:t>
      </w:r>
      <w:r w:rsidR="00326FE4" w:rsidRPr="00077CE2">
        <w:rPr>
          <w:u w:val="single"/>
        </w:rPr>
        <w:t xml:space="preserve">skata, ņemot vērā norādītos juridiskos argumentus un </w:t>
      </w:r>
      <w:proofErr w:type="spellStart"/>
      <w:r w:rsidR="00326FE4" w:rsidRPr="00077CE2">
        <w:rPr>
          <w:i/>
          <w:iCs/>
          <w:u w:val="single"/>
        </w:rPr>
        <w:t>vice</w:t>
      </w:r>
      <w:proofErr w:type="spellEnd"/>
      <w:r w:rsidR="00326FE4" w:rsidRPr="00077CE2">
        <w:rPr>
          <w:i/>
          <w:iCs/>
          <w:u w:val="single"/>
        </w:rPr>
        <w:t xml:space="preserve"> </w:t>
      </w:r>
      <w:proofErr w:type="spellStart"/>
      <w:r w:rsidR="00326FE4" w:rsidRPr="00077CE2">
        <w:rPr>
          <w:i/>
          <w:iCs/>
          <w:u w:val="single"/>
        </w:rPr>
        <w:t>versa</w:t>
      </w:r>
      <w:proofErr w:type="spellEnd"/>
      <w:r w:rsidR="00326FE4" w:rsidRPr="00077CE2">
        <w:t xml:space="preserve"> </w:t>
      </w:r>
      <w:r w:rsidR="00326FE4">
        <w:t xml:space="preserve">(turpat, </w:t>
      </w:r>
      <w:r w:rsidR="00326FE4" w:rsidRPr="008D0634">
        <w:rPr>
          <w:i/>
          <w:iCs/>
        </w:rPr>
        <w:t>110. punkts</w:t>
      </w:r>
      <w:r w:rsidR="00326FE4">
        <w:t>).</w:t>
      </w:r>
    </w:p>
    <w:p w14:paraId="6EB0FDBF" w14:textId="461D60A7" w:rsidR="008D0634" w:rsidRDefault="00077CE2" w:rsidP="00326FE4">
      <w:pPr>
        <w:jc w:val="both"/>
      </w:pPr>
      <w:r>
        <w:t xml:space="preserve">138. </w:t>
      </w:r>
      <w:r w:rsidRPr="00077CE2">
        <w:t xml:space="preserve">Tāpēc Lielajai palātai ir jānoskaidro, </w:t>
      </w:r>
      <w:r w:rsidRPr="00077CE2">
        <w:rPr>
          <w:u w:val="single"/>
        </w:rPr>
        <w:t>kādi fakti veidoja pārkāpumu</w:t>
      </w:r>
      <w:r w:rsidRPr="00077CE2">
        <w:t xml:space="preserve">, par kuru iesniedzēja </w:t>
      </w:r>
      <w:r>
        <w:t>sabiedrība</w:t>
      </w:r>
      <w:r w:rsidRPr="00077CE2">
        <w:t xml:space="preserve"> </w:t>
      </w:r>
      <w:r>
        <w:t xml:space="preserve">savā saskaņā ar Konvenciju iesniegtajā iesniegumā </w:t>
      </w:r>
      <w:r w:rsidRPr="00077CE2">
        <w:t xml:space="preserve">sūdzējās </w:t>
      </w:r>
      <w:r>
        <w:t>saistībā</w:t>
      </w:r>
      <w:r w:rsidRPr="00077CE2">
        <w:t xml:space="preserve"> 1.</w:t>
      </w:r>
      <w:r>
        <w:t> </w:t>
      </w:r>
      <w:r w:rsidRPr="00077CE2">
        <w:t>protokola 1.</w:t>
      </w:r>
      <w:r>
        <w:t> </w:t>
      </w:r>
      <w:r w:rsidRPr="00077CE2">
        <w:t xml:space="preserve">pantu, </w:t>
      </w:r>
      <w:r w:rsidRPr="00077CE2">
        <w:rPr>
          <w:u w:val="single"/>
        </w:rPr>
        <w:t xml:space="preserve">un </w:t>
      </w:r>
      <w:r w:rsidR="00A76867">
        <w:rPr>
          <w:u w:val="single"/>
        </w:rPr>
        <w:t xml:space="preserve">uz tiem balstītos </w:t>
      </w:r>
      <w:r w:rsidRPr="00077CE2">
        <w:rPr>
          <w:u w:val="single"/>
        </w:rPr>
        <w:t>juridisk</w:t>
      </w:r>
      <w:r w:rsidR="00A76867">
        <w:rPr>
          <w:u w:val="single"/>
        </w:rPr>
        <w:t>os</w:t>
      </w:r>
      <w:r w:rsidRPr="00077CE2">
        <w:rPr>
          <w:u w:val="single"/>
        </w:rPr>
        <w:t xml:space="preserve"> argument</w:t>
      </w:r>
      <w:r w:rsidR="00A76867">
        <w:rPr>
          <w:u w:val="single"/>
        </w:rPr>
        <w:t>us</w:t>
      </w:r>
      <w:r w:rsidRPr="00077CE2">
        <w:t>.</w:t>
      </w:r>
    </w:p>
    <w:p w14:paraId="3E1F89D1" w14:textId="6D184733" w:rsidR="00077CE2" w:rsidRDefault="00077CE2" w:rsidP="00326FE4">
      <w:pPr>
        <w:jc w:val="both"/>
      </w:pPr>
      <w:r w:rsidRPr="00077CE2">
        <w:t xml:space="preserve">139. Šajā sakarā, pirmkārt, ir svarīgi uzsvērt, ka </w:t>
      </w:r>
      <w:r w:rsidR="00A03A44">
        <w:t>„</w:t>
      </w:r>
      <w:r w:rsidRPr="00077CE2">
        <w:t xml:space="preserve">nelikumība”, uz kuru iesniedzēja </w:t>
      </w:r>
      <w:r>
        <w:t>sabiedrība</w:t>
      </w:r>
      <w:r w:rsidRPr="00077CE2">
        <w:t xml:space="preserve"> atkārtoti norādīj</w:t>
      </w:r>
      <w:r>
        <w:t>usi</w:t>
      </w:r>
      <w:r w:rsidRPr="00077CE2">
        <w:t xml:space="preserve"> sav</w:t>
      </w:r>
      <w:r>
        <w:t>ās sūdzībās</w:t>
      </w:r>
      <w:r w:rsidRPr="00077CE2">
        <w:t xml:space="preserve"> valsts </w:t>
      </w:r>
      <w:r>
        <w:t xml:space="preserve">varas </w:t>
      </w:r>
      <w:r w:rsidRPr="00077CE2">
        <w:t>iestādēm un Ties</w:t>
      </w:r>
      <w:r>
        <w:t>ai</w:t>
      </w:r>
      <w:r w:rsidRPr="00077CE2">
        <w:t>, bija saistīt</w:t>
      </w:r>
      <w:r>
        <w:t>a</w:t>
      </w:r>
      <w:r w:rsidRPr="00077CE2">
        <w:t xml:space="preserve"> ar tā</w:t>
      </w:r>
      <w:r>
        <w:t>s valdes priekšsēdētāja</w:t>
      </w:r>
      <w:r w:rsidRPr="00077CE2">
        <w:t xml:space="preserve"> </w:t>
      </w:r>
      <w:r>
        <w:t xml:space="preserve">un </w:t>
      </w:r>
      <w:r w:rsidR="0033069E">
        <w:t>citu</w:t>
      </w:r>
      <w:r>
        <w:t xml:space="preserve"> valdes locekļa</w:t>
      </w:r>
      <w:r w:rsidRPr="00077CE2">
        <w:t xml:space="preserve"> kriminālvajāšanu un aizturēšanu un attiecās uz </w:t>
      </w:r>
      <w:r>
        <w:t>„</w:t>
      </w:r>
      <w:r w:rsidRPr="00077CE2">
        <w:t>nelikumību" Valsts atbildības likuma 7. līdz 9.</w:t>
      </w:r>
      <w:r>
        <w:t> </w:t>
      </w:r>
      <w:r w:rsidRPr="00077CE2">
        <w:t xml:space="preserve">panta </w:t>
      </w:r>
      <w:r>
        <w:t>izpratnē.</w:t>
      </w:r>
      <w:r w:rsidRPr="00077CE2">
        <w:t xml:space="preserve"> Lai saņemtu kompensāciju no valsts, šie noteikumi par </w:t>
      </w:r>
      <w:r>
        <w:t>„</w:t>
      </w:r>
      <w:r w:rsidRPr="00077CE2">
        <w:t xml:space="preserve">nelikumīgu" raksturo jebkuru tiesas </w:t>
      </w:r>
      <w:r>
        <w:t>nolēmumu</w:t>
      </w:r>
      <w:r w:rsidRPr="00077CE2">
        <w:t xml:space="preserve">, kas </w:t>
      </w:r>
      <w:r>
        <w:t>beigās</w:t>
      </w:r>
      <w:r w:rsidRPr="00077CE2">
        <w:t xml:space="preserve"> ti</w:t>
      </w:r>
      <w:r>
        <w:t>cis</w:t>
      </w:r>
      <w:r w:rsidRPr="00077CE2">
        <w:t xml:space="preserve"> atcelts vai </w:t>
      </w:r>
      <w:r>
        <w:t>pārskatīts</w:t>
      </w:r>
      <w:r w:rsidRPr="00077CE2">
        <w:t xml:space="preserve">, un jebkuru apsūdzētā aizturēšanu, ja kriminālprocess </w:t>
      </w:r>
      <w:r>
        <w:t>nav noslēdzies</w:t>
      </w:r>
      <w:r w:rsidRPr="00077CE2">
        <w:t xml:space="preserve"> ar </w:t>
      </w:r>
      <w:r>
        <w:t>tā</w:t>
      </w:r>
      <w:r w:rsidRPr="00077CE2">
        <w:t xml:space="preserve"> notiesāšanu.</w:t>
      </w:r>
    </w:p>
    <w:p w14:paraId="54D7C45E" w14:textId="13720EB9" w:rsidR="00A03A44" w:rsidRDefault="00A03A44" w:rsidP="00326FE4">
      <w:pPr>
        <w:jc w:val="both"/>
      </w:pPr>
      <w:r w:rsidRPr="00A03A44">
        <w:t xml:space="preserve">140. Citiem vārdiem sakot, </w:t>
      </w:r>
      <w:r>
        <w:t>iesniedzēja sabiedrība</w:t>
      </w:r>
      <w:r w:rsidRPr="00A03A44">
        <w:t xml:space="preserve"> uzskatīja, ka kriminālprocess pret </w:t>
      </w:r>
      <w:r>
        <w:t>tās valdes priekšsēdētāju un citu valdes locekli</w:t>
      </w:r>
      <w:r w:rsidRPr="00A03A44">
        <w:t xml:space="preserve"> un viņu aizturēšana ir bijusi </w:t>
      </w:r>
      <w:r>
        <w:t>„</w:t>
      </w:r>
      <w:r w:rsidRPr="00A03A44">
        <w:t xml:space="preserve">nelikumīga” tikai tāpēc, ka </w:t>
      </w:r>
      <w:r>
        <w:t>šīs</w:t>
      </w:r>
      <w:r w:rsidRPr="00A03A44">
        <w:t xml:space="preserve"> personas </w:t>
      </w:r>
      <w:r>
        <w:t>beigās</w:t>
      </w:r>
      <w:r w:rsidRPr="00A03A44">
        <w:t xml:space="preserve"> tika attaisnotas. </w:t>
      </w:r>
      <w:r>
        <w:t>Iesniedzēja sabiedrība</w:t>
      </w:r>
      <w:r w:rsidRPr="00A03A44">
        <w:t xml:space="preserve"> uzskata, ka lēmums par </w:t>
      </w:r>
      <w:r>
        <w:t>tās mantas</w:t>
      </w:r>
      <w:r w:rsidRPr="00A03A44">
        <w:t xml:space="preserve"> arestu šajā kriminālprocesā arī bija </w:t>
      </w:r>
      <w:r>
        <w:t>„</w:t>
      </w:r>
      <w:r w:rsidRPr="00A03A44">
        <w:t xml:space="preserve">nelikumīgs” </w:t>
      </w:r>
      <w:r>
        <w:t xml:space="preserve">sakarā ar [apsūdzēto] </w:t>
      </w:r>
      <w:r w:rsidRPr="00A03A44">
        <w:t>attaisnošan</w:t>
      </w:r>
      <w:r>
        <w:t>u</w:t>
      </w:r>
      <w:r w:rsidRPr="00A03A44">
        <w:t xml:space="preserve">, nevis tāpēc, ka šis lēmums bija nelikumīgs jau no paša sākuma vai </w:t>
      </w:r>
      <w:r>
        <w:t>bija</w:t>
      </w:r>
      <w:r w:rsidRPr="00A03A44">
        <w:t xml:space="preserve"> kļuvis nelikumīgs </w:t>
      </w:r>
      <w:r>
        <w:t>kādā brīdī</w:t>
      </w:r>
      <w:r w:rsidRPr="00A03A44">
        <w:t xml:space="preserve"> pirms viņu attaisnošanas.</w:t>
      </w:r>
    </w:p>
    <w:p w14:paraId="441C87D7" w14:textId="769F8F8A" w:rsidR="009F0B22" w:rsidRDefault="009F0B22" w:rsidP="00326FE4">
      <w:pPr>
        <w:jc w:val="both"/>
      </w:pPr>
      <w:r w:rsidRPr="009F0B22">
        <w:t xml:space="preserve">141. Ņemot to vērā, </w:t>
      </w:r>
      <w:r>
        <w:t>Lielā palāta</w:t>
      </w:r>
      <w:r w:rsidRPr="009F0B22">
        <w:t xml:space="preserve"> konstatē, ka </w:t>
      </w:r>
      <w:r>
        <w:t>iesniedzējas</w:t>
      </w:r>
      <w:r w:rsidRPr="009F0B22">
        <w:t xml:space="preserve"> sabiedrības </w:t>
      </w:r>
      <w:r w:rsidRPr="001928C0">
        <w:rPr>
          <w:u w:val="single"/>
        </w:rPr>
        <w:t>iesniegums ir balstīts uz diviem pamatiem jeb faktu kopumiem</w:t>
      </w:r>
      <w:r w:rsidRPr="009F0B22">
        <w:t xml:space="preserve">, kas veido iespējamo </w:t>
      </w:r>
      <w:r>
        <w:t>iesniedzējas</w:t>
      </w:r>
      <w:r w:rsidRPr="009F0B22">
        <w:t xml:space="preserve"> īpašuma tiesību pārkāpumu, </w:t>
      </w:r>
      <w:r w:rsidR="001928C0">
        <w:rPr>
          <w:u w:val="single"/>
        </w:rPr>
        <w:t>kas nav</w:t>
      </w:r>
      <w:r w:rsidRPr="001928C0">
        <w:rPr>
          <w:u w:val="single"/>
        </w:rPr>
        <w:t xml:space="preserve"> nošķir</w:t>
      </w:r>
      <w:r w:rsidR="001928C0">
        <w:rPr>
          <w:u w:val="single"/>
        </w:rPr>
        <w:t xml:space="preserve">ams </w:t>
      </w:r>
      <w:r w:rsidRPr="001928C0">
        <w:rPr>
          <w:u w:val="single"/>
        </w:rPr>
        <w:t xml:space="preserve">no juridiskajiem argumentiem, kas </w:t>
      </w:r>
      <w:r w:rsidR="00A76867">
        <w:rPr>
          <w:u w:val="single"/>
        </w:rPr>
        <w:t>balstīti uz šiem</w:t>
      </w:r>
      <w:r w:rsidRPr="001928C0">
        <w:rPr>
          <w:u w:val="single"/>
        </w:rPr>
        <w:t xml:space="preserve"> fakt</w:t>
      </w:r>
      <w:r w:rsidR="00A76867">
        <w:rPr>
          <w:u w:val="single"/>
        </w:rPr>
        <w:t>iem</w:t>
      </w:r>
      <w:r w:rsidRPr="009F0B22">
        <w:t>, proti:</w:t>
      </w:r>
    </w:p>
    <w:p w14:paraId="50977ED0" w14:textId="30E42751" w:rsidR="009F0B22" w:rsidRDefault="009F0B22" w:rsidP="009F0B22">
      <w:pPr>
        <w:jc w:val="both"/>
      </w:pPr>
      <w:r>
        <w:t>(a)</w:t>
      </w:r>
      <w:r w:rsidR="006E1604">
        <w:t xml:space="preserve"> </w:t>
      </w:r>
      <w:r w:rsidR="006E1604" w:rsidRPr="00F24DF5">
        <w:rPr>
          <w:u w:val="single"/>
        </w:rPr>
        <w:t>iesniedzējas īpašuma</w:t>
      </w:r>
      <w:r w:rsidRPr="00F24DF5">
        <w:rPr>
          <w:u w:val="single"/>
        </w:rPr>
        <w:t xml:space="preserve"> arests kriminālprocesā pret </w:t>
      </w:r>
      <w:r w:rsidR="0033069E" w:rsidRPr="00F24DF5">
        <w:rPr>
          <w:u w:val="single"/>
        </w:rPr>
        <w:t>tās valdes priekšsēdētāju un citu valdes locekli</w:t>
      </w:r>
      <w:r w:rsidRPr="00F24DF5">
        <w:rPr>
          <w:u w:val="single"/>
        </w:rPr>
        <w:t xml:space="preserve"> un viņu aizturēšana</w:t>
      </w:r>
      <w:r>
        <w:t>, ko iesniedzēj</w:t>
      </w:r>
      <w:r w:rsidR="0033069E">
        <w:t>a sabiedrība</w:t>
      </w:r>
      <w:r>
        <w:t xml:space="preserve"> uzskatīja par </w:t>
      </w:r>
      <w:r w:rsidR="0033069E">
        <w:t>„</w:t>
      </w:r>
      <w:r>
        <w:t xml:space="preserve">nelikumīgu”, jo šis kriminālprocess bija </w:t>
      </w:r>
      <w:r w:rsidR="0033069E">
        <w:t xml:space="preserve">noslēdzies </w:t>
      </w:r>
      <w:r>
        <w:t xml:space="preserve">ar attaisnojošu spriedumu (turpmāk </w:t>
      </w:r>
      <w:r w:rsidR="0033069E">
        <w:t>„</w:t>
      </w:r>
      <w:r>
        <w:t>nepamatota kriminālvajāšana un aizturēšana”)</w:t>
      </w:r>
      <w:r w:rsidR="0033069E">
        <w:t xml:space="preserve"> –</w:t>
      </w:r>
      <w:r>
        <w:t xml:space="preserve"> arguments</w:t>
      </w:r>
      <w:r w:rsidR="0033069E">
        <w:t xml:space="preserve"> atbilstoši kuram</w:t>
      </w:r>
      <w:r>
        <w:t xml:space="preserve"> valstij saskaņā ar 1. protokola 1. pantu ir jāatbild par jebkād</w:t>
      </w:r>
      <w:r w:rsidR="0033069E">
        <w:t>iem zaudējumiem, kas radušies</w:t>
      </w:r>
      <w:r>
        <w:t xml:space="preserve"> īpašumam kriminālprocesā, kurā apsūdzētais </w:t>
      </w:r>
      <w:r w:rsidR="0033069E">
        <w:t>beigās</w:t>
      </w:r>
      <w:r>
        <w:t xml:space="preserve"> ti</w:t>
      </w:r>
      <w:r w:rsidR="0033069E">
        <w:t>cis</w:t>
      </w:r>
      <w:r>
        <w:t xml:space="preserve"> attaisnots; un</w:t>
      </w:r>
    </w:p>
    <w:p w14:paraId="1B27AC80" w14:textId="62529233" w:rsidR="009F0B22" w:rsidRDefault="009F0B22" w:rsidP="009F0B22">
      <w:pPr>
        <w:jc w:val="both"/>
      </w:pPr>
      <w:r>
        <w:t xml:space="preserve">(b) </w:t>
      </w:r>
      <w:r w:rsidRPr="00AE2214">
        <w:rPr>
          <w:u w:val="single"/>
        </w:rPr>
        <w:t xml:space="preserve">iespēja, ka vietējās iestādes nav veikušas saprātīgus pasākumus, kas nepieciešami </w:t>
      </w:r>
      <w:r w:rsidR="00AE2214">
        <w:rPr>
          <w:u w:val="single"/>
        </w:rPr>
        <w:t>iesniedzējas</w:t>
      </w:r>
      <w:r w:rsidRPr="00AE2214">
        <w:rPr>
          <w:u w:val="single"/>
        </w:rPr>
        <w:t xml:space="preserve"> īpašuma saglabāšanai</w:t>
      </w:r>
      <w:r>
        <w:t xml:space="preserve">, tas ir, nespēja </w:t>
      </w:r>
      <w:r w:rsidR="0033069E">
        <w:t>pasargāt iekārtas</w:t>
      </w:r>
      <w:r>
        <w:t xml:space="preserve">, kas </w:t>
      </w:r>
      <w:r w:rsidR="0033069E">
        <w:t xml:space="preserve">atradās </w:t>
      </w:r>
      <w:r>
        <w:t>iesniedzēja</w:t>
      </w:r>
      <w:r w:rsidR="0033069E">
        <w:t>s sabiedrības telpās</w:t>
      </w:r>
      <w:r>
        <w:t xml:space="preserve">, un pienācīgi neuzglabāja </w:t>
      </w:r>
      <w:r w:rsidR="0033069E">
        <w:t>arestētās</w:t>
      </w:r>
      <w:r>
        <w:t xml:space="preserve"> preces</w:t>
      </w:r>
      <w:r w:rsidR="0033069E">
        <w:t xml:space="preserve"> –</w:t>
      </w:r>
      <w:r>
        <w:t xml:space="preserve"> bezdarbība, kas, iespējams, pārkāpj valsts saistības saskaņā ar 1.</w:t>
      </w:r>
      <w:r w:rsidR="0033069E">
        <w:t> </w:t>
      </w:r>
      <w:r>
        <w:t>protokola 1.</w:t>
      </w:r>
      <w:r w:rsidR="0033069E">
        <w:t> </w:t>
      </w:r>
      <w:r>
        <w:t xml:space="preserve">pantu (sk., </w:t>
      </w:r>
      <w:r w:rsidRPr="00FB1ED2">
        <w:rPr>
          <w:i/>
          <w:iCs/>
        </w:rPr>
        <w:t xml:space="preserve">piemēram, </w:t>
      </w:r>
      <w:r w:rsidR="00FB1ED2" w:rsidRPr="00FB1ED2">
        <w:rPr>
          <w:i/>
          <w:iCs/>
        </w:rPr>
        <w:t>2010. gada 13. jūlija sprieduma lietā „</w:t>
      </w:r>
      <w:proofErr w:type="spellStart"/>
      <w:r w:rsidR="00FB1ED2" w:rsidRPr="00FB1ED2">
        <w:rPr>
          <w:i/>
          <w:iCs/>
        </w:rPr>
        <w:t>Tendam</w:t>
      </w:r>
      <w:proofErr w:type="spellEnd"/>
      <w:r w:rsidR="00FB1ED2" w:rsidRPr="00FB1ED2">
        <w:rPr>
          <w:i/>
          <w:iCs/>
        </w:rPr>
        <w:t xml:space="preserve"> c. </w:t>
      </w:r>
      <w:proofErr w:type="spellStart"/>
      <w:r w:rsidR="00FB1ED2" w:rsidRPr="00FB1ED2">
        <w:rPr>
          <w:i/>
          <w:iCs/>
        </w:rPr>
        <w:t>Espagne</w:t>
      </w:r>
      <w:proofErr w:type="spellEnd"/>
      <w:r w:rsidR="00FB1ED2" w:rsidRPr="00FB1ED2">
        <w:rPr>
          <w:i/>
          <w:iCs/>
        </w:rPr>
        <w:t>”, iesnieguma Nr. </w:t>
      </w:r>
      <w:hyperlink r:id="rId12" w:history="1">
        <w:r w:rsidR="0033069E" w:rsidRPr="00FB1ED2">
          <w:rPr>
            <w:rStyle w:val="Hyperlink"/>
            <w:i/>
            <w:iCs/>
          </w:rPr>
          <w:t>25720/05</w:t>
        </w:r>
      </w:hyperlink>
      <w:r w:rsidR="0033069E" w:rsidRPr="00FB1ED2">
        <w:rPr>
          <w:i/>
          <w:iCs/>
        </w:rPr>
        <w:t>, 51</w:t>
      </w:r>
      <w:r w:rsidR="00FB1ED2" w:rsidRPr="00FB1ED2">
        <w:rPr>
          <w:i/>
          <w:iCs/>
        </w:rPr>
        <w:t xml:space="preserve"> un </w:t>
      </w:r>
      <w:r w:rsidR="0033069E" w:rsidRPr="00FB1ED2">
        <w:rPr>
          <w:i/>
          <w:iCs/>
        </w:rPr>
        <w:t>16</w:t>
      </w:r>
      <w:r w:rsidR="00FB1ED2" w:rsidRPr="00FB1ED2">
        <w:rPr>
          <w:i/>
          <w:iCs/>
        </w:rPr>
        <w:t>0. punktu zemāk</w:t>
      </w:r>
      <w:r>
        <w:t>).</w:t>
      </w:r>
    </w:p>
    <w:p w14:paraId="488D491A" w14:textId="3C937E16" w:rsidR="00FB1ED2" w:rsidRDefault="00FB1ED2" w:rsidP="009F0B22">
      <w:pPr>
        <w:jc w:val="both"/>
      </w:pPr>
      <w:r w:rsidRPr="00FB1ED2">
        <w:t xml:space="preserve">145. Lai persona varētu iesniegt </w:t>
      </w:r>
      <w:r>
        <w:t>iesniegumu</w:t>
      </w:r>
      <w:r w:rsidRPr="00FB1ED2">
        <w:t xml:space="preserve"> saskaņā ar Konvencijas 34.</w:t>
      </w:r>
      <w:r>
        <w:t> </w:t>
      </w:r>
      <w:r w:rsidRPr="00FB1ED2">
        <w:t xml:space="preserve">pantu, tai ir jāspēj pierādīt, ka </w:t>
      </w:r>
      <w:r>
        <w:t>to</w:t>
      </w:r>
      <w:r w:rsidRPr="00FB1ED2">
        <w:t xml:space="preserve"> tieši ietekmējis pasākums, par kuru ir iesniegta sūdzība</w:t>
      </w:r>
      <w:r>
        <w:t xml:space="preserve"> –</w:t>
      </w:r>
      <w:r w:rsidRPr="00FB1ED2">
        <w:t xml:space="preserve"> tas ir nepieciešams, lai iedarbinātu Konvencijas aizsardzības mehānismu (sk.</w:t>
      </w:r>
      <w:r>
        <w:t xml:space="preserve"> </w:t>
      </w:r>
      <w:r w:rsidRPr="00FB1ED2">
        <w:rPr>
          <w:i/>
          <w:iCs/>
        </w:rPr>
        <w:t>2014. gada 17. jūlija Lielās palātas sprieduma lietā „</w:t>
      </w:r>
      <w:proofErr w:type="spellStart"/>
      <w:r w:rsidRPr="00FB1ED2">
        <w:rPr>
          <w:i/>
          <w:iCs/>
        </w:rPr>
        <w:t>Centre</w:t>
      </w:r>
      <w:proofErr w:type="spellEnd"/>
      <w:r w:rsidRPr="00FB1ED2">
        <w:rPr>
          <w:i/>
          <w:iCs/>
        </w:rPr>
        <w:t xml:space="preserve"> </w:t>
      </w:r>
      <w:proofErr w:type="spellStart"/>
      <w:r w:rsidRPr="00FB1ED2">
        <w:rPr>
          <w:i/>
          <w:iCs/>
        </w:rPr>
        <w:t>for</w:t>
      </w:r>
      <w:proofErr w:type="spellEnd"/>
      <w:r w:rsidRPr="00FB1ED2">
        <w:rPr>
          <w:i/>
          <w:iCs/>
        </w:rPr>
        <w:t xml:space="preserve"> </w:t>
      </w:r>
      <w:proofErr w:type="spellStart"/>
      <w:r w:rsidRPr="00FB1ED2">
        <w:rPr>
          <w:i/>
          <w:iCs/>
        </w:rPr>
        <w:t>Legal</w:t>
      </w:r>
      <w:proofErr w:type="spellEnd"/>
      <w:r w:rsidRPr="00FB1ED2">
        <w:rPr>
          <w:i/>
          <w:iCs/>
        </w:rPr>
        <w:t xml:space="preserve"> </w:t>
      </w:r>
      <w:proofErr w:type="spellStart"/>
      <w:r w:rsidRPr="00FB1ED2">
        <w:rPr>
          <w:i/>
          <w:iCs/>
        </w:rPr>
        <w:t>Resources</w:t>
      </w:r>
      <w:proofErr w:type="spellEnd"/>
      <w:r w:rsidRPr="00FB1ED2">
        <w:rPr>
          <w:i/>
          <w:iCs/>
        </w:rPr>
        <w:t xml:space="preserve"> </w:t>
      </w:r>
      <w:proofErr w:type="spellStart"/>
      <w:r w:rsidRPr="00FB1ED2">
        <w:rPr>
          <w:i/>
          <w:iCs/>
        </w:rPr>
        <w:t>on</w:t>
      </w:r>
      <w:proofErr w:type="spellEnd"/>
      <w:r w:rsidRPr="00FB1ED2">
        <w:rPr>
          <w:i/>
          <w:iCs/>
        </w:rPr>
        <w:t xml:space="preserve"> </w:t>
      </w:r>
      <w:proofErr w:type="spellStart"/>
      <w:r w:rsidRPr="00FB1ED2">
        <w:rPr>
          <w:i/>
          <w:iCs/>
        </w:rPr>
        <w:t>behalf</w:t>
      </w:r>
      <w:proofErr w:type="spellEnd"/>
      <w:r w:rsidRPr="00FB1ED2">
        <w:rPr>
          <w:i/>
          <w:iCs/>
        </w:rPr>
        <w:t xml:space="preserve"> </w:t>
      </w:r>
      <w:proofErr w:type="spellStart"/>
      <w:r w:rsidRPr="00FB1ED2">
        <w:rPr>
          <w:i/>
          <w:iCs/>
        </w:rPr>
        <w:t>of</w:t>
      </w:r>
      <w:proofErr w:type="spellEnd"/>
      <w:r w:rsidRPr="00FB1ED2">
        <w:rPr>
          <w:i/>
          <w:iCs/>
        </w:rPr>
        <w:t xml:space="preserve"> </w:t>
      </w:r>
      <w:proofErr w:type="spellStart"/>
      <w:r w:rsidRPr="00FB1ED2">
        <w:rPr>
          <w:i/>
          <w:iCs/>
        </w:rPr>
        <w:t>Valentin</w:t>
      </w:r>
      <w:proofErr w:type="spellEnd"/>
      <w:r w:rsidRPr="00FB1ED2">
        <w:rPr>
          <w:i/>
          <w:iCs/>
        </w:rPr>
        <w:t xml:space="preserve"> </w:t>
      </w:r>
      <w:proofErr w:type="spellStart"/>
      <w:r w:rsidRPr="00FB1ED2">
        <w:rPr>
          <w:i/>
          <w:iCs/>
        </w:rPr>
        <w:t>Câmpeanu</w:t>
      </w:r>
      <w:proofErr w:type="spellEnd"/>
      <w:r w:rsidRPr="00FB1ED2">
        <w:rPr>
          <w:i/>
          <w:iCs/>
        </w:rPr>
        <w:t xml:space="preserve"> v. </w:t>
      </w:r>
      <w:proofErr w:type="spellStart"/>
      <w:r w:rsidRPr="00FB1ED2">
        <w:rPr>
          <w:i/>
          <w:iCs/>
        </w:rPr>
        <w:t>Romania</w:t>
      </w:r>
      <w:proofErr w:type="spellEnd"/>
      <w:r w:rsidRPr="00FB1ED2">
        <w:rPr>
          <w:i/>
          <w:iCs/>
        </w:rPr>
        <w:t>”, iesnieguma Nr. </w:t>
      </w:r>
      <w:hyperlink r:id="rId13" w:history="1">
        <w:r w:rsidRPr="00FB1ED2">
          <w:rPr>
            <w:rStyle w:val="Hyperlink"/>
            <w:i/>
            <w:iCs/>
          </w:rPr>
          <w:t>47848/08</w:t>
        </w:r>
      </w:hyperlink>
      <w:r w:rsidRPr="00FB1ED2">
        <w:rPr>
          <w:i/>
          <w:iCs/>
        </w:rPr>
        <w:t>, 96. punktu</w:t>
      </w:r>
      <w:r w:rsidRPr="00FB1ED2">
        <w:t xml:space="preserve">). Tāpat Tiesa savu lēmumu var balstīt tikai uz faktiem, par kuriem </w:t>
      </w:r>
      <w:r w:rsidR="00D901C4">
        <w:t xml:space="preserve">iesniedzējs sūdzējies iesniegumā </w:t>
      </w:r>
      <w:r w:rsidRPr="00FB1ED2">
        <w:t>(</w:t>
      </w:r>
      <w:r w:rsidR="00D901C4">
        <w:t>sk.</w:t>
      </w:r>
      <w:r w:rsidR="002D7D53">
        <w:t xml:space="preserve"> </w:t>
      </w:r>
      <w:r w:rsidR="002D7D53" w:rsidRPr="002D7D53">
        <w:rPr>
          <w:i/>
          <w:iCs/>
        </w:rPr>
        <w:t>137. punktu iepriekš un</w:t>
      </w:r>
      <w:r w:rsidR="00D901C4" w:rsidRPr="002D7D53">
        <w:rPr>
          <w:i/>
          <w:iCs/>
        </w:rPr>
        <w:t xml:space="preserve"> iepriekš minētā</w:t>
      </w:r>
      <w:r w:rsidRPr="002D7D53">
        <w:rPr>
          <w:i/>
          <w:iCs/>
        </w:rPr>
        <w:t xml:space="preserve"> spriedum</w:t>
      </w:r>
      <w:r w:rsidR="00D901C4" w:rsidRPr="002D7D53">
        <w:rPr>
          <w:i/>
          <w:iCs/>
        </w:rPr>
        <w:t xml:space="preserve">a </w:t>
      </w:r>
      <w:r w:rsidRPr="002D7D53">
        <w:rPr>
          <w:i/>
          <w:iCs/>
        </w:rPr>
        <w:t xml:space="preserve">lietā </w:t>
      </w:r>
      <w:r w:rsidR="00D901C4" w:rsidRPr="002D7D53">
        <w:rPr>
          <w:i/>
          <w:iCs/>
        </w:rPr>
        <w:t>„</w:t>
      </w:r>
      <w:proofErr w:type="spellStart"/>
      <w:r w:rsidR="00D901C4" w:rsidRPr="002D7D53">
        <w:rPr>
          <w:i/>
          <w:iCs/>
        </w:rPr>
        <w:t>Radomilja</w:t>
      </w:r>
      <w:proofErr w:type="spellEnd"/>
      <w:r w:rsidR="00D901C4" w:rsidRPr="002D7D53">
        <w:rPr>
          <w:i/>
          <w:iCs/>
        </w:rPr>
        <w:t xml:space="preserve"> </w:t>
      </w:r>
      <w:proofErr w:type="spellStart"/>
      <w:r w:rsidR="00D901C4" w:rsidRPr="002D7D53">
        <w:rPr>
          <w:i/>
          <w:iCs/>
        </w:rPr>
        <w:t>and</w:t>
      </w:r>
      <w:proofErr w:type="spellEnd"/>
      <w:r w:rsidR="00D901C4" w:rsidRPr="002D7D53">
        <w:rPr>
          <w:i/>
          <w:iCs/>
        </w:rPr>
        <w:t xml:space="preserve"> </w:t>
      </w:r>
      <w:proofErr w:type="spellStart"/>
      <w:r w:rsidR="00D901C4" w:rsidRPr="002D7D53">
        <w:rPr>
          <w:i/>
          <w:iCs/>
        </w:rPr>
        <w:t>Others</w:t>
      </w:r>
      <w:proofErr w:type="spellEnd"/>
      <w:r w:rsidR="00D901C4" w:rsidRPr="002D7D53">
        <w:rPr>
          <w:i/>
          <w:iCs/>
        </w:rPr>
        <w:t xml:space="preserve"> v. </w:t>
      </w:r>
      <w:proofErr w:type="spellStart"/>
      <w:r w:rsidR="00D901C4" w:rsidRPr="002D7D53">
        <w:rPr>
          <w:i/>
          <w:iCs/>
        </w:rPr>
        <w:t>Croatia</w:t>
      </w:r>
      <w:proofErr w:type="spellEnd"/>
      <w:r w:rsidR="00D901C4" w:rsidRPr="002D7D53">
        <w:rPr>
          <w:i/>
          <w:iCs/>
        </w:rPr>
        <w:t xml:space="preserve">” </w:t>
      </w:r>
      <w:r w:rsidRPr="002D7D53">
        <w:rPr>
          <w:i/>
          <w:iCs/>
        </w:rPr>
        <w:t>120.–121. un</w:t>
      </w:r>
      <w:r w:rsidRPr="00D901C4">
        <w:rPr>
          <w:i/>
          <w:iCs/>
        </w:rPr>
        <w:t xml:space="preserve"> 124.</w:t>
      </w:r>
      <w:r w:rsidR="00D901C4" w:rsidRPr="00D901C4">
        <w:rPr>
          <w:i/>
          <w:iCs/>
        </w:rPr>
        <w:t> </w:t>
      </w:r>
      <w:r w:rsidRPr="00D901C4">
        <w:rPr>
          <w:i/>
          <w:iCs/>
        </w:rPr>
        <w:t>punkt</w:t>
      </w:r>
      <w:r w:rsidR="00D901C4" w:rsidRPr="00D901C4">
        <w:rPr>
          <w:i/>
          <w:iCs/>
        </w:rPr>
        <w:t>u</w:t>
      </w:r>
      <w:r w:rsidRPr="00FB1ED2">
        <w:t xml:space="preserve">). Līdz ar to nepietiek ar to, ka Konvencijas pārkāpums ir </w:t>
      </w:r>
      <w:r w:rsidR="0033390D">
        <w:t>„</w:t>
      </w:r>
      <w:r w:rsidRPr="00FB1ED2">
        <w:t xml:space="preserve">acīmredzams” no lietas faktiem vai iesniedzēja </w:t>
      </w:r>
      <w:r w:rsidR="00830C96">
        <w:t xml:space="preserve">apgalvojumiem, bet gan </w:t>
      </w:r>
      <w:r w:rsidRPr="00830C96">
        <w:rPr>
          <w:u w:val="single"/>
        </w:rPr>
        <w:t xml:space="preserve">iesniedzējam ir </w:t>
      </w:r>
      <w:r w:rsidR="00830C96" w:rsidRPr="00830C96">
        <w:rPr>
          <w:u w:val="single"/>
        </w:rPr>
        <w:t xml:space="preserve">jāizvirza sūdzība </w:t>
      </w:r>
      <w:r w:rsidRPr="00830C96">
        <w:rPr>
          <w:u w:val="single"/>
        </w:rPr>
        <w:t>par to, ka noteikta darbība vai bezdarbība ir saistīta ar Konvencijā vai tās protokolos noteikto tiesību pārkāpumu</w:t>
      </w:r>
      <w:r w:rsidRPr="00FB1ED2">
        <w:t xml:space="preserve"> (turpat </w:t>
      </w:r>
      <w:r w:rsidRPr="00B35AD3">
        <w:rPr>
          <w:i/>
          <w:iCs/>
        </w:rPr>
        <w:t>110.</w:t>
      </w:r>
      <w:r w:rsidR="00830C96" w:rsidRPr="00B35AD3">
        <w:rPr>
          <w:i/>
          <w:iCs/>
        </w:rPr>
        <w:t> punkts</w:t>
      </w:r>
      <w:r w:rsidRPr="00FB1ED2">
        <w:t>, sk</w:t>
      </w:r>
      <w:r w:rsidR="00830C96">
        <w:t>.</w:t>
      </w:r>
      <w:r w:rsidRPr="00FB1ED2">
        <w:t xml:space="preserve"> </w:t>
      </w:r>
      <w:r w:rsidRPr="00B35AD3">
        <w:rPr>
          <w:i/>
          <w:iCs/>
        </w:rPr>
        <w:t>137.</w:t>
      </w:r>
      <w:r w:rsidR="00830C96" w:rsidRPr="00B35AD3">
        <w:rPr>
          <w:i/>
          <w:iCs/>
        </w:rPr>
        <w:t> </w:t>
      </w:r>
      <w:r w:rsidRPr="00B35AD3">
        <w:rPr>
          <w:i/>
          <w:iCs/>
        </w:rPr>
        <w:t>punktu iepriekš</w:t>
      </w:r>
      <w:r w:rsidRPr="00FB1ED2">
        <w:t xml:space="preserve">) tādā veidā, </w:t>
      </w:r>
      <w:r w:rsidR="00830C96">
        <w:t xml:space="preserve">lai </w:t>
      </w:r>
      <w:r w:rsidRPr="00FB1ED2">
        <w:t>Tiesai</w:t>
      </w:r>
      <w:r w:rsidR="00830C96">
        <w:t xml:space="preserve"> nebūtu jāmin</w:t>
      </w:r>
      <w:r w:rsidRPr="00FB1ED2">
        <w:t xml:space="preserve">, vai konkrēta sūdzība </w:t>
      </w:r>
      <w:r w:rsidR="00830C96">
        <w:t>ir izvirzīta</w:t>
      </w:r>
      <w:r w:rsidRPr="00FB1ED2">
        <w:t xml:space="preserve"> vai nē (</w:t>
      </w:r>
      <w:r w:rsidR="00830C96">
        <w:t>nacionālo</w:t>
      </w:r>
      <w:r w:rsidRPr="00FB1ED2">
        <w:t xml:space="preserve"> tiesiskās aizsardzības līdzekļu izsmelšanas kontekstā</w:t>
      </w:r>
      <w:r w:rsidR="00830C96">
        <w:t xml:space="preserve"> sk.</w:t>
      </w:r>
      <w:r w:rsidRPr="00FB1ED2">
        <w:t xml:space="preserve"> </w:t>
      </w:r>
      <w:r w:rsidR="00830C96" w:rsidRPr="00830C96">
        <w:rPr>
          <w:i/>
          <w:iCs/>
        </w:rPr>
        <w:t>2020. gada 28. maija sprieduma lietā „</w:t>
      </w:r>
      <w:proofErr w:type="spellStart"/>
      <w:r w:rsidR="00830C96" w:rsidRPr="00830C96">
        <w:rPr>
          <w:i/>
          <w:iCs/>
        </w:rPr>
        <w:t>Farzaliyev</w:t>
      </w:r>
      <w:proofErr w:type="spellEnd"/>
      <w:r w:rsidR="00830C96" w:rsidRPr="00830C96">
        <w:rPr>
          <w:i/>
          <w:iCs/>
        </w:rPr>
        <w:t xml:space="preserve"> v. </w:t>
      </w:r>
      <w:proofErr w:type="spellStart"/>
      <w:r w:rsidR="00830C96" w:rsidRPr="00830C96">
        <w:rPr>
          <w:i/>
          <w:iCs/>
        </w:rPr>
        <w:t>Azerbaijan</w:t>
      </w:r>
      <w:proofErr w:type="spellEnd"/>
      <w:r w:rsidR="00830C96" w:rsidRPr="00830C96">
        <w:rPr>
          <w:i/>
          <w:iCs/>
        </w:rPr>
        <w:t>”, iesnieguma Nr. </w:t>
      </w:r>
      <w:hyperlink r:id="rId14" w:history="1">
        <w:r w:rsidR="00830C96" w:rsidRPr="00B35AD3">
          <w:rPr>
            <w:rStyle w:val="Hyperlink"/>
            <w:i/>
            <w:iCs/>
          </w:rPr>
          <w:t>29620/07</w:t>
        </w:r>
      </w:hyperlink>
      <w:r w:rsidR="00830C96" w:rsidRPr="00830C96">
        <w:rPr>
          <w:i/>
          <w:iCs/>
        </w:rPr>
        <w:t>, 55. punktu</w:t>
      </w:r>
      <w:r w:rsidRPr="00FB1ED2">
        <w:t>).</w:t>
      </w:r>
    </w:p>
    <w:p w14:paraId="20CCFE42" w14:textId="5888D252" w:rsidR="002D7D53" w:rsidRDefault="002D7D53" w:rsidP="009F0B22">
      <w:pPr>
        <w:jc w:val="both"/>
      </w:pPr>
      <w:r w:rsidRPr="002D7D53">
        <w:t xml:space="preserve">146. </w:t>
      </w:r>
      <w:r>
        <w:t>It īpaši</w:t>
      </w:r>
      <w:r w:rsidRPr="002D7D53">
        <w:t xml:space="preserve"> Tiesa ir atzinusi, ka ar neskaidrām frāzēm vai atsevišķiem vārdiem nepietiek, lai pieņemtu, ka ir celta konkrēta sūdzība (sk. </w:t>
      </w:r>
      <w:r w:rsidRPr="002D7D53">
        <w:rPr>
          <w:i/>
          <w:iCs/>
        </w:rPr>
        <w:t>2019. gada 21. novembra Lielās palātas sprieduma lietā „</w:t>
      </w:r>
      <w:proofErr w:type="spellStart"/>
      <w:r w:rsidRPr="002D7D53">
        <w:rPr>
          <w:i/>
          <w:iCs/>
        </w:rPr>
        <w:t>Ilias</w:t>
      </w:r>
      <w:proofErr w:type="spellEnd"/>
      <w:r w:rsidRPr="002D7D53">
        <w:rPr>
          <w:i/>
          <w:iCs/>
        </w:rPr>
        <w:t xml:space="preserve"> </w:t>
      </w:r>
      <w:proofErr w:type="spellStart"/>
      <w:r w:rsidRPr="002D7D53">
        <w:rPr>
          <w:i/>
          <w:iCs/>
        </w:rPr>
        <w:t>and</w:t>
      </w:r>
      <w:proofErr w:type="spellEnd"/>
      <w:r w:rsidRPr="002D7D53">
        <w:rPr>
          <w:i/>
          <w:iCs/>
        </w:rPr>
        <w:t xml:space="preserve"> Ahmed v. </w:t>
      </w:r>
      <w:proofErr w:type="spellStart"/>
      <w:r w:rsidRPr="002D7D53">
        <w:rPr>
          <w:i/>
          <w:iCs/>
        </w:rPr>
        <w:t>Hungary</w:t>
      </w:r>
      <w:proofErr w:type="spellEnd"/>
      <w:r w:rsidRPr="002D7D53">
        <w:rPr>
          <w:i/>
          <w:iCs/>
        </w:rPr>
        <w:t>”, iesnieguma Nr. </w:t>
      </w:r>
      <w:hyperlink r:id="rId15" w:history="1">
        <w:r w:rsidRPr="002D7D53">
          <w:rPr>
            <w:rStyle w:val="Hyperlink"/>
            <w:i/>
            <w:iCs/>
          </w:rPr>
          <w:t>47287/15</w:t>
        </w:r>
      </w:hyperlink>
      <w:r w:rsidRPr="002D7D53">
        <w:rPr>
          <w:i/>
          <w:iCs/>
        </w:rPr>
        <w:t>, 85. punktu</w:t>
      </w:r>
      <w:r w:rsidRPr="002D7D53">
        <w:t>). Tas izriet no Tiesas reglamenta 47.</w:t>
      </w:r>
      <w:r>
        <w:t> </w:t>
      </w:r>
      <w:r w:rsidRPr="002D7D53">
        <w:t>noteikuma 1.</w:t>
      </w:r>
      <w:r>
        <w:t> </w:t>
      </w:r>
      <w:r w:rsidRPr="002D7D53">
        <w:t xml:space="preserve">punkta </w:t>
      </w:r>
      <w:r>
        <w:t>„</w:t>
      </w:r>
      <w:r w:rsidRPr="002D7D53">
        <w:t>e</w:t>
      </w:r>
      <w:r>
        <w:t>”</w:t>
      </w:r>
      <w:r w:rsidRPr="002D7D53">
        <w:t>–</w:t>
      </w:r>
      <w:r>
        <w:t>„</w:t>
      </w:r>
      <w:r w:rsidRPr="002D7D53">
        <w:t>f</w:t>
      </w:r>
      <w:r>
        <w:t>” </w:t>
      </w:r>
      <w:r w:rsidRPr="002D7D53">
        <w:t>apakšpunkta un 2.</w:t>
      </w:r>
      <w:r>
        <w:t> </w:t>
      </w:r>
      <w:r w:rsidRPr="002D7D53">
        <w:t xml:space="preserve">punkta </w:t>
      </w:r>
      <w:r>
        <w:t>„a” </w:t>
      </w:r>
      <w:r w:rsidRPr="002D7D53">
        <w:t>apakšpunkta, kas paredz, ka visos pieteikumos</w:t>
      </w:r>
      <w:r>
        <w:t xml:space="preserve"> citastarp</w:t>
      </w:r>
      <w:r w:rsidRPr="002D7D53">
        <w:t xml:space="preserve"> jāietver īss un salasāms faktu un iespējamā </w:t>
      </w:r>
      <w:r>
        <w:t xml:space="preserve">Konvencijas </w:t>
      </w:r>
      <w:r w:rsidRPr="002D7D53">
        <w:t>pārkāpuma</w:t>
      </w:r>
      <w:r>
        <w:t xml:space="preserve"> vai pārkāpumu</w:t>
      </w:r>
      <w:r w:rsidRPr="002D7D53">
        <w:t xml:space="preserve"> izklāsts</w:t>
      </w:r>
      <w:r>
        <w:t xml:space="preserve"> </w:t>
      </w:r>
      <w:r w:rsidRPr="002D7D53">
        <w:t xml:space="preserve">un </w:t>
      </w:r>
      <w:r>
        <w:t>nozīmīgie</w:t>
      </w:r>
      <w:r w:rsidRPr="002D7D53">
        <w:t xml:space="preserve"> argument</w:t>
      </w:r>
      <w:r>
        <w:t>i</w:t>
      </w:r>
      <w:r w:rsidRPr="002D7D53">
        <w:t xml:space="preserve"> un ka šai informācijai </w:t>
      </w:r>
      <w:r>
        <w:t>būtu jābūt</w:t>
      </w:r>
      <w:r w:rsidRPr="002D7D53">
        <w:t xml:space="preserve"> pietiekamai, lai Tiesa varētu noteikt </w:t>
      </w:r>
      <w:r>
        <w:t>iesnieguma</w:t>
      </w:r>
      <w:r w:rsidRPr="002D7D53">
        <w:t xml:space="preserve"> raksturu un </w:t>
      </w:r>
      <w:r>
        <w:t>tvērumu</w:t>
      </w:r>
      <w:r w:rsidRPr="002D7D53">
        <w:t>, neizmantojot citus dokumentus.</w:t>
      </w:r>
    </w:p>
    <w:p w14:paraId="5EEE758F" w14:textId="5330D9AC" w:rsidR="00FB1ED2" w:rsidRDefault="00F24DF5" w:rsidP="009F0B22">
      <w:pPr>
        <w:jc w:val="both"/>
      </w:pPr>
      <w:r w:rsidRPr="00F24DF5">
        <w:t xml:space="preserve">148. Ņemot vērā iepriekš minētos apsvērumus, Lielā palāta konstatē, ka </w:t>
      </w:r>
      <w:r>
        <w:t xml:space="preserve">iesnieguma </w:t>
      </w:r>
      <w:r w:rsidRPr="00F24DF5">
        <w:t xml:space="preserve">veidlapā </w:t>
      </w:r>
      <w:r>
        <w:t xml:space="preserve">iesniedzējas sabiedrības </w:t>
      </w:r>
      <w:r w:rsidRPr="00AE2214">
        <w:rPr>
          <w:u w:val="single"/>
        </w:rPr>
        <w:t>norādītais par preču uzglabāšanu piecus gadus</w:t>
      </w:r>
      <w:r w:rsidRPr="00F24DF5">
        <w:t xml:space="preserve"> bija pārāk neskaidrs, lai to varētu </w:t>
      </w:r>
      <w:r>
        <w:t>iztulkot</w:t>
      </w:r>
      <w:r w:rsidRPr="00F24DF5">
        <w:t xml:space="preserve"> kā sūdzību par šo preču ilgstošu </w:t>
      </w:r>
      <w:r>
        <w:t>arestu</w:t>
      </w:r>
      <w:r w:rsidRPr="00F24DF5">
        <w:t xml:space="preserve"> (sal. </w:t>
      </w:r>
      <w:r w:rsidRPr="00F24DF5">
        <w:rPr>
          <w:i/>
          <w:iCs/>
        </w:rPr>
        <w:t>iepriekš citētā „</w:t>
      </w:r>
      <w:proofErr w:type="spellStart"/>
      <w:r w:rsidRPr="00F24DF5">
        <w:rPr>
          <w:i/>
          <w:iCs/>
        </w:rPr>
        <w:t>Ilias</w:t>
      </w:r>
      <w:proofErr w:type="spellEnd"/>
      <w:r w:rsidRPr="00F24DF5">
        <w:rPr>
          <w:i/>
          <w:iCs/>
        </w:rPr>
        <w:t xml:space="preserve"> </w:t>
      </w:r>
      <w:proofErr w:type="spellStart"/>
      <w:r w:rsidRPr="00F24DF5">
        <w:rPr>
          <w:i/>
          <w:iCs/>
        </w:rPr>
        <w:t>and</w:t>
      </w:r>
      <w:proofErr w:type="spellEnd"/>
      <w:r w:rsidRPr="00F24DF5">
        <w:rPr>
          <w:i/>
          <w:iCs/>
        </w:rPr>
        <w:t xml:space="preserve"> Ahmed v. </w:t>
      </w:r>
      <w:proofErr w:type="spellStart"/>
      <w:r w:rsidRPr="00F24DF5">
        <w:rPr>
          <w:i/>
          <w:iCs/>
        </w:rPr>
        <w:t>Hungary</w:t>
      </w:r>
      <w:proofErr w:type="spellEnd"/>
      <w:r w:rsidRPr="00F24DF5">
        <w:rPr>
          <w:i/>
          <w:iCs/>
        </w:rPr>
        <w:t>” 86. punktu</w:t>
      </w:r>
      <w:r w:rsidRPr="00F24DF5">
        <w:t xml:space="preserve">). Ja </w:t>
      </w:r>
      <w:r>
        <w:t>iesniedzēja sabiedrība</w:t>
      </w:r>
      <w:r w:rsidRPr="00F24DF5">
        <w:t xml:space="preserve"> </w:t>
      </w:r>
      <w:r>
        <w:t>šajā procesa stadijā</w:t>
      </w:r>
      <w:r w:rsidRPr="00F24DF5">
        <w:t xml:space="preserve"> būtu vēlēj</w:t>
      </w:r>
      <w:r>
        <w:t>usies</w:t>
      </w:r>
      <w:r w:rsidRPr="00F24DF5">
        <w:t xml:space="preserve"> sūdzēties par ilgstošu tā</w:t>
      </w:r>
      <w:r>
        <w:t>s</w:t>
      </w:r>
      <w:r w:rsidRPr="00F24DF5">
        <w:t xml:space="preserve"> īpašuma arestu, tai tas būtu</w:t>
      </w:r>
      <w:r>
        <w:t xml:space="preserve"> bijis</w:t>
      </w:r>
      <w:r w:rsidRPr="00F24DF5">
        <w:t xml:space="preserve"> skaidri jānorāda savā </w:t>
      </w:r>
      <w:r>
        <w:t>iesnieguma</w:t>
      </w:r>
      <w:r w:rsidRPr="00F24DF5">
        <w:t xml:space="preserve"> veidlapā. Tomēr tā to izdarīja tikai vēlāk savos 2016.</w:t>
      </w:r>
      <w:r>
        <w:t> </w:t>
      </w:r>
      <w:r w:rsidRPr="00F24DF5">
        <w:t>gada 17.</w:t>
      </w:r>
      <w:r>
        <w:t> </w:t>
      </w:r>
      <w:r w:rsidRPr="00F24DF5">
        <w:t xml:space="preserve">jūnija apsvērumos </w:t>
      </w:r>
      <w:r w:rsidR="00607F40">
        <w:t>P</w:t>
      </w:r>
      <w:r w:rsidRPr="00F24DF5">
        <w:t>alātai (</w:t>
      </w:r>
      <w:r>
        <w:t>sal.</w:t>
      </w:r>
      <w:r w:rsidRPr="00F24DF5">
        <w:t xml:space="preserve"> </w:t>
      </w:r>
      <w:r w:rsidRPr="00F24DF5">
        <w:rPr>
          <w:i/>
          <w:iCs/>
        </w:rPr>
        <w:t xml:space="preserve">2019. gada 18. jūlija sprieduma lietā „Rustavi 2 </w:t>
      </w:r>
      <w:proofErr w:type="spellStart"/>
      <w:r w:rsidRPr="00F24DF5">
        <w:rPr>
          <w:i/>
          <w:iCs/>
        </w:rPr>
        <w:t>Broadcasting</w:t>
      </w:r>
      <w:proofErr w:type="spellEnd"/>
      <w:r w:rsidRPr="00F24DF5">
        <w:rPr>
          <w:i/>
          <w:iCs/>
        </w:rPr>
        <w:t xml:space="preserve"> </w:t>
      </w:r>
      <w:proofErr w:type="spellStart"/>
      <w:r w:rsidRPr="00F24DF5">
        <w:rPr>
          <w:i/>
          <w:iCs/>
        </w:rPr>
        <w:t>Company</w:t>
      </w:r>
      <w:proofErr w:type="spellEnd"/>
      <w:r w:rsidRPr="00F24DF5">
        <w:rPr>
          <w:i/>
          <w:iCs/>
        </w:rPr>
        <w:t xml:space="preserve"> </w:t>
      </w:r>
      <w:proofErr w:type="spellStart"/>
      <w:r w:rsidRPr="00F24DF5">
        <w:rPr>
          <w:i/>
          <w:iCs/>
        </w:rPr>
        <w:t>Ltd</w:t>
      </w:r>
      <w:proofErr w:type="spellEnd"/>
      <w:r w:rsidRPr="00F24DF5">
        <w:rPr>
          <w:i/>
          <w:iCs/>
        </w:rPr>
        <w:t xml:space="preserve"> </w:t>
      </w:r>
      <w:proofErr w:type="spellStart"/>
      <w:r w:rsidRPr="00F24DF5">
        <w:rPr>
          <w:i/>
          <w:iCs/>
        </w:rPr>
        <w:t>and</w:t>
      </w:r>
      <w:proofErr w:type="spellEnd"/>
      <w:r w:rsidRPr="00F24DF5">
        <w:rPr>
          <w:i/>
          <w:iCs/>
        </w:rPr>
        <w:t xml:space="preserve"> </w:t>
      </w:r>
      <w:proofErr w:type="spellStart"/>
      <w:r w:rsidRPr="00F24DF5">
        <w:rPr>
          <w:i/>
          <w:iCs/>
        </w:rPr>
        <w:t>Others</w:t>
      </w:r>
      <w:proofErr w:type="spellEnd"/>
      <w:r w:rsidRPr="00F24DF5">
        <w:rPr>
          <w:i/>
          <w:iCs/>
        </w:rPr>
        <w:t xml:space="preserve"> v. </w:t>
      </w:r>
      <w:proofErr w:type="spellStart"/>
      <w:r w:rsidRPr="00F24DF5">
        <w:rPr>
          <w:i/>
          <w:iCs/>
        </w:rPr>
        <w:t>Georgia</w:t>
      </w:r>
      <w:proofErr w:type="spellEnd"/>
      <w:r w:rsidRPr="00F24DF5">
        <w:rPr>
          <w:i/>
          <w:iCs/>
        </w:rPr>
        <w:t>”, iesnieguma Nr. </w:t>
      </w:r>
      <w:hyperlink r:id="rId16" w:history="1">
        <w:r w:rsidRPr="00F24DF5">
          <w:rPr>
            <w:rStyle w:val="Hyperlink"/>
            <w:i/>
            <w:iCs/>
          </w:rPr>
          <w:t>16812/17</w:t>
        </w:r>
      </w:hyperlink>
      <w:r w:rsidRPr="00F24DF5">
        <w:rPr>
          <w:i/>
          <w:iCs/>
        </w:rPr>
        <w:t>, 246. punktu</w:t>
      </w:r>
      <w:r w:rsidRPr="00F24DF5">
        <w:t xml:space="preserve">). </w:t>
      </w:r>
      <w:r>
        <w:t>Tādējādi</w:t>
      </w:r>
      <w:r w:rsidRPr="00F24DF5">
        <w:t xml:space="preserve"> Lielā palāta uzskata, ka šis ir jautājums, kas veido jaunu sūdzību atsevišķi no </w:t>
      </w:r>
      <w:r>
        <w:t>141. punktā aprakstītajiem „a”</w:t>
      </w:r>
      <w:r w:rsidRPr="00F24DF5">
        <w:t xml:space="preserve"> un</w:t>
      </w:r>
      <w:r>
        <w:t xml:space="preserve"> „b”</w:t>
      </w:r>
      <w:r w:rsidRPr="00F24DF5">
        <w:t xml:space="preserve"> </w:t>
      </w:r>
      <w:r>
        <w:t>apakš</w:t>
      </w:r>
      <w:r w:rsidRPr="00F24DF5">
        <w:t>punkt</w:t>
      </w:r>
      <w:r>
        <w:t xml:space="preserve">iem </w:t>
      </w:r>
      <w:r w:rsidRPr="00F24DF5">
        <w:t xml:space="preserve">un kas </w:t>
      </w:r>
      <w:r>
        <w:t xml:space="preserve">tā pārbaudē </w:t>
      </w:r>
      <w:r w:rsidRPr="00F24DF5">
        <w:t xml:space="preserve">skaidrības labad </w:t>
      </w:r>
      <w:r>
        <w:t xml:space="preserve">turpmāk </w:t>
      </w:r>
      <w:r w:rsidRPr="00F24DF5">
        <w:t xml:space="preserve">tiks saukts par </w:t>
      </w:r>
      <w:r>
        <w:t>„c” apakšpunktu</w:t>
      </w:r>
      <w:r w:rsidRPr="00F24DF5">
        <w:t>.</w:t>
      </w:r>
    </w:p>
    <w:p w14:paraId="20D98EE5" w14:textId="23D60C7E" w:rsidR="008F11F7" w:rsidRPr="009C2118" w:rsidRDefault="009C2118" w:rsidP="009F0B22">
      <w:pPr>
        <w:jc w:val="both"/>
        <w:rPr>
          <w:b/>
          <w:bCs/>
        </w:rPr>
      </w:pPr>
      <w:r w:rsidRPr="009C2118">
        <w:rPr>
          <w:b/>
          <w:bCs/>
        </w:rPr>
        <w:t>B. Pieņemamība</w:t>
      </w:r>
    </w:p>
    <w:p w14:paraId="457060B6" w14:textId="289A7C2E" w:rsidR="009C2118" w:rsidRPr="009C2118" w:rsidRDefault="009C2118" w:rsidP="009F0B22">
      <w:pPr>
        <w:jc w:val="both"/>
        <w:rPr>
          <w:i/>
          <w:iCs/>
        </w:rPr>
      </w:pPr>
      <w:r w:rsidRPr="009C2118">
        <w:rPr>
          <w:i/>
          <w:iCs/>
        </w:rPr>
        <w:t xml:space="preserve">1. Sūdzība par </w:t>
      </w:r>
      <w:r w:rsidR="006065EB">
        <w:rPr>
          <w:i/>
          <w:iCs/>
        </w:rPr>
        <w:t xml:space="preserve">zaudējumiem, kas </w:t>
      </w:r>
      <w:r w:rsidR="008514B2">
        <w:rPr>
          <w:i/>
          <w:iCs/>
        </w:rPr>
        <w:t>nodarīti</w:t>
      </w:r>
      <w:r w:rsidRPr="009C2118">
        <w:rPr>
          <w:i/>
          <w:iCs/>
        </w:rPr>
        <w:t xml:space="preserve"> iesniedzējas sabiedrības īpašum</w:t>
      </w:r>
      <w:r w:rsidR="008514B2">
        <w:rPr>
          <w:i/>
          <w:iCs/>
        </w:rPr>
        <w:t>am</w:t>
      </w:r>
      <w:r w:rsidR="006065EB">
        <w:rPr>
          <w:i/>
          <w:iCs/>
        </w:rPr>
        <w:t>,</w:t>
      </w:r>
      <w:r w:rsidRPr="009C2118">
        <w:rPr>
          <w:i/>
          <w:iCs/>
        </w:rPr>
        <w:t xml:space="preserve"> nepamatot</w:t>
      </w:r>
      <w:r w:rsidR="006065EB">
        <w:rPr>
          <w:i/>
          <w:iCs/>
        </w:rPr>
        <w:t>as</w:t>
      </w:r>
      <w:r w:rsidRPr="009C2118">
        <w:rPr>
          <w:i/>
          <w:iCs/>
        </w:rPr>
        <w:t xml:space="preserve"> </w:t>
      </w:r>
      <w:r w:rsidR="006065EB">
        <w:rPr>
          <w:i/>
          <w:iCs/>
        </w:rPr>
        <w:t>sabiedrības</w:t>
      </w:r>
      <w:r w:rsidRPr="009C2118">
        <w:rPr>
          <w:i/>
          <w:iCs/>
        </w:rPr>
        <w:t xml:space="preserve"> valdes priekšsēdētāja un cita valdes locekļa kriminālvajāšan</w:t>
      </w:r>
      <w:r w:rsidR="006065EB">
        <w:rPr>
          <w:i/>
          <w:iCs/>
        </w:rPr>
        <w:t>as</w:t>
      </w:r>
      <w:r w:rsidRPr="009C2118">
        <w:rPr>
          <w:i/>
          <w:iCs/>
        </w:rPr>
        <w:t xml:space="preserve"> un aizturēšan</w:t>
      </w:r>
      <w:r w:rsidR="006065EB">
        <w:rPr>
          <w:i/>
          <w:iCs/>
        </w:rPr>
        <w:t>as dēļ</w:t>
      </w:r>
    </w:p>
    <w:p w14:paraId="66457D3D" w14:textId="157967F9" w:rsidR="00047025" w:rsidRDefault="008F11F7" w:rsidP="00326FE4">
      <w:pPr>
        <w:jc w:val="both"/>
      </w:pPr>
      <w:r w:rsidRPr="008F11F7">
        <w:t>152. Tiesa atkārto, ka saskaņā ar tās iedibināto judikatūru no 1.</w:t>
      </w:r>
      <w:r>
        <w:t> </w:t>
      </w:r>
      <w:r w:rsidRPr="008F11F7">
        <w:t>protokola 1.</w:t>
      </w:r>
      <w:r>
        <w:t> </w:t>
      </w:r>
      <w:r w:rsidRPr="008F11F7">
        <w:t>panta neizriet, ka iesniedzēja attaisnošana kriminālapsūdzībā vai kriminālprocesa pārtraukšana automātiski rada pamatu kompensācijai</w:t>
      </w:r>
      <w:r>
        <w:t xml:space="preserve"> (sk. piemēram, </w:t>
      </w:r>
      <w:r w:rsidRPr="008F11F7">
        <w:rPr>
          <w:i/>
          <w:iCs/>
        </w:rPr>
        <w:t>2006. gada 7. novembra lēmumu lietā „</w:t>
      </w:r>
      <w:proofErr w:type="spellStart"/>
      <w:r w:rsidRPr="008F11F7">
        <w:rPr>
          <w:i/>
          <w:iCs/>
        </w:rPr>
        <w:t>Adamczyk</w:t>
      </w:r>
      <w:proofErr w:type="spellEnd"/>
      <w:r w:rsidRPr="008F11F7">
        <w:rPr>
          <w:i/>
          <w:iCs/>
        </w:rPr>
        <w:t xml:space="preserve"> v. </w:t>
      </w:r>
      <w:proofErr w:type="spellStart"/>
      <w:r w:rsidRPr="008F11F7">
        <w:rPr>
          <w:i/>
          <w:iCs/>
        </w:rPr>
        <w:t>Poland</w:t>
      </w:r>
      <w:proofErr w:type="spellEnd"/>
      <w:r w:rsidRPr="008F11F7">
        <w:rPr>
          <w:i/>
          <w:iCs/>
        </w:rPr>
        <w:t>”, iesnieguma Nr. </w:t>
      </w:r>
      <w:hyperlink r:id="rId17" w:history="1">
        <w:r w:rsidRPr="008F11F7">
          <w:rPr>
            <w:rStyle w:val="Hyperlink"/>
            <w:i/>
            <w:iCs/>
          </w:rPr>
          <w:t>28551/04</w:t>
        </w:r>
      </w:hyperlink>
      <w:r w:rsidRPr="008F11F7">
        <w:rPr>
          <w:i/>
          <w:iCs/>
        </w:rPr>
        <w:t xml:space="preserve">, 2009. gada 18. jūnija lēmuma lietā „Novikov v. </w:t>
      </w:r>
      <w:proofErr w:type="spellStart"/>
      <w:r w:rsidRPr="008F11F7">
        <w:rPr>
          <w:i/>
          <w:iCs/>
        </w:rPr>
        <w:t>Russia</w:t>
      </w:r>
      <w:proofErr w:type="spellEnd"/>
      <w:r w:rsidRPr="008F11F7">
        <w:rPr>
          <w:i/>
          <w:iCs/>
        </w:rPr>
        <w:t>”, iesnieguma Nr. </w:t>
      </w:r>
      <w:hyperlink r:id="rId18" w:history="1">
        <w:r w:rsidRPr="008F11F7">
          <w:rPr>
            <w:rStyle w:val="Hyperlink"/>
            <w:i/>
            <w:iCs/>
          </w:rPr>
          <w:t>35989/02</w:t>
        </w:r>
      </w:hyperlink>
      <w:r w:rsidRPr="008F11F7">
        <w:rPr>
          <w:i/>
          <w:iCs/>
        </w:rPr>
        <w:t>, 46. punktu, iepriekš citētā „</w:t>
      </w:r>
      <w:proofErr w:type="spellStart"/>
      <w:r w:rsidRPr="008F11F7">
        <w:rPr>
          <w:i/>
          <w:iCs/>
        </w:rPr>
        <w:t>Tendam</w:t>
      </w:r>
      <w:proofErr w:type="spellEnd"/>
      <w:r w:rsidRPr="008F11F7">
        <w:rPr>
          <w:i/>
          <w:iCs/>
        </w:rPr>
        <w:t xml:space="preserve"> c. </w:t>
      </w:r>
      <w:proofErr w:type="spellStart"/>
      <w:r w:rsidRPr="008F11F7">
        <w:rPr>
          <w:i/>
          <w:iCs/>
        </w:rPr>
        <w:t>Espagne</w:t>
      </w:r>
      <w:proofErr w:type="spellEnd"/>
      <w:r w:rsidRPr="008F11F7">
        <w:rPr>
          <w:i/>
          <w:iCs/>
        </w:rPr>
        <w:t>” 51. punktu, 2014. gada 21. oktobra sprieduma lietā „</w:t>
      </w:r>
      <w:proofErr w:type="spellStart"/>
      <w:r w:rsidRPr="008F11F7">
        <w:rPr>
          <w:i/>
          <w:iCs/>
        </w:rPr>
        <w:t>Hábenczius</w:t>
      </w:r>
      <w:proofErr w:type="spellEnd"/>
      <w:r w:rsidRPr="008F11F7">
        <w:rPr>
          <w:i/>
          <w:iCs/>
        </w:rPr>
        <w:t xml:space="preserve"> v. </w:t>
      </w:r>
      <w:proofErr w:type="spellStart"/>
      <w:r w:rsidRPr="008F11F7">
        <w:rPr>
          <w:i/>
          <w:iCs/>
        </w:rPr>
        <w:t>Hungary</w:t>
      </w:r>
      <w:proofErr w:type="spellEnd"/>
      <w:r w:rsidRPr="008F11F7">
        <w:rPr>
          <w:i/>
          <w:iCs/>
        </w:rPr>
        <w:t>”, iesnieguma Nr. </w:t>
      </w:r>
      <w:hyperlink r:id="rId19" w:history="1">
        <w:r w:rsidRPr="008F11F7">
          <w:rPr>
            <w:rStyle w:val="Hyperlink"/>
            <w:i/>
            <w:iCs/>
          </w:rPr>
          <w:t>44473/06</w:t>
        </w:r>
      </w:hyperlink>
      <w:r w:rsidRPr="008F11F7">
        <w:rPr>
          <w:i/>
          <w:iCs/>
        </w:rPr>
        <w:t>, 30. punktu un 2021. gada 21. decembra sprieduma lietā „</w:t>
      </w:r>
      <w:proofErr w:type="spellStart"/>
      <w:r w:rsidRPr="008F11F7">
        <w:rPr>
          <w:i/>
          <w:iCs/>
        </w:rPr>
        <w:t>Stołkowski</w:t>
      </w:r>
      <w:proofErr w:type="spellEnd"/>
      <w:r w:rsidRPr="008F11F7">
        <w:rPr>
          <w:i/>
          <w:iCs/>
        </w:rPr>
        <w:t xml:space="preserve"> v. </w:t>
      </w:r>
      <w:proofErr w:type="spellStart"/>
      <w:r w:rsidRPr="008F11F7">
        <w:rPr>
          <w:i/>
          <w:iCs/>
        </w:rPr>
        <w:t>Poland</w:t>
      </w:r>
      <w:proofErr w:type="spellEnd"/>
      <w:r w:rsidRPr="008F11F7">
        <w:rPr>
          <w:i/>
          <w:iCs/>
        </w:rPr>
        <w:t>”, iesnieguma Nr. </w:t>
      </w:r>
      <w:hyperlink r:id="rId20" w:history="1">
        <w:r w:rsidRPr="008F11F7">
          <w:rPr>
            <w:rStyle w:val="Hyperlink"/>
            <w:i/>
            <w:iCs/>
          </w:rPr>
          <w:t>58795/15</w:t>
        </w:r>
      </w:hyperlink>
      <w:r w:rsidRPr="008F11F7">
        <w:rPr>
          <w:i/>
          <w:iCs/>
        </w:rPr>
        <w:t>, 78. punktu</w:t>
      </w:r>
      <w:r w:rsidRPr="008F11F7">
        <w:t>)</w:t>
      </w:r>
      <w:r>
        <w:t>.</w:t>
      </w:r>
    </w:p>
    <w:p w14:paraId="70D899CF" w14:textId="14BF8C1E" w:rsidR="000E50B6" w:rsidRDefault="000E50B6" w:rsidP="00326FE4">
      <w:pPr>
        <w:jc w:val="both"/>
      </w:pPr>
      <w:r w:rsidRPr="000E50B6">
        <w:t xml:space="preserve">153. </w:t>
      </w:r>
      <w:r>
        <w:t>Kā</w:t>
      </w:r>
      <w:r w:rsidRPr="000E50B6">
        <w:t xml:space="preserve"> liecina Tiesas judikatūra,</w:t>
      </w:r>
      <w:r>
        <w:t xml:space="preserve"> drīzāk pašām</w:t>
      </w:r>
      <w:r w:rsidRPr="000E50B6">
        <w:t xml:space="preserve"> līgumslēdzējām valstīm principā ir jādefinē nosacījumi</w:t>
      </w:r>
      <w:r>
        <w:t xml:space="preserve"> par tiesībām uz kompensāciju</w:t>
      </w:r>
      <w:r w:rsidRPr="000E50B6">
        <w:t xml:space="preserve"> šādos apstākļos (sk. </w:t>
      </w:r>
      <w:r w:rsidRPr="00544106">
        <w:rPr>
          <w:i/>
          <w:iCs/>
        </w:rPr>
        <w:t xml:space="preserve">iepriekš citētā </w:t>
      </w:r>
      <w:r w:rsidRPr="003D4817">
        <w:rPr>
          <w:i/>
          <w:iCs/>
        </w:rPr>
        <w:t>„</w:t>
      </w:r>
      <w:proofErr w:type="spellStart"/>
      <w:r w:rsidRPr="00544106">
        <w:rPr>
          <w:i/>
          <w:iCs/>
        </w:rPr>
        <w:t>Adamczyk</w:t>
      </w:r>
      <w:proofErr w:type="spellEnd"/>
      <w:r w:rsidRPr="00544106">
        <w:rPr>
          <w:i/>
          <w:iCs/>
        </w:rPr>
        <w:t xml:space="preserve"> v. </w:t>
      </w:r>
      <w:proofErr w:type="spellStart"/>
      <w:r w:rsidRPr="00544106">
        <w:rPr>
          <w:i/>
          <w:iCs/>
        </w:rPr>
        <w:t>Poland</w:t>
      </w:r>
      <w:proofErr w:type="spellEnd"/>
      <w:r w:rsidRPr="000E50B6">
        <w:rPr>
          <w:i/>
          <w:iCs/>
        </w:rPr>
        <w:t>” 78. punktu</w:t>
      </w:r>
      <w:r w:rsidRPr="000E50B6">
        <w:t xml:space="preserve">), un Tiesas kontroles pilnvaras aprobežojas ar to, </w:t>
      </w:r>
      <w:r>
        <w:t>ka tā</w:t>
      </w:r>
      <w:r w:rsidRPr="000E50B6">
        <w:t xml:space="preserve"> noskaidro, vai </w:t>
      </w:r>
      <w:r>
        <w:t xml:space="preserve">valsts izvēlētie </w:t>
      </w:r>
      <w:r w:rsidRPr="000E50B6">
        <w:t>kompensācijas nosacījum</w:t>
      </w:r>
      <w:r>
        <w:t>i neatrodas ārpus šīs jomas plašajām novērtējuma brīvības</w:t>
      </w:r>
      <w:r w:rsidRPr="000E50B6">
        <w:t xml:space="preserve"> robež</w:t>
      </w:r>
      <w:r>
        <w:t xml:space="preserve">ām </w:t>
      </w:r>
      <w:r w:rsidRPr="000E50B6">
        <w:t xml:space="preserve">(turpat, </w:t>
      </w:r>
      <w:r w:rsidRPr="000E50B6">
        <w:rPr>
          <w:i/>
          <w:iCs/>
        </w:rPr>
        <w:t>80. punkts</w:t>
      </w:r>
      <w:r w:rsidRPr="000E50B6">
        <w:t>).</w:t>
      </w:r>
    </w:p>
    <w:p w14:paraId="2EE48AAF" w14:textId="14EB2AC3" w:rsidR="000E50B6" w:rsidRDefault="000E50B6" w:rsidP="000E50B6">
      <w:pPr>
        <w:jc w:val="both"/>
      </w:pPr>
      <w:r>
        <w:t>157. Iesniedzējas sabiedrības kompensācijas prasībai, kas tika iesniegta valsts varas iestādēm un kas balstīta uz tā</w:t>
      </w:r>
      <w:r w:rsidR="006A63DF">
        <w:t>s</w:t>
      </w:r>
      <w:r>
        <w:t xml:space="preserve"> valdes priekšsēdētāja un cita valdes locekļa nepamatotu apsūdzību un aizturēšanu, nacionālajos tiesību aktos nebija pietiekama pamata. Tāpēc Konvencijas 1.</w:t>
      </w:r>
      <w:r w:rsidR="006A63DF">
        <w:t> </w:t>
      </w:r>
      <w:r>
        <w:t>protokola 1.</w:t>
      </w:r>
      <w:r w:rsidR="006A63DF">
        <w:t> </w:t>
      </w:r>
      <w:r>
        <w:t xml:space="preserve">panta garantijas uz šo prasību neattiecas (sk. </w:t>
      </w:r>
      <w:r w:rsidRPr="006A63DF">
        <w:rPr>
          <w:i/>
          <w:iCs/>
        </w:rPr>
        <w:t>iepriekš</w:t>
      </w:r>
      <w:r w:rsidR="006A63DF" w:rsidRPr="006A63DF">
        <w:rPr>
          <w:i/>
          <w:iCs/>
        </w:rPr>
        <w:t xml:space="preserve"> citētā „</w:t>
      </w:r>
      <w:proofErr w:type="spellStart"/>
      <w:r w:rsidR="006A63DF" w:rsidRPr="006A63DF">
        <w:rPr>
          <w:i/>
          <w:iCs/>
        </w:rPr>
        <w:t>Radomilja</w:t>
      </w:r>
      <w:proofErr w:type="spellEnd"/>
      <w:r w:rsidR="006A63DF" w:rsidRPr="006A63DF">
        <w:rPr>
          <w:i/>
          <w:iCs/>
        </w:rPr>
        <w:t xml:space="preserve"> </w:t>
      </w:r>
      <w:proofErr w:type="spellStart"/>
      <w:r w:rsidR="006A63DF" w:rsidRPr="006A63DF">
        <w:rPr>
          <w:i/>
          <w:iCs/>
        </w:rPr>
        <w:t>and</w:t>
      </w:r>
      <w:proofErr w:type="spellEnd"/>
      <w:r w:rsidR="006A63DF" w:rsidRPr="006A63DF">
        <w:rPr>
          <w:i/>
          <w:iCs/>
        </w:rPr>
        <w:t xml:space="preserve"> </w:t>
      </w:r>
      <w:proofErr w:type="spellStart"/>
      <w:r w:rsidR="006A63DF" w:rsidRPr="006A63DF">
        <w:rPr>
          <w:i/>
          <w:iCs/>
        </w:rPr>
        <w:t>Others</w:t>
      </w:r>
      <w:proofErr w:type="spellEnd"/>
      <w:r w:rsidR="006A63DF" w:rsidRPr="006A63DF">
        <w:rPr>
          <w:i/>
          <w:iCs/>
        </w:rPr>
        <w:t xml:space="preserve"> v. </w:t>
      </w:r>
      <w:proofErr w:type="spellStart"/>
      <w:r w:rsidR="006A63DF" w:rsidRPr="006A63DF">
        <w:rPr>
          <w:i/>
          <w:iCs/>
        </w:rPr>
        <w:t>Croatia</w:t>
      </w:r>
      <w:proofErr w:type="spellEnd"/>
      <w:r w:rsidR="006A63DF" w:rsidRPr="006A63DF">
        <w:rPr>
          <w:i/>
          <w:iCs/>
        </w:rPr>
        <w:t xml:space="preserve">”  </w:t>
      </w:r>
      <w:r w:rsidRPr="006A63DF">
        <w:rPr>
          <w:i/>
          <w:iCs/>
        </w:rPr>
        <w:t>151.</w:t>
      </w:r>
      <w:r w:rsidR="006A63DF" w:rsidRPr="006A63DF">
        <w:rPr>
          <w:i/>
          <w:iCs/>
        </w:rPr>
        <w:t> </w:t>
      </w:r>
      <w:r w:rsidRPr="006A63DF">
        <w:rPr>
          <w:i/>
          <w:iCs/>
        </w:rPr>
        <w:t>punkt</w:t>
      </w:r>
      <w:r w:rsidR="006A63DF" w:rsidRPr="006A63DF">
        <w:rPr>
          <w:i/>
          <w:iCs/>
        </w:rPr>
        <w:t>u</w:t>
      </w:r>
      <w:r>
        <w:t>).</w:t>
      </w:r>
    </w:p>
    <w:p w14:paraId="1F4889A8" w14:textId="136F095B" w:rsidR="000E50B6" w:rsidRDefault="000E50B6" w:rsidP="000E50B6">
      <w:pPr>
        <w:jc w:val="both"/>
      </w:pPr>
      <w:r>
        <w:t xml:space="preserve">158. No tā izriet, ka sūdzība </w:t>
      </w:r>
      <w:r w:rsidR="003D4817">
        <w:t xml:space="preserve">par </w:t>
      </w:r>
      <w:r w:rsidR="008514B2" w:rsidRPr="008514B2">
        <w:t>zaudējumiem, kas nodarīti iesniedzējas sabiedrības īpašumam nepamatotas sabiedrības valdes priekšsēdētāja un cita valdes locekļa kriminālvajāšanas un aizturēšanas dēļ</w:t>
      </w:r>
      <w:r w:rsidR="006A63DF">
        <w:t>,</w:t>
      </w:r>
      <w:r>
        <w:t xml:space="preserve"> ir nepieņemama kā nesaderīga </w:t>
      </w:r>
      <w:proofErr w:type="spellStart"/>
      <w:r w:rsidRPr="006A63DF">
        <w:rPr>
          <w:i/>
          <w:iCs/>
        </w:rPr>
        <w:t>ratione</w:t>
      </w:r>
      <w:proofErr w:type="spellEnd"/>
      <w:r w:rsidRPr="006A63DF">
        <w:rPr>
          <w:i/>
          <w:iCs/>
        </w:rPr>
        <w:t xml:space="preserve"> </w:t>
      </w:r>
      <w:proofErr w:type="spellStart"/>
      <w:r w:rsidRPr="006A63DF">
        <w:rPr>
          <w:i/>
          <w:iCs/>
        </w:rPr>
        <w:t>materiae</w:t>
      </w:r>
      <w:proofErr w:type="spellEnd"/>
      <w:r>
        <w:t xml:space="preserve"> ar </w:t>
      </w:r>
      <w:r w:rsidR="006A63DF">
        <w:t>K</w:t>
      </w:r>
      <w:r>
        <w:t xml:space="preserve">onvencijas noteikumiem 35. panta 3. punkta </w:t>
      </w:r>
      <w:r w:rsidR="006A63DF">
        <w:t>„a” apakšpunkta izpratnē</w:t>
      </w:r>
      <w:r>
        <w:t xml:space="preserve"> un ka </w:t>
      </w:r>
      <w:r w:rsidR="006A63DF">
        <w:t>tā</w:t>
      </w:r>
      <w:r>
        <w:t xml:space="preserve"> ir jānoraida saskaņā ar 35.</w:t>
      </w:r>
      <w:r w:rsidR="006A63DF">
        <w:t> </w:t>
      </w:r>
      <w:r>
        <w:t>panta 4.</w:t>
      </w:r>
      <w:r w:rsidR="006A63DF">
        <w:t> </w:t>
      </w:r>
      <w:r>
        <w:t>punktu.</w:t>
      </w:r>
    </w:p>
    <w:p w14:paraId="70225F8A" w14:textId="16A1756F" w:rsidR="000C02EB" w:rsidRPr="000C02EB" w:rsidRDefault="000C02EB" w:rsidP="000E50B6">
      <w:pPr>
        <w:jc w:val="both"/>
        <w:rPr>
          <w:i/>
          <w:iCs/>
        </w:rPr>
      </w:pPr>
      <w:r w:rsidRPr="000C02EB">
        <w:rPr>
          <w:i/>
          <w:iCs/>
        </w:rPr>
        <w:t xml:space="preserve">2. Sūdzība par valsts varas iestāžu </w:t>
      </w:r>
      <w:r w:rsidR="00C47B66">
        <w:rPr>
          <w:i/>
          <w:iCs/>
        </w:rPr>
        <w:t>ne</w:t>
      </w:r>
      <w:r w:rsidRPr="000C02EB">
        <w:rPr>
          <w:i/>
          <w:iCs/>
        </w:rPr>
        <w:t>pienācīgām rūpēm par iesniedzējas sabiedrības arestēto īpašumu</w:t>
      </w:r>
    </w:p>
    <w:p w14:paraId="6309EFEF" w14:textId="4E169EF6" w:rsidR="000C02EB" w:rsidRDefault="000C02EB" w:rsidP="000E50B6">
      <w:pPr>
        <w:jc w:val="both"/>
      </w:pPr>
      <w:r w:rsidRPr="000C02EB">
        <w:t xml:space="preserve">160. Tiesa atkārto, ka tad, kad varas iestādes </w:t>
      </w:r>
      <w:r w:rsidR="006065EB">
        <w:t>arest</w:t>
      </w:r>
      <w:r w:rsidRPr="000C02EB">
        <w:t xml:space="preserve">ē īpašumu, tās uzņemas arī rūpības pienākumu attiecībā uz to un ir atbildīgas par jebkādiem </w:t>
      </w:r>
      <w:r w:rsidR="006065EB">
        <w:t xml:space="preserve">zaudējumiem, kas rodas </w:t>
      </w:r>
      <w:r w:rsidRPr="000C02EB">
        <w:t>īpašuma</w:t>
      </w:r>
      <w:r w:rsidR="006065EB">
        <w:t xml:space="preserve">m, </w:t>
      </w:r>
      <w:r w:rsidRPr="000C02EB">
        <w:t xml:space="preserve">un/vai </w:t>
      </w:r>
      <w:r w:rsidR="006065EB">
        <w:t>tā zudumu</w:t>
      </w:r>
      <w:r w:rsidRPr="000C02EB">
        <w:t xml:space="preserve">. Šādos gadījumos faktiski </w:t>
      </w:r>
      <w:r w:rsidR="008514B2">
        <w:t>radušies zaudējumi</w:t>
      </w:r>
      <w:r w:rsidRPr="000C02EB">
        <w:t xml:space="preserve"> nedrīkst būt lielāk</w:t>
      </w:r>
      <w:r w:rsidR="008514B2">
        <w:t>i</w:t>
      </w:r>
      <w:r w:rsidRPr="000C02EB">
        <w:t xml:space="preserve"> par neizbēga</w:t>
      </w:r>
      <w:r w:rsidR="008514B2">
        <w:t>majiem</w:t>
      </w:r>
      <w:r w:rsidRPr="000C02EB">
        <w:t xml:space="preserve">, </w:t>
      </w:r>
      <w:r w:rsidR="008514B2">
        <w:t>ja tā [t. i. iestāžu rūpības pienākumu izpilde]</w:t>
      </w:r>
      <w:r w:rsidRPr="000C02EB">
        <w:t xml:space="preserve"> būtu saderīg</w:t>
      </w:r>
      <w:r w:rsidR="008514B2">
        <w:t>a</w:t>
      </w:r>
      <w:r w:rsidRPr="000C02EB">
        <w:t xml:space="preserve"> ar 1.</w:t>
      </w:r>
      <w:r w:rsidR="008514B2">
        <w:t> </w:t>
      </w:r>
      <w:r w:rsidRPr="000C02EB">
        <w:t>protokola 1.</w:t>
      </w:r>
      <w:r w:rsidR="008514B2">
        <w:t> </w:t>
      </w:r>
      <w:r w:rsidRPr="000C02EB">
        <w:t xml:space="preserve">pantu. </w:t>
      </w:r>
      <w:r w:rsidR="008514B2">
        <w:t>Tādējādi</w:t>
      </w:r>
      <w:r w:rsidRPr="000C02EB">
        <w:t>, arestējot īpašumu,</w:t>
      </w:r>
      <w:r w:rsidR="008514B2">
        <w:t xml:space="preserve"> varas</w:t>
      </w:r>
      <w:r w:rsidRPr="000C02EB">
        <w:t xml:space="preserve"> iestādēm ir jāveic ne </w:t>
      </w:r>
      <w:r w:rsidR="008514B2">
        <w:t xml:space="preserve">vien </w:t>
      </w:r>
      <w:r w:rsidRPr="000C02EB">
        <w:t xml:space="preserve">nepieciešamie saprātīgie pasākumi tā saglabāšanai, </w:t>
      </w:r>
      <w:r w:rsidR="008514B2">
        <w:t>bet arī</w:t>
      </w:r>
      <w:r w:rsidRPr="000C02EB">
        <w:t xml:space="preserve"> valsts tiesību aktos ir jāparedz arī iespēja uzsākt tiesvedību pret valsti, lai iegūtu kompensāciju par zaudējumiem, kas radušies, ja šāds īpašums netiek uzturēts </w:t>
      </w:r>
      <w:r w:rsidR="00C47B66">
        <w:t>relatīvi</w:t>
      </w:r>
      <w:r w:rsidRPr="000C02EB">
        <w:t xml:space="preserve"> labā stāvoklī (sk. </w:t>
      </w:r>
      <w:r w:rsidR="008514B2" w:rsidRPr="008514B2">
        <w:rPr>
          <w:i/>
          <w:iCs/>
        </w:rPr>
        <w:t>2021. gada 18. marta spriedum</w:t>
      </w:r>
      <w:r w:rsidR="008514B2">
        <w:rPr>
          <w:i/>
          <w:iCs/>
        </w:rPr>
        <w:t>a</w:t>
      </w:r>
      <w:r w:rsidR="008514B2" w:rsidRPr="008514B2">
        <w:rPr>
          <w:i/>
          <w:iCs/>
        </w:rPr>
        <w:t xml:space="preserve"> lietā „</w:t>
      </w:r>
      <w:proofErr w:type="spellStart"/>
      <w:r w:rsidR="008514B2" w:rsidRPr="008514B2">
        <w:rPr>
          <w:i/>
          <w:iCs/>
        </w:rPr>
        <w:t>Dabić</w:t>
      </w:r>
      <w:proofErr w:type="spellEnd"/>
      <w:r w:rsidR="008514B2" w:rsidRPr="008514B2">
        <w:rPr>
          <w:i/>
          <w:iCs/>
        </w:rPr>
        <w:t xml:space="preserve"> v. </w:t>
      </w:r>
      <w:proofErr w:type="spellStart"/>
      <w:r w:rsidR="008514B2" w:rsidRPr="008514B2">
        <w:rPr>
          <w:i/>
          <w:iCs/>
        </w:rPr>
        <w:t>Croatia</w:t>
      </w:r>
      <w:proofErr w:type="spellEnd"/>
      <w:r w:rsidR="008514B2" w:rsidRPr="008514B2">
        <w:rPr>
          <w:i/>
          <w:iCs/>
        </w:rPr>
        <w:t>”, iesnieguma Nr. </w:t>
      </w:r>
      <w:hyperlink r:id="rId21" w:history="1">
        <w:r w:rsidR="008514B2" w:rsidRPr="008514B2">
          <w:rPr>
            <w:rStyle w:val="Hyperlink"/>
            <w:i/>
            <w:iCs/>
          </w:rPr>
          <w:t>49001/14</w:t>
        </w:r>
      </w:hyperlink>
      <w:r w:rsidRPr="008514B2">
        <w:rPr>
          <w:i/>
          <w:iCs/>
        </w:rPr>
        <w:t>, 55. punkt</w:t>
      </w:r>
      <w:r w:rsidR="008514B2" w:rsidRPr="008514B2">
        <w:rPr>
          <w:i/>
          <w:iCs/>
        </w:rPr>
        <w:t>u</w:t>
      </w:r>
      <w:r w:rsidRPr="008514B2">
        <w:rPr>
          <w:i/>
          <w:iCs/>
        </w:rPr>
        <w:t>, un tajā minētās lietas</w:t>
      </w:r>
      <w:r w:rsidRPr="000C02EB">
        <w:t>).</w:t>
      </w:r>
    </w:p>
    <w:p w14:paraId="5A43C42E" w14:textId="52CF04CF" w:rsidR="008514B2" w:rsidRDefault="008514B2" w:rsidP="000E50B6">
      <w:pPr>
        <w:jc w:val="both"/>
      </w:pPr>
      <w:r w:rsidRPr="008514B2">
        <w:t xml:space="preserve">161. Šādā situācijā </w:t>
      </w:r>
      <w:r>
        <w:t>Tiesa</w:t>
      </w:r>
      <w:r w:rsidRPr="008514B2">
        <w:t xml:space="preserve"> atsaucas uz saviem secinājumiem par </w:t>
      </w:r>
      <w:r>
        <w:t>iesniedzējas sabiedrības</w:t>
      </w:r>
      <w:r w:rsidRPr="008514B2">
        <w:t xml:space="preserve"> sūdzību par piekļuvi tiesai (sk</w:t>
      </w:r>
      <w:r>
        <w:t>.</w:t>
      </w:r>
      <w:r w:rsidRPr="008514B2">
        <w:t xml:space="preserve"> </w:t>
      </w:r>
      <w:r w:rsidRPr="008514B2">
        <w:rPr>
          <w:i/>
          <w:iCs/>
        </w:rPr>
        <w:t>iepriekš 113.–125. punktu</w:t>
      </w:r>
      <w:r w:rsidRPr="008514B2">
        <w:t xml:space="preserve">). No šiem konstatējumiem izriet, ka </w:t>
      </w:r>
      <w:r w:rsidR="00C47B66" w:rsidRPr="00C47B66">
        <w:rPr>
          <w:u w:val="single"/>
        </w:rPr>
        <w:t>iesniedzējai sabiedrībai</w:t>
      </w:r>
      <w:r w:rsidRPr="00C47B66">
        <w:rPr>
          <w:u w:val="single"/>
        </w:rPr>
        <w:t xml:space="preserve"> bija iespēja saņemt kompensāciju par zaudējumiem, kas radušies tādēļ, ka valsts</w:t>
      </w:r>
      <w:r w:rsidR="00C47B66" w:rsidRPr="00C47B66">
        <w:rPr>
          <w:u w:val="single"/>
        </w:rPr>
        <w:t xml:space="preserve"> varas</w:t>
      </w:r>
      <w:r w:rsidRPr="00C47B66">
        <w:rPr>
          <w:u w:val="single"/>
        </w:rPr>
        <w:t xml:space="preserve"> iestādes neuzturēja tās arestēto īpašumu </w:t>
      </w:r>
      <w:r w:rsidR="00C47B66" w:rsidRPr="00C47B66">
        <w:rPr>
          <w:u w:val="single"/>
        </w:rPr>
        <w:t xml:space="preserve">relatīvi </w:t>
      </w:r>
      <w:r w:rsidRPr="00C47B66">
        <w:rPr>
          <w:u w:val="single"/>
        </w:rPr>
        <w:t xml:space="preserve">labā stāvoklī, taču tā šo iespēju </w:t>
      </w:r>
      <w:r w:rsidR="00C47B66" w:rsidRPr="00C47B66">
        <w:rPr>
          <w:u w:val="single"/>
        </w:rPr>
        <w:t xml:space="preserve">pienācīgi </w:t>
      </w:r>
      <w:r w:rsidRPr="00C47B66">
        <w:rPr>
          <w:u w:val="single"/>
        </w:rPr>
        <w:t>neizmantoj</w:t>
      </w:r>
      <w:r w:rsidR="00C47B66" w:rsidRPr="00C47B66">
        <w:rPr>
          <w:u w:val="single"/>
        </w:rPr>
        <w:t>a</w:t>
      </w:r>
      <w:r w:rsidRPr="008514B2">
        <w:t>.</w:t>
      </w:r>
    </w:p>
    <w:p w14:paraId="5251A6EB" w14:textId="08D4BEB8" w:rsidR="00C47B66" w:rsidRDefault="00C47B66" w:rsidP="000E50B6">
      <w:pPr>
        <w:jc w:val="both"/>
      </w:pPr>
      <w:r w:rsidRPr="00C47B66">
        <w:t>162. Tādējādi Tiesai ir jāapmierina valdības sākotnējais iebildums par valsts tiesību aizsardzības līdzekļu neizsmelšanu</w:t>
      </w:r>
      <w:r>
        <w:t>.</w:t>
      </w:r>
    </w:p>
    <w:p w14:paraId="31F2740B" w14:textId="297EB4A5" w:rsidR="00C47B66" w:rsidRDefault="00C47B66" w:rsidP="000E50B6">
      <w:pPr>
        <w:jc w:val="both"/>
      </w:pPr>
      <w:r w:rsidRPr="00C47B66">
        <w:t xml:space="preserve">163. No tā izriet, ka sūdzība par valsts varas iestāžu </w:t>
      </w:r>
      <w:r>
        <w:t>ne</w:t>
      </w:r>
      <w:r w:rsidRPr="00C47B66">
        <w:t>pienācīgām rūpēm par iesniedzējas sabiedrības arestēto īpašumu ir nepieņemama saskaņā ar Konvencijas 35.</w:t>
      </w:r>
      <w:r>
        <w:t> </w:t>
      </w:r>
      <w:r w:rsidRPr="00C47B66">
        <w:t>panta 1.</w:t>
      </w:r>
      <w:r>
        <w:t> </w:t>
      </w:r>
      <w:r w:rsidRPr="00C47B66">
        <w:t>punkt</w:t>
      </w:r>
      <w:r>
        <w:t xml:space="preserve">ā noteikto </w:t>
      </w:r>
      <w:r w:rsidRPr="00C47B66">
        <w:t>valsts tiesību aizsardzības līdzekļu neizsmelšanu un ka tā ir jānoraida saskaņā ar 35.</w:t>
      </w:r>
      <w:r>
        <w:t> </w:t>
      </w:r>
      <w:r w:rsidRPr="00C47B66">
        <w:t>pantu. 4.</w:t>
      </w:r>
      <w:r>
        <w:t> punktu</w:t>
      </w:r>
      <w:r w:rsidRPr="00C47B66">
        <w:t>.</w:t>
      </w:r>
    </w:p>
    <w:p w14:paraId="75A0F53B" w14:textId="1442E2AE" w:rsidR="00C47B66" w:rsidRPr="00C47B66" w:rsidRDefault="00C47B66" w:rsidP="000E50B6">
      <w:pPr>
        <w:jc w:val="both"/>
        <w:rPr>
          <w:i/>
          <w:iCs/>
        </w:rPr>
      </w:pPr>
      <w:r w:rsidRPr="00C47B66">
        <w:rPr>
          <w:i/>
          <w:iCs/>
        </w:rPr>
        <w:t>3. Sūdzība par nepamatotu kavēšanos ar aresta atcelšanu pēc iesniedzējas sabiedrības valdes priekšsēdētāja un citu valdes locekļa attaisnošanas</w:t>
      </w:r>
    </w:p>
    <w:p w14:paraId="23EFAFBA" w14:textId="1649B3B3" w:rsidR="00C47B66" w:rsidRDefault="009B11F2" w:rsidP="000E50B6">
      <w:pPr>
        <w:jc w:val="both"/>
      </w:pPr>
      <w:r>
        <w:t>165. Palāta saistībā ar šo</w:t>
      </w:r>
      <w:r w:rsidRPr="009B11F2">
        <w:t xml:space="preserve"> sūdzīb</w:t>
      </w:r>
      <w:r>
        <w:t>u</w:t>
      </w:r>
      <w:r w:rsidRPr="009B11F2">
        <w:t xml:space="preserve"> konstatēja 1.</w:t>
      </w:r>
      <w:r>
        <w:t> </w:t>
      </w:r>
      <w:r w:rsidRPr="009B11F2">
        <w:t>protokola 1.</w:t>
      </w:r>
      <w:r>
        <w:t> </w:t>
      </w:r>
      <w:r w:rsidRPr="009B11F2">
        <w:t>panta pārkāpumu, uzskatot, ka gandrīz pusotru gadu pēc iesniedzējas sabiedrības valdes priekšsēdētāja un citu valdes locekļa attaisnošanas</w:t>
      </w:r>
      <w:r>
        <w:t>,</w:t>
      </w:r>
      <w:r w:rsidRPr="009B11F2">
        <w:t xml:space="preserve"> </w:t>
      </w:r>
      <w:r>
        <w:t xml:space="preserve">nepastāvēja </w:t>
      </w:r>
      <w:r w:rsidRPr="009B11F2">
        <w:t>attaisnojoš</w:t>
      </w:r>
      <w:r>
        <w:t>s</w:t>
      </w:r>
      <w:r w:rsidRPr="009B11F2">
        <w:t xml:space="preserve"> iemesl</w:t>
      </w:r>
      <w:r>
        <w:t xml:space="preserve">s vēl </w:t>
      </w:r>
      <w:r w:rsidRPr="009B11F2">
        <w:t xml:space="preserve">gandrīz pusotru gadu </w:t>
      </w:r>
      <w:r>
        <w:t>aizturēt</w:t>
      </w:r>
      <w:r w:rsidRPr="009B11F2">
        <w:t xml:space="preserve"> iesniedzēja</w:t>
      </w:r>
      <w:r>
        <w:t xml:space="preserve">s sabiedrības </w:t>
      </w:r>
      <w:r w:rsidRPr="009B11F2">
        <w:t>preces.</w:t>
      </w:r>
    </w:p>
    <w:p w14:paraId="37DCCF48" w14:textId="7C79626F" w:rsidR="00F94866" w:rsidRDefault="00F94866" w:rsidP="000E50B6">
      <w:pPr>
        <w:jc w:val="both"/>
      </w:pPr>
      <w:r w:rsidRPr="00F94866">
        <w:t>166. Tomēr, kā norādīja valdība</w:t>
      </w:r>
      <w:r>
        <w:t xml:space="preserve"> (sk. </w:t>
      </w:r>
      <w:r w:rsidRPr="00F94866">
        <w:rPr>
          <w:i/>
          <w:iCs/>
        </w:rPr>
        <w:t>130. punktu</w:t>
      </w:r>
      <w:r>
        <w:t>)</w:t>
      </w:r>
      <w:r w:rsidRPr="00F94866">
        <w:t xml:space="preserve"> un norādīts iepriekš (sk.</w:t>
      </w:r>
      <w:r>
        <w:t> </w:t>
      </w:r>
      <w:r w:rsidRPr="00F94866">
        <w:rPr>
          <w:i/>
          <w:iCs/>
        </w:rPr>
        <w:t>142.–148. punktu</w:t>
      </w:r>
      <w:r w:rsidRPr="00F94866">
        <w:t>), šī sūdzība netika izvirzīta pieteikuma iesniedzēj</w:t>
      </w:r>
      <w:r>
        <w:t xml:space="preserve">as sabiedrības iesniegumā </w:t>
      </w:r>
      <w:r w:rsidRPr="00F94866">
        <w:t>Tiesai. T</w:t>
      </w:r>
      <w:r>
        <w:t>ā</w:t>
      </w:r>
      <w:r w:rsidRPr="00F94866">
        <w:t xml:space="preserve"> pirmo reizi tika formulēt</w:t>
      </w:r>
      <w:r>
        <w:t>a</w:t>
      </w:r>
      <w:r w:rsidRPr="00F94866">
        <w:t xml:space="preserve"> </w:t>
      </w:r>
      <w:r>
        <w:t>iesniedzējas</w:t>
      </w:r>
      <w:r w:rsidRPr="00F94866">
        <w:t xml:space="preserve"> sabiedrības apsvērumos, kas iesniegti </w:t>
      </w:r>
      <w:r w:rsidR="00607F40">
        <w:t>P</w:t>
      </w:r>
      <w:r w:rsidRPr="00F94866">
        <w:t>alāt</w:t>
      </w:r>
      <w:r>
        <w:t xml:space="preserve">ai </w:t>
      </w:r>
      <w:r w:rsidRPr="00F94866">
        <w:t>2016.</w:t>
      </w:r>
      <w:r>
        <w:t> </w:t>
      </w:r>
      <w:r w:rsidRPr="00F94866">
        <w:t>gada 17.</w:t>
      </w:r>
      <w:r>
        <w:t> </w:t>
      </w:r>
      <w:r w:rsidRPr="00F94866">
        <w:t xml:space="preserve">jūnijā (sk. </w:t>
      </w:r>
      <w:r w:rsidRPr="00F94866">
        <w:rPr>
          <w:i/>
          <w:iCs/>
        </w:rPr>
        <w:t>iepriekš 143. punktu</w:t>
      </w:r>
      <w:r w:rsidRPr="00F94866">
        <w:t>).</w:t>
      </w:r>
    </w:p>
    <w:p w14:paraId="746B87C9" w14:textId="4686EC12" w:rsidR="00F94866" w:rsidRDefault="00F94866" w:rsidP="000E50B6">
      <w:pPr>
        <w:jc w:val="both"/>
      </w:pPr>
      <w:r w:rsidRPr="00F94866">
        <w:t>167. No tā izriet, ka šī sūdzība tika iesniegta vairāk nekā sešus mēnešus pēc kompensācijas procesa beigām 2013.</w:t>
      </w:r>
      <w:r>
        <w:t> </w:t>
      </w:r>
      <w:r w:rsidRPr="00F94866">
        <w:t>gada 26.</w:t>
      </w:r>
      <w:r>
        <w:t> </w:t>
      </w:r>
      <w:r w:rsidRPr="00F94866">
        <w:t xml:space="preserve">septembrī, kad </w:t>
      </w:r>
      <w:r>
        <w:t>Konstitucionālā</w:t>
      </w:r>
      <w:r w:rsidRPr="00F94866">
        <w:t xml:space="preserve"> tiesa atzina iesniedzēja</w:t>
      </w:r>
      <w:r>
        <w:t>s</w:t>
      </w:r>
      <w:r w:rsidRPr="00F94866">
        <w:t xml:space="preserve"> konstitucionālo sūdzību par nepieņemamu.</w:t>
      </w:r>
    </w:p>
    <w:p w14:paraId="7940E2F7" w14:textId="25C6B337" w:rsidR="00F94866" w:rsidRDefault="00F94866" w:rsidP="000E50B6">
      <w:pPr>
        <w:jc w:val="both"/>
      </w:pPr>
      <w:r w:rsidRPr="00F94866">
        <w:t xml:space="preserve">168. Tiesa šajā sakarā atkārto, ka tā nevar </w:t>
      </w:r>
      <w:r>
        <w:t xml:space="preserve">nepiemērot </w:t>
      </w:r>
      <w:r w:rsidRPr="00F94866">
        <w:t>sešu mēnešu noteikum</w:t>
      </w:r>
      <w:r>
        <w:t xml:space="preserve">u </w:t>
      </w:r>
      <w:r w:rsidRPr="00F94866">
        <w:t xml:space="preserve">tikai tāpēc, ka valdība nav iesniegusi </w:t>
      </w:r>
      <w:r>
        <w:t>sākotnējo</w:t>
      </w:r>
      <w:r w:rsidRPr="00F94866">
        <w:t xml:space="preserve"> iebildumu šajā sakarā. Tas ir tāpēc, ka sešu mēnešu noteikums, atspoguļojot Līgumslēdzēju pušu vēlmi novērst</w:t>
      </w:r>
      <w:r>
        <w:t xml:space="preserve"> iespēju, ka </w:t>
      </w:r>
      <w:r w:rsidRPr="00F94866">
        <w:t>pagātn</w:t>
      </w:r>
      <w:r>
        <w:t>ē pieņemti nolēmumi varētu tikt</w:t>
      </w:r>
      <w:r w:rsidRPr="00F94866">
        <w:t xml:space="preserve"> apšau</w:t>
      </w:r>
      <w:r>
        <w:t>b</w:t>
      </w:r>
      <w:r w:rsidRPr="00F94866">
        <w:t>ī</w:t>
      </w:r>
      <w:r>
        <w:t>ti nenoteiktu laika posmu</w:t>
      </w:r>
      <w:r w:rsidRPr="00F94866">
        <w:t xml:space="preserve">, kalpo ne </w:t>
      </w:r>
      <w:r>
        <w:t>vien</w:t>
      </w:r>
      <w:r w:rsidRPr="00F94866">
        <w:t xml:space="preserve"> atbildētājas valdības interesēm, bet arī </w:t>
      </w:r>
      <w:r>
        <w:t xml:space="preserve">tiesiskajai </w:t>
      </w:r>
      <w:r w:rsidRPr="00F94866">
        <w:t>noteiktībai</w:t>
      </w:r>
      <w:r>
        <w:t xml:space="preserve"> kā </w:t>
      </w:r>
      <w:r w:rsidRPr="00F94866">
        <w:t xml:space="preserve">vērtība </w:t>
      </w:r>
      <w:r>
        <w:t>pa</w:t>
      </w:r>
      <w:r w:rsidR="003D4817">
        <w:t>ti</w:t>
      </w:r>
      <w:r w:rsidRPr="00F94866">
        <w:t xml:space="preserve"> par sevi. Noteikums iezīmē Konvencijas institūciju veiktās uzraudzības laika ierobežojumu un gan privātpersonām, gan valsts </w:t>
      </w:r>
      <w:r>
        <w:t xml:space="preserve">varas </w:t>
      </w:r>
      <w:r w:rsidRPr="00F94866">
        <w:t xml:space="preserve">iestādēm </w:t>
      </w:r>
      <w:r>
        <w:t>norāda uz laiku</w:t>
      </w:r>
      <w:r w:rsidRPr="00F94866">
        <w:t xml:space="preserve">, pēc kura šāda uzraudzība vairs nav iespējama (sk. </w:t>
      </w:r>
      <w:r w:rsidRPr="006273DB">
        <w:rPr>
          <w:i/>
          <w:iCs/>
        </w:rPr>
        <w:t>iepriekš</w:t>
      </w:r>
      <w:r w:rsidR="006273DB" w:rsidRPr="006273DB">
        <w:rPr>
          <w:i/>
          <w:iCs/>
        </w:rPr>
        <w:t xml:space="preserve"> minētā „</w:t>
      </w:r>
      <w:proofErr w:type="spellStart"/>
      <w:r w:rsidR="006273DB" w:rsidRPr="006273DB">
        <w:rPr>
          <w:i/>
          <w:iCs/>
        </w:rPr>
        <w:t>Radomilja</w:t>
      </w:r>
      <w:proofErr w:type="spellEnd"/>
      <w:r w:rsidR="006273DB" w:rsidRPr="006273DB">
        <w:rPr>
          <w:i/>
          <w:iCs/>
        </w:rPr>
        <w:t xml:space="preserve"> </w:t>
      </w:r>
      <w:proofErr w:type="spellStart"/>
      <w:r w:rsidR="006273DB" w:rsidRPr="006273DB">
        <w:rPr>
          <w:i/>
          <w:iCs/>
        </w:rPr>
        <w:t>and</w:t>
      </w:r>
      <w:proofErr w:type="spellEnd"/>
      <w:r w:rsidR="006273DB" w:rsidRPr="006273DB">
        <w:rPr>
          <w:i/>
          <w:iCs/>
        </w:rPr>
        <w:t xml:space="preserve"> </w:t>
      </w:r>
      <w:proofErr w:type="spellStart"/>
      <w:r w:rsidR="006273DB" w:rsidRPr="006273DB">
        <w:rPr>
          <w:i/>
          <w:iCs/>
        </w:rPr>
        <w:t>Others</w:t>
      </w:r>
      <w:proofErr w:type="spellEnd"/>
      <w:r w:rsidR="006273DB" w:rsidRPr="006273DB">
        <w:rPr>
          <w:i/>
          <w:iCs/>
        </w:rPr>
        <w:t xml:space="preserve"> v. </w:t>
      </w:r>
      <w:proofErr w:type="spellStart"/>
      <w:r w:rsidR="006273DB" w:rsidRPr="006273DB">
        <w:rPr>
          <w:i/>
          <w:iCs/>
        </w:rPr>
        <w:t>Croatia</w:t>
      </w:r>
      <w:proofErr w:type="spellEnd"/>
      <w:r w:rsidR="006273DB" w:rsidRPr="006273DB">
        <w:rPr>
          <w:i/>
          <w:iCs/>
        </w:rPr>
        <w:t xml:space="preserve">” </w:t>
      </w:r>
      <w:r w:rsidRPr="006273DB">
        <w:rPr>
          <w:i/>
          <w:iCs/>
        </w:rPr>
        <w:t>138.</w:t>
      </w:r>
      <w:r w:rsidR="006273DB" w:rsidRPr="006273DB">
        <w:rPr>
          <w:i/>
          <w:iCs/>
        </w:rPr>
        <w:t> </w:t>
      </w:r>
      <w:r w:rsidRPr="006273DB">
        <w:rPr>
          <w:i/>
          <w:iCs/>
        </w:rPr>
        <w:t>punkt</w:t>
      </w:r>
      <w:r w:rsidR="006273DB" w:rsidRPr="006273DB">
        <w:rPr>
          <w:i/>
          <w:iCs/>
        </w:rPr>
        <w:t>u</w:t>
      </w:r>
      <w:r w:rsidRPr="006273DB">
        <w:rPr>
          <w:i/>
          <w:iCs/>
        </w:rPr>
        <w:t xml:space="preserve"> un </w:t>
      </w:r>
      <w:r w:rsidR="006273DB" w:rsidRPr="006273DB">
        <w:rPr>
          <w:i/>
          <w:iCs/>
        </w:rPr>
        <w:t>2012. gada 29. jūnija Lielās palātas sprieduma lietā „</w:t>
      </w:r>
      <w:proofErr w:type="spellStart"/>
      <w:r w:rsidRPr="006273DB">
        <w:rPr>
          <w:i/>
          <w:iCs/>
        </w:rPr>
        <w:t>Sabri</w:t>
      </w:r>
      <w:proofErr w:type="spellEnd"/>
      <w:r w:rsidRPr="006273DB">
        <w:rPr>
          <w:i/>
          <w:iCs/>
        </w:rPr>
        <w:t xml:space="preserve"> </w:t>
      </w:r>
      <w:proofErr w:type="spellStart"/>
      <w:r w:rsidRPr="006273DB">
        <w:rPr>
          <w:i/>
          <w:iCs/>
        </w:rPr>
        <w:t>Güneş</w:t>
      </w:r>
      <w:proofErr w:type="spellEnd"/>
      <w:r w:rsidRPr="006273DB">
        <w:rPr>
          <w:i/>
          <w:iCs/>
        </w:rPr>
        <w:t xml:space="preserve"> </w:t>
      </w:r>
      <w:r w:rsidR="006273DB" w:rsidRPr="006273DB">
        <w:rPr>
          <w:i/>
          <w:iCs/>
        </w:rPr>
        <w:t xml:space="preserve">v. </w:t>
      </w:r>
      <w:proofErr w:type="spellStart"/>
      <w:r w:rsidR="006273DB" w:rsidRPr="006273DB">
        <w:rPr>
          <w:i/>
          <w:iCs/>
        </w:rPr>
        <w:t>Turkey</w:t>
      </w:r>
      <w:proofErr w:type="spellEnd"/>
      <w:r w:rsidR="006273DB" w:rsidRPr="006273DB">
        <w:rPr>
          <w:i/>
          <w:iCs/>
        </w:rPr>
        <w:t xml:space="preserve">”, iesnieguma </w:t>
      </w:r>
      <w:r w:rsidRPr="006273DB">
        <w:rPr>
          <w:i/>
          <w:iCs/>
        </w:rPr>
        <w:t>Nr.</w:t>
      </w:r>
      <w:r w:rsidR="006273DB" w:rsidRPr="006273DB">
        <w:rPr>
          <w:i/>
          <w:iCs/>
        </w:rPr>
        <w:t> </w:t>
      </w:r>
      <w:hyperlink r:id="rId22" w:history="1">
        <w:r w:rsidRPr="006273DB">
          <w:rPr>
            <w:rStyle w:val="Hyperlink"/>
            <w:i/>
            <w:iCs/>
          </w:rPr>
          <w:t>27396/06</w:t>
        </w:r>
      </w:hyperlink>
      <w:r w:rsidRPr="006273DB">
        <w:rPr>
          <w:i/>
          <w:iCs/>
        </w:rPr>
        <w:t>, 28.–31. un 40.</w:t>
      </w:r>
      <w:r w:rsidR="006273DB" w:rsidRPr="006273DB">
        <w:rPr>
          <w:i/>
          <w:iCs/>
        </w:rPr>
        <w:t> </w:t>
      </w:r>
      <w:r w:rsidRPr="006273DB">
        <w:rPr>
          <w:i/>
          <w:iCs/>
        </w:rPr>
        <w:t>punkt</w:t>
      </w:r>
      <w:r w:rsidR="006273DB" w:rsidRPr="006273DB">
        <w:rPr>
          <w:i/>
          <w:iCs/>
        </w:rPr>
        <w:t>u</w:t>
      </w:r>
      <w:r w:rsidRPr="00F94866">
        <w:t xml:space="preserve">). Tā kā Tiesai jautājums par sešu mēnešu noteikuma ievērošanu ir jāizskata pēc savas iniciatīvas, nav jāizvērtē, vai valdības arguments par šo jautājumu var tikt </w:t>
      </w:r>
      <w:r w:rsidR="006273DB">
        <w:t>iztulkots</w:t>
      </w:r>
      <w:r w:rsidRPr="00F94866">
        <w:t xml:space="preserve"> kā iebilde par nepieņemamību</w:t>
      </w:r>
      <w:r w:rsidR="006273DB">
        <w:t>,</w:t>
      </w:r>
      <w:r w:rsidRPr="00F94866">
        <w:t xml:space="preserve"> pamatojoties uz šī noteikuma neievērošanu un to, vai </w:t>
      </w:r>
      <w:r w:rsidR="006273DB">
        <w:t>šādu sūdzību ir</w:t>
      </w:r>
      <w:r w:rsidRPr="00F94866">
        <w:t xml:space="preserve"> liegts iesniegt Lielajā palātā.</w:t>
      </w:r>
    </w:p>
    <w:p w14:paraId="08CED00E" w14:textId="66190AA4" w:rsidR="006273DB" w:rsidRDefault="006273DB" w:rsidP="000E50B6">
      <w:pPr>
        <w:jc w:val="both"/>
      </w:pPr>
      <w:r w:rsidRPr="006273DB">
        <w:t xml:space="preserve">169. Jebkurā gadījumā, pat ja šī sūdzība būtu iesniegta sešu mēnešu termiņā, </w:t>
      </w:r>
      <w:r>
        <w:t>Tiesa</w:t>
      </w:r>
      <w:r w:rsidRPr="006273DB">
        <w:t xml:space="preserve"> uzskata, ka no tās </w:t>
      </w:r>
      <w:r>
        <w:t>secinājumiem</w:t>
      </w:r>
      <w:r w:rsidRPr="006273DB">
        <w:t xml:space="preserve"> attiecībā uz sūdzību par piekļuvi tiesai (sk. </w:t>
      </w:r>
      <w:r w:rsidRPr="006273DB">
        <w:rPr>
          <w:i/>
          <w:iCs/>
        </w:rPr>
        <w:t>iepriekš 113.–125. punktu</w:t>
      </w:r>
      <w:r w:rsidRPr="006273DB">
        <w:t>) izriet, ka tā ir nepieņemam</w:t>
      </w:r>
      <w:r>
        <w:t>a</w:t>
      </w:r>
      <w:r w:rsidRPr="006273DB">
        <w:t xml:space="preserve">, jo </w:t>
      </w:r>
      <w:r w:rsidRPr="006273DB">
        <w:rPr>
          <w:u w:val="single"/>
        </w:rPr>
        <w:t>nav izsmelti nacionālie tiesiskās aizsardzības līdzekļi</w:t>
      </w:r>
      <w:r w:rsidRPr="006273DB">
        <w:t xml:space="preserve">. </w:t>
      </w:r>
      <w:r w:rsidRPr="006273DB">
        <w:rPr>
          <w:u w:val="single"/>
        </w:rPr>
        <w:t>Iesniedzējai sabiedrībai bija iespēja saņemt kompensāciju par zaudējumiem</w:t>
      </w:r>
      <w:r w:rsidRPr="006273DB">
        <w:t xml:space="preserve">, kas radušies nepamatotas kavēšanās </w:t>
      </w:r>
      <w:r>
        <w:t>ar</w:t>
      </w:r>
      <w:r w:rsidRPr="006273DB">
        <w:t xml:space="preserve"> tās īpašuma aresta atcelšanu pēc tās rīkotājdirektora un cita dalībnieka attaisnošanas, </w:t>
      </w:r>
      <w:r w:rsidRPr="006273DB">
        <w:rPr>
          <w:u w:val="single"/>
        </w:rPr>
        <w:t>taču tā šo iespēju pienācīgi neizmantoja</w:t>
      </w:r>
      <w:r w:rsidRPr="006273DB">
        <w:t>.</w:t>
      </w:r>
    </w:p>
    <w:p w14:paraId="22C303FA" w14:textId="751901F9" w:rsidR="006273DB" w:rsidRDefault="006273DB" w:rsidP="000E50B6">
      <w:pPr>
        <w:jc w:val="both"/>
      </w:pPr>
      <w:r w:rsidRPr="006273DB">
        <w:t xml:space="preserve">170. Novērojot un atbildot uz argumentu, ka nacionālajām tiesām, piemērojot principu </w:t>
      </w:r>
      <w:r w:rsidRPr="006273DB">
        <w:rPr>
          <w:i/>
          <w:iCs/>
        </w:rPr>
        <w:t xml:space="preserve">jura </w:t>
      </w:r>
      <w:proofErr w:type="spellStart"/>
      <w:r w:rsidRPr="006273DB">
        <w:rPr>
          <w:i/>
          <w:iCs/>
        </w:rPr>
        <w:t>novit</w:t>
      </w:r>
      <w:proofErr w:type="spellEnd"/>
      <w:r w:rsidRPr="006273DB">
        <w:rPr>
          <w:i/>
          <w:iCs/>
        </w:rPr>
        <w:t xml:space="preserve"> </w:t>
      </w:r>
      <w:proofErr w:type="spellStart"/>
      <w:r w:rsidRPr="006273DB">
        <w:rPr>
          <w:i/>
          <w:iCs/>
        </w:rPr>
        <w:t>curia</w:t>
      </w:r>
      <w:proofErr w:type="spellEnd"/>
      <w:r w:rsidRPr="006273DB">
        <w:t xml:space="preserve">, lietas fakti </w:t>
      </w:r>
      <w:r>
        <w:t xml:space="preserve">bija jāpakārto </w:t>
      </w:r>
      <w:r w:rsidRPr="006273DB">
        <w:t xml:space="preserve">attiecīgajiem Valsts atbildības likuma noteikumiem, Lielā palāta atsaucas arī uz </w:t>
      </w:r>
      <w:r>
        <w:t>turpmāk minētajiem</w:t>
      </w:r>
      <w:r w:rsidRPr="006273DB">
        <w:t xml:space="preserve"> diviem principiem, kas </w:t>
      </w:r>
      <w:r>
        <w:t>nodibināti</w:t>
      </w:r>
      <w:r w:rsidRPr="006273DB">
        <w:t xml:space="preserve"> tās judikatūrā saistībā ar </w:t>
      </w:r>
      <w:r w:rsidR="002329C2">
        <w:t>nacionālo</w:t>
      </w:r>
      <w:r w:rsidRPr="006273DB">
        <w:t xml:space="preserve"> tiesību aizsardzības līdzekļu izsmelšanu.</w:t>
      </w:r>
    </w:p>
    <w:p w14:paraId="1684428F" w14:textId="4582EDCD" w:rsidR="002329C2" w:rsidRDefault="002329C2" w:rsidP="000E50B6">
      <w:pPr>
        <w:jc w:val="both"/>
      </w:pPr>
      <w:r w:rsidRPr="002329C2">
        <w:t xml:space="preserve">171. </w:t>
      </w:r>
      <w:r w:rsidRPr="002329C2">
        <w:rPr>
          <w:u w:val="single"/>
        </w:rPr>
        <w:t xml:space="preserve">Pat tajās valstīs, kur nacionālās tiesas civilprocesā var vai pat tām ir pienākums izskatīt lietu pēc savas iniciatīvas (tas ir, piemērot </w:t>
      </w:r>
      <w:r w:rsidRPr="002329C2">
        <w:rPr>
          <w:i/>
          <w:iCs/>
          <w:u w:val="single"/>
        </w:rPr>
        <w:t xml:space="preserve">jura </w:t>
      </w:r>
      <w:proofErr w:type="spellStart"/>
      <w:r w:rsidRPr="002329C2">
        <w:rPr>
          <w:i/>
          <w:iCs/>
          <w:u w:val="single"/>
        </w:rPr>
        <w:t>novit</w:t>
      </w:r>
      <w:proofErr w:type="spellEnd"/>
      <w:r w:rsidRPr="002329C2">
        <w:rPr>
          <w:i/>
          <w:iCs/>
          <w:u w:val="single"/>
        </w:rPr>
        <w:t xml:space="preserve"> </w:t>
      </w:r>
      <w:proofErr w:type="spellStart"/>
      <w:r w:rsidRPr="002329C2">
        <w:rPr>
          <w:i/>
          <w:iCs/>
          <w:u w:val="single"/>
        </w:rPr>
        <w:t>curia</w:t>
      </w:r>
      <w:proofErr w:type="spellEnd"/>
      <w:r w:rsidRPr="002329C2">
        <w:rPr>
          <w:u w:val="single"/>
        </w:rPr>
        <w:t xml:space="preserve"> principu), iesniedzēji nav atbrīvoti no tā, ka tiem šajās tiesās ir jāizvirza sūdzība, ko tie varētu vēlāk izvirzīt Tiesā</w:t>
      </w:r>
      <w:r w:rsidRPr="002329C2">
        <w:t xml:space="preserve"> (sk. </w:t>
      </w:r>
      <w:r>
        <w:t xml:space="preserve">citastarp </w:t>
      </w:r>
      <w:r w:rsidRPr="002329C2">
        <w:rPr>
          <w:i/>
          <w:iCs/>
        </w:rPr>
        <w:t>2020. gada 11. jūnija sprieduma apvienotajās lietās „</w:t>
      </w:r>
      <w:proofErr w:type="spellStart"/>
      <w:r w:rsidRPr="002329C2">
        <w:rPr>
          <w:i/>
          <w:iCs/>
        </w:rPr>
        <w:t>Kandarakis</w:t>
      </w:r>
      <w:proofErr w:type="spellEnd"/>
      <w:r w:rsidRPr="002329C2">
        <w:rPr>
          <w:i/>
          <w:iCs/>
        </w:rPr>
        <w:t xml:space="preserve"> v. </w:t>
      </w:r>
      <w:proofErr w:type="spellStart"/>
      <w:r w:rsidRPr="002329C2">
        <w:rPr>
          <w:i/>
          <w:iCs/>
        </w:rPr>
        <w:t>Greece</w:t>
      </w:r>
      <w:proofErr w:type="spellEnd"/>
      <w:r w:rsidRPr="002329C2">
        <w:rPr>
          <w:i/>
          <w:iCs/>
        </w:rPr>
        <w:t>”, iesnieguma Nr. </w:t>
      </w:r>
      <w:hyperlink r:id="rId23" w:history="1">
        <w:r w:rsidRPr="002329C2">
          <w:rPr>
            <w:rStyle w:val="Hyperlink"/>
            <w:i/>
            <w:iCs/>
          </w:rPr>
          <w:t>48345/12</w:t>
        </w:r>
      </w:hyperlink>
      <w:r w:rsidRPr="002329C2">
        <w:rPr>
          <w:i/>
          <w:iCs/>
        </w:rPr>
        <w:t>, 48348/12</w:t>
      </w:r>
      <w:r>
        <w:rPr>
          <w:i/>
          <w:iCs/>
        </w:rPr>
        <w:t xml:space="preserve"> un</w:t>
      </w:r>
      <w:r w:rsidRPr="002329C2">
        <w:rPr>
          <w:i/>
          <w:iCs/>
        </w:rPr>
        <w:t xml:space="preserve"> 67463/12, 77. punktu</w:t>
      </w:r>
      <w:r w:rsidRPr="002329C2">
        <w:t xml:space="preserve">), </w:t>
      </w:r>
      <w:r>
        <w:t xml:space="preserve">ar to </w:t>
      </w:r>
      <w:r w:rsidRPr="002329C2">
        <w:t>saprotot, ka</w:t>
      </w:r>
      <w:r w:rsidR="00154731">
        <w:t>,</w:t>
      </w:r>
      <w:r w:rsidRPr="002329C2">
        <w:t xml:space="preserve"> </w:t>
      </w:r>
      <w:r w:rsidR="009E228E" w:rsidRPr="009E228E">
        <w:rPr>
          <w:u w:val="single"/>
        </w:rPr>
        <w:t xml:space="preserve">nolūkā pārbaudīt </w:t>
      </w:r>
      <w:r w:rsidRPr="009E228E">
        <w:rPr>
          <w:u w:val="single"/>
        </w:rPr>
        <w:t>[nacionālo tiesību aizsardzības līdzekļu] izsmelšan</w:t>
      </w:r>
      <w:r w:rsidR="009E228E">
        <w:rPr>
          <w:u w:val="single"/>
        </w:rPr>
        <w:t>u</w:t>
      </w:r>
      <w:r w:rsidR="00154731">
        <w:rPr>
          <w:u w:val="single"/>
        </w:rPr>
        <w:t>,</w:t>
      </w:r>
      <w:r w:rsidRPr="009E228E">
        <w:rPr>
          <w:u w:val="single"/>
        </w:rPr>
        <w:t xml:space="preserve"> Tiesai ir jāņem vērā ne vien fakti, bet arī nacionālajā procesā izvirzītie juridiskie argumenti</w:t>
      </w:r>
      <w:r w:rsidRPr="002329C2">
        <w:t xml:space="preserve"> (sk. </w:t>
      </w:r>
      <w:r w:rsidRPr="009E228E">
        <w:rPr>
          <w:i/>
          <w:iCs/>
        </w:rPr>
        <w:t xml:space="preserve">iepriekš minētā sprieduma lietā </w:t>
      </w:r>
      <w:r w:rsidR="009E228E" w:rsidRPr="009E228E">
        <w:rPr>
          <w:i/>
          <w:iCs/>
        </w:rPr>
        <w:t>„</w:t>
      </w:r>
      <w:proofErr w:type="spellStart"/>
      <w:r w:rsidR="009E228E" w:rsidRPr="009E228E">
        <w:rPr>
          <w:i/>
          <w:iCs/>
        </w:rPr>
        <w:t>Radomilja</w:t>
      </w:r>
      <w:proofErr w:type="spellEnd"/>
      <w:r w:rsidR="009E228E" w:rsidRPr="009E228E">
        <w:rPr>
          <w:i/>
          <w:iCs/>
        </w:rPr>
        <w:t xml:space="preserve"> </w:t>
      </w:r>
      <w:proofErr w:type="spellStart"/>
      <w:r w:rsidR="009E228E" w:rsidRPr="009E228E">
        <w:rPr>
          <w:i/>
          <w:iCs/>
        </w:rPr>
        <w:t>and</w:t>
      </w:r>
      <w:proofErr w:type="spellEnd"/>
      <w:r w:rsidR="009E228E" w:rsidRPr="009E228E">
        <w:rPr>
          <w:i/>
          <w:iCs/>
        </w:rPr>
        <w:t xml:space="preserve"> </w:t>
      </w:r>
      <w:proofErr w:type="spellStart"/>
      <w:r w:rsidR="009E228E" w:rsidRPr="009E228E">
        <w:rPr>
          <w:i/>
          <w:iCs/>
        </w:rPr>
        <w:t>Others</w:t>
      </w:r>
      <w:proofErr w:type="spellEnd"/>
      <w:r w:rsidR="009E228E" w:rsidRPr="009E228E">
        <w:rPr>
          <w:i/>
          <w:iCs/>
        </w:rPr>
        <w:t xml:space="preserve"> v. </w:t>
      </w:r>
      <w:proofErr w:type="spellStart"/>
      <w:r w:rsidR="009E228E" w:rsidRPr="009E228E">
        <w:rPr>
          <w:i/>
          <w:iCs/>
        </w:rPr>
        <w:t>Croatia</w:t>
      </w:r>
      <w:proofErr w:type="spellEnd"/>
      <w:r w:rsidR="009E228E" w:rsidRPr="009E228E">
        <w:rPr>
          <w:i/>
          <w:iCs/>
        </w:rPr>
        <w:t xml:space="preserve">” </w:t>
      </w:r>
      <w:r w:rsidRPr="009E228E">
        <w:rPr>
          <w:i/>
          <w:iCs/>
        </w:rPr>
        <w:t>117.</w:t>
      </w:r>
      <w:r w:rsidR="009E228E" w:rsidRPr="009E228E">
        <w:rPr>
          <w:i/>
          <w:iCs/>
        </w:rPr>
        <w:t> </w:t>
      </w:r>
      <w:r w:rsidRPr="009E228E">
        <w:rPr>
          <w:i/>
          <w:iCs/>
        </w:rPr>
        <w:t>punkt</w:t>
      </w:r>
      <w:r w:rsidR="009E228E" w:rsidRPr="009E228E">
        <w:rPr>
          <w:i/>
          <w:iCs/>
        </w:rPr>
        <w:t>u</w:t>
      </w:r>
      <w:r w:rsidR="00A76867">
        <w:rPr>
          <w:rStyle w:val="FootnoteReference"/>
          <w:i/>
          <w:iCs/>
        </w:rPr>
        <w:footnoteReference w:id="1"/>
      </w:r>
      <w:r w:rsidRPr="009E228E">
        <w:rPr>
          <w:i/>
          <w:iCs/>
        </w:rPr>
        <w:t xml:space="preserve"> un tajā minētās lietas</w:t>
      </w:r>
      <w:r w:rsidRPr="002329C2">
        <w:t>).</w:t>
      </w:r>
    </w:p>
    <w:p w14:paraId="1650AB2A" w14:textId="5AE2DD64" w:rsidR="00CD22C5" w:rsidRDefault="00CD22C5" w:rsidP="000E50B6">
      <w:pPr>
        <w:jc w:val="both"/>
      </w:pPr>
      <w:r w:rsidRPr="00CD22C5">
        <w:t xml:space="preserve">172. Tāpat </w:t>
      </w:r>
      <w:r w:rsidRPr="00CD22C5">
        <w:rPr>
          <w:u w:val="single"/>
        </w:rPr>
        <w:t>nepietiek ar to, ka Konvencijas pārkāpums ir „acīmredzams” no lietas faktiem vai no iesniedzēja apgalvojumiem. Tā vietā iesniedzējam ir jāsūdzas (tieši vai pēc būtības) par šādu pārkāpumu tādā veidā, kas neatstāj šaubas par to, ka tā pati sūdzība, kas vēlāk iesniegta Tiesai, patiešām ir tikusi izvirzīta nacionālajā līmenī</w:t>
      </w:r>
      <w:r w:rsidRPr="00CD22C5">
        <w:t xml:space="preserve"> (sk. iepriekš minēto </w:t>
      </w:r>
      <w:r w:rsidRPr="00830C96">
        <w:rPr>
          <w:i/>
          <w:iCs/>
        </w:rPr>
        <w:t>„</w:t>
      </w:r>
      <w:proofErr w:type="spellStart"/>
      <w:r w:rsidRPr="00830C96">
        <w:rPr>
          <w:i/>
          <w:iCs/>
        </w:rPr>
        <w:t>Farzaliyev</w:t>
      </w:r>
      <w:proofErr w:type="spellEnd"/>
      <w:r w:rsidRPr="00830C96">
        <w:rPr>
          <w:i/>
          <w:iCs/>
        </w:rPr>
        <w:t xml:space="preserve"> v. </w:t>
      </w:r>
      <w:proofErr w:type="spellStart"/>
      <w:r w:rsidRPr="00830C96">
        <w:rPr>
          <w:i/>
          <w:iCs/>
        </w:rPr>
        <w:t>Azerbaijan</w:t>
      </w:r>
      <w:proofErr w:type="spellEnd"/>
      <w:r w:rsidRPr="00830C96">
        <w:rPr>
          <w:i/>
          <w:iCs/>
        </w:rPr>
        <w:t>”</w:t>
      </w:r>
      <w:r w:rsidRPr="00CD22C5">
        <w:t>, 55. punkt</w:t>
      </w:r>
      <w:r>
        <w:t xml:space="preserve">u </w:t>
      </w:r>
      <w:r w:rsidRPr="00CD22C5">
        <w:t>un 2013</w:t>
      </w:r>
      <w:r>
        <w:t>. </w:t>
      </w:r>
      <w:r w:rsidRPr="00CD22C5">
        <w:t>gada 10.</w:t>
      </w:r>
      <w:r>
        <w:t> </w:t>
      </w:r>
      <w:r w:rsidRPr="00CD22C5">
        <w:t>decembr</w:t>
      </w:r>
      <w:r>
        <w:t xml:space="preserve">a lēmumu apvienotajās lietās </w:t>
      </w:r>
      <w:r w:rsidR="00154731">
        <w:t>„</w:t>
      </w:r>
      <w:proofErr w:type="spellStart"/>
      <w:r w:rsidRPr="00CD22C5">
        <w:t>Merot</w:t>
      </w:r>
      <w:proofErr w:type="spellEnd"/>
      <w:r w:rsidRPr="00CD22C5">
        <w:t xml:space="preserve"> </w:t>
      </w:r>
      <w:proofErr w:type="spellStart"/>
      <w:r w:rsidRPr="00CD22C5">
        <w:t>d.o.o</w:t>
      </w:r>
      <w:proofErr w:type="spellEnd"/>
      <w:r w:rsidRPr="00CD22C5">
        <w:t>.</w:t>
      </w:r>
      <w:r>
        <w:t xml:space="preserve"> </w:t>
      </w:r>
      <w:proofErr w:type="spellStart"/>
      <w:r>
        <w:t>and</w:t>
      </w:r>
      <w:proofErr w:type="spellEnd"/>
      <w:r w:rsidRPr="00CD22C5">
        <w:t xml:space="preserve"> </w:t>
      </w:r>
      <w:proofErr w:type="spellStart"/>
      <w:r w:rsidRPr="00CD22C5">
        <w:t>Storitve</w:t>
      </w:r>
      <w:proofErr w:type="spellEnd"/>
      <w:r w:rsidRPr="00CD22C5">
        <w:t xml:space="preserve"> </w:t>
      </w:r>
      <w:proofErr w:type="spellStart"/>
      <w:r w:rsidRPr="00CD22C5">
        <w:t>Tir</w:t>
      </w:r>
      <w:proofErr w:type="spellEnd"/>
      <w:r w:rsidRPr="00CD22C5">
        <w:t xml:space="preserve"> </w:t>
      </w:r>
      <w:proofErr w:type="spellStart"/>
      <w:r w:rsidRPr="00CD22C5">
        <w:t>d.o.o</w:t>
      </w:r>
      <w:proofErr w:type="spellEnd"/>
      <w:r w:rsidRPr="00CD22C5">
        <w:t xml:space="preserve">. </w:t>
      </w:r>
      <w:r>
        <w:t xml:space="preserve">v. </w:t>
      </w:r>
      <w:proofErr w:type="spellStart"/>
      <w:r>
        <w:t>Croatia</w:t>
      </w:r>
      <w:proofErr w:type="spellEnd"/>
      <w:r>
        <w:t xml:space="preserve">”, iesnieguma </w:t>
      </w:r>
      <w:r w:rsidRPr="00CD22C5">
        <w:t>Nr.</w:t>
      </w:r>
      <w:r>
        <w:t> </w:t>
      </w:r>
      <w:hyperlink r:id="rId24" w:history="1">
        <w:r w:rsidRPr="00CD22C5">
          <w:rPr>
            <w:rStyle w:val="Hyperlink"/>
          </w:rPr>
          <w:t>29426/08</w:t>
        </w:r>
      </w:hyperlink>
      <w:r w:rsidRPr="00CD22C5">
        <w:t xml:space="preserve"> un 29737/08). </w:t>
      </w:r>
      <w:r>
        <w:t>Ir skaidrs, ka</w:t>
      </w:r>
      <w:r w:rsidRPr="00CD22C5">
        <w:t xml:space="preserve"> nevar teikt, ka tā</w:t>
      </w:r>
      <w:r>
        <w:t xml:space="preserve"> tas </w:t>
      </w:r>
      <w:r w:rsidRPr="00CD22C5">
        <w:t>būtu bij</w:t>
      </w:r>
      <w:r>
        <w:t>is</w:t>
      </w:r>
      <w:r w:rsidRPr="00CD22C5">
        <w:t xml:space="preserve"> izskatāmajā lietā.</w:t>
      </w:r>
    </w:p>
    <w:p w14:paraId="20074452" w14:textId="35C445D0" w:rsidR="003D02E4" w:rsidRDefault="003D02E4" w:rsidP="000E50B6">
      <w:pPr>
        <w:jc w:val="both"/>
      </w:pPr>
      <w:r w:rsidRPr="003D02E4">
        <w:t xml:space="preserve">173. Tādējādi Tiesai ir jāapmierina valdības sākotnējais iebildums par </w:t>
      </w:r>
      <w:r>
        <w:t>nacionālo</w:t>
      </w:r>
      <w:r w:rsidRPr="003D02E4">
        <w:t xml:space="preserve"> tiesību aizsardzības līdzekļu neizsmelšanu.</w:t>
      </w:r>
    </w:p>
    <w:p w14:paraId="30F961E1" w14:textId="6DB55269" w:rsidR="009E228E" w:rsidRDefault="003D02E4" w:rsidP="000E50B6">
      <w:pPr>
        <w:jc w:val="both"/>
      </w:pPr>
      <w:r w:rsidRPr="003D02E4">
        <w:t xml:space="preserve">174. No tā izriet, ka </w:t>
      </w:r>
      <w:r>
        <w:t>s</w:t>
      </w:r>
      <w:r w:rsidRPr="003D02E4">
        <w:t>ūdzība par nepamatotu kavēšanos ar aresta atcelšanu pēc iesniedzējas sabiedrības valdes priekšsēdētāja un citu valdes locekļa attaisnošanas ir nepieņemama saskaņā ar Konvencijas 35.</w:t>
      </w:r>
      <w:r>
        <w:t> </w:t>
      </w:r>
      <w:r w:rsidRPr="003D02E4">
        <w:t>panta 1.</w:t>
      </w:r>
      <w:r>
        <w:t> </w:t>
      </w:r>
      <w:r w:rsidRPr="003D02E4">
        <w:t xml:space="preserve">punktu par </w:t>
      </w:r>
      <w:r>
        <w:t>nacionālo</w:t>
      </w:r>
      <w:r w:rsidRPr="003D02E4">
        <w:t xml:space="preserve"> tiesību aizsardzības līdzekļu neizsmelšanu un ka tā ir </w:t>
      </w:r>
      <w:r>
        <w:t>noraidāma</w:t>
      </w:r>
      <w:r w:rsidRPr="003D02E4">
        <w:t xml:space="preserve"> saskaņā ar 35.</w:t>
      </w:r>
      <w:r>
        <w:t> </w:t>
      </w:r>
      <w:r w:rsidRPr="003D02E4">
        <w:t>panta 4.</w:t>
      </w:r>
      <w:r>
        <w:t> </w:t>
      </w:r>
      <w:r w:rsidRPr="003D02E4">
        <w:t>punkt</w:t>
      </w:r>
      <w:r>
        <w:t>u</w:t>
      </w:r>
      <w:r w:rsidRPr="003D02E4">
        <w:t>.</w:t>
      </w:r>
    </w:p>
    <w:sectPr w:rsidR="009E228E" w:rsidSect="00381112">
      <w:headerReference w:type="default" r:id="rId25"/>
      <w:footerReference w:type="default" r:id="rId2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2A55" w14:textId="77777777" w:rsidR="00A67C03" w:rsidRDefault="00A67C03" w:rsidP="003D02E4">
      <w:pPr>
        <w:spacing w:after="0" w:line="240" w:lineRule="auto"/>
      </w:pPr>
      <w:r>
        <w:separator/>
      </w:r>
    </w:p>
  </w:endnote>
  <w:endnote w:type="continuationSeparator" w:id="0">
    <w:p w14:paraId="731F3388" w14:textId="77777777" w:rsidR="00A67C03" w:rsidRDefault="00A67C03" w:rsidP="003D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677345"/>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1AFD9995" w14:textId="35CA7BA5" w:rsidR="003D02E4" w:rsidRPr="003D02E4" w:rsidRDefault="003D02E4">
            <w:pPr>
              <w:pStyle w:val="Footer"/>
              <w:jc w:val="center"/>
              <w:rPr>
                <w:sz w:val="20"/>
                <w:szCs w:val="20"/>
              </w:rPr>
            </w:pPr>
            <w:r w:rsidRPr="003D02E4">
              <w:rPr>
                <w:sz w:val="20"/>
                <w:szCs w:val="20"/>
              </w:rPr>
              <w:fldChar w:fldCharType="begin"/>
            </w:r>
            <w:r w:rsidRPr="003D02E4">
              <w:rPr>
                <w:sz w:val="20"/>
                <w:szCs w:val="20"/>
              </w:rPr>
              <w:instrText xml:space="preserve"> PAGE </w:instrText>
            </w:r>
            <w:r w:rsidRPr="003D02E4">
              <w:rPr>
                <w:sz w:val="20"/>
                <w:szCs w:val="20"/>
              </w:rPr>
              <w:fldChar w:fldCharType="separate"/>
            </w:r>
            <w:r w:rsidRPr="003D02E4">
              <w:rPr>
                <w:noProof/>
                <w:sz w:val="20"/>
                <w:szCs w:val="20"/>
              </w:rPr>
              <w:t>2</w:t>
            </w:r>
            <w:r w:rsidRPr="003D02E4">
              <w:rPr>
                <w:sz w:val="20"/>
                <w:szCs w:val="20"/>
              </w:rPr>
              <w:fldChar w:fldCharType="end"/>
            </w:r>
            <w:r w:rsidRPr="003D02E4">
              <w:rPr>
                <w:sz w:val="20"/>
                <w:szCs w:val="20"/>
              </w:rPr>
              <w:t xml:space="preserve"> no </w:t>
            </w:r>
            <w:r w:rsidRPr="003D02E4">
              <w:rPr>
                <w:sz w:val="20"/>
                <w:szCs w:val="20"/>
              </w:rPr>
              <w:fldChar w:fldCharType="begin"/>
            </w:r>
            <w:r w:rsidRPr="003D02E4">
              <w:rPr>
                <w:sz w:val="20"/>
                <w:szCs w:val="20"/>
              </w:rPr>
              <w:instrText xml:space="preserve"> NUMPAGES  </w:instrText>
            </w:r>
            <w:r w:rsidRPr="003D02E4">
              <w:rPr>
                <w:sz w:val="20"/>
                <w:szCs w:val="20"/>
              </w:rPr>
              <w:fldChar w:fldCharType="separate"/>
            </w:r>
            <w:r w:rsidRPr="003D02E4">
              <w:rPr>
                <w:noProof/>
                <w:sz w:val="20"/>
                <w:szCs w:val="20"/>
              </w:rPr>
              <w:t>2</w:t>
            </w:r>
            <w:r w:rsidRPr="003D02E4">
              <w:rPr>
                <w:sz w:val="20"/>
                <w:szCs w:val="20"/>
              </w:rPr>
              <w:fldChar w:fldCharType="end"/>
            </w:r>
          </w:p>
        </w:sdtContent>
      </w:sdt>
    </w:sdtContent>
  </w:sdt>
  <w:p w14:paraId="2AA0F934" w14:textId="77777777" w:rsidR="003D02E4" w:rsidRDefault="003D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D79E" w14:textId="77777777" w:rsidR="00A67C03" w:rsidRDefault="00A67C03" w:rsidP="003D02E4">
      <w:pPr>
        <w:spacing w:after="0" w:line="240" w:lineRule="auto"/>
      </w:pPr>
      <w:r>
        <w:separator/>
      </w:r>
    </w:p>
  </w:footnote>
  <w:footnote w:type="continuationSeparator" w:id="0">
    <w:p w14:paraId="34B992AE" w14:textId="77777777" w:rsidR="00A67C03" w:rsidRDefault="00A67C03" w:rsidP="003D02E4">
      <w:pPr>
        <w:spacing w:after="0" w:line="240" w:lineRule="auto"/>
      </w:pPr>
      <w:r>
        <w:continuationSeparator/>
      </w:r>
    </w:p>
  </w:footnote>
  <w:footnote w:id="1">
    <w:p w14:paraId="4AE9B653" w14:textId="21E2E99D" w:rsidR="00A76867" w:rsidRPr="00544106" w:rsidRDefault="00A76867" w:rsidP="00544106">
      <w:pPr>
        <w:pStyle w:val="FootnoteText"/>
        <w:jc w:val="both"/>
        <w:rPr>
          <w:rFonts w:ascii="Times New Roman" w:hAnsi="Times New Roman" w:cs="Times New Roman"/>
        </w:rPr>
      </w:pPr>
      <w:r>
        <w:rPr>
          <w:rStyle w:val="FootnoteReference"/>
        </w:rPr>
        <w:footnoteRef/>
      </w:r>
      <w:r>
        <w:t xml:space="preserve"> </w:t>
      </w:r>
      <w:r w:rsidRPr="00544106">
        <w:rPr>
          <w:rFonts w:ascii="Times New Roman" w:hAnsi="Times New Roman" w:cs="Times New Roman"/>
        </w:rPr>
        <w:t xml:space="preserve">117. </w:t>
      </w:r>
      <w:r>
        <w:rPr>
          <w:rFonts w:ascii="Times New Roman" w:hAnsi="Times New Roman" w:cs="Times New Roman"/>
        </w:rPr>
        <w:t>[Nacionālo tiesiskās aizsardzības līdzekļu] i</w:t>
      </w:r>
      <w:r w:rsidRPr="00544106">
        <w:rPr>
          <w:rFonts w:ascii="Times New Roman" w:hAnsi="Times New Roman" w:cs="Times New Roman"/>
        </w:rPr>
        <w:t xml:space="preserve">zsmelšanas noteikuma mērķis ir dot līgumslēdzējai valstij iespēju vērsties pret konkrēto </w:t>
      </w:r>
      <w:r>
        <w:rPr>
          <w:rFonts w:ascii="Times New Roman" w:hAnsi="Times New Roman" w:cs="Times New Roman"/>
        </w:rPr>
        <w:t>K</w:t>
      </w:r>
      <w:r w:rsidRPr="00544106">
        <w:rPr>
          <w:rFonts w:ascii="Times New Roman" w:hAnsi="Times New Roman" w:cs="Times New Roman"/>
        </w:rPr>
        <w:t xml:space="preserve">onvencijas pārkāpumu un tādējādi </w:t>
      </w:r>
      <w:r w:rsidR="00FC2C89">
        <w:rPr>
          <w:rFonts w:ascii="Times New Roman" w:hAnsi="Times New Roman" w:cs="Times New Roman"/>
        </w:rPr>
        <w:t xml:space="preserve">to </w:t>
      </w:r>
      <w:r w:rsidRPr="00544106">
        <w:rPr>
          <w:rFonts w:ascii="Times New Roman" w:hAnsi="Times New Roman" w:cs="Times New Roman"/>
        </w:rPr>
        <w:t>novērst vai labot (sk., piemēram,</w:t>
      </w:r>
      <w:r w:rsidR="006D70EE">
        <w:rPr>
          <w:rFonts w:ascii="Times New Roman" w:hAnsi="Times New Roman" w:cs="Times New Roman"/>
        </w:rPr>
        <w:t xml:space="preserve"> </w:t>
      </w:r>
      <w:r w:rsidR="006D70EE" w:rsidRPr="00544106">
        <w:rPr>
          <w:rFonts w:ascii="Times New Roman" w:hAnsi="Times New Roman" w:cs="Times New Roman"/>
          <w:i/>
          <w:iCs/>
        </w:rPr>
        <w:t>2005. gada 1. septembra lēmuma lietā</w:t>
      </w:r>
      <w:r w:rsidRPr="00544106">
        <w:rPr>
          <w:rFonts w:ascii="Times New Roman" w:hAnsi="Times New Roman" w:cs="Times New Roman"/>
          <w:i/>
          <w:iCs/>
        </w:rPr>
        <w:t xml:space="preserve"> </w:t>
      </w:r>
      <w:r w:rsidR="006D70EE" w:rsidRPr="00544106">
        <w:rPr>
          <w:rFonts w:ascii="Times New Roman" w:hAnsi="Times New Roman" w:cs="Times New Roman"/>
          <w:i/>
          <w:iCs/>
        </w:rPr>
        <w:t>„</w:t>
      </w:r>
      <w:proofErr w:type="spellStart"/>
      <w:r w:rsidRPr="00544106">
        <w:rPr>
          <w:rFonts w:ascii="Times New Roman" w:hAnsi="Times New Roman" w:cs="Times New Roman"/>
          <w:i/>
          <w:iCs/>
        </w:rPr>
        <w:t>Adam</w:t>
      </w:r>
      <w:proofErr w:type="spellEnd"/>
      <w:r w:rsidRPr="00544106">
        <w:rPr>
          <w:rFonts w:ascii="Times New Roman" w:hAnsi="Times New Roman" w:cs="Times New Roman"/>
          <w:i/>
          <w:iCs/>
        </w:rPr>
        <w:t xml:space="preserve"> </w:t>
      </w:r>
      <w:proofErr w:type="spellStart"/>
      <w:r w:rsidRPr="00544106">
        <w:rPr>
          <w:rFonts w:ascii="Times New Roman" w:hAnsi="Times New Roman" w:cs="Times New Roman"/>
          <w:i/>
          <w:iCs/>
        </w:rPr>
        <w:t>and</w:t>
      </w:r>
      <w:proofErr w:type="spellEnd"/>
      <w:r w:rsidRPr="00544106">
        <w:rPr>
          <w:rFonts w:ascii="Times New Roman" w:hAnsi="Times New Roman" w:cs="Times New Roman"/>
          <w:i/>
          <w:iCs/>
        </w:rPr>
        <w:t xml:space="preserve"> </w:t>
      </w:r>
      <w:proofErr w:type="spellStart"/>
      <w:r w:rsidRPr="00544106">
        <w:rPr>
          <w:rFonts w:ascii="Times New Roman" w:hAnsi="Times New Roman" w:cs="Times New Roman"/>
          <w:i/>
          <w:iCs/>
        </w:rPr>
        <w:t>Others</w:t>
      </w:r>
      <w:proofErr w:type="spellEnd"/>
      <w:r w:rsidRPr="00544106">
        <w:rPr>
          <w:rFonts w:ascii="Times New Roman" w:hAnsi="Times New Roman" w:cs="Times New Roman"/>
          <w:i/>
          <w:iCs/>
        </w:rPr>
        <w:t xml:space="preserve"> v. </w:t>
      </w:r>
      <w:proofErr w:type="spellStart"/>
      <w:r w:rsidRPr="00544106">
        <w:rPr>
          <w:rFonts w:ascii="Times New Roman" w:hAnsi="Times New Roman" w:cs="Times New Roman"/>
          <w:i/>
          <w:iCs/>
        </w:rPr>
        <w:t>Germany</w:t>
      </w:r>
      <w:proofErr w:type="spellEnd"/>
      <w:r w:rsidR="006D70EE" w:rsidRPr="00544106">
        <w:rPr>
          <w:rFonts w:ascii="Times New Roman" w:hAnsi="Times New Roman" w:cs="Times New Roman"/>
          <w:i/>
          <w:iCs/>
        </w:rPr>
        <w:t>”</w:t>
      </w:r>
      <w:r w:rsidRPr="00544106">
        <w:rPr>
          <w:rFonts w:ascii="Times New Roman" w:hAnsi="Times New Roman" w:cs="Times New Roman"/>
          <w:i/>
          <w:iCs/>
        </w:rPr>
        <w:t>, iesnieguma Nr. </w:t>
      </w:r>
      <w:hyperlink r:id="rId1" w:history="1">
        <w:r w:rsidRPr="00544106">
          <w:rPr>
            <w:rStyle w:val="Hyperlink"/>
            <w:rFonts w:ascii="Times New Roman" w:hAnsi="Times New Roman" w:cs="Times New Roman"/>
            <w:i/>
            <w:iCs/>
          </w:rPr>
          <w:t>290/03</w:t>
        </w:r>
      </w:hyperlink>
      <w:r w:rsidRPr="00544106">
        <w:rPr>
          <w:rFonts w:ascii="Times New Roman" w:hAnsi="Times New Roman" w:cs="Times New Roman"/>
          <w:i/>
          <w:iCs/>
        </w:rPr>
        <w:t>, 41. punktu</w:t>
      </w:r>
      <w:r w:rsidRPr="00544106">
        <w:rPr>
          <w:rFonts w:ascii="Times New Roman" w:hAnsi="Times New Roman" w:cs="Times New Roman"/>
        </w:rPr>
        <w:t>). Taisnība, ka saskaņā ar Tiesas judikatūru ne vienmēr ir nepieciešams, lai</w:t>
      </w:r>
      <w:r w:rsidR="006D70EE">
        <w:rPr>
          <w:rFonts w:ascii="Times New Roman" w:hAnsi="Times New Roman" w:cs="Times New Roman"/>
        </w:rPr>
        <w:t xml:space="preserve"> uz</w:t>
      </w:r>
      <w:r w:rsidRPr="00544106">
        <w:rPr>
          <w:rFonts w:ascii="Times New Roman" w:hAnsi="Times New Roman" w:cs="Times New Roman"/>
        </w:rPr>
        <w:t xml:space="preserve"> Konvencij</w:t>
      </w:r>
      <w:r w:rsidR="00FC2C89">
        <w:rPr>
          <w:rFonts w:ascii="Times New Roman" w:hAnsi="Times New Roman" w:cs="Times New Roman"/>
        </w:rPr>
        <w:t>u</w:t>
      </w:r>
      <w:r w:rsidRPr="00544106">
        <w:rPr>
          <w:rFonts w:ascii="Times New Roman" w:hAnsi="Times New Roman" w:cs="Times New Roman"/>
        </w:rPr>
        <w:t xml:space="preserve"> būtu nepārprotam</w:t>
      </w:r>
      <w:r w:rsidR="006D70EE">
        <w:rPr>
          <w:rFonts w:ascii="Times New Roman" w:hAnsi="Times New Roman" w:cs="Times New Roman"/>
        </w:rPr>
        <w:t>i norādīts</w:t>
      </w:r>
      <w:r w:rsidRPr="00544106">
        <w:rPr>
          <w:rFonts w:ascii="Times New Roman" w:hAnsi="Times New Roman" w:cs="Times New Roman"/>
        </w:rPr>
        <w:t xml:space="preserve"> valsts tiesvedībā, ja sūdzība ir izvirzīta </w:t>
      </w:r>
      <w:r w:rsidR="006D70EE">
        <w:rPr>
          <w:rFonts w:ascii="Times New Roman" w:hAnsi="Times New Roman" w:cs="Times New Roman"/>
        </w:rPr>
        <w:t>„</w:t>
      </w:r>
      <w:r w:rsidRPr="00544106">
        <w:rPr>
          <w:rFonts w:ascii="Times New Roman" w:hAnsi="Times New Roman" w:cs="Times New Roman"/>
        </w:rPr>
        <w:t xml:space="preserve">vismaz pēc būtības” </w:t>
      </w:r>
      <w:proofErr w:type="gramStart"/>
      <w:r w:rsidRPr="00544106">
        <w:rPr>
          <w:rFonts w:ascii="Times New Roman" w:hAnsi="Times New Roman" w:cs="Times New Roman"/>
        </w:rPr>
        <w:t>(</w:t>
      </w:r>
      <w:proofErr w:type="gramEnd"/>
      <w:r w:rsidRPr="00544106">
        <w:rPr>
          <w:rFonts w:ascii="Times New Roman" w:hAnsi="Times New Roman" w:cs="Times New Roman"/>
        </w:rPr>
        <w:t xml:space="preserve">sk., piemēram, </w:t>
      </w:r>
      <w:r w:rsidR="006D70EE" w:rsidRPr="00544106">
        <w:rPr>
          <w:rFonts w:ascii="Times New Roman" w:hAnsi="Times New Roman" w:cs="Times New Roman"/>
          <w:i/>
          <w:iCs/>
        </w:rPr>
        <w:t>1986. gada 28. augusta sprieduma lietā „</w:t>
      </w:r>
      <w:proofErr w:type="spellStart"/>
      <w:r w:rsidRPr="00544106">
        <w:rPr>
          <w:rFonts w:ascii="Times New Roman" w:hAnsi="Times New Roman" w:cs="Times New Roman"/>
          <w:i/>
          <w:iCs/>
        </w:rPr>
        <w:t>Glasenapp</w:t>
      </w:r>
      <w:proofErr w:type="spellEnd"/>
      <w:r w:rsidR="006D70EE" w:rsidRPr="00544106">
        <w:rPr>
          <w:rFonts w:ascii="Times New Roman" w:hAnsi="Times New Roman" w:cs="Times New Roman"/>
          <w:i/>
          <w:iCs/>
        </w:rPr>
        <w:t xml:space="preserve"> v. </w:t>
      </w:r>
      <w:proofErr w:type="spellStart"/>
      <w:r w:rsidR="006D70EE" w:rsidRPr="00544106">
        <w:rPr>
          <w:rFonts w:ascii="Times New Roman" w:hAnsi="Times New Roman" w:cs="Times New Roman"/>
          <w:i/>
          <w:iCs/>
        </w:rPr>
        <w:t>Germany</w:t>
      </w:r>
      <w:proofErr w:type="spellEnd"/>
      <w:r w:rsidR="006D70EE" w:rsidRPr="00544106">
        <w:rPr>
          <w:rFonts w:ascii="Times New Roman" w:hAnsi="Times New Roman" w:cs="Times New Roman"/>
          <w:i/>
          <w:iCs/>
        </w:rPr>
        <w:t>”</w:t>
      </w:r>
      <w:r w:rsidRPr="00544106">
        <w:rPr>
          <w:rFonts w:ascii="Times New Roman" w:hAnsi="Times New Roman" w:cs="Times New Roman"/>
          <w:i/>
          <w:iCs/>
        </w:rPr>
        <w:t>,</w:t>
      </w:r>
      <w:r w:rsidR="006D70EE" w:rsidRPr="00544106">
        <w:rPr>
          <w:rFonts w:ascii="Times New Roman" w:hAnsi="Times New Roman" w:cs="Times New Roman"/>
          <w:i/>
          <w:iCs/>
        </w:rPr>
        <w:t xml:space="preserve"> iesnieguma Nr. </w:t>
      </w:r>
      <w:hyperlink r:id="rId2" w:history="1">
        <w:r w:rsidR="006D70EE" w:rsidRPr="00544106">
          <w:rPr>
            <w:rStyle w:val="Hyperlink"/>
            <w:rFonts w:ascii="Times New Roman" w:hAnsi="Times New Roman" w:cs="Times New Roman"/>
            <w:i/>
            <w:iCs/>
          </w:rPr>
          <w:t>9228/80</w:t>
        </w:r>
      </w:hyperlink>
      <w:r w:rsidRPr="00544106">
        <w:rPr>
          <w:rFonts w:ascii="Times New Roman" w:hAnsi="Times New Roman" w:cs="Times New Roman"/>
          <w:i/>
          <w:iCs/>
        </w:rPr>
        <w:t>, 44. punkt</w:t>
      </w:r>
      <w:r w:rsidR="006D70EE" w:rsidRPr="00544106">
        <w:rPr>
          <w:rFonts w:ascii="Times New Roman" w:hAnsi="Times New Roman" w:cs="Times New Roman"/>
          <w:i/>
          <w:iCs/>
        </w:rPr>
        <w:t>u</w:t>
      </w:r>
      <w:r w:rsidRPr="00544106">
        <w:rPr>
          <w:rFonts w:ascii="Times New Roman" w:hAnsi="Times New Roman" w:cs="Times New Roman"/>
          <w:i/>
          <w:iCs/>
        </w:rPr>
        <w:t xml:space="preserve"> un </w:t>
      </w:r>
      <w:r w:rsidR="006D70EE" w:rsidRPr="00544106">
        <w:rPr>
          <w:rFonts w:ascii="Times New Roman" w:hAnsi="Times New Roman" w:cs="Times New Roman"/>
          <w:i/>
          <w:iCs/>
        </w:rPr>
        <w:t>1992. gada 23. aprīļa sprieduma lietā „</w:t>
      </w:r>
      <w:proofErr w:type="spellStart"/>
      <w:r w:rsidRPr="00544106">
        <w:rPr>
          <w:rFonts w:ascii="Times New Roman" w:hAnsi="Times New Roman" w:cs="Times New Roman"/>
          <w:i/>
          <w:iCs/>
        </w:rPr>
        <w:t>Castells</w:t>
      </w:r>
      <w:proofErr w:type="spellEnd"/>
      <w:r w:rsidR="006D70EE" w:rsidRPr="00544106">
        <w:rPr>
          <w:rFonts w:ascii="Times New Roman" w:hAnsi="Times New Roman" w:cs="Times New Roman"/>
          <w:i/>
          <w:iCs/>
        </w:rPr>
        <w:t xml:space="preserve"> v. </w:t>
      </w:r>
      <w:proofErr w:type="spellStart"/>
      <w:r w:rsidR="006D70EE" w:rsidRPr="00544106">
        <w:rPr>
          <w:rFonts w:ascii="Times New Roman" w:hAnsi="Times New Roman" w:cs="Times New Roman"/>
          <w:i/>
          <w:iCs/>
        </w:rPr>
        <w:t>Spain</w:t>
      </w:r>
      <w:proofErr w:type="spellEnd"/>
      <w:r w:rsidR="006D70EE" w:rsidRPr="00544106">
        <w:rPr>
          <w:rFonts w:ascii="Times New Roman" w:hAnsi="Times New Roman" w:cs="Times New Roman"/>
          <w:i/>
          <w:iCs/>
        </w:rPr>
        <w:t>”, iesnieguma Nr. </w:t>
      </w:r>
      <w:hyperlink r:id="rId3" w:history="1">
        <w:r w:rsidR="006D70EE" w:rsidRPr="00544106">
          <w:rPr>
            <w:rStyle w:val="Hyperlink"/>
            <w:rFonts w:ascii="Times New Roman" w:hAnsi="Times New Roman" w:cs="Times New Roman"/>
            <w:i/>
            <w:iCs/>
          </w:rPr>
          <w:t>11798/85</w:t>
        </w:r>
      </w:hyperlink>
      <w:r w:rsidRPr="00544106">
        <w:rPr>
          <w:rFonts w:ascii="Times New Roman" w:hAnsi="Times New Roman" w:cs="Times New Roman"/>
          <w:i/>
          <w:iCs/>
        </w:rPr>
        <w:t>, 32.</w:t>
      </w:r>
      <w:r w:rsidR="006D70EE" w:rsidRPr="00544106">
        <w:rPr>
          <w:rFonts w:ascii="Times New Roman" w:hAnsi="Times New Roman" w:cs="Times New Roman"/>
          <w:i/>
          <w:iCs/>
        </w:rPr>
        <w:t> </w:t>
      </w:r>
      <w:r w:rsidRPr="00544106">
        <w:rPr>
          <w:rFonts w:ascii="Times New Roman" w:hAnsi="Times New Roman" w:cs="Times New Roman"/>
          <w:i/>
          <w:iCs/>
        </w:rPr>
        <w:t>punkt</w:t>
      </w:r>
      <w:r w:rsidR="006D70EE" w:rsidRPr="00544106">
        <w:rPr>
          <w:rFonts w:ascii="Times New Roman" w:hAnsi="Times New Roman" w:cs="Times New Roman"/>
          <w:i/>
          <w:iCs/>
        </w:rPr>
        <w:t>u</w:t>
      </w:r>
      <w:r w:rsidRPr="00544106">
        <w:rPr>
          <w:rFonts w:ascii="Times New Roman" w:hAnsi="Times New Roman" w:cs="Times New Roman"/>
        </w:rPr>
        <w:t>). Tas nozīmē, ka iesniedzējam ir jāizvirza tādi paši vai līdzīgi juridiski</w:t>
      </w:r>
      <w:r w:rsidR="006D70EE">
        <w:rPr>
          <w:rFonts w:ascii="Times New Roman" w:hAnsi="Times New Roman" w:cs="Times New Roman"/>
        </w:rPr>
        <w:t>e</w:t>
      </w:r>
      <w:r w:rsidRPr="00544106">
        <w:rPr>
          <w:rFonts w:ascii="Times New Roman" w:hAnsi="Times New Roman" w:cs="Times New Roman"/>
        </w:rPr>
        <w:t xml:space="preserve"> argumenti, pamatojoties uz </w:t>
      </w:r>
      <w:r w:rsidR="006D70EE">
        <w:rPr>
          <w:rFonts w:ascii="Times New Roman" w:hAnsi="Times New Roman" w:cs="Times New Roman"/>
        </w:rPr>
        <w:t xml:space="preserve">nacionālajiem </w:t>
      </w:r>
      <w:r w:rsidRPr="00544106">
        <w:rPr>
          <w:rFonts w:ascii="Times New Roman" w:hAnsi="Times New Roman" w:cs="Times New Roman"/>
        </w:rPr>
        <w:t xml:space="preserve">tiesību aktiem, lai </w:t>
      </w:r>
      <w:r w:rsidR="006D70EE">
        <w:rPr>
          <w:rFonts w:ascii="Times New Roman" w:hAnsi="Times New Roman" w:cs="Times New Roman"/>
        </w:rPr>
        <w:t>nacionālajām</w:t>
      </w:r>
      <w:r w:rsidRPr="00544106">
        <w:rPr>
          <w:rFonts w:ascii="Times New Roman" w:hAnsi="Times New Roman" w:cs="Times New Roman"/>
        </w:rPr>
        <w:t xml:space="preserve"> tiesām dotu iespēju </w:t>
      </w:r>
      <w:r w:rsidR="006D70EE">
        <w:rPr>
          <w:rFonts w:ascii="Times New Roman" w:hAnsi="Times New Roman" w:cs="Times New Roman"/>
        </w:rPr>
        <w:t>iz</w:t>
      </w:r>
      <w:r w:rsidRPr="00544106">
        <w:rPr>
          <w:rFonts w:ascii="Times New Roman" w:hAnsi="Times New Roman" w:cs="Times New Roman"/>
        </w:rPr>
        <w:t xml:space="preserve">labot iespējamo pārkāpumu </w:t>
      </w:r>
      <w:proofErr w:type="gramStart"/>
      <w:r w:rsidRPr="00544106">
        <w:rPr>
          <w:rFonts w:ascii="Times New Roman" w:hAnsi="Times New Roman" w:cs="Times New Roman"/>
        </w:rPr>
        <w:t>(</w:t>
      </w:r>
      <w:proofErr w:type="gramEnd"/>
      <w:r w:rsidRPr="00544106">
        <w:rPr>
          <w:rFonts w:ascii="Times New Roman" w:hAnsi="Times New Roman" w:cs="Times New Roman"/>
        </w:rPr>
        <w:t xml:space="preserve">sk., piemēram, </w:t>
      </w:r>
      <w:r w:rsidR="006D70EE" w:rsidRPr="00544106">
        <w:rPr>
          <w:rFonts w:ascii="Times New Roman" w:hAnsi="Times New Roman" w:cs="Times New Roman"/>
          <w:i/>
          <w:iCs/>
        </w:rPr>
        <w:t xml:space="preserve">1980. gada 6. novembra sprieduma </w:t>
      </w:r>
      <w:r w:rsidR="00F06A85" w:rsidRPr="00544106">
        <w:rPr>
          <w:rFonts w:ascii="Times New Roman" w:hAnsi="Times New Roman" w:cs="Times New Roman"/>
          <w:i/>
          <w:iCs/>
        </w:rPr>
        <w:t xml:space="preserve">(Plenārsēde) </w:t>
      </w:r>
      <w:r w:rsidR="006D70EE" w:rsidRPr="00544106">
        <w:rPr>
          <w:rFonts w:ascii="Times New Roman" w:hAnsi="Times New Roman" w:cs="Times New Roman"/>
          <w:i/>
          <w:iCs/>
        </w:rPr>
        <w:t>lietā „</w:t>
      </w:r>
      <w:proofErr w:type="spellStart"/>
      <w:r w:rsidRPr="00544106">
        <w:rPr>
          <w:rFonts w:ascii="Times New Roman" w:hAnsi="Times New Roman" w:cs="Times New Roman"/>
          <w:i/>
          <w:iCs/>
        </w:rPr>
        <w:t>Van</w:t>
      </w:r>
      <w:proofErr w:type="spellEnd"/>
      <w:r w:rsidRPr="00544106">
        <w:rPr>
          <w:rFonts w:ascii="Times New Roman" w:hAnsi="Times New Roman" w:cs="Times New Roman"/>
          <w:i/>
          <w:iCs/>
        </w:rPr>
        <w:t xml:space="preserve"> </w:t>
      </w:r>
      <w:proofErr w:type="spellStart"/>
      <w:r w:rsidRPr="00544106">
        <w:rPr>
          <w:rFonts w:ascii="Times New Roman" w:hAnsi="Times New Roman" w:cs="Times New Roman"/>
          <w:i/>
          <w:iCs/>
        </w:rPr>
        <w:t>Oosterwijck</w:t>
      </w:r>
      <w:proofErr w:type="spellEnd"/>
      <w:r w:rsidRPr="00544106">
        <w:rPr>
          <w:rFonts w:ascii="Times New Roman" w:hAnsi="Times New Roman" w:cs="Times New Roman"/>
          <w:i/>
          <w:iCs/>
        </w:rPr>
        <w:t xml:space="preserve"> </w:t>
      </w:r>
      <w:r w:rsidR="006D70EE" w:rsidRPr="00544106">
        <w:rPr>
          <w:rFonts w:ascii="Times New Roman" w:hAnsi="Times New Roman" w:cs="Times New Roman"/>
          <w:i/>
          <w:iCs/>
        </w:rPr>
        <w:t xml:space="preserve">v. </w:t>
      </w:r>
      <w:proofErr w:type="spellStart"/>
      <w:r w:rsidR="006D70EE" w:rsidRPr="00544106">
        <w:rPr>
          <w:rFonts w:ascii="Times New Roman" w:hAnsi="Times New Roman" w:cs="Times New Roman"/>
          <w:i/>
          <w:iCs/>
        </w:rPr>
        <w:t>Belgium</w:t>
      </w:r>
      <w:proofErr w:type="spellEnd"/>
      <w:r w:rsidR="006D70EE" w:rsidRPr="00544106">
        <w:rPr>
          <w:rFonts w:ascii="Times New Roman" w:hAnsi="Times New Roman" w:cs="Times New Roman"/>
          <w:i/>
          <w:iCs/>
        </w:rPr>
        <w:t xml:space="preserve">”, </w:t>
      </w:r>
      <w:proofErr w:type="spellStart"/>
      <w:r w:rsidR="006D70EE" w:rsidRPr="00544106">
        <w:rPr>
          <w:rFonts w:ascii="Times New Roman" w:hAnsi="Times New Roman" w:cs="Times New Roman"/>
          <w:i/>
          <w:iCs/>
        </w:rPr>
        <w:t>iensieg</w:t>
      </w:r>
      <w:r w:rsidR="00810A1F">
        <w:rPr>
          <w:rFonts w:ascii="Times New Roman" w:hAnsi="Times New Roman" w:cs="Times New Roman"/>
          <w:i/>
          <w:iCs/>
        </w:rPr>
        <w:t>u</w:t>
      </w:r>
      <w:r w:rsidR="006D70EE" w:rsidRPr="00544106">
        <w:rPr>
          <w:rFonts w:ascii="Times New Roman" w:hAnsi="Times New Roman" w:cs="Times New Roman"/>
          <w:i/>
          <w:iCs/>
        </w:rPr>
        <w:t>ma</w:t>
      </w:r>
      <w:proofErr w:type="spellEnd"/>
      <w:r w:rsidR="006D70EE" w:rsidRPr="00544106">
        <w:rPr>
          <w:rFonts w:ascii="Times New Roman" w:hAnsi="Times New Roman" w:cs="Times New Roman"/>
          <w:i/>
          <w:iCs/>
        </w:rPr>
        <w:t xml:space="preserve"> Nr. </w:t>
      </w:r>
      <w:hyperlink r:id="rId4" w:history="1">
        <w:r w:rsidR="00F06A85" w:rsidRPr="00544106">
          <w:rPr>
            <w:rStyle w:val="Hyperlink"/>
            <w:rFonts w:ascii="Times New Roman" w:hAnsi="Times New Roman" w:cs="Times New Roman"/>
            <w:i/>
            <w:iCs/>
          </w:rPr>
          <w:t>7654/76</w:t>
        </w:r>
      </w:hyperlink>
      <w:r w:rsidR="006D70EE" w:rsidRPr="00544106">
        <w:rPr>
          <w:rFonts w:ascii="Times New Roman" w:hAnsi="Times New Roman" w:cs="Times New Roman"/>
          <w:i/>
          <w:iCs/>
        </w:rPr>
        <w:t xml:space="preserve">, </w:t>
      </w:r>
      <w:r w:rsidRPr="00544106">
        <w:rPr>
          <w:rFonts w:ascii="Times New Roman" w:hAnsi="Times New Roman" w:cs="Times New Roman"/>
          <w:i/>
          <w:iCs/>
        </w:rPr>
        <w:t>34. punkt</w:t>
      </w:r>
      <w:r w:rsidR="006D70EE" w:rsidRPr="00544106">
        <w:rPr>
          <w:rFonts w:ascii="Times New Roman" w:hAnsi="Times New Roman" w:cs="Times New Roman"/>
          <w:i/>
          <w:iCs/>
        </w:rPr>
        <w:t>u un</w:t>
      </w:r>
      <w:r w:rsidR="00F06A85" w:rsidRPr="00544106">
        <w:rPr>
          <w:rFonts w:ascii="Times New Roman" w:hAnsi="Times New Roman" w:cs="Times New Roman"/>
          <w:i/>
          <w:iCs/>
        </w:rPr>
        <w:t xml:space="preserve"> 2004. gada 28. aprīļa sprieduma lietā „</w:t>
      </w:r>
      <w:proofErr w:type="spellStart"/>
      <w:r w:rsidR="00F06A85" w:rsidRPr="00544106">
        <w:rPr>
          <w:rFonts w:ascii="Times New Roman" w:hAnsi="Times New Roman" w:cs="Times New Roman"/>
          <w:i/>
          <w:iCs/>
        </w:rPr>
        <w:t>Azinas</w:t>
      </w:r>
      <w:proofErr w:type="spellEnd"/>
      <w:r w:rsidR="00F06A85" w:rsidRPr="00544106">
        <w:rPr>
          <w:rFonts w:ascii="Times New Roman" w:hAnsi="Times New Roman" w:cs="Times New Roman"/>
          <w:i/>
          <w:iCs/>
        </w:rPr>
        <w:t xml:space="preserve"> v. </w:t>
      </w:r>
      <w:proofErr w:type="spellStart"/>
      <w:r w:rsidR="00F06A85" w:rsidRPr="00544106">
        <w:rPr>
          <w:rFonts w:ascii="Times New Roman" w:hAnsi="Times New Roman" w:cs="Times New Roman"/>
          <w:i/>
          <w:iCs/>
        </w:rPr>
        <w:t>Cyprus</w:t>
      </w:r>
      <w:proofErr w:type="spellEnd"/>
      <w:r w:rsidR="00F06A85" w:rsidRPr="00544106">
        <w:rPr>
          <w:rFonts w:ascii="Times New Roman" w:hAnsi="Times New Roman" w:cs="Times New Roman"/>
          <w:i/>
          <w:iCs/>
        </w:rPr>
        <w:t>”, iesnieguma Nr. </w:t>
      </w:r>
      <w:hyperlink r:id="rId5" w:history="1">
        <w:r w:rsidR="00F06A85" w:rsidRPr="00544106">
          <w:rPr>
            <w:rStyle w:val="Hyperlink"/>
            <w:i/>
            <w:iCs/>
          </w:rPr>
          <w:t>56679/00</w:t>
        </w:r>
      </w:hyperlink>
      <w:r w:rsidRPr="00544106">
        <w:rPr>
          <w:rFonts w:ascii="Times New Roman" w:hAnsi="Times New Roman" w:cs="Times New Roman"/>
          <w:i/>
          <w:iCs/>
        </w:rPr>
        <w:t>, 38.</w:t>
      </w:r>
      <w:r w:rsidR="00F06A85" w:rsidRPr="00544106">
        <w:rPr>
          <w:rFonts w:ascii="Times New Roman" w:hAnsi="Times New Roman" w:cs="Times New Roman"/>
          <w:i/>
          <w:iCs/>
        </w:rPr>
        <w:t> </w:t>
      </w:r>
      <w:r w:rsidRPr="00544106">
        <w:rPr>
          <w:rFonts w:ascii="Times New Roman" w:hAnsi="Times New Roman" w:cs="Times New Roman"/>
          <w:i/>
          <w:iCs/>
        </w:rPr>
        <w:t>punkt</w:t>
      </w:r>
      <w:r w:rsidR="00F06A85" w:rsidRPr="00544106">
        <w:rPr>
          <w:rFonts w:ascii="Times New Roman" w:hAnsi="Times New Roman" w:cs="Times New Roman"/>
          <w:i/>
          <w:iCs/>
        </w:rPr>
        <w:t>u</w:t>
      </w:r>
      <w:r w:rsidRPr="00544106">
        <w:rPr>
          <w:rFonts w:ascii="Times New Roman" w:hAnsi="Times New Roman" w:cs="Times New Roman"/>
        </w:rPr>
        <w:t xml:space="preserve">). Tomēr, kā liecina Tiesas judikatūra, lai patiesi dotu līgumslēdzējai valstij iespēju novērst vai labot iespējamo pārkāpumu, ir jāņem vērā ne </w:t>
      </w:r>
      <w:r w:rsidR="00FC2C89">
        <w:rPr>
          <w:rFonts w:ascii="Times New Roman" w:hAnsi="Times New Roman" w:cs="Times New Roman"/>
        </w:rPr>
        <w:t xml:space="preserve">vien </w:t>
      </w:r>
      <w:r w:rsidRPr="00544106">
        <w:rPr>
          <w:rFonts w:ascii="Times New Roman" w:hAnsi="Times New Roman" w:cs="Times New Roman"/>
        </w:rPr>
        <w:t xml:space="preserve">fakti, bet arī pieteikuma iesniedzēja juridiskie argumenti </w:t>
      </w:r>
      <w:proofErr w:type="gramStart"/>
      <w:r w:rsidRPr="00544106">
        <w:rPr>
          <w:rFonts w:ascii="Times New Roman" w:hAnsi="Times New Roman" w:cs="Times New Roman"/>
        </w:rPr>
        <w:t>(</w:t>
      </w:r>
      <w:proofErr w:type="gramEnd"/>
      <w:r w:rsidRPr="00544106">
        <w:rPr>
          <w:rFonts w:ascii="Times New Roman" w:hAnsi="Times New Roman" w:cs="Times New Roman"/>
        </w:rPr>
        <w:t xml:space="preserve">sk., piemēram, </w:t>
      </w:r>
      <w:r w:rsidR="00F06A85" w:rsidRPr="00544106">
        <w:rPr>
          <w:rFonts w:ascii="Times New Roman" w:hAnsi="Times New Roman" w:cs="Times New Roman"/>
          <w:i/>
          <w:iCs/>
        </w:rPr>
        <w:t>1996. gada 15. novembra sprieduma lietā „</w:t>
      </w:r>
      <w:proofErr w:type="spellStart"/>
      <w:r w:rsidRPr="00544106">
        <w:rPr>
          <w:rFonts w:ascii="Times New Roman" w:hAnsi="Times New Roman" w:cs="Times New Roman"/>
          <w:i/>
          <w:iCs/>
        </w:rPr>
        <w:t>Ahmet</w:t>
      </w:r>
      <w:proofErr w:type="spellEnd"/>
      <w:r w:rsidRPr="00544106">
        <w:rPr>
          <w:rFonts w:ascii="Times New Roman" w:hAnsi="Times New Roman" w:cs="Times New Roman"/>
          <w:i/>
          <w:iCs/>
        </w:rPr>
        <w:t xml:space="preserve"> </w:t>
      </w:r>
      <w:proofErr w:type="spellStart"/>
      <w:r w:rsidRPr="00544106">
        <w:rPr>
          <w:rFonts w:ascii="Times New Roman" w:hAnsi="Times New Roman" w:cs="Times New Roman"/>
          <w:i/>
          <w:iCs/>
        </w:rPr>
        <w:t>Sadık</w:t>
      </w:r>
      <w:proofErr w:type="spellEnd"/>
      <w:r w:rsidR="00F06A85" w:rsidRPr="00544106">
        <w:rPr>
          <w:rFonts w:ascii="Times New Roman" w:hAnsi="Times New Roman" w:cs="Times New Roman"/>
          <w:i/>
          <w:iCs/>
        </w:rPr>
        <w:t xml:space="preserve"> v. </w:t>
      </w:r>
      <w:proofErr w:type="spellStart"/>
      <w:r w:rsidR="00F06A85" w:rsidRPr="00544106">
        <w:rPr>
          <w:rFonts w:ascii="Times New Roman" w:hAnsi="Times New Roman" w:cs="Times New Roman"/>
          <w:i/>
          <w:iCs/>
        </w:rPr>
        <w:t>Greece</w:t>
      </w:r>
      <w:proofErr w:type="spellEnd"/>
      <w:r w:rsidR="00F06A85" w:rsidRPr="00544106">
        <w:rPr>
          <w:rFonts w:ascii="Times New Roman" w:hAnsi="Times New Roman" w:cs="Times New Roman"/>
          <w:i/>
          <w:iCs/>
        </w:rPr>
        <w:t>”</w:t>
      </w:r>
      <w:r w:rsidRPr="00544106">
        <w:rPr>
          <w:rFonts w:ascii="Times New Roman" w:hAnsi="Times New Roman" w:cs="Times New Roman"/>
          <w:i/>
          <w:iCs/>
        </w:rPr>
        <w:t xml:space="preserve">, </w:t>
      </w:r>
      <w:r w:rsidR="00F06A85" w:rsidRPr="00544106">
        <w:rPr>
          <w:rFonts w:ascii="Times New Roman" w:hAnsi="Times New Roman" w:cs="Times New Roman"/>
          <w:i/>
          <w:iCs/>
        </w:rPr>
        <w:t>iesnieguma Nr. </w:t>
      </w:r>
      <w:hyperlink r:id="rId6" w:history="1">
        <w:r w:rsidR="00F06A85" w:rsidRPr="00544106">
          <w:rPr>
            <w:rStyle w:val="Hyperlink"/>
            <w:rFonts w:ascii="Times New Roman" w:hAnsi="Times New Roman" w:cs="Times New Roman"/>
            <w:i/>
            <w:iCs/>
          </w:rPr>
          <w:t>18877/91</w:t>
        </w:r>
      </w:hyperlink>
      <w:r w:rsidR="00F06A85" w:rsidRPr="00544106">
        <w:rPr>
          <w:rFonts w:ascii="Times New Roman" w:hAnsi="Times New Roman" w:cs="Times New Roman"/>
          <w:i/>
          <w:iCs/>
        </w:rPr>
        <w:t xml:space="preserve">, </w:t>
      </w:r>
      <w:r w:rsidRPr="00544106">
        <w:rPr>
          <w:rFonts w:ascii="Times New Roman" w:hAnsi="Times New Roman" w:cs="Times New Roman"/>
          <w:i/>
          <w:iCs/>
        </w:rPr>
        <w:t>29.–34.</w:t>
      </w:r>
      <w:r w:rsidR="00F06A85" w:rsidRPr="00544106">
        <w:rPr>
          <w:rFonts w:ascii="Times New Roman" w:hAnsi="Times New Roman" w:cs="Times New Roman"/>
          <w:i/>
          <w:iCs/>
        </w:rPr>
        <w:t> </w:t>
      </w:r>
      <w:r w:rsidRPr="00544106">
        <w:rPr>
          <w:rFonts w:ascii="Times New Roman" w:hAnsi="Times New Roman" w:cs="Times New Roman"/>
          <w:i/>
          <w:iCs/>
        </w:rPr>
        <w:t>punkt</w:t>
      </w:r>
      <w:r w:rsidR="00F06A85" w:rsidRPr="00544106">
        <w:rPr>
          <w:rFonts w:ascii="Times New Roman" w:hAnsi="Times New Roman" w:cs="Times New Roman"/>
          <w:i/>
          <w:iCs/>
        </w:rPr>
        <w:t>u</w:t>
      </w:r>
      <w:r w:rsidRPr="00544106">
        <w:rPr>
          <w:rFonts w:ascii="Times New Roman" w:hAnsi="Times New Roman" w:cs="Times New Roman"/>
          <w:i/>
          <w:iCs/>
        </w:rPr>
        <w:t xml:space="preserve"> un </w:t>
      </w:r>
      <w:r w:rsidR="00F06A85" w:rsidRPr="00544106">
        <w:rPr>
          <w:rFonts w:ascii="Times New Roman" w:hAnsi="Times New Roman" w:cs="Times New Roman"/>
          <w:i/>
          <w:iCs/>
        </w:rPr>
        <w:t xml:space="preserve">iepriekš citētā </w:t>
      </w:r>
      <w:r w:rsidR="00F06A85" w:rsidRPr="00F06A85">
        <w:rPr>
          <w:rFonts w:ascii="Times New Roman" w:hAnsi="Times New Roman" w:cs="Times New Roman"/>
          <w:i/>
          <w:iCs/>
        </w:rPr>
        <w:t>„</w:t>
      </w:r>
      <w:proofErr w:type="spellStart"/>
      <w:r w:rsidR="00F06A85" w:rsidRPr="00F06A85">
        <w:rPr>
          <w:rFonts w:ascii="Times New Roman" w:hAnsi="Times New Roman" w:cs="Times New Roman"/>
          <w:i/>
          <w:iCs/>
        </w:rPr>
        <w:t>Azinas</w:t>
      </w:r>
      <w:proofErr w:type="spellEnd"/>
      <w:r w:rsidR="00F06A85" w:rsidRPr="00F06A85">
        <w:rPr>
          <w:rFonts w:ascii="Times New Roman" w:hAnsi="Times New Roman" w:cs="Times New Roman"/>
          <w:i/>
          <w:iCs/>
        </w:rPr>
        <w:t xml:space="preserve"> v. </w:t>
      </w:r>
      <w:proofErr w:type="spellStart"/>
      <w:r w:rsidR="00F06A85" w:rsidRPr="00F06A85">
        <w:rPr>
          <w:rFonts w:ascii="Times New Roman" w:hAnsi="Times New Roman" w:cs="Times New Roman"/>
          <w:i/>
          <w:iCs/>
        </w:rPr>
        <w:t>Cyprus</w:t>
      </w:r>
      <w:proofErr w:type="spellEnd"/>
      <w:r w:rsidR="00F06A85" w:rsidRPr="00F06A85">
        <w:rPr>
          <w:rFonts w:ascii="Times New Roman" w:hAnsi="Times New Roman" w:cs="Times New Roman"/>
          <w:i/>
          <w:iCs/>
        </w:rPr>
        <w:t>”</w:t>
      </w:r>
      <w:r w:rsidRPr="00544106">
        <w:rPr>
          <w:rFonts w:ascii="Times New Roman" w:hAnsi="Times New Roman" w:cs="Times New Roman"/>
          <w:i/>
          <w:iCs/>
        </w:rPr>
        <w:t xml:space="preserve"> 38.–42.</w:t>
      </w:r>
      <w:r w:rsidR="00F06A85" w:rsidRPr="00544106">
        <w:rPr>
          <w:rFonts w:ascii="Times New Roman" w:hAnsi="Times New Roman" w:cs="Times New Roman"/>
          <w:i/>
          <w:iCs/>
        </w:rPr>
        <w:t> </w:t>
      </w:r>
      <w:r w:rsidRPr="00544106">
        <w:rPr>
          <w:rFonts w:ascii="Times New Roman" w:hAnsi="Times New Roman" w:cs="Times New Roman"/>
          <w:i/>
          <w:iCs/>
        </w:rPr>
        <w:t>punkt</w:t>
      </w:r>
      <w:r w:rsidR="00F06A85" w:rsidRPr="00544106">
        <w:rPr>
          <w:rFonts w:ascii="Times New Roman" w:hAnsi="Times New Roman" w:cs="Times New Roman"/>
          <w:i/>
          <w:iCs/>
        </w:rPr>
        <w:t>u</w:t>
      </w:r>
      <w:r w:rsidRPr="00544106">
        <w:rPr>
          <w:rFonts w:ascii="Times New Roman" w:hAnsi="Times New Roman" w:cs="Times New Roman"/>
        </w:rPr>
        <w:t>), lai noteiktu, vai Tiesai iesniegtā sūdzība patiešām ir jau iepriekš</w:t>
      </w:r>
      <w:r w:rsidR="00F06A85">
        <w:rPr>
          <w:rFonts w:ascii="Times New Roman" w:hAnsi="Times New Roman" w:cs="Times New Roman"/>
        </w:rPr>
        <w:t xml:space="preserve"> pēc būtības</w:t>
      </w:r>
      <w:r w:rsidRPr="00544106">
        <w:rPr>
          <w:rFonts w:ascii="Times New Roman" w:hAnsi="Times New Roman" w:cs="Times New Roman"/>
        </w:rPr>
        <w:t xml:space="preserve"> iesniegta valsts iestādēs. Tas ir tāpēc, ka </w:t>
      </w:r>
      <w:r w:rsidR="00F06A85">
        <w:rPr>
          <w:rFonts w:ascii="Times New Roman" w:hAnsi="Times New Roman" w:cs="Times New Roman"/>
        </w:rPr>
        <w:t>„</w:t>
      </w:r>
      <w:r w:rsidRPr="00544106">
        <w:rPr>
          <w:rFonts w:ascii="Times New Roman" w:hAnsi="Times New Roman" w:cs="Times New Roman"/>
        </w:rPr>
        <w:t xml:space="preserve">būtu pretrunā Konvencijas mehānisma </w:t>
      </w:r>
      <w:proofErr w:type="spellStart"/>
      <w:r w:rsidRPr="00544106">
        <w:rPr>
          <w:rFonts w:ascii="Times New Roman" w:hAnsi="Times New Roman" w:cs="Times New Roman"/>
        </w:rPr>
        <w:t>subsidi</w:t>
      </w:r>
      <w:r w:rsidR="00F06A85">
        <w:rPr>
          <w:rFonts w:ascii="Times New Roman" w:hAnsi="Times New Roman" w:cs="Times New Roman"/>
        </w:rPr>
        <w:t>ārajam</w:t>
      </w:r>
      <w:proofErr w:type="spellEnd"/>
      <w:r w:rsidRPr="00544106">
        <w:rPr>
          <w:rFonts w:ascii="Times New Roman" w:hAnsi="Times New Roman" w:cs="Times New Roman"/>
        </w:rPr>
        <w:t xml:space="preserve"> raksturam, ja iesniedzējs</w:t>
      </w:r>
      <w:r w:rsidR="00165C51">
        <w:rPr>
          <w:rFonts w:ascii="Times New Roman" w:hAnsi="Times New Roman" w:cs="Times New Roman"/>
        </w:rPr>
        <w:t xml:space="preserve"> strīdus pasākuma apstrīdēšanas gaitā</w:t>
      </w:r>
      <w:r w:rsidRPr="00544106">
        <w:rPr>
          <w:rFonts w:ascii="Times New Roman" w:hAnsi="Times New Roman" w:cs="Times New Roman"/>
        </w:rPr>
        <w:t xml:space="preserve">, </w:t>
      </w:r>
      <w:r w:rsidR="00F06A85">
        <w:rPr>
          <w:rFonts w:ascii="Times New Roman" w:hAnsi="Times New Roman" w:cs="Times New Roman"/>
        </w:rPr>
        <w:t>neņemot vērā</w:t>
      </w:r>
      <w:r w:rsidRPr="00544106">
        <w:rPr>
          <w:rFonts w:ascii="Times New Roman" w:hAnsi="Times New Roman" w:cs="Times New Roman"/>
        </w:rPr>
        <w:t xml:space="preserve"> iespējamo </w:t>
      </w:r>
      <w:r w:rsidR="00F06A85">
        <w:rPr>
          <w:rFonts w:ascii="Times New Roman" w:hAnsi="Times New Roman" w:cs="Times New Roman"/>
        </w:rPr>
        <w:t xml:space="preserve">argumentu saskaņā ar </w:t>
      </w:r>
      <w:r w:rsidRPr="00544106">
        <w:rPr>
          <w:rFonts w:ascii="Times New Roman" w:hAnsi="Times New Roman" w:cs="Times New Roman"/>
        </w:rPr>
        <w:t>Konvencijas, valsts</w:t>
      </w:r>
      <w:r w:rsidR="00F06A85">
        <w:rPr>
          <w:rFonts w:ascii="Times New Roman" w:hAnsi="Times New Roman" w:cs="Times New Roman"/>
        </w:rPr>
        <w:t xml:space="preserve"> varas</w:t>
      </w:r>
      <w:r w:rsidRPr="00544106">
        <w:rPr>
          <w:rFonts w:ascii="Times New Roman" w:hAnsi="Times New Roman" w:cs="Times New Roman"/>
        </w:rPr>
        <w:t xml:space="preserve"> iestādēs varētu atsaukties uz kādu citu </w:t>
      </w:r>
      <w:r w:rsidR="00165C51">
        <w:rPr>
          <w:rFonts w:ascii="Times New Roman" w:hAnsi="Times New Roman" w:cs="Times New Roman"/>
        </w:rPr>
        <w:t>argumentu</w:t>
      </w:r>
      <w:r w:rsidRPr="00544106">
        <w:rPr>
          <w:rFonts w:ascii="Times New Roman" w:hAnsi="Times New Roman" w:cs="Times New Roman"/>
        </w:rPr>
        <w:t xml:space="preserve">, bet pēc tam </w:t>
      </w:r>
      <w:r w:rsidR="00165C51">
        <w:rPr>
          <w:rFonts w:ascii="Times New Roman" w:hAnsi="Times New Roman" w:cs="Times New Roman"/>
        </w:rPr>
        <w:t>vērstos ar iesniegumu</w:t>
      </w:r>
      <w:r w:rsidRPr="00544106">
        <w:rPr>
          <w:rFonts w:ascii="Times New Roman" w:hAnsi="Times New Roman" w:cs="Times New Roman"/>
        </w:rPr>
        <w:t xml:space="preserve"> Tiesā</w:t>
      </w:r>
      <w:r w:rsidR="00165C51">
        <w:rPr>
          <w:rFonts w:ascii="Times New Roman" w:hAnsi="Times New Roman" w:cs="Times New Roman"/>
        </w:rPr>
        <w:t>,</w:t>
      </w:r>
      <w:r w:rsidRPr="00544106">
        <w:rPr>
          <w:rFonts w:ascii="Times New Roman" w:hAnsi="Times New Roman" w:cs="Times New Roman"/>
        </w:rPr>
        <w:t xml:space="preserve"> pamatojot </w:t>
      </w:r>
      <w:r w:rsidR="00165C51">
        <w:rPr>
          <w:rFonts w:ascii="Times New Roman" w:hAnsi="Times New Roman" w:cs="Times New Roman"/>
        </w:rPr>
        <w:t xml:space="preserve">argumentu saskaņā ar </w:t>
      </w:r>
      <w:r w:rsidR="00165C51" w:rsidRPr="00DF0418">
        <w:rPr>
          <w:rFonts w:ascii="Times New Roman" w:hAnsi="Times New Roman" w:cs="Times New Roman"/>
        </w:rPr>
        <w:t>Konvencij</w:t>
      </w:r>
      <w:r w:rsidR="00165C51">
        <w:rPr>
          <w:rFonts w:ascii="Times New Roman" w:hAnsi="Times New Roman" w:cs="Times New Roman"/>
        </w:rPr>
        <w:t>u</w:t>
      </w:r>
      <w:r w:rsidRPr="00544106">
        <w:rPr>
          <w:rFonts w:ascii="Times New Roman" w:hAnsi="Times New Roman" w:cs="Times New Roman"/>
        </w:rPr>
        <w:t xml:space="preserve">” (sk. </w:t>
      </w:r>
      <w:r w:rsidRPr="00544106">
        <w:rPr>
          <w:rFonts w:ascii="Times New Roman" w:hAnsi="Times New Roman" w:cs="Times New Roman"/>
          <w:i/>
          <w:iCs/>
        </w:rPr>
        <w:t>iepriekš</w:t>
      </w:r>
      <w:r w:rsidR="00165C51" w:rsidRPr="00544106">
        <w:rPr>
          <w:rFonts w:ascii="Times New Roman" w:hAnsi="Times New Roman" w:cs="Times New Roman"/>
          <w:i/>
          <w:iCs/>
        </w:rPr>
        <w:t xml:space="preserve"> citētā </w:t>
      </w:r>
      <w:r w:rsidR="00165C51" w:rsidRPr="00165C51">
        <w:rPr>
          <w:rFonts w:ascii="Times New Roman" w:hAnsi="Times New Roman" w:cs="Times New Roman"/>
          <w:i/>
          <w:iCs/>
        </w:rPr>
        <w:t>„</w:t>
      </w:r>
      <w:proofErr w:type="spellStart"/>
      <w:r w:rsidR="00165C51" w:rsidRPr="00165C51">
        <w:rPr>
          <w:rFonts w:ascii="Times New Roman" w:hAnsi="Times New Roman" w:cs="Times New Roman"/>
          <w:i/>
          <w:iCs/>
        </w:rPr>
        <w:t>Azinas</w:t>
      </w:r>
      <w:proofErr w:type="spellEnd"/>
      <w:r w:rsidR="00165C51" w:rsidRPr="00165C51">
        <w:rPr>
          <w:rFonts w:ascii="Times New Roman" w:hAnsi="Times New Roman" w:cs="Times New Roman"/>
          <w:i/>
          <w:iCs/>
        </w:rPr>
        <w:t xml:space="preserve"> v. </w:t>
      </w:r>
      <w:proofErr w:type="spellStart"/>
      <w:r w:rsidR="00165C51" w:rsidRPr="00165C51">
        <w:rPr>
          <w:rFonts w:ascii="Times New Roman" w:hAnsi="Times New Roman" w:cs="Times New Roman"/>
          <w:i/>
          <w:iCs/>
        </w:rPr>
        <w:t>Cyprus</w:t>
      </w:r>
      <w:proofErr w:type="spellEnd"/>
      <w:r w:rsidR="00165C51" w:rsidRPr="00165C51">
        <w:rPr>
          <w:rFonts w:ascii="Times New Roman" w:hAnsi="Times New Roman" w:cs="Times New Roman"/>
          <w:i/>
          <w:iCs/>
        </w:rPr>
        <w:t>”</w:t>
      </w:r>
      <w:r w:rsidRPr="00544106">
        <w:rPr>
          <w:rFonts w:ascii="Times New Roman" w:hAnsi="Times New Roman" w:cs="Times New Roman"/>
          <w:i/>
          <w:iCs/>
        </w:rPr>
        <w:t xml:space="preserve"> 38.</w:t>
      </w:r>
      <w:r w:rsidR="00165C51" w:rsidRPr="00544106">
        <w:rPr>
          <w:rFonts w:ascii="Times New Roman" w:hAnsi="Times New Roman" w:cs="Times New Roman"/>
          <w:i/>
          <w:iCs/>
        </w:rPr>
        <w:t> </w:t>
      </w:r>
      <w:r w:rsidRPr="00544106">
        <w:rPr>
          <w:rFonts w:ascii="Times New Roman" w:hAnsi="Times New Roman" w:cs="Times New Roman"/>
          <w:i/>
          <w:iCs/>
        </w:rPr>
        <w:t>punkt</w:t>
      </w:r>
      <w:r w:rsidR="00165C51" w:rsidRPr="00544106">
        <w:rPr>
          <w:rFonts w:ascii="Times New Roman" w:hAnsi="Times New Roman" w:cs="Times New Roman"/>
          <w:i/>
          <w:iCs/>
        </w:rPr>
        <w:t>u</w:t>
      </w:r>
      <w:r w:rsidRPr="0054410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6203" w14:textId="3D6BD0CC" w:rsidR="003D02E4" w:rsidRPr="003D02E4" w:rsidRDefault="003D02E4" w:rsidP="003D02E4">
    <w:pPr>
      <w:pStyle w:val="Header"/>
      <w:jc w:val="right"/>
      <w:rPr>
        <w:i/>
        <w:iCs/>
        <w:sz w:val="20"/>
        <w:szCs w:val="20"/>
      </w:rPr>
    </w:pPr>
    <w:r>
      <w:rPr>
        <w:i/>
        <w:iCs/>
        <w:sz w:val="20"/>
        <w:szCs w:val="20"/>
      </w:rPr>
      <w:t xml:space="preserve">Tulkojums: </w:t>
    </w:r>
    <w:r w:rsidRPr="003D02E4">
      <w:rPr>
        <w:i/>
        <w:iCs/>
        <w:sz w:val="20"/>
        <w:szCs w:val="20"/>
      </w:rPr>
      <w:t>Judikatūras un zinātniski analītiskā nodaļa, 28.06.2023.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3"/>
    <w:rsid w:val="00047025"/>
    <w:rsid w:val="00077CE2"/>
    <w:rsid w:val="000818C3"/>
    <w:rsid w:val="000C02EB"/>
    <w:rsid w:val="000E50B6"/>
    <w:rsid w:val="00154731"/>
    <w:rsid w:val="00165C51"/>
    <w:rsid w:val="001928C0"/>
    <w:rsid w:val="001A4DEC"/>
    <w:rsid w:val="001D422B"/>
    <w:rsid w:val="002329C2"/>
    <w:rsid w:val="002D7D53"/>
    <w:rsid w:val="002E075D"/>
    <w:rsid w:val="00326FE4"/>
    <w:rsid w:val="0033069E"/>
    <w:rsid w:val="0033390D"/>
    <w:rsid w:val="00381112"/>
    <w:rsid w:val="003C0B6A"/>
    <w:rsid w:val="003D02E4"/>
    <w:rsid w:val="003D4817"/>
    <w:rsid w:val="0044011A"/>
    <w:rsid w:val="00474AE3"/>
    <w:rsid w:val="00544106"/>
    <w:rsid w:val="0058537A"/>
    <w:rsid w:val="005B6E48"/>
    <w:rsid w:val="005E1B47"/>
    <w:rsid w:val="006065EB"/>
    <w:rsid w:val="00607F40"/>
    <w:rsid w:val="006273DB"/>
    <w:rsid w:val="006A63DF"/>
    <w:rsid w:val="006D70EE"/>
    <w:rsid w:val="006E1604"/>
    <w:rsid w:val="006E5F16"/>
    <w:rsid w:val="006F3E46"/>
    <w:rsid w:val="007876F7"/>
    <w:rsid w:val="007E65BC"/>
    <w:rsid w:val="00810A1F"/>
    <w:rsid w:val="00830C96"/>
    <w:rsid w:val="008514B2"/>
    <w:rsid w:val="00870413"/>
    <w:rsid w:val="008D0634"/>
    <w:rsid w:val="008F11F7"/>
    <w:rsid w:val="00917806"/>
    <w:rsid w:val="009A7331"/>
    <w:rsid w:val="009B11F2"/>
    <w:rsid w:val="009C2118"/>
    <w:rsid w:val="009E228E"/>
    <w:rsid w:val="009F0B22"/>
    <w:rsid w:val="00A03A44"/>
    <w:rsid w:val="00A05C95"/>
    <w:rsid w:val="00A66790"/>
    <w:rsid w:val="00A67C03"/>
    <w:rsid w:val="00A76867"/>
    <w:rsid w:val="00AB3146"/>
    <w:rsid w:val="00AE2214"/>
    <w:rsid w:val="00B32F8A"/>
    <w:rsid w:val="00B35AD3"/>
    <w:rsid w:val="00B724AB"/>
    <w:rsid w:val="00B73BDD"/>
    <w:rsid w:val="00C47B66"/>
    <w:rsid w:val="00CD22C5"/>
    <w:rsid w:val="00D901C4"/>
    <w:rsid w:val="00E039FA"/>
    <w:rsid w:val="00F06A85"/>
    <w:rsid w:val="00F22DB9"/>
    <w:rsid w:val="00F24DF5"/>
    <w:rsid w:val="00F94866"/>
    <w:rsid w:val="00FA3EC9"/>
    <w:rsid w:val="00FA44C9"/>
    <w:rsid w:val="00FB1ED2"/>
    <w:rsid w:val="00FC2C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8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025"/>
    <w:rPr>
      <w:color w:val="0563C1" w:themeColor="hyperlink"/>
      <w:u w:val="single"/>
    </w:rPr>
  </w:style>
  <w:style w:type="character" w:styleId="UnresolvedMention">
    <w:name w:val="Unresolved Mention"/>
    <w:basedOn w:val="DefaultParagraphFont"/>
    <w:uiPriority w:val="99"/>
    <w:semiHidden/>
    <w:unhideWhenUsed/>
    <w:rsid w:val="00047025"/>
    <w:rPr>
      <w:color w:val="605E5C"/>
      <w:shd w:val="clear" w:color="auto" w:fill="E1DFDD"/>
    </w:rPr>
  </w:style>
  <w:style w:type="character" w:styleId="FollowedHyperlink">
    <w:name w:val="FollowedHyperlink"/>
    <w:basedOn w:val="DefaultParagraphFont"/>
    <w:uiPriority w:val="99"/>
    <w:semiHidden/>
    <w:unhideWhenUsed/>
    <w:rsid w:val="00047025"/>
    <w:rPr>
      <w:color w:val="954F72" w:themeColor="followedHyperlink"/>
      <w:u w:val="single"/>
    </w:rPr>
  </w:style>
  <w:style w:type="paragraph" w:styleId="ListParagraph">
    <w:name w:val="List Paragraph"/>
    <w:basedOn w:val="Normal"/>
    <w:uiPriority w:val="34"/>
    <w:qFormat/>
    <w:rsid w:val="0044011A"/>
    <w:pPr>
      <w:ind w:left="720"/>
      <w:contextualSpacing/>
    </w:pPr>
  </w:style>
  <w:style w:type="paragraph" w:styleId="Header">
    <w:name w:val="header"/>
    <w:basedOn w:val="Normal"/>
    <w:link w:val="HeaderChar"/>
    <w:uiPriority w:val="99"/>
    <w:unhideWhenUsed/>
    <w:rsid w:val="003D0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2E4"/>
  </w:style>
  <w:style w:type="paragraph" w:styleId="Footer">
    <w:name w:val="footer"/>
    <w:basedOn w:val="Normal"/>
    <w:link w:val="FooterChar"/>
    <w:uiPriority w:val="99"/>
    <w:unhideWhenUsed/>
    <w:rsid w:val="003D0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2E4"/>
  </w:style>
  <w:style w:type="paragraph" w:styleId="Revision">
    <w:name w:val="Revision"/>
    <w:hidden/>
    <w:uiPriority w:val="99"/>
    <w:semiHidden/>
    <w:rsid w:val="00FA44C9"/>
    <w:pPr>
      <w:spacing w:after="0" w:line="240" w:lineRule="auto"/>
    </w:pPr>
  </w:style>
  <w:style w:type="character" w:styleId="CommentReference">
    <w:name w:val="annotation reference"/>
    <w:basedOn w:val="DefaultParagraphFont"/>
    <w:uiPriority w:val="99"/>
    <w:semiHidden/>
    <w:unhideWhenUsed/>
    <w:rsid w:val="00FA44C9"/>
    <w:rPr>
      <w:sz w:val="16"/>
      <w:szCs w:val="16"/>
    </w:rPr>
  </w:style>
  <w:style w:type="paragraph" w:styleId="CommentText">
    <w:name w:val="annotation text"/>
    <w:basedOn w:val="Normal"/>
    <w:link w:val="CommentTextChar"/>
    <w:uiPriority w:val="99"/>
    <w:semiHidden/>
    <w:unhideWhenUsed/>
    <w:rsid w:val="00FA44C9"/>
    <w:pPr>
      <w:spacing w:line="240" w:lineRule="auto"/>
    </w:pPr>
    <w:rPr>
      <w:sz w:val="20"/>
      <w:szCs w:val="20"/>
    </w:rPr>
  </w:style>
  <w:style w:type="character" w:customStyle="1" w:styleId="CommentTextChar">
    <w:name w:val="Comment Text Char"/>
    <w:basedOn w:val="DefaultParagraphFont"/>
    <w:link w:val="CommentText"/>
    <w:uiPriority w:val="99"/>
    <w:semiHidden/>
    <w:rsid w:val="00FA44C9"/>
    <w:rPr>
      <w:sz w:val="20"/>
      <w:szCs w:val="20"/>
    </w:rPr>
  </w:style>
  <w:style w:type="paragraph" w:styleId="CommentSubject">
    <w:name w:val="annotation subject"/>
    <w:basedOn w:val="CommentText"/>
    <w:next w:val="CommentText"/>
    <w:link w:val="CommentSubjectChar"/>
    <w:uiPriority w:val="99"/>
    <w:semiHidden/>
    <w:unhideWhenUsed/>
    <w:rsid w:val="00FA44C9"/>
    <w:rPr>
      <w:b/>
      <w:bCs/>
    </w:rPr>
  </w:style>
  <w:style w:type="character" w:customStyle="1" w:styleId="CommentSubjectChar">
    <w:name w:val="Comment Subject Char"/>
    <w:basedOn w:val="CommentTextChar"/>
    <w:link w:val="CommentSubject"/>
    <w:uiPriority w:val="99"/>
    <w:semiHidden/>
    <w:rsid w:val="00FA44C9"/>
    <w:rPr>
      <w:b/>
      <w:bCs/>
      <w:sz w:val="20"/>
      <w:szCs w:val="20"/>
    </w:rPr>
  </w:style>
  <w:style w:type="paragraph" w:styleId="FootnoteText">
    <w:name w:val="footnote text"/>
    <w:basedOn w:val="Normal"/>
    <w:link w:val="FootnoteTextChar"/>
    <w:uiPriority w:val="99"/>
    <w:semiHidden/>
    <w:unhideWhenUsed/>
    <w:rsid w:val="00A768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867"/>
    <w:rPr>
      <w:sz w:val="20"/>
      <w:szCs w:val="20"/>
    </w:rPr>
  </w:style>
  <w:style w:type="character" w:styleId="FootnoteReference">
    <w:name w:val="footnote reference"/>
    <w:basedOn w:val="DefaultParagraphFont"/>
    <w:uiPriority w:val="99"/>
    <w:semiHidden/>
    <w:unhideWhenUsed/>
    <w:rsid w:val="00A768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9039">
      <w:bodyDiv w:val="1"/>
      <w:marLeft w:val="0"/>
      <w:marRight w:val="0"/>
      <w:marTop w:val="0"/>
      <w:marBottom w:val="0"/>
      <w:divBdr>
        <w:top w:val="none" w:sz="0" w:space="0" w:color="auto"/>
        <w:left w:val="none" w:sz="0" w:space="0" w:color="auto"/>
        <w:bottom w:val="none" w:sz="0" w:space="0" w:color="auto"/>
        <w:right w:val="none" w:sz="0" w:space="0" w:color="auto"/>
      </w:divBdr>
      <w:divsChild>
        <w:div w:id="1002244720">
          <w:marLeft w:val="0"/>
          <w:marRight w:val="0"/>
          <w:marTop w:val="0"/>
          <w:marBottom w:val="0"/>
          <w:divBdr>
            <w:top w:val="none" w:sz="0" w:space="0" w:color="auto"/>
            <w:left w:val="none" w:sz="0" w:space="0" w:color="auto"/>
            <w:bottom w:val="none" w:sz="0" w:space="0" w:color="auto"/>
            <w:right w:val="none" w:sz="0" w:space="0" w:color="auto"/>
          </w:divBdr>
        </w:div>
        <w:div w:id="1031418727">
          <w:marLeft w:val="0"/>
          <w:marRight w:val="0"/>
          <w:marTop w:val="0"/>
          <w:marBottom w:val="0"/>
          <w:divBdr>
            <w:top w:val="none" w:sz="0" w:space="0" w:color="auto"/>
            <w:left w:val="none" w:sz="0" w:space="0" w:color="auto"/>
            <w:bottom w:val="none" w:sz="0" w:space="0" w:color="auto"/>
            <w:right w:val="none" w:sz="0" w:space="0" w:color="auto"/>
          </w:divBdr>
          <w:divsChild>
            <w:div w:id="230506432">
              <w:marLeft w:val="0"/>
              <w:marRight w:val="0"/>
              <w:marTop w:val="0"/>
              <w:marBottom w:val="0"/>
              <w:divBdr>
                <w:top w:val="none" w:sz="0" w:space="0" w:color="auto"/>
                <w:left w:val="none" w:sz="0" w:space="0" w:color="auto"/>
                <w:bottom w:val="none" w:sz="0" w:space="0" w:color="auto"/>
                <w:right w:val="none" w:sz="0" w:space="0" w:color="auto"/>
              </w:divBdr>
              <w:divsChild>
                <w:div w:id="973604081">
                  <w:marLeft w:val="0"/>
                  <w:marRight w:val="0"/>
                  <w:marTop w:val="0"/>
                  <w:marBottom w:val="0"/>
                  <w:divBdr>
                    <w:top w:val="none" w:sz="0" w:space="0" w:color="auto"/>
                    <w:left w:val="none" w:sz="0" w:space="0" w:color="auto"/>
                    <w:bottom w:val="none" w:sz="0" w:space="0" w:color="auto"/>
                    <w:right w:val="none" w:sz="0" w:space="0" w:color="auto"/>
                  </w:divBdr>
                  <w:divsChild>
                    <w:div w:id="208222817">
                      <w:marLeft w:val="0"/>
                      <w:marRight w:val="0"/>
                      <w:marTop w:val="0"/>
                      <w:marBottom w:val="0"/>
                      <w:divBdr>
                        <w:top w:val="none" w:sz="0" w:space="0" w:color="auto"/>
                        <w:left w:val="none" w:sz="0" w:space="0" w:color="auto"/>
                        <w:bottom w:val="none" w:sz="0" w:space="0" w:color="auto"/>
                        <w:right w:val="none" w:sz="0" w:space="0" w:color="auto"/>
                      </w:divBdr>
                      <w:divsChild>
                        <w:div w:id="1902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5664">
              <w:marLeft w:val="0"/>
              <w:marRight w:val="0"/>
              <w:marTop w:val="0"/>
              <w:marBottom w:val="0"/>
              <w:divBdr>
                <w:top w:val="none" w:sz="0" w:space="0" w:color="auto"/>
                <w:left w:val="none" w:sz="0" w:space="0" w:color="auto"/>
                <w:bottom w:val="none" w:sz="0" w:space="0" w:color="auto"/>
                <w:right w:val="none" w:sz="0" w:space="0" w:color="auto"/>
              </w:divBdr>
              <w:divsChild>
                <w:div w:id="2030718302">
                  <w:marLeft w:val="0"/>
                  <w:marRight w:val="0"/>
                  <w:marTop w:val="0"/>
                  <w:marBottom w:val="0"/>
                  <w:divBdr>
                    <w:top w:val="none" w:sz="0" w:space="0" w:color="auto"/>
                    <w:left w:val="none" w:sz="0" w:space="0" w:color="auto"/>
                    <w:bottom w:val="none" w:sz="0" w:space="0" w:color="auto"/>
                    <w:right w:val="none" w:sz="0" w:space="0" w:color="auto"/>
                  </w:divBdr>
                  <w:divsChild>
                    <w:div w:id="11859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7556">
      <w:bodyDiv w:val="1"/>
      <w:marLeft w:val="0"/>
      <w:marRight w:val="0"/>
      <w:marTop w:val="0"/>
      <w:marBottom w:val="0"/>
      <w:divBdr>
        <w:top w:val="none" w:sz="0" w:space="0" w:color="auto"/>
        <w:left w:val="none" w:sz="0" w:space="0" w:color="auto"/>
        <w:bottom w:val="none" w:sz="0" w:space="0" w:color="auto"/>
        <w:right w:val="none" w:sz="0" w:space="0" w:color="auto"/>
      </w:divBdr>
      <w:divsChild>
        <w:div w:id="754861412">
          <w:marLeft w:val="0"/>
          <w:marRight w:val="0"/>
          <w:marTop w:val="0"/>
          <w:marBottom w:val="0"/>
          <w:divBdr>
            <w:top w:val="none" w:sz="0" w:space="0" w:color="auto"/>
            <w:left w:val="none" w:sz="0" w:space="0" w:color="auto"/>
            <w:bottom w:val="none" w:sz="0" w:space="0" w:color="auto"/>
            <w:right w:val="none" w:sz="0" w:space="0" w:color="auto"/>
          </w:divBdr>
        </w:div>
        <w:div w:id="1420757263">
          <w:marLeft w:val="0"/>
          <w:marRight w:val="0"/>
          <w:marTop w:val="0"/>
          <w:marBottom w:val="0"/>
          <w:divBdr>
            <w:top w:val="none" w:sz="0" w:space="0" w:color="auto"/>
            <w:left w:val="none" w:sz="0" w:space="0" w:color="auto"/>
            <w:bottom w:val="none" w:sz="0" w:space="0" w:color="auto"/>
            <w:right w:val="none" w:sz="0" w:space="0" w:color="auto"/>
          </w:divBdr>
          <w:divsChild>
            <w:div w:id="1635522764">
              <w:marLeft w:val="0"/>
              <w:marRight w:val="0"/>
              <w:marTop w:val="0"/>
              <w:marBottom w:val="0"/>
              <w:divBdr>
                <w:top w:val="none" w:sz="0" w:space="0" w:color="auto"/>
                <w:left w:val="none" w:sz="0" w:space="0" w:color="auto"/>
                <w:bottom w:val="none" w:sz="0" w:space="0" w:color="auto"/>
                <w:right w:val="none" w:sz="0" w:space="0" w:color="auto"/>
              </w:divBdr>
              <w:divsChild>
                <w:div w:id="288703675">
                  <w:marLeft w:val="0"/>
                  <w:marRight w:val="0"/>
                  <w:marTop w:val="0"/>
                  <w:marBottom w:val="0"/>
                  <w:divBdr>
                    <w:top w:val="none" w:sz="0" w:space="0" w:color="auto"/>
                    <w:left w:val="none" w:sz="0" w:space="0" w:color="auto"/>
                    <w:bottom w:val="none" w:sz="0" w:space="0" w:color="auto"/>
                    <w:right w:val="none" w:sz="0" w:space="0" w:color="auto"/>
                  </w:divBdr>
                  <w:divsChild>
                    <w:div w:id="173345910">
                      <w:marLeft w:val="0"/>
                      <w:marRight w:val="0"/>
                      <w:marTop w:val="0"/>
                      <w:marBottom w:val="0"/>
                      <w:divBdr>
                        <w:top w:val="none" w:sz="0" w:space="0" w:color="auto"/>
                        <w:left w:val="none" w:sz="0" w:space="0" w:color="auto"/>
                        <w:bottom w:val="none" w:sz="0" w:space="0" w:color="auto"/>
                        <w:right w:val="none" w:sz="0" w:space="0" w:color="auto"/>
                      </w:divBdr>
                      <w:divsChild>
                        <w:div w:id="8919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3527">
              <w:marLeft w:val="0"/>
              <w:marRight w:val="0"/>
              <w:marTop w:val="0"/>
              <w:marBottom w:val="0"/>
              <w:divBdr>
                <w:top w:val="none" w:sz="0" w:space="0" w:color="auto"/>
                <w:left w:val="none" w:sz="0" w:space="0" w:color="auto"/>
                <w:bottom w:val="none" w:sz="0" w:space="0" w:color="auto"/>
                <w:right w:val="none" w:sz="0" w:space="0" w:color="auto"/>
              </w:divBdr>
              <w:divsChild>
                <w:div w:id="668824265">
                  <w:marLeft w:val="0"/>
                  <w:marRight w:val="0"/>
                  <w:marTop w:val="0"/>
                  <w:marBottom w:val="0"/>
                  <w:divBdr>
                    <w:top w:val="none" w:sz="0" w:space="0" w:color="auto"/>
                    <w:left w:val="none" w:sz="0" w:space="0" w:color="auto"/>
                    <w:bottom w:val="none" w:sz="0" w:space="0" w:color="auto"/>
                    <w:right w:val="none" w:sz="0" w:space="0" w:color="auto"/>
                  </w:divBdr>
                  <w:divsChild>
                    <w:div w:id="11899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58122" TargetMode="External"/><Relationship Id="rId13" Type="http://schemas.openxmlformats.org/officeDocument/2006/relationships/hyperlink" Target="https://hudoc.echr.coe.int/eng?i=001-145577" TargetMode="External"/><Relationship Id="rId18" Type="http://schemas.openxmlformats.org/officeDocument/2006/relationships/hyperlink" Target="https://hudoc.echr.coe.int/eng?i=001-93103"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hudoc.echr.coe.int/eng?i=001-208643" TargetMode="External"/><Relationship Id="rId7" Type="http://schemas.openxmlformats.org/officeDocument/2006/relationships/hyperlink" Target="https://hudoc.echr.coe.int/eng?i=001-181821" TargetMode="External"/><Relationship Id="rId12" Type="http://schemas.openxmlformats.org/officeDocument/2006/relationships/hyperlink" Target="https://hudoc.echr.coe.int/eng?i=001-99896" TargetMode="External"/><Relationship Id="rId17" Type="http://schemas.openxmlformats.org/officeDocument/2006/relationships/hyperlink" Target="https://hudoc.echr.coe.int/eng?i=001-78261"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hudoc.echr.coe.int/eng?i=001-194445" TargetMode="External"/><Relationship Id="rId20" Type="http://schemas.openxmlformats.org/officeDocument/2006/relationships/hyperlink" Target="https://hudoc.echr.coe.int/eng?i=001-214204" TargetMode="External"/><Relationship Id="rId1" Type="http://schemas.openxmlformats.org/officeDocument/2006/relationships/styles" Target="styles.xml"/><Relationship Id="rId6" Type="http://schemas.openxmlformats.org/officeDocument/2006/relationships/hyperlink" Target="https://hudoc.echr.coe.int/eng?i=001-225209" TargetMode="External"/><Relationship Id="rId11" Type="http://schemas.openxmlformats.org/officeDocument/2006/relationships/hyperlink" Target="https://hudoc.echr.coe.int/eng?i=001-181591" TargetMode="External"/><Relationship Id="rId24" Type="http://schemas.openxmlformats.org/officeDocument/2006/relationships/hyperlink" Target="https://hudoc.echr.coe.int/eng?i=001-139914" TargetMode="External"/><Relationship Id="rId5" Type="http://schemas.openxmlformats.org/officeDocument/2006/relationships/endnotes" Target="endnotes.xml"/><Relationship Id="rId15" Type="http://schemas.openxmlformats.org/officeDocument/2006/relationships/hyperlink" Target="https://hudoc.echr.coe.int/eng?i=001-198760" TargetMode="External"/><Relationship Id="rId23" Type="http://schemas.openxmlformats.org/officeDocument/2006/relationships/hyperlink" Target="https://hudoc.echr.coe.int/eng?i=001-202754" TargetMode="External"/><Relationship Id="rId28" Type="http://schemas.openxmlformats.org/officeDocument/2006/relationships/theme" Target="theme/theme1.xml"/><Relationship Id="rId10" Type="http://schemas.openxmlformats.org/officeDocument/2006/relationships/hyperlink" Target="https://hudoc.echr.coe.int/eng?i=001-181591" TargetMode="External"/><Relationship Id="rId19" Type="http://schemas.openxmlformats.org/officeDocument/2006/relationships/hyperlink" Target="https://hudoc.echr.coe.int/eng?i=001-147283" TargetMode="External"/><Relationship Id="rId4" Type="http://schemas.openxmlformats.org/officeDocument/2006/relationships/footnotes" Target="footnotes.xml"/><Relationship Id="rId9" Type="http://schemas.openxmlformats.org/officeDocument/2006/relationships/hyperlink" Target="https://hudoc.echr.coe.int/eng?i=001-57816" TargetMode="External"/><Relationship Id="rId14" Type="http://schemas.openxmlformats.org/officeDocument/2006/relationships/hyperlink" Target="https://hudoc.echr.coe.int/eng?i=001-202532" TargetMode="External"/><Relationship Id="rId22" Type="http://schemas.openxmlformats.org/officeDocument/2006/relationships/hyperlink" Target="https://hudoc.echr.coe.int/eng?i=001-11195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i=001-57772" TargetMode="External"/><Relationship Id="rId2" Type="http://schemas.openxmlformats.org/officeDocument/2006/relationships/hyperlink" Target="https://hudoc.echr.coe.int/eng?i=001-57494" TargetMode="External"/><Relationship Id="rId1" Type="http://schemas.openxmlformats.org/officeDocument/2006/relationships/hyperlink" Target="https://hudoc.echr.coe.int/eng?i=001-70282" TargetMode="External"/><Relationship Id="rId6" Type="http://schemas.openxmlformats.org/officeDocument/2006/relationships/hyperlink" Target="https://hudoc.echr.coe.int/eng?i=001-58066" TargetMode="External"/><Relationship Id="rId5" Type="http://schemas.openxmlformats.org/officeDocument/2006/relationships/hyperlink" Target="https://hudoc.echr.coe.int/eng?i=001-61748" TargetMode="External"/><Relationship Id="rId4" Type="http://schemas.openxmlformats.org/officeDocument/2006/relationships/hyperlink" Target="https://hudoc.echr.coe.int/eng?i=001-57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12873</Words>
  <Characters>7339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2023-07-03T08:21:00Z</dcterms:created>
  <dcterms:modified xsi:type="dcterms:W3CDTF">2023-07-03T08:25:00Z</dcterms:modified>
</cp:coreProperties>
</file>