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3CE" w:rsidRPr="002A3364" w:rsidRDefault="001504A3" w:rsidP="002A3364">
      <w:pPr>
        <w:spacing w:after="120" w:line="240" w:lineRule="auto"/>
        <w:jc w:val="right"/>
        <w:outlineLvl w:val="0"/>
        <w:rPr>
          <w:b/>
          <w:i/>
          <w:szCs w:val="24"/>
          <w:u w:val="single"/>
        </w:rPr>
      </w:pPr>
      <w:r w:rsidRPr="002A3364">
        <w:rPr>
          <w:b/>
          <w:i/>
          <w:szCs w:val="24"/>
          <w:u w:val="single"/>
        </w:rPr>
        <w:t xml:space="preserve">Avots: Ārlietu ministrijas </w:t>
      </w:r>
      <w:r w:rsidR="009A23CE" w:rsidRPr="002A3364">
        <w:rPr>
          <w:b/>
          <w:i/>
          <w:szCs w:val="24"/>
          <w:u w:val="single"/>
        </w:rPr>
        <w:t>Preses un informācijas nodaļa</w:t>
      </w:r>
    </w:p>
    <w:p w:rsidR="002A3364" w:rsidRDefault="002A3364" w:rsidP="002A3364">
      <w:pPr>
        <w:spacing w:after="120" w:line="240" w:lineRule="auto"/>
        <w:jc w:val="center"/>
        <w:outlineLvl w:val="0"/>
        <w:rPr>
          <w:rFonts w:eastAsia="Times New Roman" w:cs="Times New Roman"/>
          <w:b/>
          <w:bCs/>
          <w:kern w:val="36"/>
          <w:sz w:val="28"/>
          <w:szCs w:val="28"/>
          <w:lang w:eastAsia="lv-LV"/>
        </w:rPr>
      </w:pPr>
    </w:p>
    <w:p w:rsidR="009A23CE" w:rsidRDefault="009A23CE" w:rsidP="002A3364">
      <w:pPr>
        <w:spacing w:after="120" w:line="240" w:lineRule="auto"/>
        <w:jc w:val="center"/>
        <w:outlineLvl w:val="0"/>
        <w:rPr>
          <w:rFonts w:eastAsia="Times New Roman" w:cs="Times New Roman"/>
          <w:b/>
          <w:bCs/>
          <w:kern w:val="36"/>
          <w:sz w:val="28"/>
          <w:szCs w:val="28"/>
          <w:lang w:eastAsia="lv-LV"/>
        </w:rPr>
      </w:pPr>
      <w:r w:rsidRPr="002A3364">
        <w:rPr>
          <w:rFonts w:eastAsia="Times New Roman" w:cs="Times New Roman"/>
          <w:b/>
          <w:bCs/>
          <w:kern w:val="36"/>
          <w:sz w:val="28"/>
          <w:szCs w:val="28"/>
          <w:lang w:eastAsia="lv-LV"/>
        </w:rPr>
        <w:t>Eiropas Cilvēktiesību tiesa izbeidz tiesvedību lietā</w:t>
      </w:r>
      <w:r w:rsidR="00AC5B67">
        <w:rPr>
          <w:rFonts w:eastAsia="Times New Roman" w:cs="Times New Roman"/>
          <w:b/>
          <w:bCs/>
          <w:kern w:val="36"/>
          <w:sz w:val="28"/>
          <w:szCs w:val="28"/>
          <w:lang w:eastAsia="lv-LV"/>
        </w:rPr>
        <w:t xml:space="preserve"> „O.G. pret Latviju”</w:t>
      </w:r>
    </w:p>
    <w:p w:rsidR="00AC5B67" w:rsidRPr="00AC5B67" w:rsidRDefault="00AC5B67" w:rsidP="002A3364">
      <w:pPr>
        <w:spacing w:after="120" w:line="240" w:lineRule="auto"/>
        <w:jc w:val="center"/>
        <w:outlineLvl w:val="0"/>
        <w:rPr>
          <w:rFonts w:eastAsia="Times New Roman" w:cs="Times New Roman"/>
          <w:b/>
          <w:bCs/>
          <w:kern w:val="36"/>
          <w:szCs w:val="28"/>
          <w:lang w:eastAsia="lv-LV"/>
        </w:rPr>
      </w:pPr>
      <w:r w:rsidRPr="00AC5B67">
        <w:rPr>
          <w:rFonts w:eastAsia="Times New Roman" w:cs="Times New Roman"/>
          <w:b/>
          <w:bCs/>
          <w:kern w:val="36"/>
          <w:szCs w:val="28"/>
          <w:lang w:eastAsia="lv-LV"/>
        </w:rPr>
        <w:t>23.07.2015.</w:t>
      </w:r>
    </w:p>
    <w:p w:rsidR="002A3364" w:rsidRDefault="002A3364" w:rsidP="001504A3">
      <w:pPr>
        <w:pStyle w:val="NormalWeb"/>
        <w:spacing w:before="0" w:beforeAutospacing="0" w:after="120" w:afterAutospacing="0"/>
        <w:jc w:val="both"/>
      </w:pPr>
    </w:p>
    <w:p w:rsidR="009A23CE" w:rsidRPr="001504A3" w:rsidRDefault="009A23CE" w:rsidP="001504A3">
      <w:pPr>
        <w:pStyle w:val="NormalWeb"/>
        <w:spacing w:before="0" w:beforeAutospacing="0" w:after="120" w:afterAutospacing="0"/>
        <w:jc w:val="both"/>
      </w:pPr>
      <w:r w:rsidRPr="001504A3">
        <w:t xml:space="preserve">Eiropas Cilvēktiesību tiesa (Tiesa) ir pieņēmusi galīgo lēmumu lietā </w:t>
      </w:r>
      <w:r w:rsidRPr="001504A3">
        <w:rPr>
          <w:rStyle w:val="Emphasis"/>
        </w:rPr>
        <w:t>O.G. (II) pret Latviju</w:t>
      </w:r>
      <w:r w:rsidRPr="001504A3">
        <w:t>, atzīstot iesniegtās sūdzības par nepieņemamām tālākai izskatīšanai pēc būtības un izbeidzot tiesvedību šajā lietā. Tiesas lēmum</w:t>
      </w:r>
      <w:r w:rsidR="00AC5B67">
        <w:t>s</w:t>
      </w:r>
      <w:r w:rsidRPr="001504A3">
        <w:t xml:space="preserve"> ir galīg</w:t>
      </w:r>
      <w:r w:rsidR="00AC5B67">
        <w:t>s</w:t>
      </w:r>
      <w:r w:rsidRPr="001504A3">
        <w:t xml:space="preserve"> un nepārsūdzam</w:t>
      </w:r>
      <w:r w:rsidR="00AC5B67">
        <w:t>s</w:t>
      </w:r>
      <w:r w:rsidRPr="001504A3">
        <w:t>.</w:t>
      </w:r>
    </w:p>
    <w:p w:rsidR="00AC5B67" w:rsidRDefault="00AC5B67" w:rsidP="001504A3">
      <w:pPr>
        <w:pStyle w:val="NormalWeb"/>
        <w:spacing w:before="0" w:beforeAutospacing="0" w:after="120" w:afterAutospacing="0"/>
        <w:jc w:val="both"/>
        <w:rPr>
          <w:rStyle w:val="Emphasis"/>
          <w:b/>
          <w:bCs/>
        </w:rPr>
      </w:pPr>
    </w:p>
    <w:p w:rsidR="009A23CE" w:rsidRPr="001504A3" w:rsidRDefault="009A23CE" w:rsidP="001504A3">
      <w:pPr>
        <w:pStyle w:val="NormalWeb"/>
        <w:spacing w:before="0" w:beforeAutospacing="0" w:after="120" w:afterAutospacing="0"/>
        <w:jc w:val="both"/>
      </w:pPr>
      <w:r w:rsidRPr="001504A3">
        <w:t xml:space="preserve">Savā </w:t>
      </w:r>
      <w:proofErr w:type="gramStart"/>
      <w:r w:rsidRPr="001504A3">
        <w:t>2013.gada</w:t>
      </w:r>
      <w:proofErr w:type="gramEnd"/>
      <w:r w:rsidRPr="001504A3">
        <w:t xml:space="preserve"> 21.janvāra pieteikumā 1965.gadā dzimušais Latvijas pilsonis O.G. (iesniedzējs ir lūdzis Tiesu publiski neizpaust viņa identitāti)</w:t>
      </w:r>
      <w:r w:rsidR="00AC5B67">
        <w:t xml:space="preserve"> </w:t>
      </w:r>
      <w:bookmarkStart w:id="0" w:name="_GoBack"/>
      <w:bookmarkEnd w:id="0"/>
      <w:r w:rsidRPr="001504A3">
        <w:t>apgalvoja, ka viņa atrašanās VSIA „Rīgas psihiatrijas un narkoloģijas centrs” laika posmā no 2012.gada 9.augusta līdz 14.septembrim bija prettiesiska viņa brīvības atņemšana Eiropas Cilvēka tiesību un pamatbrīvību aizsardzības konvencijas (Konvencija) 5.panta (tiesības uz personisko brīvību un drošību) izpratnē un pārkāpa viņa Konvencijas 5.panta 1.punktā garantētās tiesības uz personisko brīvību.</w:t>
      </w:r>
    </w:p>
    <w:p w:rsidR="009A23CE" w:rsidRPr="001504A3" w:rsidRDefault="009A23CE" w:rsidP="001504A3">
      <w:pPr>
        <w:pStyle w:val="NormalWeb"/>
        <w:spacing w:before="0" w:beforeAutospacing="0" w:after="120" w:afterAutospacing="0"/>
        <w:jc w:val="both"/>
      </w:pPr>
      <w:proofErr w:type="gramStart"/>
      <w:r w:rsidRPr="001504A3">
        <w:t>2012.gada</w:t>
      </w:r>
      <w:proofErr w:type="gramEnd"/>
      <w:r w:rsidRPr="001504A3">
        <w:t xml:space="preserve"> 9.augustā O.G. aizturēja policija pēc tam, kad viņš bija izraisījis konfliktu ar sabiedriskā transporta kontrolieri. Tās pašas dienas vakarā iesniedzējs no policijas iecirkņa tika nogādāts VSIA „Rīgas psihiatrijas un narkoloģijas centrs”. Kā apgalvo O.G., viņa kustības tika ierobežotas un viņam tika injicētas viņam nezināmas zāles. </w:t>
      </w:r>
      <w:proofErr w:type="gramStart"/>
      <w:r w:rsidRPr="001504A3">
        <w:t>2012.gada</w:t>
      </w:r>
      <w:proofErr w:type="gramEnd"/>
      <w:r w:rsidRPr="001504A3">
        <w:t xml:space="preserve"> 10.augustā psihiatru konsīlijs pieņēma lēmumu, ka O.G. jāturpina ārstēšana psihiatriskajā stacionārā, pamatojoties uz Ārstniecības likuma 68.panta 1.daļu, norādot, ka „psihisko traucējumu dēļ pacienta uzvedība ir bīstama viņa paša un citu personu veselībai un dzīvībai”. 2012.gada 13.augustā tiesa apstiprināja psihiatru konsīlija lēmumu par psihiatriskās palīdzības sniegšanu iesniedzējam psihiatriskajā iestādē bez viņa piekrišanas. Tiesas sēdē piedalījās arī pats O.G. </w:t>
      </w:r>
      <w:proofErr w:type="gramStart"/>
      <w:r w:rsidRPr="001504A3">
        <w:t>2012.gada</w:t>
      </w:r>
      <w:proofErr w:type="gramEnd"/>
      <w:r w:rsidRPr="001504A3">
        <w:t xml:space="preserve"> 14.septembrī O.G. izrakstīts no VSIA „Rīgas psihiatrijas un narkoloģijas centrs”.</w:t>
      </w:r>
    </w:p>
    <w:p w:rsidR="009A23CE" w:rsidRPr="001504A3" w:rsidRDefault="009A23CE" w:rsidP="001504A3">
      <w:pPr>
        <w:pStyle w:val="NormalWeb"/>
        <w:spacing w:before="0" w:beforeAutospacing="0" w:after="120" w:afterAutospacing="0"/>
        <w:jc w:val="both"/>
      </w:pPr>
      <w:r w:rsidRPr="001504A3">
        <w:t xml:space="preserve">Izvērtējot O.G. apgalvojumus un Latvijas valdības iesniegtos argumentus, Tiesa vienbalsīgi atzina, ka viņa sūdzība ir acīmredzami nepamatota. Tiesa uzskatīja, ka O.G. ievietošana psihiatriskajā slimnīcā un ārstēšana bez viņa piekrišanas bija pamatota, ņemot vērā viņa veselības stāvokli. Tāpat Tiesa atzīmēja, ka lietas notikumu laikā piemērojamais nacionālais regulējums jau bija būtiski uzlabots, lai sniegtu procesuālās garantijas personām, kurām tiek noteikta ārstēšana pret viņu gribu, turklāt visi lēmumi tika pieņemti likumā noteiktajos termiņos. Tiesa šīs lietas apstākļus pretnostatīja lietai </w:t>
      </w:r>
      <w:r w:rsidRPr="001504A3">
        <w:rPr>
          <w:rStyle w:val="Emphasis"/>
        </w:rPr>
        <w:t>L.M. pret Latviju</w:t>
      </w:r>
      <w:r w:rsidRPr="001504A3">
        <w:t xml:space="preserve">, kurā Tiesa </w:t>
      </w:r>
      <w:proofErr w:type="gramStart"/>
      <w:r w:rsidRPr="001504A3">
        <w:t>2011.gada</w:t>
      </w:r>
      <w:proofErr w:type="gramEnd"/>
      <w:r w:rsidRPr="001504A3">
        <w:t xml:space="preserve"> 19.jūlija spriedumā bija konstatējusi vairākus Konvencijas pārkāpumus saistībā ar personas ievietošanu psihiatriskajā slimnīcā, un lietai </w:t>
      </w:r>
      <w:proofErr w:type="spellStart"/>
      <w:r w:rsidRPr="001504A3">
        <w:rPr>
          <w:rStyle w:val="Emphasis"/>
        </w:rPr>
        <w:t>Raudevs</w:t>
      </w:r>
      <w:proofErr w:type="spellEnd"/>
      <w:r w:rsidRPr="001504A3">
        <w:rPr>
          <w:rStyle w:val="Emphasis"/>
        </w:rPr>
        <w:t xml:space="preserve"> pret Latviju</w:t>
      </w:r>
      <w:r w:rsidRPr="001504A3">
        <w:t>, kurā 2013.gada 17.decembra spriedumā Tiesa bija norādījusi uz vairākām procesuālām nepilnībām.</w:t>
      </w:r>
    </w:p>
    <w:p w:rsidR="009A23CE" w:rsidRPr="001504A3" w:rsidRDefault="009A23CE" w:rsidP="001504A3">
      <w:pPr>
        <w:pStyle w:val="NormalWeb"/>
        <w:spacing w:before="0" w:beforeAutospacing="0" w:after="120" w:afterAutospacing="0"/>
        <w:jc w:val="both"/>
      </w:pPr>
      <w:r w:rsidRPr="001504A3">
        <w:t xml:space="preserve">Pilns </w:t>
      </w:r>
      <w:proofErr w:type="gramStart"/>
      <w:r w:rsidRPr="001504A3">
        <w:t>2015.gada</w:t>
      </w:r>
      <w:proofErr w:type="gramEnd"/>
      <w:r w:rsidRPr="001504A3">
        <w:t xml:space="preserve"> 23.jūlija Tiesas lēmuma teksts angļu valodā ir pieejams </w:t>
      </w:r>
      <w:hyperlink r:id="rId4" w:tgtFrame="_blank" w:history="1">
        <w:r w:rsidRPr="001504A3">
          <w:rPr>
            <w:rStyle w:val="Hyperlink"/>
          </w:rPr>
          <w:t>Tiesas tiešsaistes vietnē</w:t>
        </w:r>
      </w:hyperlink>
      <w:r w:rsidRPr="001504A3">
        <w:t>. Lai atrastu lēmumu Tiesas datu bāzes izvērstās meklēšanas sadaļā (ADVANCED SEARCH) jāievada pieteikuma numurs (6752/13).</w:t>
      </w:r>
    </w:p>
    <w:sectPr w:rsidR="009A23CE" w:rsidRPr="001504A3" w:rsidSect="00407C4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CE"/>
    <w:rsid w:val="001504A3"/>
    <w:rsid w:val="002A3364"/>
    <w:rsid w:val="00407C46"/>
    <w:rsid w:val="00712D85"/>
    <w:rsid w:val="00790F58"/>
    <w:rsid w:val="009A23CE"/>
    <w:rsid w:val="00AC5B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2C2679-CA91-4C54-954D-467AF71FE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A23CE"/>
    <w:pPr>
      <w:spacing w:before="100" w:beforeAutospacing="1" w:after="100" w:afterAutospacing="1" w:line="240" w:lineRule="auto"/>
      <w:outlineLvl w:val="0"/>
    </w:pPr>
    <w:rPr>
      <w:rFonts w:eastAsia="Times New Roman" w:cs="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3CE"/>
    <w:rPr>
      <w:rFonts w:eastAsia="Times New Roman" w:cs="Times New Roman"/>
      <w:b/>
      <w:bCs/>
      <w:kern w:val="36"/>
      <w:sz w:val="48"/>
      <w:szCs w:val="48"/>
      <w:lang w:eastAsia="lv-LV"/>
    </w:rPr>
  </w:style>
  <w:style w:type="paragraph" w:styleId="NormalWeb">
    <w:name w:val="Normal (Web)"/>
    <w:basedOn w:val="Normal"/>
    <w:uiPriority w:val="99"/>
    <w:semiHidden/>
    <w:unhideWhenUsed/>
    <w:rsid w:val="009A23CE"/>
    <w:pPr>
      <w:spacing w:before="100" w:beforeAutospacing="1" w:after="100" w:afterAutospacing="1" w:line="240" w:lineRule="auto"/>
    </w:pPr>
    <w:rPr>
      <w:rFonts w:eastAsia="Times New Roman" w:cs="Times New Roman"/>
      <w:szCs w:val="24"/>
      <w:lang w:eastAsia="lv-LV"/>
    </w:rPr>
  </w:style>
  <w:style w:type="character" w:styleId="Emphasis">
    <w:name w:val="Emphasis"/>
    <w:basedOn w:val="DefaultParagraphFont"/>
    <w:uiPriority w:val="20"/>
    <w:qFormat/>
    <w:rsid w:val="009A23CE"/>
    <w:rPr>
      <w:i/>
      <w:iCs/>
    </w:rPr>
  </w:style>
  <w:style w:type="character" w:styleId="Hyperlink">
    <w:name w:val="Hyperlink"/>
    <w:basedOn w:val="DefaultParagraphFont"/>
    <w:uiPriority w:val="99"/>
    <w:semiHidden/>
    <w:unhideWhenUsed/>
    <w:rsid w:val="009A23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422903">
      <w:bodyDiv w:val="1"/>
      <w:marLeft w:val="0"/>
      <w:marRight w:val="0"/>
      <w:marTop w:val="0"/>
      <w:marBottom w:val="0"/>
      <w:divBdr>
        <w:top w:val="none" w:sz="0" w:space="0" w:color="auto"/>
        <w:left w:val="none" w:sz="0" w:space="0" w:color="auto"/>
        <w:bottom w:val="none" w:sz="0" w:space="0" w:color="auto"/>
        <w:right w:val="none" w:sz="0" w:space="0" w:color="auto"/>
      </w:divBdr>
      <w:divsChild>
        <w:div w:id="811794653">
          <w:marLeft w:val="0"/>
          <w:marRight w:val="0"/>
          <w:marTop w:val="0"/>
          <w:marBottom w:val="0"/>
          <w:divBdr>
            <w:top w:val="none" w:sz="0" w:space="0" w:color="auto"/>
            <w:left w:val="none" w:sz="0" w:space="0" w:color="auto"/>
            <w:bottom w:val="none" w:sz="0" w:space="0" w:color="auto"/>
            <w:right w:val="none" w:sz="0" w:space="0" w:color="auto"/>
          </w:divBdr>
        </w:div>
      </w:divsChild>
    </w:div>
    <w:div w:id="92283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hudoc.echr.coe.int/sites/eng/Pages/search.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1947</Words>
  <Characters>1110</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Rasma Zvejniece</dc:creator>
  <cp:keywords/>
  <dc:description/>
  <cp:lastModifiedBy>Rasma Zvejniece</cp:lastModifiedBy>
  <cp:revision>3</cp:revision>
  <dcterms:created xsi:type="dcterms:W3CDTF">2015-07-26T19:52:00Z</dcterms:created>
  <dcterms:modified xsi:type="dcterms:W3CDTF">2015-07-26T19:56:00Z</dcterms:modified>
</cp:coreProperties>
</file>