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66" w:rsidRDefault="00014566" w:rsidP="000C06B1">
      <w:pPr>
        <w:pStyle w:val="ECHRDecisionBody"/>
        <w:jc w:val="center"/>
      </w:pPr>
      <w:bookmarkStart w:id="0" w:name="_GoBack"/>
      <w:bookmarkEnd w:id="0"/>
    </w:p>
    <w:p w:rsidR="0076670D" w:rsidRDefault="0076670D" w:rsidP="000C06B1">
      <w:pPr>
        <w:pStyle w:val="ECHRDecisionBody"/>
        <w:jc w:val="center"/>
      </w:pPr>
    </w:p>
    <w:p w:rsidR="0076670D" w:rsidRPr="00062973" w:rsidRDefault="0076670D" w:rsidP="000C06B1">
      <w:pPr>
        <w:pStyle w:val="ECHRDecisionBody"/>
        <w:jc w:val="center"/>
      </w:pPr>
    </w:p>
    <w:p w:rsidR="00014566" w:rsidRPr="00062973" w:rsidRDefault="007A3CCB" w:rsidP="00014566">
      <w:pPr>
        <w:jc w:val="center"/>
      </w:pPr>
      <w:r>
        <w:t>CETURTĀ NODAĻA</w:t>
      </w:r>
    </w:p>
    <w:p w:rsidR="00014566" w:rsidRDefault="00014566" w:rsidP="00014566">
      <w:pPr>
        <w:jc w:val="center"/>
      </w:pPr>
    </w:p>
    <w:p w:rsidR="0076670D" w:rsidRDefault="0076670D" w:rsidP="00014566">
      <w:pPr>
        <w:jc w:val="center"/>
      </w:pPr>
    </w:p>
    <w:p w:rsidR="0076670D" w:rsidRDefault="0076670D" w:rsidP="00014566">
      <w:pPr>
        <w:jc w:val="center"/>
      </w:pPr>
    </w:p>
    <w:p w:rsidR="0076670D" w:rsidRDefault="0076670D" w:rsidP="00014566">
      <w:pPr>
        <w:jc w:val="center"/>
      </w:pPr>
    </w:p>
    <w:p w:rsidR="0076670D" w:rsidRDefault="0076670D" w:rsidP="00014566">
      <w:pPr>
        <w:jc w:val="center"/>
      </w:pPr>
    </w:p>
    <w:p w:rsidR="0076670D" w:rsidRPr="00062973" w:rsidRDefault="0076670D" w:rsidP="00014566">
      <w:pPr>
        <w:jc w:val="center"/>
      </w:pPr>
    </w:p>
    <w:p w:rsidR="00014566" w:rsidRPr="008B659F" w:rsidRDefault="00014566" w:rsidP="00014566">
      <w:pPr>
        <w:jc w:val="center"/>
        <w:rPr>
          <w:b/>
        </w:rPr>
      </w:pPr>
      <w:bookmarkStart w:id="1" w:name="To"/>
      <w:r>
        <w:rPr>
          <w:b/>
        </w:rPr>
        <w:t xml:space="preserve">LIETA </w:t>
      </w:r>
      <w:bookmarkEnd w:id="1"/>
      <w:r>
        <w:rPr>
          <w:b/>
        </w:rPr>
        <w:t>DAVIDOVS pret LATVIJU</w:t>
      </w:r>
    </w:p>
    <w:p w:rsidR="00014566" w:rsidRPr="00062973" w:rsidRDefault="00014566" w:rsidP="00014566">
      <w:pPr>
        <w:jc w:val="center"/>
      </w:pPr>
    </w:p>
    <w:p w:rsidR="00014566" w:rsidRPr="00D53C0F" w:rsidRDefault="00014566" w:rsidP="00014566">
      <w:pPr>
        <w:jc w:val="center"/>
        <w:rPr>
          <w:i/>
        </w:rPr>
      </w:pPr>
      <w:r>
        <w:rPr>
          <w:i/>
        </w:rPr>
        <w:t>(Iesniegums Nr. 45559/06)</w:t>
      </w:r>
    </w:p>
    <w:p w:rsidR="00014566" w:rsidRPr="00062973" w:rsidRDefault="00014566" w:rsidP="00014566">
      <w:pPr>
        <w:jc w:val="center"/>
      </w:pPr>
    </w:p>
    <w:p w:rsidR="00014566" w:rsidRPr="00062973" w:rsidRDefault="00014566" w:rsidP="00014566">
      <w:pPr>
        <w:jc w:val="center"/>
      </w:pPr>
    </w:p>
    <w:p w:rsidR="00014566" w:rsidRPr="00062973" w:rsidRDefault="00014566" w:rsidP="00014566">
      <w:pPr>
        <w:jc w:val="center"/>
      </w:pPr>
    </w:p>
    <w:p w:rsidR="00014566" w:rsidRPr="00062973" w:rsidRDefault="00014566" w:rsidP="00014566">
      <w:pPr>
        <w:jc w:val="center"/>
      </w:pPr>
    </w:p>
    <w:p w:rsidR="00014566" w:rsidRPr="00062973" w:rsidRDefault="00014566" w:rsidP="00014566">
      <w:pPr>
        <w:jc w:val="center"/>
      </w:pPr>
    </w:p>
    <w:p w:rsidR="00014566" w:rsidRDefault="00014566" w:rsidP="00014566">
      <w:pPr>
        <w:jc w:val="center"/>
      </w:pPr>
    </w:p>
    <w:p w:rsidR="00420381" w:rsidRPr="00062973" w:rsidRDefault="00420381" w:rsidP="00014566">
      <w:pPr>
        <w:jc w:val="center"/>
      </w:pPr>
    </w:p>
    <w:p w:rsidR="0076670D" w:rsidRDefault="0076670D" w:rsidP="00420381">
      <w:pPr>
        <w:pStyle w:val="ECHRPara"/>
        <w:ind w:firstLine="0"/>
        <w:jc w:val="center"/>
      </w:pPr>
      <w:r>
        <w:t>SPRIEDUMS</w:t>
      </w:r>
    </w:p>
    <w:p w:rsidR="009C198E" w:rsidRDefault="009C198E" w:rsidP="0076670D">
      <w:pPr>
        <w:pStyle w:val="ECHRPara"/>
        <w:jc w:val="center"/>
        <w:rPr>
          <w:rFonts w:ascii="Times New Roman" w:hAnsi="Times New Roman" w:cs="Times New Roman"/>
          <w:b/>
          <w:bCs/>
          <w:color w:val="000000"/>
        </w:rPr>
      </w:pPr>
    </w:p>
    <w:p w:rsidR="0013704A" w:rsidRDefault="0013704A" w:rsidP="00014566">
      <w:pPr>
        <w:rPr>
          <w:szCs w:val="24"/>
        </w:rPr>
      </w:pPr>
    </w:p>
    <w:p w:rsidR="00420381" w:rsidRDefault="00420381" w:rsidP="00014566">
      <w:pPr>
        <w:rPr>
          <w:szCs w:val="24"/>
        </w:rPr>
      </w:pPr>
    </w:p>
    <w:p w:rsidR="00420381" w:rsidRDefault="00420381" w:rsidP="00014566">
      <w:pPr>
        <w:rPr>
          <w:szCs w:val="24"/>
        </w:rPr>
      </w:pPr>
    </w:p>
    <w:p w:rsidR="00420381" w:rsidRDefault="00420381" w:rsidP="00014566">
      <w:pPr>
        <w:rPr>
          <w:szCs w:val="24"/>
        </w:rPr>
      </w:pPr>
    </w:p>
    <w:p w:rsidR="00420381" w:rsidRPr="0013704A" w:rsidRDefault="00420381" w:rsidP="00014566">
      <w:pPr>
        <w:rPr>
          <w:szCs w:val="24"/>
        </w:rPr>
      </w:pPr>
    </w:p>
    <w:p w:rsidR="0076670D" w:rsidRDefault="0076670D" w:rsidP="0076670D">
      <w:pPr>
        <w:pStyle w:val="JuCase"/>
        <w:ind w:firstLine="0"/>
        <w:jc w:val="center"/>
        <w:rPr>
          <w:b w:val="0"/>
        </w:rPr>
      </w:pPr>
    </w:p>
    <w:p w:rsidR="0076670D" w:rsidRDefault="0076670D" w:rsidP="0076670D">
      <w:pPr>
        <w:pStyle w:val="JuCase"/>
        <w:ind w:firstLine="0"/>
        <w:jc w:val="center"/>
        <w:rPr>
          <w:b w:val="0"/>
        </w:rPr>
      </w:pPr>
    </w:p>
    <w:p w:rsidR="0076670D" w:rsidRDefault="0076670D" w:rsidP="0076670D">
      <w:pPr>
        <w:pStyle w:val="JuCase"/>
        <w:ind w:firstLine="0"/>
        <w:jc w:val="center"/>
        <w:rPr>
          <w:b w:val="0"/>
        </w:rPr>
      </w:pPr>
      <w:r>
        <w:rPr>
          <w:b w:val="0"/>
        </w:rPr>
        <w:t>STRASBŪRA</w:t>
      </w:r>
    </w:p>
    <w:p w:rsidR="0076670D" w:rsidRDefault="0076670D" w:rsidP="0076670D">
      <w:pPr>
        <w:pStyle w:val="JuCase"/>
        <w:ind w:firstLine="0"/>
        <w:jc w:val="center"/>
        <w:rPr>
          <w:b w:val="0"/>
        </w:rPr>
      </w:pPr>
    </w:p>
    <w:p w:rsidR="0076670D" w:rsidRDefault="0076670D" w:rsidP="0076670D">
      <w:pPr>
        <w:pStyle w:val="JuCase"/>
        <w:ind w:firstLine="0"/>
        <w:jc w:val="center"/>
        <w:rPr>
          <w:b w:val="0"/>
        </w:rPr>
      </w:pPr>
      <w:r>
        <w:rPr>
          <w:b w:val="0"/>
        </w:rPr>
        <w:t>2015. gada 7. jūlijs</w:t>
      </w:r>
    </w:p>
    <w:p w:rsidR="0076670D" w:rsidRDefault="0076670D" w:rsidP="0076670D">
      <w:pPr>
        <w:pStyle w:val="JuCase"/>
        <w:ind w:firstLine="0"/>
        <w:jc w:val="center"/>
        <w:rPr>
          <w:b w:val="0"/>
        </w:rPr>
      </w:pPr>
    </w:p>
    <w:p w:rsidR="00420381" w:rsidRDefault="00420381" w:rsidP="00420381"/>
    <w:p w:rsidR="00420381" w:rsidRPr="00420381" w:rsidRDefault="00420381" w:rsidP="00420381"/>
    <w:p w:rsidR="0076670D" w:rsidRDefault="0076670D" w:rsidP="0076670D">
      <w:pPr>
        <w:pStyle w:val="JuCase"/>
        <w:ind w:firstLine="0"/>
        <w:jc w:val="center"/>
        <w:rPr>
          <w:b w:val="0"/>
        </w:rPr>
      </w:pPr>
    </w:p>
    <w:p w:rsidR="00420381" w:rsidRPr="00420381" w:rsidRDefault="0076670D" w:rsidP="00420381">
      <w:pPr>
        <w:pStyle w:val="JuCase"/>
        <w:ind w:firstLine="0"/>
        <w:jc w:val="center"/>
        <w:rPr>
          <w:b w:val="0"/>
          <w:i/>
          <w:sz w:val="22"/>
        </w:rPr>
        <w:sectPr w:rsidR="00420381" w:rsidRPr="00420381" w:rsidSect="0076670D">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r>
        <w:rPr>
          <w:b w:val="0"/>
          <w:i/>
          <w:sz w:val="22"/>
        </w:rPr>
        <w:t xml:space="preserve">Šis spriedums ir </w:t>
      </w:r>
      <w:r w:rsidR="00E82BFA">
        <w:rPr>
          <w:b w:val="0"/>
          <w:i/>
          <w:sz w:val="22"/>
        </w:rPr>
        <w:t>stājies spēkā</w:t>
      </w:r>
      <w:r>
        <w:rPr>
          <w:b w:val="0"/>
          <w:i/>
          <w:sz w:val="22"/>
        </w:rPr>
        <w:t>, taču tajā var tikt izdarītas redakcionālas izmaiņas</w:t>
      </w:r>
    </w:p>
    <w:p w:rsidR="00014566" w:rsidRPr="00062973" w:rsidRDefault="00014566" w:rsidP="00D60D87">
      <w:pPr>
        <w:pStyle w:val="JuCase"/>
        <w:rPr>
          <w:bCs/>
        </w:rPr>
      </w:pPr>
      <w:r>
        <w:lastRenderedPageBreak/>
        <w:t>Lietā Davidovs pret Latviju</w:t>
      </w:r>
    </w:p>
    <w:p w:rsidR="00014566" w:rsidRPr="00062973" w:rsidRDefault="00014566" w:rsidP="005E2A43">
      <w:pPr>
        <w:pStyle w:val="ECHRPara"/>
      </w:pPr>
      <w:r>
        <w:t>Eiropas Cilvēktiesību tiesa (</w:t>
      </w:r>
      <w:r w:rsidR="00781EEF">
        <w:t>Ceturtā nodaļa)</w:t>
      </w:r>
      <w:r>
        <w:t xml:space="preserve"> sanākusi kā palāta šādā sastāvā: </w:t>
      </w:r>
    </w:p>
    <w:p w:rsidR="00014566" w:rsidRPr="00062973" w:rsidRDefault="00EF1318" w:rsidP="00DF0549">
      <w:pPr>
        <w:pStyle w:val="ECHRDecisionBody"/>
      </w:pPr>
      <w:r>
        <w:tab/>
      </w:r>
      <w:r w:rsidR="00781EEF" w:rsidRPr="00781EEF">
        <w:rPr>
          <w:i/>
        </w:rPr>
        <w:t>Krzysztof Wojtyczek</w:t>
      </w:r>
      <w:r>
        <w:t xml:space="preserve">, </w:t>
      </w:r>
      <w:r>
        <w:rPr>
          <w:i/>
        </w:rPr>
        <w:t>priekšsēdētājs</w:t>
      </w:r>
      <w:r>
        <w:br/>
        <w:t xml:space="preserve">     </w:t>
      </w:r>
      <w:r w:rsidR="00A604DF">
        <w:tab/>
      </w:r>
      <w:r w:rsidR="00781EEF" w:rsidRPr="00781EEF">
        <w:rPr>
          <w:i/>
        </w:rPr>
        <w:t>Faris Vehabović</w:t>
      </w:r>
      <w:r w:rsidR="00781EEF">
        <w:t>,</w:t>
      </w:r>
      <w:r>
        <w:br/>
        <w:t xml:space="preserve">     </w:t>
      </w:r>
      <w:r w:rsidR="00A604DF">
        <w:tab/>
      </w:r>
      <w:r w:rsidR="00781EEF" w:rsidRPr="00781EEF">
        <w:rPr>
          <w:i/>
        </w:rPr>
        <w:t>Yonko Grozev</w:t>
      </w:r>
      <w:r>
        <w:t xml:space="preserve">, </w:t>
      </w:r>
      <w:r>
        <w:rPr>
          <w:i/>
        </w:rPr>
        <w:t>tiesneši,</w:t>
      </w:r>
      <w:r>
        <w:br/>
        <w:t xml:space="preserve">un </w:t>
      </w:r>
      <w:r w:rsidR="00781EEF" w:rsidRPr="00781EEF">
        <w:rPr>
          <w:i/>
        </w:rPr>
        <w:t>Fatoş Aracı</w:t>
      </w:r>
      <w:r>
        <w:t xml:space="preserve">, </w:t>
      </w:r>
      <w:r>
        <w:rPr>
          <w:i/>
        </w:rPr>
        <w:t>nodaļas sekretāra vietniece,</w:t>
      </w:r>
    </w:p>
    <w:p w:rsidR="00014566" w:rsidRPr="00062973" w:rsidRDefault="00014566" w:rsidP="00C621C2">
      <w:pPr>
        <w:pStyle w:val="ECHRPara"/>
      </w:pPr>
      <w:r>
        <w:t>pēc apspriešanās slēgtā sēdē 2015. gada 16.</w:t>
      </w:r>
      <w:r w:rsidR="001E65AE">
        <w:t xml:space="preserve"> </w:t>
      </w:r>
      <w:r>
        <w:t>jūnijā,</w:t>
      </w:r>
    </w:p>
    <w:p w:rsidR="00014566" w:rsidRPr="00062973" w:rsidRDefault="00014566" w:rsidP="00C621C2">
      <w:pPr>
        <w:pStyle w:val="ECHRPara"/>
      </w:pPr>
      <w:r>
        <w:t>pasludina šādu spriedumu, kas pieņemts šajā datumā:</w:t>
      </w:r>
    </w:p>
    <w:p w:rsidR="00014566" w:rsidRPr="00062973" w:rsidRDefault="00014566" w:rsidP="00014566">
      <w:pPr>
        <w:pStyle w:val="ECHRTitle1"/>
      </w:pPr>
      <w:r>
        <w:t>TIESVEDĪBA</w:t>
      </w:r>
    </w:p>
    <w:p w:rsidR="007A3CCB" w:rsidRPr="00F77011" w:rsidRDefault="00FE1BE2" w:rsidP="00C621C2">
      <w:pPr>
        <w:pStyle w:val="ECHRPara"/>
      </w:pPr>
      <w:r>
        <w:fldChar w:fldCharType="begin"/>
      </w:r>
      <w:r w:rsidR="00460046">
        <w:instrText xml:space="preserve"> SEQ level0 \*arabic \r1</w:instrText>
      </w:r>
      <w:r w:rsidRPr="00727808">
        <w:fldChar w:fldCharType="begin"/>
      </w:r>
      <w:r w:rsidR="007A3CCB" w:rsidRPr="00727808">
        <w:instrText xml:space="preserve"> </w:instrText>
      </w:r>
      <w:r w:rsidR="00460046">
        <w:instrText>.  </w:instrText>
      </w:r>
      <w:r w:rsidR="007A3CCB" w:rsidRPr="00727808">
        <w:instrText xml:space="preserve">SEQ level0 \*arabic </w:instrText>
      </w:r>
      <w:r w:rsidRPr="00727808">
        <w:fldChar w:fldCharType="separate"/>
      </w:r>
      <w:r w:rsidR="00755147">
        <w:rPr>
          <w:noProof/>
        </w:rPr>
        <w:instrText>13</w:instrText>
      </w:r>
      <w:r w:rsidRPr="00727808">
        <w:fldChar w:fldCharType="end"/>
      </w:r>
      <w:r w:rsidR="00460046">
        <w:instrText xml:space="preserve"> </w:instrText>
      </w:r>
      <w:r>
        <w:fldChar w:fldCharType="separate"/>
      </w:r>
      <w:r w:rsidR="00376F97">
        <w:rPr>
          <w:noProof/>
        </w:rPr>
        <w:t>1</w:t>
      </w:r>
      <w:r>
        <w:fldChar w:fldCharType="end"/>
      </w:r>
      <w:r w:rsidR="00460046">
        <w:t>.  Lietas pamatā ir iesniegums (Nr. 45559/06), kuru pret Latvijas Republiku Tiesā saskaņā ar Eiropas Cilvēka tiesību un pamatbrīvību aizsardzības konvencijas („Konvencija”) 34. pantu 2006. gada 16.</w:t>
      </w:r>
      <w:r w:rsidR="00781EEF">
        <w:t xml:space="preserve"> </w:t>
      </w:r>
      <w:r w:rsidR="00460046">
        <w:t>oktobrī iesniedza Latvijas pilsonis Gundars Davidovs („iesniedzējs”).</w:t>
      </w:r>
    </w:p>
    <w:p w:rsidR="00014566" w:rsidRPr="00F77011" w:rsidRDefault="00FE1BE2" w:rsidP="00C621C2">
      <w:pPr>
        <w:pStyle w:val="ECHRPara"/>
      </w:pPr>
      <w:r w:rsidRPr="00F77011">
        <w:fldChar w:fldCharType="begin"/>
      </w:r>
      <w:r w:rsidR="007A3CCB" w:rsidRPr="00F77011">
        <w:instrText xml:space="preserve"> SEQ level0 \*arabic </w:instrText>
      </w:r>
      <w:r w:rsidRPr="00F77011">
        <w:fldChar w:fldCharType="separate"/>
      </w:r>
      <w:r w:rsidR="00376F97">
        <w:rPr>
          <w:noProof/>
        </w:rPr>
        <w:t>2</w:t>
      </w:r>
      <w:r w:rsidRPr="00F77011">
        <w:fldChar w:fldCharType="end"/>
      </w:r>
      <w:r w:rsidR="007A3CCB">
        <w:t>.  Latvijas valdību („Valdība”) pārstāvēja tās pārstāve K. Līce.</w:t>
      </w:r>
    </w:p>
    <w:p w:rsidR="007A3CCB" w:rsidRPr="00F77011" w:rsidRDefault="00FE1BE2" w:rsidP="00C621C2">
      <w:pPr>
        <w:pStyle w:val="ECHRPara"/>
      </w:pPr>
      <w:r w:rsidRPr="00F77011">
        <w:fldChar w:fldCharType="begin"/>
      </w:r>
      <w:r w:rsidR="007A3CCB" w:rsidRPr="00F77011">
        <w:instrText xml:space="preserve"> SEQ level0 \*arabic </w:instrText>
      </w:r>
      <w:r w:rsidRPr="00F77011">
        <w:fldChar w:fldCharType="separate"/>
      </w:r>
      <w:r w:rsidR="00376F97">
        <w:rPr>
          <w:noProof/>
        </w:rPr>
        <w:t>3</w:t>
      </w:r>
      <w:r w:rsidRPr="00F77011">
        <w:fldChar w:fldCharType="end"/>
      </w:r>
      <w:r w:rsidR="007A3CCB">
        <w:t>.  2010. gada 14. oktobrī sūdzība tika nosūtīta Valdībai.</w:t>
      </w:r>
    </w:p>
    <w:p w:rsidR="00014566" w:rsidRPr="00062973" w:rsidRDefault="00FE1BE2" w:rsidP="00F77011">
      <w:pPr>
        <w:pStyle w:val="ECHRPara"/>
      </w:pPr>
      <w:r>
        <w:fldChar w:fldCharType="begin"/>
      </w:r>
      <w:r w:rsidR="007A3CCB">
        <w:instrText xml:space="preserve"> SEQ level0 \*arabic </w:instrText>
      </w:r>
      <w:r>
        <w:fldChar w:fldCharType="separate"/>
      </w:r>
      <w:r w:rsidR="00376F97">
        <w:rPr>
          <w:noProof/>
        </w:rPr>
        <w:t>4</w:t>
      </w:r>
      <w:r>
        <w:fldChar w:fldCharType="end"/>
      </w:r>
      <w:r w:rsidR="007A3CCB">
        <w:t>.  No Valdības tika saņemti rakstveida paskaidrojumi un no iesniedzēja tika saņemta prasība par taisnīgu atlīdzību.</w:t>
      </w:r>
    </w:p>
    <w:p w:rsidR="00014566" w:rsidRPr="00062973" w:rsidRDefault="00014566" w:rsidP="00014566">
      <w:pPr>
        <w:pStyle w:val="ECHRHeading1"/>
      </w:pPr>
      <w:r>
        <w:t xml:space="preserve">I. LIETAS APSTĀKĻI </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5</w:t>
      </w:r>
      <w:r>
        <w:fldChar w:fldCharType="end"/>
      </w:r>
      <w:r w:rsidR="007A3CCB">
        <w:t>.  Iesniedzējs ir dzimis 1969. gadā un atrodas ieslodzījumā Valmieras cietumā.</w:t>
      </w:r>
    </w:p>
    <w:p w:rsidR="00774C25" w:rsidRDefault="00FE1BE2" w:rsidP="00673B7E">
      <w:pPr>
        <w:pStyle w:val="ECHRPara"/>
      </w:pPr>
      <w:r>
        <w:fldChar w:fldCharType="begin"/>
      </w:r>
      <w:r w:rsidR="007A3CCB">
        <w:instrText xml:space="preserve"> SEQ level0 \*arabic </w:instrText>
      </w:r>
      <w:r>
        <w:fldChar w:fldCharType="separate"/>
      </w:r>
      <w:r w:rsidR="00376F97">
        <w:rPr>
          <w:noProof/>
        </w:rPr>
        <w:t>6</w:t>
      </w:r>
      <w:r>
        <w:fldChar w:fldCharType="end"/>
      </w:r>
      <w:r w:rsidR="007A3CCB">
        <w:t xml:space="preserve">.  2005. gada 31. maijā iesniedzējs tika </w:t>
      </w:r>
      <w:r w:rsidR="0003228E">
        <w:t xml:space="preserve">aizturēts </w:t>
      </w:r>
      <w:r w:rsidR="007A3CCB">
        <w:t>uz aizdomu pamata par zādzības izdarīšanu.</w:t>
      </w:r>
    </w:p>
    <w:p w:rsidR="00673B7E" w:rsidRPr="00BC2678" w:rsidRDefault="00FE1BE2" w:rsidP="00673B7E">
      <w:pPr>
        <w:pStyle w:val="ECHRPara"/>
        <w:rPr>
          <w:rFonts w:ascii="Times New Roman" w:eastAsiaTheme="minorHAnsi" w:hAnsi="Times New Roman" w:cs="Times New Roman"/>
          <w:szCs w:val="24"/>
        </w:rPr>
      </w:pPr>
      <w:r>
        <w:rPr>
          <w:rFonts w:ascii="Times New Roman" w:eastAsiaTheme="minorHAnsi" w:hAnsi="Times New Roman" w:cs="Times New Roman"/>
          <w:szCs w:val="24"/>
        </w:rPr>
        <w:fldChar w:fldCharType="begin"/>
      </w:r>
      <w:r w:rsidR="00774C25">
        <w:rPr>
          <w:rFonts w:ascii="Times New Roman" w:eastAsiaTheme="minorHAnsi" w:hAnsi="Times New Roman" w:cs="Times New Roman"/>
          <w:szCs w:val="24"/>
        </w:rPr>
        <w:instrText xml:space="preserve"> SEQ level0 \*arabic </w:instrText>
      </w:r>
      <w:r>
        <w:rPr>
          <w:rFonts w:ascii="Times New Roman" w:eastAsiaTheme="minorHAnsi" w:hAnsi="Times New Roman" w:cs="Times New Roman"/>
          <w:szCs w:val="24"/>
        </w:rPr>
        <w:fldChar w:fldCharType="separate"/>
      </w:r>
      <w:r w:rsidR="00376F97">
        <w:rPr>
          <w:rFonts w:ascii="Times New Roman" w:eastAsiaTheme="minorHAnsi" w:hAnsi="Times New Roman" w:cs="Times New Roman"/>
          <w:noProof/>
          <w:szCs w:val="24"/>
        </w:rPr>
        <w:t>7</w:t>
      </w:r>
      <w:r>
        <w:rPr>
          <w:rFonts w:ascii="Times New Roman" w:eastAsiaTheme="minorHAnsi" w:hAnsi="Times New Roman" w:cs="Times New Roman"/>
          <w:szCs w:val="24"/>
        </w:rPr>
        <w:fldChar w:fldCharType="end"/>
      </w:r>
      <w:r w:rsidR="00774C25">
        <w:t>.</w:t>
      </w:r>
      <w:r w:rsidR="00774C25">
        <w:rPr>
          <w:rFonts w:ascii="Times New Roman" w:eastAsiaTheme="minorHAnsi" w:hAnsi="Times New Roman"/>
        </w:rPr>
        <w:t>  2005.gada 3.jūnijā ar Valmieras rajona tiesas lēmumu iesniedzējs tika paturēts apcietinājumā līdz 2005. gada 3. augustam. Pamatojot lēmumu, tiesnesis atsaucās uz vairākām iesniedzēja iepriekšējām sodāmībām. Iesniedzējs šo lēmumu nepārsūdzēja.</w:t>
      </w:r>
    </w:p>
    <w:p w:rsidR="0038162B" w:rsidRPr="00BC2678" w:rsidRDefault="00FE1BE2" w:rsidP="0038162B">
      <w:pPr>
        <w:pStyle w:val="ECHRPara"/>
        <w:rPr>
          <w:rFonts w:eastAsiaTheme="minorHAnsi"/>
        </w:rPr>
      </w:pPr>
      <w:r w:rsidRPr="00BC2678">
        <w:rPr>
          <w:rFonts w:eastAsiaTheme="minorHAnsi"/>
        </w:rPr>
        <w:fldChar w:fldCharType="begin"/>
      </w:r>
      <w:r w:rsidR="0038162B" w:rsidRPr="00BC2678">
        <w:rPr>
          <w:rFonts w:eastAsiaTheme="minorHAnsi"/>
        </w:rPr>
        <w:instrText xml:space="preserve"> SEQ level0 \*arabic </w:instrText>
      </w:r>
      <w:r w:rsidRPr="00BC2678">
        <w:rPr>
          <w:rFonts w:eastAsiaTheme="minorHAnsi"/>
        </w:rPr>
        <w:fldChar w:fldCharType="separate"/>
      </w:r>
      <w:r w:rsidR="00376F97">
        <w:rPr>
          <w:rFonts w:eastAsiaTheme="minorHAnsi"/>
          <w:noProof/>
        </w:rPr>
        <w:t>8</w:t>
      </w:r>
      <w:r w:rsidRPr="00BC2678">
        <w:rPr>
          <w:rFonts w:eastAsiaTheme="minorHAnsi"/>
        </w:rPr>
        <w:fldChar w:fldCharType="end"/>
      </w:r>
      <w:r w:rsidR="0038162B">
        <w:t>.  </w:t>
      </w:r>
      <w:r w:rsidR="0038162B">
        <w:rPr>
          <w:rFonts w:ascii="Times New Roman" w:eastAsiaTheme="minorHAnsi" w:hAnsi="Times New Roman"/>
        </w:rPr>
        <w:t xml:space="preserve">Pēc iesniedzēja lūguma atcelt </w:t>
      </w:r>
      <w:r w:rsidR="0003228E">
        <w:rPr>
          <w:rFonts w:ascii="Times New Roman" w:eastAsiaTheme="minorHAnsi" w:hAnsi="Times New Roman"/>
        </w:rPr>
        <w:t>lēmumu par apcietinājuma piemērošanu</w:t>
      </w:r>
      <w:r w:rsidR="0038162B">
        <w:rPr>
          <w:rFonts w:ascii="Times New Roman" w:eastAsiaTheme="minorHAnsi" w:hAnsi="Times New Roman"/>
        </w:rPr>
        <w:t xml:space="preserve"> 2005. gada 29. jūnijā viņš tika informēts, ka krimināllietas izskatīšana varētu sākties 2005. gada 31. augustā, kad tiesnesis arī izskatītu lūgumu par </w:t>
      </w:r>
      <w:r w:rsidR="005A5D08">
        <w:rPr>
          <w:rFonts w:ascii="Times New Roman" w:eastAsiaTheme="minorHAnsi" w:hAnsi="Times New Roman"/>
        </w:rPr>
        <w:t xml:space="preserve">drošības līdzekļa </w:t>
      </w:r>
      <w:r w:rsidR="0038162B">
        <w:rPr>
          <w:rFonts w:ascii="Times New Roman" w:eastAsiaTheme="minorHAnsi" w:hAnsi="Times New Roman"/>
        </w:rPr>
        <w:t>maiņu.</w:t>
      </w:r>
    </w:p>
    <w:p w:rsidR="0038162B" w:rsidRPr="0038162B" w:rsidRDefault="00FE1BE2" w:rsidP="0038162B">
      <w:pPr>
        <w:pStyle w:val="ECHRPara"/>
        <w:rPr>
          <w:rFonts w:eastAsiaTheme="minorHAnsi"/>
        </w:rPr>
      </w:pPr>
      <w:r w:rsidRPr="00BC2678">
        <w:rPr>
          <w:rFonts w:eastAsiaTheme="minorHAnsi"/>
        </w:rPr>
        <w:fldChar w:fldCharType="begin"/>
      </w:r>
      <w:r w:rsidR="0038162B" w:rsidRPr="00BC2678">
        <w:rPr>
          <w:rFonts w:eastAsiaTheme="minorHAnsi"/>
        </w:rPr>
        <w:instrText xml:space="preserve"> SEQ level0 \*arabic </w:instrText>
      </w:r>
      <w:r w:rsidRPr="00BC2678">
        <w:rPr>
          <w:rFonts w:eastAsiaTheme="minorHAnsi"/>
        </w:rPr>
        <w:fldChar w:fldCharType="separate"/>
      </w:r>
      <w:r w:rsidR="00376F97">
        <w:rPr>
          <w:rFonts w:eastAsiaTheme="minorHAnsi"/>
          <w:noProof/>
        </w:rPr>
        <w:t>9</w:t>
      </w:r>
      <w:r w:rsidRPr="00BC2678">
        <w:rPr>
          <w:rFonts w:eastAsiaTheme="minorHAnsi"/>
        </w:rPr>
        <w:fldChar w:fldCharType="end"/>
      </w:r>
      <w:r w:rsidR="0038162B">
        <w:t>.  2005. gada 31. augustā ar zemāk</w:t>
      </w:r>
      <w:r w:rsidR="00F66C5C">
        <w:t>ā</w:t>
      </w:r>
      <w:r w:rsidR="0038162B">
        <w:t xml:space="preserve">s instances tiesas spriedumu iesniedzējs tika atzīts </w:t>
      </w:r>
      <w:r w:rsidR="00C84151">
        <w:t xml:space="preserve">par vainīgu un notiesāts ar </w:t>
      </w:r>
      <w:r w:rsidR="0038162B">
        <w:t xml:space="preserve">gandrīz trīs gadu cietumsodu. Viņš tika paturēts </w:t>
      </w:r>
      <w:r w:rsidR="00C75EBD">
        <w:t xml:space="preserve">apcietinājumā </w:t>
      </w:r>
      <w:r w:rsidR="0038162B">
        <w:t xml:space="preserve">līdz </w:t>
      </w:r>
      <w:r w:rsidR="008A2583">
        <w:t xml:space="preserve">brīdim, kad spriedums stāsies </w:t>
      </w:r>
      <w:r w:rsidR="0038162B">
        <w:t>spēkā.</w:t>
      </w:r>
    </w:p>
    <w:p w:rsidR="00673B7E" w:rsidRPr="00A74AA4" w:rsidRDefault="00AA797E" w:rsidP="00673B7E">
      <w:pPr>
        <w:pStyle w:val="ECHRPara"/>
      </w:pPr>
      <w:r>
        <w:fldChar w:fldCharType="begin"/>
      </w:r>
      <w:r>
        <w:instrText xml:space="preserve"> SEQ level0 \*arabic </w:instrText>
      </w:r>
      <w:r>
        <w:fldChar w:fldCharType="separate"/>
      </w:r>
      <w:r w:rsidR="00376F97">
        <w:rPr>
          <w:noProof/>
        </w:rPr>
        <w:t>10</w:t>
      </w:r>
      <w:r>
        <w:rPr>
          <w:noProof/>
        </w:rPr>
        <w:fldChar w:fldCharType="end"/>
      </w:r>
      <w:r w:rsidR="000C06B1">
        <w:t xml:space="preserve">.  2005. gada 16. septembrī Vidzemes apgabaltiesa </w:t>
      </w:r>
      <w:r w:rsidR="00A604DF">
        <w:t>nolēma</w:t>
      </w:r>
      <w:r w:rsidR="000C06B1">
        <w:t xml:space="preserve"> izskatīt apelācijas sūdzību iesniedzēja krimināllietā 2006. gada 10. janvārī. Tā arī </w:t>
      </w:r>
      <w:r w:rsidR="004F3DF0">
        <w:t>no</w:t>
      </w:r>
      <w:r w:rsidR="000C06B1">
        <w:t xml:space="preserve">lēma </w:t>
      </w:r>
      <w:r w:rsidR="004F3DF0">
        <w:t xml:space="preserve">paturēt iesniedzēju apcietinājumā, nesniedzot nekādu </w:t>
      </w:r>
      <w:r w:rsidR="000C06B1">
        <w:t>pamatojum</w:t>
      </w:r>
      <w:r w:rsidR="004F3DF0">
        <w:t>u</w:t>
      </w:r>
      <w:r w:rsidR="000C06B1">
        <w:t xml:space="preserve">. </w:t>
      </w:r>
      <w:r w:rsidR="000C06B1">
        <w:lastRenderedPageBreak/>
        <w:t>2006. gadā nozīmētās tiesas sēdes tika divreiz atliktas pēc aizstāvības pieteiktā lūguma.</w:t>
      </w:r>
    </w:p>
    <w:bookmarkStart w:id="2" w:name="AppelJud21082006"/>
    <w:p w:rsidR="00B9381D" w:rsidRDefault="00FE1BE2" w:rsidP="004F3DF0">
      <w:pPr>
        <w:pStyle w:val="ECHRPara"/>
      </w:pPr>
      <w:r w:rsidRPr="00A74AA4">
        <w:fldChar w:fldCharType="begin"/>
      </w:r>
      <w:r w:rsidR="00673B7E" w:rsidRPr="00A74AA4">
        <w:instrText xml:space="preserve"> SEQ level0 \*arabic </w:instrText>
      </w:r>
      <w:r w:rsidRPr="00A74AA4">
        <w:fldChar w:fldCharType="separate"/>
      </w:r>
      <w:r w:rsidR="00376F97">
        <w:rPr>
          <w:noProof/>
        </w:rPr>
        <w:t>11</w:t>
      </w:r>
      <w:r w:rsidRPr="00A74AA4">
        <w:fldChar w:fldCharType="end"/>
      </w:r>
      <w:bookmarkEnd w:id="2"/>
      <w:r w:rsidR="00673B7E">
        <w:t xml:space="preserve">.  2006. gada 21. augustā Vidzemes apgabaltiesa pieņēma lēmumu, ar kuru zemākās instances tiesas spriedums tika atcelts un lieta tika nosūtīta atkārtotai izskatīšanai pēc būtības. Nekas netika minēts par </w:t>
      </w:r>
      <w:r w:rsidR="004F3DF0">
        <w:t>drošības līdzekli</w:t>
      </w:r>
      <w:r w:rsidR="00673B7E">
        <w:t>. Iesniedzējs palika apcietinājumā.</w:t>
      </w:r>
    </w:p>
    <w:bookmarkStart w:id="3" w:name="AppelCOurtnoLongerAuthorised"/>
    <w:p w:rsidR="0038162B" w:rsidRDefault="00FE1BE2" w:rsidP="0038162B">
      <w:pPr>
        <w:pStyle w:val="ECHRPara"/>
      </w:pPr>
      <w:r>
        <w:fldChar w:fldCharType="begin"/>
      </w:r>
      <w:r w:rsidR="0038162B">
        <w:instrText xml:space="preserve"> SEQ level0 \*arabic </w:instrText>
      </w:r>
      <w:r>
        <w:fldChar w:fldCharType="separate"/>
      </w:r>
      <w:r w:rsidR="00376F97">
        <w:rPr>
          <w:noProof/>
        </w:rPr>
        <w:t>12</w:t>
      </w:r>
      <w:r>
        <w:fldChar w:fldCharType="end"/>
      </w:r>
      <w:bookmarkEnd w:id="3"/>
      <w:r w:rsidR="0038162B">
        <w:t xml:space="preserve">.  2006. gada 24. augustā iesniedzējs lūdza Vidzemes apgabaltiesu atcelt </w:t>
      </w:r>
      <w:r w:rsidR="004F3DF0">
        <w:t>lēmumu par apcietinājuma piemērošanu</w:t>
      </w:r>
      <w:r w:rsidR="0038162B">
        <w:t xml:space="preserve">. 2006. gada 28. augustā tiesnesis Ā. informēja viņu, ka tā kā lūgums nav ticis izteikts pirms vai apelācijas tiesas sēdes laikā, tad Vidzemes apgabaltiesa šajā stadijā vairs nav tiesīga mainīt </w:t>
      </w:r>
      <w:r w:rsidR="004F3DF0">
        <w:t>drošības līdzekli</w:t>
      </w:r>
      <w:r w:rsidR="0038162B">
        <w:t>.</w:t>
      </w:r>
    </w:p>
    <w:p w:rsidR="00B9381D" w:rsidRDefault="00AA797E" w:rsidP="0038162B">
      <w:pPr>
        <w:pStyle w:val="ECHRPara"/>
      </w:pPr>
      <w:r>
        <w:fldChar w:fldCharType="begin"/>
      </w:r>
      <w:r>
        <w:instrText xml:space="preserve"> SEQ level0 \*arabic </w:instrText>
      </w:r>
      <w:r>
        <w:fldChar w:fldCharType="separate"/>
      </w:r>
      <w:r w:rsidR="00376F97">
        <w:rPr>
          <w:noProof/>
        </w:rPr>
        <w:t>13</w:t>
      </w:r>
      <w:r>
        <w:rPr>
          <w:noProof/>
        </w:rPr>
        <w:fldChar w:fldCharType="end"/>
      </w:r>
      <w:r w:rsidR="000C06B1">
        <w:t>.  2006. gada 12. un 16. septembrī iesniedzējs iesniedza identisku lūgumu Valmieras rajona tiesai.</w:t>
      </w:r>
    </w:p>
    <w:bookmarkStart w:id="4" w:name="Dec13092006"/>
    <w:p w:rsidR="00B9381D" w:rsidRDefault="00FE1BE2" w:rsidP="0038162B">
      <w:pPr>
        <w:pStyle w:val="ECHRPara"/>
      </w:pPr>
      <w:r>
        <w:fldChar w:fldCharType="begin"/>
      </w:r>
      <w:r w:rsidR="0038162B">
        <w:instrText xml:space="preserve"> SEQ level0 \*arabic </w:instrText>
      </w:r>
      <w:r>
        <w:fldChar w:fldCharType="separate"/>
      </w:r>
      <w:r w:rsidR="00376F97">
        <w:rPr>
          <w:noProof/>
        </w:rPr>
        <w:t>14</w:t>
      </w:r>
      <w:r>
        <w:fldChar w:fldCharType="end"/>
      </w:r>
      <w:bookmarkEnd w:id="4"/>
      <w:r w:rsidR="0038162B">
        <w:t>.  2006. gada 13. septembrī Valmieras rajona tiesas tiesnesis nolēma izskatīt apelācijas sūdzību iesniedzēja krimināllietā 2006. gada 17. oktobrī. Arī šī tiesa nolēma paturēt iesniedzēju apcietinājumā</w:t>
      </w:r>
      <w:r w:rsidR="0023770C">
        <w:t>, nenorādot</w:t>
      </w:r>
      <w:r w:rsidR="0023770C" w:rsidRPr="0023770C">
        <w:t xml:space="preserve"> </w:t>
      </w:r>
      <w:r w:rsidR="0023770C">
        <w:t>nekādu pamatojumu</w:t>
      </w:r>
      <w:r w:rsidR="0038162B">
        <w:t xml:space="preserve">. Iesniedzējs pārsūdzēja lēmumu par viņa paturēšanu apcietinājumā, uz ko 2006. gada 5. oktobrī Valmieras rajona tiesa informēja viņu, ka lūgums atcelt </w:t>
      </w:r>
      <w:r w:rsidR="0023770C">
        <w:t xml:space="preserve">drošības līdzekli </w:t>
      </w:r>
      <w:r w:rsidR="0038162B">
        <w:t>tiks izskatīts tiesas sēdē 2006. gada 17. oktobrī.</w:t>
      </w:r>
    </w:p>
    <w:bookmarkStart w:id="5" w:name="Response_MJ_art276"/>
    <w:p w:rsidR="001D7EF5" w:rsidRDefault="00FE1BE2" w:rsidP="0038162B">
      <w:pPr>
        <w:pStyle w:val="ECHRPara"/>
      </w:pPr>
      <w:r w:rsidRPr="00B63A8D">
        <w:fldChar w:fldCharType="begin"/>
      </w:r>
      <w:r w:rsidR="001D7EF5" w:rsidRPr="00B63A8D">
        <w:instrText xml:space="preserve"> SEQ level0 \*arabic </w:instrText>
      </w:r>
      <w:r w:rsidRPr="00B63A8D">
        <w:fldChar w:fldCharType="separate"/>
      </w:r>
      <w:r w:rsidR="00376F97">
        <w:rPr>
          <w:noProof/>
        </w:rPr>
        <w:t>15</w:t>
      </w:r>
      <w:r w:rsidRPr="00B63A8D">
        <w:fldChar w:fldCharType="end"/>
      </w:r>
      <w:bookmarkEnd w:id="5"/>
      <w:r w:rsidR="001D7EF5">
        <w:t>.  2006. gada 3. oktobrī, atbildot uz iesniedzēja sūdzību par viņa pirmstiesas apcietinājuma likumību, Tieslietu ministrija atsaucās uz KPL 276. un 277. pantu (skatīt turpmāk </w:t>
      </w:r>
      <w:r w:rsidR="007B4B9C">
        <w:fldChar w:fldCharType="begin"/>
      </w:r>
      <w:r w:rsidR="007B4B9C">
        <w:instrText xml:space="preserve"> REF art276_CPL \h  \* MERGEFORMAT </w:instrText>
      </w:r>
      <w:r w:rsidR="007B4B9C">
        <w:fldChar w:fldCharType="separate"/>
      </w:r>
      <w:r w:rsidR="00376F97">
        <w:rPr>
          <w:noProof/>
        </w:rPr>
        <w:t>22</w:t>
      </w:r>
      <w:r w:rsidR="007B4B9C">
        <w:fldChar w:fldCharType="end"/>
      </w:r>
      <w:r w:rsidR="00A604DF">
        <w:t>.</w:t>
      </w:r>
      <w:r w:rsidR="001D7EF5">
        <w:t xml:space="preserve"> - 23. rindkopu).</w:t>
      </w:r>
    </w:p>
    <w:bookmarkStart w:id="6" w:name="revoke_det_oct06"/>
    <w:p w:rsidR="0038162B" w:rsidRDefault="00FE1BE2" w:rsidP="0038162B">
      <w:pPr>
        <w:pStyle w:val="ECHRPara"/>
      </w:pPr>
      <w:r>
        <w:fldChar w:fldCharType="begin"/>
      </w:r>
      <w:r w:rsidR="00CF0459">
        <w:instrText xml:space="preserve"> SEQ level0 \*arabic </w:instrText>
      </w:r>
      <w:r>
        <w:fldChar w:fldCharType="separate"/>
      </w:r>
      <w:r w:rsidR="00376F97">
        <w:rPr>
          <w:noProof/>
        </w:rPr>
        <w:t>16</w:t>
      </w:r>
      <w:r>
        <w:rPr>
          <w:noProof/>
        </w:rPr>
        <w:fldChar w:fldCharType="end"/>
      </w:r>
      <w:bookmarkEnd w:id="6"/>
      <w:r w:rsidR="00CF0459">
        <w:t>.  2006. gada 17. oktobrī Valmieras rajona tiesa atcēla iesniedzēja</w:t>
      </w:r>
      <w:r w:rsidR="0023770C">
        <w:t>m piemēroto drošības līdzekli - apcietinājumu</w:t>
      </w:r>
      <w:r w:rsidR="00F66C5C">
        <w:t>,</w:t>
      </w:r>
      <w:r w:rsidR="00E036CA">
        <w:t xml:space="preserve"> </w:t>
      </w:r>
      <w:r w:rsidR="00F66C5C">
        <w:t>grozot</w:t>
      </w:r>
      <w:r w:rsidR="0023770C">
        <w:t xml:space="preserve"> </w:t>
      </w:r>
      <w:r w:rsidR="00CF0459">
        <w:t xml:space="preserve">to uz policijas uzraudzību. Apsūdzība atbalstīja iesniedzēja lūgumu, norādot, ka iesniedzējam </w:t>
      </w:r>
      <w:r w:rsidR="00F66C5C">
        <w:t xml:space="preserve">bija </w:t>
      </w:r>
      <w:r w:rsidR="00CF0459">
        <w:t xml:space="preserve">pasliktinājies veselības stāvoklis un ka viņam </w:t>
      </w:r>
      <w:r w:rsidR="00F66C5C">
        <w:t xml:space="preserve">bija </w:t>
      </w:r>
      <w:r w:rsidR="00CF0459">
        <w:t>jāiziet tiesu medicīniskā ekspertīze.</w:t>
      </w:r>
    </w:p>
    <w:p w:rsidR="00945F43" w:rsidRDefault="00AA797E" w:rsidP="0038162B">
      <w:pPr>
        <w:pStyle w:val="ECHRPara"/>
        <w:rPr>
          <w:rFonts w:ascii="Times New Roman" w:eastAsiaTheme="minorHAnsi" w:hAnsi="Times New Roman" w:cs="Times New Roman"/>
          <w:szCs w:val="24"/>
        </w:rPr>
      </w:pPr>
      <w:r>
        <w:fldChar w:fldCharType="begin"/>
      </w:r>
      <w:r>
        <w:instrText xml:space="preserve"> SEQ level0 \*arabic </w:instrText>
      </w:r>
      <w:r>
        <w:fldChar w:fldCharType="separate"/>
      </w:r>
      <w:r w:rsidR="00376F97">
        <w:rPr>
          <w:noProof/>
        </w:rPr>
        <w:t>17</w:t>
      </w:r>
      <w:r>
        <w:rPr>
          <w:noProof/>
        </w:rPr>
        <w:fldChar w:fldCharType="end"/>
      </w:r>
      <w:r w:rsidR="000C06B1">
        <w:t xml:space="preserve">.  2007. gada 12. janvārī ar Valmieras rajona tiesas lēmumu iesniedzējs tika apcietināts uz aizdomu pamata </w:t>
      </w:r>
      <w:r w:rsidR="0023770C">
        <w:t xml:space="preserve">citā kriminālprocesā </w:t>
      </w:r>
      <w:r w:rsidR="000C06B1">
        <w:t>par zādzības un dedzināšanas izdarīšanu 2007. gada 11. janvārī.</w:t>
      </w:r>
      <w:r w:rsidR="000C06B1">
        <w:rPr>
          <w:rFonts w:ascii="Times New Roman" w:eastAsiaTheme="minorHAnsi" w:hAnsi="Times New Roman"/>
        </w:rPr>
        <w:t xml:space="preserve"> Tas tika piemērots, pamatojoties uz to, ka iesniedzējs varētu ietekmēt lieciniekus.</w:t>
      </w:r>
    </w:p>
    <w:p w:rsidR="008A71CF" w:rsidRDefault="00FE1BE2" w:rsidP="0038162B">
      <w:pPr>
        <w:pStyle w:val="ECHRPara"/>
      </w:pPr>
      <w:r w:rsidRPr="00947E9C">
        <w:rPr>
          <w:rFonts w:ascii="Times New Roman" w:eastAsiaTheme="minorHAnsi" w:hAnsi="Times New Roman" w:cs="Times New Roman"/>
          <w:szCs w:val="24"/>
        </w:rPr>
        <w:fldChar w:fldCharType="begin"/>
      </w:r>
      <w:r w:rsidR="00723E15" w:rsidRPr="00947E9C">
        <w:rPr>
          <w:rFonts w:ascii="Times New Roman" w:eastAsiaTheme="minorHAnsi" w:hAnsi="Times New Roman" w:cs="Times New Roman"/>
          <w:szCs w:val="24"/>
        </w:rPr>
        <w:instrText xml:space="preserve"> SEQ level0 \*arabic </w:instrText>
      </w:r>
      <w:r w:rsidRPr="00947E9C">
        <w:rPr>
          <w:rFonts w:ascii="Times New Roman" w:eastAsiaTheme="minorHAnsi" w:hAnsi="Times New Roman" w:cs="Times New Roman"/>
          <w:szCs w:val="24"/>
        </w:rPr>
        <w:fldChar w:fldCharType="separate"/>
      </w:r>
      <w:r w:rsidR="00376F97">
        <w:rPr>
          <w:rFonts w:ascii="Times New Roman" w:eastAsiaTheme="minorHAnsi" w:hAnsi="Times New Roman" w:cs="Times New Roman"/>
          <w:noProof/>
          <w:szCs w:val="24"/>
        </w:rPr>
        <w:t>18</w:t>
      </w:r>
      <w:r w:rsidRPr="00947E9C">
        <w:rPr>
          <w:rFonts w:ascii="Times New Roman" w:eastAsiaTheme="minorHAnsi" w:hAnsi="Times New Roman" w:cs="Times New Roman"/>
          <w:szCs w:val="24"/>
        </w:rPr>
        <w:fldChar w:fldCharType="end"/>
      </w:r>
      <w:r w:rsidR="00723E15">
        <w:t>.</w:t>
      </w:r>
      <w:r w:rsidR="00723E15">
        <w:rPr>
          <w:rFonts w:ascii="Times New Roman" w:eastAsiaTheme="minorHAnsi" w:hAnsi="Times New Roman"/>
        </w:rPr>
        <w:t>  Tiesu medicīnas ekspertīzē, kas tika veikta no 2007. gada 25. aprīļa līdz 24. maijam, tika secināts, ka zādzības izdarīšanas laikā iesniedzējs pilnībā apzinājās un pārvaldīja savas darbības, neskatoties uz to, ka viņam bija personības un uzvedības traucējumi, kā arī atkarība no alkohola.</w:t>
      </w:r>
    </w:p>
    <w:p w:rsidR="00B9381D" w:rsidRDefault="00AA797E" w:rsidP="0038162B">
      <w:pPr>
        <w:pStyle w:val="ECHRPara"/>
      </w:pPr>
      <w:r>
        <w:fldChar w:fldCharType="begin"/>
      </w:r>
      <w:r>
        <w:instrText xml:space="preserve"> SEQ level0 \*arabic </w:instrText>
      </w:r>
      <w:r>
        <w:fldChar w:fldCharType="separate"/>
      </w:r>
      <w:r w:rsidR="00376F97">
        <w:rPr>
          <w:noProof/>
        </w:rPr>
        <w:t>19</w:t>
      </w:r>
      <w:r>
        <w:rPr>
          <w:noProof/>
        </w:rPr>
        <w:fldChar w:fldCharType="end"/>
      </w:r>
      <w:r w:rsidR="000C06B1">
        <w:t xml:space="preserve">.  2008. gada 27. augustā iesniedzējs tika atzīts par vainīgu un notiesāts ar </w:t>
      </w:r>
      <w:r w:rsidR="00A604DF">
        <w:t>brīvības atņemšanu uz diviem</w:t>
      </w:r>
      <w:r w:rsidR="000C06B1">
        <w:t xml:space="preserve"> gadi</w:t>
      </w:r>
      <w:r w:rsidR="00A604DF">
        <w:t>em</w:t>
      </w:r>
      <w:r w:rsidR="000C06B1">
        <w:t xml:space="preserve"> un deviņi</w:t>
      </w:r>
      <w:r w:rsidR="00A604DF">
        <w:t>em</w:t>
      </w:r>
      <w:r w:rsidR="000C06B1">
        <w:t xml:space="preserve"> mēneši</w:t>
      </w:r>
      <w:r w:rsidR="00A604DF">
        <w:t>em</w:t>
      </w:r>
      <w:r w:rsidR="000C06B1">
        <w:t xml:space="preserve">. Apelācijas </w:t>
      </w:r>
      <w:r w:rsidR="0076027B">
        <w:t xml:space="preserve">instances </w:t>
      </w:r>
      <w:r w:rsidR="000C06B1">
        <w:t xml:space="preserve">tiesa </w:t>
      </w:r>
      <w:r w:rsidR="0076027B">
        <w:t xml:space="preserve">atstāja spēkā </w:t>
      </w:r>
      <w:r w:rsidR="000C06B1">
        <w:t>spriedumu, samazinot galīgo sodu līdz diviem gadiem un septiņiem mēnešiem. Iesniedzējs šo spriedumu nepārsūdzēja.</w:t>
      </w:r>
    </w:p>
    <w:p w:rsidR="00014566" w:rsidRDefault="00954EB2" w:rsidP="00014566">
      <w:pPr>
        <w:pStyle w:val="ECHRHeading1"/>
      </w:pPr>
      <w:r>
        <w:lastRenderedPageBreak/>
        <w:t xml:space="preserve">II.  PIEMĒROJAMIE NACIONĀLIE </w:t>
      </w:r>
      <w:r w:rsidR="0076027B">
        <w:t>TIESĪBU AKTI</w:t>
      </w:r>
    </w:p>
    <w:p w:rsidR="009801CC" w:rsidRPr="009801CC" w:rsidRDefault="009801CC" w:rsidP="009801CC">
      <w:pPr>
        <w:pStyle w:val="ECHRHeading2"/>
      </w:pPr>
      <w:r>
        <w:t>A. Kriminālprocesa kodekss</w:t>
      </w:r>
    </w:p>
    <w:p w:rsidR="0038162B" w:rsidRPr="00095D4F" w:rsidRDefault="00AA797E" w:rsidP="0038162B">
      <w:pPr>
        <w:pStyle w:val="ECHRPara"/>
      </w:pPr>
      <w:r>
        <w:fldChar w:fldCharType="begin"/>
      </w:r>
      <w:r>
        <w:instrText xml:space="preserve"> SEQ level0 \*arabic </w:instrText>
      </w:r>
      <w:r>
        <w:fldChar w:fldCharType="separate"/>
      </w:r>
      <w:r w:rsidR="00376F97">
        <w:rPr>
          <w:noProof/>
        </w:rPr>
        <w:t>20</w:t>
      </w:r>
      <w:r>
        <w:rPr>
          <w:noProof/>
        </w:rPr>
        <w:fldChar w:fldCharType="end"/>
      </w:r>
      <w:r w:rsidR="000C06B1">
        <w:t>.  Atbilstošās Kriminālprocesa kodeksa normas (spēkā lī</w:t>
      </w:r>
      <w:r w:rsidR="00A604DF">
        <w:t>dz 2005. gada 1. oktobrim), kuras ir piemērojamas</w:t>
      </w:r>
      <w:r w:rsidR="000C06B1">
        <w:t xml:space="preserve"> attiecīgajā laika posmā, ir, cita starpā, </w:t>
      </w:r>
      <w:r w:rsidR="000F2617">
        <w:t xml:space="preserve">citētas </w:t>
      </w:r>
      <w:r w:rsidR="000C06B1">
        <w:t xml:space="preserve">lietā </w:t>
      </w:r>
      <w:r w:rsidR="000C06B1">
        <w:rPr>
          <w:i/>
        </w:rPr>
        <w:t>Shannon pret Latviju</w:t>
      </w:r>
      <w:r w:rsidR="00DA1584">
        <w:t>,</w:t>
      </w:r>
      <w:r w:rsidR="000C06B1">
        <w:t xml:space="preserve"> Nr. 32214/03, 28.-35. rindkopa, 2009. gada 24. novembris.</w:t>
      </w:r>
    </w:p>
    <w:bookmarkStart w:id="7" w:name="art77_CCP"/>
    <w:p w:rsidR="009801CC" w:rsidRDefault="00FE1BE2" w:rsidP="00496C2A">
      <w:pPr>
        <w:pStyle w:val="ECHRPara"/>
      </w:pPr>
      <w:r>
        <w:rPr>
          <w:snapToGrid w:val="0"/>
        </w:rPr>
        <w:fldChar w:fldCharType="begin"/>
      </w:r>
      <w:r w:rsidR="0038162B">
        <w:rPr>
          <w:snapToGrid w:val="0"/>
        </w:rPr>
        <w:instrText xml:space="preserve"> SEQ level0 \*arabic </w:instrText>
      </w:r>
      <w:r>
        <w:rPr>
          <w:snapToGrid w:val="0"/>
        </w:rPr>
        <w:fldChar w:fldCharType="separate"/>
      </w:r>
      <w:r w:rsidR="00376F97">
        <w:rPr>
          <w:noProof/>
          <w:snapToGrid w:val="0"/>
        </w:rPr>
        <w:t>21</w:t>
      </w:r>
      <w:r>
        <w:rPr>
          <w:snapToGrid w:val="0"/>
        </w:rPr>
        <w:fldChar w:fldCharType="end"/>
      </w:r>
      <w:bookmarkEnd w:id="7"/>
      <w:r w:rsidR="0038162B">
        <w:t xml:space="preserve">.  Turklāt, Kriminālprocesa kodeksa 77.pants paredzēja, ka pirmstiesas izmeklēšanas laikā apcietinājums nedrīkst būt ilgāks par diviem mēnešiem. Noteiktos apstākļos ar tiesneša lēmumu šis apcietinājuma termiņš var tikt pagarināts līdz 18 mēnešiem, bet ne ilgāk kā </w:t>
      </w:r>
      <w:r w:rsidR="00A604DF">
        <w:t>par</w:t>
      </w:r>
      <w:r w:rsidR="0038162B">
        <w:t xml:space="preserve"> diviem mēnešiem ar vienu lēmumu. Termiņa turpmāka pagarināšana principā bija pieļaujama izņēmuma gadījumos. 77. panta septītā daļa paredzēja, ka no dienas, kad lieta saņemta tiesā, līdz lietas izskatīšanas pabeigšanai pirmās instances tiesā maksimālais pirmstiesas apcietinājuma termiņš nedrīkst būt ilgāks par vienu gadu un sešiem mēnešiem.</w:t>
      </w:r>
    </w:p>
    <w:p w:rsidR="00B9381D" w:rsidRDefault="009801CC" w:rsidP="009801CC">
      <w:pPr>
        <w:pStyle w:val="ECHRHeading2"/>
      </w:pPr>
      <w:r>
        <w:t>B. Kriminālprocesa likums</w:t>
      </w:r>
    </w:p>
    <w:bookmarkStart w:id="8" w:name="art276_CPL"/>
    <w:p w:rsidR="00212FB0" w:rsidRPr="00B63A8D" w:rsidRDefault="00FE1BE2" w:rsidP="00147AD7">
      <w:pPr>
        <w:pStyle w:val="ECHRPara"/>
      </w:pPr>
      <w:r w:rsidRPr="00BC2678">
        <w:fldChar w:fldCharType="begin"/>
      </w:r>
      <w:r w:rsidR="003D768A" w:rsidRPr="00BC2678">
        <w:instrText xml:space="preserve"> SEQ level0 \*arabic </w:instrText>
      </w:r>
      <w:r w:rsidRPr="00BC2678">
        <w:fldChar w:fldCharType="separate"/>
      </w:r>
      <w:r w:rsidR="00376F97">
        <w:rPr>
          <w:noProof/>
        </w:rPr>
        <w:t>22</w:t>
      </w:r>
      <w:r w:rsidRPr="00BC2678">
        <w:fldChar w:fldCharType="end"/>
      </w:r>
      <w:bookmarkEnd w:id="8"/>
      <w:r w:rsidR="003D768A">
        <w:t>.  Kriminālprocesa likuma 276. pants (spēkā no 2005. gada 1. oktobra; turpmāk KPL) paredz, ka krimināllietas iztiesāšanas laikā apcietinājumu pēc savas iniciatīvas vai pēc prokurora ierosinājuma piemēro tiesa, kas izskata lietu.</w:t>
      </w:r>
    </w:p>
    <w:p w:rsidR="00271515" w:rsidRDefault="00AA797E" w:rsidP="00147AD7">
      <w:pPr>
        <w:pStyle w:val="ECHRPara"/>
        <w:rPr>
          <w:rStyle w:val="sfbbfee58"/>
        </w:rPr>
      </w:pPr>
      <w:r>
        <w:fldChar w:fldCharType="begin"/>
      </w:r>
      <w:r>
        <w:instrText xml:space="preserve"> SEQ level0 \*arabic </w:instrText>
      </w:r>
      <w:r>
        <w:fldChar w:fldCharType="separate"/>
      </w:r>
      <w:r w:rsidR="00376F97">
        <w:rPr>
          <w:noProof/>
        </w:rPr>
        <w:t>23</w:t>
      </w:r>
      <w:r>
        <w:rPr>
          <w:noProof/>
        </w:rPr>
        <w:fldChar w:fldCharType="end"/>
      </w:r>
      <w:r w:rsidR="000C06B1">
        <w:t>.  277. pants paredz, k</w:t>
      </w:r>
      <w:r w:rsidR="000C06B1">
        <w:rPr>
          <w:rStyle w:val="sfbbfee58"/>
        </w:rPr>
        <w:t>a personu, kuru tur aizdomās vai apsūdz smaga nozieguma izdarīšanā (kā iesniedzējs), apcietinājuma termiņš nedrīkst pārsniegt 12 mēnešus, no kuriem pirmstiesas procesā personu atļauts turēt apcietinājumā ne ilgāk par sešiem mēnešiem. Izmeklēšanas tiesnesis pirmstiesas procesā un augstāka līmeņa tiesas tiesnesis iztiesāšanas laikā katrs var pagarināt termiņu vēl par trim mēnešiem, ja procesa virzītājs nav pieļāvis neattaisnotu vilcināšanos vai ja pers</w:t>
      </w:r>
      <w:r w:rsidR="00E036CA">
        <w:rPr>
          <w:rStyle w:val="sfbbfee58"/>
        </w:rPr>
        <w:t xml:space="preserve">ona, kura īsteno aizstāvību, ir </w:t>
      </w:r>
      <w:r w:rsidR="000C06B1">
        <w:rPr>
          <w:rStyle w:val="sfbbfee58"/>
        </w:rPr>
        <w:t>tīši vilcinājusi procesa norisi, vai ja procesa ātrāka pabeigšana nav bijusi iespējama tā īpašas sarežģītības dēļ.</w:t>
      </w:r>
    </w:p>
    <w:p w:rsidR="001322DA" w:rsidRDefault="00FE1BE2" w:rsidP="00147AD7">
      <w:pPr>
        <w:pStyle w:val="ECHRPara"/>
      </w:pPr>
      <w:r>
        <w:rPr>
          <w:rStyle w:val="sfbbfee58"/>
        </w:rPr>
        <w:fldChar w:fldCharType="begin"/>
      </w:r>
      <w:r w:rsidR="001322DA">
        <w:rPr>
          <w:rStyle w:val="sfbbfee58"/>
        </w:rPr>
        <w:instrText xml:space="preserve"> SEQ level0 \*arabic </w:instrText>
      </w:r>
      <w:r>
        <w:rPr>
          <w:rStyle w:val="sfbbfee58"/>
        </w:rPr>
        <w:fldChar w:fldCharType="separate"/>
      </w:r>
      <w:r w:rsidR="00376F97">
        <w:rPr>
          <w:rStyle w:val="sfbbfee58"/>
          <w:noProof/>
        </w:rPr>
        <w:t>24</w:t>
      </w:r>
      <w:r>
        <w:rPr>
          <w:rStyle w:val="sfbbfee58"/>
        </w:rPr>
        <w:fldChar w:fldCharType="end"/>
      </w:r>
      <w:r w:rsidR="001322DA">
        <w:rPr>
          <w:rStyle w:val="sfbbfee58"/>
        </w:rPr>
        <w:t>.  </w:t>
      </w:r>
      <w:r w:rsidR="001322DA">
        <w:t>281. pants nosaka kārtību kontrolei pār apcietinājuma piemērošanu. Tas, jo īpaši, paredz, ka apcietinātā persona jebkurā laikā var lūgt izmeklēšanas tiesnesim vai tiesai izvērtēt apcietinājuma turpmākas piemērošanas nepieciešamību. Šādu lūgumu var noraidīt, ja kopš pēdējā izvērtējuma ir pagājušas mazāk nekā četras nedēļas un nav iesniegti jauni argumenti. Šāda izvērtēšana tiek veikta automātiski, ja apcietinātā persona nav iesniegusi lūgumu divu mēnešu laikā pēc apcietināšanas.</w:t>
      </w:r>
    </w:p>
    <w:p w:rsidR="00B9381D" w:rsidRDefault="00AA797E" w:rsidP="0038162B">
      <w:pPr>
        <w:pStyle w:val="ECHRPara"/>
      </w:pPr>
      <w:r>
        <w:fldChar w:fldCharType="begin"/>
      </w:r>
      <w:r>
        <w:instrText xml:space="preserve"> SEQ level0 \*arabic </w:instrText>
      </w:r>
      <w:r>
        <w:fldChar w:fldCharType="separate"/>
      </w:r>
      <w:r w:rsidR="00376F97">
        <w:rPr>
          <w:noProof/>
        </w:rPr>
        <w:t>25</w:t>
      </w:r>
      <w:r>
        <w:rPr>
          <w:noProof/>
        </w:rPr>
        <w:fldChar w:fldCharType="end"/>
      </w:r>
      <w:r w:rsidR="000C06B1">
        <w:t>.  286. pants paredz, ka, ja ar brīvības atņemšanu saistīts piespiedu līdzeklis personai piemērots pēc iztiesāšanas uzsākšanas pēc būtības un nākamā tiesas sēde nav paredzēta tuvāko 14 dienu laikā, tad šo lēmumu var pārsūdzēt augstāka līmeņa tiesai.</w:t>
      </w:r>
    </w:p>
    <w:p w:rsidR="0038162B" w:rsidRDefault="00AA797E" w:rsidP="0038162B">
      <w:pPr>
        <w:pStyle w:val="ECHRPara"/>
      </w:pPr>
      <w:r>
        <w:lastRenderedPageBreak/>
        <w:fldChar w:fldCharType="begin"/>
      </w:r>
      <w:r>
        <w:instrText xml:space="preserve"> SEQ level0 \*arabic </w:instrText>
      </w:r>
      <w:r>
        <w:fldChar w:fldCharType="separate"/>
      </w:r>
      <w:r w:rsidR="00376F97">
        <w:rPr>
          <w:noProof/>
        </w:rPr>
        <w:t>26</w:t>
      </w:r>
      <w:r>
        <w:rPr>
          <w:noProof/>
        </w:rPr>
        <w:fldChar w:fldCharType="end"/>
      </w:r>
      <w:r w:rsidR="000C06B1">
        <w:t>.  Saskaņā ar KPL 287. pantu sūdzību par tāda piespiedu līdzekļa piemērošanu, kas saistīts ar brīvības atņemšanu, vai par atteikšanos to piemērot izskata augstāka līmeņa tiesas tiesnesis slēgtā tiesas sēdē septiņu dienu laikā no attiecīgā lēmuma un sūdzības saņemšanas dienas.</w:t>
      </w:r>
    </w:p>
    <w:p w:rsidR="000F2617" w:rsidRPr="000F2617" w:rsidRDefault="000F2617" w:rsidP="000F2617">
      <w:pPr>
        <w:keepNext/>
        <w:keepLines/>
        <w:spacing w:before="720" w:after="240"/>
        <w:jc w:val="left"/>
        <w:outlineLvl w:val="0"/>
        <w:rPr>
          <w:rFonts w:ascii="Times New Roman" w:eastAsia="Times New Roman" w:hAnsi="Times New Roman" w:cs="Times New Roman"/>
          <w:sz w:val="28"/>
          <w:lang w:eastAsia="fr-FR" w:bidi="ar-SA"/>
        </w:rPr>
      </w:pPr>
      <w:r w:rsidRPr="000F2617">
        <w:rPr>
          <w:rFonts w:ascii="Times New Roman" w:eastAsia="Times New Roman" w:hAnsi="Times New Roman" w:cs="Times New Roman"/>
          <w:sz w:val="28"/>
          <w:lang w:eastAsia="fr-FR" w:bidi="ar-SA"/>
        </w:rPr>
        <w:t>JURIDISKAIS ASPEKTS</w:t>
      </w:r>
    </w:p>
    <w:p w:rsidR="00014566" w:rsidRPr="00062973" w:rsidRDefault="00014566" w:rsidP="00014566">
      <w:pPr>
        <w:pStyle w:val="ECHRHeading1"/>
      </w:pPr>
      <w:r>
        <w:t>I. IESPĒJAMIE KONVENCIJAS 5. PANTA PĀRKĀPUMI</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27</w:t>
      </w:r>
      <w:r>
        <w:fldChar w:fldCharType="end"/>
      </w:r>
      <w:r w:rsidR="007A3CCB">
        <w:t>.  Iesniedzējs sūdzējās, ka viņam piemērotais pirmstiesas apcietinājums ir bijis nelikumīgs un pārāk garš, un tādēļ ir noticis Konvencijas 5.panta 1.punkta c) apakšpunkta un 5. panta 3.punkta, kas paredz sekojošo, pārkāpums:</w:t>
      </w:r>
    </w:p>
    <w:p w:rsidR="00D75581" w:rsidRDefault="00D75581">
      <w:pPr>
        <w:pStyle w:val="ECHRParaQuote"/>
      </w:pPr>
      <w:r>
        <w:t>"1.  Ikvienam ir tiesības uz personisko brīvību un drošību. Nevienam nedrīkst atņemt brīvību, izņemot sekojošos gadījumos un saskaņā ar likumā noteikto kārtību:</w:t>
      </w:r>
    </w:p>
    <w:p w:rsidR="00D75581" w:rsidRDefault="00D75581">
      <w:pPr>
        <w:pStyle w:val="ECHRParaQuote"/>
      </w:pPr>
      <w:r>
        <w:t>(c) ja persona tiek tiesiski aizturēta vai apcietināta ar nolūku nodot viņu kompetentām tiesību aizsardzības iestādēm, balstoties uz pamatotām aizdomām, ka šī persona ir izdarījusi sodāmu nodarījumu,..."</w:t>
      </w:r>
    </w:p>
    <w:p w:rsidR="00014566" w:rsidRPr="00FD1275" w:rsidRDefault="00D75581" w:rsidP="00D75581">
      <w:pPr>
        <w:pStyle w:val="ECHRParaQuote"/>
      </w:pPr>
      <w:r>
        <w:t>3.  </w:t>
      </w:r>
      <w:r>
        <w:rPr>
          <w:rStyle w:val="sfbbfee58"/>
        </w:rPr>
        <w:t>Ikvienam, kurš ir arestēts vai apcietināts saskaņā ar šī panta 1.</w:t>
      </w:r>
      <w:r w:rsidR="000F2617">
        <w:rPr>
          <w:rStyle w:val="sfbbfee58"/>
        </w:rPr>
        <w:t xml:space="preserve">punkta </w:t>
      </w:r>
      <w:r>
        <w:rPr>
          <w:rStyle w:val="sfbbfee58"/>
        </w:rPr>
        <w:t>c) apakšpunkta nosacījumiem, ir ... pakļaujama tiesas procesam saprātīgās laika robežās vai līdz tiesas procesam atbrīvojama. Atbrīvot var ar nosacījumu, kas nodrošina personas ierašanos tiesā</w:t>
      </w:r>
      <w:r>
        <w:t>.”</w:t>
      </w:r>
    </w:p>
    <w:p w:rsidR="002F0D76" w:rsidRDefault="00014566" w:rsidP="002F0D76">
      <w:pPr>
        <w:pStyle w:val="ECHRHeading2"/>
        <w:outlineLvl w:val="0"/>
      </w:pPr>
      <w:r>
        <w:t>A. Pieņemamība</w:t>
      </w:r>
    </w:p>
    <w:p w:rsidR="002F0D76" w:rsidRDefault="00FE1BE2" w:rsidP="002F0D76">
      <w:pPr>
        <w:pStyle w:val="ECHRPara"/>
      </w:pPr>
      <w:r>
        <w:fldChar w:fldCharType="begin"/>
      </w:r>
      <w:r w:rsidR="002F0D76">
        <w:instrText xml:space="preserve"> SEQ level0 \*arabic </w:instrText>
      </w:r>
      <w:r>
        <w:fldChar w:fldCharType="separate"/>
      </w:r>
      <w:r w:rsidR="00376F97">
        <w:rPr>
          <w:noProof/>
        </w:rPr>
        <w:t>28</w:t>
      </w:r>
      <w:r>
        <w:fldChar w:fldCharType="end"/>
      </w:r>
      <w:r w:rsidR="002F0D76">
        <w:t>.  </w:t>
      </w:r>
      <w:r w:rsidR="002F0D76">
        <w:rPr>
          <w:rStyle w:val="sb8d990e2"/>
        </w:rPr>
        <w:t>Valdība apstrīdēja šo sūdzību pieņemamību vairāku iemeslu dēļ</w:t>
      </w:r>
      <w:r w:rsidR="002F0D76">
        <w:t xml:space="preserve"> attiecībā uz katru apcietinājuma periodu atsevišķi.</w:t>
      </w:r>
    </w:p>
    <w:p w:rsidR="002F0D76" w:rsidRDefault="00FE1BE2" w:rsidP="002F0D76">
      <w:pPr>
        <w:pStyle w:val="ECHRPara"/>
        <w:rPr>
          <w:rStyle w:val="sb8d990e2"/>
        </w:rPr>
      </w:pPr>
      <w:r>
        <w:fldChar w:fldCharType="begin"/>
      </w:r>
      <w:r w:rsidR="002F0D76">
        <w:instrText xml:space="preserve"> SEQ level0 \*arabic </w:instrText>
      </w:r>
      <w:r>
        <w:fldChar w:fldCharType="separate"/>
      </w:r>
      <w:r w:rsidR="00376F97">
        <w:rPr>
          <w:noProof/>
        </w:rPr>
        <w:t>29</w:t>
      </w:r>
      <w:r>
        <w:fldChar w:fldCharType="end"/>
      </w:r>
      <w:r w:rsidR="002F0D76">
        <w:t>.  Iesniedzējs neiesniedza nekādus komentārus par Valdības apsvērumu būtību.</w:t>
      </w:r>
    </w:p>
    <w:p w:rsidR="00C146A6" w:rsidRDefault="00FE1BE2" w:rsidP="00BF616F">
      <w:pPr>
        <w:pStyle w:val="ECHRPara"/>
        <w:rPr>
          <w:rStyle w:val="sb8d990e2"/>
        </w:rPr>
      </w:pPr>
      <w:r>
        <w:rPr>
          <w:rStyle w:val="sb8d990e2"/>
        </w:rPr>
        <w:fldChar w:fldCharType="begin"/>
      </w:r>
      <w:r w:rsidR="002F0D76">
        <w:rPr>
          <w:rStyle w:val="sb8d990e2"/>
        </w:rPr>
        <w:instrText xml:space="preserve"> SEQ level0 \*arabic </w:instrText>
      </w:r>
      <w:r>
        <w:rPr>
          <w:rStyle w:val="sb8d990e2"/>
        </w:rPr>
        <w:fldChar w:fldCharType="separate"/>
      </w:r>
      <w:r w:rsidR="00376F97">
        <w:rPr>
          <w:rStyle w:val="sb8d990e2"/>
          <w:noProof/>
        </w:rPr>
        <w:t>30</w:t>
      </w:r>
      <w:r>
        <w:rPr>
          <w:rStyle w:val="sb8d990e2"/>
        </w:rPr>
        <w:fldChar w:fldCharType="end"/>
      </w:r>
      <w:r w:rsidR="002F0D76">
        <w:rPr>
          <w:rStyle w:val="sb8d990e2"/>
        </w:rPr>
        <w:t>.  </w:t>
      </w:r>
      <w:r w:rsidR="002F0D76">
        <w:t xml:space="preserve">Tiesa </w:t>
      </w:r>
      <w:r w:rsidR="000F2617">
        <w:t xml:space="preserve">vērtēs </w:t>
      </w:r>
      <w:r w:rsidR="002F0D76">
        <w:t>katru apcietinājuma periodu atsevišķi.</w:t>
      </w:r>
    </w:p>
    <w:p w:rsidR="00B9381D" w:rsidRPr="00B7668E" w:rsidRDefault="00721FD6" w:rsidP="00B7668E">
      <w:pPr>
        <w:pStyle w:val="ECHRHeading3"/>
        <w:rPr>
          <w:rStyle w:val="sb8d990e2"/>
        </w:rPr>
      </w:pPr>
      <w:r>
        <w:rPr>
          <w:rStyle w:val="sb8d990e2"/>
        </w:rPr>
        <w:t xml:space="preserve">1. Periodi, kas tiek </w:t>
      </w:r>
      <w:r w:rsidR="000F2617">
        <w:rPr>
          <w:rStyle w:val="sb8d990e2"/>
        </w:rPr>
        <w:t xml:space="preserve">vērtēti </w:t>
      </w:r>
      <w:r>
        <w:rPr>
          <w:rStyle w:val="sb8d990e2"/>
        </w:rPr>
        <w:t>saskaņā ar 5.panta 1.punkta c) apakšpunktu</w:t>
      </w:r>
    </w:p>
    <w:p w:rsidR="00774C25" w:rsidRPr="00774C25" w:rsidRDefault="00BF616F" w:rsidP="00BF616F">
      <w:pPr>
        <w:pStyle w:val="ECHRHeading4"/>
      </w:pPr>
      <w:r>
        <w:t>(a) apcietinājuma periods no 2005. gada 31. maija līdz 31. augustam</w:t>
      </w:r>
    </w:p>
    <w:p w:rsidR="0041563B" w:rsidRPr="0041563B" w:rsidRDefault="00FE1BE2" w:rsidP="00C146A6">
      <w:pPr>
        <w:pStyle w:val="ECHRPara"/>
      </w:pPr>
      <w:r>
        <w:rPr>
          <w:rStyle w:val="sb8d990e2"/>
        </w:rPr>
        <w:fldChar w:fldCharType="begin"/>
      </w:r>
      <w:r w:rsidR="004614B8">
        <w:rPr>
          <w:rStyle w:val="sb8d990e2"/>
        </w:rPr>
        <w:instrText xml:space="preserve"> SEQ level0 \*arabic </w:instrText>
      </w:r>
      <w:r>
        <w:rPr>
          <w:rStyle w:val="sb8d990e2"/>
        </w:rPr>
        <w:fldChar w:fldCharType="separate"/>
      </w:r>
      <w:r w:rsidR="00376F97">
        <w:rPr>
          <w:rStyle w:val="sb8d990e2"/>
          <w:noProof/>
        </w:rPr>
        <w:t>31</w:t>
      </w:r>
      <w:r>
        <w:rPr>
          <w:rStyle w:val="sb8d990e2"/>
        </w:rPr>
        <w:fldChar w:fldCharType="end"/>
      </w:r>
      <w:r w:rsidR="004614B8">
        <w:rPr>
          <w:rStyle w:val="sb8d990e2"/>
        </w:rPr>
        <w:t xml:space="preserve">.  Tiesa </w:t>
      </w:r>
      <w:r w:rsidR="004614B8">
        <w:t>ņem vērā,</w:t>
      </w:r>
      <w:r w:rsidR="004614B8">
        <w:rPr>
          <w:rStyle w:val="sb8d990e2"/>
        </w:rPr>
        <w:t xml:space="preserve"> ka iesniedzējs 5.panta 1.punkta c) apakšpunkta izpratnē atradās apcietinājumā laika posmā no 2005. gada 31. maija līdz savai notiesāšanai 2005. gada 31. augustā, </w:t>
      </w:r>
      <w:r w:rsidR="004614B8">
        <w:t xml:space="preserve">kas ir vairāk kā sešus mēnešus </w:t>
      </w:r>
      <w:r w:rsidR="00624363">
        <w:t xml:space="preserve">pirms </w:t>
      </w:r>
      <w:r w:rsidR="004614B8">
        <w:t>2006. gada 16. oktobr</w:t>
      </w:r>
      <w:r w:rsidR="00624363">
        <w:t>a</w:t>
      </w:r>
      <w:r w:rsidR="004614B8">
        <w:t xml:space="preserve">, kad iesniedzējs pirmo reizi vērsās </w:t>
      </w:r>
      <w:r w:rsidR="00F66C5C">
        <w:t>Tiesā</w:t>
      </w:r>
      <w:r w:rsidR="004614B8">
        <w:t xml:space="preserve">, tāpēc </w:t>
      </w:r>
      <w:r w:rsidR="00F66C5C">
        <w:rPr>
          <w:rStyle w:val="sb8d990e2"/>
        </w:rPr>
        <w:t xml:space="preserve">šī sūdzības daļa, </w:t>
      </w:r>
      <w:r w:rsidR="004614B8">
        <w:t xml:space="preserve">ciktāl </w:t>
      </w:r>
      <w:r w:rsidR="00F66C5C">
        <w:t>tā</w:t>
      </w:r>
      <w:r w:rsidR="004614B8">
        <w:t xml:space="preserve"> attiecas uz pirmstiesas apcietinājuma likumību, </w:t>
      </w:r>
      <w:r w:rsidR="004614B8">
        <w:rPr>
          <w:rStyle w:val="sb8d990e2"/>
        </w:rPr>
        <w:t xml:space="preserve">saskaņā ar Konvencijas 35.panta 1. </w:t>
      </w:r>
      <w:r w:rsidR="000F2617">
        <w:rPr>
          <w:rStyle w:val="sb8d990e2"/>
        </w:rPr>
        <w:t xml:space="preserve">punktu </w:t>
      </w:r>
      <w:r w:rsidR="004614B8">
        <w:rPr>
          <w:rStyle w:val="sb8d990e2"/>
        </w:rPr>
        <w:t xml:space="preserve">ir nepieņemama, jo iesniegta novēloti. Nav nepieciešams </w:t>
      </w:r>
      <w:r w:rsidR="004614B8">
        <w:rPr>
          <w:rStyle w:val="wordhighlighted"/>
        </w:rPr>
        <w:t xml:space="preserve">pārbaudīt citus nepieņemamības </w:t>
      </w:r>
      <w:r w:rsidR="00F66C5C">
        <w:rPr>
          <w:rStyle w:val="wordhighlighted"/>
        </w:rPr>
        <w:t>iebildumus</w:t>
      </w:r>
      <w:r w:rsidR="004614B8">
        <w:rPr>
          <w:rStyle w:val="wordhighlighted"/>
        </w:rPr>
        <w:t>, ko šajā sakarā izvirzīja Valdība.</w:t>
      </w:r>
    </w:p>
    <w:p w:rsidR="00CB6A6F" w:rsidRPr="0041563B" w:rsidRDefault="00BF616F" w:rsidP="00BF616F">
      <w:pPr>
        <w:pStyle w:val="ECHRHeading4"/>
      </w:pPr>
      <w:r>
        <w:t>(b) apcietinājuma periods no 2005. gada 31. augusta līdz 2006. gada 21. augustam</w:t>
      </w:r>
    </w:p>
    <w:bookmarkStart w:id="9" w:name="Adm_art51a"/>
    <w:p w:rsidR="005039CE" w:rsidRDefault="00FE1BE2" w:rsidP="005039CE">
      <w:pPr>
        <w:pStyle w:val="ECHRPara"/>
        <w:rPr>
          <w:rStyle w:val="sb8d990e2"/>
        </w:rPr>
      </w:pPr>
      <w:r>
        <w:fldChar w:fldCharType="begin"/>
      </w:r>
      <w:r w:rsidR="004614B8">
        <w:instrText xml:space="preserve"> SEQ level0 \*arabic </w:instrText>
      </w:r>
      <w:r>
        <w:fldChar w:fldCharType="separate"/>
      </w:r>
      <w:r w:rsidR="00376F97">
        <w:rPr>
          <w:noProof/>
        </w:rPr>
        <w:t>32</w:t>
      </w:r>
      <w:r>
        <w:fldChar w:fldCharType="end"/>
      </w:r>
      <w:bookmarkEnd w:id="9"/>
      <w:r w:rsidR="004614B8">
        <w:t xml:space="preserve">.  Tiesa ņem vērā to, ka </w:t>
      </w:r>
      <w:r w:rsidR="004614B8">
        <w:rPr>
          <w:rStyle w:val="sb8d990e2"/>
        </w:rPr>
        <w:t>laika posmā no 2005. gada 31. augusta līdz 2006. gada 21. augustam, kad Vidzemes apgabaltiesa atcēla notiesājošo spriedumu, iesniedzējs 5.panta 1.punkta a) apakšpunkta izpratnē atradās apcietinājumā “pēc kompetentās tiesas notiesājošā sprieduma”.</w:t>
      </w:r>
    </w:p>
    <w:p w:rsidR="00252565" w:rsidRDefault="00077AC5" w:rsidP="00BF616F">
      <w:pPr>
        <w:pStyle w:val="ECHRHeading4"/>
        <w:rPr>
          <w:rStyle w:val="sb8d990e2"/>
        </w:rPr>
      </w:pPr>
      <w:r>
        <w:t>(c) apcietinājuma periods no 2006. gada 21. augusta līdz 17. oktobrim</w:t>
      </w:r>
    </w:p>
    <w:p w:rsidR="00C146A6" w:rsidRDefault="00FE1BE2" w:rsidP="00077AC5">
      <w:pPr>
        <w:pStyle w:val="ECHRPara"/>
        <w:rPr>
          <w:rStyle w:val="sb8d990e2"/>
        </w:rPr>
      </w:pPr>
      <w:r>
        <w:rPr>
          <w:rStyle w:val="sb8d990e2"/>
        </w:rPr>
        <w:fldChar w:fldCharType="begin"/>
      </w:r>
      <w:r w:rsidR="00252565">
        <w:rPr>
          <w:rStyle w:val="sb8d990e2"/>
        </w:rPr>
        <w:instrText xml:space="preserve"> SEQ level0 \*arabic </w:instrText>
      </w:r>
      <w:r>
        <w:rPr>
          <w:rStyle w:val="sb8d990e2"/>
        </w:rPr>
        <w:fldChar w:fldCharType="separate"/>
      </w:r>
      <w:r w:rsidR="00376F97">
        <w:rPr>
          <w:rStyle w:val="sb8d990e2"/>
          <w:noProof/>
        </w:rPr>
        <w:t>33</w:t>
      </w:r>
      <w:r>
        <w:rPr>
          <w:rStyle w:val="sb8d990e2"/>
        </w:rPr>
        <w:fldChar w:fldCharType="end"/>
      </w:r>
      <w:r w:rsidR="00252565">
        <w:rPr>
          <w:rStyle w:val="sb8d990e2"/>
        </w:rPr>
        <w:t>.  </w:t>
      </w:r>
      <w:r w:rsidR="00252565">
        <w:t xml:space="preserve">Tiesa ņem vērā to, ka laika posmā no 2006. gada 21. augusta līdz 2006. gada 17. oktobrim, kad tika atcelts </w:t>
      </w:r>
      <w:r w:rsidR="000F2617">
        <w:t>lēmums par apcietinājuma piemērošanu</w:t>
      </w:r>
      <w:r w:rsidR="006A5C2A">
        <w:t>, grozot to</w:t>
      </w:r>
      <w:r w:rsidR="00252565">
        <w:t xml:space="preserve"> uz policijas uzraudzību, </w:t>
      </w:r>
      <w:r w:rsidR="00642426">
        <w:t xml:space="preserve">uz iesniedzēja </w:t>
      </w:r>
      <w:r w:rsidR="00252565">
        <w:t xml:space="preserve">pirmstiesas </w:t>
      </w:r>
      <w:r w:rsidR="00642426">
        <w:t xml:space="preserve">apcietinājumu </w:t>
      </w:r>
      <w:r w:rsidR="001C1171">
        <w:t xml:space="preserve">atkal </w:t>
      </w:r>
      <w:r w:rsidR="00642426">
        <w:t>bija attiecināms</w:t>
      </w:r>
      <w:r w:rsidR="00252565">
        <w:t xml:space="preserve"> 5.panta 1.punkta c) </w:t>
      </w:r>
      <w:r w:rsidR="00642426">
        <w:t>apakšpunkts</w:t>
      </w:r>
      <w:r w:rsidR="00252565">
        <w:t>.</w:t>
      </w:r>
    </w:p>
    <w:p w:rsidR="00C146A6" w:rsidRPr="00721FD6" w:rsidRDefault="004614B8" w:rsidP="00BF616F">
      <w:pPr>
        <w:pStyle w:val="ECHRHeading3"/>
        <w:rPr>
          <w:rStyle w:val="sb8d990e2"/>
        </w:rPr>
      </w:pPr>
      <w:r>
        <w:rPr>
          <w:rStyle w:val="sb8d990e2"/>
        </w:rPr>
        <w:t xml:space="preserve">2. Periods, kas tiek </w:t>
      </w:r>
      <w:r w:rsidR="000F2617">
        <w:rPr>
          <w:rStyle w:val="sb8d990e2"/>
        </w:rPr>
        <w:t xml:space="preserve">vērtēts </w:t>
      </w:r>
      <w:r>
        <w:rPr>
          <w:rStyle w:val="sb8d990e2"/>
        </w:rPr>
        <w:t>saskaņā ar 5.panta 3.punktu</w:t>
      </w:r>
    </w:p>
    <w:p w:rsidR="00E87889" w:rsidRPr="00E87889" w:rsidRDefault="00AA797E" w:rsidP="00E87889">
      <w:pPr>
        <w:pStyle w:val="ECHRPara"/>
        <w:rPr>
          <w:rStyle w:val="sb8d990e2"/>
        </w:rPr>
      </w:pPr>
      <w:r>
        <w:fldChar w:fldCharType="begin"/>
      </w:r>
      <w:r>
        <w:instrText xml:space="preserve"> SEQ level0 \*arabic </w:instrText>
      </w:r>
      <w:r>
        <w:fldChar w:fldCharType="separate"/>
      </w:r>
      <w:r w:rsidR="00376F97">
        <w:rPr>
          <w:noProof/>
        </w:rPr>
        <w:t>34</w:t>
      </w:r>
      <w:r>
        <w:rPr>
          <w:noProof/>
        </w:rPr>
        <w:fldChar w:fldCharType="end"/>
      </w:r>
      <w:r w:rsidR="000C06B1">
        <w:t xml:space="preserve">.  Konvencijas 5.panta 3.punkta izpratnē </w:t>
      </w:r>
      <w:r w:rsidR="007314FE">
        <w:t>T</w:t>
      </w:r>
      <w:r w:rsidR="000C06B1">
        <w:t xml:space="preserve">iesa </w:t>
      </w:r>
      <w:r w:rsidR="000C06B1">
        <w:rPr>
          <w:rStyle w:val="sb8d990e2"/>
        </w:rPr>
        <w:t xml:space="preserve">veic vispārēju kopējo apcietinājuma periodu novērtējumu (skatīt, daudzu citu </w:t>
      </w:r>
      <w:r w:rsidR="00A31DEF">
        <w:rPr>
          <w:rStyle w:val="sb8d990e2"/>
        </w:rPr>
        <w:t xml:space="preserve">avotu </w:t>
      </w:r>
      <w:r w:rsidR="000C06B1">
        <w:rPr>
          <w:rStyle w:val="sb8d990e2"/>
        </w:rPr>
        <w:t xml:space="preserve">starpā, </w:t>
      </w:r>
      <w:r w:rsidR="000C06B1">
        <w:rPr>
          <w:rStyle w:val="s6b621b36"/>
          <w:i/>
        </w:rPr>
        <w:t>Solmaz pret Turciju</w:t>
      </w:r>
      <w:r w:rsidR="000C06B1">
        <w:rPr>
          <w:rStyle w:val="sb8d990e2"/>
        </w:rPr>
        <w:t>, Nr. 27561/02, 34.</w:t>
      </w:r>
      <w:r w:rsidR="000C06B1">
        <w:noBreakHyphen/>
      </w:r>
      <w:r w:rsidR="000C06B1">
        <w:rPr>
          <w:rStyle w:val="sb8d990e2"/>
        </w:rPr>
        <w:t xml:space="preserve">37. rindkopa, 2007. gada 16. janvāris). Konkrētajā lietā, </w:t>
      </w:r>
      <w:r w:rsidR="000C06B1">
        <w:t xml:space="preserve">atskaitot apcietinājuma periodu, kas </w:t>
      </w:r>
      <w:r w:rsidR="00DA1584">
        <w:t xml:space="preserve">ir </w:t>
      </w:r>
      <w:r w:rsidR="000C06B1">
        <w:t>5.panta 1.punkta a) apakšpunkta</w:t>
      </w:r>
      <w:r w:rsidR="00DA1584">
        <w:t xml:space="preserve"> tvērumā</w:t>
      </w:r>
      <w:r w:rsidR="000C06B1">
        <w:t xml:space="preserve"> un tādējādi </w:t>
      </w:r>
      <w:r w:rsidR="00DA1584">
        <w:rPr>
          <w:rStyle w:val="sb8d990e2"/>
        </w:rPr>
        <w:t xml:space="preserve">uz to nav attiecināms </w:t>
      </w:r>
      <w:r w:rsidR="000C06B1">
        <w:rPr>
          <w:rStyle w:val="sb8d990e2"/>
        </w:rPr>
        <w:t xml:space="preserve">Konvencijas 5.panta 3. </w:t>
      </w:r>
      <w:r w:rsidR="00DA1584">
        <w:rPr>
          <w:rStyle w:val="sb8d990e2"/>
        </w:rPr>
        <w:t xml:space="preserve">punkts </w:t>
      </w:r>
      <w:r w:rsidR="000C06B1">
        <w:rPr>
          <w:rStyle w:val="sb8d990e2"/>
        </w:rPr>
        <w:t xml:space="preserve">(skatīt iepriekš </w:t>
      </w:r>
      <w:r w:rsidR="00FE1BE2">
        <w:rPr>
          <w:rStyle w:val="sb8d990e2"/>
        </w:rPr>
        <w:fldChar w:fldCharType="begin"/>
      </w:r>
      <w:r w:rsidR="00475C66">
        <w:rPr>
          <w:rStyle w:val="sb8d990e2"/>
        </w:rPr>
        <w:instrText xml:space="preserve"> REF Adm_art51a \h </w:instrText>
      </w:r>
      <w:r w:rsidR="00FE1BE2">
        <w:rPr>
          <w:rStyle w:val="sb8d990e2"/>
        </w:rPr>
      </w:r>
      <w:r w:rsidR="00FE1BE2">
        <w:rPr>
          <w:rStyle w:val="sb8d990e2"/>
        </w:rPr>
        <w:fldChar w:fldCharType="separate"/>
      </w:r>
      <w:r w:rsidR="00376F97">
        <w:rPr>
          <w:noProof/>
        </w:rPr>
        <w:t>32</w:t>
      </w:r>
      <w:r w:rsidR="00FE1BE2">
        <w:rPr>
          <w:rStyle w:val="sb8d990e2"/>
        </w:rPr>
        <w:fldChar w:fldCharType="end"/>
      </w:r>
      <w:r w:rsidR="00DA1584">
        <w:rPr>
          <w:rStyle w:val="sb8d990e2"/>
        </w:rPr>
        <w:t>.</w:t>
      </w:r>
      <w:r w:rsidR="000C06B1">
        <w:rPr>
          <w:rStyle w:val="sb8d990e2"/>
        </w:rPr>
        <w:t xml:space="preserve"> rindkopu)</w:t>
      </w:r>
      <w:r w:rsidR="00D773C3">
        <w:t>, vērā ņemamais laika posms ir</w:t>
      </w:r>
      <w:r w:rsidR="000C06B1">
        <w:t xml:space="preserve"> </w:t>
      </w:r>
      <w:r w:rsidR="00624363">
        <w:t>četri</w:t>
      </w:r>
      <w:r w:rsidR="000C06B1">
        <w:t xml:space="preserve"> mē</w:t>
      </w:r>
      <w:r w:rsidR="00D773C3">
        <w:t xml:space="preserve">neši </w:t>
      </w:r>
      <w:r w:rsidR="00624363">
        <w:t>trīs</w:t>
      </w:r>
      <w:r w:rsidR="00D773C3">
        <w:t xml:space="preserve"> nedēļ</w:t>
      </w:r>
      <w:r w:rsidR="000C06B1">
        <w:t xml:space="preserve">as un </w:t>
      </w:r>
      <w:r w:rsidR="00624363">
        <w:t>piecas</w:t>
      </w:r>
      <w:r w:rsidR="000C06B1">
        <w:t xml:space="preserve"> dienas.</w:t>
      </w:r>
    </w:p>
    <w:p w:rsidR="00BF616F" w:rsidRDefault="00BF616F" w:rsidP="00E87889">
      <w:pPr>
        <w:pStyle w:val="ECHRHeading3"/>
        <w:rPr>
          <w:rStyle w:val="sb8d990e2"/>
        </w:rPr>
      </w:pPr>
      <w:r>
        <w:rPr>
          <w:rStyle w:val="sb8d990e2"/>
        </w:rPr>
        <w:t xml:space="preserve">3. Citi Valdības izvirzītie nepieņemamības </w:t>
      </w:r>
      <w:r w:rsidR="00F17C29">
        <w:rPr>
          <w:rStyle w:val="sb8d990e2"/>
        </w:rPr>
        <w:t>iebildumi</w:t>
      </w:r>
    </w:p>
    <w:p w:rsidR="00212FB0" w:rsidRPr="006C7384" w:rsidRDefault="00FE1BE2" w:rsidP="00212FB0">
      <w:pPr>
        <w:pStyle w:val="ECHRPara"/>
        <w:rPr>
          <w:rStyle w:val="sb8d990e2"/>
        </w:rPr>
      </w:pPr>
      <w:r>
        <w:rPr>
          <w:rStyle w:val="sb8d990e2"/>
        </w:rPr>
        <w:fldChar w:fldCharType="begin"/>
      </w:r>
      <w:r w:rsidR="00AE2684">
        <w:rPr>
          <w:rStyle w:val="sb8d990e2"/>
        </w:rPr>
        <w:instrText xml:space="preserve"> SEQ level0 \*arabic </w:instrText>
      </w:r>
      <w:r>
        <w:rPr>
          <w:rStyle w:val="sb8d990e2"/>
        </w:rPr>
        <w:fldChar w:fldCharType="separate"/>
      </w:r>
      <w:r w:rsidR="00376F97">
        <w:rPr>
          <w:rStyle w:val="sb8d990e2"/>
          <w:noProof/>
        </w:rPr>
        <w:t>35</w:t>
      </w:r>
      <w:r>
        <w:rPr>
          <w:rStyle w:val="sb8d990e2"/>
        </w:rPr>
        <w:fldChar w:fldCharType="end"/>
      </w:r>
      <w:r w:rsidR="00AE2684">
        <w:rPr>
          <w:rStyle w:val="sb8d990e2"/>
        </w:rPr>
        <w:t>.  </w:t>
      </w:r>
      <w:r w:rsidR="00AE2684">
        <w:t>Valdība apgalvoja, pirmkārt, ka iesniedzējs nav izmantojis tiesības sūdzēties par sava pirmstiesas apcietinājuma likumību nacionālajās tiesās.</w:t>
      </w:r>
    </w:p>
    <w:p w:rsidR="009F0A1B" w:rsidRDefault="00FE1BE2" w:rsidP="00212FB0">
      <w:pPr>
        <w:pStyle w:val="ECHRPara"/>
        <w:rPr>
          <w:rStyle w:val="sb8d990e2"/>
        </w:rPr>
      </w:pPr>
      <w:r w:rsidRPr="006C7384">
        <w:rPr>
          <w:rStyle w:val="sb8d990e2"/>
        </w:rPr>
        <w:fldChar w:fldCharType="begin"/>
      </w:r>
      <w:r w:rsidR="00212FB0" w:rsidRPr="006C7384">
        <w:rPr>
          <w:rStyle w:val="sb8d990e2"/>
        </w:rPr>
        <w:instrText xml:space="preserve"> SEQ level0 \*arabic </w:instrText>
      </w:r>
      <w:r w:rsidRPr="006C7384">
        <w:rPr>
          <w:rStyle w:val="sb8d990e2"/>
        </w:rPr>
        <w:fldChar w:fldCharType="separate"/>
      </w:r>
      <w:r w:rsidR="00376F97">
        <w:rPr>
          <w:rStyle w:val="sb8d990e2"/>
          <w:noProof/>
        </w:rPr>
        <w:t>36</w:t>
      </w:r>
      <w:r w:rsidRPr="006C7384">
        <w:rPr>
          <w:rStyle w:val="sb8d990e2"/>
        </w:rPr>
        <w:fldChar w:fldCharType="end"/>
      </w:r>
      <w:r w:rsidR="00212FB0">
        <w:rPr>
          <w:rStyle w:val="sb8d990e2"/>
        </w:rPr>
        <w:t xml:space="preserve">.  Tiesa atsaucas uz savu agrāko judikatūru, kad tā ir noraidījusi tādus pašus Valdības sākotnējos iebildumus, kas izvirzīti salīdzināmos apstākļos (skatīt </w:t>
      </w:r>
      <w:r w:rsidR="00212FB0">
        <w:rPr>
          <w:i/>
        </w:rPr>
        <w:t xml:space="preserve">Shannon, </w:t>
      </w:r>
      <w:r w:rsidR="00212FB0">
        <w:t>citēts iepriekš, 40. rindkopa).</w:t>
      </w:r>
      <w:r w:rsidR="00212FB0">
        <w:rPr>
          <w:rStyle w:val="sb8d990e2"/>
        </w:rPr>
        <w:t xml:space="preserve"> Līdz ar to pie apstākļiem, kad iesniedzējs </w:t>
      </w:r>
      <w:r w:rsidR="00DA1584">
        <w:rPr>
          <w:rStyle w:val="sb8d990e2"/>
        </w:rPr>
        <w:t xml:space="preserve">bija </w:t>
      </w:r>
      <w:r w:rsidR="00212FB0">
        <w:rPr>
          <w:rStyle w:val="sb8d990e2"/>
        </w:rPr>
        <w:t>apstrīdējis nepieciešamību paturēt viņu apcietinājumā (skatīt </w:t>
      </w:r>
      <w:r w:rsidR="007B4B9C">
        <w:fldChar w:fldCharType="begin"/>
      </w:r>
      <w:r w:rsidR="007B4B9C">
        <w:instrText xml:space="preserve"> REF AppelCOurtnoLongerAuthorised \h  \* MERGEFORMAT </w:instrText>
      </w:r>
      <w:r w:rsidR="007B4B9C">
        <w:fldChar w:fldCharType="separate"/>
      </w:r>
      <w:r w:rsidR="00376F97">
        <w:rPr>
          <w:noProof/>
        </w:rPr>
        <w:t>12</w:t>
      </w:r>
      <w:r w:rsidR="007B4B9C">
        <w:fldChar w:fldCharType="end"/>
      </w:r>
      <w:r w:rsidR="00901258">
        <w:rPr>
          <w:rStyle w:val="sb8d990e2"/>
        </w:rPr>
        <w:t>.</w:t>
      </w:r>
      <w:r w:rsidR="00212FB0">
        <w:rPr>
          <w:rStyle w:val="sb8d990e2"/>
        </w:rPr>
        <w:t xml:space="preserve">, </w:t>
      </w:r>
      <w:r w:rsidR="007B4B9C">
        <w:fldChar w:fldCharType="begin"/>
      </w:r>
      <w:r w:rsidR="007B4B9C">
        <w:instrText xml:space="preserve"> REF Dec13092006 \h  \* MERGEFORMAT </w:instrText>
      </w:r>
      <w:r w:rsidR="007B4B9C">
        <w:fldChar w:fldCharType="separate"/>
      </w:r>
      <w:r w:rsidR="00376F97">
        <w:rPr>
          <w:noProof/>
        </w:rPr>
        <w:t>14</w:t>
      </w:r>
      <w:r w:rsidR="007B4B9C">
        <w:fldChar w:fldCharType="end"/>
      </w:r>
      <w:r w:rsidR="00901258">
        <w:rPr>
          <w:rStyle w:val="sb8d990e2"/>
        </w:rPr>
        <w:t xml:space="preserve">. </w:t>
      </w:r>
      <w:r w:rsidR="00212FB0">
        <w:rPr>
          <w:rStyle w:val="sb8d990e2"/>
        </w:rPr>
        <w:t>rindkopu), un tādējādi</w:t>
      </w:r>
      <w:r w:rsidR="00DA1584">
        <w:rPr>
          <w:rStyle w:val="sb8d990e2"/>
        </w:rPr>
        <w:t xml:space="preserve"> dodot nacionālajām amatpersonām </w:t>
      </w:r>
      <w:r w:rsidR="00212FB0">
        <w:rPr>
          <w:rStyle w:val="sb8d990e2"/>
        </w:rPr>
        <w:t>plaš</w:t>
      </w:r>
      <w:r w:rsidR="00F17C29">
        <w:rPr>
          <w:rStyle w:val="sb8d990e2"/>
        </w:rPr>
        <w:t>a</w:t>
      </w:r>
      <w:r w:rsidR="00212FB0">
        <w:rPr>
          <w:rStyle w:val="sb8d990e2"/>
        </w:rPr>
        <w:t xml:space="preserve">s iespējas risināt viņa iesniegumā Tiesai minētos jautājumus, </w:t>
      </w:r>
      <w:r w:rsidR="006F3312">
        <w:rPr>
          <w:rStyle w:val="sb8d990e2"/>
        </w:rPr>
        <w:t xml:space="preserve">iebildums </w:t>
      </w:r>
      <w:r w:rsidR="00212FB0">
        <w:rPr>
          <w:rStyle w:val="sb8d990e2"/>
        </w:rPr>
        <w:t xml:space="preserve">par nacionālo </w:t>
      </w:r>
      <w:r w:rsidR="001C1171">
        <w:rPr>
          <w:rStyle w:val="sb8d990e2"/>
        </w:rPr>
        <w:t xml:space="preserve">tiesību </w:t>
      </w:r>
      <w:r w:rsidR="00212FB0">
        <w:rPr>
          <w:rStyle w:val="sb8d990e2"/>
        </w:rPr>
        <w:t>aizsardzības līdzekļu neizmantošanu ir noraidām</w:t>
      </w:r>
      <w:r w:rsidR="00F17C29">
        <w:rPr>
          <w:rStyle w:val="sb8d990e2"/>
        </w:rPr>
        <w:t>s</w:t>
      </w:r>
      <w:r w:rsidR="00212FB0">
        <w:rPr>
          <w:rStyle w:val="sb8d990e2"/>
        </w:rPr>
        <w:t>.</w:t>
      </w:r>
    </w:p>
    <w:bookmarkStart w:id="10" w:name="PrelObj_appelCourt"/>
    <w:p w:rsidR="00212FB0" w:rsidRDefault="00FE1BE2" w:rsidP="00212FB0">
      <w:pPr>
        <w:pStyle w:val="ECHRPara"/>
        <w:rPr>
          <w:rStyle w:val="sb8d990e2"/>
        </w:rPr>
      </w:pPr>
      <w:r>
        <w:rPr>
          <w:rStyle w:val="sb8d990e2"/>
        </w:rPr>
        <w:fldChar w:fldCharType="begin"/>
      </w:r>
      <w:r w:rsidR="00212FB0">
        <w:rPr>
          <w:rStyle w:val="sb8d990e2"/>
        </w:rPr>
        <w:instrText xml:space="preserve"> SEQ level0 \*arabic </w:instrText>
      </w:r>
      <w:r>
        <w:rPr>
          <w:rStyle w:val="sb8d990e2"/>
        </w:rPr>
        <w:fldChar w:fldCharType="separate"/>
      </w:r>
      <w:r w:rsidR="00376F97">
        <w:rPr>
          <w:rStyle w:val="sb8d990e2"/>
          <w:noProof/>
        </w:rPr>
        <w:t>37</w:t>
      </w:r>
      <w:r>
        <w:rPr>
          <w:rStyle w:val="sb8d990e2"/>
        </w:rPr>
        <w:fldChar w:fldCharType="end"/>
      </w:r>
      <w:bookmarkEnd w:id="10"/>
      <w:r w:rsidR="00212FB0">
        <w:rPr>
          <w:rStyle w:val="sb8d990e2"/>
        </w:rPr>
        <w:t xml:space="preserve">.  Otrkārt, Valdība apgalvoja, ka iesniedzējam bija jālūdz apelācijas </w:t>
      </w:r>
      <w:r w:rsidR="00D606F9">
        <w:rPr>
          <w:rStyle w:val="sb8d990e2"/>
        </w:rPr>
        <w:t xml:space="preserve">instances </w:t>
      </w:r>
      <w:r w:rsidR="00212FB0">
        <w:rPr>
          <w:rStyle w:val="sb8d990e2"/>
        </w:rPr>
        <w:t xml:space="preserve">tiesai pārskatīt </w:t>
      </w:r>
      <w:r w:rsidR="00D606F9">
        <w:rPr>
          <w:rStyle w:val="sb8d990e2"/>
        </w:rPr>
        <w:t>apcietinājuma piemērošanu</w:t>
      </w:r>
      <w:r w:rsidR="00212FB0">
        <w:rPr>
          <w:rStyle w:val="sb8d990e2"/>
        </w:rPr>
        <w:t xml:space="preserve"> pirms vai apelācijas instances tiesas sēdes laikā, taču iesniedzējs iesniedza lūgumu trīs dienas vēlāk (skatīt iepriekš </w:t>
      </w:r>
      <w:r>
        <w:rPr>
          <w:rStyle w:val="sb8d990e2"/>
        </w:rPr>
        <w:fldChar w:fldCharType="begin"/>
      </w:r>
      <w:r w:rsidR="00A7309B">
        <w:rPr>
          <w:rStyle w:val="sb8d990e2"/>
        </w:rPr>
        <w:instrText xml:space="preserve"> REF AppelCOurtnoLongerAuthorised \h </w:instrText>
      </w:r>
      <w:r>
        <w:rPr>
          <w:rStyle w:val="sb8d990e2"/>
        </w:rPr>
      </w:r>
      <w:r>
        <w:rPr>
          <w:rStyle w:val="sb8d990e2"/>
        </w:rPr>
        <w:fldChar w:fldCharType="separate"/>
      </w:r>
      <w:r w:rsidR="00376F97">
        <w:rPr>
          <w:noProof/>
        </w:rPr>
        <w:t>12</w:t>
      </w:r>
      <w:r>
        <w:rPr>
          <w:rStyle w:val="sb8d990e2"/>
        </w:rPr>
        <w:fldChar w:fldCharType="end"/>
      </w:r>
      <w:r w:rsidR="00901258">
        <w:rPr>
          <w:rStyle w:val="sb8d990e2"/>
        </w:rPr>
        <w:t xml:space="preserve">. </w:t>
      </w:r>
      <w:r w:rsidR="00212FB0">
        <w:rPr>
          <w:rStyle w:val="sb8d990e2"/>
        </w:rPr>
        <w:t xml:space="preserve">rindkopu). Treškārt, Valdība uzskatīja, ka iesniedzējs varēja iesniegt konstitucionālo sūdzību </w:t>
      </w:r>
      <w:r w:rsidR="00D606F9">
        <w:rPr>
          <w:rStyle w:val="sb8d990e2"/>
        </w:rPr>
        <w:t>p</w:t>
      </w:r>
      <w:r w:rsidR="00212FB0">
        <w:rPr>
          <w:rStyle w:val="sb8d990e2"/>
        </w:rPr>
        <w:t xml:space="preserve">ar Kriminālprocesa kodeksa 77.panta 7.punkta (skatīt iepriekš </w:t>
      </w:r>
      <w:r>
        <w:rPr>
          <w:rStyle w:val="sb8d990e2"/>
        </w:rPr>
        <w:fldChar w:fldCharType="begin"/>
      </w:r>
      <w:r w:rsidR="005C395E">
        <w:rPr>
          <w:rStyle w:val="sb8d990e2"/>
        </w:rPr>
        <w:instrText xml:space="preserve"> REF art77_CCP \h </w:instrText>
      </w:r>
      <w:r>
        <w:rPr>
          <w:rStyle w:val="sb8d990e2"/>
        </w:rPr>
      </w:r>
      <w:r>
        <w:rPr>
          <w:rStyle w:val="sb8d990e2"/>
        </w:rPr>
        <w:fldChar w:fldCharType="separate"/>
      </w:r>
      <w:r w:rsidR="00376F97">
        <w:rPr>
          <w:noProof/>
          <w:snapToGrid w:val="0"/>
        </w:rPr>
        <w:t>21</w:t>
      </w:r>
      <w:r>
        <w:rPr>
          <w:rStyle w:val="sb8d990e2"/>
        </w:rPr>
        <w:fldChar w:fldCharType="end"/>
      </w:r>
      <w:r w:rsidR="00901258">
        <w:rPr>
          <w:rStyle w:val="sb8d990e2"/>
        </w:rPr>
        <w:t>.</w:t>
      </w:r>
      <w:r w:rsidR="00212FB0">
        <w:rPr>
          <w:rStyle w:val="sb8d990e2"/>
        </w:rPr>
        <w:t xml:space="preserve"> rindkopu) vai piemērojamo jaunā Kriminālprocesa likuma normu</w:t>
      </w:r>
      <w:r w:rsidR="00642426" w:rsidRPr="00642426">
        <w:rPr>
          <w:rStyle w:val="sb8d990e2"/>
        </w:rPr>
        <w:t xml:space="preserve"> </w:t>
      </w:r>
      <w:r w:rsidR="00642426">
        <w:rPr>
          <w:rStyle w:val="sb8d990e2"/>
        </w:rPr>
        <w:t>neatbilstību</w:t>
      </w:r>
      <w:r w:rsidR="00212FB0">
        <w:rPr>
          <w:rStyle w:val="sb8d990e2"/>
        </w:rPr>
        <w:t>.</w:t>
      </w:r>
    </w:p>
    <w:p w:rsidR="009C5A3F" w:rsidRPr="001A412C" w:rsidRDefault="00FE1BE2" w:rsidP="00C673C4">
      <w:pPr>
        <w:pStyle w:val="ECHRPara"/>
        <w:rPr>
          <w:rStyle w:val="sb8d990e2"/>
        </w:rPr>
      </w:pPr>
      <w:r>
        <w:rPr>
          <w:rStyle w:val="sb8d990e2"/>
        </w:rPr>
        <w:fldChar w:fldCharType="begin"/>
      </w:r>
      <w:r w:rsidR="00212FB0">
        <w:rPr>
          <w:rStyle w:val="sb8d990e2"/>
        </w:rPr>
        <w:instrText xml:space="preserve"> SEQ level0 \*arabic </w:instrText>
      </w:r>
      <w:r>
        <w:rPr>
          <w:rStyle w:val="sb8d990e2"/>
        </w:rPr>
        <w:fldChar w:fldCharType="separate"/>
      </w:r>
      <w:r w:rsidR="00376F97">
        <w:rPr>
          <w:rStyle w:val="sb8d990e2"/>
          <w:noProof/>
        </w:rPr>
        <w:t>38</w:t>
      </w:r>
      <w:r>
        <w:rPr>
          <w:rStyle w:val="sb8d990e2"/>
        </w:rPr>
        <w:fldChar w:fldCharType="end"/>
      </w:r>
      <w:r w:rsidR="00212FB0">
        <w:rPr>
          <w:rStyle w:val="sb8d990e2"/>
        </w:rPr>
        <w:t>.  </w:t>
      </w:r>
      <w:r w:rsidR="00212FB0">
        <w:t xml:space="preserve">Ņemot vērā to, ka Valdība izvirza tos pašus argumentus par </w:t>
      </w:r>
      <w:r w:rsidR="00642426">
        <w:t xml:space="preserve">sūdzību </w:t>
      </w:r>
      <w:r w:rsidR="00212FB0">
        <w:t xml:space="preserve">saskaņā ar Konvencijas </w:t>
      </w:r>
      <w:r w:rsidR="00212FB0">
        <w:rPr>
          <w:rStyle w:val="sb8d990e2"/>
        </w:rPr>
        <w:t>5. panta 1.punktu</w:t>
      </w:r>
      <w:r w:rsidR="00642426" w:rsidRPr="00642426">
        <w:t xml:space="preserve"> </w:t>
      </w:r>
      <w:r w:rsidR="00642426">
        <w:t>būtību</w:t>
      </w:r>
      <w:r w:rsidR="00212FB0">
        <w:rPr>
          <w:rStyle w:val="sb8d990e2"/>
        </w:rPr>
        <w:t xml:space="preserve">, Tiesa uzskata, ka abi neizmantošanas </w:t>
      </w:r>
      <w:r w:rsidR="006F3312">
        <w:rPr>
          <w:rStyle w:val="sb8d990e2"/>
        </w:rPr>
        <w:t>iebildumi</w:t>
      </w:r>
      <w:r w:rsidR="00642426">
        <w:rPr>
          <w:rStyle w:val="sb8d990e2"/>
        </w:rPr>
        <w:t xml:space="preserve"> būtu </w:t>
      </w:r>
      <w:r w:rsidR="00624363">
        <w:rPr>
          <w:rStyle w:val="sb8d990e2"/>
        </w:rPr>
        <w:t xml:space="preserve">apvienojami ar </w:t>
      </w:r>
      <w:r w:rsidR="00642426">
        <w:rPr>
          <w:rStyle w:val="sb8d990e2"/>
        </w:rPr>
        <w:t>sūdzīb</w:t>
      </w:r>
      <w:r w:rsidR="00624363">
        <w:rPr>
          <w:rStyle w:val="sb8d990e2"/>
        </w:rPr>
        <w:t>as</w:t>
      </w:r>
      <w:r w:rsidR="00642426">
        <w:rPr>
          <w:rStyle w:val="sb8d990e2"/>
        </w:rPr>
        <w:t xml:space="preserve"> izskatīšan</w:t>
      </w:r>
      <w:r w:rsidR="00624363">
        <w:rPr>
          <w:rStyle w:val="sb8d990e2"/>
        </w:rPr>
        <w:t>u</w:t>
      </w:r>
      <w:r w:rsidR="00642426">
        <w:rPr>
          <w:rStyle w:val="sb8d990e2"/>
        </w:rPr>
        <w:t xml:space="preserve"> </w:t>
      </w:r>
      <w:r w:rsidR="00212FB0">
        <w:rPr>
          <w:rStyle w:val="sb8d990e2"/>
        </w:rPr>
        <w:t>pēc būtības.</w:t>
      </w:r>
    </w:p>
    <w:p w:rsidR="001D7718" w:rsidRDefault="00FE1BE2" w:rsidP="007B4C1B">
      <w:pPr>
        <w:pStyle w:val="ECHRPara"/>
        <w:rPr>
          <w:rStyle w:val="sb8d990e2"/>
        </w:rPr>
      </w:pPr>
      <w:r>
        <w:rPr>
          <w:rStyle w:val="sb8d990e2"/>
        </w:rPr>
        <w:fldChar w:fldCharType="begin"/>
      </w:r>
      <w:r w:rsidR="00911E54">
        <w:rPr>
          <w:rStyle w:val="sb8d990e2"/>
        </w:rPr>
        <w:instrText xml:space="preserve"> SEQ level0 \*arabic </w:instrText>
      </w:r>
      <w:r>
        <w:rPr>
          <w:rStyle w:val="sb8d990e2"/>
        </w:rPr>
        <w:fldChar w:fldCharType="separate"/>
      </w:r>
      <w:r w:rsidR="00376F97">
        <w:rPr>
          <w:rStyle w:val="sb8d990e2"/>
          <w:noProof/>
        </w:rPr>
        <w:t>39</w:t>
      </w:r>
      <w:r>
        <w:rPr>
          <w:rStyle w:val="sb8d990e2"/>
        </w:rPr>
        <w:fldChar w:fldCharType="end"/>
      </w:r>
      <w:r w:rsidR="00911E54">
        <w:rPr>
          <w:rStyle w:val="sb8d990e2"/>
        </w:rPr>
        <w:t xml:space="preserve">.  Turklāt attiecībā uz iesniedzēja ilgstošo apcietinājumu Valdība apgalvoja, ka viņš </w:t>
      </w:r>
      <w:r w:rsidR="00642426">
        <w:rPr>
          <w:rStyle w:val="sb8d990e2"/>
        </w:rPr>
        <w:t xml:space="preserve">nebija </w:t>
      </w:r>
      <w:r w:rsidR="00911E54">
        <w:rPr>
          <w:rStyle w:val="sb8d990e2"/>
        </w:rPr>
        <w:t xml:space="preserve">iesniedzis sūdzību par sava pirmstiesas apcietinājuma ilgumu pirms apelācijas tiesas </w:t>
      </w:r>
      <w:r w:rsidR="00642426">
        <w:rPr>
          <w:rStyle w:val="sb8d990e2"/>
        </w:rPr>
        <w:t xml:space="preserve">sēdes </w:t>
      </w:r>
      <w:r w:rsidR="00911E54">
        <w:rPr>
          <w:rStyle w:val="sb8d990e2"/>
        </w:rPr>
        <w:t>vai tā</w:t>
      </w:r>
      <w:r w:rsidR="00642426">
        <w:rPr>
          <w:rStyle w:val="sb8d990e2"/>
        </w:rPr>
        <w:t>s</w:t>
      </w:r>
      <w:r w:rsidR="00911E54">
        <w:rPr>
          <w:rStyle w:val="sb8d990e2"/>
        </w:rPr>
        <w:t xml:space="preserve"> laikā, kā arī kasācijas instances tiesā, </w:t>
      </w:r>
      <w:r w:rsidR="00642426">
        <w:rPr>
          <w:rStyle w:val="sb8d990e2"/>
        </w:rPr>
        <w:t xml:space="preserve">kas </w:t>
      </w:r>
      <w:r w:rsidR="00911E54">
        <w:rPr>
          <w:rStyle w:val="sb8d990e2"/>
        </w:rPr>
        <w:t>vismaz varētu ietekmēt sod</w:t>
      </w:r>
      <w:r w:rsidR="00642426">
        <w:rPr>
          <w:rStyle w:val="sb8d990e2"/>
        </w:rPr>
        <w:t>a apmēru</w:t>
      </w:r>
      <w:r w:rsidR="00911E54">
        <w:rPr>
          <w:rStyle w:val="sb8d990e2"/>
        </w:rPr>
        <w:t xml:space="preserve">, līdzīgi kā lietā </w:t>
      </w:r>
      <w:r w:rsidR="00911E54">
        <w:rPr>
          <w:rStyle w:val="s6b621b36"/>
          <w:i/>
        </w:rPr>
        <w:t>Moisejevs pret Latviju</w:t>
      </w:r>
      <w:r w:rsidR="00911E54">
        <w:rPr>
          <w:rStyle w:val="sb8d990e2"/>
          <w:i/>
        </w:rPr>
        <w:t xml:space="preserve"> </w:t>
      </w:r>
      <w:r w:rsidR="00911E54">
        <w:rPr>
          <w:rStyle w:val="sb8d990e2"/>
        </w:rPr>
        <w:t>(</w:t>
      </w:r>
      <w:r w:rsidR="00642426">
        <w:rPr>
          <w:rStyle w:val="sb8d990e2"/>
        </w:rPr>
        <w:t>lēmums</w:t>
      </w:r>
      <w:r w:rsidR="00911E54">
        <w:rPr>
          <w:rStyle w:val="sb8d990e2"/>
        </w:rPr>
        <w:t>), Nr. 64846/01, 2006. gada 15. jūnijs.</w:t>
      </w:r>
    </w:p>
    <w:p w:rsidR="008F0342" w:rsidRDefault="00FE1BE2" w:rsidP="00AE2684">
      <w:pPr>
        <w:pStyle w:val="ECHRPara"/>
        <w:rPr>
          <w:rStyle w:val="sb8d990e2"/>
        </w:rPr>
      </w:pPr>
      <w:r>
        <w:rPr>
          <w:rStyle w:val="sb8d990e2"/>
        </w:rPr>
        <w:fldChar w:fldCharType="begin"/>
      </w:r>
      <w:r w:rsidR="008F0342">
        <w:rPr>
          <w:rStyle w:val="sb8d990e2"/>
        </w:rPr>
        <w:instrText xml:space="preserve"> SEQ level0 \*arabic </w:instrText>
      </w:r>
      <w:r>
        <w:rPr>
          <w:rStyle w:val="sb8d990e2"/>
        </w:rPr>
        <w:fldChar w:fldCharType="separate"/>
      </w:r>
      <w:r w:rsidR="00376F97">
        <w:rPr>
          <w:rStyle w:val="sb8d990e2"/>
          <w:noProof/>
        </w:rPr>
        <w:t>40</w:t>
      </w:r>
      <w:r>
        <w:rPr>
          <w:rStyle w:val="sb8d990e2"/>
        </w:rPr>
        <w:fldChar w:fldCharType="end"/>
      </w:r>
      <w:r w:rsidR="008F0342">
        <w:rPr>
          <w:rStyle w:val="sb8d990e2"/>
        </w:rPr>
        <w:t xml:space="preserve">.  Tiesa norāda, ka saskaņā ar tās praksi situācijā, kad persona joprojām atrodas apcietinājumā, </w:t>
      </w:r>
      <w:r w:rsidR="00901258">
        <w:rPr>
          <w:rStyle w:val="sb8d990e2"/>
        </w:rPr>
        <w:t>5.panta 3.punkt</w:t>
      </w:r>
      <w:r w:rsidR="001C1171">
        <w:rPr>
          <w:rStyle w:val="sb8d990e2"/>
        </w:rPr>
        <w:t>a kontekstā</w:t>
      </w:r>
      <w:r w:rsidR="00901258">
        <w:rPr>
          <w:rStyle w:val="sb8d990e2"/>
        </w:rPr>
        <w:t xml:space="preserve"> </w:t>
      </w:r>
      <w:r w:rsidR="008F0342">
        <w:rPr>
          <w:rStyle w:val="sb8d990e2"/>
        </w:rPr>
        <w:t xml:space="preserve">efektīva </w:t>
      </w:r>
      <w:r w:rsidR="001C1171">
        <w:rPr>
          <w:rStyle w:val="sb8d990e2"/>
        </w:rPr>
        <w:t xml:space="preserve">tiesību </w:t>
      </w:r>
      <w:r w:rsidR="008F0342">
        <w:rPr>
          <w:rStyle w:val="sb8d990e2"/>
        </w:rPr>
        <w:t>aizsardzības līdzekļa</w:t>
      </w:r>
      <w:r w:rsidR="00901258">
        <w:rPr>
          <w:rStyle w:val="sb8d990e2"/>
        </w:rPr>
        <w:t xml:space="preserve"> piemērošanas</w:t>
      </w:r>
      <w:r w:rsidR="008F0342">
        <w:rPr>
          <w:rStyle w:val="sb8d990e2"/>
        </w:rPr>
        <w:t xml:space="preserve"> rezultātā būtu iespējams atcelt </w:t>
      </w:r>
      <w:r w:rsidR="00F17C29">
        <w:rPr>
          <w:rStyle w:val="sb8d990e2"/>
        </w:rPr>
        <w:t xml:space="preserve"> </w:t>
      </w:r>
      <w:r w:rsidR="001C1171">
        <w:rPr>
          <w:rStyle w:val="sb8d990e2"/>
        </w:rPr>
        <w:t>apcietinājumu</w:t>
      </w:r>
      <w:r w:rsidR="008F0342">
        <w:rPr>
          <w:rStyle w:val="sb8d990e2"/>
        </w:rPr>
        <w:t xml:space="preserve"> (skatīt </w:t>
      </w:r>
      <w:r w:rsidR="008F0342">
        <w:rPr>
          <w:rStyle w:val="s6b621b36"/>
          <w:i/>
        </w:rPr>
        <w:t>McKay pret Apvienoto Karalisti</w:t>
      </w:r>
      <w:r w:rsidR="008F0342">
        <w:rPr>
          <w:rStyle w:val="s6b621b36"/>
        </w:rPr>
        <w:t xml:space="preserve"> </w:t>
      </w:r>
      <w:r w:rsidR="008F0342">
        <w:rPr>
          <w:rStyle w:val="sb8d990e2"/>
        </w:rPr>
        <w:t>[</w:t>
      </w:r>
      <w:r w:rsidR="001C1171">
        <w:rPr>
          <w:rStyle w:val="sb8d990e2"/>
        </w:rPr>
        <w:t>Lielā palāta</w:t>
      </w:r>
      <w:r w:rsidR="008F0342">
        <w:rPr>
          <w:rStyle w:val="sb8d990e2"/>
        </w:rPr>
        <w:t>], Nr. 543/03, 45. rindkopa, ECTK 2006</w:t>
      </w:r>
      <w:r w:rsidR="008F0342">
        <w:noBreakHyphen/>
      </w:r>
      <w:r w:rsidR="00E036CA">
        <w:rPr>
          <w:rStyle w:val="sb8d990e2"/>
        </w:rPr>
        <w:t>X). Līdz ar to, tā, līdzīgi</w:t>
      </w:r>
      <w:r w:rsidR="008F0342">
        <w:rPr>
          <w:rStyle w:val="sb8d990e2"/>
        </w:rPr>
        <w:t xml:space="preserve"> kā lietā </w:t>
      </w:r>
      <w:r w:rsidR="008F0342">
        <w:rPr>
          <w:rStyle w:val="sb8d990e2"/>
          <w:i/>
        </w:rPr>
        <w:t>Ķipēns pret Latviju</w:t>
      </w:r>
      <w:r w:rsidR="008F0342">
        <w:rPr>
          <w:rStyle w:val="sb8d990e2"/>
        </w:rPr>
        <w:t xml:space="preserve"> (</w:t>
      </w:r>
      <w:r w:rsidR="001C1171">
        <w:rPr>
          <w:rStyle w:val="sb8d990e2"/>
        </w:rPr>
        <w:t>lēmums</w:t>
      </w:r>
      <w:r w:rsidR="008F0342">
        <w:rPr>
          <w:rStyle w:val="sb8d990e2"/>
        </w:rPr>
        <w:t>), Nr. </w:t>
      </w:r>
      <w:r w:rsidR="008F0342">
        <w:rPr>
          <w:rStyle w:val="column01"/>
        </w:rPr>
        <w:t>5436/05, 47. rindkopa, 2013. gada 5. marts,</w:t>
      </w:r>
      <w:r w:rsidR="008F0342">
        <w:rPr>
          <w:rStyle w:val="sb8d990e2"/>
        </w:rPr>
        <w:t xml:space="preserve"> noraida argumentu, ka vēlāk piemērotais kompensējošais līdzeklis, kā apgalvo Valdība, varētu būt konkrētajā lietā atbilstošs un pietiekams.</w:t>
      </w:r>
    </w:p>
    <w:p w:rsidR="007B4C1B" w:rsidRPr="00ED51AE" w:rsidRDefault="00FE1BE2" w:rsidP="001D7718">
      <w:pPr>
        <w:pStyle w:val="ECHRPara"/>
        <w:rPr>
          <w:rStyle w:val="sb8d990e2"/>
          <w:b/>
        </w:rPr>
      </w:pPr>
      <w:r>
        <w:rPr>
          <w:rStyle w:val="sb8d990e2"/>
        </w:rPr>
        <w:fldChar w:fldCharType="begin"/>
      </w:r>
      <w:r w:rsidR="007B4C1B">
        <w:rPr>
          <w:rStyle w:val="sb8d990e2"/>
        </w:rPr>
        <w:instrText xml:space="preserve"> SEQ level0 \*arabic </w:instrText>
      </w:r>
      <w:r>
        <w:rPr>
          <w:rStyle w:val="sb8d990e2"/>
        </w:rPr>
        <w:fldChar w:fldCharType="separate"/>
      </w:r>
      <w:r w:rsidR="00376F97">
        <w:rPr>
          <w:rStyle w:val="sb8d990e2"/>
          <w:noProof/>
        </w:rPr>
        <w:t>41</w:t>
      </w:r>
      <w:r>
        <w:rPr>
          <w:rStyle w:val="sb8d990e2"/>
        </w:rPr>
        <w:fldChar w:fldCharType="end"/>
      </w:r>
      <w:r w:rsidR="007B4C1B">
        <w:rPr>
          <w:rStyle w:val="sb8d990e2"/>
        </w:rPr>
        <w:t xml:space="preserve">.  Visbeidzot Valdība apgalvoja, ka iesniedzējs nav cietis </w:t>
      </w:r>
      <w:r w:rsidR="007B4C1B">
        <w:rPr>
          <w:rStyle w:val="wordhighlighted"/>
        </w:rPr>
        <w:t xml:space="preserve">būtisku </w:t>
      </w:r>
      <w:r w:rsidR="001C1171">
        <w:rPr>
          <w:rStyle w:val="wordhighlighted"/>
        </w:rPr>
        <w:t>kaitējumu</w:t>
      </w:r>
      <w:r w:rsidR="001C1171">
        <w:rPr>
          <w:rStyle w:val="sb8d990e2"/>
        </w:rPr>
        <w:t xml:space="preserve"> </w:t>
      </w:r>
      <w:r w:rsidR="007B4C1B">
        <w:rPr>
          <w:rStyle w:val="sb8d990e2"/>
        </w:rPr>
        <w:t xml:space="preserve">Konvencijas 35. panta 3.punkta b) apakšpunkta izpratnē, jo viņa pirmstiesas apcietinājums iepriekš minētajā laika posmā 5. panta 1.punkta c) apakšpunkta izpratnē ilga tikai </w:t>
      </w:r>
      <w:r w:rsidR="00624363">
        <w:rPr>
          <w:rStyle w:val="sb8d990e2"/>
        </w:rPr>
        <w:t>vienu</w:t>
      </w:r>
      <w:r w:rsidR="007B4C1B">
        <w:rPr>
          <w:rStyle w:val="sb8d990e2"/>
        </w:rPr>
        <w:t xml:space="preserve"> mēnesi </w:t>
      </w:r>
      <w:r w:rsidR="00624363">
        <w:rPr>
          <w:rStyle w:val="sb8d990e2"/>
        </w:rPr>
        <w:t>trīs</w:t>
      </w:r>
      <w:r w:rsidR="007B4C1B">
        <w:rPr>
          <w:rStyle w:val="sb8d990e2"/>
        </w:rPr>
        <w:t xml:space="preserve"> nedēļas un </w:t>
      </w:r>
      <w:r w:rsidR="00624363">
        <w:rPr>
          <w:rStyle w:val="sb8d990e2"/>
        </w:rPr>
        <w:t>piecas</w:t>
      </w:r>
      <w:r w:rsidR="007B4C1B">
        <w:rPr>
          <w:rStyle w:val="sb8d990e2"/>
        </w:rPr>
        <w:t xml:space="preserve"> dienas.</w:t>
      </w:r>
    </w:p>
    <w:p w:rsidR="00707646" w:rsidRPr="00F66054" w:rsidRDefault="00FE1BE2" w:rsidP="00B56EE8">
      <w:pPr>
        <w:pStyle w:val="ECHRPara"/>
        <w:rPr>
          <w:rStyle w:val="sb8d990e2"/>
          <w:i/>
        </w:rPr>
      </w:pPr>
      <w:r w:rsidRPr="00F66054">
        <w:rPr>
          <w:rStyle w:val="sb8d990e2"/>
        </w:rPr>
        <w:fldChar w:fldCharType="begin"/>
      </w:r>
      <w:r w:rsidR="008F0342" w:rsidRPr="00F66054">
        <w:rPr>
          <w:rStyle w:val="sb8d990e2"/>
        </w:rPr>
        <w:instrText xml:space="preserve"> SEQ level0 \*arabic </w:instrText>
      </w:r>
      <w:r w:rsidRPr="00F66054">
        <w:rPr>
          <w:rStyle w:val="sb8d990e2"/>
        </w:rPr>
        <w:fldChar w:fldCharType="separate"/>
      </w:r>
      <w:r w:rsidR="00376F97">
        <w:rPr>
          <w:rStyle w:val="sb8d990e2"/>
          <w:noProof/>
        </w:rPr>
        <w:t>42</w:t>
      </w:r>
      <w:r w:rsidRPr="00F66054">
        <w:rPr>
          <w:rStyle w:val="sb8d990e2"/>
        </w:rPr>
        <w:fldChar w:fldCharType="end"/>
      </w:r>
      <w:r w:rsidR="008F0342">
        <w:rPr>
          <w:rStyle w:val="sb8d990e2"/>
        </w:rPr>
        <w:t xml:space="preserve">.  Saistībā ar šo Tiesa atsaucas uz savu agrāko judikatūru, kad Tiesa nav atzinusi, ka brīvības atņemšanas, kura ilga divdesmit dienas, likumības jautājums varēja radīt “nenozīmīgu” </w:t>
      </w:r>
      <w:r w:rsidR="001C1171">
        <w:rPr>
          <w:rStyle w:val="sb8d990e2"/>
        </w:rPr>
        <w:t xml:space="preserve">kaitējumu </w:t>
      </w:r>
      <w:r w:rsidR="008F0342">
        <w:rPr>
          <w:rStyle w:val="sb8d990e2"/>
        </w:rPr>
        <w:t xml:space="preserve">(skatīt </w:t>
      </w:r>
      <w:r w:rsidR="008F0342">
        <w:rPr>
          <w:i/>
        </w:rPr>
        <w:t>Sýkora pret Čehiju</w:t>
      </w:r>
      <w:r w:rsidR="008F0342">
        <w:t xml:space="preserve">, Nr. 23419/07, 56. rindkopa, 2012. gada 22. novembris). Ņemot vērā to, ka konkrētie apstākļi ir salīdzināmi, </w:t>
      </w:r>
      <w:r w:rsidR="00D736BE">
        <w:t xml:space="preserve">Tiesa </w:t>
      </w:r>
      <w:r w:rsidR="008F0342">
        <w:t>noraida Valdības iebildumu.</w:t>
      </w:r>
    </w:p>
    <w:p w:rsidR="00727808" w:rsidRPr="00F075F6" w:rsidRDefault="00167F4C" w:rsidP="00727808">
      <w:pPr>
        <w:pStyle w:val="ECHRHeading3"/>
        <w:rPr>
          <w:rStyle w:val="sb8d990e2"/>
        </w:rPr>
      </w:pPr>
      <w:r>
        <w:rPr>
          <w:rStyle w:val="sb8d990e2"/>
        </w:rPr>
        <w:t>4.  Secinājums</w:t>
      </w:r>
    </w:p>
    <w:p w:rsidR="00727808" w:rsidRPr="00722883" w:rsidRDefault="00FE1BE2" w:rsidP="00722883">
      <w:pPr>
        <w:pStyle w:val="ECHRPara"/>
        <w:rPr>
          <w:highlight w:val="yellow"/>
        </w:rPr>
      </w:pPr>
      <w:r w:rsidRPr="00D379A1">
        <w:rPr>
          <w:rStyle w:val="JuParaCar"/>
        </w:rPr>
        <w:fldChar w:fldCharType="begin"/>
      </w:r>
      <w:r w:rsidR="00727808" w:rsidRPr="00D379A1">
        <w:rPr>
          <w:rStyle w:val="JuParaCar"/>
        </w:rPr>
        <w:instrText xml:space="preserve"> SEQ level0 \*arabic </w:instrText>
      </w:r>
      <w:r w:rsidRPr="00D379A1">
        <w:rPr>
          <w:rStyle w:val="JuParaCar"/>
        </w:rPr>
        <w:fldChar w:fldCharType="separate"/>
      </w:r>
      <w:r w:rsidR="00376F97">
        <w:rPr>
          <w:rStyle w:val="JuParaCar"/>
          <w:noProof/>
        </w:rPr>
        <w:t>43</w:t>
      </w:r>
      <w:r w:rsidRPr="00D379A1">
        <w:rPr>
          <w:rStyle w:val="JuParaCar"/>
        </w:rPr>
        <w:fldChar w:fldCharType="end"/>
      </w:r>
      <w:r w:rsidR="00727808">
        <w:rPr>
          <w:rStyle w:val="JuParaCar"/>
        </w:rPr>
        <w:t>.  </w:t>
      </w:r>
      <w:r w:rsidR="00727808">
        <w:rPr>
          <w:rStyle w:val="sb8d990e2"/>
        </w:rPr>
        <w:t>Tiesa izskatīs iesniedzēja apcietinājuma likumību 5.panta 1.</w:t>
      </w:r>
      <w:r w:rsidR="006F3312">
        <w:rPr>
          <w:rStyle w:val="sb8d990e2"/>
        </w:rPr>
        <w:t xml:space="preserve">punkta kontekstā </w:t>
      </w:r>
      <w:r w:rsidR="00D736BE">
        <w:rPr>
          <w:rStyle w:val="sb8d990e2"/>
        </w:rPr>
        <w:t>par laika posmu</w:t>
      </w:r>
      <w:r w:rsidR="00727808">
        <w:rPr>
          <w:rStyle w:val="sb8d990e2"/>
        </w:rPr>
        <w:t xml:space="preserve"> no 2006. gada 21. augusta līdz 17. oktobrim un saskaņā ar 5.panta 3.punktu </w:t>
      </w:r>
      <w:r w:rsidR="00D736BE">
        <w:rPr>
          <w:rStyle w:val="sb8d990e2"/>
        </w:rPr>
        <w:t xml:space="preserve">par </w:t>
      </w:r>
      <w:r w:rsidR="00727808">
        <w:rPr>
          <w:rStyle w:val="sb8d990e2"/>
        </w:rPr>
        <w:t xml:space="preserve">viņa </w:t>
      </w:r>
      <w:r w:rsidR="00EC2146">
        <w:rPr>
          <w:rStyle w:val="sb8d990e2"/>
        </w:rPr>
        <w:t>apcietinājumu, kas ilga</w:t>
      </w:r>
      <w:r w:rsidR="00727808">
        <w:rPr>
          <w:rStyle w:val="sb8d990e2"/>
        </w:rPr>
        <w:t xml:space="preserve"> </w:t>
      </w:r>
      <w:r w:rsidR="00EC2146">
        <w:t>četrus</w:t>
      </w:r>
      <w:r w:rsidR="00727808">
        <w:t xml:space="preserve"> mēneš</w:t>
      </w:r>
      <w:r w:rsidR="00EC2146">
        <w:t>us</w:t>
      </w:r>
      <w:r w:rsidR="00727808">
        <w:t xml:space="preserve"> </w:t>
      </w:r>
      <w:r w:rsidR="00EC2146">
        <w:t>trīs</w:t>
      </w:r>
      <w:r w:rsidR="00727808">
        <w:t xml:space="preserve"> nedēļas un </w:t>
      </w:r>
      <w:r w:rsidR="00EC2146">
        <w:t>piecas</w:t>
      </w:r>
      <w:r w:rsidR="00727808">
        <w:t xml:space="preserve"> dienas</w:t>
      </w:r>
      <w:r w:rsidR="00727808">
        <w:rPr>
          <w:rStyle w:val="sb8d990e2"/>
        </w:rPr>
        <w:t>. Šajā daļā Tiesa uzskata, ka sūdzības nav acīmredzami nepamatotas Konvencijas 35.panta 3.punkta a) apakšpunkta izpratnē. Nav konstatēts neviens cits iemesls, lai atzītu t</w:t>
      </w:r>
      <w:r w:rsidR="00EC2146">
        <w:rPr>
          <w:rStyle w:val="sb8d990e2"/>
        </w:rPr>
        <w:t>ās</w:t>
      </w:r>
      <w:r w:rsidR="00727808">
        <w:rPr>
          <w:rStyle w:val="sb8d990e2"/>
        </w:rPr>
        <w:t xml:space="preserve"> par nepieņemam</w:t>
      </w:r>
      <w:r w:rsidR="00EC2146">
        <w:rPr>
          <w:rStyle w:val="sb8d990e2"/>
        </w:rPr>
        <w:t>amām</w:t>
      </w:r>
      <w:r w:rsidR="00727808">
        <w:rPr>
          <w:rStyle w:val="sb8d990e2"/>
        </w:rPr>
        <w:t xml:space="preserve">. Atliekot jautājuma par nacionālo </w:t>
      </w:r>
      <w:r w:rsidR="001C1171">
        <w:rPr>
          <w:rStyle w:val="sb8d990e2"/>
        </w:rPr>
        <w:t xml:space="preserve">tiesību </w:t>
      </w:r>
      <w:r w:rsidR="00727808">
        <w:rPr>
          <w:rStyle w:val="sb8d990e2"/>
        </w:rPr>
        <w:t>aizsardzības līdzekļu izskatīšanu uz vēlāku stadiju, uzskata to par pieņemamu.</w:t>
      </w:r>
    </w:p>
    <w:p w:rsidR="00014566" w:rsidRDefault="00014566" w:rsidP="00014566">
      <w:pPr>
        <w:pStyle w:val="ECHRHeading2"/>
        <w:outlineLvl w:val="0"/>
      </w:pPr>
      <w:r>
        <w:t>B. Sūdzības būtība</w:t>
      </w:r>
    </w:p>
    <w:p w:rsidR="00B2615B" w:rsidRDefault="001D1FE1" w:rsidP="001D1FE1">
      <w:pPr>
        <w:pStyle w:val="ECHRHeading3"/>
      </w:pPr>
      <w:r>
        <w:t>1.  Sūdzība saskaņā ar 5.panta 1.punkta c) apakšpunktu</w:t>
      </w:r>
    </w:p>
    <w:p w:rsidR="00014566" w:rsidRPr="00062973" w:rsidRDefault="00AA797E" w:rsidP="00C621C2">
      <w:pPr>
        <w:pStyle w:val="ECHRPara"/>
      </w:pPr>
      <w:r>
        <w:fldChar w:fldCharType="begin"/>
      </w:r>
      <w:r>
        <w:instrText xml:space="preserve"> SEQ level0 \*arabic </w:instrText>
      </w:r>
      <w:r>
        <w:fldChar w:fldCharType="separate"/>
      </w:r>
      <w:r w:rsidR="00376F97">
        <w:rPr>
          <w:noProof/>
        </w:rPr>
        <w:t>44</w:t>
      </w:r>
      <w:r>
        <w:rPr>
          <w:noProof/>
        </w:rPr>
        <w:fldChar w:fldCharType="end"/>
      </w:r>
      <w:r w:rsidR="000C06B1">
        <w:t>.  Iesniedzējs uzturēja savu sākotnējo sūdzību pēc būtības.</w:t>
      </w:r>
    </w:p>
    <w:p w:rsidR="00B2615B" w:rsidRDefault="00FE1BE2" w:rsidP="00B2615B">
      <w:pPr>
        <w:pStyle w:val="ECHRPara"/>
      </w:pPr>
      <w:r>
        <w:fldChar w:fldCharType="begin"/>
      </w:r>
      <w:r w:rsidR="007A3CCB">
        <w:instrText xml:space="preserve"> SEQ level0 \*arabic </w:instrText>
      </w:r>
      <w:r>
        <w:fldChar w:fldCharType="separate"/>
      </w:r>
      <w:r w:rsidR="00376F97">
        <w:rPr>
          <w:noProof/>
        </w:rPr>
        <w:t>45</w:t>
      </w:r>
      <w:r>
        <w:fldChar w:fldCharType="end"/>
      </w:r>
      <w:r w:rsidR="007A3CCB">
        <w:t xml:space="preserve">.  Valdība norādīja, ka iesniedzējs </w:t>
      </w:r>
      <w:r w:rsidR="001C1171">
        <w:t xml:space="preserve">nebija </w:t>
      </w:r>
      <w:r w:rsidR="007A3CCB">
        <w:t>savlaicīgi iesniedzis savu lūgumu mainīt drošības līdzekli (skatīt iepriekš </w:t>
      </w:r>
      <w:r w:rsidR="007B4B9C">
        <w:fldChar w:fldCharType="begin"/>
      </w:r>
      <w:r w:rsidR="007B4B9C">
        <w:instrText xml:space="preserve"> REF PrelObj_appelCourt \h  \* MERGEFORMAT </w:instrText>
      </w:r>
      <w:r w:rsidR="007B4B9C">
        <w:fldChar w:fldCharType="separate"/>
      </w:r>
      <w:r w:rsidR="00376F97">
        <w:rPr>
          <w:rStyle w:val="sb8d990e2"/>
          <w:noProof/>
        </w:rPr>
        <w:t>37</w:t>
      </w:r>
      <w:r w:rsidR="007B4B9C">
        <w:fldChar w:fldCharType="end"/>
      </w:r>
      <w:r w:rsidR="00D736BE">
        <w:t>.</w:t>
      </w:r>
      <w:r w:rsidR="007A3CCB">
        <w:t xml:space="preserve"> rindkopu). Saskaņā ar </w:t>
      </w:r>
      <w:r w:rsidR="00094D02">
        <w:t xml:space="preserve">tās </w:t>
      </w:r>
      <w:r w:rsidR="007A3CCB">
        <w:t xml:space="preserve">apgalvojumiem, pat, ja laika posmā no 2006. gada 21. augusta līdz 13. septembrim iesniedzējs tika paturēts apcietinājumā bez tiesas lēmuma, situācija tika </w:t>
      </w:r>
      <w:r w:rsidR="00095117">
        <w:t xml:space="preserve">noregulēta </w:t>
      </w:r>
      <w:r w:rsidR="007A3CCB">
        <w:t xml:space="preserve">2006. gada 13. septembrī, kad tiesa pieņēma lēmumu par </w:t>
      </w:r>
      <w:r w:rsidR="00095117">
        <w:t>apcietinājuma piemērošanu</w:t>
      </w:r>
      <w:r w:rsidR="007A3CCB">
        <w:t>, un 2006. gada 17. oktobrī, kad lēmums tika atcelts.</w:t>
      </w:r>
    </w:p>
    <w:p w:rsidR="005C3A13" w:rsidRPr="005C3A13" w:rsidRDefault="00FE1BE2" w:rsidP="005C3A13">
      <w:pPr>
        <w:pStyle w:val="ECHRPara"/>
        <w:rPr>
          <w:i/>
        </w:rPr>
      </w:pPr>
      <w:r>
        <w:fldChar w:fldCharType="begin"/>
      </w:r>
      <w:r w:rsidR="00777ED1">
        <w:instrText xml:space="preserve"> SEQ level0 \*arabic </w:instrText>
      </w:r>
      <w:r>
        <w:fldChar w:fldCharType="separate"/>
      </w:r>
      <w:r w:rsidR="00376F97">
        <w:rPr>
          <w:noProof/>
        </w:rPr>
        <w:t>46</w:t>
      </w:r>
      <w:r>
        <w:fldChar w:fldCharType="end"/>
      </w:r>
      <w:r w:rsidR="00777ED1">
        <w:t>.  Tiesa</w:t>
      </w:r>
      <w:r w:rsidR="00777ED1">
        <w:rPr>
          <w:rStyle w:val="sb8d990e2"/>
        </w:rPr>
        <w:t xml:space="preserve"> sākumā atsaucas uz vispārējiem principiem saistībā ar tiesībām, ko garantē Konvencijas </w:t>
      </w:r>
      <w:r w:rsidR="00777ED1">
        <w:t>5. panta 1.punkta c) apakšpunkts (apkopotas tiesas iedibinātā judikatūrā</w:t>
      </w:r>
      <w:r w:rsidR="00777ED1">
        <w:rPr>
          <w:rStyle w:val="sb8d990e2"/>
        </w:rPr>
        <w:t xml:space="preserve">, kā, piemēram, </w:t>
      </w:r>
      <w:r w:rsidR="00777ED1">
        <w:rPr>
          <w:i/>
        </w:rPr>
        <w:t>Svipsta pret Latviju</w:t>
      </w:r>
      <w:r w:rsidR="00777ED1">
        <w:t>, Nr. 66820/01, 79. rindkopa, 2006. gada 9. marts), un atkārto,</w:t>
      </w:r>
      <w:r w:rsidR="00777ED1">
        <w:rPr>
          <w:rStyle w:val="sb8d990e2"/>
        </w:rPr>
        <w:t xml:space="preserve"> ka apcietinājuma termiņš, principā, ir “likumīgs”, ja tas ir balstīts uz </w:t>
      </w:r>
      <w:r w:rsidR="00095117">
        <w:rPr>
          <w:rStyle w:val="sb8d990e2"/>
        </w:rPr>
        <w:t>tiesas lēmumu</w:t>
      </w:r>
      <w:r w:rsidR="00777ED1">
        <w:rPr>
          <w:rStyle w:val="sb8d990e2"/>
        </w:rPr>
        <w:t xml:space="preserve"> (</w:t>
      </w:r>
      <w:r w:rsidR="00777ED1">
        <w:rPr>
          <w:i/>
        </w:rPr>
        <w:t xml:space="preserve">Mooren pret Vāciju </w:t>
      </w:r>
      <w:r w:rsidR="00777ED1">
        <w:t>[</w:t>
      </w:r>
      <w:r w:rsidR="00095117">
        <w:t>Lielā palāta</w:t>
      </w:r>
      <w:r w:rsidR="00777ED1">
        <w:t>], Nr. 11364/03, 74. rindkopa, 2009. gada 9. jūlijs).</w:t>
      </w:r>
    </w:p>
    <w:p w:rsidR="005C3A13" w:rsidRPr="00EF1318" w:rsidRDefault="00FE1BE2" w:rsidP="009A1E81">
      <w:pPr>
        <w:pStyle w:val="ECHRPara"/>
        <w:rPr>
          <w:rStyle w:val="sb8d990e2"/>
        </w:rPr>
      </w:pPr>
      <w:r>
        <w:fldChar w:fldCharType="begin"/>
      </w:r>
      <w:r w:rsidR="007A3CCB">
        <w:instrText xml:space="preserve"> SEQ level0 \*arabic </w:instrText>
      </w:r>
      <w:r>
        <w:fldChar w:fldCharType="separate"/>
      </w:r>
      <w:r w:rsidR="00376F97">
        <w:rPr>
          <w:noProof/>
        </w:rPr>
        <w:t>47</w:t>
      </w:r>
      <w:r>
        <w:fldChar w:fldCharType="end"/>
      </w:r>
      <w:r w:rsidR="007A3CCB">
        <w:t>.  Atgriežoties pie konkrētās lietas, Tiesa ņem vērā to, ka starp pusēm nav strīda par to, ka no 2006. gada 21. augusta, kad apelācij</w:t>
      </w:r>
      <w:r w:rsidR="00D736BE">
        <w:t>as instances tiesa atcēla zemāka</w:t>
      </w:r>
      <w:r w:rsidR="007A3CCB">
        <w:t xml:space="preserve">s instances tiesas spriedumu, līdz 2006. gada 13. septembrim </w:t>
      </w:r>
      <w:r w:rsidR="00095117">
        <w:rPr>
          <w:rStyle w:val="sb8d990e2"/>
        </w:rPr>
        <w:t>tiesnesis nebija pieņēmis</w:t>
      </w:r>
      <w:r w:rsidR="00E036CA">
        <w:rPr>
          <w:rStyle w:val="sb8d990e2"/>
        </w:rPr>
        <w:t xml:space="preserve"> </w:t>
      </w:r>
      <w:r w:rsidR="007A3CCB">
        <w:rPr>
          <w:rStyle w:val="sb8d990e2"/>
        </w:rPr>
        <w:t xml:space="preserve">nevienu </w:t>
      </w:r>
      <w:r w:rsidR="00095117">
        <w:rPr>
          <w:rStyle w:val="sb8d990e2"/>
        </w:rPr>
        <w:t>lēmumu</w:t>
      </w:r>
      <w:r w:rsidR="007A3CCB">
        <w:rPr>
          <w:rStyle w:val="sb8d990e2"/>
        </w:rPr>
        <w:t xml:space="preserve">, </w:t>
      </w:r>
      <w:r w:rsidR="00095117">
        <w:rPr>
          <w:rStyle w:val="sb8d990e2"/>
        </w:rPr>
        <w:t>kas ļautu</w:t>
      </w:r>
      <w:r w:rsidR="007A3CCB">
        <w:rPr>
          <w:rStyle w:val="sb8d990e2"/>
        </w:rPr>
        <w:t xml:space="preserve"> apcietināt iesniedzēju, savukārt iesniedzējam nebija </w:t>
      </w:r>
      <w:r w:rsidR="00095117">
        <w:rPr>
          <w:rStyle w:val="sb8d990e2"/>
        </w:rPr>
        <w:t xml:space="preserve">skaidrs </w:t>
      </w:r>
      <w:r w:rsidR="007A3CCB">
        <w:rPr>
          <w:rStyle w:val="sb8d990e2"/>
        </w:rPr>
        <w:t xml:space="preserve">viņa apcietinājuma </w:t>
      </w:r>
      <w:r w:rsidR="00095117">
        <w:rPr>
          <w:rStyle w:val="sb8d990e2"/>
        </w:rPr>
        <w:t>pamatojums</w:t>
      </w:r>
      <w:r w:rsidR="007A3CCB">
        <w:rPr>
          <w:rStyle w:val="sb8d990e2"/>
        </w:rPr>
        <w:t>. Šāda situācija ir pretrunā ar tiesiskās noteiktības un aizsardzības pret patvaļu principu, ko nosaka Konvencijas 5.pants (skatīt</w:t>
      </w:r>
      <w:r w:rsidR="007A3CCB">
        <w:rPr>
          <w:i/>
        </w:rPr>
        <w:t xml:space="preserve"> Baranowski pret Poliju</w:t>
      </w:r>
      <w:r w:rsidR="007A3CCB">
        <w:t xml:space="preserve">, Nr. 28358/95, </w:t>
      </w:r>
      <w:r w:rsidR="007A3CCB">
        <w:rPr>
          <w:rStyle w:val="sb8d990e2"/>
        </w:rPr>
        <w:t>53.-58. rindkopa</w:t>
      </w:r>
      <w:r w:rsidR="007A3CCB">
        <w:t>, ECTK 2000</w:t>
      </w:r>
      <w:r w:rsidR="007A3CCB">
        <w:noBreakHyphen/>
        <w:t>III</w:t>
      </w:r>
      <w:r w:rsidR="007A3CCB">
        <w:rPr>
          <w:rStyle w:val="sb8d990e2"/>
        </w:rPr>
        <w:t xml:space="preserve">, </w:t>
      </w:r>
      <w:r w:rsidR="007A3CCB">
        <w:rPr>
          <w:i/>
        </w:rPr>
        <w:t>Jėčius pret Lietuvu</w:t>
      </w:r>
      <w:r w:rsidR="007A3CCB">
        <w:t xml:space="preserve">, Nr. 34578/97, </w:t>
      </w:r>
      <w:r w:rsidR="007A3CCB">
        <w:rPr>
          <w:rStyle w:val="sb8d990e2"/>
        </w:rPr>
        <w:t>60.-64. rindkopa</w:t>
      </w:r>
      <w:r w:rsidR="007A3CCB">
        <w:t>, ECTK 2000</w:t>
      </w:r>
      <w:r w:rsidR="007A3CCB">
        <w:noBreakHyphen/>
        <w:t>IX</w:t>
      </w:r>
      <w:r w:rsidR="007A3CCB">
        <w:rPr>
          <w:rStyle w:val="sb8d990e2"/>
        </w:rPr>
        <w:t xml:space="preserve">), un </w:t>
      </w:r>
      <w:r w:rsidR="00095117">
        <w:rPr>
          <w:rStyle w:val="sb8d990e2"/>
        </w:rPr>
        <w:t xml:space="preserve">rada </w:t>
      </w:r>
      <w:r w:rsidR="007A3CCB">
        <w:rPr>
          <w:rStyle w:val="sb8d990e2"/>
        </w:rPr>
        <w:t xml:space="preserve">problēmu 5.panta 1.punkta c) </w:t>
      </w:r>
      <w:r w:rsidR="00095117">
        <w:rPr>
          <w:rStyle w:val="sb8d990e2"/>
        </w:rPr>
        <w:t xml:space="preserve">apakšpunkta kontekstā </w:t>
      </w:r>
      <w:r w:rsidR="007A3CCB">
        <w:rPr>
          <w:rStyle w:val="sb8d990e2"/>
        </w:rPr>
        <w:t xml:space="preserve">(skatīt </w:t>
      </w:r>
      <w:r w:rsidR="007A3CCB">
        <w:rPr>
          <w:rStyle w:val="sb8d990e2"/>
          <w:i/>
        </w:rPr>
        <w:t>Svipsta</w:t>
      </w:r>
      <w:r w:rsidR="007A3CCB">
        <w:rPr>
          <w:rStyle w:val="sb8d990e2"/>
        </w:rPr>
        <w:t>, citēts iepriekš, 85. rindkopa).</w:t>
      </w:r>
    </w:p>
    <w:bookmarkStart w:id="11" w:name="On_art276"/>
    <w:p w:rsidR="00365D68" w:rsidRPr="00870027" w:rsidRDefault="00FE1BE2" w:rsidP="007C50EE">
      <w:pPr>
        <w:pStyle w:val="ECHRPara"/>
        <w:rPr>
          <w:rStyle w:val="sb8d990e2"/>
          <w:i/>
        </w:rPr>
      </w:pPr>
      <w:r>
        <w:rPr>
          <w:rStyle w:val="sb8d990e2"/>
        </w:rPr>
        <w:fldChar w:fldCharType="begin"/>
      </w:r>
      <w:r w:rsidR="005C3A13">
        <w:rPr>
          <w:rStyle w:val="sb8d990e2"/>
        </w:rPr>
        <w:instrText xml:space="preserve"> SEQ level0 \*arabic </w:instrText>
      </w:r>
      <w:r>
        <w:rPr>
          <w:rStyle w:val="sb8d990e2"/>
        </w:rPr>
        <w:fldChar w:fldCharType="separate"/>
      </w:r>
      <w:r w:rsidR="00376F97">
        <w:rPr>
          <w:rStyle w:val="sb8d990e2"/>
          <w:noProof/>
        </w:rPr>
        <w:t>48</w:t>
      </w:r>
      <w:r>
        <w:rPr>
          <w:rStyle w:val="sb8d990e2"/>
        </w:rPr>
        <w:fldChar w:fldCharType="end"/>
      </w:r>
      <w:bookmarkEnd w:id="11"/>
      <w:r w:rsidR="005C3A13">
        <w:rPr>
          <w:rStyle w:val="sb8d990e2"/>
        </w:rPr>
        <w:t xml:space="preserve">.  Attiecībā uz jautājumu, vai šis apcietinājuma periods bija saskaņā ar "likumā noteikto kārtību", Tiesa atsaucas uz Valdības sākotnējiem iebildumiem par to, ka iesniedzējs </w:t>
      </w:r>
      <w:r w:rsidR="00095117">
        <w:rPr>
          <w:rStyle w:val="sb8d990e2"/>
        </w:rPr>
        <w:t xml:space="preserve">nebija </w:t>
      </w:r>
      <w:r w:rsidR="005C3A13">
        <w:rPr>
          <w:rStyle w:val="sb8d990e2"/>
        </w:rPr>
        <w:t xml:space="preserve">lūdzis pārskatīt savu apcietinājumu apelācijas instances tiesvedības laikā (skatīt iepriekš </w:t>
      </w:r>
      <w:r w:rsidR="007B4B9C">
        <w:fldChar w:fldCharType="begin"/>
      </w:r>
      <w:r w:rsidR="007B4B9C">
        <w:instrText xml:space="preserve"> REF PrelObj_appelCourt \h  \* MERGEFORMAT </w:instrText>
      </w:r>
      <w:r w:rsidR="007B4B9C">
        <w:fldChar w:fldCharType="separate"/>
      </w:r>
      <w:r w:rsidR="00376F97">
        <w:rPr>
          <w:rStyle w:val="sb8d990e2"/>
          <w:noProof/>
        </w:rPr>
        <w:t>37</w:t>
      </w:r>
      <w:r w:rsidR="007B4B9C">
        <w:fldChar w:fldCharType="end"/>
      </w:r>
      <w:r w:rsidR="000A7196">
        <w:rPr>
          <w:rStyle w:val="sb8d990e2"/>
        </w:rPr>
        <w:t>.</w:t>
      </w:r>
      <w:r w:rsidR="005C3A13">
        <w:rPr>
          <w:rStyle w:val="sb8d990e2"/>
        </w:rPr>
        <w:t xml:space="preserve"> rindkopu). Atspēkojot šo argumentu, Tiesa atsaucas uz Kriminālprocesa likuma 276.pantu (skatīt iepriekš </w:t>
      </w:r>
      <w:r w:rsidR="007B4B9C">
        <w:fldChar w:fldCharType="begin"/>
      </w:r>
      <w:r w:rsidR="007B4B9C">
        <w:instrText xml:space="preserve"> REF art276_CPL \h  \* MERGEFORMAT </w:instrText>
      </w:r>
      <w:r w:rsidR="007B4B9C">
        <w:fldChar w:fldCharType="separate"/>
      </w:r>
      <w:r w:rsidR="00376F97">
        <w:rPr>
          <w:noProof/>
        </w:rPr>
        <w:t>22</w:t>
      </w:r>
      <w:r w:rsidR="007B4B9C">
        <w:fldChar w:fldCharType="end"/>
      </w:r>
      <w:r w:rsidR="000A7196">
        <w:rPr>
          <w:rStyle w:val="sb8d990e2"/>
        </w:rPr>
        <w:t>.</w:t>
      </w:r>
      <w:r w:rsidR="005C3A13">
        <w:rPr>
          <w:rStyle w:val="sb8d990e2"/>
        </w:rPr>
        <w:t xml:space="preserve"> rindkopu), kas paredz nacionālās tiesas kompetenci lemt par apcietinājumu pēc savas iniciatīvas. </w:t>
      </w:r>
      <w:r w:rsidR="005C3A13">
        <w:t xml:space="preserve">Neatkarīgi no iesniedzēja iepriekšējiem lūgumiem mainīt </w:t>
      </w:r>
      <w:r w:rsidR="00095117">
        <w:t>drošības līdzekli</w:t>
      </w:r>
      <w:r w:rsidR="005C3A13">
        <w:t>,</w:t>
      </w:r>
      <w:r w:rsidR="005C3A13">
        <w:rPr>
          <w:rStyle w:val="sb8d990e2"/>
        </w:rPr>
        <w:t xml:space="preserve"> nešķiet, ka nacionālās tiesas </w:t>
      </w:r>
      <w:r w:rsidR="00095117">
        <w:rPr>
          <w:rStyle w:val="sb8d990e2"/>
        </w:rPr>
        <w:t xml:space="preserve">bija </w:t>
      </w:r>
      <w:r w:rsidR="005C3A13">
        <w:rPr>
          <w:rStyle w:val="sb8d990e2"/>
        </w:rPr>
        <w:t xml:space="preserve">rīkojušās saskaņā ar attiecīgo KPL normu ar mērķi aizsargāt indivīdu no patvaļas (skatīt </w:t>
      </w:r>
      <w:r w:rsidR="005C3A13">
        <w:rPr>
          <w:rStyle w:val="sb8d990e2"/>
          <w:i/>
        </w:rPr>
        <w:t xml:space="preserve">Mooren, </w:t>
      </w:r>
      <w:r w:rsidR="005C3A13">
        <w:rPr>
          <w:rStyle w:val="sb8d990e2"/>
        </w:rPr>
        <w:t xml:space="preserve">citēts iepriekš, 72. rindkopa). Līdz ar to, </w:t>
      </w:r>
      <w:r w:rsidR="005C3A13">
        <w:rPr>
          <w:rStyle w:val="s9da01b7c"/>
        </w:rPr>
        <w:t xml:space="preserve">ņemot vērā faktu, ka iespējamais pārkāpums ir radies no tiesību normas interpretācijas, kura pēc satura nav antikonstitucionāla, individuālas konstitucionālās sūdzības </w:t>
      </w:r>
      <w:r w:rsidR="00095117">
        <w:rPr>
          <w:rStyle w:val="s9da01b7c"/>
        </w:rPr>
        <w:t xml:space="preserve">iesniegšana </w:t>
      </w:r>
      <w:r w:rsidR="005C3A13">
        <w:rPr>
          <w:rStyle w:val="s9da01b7c"/>
        </w:rPr>
        <w:t xml:space="preserve">nav uzskatāma par efektīvu </w:t>
      </w:r>
      <w:r w:rsidR="00095117">
        <w:rPr>
          <w:rStyle w:val="s9da01b7c"/>
        </w:rPr>
        <w:t xml:space="preserve">tiesību </w:t>
      </w:r>
      <w:r w:rsidR="005C3A13">
        <w:rPr>
          <w:rStyle w:val="s9da01b7c"/>
        </w:rPr>
        <w:t xml:space="preserve">aizsardzības līdzekli (skatīt </w:t>
      </w:r>
      <w:r w:rsidR="005C3A13">
        <w:rPr>
          <w:i/>
        </w:rPr>
        <w:t>Savičs pret Latviju</w:t>
      </w:r>
      <w:r w:rsidR="005C3A13">
        <w:t>, Nr. 17892/03, 113. rindkopa, 2012. gada 27. novembris</w:t>
      </w:r>
      <w:r w:rsidR="005C3A13">
        <w:rPr>
          <w:rStyle w:val="s9da01b7c"/>
        </w:rPr>
        <w:t xml:space="preserve">, un </w:t>
      </w:r>
      <w:r w:rsidR="005C3A13">
        <w:rPr>
          <w:rStyle w:val="s9da01b7c"/>
          <w:i/>
        </w:rPr>
        <w:t>Liepājnieks pret Latviju</w:t>
      </w:r>
      <w:r w:rsidR="005C3A13">
        <w:rPr>
          <w:rStyle w:val="s9da01b7c"/>
        </w:rPr>
        <w:t xml:space="preserve"> (</w:t>
      </w:r>
      <w:r w:rsidR="00095117">
        <w:rPr>
          <w:rStyle w:val="s9da01b7c"/>
        </w:rPr>
        <w:t>lēmums</w:t>
      </w:r>
      <w:r w:rsidR="005C3A13">
        <w:rPr>
          <w:rStyle w:val="s9da01b7c"/>
        </w:rPr>
        <w:t>), Nr. </w:t>
      </w:r>
      <w:r w:rsidR="005C3A13">
        <w:rPr>
          <w:rStyle w:val="textcolumn"/>
        </w:rPr>
        <w:t>37586/06</w:t>
      </w:r>
      <w:r w:rsidR="005C3A13">
        <w:rPr>
          <w:rStyle w:val="s9da01b7c"/>
        </w:rPr>
        <w:t xml:space="preserve">, </w:t>
      </w:r>
      <w:r w:rsidR="005C3A13">
        <w:t>73. rindkopa,</w:t>
      </w:r>
      <w:r w:rsidR="005C3A13">
        <w:rPr>
          <w:rStyle w:val="s9da01b7c"/>
        </w:rPr>
        <w:t xml:space="preserve"> 2010. gada 2. novembris). Turklāt, atzīmējot to, ka Valdība ir norādījusi, ka </w:t>
      </w:r>
      <w:r w:rsidR="00115846">
        <w:rPr>
          <w:rStyle w:val="s9da01b7c"/>
        </w:rPr>
        <w:t xml:space="preserve">varētu tikt vērtēta vairāku </w:t>
      </w:r>
      <w:r w:rsidR="005C3A13">
        <w:rPr>
          <w:rStyle w:val="s9da01b7c"/>
        </w:rPr>
        <w:t xml:space="preserve">gan Kriminālprocesa kodeksa, gan Kriminālprocesa likuma </w:t>
      </w:r>
      <w:r w:rsidR="00115846">
        <w:rPr>
          <w:rStyle w:val="s9da01b7c"/>
        </w:rPr>
        <w:t xml:space="preserve">normu </w:t>
      </w:r>
      <w:r w:rsidR="00E036CA">
        <w:rPr>
          <w:rStyle w:val="s9da01b7c"/>
        </w:rPr>
        <w:t>konstitucionalitāte</w:t>
      </w:r>
      <w:r w:rsidR="005C3A13">
        <w:rPr>
          <w:rStyle w:val="s9da01b7c"/>
        </w:rPr>
        <w:t xml:space="preserve">, Tiesa jau ir nospriedusi, ka </w:t>
      </w:r>
      <w:r w:rsidR="005C3A13">
        <w:rPr>
          <w:rStyle w:val="sb8d990e2"/>
        </w:rPr>
        <w:t xml:space="preserve">plaša mēroga tiesību </w:t>
      </w:r>
      <w:r w:rsidR="005C3A13" w:rsidRPr="00E036CA">
        <w:rPr>
          <w:rStyle w:val="sb8d990e2"/>
        </w:rPr>
        <w:t xml:space="preserve">normu </w:t>
      </w:r>
      <w:r w:rsidR="00115846" w:rsidRPr="00E036CA">
        <w:rPr>
          <w:rFonts w:ascii="Times New Roman" w:hAnsi="Times New Roman" w:cs="Times New Roman"/>
          <w:bCs/>
        </w:rPr>
        <w:t>konstitucionalitātes</w:t>
      </w:r>
      <w:r w:rsidR="00115846" w:rsidRPr="00E036CA">
        <w:rPr>
          <w:rFonts w:ascii="Arial" w:hAnsi="Arial" w:cs="Arial"/>
          <w:b/>
          <w:bCs/>
        </w:rPr>
        <w:t xml:space="preserve"> </w:t>
      </w:r>
      <w:r w:rsidR="00115846">
        <w:rPr>
          <w:rStyle w:val="sb8d990e2"/>
        </w:rPr>
        <w:t xml:space="preserve">vērtēšana </w:t>
      </w:r>
      <w:r w:rsidR="005C3A13">
        <w:rPr>
          <w:rStyle w:val="sb8d990e2"/>
        </w:rPr>
        <w:t xml:space="preserve">nav uzskatāma par efektīvu </w:t>
      </w:r>
      <w:r w:rsidR="00115846">
        <w:rPr>
          <w:rStyle w:val="sb8d990e2"/>
        </w:rPr>
        <w:t xml:space="preserve">tiesību </w:t>
      </w:r>
      <w:r w:rsidR="005C3A13">
        <w:rPr>
          <w:rStyle w:val="sb8d990e2"/>
        </w:rPr>
        <w:t>aizsardzības līdzekli (</w:t>
      </w:r>
      <w:r w:rsidR="005C3A13">
        <w:rPr>
          <w:i/>
        </w:rPr>
        <w:t>Taraneks pret Latviju</w:t>
      </w:r>
      <w:r w:rsidR="005C3A13">
        <w:t>, Nr. 3082/06, 84. rindkopa, 2014. gada 2. decembris)</w:t>
      </w:r>
      <w:r w:rsidR="005C3A13">
        <w:rPr>
          <w:rStyle w:val="sb8d990e2"/>
          <w:i/>
        </w:rPr>
        <w:t xml:space="preserve">. </w:t>
      </w:r>
      <w:r w:rsidR="005C3A13">
        <w:rPr>
          <w:rStyle w:val="sb8d990e2"/>
        </w:rPr>
        <w:t xml:space="preserve">Ņemot vērā iepriekš minēto, Tiesa noraida Valdības iebildumu saistībā ar nacionālo </w:t>
      </w:r>
      <w:r w:rsidR="003F7B2D">
        <w:rPr>
          <w:rStyle w:val="sb8d990e2"/>
        </w:rPr>
        <w:t xml:space="preserve">tiesību </w:t>
      </w:r>
      <w:r w:rsidR="005C3A13">
        <w:rPr>
          <w:rStyle w:val="sb8d990e2"/>
        </w:rPr>
        <w:t>aizsardzības līdzekļu neizmantošanu.</w:t>
      </w:r>
    </w:p>
    <w:p w:rsidR="00067238" w:rsidRPr="00F075F6" w:rsidRDefault="00FE1BE2" w:rsidP="00E1438D">
      <w:pPr>
        <w:pStyle w:val="ECHRPara"/>
      </w:pPr>
      <w:r w:rsidRPr="00870027">
        <w:rPr>
          <w:rStyle w:val="sb8d990e2"/>
        </w:rPr>
        <w:fldChar w:fldCharType="begin"/>
      </w:r>
      <w:r w:rsidR="00926795" w:rsidRPr="00870027">
        <w:rPr>
          <w:rStyle w:val="sb8d990e2"/>
        </w:rPr>
        <w:instrText xml:space="preserve"> SEQ level0 \*arabic </w:instrText>
      </w:r>
      <w:r w:rsidRPr="00870027">
        <w:rPr>
          <w:rStyle w:val="sb8d990e2"/>
        </w:rPr>
        <w:fldChar w:fldCharType="separate"/>
      </w:r>
      <w:r w:rsidR="00376F97">
        <w:rPr>
          <w:rStyle w:val="sb8d990e2"/>
          <w:noProof/>
        </w:rPr>
        <w:t>49</w:t>
      </w:r>
      <w:r w:rsidRPr="00870027">
        <w:rPr>
          <w:rStyle w:val="sb8d990e2"/>
        </w:rPr>
        <w:fldChar w:fldCharType="end"/>
      </w:r>
      <w:r w:rsidR="00926795">
        <w:rPr>
          <w:rStyle w:val="sb8d990e2"/>
        </w:rPr>
        <w:t>.  </w:t>
      </w:r>
      <w:r w:rsidR="00926795">
        <w:t xml:space="preserve">Apcietinājuma periods no 13. septembra līdz 17. oktobrim un tā saprātīgums tiks </w:t>
      </w:r>
      <w:r w:rsidR="003F7B2D">
        <w:t>vērtēts</w:t>
      </w:r>
      <w:r w:rsidR="00926795">
        <w:t xml:space="preserve"> Konvencijas 5.panta 3.punkt</w:t>
      </w:r>
      <w:r w:rsidR="003F7B2D">
        <w:t>a kontekstā</w:t>
      </w:r>
      <w:r w:rsidR="00926795">
        <w:t>.</w:t>
      </w:r>
    </w:p>
    <w:p w:rsidR="00014566" w:rsidRPr="00062973" w:rsidRDefault="00FE1BE2" w:rsidP="00C621C2">
      <w:pPr>
        <w:pStyle w:val="ECHRPara"/>
      </w:pPr>
      <w:r w:rsidRPr="00870027">
        <w:fldChar w:fldCharType="begin"/>
      </w:r>
      <w:r w:rsidR="007A3CCB" w:rsidRPr="00870027">
        <w:instrText xml:space="preserve"> SEQ level0 \*arabic </w:instrText>
      </w:r>
      <w:r w:rsidRPr="00870027">
        <w:fldChar w:fldCharType="separate"/>
      </w:r>
      <w:r w:rsidR="00376F97">
        <w:rPr>
          <w:noProof/>
        </w:rPr>
        <w:t>50</w:t>
      </w:r>
      <w:r w:rsidRPr="00870027">
        <w:fldChar w:fldCharType="end"/>
      </w:r>
      <w:r w:rsidR="007A3CCB">
        <w:t>.  Iepriekš minētie apsvērumi ir pietiekami, lai ļautu Tiesai secināt, ka laika posmā no 2006. gada 21.</w:t>
      </w:r>
      <w:r w:rsidR="00E036CA">
        <w:t xml:space="preserve"> </w:t>
      </w:r>
      <w:r w:rsidR="007A3CCB">
        <w:t xml:space="preserve">augusta līdz 13. septembrim </w:t>
      </w:r>
      <w:r w:rsidR="007A3CCB">
        <w:rPr>
          <w:rStyle w:val="sb8d990e2"/>
        </w:rPr>
        <w:t>spēkā nebija neviens nacionālais lēmums vai cits "likumīgs" pamats iesniedzēja apcietinājumam.</w:t>
      </w:r>
    </w:p>
    <w:p w:rsidR="001D1FE1" w:rsidRDefault="00014566" w:rsidP="005039CE">
      <w:pPr>
        <w:pStyle w:val="ECHRPara"/>
      </w:pPr>
      <w:r>
        <w:t>Līdz ar to attiecīgi ir noticis Konvencijas 5.panta 1.punkta c) apakšpunkta pārkāpums.</w:t>
      </w:r>
    </w:p>
    <w:p w:rsidR="00FC50C1" w:rsidRPr="00FC50C1" w:rsidRDefault="001D1FE1" w:rsidP="00C74DDB">
      <w:pPr>
        <w:pStyle w:val="ECHRHeading3"/>
      </w:pPr>
      <w:r>
        <w:t>2.  Sūdzība saskaņā ar 5.panta 3.punktu</w:t>
      </w:r>
    </w:p>
    <w:p w:rsidR="001D1FE1" w:rsidRDefault="00FE1BE2" w:rsidP="001D1FE1">
      <w:pPr>
        <w:pStyle w:val="ECHRPara"/>
      </w:pPr>
      <w:r>
        <w:fldChar w:fldCharType="begin"/>
      </w:r>
      <w:r w:rsidR="001D1FE1">
        <w:instrText xml:space="preserve"> SEQ level0 \*arabic </w:instrText>
      </w:r>
      <w:r>
        <w:fldChar w:fldCharType="separate"/>
      </w:r>
      <w:r w:rsidR="00376F97">
        <w:rPr>
          <w:noProof/>
        </w:rPr>
        <w:t>51</w:t>
      </w:r>
      <w:r>
        <w:fldChar w:fldCharType="end"/>
      </w:r>
      <w:r w:rsidR="001D1FE1">
        <w:t>.  Iesniedzējs uzturēja savu sākotnējo sūdzību pēc būtības.</w:t>
      </w:r>
    </w:p>
    <w:p w:rsidR="001D1FE1" w:rsidRPr="00FB219B" w:rsidRDefault="00FE1BE2" w:rsidP="001D1FE1">
      <w:pPr>
        <w:pStyle w:val="ECHRPara"/>
      </w:pPr>
      <w:r w:rsidRPr="00FB219B">
        <w:fldChar w:fldCharType="begin"/>
      </w:r>
      <w:r w:rsidR="001D1FE1" w:rsidRPr="00FB219B">
        <w:instrText xml:space="preserve"> SEQ level0 \*arabic </w:instrText>
      </w:r>
      <w:r w:rsidRPr="00FB219B">
        <w:fldChar w:fldCharType="separate"/>
      </w:r>
      <w:r w:rsidR="00376F97">
        <w:rPr>
          <w:noProof/>
        </w:rPr>
        <w:t>52</w:t>
      </w:r>
      <w:r w:rsidRPr="00FB219B">
        <w:fldChar w:fldCharType="end"/>
      </w:r>
      <w:r w:rsidR="001D1FE1">
        <w:t xml:space="preserve">.  Valdība apgalvoja, ka iesniedzēja pirmstiesas apcietinājuma periods bija īss, pirmstiesas izmeklēšana tika pabeigta trīs mēnešos un līdz ar to tas bija krasā pretstatā citām Latvijas lietām, kurās tika konstatēts pārkāpums pārāk ilgas bezdarbības rezultātā. Atsaucoties uz lietu </w:t>
      </w:r>
      <w:r w:rsidR="001D1FE1">
        <w:rPr>
          <w:i/>
        </w:rPr>
        <w:t xml:space="preserve">Dergačovs pret Latviju </w:t>
      </w:r>
      <w:r w:rsidR="001D1FE1">
        <w:t>(</w:t>
      </w:r>
      <w:r w:rsidR="001301B1">
        <w:t>lēmums</w:t>
      </w:r>
      <w:r w:rsidR="001D1FE1">
        <w:t>), Nr. </w:t>
      </w:r>
      <w:r w:rsidR="001D1FE1">
        <w:rPr>
          <w:rStyle w:val="column01"/>
        </w:rPr>
        <w:t>417/06</w:t>
      </w:r>
      <w:r w:rsidR="001D1FE1">
        <w:t xml:space="preserve">, 2011. gada 12. aprīlis, Valdība atkārtoja, ka iesniedzējs </w:t>
      </w:r>
      <w:r w:rsidR="001301B1">
        <w:t xml:space="preserve">nebija </w:t>
      </w:r>
      <w:r w:rsidR="001D1FE1">
        <w:t xml:space="preserve">savlaicīgi iesniedzis savu lūgumu mainīt drošības līdzekli (skatīt iepriekš </w:t>
      </w:r>
      <w:r>
        <w:fldChar w:fldCharType="begin"/>
      </w:r>
      <w:r w:rsidR="00CF0459">
        <w:instrText xml:space="preserve"> REF PrelObj_appelCourt \h </w:instrText>
      </w:r>
      <w:r>
        <w:fldChar w:fldCharType="separate"/>
      </w:r>
      <w:r w:rsidR="00376F97">
        <w:rPr>
          <w:rStyle w:val="sb8d990e2"/>
          <w:noProof/>
        </w:rPr>
        <w:t>37</w:t>
      </w:r>
      <w:r>
        <w:fldChar w:fldCharType="end"/>
      </w:r>
      <w:r w:rsidR="00B800D0">
        <w:t>.</w:t>
      </w:r>
      <w:r w:rsidR="001D1FE1">
        <w:t> rindkopu).</w:t>
      </w:r>
    </w:p>
    <w:p w:rsidR="008616F7" w:rsidRDefault="00FE1BE2" w:rsidP="008616F7">
      <w:pPr>
        <w:pStyle w:val="ECHRPara"/>
        <w:rPr>
          <w:rStyle w:val="sb8d990e2"/>
        </w:rPr>
      </w:pPr>
      <w:r w:rsidRPr="00E55E0E">
        <w:fldChar w:fldCharType="begin"/>
      </w:r>
      <w:r w:rsidR="001D1FE1" w:rsidRPr="00E55E0E">
        <w:instrText xml:space="preserve"> SEQ level0 \*arabic </w:instrText>
      </w:r>
      <w:r w:rsidRPr="00E55E0E">
        <w:fldChar w:fldCharType="separate"/>
      </w:r>
      <w:r w:rsidR="00376F97" w:rsidRPr="00E55E0E">
        <w:rPr>
          <w:noProof/>
        </w:rPr>
        <w:t>53</w:t>
      </w:r>
      <w:r w:rsidRPr="00E55E0E">
        <w:fldChar w:fldCharType="end"/>
      </w:r>
      <w:r w:rsidR="001D1FE1" w:rsidRPr="00E55E0E">
        <w:t>.  </w:t>
      </w:r>
      <w:r w:rsidR="001D1FE1" w:rsidRPr="001E65AE">
        <w:rPr>
          <w:rStyle w:val="sb8d990e2"/>
        </w:rPr>
        <w:t>Ša</w:t>
      </w:r>
      <w:r w:rsidR="001D1FE1" w:rsidRPr="00F66C5C">
        <w:rPr>
          <w:rStyle w:val="sb8d990e2"/>
        </w:rPr>
        <w:t xml:space="preserve">jā </w:t>
      </w:r>
      <w:r w:rsidR="00AE0B8F" w:rsidRPr="00F17C29">
        <w:rPr>
          <w:rStyle w:val="sb8d990e2"/>
        </w:rPr>
        <w:t>sakarā</w:t>
      </w:r>
      <w:r w:rsidR="001D1FE1">
        <w:rPr>
          <w:rStyle w:val="sb8d990e2"/>
        </w:rPr>
        <w:t xml:space="preserve"> Tiesa atsaucas uz savu agrāko argumentāciju saskaņā ar 5. panta 1.punkta c) apakšpunktu (skatīt iepriekš </w:t>
      </w:r>
      <w:r w:rsidR="007B4B9C">
        <w:fldChar w:fldCharType="begin"/>
      </w:r>
      <w:r w:rsidR="007B4B9C">
        <w:instrText xml:space="preserve"> REF On_art276 \h  \* MERGEFORMAT </w:instrText>
      </w:r>
      <w:r w:rsidR="007B4B9C">
        <w:fldChar w:fldCharType="separate"/>
      </w:r>
      <w:r w:rsidR="00376F97">
        <w:rPr>
          <w:rStyle w:val="sb8d990e2"/>
          <w:noProof/>
        </w:rPr>
        <w:t>48</w:t>
      </w:r>
      <w:r w:rsidR="007B4B9C">
        <w:fldChar w:fldCharType="end"/>
      </w:r>
      <w:r w:rsidR="00AE0B8F">
        <w:rPr>
          <w:rStyle w:val="sb8d990e2"/>
        </w:rPr>
        <w:t>.</w:t>
      </w:r>
      <w:r w:rsidR="001D1FE1">
        <w:rPr>
          <w:rStyle w:val="sb8d990e2"/>
        </w:rPr>
        <w:t xml:space="preserve"> rindkopu). Turklāt</w:t>
      </w:r>
      <w:r w:rsidR="00E036CA">
        <w:rPr>
          <w:rStyle w:val="sb8d990e2"/>
        </w:rPr>
        <w:t xml:space="preserve"> </w:t>
      </w:r>
      <w:r w:rsidR="001D1FE1">
        <w:rPr>
          <w:rStyle w:val="sb8d990e2"/>
        </w:rPr>
        <w:t xml:space="preserve">Tiesa uzskata </w:t>
      </w:r>
      <w:r w:rsidR="001D1FE1">
        <w:rPr>
          <w:rStyle w:val="JuParaCar"/>
        </w:rPr>
        <w:t xml:space="preserve">par nepieciešamu nošķirt šo konkrēto lietu no lietas </w:t>
      </w:r>
      <w:r w:rsidR="001D1FE1">
        <w:rPr>
          <w:i/>
        </w:rPr>
        <w:t xml:space="preserve">Dergačovs pret Latviju </w:t>
      </w:r>
      <w:r w:rsidR="001D1FE1">
        <w:t>(</w:t>
      </w:r>
      <w:r w:rsidR="00E55E0E">
        <w:t>lēmums</w:t>
      </w:r>
      <w:r w:rsidR="001D1FE1">
        <w:t xml:space="preserve">) un </w:t>
      </w:r>
      <w:r w:rsidR="001D1FE1">
        <w:rPr>
          <w:i/>
        </w:rPr>
        <w:t>Ķipēns pret Latviju</w:t>
      </w:r>
      <w:r w:rsidR="001D1FE1">
        <w:t xml:space="preserve"> (</w:t>
      </w:r>
      <w:r w:rsidR="00E55E0E">
        <w:t>lēmums</w:t>
      </w:r>
      <w:r w:rsidR="001D1FE1">
        <w:t xml:space="preserve">), kuras abas ir citētas iepriekš. Šajās lietās </w:t>
      </w:r>
      <w:r w:rsidR="001D1FE1">
        <w:rPr>
          <w:rStyle w:val="sb8d990e2"/>
        </w:rPr>
        <w:t>iesniedzēj</w:t>
      </w:r>
      <w:r w:rsidR="00AE0B8F">
        <w:rPr>
          <w:rStyle w:val="sb8d990e2"/>
        </w:rPr>
        <w:t>i nepārsūdzēja nevienu no zemāka</w:t>
      </w:r>
      <w:r w:rsidR="001D1FE1">
        <w:rPr>
          <w:rStyle w:val="sb8d990e2"/>
        </w:rPr>
        <w:t xml:space="preserve">s instances tiesas lēmumiem apelācijas instances tiesai. </w:t>
      </w:r>
      <w:r w:rsidR="00EC2146">
        <w:rPr>
          <w:rStyle w:val="sb8d990e2"/>
        </w:rPr>
        <w:t>Savukārt i</w:t>
      </w:r>
      <w:r w:rsidR="001D1FE1">
        <w:rPr>
          <w:rStyle w:val="sb8d990e2"/>
        </w:rPr>
        <w:t xml:space="preserve">esniedzēja lietā Tiesa jau ir konstatējusi, ka laika posmā no </w:t>
      </w:r>
      <w:r w:rsidR="001D1FE1">
        <w:t xml:space="preserve">2006. gada 21. augusta līdz 13. septembrim </w:t>
      </w:r>
      <w:r w:rsidR="001D1FE1">
        <w:rPr>
          <w:rStyle w:val="sb8d990e2"/>
        </w:rPr>
        <w:t xml:space="preserve">nebija neviena </w:t>
      </w:r>
      <w:r w:rsidR="00E55E0E">
        <w:rPr>
          <w:rStyle w:val="sb8d990e2"/>
        </w:rPr>
        <w:t>lēmuma par apcietinājuma piemērošanu</w:t>
      </w:r>
      <w:r w:rsidR="001D1FE1">
        <w:rPr>
          <w:rStyle w:val="sb8d990e2"/>
        </w:rPr>
        <w:t xml:space="preserve">, ko pārsūdzēt, tāpēc iesniedzējs ir īstenojis savas tiesības pārsūdzēt </w:t>
      </w:r>
      <w:r w:rsidR="00E55E0E">
        <w:rPr>
          <w:rStyle w:val="sb8d990e2"/>
        </w:rPr>
        <w:t>lēmumu par apcietinājumu</w:t>
      </w:r>
      <w:r w:rsidR="001D1FE1">
        <w:rPr>
          <w:rStyle w:val="sb8d990e2"/>
        </w:rPr>
        <w:t xml:space="preserve">, kas tika </w:t>
      </w:r>
      <w:r w:rsidR="00E55E0E">
        <w:rPr>
          <w:rStyle w:val="sb8d990e2"/>
        </w:rPr>
        <w:t xml:space="preserve">pieņemts </w:t>
      </w:r>
      <w:r w:rsidR="001D1FE1">
        <w:rPr>
          <w:rStyle w:val="sb8d990e2"/>
        </w:rPr>
        <w:t>2006. gada 13. septembrī (skatīt iepriekš </w:t>
      </w:r>
      <w:r w:rsidR="007B4B9C">
        <w:fldChar w:fldCharType="begin"/>
      </w:r>
      <w:r w:rsidR="007B4B9C">
        <w:instrText xml:space="preserve"> REF Dec13092006 \h  \* MERGEFORMAT </w:instrText>
      </w:r>
      <w:r w:rsidR="007B4B9C">
        <w:fldChar w:fldCharType="separate"/>
      </w:r>
      <w:r w:rsidR="00376F97">
        <w:rPr>
          <w:noProof/>
        </w:rPr>
        <w:t>14</w:t>
      </w:r>
      <w:r w:rsidR="007B4B9C">
        <w:fldChar w:fldCharType="end"/>
      </w:r>
      <w:r w:rsidR="00AE0B8F">
        <w:rPr>
          <w:rStyle w:val="sb8d990e2"/>
        </w:rPr>
        <w:t>.</w:t>
      </w:r>
      <w:r w:rsidR="001D1FE1">
        <w:rPr>
          <w:rStyle w:val="sb8d990e2"/>
        </w:rPr>
        <w:t xml:space="preserve"> rindkopu). Līdz ar to Valdības izvirzītais arguments arī ir noraidāms.</w:t>
      </w:r>
    </w:p>
    <w:p w:rsidR="00764A60" w:rsidRPr="00E55E0E" w:rsidRDefault="00FE1BE2" w:rsidP="00E55E0E">
      <w:pPr>
        <w:pStyle w:val="ECHRPara"/>
      </w:pPr>
      <w:r>
        <w:rPr>
          <w:rStyle w:val="sb8d990e2"/>
        </w:rPr>
        <w:fldChar w:fldCharType="begin"/>
      </w:r>
      <w:r w:rsidR="00764A60">
        <w:rPr>
          <w:rStyle w:val="sb8d990e2"/>
        </w:rPr>
        <w:instrText xml:space="preserve"> SEQ level0 \*arabic </w:instrText>
      </w:r>
      <w:r>
        <w:rPr>
          <w:rStyle w:val="sb8d990e2"/>
        </w:rPr>
        <w:fldChar w:fldCharType="separate"/>
      </w:r>
      <w:r w:rsidR="00376F97">
        <w:rPr>
          <w:rStyle w:val="sb8d990e2"/>
          <w:noProof/>
        </w:rPr>
        <w:t>54</w:t>
      </w:r>
      <w:r>
        <w:rPr>
          <w:rStyle w:val="sb8d990e2"/>
        </w:rPr>
        <w:fldChar w:fldCharType="end"/>
      </w:r>
      <w:r w:rsidR="00764A60">
        <w:rPr>
          <w:rStyle w:val="sb8d990e2"/>
        </w:rPr>
        <w:t xml:space="preserve">.  Tālāk pievēršoties pārsūdzētajam 2006. gada 13. septembra lēmumam, Tiesa ņem vērā, ka tas nesaturēja nekādu pamatojumu un vienīgi norādīja to, ka iesniedzējs ir jāpatur apcietinājumā. </w:t>
      </w:r>
      <w:r w:rsidR="00764A60">
        <w:t xml:space="preserve">Jāatzīmē, ka strīdus krimināllieta nesaturēja sarežģītus jautājumus un iesniedzējs, kurš cieta no garīgās veselības problēmām, atzinās zādzībās, un, kad tiesa beidzot atcēla </w:t>
      </w:r>
      <w:r w:rsidR="00E55E0E">
        <w:t>lēmumu par apcietinājuma piemērošanu</w:t>
      </w:r>
      <w:r w:rsidR="00764A60">
        <w:t xml:space="preserve">, tad arī prokurors atbalstīja </w:t>
      </w:r>
      <w:r w:rsidR="00E55E0E">
        <w:t xml:space="preserve">drošības līdzekļa </w:t>
      </w:r>
      <w:r w:rsidR="00764A60">
        <w:t>maiņu (skatīt iepriekš </w:t>
      </w:r>
      <w:r w:rsidR="007B4B9C">
        <w:fldChar w:fldCharType="begin"/>
      </w:r>
      <w:r w:rsidR="007B4B9C">
        <w:instrText xml:space="preserve"> REF revoke_det_oct06 \h  \* MERGEFORMAT </w:instrText>
      </w:r>
      <w:r w:rsidR="007B4B9C">
        <w:fldChar w:fldCharType="separate"/>
      </w:r>
      <w:r w:rsidR="00376F97">
        <w:rPr>
          <w:noProof/>
        </w:rPr>
        <w:t>16</w:t>
      </w:r>
      <w:r w:rsidR="007B4B9C">
        <w:fldChar w:fldCharType="end"/>
      </w:r>
      <w:r w:rsidR="00AE0B8F">
        <w:rPr>
          <w:szCs w:val="24"/>
        </w:rPr>
        <w:t>.</w:t>
      </w:r>
      <w:r w:rsidR="00764A60">
        <w:t xml:space="preserve"> rindkopu).</w:t>
      </w:r>
    </w:p>
    <w:p w:rsidR="00764A60" w:rsidRPr="00764A60" w:rsidRDefault="00FE1BE2" w:rsidP="00764A60">
      <w:pPr>
        <w:pStyle w:val="ECHRPara"/>
        <w:rPr>
          <w:szCs w:val="24"/>
        </w:rPr>
      </w:pPr>
      <w:r>
        <w:rPr>
          <w:szCs w:val="24"/>
        </w:rPr>
        <w:fldChar w:fldCharType="begin"/>
      </w:r>
      <w:r w:rsidR="00764A60">
        <w:rPr>
          <w:szCs w:val="24"/>
        </w:rPr>
        <w:instrText xml:space="preserve"> SEQ level0 \*arabic </w:instrText>
      </w:r>
      <w:r>
        <w:rPr>
          <w:szCs w:val="24"/>
        </w:rPr>
        <w:fldChar w:fldCharType="separate"/>
      </w:r>
      <w:r w:rsidR="00376F97">
        <w:rPr>
          <w:noProof/>
          <w:szCs w:val="24"/>
        </w:rPr>
        <w:t>55</w:t>
      </w:r>
      <w:r>
        <w:rPr>
          <w:szCs w:val="24"/>
        </w:rPr>
        <w:fldChar w:fldCharType="end"/>
      </w:r>
      <w:r w:rsidR="00764A60">
        <w:t xml:space="preserve">.  Iepriekš minētie apstākļi lika Tiesai secināt, ka Konvencijas 5.panta 3.punkta izpratnē izskatāmais laika posms bija gandrīz </w:t>
      </w:r>
      <w:r w:rsidR="00EC2146">
        <w:t>pieci</w:t>
      </w:r>
      <w:r w:rsidR="00764A60">
        <w:t xml:space="preserve"> mēneši, no kura vairāk kā mēnesi </w:t>
      </w:r>
      <w:r w:rsidR="00764A60">
        <w:rPr>
          <w:rStyle w:val="sb8d990e2"/>
        </w:rPr>
        <w:t xml:space="preserve">tiesu iestādes </w:t>
      </w:r>
      <w:r w:rsidR="00E55E0E">
        <w:rPr>
          <w:rStyle w:val="sb8d990e2"/>
        </w:rPr>
        <w:t xml:space="preserve">nesniedza </w:t>
      </w:r>
      <w:r w:rsidR="00764A60">
        <w:rPr>
          <w:rStyle w:val="sb8d990e2"/>
        </w:rPr>
        <w:t>nekādu pamatojumu savam lēmumam par iesniedzēja apcietināšanu.</w:t>
      </w:r>
      <w:r w:rsidR="00764A60">
        <w:t xml:space="preserve"> </w:t>
      </w:r>
      <w:bookmarkStart w:id="12" w:name="_Hlk74640837"/>
      <w:r w:rsidR="00764A60">
        <w:t xml:space="preserve">Šajā sakarā Tiesa atsaucas uz savu iedibināto judikatūru, saskaņā ar kuru </w:t>
      </w:r>
      <w:r w:rsidR="00764A60">
        <w:rPr>
          <w:rStyle w:val="sb8d990e2"/>
        </w:rPr>
        <w:t xml:space="preserve">pamatotu aizdomu pastāvēšana, ka </w:t>
      </w:r>
      <w:r w:rsidR="00E55E0E">
        <w:rPr>
          <w:rStyle w:val="sb8d990e2"/>
        </w:rPr>
        <w:t xml:space="preserve">aizturētā </w:t>
      </w:r>
      <w:r w:rsidR="00764A60">
        <w:rPr>
          <w:rStyle w:val="sb8d990e2"/>
        </w:rPr>
        <w:t xml:space="preserve">persona ir izdarījusi pārkāpumu, ir nosacījums </w:t>
      </w:r>
      <w:r w:rsidR="00764A60">
        <w:rPr>
          <w:rStyle w:val="wordhighlighted"/>
          <w:i/>
        </w:rPr>
        <w:t>sine qua</w:t>
      </w:r>
      <w:r w:rsidR="00764A60">
        <w:rPr>
          <w:rStyle w:val="s6b621b36"/>
          <w:i/>
        </w:rPr>
        <w:t xml:space="preserve"> non</w:t>
      </w:r>
      <w:r w:rsidR="00764A60">
        <w:rPr>
          <w:rStyle w:val="sb8d990e2"/>
        </w:rPr>
        <w:t xml:space="preserve"> </w:t>
      </w:r>
      <w:r w:rsidR="00EC2146">
        <w:rPr>
          <w:rStyle w:val="sb8d990e2"/>
        </w:rPr>
        <w:t xml:space="preserve">(obligāts priekšnoteikums) </w:t>
      </w:r>
      <w:r w:rsidR="00303081">
        <w:rPr>
          <w:rStyle w:val="sb8d990e2"/>
        </w:rPr>
        <w:t>apcietinājuma turpmākai piemērošanai</w:t>
      </w:r>
      <w:r w:rsidR="00764A60">
        <w:rPr>
          <w:rStyle w:val="sb8d990e2"/>
        </w:rPr>
        <w:t xml:space="preserve">, taču pēc noteikta laika ar to vien vairs nepietiek </w:t>
      </w:r>
      <w:bookmarkEnd w:id="12"/>
      <w:r w:rsidR="00764A60">
        <w:rPr>
          <w:rStyle w:val="sb8d990e2"/>
        </w:rPr>
        <w:t>(</w:t>
      </w:r>
      <w:r w:rsidR="00764A60">
        <w:rPr>
          <w:i/>
        </w:rPr>
        <w:t>Estrikh pret Latviju</w:t>
      </w:r>
      <w:r w:rsidR="00764A60">
        <w:t xml:space="preserve">, Nr. 73819/01, 120. rindkopa, 2007. gada 18. janvāris). Turklāt </w:t>
      </w:r>
      <w:r w:rsidR="00E55E0E">
        <w:rPr>
          <w:rStyle w:val="sb8d990e2"/>
        </w:rPr>
        <w:t xml:space="preserve">amatpersonām </w:t>
      </w:r>
      <w:r w:rsidR="00764A60">
        <w:rPr>
          <w:rStyle w:val="sb8d990e2"/>
        </w:rPr>
        <w:t xml:space="preserve">ir pārliecinoši jānorāda jebkura apcietinājuma perioda, neskatoties uz to, cik tas ir īss, pamatojums (skatīt </w:t>
      </w:r>
      <w:r w:rsidR="00764A60">
        <w:rPr>
          <w:i/>
        </w:rPr>
        <w:t>Belchev pret Bulgārija</w:t>
      </w:r>
      <w:r w:rsidR="00764A60">
        <w:t xml:space="preserve">, Nr. 39270/98, 82. rindkopa, 2004. gada 8. aprīlis; </w:t>
      </w:r>
      <w:r w:rsidR="00764A60">
        <w:rPr>
          <w:i/>
        </w:rPr>
        <w:t>Sarban pret Moldovu</w:t>
      </w:r>
      <w:r w:rsidR="00764A60">
        <w:t xml:space="preserve">, Nr. 3456/05, 97. rindkopa, 2005. gada 4. oktobris), kas konkrētajos apstākļos </w:t>
      </w:r>
      <w:r w:rsidR="00AE0B8F">
        <w:t>netika izdarīts</w:t>
      </w:r>
      <w:r w:rsidR="00764A60">
        <w:t>.</w:t>
      </w:r>
    </w:p>
    <w:p w:rsidR="003D181D" w:rsidRPr="003D181D" w:rsidRDefault="00FE1BE2" w:rsidP="003D181D">
      <w:pPr>
        <w:pStyle w:val="ECHRPara"/>
      </w:pPr>
      <w:r>
        <w:fldChar w:fldCharType="begin"/>
      </w:r>
      <w:r w:rsidR="003D181D">
        <w:instrText xml:space="preserve"> SEQ level0 \*arabic </w:instrText>
      </w:r>
      <w:r>
        <w:fldChar w:fldCharType="separate"/>
      </w:r>
      <w:r w:rsidR="00376F97">
        <w:rPr>
          <w:noProof/>
        </w:rPr>
        <w:t>56</w:t>
      </w:r>
      <w:r>
        <w:fldChar w:fldCharType="end"/>
      </w:r>
      <w:r w:rsidR="003D181D">
        <w:t xml:space="preserve">.  Iepriekš minētie apsvērumi ir pietiekami, lai ļautu Tiesai secināt, ka </w:t>
      </w:r>
      <w:r w:rsidR="00E55E0E">
        <w:rPr>
          <w:rStyle w:val="sb8d990e2"/>
        </w:rPr>
        <w:t xml:space="preserve">amatpersonas </w:t>
      </w:r>
      <w:r w:rsidR="003D181D">
        <w:rPr>
          <w:rStyle w:val="sb8d990e2"/>
        </w:rPr>
        <w:t xml:space="preserve">nav pamatojušas iesniedzēja apcietinājumu vismaz no 2006. gada 21. augusta līdz iesniedzēja atbrīvošanai 2006. gada 17. oktobrī, kas nav savienojams ar aizsardzības pret patvaļību principu, ko ietver 5.panta 1.punkta c) apakšpunkts, kas ir ciešā saistībā ar 5.panta 3.punktu. Šādos apstākļos nav nepieciešams pārbaudīt, vai tiesvedības </w:t>
      </w:r>
      <w:r w:rsidR="00EC2146">
        <w:rPr>
          <w:rStyle w:val="sb8d990e2"/>
        </w:rPr>
        <w:t>gaita tika īstenota</w:t>
      </w:r>
      <w:r w:rsidR="003D181D">
        <w:rPr>
          <w:rStyle w:val="sb8d990e2"/>
        </w:rPr>
        <w:t xml:space="preserve"> ar pienācīgu rūpību (skatīt </w:t>
      </w:r>
      <w:r w:rsidR="003D181D">
        <w:rPr>
          <w:i/>
        </w:rPr>
        <w:t>Belchev pret Bulgāriju</w:t>
      </w:r>
      <w:r w:rsidR="003D181D">
        <w:t>, citēts iepriekš, 81. rindkopa</w:t>
      </w:r>
      <w:r w:rsidR="003D181D">
        <w:rPr>
          <w:rStyle w:val="sb8d990e2"/>
        </w:rPr>
        <w:t>).</w:t>
      </w:r>
    </w:p>
    <w:p w:rsidR="00CF0459" w:rsidRPr="00395E61" w:rsidRDefault="003D181D" w:rsidP="00395E61">
      <w:pPr>
        <w:pStyle w:val="ECHRPara"/>
        <w:rPr>
          <w:rStyle w:val="sb8d990e2"/>
        </w:rPr>
      </w:pPr>
      <w:r>
        <w:t>Līdz ar to attiecīgi ir noticis Konvencijas 5.panta 3.punkta pārkāpums.</w:t>
      </w:r>
    </w:p>
    <w:p w:rsidR="00014566" w:rsidRPr="00575BAE" w:rsidRDefault="00575BAE" w:rsidP="00014566">
      <w:pPr>
        <w:pStyle w:val="ECHRHeading1"/>
      </w:pPr>
      <w:r>
        <w:t>II.  </w:t>
      </w:r>
      <w:r w:rsidR="004951CB">
        <w:rPr>
          <w:rStyle w:val="sb8d990e2"/>
        </w:rPr>
        <w:t>IESNIEGUMA</w:t>
      </w:r>
      <w:r>
        <w:rPr>
          <w:rStyle w:val="sb8d990e2"/>
        </w:rPr>
        <w:t xml:space="preserve"> PĀRĒJĀ DAĻ</w:t>
      </w:r>
      <w:r w:rsidR="004951CB">
        <w:rPr>
          <w:rStyle w:val="sb8d990e2"/>
        </w:rPr>
        <w:t>A</w:t>
      </w:r>
    </w:p>
    <w:p w:rsidR="006B3D4D" w:rsidRPr="00575BAE" w:rsidRDefault="00FE1BE2" w:rsidP="006B3D4D">
      <w:pPr>
        <w:pStyle w:val="ECHRPara"/>
      </w:pPr>
      <w:r w:rsidRPr="00575BAE">
        <w:fldChar w:fldCharType="begin"/>
      </w:r>
      <w:r w:rsidR="007A3CCB" w:rsidRPr="00575BAE">
        <w:instrText xml:space="preserve"> SEQ level0 \*arabic </w:instrText>
      </w:r>
      <w:r w:rsidRPr="00575BAE">
        <w:fldChar w:fldCharType="separate"/>
      </w:r>
      <w:r w:rsidR="00376F97">
        <w:rPr>
          <w:noProof/>
        </w:rPr>
        <w:t>57</w:t>
      </w:r>
      <w:r w:rsidRPr="00575BAE">
        <w:fldChar w:fldCharType="end"/>
      </w:r>
      <w:r w:rsidR="007A3CCB">
        <w:t xml:space="preserve">.  Visbeidzot iesniedzējs sūdzējās par vairākiem pārkāpumiem saskaņā ar Konvencijas 3., 6., 8. pantu un Konvencijas </w:t>
      </w:r>
      <w:r w:rsidR="00E55E0E">
        <w:t xml:space="preserve">1.protokola </w:t>
      </w:r>
      <w:r w:rsidR="007A3CCB">
        <w:t>1.pantu.</w:t>
      </w:r>
    </w:p>
    <w:p w:rsidR="006B3D4D" w:rsidRPr="006B3D4D" w:rsidRDefault="00AA797E" w:rsidP="006B3D4D">
      <w:pPr>
        <w:pStyle w:val="ECHRPara"/>
        <w:outlineLvl w:val="0"/>
      </w:pPr>
      <w:r>
        <w:fldChar w:fldCharType="begin"/>
      </w:r>
      <w:r>
        <w:instrText xml:space="preserve"> SEQ level0 \*arabic </w:instrText>
      </w:r>
      <w:r>
        <w:fldChar w:fldCharType="separate"/>
      </w:r>
      <w:r w:rsidR="00376F97">
        <w:rPr>
          <w:noProof/>
        </w:rPr>
        <w:t>58</w:t>
      </w:r>
      <w:r>
        <w:rPr>
          <w:noProof/>
        </w:rPr>
        <w:fldChar w:fldCharType="end"/>
      </w:r>
      <w:r w:rsidR="000C06B1">
        <w:t>.  Ņemot vērā visu tās rīcībā esošo materiālu, ciktāl sūdzībā ietvertie jautājumi ir tās kompetencē, Tiesa uzskata, ka iesniegums pārējā daļā neatklāj nekādu citu iepriekš minēto Konvencijas pantu pārkāpumu esamību. No tā izriet, ka šīs sūdzības ir nepieņemamas saskaņā ar 35.panta 3.punktu kā acīmredzami nepamatotas un noraidāmas saskaņā ar Konvencijas 35. panta 4.punktu.</w:t>
      </w:r>
    </w:p>
    <w:p w:rsidR="00014566" w:rsidRPr="00062973" w:rsidRDefault="00024E89" w:rsidP="00014566">
      <w:pPr>
        <w:pStyle w:val="ECHRHeading1"/>
      </w:pPr>
      <w:r>
        <w:t>III.  KONVENCIJAS 41. PANTA PIEMĒROŠANA</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59</w:t>
      </w:r>
      <w:r>
        <w:fldChar w:fldCharType="end"/>
      </w:r>
      <w:r w:rsidR="007A3CCB">
        <w:t xml:space="preserve">.  Konvencijas 41. pantā paredzēts: </w:t>
      </w:r>
    </w:p>
    <w:p w:rsidR="00014566" w:rsidRPr="00062973" w:rsidRDefault="00014566" w:rsidP="00014566">
      <w:pPr>
        <w:pStyle w:val="ECHRParaQuote"/>
        <w:keepNext/>
        <w:keepLines/>
      </w:pPr>
      <w:r>
        <w:t xml:space="preserve">„Ja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 </w:t>
      </w:r>
    </w:p>
    <w:p w:rsidR="00014566" w:rsidRPr="00062973" w:rsidRDefault="00014566" w:rsidP="00014566">
      <w:pPr>
        <w:pStyle w:val="ECHRHeading2"/>
        <w:keepLines w:val="0"/>
        <w:outlineLvl w:val="0"/>
      </w:pPr>
      <w:r>
        <w:t>A. Kaitējums</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60</w:t>
      </w:r>
      <w:r>
        <w:fldChar w:fldCharType="end"/>
      </w:r>
      <w:r w:rsidR="007A3CCB">
        <w:t xml:space="preserve">.  Iesniedzējs lūdza piešķirt kompensāciju 30 000 eiro (EUR) apmērā par </w:t>
      </w:r>
      <w:r w:rsidR="008217E0">
        <w:t xml:space="preserve">nemantisko </w:t>
      </w:r>
      <w:r w:rsidR="007A3CCB">
        <w:t>kaitējumu.</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61</w:t>
      </w:r>
      <w:r>
        <w:fldChar w:fldCharType="end"/>
      </w:r>
      <w:r w:rsidR="007A3CCB">
        <w:t>.  Valdība nepiekrita prasībai.</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62</w:t>
      </w:r>
      <w:r>
        <w:fldChar w:fldCharType="end"/>
      </w:r>
      <w:r w:rsidR="007A3CCB">
        <w:t xml:space="preserve">.  Tiesa piešķir iesniedzējam 3 250 EUR par </w:t>
      </w:r>
      <w:r w:rsidR="008217E0">
        <w:t>nemantisko</w:t>
      </w:r>
      <w:r w:rsidR="007A3CCB">
        <w:t xml:space="preserve"> kaitējumu.</w:t>
      </w:r>
    </w:p>
    <w:p w:rsidR="00014566" w:rsidRPr="00062973" w:rsidRDefault="00014566" w:rsidP="00014566">
      <w:pPr>
        <w:pStyle w:val="ECHRHeading2"/>
        <w:outlineLvl w:val="0"/>
      </w:pPr>
      <w:r>
        <w:t>B. Izmaksas un izdevumi</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63</w:t>
      </w:r>
      <w:r>
        <w:fldChar w:fldCharType="end"/>
      </w:r>
      <w:r w:rsidR="007A3CCB">
        <w:t>.  Iesniedzējs lūdza arī kompensēt 300 latus (LVL) (aptuveni 427 EUR) par tiesāšanās izdevumiem nacionālajās tiesās.</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64</w:t>
      </w:r>
      <w:r>
        <w:fldChar w:fldCharType="end"/>
      </w:r>
      <w:r w:rsidR="007A3CCB">
        <w:t>.  Valdība nepiekrita prasībai.</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65</w:t>
      </w:r>
      <w:r>
        <w:fldChar w:fldCharType="end"/>
      </w:r>
      <w:r w:rsidR="007A3CCB">
        <w:t xml:space="preserve">.  Saskaņā ar </w:t>
      </w:r>
      <w:r w:rsidR="00E55E0E">
        <w:t>T</w:t>
      </w:r>
      <w:r w:rsidR="007A3CCB">
        <w:t>iesas rīcībā esošajiem dokumentiem un tās judikatūru, Tiesa noraida prasību par nacionālo tiesvedību izmaksu un izdevumu atlīdzību.</w:t>
      </w:r>
    </w:p>
    <w:p w:rsidR="00014566" w:rsidRPr="00062973" w:rsidRDefault="00014566" w:rsidP="00014566">
      <w:pPr>
        <w:pStyle w:val="ECHRHeading2"/>
        <w:outlineLvl w:val="0"/>
      </w:pPr>
      <w:r w:rsidRPr="00F17C29">
        <w:t>C. Nokavējuma procenti</w:t>
      </w:r>
    </w:p>
    <w:p w:rsidR="00014566" w:rsidRPr="00062973" w:rsidRDefault="00FE1BE2" w:rsidP="00C621C2">
      <w:pPr>
        <w:pStyle w:val="ECHRPara"/>
      </w:pPr>
      <w:r>
        <w:fldChar w:fldCharType="begin"/>
      </w:r>
      <w:r w:rsidR="007A3CCB">
        <w:instrText xml:space="preserve"> SEQ level0 \*arabic </w:instrText>
      </w:r>
      <w:r>
        <w:fldChar w:fldCharType="separate"/>
      </w:r>
      <w:r w:rsidR="00376F97">
        <w:rPr>
          <w:noProof/>
        </w:rPr>
        <w:t>66</w:t>
      </w:r>
      <w:r>
        <w:fldChar w:fldCharType="end"/>
      </w:r>
      <w:r w:rsidR="007A3CCB">
        <w:t>.  Tiesa uzskata par atbilstošu, ka nokavējuma procentu likme ir jānosaka, pamatojoties uz Eiropas Centrālās bankas rezerves aizdevumu procentu likmi, tai pieskaitot trīs procentpunktus.</w:t>
      </w:r>
    </w:p>
    <w:p w:rsidR="00014566" w:rsidRPr="00062973" w:rsidRDefault="00BB5883" w:rsidP="00014566">
      <w:pPr>
        <w:pStyle w:val="ECHRTitle1"/>
      </w:pPr>
      <w:r>
        <w:t>ŠO IEMESLU DĒĻ TIESA VIENBALSĪGI</w:t>
      </w:r>
    </w:p>
    <w:p w:rsidR="00766F08" w:rsidRPr="00062973" w:rsidRDefault="007A3CCB" w:rsidP="00766F08">
      <w:pPr>
        <w:pStyle w:val="JuList"/>
      </w:pPr>
      <w:r>
        <w:t>1.  </w:t>
      </w:r>
      <w:r>
        <w:rPr>
          <w:i/>
        </w:rPr>
        <w:t xml:space="preserve">Pievieno </w:t>
      </w:r>
      <w:r w:rsidRPr="001E65AE">
        <w:rPr>
          <w:i/>
        </w:rPr>
        <w:t>izskatīšanai pēc būtības</w:t>
      </w:r>
      <w:r>
        <w:t xml:space="preserve"> Valdības sākotnējos iebildumus par to, ka iesniedzēja sūdzība saskaņā ar Konvencijas </w:t>
      </w:r>
      <w:r>
        <w:rPr>
          <w:rStyle w:val="sb8d990e2"/>
        </w:rPr>
        <w:t xml:space="preserve">5.panta 1. </w:t>
      </w:r>
      <w:r w:rsidR="004951CB">
        <w:t>punktu ir nepieņemama</w:t>
      </w:r>
      <w:r>
        <w:t xml:space="preserve"> nacionālo </w:t>
      </w:r>
      <w:r w:rsidR="001E65AE">
        <w:t xml:space="preserve">tiesību </w:t>
      </w:r>
      <w:r>
        <w:t>aizsardzības līdzekļu neizmantošanas dēļ;</w:t>
      </w:r>
    </w:p>
    <w:p w:rsidR="00766F08" w:rsidRDefault="00766F08" w:rsidP="00C621C2">
      <w:pPr>
        <w:pStyle w:val="JuList"/>
      </w:pPr>
    </w:p>
    <w:p w:rsidR="00014566" w:rsidRDefault="00766F08" w:rsidP="00C621C2">
      <w:pPr>
        <w:pStyle w:val="JuList"/>
      </w:pPr>
      <w:r>
        <w:rPr>
          <w:i/>
        </w:rPr>
        <w:t>2.  Atzīst</w:t>
      </w:r>
      <w:r>
        <w:rPr>
          <w:color w:val="000000"/>
        </w:rPr>
        <w:t xml:space="preserve"> </w:t>
      </w:r>
      <w:r>
        <w:rPr>
          <w:rStyle w:val="sb8d990e2"/>
        </w:rPr>
        <w:t>sūdzības saskaņā ar Konvencijas 5.panta 1.punktu un 3. punktu par pieņemamām un iesniegumu pārējā daļā par nepieņemamu</w:t>
      </w:r>
      <w:r>
        <w:t>;</w:t>
      </w:r>
    </w:p>
    <w:p w:rsidR="00014566" w:rsidRPr="00062973" w:rsidRDefault="00014566" w:rsidP="00DB7196">
      <w:pPr>
        <w:pStyle w:val="JuList"/>
        <w:ind w:left="0" w:firstLine="0"/>
      </w:pPr>
    </w:p>
    <w:p w:rsidR="00014566" w:rsidRPr="00062973" w:rsidRDefault="00766F08" w:rsidP="00C621C2">
      <w:pPr>
        <w:pStyle w:val="JuList"/>
      </w:pPr>
      <w:r>
        <w:t>3.  </w:t>
      </w:r>
      <w:r>
        <w:rPr>
          <w:i/>
        </w:rPr>
        <w:t>Nolemj</w:t>
      </w:r>
      <w:r>
        <w:t>,</w:t>
      </w:r>
      <w:r>
        <w:rPr>
          <w:rStyle w:val="sb8d990e2"/>
        </w:rPr>
        <w:t xml:space="preserve"> ka ir noticis Konvencijas 5.panta 1.punkta pārkāpums</w:t>
      </w:r>
      <w:r>
        <w:t>;</w:t>
      </w:r>
    </w:p>
    <w:p w:rsidR="00014566" w:rsidRPr="00062973" w:rsidRDefault="00014566" w:rsidP="00C621C2">
      <w:pPr>
        <w:pStyle w:val="JuList"/>
      </w:pPr>
    </w:p>
    <w:p w:rsidR="00014566" w:rsidRPr="00062973" w:rsidRDefault="00766F08" w:rsidP="00C621C2">
      <w:pPr>
        <w:pStyle w:val="JuList"/>
      </w:pPr>
      <w:r>
        <w:t>4.  </w:t>
      </w:r>
      <w:r>
        <w:rPr>
          <w:i/>
        </w:rPr>
        <w:t>Nolemj</w:t>
      </w:r>
      <w:r>
        <w:t xml:space="preserve">, </w:t>
      </w:r>
      <w:r>
        <w:rPr>
          <w:rStyle w:val="sb8d990e2"/>
        </w:rPr>
        <w:t>ka ir noticis Konvencijas 5.panta 3.punkta pārkāpums</w:t>
      </w:r>
      <w:r>
        <w:t>;</w:t>
      </w:r>
    </w:p>
    <w:p w:rsidR="00014566" w:rsidRPr="00062973" w:rsidRDefault="00014566" w:rsidP="00A20D1E">
      <w:pPr>
        <w:pStyle w:val="JuList"/>
        <w:ind w:left="0" w:firstLine="0"/>
      </w:pPr>
    </w:p>
    <w:p w:rsidR="007A3CCB" w:rsidRPr="00766F08" w:rsidRDefault="00766F08" w:rsidP="000F562A">
      <w:pPr>
        <w:pStyle w:val="JuList"/>
        <w:keepNext/>
        <w:keepLines/>
      </w:pPr>
      <w:r>
        <w:t>5.  </w:t>
      </w:r>
      <w:r>
        <w:rPr>
          <w:i/>
        </w:rPr>
        <w:t>Nolemj,</w:t>
      </w:r>
    </w:p>
    <w:p w:rsidR="00014566" w:rsidRPr="00062973" w:rsidRDefault="00014566" w:rsidP="00376F97">
      <w:pPr>
        <w:pStyle w:val="JuLista"/>
        <w:keepNext/>
        <w:keepLines/>
      </w:pPr>
      <w:r>
        <w:t xml:space="preserve">(a) </w:t>
      </w:r>
      <w:r>
        <w:tab/>
        <w:t xml:space="preserve">ka atbildētājai valstij </w:t>
      </w:r>
      <w:r w:rsidR="001E65AE">
        <w:t xml:space="preserve">trīs </w:t>
      </w:r>
      <w:r>
        <w:t xml:space="preserve">mēnešu laikā ir jāizmaksā iesniedzējam 3 250 </w:t>
      </w:r>
      <w:r w:rsidR="001E65AE">
        <w:t xml:space="preserve">EUR </w:t>
      </w:r>
      <w:r>
        <w:t xml:space="preserve">(trīs tūkstoši divi simti piecdesmit eiro), pieskaitot jebkurus piemērojamos nodokļus, kā </w:t>
      </w:r>
      <w:r w:rsidR="001E65AE" w:rsidRPr="001E65AE">
        <w:rPr>
          <w:rFonts w:ascii="Times New Roman" w:eastAsia="Times New Roman" w:hAnsi="Times New Roman" w:cs="Times New Roman"/>
          <w:lang w:eastAsia="en-US" w:bidi="ar-SA"/>
        </w:rPr>
        <w:t>kompensāciju par nemantisko kaitējumu</w:t>
      </w:r>
      <w:r>
        <w:t xml:space="preserve">; </w:t>
      </w:r>
    </w:p>
    <w:p w:rsidR="00014566" w:rsidRPr="00062973" w:rsidRDefault="00014566" w:rsidP="00014566">
      <w:pPr>
        <w:pStyle w:val="JuLista"/>
      </w:pPr>
      <w:r>
        <w:t>(b)</w:t>
      </w:r>
      <w:r>
        <w:tab/>
        <w:t>ka, sākot no dienas, kad pagājuši minētie trīs mēneši, līdz maksājuma veikšanai šai summai piemēro vienkāršo procentu likmi, kas vienāda ar attiecīgajā laika periodā spēkā esošo Eiropas Centrālās bankas rezerves kreditēšanas likmi, pieskaitot trīs procentpunktus;</w:t>
      </w:r>
    </w:p>
    <w:p w:rsidR="00014566" w:rsidRPr="00062973" w:rsidRDefault="00014566" w:rsidP="00C621C2">
      <w:pPr>
        <w:pStyle w:val="JuList"/>
      </w:pPr>
    </w:p>
    <w:p w:rsidR="00014566" w:rsidRPr="00062973" w:rsidRDefault="00766F08" w:rsidP="00C621C2">
      <w:pPr>
        <w:pStyle w:val="JuList"/>
      </w:pPr>
      <w:r>
        <w:t>6.  </w:t>
      </w:r>
      <w:r>
        <w:rPr>
          <w:i/>
        </w:rPr>
        <w:t>Noraida</w:t>
      </w:r>
      <w:r>
        <w:t xml:space="preserve"> iesniedzēja prasību par taisnīgu atlīdzību pārējā daļā.</w:t>
      </w:r>
    </w:p>
    <w:p w:rsidR="00014566" w:rsidRPr="00062973" w:rsidRDefault="00014566" w:rsidP="00014566">
      <w:pPr>
        <w:pStyle w:val="JuParaLast"/>
      </w:pPr>
      <w:r>
        <w:t>Sagatavots angļu valodā un rakstveidā paziņots 2015. gada 7. jūlijā atbilstoši Tiesas reglamenta 77. punkta 2. un 3. apakšpunktam</w:t>
      </w:r>
    </w:p>
    <w:p w:rsidR="004D15F3" w:rsidRPr="00062973" w:rsidRDefault="00014566" w:rsidP="004951CB">
      <w:pPr>
        <w:pStyle w:val="JuSigned"/>
      </w:pPr>
      <w:r>
        <w:tab/>
        <w:t>Fatoş Aracı</w:t>
      </w:r>
      <w:r>
        <w:tab/>
        <w:t>Krzysztof Wojtyczek</w:t>
      </w:r>
      <w:r>
        <w:br/>
      </w:r>
      <w:r>
        <w:tab/>
        <w:t>sekretāra vietniece</w:t>
      </w:r>
      <w:r>
        <w:tab/>
        <w:t>priekšsēdētājs</w:t>
      </w:r>
    </w:p>
    <w:sectPr w:rsidR="004D15F3" w:rsidRPr="00062973" w:rsidSect="0076670D">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117" w:rsidRDefault="00095117" w:rsidP="00014566">
      <w:r>
        <w:separator/>
      </w:r>
    </w:p>
  </w:endnote>
  <w:endnote w:type="continuationSeparator" w:id="0">
    <w:p w:rsidR="00095117" w:rsidRDefault="00095117"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7" w:rsidRPr="00150BFA" w:rsidRDefault="00095117" w:rsidP="00095117">
    <w:pPr>
      <w:jc w:val="center"/>
    </w:pPr>
    <w:r>
      <w:rPr>
        <w:noProof/>
        <w:lang w:bidi="ar-SA"/>
      </w:rPr>
      <w:drawing>
        <wp:inline distT="0" distB="0" distL="0" distR="0">
          <wp:extent cx="771525" cy="619125"/>
          <wp:effectExtent l="0" t="0" r="9525" b="9525"/>
          <wp:docPr id="17" name="Picture 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095117" w:rsidRDefault="00095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117" w:rsidRDefault="00095117" w:rsidP="00014566">
      <w:r>
        <w:separator/>
      </w:r>
    </w:p>
  </w:footnote>
  <w:footnote w:type="continuationSeparator" w:id="0">
    <w:p w:rsidR="00095117" w:rsidRDefault="00095117"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7" w:rsidRPr="0076670D" w:rsidRDefault="00095117" w:rsidP="0076670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7" w:rsidRPr="00A45145" w:rsidRDefault="00095117" w:rsidP="00095117">
    <w:pPr>
      <w:jc w:val="center"/>
    </w:pPr>
    <w:r>
      <w:rPr>
        <w:noProof/>
        <w:lang w:bidi="ar-SA"/>
      </w:rPr>
      <w:drawing>
        <wp:inline distT="0" distB="0" distL="0" distR="0">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095117" w:rsidRDefault="00095117" w:rsidP="000C06B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7" w:rsidRPr="00FF2306" w:rsidRDefault="00095117"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AA797E">
      <w:rPr>
        <w:rStyle w:val="PageNumber"/>
        <w:noProof/>
        <w:szCs w:val="18"/>
      </w:rPr>
      <w:t>10</w:t>
    </w:r>
    <w:r>
      <w:rPr>
        <w:rStyle w:val="PageNumber"/>
        <w:szCs w:val="18"/>
      </w:rPr>
      <w:fldChar w:fldCharType="end"/>
    </w:r>
    <w:r>
      <w:tab/>
      <w:t>SPRIEDUMS LIETĀ DAVIDOVS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7" w:rsidRPr="00D60D87" w:rsidRDefault="00095117" w:rsidP="00D60D87">
    <w:pPr>
      <w:pStyle w:val="ECHRHeader"/>
    </w:pPr>
    <w:r>
      <w:tab/>
      <w:t>SPRIEDUMS LIETĀ DAVIDOVS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AA797E">
      <w:rPr>
        <w:rStyle w:val="PageNumber"/>
        <w:noProof/>
        <w:szCs w:val="18"/>
      </w:rPr>
      <w:t>1</w:t>
    </w:r>
    <w:r>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F7039A"/>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2"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2F51A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4"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6903243"/>
    <w:multiLevelType w:val="multilevel"/>
    <w:tmpl w:val="E884A92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737461D"/>
    <w:multiLevelType w:val="multilevel"/>
    <w:tmpl w:val="040C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3"/>
  </w:num>
  <w:num w:numId="7">
    <w:abstractNumId w:val="11"/>
  </w:num>
  <w:num w:numId="8">
    <w:abstractNumId w:val="14"/>
  </w:num>
  <w:num w:numId="9">
    <w:abstractNumId w:val="10"/>
  </w:num>
  <w:num w:numId="10">
    <w:abstractNumId w:val="9"/>
  </w:num>
  <w:num w:numId="11">
    <w:abstractNumId w:val="1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A3CCB"/>
    <w:rsid w:val="000041F8"/>
    <w:rsid w:val="000042A8"/>
    <w:rsid w:val="00004308"/>
    <w:rsid w:val="00005BF0"/>
    <w:rsid w:val="00007154"/>
    <w:rsid w:val="000103AE"/>
    <w:rsid w:val="00011D69"/>
    <w:rsid w:val="00012AD3"/>
    <w:rsid w:val="00014566"/>
    <w:rsid w:val="00015C2D"/>
    <w:rsid w:val="00015F00"/>
    <w:rsid w:val="00021D91"/>
    <w:rsid w:val="00022C1D"/>
    <w:rsid w:val="00024E89"/>
    <w:rsid w:val="0003228E"/>
    <w:rsid w:val="00034987"/>
    <w:rsid w:val="00037C66"/>
    <w:rsid w:val="00041D72"/>
    <w:rsid w:val="00045B72"/>
    <w:rsid w:val="00053753"/>
    <w:rsid w:val="00054920"/>
    <w:rsid w:val="000602DF"/>
    <w:rsid w:val="00061B05"/>
    <w:rsid w:val="00062973"/>
    <w:rsid w:val="00062D5D"/>
    <w:rsid w:val="000632D5"/>
    <w:rsid w:val="000644EE"/>
    <w:rsid w:val="00067238"/>
    <w:rsid w:val="00067B6D"/>
    <w:rsid w:val="00071B7F"/>
    <w:rsid w:val="00077AC5"/>
    <w:rsid w:val="00082D47"/>
    <w:rsid w:val="000925AD"/>
    <w:rsid w:val="00094D02"/>
    <w:rsid w:val="00095117"/>
    <w:rsid w:val="000A24EB"/>
    <w:rsid w:val="000A7196"/>
    <w:rsid w:val="000B6923"/>
    <w:rsid w:val="000C033C"/>
    <w:rsid w:val="000C06B1"/>
    <w:rsid w:val="000C116E"/>
    <w:rsid w:val="000C5964"/>
    <w:rsid w:val="000C5F3C"/>
    <w:rsid w:val="000C6DCC"/>
    <w:rsid w:val="000D47AA"/>
    <w:rsid w:val="000D721F"/>
    <w:rsid w:val="000E069B"/>
    <w:rsid w:val="000E0E82"/>
    <w:rsid w:val="000E1DC5"/>
    <w:rsid w:val="000E223F"/>
    <w:rsid w:val="000E4B45"/>
    <w:rsid w:val="000E7297"/>
    <w:rsid w:val="000E7D45"/>
    <w:rsid w:val="000F2617"/>
    <w:rsid w:val="000F562A"/>
    <w:rsid w:val="000F59E6"/>
    <w:rsid w:val="000F6A7C"/>
    <w:rsid w:val="000F7851"/>
    <w:rsid w:val="00100FD4"/>
    <w:rsid w:val="00104E23"/>
    <w:rsid w:val="0010584C"/>
    <w:rsid w:val="00111B0C"/>
    <w:rsid w:val="00115846"/>
    <w:rsid w:val="00115CA7"/>
    <w:rsid w:val="00120D6C"/>
    <w:rsid w:val="001257EC"/>
    <w:rsid w:val="001301B1"/>
    <w:rsid w:val="001322DA"/>
    <w:rsid w:val="00132C6A"/>
    <w:rsid w:val="00133D33"/>
    <w:rsid w:val="00134D64"/>
    <w:rsid w:val="00135A30"/>
    <w:rsid w:val="00135C7E"/>
    <w:rsid w:val="0013612C"/>
    <w:rsid w:val="0013704A"/>
    <w:rsid w:val="00137FF6"/>
    <w:rsid w:val="00141650"/>
    <w:rsid w:val="00147AD7"/>
    <w:rsid w:val="00161CE3"/>
    <w:rsid w:val="00162A12"/>
    <w:rsid w:val="00166530"/>
    <w:rsid w:val="00167F4C"/>
    <w:rsid w:val="001832BD"/>
    <w:rsid w:val="001943B5"/>
    <w:rsid w:val="00195134"/>
    <w:rsid w:val="001A03FC"/>
    <w:rsid w:val="001A145B"/>
    <w:rsid w:val="001A412C"/>
    <w:rsid w:val="001A674C"/>
    <w:rsid w:val="001B35B5"/>
    <w:rsid w:val="001B3B24"/>
    <w:rsid w:val="001C0F98"/>
    <w:rsid w:val="001C1171"/>
    <w:rsid w:val="001C2470"/>
    <w:rsid w:val="001C2A42"/>
    <w:rsid w:val="001D0A7F"/>
    <w:rsid w:val="001D0AE7"/>
    <w:rsid w:val="001D0D61"/>
    <w:rsid w:val="001D1903"/>
    <w:rsid w:val="001D1FE1"/>
    <w:rsid w:val="001D49B9"/>
    <w:rsid w:val="001D63ED"/>
    <w:rsid w:val="001D7348"/>
    <w:rsid w:val="001D7718"/>
    <w:rsid w:val="001D7EF5"/>
    <w:rsid w:val="001E035B"/>
    <w:rsid w:val="001E0961"/>
    <w:rsid w:val="001E3EAE"/>
    <w:rsid w:val="001E65AE"/>
    <w:rsid w:val="001E6F32"/>
    <w:rsid w:val="001F0E01"/>
    <w:rsid w:val="001F2145"/>
    <w:rsid w:val="001F55CF"/>
    <w:rsid w:val="001F6262"/>
    <w:rsid w:val="001F67B0"/>
    <w:rsid w:val="001F7B3D"/>
    <w:rsid w:val="002024DF"/>
    <w:rsid w:val="00205F9F"/>
    <w:rsid w:val="00210338"/>
    <w:rsid w:val="002115FC"/>
    <w:rsid w:val="00212FB0"/>
    <w:rsid w:val="002133F8"/>
    <w:rsid w:val="0021423C"/>
    <w:rsid w:val="00214FAC"/>
    <w:rsid w:val="00215AB6"/>
    <w:rsid w:val="002221E4"/>
    <w:rsid w:val="00226897"/>
    <w:rsid w:val="00230D00"/>
    <w:rsid w:val="00231DF7"/>
    <w:rsid w:val="00231FD1"/>
    <w:rsid w:val="002339E0"/>
    <w:rsid w:val="00233CF8"/>
    <w:rsid w:val="0023575D"/>
    <w:rsid w:val="00237148"/>
    <w:rsid w:val="0023770C"/>
    <w:rsid w:val="0024222D"/>
    <w:rsid w:val="00244B0E"/>
    <w:rsid w:val="00244F6C"/>
    <w:rsid w:val="00252565"/>
    <w:rsid w:val="002532C5"/>
    <w:rsid w:val="00253629"/>
    <w:rsid w:val="00260C03"/>
    <w:rsid w:val="00264264"/>
    <w:rsid w:val="0026540E"/>
    <w:rsid w:val="00271515"/>
    <w:rsid w:val="00274D9F"/>
    <w:rsid w:val="00275123"/>
    <w:rsid w:val="00282240"/>
    <w:rsid w:val="0028572A"/>
    <w:rsid w:val="002948AD"/>
    <w:rsid w:val="00294C92"/>
    <w:rsid w:val="002A01CC"/>
    <w:rsid w:val="002A61B1"/>
    <w:rsid w:val="002A663C"/>
    <w:rsid w:val="002B444B"/>
    <w:rsid w:val="002B5887"/>
    <w:rsid w:val="002C0692"/>
    <w:rsid w:val="002C0E27"/>
    <w:rsid w:val="002C3040"/>
    <w:rsid w:val="002C42D2"/>
    <w:rsid w:val="002D022D"/>
    <w:rsid w:val="002D24BB"/>
    <w:rsid w:val="002E0C61"/>
    <w:rsid w:val="002E3F38"/>
    <w:rsid w:val="002F0D76"/>
    <w:rsid w:val="002F2AF7"/>
    <w:rsid w:val="002F53DF"/>
    <w:rsid w:val="002F7E1C"/>
    <w:rsid w:val="00301A75"/>
    <w:rsid w:val="00302F70"/>
    <w:rsid w:val="00303081"/>
    <w:rsid w:val="0030336F"/>
    <w:rsid w:val="0030375E"/>
    <w:rsid w:val="00303CF2"/>
    <w:rsid w:val="00306D00"/>
    <w:rsid w:val="00312A30"/>
    <w:rsid w:val="00312D3E"/>
    <w:rsid w:val="00313A4B"/>
    <w:rsid w:val="003152C3"/>
    <w:rsid w:val="00320F72"/>
    <w:rsid w:val="0032463E"/>
    <w:rsid w:val="00326224"/>
    <w:rsid w:val="00337EE4"/>
    <w:rsid w:val="00340FFD"/>
    <w:rsid w:val="003506B1"/>
    <w:rsid w:val="00356AC7"/>
    <w:rsid w:val="003609FA"/>
    <w:rsid w:val="00362A54"/>
    <w:rsid w:val="00365D68"/>
    <w:rsid w:val="003710C8"/>
    <w:rsid w:val="00372B5E"/>
    <w:rsid w:val="003750BE"/>
    <w:rsid w:val="00375A2B"/>
    <w:rsid w:val="00376BE8"/>
    <w:rsid w:val="00376F97"/>
    <w:rsid w:val="0038162B"/>
    <w:rsid w:val="00387B9D"/>
    <w:rsid w:val="0039364F"/>
    <w:rsid w:val="00395BB1"/>
    <w:rsid w:val="00395E61"/>
    <w:rsid w:val="00396686"/>
    <w:rsid w:val="0039778E"/>
    <w:rsid w:val="003A4505"/>
    <w:rsid w:val="003A49A1"/>
    <w:rsid w:val="003B4941"/>
    <w:rsid w:val="003B640C"/>
    <w:rsid w:val="003C5714"/>
    <w:rsid w:val="003C6B9F"/>
    <w:rsid w:val="003C6E2A"/>
    <w:rsid w:val="003D0299"/>
    <w:rsid w:val="003D181D"/>
    <w:rsid w:val="003D768A"/>
    <w:rsid w:val="003E6D80"/>
    <w:rsid w:val="003F05FA"/>
    <w:rsid w:val="003F19D3"/>
    <w:rsid w:val="003F244A"/>
    <w:rsid w:val="003F30B8"/>
    <w:rsid w:val="003F4C45"/>
    <w:rsid w:val="003F5F7B"/>
    <w:rsid w:val="003F7B2D"/>
    <w:rsid w:val="003F7D64"/>
    <w:rsid w:val="00403117"/>
    <w:rsid w:val="00414300"/>
    <w:rsid w:val="0041563B"/>
    <w:rsid w:val="00420381"/>
    <w:rsid w:val="00422B65"/>
    <w:rsid w:val="00425C67"/>
    <w:rsid w:val="00427E7A"/>
    <w:rsid w:val="00436307"/>
    <w:rsid w:val="00436C49"/>
    <w:rsid w:val="00437042"/>
    <w:rsid w:val="00445366"/>
    <w:rsid w:val="00447F5B"/>
    <w:rsid w:val="004546A0"/>
    <w:rsid w:val="00460046"/>
    <w:rsid w:val="004614B8"/>
    <w:rsid w:val="00461DB0"/>
    <w:rsid w:val="00463926"/>
    <w:rsid w:val="004646E0"/>
    <w:rsid w:val="00464C9A"/>
    <w:rsid w:val="00470360"/>
    <w:rsid w:val="00474F3D"/>
    <w:rsid w:val="00475C66"/>
    <w:rsid w:val="00477E3A"/>
    <w:rsid w:val="00483E5F"/>
    <w:rsid w:val="00485FF9"/>
    <w:rsid w:val="004907F0"/>
    <w:rsid w:val="0049140B"/>
    <w:rsid w:val="004923A5"/>
    <w:rsid w:val="004951CB"/>
    <w:rsid w:val="00496BFB"/>
    <w:rsid w:val="00496C2A"/>
    <w:rsid w:val="00496E1D"/>
    <w:rsid w:val="004A15C7"/>
    <w:rsid w:val="004B013B"/>
    <w:rsid w:val="004B112B"/>
    <w:rsid w:val="004C01E4"/>
    <w:rsid w:val="004C086C"/>
    <w:rsid w:val="004C1F56"/>
    <w:rsid w:val="004C202E"/>
    <w:rsid w:val="004C27BC"/>
    <w:rsid w:val="004C6E24"/>
    <w:rsid w:val="004D15F3"/>
    <w:rsid w:val="004D5311"/>
    <w:rsid w:val="004D5DCC"/>
    <w:rsid w:val="004E0357"/>
    <w:rsid w:val="004E16C2"/>
    <w:rsid w:val="004E5DAA"/>
    <w:rsid w:val="004E7C82"/>
    <w:rsid w:val="004F10AF"/>
    <w:rsid w:val="004F11A4"/>
    <w:rsid w:val="004F2389"/>
    <w:rsid w:val="004F304D"/>
    <w:rsid w:val="004F3DF0"/>
    <w:rsid w:val="004F61BE"/>
    <w:rsid w:val="004F66B1"/>
    <w:rsid w:val="005039CE"/>
    <w:rsid w:val="00511C07"/>
    <w:rsid w:val="00514084"/>
    <w:rsid w:val="005173A6"/>
    <w:rsid w:val="00520BAA"/>
    <w:rsid w:val="00525208"/>
    <w:rsid w:val="005257A5"/>
    <w:rsid w:val="005264C0"/>
    <w:rsid w:val="00526A8A"/>
    <w:rsid w:val="00531DF2"/>
    <w:rsid w:val="005442EE"/>
    <w:rsid w:val="00545DC1"/>
    <w:rsid w:val="00545F3E"/>
    <w:rsid w:val="00546309"/>
    <w:rsid w:val="00547353"/>
    <w:rsid w:val="005474E7"/>
    <w:rsid w:val="005512A3"/>
    <w:rsid w:val="00553855"/>
    <w:rsid w:val="0055725C"/>
    <w:rsid w:val="005578CE"/>
    <w:rsid w:val="00560960"/>
    <w:rsid w:val="00562781"/>
    <w:rsid w:val="00563E83"/>
    <w:rsid w:val="0057271C"/>
    <w:rsid w:val="00572845"/>
    <w:rsid w:val="00575BAE"/>
    <w:rsid w:val="00592772"/>
    <w:rsid w:val="0059574A"/>
    <w:rsid w:val="005A1B9B"/>
    <w:rsid w:val="005A5D08"/>
    <w:rsid w:val="005A6751"/>
    <w:rsid w:val="005B092E"/>
    <w:rsid w:val="005B152C"/>
    <w:rsid w:val="005B1EE0"/>
    <w:rsid w:val="005B2B24"/>
    <w:rsid w:val="005B3DA0"/>
    <w:rsid w:val="005B4425"/>
    <w:rsid w:val="005B4B94"/>
    <w:rsid w:val="005C395E"/>
    <w:rsid w:val="005C3A13"/>
    <w:rsid w:val="005C3EE8"/>
    <w:rsid w:val="005D34F9"/>
    <w:rsid w:val="005D4190"/>
    <w:rsid w:val="005D5BC3"/>
    <w:rsid w:val="005D67A3"/>
    <w:rsid w:val="005E2988"/>
    <w:rsid w:val="005E2A43"/>
    <w:rsid w:val="005E3085"/>
    <w:rsid w:val="005F51E1"/>
    <w:rsid w:val="005F568C"/>
    <w:rsid w:val="006034F5"/>
    <w:rsid w:val="00611C80"/>
    <w:rsid w:val="00620692"/>
    <w:rsid w:val="00620F64"/>
    <w:rsid w:val="006242CA"/>
    <w:rsid w:val="00624363"/>
    <w:rsid w:val="0062475B"/>
    <w:rsid w:val="00626300"/>
    <w:rsid w:val="00627507"/>
    <w:rsid w:val="00633717"/>
    <w:rsid w:val="006344E1"/>
    <w:rsid w:val="0063659B"/>
    <w:rsid w:val="00642426"/>
    <w:rsid w:val="006545C4"/>
    <w:rsid w:val="00657109"/>
    <w:rsid w:val="00661971"/>
    <w:rsid w:val="00661CE8"/>
    <w:rsid w:val="006623D9"/>
    <w:rsid w:val="0066550C"/>
    <w:rsid w:val="006716F2"/>
    <w:rsid w:val="00673B7E"/>
    <w:rsid w:val="00682BF2"/>
    <w:rsid w:val="006859CE"/>
    <w:rsid w:val="00691270"/>
    <w:rsid w:val="00694BA8"/>
    <w:rsid w:val="006A037C"/>
    <w:rsid w:val="006A36F4"/>
    <w:rsid w:val="006A406F"/>
    <w:rsid w:val="006A5C2A"/>
    <w:rsid w:val="006A5D3A"/>
    <w:rsid w:val="006A70C6"/>
    <w:rsid w:val="006B09A3"/>
    <w:rsid w:val="006B390D"/>
    <w:rsid w:val="006B3D4D"/>
    <w:rsid w:val="006C23D4"/>
    <w:rsid w:val="006C7384"/>
    <w:rsid w:val="006C7BB0"/>
    <w:rsid w:val="006D1AD4"/>
    <w:rsid w:val="006D3237"/>
    <w:rsid w:val="006D494D"/>
    <w:rsid w:val="006E2E37"/>
    <w:rsid w:val="006E3CF1"/>
    <w:rsid w:val="006E4C8C"/>
    <w:rsid w:val="006E7E80"/>
    <w:rsid w:val="006F1417"/>
    <w:rsid w:val="006F1DF9"/>
    <w:rsid w:val="006F24DB"/>
    <w:rsid w:val="006F3312"/>
    <w:rsid w:val="006F48CA"/>
    <w:rsid w:val="006F64DD"/>
    <w:rsid w:val="00707646"/>
    <w:rsid w:val="00715127"/>
    <w:rsid w:val="00715E8E"/>
    <w:rsid w:val="00721FD6"/>
    <w:rsid w:val="00722883"/>
    <w:rsid w:val="00723580"/>
    <w:rsid w:val="00723755"/>
    <w:rsid w:val="00723E15"/>
    <w:rsid w:val="00727808"/>
    <w:rsid w:val="0073136C"/>
    <w:rsid w:val="007314FE"/>
    <w:rsid w:val="00731F0F"/>
    <w:rsid w:val="00733250"/>
    <w:rsid w:val="00736E0C"/>
    <w:rsid w:val="00741404"/>
    <w:rsid w:val="007449E5"/>
    <w:rsid w:val="00746C5A"/>
    <w:rsid w:val="00747FF0"/>
    <w:rsid w:val="00755147"/>
    <w:rsid w:val="0076027B"/>
    <w:rsid w:val="00764A60"/>
    <w:rsid w:val="00764D4E"/>
    <w:rsid w:val="00765A1F"/>
    <w:rsid w:val="0076670D"/>
    <w:rsid w:val="00766851"/>
    <w:rsid w:val="00766F08"/>
    <w:rsid w:val="00774C25"/>
    <w:rsid w:val="00775B6D"/>
    <w:rsid w:val="00776D68"/>
    <w:rsid w:val="00777ED1"/>
    <w:rsid w:val="00781EEF"/>
    <w:rsid w:val="007821FF"/>
    <w:rsid w:val="007850EE"/>
    <w:rsid w:val="00785B95"/>
    <w:rsid w:val="00790E96"/>
    <w:rsid w:val="00793366"/>
    <w:rsid w:val="0079572F"/>
    <w:rsid w:val="007A3667"/>
    <w:rsid w:val="007A3B36"/>
    <w:rsid w:val="007A3CCB"/>
    <w:rsid w:val="007A716F"/>
    <w:rsid w:val="007B270A"/>
    <w:rsid w:val="007B4B9C"/>
    <w:rsid w:val="007B4C1B"/>
    <w:rsid w:val="007C0695"/>
    <w:rsid w:val="007C419A"/>
    <w:rsid w:val="007C4CC8"/>
    <w:rsid w:val="007C50EE"/>
    <w:rsid w:val="007C5426"/>
    <w:rsid w:val="007C5798"/>
    <w:rsid w:val="007D4832"/>
    <w:rsid w:val="007E047B"/>
    <w:rsid w:val="007E21B2"/>
    <w:rsid w:val="007E2C4E"/>
    <w:rsid w:val="007E668F"/>
    <w:rsid w:val="007F1905"/>
    <w:rsid w:val="007F51A5"/>
    <w:rsid w:val="00801300"/>
    <w:rsid w:val="00802C64"/>
    <w:rsid w:val="00805ACA"/>
    <w:rsid w:val="00805E52"/>
    <w:rsid w:val="008061D0"/>
    <w:rsid w:val="00810B38"/>
    <w:rsid w:val="008204C7"/>
    <w:rsid w:val="00820992"/>
    <w:rsid w:val="008217E0"/>
    <w:rsid w:val="00823602"/>
    <w:rsid w:val="008255F5"/>
    <w:rsid w:val="0083014E"/>
    <w:rsid w:val="0083214A"/>
    <w:rsid w:val="00834220"/>
    <w:rsid w:val="00845723"/>
    <w:rsid w:val="00847F12"/>
    <w:rsid w:val="00851EF9"/>
    <w:rsid w:val="0085646E"/>
    <w:rsid w:val="008577FD"/>
    <w:rsid w:val="00860B03"/>
    <w:rsid w:val="008616F7"/>
    <w:rsid w:val="0086497A"/>
    <w:rsid w:val="00870027"/>
    <w:rsid w:val="008713A1"/>
    <w:rsid w:val="00874795"/>
    <w:rsid w:val="008754AB"/>
    <w:rsid w:val="0088060C"/>
    <w:rsid w:val="00893576"/>
    <w:rsid w:val="00893831"/>
    <w:rsid w:val="00893E73"/>
    <w:rsid w:val="008A2583"/>
    <w:rsid w:val="008A43C4"/>
    <w:rsid w:val="008A71CF"/>
    <w:rsid w:val="008B02DC"/>
    <w:rsid w:val="008B57CE"/>
    <w:rsid w:val="008B659F"/>
    <w:rsid w:val="008C26DE"/>
    <w:rsid w:val="008D2225"/>
    <w:rsid w:val="008D4752"/>
    <w:rsid w:val="008E0EC1"/>
    <w:rsid w:val="008E271C"/>
    <w:rsid w:val="008E33CC"/>
    <w:rsid w:val="008E418E"/>
    <w:rsid w:val="008E5BC6"/>
    <w:rsid w:val="008E6A25"/>
    <w:rsid w:val="008F0342"/>
    <w:rsid w:val="008F5193"/>
    <w:rsid w:val="00901258"/>
    <w:rsid w:val="009013A7"/>
    <w:rsid w:val="009017FB"/>
    <w:rsid w:val="009017FC"/>
    <w:rsid w:val="00903B43"/>
    <w:rsid w:val="0090506B"/>
    <w:rsid w:val="009050C9"/>
    <w:rsid w:val="009066FC"/>
    <w:rsid w:val="0091015E"/>
    <w:rsid w:val="00911E54"/>
    <w:rsid w:val="009140A3"/>
    <w:rsid w:val="009144A2"/>
    <w:rsid w:val="0091510C"/>
    <w:rsid w:val="009226BA"/>
    <w:rsid w:val="00923125"/>
    <w:rsid w:val="009259AC"/>
    <w:rsid w:val="00926795"/>
    <w:rsid w:val="00926F38"/>
    <w:rsid w:val="00934301"/>
    <w:rsid w:val="00936CD1"/>
    <w:rsid w:val="00941747"/>
    <w:rsid w:val="00941EFB"/>
    <w:rsid w:val="00945F43"/>
    <w:rsid w:val="00947AFB"/>
    <w:rsid w:val="00947E9C"/>
    <w:rsid w:val="00951D7D"/>
    <w:rsid w:val="0095321E"/>
    <w:rsid w:val="00954EB2"/>
    <w:rsid w:val="00956283"/>
    <w:rsid w:val="009630C7"/>
    <w:rsid w:val="00972B55"/>
    <w:rsid w:val="009743B7"/>
    <w:rsid w:val="009749B8"/>
    <w:rsid w:val="009801CC"/>
    <w:rsid w:val="0098228B"/>
    <w:rsid w:val="009828DA"/>
    <w:rsid w:val="00985BAB"/>
    <w:rsid w:val="00986CEB"/>
    <w:rsid w:val="00987E7B"/>
    <w:rsid w:val="00997F03"/>
    <w:rsid w:val="009A1E81"/>
    <w:rsid w:val="009A46DF"/>
    <w:rsid w:val="009B1B5F"/>
    <w:rsid w:val="009B2EC2"/>
    <w:rsid w:val="009B5E9C"/>
    <w:rsid w:val="009B6673"/>
    <w:rsid w:val="009C191B"/>
    <w:rsid w:val="009C198E"/>
    <w:rsid w:val="009C2BD6"/>
    <w:rsid w:val="009C5A3F"/>
    <w:rsid w:val="009D469D"/>
    <w:rsid w:val="009E065A"/>
    <w:rsid w:val="009E0C65"/>
    <w:rsid w:val="009E1F32"/>
    <w:rsid w:val="009E5829"/>
    <w:rsid w:val="009E776C"/>
    <w:rsid w:val="009F0899"/>
    <w:rsid w:val="009F0A1B"/>
    <w:rsid w:val="00A1726E"/>
    <w:rsid w:val="00A204CF"/>
    <w:rsid w:val="00A20D1E"/>
    <w:rsid w:val="00A215E9"/>
    <w:rsid w:val="00A23D49"/>
    <w:rsid w:val="00A27004"/>
    <w:rsid w:val="00A30C29"/>
    <w:rsid w:val="00A31DEF"/>
    <w:rsid w:val="00A34DD6"/>
    <w:rsid w:val="00A34EAA"/>
    <w:rsid w:val="00A36819"/>
    <w:rsid w:val="00A36989"/>
    <w:rsid w:val="00A43628"/>
    <w:rsid w:val="00A54192"/>
    <w:rsid w:val="00A6035E"/>
    <w:rsid w:val="00A604DF"/>
    <w:rsid w:val="00A6144C"/>
    <w:rsid w:val="00A66617"/>
    <w:rsid w:val="00A671F8"/>
    <w:rsid w:val="00A673A4"/>
    <w:rsid w:val="00A724AE"/>
    <w:rsid w:val="00A7309B"/>
    <w:rsid w:val="00A73329"/>
    <w:rsid w:val="00A74AA4"/>
    <w:rsid w:val="00A768AA"/>
    <w:rsid w:val="00A82359"/>
    <w:rsid w:val="00A865D2"/>
    <w:rsid w:val="00A94C20"/>
    <w:rsid w:val="00A95024"/>
    <w:rsid w:val="00AA227F"/>
    <w:rsid w:val="00AA22FF"/>
    <w:rsid w:val="00AA3BC7"/>
    <w:rsid w:val="00AA754A"/>
    <w:rsid w:val="00AA797E"/>
    <w:rsid w:val="00AB099E"/>
    <w:rsid w:val="00AB4328"/>
    <w:rsid w:val="00AB5FA0"/>
    <w:rsid w:val="00AC6137"/>
    <w:rsid w:val="00AD13EA"/>
    <w:rsid w:val="00AD1B68"/>
    <w:rsid w:val="00AE0A2E"/>
    <w:rsid w:val="00AE0B8F"/>
    <w:rsid w:val="00AE2684"/>
    <w:rsid w:val="00AE354C"/>
    <w:rsid w:val="00AF4B07"/>
    <w:rsid w:val="00AF6186"/>
    <w:rsid w:val="00AF7A3A"/>
    <w:rsid w:val="00B160DB"/>
    <w:rsid w:val="00B20836"/>
    <w:rsid w:val="00B235BB"/>
    <w:rsid w:val="00B2615B"/>
    <w:rsid w:val="00B27A44"/>
    <w:rsid w:val="00B30BBF"/>
    <w:rsid w:val="00B33C03"/>
    <w:rsid w:val="00B4384D"/>
    <w:rsid w:val="00B44E56"/>
    <w:rsid w:val="00B46543"/>
    <w:rsid w:val="00B47D33"/>
    <w:rsid w:val="00B52BE0"/>
    <w:rsid w:val="00B54133"/>
    <w:rsid w:val="00B56EE8"/>
    <w:rsid w:val="00B63A8D"/>
    <w:rsid w:val="00B63CAA"/>
    <w:rsid w:val="00B701ED"/>
    <w:rsid w:val="00B7211D"/>
    <w:rsid w:val="00B7668E"/>
    <w:rsid w:val="00B800D0"/>
    <w:rsid w:val="00B8081F"/>
    <w:rsid w:val="00B8086C"/>
    <w:rsid w:val="00B861B4"/>
    <w:rsid w:val="00B86DFE"/>
    <w:rsid w:val="00B90990"/>
    <w:rsid w:val="00B922FF"/>
    <w:rsid w:val="00B9281E"/>
    <w:rsid w:val="00B9381D"/>
    <w:rsid w:val="00B93925"/>
    <w:rsid w:val="00B95187"/>
    <w:rsid w:val="00B952A8"/>
    <w:rsid w:val="00BA2D55"/>
    <w:rsid w:val="00BA71B1"/>
    <w:rsid w:val="00BB0637"/>
    <w:rsid w:val="00BB345F"/>
    <w:rsid w:val="00BB5883"/>
    <w:rsid w:val="00BB68EA"/>
    <w:rsid w:val="00BC016E"/>
    <w:rsid w:val="00BC164F"/>
    <w:rsid w:val="00BC1C27"/>
    <w:rsid w:val="00BC2678"/>
    <w:rsid w:val="00BC6BBF"/>
    <w:rsid w:val="00BD1572"/>
    <w:rsid w:val="00BD26D0"/>
    <w:rsid w:val="00BE14E3"/>
    <w:rsid w:val="00BE3774"/>
    <w:rsid w:val="00BE41E5"/>
    <w:rsid w:val="00BE4801"/>
    <w:rsid w:val="00BF0BBB"/>
    <w:rsid w:val="00BF4109"/>
    <w:rsid w:val="00BF4CC3"/>
    <w:rsid w:val="00BF616F"/>
    <w:rsid w:val="00C049AC"/>
    <w:rsid w:val="00C054C7"/>
    <w:rsid w:val="00C057B5"/>
    <w:rsid w:val="00C06F3C"/>
    <w:rsid w:val="00C146A6"/>
    <w:rsid w:val="00C17554"/>
    <w:rsid w:val="00C22687"/>
    <w:rsid w:val="00C32E4D"/>
    <w:rsid w:val="00C333A0"/>
    <w:rsid w:val="00C36A81"/>
    <w:rsid w:val="00C41974"/>
    <w:rsid w:val="00C447AD"/>
    <w:rsid w:val="00C536C1"/>
    <w:rsid w:val="00C53F4A"/>
    <w:rsid w:val="00C54125"/>
    <w:rsid w:val="00C55B54"/>
    <w:rsid w:val="00C6098E"/>
    <w:rsid w:val="00C611E5"/>
    <w:rsid w:val="00C6152C"/>
    <w:rsid w:val="00C621C2"/>
    <w:rsid w:val="00C64A6B"/>
    <w:rsid w:val="00C673C4"/>
    <w:rsid w:val="00C74810"/>
    <w:rsid w:val="00C74DDB"/>
    <w:rsid w:val="00C75EBD"/>
    <w:rsid w:val="00C815FE"/>
    <w:rsid w:val="00C8382F"/>
    <w:rsid w:val="00C84151"/>
    <w:rsid w:val="00C90D68"/>
    <w:rsid w:val="00C939FE"/>
    <w:rsid w:val="00CA4BDA"/>
    <w:rsid w:val="00CB1234"/>
    <w:rsid w:val="00CB1F66"/>
    <w:rsid w:val="00CB2951"/>
    <w:rsid w:val="00CB6A6F"/>
    <w:rsid w:val="00CD282B"/>
    <w:rsid w:val="00CD4C35"/>
    <w:rsid w:val="00CD7369"/>
    <w:rsid w:val="00CE0B0E"/>
    <w:rsid w:val="00CE3831"/>
    <w:rsid w:val="00CF0459"/>
    <w:rsid w:val="00CF33EB"/>
    <w:rsid w:val="00D00ABB"/>
    <w:rsid w:val="00D02EEC"/>
    <w:rsid w:val="00D03055"/>
    <w:rsid w:val="00D03551"/>
    <w:rsid w:val="00D06A63"/>
    <w:rsid w:val="00D07E0E"/>
    <w:rsid w:val="00D11478"/>
    <w:rsid w:val="00D131A4"/>
    <w:rsid w:val="00D15ED0"/>
    <w:rsid w:val="00D21B3E"/>
    <w:rsid w:val="00D21FED"/>
    <w:rsid w:val="00D24251"/>
    <w:rsid w:val="00D27289"/>
    <w:rsid w:val="00D343E2"/>
    <w:rsid w:val="00D361A2"/>
    <w:rsid w:val="00D379A1"/>
    <w:rsid w:val="00D37A8B"/>
    <w:rsid w:val="00D44C2E"/>
    <w:rsid w:val="00D45414"/>
    <w:rsid w:val="00D53C0F"/>
    <w:rsid w:val="00D566BD"/>
    <w:rsid w:val="00D57A4D"/>
    <w:rsid w:val="00D606F9"/>
    <w:rsid w:val="00D60AA7"/>
    <w:rsid w:val="00D60D87"/>
    <w:rsid w:val="00D6435F"/>
    <w:rsid w:val="00D736BE"/>
    <w:rsid w:val="00D75581"/>
    <w:rsid w:val="00D75E28"/>
    <w:rsid w:val="00D772C2"/>
    <w:rsid w:val="00D773C3"/>
    <w:rsid w:val="00D7748F"/>
    <w:rsid w:val="00D8008E"/>
    <w:rsid w:val="00D822A7"/>
    <w:rsid w:val="00D82C45"/>
    <w:rsid w:val="00D84EA3"/>
    <w:rsid w:val="00D908A8"/>
    <w:rsid w:val="00D91D56"/>
    <w:rsid w:val="00D977B6"/>
    <w:rsid w:val="00DA1584"/>
    <w:rsid w:val="00DA4A31"/>
    <w:rsid w:val="00DA7B04"/>
    <w:rsid w:val="00DB36C2"/>
    <w:rsid w:val="00DB7196"/>
    <w:rsid w:val="00DC169B"/>
    <w:rsid w:val="00DC2AB9"/>
    <w:rsid w:val="00DC63F0"/>
    <w:rsid w:val="00DD2490"/>
    <w:rsid w:val="00DD6EE5"/>
    <w:rsid w:val="00DD70CF"/>
    <w:rsid w:val="00DE386C"/>
    <w:rsid w:val="00DE4D35"/>
    <w:rsid w:val="00DF0549"/>
    <w:rsid w:val="00DF098B"/>
    <w:rsid w:val="00DF11C4"/>
    <w:rsid w:val="00DF210C"/>
    <w:rsid w:val="00DF4B6A"/>
    <w:rsid w:val="00E01FFE"/>
    <w:rsid w:val="00E02C09"/>
    <w:rsid w:val="00E036CA"/>
    <w:rsid w:val="00E04D59"/>
    <w:rsid w:val="00E04D76"/>
    <w:rsid w:val="00E07DA1"/>
    <w:rsid w:val="00E123CB"/>
    <w:rsid w:val="00E1438D"/>
    <w:rsid w:val="00E1557C"/>
    <w:rsid w:val="00E20E13"/>
    <w:rsid w:val="00E21DBC"/>
    <w:rsid w:val="00E275D7"/>
    <w:rsid w:val="00E27DBE"/>
    <w:rsid w:val="00E32AB1"/>
    <w:rsid w:val="00E3458C"/>
    <w:rsid w:val="00E36C71"/>
    <w:rsid w:val="00E37FA5"/>
    <w:rsid w:val="00E40404"/>
    <w:rsid w:val="00E411AE"/>
    <w:rsid w:val="00E459C6"/>
    <w:rsid w:val="00E47589"/>
    <w:rsid w:val="00E55E0E"/>
    <w:rsid w:val="00E62C87"/>
    <w:rsid w:val="00E64915"/>
    <w:rsid w:val="00E661D4"/>
    <w:rsid w:val="00E677C9"/>
    <w:rsid w:val="00E70091"/>
    <w:rsid w:val="00E720F5"/>
    <w:rsid w:val="00E76D47"/>
    <w:rsid w:val="00E82BFA"/>
    <w:rsid w:val="00E83D8A"/>
    <w:rsid w:val="00E849F7"/>
    <w:rsid w:val="00E87889"/>
    <w:rsid w:val="00E90288"/>
    <w:rsid w:val="00E90302"/>
    <w:rsid w:val="00E9597F"/>
    <w:rsid w:val="00E97396"/>
    <w:rsid w:val="00EA185E"/>
    <w:rsid w:val="00EA592A"/>
    <w:rsid w:val="00EB14E4"/>
    <w:rsid w:val="00EB31A9"/>
    <w:rsid w:val="00EB32A5"/>
    <w:rsid w:val="00EB34ED"/>
    <w:rsid w:val="00EB7BE0"/>
    <w:rsid w:val="00EC2146"/>
    <w:rsid w:val="00EC315E"/>
    <w:rsid w:val="00ED05B5"/>
    <w:rsid w:val="00ED077C"/>
    <w:rsid w:val="00ED1190"/>
    <w:rsid w:val="00ED508C"/>
    <w:rsid w:val="00ED51AE"/>
    <w:rsid w:val="00ED6544"/>
    <w:rsid w:val="00EE0277"/>
    <w:rsid w:val="00EE1DA9"/>
    <w:rsid w:val="00EE3943"/>
    <w:rsid w:val="00EE3E00"/>
    <w:rsid w:val="00EE5DD2"/>
    <w:rsid w:val="00EF1318"/>
    <w:rsid w:val="00EF35AC"/>
    <w:rsid w:val="00EF41F1"/>
    <w:rsid w:val="00EF4F08"/>
    <w:rsid w:val="00EF7C68"/>
    <w:rsid w:val="00F00A79"/>
    <w:rsid w:val="00F00E86"/>
    <w:rsid w:val="00F075F6"/>
    <w:rsid w:val="00F07C1E"/>
    <w:rsid w:val="00F105DB"/>
    <w:rsid w:val="00F132BC"/>
    <w:rsid w:val="00F13D80"/>
    <w:rsid w:val="00F16AAA"/>
    <w:rsid w:val="00F173C3"/>
    <w:rsid w:val="00F17C29"/>
    <w:rsid w:val="00F21161"/>
    <w:rsid w:val="00F218EF"/>
    <w:rsid w:val="00F21BC7"/>
    <w:rsid w:val="00F26261"/>
    <w:rsid w:val="00F266A2"/>
    <w:rsid w:val="00F2676C"/>
    <w:rsid w:val="00F32269"/>
    <w:rsid w:val="00F326C2"/>
    <w:rsid w:val="00F56A6F"/>
    <w:rsid w:val="00F5709C"/>
    <w:rsid w:val="00F57771"/>
    <w:rsid w:val="00F626A6"/>
    <w:rsid w:val="00F64EF1"/>
    <w:rsid w:val="00F65369"/>
    <w:rsid w:val="00F66054"/>
    <w:rsid w:val="00F66C5C"/>
    <w:rsid w:val="00F77011"/>
    <w:rsid w:val="00F8765F"/>
    <w:rsid w:val="00F90767"/>
    <w:rsid w:val="00F90805"/>
    <w:rsid w:val="00F9397E"/>
    <w:rsid w:val="00FA4DE4"/>
    <w:rsid w:val="00FA685B"/>
    <w:rsid w:val="00FB0C01"/>
    <w:rsid w:val="00FB219B"/>
    <w:rsid w:val="00FC1341"/>
    <w:rsid w:val="00FC18F2"/>
    <w:rsid w:val="00FC2242"/>
    <w:rsid w:val="00FC39E5"/>
    <w:rsid w:val="00FC3A78"/>
    <w:rsid w:val="00FC50C1"/>
    <w:rsid w:val="00FC5FFE"/>
    <w:rsid w:val="00FD1005"/>
    <w:rsid w:val="00FD1275"/>
    <w:rsid w:val="00FD3180"/>
    <w:rsid w:val="00FD6C75"/>
    <w:rsid w:val="00FE1BE2"/>
    <w:rsid w:val="00FE71B3"/>
    <w:rsid w:val="00FF155D"/>
    <w:rsid w:val="00FF4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E2A43"/>
    <w:pPr>
      <w:jc w:val="both"/>
    </w:pPr>
    <w:rPr>
      <w:rFonts w:eastAsiaTheme="minorEastAsia"/>
      <w:sz w:val="24"/>
    </w:rPr>
  </w:style>
  <w:style w:type="paragraph" w:styleId="Heading1">
    <w:name w:val="heading 1"/>
    <w:basedOn w:val="Normal"/>
    <w:next w:val="Normal"/>
    <w:link w:val="Heading1Char"/>
    <w:uiPriority w:val="99"/>
    <w:semiHidden/>
    <w:rsid w:val="00941747"/>
    <w:pPr>
      <w:numPr>
        <w:numId w:val="11"/>
      </w:numPr>
      <w:spacing w:before="480"/>
      <w:contextualSpacing/>
      <w:jc w:val="left"/>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941747"/>
    <w:pPr>
      <w:numPr>
        <w:ilvl w:val="1"/>
        <w:numId w:val="11"/>
      </w:numPr>
      <w:spacing w:before="200"/>
      <w:jc w:val="left"/>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941747"/>
    <w:pPr>
      <w:numPr>
        <w:ilvl w:val="2"/>
        <w:numId w:val="11"/>
      </w:numPr>
      <w:spacing w:before="200" w:line="271" w:lineRule="auto"/>
      <w:jc w:val="left"/>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941747"/>
    <w:pPr>
      <w:numPr>
        <w:ilvl w:val="3"/>
        <w:numId w:val="11"/>
      </w:numPr>
      <w:spacing w:before="200"/>
      <w:jc w:val="left"/>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14566"/>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941747"/>
    <w:pPr>
      <w:numPr>
        <w:ilvl w:val="5"/>
        <w:numId w:val="11"/>
      </w:numPr>
      <w:spacing w:line="271" w:lineRule="auto"/>
      <w:jc w:val="left"/>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014566"/>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01456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01456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1747"/>
    <w:rPr>
      <w:rFonts w:ascii="Tahoma" w:hAnsi="Tahoma" w:cs="Tahoma"/>
      <w:sz w:val="16"/>
      <w:szCs w:val="16"/>
    </w:rPr>
  </w:style>
  <w:style w:type="character" w:customStyle="1" w:styleId="BalloonTextChar">
    <w:name w:val="Balloon Text Char"/>
    <w:basedOn w:val="DefaultParagraphFont"/>
    <w:link w:val="BalloonText"/>
    <w:uiPriority w:val="99"/>
    <w:semiHidden/>
    <w:rsid w:val="00A671F8"/>
    <w:rPr>
      <w:rFonts w:ascii="Tahoma" w:eastAsiaTheme="minorEastAsia" w:hAnsi="Tahoma" w:cs="Tahoma"/>
      <w:sz w:val="16"/>
      <w:szCs w:val="16"/>
    </w:rPr>
  </w:style>
  <w:style w:type="character" w:styleId="BookTitle">
    <w:name w:val="Book Title"/>
    <w:uiPriority w:val="99"/>
    <w:semiHidden/>
    <w:qFormat/>
    <w:rsid w:val="00014566"/>
    <w:rPr>
      <w:i/>
      <w:iCs/>
      <w:smallCaps/>
      <w:spacing w:val="5"/>
    </w:rPr>
  </w:style>
  <w:style w:type="paragraph" w:customStyle="1" w:styleId="ECHRHeader">
    <w:name w:val="ECHR_Header"/>
    <w:aliases w:val="Ju_Header"/>
    <w:basedOn w:val="Header"/>
    <w:uiPriority w:val="4"/>
    <w:qFormat/>
    <w:rsid w:val="00014566"/>
    <w:pPr>
      <w:tabs>
        <w:tab w:val="clear" w:pos="4536"/>
        <w:tab w:val="clear" w:pos="9696"/>
        <w:tab w:val="center" w:pos="3686"/>
        <w:tab w:val="right" w:pos="7371"/>
      </w:tabs>
      <w:ind w:left="0" w:right="0"/>
      <w:jc w:val="left"/>
    </w:pPr>
    <w:rPr>
      <w:rFonts w:eastAsiaTheme="minorHAnsi"/>
      <w:sz w:val="18"/>
    </w:rPr>
  </w:style>
  <w:style w:type="paragraph" w:customStyle="1" w:styleId="OpiPara">
    <w:name w:val="Opi_Para"/>
    <w:basedOn w:val="Normal"/>
    <w:uiPriority w:val="46"/>
    <w:qFormat/>
    <w:rsid w:val="00C621C2"/>
    <w:pPr>
      <w:ind w:firstLine="284"/>
    </w:pPr>
  </w:style>
  <w:style w:type="character" w:styleId="Strong">
    <w:name w:val="Strong"/>
    <w:uiPriority w:val="99"/>
    <w:semiHidden/>
    <w:qFormat/>
    <w:rsid w:val="00014566"/>
    <w:rPr>
      <w:b/>
      <w:bCs/>
    </w:rPr>
  </w:style>
  <w:style w:type="paragraph" w:styleId="NoSpacing">
    <w:name w:val="No Spacing"/>
    <w:basedOn w:val="Normal"/>
    <w:link w:val="NoSpacingChar"/>
    <w:semiHidden/>
    <w:qFormat/>
    <w:rsid w:val="00014566"/>
    <w:rPr>
      <w:sz w:val="22"/>
    </w:rPr>
  </w:style>
  <w:style w:type="character" w:customStyle="1" w:styleId="NoSpacingChar">
    <w:name w:val="No Spacing Char"/>
    <w:basedOn w:val="DefaultParagraphFont"/>
    <w:link w:val="NoSpacing"/>
    <w:semiHidden/>
    <w:rsid w:val="00014566"/>
    <w:rPr>
      <w:rFonts w:eastAsiaTheme="minorEastAsia"/>
    </w:rPr>
  </w:style>
  <w:style w:type="paragraph" w:customStyle="1" w:styleId="JuParaSub">
    <w:name w:val="Ju_Para_Sub"/>
    <w:basedOn w:val="Normal"/>
    <w:uiPriority w:val="13"/>
    <w:qFormat/>
    <w:rsid w:val="00C621C2"/>
    <w:pPr>
      <w:ind w:left="284" w:firstLine="284"/>
    </w:pPr>
  </w:style>
  <w:style w:type="paragraph" w:customStyle="1" w:styleId="OpiParaSub">
    <w:name w:val="Opi_Para_Sub"/>
    <w:basedOn w:val="JuParaSub"/>
    <w:uiPriority w:val="47"/>
    <w:qFormat/>
    <w:rsid w:val="00014566"/>
  </w:style>
  <w:style w:type="paragraph" w:customStyle="1" w:styleId="OpiQuot">
    <w:name w:val="Opi_Quot"/>
    <w:basedOn w:val="ECHRParaQuote"/>
    <w:uiPriority w:val="48"/>
    <w:qFormat/>
    <w:rsid w:val="00014566"/>
  </w:style>
  <w:style w:type="paragraph" w:customStyle="1" w:styleId="OpiQuotSub">
    <w:name w:val="Opi_Quot_Sub"/>
    <w:basedOn w:val="JuQuotSub"/>
    <w:uiPriority w:val="49"/>
    <w:qFormat/>
    <w:rsid w:val="00014566"/>
  </w:style>
  <w:style w:type="paragraph" w:customStyle="1" w:styleId="ECHRTitleCentre3">
    <w:name w:val="ECHR_Title_Centre_3"/>
    <w:aliases w:val="Ju_H_Article"/>
    <w:basedOn w:val="Normal"/>
    <w:next w:val="ECHRParaQuote"/>
    <w:uiPriority w:val="27"/>
    <w:qFormat/>
    <w:rsid w:val="00014566"/>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014566"/>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14566"/>
    <w:pPr>
      <w:ind w:left="567"/>
    </w:pPr>
  </w:style>
  <w:style w:type="paragraph" w:customStyle="1" w:styleId="JuInitialled">
    <w:name w:val="Ju_Initialled"/>
    <w:basedOn w:val="Normal"/>
    <w:uiPriority w:val="31"/>
    <w:qFormat/>
    <w:rsid w:val="00014566"/>
    <w:pPr>
      <w:tabs>
        <w:tab w:val="center" w:pos="6407"/>
      </w:tabs>
      <w:spacing w:before="720"/>
      <w:jc w:val="right"/>
    </w:pPr>
  </w:style>
  <w:style w:type="paragraph" w:customStyle="1" w:styleId="OpiHA">
    <w:name w:val="Opi_H_A"/>
    <w:basedOn w:val="ECHRHeading1"/>
    <w:next w:val="OpiPara"/>
    <w:uiPriority w:val="41"/>
    <w:qFormat/>
    <w:rsid w:val="00014566"/>
    <w:pPr>
      <w:outlineLvl w:val="1"/>
    </w:pPr>
    <w:rPr>
      <w:bCs w:val="0"/>
    </w:rPr>
  </w:style>
  <w:style w:type="character" w:customStyle="1" w:styleId="JUNAMES">
    <w:name w:val="JU_NAMES"/>
    <w:uiPriority w:val="17"/>
    <w:qFormat/>
    <w:rsid w:val="00014566"/>
    <w:rPr>
      <w:caps w:val="0"/>
      <w:smallCaps/>
    </w:rPr>
  </w:style>
  <w:style w:type="paragraph" w:customStyle="1" w:styleId="OpiTranslation">
    <w:name w:val="Opi_Translation"/>
    <w:basedOn w:val="Normal"/>
    <w:next w:val="OpiPara"/>
    <w:uiPriority w:val="40"/>
    <w:qFormat/>
    <w:rsid w:val="00014566"/>
    <w:pPr>
      <w:jc w:val="center"/>
      <w:outlineLvl w:val="0"/>
    </w:pPr>
    <w:rPr>
      <w:i/>
    </w:rPr>
  </w:style>
  <w:style w:type="paragraph" w:styleId="Title">
    <w:name w:val="Title"/>
    <w:basedOn w:val="Normal"/>
    <w:next w:val="Normal"/>
    <w:link w:val="TitleChar"/>
    <w:uiPriority w:val="99"/>
    <w:semiHidden/>
    <w:qFormat/>
    <w:rsid w:val="0001456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014566"/>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Normal"/>
    <w:qFormat/>
    <w:rsid w:val="00014566"/>
    <w:pPr>
      <w:keepNext/>
      <w:keepLines/>
      <w:numPr>
        <w:ilvl w:val="0"/>
        <w:numId w:val="0"/>
      </w:numPr>
      <w:tabs>
        <w:tab w:val="left" w:pos="731"/>
      </w:tabs>
      <w:spacing w:before="240" w:after="120" w:line="240" w:lineRule="auto"/>
      <w:ind w:left="732" w:hanging="301"/>
      <w:jc w:val="both"/>
    </w:pPr>
    <w:rPr>
      <w:b w:val="0"/>
      <w:i/>
      <w:color w:val="auto"/>
    </w:rPr>
  </w:style>
  <w:style w:type="paragraph" w:customStyle="1" w:styleId="ECHRHeading4">
    <w:name w:val="ECHR_Heading_4"/>
    <w:aliases w:val="Ju_H_a"/>
    <w:basedOn w:val="Heading4"/>
    <w:next w:val="Normal"/>
    <w:uiPriority w:val="22"/>
    <w:qFormat/>
    <w:rsid w:val="00014566"/>
    <w:pPr>
      <w:keepNext/>
      <w:keepLines/>
      <w:numPr>
        <w:ilvl w:val="0"/>
        <w:numId w:val="0"/>
      </w:numPr>
      <w:tabs>
        <w:tab w:val="left" w:pos="975"/>
      </w:tabs>
      <w:spacing w:before="240" w:after="120"/>
      <w:ind w:left="975" w:hanging="340"/>
      <w:jc w:val="both"/>
    </w:pPr>
    <w:rPr>
      <w:i w:val="0"/>
      <w:color w:val="auto"/>
      <w:sz w:val="20"/>
    </w:rPr>
  </w:style>
  <w:style w:type="paragraph" w:customStyle="1" w:styleId="ECHRHeading5">
    <w:name w:val="ECHR_Heading_5"/>
    <w:aliases w:val="Ju_H_i"/>
    <w:basedOn w:val="Heading5"/>
    <w:next w:val="Normal"/>
    <w:uiPriority w:val="23"/>
    <w:qFormat/>
    <w:rsid w:val="0001456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Normal"/>
    <w:uiPriority w:val="24"/>
    <w:qFormat/>
    <w:rsid w:val="00014566"/>
    <w:pPr>
      <w:keepNext/>
      <w:keepLines/>
      <w:numPr>
        <w:ilvl w:val="0"/>
        <w:numId w:val="0"/>
      </w:numPr>
      <w:tabs>
        <w:tab w:val="left" w:pos="1372"/>
      </w:tabs>
      <w:spacing w:before="240" w:after="120" w:line="240" w:lineRule="auto"/>
      <w:ind w:left="1373" w:hanging="335"/>
      <w:jc w:val="both"/>
    </w:pPr>
    <w:rPr>
      <w:b w:val="0"/>
      <w:color w:val="auto"/>
      <w:sz w:val="20"/>
    </w:rPr>
  </w:style>
  <w:style w:type="paragraph" w:customStyle="1" w:styleId="ECHRHeading7">
    <w:name w:val="ECHR_Heading_7"/>
    <w:aliases w:val="Ju_H_–"/>
    <w:basedOn w:val="Heading7"/>
    <w:next w:val="Normal"/>
    <w:uiPriority w:val="25"/>
    <w:qFormat/>
    <w:rsid w:val="00014566"/>
    <w:pPr>
      <w:keepNext/>
      <w:keepLines/>
      <w:spacing w:before="240" w:after="120"/>
      <w:ind w:left="1236"/>
    </w:pPr>
    <w:rPr>
      <w:sz w:val="20"/>
    </w:rPr>
  </w:style>
  <w:style w:type="paragraph" w:customStyle="1" w:styleId="OpiH1">
    <w:name w:val="Opi_H_1"/>
    <w:basedOn w:val="ECHRHeading2"/>
    <w:uiPriority w:val="42"/>
    <w:qFormat/>
    <w:rsid w:val="00014566"/>
    <w:pPr>
      <w:ind w:left="635" w:hanging="357"/>
      <w:outlineLvl w:val="2"/>
    </w:pPr>
  </w:style>
  <w:style w:type="paragraph" w:customStyle="1" w:styleId="OpiHa0">
    <w:name w:val="Opi_H_a"/>
    <w:basedOn w:val="ECHRHeading3"/>
    <w:uiPriority w:val="43"/>
    <w:qFormat/>
    <w:rsid w:val="00014566"/>
    <w:pPr>
      <w:ind w:left="833" w:hanging="357"/>
      <w:outlineLvl w:val="3"/>
    </w:pPr>
    <w:rPr>
      <w:b/>
      <w:i w:val="0"/>
      <w:sz w:val="20"/>
    </w:rPr>
  </w:style>
  <w:style w:type="paragraph" w:customStyle="1" w:styleId="OpiHi">
    <w:name w:val="Opi_H_i"/>
    <w:basedOn w:val="ECHRHeading4"/>
    <w:uiPriority w:val="44"/>
    <w:qFormat/>
    <w:rsid w:val="00014566"/>
    <w:pPr>
      <w:ind w:left="1037" w:hanging="357"/>
      <w:outlineLvl w:val="4"/>
    </w:pPr>
    <w:rPr>
      <w:b w:val="0"/>
      <w:i/>
    </w:rPr>
  </w:style>
  <w:style w:type="paragraph" w:styleId="Header">
    <w:name w:val="header"/>
    <w:basedOn w:val="Normal"/>
    <w:link w:val="HeaderChar"/>
    <w:uiPriority w:val="57"/>
    <w:semiHidden/>
    <w:rsid w:val="00941747"/>
    <w:pPr>
      <w:tabs>
        <w:tab w:val="center" w:pos="4536"/>
        <w:tab w:val="right" w:pos="9696"/>
      </w:tabs>
      <w:ind w:left="-680" w:right="-680"/>
    </w:pPr>
  </w:style>
  <w:style w:type="character" w:customStyle="1" w:styleId="HeaderChar">
    <w:name w:val="Header Char"/>
    <w:basedOn w:val="DefaultParagraphFont"/>
    <w:link w:val="Header"/>
    <w:uiPriority w:val="57"/>
    <w:semiHidden/>
    <w:rsid w:val="008D4752"/>
  </w:style>
  <w:style w:type="character" w:customStyle="1" w:styleId="Heading1Char">
    <w:name w:val="Heading 1 Char"/>
    <w:basedOn w:val="DefaultParagraphFont"/>
    <w:link w:val="Heading1"/>
    <w:uiPriority w:val="99"/>
    <w:semiHidden/>
    <w:rsid w:val="00A671F8"/>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Normal"/>
    <w:uiPriority w:val="19"/>
    <w:qFormat/>
    <w:rsid w:val="00014566"/>
    <w:pPr>
      <w:keepNext/>
      <w:keepLines/>
      <w:numPr>
        <w:numId w:val="0"/>
      </w:numPr>
      <w:tabs>
        <w:tab w:val="left" w:pos="357"/>
      </w:tabs>
      <w:spacing w:before="360" w:after="240"/>
      <w:ind w:left="357" w:hanging="357"/>
      <w:contextualSpacing w:val="0"/>
      <w:jc w:val="both"/>
    </w:pPr>
    <w:rPr>
      <w:b w:val="0"/>
      <w:color w:val="auto"/>
      <w:sz w:val="24"/>
    </w:rPr>
  </w:style>
  <w:style w:type="paragraph" w:customStyle="1" w:styleId="ECHRHeading2">
    <w:name w:val="ECHR_Heading_2"/>
    <w:aliases w:val="Ju_H_A"/>
    <w:basedOn w:val="Heading2"/>
    <w:next w:val="Normal"/>
    <w:uiPriority w:val="20"/>
    <w:qFormat/>
    <w:rsid w:val="00014566"/>
    <w:pPr>
      <w:keepNext/>
      <w:keepLines/>
      <w:numPr>
        <w:ilvl w:val="0"/>
        <w:numId w:val="0"/>
      </w:numPr>
      <w:tabs>
        <w:tab w:val="left" w:pos="584"/>
      </w:tabs>
      <w:spacing w:before="360" w:after="240"/>
      <w:ind w:left="584" w:hanging="352"/>
      <w:jc w:val="both"/>
    </w:pPr>
    <w:rPr>
      <w:color w:val="auto"/>
      <w:sz w:val="24"/>
    </w:rPr>
  </w:style>
  <w:style w:type="character" w:customStyle="1" w:styleId="Heading2Char">
    <w:name w:val="Heading 2 Char"/>
    <w:basedOn w:val="DefaultParagraphFont"/>
    <w:link w:val="Heading2"/>
    <w:uiPriority w:val="99"/>
    <w:semiHidden/>
    <w:rsid w:val="00A671F8"/>
    <w:rPr>
      <w:rFonts w:asciiTheme="majorHAnsi" w:eastAsiaTheme="majorEastAsia" w:hAnsiTheme="majorHAnsi" w:cstheme="majorBidi"/>
      <w:b/>
      <w:bCs/>
      <w:color w:val="4D4D4D"/>
      <w:sz w:val="26"/>
      <w:szCs w:val="26"/>
    </w:rPr>
  </w:style>
  <w:style w:type="paragraph" w:customStyle="1" w:styleId="DummyStyle">
    <w:name w:val="Dummy_Style"/>
    <w:basedOn w:val="Normal"/>
    <w:semiHidden/>
    <w:qFormat/>
    <w:rsid w:val="00014566"/>
    <w:rPr>
      <w:color w:val="00B050"/>
    </w:rPr>
  </w:style>
  <w:style w:type="paragraph" w:customStyle="1" w:styleId="JuCase">
    <w:name w:val="Ju_Case"/>
    <w:basedOn w:val="Normal"/>
    <w:next w:val="Normal"/>
    <w:uiPriority w:val="10"/>
    <w:rsid w:val="00D60D87"/>
    <w:pPr>
      <w:ind w:firstLine="284"/>
    </w:pPr>
    <w:rPr>
      <w:b/>
    </w:rPr>
  </w:style>
  <w:style w:type="character" w:customStyle="1" w:styleId="Heading3Char">
    <w:name w:val="Heading 3 Char"/>
    <w:basedOn w:val="DefaultParagraphFont"/>
    <w:link w:val="Heading3"/>
    <w:uiPriority w:val="99"/>
    <w:semiHidden/>
    <w:rsid w:val="00A671F8"/>
    <w:rPr>
      <w:rFonts w:asciiTheme="majorHAnsi" w:eastAsiaTheme="majorEastAsia" w:hAnsiTheme="majorHAnsi" w:cstheme="majorBidi"/>
      <w:b/>
      <w:bCs/>
      <w:color w:val="5F5F5F"/>
    </w:rPr>
  </w:style>
  <w:style w:type="character" w:customStyle="1" w:styleId="Heading4Char">
    <w:name w:val="Heading 4 Char"/>
    <w:basedOn w:val="DefaultParagraphFont"/>
    <w:link w:val="Heading4"/>
    <w:uiPriority w:val="99"/>
    <w:semiHidden/>
    <w:rsid w:val="00A671F8"/>
    <w:rPr>
      <w:rFonts w:asciiTheme="majorHAnsi" w:eastAsiaTheme="majorEastAsia" w:hAnsiTheme="majorHAnsi" w:cstheme="majorBidi"/>
      <w:b/>
      <w:bCs/>
      <w:i/>
      <w:iCs/>
      <w:color w:val="777777"/>
    </w:rPr>
  </w:style>
  <w:style w:type="character" w:customStyle="1" w:styleId="Heading5Char">
    <w:name w:val="Heading 5 Char"/>
    <w:basedOn w:val="DefaultParagraphFont"/>
    <w:link w:val="Heading5"/>
    <w:uiPriority w:val="99"/>
    <w:semiHidden/>
    <w:rsid w:val="00014566"/>
    <w:rPr>
      <w:rFonts w:asciiTheme="majorHAnsi" w:eastAsiaTheme="majorEastAsia" w:hAnsiTheme="majorHAnsi" w:cstheme="majorBidi"/>
      <w:b/>
      <w:bCs/>
      <w:color w:val="808080"/>
    </w:rPr>
  </w:style>
  <w:style w:type="character" w:styleId="SubtleEmphasis">
    <w:name w:val="Subtle Emphasis"/>
    <w:uiPriority w:val="99"/>
    <w:semiHidden/>
    <w:qFormat/>
    <w:rsid w:val="00014566"/>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Normal"/>
    <w:uiPriority w:val="18"/>
    <w:qFormat/>
    <w:rsid w:val="00014566"/>
    <w:pPr>
      <w:keepNext/>
      <w:keepLines/>
      <w:spacing w:before="720" w:after="240"/>
      <w:outlineLvl w:val="0"/>
    </w:pPr>
    <w:rPr>
      <w:rFonts w:asciiTheme="majorHAnsi" w:hAnsiTheme="majorHAnsi"/>
      <w:sz w:val="28"/>
    </w:rPr>
  </w:style>
  <w:style w:type="character" w:styleId="Emphasis">
    <w:name w:val="Emphasis"/>
    <w:uiPriority w:val="99"/>
    <w:semiHidden/>
    <w:qFormat/>
    <w:rsid w:val="00014566"/>
    <w:rPr>
      <w:b/>
      <w:bCs/>
      <w:i/>
      <w:iCs/>
      <w:spacing w:val="10"/>
      <w:bdr w:val="none" w:sz="0" w:space="0" w:color="auto"/>
      <w:shd w:val="clear" w:color="auto" w:fill="auto"/>
    </w:rPr>
  </w:style>
  <w:style w:type="paragraph" w:styleId="Footer">
    <w:name w:val="footer"/>
    <w:basedOn w:val="Normal"/>
    <w:link w:val="FooterChar"/>
    <w:uiPriority w:val="57"/>
    <w:semiHidden/>
    <w:rsid w:val="00941747"/>
    <w:pPr>
      <w:tabs>
        <w:tab w:val="center" w:pos="4536"/>
        <w:tab w:val="right" w:pos="9696"/>
      </w:tabs>
      <w:ind w:left="-680" w:right="-680"/>
    </w:pPr>
  </w:style>
  <w:style w:type="character" w:customStyle="1" w:styleId="FooterChar">
    <w:name w:val="Footer Char"/>
    <w:basedOn w:val="DefaultParagraphFont"/>
    <w:link w:val="Footer"/>
    <w:uiPriority w:val="57"/>
    <w:semiHidden/>
    <w:rsid w:val="008D4752"/>
  </w:style>
  <w:style w:type="character" w:styleId="FootnoteReference">
    <w:name w:val="footnote reference"/>
    <w:basedOn w:val="DefaultParagraphFont"/>
    <w:uiPriority w:val="99"/>
    <w:semiHidden/>
    <w:rsid w:val="00941747"/>
    <w:rPr>
      <w:vertAlign w:val="superscript"/>
    </w:rPr>
  </w:style>
  <w:style w:type="paragraph" w:styleId="FootnoteText">
    <w:name w:val="footnote text"/>
    <w:basedOn w:val="Normal"/>
    <w:link w:val="FootnoteTextChar"/>
    <w:uiPriority w:val="99"/>
    <w:semiHidden/>
    <w:rsid w:val="00941747"/>
    <w:rPr>
      <w:sz w:val="20"/>
      <w:szCs w:val="20"/>
    </w:rPr>
  </w:style>
  <w:style w:type="character" w:customStyle="1" w:styleId="FootnoteTextChar">
    <w:name w:val="Footnote Text Char"/>
    <w:basedOn w:val="DefaultParagraphFont"/>
    <w:link w:val="FootnoteText"/>
    <w:uiPriority w:val="99"/>
    <w:semiHidden/>
    <w:rsid w:val="00A671F8"/>
    <w:rPr>
      <w:rFonts w:eastAsiaTheme="minorEastAsia"/>
      <w:sz w:val="20"/>
      <w:szCs w:val="20"/>
    </w:rPr>
  </w:style>
  <w:style w:type="character" w:customStyle="1" w:styleId="Heading6Char">
    <w:name w:val="Heading 6 Char"/>
    <w:basedOn w:val="DefaultParagraphFont"/>
    <w:link w:val="Heading6"/>
    <w:uiPriority w:val="99"/>
    <w:semiHidden/>
    <w:rsid w:val="00A671F8"/>
    <w:rPr>
      <w:rFonts w:asciiTheme="majorHAnsi" w:eastAsiaTheme="majorEastAsia" w:hAnsiTheme="majorHAnsi" w:cstheme="majorBidi"/>
      <w:b/>
      <w:bCs/>
      <w:i/>
      <w:iCs/>
      <w:color w:val="7F7F7F" w:themeColor="text1" w:themeTint="80"/>
      <w:lang w:bidi="lv-LV"/>
    </w:rPr>
  </w:style>
  <w:style w:type="character" w:customStyle="1" w:styleId="Heading7Char">
    <w:name w:val="Heading 7 Char"/>
    <w:basedOn w:val="DefaultParagraphFont"/>
    <w:link w:val="Heading7"/>
    <w:uiPriority w:val="99"/>
    <w:semiHidden/>
    <w:rsid w:val="00014566"/>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014566"/>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014566"/>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941747"/>
    <w:rPr>
      <w:color w:val="0072BC" w:themeColor="hyperlink"/>
      <w:u w:val="single"/>
    </w:rPr>
  </w:style>
  <w:style w:type="character" w:styleId="IntenseEmphasis">
    <w:name w:val="Intense Emphasis"/>
    <w:uiPriority w:val="99"/>
    <w:semiHidden/>
    <w:qFormat/>
    <w:rsid w:val="00014566"/>
    <w:rPr>
      <w:b/>
      <w:bCs/>
    </w:rPr>
  </w:style>
  <w:style w:type="paragraph" w:styleId="IntenseQuote">
    <w:name w:val="Intense Quote"/>
    <w:basedOn w:val="Normal"/>
    <w:next w:val="Normal"/>
    <w:link w:val="IntenseQuoteChar"/>
    <w:uiPriority w:val="99"/>
    <w:semiHidden/>
    <w:qFormat/>
    <w:rsid w:val="00014566"/>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014566"/>
    <w:rPr>
      <w:rFonts w:eastAsiaTheme="minorEastAsia"/>
      <w:b/>
      <w:bCs/>
      <w:i/>
      <w:iCs/>
      <w:lang w:bidi="lv-LV"/>
    </w:rPr>
  </w:style>
  <w:style w:type="character" w:styleId="IntenseReference">
    <w:name w:val="Intense Reference"/>
    <w:uiPriority w:val="99"/>
    <w:semiHidden/>
    <w:qFormat/>
    <w:rsid w:val="00014566"/>
    <w:rPr>
      <w:smallCaps/>
      <w:spacing w:val="5"/>
      <w:u w:val="single"/>
    </w:rPr>
  </w:style>
  <w:style w:type="paragraph" w:styleId="ListParagraph">
    <w:name w:val="List Paragraph"/>
    <w:basedOn w:val="Normal"/>
    <w:uiPriority w:val="99"/>
    <w:semiHidden/>
    <w:qFormat/>
    <w:rsid w:val="00014566"/>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14566"/>
    <w:pPr>
      <w:spacing w:before="200"/>
      <w:ind w:left="360" w:right="360"/>
    </w:pPr>
    <w:rPr>
      <w:i/>
      <w:iCs/>
      <w:sz w:val="22"/>
    </w:rPr>
  </w:style>
  <w:style w:type="character" w:customStyle="1" w:styleId="QuoteChar">
    <w:name w:val="Quote Char"/>
    <w:basedOn w:val="DefaultParagraphFont"/>
    <w:link w:val="Quote"/>
    <w:uiPriority w:val="99"/>
    <w:semiHidden/>
    <w:rsid w:val="00014566"/>
    <w:rPr>
      <w:rFonts w:eastAsiaTheme="minorEastAsia"/>
      <w:i/>
      <w:iCs/>
      <w:lang w:bidi="lv-LV"/>
    </w:rPr>
  </w:style>
  <w:style w:type="character" w:styleId="SubtleReference">
    <w:name w:val="Subtle Reference"/>
    <w:uiPriority w:val="99"/>
    <w:semiHidden/>
    <w:qFormat/>
    <w:rsid w:val="00014566"/>
    <w:rPr>
      <w:smallCaps/>
    </w:rPr>
  </w:style>
  <w:style w:type="table" w:styleId="TableGrid">
    <w:name w:val="Table Grid"/>
    <w:basedOn w:val="TableNormal"/>
    <w:uiPriority w:val="59"/>
    <w:semiHidden/>
    <w:rsid w:val="009417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A185E"/>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EA185E"/>
    <w:pPr>
      <w:spacing w:after="60"/>
      <w:ind w:left="680" w:right="340" w:hanging="340"/>
    </w:pPr>
  </w:style>
  <w:style w:type="paragraph" w:styleId="TOC3">
    <w:name w:val="toc 3"/>
    <w:basedOn w:val="Normal"/>
    <w:next w:val="Normal"/>
    <w:autoRedefine/>
    <w:uiPriority w:val="99"/>
    <w:semiHidden/>
    <w:rsid w:val="00EA185E"/>
    <w:pPr>
      <w:spacing w:after="60"/>
      <w:ind w:left="1020" w:right="340" w:hanging="340"/>
    </w:pPr>
  </w:style>
  <w:style w:type="paragraph" w:styleId="TOC4">
    <w:name w:val="toc 4"/>
    <w:basedOn w:val="Normal"/>
    <w:next w:val="Normal"/>
    <w:autoRedefine/>
    <w:uiPriority w:val="99"/>
    <w:semiHidden/>
    <w:rsid w:val="00EA185E"/>
    <w:pPr>
      <w:tabs>
        <w:tab w:val="right" w:leader="dot" w:pos="9017"/>
      </w:tabs>
      <w:spacing w:after="60"/>
      <w:ind w:left="1361" w:right="340" w:hanging="340"/>
    </w:pPr>
  </w:style>
  <w:style w:type="paragraph" w:styleId="TOC5">
    <w:name w:val="toc 5"/>
    <w:basedOn w:val="Normal"/>
    <w:next w:val="Normal"/>
    <w:autoRedefine/>
    <w:uiPriority w:val="99"/>
    <w:semiHidden/>
    <w:rsid w:val="00B46543"/>
    <w:pPr>
      <w:spacing w:after="60"/>
      <w:ind w:left="1701" w:right="340" w:hanging="340"/>
    </w:pPr>
  </w:style>
  <w:style w:type="paragraph" w:styleId="TOCHeading">
    <w:name w:val="TOC Heading"/>
    <w:basedOn w:val="Heading1"/>
    <w:next w:val="Normal"/>
    <w:uiPriority w:val="99"/>
    <w:semiHidden/>
    <w:qFormat/>
    <w:rsid w:val="00014566"/>
    <w:pPr>
      <w:numPr>
        <w:numId w:val="0"/>
      </w:numPr>
      <w:jc w:val="both"/>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C333A0"/>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qFormat/>
    <w:rsid w:val="00014566"/>
    <w:pPr>
      <w:spacing w:before="120" w:after="120"/>
      <w:ind w:left="425" w:firstLine="142"/>
    </w:pPr>
    <w:rPr>
      <w:sz w:val="20"/>
    </w:rPr>
  </w:style>
  <w:style w:type="paragraph" w:customStyle="1" w:styleId="ECHRPara">
    <w:name w:val="ECHR_Para"/>
    <w:aliases w:val="Ju_Para,Left,First line:  0 cm"/>
    <w:basedOn w:val="Normal"/>
    <w:link w:val="JuParaCar"/>
    <w:uiPriority w:val="12"/>
    <w:qFormat/>
    <w:rsid w:val="00C621C2"/>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0BAA"/>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F0549"/>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C621C2"/>
    <w:pPr>
      <w:ind w:left="340" w:hanging="340"/>
    </w:pPr>
  </w:style>
  <w:style w:type="paragraph" w:customStyle="1" w:styleId="JuSigned">
    <w:name w:val="Ju_Signed"/>
    <w:basedOn w:val="Normal"/>
    <w:next w:val="JuParaLast"/>
    <w:uiPriority w:val="32"/>
    <w:qFormat/>
    <w:rsid w:val="00C621C2"/>
    <w:pPr>
      <w:tabs>
        <w:tab w:val="center" w:pos="851"/>
        <w:tab w:val="center" w:pos="6407"/>
      </w:tabs>
      <w:spacing w:before="720"/>
      <w:jc w:val="left"/>
    </w:pPr>
  </w:style>
  <w:style w:type="paragraph" w:customStyle="1" w:styleId="JuParaLast">
    <w:name w:val="Ju_Para_Last"/>
    <w:basedOn w:val="Normal"/>
    <w:next w:val="Normal"/>
    <w:uiPriority w:val="30"/>
    <w:qFormat/>
    <w:rsid w:val="00014566"/>
    <w:pPr>
      <w:keepNext/>
      <w:keepLines/>
      <w:spacing w:before="240"/>
      <w:ind w:firstLine="284"/>
    </w:pPr>
  </w:style>
  <w:style w:type="paragraph" w:customStyle="1" w:styleId="JuCourt">
    <w:name w:val="Ju_Court"/>
    <w:basedOn w:val="Normal"/>
    <w:next w:val="Normal"/>
    <w:uiPriority w:val="16"/>
    <w:qFormat/>
    <w:rsid w:val="00014566"/>
    <w:pPr>
      <w:tabs>
        <w:tab w:val="left" w:pos="907"/>
        <w:tab w:val="left" w:pos="1701"/>
        <w:tab w:val="right" w:pos="7371"/>
      </w:tabs>
      <w:spacing w:before="240"/>
      <w:ind w:left="397" w:hanging="397"/>
      <w:jc w:val="left"/>
    </w:pPr>
  </w:style>
  <w:style w:type="character" w:styleId="PageNumber">
    <w:name w:val="page number"/>
    <w:uiPriority w:val="99"/>
    <w:semiHidden/>
    <w:rsid w:val="00014566"/>
    <w:rPr>
      <w:sz w:val="18"/>
    </w:rPr>
  </w:style>
  <w:style w:type="paragraph" w:customStyle="1" w:styleId="JuLista">
    <w:name w:val="Ju_List_a"/>
    <w:basedOn w:val="Normal"/>
    <w:uiPriority w:val="28"/>
    <w:qFormat/>
    <w:rsid w:val="00C621C2"/>
    <w:pPr>
      <w:ind w:left="346"/>
    </w:pPr>
  </w:style>
  <w:style w:type="paragraph" w:customStyle="1" w:styleId="JuListi">
    <w:name w:val="Ju_List_i"/>
    <w:basedOn w:val="Normal"/>
    <w:next w:val="JuLista"/>
    <w:uiPriority w:val="28"/>
    <w:qFormat/>
    <w:rsid w:val="00014566"/>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character" w:customStyle="1" w:styleId="JuNames0">
    <w:name w:val="Ju_Names"/>
    <w:rsid w:val="00014566"/>
    <w:rPr>
      <w:smallCaps/>
    </w:rPr>
  </w:style>
  <w:style w:type="paragraph" w:styleId="ListBullet">
    <w:name w:val="List Bullet"/>
    <w:basedOn w:val="Normal"/>
    <w:uiPriority w:val="99"/>
    <w:semiHidden/>
    <w:rsid w:val="00014566"/>
    <w:pPr>
      <w:numPr>
        <w:numId w:val="8"/>
      </w:numPr>
    </w:pPr>
  </w:style>
  <w:style w:type="character" w:customStyle="1" w:styleId="JuITMark">
    <w:name w:val="Ju_ITMark"/>
    <w:basedOn w:val="DefaultParagraphFont"/>
    <w:uiPriority w:val="38"/>
    <w:qFormat/>
    <w:rsid w:val="00014566"/>
    <w:rPr>
      <w:vanish w:val="0"/>
      <w:color w:val="auto"/>
      <w:sz w:val="14"/>
    </w:rPr>
  </w:style>
  <w:style w:type="paragraph" w:styleId="Subtitle">
    <w:name w:val="Subtitle"/>
    <w:basedOn w:val="Normal"/>
    <w:next w:val="Normal"/>
    <w:link w:val="SubtitleChar"/>
    <w:uiPriority w:val="99"/>
    <w:semiHidden/>
    <w:qFormat/>
    <w:rsid w:val="0001456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014566"/>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9"/>
      </w:numPr>
    </w:pPr>
  </w:style>
  <w:style w:type="numbering" w:styleId="1ai">
    <w:name w:val="Outline List 1"/>
    <w:basedOn w:val="NoList"/>
    <w:uiPriority w:val="99"/>
    <w:semiHidden/>
    <w:rsid w:val="00014566"/>
    <w:pPr>
      <w:numPr>
        <w:numId w:val="10"/>
      </w:numPr>
    </w:pPr>
  </w:style>
  <w:style w:type="numbering" w:styleId="ArticleSection">
    <w:name w:val="Outline List 3"/>
    <w:basedOn w:val="NoList"/>
    <w:uiPriority w:val="99"/>
    <w:semiHidden/>
    <w:rsid w:val="00014566"/>
    <w:pPr>
      <w:numPr>
        <w:numId w:val="11"/>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2"/>
      </w:numPr>
      <w:contextualSpacing/>
    </w:pPr>
  </w:style>
  <w:style w:type="paragraph" w:styleId="ListBullet3">
    <w:name w:val="List Bullet 3"/>
    <w:basedOn w:val="Normal"/>
    <w:uiPriority w:val="99"/>
    <w:semiHidden/>
    <w:rsid w:val="00014566"/>
    <w:pPr>
      <w:numPr>
        <w:numId w:val="13"/>
      </w:numPr>
      <w:contextualSpacing/>
    </w:pPr>
  </w:style>
  <w:style w:type="paragraph" w:styleId="ListBullet4">
    <w:name w:val="List Bullet 4"/>
    <w:basedOn w:val="Normal"/>
    <w:uiPriority w:val="99"/>
    <w:semiHidden/>
    <w:rsid w:val="00014566"/>
    <w:pPr>
      <w:numPr>
        <w:numId w:val="14"/>
      </w:numPr>
      <w:contextualSpacing/>
    </w:pPr>
  </w:style>
  <w:style w:type="paragraph" w:styleId="ListBullet5">
    <w:name w:val="List Bullet 5"/>
    <w:basedOn w:val="Normal"/>
    <w:uiPriority w:val="99"/>
    <w:semiHidden/>
    <w:rsid w:val="00014566"/>
    <w:pPr>
      <w:numPr>
        <w:numId w:val="15"/>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6"/>
      </w:numPr>
      <w:contextualSpacing/>
    </w:pPr>
  </w:style>
  <w:style w:type="paragraph" w:styleId="ListNumber2">
    <w:name w:val="List Number 2"/>
    <w:basedOn w:val="Normal"/>
    <w:uiPriority w:val="99"/>
    <w:semiHidden/>
    <w:rsid w:val="00014566"/>
    <w:pPr>
      <w:numPr>
        <w:numId w:val="17"/>
      </w:numPr>
      <w:contextualSpacing/>
    </w:pPr>
  </w:style>
  <w:style w:type="paragraph" w:styleId="ListNumber3">
    <w:name w:val="List Number 3"/>
    <w:basedOn w:val="Normal"/>
    <w:uiPriority w:val="99"/>
    <w:semiHidden/>
    <w:rsid w:val="00014566"/>
    <w:pPr>
      <w:numPr>
        <w:numId w:val="18"/>
      </w:numPr>
      <w:contextualSpacing/>
    </w:pPr>
  </w:style>
  <w:style w:type="paragraph" w:styleId="ListNumber4">
    <w:name w:val="List Number 4"/>
    <w:basedOn w:val="Normal"/>
    <w:uiPriority w:val="99"/>
    <w:semiHidden/>
    <w:rsid w:val="00014566"/>
    <w:pPr>
      <w:numPr>
        <w:numId w:val="19"/>
      </w:numPr>
      <w:contextualSpacing/>
    </w:pPr>
  </w:style>
  <w:style w:type="paragraph" w:styleId="ListNumber5">
    <w:name w:val="List Number 5"/>
    <w:basedOn w:val="Normal"/>
    <w:uiPriority w:val="99"/>
    <w:semiHidden/>
    <w:rsid w:val="00014566"/>
    <w:pPr>
      <w:numPr>
        <w:numId w:val="20"/>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JuParaCar">
    <w:name w:val="Ju_Para Car"/>
    <w:link w:val="ECHRPara"/>
    <w:uiPriority w:val="12"/>
    <w:rsid w:val="0038162B"/>
    <w:rPr>
      <w:rFonts w:eastAsiaTheme="minorEastAsia"/>
      <w:sz w:val="24"/>
    </w:rPr>
  </w:style>
  <w:style w:type="character" w:customStyle="1" w:styleId="sb8d990e2">
    <w:name w:val="sb8d990e2"/>
    <w:basedOn w:val="DefaultParagraphFont"/>
    <w:rsid w:val="00F77011"/>
  </w:style>
  <w:style w:type="character" w:customStyle="1" w:styleId="sfbbfee58">
    <w:name w:val="sfbbfee58"/>
    <w:basedOn w:val="DefaultParagraphFont"/>
    <w:rsid w:val="00D75581"/>
  </w:style>
  <w:style w:type="character" w:customStyle="1" w:styleId="wordhighlighted">
    <w:name w:val="wordhighlighted"/>
    <w:basedOn w:val="DefaultParagraphFont"/>
    <w:rsid w:val="009E0C65"/>
  </w:style>
  <w:style w:type="character" w:customStyle="1" w:styleId="s6b621b36">
    <w:name w:val="s6b621b36"/>
    <w:basedOn w:val="DefaultParagraphFont"/>
    <w:rsid w:val="0055725C"/>
  </w:style>
  <w:style w:type="character" w:customStyle="1" w:styleId="column01">
    <w:name w:val="column01"/>
    <w:basedOn w:val="DefaultParagraphFont"/>
    <w:rsid w:val="00553855"/>
  </w:style>
  <w:style w:type="character" w:customStyle="1" w:styleId="s9da01b7c">
    <w:name w:val="s9da01b7c"/>
    <w:basedOn w:val="DefaultParagraphFont"/>
    <w:rsid w:val="00365D68"/>
  </w:style>
  <w:style w:type="character" w:customStyle="1" w:styleId="s66dba44c">
    <w:name w:val="s66dba44c"/>
    <w:basedOn w:val="DefaultParagraphFont"/>
    <w:rsid w:val="00365D68"/>
  </w:style>
  <w:style w:type="character" w:customStyle="1" w:styleId="JuParaChar">
    <w:name w:val="Ju_Para Char"/>
    <w:rsid w:val="006B3D4D"/>
    <w:rPr>
      <w:sz w:val="24"/>
      <w:lang w:val="lv-LV" w:eastAsia="lv-LV" w:bidi="lv-LV"/>
    </w:rPr>
  </w:style>
  <w:style w:type="character" w:customStyle="1" w:styleId="textcolumn">
    <w:name w:val="textcolumn"/>
    <w:basedOn w:val="DefaultParagraphFont"/>
    <w:rsid w:val="0047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C2A2-054F-4A43-AABF-47A73701E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EAF4D0-3AE7-4CEC-8D5C-A0753721F25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54A9CDDB-FBF4-4BE9-964F-FFB8A9B5C9F4}">
  <ds:schemaRefs>
    <ds:schemaRef ds:uri="http://schemas.microsoft.com/sharepoint/v3/contenttype/forms"/>
  </ds:schemaRefs>
</ds:datastoreItem>
</file>

<file path=customXml/itemProps4.xml><?xml version="1.0" encoding="utf-8"?>
<ds:datastoreItem xmlns:ds="http://schemas.openxmlformats.org/officeDocument/2006/customXml" ds:itemID="{9B87ACC2-8FDE-4540-939C-05405E00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17038</Words>
  <Characters>9713</Characters>
  <Application>Microsoft Office Word</Application>
  <DocSecurity>4</DocSecurity>
  <Lines>80</Lines>
  <Paragraphs>53</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26698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2021-06-15T09:55:00Z</dcterms:created>
  <dcterms:modified xsi:type="dcterms:W3CDTF">2021-06-15T09:55:00Z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