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566" w:rsidRPr="00CE6CB4" w:rsidRDefault="00014566" w:rsidP="00395AF3">
      <w:pPr>
        <w:pStyle w:val="ECHRDecisionBody"/>
        <w:jc w:val="center"/>
        <w:rPr>
          <w:lang w:val="lv-LV"/>
        </w:rPr>
      </w:pPr>
      <w:bookmarkStart w:id="0" w:name="_GoBack"/>
      <w:bookmarkEnd w:id="0"/>
    </w:p>
    <w:p w:rsidR="00D73D02" w:rsidRPr="00CE6CB4" w:rsidRDefault="00D73D02" w:rsidP="00395AF3">
      <w:pPr>
        <w:pStyle w:val="ECHRDecisionBody"/>
        <w:jc w:val="center"/>
        <w:rPr>
          <w:lang w:val="lv-LV"/>
        </w:rPr>
      </w:pPr>
    </w:p>
    <w:p w:rsidR="00D73D02" w:rsidRPr="00CE6CB4" w:rsidRDefault="00D73D02" w:rsidP="00395AF3">
      <w:pPr>
        <w:pStyle w:val="ECHRDecisionBody"/>
        <w:jc w:val="center"/>
        <w:rPr>
          <w:lang w:val="lv-LV"/>
        </w:rPr>
      </w:pPr>
    </w:p>
    <w:p w:rsidR="0073618D" w:rsidRPr="00CE6CB4" w:rsidRDefault="0073618D" w:rsidP="0073618D">
      <w:pPr>
        <w:jc w:val="center"/>
        <w:rPr>
          <w:rFonts w:ascii="Times New Roman" w:hAnsi="Times New Roman" w:cs="Times New Roman"/>
          <w:szCs w:val="24"/>
          <w:lang w:val="lv-LV"/>
        </w:rPr>
      </w:pPr>
      <w:r w:rsidRPr="00CE6CB4">
        <w:rPr>
          <w:rFonts w:ascii="Times New Roman" w:hAnsi="Times New Roman" w:cs="Times New Roman"/>
          <w:szCs w:val="24"/>
          <w:lang w:val="lv-LV"/>
        </w:rPr>
        <w:t>CETURTĀ NODAĻA</w:t>
      </w:r>
    </w:p>
    <w:p w:rsidR="00014566" w:rsidRPr="00CE6CB4" w:rsidRDefault="00014566" w:rsidP="00014566">
      <w:pPr>
        <w:jc w:val="center"/>
        <w:rPr>
          <w:lang w:val="lv-LV"/>
        </w:rPr>
      </w:pPr>
    </w:p>
    <w:p w:rsidR="00D73D02" w:rsidRPr="00CE6CB4" w:rsidRDefault="00D73D02" w:rsidP="00014566">
      <w:pPr>
        <w:jc w:val="center"/>
        <w:rPr>
          <w:lang w:val="lv-LV"/>
        </w:rPr>
      </w:pPr>
    </w:p>
    <w:p w:rsidR="00D73D02" w:rsidRPr="00CE6CB4" w:rsidRDefault="00D73D02" w:rsidP="00014566">
      <w:pPr>
        <w:jc w:val="center"/>
        <w:rPr>
          <w:lang w:val="lv-LV"/>
        </w:rPr>
      </w:pPr>
    </w:p>
    <w:p w:rsidR="00D73D02" w:rsidRPr="00CE6CB4" w:rsidRDefault="00D73D02" w:rsidP="00014566">
      <w:pPr>
        <w:jc w:val="center"/>
        <w:rPr>
          <w:lang w:val="lv-LV"/>
        </w:rPr>
      </w:pPr>
    </w:p>
    <w:p w:rsidR="00395AF3" w:rsidRPr="00CE6CB4" w:rsidRDefault="00395AF3" w:rsidP="00014566">
      <w:pPr>
        <w:jc w:val="center"/>
        <w:rPr>
          <w:lang w:val="lv-LV"/>
        </w:rPr>
      </w:pPr>
    </w:p>
    <w:p w:rsidR="00D73D02" w:rsidRPr="00CE6CB4" w:rsidRDefault="00D73D02" w:rsidP="00014566">
      <w:pPr>
        <w:jc w:val="center"/>
        <w:rPr>
          <w:lang w:val="lv-LV"/>
        </w:rPr>
      </w:pPr>
    </w:p>
    <w:p w:rsidR="00014566" w:rsidRPr="00CE6CB4" w:rsidRDefault="0073618D" w:rsidP="00014566">
      <w:pPr>
        <w:jc w:val="center"/>
        <w:rPr>
          <w:b/>
          <w:lang w:val="lv-LV"/>
        </w:rPr>
      </w:pPr>
      <w:bookmarkStart w:id="1" w:name="To"/>
      <w:r w:rsidRPr="00CE6CB4">
        <w:rPr>
          <w:b/>
          <w:lang w:val="lv-LV"/>
        </w:rPr>
        <w:t>LIETA</w:t>
      </w:r>
      <w:r w:rsidR="00014566" w:rsidRPr="00CE6CB4">
        <w:rPr>
          <w:b/>
          <w:lang w:val="lv-LV"/>
        </w:rPr>
        <w:t xml:space="preserve"> </w:t>
      </w:r>
      <w:bookmarkEnd w:id="1"/>
      <w:r w:rsidR="003071EE" w:rsidRPr="00CE6CB4">
        <w:rPr>
          <w:b/>
          <w:lang w:val="lv-LV"/>
        </w:rPr>
        <w:t xml:space="preserve">DMITRIJEVS </w:t>
      </w:r>
      <w:r w:rsidRPr="00CE6CB4">
        <w:rPr>
          <w:b/>
          <w:lang w:val="lv-LV"/>
        </w:rPr>
        <w:t>pret LATVIJU</w:t>
      </w:r>
    </w:p>
    <w:p w:rsidR="00014566" w:rsidRPr="00CE6CB4" w:rsidRDefault="00014566" w:rsidP="00014566">
      <w:pPr>
        <w:jc w:val="center"/>
        <w:rPr>
          <w:lang w:val="lv-LV"/>
        </w:rPr>
      </w:pPr>
    </w:p>
    <w:p w:rsidR="00014566" w:rsidRPr="00CE6CB4" w:rsidRDefault="0073618D" w:rsidP="00014566">
      <w:pPr>
        <w:jc w:val="center"/>
        <w:rPr>
          <w:i/>
          <w:lang w:val="lv-LV"/>
        </w:rPr>
      </w:pPr>
      <w:r w:rsidRPr="00CE6CB4">
        <w:rPr>
          <w:rFonts w:ascii="Times New Roman" w:hAnsi="Times New Roman" w:cs="Times New Roman"/>
          <w:i/>
          <w:szCs w:val="24"/>
          <w:lang w:val="lv-LV"/>
        </w:rPr>
        <w:t xml:space="preserve">(Iesniegums Nr. </w:t>
      </w:r>
      <w:r w:rsidR="003071EE" w:rsidRPr="00CE6CB4">
        <w:rPr>
          <w:i/>
          <w:lang w:val="lv-LV"/>
        </w:rPr>
        <w:t>49037/09</w:t>
      </w:r>
      <w:r w:rsidR="00014566" w:rsidRPr="00CE6CB4">
        <w:rPr>
          <w:i/>
          <w:lang w:val="lv-LV"/>
        </w:rPr>
        <w:t>)</w:t>
      </w:r>
    </w:p>
    <w:p w:rsidR="00014566" w:rsidRPr="00CE6CB4" w:rsidRDefault="00014566" w:rsidP="00014566">
      <w:pPr>
        <w:jc w:val="center"/>
        <w:rPr>
          <w:lang w:val="lv-LV"/>
        </w:rPr>
      </w:pPr>
    </w:p>
    <w:p w:rsidR="00014566" w:rsidRPr="00CE6CB4" w:rsidRDefault="00014566" w:rsidP="00014566">
      <w:pPr>
        <w:jc w:val="center"/>
        <w:rPr>
          <w:lang w:val="lv-LV"/>
        </w:rPr>
      </w:pPr>
    </w:p>
    <w:p w:rsidR="00014566" w:rsidRPr="00CE6CB4" w:rsidRDefault="00014566" w:rsidP="00014566">
      <w:pPr>
        <w:jc w:val="center"/>
        <w:rPr>
          <w:lang w:val="lv-LV"/>
        </w:rPr>
      </w:pPr>
    </w:p>
    <w:p w:rsidR="00014566" w:rsidRPr="00CE6CB4" w:rsidRDefault="00014566" w:rsidP="00014566">
      <w:pPr>
        <w:jc w:val="center"/>
        <w:rPr>
          <w:lang w:val="lv-LV"/>
        </w:rPr>
      </w:pPr>
    </w:p>
    <w:p w:rsidR="00203465" w:rsidRPr="00CE6CB4" w:rsidRDefault="00203465" w:rsidP="00014566">
      <w:pPr>
        <w:jc w:val="center"/>
        <w:rPr>
          <w:lang w:val="lv-LV"/>
        </w:rPr>
      </w:pPr>
    </w:p>
    <w:p w:rsidR="0073618D" w:rsidRPr="00CE6CB4" w:rsidRDefault="0073618D" w:rsidP="0073618D">
      <w:pPr>
        <w:jc w:val="center"/>
        <w:rPr>
          <w:rFonts w:ascii="Times New Roman" w:hAnsi="Times New Roman" w:cs="Times New Roman"/>
          <w:szCs w:val="24"/>
          <w:lang w:val="lv-LV"/>
        </w:rPr>
      </w:pPr>
      <w:r w:rsidRPr="00CE6CB4">
        <w:rPr>
          <w:rFonts w:ascii="Times New Roman" w:hAnsi="Times New Roman" w:cs="Times New Roman"/>
          <w:szCs w:val="24"/>
          <w:lang w:val="lv-LV"/>
        </w:rPr>
        <w:t>SPRIEDUMS</w:t>
      </w:r>
    </w:p>
    <w:p w:rsidR="00D73D02" w:rsidRPr="00CE6CB4" w:rsidRDefault="00D73D02" w:rsidP="00D73D02">
      <w:pPr>
        <w:pStyle w:val="JuCase"/>
        <w:ind w:firstLine="0"/>
        <w:jc w:val="center"/>
        <w:rPr>
          <w:b w:val="0"/>
          <w:lang w:val="lv-LV"/>
        </w:rPr>
      </w:pPr>
    </w:p>
    <w:p w:rsidR="00D73D02" w:rsidRPr="00CE6CB4" w:rsidRDefault="00D73D02" w:rsidP="00D73D02">
      <w:pPr>
        <w:pStyle w:val="JuCase"/>
        <w:ind w:firstLine="0"/>
        <w:jc w:val="center"/>
        <w:rPr>
          <w:b w:val="0"/>
          <w:lang w:val="lv-LV"/>
        </w:rPr>
      </w:pPr>
    </w:p>
    <w:p w:rsidR="0073618D" w:rsidRPr="00CE6CB4" w:rsidRDefault="0073618D" w:rsidP="0073618D">
      <w:pPr>
        <w:pStyle w:val="JuCase"/>
        <w:ind w:firstLine="0"/>
        <w:jc w:val="center"/>
        <w:rPr>
          <w:rFonts w:ascii="Times New Roman" w:hAnsi="Times New Roman" w:cs="Times New Roman"/>
          <w:b w:val="0"/>
          <w:szCs w:val="24"/>
          <w:lang w:val="lv-LV"/>
        </w:rPr>
      </w:pPr>
      <w:r w:rsidRPr="00CE6CB4">
        <w:rPr>
          <w:rFonts w:ascii="Times New Roman" w:hAnsi="Times New Roman" w:cs="Times New Roman"/>
          <w:b w:val="0"/>
          <w:szCs w:val="24"/>
          <w:lang w:val="lv-LV"/>
        </w:rPr>
        <w:t>STRASBŪRA</w:t>
      </w:r>
    </w:p>
    <w:p w:rsidR="00D73D02" w:rsidRPr="00CE6CB4" w:rsidRDefault="00D73D02" w:rsidP="00D73D02">
      <w:pPr>
        <w:pStyle w:val="JuCase"/>
        <w:ind w:firstLine="0"/>
        <w:jc w:val="center"/>
        <w:rPr>
          <w:b w:val="0"/>
          <w:lang w:val="lv-LV"/>
        </w:rPr>
      </w:pPr>
    </w:p>
    <w:p w:rsidR="00D73D02" w:rsidRPr="00CE6CB4" w:rsidRDefault="0073618D" w:rsidP="00D73D02">
      <w:pPr>
        <w:pStyle w:val="JuCase"/>
        <w:ind w:firstLine="0"/>
        <w:jc w:val="center"/>
        <w:rPr>
          <w:b w:val="0"/>
          <w:lang w:val="lv-LV"/>
        </w:rPr>
      </w:pPr>
      <w:r w:rsidRPr="00CE6CB4">
        <w:rPr>
          <w:b w:val="0"/>
          <w:lang w:val="lv-LV"/>
        </w:rPr>
        <w:t>2014. gada 16. decembris</w:t>
      </w:r>
    </w:p>
    <w:p w:rsidR="00D73D02" w:rsidRPr="00CE6CB4" w:rsidRDefault="00D73D02" w:rsidP="00D73D02">
      <w:pPr>
        <w:pStyle w:val="JuCase"/>
        <w:ind w:firstLine="0"/>
        <w:jc w:val="center"/>
        <w:rPr>
          <w:b w:val="0"/>
          <w:lang w:val="lv-LV"/>
        </w:rPr>
      </w:pPr>
    </w:p>
    <w:p w:rsidR="00203465" w:rsidRPr="00CE6CB4" w:rsidRDefault="00203465" w:rsidP="00203465">
      <w:pPr>
        <w:pStyle w:val="JuCase"/>
        <w:ind w:firstLine="0"/>
        <w:jc w:val="center"/>
        <w:rPr>
          <w:b w:val="0"/>
          <w:lang w:val="lv-LV"/>
        </w:rPr>
      </w:pPr>
    </w:p>
    <w:p w:rsidR="00482355" w:rsidRPr="00CE6CB4" w:rsidRDefault="00482355" w:rsidP="00482355">
      <w:pPr>
        <w:pStyle w:val="jupara"/>
        <w:tabs>
          <w:tab w:val="left" w:pos="4650"/>
        </w:tabs>
        <w:ind w:firstLine="0"/>
        <w:jc w:val="left"/>
        <w:rPr>
          <w:color w:val="FF0000"/>
          <w:sz w:val="28"/>
          <w:szCs w:val="28"/>
          <w:lang w:val="lv-LV"/>
        </w:rPr>
      </w:pPr>
    </w:p>
    <w:p w:rsidR="003F40C7" w:rsidRPr="00CE6CB4" w:rsidRDefault="003F40C7" w:rsidP="003F40C7">
      <w:pPr>
        <w:pStyle w:val="JuCase"/>
        <w:ind w:firstLine="0"/>
        <w:jc w:val="center"/>
        <w:rPr>
          <w:color w:val="FF0000"/>
          <w:sz w:val="28"/>
          <w:szCs w:val="28"/>
          <w:lang w:val="lv-LV"/>
        </w:rPr>
      </w:pPr>
      <w:r>
        <w:rPr>
          <w:b w:val="0"/>
          <w:lang w:val="lv-LV"/>
        </w:rPr>
        <w:t>Spriedums stājies spēkā 2015.</w:t>
      </w:r>
      <w:r w:rsidR="00400DD6">
        <w:rPr>
          <w:b w:val="0"/>
          <w:lang w:val="lv-LV"/>
        </w:rPr>
        <w:t xml:space="preserve"> </w:t>
      </w:r>
      <w:r>
        <w:rPr>
          <w:b w:val="0"/>
          <w:lang w:val="lv-LV"/>
        </w:rPr>
        <w:t>gada 16.</w:t>
      </w:r>
      <w:r w:rsidR="00400DD6">
        <w:rPr>
          <w:b w:val="0"/>
          <w:lang w:val="lv-LV"/>
        </w:rPr>
        <w:t xml:space="preserve"> </w:t>
      </w:r>
      <w:r>
        <w:rPr>
          <w:b w:val="0"/>
          <w:lang w:val="lv-LV"/>
        </w:rPr>
        <w:t>martā</w:t>
      </w:r>
    </w:p>
    <w:p w:rsidR="00482355" w:rsidRPr="00CE6CB4" w:rsidRDefault="00482355" w:rsidP="00482355">
      <w:pPr>
        <w:pStyle w:val="jupara"/>
        <w:ind w:firstLine="0"/>
        <w:jc w:val="center"/>
        <w:rPr>
          <w:color w:val="FF0000"/>
          <w:sz w:val="28"/>
          <w:szCs w:val="28"/>
          <w:lang w:val="lv-LV"/>
        </w:rPr>
      </w:pPr>
    </w:p>
    <w:p w:rsidR="00482355" w:rsidRDefault="00482355" w:rsidP="00482355">
      <w:pPr>
        <w:pStyle w:val="jupara"/>
        <w:ind w:firstLine="0"/>
        <w:jc w:val="center"/>
        <w:rPr>
          <w:lang w:val="lv-LV"/>
        </w:rPr>
      </w:pPr>
    </w:p>
    <w:p w:rsidR="003F40C7" w:rsidRDefault="003F40C7" w:rsidP="00482355">
      <w:pPr>
        <w:pStyle w:val="jupara"/>
        <w:ind w:firstLine="0"/>
        <w:jc w:val="center"/>
        <w:rPr>
          <w:lang w:val="lv-LV"/>
        </w:rPr>
      </w:pPr>
    </w:p>
    <w:p w:rsidR="003F40C7" w:rsidRPr="00CE6CB4" w:rsidRDefault="003F40C7" w:rsidP="00482355">
      <w:pPr>
        <w:pStyle w:val="jupara"/>
        <w:ind w:firstLine="0"/>
        <w:jc w:val="center"/>
        <w:rPr>
          <w:lang w:val="lv-LV"/>
        </w:rPr>
      </w:pPr>
    </w:p>
    <w:p w:rsidR="0073618D" w:rsidRPr="00CE6CB4" w:rsidRDefault="0073618D" w:rsidP="0073618D">
      <w:pPr>
        <w:jc w:val="center"/>
        <w:rPr>
          <w:rFonts w:ascii="Times New Roman" w:hAnsi="Times New Roman" w:cs="Times New Roman"/>
          <w:i/>
          <w:iCs/>
          <w:szCs w:val="24"/>
          <w:lang w:val="lv-LV"/>
        </w:rPr>
      </w:pPr>
      <w:r w:rsidRPr="00CE6CB4">
        <w:rPr>
          <w:rFonts w:ascii="Times New Roman" w:hAnsi="Times New Roman" w:cs="Times New Roman"/>
          <w:i/>
          <w:szCs w:val="24"/>
          <w:lang w:val="lv-LV"/>
        </w:rPr>
        <w:t xml:space="preserve">Šis spriedums ir </w:t>
      </w:r>
      <w:r w:rsidR="00400DD6">
        <w:rPr>
          <w:rFonts w:ascii="Times New Roman" w:hAnsi="Times New Roman" w:cs="Times New Roman"/>
          <w:i/>
          <w:szCs w:val="24"/>
          <w:lang w:val="lv-LV"/>
        </w:rPr>
        <w:t>stājies spēkā</w:t>
      </w:r>
      <w:r w:rsidRPr="00CE6CB4">
        <w:rPr>
          <w:rFonts w:ascii="Times New Roman" w:hAnsi="Times New Roman" w:cs="Times New Roman"/>
          <w:i/>
          <w:szCs w:val="24"/>
          <w:lang w:val="lv-LV"/>
        </w:rPr>
        <w:t xml:space="preserve"> saskaņā ar Konvencijas 44. panta 2. punktu. Tajā var tikt veiktas redakcionāla rakstura izmaiņas.</w:t>
      </w:r>
    </w:p>
    <w:p w:rsidR="003F2E1D" w:rsidRPr="00CE6CB4" w:rsidRDefault="003F2E1D" w:rsidP="003F2E1D">
      <w:pPr>
        <w:pStyle w:val="JuCase"/>
        <w:rPr>
          <w:i/>
          <w:sz w:val="22"/>
          <w:lang w:val="lv-LV"/>
        </w:rPr>
      </w:pPr>
    </w:p>
    <w:p w:rsidR="00395AF3" w:rsidRPr="00CE6CB4" w:rsidRDefault="00395AF3" w:rsidP="00395AF3">
      <w:pPr>
        <w:pStyle w:val="ECHRPara"/>
        <w:rPr>
          <w:lang w:val="lv-LV"/>
        </w:rPr>
        <w:sectPr w:rsidR="00395AF3" w:rsidRPr="00CE6CB4" w:rsidSect="00CE1578">
          <w:headerReference w:type="default" r:id="rId11"/>
          <w:headerReference w:type="first" r:id="rId12"/>
          <w:footerReference w:type="first" r:id="rId13"/>
          <w:footnotePr>
            <w:numRestart w:val="eachPage"/>
          </w:footnotePr>
          <w:pgSz w:w="11906" w:h="16838" w:code="9"/>
          <w:pgMar w:top="2274" w:right="2274" w:bottom="2274" w:left="2274" w:header="1701" w:footer="720" w:gutter="0"/>
          <w:cols w:space="720"/>
          <w:titlePg/>
          <w:docGrid w:linePitch="78"/>
        </w:sectPr>
      </w:pPr>
    </w:p>
    <w:p w:rsidR="00014566" w:rsidRPr="00CE6CB4" w:rsidRDefault="0073618D" w:rsidP="003813F4">
      <w:pPr>
        <w:pStyle w:val="JuCase"/>
        <w:rPr>
          <w:lang w:val="lv-LV"/>
        </w:rPr>
      </w:pPr>
      <w:r w:rsidRPr="00CE6CB4">
        <w:rPr>
          <w:lang w:val="lv-LV"/>
        </w:rPr>
        <w:lastRenderedPageBreak/>
        <w:t>Lietā</w:t>
      </w:r>
      <w:r w:rsidR="00014566" w:rsidRPr="00CE6CB4">
        <w:rPr>
          <w:lang w:val="lv-LV"/>
        </w:rPr>
        <w:t xml:space="preserve"> </w:t>
      </w:r>
      <w:r w:rsidRPr="00CE6CB4">
        <w:rPr>
          <w:rFonts w:ascii="Times New Roman" w:eastAsiaTheme="minorHAnsi" w:hAnsi="Times New Roman" w:cs="Times New Roman"/>
          <w:color w:val="000000"/>
          <w:szCs w:val="24"/>
          <w:lang w:val="lv-LV"/>
        </w:rPr>
        <w:t>“</w:t>
      </w:r>
      <w:r w:rsidR="003071EE" w:rsidRPr="00CE6CB4">
        <w:rPr>
          <w:lang w:val="lv-LV"/>
        </w:rPr>
        <w:t xml:space="preserve">Dmitrijevs </w:t>
      </w:r>
      <w:r w:rsidRPr="00CE6CB4">
        <w:rPr>
          <w:lang w:val="lv-LV"/>
        </w:rPr>
        <w:t>pret</w:t>
      </w:r>
      <w:r w:rsidR="003071EE" w:rsidRPr="00CE6CB4">
        <w:rPr>
          <w:lang w:val="lv-LV"/>
        </w:rPr>
        <w:t xml:space="preserve"> </w:t>
      </w:r>
      <w:r w:rsidRPr="00CE6CB4">
        <w:rPr>
          <w:lang w:val="lv-LV"/>
        </w:rPr>
        <w:t>Latviju”</w:t>
      </w:r>
      <w:r w:rsidR="00014566" w:rsidRPr="00CE6CB4">
        <w:rPr>
          <w:lang w:val="lv-LV"/>
        </w:rPr>
        <w:t>,</w:t>
      </w:r>
    </w:p>
    <w:p w:rsidR="0073618D" w:rsidRPr="00CE6CB4" w:rsidRDefault="0073618D" w:rsidP="0073618D">
      <w:pPr>
        <w:pStyle w:val="ECHRPara"/>
        <w:rPr>
          <w:rFonts w:ascii="Times New Roman" w:hAnsi="Times New Roman" w:cs="Times New Roman"/>
          <w:szCs w:val="24"/>
          <w:lang w:val="lv-LV"/>
        </w:rPr>
      </w:pPr>
      <w:r w:rsidRPr="00CE6CB4">
        <w:rPr>
          <w:rFonts w:ascii="Times New Roman" w:hAnsi="Times New Roman" w:cs="Times New Roman"/>
          <w:szCs w:val="24"/>
          <w:lang w:val="lv-LV"/>
        </w:rPr>
        <w:t>Eiropas Cilvēktiesību tiesa (Ceturtā nodaļa)</w:t>
      </w:r>
      <w:r w:rsidR="006F6F8E" w:rsidRPr="00CE6CB4">
        <w:rPr>
          <w:rFonts w:ascii="Times New Roman" w:hAnsi="Times New Roman" w:cs="Times New Roman"/>
          <w:szCs w:val="24"/>
          <w:lang w:val="lv-LV"/>
        </w:rPr>
        <w:t>,</w:t>
      </w:r>
      <w:r w:rsidRPr="00CE6CB4">
        <w:rPr>
          <w:rFonts w:ascii="Times New Roman" w:hAnsi="Times New Roman" w:cs="Times New Roman"/>
          <w:szCs w:val="24"/>
          <w:lang w:val="lv-LV"/>
        </w:rPr>
        <w:t xml:space="preserve"> sanākusi kā palāta šādā sastāvā:</w:t>
      </w:r>
    </w:p>
    <w:p w:rsidR="0073618D" w:rsidRPr="00CE6CB4" w:rsidRDefault="00D73D02" w:rsidP="0073618D">
      <w:pPr>
        <w:pStyle w:val="ECHRDecisionBody"/>
        <w:ind w:left="284"/>
        <w:rPr>
          <w:szCs w:val="24"/>
          <w:lang w:val="lv-LV"/>
        </w:rPr>
      </w:pPr>
      <w:r w:rsidRPr="00CE6CB4">
        <w:rPr>
          <w:lang w:val="lv-LV"/>
        </w:rPr>
        <w:tab/>
      </w:r>
      <w:r w:rsidRPr="00CE6CB4">
        <w:rPr>
          <w:i/>
          <w:lang w:val="lv-LV"/>
        </w:rPr>
        <w:t>Päivi Hirvelä</w:t>
      </w:r>
      <w:r w:rsidRPr="00CE6CB4">
        <w:rPr>
          <w:lang w:val="lv-LV"/>
        </w:rPr>
        <w:t>,</w:t>
      </w:r>
      <w:r w:rsidRPr="00CE6CB4">
        <w:rPr>
          <w:i/>
          <w:lang w:val="lv-LV"/>
        </w:rPr>
        <w:t xml:space="preserve"> </w:t>
      </w:r>
      <w:r w:rsidR="0073618D" w:rsidRPr="00CE6CB4">
        <w:rPr>
          <w:rFonts w:ascii="Times New Roman" w:hAnsi="Times New Roman" w:cs="Times New Roman"/>
          <w:i/>
          <w:szCs w:val="24"/>
          <w:lang w:val="lv-LV"/>
        </w:rPr>
        <w:t>priekšsēdētāja</w:t>
      </w:r>
      <w:r w:rsidRPr="00CE6CB4">
        <w:rPr>
          <w:i/>
          <w:lang w:val="lv-LV"/>
        </w:rPr>
        <w:t>,</w:t>
      </w:r>
      <w:r w:rsidRPr="00CE6CB4">
        <w:rPr>
          <w:i/>
          <w:lang w:val="lv-LV"/>
        </w:rPr>
        <w:br/>
      </w:r>
      <w:r w:rsidRPr="00CE6CB4">
        <w:rPr>
          <w:lang w:val="lv-LV"/>
        </w:rPr>
        <w:tab/>
        <w:t>Ineta Ziemele,</w:t>
      </w:r>
      <w:r w:rsidRPr="00CE6CB4">
        <w:rPr>
          <w:i/>
          <w:lang w:val="lv-LV"/>
        </w:rPr>
        <w:br/>
      </w:r>
      <w:r w:rsidRPr="00CE6CB4">
        <w:rPr>
          <w:lang w:val="lv-LV"/>
        </w:rPr>
        <w:tab/>
      </w:r>
      <w:r w:rsidRPr="00CE6CB4">
        <w:rPr>
          <w:i/>
          <w:lang w:val="lv-LV"/>
        </w:rPr>
        <w:t>George Nicolaou</w:t>
      </w:r>
      <w:r w:rsidRPr="00CE6CB4">
        <w:rPr>
          <w:lang w:val="lv-LV"/>
        </w:rPr>
        <w:t>,</w:t>
      </w:r>
      <w:r w:rsidRPr="00CE6CB4">
        <w:rPr>
          <w:i/>
          <w:lang w:val="lv-LV"/>
        </w:rPr>
        <w:br/>
      </w:r>
      <w:r w:rsidRPr="00CE6CB4">
        <w:rPr>
          <w:lang w:val="lv-LV"/>
        </w:rPr>
        <w:tab/>
      </w:r>
      <w:r w:rsidRPr="00CE6CB4">
        <w:rPr>
          <w:i/>
          <w:lang w:val="lv-LV"/>
        </w:rPr>
        <w:t>Nona Tsotsoria</w:t>
      </w:r>
      <w:r w:rsidRPr="00CE6CB4">
        <w:rPr>
          <w:lang w:val="lv-LV"/>
        </w:rPr>
        <w:t>,</w:t>
      </w:r>
      <w:r w:rsidRPr="00CE6CB4">
        <w:rPr>
          <w:i/>
          <w:lang w:val="lv-LV"/>
        </w:rPr>
        <w:br/>
      </w:r>
      <w:r w:rsidRPr="00CE6CB4">
        <w:rPr>
          <w:lang w:val="lv-LV"/>
        </w:rPr>
        <w:tab/>
      </w:r>
      <w:r w:rsidRPr="00CE6CB4">
        <w:rPr>
          <w:i/>
          <w:lang w:val="lv-LV"/>
        </w:rPr>
        <w:t>Zdravka Kalaydjieva</w:t>
      </w:r>
      <w:r w:rsidRPr="00CE6CB4">
        <w:rPr>
          <w:lang w:val="lv-LV"/>
        </w:rPr>
        <w:t>,</w:t>
      </w:r>
      <w:r w:rsidRPr="00CE6CB4">
        <w:rPr>
          <w:i/>
          <w:lang w:val="lv-LV"/>
        </w:rPr>
        <w:br/>
      </w:r>
      <w:r w:rsidRPr="00CE6CB4">
        <w:rPr>
          <w:lang w:val="lv-LV"/>
        </w:rPr>
        <w:tab/>
      </w:r>
      <w:r w:rsidRPr="00CE6CB4">
        <w:rPr>
          <w:i/>
          <w:lang w:val="lv-LV"/>
        </w:rPr>
        <w:t>Krzysztof Wojtyczek</w:t>
      </w:r>
      <w:r w:rsidRPr="00CE6CB4">
        <w:rPr>
          <w:lang w:val="lv-LV"/>
        </w:rPr>
        <w:t>,</w:t>
      </w:r>
      <w:r w:rsidRPr="00CE6CB4">
        <w:rPr>
          <w:i/>
          <w:lang w:val="lv-LV"/>
        </w:rPr>
        <w:br/>
      </w:r>
      <w:r w:rsidRPr="00CE6CB4">
        <w:rPr>
          <w:lang w:val="lv-LV"/>
        </w:rPr>
        <w:tab/>
      </w:r>
      <w:r w:rsidRPr="00CE6CB4">
        <w:rPr>
          <w:i/>
          <w:lang w:val="lv-LV"/>
        </w:rPr>
        <w:t>Faris Vehabović</w:t>
      </w:r>
      <w:r w:rsidRPr="00CE6CB4">
        <w:rPr>
          <w:lang w:val="lv-LV"/>
        </w:rPr>
        <w:t>,</w:t>
      </w:r>
      <w:r w:rsidRPr="00CE6CB4">
        <w:rPr>
          <w:i/>
          <w:lang w:val="lv-LV"/>
        </w:rPr>
        <w:t xml:space="preserve"> </w:t>
      </w:r>
      <w:r w:rsidR="0073618D" w:rsidRPr="00CE6CB4">
        <w:rPr>
          <w:i/>
          <w:lang w:val="lv-LV"/>
        </w:rPr>
        <w:t>tiesneši</w:t>
      </w:r>
      <w:r w:rsidRPr="00CE6CB4">
        <w:rPr>
          <w:i/>
          <w:lang w:val="lv-LV"/>
        </w:rPr>
        <w:t>,</w:t>
      </w:r>
    </w:p>
    <w:p w:rsidR="00014566" w:rsidRPr="00CE6CB4" w:rsidRDefault="0073618D" w:rsidP="0073618D">
      <w:pPr>
        <w:pStyle w:val="ECHRDecisionBody"/>
        <w:rPr>
          <w:lang w:val="lv-LV"/>
        </w:rPr>
      </w:pPr>
      <w:r w:rsidRPr="00CE6CB4">
        <w:rPr>
          <w:szCs w:val="24"/>
          <w:lang w:val="lv-LV"/>
        </w:rPr>
        <w:tab/>
      </w:r>
      <w:r w:rsidRPr="00CE6CB4">
        <w:rPr>
          <w:lang w:val="lv-LV"/>
        </w:rPr>
        <w:t>un</w:t>
      </w:r>
      <w:r w:rsidR="00014566" w:rsidRPr="00CE6CB4">
        <w:rPr>
          <w:lang w:val="lv-LV"/>
        </w:rPr>
        <w:t xml:space="preserve"> </w:t>
      </w:r>
      <w:r w:rsidR="003071EE" w:rsidRPr="00CE6CB4">
        <w:rPr>
          <w:i/>
          <w:lang w:val="lv-LV"/>
        </w:rPr>
        <w:t>Françoise Elens-Passos</w:t>
      </w:r>
      <w:r w:rsidR="00014566" w:rsidRPr="00CE6CB4">
        <w:rPr>
          <w:lang w:val="lv-LV"/>
        </w:rPr>
        <w:t xml:space="preserve">, </w:t>
      </w:r>
      <w:r w:rsidRPr="00CE6CB4">
        <w:rPr>
          <w:i/>
          <w:lang w:val="lv-LV"/>
        </w:rPr>
        <w:t>nodaļas sekretāre</w:t>
      </w:r>
      <w:r w:rsidR="00014566" w:rsidRPr="00CE6CB4">
        <w:rPr>
          <w:i/>
          <w:lang w:val="lv-LV"/>
        </w:rPr>
        <w:t>,</w:t>
      </w:r>
    </w:p>
    <w:p w:rsidR="0073618D" w:rsidRPr="00CE6CB4" w:rsidRDefault="0073618D" w:rsidP="0073618D">
      <w:pPr>
        <w:pStyle w:val="ECHRPara"/>
        <w:ind w:firstLine="0"/>
        <w:rPr>
          <w:rFonts w:ascii="Times New Roman" w:hAnsi="Times New Roman" w:cs="Times New Roman"/>
          <w:szCs w:val="24"/>
          <w:lang w:val="lv-LV"/>
        </w:rPr>
      </w:pPr>
      <w:r w:rsidRPr="00CE6CB4">
        <w:rPr>
          <w:rFonts w:ascii="Times New Roman" w:hAnsi="Times New Roman" w:cs="Times New Roman"/>
          <w:szCs w:val="24"/>
          <w:lang w:val="lv-LV"/>
        </w:rPr>
        <w:t>pēc apspriešanās slēgtā sēdē 2014. gada 25. novembrī pasludina šādu spriedumu, kas pieņemts</w:t>
      </w:r>
      <w:r w:rsidR="003F40C7">
        <w:rPr>
          <w:rFonts w:ascii="Times New Roman" w:hAnsi="Times New Roman" w:cs="Times New Roman"/>
          <w:szCs w:val="24"/>
          <w:lang w:val="lv-LV"/>
        </w:rPr>
        <w:t xml:space="preserve"> tajā pašā</w:t>
      </w:r>
      <w:r w:rsidRPr="00CE6CB4">
        <w:rPr>
          <w:rFonts w:ascii="Times New Roman" w:hAnsi="Times New Roman" w:cs="Times New Roman"/>
          <w:szCs w:val="24"/>
          <w:lang w:val="lv-LV"/>
        </w:rPr>
        <w:t xml:space="preserve"> dienā.</w:t>
      </w:r>
    </w:p>
    <w:p w:rsidR="0073618D" w:rsidRPr="00CE6CB4" w:rsidRDefault="0073618D" w:rsidP="00C621C2">
      <w:pPr>
        <w:pStyle w:val="ECHRPara"/>
        <w:rPr>
          <w:lang w:val="lv-LV"/>
        </w:rPr>
      </w:pPr>
    </w:p>
    <w:p w:rsidR="0073618D" w:rsidRPr="00CE6CB4" w:rsidRDefault="0073618D" w:rsidP="0073618D">
      <w:pPr>
        <w:pStyle w:val="ECHRPara"/>
        <w:ind w:firstLine="720"/>
        <w:rPr>
          <w:rFonts w:ascii="Times New Roman" w:hAnsi="Times New Roman" w:cs="Times New Roman"/>
          <w:szCs w:val="24"/>
          <w:lang w:val="lv-LV"/>
        </w:rPr>
      </w:pPr>
      <w:r w:rsidRPr="00CE6CB4">
        <w:rPr>
          <w:rFonts w:ascii="Times New Roman" w:hAnsi="Times New Roman" w:cs="Times New Roman"/>
          <w:szCs w:val="24"/>
          <w:lang w:val="lv-LV"/>
        </w:rPr>
        <w:t>TIESVEDĪBA</w:t>
      </w:r>
    </w:p>
    <w:p w:rsidR="0073618D" w:rsidRPr="00CE6CB4" w:rsidRDefault="0073618D" w:rsidP="0073618D">
      <w:pPr>
        <w:pStyle w:val="ECHRPara"/>
        <w:ind w:firstLine="0"/>
        <w:rPr>
          <w:rFonts w:ascii="Times New Roman" w:hAnsi="Times New Roman" w:cs="Times New Roman"/>
          <w:szCs w:val="24"/>
          <w:lang w:val="lv-LV"/>
        </w:rPr>
      </w:pPr>
    </w:p>
    <w:p w:rsidR="0073618D" w:rsidRPr="00CE6CB4" w:rsidRDefault="0073618D" w:rsidP="001A6BB9">
      <w:pPr>
        <w:pStyle w:val="ECHRPara"/>
        <w:rPr>
          <w:rFonts w:ascii="Times New Roman" w:hAnsi="Times New Roman" w:cs="Times New Roman"/>
          <w:szCs w:val="24"/>
          <w:lang w:val="lv-LV"/>
        </w:rPr>
      </w:pPr>
      <w:r w:rsidRPr="00CE6CB4">
        <w:rPr>
          <w:rFonts w:ascii="Times New Roman" w:hAnsi="Times New Roman" w:cs="Times New Roman"/>
          <w:szCs w:val="24"/>
          <w:lang w:val="lv-LV"/>
        </w:rPr>
        <w:t xml:space="preserve">1. Lietas pamatā ir iesniegums (Nr. </w:t>
      </w:r>
      <w:r w:rsidRPr="00CE6CB4">
        <w:rPr>
          <w:lang w:val="lv-LV"/>
        </w:rPr>
        <w:t>49037/09</w:t>
      </w:r>
      <w:r w:rsidRPr="00CE6CB4">
        <w:rPr>
          <w:rFonts w:ascii="Times New Roman" w:hAnsi="Times New Roman" w:cs="Times New Roman"/>
          <w:szCs w:val="24"/>
          <w:lang w:val="lv-LV"/>
        </w:rPr>
        <w:t>), kuru pret Latvijas Republiku Tiesā saskaņā ar Eiropas Cilvēk</w:t>
      </w:r>
      <w:r w:rsidR="003F40C7">
        <w:rPr>
          <w:rFonts w:ascii="Times New Roman" w:hAnsi="Times New Roman" w:cs="Times New Roman"/>
          <w:szCs w:val="24"/>
          <w:lang w:val="lv-LV"/>
        </w:rPr>
        <w:t xml:space="preserve">a </w:t>
      </w:r>
      <w:r w:rsidRPr="00CE6CB4">
        <w:rPr>
          <w:rFonts w:ascii="Times New Roman" w:hAnsi="Times New Roman" w:cs="Times New Roman"/>
          <w:szCs w:val="24"/>
          <w:lang w:val="lv-LV"/>
        </w:rPr>
        <w:t>tiesību un pamatbrīvību aizsardzības konvencijas (</w:t>
      </w:r>
      <w:r w:rsidRPr="00CE6CB4">
        <w:rPr>
          <w:rFonts w:ascii="Times New Roman" w:eastAsiaTheme="minorHAnsi" w:hAnsi="Times New Roman" w:cs="Times New Roman"/>
          <w:color w:val="000000"/>
          <w:szCs w:val="24"/>
          <w:lang w:val="lv-LV"/>
        </w:rPr>
        <w:t>“</w:t>
      </w:r>
      <w:r w:rsidRPr="00CE6CB4">
        <w:rPr>
          <w:rFonts w:ascii="Times New Roman" w:hAnsi="Times New Roman" w:cs="Times New Roman"/>
          <w:szCs w:val="24"/>
          <w:lang w:val="lv-LV"/>
        </w:rPr>
        <w:t xml:space="preserve">Konvencija”) 34. pantu 2009. gada 25. augustā iesniedza Latvijas pilsonis </w:t>
      </w:r>
      <w:r w:rsidR="001A6BB9" w:rsidRPr="00CE6CB4">
        <w:rPr>
          <w:rFonts w:ascii="Times New Roman" w:hAnsi="Times New Roman" w:cs="Times New Roman"/>
          <w:szCs w:val="24"/>
          <w:lang w:val="lv-LV"/>
        </w:rPr>
        <w:t>Sergejs Dmitrijevs</w:t>
      </w:r>
      <w:r w:rsidRPr="00CE6CB4">
        <w:rPr>
          <w:rFonts w:ascii="Times New Roman" w:hAnsi="Times New Roman" w:cs="Times New Roman"/>
          <w:szCs w:val="24"/>
          <w:lang w:val="lv-LV"/>
        </w:rPr>
        <w:t xml:space="preserve"> (</w:t>
      </w:r>
      <w:r w:rsidRPr="00CE6CB4">
        <w:rPr>
          <w:rFonts w:ascii="Times New Roman" w:eastAsiaTheme="minorHAnsi" w:hAnsi="Times New Roman" w:cs="Times New Roman"/>
          <w:color w:val="000000"/>
          <w:szCs w:val="24"/>
          <w:lang w:val="lv-LV"/>
        </w:rPr>
        <w:t>“</w:t>
      </w:r>
      <w:r w:rsidRPr="00CE6CB4">
        <w:rPr>
          <w:rFonts w:ascii="Times New Roman" w:hAnsi="Times New Roman" w:cs="Times New Roman"/>
          <w:szCs w:val="24"/>
          <w:lang w:val="lv-LV"/>
        </w:rPr>
        <w:t>iesniedzēj</w:t>
      </w:r>
      <w:r w:rsidR="001A6BB9" w:rsidRPr="00CE6CB4">
        <w:rPr>
          <w:rFonts w:ascii="Times New Roman" w:hAnsi="Times New Roman" w:cs="Times New Roman"/>
          <w:szCs w:val="24"/>
          <w:lang w:val="lv-LV"/>
        </w:rPr>
        <w:t>s</w:t>
      </w:r>
      <w:r w:rsidRPr="00CE6CB4">
        <w:rPr>
          <w:rFonts w:ascii="Times New Roman" w:hAnsi="Times New Roman" w:cs="Times New Roman"/>
          <w:szCs w:val="24"/>
          <w:lang w:val="lv-LV"/>
        </w:rPr>
        <w:t xml:space="preserve">”). </w:t>
      </w:r>
    </w:p>
    <w:p w:rsidR="0073618D" w:rsidRPr="00CE6CB4" w:rsidRDefault="001A6BB9" w:rsidP="001A6BB9">
      <w:pPr>
        <w:pStyle w:val="ECHRPara"/>
        <w:rPr>
          <w:rFonts w:ascii="Times New Roman" w:eastAsiaTheme="minorHAnsi" w:hAnsi="Times New Roman" w:cs="Times New Roman"/>
          <w:color w:val="000000"/>
          <w:szCs w:val="24"/>
          <w:lang w:val="lv-LV"/>
        </w:rPr>
      </w:pPr>
      <w:r w:rsidRPr="00CE6CB4">
        <w:rPr>
          <w:lang w:val="lv-LV"/>
        </w:rPr>
        <w:t xml:space="preserve">2. Iesniedzēju, kuram tika nodrošināta juridiskā palīdzība, pārstāvēja I. Nikuļceva, </w:t>
      </w:r>
      <w:r w:rsidR="003F40C7">
        <w:rPr>
          <w:lang w:val="lv-LV"/>
        </w:rPr>
        <w:t xml:space="preserve">Rīgā praktizējoša </w:t>
      </w:r>
      <w:r w:rsidRPr="00CE6CB4">
        <w:rPr>
          <w:lang w:val="lv-LV"/>
        </w:rPr>
        <w:t xml:space="preserve">advokāte. </w:t>
      </w:r>
      <w:r w:rsidRPr="00CE6CB4">
        <w:rPr>
          <w:rFonts w:ascii="Times New Roman" w:hAnsi="Times New Roman" w:cs="Times New Roman"/>
          <w:szCs w:val="24"/>
          <w:lang w:val="lv-LV"/>
        </w:rPr>
        <w:t>Latvijas valdību (</w:t>
      </w:r>
      <w:r w:rsidRPr="00CE6CB4">
        <w:rPr>
          <w:rFonts w:ascii="Times New Roman" w:eastAsiaTheme="minorHAnsi" w:hAnsi="Times New Roman" w:cs="Times New Roman"/>
          <w:color w:val="000000"/>
          <w:szCs w:val="24"/>
          <w:lang w:val="lv-LV"/>
        </w:rPr>
        <w:t>“Valdība</w:t>
      </w:r>
      <w:r w:rsidR="00085A30" w:rsidRPr="00CE6CB4">
        <w:rPr>
          <w:rFonts w:ascii="Times New Roman" w:eastAsiaTheme="minorHAnsi" w:hAnsi="Times New Roman" w:cs="Times New Roman"/>
          <w:color w:val="000000"/>
          <w:szCs w:val="24"/>
          <w:lang w:val="lv-LV"/>
        </w:rPr>
        <w:t>”</w:t>
      </w:r>
      <w:r w:rsidRPr="00CE6CB4">
        <w:rPr>
          <w:rFonts w:ascii="Times New Roman" w:eastAsiaTheme="minorHAnsi" w:hAnsi="Times New Roman" w:cs="Times New Roman"/>
          <w:color w:val="000000"/>
          <w:szCs w:val="24"/>
          <w:lang w:val="lv-LV"/>
        </w:rPr>
        <w:t>) pārstāvēja tās pārstāve K. Līce.</w:t>
      </w:r>
    </w:p>
    <w:p w:rsidR="001A6BB9" w:rsidRPr="00CE6CB4" w:rsidRDefault="001A6BB9" w:rsidP="001A6BB9">
      <w:pPr>
        <w:pStyle w:val="ECHRPara"/>
        <w:rPr>
          <w:lang w:val="lv-LV"/>
        </w:rPr>
      </w:pPr>
      <w:r w:rsidRPr="00CE6CB4">
        <w:rPr>
          <w:lang w:val="lv-LV"/>
        </w:rPr>
        <w:t>3. Iesniedzējs apgalvoja,</w:t>
      </w:r>
      <w:r w:rsidR="003F40C7">
        <w:rPr>
          <w:lang w:val="lv-LV"/>
        </w:rPr>
        <w:t xml:space="preserve"> īpaši uzsverot,</w:t>
      </w:r>
      <w:r w:rsidRPr="00CE6CB4">
        <w:rPr>
          <w:lang w:val="lv-LV"/>
        </w:rPr>
        <w:t xml:space="preserve"> ka nacionālās tiesas </w:t>
      </w:r>
      <w:r w:rsidR="00805851" w:rsidRPr="00CE6CB4">
        <w:rPr>
          <w:lang w:val="lv-LV"/>
        </w:rPr>
        <w:t xml:space="preserve">nebija piešķīrušas viņam </w:t>
      </w:r>
      <w:r w:rsidR="00085A30" w:rsidRPr="00CE6CB4">
        <w:rPr>
          <w:lang w:val="lv-LV"/>
        </w:rPr>
        <w:t>kompensāciju</w:t>
      </w:r>
      <w:r w:rsidR="00805851" w:rsidRPr="00CE6CB4">
        <w:rPr>
          <w:lang w:val="lv-LV"/>
        </w:rPr>
        <w:t xml:space="preserve"> par pretlikumīgu </w:t>
      </w:r>
      <w:r w:rsidR="00085A30" w:rsidRPr="00CE6CB4">
        <w:rPr>
          <w:lang w:val="lv-LV"/>
        </w:rPr>
        <w:t>pārvietošanu</w:t>
      </w:r>
      <w:r w:rsidR="00805851" w:rsidRPr="00CE6CB4">
        <w:rPr>
          <w:lang w:val="lv-LV"/>
        </w:rPr>
        <w:t xml:space="preserve"> uz cietumu, kura režīms bija stingrāks par to, </w:t>
      </w:r>
      <w:r w:rsidR="003F40C7">
        <w:rPr>
          <w:lang w:val="lv-LV"/>
        </w:rPr>
        <w:t>kas viņam bija noteikts</w:t>
      </w:r>
      <w:r w:rsidR="00805851" w:rsidRPr="00CE6CB4">
        <w:rPr>
          <w:lang w:val="lv-LV"/>
        </w:rPr>
        <w:t>.</w:t>
      </w:r>
    </w:p>
    <w:p w:rsidR="0073618D" w:rsidRPr="00CE6CB4" w:rsidRDefault="00805851" w:rsidP="00C621C2">
      <w:pPr>
        <w:pStyle w:val="ECHRPara"/>
        <w:rPr>
          <w:lang w:val="lv-LV"/>
        </w:rPr>
      </w:pPr>
      <w:r w:rsidRPr="00CE6CB4">
        <w:rPr>
          <w:lang w:val="lv-LV"/>
        </w:rPr>
        <w:t xml:space="preserve">4. </w:t>
      </w:r>
      <w:r w:rsidRPr="00CE6CB4">
        <w:rPr>
          <w:rFonts w:ascii="Times New Roman" w:eastAsiaTheme="minorHAnsi" w:hAnsi="Times New Roman" w:cs="Times New Roman"/>
          <w:color w:val="000000"/>
          <w:szCs w:val="24"/>
          <w:lang w:val="lv-LV"/>
        </w:rPr>
        <w:t xml:space="preserve">2013. gada 24. jūnijā </w:t>
      </w:r>
      <w:r w:rsidR="00085A30" w:rsidRPr="00CE6CB4">
        <w:rPr>
          <w:rFonts w:ascii="Times New Roman" w:eastAsiaTheme="minorHAnsi" w:hAnsi="Times New Roman" w:cs="Times New Roman"/>
          <w:color w:val="000000"/>
          <w:szCs w:val="24"/>
          <w:lang w:val="lv-LV"/>
        </w:rPr>
        <w:t>sūdzības par 3. un 13. pantu tika nosūtītas</w:t>
      </w:r>
      <w:r w:rsidR="006F6F8E" w:rsidRPr="00CE6CB4">
        <w:rPr>
          <w:rFonts w:ascii="Times New Roman" w:eastAsiaTheme="minorHAnsi" w:hAnsi="Times New Roman" w:cs="Times New Roman"/>
          <w:color w:val="000000"/>
          <w:szCs w:val="24"/>
          <w:lang w:val="lv-LV"/>
        </w:rPr>
        <w:t xml:space="preserve"> V</w:t>
      </w:r>
      <w:r w:rsidR="00085A30" w:rsidRPr="00CE6CB4">
        <w:rPr>
          <w:rFonts w:ascii="Times New Roman" w:eastAsiaTheme="minorHAnsi" w:hAnsi="Times New Roman" w:cs="Times New Roman"/>
          <w:color w:val="000000"/>
          <w:szCs w:val="24"/>
          <w:lang w:val="lv-LV"/>
        </w:rPr>
        <w:t xml:space="preserve">aldībai, </w:t>
      </w:r>
      <w:r w:rsidRPr="00CE6CB4">
        <w:rPr>
          <w:rFonts w:ascii="Times New Roman" w:eastAsiaTheme="minorHAnsi" w:hAnsi="Times New Roman" w:cs="Times New Roman"/>
          <w:color w:val="000000"/>
          <w:szCs w:val="24"/>
          <w:lang w:val="lv-LV"/>
        </w:rPr>
        <w:t xml:space="preserve">un </w:t>
      </w:r>
      <w:r w:rsidR="00085A30" w:rsidRPr="00CE6CB4">
        <w:rPr>
          <w:rFonts w:ascii="Times New Roman" w:eastAsiaTheme="minorHAnsi" w:hAnsi="Times New Roman" w:cs="Times New Roman"/>
          <w:color w:val="000000"/>
          <w:szCs w:val="24"/>
          <w:lang w:val="lv-LV"/>
        </w:rPr>
        <w:t xml:space="preserve">pārējā daļā </w:t>
      </w:r>
      <w:r w:rsidRPr="00CE6CB4">
        <w:rPr>
          <w:rFonts w:ascii="Times New Roman" w:eastAsiaTheme="minorHAnsi" w:hAnsi="Times New Roman" w:cs="Times New Roman"/>
          <w:color w:val="000000"/>
          <w:szCs w:val="24"/>
          <w:lang w:val="lv-LV"/>
        </w:rPr>
        <w:t>iesniegums tika atzīts par nepieņemamu</w:t>
      </w:r>
      <w:r w:rsidR="003F40C7">
        <w:rPr>
          <w:rFonts w:ascii="Times New Roman" w:eastAsiaTheme="minorHAnsi" w:hAnsi="Times New Roman" w:cs="Times New Roman"/>
          <w:color w:val="000000"/>
          <w:szCs w:val="24"/>
          <w:lang w:val="lv-LV"/>
        </w:rPr>
        <w:t xml:space="preserve"> izskatīšanai</w:t>
      </w:r>
      <w:r w:rsidRPr="00CE6CB4">
        <w:rPr>
          <w:rFonts w:ascii="Times New Roman" w:eastAsiaTheme="minorHAnsi" w:hAnsi="Times New Roman" w:cs="Times New Roman"/>
          <w:color w:val="000000"/>
          <w:szCs w:val="24"/>
          <w:lang w:val="lv-LV"/>
        </w:rPr>
        <w:t>.</w:t>
      </w:r>
    </w:p>
    <w:p w:rsidR="00014566" w:rsidRPr="00CE6CB4" w:rsidRDefault="00805851" w:rsidP="00294C92">
      <w:pPr>
        <w:pStyle w:val="ECHRTitle1"/>
        <w:rPr>
          <w:lang w:val="lv-LV"/>
        </w:rPr>
      </w:pPr>
      <w:r w:rsidRPr="00CE6CB4">
        <w:rPr>
          <w:lang w:val="lv-LV"/>
        </w:rPr>
        <w:t>FAKTI</w:t>
      </w:r>
    </w:p>
    <w:p w:rsidR="00014566" w:rsidRPr="00CE6CB4" w:rsidRDefault="00805851" w:rsidP="00014566">
      <w:pPr>
        <w:pStyle w:val="ECHRHeading1"/>
        <w:rPr>
          <w:lang w:val="lv-LV"/>
        </w:rPr>
      </w:pPr>
      <w:r w:rsidRPr="00CE6CB4">
        <w:rPr>
          <w:lang w:val="lv-LV"/>
        </w:rPr>
        <w:t>I</w:t>
      </w:r>
      <w:r w:rsidR="003F40C7">
        <w:rPr>
          <w:lang w:val="lv-LV"/>
        </w:rPr>
        <w:t>.</w:t>
      </w:r>
      <w:r w:rsidRPr="00CE6CB4">
        <w:rPr>
          <w:lang w:val="lv-LV"/>
        </w:rPr>
        <w:t xml:space="preserve"> LIETAS APSTĀKĻI</w:t>
      </w:r>
      <w:r w:rsidRPr="00CE6CB4">
        <w:rPr>
          <w:lang w:val="lv-LV"/>
        </w:rPr>
        <w:tab/>
      </w:r>
    </w:p>
    <w:p w:rsidR="00805851" w:rsidRPr="00CE6CB4" w:rsidRDefault="00295235" w:rsidP="00295235">
      <w:pPr>
        <w:pStyle w:val="ECHRHeading2"/>
        <w:rPr>
          <w:lang w:val="lv-LV"/>
        </w:rPr>
      </w:pPr>
      <w:r w:rsidRPr="00CE6CB4">
        <w:rPr>
          <w:lang w:val="lv-LV"/>
        </w:rPr>
        <w:t>A.  </w:t>
      </w:r>
      <w:r w:rsidR="00805851" w:rsidRPr="00CE6CB4">
        <w:rPr>
          <w:lang w:val="lv-LV"/>
        </w:rPr>
        <w:t xml:space="preserve">Iesniedzēja </w:t>
      </w:r>
      <w:r w:rsidR="00085A30" w:rsidRPr="00CE6CB4">
        <w:rPr>
          <w:lang w:val="lv-LV"/>
        </w:rPr>
        <w:t>pārvietošana</w:t>
      </w:r>
      <w:r w:rsidR="00805851" w:rsidRPr="00CE6CB4">
        <w:rPr>
          <w:lang w:val="lv-LV"/>
        </w:rPr>
        <w:t xml:space="preserve"> soda izciešanai uz stingrāka režīma </w:t>
      </w:r>
      <w:r w:rsidR="00085A30" w:rsidRPr="00CE6CB4">
        <w:rPr>
          <w:lang w:val="lv-LV"/>
        </w:rPr>
        <w:t>ieslodzījuma vietu</w:t>
      </w:r>
    </w:p>
    <w:p w:rsidR="00014566" w:rsidRPr="00CE6CB4" w:rsidRDefault="003071EE" w:rsidP="00C621C2">
      <w:pPr>
        <w:pStyle w:val="ECHRPara"/>
        <w:rPr>
          <w:lang w:val="lv-LV"/>
        </w:rPr>
      </w:pPr>
      <w:r w:rsidRPr="00CE6CB4">
        <w:rPr>
          <w:lang w:val="lv-LV"/>
        </w:rPr>
        <w:fldChar w:fldCharType="begin"/>
      </w:r>
      <w:r w:rsidRPr="00CE6CB4">
        <w:rPr>
          <w:lang w:val="lv-LV"/>
        </w:rPr>
        <w:instrText xml:space="preserve"> SEQ level0 \*arabic </w:instrText>
      </w:r>
      <w:r w:rsidRPr="00CE6CB4">
        <w:rPr>
          <w:lang w:val="lv-LV"/>
        </w:rPr>
        <w:fldChar w:fldCharType="separate"/>
      </w:r>
      <w:r w:rsidR="006260D9" w:rsidRPr="00CE6CB4">
        <w:rPr>
          <w:noProof/>
          <w:lang w:val="lv-LV"/>
        </w:rPr>
        <w:t>5</w:t>
      </w:r>
      <w:r w:rsidRPr="00CE6CB4">
        <w:rPr>
          <w:lang w:val="lv-LV"/>
        </w:rPr>
        <w:fldChar w:fldCharType="end"/>
      </w:r>
      <w:r w:rsidR="00014566" w:rsidRPr="00CE6CB4">
        <w:rPr>
          <w:lang w:val="lv-LV"/>
        </w:rPr>
        <w:t>.  </w:t>
      </w:r>
      <w:r w:rsidR="00805851" w:rsidRPr="00CE6CB4">
        <w:rPr>
          <w:lang w:val="lv-LV"/>
        </w:rPr>
        <w:t xml:space="preserve">Iesniedzējs ir dzimis 1960. gadā un dzīvo Rīgā. </w:t>
      </w:r>
    </w:p>
    <w:p w:rsidR="00805851" w:rsidRPr="00CE6CB4" w:rsidRDefault="003071EE" w:rsidP="003071EE">
      <w:pPr>
        <w:pStyle w:val="ECHRPara"/>
        <w:rPr>
          <w:lang w:val="lv-LV"/>
        </w:rPr>
      </w:pPr>
      <w:r w:rsidRPr="00CE6CB4">
        <w:rPr>
          <w:lang w:val="lv-LV"/>
        </w:rPr>
        <w:fldChar w:fldCharType="begin"/>
      </w:r>
      <w:r w:rsidRPr="00CE6CB4">
        <w:rPr>
          <w:lang w:val="lv-LV"/>
        </w:rPr>
        <w:instrText xml:space="preserve"> SEQ level0 \*arabic </w:instrText>
      </w:r>
      <w:r w:rsidRPr="00CE6CB4">
        <w:rPr>
          <w:lang w:val="lv-LV"/>
        </w:rPr>
        <w:fldChar w:fldCharType="separate"/>
      </w:r>
      <w:r w:rsidR="006260D9" w:rsidRPr="00CE6CB4">
        <w:rPr>
          <w:noProof/>
          <w:lang w:val="lv-LV"/>
        </w:rPr>
        <w:t>6</w:t>
      </w:r>
      <w:r w:rsidRPr="00CE6CB4">
        <w:rPr>
          <w:lang w:val="lv-LV"/>
        </w:rPr>
        <w:fldChar w:fldCharType="end"/>
      </w:r>
      <w:r w:rsidR="00014566" w:rsidRPr="00CE6CB4">
        <w:rPr>
          <w:lang w:val="lv-LV"/>
        </w:rPr>
        <w:t>.  </w:t>
      </w:r>
      <w:r w:rsidR="006F6F8E" w:rsidRPr="00CE6CB4">
        <w:rPr>
          <w:lang w:val="lv-LV"/>
        </w:rPr>
        <w:t>1995. gada jūlijā viņu a</w:t>
      </w:r>
      <w:r w:rsidR="003F40C7">
        <w:rPr>
          <w:lang w:val="lv-LV"/>
        </w:rPr>
        <w:t>izturēja</w:t>
      </w:r>
      <w:r w:rsidR="006F6F8E" w:rsidRPr="00CE6CB4">
        <w:rPr>
          <w:lang w:val="lv-LV"/>
        </w:rPr>
        <w:t>, bet 1998. gada maijā</w:t>
      </w:r>
      <w:r w:rsidR="00805851" w:rsidRPr="00CE6CB4">
        <w:rPr>
          <w:lang w:val="lv-LV"/>
        </w:rPr>
        <w:t xml:space="preserve"> – notiesāja un piesprieda nāvessodu. 1999. gada jūnijā atbilstoši grozījumiem Krimināl</w:t>
      </w:r>
      <w:r w:rsidR="003F40C7">
        <w:rPr>
          <w:lang w:val="lv-LV"/>
        </w:rPr>
        <w:t>kodeksā</w:t>
      </w:r>
      <w:r w:rsidR="00805851" w:rsidRPr="00CE6CB4">
        <w:rPr>
          <w:lang w:val="lv-LV"/>
        </w:rPr>
        <w:t xml:space="preserve"> apelācijas instances tiesa </w:t>
      </w:r>
      <w:r w:rsidR="003F40C7">
        <w:rPr>
          <w:lang w:val="lv-LV"/>
        </w:rPr>
        <w:t xml:space="preserve">grozīja </w:t>
      </w:r>
      <w:r w:rsidR="00805851" w:rsidRPr="00CE6CB4">
        <w:rPr>
          <w:lang w:val="lv-LV"/>
        </w:rPr>
        <w:t xml:space="preserve">piespriesto nāvessodu </w:t>
      </w:r>
      <w:r w:rsidR="003F40C7">
        <w:rPr>
          <w:lang w:val="lv-LV"/>
        </w:rPr>
        <w:t xml:space="preserve">uz </w:t>
      </w:r>
      <w:r w:rsidR="00805851" w:rsidRPr="00CE6CB4">
        <w:rPr>
          <w:lang w:val="lv-LV"/>
        </w:rPr>
        <w:t>piecpadsmit gadus ilgu ieslodzījumu.</w:t>
      </w:r>
      <w:r w:rsidR="00D642F0" w:rsidRPr="00CE6CB4">
        <w:rPr>
          <w:lang w:val="lv-LV"/>
        </w:rPr>
        <w:t xml:space="preserve"> Iesniedzējs uzsāka izciest sodu slēgta </w:t>
      </w:r>
      <w:r w:rsidR="00D642F0" w:rsidRPr="00CE6CB4">
        <w:rPr>
          <w:lang w:val="lv-LV"/>
        </w:rPr>
        <w:lastRenderedPageBreak/>
        <w:t xml:space="preserve">tipa cietumā </w:t>
      </w:r>
      <w:r w:rsidR="00085A30" w:rsidRPr="00CE6CB4">
        <w:rPr>
          <w:lang w:val="lv-LV"/>
        </w:rPr>
        <w:t xml:space="preserve">soda izciešanas režīma zemākajā pakāpē </w:t>
      </w:r>
      <w:r w:rsidR="00D642F0" w:rsidRPr="00CE6CB4">
        <w:rPr>
          <w:lang w:val="lv-LV"/>
        </w:rPr>
        <w:t>(skatīt turpinājumā sadaļu “Piemērojamie nacionālie tiesību akti”).</w:t>
      </w:r>
    </w:p>
    <w:p w:rsidR="0068102F" w:rsidRPr="00CE6CB4" w:rsidRDefault="005913A0" w:rsidP="003071EE">
      <w:pPr>
        <w:pStyle w:val="ECHRPara"/>
        <w:rPr>
          <w:lang w:val="lv-LV"/>
        </w:rPr>
      </w:pPr>
      <w:r w:rsidRPr="00CE6CB4">
        <w:rPr>
          <w:lang w:val="lv-LV"/>
        </w:rPr>
        <w:fldChar w:fldCharType="begin"/>
      </w:r>
      <w:r w:rsidRPr="00CE6CB4">
        <w:rPr>
          <w:lang w:val="lv-LV"/>
        </w:rPr>
        <w:instrText xml:space="preserve"> SEQ level0 \*arabic </w:instrText>
      </w:r>
      <w:r w:rsidRPr="00CE6CB4">
        <w:rPr>
          <w:lang w:val="lv-LV"/>
        </w:rPr>
        <w:fldChar w:fldCharType="separate"/>
      </w:r>
      <w:r w:rsidR="006260D9" w:rsidRPr="00CE6CB4">
        <w:rPr>
          <w:noProof/>
          <w:lang w:val="lv-LV"/>
        </w:rPr>
        <w:t>7</w:t>
      </w:r>
      <w:r w:rsidRPr="00CE6CB4">
        <w:rPr>
          <w:lang w:val="lv-LV"/>
        </w:rPr>
        <w:fldChar w:fldCharType="end"/>
      </w:r>
      <w:r w:rsidR="004A0F2C" w:rsidRPr="00CE6CB4">
        <w:rPr>
          <w:lang w:val="lv-LV"/>
        </w:rPr>
        <w:t>.  </w:t>
      </w:r>
      <w:r w:rsidR="0068102F" w:rsidRPr="00CE6CB4">
        <w:rPr>
          <w:lang w:val="lv-LV"/>
        </w:rPr>
        <w:t xml:space="preserve">2001. gada 27. martā iesniedzējs tika pārvietots uz </w:t>
      </w:r>
      <w:r w:rsidR="00872390" w:rsidRPr="00CE6CB4">
        <w:rPr>
          <w:lang w:val="lv-LV"/>
        </w:rPr>
        <w:t>soda izciešanas režīma vidējo pakāpi</w:t>
      </w:r>
      <w:r w:rsidR="0068102F" w:rsidRPr="00CE6CB4">
        <w:rPr>
          <w:lang w:val="lv-LV"/>
        </w:rPr>
        <w:t xml:space="preserve"> slēgta tipa cietumā. Saskaņā ar nacionālajiem tiesību aktiem iesniedzējam pienācās vairākas tiesības (skatīt turpinājumā sadaļu “Piemērojamie nacionālie tiesību akti”).</w:t>
      </w:r>
    </w:p>
    <w:p w:rsidR="0068102F" w:rsidRPr="00CE6CB4" w:rsidRDefault="0068102F" w:rsidP="003071EE">
      <w:pPr>
        <w:pStyle w:val="ECHRPara"/>
        <w:rPr>
          <w:lang w:val="lv-LV"/>
        </w:rPr>
      </w:pPr>
      <w:r w:rsidRPr="00CE6CB4">
        <w:rPr>
          <w:lang w:val="lv-LV"/>
        </w:rPr>
        <w:t xml:space="preserve">8. 2005. gada 27. jūlijā, kamēr iesniedzējs izcieta sodu Pārlielupes cietumā, cietuma administratīvā komisija nolēma piemērot viņam stingrāku ieslodzījuma režīmu un pārcelt uz </w:t>
      </w:r>
      <w:r w:rsidR="00872390" w:rsidRPr="00CE6CB4">
        <w:rPr>
          <w:lang w:val="lv-LV"/>
        </w:rPr>
        <w:t xml:space="preserve">zemāku </w:t>
      </w:r>
      <w:r w:rsidR="00221B22" w:rsidRPr="00CE6CB4">
        <w:rPr>
          <w:lang w:val="lv-LV"/>
        </w:rPr>
        <w:t xml:space="preserve">režīma </w:t>
      </w:r>
      <w:r w:rsidR="00872390" w:rsidRPr="00CE6CB4">
        <w:rPr>
          <w:lang w:val="lv-LV"/>
        </w:rPr>
        <w:t>pakāpi</w:t>
      </w:r>
      <w:r w:rsidRPr="00CE6CB4">
        <w:rPr>
          <w:lang w:val="lv-LV"/>
        </w:rPr>
        <w:t>. 2005. gada 16. augustā Pārlielupes cietuma priekšnieks</w:t>
      </w:r>
      <w:r w:rsidR="00CF365D">
        <w:rPr>
          <w:lang w:val="lv-LV"/>
        </w:rPr>
        <w:t>, atsaucoties uz šo lēmumu.</w:t>
      </w:r>
      <w:r w:rsidRPr="00CE6CB4">
        <w:rPr>
          <w:lang w:val="lv-LV"/>
        </w:rPr>
        <w:t xml:space="preserve"> ieteica </w:t>
      </w:r>
      <w:r w:rsidR="00872390" w:rsidRPr="00CE6CB4">
        <w:rPr>
          <w:lang w:val="lv-LV"/>
        </w:rPr>
        <w:t>pārvietot</w:t>
      </w:r>
      <w:r w:rsidRPr="00CE6CB4">
        <w:rPr>
          <w:lang w:val="lv-LV"/>
        </w:rPr>
        <w:t xml:space="preserve"> iesniedzēju uz Daugavpils cietumu, jo Pārlielupes cietumā nebija piemērotu telpu, lai viņš varētu turpināt izciest sodu stingrākā režīmā. </w:t>
      </w:r>
    </w:p>
    <w:p w:rsidR="0068102F" w:rsidRPr="00CE6CB4" w:rsidRDefault="0068102F" w:rsidP="003071EE">
      <w:pPr>
        <w:pStyle w:val="ECHRPara"/>
        <w:rPr>
          <w:lang w:val="lv-LV"/>
        </w:rPr>
      </w:pPr>
      <w:r w:rsidRPr="00CE6CB4">
        <w:rPr>
          <w:lang w:val="lv-LV"/>
        </w:rPr>
        <w:t xml:space="preserve">9. 2005. gada 5. septembrī pēc iesniedzēja apelācijas sūdzības </w:t>
      </w:r>
      <w:r w:rsidR="00CF365D">
        <w:rPr>
          <w:lang w:val="lv-LV"/>
        </w:rPr>
        <w:t xml:space="preserve">iesniegšanas Jelgavas tiesa atcēla </w:t>
      </w:r>
      <w:r w:rsidRPr="00CE6CB4">
        <w:rPr>
          <w:lang w:val="lv-LV"/>
        </w:rPr>
        <w:t>administratīvās komisijas lēmum</w:t>
      </w:r>
      <w:r w:rsidR="00CF365D">
        <w:rPr>
          <w:lang w:val="lv-LV"/>
        </w:rPr>
        <w:t>u</w:t>
      </w:r>
      <w:r w:rsidRPr="00CE6CB4">
        <w:rPr>
          <w:lang w:val="lv-LV"/>
        </w:rPr>
        <w:t xml:space="preserve">, </w:t>
      </w:r>
      <w:r w:rsidR="00CF365D">
        <w:rPr>
          <w:lang w:val="lv-LV"/>
        </w:rPr>
        <w:t xml:space="preserve">nosūtot šo lēmumu </w:t>
      </w:r>
      <w:r w:rsidRPr="00CE6CB4">
        <w:rPr>
          <w:lang w:val="lv-LV"/>
        </w:rPr>
        <w:t>2005. gada 6. septembrī uz Pārlielupes cietumu. Tajā pašā laikā 2005</w:t>
      </w:r>
      <w:r w:rsidR="00872390" w:rsidRPr="00CE6CB4">
        <w:rPr>
          <w:lang w:val="lv-LV"/>
        </w:rPr>
        <w:t>. gada 5. septembrī Ieslodzījuma</w:t>
      </w:r>
      <w:r w:rsidRPr="00CE6CB4">
        <w:rPr>
          <w:lang w:val="lv-LV"/>
        </w:rPr>
        <w:t xml:space="preserve"> vietu pārvalde apstiprināja Pārlielupes cietuma ieteikumu </w:t>
      </w:r>
      <w:r w:rsidR="00872390" w:rsidRPr="00CE6CB4">
        <w:rPr>
          <w:lang w:val="lv-LV"/>
        </w:rPr>
        <w:t>pārvietot</w:t>
      </w:r>
      <w:r w:rsidRPr="00CE6CB4">
        <w:rPr>
          <w:lang w:val="lv-LV"/>
        </w:rPr>
        <w:t xml:space="preserve"> iesniedzēju uz Daugavpils cietumu (skatīt iepriekš 8. rindkopu), savukārt 2005. gada 6. septembrī Pārlielupes cietuma priekšnieks izdeva rīkojumu </w:t>
      </w:r>
      <w:r w:rsidR="00872390" w:rsidRPr="00CE6CB4">
        <w:rPr>
          <w:lang w:val="lv-LV"/>
        </w:rPr>
        <w:t>veikt šādu darbību</w:t>
      </w:r>
      <w:r w:rsidRPr="00CE6CB4">
        <w:rPr>
          <w:lang w:val="lv-LV"/>
        </w:rPr>
        <w:t xml:space="preserve">. </w:t>
      </w:r>
    </w:p>
    <w:p w:rsidR="0068102F" w:rsidRPr="00CE6CB4" w:rsidRDefault="00CD0B2D" w:rsidP="003071EE">
      <w:pPr>
        <w:pStyle w:val="ECHRPara"/>
        <w:rPr>
          <w:lang w:val="lv-LV"/>
        </w:rPr>
      </w:pPr>
      <w:r w:rsidRPr="00CE6CB4">
        <w:rPr>
          <w:lang w:val="lv-LV"/>
        </w:rPr>
        <w:t xml:space="preserve">10. Lai gan sākotnējais 2005. gada 27. jūlija </w:t>
      </w:r>
      <w:r w:rsidR="00221B22" w:rsidRPr="00CE6CB4">
        <w:rPr>
          <w:lang w:val="lv-LV"/>
        </w:rPr>
        <w:t>lēmums</w:t>
      </w:r>
      <w:r w:rsidRPr="00CE6CB4">
        <w:rPr>
          <w:lang w:val="lv-LV"/>
        </w:rPr>
        <w:t xml:space="preserve"> bija atcelts, 2005. gada 18. oktobrī rīkojums tika izpildīts un iesniedzējs, kurš šajā laikā bija </w:t>
      </w:r>
      <w:r w:rsidR="00CF365D">
        <w:rPr>
          <w:lang w:val="lv-LV"/>
        </w:rPr>
        <w:t xml:space="preserve">atradās </w:t>
      </w:r>
      <w:r w:rsidRPr="00CE6CB4">
        <w:rPr>
          <w:lang w:val="lv-LV"/>
        </w:rPr>
        <w:t>cietuma slimnīcā, tika pārvests uz Daugavpils cietumu. Laikā, ko iesniedzējs pavadīja šajā cietumā, viņa</w:t>
      </w:r>
      <w:r w:rsidR="00CF365D">
        <w:rPr>
          <w:lang w:val="lv-LV"/>
        </w:rPr>
        <w:t xml:space="preserve"> tiesību apjoms bija ierobežotāks salīdzinot ar tiesību apjomu, kāds </w:t>
      </w:r>
      <w:r w:rsidRPr="00CE6CB4">
        <w:rPr>
          <w:lang w:val="lv-LV"/>
        </w:rPr>
        <w:t xml:space="preserve">parasti tiek piešķirtas ieslodzītajiem </w:t>
      </w:r>
      <w:r w:rsidR="00872390" w:rsidRPr="00CE6CB4">
        <w:rPr>
          <w:lang w:val="lv-LV"/>
        </w:rPr>
        <w:t>režīma vidējā pakāpē</w:t>
      </w:r>
      <w:r w:rsidRPr="00CE6CB4">
        <w:rPr>
          <w:lang w:val="lv-LV"/>
        </w:rPr>
        <w:t>. It īpaši viņam nebija tiesību atstāt kameru uz vairāk nekā vienu stundu dienas</w:t>
      </w:r>
      <w:r w:rsidR="00872390" w:rsidRPr="00CE6CB4">
        <w:rPr>
          <w:lang w:val="lv-LV"/>
        </w:rPr>
        <w:t xml:space="preserve"> laikā</w:t>
      </w:r>
      <w:r w:rsidRPr="00CE6CB4">
        <w:rPr>
          <w:lang w:val="lv-LV"/>
        </w:rPr>
        <w:t xml:space="preserve">, nedz tiesību uz neierobežotu piekļuvi </w:t>
      </w:r>
      <w:r w:rsidR="00676B8E" w:rsidRPr="00CE6CB4">
        <w:rPr>
          <w:lang w:val="lv-LV"/>
        </w:rPr>
        <w:t>medicīnas daļai</w:t>
      </w:r>
      <w:r w:rsidRPr="00CE6CB4">
        <w:rPr>
          <w:lang w:val="lv-LV"/>
        </w:rPr>
        <w:t>, cietuma veikalam, ēdnīcai un bibliotēkai.</w:t>
      </w:r>
    </w:p>
    <w:p w:rsidR="00CD0B2D" w:rsidRPr="00CE6CB4" w:rsidRDefault="00CD0B2D" w:rsidP="003071EE">
      <w:pPr>
        <w:pStyle w:val="ECHRPara"/>
        <w:rPr>
          <w:lang w:val="lv-LV"/>
        </w:rPr>
      </w:pPr>
      <w:r w:rsidRPr="00CE6CB4">
        <w:rPr>
          <w:lang w:val="lv-LV"/>
        </w:rPr>
        <w:t>11. 2005. gada 20. oktobrī Daugavpils cietuma vadība informēja Ieslodzījuma vietu pārvaldi, ka nespēj nodrošināt telpas, kas</w:t>
      </w:r>
      <w:r w:rsidR="00CF365D">
        <w:rPr>
          <w:lang w:val="lv-LV"/>
        </w:rPr>
        <w:t xml:space="preserve"> būtu atbilstošas</w:t>
      </w:r>
      <w:r w:rsidRPr="00CE6CB4">
        <w:rPr>
          <w:lang w:val="lv-LV"/>
        </w:rPr>
        <w:t xml:space="preserve"> </w:t>
      </w:r>
      <w:r w:rsidR="00872390" w:rsidRPr="00CE6CB4">
        <w:rPr>
          <w:lang w:val="lv-LV"/>
        </w:rPr>
        <w:t>režīma vidējai pakāpei</w:t>
      </w:r>
      <w:r w:rsidRPr="00CE6CB4">
        <w:rPr>
          <w:lang w:val="lv-LV"/>
        </w:rPr>
        <w:t>.</w:t>
      </w:r>
    </w:p>
    <w:p w:rsidR="00507A95" w:rsidRPr="00CE6CB4" w:rsidRDefault="00CD0B2D" w:rsidP="00507A95">
      <w:pPr>
        <w:pStyle w:val="ECHRPara"/>
        <w:rPr>
          <w:lang w:val="lv-LV"/>
        </w:rPr>
      </w:pPr>
      <w:r w:rsidRPr="00CE6CB4">
        <w:rPr>
          <w:lang w:val="lv-LV"/>
        </w:rPr>
        <w:t xml:space="preserve">12. 2005. gada 26. oktobrī Ieslodzījuma vietu pārvalde pieņēma lēmumu pārvest iesniedzēju uz Jēkabpils cietumu, lai </w:t>
      </w:r>
      <w:r w:rsidR="00CF365D">
        <w:rPr>
          <w:lang w:val="lv-LV"/>
        </w:rPr>
        <w:t xml:space="preserve">viņš </w:t>
      </w:r>
      <w:r w:rsidRPr="00CE6CB4">
        <w:rPr>
          <w:lang w:val="lv-LV"/>
        </w:rPr>
        <w:t xml:space="preserve">tur izciestu sodu </w:t>
      </w:r>
      <w:r w:rsidR="00872390" w:rsidRPr="00CE6CB4">
        <w:rPr>
          <w:lang w:val="lv-LV"/>
        </w:rPr>
        <w:t>režīma vidējā pakāpē</w:t>
      </w:r>
      <w:r w:rsidRPr="00CE6CB4">
        <w:rPr>
          <w:lang w:val="lv-LV"/>
        </w:rPr>
        <w:t>. 2005. gada 4. novembrī šis lēmums tika izpildīts.</w:t>
      </w:r>
    </w:p>
    <w:p w:rsidR="00507A95" w:rsidRPr="00CE6CB4" w:rsidRDefault="00507A95" w:rsidP="00507A95">
      <w:pPr>
        <w:pStyle w:val="ECHRPara"/>
        <w:rPr>
          <w:lang w:val="lv-LV"/>
        </w:rPr>
      </w:pPr>
    </w:p>
    <w:p w:rsidR="00507A95" w:rsidRPr="00CE6CB4" w:rsidRDefault="00507A95" w:rsidP="00507A95">
      <w:pPr>
        <w:pStyle w:val="ECHRPara"/>
        <w:rPr>
          <w:b/>
          <w:lang w:val="lv-LV"/>
        </w:rPr>
      </w:pPr>
    </w:p>
    <w:p w:rsidR="00507A95" w:rsidRPr="00CE6CB4" w:rsidRDefault="008D04BA" w:rsidP="00507A95">
      <w:pPr>
        <w:pStyle w:val="ECHRPara"/>
        <w:rPr>
          <w:b/>
          <w:lang w:val="lv-LV"/>
        </w:rPr>
      </w:pPr>
      <w:r w:rsidRPr="00CE6CB4">
        <w:rPr>
          <w:b/>
          <w:lang w:val="lv-LV"/>
        </w:rPr>
        <w:t>B.  </w:t>
      </w:r>
      <w:r w:rsidR="00CD0B2D" w:rsidRPr="00CE6CB4">
        <w:rPr>
          <w:b/>
          <w:lang w:val="lv-LV"/>
        </w:rPr>
        <w:t xml:space="preserve">Iesniedzēja sūdzības Ieslodzījuma vietu pārvaldei par viņa </w:t>
      </w:r>
      <w:r w:rsidR="00221B22" w:rsidRPr="00CE6CB4">
        <w:rPr>
          <w:b/>
          <w:lang w:val="lv-LV"/>
        </w:rPr>
        <w:t xml:space="preserve">iespējami </w:t>
      </w:r>
      <w:r w:rsidR="00CD0B2D" w:rsidRPr="00CE6CB4">
        <w:rPr>
          <w:b/>
          <w:lang w:val="lv-LV"/>
        </w:rPr>
        <w:t>prettiesisk</w:t>
      </w:r>
      <w:r w:rsidR="00221B22" w:rsidRPr="00CE6CB4">
        <w:rPr>
          <w:b/>
          <w:lang w:val="lv-LV"/>
        </w:rPr>
        <w:t>o</w:t>
      </w:r>
      <w:r w:rsidR="00CD0B2D" w:rsidRPr="00CE6CB4">
        <w:rPr>
          <w:b/>
          <w:lang w:val="lv-LV"/>
        </w:rPr>
        <w:t xml:space="preserve"> </w:t>
      </w:r>
      <w:r w:rsidR="00872390" w:rsidRPr="00CE6CB4">
        <w:rPr>
          <w:b/>
          <w:lang w:val="lv-LV"/>
        </w:rPr>
        <w:t>pārvietošanu</w:t>
      </w:r>
      <w:r w:rsidR="00CD0B2D" w:rsidRPr="00CE6CB4">
        <w:rPr>
          <w:b/>
          <w:lang w:val="lv-LV"/>
        </w:rPr>
        <w:t xml:space="preserve"> uz Daugavpils cietumu</w:t>
      </w:r>
    </w:p>
    <w:p w:rsidR="00507A95" w:rsidRPr="00CE6CB4" w:rsidRDefault="00507A95" w:rsidP="00507A95">
      <w:pPr>
        <w:pStyle w:val="ECHRPara"/>
        <w:rPr>
          <w:b/>
          <w:lang w:val="lv-LV"/>
        </w:rPr>
      </w:pPr>
    </w:p>
    <w:p w:rsidR="00CD0B2D" w:rsidRPr="00CE6CB4" w:rsidRDefault="00507A95" w:rsidP="00507A95">
      <w:pPr>
        <w:pStyle w:val="ECHRPara"/>
        <w:rPr>
          <w:lang w:val="lv-LV"/>
        </w:rPr>
      </w:pPr>
      <w:r w:rsidRPr="00CE6CB4">
        <w:rPr>
          <w:lang w:val="lv-LV"/>
        </w:rPr>
        <w:t>1</w:t>
      </w:r>
      <w:r w:rsidR="00872390" w:rsidRPr="00CE6CB4">
        <w:rPr>
          <w:lang w:val="lv-LV"/>
        </w:rPr>
        <w:t>3</w:t>
      </w:r>
      <w:r w:rsidRPr="00CE6CB4">
        <w:rPr>
          <w:lang w:val="lv-LV"/>
        </w:rPr>
        <w:t xml:space="preserve">. </w:t>
      </w:r>
      <w:r w:rsidR="000A32F2" w:rsidRPr="00CE6CB4">
        <w:rPr>
          <w:lang w:val="lv-LV"/>
        </w:rPr>
        <w:t xml:space="preserve">Saskaņā ar iesniedzēja lietas materiāliem </w:t>
      </w:r>
      <w:r w:rsidRPr="00CE6CB4">
        <w:rPr>
          <w:lang w:val="lv-LV"/>
        </w:rPr>
        <w:t xml:space="preserve">administratīvajās tiesās viņš 2005. gada 27. septembrī izteica iebildumus Ieslodzījuma vietu </w:t>
      </w:r>
      <w:r w:rsidR="00221B22" w:rsidRPr="00CE6CB4">
        <w:rPr>
          <w:lang w:val="lv-LV"/>
        </w:rPr>
        <w:t>pārvaldei</w:t>
      </w:r>
      <w:r w:rsidRPr="00CE6CB4">
        <w:rPr>
          <w:lang w:val="lv-LV"/>
        </w:rPr>
        <w:t xml:space="preserve"> par </w:t>
      </w:r>
      <w:r w:rsidR="00872390" w:rsidRPr="00CE6CB4">
        <w:rPr>
          <w:lang w:val="lv-LV"/>
        </w:rPr>
        <w:t>pārvietošanu</w:t>
      </w:r>
      <w:r w:rsidRPr="00CE6CB4">
        <w:rPr>
          <w:lang w:val="lv-LV"/>
        </w:rPr>
        <w:t xml:space="preserve"> uz Daugavpils cietumu soda izciešanai stingrākā režīmā, taču Ieslodzījuma vietu </w:t>
      </w:r>
      <w:r w:rsidR="00221B22" w:rsidRPr="00CE6CB4">
        <w:rPr>
          <w:lang w:val="lv-LV"/>
        </w:rPr>
        <w:t>pārvalde</w:t>
      </w:r>
      <w:r w:rsidRPr="00CE6CB4">
        <w:rPr>
          <w:lang w:val="lv-LV"/>
        </w:rPr>
        <w:t xml:space="preserve"> 2005. gada 13. oktobrī noraidīja iebildumus, turklāt 2006. gada 21. aprīlī </w:t>
      </w:r>
      <w:r w:rsidR="00221B22" w:rsidRPr="00CE6CB4">
        <w:rPr>
          <w:lang w:val="lv-LV"/>
        </w:rPr>
        <w:t>pārvalde</w:t>
      </w:r>
      <w:r w:rsidRPr="00CE6CB4">
        <w:rPr>
          <w:lang w:val="lv-LV"/>
        </w:rPr>
        <w:t xml:space="preserve"> noraidīja arī t</w:t>
      </w:r>
      <w:r w:rsidR="00CA4F11">
        <w:rPr>
          <w:lang w:val="lv-LV"/>
        </w:rPr>
        <w:t>urpmāko sūdzību</w:t>
      </w:r>
      <w:r w:rsidRPr="00CE6CB4">
        <w:rPr>
          <w:lang w:val="lv-LV"/>
        </w:rPr>
        <w:t>.</w:t>
      </w:r>
    </w:p>
    <w:p w:rsidR="004C5920" w:rsidRPr="00CE6CB4" w:rsidRDefault="004C5920" w:rsidP="00507A95">
      <w:pPr>
        <w:pStyle w:val="ECHRPara"/>
        <w:rPr>
          <w:lang w:val="lv-LV"/>
        </w:rPr>
      </w:pPr>
    </w:p>
    <w:p w:rsidR="004C5920" w:rsidRPr="00CE6CB4" w:rsidRDefault="004C5920" w:rsidP="003069D1">
      <w:pPr>
        <w:pStyle w:val="ECHRPara"/>
        <w:rPr>
          <w:lang w:val="lv-LV"/>
        </w:rPr>
      </w:pPr>
      <w:bookmarkStart w:id="2" w:name="AppealtoPros1"/>
      <w:r w:rsidRPr="00CE6CB4">
        <w:rPr>
          <w:lang w:val="lv-LV"/>
        </w:rPr>
        <w:lastRenderedPageBreak/>
        <w:t xml:space="preserve">14. Saskaņā ar Valdības </w:t>
      </w:r>
      <w:r w:rsidR="00CA4F11">
        <w:rPr>
          <w:lang w:val="lv-LV"/>
        </w:rPr>
        <w:t>apsvērumiem</w:t>
      </w:r>
      <w:r w:rsidRPr="00CE6CB4">
        <w:rPr>
          <w:lang w:val="lv-LV"/>
        </w:rPr>
        <w:t>i 2005. gada 17. oktobrī iesniedzējs nosūtīja</w:t>
      </w:r>
      <w:r w:rsidR="00CA4F11">
        <w:rPr>
          <w:lang w:val="lv-LV"/>
        </w:rPr>
        <w:t xml:space="preserve"> sūdzību</w:t>
      </w:r>
      <w:r w:rsidRPr="00CE6CB4">
        <w:rPr>
          <w:lang w:val="lv-LV"/>
        </w:rPr>
        <w:t xml:space="preserve"> Ģenerālprokuratūrai, kas to tālāk </w:t>
      </w:r>
      <w:r w:rsidR="00CA4F11">
        <w:rPr>
          <w:lang w:val="lv-LV"/>
        </w:rPr>
        <w:t>pār</w:t>
      </w:r>
      <w:r w:rsidRPr="00CE6CB4">
        <w:rPr>
          <w:lang w:val="lv-LV"/>
        </w:rPr>
        <w:t>sūtīja Specializētajai vairāku nozaru prokuratūrai. P</w:t>
      </w:r>
      <w:r w:rsidR="00CA4F11">
        <w:rPr>
          <w:lang w:val="lv-LV"/>
        </w:rPr>
        <w:t>ēdējā</w:t>
      </w:r>
      <w:r w:rsidRPr="00CE6CB4">
        <w:rPr>
          <w:lang w:val="lv-LV"/>
        </w:rPr>
        <w:t xml:space="preserve"> to tālāk </w:t>
      </w:r>
      <w:r w:rsidR="00CA4F11">
        <w:rPr>
          <w:lang w:val="lv-LV"/>
        </w:rPr>
        <w:t>pār</w:t>
      </w:r>
      <w:r w:rsidRPr="00CE6CB4">
        <w:rPr>
          <w:lang w:val="lv-LV"/>
        </w:rPr>
        <w:t>sūtīja Ieslodzījuma vietu pārvald</w:t>
      </w:r>
      <w:r w:rsidR="00CA4F11">
        <w:rPr>
          <w:lang w:val="lv-LV"/>
        </w:rPr>
        <w:t>e</w:t>
      </w:r>
      <w:r w:rsidRPr="00CE6CB4">
        <w:rPr>
          <w:lang w:val="lv-LV"/>
        </w:rPr>
        <w:t>i.</w:t>
      </w:r>
    </w:p>
    <w:p w:rsidR="004C5920" w:rsidRPr="00CE6CB4" w:rsidRDefault="004C5920" w:rsidP="008D04BA">
      <w:pPr>
        <w:pStyle w:val="ECHRPara"/>
        <w:rPr>
          <w:lang w:val="lv-LV"/>
        </w:rPr>
      </w:pPr>
      <w:bookmarkStart w:id="3" w:name="PrisonsAdminReply"/>
      <w:bookmarkEnd w:id="2"/>
      <w:r w:rsidRPr="00CE6CB4">
        <w:rPr>
          <w:lang w:val="lv-LV"/>
        </w:rPr>
        <w:t xml:space="preserve">15. 2005. gada 20. decembrī Ieslodzījuma vietu pārvalde </w:t>
      </w:r>
      <w:r w:rsidR="00CA4F11" w:rsidRPr="00CE6CB4">
        <w:rPr>
          <w:lang w:val="lv-LV"/>
        </w:rPr>
        <w:t xml:space="preserve">iesniedzējam adresētā vēstulē </w:t>
      </w:r>
      <w:r w:rsidRPr="00CE6CB4">
        <w:rPr>
          <w:lang w:val="lv-LV"/>
        </w:rPr>
        <w:t xml:space="preserve">norādīja, ka viņa </w:t>
      </w:r>
      <w:r w:rsidR="00D935E3" w:rsidRPr="00CE6CB4">
        <w:rPr>
          <w:lang w:val="lv-LV"/>
        </w:rPr>
        <w:t>pārvietošana uz</w:t>
      </w:r>
      <w:r w:rsidRPr="00CE6CB4">
        <w:rPr>
          <w:lang w:val="lv-LV"/>
        </w:rPr>
        <w:t xml:space="preserve"> Daugavpils cietum</w:t>
      </w:r>
      <w:r w:rsidR="00D935E3" w:rsidRPr="00CE6CB4">
        <w:rPr>
          <w:lang w:val="lv-LV"/>
        </w:rPr>
        <w:t>u</w:t>
      </w:r>
      <w:r w:rsidRPr="00CE6CB4">
        <w:rPr>
          <w:lang w:val="lv-LV"/>
        </w:rPr>
        <w:t xml:space="preserve"> </w:t>
      </w:r>
      <w:r w:rsidR="00CA4F11">
        <w:rPr>
          <w:lang w:val="lv-LV"/>
        </w:rPr>
        <w:t xml:space="preserve">ir notikusi lēnās informācijas aprites </w:t>
      </w:r>
      <w:r w:rsidRPr="00CE6CB4">
        <w:rPr>
          <w:lang w:val="lv-LV"/>
        </w:rPr>
        <w:t xml:space="preserve">starp tiesām, cietumiem un Ieslodzījuma vietu pārvaldi </w:t>
      </w:r>
      <w:r w:rsidR="00CA4F11">
        <w:rPr>
          <w:lang w:val="lv-LV"/>
        </w:rPr>
        <w:t>rezultātā</w:t>
      </w:r>
      <w:r w:rsidRPr="00CE6CB4">
        <w:rPr>
          <w:lang w:val="lv-LV"/>
        </w:rPr>
        <w:t>.</w:t>
      </w:r>
    </w:p>
    <w:bookmarkEnd w:id="3"/>
    <w:p w:rsidR="004C5920" w:rsidRPr="00CE6CB4" w:rsidRDefault="008D04BA" w:rsidP="008D04BA">
      <w:pPr>
        <w:pStyle w:val="ECHRHeading2"/>
        <w:rPr>
          <w:lang w:val="lv-LV"/>
        </w:rPr>
      </w:pPr>
      <w:r w:rsidRPr="00CE6CB4">
        <w:rPr>
          <w:lang w:val="lv-LV"/>
        </w:rPr>
        <w:t>C.  </w:t>
      </w:r>
      <w:r w:rsidR="004C5920" w:rsidRPr="00CE6CB4">
        <w:rPr>
          <w:lang w:val="lv-LV"/>
        </w:rPr>
        <w:t xml:space="preserve">Administratīvā tiesvedība par iesniedzēja </w:t>
      </w:r>
      <w:r w:rsidR="005F6AD7" w:rsidRPr="00CE6CB4">
        <w:rPr>
          <w:lang w:val="lv-LV"/>
        </w:rPr>
        <w:t xml:space="preserve">iespējami </w:t>
      </w:r>
      <w:r w:rsidR="004C5920" w:rsidRPr="00CE6CB4">
        <w:rPr>
          <w:lang w:val="lv-LV"/>
        </w:rPr>
        <w:t xml:space="preserve">prettiesisku </w:t>
      </w:r>
      <w:r w:rsidR="005F6AD7" w:rsidRPr="00CE6CB4">
        <w:rPr>
          <w:lang w:val="lv-LV"/>
        </w:rPr>
        <w:t>pārvietošanu</w:t>
      </w:r>
      <w:r w:rsidR="004C5920" w:rsidRPr="00CE6CB4">
        <w:rPr>
          <w:lang w:val="lv-LV"/>
        </w:rPr>
        <w:t xml:space="preserve"> uz Daugavpils cietumu</w:t>
      </w:r>
    </w:p>
    <w:p w:rsidR="00B26536" w:rsidRPr="00CE6CB4" w:rsidRDefault="005913A0" w:rsidP="00985E44">
      <w:pPr>
        <w:pStyle w:val="ECHRPara"/>
        <w:rPr>
          <w:lang w:val="lv-LV"/>
        </w:rPr>
      </w:pPr>
      <w:r w:rsidRPr="00CE6CB4">
        <w:rPr>
          <w:lang w:val="lv-LV"/>
        </w:rPr>
        <w:fldChar w:fldCharType="begin"/>
      </w:r>
      <w:r w:rsidRPr="00CE6CB4">
        <w:rPr>
          <w:lang w:val="lv-LV"/>
        </w:rPr>
        <w:instrText xml:space="preserve"> SEQ level0 \*arabic </w:instrText>
      </w:r>
      <w:r w:rsidRPr="00CE6CB4">
        <w:rPr>
          <w:lang w:val="lv-LV"/>
        </w:rPr>
        <w:fldChar w:fldCharType="separate"/>
      </w:r>
      <w:r w:rsidR="006260D9" w:rsidRPr="00CE6CB4">
        <w:rPr>
          <w:noProof/>
          <w:lang w:val="lv-LV"/>
        </w:rPr>
        <w:t>16</w:t>
      </w:r>
      <w:r w:rsidRPr="00CE6CB4">
        <w:rPr>
          <w:lang w:val="lv-LV"/>
        </w:rPr>
        <w:fldChar w:fldCharType="end"/>
      </w:r>
      <w:r w:rsidR="00147DEB" w:rsidRPr="00CE6CB4">
        <w:rPr>
          <w:lang w:val="lv-LV"/>
        </w:rPr>
        <w:t>.  </w:t>
      </w:r>
      <w:r w:rsidR="00B26536" w:rsidRPr="00CE6CB4">
        <w:rPr>
          <w:lang w:val="lv-LV"/>
        </w:rPr>
        <w:t xml:space="preserve">2005. gada 26. oktobrī iesniedzējs iesniedza sūdzību Administratīvajā rajona tiesā par to, ka Ieslodzījuma vietu pārvaldes prettiesisku darbību rezultātā viņš </w:t>
      </w:r>
      <w:r w:rsidR="00D935E3" w:rsidRPr="00CE6CB4">
        <w:rPr>
          <w:lang w:val="lv-LV"/>
        </w:rPr>
        <w:t>pārvietots</w:t>
      </w:r>
      <w:r w:rsidR="00B26536" w:rsidRPr="00CE6CB4">
        <w:rPr>
          <w:lang w:val="lv-LV"/>
        </w:rPr>
        <w:t xml:space="preserve"> uz cietumu, kurā nav varējis izciest sodu atbilstoši viņam </w:t>
      </w:r>
      <w:r w:rsidR="00D935E3" w:rsidRPr="00CE6CB4">
        <w:rPr>
          <w:lang w:val="lv-LV"/>
        </w:rPr>
        <w:t>piemērojamai režīma pakāpei</w:t>
      </w:r>
      <w:r w:rsidR="00B26536" w:rsidRPr="00CE6CB4">
        <w:rPr>
          <w:lang w:val="lv-LV"/>
        </w:rPr>
        <w:t>.</w:t>
      </w:r>
    </w:p>
    <w:p w:rsidR="00B26536" w:rsidRPr="00CE6CB4" w:rsidRDefault="00B26536" w:rsidP="00985E44">
      <w:pPr>
        <w:pStyle w:val="ECHRPara"/>
        <w:rPr>
          <w:lang w:val="lv-LV"/>
        </w:rPr>
      </w:pPr>
      <w:r w:rsidRPr="00CE6CB4">
        <w:rPr>
          <w:lang w:val="lv-LV"/>
        </w:rPr>
        <w:t>17. Pirms administratīvās tiesvedības ierosināšanas Administratīvā rajona tiesa aicināja iesniedzēju ievērot atbilstoš</w:t>
      </w:r>
      <w:r w:rsidR="00EE2372">
        <w:rPr>
          <w:lang w:val="lv-LV"/>
        </w:rPr>
        <w:t>o</w:t>
      </w:r>
      <w:r w:rsidRPr="00CE6CB4">
        <w:rPr>
          <w:lang w:val="lv-LV"/>
        </w:rPr>
        <w:t xml:space="preserve"> ārpustiesas kārtību, pārsūdzot Ieslodzījuma vietu </w:t>
      </w:r>
      <w:r w:rsidR="007D50CC" w:rsidRPr="00CE6CB4">
        <w:rPr>
          <w:lang w:val="lv-LV"/>
        </w:rPr>
        <w:t>pārvaldes</w:t>
      </w:r>
      <w:r w:rsidRPr="00CE6CB4">
        <w:rPr>
          <w:lang w:val="lv-LV"/>
        </w:rPr>
        <w:t xml:space="preserve"> </w:t>
      </w:r>
      <w:r w:rsidR="00EE2372" w:rsidRPr="00CE6CB4">
        <w:rPr>
          <w:lang w:val="lv-LV"/>
        </w:rPr>
        <w:t>n</w:t>
      </w:r>
      <w:r w:rsidR="00EE2372">
        <w:rPr>
          <w:lang w:val="lv-LV"/>
        </w:rPr>
        <w:t>elabvēlīgo</w:t>
      </w:r>
      <w:r w:rsidR="00EE2372" w:rsidRPr="00CE6CB4">
        <w:rPr>
          <w:lang w:val="lv-LV"/>
        </w:rPr>
        <w:t xml:space="preserve"> </w:t>
      </w:r>
      <w:r w:rsidRPr="00CE6CB4">
        <w:rPr>
          <w:lang w:val="lv-LV"/>
        </w:rPr>
        <w:t>lēmumu. Iesniedzējs to izdarīja 2006. gada martā (skatīt iepriekš 13. rindkopu).</w:t>
      </w:r>
    </w:p>
    <w:p w:rsidR="00B26536" w:rsidRPr="00CE6CB4" w:rsidRDefault="00B26536" w:rsidP="00985E44">
      <w:pPr>
        <w:pStyle w:val="ECHRPara"/>
        <w:rPr>
          <w:lang w:val="lv-LV"/>
        </w:rPr>
      </w:pPr>
      <w:bookmarkStart w:id="4" w:name="AdmLowerCour"/>
      <w:r w:rsidRPr="00CE6CB4">
        <w:rPr>
          <w:lang w:val="lv-LV"/>
        </w:rPr>
        <w:t>18. Pēc vairākiem procesuāliem lēmumiem Administratīvā rajona tiesa</w:t>
      </w:r>
      <w:r w:rsidR="00180884" w:rsidRPr="00CE6CB4">
        <w:rPr>
          <w:lang w:val="lv-LV"/>
        </w:rPr>
        <w:t xml:space="preserve"> 2007. gada 6. novembrī</w:t>
      </w:r>
      <w:r w:rsidRPr="00CE6CB4">
        <w:rPr>
          <w:lang w:val="lv-LV"/>
        </w:rPr>
        <w:t xml:space="preserve"> atzina, ka iesniedzējs </w:t>
      </w:r>
      <w:r w:rsidR="00D935E3" w:rsidRPr="00CE6CB4">
        <w:rPr>
          <w:lang w:val="lv-LV"/>
        </w:rPr>
        <w:t>pārvietots</w:t>
      </w:r>
      <w:r w:rsidRPr="00CE6CB4">
        <w:rPr>
          <w:lang w:val="lv-LV"/>
        </w:rPr>
        <w:t xml:space="preserve"> uz Daugavpils cietumu soda izciešanai stingrākā režīmā bez jebkāda tiesiska pamatojuma un piešķīra viņam 100 Latvijas latu (LVL – 150 eiro (EUR)</w:t>
      </w:r>
      <w:r w:rsidR="00D935E3" w:rsidRPr="00CE6CB4">
        <w:rPr>
          <w:lang w:val="lv-LV"/>
        </w:rPr>
        <w:t>)</w:t>
      </w:r>
      <w:r w:rsidRPr="00CE6CB4">
        <w:rPr>
          <w:lang w:val="lv-LV"/>
        </w:rPr>
        <w:t xml:space="preserve"> kompensāciju par </w:t>
      </w:r>
      <w:r w:rsidR="00D935E3" w:rsidRPr="00CE6CB4">
        <w:rPr>
          <w:lang w:val="lv-LV"/>
        </w:rPr>
        <w:t xml:space="preserve">nodarīto </w:t>
      </w:r>
      <w:r w:rsidRPr="00CE6CB4">
        <w:rPr>
          <w:lang w:val="lv-LV"/>
        </w:rPr>
        <w:t xml:space="preserve">morālo kaitējumu. </w:t>
      </w:r>
      <w:r w:rsidR="00147059" w:rsidRPr="00CE6CB4">
        <w:rPr>
          <w:lang w:val="lv-LV"/>
        </w:rPr>
        <w:t xml:space="preserve">Lēmums bija balstīts uz salīdzinājumu starp tiesībām, kuras iesniedzējam pienācās </w:t>
      </w:r>
      <w:r w:rsidR="00D935E3" w:rsidRPr="00CE6CB4">
        <w:rPr>
          <w:lang w:val="lv-LV"/>
        </w:rPr>
        <w:t>soda izciešanas režīma vidējā pakāpē,</w:t>
      </w:r>
      <w:r w:rsidR="00147059" w:rsidRPr="00CE6CB4">
        <w:rPr>
          <w:lang w:val="lv-LV"/>
        </w:rPr>
        <w:t xml:space="preserve"> un tām</w:t>
      </w:r>
      <w:r w:rsidR="00D935E3" w:rsidRPr="00CE6CB4">
        <w:rPr>
          <w:lang w:val="lv-LV"/>
        </w:rPr>
        <w:t xml:space="preserve"> tiesībām</w:t>
      </w:r>
      <w:r w:rsidR="00147059" w:rsidRPr="00CE6CB4">
        <w:rPr>
          <w:lang w:val="lv-LV"/>
        </w:rPr>
        <w:t xml:space="preserve">, kuras viņam īstenībā bija pieejamas pēc prettiesiskās </w:t>
      </w:r>
      <w:r w:rsidR="00D935E3" w:rsidRPr="00CE6CB4">
        <w:rPr>
          <w:lang w:val="lv-LV"/>
        </w:rPr>
        <w:t>pārvietošanas</w:t>
      </w:r>
      <w:r w:rsidR="00147059" w:rsidRPr="00CE6CB4">
        <w:rPr>
          <w:lang w:val="lv-LV"/>
        </w:rPr>
        <w:t xml:space="preserve"> uz stingrākiem ieslodzījuma apstākļiem. Tiesa ņēma vērā arī Daugavpils cietuma vadības rīcību un laiku, ko iesniedzējs bija tur pavadījis.</w:t>
      </w:r>
    </w:p>
    <w:p w:rsidR="00604524" w:rsidRPr="00CE6CB4" w:rsidRDefault="00604524" w:rsidP="00985E44">
      <w:pPr>
        <w:pStyle w:val="ECHRPara"/>
        <w:rPr>
          <w:lang w:val="lv-LV"/>
        </w:rPr>
      </w:pPr>
      <w:bookmarkStart w:id="5" w:name="AdmRegCourt"/>
      <w:bookmarkEnd w:id="4"/>
      <w:r w:rsidRPr="00CE6CB4">
        <w:rPr>
          <w:lang w:val="lv-LV"/>
        </w:rPr>
        <w:t xml:space="preserve">19. </w:t>
      </w:r>
      <w:r w:rsidR="00337E6E" w:rsidRPr="00CE6CB4">
        <w:rPr>
          <w:lang w:val="lv-LV"/>
        </w:rPr>
        <w:t>Administratīvā apgabaltiesa, izanalizējusi, vai iesniedzēja pārvešana uz stingrāku režīm</w:t>
      </w:r>
      <w:r w:rsidR="00D935E3" w:rsidRPr="00CE6CB4">
        <w:rPr>
          <w:lang w:val="lv-LV"/>
        </w:rPr>
        <w:t>a pakāpi</w:t>
      </w:r>
      <w:r w:rsidR="00337E6E" w:rsidRPr="00CE6CB4">
        <w:rPr>
          <w:lang w:val="lv-LV"/>
        </w:rPr>
        <w:t xml:space="preserve"> ir radījusi ievērojamu viņa tiesību pārkāpumu atbilstoši Konvencijas 3. pantam, daļēji apmierināja šo lēmumu. Tiesa atzina, ka </w:t>
      </w:r>
      <w:r w:rsidR="00D935E3" w:rsidRPr="00CE6CB4">
        <w:rPr>
          <w:lang w:val="lv-LV"/>
        </w:rPr>
        <w:t>pārvietošanas</w:t>
      </w:r>
      <w:r w:rsidR="00337E6E" w:rsidRPr="00CE6CB4">
        <w:rPr>
          <w:lang w:val="lv-LV"/>
        </w:rPr>
        <w:t xml:space="preserve"> rezultātā varas iestādes izpildī</w:t>
      </w:r>
      <w:r w:rsidR="00180884" w:rsidRPr="00CE6CB4">
        <w:rPr>
          <w:lang w:val="lv-LV"/>
        </w:rPr>
        <w:t>jušas</w:t>
      </w:r>
      <w:r w:rsidR="00337E6E" w:rsidRPr="00CE6CB4">
        <w:rPr>
          <w:lang w:val="lv-LV"/>
        </w:rPr>
        <w:t xml:space="preserve"> lēmumu, kuru nacionālās tiesas jau bija atcēlušas. Līdz ar to viņš </w:t>
      </w:r>
      <w:r w:rsidR="00D935E3" w:rsidRPr="00CE6CB4">
        <w:rPr>
          <w:lang w:val="lv-LV"/>
        </w:rPr>
        <w:t xml:space="preserve">bija prettiesiski spiests </w:t>
      </w:r>
      <w:r w:rsidR="00337E6E" w:rsidRPr="00CE6CB4">
        <w:rPr>
          <w:lang w:val="lv-LV"/>
        </w:rPr>
        <w:t xml:space="preserve">astoņpadsmit dienas izciest piespriesto sodu režīmā, kurā viņš visu dienu </w:t>
      </w:r>
      <w:r w:rsidR="00D935E3" w:rsidRPr="00CE6CB4">
        <w:rPr>
          <w:lang w:val="lv-LV"/>
        </w:rPr>
        <w:t>bija</w:t>
      </w:r>
      <w:r w:rsidR="00337E6E" w:rsidRPr="00CE6CB4">
        <w:rPr>
          <w:lang w:val="lv-LV"/>
        </w:rPr>
        <w:t xml:space="preserve"> ieslēgts cietuma kamerā</w:t>
      </w:r>
      <w:r w:rsidR="00EE2372">
        <w:rPr>
          <w:lang w:val="lv-LV"/>
        </w:rPr>
        <w:t xml:space="preserve"> kopā ar citiem ieslodzītajiem</w:t>
      </w:r>
      <w:r w:rsidR="00337E6E" w:rsidRPr="00CE6CB4">
        <w:rPr>
          <w:lang w:val="lv-LV"/>
        </w:rPr>
        <w:t xml:space="preserve">. </w:t>
      </w:r>
      <w:r w:rsidR="00EE2372">
        <w:rPr>
          <w:lang w:val="lv-LV"/>
        </w:rPr>
        <w:t>Tiesas ieskatā</w:t>
      </w:r>
      <w:r w:rsidR="00337E6E" w:rsidRPr="00CE6CB4">
        <w:rPr>
          <w:lang w:val="lv-LV"/>
        </w:rPr>
        <w:t xml:space="preserve"> šos apstākļus pasliktināja tas, ka gan iesniedzējs, gan varas iestādes apzinājās, ka viņa </w:t>
      </w:r>
      <w:r w:rsidR="00D935E3" w:rsidRPr="00CE6CB4">
        <w:rPr>
          <w:lang w:val="lv-LV"/>
        </w:rPr>
        <w:t>pārvietošana</w:t>
      </w:r>
      <w:r w:rsidR="00337E6E" w:rsidRPr="00CE6CB4">
        <w:rPr>
          <w:lang w:val="lv-LV"/>
        </w:rPr>
        <w:t xml:space="preserve"> ir prettiesiska. Tiesa uzskatīja, ka </w:t>
      </w:r>
      <w:r w:rsidR="00D935E3" w:rsidRPr="00CE6CB4">
        <w:rPr>
          <w:lang w:val="lv-LV"/>
        </w:rPr>
        <w:t>iesniedzēja</w:t>
      </w:r>
      <w:r w:rsidR="00337E6E" w:rsidRPr="00CE6CB4">
        <w:rPr>
          <w:lang w:val="lv-LV"/>
        </w:rPr>
        <w:t xml:space="preserve"> tiesības ir </w:t>
      </w:r>
      <w:r w:rsidR="00EE2372">
        <w:rPr>
          <w:lang w:val="lv-LV"/>
        </w:rPr>
        <w:t>būtiski</w:t>
      </w:r>
      <w:r w:rsidR="00EE2372" w:rsidRPr="00CE6CB4">
        <w:rPr>
          <w:lang w:val="lv-LV"/>
        </w:rPr>
        <w:t xml:space="preserve"> </w:t>
      </w:r>
      <w:r w:rsidR="00337E6E" w:rsidRPr="00CE6CB4">
        <w:rPr>
          <w:lang w:val="lv-LV"/>
        </w:rPr>
        <w:t>pārkāptas</w:t>
      </w:r>
      <w:r w:rsidR="00EF35E7">
        <w:rPr>
          <w:lang w:val="lv-LV"/>
        </w:rPr>
        <w:t>,</w:t>
      </w:r>
      <w:r w:rsidR="00337E6E" w:rsidRPr="00CE6CB4">
        <w:rPr>
          <w:lang w:val="lv-LV"/>
        </w:rPr>
        <w:t xml:space="preserve"> un piešķīra viņam kompensāciju LVL 300 (EUR 450) apmērā par </w:t>
      </w:r>
      <w:r w:rsidR="00D935E3" w:rsidRPr="00CE6CB4">
        <w:rPr>
          <w:lang w:val="lv-LV"/>
        </w:rPr>
        <w:t>nodarīto morālo kaitējumu</w:t>
      </w:r>
      <w:r w:rsidR="00337E6E" w:rsidRPr="00CE6CB4">
        <w:rPr>
          <w:lang w:val="lv-LV"/>
        </w:rPr>
        <w:t>.</w:t>
      </w:r>
      <w:r w:rsidR="00D935E3" w:rsidRPr="00CE6CB4">
        <w:rPr>
          <w:lang w:val="lv-LV"/>
        </w:rPr>
        <w:t xml:space="preserve"> </w:t>
      </w:r>
    </w:p>
    <w:bookmarkEnd w:id="5"/>
    <w:p w:rsidR="00337E6E" w:rsidRPr="00CE6CB4" w:rsidRDefault="00337E6E" w:rsidP="00803030">
      <w:pPr>
        <w:pStyle w:val="ECHRPara"/>
        <w:rPr>
          <w:lang w:val="lv-LV"/>
        </w:rPr>
      </w:pPr>
      <w:r w:rsidRPr="00CE6CB4">
        <w:rPr>
          <w:lang w:val="lv-LV"/>
        </w:rPr>
        <w:t xml:space="preserve">20. Pēc Ieslodzījuma vietu </w:t>
      </w:r>
      <w:r w:rsidR="007D50CC" w:rsidRPr="00CE6CB4">
        <w:rPr>
          <w:lang w:val="lv-LV"/>
        </w:rPr>
        <w:t>pārvaldes</w:t>
      </w:r>
      <w:r w:rsidRPr="00CE6CB4">
        <w:rPr>
          <w:lang w:val="lv-LV"/>
        </w:rPr>
        <w:t xml:space="preserve"> apelācijas sūdzības 2009. gada 16. septembrī Augstākās tiesas Senāts atcēla apelācijas instances tiesas lēmumu un pārtrauca administratīvo tiesvedību, jo </w:t>
      </w:r>
      <w:r w:rsidR="00D935E3" w:rsidRPr="00CE6CB4">
        <w:rPr>
          <w:lang w:val="lv-LV"/>
        </w:rPr>
        <w:t>tādu</w:t>
      </w:r>
      <w:r w:rsidRPr="00CE6CB4">
        <w:rPr>
          <w:lang w:val="lv-LV"/>
        </w:rPr>
        <w:t xml:space="preserve"> lēmumu izvērtēšana, kas </w:t>
      </w:r>
      <w:r w:rsidRPr="00CE6CB4">
        <w:rPr>
          <w:lang w:val="lv-LV"/>
        </w:rPr>
        <w:lastRenderedPageBreak/>
        <w:t xml:space="preserve">pieņemti </w:t>
      </w:r>
      <w:r w:rsidR="00EE2372">
        <w:rPr>
          <w:lang w:val="lv-LV"/>
        </w:rPr>
        <w:t>brīvības atņemšanas</w:t>
      </w:r>
      <w:r w:rsidR="00EE2372" w:rsidRPr="00CE6CB4">
        <w:rPr>
          <w:lang w:val="lv-LV"/>
        </w:rPr>
        <w:t xml:space="preserve"> </w:t>
      </w:r>
      <w:r w:rsidRPr="00CE6CB4">
        <w:rPr>
          <w:lang w:val="lv-LV"/>
        </w:rPr>
        <w:t xml:space="preserve">soda izciešanas laikā, </w:t>
      </w:r>
      <w:r w:rsidR="00FB23E2" w:rsidRPr="00CE6CB4">
        <w:rPr>
          <w:lang w:val="lv-LV"/>
        </w:rPr>
        <w:t xml:space="preserve">nav piekritīga administratīvajām tiesām. Senāts arī atsaucās uz Prokuratūras likuma 16. pantu par kriminālizmeklēšanas iestāžu tiesībām ierosināt izmeklēšanu </w:t>
      </w:r>
      <w:r w:rsidR="00D935E3" w:rsidRPr="00CE6CB4">
        <w:rPr>
          <w:lang w:val="lv-LV"/>
        </w:rPr>
        <w:t>saistībā ar</w:t>
      </w:r>
      <w:r w:rsidR="00FB23E2" w:rsidRPr="00CE6CB4">
        <w:rPr>
          <w:lang w:val="lv-LV"/>
        </w:rPr>
        <w:t xml:space="preserve"> ieslodzītās personas tiesību pārkāpumu. Šajā sakarā Senāts norādīja, ka iesniedzējs ir iesniedzis Ģenerālprokuratūrā sūdzību par viņa </w:t>
      </w:r>
      <w:r w:rsidR="00D935E3" w:rsidRPr="00CE6CB4">
        <w:rPr>
          <w:lang w:val="lv-LV"/>
        </w:rPr>
        <w:t>pārvietošanu</w:t>
      </w:r>
      <w:r w:rsidR="00FB23E2" w:rsidRPr="00CE6CB4">
        <w:rPr>
          <w:lang w:val="lv-LV"/>
        </w:rPr>
        <w:t>.</w:t>
      </w:r>
    </w:p>
    <w:p w:rsidR="00FB23E2" w:rsidRPr="00CE6CB4" w:rsidRDefault="00FB23E2" w:rsidP="00803030">
      <w:pPr>
        <w:pStyle w:val="ECHRPara"/>
        <w:rPr>
          <w:lang w:val="lv-LV"/>
        </w:rPr>
      </w:pPr>
      <w:r w:rsidRPr="00CE6CB4">
        <w:rPr>
          <w:lang w:val="lv-LV"/>
        </w:rPr>
        <w:t>21. 2010. gada 14. jūlijā iesniedzējs tika atbrīvots no ieslodzījuma vietas pēc pilnīgas soda izciešanas.</w:t>
      </w:r>
    </w:p>
    <w:p w:rsidR="00FB23E2" w:rsidRPr="00CE6CB4" w:rsidRDefault="00FB23E2" w:rsidP="0069550C">
      <w:pPr>
        <w:pStyle w:val="ECHRPara"/>
        <w:rPr>
          <w:lang w:val="lv-LV"/>
        </w:rPr>
      </w:pPr>
      <w:r w:rsidRPr="00CE6CB4">
        <w:rPr>
          <w:lang w:val="lv-LV"/>
        </w:rPr>
        <w:t>22. 2013. gada 15. martā Ieslodzījuma viet</w:t>
      </w:r>
      <w:r w:rsidR="00D1326A">
        <w:rPr>
          <w:lang w:val="lv-LV"/>
        </w:rPr>
        <w:t>u</w:t>
      </w:r>
      <w:r w:rsidRPr="00CE6CB4">
        <w:rPr>
          <w:lang w:val="lv-LV"/>
        </w:rPr>
        <w:t xml:space="preserve"> pārvalde iznīcināja iesniedzēja lietas materiālus, jo bija beidzies ar likumu noteiktais arhivēšanas periods.</w:t>
      </w:r>
    </w:p>
    <w:p w:rsidR="00014566" w:rsidRPr="00CE6CB4" w:rsidRDefault="00AA20AE" w:rsidP="00014566">
      <w:pPr>
        <w:pStyle w:val="ECHRHeading1"/>
        <w:rPr>
          <w:lang w:val="lv-LV"/>
        </w:rPr>
      </w:pPr>
      <w:r w:rsidRPr="00CE6CB4">
        <w:rPr>
          <w:lang w:val="lv-LV"/>
        </w:rPr>
        <w:t>II PIEMĒROJAMIE NACIONĀLIE TIESĪBU AKTI</w:t>
      </w:r>
    </w:p>
    <w:p w:rsidR="00AA20AE" w:rsidRPr="00CE6CB4" w:rsidRDefault="00CE1578" w:rsidP="00817B8D">
      <w:pPr>
        <w:pStyle w:val="ECHRHeading2"/>
        <w:rPr>
          <w:lang w:val="lv-LV"/>
        </w:rPr>
      </w:pPr>
      <w:r w:rsidRPr="00CE6CB4">
        <w:rPr>
          <w:lang w:val="lv-LV"/>
        </w:rPr>
        <w:t>A.  </w:t>
      </w:r>
      <w:r w:rsidR="00AA20AE" w:rsidRPr="00CE6CB4">
        <w:rPr>
          <w:lang w:val="lv-LV"/>
        </w:rPr>
        <w:t>Piemērojam</w:t>
      </w:r>
      <w:r w:rsidR="00CE2851">
        <w:rPr>
          <w:lang w:val="lv-LV"/>
        </w:rPr>
        <w:t>ās</w:t>
      </w:r>
      <w:r w:rsidR="00AA20AE" w:rsidRPr="00CE6CB4">
        <w:rPr>
          <w:lang w:val="lv-LV"/>
        </w:rPr>
        <w:t xml:space="preserve"> Latvijas Sodu izpildes kodeksa no</w:t>
      </w:r>
      <w:r w:rsidR="00CE2851">
        <w:rPr>
          <w:lang w:val="lv-LV"/>
        </w:rPr>
        <w:t>rmas</w:t>
      </w:r>
      <w:r w:rsidR="00AA20AE" w:rsidRPr="00CE6CB4">
        <w:rPr>
          <w:lang w:val="lv-LV"/>
        </w:rPr>
        <w:t xml:space="preserve">, kas bija spēkā </w:t>
      </w:r>
      <w:r w:rsidR="00EE2372">
        <w:rPr>
          <w:lang w:val="lv-LV"/>
        </w:rPr>
        <w:t>attiecīgajā</w:t>
      </w:r>
      <w:r w:rsidR="00EE2372" w:rsidRPr="00CE6CB4">
        <w:rPr>
          <w:lang w:val="lv-LV"/>
        </w:rPr>
        <w:t xml:space="preserve"> </w:t>
      </w:r>
      <w:r w:rsidR="00AA20AE" w:rsidRPr="00CE6CB4">
        <w:rPr>
          <w:lang w:val="lv-LV"/>
        </w:rPr>
        <w:t>laikā</w:t>
      </w:r>
    </w:p>
    <w:bookmarkStart w:id="6" w:name="DomesticLaw1"/>
    <w:p w:rsidR="00AA20AE" w:rsidRPr="00CE6CB4" w:rsidRDefault="009F4241" w:rsidP="009F4241">
      <w:pPr>
        <w:pStyle w:val="ECHRPara"/>
        <w:rPr>
          <w:lang w:val="lv-LV"/>
        </w:rPr>
      </w:pPr>
      <w:r w:rsidRPr="00CE6CB4">
        <w:rPr>
          <w:lang w:val="lv-LV"/>
        </w:rPr>
        <w:fldChar w:fldCharType="begin"/>
      </w:r>
      <w:r w:rsidRPr="00CE6CB4">
        <w:rPr>
          <w:lang w:val="lv-LV"/>
        </w:rPr>
        <w:instrText xml:space="preserve"> SEQ level0 \*arabic </w:instrText>
      </w:r>
      <w:r w:rsidRPr="00CE6CB4">
        <w:rPr>
          <w:lang w:val="lv-LV"/>
        </w:rPr>
        <w:fldChar w:fldCharType="separate"/>
      </w:r>
      <w:r w:rsidR="006260D9" w:rsidRPr="00CE6CB4">
        <w:rPr>
          <w:noProof/>
          <w:lang w:val="lv-LV"/>
        </w:rPr>
        <w:t>23</w:t>
      </w:r>
      <w:r w:rsidRPr="00CE6CB4">
        <w:rPr>
          <w:lang w:val="lv-LV"/>
        </w:rPr>
        <w:fldChar w:fldCharType="end"/>
      </w:r>
      <w:bookmarkEnd w:id="6"/>
      <w:r w:rsidRPr="00CE6CB4">
        <w:rPr>
          <w:lang w:val="lv-LV"/>
        </w:rPr>
        <w:t>.  </w:t>
      </w:r>
      <w:r w:rsidR="00AA20AE" w:rsidRPr="00CE6CB4">
        <w:rPr>
          <w:lang w:val="lv-LV"/>
        </w:rPr>
        <w:t>Kodeksa 50.</w:t>
      </w:r>
      <w:r w:rsidR="00AA20AE" w:rsidRPr="00CE6CB4">
        <w:rPr>
          <w:vertAlign w:val="superscript"/>
          <w:lang w:val="lv-LV"/>
        </w:rPr>
        <w:t>4</w:t>
      </w:r>
      <w:r w:rsidR="00AA20AE" w:rsidRPr="00CE6CB4">
        <w:rPr>
          <w:lang w:val="lv-LV"/>
        </w:rPr>
        <w:t xml:space="preserve"> pants (Soda izpildes režīms slēgtajos cietumos) notikušā laikā </w:t>
      </w:r>
      <w:r w:rsidR="00352526" w:rsidRPr="00CE6CB4">
        <w:rPr>
          <w:lang w:val="lv-LV"/>
        </w:rPr>
        <w:t>bija izteikts šādā redakcijā</w:t>
      </w:r>
      <w:r w:rsidR="00AA20AE" w:rsidRPr="00CE6CB4">
        <w:rPr>
          <w:lang w:val="lv-LV"/>
        </w:rPr>
        <w:t>:</w:t>
      </w:r>
    </w:p>
    <w:p w:rsidR="00AA20AE" w:rsidRPr="00CE6CB4" w:rsidRDefault="00AA20AE" w:rsidP="009F4241">
      <w:pPr>
        <w:pStyle w:val="ECHRPara"/>
        <w:rPr>
          <w:lang w:val="lv-LV"/>
        </w:rPr>
      </w:pPr>
    </w:p>
    <w:p w:rsidR="00AA20AE" w:rsidRPr="00CE6CB4" w:rsidRDefault="009F4241" w:rsidP="00BE7094">
      <w:pPr>
        <w:pStyle w:val="JuQuotSub"/>
        <w:rPr>
          <w:lang w:val="lv-LV"/>
        </w:rPr>
      </w:pPr>
      <w:r w:rsidRPr="00CE6CB4">
        <w:rPr>
          <w:lang w:val="lv-LV"/>
        </w:rPr>
        <w:t>“</w:t>
      </w:r>
      <w:r w:rsidR="00AA20AE" w:rsidRPr="00CE6CB4">
        <w:rPr>
          <w:lang w:val="lv-LV"/>
        </w:rPr>
        <w:t xml:space="preserve">Slēgtajā cietumā sodu izcieš </w:t>
      </w:r>
      <w:r w:rsidR="009151F6" w:rsidRPr="00CE6CB4">
        <w:rPr>
          <w:lang w:val="lv-LV"/>
        </w:rPr>
        <w:t xml:space="preserve">[..] </w:t>
      </w:r>
      <w:r w:rsidR="00AA20AE" w:rsidRPr="00CE6CB4">
        <w:rPr>
          <w:lang w:val="lv-LV"/>
        </w:rPr>
        <w:t>ar brīvības atņemšanu notiesātie vīrieši par smaga vai sevišķi smaga nozieguma izdarīšanu.</w:t>
      </w:r>
    </w:p>
    <w:p w:rsidR="00AA20AE" w:rsidRPr="00CE6CB4" w:rsidRDefault="00AA20AE" w:rsidP="00BE7094">
      <w:pPr>
        <w:pStyle w:val="JuQuotSub"/>
        <w:rPr>
          <w:lang w:val="lv-LV"/>
        </w:rPr>
      </w:pPr>
      <w:r w:rsidRPr="00CE6CB4">
        <w:rPr>
          <w:lang w:val="lv-LV"/>
        </w:rPr>
        <w:t>Slēgtajos cietumos tiek nodrošināta notiesāto pastiprināta apsardze un maksimāla uzraudzība.</w:t>
      </w:r>
    </w:p>
    <w:p w:rsidR="00AA20AE" w:rsidRPr="00CE6CB4" w:rsidRDefault="00AA20AE" w:rsidP="0050505A">
      <w:pPr>
        <w:pStyle w:val="JuQuotSub"/>
        <w:rPr>
          <w:lang w:val="lv-LV"/>
        </w:rPr>
      </w:pPr>
      <w:r w:rsidRPr="00CE6CB4">
        <w:rPr>
          <w:lang w:val="lv-LV"/>
        </w:rPr>
        <w:t>[</w:t>
      </w:r>
      <w:r w:rsidR="0050505A" w:rsidRPr="00CE6CB4">
        <w:rPr>
          <w:lang w:val="lv-LV"/>
        </w:rPr>
        <w:t>Notiesātajiem</w:t>
      </w:r>
      <w:r w:rsidRPr="00CE6CB4">
        <w:rPr>
          <w:lang w:val="lv-LV"/>
        </w:rPr>
        <w:t xml:space="preserve"> ar brīvības atņemšanu uz visu mūžu un person</w:t>
      </w:r>
      <w:r w:rsidR="0050505A" w:rsidRPr="00CE6CB4">
        <w:rPr>
          <w:lang w:val="lv-LV"/>
        </w:rPr>
        <w:t>ām</w:t>
      </w:r>
      <w:r w:rsidRPr="00CE6CB4">
        <w:rPr>
          <w:lang w:val="lv-LV"/>
        </w:rPr>
        <w:t xml:space="preserve">, kurām nāves sods aizstāts ar brīvības atņemšanu,] </w:t>
      </w:r>
      <w:r w:rsidR="0050505A" w:rsidRPr="00CE6CB4">
        <w:rPr>
          <w:lang w:val="lv-LV"/>
        </w:rPr>
        <w:t>slēgtā cietuma soda izciešanas režīma zemākajā pakāpē jāizcieš ne mazāk kā pieci gadi, soda izciešanas režīma vidējā pakāpē – ne mazāk kā desmit gadi, bet pārējā soda daļa – soda izciešanas režīma augstākajā pakāpē. Viņi izvietojami atsevišķā cietuma blokā ar pastiprinātu apsardzi, nepieļaujot kontaktus ar pārējiem ieslodzītajiem. Notiesātos, kas izcieš sodu slēgtajos cietumos zemākajā režīma pakāpē, var izvietot vienieslodzījuma kamerās uz laiku līdz sešiem mēnešiem.</w:t>
      </w:r>
    </w:p>
    <w:p w:rsidR="0050505A" w:rsidRPr="00CE6CB4" w:rsidRDefault="009151F6" w:rsidP="0050505A">
      <w:pPr>
        <w:pStyle w:val="JuQuotSub"/>
        <w:rPr>
          <w:lang w:val="lv-LV"/>
        </w:rPr>
      </w:pPr>
      <w:r w:rsidRPr="00CE6CB4">
        <w:rPr>
          <w:lang w:val="lv-LV"/>
        </w:rPr>
        <w:t>[..]</w:t>
      </w:r>
      <w:r w:rsidR="0050505A" w:rsidRPr="00CE6CB4">
        <w:rPr>
          <w:lang w:val="lv-LV"/>
        </w:rPr>
        <w:t>”</w:t>
      </w:r>
    </w:p>
    <w:p w:rsidR="00AA20AE" w:rsidRPr="00CE6CB4" w:rsidRDefault="00AA20AE" w:rsidP="00BE7094">
      <w:pPr>
        <w:pStyle w:val="JuQuotSub"/>
        <w:rPr>
          <w:lang w:val="lv-LV"/>
        </w:rPr>
      </w:pPr>
    </w:p>
    <w:p w:rsidR="00676B8E" w:rsidRPr="00CE6CB4" w:rsidRDefault="0050505A" w:rsidP="00C6433D">
      <w:pPr>
        <w:pStyle w:val="ECHRPara"/>
        <w:rPr>
          <w:lang w:val="lv-LV"/>
        </w:rPr>
      </w:pPr>
      <w:bookmarkStart w:id="7" w:name="DomesticLaw2"/>
      <w:r w:rsidRPr="00CE6CB4">
        <w:rPr>
          <w:lang w:val="lv-LV"/>
        </w:rPr>
        <w:t>24. Saskaņā ar to pašu pantu notiesātajiem, kuri sodu izcieš slēgtā cietuma soda izciešanas režīma vidējā pakāpē</w:t>
      </w:r>
      <w:r w:rsidR="001567BD" w:rsidRPr="00CE6CB4">
        <w:rPr>
          <w:lang w:val="lv-LV"/>
        </w:rPr>
        <w:t>,</w:t>
      </w:r>
      <w:r w:rsidRPr="00CE6CB4">
        <w:rPr>
          <w:lang w:val="lv-LV"/>
        </w:rPr>
        <w:t xml:space="preserve"> ir tiesības no rīta celšanās laika līdz naktsmieram atrasties noteiktā iecirknī ārpus kameras</w:t>
      </w:r>
      <w:r w:rsidR="00676B8E" w:rsidRPr="00CE6CB4">
        <w:rPr>
          <w:lang w:val="lv-LV"/>
        </w:rPr>
        <w:t>. Citas tiesības, kas parastos apstākļos tiek attiecinātas uz ieslodzītajiem režīma vidējā pakāpē, piemēram, tiesības valkāt personisko apģērbu, patstāvīgi apmeklēt cietuma medicīnas daļu, veikalu, ēdnīcu un bibliotēku, piedalīties pasākumos ārpus atsevišķā cietuma bloka, neattiecas uz notiesātajiem ar brīvības atņemšanu uz visu mūžu un personām, kurām sākotnējais nāves sods aizstāts ar brīvības atņemšanu.</w:t>
      </w:r>
    </w:p>
    <w:bookmarkEnd w:id="7"/>
    <w:p w:rsidR="00676B8E" w:rsidRPr="00CE6CB4" w:rsidRDefault="00676B8E" w:rsidP="00C6433D">
      <w:pPr>
        <w:pStyle w:val="ECHRHeading2"/>
        <w:keepNext w:val="0"/>
        <w:keepLines w:val="0"/>
        <w:rPr>
          <w:lang w:val="lv-LV"/>
        </w:rPr>
      </w:pPr>
    </w:p>
    <w:p w:rsidR="001567BD" w:rsidRPr="00CE6CB4" w:rsidRDefault="00817B8D" w:rsidP="00C6433D">
      <w:pPr>
        <w:pStyle w:val="ECHRHeading2"/>
        <w:keepNext w:val="0"/>
        <w:keepLines w:val="0"/>
        <w:rPr>
          <w:lang w:val="lv-LV"/>
        </w:rPr>
      </w:pPr>
      <w:r w:rsidRPr="00CE6CB4">
        <w:rPr>
          <w:lang w:val="lv-LV"/>
        </w:rPr>
        <w:t>B. </w:t>
      </w:r>
      <w:r w:rsidR="00D00761" w:rsidRPr="00CE6CB4">
        <w:rPr>
          <w:lang w:val="lv-LV"/>
        </w:rPr>
        <w:t> </w:t>
      </w:r>
      <w:r w:rsidR="001567BD" w:rsidRPr="00CE6CB4">
        <w:rPr>
          <w:lang w:val="lv-LV"/>
        </w:rPr>
        <w:t>Attiecinām</w:t>
      </w:r>
      <w:r w:rsidR="00CE2851">
        <w:rPr>
          <w:lang w:val="lv-LV"/>
        </w:rPr>
        <w:t>ās</w:t>
      </w:r>
      <w:r w:rsidR="001567BD" w:rsidRPr="00CE6CB4">
        <w:rPr>
          <w:lang w:val="lv-LV"/>
        </w:rPr>
        <w:t xml:space="preserve"> Prokuratūras likuma no</w:t>
      </w:r>
      <w:r w:rsidR="00CE2851">
        <w:rPr>
          <w:lang w:val="lv-LV"/>
        </w:rPr>
        <w:t>rmas</w:t>
      </w:r>
    </w:p>
    <w:p w:rsidR="001567BD" w:rsidRPr="00CE6CB4" w:rsidRDefault="001567BD" w:rsidP="00C6433D">
      <w:pPr>
        <w:pStyle w:val="ECHRPara"/>
        <w:rPr>
          <w:lang w:val="lv-LV"/>
        </w:rPr>
      </w:pPr>
      <w:r w:rsidRPr="00CE6CB4">
        <w:rPr>
          <w:lang w:val="lv-LV"/>
        </w:rPr>
        <w:t>25. Prokuratūras likuma 15. pants nosaka, ka prokurors likumā noteiktajā kārtībā uzrauga piespriesto sodu izpildi brīvības atņemšanas iestādēs.</w:t>
      </w:r>
    </w:p>
    <w:p w:rsidR="001567BD" w:rsidRPr="00CE6CB4" w:rsidRDefault="001567BD" w:rsidP="00817B8D">
      <w:pPr>
        <w:pStyle w:val="ECHRPara"/>
        <w:rPr>
          <w:lang w:val="lv-LV"/>
        </w:rPr>
      </w:pPr>
      <w:r w:rsidRPr="00CE6CB4">
        <w:rPr>
          <w:lang w:val="lv-LV"/>
        </w:rPr>
        <w:t>26. Saskaņā ar 16. pantu prokurors, saņēmis informāciju par iespējamu likuma pārkāpumu, likumā noteiktajā kārtībā izdara pārbaudi, ja informācija ir saistīta ar noziedzīgu nodarījumu vai ar noteiktas kategorijas cilvēku, arī ieslodzīto vai citu tādu personu, kurām ir ierobežotas iespējas aizstāvēt savas tiesības, tiesību un likumīgo interešu pārkāpumu. Prokurors izdara pārbaudi arī tad, ja ir saņemts iesniegums no personas par tās tiesību vai likumīgo interešu pārkāpumu, turklāt šis iesniegums jau ir izskatīts kompetentā valsts institūcijā un ir saņemts tās atteikums novērst iesniegumā minēto likuma pārkāpumu vai likumā noteiktajā termiņā vispār nav sniegta atbilde.</w:t>
      </w:r>
    </w:p>
    <w:p w:rsidR="0036545B" w:rsidRPr="00CE6CB4" w:rsidRDefault="0036545B" w:rsidP="00D241C0">
      <w:pPr>
        <w:pStyle w:val="ECHRPara"/>
        <w:rPr>
          <w:lang w:val="lv-LV"/>
        </w:rPr>
      </w:pPr>
      <w:r w:rsidRPr="00CE6CB4">
        <w:rPr>
          <w:lang w:val="lv-LV"/>
        </w:rPr>
        <w:t xml:space="preserve">27. 17. pants </w:t>
      </w:r>
      <w:r w:rsidR="00956B3A" w:rsidRPr="00CE6CB4">
        <w:rPr>
          <w:lang w:val="lv-LV"/>
        </w:rPr>
        <w:t>izteikts šādā redakcijā</w:t>
      </w:r>
      <w:r w:rsidRPr="00CE6CB4">
        <w:rPr>
          <w:lang w:val="lv-LV"/>
        </w:rPr>
        <w:t>:</w:t>
      </w:r>
    </w:p>
    <w:p w:rsidR="001567BD" w:rsidRPr="00CE6CB4" w:rsidRDefault="001567BD" w:rsidP="00D241C0">
      <w:pPr>
        <w:pStyle w:val="ECHRPara"/>
        <w:rPr>
          <w:lang w:val="lv-LV"/>
        </w:rPr>
      </w:pPr>
    </w:p>
    <w:p w:rsidR="0036545B" w:rsidRPr="00CE6CB4" w:rsidRDefault="00350C47" w:rsidP="00D241C0">
      <w:pPr>
        <w:pStyle w:val="JuQuotSub"/>
        <w:spacing w:before="0" w:after="0"/>
        <w:rPr>
          <w:lang w:val="lv-LV"/>
        </w:rPr>
      </w:pPr>
      <w:r w:rsidRPr="00CE6CB4">
        <w:rPr>
          <w:lang w:val="lv-LV"/>
        </w:rPr>
        <w:t>“</w:t>
      </w:r>
      <w:r w:rsidR="0036545B" w:rsidRPr="00CE6CB4">
        <w:rPr>
          <w:lang w:val="lv-LV"/>
        </w:rPr>
        <w:t>(1) Prokuroram, likumā noteiktajā kārtībā veicot sūdzības pārbaudi, ir tiesības:</w:t>
      </w:r>
    </w:p>
    <w:p w:rsidR="0036545B" w:rsidRPr="00CE6CB4" w:rsidRDefault="0036545B" w:rsidP="00D241C0">
      <w:pPr>
        <w:pStyle w:val="JuQuotSub"/>
        <w:spacing w:before="0" w:after="0"/>
        <w:rPr>
          <w:lang w:val="lv-LV"/>
        </w:rPr>
      </w:pPr>
    </w:p>
    <w:p w:rsidR="0036545B" w:rsidRPr="00CE6CB4" w:rsidRDefault="0036545B" w:rsidP="00D241C0">
      <w:pPr>
        <w:pStyle w:val="JuQuotSub"/>
        <w:spacing w:before="0" w:after="0"/>
        <w:rPr>
          <w:lang w:val="lv-LV"/>
        </w:rPr>
      </w:pPr>
      <w:r w:rsidRPr="00CE6CB4">
        <w:rPr>
          <w:lang w:val="lv-LV"/>
        </w:rPr>
        <w:t xml:space="preserve">1) pieprasīt un saņemt no valsts pārvaldes institūcijām, bankām, Valsts kontroles, pašvaldībām, uzņēmumiem, iestādēm un organizācijām normatīvos aktus, dokumentus un citu informāciju, kā arī netraucēti ieiet šo institūciju telpās; </w:t>
      </w:r>
    </w:p>
    <w:p w:rsidR="0036545B" w:rsidRPr="00CE6CB4" w:rsidRDefault="0036545B" w:rsidP="00D241C0">
      <w:pPr>
        <w:pStyle w:val="JuQuotSub"/>
        <w:spacing w:before="0" w:after="0"/>
        <w:rPr>
          <w:lang w:val="lv-LV"/>
        </w:rPr>
      </w:pPr>
      <w:r w:rsidRPr="00CE6CB4">
        <w:rPr>
          <w:lang w:val="lv-LV"/>
        </w:rPr>
        <w:t>2) uzdot uzņēmumu, iestāžu un organizāciju vadītājiem un citām amatpersonām veikt pārbaudes, revīzijas un ekspertīzes un iesniegt atzinumus, kā arī sniegt speciālistu palīdzību prokurora veiktajās pārbaudēs;</w:t>
      </w:r>
    </w:p>
    <w:p w:rsidR="00026419" w:rsidRPr="00CE6CB4" w:rsidRDefault="00956B3A" w:rsidP="00D241C0">
      <w:pPr>
        <w:pStyle w:val="JuQuotSub"/>
        <w:spacing w:before="0" w:after="0"/>
        <w:rPr>
          <w:lang w:val="lv-LV"/>
        </w:rPr>
      </w:pPr>
      <w:r w:rsidRPr="00CE6CB4">
        <w:rPr>
          <w:lang w:val="lv-LV"/>
        </w:rPr>
        <w:t>[..]</w:t>
      </w:r>
    </w:p>
    <w:p w:rsidR="0036545B" w:rsidRPr="00CE6CB4" w:rsidRDefault="0036545B" w:rsidP="00D241C0">
      <w:pPr>
        <w:pStyle w:val="JuQuotSub"/>
        <w:spacing w:before="0" w:after="0"/>
        <w:rPr>
          <w:lang w:val="lv-LV"/>
        </w:rPr>
      </w:pPr>
      <w:r w:rsidRPr="00CE6CB4">
        <w:rPr>
          <w:lang w:val="lv-LV"/>
        </w:rPr>
        <w:t>(2) Prokuroram, konstatējot likuma pārkāpumu, atbilstoši tā raksturam ir pienākums:</w:t>
      </w:r>
    </w:p>
    <w:p w:rsidR="0036545B" w:rsidRPr="00CE6CB4" w:rsidRDefault="0036545B" w:rsidP="00D241C0">
      <w:pPr>
        <w:pStyle w:val="JuQuotSub"/>
        <w:spacing w:before="0" w:after="0"/>
        <w:rPr>
          <w:lang w:val="lv-LV"/>
        </w:rPr>
      </w:pPr>
      <w:r w:rsidRPr="00CE6CB4">
        <w:rPr>
          <w:lang w:val="lv-LV"/>
        </w:rPr>
        <w:t xml:space="preserve">1) brīdināt par likuma pārkāpuma nepieļaujamību; </w:t>
      </w:r>
    </w:p>
    <w:p w:rsidR="0036545B" w:rsidRPr="00CE6CB4" w:rsidRDefault="0036545B" w:rsidP="00D241C0">
      <w:pPr>
        <w:pStyle w:val="JuQuotSub"/>
        <w:spacing w:before="0" w:after="0"/>
        <w:ind w:left="709" w:firstLine="0"/>
        <w:rPr>
          <w:lang w:val="lv-LV"/>
        </w:rPr>
      </w:pPr>
      <w:r w:rsidRPr="00CE6CB4">
        <w:rPr>
          <w:lang w:val="lv-LV"/>
        </w:rPr>
        <w:t xml:space="preserve">2) iesniegt protestu vai iesniegumu par nepieciešamību novērst likuma pārkāpumu; 3) iesniegt prasības pieteikumu tiesā; </w:t>
      </w:r>
    </w:p>
    <w:p w:rsidR="0036545B" w:rsidRPr="00CE6CB4" w:rsidRDefault="0036545B" w:rsidP="00D241C0">
      <w:pPr>
        <w:pStyle w:val="JuQuotSub"/>
        <w:spacing w:before="0" w:after="0"/>
        <w:rPr>
          <w:lang w:val="lv-LV"/>
        </w:rPr>
      </w:pPr>
      <w:r w:rsidRPr="00CE6CB4">
        <w:rPr>
          <w:lang w:val="lv-LV"/>
        </w:rPr>
        <w:t xml:space="preserve">4) ierosināt krimināllietu; </w:t>
      </w:r>
    </w:p>
    <w:p w:rsidR="0036545B" w:rsidRPr="00CE6CB4" w:rsidRDefault="0036545B" w:rsidP="00D241C0">
      <w:pPr>
        <w:pStyle w:val="JuQuotSub"/>
        <w:spacing w:before="0" w:after="0"/>
        <w:rPr>
          <w:lang w:val="lv-LV"/>
        </w:rPr>
      </w:pPr>
      <w:r w:rsidRPr="00CE6CB4">
        <w:rPr>
          <w:lang w:val="lv-LV"/>
        </w:rPr>
        <w:t xml:space="preserve">5) ierosināt izskatīt jautājumu par saukšanu pie administratīvās vai disciplinārās atbildības.” </w:t>
      </w:r>
    </w:p>
    <w:p w:rsidR="00D241C0" w:rsidRPr="00CE6CB4" w:rsidRDefault="00D241C0" w:rsidP="0036011E">
      <w:pPr>
        <w:pStyle w:val="ECHRPara"/>
        <w:rPr>
          <w:rFonts w:eastAsia="Times New Roman"/>
          <w:lang w:val="lv-LV"/>
        </w:rPr>
      </w:pPr>
      <w:bookmarkStart w:id="8" w:name="p-3149"/>
      <w:bookmarkStart w:id="9" w:name="p16"/>
      <w:bookmarkStart w:id="10" w:name="p-3150"/>
      <w:bookmarkStart w:id="11" w:name="p17"/>
      <w:bookmarkStart w:id="12" w:name="p-3151"/>
      <w:bookmarkStart w:id="13" w:name="p18"/>
      <w:bookmarkEnd w:id="8"/>
      <w:bookmarkEnd w:id="9"/>
      <w:bookmarkEnd w:id="10"/>
      <w:bookmarkEnd w:id="11"/>
      <w:bookmarkEnd w:id="12"/>
      <w:bookmarkEnd w:id="13"/>
    </w:p>
    <w:p w:rsidR="0036545B" w:rsidRPr="00CE6CB4" w:rsidRDefault="0036545B" w:rsidP="0036011E">
      <w:pPr>
        <w:pStyle w:val="ECHRPara"/>
        <w:rPr>
          <w:rFonts w:eastAsia="Times New Roman"/>
          <w:lang w:val="lv-LV"/>
        </w:rPr>
      </w:pPr>
      <w:r w:rsidRPr="00CE6CB4">
        <w:rPr>
          <w:rFonts w:eastAsia="Times New Roman"/>
          <w:lang w:val="lv-LV"/>
        </w:rPr>
        <w:t xml:space="preserve">28. 18. pants regulē prokurora brīdinājumus, proti, ja ir konstatētas likuma pārkāpuma pazīmes vai </w:t>
      </w:r>
      <w:r w:rsidR="00C57EF6" w:rsidRPr="00CE6CB4">
        <w:rPr>
          <w:rFonts w:eastAsia="Times New Roman"/>
          <w:lang w:val="lv-LV"/>
        </w:rPr>
        <w:t>jebkuri citi pierādījumi</w:t>
      </w:r>
      <w:r w:rsidRPr="00CE6CB4">
        <w:rPr>
          <w:rFonts w:eastAsia="Times New Roman"/>
          <w:lang w:val="lv-LV"/>
        </w:rPr>
        <w:t>, kas liecina par prettiesiskas darbības iespējamību, prokurors rakstveidā izsaka brīdinājumu likumpārkāpēj</w:t>
      </w:r>
      <w:r w:rsidR="00956B3A" w:rsidRPr="00CE6CB4">
        <w:rPr>
          <w:rFonts w:eastAsia="Times New Roman"/>
          <w:lang w:val="lv-LV"/>
        </w:rPr>
        <w:t>iem</w:t>
      </w:r>
      <w:r w:rsidRPr="00CE6CB4">
        <w:rPr>
          <w:rFonts w:eastAsia="Times New Roman"/>
          <w:lang w:val="lv-LV"/>
        </w:rPr>
        <w:t xml:space="preserve"> par to, ka viņu rīcība nav pieļaujama.</w:t>
      </w:r>
    </w:p>
    <w:p w:rsidR="0036545B" w:rsidRPr="00CE6CB4" w:rsidRDefault="0036545B" w:rsidP="0036011E">
      <w:pPr>
        <w:pStyle w:val="ECHRPara"/>
        <w:rPr>
          <w:rFonts w:eastAsia="Times New Roman"/>
          <w:lang w:val="lv-LV"/>
        </w:rPr>
      </w:pPr>
      <w:r w:rsidRPr="00CE6CB4">
        <w:rPr>
          <w:rFonts w:eastAsia="Times New Roman"/>
          <w:lang w:val="lv-LV"/>
        </w:rPr>
        <w:t>29. Saskaņā ar 21. pantu</w:t>
      </w:r>
      <w:r w:rsidR="009B4A40" w:rsidRPr="00CE6CB4">
        <w:rPr>
          <w:rFonts w:eastAsia="Times New Roman"/>
          <w:lang w:val="lv-LV"/>
        </w:rPr>
        <w:t>, ja prokurors ir konstatējis likuma pārkāpumu, kuram nav nozieguma pazīmju, bet ar brīdinājuma, protesta vai iesnieguma palīdzību nav izdevies atjaunot likumību, viņš griežas tiesā ar prasības pieteikumu.</w:t>
      </w:r>
    </w:p>
    <w:p w:rsidR="009B4A40" w:rsidRPr="00CE6CB4" w:rsidRDefault="00E7089A" w:rsidP="002D62D0">
      <w:pPr>
        <w:pStyle w:val="ECHRHeading1"/>
        <w:rPr>
          <w:lang w:val="lv-LV"/>
        </w:rPr>
      </w:pPr>
      <w:bookmarkStart w:id="14" w:name="p-3153"/>
      <w:bookmarkStart w:id="15" w:name="p20"/>
      <w:bookmarkEnd w:id="14"/>
      <w:bookmarkEnd w:id="15"/>
      <w:r w:rsidRPr="00CE6CB4">
        <w:rPr>
          <w:lang w:val="lv-LV"/>
        </w:rPr>
        <w:lastRenderedPageBreak/>
        <w:t>III</w:t>
      </w:r>
      <w:r w:rsidR="00576BFD" w:rsidRPr="00CE6CB4">
        <w:rPr>
          <w:lang w:val="lv-LV"/>
        </w:rPr>
        <w:t>  </w:t>
      </w:r>
      <w:r w:rsidR="00CE2851">
        <w:rPr>
          <w:lang w:val="lv-LV"/>
        </w:rPr>
        <w:t>ATIECINĀMIE</w:t>
      </w:r>
      <w:r w:rsidR="00CE2851" w:rsidRPr="00CE6CB4">
        <w:rPr>
          <w:lang w:val="lv-LV"/>
        </w:rPr>
        <w:t xml:space="preserve"> </w:t>
      </w:r>
      <w:r w:rsidR="009B4A40" w:rsidRPr="00CE6CB4">
        <w:rPr>
          <w:lang w:val="lv-LV"/>
        </w:rPr>
        <w:t xml:space="preserve">EIROPAS PADOMES </w:t>
      </w:r>
      <w:r w:rsidR="00EF35E7">
        <w:rPr>
          <w:lang w:val="lv-LV"/>
        </w:rPr>
        <w:t>DOKUMENTI</w:t>
      </w:r>
    </w:p>
    <w:p w:rsidR="009B4A40" w:rsidRPr="00CE6CB4" w:rsidRDefault="005C759C" w:rsidP="005C759C">
      <w:pPr>
        <w:pStyle w:val="ECHRHeading2"/>
        <w:rPr>
          <w:lang w:val="lv-LV"/>
        </w:rPr>
      </w:pPr>
      <w:r w:rsidRPr="00CE6CB4">
        <w:rPr>
          <w:lang w:val="lv-LV"/>
        </w:rPr>
        <w:t>A.  </w:t>
      </w:r>
      <w:r w:rsidR="009B4A40" w:rsidRPr="00CE6CB4">
        <w:rPr>
          <w:lang w:val="lv-LV"/>
        </w:rPr>
        <w:t>Ministru komitejas Ieteikums</w:t>
      </w:r>
      <w:r w:rsidR="00D353E7" w:rsidRPr="00CE6CB4">
        <w:rPr>
          <w:lang w:val="lv-LV"/>
        </w:rPr>
        <w:t xml:space="preserve"> Nr.</w:t>
      </w:r>
      <w:r w:rsidR="009B4A40" w:rsidRPr="00CE6CB4">
        <w:rPr>
          <w:lang w:val="lv-LV"/>
        </w:rPr>
        <w:t xml:space="preserve"> Rec(2006)2 dalībvalstīm par Eiropas cietumu noteikumiem (pieņēmusi Ministru komiteja 2006. gada 11. janvārī 952. ministru vietnieku sanāksmē)</w:t>
      </w:r>
    </w:p>
    <w:p w:rsidR="009B4A40" w:rsidRPr="00CE6CB4" w:rsidRDefault="009B4A40" w:rsidP="00D353E7">
      <w:pPr>
        <w:pStyle w:val="ECHRPara"/>
        <w:rPr>
          <w:lang w:val="lv-LV"/>
        </w:rPr>
      </w:pPr>
      <w:r w:rsidRPr="00CE6CB4">
        <w:rPr>
          <w:rFonts w:eastAsia="Times New Roman"/>
          <w:lang w:val="lv-LV"/>
        </w:rPr>
        <w:t xml:space="preserve">30. Eiropas cietumu noteikumu VIII daļa, kas izklāstīta Ieteikuma </w:t>
      </w:r>
      <w:r w:rsidRPr="00CE6CB4">
        <w:rPr>
          <w:lang w:val="lv-LV"/>
        </w:rPr>
        <w:t xml:space="preserve">Rec(2006)2 pielikumā, </w:t>
      </w:r>
      <w:r w:rsidR="00D353E7" w:rsidRPr="00CE6CB4">
        <w:rPr>
          <w:lang w:val="lv-LV"/>
        </w:rPr>
        <w:t>izteikta šādā redakcijā</w:t>
      </w:r>
      <w:r w:rsidRPr="00CE6CB4">
        <w:rPr>
          <w:lang w:val="lv-LV"/>
        </w:rPr>
        <w:t>:</w:t>
      </w:r>
    </w:p>
    <w:p w:rsidR="009B4A40" w:rsidRPr="00CE6CB4" w:rsidRDefault="009B4A40" w:rsidP="00D241C0">
      <w:pPr>
        <w:pStyle w:val="ECHRParaQuote"/>
        <w:spacing w:before="0" w:after="0"/>
        <w:rPr>
          <w:rFonts w:eastAsia="Times New Roman"/>
          <w:iCs/>
          <w:lang w:val="lv-LV"/>
        </w:rPr>
      </w:pPr>
    </w:p>
    <w:p w:rsidR="009B4A40" w:rsidRPr="00CE6CB4" w:rsidRDefault="00AD2A38" w:rsidP="00D241C0">
      <w:pPr>
        <w:pStyle w:val="ECHRParaQuote"/>
        <w:spacing w:before="0" w:after="0"/>
        <w:rPr>
          <w:rFonts w:eastAsia="Times New Roman"/>
          <w:i/>
          <w:iCs/>
          <w:szCs w:val="20"/>
          <w:lang w:val="lv-LV"/>
        </w:rPr>
      </w:pPr>
      <w:r w:rsidRPr="00CE6CB4">
        <w:rPr>
          <w:rFonts w:eastAsia="Times New Roman"/>
          <w:i/>
          <w:iCs/>
          <w:szCs w:val="20"/>
          <w:lang w:val="lv-LV"/>
        </w:rPr>
        <w:t>“Notiesātie ieslodzītie</w:t>
      </w:r>
    </w:p>
    <w:p w:rsidR="00AD2A38" w:rsidRPr="00CE6CB4" w:rsidRDefault="00AD2A38" w:rsidP="00D241C0">
      <w:pPr>
        <w:tabs>
          <w:tab w:val="right" w:pos="5788"/>
        </w:tabs>
        <w:ind w:left="709" w:hanging="709"/>
        <w:rPr>
          <w:rFonts w:eastAsia="Times New Roman"/>
          <w:i/>
          <w:iCs/>
          <w:sz w:val="20"/>
          <w:szCs w:val="20"/>
          <w:lang w:val="lv-LV"/>
        </w:rPr>
      </w:pPr>
      <w:r w:rsidRPr="00CE6CB4">
        <w:rPr>
          <w:rFonts w:ascii="Times New Roman" w:hAnsi="Times New Roman"/>
          <w:i/>
          <w:sz w:val="20"/>
          <w:szCs w:val="20"/>
          <w:lang w:val="lv-LV"/>
        </w:rPr>
        <w:tab/>
      </w:r>
      <w:r w:rsidRPr="00CE6CB4">
        <w:rPr>
          <w:rFonts w:eastAsia="Times New Roman"/>
          <w:i/>
          <w:iCs/>
          <w:sz w:val="20"/>
          <w:szCs w:val="20"/>
          <w:lang w:val="lv-LV"/>
        </w:rPr>
        <w:tab/>
        <w:t>Notiesātajiem ieslodzītajiem piemērotā ieslodzījuma režīma mērķis</w:t>
      </w:r>
    </w:p>
    <w:p w:rsidR="00D241C0" w:rsidRPr="00CE6CB4" w:rsidRDefault="00D241C0" w:rsidP="00D241C0">
      <w:pPr>
        <w:tabs>
          <w:tab w:val="right" w:pos="5788"/>
        </w:tabs>
        <w:ind w:left="567" w:hanging="567"/>
        <w:rPr>
          <w:rFonts w:eastAsia="Times New Roman"/>
          <w:i/>
          <w:iCs/>
          <w:sz w:val="20"/>
          <w:szCs w:val="20"/>
          <w:lang w:val="lv-LV"/>
        </w:rPr>
      </w:pPr>
    </w:p>
    <w:p w:rsidR="00AD2A38" w:rsidRPr="00CE6CB4" w:rsidRDefault="00AD2A38" w:rsidP="00D241C0">
      <w:pPr>
        <w:ind w:left="284" w:firstLine="425"/>
        <w:rPr>
          <w:rFonts w:ascii="Times New Roman" w:hAnsi="Times New Roman"/>
          <w:sz w:val="20"/>
          <w:szCs w:val="20"/>
          <w:lang w:val="lv-LV"/>
        </w:rPr>
      </w:pPr>
      <w:r w:rsidRPr="00CE6CB4">
        <w:rPr>
          <w:rFonts w:ascii="Times New Roman" w:hAnsi="Times New Roman"/>
          <w:sz w:val="20"/>
          <w:szCs w:val="20"/>
          <w:lang w:val="lv-LV"/>
        </w:rPr>
        <w:t>102.1. Papildu tiem noteikumiem, kas attiecas uz visiem ieslodzītajiem, notiesātajiem ieslodzītajiem piemērojamo režīmu veido tā, lai tie varētu dzīvot apzinīgi un neizdarītu jaunus noziegumus.</w:t>
      </w:r>
    </w:p>
    <w:p w:rsidR="00D241C0" w:rsidRPr="00CE6CB4" w:rsidRDefault="00D241C0" w:rsidP="00D241C0">
      <w:pPr>
        <w:ind w:firstLine="425"/>
        <w:rPr>
          <w:rFonts w:ascii="Times New Roman" w:hAnsi="Times New Roman"/>
          <w:sz w:val="20"/>
          <w:szCs w:val="20"/>
          <w:lang w:val="lv-LV"/>
        </w:rPr>
      </w:pPr>
    </w:p>
    <w:p w:rsidR="00AD2A38" w:rsidRPr="00CE6CB4" w:rsidRDefault="00AD2A38" w:rsidP="00D241C0">
      <w:pPr>
        <w:ind w:left="284" w:firstLine="425"/>
        <w:rPr>
          <w:rFonts w:ascii="Times New Roman" w:hAnsi="Times New Roman"/>
          <w:sz w:val="20"/>
          <w:szCs w:val="20"/>
          <w:lang w:val="lv-LV"/>
        </w:rPr>
      </w:pPr>
      <w:r w:rsidRPr="00CE6CB4">
        <w:rPr>
          <w:rFonts w:ascii="Times New Roman" w:hAnsi="Times New Roman"/>
          <w:sz w:val="20"/>
          <w:szCs w:val="20"/>
          <w:lang w:val="lv-LV"/>
        </w:rPr>
        <w:t>102.2. Brīvības atņemšanas dēļ ieslodzījums jau ir sods, tāpēc notiesātajiem ieslodzītajiem piemērotais režīms nevairo ciešanas, kas jau tāpat raksturīgas ieslodzījumam.</w:t>
      </w:r>
    </w:p>
    <w:p w:rsidR="00AD2A38" w:rsidRPr="00CE6CB4" w:rsidRDefault="00AD2A38" w:rsidP="00D241C0">
      <w:pPr>
        <w:ind w:firstLine="425"/>
        <w:rPr>
          <w:rFonts w:ascii="Times New Roman" w:hAnsi="Times New Roman"/>
          <w:i/>
          <w:sz w:val="20"/>
          <w:szCs w:val="20"/>
          <w:lang w:val="lv-LV"/>
        </w:rPr>
      </w:pPr>
    </w:p>
    <w:p w:rsidR="00AD2A38" w:rsidRPr="00CE6CB4" w:rsidRDefault="00AD2A38" w:rsidP="00D241C0">
      <w:pPr>
        <w:ind w:firstLine="720"/>
        <w:rPr>
          <w:rFonts w:ascii="Times New Roman" w:hAnsi="Times New Roman"/>
          <w:i/>
          <w:sz w:val="20"/>
          <w:szCs w:val="20"/>
          <w:lang w:val="lv-LV"/>
        </w:rPr>
      </w:pPr>
      <w:r w:rsidRPr="00CE6CB4">
        <w:rPr>
          <w:rFonts w:ascii="Times New Roman" w:hAnsi="Times New Roman"/>
          <w:i/>
          <w:sz w:val="20"/>
          <w:szCs w:val="20"/>
          <w:lang w:val="lv-LV"/>
        </w:rPr>
        <w:t>Notiesātajiem ieslodzītajiem piemērojamā režīma īstenošana</w:t>
      </w:r>
    </w:p>
    <w:p w:rsidR="00AD2A38" w:rsidRPr="00CE6CB4" w:rsidRDefault="00AD2A38" w:rsidP="00D241C0">
      <w:pPr>
        <w:ind w:left="284" w:firstLine="425"/>
        <w:rPr>
          <w:rFonts w:ascii="Times New Roman" w:hAnsi="Times New Roman"/>
          <w:sz w:val="20"/>
          <w:szCs w:val="20"/>
          <w:lang w:val="lv-LV"/>
        </w:rPr>
      </w:pPr>
      <w:r w:rsidRPr="00CE6CB4">
        <w:rPr>
          <w:rFonts w:ascii="Times New Roman" w:hAnsi="Times New Roman"/>
          <w:sz w:val="20"/>
          <w:szCs w:val="20"/>
          <w:lang w:val="lv-LV"/>
        </w:rPr>
        <w:t>103.1. Ja notiesātajiem ieslodzītajiem piemērojamais režīms vēl nav ieviests, to ievieš, tiklīdz ieslodzījuma vietā pieņemts kāds ieslodzītais</w:t>
      </w:r>
      <w:r w:rsidR="00D353E7" w:rsidRPr="00CE6CB4">
        <w:rPr>
          <w:rFonts w:ascii="Times New Roman" w:hAnsi="Times New Roman"/>
          <w:sz w:val="20"/>
          <w:szCs w:val="20"/>
          <w:lang w:val="lv-LV"/>
        </w:rPr>
        <w:t xml:space="preserve"> ar notiesātā statusu</w:t>
      </w:r>
      <w:r w:rsidRPr="00CE6CB4">
        <w:rPr>
          <w:rFonts w:ascii="Times New Roman" w:hAnsi="Times New Roman"/>
          <w:sz w:val="20"/>
          <w:szCs w:val="20"/>
          <w:lang w:val="lv-LV"/>
        </w:rPr>
        <w:t xml:space="preserve">. </w:t>
      </w:r>
    </w:p>
    <w:p w:rsidR="00D241C0" w:rsidRPr="00CE6CB4" w:rsidRDefault="00D241C0" w:rsidP="00D241C0">
      <w:pPr>
        <w:ind w:left="284" w:firstLine="425"/>
        <w:rPr>
          <w:rFonts w:ascii="Times New Roman" w:hAnsi="Times New Roman"/>
          <w:sz w:val="20"/>
          <w:szCs w:val="20"/>
          <w:lang w:val="lv-LV"/>
        </w:rPr>
      </w:pPr>
    </w:p>
    <w:p w:rsidR="00AD2A38" w:rsidRPr="00CE6CB4" w:rsidRDefault="00AD2A38" w:rsidP="00D241C0">
      <w:pPr>
        <w:ind w:left="284" w:firstLine="425"/>
        <w:rPr>
          <w:rFonts w:ascii="Times New Roman" w:hAnsi="Times New Roman"/>
          <w:sz w:val="20"/>
          <w:szCs w:val="20"/>
          <w:lang w:val="lv-LV"/>
        </w:rPr>
      </w:pPr>
      <w:r w:rsidRPr="00CE6CB4">
        <w:rPr>
          <w:rFonts w:ascii="Times New Roman" w:hAnsi="Times New Roman"/>
          <w:sz w:val="20"/>
          <w:szCs w:val="20"/>
          <w:lang w:val="lv-LV"/>
        </w:rPr>
        <w:t>103.2.</w:t>
      </w:r>
      <w:r w:rsidRPr="00CE6CB4">
        <w:rPr>
          <w:rFonts w:ascii="Times New Roman" w:hAnsi="Times New Roman"/>
          <w:sz w:val="20"/>
          <w:szCs w:val="20"/>
          <w:lang w:val="lv-LV"/>
        </w:rPr>
        <w:tab/>
        <w:t>Iespējami īsā laikā pēc šādu ieslodzīto pieņemšanas ieslodzījuma vietā par notiesātajiem ieslodzītajiem sagatavo ziņojumus, norādot attiecīgā ieslodzītā stāvokli, iecerēto soda izpildes pasākumu plānu un stratēģiju</w:t>
      </w:r>
      <w:r w:rsidR="00D353E7" w:rsidRPr="00CE6CB4">
        <w:rPr>
          <w:rFonts w:ascii="Times New Roman" w:hAnsi="Times New Roman"/>
          <w:sz w:val="20"/>
          <w:szCs w:val="20"/>
          <w:lang w:val="lv-LV"/>
        </w:rPr>
        <w:t>, lai</w:t>
      </w:r>
      <w:r w:rsidRPr="00CE6CB4">
        <w:rPr>
          <w:rFonts w:ascii="Times New Roman" w:hAnsi="Times New Roman"/>
          <w:sz w:val="20"/>
          <w:szCs w:val="20"/>
          <w:lang w:val="lv-LV"/>
        </w:rPr>
        <w:t xml:space="preserve"> šo ieslodzīto sagatavotu atbrīvošanai no ieslodzījuma.</w:t>
      </w:r>
    </w:p>
    <w:p w:rsidR="00D241C0" w:rsidRPr="00CE6CB4" w:rsidRDefault="00D241C0" w:rsidP="00D241C0">
      <w:pPr>
        <w:ind w:left="284" w:firstLine="425"/>
        <w:rPr>
          <w:rFonts w:ascii="Times New Roman" w:hAnsi="Times New Roman"/>
          <w:sz w:val="20"/>
          <w:szCs w:val="20"/>
          <w:lang w:val="lv-LV"/>
        </w:rPr>
      </w:pPr>
    </w:p>
    <w:p w:rsidR="00AD2A38" w:rsidRPr="00CE6CB4" w:rsidRDefault="00AD2A38" w:rsidP="00D241C0">
      <w:pPr>
        <w:ind w:left="284" w:firstLine="425"/>
        <w:rPr>
          <w:rFonts w:ascii="Times New Roman" w:hAnsi="Times New Roman"/>
          <w:sz w:val="20"/>
          <w:szCs w:val="20"/>
          <w:lang w:val="lv-LV"/>
        </w:rPr>
      </w:pPr>
      <w:r w:rsidRPr="00CE6CB4">
        <w:rPr>
          <w:rFonts w:ascii="Times New Roman" w:hAnsi="Times New Roman"/>
          <w:sz w:val="20"/>
          <w:szCs w:val="20"/>
          <w:lang w:val="lv-LV"/>
        </w:rPr>
        <w:t>103.3.</w:t>
      </w:r>
      <w:r w:rsidR="00D353E7" w:rsidRPr="00CE6CB4">
        <w:rPr>
          <w:rFonts w:ascii="Times New Roman" w:hAnsi="Times New Roman"/>
          <w:sz w:val="20"/>
          <w:szCs w:val="20"/>
          <w:lang w:val="lv-LV"/>
        </w:rPr>
        <w:t xml:space="preserve"> </w:t>
      </w:r>
      <w:r w:rsidRPr="00CE6CB4">
        <w:rPr>
          <w:rFonts w:ascii="Times New Roman" w:hAnsi="Times New Roman"/>
          <w:sz w:val="20"/>
          <w:szCs w:val="20"/>
          <w:lang w:val="lv-LV"/>
        </w:rPr>
        <w:t xml:space="preserve">Notiesātos ieslodzītos mudina piedalīties savu individuālo soda izpildes pasākumu plānu sagatavošanā. </w:t>
      </w:r>
    </w:p>
    <w:p w:rsidR="00D241C0" w:rsidRPr="00CE6CB4" w:rsidRDefault="00D241C0" w:rsidP="00D241C0">
      <w:pPr>
        <w:ind w:left="284" w:firstLine="425"/>
        <w:rPr>
          <w:rFonts w:ascii="Times New Roman" w:hAnsi="Times New Roman"/>
          <w:sz w:val="20"/>
          <w:szCs w:val="20"/>
          <w:lang w:val="lv-LV"/>
        </w:rPr>
      </w:pPr>
    </w:p>
    <w:p w:rsidR="00AD2A38" w:rsidRPr="00CE6CB4" w:rsidRDefault="00AD2A38" w:rsidP="00D241C0">
      <w:pPr>
        <w:ind w:firstLine="709"/>
        <w:rPr>
          <w:rFonts w:ascii="Times New Roman" w:hAnsi="Times New Roman"/>
          <w:sz w:val="20"/>
          <w:szCs w:val="20"/>
          <w:lang w:val="lv-LV"/>
        </w:rPr>
      </w:pPr>
      <w:r w:rsidRPr="00CE6CB4">
        <w:rPr>
          <w:rFonts w:ascii="Times New Roman" w:hAnsi="Times New Roman"/>
          <w:sz w:val="20"/>
          <w:szCs w:val="20"/>
          <w:lang w:val="lv-LV"/>
        </w:rPr>
        <w:t>103.4. Ciktāl iespējams, šādā soda izpildes pasākumu plānā iekļauj:</w:t>
      </w:r>
    </w:p>
    <w:p w:rsidR="00AD2A38" w:rsidRPr="00CE6CB4" w:rsidRDefault="00AD2A38" w:rsidP="00D241C0">
      <w:pPr>
        <w:ind w:firstLine="709"/>
        <w:rPr>
          <w:rFonts w:ascii="Times New Roman" w:hAnsi="Times New Roman"/>
          <w:sz w:val="20"/>
          <w:szCs w:val="20"/>
          <w:lang w:val="lv-LV"/>
        </w:rPr>
      </w:pPr>
      <w:r w:rsidRPr="00CE6CB4">
        <w:rPr>
          <w:rFonts w:ascii="Times New Roman" w:hAnsi="Times New Roman"/>
          <w:i/>
          <w:noProof/>
          <w:sz w:val="20"/>
          <w:szCs w:val="20"/>
          <w:lang w:val="lv-LV"/>
        </w:rPr>
        <w:t>a.</w:t>
      </w:r>
      <w:r w:rsidRPr="00CE6CB4">
        <w:rPr>
          <w:rFonts w:ascii="Times New Roman" w:hAnsi="Times New Roman"/>
          <w:noProof/>
          <w:sz w:val="20"/>
          <w:szCs w:val="20"/>
          <w:lang w:val="lv-LV"/>
        </w:rPr>
        <w:t xml:space="preserve">  </w:t>
      </w:r>
      <w:r w:rsidRPr="00CE6CB4">
        <w:rPr>
          <w:rFonts w:ascii="Times New Roman" w:hAnsi="Times New Roman"/>
          <w:sz w:val="20"/>
          <w:szCs w:val="20"/>
          <w:lang w:val="lv-LV"/>
        </w:rPr>
        <w:t>darbu;</w:t>
      </w:r>
    </w:p>
    <w:p w:rsidR="00AD2A38" w:rsidRPr="00CE6CB4" w:rsidRDefault="00AD2A38" w:rsidP="00D241C0">
      <w:pPr>
        <w:ind w:firstLine="709"/>
        <w:rPr>
          <w:rFonts w:ascii="Times New Roman" w:hAnsi="Times New Roman"/>
          <w:sz w:val="20"/>
          <w:szCs w:val="20"/>
          <w:lang w:val="lv-LV"/>
        </w:rPr>
      </w:pPr>
      <w:r w:rsidRPr="00CE6CB4">
        <w:rPr>
          <w:rFonts w:ascii="Times New Roman" w:hAnsi="Times New Roman"/>
          <w:i/>
          <w:noProof/>
          <w:sz w:val="20"/>
          <w:szCs w:val="20"/>
          <w:lang w:val="lv-LV"/>
        </w:rPr>
        <w:t>b.</w:t>
      </w:r>
      <w:r w:rsidRPr="00CE6CB4">
        <w:rPr>
          <w:rFonts w:ascii="Times New Roman" w:hAnsi="Times New Roman"/>
          <w:noProof/>
          <w:sz w:val="20"/>
          <w:szCs w:val="20"/>
          <w:lang w:val="lv-LV"/>
        </w:rPr>
        <w:t xml:space="preserve">  </w:t>
      </w:r>
      <w:r w:rsidRPr="00CE6CB4">
        <w:rPr>
          <w:rFonts w:ascii="Times New Roman" w:hAnsi="Times New Roman"/>
          <w:sz w:val="20"/>
          <w:szCs w:val="20"/>
          <w:lang w:val="lv-LV"/>
        </w:rPr>
        <w:t>izglītību;</w:t>
      </w:r>
    </w:p>
    <w:p w:rsidR="00AD2A38" w:rsidRPr="00CE6CB4" w:rsidRDefault="00AD2A38" w:rsidP="00D241C0">
      <w:pPr>
        <w:ind w:firstLine="709"/>
        <w:rPr>
          <w:rFonts w:ascii="Times New Roman" w:hAnsi="Times New Roman"/>
          <w:sz w:val="20"/>
          <w:szCs w:val="20"/>
          <w:lang w:val="lv-LV"/>
        </w:rPr>
      </w:pPr>
      <w:r w:rsidRPr="00CE6CB4">
        <w:rPr>
          <w:rFonts w:ascii="Times New Roman" w:hAnsi="Times New Roman"/>
          <w:i/>
          <w:noProof/>
          <w:sz w:val="20"/>
          <w:szCs w:val="20"/>
          <w:lang w:val="lv-LV"/>
        </w:rPr>
        <w:t>c.</w:t>
      </w:r>
      <w:r w:rsidRPr="00CE6CB4">
        <w:rPr>
          <w:rFonts w:ascii="Times New Roman" w:hAnsi="Times New Roman"/>
          <w:noProof/>
          <w:sz w:val="20"/>
          <w:szCs w:val="20"/>
          <w:lang w:val="lv-LV"/>
        </w:rPr>
        <w:t xml:space="preserve">  </w:t>
      </w:r>
      <w:r w:rsidRPr="00CE6CB4">
        <w:rPr>
          <w:rFonts w:ascii="Times New Roman" w:hAnsi="Times New Roman"/>
          <w:sz w:val="20"/>
          <w:szCs w:val="20"/>
          <w:lang w:val="lv-LV"/>
        </w:rPr>
        <w:t>citas nodarbības;</w:t>
      </w:r>
    </w:p>
    <w:p w:rsidR="00AD2A38" w:rsidRPr="00CE6CB4" w:rsidRDefault="00AD2A38" w:rsidP="00D241C0">
      <w:pPr>
        <w:ind w:firstLine="709"/>
        <w:rPr>
          <w:rFonts w:ascii="Times New Roman" w:hAnsi="Times New Roman"/>
          <w:sz w:val="20"/>
          <w:szCs w:val="20"/>
          <w:lang w:val="lv-LV"/>
        </w:rPr>
      </w:pPr>
      <w:r w:rsidRPr="00CE6CB4">
        <w:rPr>
          <w:rFonts w:ascii="Times New Roman" w:hAnsi="Times New Roman"/>
          <w:i/>
          <w:noProof/>
          <w:sz w:val="20"/>
          <w:szCs w:val="20"/>
          <w:lang w:val="lv-LV"/>
        </w:rPr>
        <w:t>d.</w:t>
      </w:r>
      <w:r w:rsidRPr="00CE6CB4">
        <w:rPr>
          <w:rFonts w:ascii="Times New Roman" w:hAnsi="Times New Roman"/>
          <w:noProof/>
          <w:sz w:val="20"/>
          <w:szCs w:val="20"/>
          <w:lang w:val="lv-LV"/>
        </w:rPr>
        <w:t xml:space="preserve">  </w:t>
      </w:r>
      <w:r w:rsidRPr="00CE6CB4">
        <w:rPr>
          <w:rFonts w:ascii="Times New Roman" w:hAnsi="Times New Roman"/>
          <w:sz w:val="20"/>
          <w:szCs w:val="20"/>
          <w:lang w:val="lv-LV"/>
        </w:rPr>
        <w:t>sagatavošanu atbrīvošanai no ieslodzījuma.</w:t>
      </w:r>
    </w:p>
    <w:p w:rsidR="00D241C0" w:rsidRPr="00CE6CB4" w:rsidRDefault="00D241C0" w:rsidP="00D241C0">
      <w:pPr>
        <w:ind w:firstLine="709"/>
        <w:rPr>
          <w:rFonts w:ascii="Times New Roman" w:hAnsi="Times New Roman"/>
          <w:sz w:val="20"/>
          <w:szCs w:val="20"/>
          <w:lang w:val="lv-LV"/>
        </w:rPr>
      </w:pPr>
    </w:p>
    <w:p w:rsidR="00AD2A38" w:rsidRPr="00CE6CB4" w:rsidRDefault="00AD2A38" w:rsidP="00D241C0">
      <w:pPr>
        <w:ind w:left="284" w:firstLine="425"/>
        <w:rPr>
          <w:rFonts w:ascii="Times New Roman" w:hAnsi="Times New Roman"/>
          <w:sz w:val="20"/>
          <w:szCs w:val="20"/>
          <w:lang w:val="lv-LV"/>
        </w:rPr>
      </w:pPr>
      <w:r w:rsidRPr="00CE6CB4">
        <w:rPr>
          <w:rFonts w:ascii="Times New Roman" w:hAnsi="Times New Roman"/>
          <w:sz w:val="20"/>
          <w:szCs w:val="20"/>
          <w:lang w:val="lv-LV"/>
        </w:rPr>
        <w:t>103.5.</w:t>
      </w:r>
      <w:r w:rsidRPr="00CE6CB4">
        <w:rPr>
          <w:rFonts w:ascii="Times New Roman" w:hAnsi="Times New Roman"/>
          <w:sz w:val="20"/>
          <w:szCs w:val="20"/>
          <w:lang w:val="lv-LV"/>
        </w:rPr>
        <w:tab/>
      </w:r>
      <w:r w:rsidR="00155556" w:rsidRPr="00CE6CB4">
        <w:rPr>
          <w:rFonts w:ascii="Times New Roman" w:hAnsi="Times New Roman"/>
          <w:sz w:val="20"/>
          <w:szCs w:val="20"/>
          <w:lang w:val="lv-LV"/>
        </w:rPr>
        <w:t>N</w:t>
      </w:r>
      <w:r w:rsidRPr="00CE6CB4">
        <w:rPr>
          <w:rFonts w:ascii="Times New Roman" w:hAnsi="Times New Roman"/>
          <w:sz w:val="20"/>
          <w:szCs w:val="20"/>
          <w:lang w:val="lv-LV"/>
        </w:rPr>
        <w:t>otiesātajiem ieslodzītajiem piemērojam</w:t>
      </w:r>
      <w:r w:rsidR="00155556" w:rsidRPr="00CE6CB4">
        <w:rPr>
          <w:rFonts w:ascii="Times New Roman" w:hAnsi="Times New Roman"/>
          <w:sz w:val="20"/>
          <w:szCs w:val="20"/>
          <w:lang w:val="lv-LV"/>
        </w:rPr>
        <w:t>ā</w:t>
      </w:r>
      <w:r w:rsidRPr="00CE6CB4">
        <w:rPr>
          <w:rFonts w:ascii="Times New Roman" w:hAnsi="Times New Roman"/>
          <w:sz w:val="20"/>
          <w:szCs w:val="20"/>
          <w:lang w:val="lv-LV"/>
        </w:rPr>
        <w:t xml:space="preserve"> režīm</w:t>
      </w:r>
      <w:r w:rsidR="00155556" w:rsidRPr="00CE6CB4">
        <w:rPr>
          <w:rFonts w:ascii="Times New Roman" w:hAnsi="Times New Roman"/>
          <w:sz w:val="20"/>
          <w:szCs w:val="20"/>
          <w:lang w:val="lv-LV"/>
        </w:rPr>
        <w:t>ā</w:t>
      </w:r>
      <w:r w:rsidRPr="00CE6CB4">
        <w:rPr>
          <w:rFonts w:ascii="Times New Roman" w:hAnsi="Times New Roman"/>
          <w:sz w:val="20"/>
          <w:szCs w:val="20"/>
          <w:lang w:val="lv-LV"/>
        </w:rPr>
        <w:t xml:space="preserve"> var iekļaut arī sociālo palīdzību, kā arī medicīnisko un psiholoģisko aprūpi.  </w:t>
      </w:r>
    </w:p>
    <w:p w:rsidR="00D241C0" w:rsidRPr="00CE6CB4" w:rsidRDefault="00D241C0" w:rsidP="00D241C0">
      <w:pPr>
        <w:ind w:left="284" w:firstLine="425"/>
        <w:rPr>
          <w:rFonts w:ascii="Times New Roman" w:hAnsi="Times New Roman"/>
          <w:sz w:val="20"/>
          <w:szCs w:val="20"/>
          <w:lang w:val="lv-LV"/>
        </w:rPr>
      </w:pPr>
    </w:p>
    <w:p w:rsidR="00AD2A38" w:rsidRPr="00CE6CB4" w:rsidRDefault="00AD2A38" w:rsidP="00D241C0">
      <w:pPr>
        <w:ind w:left="284" w:firstLine="425"/>
        <w:rPr>
          <w:rFonts w:ascii="Times New Roman" w:hAnsi="Times New Roman"/>
          <w:sz w:val="20"/>
          <w:szCs w:val="20"/>
          <w:lang w:val="lv-LV"/>
        </w:rPr>
      </w:pPr>
      <w:r w:rsidRPr="00CE6CB4">
        <w:rPr>
          <w:rFonts w:ascii="Times New Roman" w:hAnsi="Times New Roman"/>
          <w:sz w:val="20"/>
          <w:szCs w:val="20"/>
          <w:lang w:val="lv-LV"/>
        </w:rPr>
        <w:t>103.6.</w:t>
      </w:r>
      <w:r w:rsidRPr="00CE6CB4">
        <w:rPr>
          <w:rFonts w:ascii="Times New Roman" w:hAnsi="Times New Roman"/>
          <w:sz w:val="20"/>
          <w:szCs w:val="20"/>
          <w:lang w:val="lv-LV"/>
        </w:rPr>
        <w:tab/>
        <w:t>Paredz kārtību, kādā notiesātie var īslaicīgi atstāt ieslodzījuma vietu, kas ir notiesātajiem ieslodzītajiem piemērojamā vispārējā režīma neatņemama daļa.</w:t>
      </w:r>
    </w:p>
    <w:p w:rsidR="00D241C0" w:rsidRPr="00CE6CB4" w:rsidRDefault="00D241C0" w:rsidP="00D241C0">
      <w:pPr>
        <w:ind w:left="284" w:firstLine="425"/>
        <w:rPr>
          <w:rFonts w:ascii="Times New Roman" w:hAnsi="Times New Roman"/>
          <w:sz w:val="20"/>
          <w:szCs w:val="20"/>
          <w:lang w:val="lv-LV"/>
        </w:rPr>
      </w:pPr>
    </w:p>
    <w:p w:rsidR="00AD2A38" w:rsidRPr="00CE6CB4" w:rsidRDefault="00AD2A38" w:rsidP="00D241C0">
      <w:pPr>
        <w:ind w:left="284" w:firstLine="425"/>
        <w:rPr>
          <w:rFonts w:ascii="Times New Roman" w:hAnsi="Times New Roman"/>
          <w:sz w:val="20"/>
          <w:szCs w:val="20"/>
          <w:lang w:val="lv-LV"/>
        </w:rPr>
      </w:pPr>
      <w:r w:rsidRPr="00CE6CB4">
        <w:rPr>
          <w:rFonts w:ascii="Times New Roman" w:hAnsi="Times New Roman"/>
          <w:sz w:val="20"/>
          <w:szCs w:val="20"/>
          <w:lang w:val="lv-LV"/>
        </w:rPr>
        <w:t>103.7.</w:t>
      </w:r>
      <w:r w:rsidRPr="00CE6CB4">
        <w:rPr>
          <w:rFonts w:ascii="Times New Roman" w:hAnsi="Times New Roman"/>
          <w:sz w:val="20"/>
          <w:szCs w:val="20"/>
          <w:lang w:val="lv-LV"/>
        </w:rPr>
        <w:tab/>
        <w:t>Ieslodzītie pēc savas vēlēšanās drīkst iesaistīties atjaunotā taisnīguma programmā un izdarīto likumpārkāpumu radīto zaudējumu atlīdzināšanā.</w:t>
      </w:r>
    </w:p>
    <w:p w:rsidR="00D241C0" w:rsidRPr="00CE6CB4" w:rsidRDefault="00D241C0" w:rsidP="00D241C0">
      <w:pPr>
        <w:ind w:left="284" w:firstLine="425"/>
        <w:rPr>
          <w:rFonts w:ascii="Times New Roman" w:hAnsi="Times New Roman"/>
          <w:sz w:val="20"/>
          <w:szCs w:val="20"/>
          <w:lang w:val="lv-LV"/>
        </w:rPr>
      </w:pPr>
    </w:p>
    <w:p w:rsidR="00AD2A38" w:rsidRPr="00CE6CB4" w:rsidRDefault="00AD2A38" w:rsidP="00D241C0">
      <w:pPr>
        <w:ind w:left="284" w:firstLine="425"/>
        <w:rPr>
          <w:rFonts w:ascii="Times New Roman" w:hAnsi="Times New Roman"/>
          <w:sz w:val="20"/>
          <w:szCs w:val="20"/>
          <w:lang w:val="lv-LV"/>
        </w:rPr>
      </w:pPr>
      <w:r w:rsidRPr="00CE6CB4">
        <w:rPr>
          <w:rFonts w:ascii="Times New Roman" w:hAnsi="Times New Roman"/>
          <w:sz w:val="20"/>
          <w:szCs w:val="20"/>
          <w:lang w:val="lv-LV"/>
        </w:rPr>
        <w:t>103.8.</w:t>
      </w:r>
      <w:r w:rsidRPr="00CE6CB4">
        <w:rPr>
          <w:rFonts w:ascii="Times New Roman" w:hAnsi="Times New Roman"/>
          <w:sz w:val="20"/>
          <w:szCs w:val="20"/>
          <w:lang w:val="lv-LV"/>
        </w:rPr>
        <w:tab/>
        <w:t>Īpašu uzmanību pievērš piemērotu soda izpildes pasākumu plānu un ieslodzījuma režīmu sagatavošanai uz mūžu vai ilgtermiņa ieslodzītajiem.</w:t>
      </w:r>
    </w:p>
    <w:p w:rsidR="00D241C0" w:rsidRPr="00CE6CB4" w:rsidRDefault="00D241C0" w:rsidP="00D241C0">
      <w:pPr>
        <w:pStyle w:val="ECHRParaQuote"/>
        <w:spacing w:before="0" w:after="0"/>
        <w:rPr>
          <w:rFonts w:eastAsia="Times New Roman"/>
          <w:lang w:val="lv-LV"/>
        </w:rPr>
      </w:pPr>
    </w:p>
    <w:p w:rsidR="008F37D1" w:rsidRPr="00CE6CB4" w:rsidRDefault="008F37D1" w:rsidP="008F37D1">
      <w:pPr>
        <w:ind w:firstLine="709"/>
        <w:rPr>
          <w:rFonts w:ascii="Times New Roman" w:hAnsi="Times New Roman"/>
          <w:i/>
          <w:sz w:val="20"/>
          <w:szCs w:val="20"/>
          <w:lang w:val="lv-LV"/>
        </w:rPr>
      </w:pPr>
      <w:r w:rsidRPr="00CE6CB4">
        <w:rPr>
          <w:rFonts w:ascii="Times New Roman" w:hAnsi="Times New Roman"/>
          <w:i/>
          <w:sz w:val="20"/>
          <w:szCs w:val="20"/>
          <w:lang w:val="lv-LV"/>
        </w:rPr>
        <w:t>Notiesāto ieslodzījuma organizatoriskie aspekti</w:t>
      </w:r>
    </w:p>
    <w:p w:rsidR="008F37D1" w:rsidRPr="00CE6CB4" w:rsidRDefault="008F37D1" w:rsidP="008F37D1">
      <w:pPr>
        <w:rPr>
          <w:rFonts w:ascii="Times New Roman" w:hAnsi="Times New Roman"/>
          <w:i/>
          <w:lang w:val="lv-LV"/>
        </w:rPr>
      </w:pPr>
    </w:p>
    <w:p w:rsidR="008F37D1" w:rsidRPr="00CE6CB4" w:rsidRDefault="008F37D1" w:rsidP="008F37D1">
      <w:pPr>
        <w:ind w:left="284" w:firstLine="425"/>
        <w:rPr>
          <w:rFonts w:ascii="Times New Roman" w:hAnsi="Times New Roman"/>
          <w:sz w:val="20"/>
          <w:szCs w:val="20"/>
          <w:lang w:val="lv-LV"/>
        </w:rPr>
      </w:pPr>
      <w:r w:rsidRPr="00CE6CB4">
        <w:rPr>
          <w:rFonts w:ascii="Times New Roman" w:hAnsi="Times New Roman"/>
          <w:sz w:val="20"/>
          <w:szCs w:val="20"/>
          <w:lang w:val="lv-LV"/>
        </w:rPr>
        <w:lastRenderedPageBreak/>
        <w:t>104.1.</w:t>
      </w:r>
      <w:r w:rsidRPr="00CE6CB4">
        <w:rPr>
          <w:rFonts w:ascii="Times New Roman" w:hAnsi="Times New Roman"/>
          <w:sz w:val="20"/>
          <w:szCs w:val="20"/>
          <w:lang w:val="lv-LV"/>
        </w:rPr>
        <w:tab/>
        <w:t>Lai atvieglotu dažādu ieslodzījuma režīmu piemērošanu īpašām ieslodzīto grupām, ievērojot 17. noteikuma prasības, iespēju robežās izmanto dažādas ieslodzījuma vietas vai dažādas to nodaļas.</w:t>
      </w:r>
    </w:p>
    <w:p w:rsidR="008F37D1" w:rsidRPr="00CE6CB4" w:rsidRDefault="008F37D1" w:rsidP="008F37D1">
      <w:pPr>
        <w:ind w:left="284" w:firstLine="425"/>
        <w:rPr>
          <w:rFonts w:ascii="Times New Roman" w:hAnsi="Times New Roman"/>
          <w:sz w:val="20"/>
          <w:szCs w:val="20"/>
          <w:lang w:val="lv-LV"/>
        </w:rPr>
      </w:pPr>
    </w:p>
    <w:p w:rsidR="008F37D1" w:rsidRPr="00CE6CB4" w:rsidRDefault="008F37D1" w:rsidP="008F37D1">
      <w:pPr>
        <w:ind w:left="284" w:firstLine="425"/>
        <w:rPr>
          <w:rFonts w:ascii="Times New Roman" w:hAnsi="Times New Roman"/>
          <w:sz w:val="20"/>
          <w:szCs w:val="20"/>
          <w:lang w:val="lv-LV"/>
        </w:rPr>
      </w:pPr>
      <w:r w:rsidRPr="00CE6CB4">
        <w:rPr>
          <w:rFonts w:ascii="Times New Roman" w:hAnsi="Times New Roman"/>
          <w:sz w:val="20"/>
          <w:szCs w:val="20"/>
          <w:lang w:val="lv-LV"/>
        </w:rPr>
        <w:t>104.2.</w:t>
      </w:r>
      <w:r w:rsidRPr="00CE6CB4">
        <w:rPr>
          <w:rFonts w:ascii="Times New Roman" w:hAnsi="Times New Roman"/>
          <w:sz w:val="20"/>
          <w:szCs w:val="20"/>
          <w:lang w:val="lv-LV"/>
        </w:rPr>
        <w:tab/>
        <w:t>Nosaka piemērotu kārtību, kādā pēc attiecīgu ziņojumu izskatīšanas un visu attiecīgo darbinieku apspriedēm pilnā sastāvā, kā arī pārrunām ar attiecīgajiem ieslodzītajiem, kurus, cik vien iespējams, iesaista notiekošajā, sagatavo un regulāri pārskata ieslodzīto individuālos soda izpildes pasākumu plānus.</w:t>
      </w:r>
    </w:p>
    <w:p w:rsidR="008F37D1" w:rsidRPr="00CE6CB4" w:rsidRDefault="008F37D1" w:rsidP="008F37D1">
      <w:pPr>
        <w:rPr>
          <w:rFonts w:ascii="Times New Roman" w:hAnsi="Times New Roman"/>
          <w:sz w:val="20"/>
          <w:szCs w:val="20"/>
          <w:lang w:val="lv-LV"/>
        </w:rPr>
      </w:pPr>
    </w:p>
    <w:p w:rsidR="008F37D1" w:rsidRPr="00CE6CB4" w:rsidRDefault="008F37D1" w:rsidP="008F37D1">
      <w:pPr>
        <w:ind w:left="284" w:firstLine="425"/>
        <w:rPr>
          <w:rFonts w:ascii="Times New Roman" w:hAnsi="Times New Roman"/>
          <w:sz w:val="20"/>
          <w:szCs w:val="20"/>
          <w:lang w:val="lv-LV"/>
        </w:rPr>
      </w:pPr>
      <w:r w:rsidRPr="00CE6CB4">
        <w:rPr>
          <w:rFonts w:ascii="Times New Roman" w:hAnsi="Times New Roman"/>
          <w:sz w:val="20"/>
          <w:szCs w:val="20"/>
          <w:lang w:val="lv-LV"/>
        </w:rPr>
        <w:t>104.3.</w:t>
      </w:r>
      <w:r w:rsidRPr="00CE6CB4">
        <w:rPr>
          <w:rFonts w:ascii="Times New Roman" w:hAnsi="Times New Roman"/>
          <w:sz w:val="20"/>
          <w:szCs w:val="20"/>
          <w:lang w:val="lv-LV"/>
        </w:rPr>
        <w:tab/>
        <w:t xml:space="preserve">Minētie ziņojumi vienmēr ietver arī to ieslodzījuma vietas darbinieku ziņojumus, kuru tiešā pārziņā atrodas attiecīgais ieslodzītais. </w:t>
      </w:r>
    </w:p>
    <w:p w:rsidR="00A44C53" w:rsidRPr="00CE6CB4" w:rsidRDefault="008F37D1" w:rsidP="00BE7094">
      <w:pPr>
        <w:pStyle w:val="ECHRParaQuote"/>
        <w:rPr>
          <w:rFonts w:eastAsia="Times New Roman"/>
          <w:lang w:val="lv-LV"/>
        </w:rPr>
      </w:pPr>
      <w:r w:rsidRPr="00CE6CB4">
        <w:rPr>
          <w:rFonts w:eastAsia="Times New Roman"/>
          <w:lang w:val="lv-LV"/>
        </w:rPr>
        <w:t>[..]</w:t>
      </w:r>
      <w:r w:rsidR="00F2668C" w:rsidRPr="00CE6CB4">
        <w:rPr>
          <w:rFonts w:eastAsia="Times New Roman"/>
          <w:lang w:val="lv-LV"/>
        </w:rPr>
        <w:t>”</w:t>
      </w:r>
    </w:p>
    <w:p w:rsidR="008F37D1" w:rsidRPr="00CE6CB4" w:rsidRDefault="005C759C" w:rsidP="005C759C">
      <w:pPr>
        <w:pStyle w:val="ECHRHeading2"/>
        <w:rPr>
          <w:lang w:val="lv-LV"/>
        </w:rPr>
      </w:pPr>
      <w:r w:rsidRPr="00CE6CB4">
        <w:rPr>
          <w:lang w:val="lv-LV"/>
        </w:rPr>
        <w:t>B.  </w:t>
      </w:r>
      <w:r w:rsidR="008F37D1" w:rsidRPr="00CE6CB4">
        <w:rPr>
          <w:lang w:val="lv-LV"/>
        </w:rPr>
        <w:t xml:space="preserve">Ziņojums Latvijas Valdībai par Eiropas Komitejas spīdzināšanas un necilvēcīgas vai pazemojošas rīcības vai soda novēršanai (CPT) vizīti Latvijā laika posmā no 2004. gada 5. </w:t>
      </w:r>
      <w:r w:rsidR="00772EB9" w:rsidRPr="00CE6CB4">
        <w:rPr>
          <w:lang w:val="lv-LV"/>
        </w:rPr>
        <w:t xml:space="preserve">maija </w:t>
      </w:r>
      <w:r w:rsidR="008F37D1" w:rsidRPr="00CE6CB4">
        <w:rPr>
          <w:lang w:val="lv-LV"/>
        </w:rPr>
        <w:t xml:space="preserve">līdz 12. maijam </w:t>
      </w:r>
    </w:p>
    <w:bookmarkStart w:id="16" w:name="CPTatzinums"/>
    <w:p w:rsidR="008151D1" w:rsidRPr="00CE6CB4" w:rsidRDefault="008151D1" w:rsidP="008151D1">
      <w:pPr>
        <w:pStyle w:val="ECHRPara"/>
        <w:rPr>
          <w:lang w:val="lv-LV"/>
        </w:rPr>
      </w:pPr>
      <w:r w:rsidRPr="00CE6CB4">
        <w:rPr>
          <w:lang w:val="lv-LV"/>
        </w:rPr>
        <w:fldChar w:fldCharType="begin"/>
      </w:r>
      <w:r w:rsidRPr="00CE6CB4">
        <w:rPr>
          <w:lang w:val="lv-LV"/>
        </w:rPr>
        <w:instrText xml:space="preserve"> SEQ level0 \*arabic </w:instrText>
      </w:r>
      <w:r w:rsidRPr="00CE6CB4">
        <w:rPr>
          <w:lang w:val="lv-LV"/>
        </w:rPr>
        <w:fldChar w:fldCharType="separate"/>
      </w:r>
      <w:r w:rsidR="006260D9" w:rsidRPr="00CE6CB4">
        <w:rPr>
          <w:noProof/>
          <w:lang w:val="lv-LV"/>
        </w:rPr>
        <w:t>31</w:t>
      </w:r>
      <w:r w:rsidRPr="00CE6CB4">
        <w:rPr>
          <w:lang w:val="lv-LV"/>
        </w:rPr>
        <w:fldChar w:fldCharType="end"/>
      </w:r>
      <w:bookmarkEnd w:id="16"/>
      <w:r w:rsidRPr="00CE6CB4">
        <w:rPr>
          <w:lang w:val="lv-LV"/>
        </w:rPr>
        <w:t>.  </w:t>
      </w:r>
      <w:r w:rsidR="008F37D1" w:rsidRPr="00CE6CB4">
        <w:rPr>
          <w:lang w:val="lv-LV"/>
        </w:rPr>
        <w:t xml:space="preserve">CPT ziņojuma attiecināmās daļas ir </w:t>
      </w:r>
      <w:r w:rsidR="00FC2399" w:rsidRPr="00CE6CB4">
        <w:rPr>
          <w:lang w:val="lv-LV"/>
        </w:rPr>
        <w:t>izteiktas šādi</w:t>
      </w:r>
      <w:r w:rsidR="008F37D1" w:rsidRPr="00CE6CB4">
        <w:rPr>
          <w:lang w:val="lv-LV"/>
        </w:rPr>
        <w:t xml:space="preserve">: </w:t>
      </w:r>
    </w:p>
    <w:p w:rsidR="008F37D1" w:rsidRPr="00CE6CB4" w:rsidRDefault="00C94B30" w:rsidP="00BE7094">
      <w:pPr>
        <w:pStyle w:val="ECHRParaQuote"/>
        <w:rPr>
          <w:rFonts w:ascii="Times New Roman" w:hAnsi="Times New Roman" w:cs="Times New Roman"/>
          <w:bCs/>
          <w:lang w:val="lv-LV"/>
        </w:rPr>
      </w:pPr>
      <w:r w:rsidRPr="00CE6CB4">
        <w:rPr>
          <w:rFonts w:ascii="Times New Roman" w:hAnsi="Times New Roman" w:cs="Times New Roman"/>
          <w:bCs/>
          <w:lang w:val="lv-LV"/>
        </w:rPr>
        <w:t>“</w:t>
      </w:r>
      <w:r w:rsidR="00365244" w:rsidRPr="00CE6CB4">
        <w:rPr>
          <w:rFonts w:ascii="Times New Roman" w:hAnsi="Times New Roman" w:cs="Times New Roman"/>
          <w:bCs/>
          <w:lang w:val="lv-LV"/>
        </w:rPr>
        <w:t>38.</w:t>
      </w:r>
      <w:r w:rsidR="00CE1578" w:rsidRPr="00CE6CB4">
        <w:rPr>
          <w:rFonts w:ascii="Times New Roman" w:hAnsi="Times New Roman" w:cs="Times New Roman"/>
          <w:bCs/>
          <w:lang w:val="lv-LV"/>
        </w:rPr>
        <w:t> </w:t>
      </w:r>
      <w:r w:rsidR="008F37D1" w:rsidRPr="00CE6CB4">
        <w:rPr>
          <w:rFonts w:ascii="Times New Roman" w:hAnsi="Times New Roman" w:cs="Times New Roman"/>
          <w:bCs/>
          <w:lang w:val="lv-LV"/>
        </w:rPr>
        <w:t>[..]</w:t>
      </w:r>
      <w:r w:rsidR="00772EB9" w:rsidRPr="00CE6CB4">
        <w:rPr>
          <w:rFonts w:ascii="Times New Roman" w:hAnsi="Times New Roman" w:cs="Times New Roman"/>
          <w:bCs/>
          <w:lang w:val="lv-LV"/>
        </w:rPr>
        <w:t xml:space="preserve"> </w:t>
      </w:r>
      <w:r w:rsidR="00772EB9" w:rsidRPr="00CE6CB4">
        <w:rPr>
          <w:rFonts w:ascii="Times New Roman" w:hAnsi="Times New Roman" w:cs="Times New Roman"/>
          <w:b/>
          <w:bCs/>
          <w:lang w:val="lv-LV"/>
        </w:rPr>
        <w:t>Daugavpils cietums</w:t>
      </w:r>
      <w:r w:rsidR="00772EB9" w:rsidRPr="00CE6CB4">
        <w:rPr>
          <w:rFonts w:ascii="Times New Roman" w:hAnsi="Times New Roman" w:cs="Times New Roman"/>
          <w:bCs/>
          <w:lang w:val="lv-LV"/>
        </w:rPr>
        <w:t xml:space="preserve"> nesen tika oficiāli pārveidots par izmeklēšanas cietumu, tomēr tajā joprojām atrodas arī notiesāti</w:t>
      </w:r>
      <w:r w:rsidR="00747877">
        <w:rPr>
          <w:rFonts w:ascii="Times New Roman" w:hAnsi="Times New Roman" w:cs="Times New Roman"/>
          <w:bCs/>
          <w:lang w:val="lv-LV"/>
        </w:rPr>
        <w:t>e</w:t>
      </w:r>
      <w:r w:rsidR="00772EB9" w:rsidRPr="00CE6CB4">
        <w:rPr>
          <w:rFonts w:ascii="Times New Roman" w:hAnsi="Times New Roman" w:cs="Times New Roman"/>
          <w:bCs/>
          <w:lang w:val="lv-LV"/>
        </w:rPr>
        <w:t xml:space="preserve"> ieslodzītie. Cietuma oficiālo vietu skaits ir samazināts no 800 līdz 543 vietām (tostarp 43 nepilngadīgo vietas). 2004. gada vizītes laikā šeit atradās 426 ieslodzītie, no kuriem 101 bija notiesāts un 314 atradās pirmstiesas apcietinājumā (tostarp 29 nepilngadīgie).</w:t>
      </w:r>
      <w:r w:rsidR="00170691" w:rsidRPr="00CE6CB4">
        <w:rPr>
          <w:rFonts w:ascii="Times New Roman" w:hAnsi="Times New Roman" w:cs="Times New Roman"/>
          <w:bCs/>
          <w:lang w:val="lv-LV"/>
        </w:rPr>
        <w:t xml:space="preserve"> [..]</w:t>
      </w:r>
    </w:p>
    <w:p w:rsidR="00772EB9" w:rsidRPr="00CE6CB4" w:rsidRDefault="00772EB9" w:rsidP="00BE7094">
      <w:pPr>
        <w:pStyle w:val="ECHRParaQuote"/>
        <w:rPr>
          <w:rFonts w:ascii="Times New Roman" w:hAnsi="Times New Roman" w:cs="Times New Roman"/>
          <w:bCs/>
          <w:lang w:val="lv-LV"/>
        </w:rPr>
      </w:pPr>
      <w:r w:rsidRPr="00CE6CB4">
        <w:rPr>
          <w:rFonts w:ascii="Times New Roman" w:hAnsi="Times New Roman" w:cs="Times New Roman"/>
          <w:bCs/>
          <w:lang w:val="lv-LV"/>
        </w:rPr>
        <w:t xml:space="preserve">43. Komitejai īpašas bažas rada tas, cik bieži tiek saņemtas sūdzības par </w:t>
      </w:r>
      <w:r w:rsidRPr="00CE6CB4">
        <w:rPr>
          <w:rFonts w:ascii="Times New Roman" w:hAnsi="Times New Roman" w:cs="Times New Roman"/>
          <w:bCs/>
          <w:u w:val="single"/>
          <w:lang w:val="lv-LV"/>
        </w:rPr>
        <w:t xml:space="preserve">vardarbību ieslodzīto vidū </w:t>
      </w:r>
      <w:r w:rsidRPr="00CE6CB4">
        <w:rPr>
          <w:rFonts w:ascii="Times New Roman" w:hAnsi="Times New Roman" w:cs="Times New Roman"/>
          <w:bCs/>
          <w:lang w:val="lv-LV"/>
        </w:rPr>
        <w:t>Daugavpils cietumā un Rīgas Centrālcietumā, kā arī šo nodarījumu smagums. Cita starpā sūdzības tiek saņemtas par smagu piekaušanu, seksuālu vardarbību (tostarp izvarošanu) un draudiem.</w:t>
      </w:r>
    </w:p>
    <w:p w:rsidR="00C94B30" w:rsidRPr="00CE6CB4" w:rsidRDefault="00772EB9" w:rsidP="00BE7094">
      <w:pPr>
        <w:pStyle w:val="ECHRParaQuote"/>
        <w:rPr>
          <w:lang w:val="lv-LV"/>
        </w:rPr>
      </w:pPr>
      <w:r w:rsidRPr="00CE6CB4">
        <w:rPr>
          <w:lang w:val="lv-LV"/>
        </w:rPr>
        <w:t>[..]</w:t>
      </w:r>
    </w:p>
    <w:p w:rsidR="00772EB9" w:rsidRPr="00CE6CB4" w:rsidRDefault="00CE1578" w:rsidP="00BE7094">
      <w:pPr>
        <w:pStyle w:val="ECHRParaQuote"/>
        <w:rPr>
          <w:lang w:val="lv-LV"/>
        </w:rPr>
      </w:pPr>
      <w:r w:rsidRPr="00CE6CB4">
        <w:rPr>
          <w:lang w:val="lv-LV"/>
        </w:rPr>
        <w:t>60.  </w:t>
      </w:r>
      <w:r w:rsidR="00772EB9" w:rsidRPr="00CE6CB4">
        <w:rPr>
          <w:lang w:val="lv-LV"/>
        </w:rPr>
        <w:t xml:space="preserve">[..] </w:t>
      </w:r>
      <w:r w:rsidR="00170691" w:rsidRPr="00CE6CB4">
        <w:rPr>
          <w:lang w:val="lv-LV"/>
        </w:rPr>
        <w:t>To ņemot vērā, v</w:t>
      </w:r>
      <w:r w:rsidR="00772EB9" w:rsidRPr="00CE6CB4">
        <w:rPr>
          <w:lang w:val="lv-LV"/>
        </w:rPr>
        <w:t>ispārīgie apstākļi Daugavpils cietumā un Rīgas Centrālcietuma 5. blokā (jo īpaši karantīnas/pārvešanas kamerās Nr. 501, 502 un 503) joprojām bija ļoti slikti (tehniskais stāvoklis, ventilācija u.c.). Abās iestādēs no visiem logiem joprojām nebija noņemti metāla slēģi un ieslodzītie joprojām nebija nodrošināti ar personīgās higiēnas piederumiem (tostarp tualetes papīru). Turklāt vairākās kamerās (tostarp atsevišķās atjaunotajās Rīgas Centrālcietuma telpās) tualetes nebija (atbilstoši) nodalītas</w:t>
      </w:r>
      <w:r w:rsidR="00FB0638" w:rsidRPr="00CE6CB4">
        <w:rPr>
          <w:lang w:val="lv-LV"/>
        </w:rPr>
        <w:t>.</w:t>
      </w:r>
      <w:r w:rsidR="00772EB9" w:rsidRPr="00CE6CB4">
        <w:rPr>
          <w:lang w:val="lv-LV"/>
        </w:rPr>
        <w:t xml:space="preserve"> [..]”</w:t>
      </w:r>
    </w:p>
    <w:p w:rsidR="00014566" w:rsidRPr="00CE6CB4" w:rsidRDefault="00772EB9" w:rsidP="00BE7094">
      <w:pPr>
        <w:pStyle w:val="ECHRTitle1"/>
        <w:rPr>
          <w:rFonts w:ascii="Verdana" w:eastAsia="Times New Roman" w:hAnsi="Verdana" w:cs="Arial"/>
          <w:szCs w:val="20"/>
          <w:lang w:val="lv-LV"/>
        </w:rPr>
      </w:pPr>
      <w:r w:rsidRPr="00CE6CB4">
        <w:rPr>
          <w:lang w:val="lv-LV"/>
        </w:rPr>
        <w:t>JURIDISKAIS ASPEKTS</w:t>
      </w:r>
    </w:p>
    <w:p w:rsidR="00772EB9" w:rsidRPr="00CE6CB4" w:rsidRDefault="00170691" w:rsidP="00014566">
      <w:pPr>
        <w:pStyle w:val="ECHRHeading1"/>
        <w:rPr>
          <w:lang w:val="lv-LV"/>
        </w:rPr>
      </w:pPr>
      <w:r w:rsidRPr="00CE6CB4">
        <w:rPr>
          <w:lang w:val="lv-LV"/>
        </w:rPr>
        <w:t>I</w:t>
      </w:r>
      <w:r w:rsidR="00014566" w:rsidRPr="00CE6CB4">
        <w:rPr>
          <w:lang w:val="lv-LV"/>
        </w:rPr>
        <w:t>  </w:t>
      </w:r>
      <w:r w:rsidR="00747877">
        <w:rPr>
          <w:lang w:val="lv-LV"/>
        </w:rPr>
        <w:t>APGALVOTIE</w:t>
      </w:r>
      <w:r w:rsidR="00772EB9" w:rsidRPr="00CE6CB4">
        <w:rPr>
          <w:lang w:val="lv-LV"/>
        </w:rPr>
        <w:t xml:space="preserve"> KONVENCIJAS 3. UN 13. PANTA PĀRKĀPUM</w:t>
      </w:r>
      <w:r w:rsidR="00FB0638" w:rsidRPr="00CE6CB4">
        <w:rPr>
          <w:lang w:val="lv-LV"/>
        </w:rPr>
        <w:t>I</w:t>
      </w:r>
    </w:p>
    <w:p w:rsidR="00772EB9" w:rsidRPr="00CE6CB4" w:rsidRDefault="003071EE" w:rsidP="00C621C2">
      <w:pPr>
        <w:pStyle w:val="ECHRPara"/>
        <w:rPr>
          <w:lang w:val="lv-LV"/>
        </w:rPr>
      </w:pPr>
      <w:r w:rsidRPr="00CE6CB4">
        <w:rPr>
          <w:lang w:val="lv-LV"/>
        </w:rPr>
        <w:fldChar w:fldCharType="begin"/>
      </w:r>
      <w:r w:rsidRPr="00CE6CB4">
        <w:rPr>
          <w:lang w:val="lv-LV"/>
        </w:rPr>
        <w:instrText xml:space="preserve"> SEQ level0 \*arabic </w:instrText>
      </w:r>
      <w:r w:rsidRPr="00CE6CB4">
        <w:rPr>
          <w:lang w:val="lv-LV"/>
        </w:rPr>
        <w:fldChar w:fldCharType="separate"/>
      </w:r>
      <w:r w:rsidR="006260D9" w:rsidRPr="00CE6CB4">
        <w:rPr>
          <w:noProof/>
          <w:lang w:val="lv-LV"/>
        </w:rPr>
        <w:t>32</w:t>
      </w:r>
      <w:r w:rsidRPr="00CE6CB4">
        <w:rPr>
          <w:lang w:val="lv-LV"/>
        </w:rPr>
        <w:fldChar w:fldCharType="end"/>
      </w:r>
      <w:r w:rsidR="00014566" w:rsidRPr="00CE6CB4">
        <w:rPr>
          <w:lang w:val="lv-LV"/>
        </w:rPr>
        <w:t>.  </w:t>
      </w:r>
      <w:r w:rsidR="00772EB9" w:rsidRPr="00CE6CB4">
        <w:rPr>
          <w:lang w:val="lv-LV"/>
        </w:rPr>
        <w:t xml:space="preserve">Iesniedzējs sūdzējās, ka nacionālās tiesas nav viņam piešķīrušas kompensāciju par laika posmu, kurā viņš bija prettiesiski izcietis savu sodu </w:t>
      </w:r>
      <w:r w:rsidR="00306FE9" w:rsidRPr="00CE6CB4">
        <w:rPr>
          <w:lang w:val="lv-LV"/>
        </w:rPr>
        <w:t>stingrākā ieslodzījuma režīmā</w:t>
      </w:r>
      <w:r w:rsidR="00964CC3">
        <w:rPr>
          <w:lang w:val="lv-LV"/>
        </w:rPr>
        <w:t>,</w:t>
      </w:r>
      <w:r w:rsidR="00306FE9" w:rsidRPr="00CE6CB4">
        <w:rPr>
          <w:lang w:val="lv-LV"/>
        </w:rPr>
        <w:t xml:space="preserve"> nekā viņam būtu</w:t>
      </w:r>
      <w:r w:rsidR="00747877">
        <w:rPr>
          <w:lang w:val="lv-LV"/>
        </w:rPr>
        <w:t xml:space="preserve"> bijis</w:t>
      </w:r>
      <w:r w:rsidR="00306FE9" w:rsidRPr="00CE6CB4">
        <w:rPr>
          <w:lang w:val="lv-LV"/>
        </w:rPr>
        <w:t xml:space="preserve"> </w:t>
      </w:r>
      <w:r w:rsidR="00170691" w:rsidRPr="00CE6CB4">
        <w:rPr>
          <w:lang w:val="lv-LV"/>
        </w:rPr>
        <w:t>jāpiemēro</w:t>
      </w:r>
      <w:r w:rsidR="00306FE9" w:rsidRPr="00CE6CB4">
        <w:rPr>
          <w:lang w:val="lv-LV"/>
        </w:rPr>
        <w:t xml:space="preserve">. </w:t>
      </w:r>
      <w:r w:rsidR="00747877">
        <w:rPr>
          <w:lang w:val="lv-LV"/>
        </w:rPr>
        <w:t xml:space="preserve">Savu </w:t>
      </w:r>
      <w:r w:rsidR="00747877">
        <w:rPr>
          <w:lang w:val="lv-LV"/>
        </w:rPr>
        <w:lastRenderedPageBreak/>
        <w:t xml:space="preserve">sūdzību </w:t>
      </w:r>
      <w:r w:rsidR="00306FE9" w:rsidRPr="00CE6CB4">
        <w:rPr>
          <w:lang w:val="lv-LV"/>
        </w:rPr>
        <w:t>iesniedzējs</w:t>
      </w:r>
      <w:r w:rsidR="00747877">
        <w:rPr>
          <w:lang w:val="lv-LV"/>
        </w:rPr>
        <w:t xml:space="preserve"> pamatoja ar</w:t>
      </w:r>
      <w:r w:rsidR="00306FE9" w:rsidRPr="00CE6CB4">
        <w:rPr>
          <w:lang w:val="lv-LV"/>
        </w:rPr>
        <w:t xml:space="preserve"> Konvencijas 3. un 13. pant</w:t>
      </w:r>
      <w:r w:rsidR="00747877">
        <w:rPr>
          <w:lang w:val="lv-LV"/>
        </w:rPr>
        <w:t>iem</w:t>
      </w:r>
      <w:r w:rsidR="00306FE9" w:rsidRPr="00CE6CB4">
        <w:rPr>
          <w:lang w:val="lv-LV"/>
        </w:rPr>
        <w:t xml:space="preserve">, kuri </w:t>
      </w:r>
      <w:r w:rsidR="00747877">
        <w:rPr>
          <w:lang w:val="lv-LV"/>
        </w:rPr>
        <w:t>paredz sekojošo</w:t>
      </w:r>
      <w:r w:rsidR="00306FE9" w:rsidRPr="00CE6CB4">
        <w:rPr>
          <w:lang w:val="lv-LV"/>
        </w:rPr>
        <w:t>:</w:t>
      </w:r>
    </w:p>
    <w:p w:rsidR="00A44C53" w:rsidRPr="00CE6CB4" w:rsidRDefault="00D86368" w:rsidP="002D62D0">
      <w:pPr>
        <w:pStyle w:val="ECHRTitleCentre3"/>
        <w:rPr>
          <w:lang w:val="lv-LV"/>
        </w:rPr>
      </w:pPr>
      <w:r w:rsidRPr="00CE6CB4">
        <w:rPr>
          <w:lang w:val="lv-LV"/>
        </w:rPr>
        <w:t>3. pants</w:t>
      </w:r>
    </w:p>
    <w:p w:rsidR="006316F8" w:rsidRPr="00CE6CB4" w:rsidRDefault="00843453" w:rsidP="006316F8">
      <w:pPr>
        <w:pStyle w:val="ECHRParaQuote"/>
        <w:rPr>
          <w:lang w:val="lv-LV"/>
        </w:rPr>
      </w:pPr>
      <w:r w:rsidRPr="00CE6CB4">
        <w:rPr>
          <w:lang w:val="lv-LV"/>
        </w:rPr>
        <w:t>“</w:t>
      </w:r>
      <w:r w:rsidR="00D86368" w:rsidRPr="00CE6CB4">
        <w:rPr>
          <w:lang w:val="lv-LV"/>
        </w:rPr>
        <w:t>Nevienu cilvēku nedrīkst spīdzināt vai cietsirdīgi vai pazemojoši ar viņu apieties vai sodīt.</w:t>
      </w:r>
      <w:r w:rsidRPr="00CE6CB4">
        <w:rPr>
          <w:lang w:val="lv-LV"/>
        </w:rPr>
        <w:t>”</w:t>
      </w:r>
    </w:p>
    <w:p w:rsidR="00F56940" w:rsidRPr="00CE6CB4" w:rsidRDefault="00D86368" w:rsidP="002D62D0">
      <w:pPr>
        <w:pStyle w:val="ECHRTitleCentre3"/>
        <w:rPr>
          <w:lang w:val="lv-LV"/>
        </w:rPr>
      </w:pPr>
      <w:r w:rsidRPr="00CE6CB4">
        <w:rPr>
          <w:lang w:val="lv-LV"/>
        </w:rPr>
        <w:t>13. pants</w:t>
      </w:r>
    </w:p>
    <w:p w:rsidR="006C627F" w:rsidRPr="00CE6CB4" w:rsidRDefault="006316F8" w:rsidP="00C50360">
      <w:pPr>
        <w:pStyle w:val="ECHRParaQuote"/>
        <w:rPr>
          <w:lang w:val="lv-LV"/>
        </w:rPr>
      </w:pPr>
      <w:r w:rsidRPr="00CE6CB4">
        <w:rPr>
          <w:lang w:val="lv-LV"/>
        </w:rPr>
        <w:t>“</w:t>
      </w:r>
      <w:r w:rsidR="00D86368" w:rsidRPr="00CE6CB4">
        <w:rPr>
          <w:lang w:val="lv-LV"/>
        </w:rPr>
        <w:t>Ikvienam, kura tiesības un brīvības, kas noteiktas šajā Konvencijā, tiek pārkāptas, ir nodrošināta efektīva aizsardzība valsts institūcijās, neskatoties uz to, ka pārkāpumu ir izdarījušas personas, pildot dienesta pienākumus.</w:t>
      </w:r>
      <w:r w:rsidR="00C50360" w:rsidRPr="00CE6CB4">
        <w:rPr>
          <w:lang w:val="lv-LV"/>
        </w:rPr>
        <w:t>”</w:t>
      </w:r>
    </w:p>
    <w:p w:rsidR="00A44C53" w:rsidRPr="00CE6CB4" w:rsidRDefault="00E86FF1" w:rsidP="00CD3C64">
      <w:pPr>
        <w:pStyle w:val="ECHRHeading2"/>
        <w:rPr>
          <w:lang w:val="lv-LV"/>
        </w:rPr>
      </w:pPr>
      <w:r w:rsidRPr="00CE6CB4">
        <w:rPr>
          <w:lang w:val="lv-LV"/>
        </w:rPr>
        <w:t>A.  </w:t>
      </w:r>
      <w:r w:rsidR="00D86368" w:rsidRPr="00CE6CB4">
        <w:rPr>
          <w:lang w:val="lv-LV"/>
        </w:rPr>
        <w:t>Atbilstība 3. pantam</w:t>
      </w:r>
    </w:p>
    <w:p w:rsidR="00014566" w:rsidRPr="00CE6CB4" w:rsidRDefault="00E86FF1" w:rsidP="00CD3C64">
      <w:pPr>
        <w:pStyle w:val="ECHRHeading3"/>
        <w:rPr>
          <w:lang w:val="lv-LV"/>
        </w:rPr>
      </w:pPr>
      <w:r w:rsidRPr="00CE6CB4">
        <w:rPr>
          <w:lang w:val="lv-LV"/>
        </w:rPr>
        <w:t>1</w:t>
      </w:r>
      <w:r w:rsidR="00014566" w:rsidRPr="00CE6CB4">
        <w:rPr>
          <w:lang w:val="lv-LV"/>
        </w:rPr>
        <w:t>.  </w:t>
      </w:r>
      <w:r w:rsidR="00D86368" w:rsidRPr="00CE6CB4">
        <w:rPr>
          <w:lang w:val="lv-LV"/>
        </w:rPr>
        <w:t>Pieņemamība izskatīšanai</w:t>
      </w:r>
    </w:p>
    <w:p w:rsidR="00D86368" w:rsidRPr="00CE6CB4" w:rsidRDefault="006316F8" w:rsidP="00743D39">
      <w:pPr>
        <w:pStyle w:val="ECHRPara"/>
        <w:rPr>
          <w:lang w:val="lv-LV"/>
        </w:rPr>
      </w:pPr>
      <w:r w:rsidRPr="00CE6CB4">
        <w:rPr>
          <w:lang w:val="lv-LV"/>
        </w:rPr>
        <w:fldChar w:fldCharType="begin"/>
      </w:r>
      <w:r w:rsidRPr="00CE6CB4">
        <w:rPr>
          <w:lang w:val="lv-LV"/>
        </w:rPr>
        <w:instrText xml:space="preserve"> SEQ level0 \*arabic </w:instrText>
      </w:r>
      <w:r w:rsidRPr="00CE6CB4">
        <w:rPr>
          <w:lang w:val="lv-LV"/>
        </w:rPr>
        <w:fldChar w:fldCharType="separate"/>
      </w:r>
      <w:r w:rsidR="006260D9" w:rsidRPr="00CE6CB4">
        <w:rPr>
          <w:noProof/>
          <w:lang w:val="lv-LV"/>
        </w:rPr>
        <w:t>33</w:t>
      </w:r>
      <w:r w:rsidRPr="00CE6CB4">
        <w:rPr>
          <w:lang w:val="lv-LV"/>
        </w:rPr>
        <w:fldChar w:fldCharType="end"/>
      </w:r>
      <w:r w:rsidRPr="00CE6CB4">
        <w:rPr>
          <w:lang w:val="lv-LV"/>
        </w:rPr>
        <w:t>.  </w:t>
      </w:r>
      <w:r w:rsidR="00D86368" w:rsidRPr="00CE6CB4">
        <w:rPr>
          <w:lang w:val="lv-LV"/>
        </w:rPr>
        <w:t xml:space="preserve">Valdība norādīja, ka iesniedzējs nav </w:t>
      </w:r>
      <w:r w:rsidR="007607BA" w:rsidRPr="00CE6CB4">
        <w:rPr>
          <w:lang w:val="lv-LV"/>
        </w:rPr>
        <w:t xml:space="preserve">cietis būtisku kaitējumu, līdz ar to viņa sūdzība </w:t>
      </w:r>
      <w:r w:rsidR="00E362D7">
        <w:rPr>
          <w:lang w:val="lv-LV"/>
        </w:rPr>
        <w:t xml:space="preserve">par </w:t>
      </w:r>
      <w:r w:rsidR="007607BA" w:rsidRPr="00CE6CB4">
        <w:rPr>
          <w:lang w:val="lv-LV"/>
        </w:rPr>
        <w:t>3. pant</w:t>
      </w:r>
      <w:r w:rsidR="00E362D7">
        <w:rPr>
          <w:lang w:val="lv-LV"/>
        </w:rPr>
        <w:t>u</w:t>
      </w:r>
      <w:r w:rsidR="007607BA" w:rsidRPr="00CE6CB4">
        <w:rPr>
          <w:lang w:val="lv-LV"/>
        </w:rPr>
        <w:t xml:space="preserve"> nav pieņemama izskatīšanai un ir noraidāma atbilstoši Konvencijas 35. panta 3</w:t>
      </w:r>
      <w:r w:rsidR="00E362D7">
        <w:rPr>
          <w:lang w:val="lv-LV"/>
        </w:rPr>
        <w:t xml:space="preserve"> (</w:t>
      </w:r>
      <w:r w:rsidR="007607BA" w:rsidRPr="00CE6CB4">
        <w:rPr>
          <w:lang w:val="lv-LV"/>
        </w:rPr>
        <w:t xml:space="preserve"> b</w:t>
      </w:r>
      <w:r w:rsidR="00E362D7">
        <w:rPr>
          <w:lang w:val="lv-LV"/>
        </w:rPr>
        <w:t>)</w:t>
      </w:r>
      <w:r w:rsidR="007607BA" w:rsidRPr="00CE6CB4">
        <w:rPr>
          <w:lang w:val="lv-LV"/>
        </w:rPr>
        <w:t xml:space="preserve">. apakšpunktam. </w:t>
      </w:r>
      <w:r w:rsidR="00E362D7">
        <w:rPr>
          <w:lang w:val="lv-LV"/>
        </w:rPr>
        <w:t xml:space="preserve">Tā </w:t>
      </w:r>
      <w:r w:rsidR="007607BA" w:rsidRPr="00CE6CB4">
        <w:rPr>
          <w:lang w:val="lv-LV"/>
        </w:rPr>
        <w:t>uzsvēra, ka administratīvās tiesas</w:t>
      </w:r>
      <w:r w:rsidR="00E362D7">
        <w:rPr>
          <w:lang w:val="lv-LV"/>
        </w:rPr>
        <w:t xml:space="preserve"> divās instancēs</w:t>
      </w:r>
      <w:r w:rsidR="007607BA" w:rsidRPr="00CE6CB4">
        <w:rPr>
          <w:lang w:val="lv-LV"/>
        </w:rPr>
        <w:t xml:space="preserve"> ir izskatījušas iesniedzēja sūdzību pēc būtības un tas, ka spriedums nav kļuvis galīgs, neliedz piemērot Konvencijas 35. panta 3</w:t>
      </w:r>
      <w:r w:rsidR="006E4E53">
        <w:rPr>
          <w:lang w:val="lv-LV"/>
        </w:rPr>
        <w:t>(</w:t>
      </w:r>
      <w:r w:rsidR="007607BA" w:rsidRPr="00CE6CB4">
        <w:rPr>
          <w:lang w:val="lv-LV"/>
        </w:rPr>
        <w:t>b</w:t>
      </w:r>
      <w:r w:rsidR="006E4E53">
        <w:rPr>
          <w:lang w:val="lv-LV"/>
        </w:rPr>
        <w:t>)</w:t>
      </w:r>
      <w:r w:rsidR="007607BA" w:rsidRPr="00CE6CB4">
        <w:rPr>
          <w:lang w:val="lv-LV"/>
        </w:rPr>
        <w:t>. apakšpunktu.</w:t>
      </w:r>
    </w:p>
    <w:p w:rsidR="007607BA" w:rsidRPr="00CE6CB4" w:rsidRDefault="00496581" w:rsidP="00743D39">
      <w:pPr>
        <w:pStyle w:val="ECHRPara"/>
        <w:rPr>
          <w:lang w:val="lv-LV"/>
        </w:rPr>
      </w:pPr>
      <w:r w:rsidRPr="00CE6CB4">
        <w:rPr>
          <w:lang w:val="lv-LV"/>
        </w:rPr>
        <w:fldChar w:fldCharType="begin"/>
      </w:r>
      <w:r w:rsidRPr="00CE6CB4">
        <w:rPr>
          <w:lang w:val="lv-LV"/>
        </w:rPr>
        <w:instrText xml:space="preserve"> SEQ level0 \*arabic </w:instrText>
      </w:r>
      <w:r w:rsidRPr="00CE6CB4">
        <w:rPr>
          <w:lang w:val="lv-LV"/>
        </w:rPr>
        <w:fldChar w:fldCharType="separate"/>
      </w:r>
      <w:r w:rsidR="006260D9" w:rsidRPr="00CE6CB4">
        <w:rPr>
          <w:noProof/>
          <w:lang w:val="lv-LV"/>
        </w:rPr>
        <w:t>34</w:t>
      </w:r>
      <w:r w:rsidRPr="00CE6CB4">
        <w:rPr>
          <w:lang w:val="lv-LV"/>
        </w:rPr>
        <w:fldChar w:fldCharType="end"/>
      </w:r>
      <w:r w:rsidRPr="00CE6CB4">
        <w:rPr>
          <w:lang w:val="lv-LV"/>
        </w:rPr>
        <w:t>.  </w:t>
      </w:r>
      <w:r w:rsidR="007607BA" w:rsidRPr="00CE6CB4">
        <w:rPr>
          <w:lang w:val="lv-LV"/>
        </w:rPr>
        <w:t>Iesniedzējs apstrīdēja Valdības argumentu.</w:t>
      </w:r>
    </w:p>
    <w:p w:rsidR="007607BA" w:rsidRPr="00CE6CB4" w:rsidRDefault="00445832" w:rsidP="00743D39">
      <w:pPr>
        <w:pStyle w:val="ECHRPara"/>
        <w:rPr>
          <w:lang w:val="lv-LV"/>
        </w:rPr>
      </w:pPr>
      <w:r w:rsidRPr="00CE6CB4">
        <w:rPr>
          <w:lang w:val="lv-LV"/>
        </w:rPr>
        <w:fldChar w:fldCharType="begin"/>
      </w:r>
      <w:r w:rsidRPr="00CE6CB4">
        <w:rPr>
          <w:lang w:val="lv-LV"/>
        </w:rPr>
        <w:instrText xml:space="preserve"> SEQ level0 \*arabic </w:instrText>
      </w:r>
      <w:r w:rsidRPr="00CE6CB4">
        <w:rPr>
          <w:lang w:val="lv-LV"/>
        </w:rPr>
        <w:fldChar w:fldCharType="separate"/>
      </w:r>
      <w:r w:rsidR="006260D9" w:rsidRPr="00CE6CB4">
        <w:rPr>
          <w:noProof/>
          <w:lang w:val="lv-LV"/>
        </w:rPr>
        <w:t>35</w:t>
      </w:r>
      <w:r w:rsidRPr="00CE6CB4">
        <w:rPr>
          <w:lang w:val="lv-LV"/>
        </w:rPr>
        <w:fldChar w:fldCharType="end"/>
      </w:r>
      <w:r w:rsidRPr="00CE6CB4">
        <w:rPr>
          <w:lang w:val="lv-LV"/>
        </w:rPr>
        <w:t>.  </w:t>
      </w:r>
      <w:r w:rsidR="007607BA" w:rsidRPr="00CE6CB4">
        <w:rPr>
          <w:lang w:val="lv-LV"/>
        </w:rPr>
        <w:t xml:space="preserve">Tiesa atsaucas uz savu </w:t>
      </w:r>
      <w:r w:rsidR="007607BA" w:rsidRPr="00CE6CB4">
        <w:rPr>
          <w:i/>
          <w:lang w:val="lv-LV"/>
        </w:rPr>
        <w:t>de minimis</w:t>
      </w:r>
      <w:r w:rsidR="007607BA" w:rsidRPr="00CE6CB4">
        <w:rPr>
          <w:lang w:val="lv-LV"/>
        </w:rPr>
        <w:t xml:space="preserve"> principa interpretāciju, kas nesen apkopota citā </w:t>
      </w:r>
      <w:r w:rsidR="006E4E53">
        <w:rPr>
          <w:lang w:val="lv-LV"/>
        </w:rPr>
        <w:t xml:space="preserve">lietā </w:t>
      </w:r>
      <w:r w:rsidR="007607BA" w:rsidRPr="00CE6CB4">
        <w:rPr>
          <w:lang w:val="lv-LV"/>
        </w:rPr>
        <w:t xml:space="preserve">pret Latviju (lieta </w:t>
      </w:r>
      <w:r w:rsidR="007607BA" w:rsidRPr="00CE6CB4">
        <w:rPr>
          <w:i/>
          <w:lang w:val="lv-LV"/>
        </w:rPr>
        <w:t>Bannikov</w:t>
      </w:r>
      <w:r w:rsidR="007607BA" w:rsidRPr="00CE6CB4">
        <w:rPr>
          <w:lang w:val="lv-LV"/>
        </w:rPr>
        <w:t>, Nr. 19279/03, 57.</w:t>
      </w:r>
      <w:r w:rsidR="006E4E53">
        <w:rPr>
          <w:lang w:val="lv-LV"/>
        </w:rPr>
        <w:t>-</w:t>
      </w:r>
      <w:r w:rsidR="007607BA" w:rsidRPr="00CE6CB4">
        <w:rPr>
          <w:lang w:val="lv-LV"/>
        </w:rPr>
        <w:t xml:space="preserve"> 58. rindkopa, 2013. gada 11. jūnijs), proti, </w:t>
      </w:r>
      <w:r w:rsidR="00B13BD7" w:rsidRPr="00CE6CB4">
        <w:rPr>
          <w:lang w:val="lv-LV"/>
        </w:rPr>
        <w:t>T</w:t>
      </w:r>
      <w:r w:rsidR="007607BA" w:rsidRPr="00CE6CB4">
        <w:rPr>
          <w:lang w:val="lv-LV"/>
        </w:rPr>
        <w:t>iesa, pirmkārt, iz</w:t>
      </w:r>
      <w:r w:rsidR="006E4E53">
        <w:rPr>
          <w:lang w:val="lv-LV"/>
        </w:rPr>
        <w:t>vērtēs</w:t>
      </w:r>
      <w:r w:rsidR="007607BA" w:rsidRPr="00CE6CB4">
        <w:rPr>
          <w:lang w:val="lv-LV"/>
        </w:rPr>
        <w:t xml:space="preserve">, </w:t>
      </w:r>
      <w:r w:rsidR="007607BA" w:rsidRPr="00CE6CB4">
        <w:rPr>
          <w:rStyle w:val="sb8d990e2"/>
          <w:szCs w:val="24"/>
          <w:lang w:val="lv-LV"/>
        </w:rPr>
        <w:t xml:space="preserve">vai iesniedzējs ir cietis būtisku kaitējumu, otrkārt, vai cilvēktiesību ievērošana </w:t>
      </w:r>
      <w:r w:rsidR="005220C8">
        <w:rPr>
          <w:rStyle w:val="sb8d990e2"/>
          <w:szCs w:val="24"/>
          <w:lang w:val="lv-LV"/>
        </w:rPr>
        <w:t xml:space="preserve">kā tā noteikta </w:t>
      </w:r>
      <w:r w:rsidR="007607BA" w:rsidRPr="00CE6CB4">
        <w:rPr>
          <w:rStyle w:val="sb8d990e2"/>
          <w:szCs w:val="24"/>
          <w:lang w:val="lv-LV"/>
        </w:rPr>
        <w:t>Konvencij</w:t>
      </w:r>
      <w:r w:rsidR="005220C8">
        <w:rPr>
          <w:rStyle w:val="sb8d990e2"/>
          <w:szCs w:val="24"/>
          <w:lang w:val="lv-LV"/>
        </w:rPr>
        <w:t>ā</w:t>
      </w:r>
      <w:r w:rsidR="007607BA" w:rsidRPr="00CE6CB4">
        <w:rPr>
          <w:rStyle w:val="sb8d990e2"/>
          <w:szCs w:val="24"/>
          <w:lang w:val="lv-LV"/>
        </w:rPr>
        <w:t xml:space="preserve"> un tai pievienotaj</w:t>
      </w:r>
      <w:r w:rsidR="005220C8">
        <w:rPr>
          <w:rStyle w:val="sb8d990e2"/>
          <w:szCs w:val="24"/>
          <w:lang w:val="lv-LV"/>
        </w:rPr>
        <w:t>os</w:t>
      </w:r>
      <w:r w:rsidR="007607BA" w:rsidRPr="00CE6CB4">
        <w:rPr>
          <w:rStyle w:val="sb8d990e2"/>
          <w:szCs w:val="24"/>
          <w:lang w:val="lv-LV"/>
        </w:rPr>
        <w:t xml:space="preserve"> protokol</w:t>
      </w:r>
      <w:r w:rsidR="005220C8">
        <w:rPr>
          <w:rStyle w:val="sb8d990e2"/>
          <w:szCs w:val="24"/>
          <w:lang w:val="lv-LV"/>
        </w:rPr>
        <w:t>os</w:t>
      </w:r>
      <w:r w:rsidR="007607BA" w:rsidRPr="00CE6CB4">
        <w:rPr>
          <w:rStyle w:val="sb8d990e2"/>
          <w:szCs w:val="24"/>
          <w:lang w:val="lv-LV"/>
        </w:rPr>
        <w:t xml:space="preserve"> rada nepieciešamību izskatīt iesniegumu pēc būtības, treškārt, vai nacionālā tiesa ir pienācīgi izvērtējusi lietu (skatīt arī lietu </w:t>
      </w:r>
      <w:r w:rsidR="007607BA" w:rsidRPr="00CE6CB4">
        <w:rPr>
          <w:rStyle w:val="sb8d990e2"/>
          <w:i/>
          <w:szCs w:val="24"/>
          <w:lang w:val="lv-LV"/>
        </w:rPr>
        <w:t xml:space="preserve">Zwinkels </w:t>
      </w:r>
      <w:r w:rsidR="007607BA" w:rsidRPr="00EF35E7">
        <w:rPr>
          <w:rStyle w:val="sb8d990e2"/>
          <w:i/>
          <w:szCs w:val="24"/>
          <w:lang w:val="lv-LV"/>
        </w:rPr>
        <w:t>pret Nīderlandi</w:t>
      </w:r>
      <w:r w:rsidR="007607BA" w:rsidRPr="00CE6CB4">
        <w:rPr>
          <w:rStyle w:val="sb8d990e2"/>
          <w:szCs w:val="24"/>
          <w:lang w:val="lv-LV"/>
        </w:rPr>
        <w:t xml:space="preserve"> (lēmums), Nr. </w:t>
      </w:r>
      <w:r w:rsidR="007607BA" w:rsidRPr="00CE6CB4">
        <w:rPr>
          <w:rStyle w:val="sb8d990e2"/>
          <w:lang w:val="lv-LV"/>
        </w:rPr>
        <w:t>16593/10</w:t>
      </w:r>
      <w:r w:rsidR="00F64BBE" w:rsidRPr="00CE6CB4">
        <w:rPr>
          <w:rStyle w:val="sb8d990e2"/>
          <w:lang w:val="lv-LV"/>
        </w:rPr>
        <w:t xml:space="preserve">, 24. rindkopa, </w:t>
      </w:r>
      <w:r w:rsidR="007607BA" w:rsidRPr="00CE6CB4">
        <w:rPr>
          <w:rStyle w:val="sb8d990e2"/>
          <w:szCs w:val="24"/>
          <w:lang w:val="lv-LV"/>
        </w:rPr>
        <w:t>2012. gada 9.</w:t>
      </w:r>
      <w:r w:rsidR="00B13BD7" w:rsidRPr="00CE6CB4">
        <w:rPr>
          <w:rStyle w:val="sb8d990e2"/>
          <w:szCs w:val="24"/>
          <w:lang w:val="lv-LV"/>
        </w:rPr>
        <w:t xml:space="preserve"> </w:t>
      </w:r>
      <w:r w:rsidR="007607BA" w:rsidRPr="00CE6CB4">
        <w:rPr>
          <w:rStyle w:val="sb8d990e2"/>
          <w:szCs w:val="24"/>
          <w:lang w:val="lv-LV"/>
        </w:rPr>
        <w:t>oktobr</w:t>
      </w:r>
      <w:r w:rsidR="00F64BBE" w:rsidRPr="00CE6CB4">
        <w:rPr>
          <w:rStyle w:val="sb8d990e2"/>
          <w:szCs w:val="24"/>
          <w:lang w:val="lv-LV"/>
        </w:rPr>
        <w:t xml:space="preserve">is). </w:t>
      </w:r>
    </w:p>
    <w:p w:rsidR="007607BA" w:rsidRPr="00CE6CB4" w:rsidRDefault="00F64BBE" w:rsidP="00743D39">
      <w:pPr>
        <w:pStyle w:val="ECHRPara"/>
        <w:rPr>
          <w:lang w:val="lv-LV"/>
        </w:rPr>
      </w:pPr>
      <w:r w:rsidRPr="00CE6CB4">
        <w:rPr>
          <w:lang w:val="lv-LV"/>
        </w:rPr>
        <w:t>36. Saistībā ar pirmo izskatāmo jautājumu Tiesa atzīst, ka administratīvās tiesas (pirms piekritības noraidīšanas)</w:t>
      </w:r>
      <w:r w:rsidR="00B13BD7" w:rsidRPr="00CE6CB4">
        <w:rPr>
          <w:lang w:val="lv-LV"/>
        </w:rPr>
        <w:t>,</w:t>
      </w:r>
      <w:r w:rsidRPr="00CE6CB4">
        <w:rPr>
          <w:lang w:val="lv-LV"/>
        </w:rPr>
        <w:t xml:space="preserve"> piemērojušas Tiesas noteiktos principus atbilstoši Konvencijas 3. pantam (skatīt iepriekš 18. </w:t>
      </w:r>
      <w:r w:rsidR="005220C8">
        <w:rPr>
          <w:lang w:val="lv-LV"/>
        </w:rPr>
        <w:t>-</w:t>
      </w:r>
      <w:r w:rsidRPr="00CE6CB4">
        <w:rPr>
          <w:lang w:val="lv-LV"/>
        </w:rPr>
        <w:t xml:space="preserve"> 19. rindkopa</w:t>
      </w:r>
      <w:r w:rsidR="005220C8">
        <w:rPr>
          <w:lang w:val="lv-LV"/>
        </w:rPr>
        <w:t>s</w:t>
      </w:r>
      <w:r w:rsidRPr="00CE6CB4">
        <w:rPr>
          <w:lang w:val="lv-LV"/>
        </w:rPr>
        <w:t>), atzina iesniedzēja sūdzības būtību. T</w:t>
      </w:r>
      <w:r w:rsidR="00B13BD7" w:rsidRPr="00CE6CB4">
        <w:rPr>
          <w:lang w:val="lv-LV"/>
        </w:rPr>
        <w:t>ā kā</w:t>
      </w:r>
      <w:r w:rsidRPr="00CE6CB4">
        <w:rPr>
          <w:lang w:val="lv-LV"/>
        </w:rPr>
        <w:t xml:space="preserve"> nebija nekāda tiesiska pamata piemērot iesniedzējam attiecīgo ieslodzījuma režīmu</w:t>
      </w:r>
      <w:r w:rsidR="00B13BD7" w:rsidRPr="00CE6CB4">
        <w:rPr>
          <w:lang w:val="lv-LV"/>
        </w:rPr>
        <w:t xml:space="preserve"> uz astoņpadsmit dienām</w:t>
      </w:r>
      <w:r w:rsidRPr="00CE6CB4">
        <w:rPr>
          <w:lang w:val="lv-LV"/>
        </w:rPr>
        <w:t xml:space="preserve">, </w:t>
      </w:r>
      <w:r w:rsidR="00B13BD7" w:rsidRPr="00CE6CB4">
        <w:rPr>
          <w:lang w:val="lv-LV"/>
        </w:rPr>
        <w:t xml:space="preserve">Tiesa secina, ka </w:t>
      </w:r>
      <w:r w:rsidRPr="00CE6CB4">
        <w:rPr>
          <w:lang w:val="lv-LV"/>
        </w:rPr>
        <w:t xml:space="preserve">iesniedzējs </w:t>
      </w:r>
      <w:r w:rsidR="00B13BD7" w:rsidRPr="00CE6CB4">
        <w:rPr>
          <w:lang w:val="lv-LV"/>
        </w:rPr>
        <w:t>ir cietis</w:t>
      </w:r>
      <w:r w:rsidRPr="00CE6CB4">
        <w:rPr>
          <w:lang w:val="lv-LV"/>
        </w:rPr>
        <w:t xml:space="preserve"> kaitējumu, kuru nevar uzskatīt par nebūtisku. </w:t>
      </w:r>
      <w:r w:rsidR="00CE6CB4" w:rsidRPr="00CE6CB4">
        <w:rPr>
          <w:lang w:val="lv-LV"/>
        </w:rPr>
        <w:t>Līdz ar to nav</w:t>
      </w:r>
      <w:r w:rsidRPr="00CE6CB4">
        <w:rPr>
          <w:lang w:val="lv-LV"/>
        </w:rPr>
        <w:t xml:space="preserve"> nepieciešams izskatīt ab</w:t>
      </w:r>
      <w:r w:rsidR="005220C8">
        <w:rPr>
          <w:lang w:val="lv-LV"/>
        </w:rPr>
        <w:t>a</w:t>
      </w:r>
      <w:r w:rsidRPr="00CE6CB4">
        <w:rPr>
          <w:lang w:val="lv-LV"/>
        </w:rPr>
        <w:t xml:space="preserve">s “drošības </w:t>
      </w:r>
      <w:r w:rsidR="005220C8">
        <w:rPr>
          <w:lang w:val="lv-LV"/>
        </w:rPr>
        <w:t>klauzulas</w:t>
      </w:r>
      <w:r w:rsidRPr="00CE6CB4">
        <w:rPr>
          <w:lang w:val="lv-LV"/>
        </w:rPr>
        <w:t xml:space="preserve">” (skatīt arī lietas </w:t>
      </w:r>
      <w:r w:rsidRPr="00CE6CB4">
        <w:rPr>
          <w:i/>
          <w:lang w:val="lv-LV"/>
        </w:rPr>
        <w:t>Giusti</w:t>
      </w:r>
      <w:r w:rsidRPr="00CE6CB4">
        <w:rPr>
          <w:lang w:val="lv-LV"/>
        </w:rPr>
        <w:t xml:space="preserve"> </w:t>
      </w:r>
      <w:r w:rsidRPr="00EF35E7">
        <w:rPr>
          <w:i/>
          <w:lang w:val="lv-LV"/>
        </w:rPr>
        <w:t>pret Itāliju</w:t>
      </w:r>
      <w:r w:rsidRPr="00CE6CB4">
        <w:rPr>
          <w:lang w:val="lv-LV"/>
        </w:rPr>
        <w:t xml:space="preserve">, Nr. 13175/03, 23. rindkopa, 2011. gada 18. oktobris, un </w:t>
      </w:r>
      <w:r w:rsidRPr="00CE6CB4">
        <w:rPr>
          <w:i/>
          <w:lang w:val="lv-LV"/>
        </w:rPr>
        <w:t>Van Velden</w:t>
      </w:r>
      <w:r w:rsidRPr="00CE6CB4">
        <w:rPr>
          <w:lang w:val="lv-LV"/>
        </w:rPr>
        <w:t xml:space="preserve"> </w:t>
      </w:r>
      <w:r w:rsidRPr="00EF35E7">
        <w:rPr>
          <w:i/>
          <w:lang w:val="lv-LV"/>
        </w:rPr>
        <w:t>pret Nīderlandi</w:t>
      </w:r>
      <w:r w:rsidRPr="00CE6CB4">
        <w:rPr>
          <w:lang w:val="lv-LV"/>
        </w:rPr>
        <w:t xml:space="preserve">, Nr. 30666/08, 31. </w:t>
      </w:r>
      <w:r w:rsidR="005220C8">
        <w:rPr>
          <w:lang w:val="lv-LV"/>
        </w:rPr>
        <w:t>-</w:t>
      </w:r>
      <w:r w:rsidRPr="00CE6CB4">
        <w:rPr>
          <w:lang w:val="lv-LV"/>
        </w:rPr>
        <w:t xml:space="preserve"> 37. rindkopa, 2011. gada 19. jūlijs).</w:t>
      </w:r>
    </w:p>
    <w:p w:rsidR="007607BA" w:rsidRPr="00CE6CB4" w:rsidRDefault="0097151F" w:rsidP="00743D39">
      <w:pPr>
        <w:pStyle w:val="ECHRPara"/>
        <w:rPr>
          <w:lang w:val="lv-LV"/>
        </w:rPr>
      </w:pPr>
      <w:r w:rsidRPr="00CE6CB4">
        <w:rPr>
          <w:lang w:val="lv-LV"/>
        </w:rPr>
        <w:t>37. Valdība nav iesniegusi nevienu cit</w:t>
      </w:r>
      <w:r w:rsidR="00B13BD7" w:rsidRPr="00CE6CB4">
        <w:rPr>
          <w:lang w:val="lv-LV"/>
        </w:rPr>
        <w:t>u pamatojumu, k</w:t>
      </w:r>
      <w:r w:rsidRPr="00CE6CB4">
        <w:rPr>
          <w:lang w:val="lv-LV"/>
        </w:rPr>
        <w:t xml:space="preserve">ādēļ sūdzību vajadzētu </w:t>
      </w:r>
      <w:r w:rsidR="00B13BD7" w:rsidRPr="00CE6CB4">
        <w:rPr>
          <w:lang w:val="lv-LV"/>
        </w:rPr>
        <w:t>atzīt</w:t>
      </w:r>
      <w:r w:rsidRPr="00CE6CB4">
        <w:rPr>
          <w:lang w:val="lv-LV"/>
        </w:rPr>
        <w:t xml:space="preserve"> par nepieņemamu.</w:t>
      </w:r>
    </w:p>
    <w:p w:rsidR="007607BA" w:rsidRPr="00CE6CB4" w:rsidRDefault="0097151F" w:rsidP="00743D39">
      <w:pPr>
        <w:pStyle w:val="ECHRPara"/>
        <w:rPr>
          <w:lang w:val="lv-LV"/>
        </w:rPr>
      </w:pPr>
      <w:r w:rsidRPr="00CE6CB4">
        <w:rPr>
          <w:lang w:val="lv-LV"/>
        </w:rPr>
        <w:t xml:space="preserve">38. </w:t>
      </w:r>
      <w:r w:rsidR="00CE6CB4" w:rsidRPr="00CE6CB4">
        <w:rPr>
          <w:lang w:val="lv-LV"/>
        </w:rPr>
        <w:t>Līdz ar to</w:t>
      </w:r>
      <w:r w:rsidRPr="00CE6CB4">
        <w:rPr>
          <w:lang w:val="lv-LV"/>
        </w:rPr>
        <w:t xml:space="preserve"> sūdzība nav nepieņemama izskatīšanai arī uz kādiem citiem pamatiem.</w:t>
      </w:r>
      <w:r w:rsidR="00CE6CB4" w:rsidRPr="00CE6CB4">
        <w:rPr>
          <w:lang w:val="lv-LV"/>
        </w:rPr>
        <w:t xml:space="preserve"> Tādējādi tā ir atzīstama par pieņemamu izskatīšanai.</w:t>
      </w:r>
    </w:p>
    <w:p w:rsidR="008D18CE" w:rsidRPr="00CE6CB4" w:rsidRDefault="00CD3C64" w:rsidP="00CD3C64">
      <w:pPr>
        <w:pStyle w:val="ECHRHeading3"/>
        <w:rPr>
          <w:lang w:val="lv-LV"/>
        </w:rPr>
      </w:pPr>
      <w:r w:rsidRPr="00CE6CB4">
        <w:rPr>
          <w:lang w:val="lv-LV"/>
        </w:rPr>
        <w:lastRenderedPageBreak/>
        <w:t>2</w:t>
      </w:r>
      <w:r w:rsidR="00014566" w:rsidRPr="00CE6CB4">
        <w:rPr>
          <w:lang w:val="lv-LV"/>
        </w:rPr>
        <w:t>.  </w:t>
      </w:r>
      <w:r w:rsidR="00DA70E5" w:rsidRPr="00CE6CB4">
        <w:rPr>
          <w:lang w:val="lv-LV"/>
        </w:rPr>
        <w:t>Lietas būtība</w:t>
      </w:r>
    </w:p>
    <w:p w:rsidR="00A44C53" w:rsidRPr="00CE6CB4" w:rsidRDefault="00E86FF1" w:rsidP="00E86FF1">
      <w:pPr>
        <w:pStyle w:val="ECHRHeading4"/>
        <w:rPr>
          <w:lang w:val="lv-LV"/>
        </w:rPr>
      </w:pPr>
      <w:r w:rsidRPr="00CE6CB4">
        <w:rPr>
          <w:lang w:val="lv-LV"/>
        </w:rPr>
        <w:t>(a)  </w:t>
      </w:r>
      <w:r w:rsidR="00DA70E5" w:rsidRPr="00CE6CB4">
        <w:rPr>
          <w:lang w:val="lv-LV"/>
        </w:rPr>
        <w:t xml:space="preserve">Pušu </w:t>
      </w:r>
      <w:r w:rsidR="005220C8" w:rsidRPr="00CE6CB4">
        <w:rPr>
          <w:lang w:val="lv-LV"/>
        </w:rPr>
        <w:t>ap</w:t>
      </w:r>
      <w:r w:rsidR="005220C8">
        <w:rPr>
          <w:lang w:val="lv-LV"/>
        </w:rPr>
        <w:t>svērumi</w:t>
      </w:r>
    </w:p>
    <w:p w:rsidR="00DA70E5" w:rsidRPr="00CE6CB4" w:rsidRDefault="003071EE" w:rsidP="00C621C2">
      <w:pPr>
        <w:pStyle w:val="ECHRPara"/>
        <w:rPr>
          <w:lang w:val="lv-LV"/>
        </w:rPr>
      </w:pPr>
      <w:r w:rsidRPr="00CE6CB4">
        <w:rPr>
          <w:lang w:val="lv-LV"/>
        </w:rPr>
        <w:fldChar w:fldCharType="begin"/>
      </w:r>
      <w:r w:rsidRPr="00CE6CB4">
        <w:rPr>
          <w:lang w:val="lv-LV"/>
        </w:rPr>
        <w:instrText xml:space="preserve"> SEQ level0 \*arabic </w:instrText>
      </w:r>
      <w:r w:rsidRPr="00CE6CB4">
        <w:rPr>
          <w:lang w:val="lv-LV"/>
        </w:rPr>
        <w:fldChar w:fldCharType="separate"/>
      </w:r>
      <w:r w:rsidR="006260D9" w:rsidRPr="00CE6CB4">
        <w:rPr>
          <w:noProof/>
          <w:lang w:val="lv-LV"/>
        </w:rPr>
        <w:t>39</w:t>
      </w:r>
      <w:r w:rsidRPr="00CE6CB4">
        <w:rPr>
          <w:lang w:val="lv-LV"/>
        </w:rPr>
        <w:fldChar w:fldCharType="end"/>
      </w:r>
      <w:r w:rsidR="00014566" w:rsidRPr="00CE6CB4">
        <w:rPr>
          <w:lang w:val="lv-LV"/>
        </w:rPr>
        <w:t>.  </w:t>
      </w:r>
      <w:r w:rsidR="00DA70E5" w:rsidRPr="00CE6CB4">
        <w:rPr>
          <w:lang w:val="lv-LV"/>
        </w:rPr>
        <w:t>Iesniedzējs apgalvoja</w:t>
      </w:r>
      <w:r w:rsidR="00E353F2">
        <w:rPr>
          <w:lang w:val="lv-LV"/>
        </w:rPr>
        <w:t>,</w:t>
      </w:r>
      <w:r w:rsidR="00DA70E5" w:rsidRPr="00CE6CB4">
        <w:rPr>
          <w:lang w:val="lv-LV"/>
        </w:rPr>
        <w:t xml:space="preserve"> ka viņa prettiesiskā izvietošana stingra režīma </w:t>
      </w:r>
      <w:r w:rsidR="00E353F2">
        <w:rPr>
          <w:lang w:val="lv-LV"/>
        </w:rPr>
        <w:t>ieslodzījuma vietā</w:t>
      </w:r>
      <w:r w:rsidR="00DA70E5" w:rsidRPr="00CE6CB4">
        <w:rPr>
          <w:lang w:val="lv-LV"/>
        </w:rPr>
        <w:t xml:space="preserve"> uz astoņpadsmit dienām</w:t>
      </w:r>
      <w:r w:rsidR="00A85B7E">
        <w:rPr>
          <w:lang w:val="lv-LV"/>
        </w:rPr>
        <w:t xml:space="preserve"> ir uzskatāma par apiešanos, kuru aizliedz 3.pants</w:t>
      </w:r>
      <w:r w:rsidR="00DA70E5" w:rsidRPr="00CE6CB4">
        <w:rPr>
          <w:lang w:val="lv-LV"/>
        </w:rPr>
        <w:t>. Lai pamatotu savu apgalvojumu</w:t>
      </w:r>
      <w:r w:rsidR="00E353F2">
        <w:rPr>
          <w:lang w:val="lv-LV"/>
        </w:rPr>
        <w:t>,</w:t>
      </w:r>
      <w:r w:rsidR="00DA70E5" w:rsidRPr="00CE6CB4">
        <w:rPr>
          <w:lang w:val="lv-LV"/>
        </w:rPr>
        <w:t xml:space="preserve"> </w:t>
      </w:r>
      <w:r w:rsidR="00E353F2">
        <w:rPr>
          <w:lang w:val="lv-LV"/>
        </w:rPr>
        <w:t>iesniedzējs</w:t>
      </w:r>
      <w:r w:rsidR="00DA70E5" w:rsidRPr="00CE6CB4">
        <w:rPr>
          <w:lang w:val="lv-LV"/>
        </w:rPr>
        <w:t xml:space="preserve"> norādīja, ka šajā laikā viņam bija atņemtas </w:t>
      </w:r>
      <w:r w:rsidR="00E353F2">
        <w:rPr>
          <w:lang w:val="lv-LV"/>
        </w:rPr>
        <w:t xml:space="preserve">tās </w:t>
      </w:r>
      <w:r w:rsidR="00DA70E5" w:rsidRPr="00CE6CB4">
        <w:rPr>
          <w:lang w:val="lv-LV"/>
        </w:rPr>
        <w:t xml:space="preserve">ieslodzīto tiesības, kuras viņam pienācās saskaņā ar nacionālajiem tiesību aktiem. It īpaši viņš bija spiests visu dienu, izņemot vienu stundu, pavadīt kamerā ar vienpadsmit citiem ieslodzītajiem, elpojot viņu cigarešu dūmus, lai gan pats nesmēķēja. Iesniedzējs arī apgalvoja, ka </w:t>
      </w:r>
      <w:r w:rsidR="00E353F2">
        <w:rPr>
          <w:lang w:val="lv-LV"/>
        </w:rPr>
        <w:t>viņš bija izvietots</w:t>
      </w:r>
      <w:r w:rsidR="00DA70E5" w:rsidRPr="00CE6CB4">
        <w:rPr>
          <w:lang w:val="lv-LV"/>
        </w:rPr>
        <w:t xml:space="preserve"> Daugavpils cietumā </w:t>
      </w:r>
      <w:r w:rsidR="00E353F2">
        <w:rPr>
          <w:lang w:val="lv-LV"/>
        </w:rPr>
        <w:t>laikā, kad</w:t>
      </w:r>
      <w:r w:rsidR="00DA70E5" w:rsidRPr="00CE6CB4">
        <w:rPr>
          <w:lang w:val="lv-LV"/>
        </w:rPr>
        <w:t xml:space="preserve"> </w:t>
      </w:r>
      <w:r w:rsidR="00E353F2">
        <w:rPr>
          <w:lang w:val="lv-LV"/>
        </w:rPr>
        <w:t>apstākļi šajā cietumā</w:t>
      </w:r>
      <w:r w:rsidR="00DA70E5" w:rsidRPr="00CE6CB4">
        <w:rPr>
          <w:lang w:val="lv-LV"/>
        </w:rPr>
        <w:t xml:space="preserve"> neatbilda Konvencijas 3. panta prasībām, kā Tiesa to bija atzinusi lietā </w:t>
      </w:r>
      <w:r w:rsidR="00DA70E5" w:rsidRPr="00EF35E7">
        <w:rPr>
          <w:i/>
          <w:lang w:val="lv-LV"/>
        </w:rPr>
        <w:t>Savičs pret Latviju</w:t>
      </w:r>
      <w:r w:rsidR="00DA70E5" w:rsidRPr="00CE6CB4">
        <w:rPr>
          <w:lang w:val="lv-LV"/>
        </w:rPr>
        <w:t xml:space="preserve"> (</w:t>
      </w:r>
      <w:r w:rsidR="00E353F2">
        <w:rPr>
          <w:lang w:val="lv-LV"/>
        </w:rPr>
        <w:t xml:space="preserve">Nr. </w:t>
      </w:r>
      <w:r w:rsidR="00DA70E5" w:rsidRPr="00CE6CB4">
        <w:rPr>
          <w:lang w:val="lv-LV"/>
        </w:rPr>
        <w:t xml:space="preserve">17892/03, 2012. gada 27. novembris). Taču, atšķirībā </w:t>
      </w:r>
      <w:r w:rsidR="00E353F2">
        <w:rPr>
          <w:lang w:val="lv-LV"/>
        </w:rPr>
        <w:t xml:space="preserve">no </w:t>
      </w:r>
      <w:r w:rsidR="00DA70E5" w:rsidRPr="00CE6CB4">
        <w:rPr>
          <w:lang w:val="lv-LV"/>
        </w:rPr>
        <w:t>apstākļiem</w:t>
      </w:r>
      <w:r w:rsidR="00FB37AD">
        <w:rPr>
          <w:lang w:val="lv-LV"/>
        </w:rPr>
        <w:t xml:space="preserve"> </w:t>
      </w:r>
      <w:r w:rsidR="00FB37AD">
        <w:rPr>
          <w:i/>
          <w:lang w:val="lv-LV"/>
        </w:rPr>
        <w:t>Saviča</w:t>
      </w:r>
      <w:r w:rsidR="00DA70E5" w:rsidRPr="00CE6CB4">
        <w:rPr>
          <w:lang w:val="lv-LV"/>
        </w:rPr>
        <w:t xml:space="preserve"> lietā, šajā gadījumā iesniedzējs </w:t>
      </w:r>
      <w:r w:rsidR="001B5112">
        <w:rPr>
          <w:lang w:val="lv-LV"/>
        </w:rPr>
        <w:t>tika</w:t>
      </w:r>
      <w:r w:rsidR="00DA70E5" w:rsidRPr="00CE6CB4">
        <w:rPr>
          <w:lang w:val="lv-LV"/>
        </w:rPr>
        <w:t xml:space="preserve"> turēts </w:t>
      </w:r>
      <w:r w:rsidR="001B5112">
        <w:rPr>
          <w:lang w:val="lv-LV"/>
        </w:rPr>
        <w:t>šādos</w:t>
      </w:r>
      <w:r w:rsidR="00DA70E5" w:rsidRPr="00CE6CB4">
        <w:rPr>
          <w:lang w:val="lv-LV"/>
        </w:rPr>
        <w:t xml:space="preserve"> apstākļos bez jebkāda tiesiska pamata.</w:t>
      </w:r>
    </w:p>
    <w:p w:rsidR="00461250" w:rsidRPr="00CE6CB4" w:rsidRDefault="00DC5322" w:rsidP="00E86FF1">
      <w:pPr>
        <w:pStyle w:val="ECHRPara"/>
        <w:rPr>
          <w:lang w:val="lv-LV"/>
        </w:rPr>
      </w:pPr>
      <w:r w:rsidRPr="00CE6CB4">
        <w:rPr>
          <w:lang w:val="lv-LV"/>
        </w:rPr>
        <w:fldChar w:fldCharType="begin"/>
      </w:r>
      <w:r w:rsidRPr="00CE6CB4">
        <w:rPr>
          <w:lang w:val="lv-LV"/>
        </w:rPr>
        <w:instrText xml:space="preserve"> SEQ level0 \*arabic </w:instrText>
      </w:r>
      <w:r w:rsidRPr="00CE6CB4">
        <w:rPr>
          <w:lang w:val="lv-LV"/>
        </w:rPr>
        <w:fldChar w:fldCharType="separate"/>
      </w:r>
      <w:r w:rsidR="006260D9" w:rsidRPr="00CE6CB4">
        <w:rPr>
          <w:noProof/>
          <w:lang w:val="lv-LV"/>
        </w:rPr>
        <w:t>40</w:t>
      </w:r>
      <w:r w:rsidRPr="00CE6CB4">
        <w:rPr>
          <w:lang w:val="lv-LV"/>
        </w:rPr>
        <w:fldChar w:fldCharType="end"/>
      </w:r>
      <w:r w:rsidR="00982DC2" w:rsidRPr="00CE6CB4">
        <w:rPr>
          <w:lang w:val="lv-LV"/>
        </w:rPr>
        <w:t>.  </w:t>
      </w:r>
      <w:r w:rsidR="00461250" w:rsidRPr="00CE6CB4">
        <w:rPr>
          <w:lang w:val="lv-LV"/>
        </w:rPr>
        <w:t>Valdība neapstrīdēja, ka astoņpadsmit dien</w:t>
      </w:r>
      <w:r w:rsidR="00E353F2">
        <w:rPr>
          <w:lang w:val="lv-LV"/>
        </w:rPr>
        <w:t>as</w:t>
      </w:r>
      <w:r w:rsidR="00461250" w:rsidRPr="00CE6CB4">
        <w:rPr>
          <w:lang w:val="lv-LV"/>
        </w:rPr>
        <w:t>, kuras iesniedzējs pavadīja šajā cietumā, viņš nevarēja iesaistīties ār</w:t>
      </w:r>
      <w:r w:rsidR="00FB37AD">
        <w:rPr>
          <w:lang w:val="lv-LV"/>
        </w:rPr>
        <w:t>puskameras</w:t>
      </w:r>
      <w:r w:rsidR="00461250" w:rsidRPr="00CE6CB4">
        <w:rPr>
          <w:lang w:val="lv-LV"/>
        </w:rPr>
        <w:t xml:space="preserve"> aktivitātēs, jo cietumā  nebija pieejamas šādas iespējas. Taču saskaņā ar Valdību šie bija vienīgie ierobežojumi, kuriem viņš bija pakļauts, un tie neatbilda minimālajai nepieciešamajai smaguma pakāpei, kas </w:t>
      </w:r>
      <w:r w:rsidR="007F2CD7">
        <w:rPr>
          <w:lang w:val="lv-LV"/>
        </w:rPr>
        <w:t>nepieciešama</w:t>
      </w:r>
      <w:r w:rsidR="00461250" w:rsidRPr="00CE6CB4">
        <w:rPr>
          <w:lang w:val="lv-LV"/>
        </w:rPr>
        <w:t xml:space="preserve"> 3. pant</w:t>
      </w:r>
      <w:r w:rsidR="007F2CD7">
        <w:rPr>
          <w:lang w:val="lv-LV"/>
        </w:rPr>
        <w:t>a piemērošanai</w:t>
      </w:r>
      <w:r w:rsidR="00461250" w:rsidRPr="00CE6CB4">
        <w:rPr>
          <w:lang w:val="lv-LV"/>
        </w:rPr>
        <w:t>. Jebkurā gadījumā iesniedzējs nebija arī pamatojis savu sūdzību. Valdība uzsvēra, ka, tiklīdz</w:t>
      </w:r>
      <w:r w:rsidR="00FB37AD">
        <w:rPr>
          <w:lang w:val="lv-LV"/>
        </w:rPr>
        <w:t xml:space="preserve"> iesniedzējs</w:t>
      </w:r>
      <w:r w:rsidR="00461250" w:rsidRPr="00CE6CB4">
        <w:rPr>
          <w:lang w:val="lv-LV"/>
        </w:rPr>
        <w:t xml:space="preserve"> ieradās Daugavpils cietumā, vadība informēja Ieslodzījuma vietu </w:t>
      </w:r>
      <w:r w:rsidR="007D50CC" w:rsidRPr="00CE6CB4">
        <w:rPr>
          <w:lang w:val="lv-LV"/>
        </w:rPr>
        <w:t>pārvaldi</w:t>
      </w:r>
      <w:r w:rsidR="00461250" w:rsidRPr="00CE6CB4">
        <w:rPr>
          <w:lang w:val="lv-LV"/>
        </w:rPr>
        <w:t xml:space="preserve"> par to, ka cietums nespēj nodrošināt </w:t>
      </w:r>
      <w:r w:rsidR="007F2CD7">
        <w:rPr>
          <w:lang w:val="lv-LV"/>
        </w:rPr>
        <w:t>iesniedzēja</w:t>
      </w:r>
      <w:r w:rsidR="00461250" w:rsidRPr="00CE6CB4">
        <w:rPr>
          <w:lang w:val="lv-LV"/>
        </w:rPr>
        <w:t xml:space="preserve"> izvietošanu atbilstošā ieslodzījuma režīmā. Saskaņā ar Valdības apgalvojumu viņš joprojām varēja piedalīties ār</w:t>
      </w:r>
      <w:r w:rsidR="00FB37AD">
        <w:rPr>
          <w:lang w:val="lv-LV"/>
        </w:rPr>
        <w:t>puskameras</w:t>
      </w:r>
      <w:r w:rsidR="00461250" w:rsidRPr="00CE6CB4">
        <w:rPr>
          <w:lang w:val="lv-LV"/>
        </w:rPr>
        <w:t xml:space="preserve"> aktivitātēs vienu stundu dienā, </w:t>
      </w:r>
      <w:r w:rsidR="007F2CD7">
        <w:rPr>
          <w:lang w:val="lv-LV"/>
        </w:rPr>
        <w:t>taču</w:t>
      </w:r>
      <w:r w:rsidR="00461250" w:rsidRPr="00CE6CB4">
        <w:rPr>
          <w:lang w:val="lv-LV"/>
        </w:rPr>
        <w:t xml:space="preserve"> uz viņu attiecās noteikti ierobežojumi arī </w:t>
      </w:r>
      <w:r w:rsidR="00E353F2" w:rsidRPr="00CE6CB4">
        <w:rPr>
          <w:lang w:val="lv-LV"/>
        </w:rPr>
        <w:t>soda izciešanas režīm</w:t>
      </w:r>
      <w:r w:rsidR="00E353F2">
        <w:rPr>
          <w:lang w:val="lv-LV"/>
        </w:rPr>
        <w:t>a</w:t>
      </w:r>
      <w:r w:rsidR="00E353F2" w:rsidRPr="00CE6CB4">
        <w:rPr>
          <w:lang w:val="lv-LV"/>
        </w:rPr>
        <w:t xml:space="preserve"> </w:t>
      </w:r>
      <w:r w:rsidR="00461250" w:rsidRPr="00CE6CB4">
        <w:rPr>
          <w:lang w:val="lv-LV"/>
        </w:rPr>
        <w:t>vidējā</w:t>
      </w:r>
      <w:r w:rsidR="00E353F2">
        <w:rPr>
          <w:lang w:val="lv-LV"/>
        </w:rPr>
        <w:t xml:space="preserve"> pakāpē</w:t>
      </w:r>
      <w:r w:rsidR="00461250" w:rsidRPr="00CE6CB4">
        <w:rPr>
          <w:lang w:val="lv-LV"/>
        </w:rPr>
        <w:t xml:space="preserve">, jo viņam iepriekš bija piespriests nāvessods. Valdība apgalvoja, ka jebkurā gadījumā ieslodzījuma laikā Daugavpils cietumā iesniedzējs </w:t>
      </w:r>
      <w:r w:rsidR="00957DF6" w:rsidRPr="00CE6CB4">
        <w:rPr>
          <w:lang w:val="lv-LV"/>
        </w:rPr>
        <w:t xml:space="preserve">nemēģināja izmantot citas tiesības, piemēram, ieslodzījuma nodarbinātības iespējas un ieslodzījuma vietas kapelu. Viņi arī apgalvoja, ka </w:t>
      </w:r>
      <w:r w:rsidR="00FB37AD">
        <w:rPr>
          <w:lang w:val="lv-LV"/>
        </w:rPr>
        <w:t>konkrētos</w:t>
      </w:r>
      <w:r w:rsidR="00957DF6" w:rsidRPr="00CE6CB4">
        <w:rPr>
          <w:lang w:val="lv-LV"/>
        </w:rPr>
        <w:t xml:space="preserve"> faktiskos apstākļus nav iespējams salīdzināt ar </w:t>
      </w:r>
      <w:r w:rsidR="00FB37AD">
        <w:rPr>
          <w:i/>
          <w:lang w:val="lv-LV"/>
        </w:rPr>
        <w:t>Saviča</w:t>
      </w:r>
      <w:r w:rsidR="00FB37AD">
        <w:rPr>
          <w:lang w:val="lv-LV"/>
        </w:rPr>
        <w:t xml:space="preserve"> </w:t>
      </w:r>
      <w:r w:rsidR="00957DF6" w:rsidRPr="00CE6CB4">
        <w:rPr>
          <w:lang w:val="lv-LV"/>
        </w:rPr>
        <w:t>lietu (citēta iepriekš), kura attiecās uz apstākļiem tādiem ieslodzītajiem, kas bija notiesāti ar mūža ieslodzījumu. Turklāt iesniedzējs nebija iesniedzis nacionālajās tiesās sūdzību par apstākļiem Daugavpils cietumā.</w:t>
      </w:r>
    </w:p>
    <w:p w:rsidR="00FB0EEE" w:rsidRPr="00CE6CB4" w:rsidRDefault="00957DF6" w:rsidP="00E86FF1">
      <w:pPr>
        <w:pStyle w:val="ECHRHeading4"/>
        <w:rPr>
          <w:lang w:val="lv-LV"/>
        </w:rPr>
      </w:pPr>
      <w:r w:rsidRPr="00CE6CB4">
        <w:rPr>
          <w:lang w:val="lv-LV"/>
        </w:rPr>
        <w:t xml:space="preserve"> </w:t>
      </w:r>
      <w:r w:rsidR="00E86FF1" w:rsidRPr="00CE6CB4">
        <w:rPr>
          <w:lang w:val="lv-LV"/>
        </w:rPr>
        <w:t>(b)  </w:t>
      </w:r>
      <w:r w:rsidRPr="00CE6CB4">
        <w:rPr>
          <w:lang w:val="lv-LV"/>
        </w:rPr>
        <w:t>Tiesas vērtējums</w:t>
      </w:r>
    </w:p>
    <w:p w:rsidR="004706E8" w:rsidRPr="00CE6CB4" w:rsidRDefault="003071EE" w:rsidP="00FB0EEE">
      <w:pPr>
        <w:pStyle w:val="ECHRPara"/>
        <w:rPr>
          <w:lang w:val="lv-LV"/>
        </w:rPr>
      </w:pPr>
      <w:r w:rsidRPr="00CE6CB4">
        <w:rPr>
          <w:lang w:val="lv-LV"/>
        </w:rPr>
        <w:fldChar w:fldCharType="begin"/>
      </w:r>
      <w:r w:rsidRPr="00CE6CB4">
        <w:rPr>
          <w:lang w:val="lv-LV"/>
        </w:rPr>
        <w:instrText xml:space="preserve"> SEQ level0 \*arabic </w:instrText>
      </w:r>
      <w:r w:rsidRPr="00CE6CB4">
        <w:rPr>
          <w:lang w:val="lv-LV"/>
        </w:rPr>
        <w:fldChar w:fldCharType="separate"/>
      </w:r>
      <w:r w:rsidR="006260D9" w:rsidRPr="00CE6CB4">
        <w:rPr>
          <w:noProof/>
          <w:lang w:val="lv-LV"/>
        </w:rPr>
        <w:t>41</w:t>
      </w:r>
      <w:r w:rsidRPr="00CE6CB4">
        <w:rPr>
          <w:lang w:val="lv-LV"/>
        </w:rPr>
        <w:fldChar w:fldCharType="end"/>
      </w:r>
      <w:r w:rsidR="00014566" w:rsidRPr="00CE6CB4">
        <w:rPr>
          <w:lang w:val="lv-LV"/>
        </w:rPr>
        <w:t>.  </w:t>
      </w:r>
      <w:r w:rsidR="004706E8" w:rsidRPr="00CE6CB4">
        <w:rPr>
          <w:lang w:val="lv-LV"/>
        </w:rPr>
        <w:t xml:space="preserve">Iesniedzēja galvenā sūdzība ir saistīta ar to, ka </w:t>
      </w:r>
      <w:r w:rsidR="00E353F2">
        <w:rPr>
          <w:lang w:val="lv-LV"/>
        </w:rPr>
        <w:t xml:space="preserve">pēc </w:t>
      </w:r>
      <w:r w:rsidR="004706E8" w:rsidRPr="00CE6CB4">
        <w:rPr>
          <w:lang w:val="lv-LV"/>
        </w:rPr>
        <w:t xml:space="preserve">prettiesiskas </w:t>
      </w:r>
      <w:r w:rsidR="00FB37AD">
        <w:rPr>
          <w:lang w:val="lv-LV"/>
        </w:rPr>
        <w:t xml:space="preserve">valsts </w:t>
      </w:r>
      <w:r w:rsidR="004706E8" w:rsidRPr="00CE6CB4">
        <w:rPr>
          <w:lang w:val="lv-LV"/>
        </w:rPr>
        <w:t xml:space="preserve">varas iestāžu rīcības viņš bija spiests divas nedēļas izciest savu sodu visstingrākajā ieslodzījuma režīmā, lai gan viņam bija piemērojams mazāk stingrs režīms. </w:t>
      </w:r>
    </w:p>
    <w:p w:rsidR="008E3B55" w:rsidRPr="007F2CD7" w:rsidRDefault="00FB0EEE" w:rsidP="007F2CD7">
      <w:pPr>
        <w:pStyle w:val="ECHRPara"/>
        <w:rPr>
          <w:szCs w:val="24"/>
          <w:lang w:val="lv-LV"/>
        </w:rPr>
      </w:pPr>
      <w:r w:rsidRPr="00CE6CB4">
        <w:rPr>
          <w:lang w:val="lv-LV"/>
        </w:rPr>
        <w:fldChar w:fldCharType="begin"/>
      </w:r>
      <w:r w:rsidRPr="00CE6CB4">
        <w:rPr>
          <w:lang w:val="lv-LV"/>
        </w:rPr>
        <w:instrText xml:space="preserve"> SEQ level0 \*arabic </w:instrText>
      </w:r>
      <w:r w:rsidRPr="00CE6CB4">
        <w:rPr>
          <w:lang w:val="lv-LV"/>
        </w:rPr>
        <w:fldChar w:fldCharType="separate"/>
      </w:r>
      <w:r w:rsidR="006260D9" w:rsidRPr="00CE6CB4">
        <w:rPr>
          <w:noProof/>
          <w:lang w:val="lv-LV"/>
        </w:rPr>
        <w:t>42</w:t>
      </w:r>
      <w:r w:rsidRPr="00CE6CB4">
        <w:rPr>
          <w:lang w:val="lv-LV"/>
        </w:rPr>
        <w:fldChar w:fldCharType="end"/>
      </w:r>
      <w:r w:rsidRPr="00CE6CB4">
        <w:rPr>
          <w:lang w:val="lv-LV"/>
        </w:rPr>
        <w:t>.</w:t>
      </w:r>
      <w:r w:rsidR="008E3B55" w:rsidRPr="00CE6CB4">
        <w:rPr>
          <w:lang w:val="lv-LV"/>
        </w:rPr>
        <w:t xml:space="preserve"> Tiesa atkārto, ka </w:t>
      </w:r>
      <w:r w:rsidR="007F2CD7">
        <w:rPr>
          <w:lang w:val="lv-LV"/>
        </w:rPr>
        <w:t xml:space="preserve">nepieciešams sasniegt </w:t>
      </w:r>
      <w:r w:rsidR="008E3B55" w:rsidRPr="00CE6CB4">
        <w:rPr>
          <w:lang w:val="lv-LV"/>
        </w:rPr>
        <w:t>minimāl</w:t>
      </w:r>
      <w:r w:rsidR="007F2CD7">
        <w:rPr>
          <w:lang w:val="lv-LV"/>
        </w:rPr>
        <w:t>o</w:t>
      </w:r>
      <w:r w:rsidR="008E3B55" w:rsidRPr="00CE6CB4">
        <w:rPr>
          <w:lang w:val="lv-LV"/>
        </w:rPr>
        <w:t xml:space="preserve"> smaguma pakāp</w:t>
      </w:r>
      <w:r w:rsidR="007F2CD7">
        <w:rPr>
          <w:lang w:val="lv-LV"/>
        </w:rPr>
        <w:t>i</w:t>
      </w:r>
      <w:r w:rsidR="008E3B55" w:rsidRPr="00CE6CB4">
        <w:rPr>
          <w:lang w:val="lv-LV"/>
        </w:rPr>
        <w:t xml:space="preserve">, </w:t>
      </w:r>
      <w:r w:rsidR="007F2CD7">
        <w:rPr>
          <w:lang w:val="lv-LV"/>
        </w:rPr>
        <w:t>lai</w:t>
      </w:r>
      <w:r w:rsidR="008E3B55" w:rsidRPr="00CE6CB4">
        <w:rPr>
          <w:lang w:val="lv-LV"/>
        </w:rPr>
        <w:t xml:space="preserve"> apiešanās atbilst</w:t>
      </w:r>
      <w:r w:rsidR="007F2CD7">
        <w:rPr>
          <w:lang w:val="lv-LV"/>
        </w:rPr>
        <w:t>u</w:t>
      </w:r>
      <w:r w:rsidR="008E3B55" w:rsidRPr="00CE6CB4">
        <w:rPr>
          <w:lang w:val="lv-LV"/>
        </w:rPr>
        <w:t xml:space="preserve"> Konvencijas 3. panta tvērumam, un vērtējums šajā ziņā ir atkarīgs no visiem lietas apstākļiem, piemēram, apiešanās ilguma</w:t>
      </w:r>
      <w:r w:rsidR="00E353F2">
        <w:rPr>
          <w:lang w:val="lv-LV"/>
        </w:rPr>
        <w:t xml:space="preserve">, tās </w:t>
      </w:r>
      <w:r w:rsidR="00E353F2">
        <w:rPr>
          <w:lang w:val="lv-LV"/>
        </w:rPr>
        <w:lastRenderedPageBreak/>
        <w:t>fiziskajām un garīgajām sekām</w:t>
      </w:r>
      <w:r w:rsidR="008E3B55" w:rsidRPr="00CE6CB4">
        <w:rPr>
          <w:lang w:val="lv-LV"/>
        </w:rPr>
        <w:t xml:space="preserve"> un dažos gadījumos arī dzimuma, vecuma un </w:t>
      </w:r>
      <w:r w:rsidR="00FB37AD">
        <w:rPr>
          <w:lang w:val="lv-LV"/>
        </w:rPr>
        <w:t>cietušā</w:t>
      </w:r>
      <w:r w:rsidR="008E3B55" w:rsidRPr="00CE6CB4">
        <w:rPr>
          <w:lang w:val="lv-LV"/>
        </w:rPr>
        <w:t xml:space="preserve"> veselības stāvokļa (skatīt citu starpā lietu </w:t>
      </w:r>
      <w:r w:rsidR="008E3B55" w:rsidRPr="00CE6CB4">
        <w:rPr>
          <w:i/>
          <w:lang w:val="lv-LV"/>
        </w:rPr>
        <w:t>Enea</w:t>
      </w:r>
      <w:r w:rsidR="008E3B55" w:rsidRPr="00CE6CB4">
        <w:rPr>
          <w:lang w:val="lv-LV"/>
        </w:rPr>
        <w:t xml:space="preserve"> </w:t>
      </w:r>
      <w:r w:rsidR="008E3B55" w:rsidRPr="00EF35E7">
        <w:rPr>
          <w:i/>
          <w:lang w:val="lv-LV"/>
        </w:rPr>
        <w:t>pret Itāliju</w:t>
      </w:r>
      <w:r w:rsidR="008E3B55" w:rsidRPr="00CE6CB4">
        <w:rPr>
          <w:lang w:val="lv-LV"/>
        </w:rPr>
        <w:t xml:space="preserve"> [Lielā palāta], Nr. 74912/01, 55. rindkopa, ECHR 2009). Lai sods vai ar to saistītā apiešanās būtu </w:t>
      </w:r>
      <w:r w:rsidR="008E3B55" w:rsidRPr="00CE6CB4">
        <w:rPr>
          <w:rStyle w:val="sb8d990e2"/>
          <w:lang w:val="lv-LV"/>
        </w:rPr>
        <w:t>“cietsirdīga” vai “pazemojoša”, piedzīvotajām ciešanām vai pazemojumam jebkurā gadījumā jāpārsniedz nenovēršamais ciešanu vai pazemojuma elements, kas ir saistīts ar konkrēto likumīgās apiešanās vai soda veidu (skatīt</w:t>
      </w:r>
      <w:r w:rsidR="00FB37AD">
        <w:rPr>
          <w:rStyle w:val="sb8d990e2"/>
          <w:lang w:val="lv-LV"/>
        </w:rPr>
        <w:t xml:space="preserve"> </w:t>
      </w:r>
      <w:r w:rsidR="00FB37AD">
        <w:rPr>
          <w:rStyle w:val="sb8d990e2"/>
          <w:i/>
          <w:lang w:val="lv-LV"/>
        </w:rPr>
        <w:t>Enea</w:t>
      </w:r>
      <w:r w:rsidR="008E3B55" w:rsidRPr="00CE6CB4">
        <w:rPr>
          <w:rStyle w:val="sb8d990e2"/>
          <w:lang w:val="lv-LV"/>
        </w:rPr>
        <w:t xml:space="preserve"> liet</w:t>
      </w:r>
      <w:r w:rsidR="00FB37AD">
        <w:rPr>
          <w:rStyle w:val="sb8d990e2"/>
          <w:lang w:val="lv-LV"/>
        </w:rPr>
        <w:t>u</w:t>
      </w:r>
      <w:r w:rsidR="008E3B55" w:rsidRPr="00CE6CB4">
        <w:rPr>
          <w:lang w:val="lv-LV"/>
        </w:rPr>
        <w:t xml:space="preserve">, citēta iepriekš, 56. rindkopa, un </w:t>
      </w:r>
      <w:r w:rsidR="008E3B55" w:rsidRPr="00CE6CB4">
        <w:rPr>
          <w:rStyle w:val="sb8d990e2"/>
          <w:i/>
          <w:lang w:val="lv-LV"/>
        </w:rPr>
        <w:t>Jalloh</w:t>
      </w:r>
      <w:r w:rsidR="008E3B55" w:rsidRPr="00CE6CB4">
        <w:rPr>
          <w:rStyle w:val="sb8d990e2"/>
          <w:lang w:val="lv-LV"/>
        </w:rPr>
        <w:t xml:space="preserve"> </w:t>
      </w:r>
      <w:r w:rsidR="008E3B55" w:rsidRPr="00EF35E7">
        <w:rPr>
          <w:rStyle w:val="sb8d990e2"/>
          <w:i/>
          <w:lang w:val="lv-LV"/>
        </w:rPr>
        <w:t>pret Vāciju</w:t>
      </w:r>
      <w:r w:rsidR="008E3B55" w:rsidRPr="00CE6CB4">
        <w:rPr>
          <w:rStyle w:val="sb8d990e2"/>
          <w:lang w:val="lv-LV"/>
        </w:rPr>
        <w:t xml:space="preserve"> [Lielā palāta], Nr. </w:t>
      </w:r>
      <w:r w:rsidR="008E3B55" w:rsidRPr="00CE6CB4">
        <w:rPr>
          <w:lang w:val="lv-LV"/>
        </w:rPr>
        <w:t xml:space="preserve">54810/00, 68. rindkopa, </w:t>
      </w:r>
      <w:r w:rsidR="008E3B55" w:rsidRPr="00CE6CB4">
        <w:rPr>
          <w:szCs w:val="24"/>
          <w:lang w:val="lv-LV"/>
        </w:rPr>
        <w:t>ECHR 2006</w:t>
      </w:r>
      <w:r w:rsidR="008E3B55" w:rsidRPr="00CE6CB4">
        <w:rPr>
          <w:szCs w:val="24"/>
          <w:lang w:val="lv-LV"/>
        </w:rPr>
        <w:noBreakHyphen/>
        <w:t xml:space="preserve">IX). </w:t>
      </w:r>
      <w:r w:rsidR="00984DF1" w:rsidRPr="00CE6CB4">
        <w:rPr>
          <w:lang w:val="lv-LV"/>
        </w:rPr>
        <w:t xml:space="preserve">Ilgāka noteiktu ierobežojumu piemērošana var radīt ieslodzītajam apstākļus, </w:t>
      </w:r>
      <w:r w:rsidR="00241927">
        <w:rPr>
          <w:lang w:val="lv-LV"/>
        </w:rPr>
        <w:t>kurus</w:t>
      </w:r>
      <w:r w:rsidR="007F2CD7">
        <w:rPr>
          <w:lang w:val="lv-LV"/>
        </w:rPr>
        <w:t xml:space="preserve"> var uzskatīt par cietsirdīgu </w:t>
      </w:r>
      <w:r w:rsidR="00984DF1" w:rsidRPr="00CE6CB4">
        <w:rPr>
          <w:lang w:val="lv-LV"/>
        </w:rPr>
        <w:t>vai pazemojoš</w:t>
      </w:r>
      <w:r w:rsidR="007F2CD7">
        <w:rPr>
          <w:lang w:val="lv-LV"/>
        </w:rPr>
        <w:t>u</w:t>
      </w:r>
      <w:r w:rsidR="00984DF1" w:rsidRPr="00CE6CB4">
        <w:rPr>
          <w:lang w:val="lv-LV"/>
        </w:rPr>
        <w:t xml:space="preserve"> apiešan</w:t>
      </w:r>
      <w:r w:rsidR="007F2CD7">
        <w:rPr>
          <w:lang w:val="lv-LV"/>
        </w:rPr>
        <w:t>os</w:t>
      </w:r>
      <w:r w:rsidR="00984DF1" w:rsidRPr="00CE6CB4">
        <w:rPr>
          <w:lang w:val="lv-LV"/>
        </w:rPr>
        <w:t xml:space="preserve">. Taču </w:t>
      </w:r>
      <w:r w:rsidR="00241927">
        <w:rPr>
          <w:lang w:val="lv-LV"/>
        </w:rPr>
        <w:t>T</w:t>
      </w:r>
      <w:r w:rsidR="00984DF1" w:rsidRPr="00CE6CB4">
        <w:rPr>
          <w:lang w:val="lv-LV"/>
        </w:rPr>
        <w:t xml:space="preserve">iesa nevar definēt precīzu laika periodu, kura pārsniegšanas gadījumā šādi apstākļi sasniedz minimālo nepieciešamo </w:t>
      </w:r>
      <w:r w:rsidR="001F6B33">
        <w:rPr>
          <w:lang w:val="lv-LV"/>
        </w:rPr>
        <w:t>bardzības līmeni</w:t>
      </w:r>
      <w:r w:rsidR="00984DF1" w:rsidRPr="00CE6CB4">
        <w:rPr>
          <w:lang w:val="lv-LV"/>
        </w:rPr>
        <w:t>, lai atbilstu 3. panta tvērumam. Gluži pretēji – laika periods jāizvērtē katras konkrētās lietas apstākļu gaismā. Cita starpā tas liek noskaidrot, vai attiecīgo ierobežojumu atjaunošana vai pagarināšana bijusi attaisnojama (skatīt</w:t>
      </w:r>
      <w:r w:rsidR="001F6B33">
        <w:rPr>
          <w:lang w:val="lv-LV"/>
        </w:rPr>
        <w:t xml:space="preserve"> </w:t>
      </w:r>
      <w:r w:rsidR="001F6B33">
        <w:rPr>
          <w:i/>
          <w:lang w:val="lv-LV"/>
        </w:rPr>
        <w:t>Enea</w:t>
      </w:r>
      <w:r w:rsidR="00984DF1" w:rsidRPr="00CE6CB4">
        <w:rPr>
          <w:lang w:val="lv-LV"/>
        </w:rPr>
        <w:t xml:space="preserve"> </w:t>
      </w:r>
      <w:r w:rsidR="00984DF1" w:rsidRPr="00CE6CB4">
        <w:rPr>
          <w:rStyle w:val="sb8d990e2"/>
          <w:lang w:val="lv-LV"/>
        </w:rPr>
        <w:t>lietu</w:t>
      </w:r>
      <w:r w:rsidR="00984DF1" w:rsidRPr="00CE6CB4">
        <w:rPr>
          <w:lang w:val="lv-LV"/>
        </w:rPr>
        <w:t>, citēta iepriekš, 64. rindkopa).</w:t>
      </w:r>
    </w:p>
    <w:p w:rsidR="004655FD" w:rsidRPr="00CE6CB4" w:rsidRDefault="00FB0EEE" w:rsidP="004655FD">
      <w:pPr>
        <w:pStyle w:val="ECHRPara"/>
        <w:rPr>
          <w:lang w:val="lv-LV"/>
        </w:rPr>
      </w:pPr>
      <w:r w:rsidRPr="0097491A">
        <w:rPr>
          <w:lang w:val="lv-LV"/>
        </w:rPr>
        <w:fldChar w:fldCharType="begin"/>
      </w:r>
      <w:r w:rsidRPr="0097491A">
        <w:rPr>
          <w:lang w:val="lv-LV"/>
        </w:rPr>
        <w:instrText xml:space="preserve"> SEQ level0 \*arabic </w:instrText>
      </w:r>
      <w:r w:rsidRPr="0097491A">
        <w:rPr>
          <w:lang w:val="lv-LV"/>
        </w:rPr>
        <w:fldChar w:fldCharType="separate"/>
      </w:r>
      <w:r w:rsidR="006260D9" w:rsidRPr="0097491A">
        <w:rPr>
          <w:noProof/>
          <w:lang w:val="lv-LV"/>
        </w:rPr>
        <w:t>43</w:t>
      </w:r>
      <w:r w:rsidRPr="0097491A">
        <w:rPr>
          <w:lang w:val="lv-LV"/>
        </w:rPr>
        <w:fldChar w:fldCharType="end"/>
      </w:r>
      <w:r w:rsidRPr="0097491A">
        <w:rPr>
          <w:lang w:val="lv-LV"/>
        </w:rPr>
        <w:t>.</w:t>
      </w:r>
      <w:r w:rsidRPr="00CE6CB4">
        <w:rPr>
          <w:lang w:val="lv-LV"/>
        </w:rPr>
        <w:t>  </w:t>
      </w:r>
      <w:r w:rsidR="004655FD" w:rsidRPr="00CE6CB4">
        <w:rPr>
          <w:lang w:val="lv-LV"/>
        </w:rPr>
        <w:t xml:space="preserve">Tiesa secina, ka notikušā laikā iesniedzējs atradās ieslodzījumā jau desmit gadus no sava piecpadsmit gadus ilgā soda un saskaņā ar nacionālajiem tiesību aktiem viņam bija piemērojams mazāk stingrs soda izciešanas režīms, proti, </w:t>
      </w:r>
      <w:r w:rsidR="0097491A">
        <w:rPr>
          <w:lang w:val="lv-LV"/>
        </w:rPr>
        <w:t>režīma vidējā pakāpe</w:t>
      </w:r>
      <w:r w:rsidR="004655FD" w:rsidRPr="00CE6CB4">
        <w:rPr>
          <w:lang w:val="lv-LV"/>
        </w:rPr>
        <w:t xml:space="preserve">. Šādā režīmā ieslodzītajam bija atļauts uzturēties ārpus kameras un izmantot citas noteiktas privilēģijas, joprojām </w:t>
      </w:r>
      <w:r w:rsidR="00D1326A">
        <w:rPr>
          <w:lang w:val="lv-LV"/>
        </w:rPr>
        <w:t>izciešot sodu</w:t>
      </w:r>
      <w:r w:rsidR="004655FD" w:rsidRPr="00CE6CB4">
        <w:rPr>
          <w:lang w:val="lv-LV"/>
        </w:rPr>
        <w:t xml:space="preserve"> slēgta tipa ieslodzījuma vietā (skatīt iepriekš “Piemērojamie nacionālie tiesību akti”), atbilstoši ieslodzījuma rehabilitācijas mērķim, kas uzsvērts Tiesas  judikatūrā (skatīt lietu </w:t>
      </w:r>
      <w:r w:rsidR="004655FD" w:rsidRPr="00CE6CB4">
        <w:rPr>
          <w:i/>
          <w:lang w:val="lv-LV"/>
        </w:rPr>
        <w:t>Vinter</w:t>
      </w:r>
      <w:r w:rsidR="004655FD" w:rsidRPr="00CE6CB4">
        <w:rPr>
          <w:lang w:val="lv-LV"/>
        </w:rPr>
        <w:t xml:space="preserve"> </w:t>
      </w:r>
      <w:r w:rsidR="004655FD" w:rsidRPr="00EF35E7">
        <w:rPr>
          <w:i/>
          <w:lang w:val="lv-LV"/>
        </w:rPr>
        <w:t>un citi pret Apvienoto Karalisti</w:t>
      </w:r>
      <w:r w:rsidR="004655FD" w:rsidRPr="00CE6CB4">
        <w:rPr>
          <w:lang w:val="lv-LV"/>
        </w:rPr>
        <w:t xml:space="preserve"> [Lielā palāta], Nr. </w:t>
      </w:r>
      <w:r w:rsidR="004655FD" w:rsidRPr="00CE6CB4">
        <w:rPr>
          <w:snapToGrid w:val="0"/>
          <w:lang w:val="lv-LV"/>
        </w:rPr>
        <w:t xml:space="preserve">6069/09, 130/10 un 3896/10, 115. rindkopa, </w:t>
      </w:r>
      <w:r w:rsidR="004655FD" w:rsidRPr="00CE6CB4">
        <w:rPr>
          <w:lang w:val="lv-LV"/>
        </w:rPr>
        <w:t>ECHR 2013 (izraksti)). Viņu tik un tā bez jebkāda likumīga pamatojuma pārvietoja uz stingrāku režīmu (skatīt iepriekš 9.</w:t>
      </w:r>
      <w:r w:rsidR="00622587">
        <w:rPr>
          <w:lang w:val="lv-LV"/>
        </w:rPr>
        <w:t xml:space="preserve"> </w:t>
      </w:r>
      <w:r w:rsidR="001F6B33">
        <w:rPr>
          <w:lang w:val="lv-LV"/>
        </w:rPr>
        <w:t>-</w:t>
      </w:r>
      <w:r w:rsidR="004655FD" w:rsidRPr="00CE6CB4">
        <w:rPr>
          <w:lang w:val="lv-LV"/>
        </w:rPr>
        <w:t xml:space="preserve"> 10 rindkopa</w:t>
      </w:r>
      <w:r w:rsidR="001F6B33">
        <w:rPr>
          <w:lang w:val="lv-LV"/>
        </w:rPr>
        <w:t>s</w:t>
      </w:r>
      <w:r w:rsidR="004655FD" w:rsidRPr="00CE6CB4">
        <w:rPr>
          <w:lang w:val="lv-LV"/>
        </w:rPr>
        <w:t xml:space="preserve">). Līdz ar to </w:t>
      </w:r>
      <w:r w:rsidR="001F6B33" w:rsidRPr="00CE6CB4">
        <w:rPr>
          <w:lang w:val="lv-LV"/>
        </w:rPr>
        <w:t xml:space="preserve">viņam piemērotajiem ierobežojumiem </w:t>
      </w:r>
      <w:r w:rsidR="004655FD" w:rsidRPr="00CE6CB4">
        <w:rPr>
          <w:lang w:val="lv-LV"/>
        </w:rPr>
        <w:t>n</w:t>
      </w:r>
      <w:r w:rsidR="001F6B33">
        <w:rPr>
          <w:lang w:val="lv-LV"/>
        </w:rPr>
        <w:t>ebija</w:t>
      </w:r>
      <w:r w:rsidR="004655FD" w:rsidRPr="00CE6CB4">
        <w:rPr>
          <w:lang w:val="lv-LV"/>
        </w:rPr>
        <w:t xml:space="preserve"> nekāda pamatojuma. Tas, ka iesniedzējs apzinājās viņa pārvietošanas prettiesisko raksturu, kā arī tas, ka viņa sūdzība neliedza izpildīt lēmumu, ar kuru bija nolemts viņu pārvietot, </w:t>
      </w:r>
      <w:r w:rsidR="002318E7" w:rsidRPr="00CE6CB4">
        <w:rPr>
          <w:lang w:val="lv-LV"/>
        </w:rPr>
        <w:t xml:space="preserve">noteikti radīja psiholoģisko stresu, kas pārsniedza </w:t>
      </w:r>
      <w:r w:rsidR="0097491A">
        <w:rPr>
          <w:lang w:val="lv-LV"/>
        </w:rPr>
        <w:t>ar pašu ieslodzījumu cieši saistīto stresu</w:t>
      </w:r>
      <w:r w:rsidR="002318E7" w:rsidRPr="00CE6CB4">
        <w:rPr>
          <w:lang w:val="lv-LV"/>
        </w:rPr>
        <w:t>.</w:t>
      </w:r>
    </w:p>
    <w:p w:rsidR="002318E7" w:rsidRPr="00CE6CB4" w:rsidRDefault="007E779C" w:rsidP="00E54F6E">
      <w:pPr>
        <w:pStyle w:val="ECHRPara"/>
        <w:rPr>
          <w:lang w:val="lv-LV"/>
        </w:rPr>
      </w:pPr>
      <w:r w:rsidRPr="00CE6CB4">
        <w:rPr>
          <w:lang w:val="lv-LV"/>
        </w:rPr>
        <w:fldChar w:fldCharType="begin"/>
      </w:r>
      <w:r w:rsidRPr="00CE6CB4">
        <w:rPr>
          <w:lang w:val="lv-LV"/>
        </w:rPr>
        <w:instrText xml:space="preserve"> SEQ level0 \*arabic </w:instrText>
      </w:r>
      <w:r w:rsidRPr="00CE6CB4">
        <w:rPr>
          <w:lang w:val="lv-LV"/>
        </w:rPr>
        <w:fldChar w:fldCharType="separate"/>
      </w:r>
      <w:r w:rsidR="006260D9" w:rsidRPr="00CE6CB4">
        <w:rPr>
          <w:noProof/>
          <w:lang w:val="lv-LV"/>
        </w:rPr>
        <w:t>44</w:t>
      </w:r>
      <w:r w:rsidRPr="00CE6CB4">
        <w:rPr>
          <w:lang w:val="lv-LV"/>
        </w:rPr>
        <w:fldChar w:fldCharType="end"/>
      </w:r>
      <w:r w:rsidRPr="00CE6CB4">
        <w:rPr>
          <w:lang w:val="lv-LV"/>
        </w:rPr>
        <w:t>.  </w:t>
      </w:r>
      <w:r w:rsidR="002318E7" w:rsidRPr="00CE6CB4">
        <w:rPr>
          <w:lang w:val="lv-LV"/>
        </w:rPr>
        <w:t xml:space="preserve">Tiesa tik un tā izvērtēs citus lietas apstākļus. </w:t>
      </w:r>
      <w:r w:rsidR="0097491A">
        <w:rPr>
          <w:lang w:val="lv-LV"/>
        </w:rPr>
        <w:t>It īpaši T</w:t>
      </w:r>
      <w:r w:rsidR="00181507" w:rsidRPr="00CE6CB4">
        <w:rPr>
          <w:lang w:val="lv-LV"/>
        </w:rPr>
        <w:t>iesa secina, ka iepriekš aprakstītie apstākļi nebija ilgāki par astoņpadsmit dienām. Turklāt Daugavpils cietuma vadība nekavējoties reaģēja, informējot Ieslodzījuma viet</w:t>
      </w:r>
      <w:r w:rsidR="00D1326A">
        <w:rPr>
          <w:lang w:val="lv-LV"/>
        </w:rPr>
        <w:t>u</w:t>
      </w:r>
      <w:r w:rsidR="00181507" w:rsidRPr="00CE6CB4">
        <w:rPr>
          <w:lang w:val="lv-LV"/>
        </w:rPr>
        <w:t xml:space="preserve"> </w:t>
      </w:r>
      <w:r w:rsidR="00D1326A">
        <w:rPr>
          <w:lang w:val="lv-LV"/>
        </w:rPr>
        <w:t>pārvaldi</w:t>
      </w:r>
      <w:r w:rsidR="00181507" w:rsidRPr="00CE6CB4">
        <w:rPr>
          <w:lang w:val="lv-LV"/>
        </w:rPr>
        <w:t xml:space="preserve"> par iesniedzēja situāciju (skatīt iepriekš 11. rindkopu)</w:t>
      </w:r>
      <w:r w:rsidR="0097491A">
        <w:rPr>
          <w:lang w:val="lv-LV"/>
        </w:rPr>
        <w:t>,</w:t>
      </w:r>
      <w:r w:rsidR="00181507" w:rsidRPr="00CE6CB4">
        <w:rPr>
          <w:lang w:val="lv-LV"/>
        </w:rPr>
        <w:t xml:space="preserve"> un mēģināja, kā norādīja Valdība (skatīt iepriekš 40. rindkopu) </w:t>
      </w:r>
      <w:r w:rsidR="005E23F7" w:rsidRPr="00CE6CB4">
        <w:rPr>
          <w:lang w:val="lv-LV"/>
        </w:rPr>
        <w:t xml:space="preserve">un neapstrīdēja iesniedzējs, </w:t>
      </w:r>
      <w:r w:rsidR="00181507" w:rsidRPr="00CE6CB4">
        <w:rPr>
          <w:lang w:val="lv-LV"/>
        </w:rPr>
        <w:t>piešķirt viņam dažas no privilēģijām, uz kurām viņam bija tiesības, ciktāl to atļāva ieslodzījuma vietā pieejamās</w:t>
      </w:r>
      <w:r w:rsidR="00D1326A">
        <w:rPr>
          <w:lang w:val="lv-LV"/>
        </w:rPr>
        <w:t xml:space="preserve"> ierobežotās</w:t>
      </w:r>
      <w:r w:rsidR="00181507" w:rsidRPr="00CE6CB4">
        <w:rPr>
          <w:lang w:val="lv-LV"/>
        </w:rPr>
        <w:t xml:space="preserve"> iesp</w:t>
      </w:r>
      <w:r w:rsidR="005E23F7" w:rsidRPr="00CE6CB4">
        <w:rPr>
          <w:lang w:val="lv-LV"/>
        </w:rPr>
        <w:t xml:space="preserve">ējas. Šajā sakarā Tiesa pieņem Vadības argumentu par to, ka atbilstoši nacionālajiem tiesību aktiem iesniedzējs tika pakļauts noteiktiem papildu ierobežojumiem, jo viņš bija notiesāts par smaga noziedzīga nodarījuma </w:t>
      </w:r>
      <w:r w:rsidR="001F6B33">
        <w:rPr>
          <w:lang w:val="lv-LV"/>
        </w:rPr>
        <w:t>izdarīšanu</w:t>
      </w:r>
      <w:r w:rsidR="001F6B33" w:rsidRPr="00CE6CB4">
        <w:rPr>
          <w:lang w:val="lv-LV"/>
        </w:rPr>
        <w:t xml:space="preserve"> </w:t>
      </w:r>
      <w:r w:rsidR="005E23F7" w:rsidRPr="00CE6CB4">
        <w:rPr>
          <w:lang w:val="lv-LV"/>
        </w:rPr>
        <w:t xml:space="preserve">(skatīt iepriekš 24. rindkopu). Lai gan </w:t>
      </w:r>
      <w:r w:rsidR="0097491A">
        <w:rPr>
          <w:lang w:val="lv-LV"/>
        </w:rPr>
        <w:t>T</w:t>
      </w:r>
      <w:r w:rsidR="005E23F7" w:rsidRPr="00CE6CB4">
        <w:rPr>
          <w:lang w:val="lv-LV"/>
        </w:rPr>
        <w:t xml:space="preserve">iesa atzīst, ka iesniedzējs tika pārvietots uz Daugavpils cietumu no cietuma slimnīcas, viņš nav cēlis sūdzību par to, ka stingrajā režīmā viņam nebūtu iespējas saņemt pienācīgu </w:t>
      </w:r>
      <w:r w:rsidR="005E23F7" w:rsidRPr="00CE6CB4">
        <w:rPr>
          <w:lang w:val="lv-LV"/>
        </w:rPr>
        <w:lastRenderedPageBreak/>
        <w:t>medicīnisko aprūpi. Konkrētās lietas apstākļos Tiesa secina, ka iesniedzēja ieslodzījums uz astoņpadsmit dienām stingrākā režīmā bez jebkāda tiesiska pamatojuma</w:t>
      </w:r>
      <w:r w:rsidR="001F6B33">
        <w:rPr>
          <w:lang w:val="lv-LV"/>
        </w:rPr>
        <w:t xml:space="preserve"> nepārsniedza bardzības līmeni</w:t>
      </w:r>
      <w:r w:rsidR="0097491A">
        <w:rPr>
          <w:lang w:val="lv-LV"/>
        </w:rPr>
        <w:t>, kas nepieciešam</w:t>
      </w:r>
      <w:r w:rsidR="001F6B33">
        <w:rPr>
          <w:lang w:val="lv-LV"/>
        </w:rPr>
        <w:t>s, lai varētu piemērot</w:t>
      </w:r>
      <w:r w:rsidR="0097491A">
        <w:rPr>
          <w:lang w:val="lv-LV"/>
        </w:rPr>
        <w:t xml:space="preserve"> 3. pant</w:t>
      </w:r>
      <w:r w:rsidR="001F6B33">
        <w:rPr>
          <w:lang w:val="lv-LV"/>
        </w:rPr>
        <w:t>u</w:t>
      </w:r>
      <w:r w:rsidR="005E23F7" w:rsidRPr="00CE6CB4">
        <w:rPr>
          <w:lang w:val="lv-LV"/>
        </w:rPr>
        <w:t xml:space="preserve">. </w:t>
      </w:r>
    </w:p>
    <w:p w:rsidR="005E23F7" w:rsidRPr="00CE6CB4" w:rsidRDefault="00E54F6E" w:rsidP="0061004E">
      <w:pPr>
        <w:pStyle w:val="ECHRPara"/>
        <w:rPr>
          <w:lang w:val="lv-LV"/>
        </w:rPr>
      </w:pPr>
      <w:r w:rsidRPr="00CE6CB4">
        <w:rPr>
          <w:lang w:val="lv-LV"/>
        </w:rPr>
        <w:fldChar w:fldCharType="begin"/>
      </w:r>
      <w:r w:rsidRPr="00CE6CB4">
        <w:rPr>
          <w:lang w:val="lv-LV"/>
        </w:rPr>
        <w:instrText xml:space="preserve"> SEQ level0 \*arabic </w:instrText>
      </w:r>
      <w:r w:rsidRPr="00CE6CB4">
        <w:rPr>
          <w:lang w:val="lv-LV"/>
        </w:rPr>
        <w:fldChar w:fldCharType="separate"/>
      </w:r>
      <w:r w:rsidR="006260D9" w:rsidRPr="00CE6CB4">
        <w:rPr>
          <w:noProof/>
          <w:lang w:val="lv-LV"/>
        </w:rPr>
        <w:t>45</w:t>
      </w:r>
      <w:r w:rsidRPr="00CE6CB4">
        <w:rPr>
          <w:lang w:val="lv-LV"/>
        </w:rPr>
        <w:fldChar w:fldCharType="end"/>
      </w:r>
      <w:r w:rsidRPr="00CE6CB4">
        <w:rPr>
          <w:lang w:val="lv-LV"/>
        </w:rPr>
        <w:t>.  </w:t>
      </w:r>
      <w:r w:rsidR="005E23F7" w:rsidRPr="00CE6CB4">
        <w:rPr>
          <w:lang w:val="lv-LV"/>
        </w:rPr>
        <w:t>Līdz ar to nav pieļauts Konvencijas 3. panta pārkāpums.</w:t>
      </w:r>
    </w:p>
    <w:p w:rsidR="005E23F7" w:rsidRPr="00CE6CB4" w:rsidRDefault="005E23F7" w:rsidP="0061004E">
      <w:pPr>
        <w:pStyle w:val="ECHRPara"/>
        <w:rPr>
          <w:lang w:val="lv-LV"/>
        </w:rPr>
      </w:pPr>
    </w:p>
    <w:p w:rsidR="0046342F" w:rsidRPr="00CE6CB4" w:rsidRDefault="0077157C" w:rsidP="0077157C">
      <w:pPr>
        <w:pStyle w:val="ECHRHeading2"/>
        <w:rPr>
          <w:lang w:val="lv-LV"/>
        </w:rPr>
      </w:pPr>
      <w:r w:rsidRPr="00D1326A">
        <w:rPr>
          <w:lang w:val="lv-LV"/>
        </w:rPr>
        <w:t>B.  </w:t>
      </w:r>
      <w:r w:rsidR="00882AB9" w:rsidRPr="00D1326A">
        <w:rPr>
          <w:lang w:val="lv-LV"/>
        </w:rPr>
        <w:t>Sūdzība saskaņā ar 13. pantu</w:t>
      </w:r>
    </w:p>
    <w:p w:rsidR="00883953" w:rsidRPr="00CE6CB4" w:rsidRDefault="0077157C" w:rsidP="0077157C">
      <w:pPr>
        <w:pStyle w:val="ECHRHeading3"/>
        <w:rPr>
          <w:lang w:val="lv-LV"/>
        </w:rPr>
      </w:pPr>
      <w:r w:rsidRPr="00CE6CB4">
        <w:rPr>
          <w:lang w:val="lv-LV"/>
        </w:rPr>
        <w:t>1</w:t>
      </w:r>
      <w:r w:rsidR="0046342F" w:rsidRPr="00CE6CB4">
        <w:rPr>
          <w:lang w:val="lv-LV"/>
        </w:rPr>
        <w:t>.  </w:t>
      </w:r>
      <w:r w:rsidR="00882AB9" w:rsidRPr="00CE6CB4">
        <w:rPr>
          <w:lang w:val="lv-LV"/>
        </w:rPr>
        <w:t>Pieņemamība izskatīšanai</w:t>
      </w:r>
    </w:p>
    <w:p w:rsidR="00882AB9" w:rsidRPr="00CE6CB4" w:rsidRDefault="00883953" w:rsidP="00883953">
      <w:pPr>
        <w:pStyle w:val="ECHRPara"/>
        <w:rPr>
          <w:lang w:val="lv-LV"/>
        </w:rPr>
      </w:pPr>
      <w:r w:rsidRPr="00CE6CB4">
        <w:rPr>
          <w:lang w:val="lv-LV"/>
        </w:rPr>
        <w:fldChar w:fldCharType="begin"/>
      </w:r>
      <w:r w:rsidRPr="00CE6CB4">
        <w:rPr>
          <w:lang w:val="lv-LV"/>
        </w:rPr>
        <w:instrText xml:space="preserve"> SEQ level0 \*arabic </w:instrText>
      </w:r>
      <w:r w:rsidRPr="00CE6CB4">
        <w:rPr>
          <w:lang w:val="lv-LV"/>
        </w:rPr>
        <w:fldChar w:fldCharType="separate"/>
      </w:r>
      <w:r w:rsidR="006260D9" w:rsidRPr="00CE6CB4">
        <w:rPr>
          <w:noProof/>
          <w:lang w:val="lv-LV"/>
        </w:rPr>
        <w:t>46</w:t>
      </w:r>
      <w:r w:rsidRPr="00CE6CB4">
        <w:rPr>
          <w:lang w:val="lv-LV"/>
        </w:rPr>
        <w:fldChar w:fldCharType="end"/>
      </w:r>
      <w:r w:rsidRPr="00CE6CB4">
        <w:rPr>
          <w:lang w:val="lv-LV"/>
        </w:rPr>
        <w:t>.  </w:t>
      </w:r>
      <w:r w:rsidR="00882AB9" w:rsidRPr="00CE6CB4">
        <w:rPr>
          <w:lang w:val="lv-LV"/>
        </w:rPr>
        <w:t xml:space="preserve">Valdība norādīja, ka iesniedzēja </w:t>
      </w:r>
      <w:r w:rsidR="001F6B33">
        <w:rPr>
          <w:lang w:val="lv-LV"/>
        </w:rPr>
        <w:t>prasība</w:t>
      </w:r>
      <w:r w:rsidR="00882AB9" w:rsidRPr="00CE6CB4">
        <w:rPr>
          <w:lang w:val="lv-LV"/>
        </w:rPr>
        <w:t xml:space="preserve"> nav pamatota atbilstoši Konvencijai, un aicināja Tiesu ievērot pieeju, kas izmantota lietās </w:t>
      </w:r>
      <w:r w:rsidR="00882AB9" w:rsidRPr="00CE6CB4">
        <w:rPr>
          <w:i/>
          <w:lang w:val="lv-LV"/>
        </w:rPr>
        <w:t xml:space="preserve">Keipenvardecas </w:t>
      </w:r>
      <w:r w:rsidR="00882AB9" w:rsidRPr="00EF35E7">
        <w:rPr>
          <w:i/>
          <w:lang w:val="lv-LV"/>
        </w:rPr>
        <w:t>pret Latviju</w:t>
      </w:r>
      <w:r w:rsidR="00882AB9" w:rsidRPr="00CE6CB4">
        <w:rPr>
          <w:lang w:val="lv-LV"/>
        </w:rPr>
        <w:t xml:space="preserve"> ((lēmums), Nr. 38979/03) un </w:t>
      </w:r>
      <w:r w:rsidR="00882AB9" w:rsidRPr="00EF35E7">
        <w:rPr>
          <w:i/>
          <w:lang w:val="lv-LV"/>
        </w:rPr>
        <w:t>Ruža pret Latviju</w:t>
      </w:r>
      <w:r w:rsidR="00882AB9" w:rsidRPr="00CE6CB4">
        <w:rPr>
          <w:lang w:val="lv-LV"/>
        </w:rPr>
        <w:t xml:space="preserve">” ((lēmums), Nr. 38979/03), kur Tiesa atzina sūdzību atbilstoši 3. pantam par acīmredzami nepamatotu un līdz ar to neizskatīja sūdzību atbilstoši 13. pantam. Ja Tiesa atzītu, ka 3. pants nav pārkāpts, tad tai vajadzētu ievērot pieeju, kas izmantota lietā </w:t>
      </w:r>
      <w:r w:rsidR="00882AB9" w:rsidRPr="00CE6CB4">
        <w:rPr>
          <w:i/>
          <w:lang w:val="lv-LV"/>
        </w:rPr>
        <w:t xml:space="preserve">Hildebrand </w:t>
      </w:r>
      <w:r w:rsidR="00882AB9" w:rsidRPr="00EF35E7">
        <w:rPr>
          <w:i/>
          <w:lang w:val="lv-LV"/>
        </w:rPr>
        <w:t>pret Vāciju</w:t>
      </w:r>
      <w:r w:rsidR="00882AB9" w:rsidRPr="00CE6CB4">
        <w:rPr>
          <w:lang w:val="lv-LV"/>
        </w:rPr>
        <w:t xml:space="preserve"> (Nr. 31513/96, Komisijas</w:t>
      </w:r>
      <w:r w:rsidR="001F6B33">
        <w:rPr>
          <w:lang w:val="lv-LV"/>
        </w:rPr>
        <w:t xml:space="preserve"> </w:t>
      </w:r>
      <w:r w:rsidR="001F6B33" w:rsidRPr="00CE6CB4">
        <w:rPr>
          <w:lang w:val="lv-LV"/>
        </w:rPr>
        <w:t>1998. gada 16. aprī</w:t>
      </w:r>
      <w:r w:rsidR="001F6B33">
        <w:rPr>
          <w:lang w:val="lv-LV"/>
        </w:rPr>
        <w:t>ļa</w:t>
      </w:r>
      <w:r w:rsidR="00882AB9" w:rsidRPr="00CE6CB4">
        <w:rPr>
          <w:lang w:val="lv-LV"/>
        </w:rPr>
        <w:t xml:space="preserve"> lēmums), un secināt, ka sūdzība atbilstoši 3. pantam nerada pamatu pirm</w:t>
      </w:r>
      <w:r w:rsidR="00622587">
        <w:rPr>
          <w:lang w:val="lv-LV"/>
        </w:rPr>
        <w:t>s</w:t>
      </w:r>
      <w:r w:rsidR="00882AB9" w:rsidRPr="00CE6CB4">
        <w:rPr>
          <w:lang w:val="lv-LV"/>
        </w:rPr>
        <w:t>šķietamības jautājumam.</w:t>
      </w:r>
    </w:p>
    <w:p w:rsidR="00882AB9" w:rsidRPr="00CE6CB4" w:rsidRDefault="00882AB9" w:rsidP="00883953">
      <w:pPr>
        <w:pStyle w:val="ECHRPara"/>
        <w:rPr>
          <w:lang w:val="lv-LV"/>
        </w:rPr>
      </w:pPr>
      <w:r w:rsidRPr="00CE6CB4">
        <w:rPr>
          <w:lang w:val="lv-LV"/>
        </w:rPr>
        <w:t>47. Iesniedzējs apstrīdēja šo argumentu.</w:t>
      </w:r>
    </w:p>
    <w:p w:rsidR="00882AB9" w:rsidRPr="00CE6CB4" w:rsidRDefault="0013186F" w:rsidP="00B4741E">
      <w:pPr>
        <w:pStyle w:val="ECHRPara"/>
        <w:rPr>
          <w:lang w:val="lv-LV"/>
        </w:rPr>
      </w:pPr>
      <w:r w:rsidRPr="00CE6CB4">
        <w:rPr>
          <w:lang w:val="lv-LV"/>
        </w:rPr>
        <w:fldChar w:fldCharType="begin"/>
      </w:r>
      <w:r w:rsidRPr="00CE6CB4">
        <w:rPr>
          <w:lang w:val="lv-LV"/>
        </w:rPr>
        <w:instrText xml:space="preserve"> SEQ level0 \*arabic </w:instrText>
      </w:r>
      <w:r w:rsidRPr="00CE6CB4">
        <w:rPr>
          <w:lang w:val="lv-LV"/>
        </w:rPr>
        <w:fldChar w:fldCharType="separate"/>
      </w:r>
      <w:r w:rsidR="006260D9" w:rsidRPr="00CE6CB4">
        <w:rPr>
          <w:noProof/>
          <w:lang w:val="lv-LV"/>
        </w:rPr>
        <w:t>48</w:t>
      </w:r>
      <w:r w:rsidRPr="00CE6CB4">
        <w:rPr>
          <w:lang w:val="lv-LV"/>
        </w:rPr>
        <w:fldChar w:fldCharType="end"/>
      </w:r>
      <w:r w:rsidRPr="00CE6CB4">
        <w:rPr>
          <w:lang w:val="lv-LV"/>
        </w:rPr>
        <w:t>.  </w:t>
      </w:r>
      <w:r w:rsidR="00AD4380" w:rsidRPr="00CE6CB4">
        <w:rPr>
          <w:lang w:val="lv-LV"/>
        </w:rPr>
        <w:t xml:space="preserve">Tiesa atkārto, ka Konvencijas 13. pants nodrošina tiesiskās aizsardzības līdzekļa pieejamību nacionālā līmenī, </w:t>
      </w:r>
      <w:r w:rsidR="009F0588" w:rsidRPr="00CE6CB4">
        <w:rPr>
          <w:lang w:val="lv-LV"/>
        </w:rPr>
        <w:t xml:space="preserve">jebkādā formā </w:t>
      </w:r>
      <w:r w:rsidR="009F0588">
        <w:rPr>
          <w:lang w:val="lv-LV"/>
        </w:rPr>
        <w:t xml:space="preserve">nodrošinot </w:t>
      </w:r>
      <w:r w:rsidR="009F0588" w:rsidRPr="00CE6CB4">
        <w:rPr>
          <w:lang w:val="lv-LV"/>
        </w:rPr>
        <w:t>nacionālajā tiesību sistēmā</w:t>
      </w:r>
      <w:r w:rsidR="009F0588" w:rsidRPr="00CE6CB4" w:rsidDel="009F0588">
        <w:rPr>
          <w:lang w:val="lv-LV"/>
        </w:rPr>
        <w:t xml:space="preserve"> </w:t>
      </w:r>
      <w:r w:rsidR="00AD4380" w:rsidRPr="00CE6CB4">
        <w:rPr>
          <w:lang w:val="lv-LV"/>
        </w:rPr>
        <w:t>Konvencijas tiesību un brīvību būtību</w:t>
      </w:r>
      <w:r w:rsidR="009F0588">
        <w:rPr>
          <w:lang w:val="lv-LV"/>
        </w:rPr>
        <w:t xml:space="preserve"> </w:t>
      </w:r>
      <w:r w:rsidR="00AD4380" w:rsidRPr="00CE6CB4">
        <w:rPr>
          <w:lang w:val="lv-LV"/>
        </w:rPr>
        <w:t xml:space="preserve">. Līdz ar to 13. panta mērķis ir pieprasīt </w:t>
      </w:r>
      <w:r w:rsidR="00C13A14" w:rsidRPr="00CE6CB4">
        <w:rPr>
          <w:lang w:val="lv-LV"/>
        </w:rPr>
        <w:t>nacionālā</w:t>
      </w:r>
      <w:r w:rsidR="00AD4380" w:rsidRPr="00CE6CB4">
        <w:rPr>
          <w:lang w:val="lv-LV"/>
        </w:rPr>
        <w:t xml:space="preserve"> tiesiskā aizsardzības līdzekļa nodrošināšanu, lai labākajā gadījumā novērstu pārkāpuma </w:t>
      </w:r>
      <w:r w:rsidR="009F0588">
        <w:rPr>
          <w:lang w:val="lv-LV"/>
        </w:rPr>
        <w:t>izdarīšanu</w:t>
      </w:r>
      <w:r w:rsidR="009F0588" w:rsidRPr="00CE6CB4">
        <w:rPr>
          <w:lang w:val="lv-LV"/>
        </w:rPr>
        <w:t xml:space="preserve"> </w:t>
      </w:r>
      <w:r w:rsidR="00AD4380" w:rsidRPr="00CE6CB4">
        <w:rPr>
          <w:lang w:val="lv-LV"/>
        </w:rPr>
        <w:t xml:space="preserve">vai arī </w:t>
      </w:r>
      <w:r w:rsidR="00FA7C4A">
        <w:rPr>
          <w:lang w:val="lv-LV"/>
        </w:rPr>
        <w:t xml:space="preserve">citā gadījumā </w:t>
      </w:r>
      <w:r w:rsidR="00AD4380" w:rsidRPr="00CE6CB4">
        <w:rPr>
          <w:lang w:val="lv-LV"/>
        </w:rPr>
        <w:t xml:space="preserve">izskatītu </w:t>
      </w:r>
      <w:r w:rsidR="00AD4380" w:rsidRPr="00CE6CB4">
        <w:rPr>
          <w:rStyle w:val="sb8d990e2"/>
          <w:lang w:val="lv-LV"/>
        </w:rPr>
        <w:t xml:space="preserve">“pamatotas </w:t>
      </w:r>
      <w:r w:rsidR="009F0588">
        <w:rPr>
          <w:rStyle w:val="sb8d990e2"/>
          <w:lang w:val="lv-LV"/>
        </w:rPr>
        <w:t>prasības</w:t>
      </w:r>
      <w:r w:rsidR="00AD4380" w:rsidRPr="00CE6CB4">
        <w:rPr>
          <w:rStyle w:val="sb8d990e2"/>
          <w:lang w:val="lv-LV"/>
        </w:rPr>
        <w:t xml:space="preserve">” būtību atbilstoši Konvencijai un nodrošinātu attiecīgu atlīdzinājumu (skatīt lietas </w:t>
      </w:r>
      <w:r w:rsidR="00AD4380" w:rsidRPr="00CE6CB4">
        <w:rPr>
          <w:rStyle w:val="sb8d990e2"/>
          <w:i/>
          <w:lang w:val="lv-LV"/>
        </w:rPr>
        <w:t xml:space="preserve">McFarlane </w:t>
      </w:r>
      <w:r w:rsidR="00AD4380" w:rsidRPr="00EF35E7">
        <w:rPr>
          <w:rStyle w:val="sb8d990e2"/>
          <w:i/>
          <w:lang w:val="lv-LV"/>
        </w:rPr>
        <w:t>pret Īriju</w:t>
      </w:r>
      <w:r w:rsidR="00AD4380" w:rsidRPr="00CE6CB4">
        <w:rPr>
          <w:rStyle w:val="sb8d990e2"/>
          <w:lang w:val="lv-LV"/>
        </w:rPr>
        <w:t xml:space="preserve"> [Lielā palāta], Nr. </w:t>
      </w:r>
      <w:r w:rsidR="00AD4380" w:rsidRPr="00CE6CB4">
        <w:rPr>
          <w:lang w:val="lv-LV"/>
        </w:rPr>
        <w:t xml:space="preserve">31333/06, 108. rindkopa, 2010. gada 10. septembris, un </w:t>
      </w:r>
      <w:r w:rsidR="00AD4380" w:rsidRPr="00CE6CB4">
        <w:rPr>
          <w:i/>
          <w:lang w:val="lv-LV"/>
        </w:rPr>
        <w:t xml:space="preserve">Kudła </w:t>
      </w:r>
      <w:r w:rsidR="00AD4380" w:rsidRPr="00EF35E7">
        <w:rPr>
          <w:i/>
          <w:lang w:val="lv-LV"/>
        </w:rPr>
        <w:t>pret Poliju</w:t>
      </w:r>
      <w:r w:rsidR="00AD4380" w:rsidRPr="00CE6CB4">
        <w:rPr>
          <w:lang w:val="lv-LV"/>
        </w:rPr>
        <w:t xml:space="preserve"> [Lielā palāta], Nr. 30210/96, 157. rindkopa, ECHR 2000</w:t>
      </w:r>
      <w:r w:rsidR="00AD4380" w:rsidRPr="00CE6CB4">
        <w:rPr>
          <w:lang w:val="lv-LV"/>
        </w:rPr>
        <w:noBreakHyphen/>
        <w:t>XI</w:t>
      </w:r>
      <w:r w:rsidR="00AD4380" w:rsidRPr="00CE6CB4">
        <w:rPr>
          <w:rStyle w:val="sb8d990e2"/>
          <w:lang w:val="lv-LV"/>
        </w:rPr>
        <w:t>).</w:t>
      </w:r>
    </w:p>
    <w:p w:rsidR="00AD4380" w:rsidRPr="00CE6CB4" w:rsidRDefault="00B4741E" w:rsidP="00B4741E">
      <w:pPr>
        <w:pStyle w:val="ECHRPara"/>
        <w:rPr>
          <w:rStyle w:val="sb8d990e2"/>
          <w:lang w:val="lv-LV"/>
        </w:rPr>
      </w:pPr>
      <w:r w:rsidRPr="00CE6CB4">
        <w:rPr>
          <w:rStyle w:val="sb8d990e2"/>
          <w:lang w:val="lv-LV"/>
        </w:rPr>
        <w:fldChar w:fldCharType="begin"/>
      </w:r>
      <w:r w:rsidRPr="00CE6CB4">
        <w:rPr>
          <w:rStyle w:val="sb8d990e2"/>
          <w:lang w:val="lv-LV"/>
        </w:rPr>
        <w:instrText xml:space="preserve"> SEQ level0 \*arabic </w:instrText>
      </w:r>
      <w:r w:rsidRPr="00CE6CB4">
        <w:rPr>
          <w:rStyle w:val="sb8d990e2"/>
          <w:lang w:val="lv-LV"/>
        </w:rPr>
        <w:fldChar w:fldCharType="separate"/>
      </w:r>
      <w:r w:rsidR="006260D9" w:rsidRPr="00CE6CB4">
        <w:rPr>
          <w:rStyle w:val="sb8d990e2"/>
          <w:noProof/>
          <w:lang w:val="lv-LV"/>
        </w:rPr>
        <w:t>49</w:t>
      </w:r>
      <w:r w:rsidRPr="00CE6CB4">
        <w:rPr>
          <w:rStyle w:val="sb8d990e2"/>
          <w:lang w:val="lv-LV"/>
        </w:rPr>
        <w:fldChar w:fldCharType="end"/>
      </w:r>
      <w:r w:rsidRPr="00CE6CB4">
        <w:rPr>
          <w:rStyle w:val="sb8d990e2"/>
          <w:lang w:val="lv-LV"/>
        </w:rPr>
        <w:t>. </w:t>
      </w:r>
      <w:r w:rsidR="00AD4380" w:rsidRPr="00CE6CB4">
        <w:rPr>
          <w:rStyle w:val="sb8d990e2"/>
          <w:lang w:val="lv-LV"/>
        </w:rPr>
        <w:t xml:space="preserve">Šajā sakarā Tiesa atgādina neapstrīdēto faktu, ka iesniedzējs tika bez </w:t>
      </w:r>
      <w:r w:rsidR="009F0588">
        <w:rPr>
          <w:rStyle w:val="sb8d990e2"/>
          <w:lang w:val="lv-LV"/>
        </w:rPr>
        <w:t>pienācīga</w:t>
      </w:r>
      <w:r w:rsidR="00AD4380" w:rsidRPr="00CE6CB4">
        <w:rPr>
          <w:rStyle w:val="sb8d990e2"/>
          <w:lang w:val="lv-LV"/>
        </w:rPr>
        <w:t xml:space="preserve"> tiesiskā pamatojuma pārvietots uz Daugavpils cietumu, un norāda arī to, ka CPT bija iespēja </w:t>
      </w:r>
      <w:r w:rsidR="00FB4BFF" w:rsidRPr="00CE6CB4">
        <w:rPr>
          <w:rStyle w:val="sb8d990e2"/>
          <w:lang w:val="lv-LV"/>
        </w:rPr>
        <w:t xml:space="preserve">izvērtēt apstākļus šajā cietumā attiecīgajā laikā (skatīt iepriekš 31. rindkopu). Turklāt Ieslodzījuma vietu </w:t>
      </w:r>
      <w:r w:rsidR="007D50CC" w:rsidRPr="00CE6CB4">
        <w:rPr>
          <w:rStyle w:val="sb8d990e2"/>
          <w:lang w:val="lv-LV"/>
        </w:rPr>
        <w:t>pārvalde</w:t>
      </w:r>
      <w:r w:rsidR="00FB4BFF" w:rsidRPr="00CE6CB4">
        <w:rPr>
          <w:rStyle w:val="sb8d990e2"/>
          <w:lang w:val="lv-LV"/>
        </w:rPr>
        <w:t xml:space="preserve"> apstiprināja nepilnības saistībā ar iesniedzēja pārvietošanu (skatīt iepriekš 1</w:t>
      </w:r>
      <w:r w:rsidR="00FA7C4A">
        <w:rPr>
          <w:rStyle w:val="sb8d990e2"/>
          <w:lang w:val="lv-LV"/>
        </w:rPr>
        <w:t>5</w:t>
      </w:r>
      <w:r w:rsidR="00FB4BFF" w:rsidRPr="00CE6CB4">
        <w:rPr>
          <w:rStyle w:val="sb8d990e2"/>
          <w:lang w:val="lv-LV"/>
        </w:rPr>
        <w:t xml:space="preserve">. </w:t>
      </w:r>
      <w:r w:rsidR="00174822">
        <w:rPr>
          <w:rStyle w:val="sb8d990e2"/>
          <w:lang w:val="lv-LV"/>
        </w:rPr>
        <w:t>rindkopu</w:t>
      </w:r>
      <w:r w:rsidR="00FB4BFF" w:rsidRPr="00CE6CB4">
        <w:rPr>
          <w:rStyle w:val="sb8d990e2"/>
          <w:lang w:val="lv-LV"/>
        </w:rPr>
        <w:t>)</w:t>
      </w:r>
      <w:r w:rsidR="00FA7C4A">
        <w:rPr>
          <w:rStyle w:val="sb8d990e2"/>
          <w:lang w:val="lv-LV"/>
        </w:rPr>
        <w:t>, savukārt</w:t>
      </w:r>
      <w:r w:rsidR="00FB4BFF" w:rsidRPr="00CE6CB4">
        <w:rPr>
          <w:rStyle w:val="sb8d990e2"/>
          <w:lang w:val="lv-LV"/>
        </w:rPr>
        <w:t xml:space="preserve"> nacionālās tiesas atzina 3. panta jautājumu nozīmību.</w:t>
      </w:r>
    </w:p>
    <w:p w:rsidR="00FB4BFF" w:rsidRPr="00CE6CB4" w:rsidRDefault="008D18CE" w:rsidP="008A51D4">
      <w:pPr>
        <w:pStyle w:val="ECHRPara"/>
        <w:rPr>
          <w:lang w:val="lv-LV"/>
        </w:rPr>
      </w:pPr>
      <w:r w:rsidRPr="00CE6CB4">
        <w:rPr>
          <w:lang w:val="lv-LV"/>
        </w:rPr>
        <w:fldChar w:fldCharType="begin"/>
      </w:r>
      <w:r w:rsidRPr="00CE6CB4">
        <w:rPr>
          <w:lang w:val="lv-LV"/>
        </w:rPr>
        <w:instrText xml:space="preserve"> SEQ level0 \*arabic </w:instrText>
      </w:r>
      <w:r w:rsidRPr="00CE6CB4">
        <w:rPr>
          <w:lang w:val="lv-LV"/>
        </w:rPr>
        <w:fldChar w:fldCharType="separate"/>
      </w:r>
      <w:r w:rsidR="006260D9" w:rsidRPr="00CE6CB4">
        <w:rPr>
          <w:noProof/>
          <w:lang w:val="lv-LV"/>
        </w:rPr>
        <w:t>50</w:t>
      </w:r>
      <w:r w:rsidRPr="00CE6CB4">
        <w:rPr>
          <w:lang w:val="lv-LV"/>
        </w:rPr>
        <w:fldChar w:fldCharType="end"/>
      </w:r>
      <w:r w:rsidR="00D67E0B" w:rsidRPr="00CE6CB4">
        <w:rPr>
          <w:lang w:val="lv-LV"/>
        </w:rPr>
        <w:t>.  </w:t>
      </w:r>
      <w:r w:rsidR="00FB4BFF" w:rsidRPr="00CE6CB4">
        <w:rPr>
          <w:lang w:val="lv-LV"/>
        </w:rPr>
        <w:t>Tiesa vēl atzīst, ka 13. panta sūdzībai nav obligāti jāietver pierādījums par citu Konvencijas aizsargātu tiesību pārkāpumu. Lai gan Tiesa šajā lietā nav atzinusi 3. panta pārkāpumu, tā atzina iesniedzēja sūdzību atbilstoši šim pantam par nepieņemamu izskatīšanai nevis saskaņā ar pirm</w:t>
      </w:r>
      <w:r w:rsidR="00622587">
        <w:rPr>
          <w:lang w:val="lv-LV"/>
        </w:rPr>
        <w:t>s</w:t>
      </w:r>
      <w:r w:rsidR="00FB4BFF" w:rsidRPr="00CE6CB4">
        <w:rPr>
          <w:lang w:val="lv-LV"/>
        </w:rPr>
        <w:t xml:space="preserve">šķietamību, bet gan </w:t>
      </w:r>
      <w:r w:rsidR="00FA7C4A">
        <w:rPr>
          <w:lang w:val="lv-LV"/>
        </w:rPr>
        <w:t>atbilstoši secinājumiem</w:t>
      </w:r>
      <w:r w:rsidR="00FB4BFF" w:rsidRPr="00CE6CB4">
        <w:rPr>
          <w:lang w:val="lv-LV"/>
        </w:rPr>
        <w:t xml:space="preserve"> par pārkāpuma neesamību, izskatot sūdzību pēc būtības (atšķirībā no lēmumiem</w:t>
      </w:r>
      <w:r w:rsidR="00C523B0">
        <w:rPr>
          <w:lang w:val="lv-LV"/>
        </w:rPr>
        <w:t xml:space="preserve"> </w:t>
      </w:r>
      <w:r w:rsidR="00C523B0">
        <w:rPr>
          <w:i/>
          <w:lang w:val="lv-LV"/>
        </w:rPr>
        <w:lastRenderedPageBreak/>
        <w:t xml:space="preserve">Keipenvardecas </w:t>
      </w:r>
      <w:r w:rsidR="00C523B0">
        <w:rPr>
          <w:lang w:val="lv-LV"/>
        </w:rPr>
        <w:t xml:space="preserve">un </w:t>
      </w:r>
      <w:r w:rsidR="00C523B0">
        <w:rPr>
          <w:i/>
          <w:lang w:val="lv-LV"/>
        </w:rPr>
        <w:t>Ružas</w:t>
      </w:r>
      <w:r w:rsidR="00FB4BFF" w:rsidRPr="00CE6CB4">
        <w:rPr>
          <w:lang w:val="lv-LV"/>
        </w:rPr>
        <w:t xml:space="preserve"> lietās, abas citētas iepriekš). Līdz ar to iesniedzēja </w:t>
      </w:r>
      <w:r w:rsidR="00C523B0">
        <w:rPr>
          <w:lang w:val="lv-LV"/>
        </w:rPr>
        <w:t>prasība</w:t>
      </w:r>
      <w:r w:rsidR="00C523B0" w:rsidRPr="00CE6CB4">
        <w:rPr>
          <w:lang w:val="lv-LV"/>
        </w:rPr>
        <w:t xml:space="preserve"> </w:t>
      </w:r>
      <w:r w:rsidR="00FB4BFF" w:rsidRPr="00CE6CB4">
        <w:rPr>
          <w:lang w:val="lv-LV"/>
        </w:rPr>
        <w:t>atbilstoši 13. pantam ir pamatota un pieņemama izskatīšanai.</w:t>
      </w:r>
    </w:p>
    <w:p w:rsidR="00D67E0B" w:rsidRPr="00CE6CB4" w:rsidRDefault="0077157C" w:rsidP="0077157C">
      <w:pPr>
        <w:pStyle w:val="ECHRHeading3"/>
        <w:rPr>
          <w:lang w:val="lv-LV"/>
        </w:rPr>
      </w:pPr>
      <w:r w:rsidRPr="00CE6CB4">
        <w:rPr>
          <w:lang w:val="lv-LV"/>
        </w:rPr>
        <w:t>2</w:t>
      </w:r>
      <w:r w:rsidR="00B54C70" w:rsidRPr="00CE6CB4">
        <w:rPr>
          <w:lang w:val="lv-LV"/>
        </w:rPr>
        <w:t>.  </w:t>
      </w:r>
      <w:r w:rsidR="00C523B0">
        <w:rPr>
          <w:lang w:val="lv-LV"/>
        </w:rPr>
        <w:t>Sūdzības</w:t>
      </w:r>
      <w:r w:rsidR="00FB4BFF" w:rsidRPr="00CE6CB4">
        <w:rPr>
          <w:lang w:val="lv-LV"/>
        </w:rPr>
        <w:t xml:space="preserve"> būtība</w:t>
      </w:r>
    </w:p>
    <w:p w:rsidR="00C13A14" w:rsidRPr="00CE6CB4" w:rsidRDefault="005913A0" w:rsidP="00571B37">
      <w:pPr>
        <w:pStyle w:val="ECHRPara"/>
        <w:rPr>
          <w:lang w:val="lv-LV"/>
        </w:rPr>
      </w:pPr>
      <w:r w:rsidRPr="00CE6CB4">
        <w:rPr>
          <w:lang w:val="lv-LV"/>
        </w:rPr>
        <w:fldChar w:fldCharType="begin"/>
      </w:r>
      <w:r w:rsidRPr="00CE6CB4">
        <w:rPr>
          <w:lang w:val="lv-LV"/>
        </w:rPr>
        <w:instrText xml:space="preserve"> SEQ level0 \*arabic </w:instrText>
      </w:r>
      <w:r w:rsidRPr="00CE6CB4">
        <w:rPr>
          <w:lang w:val="lv-LV"/>
        </w:rPr>
        <w:fldChar w:fldCharType="separate"/>
      </w:r>
      <w:r w:rsidR="006260D9" w:rsidRPr="00CE6CB4">
        <w:rPr>
          <w:noProof/>
          <w:lang w:val="lv-LV"/>
        </w:rPr>
        <w:t>51</w:t>
      </w:r>
      <w:r w:rsidRPr="00CE6CB4">
        <w:rPr>
          <w:lang w:val="lv-LV"/>
        </w:rPr>
        <w:fldChar w:fldCharType="end"/>
      </w:r>
      <w:r w:rsidR="00571B37" w:rsidRPr="00CE6CB4">
        <w:rPr>
          <w:lang w:val="lv-LV"/>
        </w:rPr>
        <w:t>.  </w:t>
      </w:r>
      <w:r w:rsidR="00C13A14" w:rsidRPr="00CE6CB4">
        <w:rPr>
          <w:lang w:val="lv-LV"/>
        </w:rPr>
        <w:t xml:space="preserve">Iesniedzējs apgalvoja, ka viņa sūdzībai nebija pieejams efektīvs nacionālais tiesiskās aizsardzības līdzeklis atbilstoši 3. pantam. Pamatojot savu sūdzību, viņš atsaucās uz to, ka administratīvās tiesas </w:t>
      </w:r>
      <w:r w:rsidR="00C523B0">
        <w:rPr>
          <w:lang w:val="lv-LV"/>
        </w:rPr>
        <w:t xml:space="preserve">atzina </w:t>
      </w:r>
      <w:r w:rsidR="00C13A14" w:rsidRPr="00CE6CB4">
        <w:rPr>
          <w:lang w:val="lv-LV"/>
        </w:rPr>
        <w:t>viņa sūdzīb</w:t>
      </w:r>
      <w:r w:rsidR="00C523B0">
        <w:rPr>
          <w:lang w:val="lv-LV"/>
        </w:rPr>
        <w:t>u par nepiekritīgu izskatīšanai</w:t>
      </w:r>
      <w:r w:rsidR="00C13A14" w:rsidRPr="00CE6CB4">
        <w:rPr>
          <w:lang w:val="lv-LV"/>
        </w:rPr>
        <w:t xml:space="preserve"> (skatīt iepriekš 20. </w:t>
      </w:r>
      <w:r w:rsidR="00083BCC">
        <w:rPr>
          <w:lang w:val="lv-LV"/>
        </w:rPr>
        <w:t>rindkopu</w:t>
      </w:r>
      <w:r w:rsidR="00C13A14" w:rsidRPr="00CE6CB4">
        <w:rPr>
          <w:lang w:val="lv-LV"/>
        </w:rPr>
        <w:t>). Saistībā ar citu iespējamu tiesiskās aizsardzības līdzekli – sūdzību prokuratūrai – iesniedzējs apgalvoja, ka tas nav bijis efektīvs, jo, pirmkārt, nacionālajos tiesību aktos nebija noteikta kārtība, kādā prokuratūrā iesniedzama sūdzība par ieslodzījuma soda izciešanu un, otrkārt, viņš jau bija izmantojis šo tiesiskās aizsardzības līdzekli, iesniedzot sūdzību Ģenerālprokuratūrā (skatīt iepriekš 14. rindkopu), taču nekādas darbības saistībā ar to nebija veiktas.</w:t>
      </w:r>
    </w:p>
    <w:p w:rsidR="00C13A14" w:rsidRPr="00CE6CB4" w:rsidRDefault="00571B37" w:rsidP="00C13A14">
      <w:pPr>
        <w:pStyle w:val="ECHRPara"/>
        <w:rPr>
          <w:lang w:val="lv-LV"/>
        </w:rPr>
      </w:pPr>
      <w:r w:rsidRPr="00CE6CB4">
        <w:rPr>
          <w:lang w:val="lv-LV"/>
        </w:rPr>
        <w:fldChar w:fldCharType="begin"/>
      </w:r>
      <w:r w:rsidRPr="00CE6CB4">
        <w:rPr>
          <w:lang w:val="lv-LV"/>
        </w:rPr>
        <w:instrText xml:space="preserve"> SEQ level0 \*arabic </w:instrText>
      </w:r>
      <w:r w:rsidRPr="00CE6CB4">
        <w:rPr>
          <w:lang w:val="lv-LV"/>
        </w:rPr>
        <w:fldChar w:fldCharType="separate"/>
      </w:r>
      <w:r w:rsidR="006260D9" w:rsidRPr="00CE6CB4">
        <w:rPr>
          <w:noProof/>
          <w:lang w:val="lv-LV"/>
        </w:rPr>
        <w:t>52</w:t>
      </w:r>
      <w:r w:rsidRPr="00CE6CB4">
        <w:rPr>
          <w:lang w:val="lv-LV"/>
        </w:rPr>
        <w:fldChar w:fldCharType="end"/>
      </w:r>
      <w:r w:rsidRPr="00CE6CB4">
        <w:rPr>
          <w:lang w:val="lv-LV"/>
        </w:rPr>
        <w:t>.  </w:t>
      </w:r>
      <w:r w:rsidR="00C13A14" w:rsidRPr="00CE6CB4">
        <w:rPr>
          <w:lang w:val="lv-LV"/>
        </w:rPr>
        <w:t>Valdība uzsvēra, ka prokuratūra ir</w:t>
      </w:r>
      <w:r w:rsidR="00C523B0">
        <w:rPr>
          <w:lang w:val="lv-LV"/>
        </w:rPr>
        <w:t xml:space="preserve"> tiesu varai piederīga</w:t>
      </w:r>
      <w:r w:rsidR="00C13A14" w:rsidRPr="00CE6CB4">
        <w:rPr>
          <w:lang w:val="lv-LV"/>
        </w:rPr>
        <w:t xml:space="preserve"> iestāde,</w:t>
      </w:r>
      <w:r w:rsidR="00C523B0" w:rsidRPr="00CE6CB4" w:rsidDel="00C523B0">
        <w:rPr>
          <w:lang w:val="lv-LV"/>
        </w:rPr>
        <w:t xml:space="preserve"> </w:t>
      </w:r>
      <w:r w:rsidR="00C13A14" w:rsidRPr="00CE6CB4">
        <w:rPr>
          <w:lang w:val="lv-LV"/>
        </w:rPr>
        <w:t xml:space="preserve"> un saskaņā ar Prokuratūras likuma 16. un 17. pantu tā varēja veikt vairākas darbības, lai novērstu sūdzībā ietvertos jautājumus (skatīt iepriekš “Piemērojamie nacionālie tiesību akti”). </w:t>
      </w:r>
      <w:r w:rsidR="00C523B0">
        <w:rPr>
          <w:lang w:val="lv-LV"/>
        </w:rPr>
        <w:t xml:space="preserve">Tā </w:t>
      </w:r>
      <w:r w:rsidR="00C13A14" w:rsidRPr="00CE6CB4">
        <w:rPr>
          <w:lang w:val="lv-LV"/>
        </w:rPr>
        <w:t xml:space="preserve">apstrīdēja iesniedzēja argumentu par attiecīgas </w:t>
      </w:r>
      <w:r w:rsidR="00C523B0">
        <w:rPr>
          <w:lang w:val="lv-LV"/>
        </w:rPr>
        <w:t>procedūras neesamību</w:t>
      </w:r>
      <w:r w:rsidR="00C13A14" w:rsidRPr="00CE6CB4">
        <w:rPr>
          <w:lang w:val="lv-LV"/>
        </w:rPr>
        <w:t xml:space="preserve"> trūkumu un norādīja, ka tas nav liedzis prokuratūrai izskatīt vairāk</w:t>
      </w:r>
      <w:r w:rsidR="009A64E9" w:rsidRPr="00CE6CB4">
        <w:rPr>
          <w:lang w:val="lv-LV"/>
        </w:rPr>
        <w:t>a</w:t>
      </w:r>
      <w:r w:rsidR="00C13A14" w:rsidRPr="00CE6CB4">
        <w:rPr>
          <w:lang w:val="lv-LV"/>
        </w:rPr>
        <w:t xml:space="preserve">s </w:t>
      </w:r>
      <w:r w:rsidR="009A64E9" w:rsidRPr="00CE6CB4">
        <w:rPr>
          <w:lang w:val="lv-LV"/>
        </w:rPr>
        <w:t>fizisku personu iesniegtas sūdzības. Šajā sakarā Valdība iesniedza 2013. gada janvāra prokur</w:t>
      </w:r>
      <w:r w:rsidR="004202E2">
        <w:rPr>
          <w:lang w:val="lv-LV"/>
        </w:rPr>
        <w:t>ora</w:t>
      </w:r>
      <w:r w:rsidR="009A64E9" w:rsidRPr="00CE6CB4">
        <w:rPr>
          <w:lang w:val="lv-LV"/>
        </w:rPr>
        <w:t xml:space="preserve"> brīdinājumu, kas izsniegts saskaņā ar ieslodzītā sūdzību par pārmērīgu </w:t>
      </w:r>
      <w:r w:rsidR="008E2B8A">
        <w:rPr>
          <w:lang w:val="lv-LV"/>
        </w:rPr>
        <w:t>sasaistes</w:t>
      </w:r>
      <w:r w:rsidR="009A64E9" w:rsidRPr="00CE6CB4">
        <w:rPr>
          <w:lang w:val="lv-LV"/>
        </w:rPr>
        <w:t xml:space="preserve"> </w:t>
      </w:r>
      <w:r w:rsidR="00E218BB" w:rsidRPr="00CE6CB4">
        <w:rPr>
          <w:lang w:val="lv-LV"/>
        </w:rPr>
        <w:t>līdzekļu</w:t>
      </w:r>
      <w:r w:rsidR="009A64E9" w:rsidRPr="00CE6CB4">
        <w:rPr>
          <w:lang w:val="lv-LV"/>
        </w:rPr>
        <w:t xml:space="preserve"> pielietojumu attiecībā pret</w:t>
      </w:r>
      <w:r w:rsidR="008E2B8A">
        <w:rPr>
          <w:lang w:val="lv-LV"/>
        </w:rPr>
        <w:t xml:space="preserve"> notiesātajiem ar mūža ieslodzījumu</w:t>
      </w:r>
      <w:r w:rsidR="009A64E9" w:rsidRPr="00CE6CB4">
        <w:rPr>
          <w:lang w:val="lv-LV"/>
        </w:rPr>
        <w:t>.</w:t>
      </w:r>
      <w:r w:rsidR="00E218BB" w:rsidRPr="00CE6CB4">
        <w:rPr>
          <w:lang w:val="lv-LV"/>
        </w:rPr>
        <w:t xml:space="preserve"> Brīdinājums tika izsniegts Ieslodzījuma vietu </w:t>
      </w:r>
      <w:r w:rsidR="007D50CC" w:rsidRPr="00CE6CB4">
        <w:rPr>
          <w:lang w:val="lv-LV"/>
        </w:rPr>
        <w:t>pārvaldei</w:t>
      </w:r>
      <w:r w:rsidR="00E218BB" w:rsidRPr="00CE6CB4">
        <w:rPr>
          <w:lang w:val="lv-LV"/>
        </w:rPr>
        <w:t>, un tajā tika secināts, ka nekritisk</w:t>
      </w:r>
      <w:r w:rsidR="008E2B8A">
        <w:rPr>
          <w:lang w:val="lv-LV"/>
        </w:rPr>
        <w:t>a</w:t>
      </w:r>
      <w:r w:rsidR="00E218BB" w:rsidRPr="00CE6CB4">
        <w:rPr>
          <w:lang w:val="lv-LV"/>
        </w:rPr>
        <w:t xml:space="preserve"> </w:t>
      </w:r>
      <w:r w:rsidR="008E2B8A">
        <w:rPr>
          <w:lang w:val="lv-LV"/>
        </w:rPr>
        <w:t>sasaistes</w:t>
      </w:r>
      <w:r w:rsidR="00E218BB" w:rsidRPr="00CE6CB4">
        <w:rPr>
          <w:lang w:val="lv-LV"/>
        </w:rPr>
        <w:t xml:space="preserve"> līdzekļu, piemēram, roku dzelžu, </w:t>
      </w:r>
      <w:r w:rsidR="008E2B8A">
        <w:rPr>
          <w:lang w:val="lv-LV"/>
        </w:rPr>
        <w:t>pielietošana</w:t>
      </w:r>
      <w:r w:rsidR="008E2B8A" w:rsidRPr="00CE6CB4">
        <w:rPr>
          <w:lang w:val="lv-LV"/>
        </w:rPr>
        <w:t xml:space="preserve"> </w:t>
      </w:r>
      <w:r w:rsidR="00E218BB" w:rsidRPr="00CE6CB4">
        <w:rPr>
          <w:lang w:val="lv-LV"/>
        </w:rPr>
        <w:t>nevar tikt uzskatīt</w:t>
      </w:r>
      <w:r w:rsidR="008E2B8A">
        <w:rPr>
          <w:lang w:val="lv-LV"/>
        </w:rPr>
        <w:t>a</w:t>
      </w:r>
      <w:r w:rsidR="00E218BB" w:rsidRPr="00CE6CB4">
        <w:rPr>
          <w:lang w:val="lv-LV"/>
        </w:rPr>
        <w:t xml:space="preserve"> par tiesisku. Dokumentā bija iekļauts arī brīdinājums par iespējamu kriminālatbildību, ja pārkāpumi tiks veikti arī turpmāk. Valdība vēl apgalvoja, ka iesniedzējs nav pievienojis Ģenerālprokuratūrai nosūtīto sūdzību</w:t>
      </w:r>
      <w:r w:rsidR="00E15780" w:rsidRPr="00CE6CB4">
        <w:rPr>
          <w:lang w:val="lv-LV"/>
        </w:rPr>
        <w:t xml:space="preserve"> un ka viņam vajadzēja celt jaunu prasību, ja netika saņemta nekāda atbilde.</w:t>
      </w:r>
    </w:p>
    <w:p w:rsidR="00E15780" w:rsidRPr="00CE6CB4" w:rsidRDefault="00354857" w:rsidP="00F5639E">
      <w:pPr>
        <w:pStyle w:val="ECHRPara"/>
        <w:rPr>
          <w:lang w:val="lv-LV"/>
        </w:rPr>
      </w:pPr>
      <w:r w:rsidRPr="00CE6CB4">
        <w:rPr>
          <w:lang w:val="lv-LV"/>
        </w:rPr>
        <w:fldChar w:fldCharType="begin"/>
      </w:r>
      <w:r w:rsidRPr="00CE6CB4">
        <w:rPr>
          <w:lang w:val="lv-LV"/>
        </w:rPr>
        <w:instrText xml:space="preserve"> SEQ level0 \*arabic </w:instrText>
      </w:r>
      <w:r w:rsidRPr="00CE6CB4">
        <w:rPr>
          <w:lang w:val="lv-LV"/>
        </w:rPr>
        <w:fldChar w:fldCharType="separate"/>
      </w:r>
      <w:r w:rsidR="006260D9" w:rsidRPr="00CE6CB4">
        <w:rPr>
          <w:noProof/>
          <w:lang w:val="lv-LV"/>
        </w:rPr>
        <w:t>53</w:t>
      </w:r>
      <w:r w:rsidRPr="00CE6CB4">
        <w:rPr>
          <w:lang w:val="lv-LV"/>
        </w:rPr>
        <w:fldChar w:fldCharType="end"/>
      </w:r>
      <w:r w:rsidRPr="00CE6CB4">
        <w:rPr>
          <w:lang w:val="lv-LV"/>
        </w:rPr>
        <w:t>.  </w:t>
      </w:r>
      <w:r w:rsidR="00E15780" w:rsidRPr="00CE6CB4">
        <w:rPr>
          <w:lang w:val="lv-LV"/>
        </w:rPr>
        <w:t xml:space="preserve">Iesniedzējs šajā sakarā piebilda, ka 2013. gadā izsniegtais brīdinājums </w:t>
      </w:r>
      <w:r w:rsidR="00915C76">
        <w:rPr>
          <w:lang w:val="lv-LV"/>
        </w:rPr>
        <w:t>neliecina</w:t>
      </w:r>
      <w:r w:rsidR="00E15780" w:rsidRPr="00CE6CB4">
        <w:rPr>
          <w:lang w:val="lv-LV"/>
        </w:rPr>
        <w:t xml:space="preserve">, ka šāds tiesiskās aizsardzības līdzeklis būtu bijis pieejams </w:t>
      </w:r>
      <w:r w:rsidR="00915C76">
        <w:rPr>
          <w:lang w:val="lv-LV"/>
        </w:rPr>
        <w:t xml:space="preserve">arī </w:t>
      </w:r>
      <w:r w:rsidR="00E15780" w:rsidRPr="00CE6CB4">
        <w:rPr>
          <w:lang w:val="lv-LV"/>
        </w:rPr>
        <w:t>to notikumu laikā, uz kuru attiecās viņa sūdzība.</w:t>
      </w:r>
    </w:p>
    <w:p w:rsidR="00E15780" w:rsidRPr="00CE6CB4" w:rsidRDefault="005B334D" w:rsidP="000615E2">
      <w:pPr>
        <w:pStyle w:val="ECHRPara"/>
        <w:rPr>
          <w:lang w:val="lv-LV"/>
        </w:rPr>
      </w:pPr>
      <w:r w:rsidRPr="00CE6CB4">
        <w:rPr>
          <w:lang w:val="lv-LV"/>
        </w:rPr>
        <w:fldChar w:fldCharType="begin"/>
      </w:r>
      <w:r w:rsidRPr="00CE6CB4">
        <w:rPr>
          <w:lang w:val="lv-LV"/>
        </w:rPr>
        <w:instrText xml:space="preserve"> SEQ level0 \*arabic </w:instrText>
      </w:r>
      <w:r w:rsidRPr="00CE6CB4">
        <w:rPr>
          <w:lang w:val="lv-LV"/>
        </w:rPr>
        <w:fldChar w:fldCharType="separate"/>
      </w:r>
      <w:r w:rsidR="006260D9" w:rsidRPr="00CE6CB4">
        <w:rPr>
          <w:noProof/>
          <w:lang w:val="lv-LV"/>
        </w:rPr>
        <w:t>54</w:t>
      </w:r>
      <w:r w:rsidRPr="00CE6CB4">
        <w:rPr>
          <w:lang w:val="lv-LV"/>
        </w:rPr>
        <w:fldChar w:fldCharType="end"/>
      </w:r>
      <w:r w:rsidRPr="00CE6CB4">
        <w:rPr>
          <w:lang w:val="lv-LV"/>
        </w:rPr>
        <w:t>. </w:t>
      </w:r>
      <w:r w:rsidR="00E15780" w:rsidRPr="00CE6CB4">
        <w:rPr>
          <w:lang w:val="lv-LV"/>
        </w:rPr>
        <w:t xml:space="preserve">Kā Tiesa norādījusi vairākos gadījumos, līgumslēdzēju valstu pienākumu tvērums atbilstoši 13. pantam ir atkarīgs no iesniedzēja sūdzību rakstura, taču 13. panta sniegtajam tiesiskās aizsardzības līdzeklim jābūt </w:t>
      </w:r>
      <w:r w:rsidR="00E15780" w:rsidRPr="00CE6CB4">
        <w:rPr>
          <w:rStyle w:val="sb8d990e2"/>
          <w:lang w:val="lv-LV"/>
        </w:rPr>
        <w:t xml:space="preserve">“efektīvam” gan praksē, gan likumā  (skatīt lietu </w:t>
      </w:r>
      <w:r w:rsidR="00E15780" w:rsidRPr="00CE6CB4">
        <w:rPr>
          <w:rStyle w:val="sb8d990e2"/>
          <w:i/>
          <w:lang w:val="lv-LV"/>
        </w:rPr>
        <w:t>M. S. S.</w:t>
      </w:r>
      <w:r w:rsidR="00E15780" w:rsidRPr="00CE6CB4">
        <w:rPr>
          <w:rStyle w:val="sb8d990e2"/>
          <w:lang w:val="lv-LV"/>
        </w:rPr>
        <w:t xml:space="preserve"> </w:t>
      </w:r>
      <w:r w:rsidR="00E15780" w:rsidRPr="00EF35E7">
        <w:rPr>
          <w:rStyle w:val="sb8d990e2"/>
          <w:i/>
          <w:lang w:val="lv-LV"/>
        </w:rPr>
        <w:t>pret Beļģiju un Grieķiju</w:t>
      </w:r>
      <w:r w:rsidR="00E15780" w:rsidRPr="00CE6CB4">
        <w:rPr>
          <w:rStyle w:val="sb8d990e2"/>
          <w:lang w:val="lv-LV"/>
        </w:rPr>
        <w:t xml:space="preserve"> [Lielā palāta], Nr. </w:t>
      </w:r>
      <w:r w:rsidR="00E15780" w:rsidRPr="00CE6CB4">
        <w:rPr>
          <w:lang w:val="lv-LV"/>
        </w:rPr>
        <w:t>30696/09, 288. rindkopa, ECHR 2011). Turklāt, lai izmeklēšana būtu veiksmīga, personām, kuras to veic, jābūt neatkarīgām no tām personām,</w:t>
      </w:r>
      <w:r w:rsidR="008E2B8A">
        <w:rPr>
          <w:lang w:val="lv-LV"/>
        </w:rPr>
        <w:t xml:space="preserve"> par</w:t>
      </w:r>
      <w:r w:rsidR="00E15780" w:rsidRPr="00CE6CB4">
        <w:rPr>
          <w:lang w:val="lv-LV"/>
        </w:rPr>
        <w:t xml:space="preserve"> kur</w:t>
      </w:r>
      <w:r w:rsidR="008E2B8A">
        <w:rPr>
          <w:lang w:val="lv-LV"/>
        </w:rPr>
        <w:t>ām</w:t>
      </w:r>
      <w:r w:rsidR="00E15780" w:rsidRPr="00CE6CB4">
        <w:rPr>
          <w:lang w:val="lv-LV"/>
        </w:rPr>
        <w:t xml:space="preserve"> tiek </w:t>
      </w:r>
      <w:r w:rsidR="008E2B8A">
        <w:rPr>
          <w:lang w:val="lv-LV"/>
        </w:rPr>
        <w:t xml:space="preserve">veikta </w:t>
      </w:r>
      <w:r w:rsidR="00E15780" w:rsidRPr="00CE6CB4">
        <w:rPr>
          <w:lang w:val="lv-LV"/>
        </w:rPr>
        <w:t xml:space="preserve">izmeklēšana. Tas nozīmē, ka ne vien jānovērš hierarhiska un institucionāla saistība, bet arī jāpanāk praktiska neatkarība (skatīt, piemēram, lietu </w:t>
      </w:r>
      <w:r w:rsidR="00E15780" w:rsidRPr="00CE6CB4">
        <w:rPr>
          <w:i/>
          <w:snapToGrid w:val="0"/>
          <w:lang w:val="lv-LV"/>
        </w:rPr>
        <w:t xml:space="preserve">Mocanu </w:t>
      </w:r>
      <w:r w:rsidR="00E15780" w:rsidRPr="00EF35E7">
        <w:rPr>
          <w:i/>
          <w:snapToGrid w:val="0"/>
          <w:lang w:val="lv-LV"/>
        </w:rPr>
        <w:t>un citi pret Rumāniju</w:t>
      </w:r>
      <w:r w:rsidR="00E15780" w:rsidRPr="00CE6CB4">
        <w:rPr>
          <w:snapToGrid w:val="0"/>
          <w:lang w:val="lv-LV"/>
        </w:rPr>
        <w:t xml:space="preserve"> [Lielā palāta], Nr. 10865/09, 45886/07 un 32431/08, 320. rindkopa, </w:t>
      </w:r>
      <w:r w:rsidR="00E15780" w:rsidRPr="00CE6CB4">
        <w:rPr>
          <w:lang w:val="lv-LV"/>
        </w:rPr>
        <w:t xml:space="preserve">ECHR 2014 (izraksti)). </w:t>
      </w:r>
    </w:p>
    <w:p w:rsidR="00E15780" w:rsidRPr="00CE6CB4" w:rsidRDefault="00913688" w:rsidP="003C5D3A">
      <w:pPr>
        <w:pStyle w:val="ECHRPara"/>
        <w:rPr>
          <w:lang w:val="lv-LV"/>
        </w:rPr>
      </w:pPr>
      <w:r w:rsidRPr="00CE6CB4">
        <w:rPr>
          <w:lang w:val="lv-LV"/>
        </w:rPr>
        <w:lastRenderedPageBreak/>
        <w:fldChar w:fldCharType="begin"/>
      </w:r>
      <w:r w:rsidRPr="00CE6CB4">
        <w:rPr>
          <w:lang w:val="lv-LV"/>
        </w:rPr>
        <w:instrText xml:space="preserve"> SEQ level0 \*arabic </w:instrText>
      </w:r>
      <w:r w:rsidRPr="00CE6CB4">
        <w:rPr>
          <w:lang w:val="lv-LV"/>
        </w:rPr>
        <w:fldChar w:fldCharType="separate"/>
      </w:r>
      <w:r w:rsidR="006260D9" w:rsidRPr="00CE6CB4">
        <w:rPr>
          <w:noProof/>
          <w:lang w:val="lv-LV"/>
        </w:rPr>
        <w:t>55</w:t>
      </w:r>
      <w:r w:rsidRPr="00CE6CB4">
        <w:rPr>
          <w:lang w:val="lv-LV"/>
        </w:rPr>
        <w:fldChar w:fldCharType="end"/>
      </w:r>
      <w:r w:rsidRPr="00CE6CB4">
        <w:rPr>
          <w:lang w:val="lv-LV"/>
        </w:rPr>
        <w:t>.  </w:t>
      </w:r>
      <w:r w:rsidR="003C5D3A" w:rsidRPr="00CE6CB4">
        <w:rPr>
          <w:lang w:val="lv-LV"/>
        </w:rPr>
        <w:t xml:space="preserve">Tiesa atzīst, ka no 2001. gada iesniedzējam bija jāizcieš ieslodzījuma sods </w:t>
      </w:r>
      <w:r w:rsidR="00915C76">
        <w:rPr>
          <w:lang w:val="lv-LV"/>
        </w:rPr>
        <w:t>režīma vidējā pakāpē</w:t>
      </w:r>
      <w:r w:rsidR="003C5D3A" w:rsidRPr="00CE6CB4">
        <w:rPr>
          <w:lang w:val="lv-LV"/>
        </w:rPr>
        <w:t xml:space="preserve">. Citiem vārdiem sakot, </w:t>
      </w:r>
      <w:r w:rsidR="00915C76" w:rsidRPr="00CE6CB4">
        <w:rPr>
          <w:lang w:val="lv-LV"/>
        </w:rPr>
        <w:t xml:space="preserve">šī privilēģija </w:t>
      </w:r>
      <w:r w:rsidR="003C5D3A" w:rsidRPr="00CE6CB4">
        <w:rPr>
          <w:lang w:val="lv-LV"/>
        </w:rPr>
        <w:t xml:space="preserve">viņam jau bija sniegta (skatīt iepriekš 24. rindkopu) un veidoja pastāvošas tiesības (skatīt </w:t>
      </w:r>
      <w:r w:rsidR="003C5D3A" w:rsidRPr="00CE6CB4">
        <w:rPr>
          <w:i/>
          <w:lang w:val="lv-LV"/>
        </w:rPr>
        <w:t>mutatis mutandis</w:t>
      </w:r>
      <w:r w:rsidR="008E2B8A">
        <w:rPr>
          <w:lang w:val="lv-LV"/>
        </w:rPr>
        <w:t xml:space="preserve"> </w:t>
      </w:r>
      <w:r w:rsidR="008E2B8A">
        <w:rPr>
          <w:i/>
          <w:lang w:val="lv-LV"/>
        </w:rPr>
        <w:t>Enea</w:t>
      </w:r>
      <w:r w:rsidR="003C5D3A" w:rsidRPr="00CE6CB4">
        <w:rPr>
          <w:i/>
          <w:lang w:val="lv-LV"/>
        </w:rPr>
        <w:t xml:space="preserve"> </w:t>
      </w:r>
      <w:r w:rsidR="003C5D3A" w:rsidRPr="00CE6CB4">
        <w:rPr>
          <w:lang w:val="lv-LV"/>
        </w:rPr>
        <w:t>lietu, citēta iepriekš), kuras</w:t>
      </w:r>
      <w:r w:rsidR="008E2B8A">
        <w:rPr>
          <w:lang w:val="lv-LV"/>
        </w:rPr>
        <w:t xml:space="preserve"> valsts</w:t>
      </w:r>
      <w:r w:rsidR="003C5D3A" w:rsidRPr="00CE6CB4">
        <w:rPr>
          <w:lang w:val="lv-LV"/>
        </w:rPr>
        <w:t xml:space="preserve"> varas iestādēm bija</w:t>
      </w:r>
      <w:r w:rsidR="008E2B8A">
        <w:rPr>
          <w:lang w:val="lv-LV"/>
        </w:rPr>
        <w:t xml:space="preserve"> pienākums nodrošināt</w:t>
      </w:r>
      <w:r w:rsidR="003C5D3A" w:rsidRPr="00CE6CB4">
        <w:rPr>
          <w:lang w:val="lv-LV"/>
        </w:rPr>
        <w:t xml:space="preserve">. Līdz ar to varas iestādēm nebija dota nekāda rīcības brīvība (atšķirībā no lietas </w:t>
      </w:r>
      <w:r w:rsidR="003C5D3A" w:rsidRPr="00CE6CB4">
        <w:rPr>
          <w:i/>
          <w:lang w:val="lv-LV"/>
        </w:rPr>
        <w:t xml:space="preserve">Boulois </w:t>
      </w:r>
      <w:r w:rsidR="003C5D3A" w:rsidRPr="00EF35E7">
        <w:rPr>
          <w:i/>
          <w:lang w:val="lv-LV"/>
        </w:rPr>
        <w:t>pret Luksemburgu</w:t>
      </w:r>
      <w:r w:rsidR="003C5D3A" w:rsidRPr="00CE6CB4">
        <w:rPr>
          <w:lang w:val="lv-LV"/>
        </w:rPr>
        <w:t xml:space="preserve"> [Lielā palāta], Nr. 37575/04, 99. rindkopa, </w:t>
      </w:r>
      <w:r w:rsidR="003C5D3A" w:rsidRPr="00CE6CB4">
        <w:rPr>
          <w:snapToGrid w:val="0"/>
          <w:lang w:val="lv-LV"/>
        </w:rPr>
        <w:t xml:space="preserve">ECHR 2012) un iesniedzējs varēja saprātīgi sagaidīt, ka viņa tiesību pārkāpuma gadījumā </w:t>
      </w:r>
      <w:r w:rsidR="008E2B8A">
        <w:rPr>
          <w:snapToGrid w:val="0"/>
          <w:lang w:val="lv-LV"/>
        </w:rPr>
        <w:t xml:space="preserve">viņam būs </w:t>
      </w:r>
      <w:r w:rsidR="003C5D3A" w:rsidRPr="00CE6CB4">
        <w:rPr>
          <w:snapToGrid w:val="0"/>
          <w:lang w:val="lv-LV"/>
        </w:rPr>
        <w:t>pieejam</w:t>
      </w:r>
      <w:r w:rsidR="008E2B8A">
        <w:rPr>
          <w:snapToGrid w:val="0"/>
          <w:lang w:val="lv-LV"/>
        </w:rPr>
        <w:t>s</w:t>
      </w:r>
      <w:r w:rsidR="003C5D3A" w:rsidRPr="00CE6CB4">
        <w:rPr>
          <w:snapToGrid w:val="0"/>
          <w:lang w:val="lv-LV"/>
        </w:rPr>
        <w:t xml:space="preserve"> attiecīga</w:t>
      </w:r>
      <w:r w:rsidR="008E2B8A">
        <w:rPr>
          <w:snapToGrid w:val="0"/>
          <w:lang w:val="lv-LV"/>
        </w:rPr>
        <w:t>is</w:t>
      </w:r>
      <w:r w:rsidR="003C5D3A" w:rsidRPr="00CE6CB4">
        <w:rPr>
          <w:snapToGrid w:val="0"/>
          <w:lang w:val="lv-LV"/>
        </w:rPr>
        <w:t xml:space="preserve"> tiesiskās aizsardzības līdzekli</w:t>
      </w:r>
      <w:r w:rsidR="008E2B8A">
        <w:rPr>
          <w:snapToGrid w:val="0"/>
          <w:lang w:val="lv-LV"/>
        </w:rPr>
        <w:t>s</w:t>
      </w:r>
      <w:r w:rsidR="003C5D3A" w:rsidRPr="00CE6CB4">
        <w:rPr>
          <w:snapToGrid w:val="0"/>
          <w:lang w:val="lv-LV"/>
        </w:rPr>
        <w:t xml:space="preserve">. </w:t>
      </w:r>
    </w:p>
    <w:p w:rsidR="003C5D3A" w:rsidRPr="00CE6CB4" w:rsidRDefault="001039F0" w:rsidP="0077157C">
      <w:pPr>
        <w:pStyle w:val="ECHRPara"/>
        <w:rPr>
          <w:lang w:val="lv-LV"/>
        </w:rPr>
      </w:pPr>
      <w:r w:rsidRPr="00CE6CB4">
        <w:rPr>
          <w:lang w:val="lv-LV"/>
        </w:rPr>
        <w:fldChar w:fldCharType="begin"/>
      </w:r>
      <w:r w:rsidRPr="00CE6CB4">
        <w:rPr>
          <w:lang w:val="lv-LV"/>
        </w:rPr>
        <w:instrText xml:space="preserve"> SEQ level0 \*arabic </w:instrText>
      </w:r>
      <w:r w:rsidRPr="00CE6CB4">
        <w:rPr>
          <w:lang w:val="lv-LV"/>
        </w:rPr>
        <w:fldChar w:fldCharType="separate"/>
      </w:r>
      <w:r w:rsidR="006260D9" w:rsidRPr="00CE6CB4">
        <w:rPr>
          <w:noProof/>
          <w:lang w:val="lv-LV"/>
        </w:rPr>
        <w:t>56</w:t>
      </w:r>
      <w:r w:rsidRPr="00CE6CB4">
        <w:rPr>
          <w:lang w:val="lv-LV"/>
        </w:rPr>
        <w:fldChar w:fldCharType="end"/>
      </w:r>
      <w:r w:rsidRPr="00CE6CB4">
        <w:rPr>
          <w:lang w:val="lv-LV"/>
        </w:rPr>
        <w:t>. </w:t>
      </w:r>
      <w:r w:rsidR="00CE1578" w:rsidRPr="00CE6CB4">
        <w:rPr>
          <w:lang w:val="lv-LV"/>
        </w:rPr>
        <w:t>  </w:t>
      </w:r>
      <w:r w:rsidR="003C5D3A" w:rsidRPr="00CE6CB4">
        <w:rPr>
          <w:lang w:val="lv-LV"/>
        </w:rPr>
        <w:t>Šo tiesiskās aizsardzības līdzekļu izvēle būtu atkarīga no līgumslēdzējām valstīm (</w:t>
      </w:r>
      <w:r w:rsidR="0009333B">
        <w:rPr>
          <w:lang w:val="lv-LV"/>
        </w:rPr>
        <w:t xml:space="preserve">skatīt, piemēram, lietu </w:t>
      </w:r>
      <w:r w:rsidR="001611FC" w:rsidRPr="00CE6CB4">
        <w:rPr>
          <w:i/>
          <w:lang w:val="lv-LV"/>
        </w:rPr>
        <w:t xml:space="preserve">İlhan </w:t>
      </w:r>
      <w:r w:rsidR="001611FC" w:rsidRPr="00EF35E7">
        <w:rPr>
          <w:i/>
          <w:lang w:val="lv-LV"/>
        </w:rPr>
        <w:t>pret Turciju</w:t>
      </w:r>
      <w:r w:rsidR="003C5D3A" w:rsidRPr="00CE6CB4">
        <w:rPr>
          <w:lang w:val="lv-LV"/>
        </w:rPr>
        <w:t xml:space="preserve"> [Lielā palāta], Nr. 22277/93, 109. rindkopa, ECHR 2000</w:t>
      </w:r>
      <w:r w:rsidR="003C5D3A" w:rsidRPr="00CE6CB4">
        <w:rPr>
          <w:lang w:val="lv-LV"/>
        </w:rPr>
        <w:noBreakHyphen/>
        <w:t xml:space="preserve">VII). </w:t>
      </w:r>
      <w:r w:rsidR="008E2B8A">
        <w:rPr>
          <w:lang w:val="lv-LV"/>
        </w:rPr>
        <w:t>Tiesa š</w:t>
      </w:r>
      <w:r w:rsidR="003C5D3A" w:rsidRPr="00CE6CB4">
        <w:rPr>
          <w:lang w:val="lv-LV"/>
        </w:rPr>
        <w:t xml:space="preserve">ajā lietā izvērtēs Valdības norādītos tiesiskās aizsardzības līdzekļus. </w:t>
      </w:r>
    </w:p>
    <w:p w:rsidR="000615E2" w:rsidRPr="00CE6CB4" w:rsidRDefault="001611FC" w:rsidP="0077157C">
      <w:pPr>
        <w:pStyle w:val="ECHRHeading4"/>
        <w:rPr>
          <w:lang w:val="lv-LV"/>
        </w:rPr>
      </w:pPr>
      <w:r w:rsidRPr="00CE6CB4">
        <w:rPr>
          <w:lang w:val="lv-LV"/>
        </w:rPr>
        <w:t xml:space="preserve"> </w:t>
      </w:r>
      <w:r w:rsidR="0077157C" w:rsidRPr="00CE6CB4">
        <w:rPr>
          <w:lang w:val="lv-LV"/>
        </w:rPr>
        <w:t>(a)  </w:t>
      </w:r>
      <w:r w:rsidR="008A5EDB" w:rsidRPr="00CE6CB4">
        <w:rPr>
          <w:lang w:val="lv-LV"/>
        </w:rPr>
        <w:t>Attiecībā uz administratīvo tiesvedību</w:t>
      </w:r>
    </w:p>
    <w:p w:rsidR="008A5EDB" w:rsidRPr="00CE6CB4" w:rsidRDefault="000615E2" w:rsidP="0077157C">
      <w:pPr>
        <w:pStyle w:val="ECHRPara"/>
        <w:rPr>
          <w:lang w:val="lv-LV"/>
        </w:rPr>
      </w:pPr>
      <w:r w:rsidRPr="00CE6CB4">
        <w:rPr>
          <w:lang w:val="lv-LV"/>
        </w:rPr>
        <w:fldChar w:fldCharType="begin"/>
      </w:r>
      <w:r w:rsidRPr="00CE6CB4">
        <w:rPr>
          <w:lang w:val="lv-LV"/>
        </w:rPr>
        <w:instrText xml:space="preserve"> SEQ level0 \*arabic </w:instrText>
      </w:r>
      <w:r w:rsidRPr="00CE6CB4">
        <w:rPr>
          <w:lang w:val="lv-LV"/>
        </w:rPr>
        <w:fldChar w:fldCharType="separate"/>
      </w:r>
      <w:r w:rsidR="006260D9" w:rsidRPr="00CE6CB4">
        <w:rPr>
          <w:noProof/>
          <w:lang w:val="lv-LV"/>
        </w:rPr>
        <w:t>57</w:t>
      </w:r>
      <w:r w:rsidRPr="00CE6CB4">
        <w:rPr>
          <w:lang w:val="lv-LV"/>
        </w:rPr>
        <w:fldChar w:fldCharType="end"/>
      </w:r>
      <w:r w:rsidRPr="00CE6CB4">
        <w:rPr>
          <w:lang w:val="lv-LV"/>
        </w:rPr>
        <w:t>. </w:t>
      </w:r>
      <w:r w:rsidR="008A5EDB" w:rsidRPr="00CE6CB4">
        <w:rPr>
          <w:lang w:val="lv-LV"/>
        </w:rPr>
        <w:t xml:space="preserve">Lai gan Augstākās tiesas Senāts 2009. gadā neatzina lietas piekritību, lai izskatītu iesniedzēja sūdzību par prettiesisku rīcību un prasību par zaudējumu piedziņu, iesniedzēju nevar vainot par nepareiza tiesiskās aizsardzības līdzekļa izvēli, jo 2006. gadā, proti, pirms administratīvo procesu uzsākšanas, Administratīvā </w:t>
      </w:r>
      <w:r w:rsidR="0009333B">
        <w:rPr>
          <w:lang w:val="lv-LV"/>
        </w:rPr>
        <w:t>rajona tiesa</w:t>
      </w:r>
      <w:r w:rsidR="008A5EDB" w:rsidRPr="00CE6CB4">
        <w:rPr>
          <w:lang w:val="lv-LV"/>
        </w:rPr>
        <w:t xml:space="preserve"> – tikai 2004. gadā izveidota institūcija – lūdza iesniedzēju </w:t>
      </w:r>
      <w:r w:rsidR="008E2B8A">
        <w:rPr>
          <w:lang w:val="lv-LV"/>
        </w:rPr>
        <w:t xml:space="preserve">izsmelt </w:t>
      </w:r>
      <w:r w:rsidR="008A5EDB" w:rsidRPr="00CE6CB4">
        <w:rPr>
          <w:lang w:val="lv-LV"/>
        </w:rPr>
        <w:t>ārpustiesas procesu, kā rezultātā viņa sūdzība tika pieņemta un izskatīta div</w:t>
      </w:r>
      <w:r w:rsidR="008E2B8A">
        <w:rPr>
          <w:lang w:val="lv-LV"/>
        </w:rPr>
        <w:t>ās instancēs</w:t>
      </w:r>
      <w:r w:rsidR="008A5EDB" w:rsidRPr="00CE6CB4">
        <w:rPr>
          <w:lang w:val="lv-LV"/>
        </w:rPr>
        <w:t xml:space="preserve"> ar viņam labvēlīgu rezultātu (skatīt iepriekš </w:t>
      </w:r>
      <w:r w:rsidR="008E2B8A">
        <w:rPr>
          <w:lang w:val="lv-LV"/>
        </w:rPr>
        <w:t>sa</w:t>
      </w:r>
      <w:r w:rsidR="008A5EDB" w:rsidRPr="00CE6CB4">
        <w:rPr>
          <w:lang w:val="lv-LV"/>
        </w:rPr>
        <w:t>daļu “Fakti”). Lai gan saskaņā ar Senāta 2009. gada spriedumu šis tiesiskās aizsardzības līdzeklis tika atzīts par nepiemērotu, līdz tam laikam nebija nekādu norāžu par to, ka iesniedzējs būtu izvēlējies nepiemērotu tiesiskās aizsardzības līdzekli.</w:t>
      </w:r>
    </w:p>
    <w:p w:rsidR="00C06280" w:rsidRPr="00CE6CB4" w:rsidRDefault="008A5EDB" w:rsidP="0077157C">
      <w:pPr>
        <w:pStyle w:val="ECHRHeading4"/>
        <w:rPr>
          <w:lang w:val="lv-LV"/>
        </w:rPr>
      </w:pPr>
      <w:r w:rsidRPr="00CE6CB4">
        <w:rPr>
          <w:lang w:val="lv-LV"/>
        </w:rPr>
        <w:t xml:space="preserve"> </w:t>
      </w:r>
      <w:r w:rsidR="0077157C" w:rsidRPr="00CE6CB4">
        <w:rPr>
          <w:lang w:val="lv-LV"/>
        </w:rPr>
        <w:t>(b)  </w:t>
      </w:r>
      <w:r w:rsidR="00C06280" w:rsidRPr="00CE6CB4">
        <w:rPr>
          <w:lang w:val="lv-LV"/>
        </w:rPr>
        <w:t>Attiecībā uz  prokuratūrā iesniegto sūdzību</w:t>
      </w:r>
    </w:p>
    <w:p w:rsidR="00232432" w:rsidRPr="00CE6CB4" w:rsidRDefault="00C06280" w:rsidP="0077157C">
      <w:pPr>
        <w:pStyle w:val="ECHRHeading5"/>
        <w:rPr>
          <w:lang w:val="lv-LV"/>
        </w:rPr>
      </w:pPr>
      <w:r w:rsidRPr="00CE6CB4">
        <w:rPr>
          <w:lang w:val="lv-LV"/>
        </w:rPr>
        <w:t xml:space="preserve"> </w:t>
      </w:r>
      <w:r w:rsidR="00CD3C64" w:rsidRPr="00CE6CB4">
        <w:rPr>
          <w:lang w:val="lv-LV"/>
        </w:rPr>
        <w:t>(</w:t>
      </w:r>
      <w:r w:rsidR="0077157C" w:rsidRPr="00CE6CB4">
        <w:rPr>
          <w:lang w:val="lv-LV"/>
        </w:rPr>
        <w:t>i</w:t>
      </w:r>
      <w:r w:rsidR="00CD3C64" w:rsidRPr="00CE6CB4">
        <w:rPr>
          <w:lang w:val="lv-LV"/>
        </w:rPr>
        <w:t>)</w:t>
      </w:r>
      <w:r w:rsidR="0077157C" w:rsidRPr="00CE6CB4">
        <w:rPr>
          <w:lang w:val="lv-LV"/>
        </w:rPr>
        <w:t>  </w:t>
      </w:r>
      <w:r w:rsidRPr="00CE6CB4">
        <w:rPr>
          <w:lang w:val="lv-LV"/>
        </w:rPr>
        <w:t>Faktu izklāsts</w:t>
      </w:r>
    </w:p>
    <w:p w:rsidR="00C06280" w:rsidRPr="00CE6CB4" w:rsidRDefault="005913A0" w:rsidP="001039F0">
      <w:pPr>
        <w:pStyle w:val="ECHRPara"/>
        <w:rPr>
          <w:lang w:val="lv-LV"/>
        </w:rPr>
      </w:pPr>
      <w:r w:rsidRPr="00CE6CB4">
        <w:rPr>
          <w:lang w:val="lv-LV"/>
        </w:rPr>
        <w:fldChar w:fldCharType="begin"/>
      </w:r>
      <w:r w:rsidRPr="00CE6CB4">
        <w:rPr>
          <w:lang w:val="lv-LV"/>
        </w:rPr>
        <w:instrText xml:space="preserve"> SEQ level0 \*arabic </w:instrText>
      </w:r>
      <w:r w:rsidRPr="00CE6CB4">
        <w:rPr>
          <w:lang w:val="lv-LV"/>
        </w:rPr>
        <w:fldChar w:fldCharType="separate"/>
      </w:r>
      <w:r w:rsidR="006260D9" w:rsidRPr="00CE6CB4">
        <w:rPr>
          <w:noProof/>
          <w:lang w:val="lv-LV"/>
        </w:rPr>
        <w:t>58</w:t>
      </w:r>
      <w:r w:rsidRPr="00CE6CB4">
        <w:rPr>
          <w:lang w:val="lv-LV"/>
        </w:rPr>
        <w:fldChar w:fldCharType="end"/>
      </w:r>
      <w:r w:rsidR="001039F0" w:rsidRPr="00CE6CB4">
        <w:rPr>
          <w:lang w:val="lv-LV"/>
        </w:rPr>
        <w:t>.  </w:t>
      </w:r>
      <w:r w:rsidR="00C06280" w:rsidRPr="00CE6CB4">
        <w:rPr>
          <w:lang w:val="lv-LV"/>
        </w:rPr>
        <w:t>Valdība norādīja, ka iesniedzēja lietas materiāli tika iznīcināti 2013. gada 15. martā un ka vairs nav iespējams atgūt prokuratūrā iesniegto sūdzību un tās atbildi.</w:t>
      </w:r>
    </w:p>
    <w:p w:rsidR="00C06280" w:rsidRPr="00CE6CB4" w:rsidRDefault="001039F0" w:rsidP="0077157C">
      <w:pPr>
        <w:pStyle w:val="ECHRPara"/>
        <w:rPr>
          <w:lang w:val="lv-LV"/>
        </w:rPr>
      </w:pPr>
      <w:r w:rsidRPr="00CE6CB4">
        <w:rPr>
          <w:lang w:val="lv-LV"/>
        </w:rPr>
        <w:fldChar w:fldCharType="begin"/>
      </w:r>
      <w:r w:rsidRPr="00CE6CB4">
        <w:rPr>
          <w:lang w:val="lv-LV"/>
        </w:rPr>
        <w:instrText xml:space="preserve"> SEQ level0 \*arabic </w:instrText>
      </w:r>
      <w:r w:rsidRPr="00CE6CB4">
        <w:rPr>
          <w:lang w:val="lv-LV"/>
        </w:rPr>
        <w:fldChar w:fldCharType="separate"/>
      </w:r>
      <w:r w:rsidR="006260D9" w:rsidRPr="00CE6CB4">
        <w:rPr>
          <w:noProof/>
          <w:lang w:val="lv-LV"/>
        </w:rPr>
        <w:t>59</w:t>
      </w:r>
      <w:r w:rsidRPr="00CE6CB4">
        <w:rPr>
          <w:lang w:val="lv-LV"/>
        </w:rPr>
        <w:fldChar w:fldCharType="end"/>
      </w:r>
      <w:r w:rsidRPr="00CE6CB4">
        <w:rPr>
          <w:lang w:val="lv-LV"/>
        </w:rPr>
        <w:t>.  </w:t>
      </w:r>
      <w:r w:rsidR="00C06280" w:rsidRPr="00CE6CB4">
        <w:rPr>
          <w:lang w:val="lv-LV"/>
        </w:rPr>
        <w:t xml:space="preserve">Tiesa ir atzinusi, ka tās </w:t>
      </w:r>
      <w:r w:rsidR="0009333B">
        <w:rPr>
          <w:lang w:val="lv-LV"/>
        </w:rPr>
        <w:t>tiesvedībā</w:t>
      </w:r>
      <w:r w:rsidR="00C06280" w:rsidRPr="00CE6CB4">
        <w:rPr>
          <w:lang w:val="lv-LV"/>
        </w:rPr>
        <w:t xml:space="preserve"> nepastāv nekādi procesuāli šķēršļi pierādījumu pieņemamībai vai iepriekš noteiktas formulas to izvērtēšanai (skatīt lietu </w:t>
      </w:r>
      <w:r w:rsidR="00C06280" w:rsidRPr="00CE6CB4">
        <w:rPr>
          <w:i/>
          <w:szCs w:val="24"/>
          <w:lang w:val="lv-LV"/>
        </w:rPr>
        <w:t xml:space="preserve">Nachova </w:t>
      </w:r>
      <w:r w:rsidR="00C06280" w:rsidRPr="00EF35E7">
        <w:rPr>
          <w:i/>
          <w:szCs w:val="24"/>
          <w:lang w:val="lv-LV"/>
        </w:rPr>
        <w:t>un citi pret Bulgāriju</w:t>
      </w:r>
      <w:r w:rsidR="00C06280" w:rsidRPr="00CE6CB4">
        <w:rPr>
          <w:szCs w:val="24"/>
          <w:lang w:val="lv-LV"/>
        </w:rPr>
        <w:t xml:space="preserve"> [Lielā palāta], Nr. 43577/98 un 43579/98, 147. rindkopa, </w:t>
      </w:r>
      <w:r w:rsidR="00C06280" w:rsidRPr="00CE6CB4">
        <w:rPr>
          <w:lang w:val="lv-LV"/>
        </w:rPr>
        <w:t>ECHR 2005</w:t>
      </w:r>
      <w:r w:rsidR="00C06280" w:rsidRPr="00CE6CB4">
        <w:rPr>
          <w:lang w:val="lv-LV"/>
        </w:rPr>
        <w:noBreakHyphen/>
        <w:t>VII). Tiesa izdara secinājumus, kurus, pēc tās domām, pamato brīvs visu pierādījumu izvērtējums,  arī tādus secinājumus, kas izriet no faktiem un pušu apgalvojumiem (turpat). Šajā lietā informācija par iesniedzēja sūdzību prokuratūrā iegūta no</w:t>
      </w:r>
      <w:r w:rsidR="0049444F">
        <w:rPr>
          <w:lang w:val="lv-LV"/>
        </w:rPr>
        <w:t xml:space="preserve"> viņa lietas</w:t>
      </w:r>
      <w:r w:rsidR="00C06280" w:rsidRPr="00CE6CB4">
        <w:rPr>
          <w:lang w:val="lv-LV"/>
        </w:rPr>
        <w:t xml:space="preserve"> materiāliem administratīvajās tiesās, un Valdība to nav apstrīdējusi (skatīt iepriekš 14. </w:t>
      </w:r>
      <w:r w:rsidR="00174822">
        <w:rPr>
          <w:lang w:val="lv-LV"/>
        </w:rPr>
        <w:t>rindkopu</w:t>
      </w:r>
      <w:r w:rsidR="00C06280" w:rsidRPr="00CE6CB4">
        <w:rPr>
          <w:lang w:val="lv-LV"/>
        </w:rPr>
        <w:t xml:space="preserve">). Gluži pretēji – </w:t>
      </w:r>
      <w:r w:rsidR="0049444F">
        <w:rPr>
          <w:lang w:val="lv-LV"/>
        </w:rPr>
        <w:t>tā</w:t>
      </w:r>
      <w:r w:rsidR="00C06280" w:rsidRPr="00CE6CB4">
        <w:rPr>
          <w:lang w:val="lv-LV"/>
        </w:rPr>
        <w:t xml:space="preserve"> ir uz to atsauku</w:t>
      </w:r>
      <w:r w:rsidR="0049444F">
        <w:rPr>
          <w:lang w:val="lv-LV"/>
        </w:rPr>
        <w:t>s</w:t>
      </w:r>
      <w:r w:rsidR="00C06280" w:rsidRPr="00CE6CB4">
        <w:rPr>
          <w:lang w:val="lv-LV"/>
        </w:rPr>
        <w:t>ies savos rakst</w:t>
      </w:r>
      <w:r w:rsidR="0049444F">
        <w:rPr>
          <w:lang w:val="lv-LV"/>
        </w:rPr>
        <w:t>veida apsvērumos</w:t>
      </w:r>
      <w:r w:rsidR="00C06280" w:rsidRPr="00CE6CB4">
        <w:rPr>
          <w:lang w:val="lv-LV"/>
        </w:rPr>
        <w:t xml:space="preserve">. Līdz ar to Tiesa secina, ka fakti par </w:t>
      </w:r>
      <w:r w:rsidR="0049444F">
        <w:rPr>
          <w:lang w:val="lv-LV"/>
        </w:rPr>
        <w:t>pārsūdzības</w:t>
      </w:r>
      <w:r w:rsidR="00C06280" w:rsidRPr="00CE6CB4">
        <w:rPr>
          <w:lang w:val="lv-LV"/>
        </w:rPr>
        <w:t xml:space="preserve"> kārtības izmanto</w:t>
      </w:r>
      <w:r w:rsidR="0049444F">
        <w:rPr>
          <w:lang w:val="lv-LV"/>
        </w:rPr>
        <w:t>šanu</w:t>
      </w:r>
      <w:r w:rsidR="00C06280" w:rsidRPr="00CE6CB4">
        <w:rPr>
          <w:lang w:val="lv-LV"/>
        </w:rPr>
        <w:t xml:space="preserve"> prokuratūrā, nav apstrīdēti.</w:t>
      </w:r>
    </w:p>
    <w:p w:rsidR="00110E87" w:rsidRPr="00CE6CB4" w:rsidRDefault="00C06280" w:rsidP="0077157C">
      <w:pPr>
        <w:pStyle w:val="ECHRHeading5"/>
        <w:rPr>
          <w:lang w:val="lv-LV"/>
        </w:rPr>
      </w:pPr>
      <w:r w:rsidRPr="00CE6CB4">
        <w:rPr>
          <w:lang w:val="lv-LV"/>
        </w:rPr>
        <w:lastRenderedPageBreak/>
        <w:t xml:space="preserve"> </w:t>
      </w:r>
      <w:r w:rsidR="00CD3C64" w:rsidRPr="00CE6CB4">
        <w:rPr>
          <w:lang w:val="lv-LV"/>
        </w:rPr>
        <w:t>(</w:t>
      </w:r>
      <w:r w:rsidR="0077157C" w:rsidRPr="00CE6CB4">
        <w:rPr>
          <w:lang w:val="lv-LV"/>
        </w:rPr>
        <w:t>ii</w:t>
      </w:r>
      <w:r w:rsidR="00CD3C64" w:rsidRPr="00CE6CB4">
        <w:rPr>
          <w:lang w:val="lv-LV"/>
        </w:rPr>
        <w:t>)</w:t>
      </w:r>
      <w:r w:rsidR="0077157C" w:rsidRPr="00CE6CB4">
        <w:rPr>
          <w:lang w:val="lv-LV"/>
        </w:rPr>
        <w:t>  </w:t>
      </w:r>
      <w:r w:rsidR="00110E87" w:rsidRPr="00CE6CB4">
        <w:rPr>
          <w:lang w:val="lv-LV"/>
        </w:rPr>
        <w:t>Iepriekš minēto principu piemērošana faktiskajai situācijai konkrētajā lietā</w:t>
      </w:r>
    </w:p>
    <w:p w:rsidR="008C6908" w:rsidRPr="00CE6CB4" w:rsidRDefault="007E7414" w:rsidP="008C6908">
      <w:pPr>
        <w:pStyle w:val="ECHRPara"/>
        <w:rPr>
          <w:lang w:val="lv-LV"/>
        </w:rPr>
      </w:pPr>
      <w:r w:rsidRPr="00CE6CB4">
        <w:rPr>
          <w:lang w:val="lv-LV"/>
        </w:rPr>
        <w:fldChar w:fldCharType="begin"/>
      </w:r>
      <w:r w:rsidRPr="00CE6CB4">
        <w:rPr>
          <w:lang w:val="lv-LV"/>
        </w:rPr>
        <w:instrText xml:space="preserve"> SEQ level0 \*arabic </w:instrText>
      </w:r>
      <w:r w:rsidRPr="00CE6CB4">
        <w:rPr>
          <w:lang w:val="lv-LV"/>
        </w:rPr>
        <w:fldChar w:fldCharType="separate"/>
      </w:r>
      <w:r w:rsidR="006260D9" w:rsidRPr="00CE6CB4">
        <w:rPr>
          <w:noProof/>
          <w:lang w:val="lv-LV"/>
        </w:rPr>
        <w:t>60</w:t>
      </w:r>
      <w:r w:rsidRPr="00CE6CB4">
        <w:rPr>
          <w:lang w:val="lv-LV"/>
        </w:rPr>
        <w:fldChar w:fldCharType="end"/>
      </w:r>
      <w:r w:rsidRPr="00CE6CB4">
        <w:rPr>
          <w:lang w:val="lv-LV"/>
        </w:rPr>
        <w:t>. </w:t>
      </w:r>
      <w:r w:rsidR="008C6908" w:rsidRPr="00CE6CB4">
        <w:rPr>
          <w:lang w:val="lv-LV"/>
        </w:rPr>
        <w:t xml:space="preserve">Ņemot vērā iepriekšminētos faktiskos secinājumus, Tiesa izvērtēs Vadības apgalvojumu par to, ka prokurora pilnvaras nodrošināja efektīvu tiesiskās aizsardzības līdzekli, taču iesniedzējs to </w:t>
      </w:r>
      <w:r w:rsidR="00186A9F">
        <w:rPr>
          <w:lang w:val="lv-LV"/>
        </w:rPr>
        <w:t xml:space="preserve">pilnībā </w:t>
      </w:r>
      <w:r w:rsidR="008C6908" w:rsidRPr="00CE6CB4">
        <w:rPr>
          <w:lang w:val="lv-LV"/>
        </w:rPr>
        <w:t>neizmantoja.</w:t>
      </w:r>
    </w:p>
    <w:p w:rsidR="008C6908" w:rsidRPr="00CE6CB4" w:rsidRDefault="007E7414" w:rsidP="00E15823">
      <w:pPr>
        <w:pStyle w:val="ECHRPara"/>
        <w:rPr>
          <w:lang w:val="lv-LV"/>
        </w:rPr>
      </w:pPr>
      <w:r w:rsidRPr="00CE6CB4">
        <w:rPr>
          <w:lang w:val="lv-LV"/>
        </w:rPr>
        <w:fldChar w:fldCharType="begin"/>
      </w:r>
      <w:r w:rsidRPr="00CE6CB4">
        <w:rPr>
          <w:lang w:val="lv-LV"/>
        </w:rPr>
        <w:instrText xml:space="preserve"> SEQ level0 \*arabic </w:instrText>
      </w:r>
      <w:r w:rsidRPr="00CE6CB4">
        <w:rPr>
          <w:lang w:val="lv-LV"/>
        </w:rPr>
        <w:fldChar w:fldCharType="separate"/>
      </w:r>
      <w:r w:rsidR="006260D9" w:rsidRPr="00CE6CB4">
        <w:rPr>
          <w:noProof/>
          <w:lang w:val="lv-LV"/>
        </w:rPr>
        <w:t>61</w:t>
      </w:r>
      <w:r w:rsidRPr="00CE6CB4">
        <w:rPr>
          <w:lang w:val="lv-LV"/>
        </w:rPr>
        <w:fldChar w:fldCharType="end"/>
      </w:r>
      <w:r w:rsidRPr="00CE6CB4">
        <w:rPr>
          <w:lang w:val="lv-LV"/>
        </w:rPr>
        <w:t>. </w:t>
      </w:r>
      <w:r w:rsidR="008C6908" w:rsidRPr="00CE6CB4">
        <w:rPr>
          <w:lang w:val="lv-LV"/>
        </w:rPr>
        <w:t xml:space="preserve">Pirmkārt, ņemot vērā plašās pilnvaras, kas nostiprinātas Prokuratūras likumā, Tiesa atzīst, ka noteiktos apstākļos to patiešām var uzskatīt par tiesiskās aizsardzības līdzekli, kuru vēlams izmantot (skatīt </w:t>
      </w:r>
      <w:r w:rsidR="00A30470" w:rsidRPr="00CE6CB4">
        <w:rPr>
          <w:i/>
          <w:lang w:val="lv-LV"/>
        </w:rPr>
        <w:t xml:space="preserve">mutatis mutandis </w:t>
      </w:r>
      <w:r w:rsidR="00A30470" w:rsidRPr="00CE6CB4">
        <w:rPr>
          <w:lang w:val="lv-LV"/>
        </w:rPr>
        <w:t xml:space="preserve">lietu </w:t>
      </w:r>
      <w:r w:rsidR="00A30470" w:rsidRPr="00EF35E7">
        <w:rPr>
          <w:i/>
          <w:lang w:val="lv-LV"/>
        </w:rPr>
        <w:t>Leja pret Latviju</w:t>
      </w:r>
      <w:r w:rsidR="00A30470" w:rsidRPr="00CE6CB4">
        <w:rPr>
          <w:lang w:val="lv-LV"/>
        </w:rPr>
        <w:t xml:space="preserve">, Nr. 71072/01, 68. rindkopa, 2011. gada 14. jūnijs). Lai gan iesniedzējs šajā lietā iesniedza sūdzību prokuratūrā  pēc tam, kad bija izpildīts tiesas spriedums, ar kuru bija atcelts viņa pārvietošanas lēmums, attiecīgais sūdzības process tik un tā neapturēja viņa pārvietošanu. </w:t>
      </w:r>
    </w:p>
    <w:p w:rsidR="00A30470" w:rsidRPr="00CE6CB4" w:rsidRDefault="003F1C02" w:rsidP="001A4F45">
      <w:pPr>
        <w:pStyle w:val="ECHRPara"/>
        <w:rPr>
          <w:lang w:val="lv-LV"/>
        </w:rPr>
      </w:pPr>
      <w:r w:rsidRPr="00CE6CB4">
        <w:rPr>
          <w:lang w:val="lv-LV"/>
        </w:rPr>
        <w:fldChar w:fldCharType="begin"/>
      </w:r>
      <w:r w:rsidRPr="00CE6CB4">
        <w:rPr>
          <w:lang w:val="lv-LV"/>
        </w:rPr>
        <w:instrText xml:space="preserve"> SEQ level0 \*arabic </w:instrText>
      </w:r>
      <w:r w:rsidRPr="00CE6CB4">
        <w:rPr>
          <w:lang w:val="lv-LV"/>
        </w:rPr>
        <w:fldChar w:fldCharType="separate"/>
      </w:r>
      <w:r w:rsidR="006260D9" w:rsidRPr="00CE6CB4">
        <w:rPr>
          <w:noProof/>
          <w:lang w:val="lv-LV"/>
        </w:rPr>
        <w:t>62</w:t>
      </w:r>
      <w:r w:rsidRPr="00CE6CB4">
        <w:rPr>
          <w:lang w:val="lv-LV"/>
        </w:rPr>
        <w:fldChar w:fldCharType="end"/>
      </w:r>
      <w:r w:rsidRPr="00CE6CB4">
        <w:rPr>
          <w:lang w:val="lv-LV"/>
        </w:rPr>
        <w:t>.  </w:t>
      </w:r>
      <w:r w:rsidR="00A30470" w:rsidRPr="00CE6CB4">
        <w:rPr>
          <w:lang w:val="lv-LV"/>
        </w:rPr>
        <w:t>Otrkārt, saistībā ar jautājumu, vai prokuratūrā iesniegta sūdzība var būt kompensējošs tiesiskās aizsardzības līdzeklis, Tiesa pieņem Valdības sniegto informāciju par to, ka 2013. gadā prokurora pilnvaras, kas nostiprinātas Prokuratūras likuma 16. pantā (brīdinājumi), tika izmantotas ieslodzījuma vietu apstākļu uzraudzības kontekstā.</w:t>
      </w:r>
      <w:r w:rsidR="001F030A" w:rsidRPr="00CE6CB4">
        <w:rPr>
          <w:lang w:val="lv-LV"/>
        </w:rPr>
        <w:t xml:space="preserve"> 2013. gada tiesiskais regulējums bija līdzīgs tam, kas bija spēkā 2005. gadā. </w:t>
      </w:r>
      <w:r w:rsidR="00A8707B" w:rsidRPr="00CE6CB4">
        <w:rPr>
          <w:lang w:val="lv-LV"/>
        </w:rPr>
        <w:t>Taču šīs lietas notikumu laikā faktiskais prokuroru paveiktā darba raksturs, it īpaši saistībā ar ieslodzījuma vietu apstākļu uzraudzību, ir izvērtēts un kritizēts vairākās citās</w:t>
      </w:r>
      <w:r w:rsidR="0049444F">
        <w:rPr>
          <w:lang w:val="lv-LV"/>
        </w:rPr>
        <w:t xml:space="preserve"> lietās</w:t>
      </w:r>
      <w:r w:rsidR="00A8707B" w:rsidRPr="00CE6CB4">
        <w:rPr>
          <w:lang w:val="lv-LV"/>
        </w:rPr>
        <w:t xml:space="preserve"> pret Latviju  3. panta</w:t>
      </w:r>
      <w:r w:rsidR="0049444F">
        <w:rPr>
          <w:lang w:val="lv-LV"/>
        </w:rPr>
        <w:t xml:space="preserve"> sakarā</w:t>
      </w:r>
      <w:r w:rsidR="00A8707B" w:rsidRPr="00CE6CB4">
        <w:rPr>
          <w:lang w:val="lv-LV"/>
        </w:rPr>
        <w:t xml:space="preserve"> (skatīt </w:t>
      </w:r>
      <w:r w:rsidR="00A8707B" w:rsidRPr="00CE6CB4">
        <w:rPr>
          <w:i/>
          <w:lang w:val="lv-LV"/>
        </w:rPr>
        <w:t xml:space="preserve">mutatis mutandis </w:t>
      </w:r>
      <w:r w:rsidR="00A8707B" w:rsidRPr="00CE6CB4">
        <w:rPr>
          <w:lang w:val="lv-LV"/>
        </w:rPr>
        <w:t xml:space="preserve">lietas </w:t>
      </w:r>
      <w:r w:rsidR="00A8707B" w:rsidRPr="00EF35E7">
        <w:rPr>
          <w:i/>
          <w:lang w:val="lv-LV"/>
        </w:rPr>
        <w:t>Bazjaks pret Latviju</w:t>
      </w:r>
      <w:r w:rsidR="00A8707B" w:rsidRPr="00CE6CB4">
        <w:rPr>
          <w:lang w:val="lv-LV"/>
        </w:rPr>
        <w:t xml:space="preserve">, Nr. 71572/01, 2010. gada 19. oktobris, un arī </w:t>
      </w:r>
      <w:r w:rsidR="00A8707B" w:rsidRPr="00EF35E7">
        <w:rPr>
          <w:i/>
          <w:lang w:val="lv-LV"/>
        </w:rPr>
        <w:t>J. L. pret Latviju</w:t>
      </w:r>
      <w:r w:rsidR="00A8707B" w:rsidRPr="00CE6CB4">
        <w:rPr>
          <w:lang w:val="lv-LV"/>
        </w:rPr>
        <w:t xml:space="preserve">, Nr. 23893/06, 85. </w:t>
      </w:r>
      <w:r w:rsidR="0049444F">
        <w:rPr>
          <w:lang w:val="lv-LV"/>
        </w:rPr>
        <w:t>-</w:t>
      </w:r>
      <w:r w:rsidR="00A8707B" w:rsidRPr="00CE6CB4">
        <w:rPr>
          <w:lang w:val="lv-LV"/>
        </w:rPr>
        <w:t xml:space="preserve"> 86. rindkopa, 2012. gada 17. aprīlis par ieslodzītā pārvietošanu). Īpaša kritika izteikta par prokuratūras lēno darbību un proaktivitāt</w:t>
      </w:r>
      <w:r w:rsidR="0049444F">
        <w:rPr>
          <w:lang w:val="lv-LV"/>
        </w:rPr>
        <w:t>es trūkumu</w:t>
      </w:r>
      <w:r w:rsidR="00A8707B" w:rsidRPr="00CE6CB4">
        <w:rPr>
          <w:lang w:val="lv-LV"/>
        </w:rPr>
        <w:t xml:space="preserve"> (skatīt lietas </w:t>
      </w:r>
      <w:r w:rsidR="00A8707B" w:rsidRPr="00EF35E7">
        <w:rPr>
          <w:i/>
          <w:lang w:val="lv-LV"/>
        </w:rPr>
        <w:t>Vovruško pret Latviju</w:t>
      </w:r>
      <w:r w:rsidR="00A8707B" w:rsidRPr="00CE6CB4">
        <w:rPr>
          <w:lang w:val="lv-LV"/>
        </w:rPr>
        <w:t xml:space="preserve">, Nr. 11065/02, 52. rindkopa, 2012. gada 11. decembris, un </w:t>
      </w:r>
      <w:r w:rsidR="00A8707B" w:rsidRPr="00EF35E7">
        <w:rPr>
          <w:i/>
          <w:lang w:val="lv-LV"/>
        </w:rPr>
        <w:t>Holodenko pret Latviju</w:t>
      </w:r>
      <w:r w:rsidR="00A8707B" w:rsidRPr="00CE6CB4">
        <w:rPr>
          <w:lang w:val="lv-LV"/>
        </w:rPr>
        <w:t xml:space="preserve">, Nr. </w:t>
      </w:r>
      <w:r w:rsidR="00A8707B" w:rsidRPr="00CE6CB4">
        <w:rPr>
          <w:snapToGrid w:val="0"/>
          <w:lang w:val="lv-LV"/>
        </w:rPr>
        <w:t xml:space="preserve">17215/07, 80. </w:t>
      </w:r>
      <w:r w:rsidR="0049444F">
        <w:rPr>
          <w:snapToGrid w:val="0"/>
          <w:lang w:val="lv-LV"/>
        </w:rPr>
        <w:t>-</w:t>
      </w:r>
      <w:r w:rsidR="00A8707B" w:rsidRPr="00CE6CB4">
        <w:rPr>
          <w:snapToGrid w:val="0"/>
          <w:lang w:val="lv-LV"/>
        </w:rPr>
        <w:t xml:space="preserve"> 81. rindkopa, 2013. gada 2. jūlijs).</w:t>
      </w:r>
    </w:p>
    <w:p w:rsidR="003E097A" w:rsidRPr="00CE6CB4" w:rsidRDefault="00BD4E83" w:rsidP="006123E2">
      <w:pPr>
        <w:pStyle w:val="ECHRPara"/>
        <w:rPr>
          <w:lang w:val="lv-LV"/>
        </w:rPr>
      </w:pPr>
      <w:r w:rsidRPr="00CE6CB4">
        <w:rPr>
          <w:lang w:val="lv-LV"/>
        </w:rPr>
        <w:fldChar w:fldCharType="begin"/>
      </w:r>
      <w:r w:rsidRPr="00CE6CB4">
        <w:rPr>
          <w:lang w:val="lv-LV"/>
        </w:rPr>
        <w:instrText xml:space="preserve"> SEQ level0 \*arabic </w:instrText>
      </w:r>
      <w:r w:rsidRPr="00CE6CB4">
        <w:rPr>
          <w:lang w:val="lv-LV"/>
        </w:rPr>
        <w:fldChar w:fldCharType="separate"/>
      </w:r>
      <w:r w:rsidR="006260D9" w:rsidRPr="00CE6CB4">
        <w:rPr>
          <w:noProof/>
          <w:lang w:val="lv-LV"/>
        </w:rPr>
        <w:t>63</w:t>
      </w:r>
      <w:r w:rsidRPr="00CE6CB4">
        <w:rPr>
          <w:lang w:val="lv-LV"/>
        </w:rPr>
        <w:fldChar w:fldCharType="end"/>
      </w:r>
      <w:r w:rsidRPr="00CE6CB4">
        <w:rPr>
          <w:lang w:val="lv-LV"/>
        </w:rPr>
        <w:t>.  </w:t>
      </w:r>
      <w:r w:rsidR="004F0AB2" w:rsidRPr="00CE6CB4">
        <w:rPr>
          <w:lang w:val="lv-LV"/>
        </w:rPr>
        <w:t xml:space="preserve">Lai gan Tiesai nav bijusi iespēja analizēt, vai </w:t>
      </w:r>
      <w:r w:rsidR="009E3A6F" w:rsidRPr="00CE6CB4">
        <w:rPr>
          <w:lang w:val="lv-LV"/>
        </w:rPr>
        <w:t xml:space="preserve">ar </w:t>
      </w:r>
      <w:r w:rsidR="004F0AB2" w:rsidRPr="00CE6CB4">
        <w:rPr>
          <w:lang w:val="lv-LV"/>
        </w:rPr>
        <w:t xml:space="preserve">Prokuratūras likumā </w:t>
      </w:r>
      <w:r w:rsidR="009E3A6F" w:rsidRPr="00CE6CB4">
        <w:rPr>
          <w:lang w:val="lv-LV"/>
        </w:rPr>
        <w:t>nostiprinātajām</w:t>
      </w:r>
      <w:r w:rsidR="004F0AB2" w:rsidRPr="00CE6CB4">
        <w:rPr>
          <w:lang w:val="lv-LV"/>
        </w:rPr>
        <w:t xml:space="preserve"> pilnvar</w:t>
      </w:r>
      <w:r w:rsidR="009E3A6F" w:rsidRPr="00CE6CB4">
        <w:rPr>
          <w:lang w:val="lv-LV"/>
        </w:rPr>
        <w:t>ām var piešķirt kompensāciju par nodarītajiem zaudējumiem (</w:t>
      </w:r>
      <w:r w:rsidR="00195CFC">
        <w:rPr>
          <w:i/>
          <w:lang w:val="lv-LV"/>
        </w:rPr>
        <w:t xml:space="preserve">Lejas </w:t>
      </w:r>
      <w:r w:rsidR="009E3A6F" w:rsidRPr="00CE6CB4">
        <w:rPr>
          <w:lang w:val="lv-LV"/>
        </w:rPr>
        <w:t>lietā, citēta iepriekš, tas netika apstiprināts), konkrētās lietas apstākļos Tiesa apšauba šī mehānisma efektivitāti turp</w:t>
      </w:r>
      <w:r w:rsidR="00622587">
        <w:rPr>
          <w:lang w:val="lv-LV"/>
        </w:rPr>
        <w:t>m</w:t>
      </w:r>
      <w:r w:rsidR="009E3A6F" w:rsidRPr="00CE6CB4">
        <w:rPr>
          <w:lang w:val="lv-LV"/>
        </w:rPr>
        <w:t>ā</w:t>
      </w:r>
      <w:r w:rsidR="00195CFC">
        <w:rPr>
          <w:lang w:val="lv-LV"/>
        </w:rPr>
        <w:t>k</w:t>
      </w:r>
      <w:r w:rsidR="009E3A6F" w:rsidRPr="00CE6CB4">
        <w:rPr>
          <w:lang w:val="lv-LV"/>
        </w:rPr>
        <w:t xml:space="preserve"> norādīto iemeslu dēļ. Nav apst</w:t>
      </w:r>
      <w:r w:rsidR="00186A9F">
        <w:rPr>
          <w:lang w:val="lv-LV"/>
        </w:rPr>
        <w:t>r</w:t>
      </w:r>
      <w:r w:rsidR="009E3A6F" w:rsidRPr="00CE6CB4">
        <w:rPr>
          <w:lang w:val="lv-LV"/>
        </w:rPr>
        <w:t>īdēts, ka iesniedzējs izmantoja šo tiesiskās aizsardzības līdzekli, iesniedzot prokuratūrā sūdzību (skatīt iepriekš 14. rindkopu). Šajā lietā, atšķirībā no</w:t>
      </w:r>
      <w:r w:rsidR="00195CFC">
        <w:rPr>
          <w:lang w:val="lv-LV"/>
        </w:rPr>
        <w:t xml:space="preserve"> </w:t>
      </w:r>
      <w:r w:rsidR="00195CFC">
        <w:rPr>
          <w:i/>
          <w:lang w:val="lv-LV"/>
        </w:rPr>
        <w:t>Lejas</w:t>
      </w:r>
      <w:r w:rsidR="009E3A6F" w:rsidRPr="00CE6CB4">
        <w:rPr>
          <w:lang w:val="lv-LV"/>
        </w:rPr>
        <w:t xml:space="preserve"> lietas, kurā iesniedzējs neiesniedza </w:t>
      </w:r>
      <w:r w:rsidR="00195CFC">
        <w:rPr>
          <w:lang w:val="lv-LV"/>
        </w:rPr>
        <w:t>pār</w:t>
      </w:r>
      <w:r w:rsidR="009E3A6F" w:rsidRPr="00CE6CB4">
        <w:rPr>
          <w:lang w:val="lv-LV"/>
        </w:rPr>
        <w:t xml:space="preserve">sūdzību augstākstāvošam prokuroram par lēmumu noraidīt viņa sūdzību par sliktu apiešanos, tieši Ieslodzījuma vietu </w:t>
      </w:r>
      <w:r w:rsidR="007D50CC" w:rsidRPr="00CE6CB4">
        <w:rPr>
          <w:lang w:val="lv-LV"/>
        </w:rPr>
        <w:t>pārvalde</w:t>
      </w:r>
      <w:r w:rsidR="009E3A6F" w:rsidRPr="00CE6CB4">
        <w:rPr>
          <w:lang w:val="lv-LV"/>
        </w:rPr>
        <w:t>, rīkojoties saskaņā ar uzraugošā prokurora rīkojumiem, noskaidroja faktus.</w:t>
      </w:r>
      <w:r w:rsidR="006123E2" w:rsidRPr="00CE6CB4">
        <w:rPr>
          <w:lang w:val="lv-LV"/>
        </w:rPr>
        <w:t xml:space="preserve"> Tā rezultātā tika atzīti trūkumi saziņā starp vairākām iesaistītajām</w:t>
      </w:r>
      <w:r w:rsidR="00195CFC">
        <w:rPr>
          <w:lang w:val="lv-LV"/>
        </w:rPr>
        <w:t xml:space="preserve"> valsts</w:t>
      </w:r>
      <w:r w:rsidR="006123E2" w:rsidRPr="00CE6CB4">
        <w:rPr>
          <w:lang w:val="lv-LV"/>
        </w:rPr>
        <w:t xml:space="preserve"> varas iestādēm (skatīt iepriekš 15. </w:t>
      </w:r>
      <w:r w:rsidR="00704768">
        <w:rPr>
          <w:lang w:val="lv-LV"/>
        </w:rPr>
        <w:t>rindkopu</w:t>
      </w:r>
      <w:r w:rsidR="006123E2" w:rsidRPr="00CE6CB4">
        <w:rPr>
          <w:lang w:val="lv-LV"/>
        </w:rPr>
        <w:t>). Šī problēma ir atzīta arī vairākās citās lietās</w:t>
      </w:r>
      <w:r w:rsidR="00195CFC">
        <w:rPr>
          <w:lang w:val="lv-LV"/>
        </w:rPr>
        <w:t xml:space="preserve"> </w:t>
      </w:r>
      <w:r w:rsidR="006123E2" w:rsidRPr="00CE6CB4">
        <w:rPr>
          <w:lang w:val="lv-LV"/>
        </w:rPr>
        <w:t xml:space="preserve">Latviju </w:t>
      </w:r>
      <w:r w:rsidR="00195CFC">
        <w:rPr>
          <w:lang w:val="lv-LV"/>
        </w:rPr>
        <w:t xml:space="preserve">saistībā ar </w:t>
      </w:r>
      <w:r w:rsidR="006123E2" w:rsidRPr="00CE6CB4">
        <w:rPr>
          <w:lang w:val="lv-LV"/>
        </w:rPr>
        <w:t>3. pant</w:t>
      </w:r>
      <w:r w:rsidR="00195CFC">
        <w:rPr>
          <w:lang w:val="lv-LV"/>
        </w:rPr>
        <w:t>u</w:t>
      </w:r>
      <w:r w:rsidR="006123E2" w:rsidRPr="00CE6CB4">
        <w:rPr>
          <w:lang w:val="lv-LV"/>
        </w:rPr>
        <w:t xml:space="preserve"> </w:t>
      </w:r>
      <w:r w:rsidR="00EB3A26" w:rsidRPr="00CE6CB4">
        <w:rPr>
          <w:lang w:val="lv-LV"/>
        </w:rPr>
        <w:t>(</w:t>
      </w:r>
      <w:r w:rsidR="006123E2" w:rsidRPr="00CE6CB4">
        <w:rPr>
          <w:lang w:val="lv-LV"/>
        </w:rPr>
        <w:t>skatīt</w:t>
      </w:r>
      <w:r w:rsidR="00D354BD" w:rsidRPr="00CE6CB4">
        <w:rPr>
          <w:lang w:val="lv-LV"/>
        </w:rPr>
        <w:t xml:space="preserve"> </w:t>
      </w:r>
      <w:r w:rsidR="00E529CE" w:rsidRPr="00CE6CB4">
        <w:rPr>
          <w:i/>
          <w:lang w:val="lv-LV"/>
        </w:rPr>
        <w:t>mutatis mutandis</w:t>
      </w:r>
      <w:r w:rsidR="00E529CE" w:rsidRPr="00CE6CB4">
        <w:rPr>
          <w:lang w:val="lv-LV"/>
        </w:rPr>
        <w:t xml:space="preserve"> </w:t>
      </w:r>
      <w:r w:rsidR="00026245" w:rsidRPr="00CE6CB4">
        <w:rPr>
          <w:lang w:val="lv-LV"/>
        </w:rPr>
        <w:t xml:space="preserve">lietu </w:t>
      </w:r>
      <w:r w:rsidR="00026245" w:rsidRPr="00EF35E7">
        <w:rPr>
          <w:i/>
          <w:lang w:val="lv-LV"/>
        </w:rPr>
        <w:t>J. L. pret Latviju</w:t>
      </w:r>
      <w:r w:rsidR="00026245" w:rsidRPr="00CE6CB4">
        <w:rPr>
          <w:lang w:val="lv-LV"/>
        </w:rPr>
        <w:t>,</w:t>
      </w:r>
      <w:r w:rsidR="00E529CE" w:rsidRPr="00CE6CB4">
        <w:rPr>
          <w:lang w:val="lv-LV"/>
        </w:rPr>
        <w:t xml:space="preserve"> </w:t>
      </w:r>
      <w:r w:rsidR="00026245" w:rsidRPr="00CE6CB4">
        <w:rPr>
          <w:lang w:val="lv-LV"/>
        </w:rPr>
        <w:t>citēta iepriekš</w:t>
      </w:r>
      <w:r w:rsidR="00E529CE" w:rsidRPr="00CE6CB4">
        <w:rPr>
          <w:lang w:val="lv-LV"/>
        </w:rPr>
        <w:t>,</w:t>
      </w:r>
      <w:r w:rsidR="00026245" w:rsidRPr="00CE6CB4">
        <w:rPr>
          <w:lang w:val="lv-LV"/>
        </w:rPr>
        <w:t xml:space="preserve"> 87. rindkopa)</w:t>
      </w:r>
      <w:r w:rsidR="00EB3A26" w:rsidRPr="00CE6CB4">
        <w:rPr>
          <w:lang w:val="lv-LV"/>
        </w:rPr>
        <w:t>.</w:t>
      </w:r>
      <w:r w:rsidR="00026245" w:rsidRPr="00CE6CB4">
        <w:rPr>
          <w:lang w:val="lv-LV"/>
        </w:rPr>
        <w:t xml:space="preserve"> Ņemot vērā šos apstākļus, iesniedzējs varēja sagaidīt, ka, Ieslodzījuma vietu pārvaldei atzīstot problēmu, risinājuma </w:t>
      </w:r>
      <w:r w:rsidR="002D761B">
        <w:rPr>
          <w:lang w:val="lv-LV"/>
        </w:rPr>
        <w:t xml:space="preserve">tālāka </w:t>
      </w:r>
      <w:r w:rsidR="00026245" w:rsidRPr="00CE6CB4">
        <w:rPr>
          <w:lang w:val="lv-LV"/>
        </w:rPr>
        <w:t xml:space="preserve">meklēšana varētu </w:t>
      </w:r>
      <w:r w:rsidR="002D761B">
        <w:rPr>
          <w:lang w:val="lv-LV"/>
        </w:rPr>
        <w:t>noritēt, iesaistot</w:t>
      </w:r>
      <w:r w:rsidR="00026245" w:rsidRPr="00CE6CB4">
        <w:rPr>
          <w:lang w:val="lv-LV"/>
        </w:rPr>
        <w:t xml:space="preserve"> gan Ieslodzījuma vietu </w:t>
      </w:r>
      <w:r w:rsidR="007D50CC" w:rsidRPr="00CE6CB4">
        <w:rPr>
          <w:lang w:val="lv-LV"/>
        </w:rPr>
        <w:t>pārvaldi</w:t>
      </w:r>
      <w:r w:rsidR="00026245" w:rsidRPr="00CE6CB4">
        <w:rPr>
          <w:lang w:val="lv-LV"/>
        </w:rPr>
        <w:t xml:space="preserve">, gan prokuratūru, vēl jo vairāk tādēļ, ka Ieslodzījuma vietu </w:t>
      </w:r>
      <w:r w:rsidR="007D50CC" w:rsidRPr="00CE6CB4">
        <w:rPr>
          <w:lang w:val="lv-LV"/>
        </w:rPr>
        <w:t>pārvaldes</w:t>
      </w:r>
      <w:r w:rsidR="00026245" w:rsidRPr="00CE6CB4">
        <w:rPr>
          <w:lang w:val="lv-LV"/>
        </w:rPr>
        <w:t xml:space="preserve"> vēstulē, kas nosūtīta iesniedzējam,</w:t>
      </w:r>
      <w:r w:rsidR="00EB3A26" w:rsidRPr="00CE6CB4">
        <w:rPr>
          <w:lang w:val="lv-LV"/>
        </w:rPr>
        <w:t xml:space="preserve"> </w:t>
      </w:r>
      <w:r w:rsidR="00026245" w:rsidRPr="00CE6CB4">
        <w:rPr>
          <w:lang w:val="lv-LV"/>
        </w:rPr>
        <w:t xml:space="preserve">nebija norādīta nekāda tālāka </w:t>
      </w:r>
      <w:r w:rsidR="00195CFC">
        <w:rPr>
          <w:lang w:val="lv-LV"/>
        </w:rPr>
        <w:t>pārsūdzības</w:t>
      </w:r>
      <w:r w:rsidR="00026245" w:rsidRPr="00CE6CB4">
        <w:rPr>
          <w:lang w:val="lv-LV"/>
        </w:rPr>
        <w:t xml:space="preserve"> kārtība, </w:t>
      </w:r>
      <w:r w:rsidR="00026245" w:rsidRPr="00CE6CB4">
        <w:rPr>
          <w:lang w:val="lv-LV"/>
        </w:rPr>
        <w:lastRenderedPageBreak/>
        <w:t>kuru viņš varētu ievērot (atšķirībā no</w:t>
      </w:r>
      <w:r w:rsidR="00195CFC">
        <w:rPr>
          <w:lang w:val="lv-LV"/>
        </w:rPr>
        <w:t xml:space="preserve"> </w:t>
      </w:r>
      <w:r w:rsidR="00195CFC">
        <w:rPr>
          <w:i/>
          <w:lang w:val="lv-LV"/>
        </w:rPr>
        <w:t>Lejas</w:t>
      </w:r>
      <w:r w:rsidR="00026245" w:rsidRPr="00CE6CB4">
        <w:rPr>
          <w:lang w:val="lv-LV"/>
        </w:rPr>
        <w:t xml:space="preserve"> lietas, citēta iepriekš). </w:t>
      </w:r>
      <w:r w:rsidR="00E338D9" w:rsidRPr="00CE6CB4">
        <w:rPr>
          <w:lang w:val="lv-LV"/>
        </w:rPr>
        <w:t xml:space="preserve">Lietas fakti liecina, ka pēc tam, kad prokuratūra tika informēta par iesniedzēja situāciju, netika veiktas nekādas darbības. Šādos apstākļos </w:t>
      </w:r>
      <w:r w:rsidR="00195CFC">
        <w:rPr>
          <w:lang w:val="lv-LV"/>
        </w:rPr>
        <w:t>ne</w:t>
      </w:r>
      <w:r w:rsidR="00E338D9" w:rsidRPr="00CE6CB4">
        <w:rPr>
          <w:lang w:val="lv-LV"/>
        </w:rPr>
        <w:t xml:space="preserve">būtu saprātīgi lūgt iesniedzēju </w:t>
      </w:r>
      <w:r w:rsidR="00195CFC">
        <w:rPr>
          <w:lang w:val="lv-LV"/>
        </w:rPr>
        <w:t>uzsākt</w:t>
      </w:r>
      <w:r w:rsidR="00E338D9" w:rsidRPr="00CE6CB4">
        <w:rPr>
          <w:lang w:val="lv-LV"/>
        </w:rPr>
        <w:t xml:space="preserve"> vēl vienu sūdzību kārtu par to pašu jautājumu. </w:t>
      </w:r>
    </w:p>
    <w:p w:rsidR="00BE0E00" w:rsidRPr="00CE6CB4" w:rsidRDefault="00BD4E83" w:rsidP="00BE0E00">
      <w:pPr>
        <w:pStyle w:val="ECHRPara"/>
        <w:rPr>
          <w:lang w:val="lv-LV"/>
        </w:rPr>
      </w:pPr>
      <w:r w:rsidRPr="00CE6CB4">
        <w:rPr>
          <w:lang w:val="lv-LV"/>
        </w:rPr>
        <w:fldChar w:fldCharType="begin"/>
      </w:r>
      <w:r w:rsidRPr="00CE6CB4">
        <w:rPr>
          <w:lang w:val="lv-LV"/>
        </w:rPr>
        <w:instrText xml:space="preserve"> SEQ level0 \*arabic </w:instrText>
      </w:r>
      <w:r w:rsidRPr="00CE6CB4">
        <w:rPr>
          <w:lang w:val="lv-LV"/>
        </w:rPr>
        <w:fldChar w:fldCharType="separate"/>
      </w:r>
      <w:r w:rsidR="006260D9" w:rsidRPr="00CE6CB4">
        <w:rPr>
          <w:noProof/>
          <w:lang w:val="lv-LV"/>
        </w:rPr>
        <w:t>64</w:t>
      </w:r>
      <w:r w:rsidRPr="00CE6CB4">
        <w:rPr>
          <w:lang w:val="lv-LV"/>
        </w:rPr>
        <w:fldChar w:fldCharType="end"/>
      </w:r>
      <w:r w:rsidRPr="00CE6CB4">
        <w:rPr>
          <w:lang w:val="lv-LV"/>
        </w:rPr>
        <w:t>.  </w:t>
      </w:r>
      <w:r w:rsidR="00E338D9" w:rsidRPr="00CE6CB4">
        <w:rPr>
          <w:lang w:val="lv-LV"/>
        </w:rPr>
        <w:t xml:space="preserve">Attiecībā uz kompensāciju Valdība nav iesniegusi nekādus argumentus par citu tiesiskās aizsardzības līdzekļu </w:t>
      </w:r>
      <w:r w:rsidR="002D761B">
        <w:rPr>
          <w:lang w:val="lv-LV"/>
        </w:rPr>
        <w:t>pastāvēšanu</w:t>
      </w:r>
      <w:r w:rsidR="00E338D9" w:rsidRPr="00CE6CB4">
        <w:rPr>
          <w:lang w:val="lv-LV"/>
        </w:rPr>
        <w:t xml:space="preserve"> un efektivitāti. </w:t>
      </w:r>
    </w:p>
    <w:p w:rsidR="00E15823" w:rsidRPr="00CE6CB4" w:rsidRDefault="00A06F9B" w:rsidP="00BE0E00">
      <w:pPr>
        <w:pStyle w:val="ECHRPara"/>
        <w:rPr>
          <w:lang w:val="lv-LV"/>
        </w:rPr>
      </w:pPr>
      <w:r w:rsidRPr="00CE6CB4">
        <w:rPr>
          <w:lang w:val="lv-LV"/>
        </w:rPr>
        <w:fldChar w:fldCharType="begin"/>
      </w:r>
      <w:r w:rsidRPr="00CE6CB4">
        <w:rPr>
          <w:lang w:val="lv-LV"/>
        </w:rPr>
        <w:instrText xml:space="preserve"> SEQ level0 \*arabic </w:instrText>
      </w:r>
      <w:r w:rsidRPr="00CE6CB4">
        <w:rPr>
          <w:lang w:val="lv-LV"/>
        </w:rPr>
        <w:fldChar w:fldCharType="separate"/>
      </w:r>
      <w:r w:rsidR="006260D9" w:rsidRPr="00CE6CB4">
        <w:rPr>
          <w:noProof/>
          <w:lang w:val="lv-LV"/>
        </w:rPr>
        <w:t>65</w:t>
      </w:r>
      <w:r w:rsidRPr="00CE6CB4">
        <w:rPr>
          <w:lang w:val="lv-LV"/>
        </w:rPr>
        <w:fldChar w:fldCharType="end"/>
      </w:r>
      <w:r w:rsidRPr="00CE6CB4">
        <w:rPr>
          <w:lang w:val="lv-LV"/>
        </w:rPr>
        <w:t>.  </w:t>
      </w:r>
      <w:r w:rsidR="00E338D9" w:rsidRPr="00CE6CB4">
        <w:rPr>
          <w:lang w:val="lv-LV"/>
        </w:rPr>
        <w:t xml:space="preserve">Saskaņā ar iepriekšminēto </w:t>
      </w:r>
      <w:r w:rsidR="00AC5B59" w:rsidRPr="00CE6CB4">
        <w:rPr>
          <w:lang w:val="lv-LV"/>
        </w:rPr>
        <w:t xml:space="preserve">izklāstu un lietas faktiskajiem apstākļiem, Tiesa secina, ka ir pārkāpts 13. pants. </w:t>
      </w:r>
    </w:p>
    <w:p w:rsidR="00014566" w:rsidRPr="00CE6CB4" w:rsidRDefault="002D0939" w:rsidP="00014566">
      <w:pPr>
        <w:pStyle w:val="ECHRHeading1"/>
        <w:rPr>
          <w:lang w:val="lv-LV"/>
        </w:rPr>
      </w:pPr>
      <w:r w:rsidRPr="00CE6CB4">
        <w:rPr>
          <w:lang w:val="lv-LV"/>
        </w:rPr>
        <w:t>II</w:t>
      </w:r>
      <w:r w:rsidR="00014566" w:rsidRPr="00CE6CB4">
        <w:rPr>
          <w:lang w:val="lv-LV"/>
        </w:rPr>
        <w:t>.  </w:t>
      </w:r>
      <w:r w:rsidR="00437D37" w:rsidRPr="00CE6CB4">
        <w:rPr>
          <w:lang w:val="lv-LV"/>
        </w:rPr>
        <w:t xml:space="preserve">KONVENCIJAS 41. PANTA PIEMĒROŠANA </w:t>
      </w:r>
    </w:p>
    <w:p w:rsidR="00014566" w:rsidRPr="00CE6CB4" w:rsidRDefault="003071EE" w:rsidP="00C621C2">
      <w:pPr>
        <w:pStyle w:val="ECHRPara"/>
        <w:rPr>
          <w:lang w:val="lv-LV"/>
        </w:rPr>
      </w:pPr>
      <w:r w:rsidRPr="00CE6CB4">
        <w:rPr>
          <w:lang w:val="lv-LV"/>
        </w:rPr>
        <w:fldChar w:fldCharType="begin"/>
      </w:r>
      <w:r w:rsidRPr="00CE6CB4">
        <w:rPr>
          <w:lang w:val="lv-LV"/>
        </w:rPr>
        <w:instrText xml:space="preserve"> SEQ level0 \*arabic </w:instrText>
      </w:r>
      <w:r w:rsidRPr="00CE6CB4">
        <w:rPr>
          <w:lang w:val="lv-LV"/>
        </w:rPr>
        <w:fldChar w:fldCharType="separate"/>
      </w:r>
      <w:r w:rsidR="006260D9" w:rsidRPr="00CE6CB4">
        <w:rPr>
          <w:noProof/>
          <w:lang w:val="lv-LV"/>
        </w:rPr>
        <w:t>66</w:t>
      </w:r>
      <w:r w:rsidRPr="00CE6CB4">
        <w:rPr>
          <w:lang w:val="lv-LV"/>
        </w:rPr>
        <w:fldChar w:fldCharType="end"/>
      </w:r>
      <w:r w:rsidR="00014566" w:rsidRPr="00CE6CB4">
        <w:rPr>
          <w:lang w:val="lv-LV"/>
        </w:rPr>
        <w:t>.  </w:t>
      </w:r>
      <w:r w:rsidR="00437D37" w:rsidRPr="00CE6CB4">
        <w:rPr>
          <w:lang w:val="lv-LV"/>
        </w:rPr>
        <w:t>Konvencijas 41. pants nosaka</w:t>
      </w:r>
      <w:r w:rsidR="00014566" w:rsidRPr="00CE6CB4">
        <w:rPr>
          <w:lang w:val="lv-LV"/>
        </w:rPr>
        <w:t>:</w:t>
      </w:r>
    </w:p>
    <w:p w:rsidR="00437D37" w:rsidRPr="00CE6CB4" w:rsidRDefault="00014566" w:rsidP="00D73D02">
      <w:pPr>
        <w:pStyle w:val="ECHRParaQuote"/>
        <w:rPr>
          <w:lang w:val="lv-LV"/>
        </w:rPr>
      </w:pPr>
      <w:r w:rsidRPr="00CE6CB4">
        <w:rPr>
          <w:lang w:val="lv-LV"/>
        </w:rPr>
        <w:t>“</w:t>
      </w:r>
      <w:r w:rsidR="00437D37" w:rsidRPr="00CE6CB4">
        <w:rPr>
          <w:lang w:val="lv-LV"/>
        </w:rPr>
        <w:t>Ja Tiesa konstatē, ka ir noticis Konvencijas vai tās protokolu pārkāpums, un ja attiecīgās Augstās Līgumslēdzējas Puses iekšējās tiesību normas paredz tikai daļēju šī pārkāpuma seku novēršanu, Tiesa, ja nepieciešams, cietušajai pusei piešķir taisnīgu atlīdzību.</w:t>
      </w:r>
    </w:p>
    <w:p w:rsidR="00014566" w:rsidRPr="00CE6CB4" w:rsidRDefault="00014566" w:rsidP="00C6433D">
      <w:pPr>
        <w:pStyle w:val="ECHRHeading2"/>
        <w:rPr>
          <w:lang w:val="lv-LV"/>
        </w:rPr>
      </w:pPr>
      <w:r w:rsidRPr="00CE6CB4">
        <w:rPr>
          <w:lang w:val="lv-LV"/>
        </w:rPr>
        <w:t>A.  </w:t>
      </w:r>
      <w:r w:rsidR="00437D37" w:rsidRPr="00CE6CB4">
        <w:rPr>
          <w:lang w:val="lv-LV"/>
        </w:rPr>
        <w:t>Kaitējums</w:t>
      </w:r>
    </w:p>
    <w:p w:rsidR="00014566" w:rsidRPr="00CE6CB4" w:rsidRDefault="003071EE" w:rsidP="00C6433D">
      <w:pPr>
        <w:pStyle w:val="ECHRPara"/>
        <w:keepNext/>
        <w:keepLines/>
        <w:rPr>
          <w:lang w:val="lv-LV"/>
        </w:rPr>
      </w:pPr>
      <w:r w:rsidRPr="00CE6CB4">
        <w:rPr>
          <w:lang w:val="lv-LV"/>
        </w:rPr>
        <w:fldChar w:fldCharType="begin"/>
      </w:r>
      <w:r w:rsidRPr="00CE6CB4">
        <w:rPr>
          <w:lang w:val="lv-LV"/>
        </w:rPr>
        <w:instrText xml:space="preserve"> SEQ level0 \*arabic </w:instrText>
      </w:r>
      <w:r w:rsidRPr="00CE6CB4">
        <w:rPr>
          <w:lang w:val="lv-LV"/>
        </w:rPr>
        <w:fldChar w:fldCharType="separate"/>
      </w:r>
      <w:r w:rsidR="006260D9" w:rsidRPr="00CE6CB4">
        <w:rPr>
          <w:noProof/>
          <w:lang w:val="lv-LV"/>
        </w:rPr>
        <w:t>67</w:t>
      </w:r>
      <w:r w:rsidRPr="00CE6CB4">
        <w:rPr>
          <w:lang w:val="lv-LV"/>
        </w:rPr>
        <w:fldChar w:fldCharType="end"/>
      </w:r>
      <w:r w:rsidR="00014566" w:rsidRPr="00CE6CB4">
        <w:rPr>
          <w:lang w:val="lv-LV"/>
        </w:rPr>
        <w:t>.  </w:t>
      </w:r>
      <w:r w:rsidR="00437D37" w:rsidRPr="00CE6CB4">
        <w:rPr>
          <w:rFonts w:ascii="Times New Roman" w:hAnsi="Times New Roman" w:cs="Times New Roman"/>
          <w:szCs w:val="24"/>
          <w:lang w:val="lv-LV"/>
        </w:rPr>
        <w:t>Iesniedzējs lūdza piešķirt kompensāciju 30 000 eiro (EUR) apmērā par morālo kaitējumu.</w:t>
      </w:r>
    </w:p>
    <w:p w:rsidR="00437D37" w:rsidRPr="00CE6CB4" w:rsidRDefault="003071EE" w:rsidP="00C621C2">
      <w:pPr>
        <w:pStyle w:val="ECHRPara"/>
        <w:rPr>
          <w:lang w:val="lv-LV"/>
        </w:rPr>
      </w:pPr>
      <w:r w:rsidRPr="00CE6CB4">
        <w:rPr>
          <w:lang w:val="lv-LV"/>
        </w:rPr>
        <w:fldChar w:fldCharType="begin"/>
      </w:r>
      <w:r w:rsidRPr="00CE6CB4">
        <w:rPr>
          <w:lang w:val="lv-LV"/>
        </w:rPr>
        <w:instrText xml:space="preserve"> SEQ level0 \*arabic </w:instrText>
      </w:r>
      <w:r w:rsidRPr="00CE6CB4">
        <w:rPr>
          <w:lang w:val="lv-LV"/>
        </w:rPr>
        <w:fldChar w:fldCharType="separate"/>
      </w:r>
      <w:r w:rsidR="006260D9" w:rsidRPr="00CE6CB4">
        <w:rPr>
          <w:noProof/>
          <w:lang w:val="lv-LV"/>
        </w:rPr>
        <w:t>68</w:t>
      </w:r>
      <w:r w:rsidRPr="00CE6CB4">
        <w:rPr>
          <w:lang w:val="lv-LV"/>
        </w:rPr>
        <w:fldChar w:fldCharType="end"/>
      </w:r>
      <w:r w:rsidR="00014566" w:rsidRPr="00CE6CB4">
        <w:rPr>
          <w:lang w:val="lv-LV"/>
        </w:rPr>
        <w:t>.  </w:t>
      </w:r>
      <w:r w:rsidR="00437D37" w:rsidRPr="00CE6CB4">
        <w:rPr>
          <w:lang w:val="lv-LV"/>
        </w:rPr>
        <w:t xml:space="preserve">Valdība nepiekrita prasījumam. </w:t>
      </w:r>
      <w:r w:rsidR="00195CFC">
        <w:rPr>
          <w:lang w:val="lv-LV"/>
        </w:rPr>
        <w:t>Tā</w:t>
      </w:r>
      <w:r w:rsidR="00437D37" w:rsidRPr="00CE6CB4">
        <w:rPr>
          <w:lang w:val="lv-LV"/>
        </w:rPr>
        <w:t xml:space="preserve"> norādīja, ka iesniedzējs nav pierādījis, ka viņam nodarīts jebkāds morālais kaitējums. Tāpat </w:t>
      </w:r>
      <w:r w:rsidR="00F2406F">
        <w:rPr>
          <w:rFonts w:ascii="Times New Roman" w:hAnsi="Times New Roman" w:cs="Times New Roman"/>
          <w:szCs w:val="24"/>
          <w:lang w:val="lv-LV"/>
        </w:rPr>
        <w:t>V</w:t>
      </w:r>
      <w:r w:rsidR="00437D37" w:rsidRPr="00CE6CB4">
        <w:rPr>
          <w:rFonts w:ascii="Times New Roman" w:hAnsi="Times New Roman" w:cs="Times New Roman"/>
          <w:szCs w:val="24"/>
          <w:lang w:val="lv-LV"/>
        </w:rPr>
        <w:t>aldība uzskatīja, ka gadījum</w:t>
      </w:r>
      <w:r w:rsidR="00F80F0C" w:rsidRPr="00CE6CB4">
        <w:rPr>
          <w:rFonts w:ascii="Times New Roman" w:hAnsi="Times New Roman" w:cs="Times New Roman"/>
          <w:szCs w:val="24"/>
          <w:lang w:val="lv-LV"/>
        </w:rPr>
        <w:t>ā, ja T</w:t>
      </w:r>
      <w:r w:rsidR="00437D37" w:rsidRPr="00CE6CB4">
        <w:rPr>
          <w:rFonts w:ascii="Times New Roman" w:hAnsi="Times New Roman" w:cs="Times New Roman"/>
          <w:szCs w:val="24"/>
          <w:lang w:val="lv-LV"/>
        </w:rPr>
        <w:t>iesa atzītu pārkāpumu, tas pats par sevi nozīmētu atbilstošu un pietiekamu kompensāciju. Taču, ja Tiesa nolemtu piešķir</w:t>
      </w:r>
      <w:r w:rsidR="00F2406F">
        <w:rPr>
          <w:rFonts w:ascii="Times New Roman" w:hAnsi="Times New Roman" w:cs="Times New Roman"/>
          <w:szCs w:val="24"/>
          <w:lang w:val="lv-LV"/>
        </w:rPr>
        <w:t>t</w:t>
      </w:r>
      <w:r w:rsidR="00437D37" w:rsidRPr="00CE6CB4">
        <w:rPr>
          <w:rFonts w:ascii="Times New Roman" w:hAnsi="Times New Roman" w:cs="Times New Roman"/>
          <w:szCs w:val="24"/>
          <w:lang w:val="lv-LV"/>
        </w:rPr>
        <w:t xml:space="preserve"> kompensāciju par </w:t>
      </w:r>
      <w:r w:rsidR="00DE7F36" w:rsidRPr="00CE6CB4">
        <w:rPr>
          <w:rFonts w:ascii="Times New Roman" w:hAnsi="Times New Roman" w:cs="Times New Roman"/>
          <w:szCs w:val="24"/>
          <w:lang w:val="lv-LV"/>
        </w:rPr>
        <w:t xml:space="preserve">Konvencijas 3. panta  </w:t>
      </w:r>
      <w:r w:rsidR="00AA2924">
        <w:rPr>
          <w:rFonts w:ascii="Times New Roman" w:hAnsi="Times New Roman" w:cs="Times New Roman"/>
          <w:szCs w:val="24"/>
          <w:lang w:val="lv-LV"/>
        </w:rPr>
        <w:t>substantīvo</w:t>
      </w:r>
      <w:r w:rsidR="00DE7F36" w:rsidRPr="00CE6CB4">
        <w:rPr>
          <w:rFonts w:ascii="Times New Roman" w:hAnsi="Times New Roman" w:cs="Times New Roman"/>
          <w:szCs w:val="24"/>
          <w:lang w:val="lv-LV"/>
        </w:rPr>
        <w:t xml:space="preserve"> un </w:t>
      </w:r>
      <w:r w:rsidR="00AA2924">
        <w:rPr>
          <w:rFonts w:ascii="Times New Roman" w:hAnsi="Times New Roman" w:cs="Times New Roman"/>
          <w:szCs w:val="24"/>
          <w:lang w:val="lv-LV"/>
        </w:rPr>
        <w:t>procesuālo</w:t>
      </w:r>
      <w:r w:rsidR="00DE7F36" w:rsidRPr="00CE6CB4">
        <w:rPr>
          <w:rFonts w:ascii="Times New Roman" w:hAnsi="Times New Roman" w:cs="Times New Roman"/>
          <w:szCs w:val="24"/>
          <w:lang w:val="lv-LV"/>
        </w:rPr>
        <w:t xml:space="preserve"> </w:t>
      </w:r>
      <w:r w:rsidR="00AA2924">
        <w:rPr>
          <w:rFonts w:ascii="Times New Roman" w:hAnsi="Times New Roman" w:cs="Times New Roman"/>
          <w:szCs w:val="24"/>
          <w:lang w:val="lv-LV"/>
        </w:rPr>
        <w:t>aspektu</w:t>
      </w:r>
      <w:r w:rsidR="00DE7F36" w:rsidRPr="00CE6CB4">
        <w:rPr>
          <w:rFonts w:ascii="Times New Roman" w:hAnsi="Times New Roman" w:cs="Times New Roman"/>
          <w:szCs w:val="24"/>
          <w:lang w:val="lv-LV"/>
        </w:rPr>
        <w:t xml:space="preserve"> pārkāpumu, Valdība aicināja Tiesu secināt, ka i</w:t>
      </w:r>
      <w:r w:rsidR="00AA2924">
        <w:rPr>
          <w:rFonts w:ascii="Times New Roman" w:hAnsi="Times New Roman" w:cs="Times New Roman"/>
          <w:szCs w:val="24"/>
          <w:lang w:val="lv-LV"/>
        </w:rPr>
        <w:t>esniedzēja prasība ir pārmērīga un kompensācija ir piešķirama atbilstoši taisnīguma principam,</w:t>
      </w:r>
      <w:r w:rsidR="00DE7F36" w:rsidRPr="00CE6CB4">
        <w:rPr>
          <w:rFonts w:ascii="Times New Roman" w:hAnsi="Times New Roman" w:cs="Times New Roman"/>
          <w:szCs w:val="24"/>
          <w:lang w:val="lv-LV"/>
        </w:rPr>
        <w:t xml:space="preserve"> cita starpā ņemot vērā pastāvošo </w:t>
      </w:r>
      <w:r w:rsidR="00F2406F">
        <w:rPr>
          <w:rFonts w:ascii="Times New Roman" w:hAnsi="Times New Roman" w:cs="Times New Roman"/>
          <w:szCs w:val="24"/>
          <w:lang w:val="lv-LV"/>
        </w:rPr>
        <w:t>judikatūru</w:t>
      </w:r>
      <w:r w:rsidR="00DE7F36" w:rsidRPr="00CE6CB4">
        <w:rPr>
          <w:rFonts w:ascii="Times New Roman" w:hAnsi="Times New Roman" w:cs="Times New Roman"/>
          <w:szCs w:val="24"/>
          <w:lang w:val="lv-LV"/>
        </w:rPr>
        <w:t xml:space="preserve"> un Latvijas sociāli ekonomiskos apstākļus.</w:t>
      </w:r>
    </w:p>
    <w:p w:rsidR="00DE7F36" w:rsidRPr="00CE6CB4" w:rsidRDefault="003071EE" w:rsidP="00D73D02">
      <w:pPr>
        <w:pStyle w:val="ECHRPara"/>
        <w:rPr>
          <w:lang w:val="lv-LV"/>
        </w:rPr>
      </w:pPr>
      <w:r w:rsidRPr="00CE6CB4">
        <w:rPr>
          <w:lang w:val="lv-LV"/>
        </w:rPr>
        <w:fldChar w:fldCharType="begin"/>
      </w:r>
      <w:r w:rsidRPr="00CE6CB4">
        <w:rPr>
          <w:lang w:val="lv-LV"/>
        </w:rPr>
        <w:instrText xml:space="preserve"> SEQ level0 \*arabic </w:instrText>
      </w:r>
      <w:r w:rsidRPr="00CE6CB4">
        <w:rPr>
          <w:lang w:val="lv-LV"/>
        </w:rPr>
        <w:fldChar w:fldCharType="separate"/>
      </w:r>
      <w:r w:rsidR="006260D9" w:rsidRPr="00CE6CB4">
        <w:rPr>
          <w:noProof/>
          <w:lang w:val="lv-LV"/>
        </w:rPr>
        <w:t>69</w:t>
      </w:r>
      <w:r w:rsidRPr="00CE6CB4">
        <w:rPr>
          <w:lang w:val="lv-LV"/>
        </w:rPr>
        <w:fldChar w:fldCharType="end"/>
      </w:r>
      <w:r w:rsidR="00014566" w:rsidRPr="00CE6CB4">
        <w:rPr>
          <w:lang w:val="lv-LV"/>
        </w:rPr>
        <w:t>.  </w:t>
      </w:r>
      <w:r w:rsidR="00DE7F36" w:rsidRPr="00CE6CB4">
        <w:rPr>
          <w:rFonts w:ascii="Times New Roman" w:hAnsi="Times New Roman" w:cs="Times New Roman"/>
          <w:szCs w:val="24"/>
          <w:lang w:val="lv-LV"/>
        </w:rPr>
        <w:t xml:space="preserve">Ņemot vērā šajā lietā konstatēto pārkāpumu raksturu un ievērojot taisnīguma principu, Tiesa </w:t>
      </w:r>
      <w:r w:rsidR="000A13DF">
        <w:rPr>
          <w:rFonts w:ascii="Times New Roman" w:hAnsi="Times New Roman" w:cs="Times New Roman"/>
          <w:szCs w:val="24"/>
          <w:lang w:val="lv-LV"/>
        </w:rPr>
        <w:t>nolemj</w:t>
      </w:r>
      <w:r w:rsidR="00DE7F36" w:rsidRPr="00CE6CB4">
        <w:rPr>
          <w:rFonts w:ascii="Times New Roman" w:hAnsi="Times New Roman" w:cs="Times New Roman"/>
          <w:szCs w:val="24"/>
          <w:lang w:val="lv-LV"/>
        </w:rPr>
        <w:t xml:space="preserve"> par labu iesniedzējam piedzīt 500 EUR kā kompensāciju par morālo kaitējumu </w:t>
      </w:r>
    </w:p>
    <w:p w:rsidR="00014566" w:rsidRPr="00CE6CB4" w:rsidRDefault="00014566" w:rsidP="00CD3C64">
      <w:pPr>
        <w:pStyle w:val="ECHRHeading2"/>
        <w:rPr>
          <w:lang w:val="lv-LV"/>
        </w:rPr>
      </w:pPr>
      <w:r w:rsidRPr="00CE6CB4">
        <w:rPr>
          <w:lang w:val="lv-LV"/>
        </w:rPr>
        <w:t>B.  </w:t>
      </w:r>
      <w:r w:rsidR="00DE7F36" w:rsidRPr="00CE6CB4">
        <w:rPr>
          <w:lang w:val="lv-LV"/>
        </w:rPr>
        <w:t>Izmaksas un izdevumi</w:t>
      </w:r>
    </w:p>
    <w:p w:rsidR="00DE7F36" w:rsidRPr="00CE6CB4" w:rsidRDefault="003071EE" w:rsidP="00DE7F36">
      <w:pPr>
        <w:pStyle w:val="ECHRPara"/>
        <w:ind w:firstLine="232"/>
        <w:rPr>
          <w:rFonts w:ascii="Times New Roman" w:hAnsi="Times New Roman" w:cs="Times New Roman"/>
          <w:szCs w:val="24"/>
          <w:lang w:val="lv-LV"/>
        </w:rPr>
      </w:pPr>
      <w:r w:rsidRPr="00CE6CB4">
        <w:rPr>
          <w:lang w:val="lv-LV"/>
        </w:rPr>
        <w:fldChar w:fldCharType="begin"/>
      </w:r>
      <w:r w:rsidRPr="00CE6CB4">
        <w:rPr>
          <w:lang w:val="lv-LV"/>
        </w:rPr>
        <w:instrText xml:space="preserve"> SEQ level0 \*arabic </w:instrText>
      </w:r>
      <w:r w:rsidRPr="00CE6CB4">
        <w:rPr>
          <w:lang w:val="lv-LV"/>
        </w:rPr>
        <w:fldChar w:fldCharType="separate"/>
      </w:r>
      <w:r w:rsidR="006260D9" w:rsidRPr="00CE6CB4">
        <w:rPr>
          <w:noProof/>
          <w:lang w:val="lv-LV"/>
        </w:rPr>
        <w:t>70</w:t>
      </w:r>
      <w:r w:rsidRPr="00CE6CB4">
        <w:rPr>
          <w:lang w:val="lv-LV"/>
        </w:rPr>
        <w:fldChar w:fldCharType="end"/>
      </w:r>
      <w:r w:rsidR="00014566" w:rsidRPr="00CE6CB4">
        <w:rPr>
          <w:lang w:val="lv-LV"/>
        </w:rPr>
        <w:t>.  </w:t>
      </w:r>
      <w:r w:rsidR="00DE7F36" w:rsidRPr="00CE6CB4">
        <w:rPr>
          <w:rFonts w:ascii="Times New Roman" w:hAnsi="Times New Roman" w:cs="Times New Roman"/>
          <w:szCs w:val="24"/>
          <w:lang w:val="lv-LV"/>
        </w:rPr>
        <w:t>Iesniedzējs lūdza arī piešķirt kompensāciju 42,49 EUR apmērā par tiesāšanās izdevumiem.</w:t>
      </w:r>
    </w:p>
    <w:p w:rsidR="00DE7F36" w:rsidRPr="00CE6CB4" w:rsidRDefault="003071EE" w:rsidP="008F38F4">
      <w:pPr>
        <w:pStyle w:val="ECHRPara"/>
        <w:rPr>
          <w:lang w:val="lv-LV"/>
        </w:rPr>
      </w:pPr>
      <w:r w:rsidRPr="00CE6CB4">
        <w:rPr>
          <w:lang w:val="lv-LV"/>
        </w:rPr>
        <w:fldChar w:fldCharType="begin"/>
      </w:r>
      <w:r w:rsidRPr="00CE6CB4">
        <w:rPr>
          <w:lang w:val="lv-LV"/>
        </w:rPr>
        <w:instrText xml:space="preserve"> SEQ level0 \*arabic </w:instrText>
      </w:r>
      <w:r w:rsidRPr="00CE6CB4">
        <w:rPr>
          <w:lang w:val="lv-LV"/>
        </w:rPr>
        <w:fldChar w:fldCharType="separate"/>
      </w:r>
      <w:r w:rsidR="006260D9" w:rsidRPr="00CE6CB4">
        <w:rPr>
          <w:noProof/>
          <w:lang w:val="lv-LV"/>
        </w:rPr>
        <w:t>71</w:t>
      </w:r>
      <w:r w:rsidRPr="00CE6CB4">
        <w:rPr>
          <w:lang w:val="lv-LV"/>
        </w:rPr>
        <w:fldChar w:fldCharType="end"/>
      </w:r>
      <w:r w:rsidR="00014566" w:rsidRPr="00CE6CB4">
        <w:rPr>
          <w:lang w:val="lv-LV"/>
        </w:rPr>
        <w:t>.  </w:t>
      </w:r>
      <w:r w:rsidR="00DE7F36" w:rsidRPr="00CE6CB4">
        <w:rPr>
          <w:lang w:val="lv-LV"/>
        </w:rPr>
        <w:t xml:space="preserve">Valdība </w:t>
      </w:r>
      <w:r w:rsidR="00F2406F">
        <w:rPr>
          <w:lang w:val="lv-LV"/>
        </w:rPr>
        <w:t xml:space="preserve">to </w:t>
      </w:r>
      <w:r w:rsidR="00DE7F36" w:rsidRPr="00CE6CB4">
        <w:rPr>
          <w:lang w:val="lv-LV"/>
        </w:rPr>
        <w:t xml:space="preserve">apstrīdēja, norādot, ka šīs izmaksas nebija nepieciešamas, jo iesniedzēja </w:t>
      </w:r>
      <w:r w:rsidR="008F38F4">
        <w:rPr>
          <w:lang w:val="lv-LV"/>
        </w:rPr>
        <w:t>iesniegumi</w:t>
      </w:r>
      <w:r w:rsidR="00DE7F36" w:rsidRPr="00CE6CB4">
        <w:rPr>
          <w:lang w:val="lv-LV"/>
        </w:rPr>
        <w:t xml:space="preserve"> par </w:t>
      </w:r>
      <w:r w:rsidR="008F38F4">
        <w:rPr>
          <w:lang w:val="lv-LV"/>
        </w:rPr>
        <w:t xml:space="preserve">to kriminālprocesu būtību, kas bija ierosināti pret viņu, </w:t>
      </w:r>
      <w:r w:rsidR="00DE7F36" w:rsidRPr="00CE6CB4">
        <w:rPr>
          <w:lang w:val="lv-LV"/>
        </w:rPr>
        <w:t>bija pilnībā ne</w:t>
      </w:r>
      <w:r w:rsidR="00F2406F">
        <w:rPr>
          <w:lang w:val="lv-LV"/>
        </w:rPr>
        <w:t xml:space="preserve">saistīti </w:t>
      </w:r>
      <w:r w:rsidR="00DE7F36" w:rsidRPr="00CE6CB4">
        <w:rPr>
          <w:lang w:val="lv-LV"/>
        </w:rPr>
        <w:t xml:space="preserve">ar attiecīgo </w:t>
      </w:r>
      <w:r w:rsidR="008F38F4">
        <w:rPr>
          <w:lang w:val="lv-LV"/>
        </w:rPr>
        <w:t>tiesvedību</w:t>
      </w:r>
      <w:r w:rsidR="00DE7F36" w:rsidRPr="00CE6CB4">
        <w:rPr>
          <w:lang w:val="lv-LV"/>
        </w:rPr>
        <w:t xml:space="preserve"> Tiesā.</w:t>
      </w:r>
    </w:p>
    <w:p w:rsidR="00DE7F36" w:rsidRPr="00CE6CB4" w:rsidRDefault="003071EE" w:rsidP="00C621C2">
      <w:pPr>
        <w:pStyle w:val="ECHRPara"/>
        <w:rPr>
          <w:lang w:val="lv-LV"/>
        </w:rPr>
      </w:pPr>
      <w:r w:rsidRPr="00CE6CB4">
        <w:rPr>
          <w:lang w:val="lv-LV"/>
        </w:rPr>
        <w:fldChar w:fldCharType="begin"/>
      </w:r>
      <w:r w:rsidRPr="00CE6CB4">
        <w:rPr>
          <w:lang w:val="lv-LV"/>
        </w:rPr>
        <w:instrText xml:space="preserve"> SEQ level0 \*arabic </w:instrText>
      </w:r>
      <w:r w:rsidRPr="00CE6CB4">
        <w:rPr>
          <w:lang w:val="lv-LV"/>
        </w:rPr>
        <w:fldChar w:fldCharType="separate"/>
      </w:r>
      <w:r w:rsidR="006260D9" w:rsidRPr="00CE6CB4">
        <w:rPr>
          <w:noProof/>
          <w:lang w:val="lv-LV"/>
        </w:rPr>
        <w:t>72</w:t>
      </w:r>
      <w:r w:rsidRPr="00CE6CB4">
        <w:rPr>
          <w:lang w:val="lv-LV"/>
        </w:rPr>
        <w:fldChar w:fldCharType="end"/>
      </w:r>
      <w:r w:rsidR="00014566" w:rsidRPr="00CE6CB4">
        <w:rPr>
          <w:lang w:val="lv-LV"/>
        </w:rPr>
        <w:t>.  </w:t>
      </w:r>
      <w:r w:rsidR="00DE7F36" w:rsidRPr="00CE6CB4">
        <w:rPr>
          <w:lang w:val="lv-LV"/>
        </w:rPr>
        <w:t>Ņemot vērā faktu, ka iesniedzējam</w:t>
      </w:r>
      <w:r w:rsidR="00F2406F">
        <w:rPr>
          <w:lang w:val="lv-LV"/>
        </w:rPr>
        <w:t xml:space="preserve"> tika piešķirta</w:t>
      </w:r>
      <w:r w:rsidR="00DE7F36" w:rsidRPr="00CE6CB4">
        <w:rPr>
          <w:lang w:val="lv-LV"/>
        </w:rPr>
        <w:t xml:space="preserve"> juridiskā palīdzība (skatīt iepriekš 2. rindkopu)</w:t>
      </w:r>
      <w:r w:rsidR="008F38F4">
        <w:rPr>
          <w:lang w:val="lv-LV"/>
        </w:rPr>
        <w:t>,</w:t>
      </w:r>
      <w:r w:rsidR="00DE7F36" w:rsidRPr="00CE6CB4">
        <w:rPr>
          <w:lang w:val="lv-LV"/>
        </w:rPr>
        <w:t xml:space="preserve"> un</w:t>
      </w:r>
      <w:r w:rsidR="00F2406F">
        <w:rPr>
          <w:lang w:val="lv-LV"/>
        </w:rPr>
        <w:t>,</w:t>
      </w:r>
      <w:r w:rsidR="00DE7F36" w:rsidRPr="00CE6CB4">
        <w:rPr>
          <w:lang w:val="lv-LV"/>
        </w:rPr>
        <w:t xml:space="preserve"> </w:t>
      </w:r>
      <w:r w:rsidR="008F38F4">
        <w:rPr>
          <w:lang w:val="lv-LV"/>
        </w:rPr>
        <w:t>atsaucoties</w:t>
      </w:r>
      <w:r w:rsidR="00DE7F36" w:rsidRPr="00CE6CB4">
        <w:rPr>
          <w:lang w:val="lv-LV"/>
        </w:rPr>
        <w:t xml:space="preserve"> uz savu </w:t>
      </w:r>
      <w:r w:rsidR="008F38F4">
        <w:rPr>
          <w:lang w:val="lv-LV"/>
        </w:rPr>
        <w:t>judikatūru</w:t>
      </w:r>
      <w:r w:rsidR="00DE7F36" w:rsidRPr="00CE6CB4">
        <w:rPr>
          <w:lang w:val="lv-LV"/>
        </w:rPr>
        <w:t>, Tiesa</w:t>
      </w:r>
      <w:r w:rsidR="008E57DA" w:rsidRPr="00CE6CB4">
        <w:rPr>
          <w:lang w:val="lv-LV"/>
        </w:rPr>
        <w:t xml:space="preserve"> atzīst, </w:t>
      </w:r>
      <w:r w:rsidR="008E57DA" w:rsidRPr="00CE6CB4">
        <w:rPr>
          <w:lang w:val="lv-LV"/>
        </w:rPr>
        <w:lastRenderedPageBreak/>
        <w:t>ka</w:t>
      </w:r>
      <w:r w:rsidR="00DE7F36" w:rsidRPr="00CE6CB4">
        <w:rPr>
          <w:lang w:val="lv-LV"/>
        </w:rPr>
        <w:t xml:space="preserve"> </w:t>
      </w:r>
      <w:r w:rsidR="008E57DA" w:rsidRPr="00CE6CB4">
        <w:rPr>
          <w:rFonts w:ascii="Times New Roman" w:hAnsi="Times New Roman" w:cs="Times New Roman"/>
          <w:szCs w:val="24"/>
          <w:lang w:val="lv-LV"/>
        </w:rPr>
        <w:t xml:space="preserve">iesniedzējam ir tiesības saņemt atlīdzību par izmaksām un izdevumiem tikai tiktāl, ciktāl ir pierādīts, ka tie ir bijuši reāli un </w:t>
      </w:r>
      <w:r w:rsidR="00F2406F">
        <w:rPr>
          <w:rFonts w:ascii="Times New Roman" w:hAnsi="Times New Roman" w:cs="Times New Roman"/>
          <w:szCs w:val="24"/>
          <w:lang w:val="lv-LV"/>
        </w:rPr>
        <w:t>nepieciešami</w:t>
      </w:r>
      <w:r w:rsidR="008E57DA" w:rsidRPr="00CE6CB4">
        <w:rPr>
          <w:rFonts w:ascii="Times New Roman" w:hAnsi="Times New Roman" w:cs="Times New Roman"/>
          <w:szCs w:val="24"/>
          <w:lang w:val="lv-LV"/>
        </w:rPr>
        <w:t xml:space="preserve"> un to summa ir pamatota. Šajā lietā, ņemot vērā </w:t>
      </w:r>
      <w:r w:rsidR="00174822">
        <w:rPr>
          <w:rFonts w:ascii="Times New Roman" w:hAnsi="Times New Roman" w:cs="Times New Roman"/>
          <w:szCs w:val="24"/>
          <w:lang w:val="lv-LV"/>
        </w:rPr>
        <w:t>tās</w:t>
      </w:r>
      <w:r w:rsidR="008E57DA" w:rsidRPr="00CE6CB4">
        <w:rPr>
          <w:rFonts w:ascii="Times New Roman" w:hAnsi="Times New Roman" w:cs="Times New Roman"/>
          <w:szCs w:val="24"/>
          <w:lang w:val="lv-LV"/>
        </w:rPr>
        <w:t xml:space="preserve"> rīcībā esošos dokumentus un iepriekš minēto</w:t>
      </w:r>
      <w:r w:rsidR="00F2406F">
        <w:rPr>
          <w:rFonts w:ascii="Times New Roman" w:hAnsi="Times New Roman" w:cs="Times New Roman"/>
          <w:szCs w:val="24"/>
          <w:lang w:val="lv-LV"/>
        </w:rPr>
        <w:t>s</w:t>
      </w:r>
      <w:r w:rsidR="008E57DA" w:rsidRPr="00CE6CB4">
        <w:rPr>
          <w:rFonts w:ascii="Times New Roman" w:hAnsi="Times New Roman" w:cs="Times New Roman"/>
          <w:szCs w:val="24"/>
          <w:lang w:val="lv-LV"/>
        </w:rPr>
        <w:t xml:space="preserve"> kritēriju</w:t>
      </w:r>
      <w:r w:rsidR="00F2406F">
        <w:rPr>
          <w:rFonts w:ascii="Times New Roman" w:hAnsi="Times New Roman" w:cs="Times New Roman"/>
          <w:szCs w:val="24"/>
          <w:lang w:val="lv-LV"/>
        </w:rPr>
        <w:t>s</w:t>
      </w:r>
      <w:r w:rsidR="008E57DA" w:rsidRPr="00CE6CB4">
        <w:rPr>
          <w:rFonts w:ascii="Times New Roman" w:hAnsi="Times New Roman" w:cs="Times New Roman"/>
          <w:szCs w:val="24"/>
          <w:lang w:val="lv-LV"/>
        </w:rPr>
        <w:t xml:space="preserve">, </w:t>
      </w:r>
      <w:r w:rsidR="008F38F4">
        <w:rPr>
          <w:rFonts w:ascii="Times New Roman" w:hAnsi="Times New Roman" w:cs="Times New Roman"/>
          <w:szCs w:val="24"/>
          <w:lang w:val="lv-LV"/>
        </w:rPr>
        <w:t>T</w:t>
      </w:r>
      <w:r w:rsidR="008E57DA" w:rsidRPr="00CE6CB4">
        <w:rPr>
          <w:rFonts w:ascii="Times New Roman" w:hAnsi="Times New Roman" w:cs="Times New Roman"/>
          <w:szCs w:val="24"/>
          <w:lang w:val="lv-LV"/>
        </w:rPr>
        <w:t>iesa noraida iesniedzēja prasījumu par izdevum</w:t>
      </w:r>
      <w:r w:rsidR="00F2406F">
        <w:rPr>
          <w:rFonts w:ascii="Times New Roman" w:hAnsi="Times New Roman" w:cs="Times New Roman"/>
          <w:szCs w:val="24"/>
          <w:lang w:val="lv-LV"/>
        </w:rPr>
        <w:t>u atlīdzināšanu</w:t>
      </w:r>
      <w:r w:rsidR="008E57DA" w:rsidRPr="00CE6CB4">
        <w:rPr>
          <w:rFonts w:ascii="Times New Roman" w:hAnsi="Times New Roman" w:cs="Times New Roman"/>
          <w:szCs w:val="24"/>
          <w:lang w:val="lv-LV"/>
        </w:rPr>
        <w:t>, kas radušies par dokumentu, proti, visu krimināllietas materiālu</w:t>
      </w:r>
      <w:r w:rsidR="00F2406F">
        <w:rPr>
          <w:rFonts w:ascii="Times New Roman" w:hAnsi="Times New Roman" w:cs="Times New Roman"/>
          <w:szCs w:val="24"/>
          <w:lang w:val="lv-LV"/>
        </w:rPr>
        <w:t xml:space="preserve"> kopiju</w:t>
      </w:r>
      <w:r w:rsidR="008E57DA" w:rsidRPr="00CE6CB4">
        <w:rPr>
          <w:rFonts w:ascii="Times New Roman" w:hAnsi="Times New Roman" w:cs="Times New Roman"/>
          <w:szCs w:val="24"/>
          <w:lang w:val="lv-LV"/>
        </w:rPr>
        <w:t>, iesniegšanu Tiesai.</w:t>
      </w:r>
    </w:p>
    <w:p w:rsidR="00014566" w:rsidRPr="00CE6CB4" w:rsidRDefault="00014566" w:rsidP="00D73D02">
      <w:pPr>
        <w:pStyle w:val="ECHRHeading2"/>
        <w:keepNext w:val="0"/>
        <w:keepLines w:val="0"/>
        <w:rPr>
          <w:lang w:val="lv-LV"/>
        </w:rPr>
      </w:pPr>
      <w:r w:rsidRPr="00CE6CB4">
        <w:rPr>
          <w:lang w:val="lv-LV"/>
        </w:rPr>
        <w:t>C.  </w:t>
      </w:r>
      <w:r w:rsidR="008E57DA" w:rsidRPr="00CE6CB4">
        <w:rPr>
          <w:rFonts w:ascii="Times New Roman" w:hAnsi="Times New Roman" w:cs="Times New Roman"/>
          <w:szCs w:val="24"/>
          <w:lang w:val="lv-LV"/>
        </w:rPr>
        <w:t>Nokavējuma procenti</w:t>
      </w:r>
    </w:p>
    <w:p w:rsidR="008E57DA" w:rsidRPr="00CE6CB4" w:rsidRDefault="003071EE" w:rsidP="00D73D02">
      <w:pPr>
        <w:pStyle w:val="ECHRPara"/>
        <w:rPr>
          <w:rFonts w:ascii="Times New Roman" w:hAnsi="Times New Roman" w:cs="Times New Roman"/>
          <w:szCs w:val="24"/>
          <w:lang w:val="lv-LV"/>
        </w:rPr>
      </w:pPr>
      <w:r w:rsidRPr="00CE6CB4">
        <w:rPr>
          <w:lang w:val="lv-LV"/>
        </w:rPr>
        <w:fldChar w:fldCharType="begin"/>
      </w:r>
      <w:r w:rsidRPr="00CE6CB4">
        <w:rPr>
          <w:lang w:val="lv-LV"/>
        </w:rPr>
        <w:instrText xml:space="preserve"> SEQ level0 \*arabic </w:instrText>
      </w:r>
      <w:r w:rsidRPr="00CE6CB4">
        <w:rPr>
          <w:lang w:val="lv-LV"/>
        </w:rPr>
        <w:fldChar w:fldCharType="separate"/>
      </w:r>
      <w:r w:rsidR="006260D9" w:rsidRPr="00CE6CB4">
        <w:rPr>
          <w:noProof/>
          <w:lang w:val="lv-LV"/>
        </w:rPr>
        <w:t>73</w:t>
      </w:r>
      <w:r w:rsidRPr="00CE6CB4">
        <w:rPr>
          <w:lang w:val="lv-LV"/>
        </w:rPr>
        <w:fldChar w:fldCharType="end"/>
      </w:r>
      <w:r w:rsidR="00014566" w:rsidRPr="00CE6CB4">
        <w:rPr>
          <w:lang w:val="lv-LV"/>
        </w:rPr>
        <w:t>.  </w:t>
      </w:r>
      <w:r w:rsidR="008E57DA" w:rsidRPr="00CE6CB4">
        <w:rPr>
          <w:rFonts w:ascii="Times New Roman" w:hAnsi="Times New Roman" w:cs="Times New Roman"/>
          <w:szCs w:val="24"/>
          <w:lang w:val="lv-LV"/>
        </w:rPr>
        <w:t xml:space="preserve">Tiesa </w:t>
      </w:r>
      <w:r w:rsidR="008F38F4">
        <w:rPr>
          <w:rFonts w:ascii="Times New Roman" w:hAnsi="Times New Roman" w:cs="Times New Roman"/>
          <w:szCs w:val="24"/>
          <w:lang w:val="lv-LV"/>
        </w:rPr>
        <w:t>nolemj</w:t>
      </w:r>
      <w:r w:rsidR="008E57DA" w:rsidRPr="00CE6CB4">
        <w:rPr>
          <w:rFonts w:ascii="Times New Roman" w:hAnsi="Times New Roman" w:cs="Times New Roman"/>
          <w:szCs w:val="24"/>
          <w:lang w:val="lv-LV"/>
        </w:rPr>
        <w:t>, ka nokavējuma procentu likme ir jānosaka, pamatojoties uz Eiropas Centrālās bankas rezerves aizdevumu procentu likmi, tai pieskaitot trīs procentu punktus.</w:t>
      </w:r>
    </w:p>
    <w:p w:rsidR="008E57DA" w:rsidRDefault="008E57DA" w:rsidP="008E57DA">
      <w:pPr>
        <w:pStyle w:val="ECHRPara"/>
        <w:ind w:firstLine="720"/>
        <w:rPr>
          <w:rFonts w:ascii="Times New Roman" w:hAnsi="Times New Roman" w:cs="Times New Roman"/>
          <w:szCs w:val="24"/>
          <w:lang w:val="lv-LV"/>
        </w:rPr>
      </w:pPr>
    </w:p>
    <w:p w:rsidR="00F2406F" w:rsidRPr="00CE6CB4" w:rsidRDefault="00F2406F" w:rsidP="008E57DA">
      <w:pPr>
        <w:pStyle w:val="ECHRPara"/>
        <w:ind w:firstLine="720"/>
        <w:rPr>
          <w:rFonts w:ascii="Times New Roman" w:hAnsi="Times New Roman" w:cs="Times New Roman"/>
          <w:szCs w:val="24"/>
          <w:lang w:val="lv-LV"/>
        </w:rPr>
      </w:pPr>
    </w:p>
    <w:p w:rsidR="00014566" w:rsidRPr="00CE6CB4" w:rsidRDefault="008E57DA" w:rsidP="008E57DA">
      <w:pPr>
        <w:pStyle w:val="ECHRPara"/>
        <w:ind w:firstLine="720"/>
        <w:rPr>
          <w:rFonts w:ascii="Times New Roman" w:hAnsi="Times New Roman" w:cs="Times New Roman"/>
          <w:szCs w:val="24"/>
          <w:lang w:val="lv-LV"/>
        </w:rPr>
      </w:pPr>
      <w:r w:rsidRPr="00CE6CB4">
        <w:rPr>
          <w:rFonts w:ascii="Times New Roman" w:hAnsi="Times New Roman" w:cs="Times New Roman"/>
          <w:szCs w:val="24"/>
          <w:lang w:val="lv-LV"/>
        </w:rPr>
        <w:t>ŠO IEMESLU DĒĻ TIESA VIENPRĀTĪGI</w:t>
      </w:r>
    </w:p>
    <w:p w:rsidR="008E57DA" w:rsidRPr="00174822" w:rsidRDefault="008E57DA" w:rsidP="008E57DA">
      <w:pPr>
        <w:pStyle w:val="ECHRPara"/>
        <w:ind w:firstLine="720"/>
        <w:rPr>
          <w:sz w:val="14"/>
          <w:lang w:val="lv-LV"/>
        </w:rPr>
      </w:pPr>
    </w:p>
    <w:p w:rsidR="00014566" w:rsidRPr="00CE6CB4" w:rsidRDefault="00014566" w:rsidP="00D73D02">
      <w:pPr>
        <w:pStyle w:val="JuList"/>
        <w:keepNext/>
        <w:keepLines/>
        <w:rPr>
          <w:lang w:val="lv-LV"/>
        </w:rPr>
      </w:pPr>
      <w:r w:rsidRPr="00CE6CB4">
        <w:rPr>
          <w:lang w:val="lv-LV"/>
        </w:rPr>
        <w:t>1.  </w:t>
      </w:r>
      <w:r w:rsidR="008E57DA" w:rsidRPr="00CE6CB4">
        <w:rPr>
          <w:i/>
          <w:lang w:val="lv-LV"/>
        </w:rPr>
        <w:t>Atzīst</w:t>
      </w:r>
      <w:r w:rsidR="008E57DA" w:rsidRPr="00CE6CB4">
        <w:rPr>
          <w:lang w:val="lv-LV"/>
        </w:rPr>
        <w:t>, ka sūdzības atbilstoši Konvencijas 3. un 13. pantam ir pieņemamas</w:t>
      </w:r>
      <w:r w:rsidR="008F38F4">
        <w:rPr>
          <w:lang w:val="lv-LV"/>
        </w:rPr>
        <w:t xml:space="preserve"> izskatīšanai</w:t>
      </w:r>
      <w:r w:rsidR="008E57DA" w:rsidRPr="00CE6CB4">
        <w:rPr>
          <w:lang w:val="lv-LV"/>
        </w:rPr>
        <w:t xml:space="preserve">. </w:t>
      </w:r>
    </w:p>
    <w:p w:rsidR="00014566" w:rsidRPr="00174822" w:rsidRDefault="00014566" w:rsidP="00C621C2">
      <w:pPr>
        <w:pStyle w:val="JuList"/>
        <w:rPr>
          <w:sz w:val="12"/>
          <w:lang w:val="lv-LV"/>
        </w:rPr>
      </w:pPr>
    </w:p>
    <w:p w:rsidR="008E57DA" w:rsidRPr="00CE6CB4" w:rsidRDefault="00851782" w:rsidP="00C621C2">
      <w:pPr>
        <w:pStyle w:val="JuList"/>
        <w:rPr>
          <w:lang w:val="lv-LV"/>
        </w:rPr>
      </w:pPr>
      <w:r w:rsidRPr="00CE6CB4">
        <w:rPr>
          <w:lang w:val="lv-LV"/>
        </w:rPr>
        <w:t>2</w:t>
      </w:r>
      <w:r w:rsidR="00014566" w:rsidRPr="00CE6CB4">
        <w:rPr>
          <w:lang w:val="lv-LV"/>
        </w:rPr>
        <w:t>.  </w:t>
      </w:r>
      <w:r w:rsidR="008E57DA" w:rsidRPr="00CE6CB4">
        <w:rPr>
          <w:i/>
          <w:lang w:val="lv-LV"/>
        </w:rPr>
        <w:t>Nolemj</w:t>
      </w:r>
      <w:r w:rsidR="008E57DA" w:rsidRPr="00CE6CB4">
        <w:rPr>
          <w:lang w:val="lv-LV"/>
        </w:rPr>
        <w:t>, ka nav noticis Konvencijas 3. panta pārkāpums.</w:t>
      </w:r>
    </w:p>
    <w:p w:rsidR="00014566" w:rsidRPr="00174822" w:rsidRDefault="00014566" w:rsidP="00851782">
      <w:pPr>
        <w:pStyle w:val="JuList"/>
        <w:ind w:left="0" w:firstLine="0"/>
        <w:rPr>
          <w:sz w:val="12"/>
          <w:lang w:val="lv-LV"/>
        </w:rPr>
      </w:pPr>
    </w:p>
    <w:p w:rsidR="008E57DA" w:rsidRPr="00CE6CB4" w:rsidRDefault="00851782" w:rsidP="00851782">
      <w:pPr>
        <w:pStyle w:val="JuList"/>
        <w:rPr>
          <w:lang w:val="lv-LV"/>
        </w:rPr>
      </w:pPr>
      <w:r w:rsidRPr="00CE6CB4">
        <w:rPr>
          <w:lang w:val="lv-LV"/>
        </w:rPr>
        <w:t>3</w:t>
      </w:r>
      <w:r w:rsidR="00014566" w:rsidRPr="00CE6CB4">
        <w:rPr>
          <w:lang w:val="lv-LV"/>
        </w:rPr>
        <w:t>.  </w:t>
      </w:r>
      <w:r w:rsidR="008E57DA" w:rsidRPr="00CE6CB4">
        <w:rPr>
          <w:i/>
          <w:lang w:val="lv-LV"/>
        </w:rPr>
        <w:t>Nolemj</w:t>
      </w:r>
      <w:r w:rsidR="008E57DA" w:rsidRPr="00CE6CB4">
        <w:rPr>
          <w:lang w:val="lv-LV"/>
        </w:rPr>
        <w:t>, ka ir noticis Konvencijas 13. panta pārkāpums.</w:t>
      </w:r>
    </w:p>
    <w:p w:rsidR="00014566" w:rsidRPr="00174822" w:rsidRDefault="00014566" w:rsidP="00851782">
      <w:pPr>
        <w:pStyle w:val="JuList"/>
        <w:ind w:left="0" w:firstLine="0"/>
        <w:rPr>
          <w:sz w:val="12"/>
          <w:lang w:val="lv-LV"/>
        </w:rPr>
      </w:pPr>
    </w:p>
    <w:p w:rsidR="00014566" w:rsidRPr="00CE6CB4" w:rsidRDefault="00851782" w:rsidP="00C621C2">
      <w:pPr>
        <w:pStyle w:val="JuList"/>
        <w:rPr>
          <w:i/>
          <w:lang w:val="lv-LV"/>
        </w:rPr>
      </w:pPr>
      <w:r w:rsidRPr="00CE6CB4">
        <w:rPr>
          <w:lang w:val="lv-LV"/>
        </w:rPr>
        <w:t>4</w:t>
      </w:r>
      <w:r w:rsidR="00014566" w:rsidRPr="00CE6CB4">
        <w:rPr>
          <w:lang w:val="lv-LV"/>
        </w:rPr>
        <w:t>.  </w:t>
      </w:r>
      <w:r w:rsidR="008E57DA" w:rsidRPr="00CE6CB4">
        <w:rPr>
          <w:i/>
          <w:lang w:val="lv-LV"/>
        </w:rPr>
        <w:t>Nolemj,</w:t>
      </w:r>
    </w:p>
    <w:p w:rsidR="008E57DA" w:rsidRPr="00CE6CB4" w:rsidRDefault="008E57DA" w:rsidP="008E57DA">
      <w:pPr>
        <w:pStyle w:val="JuList"/>
        <w:ind w:firstLine="0"/>
        <w:rPr>
          <w:lang w:val="lv-LV"/>
        </w:rPr>
      </w:pPr>
      <w:r w:rsidRPr="00CE6CB4">
        <w:rPr>
          <w:szCs w:val="24"/>
          <w:lang w:val="lv-LV"/>
        </w:rPr>
        <w:t>(a) ka atbildētājai valstij trīs mēnešu laikā no dienas, kad spriedums saskaņā ar Konvencijas 44. panta 2. punktu ir kļuvis galīgs, jāizmaksā iesniedzējam 500 EUR (piec</w:t>
      </w:r>
      <w:r w:rsidR="008F38F4">
        <w:rPr>
          <w:szCs w:val="24"/>
          <w:lang w:val="lv-LV"/>
        </w:rPr>
        <w:t>i</w:t>
      </w:r>
      <w:r w:rsidRPr="00CE6CB4">
        <w:rPr>
          <w:szCs w:val="24"/>
          <w:lang w:val="lv-LV"/>
        </w:rPr>
        <w:t xml:space="preserve"> simti eiro) </w:t>
      </w:r>
      <w:r w:rsidRPr="00CE6CB4">
        <w:rPr>
          <w:lang w:val="lv-LV"/>
        </w:rPr>
        <w:t>kā atlīdzinājums par morālo kaitējumu, pieskaitot jebkurus ieturamos nodokļus.</w:t>
      </w:r>
    </w:p>
    <w:p w:rsidR="008E57DA" w:rsidRPr="00CE6CB4" w:rsidRDefault="008E57DA" w:rsidP="008E57DA">
      <w:pPr>
        <w:pStyle w:val="JuLista"/>
        <w:ind w:left="340"/>
        <w:rPr>
          <w:szCs w:val="24"/>
          <w:lang w:val="lv-LV"/>
        </w:rPr>
      </w:pPr>
      <w:r w:rsidRPr="00CE6CB4">
        <w:rPr>
          <w:lang w:val="lv-LV"/>
        </w:rPr>
        <w:t xml:space="preserve">(b) </w:t>
      </w:r>
      <w:r w:rsidRPr="00CE6CB4">
        <w:rPr>
          <w:szCs w:val="24"/>
          <w:lang w:val="lv-LV"/>
        </w:rPr>
        <w:t>ka, sākot no iepriekš minētā triju mēnešu termiņa iestāšanās līdz samaksas veikšanai, iepriekš minētajām summām piemēro vienkāršo procentu likmi, kas vienāda ar attiecīgajā laika periodā spēkā esošo Eiropas Centrālās bankas rezerves kreditēšanas likmi, pieskaitot tai trīs procentpunktus.</w:t>
      </w:r>
    </w:p>
    <w:p w:rsidR="00014566" w:rsidRPr="00174822" w:rsidRDefault="00014566" w:rsidP="00174822">
      <w:pPr>
        <w:pStyle w:val="JuList"/>
        <w:ind w:left="0" w:firstLine="0"/>
        <w:rPr>
          <w:sz w:val="12"/>
          <w:lang w:val="lv-LV"/>
        </w:rPr>
      </w:pPr>
    </w:p>
    <w:p w:rsidR="008E57DA" w:rsidRPr="00CE6CB4" w:rsidRDefault="00D65093" w:rsidP="00C621C2">
      <w:pPr>
        <w:pStyle w:val="JuList"/>
        <w:rPr>
          <w:i/>
          <w:lang w:val="lv-LV"/>
        </w:rPr>
      </w:pPr>
      <w:r w:rsidRPr="00CE6CB4">
        <w:rPr>
          <w:lang w:val="lv-LV"/>
        </w:rPr>
        <w:t>5</w:t>
      </w:r>
      <w:r w:rsidR="00014566" w:rsidRPr="00CE6CB4">
        <w:rPr>
          <w:lang w:val="lv-LV"/>
        </w:rPr>
        <w:t>.  </w:t>
      </w:r>
      <w:r w:rsidR="008E57DA" w:rsidRPr="00CE6CB4">
        <w:rPr>
          <w:i/>
          <w:szCs w:val="24"/>
          <w:lang w:val="lv-LV"/>
        </w:rPr>
        <w:t xml:space="preserve">Noraida </w:t>
      </w:r>
      <w:r w:rsidR="008E57DA" w:rsidRPr="00CE6CB4">
        <w:rPr>
          <w:szCs w:val="24"/>
          <w:lang w:val="lv-LV"/>
        </w:rPr>
        <w:t>iesniedzēja lūgumu par taisnīgu atlīdzību pārējā daļā</w:t>
      </w:r>
      <w:r w:rsidR="008E57DA" w:rsidRPr="00CE6CB4">
        <w:rPr>
          <w:i/>
          <w:lang w:val="lv-LV"/>
        </w:rPr>
        <w:t>.</w:t>
      </w:r>
    </w:p>
    <w:p w:rsidR="008E57DA" w:rsidRPr="00174822" w:rsidRDefault="008E57DA" w:rsidP="008E57DA">
      <w:pPr>
        <w:pStyle w:val="JuList"/>
        <w:ind w:left="0" w:firstLine="709"/>
        <w:rPr>
          <w:sz w:val="12"/>
          <w:szCs w:val="24"/>
          <w:lang w:val="lv-LV"/>
        </w:rPr>
      </w:pPr>
    </w:p>
    <w:p w:rsidR="008E57DA" w:rsidRPr="00CE6CB4" w:rsidRDefault="008E57DA" w:rsidP="008E57DA">
      <w:pPr>
        <w:pStyle w:val="JuList"/>
        <w:ind w:left="0" w:firstLine="709"/>
        <w:rPr>
          <w:szCs w:val="24"/>
          <w:lang w:val="lv-LV"/>
        </w:rPr>
      </w:pPr>
      <w:r w:rsidRPr="00CE6CB4">
        <w:rPr>
          <w:szCs w:val="24"/>
          <w:lang w:val="lv-LV"/>
        </w:rPr>
        <w:t>Sagatavots angļu valodā un rakstveidā paziņots 2014. gada 16. decembrī atbilstoši Tiesas reglamenta 77. punkta 2. un 3. apakšpunktam.</w:t>
      </w:r>
    </w:p>
    <w:p w:rsidR="008E57DA" w:rsidRPr="00CE6CB4" w:rsidRDefault="008E57DA" w:rsidP="00014566">
      <w:pPr>
        <w:pStyle w:val="JuParaLast"/>
        <w:rPr>
          <w:lang w:val="lv-LV"/>
        </w:rPr>
      </w:pPr>
    </w:p>
    <w:p w:rsidR="008E57DA" w:rsidRPr="00CE6CB4" w:rsidRDefault="008E57DA" w:rsidP="00174822">
      <w:pPr>
        <w:pStyle w:val="JuParaLast"/>
        <w:spacing w:before="0"/>
        <w:rPr>
          <w:lang w:val="lv-LV"/>
        </w:rPr>
      </w:pPr>
    </w:p>
    <w:p w:rsidR="00395AF3" w:rsidRPr="00CE6CB4" w:rsidRDefault="00014566" w:rsidP="00174822">
      <w:pPr>
        <w:pStyle w:val="JuSigned"/>
        <w:spacing w:before="0"/>
        <w:rPr>
          <w:lang w:val="lv-LV"/>
        </w:rPr>
      </w:pPr>
      <w:r w:rsidRPr="00CE6CB4">
        <w:rPr>
          <w:lang w:val="lv-LV"/>
        </w:rPr>
        <w:tab/>
      </w:r>
      <w:r w:rsidR="003071EE" w:rsidRPr="00CE6CB4">
        <w:rPr>
          <w:i/>
          <w:lang w:val="lv-LV"/>
        </w:rPr>
        <w:t>Françoise Elens-Passos</w:t>
      </w:r>
      <w:r w:rsidRPr="00CE6CB4">
        <w:rPr>
          <w:lang w:val="lv-LV"/>
        </w:rPr>
        <w:tab/>
      </w:r>
      <w:r w:rsidR="003071EE" w:rsidRPr="00CE6CB4">
        <w:rPr>
          <w:i/>
          <w:szCs w:val="24"/>
          <w:lang w:val="lv-LV"/>
        </w:rPr>
        <w:t>Päivi Hirvelä</w:t>
      </w:r>
      <w:r w:rsidR="00395AF3" w:rsidRPr="00CE6CB4">
        <w:rPr>
          <w:szCs w:val="24"/>
          <w:lang w:val="lv-LV"/>
        </w:rPr>
        <w:br/>
      </w:r>
      <w:r w:rsidRPr="00CE6CB4">
        <w:rPr>
          <w:lang w:val="lv-LV"/>
        </w:rPr>
        <w:tab/>
      </w:r>
      <w:r w:rsidR="008E57DA" w:rsidRPr="00CE6CB4">
        <w:rPr>
          <w:iCs/>
          <w:lang w:val="lv-LV"/>
        </w:rPr>
        <w:t>Sekretāre</w:t>
      </w:r>
      <w:r w:rsidRPr="00CE6CB4">
        <w:rPr>
          <w:lang w:val="lv-LV"/>
        </w:rPr>
        <w:tab/>
      </w:r>
      <w:r w:rsidR="008E57DA" w:rsidRPr="00CE6CB4">
        <w:rPr>
          <w:lang w:val="lv-LV"/>
        </w:rPr>
        <w:t>Priekšsēdētāja</w:t>
      </w:r>
    </w:p>
    <w:sectPr w:rsidR="00395AF3" w:rsidRPr="00CE6CB4" w:rsidSect="00C6433D">
      <w:headerReference w:type="even" r:id="rId14"/>
      <w:headerReference w:type="default" r:id="rId15"/>
      <w:footnotePr>
        <w:numRestart w:val="eachPage"/>
      </w:footnotePr>
      <w:pgSz w:w="11906" w:h="16838" w:code="9"/>
      <w:pgMar w:top="2274" w:right="2274" w:bottom="2127" w:left="2274" w:header="1701"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743" w:rsidRDefault="00C41743" w:rsidP="00014566">
      <w:r>
        <w:separator/>
      </w:r>
    </w:p>
  </w:endnote>
  <w:endnote w:type="continuationSeparator" w:id="0">
    <w:p w:rsidR="00C41743" w:rsidRDefault="00C41743" w:rsidP="00014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Consolas">
    <w:panose1 w:val="020B0609020204030204"/>
    <w:charset w:val="BA"/>
    <w:family w:val="modern"/>
    <w:pitch w:val="fixed"/>
    <w:sig w:usb0="E10002FF" w:usb1="4000FCFF" w:usb2="00000009" w:usb3="00000000" w:csb0="0000019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30A" w:rsidRPr="00150BFA" w:rsidRDefault="001F030A" w:rsidP="006260D9">
    <w:pPr>
      <w:jc w:val="center"/>
    </w:pPr>
    <w:r>
      <w:rPr>
        <w:noProof/>
        <w:lang w:val="lv-LV" w:eastAsia="lv-LV"/>
      </w:rPr>
      <w:drawing>
        <wp:inline distT="0" distB="0" distL="0" distR="0" wp14:anchorId="77F52746" wp14:editId="12F09D65">
          <wp:extent cx="771525" cy="619125"/>
          <wp:effectExtent l="0" t="0" r="9525" b="9525"/>
          <wp:docPr id="16" name="Picture 16"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1F030A" w:rsidRPr="006260D9" w:rsidRDefault="001F030A" w:rsidP="006260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743" w:rsidRDefault="00C41743" w:rsidP="00014566">
      <w:r>
        <w:separator/>
      </w:r>
    </w:p>
  </w:footnote>
  <w:footnote w:type="continuationSeparator" w:id="0">
    <w:p w:rsidR="00C41743" w:rsidRDefault="00C41743" w:rsidP="000145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30A" w:rsidRPr="00D04097" w:rsidRDefault="001F030A" w:rsidP="00CE1578">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30A" w:rsidRDefault="001F030A">
    <w:pPr>
      <w:pStyle w:val="Header"/>
      <w:jc w:val="center"/>
      <w:rPr>
        <w:sz w:val="4"/>
        <w:szCs w:val="4"/>
      </w:rPr>
    </w:pPr>
  </w:p>
  <w:p w:rsidR="001F030A" w:rsidRDefault="001F030A">
    <w:pPr>
      <w:pStyle w:val="Header"/>
      <w:jc w:val="center"/>
      <w:rPr>
        <w:sz w:val="4"/>
        <w:szCs w:val="4"/>
      </w:rPr>
    </w:pPr>
  </w:p>
  <w:p w:rsidR="001F030A" w:rsidRPr="00C00F0F" w:rsidRDefault="006B5DF4">
    <w:pPr>
      <w:pStyle w:val="Header"/>
      <w:jc w:val="center"/>
      <w:rPr>
        <w:sz w:val="4"/>
        <w:szCs w:val="4"/>
      </w:rPr>
    </w:pPr>
    <w:r>
      <w:rPr>
        <w:noProof/>
        <w:sz w:val="4"/>
        <w:szCs w:val="4"/>
        <w:lang w:val="lv-LV" w:eastAsia="lv-LV"/>
      </w:rPr>
      <w:drawing>
        <wp:inline distT="0" distB="0" distL="0" distR="0">
          <wp:extent cx="4095750" cy="2085975"/>
          <wp:effectExtent l="0" t="0" r="0" b="0"/>
          <wp:docPr id="1" name="Picture 1" descr="TranspDocHeaderBig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pDocHeaderBig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5750" cy="20859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30A" w:rsidRPr="00FF2306" w:rsidRDefault="001F030A" w:rsidP="00EE1DA9">
    <w:pPr>
      <w:pStyle w:val="ECHRHeader"/>
      <w:rPr>
        <w:lang w:val="en-GB"/>
      </w:rPr>
    </w:pPr>
    <w:r>
      <w:rPr>
        <w:rStyle w:val="PageNumber"/>
        <w:szCs w:val="18"/>
        <w:lang w:val="en-GB"/>
      </w:rPr>
      <w:fldChar w:fldCharType="begin"/>
    </w:r>
    <w:r>
      <w:rPr>
        <w:rStyle w:val="PageNumber"/>
        <w:szCs w:val="18"/>
        <w:lang w:val="en-GB"/>
      </w:rPr>
      <w:instrText xml:space="preserve"> PAGE </w:instrText>
    </w:r>
    <w:r>
      <w:rPr>
        <w:rStyle w:val="PageNumber"/>
        <w:szCs w:val="18"/>
        <w:lang w:val="en-GB"/>
      </w:rPr>
      <w:fldChar w:fldCharType="separate"/>
    </w:r>
    <w:r w:rsidR="006B5DF4">
      <w:rPr>
        <w:rStyle w:val="PageNumber"/>
        <w:noProof/>
        <w:szCs w:val="18"/>
        <w:lang w:val="en-GB"/>
      </w:rPr>
      <w:t>16</w:t>
    </w:r>
    <w:r>
      <w:rPr>
        <w:rStyle w:val="PageNumber"/>
        <w:szCs w:val="18"/>
        <w:lang w:val="en-GB"/>
      </w:rPr>
      <w:fldChar w:fldCharType="end"/>
    </w:r>
    <w:r w:rsidRPr="00FF2306">
      <w:rPr>
        <w:lang w:val="en-GB"/>
      </w:rPr>
      <w:tab/>
    </w:r>
    <w:r w:rsidR="00085A30">
      <w:rPr>
        <w:lang w:val="en-GB"/>
      </w:rPr>
      <w:t>SPRIEDUMS LIETĀ DMITRIJEVS pret LATVIJU</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30A" w:rsidRPr="00D60D87" w:rsidRDefault="001F030A" w:rsidP="00D60D87">
    <w:pPr>
      <w:pStyle w:val="ECHRHeader"/>
      <w:rPr>
        <w:lang w:val="en-GB"/>
      </w:rPr>
    </w:pPr>
    <w:r w:rsidRPr="00D60D87">
      <w:rPr>
        <w:lang w:val="en-GB"/>
      </w:rPr>
      <w:tab/>
    </w:r>
    <w:r w:rsidR="00085A30">
      <w:rPr>
        <w:lang w:val="en-GB"/>
      </w:rPr>
      <w:t xml:space="preserve">SPRIEDUMS LIETĀ </w:t>
    </w:r>
    <w:r>
      <w:rPr>
        <w:lang w:val="en-GB"/>
      </w:rPr>
      <w:t xml:space="preserve">DMITRIJEVS </w:t>
    </w:r>
    <w:r w:rsidR="00085A30">
      <w:rPr>
        <w:lang w:val="en-GB"/>
      </w:rPr>
      <w:t>pret LATVIJU</w:t>
    </w:r>
    <w:r w:rsidRPr="00D60D87">
      <w:rPr>
        <w:lang w:val="en-GB"/>
      </w:rPr>
      <w:tab/>
    </w:r>
    <w:r>
      <w:rPr>
        <w:rStyle w:val="PageNumber"/>
        <w:szCs w:val="18"/>
        <w:lang w:val="en-GB"/>
      </w:rPr>
      <w:fldChar w:fldCharType="begin"/>
    </w:r>
    <w:r>
      <w:rPr>
        <w:rStyle w:val="PageNumber"/>
        <w:szCs w:val="18"/>
        <w:lang w:val="en-GB"/>
      </w:rPr>
      <w:instrText xml:space="preserve"> PAGE </w:instrText>
    </w:r>
    <w:r>
      <w:rPr>
        <w:rStyle w:val="PageNumber"/>
        <w:szCs w:val="18"/>
        <w:lang w:val="en-GB"/>
      </w:rPr>
      <w:fldChar w:fldCharType="separate"/>
    </w:r>
    <w:r w:rsidR="006B5DF4">
      <w:rPr>
        <w:rStyle w:val="PageNumber"/>
        <w:noProof/>
        <w:szCs w:val="18"/>
        <w:lang w:val="en-GB"/>
      </w:rPr>
      <w:t>15</w:t>
    </w:r>
    <w:r>
      <w:rPr>
        <w:rStyle w:val="PageNumber"/>
        <w:szCs w:val="18"/>
        <w:lang w:val="en-G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0180F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0ECF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5B8BEF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F1CF73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380266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C2C34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2EC3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66B2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60110"/>
    <w:lvl w:ilvl="0">
      <w:start w:val="1"/>
      <w:numFmt w:val="decimal"/>
      <w:pStyle w:val="ListNumber"/>
      <w:lvlText w:val="%1."/>
      <w:lvlJc w:val="left"/>
      <w:pPr>
        <w:tabs>
          <w:tab w:val="num" w:pos="360"/>
        </w:tabs>
        <w:ind w:left="360" w:hanging="360"/>
      </w:pPr>
    </w:lvl>
  </w:abstractNum>
  <w:abstractNum w:abstractNumId="9" w15:restartNumberingAfterBreak="0">
    <w:nsid w:val="0066004F"/>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63F153D"/>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7737461D"/>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1"/>
  </w:num>
  <w:num w:numId="2">
    <w:abstractNumId w:val="10"/>
  </w:num>
  <w:num w:numId="3">
    <w:abstractNumId w:val="9"/>
  </w:num>
  <w:num w:numId="4">
    <w:abstractNumId w:val="13"/>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NatAutre" w:val="0"/>
    <w:docVar w:name="DocVarPREMATURE" w:val="0"/>
    <w:docVar w:name="EMM" w:val="0"/>
    <w:docVar w:name="ETRANSMISSION" w:val="BY E-TRANSMISSION ONLY"/>
    <w:docVar w:name="L4_1Annex" w:val="0"/>
    <w:docVar w:name="L4_1Anonymity" w:val="0"/>
    <w:docVar w:name="NBEMMDOC" w:val="0"/>
    <w:docVar w:name="SignForeName" w:val="0"/>
  </w:docVars>
  <w:rsids>
    <w:rsidRoot w:val="003071EE"/>
    <w:rsid w:val="000041F8"/>
    <w:rsid w:val="000042A8"/>
    <w:rsid w:val="00004308"/>
    <w:rsid w:val="00005BF0"/>
    <w:rsid w:val="000065CA"/>
    <w:rsid w:val="00007154"/>
    <w:rsid w:val="000103AE"/>
    <w:rsid w:val="00011D69"/>
    <w:rsid w:val="00012AD3"/>
    <w:rsid w:val="00012D99"/>
    <w:rsid w:val="00014566"/>
    <w:rsid w:val="00015C2D"/>
    <w:rsid w:val="00015F00"/>
    <w:rsid w:val="00020BC1"/>
    <w:rsid w:val="00022C1D"/>
    <w:rsid w:val="00024B30"/>
    <w:rsid w:val="0002583C"/>
    <w:rsid w:val="00026245"/>
    <w:rsid w:val="00026419"/>
    <w:rsid w:val="00027C30"/>
    <w:rsid w:val="000348FD"/>
    <w:rsid w:val="00034987"/>
    <w:rsid w:val="00041CF9"/>
    <w:rsid w:val="00052F7E"/>
    <w:rsid w:val="000602DF"/>
    <w:rsid w:val="000613C1"/>
    <w:rsid w:val="000615E2"/>
    <w:rsid w:val="00061B05"/>
    <w:rsid w:val="00062150"/>
    <w:rsid w:val="00062D5D"/>
    <w:rsid w:val="000632D5"/>
    <w:rsid w:val="000644EE"/>
    <w:rsid w:val="0006776D"/>
    <w:rsid w:val="00070288"/>
    <w:rsid w:val="00070ADE"/>
    <w:rsid w:val="00070AFE"/>
    <w:rsid w:val="00071002"/>
    <w:rsid w:val="00072FC1"/>
    <w:rsid w:val="00074060"/>
    <w:rsid w:val="00077EFD"/>
    <w:rsid w:val="0008252F"/>
    <w:rsid w:val="000839E2"/>
    <w:rsid w:val="00083BCC"/>
    <w:rsid w:val="00085A30"/>
    <w:rsid w:val="00090BCB"/>
    <w:rsid w:val="000925AD"/>
    <w:rsid w:val="00092FF8"/>
    <w:rsid w:val="0009333B"/>
    <w:rsid w:val="00096A60"/>
    <w:rsid w:val="000A13DF"/>
    <w:rsid w:val="000A24EB"/>
    <w:rsid w:val="000A32F2"/>
    <w:rsid w:val="000B3E46"/>
    <w:rsid w:val="000B6923"/>
    <w:rsid w:val="000C033C"/>
    <w:rsid w:val="000C4019"/>
    <w:rsid w:val="000C4244"/>
    <w:rsid w:val="000C5F3C"/>
    <w:rsid w:val="000C6DCC"/>
    <w:rsid w:val="000D0F81"/>
    <w:rsid w:val="000D1470"/>
    <w:rsid w:val="000D2206"/>
    <w:rsid w:val="000D4157"/>
    <w:rsid w:val="000D47AA"/>
    <w:rsid w:val="000D721F"/>
    <w:rsid w:val="000E069B"/>
    <w:rsid w:val="000E0E82"/>
    <w:rsid w:val="000E1DC5"/>
    <w:rsid w:val="000E223F"/>
    <w:rsid w:val="000E7D45"/>
    <w:rsid w:val="000F6AAF"/>
    <w:rsid w:val="000F7851"/>
    <w:rsid w:val="00101588"/>
    <w:rsid w:val="001039F0"/>
    <w:rsid w:val="00103E50"/>
    <w:rsid w:val="00104E23"/>
    <w:rsid w:val="00106D14"/>
    <w:rsid w:val="00110E87"/>
    <w:rsid w:val="00111B0C"/>
    <w:rsid w:val="00114612"/>
    <w:rsid w:val="00116226"/>
    <w:rsid w:val="00117565"/>
    <w:rsid w:val="00120D6C"/>
    <w:rsid w:val="001243EE"/>
    <w:rsid w:val="001257EC"/>
    <w:rsid w:val="0013186F"/>
    <w:rsid w:val="001329AE"/>
    <w:rsid w:val="001335CA"/>
    <w:rsid w:val="00133D33"/>
    <w:rsid w:val="00134D64"/>
    <w:rsid w:val="00135A30"/>
    <w:rsid w:val="0013612C"/>
    <w:rsid w:val="00136FCC"/>
    <w:rsid w:val="00137FF6"/>
    <w:rsid w:val="0014148D"/>
    <w:rsid w:val="00141650"/>
    <w:rsid w:val="00146147"/>
    <w:rsid w:val="00147059"/>
    <w:rsid w:val="00147DEB"/>
    <w:rsid w:val="00155556"/>
    <w:rsid w:val="001567BD"/>
    <w:rsid w:val="00160FB3"/>
    <w:rsid w:val="001611FC"/>
    <w:rsid w:val="00162A12"/>
    <w:rsid w:val="00163CE1"/>
    <w:rsid w:val="00166530"/>
    <w:rsid w:val="00170691"/>
    <w:rsid w:val="0017169E"/>
    <w:rsid w:val="001719E4"/>
    <w:rsid w:val="00174822"/>
    <w:rsid w:val="001768D9"/>
    <w:rsid w:val="0018057C"/>
    <w:rsid w:val="00180884"/>
    <w:rsid w:val="00181507"/>
    <w:rsid w:val="001832BD"/>
    <w:rsid w:val="001854B1"/>
    <w:rsid w:val="00186A9F"/>
    <w:rsid w:val="001943B5"/>
    <w:rsid w:val="00195134"/>
    <w:rsid w:val="00195CFC"/>
    <w:rsid w:val="001A0CD8"/>
    <w:rsid w:val="001A145B"/>
    <w:rsid w:val="001A48DF"/>
    <w:rsid w:val="001A4F45"/>
    <w:rsid w:val="001A580B"/>
    <w:rsid w:val="001A674C"/>
    <w:rsid w:val="001A6BB9"/>
    <w:rsid w:val="001A7C7B"/>
    <w:rsid w:val="001B3B24"/>
    <w:rsid w:val="001B5112"/>
    <w:rsid w:val="001B6D88"/>
    <w:rsid w:val="001C0F98"/>
    <w:rsid w:val="001C210B"/>
    <w:rsid w:val="001C2A42"/>
    <w:rsid w:val="001D20E5"/>
    <w:rsid w:val="001D63ED"/>
    <w:rsid w:val="001D7348"/>
    <w:rsid w:val="001E035B"/>
    <w:rsid w:val="001E0961"/>
    <w:rsid w:val="001E3EAE"/>
    <w:rsid w:val="001E6F32"/>
    <w:rsid w:val="001E73FB"/>
    <w:rsid w:val="001F030A"/>
    <w:rsid w:val="001F2145"/>
    <w:rsid w:val="001F2702"/>
    <w:rsid w:val="001F2C40"/>
    <w:rsid w:val="001F6262"/>
    <w:rsid w:val="001F67B0"/>
    <w:rsid w:val="001F6B33"/>
    <w:rsid w:val="001F7B3D"/>
    <w:rsid w:val="00203465"/>
    <w:rsid w:val="00205F9F"/>
    <w:rsid w:val="0020735E"/>
    <w:rsid w:val="00210338"/>
    <w:rsid w:val="002115D2"/>
    <w:rsid w:val="002115FC"/>
    <w:rsid w:val="0021423C"/>
    <w:rsid w:val="0021547D"/>
    <w:rsid w:val="00221B22"/>
    <w:rsid w:val="00222E0D"/>
    <w:rsid w:val="002243AA"/>
    <w:rsid w:val="0022787B"/>
    <w:rsid w:val="00230D00"/>
    <w:rsid w:val="002318E7"/>
    <w:rsid w:val="00231DF7"/>
    <w:rsid w:val="00231FD1"/>
    <w:rsid w:val="00232432"/>
    <w:rsid w:val="002339E0"/>
    <w:rsid w:val="00233CF8"/>
    <w:rsid w:val="0023575D"/>
    <w:rsid w:val="00237148"/>
    <w:rsid w:val="00241220"/>
    <w:rsid w:val="00241927"/>
    <w:rsid w:val="0024222D"/>
    <w:rsid w:val="00243885"/>
    <w:rsid w:val="00244B0E"/>
    <w:rsid w:val="00244F6C"/>
    <w:rsid w:val="002532C5"/>
    <w:rsid w:val="00260C03"/>
    <w:rsid w:val="002650F8"/>
    <w:rsid w:val="0026540E"/>
    <w:rsid w:val="00270271"/>
    <w:rsid w:val="00270AF2"/>
    <w:rsid w:val="00275123"/>
    <w:rsid w:val="00275235"/>
    <w:rsid w:val="00277507"/>
    <w:rsid w:val="002803AC"/>
    <w:rsid w:val="00282240"/>
    <w:rsid w:val="0028572A"/>
    <w:rsid w:val="002875C9"/>
    <w:rsid w:val="002948AD"/>
    <w:rsid w:val="00294C92"/>
    <w:rsid w:val="00295235"/>
    <w:rsid w:val="00295DF3"/>
    <w:rsid w:val="002A01CC"/>
    <w:rsid w:val="002A02A5"/>
    <w:rsid w:val="002A10FB"/>
    <w:rsid w:val="002A1E76"/>
    <w:rsid w:val="002A61B1"/>
    <w:rsid w:val="002A663C"/>
    <w:rsid w:val="002B0F43"/>
    <w:rsid w:val="002B444B"/>
    <w:rsid w:val="002B5887"/>
    <w:rsid w:val="002C0692"/>
    <w:rsid w:val="002C0E27"/>
    <w:rsid w:val="002C1A6B"/>
    <w:rsid w:val="002C3040"/>
    <w:rsid w:val="002D022D"/>
    <w:rsid w:val="002D0939"/>
    <w:rsid w:val="002D17F9"/>
    <w:rsid w:val="002D24BB"/>
    <w:rsid w:val="002D62D0"/>
    <w:rsid w:val="002D761B"/>
    <w:rsid w:val="002F2AF7"/>
    <w:rsid w:val="002F7E1C"/>
    <w:rsid w:val="00301A75"/>
    <w:rsid w:val="00302F70"/>
    <w:rsid w:val="0030336F"/>
    <w:rsid w:val="0030375E"/>
    <w:rsid w:val="003069D1"/>
    <w:rsid w:val="00306FE9"/>
    <w:rsid w:val="003071EE"/>
    <w:rsid w:val="00312544"/>
    <w:rsid w:val="00312A30"/>
    <w:rsid w:val="00320F72"/>
    <w:rsid w:val="0032463E"/>
    <w:rsid w:val="00324666"/>
    <w:rsid w:val="00326224"/>
    <w:rsid w:val="0032727C"/>
    <w:rsid w:val="003335FA"/>
    <w:rsid w:val="00333BB4"/>
    <w:rsid w:val="00334AA1"/>
    <w:rsid w:val="00337E6E"/>
    <w:rsid w:val="00337EE4"/>
    <w:rsid w:val="00340FFD"/>
    <w:rsid w:val="003506B1"/>
    <w:rsid w:val="00350C47"/>
    <w:rsid w:val="00352526"/>
    <w:rsid w:val="00354857"/>
    <w:rsid w:val="003569CD"/>
    <w:rsid w:val="00356AC7"/>
    <w:rsid w:val="00356E45"/>
    <w:rsid w:val="0036011E"/>
    <w:rsid w:val="003609FA"/>
    <w:rsid w:val="00360A40"/>
    <w:rsid w:val="00365244"/>
    <w:rsid w:val="0036545B"/>
    <w:rsid w:val="003665BC"/>
    <w:rsid w:val="003710C8"/>
    <w:rsid w:val="00373DDA"/>
    <w:rsid w:val="003750BE"/>
    <w:rsid w:val="00377850"/>
    <w:rsid w:val="003813F4"/>
    <w:rsid w:val="0038283E"/>
    <w:rsid w:val="0038568A"/>
    <w:rsid w:val="00387B9D"/>
    <w:rsid w:val="0039364F"/>
    <w:rsid w:val="00395AF3"/>
    <w:rsid w:val="0039623E"/>
    <w:rsid w:val="00396686"/>
    <w:rsid w:val="0039778E"/>
    <w:rsid w:val="003B172A"/>
    <w:rsid w:val="003B187C"/>
    <w:rsid w:val="003B4941"/>
    <w:rsid w:val="003C4262"/>
    <w:rsid w:val="003C5714"/>
    <w:rsid w:val="003C5D3A"/>
    <w:rsid w:val="003C6B9F"/>
    <w:rsid w:val="003C6E2A"/>
    <w:rsid w:val="003D0299"/>
    <w:rsid w:val="003D146C"/>
    <w:rsid w:val="003D4AFC"/>
    <w:rsid w:val="003E097A"/>
    <w:rsid w:val="003E66BD"/>
    <w:rsid w:val="003E6D80"/>
    <w:rsid w:val="003F05FA"/>
    <w:rsid w:val="003F1C02"/>
    <w:rsid w:val="003F244A"/>
    <w:rsid w:val="003F2E1D"/>
    <w:rsid w:val="003F30B8"/>
    <w:rsid w:val="003F40C7"/>
    <w:rsid w:val="003F4C45"/>
    <w:rsid w:val="003F5F7B"/>
    <w:rsid w:val="003F7381"/>
    <w:rsid w:val="003F7D64"/>
    <w:rsid w:val="00400DD6"/>
    <w:rsid w:val="00402D0F"/>
    <w:rsid w:val="004109C3"/>
    <w:rsid w:val="004125C7"/>
    <w:rsid w:val="00412FEC"/>
    <w:rsid w:val="00414300"/>
    <w:rsid w:val="004202BE"/>
    <w:rsid w:val="004202E2"/>
    <w:rsid w:val="00425C67"/>
    <w:rsid w:val="00427E7A"/>
    <w:rsid w:val="004349A3"/>
    <w:rsid w:val="00436307"/>
    <w:rsid w:val="00436C49"/>
    <w:rsid w:val="00437D37"/>
    <w:rsid w:val="00443B36"/>
    <w:rsid w:val="004441BB"/>
    <w:rsid w:val="00445100"/>
    <w:rsid w:val="00445366"/>
    <w:rsid w:val="00445832"/>
    <w:rsid w:val="00447F5B"/>
    <w:rsid w:val="00454AD2"/>
    <w:rsid w:val="00460953"/>
    <w:rsid w:val="00461250"/>
    <w:rsid w:val="00461DB0"/>
    <w:rsid w:val="00462B6C"/>
    <w:rsid w:val="0046342F"/>
    <w:rsid w:val="00463926"/>
    <w:rsid w:val="004646E0"/>
    <w:rsid w:val="00464C9A"/>
    <w:rsid w:val="004655FD"/>
    <w:rsid w:val="00465E11"/>
    <w:rsid w:val="00467C3E"/>
    <w:rsid w:val="004706E8"/>
    <w:rsid w:val="004745B2"/>
    <w:rsid w:val="00474A42"/>
    <w:rsid w:val="00474F3D"/>
    <w:rsid w:val="00475F0C"/>
    <w:rsid w:val="00477E3A"/>
    <w:rsid w:val="00480562"/>
    <w:rsid w:val="00480C84"/>
    <w:rsid w:val="00482355"/>
    <w:rsid w:val="00483E5F"/>
    <w:rsid w:val="004851EC"/>
    <w:rsid w:val="00485FF9"/>
    <w:rsid w:val="00486218"/>
    <w:rsid w:val="004907F0"/>
    <w:rsid w:val="0049140B"/>
    <w:rsid w:val="004923A5"/>
    <w:rsid w:val="0049444F"/>
    <w:rsid w:val="00496581"/>
    <w:rsid w:val="00496BFB"/>
    <w:rsid w:val="004A0F2C"/>
    <w:rsid w:val="004A15C7"/>
    <w:rsid w:val="004A222E"/>
    <w:rsid w:val="004A67F8"/>
    <w:rsid w:val="004A7D39"/>
    <w:rsid w:val="004B013B"/>
    <w:rsid w:val="004B112B"/>
    <w:rsid w:val="004C01E4"/>
    <w:rsid w:val="004C086C"/>
    <w:rsid w:val="004C1AC3"/>
    <w:rsid w:val="004C1F56"/>
    <w:rsid w:val="004C27BC"/>
    <w:rsid w:val="004C5920"/>
    <w:rsid w:val="004D119A"/>
    <w:rsid w:val="004D15F3"/>
    <w:rsid w:val="004D4E7C"/>
    <w:rsid w:val="004D5311"/>
    <w:rsid w:val="004D5DCC"/>
    <w:rsid w:val="004F0AB2"/>
    <w:rsid w:val="004F0BCC"/>
    <w:rsid w:val="004F10AF"/>
    <w:rsid w:val="004F11A4"/>
    <w:rsid w:val="004F2389"/>
    <w:rsid w:val="004F2769"/>
    <w:rsid w:val="004F304D"/>
    <w:rsid w:val="004F3C22"/>
    <w:rsid w:val="004F61BE"/>
    <w:rsid w:val="004F66B1"/>
    <w:rsid w:val="0050505A"/>
    <w:rsid w:val="00507A95"/>
    <w:rsid w:val="00511C07"/>
    <w:rsid w:val="00512415"/>
    <w:rsid w:val="005173A6"/>
    <w:rsid w:val="00520BAA"/>
    <w:rsid w:val="005220C8"/>
    <w:rsid w:val="00523281"/>
    <w:rsid w:val="00525208"/>
    <w:rsid w:val="005257A5"/>
    <w:rsid w:val="005264C0"/>
    <w:rsid w:val="00526A8A"/>
    <w:rsid w:val="00531DF2"/>
    <w:rsid w:val="0053211B"/>
    <w:rsid w:val="005442EE"/>
    <w:rsid w:val="00547353"/>
    <w:rsid w:val="005474E7"/>
    <w:rsid w:val="00547B90"/>
    <w:rsid w:val="005512A3"/>
    <w:rsid w:val="005578CE"/>
    <w:rsid w:val="00560E7D"/>
    <w:rsid w:val="00562781"/>
    <w:rsid w:val="00563E83"/>
    <w:rsid w:val="00564C1C"/>
    <w:rsid w:val="00565DAE"/>
    <w:rsid w:val="005715B6"/>
    <w:rsid w:val="00571B37"/>
    <w:rsid w:val="0057271C"/>
    <w:rsid w:val="00572845"/>
    <w:rsid w:val="00573B74"/>
    <w:rsid w:val="00573F98"/>
    <w:rsid w:val="00576600"/>
    <w:rsid w:val="00576BFD"/>
    <w:rsid w:val="005825DB"/>
    <w:rsid w:val="00590C6D"/>
    <w:rsid w:val="005913A0"/>
    <w:rsid w:val="00591EE9"/>
    <w:rsid w:val="00592772"/>
    <w:rsid w:val="0059294F"/>
    <w:rsid w:val="0059574A"/>
    <w:rsid w:val="0059591C"/>
    <w:rsid w:val="00596759"/>
    <w:rsid w:val="005A058B"/>
    <w:rsid w:val="005A1B9B"/>
    <w:rsid w:val="005A6170"/>
    <w:rsid w:val="005A6751"/>
    <w:rsid w:val="005B092E"/>
    <w:rsid w:val="005B0C20"/>
    <w:rsid w:val="005B152C"/>
    <w:rsid w:val="005B1EE0"/>
    <w:rsid w:val="005B2B24"/>
    <w:rsid w:val="005B2D04"/>
    <w:rsid w:val="005B2F50"/>
    <w:rsid w:val="005B334D"/>
    <w:rsid w:val="005B4425"/>
    <w:rsid w:val="005B4B94"/>
    <w:rsid w:val="005B75E3"/>
    <w:rsid w:val="005C32D5"/>
    <w:rsid w:val="005C3EE8"/>
    <w:rsid w:val="005C759C"/>
    <w:rsid w:val="005C798A"/>
    <w:rsid w:val="005C7E9F"/>
    <w:rsid w:val="005D34F9"/>
    <w:rsid w:val="005D4190"/>
    <w:rsid w:val="005D67A3"/>
    <w:rsid w:val="005D7D1A"/>
    <w:rsid w:val="005E23F7"/>
    <w:rsid w:val="005E2988"/>
    <w:rsid w:val="005E2A43"/>
    <w:rsid w:val="005E3085"/>
    <w:rsid w:val="005E6CB6"/>
    <w:rsid w:val="005F1450"/>
    <w:rsid w:val="005F51E1"/>
    <w:rsid w:val="005F6AD7"/>
    <w:rsid w:val="00601656"/>
    <w:rsid w:val="00604524"/>
    <w:rsid w:val="00604D15"/>
    <w:rsid w:val="0061004E"/>
    <w:rsid w:val="00611C80"/>
    <w:rsid w:val="006123E2"/>
    <w:rsid w:val="00620692"/>
    <w:rsid w:val="00622587"/>
    <w:rsid w:val="006242CA"/>
    <w:rsid w:val="00625C30"/>
    <w:rsid w:val="006260D9"/>
    <w:rsid w:val="00627507"/>
    <w:rsid w:val="006316F8"/>
    <w:rsid w:val="00633717"/>
    <w:rsid w:val="006344E1"/>
    <w:rsid w:val="0064099A"/>
    <w:rsid w:val="006434B4"/>
    <w:rsid w:val="00645919"/>
    <w:rsid w:val="006545C4"/>
    <w:rsid w:val="0065559F"/>
    <w:rsid w:val="006565D4"/>
    <w:rsid w:val="00661971"/>
    <w:rsid w:val="00661CE8"/>
    <w:rsid w:val="006623D9"/>
    <w:rsid w:val="00663A54"/>
    <w:rsid w:val="00665498"/>
    <w:rsid w:val="0066550C"/>
    <w:rsid w:val="00666C32"/>
    <w:rsid w:val="006716F2"/>
    <w:rsid w:val="00676B8E"/>
    <w:rsid w:val="0068102F"/>
    <w:rsid w:val="00682BF2"/>
    <w:rsid w:val="006859CE"/>
    <w:rsid w:val="00687DD7"/>
    <w:rsid w:val="00687DFB"/>
    <w:rsid w:val="00691237"/>
    <w:rsid w:val="00691270"/>
    <w:rsid w:val="00692FFE"/>
    <w:rsid w:val="00694BA8"/>
    <w:rsid w:val="0069550C"/>
    <w:rsid w:val="006A037C"/>
    <w:rsid w:val="006A36F4"/>
    <w:rsid w:val="006A3CD7"/>
    <w:rsid w:val="006A406F"/>
    <w:rsid w:val="006A4334"/>
    <w:rsid w:val="006A436F"/>
    <w:rsid w:val="006A5D3A"/>
    <w:rsid w:val="006B1338"/>
    <w:rsid w:val="006B5DF4"/>
    <w:rsid w:val="006B647C"/>
    <w:rsid w:val="006C23D4"/>
    <w:rsid w:val="006C45C0"/>
    <w:rsid w:val="006C627F"/>
    <w:rsid w:val="006C7BB0"/>
    <w:rsid w:val="006D0180"/>
    <w:rsid w:val="006D0396"/>
    <w:rsid w:val="006D3237"/>
    <w:rsid w:val="006E2E37"/>
    <w:rsid w:val="006E3CF1"/>
    <w:rsid w:val="006E4C2D"/>
    <w:rsid w:val="006E4E53"/>
    <w:rsid w:val="006E75AC"/>
    <w:rsid w:val="006E7E80"/>
    <w:rsid w:val="006F48CA"/>
    <w:rsid w:val="006F64DD"/>
    <w:rsid w:val="006F6F8E"/>
    <w:rsid w:val="007044AF"/>
    <w:rsid w:val="00704768"/>
    <w:rsid w:val="00707311"/>
    <w:rsid w:val="007109B9"/>
    <w:rsid w:val="00715127"/>
    <w:rsid w:val="00715723"/>
    <w:rsid w:val="00715E8E"/>
    <w:rsid w:val="00720653"/>
    <w:rsid w:val="007211FC"/>
    <w:rsid w:val="007220A0"/>
    <w:rsid w:val="00723580"/>
    <w:rsid w:val="00723755"/>
    <w:rsid w:val="0072519D"/>
    <w:rsid w:val="00726995"/>
    <w:rsid w:val="0073136C"/>
    <w:rsid w:val="00731F0F"/>
    <w:rsid w:val="00733250"/>
    <w:rsid w:val="00734A90"/>
    <w:rsid w:val="00734AF8"/>
    <w:rsid w:val="0073618D"/>
    <w:rsid w:val="00741404"/>
    <w:rsid w:val="00743D39"/>
    <w:rsid w:val="007449E5"/>
    <w:rsid w:val="00745545"/>
    <w:rsid w:val="00746C5A"/>
    <w:rsid w:val="00747877"/>
    <w:rsid w:val="00747FF0"/>
    <w:rsid w:val="007506F5"/>
    <w:rsid w:val="007515FC"/>
    <w:rsid w:val="007607BA"/>
    <w:rsid w:val="00764D4E"/>
    <w:rsid w:val="00765A1F"/>
    <w:rsid w:val="00766F22"/>
    <w:rsid w:val="0077157C"/>
    <w:rsid w:val="00771769"/>
    <w:rsid w:val="00772EB9"/>
    <w:rsid w:val="007750F9"/>
    <w:rsid w:val="00775B6D"/>
    <w:rsid w:val="00776D68"/>
    <w:rsid w:val="00781CDA"/>
    <w:rsid w:val="007850EE"/>
    <w:rsid w:val="00785B95"/>
    <w:rsid w:val="00785CA9"/>
    <w:rsid w:val="00790E96"/>
    <w:rsid w:val="00792F96"/>
    <w:rsid w:val="00793366"/>
    <w:rsid w:val="0079755F"/>
    <w:rsid w:val="00797FCE"/>
    <w:rsid w:val="007A21EF"/>
    <w:rsid w:val="007A716F"/>
    <w:rsid w:val="007A7B0D"/>
    <w:rsid w:val="007B06CC"/>
    <w:rsid w:val="007B17F1"/>
    <w:rsid w:val="007B1C1F"/>
    <w:rsid w:val="007B270A"/>
    <w:rsid w:val="007B4241"/>
    <w:rsid w:val="007B5EFB"/>
    <w:rsid w:val="007B7ACB"/>
    <w:rsid w:val="007C0695"/>
    <w:rsid w:val="007C3E9A"/>
    <w:rsid w:val="007C419A"/>
    <w:rsid w:val="007C4CC8"/>
    <w:rsid w:val="007C5426"/>
    <w:rsid w:val="007C5798"/>
    <w:rsid w:val="007D4832"/>
    <w:rsid w:val="007D50CC"/>
    <w:rsid w:val="007D5D76"/>
    <w:rsid w:val="007D5E7B"/>
    <w:rsid w:val="007E098A"/>
    <w:rsid w:val="007E21B2"/>
    <w:rsid w:val="007E229E"/>
    <w:rsid w:val="007E2C4E"/>
    <w:rsid w:val="007E7414"/>
    <w:rsid w:val="007E779C"/>
    <w:rsid w:val="007F14C7"/>
    <w:rsid w:val="007F1905"/>
    <w:rsid w:val="007F2CD7"/>
    <w:rsid w:val="007F2D45"/>
    <w:rsid w:val="007F3100"/>
    <w:rsid w:val="00801092"/>
    <w:rsid w:val="008012D3"/>
    <w:rsid w:val="00801300"/>
    <w:rsid w:val="00802C64"/>
    <w:rsid w:val="00803030"/>
    <w:rsid w:val="00804F2B"/>
    <w:rsid w:val="00805851"/>
    <w:rsid w:val="00805E52"/>
    <w:rsid w:val="008061D0"/>
    <w:rsid w:val="00806D4D"/>
    <w:rsid w:val="00810B38"/>
    <w:rsid w:val="008151D1"/>
    <w:rsid w:val="00817B8D"/>
    <w:rsid w:val="00820273"/>
    <w:rsid w:val="008204C7"/>
    <w:rsid w:val="00820992"/>
    <w:rsid w:val="00822E4A"/>
    <w:rsid w:val="00823602"/>
    <w:rsid w:val="008255F5"/>
    <w:rsid w:val="0083014E"/>
    <w:rsid w:val="0083214A"/>
    <w:rsid w:val="00834220"/>
    <w:rsid w:val="00835151"/>
    <w:rsid w:val="00841A52"/>
    <w:rsid w:val="00843453"/>
    <w:rsid w:val="00845723"/>
    <w:rsid w:val="00851782"/>
    <w:rsid w:val="00851EF9"/>
    <w:rsid w:val="00853BF1"/>
    <w:rsid w:val="00853C35"/>
    <w:rsid w:val="0085435F"/>
    <w:rsid w:val="008577FD"/>
    <w:rsid w:val="00860B03"/>
    <w:rsid w:val="00861A25"/>
    <w:rsid w:val="0086497A"/>
    <w:rsid w:val="0086763B"/>
    <w:rsid w:val="00867ED9"/>
    <w:rsid w:val="008713A1"/>
    <w:rsid w:val="00872390"/>
    <w:rsid w:val="008754AB"/>
    <w:rsid w:val="00876090"/>
    <w:rsid w:val="0088060C"/>
    <w:rsid w:val="00882856"/>
    <w:rsid w:val="00882AB9"/>
    <w:rsid w:val="00883953"/>
    <w:rsid w:val="00890C7B"/>
    <w:rsid w:val="00893576"/>
    <w:rsid w:val="00893E73"/>
    <w:rsid w:val="008A43C4"/>
    <w:rsid w:val="008A51D4"/>
    <w:rsid w:val="008A5EDB"/>
    <w:rsid w:val="008B02DC"/>
    <w:rsid w:val="008B271F"/>
    <w:rsid w:val="008B57CE"/>
    <w:rsid w:val="008C26DE"/>
    <w:rsid w:val="008C6908"/>
    <w:rsid w:val="008D030C"/>
    <w:rsid w:val="008D04BA"/>
    <w:rsid w:val="008D18CE"/>
    <w:rsid w:val="008D2225"/>
    <w:rsid w:val="008D4752"/>
    <w:rsid w:val="008E0274"/>
    <w:rsid w:val="008E0897"/>
    <w:rsid w:val="008E271C"/>
    <w:rsid w:val="008E2B8A"/>
    <w:rsid w:val="008E3B55"/>
    <w:rsid w:val="008E418E"/>
    <w:rsid w:val="008E57DA"/>
    <w:rsid w:val="008E5BC6"/>
    <w:rsid w:val="008E6A25"/>
    <w:rsid w:val="008F34EF"/>
    <w:rsid w:val="008F37D1"/>
    <w:rsid w:val="008F38F4"/>
    <w:rsid w:val="008F4318"/>
    <w:rsid w:val="008F5193"/>
    <w:rsid w:val="009005BD"/>
    <w:rsid w:val="009013A7"/>
    <w:rsid w:val="009017FB"/>
    <w:rsid w:val="009017FC"/>
    <w:rsid w:val="0090506B"/>
    <w:rsid w:val="009050C9"/>
    <w:rsid w:val="00905678"/>
    <w:rsid w:val="00905881"/>
    <w:rsid w:val="009066FC"/>
    <w:rsid w:val="00907F76"/>
    <w:rsid w:val="00911756"/>
    <w:rsid w:val="009121D5"/>
    <w:rsid w:val="00913688"/>
    <w:rsid w:val="009140A3"/>
    <w:rsid w:val="009144A2"/>
    <w:rsid w:val="0091510C"/>
    <w:rsid w:val="009151F6"/>
    <w:rsid w:val="00915C76"/>
    <w:rsid w:val="009160B9"/>
    <w:rsid w:val="00916141"/>
    <w:rsid w:val="009259AC"/>
    <w:rsid w:val="00926F38"/>
    <w:rsid w:val="009274CE"/>
    <w:rsid w:val="00933A9A"/>
    <w:rsid w:val="00934301"/>
    <w:rsid w:val="00936CD1"/>
    <w:rsid w:val="00941747"/>
    <w:rsid w:val="00941EFB"/>
    <w:rsid w:val="00944E7F"/>
    <w:rsid w:val="00947AFB"/>
    <w:rsid w:val="0095081F"/>
    <w:rsid w:val="00951D7D"/>
    <w:rsid w:val="00956B3A"/>
    <w:rsid w:val="00957DF6"/>
    <w:rsid w:val="009630C7"/>
    <w:rsid w:val="00964CC3"/>
    <w:rsid w:val="00964E55"/>
    <w:rsid w:val="0097151F"/>
    <w:rsid w:val="00972B55"/>
    <w:rsid w:val="009743B7"/>
    <w:rsid w:val="0097491A"/>
    <w:rsid w:val="00976D39"/>
    <w:rsid w:val="0098228B"/>
    <w:rsid w:val="009828DA"/>
    <w:rsid w:val="00982DC2"/>
    <w:rsid w:val="00983D74"/>
    <w:rsid w:val="00984DF1"/>
    <w:rsid w:val="00985BAB"/>
    <w:rsid w:val="00985E44"/>
    <w:rsid w:val="0099452B"/>
    <w:rsid w:val="009A1382"/>
    <w:rsid w:val="009A4A79"/>
    <w:rsid w:val="009A64E9"/>
    <w:rsid w:val="009A6EE4"/>
    <w:rsid w:val="009A7A7D"/>
    <w:rsid w:val="009B1B5F"/>
    <w:rsid w:val="009B2EC2"/>
    <w:rsid w:val="009B4A40"/>
    <w:rsid w:val="009B6673"/>
    <w:rsid w:val="009C191B"/>
    <w:rsid w:val="009C2BD6"/>
    <w:rsid w:val="009D60BF"/>
    <w:rsid w:val="009E1B6F"/>
    <w:rsid w:val="009E1F32"/>
    <w:rsid w:val="009E3A6F"/>
    <w:rsid w:val="009E5829"/>
    <w:rsid w:val="009E776C"/>
    <w:rsid w:val="009F0588"/>
    <w:rsid w:val="009F4241"/>
    <w:rsid w:val="00A06F9B"/>
    <w:rsid w:val="00A132BF"/>
    <w:rsid w:val="00A13E5E"/>
    <w:rsid w:val="00A14442"/>
    <w:rsid w:val="00A1726E"/>
    <w:rsid w:val="00A204CF"/>
    <w:rsid w:val="00A23D49"/>
    <w:rsid w:val="00A26F17"/>
    <w:rsid w:val="00A27004"/>
    <w:rsid w:val="00A30470"/>
    <w:rsid w:val="00A30789"/>
    <w:rsid w:val="00A30C29"/>
    <w:rsid w:val="00A3488F"/>
    <w:rsid w:val="00A34DD6"/>
    <w:rsid w:val="00A36819"/>
    <w:rsid w:val="00A36989"/>
    <w:rsid w:val="00A37219"/>
    <w:rsid w:val="00A37E69"/>
    <w:rsid w:val="00A4099F"/>
    <w:rsid w:val="00A41E96"/>
    <w:rsid w:val="00A4350C"/>
    <w:rsid w:val="00A43628"/>
    <w:rsid w:val="00A44237"/>
    <w:rsid w:val="00A44C53"/>
    <w:rsid w:val="00A4556F"/>
    <w:rsid w:val="00A51E96"/>
    <w:rsid w:val="00A531CA"/>
    <w:rsid w:val="00A54192"/>
    <w:rsid w:val="00A6035E"/>
    <w:rsid w:val="00A6144C"/>
    <w:rsid w:val="00A65FED"/>
    <w:rsid w:val="00A66617"/>
    <w:rsid w:val="00A6687E"/>
    <w:rsid w:val="00A671F8"/>
    <w:rsid w:val="00A673A4"/>
    <w:rsid w:val="00A70C5C"/>
    <w:rsid w:val="00A724AE"/>
    <w:rsid w:val="00A73329"/>
    <w:rsid w:val="00A82359"/>
    <w:rsid w:val="00A85B7E"/>
    <w:rsid w:val="00A865D2"/>
    <w:rsid w:val="00A8707B"/>
    <w:rsid w:val="00A91E5F"/>
    <w:rsid w:val="00A94C20"/>
    <w:rsid w:val="00A9528E"/>
    <w:rsid w:val="00A9582F"/>
    <w:rsid w:val="00A9629B"/>
    <w:rsid w:val="00AA20AE"/>
    <w:rsid w:val="00AA227F"/>
    <w:rsid w:val="00AA2924"/>
    <w:rsid w:val="00AA3BC7"/>
    <w:rsid w:val="00AA60E1"/>
    <w:rsid w:val="00AA700B"/>
    <w:rsid w:val="00AA754A"/>
    <w:rsid w:val="00AA75C2"/>
    <w:rsid w:val="00AB099E"/>
    <w:rsid w:val="00AB4328"/>
    <w:rsid w:val="00AC5B59"/>
    <w:rsid w:val="00AC6341"/>
    <w:rsid w:val="00AC689B"/>
    <w:rsid w:val="00AC6A11"/>
    <w:rsid w:val="00AC76D9"/>
    <w:rsid w:val="00AD2A38"/>
    <w:rsid w:val="00AD4380"/>
    <w:rsid w:val="00AD49A5"/>
    <w:rsid w:val="00AD49F0"/>
    <w:rsid w:val="00AE0A2E"/>
    <w:rsid w:val="00AE0BA3"/>
    <w:rsid w:val="00AE354C"/>
    <w:rsid w:val="00AE35D7"/>
    <w:rsid w:val="00AE4E7D"/>
    <w:rsid w:val="00AE6E12"/>
    <w:rsid w:val="00AF4B07"/>
    <w:rsid w:val="00AF6186"/>
    <w:rsid w:val="00AF7A3A"/>
    <w:rsid w:val="00B13BD7"/>
    <w:rsid w:val="00B13EFA"/>
    <w:rsid w:val="00B160DB"/>
    <w:rsid w:val="00B16D83"/>
    <w:rsid w:val="00B20836"/>
    <w:rsid w:val="00B235BB"/>
    <w:rsid w:val="00B24CA8"/>
    <w:rsid w:val="00B26536"/>
    <w:rsid w:val="00B27A44"/>
    <w:rsid w:val="00B30BBF"/>
    <w:rsid w:val="00B31433"/>
    <w:rsid w:val="00B33C03"/>
    <w:rsid w:val="00B346EC"/>
    <w:rsid w:val="00B40FAC"/>
    <w:rsid w:val="00B42F37"/>
    <w:rsid w:val="00B44E56"/>
    <w:rsid w:val="00B46543"/>
    <w:rsid w:val="00B4741E"/>
    <w:rsid w:val="00B47D33"/>
    <w:rsid w:val="00B52BE0"/>
    <w:rsid w:val="00B54133"/>
    <w:rsid w:val="00B54184"/>
    <w:rsid w:val="00B54C70"/>
    <w:rsid w:val="00B55B5B"/>
    <w:rsid w:val="00B701ED"/>
    <w:rsid w:val="00B766FE"/>
    <w:rsid w:val="00B76940"/>
    <w:rsid w:val="00B8017B"/>
    <w:rsid w:val="00B8086C"/>
    <w:rsid w:val="00B861B4"/>
    <w:rsid w:val="00B86DFE"/>
    <w:rsid w:val="00B90990"/>
    <w:rsid w:val="00B92166"/>
    <w:rsid w:val="00B922FF"/>
    <w:rsid w:val="00B9281E"/>
    <w:rsid w:val="00B93925"/>
    <w:rsid w:val="00B93E6B"/>
    <w:rsid w:val="00B95187"/>
    <w:rsid w:val="00BA26CE"/>
    <w:rsid w:val="00BA2D55"/>
    <w:rsid w:val="00BA71B1"/>
    <w:rsid w:val="00BB0637"/>
    <w:rsid w:val="00BB345F"/>
    <w:rsid w:val="00BB6360"/>
    <w:rsid w:val="00BB68EA"/>
    <w:rsid w:val="00BC0318"/>
    <w:rsid w:val="00BC1406"/>
    <w:rsid w:val="00BC1C27"/>
    <w:rsid w:val="00BC1F95"/>
    <w:rsid w:val="00BC6BBF"/>
    <w:rsid w:val="00BD1572"/>
    <w:rsid w:val="00BD1D3F"/>
    <w:rsid w:val="00BD4E83"/>
    <w:rsid w:val="00BE0E00"/>
    <w:rsid w:val="00BE14E3"/>
    <w:rsid w:val="00BE3774"/>
    <w:rsid w:val="00BE41E5"/>
    <w:rsid w:val="00BE7094"/>
    <w:rsid w:val="00BF4109"/>
    <w:rsid w:val="00BF4CC3"/>
    <w:rsid w:val="00BF55DA"/>
    <w:rsid w:val="00BF606F"/>
    <w:rsid w:val="00C0331D"/>
    <w:rsid w:val="00C054C7"/>
    <w:rsid w:val="00C057B5"/>
    <w:rsid w:val="00C06280"/>
    <w:rsid w:val="00C12FBF"/>
    <w:rsid w:val="00C13A14"/>
    <w:rsid w:val="00C214E9"/>
    <w:rsid w:val="00C22687"/>
    <w:rsid w:val="00C229E6"/>
    <w:rsid w:val="00C23257"/>
    <w:rsid w:val="00C32E4D"/>
    <w:rsid w:val="00C333A0"/>
    <w:rsid w:val="00C36A81"/>
    <w:rsid w:val="00C37D04"/>
    <w:rsid w:val="00C41743"/>
    <w:rsid w:val="00C41974"/>
    <w:rsid w:val="00C447AD"/>
    <w:rsid w:val="00C50360"/>
    <w:rsid w:val="00C523B0"/>
    <w:rsid w:val="00C532C4"/>
    <w:rsid w:val="00C53F4A"/>
    <w:rsid w:val="00C54125"/>
    <w:rsid w:val="00C55B54"/>
    <w:rsid w:val="00C57EF6"/>
    <w:rsid w:val="00C6098E"/>
    <w:rsid w:val="00C6125A"/>
    <w:rsid w:val="00C6152C"/>
    <w:rsid w:val="00C621C2"/>
    <w:rsid w:val="00C6260F"/>
    <w:rsid w:val="00C6433D"/>
    <w:rsid w:val="00C64637"/>
    <w:rsid w:val="00C67549"/>
    <w:rsid w:val="00C74810"/>
    <w:rsid w:val="00C860D7"/>
    <w:rsid w:val="00C90D68"/>
    <w:rsid w:val="00C939FE"/>
    <w:rsid w:val="00C94B30"/>
    <w:rsid w:val="00C9701C"/>
    <w:rsid w:val="00CA4BDA"/>
    <w:rsid w:val="00CA4F11"/>
    <w:rsid w:val="00CB1096"/>
    <w:rsid w:val="00CB1F66"/>
    <w:rsid w:val="00CB2951"/>
    <w:rsid w:val="00CC5CC1"/>
    <w:rsid w:val="00CD0B2D"/>
    <w:rsid w:val="00CD2697"/>
    <w:rsid w:val="00CD282B"/>
    <w:rsid w:val="00CD3C64"/>
    <w:rsid w:val="00CD4C35"/>
    <w:rsid w:val="00CD7369"/>
    <w:rsid w:val="00CE0B0E"/>
    <w:rsid w:val="00CE1578"/>
    <w:rsid w:val="00CE2851"/>
    <w:rsid w:val="00CE3831"/>
    <w:rsid w:val="00CE6A03"/>
    <w:rsid w:val="00CE6CB4"/>
    <w:rsid w:val="00CE76FB"/>
    <w:rsid w:val="00CF365D"/>
    <w:rsid w:val="00D00761"/>
    <w:rsid w:val="00D00ABB"/>
    <w:rsid w:val="00D02EEC"/>
    <w:rsid w:val="00D03551"/>
    <w:rsid w:val="00D06A63"/>
    <w:rsid w:val="00D076F0"/>
    <w:rsid w:val="00D07E0E"/>
    <w:rsid w:val="00D11478"/>
    <w:rsid w:val="00D117CB"/>
    <w:rsid w:val="00D1326A"/>
    <w:rsid w:val="00D136FA"/>
    <w:rsid w:val="00D14D69"/>
    <w:rsid w:val="00D15ED0"/>
    <w:rsid w:val="00D1618C"/>
    <w:rsid w:val="00D21B3E"/>
    <w:rsid w:val="00D21FED"/>
    <w:rsid w:val="00D24018"/>
    <w:rsid w:val="00D241C0"/>
    <w:rsid w:val="00D24251"/>
    <w:rsid w:val="00D30200"/>
    <w:rsid w:val="00D31394"/>
    <w:rsid w:val="00D32067"/>
    <w:rsid w:val="00D343E2"/>
    <w:rsid w:val="00D353E7"/>
    <w:rsid w:val="00D354BD"/>
    <w:rsid w:val="00D361A2"/>
    <w:rsid w:val="00D36C85"/>
    <w:rsid w:val="00D41366"/>
    <w:rsid w:val="00D414E7"/>
    <w:rsid w:val="00D423FD"/>
    <w:rsid w:val="00D4345D"/>
    <w:rsid w:val="00D43F1D"/>
    <w:rsid w:val="00D44C2E"/>
    <w:rsid w:val="00D45414"/>
    <w:rsid w:val="00D4596C"/>
    <w:rsid w:val="00D514B5"/>
    <w:rsid w:val="00D53FD3"/>
    <w:rsid w:val="00D566BD"/>
    <w:rsid w:val="00D57A4D"/>
    <w:rsid w:val="00D60AA7"/>
    <w:rsid w:val="00D60D87"/>
    <w:rsid w:val="00D642F0"/>
    <w:rsid w:val="00D6435F"/>
    <w:rsid w:val="00D65093"/>
    <w:rsid w:val="00D67E0B"/>
    <w:rsid w:val="00D73D02"/>
    <w:rsid w:val="00D7460E"/>
    <w:rsid w:val="00D75E28"/>
    <w:rsid w:val="00D772C2"/>
    <w:rsid w:val="00D8008E"/>
    <w:rsid w:val="00D82C45"/>
    <w:rsid w:val="00D8599E"/>
    <w:rsid w:val="00D86368"/>
    <w:rsid w:val="00D908A8"/>
    <w:rsid w:val="00D935E3"/>
    <w:rsid w:val="00D93C8B"/>
    <w:rsid w:val="00D95A70"/>
    <w:rsid w:val="00D977B6"/>
    <w:rsid w:val="00DA4A31"/>
    <w:rsid w:val="00DA5066"/>
    <w:rsid w:val="00DA70E5"/>
    <w:rsid w:val="00DA7B04"/>
    <w:rsid w:val="00DB36C2"/>
    <w:rsid w:val="00DB6424"/>
    <w:rsid w:val="00DC169B"/>
    <w:rsid w:val="00DC2AB9"/>
    <w:rsid w:val="00DC5322"/>
    <w:rsid w:val="00DC63F0"/>
    <w:rsid w:val="00DC7DCC"/>
    <w:rsid w:val="00DD15B1"/>
    <w:rsid w:val="00DD6EE5"/>
    <w:rsid w:val="00DE2386"/>
    <w:rsid w:val="00DE386C"/>
    <w:rsid w:val="00DE4D35"/>
    <w:rsid w:val="00DE572B"/>
    <w:rsid w:val="00DE7F36"/>
    <w:rsid w:val="00DF0549"/>
    <w:rsid w:val="00DF098B"/>
    <w:rsid w:val="00DF11C4"/>
    <w:rsid w:val="00DF210C"/>
    <w:rsid w:val="00DF35D3"/>
    <w:rsid w:val="00DF4B6A"/>
    <w:rsid w:val="00E02C09"/>
    <w:rsid w:val="00E04D59"/>
    <w:rsid w:val="00E07DA1"/>
    <w:rsid w:val="00E11104"/>
    <w:rsid w:val="00E123CB"/>
    <w:rsid w:val="00E15780"/>
    <w:rsid w:val="00E15823"/>
    <w:rsid w:val="00E20E13"/>
    <w:rsid w:val="00E218BB"/>
    <w:rsid w:val="00E21DBC"/>
    <w:rsid w:val="00E275D7"/>
    <w:rsid w:val="00E27DBE"/>
    <w:rsid w:val="00E316CF"/>
    <w:rsid w:val="00E32AB1"/>
    <w:rsid w:val="00E338D9"/>
    <w:rsid w:val="00E353F2"/>
    <w:rsid w:val="00E362D7"/>
    <w:rsid w:val="00E36C71"/>
    <w:rsid w:val="00E40404"/>
    <w:rsid w:val="00E42967"/>
    <w:rsid w:val="00E459C6"/>
    <w:rsid w:val="00E47156"/>
    <w:rsid w:val="00E47589"/>
    <w:rsid w:val="00E50F31"/>
    <w:rsid w:val="00E529CE"/>
    <w:rsid w:val="00E52A9D"/>
    <w:rsid w:val="00E53BA7"/>
    <w:rsid w:val="00E54F6E"/>
    <w:rsid w:val="00E55928"/>
    <w:rsid w:val="00E571D9"/>
    <w:rsid w:val="00E572E8"/>
    <w:rsid w:val="00E62E30"/>
    <w:rsid w:val="00E64915"/>
    <w:rsid w:val="00E661D4"/>
    <w:rsid w:val="00E70091"/>
    <w:rsid w:val="00E7089A"/>
    <w:rsid w:val="00E720F5"/>
    <w:rsid w:val="00E75E13"/>
    <w:rsid w:val="00E76D47"/>
    <w:rsid w:val="00E777B7"/>
    <w:rsid w:val="00E83137"/>
    <w:rsid w:val="00E849F7"/>
    <w:rsid w:val="00E86166"/>
    <w:rsid w:val="00E8662A"/>
    <w:rsid w:val="00E86FF1"/>
    <w:rsid w:val="00E90302"/>
    <w:rsid w:val="00E96AB9"/>
    <w:rsid w:val="00E97396"/>
    <w:rsid w:val="00EA030F"/>
    <w:rsid w:val="00EA0FE5"/>
    <w:rsid w:val="00EA185E"/>
    <w:rsid w:val="00EA466D"/>
    <w:rsid w:val="00EA4EA6"/>
    <w:rsid w:val="00EA592A"/>
    <w:rsid w:val="00EA5DD9"/>
    <w:rsid w:val="00EB14E4"/>
    <w:rsid w:val="00EB32A5"/>
    <w:rsid w:val="00EB34ED"/>
    <w:rsid w:val="00EB3A26"/>
    <w:rsid w:val="00EB7BE0"/>
    <w:rsid w:val="00EC315E"/>
    <w:rsid w:val="00EC53CA"/>
    <w:rsid w:val="00EC6180"/>
    <w:rsid w:val="00ED017B"/>
    <w:rsid w:val="00ED077C"/>
    <w:rsid w:val="00ED094B"/>
    <w:rsid w:val="00ED1190"/>
    <w:rsid w:val="00ED1575"/>
    <w:rsid w:val="00ED33CB"/>
    <w:rsid w:val="00ED5C95"/>
    <w:rsid w:val="00ED6544"/>
    <w:rsid w:val="00EE0277"/>
    <w:rsid w:val="00EE1AC8"/>
    <w:rsid w:val="00EE1DA9"/>
    <w:rsid w:val="00EE21F4"/>
    <w:rsid w:val="00EE2372"/>
    <w:rsid w:val="00EE3E00"/>
    <w:rsid w:val="00EE5DD2"/>
    <w:rsid w:val="00EF35E7"/>
    <w:rsid w:val="00EF40B9"/>
    <w:rsid w:val="00EF41F1"/>
    <w:rsid w:val="00EF4F08"/>
    <w:rsid w:val="00EF64EB"/>
    <w:rsid w:val="00F00A79"/>
    <w:rsid w:val="00F00E86"/>
    <w:rsid w:val="00F015E1"/>
    <w:rsid w:val="00F07C1E"/>
    <w:rsid w:val="00F105DB"/>
    <w:rsid w:val="00F132BC"/>
    <w:rsid w:val="00F13D80"/>
    <w:rsid w:val="00F16AAA"/>
    <w:rsid w:val="00F21017"/>
    <w:rsid w:val="00F21161"/>
    <w:rsid w:val="00F218EF"/>
    <w:rsid w:val="00F21BC7"/>
    <w:rsid w:val="00F2406F"/>
    <w:rsid w:val="00F2668C"/>
    <w:rsid w:val="00F266A2"/>
    <w:rsid w:val="00F27915"/>
    <w:rsid w:val="00F32269"/>
    <w:rsid w:val="00F36595"/>
    <w:rsid w:val="00F54081"/>
    <w:rsid w:val="00F5639E"/>
    <w:rsid w:val="00F56940"/>
    <w:rsid w:val="00F56A6F"/>
    <w:rsid w:val="00F5709C"/>
    <w:rsid w:val="00F64BBE"/>
    <w:rsid w:val="00F64EF1"/>
    <w:rsid w:val="00F66A09"/>
    <w:rsid w:val="00F77EB9"/>
    <w:rsid w:val="00F80F0C"/>
    <w:rsid w:val="00F85163"/>
    <w:rsid w:val="00F8765F"/>
    <w:rsid w:val="00F90767"/>
    <w:rsid w:val="00F92146"/>
    <w:rsid w:val="00F93D24"/>
    <w:rsid w:val="00F94ECD"/>
    <w:rsid w:val="00FA685B"/>
    <w:rsid w:val="00FA69F6"/>
    <w:rsid w:val="00FA7AEC"/>
    <w:rsid w:val="00FA7C4A"/>
    <w:rsid w:val="00FB0638"/>
    <w:rsid w:val="00FB0C01"/>
    <w:rsid w:val="00FB0EEE"/>
    <w:rsid w:val="00FB23E2"/>
    <w:rsid w:val="00FB37AD"/>
    <w:rsid w:val="00FB4BFF"/>
    <w:rsid w:val="00FB68B6"/>
    <w:rsid w:val="00FC0458"/>
    <w:rsid w:val="00FC18F2"/>
    <w:rsid w:val="00FC2399"/>
    <w:rsid w:val="00FC3557"/>
    <w:rsid w:val="00FC39E5"/>
    <w:rsid w:val="00FC3A78"/>
    <w:rsid w:val="00FC7FDE"/>
    <w:rsid w:val="00FD1005"/>
    <w:rsid w:val="00FD2835"/>
    <w:rsid w:val="00FD3180"/>
    <w:rsid w:val="00FD6C75"/>
    <w:rsid w:val="00FE71B3"/>
    <w:rsid w:val="00FF28E9"/>
    <w:rsid w:val="00FF3462"/>
    <w:rsid w:val="00FF42C5"/>
    <w:rsid w:val="00FF64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57" w:unhideWhenUsed="1"/>
    <w:lsdException w:name="footer" w:semiHidden="1" w:uiPriority="57"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5B75E3"/>
    <w:pPr>
      <w:jc w:val="both"/>
    </w:pPr>
    <w:rPr>
      <w:rFonts w:eastAsiaTheme="minorEastAsia"/>
      <w:sz w:val="24"/>
    </w:rPr>
  </w:style>
  <w:style w:type="paragraph" w:styleId="Heading1">
    <w:name w:val="heading 1"/>
    <w:basedOn w:val="Normal"/>
    <w:next w:val="Normal"/>
    <w:link w:val="Heading1Char"/>
    <w:uiPriority w:val="99"/>
    <w:semiHidden/>
    <w:rsid w:val="005B75E3"/>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9"/>
    <w:semiHidden/>
    <w:rsid w:val="005B75E3"/>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9"/>
    <w:semiHidden/>
    <w:rsid w:val="005B75E3"/>
    <w:pPr>
      <w:spacing w:before="200" w:line="271" w:lineRule="auto"/>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uiPriority w:val="99"/>
    <w:semiHidden/>
    <w:rsid w:val="005B75E3"/>
    <w:pPr>
      <w:spacing w:before="200"/>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uiPriority w:val="99"/>
    <w:semiHidden/>
    <w:qFormat/>
    <w:rsid w:val="005B75E3"/>
    <w:pPr>
      <w:spacing w:before="200"/>
      <w:outlineLvl w:val="4"/>
    </w:pPr>
    <w:rPr>
      <w:rFonts w:asciiTheme="majorHAnsi" w:eastAsiaTheme="majorEastAsia" w:hAnsiTheme="majorHAnsi" w:cstheme="majorBidi"/>
      <w:b/>
      <w:bCs/>
      <w:color w:val="808080"/>
      <w:sz w:val="22"/>
    </w:rPr>
  </w:style>
  <w:style w:type="paragraph" w:styleId="Heading6">
    <w:name w:val="heading 6"/>
    <w:basedOn w:val="Normal"/>
    <w:next w:val="Normal"/>
    <w:link w:val="Heading6Char"/>
    <w:uiPriority w:val="99"/>
    <w:semiHidden/>
    <w:rsid w:val="005B75E3"/>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uiPriority w:val="99"/>
    <w:semiHidden/>
    <w:qFormat/>
    <w:rsid w:val="005B75E3"/>
    <w:pPr>
      <w:outlineLvl w:val="6"/>
    </w:pPr>
    <w:rPr>
      <w:rFonts w:asciiTheme="majorHAnsi" w:eastAsiaTheme="majorEastAsia" w:hAnsiTheme="majorHAnsi" w:cstheme="majorBidi"/>
      <w:i/>
      <w:iCs/>
      <w:sz w:val="22"/>
      <w:lang w:bidi="en-US"/>
    </w:rPr>
  </w:style>
  <w:style w:type="paragraph" w:styleId="Heading8">
    <w:name w:val="heading 8"/>
    <w:basedOn w:val="Normal"/>
    <w:next w:val="Normal"/>
    <w:link w:val="Heading8Char"/>
    <w:uiPriority w:val="99"/>
    <w:semiHidden/>
    <w:qFormat/>
    <w:rsid w:val="005B75E3"/>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9"/>
    <w:semiHidden/>
    <w:qFormat/>
    <w:rsid w:val="005B75E3"/>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B75E3"/>
    <w:rPr>
      <w:rFonts w:ascii="Tahoma" w:hAnsi="Tahoma" w:cs="Tahoma"/>
      <w:sz w:val="16"/>
      <w:szCs w:val="16"/>
    </w:rPr>
  </w:style>
  <w:style w:type="character" w:customStyle="1" w:styleId="BalloonTextChar">
    <w:name w:val="Balloon Text Char"/>
    <w:basedOn w:val="DefaultParagraphFont"/>
    <w:link w:val="BalloonText"/>
    <w:uiPriority w:val="99"/>
    <w:semiHidden/>
    <w:rsid w:val="005B75E3"/>
    <w:rPr>
      <w:rFonts w:ascii="Tahoma" w:eastAsiaTheme="minorEastAsia" w:hAnsi="Tahoma" w:cs="Tahoma"/>
      <w:sz w:val="16"/>
      <w:szCs w:val="16"/>
    </w:rPr>
  </w:style>
  <w:style w:type="character" w:styleId="BookTitle">
    <w:name w:val="Book Title"/>
    <w:uiPriority w:val="99"/>
    <w:semiHidden/>
    <w:qFormat/>
    <w:rsid w:val="005B75E3"/>
    <w:rPr>
      <w:i/>
      <w:iCs/>
      <w:smallCaps/>
      <w:spacing w:val="5"/>
    </w:rPr>
  </w:style>
  <w:style w:type="paragraph" w:customStyle="1" w:styleId="ECHRHeader">
    <w:name w:val="ECHR_Header"/>
    <w:aliases w:val="Ju_Header"/>
    <w:basedOn w:val="Header"/>
    <w:uiPriority w:val="4"/>
    <w:qFormat/>
    <w:rsid w:val="005B75E3"/>
    <w:pPr>
      <w:tabs>
        <w:tab w:val="clear" w:pos="4536"/>
        <w:tab w:val="clear" w:pos="9072"/>
        <w:tab w:val="center" w:pos="3686"/>
        <w:tab w:val="right" w:pos="7371"/>
      </w:tabs>
      <w:jc w:val="left"/>
    </w:pPr>
    <w:rPr>
      <w:sz w:val="18"/>
    </w:rPr>
  </w:style>
  <w:style w:type="paragraph" w:customStyle="1" w:styleId="ECHRFooter">
    <w:name w:val="ECHR_Footer"/>
    <w:aliases w:val="Footer_ECHR"/>
    <w:basedOn w:val="Footer"/>
    <w:uiPriority w:val="57"/>
    <w:semiHidden/>
    <w:rsid w:val="005B75E3"/>
    <w:pPr>
      <w:jc w:val="left"/>
    </w:pPr>
    <w:rPr>
      <w:sz w:val="8"/>
    </w:rPr>
  </w:style>
  <w:style w:type="character" w:styleId="Strong">
    <w:name w:val="Strong"/>
    <w:uiPriority w:val="99"/>
    <w:semiHidden/>
    <w:qFormat/>
    <w:rsid w:val="005B75E3"/>
    <w:rPr>
      <w:b/>
      <w:bCs/>
    </w:rPr>
  </w:style>
  <w:style w:type="paragraph" w:styleId="NoSpacing">
    <w:name w:val="No Spacing"/>
    <w:basedOn w:val="Normal"/>
    <w:link w:val="NoSpacingChar"/>
    <w:semiHidden/>
    <w:qFormat/>
    <w:rsid w:val="005B75E3"/>
    <w:rPr>
      <w:sz w:val="22"/>
    </w:rPr>
  </w:style>
  <w:style w:type="character" w:customStyle="1" w:styleId="NoSpacingChar">
    <w:name w:val="No Spacing Char"/>
    <w:basedOn w:val="DefaultParagraphFont"/>
    <w:link w:val="NoSpacing"/>
    <w:semiHidden/>
    <w:rsid w:val="005B75E3"/>
    <w:rPr>
      <w:rFonts w:eastAsiaTheme="minorEastAsia"/>
    </w:rPr>
  </w:style>
  <w:style w:type="paragraph" w:customStyle="1" w:styleId="ECHRFooterLine">
    <w:name w:val="ECHR_Footer_Line"/>
    <w:aliases w:val="Footer_Line"/>
    <w:basedOn w:val="Normal"/>
    <w:next w:val="ECHRFooter"/>
    <w:uiPriority w:val="57"/>
    <w:semiHidden/>
    <w:rsid w:val="005B75E3"/>
    <w:pPr>
      <w:pBdr>
        <w:top w:val="single" w:sz="6" w:space="1" w:color="5F5F5F"/>
      </w:pBdr>
      <w:tabs>
        <w:tab w:val="center" w:pos="4536"/>
        <w:tab w:val="right" w:pos="9696"/>
      </w:tabs>
      <w:ind w:left="-680" w:right="-680"/>
      <w:jc w:val="left"/>
    </w:pPr>
    <w:rPr>
      <w:color w:val="5F5F5F"/>
    </w:rPr>
  </w:style>
  <w:style w:type="paragraph" w:customStyle="1" w:styleId="JuAppQuestion">
    <w:name w:val="Ju_App_Question"/>
    <w:basedOn w:val="Normal"/>
    <w:uiPriority w:val="5"/>
    <w:rsid w:val="005B75E3"/>
    <w:pPr>
      <w:numPr>
        <w:numId w:val="14"/>
      </w:numPr>
      <w:jc w:val="left"/>
    </w:pPr>
    <w:rPr>
      <w:b/>
    </w:rPr>
  </w:style>
  <w:style w:type="paragraph" w:customStyle="1" w:styleId="OpiPara">
    <w:name w:val="Opi_Para"/>
    <w:basedOn w:val="ECHRPara"/>
    <w:uiPriority w:val="46"/>
    <w:qFormat/>
    <w:rsid w:val="005B75E3"/>
  </w:style>
  <w:style w:type="paragraph" w:customStyle="1" w:styleId="JuParaSub">
    <w:name w:val="Ju_Para_Sub"/>
    <w:basedOn w:val="ECHRPara"/>
    <w:uiPriority w:val="13"/>
    <w:qFormat/>
    <w:rsid w:val="005B75E3"/>
    <w:pPr>
      <w:ind w:left="284"/>
    </w:pPr>
  </w:style>
  <w:style w:type="paragraph" w:customStyle="1" w:styleId="ECHRTitleCentre3">
    <w:name w:val="ECHR_Title_Centre_3"/>
    <w:aliases w:val="Ju_H_Article"/>
    <w:basedOn w:val="Normal"/>
    <w:next w:val="ECHRParaQuote"/>
    <w:uiPriority w:val="27"/>
    <w:qFormat/>
    <w:rsid w:val="005B75E3"/>
    <w:pPr>
      <w:keepNext/>
      <w:keepLines/>
      <w:spacing w:before="240" w:after="120"/>
      <w:jc w:val="center"/>
      <w:outlineLvl w:val="3"/>
    </w:pPr>
    <w:rPr>
      <w:rFonts w:asciiTheme="majorHAnsi" w:hAnsiTheme="majorHAnsi"/>
      <w:b/>
      <w:sz w:val="20"/>
      <w:lang w:bidi="en-US"/>
    </w:rPr>
  </w:style>
  <w:style w:type="paragraph" w:customStyle="1" w:styleId="ECHRTitleCentre1">
    <w:name w:val="ECHR_Title_Centre_1"/>
    <w:aliases w:val="Opi_H_Head"/>
    <w:basedOn w:val="Normal"/>
    <w:next w:val="OpiPara"/>
    <w:uiPriority w:val="39"/>
    <w:qFormat/>
    <w:rsid w:val="005B75E3"/>
    <w:pPr>
      <w:keepNext/>
      <w:keepLines/>
      <w:spacing w:after="240"/>
      <w:jc w:val="center"/>
      <w:outlineLvl w:val="0"/>
    </w:pPr>
    <w:rPr>
      <w:rFonts w:asciiTheme="majorHAnsi" w:hAnsiTheme="majorHAnsi"/>
      <w:sz w:val="28"/>
    </w:rPr>
  </w:style>
  <w:style w:type="paragraph" w:customStyle="1" w:styleId="OpiParaSub">
    <w:name w:val="Opi_Para_Sub"/>
    <w:basedOn w:val="JuParaSub"/>
    <w:uiPriority w:val="47"/>
    <w:qFormat/>
    <w:rsid w:val="005B75E3"/>
  </w:style>
  <w:style w:type="paragraph" w:customStyle="1" w:styleId="OpiQuot">
    <w:name w:val="Opi_Quot"/>
    <w:basedOn w:val="ECHRParaQuote"/>
    <w:uiPriority w:val="48"/>
    <w:qFormat/>
    <w:rsid w:val="005B75E3"/>
  </w:style>
  <w:style w:type="paragraph" w:customStyle="1" w:styleId="OpiQuotSub">
    <w:name w:val="Opi_Quot_Sub"/>
    <w:basedOn w:val="JuQuotSub"/>
    <w:uiPriority w:val="49"/>
    <w:qFormat/>
    <w:rsid w:val="005B75E3"/>
  </w:style>
  <w:style w:type="paragraph" w:customStyle="1" w:styleId="ECHRTitleCentre2">
    <w:name w:val="ECHR_Title_Centre_2"/>
    <w:aliases w:val="Dec_H_Case"/>
    <w:basedOn w:val="Normal"/>
    <w:next w:val="ECHRPara"/>
    <w:uiPriority w:val="8"/>
    <w:rsid w:val="005B75E3"/>
    <w:pPr>
      <w:spacing w:after="240"/>
      <w:jc w:val="center"/>
      <w:outlineLvl w:val="0"/>
    </w:pPr>
    <w:rPr>
      <w:rFonts w:asciiTheme="majorHAnsi" w:hAnsiTheme="majorHAnsi"/>
    </w:rPr>
  </w:style>
  <w:style w:type="paragraph" w:customStyle="1" w:styleId="JuTitle">
    <w:name w:val="Ju_Title"/>
    <w:basedOn w:val="Normal"/>
    <w:next w:val="ECHRPara"/>
    <w:uiPriority w:val="3"/>
    <w:rsid w:val="005B75E3"/>
    <w:pPr>
      <w:spacing w:before="720" w:after="240"/>
      <w:jc w:val="center"/>
      <w:outlineLvl w:val="0"/>
    </w:pPr>
    <w:rPr>
      <w:rFonts w:asciiTheme="majorHAnsi" w:hAnsiTheme="majorHAnsi"/>
      <w:b/>
      <w:caps/>
    </w:rPr>
  </w:style>
  <w:style w:type="paragraph" w:styleId="Title">
    <w:name w:val="Title"/>
    <w:basedOn w:val="Normal"/>
    <w:next w:val="Normal"/>
    <w:link w:val="TitleChar"/>
    <w:uiPriority w:val="99"/>
    <w:semiHidden/>
    <w:qFormat/>
    <w:rsid w:val="005B75E3"/>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9"/>
    <w:semiHidden/>
    <w:rsid w:val="005B75E3"/>
    <w:rPr>
      <w:rFonts w:asciiTheme="majorHAnsi" w:eastAsiaTheme="majorEastAsia" w:hAnsiTheme="majorHAnsi" w:cstheme="majorBidi"/>
      <w:spacing w:val="5"/>
      <w:sz w:val="52"/>
      <w:szCs w:val="52"/>
      <w:lang w:bidi="en-US"/>
    </w:rPr>
  </w:style>
  <w:style w:type="paragraph" w:customStyle="1" w:styleId="ECHRHeading3">
    <w:name w:val="ECHR_Heading_3"/>
    <w:aliases w:val="Ju_H_1."/>
    <w:basedOn w:val="Heading3"/>
    <w:next w:val="ECHRPara"/>
    <w:uiPriority w:val="21"/>
    <w:qFormat/>
    <w:rsid w:val="005B75E3"/>
    <w:pPr>
      <w:keepNext/>
      <w:keepLines/>
      <w:tabs>
        <w:tab w:val="left" w:pos="731"/>
      </w:tabs>
      <w:spacing w:before="240" w:after="120" w:line="240" w:lineRule="auto"/>
      <w:ind w:left="732" w:hanging="301"/>
    </w:pPr>
    <w:rPr>
      <w:b w:val="0"/>
      <w:i/>
      <w:color w:val="auto"/>
    </w:rPr>
  </w:style>
  <w:style w:type="paragraph" w:customStyle="1" w:styleId="ECHRHeading4">
    <w:name w:val="ECHR_Heading_4"/>
    <w:aliases w:val="Ju_H_a"/>
    <w:basedOn w:val="Heading4"/>
    <w:next w:val="ECHRPara"/>
    <w:uiPriority w:val="22"/>
    <w:qFormat/>
    <w:rsid w:val="005B75E3"/>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Heading5"/>
    <w:next w:val="ECHRPara"/>
    <w:uiPriority w:val="23"/>
    <w:qFormat/>
    <w:rsid w:val="005B75E3"/>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Heading6"/>
    <w:next w:val="ECHRPara"/>
    <w:uiPriority w:val="24"/>
    <w:qFormat/>
    <w:rsid w:val="005B75E3"/>
    <w:pPr>
      <w:keepNext/>
      <w:keepLines/>
      <w:tabs>
        <w:tab w:val="left" w:pos="1372"/>
      </w:tabs>
      <w:spacing w:before="240" w:after="120" w:line="240" w:lineRule="auto"/>
      <w:ind w:left="1373" w:hanging="335"/>
    </w:pPr>
    <w:rPr>
      <w:b w:val="0"/>
      <w:color w:val="auto"/>
      <w:sz w:val="20"/>
    </w:rPr>
  </w:style>
  <w:style w:type="paragraph" w:customStyle="1" w:styleId="ECHRHeading7">
    <w:name w:val="ECHR_Heading_7"/>
    <w:aliases w:val="Ju_H_–"/>
    <w:basedOn w:val="Heading7"/>
    <w:next w:val="ECHRPara"/>
    <w:uiPriority w:val="25"/>
    <w:qFormat/>
    <w:rsid w:val="005B75E3"/>
    <w:pPr>
      <w:keepNext/>
      <w:keepLines/>
      <w:spacing w:before="240" w:after="120"/>
      <w:ind w:left="1236"/>
    </w:pPr>
    <w:rPr>
      <w:sz w:val="20"/>
    </w:rPr>
  </w:style>
  <w:style w:type="paragraph" w:customStyle="1" w:styleId="JuQuotSub">
    <w:name w:val="Ju_Quot_Sub"/>
    <w:basedOn w:val="ECHRParaQuote"/>
    <w:uiPriority w:val="15"/>
    <w:qFormat/>
    <w:rsid w:val="005B75E3"/>
    <w:pPr>
      <w:ind w:left="567"/>
    </w:pPr>
  </w:style>
  <w:style w:type="paragraph" w:customStyle="1" w:styleId="JuInitialled">
    <w:name w:val="Ju_Initialled"/>
    <w:basedOn w:val="Normal"/>
    <w:uiPriority w:val="31"/>
    <w:qFormat/>
    <w:rsid w:val="005B75E3"/>
    <w:pPr>
      <w:tabs>
        <w:tab w:val="center" w:pos="6407"/>
      </w:tabs>
      <w:spacing w:before="720"/>
      <w:jc w:val="right"/>
    </w:pPr>
  </w:style>
  <w:style w:type="paragraph" w:customStyle="1" w:styleId="OpiHA">
    <w:name w:val="Opi_H_A"/>
    <w:basedOn w:val="ECHRHeading1"/>
    <w:next w:val="OpiPara"/>
    <w:uiPriority w:val="41"/>
    <w:qFormat/>
    <w:rsid w:val="005B75E3"/>
    <w:pPr>
      <w:tabs>
        <w:tab w:val="clear" w:pos="357"/>
      </w:tabs>
      <w:outlineLvl w:val="1"/>
    </w:pPr>
    <w:rPr>
      <w:b/>
    </w:rPr>
  </w:style>
  <w:style w:type="paragraph" w:styleId="Header">
    <w:name w:val="header"/>
    <w:basedOn w:val="Normal"/>
    <w:link w:val="HeaderChar"/>
    <w:uiPriority w:val="57"/>
    <w:semiHidden/>
    <w:rsid w:val="005B75E3"/>
    <w:pPr>
      <w:tabs>
        <w:tab w:val="center" w:pos="4536"/>
        <w:tab w:val="right" w:pos="9072"/>
      </w:tabs>
    </w:pPr>
    <w:rPr>
      <w:rFonts w:eastAsiaTheme="minorHAnsi"/>
    </w:rPr>
  </w:style>
  <w:style w:type="character" w:customStyle="1" w:styleId="HeaderChar">
    <w:name w:val="Header Char"/>
    <w:basedOn w:val="DefaultParagraphFont"/>
    <w:link w:val="Header"/>
    <w:uiPriority w:val="57"/>
    <w:semiHidden/>
    <w:rsid w:val="005B75E3"/>
    <w:rPr>
      <w:sz w:val="24"/>
    </w:rPr>
  </w:style>
  <w:style w:type="character" w:customStyle="1" w:styleId="Heading1Char">
    <w:name w:val="Heading 1 Char"/>
    <w:basedOn w:val="DefaultParagraphFont"/>
    <w:link w:val="Heading1"/>
    <w:uiPriority w:val="99"/>
    <w:semiHidden/>
    <w:rsid w:val="005B75E3"/>
    <w:rPr>
      <w:rFonts w:asciiTheme="majorHAnsi" w:eastAsiaTheme="majorEastAsia" w:hAnsiTheme="majorHAnsi" w:cstheme="majorBidi"/>
      <w:b/>
      <w:bCs/>
      <w:color w:val="333333"/>
      <w:sz w:val="28"/>
      <w:szCs w:val="28"/>
    </w:rPr>
  </w:style>
  <w:style w:type="paragraph" w:customStyle="1" w:styleId="ECHRHeading1">
    <w:name w:val="ECHR_Heading_1"/>
    <w:aliases w:val="Ju_H_I_Roman"/>
    <w:basedOn w:val="Heading1"/>
    <w:next w:val="ECHRPara"/>
    <w:uiPriority w:val="19"/>
    <w:qFormat/>
    <w:rsid w:val="005B75E3"/>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Heading2"/>
    <w:next w:val="ECHRPara"/>
    <w:uiPriority w:val="20"/>
    <w:qFormat/>
    <w:rsid w:val="005B75E3"/>
    <w:pPr>
      <w:keepNext/>
      <w:keepLines/>
      <w:tabs>
        <w:tab w:val="left" w:pos="584"/>
      </w:tabs>
      <w:spacing w:before="360" w:after="240"/>
      <w:ind w:left="584" w:hanging="352"/>
    </w:pPr>
    <w:rPr>
      <w:color w:val="auto"/>
      <w:sz w:val="24"/>
    </w:rPr>
  </w:style>
  <w:style w:type="character" w:customStyle="1" w:styleId="Heading2Char">
    <w:name w:val="Heading 2 Char"/>
    <w:basedOn w:val="DefaultParagraphFont"/>
    <w:link w:val="Heading2"/>
    <w:uiPriority w:val="99"/>
    <w:semiHidden/>
    <w:rsid w:val="005B75E3"/>
    <w:rPr>
      <w:rFonts w:asciiTheme="majorHAnsi" w:eastAsiaTheme="majorEastAsia" w:hAnsiTheme="majorHAnsi" w:cstheme="majorBidi"/>
      <w:b/>
      <w:bCs/>
      <w:color w:val="4D4D4D"/>
      <w:sz w:val="26"/>
      <w:szCs w:val="26"/>
    </w:rPr>
  </w:style>
  <w:style w:type="character" w:customStyle="1" w:styleId="JUNAMES">
    <w:name w:val="JU_NAMES"/>
    <w:uiPriority w:val="17"/>
    <w:qFormat/>
    <w:rsid w:val="005B75E3"/>
    <w:rPr>
      <w:caps w:val="0"/>
      <w:smallCaps/>
    </w:rPr>
  </w:style>
  <w:style w:type="paragraph" w:customStyle="1" w:styleId="JuCase">
    <w:name w:val="Ju_Case"/>
    <w:basedOn w:val="Normal"/>
    <w:next w:val="ECHRPara"/>
    <w:uiPriority w:val="10"/>
    <w:rsid w:val="005B75E3"/>
    <w:pPr>
      <w:ind w:firstLine="284"/>
    </w:pPr>
    <w:rPr>
      <w:b/>
    </w:rPr>
  </w:style>
  <w:style w:type="character" w:customStyle="1" w:styleId="Heading3Char">
    <w:name w:val="Heading 3 Char"/>
    <w:basedOn w:val="DefaultParagraphFont"/>
    <w:link w:val="Heading3"/>
    <w:uiPriority w:val="99"/>
    <w:semiHidden/>
    <w:rsid w:val="005B75E3"/>
    <w:rPr>
      <w:rFonts w:asciiTheme="majorHAnsi" w:eastAsiaTheme="majorEastAsia" w:hAnsiTheme="majorHAnsi" w:cstheme="majorBidi"/>
      <w:b/>
      <w:bCs/>
      <w:color w:val="5F5F5F"/>
      <w:sz w:val="24"/>
    </w:rPr>
  </w:style>
  <w:style w:type="character" w:customStyle="1" w:styleId="Heading4Char">
    <w:name w:val="Heading 4 Char"/>
    <w:basedOn w:val="DefaultParagraphFont"/>
    <w:link w:val="Heading4"/>
    <w:uiPriority w:val="99"/>
    <w:semiHidden/>
    <w:rsid w:val="005B75E3"/>
    <w:rPr>
      <w:rFonts w:asciiTheme="majorHAnsi" w:eastAsiaTheme="majorEastAsia" w:hAnsiTheme="majorHAnsi" w:cstheme="majorBidi"/>
      <w:b/>
      <w:bCs/>
      <w:i/>
      <w:iCs/>
      <w:color w:val="777777"/>
      <w:sz w:val="24"/>
    </w:rPr>
  </w:style>
  <w:style w:type="character" w:customStyle="1" w:styleId="Heading5Char">
    <w:name w:val="Heading 5 Char"/>
    <w:basedOn w:val="DefaultParagraphFont"/>
    <w:link w:val="Heading5"/>
    <w:uiPriority w:val="99"/>
    <w:semiHidden/>
    <w:rsid w:val="005B75E3"/>
    <w:rPr>
      <w:rFonts w:asciiTheme="majorHAnsi" w:eastAsiaTheme="majorEastAsia" w:hAnsiTheme="majorHAnsi" w:cstheme="majorBidi"/>
      <w:b/>
      <w:bCs/>
      <w:color w:val="808080"/>
    </w:rPr>
  </w:style>
  <w:style w:type="character" w:styleId="SubtleEmphasis">
    <w:name w:val="Subtle Emphasis"/>
    <w:uiPriority w:val="99"/>
    <w:semiHidden/>
    <w:qFormat/>
    <w:rsid w:val="005B75E3"/>
    <w:rPr>
      <w:i/>
      <w:iCs/>
    </w:rPr>
  </w:style>
  <w:style w:type="table" w:customStyle="1" w:styleId="ECHRTable">
    <w:name w:val="ECHR_Table"/>
    <w:basedOn w:val="TableNormal"/>
    <w:rsid w:val="00860B03"/>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4C086C"/>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ECHRTitle1">
    <w:name w:val="ECHR_Title_1"/>
    <w:aliases w:val="Ju_H_Head"/>
    <w:basedOn w:val="Normal"/>
    <w:next w:val="ECHRPara"/>
    <w:qFormat/>
    <w:rsid w:val="005B75E3"/>
    <w:pPr>
      <w:keepNext/>
      <w:keepLines/>
      <w:spacing w:before="720" w:after="240"/>
      <w:outlineLvl w:val="0"/>
    </w:pPr>
    <w:rPr>
      <w:rFonts w:asciiTheme="majorHAnsi" w:hAnsiTheme="majorHAnsi"/>
      <w:sz w:val="28"/>
    </w:rPr>
  </w:style>
  <w:style w:type="character" w:styleId="Emphasis">
    <w:name w:val="Emphasis"/>
    <w:uiPriority w:val="99"/>
    <w:semiHidden/>
    <w:qFormat/>
    <w:rsid w:val="005B75E3"/>
    <w:rPr>
      <w:b/>
      <w:bCs/>
      <w:i/>
      <w:iCs/>
      <w:spacing w:val="10"/>
      <w:bdr w:val="none" w:sz="0" w:space="0" w:color="auto"/>
      <w:shd w:val="clear" w:color="auto" w:fill="auto"/>
    </w:rPr>
  </w:style>
  <w:style w:type="paragraph" w:styleId="Footer">
    <w:name w:val="footer"/>
    <w:basedOn w:val="Normal"/>
    <w:link w:val="FooterChar"/>
    <w:uiPriority w:val="57"/>
    <w:semiHidden/>
    <w:rsid w:val="005B75E3"/>
    <w:pPr>
      <w:tabs>
        <w:tab w:val="center" w:pos="4536"/>
        <w:tab w:val="right" w:pos="9696"/>
      </w:tabs>
      <w:ind w:left="-680" w:right="-680"/>
    </w:pPr>
    <w:rPr>
      <w:rFonts w:eastAsiaTheme="minorHAnsi"/>
    </w:rPr>
  </w:style>
  <w:style w:type="character" w:customStyle="1" w:styleId="FooterChar">
    <w:name w:val="Footer Char"/>
    <w:basedOn w:val="DefaultParagraphFont"/>
    <w:link w:val="Footer"/>
    <w:uiPriority w:val="57"/>
    <w:semiHidden/>
    <w:rsid w:val="005B75E3"/>
    <w:rPr>
      <w:sz w:val="24"/>
    </w:rPr>
  </w:style>
  <w:style w:type="character" w:styleId="FootnoteReference">
    <w:name w:val="footnote reference"/>
    <w:basedOn w:val="DefaultParagraphFont"/>
    <w:semiHidden/>
    <w:rsid w:val="005B75E3"/>
    <w:rPr>
      <w:vertAlign w:val="superscript"/>
    </w:rPr>
  </w:style>
  <w:style w:type="paragraph" w:styleId="FootnoteText">
    <w:name w:val="footnote text"/>
    <w:basedOn w:val="Normal"/>
    <w:link w:val="FootnoteTextChar"/>
    <w:semiHidden/>
    <w:rsid w:val="005B75E3"/>
    <w:rPr>
      <w:sz w:val="20"/>
      <w:szCs w:val="20"/>
    </w:rPr>
  </w:style>
  <w:style w:type="character" w:customStyle="1" w:styleId="FootnoteTextChar">
    <w:name w:val="Footnote Text Char"/>
    <w:basedOn w:val="DefaultParagraphFont"/>
    <w:link w:val="FootnoteText"/>
    <w:uiPriority w:val="99"/>
    <w:semiHidden/>
    <w:rsid w:val="005B75E3"/>
    <w:rPr>
      <w:rFonts w:eastAsiaTheme="minorEastAsia"/>
      <w:sz w:val="20"/>
      <w:szCs w:val="20"/>
    </w:rPr>
  </w:style>
  <w:style w:type="character" w:customStyle="1" w:styleId="Heading6Char">
    <w:name w:val="Heading 6 Char"/>
    <w:basedOn w:val="DefaultParagraphFont"/>
    <w:link w:val="Heading6"/>
    <w:uiPriority w:val="99"/>
    <w:semiHidden/>
    <w:rsid w:val="005B75E3"/>
    <w:rPr>
      <w:rFonts w:asciiTheme="majorHAnsi" w:eastAsiaTheme="majorEastAsia" w:hAnsiTheme="majorHAnsi" w:cstheme="majorBidi"/>
      <w:b/>
      <w:bCs/>
      <w:i/>
      <w:iCs/>
      <w:color w:val="7F7F7F" w:themeColor="text1" w:themeTint="80"/>
      <w:sz w:val="24"/>
      <w:lang w:bidi="en-US"/>
    </w:rPr>
  </w:style>
  <w:style w:type="character" w:customStyle="1" w:styleId="Heading7Char">
    <w:name w:val="Heading 7 Char"/>
    <w:basedOn w:val="DefaultParagraphFont"/>
    <w:link w:val="Heading7"/>
    <w:uiPriority w:val="99"/>
    <w:semiHidden/>
    <w:rsid w:val="005B75E3"/>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9"/>
    <w:semiHidden/>
    <w:rsid w:val="005B75E3"/>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9"/>
    <w:semiHidden/>
    <w:rsid w:val="005B75E3"/>
    <w:rPr>
      <w:rFonts w:asciiTheme="majorHAnsi" w:eastAsiaTheme="majorEastAsia" w:hAnsiTheme="majorHAnsi" w:cstheme="majorBidi"/>
      <w:i/>
      <w:iCs/>
      <w:spacing w:val="5"/>
      <w:sz w:val="20"/>
      <w:szCs w:val="20"/>
      <w:lang w:bidi="en-US"/>
    </w:rPr>
  </w:style>
  <w:style w:type="character" w:styleId="Hyperlink">
    <w:name w:val="Hyperlink"/>
    <w:basedOn w:val="DefaultParagraphFont"/>
    <w:uiPriority w:val="99"/>
    <w:semiHidden/>
    <w:rsid w:val="005B75E3"/>
    <w:rPr>
      <w:color w:val="0072BC" w:themeColor="hyperlink"/>
      <w:u w:val="single"/>
    </w:rPr>
  </w:style>
  <w:style w:type="character" w:styleId="IntenseEmphasis">
    <w:name w:val="Intense Emphasis"/>
    <w:uiPriority w:val="99"/>
    <w:semiHidden/>
    <w:qFormat/>
    <w:rsid w:val="005B75E3"/>
    <w:rPr>
      <w:b/>
      <w:bCs/>
    </w:rPr>
  </w:style>
  <w:style w:type="paragraph" w:styleId="IntenseQuote">
    <w:name w:val="Intense Quote"/>
    <w:basedOn w:val="Normal"/>
    <w:next w:val="Normal"/>
    <w:link w:val="IntenseQuoteChar"/>
    <w:uiPriority w:val="99"/>
    <w:semiHidden/>
    <w:qFormat/>
    <w:rsid w:val="005B75E3"/>
    <w:pPr>
      <w:pBdr>
        <w:bottom w:val="single" w:sz="4" w:space="1" w:color="auto"/>
      </w:pBdr>
      <w:spacing w:before="200" w:after="280"/>
      <w:ind w:left="1008" w:right="1152"/>
    </w:pPr>
    <w:rPr>
      <w:b/>
      <w:bCs/>
      <w:i/>
      <w:iCs/>
      <w:sz w:val="22"/>
      <w:lang w:bidi="en-US"/>
    </w:rPr>
  </w:style>
  <w:style w:type="character" w:customStyle="1" w:styleId="IntenseQuoteChar">
    <w:name w:val="Intense Quote Char"/>
    <w:basedOn w:val="DefaultParagraphFont"/>
    <w:link w:val="IntenseQuote"/>
    <w:uiPriority w:val="99"/>
    <w:semiHidden/>
    <w:rsid w:val="005B75E3"/>
    <w:rPr>
      <w:rFonts w:eastAsiaTheme="minorEastAsia"/>
      <w:b/>
      <w:bCs/>
      <w:i/>
      <w:iCs/>
      <w:lang w:bidi="en-US"/>
    </w:rPr>
  </w:style>
  <w:style w:type="character" w:styleId="IntenseReference">
    <w:name w:val="Intense Reference"/>
    <w:uiPriority w:val="99"/>
    <w:semiHidden/>
    <w:qFormat/>
    <w:rsid w:val="005B75E3"/>
    <w:rPr>
      <w:smallCaps/>
      <w:spacing w:val="5"/>
      <w:u w:val="single"/>
    </w:rPr>
  </w:style>
  <w:style w:type="paragraph" w:styleId="ListParagraph">
    <w:name w:val="List Paragraph"/>
    <w:basedOn w:val="Normal"/>
    <w:uiPriority w:val="99"/>
    <w:semiHidden/>
    <w:qFormat/>
    <w:rsid w:val="005B75E3"/>
    <w:pPr>
      <w:ind w:left="720"/>
      <w:contextualSpacing/>
    </w:pPr>
  </w:style>
  <w:style w:type="table" w:customStyle="1" w:styleId="LtrTableAddress">
    <w:name w:val="Ltr_Table_Address"/>
    <w:basedOn w:val="TableNormal"/>
    <w:uiPriority w:val="99"/>
    <w:rsid w:val="001E6F32"/>
    <w:tblPr>
      <w:tblInd w:w="5103" w:type="dxa"/>
    </w:tblPr>
  </w:style>
  <w:style w:type="paragraph" w:styleId="Quote">
    <w:name w:val="Quote"/>
    <w:basedOn w:val="Normal"/>
    <w:next w:val="Normal"/>
    <w:link w:val="QuoteChar"/>
    <w:uiPriority w:val="99"/>
    <w:semiHidden/>
    <w:qFormat/>
    <w:rsid w:val="005B75E3"/>
    <w:pPr>
      <w:spacing w:before="200"/>
      <w:ind w:left="360" w:right="360"/>
    </w:pPr>
    <w:rPr>
      <w:i/>
      <w:iCs/>
      <w:sz w:val="22"/>
      <w:lang w:bidi="en-US"/>
    </w:rPr>
  </w:style>
  <w:style w:type="character" w:customStyle="1" w:styleId="QuoteChar">
    <w:name w:val="Quote Char"/>
    <w:basedOn w:val="DefaultParagraphFont"/>
    <w:link w:val="Quote"/>
    <w:uiPriority w:val="99"/>
    <w:semiHidden/>
    <w:rsid w:val="005B75E3"/>
    <w:rPr>
      <w:rFonts w:eastAsiaTheme="minorEastAsia"/>
      <w:i/>
      <w:iCs/>
      <w:lang w:bidi="en-US"/>
    </w:rPr>
  </w:style>
  <w:style w:type="character" w:styleId="SubtleReference">
    <w:name w:val="Subtle Reference"/>
    <w:uiPriority w:val="99"/>
    <w:semiHidden/>
    <w:qFormat/>
    <w:rsid w:val="005B75E3"/>
    <w:rPr>
      <w:smallCaps/>
    </w:rPr>
  </w:style>
  <w:style w:type="table" w:styleId="TableGrid">
    <w:name w:val="Table Grid"/>
    <w:basedOn w:val="TableNormal"/>
    <w:uiPriority w:val="59"/>
    <w:semiHidden/>
    <w:rsid w:val="005B75E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5B75E3"/>
    <w:pPr>
      <w:spacing w:before="120" w:after="60"/>
      <w:ind w:left="340" w:right="340" w:hanging="340"/>
    </w:pPr>
    <w:rPr>
      <w:color w:val="0D0D0D" w:themeColor="text1" w:themeTint="F2"/>
    </w:rPr>
  </w:style>
  <w:style w:type="paragraph" w:styleId="TOC2">
    <w:name w:val="toc 2"/>
    <w:basedOn w:val="Normal"/>
    <w:next w:val="Normal"/>
    <w:autoRedefine/>
    <w:uiPriority w:val="99"/>
    <w:semiHidden/>
    <w:rsid w:val="005B75E3"/>
    <w:pPr>
      <w:spacing w:after="60"/>
      <w:ind w:left="680" w:right="340" w:hanging="340"/>
    </w:pPr>
  </w:style>
  <w:style w:type="paragraph" w:styleId="TOC3">
    <w:name w:val="toc 3"/>
    <w:basedOn w:val="Normal"/>
    <w:next w:val="Normal"/>
    <w:autoRedefine/>
    <w:uiPriority w:val="99"/>
    <w:semiHidden/>
    <w:rsid w:val="005B75E3"/>
    <w:pPr>
      <w:spacing w:after="60"/>
      <w:ind w:left="1020" w:right="340" w:hanging="340"/>
    </w:pPr>
  </w:style>
  <w:style w:type="paragraph" w:styleId="TOC4">
    <w:name w:val="toc 4"/>
    <w:basedOn w:val="Normal"/>
    <w:next w:val="Normal"/>
    <w:autoRedefine/>
    <w:uiPriority w:val="99"/>
    <w:semiHidden/>
    <w:rsid w:val="005B75E3"/>
    <w:pPr>
      <w:tabs>
        <w:tab w:val="right" w:leader="dot" w:pos="9017"/>
      </w:tabs>
      <w:spacing w:after="60"/>
      <w:ind w:left="1361" w:right="340" w:hanging="340"/>
    </w:pPr>
  </w:style>
  <w:style w:type="paragraph" w:styleId="TOC5">
    <w:name w:val="toc 5"/>
    <w:basedOn w:val="Normal"/>
    <w:next w:val="Normal"/>
    <w:autoRedefine/>
    <w:uiPriority w:val="99"/>
    <w:semiHidden/>
    <w:rsid w:val="005B75E3"/>
    <w:pPr>
      <w:spacing w:after="60"/>
      <w:ind w:left="1701" w:right="340" w:hanging="340"/>
    </w:pPr>
  </w:style>
  <w:style w:type="paragraph" w:styleId="TOCHeading">
    <w:name w:val="TOC Heading"/>
    <w:basedOn w:val="Heading1"/>
    <w:next w:val="Normal"/>
    <w:uiPriority w:val="99"/>
    <w:semiHidden/>
    <w:qFormat/>
    <w:rsid w:val="005B75E3"/>
    <w:pPr>
      <w:outlineLvl w:val="9"/>
    </w:pPr>
    <w:rPr>
      <w:color w:val="474747" w:themeColor="accent3" w:themeShade="BF"/>
    </w:rPr>
  </w:style>
  <w:style w:type="table" w:customStyle="1" w:styleId="UGTable">
    <w:name w:val="UG_Table"/>
    <w:basedOn w:val="TableNormal"/>
    <w:uiPriority w:val="99"/>
    <w:rsid w:val="00801300"/>
    <w:rPr>
      <w:rFonts w:eastAsiaTheme="minorEastAsia"/>
      <w:sz w:val="20"/>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TableNormal"/>
    <w:uiPriority w:val="99"/>
    <w:rsid w:val="00801300"/>
    <w:rPr>
      <w:rFonts w:eastAsiaTheme="minorEastAsia"/>
      <w:lang w:val="en-GB"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TableNormal"/>
    <w:uiPriority w:val="99"/>
    <w:rsid w:val="00810B38"/>
    <w:rPr>
      <w:color w:val="000000" w:themeColor="text1"/>
      <w:sz w:val="18"/>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210338"/>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TableNormal"/>
    <w:uiPriority w:val="99"/>
    <w:rsid w:val="0090506B"/>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9"/>
    <w:semiHidden/>
    <w:rsid w:val="005B75E3"/>
    <w:pPr>
      <w:spacing w:before="120"/>
    </w:pPr>
    <w:rPr>
      <w:rFonts w:asciiTheme="majorHAnsi" w:eastAsiaTheme="majorEastAsia" w:hAnsiTheme="majorHAnsi" w:cstheme="majorBidi"/>
      <w:b/>
      <w:bCs/>
      <w:color w:val="474747" w:themeColor="accent3" w:themeShade="BF"/>
      <w:szCs w:val="24"/>
    </w:rPr>
  </w:style>
  <w:style w:type="paragraph" w:customStyle="1" w:styleId="ECHRParaQuote">
    <w:name w:val="ECHR_Para_Quote"/>
    <w:aliases w:val="Ju_Quot"/>
    <w:basedOn w:val="Normal"/>
    <w:qFormat/>
    <w:rsid w:val="005B75E3"/>
    <w:pPr>
      <w:spacing w:before="120" w:after="120"/>
      <w:ind w:left="425" w:firstLine="142"/>
    </w:pPr>
    <w:rPr>
      <w:sz w:val="20"/>
    </w:rPr>
  </w:style>
  <w:style w:type="paragraph" w:customStyle="1" w:styleId="ECHRPara">
    <w:name w:val="ECHR_Para"/>
    <w:aliases w:val="Ju_Para"/>
    <w:basedOn w:val="Normal"/>
    <w:link w:val="ECHRParaChar"/>
    <w:uiPriority w:val="12"/>
    <w:qFormat/>
    <w:rsid w:val="005B75E3"/>
    <w:pPr>
      <w:ind w:firstLine="284"/>
    </w:pPr>
  </w:style>
  <w:style w:type="table" w:customStyle="1" w:styleId="ECHRTableSimpleBox">
    <w:name w:val="ECHR_Table_Simple_Box"/>
    <w:basedOn w:val="TableNormal"/>
    <w:uiPriority w:val="99"/>
    <w:rsid w:val="00AE354C"/>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F218EF"/>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ForInternalUse">
    <w:name w:val="ECHR_Table_For_Internal_Use"/>
    <w:basedOn w:val="TableNormal"/>
    <w:uiPriority w:val="99"/>
    <w:rsid w:val="005474E7"/>
    <w:rPr>
      <w:color w:val="636363" w:themeColor="text2" w:themeShade="80"/>
      <w:sz w:val="18"/>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5B75E3"/>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table" w:customStyle="1" w:styleId="ECHRHeaderTable">
    <w:name w:val="ECHR_Header_Table"/>
    <w:basedOn w:val="TableNormal"/>
    <w:uiPriority w:val="99"/>
    <w:rsid w:val="00661971"/>
    <w:tblPr>
      <w:tblInd w:w="-680"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TableNormal"/>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customStyle="1" w:styleId="ECHRDecisionBody">
    <w:name w:val="ECHR_Decision_Body"/>
    <w:aliases w:val="Ju_Judges"/>
    <w:basedOn w:val="Normal"/>
    <w:uiPriority w:val="11"/>
    <w:qFormat/>
    <w:rsid w:val="005B75E3"/>
    <w:pPr>
      <w:tabs>
        <w:tab w:val="left" w:pos="567"/>
        <w:tab w:val="left" w:pos="1134"/>
      </w:tabs>
      <w:jc w:val="left"/>
    </w:pPr>
  </w:style>
  <w:style w:type="table" w:customStyle="1" w:styleId="ECHRHeaderTableReduced">
    <w:name w:val="ECHR_Header_Table_Reduced"/>
    <w:basedOn w:val="TableNormal"/>
    <w:uiPriority w:val="99"/>
    <w:rsid w:val="00B52BE0"/>
    <w:tblPr>
      <w:tblInd w:w="-680" w:type="dxa"/>
      <w:tblCellMar>
        <w:left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List">
    <w:name w:val="Ju_List"/>
    <w:basedOn w:val="Normal"/>
    <w:uiPriority w:val="28"/>
    <w:qFormat/>
    <w:rsid w:val="005B75E3"/>
    <w:pPr>
      <w:ind w:left="340" w:hanging="340"/>
    </w:pPr>
  </w:style>
  <w:style w:type="paragraph" w:customStyle="1" w:styleId="JuSigned">
    <w:name w:val="Ju_Signed"/>
    <w:basedOn w:val="Normal"/>
    <w:next w:val="JuParaLast"/>
    <w:qFormat/>
    <w:rsid w:val="005B75E3"/>
    <w:pPr>
      <w:tabs>
        <w:tab w:val="center" w:pos="851"/>
        <w:tab w:val="center" w:pos="6407"/>
      </w:tabs>
      <w:spacing w:before="720"/>
      <w:jc w:val="left"/>
    </w:pPr>
  </w:style>
  <w:style w:type="paragraph" w:customStyle="1" w:styleId="JuParaLast">
    <w:name w:val="Ju_Para_Last"/>
    <w:basedOn w:val="Normal"/>
    <w:next w:val="ECHRPara"/>
    <w:qFormat/>
    <w:rsid w:val="005B75E3"/>
    <w:pPr>
      <w:keepNext/>
      <w:keepLines/>
      <w:spacing w:before="240"/>
      <w:ind w:firstLine="284"/>
    </w:pPr>
  </w:style>
  <w:style w:type="paragraph" w:customStyle="1" w:styleId="OpiTranslation">
    <w:name w:val="Opi_Translation"/>
    <w:basedOn w:val="Normal"/>
    <w:next w:val="OpiPara"/>
    <w:uiPriority w:val="40"/>
    <w:qFormat/>
    <w:rsid w:val="005B75E3"/>
    <w:pPr>
      <w:jc w:val="center"/>
      <w:outlineLvl w:val="0"/>
    </w:pPr>
    <w:rPr>
      <w:i/>
    </w:rPr>
  </w:style>
  <w:style w:type="character" w:styleId="PageNumber">
    <w:name w:val="page number"/>
    <w:uiPriority w:val="99"/>
    <w:semiHidden/>
    <w:rsid w:val="00014566"/>
    <w:rPr>
      <w:sz w:val="18"/>
    </w:rPr>
  </w:style>
  <w:style w:type="paragraph" w:customStyle="1" w:styleId="JuLista">
    <w:name w:val="Ju_List_a"/>
    <w:basedOn w:val="JuList"/>
    <w:uiPriority w:val="28"/>
    <w:qFormat/>
    <w:rsid w:val="005B75E3"/>
    <w:pPr>
      <w:ind w:left="346" w:firstLine="0"/>
    </w:pPr>
  </w:style>
  <w:style w:type="paragraph" w:customStyle="1" w:styleId="JuListi">
    <w:name w:val="Ju_List_i"/>
    <w:basedOn w:val="Normal"/>
    <w:next w:val="JuLista"/>
    <w:qFormat/>
    <w:rsid w:val="005B75E3"/>
    <w:pPr>
      <w:ind w:left="794"/>
    </w:pPr>
  </w:style>
  <w:style w:type="character" w:styleId="CommentReference">
    <w:name w:val="annotation reference"/>
    <w:semiHidden/>
    <w:rsid w:val="00014566"/>
    <w:rPr>
      <w:sz w:val="16"/>
    </w:rPr>
  </w:style>
  <w:style w:type="paragraph" w:styleId="CommentText">
    <w:name w:val="annotation text"/>
    <w:basedOn w:val="Normal"/>
    <w:link w:val="CommentTextChar"/>
    <w:semiHidden/>
    <w:rsid w:val="00014566"/>
    <w:rPr>
      <w:sz w:val="20"/>
    </w:rPr>
  </w:style>
  <w:style w:type="character" w:customStyle="1" w:styleId="CommentTextChar">
    <w:name w:val="Comment Text Char"/>
    <w:basedOn w:val="DefaultParagraphFont"/>
    <w:link w:val="CommentText"/>
    <w:uiPriority w:val="99"/>
    <w:semiHidden/>
    <w:rsid w:val="00014566"/>
    <w:rPr>
      <w:rFonts w:eastAsiaTheme="minorEastAsia"/>
      <w:sz w:val="20"/>
    </w:rPr>
  </w:style>
  <w:style w:type="paragraph" w:styleId="CommentSubject">
    <w:name w:val="annotation subject"/>
    <w:basedOn w:val="CommentText"/>
    <w:next w:val="CommentText"/>
    <w:link w:val="CommentSubjectChar"/>
    <w:uiPriority w:val="99"/>
    <w:semiHidden/>
    <w:rsid w:val="00014566"/>
    <w:rPr>
      <w:b/>
      <w:bCs/>
    </w:rPr>
  </w:style>
  <w:style w:type="character" w:customStyle="1" w:styleId="CommentSubjectChar">
    <w:name w:val="Comment Subject Char"/>
    <w:basedOn w:val="CommentTextChar"/>
    <w:link w:val="CommentSubject"/>
    <w:uiPriority w:val="99"/>
    <w:semiHidden/>
    <w:rsid w:val="00014566"/>
    <w:rPr>
      <w:rFonts w:eastAsiaTheme="minorEastAsia"/>
      <w:b/>
      <w:bCs/>
      <w:sz w:val="20"/>
    </w:rPr>
  </w:style>
  <w:style w:type="character" w:styleId="EndnoteReference">
    <w:name w:val="endnote reference"/>
    <w:uiPriority w:val="99"/>
    <w:semiHidden/>
    <w:rsid w:val="00014566"/>
    <w:rPr>
      <w:vertAlign w:val="superscript"/>
    </w:rPr>
  </w:style>
  <w:style w:type="paragraph" w:styleId="EndnoteText">
    <w:name w:val="endnote text"/>
    <w:basedOn w:val="Normal"/>
    <w:link w:val="EndnoteTextChar"/>
    <w:uiPriority w:val="99"/>
    <w:semiHidden/>
    <w:rsid w:val="00014566"/>
    <w:rPr>
      <w:sz w:val="20"/>
    </w:rPr>
  </w:style>
  <w:style w:type="character" w:customStyle="1" w:styleId="EndnoteTextChar">
    <w:name w:val="Endnote Text Char"/>
    <w:basedOn w:val="DefaultParagraphFont"/>
    <w:link w:val="EndnoteText"/>
    <w:uiPriority w:val="99"/>
    <w:semiHidden/>
    <w:rsid w:val="00014566"/>
    <w:rPr>
      <w:rFonts w:eastAsiaTheme="minorEastAsia"/>
      <w:sz w:val="20"/>
    </w:rPr>
  </w:style>
  <w:style w:type="character" w:styleId="FollowedHyperlink">
    <w:name w:val="FollowedHyperlink"/>
    <w:uiPriority w:val="99"/>
    <w:semiHidden/>
    <w:rsid w:val="00014566"/>
    <w:rPr>
      <w:color w:val="800080"/>
      <w:u w:val="single"/>
    </w:rPr>
  </w:style>
  <w:style w:type="paragraph" w:styleId="DocumentMap">
    <w:name w:val="Document Map"/>
    <w:basedOn w:val="Normal"/>
    <w:link w:val="DocumentMapChar"/>
    <w:uiPriority w:val="99"/>
    <w:semiHidden/>
    <w:rsid w:val="00014566"/>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014566"/>
    <w:rPr>
      <w:rFonts w:ascii="Tahoma" w:eastAsiaTheme="minorEastAsia" w:hAnsi="Tahoma" w:cs="Tahoma"/>
      <w:sz w:val="20"/>
      <w:shd w:val="clear" w:color="auto" w:fill="000080"/>
    </w:rPr>
  </w:style>
  <w:style w:type="paragraph" w:customStyle="1" w:styleId="DecHTitle">
    <w:name w:val="Dec_H_Title"/>
    <w:basedOn w:val="ECHRTitleCentre1"/>
    <w:uiPriority w:val="7"/>
    <w:rsid w:val="005B75E3"/>
  </w:style>
  <w:style w:type="paragraph" w:styleId="ListBullet">
    <w:name w:val="List Bullet"/>
    <w:basedOn w:val="Normal"/>
    <w:uiPriority w:val="99"/>
    <w:semiHidden/>
    <w:rsid w:val="00014566"/>
    <w:pPr>
      <w:numPr>
        <w:numId w:val="1"/>
      </w:numPr>
    </w:pPr>
  </w:style>
  <w:style w:type="character" w:customStyle="1" w:styleId="JuITMark">
    <w:name w:val="Ju_ITMark"/>
    <w:basedOn w:val="DefaultParagraphFont"/>
    <w:uiPriority w:val="38"/>
    <w:qFormat/>
    <w:rsid w:val="005B75E3"/>
    <w:rPr>
      <w:vanish w:val="0"/>
      <w:color w:val="auto"/>
      <w:sz w:val="14"/>
    </w:rPr>
  </w:style>
  <w:style w:type="paragraph" w:styleId="Subtitle">
    <w:name w:val="Subtitle"/>
    <w:basedOn w:val="Normal"/>
    <w:next w:val="Normal"/>
    <w:link w:val="SubtitleChar"/>
    <w:uiPriority w:val="99"/>
    <w:semiHidden/>
    <w:qFormat/>
    <w:rsid w:val="005B75E3"/>
    <w:pPr>
      <w:spacing w:after="600"/>
    </w:pPr>
    <w:rPr>
      <w:rFonts w:asciiTheme="majorHAnsi" w:eastAsiaTheme="majorEastAsia" w:hAnsiTheme="majorHAnsi" w:cstheme="majorBidi"/>
      <w:i/>
      <w:iCs/>
      <w:spacing w:val="13"/>
      <w:szCs w:val="24"/>
      <w:lang w:bidi="en-US"/>
    </w:rPr>
  </w:style>
  <w:style w:type="character" w:customStyle="1" w:styleId="SubtitleChar">
    <w:name w:val="Subtitle Char"/>
    <w:basedOn w:val="DefaultParagraphFont"/>
    <w:link w:val="Subtitle"/>
    <w:uiPriority w:val="99"/>
    <w:semiHidden/>
    <w:rsid w:val="005B75E3"/>
    <w:rPr>
      <w:rFonts w:asciiTheme="majorHAnsi" w:eastAsiaTheme="majorEastAsia" w:hAnsiTheme="majorHAnsi" w:cstheme="majorBidi"/>
      <w:i/>
      <w:iCs/>
      <w:spacing w:val="13"/>
      <w:sz w:val="24"/>
      <w:szCs w:val="24"/>
      <w:lang w:bidi="en-US"/>
    </w:rPr>
  </w:style>
  <w:style w:type="numbering" w:styleId="111111">
    <w:name w:val="Outline List 2"/>
    <w:basedOn w:val="NoList"/>
    <w:uiPriority w:val="99"/>
    <w:semiHidden/>
    <w:rsid w:val="00014566"/>
    <w:pPr>
      <w:numPr>
        <w:numId w:val="2"/>
      </w:numPr>
    </w:pPr>
  </w:style>
  <w:style w:type="numbering" w:styleId="1ai">
    <w:name w:val="Outline List 1"/>
    <w:basedOn w:val="NoList"/>
    <w:uiPriority w:val="99"/>
    <w:semiHidden/>
    <w:rsid w:val="00014566"/>
    <w:pPr>
      <w:numPr>
        <w:numId w:val="3"/>
      </w:numPr>
    </w:pPr>
  </w:style>
  <w:style w:type="numbering" w:styleId="ArticleSection">
    <w:name w:val="Outline List 3"/>
    <w:basedOn w:val="NoList"/>
    <w:uiPriority w:val="99"/>
    <w:semiHidden/>
    <w:rsid w:val="00014566"/>
    <w:pPr>
      <w:numPr>
        <w:numId w:val="4"/>
      </w:numPr>
    </w:pPr>
  </w:style>
  <w:style w:type="paragraph" w:styleId="Bibliography">
    <w:name w:val="Bibliography"/>
    <w:basedOn w:val="Normal"/>
    <w:next w:val="Normal"/>
    <w:uiPriority w:val="99"/>
    <w:semiHidden/>
    <w:unhideWhenUsed/>
    <w:rsid w:val="00014566"/>
  </w:style>
  <w:style w:type="paragraph" w:styleId="BlockText">
    <w:name w:val="Block Text"/>
    <w:basedOn w:val="Normal"/>
    <w:uiPriority w:val="99"/>
    <w:semiHidden/>
    <w:rsid w:val="00014566"/>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BodyText">
    <w:name w:val="Body Text"/>
    <w:basedOn w:val="Normal"/>
    <w:link w:val="BodyTextChar"/>
    <w:uiPriority w:val="99"/>
    <w:semiHidden/>
    <w:rsid w:val="00014566"/>
    <w:pPr>
      <w:spacing w:after="120"/>
    </w:pPr>
  </w:style>
  <w:style w:type="character" w:customStyle="1" w:styleId="BodyTextChar">
    <w:name w:val="Body Text Char"/>
    <w:basedOn w:val="DefaultParagraphFont"/>
    <w:link w:val="BodyText"/>
    <w:uiPriority w:val="99"/>
    <w:semiHidden/>
    <w:rsid w:val="00014566"/>
    <w:rPr>
      <w:rFonts w:eastAsiaTheme="minorEastAsia"/>
      <w:sz w:val="24"/>
    </w:rPr>
  </w:style>
  <w:style w:type="paragraph" w:styleId="BodyText2">
    <w:name w:val="Body Text 2"/>
    <w:basedOn w:val="Normal"/>
    <w:link w:val="BodyText2Char"/>
    <w:uiPriority w:val="99"/>
    <w:semiHidden/>
    <w:rsid w:val="00014566"/>
    <w:pPr>
      <w:spacing w:after="120" w:line="480" w:lineRule="auto"/>
    </w:pPr>
  </w:style>
  <w:style w:type="character" w:customStyle="1" w:styleId="BodyText2Char">
    <w:name w:val="Body Text 2 Char"/>
    <w:basedOn w:val="DefaultParagraphFont"/>
    <w:link w:val="BodyText2"/>
    <w:uiPriority w:val="99"/>
    <w:semiHidden/>
    <w:rsid w:val="00014566"/>
    <w:rPr>
      <w:rFonts w:eastAsiaTheme="minorEastAsia"/>
      <w:sz w:val="24"/>
    </w:rPr>
  </w:style>
  <w:style w:type="paragraph" w:styleId="BodyText3">
    <w:name w:val="Body Text 3"/>
    <w:basedOn w:val="Normal"/>
    <w:link w:val="BodyText3Char"/>
    <w:uiPriority w:val="99"/>
    <w:semiHidden/>
    <w:rsid w:val="00014566"/>
    <w:pPr>
      <w:spacing w:after="120"/>
    </w:pPr>
    <w:rPr>
      <w:sz w:val="16"/>
      <w:szCs w:val="16"/>
    </w:rPr>
  </w:style>
  <w:style w:type="character" w:customStyle="1" w:styleId="BodyText3Char">
    <w:name w:val="Body Text 3 Char"/>
    <w:basedOn w:val="DefaultParagraphFont"/>
    <w:link w:val="BodyText3"/>
    <w:uiPriority w:val="99"/>
    <w:semiHidden/>
    <w:rsid w:val="00014566"/>
    <w:rPr>
      <w:rFonts w:eastAsiaTheme="minorEastAsia"/>
      <w:sz w:val="16"/>
      <w:szCs w:val="16"/>
    </w:rPr>
  </w:style>
  <w:style w:type="paragraph" w:styleId="BodyTextFirstIndent">
    <w:name w:val="Body Text First Indent"/>
    <w:basedOn w:val="BodyText"/>
    <w:link w:val="BodyTextFirstIndentChar"/>
    <w:uiPriority w:val="99"/>
    <w:semiHidden/>
    <w:rsid w:val="00014566"/>
    <w:pPr>
      <w:spacing w:after="0"/>
      <w:ind w:firstLine="360"/>
    </w:pPr>
  </w:style>
  <w:style w:type="character" w:customStyle="1" w:styleId="BodyTextFirstIndentChar">
    <w:name w:val="Body Text First Indent Char"/>
    <w:basedOn w:val="BodyTextChar"/>
    <w:link w:val="BodyTextFirstIndent"/>
    <w:uiPriority w:val="99"/>
    <w:semiHidden/>
    <w:rsid w:val="00014566"/>
    <w:rPr>
      <w:rFonts w:eastAsiaTheme="minorEastAsia"/>
      <w:sz w:val="24"/>
    </w:rPr>
  </w:style>
  <w:style w:type="paragraph" w:styleId="BodyTextIndent">
    <w:name w:val="Body Text Indent"/>
    <w:basedOn w:val="Normal"/>
    <w:link w:val="BodyTextIndentChar"/>
    <w:uiPriority w:val="99"/>
    <w:semiHidden/>
    <w:rsid w:val="00014566"/>
    <w:pPr>
      <w:spacing w:after="120"/>
      <w:ind w:left="283"/>
    </w:pPr>
  </w:style>
  <w:style w:type="character" w:customStyle="1" w:styleId="BodyTextIndentChar">
    <w:name w:val="Body Text Indent Char"/>
    <w:basedOn w:val="DefaultParagraphFont"/>
    <w:link w:val="BodyTextIndent"/>
    <w:uiPriority w:val="99"/>
    <w:semiHidden/>
    <w:rsid w:val="00014566"/>
    <w:rPr>
      <w:rFonts w:eastAsiaTheme="minorEastAsia"/>
      <w:sz w:val="24"/>
    </w:rPr>
  </w:style>
  <w:style w:type="paragraph" w:styleId="BodyTextFirstIndent2">
    <w:name w:val="Body Text First Indent 2"/>
    <w:basedOn w:val="BodyTextIndent"/>
    <w:link w:val="BodyTextFirstIndent2Char"/>
    <w:uiPriority w:val="99"/>
    <w:semiHidden/>
    <w:rsid w:val="00014566"/>
    <w:pPr>
      <w:spacing w:after="0"/>
      <w:ind w:left="360" w:firstLine="360"/>
    </w:pPr>
  </w:style>
  <w:style w:type="character" w:customStyle="1" w:styleId="BodyTextFirstIndent2Char">
    <w:name w:val="Body Text First Indent 2 Char"/>
    <w:basedOn w:val="BodyTextIndentChar"/>
    <w:link w:val="BodyTextFirstIndent2"/>
    <w:uiPriority w:val="99"/>
    <w:semiHidden/>
    <w:rsid w:val="00014566"/>
    <w:rPr>
      <w:rFonts w:eastAsiaTheme="minorEastAsia"/>
      <w:sz w:val="24"/>
    </w:rPr>
  </w:style>
  <w:style w:type="paragraph" w:styleId="BodyTextIndent2">
    <w:name w:val="Body Text Indent 2"/>
    <w:basedOn w:val="Normal"/>
    <w:link w:val="BodyTextIndent2Char"/>
    <w:uiPriority w:val="99"/>
    <w:semiHidden/>
    <w:rsid w:val="00014566"/>
    <w:pPr>
      <w:spacing w:after="120" w:line="480" w:lineRule="auto"/>
      <w:ind w:left="283"/>
    </w:pPr>
  </w:style>
  <w:style w:type="character" w:customStyle="1" w:styleId="BodyTextIndent2Char">
    <w:name w:val="Body Text Indent 2 Char"/>
    <w:basedOn w:val="DefaultParagraphFont"/>
    <w:link w:val="BodyTextIndent2"/>
    <w:uiPriority w:val="99"/>
    <w:semiHidden/>
    <w:rsid w:val="00014566"/>
    <w:rPr>
      <w:rFonts w:eastAsiaTheme="minorEastAsia"/>
      <w:sz w:val="24"/>
    </w:rPr>
  </w:style>
  <w:style w:type="paragraph" w:styleId="BodyTextIndent3">
    <w:name w:val="Body Text Indent 3"/>
    <w:basedOn w:val="Normal"/>
    <w:link w:val="BodyTextIndent3Char"/>
    <w:uiPriority w:val="99"/>
    <w:semiHidden/>
    <w:rsid w:val="0001456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14566"/>
    <w:rPr>
      <w:rFonts w:eastAsiaTheme="minorEastAsia"/>
      <w:sz w:val="16"/>
      <w:szCs w:val="16"/>
    </w:rPr>
  </w:style>
  <w:style w:type="paragraph" w:styleId="Caption">
    <w:name w:val="caption"/>
    <w:basedOn w:val="Normal"/>
    <w:next w:val="Normal"/>
    <w:uiPriority w:val="99"/>
    <w:semiHidden/>
    <w:qFormat/>
    <w:rsid w:val="00014566"/>
    <w:pPr>
      <w:spacing w:after="200"/>
    </w:pPr>
    <w:rPr>
      <w:b/>
      <w:bCs/>
      <w:color w:val="0072BC" w:themeColor="accent1"/>
      <w:sz w:val="18"/>
      <w:szCs w:val="18"/>
    </w:rPr>
  </w:style>
  <w:style w:type="paragraph" w:styleId="Closing">
    <w:name w:val="Closing"/>
    <w:basedOn w:val="Normal"/>
    <w:link w:val="ClosingChar"/>
    <w:uiPriority w:val="99"/>
    <w:semiHidden/>
    <w:rsid w:val="00014566"/>
    <w:pPr>
      <w:ind w:left="4252"/>
    </w:pPr>
  </w:style>
  <w:style w:type="character" w:customStyle="1" w:styleId="ClosingChar">
    <w:name w:val="Closing Char"/>
    <w:basedOn w:val="DefaultParagraphFont"/>
    <w:link w:val="Closing"/>
    <w:uiPriority w:val="99"/>
    <w:semiHidden/>
    <w:rsid w:val="00014566"/>
    <w:rPr>
      <w:rFonts w:eastAsiaTheme="minorEastAsia"/>
      <w:sz w:val="24"/>
    </w:rPr>
  </w:style>
  <w:style w:type="table" w:styleId="ColorfulGrid">
    <w:name w:val="Colorful Grid"/>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99"/>
    <w:semiHidden/>
    <w:rsid w:val="00014566"/>
    <w:rPr>
      <w:color w:val="000000" w:themeColor="text1"/>
      <w:lang w:val="fr-FR" w:eastAsia="fr-FR"/>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014566"/>
    <w:rPr>
      <w:color w:val="000000" w:themeColor="text1"/>
      <w:lang w:val="fr-FR" w:eastAsia="fr-FR"/>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99"/>
    <w:semiHidden/>
    <w:rsid w:val="00014566"/>
    <w:rPr>
      <w:color w:val="000000" w:themeColor="text1"/>
      <w:lang w:val="fr-FR" w:eastAsia="fr-FR"/>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99"/>
    <w:semiHidden/>
    <w:rsid w:val="00014566"/>
    <w:rPr>
      <w:color w:val="000000" w:themeColor="text1"/>
      <w:lang w:val="fr-FR" w:eastAsia="fr-FR"/>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99"/>
    <w:semiHidden/>
    <w:rsid w:val="00014566"/>
    <w:rPr>
      <w:color w:val="000000" w:themeColor="text1"/>
      <w:lang w:val="fr-FR" w:eastAsia="fr-FR"/>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99"/>
    <w:semiHidden/>
    <w:rsid w:val="00014566"/>
    <w:rPr>
      <w:color w:val="000000" w:themeColor="text1"/>
      <w:lang w:val="fr-FR" w:eastAsia="fr-FR"/>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9"/>
    <w:semiHidden/>
    <w:rsid w:val="00014566"/>
    <w:rPr>
      <w:color w:val="000000" w:themeColor="text1"/>
      <w:lang w:val="fr-FR" w:eastAsia="fr-FR"/>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014566"/>
    <w:rPr>
      <w:color w:val="000000" w:themeColor="text1"/>
      <w:lang w:val="fr-FR" w:eastAsia="fr-FR"/>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99"/>
    <w:semiHidden/>
    <w:rsid w:val="00014566"/>
    <w:rPr>
      <w:color w:val="000000" w:themeColor="text1"/>
      <w:lang w:val="fr-FR" w:eastAsia="fr-FR"/>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014566"/>
    <w:rPr>
      <w:color w:val="000000" w:themeColor="text1"/>
      <w:lang w:val="fr-FR" w:eastAsia="fr-FR"/>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014566"/>
    <w:rPr>
      <w:color w:val="000000" w:themeColor="text1"/>
      <w:lang w:val="fr-FR" w:eastAsia="fr-FR"/>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rsid w:val="00014566"/>
    <w:rPr>
      <w:color w:val="0072BC" w:themeColor="background1"/>
      <w:lang w:val="fr-FR" w:eastAsia="fr-FR"/>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014566"/>
    <w:rPr>
      <w:color w:val="0072BC" w:themeColor="background1"/>
      <w:lang w:val="fr-FR" w:eastAsia="fr-FR"/>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99"/>
    <w:semiHidden/>
    <w:rsid w:val="00014566"/>
    <w:rPr>
      <w:color w:val="0072BC" w:themeColor="background1"/>
      <w:lang w:val="fr-FR" w:eastAsia="fr-FR"/>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99"/>
    <w:semiHidden/>
    <w:rsid w:val="00014566"/>
    <w:rPr>
      <w:color w:val="0072BC" w:themeColor="background1"/>
      <w:lang w:val="fr-FR" w:eastAsia="fr-FR"/>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99"/>
    <w:semiHidden/>
    <w:rsid w:val="00014566"/>
    <w:rPr>
      <w:color w:val="0072BC" w:themeColor="background1"/>
      <w:lang w:val="fr-FR" w:eastAsia="fr-FR"/>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99"/>
    <w:semiHidden/>
    <w:rsid w:val="00014566"/>
    <w:rPr>
      <w:color w:val="0072BC" w:themeColor="background1"/>
      <w:lang w:val="fr-FR" w:eastAsia="fr-FR"/>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9"/>
    <w:semiHidden/>
    <w:rsid w:val="00014566"/>
    <w:rPr>
      <w:color w:val="0072BC" w:themeColor="background1"/>
      <w:lang w:val="fr-FR" w:eastAsia="fr-FR"/>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rsid w:val="00014566"/>
  </w:style>
  <w:style w:type="character" w:customStyle="1" w:styleId="DateChar">
    <w:name w:val="Date Char"/>
    <w:basedOn w:val="DefaultParagraphFont"/>
    <w:link w:val="Date"/>
    <w:uiPriority w:val="99"/>
    <w:semiHidden/>
    <w:rsid w:val="00014566"/>
    <w:rPr>
      <w:rFonts w:eastAsiaTheme="minorEastAsia"/>
      <w:sz w:val="24"/>
    </w:rPr>
  </w:style>
  <w:style w:type="paragraph" w:styleId="E-mailSignature">
    <w:name w:val="E-mail Signature"/>
    <w:basedOn w:val="Normal"/>
    <w:link w:val="E-mailSignatureChar"/>
    <w:uiPriority w:val="99"/>
    <w:semiHidden/>
    <w:rsid w:val="00014566"/>
  </w:style>
  <w:style w:type="character" w:customStyle="1" w:styleId="E-mailSignatureChar">
    <w:name w:val="E-mail Signature Char"/>
    <w:basedOn w:val="DefaultParagraphFont"/>
    <w:link w:val="E-mailSignature"/>
    <w:uiPriority w:val="99"/>
    <w:semiHidden/>
    <w:rsid w:val="00014566"/>
    <w:rPr>
      <w:rFonts w:eastAsiaTheme="minorEastAsia"/>
      <w:sz w:val="24"/>
    </w:rPr>
  </w:style>
  <w:style w:type="paragraph" w:styleId="EnvelopeAddress">
    <w:name w:val="envelope address"/>
    <w:basedOn w:val="Normal"/>
    <w:uiPriority w:val="99"/>
    <w:semiHidden/>
    <w:rsid w:val="00014566"/>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EnvelopeReturn">
    <w:name w:val="envelope return"/>
    <w:basedOn w:val="Normal"/>
    <w:uiPriority w:val="99"/>
    <w:semiHidden/>
    <w:rsid w:val="00014566"/>
    <w:rPr>
      <w:rFonts w:asciiTheme="majorHAnsi" w:eastAsiaTheme="majorEastAsia" w:hAnsiTheme="majorHAnsi" w:cstheme="majorBidi"/>
      <w:sz w:val="20"/>
      <w:szCs w:val="20"/>
    </w:rPr>
  </w:style>
  <w:style w:type="character" w:styleId="HTMLAcronym">
    <w:name w:val="HTML Acronym"/>
    <w:basedOn w:val="DefaultParagraphFont"/>
    <w:uiPriority w:val="99"/>
    <w:semiHidden/>
    <w:rsid w:val="00014566"/>
  </w:style>
  <w:style w:type="paragraph" w:styleId="HTMLAddress">
    <w:name w:val="HTML Address"/>
    <w:basedOn w:val="Normal"/>
    <w:link w:val="HTMLAddressChar"/>
    <w:uiPriority w:val="99"/>
    <w:semiHidden/>
    <w:rsid w:val="00014566"/>
    <w:rPr>
      <w:i/>
      <w:iCs/>
    </w:rPr>
  </w:style>
  <w:style w:type="character" w:customStyle="1" w:styleId="HTMLAddressChar">
    <w:name w:val="HTML Address Char"/>
    <w:basedOn w:val="DefaultParagraphFont"/>
    <w:link w:val="HTMLAddress"/>
    <w:uiPriority w:val="99"/>
    <w:semiHidden/>
    <w:rsid w:val="00014566"/>
    <w:rPr>
      <w:rFonts w:eastAsiaTheme="minorEastAsia"/>
      <w:i/>
      <w:iCs/>
      <w:sz w:val="24"/>
    </w:rPr>
  </w:style>
  <w:style w:type="character" w:styleId="HTMLCite">
    <w:name w:val="HTML Cite"/>
    <w:basedOn w:val="DefaultParagraphFont"/>
    <w:uiPriority w:val="99"/>
    <w:semiHidden/>
    <w:rsid w:val="00014566"/>
    <w:rPr>
      <w:i/>
      <w:iCs/>
    </w:rPr>
  </w:style>
  <w:style w:type="character" w:styleId="HTMLCode">
    <w:name w:val="HTML Code"/>
    <w:basedOn w:val="DefaultParagraphFont"/>
    <w:uiPriority w:val="99"/>
    <w:semiHidden/>
    <w:rsid w:val="00014566"/>
    <w:rPr>
      <w:rFonts w:ascii="Consolas" w:hAnsi="Consolas" w:cs="Consolas"/>
      <w:sz w:val="20"/>
      <w:szCs w:val="20"/>
    </w:rPr>
  </w:style>
  <w:style w:type="character" w:styleId="HTMLDefinition">
    <w:name w:val="HTML Definition"/>
    <w:basedOn w:val="DefaultParagraphFont"/>
    <w:uiPriority w:val="99"/>
    <w:semiHidden/>
    <w:rsid w:val="00014566"/>
    <w:rPr>
      <w:i/>
      <w:iCs/>
    </w:rPr>
  </w:style>
  <w:style w:type="character" w:styleId="HTMLKeyboard">
    <w:name w:val="HTML Keyboard"/>
    <w:basedOn w:val="DefaultParagraphFont"/>
    <w:uiPriority w:val="99"/>
    <w:semiHidden/>
    <w:rsid w:val="00014566"/>
    <w:rPr>
      <w:rFonts w:ascii="Consolas" w:hAnsi="Consolas" w:cs="Consolas"/>
      <w:sz w:val="20"/>
      <w:szCs w:val="20"/>
    </w:rPr>
  </w:style>
  <w:style w:type="paragraph" w:styleId="HTMLPreformatted">
    <w:name w:val="HTML Preformatted"/>
    <w:basedOn w:val="Normal"/>
    <w:link w:val="HTMLPreformattedChar"/>
    <w:uiPriority w:val="99"/>
    <w:semiHidden/>
    <w:rsid w:val="0001456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14566"/>
    <w:rPr>
      <w:rFonts w:ascii="Consolas" w:eastAsiaTheme="minorEastAsia" w:hAnsi="Consolas" w:cs="Consolas"/>
      <w:sz w:val="20"/>
      <w:szCs w:val="20"/>
    </w:rPr>
  </w:style>
  <w:style w:type="character" w:styleId="HTMLSample">
    <w:name w:val="HTML Sample"/>
    <w:basedOn w:val="DefaultParagraphFont"/>
    <w:uiPriority w:val="99"/>
    <w:semiHidden/>
    <w:rsid w:val="00014566"/>
    <w:rPr>
      <w:rFonts w:ascii="Consolas" w:hAnsi="Consolas" w:cs="Consolas"/>
      <w:sz w:val="24"/>
      <w:szCs w:val="24"/>
    </w:rPr>
  </w:style>
  <w:style w:type="character" w:styleId="HTMLTypewriter">
    <w:name w:val="HTML Typewriter"/>
    <w:basedOn w:val="DefaultParagraphFont"/>
    <w:uiPriority w:val="99"/>
    <w:semiHidden/>
    <w:rsid w:val="00014566"/>
    <w:rPr>
      <w:rFonts w:ascii="Consolas" w:hAnsi="Consolas" w:cs="Consolas"/>
      <w:sz w:val="20"/>
      <w:szCs w:val="20"/>
    </w:rPr>
  </w:style>
  <w:style w:type="character" w:styleId="HTMLVariable">
    <w:name w:val="HTML Variable"/>
    <w:basedOn w:val="DefaultParagraphFont"/>
    <w:uiPriority w:val="99"/>
    <w:semiHidden/>
    <w:rsid w:val="00014566"/>
    <w:rPr>
      <w:i/>
      <w:iCs/>
    </w:rPr>
  </w:style>
  <w:style w:type="paragraph" w:styleId="Index1">
    <w:name w:val="index 1"/>
    <w:basedOn w:val="Normal"/>
    <w:next w:val="Normal"/>
    <w:autoRedefine/>
    <w:uiPriority w:val="99"/>
    <w:semiHidden/>
    <w:rsid w:val="00014566"/>
    <w:pPr>
      <w:ind w:left="240" w:hanging="240"/>
    </w:pPr>
  </w:style>
  <w:style w:type="paragraph" w:styleId="Index2">
    <w:name w:val="index 2"/>
    <w:basedOn w:val="Normal"/>
    <w:next w:val="Normal"/>
    <w:autoRedefine/>
    <w:uiPriority w:val="99"/>
    <w:semiHidden/>
    <w:rsid w:val="00014566"/>
    <w:pPr>
      <w:ind w:left="480" w:hanging="240"/>
    </w:pPr>
  </w:style>
  <w:style w:type="paragraph" w:styleId="Index3">
    <w:name w:val="index 3"/>
    <w:basedOn w:val="Normal"/>
    <w:next w:val="Normal"/>
    <w:autoRedefine/>
    <w:uiPriority w:val="99"/>
    <w:semiHidden/>
    <w:rsid w:val="00014566"/>
    <w:pPr>
      <w:ind w:left="720" w:hanging="240"/>
    </w:pPr>
  </w:style>
  <w:style w:type="paragraph" w:styleId="Index4">
    <w:name w:val="index 4"/>
    <w:basedOn w:val="Normal"/>
    <w:next w:val="Normal"/>
    <w:autoRedefine/>
    <w:uiPriority w:val="99"/>
    <w:semiHidden/>
    <w:rsid w:val="00014566"/>
    <w:pPr>
      <w:ind w:left="960" w:hanging="240"/>
    </w:pPr>
  </w:style>
  <w:style w:type="paragraph" w:styleId="Index5">
    <w:name w:val="index 5"/>
    <w:basedOn w:val="Normal"/>
    <w:next w:val="Normal"/>
    <w:autoRedefine/>
    <w:uiPriority w:val="99"/>
    <w:semiHidden/>
    <w:rsid w:val="00014566"/>
    <w:pPr>
      <w:ind w:left="1200" w:hanging="240"/>
    </w:pPr>
  </w:style>
  <w:style w:type="paragraph" w:styleId="Index6">
    <w:name w:val="index 6"/>
    <w:basedOn w:val="Normal"/>
    <w:next w:val="Normal"/>
    <w:autoRedefine/>
    <w:uiPriority w:val="99"/>
    <w:semiHidden/>
    <w:rsid w:val="00014566"/>
    <w:pPr>
      <w:ind w:left="1440" w:hanging="240"/>
    </w:pPr>
  </w:style>
  <w:style w:type="paragraph" w:styleId="Index7">
    <w:name w:val="index 7"/>
    <w:basedOn w:val="Normal"/>
    <w:next w:val="Normal"/>
    <w:autoRedefine/>
    <w:uiPriority w:val="99"/>
    <w:semiHidden/>
    <w:rsid w:val="00014566"/>
    <w:pPr>
      <w:ind w:left="1680" w:hanging="240"/>
    </w:pPr>
  </w:style>
  <w:style w:type="paragraph" w:styleId="Index8">
    <w:name w:val="index 8"/>
    <w:basedOn w:val="Normal"/>
    <w:next w:val="Normal"/>
    <w:autoRedefine/>
    <w:uiPriority w:val="99"/>
    <w:semiHidden/>
    <w:rsid w:val="00014566"/>
    <w:pPr>
      <w:ind w:left="1920" w:hanging="240"/>
    </w:pPr>
  </w:style>
  <w:style w:type="paragraph" w:styleId="Index9">
    <w:name w:val="index 9"/>
    <w:basedOn w:val="Normal"/>
    <w:next w:val="Normal"/>
    <w:autoRedefine/>
    <w:uiPriority w:val="99"/>
    <w:semiHidden/>
    <w:rsid w:val="00014566"/>
    <w:pPr>
      <w:ind w:left="2160" w:hanging="240"/>
    </w:pPr>
  </w:style>
  <w:style w:type="paragraph" w:styleId="IndexHeading">
    <w:name w:val="index heading"/>
    <w:basedOn w:val="Normal"/>
    <w:next w:val="Index1"/>
    <w:uiPriority w:val="99"/>
    <w:semiHidden/>
    <w:rsid w:val="00014566"/>
    <w:rPr>
      <w:rFonts w:asciiTheme="majorHAnsi" w:eastAsiaTheme="majorEastAsia" w:hAnsiTheme="majorHAnsi" w:cstheme="majorBidi"/>
      <w:b/>
      <w:bCs/>
    </w:rPr>
  </w:style>
  <w:style w:type="table" w:styleId="LightGrid">
    <w:name w:val="Light Grid"/>
    <w:basedOn w:val="TableNormal"/>
    <w:uiPriority w:val="99"/>
    <w:semiHidden/>
    <w:rsid w:val="00014566"/>
    <w:rPr>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014566"/>
    <w:rPr>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99"/>
    <w:semiHidden/>
    <w:rsid w:val="00014566"/>
    <w:rPr>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99"/>
    <w:semiHidden/>
    <w:rsid w:val="00014566"/>
    <w:rPr>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99"/>
    <w:semiHidden/>
    <w:rsid w:val="00014566"/>
    <w:rPr>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99"/>
    <w:semiHidden/>
    <w:rsid w:val="00014566"/>
    <w:rPr>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9"/>
    <w:semiHidden/>
    <w:rsid w:val="00014566"/>
    <w:rPr>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9"/>
    <w:semiHidden/>
    <w:rsid w:val="00014566"/>
    <w:rPr>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014566"/>
    <w:rPr>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99"/>
    <w:semiHidden/>
    <w:rsid w:val="00014566"/>
    <w:rPr>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99"/>
    <w:semiHidden/>
    <w:rsid w:val="00014566"/>
    <w:rPr>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99"/>
    <w:semiHidden/>
    <w:rsid w:val="00014566"/>
    <w:rPr>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99"/>
    <w:semiHidden/>
    <w:rsid w:val="00014566"/>
    <w:rPr>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9"/>
    <w:semiHidden/>
    <w:rsid w:val="00014566"/>
    <w:rPr>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9"/>
    <w:semiHidden/>
    <w:rsid w:val="00014566"/>
    <w:rPr>
      <w:color w:val="000000" w:themeColor="text1" w:themeShade="BF"/>
      <w:lang w:val="fr-FR" w:eastAsia="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014566"/>
    <w:rPr>
      <w:color w:val="00548C" w:themeColor="accent1" w:themeShade="BF"/>
      <w:lang w:val="fr-FR" w:eastAsia="fr-FR"/>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99"/>
    <w:semiHidden/>
    <w:rsid w:val="00014566"/>
    <w:rPr>
      <w:color w:val="8F0000" w:themeColor="accent2" w:themeShade="BF"/>
      <w:lang w:val="fr-FR" w:eastAsia="fr-FR"/>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99"/>
    <w:semiHidden/>
    <w:rsid w:val="00014566"/>
    <w:rPr>
      <w:color w:val="474747" w:themeColor="accent3" w:themeShade="BF"/>
      <w:lang w:val="fr-FR" w:eastAsia="fr-FR"/>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99"/>
    <w:semiHidden/>
    <w:rsid w:val="00014566"/>
    <w:rPr>
      <w:color w:val="707070" w:themeColor="accent4" w:themeShade="BF"/>
      <w:lang w:val="fr-FR" w:eastAsia="fr-FR"/>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99"/>
    <w:semiHidden/>
    <w:rsid w:val="00014566"/>
    <w:rPr>
      <w:color w:val="474747" w:themeColor="accent5" w:themeShade="BF"/>
      <w:lang w:val="fr-FR" w:eastAsia="fr-FR"/>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9"/>
    <w:semiHidden/>
    <w:rsid w:val="00014566"/>
    <w:rPr>
      <w:color w:val="393939" w:themeColor="accent6" w:themeShade="BF"/>
      <w:lang w:val="fr-FR" w:eastAsia="fr-FR"/>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rsid w:val="00014566"/>
  </w:style>
  <w:style w:type="paragraph" w:styleId="List">
    <w:name w:val="List"/>
    <w:basedOn w:val="Normal"/>
    <w:uiPriority w:val="99"/>
    <w:semiHidden/>
    <w:rsid w:val="00014566"/>
    <w:pPr>
      <w:ind w:left="283" w:hanging="283"/>
      <w:contextualSpacing/>
    </w:pPr>
  </w:style>
  <w:style w:type="paragraph" w:styleId="List2">
    <w:name w:val="List 2"/>
    <w:basedOn w:val="Normal"/>
    <w:uiPriority w:val="99"/>
    <w:semiHidden/>
    <w:rsid w:val="00014566"/>
    <w:pPr>
      <w:ind w:left="566" w:hanging="283"/>
      <w:contextualSpacing/>
    </w:pPr>
  </w:style>
  <w:style w:type="paragraph" w:styleId="List3">
    <w:name w:val="List 3"/>
    <w:basedOn w:val="Normal"/>
    <w:uiPriority w:val="99"/>
    <w:semiHidden/>
    <w:rsid w:val="00014566"/>
    <w:pPr>
      <w:ind w:left="849" w:hanging="283"/>
      <w:contextualSpacing/>
    </w:pPr>
  </w:style>
  <w:style w:type="paragraph" w:styleId="List4">
    <w:name w:val="List 4"/>
    <w:basedOn w:val="Normal"/>
    <w:uiPriority w:val="99"/>
    <w:semiHidden/>
    <w:rsid w:val="00014566"/>
    <w:pPr>
      <w:ind w:left="1132" w:hanging="283"/>
      <w:contextualSpacing/>
    </w:pPr>
  </w:style>
  <w:style w:type="paragraph" w:styleId="List5">
    <w:name w:val="List 5"/>
    <w:basedOn w:val="Normal"/>
    <w:uiPriority w:val="99"/>
    <w:semiHidden/>
    <w:rsid w:val="00014566"/>
    <w:pPr>
      <w:ind w:left="1415" w:hanging="283"/>
      <w:contextualSpacing/>
    </w:pPr>
  </w:style>
  <w:style w:type="paragraph" w:styleId="ListBullet2">
    <w:name w:val="List Bullet 2"/>
    <w:basedOn w:val="Normal"/>
    <w:uiPriority w:val="99"/>
    <w:semiHidden/>
    <w:rsid w:val="00014566"/>
    <w:pPr>
      <w:numPr>
        <w:numId w:val="5"/>
      </w:numPr>
      <w:contextualSpacing/>
    </w:pPr>
  </w:style>
  <w:style w:type="paragraph" w:styleId="ListBullet3">
    <w:name w:val="List Bullet 3"/>
    <w:basedOn w:val="Normal"/>
    <w:uiPriority w:val="99"/>
    <w:semiHidden/>
    <w:rsid w:val="00014566"/>
    <w:pPr>
      <w:numPr>
        <w:numId w:val="6"/>
      </w:numPr>
      <w:contextualSpacing/>
    </w:pPr>
  </w:style>
  <w:style w:type="paragraph" w:styleId="ListBullet4">
    <w:name w:val="List Bullet 4"/>
    <w:basedOn w:val="Normal"/>
    <w:uiPriority w:val="99"/>
    <w:semiHidden/>
    <w:rsid w:val="00014566"/>
    <w:pPr>
      <w:numPr>
        <w:numId w:val="7"/>
      </w:numPr>
      <w:contextualSpacing/>
    </w:pPr>
  </w:style>
  <w:style w:type="paragraph" w:styleId="ListBullet5">
    <w:name w:val="List Bullet 5"/>
    <w:basedOn w:val="Normal"/>
    <w:uiPriority w:val="99"/>
    <w:semiHidden/>
    <w:rsid w:val="00014566"/>
    <w:pPr>
      <w:numPr>
        <w:numId w:val="8"/>
      </w:numPr>
      <w:contextualSpacing/>
    </w:pPr>
  </w:style>
  <w:style w:type="paragraph" w:styleId="ListContinue">
    <w:name w:val="List Continue"/>
    <w:basedOn w:val="Normal"/>
    <w:uiPriority w:val="99"/>
    <w:semiHidden/>
    <w:rsid w:val="00014566"/>
    <w:pPr>
      <w:spacing w:after="120"/>
      <w:ind w:left="283"/>
      <w:contextualSpacing/>
    </w:pPr>
  </w:style>
  <w:style w:type="paragraph" w:styleId="ListContinue2">
    <w:name w:val="List Continue 2"/>
    <w:basedOn w:val="Normal"/>
    <w:uiPriority w:val="99"/>
    <w:semiHidden/>
    <w:rsid w:val="00014566"/>
    <w:pPr>
      <w:spacing w:after="120"/>
      <w:ind w:left="566"/>
      <w:contextualSpacing/>
    </w:pPr>
  </w:style>
  <w:style w:type="paragraph" w:styleId="ListContinue3">
    <w:name w:val="List Continue 3"/>
    <w:basedOn w:val="Normal"/>
    <w:uiPriority w:val="99"/>
    <w:semiHidden/>
    <w:rsid w:val="00014566"/>
    <w:pPr>
      <w:spacing w:after="120"/>
      <w:ind w:left="849"/>
      <w:contextualSpacing/>
    </w:pPr>
  </w:style>
  <w:style w:type="paragraph" w:styleId="ListContinue4">
    <w:name w:val="List Continue 4"/>
    <w:basedOn w:val="Normal"/>
    <w:uiPriority w:val="99"/>
    <w:semiHidden/>
    <w:rsid w:val="00014566"/>
    <w:pPr>
      <w:spacing w:after="120"/>
      <w:ind w:left="1132"/>
      <w:contextualSpacing/>
    </w:pPr>
  </w:style>
  <w:style w:type="paragraph" w:styleId="ListContinue5">
    <w:name w:val="List Continue 5"/>
    <w:basedOn w:val="Normal"/>
    <w:uiPriority w:val="99"/>
    <w:semiHidden/>
    <w:rsid w:val="00014566"/>
    <w:pPr>
      <w:spacing w:after="120"/>
      <w:ind w:left="1415"/>
      <w:contextualSpacing/>
    </w:pPr>
  </w:style>
  <w:style w:type="paragraph" w:styleId="ListNumber">
    <w:name w:val="List Number"/>
    <w:basedOn w:val="Normal"/>
    <w:uiPriority w:val="99"/>
    <w:semiHidden/>
    <w:rsid w:val="00014566"/>
    <w:pPr>
      <w:numPr>
        <w:numId w:val="9"/>
      </w:numPr>
      <w:contextualSpacing/>
    </w:pPr>
  </w:style>
  <w:style w:type="paragraph" w:styleId="ListNumber2">
    <w:name w:val="List Number 2"/>
    <w:basedOn w:val="Normal"/>
    <w:uiPriority w:val="99"/>
    <w:semiHidden/>
    <w:rsid w:val="00014566"/>
    <w:pPr>
      <w:numPr>
        <w:numId w:val="10"/>
      </w:numPr>
      <w:contextualSpacing/>
    </w:pPr>
  </w:style>
  <w:style w:type="paragraph" w:styleId="ListNumber3">
    <w:name w:val="List Number 3"/>
    <w:basedOn w:val="Normal"/>
    <w:uiPriority w:val="99"/>
    <w:semiHidden/>
    <w:rsid w:val="00014566"/>
    <w:pPr>
      <w:numPr>
        <w:numId w:val="11"/>
      </w:numPr>
      <w:contextualSpacing/>
    </w:pPr>
  </w:style>
  <w:style w:type="paragraph" w:styleId="ListNumber4">
    <w:name w:val="List Number 4"/>
    <w:basedOn w:val="Normal"/>
    <w:uiPriority w:val="99"/>
    <w:semiHidden/>
    <w:rsid w:val="00014566"/>
    <w:pPr>
      <w:numPr>
        <w:numId w:val="12"/>
      </w:numPr>
      <w:contextualSpacing/>
    </w:pPr>
  </w:style>
  <w:style w:type="paragraph" w:styleId="ListNumber5">
    <w:name w:val="List Number 5"/>
    <w:basedOn w:val="Normal"/>
    <w:uiPriority w:val="99"/>
    <w:semiHidden/>
    <w:rsid w:val="00014566"/>
    <w:pPr>
      <w:numPr>
        <w:numId w:val="13"/>
      </w:numPr>
      <w:contextualSpacing/>
    </w:pPr>
  </w:style>
  <w:style w:type="paragraph" w:styleId="MacroText">
    <w:name w:val="macro"/>
    <w:link w:val="MacroTextChar"/>
    <w:uiPriority w:val="99"/>
    <w:semiHidden/>
    <w:rsid w:val="00014566"/>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lang w:val="en-GB" w:eastAsia="fr-FR"/>
    </w:rPr>
  </w:style>
  <w:style w:type="character" w:customStyle="1" w:styleId="MacroTextChar">
    <w:name w:val="Macro Text Char"/>
    <w:basedOn w:val="DefaultParagraphFont"/>
    <w:link w:val="MacroText"/>
    <w:uiPriority w:val="99"/>
    <w:semiHidden/>
    <w:rsid w:val="00014566"/>
    <w:rPr>
      <w:rFonts w:ascii="Consolas" w:hAnsi="Consolas" w:cs="Consolas"/>
      <w:sz w:val="20"/>
      <w:szCs w:val="20"/>
      <w:lang w:val="en-GB" w:eastAsia="fr-FR"/>
    </w:rPr>
  </w:style>
  <w:style w:type="table" w:styleId="MediumGrid1">
    <w:name w:val="Medium Grid 1"/>
    <w:basedOn w:val="TableNormal"/>
    <w:uiPriority w:val="99"/>
    <w:semiHidden/>
    <w:rsid w:val="00014566"/>
    <w:rPr>
      <w:lang w:val="fr-FR"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014566"/>
    <w:rPr>
      <w:lang w:val="fr-FR"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99"/>
    <w:semiHidden/>
    <w:rsid w:val="00014566"/>
    <w:rPr>
      <w:lang w:val="fr-FR"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99"/>
    <w:semiHidden/>
    <w:rsid w:val="00014566"/>
    <w:rPr>
      <w:lang w:val="fr-FR"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99"/>
    <w:semiHidden/>
    <w:rsid w:val="00014566"/>
    <w:rPr>
      <w:lang w:val="fr-FR"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99"/>
    <w:semiHidden/>
    <w:rsid w:val="00014566"/>
    <w:rPr>
      <w:lang w:val="fr-FR"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9"/>
    <w:semiHidden/>
    <w:rsid w:val="00014566"/>
    <w:rPr>
      <w:lang w:val="fr-FR"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99"/>
    <w:semiHidden/>
    <w:rsid w:val="00014566"/>
    <w:rPr>
      <w:color w:val="000000" w:themeColor="text1"/>
      <w:lang w:val="fr-FR" w:eastAsia="fr-FR"/>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rsid w:val="00014566"/>
    <w:rPr>
      <w:color w:val="000000" w:themeColor="text1"/>
      <w:lang w:val="fr-FR" w:eastAsia="fr-FR"/>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99"/>
    <w:semiHidden/>
    <w:rsid w:val="00014566"/>
    <w:rPr>
      <w:color w:val="000000" w:themeColor="text1"/>
      <w:lang w:val="fr-FR" w:eastAsia="fr-FR"/>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99"/>
    <w:semiHidden/>
    <w:rsid w:val="00014566"/>
    <w:rPr>
      <w:color w:val="000000" w:themeColor="text1"/>
      <w:lang w:val="fr-FR" w:eastAsia="fr-FR"/>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99"/>
    <w:semiHidden/>
    <w:rsid w:val="00014566"/>
    <w:rPr>
      <w:color w:val="000000" w:themeColor="text1"/>
      <w:lang w:val="fr-FR" w:eastAsia="fr-FR"/>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99"/>
    <w:semiHidden/>
    <w:rsid w:val="00014566"/>
    <w:rPr>
      <w:color w:val="000000" w:themeColor="text1"/>
      <w:lang w:val="fr-FR" w:eastAsia="fr-FR"/>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9"/>
    <w:semiHidden/>
    <w:rsid w:val="00014566"/>
    <w:rPr>
      <w:color w:val="000000" w:themeColor="text1"/>
      <w:lang w:val="fr-FR" w:eastAsia="fr-FR"/>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99"/>
    <w:semiHidden/>
    <w:rsid w:val="00014566"/>
    <w:rPr>
      <w:lang w:val="fr-FR"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014566"/>
    <w:rPr>
      <w:lang w:val="fr-FR"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014566"/>
    <w:rPr>
      <w:lang w:val="fr-FR"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014566"/>
    <w:rPr>
      <w:lang w:val="fr-FR"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014566"/>
    <w:rPr>
      <w:lang w:val="fr-FR"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014566"/>
    <w:rPr>
      <w:lang w:val="fr-FR"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014566"/>
    <w:rPr>
      <w:lang w:val="fr-FR"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01456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01456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014566"/>
    <w:rPr>
      <w:rFonts w:ascii="Times New Roman" w:hAnsi="Times New Roman" w:cs="Times New Roman"/>
      <w:szCs w:val="24"/>
    </w:rPr>
  </w:style>
  <w:style w:type="paragraph" w:styleId="NormalIndent">
    <w:name w:val="Normal Indent"/>
    <w:basedOn w:val="Normal"/>
    <w:uiPriority w:val="99"/>
    <w:semiHidden/>
    <w:rsid w:val="00014566"/>
    <w:pPr>
      <w:ind w:left="720"/>
    </w:pPr>
  </w:style>
  <w:style w:type="paragraph" w:styleId="NoteHeading">
    <w:name w:val="Note Heading"/>
    <w:basedOn w:val="Normal"/>
    <w:next w:val="Normal"/>
    <w:link w:val="NoteHeadingChar"/>
    <w:uiPriority w:val="99"/>
    <w:semiHidden/>
    <w:rsid w:val="00014566"/>
  </w:style>
  <w:style w:type="character" w:customStyle="1" w:styleId="NoteHeadingChar">
    <w:name w:val="Note Heading Char"/>
    <w:basedOn w:val="DefaultParagraphFont"/>
    <w:link w:val="NoteHeading"/>
    <w:uiPriority w:val="99"/>
    <w:semiHidden/>
    <w:rsid w:val="00014566"/>
    <w:rPr>
      <w:rFonts w:eastAsiaTheme="minorEastAsia"/>
      <w:sz w:val="24"/>
    </w:rPr>
  </w:style>
  <w:style w:type="character" w:styleId="PlaceholderText">
    <w:name w:val="Placeholder Text"/>
    <w:basedOn w:val="DefaultParagraphFont"/>
    <w:uiPriority w:val="99"/>
    <w:semiHidden/>
    <w:rsid w:val="00014566"/>
    <w:rPr>
      <w:color w:val="808080"/>
    </w:rPr>
  </w:style>
  <w:style w:type="paragraph" w:styleId="PlainText">
    <w:name w:val="Plain Text"/>
    <w:basedOn w:val="Normal"/>
    <w:link w:val="PlainTextChar"/>
    <w:uiPriority w:val="99"/>
    <w:semiHidden/>
    <w:rsid w:val="00014566"/>
    <w:rPr>
      <w:rFonts w:ascii="Consolas" w:hAnsi="Consolas" w:cs="Consolas"/>
      <w:sz w:val="21"/>
      <w:szCs w:val="21"/>
    </w:rPr>
  </w:style>
  <w:style w:type="character" w:customStyle="1" w:styleId="PlainTextChar">
    <w:name w:val="Plain Text Char"/>
    <w:basedOn w:val="DefaultParagraphFont"/>
    <w:link w:val="PlainText"/>
    <w:uiPriority w:val="99"/>
    <w:semiHidden/>
    <w:rsid w:val="00014566"/>
    <w:rPr>
      <w:rFonts w:ascii="Consolas" w:eastAsiaTheme="minorEastAsia" w:hAnsi="Consolas" w:cs="Consolas"/>
      <w:sz w:val="21"/>
      <w:szCs w:val="21"/>
    </w:rPr>
  </w:style>
  <w:style w:type="paragraph" w:styleId="Salutation">
    <w:name w:val="Salutation"/>
    <w:basedOn w:val="Normal"/>
    <w:next w:val="Normal"/>
    <w:link w:val="SalutationChar"/>
    <w:uiPriority w:val="99"/>
    <w:semiHidden/>
    <w:rsid w:val="00014566"/>
  </w:style>
  <w:style w:type="character" w:customStyle="1" w:styleId="SalutationChar">
    <w:name w:val="Salutation Char"/>
    <w:basedOn w:val="DefaultParagraphFont"/>
    <w:link w:val="Salutation"/>
    <w:uiPriority w:val="99"/>
    <w:semiHidden/>
    <w:rsid w:val="00014566"/>
    <w:rPr>
      <w:rFonts w:eastAsiaTheme="minorEastAsia"/>
      <w:sz w:val="24"/>
    </w:rPr>
  </w:style>
  <w:style w:type="paragraph" w:styleId="Signature">
    <w:name w:val="Signature"/>
    <w:basedOn w:val="Normal"/>
    <w:link w:val="SignatureChar"/>
    <w:uiPriority w:val="99"/>
    <w:semiHidden/>
    <w:rsid w:val="00014566"/>
    <w:pPr>
      <w:ind w:left="4252"/>
    </w:pPr>
  </w:style>
  <w:style w:type="character" w:customStyle="1" w:styleId="SignatureChar">
    <w:name w:val="Signature Char"/>
    <w:basedOn w:val="DefaultParagraphFont"/>
    <w:link w:val="Signature"/>
    <w:uiPriority w:val="99"/>
    <w:semiHidden/>
    <w:rsid w:val="00014566"/>
    <w:rPr>
      <w:rFonts w:eastAsiaTheme="minorEastAsia"/>
      <w:sz w:val="24"/>
    </w:rPr>
  </w:style>
  <w:style w:type="table" w:styleId="Table3Deffects1">
    <w:name w:val="Table 3D effects 1"/>
    <w:basedOn w:val="TableNormal"/>
    <w:uiPriority w:val="99"/>
    <w:semiHidden/>
    <w:rsid w:val="00014566"/>
    <w:pPr>
      <w:suppressAutoHyphens/>
    </w:pPr>
    <w:rPr>
      <w:lang w:val="fr-FR"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014566"/>
    <w:pPr>
      <w:suppressAutoHyphens/>
    </w:pPr>
    <w:rPr>
      <w:lang w:val="fr-FR"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014566"/>
    <w:pPr>
      <w:suppressAutoHyphens/>
    </w:pPr>
    <w:rPr>
      <w:lang w:val="fr-FR"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014566"/>
    <w:pPr>
      <w:suppressAutoHyphens/>
    </w:pPr>
    <w:rPr>
      <w:lang w:val="fr-FR"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014566"/>
    <w:pPr>
      <w:suppressAutoHyphens/>
    </w:pPr>
    <w:rPr>
      <w:lang w:val="fr-FR" w:eastAsia="fr-F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014566"/>
    <w:pPr>
      <w:suppressAutoHyphens/>
    </w:pPr>
    <w:rPr>
      <w:color w:val="000080"/>
      <w:lang w:val="fr-FR" w:eastAsia="fr-F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014566"/>
    <w:pPr>
      <w:suppressAutoHyphens/>
    </w:pPr>
    <w:rPr>
      <w:lang w:val="fr-FR" w:eastAsia="fr-F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014566"/>
    <w:pPr>
      <w:suppressAutoHyphens/>
    </w:pPr>
    <w:rPr>
      <w:color w:val="FFFFFF"/>
      <w:lang w:val="fr-FR" w:eastAsia="fr-F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014566"/>
    <w:pPr>
      <w:suppressAutoHyphens/>
    </w:pPr>
    <w:rPr>
      <w:lang w:val="fr-FR" w:eastAsia="fr-F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014566"/>
    <w:pPr>
      <w:suppressAutoHyphens/>
    </w:pPr>
    <w:rPr>
      <w:lang w:val="fr-FR" w:eastAsia="fr-F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014566"/>
    <w:pPr>
      <w:suppressAutoHyphens/>
    </w:pPr>
    <w:rPr>
      <w:b/>
      <w:bCs/>
      <w:lang w:val="fr-FR" w:eastAsia="fr-F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014566"/>
    <w:pPr>
      <w:suppressAutoHyphens/>
    </w:pPr>
    <w:rPr>
      <w:b/>
      <w:bCs/>
      <w:lang w:val="fr-FR" w:eastAsia="fr-F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014566"/>
    <w:pPr>
      <w:suppressAutoHyphens/>
    </w:pPr>
    <w:rPr>
      <w:b/>
      <w:bCs/>
      <w:lang w:val="fr-FR" w:eastAsia="fr-F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014566"/>
    <w:pPr>
      <w:suppressAutoHyphens/>
    </w:pPr>
    <w:rPr>
      <w:lang w:val="fr-FR" w:eastAsia="fr-F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014566"/>
    <w:pPr>
      <w:suppressAutoHyphens/>
    </w:pPr>
    <w:rPr>
      <w:lang w:val="fr-FR" w:eastAsia="fr-F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014566"/>
    <w:pPr>
      <w:suppressAutoHyphens/>
    </w:pPr>
    <w:rPr>
      <w:lang w:val="fr-FR" w:eastAsia="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014566"/>
    <w:pPr>
      <w:suppressAutoHyphens/>
    </w:pPr>
    <w:rPr>
      <w:lang w:val="fr-FR"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014566"/>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014566"/>
    <w:pPr>
      <w:suppressAutoHyphens/>
    </w:pPr>
    <w:rPr>
      <w:lang w:val="fr-FR" w:eastAsia="fr-F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014566"/>
    <w:pPr>
      <w:suppressAutoHyphens/>
    </w:pPr>
    <w:rPr>
      <w:lang w:val="fr-FR" w:eastAsia="fr-F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014566"/>
    <w:pPr>
      <w:suppressAutoHyphens/>
    </w:pPr>
    <w:rPr>
      <w:lang w:val="fr-FR" w:eastAsia="fr-F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014566"/>
    <w:pPr>
      <w:suppressAutoHyphens/>
    </w:pPr>
    <w:rPr>
      <w:b/>
      <w:bCs/>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014566"/>
    <w:pPr>
      <w:suppressAutoHyphens/>
    </w:pPr>
    <w:rPr>
      <w:lang w:val="fr-FR" w:eastAsia="fr-F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014566"/>
    <w:pPr>
      <w:suppressAutoHyphens/>
    </w:pPr>
    <w:rPr>
      <w:lang w:val="fr-FR" w:eastAsia="fr-F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014566"/>
    <w:pPr>
      <w:suppressAutoHyphens/>
    </w:pPr>
    <w:rPr>
      <w:lang w:val="fr-FR" w:eastAsia="fr-F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014566"/>
    <w:pPr>
      <w:suppressAutoHyphens/>
    </w:pPr>
    <w:rPr>
      <w:lang w:val="fr-FR" w:eastAsia="fr-F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014566"/>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014566"/>
    <w:pPr>
      <w:suppressAutoHyphens/>
    </w:pPr>
    <w:rPr>
      <w:lang w:val="fr-FR" w:eastAsia="fr-F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014566"/>
    <w:pPr>
      <w:suppressAutoHyphens/>
    </w:pPr>
    <w:rPr>
      <w:lang w:val="fr-FR" w:eastAsia="fr-F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014566"/>
    <w:pPr>
      <w:suppressAutoHyphens/>
    </w:pPr>
    <w:rPr>
      <w:lang w:val="fr-FR" w:eastAsia="fr-F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014566"/>
    <w:pPr>
      <w:ind w:left="240" w:hanging="240"/>
    </w:pPr>
  </w:style>
  <w:style w:type="paragraph" w:styleId="TableofFigures">
    <w:name w:val="table of figures"/>
    <w:basedOn w:val="Normal"/>
    <w:next w:val="Normal"/>
    <w:uiPriority w:val="99"/>
    <w:semiHidden/>
    <w:rsid w:val="00014566"/>
  </w:style>
  <w:style w:type="table" w:styleId="TableProfessional">
    <w:name w:val="Table Professional"/>
    <w:basedOn w:val="TableNormal"/>
    <w:uiPriority w:val="99"/>
    <w:semiHidden/>
    <w:rsid w:val="00014566"/>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014566"/>
    <w:pPr>
      <w:suppressAutoHyphens/>
    </w:pPr>
    <w:rPr>
      <w:lang w:val="fr-FR" w:eastAsia="fr-F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014566"/>
    <w:pPr>
      <w:suppressAutoHyphens/>
    </w:pPr>
    <w:rPr>
      <w:lang w:val="fr-FR" w:eastAsia="fr-F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014566"/>
    <w:pPr>
      <w:suppressAutoHyphens/>
    </w:pPr>
    <w:rPr>
      <w:lang w:val="fr-FR" w:eastAsia="fr-F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014566"/>
    <w:pPr>
      <w:suppressAutoHyphens/>
    </w:pPr>
    <w:rPr>
      <w:lang w:val="fr-FR" w:eastAsia="fr-F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014566"/>
    <w:pPr>
      <w:suppressAutoHyphens/>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014566"/>
    <w:pPr>
      <w:suppressAutoHyphens/>
    </w:pPr>
    <w:rPr>
      <w:lang w:val="fr-FR"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014566"/>
    <w:pPr>
      <w:suppressAutoHyphens/>
    </w:pPr>
    <w:rPr>
      <w:lang w:val="fr-FR"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014566"/>
    <w:pPr>
      <w:suppressAutoHyphens/>
    </w:pPr>
    <w:rPr>
      <w:lang w:val="fr-FR" w:eastAsia="fr-F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rsid w:val="00014566"/>
    <w:pPr>
      <w:spacing w:after="100"/>
      <w:ind w:left="1200"/>
    </w:pPr>
  </w:style>
  <w:style w:type="paragraph" w:styleId="TOC7">
    <w:name w:val="toc 7"/>
    <w:basedOn w:val="Normal"/>
    <w:next w:val="Normal"/>
    <w:autoRedefine/>
    <w:uiPriority w:val="99"/>
    <w:semiHidden/>
    <w:rsid w:val="00014566"/>
    <w:pPr>
      <w:spacing w:after="100"/>
      <w:ind w:left="1440"/>
    </w:pPr>
  </w:style>
  <w:style w:type="paragraph" w:styleId="TOC8">
    <w:name w:val="toc 8"/>
    <w:basedOn w:val="Normal"/>
    <w:next w:val="Normal"/>
    <w:autoRedefine/>
    <w:uiPriority w:val="99"/>
    <w:semiHidden/>
    <w:rsid w:val="00014566"/>
    <w:pPr>
      <w:spacing w:after="100"/>
      <w:ind w:left="1680"/>
    </w:pPr>
  </w:style>
  <w:style w:type="paragraph" w:styleId="TOC9">
    <w:name w:val="toc 9"/>
    <w:basedOn w:val="Normal"/>
    <w:next w:val="Normal"/>
    <w:autoRedefine/>
    <w:uiPriority w:val="99"/>
    <w:semiHidden/>
    <w:rsid w:val="00014566"/>
    <w:pPr>
      <w:spacing w:after="100"/>
      <w:ind w:left="1920"/>
    </w:pPr>
  </w:style>
  <w:style w:type="character" w:customStyle="1" w:styleId="ECHRParaChar">
    <w:name w:val="ECHR_Para Char"/>
    <w:aliases w:val="Ju_Para Char"/>
    <w:link w:val="ECHRPara"/>
    <w:uiPriority w:val="12"/>
    <w:rsid w:val="003071EE"/>
    <w:rPr>
      <w:rFonts w:eastAsiaTheme="minorEastAsia"/>
      <w:sz w:val="24"/>
    </w:rPr>
  </w:style>
  <w:style w:type="paragraph" w:customStyle="1" w:styleId="JuCourt">
    <w:name w:val="Ju_Court"/>
    <w:basedOn w:val="Normal"/>
    <w:next w:val="Normal"/>
    <w:uiPriority w:val="16"/>
    <w:qFormat/>
    <w:rsid w:val="005B75E3"/>
    <w:pPr>
      <w:tabs>
        <w:tab w:val="left" w:pos="907"/>
        <w:tab w:val="left" w:pos="1701"/>
        <w:tab w:val="right" w:pos="7371"/>
      </w:tabs>
      <w:spacing w:before="240"/>
      <w:ind w:left="397" w:hanging="397"/>
      <w:jc w:val="left"/>
    </w:pPr>
    <w:rPr>
      <w:lang w:bidi="en-US"/>
    </w:rPr>
  </w:style>
  <w:style w:type="paragraph" w:customStyle="1" w:styleId="DecList">
    <w:name w:val="Dec_List"/>
    <w:basedOn w:val="Normal"/>
    <w:uiPriority w:val="9"/>
    <w:rsid w:val="005B75E3"/>
    <w:pPr>
      <w:spacing w:before="240"/>
      <w:ind w:left="284"/>
    </w:pPr>
  </w:style>
  <w:style w:type="paragraph" w:customStyle="1" w:styleId="OpiH1">
    <w:name w:val="Opi_H_1"/>
    <w:basedOn w:val="ECHRHeading2"/>
    <w:uiPriority w:val="42"/>
    <w:qFormat/>
    <w:rsid w:val="005B75E3"/>
    <w:pPr>
      <w:ind w:left="635" w:hanging="357"/>
      <w:outlineLvl w:val="2"/>
    </w:pPr>
  </w:style>
  <w:style w:type="paragraph" w:customStyle="1" w:styleId="OpiHa0">
    <w:name w:val="Opi_H_a"/>
    <w:basedOn w:val="ECHRHeading3"/>
    <w:uiPriority w:val="43"/>
    <w:qFormat/>
    <w:rsid w:val="005B75E3"/>
    <w:pPr>
      <w:ind w:left="833" w:hanging="357"/>
      <w:outlineLvl w:val="3"/>
    </w:pPr>
    <w:rPr>
      <w:b/>
      <w:i w:val="0"/>
      <w:sz w:val="20"/>
    </w:rPr>
  </w:style>
  <w:style w:type="paragraph" w:customStyle="1" w:styleId="OpiHi">
    <w:name w:val="Opi_H_i"/>
    <w:basedOn w:val="ECHRHeading4"/>
    <w:uiPriority w:val="44"/>
    <w:qFormat/>
    <w:rsid w:val="005B75E3"/>
    <w:pPr>
      <w:ind w:left="1037" w:hanging="357"/>
      <w:outlineLvl w:val="4"/>
    </w:pPr>
    <w:rPr>
      <w:b w:val="0"/>
      <w:i/>
    </w:rPr>
  </w:style>
  <w:style w:type="paragraph" w:customStyle="1" w:styleId="DummyStyle">
    <w:name w:val="Dummy_Style"/>
    <w:basedOn w:val="Normal"/>
    <w:semiHidden/>
    <w:qFormat/>
    <w:rsid w:val="005B75E3"/>
    <w:rPr>
      <w:color w:val="00B050"/>
    </w:rPr>
  </w:style>
  <w:style w:type="paragraph" w:customStyle="1" w:styleId="tv2131">
    <w:name w:val="tv2131"/>
    <w:basedOn w:val="Normal"/>
    <w:rsid w:val="00465E11"/>
    <w:pPr>
      <w:spacing w:line="360" w:lineRule="auto"/>
      <w:ind w:firstLine="300"/>
      <w:jc w:val="left"/>
    </w:pPr>
    <w:rPr>
      <w:rFonts w:ascii="Times New Roman" w:eastAsia="Times New Roman" w:hAnsi="Times New Roman" w:cs="Times New Roman"/>
      <w:color w:val="414142"/>
      <w:sz w:val="20"/>
      <w:szCs w:val="20"/>
    </w:rPr>
  </w:style>
  <w:style w:type="character" w:customStyle="1" w:styleId="sb8d990e2">
    <w:name w:val="sb8d990e2"/>
    <w:basedOn w:val="DefaultParagraphFont"/>
    <w:rsid w:val="00CD2697"/>
  </w:style>
  <w:style w:type="character" w:customStyle="1" w:styleId="s6b621b36">
    <w:name w:val="s6b621b36"/>
    <w:basedOn w:val="DefaultParagraphFont"/>
    <w:rsid w:val="00CD2697"/>
  </w:style>
  <w:style w:type="paragraph" w:customStyle="1" w:styleId="s30eec3f8">
    <w:name w:val="s30eec3f8"/>
    <w:basedOn w:val="Normal"/>
    <w:rsid w:val="006B647C"/>
    <w:pPr>
      <w:spacing w:before="100" w:beforeAutospacing="1" w:after="100" w:afterAutospacing="1"/>
      <w:jc w:val="left"/>
    </w:pPr>
    <w:rPr>
      <w:rFonts w:ascii="Times New Roman" w:eastAsia="Times New Roman" w:hAnsi="Times New Roman" w:cs="Times New Roman"/>
      <w:szCs w:val="24"/>
    </w:rPr>
  </w:style>
  <w:style w:type="character" w:customStyle="1" w:styleId="sfbbfee58">
    <w:name w:val="sfbbfee58"/>
    <w:basedOn w:val="DefaultParagraphFont"/>
    <w:rsid w:val="00070ADE"/>
  </w:style>
  <w:style w:type="paragraph" w:customStyle="1" w:styleId="cptmaintitle0">
    <w:name w:val="cptmaintitle0"/>
    <w:basedOn w:val="Normal"/>
    <w:next w:val="Normal"/>
    <w:uiPriority w:val="99"/>
    <w:rsid w:val="00365244"/>
    <w:pPr>
      <w:autoSpaceDE w:val="0"/>
      <w:autoSpaceDN w:val="0"/>
      <w:adjustRightInd w:val="0"/>
      <w:jc w:val="left"/>
    </w:pPr>
    <w:rPr>
      <w:rFonts w:ascii="Arial" w:eastAsiaTheme="minorHAnsi" w:hAnsi="Arial" w:cs="Arial"/>
      <w:szCs w:val="24"/>
    </w:rPr>
  </w:style>
  <w:style w:type="paragraph" w:customStyle="1" w:styleId="H4">
    <w:name w:val="H4"/>
    <w:basedOn w:val="Normal"/>
    <w:next w:val="Normal"/>
    <w:rsid w:val="00D14D69"/>
    <w:pPr>
      <w:keepNext/>
      <w:widowControl w:val="0"/>
      <w:spacing w:before="100" w:after="100"/>
      <w:jc w:val="left"/>
      <w:outlineLvl w:val="4"/>
    </w:pPr>
    <w:rPr>
      <w:rFonts w:ascii="Times New Roman" w:eastAsia="Times New Roman" w:hAnsi="Times New Roman" w:cs="Times New Roman"/>
      <w:b/>
      <w:bCs/>
      <w:szCs w:val="24"/>
    </w:rPr>
  </w:style>
  <w:style w:type="character" w:customStyle="1" w:styleId="JuParaCar">
    <w:name w:val="Ju_Para Car"/>
    <w:uiPriority w:val="12"/>
    <w:rsid w:val="00DB6424"/>
    <w:rPr>
      <w:rFonts w:eastAsiaTheme="minorEastAsia"/>
      <w:sz w:val="24"/>
    </w:rPr>
  </w:style>
  <w:style w:type="paragraph" w:styleId="Revision">
    <w:name w:val="Revision"/>
    <w:hidden/>
    <w:uiPriority w:val="99"/>
    <w:semiHidden/>
    <w:rsid w:val="001A4F45"/>
    <w:rPr>
      <w:rFonts w:eastAsiaTheme="minorEastAsia"/>
      <w:sz w:val="24"/>
    </w:rPr>
  </w:style>
  <w:style w:type="character" w:customStyle="1" w:styleId="JuNames0">
    <w:name w:val="Ju_Names"/>
    <w:basedOn w:val="DefaultParagraphFont"/>
    <w:rsid w:val="00E96AB9"/>
    <w:rPr>
      <w:rFonts w:ascii="Times New Roman" w:hAnsi="Times New Roman"/>
      <w:smallCaps/>
      <w:noProof/>
      <w:sz w:val="24"/>
      <w:vertAlign w:val="baseline"/>
    </w:rPr>
  </w:style>
  <w:style w:type="character" w:customStyle="1" w:styleId="wordhighlighted">
    <w:name w:val="wordhighlighted"/>
    <w:basedOn w:val="DefaultParagraphFont"/>
    <w:rsid w:val="00665498"/>
  </w:style>
  <w:style w:type="paragraph" w:customStyle="1" w:styleId="jupara">
    <w:name w:val="jupara"/>
    <w:basedOn w:val="Normal"/>
    <w:rsid w:val="00482355"/>
    <w:pPr>
      <w:ind w:firstLine="284"/>
    </w:pPr>
    <w:rPr>
      <w:rFonts w:ascii="Times New Roman" w:eastAsia="Times New Roman" w:hAnsi="Times New Roman" w:cs="Times New Roman"/>
      <w:szCs w:val="24"/>
      <w:lang w:val="en-GB" w:eastAsia="en-GB"/>
    </w:rPr>
  </w:style>
  <w:style w:type="paragraph" w:customStyle="1" w:styleId="jucase0">
    <w:name w:val="jucase"/>
    <w:basedOn w:val="Normal"/>
    <w:rsid w:val="00482355"/>
    <w:pPr>
      <w:ind w:firstLine="284"/>
    </w:pPr>
    <w:rPr>
      <w:rFonts w:ascii="Times New Roman" w:eastAsia="Times New Roman" w:hAnsi="Times New Roman" w:cs="Times New Roman"/>
      <w:b/>
      <w:bCs/>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11239">
      <w:bodyDiv w:val="1"/>
      <w:marLeft w:val="0"/>
      <w:marRight w:val="0"/>
      <w:marTop w:val="0"/>
      <w:marBottom w:val="0"/>
      <w:divBdr>
        <w:top w:val="none" w:sz="0" w:space="0" w:color="auto"/>
        <w:left w:val="none" w:sz="0" w:space="0" w:color="auto"/>
        <w:bottom w:val="none" w:sz="0" w:space="0" w:color="auto"/>
        <w:right w:val="none" w:sz="0" w:space="0" w:color="auto"/>
      </w:divBdr>
      <w:divsChild>
        <w:div w:id="1251159290">
          <w:marLeft w:val="0"/>
          <w:marRight w:val="0"/>
          <w:marTop w:val="0"/>
          <w:marBottom w:val="0"/>
          <w:divBdr>
            <w:top w:val="none" w:sz="0" w:space="0" w:color="auto"/>
            <w:left w:val="none" w:sz="0" w:space="0" w:color="auto"/>
            <w:bottom w:val="none" w:sz="0" w:space="0" w:color="auto"/>
            <w:right w:val="none" w:sz="0" w:space="0" w:color="auto"/>
          </w:divBdr>
          <w:divsChild>
            <w:div w:id="1757051030">
              <w:marLeft w:val="0"/>
              <w:marRight w:val="0"/>
              <w:marTop w:val="0"/>
              <w:marBottom w:val="0"/>
              <w:divBdr>
                <w:top w:val="none" w:sz="0" w:space="0" w:color="auto"/>
                <w:left w:val="none" w:sz="0" w:space="0" w:color="auto"/>
                <w:bottom w:val="none" w:sz="0" w:space="0" w:color="auto"/>
                <w:right w:val="none" w:sz="0" w:space="0" w:color="auto"/>
              </w:divBdr>
              <w:divsChild>
                <w:div w:id="931086904">
                  <w:marLeft w:val="0"/>
                  <w:marRight w:val="0"/>
                  <w:marTop w:val="0"/>
                  <w:marBottom w:val="0"/>
                  <w:divBdr>
                    <w:top w:val="none" w:sz="0" w:space="0" w:color="auto"/>
                    <w:left w:val="none" w:sz="0" w:space="0" w:color="auto"/>
                    <w:bottom w:val="none" w:sz="0" w:space="0" w:color="auto"/>
                    <w:right w:val="none" w:sz="0" w:space="0" w:color="auto"/>
                  </w:divBdr>
                  <w:divsChild>
                    <w:div w:id="1839468109">
                      <w:marLeft w:val="0"/>
                      <w:marRight w:val="0"/>
                      <w:marTop w:val="0"/>
                      <w:marBottom w:val="0"/>
                      <w:divBdr>
                        <w:top w:val="none" w:sz="0" w:space="0" w:color="auto"/>
                        <w:left w:val="none" w:sz="0" w:space="0" w:color="auto"/>
                        <w:bottom w:val="none" w:sz="0" w:space="0" w:color="auto"/>
                        <w:right w:val="none" w:sz="0" w:space="0" w:color="auto"/>
                      </w:divBdr>
                      <w:divsChild>
                        <w:div w:id="341779998">
                          <w:marLeft w:val="0"/>
                          <w:marRight w:val="0"/>
                          <w:marTop w:val="0"/>
                          <w:marBottom w:val="0"/>
                          <w:divBdr>
                            <w:top w:val="none" w:sz="0" w:space="0" w:color="auto"/>
                            <w:left w:val="none" w:sz="0" w:space="0" w:color="auto"/>
                            <w:bottom w:val="none" w:sz="0" w:space="0" w:color="auto"/>
                            <w:right w:val="none" w:sz="0" w:space="0" w:color="auto"/>
                          </w:divBdr>
                          <w:divsChild>
                            <w:div w:id="116701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64330">
      <w:bodyDiv w:val="1"/>
      <w:marLeft w:val="0"/>
      <w:marRight w:val="0"/>
      <w:marTop w:val="0"/>
      <w:marBottom w:val="0"/>
      <w:divBdr>
        <w:top w:val="none" w:sz="0" w:space="0" w:color="auto"/>
        <w:left w:val="none" w:sz="0" w:space="0" w:color="auto"/>
        <w:bottom w:val="none" w:sz="0" w:space="0" w:color="auto"/>
        <w:right w:val="none" w:sz="0" w:space="0" w:color="auto"/>
      </w:divBdr>
      <w:divsChild>
        <w:div w:id="487480113">
          <w:marLeft w:val="0"/>
          <w:marRight w:val="0"/>
          <w:marTop w:val="0"/>
          <w:marBottom w:val="0"/>
          <w:divBdr>
            <w:top w:val="none" w:sz="0" w:space="0" w:color="auto"/>
            <w:left w:val="none" w:sz="0" w:space="0" w:color="auto"/>
            <w:bottom w:val="none" w:sz="0" w:space="0" w:color="auto"/>
            <w:right w:val="none" w:sz="0" w:space="0" w:color="auto"/>
          </w:divBdr>
          <w:divsChild>
            <w:div w:id="621226087">
              <w:marLeft w:val="0"/>
              <w:marRight w:val="0"/>
              <w:marTop w:val="0"/>
              <w:marBottom w:val="0"/>
              <w:divBdr>
                <w:top w:val="none" w:sz="0" w:space="0" w:color="auto"/>
                <w:left w:val="none" w:sz="0" w:space="0" w:color="auto"/>
                <w:bottom w:val="none" w:sz="0" w:space="0" w:color="auto"/>
                <w:right w:val="none" w:sz="0" w:space="0" w:color="auto"/>
              </w:divBdr>
              <w:divsChild>
                <w:div w:id="308629397">
                  <w:marLeft w:val="0"/>
                  <w:marRight w:val="0"/>
                  <w:marTop w:val="0"/>
                  <w:marBottom w:val="0"/>
                  <w:divBdr>
                    <w:top w:val="none" w:sz="0" w:space="0" w:color="auto"/>
                    <w:left w:val="none" w:sz="0" w:space="0" w:color="auto"/>
                    <w:bottom w:val="none" w:sz="0" w:space="0" w:color="auto"/>
                    <w:right w:val="none" w:sz="0" w:space="0" w:color="auto"/>
                  </w:divBdr>
                  <w:divsChild>
                    <w:div w:id="139107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950945">
      <w:bodyDiv w:val="1"/>
      <w:marLeft w:val="0"/>
      <w:marRight w:val="0"/>
      <w:marTop w:val="0"/>
      <w:marBottom w:val="0"/>
      <w:divBdr>
        <w:top w:val="none" w:sz="0" w:space="0" w:color="auto"/>
        <w:left w:val="none" w:sz="0" w:space="0" w:color="auto"/>
        <w:bottom w:val="none" w:sz="0" w:space="0" w:color="auto"/>
        <w:right w:val="none" w:sz="0" w:space="0" w:color="auto"/>
      </w:divBdr>
      <w:divsChild>
        <w:div w:id="584069697">
          <w:marLeft w:val="0"/>
          <w:marRight w:val="0"/>
          <w:marTop w:val="0"/>
          <w:marBottom w:val="0"/>
          <w:divBdr>
            <w:top w:val="none" w:sz="0" w:space="0" w:color="auto"/>
            <w:left w:val="none" w:sz="0" w:space="0" w:color="auto"/>
            <w:bottom w:val="none" w:sz="0" w:space="0" w:color="auto"/>
            <w:right w:val="none" w:sz="0" w:space="0" w:color="auto"/>
          </w:divBdr>
          <w:divsChild>
            <w:div w:id="848567339">
              <w:marLeft w:val="0"/>
              <w:marRight w:val="0"/>
              <w:marTop w:val="0"/>
              <w:marBottom w:val="0"/>
              <w:divBdr>
                <w:top w:val="none" w:sz="0" w:space="0" w:color="auto"/>
                <w:left w:val="none" w:sz="0" w:space="0" w:color="auto"/>
                <w:bottom w:val="none" w:sz="0" w:space="0" w:color="auto"/>
                <w:right w:val="none" w:sz="0" w:space="0" w:color="auto"/>
              </w:divBdr>
              <w:divsChild>
                <w:div w:id="1341739986">
                  <w:marLeft w:val="0"/>
                  <w:marRight w:val="0"/>
                  <w:marTop w:val="0"/>
                  <w:marBottom w:val="0"/>
                  <w:divBdr>
                    <w:top w:val="none" w:sz="0" w:space="0" w:color="auto"/>
                    <w:left w:val="none" w:sz="0" w:space="0" w:color="auto"/>
                    <w:bottom w:val="none" w:sz="0" w:space="0" w:color="auto"/>
                    <w:right w:val="none" w:sz="0" w:space="0" w:color="auto"/>
                  </w:divBdr>
                  <w:divsChild>
                    <w:div w:id="191842901">
                      <w:marLeft w:val="0"/>
                      <w:marRight w:val="0"/>
                      <w:marTop w:val="0"/>
                      <w:marBottom w:val="0"/>
                      <w:divBdr>
                        <w:top w:val="none" w:sz="0" w:space="0" w:color="auto"/>
                        <w:left w:val="none" w:sz="0" w:space="0" w:color="auto"/>
                        <w:bottom w:val="none" w:sz="0" w:space="0" w:color="auto"/>
                        <w:right w:val="none" w:sz="0" w:space="0" w:color="auto"/>
                      </w:divBdr>
                      <w:divsChild>
                        <w:div w:id="1490442210">
                          <w:marLeft w:val="0"/>
                          <w:marRight w:val="0"/>
                          <w:marTop w:val="0"/>
                          <w:marBottom w:val="0"/>
                          <w:divBdr>
                            <w:top w:val="none" w:sz="0" w:space="0" w:color="auto"/>
                            <w:left w:val="none" w:sz="0" w:space="0" w:color="auto"/>
                            <w:bottom w:val="none" w:sz="0" w:space="0" w:color="auto"/>
                            <w:right w:val="none" w:sz="0" w:space="0" w:color="auto"/>
                          </w:divBdr>
                          <w:divsChild>
                            <w:div w:id="1932885841">
                              <w:marLeft w:val="0"/>
                              <w:marRight w:val="0"/>
                              <w:marTop w:val="0"/>
                              <w:marBottom w:val="0"/>
                              <w:divBdr>
                                <w:top w:val="none" w:sz="0" w:space="0" w:color="auto"/>
                                <w:left w:val="none" w:sz="0" w:space="0" w:color="auto"/>
                                <w:bottom w:val="none" w:sz="0" w:space="0" w:color="auto"/>
                                <w:right w:val="none" w:sz="0" w:space="0" w:color="auto"/>
                              </w:divBdr>
                              <w:divsChild>
                                <w:div w:id="283658672">
                                  <w:marLeft w:val="0"/>
                                  <w:marRight w:val="0"/>
                                  <w:marTop w:val="0"/>
                                  <w:marBottom w:val="0"/>
                                  <w:divBdr>
                                    <w:top w:val="none" w:sz="0" w:space="0" w:color="auto"/>
                                    <w:left w:val="none" w:sz="0" w:space="0" w:color="auto"/>
                                    <w:bottom w:val="none" w:sz="0" w:space="0" w:color="auto"/>
                                    <w:right w:val="none" w:sz="0" w:space="0" w:color="auto"/>
                                  </w:divBdr>
                                </w:div>
                              </w:divsChild>
                            </w:div>
                            <w:div w:id="1973754985">
                              <w:marLeft w:val="0"/>
                              <w:marRight w:val="0"/>
                              <w:marTop w:val="0"/>
                              <w:marBottom w:val="0"/>
                              <w:divBdr>
                                <w:top w:val="none" w:sz="0" w:space="0" w:color="auto"/>
                                <w:left w:val="none" w:sz="0" w:space="0" w:color="auto"/>
                                <w:bottom w:val="none" w:sz="0" w:space="0" w:color="auto"/>
                                <w:right w:val="none" w:sz="0" w:space="0" w:color="auto"/>
                              </w:divBdr>
                              <w:divsChild>
                                <w:div w:id="108546757">
                                  <w:marLeft w:val="0"/>
                                  <w:marRight w:val="0"/>
                                  <w:marTop w:val="0"/>
                                  <w:marBottom w:val="0"/>
                                  <w:divBdr>
                                    <w:top w:val="none" w:sz="0" w:space="0" w:color="auto"/>
                                    <w:left w:val="none" w:sz="0" w:space="0" w:color="auto"/>
                                    <w:bottom w:val="none" w:sz="0" w:space="0" w:color="auto"/>
                                    <w:right w:val="none" w:sz="0" w:space="0" w:color="auto"/>
                                  </w:divBdr>
                                </w:div>
                              </w:divsChild>
                            </w:div>
                            <w:div w:id="602151368">
                              <w:marLeft w:val="0"/>
                              <w:marRight w:val="0"/>
                              <w:marTop w:val="0"/>
                              <w:marBottom w:val="0"/>
                              <w:divBdr>
                                <w:top w:val="none" w:sz="0" w:space="0" w:color="auto"/>
                                <w:left w:val="none" w:sz="0" w:space="0" w:color="auto"/>
                                <w:bottom w:val="none" w:sz="0" w:space="0" w:color="auto"/>
                                <w:right w:val="none" w:sz="0" w:space="0" w:color="auto"/>
                              </w:divBdr>
                              <w:divsChild>
                                <w:div w:id="118036769">
                                  <w:marLeft w:val="0"/>
                                  <w:marRight w:val="0"/>
                                  <w:marTop w:val="0"/>
                                  <w:marBottom w:val="0"/>
                                  <w:divBdr>
                                    <w:top w:val="none" w:sz="0" w:space="0" w:color="auto"/>
                                    <w:left w:val="none" w:sz="0" w:space="0" w:color="auto"/>
                                    <w:bottom w:val="none" w:sz="0" w:space="0" w:color="auto"/>
                                    <w:right w:val="none" w:sz="0" w:space="0" w:color="auto"/>
                                  </w:divBdr>
                                </w:div>
                              </w:divsChild>
                            </w:div>
                            <w:div w:id="1653100962">
                              <w:marLeft w:val="0"/>
                              <w:marRight w:val="0"/>
                              <w:marTop w:val="0"/>
                              <w:marBottom w:val="0"/>
                              <w:divBdr>
                                <w:top w:val="none" w:sz="0" w:space="0" w:color="auto"/>
                                <w:left w:val="none" w:sz="0" w:space="0" w:color="auto"/>
                                <w:bottom w:val="none" w:sz="0" w:space="0" w:color="auto"/>
                                <w:right w:val="none" w:sz="0" w:space="0" w:color="auto"/>
                              </w:divBdr>
                              <w:divsChild>
                                <w:div w:id="805665680">
                                  <w:marLeft w:val="0"/>
                                  <w:marRight w:val="0"/>
                                  <w:marTop w:val="0"/>
                                  <w:marBottom w:val="0"/>
                                  <w:divBdr>
                                    <w:top w:val="none" w:sz="0" w:space="0" w:color="auto"/>
                                    <w:left w:val="none" w:sz="0" w:space="0" w:color="auto"/>
                                    <w:bottom w:val="none" w:sz="0" w:space="0" w:color="auto"/>
                                    <w:right w:val="none" w:sz="0" w:space="0" w:color="auto"/>
                                  </w:divBdr>
                                </w:div>
                              </w:divsChild>
                            </w:div>
                            <w:div w:id="672490075">
                              <w:marLeft w:val="0"/>
                              <w:marRight w:val="0"/>
                              <w:marTop w:val="0"/>
                              <w:marBottom w:val="0"/>
                              <w:divBdr>
                                <w:top w:val="none" w:sz="0" w:space="0" w:color="auto"/>
                                <w:left w:val="none" w:sz="0" w:space="0" w:color="auto"/>
                                <w:bottom w:val="none" w:sz="0" w:space="0" w:color="auto"/>
                                <w:right w:val="none" w:sz="0" w:space="0" w:color="auto"/>
                              </w:divBdr>
                              <w:divsChild>
                                <w:div w:id="1203902570">
                                  <w:marLeft w:val="0"/>
                                  <w:marRight w:val="0"/>
                                  <w:marTop w:val="0"/>
                                  <w:marBottom w:val="0"/>
                                  <w:divBdr>
                                    <w:top w:val="none" w:sz="0" w:space="0" w:color="auto"/>
                                    <w:left w:val="none" w:sz="0" w:space="0" w:color="auto"/>
                                    <w:bottom w:val="none" w:sz="0" w:space="0" w:color="auto"/>
                                    <w:right w:val="none" w:sz="0" w:space="0" w:color="auto"/>
                                  </w:divBdr>
                                </w:div>
                              </w:divsChild>
                            </w:div>
                            <w:div w:id="136387089">
                              <w:marLeft w:val="0"/>
                              <w:marRight w:val="0"/>
                              <w:marTop w:val="0"/>
                              <w:marBottom w:val="0"/>
                              <w:divBdr>
                                <w:top w:val="none" w:sz="0" w:space="0" w:color="auto"/>
                                <w:left w:val="none" w:sz="0" w:space="0" w:color="auto"/>
                                <w:bottom w:val="none" w:sz="0" w:space="0" w:color="auto"/>
                                <w:right w:val="none" w:sz="0" w:space="0" w:color="auto"/>
                              </w:divBdr>
                              <w:divsChild>
                                <w:div w:id="1810588042">
                                  <w:marLeft w:val="0"/>
                                  <w:marRight w:val="0"/>
                                  <w:marTop w:val="0"/>
                                  <w:marBottom w:val="0"/>
                                  <w:divBdr>
                                    <w:top w:val="none" w:sz="0" w:space="0" w:color="auto"/>
                                    <w:left w:val="none" w:sz="0" w:space="0" w:color="auto"/>
                                    <w:bottom w:val="none" w:sz="0" w:space="0" w:color="auto"/>
                                    <w:right w:val="none" w:sz="0" w:space="0" w:color="auto"/>
                                  </w:divBdr>
                                </w:div>
                              </w:divsChild>
                            </w:div>
                            <w:div w:id="52055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530799">
      <w:bodyDiv w:val="1"/>
      <w:marLeft w:val="0"/>
      <w:marRight w:val="0"/>
      <w:marTop w:val="0"/>
      <w:marBottom w:val="0"/>
      <w:divBdr>
        <w:top w:val="none" w:sz="0" w:space="0" w:color="auto"/>
        <w:left w:val="none" w:sz="0" w:space="0" w:color="auto"/>
        <w:bottom w:val="none" w:sz="0" w:space="0" w:color="auto"/>
        <w:right w:val="none" w:sz="0" w:space="0" w:color="auto"/>
      </w:divBdr>
      <w:divsChild>
        <w:div w:id="1509172571">
          <w:marLeft w:val="0"/>
          <w:marRight w:val="0"/>
          <w:marTop w:val="0"/>
          <w:marBottom w:val="0"/>
          <w:divBdr>
            <w:top w:val="none" w:sz="0" w:space="0" w:color="auto"/>
            <w:left w:val="none" w:sz="0" w:space="0" w:color="auto"/>
            <w:bottom w:val="none" w:sz="0" w:space="0" w:color="auto"/>
            <w:right w:val="none" w:sz="0" w:space="0" w:color="auto"/>
          </w:divBdr>
          <w:divsChild>
            <w:div w:id="1450474090">
              <w:marLeft w:val="0"/>
              <w:marRight w:val="0"/>
              <w:marTop w:val="0"/>
              <w:marBottom w:val="0"/>
              <w:divBdr>
                <w:top w:val="none" w:sz="0" w:space="0" w:color="auto"/>
                <w:left w:val="none" w:sz="0" w:space="0" w:color="auto"/>
                <w:bottom w:val="none" w:sz="0" w:space="0" w:color="auto"/>
                <w:right w:val="none" w:sz="0" w:space="0" w:color="auto"/>
              </w:divBdr>
              <w:divsChild>
                <w:div w:id="396755213">
                  <w:marLeft w:val="0"/>
                  <w:marRight w:val="0"/>
                  <w:marTop w:val="0"/>
                  <w:marBottom w:val="0"/>
                  <w:divBdr>
                    <w:top w:val="none" w:sz="0" w:space="0" w:color="auto"/>
                    <w:left w:val="none" w:sz="0" w:space="0" w:color="auto"/>
                    <w:bottom w:val="none" w:sz="0" w:space="0" w:color="auto"/>
                    <w:right w:val="none" w:sz="0" w:space="0" w:color="auto"/>
                  </w:divBdr>
                  <w:divsChild>
                    <w:div w:id="1713339798">
                      <w:marLeft w:val="0"/>
                      <w:marRight w:val="0"/>
                      <w:marTop w:val="0"/>
                      <w:marBottom w:val="0"/>
                      <w:divBdr>
                        <w:top w:val="none" w:sz="0" w:space="0" w:color="auto"/>
                        <w:left w:val="none" w:sz="0" w:space="0" w:color="auto"/>
                        <w:bottom w:val="none" w:sz="0" w:space="0" w:color="auto"/>
                        <w:right w:val="none" w:sz="0" w:space="0" w:color="auto"/>
                      </w:divBdr>
                      <w:divsChild>
                        <w:div w:id="1499343597">
                          <w:marLeft w:val="0"/>
                          <w:marRight w:val="0"/>
                          <w:marTop w:val="0"/>
                          <w:marBottom w:val="0"/>
                          <w:divBdr>
                            <w:top w:val="none" w:sz="0" w:space="0" w:color="auto"/>
                            <w:left w:val="none" w:sz="0" w:space="0" w:color="auto"/>
                            <w:bottom w:val="none" w:sz="0" w:space="0" w:color="auto"/>
                            <w:right w:val="none" w:sz="0" w:space="0" w:color="auto"/>
                          </w:divBdr>
                          <w:divsChild>
                            <w:div w:id="148288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365830">
      <w:bodyDiv w:val="1"/>
      <w:marLeft w:val="0"/>
      <w:marRight w:val="0"/>
      <w:marTop w:val="0"/>
      <w:marBottom w:val="0"/>
      <w:divBdr>
        <w:top w:val="none" w:sz="0" w:space="0" w:color="auto"/>
        <w:left w:val="none" w:sz="0" w:space="0" w:color="auto"/>
        <w:bottom w:val="none" w:sz="0" w:space="0" w:color="auto"/>
        <w:right w:val="none" w:sz="0" w:space="0" w:color="auto"/>
      </w:divBdr>
      <w:divsChild>
        <w:div w:id="1668706858">
          <w:marLeft w:val="0"/>
          <w:marRight w:val="0"/>
          <w:marTop w:val="0"/>
          <w:marBottom w:val="0"/>
          <w:divBdr>
            <w:top w:val="none" w:sz="0" w:space="0" w:color="auto"/>
            <w:left w:val="none" w:sz="0" w:space="0" w:color="auto"/>
            <w:bottom w:val="none" w:sz="0" w:space="0" w:color="auto"/>
            <w:right w:val="none" w:sz="0" w:space="0" w:color="auto"/>
          </w:divBdr>
          <w:divsChild>
            <w:div w:id="577713615">
              <w:marLeft w:val="0"/>
              <w:marRight w:val="0"/>
              <w:marTop w:val="0"/>
              <w:marBottom w:val="0"/>
              <w:divBdr>
                <w:top w:val="none" w:sz="0" w:space="0" w:color="auto"/>
                <w:left w:val="none" w:sz="0" w:space="0" w:color="auto"/>
                <w:bottom w:val="none" w:sz="0" w:space="0" w:color="auto"/>
                <w:right w:val="none" w:sz="0" w:space="0" w:color="auto"/>
              </w:divBdr>
              <w:divsChild>
                <w:div w:id="1010914798">
                  <w:marLeft w:val="0"/>
                  <w:marRight w:val="0"/>
                  <w:marTop w:val="0"/>
                  <w:marBottom w:val="0"/>
                  <w:divBdr>
                    <w:top w:val="none" w:sz="0" w:space="0" w:color="auto"/>
                    <w:left w:val="none" w:sz="0" w:space="0" w:color="auto"/>
                    <w:bottom w:val="none" w:sz="0" w:space="0" w:color="auto"/>
                    <w:right w:val="none" w:sz="0" w:space="0" w:color="auto"/>
                  </w:divBdr>
                  <w:divsChild>
                    <w:div w:id="868252011">
                      <w:marLeft w:val="0"/>
                      <w:marRight w:val="0"/>
                      <w:marTop w:val="0"/>
                      <w:marBottom w:val="0"/>
                      <w:divBdr>
                        <w:top w:val="none" w:sz="0" w:space="0" w:color="auto"/>
                        <w:left w:val="none" w:sz="0" w:space="0" w:color="auto"/>
                        <w:bottom w:val="none" w:sz="0" w:space="0" w:color="auto"/>
                        <w:right w:val="none" w:sz="0" w:space="0" w:color="auto"/>
                      </w:divBdr>
                      <w:divsChild>
                        <w:div w:id="2117358709">
                          <w:marLeft w:val="0"/>
                          <w:marRight w:val="0"/>
                          <w:marTop w:val="0"/>
                          <w:marBottom w:val="0"/>
                          <w:divBdr>
                            <w:top w:val="none" w:sz="0" w:space="0" w:color="auto"/>
                            <w:left w:val="none" w:sz="0" w:space="0" w:color="auto"/>
                            <w:bottom w:val="none" w:sz="0" w:space="0" w:color="auto"/>
                            <w:right w:val="none" w:sz="0" w:space="0" w:color="auto"/>
                          </w:divBdr>
                          <w:divsChild>
                            <w:div w:id="155276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3416679">
      <w:bodyDiv w:val="1"/>
      <w:marLeft w:val="0"/>
      <w:marRight w:val="0"/>
      <w:marTop w:val="0"/>
      <w:marBottom w:val="0"/>
      <w:divBdr>
        <w:top w:val="none" w:sz="0" w:space="0" w:color="auto"/>
        <w:left w:val="none" w:sz="0" w:space="0" w:color="auto"/>
        <w:bottom w:val="none" w:sz="0" w:space="0" w:color="auto"/>
        <w:right w:val="none" w:sz="0" w:space="0" w:color="auto"/>
      </w:divBdr>
      <w:divsChild>
        <w:div w:id="1128741834">
          <w:marLeft w:val="0"/>
          <w:marRight w:val="0"/>
          <w:marTop w:val="0"/>
          <w:marBottom w:val="0"/>
          <w:divBdr>
            <w:top w:val="none" w:sz="0" w:space="0" w:color="auto"/>
            <w:left w:val="none" w:sz="0" w:space="0" w:color="auto"/>
            <w:bottom w:val="none" w:sz="0" w:space="0" w:color="auto"/>
            <w:right w:val="none" w:sz="0" w:space="0" w:color="auto"/>
          </w:divBdr>
          <w:divsChild>
            <w:div w:id="2004822070">
              <w:marLeft w:val="0"/>
              <w:marRight w:val="0"/>
              <w:marTop w:val="0"/>
              <w:marBottom w:val="0"/>
              <w:divBdr>
                <w:top w:val="none" w:sz="0" w:space="0" w:color="auto"/>
                <w:left w:val="none" w:sz="0" w:space="0" w:color="auto"/>
                <w:bottom w:val="none" w:sz="0" w:space="0" w:color="auto"/>
                <w:right w:val="none" w:sz="0" w:space="0" w:color="auto"/>
              </w:divBdr>
              <w:divsChild>
                <w:div w:id="1759208128">
                  <w:marLeft w:val="0"/>
                  <w:marRight w:val="0"/>
                  <w:marTop w:val="0"/>
                  <w:marBottom w:val="0"/>
                  <w:divBdr>
                    <w:top w:val="none" w:sz="0" w:space="0" w:color="auto"/>
                    <w:left w:val="none" w:sz="0" w:space="0" w:color="auto"/>
                    <w:bottom w:val="none" w:sz="0" w:space="0" w:color="auto"/>
                    <w:right w:val="none" w:sz="0" w:space="0" w:color="auto"/>
                  </w:divBdr>
                  <w:divsChild>
                    <w:div w:id="119048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775163">
      <w:bodyDiv w:val="1"/>
      <w:marLeft w:val="0"/>
      <w:marRight w:val="0"/>
      <w:marTop w:val="0"/>
      <w:marBottom w:val="0"/>
      <w:divBdr>
        <w:top w:val="none" w:sz="0" w:space="0" w:color="auto"/>
        <w:left w:val="none" w:sz="0" w:space="0" w:color="auto"/>
        <w:bottom w:val="none" w:sz="0" w:space="0" w:color="auto"/>
        <w:right w:val="none" w:sz="0" w:space="0" w:color="auto"/>
      </w:divBdr>
      <w:divsChild>
        <w:div w:id="1900751947">
          <w:marLeft w:val="0"/>
          <w:marRight w:val="0"/>
          <w:marTop w:val="0"/>
          <w:marBottom w:val="0"/>
          <w:divBdr>
            <w:top w:val="none" w:sz="0" w:space="0" w:color="auto"/>
            <w:left w:val="none" w:sz="0" w:space="0" w:color="auto"/>
            <w:bottom w:val="none" w:sz="0" w:space="0" w:color="auto"/>
            <w:right w:val="none" w:sz="0" w:space="0" w:color="auto"/>
          </w:divBdr>
          <w:divsChild>
            <w:div w:id="211582938">
              <w:marLeft w:val="0"/>
              <w:marRight w:val="0"/>
              <w:marTop w:val="0"/>
              <w:marBottom w:val="0"/>
              <w:divBdr>
                <w:top w:val="none" w:sz="0" w:space="0" w:color="auto"/>
                <w:left w:val="none" w:sz="0" w:space="0" w:color="auto"/>
                <w:bottom w:val="none" w:sz="0" w:space="0" w:color="auto"/>
                <w:right w:val="none" w:sz="0" w:space="0" w:color="auto"/>
              </w:divBdr>
              <w:divsChild>
                <w:div w:id="837383166">
                  <w:marLeft w:val="0"/>
                  <w:marRight w:val="0"/>
                  <w:marTop w:val="0"/>
                  <w:marBottom w:val="0"/>
                  <w:divBdr>
                    <w:top w:val="none" w:sz="0" w:space="0" w:color="auto"/>
                    <w:left w:val="none" w:sz="0" w:space="0" w:color="auto"/>
                    <w:bottom w:val="none" w:sz="0" w:space="0" w:color="auto"/>
                    <w:right w:val="none" w:sz="0" w:space="0" w:color="auto"/>
                  </w:divBdr>
                  <w:divsChild>
                    <w:div w:id="176308243">
                      <w:marLeft w:val="0"/>
                      <w:marRight w:val="0"/>
                      <w:marTop w:val="0"/>
                      <w:marBottom w:val="0"/>
                      <w:divBdr>
                        <w:top w:val="none" w:sz="0" w:space="0" w:color="auto"/>
                        <w:left w:val="none" w:sz="0" w:space="0" w:color="auto"/>
                        <w:bottom w:val="none" w:sz="0" w:space="0" w:color="auto"/>
                        <w:right w:val="none" w:sz="0" w:space="0" w:color="auto"/>
                      </w:divBdr>
                      <w:divsChild>
                        <w:div w:id="1637175982">
                          <w:marLeft w:val="0"/>
                          <w:marRight w:val="0"/>
                          <w:marTop w:val="0"/>
                          <w:marBottom w:val="0"/>
                          <w:divBdr>
                            <w:top w:val="none" w:sz="0" w:space="0" w:color="auto"/>
                            <w:left w:val="none" w:sz="0" w:space="0" w:color="auto"/>
                            <w:bottom w:val="none" w:sz="0" w:space="0" w:color="auto"/>
                            <w:right w:val="none" w:sz="0" w:space="0" w:color="auto"/>
                          </w:divBdr>
                          <w:divsChild>
                            <w:div w:id="15625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476F8-CC74-42A3-951D-98AD91871B8F}">
  <ds:schemaRefs>
    <ds:schemaRef ds:uri="http://schemas.microsoft.com/sharepoint/v3/contenttype/forms"/>
  </ds:schemaRefs>
</ds:datastoreItem>
</file>

<file path=customXml/itemProps2.xml><?xml version="1.0" encoding="utf-8"?>
<ds:datastoreItem xmlns:ds="http://schemas.openxmlformats.org/officeDocument/2006/customXml" ds:itemID="{40731937-1AB5-4314-B001-C635E2BD1C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3D22B7-C065-49F5-AADB-19B7A7581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AFA5B6A-8740-4157-A9F5-B1C69B617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26713</Words>
  <Characters>15227</Characters>
  <Application>Microsoft Office Word</Application>
  <DocSecurity>0</DocSecurity>
  <Lines>126</Lines>
  <Paragraphs>83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ECHR</vt:lpstr>
      <vt:lpstr>ECHR</vt:lpstr>
    </vt:vector>
  </TitlesOfParts>
  <LinksUpToDate>false</LinksUpToDate>
  <CharactersWithSpaces>41857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DJ</dc:subject>
  <dc:creator/>
  <cp:lastModifiedBy/>
  <cp:revision>1</cp:revision>
  <dcterms:created xsi:type="dcterms:W3CDTF">2015-11-26T14:31:00Z</dcterms:created>
  <dcterms:modified xsi:type="dcterms:W3CDTF">2015-11-26T14:31:00Z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0x010100558EB02BDB9E204AB350EDD385B68E10</vt:lpwstr>
  </property>
</Properties>
</file>