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345" w:rsidRPr="00832E00" w:rsidRDefault="00915345" w:rsidP="00EA08F6">
      <w:pPr>
        <w:jc w:val="center"/>
        <w:rPr>
          <w:lang w:val="lv-LV"/>
        </w:rPr>
      </w:pPr>
    </w:p>
    <w:p w:rsidR="00915345" w:rsidRPr="00832E00" w:rsidRDefault="00915345" w:rsidP="00EA08F6">
      <w:pPr>
        <w:jc w:val="center"/>
        <w:rPr>
          <w:lang w:val="lv-LV"/>
        </w:rPr>
      </w:pPr>
    </w:p>
    <w:p w:rsidR="00014566" w:rsidRPr="00832E00" w:rsidRDefault="00014566" w:rsidP="00EA08F6">
      <w:pPr>
        <w:jc w:val="center"/>
        <w:rPr>
          <w:lang w:val="lv-LV"/>
        </w:rPr>
      </w:pPr>
    </w:p>
    <w:p w:rsidR="00136B1B" w:rsidRPr="00832E00" w:rsidRDefault="00136B1B" w:rsidP="00136B1B">
      <w:pPr>
        <w:jc w:val="center"/>
        <w:rPr>
          <w:rFonts w:ascii="Times New Roman" w:hAnsi="Times New Roman" w:cs="Times New Roman"/>
          <w:szCs w:val="24"/>
          <w:lang w:val="lv-LV"/>
        </w:rPr>
      </w:pPr>
      <w:r w:rsidRPr="00832E00">
        <w:rPr>
          <w:rFonts w:ascii="Times New Roman" w:hAnsi="Times New Roman" w:cs="Times New Roman"/>
          <w:szCs w:val="24"/>
          <w:lang w:val="lv-LV"/>
        </w:rPr>
        <w:t>CETURTĀ NODAĻA</w:t>
      </w:r>
    </w:p>
    <w:p w:rsidR="00014566" w:rsidRPr="00832E00" w:rsidRDefault="00014566" w:rsidP="00EA08F6">
      <w:pPr>
        <w:jc w:val="center"/>
        <w:rPr>
          <w:lang w:val="lv-LV"/>
        </w:rPr>
      </w:pPr>
    </w:p>
    <w:p w:rsidR="00915345" w:rsidRPr="00832E00" w:rsidRDefault="00915345" w:rsidP="00EA08F6">
      <w:pPr>
        <w:jc w:val="center"/>
        <w:rPr>
          <w:lang w:val="lv-LV"/>
        </w:rPr>
      </w:pPr>
    </w:p>
    <w:p w:rsidR="00915345" w:rsidRPr="00832E00" w:rsidRDefault="00915345" w:rsidP="00EA08F6">
      <w:pPr>
        <w:jc w:val="center"/>
        <w:rPr>
          <w:lang w:val="lv-LV"/>
        </w:rPr>
      </w:pPr>
    </w:p>
    <w:p w:rsidR="00915345" w:rsidRPr="00832E00" w:rsidRDefault="00915345" w:rsidP="00EA08F6">
      <w:pPr>
        <w:jc w:val="center"/>
        <w:rPr>
          <w:lang w:val="lv-LV"/>
        </w:rPr>
      </w:pPr>
    </w:p>
    <w:p w:rsidR="00915345" w:rsidRPr="00832E00" w:rsidRDefault="00915345" w:rsidP="00EA08F6">
      <w:pPr>
        <w:jc w:val="center"/>
        <w:rPr>
          <w:lang w:val="lv-LV"/>
        </w:rPr>
      </w:pPr>
    </w:p>
    <w:p w:rsidR="00915345" w:rsidRPr="00832E00" w:rsidRDefault="00915345" w:rsidP="00EA08F6">
      <w:pPr>
        <w:jc w:val="center"/>
        <w:rPr>
          <w:lang w:val="lv-LV"/>
        </w:rPr>
      </w:pPr>
    </w:p>
    <w:p w:rsidR="00014566" w:rsidRPr="00832E00" w:rsidRDefault="00136B1B" w:rsidP="00EA08F6">
      <w:pPr>
        <w:jc w:val="center"/>
        <w:rPr>
          <w:b/>
          <w:lang w:val="lv-LV"/>
        </w:rPr>
      </w:pPr>
      <w:bookmarkStart w:id="0" w:name="To"/>
      <w:r w:rsidRPr="00832E00">
        <w:rPr>
          <w:b/>
          <w:lang w:val="lv-LV"/>
        </w:rPr>
        <w:t>LIETA</w:t>
      </w:r>
      <w:r w:rsidR="00014566" w:rsidRPr="00832E00">
        <w:rPr>
          <w:b/>
          <w:lang w:val="lv-LV"/>
        </w:rPr>
        <w:t xml:space="preserve"> </w:t>
      </w:r>
      <w:bookmarkEnd w:id="0"/>
      <w:r w:rsidR="00FA48E7" w:rsidRPr="00832E00">
        <w:rPr>
          <w:b/>
          <w:lang w:val="lv-LV"/>
        </w:rPr>
        <w:t xml:space="preserve">MEIMANIS </w:t>
      </w:r>
      <w:r w:rsidRPr="00832E00">
        <w:rPr>
          <w:b/>
          <w:lang w:val="lv-LV"/>
        </w:rPr>
        <w:t>pret</w:t>
      </w:r>
      <w:r w:rsidR="00FA48E7" w:rsidRPr="00832E00">
        <w:rPr>
          <w:b/>
          <w:lang w:val="lv-LV"/>
        </w:rPr>
        <w:t xml:space="preserve"> </w:t>
      </w:r>
      <w:r w:rsidRPr="00832E00">
        <w:rPr>
          <w:b/>
          <w:lang w:val="lv-LV"/>
        </w:rPr>
        <w:t>LATVIJU</w:t>
      </w:r>
    </w:p>
    <w:p w:rsidR="00014566" w:rsidRPr="00832E00" w:rsidRDefault="00014566" w:rsidP="00EA08F6">
      <w:pPr>
        <w:jc w:val="center"/>
        <w:rPr>
          <w:lang w:val="lv-LV"/>
        </w:rPr>
      </w:pPr>
    </w:p>
    <w:p w:rsidR="00014566" w:rsidRPr="00832E00" w:rsidRDefault="00014566" w:rsidP="00EA08F6">
      <w:pPr>
        <w:jc w:val="center"/>
        <w:rPr>
          <w:i/>
          <w:lang w:val="lv-LV"/>
        </w:rPr>
      </w:pPr>
      <w:r w:rsidRPr="00832E00">
        <w:rPr>
          <w:i/>
          <w:lang w:val="lv-LV"/>
        </w:rPr>
        <w:t>(</w:t>
      </w:r>
      <w:r w:rsidR="00136B1B" w:rsidRPr="00832E00">
        <w:rPr>
          <w:i/>
          <w:lang w:val="lv-LV"/>
        </w:rPr>
        <w:t>Iesniegums</w:t>
      </w:r>
      <w:r w:rsidR="00FA48E7" w:rsidRPr="00832E00">
        <w:rPr>
          <w:i/>
          <w:lang w:val="lv-LV"/>
        </w:rPr>
        <w:t xml:space="preserve"> </w:t>
      </w:r>
      <w:r w:rsidR="00136B1B" w:rsidRPr="00832E00">
        <w:rPr>
          <w:i/>
          <w:lang w:val="lv-LV"/>
        </w:rPr>
        <w:t>Nr</w:t>
      </w:r>
      <w:r w:rsidR="00FA48E7" w:rsidRPr="00832E00">
        <w:rPr>
          <w:i/>
          <w:lang w:val="lv-LV"/>
        </w:rPr>
        <w:t>. 70597/11</w:t>
      </w:r>
      <w:r w:rsidRPr="00832E00">
        <w:rPr>
          <w:i/>
          <w:lang w:val="lv-LV"/>
        </w:rPr>
        <w:t>)</w:t>
      </w:r>
    </w:p>
    <w:p w:rsidR="00014566" w:rsidRPr="00832E00" w:rsidRDefault="00014566" w:rsidP="00EA08F6">
      <w:pPr>
        <w:jc w:val="center"/>
        <w:rPr>
          <w:lang w:val="lv-LV"/>
        </w:rPr>
      </w:pPr>
    </w:p>
    <w:p w:rsidR="00014566" w:rsidRPr="00832E00" w:rsidRDefault="00014566" w:rsidP="00EA08F6">
      <w:pPr>
        <w:jc w:val="center"/>
        <w:rPr>
          <w:lang w:val="lv-LV"/>
        </w:rPr>
      </w:pPr>
    </w:p>
    <w:p w:rsidR="00915345" w:rsidRPr="00832E00" w:rsidRDefault="00915345" w:rsidP="00EA08F6">
      <w:pPr>
        <w:jc w:val="center"/>
        <w:rPr>
          <w:lang w:val="lv-LV"/>
        </w:rPr>
      </w:pPr>
    </w:p>
    <w:p w:rsidR="00915345" w:rsidRPr="00832E00" w:rsidRDefault="00915345" w:rsidP="00EA08F6">
      <w:pPr>
        <w:jc w:val="center"/>
        <w:rPr>
          <w:lang w:val="lv-LV"/>
        </w:rPr>
      </w:pPr>
    </w:p>
    <w:p w:rsidR="00915345" w:rsidRPr="00832E00" w:rsidRDefault="00915345" w:rsidP="00EA08F6">
      <w:pPr>
        <w:jc w:val="center"/>
        <w:rPr>
          <w:lang w:val="lv-LV"/>
        </w:rPr>
      </w:pPr>
    </w:p>
    <w:p w:rsidR="00915345" w:rsidRPr="00832E00" w:rsidRDefault="00915345" w:rsidP="00EA08F6">
      <w:pPr>
        <w:jc w:val="center"/>
        <w:rPr>
          <w:lang w:val="lv-LV"/>
        </w:rPr>
      </w:pPr>
    </w:p>
    <w:p w:rsidR="00014566" w:rsidRPr="00832E00" w:rsidRDefault="00014566" w:rsidP="00EA08F6">
      <w:pPr>
        <w:jc w:val="center"/>
        <w:rPr>
          <w:lang w:val="lv-LV"/>
        </w:rPr>
      </w:pPr>
    </w:p>
    <w:p w:rsidR="00014566" w:rsidRPr="00832E00" w:rsidRDefault="00136B1B" w:rsidP="00EA08F6">
      <w:pPr>
        <w:jc w:val="center"/>
        <w:rPr>
          <w:szCs w:val="24"/>
          <w:lang w:val="lv-LV"/>
        </w:rPr>
      </w:pPr>
      <w:r w:rsidRPr="00832E00">
        <w:rPr>
          <w:szCs w:val="24"/>
          <w:lang w:val="lv-LV"/>
        </w:rPr>
        <w:t>SPRIEDUMS</w:t>
      </w:r>
    </w:p>
    <w:p w:rsidR="00E0740A" w:rsidRPr="00832E00" w:rsidRDefault="00E0740A" w:rsidP="00EA08F6">
      <w:pPr>
        <w:jc w:val="center"/>
        <w:rPr>
          <w:szCs w:val="24"/>
          <w:lang w:val="lv-LV"/>
        </w:rPr>
      </w:pPr>
    </w:p>
    <w:p w:rsidR="00915345" w:rsidRPr="00832E00" w:rsidRDefault="00915345" w:rsidP="00EA08F6">
      <w:pPr>
        <w:jc w:val="center"/>
        <w:rPr>
          <w:szCs w:val="24"/>
          <w:lang w:val="lv-LV"/>
        </w:rPr>
      </w:pPr>
    </w:p>
    <w:p w:rsidR="00915345" w:rsidRPr="00832E00" w:rsidRDefault="00915345" w:rsidP="00EA08F6">
      <w:pPr>
        <w:jc w:val="center"/>
        <w:rPr>
          <w:szCs w:val="24"/>
          <w:lang w:val="lv-LV"/>
        </w:rPr>
      </w:pPr>
    </w:p>
    <w:p w:rsidR="00915345" w:rsidRPr="00832E00" w:rsidRDefault="00915345" w:rsidP="00EA08F6">
      <w:pPr>
        <w:jc w:val="center"/>
        <w:rPr>
          <w:szCs w:val="24"/>
          <w:lang w:val="lv-LV"/>
        </w:rPr>
      </w:pPr>
    </w:p>
    <w:p w:rsidR="00915345" w:rsidRPr="00832E00" w:rsidRDefault="00136B1B" w:rsidP="00EA08F6">
      <w:pPr>
        <w:jc w:val="center"/>
        <w:rPr>
          <w:rFonts w:ascii="Times New Roman" w:hAnsi="Times New Roman" w:cs="Times New Roman"/>
          <w:szCs w:val="24"/>
          <w:lang w:val="lv-LV"/>
        </w:rPr>
      </w:pPr>
      <w:r w:rsidRPr="00832E00">
        <w:rPr>
          <w:rFonts w:ascii="Times New Roman" w:hAnsi="Times New Roman" w:cs="Times New Roman"/>
          <w:szCs w:val="24"/>
          <w:lang w:val="lv-LV"/>
        </w:rPr>
        <w:t>STRASBŪRA</w:t>
      </w:r>
    </w:p>
    <w:p w:rsidR="00136B1B" w:rsidRPr="00832E00" w:rsidRDefault="00136B1B" w:rsidP="00EA08F6">
      <w:pPr>
        <w:jc w:val="center"/>
        <w:rPr>
          <w:szCs w:val="24"/>
          <w:lang w:val="lv-LV"/>
        </w:rPr>
      </w:pPr>
    </w:p>
    <w:p w:rsidR="00915345" w:rsidRPr="00832E00" w:rsidRDefault="00136B1B" w:rsidP="00EA08F6">
      <w:pPr>
        <w:jc w:val="center"/>
        <w:rPr>
          <w:szCs w:val="24"/>
          <w:lang w:val="lv-LV"/>
        </w:rPr>
      </w:pPr>
      <w:r w:rsidRPr="00832E00">
        <w:rPr>
          <w:szCs w:val="24"/>
          <w:lang w:val="lv-LV"/>
        </w:rPr>
        <w:t>2015. gada 21. jūlijs</w:t>
      </w:r>
    </w:p>
    <w:p w:rsidR="00915345" w:rsidRPr="00832E00" w:rsidRDefault="00915345" w:rsidP="00EA08F6">
      <w:pPr>
        <w:jc w:val="center"/>
        <w:rPr>
          <w:szCs w:val="24"/>
          <w:lang w:val="lv-LV"/>
        </w:rPr>
      </w:pPr>
    </w:p>
    <w:p w:rsidR="00915345" w:rsidRPr="00832E00" w:rsidRDefault="00915345" w:rsidP="00EA08F6">
      <w:pPr>
        <w:jc w:val="center"/>
        <w:rPr>
          <w:szCs w:val="24"/>
          <w:lang w:val="lv-LV"/>
        </w:rPr>
      </w:pPr>
    </w:p>
    <w:p w:rsidR="00EA08F6" w:rsidRPr="005059F4" w:rsidRDefault="00136B1B" w:rsidP="00EA08F6">
      <w:pPr>
        <w:pStyle w:val="jucase0"/>
        <w:ind w:firstLine="0"/>
        <w:jc w:val="center"/>
        <w:rPr>
          <w:b w:val="0"/>
          <w:lang w:val="lv-LV"/>
        </w:rPr>
      </w:pPr>
      <w:r w:rsidRPr="005059F4">
        <w:rPr>
          <w:b w:val="0"/>
          <w:lang w:val="lv-LV"/>
        </w:rPr>
        <w:t>Spriedums ir stājies spēkā 2015. gada 21. oktobrī</w:t>
      </w:r>
    </w:p>
    <w:p w:rsidR="00EA08F6" w:rsidRPr="00832E00" w:rsidRDefault="00EA08F6" w:rsidP="00EA08F6">
      <w:pPr>
        <w:pStyle w:val="jupara"/>
        <w:tabs>
          <w:tab w:val="left" w:pos="4650"/>
        </w:tabs>
        <w:ind w:firstLine="0"/>
        <w:jc w:val="left"/>
        <w:rPr>
          <w:color w:val="FF0000"/>
          <w:sz w:val="28"/>
          <w:szCs w:val="28"/>
          <w:lang w:val="lv-LV"/>
        </w:rPr>
      </w:pPr>
      <w:r w:rsidRPr="00832E00">
        <w:rPr>
          <w:color w:val="FF0000"/>
          <w:sz w:val="28"/>
          <w:szCs w:val="28"/>
          <w:lang w:val="lv-LV"/>
        </w:rPr>
        <w:tab/>
      </w:r>
    </w:p>
    <w:p w:rsidR="00EA08F6" w:rsidRPr="00832E00" w:rsidRDefault="00EA08F6" w:rsidP="00EA08F6">
      <w:pPr>
        <w:pStyle w:val="jupara"/>
        <w:ind w:firstLine="0"/>
        <w:jc w:val="center"/>
        <w:rPr>
          <w:lang w:val="lv-LV"/>
        </w:rPr>
      </w:pPr>
    </w:p>
    <w:p w:rsidR="00136B1B" w:rsidRPr="00832E00" w:rsidRDefault="00136B1B" w:rsidP="00136B1B">
      <w:pPr>
        <w:jc w:val="center"/>
        <w:rPr>
          <w:rFonts w:ascii="Times New Roman" w:hAnsi="Times New Roman" w:cs="Times New Roman"/>
          <w:i/>
          <w:iCs/>
          <w:szCs w:val="24"/>
          <w:lang w:val="lv-LV"/>
        </w:rPr>
      </w:pPr>
      <w:r w:rsidRPr="00832E00">
        <w:rPr>
          <w:rFonts w:ascii="Times New Roman" w:hAnsi="Times New Roman" w:cs="Times New Roman"/>
          <w:i/>
          <w:szCs w:val="24"/>
          <w:lang w:val="lv-LV"/>
        </w:rPr>
        <w:t xml:space="preserve">Šis spriedums ir stājies spēkā saskaņā ar Konvencijas 44. panta 2. punktu. Tajā var tikt </w:t>
      </w:r>
      <w:r w:rsidR="005059F4">
        <w:rPr>
          <w:rFonts w:ascii="Times New Roman" w:hAnsi="Times New Roman" w:cs="Times New Roman"/>
          <w:i/>
          <w:szCs w:val="24"/>
          <w:lang w:val="lv-LV"/>
        </w:rPr>
        <w:t>veiktas</w:t>
      </w:r>
      <w:bookmarkStart w:id="1" w:name="_GoBack"/>
      <w:bookmarkEnd w:id="1"/>
      <w:r w:rsidRPr="00832E00">
        <w:rPr>
          <w:rFonts w:ascii="Times New Roman" w:hAnsi="Times New Roman" w:cs="Times New Roman"/>
          <w:i/>
          <w:szCs w:val="24"/>
          <w:lang w:val="lv-LV"/>
        </w:rPr>
        <w:t xml:space="preserve"> redakcionālas izmaiņas.</w:t>
      </w:r>
    </w:p>
    <w:p w:rsidR="00915345" w:rsidRPr="00832E00" w:rsidRDefault="00915345" w:rsidP="00EA08F6">
      <w:pPr>
        <w:pStyle w:val="JuCase"/>
        <w:rPr>
          <w:lang w:val="lv-LV"/>
        </w:rPr>
        <w:sectPr w:rsidR="00915345" w:rsidRPr="00832E00" w:rsidSect="00915345">
          <w:headerReference w:type="default" r:id="rId12"/>
          <w:headerReference w:type="first" r:id="rId13"/>
          <w:footerReference w:type="first" r:id="rId14"/>
          <w:footnotePr>
            <w:numRestart w:val="eachPage"/>
          </w:footnotePr>
          <w:pgSz w:w="11906" w:h="16838" w:code="9"/>
          <w:pgMar w:top="2274" w:right="2274" w:bottom="2274" w:left="2274" w:header="1701" w:footer="720" w:gutter="0"/>
          <w:pgNumType w:start="1"/>
          <w:cols w:space="720"/>
          <w:titlePg/>
          <w:docGrid w:linePitch="326"/>
        </w:sectPr>
      </w:pPr>
    </w:p>
    <w:p w:rsidR="00014566" w:rsidRPr="00832E00" w:rsidRDefault="00136B1B" w:rsidP="00EA08F6">
      <w:pPr>
        <w:pStyle w:val="JuCase"/>
        <w:rPr>
          <w:bCs/>
          <w:lang w:val="lv-LV"/>
        </w:rPr>
      </w:pPr>
      <w:r w:rsidRPr="00832E00">
        <w:rPr>
          <w:lang w:val="lv-LV"/>
        </w:rPr>
        <w:lastRenderedPageBreak/>
        <w:t>Lietā</w:t>
      </w:r>
      <w:r w:rsidR="00014566" w:rsidRPr="00832E00">
        <w:rPr>
          <w:lang w:val="lv-LV"/>
        </w:rPr>
        <w:t xml:space="preserve"> </w:t>
      </w:r>
      <w:proofErr w:type="spellStart"/>
      <w:r w:rsidR="00FA48E7" w:rsidRPr="00E9461C">
        <w:rPr>
          <w:i/>
          <w:lang w:val="lv-LV"/>
        </w:rPr>
        <w:t>Meimanis</w:t>
      </w:r>
      <w:proofErr w:type="spellEnd"/>
      <w:r w:rsidR="00FA48E7" w:rsidRPr="00E9461C">
        <w:rPr>
          <w:i/>
          <w:lang w:val="lv-LV"/>
        </w:rPr>
        <w:t xml:space="preserve"> </w:t>
      </w:r>
      <w:r w:rsidRPr="00E9461C">
        <w:rPr>
          <w:i/>
          <w:lang w:val="lv-LV"/>
        </w:rPr>
        <w:t>pret Latviju</w:t>
      </w:r>
    </w:p>
    <w:p w:rsidR="00136B1B" w:rsidRPr="00832E00" w:rsidRDefault="00136B1B" w:rsidP="00136B1B">
      <w:pPr>
        <w:pStyle w:val="ECHRPara"/>
        <w:ind w:firstLine="720"/>
        <w:rPr>
          <w:rFonts w:ascii="Times New Roman" w:hAnsi="Times New Roman" w:cs="Times New Roman"/>
          <w:szCs w:val="24"/>
          <w:lang w:val="lv-LV"/>
        </w:rPr>
      </w:pPr>
      <w:r w:rsidRPr="00832E00">
        <w:rPr>
          <w:rFonts w:ascii="Times New Roman" w:hAnsi="Times New Roman" w:cs="Times New Roman"/>
          <w:szCs w:val="24"/>
          <w:lang w:val="lv-LV"/>
        </w:rPr>
        <w:t>Eiropas Cilvēktiesību tiesa (Ceturtā nodaļa)</w:t>
      </w:r>
      <w:r w:rsidR="00E9461C">
        <w:rPr>
          <w:rFonts w:ascii="Times New Roman" w:hAnsi="Times New Roman" w:cs="Times New Roman"/>
          <w:szCs w:val="24"/>
          <w:lang w:val="lv-LV"/>
        </w:rPr>
        <w:t>,</w:t>
      </w:r>
      <w:r w:rsidRPr="00832E00">
        <w:rPr>
          <w:rFonts w:ascii="Times New Roman" w:hAnsi="Times New Roman" w:cs="Times New Roman"/>
          <w:szCs w:val="24"/>
          <w:lang w:val="lv-LV"/>
        </w:rPr>
        <w:t xml:space="preserve"> sanākusi kā palāta šādā sastāvā:</w:t>
      </w:r>
    </w:p>
    <w:p w:rsidR="00014566" w:rsidRPr="00832E00" w:rsidRDefault="00B51B22" w:rsidP="00136B1B">
      <w:pPr>
        <w:pStyle w:val="ECHRDecisionBody"/>
        <w:ind w:left="284"/>
        <w:rPr>
          <w:lang w:val="lv-LV"/>
        </w:rPr>
      </w:pPr>
      <w:r w:rsidRPr="00832E00">
        <w:rPr>
          <w:lang w:val="lv-LV"/>
        </w:rPr>
        <w:tab/>
      </w:r>
      <w:proofErr w:type="spellStart"/>
      <w:r w:rsidRPr="00832E00">
        <w:rPr>
          <w:i/>
          <w:lang w:val="lv-LV"/>
        </w:rPr>
        <w:t>Guido</w:t>
      </w:r>
      <w:proofErr w:type="spellEnd"/>
      <w:r w:rsidRPr="00832E00">
        <w:rPr>
          <w:i/>
          <w:lang w:val="lv-LV"/>
        </w:rPr>
        <w:t xml:space="preserve"> Raimondi</w:t>
      </w:r>
      <w:r w:rsidRPr="00832E00">
        <w:rPr>
          <w:lang w:val="lv-LV"/>
        </w:rPr>
        <w:t>,</w:t>
      </w:r>
      <w:r w:rsidRPr="00832E00">
        <w:rPr>
          <w:i/>
          <w:lang w:val="lv-LV"/>
        </w:rPr>
        <w:t xml:space="preserve"> </w:t>
      </w:r>
      <w:r w:rsidR="00136B1B" w:rsidRPr="00832E00">
        <w:rPr>
          <w:i/>
          <w:lang w:val="lv-LV"/>
        </w:rPr>
        <w:t>priekšsēdētājs</w:t>
      </w:r>
      <w:r w:rsidRPr="00832E00">
        <w:rPr>
          <w:i/>
          <w:lang w:val="lv-LV"/>
        </w:rPr>
        <w:t>,</w:t>
      </w:r>
      <w:r w:rsidRPr="00832E00">
        <w:rPr>
          <w:i/>
          <w:lang w:val="lv-LV"/>
        </w:rPr>
        <w:br/>
      </w:r>
      <w:r w:rsidRPr="00832E00">
        <w:rPr>
          <w:lang w:val="lv-LV"/>
        </w:rPr>
        <w:tab/>
      </w:r>
      <w:proofErr w:type="spellStart"/>
      <w:r w:rsidRPr="00832E00">
        <w:rPr>
          <w:i/>
          <w:lang w:val="lv-LV"/>
        </w:rPr>
        <w:t>Päivi</w:t>
      </w:r>
      <w:proofErr w:type="spellEnd"/>
      <w:r w:rsidRPr="00832E00">
        <w:rPr>
          <w:i/>
          <w:lang w:val="lv-LV"/>
        </w:rPr>
        <w:t xml:space="preserve"> </w:t>
      </w:r>
      <w:proofErr w:type="spellStart"/>
      <w:r w:rsidRPr="00832E00">
        <w:rPr>
          <w:i/>
          <w:lang w:val="lv-LV"/>
        </w:rPr>
        <w:t>Hirvelä</w:t>
      </w:r>
      <w:proofErr w:type="spellEnd"/>
      <w:r w:rsidRPr="00832E00">
        <w:rPr>
          <w:lang w:val="lv-LV"/>
        </w:rPr>
        <w:t>,</w:t>
      </w:r>
      <w:r w:rsidRPr="00832E00">
        <w:rPr>
          <w:i/>
          <w:lang w:val="lv-LV"/>
        </w:rPr>
        <w:br/>
      </w:r>
      <w:r w:rsidRPr="00832E00">
        <w:rPr>
          <w:lang w:val="lv-LV"/>
        </w:rPr>
        <w:tab/>
      </w:r>
      <w:proofErr w:type="spellStart"/>
      <w:r w:rsidRPr="00832E00">
        <w:rPr>
          <w:i/>
          <w:lang w:val="lv-LV"/>
        </w:rPr>
        <w:t>George</w:t>
      </w:r>
      <w:proofErr w:type="spellEnd"/>
      <w:r w:rsidRPr="00832E00">
        <w:rPr>
          <w:i/>
          <w:lang w:val="lv-LV"/>
        </w:rPr>
        <w:t xml:space="preserve"> </w:t>
      </w:r>
      <w:proofErr w:type="spellStart"/>
      <w:r w:rsidRPr="00832E00">
        <w:rPr>
          <w:i/>
          <w:lang w:val="lv-LV"/>
        </w:rPr>
        <w:t>Nicolaou</w:t>
      </w:r>
      <w:proofErr w:type="spellEnd"/>
      <w:r w:rsidRPr="00832E00">
        <w:rPr>
          <w:lang w:val="lv-LV"/>
        </w:rPr>
        <w:t>,</w:t>
      </w:r>
      <w:r w:rsidRPr="00832E00">
        <w:rPr>
          <w:i/>
          <w:lang w:val="lv-LV"/>
        </w:rPr>
        <w:br/>
      </w:r>
      <w:r w:rsidRPr="00832E00">
        <w:rPr>
          <w:lang w:val="lv-LV"/>
        </w:rPr>
        <w:tab/>
      </w:r>
      <w:r w:rsidRPr="00832E00">
        <w:rPr>
          <w:i/>
          <w:lang w:val="lv-LV"/>
        </w:rPr>
        <w:t>Ledi</w:t>
      </w:r>
      <w:r w:rsidRPr="00832E00">
        <w:rPr>
          <w:lang w:val="lv-LV"/>
        </w:rPr>
        <w:t xml:space="preserve"> </w:t>
      </w:r>
      <w:proofErr w:type="spellStart"/>
      <w:r w:rsidRPr="00832E00">
        <w:rPr>
          <w:i/>
          <w:lang w:val="lv-LV"/>
        </w:rPr>
        <w:t>Bianku</w:t>
      </w:r>
      <w:proofErr w:type="spellEnd"/>
      <w:r w:rsidRPr="00832E00">
        <w:rPr>
          <w:lang w:val="lv-LV"/>
        </w:rPr>
        <w:t>,</w:t>
      </w:r>
      <w:r w:rsidRPr="00832E00">
        <w:rPr>
          <w:i/>
          <w:lang w:val="lv-LV"/>
        </w:rPr>
        <w:br/>
      </w:r>
      <w:r w:rsidRPr="00832E00">
        <w:rPr>
          <w:lang w:val="lv-LV"/>
        </w:rPr>
        <w:tab/>
      </w:r>
      <w:r w:rsidRPr="00832E00">
        <w:rPr>
          <w:i/>
          <w:lang w:val="lv-LV"/>
        </w:rPr>
        <w:t xml:space="preserve">Nona </w:t>
      </w:r>
      <w:proofErr w:type="spellStart"/>
      <w:r w:rsidRPr="00832E00">
        <w:rPr>
          <w:i/>
          <w:lang w:val="lv-LV"/>
        </w:rPr>
        <w:t>Tsotsoria</w:t>
      </w:r>
      <w:proofErr w:type="spellEnd"/>
      <w:r w:rsidRPr="00832E00">
        <w:rPr>
          <w:lang w:val="lv-LV"/>
        </w:rPr>
        <w:t>,</w:t>
      </w:r>
      <w:r w:rsidRPr="00832E00">
        <w:rPr>
          <w:i/>
          <w:lang w:val="lv-LV"/>
        </w:rPr>
        <w:br/>
      </w:r>
      <w:r w:rsidRPr="00832E00">
        <w:rPr>
          <w:lang w:val="lv-LV"/>
        </w:rPr>
        <w:tab/>
      </w:r>
      <w:proofErr w:type="spellStart"/>
      <w:r w:rsidRPr="00832E00">
        <w:rPr>
          <w:i/>
          <w:lang w:val="lv-LV"/>
        </w:rPr>
        <w:t>Faris</w:t>
      </w:r>
      <w:proofErr w:type="spellEnd"/>
      <w:r w:rsidRPr="00832E00">
        <w:rPr>
          <w:i/>
          <w:lang w:val="lv-LV"/>
        </w:rPr>
        <w:t xml:space="preserve"> </w:t>
      </w:r>
      <w:proofErr w:type="spellStart"/>
      <w:r w:rsidRPr="00832E00">
        <w:rPr>
          <w:i/>
          <w:lang w:val="lv-LV"/>
        </w:rPr>
        <w:t>Vehabović</w:t>
      </w:r>
      <w:proofErr w:type="spellEnd"/>
      <w:r w:rsidRPr="00832E00">
        <w:rPr>
          <w:lang w:val="lv-LV"/>
        </w:rPr>
        <w:t xml:space="preserve">, </w:t>
      </w:r>
      <w:r w:rsidR="00136B1B" w:rsidRPr="00832E00">
        <w:rPr>
          <w:i/>
          <w:lang w:val="lv-LV"/>
        </w:rPr>
        <w:t>tiesneši</w:t>
      </w:r>
      <w:r w:rsidRPr="00832E00">
        <w:rPr>
          <w:i/>
          <w:lang w:val="lv-LV"/>
        </w:rPr>
        <w:t>,</w:t>
      </w:r>
      <w:r w:rsidRPr="00832E00">
        <w:rPr>
          <w:i/>
          <w:lang w:val="lv-LV"/>
        </w:rPr>
        <w:br/>
      </w:r>
      <w:r w:rsidRPr="00832E00">
        <w:rPr>
          <w:lang w:val="lv-LV"/>
        </w:rPr>
        <w:tab/>
        <w:t xml:space="preserve">Ineta Ziemele, </w:t>
      </w:r>
      <w:proofErr w:type="spellStart"/>
      <w:r w:rsidRPr="00832E00">
        <w:rPr>
          <w:lang w:val="lv-LV"/>
        </w:rPr>
        <w:t>ad</w:t>
      </w:r>
      <w:proofErr w:type="spellEnd"/>
      <w:r w:rsidRPr="00832E00">
        <w:rPr>
          <w:lang w:val="lv-LV"/>
        </w:rPr>
        <w:t xml:space="preserve"> </w:t>
      </w:r>
      <w:proofErr w:type="spellStart"/>
      <w:r w:rsidRPr="00832E00">
        <w:rPr>
          <w:lang w:val="lv-LV"/>
        </w:rPr>
        <w:t>hoc</w:t>
      </w:r>
      <w:proofErr w:type="spellEnd"/>
      <w:r w:rsidRPr="00832E00">
        <w:rPr>
          <w:i/>
          <w:lang w:val="lv-LV"/>
        </w:rPr>
        <w:t xml:space="preserve"> </w:t>
      </w:r>
      <w:r w:rsidR="00136B1B" w:rsidRPr="00832E00">
        <w:rPr>
          <w:i/>
          <w:lang w:val="lv-LV"/>
        </w:rPr>
        <w:t>tiesnese</w:t>
      </w:r>
      <w:r w:rsidRPr="00832E00">
        <w:rPr>
          <w:i/>
          <w:lang w:val="lv-LV"/>
        </w:rPr>
        <w:t>,</w:t>
      </w:r>
      <w:r w:rsidR="00014566" w:rsidRPr="00832E00">
        <w:rPr>
          <w:szCs w:val="24"/>
          <w:lang w:val="lv-LV"/>
        </w:rPr>
        <w:br/>
      </w:r>
      <w:r w:rsidR="00136B1B" w:rsidRPr="00832E00">
        <w:rPr>
          <w:lang w:val="lv-LV"/>
        </w:rPr>
        <w:t>un</w:t>
      </w:r>
      <w:r w:rsidR="00014566" w:rsidRPr="00832E00">
        <w:rPr>
          <w:lang w:val="lv-LV"/>
        </w:rPr>
        <w:t xml:space="preserve"> </w:t>
      </w:r>
      <w:proofErr w:type="spellStart"/>
      <w:r w:rsidRPr="00832E00">
        <w:rPr>
          <w:i/>
          <w:lang w:val="lv-LV"/>
        </w:rPr>
        <w:t>Fatoş</w:t>
      </w:r>
      <w:proofErr w:type="spellEnd"/>
      <w:r w:rsidRPr="00832E00">
        <w:rPr>
          <w:i/>
          <w:lang w:val="lv-LV"/>
        </w:rPr>
        <w:t xml:space="preserve"> </w:t>
      </w:r>
      <w:proofErr w:type="spellStart"/>
      <w:r w:rsidRPr="00832E00">
        <w:rPr>
          <w:i/>
          <w:lang w:val="lv-LV"/>
        </w:rPr>
        <w:t>Aracı</w:t>
      </w:r>
      <w:proofErr w:type="spellEnd"/>
      <w:r w:rsidR="00014566" w:rsidRPr="00832E00">
        <w:rPr>
          <w:lang w:val="lv-LV"/>
        </w:rPr>
        <w:t xml:space="preserve">, </w:t>
      </w:r>
      <w:r w:rsidR="00136B1B" w:rsidRPr="00832E00">
        <w:rPr>
          <w:rFonts w:ascii="Times New Roman" w:hAnsi="Times New Roman" w:cs="Times New Roman"/>
          <w:i/>
          <w:szCs w:val="24"/>
          <w:lang w:val="lv-LV"/>
        </w:rPr>
        <w:t>nodaļas sekretāra vietniece</w:t>
      </w:r>
      <w:r w:rsidR="00014566" w:rsidRPr="00E9461C">
        <w:rPr>
          <w:lang w:val="lv-LV"/>
        </w:rPr>
        <w:t>,</w:t>
      </w:r>
    </w:p>
    <w:p w:rsidR="00136B1B" w:rsidRPr="00832E00" w:rsidRDefault="00136B1B" w:rsidP="00136B1B">
      <w:pPr>
        <w:pStyle w:val="ECHRPara"/>
        <w:ind w:firstLine="720"/>
        <w:rPr>
          <w:rFonts w:ascii="Times New Roman" w:hAnsi="Times New Roman" w:cs="Times New Roman"/>
          <w:szCs w:val="24"/>
          <w:lang w:val="lv-LV"/>
        </w:rPr>
      </w:pPr>
      <w:r w:rsidRPr="00832E00">
        <w:rPr>
          <w:rFonts w:ascii="Times New Roman" w:hAnsi="Times New Roman" w:cs="Times New Roman"/>
          <w:szCs w:val="24"/>
          <w:lang w:val="lv-LV"/>
        </w:rPr>
        <w:t>pēc apspriešanās slēgtā sēdē 2015. gada 30. jūnijā,</w:t>
      </w:r>
    </w:p>
    <w:p w:rsidR="00136B1B" w:rsidRPr="00832E00" w:rsidRDefault="00136B1B" w:rsidP="00136B1B">
      <w:pPr>
        <w:pStyle w:val="ECHRPara"/>
        <w:ind w:firstLine="720"/>
        <w:rPr>
          <w:lang w:val="lv-LV"/>
        </w:rPr>
      </w:pPr>
      <w:r w:rsidRPr="00832E00">
        <w:rPr>
          <w:rFonts w:ascii="Times New Roman" w:hAnsi="Times New Roman" w:cs="Times New Roman"/>
          <w:szCs w:val="24"/>
          <w:lang w:val="lv-LV"/>
        </w:rPr>
        <w:t>pasludina šādu spriedumu, kas pieņemts</w:t>
      </w:r>
      <w:r w:rsidR="005E28ED">
        <w:rPr>
          <w:rFonts w:ascii="Times New Roman" w:hAnsi="Times New Roman" w:cs="Times New Roman"/>
          <w:szCs w:val="24"/>
          <w:lang w:val="lv-LV"/>
        </w:rPr>
        <w:t xml:space="preserve"> tajā pašā</w:t>
      </w:r>
      <w:r w:rsidRPr="00832E00">
        <w:rPr>
          <w:rFonts w:ascii="Times New Roman" w:hAnsi="Times New Roman" w:cs="Times New Roman"/>
          <w:szCs w:val="24"/>
          <w:lang w:val="lv-LV"/>
        </w:rPr>
        <w:t xml:space="preserve"> d</w:t>
      </w:r>
      <w:r w:rsidR="005E28ED">
        <w:rPr>
          <w:rFonts w:ascii="Times New Roman" w:hAnsi="Times New Roman" w:cs="Times New Roman"/>
          <w:szCs w:val="24"/>
          <w:lang w:val="lv-LV"/>
        </w:rPr>
        <w:t>ienā</w:t>
      </w:r>
      <w:r w:rsidRPr="00832E00">
        <w:rPr>
          <w:rFonts w:ascii="Times New Roman" w:hAnsi="Times New Roman" w:cs="Times New Roman"/>
          <w:szCs w:val="24"/>
          <w:lang w:val="lv-LV"/>
        </w:rPr>
        <w:t>.</w:t>
      </w:r>
    </w:p>
    <w:p w:rsidR="00136B1B" w:rsidRPr="00832E00" w:rsidRDefault="00136B1B" w:rsidP="00136B1B">
      <w:pPr>
        <w:pStyle w:val="ECHRPara"/>
        <w:ind w:firstLine="720"/>
        <w:rPr>
          <w:rFonts w:ascii="Times New Roman" w:hAnsi="Times New Roman" w:cs="Times New Roman"/>
          <w:szCs w:val="24"/>
          <w:lang w:val="lv-LV"/>
        </w:rPr>
      </w:pPr>
    </w:p>
    <w:p w:rsidR="00136B1B" w:rsidRPr="00832E00" w:rsidRDefault="00136B1B" w:rsidP="00136B1B">
      <w:pPr>
        <w:pStyle w:val="ECHRPara"/>
        <w:ind w:firstLine="720"/>
        <w:rPr>
          <w:rFonts w:ascii="Times New Roman" w:hAnsi="Times New Roman" w:cs="Times New Roman"/>
          <w:szCs w:val="24"/>
          <w:lang w:val="lv-LV"/>
        </w:rPr>
      </w:pPr>
    </w:p>
    <w:p w:rsidR="00136B1B" w:rsidRDefault="00136B1B" w:rsidP="00136B1B">
      <w:pPr>
        <w:pStyle w:val="ECHRPara"/>
        <w:ind w:firstLine="720"/>
        <w:rPr>
          <w:rFonts w:ascii="Times New Roman" w:hAnsi="Times New Roman" w:cs="Times New Roman"/>
          <w:szCs w:val="24"/>
          <w:lang w:val="lv-LV"/>
        </w:rPr>
      </w:pPr>
      <w:r w:rsidRPr="00832E00">
        <w:rPr>
          <w:rFonts w:ascii="Times New Roman" w:hAnsi="Times New Roman" w:cs="Times New Roman"/>
          <w:szCs w:val="24"/>
          <w:lang w:val="lv-LV"/>
        </w:rPr>
        <w:t>TIESVEDĪBA</w:t>
      </w:r>
    </w:p>
    <w:p w:rsidR="005E28ED" w:rsidRPr="00832E00" w:rsidRDefault="005E28ED" w:rsidP="00136B1B">
      <w:pPr>
        <w:pStyle w:val="ECHRPara"/>
        <w:ind w:firstLine="720"/>
        <w:rPr>
          <w:rFonts w:ascii="Times New Roman" w:hAnsi="Times New Roman" w:cs="Times New Roman"/>
          <w:szCs w:val="24"/>
          <w:lang w:val="lv-LV"/>
        </w:rPr>
      </w:pPr>
    </w:p>
    <w:p w:rsidR="00136B1B" w:rsidRPr="00832E00" w:rsidRDefault="00FA48E7" w:rsidP="00136B1B">
      <w:pPr>
        <w:pStyle w:val="ECHRPara"/>
        <w:ind w:firstLine="720"/>
        <w:rPr>
          <w:rFonts w:ascii="Times New Roman" w:hAnsi="Times New Roman" w:cs="Times New Roman"/>
          <w:szCs w:val="24"/>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1</w:t>
      </w:r>
      <w:r w:rsidRPr="00832E00">
        <w:rPr>
          <w:lang w:val="lv-LV"/>
        </w:rPr>
        <w:fldChar w:fldCharType="end"/>
      </w:r>
      <w:r w:rsidR="00014566" w:rsidRPr="00832E00">
        <w:rPr>
          <w:lang w:val="lv-LV"/>
        </w:rPr>
        <w:t>.  </w:t>
      </w:r>
      <w:r w:rsidR="00136B1B" w:rsidRPr="00832E00">
        <w:rPr>
          <w:rFonts w:ascii="Times New Roman" w:hAnsi="Times New Roman" w:cs="Times New Roman"/>
          <w:szCs w:val="24"/>
          <w:lang w:val="lv-LV"/>
        </w:rPr>
        <w:t xml:space="preserve">Lietas pamatā ir iesniegums (Nr. </w:t>
      </w:r>
      <w:r w:rsidR="00136B1B" w:rsidRPr="00832E00">
        <w:rPr>
          <w:lang w:val="lv-LV"/>
        </w:rPr>
        <w:t xml:space="preserve">70597/11), </w:t>
      </w:r>
      <w:r w:rsidR="00136B1B" w:rsidRPr="00832E00">
        <w:rPr>
          <w:rFonts w:ascii="Times New Roman" w:hAnsi="Times New Roman" w:cs="Times New Roman"/>
          <w:szCs w:val="24"/>
          <w:lang w:val="lv-LV"/>
        </w:rPr>
        <w:t>kuru pret Latvijas Republiku Tiesā saskaņā ar Eiropas Cilvēk</w:t>
      </w:r>
      <w:r w:rsidR="005E28ED">
        <w:rPr>
          <w:rFonts w:ascii="Times New Roman" w:hAnsi="Times New Roman" w:cs="Times New Roman"/>
          <w:szCs w:val="24"/>
          <w:lang w:val="lv-LV"/>
        </w:rPr>
        <w:t xml:space="preserve">a </w:t>
      </w:r>
      <w:r w:rsidR="00136B1B" w:rsidRPr="00832E00">
        <w:rPr>
          <w:rFonts w:ascii="Times New Roman" w:hAnsi="Times New Roman" w:cs="Times New Roman"/>
          <w:szCs w:val="24"/>
          <w:lang w:val="lv-LV"/>
        </w:rPr>
        <w:t>tiesību un pamatbrīvību aizsardzības konvencijas (</w:t>
      </w:r>
      <w:r w:rsidR="00E9461C" w:rsidRPr="00832E00">
        <w:rPr>
          <w:lang w:val="lv-LV"/>
        </w:rPr>
        <w:t>“</w:t>
      </w:r>
      <w:r w:rsidR="00136B1B" w:rsidRPr="00832E00">
        <w:rPr>
          <w:rFonts w:ascii="Times New Roman" w:hAnsi="Times New Roman" w:cs="Times New Roman"/>
          <w:szCs w:val="24"/>
          <w:lang w:val="lv-LV"/>
        </w:rPr>
        <w:t xml:space="preserve">Konvencija”) 34. pantu 2011. gada 10. novembrī iesniedza Latvijas pilsonis Mairis </w:t>
      </w:r>
      <w:proofErr w:type="spellStart"/>
      <w:r w:rsidR="00136B1B" w:rsidRPr="00832E00">
        <w:rPr>
          <w:rFonts w:ascii="Times New Roman" w:hAnsi="Times New Roman" w:cs="Times New Roman"/>
          <w:szCs w:val="24"/>
          <w:lang w:val="lv-LV"/>
        </w:rPr>
        <w:t>Meimanis</w:t>
      </w:r>
      <w:proofErr w:type="spellEnd"/>
      <w:r w:rsidR="00136B1B" w:rsidRPr="00832E00">
        <w:rPr>
          <w:rFonts w:ascii="Times New Roman" w:hAnsi="Times New Roman" w:cs="Times New Roman"/>
          <w:szCs w:val="24"/>
          <w:lang w:val="lv-LV"/>
        </w:rPr>
        <w:t xml:space="preserve"> (</w:t>
      </w:r>
      <w:r w:rsidR="00E9461C" w:rsidRPr="00832E00">
        <w:rPr>
          <w:lang w:val="lv-LV"/>
        </w:rPr>
        <w:t>“</w:t>
      </w:r>
      <w:r w:rsidR="00136B1B" w:rsidRPr="00832E00">
        <w:rPr>
          <w:rFonts w:ascii="Times New Roman" w:hAnsi="Times New Roman" w:cs="Times New Roman"/>
          <w:szCs w:val="24"/>
          <w:lang w:val="lv-LV"/>
        </w:rPr>
        <w:t>iesniedzējs”).</w:t>
      </w:r>
      <w:r w:rsidR="00E9461C">
        <w:rPr>
          <w:rFonts w:ascii="Times New Roman" w:hAnsi="Times New Roman" w:cs="Times New Roman"/>
          <w:szCs w:val="24"/>
          <w:lang w:val="lv-LV"/>
        </w:rPr>
        <w:t xml:space="preserve"> </w:t>
      </w:r>
    </w:p>
    <w:p w:rsidR="00136B1B" w:rsidRPr="00832E00" w:rsidRDefault="00136B1B" w:rsidP="00136B1B">
      <w:pPr>
        <w:pStyle w:val="ECHRPara"/>
        <w:ind w:firstLine="720"/>
        <w:rPr>
          <w:rFonts w:ascii="Times New Roman" w:eastAsiaTheme="minorHAnsi" w:hAnsi="Times New Roman" w:cs="Times New Roman"/>
          <w:color w:val="000000"/>
          <w:szCs w:val="24"/>
          <w:lang w:val="lv-LV"/>
        </w:rPr>
      </w:pPr>
      <w:r w:rsidRPr="00832E00">
        <w:rPr>
          <w:rFonts w:ascii="Times New Roman" w:hAnsi="Times New Roman" w:cs="Times New Roman"/>
          <w:szCs w:val="24"/>
          <w:lang w:val="lv-LV"/>
        </w:rPr>
        <w:t>2. Iesniedzēju pārstāvēja S. Vārpiņš, Rīgā</w:t>
      </w:r>
      <w:r w:rsidR="00AB22A4">
        <w:rPr>
          <w:rFonts w:ascii="Times New Roman" w:hAnsi="Times New Roman" w:cs="Times New Roman"/>
          <w:szCs w:val="24"/>
          <w:lang w:val="lv-LV"/>
        </w:rPr>
        <w:t xml:space="preserve"> praktizējošs advokāts</w:t>
      </w:r>
      <w:r w:rsidRPr="00832E00">
        <w:rPr>
          <w:rFonts w:ascii="Times New Roman" w:hAnsi="Times New Roman" w:cs="Times New Roman"/>
          <w:szCs w:val="24"/>
          <w:lang w:val="lv-LV"/>
        </w:rPr>
        <w:t>. Latvijas valdību (</w:t>
      </w:r>
      <w:r w:rsidR="00E9461C" w:rsidRPr="00832E00">
        <w:rPr>
          <w:lang w:val="lv-LV"/>
        </w:rPr>
        <w:t>“</w:t>
      </w:r>
      <w:r w:rsidRPr="00832E00">
        <w:rPr>
          <w:rFonts w:ascii="Times New Roman" w:eastAsiaTheme="minorHAnsi" w:hAnsi="Times New Roman" w:cs="Times New Roman"/>
          <w:color w:val="000000"/>
          <w:szCs w:val="24"/>
          <w:lang w:val="lv-LV"/>
        </w:rPr>
        <w:t>Valdība”) pārstāvēja tās pārstāve K. Līce.</w:t>
      </w:r>
      <w:r w:rsidR="00E9461C">
        <w:rPr>
          <w:rFonts w:ascii="Times New Roman" w:eastAsiaTheme="minorHAnsi" w:hAnsi="Times New Roman" w:cs="Times New Roman"/>
          <w:color w:val="000000"/>
          <w:szCs w:val="24"/>
          <w:lang w:val="lv-LV"/>
        </w:rPr>
        <w:t xml:space="preserve"> </w:t>
      </w:r>
    </w:p>
    <w:p w:rsidR="00136B1B" w:rsidRPr="00832E00" w:rsidRDefault="00136B1B" w:rsidP="00136B1B">
      <w:pPr>
        <w:pStyle w:val="ECHRPara"/>
        <w:ind w:firstLine="720"/>
        <w:rPr>
          <w:rFonts w:ascii="Times New Roman" w:hAnsi="Times New Roman" w:cs="Times New Roman"/>
          <w:szCs w:val="24"/>
          <w:lang w:val="lv-LV"/>
        </w:rPr>
      </w:pPr>
      <w:r w:rsidRPr="00832E00">
        <w:rPr>
          <w:rFonts w:ascii="Times New Roman" w:hAnsi="Times New Roman" w:cs="Times New Roman"/>
          <w:szCs w:val="24"/>
          <w:lang w:val="lv-LV"/>
        </w:rPr>
        <w:t>3.</w:t>
      </w:r>
      <w:r w:rsidR="000E6881" w:rsidRPr="00832E00">
        <w:rPr>
          <w:rFonts w:ascii="Times New Roman" w:hAnsi="Times New Roman" w:cs="Times New Roman"/>
          <w:szCs w:val="24"/>
          <w:lang w:val="lv-LV"/>
        </w:rPr>
        <w:t xml:space="preserve"> </w:t>
      </w:r>
      <w:r w:rsidRPr="00832E00">
        <w:rPr>
          <w:rFonts w:ascii="Times New Roman" w:hAnsi="Times New Roman" w:cs="Times New Roman"/>
          <w:szCs w:val="24"/>
          <w:lang w:val="lv-LV"/>
        </w:rPr>
        <w:t xml:space="preserve">Iesniedzējs apgalvoja, </w:t>
      </w:r>
      <w:r w:rsidR="00AB22A4">
        <w:rPr>
          <w:rFonts w:ascii="Times New Roman" w:hAnsi="Times New Roman" w:cs="Times New Roman"/>
          <w:szCs w:val="24"/>
          <w:lang w:val="lv-LV"/>
        </w:rPr>
        <w:t xml:space="preserve">īpaši uzsverot, </w:t>
      </w:r>
      <w:r w:rsidRPr="00832E00">
        <w:rPr>
          <w:rFonts w:ascii="Times New Roman" w:hAnsi="Times New Roman" w:cs="Times New Roman"/>
          <w:szCs w:val="24"/>
          <w:lang w:val="lv-LV"/>
        </w:rPr>
        <w:t xml:space="preserve">ka </w:t>
      </w:r>
      <w:r w:rsidR="000E6881" w:rsidRPr="00832E00">
        <w:rPr>
          <w:rFonts w:ascii="Times New Roman" w:hAnsi="Times New Roman" w:cs="Times New Roman"/>
          <w:szCs w:val="24"/>
          <w:lang w:val="lv-LV"/>
        </w:rPr>
        <w:t>viņa telefonsarunu noklausīšanās rezultātā pārkāptas viņa tiesības, kas noteiktas 8. pantā, un</w:t>
      </w:r>
      <w:r w:rsidR="005E28ED">
        <w:rPr>
          <w:rFonts w:ascii="Times New Roman" w:hAnsi="Times New Roman" w:cs="Times New Roman"/>
          <w:szCs w:val="24"/>
          <w:lang w:val="lv-LV"/>
        </w:rPr>
        <w:t>, ka</w:t>
      </w:r>
      <w:r w:rsidR="000E6881" w:rsidRPr="00832E00">
        <w:rPr>
          <w:rFonts w:ascii="Times New Roman" w:hAnsi="Times New Roman" w:cs="Times New Roman"/>
          <w:szCs w:val="24"/>
          <w:lang w:val="lv-LV"/>
        </w:rPr>
        <w:t xml:space="preserve"> Latvijas tiesību sistēmā nav pieejami efektīvi tiesiskās aizsardzības līdzekļi, kas ļautu sūdz</w:t>
      </w:r>
      <w:r w:rsidR="005E28ED">
        <w:rPr>
          <w:rFonts w:ascii="Times New Roman" w:hAnsi="Times New Roman" w:cs="Times New Roman"/>
          <w:szCs w:val="24"/>
          <w:lang w:val="lv-LV"/>
        </w:rPr>
        <w:t>ēties</w:t>
      </w:r>
      <w:r w:rsidR="000E6881" w:rsidRPr="00832E00">
        <w:rPr>
          <w:rFonts w:ascii="Times New Roman" w:hAnsi="Times New Roman" w:cs="Times New Roman"/>
          <w:szCs w:val="24"/>
          <w:lang w:val="lv-LV"/>
        </w:rPr>
        <w:t xml:space="preserve"> par </w:t>
      </w:r>
      <w:r w:rsidR="00EB3D40">
        <w:rPr>
          <w:rFonts w:ascii="Times New Roman" w:hAnsi="Times New Roman" w:cs="Times New Roman"/>
          <w:szCs w:val="24"/>
          <w:lang w:val="lv-LV"/>
        </w:rPr>
        <w:t>šādiem pārkāpumiem</w:t>
      </w:r>
      <w:r w:rsidR="000E6881" w:rsidRPr="00832E00">
        <w:rPr>
          <w:rFonts w:ascii="Times New Roman" w:hAnsi="Times New Roman" w:cs="Times New Roman"/>
          <w:szCs w:val="24"/>
          <w:lang w:val="lv-LV"/>
        </w:rPr>
        <w:t xml:space="preserve">. Viņš arī apgalvoja, ka tiesvedība Satversmes tiesā nav notikusi </w:t>
      </w:r>
      <w:r w:rsidR="007935AB">
        <w:rPr>
          <w:rFonts w:ascii="Times New Roman" w:hAnsi="Times New Roman" w:cs="Times New Roman"/>
          <w:szCs w:val="24"/>
          <w:lang w:val="lv-LV"/>
        </w:rPr>
        <w:t>atklāti</w:t>
      </w:r>
      <w:r w:rsidR="000E6881" w:rsidRPr="00832E00">
        <w:rPr>
          <w:rFonts w:ascii="Times New Roman" w:hAnsi="Times New Roman" w:cs="Times New Roman"/>
          <w:szCs w:val="24"/>
          <w:lang w:val="lv-LV"/>
        </w:rPr>
        <w:t xml:space="preserve"> un viņam liegtas tiesības tikt uzklausītam.</w:t>
      </w:r>
    </w:p>
    <w:p w:rsidR="000E6881" w:rsidRPr="00832E00" w:rsidRDefault="000E6881" w:rsidP="00136B1B">
      <w:pPr>
        <w:pStyle w:val="ECHRPara"/>
        <w:ind w:firstLine="720"/>
        <w:rPr>
          <w:rFonts w:ascii="Times New Roman" w:hAnsi="Times New Roman" w:cs="Times New Roman"/>
          <w:szCs w:val="24"/>
          <w:lang w:val="lv-LV"/>
        </w:rPr>
      </w:pPr>
      <w:r w:rsidRPr="00832E00">
        <w:rPr>
          <w:rFonts w:ascii="Times New Roman" w:hAnsi="Times New Roman" w:cs="Times New Roman"/>
          <w:szCs w:val="24"/>
          <w:lang w:val="lv-LV"/>
        </w:rPr>
        <w:t>4. 2012. gada 7. decembrī iesniegum</w:t>
      </w:r>
      <w:r w:rsidR="005E28ED">
        <w:rPr>
          <w:rFonts w:ascii="Times New Roman" w:hAnsi="Times New Roman" w:cs="Times New Roman"/>
          <w:szCs w:val="24"/>
          <w:lang w:val="lv-LV"/>
        </w:rPr>
        <w:t>s</w:t>
      </w:r>
      <w:r w:rsidRPr="00832E00">
        <w:rPr>
          <w:rFonts w:ascii="Times New Roman" w:hAnsi="Times New Roman" w:cs="Times New Roman"/>
          <w:szCs w:val="24"/>
          <w:lang w:val="lv-LV"/>
        </w:rPr>
        <w:t xml:space="preserve"> tika nosūtīt</w:t>
      </w:r>
      <w:r w:rsidR="005E28ED">
        <w:rPr>
          <w:rFonts w:ascii="Times New Roman" w:hAnsi="Times New Roman" w:cs="Times New Roman"/>
          <w:szCs w:val="24"/>
          <w:lang w:val="lv-LV"/>
        </w:rPr>
        <w:t>s</w:t>
      </w:r>
      <w:r w:rsidRPr="00832E00">
        <w:rPr>
          <w:rFonts w:ascii="Times New Roman" w:hAnsi="Times New Roman" w:cs="Times New Roman"/>
          <w:szCs w:val="24"/>
          <w:lang w:val="lv-LV"/>
        </w:rPr>
        <w:t xml:space="preserve"> Valdībai.</w:t>
      </w:r>
    </w:p>
    <w:p w:rsidR="00014566" w:rsidRPr="00832E00" w:rsidRDefault="000E6881" w:rsidP="00EA08F6">
      <w:pPr>
        <w:pStyle w:val="ECHRTitle1"/>
        <w:rPr>
          <w:lang w:val="lv-LV"/>
        </w:rPr>
      </w:pPr>
      <w:r w:rsidRPr="00832E00">
        <w:rPr>
          <w:lang w:val="lv-LV"/>
        </w:rPr>
        <w:t>FAKTI</w:t>
      </w:r>
    </w:p>
    <w:p w:rsidR="00014566" w:rsidRPr="00832E00" w:rsidRDefault="000E6881" w:rsidP="00EA08F6">
      <w:pPr>
        <w:pStyle w:val="ECHRHeading1"/>
        <w:rPr>
          <w:lang w:val="lv-LV"/>
        </w:rPr>
      </w:pPr>
      <w:r w:rsidRPr="00832E00">
        <w:rPr>
          <w:lang w:val="lv-LV"/>
        </w:rPr>
        <w:t>I</w:t>
      </w:r>
      <w:r w:rsidR="005E28ED">
        <w:rPr>
          <w:lang w:val="lv-LV"/>
        </w:rPr>
        <w:t>.</w:t>
      </w:r>
      <w:r w:rsidRPr="00832E00">
        <w:rPr>
          <w:lang w:val="lv-LV"/>
        </w:rPr>
        <w:t xml:space="preserve"> LIETAS APSTĀKĻI</w:t>
      </w:r>
    </w:p>
    <w:p w:rsidR="000E6881" w:rsidRPr="00832E00" w:rsidRDefault="00FA48E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5</w:t>
      </w:r>
      <w:r w:rsidRPr="00832E00">
        <w:rPr>
          <w:lang w:val="lv-LV"/>
        </w:rPr>
        <w:fldChar w:fldCharType="end"/>
      </w:r>
      <w:r w:rsidR="00014566" w:rsidRPr="00832E00">
        <w:rPr>
          <w:lang w:val="lv-LV"/>
        </w:rPr>
        <w:t>.  </w:t>
      </w:r>
      <w:r w:rsidR="000E6881" w:rsidRPr="00832E00">
        <w:rPr>
          <w:lang w:val="lv-LV"/>
        </w:rPr>
        <w:t xml:space="preserve">Iesniedzējs ir dzimis 1968. gadā un dzīvo Rīgā. </w:t>
      </w:r>
    </w:p>
    <w:p w:rsidR="000E6881" w:rsidRPr="00832E00" w:rsidRDefault="0049721D"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6</w:t>
      </w:r>
      <w:r w:rsidRPr="00832E00">
        <w:rPr>
          <w:lang w:val="lv-LV"/>
        </w:rPr>
        <w:fldChar w:fldCharType="end"/>
      </w:r>
      <w:r w:rsidRPr="00832E00">
        <w:rPr>
          <w:lang w:val="lv-LV"/>
        </w:rPr>
        <w:t>.  </w:t>
      </w:r>
      <w:r w:rsidR="000E6881" w:rsidRPr="00832E00">
        <w:rPr>
          <w:lang w:val="lv-LV"/>
        </w:rPr>
        <w:t xml:space="preserve">Šobrīd viņš tiek tiesāts </w:t>
      </w:r>
      <w:r w:rsidR="00E9461C">
        <w:rPr>
          <w:lang w:val="lv-LV"/>
        </w:rPr>
        <w:t>kriminālprocesā</w:t>
      </w:r>
      <w:r w:rsidR="000E6881" w:rsidRPr="00832E00">
        <w:rPr>
          <w:lang w:val="lv-LV"/>
        </w:rPr>
        <w:t xml:space="preserve">, kas ierosināts 2005. gada 30. decembrī, par mēģinājumu </w:t>
      </w:r>
      <w:r w:rsidR="00E9461C" w:rsidRPr="00832E00">
        <w:rPr>
          <w:lang w:val="lv-LV"/>
        </w:rPr>
        <w:t>kopā ar A. B. un A. S.</w:t>
      </w:r>
      <w:r w:rsidR="00E9461C">
        <w:rPr>
          <w:lang w:val="lv-LV"/>
        </w:rPr>
        <w:t xml:space="preserve"> </w:t>
      </w:r>
      <w:r w:rsidR="000E6881" w:rsidRPr="00832E00">
        <w:rPr>
          <w:lang w:val="lv-LV"/>
        </w:rPr>
        <w:t>pieņemt kukuli</w:t>
      </w:r>
      <w:r w:rsidR="00E9461C">
        <w:rPr>
          <w:lang w:val="lv-LV"/>
        </w:rPr>
        <w:t>.</w:t>
      </w:r>
      <w:r w:rsidR="000E6881" w:rsidRPr="00832E00">
        <w:rPr>
          <w:lang w:val="lv-LV"/>
        </w:rPr>
        <w:t xml:space="preserve"> </w:t>
      </w:r>
      <w:r w:rsidR="005E28ED">
        <w:rPr>
          <w:lang w:val="lv-LV"/>
        </w:rPr>
        <w:t xml:space="preserve">Šo notikumu </w:t>
      </w:r>
      <w:r w:rsidR="000E6881" w:rsidRPr="00832E00">
        <w:rPr>
          <w:lang w:val="lv-LV"/>
        </w:rPr>
        <w:t>laikā iesniedzējs bija Rīgas Galvenās policijas pārvaldes Ekonomikas policijas biroj</w:t>
      </w:r>
      <w:r w:rsidR="005E28ED">
        <w:rPr>
          <w:lang w:val="lv-LV"/>
        </w:rPr>
        <w:t xml:space="preserve">a </w:t>
      </w:r>
      <w:r w:rsidR="005E28ED" w:rsidRPr="00832E00">
        <w:rPr>
          <w:lang w:val="lv-LV"/>
        </w:rPr>
        <w:t>nodaļas vadītājs</w:t>
      </w:r>
      <w:r w:rsidR="000E6881" w:rsidRPr="00832E00">
        <w:rPr>
          <w:lang w:val="lv-LV"/>
        </w:rPr>
        <w:t xml:space="preserve">. </w:t>
      </w:r>
    </w:p>
    <w:p w:rsidR="00FC77AA" w:rsidRPr="00832E00" w:rsidRDefault="0049721D" w:rsidP="00EA08F6">
      <w:pPr>
        <w:pStyle w:val="ECHRPara"/>
        <w:rPr>
          <w:lang w:val="lv-LV"/>
        </w:rPr>
      </w:pPr>
      <w:r w:rsidRPr="00832E00">
        <w:rPr>
          <w:lang w:val="lv-LV"/>
        </w:rPr>
        <w:lastRenderedPageBreak/>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7</w:t>
      </w:r>
      <w:r w:rsidRPr="00832E00">
        <w:rPr>
          <w:lang w:val="lv-LV"/>
        </w:rPr>
        <w:fldChar w:fldCharType="end"/>
      </w:r>
      <w:r w:rsidRPr="00832E00">
        <w:rPr>
          <w:lang w:val="lv-LV"/>
        </w:rPr>
        <w:t>. </w:t>
      </w:r>
      <w:r w:rsidR="00F94347">
        <w:rPr>
          <w:lang w:val="lv-LV"/>
        </w:rPr>
        <w:t xml:space="preserve">Iesniedzējs apgalvoja, ka </w:t>
      </w:r>
      <w:r w:rsidR="00FC77AA" w:rsidRPr="00832E00">
        <w:rPr>
          <w:lang w:val="lv-LV"/>
        </w:rPr>
        <w:t>tiesvedība</w:t>
      </w:r>
      <w:r w:rsidR="00F94347">
        <w:rPr>
          <w:lang w:val="lv-LV"/>
        </w:rPr>
        <w:t>s laikā</w:t>
      </w:r>
      <w:r w:rsidR="00FC77AA" w:rsidRPr="00832E00">
        <w:rPr>
          <w:lang w:val="lv-LV"/>
        </w:rPr>
        <w:t xml:space="preserve"> apelācijas instances tiesā</w:t>
      </w:r>
      <w:r w:rsidR="00F94347">
        <w:rPr>
          <w:lang w:val="lv-LV"/>
        </w:rPr>
        <w:t xml:space="preserve"> </w:t>
      </w:r>
      <w:r w:rsidR="00FC77AA" w:rsidRPr="00832E00">
        <w:rPr>
          <w:lang w:val="lv-LV"/>
        </w:rPr>
        <w:t>viņš uzzināja, ka pret līdza</w:t>
      </w:r>
      <w:r w:rsidR="00054117">
        <w:rPr>
          <w:lang w:val="lv-LV"/>
        </w:rPr>
        <w:t>psūdzēto</w:t>
      </w:r>
      <w:r w:rsidR="00FC77AA" w:rsidRPr="00832E00">
        <w:rPr>
          <w:lang w:val="lv-LV"/>
        </w:rPr>
        <w:t xml:space="preserve"> A. S. </w:t>
      </w:r>
      <w:r w:rsidR="00054117">
        <w:rPr>
          <w:lang w:val="lv-LV"/>
        </w:rPr>
        <w:t>bija</w:t>
      </w:r>
      <w:r w:rsidR="00FC77AA" w:rsidRPr="00832E00">
        <w:rPr>
          <w:lang w:val="lv-LV"/>
        </w:rPr>
        <w:t xml:space="preserve"> </w:t>
      </w:r>
      <w:r w:rsidR="00F94347">
        <w:rPr>
          <w:lang w:val="lv-LV"/>
        </w:rPr>
        <w:t>ierosināta</w:t>
      </w:r>
      <w:r w:rsidR="00FC77AA" w:rsidRPr="00832E00">
        <w:rPr>
          <w:lang w:val="lv-LV"/>
        </w:rPr>
        <w:t xml:space="preserve"> operatīvās uzskaites lieta.</w:t>
      </w:r>
    </w:p>
    <w:p w:rsidR="00FC77AA" w:rsidRPr="00832E00" w:rsidRDefault="00FC77AA" w:rsidP="00EA08F6">
      <w:pPr>
        <w:pStyle w:val="ECHRPara"/>
        <w:rPr>
          <w:lang w:val="lv-LV"/>
        </w:rPr>
      </w:pPr>
      <w:r w:rsidRPr="00832E00">
        <w:rPr>
          <w:lang w:val="lv-LV"/>
        </w:rPr>
        <w:t>8. Saskaņā ar Valdīb</w:t>
      </w:r>
      <w:r w:rsidR="00054117">
        <w:rPr>
          <w:lang w:val="lv-LV"/>
        </w:rPr>
        <w:t xml:space="preserve">as iesniegto, </w:t>
      </w:r>
      <w:r w:rsidRPr="00832E00">
        <w:rPr>
          <w:lang w:val="lv-LV"/>
        </w:rPr>
        <w:t>2005. gada 27. decembrī, pamatojoties uz privātpersonas sniegtu informāciju, tika uzsākta operatīvās uzskaites lieta. 2005. gada 28. decembrī attiecīgā iestāde – Korupcijas novēršanas un apkarošanas birojs (</w:t>
      </w:r>
      <w:r w:rsidR="00F94347" w:rsidRPr="00832E00">
        <w:rPr>
          <w:lang w:val="lv-LV"/>
        </w:rPr>
        <w:t>“</w:t>
      </w:r>
      <w:r w:rsidRPr="00832E00">
        <w:rPr>
          <w:lang w:val="lv-LV"/>
        </w:rPr>
        <w:t>KNAB”)</w:t>
      </w:r>
      <w:r w:rsidR="00054117">
        <w:rPr>
          <w:lang w:val="lv-LV"/>
        </w:rPr>
        <w:t xml:space="preserve"> </w:t>
      </w:r>
      <w:r w:rsidR="00054117" w:rsidRPr="00832E00">
        <w:rPr>
          <w:lang w:val="lv-LV"/>
        </w:rPr>
        <w:t>par to informēja</w:t>
      </w:r>
      <w:r w:rsidR="00054117">
        <w:rPr>
          <w:lang w:val="lv-LV"/>
        </w:rPr>
        <w:t xml:space="preserve"> </w:t>
      </w:r>
      <w:r w:rsidR="00054117" w:rsidRPr="00832E00">
        <w:rPr>
          <w:lang w:val="lv-LV"/>
        </w:rPr>
        <w:t>prokuratūru</w:t>
      </w:r>
      <w:r w:rsidRPr="00832E00">
        <w:rPr>
          <w:lang w:val="lv-LV"/>
        </w:rPr>
        <w:t>. Tajā pašā datumā Augstākā tiesa atļāv</w:t>
      </w:r>
      <w:r w:rsidR="00054117">
        <w:rPr>
          <w:lang w:val="lv-LV"/>
        </w:rPr>
        <w:t>a veikt</w:t>
      </w:r>
      <w:r w:rsidRPr="00832E00">
        <w:rPr>
          <w:lang w:val="lv-LV"/>
        </w:rPr>
        <w:t xml:space="preserve"> A. S. telefonsarunu noklausīšanos un prokuratūra </w:t>
      </w:r>
      <w:r w:rsidR="00F94347">
        <w:rPr>
          <w:lang w:val="lv-LV"/>
        </w:rPr>
        <w:t>apstiprināj</w:t>
      </w:r>
      <w:r w:rsidR="00054117">
        <w:rPr>
          <w:lang w:val="lv-LV"/>
        </w:rPr>
        <w:t>a</w:t>
      </w:r>
      <w:r w:rsidRPr="00832E00">
        <w:rPr>
          <w:lang w:val="lv-LV"/>
        </w:rPr>
        <w:t xml:space="preserve"> operatīvo eksperimentu. 2005. gada 29. decembrī KNAB vadītājs saskaņā ar Operatīvās darbības likuma 7. panta </w:t>
      </w:r>
      <w:r w:rsidR="00054117">
        <w:rPr>
          <w:lang w:val="lv-LV"/>
        </w:rPr>
        <w:t>piekto</w:t>
      </w:r>
      <w:r w:rsidRPr="00832E00">
        <w:rPr>
          <w:lang w:val="lv-LV"/>
        </w:rPr>
        <w:t xml:space="preserve"> daļu </w:t>
      </w:r>
      <w:r w:rsidR="00054117">
        <w:rPr>
          <w:lang w:val="lv-LV"/>
        </w:rPr>
        <w:t xml:space="preserve">deva atļauju noklausīties </w:t>
      </w:r>
      <w:r w:rsidRPr="00832E00">
        <w:rPr>
          <w:lang w:val="lv-LV"/>
        </w:rPr>
        <w:t>A. B. telefonsarun</w:t>
      </w:r>
      <w:r w:rsidR="00054117">
        <w:rPr>
          <w:lang w:val="lv-LV"/>
        </w:rPr>
        <w:t>as</w:t>
      </w:r>
      <w:r w:rsidRPr="00832E00">
        <w:rPr>
          <w:lang w:val="lv-LV"/>
        </w:rPr>
        <w:t>, ieskaitot</w:t>
      </w:r>
      <w:r w:rsidR="00054117">
        <w:rPr>
          <w:lang w:val="lv-LV"/>
        </w:rPr>
        <w:t xml:space="preserve"> viņa</w:t>
      </w:r>
      <w:r w:rsidRPr="00832E00">
        <w:rPr>
          <w:lang w:val="lv-LV"/>
        </w:rPr>
        <w:t xml:space="preserve"> sarunas ar iesniedzēju. 2005. gada 30. decembrī KNAB informēja prokuratūru par </w:t>
      </w:r>
      <w:r w:rsidR="00F94347">
        <w:rPr>
          <w:lang w:val="lv-LV"/>
        </w:rPr>
        <w:t>operatīvajām darbībām</w:t>
      </w:r>
      <w:r w:rsidR="00054117">
        <w:rPr>
          <w:lang w:val="lv-LV"/>
        </w:rPr>
        <w:t xml:space="preserve">, kas tika veikts saskaņā ar šīm </w:t>
      </w:r>
      <w:r w:rsidR="00F94347">
        <w:rPr>
          <w:lang w:val="lv-LV"/>
        </w:rPr>
        <w:t>tiesību normām</w:t>
      </w:r>
      <w:r w:rsidRPr="00832E00">
        <w:rPr>
          <w:lang w:val="lv-LV"/>
        </w:rPr>
        <w:t>. Valdība šajā sakarā nesniedza nekādus pierādījumus.</w:t>
      </w:r>
    </w:p>
    <w:p w:rsidR="00FC77AA" w:rsidRPr="00832E00" w:rsidRDefault="00496DF3" w:rsidP="00EA08F6">
      <w:pPr>
        <w:pStyle w:val="ECHRHeading2"/>
        <w:rPr>
          <w:lang w:val="lv-LV"/>
        </w:rPr>
      </w:pPr>
      <w:r w:rsidRPr="00832E00">
        <w:rPr>
          <w:lang w:val="lv-LV"/>
        </w:rPr>
        <w:t>A</w:t>
      </w:r>
      <w:r w:rsidR="0049721D" w:rsidRPr="00832E00">
        <w:rPr>
          <w:lang w:val="lv-LV"/>
        </w:rPr>
        <w:t>.  </w:t>
      </w:r>
      <w:r w:rsidR="00FC77AA" w:rsidRPr="00832E00">
        <w:rPr>
          <w:lang w:val="lv-LV"/>
        </w:rPr>
        <w:t>Operatīvā darbība un iesniedzēja sūdzības par t</w:t>
      </w:r>
      <w:r w:rsidR="00054117">
        <w:rPr>
          <w:lang w:val="lv-LV"/>
        </w:rPr>
        <w:t>o</w:t>
      </w:r>
    </w:p>
    <w:p w:rsidR="00FC77AA" w:rsidRPr="00832E00" w:rsidRDefault="0049721D"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9</w:t>
      </w:r>
      <w:r w:rsidRPr="00832E00">
        <w:rPr>
          <w:lang w:val="lv-LV"/>
        </w:rPr>
        <w:fldChar w:fldCharType="end"/>
      </w:r>
      <w:r w:rsidRPr="00832E00">
        <w:rPr>
          <w:lang w:val="lv-LV"/>
        </w:rPr>
        <w:t>.  </w:t>
      </w:r>
      <w:r w:rsidR="00FC77AA" w:rsidRPr="00832E00">
        <w:rPr>
          <w:lang w:val="lv-LV"/>
        </w:rPr>
        <w:t xml:space="preserve">2009. gada 22. janvārī Augstākās tiesas Krimināllietu tiesu palātas tiesnesis pieprasīja informāciju par </w:t>
      </w:r>
      <w:r w:rsidR="00D41AC3" w:rsidRPr="00832E00">
        <w:rPr>
          <w:lang w:val="lv-LV"/>
        </w:rPr>
        <w:t>operatīvo uzskaites lietu saistībā ar kriminālo tiesvedību, kas bija ierosināta pret iesniedzēju.</w:t>
      </w:r>
    </w:p>
    <w:p w:rsidR="00B87192" w:rsidRPr="00832E00" w:rsidRDefault="0049721D"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10</w:t>
      </w:r>
      <w:r w:rsidRPr="00832E00">
        <w:rPr>
          <w:lang w:val="lv-LV"/>
        </w:rPr>
        <w:fldChar w:fldCharType="end"/>
      </w:r>
      <w:r w:rsidRPr="00832E00">
        <w:rPr>
          <w:lang w:val="lv-LV"/>
        </w:rPr>
        <w:t>.  </w:t>
      </w:r>
      <w:r w:rsidR="00B87192" w:rsidRPr="00832E00">
        <w:rPr>
          <w:lang w:val="lv-LV"/>
        </w:rPr>
        <w:t xml:space="preserve">2009. gada 18. februārī </w:t>
      </w:r>
      <w:r w:rsidR="00AE622C" w:rsidRPr="00832E00">
        <w:rPr>
          <w:lang w:val="lv-LV"/>
        </w:rPr>
        <w:t>īpaši pilnvarotā</w:t>
      </w:r>
      <w:r w:rsidR="00B87192" w:rsidRPr="00832E00">
        <w:rPr>
          <w:lang w:val="lv-LV"/>
        </w:rPr>
        <w:t xml:space="preserve"> prokurore, izskatījusi materiālu atbilstoši </w:t>
      </w:r>
      <w:r w:rsidR="00887629">
        <w:rPr>
          <w:lang w:val="lv-LV"/>
        </w:rPr>
        <w:t>Operatīvās darbības likuma</w:t>
      </w:r>
      <w:r w:rsidR="00B87192" w:rsidRPr="00832E00">
        <w:rPr>
          <w:lang w:val="lv-LV"/>
        </w:rPr>
        <w:t xml:space="preserve"> 35. panta </w:t>
      </w:r>
      <w:r w:rsidR="00054117">
        <w:rPr>
          <w:lang w:val="lv-LV"/>
        </w:rPr>
        <w:t>pirmajai</w:t>
      </w:r>
      <w:r w:rsidR="00B87192" w:rsidRPr="00832E00">
        <w:rPr>
          <w:lang w:val="lv-LV"/>
        </w:rPr>
        <w:t xml:space="preserve"> daļai, </w:t>
      </w:r>
      <w:r w:rsidR="00054117">
        <w:rPr>
          <w:lang w:val="lv-LV"/>
        </w:rPr>
        <w:t>sniedza atbildi</w:t>
      </w:r>
      <w:r w:rsidR="00B87192" w:rsidRPr="00832E00">
        <w:rPr>
          <w:lang w:val="lv-LV"/>
        </w:rPr>
        <w:t xml:space="preserve">, ka operatīvā uzskaites lieta </w:t>
      </w:r>
      <w:r w:rsidR="00054117">
        <w:rPr>
          <w:lang w:val="lv-LV"/>
        </w:rPr>
        <w:t>uzsākta</w:t>
      </w:r>
      <w:r w:rsidR="00B87192" w:rsidRPr="00832E00">
        <w:rPr>
          <w:lang w:val="lv-LV"/>
        </w:rPr>
        <w:t xml:space="preserve"> 2005. gada 27. decembrī. Operatīvās uzskaites lietas ietvaros nebija noklausītas iesniedzēja telefonsarunas.</w:t>
      </w:r>
      <w:r w:rsidR="00A747DA" w:rsidRPr="00832E00">
        <w:rPr>
          <w:lang w:val="lv-LV"/>
        </w:rPr>
        <w:t xml:space="preserve"> </w:t>
      </w:r>
      <w:r w:rsidR="00B87192" w:rsidRPr="00832E00">
        <w:rPr>
          <w:lang w:val="lv-LV"/>
        </w:rPr>
        <w:t xml:space="preserve">Taču </w:t>
      </w:r>
      <w:r w:rsidR="00BD1C2F">
        <w:rPr>
          <w:lang w:val="lv-LV"/>
        </w:rPr>
        <w:t>prokurore</w:t>
      </w:r>
      <w:r w:rsidR="00B87192" w:rsidRPr="00832E00">
        <w:rPr>
          <w:lang w:val="lv-LV"/>
        </w:rPr>
        <w:t xml:space="preserve"> norādīja, ka </w:t>
      </w:r>
      <w:r w:rsidR="00887629" w:rsidRPr="00832E00">
        <w:rPr>
          <w:lang w:val="lv-LV"/>
        </w:rPr>
        <w:t>“</w:t>
      </w:r>
      <w:r w:rsidR="00B87192" w:rsidRPr="00832E00">
        <w:rPr>
          <w:lang w:val="lv-LV"/>
        </w:rPr>
        <w:t>viņa sarunas tika ierakstītas, j</w:t>
      </w:r>
      <w:r w:rsidR="00054117">
        <w:rPr>
          <w:lang w:val="lv-LV"/>
        </w:rPr>
        <w:t>o</w:t>
      </w:r>
      <w:r w:rsidR="00B87192" w:rsidRPr="00832E00">
        <w:rPr>
          <w:lang w:val="lv-LV"/>
        </w:rPr>
        <w:t xml:space="preserve"> viņš runāja ar [personu], kuras sarunas tika noklausītas atbilstoši </w:t>
      </w:r>
      <w:r w:rsidR="00887629">
        <w:rPr>
          <w:lang w:val="lv-LV"/>
        </w:rPr>
        <w:t>Operatīvās darbības likumam</w:t>
      </w:r>
      <w:r w:rsidR="00B87192" w:rsidRPr="00832E00">
        <w:rPr>
          <w:lang w:val="lv-LV"/>
        </w:rPr>
        <w:t xml:space="preserve">”. </w:t>
      </w:r>
      <w:r w:rsidR="00887629">
        <w:rPr>
          <w:lang w:val="lv-LV"/>
        </w:rPr>
        <w:t>Iesniedzējs apgalvoja, ka</w:t>
      </w:r>
      <w:r w:rsidR="00B87192" w:rsidRPr="00832E00">
        <w:rPr>
          <w:lang w:val="lv-LV"/>
        </w:rPr>
        <w:t xml:space="preserve"> viņš to uzzināja 2009. gada 22. oktobrī apelācijas instances </w:t>
      </w:r>
      <w:r w:rsidR="00A747DA" w:rsidRPr="00832E00">
        <w:rPr>
          <w:lang w:val="lv-LV"/>
        </w:rPr>
        <w:t>tiesas</w:t>
      </w:r>
      <w:r w:rsidR="00B87192" w:rsidRPr="00832E00">
        <w:rPr>
          <w:lang w:val="lv-LV"/>
        </w:rPr>
        <w:t xml:space="preserve"> sēdē.</w:t>
      </w:r>
    </w:p>
    <w:p w:rsidR="00D92E34" w:rsidRPr="00832E00" w:rsidRDefault="0049721D"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11</w:t>
      </w:r>
      <w:r w:rsidRPr="00832E00">
        <w:rPr>
          <w:lang w:val="lv-LV"/>
        </w:rPr>
        <w:fldChar w:fldCharType="end"/>
      </w:r>
      <w:r w:rsidRPr="00832E00">
        <w:rPr>
          <w:lang w:val="lv-LV"/>
        </w:rPr>
        <w:t>.</w:t>
      </w:r>
      <w:r w:rsidR="00D92E34" w:rsidRPr="00832E00">
        <w:rPr>
          <w:lang w:val="lv-LV"/>
        </w:rPr>
        <w:t xml:space="preserve"> 2009. gada 22. oktobrī iesniedzējs pieprasīja </w:t>
      </w:r>
      <w:r w:rsidRPr="00832E00">
        <w:rPr>
          <w:lang w:val="lv-LV"/>
        </w:rPr>
        <w:t>  </w:t>
      </w:r>
      <w:r w:rsidR="00054117">
        <w:rPr>
          <w:lang w:val="lv-LV"/>
        </w:rPr>
        <w:t>prokuratūru</w:t>
      </w:r>
      <w:r w:rsidR="00D92E34" w:rsidRPr="00832E00">
        <w:rPr>
          <w:lang w:val="lv-LV"/>
        </w:rPr>
        <w:t xml:space="preserve"> </w:t>
      </w:r>
      <w:r w:rsidR="00887629">
        <w:rPr>
          <w:lang w:val="lv-LV"/>
        </w:rPr>
        <w:t>izvērtēt</w:t>
      </w:r>
      <w:r w:rsidR="00D92E34" w:rsidRPr="00832E00">
        <w:rPr>
          <w:lang w:val="lv-LV"/>
        </w:rPr>
        <w:t xml:space="preserve"> īstenoto operatīvo </w:t>
      </w:r>
      <w:r w:rsidR="00887629">
        <w:rPr>
          <w:lang w:val="lv-LV"/>
        </w:rPr>
        <w:t>darbību</w:t>
      </w:r>
      <w:r w:rsidR="00D92E34" w:rsidRPr="00832E00">
        <w:rPr>
          <w:lang w:val="lv-LV"/>
        </w:rPr>
        <w:t xml:space="preserve"> tiesiskumu un uzdeva noteiktus jautājumus par </w:t>
      </w:r>
      <w:r w:rsidR="00887629">
        <w:rPr>
          <w:lang w:val="lv-LV"/>
        </w:rPr>
        <w:t>šīm darbībām</w:t>
      </w:r>
      <w:r w:rsidR="00D92E34" w:rsidRPr="00832E00">
        <w:rPr>
          <w:lang w:val="lv-LV"/>
        </w:rPr>
        <w:t xml:space="preserve">. </w:t>
      </w:r>
      <w:r w:rsidR="00887629">
        <w:rPr>
          <w:lang w:val="lv-LV"/>
        </w:rPr>
        <w:t xml:space="preserve"> </w:t>
      </w:r>
    </w:p>
    <w:p w:rsidR="00D92E34" w:rsidRPr="00832E00" w:rsidRDefault="0049721D"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12</w:t>
      </w:r>
      <w:r w:rsidRPr="00832E00">
        <w:rPr>
          <w:lang w:val="lv-LV"/>
        </w:rPr>
        <w:fldChar w:fldCharType="end"/>
      </w:r>
      <w:r w:rsidRPr="00832E00">
        <w:rPr>
          <w:lang w:val="lv-LV"/>
        </w:rPr>
        <w:t>.  </w:t>
      </w:r>
      <w:r w:rsidR="00D92E34" w:rsidRPr="00832E00">
        <w:rPr>
          <w:lang w:val="lv-LV"/>
        </w:rPr>
        <w:t xml:space="preserve">2009. gada 4. novembrī </w:t>
      </w:r>
      <w:r w:rsidR="00AE622C" w:rsidRPr="00832E00">
        <w:rPr>
          <w:lang w:val="lv-LV"/>
        </w:rPr>
        <w:t>īpaši pilnvarotā</w:t>
      </w:r>
      <w:r w:rsidR="00D92E34" w:rsidRPr="00832E00">
        <w:rPr>
          <w:lang w:val="lv-LV"/>
        </w:rPr>
        <w:t xml:space="preserve"> prokurore</w:t>
      </w:r>
      <w:r w:rsidR="00054117">
        <w:rPr>
          <w:lang w:val="lv-LV"/>
        </w:rPr>
        <w:t>,</w:t>
      </w:r>
      <w:r w:rsidR="00D92E34" w:rsidRPr="00832E00">
        <w:rPr>
          <w:lang w:val="lv-LV"/>
        </w:rPr>
        <w:t xml:space="preserve"> cita starpā</w:t>
      </w:r>
      <w:r w:rsidR="00054117">
        <w:rPr>
          <w:lang w:val="lv-LV"/>
        </w:rPr>
        <w:t>,</w:t>
      </w:r>
      <w:r w:rsidR="00D92E34" w:rsidRPr="00832E00">
        <w:rPr>
          <w:lang w:val="lv-LV"/>
        </w:rPr>
        <w:t xml:space="preserve"> atbildēja, ka 2008. gada 28. decembrī atbilstoši </w:t>
      </w:r>
      <w:r w:rsidR="005A0DDF" w:rsidRPr="00832E00">
        <w:rPr>
          <w:lang w:val="lv-LV"/>
        </w:rPr>
        <w:t>Operatīvās darbības likuma</w:t>
      </w:r>
      <w:r w:rsidR="00D92E34" w:rsidRPr="00832E00">
        <w:rPr>
          <w:lang w:val="lv-LV"/>
        </w:rPr>
        <w:t xml:space="preserve"> 15. panta </w:t>
      </w:r>
      <w:r w:rsidR="00054117">
        <w:rPr>
          <w:lang w:val="lv-LV"/>
        </w:rPr>
        <w:t>trešajai</w:t>
      </w:r>
      <w:r w:rsidR="00D92E34" w:rsidRPr="00832E00">
        <w:rPr>
          <w:lang w:val="lv-LV"/>
        </w:rPr>
        <w:t xml:space="preserve"> daļai </w:t>
      </w:r>
      <w:r w:rsidR="00887629" w:rsidRPr="00832E00">
        <w:rPr>
          <w:lang w:val="lv-LV"/>
        </w:rPr>
        <w:t xml:space="preserve">operatīvās uzskaites lietas ietvaros </w:t>
      </w:r>
      <w:r w:rsidR="00D92E34" w:rsidRPr="00832E00">
        <w:rPr>
          <w:lang w:val="lv-LV"/>
        </w:rPr>
        <w:t>tika apstiprināts operatīvais eksperiments</w:t>
      </w:r>
      <w:r w:rsidR="005A0DDF" w:rsidRPr="00832E00">
        <w:rPr>
          <w:lang w:val="lv-LV"/>
        </w:rPr>
        <w:t xml:space="preserve">, lai </w:t>
      </w:r>
      <w:r w:rsidR="00054117">
        <w:rPr>
          <w:lang w:val="lv-LV"/>
        </w:rPr>
        <w:t>fiksētu</w:t>
      </w:r>
      <w:r w:rsidR="005A0DDF" w:rsidRPr="00832E00">
        <w:rPr>
          <w:lang w:val="lv-LV"/>
        </w:rPr>
        <w:t xml:space="preserve"> zvērināta advokāta A. S. rīcību pēc 19 500 Latvijas latu (LVL) saņemšanas, ko</w:t>
      </w:r>
      <w:r w:rsidR="00887629">
        <w:rPr>
          <w:lang w:val="lv-LV"/>
        </w:rPr>
        <w:t xml:space="preserve"> bija</w:t>
      </w:r>
      <w:r w:rsidR="005A0DDF" w:rsidRPr="00832E00">
        <w:rPr>
          <w:lang w:val="lv-LV"/>
        </w:rPr>
        <w:t xml:space="preserve"> paredzēts nodot ekonomisko noziegumu </w:t>
      </w:r>
      <w:r w:rsidR="00887629">
        <w:rPr>
          <w:lang w:val="lv-LV"/>
        </w:rPr>
        <w:t>policijas amatpersonām. Šādi bija paredzēts</w:t>
      </w:r>
      <w:r w:rsidR="005A0DDF" w:rsidRPr="00832E00">
        <w:rPr>
          <w:lang w:val="lv-LV"/>
        </w:rPr>
        <w:t xml:space="preserve"> noskaidrot, vai viņš </w:t>
      </w:r>
      <w:r w:rsidR="00887629">
        <w:rPr>
          <w:lang w:val="lv-LV"/>
        </w:rPr>
        <w:t>turpinās</w:t>
      </w:r>
      <w:r w:rsidR="00131531">
        <w:rPr>
          <w:lang w:val="lv-LV"/>
        </w:rPr>
        <w:t xml:space="preserve"> veikt darbības </w:t>
      </w:r>
      <w:r w:rsidR="005A0DDF" w:rsidRPr="00832E00">
        <w:rPr>
          <w:lang w:val="lv-LV"/>
        </w:rPr>
        <w:t>kukuļa nodošan</w:t>
      </w:r>
      <w:r w:rsidR="00131531">
        <w:rPr>
          <w:lang w:val="lv-LV"/>
        </w:rPr>
        <w:t>ai</w:t>
      </w:r>
      <w:r w:rsidR="00887629">
        <w:rPr>
          <w:lang w:val="lv-LV"/>
        </w:rPr>
        <w:t>,</w:t>
      </w:r>
      <w:r w:rsidR="005A0DDF" w:rsidRPr="00832E00">
        <w:rPr>
          <w:lang w:val="lv-LV"/>
        </w:rPr>
        <w:t xml:space="preserve"> </w:t>
      </w:r>
      <w:r w:rsidR="00887629">
        <w:rPr>
          <w:lang w:val="lv-LV"/>
        </w:rPr>
        <w:t>kā arī</w:t>
      </w:r>
      <w:r w:rsidR="00131531">
        <w:rPr>
          <w:lang w:val="lv-LV"/>
        </w:rPr>
        <w:t xml:space="preserve"> identificēt</w:t>
      </w:r>
      <w:r w:rsidR="005A0DDF" w:rsidRPr="00832E00">
        <w:rPr>
          <w:lang w:val="lv-LV"/>
        </w:rPr>
        <w:t xml:space="preserve"> viņa iespējamos sabiedrotos. Viņa arī norādīja, ka nacionālajos tiesību aktos nav noteikta operatīvo </w:t>
      </w:r>
      <w:r w:rsidR="00174052">
        <w:rPr>
          <w:lang w:val="lv-LV"/>
        </w:rPr>
        <w:t>darbību</w:t>
      </w:r>
      <w:r w:rsidR="005A0DDF" w:rsidRPr="00832E00">
        <w:rPr>
          <w:lang w:val="lv-LV"/>
        </w:rPr>
        <w:t xml:space="preserve"> neatkarīga </w:t>
      </w:r>
      <w:r w:rsidR="00131531">
        <w:rPr>
          <w:lang w:val="lv-LV"/>
        </w:rPr>
        <w:t>u</w:t>
      </w:r>
      <w:r w:rsidR="005A0DDF" w:rsidRPr="00832E00">
        <w:rPr>
          <w:lang w:val="lv-LV"/>
        </w:rPr>
        <w:t>zraudzība</w:t>
      </w:r>
      <w:r w:rsidR="00131531">
        <w:rPr>
          <w:lang w:val="lv-LV"/>
        </w:rPr>
        <w:t xml:space="preserve"> tiesā</w:t>
      </w:r>
      <w:r w:rsidR="005A0DDF" w:rsidRPr="00832E00">
        <w:rPr>
          <w:lang w:val="lv-LV"/>
        </w:rPr>
        <w:t xml:space="preserve">; uzraudzību veica ģenerālprokurors un īpaši pilnvaroti prokurori atbilstoši Operatīvās darbības likuma 35. panta </w:t>
      </w:r>
      <w:r w:rsidR="00131531">
        <w:rPr>
          <w:lang w:val="lv-LV"/>
        </w:rPr>
        <w:t xml:space="preserve">pirmajai </w:t>
      </w:r>
      <w:r w:rsidR="005A0DDF" w:rsidRPr="00832E00">
        <w:rPr>
          <w:lang w:val="lv-LV"/>
        </w:rPr>
        <w:t>daļai.  Visbeidzot</w:t>
      </w:r>
      <w:r w:rsidR="00131531">
        <w:rPr>
          <w:lang w:val="lv-LV"/>
        </w:rPr>
        <w:t>,</w:t>
      </w:r>
      <w:r w:rsidR="005A0DDF" w:rsidRPr="00832E00">
        <w:rPr>
          <w:lang w:val="lv-LV"/>
        </w:rPr>
        <w:t xml:space="preserve"> viņa norādīja, ka operatīvās uzskaites lietā </w:t>
      </w:r>
      <w:r w:rsidR="00174052">
        <w:rPr>
          <w:lang w:val="lv-LV"/>
        </w:rPr>
        <w:t>veiktās darbības</w:t>
      </w:r>
      <w:r w:rsidR="005A0DDF" w:rsidRPr="00832E00">
        <w:rPr>
          <w:lang w:val="lv-LV"/>
        </w:rPr>
        <w:t xml:space="preserve"> attiecībā pret iesniedzēju un viņa </w:t>
      </w:r>
      <w:proofErr w:type="spellStart"/>
      <w:r w:rsidR="005A0DDF" w:rsidRPr="00832E00">
        <w:rPr>
          <w:lang w:val="lv-LV"/>
        </w:rPr>
        <w:lastRenderedPageBreak/>
        <w:t>līdza</w:t>
      </w:r>
      <w:r w:rsidR="00131531">
        <w:rPr>
          <w:lang w:val="lv-LV"/>
        </w:rPr>
        <w:t>psūdzētajiem</w:t>
      </w:r>
      <w:proofErr w:type="spellEnd"/>
      <w:r w:rsidR="005A0DDF" w:rsidRPr="00832E00">
        <w:rPr>
          <w:lang w:val="lv-LV"/>
        </w:rPr>
        <w:t xml:space="preserve"> nav bijuš</w:t>
      </w:r>
      <w:r w:rsidR="00174052">
        <w:rPr>
          <w:lang w:val="lv-LV"/>
        </w:rPr>
        <w:t>as</w:t>
      </w:r>
      <w:r w:rsidR="005A0DDF" w:rsidRPr="00832E00">
        <w:rPr>
          <w:lang w:val="lv-LV"/>
        </w:rPr>
        <w:t xml:space="preserve"> pretlikumīg</w:t>
      </w:r>
      <w:r w:rsidR="00174052">
        <w:rPr>
          <w:lang w:val="lv-LV"/>
        </w:rPr>
        <w:t>as</w:t>
      </w:r>
      <w:r w:rsidR="005A0DDF" w:rsidRPr="00832E00">
        <w:rPr>
          <w:lang w:val="lv-LV"/>
        </w:rPr>
        <w:t xml:space="preserve"> un nav pārkāpti vispārējie principi, kas </w:t>
      </w:r>
      <w:r w:rsidR="00131531">
        <w:rPr>
          <w:lang w:val="lv-LV"/>
        </w:rPr>
        <w:t>regulē</w:t>
      </w:r>
      <w:r w:rsidR="005A0DDF" w:rsidRPr="00832E00">
        <w:rPr>
          <w:lang w:val="lv-LV"/>
        </w:rPr>
        <w:t xml:space="preserve"> šī likuma 4. pantā noteiktās operatīvās darbības.</w:t>
      </w:r>
    </w:p>
    <w:p w:rsidR="00A747DA" w:rsidRPr="00832E00" w:rsidRDefault="00A747DA" w:rsidP="00EA08F6">
      <w:pPr>
        <w:pStyle w:val="ECHRPara"/>
        <w:rPr>
          <w:lang w:val="lv-LV"/>
        </w:rPr>
      </w:pPr>
      <w:r w:rsidRPr="00832E00">
        <w:rPr>
          <w:lang w:val="lv-LV"/>
        </w:rPr>
        <w:t xml:space="preserve">13. 2009. gada 6. novembrī iesniedzējs iesniedza sūdzību par </w:t>
      </w:r>
      <w:r w:rsidR="00AE622C" w:rsidRPr="00832E00">
        <w:rPr>
          <w:lang w:val="lv-LV"/>
        </w:rPr>
        <w:t>īpaši pilnvarotās</w:t>
      </w:r>
      <w:r w:rsidRPr="00832E00">
        <w:rPr>
          <w:lang w:val="lv-LV"/>
        </w:rPr>
        <w:t xml:space="preserve"> prokurores atbildi. </w:t>
      </w:r>
    </w:p>
    <w:p w:rsidR="00A747DA" w:rsidRPr="00832E00" w:rsidRDefault="00A747DA" w:rsidP="00EA08F6">
      <w:pPr>
        <w:pStyle w:val="ECHRPara"/>
        <w:rPr>
          <w:lang w:val="lv-LV"/>
        </w:rPr>
      </w:pPr>
      <w:r w:rsidRPr="00832E00">
        <w:rPr>
          <w:lang w:val="lv-LV"/>
        </w:rPr>
        <w:t xml:space="preserve">14. 2009. gada 27. novembrī augstākstāvoša </w:t>
      </w:r>
      <w:r w:rsidR="00AE622C" w:rsidRPr="00832E00">
        <w:rPr>
          <w:lang w:val="lv-LV"/>
        </w:rPr>
        <w:t>īpaši pilnvarotā</w:t>
      </w:r>
      <w:r w:rsidRPr="00832E00">
        <w:rPr>
          <w:lang w:val="lv-LV"/>
        </w:rPr>
        <w:t xml:space="preserve"> prokurore noraidīja iesniedzēja sūdzību. Viņa atsaucās uz Operatīvās darbības likuma 35. panta </w:t>
      </w:r>
      <w:r w:rsidR="00131531">
        <w:rPr>
          <w:lang w:val="lv-LV"/>
        </w:rPr>
        <w:t xml:space="preserve">pirmo </w:t>
      </w:r>
      <w:r w:rsidRPr="00832E00">
        <w:rPr>
          <w:lang w:val="lv-LV"/>
        </w:rPr>
        <w:t xml:space="preserve">daļu un 5. pantu. Atsaucoties uz 7. panta </w:t>
      </w:r>
      <w:r w:rsidR="00131531">
        <w:rPr>
          <w:lang w:val="lv-LV"/>
        </w:rPr>
        <w:t>piekto</w:t>
      </w:r>
      <w:r w:rsidRPr="00832E00">
        <w:rPr>
          <w:lang w:val="lv-LV"/>
        </w:rPr>
        <w:t xml:space="preserve"> daļu, prokurore arī paskaidroja, ka A. S. telefonsarunu noklausīšanās laikā iestādes uzzināja, ka 2005. gada 30. decembrī tiek plānots noziedzīgs nodarījums, proti, tiek </w:t>
      </w:r>
      <w:r w:rsidR="00D46A53">
        <w:rPr>
          <w:lang w:val="lv-LV"/>
        </w:rPr>
        <w:t>plānota</w:t>
      </w:r>
      <w:r w:rsidRPr="00832E00">
        <w:rPr>
          <w:lang w:val="lv-LV"/>
        </w:rPr>
        <w:t xml:space="preserve"> kukuļa došana un pieņemšana, iesaistot arī Valsts policijas amatpersonas. Pamatojoties uz Operatīvās darbības likuma 7. panta </w:t>
      </w:r>
      <w:r w:rsidR="00D46A53">
        <w:rPr>
          <w:lang w:val="lv-LV"/>
        </w:rPr>
        <w:t>piekto</w:t>
      </w:r>
      <w:r w:rsidRPr="00832E00">
        <w:rPr>
          <w:lang w:val="lv-LV"/>
        </w:rPr>
        <w:t xml:space="preserve"> daļu, tika pieņemts lēmums noklausīties A. B. telefonsarunas, lai nepieļautu turpmāku amatpersonu iesaistīšanos ar korupciju saistītos noziedzīgos nodarījumos. </w:t>
      </w:r>
      <w:r w:rsidR="00D46A53">
        <w:rPr>
          <w:lang w:val="lv-LV"/>
        </w:rPr>
        <w:t>Prokuratūras</w:t>
      </w:r>
      <w:r w:rsidRPr="00832E00">
        <w:rPr>
          <w:lang w:val="lv-LV"/>
        </w:rPr>
        <w:t xml:space="preserve"> kompetencē neietilpa pienākums </w:t>
      </w:r>
      <w:r w:rsidR="00AC0B08">
        <w:rPr>
          <w:lang w:val="lv-LV"/>
        </w:rPr>
        <w:t>izvērtēt</w:t>
      </w:r>
      <w:r w:rsidRPr="00832E00">
        <w:rPr>
          <w:lang w:val="lv-LV"/>
        </w:rPr>
        <w:t xml:space="preserve">, vai </w:t>
      </w:r>
      <w:r w:rsidR="00AC0B08">
        <w:rPr>
          <w:lang w:val="lv-LV"/>
        </w:rPr>
        <w:t>šī vai citas tiesību normas</w:t>
      </w:r>
      <w:r w:rsidRPr="00832E00">
        <w:rPr>
          <w:lang w:val="lv-LV"/>
        </w:rPr>
        <w:t xml:space="preserve"> </w:t>
      </w:r>
      <w:r w:rsidR="00AC0B08">
        <w:rPr>
          <w:lang w:val="lv-LV"/>
        </w:rPr>
        <w:t>atbilst</w:t>
      </w:r>
      <w:r w:rsidRPr="00832E00">
        <w:rPr>
          <w:lang w:val="lv-LV"/>
        </w:rPr>
        <w:t xml:space="preserve"> Latvijas Satversmei; lēmumu par šiem jautājumiem var</w:t>
      </w:r>
      <w:r w:rsidR="00AC0B08">
        <w:rPr>
          <w:lang w:val="lv-LV"/>
        </w:rPr>
        <w:t>ēja</w:t>
      </w:r>
      <w:r w:rsidRPr="00832E00">
        <w:rPr>
          <w:lang w:val="lv-LV"/>
        </w:rPr>
        <w:t xml:space="preserve"> pieņemt Satversmes tiesa. </w:t>
      </w:r>
    </w:p>
    <w:p w:rsidR="00A747DA" w:rsidRPr="00832E00" w:rsidRDefault="00A747DA" w:rsidP="00EA08F6">
      <w:pPr>
        <w:pStyle w:val="ECHRPara"/>
        <w:rPr>
          <w:lang w:val="lv-LV"/>
        </w:rPr>
      </w:pPr>
      <w:r w:rsidRPr="00832E00">
        <w:rPr>
          <w:lang w:val="lv-LV"/>
        </w:rPr>
        <w:t xml:space="preserve">15. </w:t>
      </w:r>
      <w:r w:rsidR="006B0F94" w:rsidRPr="00832E00">
        <w:rPr>
          <w:lang w:val="lv-LV"/>
        </w:rPr>
        <w:t>Iesniedzējs iesniedza ģenerālprokuroram tālāku sūdzību, kur</w:t>
      </w:r>
      <w:r w:rsidR="00D46A53">
        <w:rPr>
          <w:lang w:val="lv-LV"/>
        </w:rPr>
        <w:t>a</w:t>
      </w:r>
      <w:r w:rsidR="006B0F94" w:rsidRPr="00832E00">
        <w:rPr>
          <w:lang w:val="lv-LV"/>
        </w:rPr>
        <w:t xml:space="preserve"> </w:t>
      </w:r>
      <w:r w:rsidR="00AC0B08">
        <w:rPr>
          <w:lang w:val="lv-LV"/>
        </w:rPr>
        <w:t>a</w:t>
      </w:r>
      <w:r w:rsidR="006B0F94" w:rsidRPr="00832E00">
        <w:rPr>
          <w:lang w:val="lv-LV"/>
        </w:rPr>
        <w:t>r gal</w:t>
      </w:r>
      <w:r w:rsidR="00D46A53">
        <w:rPr>
          <w:lang w:val="lv-LV"/>
        </w:rPr>
        <w:t>īgo</w:t>
      </w:r>
      <w:r w:rsidR="006B0F94" w:rsidRPr="00832E00">
        <w:rPr>
          <w:lang w:val="lv-LV"/>
        </w:rPr>
        <w:t xml:space="preserve"> lēmumu</w:t>
      </w:r>
      <w:r w:rsidR="00D46A53">
        <w:rPr>
          <w:lang w:val="lv-LV"/>
        </w:rPr>
        <w:t xml:space="preserve"> tika</w:t>
      </w:r>
      <w:r w:rsidR="006B0F94" w:rsidRPr="00832E00">
        <w:rPr>
          <w:lang w:val="lv-LV"/>
        </w:rPr>
        <w:t xml:space="preserve"> noraidī</w:t>
      </w:r>
      <w:r w:rsidR="00D46A53">
        <w:rPr>
          <w:lang w:val="lv-LV"/>
        </w:rPr>
        <w:t>t</w:t>
      </w:r>
      <w:r w:rsidR="00AC0B08">
        <w:rPr>
          <w:lang w:val="lv-LV"/>
        </w:rPr>
        <w:t>a</w:t>
      </w:r>
      <w:r w:rsidR="006B0F94" w:rsidRPr="00832E00">
        <w:rPr>
          <w:lang w:val="lv-LV"/>
        </w:rPr>
        <w:t xml:space="preserve"> 2009. gada 29. decembrī. Atsaucoties uz Operatīvās darbības likuma 35. panta </w:t>
      </w:r>
      <w:r w:rsidR="00D46A53">
        <w:rPr>
          <w:lang w:val="lv-LV"/>
        </w:rPr>
        <w:t>pirmo</w:t>
      </w:r>
      <w:r w:rsidR="006B0F94" w:rsidRPr="00832E00">
        <w:rPr>
          <w:lang w:val="lv-LV"/>
        </w:rPr>
        <w:t xml:space="preserve"> daļu un 7. panta </w:t>
      </w:r>
      <w:r w:rsidR="00D46A53">
        <w:rPr>
          <w:lang w:val="lv-LV"/>
        </w:rPr>
        <w:t>piekto</w:t>
      </w:r>
      <w:r w:rsidR="006B0F94" w:rsidRPr="00832E00">
        <w:rPr>
          <w:lang w:val="lv-LV"/>
        </w:rPr>
        <w:t xml:space="preserve"> daļu, vēlreiz tika atkārtots, ka likuma pārkāpumi</w:t>
      </w:r>
      <w:r w:rsidR="00D46A53">
        <w:rPr>
          <w:lang w:val="lv-LV"/>
        </w:rPr>
        <w:t xml:space="preserve"> nav tikuši konstatēti</w:t>
      </w:r>
      <w:r w:rsidR="006B0F94" w:rsidRPr="00832E00">
        <w:rPr>
          <w:lang w:val="lv-LV"/>
        </w:rPr>
        <w:t>.</w:t>
      </w:r>
    </w:p>
    <w:p w:rsidR="0049721D" w:rsidRPr="00832E00" w:rsidRDefault="00496DF3" w:rsidP="00EA08F6">
      <w:pPr>
        <w:pStyle w:val="ECHRHeading2"/>
        <w:rPr>
          <w:lang w:val="lv-LV"/>
        </w:rPr>
      </w:pPr>
      <w:r w:rsidRPr="00832E00">
        <w:rPr>
          <w:lang w:val="lv-LV"/>
        </w:rPr>
        <w:t>B</w:t>
      </w:r>
      <w:r w:rsidR="0049721D" w:rsidRPr="00832E00">
        <w:rPr>
          <w:lang w:val="lv-LV"/>
        </w:rPr>
        <w:t>.  T</w:t>
      </w:r>
      <w:r w:rsidR="006B0F94" w:rsidRPr="00832E00">
        <w:rPr>
          <w:lang w:val="lv-LV"/>
        </w:rPr>
        <w:t xml:space="preserve">iesvedība Satversmes tiesā </w:t>
      </w:r>
    </w:p>
    <w:p w:rsidR="006B0F94" w:rsidRPr="00832E00" w:rsidRDefault="006B0F94" w:rsidP="006B0F94">
      <w:pPr>
        <w:pStyle w:val="ECHRPara"/>
        <w:rPr>
          <w:lang w:val="lv-LV"/>
        </w:rPr>
      </w:pPr>
      <w:r w:rsidRPr="00832E00">
        <w:rPr>
          <w:lang w:val="lv-LV"/>
        </w:rPr>
        <w:t>16. 2010. gada 29. jūnijā iesniedzējs iesniedza Satversmes tiesā individuālu konstitucionālo sūdzību. Viņš apgalvoja, ka</w:t>
      </w:r>
      <w:r w:rsidR="00276BEB">
        <w:rPr>
          <w:lang w:val="lv-LV"/>
        </w:rPr>
        <w:t xml:space="preserve"> (1)</w:t>
      </w:r>
      <w:r w:rsidRPr="00832E00">
        <w:rPr>
          <w:lang w:val="lv-LV"/>
        </w:rPr>
        <w:t xml:space="preserve"> Operatīvās darbības likuma 7. panta </w:t>
      </w:r>
      <w:r w:rsidR="00D46A53">
        <w:rPr>
          <w:lang w:val="lv-LV"/>
        </w:rPr>
        <w:t>piektā</w:t>
      </w:r>
      <w:r w:rsidRPr="00832E00">
        <w:rPr>
          <w:lang w:val="lv-LV"/>
        </w:rPr>
        <w:t xml:space="preserve"> daļa neatbilst Satversmes 89. pantam (cilvēka pamattiesību aizsardzība) un 96. pantam (tiesības uz privāto dzīvi), kā arī Konvencijas 8. un 13. pantam, </w:t>
      </w:r>
      <w:r w:rsidR="00276BEB">
        <w:rPr>
          <w:lang w:val="lv-LV"/>
        </w:rPr>
        <w:t>turklāt (2)</w:t>
      </w:r>
      <w:r w:rsidRPr="00832E00">
        <w:rPr>
          <w:lang w:val="lv-LV"/>
        </w:rPr>
        <w:t xml:space="preserve"> Operatīvās darbības likuma 35. panta </w:t>
      </w:r>
      <w:r w:rsidR="00D46A53">
        <w:rPr>
          <w:lang w:val="lv-LV"/>
        </w:rPr>
        <w:t>pirmās</w:t>
      </w:r>
      <w:r w:rsidRPr="00832E00">
        <w:rPr>
          <w:lang w:val="lv-LV"/>
        </w:rPr>
        <w:t xml:space="preserve"> daļas pirmais un otrais teikums neatbilst Satversmes 89. pantam un 92. panta pirmajam teikumam (tiesības uz taisnīgu tiesu), kā arī Konvencijas 6. panta 1. </w:t>
      </w:r>
      <w:r w:rsidR="002963C1">
        <w:rPr>
          <w:lang w:val="lv-LV"/>
        </w:rPr>
        <w:t>punktam</w:t>
      </w:r>
      <w:r w:rsidRPr="00832E00">
        <w:rPr>
          <w:lang w:val="lv-LV"/>
        </w:rPr>
        <w:t xml:space="preserve"> un 13. pantam.</w:t>
      </w:r>
    </w:p>
    <w:p w:rsidR="006B0F94" w:rsidRPr="00832E00" w:rsidRDefault="006B0F94" w:rsidP="006B0F94">
      <w:pPr>
        <w:pStyle w:val="ECHRPara"/>
        <w:rPr>
          <w:lang w:val="lv-LV"/>
        </w:rPr>
      </w:pPr>
      <w:r w:rsidRPr="00832E00">
        <w:rPr>
          <w:lang w:val="lv-LV"/>
        </w:rPr>
        <w:t xml:space="preserve">17. </w:t>
      </w:r>
      <w:r w:rsidR="008036A0" w:rsidRPr="00832E00">
        <w:rPr>
          <w:lang w:val="lv-LV"/>
        </w:rPr>
        <w:t xml:space="preserve">2010. gada 16. jūlijā Satversmes tiesa ierosināja tiesvedību lietā Nr. 2010-55-0106 saistībā ar Operatīvās darbības likuma 7. panta </w:t>
      </w:r>
      <w:r w:rsidR="00D46A53">
        <w:rPr>
          <w:lang w:val="lv-LV"/>
        </w:rPr>
        <w:t xml:space="preserve">piektās </w:t>
      </w:r>
      <w:r w:rsidR="008036A0" w:rsidRPr="00832E00">
        <w:rPr>
          <w:lang w:val="lv-LV"/>
        </w:rPr>
        <w:t xml:space="preserve">daļas atbilstību Satversmes 96. pantam un Konvencijas 13. pantam un šī likuma 35. panta </w:t>
      </w:r>
      <w:r w:rsidR="00D46A53">
        <w:rPr>
          <w:lang w:val="lv-LV"/>
        </w:rPr>
        <w:t>pirmās</w:t>
      </w:r>
      <w:r w:rsidR="008036A0" w:rsidRPr="00832E00">
        <w:rPr>
          <w:lang w:val="lv-LV"/>
        </w:rPr>
        <w:t xml:space="preserve"> daļas pirmā teikuma atbilstību tikai Satversmes 92. pantam. Satversmes tiesa noraidīja iesniedzēja sūdzību pārējā daļā. </w:t>
      </w:r>
    </w:p>
    <w:p w:rsidR="008036A0" w:rsidRPr="00832E00" w:rsidRDefault="008036A0" w:rsidP="006B0F94">
      <w:pPr>
        <w:pStyle w:val="ECHRPara"/>
        <w:rPr>
          <w:lang w:val="lv-LV"/>
        </w:rPr>
      </w:pPr>
      <w:r w:rsidRPr="00832E00">
        <w:rPr>
          <w:lang w:val="lv-LV"/>
        </w:rPr>
        <w:t xml:space="preserve">18. 2010. gada 6. septembrī tiesnesis noraidīja iesniedzēja prasību cita starpā iepazīties ar lietas materiāliem, jo </w:t>
      </w:r>
      <w:r w:rsidR="00276BEB">
        <w:rPr>
          <w:lang w:val="lv-LV"/>
        </w:rPr>
        <w:t>prasība</w:t>
      </w:r>
      <w:r w:rsidRPr="00832E00">
        <w:rPr>
          <w:lang w:val="lv-LV"/>
        </w:rPr>
        <w:t xml:space="preserve"> neatbilda Satversmes tiesas likumā noteiktajai kārtībai. Tiesneša pienākums bija veikt nepieciešamās darbības, lai sagatavotu lietu izskatīšanai atbilstoši Satversmes tiesas likuma 22. pantam. Viņš arī atsaucās uz Satversmes tiesas likuma 22. panta </w:t>
      </w:r>
      <w:r w:rsidR="00D46A53">
        <w:rPr>
          <w:lang w:val="lv-LV"/>
        </w:rPr>
        <w:t xml:space="preserve">devīto </w:t>
      </w:r>
      <w:r w:rsidRPr="00832E00">
        <w:rPr>
          <w:lang w:val="lv-LV"/>
        </w:rPr>
        <w:t xml:space="preserve">daļu, 24. pantu un 22. panta </w:t>
      </w:r>
      <w:r w:rsidR="00D46A53">
        <w:rPr>
          <w:lang w:val="lv-LV"/>
        </w:rPr>
        <w:t>otrās</w:t>
      </w:r>
      <w:r w:rsidRPr="00832E00">
        <w:rPr>
          <w:lang w:val="lv-LV"/>
        </w:rPr>
        <w:t xml:space="preserve"> daļas 1. punktu (skatīt 34.-35. rindkopu </w:t>
      </w:r>
      <w:r w:rsidR="00D46A53">
        <w:rPr>
          <w:lang w:val="lv-LV"/>
        </w:rPr>
        <w:t>zemāk</w:t>
      </w:r>
      <w:r w:rsidRPr="00832E00">
        <w:rPr>
          <w:lang w:val="lv-LV"/>
        </w:rPr>
        <w:t xml:space="preserve">), lai paskaidrotu, ka pusēm ir tiesības iepazīties ar lietas materiāliem pēc lēmuma pieņemšanas par lietas izskatīšanu un ka tiesneša pienākums ir </w:t>
      </w:r>
      <w:r w:rsidRPr="00832E00">
        <w:rPr>
          <w:lang w:val="lv-LV"/>
        </w:rPr>
        <w:lastRenderedPageBreak/>
        <w:t>pieņemt lēmumu</w:t>
      </w:r>
      <w:r w:rsidR="00276BEB">
        <w:rPr>
          <w:lang w:val="lv-LV"/>
        </w:rPr>
        <w:t xml:space="preserve"> par to</w:t>
      </w:r>
      <w:r w:rsidRPr="00832E00">
        <w:rPr>
          <w:lang w:val="lv-LV"/>
        </w:rPr>
        <w:t xml:space="preserve">, </w:t>
      </w:r>
      <w:r w:rsidR="00276BEB">
        <w:rPr>
          <w:lang w:val="lv-LV"/>
        </w:rPr>
        <w:t xml:space="preserve">no </w:t>
      </w:r>
      <w:r w:rsidRPr="00832E00">
        <w:rPr>
          <w:lang w:val="lv-LV"/>
        </w:rPr>
        <w:t xml:space="preserve">kurām iestādēm vai amatpersonām </w:t>
      </w:r>
      <w:r w:rsidR="001E2398">
        <w:rPr>
          <w:lang w:val="lv-LV"/>
        </w:rPr>
        <w:t>jāpie</w:t>
      </w:r>
      <w:r w:rsidR="00276BEB">
        <w:rPr>
          <w:lang w:val="lv-LV"/>
        </w:rPr>
        <w:t>prasa papildu informācija</w:t>
      </w:r>
      <w:r w:rsidRPr="00832E00">
        <w:rPr>
          <w:lang w:val="lv-LV"/>
        </w:rPr>
        <w:t xml:space="preserve"> vai dokument</w:t>
      </w:r>
      <w:r w:rsidR="00276BEB">
        <w:rPr>
          <w:lang w:val="lv-LV"/>
        </w:rPr>
        <w:t>i</w:t>
      </w:r>
      <w:r w:rsidRPr="00832E00">
        <w:rPr>
          <w:lang w:val="lv-LV"/>
        </w:rPr>
        <w:t xml:space="preserve">. </w:t>
      </w:r>
    </w:p>
    <w:p w:rsidR="00EE3124" w:rsidRPr="00832E00" w:rsidRDefault="00EE3124" w:rsidP="006B0F94">
      <w:pPr>
        <w:pStyle w:val="ECHRPara"/>
        <w:rPr>
          <w:lang w:val="lv-LV"/>
        </w:rPr>
      </w:pPr>
      <w:r w:rsidRPr="00832E00">
        <w:rPr>
          <w:lang w:val="lv-LV"/>
        </w:rPr>
        <w:t xml:space="preserve">19. 2010. gada 5. novembrī tiesnesis noraidīja iesniedzēja prasību iepazīties ar </w:t>
      </w:r>
      <w:r w:rsidR="00AA284A" w:rsidRPr="00832E00">
        <w:rPr>
          <w:lang w:val="lv-LV"/>
        </w:rPr>
        <w:t>rakstiskajiem iesniegumiem</w:t>
      </w:r>
      <w:r w:rsidR="00AA284A">
        <w:rPr>
          <w:lang w:val="lv-LV"/>
        </w:rPr>
        <w:t xml:space="preserve">, kurus tiesvedībā </w:t>
      </w:r>
      <w:r w:rsidR="001B7A71">
        <w:rPr>
          <w:lang w:val="lv-LV"/>
        </w:rPr>
        <w:t xml:space="preserve">bija </w:t>
      </w:r>
      <w:r w:rsidR="00AA284A">
        <w:rPr>
          <w:lang w:val="lv-LV"/>
        </w:rPr>
        <w:t>iesniegusi</w:t>
      </w:r>
      <w:r w:rsidR="00AA284A" w:rsidRPr="00832E00">
        <w:rPr>
          <w:lang w:val="lv-LV"/>
        </w:rPr>
        <w:t xml:space="preserve"> </w:t>
      </w:r>
      <w:r w:rsidRPr="00832E00">
        <w:rPr>
          <w:lang w:val="lv-LV"/>
        </w:rPr>
        <w:t>Latvijas Saeima</w:t>
      </w:r>
      <w:r w:rsidR="00AA284A">
        <w:rPr>
          <w:lang w:val="lv-LV"/>
        </w:rPr>
        <w:t>,</w:t>
      </w:r>
      <w:r w:rsidRPr="00832E00">
        <w:rPr>
          <w:lang w:val="lv-LV"/>
        </w:rPr>
        <w:t xml:space="preserve"> pamatojoties uz to, ka šāda prasība jau </w:t>
      </w:r>
      <w:r w:rsidR="001B7A71">
        <w:rPr>
          <w:lang w:val="lv-LV"/>
        </w:rPr>
        <w:t>tika</w:t>
      </w:r>
      <w:r w:rsidRPr="00832E00">
        <w:rPr>
          <w:lang w:val="lv-LV"/>
        </w:rPr>
        <w:t xml:space="preserve"> noraidīta, jo šie iesniegumi </w:t>
      </w:r>
      <w:r w:rsidR="001B7A71">
        <w:rPr>
          <w:lang w:val="lv-LV"/>
        </w:rPr>
        <w:t>veidoja daļu</w:t>
      </w:r>
      <w:r w:rsidRPr="00832E00">
        <w:rPr>
          <w:lang w:val="lv-LV"/>
        </w:rPr>
        <w:t xml:space="preserve"> no lietas materiāliem.</w:t>
      </w:r>
    </w:p>
    <w:p w:rsidR="00EE3124" w:rsidRPr="00832E00" w:rsidRDefault="00EE3124" w:rsidP="006B0F94">
      <w:pPr>
        <w:pStyle w:val="ECHRPara"/>
        <w:rPr>
          <w:lang w:val="lv-LV"/>
        </w:rPr>
      </w:pPr>
      <w:r w:rsidRPr="00832E00">
        <w:rPr>
          <w:lang w:val="lv-LV"/>
        </w:rPr>
        <w:t xml:space="preserve">20. 2010. gada 2. decembrī iesniedzējs pieprasīja iepazīties vismaz ar tiesneša atzinumu par lietas sagatavošanu izskatīšanai, iekams lieta </w:t>
      </w:r>
      <w:r w:rsidR="001B7A71">
        <w:rPr>
          <w:lang w:val="lv-LV"/>
        </w:rPr>
        <w:t>tikusi</w:t>
      </w:r>
      <w:r w:rsidRPr="00832E00">
        <w:rPr>
          <w:lang w:val="lv-LV"/>
        </w:rPr>
        <w:t xml:space="preserve"> sagatavota izskatīšanai un notikusi rīcības sēde. Iesniedzējs vēlējās izteikt savu viedokli par tiesvedību un it īpaši par to, vai lietā lēmumu iespējams pieņemt mut</w:t>
      </w:r>
      <w:r w:rsidR="00D46A53">
        <w:rPr>
          <w:lang w:val="lv-LV"/>
        </w:rPr>
        <w:t>vārdu</w:t>
      </w:r>
      <w:r w:rsidRPr="00832E00">
        <w:rPr>
          <w:lang w:val="lv-LV"/>
        </w:rPr>
        <w:t xml:space="preserve"> </w:t>
      </w:r>
      <w:r w:rsidR="001B7A71">
        <w:rPr>
          <w:lang w:val="lv-LV"/>
        </w:rPr>
        <w:t>procesā</w:t>
      </w:r>
      <w:r w:rsidR="00D46A53">
        <w:rPr>
          <w:lang w:val="lv-LV"/>
        </w:rPr>
        <w:t>, kuram iesniedzējs deva priekšroku</w:t>
      </w:r>
      <w:r w:rsidRPr="00832E00">
        <w:rPr>
          <w:lang w:val="lv-LV"/>
        </w:rPr>
        <w:t>.</w:t>
      </w:r>
    </w:p>
    <w:p w:rsidR="00EE3124" w:rsidRPr="00832E00" w:rsidRDefault="00EE3124" w:rsidP="006B0F94">
      <w:pPr>
        <w:pStyle w:val="ECHRPara"/>
        <w:rPr>
          <w:lang w:val="lv-LV"/>
        </w:rPr>
      </w:pPr>
      <w:r w:rsidRPr="00832E00">
        <w:rPr>
          <w:lang w:val="lv-LV"/>
        </w:rPr>
        <w:t xml:space="preserve">21. 2010. gada 17. decembrī Satversmes tiesas priekšsēdētājs atbildēja iesniedzējam, ka puses ar lietas materiāliem var iepazīties tikai pēc lēmuma pieņemšanas </w:t>
      </w:r>
      <w:r w:rsidR="00A669A9" w:rsidRPr="00832E00">
        <w:rPr>
          <w:lang w:val="lv-LV"/>
        </w:rPr>
        <w:t xml:space="preserve">par lietas izskatīšanu. </w:t>
      </w:r>
      <w:r w:rsidR="001B7A71">
        <w:rPr>
          <w:lang w:val="lv-LV"/>
        </w:rPr>
        <w:t>Šis l</w:t>
      </w:r>
      <w:r w:rsidR="00A669A9" w:rsidRPr="00832E00">
        <w:rPr>
          <w:lang w:val="lv-LV"/>
        </w:rPr>
        <w:t xml:space="preserve">ēmums bija pieņemts </w:t>
      </w:r>
      <w:r w:rsidR="001B7A71">
        <w:rPr>
          <w:lang w:val="lv-LV"/>
        </w:rPr>
        <w:t>2010. gada 14. decembrī,</w:t>
      </w:r>
      <w:r w:rsidR="00A669A9" w:rsidRPr="00832E00">
        <w:rPr>
          <w:lang w:val="lv-LV"/>
        </w:rPr>
        <w:t xml:space="preserve"> </w:t>
      </w:r>
      <w:r w:rsidR="001B7A71">
        <w:rPr>
          <w:lang w:val="lv-LV"/>
        </w:rPr>
        <w:t>l</w:t>
      </w:r>
      <w:r w:rsidR="00A669A9" w:rsidRPr="00832E00">
        <w:rPr>
          <w:lang w:val="lv-LV"/>
        </w:rPr>
        <w:t xml:space="preserve">īdz ar to iesniedzējs varēja iepazīties ar lietas materiāliem. Priekšsēdētājs paskaidroja, ka jautājumu par to, vai tiesvedība </w:t>
      </w:r>
      <w:r w:rsidR="001B7A71">
        <w:rPr>
          <w:lang w:val="lv-LV"/>
        </w:rPr>
        <w:t>notiks</w:t>
      </w:r>
      <w:r w:rsidR="00A669A9" w:rsidRPr="00832E00">
        <w:rPr>
          <w:lang w:val="lv-LV"/>
        </w:rPr>
        <w:t xml:space="preserve"> mut</w:t>
      </w:r>
      <w:r w:rsidR="00D46A53">
        <w:rPr>
          <w:lang w:val="lv-LV"/>
        </w:rPr>
        <w:t>vārdu</w:t>
      </w:r>
      <w:r w:rsidR="00A669A9" w:rsidRPr="00832E00">
        <w:rPr>
          <w:lang w:val="lv-LV"/>
        </w:rPr>
        <w:t xml:space="preserve"> vai </w:t>
      </w:r>
      <w:r w:rsidR="001B7A71">
        <w:rPr>
          <w:lang w:val="lv-LV"/>
        </w:rPr>
        <w:t>rakstveida procesā</w:t>
      </w:r>
      <w:r w:rsidR="00A669A9" w:rsidRPr="00832E00">
        <w:rPr>
          <w:lang w:val="lv-LV"/>
        </w:rPr>
        <w:t>, izlems Satversmes tiesa atbilstoši Satversmes tiesas likuma 22. panta 8.-10. punktam. Šo jautājumu sākotnēji izskatīs attiecīgais tiesnesis, pēc tam – Satversmes tiesas priekšsēdētājs, bet noslēgumā – visi pārējie rīcības sēdē klātesošie tiesneši. Puses varēja izteikt savu viedokli par šo jautājumu pēc iepazīšanās ar lietas materiāliem.</w:t>
      </w:r>
    </w:p>
    <w:p w:rsidR="00EE3124" w:rsidRPr="00832E00" w:rsidRDefault="00A669A9" w:rsidP="00EA08F6">
      <w:pPr>
        <w:pStyle w:val="ECHRPara"/>
        <w:rPr>
          <w:lang w:val="lv-LV"/>
        </w:rPr>
      </w:pPr>
      <w:r w:rsidRPr="00832E00">
        <w:rPr>
          <w:lang w:val="lv-LV"/>
        </w:rPr>
        <w:t>22. 2011. gada 21. janvārī iesniedzējs iesniedza Satversmes tiesā savu viedokli un cita starpā norādīja, ka lietu nevar izskatīt rakstveida procesā un nepieciešams noturēt mut</w:t>
      </w:r>
      <w:r w:rsidR="00F22340">
        <w:rPr>
          <w:lang w:val="lv-LV"/>
        </w:rPr>
        <w:t>vārdu</w:t>
      </w:r>
      <w:r w:rsidRPr="00832E00">
        <w:rPr>
          <w:lang w:val="lv-LV"/>
        </w:rPr>
        <w:t xml:space="preserve"> </w:t>
      </w:r>
      <w:r w:rsidR="001B7A71">
        <w:rPr>
          <w:lang w:val="lv-LV"/>
        </w:rPr>
        <w:t xml:space="preserve">tiesas </w:t>
      </w:r>
      <w:r w:rsidRPr="00832E00">
        <w:rPr>
          <w:lang w:val="lv-LV"/>
        </w:rPr>
        <w:t xml:space="preserve">sēdi. Viņš atzina, ka rakstveida process Satversmes tiesā pats par sevi </w:t>
      </w:r>
      <w:r w:rsidR="001B7A71">
        <w:rPr>
          <w:lang w:val="lv-LV"/>
        </w:rPr>
        <w:t>nepārkāpj</w:t>
      </w:r>
      <w:r w:rsidRPr="00832E00">
        <w:rPr>
          <w:lang w:val="lv-LV"/>
        </w:rPr>
        <w:t xml:space="preserve"> viņa tiesības tikt uzklausītam, bet norādīja, ka to nepieciešams izvērtēt katrā konkrētajā lietā un ka tiesa nedrīkst noraidīt pierādījumu iegūšanas prasību, neizvērtējot tās nepieciešamību, nozīmī</w:t>
      </w:r>
      <w:r w:rsidR="000B65F6">
        <w:rPr>
          <w:lang w:val="lv-LV"/>
        </w:rPr>
        <w:t>b</w:t>
      </w:r>
      <w:r w:rsidRPr="00832E00">
        <w:rPr>
          <w:lang w:val="lv-LV"/>
        </w:rPr>
        <w:t>u un procesuālo un juridisko pamatojumu.</w:t>
      </w:r>
    </w:p>
    <w:p w:rsidR="00A669A9" w:rsidRPr="00832E00" w:rsidRDefault="00A669A9" w:rsidP="00EA08F6">
      <w:pPr>
        <w:pStyle w:val="ECHRPara"/>
        <w:rPr>
          <w:lang w:val="lv-LV"/>
        </w:rPr>
      </w:pPr>
      <w:r w:rsidRPr="00832E00">
        <w:rPr>
          <w:lang w:val="lv-LV"/>
        </w:rPr>
        <w:t xml:space="preserve">23. </w:t>
      </w:r>
      <w:r w:rsidR="002206C7" w:rsidRPr="00832E00">
        <w:rPr>
          <w:lang w:val="lv-LV"/>
        </w:rPr>
        <w:t xml:space="preserve">2011. gada 25. janvārī Satversmes tiesa slēgtā rīcības sēdē izskatīja lietas materiālus un atzina, ka tajos esošie dokumenti ir pietiekami, lai izskatītu lietu rakstveida procesā (Satversmes tiesas likuma 22. panta </w:t>
      </w:r>
      <w:r w:rsidR="00F22340">
        <w:rPr>
          <w:lang w:val="lv-LV"/>
        </w:rPr>
        <w:t>desmitā</w:t>
      </w:r>
      <w:r w:rsidR="002206C7" w:rsidRPr="00832E00">
        <w:rPr>
          <w:lang w:val="lv-LV"/>
        </w:rPr>
        <w:t xml:space="preserve"> daļa un 28</w:t>
      </w:r>
      <w:r w:rsidR="002206C7" w:rsidRPr="00832E00">
        <w:rPr>
          <w:vertAlign w:val="superscript"/>
          <w:lang w:val="lv-LV"/>
        </w:rPr>
        <w:t>1</w:t>
      </w:r>
      <w:r w:rsidR="002206C7" w:rsidRPr="00832E00">
        <w:rPr>
          <w:lang w:val="lv-LV"/>
        </w:rPr>
        <w:t>. pants). 2011. gada 26. janvārī iesniedzējs tika informēts par šo lēmumu un viņam tika noteikts 15 dienu termiņš, lai iepazītos ar lietas materiāliem un sniegt</w:t>
      </w:r>
      <w:r w:rsidR="00F22340">
        <w:rPr>
          <w:lang w:val="lv-LV"/>
        </w:rPr>
        <w:t>u</w:t>
      </w:r>
      <w:r w:rsidR="002206C7" w:rsidRPr="00832E00">
        <w:rPr>
          <w:lang w:val="lv-LV"/>
        </w:rPr>
        <w:t xml:space="preserve"> par tiem savu viedokli (Satversmes tiesas </w:t>
      </w:r>
      <w:r w:rsidR="002963C1">
        <w:rPr>
          <w:lang w:val="lv-LV"/>
        </w:rPr>
        <w:t xml:space="preserve">likuma </w:t>
      </w:r>
      <w:r w:rsidR="002206C7" w:rsidRPr="00832E00">
        <w:rPr>
          <w:lang w:val="lv-LV"/>
        </w:rPr>
        <w:t>28</w:t>
      </w:r>
      <w:r w:rsidR="002206C7" w:rsidRPr="00832E00">
        <w:rPr>
          <w:vertAlign w:val="superscript"/>
          <w:lang w:val="lv-LV"/>
        </w:rPr>
        <w:t>1</w:t>
      </w:r>
      <w:r w:rsidR="002206C7" w:rsidRPr="00832E00">
        <w:rPr>
          <w:lang w:val="lv-LV"/>
        </w:rPr>
        <w:t xml:space="preserve">. panta </w:t>
      </w:r>
      <w:r w:rsidR="00F22340">
        <w:rPr>
          <w:lang w:val="lv-LV"/>
        </w:rPr>
        <w:t>otrā</w:t>
      </w:r>
      <w:r w:rsidR="002206C7" w:rsidRPr="00832E00">
        <w:rPr>
          <w:lang w:val="lv-LV"/>
        </w:rPr>
        <w:t xml:space="preserve"> daļa). Iesniedzējs izmantoja šo iespēju.</w:t>
      </w:r>
    </w:p>
    <w:p w:rsidR="002206C7" w:rsidRPr="00832E00" w:rsidRDefault="002206C7" w:rsidP="00EA08F6">
      <w:pPr>
        <w:pStyle w:val="ECHRPara"/>
        <w:rPr>
          <w:lang w:val="lv-LV"/>
        </w:rPr>
      </w:pPr>
      <w:r w:rsidRPr="00832E00">
        <w:rPr>
          <w:lang w:val="lv-LV"/>
        </w:rPr>
        <w:t xml:space="preserve">24. 2011. gada 11. maijā Satversmes tiesa </w:t>
      </w:r>
      <w:r w:rsidR="00F22340">
        <w:rPr>
          <w:lang w:val="lv-LV"/>
        </w:rPr>
        <w:t>pasludināja no</w:t>
      </w:r>
      <w:r w:rsidRPr="00832E00">
        <w:rPr>
          <w:lang w:val="lv-LV"/>
        </w:rPr>
        <w:t>lēmumu lietā Nr. 2010-55-0106 un atzina, ka apstrīdētās tiesību normas atbilst Satver</w:t>
      </w:r>
      <w:r w:rsidR="00F22340">
        <w:rPr>
          <w:lang w:val="lv-LV"/>
        </w:rPr>
        <w:t>smei un Konvencijai. Attiecīgā</w:t>
      </w:r>
      <w:r w:rsidRPr="00832E00">
        <w:rPr>
          <w:lang w:val="lv-LV"/>
        </w:rPr>
        <w:t xml:space="preserve"> daļa</w:t>
      </w:r>
      <w:r w:rsidR="00F22340">
        <w:rPr>
          <w:lang w:val="lv-LV"/>
        </w:rPr>
        <w:t xml:space="preserve"> ir</w:t>
      </w:r>
      <w:r w:rsidRPr="00832E00">
        <w:rPr>
          <w:lang w:val="lv-LV"/>
        </w:rPr>
        <w:t xml:space="preserve"> izteikta šādi:</w:t>
      </w:r>
    </w:p>
    <w:p w:rsidR="002B4FBF" w:rsidRPr="00832E00" w:rsidRDefault="002206C7" w:rsidP="00EA08F6">
      <w:pPr>
        <w:pStyle w:val="ECHRParaQuote"/>
        <w:rPr>
          <w:lang w:val="lv-LV"/>
        </w:rPr>
      </w:pPr>
      <w:r w:rsidRPr="00832E00">
        <w:rPr>
          <w:lang w:val="lv-LV"/>
        </w:rPr>
        <w:t xml:space="preserve"> </w:t>
      </w:r>
      <w:r w:rsidR="002B4FBF" w:rsidRPr="00832E00">
        <w:rPr>
          <w:lang w:val="lv-LV"/>
        </w:rPr>
        <w:t xml:space="preserve">“11. </w:t>
      </w:r>
      <w:r w:rsidRPr="00832E00">
        <w:rPr>
          <w:lang w:val="lv-LV"/>
        </w:rPr>
        <w:t>[</w:t>
      </w:r>
      <w:r w:rsidR="00915345" w:rsidRPr="00832E00">
        <w:rPr>
          <w:lang w:val="lv-LV"/>
        </w:rPr>
        <w:t>..</w:t>
      </w:r>
      <w:r w:rsidRPr="00832E00">
        <w:rPr>
          <w:lang w:val="lv-LV"/>
        </w:rPr>
        <w:t>]</w:t>
      </w:r>
    </w:p>
    <w:p w:rsidR="002206C7" w:rsidRPr="00832E00" w:rsidRDefault="002206C7"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No lietas materiāliem izriet, ka KNAB 2005. gada 27. decembrī ierosināja operatīvās izstrādes lietu. Pieteikuma iesniedzēja telefona sarunu noklausīšanās ir notikusi no 2005. gada 29. decembra līdz 31. decembrim, proti, trīs dienas, pamatojoties uz</w:t>
      </w:r>
      <w:r w:rsidR="00892369">
        <w:rPr>
          <w:rFonts w:ascii="Times New Roman" w:hAnsi="Times New Roman" w:cs="Times New Roman"/>
          <w:szCs w:val="20"/>
          <w:lang w:val="lv-LV"/>
        </w:rPr>
        <w:t xml:space="preserve"> </w:t>
      </w:r>
      <w:r w:rsidRPr="00832E00">
        <w:rPr>
          <w:rFonts w:ascii="Times New Roman" w:hAnsi="Times New Roman" w:cs="Times New Roman"/>
          <w:szCs w:val="20"/>
          <w:lang w:val="lv-LV"/>
        </w:rPr>
        <w:t>Operatīvās darbības likuma 7. panta piekto daļu (</w:t>
      </w:r>
      <w:r w:rsidRPr="00832E00">
        <w:rPr>
          <w:rFonts w:ascii="Times New Roman" w:hAnsi="Times New Roman" w:cs="Times New Roman"/>
          <w:i/>
          <w:szCs w:val="20"/>
          <w:lang w:val="lv-LV"/>
        </w:rPr>
        <w:t xml:space="preserve">sk. lietas materiālu </w:t>
      </w:r>
      <w:r w:rsidRPr="00832E00">
        <w:rPr>
          <w:rFonts w:ascii="Times New Roman" w:hAnsi="Times New Roman" w:cs="Times New Roman"/>
          <w:i/>
          <w:szCs w:val="20"/>
          <w:lang w:val="lv-LV"/>
        </w:rPr>
        <w:lastRenderedPageBreak/>
        <w:t>1. sēj. 85.-86. lpp.</w:t>
      </w:r>
      <w:r w:rsidRPr="00832E00">
        <w:rPr>
          <w:rFonts w:ascii="Times New Roman" w:hAnsi="Times New Roman" w:cs="Times New Roman"/>
          <w:szCs w:val="20"/>
          <w:lang w:val="lv-LV"/>
        </w:rPr>
        <w:t>). Lietā nav strīda par to, ka ir notikusi tādu telefona sarunu noklausīšanās, kuru dalībnieks bija arī Pieteikuma iesniedzējs.</w:t>
      </w:r>
    </w:p>
    <w:p w:rsidR="00AC6011" w:rsidRPr="00832E00" w:rsidRDefault="00101D31"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w:t>
      </w:r>
    </w:p>
    <w:p w:rsidR="00101D31" w:rsidRPr="00832E00" w:rsidRDefault="00101D31" w:rsidP="00EA08F6">
      <w:pPr>
        <w:pStyle w:val="ECHRParaQuote"/>
        <w:rPr>
          <w:rFonts w:ascii="Times New Roman" w:hAnsi="Times New Roman" w:cs="Times New Roman"/>
          <w:szCs w:val="20"/>
          <w:lang w:val="lv-LV"/>
        </w:rPr>
      </w:pPr>
    </w:p>
    <w:p w:rsidR="00101D31" w:rsidRPr="00832E00" w:rsidRDefault="00101D31"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13. Pieteikuma iesniedzējs un Tiesībsargs uzskata, ka Operatīvās darbības likuma 7. panta piektajā daļā ietvertais tiesību ierobežojums esot neskaidrs. Neesot saprotama normā minētā jēdziena </w:t>
      </w:r>
      <w:r w:rsidR="00F809E6" w:rsidRPr="00832E00">
        <w:rPr>
          <w:lang w:val="lv-LV"/>
        </w:rPr>
        <w:t>“</w:t>
      </w:r>
      <w:r w:rsidRPr="00832E00">
        <w:rPr>
          <w:rFonts w:ascii="Times New Roman" w:hAnsi="Times New Roman" w:cs="Times New Roman"/>
          <w:szCs w:val="20"/>
          <w:lang w:val="lv-LV"/>
        </w:rPr>
        <w:t>novērst” nozīme. Tāpat neesot skaidrs, kādiem priekšnoteikumiem jāiestājas, lai neatliekamības gadījumā varētu uzsākt sevišķā veidā veicamos operatīvās darbības pasākumus. Tāpēc minētajā normā paredzētais tiesību ierobežojums neesot noteikts pienācīgā kārtā ar likumu (</w:t>
      </w:r>
      <w:r w:rsidRPr="00832E00">
        <w:rPr>
          <w:rFonts w:ascii="Times New Roman" w:hAnsi="Times New Roman" w:cs="Times New Roman"/>
          <w:i/>
          <w:szCs w:val="20"/>
          <w:lang w:val="lv-LV"/>
        </w:rPr>
        <w:t>sk. lietas materiālu 1. sēj. 7.</w:t>
      </w:r>
      <w:r w:rsidR="00EB08B6" w:rsidRPr="00832E00">
        <w:rPr>
          <w:rFonts w:ascii="Times New Roman" w:hAnsi="Times New Roman" w:cs="Times New Roman"/>
          <w:i/>
          <w:szCs w:val="20"/>
          <w:lang w:val="lv-LV"/>
        </w:rPr>
        <w:t>-</w:t>
      </w:r>
      <w:r w:rsidRPr="00832E00">
        <w:rPr>
          <w:rFonts w:ascii="Times New Roman" w:hAnsi="Times New Roman" w:cs="Times New Roman"/>
          <w:i/>
          <w:szCs w:val="20"/>
          <w:lang w:val="lv-LV"/>
        </w:rPr>
        <w:t>8. lpp. un 3. sēj. 46.</w:t>
      </w:r>
      <w:r w:rsidR="00EB08B6" w:rsidRPr="00832E00">
        <w:rPr>
          <w:rFonts w:ascii="Times New Roman" w:hAnsi="Times New Roman" w:cs="Times New Roman"/>
          <w:i/>
          <w:szCs w:val="20"/>
          <w:lang w:val="lv-LV"/>
        </w:rPr>
        <w:t>-</w:t>
      </w:r>
      <w:r w:rsidRPr="00832E00">
        <w:rPr>
          <w:rFonts w:ascii="Times New Roman" w:hAnsi="Times New Roman" w:cs="Times New Roman"/>
          <w:i/>
          <w:szCs w:val="20"/>
          <w:lang w:val="lv-LV"/>
        </w:rPr>
        <w:t>48. lpp.</w:t>
      </w:r>
      <w:r w:rsidRPr="00832E00">
        <w:rPr>
          <w:rFonts w:ascii="Times New Roman" w:hAnsi="Times New Roman" w:cs="Times New Roman"/>
          <w:szCs w:val="20"/>
          <w:lang w:val="lv-LV"/>
        </w:rPr>
        <w:t>).</w:t>
      </w:r>
      <w:r w:rsidR="00F809E6">
        <w:rPr>
          <w:rFonts w:ascii="Times New Roman" w:hAnsi="Times New Roman" w:cs="Times New Roman"/>
          <w:szCs w:val="20"/>
          <w:lang w:val="lv-LV"/>
        </w:rPr>
        <w:t xml:space="preserve"> </w:t>
      </w:r>
    </w:p>
    <w:p w:rsidR="00AC6011" w:rsidRPr="00832E00" w:rsidRDefault="00EB08B6"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w:t>
      </w:r>
      <w:r w:rsidR="00915345" w:rsidRPr="00832E00">
        <w:rPr>
          <w:rFonts w:ascii="Times New Roman" w:hAnsi="Times New Roman" w:cs="Times New Roman"/>
          <w:szCs w:val="20"/>
          <w:lang w:val="lv-LV"/>
        </w:rPr>
        <w:t>..</w:t>
      </w:r>
      <w:r w:rsidRPr="00832E00">
        <w:rPr>
          <w:rFonts w:ascii="Times New Roman" w:hAnsi="Times New Roman" w:cs="Times New Roman"/>
          <w:szCs w:val="20"/>
          <w:lang w:val="lv-LV"/>
        </w:rPr>
        <w:t>]</w:t>
      </w:r>
    </w:p>
    <w:p w:rsidR="00EB08B6" w:rsidRPr="00832E00" w:rsidRDefault="00EB08B6"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13.2. Pieteikuma iesniedzējs uzskata, ka Operatīvās darbības likuma 7. panta piektās daļas nosacījumi piemērojami vienīgi tad, ja ir jānovērš smags vai sevišķi smags noziegums. Līdz ar to minētajā daļā norādītos operatīvās darbības pasākumus nevarot veikt tālab, lai atklātu noziedzīgu nodarījumu.</w:t>
      </w:r>
    </w:p>
    <w:p w:rsidR="00AC6011" w:rsidRPr="00832E00" w:rsidRDefault="00EB08B6" w:rsidP="00EA08F6">
      <w:pPr>
        <w:pStyle w:val="ECHRParaQuote"/>
        <w:rPr>
          <w:lang w:val="lv-LV"/>
        </w:rPr>
      </w:pPr>
      <w:r w:rsidRPr="00832E00">
        <w:rPr>
          <w:lang w:val="lv-LV"/>
        </w:rPr>
        <w:t>[</w:t>
      </w:r>
      <w:r w:rsidR="00915345" w:rsidRPr="00832E00">
        <w:rPr>
          <w:lang w:val="lv-LV"/>
        </w:rPr>
        <w:t>..</w:t>
      </w:r>
      <w:r w:rsidRPr="00832E00">
        <w:rPr>
          <w:lang w:val="lv-LV"/>
        </w:rPr>
        <w:t>]</w:t>
      </w:r>
    </w:p>
    <w:p w:rsidR="00EB08B6" w:rsidRPr="00832E00" w:rsidRDefault="00EB08B6"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Operatīvās darbības likuma 7. panta piektās daļas pirmais teikums paredz </w:t>
      </w:r>
      <w:r w:rsidR="00F809E6">
        <w:rPr>
          <w:rFonts w:ascii="Times New Roman" w:hAnsi="Times New Roman" w:cs="Times New Roman"/>
          <w:szCs w:val="20"/>
          <w:lang w:val="lv-LV"/>
        </w:rPr>
        <w:t>[..]</w:t>
      </w:r>
      <w:r w:rsidRPr="00832E00">
        <w:rPr>
          <w:rFonts w:ascii="Times New Roman" w:hAnsi="Times New Roman" w:cs="Times New Roman"/>
          <w:szCs w:val="20"/>
          <w:lang w:val="lv-LV"/>
        </w:rPr>
        <w:t xml:space="preserve"> tiesības nekavējoties reaģēt uz šajā normā minēto noziedzīgo nodarījumu draudiem un </w:t>
      </w:r>
      <w:r w:rsidR="00F809E6">
        <w:rPr>
          <w:rFonts w:ascii="Times New Roman" w:hAnsi="Times New Roman" w:cs="Times New Roman"/>
          <w:szCs w:val="20"/>
          <w:lang w:val="lv-LV"/>
        </w:rPr>
        <w:t>[</w:t>
      </w:r>
      <w:r w:rsidRPr="00832E00">
        <w:rPr>
          <w:rFonts w:ascii="Times New Roman" w:hAnsi="Times New Roman" w:cs="Times New Roman"/>
          <w:szCs w:val="20"/>
          <w:lang w:val="lv-LV"/>
        </w:rPr>
        <w:t>veikt</w:t>
      </w:r>
      <w:r w:rsidR="00F809E6">
        <w:rPr>
          <w:rFonts w:ascii="Times New Roman" w:hAnsi="Times New Roman" w:cs="Times New Roman"/>
          <w:szCs w:val="20"/>
          <w:lang w:val="lv-LV"/>
        </w:rPr>
        <w:t>]</w:t>
      </w:r>
      <w:r w:rsidRPr="00832E00">
        <w:rPr>
          <w:rFonts w:ascii="Times New Roman" w:hAnsi="Times New Roman" w:cs="Times New Roman"/>
          <w:szCs w:val="20"/>
          <w:lang w:val="lv-LV"/>
        </w:rPr>
        <w:t xml:space="preserve"> atbilstošus operatīvās darbības pasākumus, lai novērstu šo noziedzīgo nodarījumu īstenošanu. Tomēr tas, ka noziedzīgu nodarījumu atklāšana Operatīvās darbības likuma 7. panta piektās daļas pirmajā teikumā nav minēta </w:t>
      </w:r>
      <w:proofErr w:type="spellStart"/>
      <w:r w:rsidRPr="00832E00">
        <w:rPr>
          <w:rFonts w:ascii="Times New Roman" w:hAnsi="Times New Roman" w:cs="Times New Roman"/>
          <w:i/>
          <w:szCs w:val="20"/>
          <w:lang w:val="lv-LV"/>
        </w:rPr>
        <w:t>expressis</w:t>
      </w:r>
      <w:proofErr w:type="spellEnd"/>
      <w:r w:rsidRPr="00832E00">
        <w:rPr>
          <w:rFonts w:ascii="Times New Roman" w:hAnsi="Times New Roman" w:cs="Times New Roman"/>
          <w:i/>
          <w:szCs w:val="20"/>
          <w:lang w:val="lv-LV"/>
        </w:rPr>
        <w:t xml:space="preserve"> </w:t>
      </w:r>
      <w:proofErr w:type="spellStart"/>
      <w:r w:rsidRPr="00832E00">
        <w:rPr>
          <w:rFonts w:ascii="Times New Roman" w:hAnsi="Times New Roman" w:cs="Times New Roman"/>
          <w:i/>
          <w:szCs w:val="20"/>
          <w:lang w:val="lv-LV"/>
        </w:rPr>
        <w:t>verbis</w:t>
      </w:r>
      <w:proofErr w:type="spellEnd"/>
      <w:r w:rsidRPr="00832E00">
        <w:rPr>
          <w:rFonts w:ascii="Times New Roman" w:hAnsi="Times New Roman" w:cs="Times New Roman"/>
          <w:szCs w:val="20"/>
          <w:lang w:val="lv-LV"/>
        </w:rPr>
        <w:t xml:space="preserve">, neizslēdz pienākumu ievērot operatīvās darbības uzdevumus. [Satversmes tiesa] var piekrist Saeimas un KNAB argumentam, ka, veicot Operatīvās darbības likuma 7. panta piektajā daļā minētās darbības, noziegums vienlaikus var tikt gan novērsts, gan atklāts. Veicot operatīvās darbības pasākumus noziedzīga nodarījuma novēršanai, nav izslēgta arī kāda [cita] noziedzīga nodarījuma atklāšana. Piemēram, kukuļņemšanas gadījumos operatīvās darbības pasākumu laikā var gan novērst noziedzīgu nodarījumu, gan arī atklāt kukuļdošanā iesaistītās personas. Secināms, ka Operatīvās darbības likuma 7. panta piektajā daļā minētais jēdziens </w:t>
      </w:r>
      <w:r w:rsidR="00F809E6" w:rsidRPr="00832E00">
        <w:rPr>
          <w:lang w:val="lv-LV"/>
        </w:rPr>
        <w:t>“</w:t>
      </w:r>
      <w:r w:rsidRPr="00832E00">
        <w:rPr>
          <w:rFonts w:ascii="Times New Roman" w:hAnsi="Times New Roman" w:cs="Times New Roman"/>
          <w:szCs w:val="20"/>
          <w:lang w:val="lv-LV"/>
        </w:rPr>
        <w:t>novērst” ietver ne vien noziedzīga nodarījuma novēršanu, bet arī citu noziedzīgu nodarījumu atklāšanu.</w:t>
      </w:r>
    </w:p>
    <w:p w:rsidR="00DA1FB1" w:rsidRPr="00832E00" w:rsidRDefault="00DA1FB1" w:rsidP="00EA08F6">
      <w:pPr>
        <w:pStyle w:val="ECHRParaQuote"/>
        <w:rPr>
          <w:lang w:val="lv-LV"/>
        </w:rPr>
      </w:pPr>
      <w:r w:rsidRPr="00832E00">
        <w:rPr>
          <w:lang w:val="lv-LV"/>
        </w:rPr>
        <w:t xml:space="preserve">13.3. </w:t>
      </w:r>
      <w:r w:rsidR="00EB08B6" w:rsidRPr="00832E00">
        <w:rPr>
          <w:lang w:val="lv-LV"/>
        </w:rPr>
        <w:t>[</w:t>
      </w:r>
      <w:r w:rsidR="00915345" w:rsidRPr="00832E00">
        <w:rPr>
          <w:lang w:val="lv-LV"/>
        </w:rPr>
        <w:t>..</w:t>
      </w:r>
      <w:r w:rsidR="00EB08B6" w:rsidRPr="00832E00">
        <w:rPr>
          <w:lang w:val="lv-LV"/>
        </w:rPr>
        <w:t>]</w:t>
      </w:r>
    </w:p>
    <w:p w:rsidR="00EB08B6" w:rsidRPr="00832E00" w:rsidRDefault="00EB08B6" w:rsidP="00EA08F6">
      <w:pPr>
        <w:pStyle w:val="ECHRParaQuote"/>
        <w:rPr>
          <w:lang w:val="lv-LV"/>
        </w:rPr>
      </w:pPr>
      <w:r w:rsidRPr="00832E00">
        <w:rPr>
          <w:lang w:val="lv-LV"/>
        </w:rPr>
        <w:t>[Satversmes tiesa] nevar piekrist Tiesībsarga viedoklim, ka Operatīvās darbības likuma 7. panta piektā daļa esot neskaidra, jo neparedzot priekšnoteikumus, kuriem jāiestājas, lai neatliekamības gadījumā varētu uzsākt sevišķā veidā veicamos operatīvās darbības pasākumus. Operatīvās darbības likuma 7. panta piektā daļa paredz divus priekšnoteikumus, kuriem iestājoties [..] var veikt operatīvās darbības pasākumus.</w:t>
      </w:r>
    </w:p>
    <w:p w:rsidR="00EB08B6" w:rsidRPr="00832E00" w:rsidRDefault="00EB08B6"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Pirmkārt, Operatīvās darbības likuma 7. panta piektā daļa īpaši nosaka tos gadījumus [..] Tie var tikt veikti tādos gadījumos, kad nepieciešams novērst terorismu, slepkavību, bandītismu, masu nekārtības, citu smagu vai sevišķi smagu noziegumu. Tāpat tie ir pieļaujami situācijās, kad reāli apdraudēta personas dzīvība, veselība vai īpašums. </w:t>
      </w:r>
      <w:r w:rsidR="000D4BA7" w:rsidRPr="00832E00">
        <w:rPr>
          <w:rFonts w:ascii="Times New Roman" w:hAnsi="Times New Roman" w:cs="Times New Roman"/>
          <w:szCs w:val="20"/>
          <w:lang w:val="lv-LV"/>
        </w:rPr>
        <w:t>[Satversmes tiesa uzskata, ka] [..]</w:t>
      </w:r>
      <w:r w:rsidRPr="00832E00">
        <w:rPr>
          <w:rFonts w:ascii="Times New Roman" w:hAnsi="Times New Roman" w:cs="Times New Roman"/>
          <w:szCs w:val="20"/>
          <w:lang w:val="lv-LV"/>
        </w:rPr>
        <w:t xml:space="preserve"> uzskaitījums ir atzīstams par izsmeļošu un pietiekami precīzu. Tādējādi tiek izslēgta iespēja veikt operatīvās darbības pasākumus sevišķajā veidā tādu noziedzīgu nodarījumu novēršanai, kuri tiesību normā nav norādīti.</w:t>
      </w:r>
    </w:p>
    <w:p w:rsidR="00612298" w:rsidRPr="00832E00" w:rsidRDefault="00612298"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lastRenderedPageBreak/>
        <w:t>Otrkārt, [..] operatīvās darbības [..] drīkst veikt tikai tādos gadījumos, kad jārīkojas nekavējoties.</w:t>
      </w:r>
    </w:p>
    <w:p w:rsidR="00612298" w:rsidRPr="00832E00" w:rsidRDefault="00612298"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Iztulkojot šo normu kopsakarā ar Operatīvās darbības likuma 17. panta 3. punktu, [Satversmes tiesa] secina, ka operatīvā nepublisku sarunu slepena noklausīšanās ir atļauta tikai tādos gadījumos, kad </w:t>
      </w:r>
      <w:r w:rsidR="00371AFC">
        <w:rPr>
          <w:rFonts w:ascii="Times New Roman" w:hAnsi="Times New Roman" w:cs="Times New Roman"/>
          <w:szCs w:val="20"/>
          <w:lang w:val="lv-LV"/>
        </w:rPr>
        <w:t>[..]</w:t>
      </w:r>
      <w:r w:rsidRPr="00832E00">
        <w:rPr>
          <w:rFonts w:ascii="Times New Roman" w:hAnsi="Times New Roman" w:cs="Times New Roman"/>
          <w:szCs w:val="20"/>
          <w:lang w:val="lv-LV"/>
        </w:rPr>
        <w:t xml:space="preserve"> ir pamatotas ziņas par personu saistību ar noziegumu, kā arī par valstij svarīgu interešu, valsts drošības un aizsardzības apdraudējumu. Līdz ar to operatīvās darbības [..] drīkst veikt [..] ja </w:t>
      </w:r>
      <w:r w:rsidR="00371AFC">
        <w:rPr>
          <w:rFonts w:ascii="Times New Roman" w:hAnsi="Times New Roman" w:cs="Times New Roman"/>
          <w:szCs w:val="20"/>
          <w:lang w:val="lv-LV"/>
        </w:rPr>
        <w:t>[</w:t>
      </w:r>
      <w:r w:rsidRPr="00832E00">
        <w:rPr>
          <w:rFonts w:ascii="Times New Roman" w:hAnsi="Times New Roman" w:cs="Times New Roman"/>
          <w:szCs w:val="20"/>
          <w:lang w:val="lv-LV"/>
        </w:rPr>
        <w:t>ir</w:t>
      </w:r>
      <w:r w:rsidR="00371AFC">
        <w:rPr>
          <w:rFonts w:ascii="Times New Roman" w:hAnsi="Times New Roman" w:cs="Times New Roman"/>
          <w:szCs w:val="20"/>
          <w:lang w:val="lv-LV"/>
        </w:rPr>
        <w:t>]</w:t>
      </w:r>
      <w:r w:rsidRPr="00832E00">
        <w:rPr>
          <w:rFonts w:ascii="Times New Roman" w:hAnsi="Times New Roman" w:cs="Times New Roman"/>
          <w:szCs w:val="20"/>
          <w:lang w:val="lv-LV"/>
        </w:rPr>
        <w:t xml:space="preserve"> pamatotas ziņas par personu saistību ar noziegumu.</w:t>
      </w:r>
    </w:p>
    <w:p w:rsidR="00612298" w:rsidRPr="00832E00" w:rsidRDefault="00612298"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Operatīvās darbības likuma 7. panta piektā daļa paredz izņēmuma kārtību, proti, ļauj [..] operatīvās darbības pasākumus veikt nekavējoties, jo jebkura kavēšanās var būtiski ietekmēt operatīvās darbības pasākuma rezultātu. Ņemot vērā Operatīvās darbības likuma 7. panta piektajā daļā norādīto noziedzīgo nodarījumu smagumu, ir būtiski reaģēt efektīvi un savlaicīgi, lai šo noziedzīgo nodarījumu draudi tiktu novērsti.</w:t>
      </w:r>
    </w:p>
    <w:p w:rsidR="00612298" w:rsidRPr="00832E00" w:rsidRDefault="00612298" w:rsidP="00EA08F6">
      <w:pPr>
        <w:pStyle w:val="ECHRParaQuote"/>
        <w:rPr>
          <w:rFonts w:ascii="Times New Roman" w:hAnsi="Times New Roman" w:cs="Times New Roman"/>
          <w:b/>
          <w:szCs w:val="20"/>
          <w:lang w:val="lv-LV"/>
        </w:rPr>
      </w:pPr>
      <w:r w:rsidRPr="00832E00">
        <w:rPr>
          <w:rFonts w:ascii="Times New Roman" w:hAnsi="Times New Roman" w:cs="Times New Roman"/>
          <w:b/>
          <w:szCs w:val="20"/>
          <w:lang w:val="lv-LV"/>
        </w:rPr>
        <w:t xml:space="preserve">Operatīvās darbības likuma 7. panta piektā daļa </w:t>
      </w:r>
      <w:r w:rsidR="00386486">
        <w:rPr>
          <w:rFonts w:ascii="Times New Roman" w:hAnsi="Times New Roman" w:cs="Times New Roman"/>
          <w:b/>
          <w:szCs w:val="20"/>
          <w:lang w:val="lv-LV"/>
        </w:rPr>
        <w:t>[</w:t>
      </w:r>
      <w:r w:rsidRPr="00832E00">
        <w:rPr>
          <w:rFonts w:ascii="Times New Roman" w:hAnsi="Times New Roman" w:cs="Times New Roman"/>
          <w:b/>
          <w:szCs w:val="20"/>
          <w:lang w:val="lv-LV"/>
        </w:rPr>
        <w:t>precīzi</w:t>
      </w:r>
      <w:r w:rsidR="00386486">
        <w:rPr>
          <w:rFonts w:ascii="Times New Roman" w:hAnsi="Times New Roman" w:cs="Times New Roman"/>
          <w:b/>
          <w:szCs w:val="20"/>
          <w:lang w:val="lv-LV"/>
        </w:rPr>
        <w:t>]</w:t>
      </w:r>
      <w:r w:rsidRPr="00832E00">
        <w:rPr>
          <w:rFonts w:ascii="Times New Roman" w:hAnsi="Times New Roman" w:cs="Times New Roman"/>
          <w:b/>
          <w:szCs w:val="20"/>
          <w:lang w:val="lv-LV"/>
        </w:rPr>
        <w:t xml:space="preserve"> nosaka tās piemērošanas priekšnoteikumus, tātad pamattiesību ierobežojums ir noteikts ar likumu.</w:t>
      </w:r>
    </w:p>
    <w:p w:rsidR="00AC6011" w:rsidRPr="00832E00" w:rsidRDefault="00612298" w:rsidP="00EA08F6">
      <w:pPr>
        <w:pStyle w:val="ECHRParaQuote"/>
        <w:rPr>
          <w:lang w:val="lv-LV"/>
        </w:rPr>
      </w:pPr>
      <w:r w:rsidRPr="00832E00">
        <w:rPr>
          <w:lang w:val="lv-LV"/>
        </w:rPr>
        <w:t>[</w:t>
      </w:r>
      <w:r w:rsidR="00915345" w:rsidRPr="00832E00">
        <w:rPr>
          <w:lang w:val="lv-LV"/>
        </w:rPr>
        <w:t>..</w:t>
      </w:r>
      <w:r w:rsidRPr="00832E00">
        <w:rPr>
          <w:lang w:val="lv-LV"/>
        </w:rPr>
        <w:t>]</w:t>
      </w:r>
    </w:p>
    <w:p w:rsidR="00612298" w:rsidRPr="00832E00" w:rsidRDefault="00AC6011"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17. </w:t>
      </w:r>
      <w:r w:rsidR="00612298" w:rsidRPr="00832E00">
        <w:rPr>
          <w:rFonts w:ascii="Times New Roman" w:hAnsi="Times New Roman" w:cs="Times New Roman"/>
          <w:szCs w:val="20"/>
          <w:lang w:val="lv-LV"/>
        </w:rPr>
        <w:t>Pieteikuma iesniedzējs norāda, ka Operatīvās darbības likuma 7. panta piektā daļa nenosaka [..] pienākumu saņemt tiesneša akceptu gadījumos, kad operatīvās darbības pasākumi pabeigti pirms 72 stundu termiņa beigām (</w:t>
      </w:r>
      <w:r w:rsidR="00612298" w:rsidRPr="00832E00">
        <w:rPr>
          <w:rFonts w:ascii="Times New Roman" w:hAnsi="Times New Roman" w:cs="Times New Roman"/>
          <w:i/>
          <w:szCs w:val="20"/>
          <w:lang w:val="lv-LV"/>
        </w:rPr>
        <w:t>sk. lietas materiālu 1. sēj. 26.-27. lpp.</w:t>
      </w:r>
      <w:r w:rsidR="00612298" w:rsidRPr="00832E00">
        <w:rPr>
          <w:rFonts w:ascii="Times New Roman" w:hAnsi="Times New Roman" w:cs="Times New Roman"/>
          <w:szCs w:val="20"/>
          <w:lang w:val="lv-LV"/>
        </w:rPr>
        <w:t>).</w:t>
      </w:r>
    </w:p>
    <w:p w:rsidR="00612298" w:rsidRPr="00832E00" w:rsidRDefault="00AC6011"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17.1. </w:t>
      </w:r>
      <w:r w:rsidR="00612298" w:rsidRPr="00832E00">
        <w:rPr>
          <w:rFonts w:ascii="Times New Roman" w:hAnsi="Times New Roman" w:cs="Times New Roman"/>
          <w:szCs w:val="20"/>
          <w:lang w:val="lv-LV"/>
        </w:rPr>
        <w:t>Operatīvās darbības likuma 7. panta otrajā un trešajā daļā ir noteikti operatīvās darbības pasākumu veikšanas veidi – vispārējais un sevišķais. Šis iedalījums ir cieši saistīts ar operatīvās darbības pasākumu raksturu un ietekmi uz personu pamattiesībām. Operatīvās darbības likuma 7. panta piektajā daļā noteiktajos gadījumos operatīvās darbības pasākumi ir veicami sevišķajā veidā, jo būtiski aizskar personu pamattiesības.</w:t>
      </w:r>
    </w:p>
    <w:p w:rsidR="00612298" w:rsidRPr="00832E00" w:rsidRDefault="00612298"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Satversmes tiesa atzīst, ka Operatīvās darbības likuma 7. panta piektās daļas gramatiskais formulējums </w:t>
      </w:r>
      <w:r w:rsidR="00386486">
        <w:rPr>
          <w:rFonts w:ascii="Times New Roman" w:hAnsi="Times New Roman" w:cs="Times New Roman"/>
          <w:szCs w:val="20"/>
          <w:lang w:val="lv-LV"/>
        </w:rPr>
        <w:t>[</w:t>
      </w:r>
      <w:r w:rsidRPr="00832E00">
        <w:rPr>
          <w:rFonts w:ascii="Times New Roman" w:hAnsi="Times New Roman" w:cs="Times New Roman"/>
          <w:szCs w:val="20"/>
          <w:lang w:val="lv-LV"/>
        </w:rPr>
        <w:t>nesniedz nepārprotamu atbildi uz jautājumu</w:t>
      </w:r>
      <w:r w:rsidR="00386486">
        <w:rPr>
          <w:rFonts w:ascii="Times New Roman" w:hAnsi="Times New Roman" w:cs="Times New Roman"/>
          <w:szCs w:val="20"/>
          <w:lang w:val="lv-LV"/>
        </w:rPr>
        <w:t>]</w:t>
      </w:r>
      <w:r w:rsidRPr="00832E00">
        <w:rPr>
          <w:rFonts w:ascii="Times New Roman" w:hAnsi="Times New Roman" w:cs="Times New Roman"/>
          <w:szCs w:val="20"/>
          <w:lang w:val="lv-LV"/>
        </w:rPr>
        <w:t>, vai gadījumos, kad operatīvās darbības pasākumi pabeigti pirms 72 stundu termiņa beigām, ir nepieciešams saņemt Augstākās tiesas priekšsēdētāja vai viņa īpaši pilnvarota Augstākās tiesas tiesneša akceptu.</w:t>
      </w:r>
    </w:p>
    <w:p w:rsidR="00612298" w:rsidRPr="00832E00" w:rsidRDefault="00AC6011"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17.2. </w:t>
      </w:r>
      <w:r w:rsidR="00612298" w:rsidRPr="00832E00">
        <w:rPr>
          <w:rFonts w:ascii="Times New Roman" w:hAnsi="Times New Roman" w:cs="Times New Roman"/>
          <w:szCs w:val="20"/>
          <w:lang w:val="lv-LV"/>
        </w:rPr>
        <w:t>Lai noteiktu Operatīvās darbības likuma 7. panta piektās daļas saturu, tā interpretējama kopsakarā ar citām šā paša panta normām, kas reglamentē operatīvās darbības pasākumu veikšanu sevišķajā veidā.</w:t>
      </w:r>
    </w:p>
    <w:p w:rsidR="00EA02E4" w:rsidRPr="00832E00" w:rsidRDefault="00EA02E4"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Operatīvās darbības likuma 7. panta piektā daļa ietver atsauci uz šā paša panta ceturto daļu, kas nosaka operatīvās darbības pasākumus, kuri veicami tikai sevišķajā veidā. Šie pasākumi, tostarp operatīvā korespondences kontrole un operatīvā nepublisku sarunu slepena noklausīšanās, veicami ar Augstākās tiesas priekšsēdētāja vai viņa īpaši pilnvarota Augstākās tiesas tiesneša akceptu.</w:t>
      </w:r>
      <w:r w:rsidR="00386486">
        <w:rPr>
          <w:rFonts w:ascii="Times New Roman" w:hAnsi="Times New Roman" w:cs="Times New Roman"/>
          <w:szCs w:val="20"/>
          <w:lang w:val="lv-LV"/>
        </w:rPr>
        <w:t xml:space="preserve"> </w:t>
      </w:r>
    </w:p>
    <w:p w:rsidR="00EA02E4" w:rsidRPr="00832E00" w:rsidRDefault="00EA02E4"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Lai gan Operatīvās darbības likuma 7. panta piektā daļa paredz izņēmuma gadījumus, kad [..] operatīvās darbības pasākumus var veikt nekavējoties, līdzīgi kā minētā panta ceturtā daļa</w:t>
      </w:r>
      <w:r w:rsidR="00386486">
        <w:rPr>
          <w:rFonts w:ascii="Times New Roman" w:hAnsi="Times New Roman" w:cs="Times New Roman"/>
          <w:szCs w:val="20"/>
          <w:lang w:val="lv-LV"/>
        </w:rPr>
        <w:t>,</w:t>
      </w:r>
      <w:r w:rsidRPr="00832E00">
        <w:rPr>
          <w:rFonts w:ascii="Times New Roman" w:hAnsi="Times New Roman" w:cs="Times New Roman"/>
          <w:szCs w:val="20"/>
          <w:lang w:val="lv-LV"/>
        </w:rPr>
        <w:t xml:space="preserve"> tā paredz arī [..] pienākumu saņemt Augstākās tiesas priekšsēdētāja vai viņa īpaši pilnvarota Augstākās tiesas tiesneša akceptu operatīvās darbības pasākumu veikšanai. Arī, izstrādājot likumprojektu </w:t>
      </w:r>
      <w:r w:rsidR="00386486" w:rsidRPr="00832E00">
        <w:rPr>
          <w:lang w:val="lv-LV"/>
        </w:rPr>
        <w:t>“</w:t>
      </w:r>
      <w:r w:rsidRPr="00832E00">
        <w:rPr>
          <w:rFonts w:ascii="Times New Roman" w:hAnsi="Times New Roman" w:cs="Times New Roman"/>
          <w:szCs w:val="20"/>
          <w:lang w:val="lv-LV"/>
        </w:rPr>
        <w:t xml:space="preserve">Operatīvās darbības likums”, [..] uzsvēra tiesneša akcepta saņemšanas nozīmi gadījumos, kad tiek veikti </w:t>
      </w:r>
      <w:r w:rsidRPr="00832E00">
        <w:rPr>
          <w:rFonts w:ascii="Times New Roman" w:hAnsi="Times New Roman" w:cs="Times New Roman"/>
          <w:szCs w:val="20"/>
          <w:lang w:val="lv-LV"/>
        </w:rPr>
        <w:lastRenderedPageBreak/>
        <w:t>operatīvās darbības pasākumi sevišķajā veidā (</w:t>
      </w:r>
      <w:r w:rsidRPr="00832E00">
        <w:rPr>
          <w:rFonts w:ascii="Times New Roman" w:hAnsi="Times New Roman" w:cs="Times New Roman"/>
          <w:i/>
          <w:szCs w:val="20"/>
          <w:lang w:val="lv-LV"/>
        </w:rPr>
        <w:t>sk. lietas materiālu 1. sēj. 171. un 173. lpp.</w:t>
      </w:r>
      <w:r w:rsidRPr="00832E00">
        <w:rPr>
          <w:rFonts w:ascii="Times New Roman" w:hAnsi="Times New Roman" w:cs="Times New Roman"/>
          <w:szCs w:val="20"/>
          <w:lang w:val="lv-LV"/>
        </w:rPr>
        <w:t>).</w:t>
      </w:r>
    </w:p>
    <w:p w:rsidR="00957A24" w:rsidRPr="00832E00" w:rsidRDefault="00957A24"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Operatīvās darbības likuma 7. panta piektās daļas trešais teikums ietver norādi, ka gadījumā, ja netiek saņemts tiesneša akcepts operatīvās darbības pasākumu veikšanai, tie ir jāpārtrauc. Pēc KNAB domām, šī norāde apstiprina to, ka tiesneša akceptu nepieciešams saņemt tikai tajos gadījumos, kad operatīvās darbības pasākumi nav pabeigti pirms 72 stundu termiņa beigām (</w:t>
      </w:r>
      <w:r w:rsidRPr="00832E00">
        <w:rPr>
          <w:rFonts w:ascii="Times New Roman" w:hAnsi="Times New Roman" w:cs="Times New Roman"/>
          <w:i/>
          <w:szCs w:val="20"/>
          <w:lang w:val="lv-LV"/>
        </w:rPr>
        <w:t>sk. lietas materiālu 3. sēj. 45. lpp.</w:t>
      </w:r>
      <w:r w:rsidRPr="00832E00">
        <w:rPr>
          <w:rFonts w:ascii="Times New Roman" w:hAnsi="Times New Roman" w:cs="Times New Roman"/>
          <w:szCs w:val="20"/>
          <w:lang w:val="lv-LV"/>
        </w:rPr>
        <w:t>). Savukārt Tieslietu ministrija un Tiesībsargs norāda, ka šāda [..] interpretācija neatbilstu Satversmes garam (</w:t>
      </w:r>
      <w:r w:rsidRPr="00832E00">
        <w:rPr>
          <w:rFonts w:ascii="Times New Roman" w:hAnsi="Times New Roman" w:cs="Times New Roman"/>
          <w:i/>
          <w:szCs w:val="20"/>
          <w:lang w:val="lv-LV"/>
        </w:rPr>
        <w:t>sk. lietas materiālu 3. sēj. 48. un 54.-55. lpp.</w:t>
      </w:r>
      <w:r w:rsidRPr="00832E00">
        <w:rPr>
          <w:rFonts w:ascii="Times New Roman" w:hAnsi="Times New Roman" w:cs="Times New Roman"/>
          <w:szCs w:val="20"/>
          <w:lang w:val="lv-LV"/>
        </w:rPr>
        <w:t>).</w:t>
      </w:r>
    </w:p>
    <w:p w:rsidR="00957A24" w:rsidRPr="00832E00" w:rsidRDefault="00957A24"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Operatīvās darbības likuma 7. panta piektajā daļā nav ietverta norāde, ka šajā daļā noteiktajiem operatīvās darbības pasākumiem nebūtu nepieciešams Augstākās tiesas priekšsēdētāja vai viņa īpaši pilnvarota Augstākās tiesas tiesneša akcepts, ja tos plānots pabeigt pirms 72 stundu termiņa beigām. Līdz ar to [Satversmes tiesa] nevar piekrist KNAB viedoklim, ka vēršanās pie tiesneša pēc akcepta varētu nenotikt, ja operatīvās darbības pasākumi pabeigti pirms minētā termiņa beigām.</w:t>
      </w:r>
    </w:p>
    <w:p w:rsidR="00AC6011" w:rsidRPr="00832E00" w:rsidRDefault="00957A24" w:rsidP="00EA08F6">
      <w:pPr>
        <w:pStyle w:val="ECHRParaQuote"/>
        <w:rPr>
          <w:lang w:val="lv-LV"/>
        </w:rPr>
      </w:pPr>
      <w:r w:rsidRPr="00832E00">
        <w:rPr>
          <w:lang w:val="lv-LV"/>
        </w:rPr>
        <w:t>[</w:t>
      </w:r>
      <w:r w:rsidR="00915345" w:rsidRPr="00832E00">
        <w:rPr>
          <w:lang w:val="lv-LV"/>
        </w:rPr>
        <w:t>..</w:t>
      </w:r>
      <w:r w:rsidRPr="00832E00">
        <w:rPr>
          <w:lang w:val="lv-LV"/>
        </w:rPr>
        <w:t>]</w:t>
      </w:r>
    </w:p>
    <w:p w:rsidR="00957A24" w:rsidRPr="00832E00" w:rsidRDefault="00AC6011" w:rsidP="00EA08F6">
      <w:pPr>
        <w:pStyle w:val="ECHRParaQuote"/>
        <w:rPr>
          <w:lang w:val="lv-LV"/>
        </w:rPr>
      </w:pPr>
      <w:r w:rsidRPr="00832E00">
        <w:rPr>
          <w:lang w:val="lv-LV"/>
        </w:rPr>
        <w:t xml:space="preserve">17.3. </w:t>
      </w:r>
      <w:r w:rsidR="00957A24" w:rsidRPr="00832E00">
        <w:rPr>
          <w:lang w:val="lv-LV"/>
        </w:rPr>
        <w:t xml:space="preserve">[..] Līdz ar to Operatīvās darbības likuma 7. panta piektā daļa noteic, ka par operatīvās darbības pasākumu veikšanu jebkurā gadījumā jāpaziņo prokuroram, kā arī uzliek par pienākumu [..] </w:t>
      </w:r>
      <w:r w:rsidR="00A675F3">
        <w:rPr>
          <w:lang w:val="lv-LV"/>
        </w:rPr>
        <w:t>[</w:t>
      </w:r>
      <w:r w:rsidR="00957A24" w:rsidRPr="00832E00">
        <w:rPr>
          <w:lang w:val="lv-LV"/>
        </w:rPr>
        <w:t>saņemt</w:t>
      </w:r>
      <w:r w:rsidR="00A675F3">
        <w:rPr>
          <w:lang w:val="lv-LV"/>
        </w:rPr>
        <w:t>]</w:t>
      </w:r>
      <w:r w:rsidR="00957A24" w:rsidRPr="00832E00">
        <w:rPr>
          <w:lang w:val="lv-LV"/>
        </w:rPr>
        <w:t xml:space="preserve"> Augstākās tiesas priekšsēdētāja vai viņa īpaši pilnvarota Augstākās tiesas tiesneša akceptu.</w:t>
      </w:r>
    </w:p>
    <w:p w:rsidR="00957A24" w:rsidRPr="00832E00" w:rsidRDefault="00957A24" w:rsidP="00EA08F6">
      <w:pPr>
        <w:pStyle w:val="ECHRParaQuote"/>
        <w:rPr>
          <w:rFonts w:ascii="Times New Roman" w:hAnsi="Times New Roman" w:cs="Times New Roman"/>
          <w:b/>
          <w:szCs w:val="20"/>
          <w:lang w:val="lv-LV"/>
        </w:rPr>
      </w:pPr>
      <w:r w:rsidRPr="00832E00">
        <w:rPr>
          <w:rFonts w:ascii="Times New Roman" w:hAnsi="Times New Roman" w:cs="Times New Roman"/>
          <w:b/>
          <w:szCs w:val="20"/>
          <w:lang w:val="lv-LV"/>
        </w:rPr>
        <w:t>Operatīvās darbības likuma 7. panta piektajā daļā noteiktais ierobežojums ir atzīstams par saudzējošāko līdzekli leģitīmā mērķa sasniegšanai, jo prokurora uzraudzība un tiesas pēckontrole pār operatīvās darbības pasākumu veikšanas tiesiskumu nodrošina personas tiesību efektīvu aizsardzību.</w:t>
      </w:r>
    </w:p>
    <w:p w:rsidR="00935117" w:rsidRPr="00832E00" w:rsidRDefault="00935117"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18. </w:t>
      </w:r>
      <w:r w:rsidR="00957A24" w:rsidRPr="00832E00">
        <w:rPr>
          <w:rFonts w:ascii="Times New Roman" w:hAnsi="Times New Roman" w:cs="Times New Roman"/>
          <w:szCs w:val="20"/>
          <w:lang w:val="lv-LV"/>
        </w:rPr>
        <w:t>[..]</w:t>
      </w:r>
    </w:p>
    <w:p w:rsidR="00957A24" w:rsidRPr="00832E00" w:rsidRDefault="00957A24"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Nevar piekrist Pieteikuma iesniedzēja apgalvojumam, ka viņa tiesību aizskārums esot lielāks nekā labums, ko valsts no tā gūstot. Ar tiesiski īstenotu personas privātās dzīves ierobežojumu valsts sekmē noziedzības apkarošanu, ļauj [..] nekavējoties reaģēt uz sabiedrībai īpaši bīstamu noziedzīgu nodarījumu draudiem un tos novērst, kā arī atklāt vainīgās personas. Veicot operatīvo nepublisku sarunu slepenu noklausīšanos Operatīvās darbības likuma 7. panta piektajā daļā noteiktajos gadījumos, tiek garantēta sabiedrības drošības aizsardzība.</w:t>
      </w:r>
    </w:p>
    <w:p w:rsidR="00957A24" w:rsidRPr="00832E00" w:rsidRDefault="00957A24" w:rsidP="00EA08F6">
      <w:pPr>
        <w:pStyle w:val="ECHRParaQuote"/>
        <w:rPr>
          <w:rFonts w:ascii="Times New Roman" w:hAnsi="Times New Roman" w:cs="Times New Roman"/>
          <w:b/>
          <w:szCs w:val="20"/>
          <w:lang w:val="lv-LV"/>
        </w:rPr>
      </w:pPr>
      <w:r w:rsidRPr="00832E00">
        <w:rPr>
          <w:rFonts w:ascii="Times New Roman" w:hAnsi="Times New Roman" w:cs="Times New Roman"/>
          <w:b/>
          <w:szCs w:val="20"/>
          <w:lang w:val="lv-LV"/>
        </w:rPr>
        <w:t>Līdz ar to operatīvās darbības pasākumi, kas veikti, lai novērstu Operatīvās darbības likuma 7. panta piektajā daļā minētos noziedzīgos nodarījumus, atzīstami par samērīgiem un Satversmes 96. pantam atbilstošiem tikai tad, ja neatkarīgi no to pabeigšanas laika ir saņemts Augstākās tiesas priekšsēdētāja vai viņa īpaši pilnvarota Augstākās tiesas tiesneša akcepts.</w:t>
      </w:r>
    </w:p>
    <w:p w:rsidR="00957A24" w:rsidRPr="00832E00" w:rsidRDefault="00957A24"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19. Piete</w:t>
      </w:r>
      <w:r w:rsidR="00681846" w:rsidRPr="00832E00">
        <w:rPr>
          <w:rFonts w:ascii="Times New Roman" w:hAnsi="Times New Roman" w:cs="Times New Roman"/>
          <w:szCs w:val="20"/>
          <w:lang w:val="lv-LV"/>
        </w:rPr>
        <w:t>ikuma iesniedzējs norāda, ka [prokuratūra]</w:t>
      </w:r>
      <w:r w:rsidRPr="00832E00">
        <w:rPr>
          <w:rFonts w:ascii="Times New Roman" w:hAnsi="Times New Roman" w:cs="Times New Roman"/>
          <w:szCs w:val="20"/>
          <w:lang w:val="lv-LV"/>
        </w:rPr>
        <w:t xml:space="preserve"> nav uzskatāma par efektīvu personas tiesību aizsardzības līdzekli Konvencijas 8. un 13. panta izpratnē (</w:t>
      </w:r>
      <w:r w:rsidRPr="00832E00">
        <w:rPr>
          <w:rFonts w:ascii="Times New Roman" w:hAnsi="Times New Roman" w:cs="Times New Roman"/>
          <w:i/>
          <w:szCs w:val="20"/>
          <w:lang w:val="lv-LV"/>
        </w:rPr>
        <w:t>sk. lietas materiālu 1. sēj. 17.</w:t>
      </w:r>
      <w:r w:rsidR="00681846" w:rsidRPr="00832E00">
        <w:rPr>
          <w:rFonts w:ascii="Times New Roman" w:hAnsi="Times New Roman" w:cs="Times New Roman"/>
          <w:i/>
          <w:szCs w:val="20"/>
          <w:lang w:val="lv-LV"/>
        </w:rPr>
        <w:t>-</w:t>
      </w:r>
      <w:r w:rsidRPr="00832E00">
        <w:rPr>
          <w:rFonts w:ascii="Times New Roman" w:hAnsi="Times New Roman" w:cs="Times New Roman"/>
          <w:i/>
          <w:szCs w:val="20"/>
          <w:lang w:val="lv-LV"/>
        </w:rPr>
        <w:t>18. lpp.</w:t>
      </w:r>
      <w:r w:rsidRPr="00832E00">
        <w:rPr>
          <w:rFonts w:ascii="Times New Roman" w:hAnsi="Times New Roman" w:cs="Times New Roman"/>
          <w:szCs w:val="20"/>
          <w:lang w:val="lv-LV"/>
        </w:rPr>
        <w:t>).</w:t>
      </w:r>
    </w:p>
    <w:p w:rsidR="00681846" w:rsidRPr="00832E00" w:rsidRDefault="00681846"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Satversmes tiesa jau agrāk ir atzinusi, ka prokuratūru [tai adresētu iesniegumu] Latvijā var uzskatīt par efektīvu un pieejamu aizsardzības līdzekli, jo prokurora statuss un loma likumības uzraudzībā nodrošina sūdzību neatkarīgu un objektīvu izskatīšanu atbilstoši Konvencijas 13. pantam (</w:t>
      </w:r>
      <w:r w:rsidRPr="00832E00">
        <w:rPr>
          <w:rFonts w:ascii="Times New Roman" w:hAnsi="Times New Roman" w:cs="Times New Roman"/>
          <w:i/>
          <w:szCs w:val="20"/>
          <w:lang w:val="lv-LV"/>
        </w:rPr>
        <w:t>sk. Satversmes tiesas 2004. gada 11. oktobra sprieduma lietā Nr. 2004-06-01 19. punktu</w:t>
      </w:r>
      <w:r w:rsidRPr="00832E00">
        <w:rPr>
          <w:rFonts w:ascii="Times New Roman" w:hAnsi="Times New Roman" w:cs="Times New Roman"/>
          <w:szCs w:val="20"/>
          <w:lang w:val="lv-LV"/>
        </w:rPr>
        <w:t>).</w:t>
      </w:r>
    </w:p>
    <w:p w:rsidR="00681846" w:rsidRPr="00832E00" w:rsidRDefault="00681846"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Lietas ietvaros ir nepieciešams noskaidrot, vai Operatīvās darbības likuma 7. panta piektā daļa nodrošina personai Konvencijas 13. pantam atbilstošu aizsardzību </w:t>
      </w:r>
      <w:r w:rsidRPr="00832E00">
        <w:rPr>
          <w:rFonts w:ascii="Times New Roman" w:hAnsi="Times New Roman" w:cs="Times New Roman"/>
          <w:szCs w:val="20"/>
          <w:lang w:val="lv-LV"/>
        </w:rPr>
        <w:lastRenderedPageBreak/>
        <w:t>gadījumos, kad aizskartas tai Konvencijā garantētās tiesības uz privātās dzīves un korespondences noslēpuma neaizskaramību.</w:t>
      </w:r>
    </w:p>
    <w:p w:rsidR="00034312" w:rsidRPr="00832E00" w:rsidRDefault="00034312"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Satversmes tiesa konstatē, ka Operatīvās darbības likuma 7. panta piektā daļa nosaka gadījumus, kad [..] ir tiesības nekavējoties veikt operatīvās darbības pasākumus, un kārtību, kādā par to veikšanu jāpaziņo prokuroram un jāsaņem tiesneša akcepts. Taču šī norma nav saistīta ar Konvencijas 13. pantā noteiktajām personas tiesībām uz efektīvu aizsardzības nodrošinājumu. Līdz ar to Operatīvās darbības likuma 7. panta piektās daļas atbilstība Konvencijas 13. pantam tiks vērtēta kopsakarā ar Operatīvās darbības likuma 35. panta pirmās daļas pirmo teikumu, kurā noteikts operatīvās darbības uzraudzības mehānisms un kura atbilstību Satversmes 92. pantam apšauba pieteikuma iesniedzējs.</w:t>
      </w:r>
    </w:p>
    <w:p w:rsidR="00034312" w:rsidRPr="00832E00" w:rsidRDefault="00034312"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20. Pieteikuma iesniedzējs norāda, ka Operatīvās darbības likuma 35. panta pirmās daļas pirmais teikums neatbilst Satversmes 92. pantam, jo tam nav leģitīma mērķa un tas nav nepieciešams demokrātiskā sabiedrībā. Šajā normā neesot noteikts process, kādā tiek veikta pārbaude un uzraudzība pār operatīvo pasākumu realizēšanu. Prokuratūrai Operatīvās darbības likuma </w:t>
      </w:r>
      <w:r w:rsidR="003416CE" w:rsidRPr="00832E00">
        <w:rPr>
          <w:rFonts w:ascii="Times New Roman" w:hAnsi="Times New Roman" w:cs="Times New Roman"/>
          <w:szCs w:val="20"/>
          <w:lang w:val="lv-LV"/>
        </w:rPr>
        <w:t>35</w:t>
      </w:r>
      <w:r w:rsidRPr="00832E00">
        <w:rPr>
          <w:rFonts w:ascii="Times New Roman" w:hAnsi="Times New Roman" w:cs="Times New Roman"/>
          <w:szCs w:val="20"/>
          <w:lang w:val="lv-LV"/>
        </w:rPr>
        <w:t xml:space="preserve">. panta </w:t>
      </w:r>
      <w:r w:rsidR="003416CE">
        <w:rPr>
          <w:rFonts w:ascii="Times New Roman" w:hAnsi="Times New Roman" w:cs="Times New Roman"/>
          <w:szCs w:val="20"/>
          <w:lang w:val="lv-LV"/>
        </w:rPr>
        <w:t>pirmās daļas pirmajā teikumā</w:t>
      </w:r>
      <w:r w:rsidRPr="00832E00">
        <w:rPr>
          <w:rFonts w:ascii="Times New Roman" w:hAnsi="Times New Roman" w:cs="Times New Roman"/>
          <w:szCs w:val="20"/>
          <w:lang w:val="lv-LV"/>
        </w:rPr>
        <w:t xml:space="preserve"> noteikto darbību uzraudzībā esot piešķirta pārāk liela brīvība (</w:t>
      </w:r>
      <w:r w:rsidRPr="00832E00">
        <w:rPr>
          <w:rFonts w:ascii="Times New Roman" w:hAnsi="Times New Roman" w:cs="Times New Roman"/>
          <w:i/>
          <w:szCs w:val="20"/>
          <w:lang w:val="lv-LV"/>
        </w:rPr>
        <w:t>sk. lietas materiālu 1. sēj. 20.-21. lpp.</w:t>
      </w:r>
      <w:r w:rsidRPr="00832E00">
        <w:rPr>
          <w:rFonts w:ascii="Times New Roman" w:hAnsi="Times New Roman" w:cs="Times New Roman"/>
          <w:szCs w:val="20"/>
          <w:lang w:val="lv-LV"/>
        </w:rPr>
        <w:t>).</w:t>
      </w:r>
    </w:p>
    <w:p w:rsidR="00935117" w:rsidRPr="00832E00" w:rsidRDefault="00935117" w:rsidP="00EA08F6">
      <w:pPr>
        <w:pStyle w:val="ECHRParaQuote"/>
        <w:rPr>
          <w:lang w:val="lv-LV"/>
        </w:rPr>
      </w:pPr>
      <w:r w:rsidRPr="00832E00">
        <w:rPr>
          <w:lang w:val="lv-LV"/>
        </w:rPr>
        <w:t>2</w:t>
      </w:r>
      <w:r w:rsidR="00034312" w:rsidRPr="00832E00">
        <w:rPr>
          <w:lang w:val="lv-LV"/>
        </w:rPr>
        <w:t>0</w:t>
      </w:r>
      <w:r w:rsidRPr="00832E00">
        <w:rPr>
          <w:lang w:val="lv-LV"/>
        </w:rPr>
        <w:t xml:space="preserve">.1. </w:t>
      </w:r>
      <w:r w:rsidR="00034312" w:rsidRPr="00832E00">
        <w:rPr>
          <w:lang w:val="lv-LV"/>
        </w:rPr>
        <w:t>[..]</w:t>
      </w:r>
    </w:p>
    <w:p w:rsidR="00034312" w:rsidRPr="00832E00" w:rsidRDefault="00034312" w:rsidP="00EA08F6">
      <w:pPr>
        <w:pStyle w:val="ECHRParaQuote"/>
        <w:rPr>
          <w:lang w:val="lv-LV"/>
        </w:rPr>
      </w:pPr>
      <w:r w:rsidRPr="00832E00">
        <w:rPr>
          <w:lang w:val="lv-LV"/>
        </w:rPr>
        <w:t xml:space="preserve">Satversmes tiesa šā sprieduma 17. punktā secināja, ka </w:t>
      </w:r>
      <w:r w:rsidR="00D43EF8" w:rsidRPr="00832E00">
        <w:rPr>
          <w:lang w:val="lv-LV"/>
        </w:rPr>
        <w:t>[pastāv]</w:t>
      </w:r>
      <w:r w:rsidRPr="00832E00">
        <w:rPr>
          <w:lang w:val="lv-LV"/>
        </w:rPr>
        <w:t xml:space="preserve"> pienākums saņemt Augstākās tiesas priekšsēdētāja vai viņa īpaši pilnvarota Augstākās tiesas tiesneša akceptu operatīvās darbības pasākumu veikšanai jebkurā gadījumā. Tādējādi likumdevējs ir noteicis tādu operatīvās darbības regulējumu, kas paredz ne vien prokurora uzraudzību, bet arī tiesas kontroli vai vismaz pēckontroli pār veikto darbību tiesiskumu un atbilstību likuma prasībām.</w:t>
      </w:r>
    </w:p>
    <w:p w:rsidR="00AC6011" w:rsidRPr="00832E00" w:rsidRDefault="00AC6011" w:rsidP="00EA08F6">
      <w:pPr>
        <w:pStyle w:val="ECHRParaQuote"/>
        <w:rPr>
          <w:lang w:val="lv-LV"/>
        </w:rPr>
      </w:pPr>
      <w:r w:rsidRPr="00832E00">
        <w:rPr>
          <w:lang w:val="lv-LV"/>
        </w:rPr>
        <w:t xml:space="preserve">20.2. </w:t>
      </w:r>
      <w:r w:rsidR="00D43EF8" w:rsidRPr="00832E00">
        <w:rPr>
          <w:lang w:val="lv-LV"/>
        </w:rPr>
        <w:t>[..]</w:t>
      </w:r>
    </w:p>
    <w:p w:rsidR="00D43EF8" w:rsidRPr="00832E00" w:rsidRDefault="00D43EF8"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Satversmes tiesa jau norādīja, ka prokuratūrai kā tiesu varas institūcijai ir divējāds raksturs. No vienas puses, tā ir vienota, centralizēta triju pakāpju iestāžu sistēma, ko vada ģenerālprokurors, bet, no otras puses, – prokuratūras funkcijas patstāvīgi un vienpersoniski veic prokuratūras amatpersonas, t. i., prokurori (</w:t>
      </w:r>
      <w:r w:rsidRPr="00832E00">
        <w:rPr>
          <w:rFonts w:ascii="Times New Roman" w:hAnsi="Times New Roman" w:cs="Times New Roman"/>
          <w:i/>
          <w:szCs w:val="20"/>
          <w:lang w:val="lv-LV"/>
        </w:rPr>
        <w:t>sk. Satversmes tiesas 2006. gada 20. decembra sprieduma lietā Nr. 2006-12-01 secinājumu daļas 12.2. punktu</w:t>
      </w:r>
      <w:r w:rsidRPr="00832E00">
        <w:rPr>
          <w:rFonts w:ascii="Times New Roman" w:hAnsi="Times New Roman" w:cs="Times New Roman"/>
          <w:szCs w:val="20"/>
          <w:lang w:val="lv-LV"/>
        </w:rPr>
        <w:t>).</w:t>
      </w:r>
    </w:p>
    <w:p w:rsidR="00D43EF8" w:rsidRPr="00832E00" w:rsidRDefault="00D43EF8" w:rsidP="00EA08F6">
      <w:pPr>
        <w:pStyle w:val="ECHRParaQuote"/>
        <w:rPr>
          <w:lang w:val="lv-LV"/>
        </w:rPr>
      </w:pPr>
      <w:r w:rsidRPr="00832E00">
        <w:rPr>
          <w:lang w:val="lv-LV"/>
        </w:rPr>
        <w:t>[..] Attiecībā uz Operatīvās darbības likuma 7. panta ceturtajā daļā norādīto operatīvās darbības pasākumu veikšanu tā paša panta piektajā daļā noteiktajos gadījumos [..] ir uzlikts pienākums 24 stundu laikā par to veikšanu paziņot prokuroram, proti, ģenerālprokuroram vai viņa īpaši pilnvarotam prokuroram (</w:t>
      </w:r>
      <w:r w:rsidRPr="00832E00">
        <w:rPr>
          <w:i/>
          <w:lang w:val="lv-LV"/>
        </w:rPr>
        <w:t>sk. Kavalieris A. Operatīvās darbības likuma komentāri. Rīga: Raka, 2002, 26. lpp</w:t>
      </w:r>
      <w:r w:rsidRPr="00832E00">
        <w:rPr>
          <w:lang w:val="lv-LV"/>
        </w:rPr>
        <w:t>.). Tādējādi ģenerālprokurors vai viņa īpaši pilnvarots prokurors arī kontrolē operatīvās darbības pasākumu tiesiskumu.</w:t>
      </w:r>
    </w:p>
    <w:p w:rsidR="00D43EF8" w:rsidRPr="00832E00" w:rsidRDefault="00D43EF8"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 xml:space="preserve">Saskaņā ar Operatīvās darbības likuma 22. panta otro daļu operatīvo izstrādi uzsāk ar lēmumu, kuru akceptē operatīvās darbības iestādes vadītājs vai viņa vietnieks, kā arī par to tiek informēts prokurors. Līdz ar to [..] par Operatīvās darbības likuma 7. panta piektās daļas kārtībā veiktajiem operatīvās darbības pasākumiem ir jāpaziņo ģenerālprokuroram vai </w:t>
      </w:r>
      <w:r w:rsidR="00AE622C" w:rsidRPr="00832E00">
        <w:rPr>
          <w:rFonts w:ascii="Times New Roman" w:hAnsi="Times New Roman" w:cs="Times New Roman"/>
          <w:szCs w:val="20"/>
          <w:lang w:val="lv-LV"/>
        </w:rPr>
        <w:t>īpaši pilnvarotam</w:t>
      </w:r>
      <w:r w:rsidRPr="00832E00">
        <w:rPr>
          <w:rFonts w:ascii="Times New Roman" w:hAnsi="Times New Roman" w:cs="Times New Roman"/>
          <w:szCs w:val="20"/>
          <w:lang w:val="lv-LV"/>
        </w:rPr>
        <w:t xml:space="preserve"> prokuroram. Satversmes tiesa norāda, ka šāda paziņojuma saņemšanas gadījumā prokuroram jāveic uzraudzība pār veikto operatīvās darbības pasākumu atbilstību likuma prasībām, tādējādi nodrošinot personas pamattiesību ievērošanu.</w:t>
      </w:r>
    </w:p>
    <w:p w:rsidR="00AE622C" w:rsidRPr="00832E00" w:rsidRDefault="00AE622C"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lastRenderedPageBreak/>
        <w:t>20.3. Pieteikuma iesniedzējs norāda, ka personas iespējas aizsargāt savas tiesības esot ierobežotas gadījumos, kad ir noklausītas tās telefona sarunas (</w:t>
      </w:r>
      <w:r w:rsidRPr="00832E00">
        <w:rPr>
          <w:rFonts w:ascii="Times New Roman" w:hAnsi="Times New Roman" w:cs="Times New Roman"/>
          <w:i/>
          <w:szCs w:val="20"/>
          <w:lang w:val="lv-LV"/>
        </w:rPr>
        <w:t>sk. lietas materiālu 1. sēj. 10., 13., 18. un 22. lpp.</w:t>
      </w:r>
      <w:r w:rsidRPr="00832E00">
        <w:rPr>
          <w:rFonts w:ascii="Times New Roman" w:hAnsi="Times New Roman" w:cs="Times New Roman"/>
          <w:szCs w:val="20"/>
          <w:lang w:val="lv-LV"/>
        </w:rPr>
        <w:t>).</w:t>
      </w:r>
    </w:p>
    <w:p w:rsidR="00AC6011" w:rsidRPr="00832E00" w:rsidRDefault="00AE622C"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w:t>
      </w:r>
      <w:r w:rsidR="00915345" w:rsidRPr="00832E00">
        <w:rPr>
          <w:rFonts w:ascii="Times New Roman" w:hAnsi="Times New Roman" w:cs="Times New Roman"/>
          <w:szCs w:val="20"/>
          <w:lang w:val="lv-LV"/>
        </w:rPr>
        <w:t>..</w:t>
      </w:r>
      <w:r w:rsidRPr="00832E00">
        <w:rPr>
          <w:rFonts w:ascii="Times New Roman" w:hAnsi="Times New Roman" w:cs="Times New Roman"/>
          <w:szCs w:val="20"/>
          <w:lang w:val="lv-LV"/>
        </w:rPr>
        <w:t>]</w:t>
      </w:r>
    </w:p>
    <w:p w:rsidR="00AE622C" w:rsidRPr="00832E00" w:rsidRDefault="00AE622C"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No minētā izriet, ka ģenerālprokurors un viņa īpaši pilnvaroti prokurori veic operatīvās darbības pārbaudi un atbilstoši tās rezultātam sniedz atzinumu par [..] rīcības atbilstību likumam. Pārbaude ir nepieciešama, lai ģenerālprokurors un viņa īpaši pilnvaroti prokurori varētu pārliecināties par operatīvās darbības pasākumu tiesiskumu. Taču spēkā esošais regulējums paredz arī tiesas kontroli, tostarp pēckontroli. Līdz ar to [Satversmes tiesa] nevar piekrist viedoklim, ka spēkā esošais regulējums neparedzot operatīvās darbības pasākumiem pietiekami neatkarīgu pēckontroli.</w:t>
      </w:r>
    </w:p>
    <w:p w:rsidR="00AE622C" w:rsidRPr="00832E00" w:rsidRDefault="00AE622C" w:rsidP="00EA08F6">
      <w:pPr>
        <w:pStyle w:val="ECHRParaQuote"/>
        <w:rPr>
          <w:rFonts w:ascii="Times New Roman" w:hAnsi="Times New Roman" w:cs="Times New Roman"/>
          <w:szCs w:val="20"/>
          <w:lang w:val="lv-LV"/>
        </w:rPr>
      </w:pPr>
      <w:r w:rsidRPr="00832E00">
        <w:rPr>
          <w:rFonts w:ascii="Times New Roman" w:hAnsi="Times New Roman" w:cs="Times New Roman"/>
          <w:szCs w:val="20"/>
          <w:lang w:val="lv-LV"/>
        </w:rPr>
        <w:t>Atbilstoši Operatīvās darbības likuma 29. panta trešajai daļai gadījumā, kad operatīvās darbības gaitā ir pretlikumīgi aizskartas personu tiesības un intereses, tātad personām nodarīts kaitējums, attiecīgo amatpersonu, prokurora vai tiesas pienākums ir atjaunot šīs tiesības un atlīdzināt vai novērst nodarīto materiālo un morālo kaitējumu likumā noteiktajā kārtībā. Līdz ar to var secināt, ka Operatīvās darbības likums nosaka [attiecināmās iestādes] amatpersonu atbildību pamattiesību aizskāruma gadījumā.</w:t>
      </w:r>
    </w:p>
    <w:p w:rsidR="00AC6011" w:rsidRPr="00832E00" w:rsidRDefault="00AE622C" w:rsidP="00EA08F6">
      <w:pPr>
        <w:pStyle w:val="ECHRParaQuote"/>
        <w:rPr>
          <w:lang w:val="lv-LV"/>
        </w:rPr>
      </w:pPr>
      <w:r w:rsidRPr="00832E00">
        <w:rPr>
          <w:lang w:val="lv-LV"/>
        </w:rPr>
        <w:t>[</w:t>
      </w:r>
      <w:r w:rsidR="00915345" w:rsidRPr="00832E00">
        <w:rPr>
          <w:lang w:val="lv-LV"/>
        </w:rPr>
        <w:t>..</w:t>
      </w:r>
      <w:r w:rsidRPr="00832E00">
        <w:rPr>
          <w:lang w:val="lv-LV"/>
        </w:rPr>
        <w:t>]</w:t>
      </w:r>
    </w:p>
    <w:p w:rsidR="00AE622C" w:rsidRPr="00832E00" w:rsidRDefault="00AE622C" w:rsidP="00EA08F6">
      <w:pPr>
        <w:pStyle w:val="ECHRParaQuote"/>
        <w:rPr>
          <w:rFonts w:ascii="Times New Roman" w:hAnsi="Times New Roman" w:cs="Times New Roman"/>
          <w:b/>
          <w:szCs w:val="20"/>
          <w:lang w:val="lv-LV"/>
        </w:rPr>
      </w:pPr>
      <w:r w:rsidRPr="00832E00">
        <w:rPr>
          <w:rFonts w:ascii="Times New Roman" w:hAnsi="Times New Roman" w:cs="Times New Roman"/>
          <w:b/>
          <w:szCs w:val="20"/>
          <w:lang w:val="lv-LV"/>
        </w:rPr>
        <w:t>Līdz ar to procesa virzītājs un tiesa nodrošina operatīvās darbības pasākumu rezultātā iegūtās informācijas pieļaujamības pārbaudi. Savukārt ģenerālprokurors un viņa īpaši pilnvaroti prokurori, īstenojot uzraudzību pār operatīvās darbības atbilstību likumiem, kā arī tiesa, veicot šo pasākumu pēckontroli, nodrošina efektīvu personas tiesību aizsardzību.</w:t>
      </w:r>
    </w:p>
    <w:p w:rsidR="00AC6011" w:rsidRPr="00832E00" w:rsidRDefault="00AE622C" w:rsidP="00EA08F6">
      <w:pPr>
        <w:pStyle w:val="ECHRParaQuote"/>
        <w:rPr>
          <w:rFonts w:ascii="Times New Roman" w:hAnsi="Times New Roman" w:cs="Times New Roman"/>
          <w:b/>
          <w:szCs w:val="20"/>
          <w:lang w:val="lv-LV"/>
        </w:rPr>
      </w:pPr>
      <w:r w:rsidRPr="00832E00">
        <w:rPr>
          <w:rFonts w:ascii="Times New Roman" w:hAnsi="Times New Roman" w:cs="Times New Roman"/>
          <w:szCs w:val="20"/>
          <w:lang w:val="lv-LV"/>
        </w:rPr>
        <w:t>[..]</w:t>
      </w:r>
      <w:r w:rsidR="00AC6011" w:rsidRPr="00832E00">
        <w:rPr>
          <w:rFonts w:ascii="Times New Roman" w:hAnsi="Times New Roman" w:cs="Times New Roman"/>
          <w:szCs w:val="20"/>
          <w:lang w:val="lv-LV"/>
        </w:rPr>
        <w:t>”</w:t>
      </w:r>
    </w:p>
    <w:p w:rsidR="00832E00" w:rsidRPr="00832E00" w:rsidRDefault="00832E00" w:rsidP="00EA08F6">
      <w:pPr>
        <w:pStyle w:val="ECHRHeading1"/>
        <w:rPr>
          <w:lang w:val="lv-LV"/>
        </w:rPr>
      </w:pPr>
      <w:r w:rsidRPr="00832E00">
        <w:rPr>
          <w:lang w:val="lv-LV"/>
        </w:rPr>
        <w:t>II</w:t>
      </w:r>
      <w:r w:rsidR="00014566" w:rsidRPr="00832E00">
        <w:rPr>
          <w:lang w:val="lv-LV"/>
        </w:rPr>
        <w:t>  </w:t>
      </w:r>
      <w:r w:rsidRPr="00832E00">
        <w:rPr>
          <w:lang w:val="lv-LV"/>
        </w:rPr>
        <w:t>PIEMĒROJAMIE NACIONĀLIE TIESĪBU AKTI UN PRAKSE</w:t>
      </w:r>
    </w:p>
    <w:p w:rsidR="00B77B94" w:rsidRPr="00832E00" w:rsidRDefault="00B77B94" w:rsidP="00EA08F6">
      <w:pPr>
        <w:pStyle w:val="ECHRHeading2"/>
        <w:rPr>
          <w:lang w:val="lv-LV"/>
        </w:rPr>
      </w:pPr>
      <w:r w:rsidRPr="00832E00">
        <w:rPr>
          <w:lang w:val="lv-LV"/>
        </w:rPr>
        <w:t>A.  </w:t>
      </w:r>
      <w:r w:rsidR="00832E00" w:rsidRPr="00832E00">
        <w:rPr>
          <w:lang w:val="lv-LV"/>
        </w:rPr>
        <w:t>Satversme</w:t>
      </w:r>
    </w:p>
    <w:p w:rsidR="00832E00"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25</w:t>
      </w:r>
      <w:r w:rsidRPr="00832E00">
        <w:rPr>
          <w:noProof/>
          <w:lang w:val="lv-LV"/>
        </w:rPr>
        <w:fldChar w:fldCharType="end"/>
      </w:r>
      <w:r w:rsidR="00B77B94" w:rsidRPr="00832E00">
        <w:rPr>
          <w:lang w:val="lv-LV"/>
        </w:rPr>
        <w:t>.  </w:t>
      </w:r>
      <w:r w:rsidR="006627C6">
        <w:rPr>
          <w:lang w:val="lv-LV"/>
        </w:rPr>
        <w:t xml:space="preserve">Attiecīgie </w:t>
      </w:r>
      <w:r w:rsidR="00832E00">
        <w:rPr>
          <w:lang w:val="lv-LV"/>
        </w:rPr>
        <w:t>Satversmes pant</w:t>
      </w:r>
      <w:r w:rsidR="006627C6">
        <w:rPr>
          <w:lang w:val="lv-LV"/>
        </w:rPr>
        <w:t>i paredz sekojošo</w:t>
      </w:r>
      <w:r w:rsidR="00832E00">
        <w:rPr>
          <w:lang w:val="lv-LV"/>
        </w:rPr>
        <w:t>:</w:t>
      </w:r>
    </w:p>
    <w:p w:rsidR="004747C9" w:rsidRPr="00832E00" w:rsidRDefault="00832E00" w:rsidP="00EA08F6">
      <w:pPr>
        <w:pStyle w:val="ECHRTitleCentre3"/>
        <w:rPr>
          <w:lang w:val="lv-LV"/>
        </w:rPr>
      </w:pPr>
      <w:r>
        <w:rPr>
          <w:lang w:val="lv-LV"/>
        </w:rPr>
        <w:t>85. pants</w:t>
      </w:r>
    </w:p>
    <w:p w:rsidR="00832E00" w:rsidRDefault="004747C9" w:rsidP="00EA08F6">
      <w:pPr>
        <w:pStyle w:val="ECHRParaQuote"/>
        <w:rPr>
          <w:lang w:val="lv-LV"/>
        </w:rPr>
      </w:pPr>
      <w:r w:rsidRPr="00832E00">
        <w:rPr>
          <w:lang w:val="lv-LV"/>
        </w:rPr>
        <w:t>“</w:t>
      </w:r>
      <w:r w:rsidR="00832E00" w:rsidRPr="00832E00">
        <w:rPr>
          <w:lang w:val="lv-LV"/>
        </w:rPr>
        <w:t>Latvijā pastāv Satversmes tiesa, kas likumā noteiktās kompetences ietvaros izskata lietas par likumu atbilstību Satversmei, kā arī citas ar likumu tās kompetencē nodotās lietas. Satversmes tiesa ir tiesīga atzīt par spēkā neesošiem likumus un citus aktus vai to daļas.</w:t>
      </w:r>
      <w:r w:rsidR="00832E00">
        <w:rPr>
          <w:lang w:val="lv-LV"/>
        </w:rPr>
        <w:t xml:space="preserve"> [..]”</w:t>
      </w:r>
    </w:p>
    <w:p w:rsidR="00832E00" w:rsidRDefault="00832E00" w:rsidP="00EA08F6">
      <w:pPr>
        <w:pStyle w:val="ECHRParaQuote"/>
        <w:rPr>
          <w:lang w:val="lv-LV"/>
        </w:rPr>
      </w:pPr>
    </w:p>
    <w:p w:rsidR="004747C9" w:rsidRPr="00832E00" w:rsidRDefault="00832E00" w:rsidP="00EA08F6">
      <w:pPr>
        <w:pStyle w:val="ECHRTitleCentre3"/>
        <w:rPr>
          <w:lang w:val="lv-LV"/>
        </w:rPr>
      </w:pPr>
      <w:r>
        <w:rPr>
          <w:lang w:val="lv-LV"/>
        </w:rPr>
        <w:t>89. pants</w:t>
      </w:r>
    </w:p>
    <w:p w:rsidR="004747C9" w:rsidRPr="00832E00" w:rsidRDefault="004747C9" w:rsidP="00EA08F6">
      <w:pPr>
        <w:pStyle w:val="ECHRParaQuote"/>
        <w:rPr>
          <w:lang w:val="lv-LV"/>
        </w:rPr>
      </w:pPr>
      <w:r w:rsidRPr="00832E00">
        <w:rPr>
          <w:lang w:val="lv-LV"/>
        </w:rPr>
        <w:t>“</w:t>
      </w:r>
      <w:r w:rsidR="00832E00" w:rsidRPr="00832E00">
        <w:rPr>
          <w:lang w:val="lv-LV"/>
        </w:rPr>
        <w:t>Valsts atzīst un aizsargā cilvēka pamattiesības saskaņā ar šo Satversmi, likumiem un Latvijai saistošiem starptautiskajiem līgumiem.</w:t>
      </w:r>
      <w:r w:rsidRPr="00832E00">
        <w:rPr>
          <w:lang w:val="lv-LV"/>
        </w:rPr>
        <w:t>”</w:t>
      </w:r>
    </w:p>
    <w:p w:rsidR="004747C9" w:rsidRPr="00832E00" w:rsidRDefault="00832E00" w:rsidP="00EA08F6">
      <w:pPr>
        <w:pStyle w:val="ECHRTitleCentre3"/>
        <w:rPr>
          <w:lang w:val="lv-LV"/>
        </w:rPr>
      </w:pPr>
      <w:r>
        <w:rPr>
          <w:lang w:val="lv-LV"/>
        </w:rPr>
        <w:t>92. pants</w:t>
      </w:r>
    </w:p>
    <w:p w:rsidR="00832E00" w:rsidRDefault="004747C9" w:rsidP="00EA08F6">
      <w:pPr>
        <w:pStyle w:val="ECHRParaQuote"/>
        <w:rPr>
          <w:lang w:val="lv-LV" w:bidi="en-US"/>
        </w:rPr>
      </w:pPr>
      <w:r w:rsidRPr="00832E00">
        <w:rPr>
          <w:lang w:val="lv-LV" w:bidi="en-US"/>
        </w:rPr>
        <w:t>“</w:t>
      </w:r>
      <w:r w:rsidR="00832E00" w:rsidRPr="00832E00">
        <w:rPr>
          <w:lang w:val="lv-LV" w:bidi="en-US"/>
        </w:rPr>
        <w:t xml:space="preserve">Ikviens var aizstāvēt savas tiesības un likumiskās intereses taisnīgā tiesā. Ikviens uzskatāms par nevainīgu, iekams viņa vaina nav atzīta saskaņā ar likumu. Nepamatota </w:t>
      </w:r>
      <w:r w:rsidR="00832E00" w:rsidRPr="00832E00">
        <w:rPr>
          <w:lang w:val="lv-LV" w:bidi="en-US"/>
        </w:rPr>
        <w:lastRenderedPageBreak/>
        <w:t>tiesību aizskāruma gadījumā ikvienam ir tiesības uz atbilstīgu atlīdzinājumu. Ikvienam ir tiesības uz advokāta palīdzību</w:t>
      </w:r>
      <w:r w:rsidR="00832E00">
        <w:rPr>
          <w:lang w:val="lv-LV" w:bidi="en-US"/>
        </w:rPr>
        <w:t>.”</w:t>
      </w:r>
    </w:p>
    <w:p w:rsidR="00D22179" w:rsidRPr="00832E00" w:rsidRDefault="00832E00" w:rsidP="00EA08F6">
      <w:pPr>
        <w:pStyle w:val="ECHRTitleCentre3"/>
        <w:rPr>
          <w:lang w:val="lv-LV"/>
        </w:rPr>
      </w:pPr>
      <w:r>
        <w:rPr>
          <w:lang w:val="lv-LV"/>
        </w:rPr>
        <w:t>96. pants</w:t>
      </w:r>
    </w:p>
    <w:p w:rsidR="00832E00" w:rsidRDefault="00D22179" w:rsidP="00EA08F6">
      <w:pPr>
        <w:pStyle w:val="ECHRParaQuote"/>
        <w:rPr>
          <w:lang w:val="lv-LV" w:bidi="en-US"/>
        </w:rPr>
      </w:pPr>
      <w:r w:rsidRPr="00832E00">
        <w:rPr>
          <w:lang w:val="lv-LV" w:bidi="en-US"/>
        </w:rPr>
        <w:t>“</w:t>
      </w:r>
      <w:r w:rsidR="00832E00" w:rsidRPr="00832E00">
        <w:rPr>
          <w:lang w:val="lv-LV" w:bidi="en-US"/>
        </w:rPr>
        <w:t>Ikvienam ir tiesības uz privātās dzīves, mājokļa un korespondences neaizskaramību.</w:t>
      </w:r>
      <w:r w:rsidR="00832E00">
        <w:rPr>
          <w:lang w:val="lv-LV" w:bidi="en-US"/>
        </w:rPr>
        <w:t>”</w:t>
      </w:r>
    </w:p>
    <w:p w:rsidR="001B7C94" w:rsidRPr="00832E00" w:rsidRDefault="00832E00" w:rsidP="00EA08F6">
      <w:pPr>
        <w:pStyle w:val="ECHRTitleCentre3"/>
        <w:rPr>
          <w:lang w:val="lv-LV"/>
        </w:rPr>
      </w:pPr>
      <w:r>
        <w:rPr>
          <w:lang w:val="lv-LV"/>
        </w:rPr>
        <w:t>116. pants</w:t>
      </w:r>
    </w:p>
    <w:p w:rsidR="00832E00" w:rsidRDefault="001B7C94" w:rsidP="00EA08F6">
      <w:pPr>
        <w:pStyle w:val="ECHRParaQuote"/>
        <w:rPr>
          <w:lang w:val="lv-LV" w:bidi="en-US"/>
        </w:rPr>
      </w:pPr>
      <w:r w:rsidRPr="00832E00">
        <w:rPr>
          <w:lang w:val="lv-LV" w:bidi="en-US"/>
        </w:rPr>
        <w:t>“</w:t>
      </w:r>
      <w:r w:rsidR="00832E00" w:rsidRPr="00832E00">
        <w:rPr>
          <w:lang w:val="lv-LV" w:bidi="en-US"/>
        </w:rPr>
        <w:t>Personas tiesības, kas noteiktas Satversmes deviņdesmit sestajā</w:t>
      </w:r>
      <w:r w:rsidR="00832E00">
        <w:rPr>
          <w:lang w:val="lv-LV" w:bidi="en-US"/>
        </w:rPr>
        <w:t xml:space="preserve"> [..] </w:t>
      </w:r>
      <w:r w:rsidR="00832E00" w:rsidRPr="00832E00">
        <w:rPr>
          <w:lang w:val="lv-LV" w:bidi="en-US"/>
        </w:rPr>
        <w:t xml:space="preserve">pantā, var ierobežot likumā paredzētajos gadījumos, lai aizsargātu citu cilvēku tiesības, demokrātisko valsts iekārtu, sabiedrības drošību, labklājību un tikumību. </w:t>
      </w:r>
      <w:r w:rsidR="00832E00">
        <w:rPr>
          <w:lang w:val="lv-LV" w:bidi="en-US"/>
        </w:rPr>
        <w:t>[..]”</w:t>
      </w:r>
    </w:p>
    <w:p w:rsidR="00832E00" w:rsidRDefault="00B77B94" w:rsidP="00EA08F6">
      <w:pPr>
        <w:pStyle w:val="ECHRHeading2"/>
        <w:rPr>
          <w:lang w:val="lv-LV"/>
        </w:rPr>
      </w:pPr>
      <w:r w:rsidRPr="00832E00">
        <w:rPr>
          <w:lang w:val="lv-LV"/>
        </w:rPr>
        <w:t>B</w:t>
      </w:r>
      <w:r w:rsidR="00636BB3" w:rsidRPr="00832E00">
        <w:rPr>
          <w:lang w:val="lv-LV"/>
        </w:rPr>
        <w:t>.  </w:t>
      </w:r>
      <w:r w:rsidR="00832E00">
        <w:rPr>
          <w:lang w:val="lv-LV"/>
        </w:rPr>
        <w:t xml:space="preserve">Operatīvās darbības likums (kas bija spēkā attiecīgajā laikā atbilstoši grozījumiem, </w:t>
      </w:r>
      <w:r w:rsidR="00063A84">
        <w:rPr>
          <w:lang w:val="lv-LV"/>
        </w:rPr>
        <w:t>kuri</w:t>
      </w:r>
      <w:r w:rsidR="00832E00">
        <w:rPr>
          <w:lang w:val="lv-LV"/>
        </w:rPr>
        <w:t xml:space="preserve"> bija spēkā līdz 2009. gada 31. decembrim) </w:t>
      </w:r>
    </w:p>
    <w:p w:rsidR="00832E00"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26</w:t>
      </w:r>
      <w:r w:rsidRPr="00832E00">
        <w:rPr>
          <w:noProof/>
          <w:lang w:val="lv-LV"/>
        </w:rPr>
        <w:fldChar w:fldCharType="end"/>
      </w:r>
      <w:r w:rsidR="00014566" w:rsidRPr="00832E00">
        <w:rPr>
          <w:lang w:val="lv-LV"/>
        </w:rPr>
        <w:t>.  </w:t>
      </w:r>
      <w:bookmarkStart w:id="2" w:name="CourtsFunctionsODL"/>
      <w:bookmarkEnd w:id="2"/>
      <w:r w:rsidR="00832E00">
        <w:rPr>
          <w:lang w:val="lv-LV"/>
        </w:rPr>
        <w:t xml:space="preserve">Jēdziens </w:t>
      </w:r>
      <w:r w:rsidR="00063A84" w:rsidRPr="00832E00">
        <w:rPr>
          <w:lang w:val="lv-LV"/>
        </w:rPr>
        <w:t>“</w:t>
      </w:r>
      <w:r w:rsidR="00832E00">
        <w:rPr>
          <w:lang w:val="lv-LV"/>
        </w:rPr>
        <w:t>o</w:t>
      </w:r>
      <w:r w:rsidR="00832E00" w:rsidRPr="00832E00">
        <w:rPr>
          <w:lang w:val="lv-LV"/>
        </w:rPr>
        <w:t>peratīvā darbība</w:t>
      </w:r>
      <w:r w:rsidR="00832E00">
        <w:rPr>
          <w:lang w:val="lv-LV"/>
        </w:rPr>
        <w:t xml:space="preserve">” attiecas uz īpaši </w:t>
      </w:r>
      <w:r w:rsidR="00832E00" w:rsidRPr="00832E00">
        <w:rPr>
          <w:lang w:val="lv-LV"/>
        </w:rPr>
        <w:t xml:space="preserve">pilnvarotu valsts institūciju </w:t>
      </w:r>
      <w:r w:rsidR="00832E00">
        <w:rPr>
          <w:lang w:val="lv-LV"/>
        </w:rPr>
        <w:t>atklātām</w:t>
      </w:r>
      <w:r w:rsidR="00832E00" w:rsidRPr="00832E00">
        <w:rPr>
          <w:lang w:val="lv-LV"/>
        </w:rPr>
        <w:t xml:space="preserve"> un </w:t>
      </w:r>
      <w:r w:rsidR="00832E00">
        <w:rPr>
          <w:lang w:val="lv-LV"/>
        </w:rPr>
        <w:t>slepenām</w:t>
      </w:r>
      <w:r w:rsidR="00832E00" w:rsidRPr="00832E00">
        <w:rPr>
          <w:lang w:val="lv-LV"/>
        </w:rPr>
        <w:t xml:space="preserve"> </w:t>
      </w:r>
      <w:r w:rsidR="00832E00">
        <w:rPr>
          <w:lang w:val="lv-LV"/>
        </w:rPr>
        <w:t>darbībām</w:t>
      </w:r>
      <w:r w:rsidR="00832E00" w:rsidRPr="00832E00">
        <w:rPr>
          <w:lang w:val="lv-LV"/>
        </w:rPr>
        <w:t xml:space="preserve">, kuru mērķis ir aizsargāt </w:t>
      </w:r>
      <w:r w:rsidR="00AC6DDE">
        <w:rPr>
          <w:lang w:val="lv-LV"/>
        </w:rPr>
        <w:t>personas</w:t>
      </w:r>
      <w:r w:rsidR="00832E00" w:rsidRPr="00832E00">
        <w:rPr>
          <w:lang w:val="lv-LV"/>
        </w:rPr>
        <w:t>, valstisk</w:t>
      </w:r>
      <w:r w:rsidR="00AC6DDE">
        <w:rPr>
          <w:lang w:val="lv-LV"/>
        </w:rPr>
        <w:t>o</w:t>
      </w:r>
      <w:r w:rsidR="00832E00" w:rsidRPr="00832E00">
        <w:rPr>
          <w:lang w:val="lv-LV"/>
        </w:rPr>
        <w:t xml:space="preserve"> neatkarīb</w:t>
      </w:r>
      <w:r w:rsidR="00AC6DDE">
        <w:rPr>
          <w:lang w:val="lv-LV"/>
        </w:rPr>
        <w:t>u</w:t>
      </w:r>
      <w:r w:rsidR="00832E00" w:rsidRPr="00832E00">
        <w:rPr>
          <w:lang w:val="lv-LV"/>
        </w:rPr>
        <w:t xml:space="preserve"> un teritoriālo neaizskaramību,</w:t>
      </w:r>
      <w:r w:rsidR="00574BBA">
        <w:rPr>
          <w:lang w:val="lv-LV"/>
        </w:rPr>
        <w:t xml:space="preserve"> konstitucionālo sistēmu,</w:t>
      </w:r>
      <w:r w:rsidR="00832E00" w:rsidRPr="00832E00">
        <w:rPr>
          <w:lang w:val="lv-LV"/>
        </w:rPr>
        <w:t xml:space="preserve"> valsts ekonomisko</w:t>
      </w:r>
      <w:r w:rsidR="00574BBA">
        <w:rPr>
          <w:lang w:val="lv-LV"/>
        </w:rPr>
        <w:t xml:space="preserve"> un</w:t>
      </w:r>
      <w:r w:rsidR="00832E00" w:rsidRPr="00832E00">
        <w:rPr>
          <w:lang w:val="lv-LV"/>
        </w:rPr>
        <w:t xml:space="preserve"> zinātnisko potenciālu un valsts noslēpumus pret ārēj</w:t>
      </w:r>
      <w:r w:rsidR="00574BBA">
        <w:rPr>
          <w:lang w:val="lv-LV"/>
        </w:rPr>
        <w:t xml:space="preserve">iem un iekšējiem apdraudējumiem (1. pants). Operatīvās darbības uzdevums citu starpā ir </w:t>
      </w:r>
      <w:r w:rsidR="00574BBA" w:rsidRPr="00574BBA">
        <w:rPr>
          <w:lang w:val="lv-LV"/>
        </w:rPr>
        <w:t>noziedzīgu nodarījumu profilakse</w:t>
      </w:r>
      <w:r w:rsidR="00574BBA">
        <w:rPr>
          <w:lang w:val="lv-LV"/>
        </w:rPr>
        <w:t xml:space="preserve"> un </w:t>
      </w:r>
      <w:r w:rsidR="00574BBA" w:rsidRPr="00574BBA">
        <w:rPr>
          <w:lang w:val="lv-LV"/>
        </w:rPr>
        <w:t>novēršana, noziedzīgu nodarījumu izdarījušo personu un pierādījumu avotu noskaidrošana</w:t>
      </w:r>
      <w:r w:rsidR="00574BBA">
        <w:rPr>
          <w:lang w:val="lv-LV"/>
        </w:rPr>
        <w:t xml:space="preserve"> (2. pants).</w:t>
      </w:r>
      <w:r w:rsidR="00063A84">
        <w:rPr>
          <w:lang w:val="lv-LV"/>
        </w:rPr>
        <w:t xml:space="preserve"> </w:t>
      </w:r>
    </w:p>
    <w:p w:rsidR="00574BBA" w:rsidRDefault="00764EEB" w:rsidP="00EA08F6">
      <w:pPr>
        <w:pStyle w:val="ECHRPara"/>
        <w:rPr>
          <w:rFonts w:ascii="Times New Roman" w:hAnsi="Times New Roman" w:cs="Times New Roman"/>
          <w:color w:val="000000"/>
          <w:lang w:val="lv-LV"/>
        </w:rPr>
      </w:pPr>
      <w:r w:rsidRPr="00832E00">
        <w:rPr>
          <w:rFonts w:ascii="Times New Roman" w:hAnsi="Times New Roman" w:cs="Times New Roman"/>
          <w:color w:val="000000"/>
          <w:lang w:val="lv-LV"/>
        </w:rPr>
        <w:fldChar w:fldCharType="begin"/>
      </w:r>
      <w:r w:rsidRPr="00832E00">
        <w:rPr>
          <w:rFonts w:ascii="Times New Roman" w:hAnsi="Times New Roman" w:cs="Times New Roman"/>
          <w:color w:val="000000"/>
          <w:lang w:val="lv-LV"/>
        </w:rPr>
        <w:instrText xml:space="preserve"> SEQ level0 \*arabic </w:instrText>
      </w:r>
      <w:r w:rsidRPr="00832E00">
        <w:rPr>
          <w:rFonts w:ascii="Times New Roman" w:hAnsi="Times New Roman" w:cs="Times New Roman"/>
          <w:color w:val="000000"/>
          <w:lang w:val="lv-LV"/>
        </w:rPr>
        <w:fldChar w:fldCharType="separate"/>
      </w:r>
      <w:r w:rsidR="00DC5D38" w:rsidRPr="00832E00">
        <w:rPr>
          <w:rFonts w:ascii="Times New Roman" w:hAnsi="Times New Roman" w:cs="Times New Roman"/>
          <w:noProof/>
          <w:color w:val="000000"/>
          <w:lang w:val="lv-LV"/>
        </w:rPr>
        <w:t>27</w:t>
      </w:r>
      <w:r w:rsidRPr="00832E00">
        <w:rPr>
          <w:rFonts w:ascii="Times New Roman" w:hAnsi="Times New Roman" w:cs="Times New Roman"/>
          <w:color w:val="000000"/>
          <w:lang w:val="lv-LV"/>
        </w:rPr>
        <w:fldChar w:fldCharType="end"/>
      </w:r>
      <w:r w:rsidRPr="00832E00">
        <w:rPr>
          <w:rFonts w:ascii="Times New Roman" w:hAnsi="Times New Roman" w:cs="Times New Roman"/>
          <w:color w:val="000000"/>
          <w:lang w:val="lv-LV"/>
        </w:rPr>
        <w:t>.  </w:t>
      </w:r>
      <w:r w:rsidR="00574BBA">
        <w:rPr>
          <w:rFonts w:ascii="Times New Roman" w:hAnsi="Times New Roman" w:cs="Times New Roman"/>
          <w:color w:val="000000"/>
          <w:lang w:val="lv-LV"/>
        </w:rPr>
        <w:t xml:space="preserve">Attiecībā uz to, kad piemērojams Operatīvās darbības likums, 4. panta </w:t>
      </w:r>
      <w:r w:rsidR="00AC6DDE">
        <w:rPr>
          <w:rFonts w:ascii="Times New Roman" w:hAnsi="Times New Roman" w:cs="Times New Roman"/>
          <w:color w:val="000000"/>
          <w:lang w:val="lv-LV"/>
        </w:rPr>
        <w:t>ceturtajā</w:t>
      </w:r>
      <w:r w:rsidR="00574BBA">
        <w:rPr>
          <w:rFonts w:ascii="Times New Roman" w:hAnsi="Times New Roman" w:cs="Times New Roman"/>
          <w:color w:val="000000"/>
          <w:lang w:val="lv-LV"/>
        </w:rPr>
        <w:t xml:space="preserve"> daļā paskaidrots, ka operatīvās </w:t>
      </w:r>
      <w:r w:rsidR="00574BBA" w:rsidRPr="00574BBA">
        <w:rPr>
          <w:rFonts w:ascii="Times New Roman" w:hAnsi="Times New Roman" w:cs="Times New Roman"/>
          <w:color w:val="000000"/>
          <w:lang w:val="lv-LV"/>
        </w:rPr>
        <w:t xml:space="preserve">darbības pasākumi uzsākami tikai tad, ja </w:t>
      </w:r>
      <w:r w:rsidR="00574BBA">
        <w:rPr>
          <w:rFonts w:ascii="Times New Roman" w:hAnsi="Times New Roman" w:cs="Times New Roman"/>
          <w:color w:val="000000"/>
          <w:lang w:val="lv-LV"/>
        </w:rPr>
        <w:t xml:space="preserve">1. un </w:t>
      </w:r>
      <w:r w:rsidR="00574BBA" w:rsidRPr="00574BBA">
        <w:rPr>
          <w:rFonts w:ascii="Times New Roman" w:hAnsi="Times New Roman" w:cs="Times New Roman"/>
          <w:color w:val="000000"/>
          <w:lang w:val="lv-LV"/>
        </w:rPr>
        <w:t xml:space="preserve">2. pantā minēto </w:t>
      </w:r>
      <w:r w:rsidR="00574BBA">
        <w:rPr>
          <w:rFonts w:ascii="Times New Roman" w:hAnsi="Times New Roman" w:cs="Times New Roman"/>
          <w:color w:val="000000"/>
          <w:lang w:val="lv-LV"/>
        </w:rPr>
        <w:t xml:space="preserve">mērķu un uzdevumu </w:t>
      </w:r>
      <w:r w:rsidR="00574BBA" w:rsidRPr="00574BBA">
        <w:rPr>
          <w:rFonts w:ascii="Times New Roman" w:hAnsi="Times New Roman" w:cs="Times New Roman"/>
          <w:color w:val="000000"/>
          <w:lang w:val="lv-LV"/>
        </w:rPr>
        <w:t xml:space="preserve">izpilde citā veidā nav iespējama vai </w:t>
      </w:r>
      <w:r w:rsidR="00574BBA">
        <w:rPr>
          <w:rFonts w:ascii="Times New Roman" w:hAnsi="Times New Roman" w:cs="Times New Roman"/>
          <w:color w:val="000000"/>
          <w:lang w:val="lv-LV"/>
        </w:rPr>
        <w:t xml:space="preserve">šādu mērķu sasniegšana un uzdevumu izpildīšana </w:t>
      </w:r>
      <w:r w:rsidR="00574BBA" w:rsidRPr="00574BBA">
        <w:rPr>
          <w:rFonts w:ascii="Times New Roman" w:hAnsi="Times New Roman" w:cs="Times New Roman"/>
          <w:color w:val="000000"/>
          <w:lang w:val="lv-LV"/>
        </w:rPr>
        <w:t>ir būtiski apgrūtināta</w:t>
      </w:r>
      <w:r w:rsidR="00574BBA">
        <w:rPr>
          <w:rFonts w:ascii="Times New Roman" w:hAnsi="Times New Roman" w:cs="Times New Roman"/>
          <w:color w:val="000000"/>
          <w:lang w:val="lv-LV"/>
        </w:rPr>
        <w:t>.</w:t>
      </w:r>
    </w:p>
    <w:p w:rsidR="00324CAC" w:rsidRPr="00832E00"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28</w:t>
      </w:r>
      <w:r w:rsidRPr="00832E00">
        <w:rPr>
          <w:noProof/>
          <w:lang w:val="lv-LV"/>
        </w:rPr>
        <w:fldChar w:fldCharType="end"/>
      </w:r>
      <w:r w:rsidR="00636BB3" w:rsidRPr="00832E00">
        <w:rPr>
          <w:lang w:val="lv-LV"/>
        </w:rPr>
        <w:t>.  </w:t>
      </w:r>
      <w:r w:rsidR="00574BBA">
        <w:rPr>
          <w:lang w:val="lv-LV"/>
        </w:rPr>
        <w:t>5. pantā noteikts</w:t>
      </w:r>
      <w:r w:rsidR="003E4B6A" w:rsidRPr="00832E00">
        <w:rPr>
          <w:lang w:val="lv-LV"/>
        </w:rPr>
        <w:t>:</w:t>
      </w:r>
    </w:p>
    <w:p w:rsidR="00574BBA" w:rsidRDefault="00574BBA" w:rsidP="00EA08F6">
      <w:pPr>
        <w:pStyle w:val="ECHRTitleCentre3"/>
        <w:rPr>
          <w:rFonts w:eastAsiaTheme="minorHAnsi"/>
          <w:lang w:val="lv-LV"/>
        </w:rPr>
      </w:pPr>
      <w:r w:rsidRPr="00574BBA">
        <w:rPr>
          <w:rFonts w:eastAsiaTheme="minorHAnsi"/>
          <w:lang w:val="lv-LV"/>
        </w:rPr>
        <w:t>5. pants. Personas tiesību un brīvību aizsardzība</w:t>
      </w:r>
    </w:p>
    <w:p w:rsidR="00574BBA" w:rsidRDefault="00764EEB" w:rsidP="00EA08F6">
      <w:pPr>
        <w:pStyle w:val="ECHRParaQuote"/>
        <w:rPr>
          <w:rFonts w:eastAsiaTheme="minorHAnsi"/>
          <w:lang w:val="lv-LV"/>
        </w:rPr>
      </w:pPr>
      <w:r w:rsidRPr="00832E00">
        <w:rPr>
          <w:rFonts w:eastAsiaTheme="minorHAnsi"/>
          <w:lang w:val="lv-LV"/>
        </w:rPr>
        <w:t>“</w:t>
      </w:r>
      <w:r w:rsidR="00574BBA" w:rsidRPr="00574BBA">
        <w:rPr>
          <w:rFonts w:eastAsiaTheme="minorHAnsi"/>
          <w:lang w:val="lv-LV"/>
        </w:rPr>
        <w:t>Ja persona uzskata, ka operatīvās darbības subjekts ar savu rīcību ir pārkāpis tās likumīgās tiesības un brīvības, šī persona ir tiesīga iesniegt sūdzību prokuroram, kas, veicis pārbaudi, sniedz atzinumu par operatīvās darbības subjekta amatpersonu rīcības atbilstību likumam, vai arī tā var griezties ar prasību tiesā.</w:t>
      </w:r>
      <w:r w:rsidR="00574BBA">
        <w:rPr>
          <w:rFonts w:eastAsiaTheme="minorHAnsi"/>
          <w:lang w:val="lv-LV"/>
        </w:rPr>
        <w:t>”</w:t>
      </w:r>
    </w:p>
    <w:p w:rsidR="00574BBA" w:rsidRDefault="00574BBA" w:rsidP="00EA08F6">
      <w:pPr>
        <w:pStyle w:val="ECHRParaQuote"/>
        <w:rPr>
          <w:rFonts w:eastAsiaTheme="minorHAnsi"/>
          <w:lang w:val="lv-LV"/>
        </w:rPr>
      </w:pPr>
    </w:p>
    <w:p w:rsidR="00324CAC" w:rsidRPr="00832E00" w:rsidRDefault="00525DF7" w:rsidP="00574BBA">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29</w:t>
      </w:r>
      <w:r w:rsidRPr="00832E00">
        <w:rPr>
          <w:noProof/>
          <w:lang w:val="lv-LV"/>
        </w:rPr>
        <w:fldChar w:fldCharType="end"/>
      </w:r>
      <w:r w:rsidR="00636BB3" w:rsidRPr="00832E00">
        <w:rPr>
          <w:lang w:val="lv-LV"/>
        </w:rPr>
        <w:t>.  </w:t>
      </w:r>
      <w:r w:rsidR="00574BBA">
        <w:rPr>
          <w:lang w:val="lv-LV"/>
        </w:rPr>
        <w:t xml:space="preserve">7. panta </w:t>
      </w:r>
      <w:r w:rsidR="00546A34">
        <w:rPr>
          <w:lang w:val="lv-LV"/>
        </w:rPr>
        <w:t xml:space="preserve">piektajā </w:t>
      </w:r>
      <w:r w:rsidR="00574BBA">
        <w:rPr>
          <w:lang w:val="lv-LV"/>
        </w:rPr>
        <w:t>daļā noteikts:</w:t>
      </w:r>
    </w:p>
    <w:p w:rsidR="00574BBA" w:rsidRDefault="00764EEB" w:rsidP="00EA08F6">
      <w:pPr>
        <w:pStyle w:val="ECHRParaQuote"/>
        <w:rPr>
          <w:lang w:val="lv-LV"/>
        </w:rPr>
      </w:pPr>
      <w:r w:rsidRPr="00832E00">
        <w:rPr>
          <w:lang w:val="lv-LV"/>
        </w:rPr>
        <w:t>“</w:t>
      </w:r>
      <w:r w:rsidR="00574BBA" w:rsidRPr="00574BBA">
        <w:rPr>
          <w:lang w:val="lv-LV"/>
        </w:rPr>
        <w:t xml:space="preserve">Gadījumos, kad jārīkojas nekavējoties, lai novērstu terorismu, slepkavību, bandītismu, masu nekārtības, citu smagu vai sevišķi smagu noziegumu, kā arī tad, kad reāli ir apdraudēta personas dzīvība, veselība vai īpašums, šā panta ceturtajā daļā minētos operatīvās darbības pasākumus </w:t>
      </w:r>
      <w:r w:rsidR="008308CC">
        <w:rPr>
          <w:lang w:val="lv-LV"/>
        </w:rPr>
        <w:t>[</w:t>
      </w:r>
      <w:r w:rsidR="008308CC" w:rsidRPr="008308CC">
        <w:rPr>
          <w:lang w:val="lv-LV"/>
        </w:rPr>
        <w:t>korespondences kontrole, informācijas iegūšana no tehniskajiem līdzekļiem, nepublisku sarunu slepena noklausīšanās (arī pa tālruni, ar elektroniskajiem un cita veida sakaru līdzekļiem) un iekļūšana</w:t>
      </w:r>
      <w:r w:rsidR="008308CC">
        <w:rPr>
          <w:lang w:val="lv-LV"/>
        </w:rPr>
        <w:t xml:space="preserve"> telpās]</w:t>
      </w:r>
      <w:r w:rsidR="008308CC" w:rsidRPr="008308CC">
        <w:rPr>
          <w:lang w:val="lv-LV"/>
        </w:rPr>
        <w:t xml:space="preserve"> </w:t>
      </w:r>
      <w:r w:rsidR="00574BBA" w:rsidRPr="00574BBA">
        <w:rPr>
          <w:lang w:val="lv-LV"/>
        </w:rPr>
        <w:t xml:space="preserve">var veikt bez tiesneša akcepta. Par to 24 stundu laikā jāpaziņo prokuroram un 72 stundu </w:t>
      </w:r>
      <w:r w:rsidR="00574BBA" w:rsidRPr="00574BBA">
        <w:rPr>
          <w:lang w:val="lv-LV"/>
        </w:rPr>
        <w:lastRenderedPageBreak/>
        <w:t>laikā jāsaņem tiesneša akcepts. Pretējā gadījumā operatīvās darbības pasākumu veikšana ir jāpārtrauc.</w:t>
      </w:r>
    </w:p>
    <w:p w:rsidR="00324CAC" w:rsidRPr="00832E00"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30</w:t>
      </w:r>
      <w:r w:rsidRPr="00832E00">
        <w:rPr>
          <w:noProof/>
          <w:lang w:val="lv-LV"/>
        </w:rPr>
        <w:fldChar w:fldCharType="end"/>
      </w:r>
      <w:r w:rsidR="00636BB3" w:rsidRPr="00832E00">
        <w:rPr>
          <w:lang w:val="lv-LV"/>
        </w:rPr>
        <w:t>.  </w:t>
      </w:r>
      <w:r w:rsidR="008308CC">
        <w:rPr>
          <w:lang w:val="lv-LV"/>
        </w:rPr>
        <w:t>35. pantā noteikts</w:t>
      </w:r>
      <w:r w:rsidR="00636BB3" w:rsidRPr="00832E00">
        <w:rPr>
          <w:lang w:val="lv-LV"/>
        </w:rPr>
        <w:t>:</w:t>
      </w:r>
    </w:p>
    <w:p w:rsidR="008308CC" w:rsidRDefault="00636BB3" w:rsidP="00EA08F6">
      <w:pPr>
        <w:pStyle w:val="ECHRParaQuote"/>
        <w:rPr>
          <w:lang w:val="lv-LV"/>
        </w:rPr>
      </w:pPr>
      <w:r w:rsidRPr="00832E00">
        <w:rPr>
          <w:lang w:val="lv-LV"/>
        </w:rPr>
        <w:t>“</w:t>
      </w:r>
      <w:r w:rsidR="008308CC">
        <w:rPr>
          <w:lang w:val="lv-LV"/>
        </w:rPr>
        <w:t xml:space="preserve">(1) </w:t>
      </w:r>
      <w:r w:rsidR="008308CC" w:rsidRPr="008308CC">
        <w:rPr>
          <w:lang w:val="lv-LV"/>
        </w:rPr>
        <w:t xml:space="preserve">Uzraudzību pār operatīvās darbības atbilstību likumiem veic ģenerālprokurors un viņa īpaši pilnvaroti prokurori. Veicot uzraudzību, viņi ir tiesīgi iepazīties ar operatīvās darbības iestādes rīcībā esošajiem dokumentiem, materiāliem un informāciju jebkurā operatīvās darbības stadijā. Slepenā informācija un tās avoti atklājami vienīgi ģenerālprokuroram, bet viņa </w:t>
      </w:r>
      <w:r w:rsidR="008308CC">
        <w:rPr>
          <w:lang w:val="lv-LV"/>
        </w:rPr>
        <w:t xml:space="preserve">īpaši pilnvarotiem prokuroriem – </w:t>
      </w:r>
      <w:r w:rsidR="008308CC" w:rsidRPr="008308CC">
        <w:rPr>
          <w:lang w:val="lv-LV"/>
        </w:rPr>
        <w:t>tikai ar operatīvās darbības iestādes vadītāja atļauju.</w:t>
      </w:r>
    </w:p>
    <w:p w:rsidR="008308CC" w:rsidRDefault="008308CC" w:rsidP="00EA08F6">
      <w:pPr>
        <w:pStyle w:val="ECHRParaQuote"/>
        <w:rPr>
          <w:lang w:val="lv-LV"/>
        </w:rPr>
      </w:pPr>
      <w:r>
        <w:rPr>
          <w:lang w:val="lv-LV"/>
        </w:rPr>
        <w:t xml:space="preserve">(2) </w:t>
      </w:r>
      <w:r w:rsidRPr="008308CC">
        <w:rPr>
          <w:lang w:val="lv-LV"/>
        </w:rPr>
        <w:t>Lai pieņemtu lēmumu par šajā likumā minēto operatīvās darbības pasākumu, kura veikšanai ir nepieciešams tiesneša akcepts, tiesnesis ir tiesīgs iepazīties ar tiem operatīvās darbības iestādes rīcībā esošajiem dokumentiem, materiāliem un informāciju, ar ko tiek pamatota konkrētā operatīvās darbības pasākuma nepieciešamība</w:t>
      </w:r>
      <w:r w:rsidR="0043122E">
        <w:rPr>
          <w:lang w:val="lv-LV"/>
        </w:rPr>
        <w:t xml:space="preserve"> atbilstoši sevišķajam veidam</w:t>
      </w:r>
      <w:r w:rsidRPr="008308CC">
        <w:rPr>
          <w:lang w:val="lv-LV"/>
        </w:rPr>
        <w:t>. Slepenā informācija un tās avoti tiesnesim atklājami tikai ar operatīvās darbības iestādes vadītāja atļauju.</w:t>
      </w:r>
      <w:r>
        <w:rPr>
          <w:lang w:val="lv-LV"/>
        </w:rPr>
        <w:t>”</w:t>
      </w:r>
    </w:p>
    <w:p w:rsidR="00324CAC" w:rsidRDefault="00B77B94" w:rsidP="00EA08F6">
      <w:pPr>
        <w:pStyle w:val="ECHRHeading2"/>
        <w:rPr>
          <w:lang w:val="lv-LV"/>
        </w:rPr>
      </w:pPr>
      <w:r w:rsidRPr="00832E00">
        <w:rPr>
          <w:lang w:val="lv-LV"/>
        </w:rPr>
        <w:t>C</w:t>
      </w:r>
      <w:r w:rsidR="005F087F" w:rsidRPr="00832E00">
        <w:rPr>
          <w:lang w:val="lv-LV"/>
        </w:rPr>
        <w:t>.  </w:t>
      </w:r>
      <w:r w:rsidR="008308CC">
        <w:rPr>
          <w:lang w:val="lv-LV"/>
        </w:rPr>
        <w:t>Satversmes tiesas likums</w:t>
      </w:r>
    </w:p>
    <w:p w:rsidR="008308CC" w:rsidRPr="008308CC" w:rsidRDefault="008308CC" w:rsidP="008308CC">
      <w:pPr>
        <w:pStyle w:val="ECHRPara"/>
        <w:rPr>
          <w:lang w:val="lv-LV"/>
        </w:rPr>
      </w:pPr>
      <w:r>
        <w:rPr>
          <w:lang w:val="lv-LV"/>
        </w:rPr>
        <w:t>31. Satversmes tiesas likuma 16. pantā noteikts, ka tiesas kompetencē ietilpst tikai turpinājumā norādīto jautājumu izskatīšana:</w:t>
      </w:r>
    </w:p>
    <w:p w:rsidR="008308CC" w:rsidRDefault="00B07208" w:rsidP="00EA08F6">
      <w:pPr>
        <w:pStyle w:val="ECHRParaQuote"/>
        <w:rPr>
          <w:lang w:val="lv-LV"/>
        </w:rPr>
      </w:pPr>
      <w:r w:rsidRPr="00832E00">
        <w:rPr>
          <w:lang w:val="lv-LV"/>
        </w:rPr>
        <w:t>“</w:t>
      </w:r>
      <w:r w:rsidR="008308CC">
        <w:rPr>
          <w:lang w:val="lv-LV"/>
        </w:rPr>
        <w:t xml:space="preserve">(i) </w:t>
      </w:r>
      <w:r w:rsidR="008308CC" w:rsidRPr="008308CC">
        <w:rPr>
          <w:lang w:val="lv-LV"/>
        </w:rPr>
        <w:t>likumu atbilstīb</w:t>
      </w:r>
      <w:r w:rsidR="008308CC">
        <w:rPr>
          <w:lang w:val="lv-LV"/>
        </w:rPr>
        <w:t>a</w:t>
      </w:r>
      <w:r w:rsidR="008308CC" w:rsidRPr="008308CC">
        <w:rPr>
          <w:lang w:val="lv-LV"/>
        </w:rPr>
        <w:t xml:space="preserve"> Satversmei;</w:t>
      </w:r>
    </w:p>
    <w:p w:rsidR="008308CC" w:rsidRDefault="008308CC" w:rsidP="00EA08F6">
      <w:pPr>
        <w:pStyle w:val="ECHRParaQuote"/>
        <w:rPr>
          <w:lang w:val="lv-LV"/>
        </w:rPr>
      </w:pPr>
      <w:r>
        <w:rPr>
          <w:lang w:val="lv-LV"/>
        </w:rPr>
        <w:t>(</w:t>
      </w:r>
      <w:proofErr w:type="spellStart"/>
      <w:r>
        <w:rPr>
          <w:lang w:val="lv-LV"/>
        </w:rPr>
        <w:t>ii</w:t>
      </w:r>
      <w:proofErr w:type="spellEnd"/>
      <w:r>
        <w:rPr>
          <w:lang w:val="lv-LV"/>
        </w:rPr>
        <w:t xml:space="preserve">) </w:t>
      </w:r>
      <w:r w:rsidRPr="008308CC">
        <w:rPr>
          <w:lang w:val="lv-LV"/>
        </w:rPr>
        <w:t>Latvijas parakstīto vai noslēgto starptautisko līgumu (arī līdz attiecīgo līgumu apstiprināšanai Saeimā) atbilstīb</w:t>
      </w:r>
      <w:r>
        <w:rPr>
          <w:lang w:val="lv-LV"/>
        </w:rPr>
        <w:t>a</w:t>
      </w:r>
      <w:r w:rsidRPr="008308CC">
        <w:rPr>
          <w:lang w:val="lv-LV"/>
        </w:rPr>
        <w:t xml:space="preserve"> Satversmei;</w:t>
      </w:r>
    </w:p>
    <w:p w:rsidR="008308CC" w:rsidRDefault="008308CC" w:rsidP="00EA08F6">
      <w:pPr>
        <w:pStyle w:val="ECHRParaQuote"/>
        <w:rPr>
          <w:lang w:val="lv-LV"/>
        </w:rPr>
      </w:pPr>
      <w:r>
        <w:rPr>
          <w:lang w:val="lv-LV"/>
        </w:rPr>
        <w:t>(</w:t>
      </w:r>
      <w:proofErr w:type="spellStart"/>
      <w:r>
        <w:rPr>
          <w:lang w:val="lv-LV"/>
        </w:rPr>
        <w:t>iii</w:t>
      </w:r>
      <w:proofErr w:type="spellEnd"/>
      <w:r>
        <w:rPr>
          <w:lang w:val="lv-LV"/>
        </w:rPr>
        <w:t xml:space="preserve">) </w:t>
      </w:r>
      <w:r w:rsidRPr="008308CC">
        <w:rPr>
          <w:lang w:val="lv-LV"/>
        </w:rPr>
        <w:t>citu normatīvo aktu vai to daļu atbilstīb</w:t>
      </w:r>
      <w:r w:rsidR="0043122E">
        <w:rPr>
          <w:lang w:val="lv-LV"/>
        </w:rPr>
        <w:t>a</w:t>
      </w:r>
      <w:r w:rsidRPr="008308CC">
        <w:rPr>
          <w:lang w:val="lv-LV"/>
        </w:rPr>
        <w:t xml:space="preserve"> augstāka juridiska spēka tiesību normām (aktiem);</w:t>
      </w:r>
    </w:p>
    <w:p w:rsidR="008308CC" w:rsidRDefault="008308CC" w:rsidP="00EA08F6">
      <w:pPr>
        <w:pStyle w:val="ECHRParaQuote"/>
        <w:rPr>
          <w:lang w:val="lv-LV"/>
        </w:rPr>
      </w:pPr>
      <w:r>
        <w:rPr>
          <w:lang w:val="lv-LV"/>
        </w:rPr>
        <w:t>(</w:t>
      </w:r>
      <w:proofErr w:type="spellStart"/>
      <w:r>
        <w:rPr>
          <w:lang w:val="lv-LV"/>
        </w:rPr>
        <w:t>iv</w:t>
      </w:r>
      <w:proofErr w:type="spellEnd"/>
      <w:r>
        <w:rPr>
          <w:lang w:val="lv-LV"/>
        </w:rPr>
        <w:t xml:space="preserve">) </w:t>
      </w:r>
      <w:r w:rsidRPr="008308CC">
        <w:rPr>
          <w:lang w:val="lv-LV"/>
        </w:rPr>
        <w:t xml:space="preserve">citu Saeimas, Ministru kabineta, </w:t>
      </w:r>
      <w:r w:rsidR="0043122E">
        <w:rPr>
          <w:lang w:val="lv-LV"/>
        </w:rPr>
        <w:t>v</w:t>
      </w:r>
      <w:r w:rsidRPr="008308CC">
        <w:rPr>
          <w:lang w:val="lv-LV"/>
        </w:rPr>
        <w:t xml:space="preserve">alsts prezidenta, Saeimas priekšsēdētāja un </w:t>
      </w:r>
      <w:r w:rsidR="0043122E">
        <w:rPr>
          <w:lang w:val="lv-LV"/>
        </w:rPr>
        <w:t>m</w:t>
      </w:r>
      <w:r w:rsidRPr="008308CC">
        <w:rPr>
          <w:lang w:val="lv-LV"/>
        </w:rPr>
        <w:t>inistru prezidenta aktu, izņemot administratīvos aktus, atbilstīb</w:t>
      </w:r>
      <w:r w:rsidR="0043122E">
        <w:rPr>
          <w:lang w:val="lv-LV"/>
        </w:rPr>
        <w:t>a</w:t>
      </w:r>
      <w:r w:rsidRPr="008308CC">
        <w:rPr>
          <w:lang w:val="lv-LV"/>
        </w:rPr>
        <w:t xml:space="preserve"> likumam;</w:t>
      </w:r>
    </w:p>
    <w:p w:rsidR="00742C3B" w:rsidRDefault="00742C3B" w:rsidP="00EA08F6">
      <w:pPr>
        <w:pStyle w:val="ECHRParaQuote"/>
        <w:rPr>
          <w:lang w:val="lv-LV"/>
        </w:rPr>
      </w:pPr>
      <w:r>
        <w:rPr>
          <w:lang w:val="lv-LV"/>
        </w:rPr>
        <w:t xml:space="preserve">(v) </w:t>
      </w:r>
      <w:r w:rsidRPr="00742C3B">
        <w:rPr>
          <w:lang w:val="lv-LV"/>
        </w:rPr>
        <w:t>tāda rīkojuma atbilstīb</w:t>
      </w:r>
      <w:r w:rsidR="0043122E">
        <w:rPr>
          <w:lang w:val="lv-LV"/>
        </w:rPr>
        <w:t>a</w:t>
      </w:r>
      <w:r w:rsidRPr="00742C3B">
        <w:rPr>
          <w:lang w:val="lv-LV"/>
        </w:rPr>
        <w:t xml:space="preserve"> likumam, ar kuru Ministru kabineta pilnvarotais ministrs ir apturējis pašvaldības domes pieņemto lēmumu;</w:t>
      </w:r>
    </w:p>
    <w:p w:rsidR="008308CC" w:rsidRDefault="00742C3B" w:rsidP="00EA08F6">
      <w:pPr>
        <w:pStyle w:val="ECHRParaQuote"/>
        <w:rPr>
          <w:lang w:val="lv-LV"/>
        </w:rPr>
      </w:pPr>
      <w:r>
        <w:rPr>
          <w:lang w:val="lv-LV"/>
        </w:rPr>
        <w:t>(</w:t>
      </w:r>
      <w:proofErr w:type="spellStart"/>
      <w:r>
        <w:rPr>
          <w:lang w:val="lv-LV"/>
        </w:rPr>
        <w:t>vi</w:t>
      </w:r>
      <w:proofErr w:type="spellEnd"/>
      <w:r>
        <w:rPr>
          <w:lang w:val="lv-LV"/>
        </w:rPr>
        <w:t xml:space="preserve">) </w:t>
      </w:r>
      <w:r w:rsidRPr="00742C3B">
        <w:rPr>
          <w:lang w:val="lv-LV"/>
        </w:rPr>
        <w:t>Latvijas na</w:t>
      </w:r>
      <w:r w:rsidR="0043122E">
        <w:rPr>
          <w:lang w:val="lv-LV"/>
        </w:rPr>
        <w:t>cionālo tiesību normu atbilstība</w:t>
      </w:r>
      <w:r w:rsidRPr="00742C3B">
        <w:rPr>
          <w:lang w:val="lv-LV"/>
        </w:rPr>
        <w:t xml:space="preserve"> tiem Latvijas noslēgtajiem starptautiskajiem līgumiem, kuri nav pretrunā ar Satversmi.</w:t>
      </w:r>
      <w:r>
        <w:rPr>
          <w:lang w:val="lv-LV"/>
        </w:rPr>
        <w:t>”</w:t>
      </w:r>
    </w:p>
    <w:p w:rsidR="00742C3B"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32</w:t>
      </w:r>
      <w:r w:rsidRPr="00832E00">
        <w:rPr>
          <w:noProof/>
          <w:lang w:val="lv-LV"/>
        </w:rPr>
        <w:fldChar w:fldCharType="end"/>
      </w:r>
      <w:r w:rsidR="00B07208" w:rsidRPr="00832E00">
        <w:rPr>
          <w:lang w:val="lv-LV"/>
        </w:rPr>
        <w:t>.  </w:t>
      </w:r>
      <w:r w:rsidR="00742C3B">
        <w:rPr>
          <w:lang w:val="lv-LV"/>
        </w:rPr>
        <w:t>Satversmes tiesas likuma 17. pantā noteikts, ka Satversmes tiesā pieteikumu var iesniegt ikviena persona, kura uzskata, ka tās pamattiesības ir pārkāptas.</w:t>
      </w:r>
    </w:p>
    <w:p w:rsidR="00742C3B" w:rsidRDefault="00525DF7" w:rsidP="00EA08F6">
      <w:pPr>
        <w:pStyle w:val="ECHRPara"/>
        <w:rPr>
          <w:rFonts w:ascii="Times New Roman" w:hAnsi="Times New Roman" w:cs="Times New Roman"/>
          <w:szCs w:val="24"/>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33</w:t>
      </w:r>
      <w:r w:rsidRPr="00832E00">
        <w:rPr>
          <w:noProof/>
          <w:lang w:val="lv-LV"/>
        </w:rPr>
        <w:fldChar w:fldCharType="end"/>
      </w:r>
      <w:r w:rsidR="00B07208" w:rsidRPr="00832E00">
        <w:rPr>
          <w:lang w:val="lv-LV"/>
        </w:rPr>
        <w:t>.  </w:t>
      </w:r>
      <w:r w:rsidR="00742C3B">
        <w:rPr>
          <w:lang w:val="lv-LV"/>
        </w:rPr>
        <w:t>Satversmes tiesas</w:t>
      </w:r>
      <w:r w:rsidR="00B07208" w:rsidRPr="00832E00">
        <w:rPr>
          <w:lang w:val="lv-LV"/>
        </w:rPr>
        <w:t xml:space="preserve"> </w:t>
      </w:r>
      <w:r w:rsidR="001467DC">
        <w:rPr>
          <w:lang w:val="lv-LV"/>
        </w:rPr>
        <w:t xml:space="preserve">likuma </w:t>
      </w:r>
      <w:r w:rsidR="00B07208" w:rsidRPr="00832E00">
        <w:rPr>
          <w:lang w:val="lv-LV"/>
        </w:rPr>
        <w:t>19</w:t>
      </w:r>
      <w:r w:rsidR="00B07208" w:rsidRPr="00832E00">
        <w:rPr>
          <w:rFonts w:ascii="Times New Roman" w:hAnsi="Times New Roman" w:cs="Times New Roman"/>
          <w:szCs w:val="24"/>
          <w:vertAlign w:val="superscript"/>
          <w:lang w:val="lv-LV"/>
        </w:rPr>
        <w:t>2</w:t>
      </w:r>
      <w:r w:rsidR="00742C3B">
        <w:rPr>
          <w:rFonts w:ascii="Times New Roman" w:hAnsi="Times New Roman" w:cs="Times New Roman"/>
          <w:szCs w:val="24"/>
          <w:lang w:val="lv-LV"/>
        </w:rPr>
        <w:t>. pantā noteikts:</w:t>
      </w:r>
    </w:p>
    <w:p w:rsidR="00742C3B" w:rsidRDefault="00B07208" w:rsidP="00EA08F6">
      <w:pPr>
        <w:pStyle w:val="ECHRParaQuote"/>
        <w:rPr>
          <w:lang w:val="lv-LV"/>
        </w:rPr>
      </w:pPr>
      <w:r w:rsidRPr="00832E00">
        <w:rPr>
          <w:lang w:val="lv-LV"/>
        </w:rPr>
        <w:t xml:space="preserve">“(1) </w:t>
      </w:r>
      <w:r w:rsidR="00742C3B" w:rsidRPr="00742C3B">
        <w:rPr>
          <w:lang w:val="lv-LV"/>
        </w:rPr>
        <w:t>Konstitucionālo sūdzību (pieteikumu) Satversmes tiesai var iesniegt ikviena persona, kura uzskata, ka tai Satversmē noteiktās pamattiesības aizskar tiesību norma, kas neatbilst augstāka juridiska spēka tiesību normai.</w:t>
      </w:r>
    </w:p>
    <w:p w:rsidR="00742C3B" w:rsidRDefault="00742C3B" w:rsidP="00EA08F6">
      <w:pPr>
        <w:pStyle w:val="ECHRParaQuote"/>
        <w:rPr>
          <w:lang w:val="lv-LV"/>
        </w:rPr>
      </w:pPr>
      <w:r w:rsidRPr="00832E00">
        <w:rPr>
          <w:lang w:val="lv-LV"/>
        </w:rPr>
        <w:t xml:space="preserve"> </w:t>
      </w:r>
      <w:r w:rsidR="00B07208" w:rsidRPr="00832E00">
        <w:rPr>
          <w:lang w:val="lv-LV"/>
        </w:rPr>
        <w:t xml:space="preserve">(2) </w:t>
      </w:r>
      <w:r w:rsidRPr="00742C3B">
        <w:rPr>
          <w:lang w:val="lv-LV"/>
        </w:rPr>
        <w:t>Konstitucionālo sūdzību (pieteikumu) var iesniegt tikai tad, ja ir izmantotas visas iespējas aizstāvēt minētās tiesības ar vispārējiem tiesību aizsardzības līdzekļiem (sūdzība augstākai institūcijai, sūdzība vai prasības pieteikums vispārējās jurisdikcijas tiesai u.c.) vai arī tādu nav.</w:t>
      </w:r>
    </w:p>
    <w:p w:rsidR="00742C3B" w:rsidRDefault="00742C3B" w:rsidP="00EA08F6">
      <w:pPr>
        <w:pStyle w:val="ECHRParaQuote"/>
        <w:rPr>
          <w:lang w:val="lv-LV"/>
        </w:rPr>
      </w:pPr>
      <w:r w:rsidRPr="00832E00">
        <w:rPr>
          <w:lang w:val="lv-LV"/>
        </w:rPr>
        <w:t xml:space="preserve"> </w:t>
      </w:r>
      <w:r w:rsidR="00B07208" w:rsidRPr="00832E00">
        <w:rPr>
          <w:lang w:val="lv-LV"/>
        </w:rPr>
        <w:t xml:space="preserve">(3) </w:t>
      </w:r>
      <w:r w:rsidRPr="00742C3B">
        <w:rPr>
          <w:lang w:val="lv-LV"/>
        </w:rPr>
        <w:t xml:space="preserve">Ja konstitucionālās sūdzības (pieteikuma) izskatīšana ir vispārsvarīga vai ja tiesību aizsardzība ar vispārējiem tiesību aizsardzības līdzekļiem nevar novērst </w:t>
      </w:r>
      <w:r w:rsidRPr="00742C3B">
        <w:rPr>
          <w:lang w:val="lv-LV"/>
        </w:rPr>
        <w:lastRenderedPageBreak/>
        <w:t xml:space="preserve">būtisku kaitējumu sūdzības iesniedzējam, Satversmes tiesa var lemt par pieteikuma izskatīšanu, pirms ir izmantoti visi vispārējie tiesību aizsardzības līdzekļi. </w:t>
      </w:r>
    </w:p>
    <w:p w:rsidR="001467DC" w:rsidRDefault="001467DC" w:rsidP="00EA08F6">
      <w:pPr>
        <w:pStyle w:val="ECHRParaQuote"/>
        <w:rPr>
          <w:lang w:val="lv-LV"/>
        </w:rPr>
      </w:pPr>
      <w:r>
        <w:rPr>
          <w:lang w:val="lv-LV"/>
        </w:rPr>
        <w:t xml:space="preserve">(4) </w:t>
      </w:r>
      <w:r w:rsidRPr="001467DC">
        <w:rPr>
          <w:lang w:val="lv-LV"/>
        </w:rPr>
        <w:t xml:space="preserve">Konstitucionālo sūdzību (pieteikumu) var iesniegt sešu mēnešu laikā pēc pēdējās institūcijas nolēmuma spēkā stāšanās. </w:t>
      </w:r>
    </w:p>
    <w:p w:rsidR="001467DC" w:rsidRDefault="001467DC" w:rsidP="00EA08F6">
      <w:pPr>
        <w:pStyle w:val="ECHRParaQuote"/>
        <w:rPr>
          <w:lang w:val="lv-LV"/>
        </w:rPr>
      </w:pPr>
      <w:r w:rsidRPr="00832E00">
        <w:rPr>
          <w:lang w:val="lv-LV"/>
        </w:rPr>
        <w:t xml:space="preserve"> </w:t>
      </w:r>
      <w:r w:rsidR="00B07208" w:rsidRPr="00832E00">
        <w:rPr>
          <w:lang w:val="lv-LV"/>
        </w:rPr>
        <w:t xml:space="preserve">(5) </w:t>
      </w:r>
      <w:r w:rsidRPr="001467DC">
        <w:rPr>
          <w:lang w:val="lv-LV"/>
        </w:rPr>
        <w:t>Konstitucionālās sūdzības (pieteikuma) iesniegšana neaptur tiesas nolēmuma izpildi, izņemot gadījumus, kad Satversmes tiesa lēmusi citādi.</w:t>
      </w:r>
    </w:p>
    <w:p w:rsidR="001467DC" w:rsidRDefault="001467DC" w:rsidP="00EA08F6">
      <w:pPr>
        <w:pStyle w:val="ECHRParaQuote"/>
        <w:rPr>
          <w:lang w:val="lv-LV"/>
        </w:rPr>
      </w:pPr>
      <w:r w:rsidRPr="00832E00">
        <w:rPr>
          <w:lang w:val="lv-LV"/>
        </w:rPr>
        <w:t xml:space="preserve"> </w:t>
      </w:r>
      <w:r w:rsidR="00B07208" w:rsidRPr="00832E00">
        <w:rPr>
          <w:lang w:val="lv-LV"/>
        </w:rPr>
        <w:t>(6)</w:t>
      </w:r>
      <w:r>
        <w:rPr>
          <w:lang w:val="lv-LV"/>
        </w:rPr>
        <w:t xml:space="preserve"> </w:t>
      </w:r>
      <w:r w:rsidRPr="001467DC">
        <w:rPr>
          <w:lang w:val="lv-LV"/>
        </w:rPr>
        <w:t xml:space="preserve">Papildus šī likuma 18.panta pirmajā daļā noteiktajam pieteikuma saturam konstitucionālajā sūdzībā </w:t>
      </w:r>
      <w:r w:rsidR="00A71768">
        <w:rPr>
          <w:lang w:val="lv-LV"/>
        </w:rPr>
        <w:t xml:space="preserve">(pieteikumā) </w:t>
      </w:r>
      <w:r w:rsidRPr="001467DC">
        <w:rPr>
          <w:lang w:val="lv-LV"/>
        </w:rPr>
        <w:t>jāpamato, ka:</w:t>
      </w:r>
      <w:r w:rsidR="00B07208" w:rsidRPr="00832E00">
        <w:rPr>
          <w:lang w:val="lv-LV"/>
        </w:rPr>
        <w:t xml:space="preserve"> </w:t>
      </w:r>
    </w:p>
    <w:p w:rsidR="001467DC" w:rsidRDefault="00B07208" w:rsidP="00EA08F6">
      <w:pPr>
        <w:pStyle w:val="ECHRParaQuote"/>
        <w:rPr>
          <w:lang w:val="lv-LV"/>
        </w:rPr>
      </w:pPr>
      <w:r w:rsidRPr="00832E00">
        <w:rPr>
          <w:lang w:val="lv-LV"/>
        </w:rPr>
        <w:t>(i)</w:t>
      </w:r>
      <w:r w:rsidR="001467DC">
        <w:rPr>
          <w:lang w:val="lv-LV"/>
        </w:rPr>
        <w:t xml:space="preserve"> </w:t>
      </w:r>
      <w:r w:rsidR="001467DC" w:rsidRPr="001467DC">
        <w:rPr>
          <w:lang w:val="lv-LV"/>
        </w:rPr>
        <w:t>ir aizskartas Satversmē noteiktās pieteikuma iesniedzēja pamattiesības;</w:t>
      </w:r>
      <w:r w:rsidRPr="00832E00">
        <w:rPr>
          <w:lang w:val="lv-LV"/>
        </w:rPr>
        <w:t xml:space="preserve"> </w:t>
      </w:r>
    </w:p>
    <w:p w:rsidR="001467DC" w:rsidRDefault="00B07208" w:rsidP="00EA08F6">
      <w:pPr>
        <w:pStyle w:val="ECHRParaQuote"/>
        <w:rPr>
          <w:lang w:val="lv-LV"/>
        </w:rPr>
      </w:pPr>
      <w:r w:rsidRPr="00832E00">
        <w:rPr>
          <w:lang w:val="lv-LV"/>
        </w:rPr>
        <w:t>(</w:t>
      </w:r>
      <w:proofErr w:type="spellStart"/>
      <w:r w:rsidRPr="00832E00">
        <w:rPr>
          <w:lang w:val="lv-LV"/>
        </w:rPr>
        <w:t>ii</w:t>
      </w:r>
      <w:proofErr w:type="spellEnd"/>
      <w:r w:rsidRPr="00832E00">
        <w:rPr>
          <w:lang w:val="lv-LV"/>
        </w:rPr>
        <w:t xml:space="preserve">) </w:t>
      </w:r>
      <w:r w:rsidR="001467DC" w:rsidRPr="001467DC">
        <w:rPr>
          <w:lang w:val="lv-LV"/>
        </w:rPr>
        <w:t>ir izmantoti visi vispārējie tiesību aizsardzības līdzekļi vai arī tādu nav.</w:t>
      </w:r>
    </w:p>
    <w:p w:rsidR="001467DC" w:rsidRDefault="001467DC" w:rsidP="00EA08F6">
      <w:pPr>
        <w:pStyle w:val="ECHRParaQuote"/>
        <w:rPr>
          <w:lang w:val="lv-LV"/>
        </w:rPr>
      </w:pPr>
      <w:r w:rsidRPr="00832E00">
        <w:rPr>
          <w:lang w:val="lv-LV"/>
        </w:rPr>
        <w:t xml:space="preserve"> </w:t>
      </w:r>
      <w:r w:rsidR="00B07208" w:rsidRPr="00832E00">
        <w:rPr>
          <w:lang w:val="lv-LV"/>
        </w:rPr>
        <w:t xml:space="preserve">(7) </w:t>
      </w:r>
      <w:r w:rsidRPr="001467DC">
        <w:rPr>
          <w:lang w:val="lv-LV"/>
        </w:rPr>
        <w:t>Konstitucionālajai sūdzībai (pieteikumam) pievieno:</w:t>
      </w:r>
    </w:p>
    <w:p w:rsidR="001467DC" w:rsidRDefault="00B07208" w:rsidP="00EA08F6">
      <w:pPr>
        <w:pStyle w:val="ECHRParaQuote"/>
        <w:rPr>
          <w:lang w:val="lv-LV"/>
        </w:rPr>
      </w:pPr>
      <w:r w:rsidRPr="00832E00">
        <w:rPr>
          <w:lang w:val="lv-LV"/>
        </w:rPr>
        <w:t xml:space="preserve">(i) </w:t>
      </w:r>
      <w:r w:rsidR="001467DC" w:rsidRPr="001467DC">
        <w:rPr>
          <w:lang w:val="lv-LV"/>
        </w:rPr>
        <w:t>paskaidrojumus un dokumentus, kas nepieciešami lietas apstākļu noskaidrošanai;</w:t>
      </w:r>
    </w:p>
    <w:p w:rsidR="001467DC" w:rsidRDefault="00B07208" w:rsidP="00EA08F6">
      <w:pPr>
        <w:pStyle w:val="ECHRParaQuote"/>
        <w:rPr>
          <w:lang w:val="lv-LV"/>
        </w:rPr>
      </w:pPr>
      <w:r w:rsidRPr="00832E00">
        <w:rPr>
          <w:lang w:val="lv-LV"/>
        </w:rPr>
        <w:t>(</w:t>
      </w:r>
      <w:proofErr w:type="spellStart"/>
      <w:r w:rsidRPr="00832E00">
        <w:rPr>
          <w:lang w:val="lv-LV"/>
        </w:rPr>
        <w:t>ii</w:t>
      </w:r>
      <w:proofErr w:type="spellEnd"/>
      <w:r w:rsidRPr="00832E00">
        <w:rPr>
          <w:lang w:val="lv-LV"/>
        </w:rPr>
        <w:t xml:space="preserve">) </w:t>
      </w:r>
      <w:r w:rsidR="001467DC" w:rsidRPr="001467DC">
        <w:rPr>
          <w:lang w:val="lv-LV"/>
        </w:rPr>
        <w:t>dokumentus, kas apliecina, ka izmantoti visi vispārējie tiesību aizsardzības līdzekļi gadījumos, kad tādi ir.</w:t>
      </w:r>
      <w:r w:rsidR="001467DC">
        <w:rPr>
          <w:lang w:val="lv-LV"/>
        </w:rPr>
        <w:t>”</w:t>
      </w:r>
    </w:p>
    <w:p w:rsidR="001467DC"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34</w:t>
      </w:r>
      <w:r w:rsidRPr="00832E00">
        <w:rPr>
          <w:noProof/>
          <w:lang w:val="lv-LV"/>
        </w:rPr>
        <w:fldChar w:fldCharType="end"/>
      </w:r>
      <w:r w:rsidR="007812E2" w:rsidRPr="00832E00">
        <w:rPr>
          <w:lang w:val="lv-LV"/>
        </w:rPr>
        <w:t>.</w:t>
      </w:r>
      <w:r w:rsidR="001467DC">
        <w:rPr>
          <w:lang w:val="lv-LV"/>
        </w:rPr>
        <w:t xml:space="preserve"> 22. panta </w:t>
      </w:r>
      <w:r w:rsidR="00546A34">
        <w:rPr>
          <w:lang w:val="lv-LV"/>
        </w:rPr>
        <w:t xml:space="preserve">pirmajā </w:t>
      </w:r>
      <w:r w:rsidR="001467DC">
        <w:rPr>
          <w:lang w:val="lv-LV"/>
        </w:rPr>
        <w:t xml:space="preserve">daļā noteikts, ka Satversmes tiesas priekšsēdētājs </w:t>
      </w:r>
      <w:r w:rsidR="001467DC" w:rsidRPr="001467DC">
        <w:rPr>
          <w:lang w:val="lv-LV"/>
        </w:rPr>
        <w:t xml:space="preserve">uzdod vienam no tiesnešiem sagatavot </w:t>
      </w:r>
      <w:r w:rsidR="001467DC">
        <w:rPr>
          <w:lang w:val="lv-LV"/>
        </w:rPr>
        <w:t xml:space="preserve">lietu </w:t>
      </w:r>
      <w:r w:rsidR="001467DC" w:rsidRPr="001467DC">
        <w:rPr>
          <w:lang w:val="lv-LV"/>
        </w:rPr>
        <w:t>izskatīšanai.</w:t>
      </w:r>
      <w:r w:rsidR="007812E2" w:rsidRPr="00832E00">
        <w:rPr>
          <w:lang w:val="lv-LV"/>
        </w:rPr>
        <w:t>  </w:t>
      </w:r>
      <w:r w:rsidR="001467DC">
        <w:rPr>
          <w:lang w:val="lv-LV"/>
        </w:rPr>
        <w:t xml:space="preserve">Tiesneša pienākums ir pieņemt lēmumu, no kurām iestādēm vai amatpersonām pieprasīt papildu informāciju vai dokumentus, un noteikt pieaicinātās personas, lai tās izteiktu savu viedokli (22. panta </w:t>
      </w:r>
      <w:r w:rsidR="00546A34">
        <w:rPr>
          <w:lang w:val="lv-LV"/>
        </w:rPr>
        <w:t xml:space="preserve">otrā </w:t>
      </w:r>
      <w:r w:rsidR="001467DC">
        <w:rPr>
          <w:lang w:val="lv-LV"/>
        </w:rPr>
        <w:t xml:space="preserve">un </w:t>
      </w:r>
      <w:r w:rsidR="00546A34">
        <w:rPr>
          <w:lang w:val="lv-LV"/>
        </w:rPr>
        <w:t>trešā</w:t>
      </w:r>
      <w:r w:rsidR="001467DC">
        <w:rPr>
          <w:lang w:val="lv-LV"/>
        </w:rPr>
        <w:t xml:space="preserve"> daļa). </w:t>
      </w:r>
      <w:r w:rsidR="001467DC" w:rsidRPr="001467DC">
        <w:rPr>
          <w:lang w:val="lv-LV"/>
        </w:rPr>
        <w:t xml:space="preserve">Par pieaicināto personu ar tiesneša lēmumu var atzīt ikvienu personu, kuras viedokļa uzklausīšana var sekmēt vispusīgu </w:t>
      </w:r>
      <w:r w:rsidR="001467DC">
        <w:rPr>
          <w:lang w:val="lv-LV"/>
        </w:rPr>
        <w:t xml:space="preserve">un objektīvu lietas izskatīšanu (22. panta </w:t>
      </w:r>
      <w:r w:rsidR="00546A34">
        <w:rPr>
          <w:lang w:val="lv-LV"/>
        </w:rPr>
        <w:t xml:space="preserve">trešā </w:t>
      </w:r>
      <w:r w:rsidR="001467DC">
        <w:rPr>
          <w:lang w:val="lv-LV"/>
        </w:rPr>
        <w:t xml:space="preserve">daļa). </w:t>
      </w:r>
      <w:r w:rsidR="001467DC" w:rsidRPr="001467DC">
        <w:rPr>
          <w:lang w:val="lv-LV"/>
        </w:rPr>
        <w:t>Tiesnesis lietas sagatavošanu pabeidz, sagatavojot atzinumu</w:t>
      </w:r>
      <w:r w:rsidR="001467DC">
        <w:rPr>
          <w:lang w:val="lv-LV"/>
        </w:rPr>
        <w:t xml:space="preserve"> par lietas sagatavošanu izskatīšanai</w:t>
      </w:r>
      <w:r w:rsidR="001467DC" w:rsidRPr="001467DC">
        <w:rPr>
          <w:lang w:val="lv-LV"/>
        </w:rPr>
        <w:t xml:space="preserve">. Ja tiesnesis uzskata, ka lieta izskatāma rakstveida procesā, viņš atzinumā </w:t>
      </w:r>
      <w:r w:rsidR="00987995">
        <w:rPr>
          <w:lang w:val="lv-LV"/>
        </w:rPr>
        <w:t>par lietas sagatavošanu izskatīšanai</w:t>
      </w:r>
      <w:r w:rsidR="00987995" w:rsidRPr="001467DC">
        <w:rPr>
          <w:lang w:val="lv-LV"/>
        </w:rPr>
        <w:t xml:space="preserve"> </w:t>
      </w:r>
      <w:r w:rsidR="001467DC" w:rsidRPr="001467DC">
        <w:rPr>
          <w:lang w:val="lv-LV"/>
        </w:rPr>
        <w:t>ietver priekšlikumu par to</w:t>
      </w:r>
      <w:r w:rsidR="00987995">
        <w:rPr>
          <w:lang w:val="lv-LV"/>
        </w:rPr>
        <w:t xml:space="preserve"> (22. panta </w:t>
      </w:r>
      <w:r w:rsidR="00546A34">
        <w:rPr>
          <w:lang w:val="lv-LV"/>
        </w:rPr>
        <w:t>astotā</w:t>
      </w:r>
      <w:r w:rsidR="00987995">
        <w:rPr>
          <w:lang w:val="lv-LV"/>
        </w:rPr>
        <w:t xml:space="preserve"> daļa). </w:t>
      </w:r>
      <w:r w:rsidR="00987995" w:rsidRPr="00987995">
        <w:rPr>
          <w:lang w:val="lv-LV"/>
        </w:rPr>
        <w:t xml:space="preserve">Lietas sagatavošana noslēdzama ar Satversmes tiesas priekšsēdētāja lēmumu par lietas nodošanu izskatīšanai, tiesas sastāvu </w:t>
      </w:r>
      <w:r w:rsidR="00987995">
        <w:rPr>
          <w:lang w:val="lv-LV"/>
        </w:rPr>
        <w:t xml:space="preserve">un rīcības sēdes laiku un vietu (22. panta </w:t>
      </w:r>
      <w:r w:rsidR="00546A34">
        <w:rPr>
          <w:lang w:val="lv-LV"/>
        </w:rPr>
        <w:t xml:space="preserve">devītā </w:t>
      </w:r>
      <w:r w:rsidR="00987995">
        <w:rPr>
          <w:lang w:val="lv-LV"/>
        </w:rPr>
        <w:t xml:space="preserve">daļa). Viens no jautājumiem, kuru izskata rīcības sēdē, ir par to, vai lieta ir izskatāma rakstveida procesā (22. panta </w:t>
      </w:r>
      <w:r w:rsidR="00546A34">
        <w:rPr>
          <w:lang w:val="lv-LV"/>
        </w:rPr>
        <w:t>desmitās</w:t>
      </w:r>
      <w:r w:rsidR="00987995">
        <w:rPr>
          <w:lang w:val="lv-LV"/>
        </w:rPr>
        <w:t xml:space="preserve"> daļas 1. punkts). Visbeidzot, j</w:t>
      </w:r>
      <w:r w:rsidR="00987995" w:rsidRPr="00987995">
        <w:rPr>
          <w:lang w:val="lv-LV"/>
        </w:rPr>
        <w:t>a lietā noteikts rakstveida process, par to paziņo lietas dalībniekiem</w:t>
      </w:r>
      <w:r w:rsidR="00987995">
        <w:rPr>
          <w:lang w:val="lv-LV"/>
        </w:rPr>
        <w:t xml:space="preserve"> (22. panta </w:t>
      </w:r>
      <w:r w:rsidR="00546A34">
        <w:rPr>
          <w:lang w:val="lv-LV"/>
        </w:rPr>
        <w:t>trīspadsmitā</w:t>
      </w:r>
      <w:r w:rsidR="00987995">
        <w:rPr>
          <w:lang w:val="lv-LV"/>
        </w:rPr>
        <w:t xml:space="preserve"> daļa)</w:t>
      </w:r>
      <w:r w:rsidR="00987995" w:rsidRPr="00987995">
        <w:rPr>
          <w:lang w:val="lv-LV"/>
        </w:rPr>
        <w:t>.</w:t>
      </w:r>
    </w:p>
    <w:p w:rsidR="00987995"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35</w:t>
      </w:r>
      <w:r w:rsidRPr="00832E00">
        <w:rPr>
          <w:noProof/>
          <w:lang w:val="lv-LV"/>
        </w:rPr>
        <w:fldChar w:fldCharType="end"/>
      </w:r>
      <w:r w:rsidR="00A2372E" w:rsidRPr="00832E00">
        <w:rPr>
          <w:lang w:val="lv-LV"/>
        </w:rPr>
        <w:t>.  </w:t>
      </w:r>
      <w:r w:rsidR="00987995">
        <w:rPr>
          <w:lang w:val="lv-LV"/>
        </w:rPr>
        <w:t>Satversmes tiesas likuma 24. pantā noteikts:</w:t>
      </w:r>
    </w:p>
    <w:p w:rsidR="00987995" w:rsidRDefault="00A2372E" w:rsidP="00EA08F6">
      <w:pPr>
        <w:pStyle w:val="ECHRParaQuote"/>
        <w:rPr>
          <w:lang w:val="lv-LV"/>
        </w:rPr>
      </w:pPr>
      <w:r w:rsidRPr="00832E00">
        <w:rPr>
          <w:lang w:val="lv-LV"/>
        </w:rPr>
        <w:t>“</w:t>
      </w:r>
      <w:r w:rsidR="00987995" w:rsidRPr="00987995">
        <w:rPr>
          <w:lang w:val="lv-LV"/>
        </w:rPr>
        <w:t>Pēc tam, kad ir pieņemts lēmums par lietas nodošanu izs</w:t>
      </w:r>
      <w:r w:rsidR="00987995">
        <w:rPr>
          <w:lang w:val="lv-LV"/>
        </w:rPr>
        <w:t>katīšanai, lietas dalībniekiem –</w:t>
      </w:r>
      <w:r w:rsidR="00987995" w:rsidRPr="00987995">
        <w:rPr>
          <w:lang w:val="lv-LV"/>
        </w:rPr>
        <w:t xml:space="preserve"> pieteikuma iesniedzējam un institūcijai vai amatpersonai,</w:t>
      </w:r>
      <w:r w:rsidR="00987995">
        <w:rPr>
          <w:lang w:val="lv-LV"/>
        </w:rPr>
        <w:t xml:space="preserve"> kas izdevusi apstrīdēto aktu, –</w:t>
      </w:r>
      <w:r w:rsidR="00987995" w:rsidRPr="00987995">
        <w:rPr>
          <w:lang w:val="lv-LV"/>
        </w:rPr>
        <w:t xml:space="preserve"> ir tiesības iepazīties ar lietas materiāliem.</w:t>
      </w:r>
      <w:r w:rsidR="00987995">
        <w:rPr>
          <w:lang w:val="lv-LV"/>
        </w:rPr>
        <w:t>”</w:t>
      </w:r>
    </w:p>
    <w:p w:rsidR="00987995" w:rsidRDefault="00987995" w:rsidP="00EA08F6">
      <w:pPr>
        <w:pStyle w:val="ECHRParaQuote"/>
        <w:rPr>
          <w:lang w:val="lv-LV"/>
        </w:rPr>
      </w:pPr>
    </w:p>
    <w:p w:rsidR="00987995"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36</w:t>
      </w:r>
      <w:r w:rsidRPr="00832E00">
        <w:rPr>
          <w:noProof/>
          <w:lang w:val="lv-LV"/>
        </w:rPr>
        <w:fldChar w:fldCharType="end"/>
      </w:r>
      <w:r w:rsidR="005D705C" w:rsidRPr="00832E00">
        <w:rPr>
          <w:lang w:val="lv-LV"/>
        </w:rPr>
        <w:t>. </w:t>
      </w:r>
      <w:r w:rsidR="00987995">
        <w:rPr>
          <w:lang w:val="lv-LV"/>
        </w:rPr>
        <w:t>Satversmes tiesas likuma 28.</w:t>
      </w:r>
      <w:r w:rsidR="00987995" w:rsidRPr="00987995">
        <w:rPr>
          <w:vertAlign w:val="superscript"/>
          <w:lang w:val="lv-LV"/>
        </w:rPr>
        <w:t>1</w:t>
      </w:r>
      <w:r w:rsidR="00987995">
        <w:rPr>
          <w:lang w:val="lv-LV"/>
        </w:rPr>
        <w:t xml:space="preserve"> pantā </w:t>
      </w:r>
      <w:r w:rsidR="005D705C" w:rsidRPr="00832E00">
        <w:rPr>
          <w:lang w:val="lv-LV"/>
        </w:rPr>
        <w:t> </w:t>
      </w:r>
      <w:r w:rsidR="00987995">
        <w:rPr>
          <w:lang w:val="lv-LV"/>
        </w:rPr>
        <w:t>(atbilstoši grozījumiem, kas bija spēkā līdz 2011. gada 30. jūnijam) noteikts:</w:t>
      </w:r>
    </w:p>
    <w:p w:rsidR="0080211E" w:rsidRPr="00832E00" w:rsidRDefault="0080211E" w:rsidP="00EA08F6">
      <w:pPr>
        <w:pStyle w:val="ECHRTitleCentre3"/>
        <w:rPr>
          <w:lang w:val="lv-LV"/>
        </w:rPr>
      </w:pPr>
      <w:r w:rsidRPr="00832E00">
        <w:rPr>
          <w:lang w:val="lv-LV"/>
        </w:rPr>
        <w:t>28</w:t>
      </w:r>
      <w:r w:rsidR="00987995">
        <w:rPr>
          <w:lang w:val="lv-LV"/>
        </w:rPr>
        <w:t>.</w:t>
      </w:r>
      <w:r w:rsidRPr="00832E00">
        <w:rPr>
          <w:vertAlign w:val="superscript"/>
          <w:lang w:val="lv-LV"/>
        </w:rPr>
        <w:t>1</w:t>
      </w:r>
      <w:r w:rsidR="00987995">
        <w:rPr>
          <w:vertAlign w:val="superscript"/>
          <w:lang w:val="lv-LV"/>
        </w:rPr>
        <w:t xml:space="preserve"> </w:t>
      </w:r>
      <w:r w:rsidR="00987995">
        <w:rPr>
          <w:lang w:val="lv-LV"/>
        </w:rPr>
        <w:t>pants. Rakstveida process</w:t>
      </w:r>
    </w:p>
    <w:p w:rsidR="00987995" w:rsidRDefault="00987995" w:rsidP="00EA08F6">
      <w:pPr>
        <w:pStyle w:val="ECHRParaQuote"/>
        <w:rPr>
          <w:lang w:val="lv-LV"/>
        </w:rPr>
      </w:pPr>
    </w:p>
    <w:p w:rsidR="00987995" w:rsidRDefault="00987995" w:rsidP="00EA08F6">
      <w:pPr>
        <w:pStyle w:val="ECHRParaQuote"/>
        <w:rPr>
          <w:lang w:val="lv-LV"/>
        </w:rPr>
      </w:pPr>
    </w:p>
    <w:p w:rsidR="00987995" w:rsidRDefault="00987995" w:rsidP="00EA08F6">
      <w:pPr>
        <w:pStyle w:val="ECHRParaQuote"/>
        <w:rPr>
          <w:lang w:val="lv-LV"/>
        </w:rPr>
      </w:pPr>
      <w:r w:rsidRPr="00832E00">
        <w:rPr>
          <w:lang w:val="lv-LV"/>
        </w:rPr>
        <w:lastRenderedPageBreak/>
        <w:t>“</w:t>
      </w:r>
      <w:r w:rsidR="0080211E" w:rsidRPr="00832E00">
        <w:rPr>
          <w:lang w:val="lv-LV"/>
        </w:rPr>
        <w:t xml:space="preserve">(1) </w:t>
      </w:r>
      <w:r w:rsidRPr="00987995">
        <w:rPr>
          <w:lang w:val="lv-LV"/>
        </w:rPr>
        <w:t>Gadījumos, kad lietai pievienotie dokumenti ir pietiekami, lai izspriestu lietu rakstveida procesā, tiesas sēdi ar lietas dalībnieku piedalīšanos var nerīkot. Lietas izspriešanu rakstveida procesā nosaka šā likuma 22.panta desmitajā daļā noteiktajā kārtībā.</w:t>
      </w:r>
    </w:p>
    <w:p w:rsidR="00987995" w:rsidRDefault="00987995" w:rsidP="00EA08F6">
      <w:pPr>
        <w:pStyle w:val="ECHRParaQuote"/>
        <w:rPr>
          <w:lang w:val="lv-LV"/>
        </w:rPr>
      </w:pPr>
      <w:r w:rsidRPr="00832E00">
        <w:rPr>
          <w:lang w:val="lv-LV"/>
        </w:rPr>
        <w:t xml:space="preserve"> </w:t>
      </w:r>
      <w:r w:rsidR="0080211E" w:rsidRPr="00832E00">
        <w:rPr>
          <w:lang w:val="lv-LV"/>
        </w:rPr>
        <w:t xml:space="preserve">(2) </w:t>
      </w:r>
      <w:r w:rsidRPr="00987995">
        <w:rPr>
          <w:lang w:val="lv-LV"/>
        </w:rPr>
        <w:t>Piecpadsmit dienu laikā pēc tam, kad saņemts paziņojums par lietas izskatīšanu rakstveida procesā, lietas dalībniekiem ir tiesības iepazīties ar lietas materiāliem un rakstveidā izteikt savu viedokli par tiem.</w:t>
      </w:r>
    </w:p>
    <w:p w:rsidR="00987995" w:rsidRDefault="00987995" w:rsidP="00EA08F6">
      <w:pPr>
        <w:pStyle w:val="ECHRParaQuote"/>
        <w:rPr>
          <w:lang w:val="lv-LV"/>
        </w:rPr>
      </w:pPr>
      <w:r w:rsidRPr="00832E00">
        <w:rPr>
          <w:lang w:val="lv-LV"/>
        </w:rPr>
        <w:t xml:space="preserve"> </w:t>
      </w:r>
      <w:r w:rsidR="0080211E" w:rsidRPr="00832E00">
        <w:rPr>
          <w:lang w:val="lv-LV"/>
        </w:rPr>
        <w:t xml:space="preserve">(3) </w:t>
      </w:r>
      <w:r w:rsidRPr="00987995">
        <w:rPr>
          <w:lang w:val="lv-LV"/>
        </w:rPr>
        <w:t>Lietu rakstveida procesā izskata un spriedumu taisa apspriežu istabā.</w:t>
      </w:r>
      <w:r>
        <w:rPr>
          <w:lang w:val="lv-LV"/>
        </w:rPr>
        <w:t>”</w:t>
      </w:r>
    </w:p>
    <w:p w:rsidR="00987995" w:rsidRDefault="00987995" w:rsidP="00EA08F6">
      <w:pPr>
        <w:pStyle w:val="ECHRParaQuote"/>
        <w:rPr>
          <w:lang w:val="lv-LV"/>
        </w:rPr>
      </w:pPr>
    </w:p>
    <w:p w:rsidR="00987995"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37</w:t>
      </w:r>
      <w:r w:rsidRPr="00832E00">
        <w:rPr>
          <w:noProof/>
          <w:lang w:val="lv-LV"/>
        </w:rPr>
        <w:fldChar w:fldCharType="end"/>
      </w:r>
      <w:r w:rsidR="00B07208" w:rsidRPr="00832E00">
        <w:rPr>
          <w:lang w:val="lv-LV"/>
        </w:rPr>
        <w:t>.  </w:t>
      </w:r>
      <w:r w:rsidR="00987995">
        <w:rPr>
          <w:lang w:val="lv-LV"/>
        </w:rPr>
        <w:t>Satversmes tiesas likuma 32. pantā noteikts:</w:t>
      </w:r>
    </w:p>
    <w:p w:rsidR="00987995" w:rsidRDefault="00B07208" w:rsidP="00EA08F6">
      <w:pPr>
        <w:pStyle w:val="ECHRParaQuote"/>
        <w:rPr>
          <w:lang w:val="lv-LV"/>
        </w:rPr>
      </w:pPr>
      <w:r w:rsidRPr="00832E00">
        <w:rPr>
          <w:lang w:val="lv-LV"/>
        </w:rPr>
        <w:t>“(1) </w:t>
      </w:r>
      <w:r w:rsidR="00987995" w:rsidRPr="00987995">
        <w:rPr>
          <w:lang w:val="lv-LV"/>
        </w:rPr>
        <w:t>Satversmes tiesas spriedums ir galīgs. Tas stājas spēkā pasludināšanas brīdī.</w:t>
      </w:r>
    </w:p>
    <w:p w:rsidR="00987995" w:rsidRDefault="00987995" w:rsidP="00EA08F6">
      <w:pPr>
        <w:pStyle w:val="ECHRParaQuote"/>
        <w:rPr>
          <w:lang w:val="lv-LV"/>
        </w:rPr>
      </w:pPr>
      <w:r w:rsidRPr="00832E00">
        <w:rPr>
          <w:lang w:val="lv-LV"/>
        </w:rPr>
        <w:t xml:space="preserve"> </w:t>
      </w:r>
      <w:r w:rsidR="00B07208" w:rsidRPr="00832E00">
        <w:rPr>
          <w:lang w:val="lv-LV"/>
        </w:rPr>
        <w:t>(2)  </w:t>
      </w:r>
      <w:r w:rsidRPr="00987995">
        <w:rPr>
          <w:lang w:val="lv-LV"/>
        </w:rPr>
        <w:t xml:space="preserve">Satversmes tiesas spriedums </w:t>
      </w:r>
      <w:r w:rsidR="00657183">
        <w:rPr>
          <w:lang w:val="lv-LV"/>
        </w:rPr>
        <w:t>ir obligāts</w:t>
      </w:r>
      <w:r w:rsidRPr="00987995">
        <w:rPr>
          <w:lang w:val="lv-LV"/>
        </w:rPr>
        <w:t xml:space="preserve"> visām valsts un pašvaldību institūcijām un </w:t>
      </w:r>
      <w:r w:rsidR="00657183">
        <w:rPr>
          <w:lang w:val="lv-LV"/>
        </w:rPr>
        <w:t xml:space="preserve">iestādēm </w:t>
      </w:r>
      <w:r w:rsidR="00657183" w:rsidRPr="00987995">
        <w:rPr>
          <w:lang w:val="lv-LV"/>
        </w:rPr>
        <w:t>(arī tiesām)</w:t>
      </w:r>
      <w:r w:rsidRPr="00987995">
        <w:rPr>
          <w:lang w:val="lv-LV"/>
        </w:rPr>
        <w:t>, kā arī fiziskajām un juridiskajām personām.</w:t>
      </w:r>
    </w:p>
    <w:p w:rsidR="00657183" w:rsidRDefault="00657183" w:rsidP="00EA08F6">
      <w:pPr>
        <w:pStyle w:val="ECHRParaQuote"/>
        <w:rPr>
          <w:lang w:val="lv-LV"/>
        </w:rPr>
      </w:pPr>
      <w:r w:rsidRPr="00832E00">
        <w:rPr>
          <w:lang w:val="lv-LV"/>
        </w:rPr>
        <w:t xml:space="preserve"> </w:t>
      </w:r>
      <w:r w:rsidR="00B07208" w:rsidRPr="00832E00">
        <w:rPr>
          <w:lang w:val="lv-LV"/>
        </w:rPr>
        <w:t>(3)  </w:t>
      </w:r>
      <w:r w:rsidRPr="00657183">
        <w:rPr>
          <w:lang w:val="lv-LV"/>
        </w:rPr>
        <w:t>Tiesību norma (akts), kuru Satversmes tiesa atzinusi par neatbilstošu augstāka juridiska spēka tiesību normai, uzskatāma par spēkā neesošu no Satversmes tiesas sprieduma publicēšanas dienas, ja Satversmes tiesa nav noteikusi citādi.</w:t>
      </w:r>
    </w:p>
    <w:p w:rsidR="00657183" w:rsidRDefault="00657183" w:rsidP="00EA08F6">
      <w:pPr>
        <w:pStyle w:val="ECHRParaQuote"/>
        <w:rPr>
          <w:lang w:val="lv-LV"/>
        </w:rPr>
      </w:pPr>
      <w:r w:rsidRPr="00832E00">
        <w:rPr>
          <w:lang w:val="lv-LV"/>
        </w:rPr>
        <w:t xml:space="preserve"> </w:t>
      </w:r>
      <w:r w:rsidR="00B07208" w:rsidRPr="00832E00">
        <w:rPr>
          <w:lang w:val="lv-LV"/>
        </w:rPr>
        <w:t>(4)  </w:t>
      </w:r>
      <w:r w:rsidRPr="00657183">
        <w:rPr>
          <w:lang w:val="lv-LV"/>
        </w:rPr>
        <w:t>Ja Satversmes tiesa par neatbilstošu Satversmei atzinusi kādu Latvijas parakstīto vai noslēgto starptautisko līgumu, Ministru kabinetam ir pienākums nekavējoties gādāt par grozījumiem šajā līgumā, šā līguma denonsēšanu, tā darbības apturēšanu vai pievienošanās atsaukšanu.</w:t>
      </w:r>
      <w:r>
        <w:rPr>
          <w:lang w:val="lv-LV"/>
        </w:rPr>
        <w:t>”</w:t>
      </w:r>
    </w:p>
    <w:p w:rsidR="00657183"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38</w:t>
      </w:r>
      <w:r w:rsidRPr="00832E00">
        <w:rPr>
          <w:noProof/>
          <w:lang w:val="lv-LV"/>
        </w:rPr>
        <w:fldChar w:fldCharType="end"/>
      </w:r>
      <w:r w:rsidR="00147277" w:rsidRPr="00832E00">
        <w:rPr>
          <w:lang w:val="lv-LV"/>
        </w:rPr>
        <w:t>.  </w:t>
      </w:r>
      <w:r w:rsidR="00657183">
        <w:rPr>
          <w:lang w:val="lv-LV"/>
        </w:rPr>
        <w:t xml:space="preserve">Satversmes tiesas likuma 32. panta </w:t>
      </w:r>
      <w:r w:rsidR="00546A34">
        <w:rPr>
          <w:lang w:val="lv-LV"/>
        </w:rPr>
        <w:t xml:space="preserve">otrā </w:t>
      </w:r>
      <w:r w:rsidR="00657183">
        <w:rPr>
          <w:lang w:val="lv-LV"/>
        </w:rPr>
        <w:t xml:space="preserve">daļa tika grozīta, lai noteiktu, ka </w:t>
      </w:r>
      <w:r w:rsidR="007935AB">
        <w:rPr>
          <w:lang w:val="lv-LV"/>
        </w:rPr>
        <w:t>obligāta</w:t>
      </w:r>
      <w:r w:rsidR="00657183">
        <w:rPr>
          <w:lang w:val="lv-LV"/>
        </w:rPr>
        <w:t xml:space="preserve"> ir arī Satversmes tiesas attiecīgās tiesību normas interpretācija. Grozījumi stāj</w:t>
      </w:r>
      <w:r w:rsidR="007935AB">
        <w:rPr>
          <w:lang w:val="lv-LV"/>
        </w:rPr>
        <w:t>ās sp</w:t>
      </w:r>
      <w:r w:rsidR="00657183">
        <w:rPr>
          <w:lang w:val="lv-LV"/>
        </w:rPr>
        <w:t xml:space="preserve">ēkā 2010. gada 1. janvārī. </w:t>
      </w:r>
    </w:p>
    <w:p w:rsidR="00014566" w:rsidRPr="00832E00" w:rsidRDefault="007935AB" w:rsidP="00EA08F6">
      <w:pPr>
        <w:pStyle w:val="ECHRTitle1"/>
        <w:rPr>
          <w:lang w:val="lv-LV"/>
        </w:rPr>
      </w:pPr>
      <w:r>
        <w:rPr>
          <w:lang w:val="lv-LV"/>
        </w:rPr>
        <w:t>JURIDISKAIS ASPEKTS</w:t>
      </w:r>
    </w:p>
    <w:p w:rsidR="007935AB" w:rsidRDefault="007935AB" w:rsidP="00EA08F6">
      <w:pPr>
        <w:pStyle w:val="ECHRHeading1"/>
        <w:rPr>
          <w:lang w:val="lv-LV"/>
        </w:rPr>
      </w:pPr>
      <w:r>
        <w:rPr>
          <w:lang w:val="lv-LV"/>
        </w:rPr>
        <w:t>I</w:t>
      </w:r>
      <w:r w:rsidR="000D775F">
        <w:rPr>
          <w:lang w:val="lv-LV"/>
        </w:rPr>
        <w:t>.</w:t>
      </w:r>
      <w:r>
        <w:rPr>
          <w:lang w:val="lv-LV"/>
        </w:rPr>
        <w:t xml:space="preserve"> IESPĒJAMAIS KONVENCIJAS 6. PANTA PĀRKĀPUMS</w:t>
      </w:r>
      <w:r w:rsidR="00014566" w:rsidRPr="00832E00">
        <w:rPr>
          <w:lang w:val="lv-LV"/>
        </w:rPr>
        <w:t> </w:t>
      </w:r>
    </w:p>
    <w:p w:rsidR="007935AB"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39</w:t>
      </w:r>
      <w:r w:rsidRPr="00832E00">
        <w:rPr>
          <w:noProof/>
          <w:lang w:val="lv-LV"/>
        </w:rPr>
        <w:fldChar w:fldCharType="end"/>
      </w:r>
      <w:r w:rsidR="00014566" w:rsidRPr="00832E00">
        <w:rPr>
          <w:lang w:val="lv-LV"/>
        </w:rPr>
        <w:t>.  </w:t>
      </w:r>
      <w:r w:rsidR="007935AB">
        <w:rPr>
          <w:lang w:val="lv-LV"/>
        </w:rPr>
        <w:t xml:space="preserve">Iesniedzējs sūdzējās, ka tiesvedība Satversmes tiesā nav notikusi atklāti un viņam liegtas tiesības tikt uzklausītam Konvencijas 6. panta 1. </w:t>
      </w:r>
      <w:r w:rsidR="005E02AF">
        <w:rPr>
          <w:lang w:val="lv-LV"/>
        </w:rPr>
        <w:t>punkta</w:t>
      </w:r>
      <w:r w:rsidR="007935AB">
        <w:rPr>
          <w:lang w:val="lv-LV"/>
        </w:rPr>
        <w:t xml:space="preserve"> izpratnē, k</w:t>
      </w:r>
      <w:r w:rsidR="00546A34">
        <w:rPr>
          <w:lang w:val="lv-LV"/>
        </w:rPr>
        <w:t>ura attiecīgā daļa paredz sekojošo</w:t>
      </w:r>
      <w:r w:rsidR="007935AB">
        <w:rPr>
          <w:lang w:val="lv-LV"/>
        </w:rPr>
        <w:t>:</w:t>
      </w:r>
    </w:p>
    <w:p w:rsidR="007935AB" w:rsidRDefault="007935AB" w:rsidP="00EA08F6">
      <w:pPr>
        <w:pStyle w:val="ECHRPara"/>
        <w:rPr>
          <w:lang w:val="lv-LV"/>
        </w:rPr>
      </w:pPr>
    </w:p>
    <w:p w:rsidR="007935AB" w:rsidRDefault="00150486" w:rsidP="00EA08F6">
      <w:pPr>
        <w:pStyle w:val="ECHRParaQuote"/>
        <w:rPr>
          <w:lang w:val="lv-LV"/>
        </w:rPr>
      </w:pPr>
      <w:r w:rsidRPr="00832E00">
        <w:rPr>
          <w:lang w:val="lv-LV"/>
        </w:rPr>
        <w:t>“</w:t>
      </w:r>
      <w:r w:rsidR="007935AB" w:rsidRPr="007935AB">
        <w:rPr>
          <w:lang w:val="lv-LV"/>
        </w:rPr>
        <w:t xml:space="preserve">Ikvienam ir tiesības, nosakot civilo tiesību un pienākumu </w:t>
      </w:r>
      <w:r w:rsidR="007935AB">
        <w:rPr>
          <w:lang w:val="lv-LV"/>
        </w:rPr>
        <w:t>[..] pamatotību,</w:t>
      </w:r>
      <w:r w:rsidR="007935AB" w:rsidRPr="007935AB">
        <w:rPr>
          <w:lang w:val="lv-LV"/>
        </w:rPr>
        <w:t xml:space="preserve"> uz taisnīgu un atklātu lietas </w:t>
      </w:r>
      <w:r w:rsidR="007935AB">
        <w:rPr>
          <w:lang w:val="lv-LV"/>
        </w:rPr>
        <w:t>[..]</w:t>
      </w:r>
      <w:r w:rsidR="007935AB" w:rsidRPr="007935AB">
        <w:rPr>
          <w:lang w:val="lv-LV"/>
        </w:rPr>
        <w:t xml:space="preserve"> izskatīšanu </w:t>
      </w:r>
      <w:r w:rsidR="007935AB">
        <w:rPr>
          <w:lang w:val="lv-LV"/>
        </w:rPr>
        <w:t>[..]</w:t>
      </w:r>
      <w:r w:rsidR="007935AB" w:rsidRPr="007935AB">
        <w:rPr>
          <w:lang w:val="lv-LV"/>
        </w:rPr>
        <w:t xml:space="preserve"> tiesā.</w:t>
      </w:r>
      <w:r w:rsidR="00123C86">
        <w:rPr>
          <w:lang w:val="lv-LV"/>
        </w:rPr>
        <w:t xml:space="preserve"> [..]</w:t>
      </w:r>
      <w:r w:rsidR="007935AB">
        <w:rPr>
          <w:lang w:val="lv-LV"/>
        </w:rPr>
        <w:t>”</w:t>
      </w:r>
    </w:p>
    <w:p w:rsidR="007935AB" w:rsidRDefault="007935AB" w:rsidP="00EA08F6">
      <w:pPr>
        <w:pStyle w:val="ECHRParaQuote"/>
        <w:rPr>
          <w:lang w:val="lv-LV"/>
        </w:rPr>
      </w:pPr>
    </w:p>
    <w:p w:rsidR="007935AB" w:rsidRDefault="000B0A2B" w:rsidP="00EA08F6">
      <w:pPr>
        <w:pStyle w:val="ECHRHeading2"/>
        <w:rPr>
          <w:lang w:val="lv-LV"/>
        </w:rPr>
      </w:pPr>
      <w:r w:rsidRPr="00832E00">
        <w:rPr>
          <w:lang w:val="lv-LV"/>
        </w:rPr>
        <w:t>A</w:t>
      </w:r>
      <w:r w:rsidR="001276AD" w:rsidRPr="00832E00">
        <w:rPr>
          <w:lang w:val="lv-LV"/>
        </w:rPr>
        <w:t>.  </w:t>
      </w:r>
      <w:r w:rsidR="007935AB">
        <w:rPr>
          <w:lang w:val="lv-LV"/>
        </w:rPr>
        <w:t xml:space="preserve">6. panta 1. </w:t>
      </w:r>
      <w:r w:rsidR="005E02AF">
        <w:rPr>
          <w:lang w:val="lv-LV"/>
        </w:rPr>
        <w:t>punkta</w:t>
      </w:r>
      <w:r w:rsidR="007935AB">
        <w:rPr>
          <w:lang w:val="lv-LV"/>
        </w:rPr>
        <w:t xml:space="preserve"> piemērojamība</w:t>
      </w:r>
    </w:p>
    <w:p w:rsidR="00324CAC" w:rsidRPr="00832E00"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40</w:t>
      </w:r>
      <w:r w:rsidRPr="00832E00">
        <w:rPr>
          <w:noProof/>
          <w:lang w:val="lv-LV"/>
        </w:rPr>
        <w:fldChar w:fldCharType="end"/>
      </w:r>
      <w:r w:rsidR="00014566" w:rsidRPr="00832E00">
        <w:rPr>
          <w:lang w:val="lv-LV"/>
        </w:rPr>
        <w:t>.  </w:t>
      </w:r>
      <w:r w:rsidR="007935AB">
        <w:rPr>
          <w:lang w:val="lv-LV"/>
        </w:rPr>
        <w:t xml:space="preserve">Valdība apstrīdēja 6. panta 1. </w:t>
      </w:r>
      <w:r w:rsidR="005E02AF">
        <w:rPr>
          <w:lang w:val="lv-LV"/>
        </w:rPr>
        <w:t>punkta</w:t>
      </w:r>
      <w:r w:rsidR="007935AB">
        <w:rPr>
          <w:lang w:val="lv-LV"/>
        </w:rPr>
        <w:t xml:space="preserve"> piemērojamību tiesvedībai šajā lietā, norādot, ka lietā nav </w:t>
      </w:r>
      <w:r w:rsidR="007935AB" w:rsidRPr="00832E00">
        <w:rPr>
          <w:lang w:val="lv-LV"/>
        </w:rPr>
        <w:t>“</w:t>
      </w:r>
      <w:r w:rsidR="007935AB">
        <w:rPr>
          <w:lang w:val="lv-LV"/>
        </w:rPr>
        <w:t xml:space="preserve">apsūdzības”, </w:t>
      </w:r>
      <w:r w:rsidR="007935AB" w:rsidRPr="00832E00">
        <w:rPr>
          <w:lang w:val="lv-LV"/>
        </w:rPr>
        <w:t>“</w:t>
      </w:r>
      <w:r w:rsidR="007935AB">
        <w:rPr>
          <w:lang w:val="lv-LV"/>
        </w:rPr>
        <w:t>civilo tiesību”</w:t>
      </w:r>
      <w:r w:rsidR="00F20018">
        <w:rPr>
          <w:lang w:val="lv-LV"/>
        </w:rPr>
        <w:t xml:space="preserve"> vai </w:t>
      </w:r>
      <w:r w:rsidR="00F20018" w:rsidRPr="00832E00">
        <w:rPr>
          <w:lang w:val="lv-LV"/>
        </w:rPr>
        <w:t>“</w:t>
      </w:r>
      <w:r w:rsidR="00F20018">
        <w:rPr>
          <w:lang w:val="lv-LV"/>
        </w:rPr>
        <w:t xml:space="preserve">strīda”. </w:t>
      </w:r>
    </w:p>
    <w:p w:rsidR="00F20018"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41</w:t>
      </w:r>
      <w:r w:rsidRPr="00832E00">
        <w:rPr>
          <w:noProof/>
          <w:lang w:val="lv-LV"/>
        </w:rPr>
        <w:fldChar w:fldCharType="end"/>
      </w:r>
      <w:r w:rsidR="000671D3" w:rsidRPr="00832E00">
        <w:rPr>
          <w:lang w:val="lv-LV"/>
        </w:rPr>
        <w:t>.  </w:t>
      </w:r>
      <w:r w:rsidR="00F20018">
        <w:rPr>
          <w:lang w:val="lv-LV"/>
        </w:rPr>
        <w:t>Iesniedzējs šajā sakarā nesniedza nekādus komentārus.</w:t>
      </w:r>
    </w:p>
    <w:p w:rsidR="006466EF" w:rsidRPr="006466EF" w:rsidRDefault="00525DF7" w:rsidP="00EA08F6">
      <w:pPr>
        <w:pStyle w:val="ECHRPara"/>
        <w:rPr>
          <w:lang w:val="lv-LV"/>
        </w:rPr>
      </w:pPr>
      <w:r w:rsidRPr="009B6F2C">
        <w:rPr>
          <w:lang w:val="lv-LV"/>
        </w:rPr>
        <w:lastRenderedPageBreak/>
        <w:fldChar w:fldCharType="begin"/>
      </w:r>
      <w:r w:rsidRPr="009B6F2C">
        <w:rPr>
          <w:lang w:val="lv-LV"/>
        </w:rPr>
        <w:instrText xml:space="preserve"> SEQ level0 \*arabic </w:instrText>
      </w:r>
      <w:r w:rsidRPr="009B6F2C">
        <w:rPr>
          <w:lang w:val="lv-LV"/>
        </w:rPr>
        <w:fldChar w:fldCharType="separate"/>
      </w:r>
      <w:r w:rsidR="00DC5D38" w:rsidRPr="009B6F2C">
        <w:rPr>
          <w:noProof/>
          <w:lang w:val="lv-LV"/>
        </w:rPr>
        <w:t>42</w:t>
      </w:r>
      <w:r w:rsidRPr="009B6F2C">
        <w:rPr>
          <w:noProof/>
          <w:lang w:val="lv-LV"/>
        </w:rPr>
        <w:fldChar w:fldCharType="end"/>
      </w:r>
      <w:r w:rsidR="000671D3" w:rsidRPr="009B6F2C">
        <w:rPr>
          <w:lang w:val="lv-LV"/>
        </w:rPr>
        <w:t>.  </w:t>
      </w:r>
      <w:r w:rsidR="006466EF" w:rsidRPr="009B6F2C">
        <w:rPr>
          <w:lang w:val="lv-LV"/>
        </w:rPr>
        <w:t xml:space="preserve">Tiesa atkārto, ka tiesvedība atbilst 6. panta 1. </w:t>
      </w:r>
      <w:r w:rsidR="005E02AF">
        <w:rPr>
          <w:lang w:val="lv-LV"/>
        </w:rPr>
        <w:t>punkta</w:t>
      </w:r>
      <w:r w:rsidR="006466EF" w:rsidRPr="009B6F2C">
        <w:rPr>
          <w:lang w:val="lv-LV"/>
        </w:rPr>
        <w:t xml:space="preserve"> tvērumam,</w:t>
      </w:r>
      <w:r w:rsidR="006466EF">
        <w:rPr>
          <w:lang w:val="lv-LV"/>
        </w:rPr>
        <w:t xml:space="preserve"> ja </w:t>
      </w:r>
      <w:r w:rsidR="009B6F2C">
        <w:rPr>
          <w:lang w:val="lv-LV"/>
        </w:rPr>
        <w:t>tā tiek veikta ar mērķi noteikt civilās tiesības un pienākumus</w:t>
      </w:r>
      <w:r w:rsidR="006466EF">
        <w:rPr>
          <w:lang w:val="lv-LV"/>
        </w:rPr>
        <w:t>, pat ja šāda tiesvedība tiek vesta Satversmes tiesā (skatīt</w:t>
      </w:r>
      <w:r w:rsidR="009B6F2C">
        <w:rPr>
          <w:lang w:val="lv-LV"/>
        </w:rPr>
        <w:t xml:space="preserve"> lietu</w:t>
      </w:r>
      <w:r w:rsidR="006466EF">
        <w:rPr>
          <w:lang w:val="lv-LV"/>
        </w:rPr>
        <w:t xml:space="preserve"> </w:t>
      </w:r>
      <w:proofErr w:type="spellStart"/>
      <w:r w:rsidR="006466EF" w:rsidRPr="00832E00">
        <w:rPr>
          <w:i/>
          <w:lang w:val="lv-LV"/>
        </w:rPr>
        <w:t>Süßmann</w:t>
      </w:r>
      <w:proofErr w:type="spellEnd"/>
      <w:r w:rsidR="006466EF" w:rsidRPr="00832E00">
        <w:rPr>
          <w:i/>
          <w:lang w:val="lv-LV"/>
        </w:rPr>
        <w:t xml:space="preserve"> </w:t>
      </w:r>
      <w:r w:rsidR="006466EF">
        <w:rPr>
          <w:i/>
          <w:lang w:val="lv-LV"/>
        </w:rPr>
        <w:t xml:space="preserve">pret Vāciju, </w:t>
      </w:r>
      <w:r w:rsidR="006466EF">
        <w:rPr>
          <w:lang w:val="lv-LV"/>
        </w:rPr>
        <w:t xml:space="preserve">1996. gada 16. septembris, 41. rindkopa, </w:t>
      </w:r>
      <w:proofErr w:type="spellStart"/>
      <w:r w:rsidR="00546A34" w:rsidRPr="00546A34">
        <w:rPr>
          <w:i/>
          <w:iCs/>
          <w:sz w:val="23"/>
          <w:szCs w:val="23"/>
          <w:lang w:val="lv-LV"/>
        </w:rPr>
        <w:t>Reports</w:t>
      </w:r>
      <w:proofErr w:type="spellEnd"/>
      <w:r w:rsidR="00546A34" w:rsidRPr="00546A34">
        <w:rPr>
          <w:i/>
          <w:iCs/>
          <w:sz w:val="23"/>
          <w:szCs w:val="23"/>
          <w:lang w:val="lv-LV"/>
        </w:rPr>
        <w:t xml:space="preserve"> </w:t>
      </w:r>
      <w:proofErr w:type="spellStart"/>
      <w:r w:rsidR="00546A34" w:rsidRPr="00546A34">
        <w:rPr>
          <w:i/>
          <w:iCs/>
          <w:sz w:val="23"/>
          <w:szCs w:val="23"/>
          <w:lang w:val="lv-LV"/>
        </w:rPr>
        <w:t>of</w:t>
      </w:r>
      <w:proofErr w:type="spellEnd"/>
      <w:r w:rsidR="00546A34" w:rsidRPr="00546A34">
        <w:rPr>
          <w:i/>
          <w:iCs/>
          <w:sz w:val="23"/>
          <w:szCs w:val="23"/>
          <w:lang w:val="lv-LV"/>
        </w:rPr>
        <w:t xml:space="preserve"> </w:t>
      </w:r>
      <w:proofErr w:type="spellStart"/>
      <w:r w:rsidR="00546A34" w:rsidRPr="00546A34">
        <w:rPr>
          <w:i/>
          <w:iCs/>
          <w:sz w:val="23"/>
          <w:szCs w:val="23"/>
          <w:lang w:val="lv-LV"/>
        </w:rPr>
        <w:t>Judgments</w:t>
      </w:r>
      <w:proofErr w:type="spellEnd"/>
      <w:r w:rsidR="00546A34" w:rsidRPr="00546A34">
        <w:rPr>
          <w:i/>
          <w:iCs/>
          <w:sz w:val="23"/>
          <w:szCs w:val="23"/>
          <w:lang w:val="lv-LV"/>
        </w:rPr>
        <w:t xml:space="preserve"> </w:t>
      </w:r>
      <w:proofErr w:type="spellStart"/>
      <w:r w:rsidR="00546A34" w:rsidRPr="00546A34">
        <w:rPr>
          <w:i/>
          <w:iCs/>
          <w:sz w:val="23"/>
          <w:szCs w:val="23"/>
          <w:lang w:val="lv-LV"/>
        </w:rPr>
        <w:t>and</w:t>
      </w:r>
      <w:proofErr w:type="spellEnd"/>
      <w:r w:rsidR="00546A34" w:rsidRPr="00546A34">
        <w:rPr>
          <w:i/>
          <w:iCs/>
          <w:sz w:val="23"/>
          <w:szCs w:val="23"/>
          <w:lang w:val="lv-LV"/>
        </w:rPr>
        <w:t xml:space="preserve"> </w:t>
      </w:r>
      <w:proofErr w:type="spellStart"/>
      <w:r w:rsidR="00546A34" w:rsidRPr="00546A34">
        <w:rPr>
          <w:i/>
          <w:iCs/>
          <w:sz w:val="23"/>
          <w:szCs w:val="23"/>
          <w:lang w:val="lv-LV"/>
        </w:rPr>
        <w:t>Decisions</w:t>
      </w:r>
      <w:proofErr w:type="spellEnd"/>
      <w:r w:rsidR="006466EF">
        <w:rPr>
          <w:lang w:val="lv-LV"/>
        </w:rPr>
        <w:t xml:space="preserve"> 1996-IV). </w:t>
      </w:r>
    </w:p>
    <w:p w:rsidR="006466EF" w:rsidRPr="006C2BDA" w:rsidRDefault="006466EF" w:rsidP="00EA08F6">
      <w:pPr>
        <w:pStyle w:val="ECHRPara"/>
        <w:rPr>
          <w:b/>
          <w:lang w:val="lv-LV"/>
        </w:rPr>
      </w:pPr>
      <w:r>
        <w:rPr>
          <w:lang w:val="lv-LV"/>
        </w:rPr>
        <w:t xml:space="preserve">43. </w:t>
      </w:r>
      <w:r w:rsidR="005D16CD">
        <w:rPr>
          <w:lang w:val="lv-LV"/>
        </w:rPr>
        <w:t xml:space="preserve">Vispārīgi, lai piemērotu 6. panta 1. </w:t>
      </w:r>
      <w:r w:rsidR="005E02AF">
        <w:rPr>
          <w:lang w:val="lv-LV"/>
        </w:rPr>
        <w:t>punkta</w:t>
      </w:r>
      <w:r w:rsidR="005D16CD">
        <w:rPr>
          <w:lang w:val="lv-LV"/>
        </w:rPr>
        <w:t xml:space="preserve"> </w:t>
      </w:r>
      <w:r w:rsidR="005D16CD" w:rsidRPr="00832E00">
        <w:rPr>
          <w:lang w:val="lv-LV"/>
        </w:rPr>
        <w:t>“</w:t>
      </w:r>
      <w:r w:rsidR="005D16CD">
        <w:rPr>
          <w:lang w:val="lv-LV"/>
        </w:rPr>
        <w:t xml:space="preserve">civilo” aspektu, jāpastāv strīdam (franču valodas tekstā </w:t>
      </w:r>
      <w:proofErr w:type="spellStart"/>
      <w:r w:rsidR="005D16CD" w:rsidRPr="00832E00">
        <w:rPr>
          <w:i/>
          <w:lang w:val="lv-LV"/>
        </w:rPr>
        <w:t>contestation</w:t>
      </w:r>
      <w:proofErr w:type="spellEnd"/>
      <w:r w:rsidR="005D16CD" w:rsidRPr="005D16CD">
        <w:rPr>
          <w:lang w:val="lv-LV"/>
        </w:rPr>
        <w:t>)</w:t>
      </w:r>
      <w:r w:rsidR="005D16CD">
        <w:rPr>
          <w:lang w:val="lv-LV"/>
        </w:rPr>
        <w:t xml:space="preserve"> par </w:t>
      </w:r>
      <w:r w:rsidR="005D16CD" w:rsidRPr="005D16CD">
        <w:rPr>
          <w:lang w:val="lv-LV"/>
        </w:rPr>
        <w:t>“</w:t>
      </w:r>
      <w:r w:rsidR="005D16CD">
        <w:rPr>
          <w:lang w:val="lv-LV"/>
        </w:rPr>
        <w:t>tiesībām</w:t>
      </w:r>
      <w:r w:rsidR="005D16CD" w:rsidRPr="005D16CD">
        <w:rPr>
          <w:lang w:val="lv-LV"/>
        </w:rPr>
        <w:t>”, kur</w:t>
      </w:r>
      <w:r w:rsidR="005D16CD">
        <w:rPr>
          <w:lang w:val="lv-LV"/>
        </w:rPr>
        <w:t>as</w:t>
      </w:r>
      <w:r w:rsidR="005D16CD" w:rsidRPr="005D16CD">
        <w:rPr>
          <w:lang w:val="lv-LV"/>
        </w:rPr>
        <w:t xml:space="preserve"> vismaz </w:t>
      </w:r>
      <w:r w:rsidR="009B6F2C">
        <w:rPr>
          <w:lang w:val="lv-LV"/>
        </w:rPr>
        <w:t>pamatoti tiek</w:t>
      </w:r>
      <w:r w:rsidR="005D16CD" w:rsidRPr="005D16CD">
        <w:rPr>
          <w:lang w:val="lv-LV"/>
        </w:rPr>
        <w:t xml:space="preserve"> atzīta</w:t>
      </w:r>
      <w:r w:rsidR="005D16CD">
        <w:rPr>
          <w:lang w:val="lv-LV"/>
        </w:rPr>
        <w:t>s</w:t>
      </w:r>
      <w:r w:rsidR="005D16CD" w:rsidRPr="005D16CD">
        <w:rPr>
          <w:lang w:val="lv-LV"/>
        </w:rPr>
        <w:t xml:space="preserve"> nacionālajā tiesību sistēmā</w:t>
      </w:r>
      <w:r w:rsidR="005D16CD">
        <w:rPr>
          <w:lang w:val="lv-LV"/>
        </w:rPr>
        <w:t xml:space="preserve"> neatkarīgi no tā, vai šīs tiesības aizsargā Konvencija. </w:t>
      </w:r>
      <w:r w:rsidR="005D16CD" w:rsidRPr="005D16CD">
        <w:rPr>
          <w:lang w:val="lv-LV"/>
        </w:rPr>
        <w:t>Strīdam jābūt patiesam un nopietnam</w:t>
      </w:r>
      <w:r w:rsidR="009B6F2C">
        <w:rPr>
          <w:lang w:val="lv-LV"/>
        </w:rPr>
        <w:t>.</w:t>
      </w:r>
      <w:r w:rsidR="005D16CD" w:rsidRPr="005D16CD">
        <w:rPr>
          <w:lang w:val="lv-LV"/>
        </w:rPr>
        <w:t xml:space="preserve"> </w:t>
      </w:r>
      <w:r w:rsidR="009B6F2C">
        <w:rPr>
          <w:lang w:val="lv-LV"/>
        </w:rPr>
        <w:t>T</w:t>
      </w:r>
      <w:r w:rsidR="005D16CD" w:rsidRPr="005D16CD">
        <w:rPr>
          <w:lang w:val="lv-LV"/>
        </w:rPr>
        <w:t xml:space="preserve">as var attiekties ne tikai uz tiesību pastāvēšanu, bet arī uz to apmēru </w:t>
      </w:r>
      <w:r w:rsidR="009B6F2C">
        <w:rPr>
          <w:lang w:val="lv-LV"/>
        </w:rPr>
        <w:t>un veidu, kā tās tiek īstenotas,</w:t>
      </w:r>
      <w:r w:rsidR="005D16CD" w:rsidRPr="005D16CD">
        <w:rPr>
          <w:lang w:val="lv-LV"/>
        </w:rPr>
        <w:t xml:space="preserve"> un, visbeidzot, procesa iznākumam jābūt </w:t>
      </w:r>
      <w:r w:rsidR="00BD6A27">
        <w:rPr>
          <w:lang w:val="lv-LV"/>
        </w:rPr>
        <w:t>izšķirošam</w:t>
      </w:r>
      <w:r w:rsidR="005D16CD" w:rsidRPr="005D16CD">
        <w:rPr>
          <w:lang w:val="lv-LV"/>
        </w:rPr>
        <w:t xml:space="preserve"> attiecībā uz </w:t>
      </w:r>
      <w:r w:rsidR="005D16CD">
        <w:rPr>
          <w:lang w:val="lv-LV"/>
        </w:rPr>
        <w:t>dotajām tiesībām</w:t>
      </w:r>
      <w:r w:rsidR="006C2BDA">
        <w:rPr>
          <w:lang w:val="lv-LV"/>
        </w:rPr>
        <w:t xml:space="preserve">. Savukārt tikai </w:t>
      </w:r>
      <w:r w:rsidR="009B6F2C">
        <w:rPr>
          <w:lang w:val="lv-LV"/>
        </w:rPr>
        <w:t>nenozīmīga</w:t>
      </w:r>
      <w:r w:rsidR="006C2BDA">
        <w:rPr>
          <w:lang w:val="lv-LV"/>
        </w:rPr>
        <w:t xml:space="preserve"> saistība vai attālas sekas nav uzskatāmas par pietiekamām, lai piemērotu 6. panta 1. </w:t>
      </w:r>
      <w:r w:rsidR="005E02AF">
        <w:rPr>
          <w:lang w:val="lv-LV"/>
        </w:rPr>
        <w:t>punktu</w:t>
      </w:r>
      <w:r w:rsidR="006C2BDA">
        <w:rPr>
          <w:lang w:val="lv-LV"/>
        </w:rPr>
        <w:t xml:space="preserve"> (skatīt</w:t>
      </w:r>
      <w:r w:rsidR="005E02AF">
        <w:rPr>
          <w:lang w:val="lv-LV"/>
        </w:rPr>
        <w:t xml:space="preserve"> lietu</w:t>
      </w:r>
      <w:r w:rsidR="006C2BDA">
        <w:rPr>
          <w:lang w:val="lv-LV"/>
        </w:rPr>
        <w:t xml:space="preserve"> </w:t>
      </w:r>
      <w:proofErr w:type="spellStart"/>
      <w:r w:rsidR="006C2BDA" w:rsidRPr="00832E00">
        <w:rPr>
          <w:i/>
          <w:lang w:val="lv-LV"/>
        </w:rPr>
        <w:t>Boulois</w:t>
      </w:r>
      <w:proofErr w:type="spellEnd"/>
      <w:r w:rsidR="006C2BDA" w:rsidRPr="00832E00">
        <w:rPr>
          <w:i/>
          <w:lang w:val="lv-LV"/>
        </w:rPr>
        <w:t xml:space="preserve"> </w:t>
      </w:r>
      <w:r w:rsidR="006C2BDA">
        <w:rPr>
          <w:i/>
          <w:lang w:val="lv-LV"/>
        </w:rPr>
        <w:t>pret Luksemburgu</w:t>
      </w:r>
      <w:r w:rsidR="006C2BDA">
        <w:rPr>
          <w:lang w:val="lv-LV"/>
        </w:rPr>
        <w:t xml:space="preserve"> [Lielā palāta], Nr. </w:t>
      </w:r>
      <w:r w:rsidR="006C2BDA" w:rsidRPr="00832E00">
        <w:rPr>
          <w:lang w:val="lv-LV"/>
        </w:rPr>
        <w:t>37575/04</w:t>
      </w:r>
      <w:r w:rsidR="006C2BDA">
        <w:rPr>
          <w:lang w:val="lv-LV"/>
        </w:rPr>
        <w:t xml:space="preserve">, 90. rindkopa, </w:t>
      </w:r>
      <w:r w:rsidR="006C2BDA" w:rsidRPr="00832E00">
        <w:rPr>
          <w:snapToGrid w:val="0"/>
          <w:lang w:val="lv-LV"/>
        </w:rPr>
        <w:t>ECHR</w:t>
      </w:r>
      <w:r w:rsidR="006C2BDA">
        <w:rPr>
          <w:snapToGrid w:val="0"/>
          <w:lang w:val="lv-LV"/>
        </w:rPr>
        <w:t xml:space="preserve"> 2012). </w:t>
      </w:r>
    </w:p>
    <w:p w:rsidR="006C2BDA"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44</w:t>
      </w:r>
      <w:r w:rsidRPr="00832E00">
        <w:rPr>
          <w:noProof/>
          <w:lang w:val="lv-LV"/>
        </w:rPr>
        <w:fldChar w:fldCharType="end"/>
      </w:r>
      <w:r w:rsidR="000671D3" w:rsidRPr="00832E00">
        <w:rPr>
          <w:lang w:val="lv-LV"/>
        </w:rPr>
        <w:t>.  </w:t>
      </w:r>
      <w:r w:rsidR="006C2BDA">
        <w:rPr>
          <w:lang w:val="lv-LV"/>
        </w:rPr>
        <w:t xml:space="preserve">Taču Tiesa turpinājumā uzskaitīto iemeslu dēļ uzskata, ka nav nepieciešams </w:t>
      </w:r>
      <w:r w:rsidR="009B6F2C">
        <w:rPr>
          <w:lang w:val="lv-LV"/>
        </w:rPr>
        <w:t>pieņemt lēmumu</w:t>
      </w:r>
      <w:r w:rsidR="006C2BDA">
        <w:rPr>
          <w:lang w:val="lv-LV"/>
        </w:rPr>
        <w:t xml:space="preserve"> par to, vai attiecīgajā lietā ir piemērojam</w:t>
      </w:r>
      <w:r w:rsidR="005E02AF">
        <w:rPr>
          <w:lang w:val="lv-LV"/>
        </w:rPr>
        <w:t>s</w:t>
      </w:r>
      <w:r w:rsidR="006C2BDA">
        <w:rPr>
          <w:lang w:val="lv-LV"/>
        </w:rPr>
        <w:t xml:space="preserve"> 6. panta 1. </w:t>
      </w:r>
      <w:r w:rsidR="005E02AF">
        <w:rPr>
          <w:lang w:val="lv-LV"/>
        </w:rPr>
        <w:t>punkts</w:t>
      </w:r>
      <w:r w:rsidR="006C2BDA">
        <w:rPr>
          <w:lang w:val="lv-LV"/>
        </w:rPr>
        <w:t xml:space="preserve">. </w:t>
      </w:r>
    </w:p>
    <w:p w:rsidR="006C2BDA" w:rsidRDefault="008B7742" w:rsidP="00EA08F6">
      <w:pPr>
        <w:pStyle w:val="ECHRHeading2"/>
        <w:rPr>
          <w:lang w:val="lv-LV"/>
        </w:rPr>
      </w:pPr>
      <w:r w:rsidRPr="00832E00">
        <w:rPr>
          <w:lang w:val="lv-LV"/>
        </w:rPr>
        <w:t>B</w:t>
      </w:r>
      <w:r w:rsidR="000375F6" w:rsidRPr="00832E00">
        <w:rPr>
          <w:lang w:val="lv-LV"/>
        </w:rPr>
        <w:t>.  </w:t>
      </w:r>
      <w:r w:rsidR="006C2BDA">
        <w:rPr>
          <w:lang w:val="lv-LV"/>
        </w:rPr>
        <w:t xml:space="preserve">Atbilstība 6. panta 1. </w:t>
      </w:r>
      <w:r w:rsidR="005E02AF">
        <w:rPr>
          <w:lang w:val="lv-LV"/>
        </w:rPr>
        <w:t>punktam</w:t>
      </w:r>
    </w:p>
    <w:p w:rsidR="00853B75" w:rsidRPr="00832E00" w:rsidRDefault="008B7742" w:rsidP="00EA08F6">
      <w:pPr>
        <w:pStyle w:val="ECHRHeading3"/>
        <w:rPr>
          <w:lang w:val="lv-LV"/>
        </w:rPr>
      </w:pPr>
      <w:r w:rsidRPr="00832E00">
        <w:rPr>
          <w:lang w:val="lv-LV"/>
        </w:rPr>
        <w:t>1.</w:t>
      </w:r>
      <w:r w:rsidR="00853B75" w:rsidRPr="00832E00">
        <w:rPr>
          <w:lang w:val="lv-LV"/>
        </w:rPr>
        <w:t>  </w:t>
      </w:r>
      <w:r w:rsidR="006C2BDA">
        <w:rPr>
          <w:lang w:val="lv-LV"/>
        </w:rPr>
        <w:t>Pušu apsvērumi</w:t>
      </w:r>
    </w:p>
    <w:p w:rsidR="00324CAC" w:rsidRPr="00832E00"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45</w:t>
      </w:r>
      <w:r w:rsidRPr="00832E00">
        <w:rPr>
          <w:noProof/>
          <w:lang w:val="lv-LV"/>
        </w:rPr>
        <w:fldChar w:fldCharType="end"/>
      </w:r>
      <w:r w:rsidR="00014566" w:rsidRPr="00832E00">
        <w:rPr>
          <w:lang w:val="lv-LV"/>
        </w:rPr>
        <w:t>.  </w:t>
      </w:r>
      <w:r w:rsidR="0089562F">
        <w:rPr>
          <w:lang w:val="lv-LV"/>
        </w:rPr>
        <w:t xml:space="preserve">Savā iesniegumā Tiesai iesniedzējs norādīja, ka Satversmes tiesā viņam netika sniegta iespēja </w:t>
      </w:r>
      <w:r w:rsidR="0089562F" w:rsidRPr="00832E00">
        <w:rPr>
          <w:lang w:val="lv-LV"/>
        </w:rPr>
        <w:t>“</w:t>
      </w:r>
      <w:r w:rsidR="0089562F">
        <w:rPr>
          <w:lang w:val="lv-LV"/>
        </w:rPr>
        <w:t xml:space="preserve">personīgi paskaidrot” notikušo saistībā gan ar faktiem, gan tiesību aktiem. Viņš uzskatīja, ka nav bijis nekāda tiesiska pamatojuma atteikumam izskatīt šo lietu atklātā tiesas sēdē. 6. pants kopumā noteica tiesības tikt uzklausītam. Šajā gadījumā rakstveida process Satversmes tiesā ievērojami apgrūtināja viņa tiesības uz taisnīgu tiesu. </w:t>
      </w:r>
      <w:r w:rsidR="00CE259D">
        <w:rPr>
          <w:lang w:val="lv-LV"/>
        </w:rPr>
        <w:t>Iesniedzējam nebija iespēj</w:t>
      </w:r>
      <w:r w:rsidR="00B727BC">
        <w:rPr>
          <w:lang w:val="lv-LV"/>
        </w:rPr>
        <w:t>u</w:t>
      </w:r>
      <w:r w:rsidR="00CE259D">
        <w:rPr>
          <w:lang w:val="lv-LV"/>
        </w:rPr>
        <w:t xml:space="preserve"> iepazīties ar lietas materiāliem pirms lēmuma pieņemšanas par lietas izskatīšanu, taču viņš atzina, ka </w:t>
      </w:r>
      <w:r w:rsidR="00B727BC">
        <w:rPr>
          <w:lang w:val="lv-LV"/>
        </w:rPr>
        <w:t xml:space="preserve">vēlāk </w:t>
      </w:r>
      <w:r w:rsidR="00CE259D">
        <w:rPr>
          <w:lang w:val="lv-LV"/>
        </w:rPr>
        <w:t>viņam bijušas tiesības iepazīties ar tiem un izteikt savu viedokli pirms rīcības sēdes, kas notika 2011. gada 25. janvārī. Tiesvedības sagatavošanas stadijā viņam nebija iespēj</w:t>
      </w:r>
      <w:r w:rsidR="00450864">
        <w:rPr>
          <w:lang w:val="lv-LV"/>
        </w:rPr>
        <w:t>u</w:t>
      </w:r>
      <w:r w:rsidR="00CE259D">
        <w:rPr>
          <w:lang w:val="lv-LV"/>
        </w:rPr>
        <w:t xml:space="preserve"> noskaidrot, kurām iestādēm un amatpersonām lūgts sniegt informāciju, dokumentus vai viedokli. Iesniedzējs uzskatīja, ka šāds tiesiskais regulējums sniedza attiecīgajam tiesnesim neierobežotas tiesības iegūt pierādījumus saskaņā ar paša subjektīvajiem uzskatiem. Viņš nevarēja pilnībā piedalīties pierādījumu iegūšanā, proti, izvēloties </w:t>
      </w:r>
      <w:r w:rsidR="000B65F6">
        <w:rPr>
          <w:lang w:val="lv-LV"/>
        </w:rPr>
        <w:t xml:space="preserve">lietai </w:t>
      </w:r>
      <w:r w:rsidR="00CE259D">
        <w:rPr>
          <w:lang w:val="lv-LV"/>
        </w:rPr>
        <w:t xml:space="preserve">pieaicinātās personas </w:t>
      </w:r>
      <w:r w:rsidR="000B65F6">
        <w:rPr>
          <w:lang w:val="lv-LV"/>
        </w:rPr>
        <w:t xml:space="preserve">un uzdodot tām jautājumus. Viņš atzina, ka rakstveida process Satversmes tiesā pats par sevi nepārkāpa viņa tiesības tikt uzklausītam, bet apgalvoja, ka to bija nepieciešams izskatīt katrā konkrētajā gadījumā un ka tiesa nedrīkstēja atteikt </w:t>
      </w:r>
      <w:r w:rsidR="000B65F6" w:rsidRPr="00832E00">
        <w:rPr>
          <w:lang w:val="lv-LV"/>
        </w:rPr>
        <w:t>pierādījumu iegūšanas prasību, neizvērtējot tās nepieciešamību, nozīmī</w:t>
      </w:r>
      <w:r w:rsidR="000B65F6">
        <w:rPr>
          <w:lang w:val="lv-LV"/>
        </w:rPr>
        <w:t>b</w:t>
      </w:r>
      <w:r w:rsidR="000B65F6" w:rsidRPr="00832E00">
        <w:rPr>
          <w:lang w:val="lv-LV"/>
        </w:rPr>
        <w:t>u un procesuālo un juridisko pamatojumu</w:t>
      </w:r>
      <w:r w:rsidR="000B65F6">
        <w:rPr>
          <w:lang w:val="lv-LV"/>
        </w:rPr>
        <w:t>.</w:t>
      </w:r>
      <w:r w:rsidR="000B65F6" w:rsidRPr="00832E00">
        <w:rPr>
          <w:lang w:val="lv-LV"/>
        </w:rPr>
        <w:t xml:space="preserve"> </w:t>
      </w:r>
    </w:p>
    <w:p w:rsidR="00844633" w:rsidRPr="00D73073" w:rsidRDefault="00525DF7" w:rsidP="00EA08F6">
      <w:pPr>
        <w:pStyle w:val="ECHRPara"/>
        <w:rPr>
          <w:lang w:val="lv-LV"/>
        </w:rPr>
      </w:pPr>
      <w:r w:rsidRPr="00832E00">
        <w:rPr>
          <w:lang w:val="lv-LV"/>
        </w:rPr>
        <w:lastRenderedPageBreak/>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46</w:t>
      </w:r>
      <w:r w:rsidRPr="00832E00">
        <w:rPr>
          <w:noProof/>
          <w:lang w:val="lv-LV"/>
        </w:rPr>
        <w:fldChar w:fldCharType="end"/>
      </w:r>
      <w:r w:rsidR="00014566" w:rsidRPr="00832E00">
        <w:rPr>
          <w:lang w:val="lv-LV"/>
        </w:rPr>
        <w:t>. </w:t>
      </w:r>
      <w:r w:rsidR="00844633">
        <w:rPr>
          <w:lang w:val="lv-LV"/>
        </w:rPr>
        <w:t>Valdība norādīja, ka saskaņā ar Tiesas judikatūru pienākums noturēt (</w:t>
      </w:r>
      <w:r w:rsidR="00D14792">
        <w:rPr>
          <w:lang w:val="lv-LV"/>
        </w:rPr>
        <w:t>atklātu</w:t>
      </w:r>
      <w:r w:rsidR="00844633">
        <w:rPr>
          <w:lang w:val="lv-LV"/>
        </w:rPr>
        <w:t xml:space="preserve">) tiesas sēdi nav obligāts. </w:t>
      </w:r>
      <w:r w:rsidR="003F7371">
        <w:rPr>
          <w:lang w:val="lv-LV"/>
        </w:rPr>
        <w:t>Tā</w:t>
      </w:r>
      <w:r w:rsidR="00844633">
        <w:rPr>
          <w:lang w:val="lv-LV"/>
        </w:rPr>
        <w:t xml:space="preserve"> norādīja, ka Satversmes tiesā ierosinātajā tiesvedības procesā pēc individuālas konstitucionālās sūdzības netika noturēta sēde, pamatojoties uz šīs tiesas īpašo uzdevumu un ierosinātās tiesvedības specifisko raksturu, kas bija saistīts tikai ar juridiskiem jautājumiem, nevis faktu noskaidrošanu (</w:t>
      </w:r>
      <w:r w:rsidR="003F7371">
        <w:rPr>
          <w:lang w:val="lv-LV"/>
        </w:rPr>
        <w:t>tā</w:t>
      </w:r>
      <w:r w:rsidR="00844633">
        <w:rPr>
          <w:lang w:val="lv-LV"/>
        </w:rPr>
        <w:t xml:space="preserve"> atsaucās uz</w:t>
      </w:r>
      <w:r w:rsidR="009E1FF6">
        <w:rPr>
          <w:lang w:val="lv-LV"/>
        </w:rPr>
        <w:t xml:space="preserve"> lietu</w:t>
      </w:r>
      <w:r w:rsidR="00844633">
        <w:rPr>
          <w:lang w:val="lv-LV"/>
        </w:rPr>
        <w:t xml:space="preserve"> </w:t>
      </w:r>
      <w:proofErr w:type="spellStart"/>
      <w:r w:rsidR="00844633" w:rsidRPr="00832E00">
        <w:rPr>
          <w:i/>
          <w:lang w:val="lv-LV"/>
        </w:rPr>
        <w:t>Juričić</w:t>
      </w:r>
      <w:proofErr w:type="spellEnd"/>
      <w:r w:rsidR="00844633">
        <w:rPr>
          <w:i/>
          <w:lang w:val="lv-LV"/>
        </w:rPr>
        <w:t xml:space="preserve"> pret Horvātiju</w:t>
      </w:r>
      <w:r w:rsidR="00844633">
        <w:rPr>
          <w:lang w:val="lv-LV"/>
        </w:rPr>
        <w:t xml:space="preserve">, Nr. </w:t>
      </w:r>
      <w:r w:rsidR="00844633" w:rsidRPr="00832E00">
        <w:rPr>
          <w:lang w:val="lv-LV"/>
        </w:rPr>
        <w:t>58222/09</w:t>
      </w:r>
      <w:r w:rsidR="009E1FF6">
        <w:rPr>
          <w:lang w:val="lv-LV"/>
        </w:rPr>
        <w:t>, 90. rindkopa, 2011</w:t>
      </w:r>
      <w:r w:rsidR="00844633">
        <w:rPr>
          <w:lang w:val="lv-LV"/>
        </w:rPr>
        <w:t>. gada 26. jūlijs). Valdība norādīja, ka tiesvedībā, kurā tiek skatīti tikai jautājumi saistībā ar tiesību aktiem, bet ne faktiem, nav nepieciešams noturēt sēdi, ja vien šāda sēde ir iepriekš noturē</w:t>
      </w:r>
      <w:r w:rsidR="003F7371">
        <w:rPr>
          <w:lang w:val="lv-LV"/>
        </w:rPr>
        <w:t>ta zemākas instances tiesā (tā</w:t>
      </w:r>
      <w:r w:rsidR="00844633">
        <w:rPr>
          <w:lang w:val="lv-LV"/>
        </w:rPr>
        <w:t xml:space="preserve"> atsaucās uz</w:t>
      </w:r>
      <w:r w:rsidR="009E1FF6">
        <w:rPr>
          <w:lang w:val="lv-LV"/>
        </w:rPr>
        <w:t xml:space="preserve"> lietu</w:t>
      </w:r>
      <w:r w:rsidR="00844633">
        <w:rPr>
          <w:lang w:val="lv-LV"/>
        </w:rPr>
        <w:t xml:space="preserve"> </w:t>
      </w:r>
      <w:proofErr w:type="spellStart"/>
      <w:r w:rsidR="00844633" w:rsidRPr="00832E00">
        <w:rPr>
          <w:i/>
          <w:lang w:val="lv-LV"/>
        </w:rPr>
        <w:t>Hermi</w:t>
      </w:r>
      <w:proofErr w:type="spellEnd"/>
      <w:r w:rsidR="00844633">
        <w:rPr>
          <w:i/>
          <w:lang w:val="lv-LV"/>
        </w:rPr>
        <w:t xml:space="preserve"> pret Itāliju</w:t>
      </w:r>
      <w:r w:rsidR="00844633">
        <w:rPr>
          <w:lang w:val="lv-LV"/>
        </w:rPr>
        <w:t xml:space="preserve"> [Lielā palāta], Nr. </w:t>
      </w:r>
      <w:r w:rsidR="00844633" w:rsidRPr="00832E00">
        <w:rPr>
          <w:lang w:val="lv-LV"/>
        </w:rPr>
        <w:t>18114/02</w:t>
      </w:r>
      <w:r w:rsidR="00844633">
        <w:rPr>
          <w:lang w:val="lv-LV"/>
        </w:rPr>
        <w:t xml:space="preserve">, 60.-61. rindkopa, </w:t>
      </w:r>
      <w:r w:rsidR="00844633" w:rsidRPr="00832E00">
        <w:rPr>
          <w:lang w:val="lv-LV"/>
        </w:rPr>
        <w:t>ECHR 2006</w:t>
      </w:r>
      <w:r w:rsidR="00844633" w:rsidRPr="00832E00">
        <w:rPr>
          <w:lang w:val="lv-LV"/>
        </w:rPr>
        <w:noBreakHyphen/>
        <w:t>XII</w:t>
      </w:r>
      <w:r w:rsidR="00844633">
        <w:rPr>
          <w:lang w:val="lv-LV"/>
        </w:rPr>
        <w:t xml:space="preserve">). </w:t>
      </w:r>
      <w:r w:rsidR="00D73073">
        <w:rPr>
          <w:lang w:val="lv-LV"/>
        </w:rPr>
        <w:t>Parastos apstākļos konstitucionālajās tiesās kopumā nav nepieciešams noturēt tiesas sēdi, jo to kompetencē ietilpst tikai konstitucionālo jautājumu izskatīšana un tās var izvērtēt tikai tiesību ak</w:t>
      </w:r>
      <w:r w:rsidR="003F7371">
        <w:rPr>
          <w:lang w:val="lv-LV"/>
        </w:rPr>
        <w:t>tu aspektus, bet ne faktus (tā</w:t>
      </w:r>
      <w:r w:rsidR="00D73073">
        <w:rPr>
          <w:lang w:val="lv-LV"/>
        </w:rPr>
        <w:t xml:space="preserve"> atsaucās uz</w:t>
      </w:r>
      <w:r w:rsidR="009E1FF6">
        <w:rPr>
          <w:lang w:val="lv-LV"/>
        </w:rPr>
        <w:t xml:space="preserve"> lietām</w:t>
      </w:r>
      <w:r w:rsidR="00D73073">
        <w:rPr>
          <w:lang w:val="lv-LV"/>
        </w:rPr>
        <w:t xml:space="preserve"> </w:t>
      </w:r>
      <w:proofErr w:type="spellStart"/>
      <w:r w:rsidR="00D73073" w:rsidRPr="00832E00">
        <w:rPr>
          <w:i/>
          <w:lang w:val="lv-LV"/>
        </w:rPr>
        <w:t>Zippel</w:t>
      </w:r>
      <w:proofErr w:type="spellEnd"/>
      <w:r w:rsidR="00D73073">
        <w:rPr>
          <w:i/>
          <w:lang w:val="lv-LV"/>
        </w:rPr>
        <w:t xml:space="preserve"> pret Vāciju </w:t>
      </w:r>
      <w:r w:rsidR="00D73073">
        <w:rPr>
          <w:lang w:val="lv-LV"/>
        </w:rPr>
        <w:t xml:space="preserve">(lēmums), Nr. </w:t>
      </w:r>
      <w:r w:rsidR="00D73073" w:rsidRPr="00832E00">
        <w:rPr>
          <w:lang w:val="lv-LV"/>
        </w:rPr>
        <w:t>30470/96</w:t>
      </w:r>
      <w:r w:rsidR="00D73073">
        <w:rPr>
          <w:lang w:val="lv-LV"/>
        </w:rPr>
        <w:t xml:space="preserve">, 1997. gada 23. oktobris; </w:t>
      </w:r>
      <w:proofErr w:type="spellStart"/>
      <w:r w:rsidR="00D73073" w:rsidRPr="00832E00">
        <w:rPr>
          <w:i/>
          <w:lang w:val="lv-LV"/>
        </w:rPr>
        <w:t>Weh</w:t>
      </w:r>
      <w:proofErr w:type="spellEnd"/>
      <w:r w:rsidR="00D73073" w:rsidRPr="00832E00">
        <w:rPr>
          <w:i/>
          <w:lang w:val="lv-LV"/>
        </w:rPr>
        <w:t xml:space="preserve"> </w:t>
      </w:r>
      <w:r w:rsidR="00D73073">
        <w:rPr>
          <w:i/>
          <w:lang w:val="lv-LV"/>
        </w:rPr>
        <w:t>un</w:t>
      </w:r>
      <w:r w:rsidR="00D73073" w:rsidRPr="00832E00">
        <w:rPr>
          <w:i/>
          <w:lang w:val="lv-LV"/>
        </w:rPr>
        <w:t xml:space="preserve"> </w:t>
      </w:r>
      <w:proofErr w:type="spellStart"/>
      <w:r w:rsidR="00D73073" w:rsidRPr="00832E00">
        <w:rPr>
          <w:i/>
          <w:lang w:val="lv-LV"/>
        </w:rPr>
        <w:t>Weh</w:t>
      </w:r>
      <w:proofErr w:type="spellEnd"/>
      <w:r w:rsidR="00D73073" w:rsidRPr="00832E00">
        <w:rPr>
          <w:i/>
          <w:lang w:val="lv-LV"/>
        </w:rPr>
        <w:t xml:space="preserve"> </w:t>
      </w:r>
      <w:r w:rsidR="00D73073">
        <w:rPr>
          <w:i/>
          <w:lang w:val="lv-LV"/>
        </w:rPr>
        <w:t xml:space="preserve">pret Austriju </w:t>
      </w:r>
      <w:r w:rsidR="00D73073">
        <w:rPr>
          <w:lang w:val="lv-LV"/>
        </w:rPr>
        <w:t xml:space="preserve">(lēmums), Nr. </w:t>
      </w:r>
      <w:r w:rsidR="00D73073" w:rsidRPr="00832E00">
        <w:rPr>
          <w:lang w:val="lv-LV"/>
        </w:rPr>
        <w:t>38544/97</w:t>
      </w:r>
      <w:r w:rsidR="00D73073">
        <w:rPr>
          <w:lang w:val="lv-LV"/>
        </w:rPr>
        <w:t xml:space="preserve">, 2002. gada 4. jūlijs; un </w:t>
      </w:r>
      <w:proofErr w:type="spellStart"/>
      <w:r w:rsidR="00D73073" w:rsidRPr="00832E00">
        <w:rPr>
          <w:i/>
          <w:szCs w:val="24"/>
          <w:lang w:val="lv-LV"/>
        </w:rPr>
        <w:t>Prischl</w:t>
      </w:r>
      <w:proofErr w:type="spellEnd"/>
      <w:r w:rsidR="00D73073">
        <w:rPr>
          <w:i/>
          <w:szCs w:val="24"/>
          <w:lang w:val="lv-LV"/>
        </w:rPr>
        <w:t xml:space="preserve"> pret Austriju</w:t>
      </w:r>
      <w:r w:rsidR="00D73073" w:rsidRPr="009E1FF6">
        <w:rPr>
          <w:szCs w:val="24"/>
          <w:lang w:val="lv-LV"/>
        </w:rPr>
        <w:t>,</w:t>
      </w:r>
      <w:r w:rsidR="00D73073">
        <w:rPr>
          <w:i/>
          <w:szCs w:val="24"/>
          <w:lang w:val="lv-LV"/>
        </w:rPr>
        <w:t xml:space="preserve"> </w:t>
      </w:r>
      <w:r w:rsidR="00D73073">
        <w:rPr>
          <w:szCs w:val="24"/>
          <w:lang w:val="lv-LV"/>
        </w:rPr>
        <w:t xml:space="preserve">Nr. </w:t>
      </w:r>
      <w:r w:rsidR="00D73073" w:rsidRPr="00832E00">
        <w:rPr>
          <w:szCs w:val="24"/>
          <w:lang w:val="lv-LV"/>
        </w:rPr>
        <w:t>2881/04</w:t>
      </w:r>
      <w:r w:rsidR="00D73073">
        <w:rPr>
          <w:szCs w:val="24"/>
          <w:lang w:val="lv-LV"/>
        </w:rPr>
        <w:t>, 20.-22. rindkopa, 2007. gada 26. aprīlis).</w:t>
      </w:r>
    </w:p>
    <w:p w:rsidR="00D73073" w:rsidRPr="00D73073" w:rsidRDefault="00BA6AB3" w:rsidP="00EA08F6">
      <w:pPr>
        <w:pStyle w:val="ECHRPara"/>
        <w:rPr>
          <w:szCs w:val="24"/>
          <w:lang w:val="lv-LV"/>
        </w:rPr>
      </w:pPr>
      <w:r w:rsidRPr="00832E00">
        <w:rPr>
          <w:szCs w:val="24"/>
          <w:lang w:val="lv-LV"/>
        </w:rPr>
        <w:fldChar w:fldCharType="begin"/>
      </w:r>
      <w:r w:rsidRPr="00832E00">
        <w:rPr>
          <w:szCs w:val="24"/>
          <w:lang w:val="lv-LV"/>
        </w:rPr>
        <w:instrText xml:space="preserve"> SEQ level0 \*arabic </w:instrText>
      </w:r>
      <w:r w:rsidRPr="00832E00">
        <w:rPr>
          <w:szCs w:val="24"/>
          <w:lang w:val="lv-LV"/>
        </w:rPr>
        <w:fldChar w:fldCharType="separate"/>
      </w:r>
      <w:r w:rsidR="00DC5D38" w:rsidRPr="00832E00">
        <w:rPr>
          <w:noProof/>
          <w:szCs w:val="24"/>
          <w:lang w:val="lv-LV"/>
        </w:rPr>
        <w:t>47</w:t>
      </w:r>
      <w:r w:rsidRPr="00832E00">
        <w:rPr>
          <w:szCs w:val="24"/>
          <w:lang w:val="lv-LV"/>
        </w:rPr>
        <w:fldChar w:fldCharType="end"/>
      </w:r>
      <w:r w:rsidRPr="00832E00">
        <w:rPr>
          <w:szCs w:val="24"/>
          <w:lang w:val="lv-LV"/>
        </w:rPr>
        <w:t>.  </w:t>
      </w:r>
      <w:r w:rsidR="00D73073">
        <w:rPr>
          <w:szCs w:val="24"/>
          <w:lang w:val="lv-LV"/>
        </w:rPr>
        <w:t>Bijis tikai viens izņēmums, kad tiesas sēde konstitucionālajā tiesā bijusi nepieciešama, proti, kad tiesa bijusi vienīgā institūcija, kas spējusi izšķirt strīdu starp iesniedzēju un nacionālajām varas iestādēm (</w:t>
      </w:r>
      <w:r w:rsidR="0080547F">
        <w:rPr>
          <w:szCs w:val="24"/>
          <w:lang w:val="lv-LV"/>
        </w:rPr>
        <w:t xml:space="preserve">lieta </w:t>
      </w:r>
      <w:proofErr w:type="spellStart"/>
      <w:r w:rsidR="00D73073" w:rsidRPr="00832E00">
        <w:rPr>
          <w:i/>
          <w:lang w:val="lv-LV"/>
        </w:rPr>
        <w:t>Kugler</w:t>
      </w:r>
      <w:proofErr w:type="spellEnd"/>
      <w:r w:rsidR="00D73073">
        <w:rPr>
          <w:i/>
          <w:lang w:val="lv-LV"/>
        </w:rPr>
        <w:t xml:space="preserve"> pret Austriju</w:t>
      </w:r>
      <w:r w:rsidR="00D73073" w:rsidRPr="00D73073">
        <w:rPr>
          <w:lang w:val="lv-LV"/>
        </w:rPr>
        <w:t xml:space="preserve">, Nr. </w:t>
      </w:r>
      <w:r w:rsidR="00D73073" w:rsidRPr="00832E00">
        <w:rPr>
          <w:lang w:val="lv-LV"/>
        </w:rPr>
        <w:t>65631/01</w:t>
      </w:r>
      <w:r w:rsidR="00D73073">
        <w:rPr>
          <w:lang w:val="lv-LV"/>
        </w:rPr>
        <w:t xml:space="preserve">, 50. rindkopa, 2010. gada 14. oktobris). Valdība norādīja, ka </w:t>
      </w:r>
      <w:r w:rsidR="00D360FD">
        <w:rPr>
          <w:lang w:val="lv-LV"/>
        </w:rPr>
        <w:t>iepriekšminētais</w:t>
      </w:r>
      <w:r w:rsidR="00D73073">
        <w:rPr>
          <w:lang w:val="lv-LV"/>
        </w:rPr>
        <w:t xml:space="preserve"> izņēmums šajā gadījumā nav attiecināms. Noklausīšanās likumība jau bija </w:t>
      </w:r>
      <w:r w:rsidR="00D360FD">
        <w:rPr>
          <w:lang w:val="lv-LV"/>
        </w:rPr>
        <w:t>izvērtēta</w:t>
      </w:r>
      <w:r w:rsidR="00D73073">
        <w:rPr>
          <w:lang w:val="lv-LV"/>
        </w:rPr>
        <w:t xml:space="preserve"> prokuratūrā, kas savos </w:t>
      </w:r>
      <w:r w:rsidR="00D360FD">
        <w:rPr>
          <w:lang w:val="lv-LV"/>
        </w:rPr>
        <w:t>apsvērumos</w:t>
      </w:r>
      <w:r w:rsidR="00D73073">
        <w:rPr>
          <w:lang w:val="lv-LV"/>
        </w:rPr>
        <w:t xml:space="preserve"> veica tiesu varas </w:t>
      </w:r>
      <w:r w:rsidR="00B56F37">
        <w:rPr>
          <w:lang w:val="lv-LV"/>
        </w:rPr>
        <w:t>institūcijas</w:t>
      </w:r>
      <w:r w:rsidR="00D73073">
        <w:rPr>
          <w:lang w:val="lv-LV"/>
        </w:rPr>
        <w:t xml:space="preserve"> funkcijas, un </w:t>
      </w:r>
      <w:r w:rsidR="00B56F37">
        <w:rPr>
          <w:lang w:val="lv-LV"/>
        </w:rPr>
        <w:t>rezultātā iegūto pierādījumu pieņemamība tik</w:t>
      </w:r>
      <w:r w:rsidR="00D360FD">
        <w:rPr>
          <w:lang w:val="lv-LV"/>
        </w:rPr>
        <w:t>a</w:t>
      </w:r>
      <w:r w:rsidR="00B56F37">
        <w:rPr>
          <w:lang w:val="lv-LV"/>
        </w:rPr>
        <w:t xml:space="preserve"> izskatīta kriminālprocesā, kur tiesas sēdes jau tika noturētas pirmajā un otrajā instancē. Satversmes tiesa skata tikai jautājumus, kas attiecas uz apstrīdēto tiesību normu atbilstību Satversmei. Visbeidzot, nebija nekādas informācijas par to, kādēļ šo sūdzību nevarētu izskatīt, izmantojot tikai lietas materiālus (viņi atsaucās uz Satversmes tiesas likuma 28.</w:t>
      </w:r>
      <w:r w:rsidR="00B56F37" w:rsidRPr="00B56F37">
        <w:rPr>
          <w:vertAlign w:val="superscript"/>
          <w:lang w:val="lv-LV"/>
        </w:rPr>
        <w:t>1</w:t>
      </w:r>
      <w:r w:rsidR="00B56F37">
        <w:rPr>
          <w:lang w:val="lv-LV"/>
        </w:rPr>
        <w:t xml:space="preserve"> pantu).</w:t>
      </w:r>
    </w:p>
    <w:p w:rsidR="00853B75" w:rsidRPr="00832E00" w:rsidRDefault="008B7742" w:rsidP="00EA08F6">
      <w:pPr>
        <w:pStyle w:val="ECHRHeading3"/>
        <w:rPr>
          <w:lang w:val="lv-LV"/>
        </w:rPr>
      </w:pPr>
      <w:r w:rsidRPr="00832E00">
        <w:rPr>
          <w:lang w:val="lv-LV"/>
        </w:rPr>
        <w:t>2.</w:t>
      </w:r>
      <w:r w:rsidR="00853B75" w:rsidRPr="00832E00">
        <w:rPr>
          <w:lang w:val="lv-LV"/>
        </w:rPr>
        <w:t>  </w:t>
      </w:r>
      <w:r w:rsidR="00B56F37">
        <w:rPr>
          <w:lang w:val="lv-LV"/>
        </w:rPr>
        <w:t>Tiesas vērtējums</w:t>
      </w:r>
    </w:p>
    <w:p w:rsidR="00B56F37" w:rsidRPr="002A3CAA"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48</w:t>
      </w:r>
      <w:r w:rsidRPr="00832E00">
        <w:rPr>
          <w:noProof/>
          <w:lang w:val="lv-LV"/>
        </w:rPr>
        <w:fldChar w:fldCharType="end"/>
      </w:r>
      <w:r w:rsidR="003023B0" w:rsidRPr="00832E00">
        <w:rPr>
          <w:lang w:val="lv-LV"/>
        </w:rPr>
        <w:t>.  </w:t>
      </w:r>
      <w:r w:rsidR="00B56F37">
        <w:rPr>
          <w:lang w:val="lv-LV"/>
        </w:rPr>
        <w:t xml:space="preserve">Tiesa atzīst ne vien konstitucionālo tiesu īpašo uzdevumu un statusu, bet arī konstitucionālo sūdzību īpašo raksturu, kas tajās valstīs, kuras ir izstrādājušas tiesību normas individuāla pieteikuma iesniegšanai, sniedz iedzīvotājiem papildu tiesisko aizsardzību nacionālā līmenī attiecībā pret viņu pamattiesībām, kas noteiktas </w:t>
      </w:r>
      <w:r w:rsidR="00791397">
        <w:rPr>
          <w:lang w:val="lv-LV"/>
        </w:rPr>
        <w:t>konstitūcijā</w:t>
      </w:r>
      <w:r w:rsidR="00B56F37">
        <w:rPr>
          <w:lang w:val="lv-LV"/>
        </w:rPr>
        <w:t xml:space="preserve"> (skatīt</w:t>
      </w:r>
      <w:r w:rsidR="00D360FD">
        <w:rPr>
          <w:lang w:val="lv-LV"/>
        </w:rPr>
        <w:t xml:space="preserve"> lietas</w:t>
      </w:r>
      <w:r w:rsidR="00B56F37">
        <w:rPr>
          <w:lang w:val="lv-LV"/>
        </w:rPr>
        <w:t xml:space="preserve"> </w:t>
      </w:r>
      <w:proofErr w:type="spellStart"/>
      <w:r w:rsidR="00B56F37" w:rsidRPr="00832E00">
        <w:rPr>
          <w:i/>
          <w:lang w:val="lv-LV"/>
        </w:rPr>
        <w:t>Süßmann</w:t>
      </w:r>
      <w:proofErr w:type="spellEnd"/>
      <w:r w:rsidR="00B56F37" w:rsidRPr="00B56F37">
        <w:rPr>
          <w:lang w:val="lv-LV"/>
        </w:rPr>
        <w:t>,</w:t>
      </w:r>
      <w:r w:rsidR="00B56F37">
        <w:rPr>
          <w:i/>
          <w:lang w:val="lv-LV"/>
        </w:rPr>
        <w:t xml:space="preserve"> </w:t>
      </w:r>
      <w:r w:rsidR="00B56F37">
        <w:rPr>
          <w:lang w:val="lv-LV"/>
        </w:rPr>
        <w:t xml:space="preserve">citēta iepriekš, 37. rindkopa, un </w:t>
      </w:r>
      <w:proofErr w:type="spellStart"/>
      <w:r w:rsidR="00B56F37" w:rsidRPr="00832E00">
        <w:rPr>
          <w:i/>
          <w:lang w:val="lv-LV"/>
        </w:rPr>
        <w:t>Hesse-Anger</w:t>
      </w:r>
      <w:proofErr w:type="spellEnd"/>
      <w:r w:rsidR="00B56F37" w:rsidRPr="00832E00">
        <w:rPr>
          <w:i/>
          <w:lang w:val="lv-LV"/>
        </w:rPr>
        <w:t xml:space="preserve"> </w:t>
      </w:r>
      <w:r w:rsidR="00B56F37">
        <w:rPr>
          <w:i/>
          <w:lang w:val="lv-LV"/>
        </w:rPr>
        <w:t>un</w:t>
      </w:r>
      <w:r w:rsidR="00B56F37" w:rsidRPr="00832E00">
        <w:rPr>
          <w:i/>
          <w:lang w:val="lv-LV"/>
        </w:rPr>
        <w:t xml:space="preserve"> </w:t>
      </w:r>
      <w:proofErr w:type="spellStart"/>
      <w:r w:rsidR="00B56F37" w:rsidRPr="00832E00">
        <w:rPr>
          <w:i/>
          <w:lang w:val="lv-LV"/>
        </w:rPr>
        <w:t>Anger</w:t>
      </w:r>
      <w:proofErr w:type="spellEnd"/>
      <w:r w:rsidR="00B56F37">
        <w:rPr>
          <w:i/>
          <w:lang w:val="lv-LV"/>
        </w:rPr>
        <w:t xml:space="preserve"> pret Vāciju </w:t>
      </w:r>
      <w:r w:rsidR="00B56F37">
        <w:rPr>
          <w:lang w:val="lv-LV"/>
        </w:rPr>
        <w:t xml:space="preserve">(lēmums), Nr. </w:t>
      </w:r>
      <w:r w:rsidR="00B56F37" w:rsidRPr="00832E00">
        <w:rPr>
          <w:lang w:val="lv-LV"/>
        </w:rPr>
        <w:t>45835/99</w:t>
      </w:r>
      <w:r w:rsidR="00B56F37">
        <w:rPr>
          <w:lang w:val="lv-LV"/>
        </w:rPr>
        <w:t>,</w:t>
      </w:r>
      <w:r w:rsidR="00B56F37" w:rsidRPr="00B56F37">
        <w:rPr>
          <w:lang w:val="lv-LV"/>
        </w:rPr>
        <w:t xml:space="preserve"> </w:t>
      </w:r>
      <w:r w:rsidR="00B56F37" w:rsidRPr="00832E00">
        <w:rPr>
          <w:lang w:val="lv-LV"/>
        </w:rPr>
        <w:t>ECHR 2001</w:t>
      </w:r>
      <w:r w:rsidR="00B56F37" w:rsidRPr="00832E00">
        <w:rPr>
          <w:lang w:val="lv-LV"/>
        </w:rPr>
        <w:noBreakHyphen/>
        <w:t>VI</w:t>
      </w:r>
      <w:r w:rsidR="00B56F37">
        <w:rPr>
          <w:lang w:val="lv-LV"/>
        </w:rPr>
        <w:t xml:space="preserve"> (izraksti)).</w:t>
      </w:r>
      <w:r w:rsidR="002A3CAA">
        <w:rPr>
          <w:lang w:val="lv-LV"/>
        </w:rPr>
        <w:t xml:space="preserve"> Tiesvedībai </w:t>
      </w:r>
      <w:r w:rsidR="00791397">
        <w:rPr>
          <w:lang w:val="lv-LV"/>
        </w:rPr>
        <w:t>konstitucionālajā</w:t>
      </w:r>
      <w:r w:rsidR="002A3CAA">
        <w:rPr>
          <w:lang w:val="lv-LV"/>
        </w:rPr>
        <w:t xml:space="preserve"> tiesā ir noteikti raksturlielumi, kas ņem vērā piemērojamo </w:t>
      </w:r>
      <w:r w:rsidR="00D360FD">
        <w:rPr>
          <w:lang w:val="lv-LV"/>
        </w:rPr>
        <w:t>tiesību</w:t>
      </w:r>
      <w:r w:rsidR="002A3CAA">
        <w:rPr>
          <w:lang w:val="lv-LV"/>
        </w:rPr>
        <w:t xml:space="preserve"> normu īpašo raksturu un konstitucionālā lēmuma ietekmi uz spēkā esošo tiesisko sistēmu. </w:t>
      </w:r>
      <w:r w:rsidR="00D360FD">
        <w:rPr>
          <w:lang w:val="lv-LV"/>
        </w:rPr>
        <w:t>Tie</w:t>
      </w:r>
      <w:r w:rsidR="002A3CAA">
        <w:rPr>
          <w:lang w:val="lv-LV"/>
        </w:rPr>
        <w:t xml:space="preserve"> arī </w:t>
      </w:r>
      <w:r w:rsidR="00D360FD">
        <w:rPr>
          <w:lang w:val="lv-LV"/>
        </w:rPr>
        <w:t>dod</w:t>
      </w:r>
      <w:r w:rsidR="002A3CAA">
        <w:rPr>
          <w:lang w:val="lv-LV"/>
        </w:rPr>
        <w:t xml:space="preserve"> tiesības vienai institūcijai izskatīt lielu skaitu lietu par ārkārtīgi dažādiem jautājumiem (skatīt</w:t>
      </w:r>
      <w:r w:rsidR="00791397">
        <w:rPr>
          <w:lang w:val="lv-LV"/>
        </w:rPr>
        <w:t xml:space="preserve"> lietu</w:t>
      </w:r>
      <w:r w:rsidR="002A3CAA">
        <w:rPr>
          <w:lang w:val="lv-LV"/>
        </w:rPr>
        <w:t xml:space="preserve"> </w:t>
      </w:r>
      <w:proofErr w:type="spellStart"/>
      <w:r w:rsidR="002A3CAA" w:rsidRPr="00832E00">
        <w:rPr>
          <w:i/>
          <w:lang w:val="lv-LV"/>
        </w:rPr>
        <w:t>Ruiz-Mateos</w:t>
      </w:r>
      <w:proofErr w:type="spellEnd"/>
      <w:r w:rsidR="002A3CAA">
        <w:rPr>
          <w:i/>
          <w:lang w:val="lv-LV"/>
        </w:rPr>
        <w:t xml:space="preserve"> pret Spāniju</w:t>
      </w:r>
      <w:r w:rsidR="002A3CAA" w:rsidRPr="0080547F">
        <w:rPr>
          <w:lang w:val="lv-LV"/>
        </w:rPr>
        <w:t>,</w:t>
      </w:r>
      <w:r w:rsidR="002A3CAA">
        <w:rPr>
          <w:i/>
          <w:lang w:val="lv-LV"/>
        </w:rPr>
        <w:t xml:space="preserve"> </w:t>
      </w:r>
      <w:r w:rsidR="002A3CAA">
        <w:rPr>
          <w:lang w:val="lv-LV"/>
        </w:rPr>
        <w:lastRenderedPageBreak/>
        <w:t>1993. gada 23. jūnijs, 63. rindkopa, A sērijas Nr. 262). Konstitucionālā tiesvedība var tikt ierobežota līdz to jautājumu izskatīšanai, kas skar atbilstību konstitūcijai, taču ne vienmēr ietver tiešu un pilnīgu civilo tiesību noteikšanu (skatīt</w:t>
      </w:r>
      <w:r w:rsidR="00791397">
        <w:rPr>
          <w:lang w:val="lv-LV"/>
        </w:rPr>
        <w:t xml:space="preserve"> lietu</w:t>
      </w:r>
      <w:r w:rsidR="002A3CAA">
        <w:rPr>
          <w:lang w:val="lv-LV"/>
        </w:rPr>
        <w:t xml:space="preserve"> </w:t>
      </w:r>
      <w:proofErr w:type="spellStart"/>
      <w:r w:rsidR="002A3CAA" w:rsidRPr="00832E00">
        <w:rPr>
          <w:i/>
          <w:lang w:val="lv-LV"/>
        </w:rPr>
        <w:t>Malhous</w:t>
      </w:r>
      <w:proofErr w:type="spellEnd"/>
      <w:r w:rsidR="002A3CAA">
        <w:rPr>
          <w:i/>
          <w:lang w:val="lv-LV"/>
        </w:rPr>
        <w:t xml:space="preserve"> pret Čehijas Republiku </w:t>
      </w:r>
      <w:r w:rsidR="002A3CAA">
        <w:rPr>
          <w:lang w:val="lv-LV"/>
        </w:rPr>
        <w:t>[Lielā palāta</w:t>
      </w:r>
      <w:r w:rsidR="00791397">
        <w:rPr>
          <w:lang w:val="lv-LV"/>
        </w:rPr>
        <w:t>]</w:t>
      </w:r>
      <w:r w:rsidR="002A3CAA">
        <w:rPr>
          <w:lang w:val="lv-LV"/>
        </w:rPr>
        <w:t xml:space="preserve">, Nr. </w:t>
      </w:r>
      <w:r w:rsidR="002A3CAA" w:rsidRPr="00832E00">
        <w:rPr>
          <w:lang w:val="lv-LV"/>
        </w:rPr>
        <w:t>33071/96</w:t>
      </w:r>
      <w:r w:rsidR="002A3CAA">
        <w:rPr>
          <w:lang w:val="lv-LV"/>
        </w:rPr>
        <w:t>, 62. rindkopa, 2011. gada 12. jūlijs).</w:t>
      </w:r>
    </w:p>
    <w:p w:rsidR="002A3CAA" w:rsidRPr="00FD5E2E"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49</w:t>
      </w:r>
      <w:r w:rsidRPr="00832E00">
        <w:rPr>
          <w:noProof/>
          <w:lang w:val="lv-LV"/>
        </w:rPr>
        <w:fldChar w:fldCharType="end"/>
      </w:r>
      <w:r w:rsidR="002B0289" w:rsidRPr="00832E00">
        <w:rPr>
          <w:lang w:val="lv-LV"/>
        </w:rPr>
        <w:t>.  </w:t>
      </w:r>
      <w:r w:rsidR="002A3CAA">
        <w:rPr>
          <w:lang w:val="lv-LV"/>
        </w:rPr>
        <w:t>Tiesa atzīst, ka Latvijas Satversmes tiesa</w:t>
      </w:r>
      <w:r w:rsidR="003F7371">
        <w:rPr>
          <w:lang w:val="lv-LV"/>
        </w:rPr>
        <w:t>,</w:t>
      </w:r>
      <w:r w:rsidR="002A3CAA">
        <w:rPr>
          <w:lang w:val="lv-LV"/>
        </w:rPr>
        <w:t xml:space="preserve"> cita starpā</w:t>
      </w:r>
      <w:r w:rsidR="003F7371">
        <w:rPr>
          <w:lang w:val="lv-LV"/>
        </w:rPr>
        <w:t>,</w:t>
      </w:r>
      <w:r w:rsidR="002A3CAA">
        <w:rPr>
          <w:lang w:val="lv-LV"/>
        </w:rPr>
        <w:t xml:space="preserve"> izskata individuālas sūdzības, kurās apstrīdēta tiesību normas </w:t>
      </w:r>
      <w:proofErr w:type="spellStart"/>
      <w:r w:rsidR="002A3CAA" w:rsidRPr="002A3CAA">
        <w:rPr>
          <w:lang w:val="lv-LV"/>
        </w:rPr>
        <w:t>konstitucionalitāte</w:t>
      </w:r>
      <w:proofErr w:type="spellEnd"/>
      <w:r w:rsidR="002A3CAA">
        <w:rPr>
          <w:lang w:val="lv-LV"/>
        </w:rPr>
        <w:t xml:space="preserve"> vai atbilstība tiesību normai ar augstāku juridisko spēku (skatīt nesen </w:t>
      </w:r>
      <w:r w:rsidR="001A0C78">
        <w:rPr>
          <w:lang w:val="lv-LV"/>
        </w:rPr>
        <w:t>izskatītu lietu</w:t>
      </w:r>
      <w:r w:rsidR="002A3CAA">
        <w:rPr>
          <w:lang w:val="lv-LV"/>
        </w:rPr>
        <w:t xml:space="preserve"> </w:t>
      </w:r>
      <w:proofErr w:type="spellStart"/>
      <w:r w:rsidR="00FD5E2E" w:rsidRPr="00832E00">
        <w:rPr>
          <w:i/>
          <w:lang w:val="lv-LV"/>
        </w:rPr>
        <w:t>Larionovs</w:t>
      </w:r>
      <w:proofErr w:type="spellEnd"/>
      <w:r w:rsidR="00FD5E2E" w:rsidRPr="00832E00">
        <w:rPr>
          <w:i/>
          <w:lang w:val="lv-LV"/>
        </w:rPr>
        <w:t xml:space="preserve"> </w:t>
      </w:r>
      <w:r w:rsidR="00FD5E2E">
        <w:rPr>
          <w:i/>
          <w:lang w:val="lv-LV"/>
        </w:rPr>
        <w:t>un</w:t>
      </w:r>
      <w:r w:rsidR="00FD5E2E" w:rsidRPr="00832E00">
        <w:rPr>
          <w:i/>
          <w:lang w:val="lv-LV"/>
        </w:rPr>
        <w:t xml:space="preserve"> </w:t>
      </w:r>
      <w:proofErr w:type="spellStart"/>
      <w:r w:rsidR="00FD5E2E" w:rsidRPr="00832E00">
        <w:rPr>
          <w:i/>
          <w:lang w:val="lv-LV"/>
        </w:rPr>
        <w:t>Tess</w:t>
      </w:r>
      <w:proofErr w:type="spellEnd"/>
      <w:r w:rsidR="00FD5E2E">
        <w:rPr>
          <w:i/>
          <w:lang w:val="lv-LV"/>
        </w:rPr>
        <w:t xml:space="preserve"> pret Latviju </w:t>
      </w:r>
      <w:r w:rsidR="00FD5E2E">
        <w:rPr>
          <w:lang w:val="lv-LV"/>
        </w:rPr>
        <w:t xml:space="preserve">(lēmums), Nr. </w:t>
      </w:r>
      <w:r w:rsidR="00FD5E2E" w:rsidRPr="00832E00">
        <w:rPr>
          <w:lang w:val="lv-LV"/>
        </w:rPr>
        <w:t xml:space="preserve">45520/04 </w:t>
      </w:r>
      <w:r w:rsidR="00FD5E2E">
        <w:rPr>
          <w:lang w:val="lv-LV"/>
        </w:rPr>
        <w:t>un</w:t>
      </w:r>
      <w:r w:rsidR="00FD5E2E" w:rsidRPr="00832E00">
        <w:rPr>
          <w:lang w:val="lv-LV"/>
        </w:rPr>
        <w:t xml:space="preserve"> 19363/05</w:t>
      </w:r>
      <w:r w:rsidR="00FD5E2E">
        <w:rPr>
          <w:lang w:val="lv-LV"/>
        </w:rPr>
        <w:t>, 141.-</w:t>
      </w:r>
      <w:r w:rsidR="003F7371">
        <w:rPr>
          <w:lang w:val="lv-LV"/>
        </w:rPr>
        <w:t xml:space="preserve"> </w:t>
      </w:r>
      <w:r w:rsidR="00FD5E2E">
        <w:rPr>
          <w:lang w:val="lv-LV"/>
        </w:rPr>
        <w:t xml:space="preserve">142. rindkopa, 2014. gada 25. novembris). Lai gan tiesas sēdes </w:t>
      </w:r>
      <w:r w:rsidR="00D14792">
        <w:rPr>
          <w:lang w:val="lv-LV"/>
        </w:rPr>
        <w:t>atklātais</w:t>
      </w:r>
      <w:r w:rsidR="00FD5E2E">
        <w:rPr>
          <w:lang w:val="lv-LV"/>
        </w:rPr>
        <w:t xml:space="preserve"> </w:t>
      </w:r>
      <w:r w:rsidR="001A0C78">
        <w:rPr>
          <w:lang w:val="lv-LV"/>
        </w:rPr>
        <w:t>raksturs ir fundamentāls princips</w:t>
      </w:r>
      <w:r w:rsidR="00FD5E2E">
        <w:rPr>
          <w:lang w:val="lv-LV"/>
        </w:rPr>
        <w:t xml:space="preserve">, </w:t>
      </w:r>
      <w:r w:rsidR="003F7371">
        <w:rPr>
          <w:lang w:val="lv-LV"/>
        </w:rPr>
        <w:t>Konvencijas</w:t>
      </w:r>
      <w:r w:rsidR="00FD5E2E">
        <w:rPr>
          <w:lang w:val="lv-LV"/>
        </w:rPr>
        <w:t xml:space="preserve"> 6. panta 1. </w:t>
      </w:r>
      <w:r w:rsidR="005E02AF">
        <w:rPr>
          <w:lang w:val="lv-LV"/>
        </w:rPr>
        <w:t>punktā</w:t>
      </w:r>
      <w:r w:rsidR="00FD5E2E">
        <w:rPr>
          <w:lang w:val="lv-LV"/>
        </w:rPr>
        <w:t xml:space="preserve"> nav garantētas </w:t>
      </w:r>
      <w:r w:rsidR="003F7371">
        <w:rPr>
          <w:lang w:val="lv-LV"/>
        </w:rPr>
        <w:t>neierobežotas tiesības uz atklātu</w:t>
      </w:r>
      <w:r w:rsidR="00FD5E2E">
        <w:rPr>
          <w:lang w:val="lv-LV"/>
        </w:rPr>
        <w:t xml:space="preserve"> tiesas sēdi neatkarīgi no izskatāmo jautājumu rakstura (skatīt</w:t>
      </w:r>
      <w:r w:rsidR="001A0C78">
        <w:rPr>
          <w:lang w:val="lv-LV"/>
        </w:rPr>
        <w:t xml:space="preserve"> lietu</w:t>
      </w:r>
      <w:r w:rsidR="00FD5E2E">
        <w:rPr>
          <w:lang w:val="lv-LV"/>
        </w:rPr>
        <w:t xml:space="preserve"> </w:t>
      </w:r>
      <w:proofErr w:type="spellStart"/>
      <w:r w:rsidR="00FD5E2E" w:rsidRPr="00832E00">
        <w:rPr>
          <w:i/>
          <w:lang w:val="lv-LV"/>
        </w:rPr>
        <w:t>Hesse-Anger</w:t>
      </w:r>
      <w:proofErr w:type="spellEnd"/>
      <w:r w:rsidR="00FD5E2E" w:rsidRPr="00832E00">
        <w:rPr>
          <w:i/>
          <w:lang w:val="lv-LV"/>
        </w:rPr>
        <w:t xml:space="preserve"> </w:t>
      </w:r>
      <w:r w:rsidR="00FD5E2E">
        <w:rPr>
          <w:i/>
          <w:lang w:val="lv-LV"/>
        </w:rPr>
        <w:t>un</w:t>
      </w:r>
      <w:r w:rsidR="00FD5E2E" w:rsidRPr="00832E00">
        <w:rPr>
          <w:i/>
          <w:lang w:val="lv-LV"/>
        </w:rPr>
        <w:t xml:space="preserve"> </w:t>
      </w:r>
      <w:proofErr w:type="spellStart"/>
      <w:r w:rsidR="00FD5E2E" w:rsidRPr="00832E00">
        <w:rPr>
          <w:i/>
          <w:lang w:val="lv-LV"/>
        </w:rPr>
        <w:t>Anger</w:t>
      </w:r>
      <w:proofErr w:type="spellEnd"/>
      <w:r w:rsidR="00FD5E2E" w:rsidRPr="001A0C78">
        <w:rPr>
          <w:lang w:val="lv-LV"/>
        </w:rPr>
        <w:t>,</w:t>
      </w:r>
      <w:r w:rsidR="00FD5E2E">
        <w:rPr>
          <w:i/>
          <w:lang w:val="lv-LV"/>
        </w:rPr>
        <w:t xml:space="preserve"> </w:t>
      </w:r>
      <w:r w:rsidR="00FD5E2E">
        <w:rPr>
          <w:lang w:val="lv-LV"/>
        </w:rPr>
        <w:t>citēta iepriekš). Tiesas sēde var nebūt nepieciešama gadījumos, kad, piemēram, nav nekādu jautājumu par faktu vai tiesību aktu, ko nevar pieņemami atrisināt, pamatojoties uz lietas materiāliem un pušu rakstiskajiem paskaidrojumiem (skatīt daudzu citu starpā</w:t>
      </w:r>
      <w:r w:rsidR="001A0C78">
        <w:rPr>
          <w:lang w:val="lv-LV"/>
        </w:rPr>
        <w:t xml:space="preserve"> lietu</w:t>
      </w:r>
      <w:r w:rsidR="00FD5E2E">
        <w:rPr>
          <w:lang w:val="lv-LV"/>
        </w:rPr>
        <w:t xml:space="preserve"> </w:t>
      </w:r>
      <w:proofErr w:type="spellStart"/>
      <w:r w:rsidR="00FD5E2E" w:rsidRPr="00832E00">
        <w:rPr>
          <w:i/>
          <w:lang w:val="lv-LV"/>
        </w:rPr>
        <w:t>Keskinen</w:t>
      </w:r>
      <w:proofErr w:type="spellEnd"/>
      <w:r w:rsidR="00FD5E2E" w:rsidRPr="00832E00">
        <w:rPr>
          <w:i/>
          <w:lang w:val="lv-LV"/>
        </w:rPr>
        <w:t xml:space="preserve"> </w:t>
      </w:r>
      <w:r w:rsidR="001A0C78">
        <w:rPr>
          <w:i/>
          <w:lang w:val="lv-LV"/>
        </w:rPr>
        <w:t>un</w:t>
      </w:r>
      <w:r w:rsidR="00FD5E2E" w:rsidRPr="00832E00">
        <w:rPr>
          <w:i/>
          <w:lang w:val="lv-LV"/>
        </w:rPr>
        <w:t xml:space="preserve"> </w:t>
      </w:r>
      <w:proofErr w:type="spellStart"/>
      <w:r w:rsidR="00FD5E2E" w:rsidRPr="00832E00">
        <w:rPr>
          <w:i/>
          <w:lang w:val="lv-LV"/>
        </w:rPr>
        <w:t>Veljekset</w:t>
      </w:r>
      <w:proofErr w:type="spellEnd"/>
      <w:r w:rsidR="00FD5E2E" w:rsidRPr="00832E00">
        <w:rPr>
          <w:i/>
          <w:lang w:val="lv-LV"/>
        </w:rPr>
        <w:t xml:space="preserve"> </w:t>
      </w:r>
      <w:proofErr w:type="spellStart"/>
      <w:r w:rsidR="00FD5E2E" w:rsidRPr="00832E00">
        <w:rPr>
          <w:i/>
          <w:lang w:val="lv-LV"/>
        </w:rPr>
        <w:t>Keskinen</w:t>
      </w:r>
      <w:proofErr w:type="spellEnd"/>
      <w:r w:rsidR="00FD5E2E" w:rsidRPr="00832E00">
        <w:rPr>
          <w:i/>
          <w:lang w:val="lv-LV"/>
        </w:rPr>
        <w:t xml:space="preserve"> </w:t>
      </w:r>
      <w:proofErr w:type="spellStart"/>
      <w:r w:rsidR="00FD5E2E" w:rsidRPr="00832E00">
        <w:rPr>
          <w:i/>
          <w:lang w:val="lv-LV"/>
        </w:rPr>
        <w:t>Oy</w:t>
      </w:r>
      <w:proofErr w:type="spellEnd"/>
      <w:r w:rsidR="00FD5E2E" w:rsidRPr="00832E00">
        <w:rPr>
          <w:i/>
          <w:lang w:val="lv-LV"/>
        </w:rPr>
        <w:t xml:space="preserve"> </w:t>
      </w:r>
      <w:r w:rsidR="00FD5E2E">
        <w:rPr>
          <w:i/>
          <w:lang w:val="lv-LV"/>
        </w:rPr>
        <w:t>pret Somiju</w:t>
      </w:r>
      <w:r w:rsidR="00FD5E2E" w:rsidRPr="001A0C78">
        <w:rPr>
          <w:lang w:val="lv-LV"/>
        </w:rPr>
        <w:t xml:space="preserve">, </w:t>
      </w:r>
      <w:r w:rsidR="00FD5E2E" w:rsidRPr="00FD5E2E">
        <w:rPr>
          <w:lang w:val="lv-LV"/>
        </w:rPr>
        <w:t>Nr. 34721/</w:t>
      </w:r>
      <w:r w:rsidR="00FD5E2E" w:rsidRPr="00832E00">
        <w:rPr>
          <w:lang w:val="lv-LV"/>
        </w:rPr>
        <w:t>09</w:t>
      </w:r>
      <w:r w:rsidR="00FD5E2E">
        <w:rPr>
          <w:lang w:val="lv-LV"/>
        </w:rPr>
        <w:t xml:space="preserve">, 33. rindkopa, 2012. gada 5. jūnijs). </w:t>
      </w:r>
    </w:p>
    <w:p w:rsidR="00FD5E2E" w:rsidRPr="00DE3882"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50</w:t>
      </w:r>
      <w:r w:rsidRPr="00832E00">
        <w:rPr>
          <w:noProof/>
          <w:lang w:val="lv-LV"/>
        </w:rPr>
        <w:fldChar w:fldCharType="end"/>
      </w:r>
      <w:r w:rsidR="000A0E11" w:rsidRPr="00832E00">
        <w:rPr>
          <w:lang w:val="lv-LV"/>
        </w:rPr>
        <w:t>.  </w:t>
      </w:r>
      <w:r w:rsidR="00FD5E2E">
        <w:rPr>
          <w:lang w:val="lv-LV"/>
        </w:rPr>
        <w:t xml:space="preserve">Tiesa norāda, ka pats iesniedzējs atzina, ka rakstveida process Satversmes tiesā pats par sevi nepārkāpa viņa tiesības tikt uzklausītam. No viņa iesniegumiem Tiesā kļūst skaidrs, ka viņš tikai vēlējās izteikt savu viedokli tiesvedības agrākā stadijā nekā noteikts tiesību aktos. Tiesa norāda, ka tiesnesis atbildēja uz iesniedzēja pieprasījumu, izskaidrojot attiecīgo kārtību un tiesvedības stadijas </w:t>
      </w:r>
      <w:r w:rsidR="00DE3882">
        <w:rPr>
          <w:lang w:val="lv-LV"/>
        </w:rPr>
        <w:t xml:space="preserve">Satversmes tiesā, atsaucoties uz piemērojamajām nacionālo tiesību aktu normām. It īpaši tiesnesis norādīja, ka iesniedzējs varēs iepazīties ar lietas materiāliem vēlākā stadijā, proti, pēc lēmuma pieņemšanas par lietas izskatīšanu (skatīt iepriekš 18. rindkopu). Līdz ar to iesniedzējam bija iespēja iesniegt savus komentārus par lietas materiāliem, ieskaitot Saeimas un </w:t>
      </w:r>
      <w:r w:rsidR="00AF524C">
        <w:rPr>
          <w:lang w:val="lv-LV"/>
        </w:rPr>
        <w:t xml:space="preserve">visus </w:t>
      </w:r>
      <w:r w:rsidR="00DE3882">
        <w:rPr>
          <w:lang w:val="lv-LV"/>
        </w:rPr>
        <w:t>pieaicināto pušu iesniegumus (atšķirībā no</w:t>
      </w:r>
      <w:r w:rsidR="00AF524C">
        <w:rPr>
          <w:lang w:val="lv-LV"/>
        </w:rPr>
        <w:t xml:space="preserve"> lietas</w:t>
      </w:r>
      <w:r w:rsidR="00DE3882">
        <w:rPr>
          <w:lang w:val="lv-LV"/>
        </w:rPr>
        <w:t xml:space="preserve"> </w:t>
      </w:r>
      <w:proofErr w:type="spellStart"/>
      <w:r w:rsidR="00DE3882" w:rsidRPr="00832E00">
        <w:rPr>
          <w:i/>
          <w:lang w:val="lv-LV"/>
        </w:rPr>
        <w:t>Ruiz-Mateos</w:t>
      </w:r>
      <w:r w:rsidR="00DE3882" w:rsidRPr="00AF524C">
        <w:rPr>
          <w:lang w:val="lv-LV"/>
        </w:rPr>
        <w:t>,</w:t>
      </w:r>
      <w:proofErr w:type="spellEnd"/>
      <w:r w:rsidR="00DE3882">
        <w:rPr>
          <w:i/>
          <w:lang w:val="lv-LV"/>
        </w:rPr>
        <w:t xml:space="preserve"> </w:t>
      </w:r>
      <w:r w:rsidR="00DE3882">
        <w:rPr>
          <w:lang w:val="lv-LV"/>
        </w:rPr>
        <w:t>citēta iepriekš, 65.-</w:t>
      </w:r>
      <w:r w:rsidR="005A12C7">
        <w:rPr>
          <w:lang w:val="lv-LV"/>
        </w:rPr>
        <w:t xml:space="preserve"> </w:t>
      </w:r>
      <w:r w:rsidR="00DE3882">
        <w:rPr>
          <w:lang w:val="lv-LV"/>
        </w:rPr>
        <w:t xml:space="preserve">68. rindkopa). </w:t>
      </w:r>
      <w:r w:rsidR="00AF524C">
        <w:rPr>
          <w:lang w:val="lv-LV"/>
        </w:rPr>
        <w:t xml:space="preserve"> </w:t>
      </w:r>
    </w:p>
    <w:p w:rsidR="00DE3882" w:rsidRPr="0062166A"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51</w:t>
      </w:r>
      <w:r w:rsidRPr="00832E00">
        <w:rPr>
          <w:noProof/>
          <w:lang w:val="lv-LV"/>
        </w:rPr>
        <w:fldChar w:fldCharType="end"/>
      </w:r>
      <w:r w:rsidR="009C159D" w:rsidRPr="00832E00">
        <w:rPr>
          <w:lang w:val="lv-LV"/>
        </w:rPr>
        <w:t>. </w:t>
      </w:r>
      <w:r w:rsidR="00DE3882">
        <w:rPr>
          <w:lang w:val="lv-LV"/>
        </w:rPr>
        <w:t xml:space="preserve">Saistībā ar iesniedzēja sūdzību par to, ka pierādījumus ieguva attiecīgais tiesnesis, Tiesa norāda, ka konstitucionālajā tiesvedībā atbilstoši Latvijas tiesību aktiem visus nepieciešamos pierādījumus un informāciju iegūst lietai norīkotais tiesnesis, lai sagatavotu lietu izskatīšanai (skatīt iepriekš 34. rindkopu). Šajā lietā iesniedzējs atzina, ka viņš varēja – un to arī izdarīja – iepazīties ar lietas materiāliem un </w:t>
      </w:r>
      <w:r w:rsidR="00AF524C">
        <w:rPr>
          <w:lang w:val="lv-LV"/>
        </w:rPr>
        <w:t xml:space="preserve">ka </w:t>
      </w:r>
      <w:r w:rsidR="00DE3882">
        <w:rPr>
          <w:lang w:val="lv-LV"/>
        </w:rPr>
        <w:t xml:space="preserve">viņam bija iespēja izteikt savu viedokli arī par iespējamību noturēt lietā mutisku tiesas sēdi pirms rīcības sēdes (skatīt iepriekš 21.-22. un 45. rindkopu). </w:t>
      </w:r>
      <w:r w:rsidR="0062166A">
        <w:rPr>
          <w:lang w:val="lv-LV"/>
        </w:rPr>
        <w:t xml:space="preserve">Turklāt iesniedzējam </w:t>
      </w:r>
      <w:r w:rsidR="00AF524C">
        <w:rPr>
          <w:lang w:val="lv-LV"/>
        </w:rPr>
        <w:t xml:space="preserve">pēc rīcības sēdes </w:t>
      </w:r>
      <w:r w:rsidR="0062166A">
        <w:rPr>
          <w:lang w:val="lv-LV"/>
        </w:rPr>
        <w:t>tika sniegta iespēja sniegt komentārus par lietas materiāliem (skatīt iepriekš 23. rindkopu; atšķirībā no</w:t>
      </w:r>
      <w:r w:rsidR="00AF524C">
        <w:rPr>
          <w:lang w:val="lv-LV"/>
        </w:rPr>
        <w:t xml:space="preserve"> lietas</w:t>
      </w:r>
      <w:r w:rsidR="0062166A">
        <w:rPr>
          <w:lang w:val="lv-LV"/>
        </w:rPr>
        <w:t xml:space="preserve"> </w:t>
      </w:r>
      <w:proofErr w:type="spellStart"/>
      <w:r w:rsidR="0062166A" w:rsidRPr="00832E00">
        <w:rPr>
          <w:i/>
          <w:lang w:val="lv-LV"/>
        </w:rPr>
        <w:t>Juričić</w:t>
      </w:r>
      <w:proofErr w:type="spellEnd"/>
      <w:r w:rsidR="0062166A">
        <w:rPr>
          <w:lang w:val="lv-LV"/>
        </w:rPr>
        <w:t>, citēta iepriekš, 75.-78. rindkopa).</w:t>
      </w:r>
      <w:r w:rsidR="00AF524C">
        <w:rPr>
          <w:lang w:val="lv-LV"/>
        </w:rPr>
        <w:t xml:space="preserve"> </w:t>
      </w:r>
    </w:p>
    <w:p w:rsidR="0062166A" w:rsidRPr="0062166A"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52</w:t>
      </w:r>
      <w:r w:rsidRPr="00832E00">
        <w:rPr>
          <w:noProof/>
          <w:lang w:val="lv-LV"/>
        </w:rPr>
        <w:fldChar w:fldCharType="end"/>
      </w:r>
      <w:r w:rsidR="0060187B" w:rsidRPr="00832E00">
        <w:rPr>
          <w:lang w:val="lv-LV"/>
        </w:rPr>
        <w:t>.</w:t>
      </w:r>
      <w:r w:rsidR="00270DC5" w:rsidRPr="00832E00">
        <w:rPr>
          <w:lang w:val="lv-LV"/>
        </w:rPr>
        <w:t>  </w:t>
      </w:r>
      <w:r w:rsidR="0062166A">
        <w:rPr>
          <w:lang w:val="lv-LV"/>
        </w:rPr>
        <w:t xml:space="preserve">Turpinājumā Tiesa </w:t>
      </w:r>
      <w:r w:rsidR="00AF524C">
        <w:rPr>
          <w:lang w:val="lv-LV"/>
        </w:rPr>
        <w:t>izvērtēs</w:t>
      </w:r>
      <w:r w:rsidR="0062166A">
        <w:rPr>
          <w:lang w:val="lv-LV"/>
        </w:rPr>
        <w:t xml:space="preserve"> iesniedzēja </w:t>
      </w:r>
      <w:r w:rsidR="00AF524C">
        <w:rPr>
          <w:lang w:val="lv-LV"/>
        </w:rPr>
        <w:t>apsvērumu</w:t>
      </w:r>
      <w:r w:rsidR="0062166A">
        <w:rPr>
          <w:lang w:val="lv-LV"/>
        </w:rPr>
        <w:t xml:space="preserve"> par </w:t>
      </w:r>
      <w:r w:rsidR="00AF524C">
        <w:rPr>
          <w:lang w:val="lv-LV"/>
        </w:rPr>
        <w:t xml:space="preserve">to, ka </w:t>
      </w:r>
      <w:r w:rsidR="005A12C7">
        <w:rPr>
          <w:lang w:val="lv-LV"/>
        </w:rPr>
        <w:t xml:space="preserve">tiesas sēde </w:t>
      </w:r>
      <w:r w:rsidR="00AF524C">
        <w:rPr>
          <w:lang w:val="lv-LV"/>
        </w:rPr>
        <w:t>Satversmes tiesā ne</w:t>
      </w:r>
      <w:r w:rsidR="005A12C7">
        <w:rPr>
          <w:lang w:val="lv-LV"/>
        </w:rPr>
        <w:t>bija atklāta</w:t>
      </w:r>
      <w:r w:rsidR="0062166A">
        <w:rPr>
          <w:lang w:val="lv-LV"/>
        </w:rPr>
        <w:t xml:space="preserve">. Šajā lietā Satversmes tiesa bija vienīgā kompetentā tiesu </w:t>
      </w:r>
      <w:r w:rsidR="00601F67">
        <w:rPr>
          <w:lang w:val="lv-LV"/>
        </w:rPr>
        <w:t>institūcija</w:t>
      </w:r>
      <w:r w:rsidR="0062166A">
        <w:rPr>
          <w:lang w:val="lv-LV"/>
        </w:rPr>
        <w:t xml:space="preserve"> iesniedzēja sūdzības izskatīšanai (skatīt </w:t>
      </w:r>
      <w:proofErr w:type="spellStart"/>
      <w:r w:rsidR="0062166A" w:rsidRPr="00832E00">
        <w:rPr>
          <w:i/>
          <w:lang w:val="lv-LV"/>
        </w:rPr>
        <w:t>mutatis</w:t>
      </w:r>
      <w:proofErr w:type="spellEnd"/>
      <w:r w:rsidR="0062166A" w:rsidRPr="00832E00">
        <w:rPr>
          <w:i/>
          <w:lang w:val="lv-LV"/>
        </w:rPr>
        <w:t xml:space="preserve"> </w:t>
      </w:r>
      <w:proofErr w:type="spellStart"/>
      <w:r w:rsidR="0062166A" w:rsidRPr="00832E00">
        <w:rPr>
          <w:i/>
          <w:lang w:val="lv-LV"/>
        </w:rPr>
        <w:lastRenderedPageBreak/>
        <w:t>mutandis</w:t>
      </w:r>
      <w:proofErr w:type="spellEnd"/>
      <w:r w:rsidR="00AF524C">
        <w:rPr>
          <w:i/>
          <w:lang w:val="lv-LV"/>
        </w:rPr>
        <w:t xml:space="preserve"> </w:t>
      </w:r>
      <w:r w:rsidR="00AF524C">
        <w:rPr>
          <w:lang w:val="lv-LV"/>
        </w:rPr>
        <w:t>lietu</w:t>
      </w:r>
      <w:r w:rsidR="0062166A" w:rsidRPr="0062166A">
        <w:rPr>
          <w:i/>
          <w:lang w:val="lv-LV"/>
        </w:rPr>
        <w:t xml:space="preserve"> </w:t>
      </w:r>
      <w:proofErr w:type="spellStart"/>
      <w:r w:rsidR="0062166A" w:rsidRPr="00832E00">
        <w:rPr>
          <w:i/>
          <w:lang w:val="lv-LV"/>
        </w:rPr>
        <w:t>Hesse-Anger</w:t>
      </w:r>
      <w:proofErr w:type="spellEnd"/>
      <w:r w:rsidR="0062166A" w:rsidRPr="00832E00">
        <w:rPr>
          <w:i/>
          <w:lang w:val="lv-LV"/>
        </w:rPr>
        <w:t xml:space="preserve"> </w:t>
      </w:r>
      <w:r w:rsidR="0062166A">
        <w:rPr>
          <w:i/>
          <w:lang w:val="lv-LV"/>
        </w:rPr>
        <w:t>un</w:t>
      </w:r>
      <w:r w:rsidR="0062166A" w:rsidRPr="00832E00">
        <w:rPr>
          <w:i/>
          <w:lang w:val="lv-LV"/>
        </w:rPr>
        <w:t xml:space="preserve"> </w:t>
      </w:r>
      <w:proofErr w:type="spellStart"/>
      <w:r w:rsidR="0062166A" w:rsidRPr="00832E00">
        <w:rPr>
          <w:i/>
          <w:lang w:val="lv-LV"/>
        </w:rPr>
        <w:t>Anger</w:t>
      </w:r>
      <w:proofErr w:type="spellEnd"/>
      <w:r w:rsidR="0062166A" w:rsidRPr="00AF524C">
        <w:rPr>
          <w:lang w:val="lv-LV"/>
        </w:rPr>
        <w:t>,</w:t>
      </w:r>
      <w:r w:rsidR="0062166A">
        <w:rPr>
          <w:i/>
          <w:lang w:val="lv-LV"/>
        </w:rPr>
        <w:t xml:space="preserve"> </w:t>
      </w:r>
      <w:r w:rsidR="0062166A">
        <w:rPr>
          <w:lang w:val="lv-LV"/>
        </w:rPr>
        <w:t>citēta iepriekš). Ja tiesvedība tiek not</w:t>
      </w:r>
      <w:r w:rsidR="005A12C7">
        <w:rPr>
          <w:lang w:val="lv-LV"/>
        </w:rPr>
        <w:t xml:space="preserve">iek </w:t>
      </w:r>
      <w:r w:rsidR="0062166A">
        <w:rPr>
          <w:lang w:val="lv-LV"/>
        </w:rPr>
        <w:t xml:space="preserve">tikai vienā </w:t>
      </w:r>
      <w:r w:rsidR="005A12C7">
        <w:rPr>
          <w:lang w:val="lv-LV"/>
        </w:rPr>
        <w:t>instancē</w:t>
      </w:r>
      <w:r w:rsidR="0062166A">
        <w:rPr>
          <w:lang w:val="lv-LV"/>
        </w:rPr>
        <w:t xml:space="preserve">, tiesības uz </w:t>
      </w:r>
      <w:r w:rsidR="0062166A" w:rsidRPr="00832E00">
        <w:rPr>
          <w:lang w:val="lv-LV"/>
        </w:rPr>
        <w:t>“</w:t>
      </w:r>
      <w:r w:rsidR="00A64EA6">
        <w:rPr>
          <w:lang w:val="lv-LV"/>
        </w:rPr>
        <w:t>atklātu</w:t>
      </w:r>
      <w:r w:rsidR="0062166A">
        <w:rPr>
          <w:lang w:val="lv-LV"/>
        </w:rPr>
        <w:t xml:space="preserve"> tiesas sēdi” Konvencijas 6. panta 1. </w:t>
      </w:r>
      <w:r w:rsidR="005E02AF">
        <w:rPr>
          <w:lang w:val="lv-LV"/>
        </w:rPr>
        <w:t>punkta</w:t>
      </w:r>
      <w:r w:rsidR="0062166A">
        <w:rPr>
          <w:lang w:val="lv-LV"/>
        </w:rPr>
        <w:t xml:space="preserve"> izpratnē patiešām var radīt noteiktas tiesības uz </w:t>
      </w:r>
      <w:r w:rsidR="0062166A" w:rsidRPr="00832E00">
        <w:rPr>
          <w:lang w:val="lv-LV"/>
        </w:rPr>
        <w:t>“</w:t>
      </w:r>
      <w:r w:rsidR="005A12C7">
        <w:rPr>
          <w:lang w:val="lv-LV"/>
        </w:rPr>
        <w:t>mutvārdu</w:t>
      </w:r>
      <w:r w:rsidR="0062166A">
        <w:rPr>
          <w:lang w:val="lv-LV"/>
        </w:rPr>
        <w:t xml:space="preserve"> tiesas sēdi” </w:t>
      </w:r>
      <w:proofErr w:type="gramStart"/>
      <w:r w:rsidR="0062166A">
        <w:rPr>
          <w:lang w:val="lv-LV"/>
        </w:rPr>
        <w:t>(</w:t>
      </w:r>
      <w:proofErr w:type="gramEnd"/>
      <w:r w:rsidR="0062166A">
        <w:rPr>
          <w:lang w:val="lv-LV"/>
        </w:rPr>
        <w:t>skatīt</w:t>
      </w:r>
      <w:r w:rsidR="00F06375">
        <w:rPr>
          <w:lang w:val="lv-LV"/>
        </w:rPr>
        <w:t xml:space="preserve"> lietu</w:t>
      </w:r>
      <w:r w:rsidR="0062166A">
        <w:rPr>
          <w:lang w:val="lv-LV"/>
        </w:rPr>
        <w:t xml:space="preserve"> </w:t>
      </w:r>
      <w:proofErr w:type="spellStart"/>
      <w:r w:rsidR="0062166A" w:rsidRPr="00832E00">
        <w:rPr>
          <w:i/>
          <w:lang w:val="lv-LV"/>
        </w:rPr>
        <w:t>Fredin</w:t>
      </w:r>
      <w:proofErr w:type="spellEnd"/>
      <w:r w:rsidR="0062166A">
        <w:rPr>
          <w:i/>
          <w:lang w:val="lv-LV"/>
        </w:rPr>
        <w:t xml:space="preserve"> </w:t>
      </w:r>
      <w:r w:rsidR="0062166A" w:rsidRPr="0062166A">
        <w:rPr>
          <w:i/>
          <w:lang w:val="lv-LV"/>
        </w:rPr>
        <w:t>pret Zviedriju</w:t>
      </w:r>
      <w:r w:rsidR="0062166A">
        <w:rPr>
          <w:lang w:val="lv-LV"/>
        </w:rPr>
        <w:t xml:space="preserve"> </w:t>
      </w:r>
      <w:r w:rsidR="00F06375">
        <w:rPr>
          <w:lang w:val="lv-LV"/>
        </w:rPr>
        <w:t>(</w:t>
      </w:r>
      <w:r w:rsidR="0062166A" w:rsidRPr="0062166A">
        <w:rPr>
          <w:i/>
          <w:lang w:val="lv-LV"/>
        </w:rPr>
        <w:t>Nr. 2)</w:t>
      </w:r>
      <w:r w:rsidR="0062166A">
        <w:rPr>
          <w:lang w:val="lv-LV"/>
        </w:rPr>
        <w:t xml:space="preserve">, 1994. gada 23. februāris, 21. rindkopa, A sērijas Nr. 283-A). Taču </w:t>
      </w:r>
      <w:r w:rsidR="00AF524C">
        <w:rPr>
          <w:lang w:val="lv-LV"/>
        </w:rPr>
        <w:t>T</w:t>
      </w:r>
      <w:r w:rsidR="0062166A">
        <w:rPr>
          <w:lang w:val="lv-LV"/>
        </w:rPr>
        <w:t xml:space="preserve">iesa norāda, ka šajā gadījumā tika izskatīta tiesību normu </w:t>
      </w:r>
      <w:proofErr w:type="spellStart"/>
      <w:r w:rsidR="0062166A">
        <w:rPr>
          <w:lang w:val="lv-LV"/>
        </w:rPr>
        <w:t>konstitucionalitāte</w:t>
      </w:r>
      <w:proofErr w:type="spellEnd"/>
      <w:r w:rsidR="0062166A">
        <w:rPr>
          <w:lang w:val="lv-LV"/>
        </w:rPr>
        <w:t>, nevis jautājumi, kas saistīti ar faktiem, kā norādījis iesniedzējs.</w:t>
      </w:r>
    </w:p>
    <w:p w:rsidR="0062166A"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53</w:t>
      </w:r>
      <w:r w:rsidRPr="00832E00">
        <w:rPr>
          <w:noProof/>
          <w:lang w:val="lv-LV"/>
        </w:rPr>
        <w:fldChar w:fldCharType="end"/>
      </w:r>
      <w:r w:rsidR="00E0506F" w:rsidRPr="00832E00">
        <w:rPr>
          <w:lang w:val="lv-LV"/>
        </w:rPr>
        <w:t>.  </w:t>
      </w:r>
      <w:r w:rsidR="0062166A">
        <w:rPr>
          <w:lang w:val="lv-LV"/>
        </w:rPr>
        <w:t xml:space="preserve">Šajā lietā Satversmes tiesa nolēma, ka lietas materiāli ir pietiekami, lai </w:t>
      </w:r>
      <w:r w:rsidR="00F95243">
        <w:rPr>
          <w:lang w:val="lv-LV"/>
        </w:rPr>
        <w:t xml:space="preserve">atbilstoši nacionālajiem tiesību aktiem izskatītu </w:t>
      </w:r>
      <w:r w:rsidR="0062166A">
        <w:rPr>
          <w:lang w:val="lv-LV"/>
        </w:rPr>
        <w:t xml:space="preserve">lietu rakstveida procesā (skatīt iepriekš 23. rindkopu). Iesniedzējs nesūdzējās, ka lēmums būtu pieņemts </w:t>
      </w:r>
      <w:r w:rsidR="00AB22A4">
        <w:rPr>
          <w:lang w:val="lv-LV"/>
        </w:rPr>
        <w:t>patvarīgi</w:t>
      </w:r>
      <w:r w:rsidR="0062166A">
        <w:rPr>
          <w:lang w:val="lv-LV"/>
        </w:rPr>
        <w:t xml:space="preserve">. Viņš tikai vēlējās </w:t>
      </w:r>
      <w:r w:rsidR="0062166A" w:rsidRPr="00832E00">
        <w:rPr>
          <w:lang w:val="lv-LV"/>
        </w:rPr>
        <w:t>“</w:t>
      </w:r>
      <w:r w:rsidR="0062166A">
        <w:rPr>
          <w:lang w:val="lv-LV"/>
        </w:rPr>
        <w:t xml:space="preserve">personīgi izskaidrot” savu nostāju Satversmes tiesā, nesniedzot saviem </w:t>
      </w:r>
      <w:r w:rsidR="00F95243">
        <w:rPr>
          <w:lang w:val="lv-LV"/>
        </w:rPr>
        <w:t>apsvērumiem</w:t>
      </w:r>
      <w:r w:rsidR="0062166A">
        <w:rPr>
          <w:lang w:val="lv-LV"/>
        </w:rPr>
        <w:t xml:space="preserve"> </w:t>
      </w:r>
      <w:r w:rsidR="00F95243">
        <w:rPr>
          <w:lang w:val="lv-LV"/>
        </w:rPr>
        <w:t>tālāku</w:t>
      </w:r>
      <w:r w:rsidR="0062166A">
        <w:rPr>
          <w:lang w:val="lv-LV"/>
        </w:rPr>
        <w:t xml:space="preserve"> pamatojumu. </w:t>
      </w:r>
      <w:r w:rsidR="001B7F06">
        <w:rPr>
          <w:lang w:val="lv-LV"/>
        </w:rPr>
        <w:t>Iesniedzējs šajā sakarā tikai norādīja, ka šāda lēmuma pieņemšanai nav bijis nekāda tiesiska pamatojuma. Valdība atsaucās uz Satversmes tiesas likuma 28.</w:t>
      </w:r>
      <w:r w:rsidR="001B7F06" w:rsidRPr="001B7F06">
        <w:rPr>
          <w:vertAlign w:val="superscript"/>
          <w:lang w:val="lv-LV"/>
        </w:rPr>
        <w:t>1</w:t>
      </w:r>
      <w:r w:rsidR="001B7F06">
        <w:rPr>
          <w:lang w:val="lv-LV"/>
        </w:rPr>
        <w:t xml:space="preserve"> pantu, un iesniedzējs to neapstrīdēja.</w:t>
      </w:r>
      <w:r w:rsidR="00F95243">
        <w:rPr>
          <w:lang w:val="lv-LV"/>
        </w:rPr>
        <w:t xml:space="preserve"> </w:t>
      </w:r>
    </w:p>
    <w:p w:rsidR="001B7F06" w:rsidRDefault="00A03563" w:rsidP="00EA08F6">
      <w:pPr>
        <w:pStyle w:val="ECHRPara"/>
        <w:rPr>
          <w:szCs w:val="24"/>
          <w:lang w:val="lv-LV"/>
        </w:rPr>
      </w:pPr>
      <w:r w:rsidRPr="00832E00">
        <w:rPr>
          <w:szCs w:val="24"/>
          <w:lang w:val="lv-LV"/>
        </w:rPr>
        <w:fldChar w:fldCharType="begin"/>
      </w:r>
      <w:r w:rsidRPr="00832E00">
        <w:rPr>
          <w:szCs w:val="24"/>
          <w:lang w:val="lv-LV"/>
        </w:rPr>
        <w:instrText xml:space="preserve"> SEQ level0 \*arabic </w:instrText>
      </w:r>
      <w:r w:rsidRPr="00832E00">
        <w:rPr>
          <w:szCs w:val="24"/>
          <w:lang w:val="lv-LV"/>
        </w:rPr>
        <w:fldChar w:fldCharType="separate"/>
      </w:r>
      <w:r w:rsidR="00DC5D38" w:rsidRPr="00832E00">
        <w:rPr>
          <w:noProof/>
          <w:szCs w:val="24"/>
          <w:lang w:val="lv-LV"/>
        </w:rPr>
        <w:t>54</w:t>
      </w:r>
      <w:r w:rsidRPr="00832E00">
        <w:rPr>
          <w:szCs w:val="24"/>
          <w:lang w:val="lv-LV"/>
        </w:rPr>
        <w:fldChar w:fldCharType="end"/>
      </w:r>
      <w:r w:rsidR="001B7F06">
        <w:rPr>
          <w:szCs w:val="24"/>
          <w:lang w:val="lv-LV"/>
        </w:rPr>
        <w:t>. Iepriekšminētie apsv</w:t>
      </w:r>
      <w:r w:rsidR="00631BA0">
        <w:rPr>
          <w:szCs w:val="24"/>
          <w:lang w:val="lv-LV"/>
        </w:rPr>
        <w:t>ērumi ir pietiekami, lai ļautu T</w:t>
      </w:r>
      <w:r w:rsidR="001B7F06">
        <w:rPr>
          <w:szCs w:val="24"/>
          <w:lang w:val="lv-LV"/>
        </w:rPr>
        <w:t xml:space="preserve">iesai secināt, ka šajā lietā nebija nepieciešams noturēt </w:t>
      </w:r>
      <w:r w:rsidR="00D14792">
        <w:rPr>
          <w:szCs w:val="24"/>
          <w:lang w:val="lv-LV"/>
        </w:rPr>
        <w:t>atklātu</w:t>
      </w:r>
      <w:r w:rsidR="001B7F06">
        <w:rPr>
          <w:szCs w:val="24"/>
          <w:lang w:val="lv-LV"/>
        </w:rPr>
        <w:t xml:space="preserve"> tiesas sēdi Satversmes tiesā. Pat ja pieņemam, ka 6. panta 1. </w:t>
      </w:r>
      <w:r w:rsidR="005E02AF">
        <w:rPr>
          <w:szCs w:val="24"/>
          <w:lang w:val="lv-LV"/>
        </w:rPr>
        <w:t>punkts ir attiecināms</w:t>
      </w:r>
      <w:r w:rsidR="001B7F06">
        <w:rPr>
          <w:szCs w:val="24"/>
          <w:lang w:val="lv-LV"/>
        </w:rPr>
        <w:t xml:space="preserve"> uz konstitucionālo tiesvedību, no tā izriet, ka šī sūdzība ir acīmredzami nepamatota un noraidāma atbilstoši Konvencijas 35. panta 3. </w:t>
      </w:r>
      <w:r w:rsidR="005E02AF">
        <w:rPr>
          <w:szCs w:val="24"/>
          <w:lang w:val="lv-LV"/>
        </w:rPr>
        <w:t>punkta</w:t>
      </w:r>
      <w:r w:rsidR="001B7F06">
        <w:rPr>
          <w:szCs w:val="24"/>
          <w:lang w:val="lv-LV"/>
        </w:rPr>
        <w:t xml:space="preserve"> a. apakšpunktam un 4. </w:t>
      </w:r>
      <w:r w:rsidR="005E02AF">
        <w:rPr>
          <w:szCs w:val="24"/>
          <w:lang w:val="lv-LV"/>
        </w:rPr>
        <w:t>punktam</w:t>
      </w:r>
      <w:r w:rsidR="001B7F06">
        <w:rPr>
          <w:szCs w:val="24"/>
          <w:lang w:val="lv-LV"/>
        </w:rPr>
        <w:t xml:space="preserve">. </w:t>
      </w:r>
    </w:p>
    <w:p w:rsidR="001B7F06" w:rsidRDefault="00712EAD" w:rsidP="00EA08F6">
      <w:pPr>
        <w:pStyle w:val="ECHRHeading1"/>
        <w:rPr>
          <w:lang w:val="lv-LV"/>
        </w:rPr>
      </w:pPr>
      <w:r w:rsidRPr="00832E00">
        <w:rPr>
          <w:lang w:val="lv-LV"/>
        </w:rPr>
        <w:t>II</w:t>
      </w:r>
      <w:r w:rsidR="005A12C7">
        <w:rPr>
          <w:lang w:val="lv-LV"/>
        </w:rPr>
        <w:t>.</w:t>
      </w:r>
      <w:r w:rsidR="001B7F06">
        <w:rPr>
          <w:lang w:val="lv-LV"/>
        </w:rPr>
        <w:t xml:space="preserve"> APGALVOTAIS KONVENCIJAS 8. PANTA PĀRKĀPUMS</w:t>
      </w:r>
    </w:p>
    <w:p w:rsidR="001B7F06"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55</w:t>
      </w:r>
      <w:r w:rsidRPr="00832E00">
        <w:rPr>
          <w:noProof/>
          <w:lang w:val="lv-LV"/>
        </w:rPr>
        <w:fldChar w:fldCharType="end"/>
      </w:r>
      <w:r w:rsidR="00014566" w:rsidRPr="00832E00">
        <w:rPr>
          <w:lang w:val="lv-LV"/>
        </w:rPr>
        <w:t>.  </w:t>
      </w:r>
      <w:r w:rsidR="001B7F06">
        <w:rPr>
          <w:lang w:val="lv-LV"/>
        </w:rPr>
        <w:t xml:space="preserve">Iesniedzējs sūdzējās, ka, noklausoties viņa telefonsarunas, pārkāptas viņa tiesības uz privātās dzīves un </w:t>
      </w:r>
      <w:r w:rsidR="005A12C7">
        <w:rPr>
          <w:lang w:val="lv-LV"/>
        </w:rPr>
        <w:t>korespondences</w:t>
      </w:r>
      <w:r w:rsidR="001B7F06">
        <w:rPr>
          <w:lang w:val="lv-LV"/>
        </w:rPr>
        <w:t xml:space="preserve"> neaizskaramību. Konvencijas 8. pants attiecināmajā daļā izteikts šādā redakcijā:</w:t>
      </w:r>
    </w:p>
    <w:p w:rsidR="001B7F06" w:rsidRDefault="001B7F06" w:rsidP="00EA08F6">
      <w:pPr>
        <w:pStyle w:val="ECHRPara"/>
        <w:rPr>
          <w:lang w:val="lv-LV"/>
        </w:rPr>
      </w:pPr>
    </w:p>
    <w:p w:rsidR="001B7F06" w:rsidRDefault="002170FD" w:rsidP="00EA08F6">
      <w:pPr>
        <w:pStyle w:val="ECHRParaQuote"/>
        <w:rPr>
          <w:lang w:val="lv-LV"/>
        </w:rPr>
      </w:pPr>
      <w:r w:rsidRPr="00832E00">
        <w:rPr>
          <w:lang w:val="lv-LV"/>
        </w:rPr>
        <w:t>“1. </w:t>
      </w:r>
      <w:r w:rsidR="001B7F06" w:rsidRPr="001B7F06">
        <w:rPr>
          <w:lang w:val="lv-LV"/>
        </w:rPr>
        <w:t xml:space="preserve">Ikvienam ir tiesības uz savas privātās </w:t>
      </w:r>
      <w:r w:rsidR="001B7F06">
        <w:rPr>
          <w:lang w:val="lv-LV"/>
        </w:rPr>
        <w:t>[..]</w:t>
      </w:r>
      <w:r w:rsidR="001B7F06" w:rsidRPr="001B7F06">
        <w:rPr>
          <w:lang w:val="lv-LV"/>
        </w:rPr>
        <w:t xml:space="preserve"> dzīves</w:t>
      </w:r>
      <w:r w:rsidR="001B7F06">
        <w:rPr>
          <w:lang w:val="lv-LV"/>
        </w:rPr>
        <w:t xml:space="preserve"> [..]</w:t>
      </w:r>
      <w:r w:rsidR="001B7F06" w:rsidRPr="001B7F06">
        <w:rPr>
          <w:lang w:val="lv-LV"/>
        </w:rPr>
        <w:t xml:space="preserve"> un </w:t>
      </w:r>
      <w:r w:rsidR="005A12C7">
        <w:rPr>
          <w:lang w:val="lv-LV"/>
        </w:rPr>
        <w:t>korespondences</w:t>
      </w:r>
      <w:r w:rsidR="001B7F06" w:rsidRPr="001B7F06">
        <w:rPr>
          <w:lang w:val="lv-LV"/>
        </w:rPr>
        <w:t xml:space="preserve"> neaizskaramību</w:t>
      </w:r>
      <w:r w:rsidR="00631BA0">
        <w:rPr>
          <w:lang w:val="lv-LV"/>
        </w:rPr>
        <w:t>.</w:t>
      </w:r>
    </w:p>
    <w:p w:rsidR="001B7F06" w:rsidRDefault="002170FD" w:rsidP="00EA08F6">
      <w:pPr>
        <w:pStyle w:val="ECHRParaQuote"/>
        <w:rPr>
          <w:lang w:val="lv-LV"/>
        </w:rPr>
      </w:pPr>
      <w:r w:rsidRPr="00832E00">
        <w:rPr>
          <w:lang w:val="lv-LV"/>
        </w:rPr>
        <w:t>2.  </w:t>
      </w:r>
      <w:r w:rsidR="001B7F06" w:rsidRPr="001B7F06">
        <w:rPr>
          <w:lang w:val="lv-LV"/>
        </w:rPr>
        <w:t>Publiskās institūcijas nedrīkst traucēt nevienam baudīt šīs tiesības, izņemot gadījumus, kas ir paredzēti likumā un ir nepieciešami demokrātiskā sabiedrībā, lai aizsargātu valsts vai sabiedrisko drošību vai valsts ekonomiskās labklājības intereses, lai nepieļautu nekārtības vai noziegumus, lai aizsargātu veselību vai tikumību vai lai aizstāvētu citu tiesības un brīvības.</w:t>
      </w:r>
      <w:r w:rsidR="001B7F06">
        <w:rPr>
          <w:lang w:val="lv-LV"/>
        </w:rPr>
        <w:t>”</w:t>
      </w:r>
    </w:p>
    <w:p w:rsidR="00014566" w:rsidRPr="00832E00"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56</w:t>
      </w:r>
      <w:r w:rsidRPr="00832E00">
        <w:rPr>
          <w:noProof/>
          <w:lang w:val="lv-LV"/>
        </w:rPr>
        <w:fldChar w:fldCharType="end"/>
      </w:r>
      <w:r w:rsidR="00014566" w:rsidRPr="00832E00">
        <w:rPr>
          <w:lang w:val="lv-LV"/>
        </w:rPr>
        <w:t>.  </w:t>
      </w:r>
      <w:r w:rsidR="001B7F06">
        <w:rPr>
          <w:lang w:val="lv-LV"/>
        </w:rPr>
        <w:t xml:space="preserve">Valdība apstrīdēja šo argumentu. </w:t>
      </w:r>
    </w:p>
    <w:p w:rsidR="002170FD" w:rsidRPr="00832E00" w:rsidRDefault="002170FD" w:rsidP="00EA08F6">
      <w:pPr>
        <w:pStyle w:val="ECHRHeading2"/>
        <w:rPr>
          <w:lang w:val="lv-LV"/>
        </w:rPr>
      </w:pPr>
      <w:r w:rsidRPr="00832E00">
        <w:rPr>
          <w:lang w:val="lv-LV"/>
        </w:rPr>
        <w:t>A.  </w:t>
      </w:r>
      <w:r w:rsidR="001B7F06">
        <w:rPr>
          <w:lang w:val="lv-LV"/>
        </w:rPr>
        <w:t>Pieņemamība izskatīšanai</w:t>
      </w:r>
    </w:p>
    <w:p w:rsidR="001B7F06"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57</w:t>
      </w:r>
      <w:r w:rsidRPr="00832E00">
        <w:rPr>
          <w:noProof/>
          <w:lang w:val="lv-LV"/>
        </w:rPr>
        <w:fldChar w:fldCharType="end"/>
      </w:r>
      <w:r w:rsidR="002170FD" w:rsidRPr="00832E00">
        <w:rPr>
          <w:lang w:val="lv-LV"/>
        </w:rPr>
        <w:t>.  </w:t>
      </w:r>
      <w:r w:rsidR="00AC66E5">
        <w:rPr>
          <w:lang w:val="lv-LV"/>
        </w:rPr>
        <w:t xml:space="preserve">Tiesa norāda, ka šī sūdzība nav acīmredzami nepamatota Konvencijas 35. panta 3. </w:t>
      </w:r>
      <w:r w:rsidR="005E02AF">
        <w:rPr>
          <w:lang w:val="lv-LV"/>
        </w:rPr>
        <w:t>punkta</w:t>
      </w:r>
      <w:r w:rsidR="00AC66E5">
        <w:rPr>
          <w:lang w:val="lv-LV"/>
        </w:rPr>
        <w:t xml:space="preserve"> a. apakšpunkta izpratnē. Nav noteikts cits pamatojums, lai atzītu lietu par nepieņemamu izskatīšanai. Līdz ar to tā atzīstama par pieņemamu izskatīšanai.</w:t>
      </w:r>
    </w:p>
    <w:p w:rsidR="002170FD" w:rsidRPr="00832E00" w:rsidRDefault="002170FD" w:rsidP="00EA08F6">
      <w:pPr>
        <w:pStyle w:val="ECHRHeading2"/>
        <w:rPr>
          <w:lang w:val="lv-LV"/>
        </w:rPr>
      </w:pPr>
      <w:r w:rsidRPr="00832E00">
        <w:rPr>
          <w:lang w:val="lv-LV"/>
        </w:rPr>
        <w:lastRenderedPageBreak/>
        <w:t>B.  </w:t>
      </w:r>
      <w:r w:rsidR="00AE7FA8">
        <w:rPr>
          <w:lang w:val="lv-LV"/>
        </w:rPr>
        <w:t>Lietas būtība</w:t>
      </w:r>
    </w:p>
    <w:p w:rsidR="0080678B" w:rsidRPr="00832E00" w:rsidRDefault="0080678B" w:rsidP="00EA08F6">
      <w:pPr>
        <w:pStyle w:val="ECHRHeading3"/>
        <w:rPr>
          <w:lang w:val="lv-LV"/>
        </w:rPr>
      </w:pPr>
      <w:r w:rsidRPr="00832E00">
        <w:rPr>
          <w:lang w:val="lv-LV"/>
        </w:rPr>
        <w:t>1.  </w:t>
      </w:r>
      <w:r w:rsidR="00AE7FA8">
        <w:rPr>
          <w:lang w:val="lv-LV"/>
        </w:rPr>
        <w:t>Pušu apsvērumi</w:t>
      </w:r>
    </w:p>
    <w:p w:rsidR="00AE7FA8"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58</w:t>
      </w:r>
      <w:r w:rsidRPr="00832E00">
        <w:rPr>
          <w:noProof/>
          <w:lang w:val="lv-LV"/>
        </w:rPr>
        <w:fldChar w:fldCharType="end"/>
      </w:r>
      <w:r w:rsidR="007B7C0F" w:rsidRPr="00832E00">
        <w:rPr>
          <w:lang w:val="lv-LV"/>
        </w:rPr>
        <w:t>.  </w:t>
      </w:r>
      <w:r w:rsidR="00AE7FA8">
        <w:rPr>
          <w:lang w:val="lv-LV"/>
        </w:rPr>
        <w:t xml:space="preserve">Iesniedzējs </w:t>
      </w:r>
      <w:r w:rsidR="00FF7D7A">
        <w:rPr>
          <w:lang w:val="lv-LV"/>
        </w:rPr>
        <w:t>apgalvoja</w:t>
      </w:r>
      <w:r w:rsidR="00AE7FA8">
        <w:rPr>
          <w:lang w:val="lv-LV"/>
        </w:rPr>
        <w:t xml:space="preserve">, ka pārkāptas viņa tiesības uz privātās dzīves un </w:t>
      </w:r>
      <w:r w:rsidR="005A12C7">
        <w:rPr>
          <w:lang w:val="lv-LV"/>
        </w:rPr>
        <w:t>korespondences</w:t>
      </w:r>
      <w:r w:rsidR="00AE7FA8">
        <w:rPr>
          <w:lang w:val="lv-LV"/>
        </w:rPr>
        <w:t xml:space="preserve"> neaizskaramību. Viņš nenoliedza, ka pārkāpumam bijis likumā noteikts pamatojums atbilstoši Operatīvās darbības likuma 7. panta 5. daļai. Viņš sūdzējās par likuma kvalitāti un norādīja, ka tas sniedza nacionālajām varas iestādēm pārāk lielu rīcības brīvību, lai izvēlētos, kā</w:t>
      </w:r>
      <w:proofErr w:type="gramStart"/>
      <w:r w:rsidR="00AE7FA8">
        <w:rPr>
          <w:lang w:val="lv-LV"/>
        </w:rPr>
        <w:t xml:space="preserve"> to piemērot</w:t>
      </w:r>
      <w:proofErr w:type="gramEnd"/>
      <w:r w:rsidR="00AE7FA8">
        <w:rPr>
          <w:lang w:val="lv-LV"/>
        </w:rPr>
        <w:t>, un ka</w:t>
      </w:r>
      <w:r w:rsidR="00C55AAE">
        <w:rPr>
          <w:lang w:val="lv-LV"/>
        </w:rPr>
        <w:t xml:space="preserve"> ir </w:t>
      </w:r>
      <w:r w:rsidR="00AE7FA8">
        <w:rPr>
          <w:lang w:val="lv-LV"/>
        </w:rPr>
        <w:t xml:space="preserve">iespējama </w:t>
      </w:r>
      <w:r w:rsidR="00AB22A4">
        <w:rPr>
          <w:lang w:val="lv-LV"/>
        </w:rPr>
        <w:t>patvarīga</w:t>
      </w:r>
      <w:r w:rsidR="00AE7FA8">
        <w:rPr>
          <w:lang w:val="lv-LV"/>
        </w:rPr>
        <w:t xml:space="preserve"> rīcība likuma piemērošanā. Atbilstoši 7. panta </w:t>
      </w:r>
      <w:r w:rsidR="00C55AAE">
        <w:rPr>
          <w:lang w:val="lv-LV"/>
        </w:rPr>
        <w:t>piektajai</w:t>
      </w:r>
      <w:r w:rsidR="00AE7FA8">
        <w:rPr>
          <w:lang w:val="lv-LV"/>
        </w:rPr>
        <w:t xml:space="preserve"> daļai prokuroram bija tiesības tikai apstiprināt </w:t>
      </w:r>
      <w:r w:rsidR="00631BA0">
        <w:rPr>
          <w:lang w:val="lv-LV"/>
        </w:rPr>
        <w:t>darbību</w:t>
      </w:r>
      <w:r w:rsidR="00AE7FA8">
        <w:rPr>
          <w:lang w:val="lv-LV"/>
        </w:rPr>
        <w:t xml:space="preserve">, neizskatot katras atsevišķās lietas apstākļus. Līdz ar to šī tiesību norma pieļāva veikt </w:t>
      </w:r>
      <w:r w:rsidR="00631BA0">
        <w:rPr>
          <w:lang w:val="lv-LV"/>
        </w:rPr>
        <w:t>operatīvās darbības</w:t>
      </w:r>
      <w:r w:rsidR="00AE7FA8">
        <w:rPr>
          <w:lang w:val="lv-LV"/>
        </w:rPr>
        <w:t xml:space="preserve"> bez iepriekšējas tiesu </w:t>
      </w:r>
      <w:r w:rsidR="00601F67">
        <w:rPr>
          <w:lang w:val="lv-LV"/>
        </w:rPr>
        <w:t>institūcijas</w:t>
      </w:r>
      <w:r w:rsidR="00AE7FA8">
        <w:rPr>
          <w:lang w:val="lv-LV"/>
        </w:rPr>
        <w:t xml:space="preserve"> atļaujas, nosakot tikai to, ka prokuratūra</w:t>
      </w:r>
      <w:r w:rsidR="00C55AAE">
        <w:rPr>
          <w:lang w:val="lv-LV"/>
        </w:rPr>
        <w:t xml:space="preserve"> ir jāinformē </w:t>
      </w:r>
      <w:r w:rsidR="00AE7FA8">
        <w:rPr>
          <w:lang w:val="lv-LV"/>
        </w:rPr>
        <w:t xml:space="preserve">24 stundu laikā. Iesniedzēja lietā tiesneša apstiprinājums netika </w:t>
      </w:r>
      <w:r w:rsidR="00631BA0">
        <w:rPr>
          <w:lang w:val="lv-LV"/>
        </w:rPr>
        <w:t>iegūts</w:t>
      </w:r>
      <w:r w:rsidR="00AE7FA8">
        <w:rPr>
          <w:lang w:val="lv-LV"/>
        </w:rPr>
        <w:t xml:space="preserve"> 72 stundu laikā, pārkāpjot nacionālos tiesību aktus. </w:t>
      </w:r>
      <w:r w:rsidR="00F94272">
        <w:rPr>
          <w:lang w:val="lv-LV"/>
        </w:rPr>
        <w:t xml:space="preserve">Saistībā ar likumīgo mērķi iesniedzējs norādīja, ka kriminālprocess tika ierosināts tikai 2005. gada 30. decembrī. Līdz ar to telefonsarunu noklausīšanās nevarēja notikt saistībā ar šo kriminālprocesu. Viņa </w:t>
      </w:r>
      <w:r w:rsidR="006F3CDE">
        <w:rPr>
          <w:lang w:val="lv-LV"/>
        </w:rPr>
        <w:t>ieskatā</w:t>
      </w:r>
      <w:r w:rsidR="00F94272">
        <w:rPr>
          <w:lang w:val="lv-LV"/>
        </w:rPr>
        <w:t xml:space="preserve"> telefonsarunu no</w:t>
      </w:r>
      <w:r w:rsidR="00631BA0">
        <w:rPr>
          <w:lang w:val="lv-LV"/>
        </w:rPr>
        <w:t>klausīšanās atbilstoši Operatīvās</w:t>
      </w:r>
      <w:r w:rsidR="00F94272">
        <w:rPr>
          <w:lang w:val="lv-LV"/>
        </w:rPr>
        <w:t xml:space="preserve"> darbīb</w:t>
      </w:r>
      <w:r w:rsidR="00631BA0">
        <w:rPr>
          <w:lang w:val="lv-LV"/>
        </w:rPr>
        <w:t>as</w:t>
      </w:r>
      <w:r w:rsidR="00F94272">
        <w:rPr>
          <w:lang w:val="lv-LV"/>
        </w:rPr>
        <w:t xml:space="preserve"> likumam veikta, lai apietu parasto kārtību (atbilstoši Kriminālprocesa likumam), saņemot iepriekšēju tiesneša apstiprinājumu. </w:t>
      </w:r>
    </w:p>
    <w:p w:rsidR="00DB0913" w:rsidRDefault="00E51AA2" w:rsidP="00EA08F6">
      <w:pPr>
        <w:pStyle w:val="ECHRPara"/>
        <w:tabs>
          <w:tab w:val="left" w:pos="6237"/>
        </w:tabs>
        <w:rPr>
          <w:rFonts w:ascii="Times New Roman" w:hAnsi="Times New Roman" w:cs="Times New Roman"/>
          <w:color w:val="000000"/>
          <w:lang w:val="lv-LV"/>
        </w:rPr>
      </w:pPr>
      <w:r w:rsidRPr="00832E00">
        <w:rPr>
          <w:rFonts w:ascii="Times New Roman" w:hAnsi="Times New Roman" w:cs="Times New Roman"/>
          <w:color w:val="000000"/>
          <w:lang w:val="lv-LV"/>
        </w:rPr>
        <w:fldChar w:fldCharType="begin"/>
      </w:r>
      <w:r w:rsidRPr="00832E00">
        <w:rPr>
          <w:rFonts w:ascii="Times New Roman" w:hAnsi="Times New Roman" w:cs="Times New Roman"/>
          <w:color w:val="000000"/>
          <w:lang w:val="lv-LV"/>
        </w:rPr>
        <w:instrText xml:space="preserve"> SEQ level0 \*arabic </w:instrText>
      </w:r>
      <w:r w:rsidRPr="00832E00">
        <w:rPr>
          <w:rFonts w:ascii="Times New Roman" w:hAnsi="Times New Roman" w:cs="Times New Roman"/>
          <w:color w:val="000000"/>
          <w:lang w:val="lv-LV"/>
        </w:rPr>
        <w:fldChar w:fldCharType="separate"/>
      </w:r>
      <w:r w:rsidR="00DC5D38" w:rsidRPr="00832E00">
        <w:rPr>
          <w:rFonts w:ascii="Times New Roman" w:hAnsi="Times New Roman" w:cs="Times New Roman"/>
          <w:noProof/>
          <w:color w:val="000000"/>
          <w:lang w:val="lv-LV"/>
        </w:rPr>
        <w:t>59</w:t>
      </w:r>
      <w:r w:rsidRPr="00832E00">
        <w:rPr>
          <w:rFonts w:ascii="Times New Roman" w:hAnsi="Times New Roman" w:cs="Times New Roman"/>
          <w:color w:val="000000"/>
          <w:lang w:val="lv-LV"/>
        </w:rPr>
        <w:fldChar w:fldCharType="end"/>
      </w:r>
      <w:r w:rsidRPr="00832E00">
        <w:rPr>
          <w:rFonts w:ascii="Times New Roman" w:hAnsi="Times New Roman" w:cs="Times New Roman"/>
          <w:color w:val="000000"/>
          <w:lang w:val="lv-LV"/>
        </w:rPr>
        <w:t>.  </w:t>
      </w:r>
      <w:r w:rsidR="00F94272">
        <w:rPr>
          <w:rFonts w:ascii="Times New Roman" w:hAnsi="Times New Roman" w:cs="Times New Roman"/>
          <w:color w:val="000000"/>
          <w:lang w:val="lv-LV"/>
        </w:rPr>
        <w:t>Valdība nenoliedza, ka</w:t>
      </w:r>
      <w:r w:rsidR="00C55AAE">
        <w:rPr>
          <w:rFonts w:ascii="Times New Roman" w:hAnsi="Times New Roman" w:cs="Times New Roman"/>
          <w:color w:val="000000"/>
          <w:lang w:val="lv-LV"/>
        </w:rPr>
        <w:t xml:space="preserve"> ir notikusi iejaukšanās </w:t>
      </w:r>
      <w:r w:rsidR="00F94272">
        <w:rPr>
          <w:rFonts w:ascii="Times New Roman" w:hAnsi="Times New Roman" w:cs="Times New Roman"/>
          <w:color w:val="000000"/>
          <w:lang w:val="lv-LV"/>
        </w:rPr>
        <w:t>iesniedzēja tiesīb</w:t>
      </w:r>
      <w:r w:rsidR="00C55AAE">
        <w:rPr>
          <w:rFonts w:ascii="Times New Roman" w:hAnsi="Times New Roman" w:cs="Times New Roman"/>
          <w:color w:val="000000"/>
          <w:lang w:val="lv-LV"/>
        </w:rPr>
        <w:t>ā</w:t>
      </w:r>
      <w:r w:rsidR="00F94272">
        <w:rPr>
          <w:rFonts w:ascii="Times New Roman" w:hAnsi="Times New Roman" w:cs="Times New Roman"/>
          <w:color w:val="000000"/>
          <w:lang w:val="lv-LV"/>
        </w:rPr>
        <w:t xml:space="preserve">s uz privātās dzīves un </w:t>
      </w:r>
      <w:r w:rsidR="00C55AAE">
        <w:rPr>
          <w:rFonts w:ascii="Times New Roman" w:hAnsi="Times New Roman" w:cs="Times New Roman"/>
          <w:color w:val="000000"/>
          <w:lang w:val="lv-LV"/>
        </w:rPr>
        <w:t>korespondences neaizskaramību. Taču tā</w:t>
      </w:r>
      <w:r w:rsidR="00F94272">
        <w:rPr>
          <w:rFonts w:ascii="Times New Roman" w:hAnsi="Times New Roman" w:cs="Times New Roman"/>
          <w:color w:val="000000"/>
          <w:lang w:val="lv-LV"/>
        </w:rPr>
        <w:t xml:space="preserve"> uzskatīja, ka šajā gadījumā </w:t>
      </w:r>
      <w:r w:rsidR="00C55AAE">
        <w:rPr>
          <w:rFonts w:ascii="Times New Roman" w:hAnsi="Times New Roman" w:cs="Times New Roman"/>
          <w:color w:val="000000"/>
          <w:lang w:val="lv-LV"/>
        </w:rPr>
        <w:t xml:space="preserve">iejaukšanās </w:t>
      </w:r>
      <w:r w:rsidR="00F94272">
        <w:rPr>
          <w:rFonts w:ascii="Times New Roman" w:hAnsi="Times New Roman" w:cs="Times New Roman"/>
          <w:color w:val="000000"/>
          <w:lang w:val="lv-LV"/>
        </w:rPr>
        <w:t>veikt</w:t>
      </w:r>
      <w:r w:rsidR="00C55AAE">
        <w:rPr>
          <w:rFonts w:ascii="Times New Roman" w:hAnsi="Times New Roman" w:cs="Times New Roman"/>
          <w:color w:val="000000"/>
          <w:lang w:val="lv-LV"/>
        </w:rPr>
        <w:t>a</w:t>
      </w:r>
      <w:r w:rsidR="00F94272">
        <w:rPr>
          <w:rFonts w:ascii="Times New Roman" w:hAnsi="Times New Roman" w:cs="Times New Roman"/>
          <w:color w:val="000000"/>
          <w:lang w:val="lv-LV"/>
        </w:rPr>
        <w:t xml:space="preserve"> atbilstoši tiesību aktiem, tam bijis likumīgs mērķis un tas bijis nepieciešams demokrātiskā sabiedrībā. </w:t>
      </w:r>
      <w:r w:rsidR="00C55AAE">
        <w:rPr>
          <w:rFonts w:ascii="Times New Roman" w:hAnsi="Times New Roman" w:cs="Times New Roman"/>
          <w:color w:val="000000"/>
          <w:lang w:val="lv-LV"/>
        </w:rPr>
        <w:t>Iejaukšanās notikusi</w:t>
      </w:r>
      <w:r w:rsidR="00F94272">
        <w:rPr>
          <w:rFonts w:ascii="Times New Roman" w:hAnsi="Times New Roman" w:cs="Times New Roman"/>
          <w:color w:val="000000"/>
          <w:lang w:val="lv-LV"/>
        </w:rPr>
        <w:t>, noklausoties A. B. telefonsarunas, un šāda rīcība bijusi a</w:t>
      </w:r>
      <w:r w:rsidR="00C55AAE">
        <w:rPr>
          <w:rFonts w:ascii="Times New Roman" w:hAnsi="Times New Roman" w:cs="Times New Roman"/>
          <w:color w:val="000000"/>
          <w:lang w:val="lv-LV"/>
        </w:rPr>
        <w:t xml:space="preserve">kceptēta </w:t>
      </w:r>
      <w:r w:rsidR="00F94272">
        <w:rPr>
          <w:rFonts w:ascii="Times New Roman" w:hAnsi="Times New Roman" w:cs="Times New Roman"/>
          <w:color w:val="000000"/>
          <w:lang w:val="lv-LV"/>
        </w:rPr>
        <w:t xml:space="preserve">atbilstoši Operatīvās darbības likuma 7. panta </w:t>
      </w:r>
      <w:r w:rsidR="00C55AAE">
        <w:rPr>
          <w:rFonts w:ascii="Times New Roman" w:hAnsi="Times New Roman" w:cs="Times New Roman"/>
          <w:color w:val="000000"/>
          <w:lang w:val="lv-LV"/>
        </w:rPr>
        <w:t xml:space="preserve">piektajai </w:t>
      </w:r>
      <w:r w:rsidR="00F94272">
        <w:rPr>
          <w:rFonts w:ascii="Times New Roman" w:hAnsi="Times New Roman" w:cs="Times New Roman"/>
          <w:color w:val="000000"/>
          <w:lang w:val="lv-LV"/>
        </w:rPr>
        <w:t xml:space="preserve">daļai. Saskaņā ar Valdību līdz ar to var secināt, ka šajā lietā ir izpildīts likumības kritērijs. Turklāt, atbildot uz iesniedzēja sūdzībām, noklausīšanās likumība pēc tam vairākas reizes apstiprināta prokuratūrā (iepriekš 11.-15. rindkopa). </w:t>
      </w:r>
      <w:r w:rsidR="00C55AAE">
        <w:rPr>
          <w:rFonts w:ascii="Times New Roman" w:hAnsi="Times New Roman" w:cs="Times New Roman"/>
          <w:color w:val="000000"/>
          <w:lang w:val="lv-LV"/>
        </w:rPr>
        <w:t>Tā</w:t>
      </w:r>
      <w:r w:rsidR="00F94272">
        <w:rPr>
          <w:rFonts w:ascii="Times New Roman" w:hAnsi="Times New Roman" w:cs="Times New Roman"/>
          <w:color w:val="000000"/>
          <w:lang w:val="lv-LV"/>
        </w:rPr>
        <w:t xml:space="preserve"> apgalvoja, ka to apstiprinājis arī Augstākās tiesas Krimināllietu departamenta tiesnesis (kriminālprocesa </w:t>
      </w:r>
      <w:r w:rsidR="006F3CDE">
        <w:rPr>
          <w:rFonts w:ascii="Times New Roman" w:hAnsi="Times New Roman" w:cs="Times New Roman"/>
          <w:color w:val="000000"/>
          <w:lang w:val="lv-LV"/>
        </w:rPr>
        <w:t>ietvaros</w:t>
      </w:r>
      <w:r w:rsidR="00F94272">
        <w:rPr>
          <w:rFonts w:ascii="Times New Roman" w:hAnsi="Times New Roman" w:cs="Times New Roman"/>
          <w:color w:val="000000"/>
          <w:lang w:val="lv-LV"/>
        </w:rPr>
        <w:t>).</w:t>
      </w:r>
      <w:r w:rsidR="00DB0913">
        <w:rPr>
          <w:rFonts w:ascii="Times New Roman" w:hAnsi="Times New Roman" w:cs="Times New Roman"/>
          <w:color w:val="000000"/>
          <w:lang w:val="lv-LV"/>
        </w:rPr>
        <w:t xml:space="preserve"> Visbeidzot, viņi atsaucās uz Satversmes tiesas atzinumiem, kas apstiprināja, ka iepriekšminētā tiesību norma ir bijusi pietiekami skaidra un precīza, lai nepieļautu </w:t>
      </w:r>
      <w:r w:rsidR="00AB22A4">
        <w:rPr>
          <w:rFonts w:ascii="Times New Roman" w:hAnsi="Times New Roman" w:cs="Times New Roman"/>
          <w:color w:val="000000"/>
          <w:lang w:val="lv-LV"/>
        </w:rPr>
        <w:t>patvarīgu</w:t>
      </w:r>
      <w:r w:rsidR="00DB0913">
        <w:rPr>
          <w:rFonts w:ascii="Times New Roman" w:hAnsi="Times New Roman" w:cs="Times New Roman"/>
          <w:color w:val="000000"/>
          <w:lang w:val="lv-LV"/>
        </w:rPr>
        <w:t xml:space="preserve"> rīcību. Attiecīgi iepriekšminētā tiesību norma sniedza izsmeļošu sarakstu ar noziedzīgajiem nodarījumiem, </w:t>
      </w:r>
      <w:r w:rsidR="006F3CDE">
        <w:rPr>
          <w:rFonts w:ascii="Times New Roman" w:hAnsi="Times New Roman" w:cs="Times New Roman"/>
          <w:color w:val="000000"/>
          <w:lang w:val="lv-LV"/>
        </w:rPr>
        <w:t>turklāt</w:t>
      </w:r>
      <w:r w:rsidR="00DB0913">
        <w:rPr>
          <w:rFonts w:ascii="Times New Roman" w:hAnsi="Times New Roman" w:cs="Times New Roman"/>
          <w:color w:val="000000"/>
          <w:lang w:val="lv-LV"/>
        </w:rPr>
        <w:t xml:space="preserve"> tās piemērošanai bija nepieciešams </w:t>
      </w:r>
      <w:r w:rsidR="00FF7D7A">
        <w:rPr>
          <w:rFonts w:ascii="Times New Roman" w:hAnsi="Times New Roman" w:cs="Times New Roman"/>
          <w:color w:val="000000"/>
          <w:lang w:val="lv-LV"/>
        </w:rPr>
        <w:t>priekšnosacījums ar situāciju, kura</w:t>
      </w:r>
      <w:r w:rsidR="00DB0913">
        <w:rPr>
          <w:rFonts w:ascii="Times New Roman" w:hAnsi="Times New Roman" w:cs="Times New Roman"/>
          <w:color w:val="000000"/>
          <w:lang w:val="lv-LV"/>
        </w:rPr>
        <w:t xml:space="preserve"> piepra</w:t>
      </w:r>
      <w:r w:rsidR="006F3CDE">
        <w:rPr>
          <w:rFonts w:ascii="Times New Roman" w:hAnsi="Times New Roman" w:cs="Times New Roman"/>
          <w:color w:val="000000"/>
          <w:lang w:val="lv-LV"/>
        </w:rPr>
        <w:t>s</w:t>
      </w:r>
      <w:r w:rsidR="00DB0913">
        <w:rPr>
          <w:rFonts w:ascii="Times New Roman" w:hAnsi="Times New Roman" w:cs="Times New Roman"/>
          <w:color w:val="000000"/>
          <w:lang w:val="lv-LV"/>
        </w:rPr>
        <w:t xml:space="preserve">a tūlītēju rīcību. Valdība </w:t>
      </w:r>
      <w:r w:rsidR="006F3CDE">
        <w:rPr>
          <w:rFonts w:ascii="Times New Roman" w:hAnsi="Times New Roman" w:cs="Times New Roman"/>
          <w:color w:val="000000"/>
          <w:lang w:val="lv-LV"/>
        </w:rPr>
        <w:t xml:space="preserve">arī </w:t>
      </w:r>
      <w:r w:rsidR="00DB0913">
        <w:rPr>
          <w:rFonts w:ascii="Times New Roman" w:hAnsi="Times New Roman" w:cs="Times New Roman"/>
          <w:color w:val="000000"/>
          <w:lang w:val="lv-LV"/>
        </w:rPr>
        <w:t xml:space="preserve">norādīja, ka konkrētajam pārkāpumam bijis likumīgs mērķis novērst noziegumu, jo tas veikts kriminālprocesa ietvaros saistībā ar liela mēroga kukuļdošanu. Atbildot uz iesniedzēja apgalvojumu, </w:t>
      </w:r>
      <w:r w:rsidR="00C55AAE">
        <w:rPr>
          <w:rFonts w:ascii="Times New Roman" w:hAnsi="Times New Roman" w:cs="Times New Roman"/>
          <w:color w:val="000000"/>
          <w:lang w:val="lv-LV"/>
        </w:rPr>
        <w:t>tā</w:t>
      </w:r>
      <w:r w:rsidR="00DB0913">
        <w:rPr>
          <w:rFonts w:ascii="Times New Roman" w:hAnsi="Times New Roman" w:cs="Times New Roman"/>
          <w:color w:val="000000"/>
          <w:lang w:val="lv-LV"/>
        </w:rPr>
        <w:t xml:space="preserve"> vēl atkārtoja, ka laikā no 2005. gada 27. līdz </w:t>
      </w:r>
      <w:proofErr w:type="gramStart"/>
      <w:r w:rsidR="00DB0913">
        <w:rPr>
          <w:rFonts w:ascii="Times New Roman" w:hAnsi="Times New Roman" w:cs="Times New Roman"/>
          <w:color w:val="000000"/>
          <w:lang w:val="lv-LV"/>
        </w:rPr>
        <w:t>30 decembrim</w:t>
      </w:r>
      <w:proofErr w:type="gramEnd"/>
      <w:r w:rsidR="00DB0913">
        <w:rPr>
          <w:rFonts w:ascii="Times New Roman" w:hAnsi="Times New Roman" w:cs="Times New Roman"/>
          <w:color w:val="000000"/>
          <w:lang w:val="lv-LV"/>
        </w:rPr>
        <w:t xml:space="preserve"> notikumi attīstījuš</w:t>
      </w:r>
      <w:r w:rsidR="006F3CDE">
        <w:rPr>
          <w:rFonts w:ascii="Times New Roman" w:hAnsi="Times New Roman" w:cs="Times New Roman"/>
          <w:color w:val="000000"/>
          <w:lang w:val="lv-LV"/>
        </w:rPr>
        <w:t xml:space="preserve">ies ļoti strauji, tādēļ neviena cita darbība </w:t>
      </w:r>
      <w:r w:rsidR="00DB0913">
        <w:rPr>
          <w:rFonts w:ascii="Times New Roman" w:hAnsi="Times New Roman" w:cs="Times New Roman"/>
          <w:color w:val="000000"/>
          <w:lang w:val="lv-LV"/>
        </w:rPr>
        <w:t xml:space="preserve">kā vien operatīva telefonsarunu noklausīšanās </w:t>
      </w:r>
      <w:r w:rsidR="006F3CDE">
        <w:rPr>
          <w:rFonts w:ascii="Times New Roman" w:hAnsi="Times New Roman" w:cs="Times New Roman"/>
          <w:color w:val="000000"/>
          <w:lang w:val="lv-LV"/>
        </w:rPr>
        <w:t>ne</w:t>
      </w:r>
      <w:r w:rsidR="00DB0913">
        <w:rPr>
          <w:rFonts w:ascii="Times New Roman" w:hAnsi="Times New Roman" w:cs="Times New Roman"/>
          <w:color w:val="000000"/>
          <w:lang w:val="lv-LV"/>
        </w:rPr>
        <w:t>spētu efektīvi iegūt uzticamu informāciju par kukuļdošanas shēmas detaļām un iesaistītajām personām.</w:t>
      </w:r>
    </w:p>
    <w:p w:rsidR="00A55C7A" w:rsidRPr="00832E00" w:rsidRDefault="00A55C7A" w:rsidP="00EA08F6">
      <w:pPr>
        <w:pStyle w:val="ECHRHeading3"/>
        <w:rPr>
          <w:lang w:val="lv-LV"/>
        </w:rPr>
      </w:pPr>
      <w:r w:rsidRPr="00832E00">
        <w:rPr>
          <w:lang w:val="lv-LV"/>
        </w:rPr>
        <w:lastRenderedPageBreak/>
        <w:t>2.  </w:t>
      </w:r>
      <w:r w:rsidR="00DB0913">
        <w:rPr>
          <w:lang w:val="lv-LV"/>
        </w:rPr>
        <w:t>Tiesas vērtējums</w:t>
      </w:r>
    </w:p>
    <w:p w:rsidR="00DB0913" w:rsidRPr="00665829"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60</w:t>
      </w:r>
      <w:r w:rsidRPr="00832E00">
        <w:rPr>
          <w:noProof/>
          <w:lang w:val="lv-LV"/>
        </w:rPr>
        <w:fldChar w:fldCharType="end"/>
      </w:r>
      <w:r w:rsidR="00A55C7A" w:rsidRPr="00832E00">
        <w:rPr>
          <w:lang w:val="lv-LV"/>
        </w:rPr>
        <w:t>.  </w:t>
      </w:r>
      <w:r w:rsidR="00665829">
        <w:rPr>
          <w:lang w:val="lv-LV"/>
        </w:rPr>
        <w:t xml:space="preserve">Sākumā Tiesa atzīst, ka abas puses ir vienisprātis, ka iesniedzēja telefonsarunu noklausīšanās ir </w:t>
      </w:r>
      <w:r w:rsidR="00C55AAE">
        <w:rPr>
          <w:lang w:val="lv-LV"/>
        </w:rPr>
        <w:t xml:space="preserve">uzskatāma par iejaukšanos </w:t>
      </w:r>
      <w:r w:rsidR="00665829">
        <w:rPr>
          <w:lang w:val="lv-LV"/>
        </w:rPr>
        <w:t>viņa tiesīb</w:t>
      </w:r>
      <w:r w:rsidR="00C55AAE">
        <w:rPr>
          <w:lang w:val="lv-LV"/>
        </w:rPr>
        <w:t>ā</w:t>
      </w:r>
      <w:r w:rsidR="00665829">
        <w:rPr>
          <w:lang w:val="lv-LV"/>
        </w:rPr>
        <w:t xml:space="preserve">s uz privātās dzīves un </w:t>
      </w:r>
      <w:r w:rsidR="00C55AAE">
        <w:rPr>
          <w:lang w:val="lv-LV"/>
        </w:rPr>
        <w:t>korespondences</w:t>
      </w:r>
      <w:r w:rsidR="00665829">
        <w:rPr>
          <w:lang w:val="lv-LV"/>
        </w:rPr>
        <w:t xml:space="preserve"> neaizskaramību un ka šo </w:t>
      </w:r>
      <w:r w:rsidR="00C55AAE">
        <w:rPr>
          <w:lang w:val="lv-LV"/>
        </w:rPr>
        <w:t xml:space="preserve">iejaukšanos ir veikusi </w:t>
      </w:r>
      <w:r w:rsidR="00665829">
        <w:rPr>
          <w:lang w:val="lv-LV"/>
        </w:rPr>
        <w:t>valsts. Tiesai nav iemesla uzskatīt citādi (skatīt, piemēram,</w:t>
      </w:r>
      <w:r w:rsidR="00AF35B8">
        <w:rPr>
          <w:lang w:val="lv-LV"/>
        </w:rPr>
        <w:t xml:space="preserve"> lietu</w:t>
      </w:r>
      <w:r w:rsidR="00665829">
        <w:rPr>
          <w:lang w:val="lv-LV"/>
        </w:rPr>
        <w:t xml:space="preserve"> </w:t>
      </w:r>
      <w:proofErr w:type="spellStart"/>
      <w:r w:rsidR="00665829" w:rsidRPr="00832E00">
        <w:rPr>
          <w:i/>
          <w:lang w:val="lv-LV"/>
        </w:rPr>
        <w:t>Weber</w:t>
      </w:r>
      <w:proofErr w:type="spellEnd"/>
      <w:r w:rsidR="00665829" w:rsidRPr="00832E00">
        <w:rPr>
          <w:i/>
          <w:lang w:val="lv-LV"/>
        </w:rPr>
        <w:t xml:space="preserve"> </w:t>
      </w:r>
      <w:r w:rsidR="00665829">
        <w:rPr>
          <w:i/>
          <w:lang w:val="lv-LV"/>
        </w:rPr>
        <w:t xml:space="preserve">un </w:t>
      </w:r>
      <w:proofErr w:type="spellStart"/>
      <w:r w:rsidR="00665829" w:rsidRPr="00832E00">
        <w:rPr>
          <w:i/>
          <w:lang w:val="lv-LV"/>
        </w:rPr>
        <w:t>Saravia</w:t>
      </w:r>
      <w:proofErr w:type="spellEnd"/>
      <w:r w:rsidR="00665829">
        <w:rPr>
          <w:i/>
          <w:lang w:val="lv-LV"/>
        </w:rPr>
        <w:t xml:space="preserve"> pret Vāciju </w:t>
      </w:r>
      <w:r w:rsidR="00665829">
        <w:rPr>
          <w:lang w:val="lv-LV"/>
        </w:rPr>
        <w:t xml:space="preserve">(lēmums), Nr. </w:t>
      </w:r>
      <w:r w:rsidR="00665829" w:rsidRPr="00832E00">
        <w:rPr>
          <w:lang w:val="lv-LV"/>
        </w:rPr>
        <w:t>54934/00</w:t>
      </w:r>
      <w:r w:rsidR="00665829">
        <w:rPr>
          <w:lang w:val="lv-LV"/>
        </w:rPr>
        <w:t xml:space="preserve">, 77. rindkopa, </w:t>
      </w:r>
      <w:r w:rsidR="00665829" w:rsidRPr="00832E00">
        <w:rPr>
          <w:lang w:val="lv-LV"/>
        </w:rPr>
        <w:t>ECHR 2006</w:t>
      </w:r>
      <w:r w:rsidR="00665829" w:rsidRPr="00832E00">
        <w:rPr>
          <w:lang w:val="lv-LV"/>
        </w:rPr>
        <w:noBreakHyphen/>
        <w:t>XI</w:t>
      </w:r>
      <w:r w:rsidR="00665829">
        <w:rPr>
          <w:lang w:val="lv-LV"/>
        </w:rPr>
        <w:t xml:space="preserve"> un šeit citētās lietas).</w:t>
      </w:r>
    </w:p>
    <w:p w:rsidR="00665829" w:rsidRDefault="00651C98" w:rsidP="00EA08F6">
      <w:pPr>
        <w:pStyle w:val="ECHRPara"/>
        <w:rPr>
          <w:lang w:val="lv-LV"/>
        </w:rPr>
      </w:pPr>
      <w:r w:rsidRPr="00832E00">
        <w:rPr>
          <w:rFonts w:ascii="Times New Roman" w:hAnsi="Times New Roman" w:cs="Times New Roman"/>
          <w:color w:val="000000"/>
          <w:lang w:val="lv-LV"/>
        </w:rPr>
        <w:fldChar w:fldCharType="begin"/>
      </w:r>
      <w:r w:rsidRPr="00832E00">
        <w:rPr>
          <w:rFonts w:ascii="Times New Roman" w:hAnsi="Times New Roman" w:cs="Times New Roman"/>
          <w:color w:val="000000"/>
          <w:lang w:val="lv-LV"/>
        </w:rPr>
        <w:instrText xml:space="preserve"> SEQ level0 \*arabic </w:instrText>
      </w:r>
      <w:r w:rsidRPr="00832E00">
        <w:rPr>
          <w:rFonts w:ascii="Times New Roman" w:hAnsi="Times New Roman" w:cs="Times New Roman"/>
          <w:color w:val="000000"/>
          <w:lang w:val="lv-LV"/>
        </w:rPr>
        <w:fldChar w:fldCharType="separate"/>
      </w:r>
      <w:r w:rsidR="00DC5D38" w:rsidRPr="00832E00">
        <w:rPr>
          <w:rFonts w:ascii="Times New Roman" w:hAnsi="Times New Roman" w:cs="Times New Roman"/>
          <w:noProof/>
          <w:color w:val="000000"/>
          <w:lang w:val="lv-LV"/>
        </w:rPr>
        <w:t>61</w:t>
      </w:r>
      <w:r w:rsidRPr="00832E00">
        <w:rPr>
          <w:rFonts w:ascii="Times New Roman" w:hAnsi="Times New Roman" w:cs="Times New Roman"/>
          <w:color w:val="000000"/>
          <w:lang w:val="lv-LV"/>
        </w:rPr>
        <w:fldChar w:fldCharType="end"/>
      </w:r>
      <w:r w:rsidRPr="00832E00">
        <w:rPr>
          <w:rFonts w:ascii="Times New Roman" w:hAnsi="Times New Roman" w:cs="Times New Roman"/>
          <w:color w:val="000000"/>
          <w:lang w:val="lv-LV"/>
        </w:rPr>
        <w:t>.  </w:t>
      </w:r>
      <w:r w:rsidR="00665829">
        <w:rPr>
          <w:rFonts w:ascii="Times New Roman" w:hAnsi="Times New Roman" w:cs="Times New Roman"/>
          <w:color w:val="000000"/>
          <w:lang w:val="lv-LV"/>
        </w:rPr>
        <w:t>Tādēļ ir nepieciešams izvērtēt, vai š</w:t>
      </w:r>
      <w:r w:rsidR="00C55AAE">
        <w:rPr>
          <w:rFonts w:ascii="Times New Roman" w:hAnsi="Times New Roman" w:cs="Times New Roman"/>
          <w:color w:val="000000"/>
          <w:lang w:val="lv-LV"/>
        </w:rPr>
        <w:t xml:space="preserve">ī iejaukšanās </w:t>
      </w:r>
      <w:r w:rsidR="00665829">
        <w:rPr>
          <w:rFonts w:ascii="Times New Roman" w:hAnsi="Times New Roman" w:cs="Times New Roman"/>
          <w:color w:val="000000"/>
          <w:lang w:val="lv-LV"/>
        </w:rPr>
        <w:t>bij</w:t>
      </w:r>
      <w:r w:rsidR="00C55AAE">
        <w:rPr>
          <w:rFonts w:ascii="Times New Roman" w:hAnsi="Times New Roman" w:cs="Times New Roman"/>
          <w:color w:val="000000"/>
          <w:lang w:val="lv-LV"/>
        </w:rPr>
        <w:t>usi</w:t>
      </w:r>
      <w:r w:rsidR="00665829">
        <w:rPr>
          <w:rFonts w:ascii="Times New Roman" w:hAnsi="Times New Roman" w:cs="Times New Roman"/>
          <w:color w:val="000000"/>
          <w:lang w:val="lv-LV"/>
        </w:rPr>
        <w:t xml:space="preserve"> pamatot</w:t>
      </w:r>
      <w:r w:rsidR="00C55AAE">
        <w:rPr>
          <w:rFonts w:ascii="Times New Roman" w:hAnsi="Times New Roman" w:cs="Times New Roman"/>
          <w:color w:val="000000"/>
          <w:lang w:val="lv-LV"/>
        </w:rPr>
        <w:t>a</w:t>
      </w:r>
      <w:r w:rsidR="00665829">
        <w:rPr>
          <w:rFonts w:ascii="Times New Roman" w:hAnsi="Times New Roman" w:cs="Times New Roman"/>
          <w:color w:val="000000"/>
          <w:lang w:val="lv-LV"/>
        </w:rPr>
        <w:t xml:space="preserve"> atbilstoši šī panta 2. </w:t>
      </w:r>
      <w:r w:rsidR="00601F67">
        <w:rPr>
          <w:rFonts w:ascii="Times New Roman" w:hAnsi="Times New Roman" w:cs="Times New Roman"/>
          <w:color w:val="000000"/>
          <w:lang w:val="lv-LV"/>
        </w:rPr>
        <w:t>punktam</w:t>
      </w:r>
      <w:r w:rsidR="00665829">
        <w:rPr>
          <w:rFonts w:ascii="Times New Roman" w:hAnsi="Times New Roman" w:cs="Times New Roman"/>
          <w:color w:val="000000"/>
          <w:lang w:val="lv-LV"/>
        </w:rPr>
        <w:t>, proti, va</w:t>
      </w:r>
      <w:r w:rsidR="00C55AAE">
        <w:rPr>
          <w:rFonts w:ascii="Times New Roman" w:hAnsi="Times New Roman" w:cs="Times New Roman"/>
          <w:color w:val="000000"/>
          <w:lang w:val="lv-LV"/>
        </w:rPr>
        <w:t>i tā</w:t>
      </w:r>
      <w:r w:rsidR="00665829">
        <w:rPr>
          <w:rFonts w:ascii="Times New Roman" w:hAnsi="Times New Roman" w:cs="Times New Roman"/>
          <w:color w:val="000000"/>
          <w:lang w:val="lv-LV"/>
        </w:rPr>
        <w:t xml:space="preserve"> </w:t>
      </w:r>
      <w:r w:rsidR="00C55AAE">
        <w:rPr>
          <w:rFonts w:ascii="Times New Roman" w:hAnsi="Times New Roman" w:cs="Times New Roman"/>
          <w:color w:val="000000"/>
          <w:lang w:val="lv-LV"/>
        </w:rPr>
        <w:t>bija</w:t>
      </w:r>
      <w:r w:rsidR="00665829">
        <w:rPr>
          <w:rFonts w:ascii="Times New Roman" w:hAnsi="Times New Roman" w:cs="Times New Roman"/>
          <w:color w:val="000000"/>
          <w:lang w:val="lv-LV"/>
        </w:rPr>
        <w:t xml:space="preserve"> </w:t>
      </w:r>
      <w:r w:rsidR="00665829" w:rsidRPr="00832E00">
        <w:rPr>
          <w:lang w:val="lv-LV"/>
        </w:rPr>
        <w:t>“</w:t>
      </w:r>
      <w:r w:rsidR="00957E11">
        <w:rPr>
          <w:lang w:val="lv-LV"/>
        </w:rPr>
        <w:t>paredzēt</w:t>
      </w:r>
      <w:r w:rsidR="00C55AAE">
        <w:rPr>
          <w:lang w:val="lv-LV"/>
        </w:rPr>
        <w:t>a ar</w:t>
      </w:r>
      <w:r w:rsidR="00957E11">
        <w:rPr>
          <w:lang w:val="lv-LV"/>
        </w:rPr>
        <w:t xml:space="preserve"> likum</w:t>
      </w:r>
      <w:r w:rsidR="00C55AAE">
        <w:rPr>
          <w:lang w:val="lv-LV"/>
        </w:rPr>
        <w:t>u</w:t>
      </w:r>
      <w:r w:rsidR="00665829">
        <w:rPr>
          <w:lang w:val="lv-LV"/>
        </w:rPr>
        <w:t xml:space="preserve">” un </w:t>
      </w:r>
      <w:r w:rsidR="00665829" w:rsidRPr="00832E00">
        <w:rPr>
          <w:lang w:val="lv-LV"/>
        </w:rPr>
        <w:t>“</w:t>
      </w:r>
      <w:r w:rsidR="00665829">
        <w:rPr>
          <w:lang w:val="lv-LV"/>
        </w:rPr>
        <w:t>nepieciešam</w:t>
      </w:r>
      <w:r w:rsidR="00C55AAE">
        <w:rPr>
          <w:lang w:val="lv-LV"/>
        </w:rPr>
        <w:t>a</w:t>
      </w:r>
      <w:r w:rsidR="00665829">
        <w:rPr>
          <w:lang w:val="lv-LV"/>
        </w:rPr>
        <w:t xml:space="preserve"> demokrātiskā sabiedrībā”, lai sasniegtu vienu no </w:t>
      </w:r>
      <w:r w:rsidR="00957E11">
        <w:rPr>
          <w:lang w:val="lv-LV"/>
        </w:rPr>
        <w:t>punktā</w:t>
      </w:r>
      <w:r w:rsidR="00665829">
        <w:rPr>
          <w:lang w:val="lv-LV"/>
        </w:rPr>
        <w:t xml:space="preserve"> minētajiem mērķiem. </w:t>
      </w:r>
    </w:p>
    <w:p w:rsidR="00665829" w:rsidRPr="00DF6264"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62</w:t>
      </w:r>
      <w:r w:rsidRPr="00832E00">
        <w:rPr>
          <w:noProof/>
          <w:lang w:val="lv-LV"/>
        </w:rPr>
        <w:fldChar w:fldCharType="end"/>
      </w:r>
      <w:r w:rsidR="008333F2" w:rsidRPr="00832E00">
        <w:rPr>
          <w:lang w:val="lv-LV"/>
        </w:rPr>
        <w:t>.  </w:t>
      </w:r>
      <w:r w:rsidR="00665829">
        <w:rPr>
          <w:lang w:val="lv-LV"/>
        </w:rPr>
        <w:t xml:space="preserve">Tiesa atzīst, ka apgalvojums </w:t>
      </w:r>
      <w:r w:rsidR="00665829" w:rsidRPr="00832E00">
        <w:rPr>
          <w:lang w:val="lv-LV"/>
        </w:rPr>
        <w:t>“</w:t>
      </w:r>
      <w:r w:rsidR="00957E11">
        <w:rPr>
          <w:lang w:val="lv-LV"/>
        </w:rPr>
        <w:t>paredzēts</w:t>
      </w:r>
      <w:r w:rsidR="00C55AAE">
        <w:rPr>
          <w:lang w:val="lv-LV"/>
        </w:rPr>
        <w:t xml:space="preserve"> ar</w:t>
      </w:r>
      <w:r w:rsidR="00957E11">
        <w:rPr>
          <w:lang w:val="lv-LV"/>
        </w:rPr>
        <w:t xml:space="preserve"> likumā</w:t>
      </w:r>
      <w:r w:rsidR="00665829">
        <w:rPr>
          <w:lang w:val="lv-LV"/>
        </w:rPr>
        <w:t xml:space="preserve">” ne vien pieprasa atbilstību nacionālajiem tiesību aktiem, bet arī attiecas uz šo tiesību aktu kvalitāti, nosakot, ka tiem jābūt tiesiskiem. Valsts varas iestāžu veiktas slepenas novērošanas kontekstā nacionālajiem tiesību aktiem jāpasargā pret </w:t>
      </w:r>
      <w:r w:rsidR="00AB22A4">
        <w:rPr>
          <w:lang w:val="lv-LV"/>
        </w:rPr>
        <w:t>patvarīgiem</w:t>
      </w:r>
      <w:r w:rsidR="00665829">
        <w:rPr>
          <w:lang w:val="lv-LV"/>
        </w:rPr>
        <w:t xml:space="preserve"> pārkāpumiem</w:t>
      </w:r>
      <w:r w:rsidR="00AF35B8">
        <w:rPr>
          <w:lang w:val="lv-LV"/>
        </w:rPr>
        <w:t>, kas veikti</w:t>
      </w:r>
      <w:r w:rsidR="00665829">
        <w:rPr>
          <w:lang w:val="lv-LV"/>
        </w:rPr>
        <w:t xml:space="preserve"> pret personas tiesībām 8. panta izpratnē. Turklāt tiesību aktiem jābūt pietiekami skaidriem</w:t>
      </w:r>
      <w:r w:rsidR="00DF6264">
        <w:rPr>
          <w:lang w:val="lv-LV"/>
        </w:rPr>
        <w:t xml:space="preserve">, lai sniegtu personām pietiekamu informāciju par situācijām un apstākļiem, kurās valsts varas iestādes var </w:t>
      </w:r>
      <w:r w:rsidR="00AF35B8">
        <w:rPr>
          <w:lang w:val="lv-LV"/>
        </w:rPr>
        <w:t>veikt</w:t>
      </w:r>
      <w:r w:rsidR="00DF6264">
        <w:rPr>
          <w:lang w:val="lv-LV"/>
        </w:rPr>
        <w:t xml:space="preserve"> </w:t>
      </w:r>
      <w:r w:rsidR="00AF35B8">
        <w:rPr>
          <w:lang w:val="lv-LV"/>
        </w:rPr>
        <w:t>šādas slepenas darbības</w:t>
      </w:r>
      <w:r w:rsidR="00DF6264">
        <w:rPr>
          <w:lang w:val="lv-LV"/>
        </w:rPr>
        <w:t xml:space="preserve"> (skatīt</w:t>
      </w:r>
      <w:r w:rsidR="00AF35B8">
        <w:rPr>
          <w:lang w:val="lv-LV"/>
        </w:rPr>
        <w:t xml:space="preserve"> lietu</w:t>
      </w:r>
      <w:r w:rsidR="00DF6264">
        <w:rPr>
          <w:lang w:val="lv-LV"/>
        </w:rPr>
        <w:t xml:space="preserve"> </w:t>
      </w:r>
      <w:proofErr w:type="spellStart"/>
      <w:r w:rsidR="00DF6264" w:rsidRPr="00832E00">
        <w:rPr>
          <w:rFonts w:ascii="Times New Roman" w:hAnsi="Times New Roman" w:cs="Times New Roman"/>
          <w:i/>
          <w:iCs/>
          <w:color w:val="000000"/>
          <w:lang w:val="lv-LV"/>
        </w:rPr>
        <w:t>Khan</w:t>
      </w:r>
      <w:proofErr w:type="spellEnd"/>
      <w:r w:rsidR="00DF6264">
        <w:rPr>
          <w:rFonts w:ascii="Times New Roman" w:hAnsi="Times New Roman" w:cs="Times New Roman"/>
          <w:i/>
          <w:iCs/>
          <w:color w:val="000000"/>
          <w:lang w:val="lv-LV"/>
        </w:rPr>
        <w:t xml:space="preserve"> pret Apvienoto Karalisti</w:t>
      </w:r>
      <w:r w:rsidR="00DF6264" w:rsidRPr="00DF6264">
        <w:rPr>
          <w:rFonts w:ascii="Times New Roman" w:hAnsi="Times New Roman" w:cs="Times New Roman"/>
          <w:iCs/>
          <w:color w:val="000000"/>
          <w:lang w:val="lv-LV"/>
        </w:rPr>
        <w:t>,</w:t>
      </w:r>
      <w:r w:rsidR="00DF6264">
        <w:rPr>
          <w:rFonts w:ascii="Times New Roman" w:hAnsi="Times New Roman" w:cs="Times New Roman"/>
          <w:i/>
          <w:iCs/>
          <w:color w:val="000000"/>
          <w:lang w:val="lv-LV"/>
        </w:rPr>
        <w:t xml:space="preserve"> </w:t>
      </w:r>
      <w:r w:rsidR="00DF6264">
        <w:rPr>
          <w:rFonts w:ascii="Times New Roman" w:hAnsi="Times New Roman" w:cs="Times New Roman"/>
          <w:iCs/>
          <w:color w:val="000000"/>
          <w:lang w:val="lv-LV"/>
        </w:rPr>
        <w:t xml:space="preserve">Nr. </w:t>
      </w:r>
      <w:r w:rsidR="00DF6264" w:rsidRPr="00832E00">
        <w:rPr>
          <w:rFonts w:ascii="Times New Roman" w:hAnsi="Times New Roman" w:cs="Times New Roman"/>
          <w:color w:val="000000"/>
          <w:lang w:val="lv-LV"/>
        </w:rPr>
        <w:t>35394/97</w:t>
      </w:r>
      <w:r w:rsidR="00DF6264">
        <w:rPr>
          <w:rFonts w:ascii="Times New Roman" w:hAnsi="Times New Roman" w:cs="Times New Roman"/>
          <w:color w:val="000000"/>
          <w:lang w:val="lv-LV"/>
        </w:rPr>
        <w:t xml:space="preserve">, 26. rindkopa, </w:t>
      </w:r>
      <w:r w:rsidR="00DF6264" w:rsidRPr="00832E00">
        <w:rPr>
          <w:rFonts w:ascii="Times New Roman" w:hAnsi="Times New Roman" w:cs="Times New Roman"/>
          <w:color w:val="000000"/>
          <w:lang w:val="lv-LV"/>
        </w:rPr>
        <w:t>ECHR 2000</w:t>
      </w:r>
      <w:r w:rsidR="00DF6264" w:rsidRPr="00832E00">
        <w:rPr>
          <w:rFonts w:ascii="Times New Roman" w:hAnsi="Times New Roman" w:cs="Times New Roman"/>
          <w:color w:val="000000"/>
          <w:lang w:val="lv-LV"/>
        </w:rPr>
        <w:noBreakHyphen/>
        <w:t>V).</w:t>
      </w:r>
    </w:p>
    <w:p w:rsidR="00DF6264" w:rsidRPr="00DF6264" w:rsidRDefault="00BF75B8" w:rsidP="00AF35B8">
      <w:pPr>
        <w:pStyle w:val="ECHRParaQuote"/>
        <w:spacing w:before="0" w:after="0"/>
        <w:ind w:left="0" w:firstLine="284"/>
        <w:rPr>
          <w:sz w:val="24"/>
          <w:lang w:val="lv-LV"/>
        </w:rPr>
      </w:pPr>
      <w:r w:rsidRPr="00DF6264">
        <w:rPr>
          <w:sz w:val="24"/>
          <w:lang w:val="lv-LV"/>
        </w:rPr>
        <w:fldChar w:fldCharType="begin"/>
      </w:r>
      <w:r w:rsidRPr="00DF6264">
        <w:rPr>
          <w:sz w:val="24"/>
          <w:lang w:val="lv-LV"/>
        </w:rPr>
        <w:instrText xml:space="preserve"> SEQ level0 \*arabic </w:instrText>
      </w:r>
      <w:r w:rsidRPr="00DF6264">
        <w:rPr>
          <w:sz w:val="24"/>
          <w:lang w:val="lv-LV"/>
        </w:rPr>
        <w:fldChar w:fldCharType="separate"/>
      </w:r>
      <w:r w:rsidR="00DC5D38" w:rsidRPr="00DF6264">
        <w:rPr>
          <w:sz w:val="24"/>
          <w:lang w:val="lv-LV"/>
        </w:rPr>
        <w:t>63</w:t>
      </w:r>
      <w:r w:rsidRPr="00DF6264">
        <w:rPr>
          <w:sz w:val="24"/>
          <w:lang w:val="lv-LV"/>
        </w:rPr>
        <w:fldChar w:fldCharType="end"/>
      </w:r>
      <w:r w:rsidRPr="00DF6264">
        <w:rPr>
          <w:sz w:val="24"/>
          <w:lang w:val="lv-LV"/>
        </w:rPr>
        <w:t>.  </w:t>
      </w:r>
      <w:r w:rsidR="00DF6264" w:rsidRPr="00DF6264">
        <w:rPr>
          <w:sz w:val="24"/>
          <w:lang w:val="lv-LV"/>
        </w:rPr>
        <w:t xml:space="preserve">Tiesa atzīst, ka Latvijas Satversmes tiesa detalizēti izskatīja iesniedzēja apgalvojumus saistībā ar Operatīvās darbības likuma 7. panta </w:t>
      </w:r>
      <w:r w:rsidR="00C55AAE">
        <w:rPr>
          <w:sz w:val="24"/>
          <w:lang w:val="lv-LV"/>
        </w:rPr>
        <w:t>piektās</w:t>
      </w:r>
      <w:r w:rsidR="00DF6264" w:rsidRPr="00DF6264">
        <w:rPr>
          <w:sz w:val="24"/>
          <w:lang w:val="lv-LV"/>
        </w:rPr>
        <w:t xml:space="preserve"> daļ</w:t>
      </w:r>
      <w:r w:rsidR="00C55AAE">
        <w:rPr>
          <w:sz w:val="24"/>
          <w:lang w:val="lv-LV"/>
        </w:rPr>
        <w:t>a</w:t>
      </w:r>
      <w:r w:rsidR="00DF6264" w:rsidRPr="00DF6264">
        <w:rPr>
          <w:sz w:val="24"/>
          <w:lang w:val="lv-LV"/>
        </w:rPr>
        <w:t>s saturu, tvērumu un skaidrību. Tiesas uzdevums nav vēlreiz izskatīt šos apgalvojumus. Tiesa atzīst, ka atbilstoši šai tiesību normai</w:t>
      </w:r>
      <w:r w:rsidR="00DF6264">
        <w:rPr>
          <w:sz w:val="24"/>
          <w:lang w:val="lv-LV"/>
        </w:rPr>
        <w:t xml:space="preserve"> </w:t>
      </w:r>
      <w:r w:rsidR="00DF6264" w:rsidRPr="00AF35B8">
        <w:rPr>
          <w:sz w:val="24"/>
          <w:lang w:val="lv-LV"/>
        </w:rPr>
        <w:t>“p</w:t>
      </w:r>
      <w:r w:rsidR="00DF6264" w:rsidRPr="00DF6264">
        <w:rPr>
          <w:sz w:val="24"/>
          <w:lang w:val="lv-LV"/>
        </w:rPr>
        <w:t>ar to 24 stundu laikā jāpaziņo prokuroram un 72 stundu laikā jāsaņem tiesneša akcepts. Pretējā gadījumā operatīvās darbības pasākumu veikšana ir jāpārtrauc.</w:t>
      </w:r>
      <w:r w:rsidR="00DF6264">
        <w:rPr>
          <w:sz w:val="24"/>
          <w:lang w:val="lv-LV"/>
        </w:rPr>
        <w:t xml:space="preserve">” Satversmes tiesa izvērtēja šo tiesību normu saistībā ar citām attiecināmajām nacionālo tiesību aktu normām (skatīt Satversmes tiesas analīzi tās sprieduma 13. un 17. </w:t>
      </w:r>
      <w:r w:rsidR="002963C1">
        <w:rPr>
          <w:sz w:val="24"/>
          <w:lang w:val="lv-LV"/>
        </w:rPr>
        <w:t>punktā</w:t>
      </w:r>
      <w:r w:rsidR="00DF6264">
        <w:rPr>
          <w:sz w:val="24"/>
          <w:lang w:val="lv-LV"/>
        </w:rPr>
        <w:t xml:space="preserve">; 24. rindkopa iepriekš) un secināja, ka prokuroram vienmēr jābūt informētam un ka vienmēr jāsaņem Augstākās tiesas priekšsēdētāja vai viņa īpaši pilnvarota tiesneša apstiprinājums, arī tajos gadījumos, kad operatīvās darbības pārtrauktas mazāk nekā 72 stundu laikā (skatīt tiesas sprieduma 17.3 </w:t>
      </w:r>
      <w:r w:rsidR="002963C1">
        <w:rPr>
          <w:sz w:val="24"/>
          <w:lang w:val="lv-LV"/>
        </w:rPr>
        <w:t>punktu</w:t>
      </w:r>
      <w:r w:rsidR="00DF6264">
        <w:rPr>
          <w:sz w:val="24"/>
          <w:lang w:val="lv-LV"/>
        </w:rPr>
        <w:t>; 24. rindkopa iepriekš).</w:t>
      </w:r>
    </w:p>
    <w:p w:rsidR="00DF6264" w:rsidRPr="00673244" w:rsidRDefault="00200C1A" w:rsidP="00EA08F6">
      <w:pPr>
        <w:pStyle w:val="ECHRPara"/>
        <w:rPr>
          <w:rFonts w:ascii="Times New Roman" w:hAnsi="Times New Roman" w:cs="Times New Roman"/>
          <w:color w:val="000000"/>
          <w:lang w:val="lv-LV"/>
        </w:rPr>
      </w:pPr>
      <w:r w:rsidRPr="00832E00">
        <w:rPr>
          <w:rFonts w:ascii="Times New Roman" w:hAnsi="Times New Roman" w:cs="Times New Roman"/>
          <w:color w:val="000000"/>
          <w:lang w:val="lv-LV"/>
        </w:rPr>
        <w:fldChar w:fldCharType="begin"/>
      </w:r>
      <w:r w:rsidRPr="00832E00">
        <w:rPr>
          <w:rFonts w:ascii="Times New Roman" w:hAnsi="Times New Roman" w:cs="Times New Roman"/>
          <w:color w:val="000000"/>
          <w:lang w:val="lv-LV"/>
        </w:rPr>
        <w:instrText xml:space="preserve"> SEQ level0 \*arabic </w:instrText>
      </w:r>
      <w:r w:rsidRPr="00832E00">
        <w:rPr>
          <w:rFonts w:ascii="Times New Roman" w:hAnsi="Times New Roman" w:cs="Times New Roman"/>
          <w:color w:val="000000"/>
          <w:lang w:val="lv-LV"/>
        </w:rPr>
        <w:fldChar w:fldCharType="separate"/>
      </w:r>
      <w:r w:rsidR="00DC5D38" w:rsidRPr="00832E00">
        <w:rPr>
          <w:rFonts w:ascii="Times New Roman" w:hAnsi="Times New Roman" w:cs="Times New Roman"/>
          <w:noProof/>
          <w:color w:val="000000"/>
          <w:lang w:val="lv-LV"/>
        </w:rPr>
        <w:t>64</w:t>
      </w:r>
      <w:r w:rsidRPr="00832E00">
        <w:rPr>
          <w:rFonts w:ascii="Times New Roman" w:hAnsi="Times New Roman" w:cs="Times New Roman"/>
          <w:color w:val="000000"/>
          <w:lang w:val="lv-LV"/>
        </w:rPr>
        <w:fldChar w:fldCharType="end"/>
      </w:r>
      <w:r w:rsidRPr="00832E00">
        <w:rPr>
          <w:rFonts w:ascii="Times New Roman" w:hAnsi="Times New Roman" w:cs="Times New Roman"/>
          <w:color w:val="000000"/>
          <w:lang w:val="lv-LV"/>
        </w:rPr>
        <w:t>.  </w:t>
      </w:r>
      <w:r w:rsidR="00D91EF9">
        <w:rPr>
          <w:rFonts w:ascii="Times New Roman" w:hAnsi="Times New Roman" w:cs="Times New Roman"/>
          <w:color w:val="000000"/>
          <w:lang w:val="lv-LV"/>
        </w:rPr>
        <w:t xml:space="preserve">Šajā lietā iesniedzējs apgalvoja un Valdība neapstrīdēja, ka attiecīgā varas iestāde – KNAB – tā arī nemēģināja saņemt Augstākās tiesas priekšsēdētāja </w:t>
      </w:r>
      <w:r w:rsidR="00D91EF9">
        <w:rPr>
          <w:lang w:val="lv-LV"/>
        </w:rPr>
        <w:t xml:space="preserve">vai viņa īpaši pilnvarota tiesneša apstiprinājumu </w:t>
      </w:r>
      <w:proofErr w:type="spellStart"/>
      <w:r w:rsidR="00D91EF9" w:rsidRPr="00D91EF9">
        <w:rPr>
          <w:i/>
          <w:lang w:val="lv-LV"/>
        </w:rPr>
        <w:t>ex</w:t>
      </w:r>
      <w:proofErr w:type="spellEnd"/>
      <w:r w:rsidR="00D91EF9" w:rsidRPr="00D91EF9">
        <w:rPr>
          <w:i/>
          <w:lang w:val="lv-LV"/>
        </w:rPr>
        <w:t xml:space="preserve"> post </w:t>
      </w:r>
      <w:proofErr w:type="spellStart"/>
      <w:r w:rsidR="00D91EF9" w:rsidRPr="00D91EF9">
        <w:rPr>
          <w:i/>
          <w:lang w:val="lv-LV"/>
        </w:rPr>
        <w:t>facto</w:t>
      </w:r>
      <w:proofErr w:type="spellEnd"/>
      <w:r w:rsidR="00D91EF9">
        <w:rPr>
          <w:lang w:val="lv-LV"/>
        </w:rPr>
        <w:t xml:space="preserve">. Kā redzams no KNAB iesniegumiem Satversmes tiesā, iestāde patiešām uzskatīja, ka </w:t>
      </w:r>
      <w:proofErr w:type="spellStart"/>
      <w:r w:rsidR="00D91EF9" w:rsidRPr="00D91EF9">
        <w:rPr>
          <w:i/>
          <w:lang w:val="lv-LV"/>
        </w:rPr>
        <w:t>ex</w:t>
      </w:r>
      <w:proofErr w:type="spellEnd"/>
      <w:r w:rsidR="00D91EF9" w:rsidRPr="00D91EF9">
        <w:rPr>
          <w:i/>
          <w:lang w:val="lv-LV"/>
        </w:rPr>
        <w:t xml:space="preserve"> post </w:t>
      </w:r>
      <w:proofErr w:type="spellStart"/>
      <w:r w:rsidR="00D91EF9" w:rsidRPr="00D91EF9">
        <w:rPr>
          <w:i/>
          <w:lang w:val="lv-LV"/>
        </w:rPr>
        <w:t>facto</w:t>
      </w:r>
      <w:proofErr w:type="spellEnd"/>
      <w:r w:rsidR="00D91EF9">
        <w:rPr>
          <w:i/>
          <w:lang w:val="lv-LV"/>
        </w:rPr>
        <w:t xml:space="preserve"> </w:t>
      </w:r>
      <w:r w:rsidR="00D91EF9" w:rsidRPr="00D91EF9">
        <w:rPr>
          <w:lang w:val="lv-LV"/>
        </w:rPr>
        <w:t>apstiprinājums nav nepieciešams visās lietās, proti, tas</w:t>
      </w:r>
      <w:r w:rsidR="00D91EF9">
        <w:rPr>
          <w:lang w:val="lv-LV"/>
        </w:rPr>
        <w:t xml:space="preserve"> nav nepieciešams gadījumos, kad operatīvās darbības pārtrauktas mazāk nekā 72 stundu laikā. Satversmes tiesa šo apgalvojumu skaidri noraidīja (skatīt tiesas sprieduma 17.2 </w:t>
      </w:r>
      <w:r w:rsidR="002963C1">
        <w:rPr>
          <w:lang w:val="lv-LV"/>
        </w:rPr>
        <w:t>punkta</w:t>
      </w:r>
      <w:r w:rsidR="00D91EF9">
        <w:rPr>
          <w:lang w:val="lv-LV"/>
        </w:rPr>
        <w:t xml:space="preserve"> noslēgumā; iepriekš 24. rindkopa). Tiesa atzīst, ka atbilstoši piemērojamajiem Latvijas tiesību aktiem</w:t>
      </w:r>
      <w:r w:rsidR="00673244">
        <w:rPr>
          <w:lang w:val="lv-LV"/>
        </w:rPr>
        <w:t xml:space="preserve">, kā tos interpretējusi Satversmes tiesa, šīs lietas apstākļos bijis nepieciešams saņemt Augstākās tiesas priekšsēdētāja vai viņa īpaši </w:t>
      </w:r>
      <w:r w:rsidR="00673244">
        <w:rPr>
          <w:lang w:val="lv-LV"/>
        </w:rPr>
        <w:lastRenderedPageBreak/>
        <w:t xml:space="preserve">pilnvarota tiesneša </w:t>
      </w:r>
      <w:proofErr w:type="spellStart"/>
      <w:r w:rsidR="00673244" w:rsidRPr="00832E00">
        <w:rPr>
          <w:rFonts w:ascii="Times New Roman" w:hAnsi="Times New Roman" w:cs="Times New Roman"/>
          <w:i/>
          <w:color w:val="000000"/>
          <w:lang w:val="lv-LV"/>
        </w:rPr>
        <w:t>ex</w:t>
      </w:r>
      <w:proofErr w:type="spellEnd"/>
      <w:r w:rsidR="00673244" w:rsidRPr="00832E00">
        <w:rPr>
          <w:rFonts w:ascii="Times New Roman" w:hAnsi="Times New Roman" w:cs="Times New Roman"/>
          <w:color w:val="000000"/>
          <w:lang w:val="lv-LV"/>
        </w:rPr>
        <w:t xml:space="preserve"> </w:t>
      </w:r>
      <w:r w:rsidR="00673244" w:rsidRPr="00832E00">
        <w:rPr>
          <w:rFonts w:ascii="Times New Roman" w:hAnsi="Times New Roman" w:cs="Times New Roman"/>
          <w:i/>
          <w:color w:val="000000"/>
          <w:lang w:val="lv-LV"/>
        </w:rPr>
        <w:t xml:space="preserve">post </w:t>
      </w:r>
      <w:proofErr w:type="spellStart"/>
      <w:r w:rsidR="00673244" w:rsidRPr="00832E00">
        <w:rPr>
          <w:rFonts w:ascii="Times New Roman" w:hAnsi="Times New Roman" w:cs="Times New Roman"/>
          <w:i/>
          <w:color w:val="000000"/>
          <w:lang w:val="lv-LV"/>
        </w:rPr>
        <w:t>facto</w:t>
      </w:r>
      <w:proofErr w:type="spellEnd"/>
      <w:r w:rsidR="00673244">
        <w:rPr>
          <w:rFonts w:ascii="Times New Roman" w:hAnsi="Times New Roman" w:cs="Times New Roman"/>
          <w:i/>
          <w:color w:val="000000"/>
          <w:lang w:val="lv-LV"/>
        </w:rPr>
        <w:t xml:space="preserve"> </w:t>
      </w:r>
      <w:r w:rsidR="00673244">
        <w:rPr>
          <w:rFonts w:ascii="Times New Roman" w:hAnsi="Times New Roman" w:cs="Times New Roman"/>
          <w:color w:val="000000"/>
          <w:lang w:val="lv-LV"/>
        </w:rPr>
        <w:t xml:space="preserve">apstiprinājumu operatīvo darbību veikšanai, lai gan telefonsarunu noklausīšanās pārtraukta mazāk nekā 72 stundu laikā. Šo secinājumu neietekmē tas, ka šo darbību likumību apstiprināja vairāki prokurori. Viņu secinājumi aprobežojās ar Operatīvās darbības likuma 35. panta </w:t>
      </w:r>
      <w:r w:rsidR="00F073B4">
        <w:rPr>
          <w:rFonts w:ascii="Times New Roman" w:hAnsi="Times New Roman" w:cs="Times New Roman"/>
          <w:color w:val="000000"/>
          <w:lang w:val="lv-LV"/>
        </w:rPr>
        <w:t xml:space="preserve">pirmo </w:t>
      </w:r>
      <w:r w:rsidR="00673244">
        <w:rPr>
          <w:rFonts w:ascii="Times New Roman" w:hAnsi="Times New Roman" w:cs="Times New Roman"/>
          <w:color w:val="000000"/>
          <w:lang w:val="lv-LV"/>
        </w:rPr>
        <w:t>daļu (skatīt iepriekš 12. un 15. rindkopu), un jebkurā gadījumā tie tika izdarīti pirms Satversmes tiesa</w:t>
      </w:r>
      <w:r w:rsidR="004C3D63">
        <w:rPr>
          <w:rFonts w:ascii="Times New Roman" w:hAnsi="Times New Roman" w:cs="Times New Roman"/>
          <w:color w:val="000000"/>
          <w:lang w:val="lv-LV"/>
        </w:rPr>
        <w:t>s</w:t>
      </w:r>
      <w:r w:rsidR="00673244">
        <w:rPr>
          <w:rFonts w:ascii="Times New Roman" w:hAnsi="Times New Roman" w:cs="Times New Roman"/>
          <w:color w:val="000000"/>
          <w:lang w:val="lv-LV"/>
        </w:rPr>
        <w:t xml:space="preserve"> spriedum</w:t>
      </w:r>
      <w:r w:rsidR="004C3D63">
        <w:rPr>
          <w:rFonts w:ascii="Times New Roman" w:hAnsi="Times New Roman" w:cs="Times New Roman"/>
          <w:color w:val="000000"/>
          <w:lang w:val="lv-LV"/>
        </w:rPr>
        <w:t>a</w:t>
      </w:r>
      <w:r w:rsidR="00673244">
        <w:rPr>
          <w:rFonts w:ascii="Times New Roman" w:hAnsi="Times New Roman" w:cs="Times New Roman"/>
          <w:color w:val="000000"/>
          <w:lang w:val="lv-LV"/>
        </w:rPr>
        <w:t xml:space="preserve"> šajā lietā, </w:t>
      </w:r>
      <w:r w:rsidR="00F073B4">
        <w:rPr>
          <w:rFonts w:ascii="Times New Roman" w:hAnsi="Times New Roman" w:cs="Times New Roman"/>
          <w:color w:val="000000"/>
          <w:lang w:val="lv-LV"/>
        </w:rPr>
        <w:t xml:space="preserve">kas sniedza </w:t>
      </w:r>
      <w:r w:rsidR="00673244">
        <w:rPr>
          <w:rFonts w:ascii="Times New Roman" w:hAnsi="Times New Roman" w:cs="Times New Roman"/>
          <w:color w:val="000000"/>
          <w:lang w:val="lv-LV"/>
        </w:rPr>
        <w:t xml:space="preserve">autoritatīvu šī likuma 7. panta </w:t>
      </w:r>
      <w:r w:rsidR="00F073B4">
        <w:rPr>
          <w:rFonts w:ascii="Times New Roman" w:hAnsi="Times New Roman" w:cs="Times New Roman"/>
          <w:color w:val="000000"/>
          <w:lang w:val="lv-LV"/>
        </w:rPr>
        <w:t>piektās</w:t>
      </w:r>
      <w:r w:rsidR="00673244">
        <w:rPr>
          <w:rFonts w:ascii="Times New Roman" w:hAnsi="Times New Roman" w:cs="Times New Roman"/>
          <w:color w:val="000000"/>
          <w:lang w:val="lv-LV"/>
        </w:rPr>
        <w:t xml:space="preserve"> daļas skaidrojumu. Tiesa papildina, ka atbilstoši Satversmes tiesas likuma 32. pantam Satversmes tiesas skaidrojumi ir saistoši nacionālajām varas iestādēm (skatīt 37. un 38. rindkopu iepriekš). </w:t>
      </w:r>
    </w:p>
    <w:p w:rsidR="00673244" w:rsidRPr="00203F03" w:rsidRDefault="0007477C" w:rsidP="00EA08F6">
      <w:pPr>
        <w:pStyle w:val="ECHRPara"/>
        <w:rPr>
          <w:rFonts w:ascii="Times New Roman" w:hAnsi="Times New Roman" w:cs="Times New Roman"/>
          <w:color w:val="000000"/>
          <w:lang w:val="lv-LV"/>
        </w:rPr>
      </w:pPr>
      <w:r w:rsidRPr="00832E00">
        <w:rPr>
          <w:rFonts w:ascii="Times New Roman" w:hAnsi="Times New Roman" w:cs="Times New Roman"/>
          <w:color w:val="000000"/>
          <w:lang w:val="lv-LV"/>
        </w:rPr>
        <w:fldChar w:fldCharType="begin"/>
      </w:r>
      <w:r w:rsidRPr="00832E00">
        <w:rPr>
          <w:rFonts w:ascii="Times New Roman" w:hAnsi="Times New Roman" w:cs="Times New Roman"/>
          <w:color w:val="000000"/>
          <w:lang w:val="lv-LV"/>
        </w:rPr>
        <w:instrText xml:space="preserve"> SEQ level0 \*arabic </w:instrText>
      </w:r>
      <w:r w:rsidRPr="00832E00">
        <w:rPr>
          <w:rFonts w:ascii="Times New Roman" w:hAnsi="Times New Roman" w:cs="Times New Roman"/>
          <w:color w:val="000000"/>
          <w:lang w:val="lv-LV"/>
        </w:rPr>
        <w:fldChar w:fldCharType="separate"/>
      </w:r>
      <w:r w:rsidR="00DC5D38" w:rsidRPr="00832E00">
        <w:rPr>
          <w:rFonts w:ascii="Times New Roman" w:hAnsi="Times New Roman" w:cs="Times New Roman"/>
          <w:noProof/>
          <w:color w:val="000000"/>
          <w:lang w:val="lv-LV"/>
        </w:rPr>
        <w:t>65</w:t>
      </w:r>
      <w:r w:rsidRPr="00832E00">
        <w:rPr>
          <w:rFonts w:ascii="Times New Roman" w:hAnsi="Times New Roman" w:cs="Times New Roman"/>
          <w:color w:val="000000"/>
          <w:lang w:val="lv-LV"/>
        </w:rPr>
        <w:fldChar w:fldCharType="end"/>
      </w:r>
      <w:r w:rsidRPr="00832E00">
        <w:rPr>
          <w:rFonts w:ascii="Times New Roman" w:hAnsi="Times New Roman" w:cs="Times New Roman"/>
          <w:color w:val="000000"/>
          <w:lang w:val="lv-LV"/>
        </w:rPr>
        <w:t>.  </w:t>
      </w:r>
      <w:r w:rsidR="00155EBE">
        <w:rPr>
          <w:rFonts w:ascii="Times New Roman" w:hAnsi="Times New Roman" w:cs="Times New Roman"/>
          <w:color w:val="000000"/>
          <w:lang w:val="lv-LV"/>
        </w:rPr>
        <w:t>Noskaidrojusi</w:t>
      </w:r>
      <w:r w:rsidR="00203F03">
        <w:rPr>
          <w:rFonts w:ascii="Times New Roman" w:hAnsi="Times New Roman" w:cs="Times New Roman"/>
          <w:color w:val="000000"/>
          <w:lang w:val="lv-LV"/>
        </w:rPr>
        <w:t xml:space="preserve">, ka </w:t>
      </w:r>
      <w:r w:rsidR="00155EBE">
        <w:rPr>
          <w:rFonts w:ascii="Times New Roman" w:hAnsi="Times New Roman" w:cs="Times New Roman"/>
          <w:color w:val="000000"/>
          <w:lang w:val="lv-LV"/>
        </w:rPr>
        <w:t xml:space="preserve">saskaņā ar Satversmes tiesas skaidrojumu </w:t>
      </w:r>
      <w:r w:rsidR="00203F03">
        <w:rPr>
          <w:rFonts w:ascii="Times New Roman" w:hAnsi="Times New Roman" w:cs="Times New Roman"/>
          <w:color w:val="000000"/>
          <w:lang w:val="lv-LV"/>
        </w:rPr>
        <w:t xml:space="preserve">iesniedzēja lietā netika iegūts Augstākās tiesas priekšsēdētāja vai viņa īpaši pilnvarota tiesneša </w:t>
      </w:r>
      <w:proofErr w:type="spellStart"/>
      <w:r w:rsidR="00203F03" w:rsidRPr="00832E00">
        <w:rPr>
          <w:rFonts w:ascii="Times New Roman" w:hAnsi="Times New Roman" w:cs="Times New Roman"/>
          <w:i/>
          <w:color w:val="000000"/>
          <w:lang w:val="lv-LV"/>
        </w:rPr>
        <w:t>ex</w:t>
      </w:r>
      <w:proofErr w:type="spellEnd"/>
      <w:r w:rsidR="00203F03" w:rsidRPr="00832E00">
        <w:rPr>
          <w:rFonts w:ascii="Times New Roman" w:hAnsi="Times New Roman" w:cs="Times New Roman"/>
          <w:color w:val="000000"/>
          <w:lang w:val="lv-LV"/>
        </w:rPr>
        <w:t xml:space="preserve"> </w:t>
      </w:r>
      <w:r w:rsidR="00203F03" w:rsidRPr="00832E00">
        <w:rPr>
          <w:rFonts w:ascii="Times New Roman" w:hAnsi="Times New Roman" w:cs="Times New Roman"/>
          <w:i/>
          <w:color w:val="000000"/>
          <w:lang w:val="lv-LV"/>
        </w:rPr>
        <w:t xml:space="preserve">post </w:t>
      </w:r>
      <w:proofErr w:type="spellStart"/>
      <w:r w:rsidR="00203F03" w:rsidRPr="00832E00">
        <w:rPr>
          <w:rFonts w:ascii="Times New Roman" w:hAnsi="Times New Roman" w:cs="Times New Roman"/>
          <w:i/>
          <w:color w:val="000000"/>
          <w:lang w:val="lv-LV"/>
        </w:rPr>
        <w:t>facto</w:t>
      </w:r>
      <w:proofErr w:type="spellEnd"/>
      <w:r w:rsidR="00203F03">
        <w:rPr>
          <w:rFonts w:ascii="Times New Roman" w:hAnsi="Times New Roman" w:cs="Times New Roman"/>
          <w:i/>
          <w:color w:val="000000"/>
          <w:lang w:val="lv-LV"/>
        </w:rPr>
        <w:t xml:space="preserve"> </w:t>
      </w:r>
      <w:r w:rsidR="00203F03">
        <w:rPr>
          <w:rFonts w:ascii="Times New Roman" w:hAnsi="Times New Roman" w:cs="Times New Roman"/>
          <w:color w:val="000000"/>
          <w:lang w:val="lv-LV"/>
        </w:rPr>
        <w:t xml:space="preserve">apstiprinājums, kā noteikts Operatīvās darbības likuma 7. panta </w:t>
      </w:r>
      <w:r w:rsidR="00F073B4">
        <w:rPr>
          <w:rFonts w:ascii="Times New Roman" w:hAnsi="Times New Roman" w:cs="Times New Roman"/>
          <w:color w:val="000000"/>
          <w:lang w:val="lv-LV"/>
        </w:rPr>
        <w:t>piektajā</w:t>
      </w:r>
      <w:r w:rsidR="00203F03">
        <w:rPr>
          <w:rFonts w:ascii="Times New Roman" w:hAnsi="Times New Roman" w:cs="Times New Roman"/>
          <w:color w:val="000000"/>
          <w:lang w:val="lv-LV"/>
        </w:rPr>
        <w:t xml:space="preserve"> daļā, </w:t>
      </w:r>
      <w:r w:rsidR="00155EBE">
        <w:rPr>
          <w:rFonts w:ascii="Times New Roman" w:hAnsi="Times New Roman" w:cs="Times New Roman"/>
          <w:color w:val="000000"/>
          <w:lang w:val="lv-LV"/>
        </w:rPr>
        <w:t>Tiesa neuzskata par nepieciešamu izskatīt, vai šajā lietā ievēroti citi operatīvo darbību nosacījumi, kas noteikti nacionālajos tiesību aktos.</w:t>
      </w:r>
    </w:p>
    <w:p w:rsidR="00155EBE" w:rsidRDefault="004B2E22" w:rsidP="00EA08F6">
      <w:pPr>
        <w:pStyle w:val="ECHRPara"/>
        <w:rPr>
          <w:rFonts w:ascii="Times New Roman" w:hAnsi="Times New Roman" w:cs="Times New Roman"/>
          <w:color w:val="000000"/>
          <w:lang w:val="lv-LV"/>
        </w:rPr>
      </w:pPr>
      <w:r w:rsidRPr="00832E00">
        <w:rPr>
          <w:rFonts w:ascii="Times New Roman" w:hAnsi="Times New Roman" w:cs="Times New Roman"/>
          <w:color w:val="000000"/>
          <w:lang w:val="lv-LV"/>
        </w:rPr>
        <w:fldChar w:fldCharType="begin"/>
      </w:r>
      <w:r w:rsidRPr="00832E00">
        <w:rPr>
          <w:rFonts w:ascii="Times New Roman" w:hAnsi="Times New Roman" w:cs="Times New Roman"/>
          <w:color w:val="000000"/>
          <w:lang w:val="lv-LV"/>
        </w:rPr>
        <w:instrText xml:space="preserve"> SEQ level0 \*arabic </w:instrText>
      </w:r>
      <w:r w:rsidRPr="00832E00">
        <w:rPr>
          <w:rFonts w:ascii="Times New Roman" w:hAnsi="Times New Roman" w:cs="Times New Roman"/>
          <w:color w:val="000000"/>
          <w:lang w:val="lv-LV"/>
        </w:rPr>
        <w:fldChar w:fldCharType="separate"/>
      </w:r>
      <w:r w:rsidR="00DC5D38" w:rsidRPr="00832E00">
        <w:rPr>
          <w:rFonts w:ascii="Times New Roman" w:hAnsi="Times New Roman" w:cs="Times New Roman"/>
          <w:noProof/>
          <w:color w:val="000000"/>
          <w:lang w:val="lv-LV"/>
        </w:rPr>
        <w:t>66</w:t>
      </w:r>
      <w:r w:rsidRPr="00832E00">
        <w:rPr>
          <w:rFonts w:ascii="Times New Roman" w:hAnsi="Times New Roman" w:cs="Times New Roman"/>
          <w:color w:val="000000"/>
          <w:lang w:val="lv-LV"/>
        </w:rPr>
        <w:fldChar w:fldCharType="end"/>
      </w:r>
      <w:r w:rsidRPr="00832E00">
        <w:rPr>
          <w:rFonts w:ascii="Times New Roman" w:hAnsi="Times New Roman" w:cs="Times New Roman"/>
          <w:color w:val="000000"/>
          <w:lang w:val="lv-LV"/>
        </w:rPr>
        <w:t>.  </w:t>
      </w:r>
      <w:r w:rsidR="00155EBE">
        <w:rPr>
          <w:rFonts w:ascii="Times New Roman" w:hAnsi="Times New Roman" w:cs="Times New Roman"/>
          <w:color w:val="000000"/>
          <w:lang w:val="lv-LV"/>
        </w:rPr>
        <w:t xml:space="preserve">Tiesa uzskata iepriekšminētos apsvērumus par pietiekamiem, lai secinātu, ka iesniedzēja telefonsarunu noklausīšanās nav veikta </w:t>
      </w:r>
      <w:r w:rsidR="00957E11">
        <w:rPr>
          <w:rFonts w:ascii="Times New Roman" w:hAnsi="Times New Roman" w:cs="Times New Roman"/>
          <w:color w:val="000000"/>
          <w:lang w:val="lv-LV"/>
        </w:rPr>
        <w:t xml:space="preserve">tādā veidā, kas </w:t>
      </w:r>
      <w:r w:rsidR="00155EBE" w:rsidRPr="00832E00">
        <w:rPr>
          <w:rFonts w:ascii="Times New Roman" w:hAnsi="Times New Roman" w:cs="Times New Roman"/>
          <w:color w:val="000000"/>
          <w:lang w:val="lv-LV"/>
        </w:rPr>
        <w:t>“</w:t>
      </w:r>
      <w:r w:rsidR="00957E11">
        <w:rPr>
          <w:rFonts w:ascii="Times New Roman" w:hAnsi="Times New Roman" w:cs="Times New Roman"/>
          <w:color w:val="000000"/>
          <w:lang w:val="lv-LV"/>
        </w:rPr>
        <w:t>paredzēts likumā</w:t>
      </w:r>
      <w:r w:rsidR="00155EBE">
        <w:rPr>
          <w:rFonts w:ascii="Times New Roman" w:hAnsi="Times New Roman" w:cs="Times New Roman"/>
          <w:color w:val="000000"/>
          <w:lang w:val="lv-LV"/>
        </w:rPr>
        <w:t xml:space="preserve">” Konvencijas 8. panta 2. </w:t>
      </w:r>
      <w:r w:rsidR="005E02AF">
        <w:rPr>
          <w:rFonts w:ascii="Times New Roman" w:hAnsi="Times New Roman" w:cs="Times New Roman"/>
          <w:color w:val="000000"/>
          <w:lang w:val="lv-LV"/>
        </w:rPr>
        <w:t>punkta</w:t>
      </w:r>
      <w:r w:rsidR="00155EBE">
        <w:rPr>
          <w:rFonts w:ascii="Times New Roman" w:hAnsi="Times New Roman" w:cs="Times New Roman"/>
          <w:color w:val="000000"/>
          <w:lang w:val="lv-LV"/>
        </w:rPr>
        <w:t xml:space="preserve"> izpratnē. Līdz ar to</w:t>
      </w:r>
      <w:r w:rsidR="00F073B4">
        <w:rPr>
          <w:rFonts w:ascii="Times New Roman" w:hAnsi="Times New Roman" w:cs="Times New Roman"/>
          <w:color w:val="000000"/>
          <w:lang w:val="lv-LV"/>
        </w:rPr>
        <w:t xml:space="preserve"> ir ticis</w:t>
      </w:r>
      <w:r w:rsidR="00155EBE">
        <w:rPr>
          <w:rFonts w:ascii="Times New Roman" w:hAnsi="Times New Roman" w:cs="Times New Roman"/>
          <w:color w:val="000000"/>
          <w:lang w:val="lv-LV"/>
        </w:rPr>
        <w:t xml:space="preserve"> pārkāpts 8. pants. </w:t>
      </w:r>
      <w:r w:rsidR="00FC5ECD">
        <w:rPr>
          <w:rFonts w:ascii="Times New Roman" w:hAnsi="Times New Roman" w:cs="Times New Roman"/>
          <w:color w:val="000000"/>
          <w:lang w:val="lv-LV"/>
        </w:rPr>
        <w:t>Tādējādi</w:t>
      </w:r>
      <w:r w:rsidR="00155EBE">
        <w:rPr>
          <w:rFonts w:ascii="Times New Roman" w:hAnsi="Times New Roman" w:cs="Times New Roman"/>
          <w:color w:val="000000"/>
          <w:lang w:val="lv-LV"/>
        </w:rPr>
        <w:t xml:space="preserve"> Tiesa neuzskata par nepieciešamu šajā lietā izvērtēt atbilstību </w:t>
      </w:r>
      <w:r w:rsidR="00957E11">
        <w:rPr>
          <w:rFonts w:ascii="Times New Roman" w:hAnsi="Times New Roman" w:cs="Times New Roman"/>
          <w:color w:val="000000"/>
          <w:lang w:val="lv-LV"/>
        </w:rPr>
        <w:t>citām</w:t>
      </w:r>
      <w:r w:rsidR="00155EBE">
        <w:rPr>
          <w:rFonts w:ascii="Times New Roman" w:hAnsi="Times New Roman" w:cs="Times New Roman"/>
          <w:color w:val="000000"/>
          <w:lang w:val="lv-LV"/>
        </w:rPr>
        <w:t xml:space="preserve"> 8. panta 2. </w:t>
      </w:r>
      <w:r w:rsidR="005E02AF">
        <w:rPr>
          <w:rFonts w:ascii="Times New Roman" w:hAnsi="Times New Roman" w:cs="Times New Roman"/>
          <w:color w:val="000000"/>
          <w:lang w:val="lv-LV"/>
        </w:rPr>
        <w:t>punkta</w:t>
      </w:r>
      <w:r w:rsidR="00155EBE">
        <w:rPr>
          <w:rFonts w:ascii="Times New Roman" w:hAnsi="Times New Roman" w:cs="Times New Roman"/>
          <w:color w:val="000000"/>
          <w:lang w:val="lv-LV"/>
        </w:rPr>
        <w:t xml:space="preserve"> </w:t>
      </w:r>
      <w:r w:rsidR="00957E11">
        <w:rPr>
          <w:rFonts w:ascii="Times New Roman" w:hAnsi="Times New Roman" w:cs="Times New Roman"/>
          <w:color w:val="000000"/>
          <w:lang w:val="lv-LV"/>
        </w:rPr>
        <w:t>normām</w:t>
      </w:r>
      <w:r w:rsidR="00155EBE">
        <w:rPr>
          <w:rFonts w:ascii="Times New Roman" w:hAnsi="Times New Roman" w:cs="Times New Roman"/>
          <w:color w:val="000000"/>
          <w:lang w:val="lv-LV"/>
        </w:rPr>
        <w:t xml:space="preserve"> (skatīt</w:t>
      </w:r>
      <w:r w:rsidR="00FC5ECD">
        <w:rPr>
          <w:rFonts w:ascii="Times New Roman" w:hAnsi="Times New Roman" w:cs="Times New Roman"/>
          <w:color w:val="000000"/>
          <w:lang w:val="lv-LV"/>
        </w:rPr>
        <w:t xml:space="preserve"> lietu</w:t>
      </w:r>
      <w:r w:rsidR="00155EBE">
        <w:rPr>
          <w:rFonts w:ascii="Times New Roman" w:hAnsi="Times New Roman" w:cs="Times New Roman"/>
          <w:color w:val="000000"/>
          <w:lang w:val="lv-LV"/>
        </w:rPr>
        <w:t xml:space="preserve"> </w:t>
      </w:r>
      <w:r w:rsidR="00155EBE" w:rsidRPr="00155EBE">
        <w:rPr>
          <w:rFonts w:ascii="Times New Roman" w:hAnsi="Times New Roman" w:cs="Times New Roman"/>
          <w:i/>
          <w:color w:val="000000"/>
          <w:lang w:val="lv-LV"/>
        </w:rPr>
        <w:t>Petrova pret Latviju</w:t>
      </w:r>
      <w:r w:rsidR="00155EBE">
        <w:rPr>
          <w:rFonts w:ascii="Times New Roman" w:hAnsi="Times New Roman" w:cs="Times New Roman"/>
          <w:color w:val="000000"/>
          <w:lang w:val="lv-LV"/>
        </w:rPr>
        <w:t xml:space="preserve">, Nr. </w:t>
      </w:r>
      <w:r w:rsidR="00155EBE" w:rsidRPr="00832E00">
        <w:rPr>
          <w:lang w:val="lv-LV"/>
        </w:rPr>
        <w:t>4605/05</w:t>
      </w:r>
      <w:r w:rsidR="00155EBE">
        <w:rPr>
          <w:lang w:val="lv-LV"/>
        </w:rPr>
        <w:t>, 98. rindkopa, 2014. gada 24. jūnijs).</w:t>
      </w:r>
    </w:p>
    <w:p w:rsidR="00155EBE" w:rsidRDefault="00712EAD" w:rsidP="00EA08F6">
      <w:pPr>
        <w:pStyle w:val="ECHRHeading1"/>
        <w:rPr>
          <w:lang w:val="lv-LV"/>
        </w:rPr>
      </w:pPr>
      <w:r w:rsidRPr="00832E00">
        <w:rPr>
          <w:lang w:val="lv-LV"/>
        </w:rPr>
        <w:t>III</w:t>
      </w:r>
      <w:r w:rsidR="00014566" w:rsidRPr="00832E00">
        <w:rPr>
          <w:lang w:val="lv-LV"/>
        </w:rPr>
        <w:t>  </w:t>
      </w:r>
      <w:r w:rsidR="00155EBE">
        <w:rPr>
          <w:lang w:val="lv-LV"/>
        </w:rPr>
        <w:t>APGALVOTAIS KONVENCIJAS 13. PANTA PĀRKĀPUMS</w:t>
      </w:r>
    </w:p>
    <w:p w:rsidR="00155EBE"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67</w:t>
      </w:r>
      <w:r w:rsidRPr="00832E00">
        <w:rPr>
          <w:noProof/>
          <w:lang w:val="lv-LV"/>
        </w:rPr>
        <w:fldChar w:fldCharType="end"/>
      </w:r>
      <w:r w:rsidR="00014566" w:rsidRPr="00832E00">
        <w:rPr>
          <w:lang w:val="lv-LV"/>
        </w:rPr>
        <w:t>.  </w:t>
      </w:r>
      <w:r w:rsidR="00155EBE">
        <w:rPr>
          <w:lang w:val="lv-LV"/>
        </w:rPr>
        <w:t>Iesniedzējs vēl sūdzējās, ka Latvijas tiesu sistēmā nav efektīvu tiesiskās aizsardzības līdzekļu saistībā ar 8. pantā noteikto tiesību pārkāpumiem. Viņš sūdzējās par to, ka operatīvo darbību izskatīšana Latvijā tiek uzticēta prokuroriem un netiek pakļauta neatkarīgu ties</w:t>
      </w:r>
      <w:r w:rsidR="00601F67">
        <w:rPr>
          <w:lang w:val="lv-LV"/>
        </w:rPr>
        <w:t>as</w:t>
      </w:r>
      <w:r w:rsidR="00155EBE">
        <w:rPr>
          <w:lang w:val="lv-LV"/>
        </w:rPr>
        <w:t xml:space="preserve"> </w:t>
      </w:r>
      <w:r w:rsidR="00601F67">
        <w:rPr>
          <w:lang w:val="lv-LV"/>
        </w:rPr>
        <w:t>institūciju</w:t>
      </w:r>
      <w:r w:rsidR="00155EBE">
        <w:rPr>
          <w:lang w:val="lv-LV"/>
        </w:rPr>
        <w:t xml:space="preserve"> kontrolei. </w:t>
      </w:r>
    </w:p>
    <w:p w:rsidR="00155EBE"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68</w:t>
      </w:r>
      <w:r w:rsidRPr="00832E00">
        <w:rPr>
          <w:noProof/>
          <w:lang w:val="lv-LV"/>
        </w:rPr>
        <w:fldChar w:fldCharType="end"/>
      </w:r>
      <w:r w:rsidR="007B7C0F" w:rsidRPr="00832E00">
        <w:rPr>
          <w:lang w:val="lv-LV"/>
        </w:rPr>
        <w:t>.  </w:t>
      </w:r>
      <w:r w:rsidR="00155EBE">
        <w:rPr>
          <w:lang w:val="lv-LV"/>
        </w:rPr>
        <w:t>Konvencijas 13. pants nosaka:</w:t>
      </w:r>
    </w:p>
    <w:p w:rsidR="00155EBE" w:rsidRDefault="007B7C0F" w:rsidP="00EA08F6">
      <w:pPr>
        <w:pStyle w:val="ECHRParaQuote"/>
        <w:rPr>
          <w:lang w:val="lv-LV"/>
        </w:rPr>
      </w:pPr>
      <w:r w:rsidRPr="00832E00">
        <w:rPr>
          <w:lang w:val="lv-LV"/>
        </w:rPr>
        <w:t>“</w:t>
      </w:r>
      <w:r w:rsidR="00155EBE" w:rsidRPr="00155EBE">
        <w:rPr>
          <w:lang w:val="lv-LV"/>
        </w:rPr>
        <w:t>Ikvienam, kura tiesības un brīvības, kas noteiktas šajā Konvencijā, ir pārkāptas, ir tiesības uz efektīvu aizsardzību no valsts institūciju puses, neskatoties uz to, ka pārkāpumu ir izdarījušas personas, pildot publiskos dienesta pienākumus.</w:t>
      </w:r>
      <w:r w:rsidR="00155EBE">
        <w:rPr>
          <w:lang w:val="lv-LV"/>
        </w:rPr>
        <w:t>”</w:t>
      </w:r>
    </w:p>
    <w:p w:rsidR="00155EBE"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69</w:t>
      </w:r>
      <w:r w:rsidRPr="00832E00">
        <w:rPr>
          <w:noProof/>
          <w:lang w:val="lv-LV"/>
        </w:rPr>
        <w:fldChar w:fldCharType="end"/>
      </w:r>
      <w:r w:rsidR="00014566" w:rsidRPr="00832E00">
        <w:rPr>
          <w:lang w:val="lv-LV"/>
        </w:rPr>
        <w:t>. </w:t>
      </w:r>
      <w:r w:rsidR="00155EBE">
        <w:rPr>
          <w:lang w:val="lv-LV"/>
        </w:rPr>
        <w:t>Valdība apstrīdēja šo apgalvojumu.</w:t>
      </w:r>
    </w:p>
    <w:p w:rsidR="007B7C0F" w:rsidRPr="00832E00" w:rsidRDefault="007B7C0F" w:rsidP="00EA08F6">
      <w:pPr>
        <w:pStyle w:val="ECHRHeading2"/>
        <w:rPr>
          <w:lang w:val="lv-LV"/>
        </w:rPr>
      </w:pPr>
      <w:r w:rsidRPr="00832E00">
        <w:rPr>
          <w:lang w:val="lv-LV"/>
        </w:rPr>
        <w:t>A.  </w:t>
      </w:r>
      <w:r w:rsidR="00155EBE">
        <w:rPr>
          <w:lang w:val="lv-LV"/>
        </w:rPr>
        <w:t>Pieņemamība izskatīšanai</w:t>
      </w:r>
    </w:p>
    <w:p w:rsidR="00155EBE" w:rsidRPr="00216247"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70</w:t>
      </w:r>
      <w:r w:rsidRPr="00832E00">
        <w:rPr>
          <w:noProof/>
          <w:lang w:val="lv-LV"/>
        </w:rPr>
        <w:fldChar w:fldCharType="end"/>
      </w:r>
      <w:r w:rsidR="00960A07" w:rsidRPr="00832E00">
        <w:rPr>
          <w:lang w:val="lv-LV"/>
        </w:rPr>
        <w:t>.  </w:t>
      </w:r>
      <w:r w:rsidR="00155EBE">
        <w:rPr>
          <w:lang w:val="lv-LV"/>
        </w:rPr>
        <w:t xml:space="preserve">Ņemot vērā savus atzinumus atbilstoši Konvencijas 8. pantam, </w:t>
      </w:r>
      <w:r w:rsidR="00216247">
        <w:rPr>
          <w:lang w:val="lv-LV"/>
        </w:rPr>
        <w:t xml:space="preserve">Tiesa atzīst, ka iesniedzēja sūdzība </w:t>
      </w:r>
      <w:r w:rsidR="00FC5ECD">
        <w:rPr>
          <w:lang w:val="lv-LV"/>
        </w:rPr>
        <w:t>veido</w:t>
      </w:r>
      <w:r w:rsidR="00216247">
        <w:rPr>
          <w:lang w:val="lv-LV"/>
        </w:rPr>
        <w:t xml:space="preserve"> </w:t>
      </w:r>
      <w:r w:rsidR="00611DE8">
        <w:rPr>
          <w:lang w:val="lv-LV"/>
        </w:rPr>
        <w:t>p</w:t>
      </w:r>
      <w:r w:rsidR="00F073B4">
        <w:rPr>
          <w:lang w:val="lv-LV"/>
        </w:rPr>
        <w:t xml:space="preserve">amatotu </w:t>
      </w:r>
      <w:r w:rsidR="00216247">
        <w:rPr>
          <w:lang w:val="lv-LV"/>
        </w:rPr>
        <w:t xml:space="preserve">prasību Konvencijas izpratnē un ka līdz ar to viņam bija tiesības uz efektīvu tiesiskās aizsardzības līdzekli, lai izmantotu savas tiesības, kas noteiktas šajā pantā (skatīt </w:t>
      </w:r>
      <w:r w:rsidR="00FC5ECD">
        <w:rPr>
          <w:lang w:val="lv-LV"/>
        </w:rPr>
        <w:t xml:space="preserve">lietu </w:t>
      </w:r>
      <w:proofErr w:type="spellStart"/>
      <w:r w:rsidR="00216247" w:rsidRPr="00832E00">
        <w:rPr>
          <w:i/>
          <w:lang w:val="lv-LV"/>
        </w:rPr>
        <w:lastRenderedPageBreak/>
        <w:t>Association</w:t>
      </w:r>
      <w:proofErr w:type="spellEnd"/>
      <w:r w:rsidR="00216247" w:rsidRPr="00832E00">
        <w:rPr>
          <w:i/>
          <w:lang w:val="lv-LV"/>
        </w:rPr>
        <w:t xml:space="preserve"> </w:t>
      </w:r>
      <w:proofErr w:type="spellStart"/>
      <w:r w:rsidR="00216247" w:rsidRPr="00832E00">
        <w:rPr>
          <w:i/>
          <w:lang w:val="lv-LV"/>
        </w:rPr>
        <w:t>for</w:t>
      </w:r>
      <w:proofErr w:type="spellEnd"/>
      <w:r w:rsidR="00216247" w:rsidRPr="00832E00">
        <w:rPr>
          <w:i/>
          <w:lang w:val="lv-LV"/>
        </w:rPr>
        <w:t xml:space="preserve"> </w:t>
      </w:r>
      <w:proofErr w:type="spellStart"/>
      <w:r w:rsidR="00216247" w:rsidRPr="00832E00">
        <w:rPr>
          <w:i/>
          <w:lang w:val="lv-LV"/>
        </w:rPr>
        <w:t>European</w:t>
      </w:r>
      <w:proofErr w:type="spellEnd"/>
      <w:r w:rsidR="00216247" w:rsidRPr="00832E00">
        <w:rPr>
          <w:i/>
          <w:lang w:val="lv-LV"/>
        </w:rPr>
        <w:t xml:space="preserve"> </w:t>
      </w:r>
      <w:proofErr w:type="spellStart"/>
      <w:r w:rsidR="00216247" w:rsidRPr="00832E00">
        <w:rPr>
          <w:i/>
          <w:lang w:val="lv-LV"/>
        </w:rPr>
        <w:t>Integration</w:t>
      </w:r>
      <w:proofErr w:type="spellEnd"/>
      <w:r w:rsidR="00216247" w:rsidRPr="00832E00">
        <w:rPr>
          <w:i/>
          <w:lang w:val="lv-LV"/>
        </w:rPr>
        <w:t xml:space="preserve"> </w:t>
      </w:r>
      <w:proofErr w:type="spellStart"/>
      <w:r w:rsidR="00216247" w:rsidRPr="00832E00">
        <w:rPr>
          <w:i/>
          <w:lang w:val="lv-LV"/>
        </w:rPr>
        <w:t>and</w:t>
      </w:r>
      <w:proofErr w:type="spellEnd"/>
      <w:r w:rsidR="00216247" w:rsidRPr="00832E00">
        <w:rPr>
          <w:i/>
          <w:lang w:val="lv-LV"/>
        </w:rPr>
        <w:t xml:space="preserve"> </w:t>
      </w:r>
      <w:proofErr w:type="spellStart"/>
      <w:r w:rsidR="00216247" w:rsidRPr="00832E00">
        <w:rPr>
          <w:i/>
          <w:lang w:val="lv-LV"/>
        </w:rPr>
        <w:t>Human</w:t>
      </w:r>
      <w:proofErr w:type="spellEnd"/>
      <w:r w:rsidR="00216247" w:rsidRPr="00832E00">
        <w:rPr>
          <w:i/>
          <w:lang w:val="lv-LV"/>
        </w:rPr>
        <w:t xml:space="preserve"> </w:t>
      </w:r>
      <w:proofErr w:type="spellStart"/>
      <w:r w:rsidR="00216247" w:rsidRPr="00832E00">
        <w:rPr>
          <w:i/>
          <w:lang w:val="lv-LV"/>
        </w:rPr>
        <w:t>Rights</w:t>
      </w:r>
      <w:proofErr w:type="spellEnd"/>
      <w:r w:rsidR="00216247" w:rsidRPr="00832E00">
        <w:rPr>
          <w:i/>
          <w:lang w:val="lv-LV"/>
        </w:rPr>
        <w:t xml:space="preserve"> </w:t>
      </w:r>
      <w:r w:rsidR="00FC5ECD">
        <w:rPr>
          <w:i/>
          <w:lang w:val="lv-LV"/>
        </w:rPr>
        <w:t>un</w:t>
      </w:r>
      <w:r w:rsidR="00216247" w:rsidRPr="00832E00">
        <w:rPr>
          <w:i/>
          <w:lang w:val="lv-LV"/>
        </w:rPr>
        <w:t xml:space="preserve"> </w:t>
      </w:r>
      <w:proofErr w:type="spellStart"/>
      <w:r w:rsidR="00216247" w:rsidRPr="00832E00">
        <w:rPr>
          <w:i/>
          <w:lang w:val="lv-LV"/>
        </w:rPr>
        <w:t>Ekimdzhiev</w:t>
      </w:r>
      <w:proofErr w:type="spellEnd"/>
      <w:r w:rsidR="00216247">
        <w:rPr>
          <w:i/>
          <w:lang w:val="lv-LV"/>
        </w:rPr>
        <w:t xml:space="preserve"> pret Bulgāriju</w:t>
      </w:r>
      <w:r w:rsidR="00216247" w:rsidRPr="00FC5ECD">
        <w:rPr>
          <w:lang w:val="lv-LV"/>
        </w:rPr>
        <w:t>,</w:t>
      </w:r>
      <w:r w:rsidR="00216247">
        <w:rPr>
          <w:i/>
          <w:lang w:val="lv-LV"/>
        </w:rPr>
        <w:t xml:space="preserve"> </w:t>
      </w:r>
      <w:r w:rsidR="00216247">
        <w:rPr>
          <w:lang w:val="lv-LV"/>
        </w:rPr>
        <w:t xml:space="preserve">Nr. </w:t>
      </w:r>
      <w:r w:rsidR="00216247" w:rsidRPr="00832E00">
        <w:rPr>
          <w:lang w:val="lv-LV"/>
        </w:rPr>
        <w:t>62540/00</w:t>
      </w:r>
      <w:r w:rsidR="00216247">
        <w:rPr>
          <w:lang w:val="lv-LV"/>
        </w:rPr>
        <w:t>, 98. rindkopa, 2007. gada 28. jūnijs).</w:t>
      </w:r>
    </w:p>
    <w:p w:rsidR="00216247" w:rsidRDefault="00525DF7" w:rsidP="00216247">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71</w:t>
      </w:r>
      <w:r w:rsidRPr="00832E00">
        <w:rPr>
          <w:noProof/>
          <w:lang w:val="lv-LV"/>
        </w:rPr>
        <w:fldChar w:fldCharType="end"/>
      </w:r>
      <w:r w:rsidR="009E0F6A" w:rsidRPr="00832E00">
        <w:rPr>
          <w:lang w:val="lv-LV"/>
        </w:rPr>
        <w:t>.  </w:t>
      </w:r>
      <w:r w:rsidR="00216247">
        <w:rPr>
          <w:lang w:val="lv-LV"/>
        </w:rPr>
        <w:t xml:space="preserve">Tiesa atzīst, ka šī sūdzība nav acīmredzami nepamatota Konvencijas 35. panta 3. </w:t>
      </w:r>
      <w:r w:rsidR="00957E11">
        <w:rPr>
          <w:lang w:val="lv-LV"/>
        </w:rPr>
        <w:t>punkta</w:t>
      </w:r>
      <w:r w:rsidR="00216247">
        <w:rPr>
          <w:lang w:val="lv-LV"/>
        </w:rPr>
        <w:t xml:space="preserve"> a. apakšpunkta izpratnē. Nav noteikts cits pamatojums, lai atzītu lietu par nepieņemamu izskatīšanai. Līdz ar to tā</w:t>
      </w:r>
      <w:r w:rsidR="00F073B4">
        <w:rPr>
          <w:lang w:val="lv-LV"/>
        </w:rPr>
        <w:t xml:space="preserve"> ir</w:t>
      </w:r>
      <w:r w:rsidR="00216247">
        <w:rPr>
          <w:lang w:val="lv-LV"/>
        </w:rPr>
        <w:t xml:space="preserve"> atzīstama par pieņemamu izskatīšanai.</w:t>
      </w:r>
    </w:p>
    <w:p w:rsidR="007B7C0F" w:rsidRPr="00832E00" w:rsidRDefault="007B7C0F" w:rsidP="00EA08F6">
      <w:pPr>
        <w:pStyle w:val="ECHRHeading2"/>
        <w:rPr>
          <w:lang w:val="lv-LV"/>
        </w:rPr>
      </w:pPr>
      <w:r w:rsidRPr="00832E00">
        <w:rPr>
          <w:lang w:val="lv-LV"/>
        </w:rPr>
        <w:t>B.  </w:t>
      </w:r>
      <w:r w:rsidR="00643606">
        <w:rPr>
          <w:lang w:val="lv-LV"/>
        </w:rPr>
        <w:t>Lietas būtība</w:t>
      </w:r>
    </w:p>
    <w:p w:rsidR="0080678B" w:rsidRPr="00832E00" w:rsidRDefault="0080678B" w:rsidP="00EA08F6">
      <w:pPr>
        <w:pStyle w:val="ECHRHeading3"/>
        <w:rPr>
          <w:lang w:val="lv-LV"/>
        </w:rPr>
      </w:pPr>
      <w:r w:rsidRPr="00832E00">
        <w:rPr>
          <w:lang w:val="lv-LV"/>
        </w:rPr>
        <w:t>1.  </w:t>
      </w:r>
      <w:r w:rsidR="00643606">
        <w:rPr>
          <w:lang w:val="lv-LV"/>
        </w:rPr>
        <w:t>Pušu apsvērumi</w:t>
      </w:r>
    </w:p>
    <w:p w:rsidR="00643606"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72</w:t>
      </w:r>
      <w:r w:rsidRPr="00832E00">
        <w:rPr>
          <w:noProof/>
          <w:lang w:val="lv-LV"/>
        </w:rPr>
        <w:fldChar w:fldCharType="end"/>
      </w:r>
      <w:r w:rsidR="007B7C0F" w:rsidRPr="00832E00">
        <w:rPr>
          <w:lang w:val="lv-LV"/>
        </w:rPr>
        <w:t>.  </w:t>
      </w:r>
      <w:r w:rsidR="00643606">
        <w:rPr>
          <w:lang w:val="lv-LV"/>
        </w:rPr>
        <w:t xml:space="preserve">Iesniedzējs apgalvoja, ka iesniegumu prokuratūrā nevar uzskatīt par efektīvu līdzekli viņa tiesību aizsardzībai. Viņš norādīja, ka prokuratūras uzdevums, </w:t>
      </w:r>
      <w:r w:rsidR="007C18DF">
        <w:rPr>
          <w:lang w:val="lv-LV"/>
        </w:rPr>
        <w:t>no vienas puses</w:t>
      </w:r>
      <w:r w:rsidR="00643606">
        <w:rPr>
          <w:lang w:val="lv-LV"/>
        </w:rPr>
        <w:t xml:space="preserve">, ir izvērtēt un apstiprināt operatīvās darbības atbilstoši Operatīvās darbības likumam un, </w:t>
      </w:r>
      <w:r w:rsidR="007C18DF">
        <w:rPr>
          <w:lang w:val="lv-LV"/>
        </w:rPr>
        <w:t>no otras puses</w:t>
      </w:r>
      <w:r w:rsidR="00643606">
        <w:rPr>
          <w:lang w:val="lv-LV"/>
        </w:rPr>
        <w:t>, celt pret personām apsūdzības un panākt to tiesāšanu valsts vārdā. Līdz ar to viņš nepiekrita Valdības apgalvojumam par to, ka prokuratūru Latvijā var uzskatīt par tiesu varas institūciju.</w:t>
      </w:r>
    </w:p>
    <w:p w:rsidR="00643606"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73</w:t>
      </w:r>
      <w:r w:rsidRPr="00832E00">
        <w:rPr>
          <w:noProof/>
          <w:lang w:val="lv-LV"/>
        </w:rPr>
        <w:fldChar w:fldCharType="end"/>
      </w:r>
      <w:r w:rsidR="00960A07" w:rsidRPr="00832E00">
        <w:rPr>
          <w:lang w:val="lv-LV"/>
        </w:rPr>
        <w:t>.  </w:t>
      </w:r>
      <w:r w:rsidR="00643606">
        <w:rPr>
          <w:lang w:val="lv-LV"/>
        </w:rPr>
        <w:t xml:space="preserve">Valdība atzina, ka iesniedzējs lūdzis prokuratūru sniegt informāciju par operatīvajām darbībām, to likumību un tālāko KNAB rīcību. </w:t>
      </w:r>
      <w:r w:rsidR="00E14C6B">
        <w:rPr>
          <w:lang w:val="lv-LV"/>
        </w:rPr>
        <w:t>Tās ieskatā</w:t>
      </w:r>
      <w:r w:rsidR="007C18DF">
        <w:rPr>
          <w:lang w:val="lv-LV"/>
        </w:rPr>
        <w:t xml:space="preserve"> prokuratūra bija institūcija</w:t>
      </w:r>
      <w:r w:rsidR="00643606">
        <w:rPr>
          <w:lang w:val="lv-LV"/>
        </w:rPr>
        <w:t xml:space="preserve">, kas </w:t>
      </w:r>
      <w:r w:rsidR="007C18DF">
        <w:rPr>
          <w:lang w:val="lv-LV"/>
        </w:rPr>
        <w:t>pilda</w:t>
      </w:r>
      <w:r w:rsidR="00643606">
        <w:rPr>
          <w:lang w:val="lv-LV"/>
        </w:rPr>
        <w:t xml:space="preserve"> tiesu varas funkc</w:t>
      </w:r>
      <w:r w:rsidR="007C18DF">
        <w:rPr>
          <w:lang w:val="lv-LV"/>
        </w:rPr>
        <w:t>ijas (viņi atsaucās uz Prokuratū</w:t>
      </w:r>
      <w:r w:rsidR="00643606">
        <w:rPr>
          <w:lang w:val="lv-LV"/>
        </w:rPr>
        <w:t xml:space="preserve">ras likuma 1. panta 1. daļu un Satversmes tiesas nolēmumu lietā Nr. 2004-06-01, uz kuru </w:t>
      </w:r>
      <w:r w:rsidR="007C18DF">
        <w:rPr>
          <w:lang w:val="lv-LV"/>
        </w:rPr>
        <w:t xml:space="preserve">Satversmes tiesa atsaucās </w:t>
      </w:r>
      <w:r w:rsidR="00197291">
        <w:rPr>
          <w:lang w:val="lv-LV"/>
        </w:rPr>
        <w:t xml:space="preserve">šīs lietas </w:t>
      </w:r>
      <w:r w:rsidR="00643606">
        <w:rPr>
          <w:lang w:val="lv-LV"/>
        </w:rPr>
        <w:t xml:space="preserve">sprieduma 19. </w:t>
      </w:r>
      <w:r w:rsidR="007C18DF">
        <w:rPr>
          <w:lang w:val="lv-LV"/>
        </w:rPr>
        <w:t>punktā</w:t>
      </w:r>
      <w:r w:rsidR="00643606">
        <w:rPr>
          <w:lang w:val="lv-LV"/>
        </w:rPr>
        <w:t xml:space="preserve">; skatīt iepriekš 24. rindkopu). Prokuratūra bija izskatījusi ikvienu iesniedzēja sūdzības aspektu. </w:t>
      </w:r>
      <w:r w:rsidR="007B3D96">
        <w:rPr>
          <w:lang w:val="lv-LV"/>
        </w:rPr>
        <w:t xml:space="preserve">Attiecībā uz tiesvedību Satversmes tiesā Valdība uzsvēra, ka atbilstoši Kriminālprocesa likuma 655. panta </w:t>
      </w:r>
      <w:r w:rsidR="00E14C6B">
        <w:rPr>
          <w:lang w:val="lv-LV"/>
        </w:rPr>
        <w:t>otrās</w:t>
      </w:r>
      <w:r w:rsidR="007B3D96">
        <w:rPr>
          <w:lang w:val="lv-LV"/>
        </w:rPr>
        <w:t xml:space="preserve"> daļas 4. punktam tās spriedums būtu uzskatāms par pietiekamu pamatu izbeigtas tiesvedības atjaunošanai. Tā kā kriminālprocess iesniedzēja lietā joprojām nebija pabeigts, viņi atsaucās uz Kriminālprocesa likuma 2. panta </w:t>
      </w:r>
      <w:r w:rsidR="00E14C6B">
        <w:rPr>
          <w:lang w:val="lv-LV"/>
        </w:rPr>
        <w:t xml:space="preserve">otro </w:t>
      </w:r>
      <w:r w:rsidR="007B3D96">
        <w:rPr>
          <w:lang w:val="lv-LV"/>
        </w:rPr>
        <w:t xml:space="preserve">daļu, kurā norādīts, ka Satversmes tiesas sniegts tiesību normas skaidrojums ir saistošs </w:t>
      </w:r>
      <w:r w:rsidR="00197291">
        <w:rPr>
          <w:lang w:val="lv-LV"/>
        </w:rPr>
        <w:t xml:space="preserve">nacionālajām </w:t>
      </w:r>
      <w:r w:rsidR="007B3D96">
        <w:rPr>
          <w:lang w:val="lv-LV"/>
        </w:rPr>
        <w:t xml:space="preserve">krimināllietu tiesām attiecībā uz to operatīvo darbību likumību, kas </w:t>
      </w:r>
      <w:r w:rsidR="00197291">
        <w:rPr>
          <w:lang w:val="lv-LV"/>
        </w:rPr>
        <w:t>veiktas</w:t>
      </w:r>
      <w:r w:rsidR="007B3D96">
        <w:rPr>
          <w:lang w:val="lv-LV"/>
        </w:rPr>
        <w:t xml:space="preserve"> pret iesniedzēju un </w:t>
      </w:r>
      <w:proofErr w:type="spellStart"/>
      <w:r w:rsidR="007B3D96">
        <w:rPr>
          <w:lang w:val="lv-LV"/>
        </w:rPr>
        <w:t>līdzapsūdzētajām</w:t>
      </w:r>
      <w:proofErr w:type="spellEnd"/>
      <w:r w:rsidR="007B3D96">
        <w:rPr>
          <w:lang w:val="lv-LV"/>
        </w:rPr>
        <w:t xml:space="preserve"> personām, kā arī saistībā ar šādi iegūt</w:t>
      </w:r>
      <w:r w:rsidR="00B00E8C">
        <w:rPr>
          <w:lang w:val="lv-LV"/>
        </w:rPr>
        <w:t>u</w:t>
      </w:r>
      <w:r w:rsidR="007B3D96">
        <w:rPr>
          <w:lang w:val="lv-LV"/>
        </w:rPr>
        <w:t xml:space="preserve"> pierādījumu pieņemamību. Valdība secināja, ka tiesvedība Satversmes tiesā ir efektīvs tiesību aizsardzības līdzeklis Konvencijas 13. panta izpratnē.</w:t>
      </w:r>
    </w:p>
    <w:p w:rsidR="007B3D96"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74</w:t>
      </w:r>
      <w:r w:rsidRPr="00832E00">
        <w:rPr>
          <w:noProof/>
          <w:lang w:val="lv-LV"/>
        </w:rPr>
        <w:fldChar w:fldCharType="end"/>
      </w:r>
      <w:r w:rsidR="00257706" w:rsidRPr="00832E00">
        <w:rPr>
          <w:lang w:val="lv-LV"/>
        </w:rPr>
        <w:t>.  </w:t>
      </w:r>
      <w:r w:rsidR="007B3D96">
        <w:rPr>
          <w:lang w:val="lv-LV"/>
        </w:rPr>
        <w:t xml:space="preserve">Visbeidzot, Valdība atsaucās uz Operatīvās darbības likuma 5. pantu, apgalvojot, ka pieejams bija arī kompensācijas mehānisms. Viņi atsaucās uz nacionālo judikatūru, kurā pirmās instances tiesa izskatīja civillietu I. J. </w:t>
      </w:r>
      <w:r w:rsidR="00E14C6B">
        <w:rPr>
          <w:lang w:val="lv-LV"/>
        </w:rPr>
        <w:t>prasībā</w:t>
      </w:r>
      <w:r w:rsidR="007B3D96">
        <w:rPr>
          <w:lang w:val="lv-LV"/>
        </w:rPr>
        <w:t xml:space="preserve"> pret valsti par pretlikumīgu telefonsarunu noklausīšanos</w:t>
      </w:r>
      <w:r w:rsidR="000A73B9">
        <w:rPr>
          <w:lang w:val="lv-LV"/>
        </w:rPr>
        <w:t xml:space="preserve"> šī likuma izpratnē un piešķīra kompensāciju (lieta Nr. </w:t>
      </w:r>
      <w:r w:rsidR="000A73B9" w:rsidRPr="00832E00">
        <w:rPr>
          <w:lang w:val="lv-LV"/>
        </w:rPr>
        <w:t>C04381306</w:t>
      </w:r>
      <w:r w:rsidR="000A73B9">
        <w:rPr>
          <w:lang w:val="lv-LV"/>
        </w:rPr>
        <w:t>, 2007. gada 9. februāra spriedums). Tā kā šajā lietā prokuratūra nekonstatēja likuma pārkāpumus, iesniedzējam nepienācās kompensācija.</w:t>
      </w:r>
    </w:p>
    <w:p w:rsidR="00B06D9E" w:rsidRPr="00832E00" w:rsidRDefault="00B06D9E" w:rsidP="00EA08F6">
      <w:pPr>
        <w:pStyle w:val="ECHRHeading3"/>
        <w:rPr>
          <w:lang w:val="lv-LV"/>
        </w:rPr>
      </w:pPr>
      <w:r w:rsidRPr="00832E00">
        <w:rPr>
          <w:lang w:val="lv-LV"/>
        </w:rPr>
        <w:lastRenderedPageBreak/>
        <w:t>2.  </w:t>
      </w:r>
      <w:r w:rsidR="000A73B9">
        <w:rPr>
          <w:lang w:val="lv-LV"/>
        </w:rPr>
        <w:t>Tiesas vērtējums</w:t>
      </w:r>
    </w:p>
    <w:p w:rsidR="00220312"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75</w:t>
      </w:r>
      <w:r w:rsidRPr="00832E00">
        <w:rPr>
          <w:noProof/>
          <w:lang w:val="lv-LV"/>
        </w:rPr>
        <w:fldChar w:fldCharType="end"/>
      </w:r>
      <w:r w:rsidR="0080678B" w:rsidRPr="00832E00">
        <w:rPr>
          <w:lang w:val="lv-LV"/>
        </w:rPr>
        <w:t>.</w:t>
      </w:r>
      <w:r w:rsidR="00960A07" w:rsidRPr="00832E00">
        <w:rPr>
          <w:lang w:val="lv-LV"/>
        </w:rPr>
        <w:t>  </w:t>
      </w:r>
      <w:r w:rsidR="00220312">
        <w:rPr>
          <w:lang w:val="lv-LV"/>
        </w:rPr>
        <w:t xml:space="preserve">Kā Tiesa daudzkārt atzinusi, </w:t>
      </w:r>
      <w:r w:rsidR="00AB22A4" w:rsidRPr="00CE6CB4">
        <w:rPr>
          <w:lang w:val="lv-LV"/>
        </w:rPr>
        <w:t xml:space="preserve">Konvencijas 13. pants nodrošina tiesiskās aizsardzības līdzekļa pieejamību nacionālā līmenī, jebkādā formā </w:t>
      </w:r>
      <w:r w:rsidR="00AB22A4">
        <w:rPr>
          <w:lang w:val="lv-LV"/>
        </w:rPr>
        <w:t xml:space="preserve">nodrošinot </w:t>
      </w:r>
      <w:r w:rsidR="00AB22A4" w:rsidRPr="00CE6CB4">
        <w:rPr>
          <w:lang w:val="lv-LV"/>
        </w:rPr>
        <w:t>nacionālajā tiesību sistēmā</w:t>
      </w:r>
      <w:r w:rsidR="00AB22A4" w:rsidRPr="00CE6CB4" w:rsidDel="009F0588">
        <w:rPr>
          <w:lang w:val="lv-LV"/>
        </w:rPr>
        <w:t xml:space="preserve"> </w:t>
      </w:r>
      <w:r w:rsidR="00AB22A4" w:rsidRPr="00CE6CB4">
        <w:rPr>
          <w:lang w:val="lv-LV"/>
        </w:rPr>
        <w:t>Konvencijas tiesību un brīvību būtību</w:t>
      </w:r>
      <w:r w:rsidR="00611DE8">
        <w:rPr>
          <w:lang w:val="lv-LV"/>
        </w:rPr>
        <w:t>.</w:t>
      </w:r>
      <w:r w:rsidR="00611DE8" w:rsidRPr="00611DE8">
        <w:rPr>
          <w:noProof/>
          <w:lang w:val="lv-LV"/>
        </w:rPr>
        <w:t xml:space="preserve"> </w:t>
      </w:r>
      <w:r w:rsidR="00611DE8" w:rsidRPr="00B11C9D">
        <w:rPr>
          <w:noProof/>
          <w:lang w:val="lv-LV"/>
        </w:rPr>
        <w:t xml:space="preserve">Tāpēc 13. panta darbības rezultātā </w:t>
      </w:r>
      <w:r w:rsidR="00F36C87">
        <w:rPr>
          <w:noProof/>
          <w:lang w:val="lv-LV"/>
        </w:rPr>
        <w:t>nacionālā</w:t>
      </w:r>
      <w:r w:rsidR="00611DE8" w:rsidRPr="00B11C9D">
        <w:rPr>
          <w:noProof/>
          <w:lang w:val="lv-LV"/>
        </w:rPr>
        <w:t xml:space="preserve"> līmenī ir jānodrošina tiesiskās aizsardzības līdzekļi, kas rada iespēju pēc būtības izskatīt saskaņā ar Konvenciju iesniegtu “p</w:t>
      </w:r>
      <w:r w:rsidR="00E14C6B">
        <w:rPr>
          <w:noProof/>
          <w:lang w:val="lv-LV"/>
        </w:rPr>
        <w:t xml:space="preserve">amatotu </w:t>
      </w:r>
      <w:r w:rsidR="00611DE8" w:rsidRPr="00B11C9D">
        <w:rPr>
          <w:noProof/>
          <w:lang w:val="lv-LV"/>
        </w:rPr>
        <w:t xml:space="preserve">sūdzību” un to atbilstoši apmierināt, </w:t>
      </w:r>
      <w:r w:rsidR="00611DE8">
        <w:rPr>
          <w:noProof/>
          <w:lang w:val="lv-LV"/>
        </w:rPr>
        <w:t>lai gan</w:t>
      </w:r>
      <w:r w:rsidR="00611DE8" w:rsidRPr="00B11C9D">
        <w:rPr>
          <w:noProof/>
          <w:lang w:val="lv-LV"/>
        </w:rPr>
        <w:t xml:space="preserve"> </w:t>
      </w:r>
      <w:r w:rsidR="00611DE8">
        <w:rPr>
          <w:noProof/>
          <w:lang w:val="lv-LV"/>
        </w:rPr>
        <w:t>l</w:t>
      </w:r>
      <w:r w:rsidR="00611DE8" w:rsidRPr="00B11C9D">
        <w:rPr>
          <w:noProof/>
          <w:lang w:val="lv-LV"/>
        </w:rPr>
        <w:t>īgumslēdzējām valstīm ir noteikta rīcības brīvība attiecībā uz veidu, kādā tās pilda šajā noteikumā paredzētos Konvencijas pienākumus</w:t>
      </w:r>
      <w:r w:rsidR="00611DE8">
        <w:rPr>
          <w:noProof/>
          <w:lang w:val="lv-LV"/>
        </w:rPr>
        <w:t xml:space="preserve"> (skatīt, piemēram,</w:t>
      </w:r>
      <w:r w:rsidR="00C65FA9">
        <w:rPr>
          <w:noProof/>
          <w:lang w:val="lv-LV"/>
        </w:rPr>
        <w:t xml:space="preserve"> lietu</w:t>
      </w:r>
      <w:r w:rsidR="00611DE8">
        <w:rPr>
          <w:noProof/>
          <w:lang w:val="lv-LV"/>
        </w:rPr>
        <w:t xml:space="preserve"> </w:t>
      </w:r>
      <w:r w:rsidR="00611DE8" w:rsidRPr="00611DE8">
        <w:rPr>
          <w:i/>
          <w:noProof/>
          <w:lang w:val="lv-LV"/>
        </w:rPr>
        <w:t>Bazjaks pret Latviju</w:t>
      </w:r>
      <w:r w:rsidR="00611DE8">
        <w:rPr>
          <w:noProof/>
          <w:lang w:val="lv-LV"/>
        </w:rPr>
        <w:t xml:space="preserve">, Nr. </w:t>
      </w:r>
      <w:r w:rsidR="00611DE8" w:rsidRPr="00832E00">
        <w:rPr>
          <w:lang w:val="lv-LV"/>
        </w:rPr>
        <w:t>71572/01</w:t>
      </w:r>
      <w:r w:rsidR="00611DE8">
        <w:rPr>
          <w:lang w:val="lv-LV"/>
        </w:rPr>
        <w:t>, 127. rindkopa, 2010. gada 19. oktobris, ar tālākām atsaucēm).</w:t>
      </w:r>
    </w:p>
    <w:p w:rsidR="00611DE8" w:rsidRPr="00A77174"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76</w:t>
      </w:r>
      <w:r w:rsidRPr="00832E00">
        <w:rPr>
          <w:noProof/>
          <w:lang w:val="lv-LV"/>
        </w:rPr>
        <w:fldChar w:fldCharType="end"/>
      </w:r>
      <w:r w:rsidR="00F7110D">
        <w:rPr>
          <w:lang w:val="lv-LV"/>
        </w:rPr>
        <w:t xml:space="preserve">. Tiesa atzīst, ka 8. panta sūdzību izpratnē, ciktāl tās attiecas uz operatīvajām darbībām, efektīvi nacionālie tiesību aizsardzības līdzekļi, kas nepieciešami atbilstoši 13. pantam, neattiecas tikai uz jautājumiem, kas izteikti šajā iesniegumā. Lietā </w:t>
      </w:r>
      <w:proofErr w:type="spellStart"/>
      <w:r w:rsidR="00F7110D" w:rsidRPr="00832E00">
        <w:rPr>
          <w:i/>
          <w:lang w:val="lv-LV"/>
        </w:rPr>
        <w:t>Association</w:t>
      </w:r>
      <w:proofErr w:type="spellEnd"/>
      <w:r w:rsidR="00F7110D" w:rsidRPr="00832E00">
        <w:rPr>
          <w:i/>
          <w:lang w:val="lv-LV"/>
        </w:rPr>
        <w:t xml:space="preserve"> </w:t>
      </w:r>
      <w:proofErr w:type="spellStart"/>
      <w:r w:rsidR="00F7110D" w:rsidRPr="00832E00">
        <w:rPr>
          <w:i/>
          <w:lang w:val="lv-LV"/>
        </w:rPr>
        <w:t>for</w:t>
      </w:r>
      <w:proofErr w:type="spellEnd"/>
      <w:r w:rsidR="00F7110D" w:rsidRPr="00832E00">
        <w:rPr>
          <w:i/>
          <w:lang w:val="lv-LV"/>
        </w:rPr>
        <w:t xml:space="preserve"> </w:t>
      </w:r>
      <w:proofErr w:type="spellStart"/>
      <w:r w:rsidR="00F7110D" w:rsidRPr="00832E00">
        <w:rPr>
          <w:i/>
          <w:lang w:val="lv-LV"/>
        </w:rPr>
        <w:t>European</w:t>
      </w:r>
      <w:proofErr w:type="spellEnd"/>
      <w:r w:rsidR="00F7110D" w:rsidRPr="00832E00">
        <w:rPr>
          <w:i/>
          <w:lang w:val="lv-LV"/>
        </w:rPr>
        <w:t xml:space="preserve"> </w:t>
      </w:r>
      <w:proofErr w:type="spellStart"/>
      <w:r w:rsidR="00F7110D" w:rsidRPr="00832E00">
        <w:rPr>
          <w:i/>
          <w:lang w:val="lv-LV"/>
        </w:rPr>
        <w:t>Integration</w:t>
      </w:r>
      <w:proofErr w:type="spellEnd"/>
      <w:r w:rsidR="00F7110D" w:rsidRPr="00832E00">
        <w:rPr>
          <w:i/>
          <w:lang w:val="lv-LV"/>
        </w:rPr>
        <w:t xml:space="preserve"> </w:t>
      </w:r>
      <w:proofErr w:type="spellStart"/>
      <w:r w:rsidR="00F7110D" w:rsidRPr="00832E00">
        <w:rPr>
          <w:i/>
          <w:lang w:val="lv-LV"/>
        </w:rPr>
        <w:t>and</w:t>
      </w:r>
      <w:proofErr w:type="spellEnd"/>
      <w:r w:rsidR="00F7110D" w:rsidRPr="00832E00">
        <w:rPr>
          <w:i/>
          <w:lang w:val="lv-LV"/>
        </w:rPr>
        <w:t xml:space="preserve"> </w:t>
      </w:r>
      <w:proofErr w:type="spellStart"/>
      <w:r w:rsidR="00F7110D" w:rsidRPr="00832E00">
        <w:rPr>
          <w:i/>
          <w:lang w:val="lv-LV"/>
        </w:rPr>
        <w:t>Human</w:t>
      </w:r>
      <w:proofErr w:type="spellEnd"/>
      <w:r w:rsidR="00F7110D" w:rsidRPr="00832E00">
        <w:rPr>
          <w:i/>
          <w:lang w:val="lv-LV"/>
        </w:rPr>
        <w:t xml:space="preserve"> </w:t>
      </w:r>
      <w:proofErr w:type="spellStart"/>
      <w:r w:rsidR="00F7110D" w:rsidRPr="00832E00">
        <w:rPr>
          <w:i/>
          <w:lang w:val="lv-LV"/>
        </w:rPr>
        <w:t>Rights</w:t>
      </w:r>
      <w:proofErr w:type="spellEnd"/>
      <w:r w:rsidR="00F7110D" w:rsidRPr="00832E00">
        <w:rPr>
          <w:i/>
          <w:lang w:val="lv-LV"/>
        </w:rPr>
        <w:t xml:space="preserve"> </w:t>
      </w:r>
      <w:r w:rsidR="00F7110D">
        <w:rPr>
          <w:i/>
          <w:lang w:val="lv-LV"/>
        </w:rPr>
        <w:t>un</w:t>
      </w:r>
      <w:r w:rsidR="00F7110D" w:rsidRPr="00832E00">
        <w:rPr>
          <w:i/>
          <w:lang w:val="lv-LV"/>
        </w:rPr>
        <w:t xml:space="preserve"> </w:t>
      </w:r>
      <w:proofErr w:type="spellStart"/>
      <w:r w:rsidR="00F7110D" w:rsidRPr="00832E00">
        <w:rPr>
          <w:i/>
          <w:lang w:val="lv-LV"/>
        </w:rPr>
        <w:t>Ekimdzhiev</w:t>
      </w:r>
      <w:proofErr w:type="spellEnd"/>
      <w:r w:rsidR="00F7110D">
        <w:rPr>
          <w:i/>
          <w:lang w:val="lv-LV"/>
        </w:rPr>
        <w:t xml:space="preserve"> </w:t>
      </w:r>
      <w:r w:rsidR="00F7110D">
        <w:rPr>
          <w:lang w:val="lv-LV"/>
        </w:rPr>
        <w:t xml:space="preserve">Tiesa atkārtoja, ka slepenas novērošanas gadījumā ar efektīvu tiesību aizsardzības līdzekli 13. panta izpratnē saprasts tiesību aizsardzības līdzeklis, </w:t>
      </w:r>
      <w:r w:rsidR="00A77174">
        <w:rPr>
          <w:lang w:val="lv-LV"/>
        </w:rPr>
        <w:t xml:space="preserve">kurš ir efektīvs, </w:t>
      </w:r>
      <w:r w:rsidR="00F7110D">
        <w:rPr>
          <w:lang w:val="lv-LV"/>
        </w:rPr>
        <w:t xml:space="preserve">ņemot vērā ierobežoto aizsardzības tvērumu, kas raksturīgs šādai sistēmai. </w:t>
      </w:r>
      <w:r w:rsidR="00A77174">
        <w:rPr>
          <w:lang w:val="lv-LV"/>
        </w:rPr>
        <w:t xml:space="preserve">Šajā </w:t>
      </w:r>
      <w:r w:rsidR="00F36C87">
        <w:rPr>
          <w:lang w:val="lv-LV"/>
        </w:rPr>
        <w:t>l</w:t>
      </w:r>
      <w:r w:rsidR="00A77174">
        <w:rPr>
          <w:lang w:val="lv-LV"/>
        </w:rPr>
        <w:t>ietā Tiesa izvērtēja, vai atbilstoši Bulgārijas tiesību aktiem pastāvēja tiesību aizsardzības līdzekļi, kas bija efektīvi šādā ierobežotā situācijā. Tiesa atzina, ka novērošanas pārbaudi var veikt trīs stadijās: kad tā sākotnēji tiek pieprasīta, kamēr tā tiek veikta vai pēc tās pārtraukšanas (skatīt</w:t>
      </w:r>
      <w:r w:rsidR="00782DBE">
        <w:rPr>
          <w:lang w:val="lv-LV"/>
        </w:rPr>
        <w:t xml:space="preserve"> lietu</w:t>
      </w:r>
      <w:r w:rsidR="00A77174">
        <w:rPr>
          <w:lang w:val="lv-LV"/>
        </w:rPr>
        <w:t xml:space="preserve"> </w:t>
      </w:r>
      <w:proofErr w:type="spellStart"/>
      <w:r w:rsidR="00A77174" w:rsidRPr="00832E00">
        <w:rPr>
          <w:i/>
          <w:lang w:val="lv-LV"/>
        </w:rPr>
        <w:t>Association</w:t>
      </w:r>
      <w:proofErr w:type="spellEnd"/>
      <w:r w:rsidR="00A77174" w:rsidRPr="00832E00">
        <w:rPr>
          <w:i/>
          <w:lang w:val="lv-LV"/>
        </w:rPr>
        <w:t xml:space="preserve"> </w:t>
      </w:r>
      <w:proofErr w:type="spellStart"/>
      <w:r w:rsidR="00A77174" w:rsidRPr="00832E00">
        <w:rPr>
          <w:i/>
          <w:lang w:val="lv-LV"/>
        </w:rPr>
        <w:t>for</w:t>
      </w:r>
      <w:proofErr w:type="spellEnd"/>
      <w:r w:rsidR="00A77174" w:rsidRPr="00832E00">
        <w:rPr>
          <w:i/>
          <w:lang w:val="lv-LV"/>
        </w:rPr>
        <w:t xml:space="preserve"> </w:t>
      </w:r>
      <w:proofErr w:type="spellStart"/>
      <w:r w:rsidR="00A77174" w:rsidRPr="00832E00">
        <w:rPr>
          <w:i/>
          <w:lang w:val="lv-LV"/>
        </w:rPr>
        <w:t>European</w:t>
      </w:r>
      <w:proofErr w:type="spellEnd"/>
      <w:r w:rsidR="00A77174" w:rsidRPr="00832E00">
        <w:rPr>
          <w:i/>
          <w:lang w:val="lv-LV"/>
        </w:rPr>
        <w:t xml:space="preserve"> </w:t>
      </w:r>
      <w:proofErr w:type="spellStart"/>
      <w:r w:rsidR="00A77174" w:rsidRPr="00832E00">
        <w:rPr>
          <w:i/>
          <w:lang w:val="lv-LV"/>
        </w:rPr>
        <w:t>Integration</w:t>
      </w:r>
      <w:proofErr w:type="spellEnd"/>
      <w:r w:rsidR="00A77174" w:rsidRPr="00832E00">
        <w:rPr>
          <w:i/>
          <w:lang w:val="lv-LV"/>
        </w:rPr>
        <w:t xml:space="preserve"> </w:t>
      </w:r>
      <w:proofErr w:type="spellStart"/>
      <w:r w:rsidR="00A77174" w:rsidRPr="00832E00">
        <w:rPr>
          <w:i/>
          <w:lang w:val="lv-LV"/>
        </w:rPr>
        <w:t>and</w:t>
      </w:r>
      <w:proofErr w:type="spellEnd"/>
      <w:r w:rsidR="00A77174" w:rsidRPr="00832E00">
        <w:rPr>
          <w:i/>
          <w:lang w:val="lv-LV"/>
        </w:rPr>
        <w:t xml:space="preserve"> </w:t>
      </w:r>
      <w:proofErr w:type="spellStart"/>
      <w:r w:rsidR="00A77174" w:rsidRPr="00832E00">
        <w:rPr>
          <w:i/>
          <w:lang w:val="lv-LV"/>
        </w:rPr>
        <w:t>Human</w:t>
      </w:r>
      <w:proofErr w:type="spellEnd"/>
      <w:r w:rsidR="00A77174" w:rsidRPr="00832E00">
        <w:rPr>
          <w:i/>
          <w:lang w:val="lv-LV"/>
        </w:rPr>
        <w:t xml:space="preserve"> </w:t>
      </w:r>
      <w:proofErr w:type="spellStart"/>
      <w:r w:rsidR="00A77174" w:rsidRPr="00832E00">
        <w:rPr>
          <w:i/>
          <w:lang w:val="lv-LV"/>
        </w:rPr>
        <w:t>Rights</w:t>
      </w:r>
      <w:proofErr w:type="spellEnd"/>
      <w:r w:rsidR="00A77174" w:rsidRPr="00832E00">
        <w:rPr>
          <w:i/>
          <w:lang w:val="lv-LV"/>
        </w:rPr>
        <w:t xml:space="preserve"> </w:t>
      </w:r>
      <w:r w:rsidR="00A77174">
        <w:rPr>
          <w:i/>
          <w:lang w:val="lv-LV"/>
        </w:rPr>
        <w:t>un</w:t>
      </w:r>
      <w:r w:rsidR="00A77174" w:rsidRPr="00832E00">
        <w:rPr>
          <w:i/>
          <w:lang w:val="lv-LV"/>
        </w:rPr>
        <w:t xml:space="preserve"> </w:t>
      </w:r>
      <w:proofErr w:type="spellStart"/>
      <w:r w:rsidR="00A77174" w:rsidRPr="00832E00">
        <w:rPr>
          <w:i/>
          <w:lang w:val="lv-LV"/>
        </w:rPr>
        <w:t>Ekimdzhiev</w:t>
      </w:r>
      <w:proofErr w:type="spellEnd"/>
      <w:r w:rsidR="00A77174">
        <w:rPr>
          <w:lang w:val="lv-LV"/>
        </w:rPr>
        <w:t>, citēta iepriekš, 99. rindkopa).</w:t>
      </w:r>
    </w:p>
    <w:p w:rsidR="00A77174" w:rsidRDefault="00525DF7" w:rsidP="00EA08F6">
      <w:pPr>
        <w:pStyle w:val="ECHRPara"/>
        <w:tabs>
          <w:tab w:val="left" w:pos="2835"/>
        </w:tabs>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77</w:t>
      </w:r>
      <w:r w:rsidRPr="00832E00">
        <w:rPr>
          <w:noProof/>
          <w:lang w:val="lv-LV"/>
        </w:rPr>
        <w:fldChar w:fldCharType="end"/>
      </w:r>
      <w:r w:rsidR="00960A07" w:rsidRPr="00832E00">
        <w:rPr>
          <w:lang w:val="lv-LV"/>
        </w:rPr>
        <w:t>.</w:t>
      </w:r>
      <w:r w:rsidR="00E36955" w:rsidRPr="00832E00">
        <w:rPr>
          <w:lang w:val="lv-LV"/>
        </w:rPr>
        <w:t>  </w:t>
      </w:r>
      <w:r w:rsidR="00A77174">
        <w:rPr>
          <w:lang w:val="lv-LV"/>
        </w:rPr>
        <w:t>Taču šajā lietā iesniedzēja sūdzība Tiesā 13. panta izpratnē aprobežojas tikai ar a</w:t>
      </w:r>
      <w:r w:rsidR="00E14C6B">
        <w:rPr>
          <w:lang w:val="lv-LV"/>
        </w:rPr>
        <w:t>pgalvojumu</w:t>
      </w:r>
      <w:r w:rsidR="00A77174">
        <w:rPr>
          <w:lang w:val="lv-LV"/>
        </w:rPr>
        <w:t xml:space="preserve">, ka Latvijas tiesību sistēma nenodrošina neatkarīgu tiesisku uzraudzību pār operatīvajām darbībām. Šī lieta neskar jautājumu par to, vai Latvijā ir pieejami kompensējoši tiesību aizsardzības līdzekļi </w:t>
      </w:r>
      <w:proofErr w:type="gramStart"/>
      <w:r w:rsidR="00A77174">
        <w:rPr>
          <w:lang w:val="lv-LV"/>
        </w:rPr>
        <w:t>(</w:t>
      </w:r>
      <w:proofErr w:type="gramEnd"/>
      <w:r w:rsidR="00A77174">
        <w:rPr>
          <w:lang w:val="lv-LV"/>
        </w:rPr>
        <w:t>skatīt, piemēram,</w:t>
      </w:r>
      <w:r w:rsidR="00782DBE">
        <w:rPr>
          <w:lang w:val="lv-LV"/>
        </w:rPr>
        <w:t xml:space="preserve"> lietu</w:t>
      </w:r>
      <w:r w:rsidR="00A77174">
        <w:rPr>
          <w:lang w:val="lv-LV"/>
        </w:rPr>
        <w:t xml:space="preserve"> </w:t>
      </w:r>
      <w:proofErr w:type="spellStart"/>
      <w:r w:rsidR="00A77174" w:rsidRPr="00832E00">
        <w:rPr>
          <w:i/>
          <w:lang w:val="lv-LV"/>
        </w:rPr>
        <w:t>Klass</w:t>
      </w:r>
      <w:proofErr w:type="spellEnd"/>
      <w:r w:rsidR="00A77174">
        <w:rPr>
          <w:i/>
          <w:lang w:val="lv-LV"/>
        </w:rPr>
        <w:t xml:space="preserve"> un citi pret Vāciju</w:t>
      </w:r>
      <w:r w:rsidR="00A77174" w:rsidRPr="00A77174">
        <w:rPr>
          <w:lang w:val="lv-LV"/>
        </w:rPr>
        <w:t>, 1978. gada 6. septembris, 71. rindkopa, A sērijas Nr. 28).</w:t>
      </w:r>
    </w:p>
    <w:p w:rsidR="00A77174" w:rsidRDefault="00525DF7" w:rsidP="00782DBE">
      <w:pPr>
        <w:pStyle w:val="ECHRPara"/>
        <w:tabs>
          <w:tab w:val="left" w:pos="2835"/>
        </w:tabs>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78</w:t>
      </w:r>
      <w:r w:rsidRPr="00832E00">
        <w:rPr>
          <w:noProof/>
          <w:lang w:val="lv-LV"/>
        </w:rPr>
        <w:fldChar w:fldCharType="end"/>
      </w:r>
      <w:r w:rsidR="00D63620" w:rsidRPr="00832E00">
        <w:rPr>
          <w:lang w:val="lv-LV"/>
        </w:rPr>
        <w:t>.  </w:t>
      </w:r>
      <w:r w:rsidR="00A77174">
        <w:rPr>
          <w:lang w:val="lv-LV"/>
        </w:rPr>
        <w:t xml:space="preserve">Tiesa atzīst, ka iesniedzēja </w:t>
      </w:r>
      <w:r w:rsidR="00782DBE">
        <w:rPr>
          <w:lang w:val="lv-LV"/>
        </w:rPr>
        <w:t>sūdzību</w:t>
      </w:r>
      <w:r w:rsidR="00A77174">
        <w:rPr>
          <w:lang w:val="lv-LV"/>
        </w:rPr>
        <w:t xml:space="preserve"> šajā lietā (skatīt iepriekš 67. rindkopu) jau ir izskatījusi un noraidījusi Latvijas Satversmes tiesa. Tiesa it īpaši atzina, ka normatīvais regulējums Latvijā noteica ne vien prokurora uzraudzību pār operatīvajām darbībām, bet arī neatkarīgu tiesu varas pārbaudi par veikto darbību likumību (skatīt Satversmes tiesas sprieduma 20.1 </w:t>
      </w:r>
      <w:r w:rsidR="00782DBE">
        <w:rPr>
          <w:lang w:val="lv-LV"/>
        </w:rPr>
        <w:t>punkta nobeigumu</w:t>
      </w:r>
      <w:r w:rsidR="00A77174">
        <w:rPr>
          <w:lang w:val="lv-LV"/>
        </w:rPr>
        <w:t xml:space="preserve"> un 20.3 </w:t>
      </w:r>
      <w:r w:rsidR="00782DBE">
        <w:rPr>
          <w:lang w:val="lv-LV"/>
        </w:rPr>
        <w:t>punktu</w:t>
      </w:r>
      <w:r w:rsidR="00A77174">
        <w:rPr>
          <w:lang w:val="lv-LV"/>
        </w:rPr>
        <w:t>; 24. rindkopa iepriekš).</w:t>
      </w:r>
    </w:p>
    <w:p w:rsidR="005A5CD8" w:rsidRPr="00832E00" w:rsidRDefault="00525DF7" w:rsidP="005A5CD8">
      <w:pPr>
        <w:pStyle w:val="ECHRPara"/>
        <w:tabs>
          <w:tab w:val="left" w:pos="2835"/>
        </w:tabs>
        <w:rPr>
          <w:szCs w:val="24"/>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79</w:t>
      </w:r>
      <w:r w:rsidRPr="00832E00">
        <w:rPr>
          <w:noProof/>
          <w:lang w:val="lv-LV"/>
        </w:rPr>
        <w:fldChar w:fldCharType="end"/>
      </w:r>
      <w:r w:rsidR="008E49F0" w:rsidRPr="00832E00">
        <w:rPr>
          <w:lang w:val="lv-LV"/>
        </w:rPr>
        <w:t>.  </w:t>
      </w:r>
      <w:r w:rsidR="005A5CD8">
        <w:rPr>
          <w:lang w:val="lv-LV"/>
        </w:rPr>
        <w:t xml:space="preserve">Ciktāl iesniedzēja sūdzība attiecas uz to, ka </w:t>
      </w:r>
      <w:r w:rsidR="006147D8">
        <w:rPr>
          <w:lang w:val="lv-LV"/>
        </w:rPr>
        <w:t>netika</w:t>
      </w:r>
      <w:r w:rsidR="005A5CD8">
        <w:rPr>
          <w:lang w:val="lv-LV"/>
        </w:rPr>
        <w:t xml:space="preserve"> saņemts tiesneša apstiprinājums viņa telefonsarunu noklausīšanai, šis jautājums ir izvērtēts iepriekš atbilstoši Konvencijas 8. pantam. Tiesa atzīst, ka šīs lietas apstākļos nav nepieciešams izvērtēt to paša jautājumu arī atbilstoši Konvencijas 13. pantam (skatīt, piemēram,</w:t>
      </w:r>
      <w:r w:rsidR="00782DBE">
        <w:rPr>
          <w:lang w:val="lv-LV"/>
        </w:rPr>
        <w:t xml:space="preserve"> lietu</w:t>
      </w:r>
      <w:r w:rsidR="005A5CD8">
        <w:rPr>
          <w:lang w:val="lv-LV"/>
        </w:rPr>
        <w:t xml:space="preserve"> </w:t>
      </w:r>
      <w:proofErr w:type="spellStart"/>
      <w:r w:rsidR="005A5CD8" w:rsidRPr="00832E00">
        <w:rPr>
          <w:i/>
          <w:szCs w:val="24"/>
          <w:lang w:val="lv-LV"/>
        </w:rPr>
        <w:t>Copland</w:t>
      </w:r>
      <w:proofErr w:type="spellEnd"/>
      <w:r w:rsidR="005A5CD8" w:rsidRPr="00832E00">
        <w:rPr>
          <w:i/>
          <w:szCs w:val="24"/>
          <w:lang w:val="lv-LV"/>
        </w:rPr>
        <w:t xml:space="preserve"> </w:t>
      </w:r>
      <w:r w:rsidR="005A5CD8">
        <w:rPr>
          <w:i/>
          <w:szCs w:val="24"/>
          <w:lang w:val="lv-LV"/>
        </w:rPr>
        <w:t>pret Apvienoto Karalisti</w:t>
      </w:r>
      <w:r w:rsidR="005A5CD8" w:rsidRPr="005A5CD8">
        <w:rPr>
          <w:szCs w:val="24"/>
          <w:lang w:val="lv-LV"/>
        </w:rPr>
        <w:t>,</w:t>
      </w:r>
      <w:r w:rsidR="005A5CD8">
        <w:rPr>
          <w:i/>
          <w:szCs w:val="24"/>
          <w:lang w:val="lv-LV"/>
        </w:rPr>
        <w:t xml:space="preserve"> </w:t>
      </w:r>
      <w:r w:rsidR="005A5CD8">
        <w:rPr>
          <w:szCs w:val="24"/>
          <w:lang w:val="lv-LV"/>
        </w:rPr>
        <w:t>Nr.</w:t>
      </w:r>
      <w:r w:rsidR="005A5CD8" w:rsidRPr="00832E00">
        <w:rPr>
          <w:szCs w:val="24"/>
          <w:lang w:val="lv-LV"/>
        </w:rPr>
        <w:t> 62617/00</w:t>
      </w:r>
      <w:r w:rsidR="005A5CD8" w:rsidRPr="00832E00">
        <w:rPr>
          <w:lang w:val="lv-LV"/>
        </w:rPr>
        <w:t xml:space="preserve">, </w:t>
      </w:r>
      <w:r w:rsidR="005A5CD8">
        <w:rPr>
          <w:lang w:val="lv-LV"/>
        </w:rPr>
        <w:t>51. rindkopa</w:t>
      </w:r>
      <w:r w:rsidR="005A5CD8" w:rsidRPr="00832E00">
        <w:rPr>
          <w:lang w:val="lv-LV"/>
        </w:rPr>
        <w:t>, ECHR 2007</w:t>
      </w:r>
      <w:r w:rsidR="005A5CD8" w:rsidRPr="00832E00">
        <w:rPr>
          <w:lang w:val="lv-LV"/>
        </w:rPr>
        <w:noBreakHyphen/>
        <w:t>I).</w:t>
      </w:r>
    </w:p>
    <w:p w:rsidR="00A77174" w:rsidRDefault="00A77174" w:rsidP="00EA08F6">
      <w:pPr>
        <w:pStyle w:val="ECHRPara"/>
        <w:tabs>
          <w:tab w:val="left" w:pos="2835"/>
        </w:tabs>
        <w:rPr>
          <w:lang w:val="lv-LV"/>
        </w:rPr>
      </w:pPr>
    </w:p>
    <w:p w:rsidR="005A5CD8" w:rsidRDefault="00525DF7" w:rsidP="00EA08F6">
      <w:pPr>
        <w:pStyle w:val="ECHRPara"/>
        <w:tabs>
          <w:tab w:val="left" w:pos="2835"/>
        </w:tabs>
        <w:rPr>
          <w:lang w:val="lv-LV"/>
        </w:rPr>
      </w:pPr>
      <w:r w:rsidRPr="00832E00">
        <w:rPr>
          <w:lang w:val="lv-LV"/>
        </w:rPr>
        <w:lastRenderedPageBreak/>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80</w:t>
      </w:r>
      <w:r w:rsidRPr="00832E00">
        <w:rPr>
          <w:noProof/>
          <w:lang w:val="lv-LV"/>
        </w:rPr>
        <w:fldChar w:fldCharType="end"/>
      </w:r>
      <w:r w:rsidR="00497CC1" w:rsidRPr="00832E00">
        <w:rPr>
          <w:lang w:val="lv-LV"/>
        </w:rPr>
        <w:t>.  </w:t>
      </w:r>
      <w:r w:rsidR="005A5CD8">
        <w:rPr>
          <w:lang w:val="lv-LV"/>
        </w:rPr>
        <w:t xml:space="preserve">Tiesa secina, ka nav </w:t>
      </w:r>
      <w:r w:rsidR="00074A13">
        <w:rPr>
          <w:lang w:val="lv-LV"/>
        </w:rPr>
        <w:t>noticis</w:t>
      </w:r>
      <w:r w:rsidR="005A5CD8">
        <w:rPr>
          <w:lang w:val="lv-LV"/>
        </w:rPr>
        <w:t xml:space="preserve"> Konvencijas 13. panta pārkāpums.</w:t>
      </w:r>
    </w:p>
    <w:p w:rsidR="00EA6EE8" w:rsidRDefault="004A49B2" w:rsidP="00EA08F6">
      <w:pPr>
        <w:pStyle w:val="ECHRHeading1"/>
        <w:rPr>
          <w:lang w:val="lv-LV"/>
        </w:rPr>
      </w:pPr>
      <w:r w:rsidRPr="00832E00">
        <w:rPr>
          <w:lang w:val="lv-LV"/>
        </w:rPr>
        <w:t>IV</w:t>
      </w:r>
      <w:r w:rsidR="00014566" w:rsidRPr="00832E00">
        <w:rPr>
          <w:lang w:val="lv-LV"/>
        </w:rPr>
        <w:t>  </w:t>
      </w:r>
      <w:r w:rsidR="00EA6EE8">
        <w:rPr>
          <w:lang w:val="lv-LV"/>
        </w:rPr>
        <w:t>CITI APGALVOTIE KONVENCIJAS PĀRKĀPUMI</w:t>
      </w:r>
    </w:p>
    <w:p w:rsidR="00EA6EE8"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81</w:t>
      </w:r>
      <w:r w:rsidRPr="00832E00">
        <w:rPr>
          <w:noProof/>
          <w:lang w:val="lv-LV"/>
        </w:rPr>
        <w:fldChar w:fldCharType="end"/>
      </w:r>
      <w:r w:rsidR="00014566" w:rsidRPr="00832E00">
        <w:rPr>
          <w:lang w:val="lv-LV"/>
        </w:rPr>
        <w:t>.  </w:t>
      </w:r>
      <w:r w:rsidR="00EA6EE8">
        <w:rPr>
          <w:lang w:val="lv-LV"/>
        </w:rPr>
        <w:t>Iesniedzējs vēl sūdzējās atbilstoši Konvencijas 10. pantam pa</w:t>
      </w:r>
      <w:r w:rsidR="005A460D">
        <w:rPr>
          <w:lang w:val="lv-LV"/>
        </w:rPr>
        <w:t>r</w:t>
      </w:r>
      <w:r w:rsidR="00EA6EE8">
        <w:rPr>
          <w:lang w:val="lv-LV"/>
        </w:rPr>
        <w:t xml:space="preserve"> noteiktām Satversmes tiesas priekšsēdētāja darbībām pret viņa advokātu.</w:t>
      </w:r>
    </w:p>
    <w:p w:rsidR="00EA6EE8" w:rsidRPr="00EA6EE8"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82</w:t>
      </w:r>
      <w:r w:rsidRPr="00832E00">
        <w:rPr>
          <w:noProof/>
          <w:lang w:val="lv-LV"/>
        </w:rPr>
        <w:fldChar w:fldCharType="end"/>
      </w:r>
      <w:r w:rsidR="00014566" w:rsidRPr="00832E00">
        <w:rPr>
          <w:lang w:val="lv-LV"/>
        </w:rPr>
        <w:t>.  </w:t>
      </w:r>
      <w:r w:rsidR="00EA6EE8">
        <w:rPr>
          <w:lang w:val="lv-LV"/>
        </w:rPr>
        <w:t xml:space="preserve">Tiesa atzīst, ka šī sūdzība ir neatbilstoša </w:t>
      </w:r>
      <w:proofErr w:type="spellStart"/>
      <w:r w:rsidR="00EA6EE8" w:rsidRPr="00832E00">
        <w:rPr>
          <w:i/>
          <w:lang w:val="lv-LV"/>
        </w:rPr>
        <w:t>ratione</w:t>
      </w:r>
      <w:proofErr w:type="spellEnd"/>
      <w:r w:rsidR="00EA6EE8" w:rsidRPr="00832E00">
        <w:rPr>
          <w:i/>
          <w:lang w:val="lv-LV"/>
        </w:rPr>
        <w:t xml:space="preserve"> </w:t>
      </w:r>
      <w:proofErr w:type="spellStart"/>
      <w:r w:rsidR="00EA6EE8" w:rsidRPr="00832E00">
        <w:rPr>
          <w:i/>
          <w:lang w:val="lv-LV"/>
        </w:rPr>
        <w:t>personae</w:t>
      </w:r>
      <w:proofErr w:type="spellEnd"/>
      <w:r w:rsidR="00EA6EE8">
        <w:rPr>
          <w:i/>
          <w:lang w:val="lv-LV"/>
        </w:rPr>
        <w:t xml:space="preserve"> </w:t>
      </w:r>
      <w:r w:rsidR="00EA6EE8" w:rsidRPr="00EA6EE8">
        <w:rPr>
          <w:lang w:val="lv-LV"/>
        </w:rPr>
        <w:t xml:space="preserve">Konvencijas </w:t>
      </w:r>
      <w:r w:rsidR="00EA6EE8" w:rsidRPr="00EA6EE8">
        <w:rPr>
          <w:rFonts w:ascii="Times New Roman" w:hAnsi="Times New Roman" w:cs="Times New Roman"/>
          <w:szCs w:val="24"/>
          <w:lang w:val="lv-LV"/>
        </w:rPr>
        <w:t>35. panta 3(a). punkta nozīmē.</w:t>
      </w:r>
      <w:r w:rsidR="00EA6EE8">
        <w:rPr>
          <w:rFonts w:ascii="Times New Roman" w:hAnsi="Times New Roman" w:cs="Times New Roman"/>
          <w:szCs w:val="24"/>
          <w:lang w:val="lv-LV"/>
        </w:rPr>
        <w:t xml:space="preserve"> Līdz ar to tā ir noraidāma atbilstoši Konvencijas 35. panta 4. punktam.</w:t>
      </w:r>
    </w:p>
    <w:p w:rsidR="00EA6EE8" w:rsidRDefault="004A49B2" w:rsidP="00EA08F6">
      <w:pPr>
        <w:pStyle w:val="ECHRHeading1"/>
        <w:rPr>
          <w:lang w:val="lv-LV"/>
        </w:rPr>
      </w:pPr>
      <w:r w:rsidRPr="00832E00">
        <w:rPr>
          <w:lang w:val="lv-LV"/>
        </w:rPr>
        <w:t>V</w:t>
      </w:r>
      <w:r w:rsidR="00EA6EE8">
        <w:rPr>
          <w:lang w:val="lv-LV"/>
        </w:rPr>
        <w:t>.  KONVENCIJAS 41. PANTA PIEMĒROŠANA</w:t>
      </w:r>
    </w:p>
    <w:p w:rsidR="00EA6EE8"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83</w:t>
      </w:r>
      <w:r w:rsidRPr="00832E00">
        <w:rPr>
          <w:noProof/>
          <w:lang w:val="lv-LV"/>
        </w:rPr>
        <w:fldChar w:fldCharType="end"/>
      </w:r>
      <w:r w:rsidR="00014566" w:rsidRPr="00832E00">
        <w:rPr>
          <w:lang w:val="lv-LV"/>
        </w:rPr>
        <w:t>.  </w:t>
      </w:r>
      <w:r w:rsidR="00EA6EE8">
        <w:rPr>
          <w:lang w:val="lv-LV"/>
        </w:rPr>
        <w:t>Konvencijas 41. pants nosaka:</w:t>
      </w:r>
    </w:p>
    <w:p w:rsidR="00EA6EE8" w:rsidRDefault="00014566" w:rsidP="00EA08F6">
      <w:pPr>
        <w:pStyle w:val="ECHRParaQuote"/>
        <w:rPr>
          <w:lang w:val="lv-LV"/>
        </w:rPr>
      </w:pPr>
      <w:r w:rsidRPr="00832E00">
        <w:rPr>
          <w:lang w:val="lv-LV"/>
        </w:rPr>
        <w:t>“</w:t>
      </w:r>
      <w:r w:rsidR="00EA6EE8" w:rsidRPr="00EA6EE8">
        <w:rPr>
          <w:lang w:val="lv-LV"/>
        </w:rPr>
        <w:t>Ja Tiesa konstatē, ka ir noticis Konvencijas vai tās protokolu pārkāpums, un ja attiecīgās Augstās Līgumslēdzējas Puses iekšējās tiesību normas paredz tikai daļēju šī pārkāpuma seku novēršanu, Tiesa, ja nepieciešams, cietušajai pusei piešķir taisnīgu atlīdzību.</w:t>
      </w:r>
      <w:r w:rsidR="00EA6EE8">
        <w:rPr>
          <w:lang w:val="lv-LV"/>
        </w:rPr>
        <w:t>”</w:t>
      </w:r>
    </w:p>
    <w:p w:rsidR="00014566" w:rsidRPr="00832E00" w:rsidRDefault="00014566" w:rsidP="00EA08F6">
      <w:pPr>
        <w:pStyle w:val="ECHRHeading2"/>
        <w:rPr>
          <w:lang w:val="lv-LV"/>
        </w:rPr>
      </w:pPr>
      <w:r w:rsidRPr="00832E00">
        <w:rPr>
          <w:lang w:val="lv-LV"/>
        </w:rPr>
        <w:t>A.  </w:t>
      </w:r>
      <w:r w:rsidR="00EA6EE8">
        <w:rPr>
          <w:lang w:val="lv-LV"/>
        </w:rPr>
        <w:t>Kaitējums</w:t>
      </w:r>
    </w:p>
    <w:p w:rsidR="00EA6EE8" w:rsidRPr="00CE6CB4" w:rsidRDefault="00525DF7" w:rsidP="00EA6EE8">
      <w:pPr>
        <w:pStyle w:val="ECHRPara"/>
        <w:keepNext/>
        <w:keepLines/>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84</w:t>
      </w:r>
      <w:r w:rsidRPr="00832E00">
        <w:rPr>
          <w:noProof/>
          <w:lang w:val="lv-LV"/>
        </w:rPr>
        <w:fldChar w:fldCharType="end"/>
      </w:r>
      <w:r w:rsidR="00014566" w:rsidRPr="00832E00">
        <w:rPr>
          <w:lang w:val="lv-LV"/>
        </w:rPr>
        <w:t>.  </w:t>
      </w:r>
      <w:r w:rsidR="00EA6EE8" w:rsidRPr="00CE6CB4">
        <w:rPr>
          <w:rFonts w:ascii="Times New Roman" w:hAnsi="Times New Roman" w:cs="Times New Roman"/>
          <w:szCs w:val="24"/>
          <w:lang w:val="lv-LV"/>
        </w:rPr>
        <w:t xml:space="preserve">Iesniedzējs lūdza piešķirt kompensāciju </w:t>
      </w:r>
      <w:r w:rsidR="00EA6EE8">
        <w:rPr>
          <w:rFonts w:ascii="Times New Roman" w:hAnsi="Times New Roman" w:cs="Times New Roman"/>
          <w:szCs w:val="24"/>
          <w:lang w:val="lv-LV"/>
        </w:rPr>
        <w:t>5</w:t>
      </w:r>
      <w:r w:rsidR="00EA6EE8" w:rsidRPr="00CE6CB4">
        <w:rPr>
          <w:rFonts w:ascii="Times New Roman" w:hAnsi="Times New Roman" w:cs="Times New Roman"/>
          <w:szCs w:val="24"/>
          <w:lang w:val="lv-LV"/>
        </w:rPr>
        <w:t xml:space="preserve">0 000 </w:t>
      </w:r>
      <w:proofErr w:type="spellStart"/>
      <w:r w:rsidR="00EA6EE8" w:rsidRPr="00CE6CB4">
        <w:rPr>
          <w:rFonts w:ascii="Times New Roman" w:hAnsi="Times New Roman" w:cs="Times New Roman"/>
          <w:szCs w:val="24"/>
          <w:lang w:val="lv-LV"/>
        </w:rPr>
        <w:t>e</w:t>
      </w:r>
      <w:r w:rsidR="00F073B4">
        <w:rPr>
          <w:rFonts w:ascii="Times New Roman" w:hAnsi="Times New Roman" w:cs="Times New Roman"/>
          <w:szCs w:val="24"/>
          <w:lang w:val="lv-LV"/>
        </w:rPr>
        <w:t>u</w:t>
      </w:r>
      <w:r w:rsidR="00EA6EE8" w:rsidRPr="00CE6CB4">
        <w:rPr>
          <w:rFonts w:ascii="Times New Roman" w:hAnsi="Times New Roman" w:cs="Times New Roman"/>
          <w:szCs w:val="24"/>
          <w:lang w:val="lv-LV"/>
        </w:rPr>
        <w:t>ro</w:t>
      </w:r>
      <w:proofErr w:type="spellEnd"/>
      <w:r w:rsidR="00EA6EE8" w:rsidRPr="00CE6CB4">
        <w:rPr>
          <w:rFonts w:ascii="Times New Roman" w:hAnsi="Times New Roman" w:cs="Times New Roman"/>
          <w:szCs w:val="24"/>
          <w:lang w:val="lv-LV"/>
        </w:rPr>
        <w:t xml:space="preserve"> (EUR) apmērā par morālo kaitējumu.</w:t>
      </w:r>
    </w:p>
    <w:p w:rsidR="00EA6EE8" w:rsidRDefault="00525DF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85</w:t>
      </w:r>
      <w:r w:rsidRPr="00832E00">
        <w:rPr>
          <w:noProof/>
          <w:lang w:val="lv-LV"/>
        </w:rPr>
        <w:fldChar w:fldCharType="end"/>
      </w:r>
      <w:r w:rsidR="00014566" w:rsidRPr="00832E00">
        <w:rPr>
          <w:lang w:val="lv-LV"/>
        </w:rPr>
        <w:t>.  </w:t>
      </w:r>
      <w:r w:rsidR="00EA6EE8">
        <w:rPr>
          <w:lang w:val="lv-LV"/>
        </w:rPr>
        <w:t>Valdība nepiekrita un uzskatīja, ka šī summa ir nepamatota, nesamērīga un pārmēru liela.</w:t>
      </w:r>
    </w:p>
    <w:p w:rsidR="00EA6EE8" w:rsidRDefault="00FA48E7" w:rsidP="00EA08F6">
      <w:pPr>
        <w:pStyle w:val="ECHRPara"/>
        <w:rPr>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86</w:t>
      </w:r>
      <w:r w:rsidRPr="00832E00">
        <w:rPr>
          <w:lang w:val="lv-LV"/>
        </w:rPr>
        <w:fldChar w:fldCharType="end"/>
      </w:r>
      <w:r w:rsidR="00014566" w:rsidRPr="00832E00">
        <w:rPr>
          <w:lang w:val="lv-LV"/>
        </w:rPr>
        <w:t>.  </w:t>
      </w:r>
      <w:r w:rsidR="00EA6EE8">
        <w:rPr>
          <w:lang w:val="lv-LV"/>
        </w:rPr>
        <w:t xml:space="preserve">Ievērojot taisnīguma principus, </w:t>
      </w:r>
      <w:r w:rsidR="00074A13" w:rsidRPr="00CE6CB4">
        <w:rPr>
          <w:rFonts w:ascii="Times New Roman" w:hAnsi="Times New Roman" w:cs="Times New Roman"/>
          <w:szCs w:val="24"/>
          <w:lang w:val="lv-LV"/>
        </w:rPr>
        <w:t xml:space="preserve">Tiesa </w:t>
      </w:r>
      <w:r w:rsidR="00074A13">
        <w:rPr>
          <w:rFonts w:ascii="Times New Roman" w:hAnsi="Times New Roman" w:cs="Times New Roman"/>
          <w:szCs w:val="24"/>
          <w:lang w:val="lv-LV"/>
        </w:rPr>
        <w:t>nolemj</w:t>
      </w:r>
      <w:r w:rsidR="00074A13" w:rsidRPr="00CE6CB4">
        <w:rPr>
          <w:rFonts w:ascii="Times New Roman" w:hAnsi="Times New Roman" w:cs="Times New Roman"/>
          <w:szCs w:val="24"/>
          <w:lang w:val="lv-LV"/>
        </w:rPr>
        <w:t xml:space="preserve"> par labu iesniedzējam piedzīt </w:t>
      </w:r>
      <w:r w:rsidR="00074A13">
        <w:rPr>
          <w:rFonts w:ascii="Times New Roman" w:hAnsi="Times New Roman" w:cs="Times New Roman"/>
          <w:szCs w:val="24"/>
          <w:lang w:val="lv-LV"/>
        </w:rPr>
        <w:t>2</w:t>
      </w:r>
      <w:r w:rsidR="00E14C6B">
        <w:rPr>
          <w:rFonts w:ascii="Times New Roman" w:hAnsi="Times New Roman" w:cs="Times New Roman"/>
          <w:szCs w:val="24"/>
          <w:lang w:val="lv-LV"/>
        </w:rPr>
        <w:t xml:space="preserve"> </w:t>
      </w:r>
      <w:r w:rsidR="00074A13">
        <w:rPr>
          <w:rFonts w:ascii="Times New Roman" w:hAnsi="Times New Roman" w:cs="Times New Roman"/>
          <w:szCs w:val="24"/>
          <w:lang w:val="lv-LV"/>
        </w:rPr>
        <w:t>500</w:t>
      </w:r>
      <w:r w:rsidR="00074A13" w:rsidRPr="00CE6CB4">
        <w:rPr>
          <w:rFonts w:ascii="Times New Roman" w:hAnsi="Times New Roman" w:cs="Times New Roman"/>
          <w:szCs w:val="24"/>
          <w:lang w:val="lv-LV"/>
        </w:rPr>
        <w:t xml:space="preserve"> EUR kā kompensāciju par morālo kaitējumu</w:t>
      </w:r>
    </w:p>
    <w:p w:rsidR="00014566" w:rsidRPr="00832E00" w:rsidRDefault="00957F12" w:rsidP="00EA08F6">
      <w:pPr>
        <w:pStyle w:val="ECHRHeading2"/>
        <w:rPr>
          <w:lang w:val="lv-LV"/>
        </w:rPr>
      </w:pPr>
      <w:r w:rsidRPr="00832E00">
        <w:rPr>
          <w:lang w:val="lv-LV"/>
        </w:rPr>
        <w:t>B</w:t>
      </w:r>
      <w:r w:rsidR="00014566" w:rsidRPr="00832E00">
        <w:rPr>
          <w:lang w:val="lv-LV"/>
        </w:rPr>
        <w:t>.  </w:t>
      </w:r>
      <w:r w:rsidR="00074A13" w:rsidRPr="00CE6CB4">
        <w:rPr>
          <w:rFonts w:ascii="Times New Roman" w:hAnsi="Times New Roman" w:cs="Times New Roman"/>
          <w:szCs w:val="24"/>
          <w:lang w:val="lv-LV"/>
        </w:rPr>
        <w:t>Nokavējuma procenti</w:t>
      </w:r>
    </w:p>
    <w:p w:rsidR="00074A13" w:rsidRDefault="00525DF7" w:rsidP="00EA08F6">
      <w:pPr>
        <w:pStyle w:val="ECHRPara"/>
        <w:rPr>
          <w:rFonts w:ascii="Times New Roman" w:hAnsi="Times New Roman" w:cs="Times New Roman"/>
          <w:szCs w:val="24"/>
          <w:lang w:val="lv-LV"/>
        </w:rPr>
      </w:pPr>
      <w:r w:rsidRPr="00832E00">
        <w:rPr>
          <w:lang w:val="lv-LV"/>
        </w:rPr>
        <w:fldChar w:fldCharType="begin"/>
      </w:r>
      <w:r w:rsidRPr="00832E00">
        <w:rPr>
          <w:lang w:val="lv-LV"/>
        </w:rPr>
        <w:instrText xml:space="preserve"> SEQ level0 \*arabic </w:instrText>
      </w:r>
      <w:r w:rsidRPr="00832E00">
        <w:rPr>
          <w:lang w:val="lv-LV"/>
        </w:rPr>
        <w:fldChar w:fldCharType="separate"/>
      </w:r>
      <w:r w:rsidR="00DC5D38" w:rsidRPr="00832E00">
        <w:rPr>
          <w:noProof/>
          <w:lang w:val="lv-LV"/>
        </w:rPr>
        <w:t>87</w:t>
      </w:r>
      <w:r w:rsidRPr="00832E00">
        <w:rPr>
          <w:noProof/>
          <w:lang w:val="lv-LV"/>
        </w:rPr>
        <w:fldChar w:fldCharType="end"/>
      </w:r>
      <w:r w:rsidR="00014566" w:rsidRPr="00832E00">
        <w:rPr>
          <w:lang w:val="lv-LV"/>
        </w:rPr>
        <w:t>.  </w:t>
      </w:r>
      <w:r w:rsidR="00074A13" w:rsidRPr="00CE6CB4">
        <w:rPr>
          <w:rFonts w:ascii="Times New Roman" w:hAnsi="Times New Roman" w:cs="Times New Roman"/>
          <w:szCs w:val="24"/>
          <w:lang w:val="lv-LV"/>
        </w:rPr>
        <w:t xml:space="preserve">Tiesa </w:t>
      </w:r>
      <w:r w:rsidR="00074A13">
        <w:rPr>
          <w:rFonts w:ascii="Times New Roman" w:hAnsi="Times New Roman" w:cs="Times New Roman"/>
          <w:szCs w:val="24"/>
          <w:lang w:val="lv-LV"/>
        </w:rPr>
        <w:t>nolemj</w:t>
      </w:r>
      <w:r w:rsidR="00074A13" w:rsidRPr="00CE6CB4">
        <w:rPr>
          <w:rFonts w:ascii="Times New Roman" w:hAnsi="Times New Roman" w:cs="Times New Roman"/>
          <w:szCs w:val="24"/>
          <w:lang w:val="lv-LV"/>
        </w:rPr>
        <w:t>, ka nokavējuma procentu likme ir jānosaka, pamatojoties uz Eiropas Centrālās bankas rezerves aizdevumu procentu likmi, tai pieskaitot trīs procentu punktus.</w:t>
      </w:r>
    </w:p>
    <w:p w:rsidR="00E14C6B" w:rsidRDefault="00E14C6B" w:rsidP="00EA08F6">
      <w:pPr>
        <w:pStyle w:val="ECHRPara"/>
        <w:rPr>
          <w:lang w:val="lv-LV"/>
        </w:rPr>
      </w:pPr>
    </w:p>
    <w:p w:rsidR="00074A13" w:rsidRDefault="00074A13" w:rsidP="00074A13">
      <w:pPr>
        <w:pStyle w:val="ECHRPara"/>
        <w:ind w:firstLine="720"/>
        <w:rPr>
          <w:rFonts w:ascii="Times New Roman" w:hAnsi="Times New Roman" w:cs="Times New Roman"/>
          <w:szCs w:val="24"/>
          <w:lang w:val="lv-LV"/>
        </w:rPr>
      </w:pPr>
    </w:p>
    <w:p w:rsidR="00014566" w:rsidRDefault="00074A13" w:rsidP="00074A13">
      <w:pPr>
        <w:pStyle w:val="ECHRPara"/>
        <w:ind w:firstLine="720"/>
        <w:rPr>
          <w:rFonts w:ascii="Times New Roman" w:hAnsi="Times New Roman" w:cs="Times New Roman"/>
          <w:szCs w:val="24"/>
          <w:lang w:val="lv-LV"/>
        </w:rPr>
      </w:pPr>
      <w:r w:rsidRPr="00CE6CB4">
        <w:rPr>
          <w:rFonts w:ascii="Times New Roman" w:hAnsi="Times New Roman" w:cs="Times New Roman"/>
          <w:szCs w:val="24"/>
          <w:lang w:val="lv-LV"/>
        </w:rPr>
        <w:t>ŠO IEMESLU DĒĻ TIESA VIENPRĀTĪGI</w:t>
      </w:r>
    </w:p>
    <w:p w:rsidR="00074A13" w:rsidRPr="00832E00" w:rsidRDefault="00074A13" w:rsidP="00074A13">
      <w:pPr>
        <w:pStyle w:val="ECHRPara"/>
        <w:ind w:firstLine="720"/>
        <w:rPr>
          <w:lang w:val="lv-LV"/>
        </w:rPr>
      </w:pPr>
    </w:p>
    <w:p w:rsidR="00074A13" w:rsidRDefault="002170FD" w:rsidP="00EA08F6">
      <w:pPr>
        <w:pStyle w:val="JuList"/>
        <w:rPr>
          <w:lang w:val="lv-LV"/>
        </w:rPr>
      </w:pPr>
      <w:r w:rsidRPr="00832E00">
        <w:rPr>
          <w:lang w:val="lv-LV"/>
        </w:rPr>
        <w:t>1</w:t>
      </w:r>
      <w:r w:rsidR="00014566" w:rsidRPr="00832E00">
        <w:rPr>
          <w:lang w:val="lv-LV"/>
        </w:rPr>
        <w:t>.  </w:t>
      </w:r>
      <w:r w:rsidR="00074A13" w:rsidRPr="00074A13">
        <w:rPr>
          <w:i/>
          <w:lang w:val="lv-LV"/>
        </w:rPr>
        <w:t>Atzīst</w:t>
      </w:r>
      <w:r w:rsidR="00074A13">
        <w:rPr>
          <w:lang w:val="lv-LV"/>
        </w:rPr>
        <w:t xml:space="preserve"> sūdzības atbilstoši Konvencijas 8. un 13. pantam par pieņemamām izskatīšanai, bet iesniegumu atlikušajā daļā par nepieņemamu izskatīšanai.</w:t>
      </w:r>
    </w:p>
    <w:p w:rsidR="00014566" w:rsidRPr="00832E00" w:rsidRDefault="00014566" w:rsidP="00EA08F6">
      <w:pPr>
        <w:pStyle w:val="JuList"/>
        <w:rPr>
          <w:lang w:val="lv-LV"/>
        </w:rPr>
      </w:pPr>
    </w:p>
    <w:p w:rsidR="00074A13" w:rsidRDefault="00150A4D" w:rsidP="00EA08F6">
      <w:pPr>
        <w:pStyle w:val="JuList"/>
        <w:rPr>
          <w:lang w:val="lv-LV"/>
        </w:rPr>
      </w:pPr>
      <w:r w:rsidRPr="00832E00">
        <w:rPr>
          <w:lang w:val="lv-LV"/>
        </w:rPr>
        <w:t>2</w:t>
      </w:r>
      <w:r w:rsidR="00014566" w:rsidRPr="00832E00">
        <w:rPr>
          <w:lang w:val="lv-LV"/>
        </w:rPr>
        <w:t>.  </w:t>
      </w:r>
      <w:r w:rsidR="00074A13" w:rsidRPr="005A460D">
        <w:rPr>
          <w:i/>
          <w:lang w:val="lv-LV"/>
        </w:rPr>
        <w:t>Nolemj</w:t>
      </w:r>
      <w:r w:rsidR="00074A13">
        <w:rPr>
          <w:lang w:val="lv-LV"/>
        </w:rPr>
        <w:t>, ka ir noticis Konvencijas 8. panta pārkāpums.</w:t>
      </w:r>
    </w:p>
    <w:p w:rsidR="00014566" w:rsidRPr="00832E00" w:rsidRDefault="00014566" w:rsidP="00EA08F6">
      <w:pPr>
        <w:pStyle w:val="JuList"/>
        <w:rPr>
          <w:lang w:val="lv-LV"/>
        </w:rPr>
      </w:pPr>
    </w:p>
    <w:p w:rsidR="00074A13" w:rsidRDefault="00150A4D" w:rsidP="00EA08F6">
      <w:pPr>
        <w:pStyle w:val="JuList"/>
        <w:rPr>
          <w:lang w:val="lv-LV"/>
        </w:rPr>
      </w:pPr>
      <w:r w:rsidRPr="00832E00">
        <w:rPr>
          <w:lang w:val="lv-LV"/>
        </w:rPr>
        <w:t>3</w:t>
      </w:r>
      <w:r w:rsidR="00014566" w:rsidRPr="00832E00">
        <w:rPr>
          <w:lang w:val="lv-LV"/>
        </w:rPr>
        <w:t>.  </w:t>
      </w:r>
      <w:r w:rsidR="00074A13" w:rsidRPr="005A460D">
        <w:rPr>
          <w:i/>
          <w:lang w:val="lv-LV"/>
        </w:rPr>
        <w:t>Nolemj</w:t>
      </w:r>
      <w:r w:rsidR="00074A13">
        <w:rPr>
          <w:lang w:val="lv-LV"/>
        </w:rPr>
        <w:t>, ka nav noticis Konvencijas 13. panta pārkāpums.</w:t>
      </w:r>
    </w:p>
    <w:p w:rsidR="00014566" w:rsidRPr="00832E00" w:rsidRDefault="00014566" w:rsidP="00EA08F6">
      <w:pPr>
        <w:pStyle w:val="JuList"/>
        <w:rPr>
          <w:lang w:val="lv-LV"/>
        </w:rPr>
      </w:pPr>
    </w:p>
    <w:p w:rsidR="00324CAC" w:rsidRDefault="00150A4D" w:rsidP="00EA08F6">
      <w:pPr>
        <w:pStyle w:val="JuList"/>
        <w:rPr>
          <w:i/>
          <w:lang w:val="lv-LV"/>
        </w:rPr>
      </w:pPr>
      <w:r w:rsidRPr="00832E00">
        <w:rPr>
          <w:lang w:val="lv-LV"/>
        </w:rPr>
        <w:lastRenderedPageBreak/>
        <w:t>4</w:t>
      </w:r>
      <w:r w:rsidR="00014566" w:rsidRPr="00832E00">
        <w:rPr>
          <w:lang w:val="lv-LV"/>
        </w:rPr>
        <w:t>.  </w:t>
      </w:r>
      <w:r w:rsidR="00074A13">
        <w:rPr>
          <w:i/>
          <w:lang w:val="lv-LV"/>
        </w:rPr>
        <w:t>Nolemj</w:t>
      </w:r>
    </w:p>
    <w:p w:rsidR="00074A13" w:rsidRDefault="00074A13" w:rsidP="00EA08F6">
      <w:pPr>
        <w:pStyle w:val="JuList"/>
        <w:rPr>
          <w:lang w:val="lv-LV"/>
        </w:rPr>
      </w:pPr>
      <w:r>
        <w:rPr>
          <w:lang w:val="lv-LV"/>
        </w:rPr>
        <w:tab/>
        <w:t xml:space="preserve">(a) </w:t>
      </w:r>
      <w:r w:rsidR="000B2393" w:rsidRPr="00CE6CB4">
        <w:rPr>
          <w:szCs w:val="24"/>
          <w:lang w:val="lv-LV"/>
        </w:rPr>
        <w:t xml:space="preserve">ka atbildētājai valstij trīs mēnešu laikā no dienas, kad spriedums saskaņā ar Konvencijas 44. panta 2. punktu ir kļuvis galīgs, jāizmaksā iesniedzējam </w:t>
      </w:r>
      <w:r w:rsidR="000B2393">
        <w:rPr>
          <w:szCs w:val="24"/>
          <w:lang w:val="lv-LV"/>
        </w:rPr>
        <w:t>2</w:t>
      </w:r>
      <w:r w:rsidR="00E14C6B">
        <w:rPr>
          <w:szCs w:val="24"/>
          <w:lang w:val="lv-LV"/>
        </w:rPr>
        <w:t xml:space="preserve"> </w:t>
      </w:r>
      <w:r w:rsidR="000B2393">
        <w:rPr>
          <w:szCs w:val="24"/>
          <w:lang w:val="lv-LV"/>
        </w:rPr>
        <w:t>500</w:t>
      </w:r>
      <w:r w:rsidR="000B2393" w:rsidRPr="00CE6CB4">
        <w:rPr>
          <w:szCs w:val="24"/>
          <w:lang w:val="lv-LV"/>
        </w:rPr>
        <w:t xml:space="preserve"> EUR (</w:t>
      </w:r>
      <w:r w:rsidR="000B2393">
        <w:rPr>
          <w:szCs w:val="24"/>
          <w:lang w:val="lv-LV"/>
        </w:rPr>
        <w:t xml:space="preserve">divi tūkstoši </w:t>
      </w:r>
      <w:r w:rsidR="000B2393" w:rsidRPr="00CE6CB4">
        <w:rPr>
          <w:szCs w:val="24"/>
          <w:lang w:val="lv-LV"/>
        </w:rPr>
        <w:t>piec</w:t>
      </w:r>
      <w:r w:rsidR="000B2393">
        <w:rPr>
          <w:szCs w:val="24"/>
          <w:lang w:val="lv-LV"/>
        </w:rPr>
        <w:t>i</w:t>
      </w:r>
      <w:r w:rsidR="000B2393" w:rsidRPr="00CE6CB4">
        <w:rPr>
          <w:szCs w:val="24"/>
          <w:lang w:val="lv-LV"/>
        </w:rPr>
        <w:t xml:space="preserve"> simti </w:t>
      </w:r>
      <w:proofErr w:type="spellStart"/>
      <w:r w:rsidR="000B2393" w:rsidRPr="00CE6CB4">
        <w:rPr>
          <w:szCs w:val="24"/>
          <w:lang w:val="lv-LV"/>
        </w:rPr>
        <w:t>e</w:t>
      </w:r>
      <w:r w:rsidR="00E14C6B">
        <w:rPr>
          <w:szCs w:val="24"/>
          <w:lang w:val="lv-LV"/>
        </w:rPr>
        <w:t>u</w:t>
      </w:r>
      <w:r w:rsidR="000B2393" w:rsidRPr="00CE6CB4">
        <w:rPr>
          <w:szCs w:val="24"/>
          <w:lang w:val="lv-LV"/>
        </w:rPr>
        <w:t>ro</w:t>
      </w:r>
      <w:proofErr w:type="spellEnd"/>
      <w:r w:rsidR="000B2393" w:rsidRPr="00CE6CB4">
        <w:rPr>
          <w:szCs w:val="24"/>
          <w:lang w:val="lv-LV"/>
        </w:rPr>
        <w:t xml:space="preserve">) </w:t>
      </w:r>
      <w:r w:rsidR="000B2393" w:rsidRPr="00CE6CB4">
        <w:rPr>
          <w:lang w:val="lv-LV"/>
        </w:rPr>
        <w:t>kā atlīdzinājums par morālo kaitējumu, pieskaitot jebkurus ieturamos nodokļus.</w:t>
      </w:r>
    </w:p>
    <w:p w:rsidR="00074A13" w:rsidRDefault="000B2393" w:rsidP="00EA08F6">
      <w:pPr>
        <w:pStyle w:val="JuList"/>
        <w:rPr>
          <w:szCs w:val="24"/>
          <w:lang w:val="lv-LV"/>
        </w:rPr>
      </w:pPr>
      <w:r>
        <w:rPr>
          <w:lang w:val="lv-LV"/>
        </w:rPr>
        <w:tab/>
        <w:t xml:space="preserve">(b) </w:t>
      </w:r>
      <w:r w:rsidRPr="00CE6CB4">
        <w:rPr>
          <w:szCs w:val="24"/>
          <w:lang w:val="lv-LV"/>
        </w:rPr>
        <w:t xml:space="preserve">ka, sākot no iepriekš minētā triju mēnešu termiņa iestāšanās līdz samaksas veikšanai, iepriekš </w:t>
      </w:r>
      <w:r>
        <w:rPr>
          <w:szCs w:val="24"/>
          <w:lang w:val="lv-LV"/>
        </w:rPr>
        <w:t>minētajai summai</w:t>
      </w:r>
      <w:r w:rsidRPr="00CE6CB4">
        <w:rPr>
          <w:szCs w:val="24"/>
          <w:lang w:val="lv-LV"/>
        </w:rPr>
        <w:t xml:space="preserve"> piemēro vienkāršo procentu likmi, kas vienāda ar attiecīgajā laika periodā spēkā esošo Eiropas Centrālās bankas rezerves kreditēšanas likmi, pieskaitot tai trīs procentpunktus.</w:t>
      </w:r>
    </w:p>
    <w:p w:rsidR="000B2393" w:rsidRPr="00832E00" w:rsidRDefault="000B2393" w:rsidP="00EA08F6">
      <w:pPr>
        <w:pStyle w:val="JuList"/>
        <w:rPr>
          <w:lang w:val="lv-LV"/>
        </w:rPr>
      </w:pPr>
    </w:p>
    <w:p w:rsidR="000B2393" w:rsidRDefault="00150A4D" w:rsidP="00EA08F6">
      <w:pPr>
        <w:pStyle w:val="JuList"/>
        <w:rPr>
          <w:lang w:val="lv-LV"/>
        </w:rPr>
      </w:pPr>
      <w:r w:rsidRPr="00832E00">
        <w:rPr>
          <w:lang w:val="lv-LV"/>
        </w:rPr>
        <w:t>5</w:t>
      </w:r>
      <w:r w:rsidR="00014566" w:rsidRPr="00832E00">
        <w:rPr>
          <w:lang w:val="lv-LV"/>
        </w:rPr>
        <w:t>.  </w:t>
      </w:r>
      <w:r w:rsidR="000B2393" w:rsidRPr="00CE6CB4">
        <w:rPr>
          <w:i/>
          <w:szCs w:val="24"/>
          <w:lang w:val="lv-LV"/>
        </w:rPr>
        <w:t xml:space="preserve">Noraida </w:t>
      </w:r>
      <w:r w:rsidR="000B2393" w:rsidRPr="00CE6CB4">
        <w:rPr>
          <w:szCs w:val="24"/>
          <w:lang w:val="lv-LV"/>
        </w:rPr>
        <w:t>iesniedzēja lūgumu par taisnīgu atlīdzību pārējā daļā</w:t>
      </w:r>
      <w:r w:rsidR="000B2393" w:rsidRPr="00CE6CB4">
        <w:rPr>
          <w:i/>
          <w:lang w:val="lv-LV"/>
        </w:rPr>
        <w:t>.</w:t>
      </w:r>
    </w:p>
    <w:p w:rsidR="000B2393" w:rsidRDefault="000B2393" w:rsidP="000B2393">
      <w:pPr>
        <w:pStyle w:val="JuList"/>
        <w:ind w:left="0" w:firstLine="709"/>
        <w:rPr>
          <w:szCs w:val="24"/>
          <w:lang w:val="lv-LV"/>
        </w:rPr>
      </w:pPr>
    </w:p>
    <w:p w:rsidR="000B2393" w:rsidRDefault="000B2393" w:rsidP="000B2393">
      <w:pPr>
        <w:pStyle w:val="JuList"/>
        <w:ind w:left="0" w:firstLine="709"/>
        <w:rPr>
          <w:szCs w:val="24"/>
          <w:lang w:val="lv-LV"/>
        </w:rPr>
      </w:pPr>
    </w:p>
    <w:p w:rsidR="000B2393" w:rsidRPr="00CE6CB4" w:rsidRDefault="000B2393" w:rsidP="000B2393">
      <w:pPr>
        <w:pStyle w:val="JuList"/>
        <w:ind w:left="0" w:firstLine="709"/>
        <w:rPr>
          <w:szCs w:val="24"/>
          <w:lang w:val="lv-LV"/>
        </w:rPr>
      </w:pPr>
      <w:r w:rsidRPr="00CE6CB4">
        <w:rPr>
          <w:szCs w:val="24"/>
          <w:lang w:val="lv-LV"/>
        </w:rPr>
        <w:t>Sagatavots angļu valodā un rakstveidā paziņots 2</w:t>
      </w:r>
      <w:r>
        <w:rPr>
          <w:szCs w:val="24"/>
          <w:lang w:val="lv-LV"/>
        </w:rPr>
        <w:t>015. gada 21. jūlijā</w:t>
      </w:r>
      <w:r w:rsidRPr="00CE6CB4">
        <w:rPr>
          <w:szCs w:val="24"/>
          <w:lang w:val="lv-LV"/>
        </w:rPr>
        <w:t xml:space="preserve"> atbilstoši Tiesas reglamenta 77. punkta 2. un 3. apakšpunktam.</w:t>
      </w:r>
    </w:p>
    <w:p w:rsidR="00014566" w:rsidRPr="00832E00" w:rsidRDefault="00014566" w:rsidP="00EA08F6">
      <w:pPr>
        <w:pStyle w:val="JuSigned"/>
        <w:rPr>
          <w:lang w:val="lv-LV"/>
        </w:rPr>
      </w:pPr>
      <w:r w:rsidRPr="00832E00">
        <w:rPr>
          <w:lang w:val="lv-LV"/>
        </w:rPr>
        <w:tab/>
      </w:r>
      <w:proofErr w:type="spellStart"/>
      <w:r w:rsidR="00B51B22" w:rsidRPr="000B2393">
        <w:rPr>
          <w:i/>
          <w:lang w:val="lv-LV"/>
        </w:rPr>
        <w:t>Fatoş</w:t>
      </w:r>
      <w:proofErr w:type="spellEnd"/>
      <w:r w:rsidR="00B51B22" w:rsidRPr="000B2393">
        <w:rPr>
          <w:i/>
          <w:lang w:val="lv-LV"/>
        </w:rPr>
        <w:t xml:space="preserve"> </w:t>
      </w:r>
      <w:proofErr w:type="spellStart"/>
      <w:r w:rsidR="00B51B22" w:rsidRPr="000B2393">
        <w:rPr>
          <w:i/>
          <w:lang w:val="lv-LV"/>
        </w:rPr>
        <w:t>Aracı</w:t>
      </w:r>
      <w:proofErr w:type="spellEnd"/>
      <w:r w:rsidRPr="00832E00">
        <w:rPr>
          <w:lang w:val="lv-LV"/>
        </w:rPr>
        <w:tab/>
      </w:r>
      <w:proofErr w:type="spellStart"/>
      <w:r w:rsidR="006A383D" w:rsidRPr="000B2393">
        <w:rPr>
          <w:i/>
          <w:szCs w:val="24"/>
          <w:lang w:val="lv-LV"/>
        </w:rPr>
        <w:t>Guido</w:t>
      </w:r>
      <w:proofErr w:type="spellEnd"/>
      <w:r w:rsidR="006A383D" w:rsidRPr="000B2393">
        <w:rPr>
          <w:i/>
          <w:szCs w:val="24"/>
          <w:lang w:val="lv-LV"/>
        </w:rPr>
        <w:t xml:space="preserve"> Raimondi</w:t>
      </w:r>
      <w:r w:rsidR="00324CAC" w:rsidRPr="00832E00">
        <w:rPr>
          <w:szCs w:val="24"/>
          <w:lang w:val="lv-LV"/>
        </w:rPr>
        <w:br/>
      </w:r>
      <w:r w:rsidRPr="00832E00">
        <w:rPr>
          <w:lang w:val="lv-LV"/>
        </w:rPr>
        <w:tab/>
      </w:r>
      <w:r w:rsidR="000B2393">
        <w:rPr>
          <w:lang w:val="lv-LV"/>
        </w:rPr>
        <w:t>Sekretāra vietniece</w:t>
      </w:r>
      <w:r w:rsidRPr="00832E00">
        <w:rPr>
          <w:lang w:val="lv-LV"/>
        </w:rPr>
        <w:tab/>
      </w:r>
      <w:r w:rsidR="000B2393">
        <w:rPr>
          <w:lang w:val="lv-LV"/>
        </w:rPr>
        <w:t>Priekšsēdētājs</w:t>
      </w:r>
    </w:p>
    <w:p w:rsidR="004D15F3" w:rsidRPr="00832E00" w:rsidRDefault="004D15F3" w:rsidP="00EA08F6">
      <w:pPr>
        <w:rPr>
          <w:lang w:val="lv-LV"/>
        </w:rPr>
      </w:pPr>
    </w:p>
    <w:p w:rsidR="00D54D5D" w:rsidRPr="00832E00" w:rsidRDefault="00D54D5D" w:rsidP="00EA08F6">
      <w:pPr>
        <w:rPr>
          <w:lang w:val="lv-LV"/>
        </w:rPr>
      </w:pPr>
    </w:p>
    <w:sectPr w:rsidR="00D54D5D" w:rsidRPr="00832E00" w:rsidSect="00915345">
      <w:headerReference w:type="even" r:id="rId15"/>
      <w:headerReference w:type="default" r:id="rId16"/>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EE" w:rsidRDefault="002476EE" w:rsidP="00014566">
      <w:r>
        <w:separator/>
      </w:r>
    </w:p>
  </w:endnote>
  <w:endnote w:type="continuationSeparator" w:id="0">
    <w:p w:rsidR="002476EE" w:rsidRDefault="002476EE" w:rsidP="000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69" w:rsidRPr="00150BFA" w:rsidRDefault="00892369" w:rsidP="00136B1B">
    <w:pPr>
      <w:jc w:val="center"/>
    </w:pPr>
    <w:r>
      <w:rPr>
        <w:noProof/>
        <w:lang w:val="lv-LV" w:eastAsia="lv-LV"/>
      </w:rPr>
      <w:drawing>
        <wp:inline distT="0" distB="0" distL="0" distR="0" wp14:anchorId="7373886B" wp14:editId="3245677C">
          <wp:extent cx="771525" cy="619125"/>
          <wp:effectExtent l="0" t="0" r="9525" b="9525"/>
          <wp:docPr id="29" name="Picture 2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892369" w:rsidRDefault="00892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EE" w:rsidRDefault="002476EE" w:rsidP="00014566">
      <w:r>
        <w:separator/>
      </w:r>
    </w:p>
  </w:footnote>
  <w:footnote w:type="continuationSeparator" w:id="0">
    <w:p w:rsidR="002476EE" w:rsidRDefault="002476EE" w:rsidP="0001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69" w:rsidRPr="00D60D87" w:rsidRDefault="00892369" w:rsidP="00915345">
    <w:pPr>
      <w:pStyle w:val="ECHRHeader"/>
      <w:jc w:val="cent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69" w:rsidRPr="00A45145" w:rsidRDefault="00892369" w:rsidP="00136B1B">
    <w:pPr>
      <w:jc w:val="center"/>
    </w:pPr>
    <w:r>
      <w:rPr>
        <w:noProof/>
        <w:lang w:val="lv-LV" w:eastAsia="lv-LV"/>
      </w:rPr>
      <w:drawing>
        <wp:inline distT="0" distB="0" distL="0" distR="0" wp14:anchorId="5775F20D" wp14:editId="62D3D3DC">
          <wp:extent cx="2962275" cy="1219200"/>
          <wp:effectExtent l="0" t="0" r="9525" b="0"/>
          <wp:docPr id="15" name="Picture 1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892369" w:rsidRDefault="008923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69" w:rsidRPr="00FF2306" w:rsidRDefault="00892369" w:rsidP="00EE1DA9">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5059F4">
      <w:rPr>
        <w:rStyle w:val="PageNumber"/>
        <w:noProof/>
        <w:szCs w:val="18"/>
        <w:lang w:val="en-GB"/>
      </w:rPr>
      <w:t>24</w:t>
    </w:r>
    <w:r>
      <w:rPr>
        <w:rStyle w:val="PageNumber"/>
        <w:szCs w:val="18"/>
        <w:lang w:val="en-GB"/>
      </w:rPr>
      <w:fldChar w:fldCharType="end"/>
    </w:r>
    <w:r w:rsidRPr="00FF2306">
      <w:rPr>
        <w:lang w:val="en-GB"/>
      </w:rPr>
      <w:tab/>
    </w:r>
    <w:r>
      <w:rPr>
        <w:lang w:val="en-GB"/>
      </w:rPr>
      <w:t xml:space="preserve">MEIMANIS </w:t>
    </w:r>
    <w:proofErr w:type="spellStart"/>
    <w:r>
      <w:rPr>
        <w:lang w:val="en-GB"/>
      </w:rPr>
      <w:t>pret</w:t>
    </w:r>
    <w:proofErr w:type="spellEnd"/>
    <w:r>
      <w:rPr>
        <w:lang w:val="en-GB"/>
      </w:rPr>
      <w:t xml:space="preserve"> </w:t>
    </w:r>
    <w:proofErr w:type="spellStart"/>
    <w:r>
      <w:rPr>
        <w:lang w:val="en-GB"/>
      </w:rPr>
      <w:t>Latviju</w:t>
    </w:r>
    <w:proofErr w:type="spellEnd"/>
    <w:r>
      <w:rPr>
        <w:lang w:val="en-GB"/>
      </w:rPr>
      <w:t xml:space="preserve"> SPRIEDUMS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69" w:rsidRPr="00D60D87" w:rsidRDefault="00892369" w:rsidP="00D60D87">
    <w:pPr>
      <w:pStyle w:val="ECHRHeader"/>
      <w:rPr>
        <w:lang w:val="en-GB"/>
      </w:rPr>
    </w:pPr>
    <w:r w:rsidRPr="00D60D87">
      <w:rPr>
        <w:lang w:val="en-GB"/>
      </w:rPr>
      <w:tab/>
    </w:r>
    <w:r>
      <w:rPr>
        <w:lang w:val="en-GB"/>
      </w:rPr>
      <w:t xml:space="preserve">MEIMANIS </w:t>
    </w:r>
    <w:proofErr w:type="spellStart"/>
    <w:r>
      <w:rPr>
        <w:lang w:val="en-GB"/>
      </w:rPr>
      <w:t>pret</w:t>
    </w:r>
    <w:proofErr w:type="spellEnd"/>
    <w:r>
      <w:rPr>
        <w:lang w:val="en-GB"/>
      </w:rPr>
      <w:t xml:space="preserve"> </w:t>
    </w:r>
    <w:proofErr w:type="spellStart"/>
    <w:r>
      <w:rPr>
        <w:lang w:val="en-GB"/>
      </w:rPr>
      <w:t>Latviju</w:t>
    </w:r>
    <w:proofErr w:type="spellEnd"/>
    <w:r>
      <w:rPr>
        <w:lang w:val="en-GB"/>
      </w:rPr>
      <w:t xml:space="preserve"> SPRIEDUMS</w:t>
    </w:r>
    <w:r w:rsidRPr="00D60D87">
      <w:rPr>
        <w:lang w:val="en-GB"/>
      </w:rPr>
      <w:tab/>
    </w: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5059F4">
      <w:rPr>
        <w:rStyle w:val="PageNumber"/>
        <w:noProof/>
        <w:szCs w:val="18"/>
        <w:lang w:val="en-GB"/>
      </w:rPr>
      <w:t>23</w:t>
    </w:r>
    <w:r>
      <w:rPr>
        <w:rStyle w:val="PageNumber"/>
        <w:szCs w:val="18"/>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FA48E7"/>
    <w:rsid w:val="000041F8"/>
    <w:rsid w:val="000042A8"/>
    <w:rsid w:val="00004308"/>
    <w:rsid w:val="00005BF0"/>
    <w:rsid w:val="00007154"/>
    <w:rsid w:val="000103AE"/>
    <w:rsid w:val="00011D69"/>
    <w:rsid w:val="00012AD3"/>
    <w:rsid w:val="00012EAB"/>
    <w:rsid w:val="0001425F"/>
    <w:rsid w:val="00014566"/>
    <w:rsid w:val="0001577B"/>
    <w:rsid w:val="00015C2D"/>
    <w:rsid w:val="00015F00"/>
    <w:rsid w:val="0002073B"/>
    <w:rsid w:val="00020C3C"/>
    <w:rsid w:val="00022C1D"/>
    <w:rsid w:val="00030603"/>
    <w:rsid w:val="00034209"/>
    <w:rsid w:val="00034312"/>
    <w:rsid w:val="00034987"/>
    <w:rsid w:val="000375F6"/>
    <w:rsid w:val="000448E7"/>
    <w:rsid w:val="00045AFA"/>
    <w:rsid w:val="00054117"/>
    <w:rsid w:val="00056011"/>
    <w:rsid w:val="000602DF"/>
    <w:rsid w:val="0006108B"/>
    <w:rsid w:val="00061B05"/>
    <w:rsid w:val="00062973"/>
    <w:rsid w:val="00062D5D"/>
    <w:rsid w:val="000632D5"/>
    <w:rsid w:val="00063A84"/>
    <w:rsid w:val="000644EE"/>
    <w:rsid w:val="000671D3"/>
    <w:rsid w:val="0007477C"/>
    <w:rsid w:val="00074A13"/>
    <w:rsid w:val="00081195"/>
    <w:rsid w:val="00082A35"/>
    <w:rsid w:val="0008674D"/>
    <w:rsid w:val="000925AD"/>
    <w:rsid w:val="0009462A"/>
    <w:rsid w:val="000961F2"/>
    <w:rsid w:val="00096795"/>
    <w:rsid w:val="000A0E11"/>
    <w:rsid w:val="000A24EB"/>
    <w:rsid w:val="000A4732"/>
    <w:rsid w:val="000A73B9"/>
    <w:rsid w:val="000B0A2B"/>
    <w:rsid w:val="000B1D4E"/>
    <w:rsid w:val="000B2393"/>
    <w:rsid w:val="000B47B2"/>
    <w:rsid w:val="000B65F6"/>
    <w:rsid w:val="000B6923"/>
    <w:rsid w:val="000C033C"/>
    <w:rsid w:val="000C5F3C"/>
    <w:rsid w:val="000C6DCC"/>
    <w:rsid w:val="000C7162"/>
    <w:rsid w:val="000D47AA"/>
    <w:rsid w:val="000D4BA7"/>
    <w:rsid w:val="000D55BA"/>
    <w:rsid w:val="000D62E0"/>
    <w:rsid w:val="000D721F"/>
    <w:rsid w:val="000D775F"/>
    <w:rsid w:val="000E0699"/>
    <w:rsid w:val="000E069B"/>
    <w:rsid w:val="000E0E82"/>
    <w:rsid w:val="000E1DC5"/>
    <w:rsid w:val="000E223F"/>
    <w:rsid w:val="000E4F4B"/>
    <w:rsid w:val="000E6881"/>
    <w:rsid w:val="000E7D45"/>
    <w:rsid w:val="000F7851"/>
    <w:rsid w:val="00101D31"/>
    <w:rsid w:val="00104488"/>
    <w:rsid w:val="00104E23"/>
    <w:rsid w:val="001064D3"/>
    <w:rsid w:val="00111B0C"/>
    <w:rsid w:val="001167D1"/>
    <w:rsid w:val="00120D6C"/>
    <w:rsid w:val="00123C86"/>
    <w:rsid w:val="001257EC"/>
    <w:rsid w:val="001276AD"/>
    <w:rsid w:val="00131531"/>
    <w:rsid w:val="00131871"/>
    <w:rsid w:val="00132C6A"/>
    <w:rsid w:val="00133D33"/>
    <w:rsid w:val="00134C82"/>
    <w:rsid w:val="00134D64"/>
    <w:rsid w:val="00134E6F"/>
    <w:rsid w:val="00135A30"/>
    <w:rsid w:val="0013612C"/>
    <w:rsid w:val="00136B1B"/>
    <w:rsid w:val="00137FF6"/>
    <w:rsid w:val="00141650"/>
    <w:rsid w:val="001448E3"/>
    <w:rsid w:val="001448F6"/>
    <w:rsid w:val="001449DF"/>
    <w:rsid w:val="001467DC"/>
    <w:rsid w:val="00147277"/>
    <w:rsid w:val="001501D4"/>
    <w:rsid w:val="00150486"/>
    <w:rsid w:val="00150A4D"/>
    <w:rsid w:val="00151A1D"/>
    <w:rsid w:val="00155EBE"/>
    <w:rsid w:val="00157024"/>
    <w:rsid w:val="00162A12"/>
    <w:rsid w:val="001638E1"/>
    <w:rsid w:val="00164B31"/>
    <w:rsid w:val="00166530"/>
    <w:rsid w:val="00174052"/>
    <w:rsid w:val="00177198"/>
    <w:rsid w:val="00182D15"/>
    <w:rsid w:val="001832BD"/>
    <w:rsid w:val="00187960"/>
    <w:rsid w:val="00190338"/>
    <w:rsid w:val="001943B5"/>
    <w:rsid w:val="00195134"/>
    <w:rsid w:val="00196EC0"/>
    <w:rsid w:val="00197291"/>
    <w:rsid w:val="001A0C78"/>
    <w:rsid w:val="001A145B"/>
    <w:rsid w:val="001A674C"/>
    <w:rsid w:val="001A7CE3"/>
    <w:rsid w:val="001B3B24"/>
    <w:rsid w:val="001B587B"/>
    <w:rsid w:val="001B7A71"/>
    <w:rsid w:val="001B7C94"/>
    <w:rsid w:val="001B7F06"/>
    <w:rsid w:val="001C0F98"/>
    <w:rsid w:val="001C2A42"/>
    <w:rsid w:val="001C31B5"/>
    <w:rsid w:val="001C4C06"/>
    <w:rsid w:val="001C7FAB"/>
    <w:rsid w:val="001D2558"/>
    <w:rsid w:val="001D37A4"/>
    <w:rsid w:val="001D63ED"/>
    <w:rsid w:val="001D7348"/>
    <w:rsid w:val="001D78D1"/>
    <w:rsid w:val="001E0006"/>
    <w:rsid w:val="001E035B"/>
    <w:rsid w:val="001E0961"/>
    <w:rsid w:val="001E0B28"/>
    <w:rsid w:val="001E1FA4"/>
    <w:rsid w:val="001E2398"/>
    <w:rsid w:val="001E3EAE"/>
    <w:rsid w:val="001E56E7"/>
    <w:rsid w:val="001E65AB"/>
    <w:rsid w:val="001E6F32"/>
    <w:rsid w:val="001F2145"/>
    <w:rsid w:val="001F4B3A"/>
    <w:rsid w:val="001F6262"/>
    <w:rsid w:val="001F67B0"/>
    <w:rsid w:val="001F7B3D"/>
    <w:rsid w:val="00200643"/>
    <w:rsid w:val="00200C1A"/>
    <w:rsid w:val="00203F03"/>
    <w:rsid w:val="00205F9F"/>
    <w:rsid w:val="00206381"/>
    <w:rsid w:val="00210338"/>
    <w:rsid w:val="002115FC"/>
    <w:rsid w:val="0021423C"/>
    <w:rsid w:val="0021595B"/>
    <w:rsid w:val="00215E8D"/>
    <w:rsid w:val="00216247"/>
    <w:rsid w:val="002170FD"/>
    <w:rsid w:val="00220312"/>
    <w:rsid w:val="002206C7"/>
    <w:rsid w:val="00230D00"/>
    <w:rsid w:val="00230F6D"/>
    <w:rsid w:val="00231DF7"/>
    <w:rsid w:val="00231F49"/>
    <w:rsid w:val="00231FD1"/>
    <w:rsid w:val="00233471"/>
    <w:rsid w:val="002339E0"/>
    <w:rsid w:val="00233CF8"/>
    <w:rsid w:val="0023449E"/>
    <w:rsid w:val="00234507"/>
    <w:rsid w:val="0023575D"/>
    <w:rsid w:val="00237148"/>
    <w:rsid w:val="00240A3D"/>
    <w:rsid w:val="0024222D"/>
    <w:rsid w:val="0024286D"/>
    <w:rsid w:val="002433BE"/>
    <w:rsid w:val="00244B0E"/>
    <w:rsid w:val="00244F6C"/>
    <w:rsid w:val="002476EE"/>
    <w:rsid w:val="00252065"/>
    <w:rsid w:val="00252A54"/>
    <w:rsid w:val="002532C5"/>
    <w:rsid w:val="002566F0"/>
    <w:rsid w:val="00256A01"/>
    <w:rsid w:val="00257254"/>
    <w:rsid w:val="00257706"/>
    <w:rsid w:val="00260C03"/>
    <w:rsid w:val="0026540E"/>
    <w:rsid w:val="00270DC5"/>
    <w:rsid w:val="00272BCC"/>
    <w:rsid w:val="00274870"/>
    <w:rsid w:val="00275123"/>
    <w:rsid w:val="00276BEB"/>
    <w:rsid w:val="00280CCC"/>
    <w:rsid w:val="00282240"/>
    <w:rsid w:val="0028572A"/>
    <w:rsid w:val="0029061C"/>
    <w:rsid w:val="00292D85"/>
    <w:rsid w:val="002948AD"/>
    <w:rsid w:val="00294C92"/>
    <w:rsid w:val="002963C1"/>
    <w:rsid w:val="002A01CC"/>
    <w:rsid w:val="002A3CAA"/>
    <w:rsid w:val="002A61B1"/>
    <w:rsid w:val="002A663C"/>
    <w:rsid w:val="002A6D5C"/>
    <w:rsid w:val="002B0289"/>
    <w:rsid w:val="002B3BF0"/>
    <w:rsid w:val="002B444B"/>
    <w:rsid w:val="002B4FBF"/>
    <w:rsid w:val="002B5887"/>
    <w:rsid w:val="002C0692"/>
    <w:rsid w:val="002C0E27"/>
    <w:rsid w:val="002C3040"/>
    <w:rsid w:val="002D022D"/>
    <w:rsid w:val="002D24BB"/>
    <w:rsid w:val="002D4998"/>
    <w:rsid w:val="002D67EA"/>
    <w:rsid w:val="002F04AB"/>
    <w:rsid w:val="002F2AF7"/>
    <w:rsid w:val="002F7E1C"/>
    <w:rsid w:val="00301A75"/>
    <w:rsid w:val="00301F05"/>
    <w:rsid w:val="003023B0"/>
    <w:rsid w:val="00302F70"/>
    <w:rsid w:val="0030336F"/>
    <w:rsid w:val="0030375E"/>
    <w:rsid w:val="00310EC5"/>
    <w:rsid w:val="00310F8B"/>
    <w:rsid w:val="00312A30"/>
    <w:rsid w:val="00314CFF"/>
    <w:rsid w:val="00317C49"/>
    <w:rsid w:val="00320F72"/>
    <w:rsid w:val="00322CAF"/>
    <w:rsid w:val="0032463E"/>
    <w:rsid w:val="00324CAC"/>
    <w:rsid w:val="003253CC"/>
    <w:rsid w:val="00326224"/>
    <w:rsid w:val="0033029C"/>
    <w:rsid w:val="00331062"/>
    <w:rsid w:val="00335043"/>
    <w:rsid w:val="003352D1"/>
    <w:rsid w:val="003375BA"/>
    <w:rsid w:val="00337EE4"/>
    <w:rsid w:val="00340FFD"/>
    <w:rsid w:val="003416CE"/>
    <w:rsid w:val="00344A3B"/>
    <w:rsid w:val="003506B1"/>
    <w:rsid w:val="00352546"/>
    <w:rsid w:val="00352FFB"/>
    <w:rsid w:val="003536CF"/>
    <w:rsid w:val="00356AC7"/>
    <w:rsid w:val="003609FA"/>
    <w:rsid w:val="00361A8D"/>
    <w:rsid w:val="00361EAF"/>
    <w:rsid w:val="0036248D"/>
    <w:rsid w:val="00365BC8"/>
    <w:rsid w:val="003710C8"/>
    <w:rsid w:val="003716D3"/>
    <w:rsid w:val="00371AFC"/>
    <w:rsid w:val="003750BE"/>
    <w:rsid w:val="00375B37"/>
    <w:rsid w:val="00376DFE"/>
    <w:rsid w:val="003816C2"/>
    <w:rsid w:val="0038173F"/>
    <w:rsid w:val="00385C79"/>
    <w:rsid w:val="00386486"/>
    <w:rsid w:val="00387B9D"/>
    <w:rsid w:val="0039364F"/>
    <w:rsid w:val="0039498B"/>
    <w:rsid w:val="00395849"/>
    <w:rsid w:val="00396686"/>
    <w:rsid w:val="0039778E"/>
    <w:rsid w:val="00397CA0"/>
    <w:rsid w:val="003A6F35"/>
    <w:rsid w:val="003B0D25"/>
    <w:rsid w:val="003B1D87"/>
    <w:rsid w:val="003B309B"/>
    <w:rsid w:val="003B3FFE"/>
    <w:rsid w:val="003B4941"/>
    <w:rsid w:val="003B57F8"/>
    <w:rsid w:val="003B5EEE"/>
    <w:rsid w:val="003B6DEB"/>
    <w:rsid w:val="003C15AF"/>
    <w:rsid w:val="003C1FB4"/>
    <w:rsid w:val="003C393A"/>
    <w:rsid w:val="003C5714"/>
    <w:rsid w:val="003C634C"/>
    <w:rsid w:val="003C666E"/>
    <w:rsid w:val="003C6B9F"/>
    <w:rsid w:val="003C6E2A"/>
    <w:rsid w:val="003D0299"/>
    <w:rsid w:val="003D1F1A"/>
    <w:rsid w:val="003D2D72"/>
    <w:rsid w:val="003D3B0B"/>
    <w:rsid w:val="003D6394"/>
    <w:rsid w:val="003E38F8"/>
    <w:rsid w:val="003E4B6A"/>
    <w:rsid w:val="003E6A0D"/>
    <w:rsid w:val="003E6D80"/>
    <w:rsid w:val="003E72D0"/>
    <w:rsid w:val="003F05FA"/>
    <w:rsid w:val="003F244A"/>
    <w:rsid w:val="003F30B8"/>
    <w:rsid w:val="003F4644"/>
    <w:rsid w:val="003F4C45"/>
    <w:rsid w:val="003F5F7B"/>
    <w:rsid w:val="003F722E"/>
    <w:rsid w:val="003F7371"/>
    <w:rsid w:val="003F7D64"/>
    <w:rsid w:val="00405FAE"/>
    <w:rsid w:val="0040625F"/>
    <w:rsid w:val="004066EA"/>
    <w:rsid w:val="004113DC"/>
    <w:rsid w:val="00412CC8"/>
    <w:rsid w:val="00413F8C"/>
    <w:rsid w:val="00414300"/>
    <w:rsid w:val="00414F80"/>
    <w:rsid w:val="004214EC"/>
    <w:rsid w:val="00425C67"/>
    <w:rsid w:val="00425CCF"/>
    <w:rsid w:val="00425CF6"/>
    <w:rsid w:val="00427E7A"/>
    <w:rsid w:val="0043122E"/>
    <w:rsid w:val="0043226E"/>
    <w:rsid w:val="00433810"/>
    <w:rsid w:val="00434AB8"/>
    <w:rsid w:val="00436307"/>
    <w:rsid w:val="004366BA"/>
    <w:rsid w:val="00436C49"/>
    <w:rsid w:val="00441139"/>
    <w:rsid w:val="00445366"/>
    <w:rsid w:val="00445BBC"/>
    <w:rsid w:val="004464CF"/>
    <w:rsid w:val="00447F5B"/>
    <w:rsid w:val="00450864"/>
    <w:rsid w:val="00451491"/>
    <w:rsid w:val="004545D1"/>
    <w:rsid w:val="0045618C"/>
    <w:rsid w:val="00461DB0"/>
    <w:rsid w:val="00463926"/>
    <w:rsid w:val="004646E0"/>
    <w:rsid w:val="00464C9A"/>
    <w:rsid w:val="004747C9"/>
    <w:rsid w:val="00474F3D"/>
    <w:rsid w:val="00477E3A"/>
    <w:rsid w:val="004831D1"/>
    <w:rsid w:val="00483E5F"/>
    <w:rsid w:val="004845CB"/>
    <w:rsid w:val="0048503A"/>
    <w:rsid w:val="00485FF9"/>
    <w:rsid w:val="004907F0"/>
    <w:rsid w:val="00490A4A"/>
    <w:rsid w:val="0049140B"/>
    <w:rsid w:val="004923A5"/>
    <w:rsid w:val="00495BCB"/>
    <w:rsid w:val="00496576"/>
    <w:rsid w:val="00496BFB"/>
    <w:rsid w:val="00496DF3"/>
    <w:rsid w:val="0049721D"/>
    <w:rsid w:val="00497CC1"/>
    <w:rsid w:val="004A15C7"/>
    <w:rsid w:val="004A370F"/>
    <w:rsid w:val="004A49B2"/>
    <w:rsid w:val="004A7135"/>
    <w:rsid w:val="004B013B"/>
    <w:rsid w:val="004B112B"/>
    <w:rsid w:val="004B2E22"/>
    <w:rsid w:val="004B4714"/>
    <w:rsid w:val="004B5A80"/>
    <w:rsid w:val="004B7BCE"/>
    <w:rsid w:val="004C01E4"/>
    <w:rsid w:val="004C086C"/>
    <w:rsid w:val="004C1F56"/>
    <w:rsid w:val="004C27BC"/>
    <w:rsid w:val="004C3D63"/>
    <w:rsid w:val="004C3DEE"/>
    <w:rsid w:val="004C421D"/>
    <w:rsid w:val="004C7FD3"/>
    <w:rsid w:val="004D15F3"/>
    <w:rsid w:val="004D2262"/>
    <w:rsid w:val="004D4020"/>
    <w:rsid w:val="004D5311"/>
    <w:rsid w:val="004D5DCC"/>
    <w:rsid w:val="004E0F9D"/>
    <w:rsid w:val="004F0B10"/>
    <w:rsid w:val="004F10AF"/>
    <w:rsid w:val="004F11A4"/>
    <w:rsid w:val="004F2389"/>
    <w:rsid w:val="004F304D"/>
    <w:rsid w:val="004F50A0"/>
    <w:rsid w:val="004F5AA7"/>
    <w:rsid w:val="004F61BE"/>
    <w:rsid w:val="004F66B1"/>
    <w:rsid w:val="005007B9"/>
    <w:rsid w:val="0050332D"/>
    <w:rsid w:val="00503FD6"/>
    <w:rsid w:val="005059F4"/>
    <w:rsid w:val="0050758C"/>
    <w:rsid w:val="00511C07"/>
    <w:rsid w:val="00515C7B"/>
    <w:rsid w:val="005173A6"/>
    <w:rsid w:val="00520BAA"/>
    <w:rsid w:val="005233E9"/>
    <w:rsid w:val="00524423"/>
    <w:rsid w:val="00525208"/>
    <w:rsid w:val="005257A5"/>
    <w:rsid w:val="00525DF7"/>
    <w:rsid w:val="005264C0"/>
    <w:rsid w:val="00526A8A"/>
    <w:rsid w:val="00531DF2"/>
    <w:rsid w:val="005442EE"/>
    <w:rsid w:val="00544C3E"/>
    <w:rsid w:val="00546574"/>
    <w:rsid w:val="00546A34"/>
    <w:rsid w:val="00547353"/>
    <w:rsid w:val="005474E7"/>
    <w:rsid w:val="005512A3"/>
    <w:rsid w:val="005578CE"/>
    <w:rsid w:val="00561CB8"/>
    <w:rsid w:val="00562781"/>
    <w:rsid w:val="00563E83"/>
    <w:rsid w:val="005650D6"/>
    <w:rsid w:val="005659A3"/>
    <w:rsid w:val="005670E3"/>
    <w:rsid w:val="005716B1"/>
    <w:rsid w:val="0057271C"/>
    <w:rsid w:val="00572845"/>
    <w:rsid w:val="0057446E"/>
    <w:rsid w:val="00574BBA"/>
    <w:rsid w:val="005872EF"/>
    <w:rsid w:val="00592251"/>
    <w:rsid w:val="00592772"/>
    <w:rsid w:val="0059509A"/>
    <w:rsid w:val="0059574A"/>
    <w:rsid w:val="00596467"/>
    <w:rsid w:val="005A0DDF"/>
    <w:rsid w:val="005A12C7"/>
    <w:rsid w:val="005A1B9B"/>
    <w:rsid w:val="005A460D"/>
    <w:rsid w:val="005A5C11"/>
    <w:rsid w:val="005A5CD8"/>
    <w:rsid w:val="005A6751"/>
    <w:rsid w:val="005B092E"/>
    <w:rsid w:val="005B0F2B"/>
    <w:rsid w:val="005B152C"/>
    <w:rsid w:val="005B1EE0"/>
    <w:rsid w:val="005B2050"/>
    <w:rsid w:val="005B2B24"/>
    <w:rsid w:val="005B3A5C"/>
    <w:rsid w:val="005B4425"/>
    <w:rsid w:val="005B4B94"/>
    <w:rsid w:val="005B4EA8"/>
    <w:rsid w:val="005C0267"/>
    <w:rsid w:val="005C3EE8"/>
    <w:rsid w:val="005C62CA"/>
    <w:rsid w:val="005D16CD"/>
    <w:rsid w:val="005D34F9"/>
    <w:rsid w:val="005D4190"/>
    <w:rsid w:val="005D4E25"/>
    <w:rsid w:val="005D67A3"/>
    <w:rsid w:val="005D705C"/>
    <w:rsid w:val="005E02AF"/>
    <w:rsid w:val="005E1A7D"/>
    <w:rsid w:val="005E28ED"/>
    <w:rsid w:val="005E2988"/>
    <w:rsid w:val="005E2A43"/>
    <w:rsid w:val="005E3085"/>
    <w:rsid w:val="005E35DE"/>
    <w:rsid w:val="005E427A"/>
    <w:rsid w:val="005E5AA8"/>
    <w:rsid w:val="005E635B"/>
    <w:rsid w:val="005E6BA3"/>
    <w:rsid w:val="005F087F"/>
    <w:rsid w:val="005F51E1"/>
    <w:rsid w:val="005F64DD"/>
    <w:rsid w:val="005F6EE5"/>
    <w:rsid w:val="00600D71"/>
    <w:rsid w:val="0060187B"/>
    <w:rsid w:val="00601EA8"/>
    <w:rsid w:val="00601F67"/>
    <w:rsid w:val="0060251B"/>
    <w:rsid w:val="00610FF7"/>
    <w:rsid w:val="00611C80"/>
    <w:rsid w:val="00611DE8"/>
    <w:rsid w:val="00612298"/>
    <w:rsid w:val="00613183"/>
    <w:rsid w:val="00613F41"/>
    <w:rsid w:val="00614226"/>
    <w:rsid w:val="006147D8"/>
    <w:rsid w:val="00615B2A"/>
    <w:rsid w:val="00620642"/>
    <w:rsid w:val="00620692"/>
    <w:rsid w:val="0062166A"/>
    <w:rsid w:val="006217A2"/>
    <w:rsid w:val="006242CA"/>
    <w:rsid w:val="00627507"/>
    <w:rsid w:val="00627A17"/>
    <w:rsid w:val="00630FEE"/>
    <w:rsid w:val="00631BA0"/>
    <w:rsid w:val="00633717"/>
    <w:rsid w:val="006344E1"/>
    <w:rsid w:val="00634CB5"/>
    <w:rsid w:val="00636BB3"/>
    <w:rsid w:val="00643606"/>
    <w:rsid w:val="00643BF4"/>
    <w:rsid w:val="006466EF"/>
    <w:rsid w:val="00651C98"/>
    <w:rsid w:val="00652CFB"/>
    <w:rsid w:val="00653917"/>
    <w:rsid w:val="006545C4"/>
    <w:rsid w:val="00657183"/>
    <w:rsid w:val="00661971"/>
    <w:rsid w:val="00661CE8"/>
    <w:rsid w:val="006623D9"/>
    <w:rsid w:val="006627C6"/>
    <w:rsid w:val="00665003"/>
    <w:rsid w:val="0066516F"/>
    <w:rsid w:val="0066550C"/>
    <w:rsid w:val="00665829"/>
    <w:rsid w:val="00667063"/>
    <w:rsid w:val="006716F2"/>
    <w:rsid w:val="00673244"/>
    <w:rsid w:val="006745B4"/>
    <w:rsid w:val="00675DDA"/>
    <w:rsid w:val="00676B21"/>
    <w:rsid w:val="00677808"/>
    <w:rsid w:val="00681846"/>
    <w:rsid w:val="00682BF2"/>
    <w:rsid w:val="006859CE"/>
    <w:rsid w:val="006862F3"/>
    <w:rsid w:val="00691270"/>
    <w:rsid w:val="00694BA8"/>
    <w:rsid w:val="00695419"/>
    <w:rsid w:val="006A037C"/>
    <w:rsid w:val="006A11D9"/>
    <w:rsid w:val="006A36F4"/>
    <w:rsid w:val="006A383D"/>
    <w:rsid w:val="006A406F"/>
    <w:rsid w:val="006A5D3A"/>
    <w:rsid w:val="006B0134"/>
    <w:rsid w:val="006B0288"/>
    <w:rsid w:val="006B0F94"/>
    <w:rsid w:val="006B2704"/>
    <w:rsid w:val="006B6467"/>
    <w:rsid w:val="006B671D"/>
    <w:rsid w:val="006B6CF1"/>
    <w:rsid w:val="006B7990"/>
    <w:rsid w:val="006C23D4"/>
    <w:rsid w:val="006C2BDA"/>
    <w:rsid w:val="006C4D04"/>
    <w:rsid w:val="006C603D"/>
    <w:rsid w:val="006C68BF"/>
    <w:rsid w:val="006C7BB0"/>
    <w:rsid w:val="006D076C"/>
    <w:rsid w:val="006D242C"/>
    <w:rsid w:val="006D3237"/>
    <w:rsid w:val="006D5619"/>
    <w:rsid w:val="006E2E37"/>
    <w:rsid w:val="006E3CF1"/>
    <w:rsid w:val="006E40B0"/>
    <w:rsid w:val="006E65FD"/>
    <w:rsid w:val="006E7483"/>
    <w:rsid w:val="006E7E80"/>
    <w:rsid w:val="006F1B4F"/>
    <w:rsid w:val="006F1DF9"/>
    <w:rsid w:val="006F2D46"/>
    <w:rsid w:val="006F3CDE"/>
    <w:rsid w:val="006F48CA"/>
    <w:rsid w:val="006F64DD"/>
    <w:rsid w:val="0070242B"/>
    <w:rsid w:val="00712EAD"/>
    <w:rsid w:val="00715127"/>
    <w:rsid w:val="00715E8E"/>
    <w:rsid w:val="00717C68"/>
    <w:rsid w:val="00723580"/>
    <w:rsid w:val="00723755"/>
    <w:rsid w:val="0072472F"/>
    <w:rsid w:val="00724CD5"/>
    <w:rsid w:val="0073136C"/>
    <w:rsid w:val="00731F0F"/>
    <w:rsid w:val="00733250"/>
    <w:rsid w:val="00735146"/>
    <w:rsid w:val="00741404"/>
    <w:rsid w:val="00742C3B"/>
    <w:rsid w:val="007439AC"/>
    <w:rsid w:val="007449E5"/>
    <w:rsid w:val="00745D96"/>
    <w:rsid w:val="00746C5A"/>
    <w:rsid w:val="00747FF0"/>
    <w:rsid w:val="007524B5"/>
    <w:rsid w:val="00755B53"/>
    <w:rsid w:val="00755B74"/>
    <w:rsid w:val="007621B5"/>
    <w:rsid w:val="00764D4E"/>
    <w:rsid w:val="00764EEB"/>
    <w:rsid w:val="00765A1F"/>
    <w:rsid w:val="00767ED1"/>
    <w:rsid w:val="00771195"/>
    <w:rsid w:val="00771648"/>
    <w:rsid w:val="00775B6D"/>
    <w:rsid w:val="00776D68"/>
    <w:rsid w:val="007812E2"/>
    <w:rsid w:val="00782ACA"/>
    <w:rsid w:val="00782DBE"/>
    <w:rsid w:val="00784530"/>
    <w:rsid w:val="00785040"/>
    <w:rsid w:val="007850EE"/>
    <w:rsid w:val="00785B95"/>
    <w:rsid w:val="00790E96"/>
    <w:rsid w:val="00791397"/>
    <w:rsid w:val="00793366"/>
    <w:rsid w:val="007935AB"/>
    <w:rsid w:val="00793839"/>
    <w:rsid w:val="00793B18"/>
    <w:rsid w:val="0079489B"/>
    <w:rsid w:val="00794B81"/>
    <w:rsid w:val="007971B9"/>
    <w:rsid w:val="007A19AF"/>
    <w:rsid w:val="007A26FE"/>
    <w:rsid w:val="007A35D9"/>
    <w:rsid w:val="007A3FDB"/>
    <w:rsid w:val="007A44A3"/>
    <w:rsid w:val="007A716F"/>
    <w:rsid w:val="007B15EC"/>
    <w:rsid w:val="007B270A"/>
    <w:rsid w:val="007B2843"/>
    <w:rsid w:val="007B3D96"/>
    <w:rsid w:val="007B5152"/>
    <w:rsid w:val="007B7C0F"/>
    <w:rsid w:val="007C0695"/>
    <w:rsid w:val="007C18DF"/>
    <w:rsid w:val="007C419A"/>
    <w:rsid w:val="007C4CC8"/>
    <w:rsid w:val="007C5426"/>
    <w:rsid w:val="007C5798"/>
    <w:rsid w:val="007D4551"/>
    <w:rsid w:val="007D4832"/>
    <w:rsid w:val="007E21B2"/>
    <w:rsid w:val="007E2C4E"/>
    <w:rsid w:val="007E43E4"/>
    <w:rsid w:val="007E5F0D"/>
    <w:rsid w:val="007E642B"/>
    <w:rsid w:val="007F1905"/>
    <w:rsid w:val="007F588A"/>
    <w:rsid w:val="00801300"/>
    <w:rsid w:val="0080211E"/>
    <w:rsid w:val="00802C64"/>
    <w:rsid w:val="008036A0"/>
    <w:rsid w:val="00803947"/>
    <w:rsid w:val="0080547F"/>
    <w:rsid w:val="00805E52"/>
    <w:rsid w:val="008061D0"/>
    <w:rsid w:val="0080678B"/>
    <w:rsid w:val="0081095D"/>
    <w:rsid w:val="00810B38"/>
    <w:rsid w:val="00816055"/>
    <w:rsid w:val="008165F4"/>
    <w:rsid w:val="008204C7"/>
    <w:rsid w:val="00820992"/>
    <w:rsid w:val="00823602"/>
    <w:rsid w:val="008255F5"/>
    <w:rsid w:val="0083014E"/>
    <w:rsid w:val="008308CC"/>
    <w:rsid w:val="0083214A"/>
    <w:rsid w:val="00832E00"/>
    <w:rsid w:val="008333F2"/>
    <w:rsid w:val="00834220"/>
    <w:rsid w:val="00835074"/>
    <w:rsid w:val="00840873"/>
    <w:rsid w:val="00844633"/>
    <w:rsid w:val="00844AFD"/>
    <w:rsid w:val="00845723"/>
    <w:rsid w:val="00846EB5"/>
    <w:rsid w:val="00851EF9"/>
    <w:rsid w:val="00853B75"/>
    <w:rsid w:val="00856333"/>
    <w:rsid w:val="00856781"/>
    <w:rsid w:val="008577FD"/>
    <w:rsid w:val="008605CD"/>
    <w:rsid w:val="00860B03"/>
    <w:rsid w:val="0086242F"/>
    <w:rsid w:val="00862FC1"/>
    <w:rsid w:val="0086497A"/>
    <w:rsid w:val="00867F69"/>
    <w:rsid w:val="00870128"/>
    <w:rsid w:val="008713A1"/>
    <w:rsid w:val="008754AB"/>
    <w:rsid w:val="0088060C"/>
    <w:rsid w:val="00880C90"/>
    <w:rsid w:val="0088277E"/>
    <w:rsid w:val="00884696"/>
    <w:rsid w:val="00887629"/>
    <w:rsid w:val="00892369"/>
    <w:rsid w:val="00893576"/>
    <w:rsid w:val="00893E73"/>
    <w:rsid w:val="0089402D"/>
    <w:rsid w:val="0089562F"/>
    <w:rsid w:val="008A21B9"/>
    <w:rsid w:val="008A43C4"/>
    <w:rsid w:val="008A4DBA"/>
    <w:rsid w:val="008B02DC"/>
    <w:rsid w:val="008B09D3"/>
    <w:rsid w:val="008B57CE"/>
    <w:rsid w:val="008B659F"/>
    <w:rsid w:val="008B767F"/>
    <w:rsid w:val="008B7742"/>
    <w:rsid w:val="008C26DE"/>
    <w:rsid w:val="008C3BDA"/>
    <w:rsid w:val="008C5325"/>
    <w:rsid w:val="008C6BF3"/>
    <w:rsid w:val="008D0F9D"/>
    <w:rsid w:val="008D17BD"/>
    <w:rsid w:val="008D2225"/>
    <w:rsid w:val="008D4752"/>
    <w:rsid w:val="008E1E9D"/>
    <w:rsid w:val="008E271C"/>
    <w:rsid w:val="008E418E"/>
    <w:rsid w:val="008E4826"/>
    <w:rsid w:val="008E49F0"/>
    <w:rsid w:val="008E5BC6"/>
    <w:rsid w:val="008E6A25"/>
    <w:rsid w:val="008F43BF"/>
    <w:rsid w:val="008F5193"/>
    <w:rsid w:val="008F7B93"/>
    <w:rsid w:val="009013A7"/>
    <w:rsid w:val="009017FB"/>
    <w:rsid w:val="009017FC"/>
    <w:rsid w:val="00903B43"/>
    <w:rsid w:val="009044DF"/>
    <w:rsid w:val="0090506B"/>
    <w:rsid w:val="009050C9"/>
    <w:rsid w:val="0090601A"/>
    <w:rsid w:val="009066FC"/>
    <w:rsid w:val="00913A56"/>
    <w:rsid w:val="009140A3"/>
    <w:rsid w:val="009144A2"/>
    <w:rsid w:val="0091510C"/>
    <w:rsid w:val="00915345"/>
    <w:rsid w:val="009214E8"/>
    <w:rsid w:val="009250AE"/>
    <w:rsid w:val="009259AC"/>
    <w:rsid w:val="009261F7"/>
    <w:rsid w:val="00926F38"/>
    <w:rsid w:val="0092756B"/>
    <w:rsid w:val="009317D6"/>
    <w:rsid w:val="00934301"/>
    <w:rsid w:val="00935117"/>
    <w:rsid w:val="009353D2"/>
    <w:rsid w:val="0093559C"/>
    <w:rsid w:val="00936CD1"/>
    <w:rsid w:val="00936F4B"/>
    <w:rsid w:val="00940E54"/>
    <w:rsid w:val="00941747"/>
    <w:rsid w:val="00941EFB"/>
    <w:rsid w:val="00943688"/>
    <w:rsid w:val="00944151"/>
    <w:rsid w:val="00947506"/>
    <w:rsid w:val="00947AFB"/>
    <w:rsid w:val="009518A5"/>
    <w:rsid w:val="00951B18"/>
    <w:rsid w:val="00951D7D"/>
    <w:rsid w:val="00955B00"/>
    <w:rsid w:val="0095662C"/>
    <w:rsid w:val="00957052"/>
    <w:rsid w:val="00957A24"/>
    <w:rsid w:val="00957E11"/>
    <w:rsid w:val="00957F12"/>
    <w:rsid w:val="00960A07"/>
    <w:rsid w:val="009630C7"/>
    <w:rsid w:val="00972B55"/>
    <w:rsid w:val="009743B7"/>
    <w:rsid w:val="0098228B"/>
    <w:rsid w:val="009828DA"/>
    <w:rsid w:val="00985BAB"/>
    <w:rsid w:val="00987995"/>
    <w:rsid w:val="00991108"/>
    <w:rsid w:val="00995A71"/>
    <w:rsid w:val="009A1759"/>
    <w:rsid w:val="009A57DA"/>
    <w:rsid w:val="009B1283"/>
    <w:rsid w:val="009B1B5F"/>
    <w:rsid w:val="009B218A"/>
    <w:rsid w:val="009B2EC2"/>
    <w:rsid w:val="009B6673"/>
    <w:rsid w:val="009B6F2C"/>
    <w:rsid w:val="009C159D"/>
    <w:rsid w:val="009C191B"/>
    <w:rsid w:val="009C2BD6"/>
    <w:rsid w:val="009C2C6F"/>
    <w:rsid w:val="009D222D"/>
    <w:rsid w:val="009E0F6A"/>
    <w:rsid w:val="009E16F2"/>
    <w:rsid w:val="009E1F32"/>
    <w:rsid w:val="009E1FF6"/>
    <w:rsid w:val="009E55EF"/>
    <w:rsid w:val="009E5829"/>
    <w:rsid w:val="009E776C"/>
    <w:rsid w:val="00A008C2"/>
    <w:rsid w:val="00A03563"/>
    <w:rsid w:val="00A07453"/>
    <w:rsid w:val="00A15BFE"/>
    <w:rsid w:val="00A1726E"/>
    <w:rsid w:val="00A204CF"/>
    <w:rsid w:val="00A22274"/>
    <w:rsid w:val="00A2372E"/>
    <w:rsid w:val="00A23D49"/>
    <w:rsid w:val="00A27004"/>
    <w:rsid w:val="00A30C29"/>
    <w:rsid w:val="00A32356"/>
    <w:rsid w:val="00A34DD6"/>
    <w:rsid w:val="00A36819"/>
    <w:rsid w:val="00A36989"/>
    <w:rsid w:val="00A40D9A"/>
    <w:rsid w:val="00A43628"/>
    <w:rsid w:val="00A45853"/>
    <w:rsid w:val="00A45F33"/>
    <w:rsid w:val="00A529B9"/>
    <w:rsid w:val="00A54192"/>
    <w:rsid w:val="00A55C7A"/>
    <w:rsid w:val="00A6035E"/>
    <w:rsid w:val="00A6102B"/>
    <w:rsid w:val="00A61237"/>
    <w:rsid w:val="00A6144C"/>
    <w:rsid w:val="00A64EA6"/>
    <w:rsid w:val="00A66617"/>
    <w:rsid w:val="00A669A9"/>
    <w:rsid w:val="00A671F8"/>
    <w:rsid w:val="00A673A4"/>
    <w:rsid w:val="00A675F3"/>
    <w:rsid w:val="00A71768"/>
    <w:rsid w:val="00A724AE"/>
    <w:rsid w:val="00A72793"/>
    <w:rsid w:val="00A73329"/>
    <w:rsid w:val="00A747DA"/>
    <w:rsid w:val="00A77174"/>
    <w:rsid w:val="00A77B5A"/>
    <w:rsid w:val="00A82359"/>
    <w:rsid w:val="00A865D2"/>
    <w:rsid w:val="00A90654"/>
    <w:rsid w:val="00A94C20"/>
    <w:rsid w:val="00A95209"/>
    <w:rsid w:val="00AA0875"/>
    <w:rsid w:val="00AA227F"/>
    <w:rsid w:val="00AA284A"/>
    <w:rsid w:val="00AA3BC7"/>
    <w:rsid w:val="00AA6AF7"/>
    <w:rsid w:val="00AA754A"/>
    <w:rsid w:val="00AB099E"/>
    <w:rsid w:val="00AB10CE"/>
    <w:rsid w:val="00AB22A4"/>
    <w:rsid w:val="00AB4328"/>
    <w:rsid w:val="00AC0B08"/>
    <w:rsid w:val="00AC113E"/>
    <w:rsid w:val="00AC41B1"/>
    <w:rsid w:val="00AC6011"/>
    <w:rsid w:val="00AC66E5"/>
    <w:rsid w:val="00AC6DDE"/>
    <w:rsid w:val="00AD0A24"/>
    <w:rsid w:val="00AD55FC"/>
    <w:rsid w:val="00AE0A2E"/>
    <w:rsid w:val="00AE354C"/>
    <w:rsid w:val="00AE43C8"/>
    <w:rsid w:val="00AE5F00"/>
    <w:rsid w:val="00AE622C"/>
    <w:rsid w:val="00AE7E1C"/>
    <w:rsid w:val="00AE7FA8"/>
    <w:rsid w:val="00AF08E4"/>
    <w:rsid w:val="00AF35B8"/>
    <w:rsid w:val="00AF4B07"/>
    <w:rsid w:val="00AF524C"/>
    <w:rsid w:val="00AF6186"/>
    <w:rsid w:val="00AF7A3A"/>
    <w:rsid w:val="00B00E8C"/>
    <w:rsid w:val="00B01607"/>
    <w:rsid w:val="00B0183F"/>
    <w:rsid w:val="00B03883"/>
    <w:rsid w:val="00B05686"/>
    <w:rsid w:val="00B06D9E"/>
    <w:rsid w:val="00B07065"/>
    <w:rsid w:val="00B07208"/>
    <w:rsid w:val="00B12C5A"/>
    <w:rsid w:val="00B145B2"/>
    <w:rsid w:val="00B160DB"/>
    <w:rsid w:val="00B20836"/>
    <w:rsid w:val="00B2348F"/>
    <w:rsid w:val="00B235BB"/>
    <w:rsid w:val="00B27A44"/>
    <w:rsid w:val="00B30BBF"/>
    <w:rsid w:val="00B32AEF"/>
    <w:rsid w:val="00B33C03"/>
    <w:rsid w:val="00B35AC3"/>
    <w:rsid w:val="00B361EB"/>
    <w:rsid w:val="00B43051"/>
    <w:rsid w:val="00B44E56"/>
    <w:rsid w:val="00B457B8"/>
    <w:rsid w:val="00B46543"/>
    <w:rsid w:val="00B47D33"/>
    <w:rsid w:val="00B51B22"/>
    <w:rsid w:val="00B522EE"/>
    <w:rsid w:val="00B52BE0"/>
    <w:rsid w:val="00B54133"/>
    <w:rsid w:val="00B55371"/>
    <w:rsid w:val="00B56F37"/>
    <w:rsid w:val="00B701ED"/>
    <w:rsid w:val="00B70460"/>
    <w:rsid w:val="00B71E5F"/>
    <w:rsid w:val="00B72678"/>
    <w:rsid w:val="00B727BC"/>
    <w:rsid w:val="00B76F01"/>
    <w:rsid w:val="00B77B94"/>
    <w:rsid w:val="00B8086C"/>
    <w:rsid w:val="00B853F8"/>
    <w:rsid w:val="00B85B5E"/>
    <w:rsid w:val="00B861B4"/>
    <w:rsid w:val="00B86DFE"/>
    <w:rsid w:val="00B87192"/>
    <w:rsid w:val="00B90990"/>
    <w:rsid w:val="00B91044"/>
    <w:rsid w:val="00B91641"/>
    <w:rsid w:val="00B91C76"/>
    <w:rsid w:val="00B922FF"/>
    <w:rsid w:val="00B9281E"/>
    <w:rsid w:val="00B93844"/>
    <w:rsid w:val="00B93925"/>
    <w:rsid w:val="00B95187"/>
    <w:rsid w:val="00BA0E22"/>
    <w:rsid w:val="00BA2D55"/>
    <w:rsid w:val="00BA6AB3"/>
    <w:rsid w:val="00BA71B1"/>
    <w:rsid w:val="00BB0637"/>
    <w:rsid w:val="00BB08E0"/>
    <w:rsid w:val="00BB2027"/>
    <w:rsid w:val="00BB28D0"/>
    <w:rsid w:val="00BB345F"/>
    <w:rsid w:val="00BB5883"/>
    <w:rsid w:val="00BB68EA"/>
    <w:rsid w:val="00BC1C27"/>
    <w:rsid w:val="00BC2276"/>
    <w:rsid w:val="00BC4EC7"/>
    <w:rsid w:val="00BC6BBF"/>
    <w:rsid w:val="00BD1572"/>
    <w:rsid w:val="00BD1C2F"/>
    <w:rsid w:val="00BD2E1B"/>
    <w:rsid w:val="00BD6A27"/>
    <w:rsid w:val="00BE14E3"/>
    <w:rsid w:val="00BE3774"/>
    <w:rsid w:val="00BE41E5"/>
    <w:rsid w:val="00BE70E7"/>
    <w:rsid w:val="00BE7EC8"/>
    <w:rsid w:val="00BF149E"/>
    <w:rsid w:val="00BF2408"/>
    <w:rsid w:val="00BF4109"/>
    <w:rsid w:val="00BF4CC3"/>
    <w:rsid w:val="00BF75B8"/>
    <w:rsid w:val="00C04E09"/>
    <w:rsid w:val="00C054C7"/>
    <w:rsid w:val="00C057B5"/>
    <w:rsid w:val="00C072FF"/>
    <w:rsid w:val="00C22687"/>
    <w:rsid w:val="00C278C1"/>
    <w:rsid w:val="00C32CA5"/>
    <w:rsid w:val="00C32E4D"/>
    <w:rsid w:val="00C333A0"/>
    <w:rsid w:val="00C36A81"/>
    <w:rsid w:val="00C41974"/>
    <w:rsid w:val="00C432C6"/>
    <w:rsid w:val="00C447AD"/>
    <w:rsid w:val="00C46B85"/>
    <w:rsid w:val="00C51E94"/>
    <w:rsid w:val="00C53F4A"/>
    <w:rsid w:val="00C54125"/>
    <w:rsid w:val="00C546B1"/>
    <w:rsid w:val="00C552FC"/>
    <w:rsid w:val="00C55AAE"/>
    <w:rsid w:val="00C55B54"/>
    <w:rsid w:val="00C5662A"/>
    <w:rsid w:val="00C57125"/>
    <w:rsid w:val="00C57975"/>
    <w:rsid w:val="00C6098E"/>
    <w:rsid w:val="00C6152C"/>
    <w:rsid w:val="00C621C2"/>
    <w:rsid w:val="00C6284C"/>
    <w:rsid w:val="00C632F9"/>
    <w:rsid w:val="00C65FA9"/>
    <w:rsid w:val="00C73E4E"/>
    <w:rsid w:val="00C74810"/>
    <w:rsid w:val="00C767BC"/>
    <w:rsid w:val="00C76E0F"/>
    <w:rsid w:val="00C90D68"/>
    <w:rsid w:val="00C939FE"/>
    <w:rsid w:val="00CA3E72"/>
    <w:rsid w:val="00CA4BDA"/>
    <w:rsid w:val="00CB1F66"/>
    <w:rsid w:val="00CB2951"/>
    <w:rsid w:val="00CB66AF"/>
    <w:rsid w:val="00CC166C"/>
    <w:rsid w:val="00CC5826"/>
    <w:rsid w:val="00CC5C28"/>
    <w:rsid w:val="00CC6CC8"/>
    <w:rsid w:val="00CD1164"/>
    <w:rsid w:val="00CD282B"/>
    <w:rsid w:val="00CD2A28"/>
    <w:rsid w:val="00CD34DC"/>
    <w:rsid w:val="00CD4C35"/>
    <w:rsid w:val="00CD7369"/>
    <w:rsid w:val="00CD799E"/>
    <w:rsid w:val="00CE0B0E"/>
    <w:rsid w:val="00CE259D"/>
    <w:rsid w:val="00CE3831"/>
    <w:rsid w:val="00CE5495"/>
    <w:rsid w:val="00CF1028"/>
    <w:rsid w:val="00CF316C"/>
    <w:rsid w:val="00CF71E1"/>
    <w:rsid w:val="00D00ABB"/>
    <w:rsid w:val="00D02EEC"/>
    <w:rsid w:val="00D03551"/>
    <w:rsid w:val="00D06108"/>
    <w:rsid w:val="00D06A63"/>
    <w:rsid w:val="00D07E0E"/>
    <w:rsid w:val="00D11478"/>
    <w:rsid w:val="00D12975"/>
    <w:rsid w:val="00D14792"/>
    <w:rsid w:val="00D1588B"/>
    <w:rsid w:val="00D15ED0"/>
    <w:rsid w:val="00D206CC"/>
    <w:rsid w:val="00D21B3E"/>
    <w:rsid w:val="00D21FED"/>
    <w:rsid w:val="00D22179"/>
    <w:rsid w:val="00D22516"/>
    <w:rsid w:val="00D24251"/>
    <w:rsid w:val="00D244F1"/>
    <w:rsid w:val="00D26495"/>
    <w:rsid w:val="00D343E2"/>
    <w:rsid w:val="00D357AD"/>
    <w:rsid w:val="00D35E2E"/>
    <w:rsid w:val="00D360FD"/>
    <w:rsid w:val="00D361A2"/>
    <w:rsid w:val="00D36996"/>
    <w:rsid w:val="00D41AC3"/>
    <w:rsid w:val="00D42071"/>
    <w:rsid w:val="00D43EF8"/>
    <w:rsid w:val="00D44C2E"/>
    <w:rsid w:val="00D44CDF"/>
    <w:rsid w:val="00D452AB"/>
    <w:rsid w:val="00D45414"/>
    <w:rsid w:val="00D46A53"/>
    <w:rsid w:val="00D53837"/>
    <w:rsid w:val="00D541E4"/>
    <w:rsid w:val="00D54D5D"/>
    <w:rsid w:val="00D566BD"/>
    <w:rsid w:val="00D56B62"/>
    <w:rsid w:val="00D575D6"/>
    <w:rsid w:val="00D57A4D"/>
    <w:rsid w:val="00D60AA7"/>
    <w:rsid w:val="00D60D87"/>
    <w:rsid w:val="00D633BD"/>
    <w:rsid w:val="00D63620"/>
    <w:rsid w:val="00D6435F"/>
    <w:rsid w:val="00D64EFA"/>
    <w:rsid w:val="00D66193"/>
    <w:rsid w:val="00D6775E"/>
    <w:rsid w:val="00D73073"/>
    <w:rsid w:val="00D75E28"/>
    <w:rsid w:val="00D7674B"/>
    <w:rsid w:val="00D772C2"/>
    <w:rsid w:val="00D8008E"/>
    <w:rsid w:val="00D82C45"/>
    <w:rsid w:val="00D8748D"/>
    <w:rsid w:val="00D908A8"/>
    <w:rsid w:val="00D91EF9"/>
    <w:rsid w:val="00D92E34"/>
    <w:rsid w:val="00D96B41"/>
    <w:rsid w:val="00D977B6"/>
    <w:rsid w:val="00DA0EDF"/>
    <w:rsid w:val="00DA15D3"/>
    <w:rsid w:val="00DA172A"/>
    <w:rsid w:val="00DA1FB1"/>
    <w:rsid w:val="00DA4A31"/>
    <w:rsid w:val="00DA7B04"/>
    <w:rsid w:val="00DB0913"/>
    <w:rsid w:val="00DB1A15"/>
    <w:rsid w:val="00DB241C"/>
    <w:rsid w:val="00DB36C2"/>
    <w:rsid w:val="00DB5A09"/>
    <w:rsid w:val="00DB5C46"/>
    <w:rsid w:val="00DC0880"/>
    <w:rsid w:val="00DC169B"/>
    <w:rsid w:val="00DC29DA"/>
    <w:rsid w:val="00DC2AB9"/>
    <w:rsid w:val="00DC3C26"/>
    <w:rsid w:val="00DC4D0F"/>
    <w:rsid w:val="00DC5D38"/>
    <w:rsid w:val="00DC63F0"/>
    <w:rsid w:val="00DD5318"/>
    <w:rsid w:val="00DD6EE5"/>
    <w:rsid w:val="00DE0B7E"/>
    <w:rsid w:val="00DE386C"/>
    <w:rsid w:val="00DE3882"/>
    <w:rsid w:val="00DE4D35"/>
    <w:rsid w:val="00DE6B95"/>
    <w:rsid w:val="00DF0549"/>
    <w:rsid w:val="00DF098B"/>
    <w:rsid w:val="00DF11C4"/>
    <w:rsid w:val="00DF210C"/>
    <w:rsid w:val="00DF2797"/>
    <w:rsid w:val="00DF4B6A"/>
    <w:rsid w:val="00DF6264"/>
    <w:rsid w:val="00E02C09"/>
    <w:rsid w:val="00E03397"/>
    <w:rsid w:val="00E03E38"/>
    <w:rsid w:val="00E04D59"/>
    <w:rsid w:val="00E0506F"/>
    <w:rsid w:val="00E06D30"/>
    <w:rsid w:val="00E0740A"/>
    <w:rsid w:val="00E07DA1"/>
    <w:rsid w:val="00E123CB"/>
    <w:rsid w:val="00E14C6B"/>
    <w:rsid w:val="00E20065"/>
    <w:rsid w:val="00E20E13"/>
    <w:rsid w:val="00E21DBC"/>
    <w:rsid w:val="00E24E72"/>
    <w:rsid w:val="00E275D7"/>
    <w:rsid w:val="00E27DBE"/>
    <w:rsid w:val="00E32200"/>
    <w:rsid w:val="00E32AB1"/>
    <w:rsid w:val="00E33A75"/>
    <w:rsid w:val="00E36955"/>
    <w:rsid w:val="00E36C71"/>
    <w:rsid w:val="00E37C86"/>
    <w:rsid w:val="00E40404"/>
    <w:rsid w:val="00E459C6"/>
    <w:rsid w:val="00E47589"/>
    <w:rsid w:val="00E4792E"/>
    <w:rsid w:val="00E51AA2"/>
    <w:rsid w:val="00E57B8A"/>
    <w:rsid w:val="00E631BF"/>
    <w:rsid w:val="00E64915"/>
    <w:rsid w:val="00E65452"/>
    <w:rsid w:val="00E65BC9"/>
    <w:rsid w:val="00E661D4"/>
    <w:rsid w:val="00E70091"/>
    <w:rsid w:val="00E720F5"/>
    <w:rsid w:val="00E73B44"/>
    <w:rsid w:val="00E74280"/>
    <w:rsid w:val="00E76D47"/>
    <w:rsid w:val="00E819B1"/>
    <w:rsid w:val="00E849F7"/>
    <w:rsid w:val="00E863F8"/>
    <w:rsid w:val="00E87DA0"/>
    <w:rsid w:val="00E90302"/>
    <w:rsid w:val="00E92F71"/>
    <w:rsid w:val="00E93ABE"/>
    <w:rsid w:val="00E94545"/>
    <w:rsid w:val="00E9461C"/>
    <w:rsid w:val="00E9597F"/>
    <w:rsid w:val="00E97396"/>
    <w:rsid w:val="00EA02E4"/>
    <w:rsid w:val="00EA08F6"/>
    <w:rsid w:val="00EA185E"/>
    <w:rsid w:val="00EA559B"/>
    <w:rsid w:val="00EA592A"/>
    <w:rsid w:val="00EA6EE8"/>
    <w:rsid w:val="00EB08B6"/>
    <w:rsid w:val="00EB13A6"/>
    <w:rsid w:val="00EB14E4"/>
    <w:rsid w:val="00EB32A5"/>
    <w:rsid w:val="00EB34ED"/>
    <w:rsid w:val="00EB3726"/>
    <w:rsid w:val="00EB3D40"/>
    <w:rsid w:val="00EB41EE"/>
    <w:rsid w:val="00EB5742"/>
    <w:rsid w:val="00EB7BE0"/>
    <w:rsid w:val="00EC0EAB"/>
    <w:rsid w:val="00EC315E"/>
    <w:rsid w:val="00EC4183"/>
    <w:rsid w:val="00EC5A9E"/>
    <w:rsid w:val="00EC5AE2"/>
    <w:rsid w:val="00ED077C"/>
    <w:rsid w:val="00ED1190"/>
    <w:rsid w:val="00ED5860"/>
    <w:rsid w:val="00ED609A"/>
    <w:rsid w:val="00ED6544"/>
    <w:rsid w:val="00ED75B8"/>
    <w:rsid w:val="00ED76BF"/>
    <w:rsid w:val="00EE0277"/>
    <w:rsid w:val="00EE0F2D"/>
    <w:rsid w:val="00EE1DA9"/>
    <w:rsid w:val="00EE3124"/>
    <w:rsid w:val="00EE3E00"/>
    <w:rsid w:val="00EE4CDB"/>
    <w:rsid w:val="00EE54BC"/>
    <w:rsid w:val="00EE5DD2"/>
    <w:rsid w:val="00EF2875"/>
    <w:rsid w:val="00EF41F1"/>
    <w:rsid w:val="00EF4F08"/>
    <w:rsid w:val="00F00751"/>
    <w:rsid w:val="00F00A79"/>
    <w:rsid w:val="00F00E86"/>
    <w:rsid w:val="00F06375"/>
    <w:rsid w:val="00F073B4"/>
    <w:rsid w:val="00F07618"/>
    <w:rsid w:val="00F07C1E"/>
    <w:rsid w:val="00F105DB"/>
    <w:rsid w:val="00F10884"/>
    <w:rsid w:val="00F132BC"/>
    <w:rsid w:val="00F13D80"/>
    <w:rsid w:val="00F16AAA"/>
    <w:rsid w:val="00F1763F"/>
    <w:rsid w:val="00F20018"/>
    <w:rsid w:val="00F20C57"/>
    <w:rsid w:val="00F21161"/>
    <w:rsid w:val="00F218EF"/>
    <w:rsid w:val="00F21BC7"/>
    <w:rsid w:val="00F22340"/>
    <w:rsid w:val="00F245D1"/>
    <w:rsid w:val="00F266A2"/>
    <w:rsid w:val="00F270F1"/>
    <w:rsid w:val="00F30C97"/>
    <w:rsid w:val="00F32161"/>
    <w:rsid w:val="00F32269"/>
    <w:rsid w:val="00F3262B"/>
    <w:rsid w:val="00F36C87"/>
    <w:rsid w:val="00F43B89"/>
    <w:rsid w:val="00F45203"/>
    <w:rsid w:val="00F51147"/>
    <w:rsid w:val="00F5673F"/>
    <w:rsid w:val="00F56A6F"/>
    <w:rsid w:val="00F5709C"/>
    <w:rsid w:val="00F61EC8"/>
    <w:rsid w:val="00F62A17"/>
    <w:rsid w:val="00F62B0E"/>
    <w:rsid w:val="00F64EF1"/>
    <w:rsid w:val="00F7110D"/>
    <w:rsid w:val="00F73929"/>
    <w:rsid w:val="00F75774"/>
    <w:rsid w:val="00F761A8"/>
    <w:rsid w:val="00F809E6"/>
    <w:rsid w:val="00F8765F"/>
    <w:rsid w:val="00F90767"/>
    <w:rsid w:val="00F90A85"/>
    <w:rsid w:val="00F94272"/>
    <w:rsid w:val="00F94347"/>
    <w:rsid w:val="00F95243"/>
    <w:rsid w:val="00FA277F"/>
    <w:rsid w:val="00FA344D"/>
    <w:rsid w:val="00FA3750"/>
    <w:rsid w:val="00FA48E7"/>
    <w:rsid w:val="00FA685B"/>
    <w:rsid w:val="00FA6F0B"/>
    <w:rsid w:val="00FB0C01"/>
    <w:rsid w:val="00FB1300"/>
    <w:rsid w:val="00FB698D"/>
    <w:rsid w:val="00FC0D75"/>
    <w:rsid w:val="00FC18F2"/>
    <w:rsid w:val="00FC20E9"/>
    <w:rsid w:val="00FC36AC"/>
    <w:rsid w:val="00FC39E5"/>
    <w:rsid w:val="00FC3A78"/>
    <w:rsid w:val="00FC5ECD"/>
    <w:rsid w:val="00FC5FFE"/>
    <w:rsid w:val="00FC6438"/>
    <w:rsid w:val="00FC77AA"/>
    <w:rsid w:val="00FC7D30"/>
    <w:rsid w:val="00FD1005"/>
    <w:rsid w:val="00FD3180"/>
    <w:rsid w:val="00FD3762"/>
    <w:rsid w:val="00FD5E2E"/>
    <w:rsid w:val="00FD64FF"/>
    <w:rsid w:val="00FD66A3"/>
    <w:rsid w:val="00FD6C75"/>
    <w:rsid w:val="00FE71B3"/>
    <w:rsid w:val="00FF1837"/>
    <w:rsid w:val="00FF2A14"/>
    <w:rsid w:val="00FF42C5"/>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324CAC"/>
    <w:pPr>
      <w:jc w:val="both"/>
    </w:pPr>
    <w:rPr>
      <w:rFonts w:eastAsiaTheme="minorEastAsia"/>
      <w:sz w:val="24"/>
    </w:rPr>
  </w:style>
  <w:style w:type="paragraph" w:styleId="Heading1">
    <w:name w:val="heading 1"/>
    <w:basedOn w:val="Normal"/>
    <w:next w:val="Normal"/>
    <w:link w:val="Heading1Char"/>
    <w:uiPriority w:val="99"/>
    <w:semiHidden/>
    <w:rsid w:val="00324CA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324CA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324CAC"/>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324CAC"/>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324CAC"/>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324CAC"/>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324CAC"/>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324CA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324CA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24CAC"/>
    <w:rPr>
      <w:rFonts w:ascii="Tahoma" w:hAnsi="Tahoma" w:cs="Tahoma"/>
      <w:sz w:val="16"/>
      <w:szCs w:val="16"/>
    </w:rPr>
  </w:style>
  <w:style w:type="character" w:customStyle="1" w:styleId="BalloonTextChar">
    <w:name w:val="Balloon Text Char"/>
    <w:basedOn w:val="DefaultParagraphFont"/>
    <w:link w:val="BalloonText"/>
    <w:uiPriority w:val="99"/>
    <w:semiHidden/>
    <w:rsid w:val="00324CAC"/>
    <w:rPr>
      <w:rFonts w:ascii="Tahoma" w:eastAsiaTheme="minorEastAsia" w:hAnsi="Tahoma" w:cs="Tahoma"/>
      <w:sz w:val="16"/>
      <w:szCs w:val="16"/>
    </w:rPr>
  </w:style>
  <w:style w:type="character" w:styleId="BookTitle">
    <w:name w:val="Book Title"/>
    <w:uiPriority w:val="99"/>
    <w:semiHidden/>
    <w:qFormat/>
    <w:rsid w:val="00324CAC"/>
    <w:rPr>
      <w:i/>
      <w:iCs/>
      <w:smallCaps/>
      <w:spacing w:val="5"/>
    </w:rPr>
  </w:style>
  <w:style w:type="paragraph" w:customStyle="1" w:styleId="ECHRHeader">
    <w:name w:val="ECHR_Header"/>
    <w:aliases w:val="Ju_Header"/>
    <w:basedOn w:val="Header"/>
    <w:uiPriority w:val="4"/>
    <w:qFormat/>
    <w:rsid w:val="00324CAC"/>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324CAC"/>
    <w:pPr>
      <w:jc w:val="left"/>
    </w:pPr>
    <w:rPr>
      <w:sz w:val="8"/>
    </w:rPr>
  </w:style>
  <w:style w:type="character" w:styleId="Strong">
    <w:name w:val="Strong"/>
    <w:uiPriority w:val="99"/>
    <w:semiHidden/>
    <w:qFormat/>
    <w:rsid w:val="00324CAC"/>
    <w:rPr>
      <w:b/>
      <w:bCs/>
    </w:rPr>
  </w:style>
  <w:style w:type="paragraph" w:styleId="NoSpacing">
    <w:name w:val="No Spacing"/>
    <w:basedOn w:val="Normal"/>
    <w:link w:val="NoSpacingChar"/>
    <w:semiHidden/>
    <w:qFormat/>
    <w:rsid w:val="00324CAC"/>
    <w:rPr>
      <w:sz w:val="22"/>
    </w:rPr>
  </w:style>
  <w:style w:type="character" w:customStyle="1" w:styleId="NoSpacingChar">
    <w:name w:val="No Spacing Char"/>
    <w:basedOn w:val="DefaultParagraphFont"/>
    <w:link w:val="NoSpacing"/>
    <w:semiHidden/>
    <w:rsid w:val="00324CAC"/>
    <w:rPr>
      <w:rFonts w:eastAsiaTheme="minorEastAsia"/>
    </w:rPr>
  </w:style>
  <w:style w:type="paragraph" w:customStyle="1" w:styleId="ECHRFooterLine">
    <w:name w:val="ECHR_Footer_Line"/>
    <w:aliases w:val="Footer_Line"/>
    <w:basedOn w:val="Normal"/>
    <w:next w:val="ECHRFooter"/>
    <w:uiPriority w:val="57"/>
    <w:semiHidden/>
    <w:rsid w:val="00324CAC"/>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324CAC"/>
    <w:pPr>
      <w:numPr>
        <w:numId w:val="14"/>
      </w:numPr>
      <w:jc w:val="left"/>
    </w:pPr>
    <w:rPr>
      <w:b/>
    </w:rPr>
  </w:style>
  <w:style w:type="paragraph" w:customStyle="1" w:styleId="OpiPara">
    <w:name w:val="Opi_Para"/>
    <w:basedOn w:val="ECHRPara"/>
    <w:uiPriority w:val="46"/>
    <w:qFormat/>
    <w:rsid w:val="00324CAC"/>
  </w:style>
  <w:style w:type="paragraph" w:customStyle="1" w:styleId="JuParaSub">
    <w:name w:val="Ju_Para_Sub"/>
    <w:basedOn w:val="ECHRPara"/>
    <w:uiPriority w:val="13"/>
    <w:qFormat/>
    <w:rsid w:val="00324CAC"/>
    <w:pPr>
      <w:ind w:left="284"/>
    </w:pPr>
  </w:style>
  <w:style w:type="paragraph" w:customStyle="1" w:styleId="ECHRTitleCentre3">
    <w:name w:val="ECHR_Title_Centre_3"/>
    <w:aliases w:val="Ju_H_Article"/>
    <w:basedOn w:val="Normal"/>
    <w:next w:val="ECHRParaQuote"/>
    <w:uiPriority w:val="27"/>
    <w:qFormat/>
    <w:rsid w:val="00324CAC"/>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324CAC"/>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324CAC"/>
    <w:pPr>
      <w:ind w:left="567"/>
    </w:pPr>
  </w:style>
  <w:style w:type="paragraph" w:customStyle="1" w:styleId="OpiParaSub">
    <w:name w:val="Opi_Para_Sub"/>
    <w:basedOn w:val="JuParaSub"/>
    <w:uiPriority w:val="47"/>
    <w:qFormat/>
    <w:rsid w:val="00324CAC"/>
  </w:style>
  <w:style w:type="paragraph" w:customStyle="1" w:styleId="OpiQuot">
    <w:name w:val="Opi_Quot"/>
    <w:basedOn w:val="ECHRParaQuote"/>
    <w:uiPriority w:val="48"/>
    <w:qFormat/>
    <w:rsid w:val="00324CAC"/>
  </w:style>
  <w:style w:type="paragraph" w:customStyle="1" w:styleId="OpiQuotSub">
    <w:name w:val="Opi_Quot_Sub"/>
    <w:basedOn w:val="JuQuotSub"/>
    <w:uiPriority w:val="49"/>
    <w:qFormat/>
    <w:rsid w:val="00324CAC"/>
  </w:style>
  <w:style w:type="paragraph" w:customStyle="1" w:styleId="ECHRTitleCentre2">
    <w:name w:val="ECHR_Title_Centre_2"/>
    <w:aliases w:val="Dec_H_Case"/>
    <w:basedOn w:val="Normal"/>
    <w:next w:val="ECHRPara"/>
    <w:uiPriority w:val="8"/>
    <w:rsid w:val="00324CAC"/>
    <w:pPr>
      <w:spacing w:after="240"/>
      <w:jc w:val="center"/>
      <w:outlineLvl w:val="0"/>
    </w:pPr>
    <w:rPr>
      <w:rFonts w:asciiTheme="majorHAnsi" w:hAnsiTheme="majorHAnsi"/>
    </w:rPr>
  </w:style>
  <w:style w:type="paragraph" w:styleId="Title">
    <w:name w:val="Title"/>
    <w:basedOn w:val="Normal"/>
    <w:next w:val="Normal"/>
    <w:link w:val="TitleChar"/>
    <w:uiPriority w:val="99"/>
    <w:semiHidden/>
    <w:qFormat/>
    <w:rsid w:val="00324CA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324CAC"/>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324CAC"/>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324CAC"/>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324CAC"/>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324CAC"/>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324CAC"/>
    <w:pPr>
      <w:keepNext/>
      <w:keepLines/>
      <w:spacing w:before="240" w:after="120"/>
      <w:ind w:left="1236"/>
    </w:pPr>
    <w:rPr>
      <w:sz w:val="20"/>
    </w:rPr>
  </w:style>
  <w:style w:type="paragraph" w:customStyle="1" w:styleId="JuTitle">
    <w:name w:val="Ju_Title"/>
    <w:basedOn w:val="Normal"/>
    <w:next w:val="ECHRPara"/>
    <w:uiPriority w:val="3"/>
    <w:rsid w:val="00324CAC"/>
    <w:pPr>
      <w:spacing w:before="720" w:after="240"/>
      <w:jc w:val="center"/>
      <w:outlineLvl w:val="0"/>
    </w:pPr>
    <w:rPr>
      <w:rFonts w:asciiTheme="majorHAnsi" w:hAnsiTheme="majorHAnsi"/>
      <w:b/>
      <w:caps/>
    </w:rPr>
  </w:style>
  <w:style w:type="paragraph" w:customStyle="1" w:styleId="JuInitialled">
    <w:name w:val="Ju_Initialled"/>
    <w:basedOn w:val="Normal"/>
    <w:uiPriority w:val="31"/>
    <w:qFormat/>
    <w:rsid w:val="00324CAC"/>
    <w:pPr>
      <w:tabs>
        <w:tab w:val="center" w:pos="6407"/>
      </w:tabs>
      <w:spacing w:before="720"/>
      <w:jc w:val="right"/>
    </w:pPr>
  </w:style>
  <w:style w:type="paragraph" w:customStyle="1" w:styleId="OpiHA">
    <w:name w:val="Opi_H_A"/>
    <w:basedOn w:val="ECHRHeading1"/>
    <w:next w:val="OpiPara"/>
    <w:uiPriority w:val="41"/>
    <w:qFormat/>
    <w:rsid w:val="00324CAC"/>
    <w:pPr>
      <w:tabs>
        <w:tab w:val="clear" w:pos="357"/>
      </w:tabs>
      <w:outlineLvl w:val="1"/>
    </w:pPr>
    <w:rPr>
      <w:b/>
    </w:rPr>
  </w:style>
  <w:style w:type="paragraph" w:styleId="Header">
    <w:name w:val="header"/>
    <w:basedOn w:val="Normal"/>
    <w:link w:val="HeaderChar"/>
    <w:uiPriority w:val="57"/>
    <w:semiHidden/>
    <w:rsid w:val="00324CAC"/>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324CAC"/>
    <w:rPr>
      <w:sz w:val="24"/>
    </w:rPr>
  </w:style>
  <w:style w:type="character" w:customStyle="1" w:styleId="Heading1Char">
    <w:name w:val="Heading 1 Char"/>
    <w:basedOn w:val="DefaultParagraphFont"/>
    <w:link w:val="Heading1"/>
    <w:uiPriority w:val="99"/>
    <w:semiHidden/>
    <w:rsid w:val="00324CAC"/>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324CAC"/>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324CAC"/>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324CAC"/>
    <w:rPr>
      <w:rFonts w:asciiTheme="majorHAnsi" w:eastAsiaTheme="majorEastAsia" w:hAnsiTheme="majorHAnsi" w:cstheme="majorBidi"/>
      <w:b/>
      <w:bCs/>
      <w:color w:val="4D4D4D"/>
      <w:sz w:val="26"/>
      <w:szCs w:val="26"/>
    </w:rPr>
  </w:style>
  <w:style w:type="character" w:customStyle="1" w:styleId="JUNAMES">
    <w:name w:val="JU_NAMES"/>
    <w:uiPriority w:val="17"/>
    <w:qFormat/>
    <w:rsid w:val="00324CAC"/>
    <w:rPr>
      <w:caps w:val="0"/>
      <w:smallCaps/>
    </w:rPr>
  </w:style>
  <w:style w:type="paragraph" w:customStyle="1" w:styleId="JuCase">
    <w:name w:val="Ju_Case"/>
    <w:basedOn w:val="Normal"/>
    <w:next w:val="ECHRPara"/>
    <w:uiPriority w:val="10"/>
    <w:rsid w:val="00324CAC"/>
    <w:pPr>
      <w:ind w:firstLine="284"/>
    </w:pPr>
    <w:rPr>
      <w:b/>
    </w:rPr>
  </w:style>
  <w:style w:type="character" w:customStyle="1" w:styleId="Heading3Char">
    <w:name w:val="Heading 3 Char"/>
    <w:basedOn w:val="DefaultParagraphFont"/>
    <w:link w:val="Heading3"/>
    <w:uiPriority w:val="99"/>
    <w:semiHidden/>
    <w:rsid w:val="00324CAC"/>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324CAC"/>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324CAC"/>
    <w:rPr>
      <w:rFonts w:asciiTheme="majorHAnsi" w:eastAsiaTheme="majorEastAsia" w:hAnsiTheme="majorHAnsi" w:cstheme="majorBidi"/>
      <w:b/>
      <w:bCs/>
      <w:color w:val="808080"/>
    </w:rPr>
  </w:style>
  <w:style w:type="character" w:styleId="SubtleEmphasis">
    <w:name w:val="Subtle Emphasis"/>
    <w:uiPriority w:val="99"/>
    <w:semiHidden/>
    <w:qFormat/>
    <w:rsid w:val="00324CAC"/>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324CAC"/>
    <w:pPr>
      <w:keepNext/>
      <w:keepLines/>
      <w:spacing w:before="720" w:after="240"/>
      <w:outlineLvl w:val="0"/>
    </w:pPr>
    <w:rPr>
      <w:rFonts w:asciiTheme="majorHAnsi" w:hAnsiTheme="majorHAnsi"/>
      <w:sz w:val="28"/>
    </w:rPr>
  </w:style>
  <w:style w:type="character" w:styleId="Emphasis">
    <w:name w:val="Emphasis"/>
    <w:uiPriority w:val="99"/>
    <w:semiHidden/>
    <w:qFormat/>
    <w:rsid w:val="00324CAC"/>
    <w:rPr>
      <w:b/>
      <w:bCs/>
      <w:i/>
      <w:iCs/>
      <w:spacing w:val="10"/>
      <w:bdr w:val="none" w:sz="0" w:space="0" w:color="auto"/>
      <w:shd w:val="clear" w:color="auto" w:fill="auto"/>
    </w:rPr>
  </w:style>
  <w:style w:type="paragraph" w:styleId="Footer">
    <w:name w:val="footer"/>
    <w:basedOn w:val="Normal"/>
    <w:link w:val="FooterChar"/>
    <w:uiPriority w:val="57"/>
    <w:semiHidden/>
    <w:rsid w:val="00324CAC"/>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324CAC"/>
    <w:rPr>
      <w:sz w:val="24"/>
    </w:rPr>
  </w:style>
  <w:style w:type="character" w:styleId="FootnoteReference">
    <w:name w:val="footnote reference"/>
    <w:basedOn w:val="DefaultParagraphFont"/>
    <w:uiPriority w:val="99"/>
    <w:semiHidden/>
    <w:rsid w:val="00324CAC"/>
    <w:rPr>
      <w:vertAlign w:val="superscript"/>
    </w:rPr>
  </w:style>
  <w:style w:type="paragraph" w:styleId="FootnoteText">
    <w:name w:val="footnote text"/>
    <w:basedOn w:val="Normal"/>
    <w:link w:val="FootnoteTextChar"/>
    <w:uiPriority w:val="99"/>
    <w:semiHidden/>
    <w:rsid w:val="00324CAC"/>
    <w:rPr>
      <w:sz w:val="20"/>
      <w:szCs w:val="20"/>
    </w:rPr>
  </w:style>
  <w:style w:type="character" w:customStyle="1" w:styleId="FootnoteTextChar">
    <w:name w:val="Footnote Text Char"/>
    <w:basedOn w:val="DefaultParagraphFont"/>
    <w:link w:val="FootnoteText"/>
    <w:uiPriority w:val="99"/>
    <w:semiHidden/>
    <w:rsid w:val="00324CAC"/>
    <w:rPr>
      <w:rFonts w:eastAsiaTheme="minorEastAsia"/>
      <w:sz w:val="20"/>
      <w:szCs w:val="20"/>
    </w:rPr>
  </w:style>
  <w:style w:type="character" w:customStyle="1" w:styleId="Heading6Char">
    <w:name w:val="Heading 6 Char"/>
    <w:basedOn w:val="DefaultParagraphFont"/>
    <w:link w:val="Heading6"/>
    <w:uiPriority w:val="99"/>
    <w:semiHidden/>
    <w:rsid w:val="00324CAC"/>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324CAC"/>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324CA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324CAC"/>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324CAC"/>
    <w:rPr>
      <w:color w:val="0072BC" w:themeColor="hyperlink"/>
      <w:u w:val="single"/>
    </w:rPr>
  </w:style>
  <w:style w:type="character" w:styleId="IntenseEmphasis">
    <w:name w:val="Intense Emphasis"/>
    <w:uiPriority w:val="99"/>
    <w:semiHidden/>
    <w:qFormat/>
    <w:rsid w:val="00324CAC"/>
    <w:rPr>
      <w:b/>
      <w:bCs/>
    </w:rPr>
  </w:style>
  <w:style w:type="paragraph" w:styleId="IntenseQuote">
    <w:name w:val="Intense Quote"/>
    <w:basedOn w:val="Normal"/>
    <w:next w:val="Normal"/>
    <w:link w:val="IntenseQuoteChar"/>
    <w:uiPriority w:val="99"/>
    <w:semiHidden/>
    <w:qFormat/>
    <w:rsid w:val="00324CAC"/>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324CAC"/>
    <w:rPr>
      <w:rFonts w:eastAsiaTheme="minorEastAsia"/>
      <w:b/>
      <w:bCs/>
      <w:i/>
      <w:iCs/>
      <w:lang w:bidi="en-US"/>
    </w:rPr>
  </w:style>
  <w:style w:type="character" w:styleId="IntenseReference">
    <w:name w:val="Intense Reference"/>
    <w:uiPriority w:val="99"/>
    <w:semiHidden/>
    <w:qFormat/>
    <w:rsid w:val="00324CAC"/>
    <w:rPr>
      <w:smallCaps/>
      <w:spacing w:val="5"/>
      <w:u w:val="single"/>
    </w:rPr>
  </w:style>
  <w:style w:type="paragraph" w:styleId="ListParagraph">
    <w:name w:val="List Paragraph"/>
    <w:basedOn w:val="Normal"/>
    <w:uiPriority w:val="99"/>
    <w:semiHidden/>
    <w:qFormat/>
    <w:rsid w:val="00324CAC"/>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324CAC"/>
    <w:pPr>
      <w:spacing w:before="200"/>
      <w:ind w:left="360" w:right="360"/>
    </w:pPr>
    <w:rPr>
      <w:i/>
      <w:iCs/>
      <w:sz w:val="22"/>
      <w:lang w:bidi="en-US"/>
    </w:rPr>
  </w:style>
  <w:style w:type="character" w:customStyle="1" w:styleId="QuoteChar">
    <w:name w:val="Quote Char"/>
    <w:basedOn w:val="DefaultParagraphFont"/>
    <w:link w:val="Quote"/>
    <w:uiPriority w:val="99"/>
    <w:semiHidden/>
    <w:rsid w:val="00324CAC"/>
    <w:rPr>
      <w:rFonts w:eastAsiaTheme="minorEastAsia"/>
      <w:i/>
      <w:iCs/>
      <w:lang w:bidi="en-US"/>
    </w:rPr>
  </w:style>
  <w:style w:type="character" w:styleId="SubtleReference">
    <w:name w:val="Subtle Reference"/>
    <w:uiPriority w:val="99"/>
    <w:semiHidden/>
    <w:qFormat/>
    <w:rsid w:val="00324CAC"/>
    <w:rPr>
      <w:smallCaps/>
    </w:rPr>
  </w:style>
  <w:style w:type="table" w:styleId="TableGrid">
    <w:name w:val="Table Grid"/>
    <w:basedOn w:val="TableNormal"/>
    <w:uiPriority w:val="59"/>
    <w:semiHidden/>
    <w:rsid w:val="00324CA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324CAC"/>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324CAC"/>
    <w:pPr>
      <w:spacing w:after="60"/>
      <w:ind w:left="680" w:right="340" w:hanging="340"/>
    </w:pPr>
  </w:style>
  <w:style w:type="paragraph" w:styleId="TOC3">
    <w:name w:val="toc 3"/>
    <w:basedOn w:val="Normal"/>
    <w:next w:val="Normal"/>
    <w:autoRedefine/>
    <w:uiPriority w:val="99"/>
    <w:semiHidden/>
    <w:rsid w:val="00324CAC"/>
    <w:pPr>
      <w:spacing w:after="60"/>
      <w:ind w:left="1020" w:right="340" w:hanging="340"/>
    </w:pPr>
  </w:style>
  <w:style w:type="paragraph" w:styleId="TOC4">
    <w:name w:val="toc 4"/>
    <w:basedOn w:val="Normal"/>
    <w:next w:val="Normal"/>
    <w:autoRedefine/>
    <w:uiPriority w:val="99"/>
    <w:semiHidden/>
    <w:rsid w:val="00324CAC"/>
    <w:pPr>
      <w:tabs>
        <w:tab w:val="right" w:leader="dot" w:pos="9017"/>
      </w:tabs>
      <w:spacing w:after="60"/>
      <w:ind w:left="1361" w:right="340" w:hanging="340"/>
    </w:pPr>
  </w:style>
  <w:style w:type="paragraph" w:styleId="TOC5">
    <w:name w:val="toc 5"/>
    <w:basedOn w:val="Normal"/>
    <w:next w:val="Normal"/>
    <w:autoRedefine/>
    <w:uiPriority w:val="99"/>
    <w:semiHidden/>
    <w:rsid w:val="00324CAC"/>
    <w:pPr>
      <w:spacing w:after="60"/>
      <w:ind w:left="1701" w:right="340" w:hanging="340"/>
    </w:pPr>
  </w:style>
  <w:style w:type="paragraph" w:styleId="TOCHeading">
    <w:name w:val="TOC Heading"/>
    <w:basedOn w:val="Heading1"/>
    <w:next w:val="Normal"/>
    <w:uiPriority w:val="99"/>
    <w:semiHidden/>
    <w:qFormat/>
    <w:rsid w:val="00324CAC"/>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324CAC"/>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Para_Quote"/>
    <w:basedOn w:val="Normal"/>
    <w:link w:val="JuQuotChar"/>
    <w:uiPriority w:val="14"/>
    <w:qFormat/>
    <w:rsid w:val="00324CAC"/>
    <w:pPr>
      <w:spacing w:before="120" w:after="120"/>
      <w:ind w:left="425" w:firstLine="142"/>
    </w:pPr>
    <w:rPr>
      <w:sz w:val="20"/>
    </w:rPr>
  </w:style>
  <w:style w:type="paragraph" w:customStyle="1" w:styleId="ECHRPara">
    <w:name w:val="ECHR_Para"/>
    <w:aliases w:val="Ju_Para"/>
    <w:basedOn w:val="Normal"/>
    <w:link w:val="ECHRParaChar"/>
    <w:uiPriority w:val="12"/>
    <w:qFormat/>
    <w:rsid w:val="00324CAC"/>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324CAC"/>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324CAC"/>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324CAC"/>
    <w:pPr>
      <w:ind w:left="340" w:hanging="340"/>
    </w:pPr>
  </w:style>
  <w:style w:type="paragraph" w:customStyle="1" w:styleId="JuSigned">
    <w:name w:val="Ju_Signed"/>
    <w:basedOn w:val="Normal"/>
    <w:next w:val="JuParaLast"/>
    <w:uiPriority w:val="32"/>
    <w:qFormat/>
    <w:rsid w:val="00324CAC"/>
    <w:pPr>
      <w:tabs>
        <w:tab w:val="center" w:pos="851"/>
        <w:tab w:val="center" w:pos="6407"/>
      </w:tabs>
      <w:spacing w:before="720"/>
      <w:jc w:val="left"/>
    </w:pPr>
  </w:style>
  <w:style w:type="paragraph" w:customStyle="1" w:styleId="JuParaLast">
    <w:name w:val="Ju_Para_Last"/>
    <w:basedOn w:val="Normal"/>
    <w:next w:val="ECHRPara"/>
    <w:uiPriority w:val="30"/>
    <w:qFormat/>
    <w:rsid w:val="00324CAC"/>
    <w:pPr>
      <w:keepNext/>
      <w:keepLines/>
      <w:spacing w:before="240"/>
      <w:ind w:firstLine="284"/>
    </w:pPr>
  </w:style>
  <w:style w:type="character" w:customStyle="1" w:styleId="JuITMark">
    <w:name w:val="Ju_ITMark"/>
    <w:basedOn w:val="DefaultParagraphFont"/>
    <w:uiPriority w:val="38"/>
    <w:qFormat/>
    <w:rsid w:val="00324CAC"/>
    <w:rPr>
      <w:vanish w:val="0"/>
      <w:color w:val="auto"/>
      <w:sz w:val="14"/>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324CAC"/>
    <w:pPr>
      <w:ind w:left="346" w:firstLine="0"/>
    </w:pPr>
  </w:style>
  <w:style w:type="paragraph" w:customStyle="1" w:styleId="OpiTranslation">
    <w:name w:val="Opi_Translation"/>
    <w:basedOn w:val="Normal"/>
    <w:next w:val="OpiPara"/>
    <w:uiPriority w:val="40"/>
    <w:qFormat/>
    <w:rsid w:val="00324CAC"/>
    <w:pPr>
      <w:jc w:val="center"/>
      <w:outlineLvl w:val="0"/>
    </w:pPr>
    <w:rPr>
      <w:i/>
    </w:r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uiPriority w:val="99"/>
    <w:semiHidden/>
    <w:rsid w:val="00014566"/>
    <w:rPr>
      <w:sz w:val="20"/>
    </w:rPr>
  </w:style>
  <w:style w:type="character" w:customStyle="1" w:styleId="CommentTextChar">
    <w:name w:val="Comment Text Char"/>
    <w:basedOn w:val="DefaultParagraphFont"/>
    <w:link w:val="CommentText"/>
    <w:uiPriority w:val="99"/>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DecHTitle">
    <w:name w:val="Dec_H_Title"/>
    <w:basedOn w:val="ECHRTitleCentre1"/>
    <w:uiPriority w:val="7"/>
    <w:rsid w:val="00324CAC"/>
  </w:style>
  <w:style w:type="paragraph" w:styleId="ListBullet">
    <w:name w:val="List Bullet"/>
    <w:basedOn w:val="Normal"/>
    <w:uiPriority w:val="99"/>
    <w:semiHidden/>
    <w:rsid w:val="00014566"/>
    <w:pPr>
      <w:numPr>
        <w:numId w:val="1"/>
      </w:numPr>
    </w:pPr>
  </w:style>
  <w:style w:type="paragraph" w:customStyle="1" w:styleId="JuCourt">
    <w:name w:val="Ju_Court"/>
    <w:basedOn w:val="Normal"/>
    <w:next w:val="Normal"/>
    <w:uiPriority w:val="16"/>
    <w:qFormat/>
    <w:rsid w:val="00324CAC"/>
    <w:pPr>
      <w:tabs>
        <w:tab w:val="left" w:pos="907"/>
        <w:tab w:val="left" w:pos="1701"/>
        <w:tab w:val="right" w:pos="7371"/>
      </w:tabs>
      <w:spacing w:before="240"/>
      <w:ind w:left="397" w:hanging="397"/>
      <w:jc w:val="left"/>
    </w:pPr>
    <w:rPr>
      <w:lang w:bidi="en-US"/>
    </w:rPr>
  </w:style>
  <w:style w:type="paragraph" w:styleId="Subtitle">
    <w:name w:val="Subtitle"/>
    <w:basedOn w:val="Normal"/>
    <w:next w:val="Normal"/>
    <w:link w:val="SubtitleChar"/>
    <w:uiPriority w:val="99"/>
    <w:semiHidden/>
    <w:qFormat/>
    <w:rsid w:val="00324CAC"/>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324CAC"/>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ECHRParaChar">
    <w:name w:val="ECHR_Para Char"/>
    <w:aliases w:val="Ju_Para Char"/>
    <w:basedOn w:val="DefaultParagraphFont"/>
    <w:link w:val="ECHRPara"/>
    <w:uiPriority w:val="12"/>
    <w:rsid w:val="0049721D"/>
    <w:rPr>
      <w:rFonts w:eastAsiaTheme="minorEastAsia"/>
      <w:sz w:val="24"/>
    </w:rPr>
  </w:style>
  <w:style w:type="paragraph" w:customStyle="1" w:styleId="DecList">
    <w:name w:val="Dec_List"/>
    <w:basedOn w:val="Normal"/>
    <w:uiPriority w:val="9"/>
    <w:rsid w:val="00324CAC"/>
    <w:pPr>
      <w:spacing w:before="240"/>
      <w:ind w:left="284"/>
    </w:pPr>
  </w:style>
  <w:style w:type="paragraph" w:customStyle="1" w:styleId="JuListi">
    <w:name w:val="Ju_List_i"/>
    <w:basedOn w:val="Normal"/>
    <w:next w:val="JuLista"/>
    <w:uiPriority w:val="28"/>
    <w:qFormat/>
    <w:rsid w:val="00324CAC"/>
    <w:pPr>
      <w:ind w:left="794"/>
    </w:pPr>
  </w:style>
  <w:style w:type="paragraph" w:customStyle="1" w:styleId="OpiH1">
    <w:name w:val="Opi_H_1"/>
    <w:basedOn w:val="ECHRHeading2"/>
    <w:uiPriority w:val="42"/>
    <w:qFormat/>
    <w:rsid w:val="00324CAC"/>
    <w:pPr>
      <w:ind w:left="635" w:hanging="357"/>
      <w:outlineLvl w:val="2"/>
    </w:pPr>
  </w:style>
  <w:style w:type="paragraph" w:customStyle="1" w:styleId="OpiHa0">
    <w:name w:val="Opi_H_a"/>
    <w:basedOn w:val="ECHRHeading3"/>
    <w:uiPriority w:val="43"/>
    <w:qFormat/>
    <w:rsid w:val="00324CAC"/>
    <w:pPr>
      <w:ind w:left="833" w:hanging="357"/>
      <w:outlineLvl w:val="3"/>
    </w:pPr>
    <w:rPr>
      <w:b/>
      <w:i w:val="0"/>
      <w:sz w:val="20"/>
    </w:rPr>
  </w:style>
  <w:style w:type="paragraph" w:customStyle="1" w:styleId="OpiHi">
    <w:name w:val="Opi_H_i"/>
    <w:basedOn w:val="ECHRHeading4"/>
    <w:uiPriority w:val="44"/>
    <w:qFormat/>
    <w:rsid w:val="00324CAC"/>
    <w:pPr>
      <w:ind w:left="1037" w:hanging="357"/>
      <w:outlineLvl w:val="4"/>
    </w:pPr>
    <w:rPr>
      <w:b w:val="0"/>
      <w:i/>
    </w:rPr>
  </w:style>
  <w:style w:type="paragraph" w:customStyle="1" w:styleId="DummyStyle">
    <w:name w:val="Dummy_Style"/>
    <w:basedOn w:val="Normal"/>
    <w:semiHidden/>
    <w:qFormat/>
    <w:rsid w:val="00324CAC"/>
    <w:rPr>
      <w:color w:val="00B050"/>
    </w:rPr>
  </w:style>
  <w:style w:type="character" w:customStyle="1" w:styleId="JuQuotChar">
    <w:name w:val="Ju_Quot Char"/>
    <w:link w:val="ECHRParaQuote"/>
    <w:uiPriority w:val="14"/>
    <w:rsid w:val="002170FD"/>
    <w:rPr>
      <w:rFonts w:eastAsiaTheme="minorEastAsia"/>
      <w:sz w:val="20"/>
    </w:rPr>
  </w:style>
  <w:style w:type="paragraph" w:customStyle="1" w:styleId="jupara">
    <w:name w:val="jupara"/>
    <w:basedOn w:val="Normal"/>
    <w:rsid w:val="00EA08F6"/>
    <w:pPr>
      <w:ind w:firstLine="284"/>
    </w:pPr>
    <w:rPr>
      <w:rFonts w:ascii="Times New Roman" w:eastAsia="Times New Roman" w:hAnsi="Times New Roman" w:cs="Times New Roman"/>
      <w:szCs w:val="24"/>
      <w:lang w:val="en-GB" w:eastAsia="en-GB"/>
    </w:rPr>
  </w:style>
  <w:style w:type="paragraph" w:customStyle="1" w:styleId="jucase0">
    <w:name w:val="jucase"/>
    <w:basedOn w:val="Normal"/>
    <w:rsid w:val="00EA08F6"/>
    <w:pPr>
      <w:ind w:firstLine="284"/>
    </w:pPr>
    <w:rPr>
      <w:rFonts w:ascii="Times New Roman" w:eastAsia="Times New Roman" w:hAnsi="Times New Roman" w:cs="Times New Roman"/>
      <w:b/>
      <w:bCs/>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324CAC"/>
    <w:pPr>
      <w:jc w:val="both"/>
    </w:pPr>
    <w:rPr>
      <w:rFonts w:eastAsiaTheme="minorEastAsia"/>
      <w:sz w:val="24"/>
    </w:rPr>
  </w:style>
  <w:style w:type="paragraph" w:styleId="Heading1">
    <w:name w:val="heading 1"/>
    <w:basedOn w:val="Normal"/>
    <w:next w:val="Normal"/>
    <w:link w:val="Heading1Char"/>
    <w:uiPriority w:val="99"/>
    <w:semiHidden/>
    <w:rsid w:val="00324CA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324CA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324CAC"/>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324CAC"/>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324CAC"/>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324CAC"/>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324CAC"/>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324CA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324CA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24CAC"/>
    <w:rPr>
      <w:rFonts w:ascii="Tahoma" w:hAnsi="Tahoma" w:cs="Tahoma"/>
      <w:sz w:val="16"/>
      <w:szCs w:val="16"/>
    </w:rPr>
  </w:style>
  <w:style w:type="character" w:customStyle="1" w:styleId="BalloonTextChar">
    <w:name w:val="Balloon Text Char"/>
    <w:basedOn w:val="DefaultParagraphFont"/>
    <w:link w:val="BalloonText"/>
    <w:uiPriority w:val="99"/>
    <w:semiHidden/>
    <w:rsid w:val="00324CAC"/>
    <w:rPr>
      <w:rFonts w:ascii="Tahoma" w:eastAsiaTheme="minorEastAsia" w:hAnsi="Tahoma" w:cs="Tahoma"/>
      <w:sz w:val="16"/>
      <w:szCs w:val="16"/>
    </w:rPr>
  </w:style>
  <w:style w:type="character" w:styleId="BookTitle">
    <w:name w:val="Book Title"/>
    <w:uiPriority w:val="99"/>
    <w:semiHidden/>
    <w:qFormat/>
    <w:rsid w:val="00324CAC"/>
    <w:rPr>
      <w:i/>
      <w:iCs/>
      <w:smallCaps/>
      <w:spacing w:val="5"/>
    </w:rPr>
  </w:style>
  <w:style w:type="paragraph" w:customStyle="1" w:styleId="ECHRHeader">
    <w:name w:val="ECHR_Header"/>
    <w:aliases w:val="Ju_Header"/>
    <w:basedOn w:val="Header"/>
    <w:uiPriority w:val="4"/>
    <w:qFormat/>
    <w:rsid w:val="00324CAC"/>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324CAC"/>
    <w:pPr>
      <w:jc w:val="left"/>
    </w:pPr>
    <w:rPr>
      <w:sz w:val="8"/>
    </w:rPr>
  </w:style>
  <w:style w:type="character" w:styleId="Strong">
    <w:name w:val="Strong"/>
    <w:uiPriority w:val="99"/>
    <w:semiHidden/>
    <w:qFormat/>
    <w:rsid w:val="00324CAC"/>
    <w:rPr>
      <w:b/>
      <w:bCs/>
    </w:rPr>
  </w:style>
  <w:style w:type="paragraph" w:styleId="NoSpacing">
    <w:name w:val="No Spacing"/>
    <w:basedOn w:val="Normal"/>
    <w:link w:val="NoSpacingChar"/>
    <w:semiHidden/>
    <w:qFormat/>
    <w:rsid w:val="00324CAC"/>
    <w:rPr>
      <w:sz w:val="22"/>
    </w:rPr>
  </w:style>
  <w:style w:type="character" w:customStyle="1" w:styleId="NoSpacingChar">
    <w:name w:val="No Spacing Char"/>
    <w:basedOn w:val="DefaultParagraphFont"/>
    <w:link w:val="NoSpacing"/>
    <w:semiHidden/>
    <w:rsid w:val="00324CAC"/>
    <w:rPr>
      <w:rFonts w:eastAsiaTheme="minorEastAsia"/>
    </w:rPr>
  </w:style>
  <w:style w:type="paragraph" w:customStyle="1" w:styleId="ECHRFooterLine">
    <w:name w:val="ECHR_Footer_Line"/>
    <w:aliases w:val="Footer_Line"/>
    <w:basedOn w:val="Normal"/>
    <w:next w:val="ECHRFooter"/>
    <w:uiPriority w:val="57"/>
    <w:semiHidden/>
    <w:rsid w:val="00324CAC"/>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324CAC"/>
    <w:pPr>
      <w:numPr>
        <w:numId w:val="14"/>
      </w:numPr>
      <w:jc w:val="left"/>
    </w:pPr>
    <w:rPr>
      <w:b/>
    </w:rPr>
  </w:style>
  <w:style w:type="paragraph" w:customStyle="1" w:styleId="OpiPara">
    <w:name w:val="Opi_Para"/>
    <w:basedOn w:val="ECHRPara"/>
    <w:uiPriority w:val="46"/>
    <w:qFormat/>
    <w:rsid w:val="00324CAC"/>
  </w:style>
  <w:style w:type="paragraph" w:customStyle="1" w:styleId="JuParaSub">
    <w:name w:val="Ju_Para_Sub"/>
    <w:basedOn w:val="ECHRPara"/>
    <w:uiPriority w:val="13"/>
    <w:qFormat/>
    <w:rsid w:val="00324CAC"/>
    <w:pPr>
      <w:ind w:left="284"/>
    </w:pPr>
  </w:style>
  <w:style w:type="paragraph" w:customStyle="1" w:styleId="ECHRTitleCentre3">
    <w:name w:val="ECHR_Title_Centre_3"/>
    <w:aliases w:val="Ju_H_Article"/>
    <w:basedOn w:val="Normal"/>
    <w:next w:val="ECHRParaQuote"/>
    <w:uiPriority w:val="27"/>
    <w:qFormat/>
    <w:rsid w:val="00324CAC"/>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324CAC"/>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324CAC"/>
    <w:pPr>
      <w:ind w:left="567"/>
    </w:pPr>
  </w:style>
  <w:style w:type="paragraph" w:customStyle="1" w:styleId="OpiParaSub">
    <w:name w:val="Opi_Para_Sub"/>
    <w:basedOn w:val="JuParaSub"/>
    <w:uiPriority w:val="47"/>
    <w:qFormat/>
    <w:rsid w:val="00324CAC"/>
  </w:style>
  <w:style w:type="paragraph" w:customStyle="1" w:styleId="OpiQuot">
    <w:name w:val="Opi_Quot"/>
    <w:basedOn w:val="ECHRParaQuote"/>
    <w:uiPriority w:val="48"/>
    <w:qFormat/>
    <w:rsid w:val="00324CAC"/>
  </w:style>
  <w:style w:type="paragraph" w:customStyle="1" w:styleId="OpiQuotSub">
    <w:name w:val="Opi_Quot_Sub"/>
    <w:basedOn w:val="JuQuotSub"/>
    <w:uiPriority w:val="49"/>
    <w:qFormat/>
    <w:rsid w:val="00324CAC"/>
  </w:style>
  <w:style w:type="paragraph" w:customStyle="1" w:styleId="ECHRTitleCentre2">
    <w:name w:val="ECHR_Title_Centre_2"/>
    <w:aliases w:val="Dec_H_Case"/>
    <w:basedOn w:val="Normal"/>
    <w:next w:val="ECHRPara"/>
    <w:uiPriority w:val="8"/>
    <w:rsid w:val="00324CAC"/>
    <w:pPr>
      <w:spacing w:after="240"/>
      <w:jc w:val="center"/>
      <w:outlineLvl w:val="0"/>
    </w:pPr>
    <w:rPr>
      <w:rFonts w:asciiTheme="majorHAnsi" w:hAnsiTheme="majorHAnsi"/>
    </w:rPr>
  </w:style>
  <w:style w:type="paragraph" w:styleId="Title">
    <w:name w:val="Title"/>
    <w:basedOn w:val="Normal"/>
    <w:next w:val="Normal"/>
    <w:link w:val="TitleChar"/>
    <w:uiPriority w:val="99"/>
    <w:semiHidden/>
    <w:qFormat/>
    <w:rsid w:val="00324CA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324CAC"/>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324CAC"/>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324CAC"/>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324CAC"/>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324CAC"/>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324CAC"/>
    <w:pPr>
      <w:keepNext/>
      <w:keepLines/>
      <w:spacing w:before="240" w:after="120"/>
      <w:ind w:left="1236"/>
    </w:pPr>
    <w:rPr>
      <w:sz w:val="20"/>
    </w:rPr>
  </w:style>
  <w:style w:type="paragraph" w:customStyle="1" w:styleId="JuTitle">
    <w:name w:val="Ju_Title"/>
    <w:basedOn w:val="Normal"/>
    <w:next w:val="ECHRPara"/>
    <w:uiPriority w:val="3"/>
    <w:rsid w:val="00324CAC"/>
    <w:pPr>
      <w:spacing w:before="720" w:after="240"/>
      <w:jc w:val="center"/>
      <w:outlineLvl w:val="0"/>
    </w:pPr>
    <w:rPr>
      <w:rFonts w:asciiTheme="majorHAnsi" w:hAnsiTheme="majorHAnsi"/>
      <w:b/>
      <w:caps/>
    </w:rPr>
  </w:style>
  <w:style w:type="paragraph" w:customStyle="1" w:styleId="JuInitialled">
    <w:name w:val="Ju_Initialled"/>
    <w:basedOn w:val="Normal"/>
    <w:uiPriority w:val="31"/>
    <w:qFormat/>
    <w:rsid w:val="00324CAC"/>
    <w:pPr>
      <w:tabs>
        <w:tab w:val="center" w:pos="6407"/>
      </w:tabs>
      <w:spacing w:before="720"/>
      <w:jc w:val="right"/>
    </w:pPr>
  </w:style>
  <w:style w:type="paragraph" w:customStyle="1" w:styleId="OpiHA">
    <w:name w:val="Opi_H_A"/>
    <w:basedOn w:val="ECHRHeading1"/>
    <w:next w:val="OpiPara"/>
    <w:uiPriority w:val="41"/>
    <w:qFormat/>
    <w:rsid w:val="00324CAC"/>
    <w:pPr>
      <w:tabs>
        <w:tab w:val="clear" w:pos="357"/>
      </w:tabs>
      <w:outlineLvl w:val="1"/>
    </w:pPr>
    <w:rPr>
      <w:b/>
    </w:rPr>
  </w:style>
  <w:style w:type="paragraph" w:styleId="Header">
    <w:name w:val="header"/>
    <w:basedOn w:val="Normal"/>
    <w:link w:val="HeaderChar"/>
    <w:uiPriority w:val="57"/>
    <w:semiHidden/>
    <w:rsid w:val="00324CAC"/>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324CAC"/>
    <w:rPr>
      <w:sz w:val="24"/>
    </w:rPr>
  </w:style>
  <w:style w:type="character" w:customStyle="1" w:styleId="Heading1Char">
    <w:name w:val="Heading 1 Char"/>
    <w:basedOn w:val="DefaultParagraphFont"/>
    <w:link w:val="Heading1"/>
    <w:uiPriority w:val="99"/>
    <w:semiHidden/>
    <w:rsid w:val="00324CAC"/>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324CAC"/>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324CAC"/>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324CAC"/>
    <w:rPr>
      <w:rFonts w:asciiTheme="majorHAnsi" w:eastAsiaTheme="majorEastAsia" w:hAnsiTheme="majorHAnsi" w:cstheme="majorBidi"/>
      <w:b/>
      <w:bCs/>
      <w:color w:val="4D4D4D"/>
      <w:sz w:val="26"/>
      <w:szCs w:val="26"/>
    </w:rPr>
  </w:style>
  <w:style w:type="character" w:customStyle="1" w:styleId="JUNAMES">
    <w:name w:val="JU_NAMES"/>
    <w:uiPriority w:val="17"/>
    <w:qFormat/>
    <w:rsid w:val="00324CAC"/>
    <w:rPr>
      <w:caps w:val="0"/>
      <w:smallCaps/>
    </w:rPr>
  </w:style>
  <w:style w:type="paragraph" w:customStyle="1" w:styleId="JuCase">
    <w:name w:val="Ju_Case"/>
    <w:basedOn w:val="Normal"/>
    <w:next w:val="ECHRPara"/>
    <w:uiPriority w:val="10"/>
    <w:rsid w:val="00324CAC"/>
    <w:pPr>
      <w:ind w:firstLine="284"/>
    </w:pPr>
    <w:rPr>
      <w:b/>
    </w:rPr>
  </w:style>
  <w:style w:type="character" w:customStyle="1" w:styleId="Heading3Char">
    <w:name w:val="Heading 3 Char"/>
    <w:basedOn w:val="DefaultParagraphFont"/>
    <w:link w:val="Heading3"/>
    <w:uiPriority w:val="99"/>
    <w:semiHidden/>
    <w:rsid w:val="00324CAC"/>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324CAC"/>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324CAC"/>
    <w:rPr>
      <w:rFonts w:asciiTheme="majorHAnsi" w:eastAsiaTheme="majorEastAsia" w:hAnsiTheme="majorHAnsi" w:cstheme="majorBidi"/>
      <w:b/>
      <w:bCs/>
      <w:color w:val="808080"/>
    </w:rPr>
  </w:style>
  <w:style w:type="character" w:styleId="SubtleEmphasis">
    <w:name w:val="Subtle Emphasis"/>
    <w:uiPriority w:val="99"/>
    <w:semiHidden/>
    <w:qFormat/>
    <w:rsid w:val="00324CAC"/>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324CAC"/>
    <w:pPr>
      <w:keepNext/>
      <w:keepLines/>
      <w:spacing w:before="720" w:after="240"/>
      <w:outlineLvl w:val="0"/>
    </w:pPr>
    <w:rPr>
      <w:rFonts w:asciiTheme="majorHAnsi" w:hAnsiTheme="majorHAnsi"/>
      <w:sz w:val="28"/>
    </w:rPr>
  </w:style>
  <w:style w:type="character" w:styleId="Emphasis">
    <w:name w:val="Emphasis"/>
    <w:uiPriority w:val="99"/>
    <w:semiHidden/>
    <w:qFormat/>
    <w:rsid w:val="00324CAC"/>
    <w:rPr>
      <w:b/>
      <w:bCs/>
      <w:i/>
      <w:iCs/>
      <w:spacing w:val="10"/>
      <w:bdr w:val="none" w:sz="0" w:space="0" w:color="auto"/>
      <w:shd w:val="clear" w:color="auto" w:fill="auto"/>
    </w:rPr>
  </w:style>
  <w:style w:type="paragraph" w:styleId="Footer">
    <w:name w:val="footer"/>
    <w:basedOn w:val="Normal"/>
    <w:link w:val="FooterChar"/>
    <w:uiPriority w:val="57"/>
    <w:semiHidden/>
    <w:rsid w:val="00324CAC"/>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324CAC"/>
    <w:rPr>
      <w:sz w:val="24"/>
    </w:rPr>
  </w:style>
  <w:style w:type="character" w:styleId="FootnoteReference">
    <w:name w:val="footnote reference"/>
    <w:basedOn w:val="DefaultParagraphFont"/>
    <w:uiPriority w:val="99"/>
    <w:semiHidden/>
    <w:rsid w:val="00324CAC"/>
    <w:rPr>
      <w:vertAlign w:val="superscript"/>
    </w:rPr>
  </w:style>
  <w:style w:type="paragraph" w:styleId="FootnoteText">
    <w:name w:val="footnote text"/>
    <w:basedOn w:val="Normal"/>
    <w:link w:val="FootnoteTextChar"/>
    <w:uiPriority w:val="99"/>
    <w:semiHidden/>
    <w:rsid w:val="00324CAC"/>
    <w:rPr>
      <w:sz w:val="20"/>
      <w:szCs w:val="20"/>
    </w:rPr>
  </w:style>
  <w:style w:type="character" w:customStyle="1" w:styleId="FootnoteTextChar">
    <w:name w:val="Footnote Text Char"/>
    <w:basedOn w:val="DefaultParagraphFont"/>
    <w:link w:val="FootnoteText"/>
    <w:uiPriority w:val="99"/>
    <w:semiHidden/>
    <w:rsid w:val="00324CAC"/>
    <w:rPr>
      <w:rFonts w:eastAsiaTheme="minorEastAsia"/>
      <w:sz w:val="20"/>
      <w:szCs w:val="20"/>
    </w:rPr>
  </w:style>
  <w:style w:type="character" w:customStyle="1" w:styleId="Heading6Char">
    <w:name w:val="Heading 6 Char"/>
    <w:basedOn w:val="DefaultParagraphFont"/>
    <w:link w:val="Heading6"/>
    <w:uiPriority w:val="99"/>
    <w:semiHidden/>
    <w:rsid w:val="00324CAC"/>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324CAC"/>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324CA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324CAC"/>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324CAC"/>
    <w:rPr>
      <w:color w:val="0072BC" w:themeColor="hyperlink"/>
      <w:u w:val="single"/>
    </w:rPr>
  </w:style>
  <w:style w:type="character" w:styleId="IntenseEmphasis">
    <w:name w:val="Intense Emphasis"/>
    <w:uiPriority w:val="99"/>
    <w:semiHidden/>
    <w:qFormat/>
    <w:rsid w:val="00324CAC"/>
    <w:rPr>
      <w:b/>
      <w:bCs/>
    </w:rPr>
  </w:style>
  <w:style w:type="paragraph" w:styleId="IntenseQuote">
    <w:name w:val="Intense Quote"/>
    <w:basedOn w:val="Normal"/>
    <w:next w:val="Normal"/>
    <w:link w:val="IntenseQuoteChar"/>
    <w:uiPriority w:val="99"/>
    <w:semiHidden/>
    <w:qFormat/>
    <w:rsid w:val="00324CAC"/>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324CAC"/>
    <w:rPr>
      <w:rFonts w:eastAsiaTheme="minorEastAsia"/>
      <w:b/>
      <w:bCs/>
      <w:i/>
      <w:iCs/>
      <w:lang w:bidi="en-US"/>
    </w:rPr>
  </w:style>
  <w:style w:type="character" w:styleId="IntenseReference">
    <w:name w:val="Intense Reference"/>
    <w:uiPriority w:val="99"/>
    <w:semiHidden/>
    <w:qFormat/>
    <w:rsid w:val="00324CAC"/>
    <w:rPr>
      <w:smallCaps/>
      <w:spacing w:val="5"/>
      <w:u w:val="single"/>
    </w:rPr>
  </w:style>
  <w:style w:type="paragraph" w:styleId="ListParagraph">
    <w:name w:val="List Paragraph"/>
    <w:basedOn w:val="Normal"/>
    <w:uiPriority w:val="99"/>
    <w:semiHidden/>
    <w:qFormat/>
    <w:rsid w:val="00324CAC"/>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324CAC"/>
    <w:pPr>
      <w:spacing w:before="200"/>
      <w:ind w:left="360" w:right="360"/>
    </w:pPr>
    <w:rPr>
      <w:i/>
      <w:iCs/>
      <w:sz w:val="22"/>
      <w:lang w:bidi="en-US"/>
    </w:rPr>
  </w:style>
  <w:style w:type="character" w:customStyle="1" w:styleId="QuoteChar">
    <w:name w:val="Quote Char"/>
    <w:basedOn w:val="DefaultParagraphFont"/>
    <w:link w:val="Quote"/>
    <w:uiPriority w:val="99"/>
    <w:semiHidden/>
    <w:rsid w:val="00324CAC"/>
    <w:rPr>
      <w:rFonts w:eastAsiaTheme="minorEastAsia"/>
      <w:i/>
      <w:iCs/>
      <w:lang w:bidi="en-US"/>
    </w:rPr>
  </w:style>
  <w:style w:type="character" w:styleId="SubtleReference">
    <w:name w:val="Subtle Reference"/>
    <w:uiPriority w:val="99"/>
    <w:semiHidden/>
    <w:qFormat/>
    <w:rsid w:val="00324CAC"/>
    <w:rPr>
      <w:smallCaps/>
    </w:rPr>
  </w:style>
  <w:style w:type="table" w:styleId="TableGrid">
    <w:name w:val="Table Grid"/>
    <w:basedOn w:val="TableNormal"/>
    <w:uiPriority w:val="59"/>
    <w:semiHidden/>
    <w:rsid w:val="00324CA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324CAC"/>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324CAC"/>
    <w:pPr>
      <w:spacing w:after="60"/>
      <w:ind w:left="680" w:right="340" w:hanging="340"/>
    </w:pPr>
  </w:style>
  <w:style w:type="paragraph" w:styleId="TOC3">
    <w:name w:val="toc 3"/>
    <w:basedOn w:val="Normal"/>
    <w:next w:val="Normal"/>
    <w:autoRedefine/>
    <w:uiPriority w:val="99"/>
    <w:semiHidden/>
    <w:rsid w:val="00324CAC"/>
    <w:pPr>
      <w:spacing w:after="60"/>
      <w:ind w:left="1020" w:right="340" w:hanging="340"/>
    </w:pPr>
  </w:style>
  <w:style w:type="paragraph" w:styleId="TOC4">
    <w:name w:val="toc 4"/>
    <w:basedOn w:val="Normal"/>
    <w:next w:val="Normal"/>
    <w:autoRedefine/>
    <w:uiPriority w:val="99"/>
    <w:semiHidden/>
    <w:rsid w:val="00324CAC"/>
    <w:pPr>
      <w:tabs>
        <w:tab w:val="right" w:leader="dot" w:pos="9017"/>
      </w:tabs>
      <w:spacing w:after="60"/>
      <w:ind w:left="1361" w:right="340" w:hanging="340"/>
    </w:pPr>
  </w:style>
  <w:style w:type="paragraph" w:styleId="TOC5">
    <w:name w:val="toc 5"/>
    <w:basedOn w:val="Normal"/>
    <w:next w:val="Normal"/>
    <w:autoRedefine/>
    <w:uiPriority w:val="99"/>
    <w:semiHidden/>
    <w:rsid w:val="00324CAC"/>
    <w:pPr>
      <w:spacing w:after="60"/>
      <w:ind w:left="1701" w:right="340" w:hanging="340"/>
    </w:pPr>
  </w:style>
  <w:style w:type="paragraph" w:styleId="TOCHeading">
    <w:name w:val="TOC Heading"/>
    <w:basedOn w:val="Heading1"/>
    <w:next w:val="Normal"/>
    <w:uiPriority w:val="99"/>
    <w:semiHidden/>
    <w:qFormat/>
    <w:rsid w:val="00324CAC"/>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324CAC"/>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Para_Quote"/>
    <w:basedOn w:val="Normal"/>
    <w:link w:val="JuQuotChar"/>
    <w:uiPriority w:val="14"/>
    <w:qFormat/>
    <w:rsid w:val="00324CAC"/>
    <w:pPr>
      <w:spacing w:before="120" w:after="120"/>
      <w:ind w:left="425" w:firstLine="142"/>
    </w:pPr>
    <w:rPr>
      <w:sz w:val="20"/>
    </w:rPr>
  </w:style>
  <w:style w:type="paragraph" w:customStyle="1" w:styleId="ECHRPara">
    <w:name w:val="ECHR_Para"/>
    <w:aliases w:val="Ju_Para"/>
    <w:basedOn w:val="Normal"/>
    <w:link w:val="ECHRParaChar"/>
    <w:uiPriority w:val="12"/>
    <w:qFormat/>
    <w:rsid w:val="00324CAC"/>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324CAC"/>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324CAC"/>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324CAC"/>
    <w:pPr>
      <w:ind w:left="340" w:hanging="340"/>
    </w:pPr>
  </w:style>
  <w:style w:type="paragraph" w:customStyle="1" w:styleId="JuSigned">
    <w:name w:val="Ju_Signed"/>
    <w:basedOn w:val="Normal"/>
    <w:next w:val="JuParaLast"/>
    <w:uiPriority w:val="32"/>
    <w:qFormat/>
    <w:rsid w:val="00324CAC"/>
    <w:pPr>
      <w:tabs>
        <w:tab w:val="center" w:pos="851"/>
        <w:tab w:val="center" w:pos="6407"/>
      </w:tabs>
      <w:spacing w:before="720"/>
      <w:jc w:val="left"/>
    </w:pPr>
  </w:style>
  <w:style w:type="paragraph" w:customStyle="1" w:styleId="JuParaLast">
    <w:name w:val="Ju_Para_Last"/>
    <w:basedOn w:val="Normal"/>
    <w:next w:val="ECHRPara"/>
    <w:uiPriority w:val="30"/>
    <w:qFormat/>
    <w:rsid w:val="00324CAC"/>
    <w:pPr>
      <w:keepNext/>
      <w:keepLines/>
      <w:spacing w:before="240"/>
      <w:ind w:firstLine="284"/>
    </w:pPr>
  </w:style>
  <w:style w:type="character" w:customStyle="1" w:styleId="JuITMark">
    <w:name w:val="Ju_ITMark"/>
    <w:basedOn w:val="DefaultParagraphFont"/>
    <w:uiPriority w:val="38"/>
    <w:qFormat/>
    <w:rsid w:val="00324CAC"/>
    <w:rPr>
      <w:vanish w:val="0"/>
      <w:color w:val="auto"/>
      <w:sz w:val="14"/>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324CAC"/>
    <w:pPr>
      <w:ind w:left="346" w:firstLine="0"/>
    </w:pPr>
  </w:style>
  <w:style w:type="paragraph" w:customStyle="1" w:styleId="OpiTranslation">
    <w:name w:val="Opi_Translation"/>
    <w:basedOn w:val="Normal"/>
    <w:next w:val="OpiPara"/>
    <w:uiPriority w:val="40"/>
    <w:qFormat/>
    <w:rsid w:val="00324CAC"/>
    <w:pPr>
      <w:jc w:val="center"/>
      <w:outlineLvl w:val="0"/>
    </w:pPr>
    <w:rPr>
      <w:i/>
    </w:r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uiPriority w:val="99"/>
    <w:semiHidden/>
    <w:rsid w:val="00014566"/>
    <w:rPr>
      <w:sz w:val="20"/>
    </w:rPr>
  </w:style>
  <w:style w:type="character" w:customStyle="1" w:styleId="CommentTextChar">
    <w:name w:val="Comment Text Char"/>
    <w:basedOn w:val="DefaultParagraphFont"/>
    <w:link w:val="CommentText"/>
    <w:uiPriority w:val="99"/>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DecHTitle">
    <w:name w:val="Dec_H_Title"/>
    <w:basedOn w:val="ECHRTitleCentre1"/>
    <w:uiPriority w:val="7"/>
    <w:rsid w:val="00324CAC"/>
  </w:style>
  <w:style w:type="paragraph" w:styleId="ListBullet">
    <w:name w:val="List Bullet"/>
    <w:basedOn w:val="Normal"/>
    <w:uiPriority w:val="99"/>
    <w:semiHidden/>
    <w:rsid w:val="00014566"/>
    <w:pPr>
      <w:numPr>
        <w:numId w:val="1"/>
      </w:numPr>
    </w:pPr>
  </w:style>
  <w:style w:type="paragraph" w:customStyle="1" w:styleId="JuCourt">
    <w:name w:val="Ju_Court"/>
    <w:basedOn w:val="Normal"/>
    <w:next w:val="Normal"/>
    <w:uiPriority w:val="16"/>
    <w:qFormat/>
    <w:rsid w:val="00324CAC"/>
    <w:pPr>
      <w:tabs>
        <w:tab w:val="left" w:pos="907"/>
        <w:tab w:val="left" w:pos="1701"/>
        <w:tab w:val="right" w:pos="7371"/>
      </w:tabs>
      <w:spacing w:before="240"/>
      <w:ind w:left="397" w:hanging="397"/>
      <w:jc w:val="left"/>
    </w:pPr>
    <w:rPr>
      <w:lang w:bidi="en-US"/>
    </w:rPr>
  </w:style>
  <w:style w:type="paragraph" w:styleId="Subtitle">
    <w:name w:val="Subtitle"/>
    <w:basedOn w:val="Normal"/>
    <w:next w:val="Normal"/>
    <w:link w:val="SubtitleChar"/>
    <w:uiPriority w:val="99"/>
    <w:semiHidden/>
    <w:qFormat/>
    <w:rsid w:val="00324CAC"/>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324CAC"/>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ECHRParaChar">
    <w:name w:val="ECHR_Para Char"/>
    <w:aliases w:val="Ju_Para Char"/>
    <w:basedOn w:val="DefaultParagraphFont"/>
    <w:link w:val="ECHRPara"/>
    <w:uiPriority w:val="12"/>
    <w:rsid w:val="0049721D"/>
    <w:rPr>
      <w:rFonts w:eastAsiaTheme="minorEastAsia"/>
      <w:sz w:val="24"/>
    </w:rPr>
  </w:style>
  <w:style w:type="paragraph" w:customStyle="1" w:styleId="DecList">
    <w:name w:val="Dec_List"/>
    <w:basedOn w:val="Normal"/>
    <w:uiPriority w:val="9"/>
    <w:rsid w:val="00324CAC"/>
    <w:pPr>
      <w:spacing w:before="240"/>
      <w:ind w:left="284"/>
    </w:pPr>
  </w:style>
  <w:style w:type="paragraph" w:customStyle="1" w:styleId="JuListi">
    <w:name w:val="Ju_List_i"/>
    <w:basedOn w:val="Normal"/>
    <w:next w:val="JuLista"/>
    <w:uiPriority w:val="28"/>
    <w:qFormat/>
    <w:rsid w:val="00324CAC"/>
    <w:pPr>
      <w:ind w:left="794"/>
    </w:pPr>
  </w:style>
  <w:style w:type="paragraph" w:customStyle="1" w:styleId="OpiH1">
    <w:name w:val="Opi_H_1"/>
    <w:basedOn w:val="ECHRHeading2"/>
    <w:uiPriority w:val="42"/>
    <w:qFormat/>
    <w:rsid w:val="00324CAC"/>
    <w:pPr>
      <w:ind w:left="635" w:hanging="357"/>
      <w:outlineLvl w:val="2"/>
    </w:pPr>
  </w:style>
  <w:style w:type="paragraph" w:customStyle="1" w:styleId="OpiHa0">
    <w:name w:val="Opi_H_a"/>
    <w:basedOn w:val="ECHRHeading3"/>
    <w:uiPriority w:val="43"/>
    <w:qFormat/>
    <w:rsid w:val="00324CAC"/>
    <w:pPr>
      <w:ind w:left="833" w:hanging="357"/>
      <w:outlineLvl w:val="3"/>
    </w:pPr>
    <w:rPr>
      <w:b/>
      <w:i w:val="0"/>
      <w:sz w:val="20"/>
    </w:rPr>
  </w:style>
  <w:style w:type="paragraph" w:customStyle="1" w:styleId="OpiHi">
    <w:name w:val="Opi_H_i"/>
    <w:basedOn w:val="ECHRHeading4"/>
    <w:uiPriority w:val="44"/>
    <w:qFormat/>
    <w:rsid w:val="00324CAC"/>
    <w:pPr>
      <w:ind w:left="1037" w:hanging="357"/>
      <w:outlineLvl w:val="4"/>
    </w:pPr>
    <w:rPr>
      <w:b w:val="0"/>
      <w:i/>
    </w:rPr>
  </w:style>
  <w:style w:type="paragraph" w:customStyle="1" w:styleId="DummyStyle">
    <w:name w:val="Dummy_Style"/>
    <w:basedOn w:val="Normal"/>
    <w:semiHidden/>
    <w:qFormat/>
    <w:rsid w:val="00324CAC"/>
    <w:rPr>
      <w:color w:val="00B050"/>
    </w:rPr>
  </w:style>
  <w:style w:type="character" w:customStyle="1" w:styleId="JuQuotChar">
    <w:name w:val="Ju_Quot Char"/>
    <w:link w:val="ECHRParaQuote"/>
    <w:uiPriority w:val="14"/>
    <w:rsid w:val="002170FD"/>
    <w:rPr>
      <w:rFonts w:eastAsiaTheme="minorEastAsia"/>
      <w:sz w:val="20"/>
    </w:rPr>
  </w:style>
  <w:style w:type="paragraph" w:customStyle="1" w:styleId="jupara">
    <w:name w:val="jupara"/>
    <w:basedOn w:val="Normal"/>
    <w:rsid w:val="00EA08F6"/>
    <w:pPr>
      <w:ind w:firstLine="284"/>
    </w:pPr>
    <w:rPr>
      <w:rFonts w:ascii="Times New Roman" w:eastAsia="Times New Roman" w:hAnsi="Times New Roman" w:cs="Times New Roman"/>
      <w:szCs w:val="24"/>
      <w:lang w:val="en-GB" w:eastAsia="en-GB"/>
    </w:rPr>
  </w:style>
  <w:style w:type="paragraph" w:customStyle="1" w:styleId="jucase0">
    <w:name w:val="jucase"/>
    <w:basedOn w:val="Normal"/>
    <w:rsid w:val="00EA08F6"/>
    <w:pPr>
      <w:ind w:firstLine="284"/>
    </w:pPr>
    <w:rPr>
      <w:rFonts w:ascii="Times New Roman" w:eastAsia="Times New Roman" w:hAnsi="Times New Roman" w:cs="Times New Roman"/>
      <w:b/>
      <w:bCs/>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4109">
      <w:bodyDiv w:val="1"/>
      <w:marLeft w:val="0"/>
      <w:marRight w:val="0"/>
      <w:marTop w:val="0"/>
      <w:marBottom w:val="0"/>
      <w:divBdr>
        <w:top w:val="none" w:sz="0" w:space="0" w:color="auto"/>
        <w:left w:val="none" w:sz="0" w:space="0" w:color="auto"/>
        <w:bottom w:val="none" w:sz="0" w:space="0" w:color="auto"/>
        <w:right w:val="none" w:sz="0" w:space="0" w:color="auto"/>
      </w:divBdr>
      <w:divsChild>
        <w:div w:id="828788188">
          <w:marLeft w:val="0"/>
          <w:marRight w:val="0"/>
          <w:marTop w:val="0"/>
          <w:marBottom w:val="0"/>
          <w:divBdr>
            <w:top w:val="none" w:sz="0" w:space="0" w:color="auto"/>
            <w:left w:val="none" w:sz="0" w:space="0" w:color="auto"/>
            <w:bottom w:val="none" w:sz="0" w:space="0" w:color="auto"/>
            <w:right w:val="none" w:sz="0" w:space="0" w:color="auto"/>
          </w:divBdr>
          <w:divsChild>
            <w:div w:id="116603456">
              <w:marLeft w:val="0"/>
              <w:marRight w:val="0"/>
              <w:marTop w:val="0"/>
              <w:marBottom w:val="0"/>
              <w:divBdr>
                <w:top w:val="none" w:sz="0" w:space="0" w:color="auto"/>
                <w:left w:val="none" w:sz="0" w:space="0" w:color="auto"/>
                <w:bottom w:val="none" w:sz="0" w:space="0" w:color="auto"/>
                <w:right w:val="none" w:sz="0" w:space="0" w:color="auto"/>
              </w:divBdr>
              <w:divsChild>
                <w:div w:id="832068538">
                  <w:marLeft w:val="0"/>
                  <w:marRight w:val="0"/>
                  <w:marTop w:val="0"/>
                  <w:marBottom w:val="0"/>
                  <w:divBdr>
                    <w:top w:val="none" w:sz="0" w:space="0" w:color="auto"/>
                    <w:left w:val="none" w:sz="0" w:space="0" w:color="auto"/>
                    <w:bottom w:val="none" w:sz="0" w:space="0" w:color="auto"/>
                    <w:right w:val="none" w:sz="0" w:space="0" w:color="auto"/>
                  </w:divBdr>
                  <w:divsChild>
                    <w:div w:id="830172739">
                      <w:marLeft w:val="0"/>
                      <w:marRight w:val="0"/>
                      <w:marTop w:val="0"/>
                      <w:marBottom w:val="0"/>
                      <w:divBdr>
                        <w:top w:val="none" w:sz="0" w:space="0" w:color="auto"/>
                        <w:left w:val="none" w:sz="0" w:space="0" w:color="auto"/>
                        <w:bottom w:val="none" w:sz="0" w:space="0" w:color="auto"/>
                        <w:right w:val="none" w:sz="0" w:space="0" w:color="auto"/>
                      </w:divBdr>
                      <w:divsChild>
                        <w:div w:id="324092539">
                          <w:marLeft w:val="0"/>
                          <w:marRight w:val="0"/>
                          <w:marTop w:val="0"/>
                          <w:marBottom w:val="0"/>
                          <w:divBdr>
                            <w:top w:val="none" w:sz="0" w:space="0" w:color="auto"/>
                            <w:left w:val="none" w:sz="0" w:space="0" w:color="auto"/>
                            <w:bottom w:val="none" w:sz="0" w:space="0" w:color="auto"/>
                            <w:right w:val="none" w:sz="0" w:space="0" w:color="auto"/>
                          </w:divBdr>
                        </w:div>
                        <w:div w:id="20410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856651">
      <w:bodyDiv w:val="1"/>
      <w:marLeft w:val="0"/>
      <w:marRight w:val="0"/>
      <w:marTop w:val="0"/>
      <w:marBottom w:val="0"/>
      <w:divBdr>
        <w:top w:val="none" w:sz="0" w:space="0" w:color="auto"/>
        <w:left w:val="none" w:sz="0" w:space="0" w:color="auto"/>
        <w:bottom w:val="none" w:sz="0" w:space="0" w:color="auto"/>
        <w:right w:val="none" w:sz="0" w:space="0" w:color="auto"/>
      </w:divBdr>
    </w:div>
    <w:div w:id="654647153">
      <w:bodyDiv w:val="1"/>
      <w:marLeft w:val="0"/>
      <w:marRight w:val="0"/>
      <w:marTop w:val="0"/>
      <w:marBottom w:val="0"/>
      <w:divBdr>
        <w:top w:val="none" w:sz="0" w:space="0" w:color="auto"/>
        <w:left w:val="none" w:sz="0" w:space="0" w:color="auto"/>
        <w:bottom w:val="none" w:sz="0" w:space="0" w:color="auto"/>
        <w:right w:val="none" w:sz="0" w:space="0" w:color="auto"/>
      </w:divBdr>
    </w:div>
    <w:div w:id="886717047">
      <w:bodyDiv w:val="1"/>
      <w:marLeft w:val="0"/>
      <w:marRight w:val="0"/>
      <w:marTop w:val="0"/>
      <w:marBottom w:val="0"/>
      <w:divBdr>
        <w:top w:val="none" w:sz="0" w:space="0" w:color="auto"/>
        <w:left w:val="none" w:sz="0" w:space="0" w:color="auto"/>
        <w:bottom w:val="none" w:sz="0" w:space="0" w:color="auto"/>
        <w:right w:val="none" w:sz="0" w:space="0" w:color="auto"/>
      </w:divBdr>
    </w:div>
    <w:div w:id="989287306">
      <w:bodyDiv w:val="1"/>
      <w:marLeft w:val="0"/>
      <w:marRight w:val="0"/>
      <w:marTop w:val="0"/>
      <w:marBottom w:val="0"/>
      <w:divBdr>
        <w:top w:val="none" w:sz="0" w:space="0" w:color="auto"/>
        <w:left w:val="none" w:sz="0" w:space="0" w:color="auto"/>
        <w:bottom w:val="none" w:sz="0" w:space="0" w:color="auto"/>
        <w:right w:val="none" w:sz="0" w:space="0" w:color="auto"/>
      </w:divBdr>
      <w:divsChild>
        <w:div w:id="1025251558">
          <w:marLeft w:val="0"/>
          <w:marRight w:val="0"/>
          <w:marTop w:val="0"/>
          <w:marBottom w:val="0"/>
          <w:divBdr>
            <w:top w:val="none" w:sz="0" w:space="0" w:color="auto"/>
            <w:left w:val="none" w:sz="0" w:space="0" w:color="auto"/>
            <w:bottom w:val="none" w:sz="0" w:space="0" w:color="auto"/>
            <w:right w:val="none" w:sz="0" w:space="0" w:color="auto"/>
          </w:divBdr>
          <w:divsChild>
            <w:div w:id="1323463956">
              <w:marLeft w:val="0"/>
              <w:marRight w:val="0"/>
              <w:marTop w:val="0"/>
              <w:marBottom w:val="0"/>
              <w:divBdr>
                <w:top w:val="none" w:sz="0" w:space="0" w:color="auto"/>
                <w:left w:val="none" w:sz="0" w:space="0" w:color="auto"/>
                <w:bottom w:val="none" w:sz="0" w:space="0" w:color="auto"/>
                <w:right w:val="none" w:sz="0" w:space="0" w:color="auto"/>
              </w:divBdr>
              <w:divsChild>
                <w:div w:id="277682507">
                  <w:marLeft w:val="0"/>
                  <w:marRight w:val="0"/>
                  <w:marTop w:val="0"/>
                  <w:marBottom w:val="0"/>
                  <w:divBdr>
                    <w:top w:val="none" w:sz="0" w:space="0" w:color="auto"/>
                    <w:left w:val="none" w:sz="0" w:space="0" w:color="auto"/>
                    <w:bottom w:val="none" w:sz="0" w:space="0" w:color="auto"/>
                    <w:right w:val="none" w:sz="0" w:space="0" w:color="auto"/>
                  </w:divBdr>
                  <w:divsChild>
                    <w:div w:id="957563068">
                      <w:marLeft w:val="0"/>
                      <w:marRight w:val="0"/>
                      <w:marTop w:val="0"/>
                      <w:marBottom w:val="0"/>
                      <w:divBdr>
                        <w:top w:val="none" w:sz="0" w:space="0" w:color="auto"/>
                        <w:left w:val="none" w:sz="0" w:space="0" w:color="auto"/>
                        <w:bottom w:val="none" w:sz="0" w:space="0" w:color="auto"/>
                        <w:right w:val="none" w:sz="0" w:space="0" w:color="auto"/>
                      </w:divBdr>
                      <w:divsChild>
                        <w:div w:id="1121151922">
                          <w:marLeft w:val="0"/>
                          <w:marRight w:val="0"/>
                          <w:marTop w:val="0"/>
                          <w:marBottom w:val="0"/>
                          <w:divBdr>
                            <w:top w:val="none" w:sz="0" w:space="0" w:color="auto"/>
                            <w:left w:val="none" w:sz="0" w:space="0" w:color="auto"/>
                            <w:bottom w:val="none" w:sz="0" w:space="0" w:color="auto"/>
                            <w:right w:val="none" w:sz="0" w:space="0" w:color="auto"/>
                          </w:divBdr>
                          <w:divsChild>
                            <w:div w:id="15252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39603">
      <w:bodyDiv w:val="1"/>
      <w:marLeft w:val="0"/>
      <w:marRight w:val="0"/>
      <w:marTop w:val="0"/>
      <w:marBottom w:val="0"/>
      <w:divBdr>
        <w:top w:val="none" w:sz="0" w:space="0" w:color="auto"/>
        <w:left w:val="none" w:sz="0" w:space="0" w:color="auto"/>
        <w:bottom w:val="none" w:sz="0" w:space="0" w:color="auto"/>
        <w:right w:val="none" w:sz="0" w:space="0" w:color="auto"/>
      </w:divBdr>
    </w:div>
    <w:div w:id="1219585307">
      <w:bodyDiv w:val="1"/>
      <w:marLeft w:val="0"/>
      <w:marRight w:val="0"/>
      <w:marTop w:val="0"/>
      <w:marBottom w:val="0"/>
      <w:divBdr>
        <w:top w:val="none" w:sz="0" w:space="0" w:color="auto"/>
        <w:left w:val="none" w:sz="0" w:space="0" w:color="auto"/>
        <w:bottom w:val="none" w:sz="0" w:space="0" w:color="auto"/>
        <w:right w:val="none" w:sz="0" w:space="0" w:color="auto"/>
      </w:divBdr>
      <w:divsChild>
        <w:div w:id="1434594456">
          <w:marLeft w:val="0"/>
          <w:marRight w:val="0"/>
          <w:marTop w:val="0"/>
          <w:marBottom w:val="0"/>
          <w:divBdr>
            <w:top w:val="none" w:sz="0" w:space="0" w:color="auto"/>
            <w:left w:val="none" w:sz="0" w:space="0" w:color="auto"/>
            <w:bottom w:val="none" w:sz="0" w:space="0" w:color="auto"/>
            <w:right w:val="none" w:sz="0" w:space="0" w:color="auto"/>
          </w:divBdr>
          <w:divsChild>
            <w:div w:id="927276950">
              <w:marLeft w:val="0"/>
              <w:marRight w:val="0"/>
              <w:marTop w:val="0"/>
              <w:marBottom w:val="0"/>
              <w:divBdr>
                <w:top w:val="none" w:sz="0" w:space="0" w:color="auto"/>
                <w:left w:val="none" w:sz="0" w:space="0" w:color="auto"/>
                <w:bottom w:val="none" w:sz="0" w:space="0" w:color="auto"/>
                <w:right w:val="none" w:sz="0" w:space="0" w:color="auto"/>
              </w:divBdr>
              <w:divsChild>
                <w:div w:id="1097747626">
                  <w:marLeft w:val="0"/>
                  <w:marRight w:val="0"/>
                  <w:marTop w:val="0"/>
                  <w:marBottom w:val="0"/>
                  <w:divBdr>
                    <w:top w:val="none" w:sz="0" w:space="0" w:color="auto"/>
                    <w:left w:val="none" w:sz="0" w:space="0" w:color="auto"/>
                    <w:bottom w:val="none" w:sz="0" w:space="0" w:color="auto"/>
                    <w:right w:val="none" w:sz="0" w:space="0" w:color="auto"/>
                  </w:divBdr>
                  <w:divsChild>
                    <w:div w:id="156653619">
                      <w:marLeft w:val="0"/>
                      <w:marRight w:val="0"/>
                      <w:marTop w:val="0"/>
                      <w:marBottom w:val="0"/>
                      <w:divBdr>
                        <w:top w:val="none" w:sz="0" w:space="0" w:color="auto"/>
                        <w:left w:val="none" w:sz="0" w:space="0" w:color="auto"/>
                        <w:bottom w:val="none" w:sz="0" w:space="0" w:color="auto"/>
                        <w:right w:val="none" w:sz="0" w:space="0" w:color="auto"/>
                      </w:divBdr>
                      <w:divsChild>
                        <w:div w:id="1742092090">
                          <w:marLeft w:val="0"/>
                          <w:marRight w:val="0"/>
                          <w:marTop w:val="0"/>
                          <w:marBottom w:val="0"/>
                          <w:divBdr>
                            <w:top w:val="none" w:sz="0" w:space="0" w:color="auto"/>
                            <w:left w:val="none" w:sz="0" w:space="0" w:color="auto"/>
                            <w:bottom w:val="none" w:sz="0" w:space="0" w:color="auto"/>
                            <w:right w:val="none" w:sz="0" w:space="0" w:color="auto"/>
                          </w:divBdr>
                          <w:divsChild>
                            <w:div w:id="9293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915799">
      <w:bodyDiv w:val="1"/>
      <w:marLeft w:val="0"/>
      <w:marRight w:val="0"/>
      <w:marTop w:val="0"/>
      <w:marBottom w:val="0"/>
      <w:divBdr>
        <w:top w:val="none" w:sz="0" w:space="0" w:color="auto"/>
        <w:left w:val="none" w:sz="0" w:space="0" w:color="auto"/>
        <w:bottom w:val="none" w:sz="0" w:space="0" w:color="auto"/>
        <w:right w:val="none" w:sz="0" w:space="0" w:color="auto"/>
      </w:divBdr>
    </w:div>
    <w:div w:id="1327632350">
      <w:bodyDiv w:val="1"/>
      <w:marLeft w:val="0"/>
      <w:marRight w:val="0"/>
      <w:marTop w:val="0"/>
      <w:marBottom w:val="0"/>
      <w:divBdr>
        <w:top w:val="none" w:sz="0" w:space="0" w:color="auto"/>
        <w:left w:val="none" w:sz="0" w:space="0" w:color="auto"/>
        <w:bottom w:val="none" w:sz="0" w:space="0" w:color="auto"/>
        <w:right w:val="none" w:sz="0" w:space="0" w:color="auto"/>
      </w:divBdr>
      <w:divsChild>
        <w:div w:id="739864172">
          <w:marLeft w:val="0"/>
          <w:marRight w:val="0"/>
          <w:marTop w:val="0"/>
          <w:marBottom w:val="0"/>
          <w:divBdr>
            <w:top w:val="none" w:sz="0" w:space="0" w:color="auto"/>
            <w:left w:val="none" w:sz="0" w:space="0" w:color="auto"/>
            <w:bottom w:val="none" w:sz="0" w:space="0" w:color="auto"/>
            <w:right w:val="none" w:sz="0" w:space="0" w:color="auto"/>
          </w:divBdr>
          <w:divsChild>
            <w:div w:id="1947156329">
              <w:marLeft w:val="0"/>
              <w:marRight w:val="0"/>
              <w:marTop w:val="0"/>
              <w:marBottom w:val="0"/>
              <w:divBdr>
                <w:top w:val="none" w:sz="0" w:space="0" w:color="auto"/>
                <w:left w:val="none" w:sz="0" w:space="0" w:color="auto"/>
                <w:bottom w:val="none" w:sz="0" w:space="0" w:color="auto"/>
                <w:right w:val="none" w:sz="0" w:space="0" w:color="auto"/>
              </w:divBdr>
              <w:divsChild>
                <w:div w:id="224267838">
                  <w:marLeft w:val="0"/>
                  <w:marRight w:val="0"/>
                  <w:marTop w:val="0"/>
                  <w:marBottom w:val="0"/>
                  <w:divBdr>
                    <w:top w:val="none" w:sz="0" w:space="0" w:color="auto"/>
                    <w:left w:val="none" w:sz="0" w:space="0" w:color="auto"/>
                    <w:bottom w:val="none" w:sz="0" w:space="0" w:color="auto"/>
                    <w:right w:val="none" w:sz="0" w:space="0" w:color="auto"/>
                  </w:divBdr>
                  <w:divsChild>
                    <w:div w:id="647396444">
                      <w:marLeft w:val="0"/>
                      <w:marRight w:val="0"/>
                      <w:marTop w:val="0"/>
                      <w:marBottom w:val="0"/>
                      <w:divBdr>
                        <w:top w:val="none" w:sz="0" w:space="0" w:color="auto"/>
                        <w:left w:val="none" w:sz="0" w:space="0" w:color="auto"/>
                        <w:bottom w:val="none" w:sz="0" w:space="0" w:color="auto"/>
                        <w:right w:val="none" w:sz="0" w:space="0" w:color="auto"/>
                      </w:divBdr>
                      <w:divsChild>
                        <w:div w:id="1693528398">
                          <w:marLeft w:val="0"/>
                          <w:marRight w:val="0"/>
                          <w:marTop w:val="0"/>
                          <w:marBottom w:val="0"/>
                          <w:divBdr>
                            <w:top w:val="none" w:sz="0" w:space="0" w:color="auto"/>
                            <w:left w:val="none" w:sz="0" w:space="0" w:color="auto"/>
                            <w:bottom w:val="none" w:sz="0" w:space="0" w:color="auto"/>
                            <w:right w:val="none" w:sz="0" w:space="0" w:color="auto"/>
                          </w:divBdr>
                          <w:divsChild>
                            <w:div w:id="9937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055823">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75416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AAF6B-7E7F-4289-99BE-2E4F58212EA0}">
  <ds:schemaRefs>
    <ds:schemaRef ds:uri="http://schemas.microsoft.com/sharepoint/v3/contenttype/forms"/>
  </ds:schemaRefs>
</ds:datastoreItem>
</file>

<file path=customXml/itemProps2.xml><?xml version="1.0" encoding="utf-8"?>
<ds:datastoreItem xmlns:ds="http://schemas.openxmlformats.org/officeDocument/2006/customXml" ds:itemID="{26FD341A-98D4-41AB-9ED7-EAE436824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4AE2FE-8C35-4FAB-8F34-DEDBA9471A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9E48E1-E246-420B-B6C4-FC1F7C0F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41980</Words>
  <Characters>23930</Characters>
  <Application>Microsoft Office Word</Application>
  <DocSecurity>0</DocSecurity>
  <Lines>199</Lines>
  <Paragraphs>131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ECHR</vt:lpstr>
      <vt:lpstr>ECHR</vt:lpstr>
    </vt:vector>
  </TitlesOfParts>
  <LinksUpToDate>false</LinksUpToDate>
  <CharactersWithSpaces>65779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2016-02-09T14:49:00Z</dcterms:created>
  <dcterms:modified xsi:type="dcterms:W3CDTF">2016-02-09T14:49:00Z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