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F2F" w:rsidRPr="00475F2F" w:rsidRDefault="00475F2F" w:rsidP="00475F2F">
      <w:pPr>
        <w:shd w:val="clear" w:color="auto" w:fill="FFFFFF"/>
        <w:spacing w:after="120" w:line="240" w:lineRule="auto"/>
        <w:jc w:val="right"/>
        <w:rPr>
          <w:rFonts w:ascii="Times New Roman" w:eastAsia="Times New Roman" w:hAnsi="Times New Roman" w:cs="Times New Roman"/>
          <w:b/>
          <w:i/>
          <w:color w:val="1B1D1F"/>
          <w:sz w:val="24"/>
          <w:szCs w:val="24"/>
          <w:lang w:eastAsia="lv-LV"/>
        </w:rPr>
      </w:pPr>
      <w:r w:rsidRPr="00475F2F">
        <w:rPr>
          <w:rFonts w:ascii="Times New Roman" w:eastAsia="Times New Roman" w:hAnsi="Times New Roman" w:cs="Times New Roman"/>
          <w:b/>
          <w:i/>
          <w:color w:val="1B1D1F"/>
          <w:sz w:val="24"/>
          <w:szCs w:val="24"/>
          <w:lang w:eastAsia="lv-LV"/>
        </w:rPr>
        <w:t xml:space="preserve">Ārlietu ministrijas </w:t>
      </w:r>
      <w:r w:rsidRPr="00475F2F">
        <w:rPr>
          <w:rFonts w:ascii="Times New Roman" w:eastAsia="Times New Roman" w:hAnsi="Times New Roman" w:cs="Times New Roman"/>
          <w:b/>
          <w:i/>
          <w:color w:val="1B1D1F"/>
          <w:sz w:val="24"/>
          <w:szCs w:val="24"/>
          <w:lang w:eastAsia="lv-LV"/>
        </w:rPr>
        <w:t>Preses un informācijas nodaļa</w:t>
      </w:r>
    </w:p>
    <w:p w:rsidR="00475F2F" w:rsidRDefault="00475F2F" w:rsidP="00A904FC">
      <w:pPr>
        <w:shd w:val="clear" w:color="auto" w:fill="FFFFFF"/>
        <w:spacing w:after="120" w:line="240" w:lineRule="auto"/>
        <w:jc w:val="both"/>
        <w:outlineLvl w:val="0"/>
        <w:rPr>
          <w:rFonts w:ascii="Times New Roman" w:eastAsia="Times New Roman" w:hAnsi="Times New Roman" w:cs="Times New Roman"/>
          <w:b/>
          <w:bCs/>
          <w:kern w:val="36"/>
          <w:sz w:val="24"/>
          <w:szCs w:val="24"/>
          <w:lang w:eastAsia="lv-LV"/>
        </w:rPr>
      </w:pPr>
    </w:p>
    <w:p w:rsidR="00AC3646" w:rsidRPr="00475F2F" w:rsidRDefault="00AC3646" w:rsidP="00475F2F">
      <w:pPr>
        <w:shd w:val="clear" w:color="auto" w:fill="FFFFFF"/>
        <w:spacing w:after="120" w:line="240" w:lineRule="auto"/>
        <w:jc w:val="center"/>
        <w:outlineLvl w:val="0"/>
        <w:rPr>
          <w:rFonts w:ascii="Times New Roman" w:eastAsia="Times New Roman" w:hAnsi="Times New Roman" w:cs="Times New Roman"/>
          <w:b/>
          <w:bCs/>
          <w:kern w:val="36"/>
          <w:sz w:val="28"/>
          <w:szCs w:val="28"/>
          <w:lang w:eastAsia="lv-LV"/>
        </w:rPr>
      </w:pPr>
      <w:r w:rsidRPr="00475F2F">
        <w:rPr>
          <w:rFonts w:ascii="Times New Roman" w:eastAsia="Times New Roman" w:hAnsi="Times New Roman" w:cs="Times New Roman"/>
          <w:b/>
          <w:bCs/>
          <w:kern w:val="36"/>
          <w:sz w:val="28"/>
          <w:szCs w:val="28"/>
          <w:lang w:eastAsia="lv-LV"/>
        </w:rPr>
        <w:t>Eiropas Cilvēktiesību tiesa pasludina spriedumu lietā</w:t>
      </w:r>
      <w:r w:rsidR="00475F2F">
        <w:rPr>
          <w:rFonts w:ascii="Times New Roman" w:eastAsia="Times New Roman" w:hAnsi="Times New Roman" w:cs="Times New Roman"/>
          <w:b/>
          <w:bCs/>
          <w:kern w:val="36"/>
          <w:sz w:val="28"/>
          <w:szCs w:val="28"/>
          <w:lang w:eastAsia="lv-LV"/>
        </w:rPr>
        <w:t xml:space="preserve"> “</w:t>
      </w:r>
      <w:proofErr w:type="spellStart"/>
      <w:r w:rsidR="00475F2F">
        <w:rPr>
          <w:rFonts w:ascii="Times New Roman" w:eastAsia="Times New Roman" w:hAnsi="Times New Roman" w:cs="Times New Roman"/>
          <w:b/>
          <w:bCs/>
          <w:kern w:val="36"/>
          <w:sz w:val="28"/>
          <w:szCs w:val="28"/>
          <w:lang w:eastAsia="lv-LV"/>
        </w:rPr>
        <w:t>Šantare</w:t>
      </w:r>
      <w:proofErr w:type="spellEnd"/>
      <w:r w:rsidR="00475F2F">
        <w:rPr>
          <w:rFonts w:ascii="Times New Roman" w:eastAsia="Times New Roman" w:hAnsi="Times New Roman" w:cs="Times New Roman"/>
          <w:b/>
          <w:bCs/>
          <w:kern w:val="36"/>
          <w:sz w:val="28"/>
          <w:szCs w:val="28"/>
          <w:lang w:eastAsia="lv-LV"/>
        </w:rPr>
        <w:t xml:space="preserve"> un </w:t>
      </w:r>
      <w:proofErr w:type="spellStart"/>
      <w:r w:rsidR="00475F2F">
        <w:rPr>
          <w:rFonts w:ascii="Times New Roman" w:eastAsia="Times New Roman" w:hAnsi="Times New Roman" w:cs="Times New Roman"/>
          <w:b/>
          <w:bCs/>
          <w:kern w:val="36"/>
          <w:sz w:val="28"/>
          <w:szCs w:val="28"/>
          <w:lang w:eastAsia="lv-LV"/>
        </w:rPr>
        <w:t>Lobazņikovs</w:t>
      </w:r>
      <w:proofErr w:type="spellEnd"/>
      <w:proofErr w:type="gramStart"/>
      <w:r w:rsidR="00475F2F">
        <w:rPr>
          <w:rFonts w:ascii="Times New Roman" w:eastAsia="Times New Roman" w:hAnsi="Times New Roman" w:cs="Times New Roman"/>
          <w:b/>
          <w:bCs/>
          <w:kern w:val="36"/>
          <w:sz w:val="28"/>
          <w:szCs w:val="28"/>
          <w:lang w:eastAsia="lv-LV"/>
        </w:rPr>
        <w:t xml:space="preserve"> </w:t>
      </w:r>
      <w:r w:rsidRPr="00475F2F">
        <w:rPr>
          <w:rFonts w:ascii="Times New Roman" w:eastAsia="Times New Roman" w:hAnsi="Times New Roman" w:cs="Times New Roman"/>
          <w:b/>
          <w:bCs/>
          <w:kern w:val="36"/>
          <w:sz w:val="28"/>
          <w:szCs w:val="28"/>
          <w:lang w:eastAsia="lv-LV"/>
        </w:rPr>
        <w:t xml:space="preserve"> </w:t>
      </w:r>
      <w:proofErr w:type="gramEnd"/>
      <w:r w:rsidRPr="00475F2F">
        <w:rPr>
          <w:rFonts w:ascii="Times New Roman" w:eastAsia="Times New Roman" w:hAnsi="Times New Roman" w:cs="Times New Roman"/>
          <w:b/>
          <w:bCs/>
          <w:kern w:val="36"/>
          <w:sz w:val="28"/>
          <w:szCs w:val="28"/>
          <w:lang w:eastAsia="lv-LV"/>
        </w:rPr>
        <w:t>pret Latviju</w:t>
      </w:r>
    </w:p>
    <w:p w:rsidR="00475F2F" w:rsidRPr="00475F2F" w:rsidRDefault="00475F2F" w:rsidP="00475F2F">
      <w:pPr>
        <w:shd w:val="clear" w:color="auto" w:fill="FFFFFF"/>
        <w:spacing w:after="120" w:line="240" w:lineRule="auto"/>
        <w:jc w:val="center"/>
        <w:rPr>
          <w:rFonts w:ascii="Times New Roman" w:eastAsia="Times New Roman" w:hAnsi="Times New Roman" w:cs="Times New Roman"/>
          <w:b/>
          <w:color w:val="1B1D1F"/>
          <w:sz w:val="24"/>
          <w:szCs w:val="24"/>
          <w:lang w:eastAsia="lv-LV"/>
        </w:rPr>
      </w:pPr>
      <w:r w:rsidRPr="00475F2F">
        <w:rPr>
          <w:rFonts w:ascii="Times New Roman" w:eastAsia="Times New Roman" w:hAnsi="Times New Roman" w:cs="Times New Roman"/>
          <w:b/>
          <w:color w:val="1B1D1F"/>
          <w:sz w:val="24"/>
          <w:szCs w:val="24"/>
          <w:lang w:eastAsia="lv-LV"/>
        </w:rPr>
        <w:t>31.03.2016.</w:t>
      </w:r>
    </w:p>
    <w:p w:rsidR="00AC3646" w:rsidRPr="00A904FC" w:rsidRDefault="00AC3646"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r w:rsidRPr="00A904FC">
        <w:rPr>
          <w:rFonts w:ascii="Times New Roman" w:eastAsia="Times New Roman" w:hAnsi="Times New Roman" w:cs="Times New Roman"/>
          <w:color w:val="1B1D1F"/>
          <w:sz w:val="24"/>
          <w:szCs w:val="24"/>
          <w:lang w:eastAsia="lv-LV"/>
        </w:rPr>
        <w:t>Eiropas Cilvēktiesību tiesa (Tiesa) 31. martā pasludināja spriedumus lietā </w:t>
      </w:r>
      <w:proofErr w:type="spellStart"/>
      <w:r w:rsidRPr="00A904FC">
        <w:rPr>
          <w:rFonts w:ascii="Times New Roman" w:eastAsia="Times New Roman" w:hAnsi="Times New Roman" w:cs="Times New Roman"/>
          <w:i/>
          <w:iCs/>
          <w:color w:val="1B1D1F"/>
          <w:sz w:val="24"/>
          <w:szCs w:val="24"/>
          <w:lang w:eastAsia="lv-LV"/>
        </w:rPr>
        <w:t>Šantare</w:t>
      </w:r>
      <w:proofErr w:type="spellEnd"/>
      <w:r w:rsidRPr="00A904FC">
        <w:rPr>
          <w:rFonts w:ascii="Times New Roman" w:eastAsia="Times New Roman" w:hAnsi="Times New Roman" w:cs="Times New Roman"/>
          <w:i/>
          <w:iCs/>
          <w:color w:val="1B1D1F"/>
          <w:sz w:val="24"/>
          <w:szCs w:val="24"/>
          <w:lang w:eastAsia="lv-LV"/>
        </w:rPr>
        <w:t xml:space="preserve"> un </w:t>
      </w:r>
      <w:proofErr w:type="spellStart"/>
      <w:r w:rsidRPr="00A904FC">
        <w:rPr>
          <w:rFonts w:ascii="Times New Roman" w:eastAsia="Times New Roman" w:hAnsi="Times New Roman" w:cs="Times New Roman"/>
          <w:i/>
          <w:iCs/>
          <w:color w:val="1B1D1F"/>
          <w:sz w:val="24"/>
          <w:szCs w:val="24"/>
          <w:lang w:eastAsia="lv-LV"/>
        </w:rPr>
        <w:t>Labazņikovs</w:t>
      </w:r>
      <w:proofErr w:type="spellEnd"/>
      <w:r w:rsidRPr="00A904FC">
        <w:rPr>
          <w:rFonts w:ascii="Times New Roman" w:eastAsia="Times New Roman" w:hAnsi="Times New Roman" w:cs="Times New Roman"/>
          <w:i/>
          <w:iCs/>
          <w:color w:val="1B1D1F"/>
          <w:sz w:val="24"/>
          <w:szCs w:val="24"/>
          <w:lang w:eastAsia="lv-LV"/>
        </w:rPr>
        <w:t xml:space="preserve"> pret Latviju</w:t>
      </w:r>
      <w:r w:rsidRPr="00A904FC">
        <w:rPr>
          <w:rFonts w:ascii="Times New Roman" w:eastAsia="Times New Roman" w:hAnsi="Times New Roman" w:cs="Times New Roman"/>
          <w:color w:val="1B1D1F"/>
          <w:sz w:val="24"/>
          <w:szCs w:val="24"/>
          <w:lang w:eastAsia="lv-LV"/>
        </w:rPr>
        <w:t>.</w:t>
      </w:r>
    </w:p>
    <w:p w:rsidR="00AC3646" w:rsidRPr="00A904FC" w:rsidRDefault="00AC3646"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r w:rsidRPr="00A904FC">
        <w:rPr>
          <w:rFonts w:ascii="Times New Roman" w:eastAsia="Times New Roman" w:hAnsi="Times New Roman" w:cs="Times New Roman"/>
          <w:color w:val="1B1D1F"/>
          <w:sz w:val="24"/>
          <w:szCs w:val="24"/>
          <w:lang w:eastAsia="lv-LV"/>
        </w:rPr>
        <w:t>Savā 2007. gada 9. jūlijā Tiesā iesniegtajā pieteikumā iesniedzēji sūdzējās par tiesībsargājošo iestāžu veikto telefonsarunu noklausīšanos. Viņi atsaucās uz Konvencijas 8. pantā garantētajām tiesībām uz privātās dzīves un korespondences neaizskaramību. Tāpat iesniedzēji, atsaucoties uz Konvencijas 6. pantu (tiesības uz taisnīgu tiesu, nevainīguma prezumpcija), sūdzējās par toreizējās tieslietu ministres tiesnešu konferencē pausto viedokli par iesniedzēju kriminālprocesa iztiesāšanas gaitu.</w:t>
      </w:r>
    </w:p>
    <w:p w:rsidR="00AC3646" w:rsidRPr="00A904FC" w:rsidRDefault="00AC3646"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r w:rsidRPr="00A904FC">
        <w:rPr>
          <w:rFonts w:ascii="Times New Roman" w:eastAsia="Times New Roman" w:hAnsi="Times New Roman" w:cs="Times New Roman"/>
          <w:color w:val="1B1D1F"/>
          <w:sz w:val="24"/>
          <w:szCs w:val="24"/>
          <w:lang w:eastAsia="lv-LV"/>
        </w:rPr>
        <w:t>Spriedumā Tiesa vienbalsīgi atzina, ka ir noticis Konvencijas 8. panta pārkāpums. Vienlaikus Tiesa noraidīja sūdzību par Konvencijas 6. panta iespējamo pārkāpumu, jo iesniedzēji nebija ievērojuši Konvencijā noteikto sešu mēnešu termiņu sūdzības iesniegšanai.</w:t>
      </w:r>
    </w:p>
    <w:p w:rsidR="00AC3646" w:rsidRPr="00A904FC" w:rsidRDefault="00AC3646"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r w:rsidRPr="00A904FC">
        <w:rPr>
          <w:rFonts w:ascii="Times New Roman" w:eastAsia="Times New Roman" w:hAnsi="Times New Roman" w:cs="Times New Roman"/>
          <w:color w:val="1B1D1F"/>
          <w:sz w:val="24"/>
          <w:szCs w:val="24"/>
          <w:lang w:eastAsia="lv-LV"/>
        </w:rPr>
        <w:t>Izvērtējot iesniedzēju sūdzību par telefonsarunu noklausīšanos, Tiesa uzsvēra tās iedibināto judikatūru lietās pret Latviju un norādīja, ka Latvijas tiesas ir uzskatāmas par tiesiskās aizsardzības līdzekli gadījumos, kad kriminālprocesa laikā tiesājamā persona, uzzinot par pret viņu veiktajām operatīvajām darbībām, apstrīd šo darbību tiesiskumu. Tiesa tālāk konstatēja, ka apelācijas tiesvedības laikā, kā arī savā kasācijas sūdzībā Augstākās tiesas Senātam iesniedzēji bija izteikuši iebildumus par to, ka krimināllietas materiālos nebija iekļauta informācija par īpaši pilnvarota Augstākās tiesas tiesneša izsniegto akceptu, lai veiktu otrā iesniedzēja telefonsarunu noklausīšanos. Atbildot uz iesniedzēju sūdzību, Rīgas apgabaltiesa bija sniegusi vispārēju vērtējumu par pierādījumu pieļaujamību, savukārt Augstākās tiesas Senāts bija atsaucies uz </w:t>
      </w:r>
      <w:r w:rsidRPr="00A904FC">
        <w:rPr>
          <w:rFonts w:ascii="Times New Roman" w:eastAsia="Times New Roman" w:hAnsi="Times New Roman" w:cs="Times New Roman"/>
          <w:i/>
          <w:iCs/>
          <w:color w:val="1B1D1F"/>
          <w:sz w:val="24"/>
          <w:szCs w:val="24"/>
          <w:lang w:eastAsia="lv-LV"/>
        </w:rPr>
        <w:t>Operatīvās darbības likuma</w:t>
      </w:r>
      <w:r w:rsidRPr="00A904FC">
        <w:rPr>
          <w:rFonts w:ascii="Times New Roman" w:eastAsia="Times New Roman" w:hAnsi="Times New Roman" w:cs="Times New Roman"/>
          <w:color w:val="1B1D1F"/>
          <w:sz w:val="24"/>
          <w:szCs w:val="24"/>
          <w:lang w:eastAsia="lv-LV"/>
        </w:rPr>
        <w:t> normu, kura noteica vispārējo kārtību, kādā tiek izsniegta atļauja noklausīties telefonsarunas. Tāpat no lietas materiāliem nevarēja secināt, vai nacionālajām tiesām bija pieejami klasificētie operatīvās lietas materiāli un vai tiesas ar tiem bija iepazinušās un pārbaudījušas telefonsarunu noklausīšanās tiesiskumu. Ņemot vērā iepriekš minēto, Tiesa secināja, ka iesniedzējiem kriminālprocesa gaitā nebija iespējams pārliecināties par to, vai telefonsarunu noklausīšanai tika saņemts tiesneša akcepts, savukārt nacionālās tiesas kriminālprocesa laikā nebija nodrošinājušas efektīvu pēckontroli pār iesniedzēju apstrīdēto operatīvās darbības pasākumu. Tādēļ Tiesa konstatēja Konvencijas 8. panta pārkāpumu.</w:t>
      </w:r>
    </w:p>
    <w:p w:rsidR="00AC3646" w:rsidRPr="00A904FC" w:rsidRDefault="00AC3646"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r w:rsidRPr="00A904FC">
        <w:rPr>
          <w:rFonts w:ascii="Times New Roman" w:eastAsia="Times New Roman" w:hAnsi="Times New Roman" w:cs="Times New Roman"/>
          <w:color w:val="1B1D1F"/>
          <w:sz w:val="24"/>
          <w:szCs w:val="24"/>
          <w:lang w:eastAsia="lv-LV"/>
        </w:rPr>
        <w:t>Iesniedzēji lūdza piespriest viņiem kompensāciju par morālo kaitējumu – kopsummā 150 000 EUR. Otrais iesniedzējs arī lūdza atlīdzināt viņam nodarītos zaudējumus 64 029 EUR apmērā, kā arī tiesvedības izmaksas 8163 EUR apmērā. Tiesa lielāko daļu iesniedzēju prasību noraidīja, kompensācijā piespriežot katram no iesniedzējiem 1500 EUR par morālo kaitējumu un kompensāciju 800 EUR apmērā otrajam iesniedzējam par tiesāšanās izdevumiem.</w:t>
      </w:r>
    </w:p>
    <w:p w:rsidR="00AC3646" w:rsidRPr="00A904FC" w:rsidRDefault="00AC3646"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r w:rsidRPr="00A904FC">
        <w:rPr>
          <w:rFonts w:ascii="Times New Roman" w:eastAsia="Times New Roman" w:hAnsi="Times New Roman" w:cs="Times New Roman"/>
          <w:b/>
          <w:bCs/>
          <w:color w:val="1B1D1F"/>
          <w:sz w:val="24"/>
          <w:szCs w:val="24"/>
          <w:lang w:eastAsia="lv-LV"/>
        </w:rPr>
        <w:t> </w:t>
      </w:r>
      <w:r w:rsidRPr="00A904FC">
        <w:rPr>
          <w:rFonts w:ascii="Times New Roman" w:eastAsia="Times New Roman" w:hAnsi="Times New Roman" w:cs="Times New Roman"/>
          <w:color w:val="1B1D1F"/>
          <w:sz w:val="24"/>
          <w:szCs w:val="24"/>
          <w:lang w:eastAsia="lv-LV"/>
        </w:rPr>
        <w:t>Saskaņā ar Konvencijas 43. panta 1. punktu, trīs mēnešu laikā no sprieduma pasludināšanas dienas puses to var pārsūdzēt Tiesas Lielajā palātā.</w:t>
      </w:r>
    </w:p>
    <w:p w:rsidR="00AC3646" w:rsidRPr="00A904FC" w:rsidRDefault="00AC3646"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r w:rsidRPr="00A904FC">
        <w:rPr>
          <w:rFonts w:ascii="Times New Roman" w:eastAsia="Times New Roman" w:hAnsi="Times New Roman" w:cs="Times New Roman"/>
          <w:color w:val="1B1D1F"/>
          <w:sz w:val="24"/>
          <w:szCs w:val="24"/>
          <w:lang w:eastAsia="lv-LV"/>
        </w:rPr>
        <w:t xml:space="preserve">Pilns 2016. gada 31. marta Tiesas sprieduma teksts angļu valodā ir </w:t>
      </w:r>
      <w:proofErr w:type="gramStart"/>
      <w:r w:rsidRPr="00A904FC">
        <w:rPr>
          <w:rFonts w:ascii="Times New Roman" w:eastAsia="Times New Roman" w:hAnsi="Times New Roman" w:cs="Times New Roman"/>
          <w:color w:val="1B1D1F"/>
          <w:sz w:val="24"/>
          <w:szCs w:val="24"/>
          <w:lang w:eastAsia="lv-LV"/>
        </w:rPr>
        <w:t>pieejams </w:t>
      </w:r>
      <w:hyperlink r:id="rId5" w:tgtFrame="_blank" w:history="1">
        <w:r w:rsidRPr="00A904FC">
          <w:rPr>
            <w:rFonts w:ascii="Times New Roman" w:eastAsia="Times New Roman" w:hAnsi="Times New Roman" w:cs="Times New Roman"/>
            <w:color w:val="3570B4"/>
            <w:sz w:val="24"/>
            <w:szCs w:val="24"/>
            <w:bdr w:val="none" w:sz="0" w:space="0" w:color="auto" w:frame="1"/>
            <w:lang w:eastAsia="lv-LV"/>
          </w:rPr>
          <w:t>Tiesas</w:t>
        </w:r>
        <w:proofErr w:type="gramEnd"/>
        <w:r w:rsidRPr="00A904FC">
          <w:rPr>
            <w:rFonts w:ascii="Times New Roman" w:eastAsia="Times New Roman" w:hAnsi="Times New Roman" w:cs="Times New Roman"/>
            <w:color w:val="3570B4"/>
            <w:sz w:val="24"/>
            <w:szCs w:val="24"/>
            <w:bdr w:val="none" w:sz="0" w:space="0" w:color="auto" w:frame="1"/>
            <w:lang w:eastAsia="lv-LV"/>
          </w:rPr>
          <w:t xml:space="preserve"> tiešsaistes vietnē</w:t>
        </w:r>
      </w:hyperlink>
      <w:r w:rsidRPr="00A904FC">
        <w:rPr>
          <w:rFonts w:ascii="Times New Roman" w:eastAsia="Times New Roman" w:hAnsi="Times New Roman" w:cs="Times New Roman"/>
          <w:color w:val="1B1D1F"/>
          <w:sz w:val="24"/>
          <w:szCs w:val="24"/>
          <w:lang w:eastAsia="lv-LV"/>
        </w:rPr>
        <w:t>. Lai atrastu spriedumu, Tiesas datu bāzes izvērstās meklēšanas sadaļā (ADVANCED SEARCH) jāievada iesnieguma numurs (34148/07) un sprieduma pasludināšanas datums (31/03/2016).</w:t>
      </w:r>
    </w:p>
    <w:p w:rsidR="00AC3646" w:rsidRPr="00A904FC" w:rsidRDefault="00AC3646"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r w:rsidRPr="00A904FC">
        <w:rPr>
          <w:rFonts w:ascii="Times New Roman" w:eastAsia="Times New Roman" w:hAnsi="Times New Roman" w:cs="Times New Roman"/>
          <w:b/>
          <w:bCs/>
          <w:color w:val="1B1D1F"/>
          <w:sz w:val="24"/>
          <w:szCs w:val="24"/>
          <w:lang w:eastAsia="lv-LV"/>
        </w:rPr>
        <w:t> </w:t>
      </w:r>
    </w:p>
    <w:p w:rsidR="00AC3646" w:rsidRPr="00475F2F" w:rsidRDefault="00AC3646" w:rsidP="00A904FC">
      <w:pPr>
        <w:shd w:val="clear" w:color="auto" w:fill="FFFFFF"/>
        <w:spacing w:after="120" w:line="240" w:lineRule="auto"/>
        <w:jc w:val="both"/>
        <w:rPr>
          <w:rFonts w:ascii="Times New Roman" w:eastAsia="Times New Roman" w:hAnsi="Times New Roman" w:cs="Times New Roman"/>
          <w:b/>
          <w:color w:val="1B1D1F"/>
          <w:sz w:val="24"/>
          <w:szCs w:val="24"/>
          <w:lang w:eastAsia="lv-LV"/>
        </w:rPr>
      </w:pPr>
      <w:r w:rsidRPr="00A904FC">
        <w:rPr>
          <w:rFonts w:ascii="Times New Roman" w:eastAsia="Times New Roman" w:hAnsi="Times New Roman" w:cs="Times New Roman"/>
          <w:b/>
          <w:bCs/>
          <w:i/>
          <w:iCs/>
          <w:color w:val="1B1D1F"/>
          <w:sz w:val="24"/>
          <w:szCs w:val="24"/>
          <w:lang w:eastAsia="lv-LV"/>
        </w:rPr>
        <w:t> </w:t>
      </w:r>
      <w:bookmarkStart w:id="0" w:name="_GoBack"/>
      <w:bookmarkEnd w:id="0"/>
      <w:r w:rsidRPr="00475F2F">
        <w:rPr>
          <w:rFonts w:ascii="Times New Roman" w:eastAsia="Times New Roman" w:hAnsi="Times New Roman" w:cs="Times New Roman"/>
          <w:b/>
          <w:i/>
          <w:iCs/>
          <w:color w:val="1B1D1F"/>
          <w:sz w:val="24"/>
          <w:szCs w:val="24"/>
          <w:lang w:eastAsia="lv-LV"/>
        </w:rPr>
        <w:t xml:space="preserve">Fakti lietā </w:t>
      </w:r>
      <w:proofErr w:type="spellStart"/>
      <w:r w:rsidRPr="00475F2F">
        <w:rPr>
          <w:rFonts w:ascii="Times New Roman" w:eastAsia="Times New Roman" w:hAnsi="Times New Roman" w:cs="Times New Roman"/>
          <w:b/>
          <w:i/>
          <w:iCs/>
          <w:color w:val="1B1D1F"/>
          <w:sz w:val="24"/>
          <w:szCs w:val="24"/>
          <w:lang w:eastAsia="lv-LV"/>
        </w:rPr>
        <w:t>Šantare</w:t>
      </w:r>
      <w:proofErr w:type="spellEnd"/>
      <w:r w:rsidRPr="00475F2F">
        <w:rPr>
          <w:rFonts w:ascii="Times New Roman" w:eastAsia="Times New Roman" w:hAnsi="Times New Roman" w:cs="Times New Roman"/>
          <w:b/>
          <w:i/>
          <w:iCs/>
          <w:color w:val="1B1D1F"/>
          <w:sz w:val="24"/>
          <w:szCs w:val="24"/>
          <w:lang w:eastAsia="lv-LV"/>
        </w:rPr>
        <w:t xml:space="preserve"> un </w:t>
      </w:r>
      <w:proofErr w:type="spellStart"/>
      <w:r w:rsidRPr="00475F2F">
        <w:rPr>
          <w:rFonts w:ascii="Times New Roman" w:eastAsia="Times New Roman" w:hAnsi="Times New Roman" w:cs="Times New Roman"/>
          <w:b/>
          <w:i/>
          <w:iCs/>
          <w:color w:val="1B1D1F"/>
          <w:sz w:val="24"/>
          <w:szCs w:val="24"/>
          <w:lang w:eastAsia="lv-LV"/>
        </w:rPr>
        <w:t>Labazņikovs</w:t>
      </w:r>
      <w:proofErr w:type="spellEnd"/>
      <w:r w:rsidRPr="00475F2F">
        <w:rPr>
          <w:rFonts w:ascii="Times New Roman" w:eastAsia="Times New Roman" w:hAnsi="Times New Roman" w:cs="Times New Roman"/>
          <w:b/>
          <w:i/>
          <w:iCs/>
          <w:color w:val="1B1D1F"/>
          <w:sz w:val="24"/>
          <w:szCs w:val="24"/>
          <w:lang w:eastAsia="lv-LV"/>
        </w:rPr>
        <w:t xml:space="preserve"> pret Latviju</w:t>
      </w:r>
    </w:p>
    <w:p w:rsidR="00AC3646" w:rsidRPr="00A904FC" w:rsidRDefault="00AC3646"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r w:rsidRPr="00A904FC">
        <w:rPr>
          <w:rFonts w:ascii="Times New Roman" w:eastAsia="Times New Roman" w:hAnsi="Times New Roman" w:cs="Times New Roman"/>
          <w:color w:val="1B1D1F"/>
          <w:sz w:val="24"/>
          <w:szCs w:val="24"/>
          <w:lang w:eastAsia="lv-LV"/>
        </w:rPr>
        <w:lastRenderedPageBreak/>
        <w:t xml:space="preserve">Iesniedzēji ir Lilija </w:t>
      </w:r>
      <w:proofErr w:type="spellStart"/>
      <w:r w:rsidRPr="00A904FC">
        <w:rPr>
          <w:rFonts w:ascii="Times New Roman" w:eastAsia="Times New Roman" w:hAnsi="Times New Roman" w:cs="Times New Roman"/>
          <w:color w:val="1B1D1F"/>
          <w:sz w:val="24"/>
          <w:szCs w:val="24"/>
          <w:lang w:eastAsia="lv-LV"/>
        </w:rPr>
        <w:t>Šantare</w:t>
      </w:r>
      <w:proofErr w:type="spellEnd"/>
      <w:r w:rsidRPr="00A904FC">
        <w:rPr>
          <w:rFonts w:ascii="Times New Roman" w:eastAsia="Times New Roman" w:hAnsi="Times New Roman" w:cs="Times New Roman"/>
          <w:color w:val="1B1D1F"/>
          <w:sz w:val="24"/>
          <w:szCs w:val="24"/>
          <w:lang w:eastAsia="lv-LV"/>
        </w:rPr>
        <w:t xml:space="preserve"> (pirmā iesniedzēja) un Vladimirs </w:t>
      </w:r>
      <w:proofErr w:type="spellStart"/>
      <w:r w:rsidRPr="00A904FC">
        <w:rPr>
          <w:rFonts w:ascii="Times New Roman" w:eastAsia="Times New Roman" w:hAnsi="Times New Roman" w:cs="Times New Roman"/>
          <w:color w:val="1B1D1F"/>
          <w:sz w:val="24"/>
          <w:szCs w:val="24"/>
          <w:lang w:eastAsia="lv-LV"/>
        </w:rPr>
        <w:t>Labazņikovs</w:t>
      </w:r>
      <w:proofErr w:type="spellEnd"/>
      <w:r w:rsidRPr="00A904FC">
        <w:rPr>
          <w:rFonts w:ascii="Times New Roman" w:eastAsia="Times New Roman" w:hAnsi="Times New Roman" w:cs="Times New Roman"/>
          <w:color w:val="1B1D1F"/>
          <w:sz w:val="24"/>
          <w:szCs w:val="24"/>
          <w:lang w:eastAsia="lv-LV"/>
        </w:rPr>
        <w:t xml:space="preserve"> (otrais iesniedzējs).</w:t>
      </w:r>
    </w:p>
    <w:p w:rsidR="00AC3646" w:rsidRPr="00A904FC" w:rsidRDefault="00AC3646"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r w:rsidRPr="00A904FC">
        <w:rPr>
          <w:rFonts w:ascii="Times New Roman" w:eastAsia="Times New Roman" w:hAnsi="Times New Roman" w:cs="Times New Roman"/>
          <w:color w:val="1B1D1F"/>
          <w:sz w:val="24"/>
          <w:szCs w:val="24"/>
          <w:lang w:eastAsia="lv-LV"/>
        </w:rPr>
        <w:t>2005. gada aprīlī otro iesniedzēju, kurš tajā laikā bija aptieku tīkla “Rudens aptieka” īpašnieks, izsauca paskaidrojumu sniegšanai uz Korupcijas novēršanas un apkarošanas biroju (KNAB) saistībā ar KNAB veikto Valsts farmācijas inspekcijas amatpersonu darbību pārbaudi. Tikšanās laikā otrais iesniedzējs uzstāja uz satikšanos ar KNAB darbiniekiem ārpus dienesta telpām. Vēlāk, tiekoties ar KNAB darbinieku, otrais iesniedzējs piedāvāja kukuli 50 000 LVL apmērā apmaiņā pret KNAB “aizsardzību” un jebkādu pārbaužu “Rudens aptieka” tīklā izbeigšanu. Saruna starp otro iesniedzēju un KNAB darbinieku tika fiksēta Ģenerālprokuratūras sankcionētā operatīvā eksperimenta ietvaros. Otrais iesniedzējs nekavējoties sazinājās ar pirmo iesniedzēju, kura bija “Rudens aptieka” valdes locekle un lūdza sagādāt skaidrās naudas līdzekļus no uzņēmuma kases. Telefonsaruna starp abiem iesniedzējiem tika ierakstīta, pamatojoties uz īpaši pilnvarota Augstākās tiesas tiesneša akceptu. Uzreiz pēc kukuļa nodošanas otro iesniedzēju aizturēja KNAB darbinieki, un pret abiem iesniedzējiem tika uzsākts kriminālprocess. Pirmajai iesniedzējai tika uzrādīta apsūdzība par līdzdalību kukuļdošanā, bet otrais iesniedzējs tika apsūdzēts kukuļdošanā. Abi iesniedzēji savu vainu atzina.</w:t>
      </w:r>
    </w:p>
    <w:p w:rsidR="00AC3646" w:rsidRPr="00A904FC" w:rsidRDefault="00AC3646"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r w:rsidRPr="00A904FC">
        <w:rPr>
          <w:rFonts w:ascii="Times New Roman" w:eastAsia="Times New Roman" w:hAnsi="Times New Roman" w:cs="Times New Roman"/>
          <w:color w:val="1B1D1F"/>
          <w:sz w:val="24"/>
          <w:szCs w:val="24"/>
          <w:lang w:eastAsia="lv-LV"/>
        </w:rPr>
        <w:t>Pirmstiesas izmeklēšanas laikā otrā iesniedzēja aizstāvis lūdza iepazīstināt viņu ar īpaši pilnvarotā Augstākās tiesas tiesneša izsniegto akceptu, kas apstiprinātu telefonsarunu noklausīšanās likumīgumu, bet atbildīgais prokurors šo lūgumu noraidīja pamatojoties uz to, ka attiecīgā informācija bija klasificēta.</w:t>
      </w:r>
    </w:p>
    <w:p w:rsidR="00AC3646" w:rsidRPr="00A904FC" w:rsidRDefault="00AC3646"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r w:rsidRPr="00A904FC">
        <w:rPr>
          <w:rFonts w:ascii="Times New Roman" w:eastAsia="Times New Roman" w:hAnsi="Times New Roman" w:cs="Times New Roman"/>
          <w:color w:val="1B1D1F"/>
          <w:sz w:val="24"/>
          <w:szCs w:val="24"/>
          <w:lang w:eastAsia="lv-LV"/>
        </w:rPr>
        <w:t>2005. gada 2. novembrī Rīgas pilsētas Vidzemes priekšpilsētas tiesa atzina otro iesniedzēju par vainīgu kukuļdošanā un notiesāja ar brīvības atņemšanu uz diviem gadiem nosacīti, savukārt pirmā iesniedzēja tika attaisnota. 2006. gada 31. oktobrī Rīgas apgabaltiesa atcēla pirmās instances tiesas spriedumu, notiesājot otro iesniedzēju ar reālu brīvības atņemšanu uz diviem gadiem, atzīstot pirmo iesniedzēju par vainīgu līdzdalībā kukuļdošanā un notiesājot viņu ar brīvības atņemšanu uz vienu gadu nosacīti. 2007. gada 19. janvārī Augstākās tiesas Senāts atstāja spēkā Rīgas apgabaltiesas spriedumu.</w:t>
      </w:r>
    </w:p>
    <w:p w:rsidR="00AC3646" w:rsidRPr="00A904FC" w:rsidRDefault="00AC3646"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r w:rsidRPr="00A904FC">
        <w:rPr>
          <w:rFonts w:ascii="Times New Roman" w:eastAsia="Times New Roman" w:hAnsi="Times New Roman" w:cs="Times New Roman"/>
          <w:color w:val="1B1D1F"/>
          <w:sz w:val="24"/>
          <w:szCs w:val="24"/>
          <w:lang w:eastAsia="lv-LV"/>
        </w:rPr>
        <w:t> </w:t>
      </w:r>
    </w:p>
    <w:p w:rsidR="00E9024F" w:rsidRPr="00A904FC" w:rsidRDefault="00E9024F" w:rsidP="00A904FC">
      <w:pPr>
        <w:spacing w:after="120" w:line="240" w:lineRule="auto"/>
        <w:jc w:val="both"/>
        <w:rPr>
          <w:rFonts w:ascii="Times New Roman" w:hAnsi="Times New Roman" w:cs="Times New Roman"/>
          <w:sz w:val="24"/>
          <w:szCs w:val="24"/>
        </w:rPr>
      </w:pPr>
    </w:p>
    <w:sectPr w:rsidR="00E9024F" w:rsidRPr="00A904FC" w:rsidSect="00475F2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646"/>
    <w:rsid w:val="00475F2F"/>
    <w:rsid w:val="00843FED"/>
    <w:rsid w:val="00A904FC"/>
    <w:rsid w:val="00AA6428"/>
    <w:rsid w:val="00AC3646"/>
    <w:rsid w:val="00E902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C36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646"/>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AC364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AC3646"/>
  </w:style>
  <w:style w:type="character" w:styleId="Emphasis">
    <w:name w:val="Emphasis"/>
    <w:basedOn w:val="DefaultParagraphFont"/>
    <w:uiPriority w:val="20"/>
    <w:qFormat/>
    <w:rsid w:val="00AC3646"/>
    <w:rPr>
      <w:i/>
      <w:iCs/>
    </w:rPr>
  </w:style>
  <w:style w:type="character" w:styleId="Strong">
    <w:name w:val="Strong"/>
    <w:basedOn w:val="DefaultParagraphFont"/>
    <w:uiPriority w:val="22"/>
    <w:qFormat/>
    <w:rsid w:val="00AC3646"/>
    <w:rPr>
      <w:b/>
      <w:bCs/>
    </w:rPr>
  </w:style>
  <w:style w:type="character" w:styleId="Hyperlink">
    <w:name w:val="Hyperlink"/>
    <w:basedOn w:val="DefaultParagraphFont"/>
    <w:uiPriority w:val="99"/>
    <w:semiHidden/>
    <w:unhideWhenUsed/>
    <w:rsid w:val="00AC364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C36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646"/>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AC364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AC3646"/>
  </w:style>
  <w:style w:type="character" w:styleId="Emphasis">
    <w:name w:val="Emphasis"/>
    <w:basedOn w:val="DefaultParagraphFont"/>
    <w:uiPriority w:val="20"/>
    <w:qFormat/>
    <w:rsid w:val="00AC3646"/>
    <w:rPr>
      <w:i/>
      <w:iCs/>
    </w:rPr>
  </w:style>
  <w:style w:type="character" w:styleId="Strong">
    <w:name w:val="Strong"/>
    <w:basedOn w:val="DefaultParagraphFont"/>
    <w:uiPriority w:val="22"/>
    <w:qFormat/>
    <w:rsid w:val="00AC3646"/>
    <w:rPr>
      <w:b/>
      <w:bCs/>
    </w:rPr>
  </w:style>
  <w:style w:type="character" w:styleId="Hyperlink">
    <w:name w:val="Hyperlink"/>
    <w:basedOn w:val="DefaultParagraphFont"/>
    <w:uiPriority w:val="99"/>
    <w:semiHidden/>
    <w:unhideWhenUsed/>
    <w:rsid w:val="00AC36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016845">
      <w:bodyDiv w:val="1"/>
      <w:marLeft w:val="0"/>
      <w:marRight w:val="0"/>
      <w:marTop w:val="0"/>
      <w:marBottom w:val="0"/>
      <w:divBdr>
        <w:top w:val="none" w:sz="0" w:space="0" w:color="auto"/>
        <w:left w:val="none" w:sz="0" w:space="0" w:color="auto"/>
        <w:bottom w:val="none" w:sz="0" w:space="0" w:color="auto"/>
        <w:right w:val="none" w:sz="0" w:space="0" w:color="auto"/>
      </w:divBdr>
      <w:divsChild>
        <w:div w:id="868176936">
          <w:marLeft w:val="0"/>
          <w:marRight w:val="0"/>
          <w:marTop w:val="0"/>
          <w:marBottom w:val="0"/>
          <w:divBdr>
            <w:top w:val="none" w:sz="0" w:space="0" w:color="auto"/>
            <w:left w:val="none" w:sz="0" w:space="0" w:color="auto"/>
            <w:bottom w:val="none" w:sz="0" w:space="0" w:color="auto"/>
            <w:right w:val="none" w:sz="0" w:space="0" w:color="auto"/>
          </w:divBdr>
        </w:div>
        <w:div w:id="718356275">
          <w:marLeft w:val="0"/>
          <w:marRight w:val="0"/>
          <w:marTop w:val="0"/>
          <w:marBottom w:val="0"/>
          <w:divBdr>
            <w:top w:val="none" w:sz="0" w:space="0" w:color="auto"/>
            <w:left w:val="none" w:sz="0" w:space="0" w:color="auto"/>
            <w:bottom w:val="none" w:sz="0" w:space="0" w:color="auto"/>
            <w:right w:val="none" w:sz="0" w:space="0" w:color="auto"/>
          </w:divBdr>
        </w:div>
      </w:divsChild>
    </w:div>
    <w:div w:id="81074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3735</Words>
  <Characters>2130</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Peteris</dc:creator>
  <cp:lastModifiedBy>Peteris</cp:lastModifiedBy>
  <cp:revision>4</cp:revision>
  <dcterms:created xsi:type="dcterms:W3CDTF">2016-04-01T18:29:00Z</dcterms:created>
  <dcterms:modified xsi:type="dcterms:W3CDTF">2016-04-01T18:36:00Z</dcterms:modified>
</cp:coreProperties>
</file>