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2D768" w14:textId="77777777" w:rsidR="00EF0174" w:rsidRPr="00EF0174" w:rsidRDefault="00EF0174" w:rsidP="00EF0174">
      <w:pPr>
        <w:jc w:val="center"/>
        <w:rPr>
          <w:bCs/>
          <w:szCs w:val="24"/>
          <w:lang w:val="en-US"/>
        </w:rPr>
      </w:pPr>
      <w:r w:rsidRPr="00EF0174">
        <w:rPr>
          <w:bCs/>
          <w:szCs w:val="24"/>
          <w:lang w:val="en-US"/>
        </w:rPr>
        <w:t>EIROPAS PADOME</w:t>
      </w:r>
    </w:p>
    <w:p w14:paraId="5D8E99E7" w14:textId="77777777" w:rsidR="00EF0174" w:rsidRPr="00EF0174" w:rsidRDefault="00EF0174" w:rsidP="00EF0174">
      <w:pPr>
        <w:jc w:val="center"/>
        <w:rPr>
          <w:bCs/>
          <w:szCs w:val="24"/>
          <w:lang w:val="en-GB"/>
        </w:rPr>
      </w:pPr>
      <w:r w:rsidRPr="00EF0174">
        <w:rPr>
          <w:bCs/>
          <w:szCs w:val="24"/>
          <w:lang w:val="en-GB"/>
        </w:rPr>
        <w:t>EIROPAS CILVĒKTIESĪBU TIESA</w:t>
      </w:r>
    </w:p>
    <w:p w14:paraId="42B32D0D" w14:textId="77777777" w:rsidR="00EF0174" w:rsidRPr="00EF0174" w:rsidRDefault="00EF0174" w:rsidP="00EF0174">
      <w:pPr>
        <w:jc w:val="center"/>
        <w:rPr>
          <w:bCs/>
          <w:szCs w:val="24"/>
          <w:lang w:val="en-GB"/>
        </w:rPr>
      </w:pPr>
      <w:r w:rsidRPr="00EF0174">
        <w:rPr>
          <w:bCs/>
          <w:szCs w:val="24"/>
          <w:lang w:val="en-GB"/>
        </w:rPr>
        <w:t>LIELĀ PALĀTA</w:t>
      </w:r>
    </w:p>
    <w:p w14:paraId="6ED42868" w14:textId="77777777" w:rsidR="00EF0174" w:rsidRPr="00EF0174" w:rsidRDefault="00EF0174" w:rsidP="00EF0174">
      <w:pPr>
        <w:jc w:val="center"/>
        <w:rPr>
          <w:b/>
          <w:bCs/>
          <w:szCs w:val="24"/>
        </w:rPr>
      </w:pPr>
      <w:r w:rsidRPr="00EF0174">
        <w:rPr>
          <w:b/>
          <w:bCs/>
          <w:szCs w:val="24"/>
          <w:lang w:val="en-US"/>
        </w:rPr>
        <w:t xml:space="preserve">Lietā </w:t>
      </w:r>
      <w:r w:rsidRPr="00EF0174">
        <w:rPr>
          <w:b/>
          <w:bCs/>
          <w:i/>
          <w:iCs/>
          <w:szCs w:val="24"/>
        </w:rPr>
        <w:t xml:space="preserve">BÉDAT </w:t>
      </w:r>
      <w:r w:rsidRPr="00EF0174">
        <w:rPr>
          <w:b/>
          <w:bCs/>
          <w:szCs w:val="24"/>
          <w:lang w:val="en-US"/>
        </w:rPr>
        <w:t>pret ŠVEICI</w:t>
      </w:r>
    </w:p>
    <w:p w14:paraId="5C1F1212" w14:textId="355F3D6B" w:rsidR="00EF0174" w:rsidRPr="00EF0174" w:rsidRDefault="00EF0174" w:rsidP="00EF0174">
      <w:pPr>
        <w:jc w:val="center"/>
        <w:rPr>
          <w:b/>
          <w:bCs/>
          <w:szCs w:val="24"/>
        </w:rPr>
      </w:pPr>
      <w:r w:rsidRPr="00EF0174">
        <w:rPr>
          <w:b/>
          <w:bCs/>
          <w:szCs w:val="24"/>
        </w:rPr>
        <w:t>(</w:t>
      </w:r>
      <w:hyperlink r:id="rId7" w:history="1">
        <w:r w:rsidRPr="00EC186E">
          <w:rPr>
            <w:rStyle w:val="Hyperlink"/>
            <w:b/>
            <w:bCs/>
            <w:i/>
            <w:iCs/>
            <w:szCs w:val="24"/>
          </w:rPr>
          <w:t>56925/08</w:t>
        </w:r>
      </w:hyperlink>
      <w:r w:rsidRPr="00EF0174">
        <w:rPr>
          <w:b/>
          <w:bCs/>
          <w:szCs w:val="24"/>
        </w:rPr>
        <w:t>)</w:t>
      </w:r>
    </w:p>
    <w:p w14:paraId="2F0512C8" w14:textId="77777777" w:rsidR="00EF0174" w:rsidRPr="00EF0174" w:rsidRDefault="00EF0174" w:rsidP="00EF0174">
      <w:pPr>
        <w:jc w:val="center"/>
        <w:rPr>
          <w:b/>
          <w:bCs/>
          <w:szCs w:val="24"/>
        </w:rPr>
      </w:pPr>
      <w:r w:rsidRPr="00C11DC2">
        <w:rPr>
          <w:b/>
          <w:bCs/>
          <w:szCs w:val="24"/>
        </w:rPr>
        <w:t>SPRIEDUMS</w:t>
      </w:r>
    </w:p>
    <w:p w14:paraId="70AE5F1D" w14:textId="77777777" w:rsidR="00EF0174" w:rsidRPr="00EF0174" w:rsidRDefault="00EF0174" w:rsidP="00EF0174">
      <w:pPr>
        <w:jc w:val="center"/>
        <w:rPr>
          <w:b/>
          <w:bCs/>
          <w:szCs w:val="24"/>
        </w:rPr>
      </w:pPr>
    </w:p>
    <w:p w14:paraId="6C83E148" w14:textId="77777777" w:rsidR="00EF0174" w:rsidRPr="00EF0174" w:rsidRDefault="00EF0174" w:rsidP="00EF0174">
      <w:pPr>
        <w:jc w:val="center"/>
        <w:rPr>
          <w:bCs/>
          <w:szCs w:val="24"/>
        </w:rPr>
      </w:pPr>
      <w:r w:rsidRPr="00C11DC2">
        <w:rPr>
          <w:bCs/>
          <w:szCs w:val="24"/>
        </w:rPr>
        <w:t>STRASBŪRA</w:t>
      </w:r>
    </w:p>
    <w:p w14:paraId="1A6669D7" w14:textId="77777777" w:rsidR="00EF0174" w:rsidRPr="00EF0174" w:rsidRDefault="00EF0174" w:rsidP="00EF0174">
      <w:pPr>
        <w:jc w:val="center"/>
        <w:rPr>
          <w:bCs/>
          <w:szCs w:val="24"/>
        </w:rPr>
      </w:pPr>
      <w:r w:rsidRPr="00F81FD9">
        <w:rPr>
          <w:bCs/>
          <w:szCs w:val="24"/>
        </w:rPr>
        <w:t>2016. gada 29.</w:t>
      </w:r>
      <w:r w:rsidR="00552DE3">
        <w:rPr>
          <w:bCs/>
          <w:szCs w:val="24"/>
        </w:rPr>
        <w:t xml:space="preserve"> </w:t>
      </w:r>
      <w:r w:rsidRPr="00F81FD9">
        <w:rPr>
          <w:bCs/>
          <w:szCs w:val="24"/>
        </w:rPr>
        <w:t>martā</w:t>
      </w:r>
    </w:p>
    <w:p w14:paraId="65F7191F" w14:textId="77777777" w:rsidR="00EF0174" w:rsidRPr="00EF0174" w:rsidRDefault="00EF0174" w:rsidP="00EF0174">
      <w:pPr>
        <w:rPr>
          <w:b/>
          <w:bCs/>
          <w:szCs w:val="24"/>
        </w:rPr>
      </w:pPr>
    </w:p>
    <w:p w14:paraId="538BA70F" w14:textId="77777777" w:rsidR="00EF0174" w:rsidRPr="00EF0174" w:rsidRDefault="00EF0174" w:rsidP="00EF0174">
      <w:pPr>
        <w:jc w:val="center"/>
        <w:rPr>
          <w:b/>
          <w:bCs/>
          <w:szCs w:val="24"/>
          <w:vertAlign w:val="superscript"/>
        </w:rPr>
      </w:pPr>
      <w:r w:rsidRPr="00EF0174">
        <w:rPr>
          <w:b/>
          <w:bCs/>
          <w:szCs w:val="24"/>
        </w:rPr>
        <w:t>KOPSAVILKUMS</w:t>
      </w:r>
    </w:p>
    <w:p w14:paraId="2F94BA66" w14:textId="77777777" w:rsidR="001169A7" w:rsidRPr="001169A7" w:rsidRDefault="00EF0174" w:rsidP="00573CF8">
      <w:pPr>
        <w:jc w:val="right"/>
        <w:rPr>
          <w:b/>
          <w:bCs/>
          <w:szCs w:val="24"/>
        </w:rPr>
      </w:pPr>
      <w:r>
        <w:rPr>
          <w:b/>
          <w:bCs/>
          <w:szCs w:val="24"/>
        </w:rPr>
        <w:t xml:space="preserve"> </w:t>
      </w:r>
    </w:p>
    <w:p w14:paraId="77BFAD9F" w14:textId="4BCC4D87" w:rsidR="009A4BF4" w:rsidRDefault="00162831" w:rsidP="00305E24">
      <w:pPr>
        <w:jc w:val="both"/>
        <w:rPr>
          <w:bCs/>
          <w:iCs/>
          <w:szCs w:val="24"/>
        </w:rPr>
      </w:pPr>
      <w:r w:rsidRPr="00855DAF">
        <w:rPr>
          <w:b/>
          <w:bCs/>
          <w:szCs w:val="24"/>
        </w:rPr>
        <w:t>Kopsavilkums:</w:t>
      </w:r>
      <w:r w:rsidRPr="00162831">
        <w:rPr>
          <w:bCs/>
          <w:szCs w:val="24"/>
        </w:rPr>
        <w:t xml:space="preserve"> </w:t>
      </w:r>
      <w:r w:rsidR="009A4BF4" w:rsidRPr="00552DE3">
        <w:rPr>
          <w:bCs/>
          <w:i/>
          <w:szCs w:val="24"/>
        </w:rPr>
        <w:t xml:space="preserve">Šveice </w:t>
      </w:r>
      <w:r w:rsidR="00A810DB" w:rsidRPr="00552DE3">
        <w:rPr>
          <w:bCs/>
          <w:i/>
          <w:iCs/>
          <w:szCs w:val="24"/>
        </w:rPr>
        <w:t xml:space="preserve">nav pārkāpusi </w:t>
      </w:r>
      <w:r w:rsidR="00A810DB">
        <w:rPr>
          <w:bCs/>
          <w:i/>
          <w:iCs/>
          <w:szCs w:val="24"/>
        </w:rPr>
        <w:t>Eiropas Cilvēktiesību un pamatbrīvību aizsardzības k</w:t>
      </w:r>
      <w:r w:rsidR="00A810DB" w:rsidRPr="00552DE3">
        <w:rPr>
          <w:bCs/>
          <w:i/>
          <w:iCs/>
          <w:szCs w:val="24"/>
        </w:rPr>
        <w:t>onvencijas 10. pantu</w:t>
      </w:r>
      <w:r w:rsidR="009A0B25">
        <w:rPr>
          <w:bCs/>
          <w:i/>
          <w:iCs/>
          <w:szCs w:val="24"/>
        </w:rPr>
        <w:t>,</w:t>
      </w:r>
      <w:r w:rsidR="00A810DB" w:rsidRPr="00552DE3">
        <w:rPr>
          <w:bCs/>
          <w:i/>
          <w:szCs w:val="24"/>
        </w:rPr>
        <w:t xml:space="preserve"> </w:t>
      </w:r>
      <w:r w:rsidR="009A4BF4" w:rsidRPr="00552DE3">
        <w:rPr>
          <w:bCs/>
          <w:i/>
          <w:szCs w:val="24"/>
        </w:rPr>
        <w:t xml:space="preserve">krimināllietas ietvaros sodot žurnālistu par to, ka viņš </w:t>
      </w:r>
      <w:r w:rsidR="00493190" w:rsidRPr="00552DE3">
        <w:rPr>
          <w:bCs/>
          <w:i/>
          <w:szCs w:val="24"/>
        </w:rPr>
        <w:t>2003.</w:t>
      </w:r>
      <w:r w:rsidR="00552DE3" w:rsidRPr="00552DE3">
        <w:rPr>
          <w:bCs/>
          <w:i/>
          <w:szCs w:val="24"/>
        </w:rPr>
        <w:t xml:space="preserve"> </w:t>
      </w:r>
      <w:r w:rsidR="00493190" w:rsidRPr="00552DE3">
        <w:rPr>
          <w:bCs/>
          <w:i/>
          <w:szCs w:val="24"/>
        </w:rPr>
        <w:t xml:space="preserve">gadā </w:t>
      </w:r>
      <w:r w:rsidR="009A4BF4" w:rsidRPr="00552DE3">
        <w:rPr>
          <w:bCs/>
          <w:i/>
          <w:szCs w:val="24"/>
        </w:rPr>
        <w:t xml:space="preserve">publicējis plašu rezonansi ieguvuša ceļu satiksmes negadījuma izraisītāja </w:t>
      </w:r>
      <w:r w:rsidR="009A4BF4" w:rsidRPr="00552DE3">
        <w:rPr>
          <w:bCs/>
          <w:i/>
          <w:iCs/>
          <w:szCs w:val="24"/>
        </w:rPr>
        <w:t>krimināllietas nopratināšanas protokolu izvilkumu</w:t>
      </w:r>
      <w:r w:rsidR="00493190" w:rsidRPr="00552DE3">
        <w:rPr>
          <w:bCs/>
          <w:i/>
          <w:iCs/>
          <w:szCs w:val="24"/>
        </w:rPr>
        <w:t>s</w:t>
      </w:r>
      <w:r w:rsidR="009A4BF4" w:rsidRPr="00552DE3">
        <w:rPr>
          <w:bCs/>
          <w:i/>
          <w:iCs/>
          <w:szCs w:val="24"/>
        </w:rPr>
        <w:t xml:space="preserve"> un materiālu</w:t>
      </w:r>
      <w:r w:rsidR="00493190" w:rsidRPr="00552DE3">
        <w:rPr>
          <w:bCs/>
          <w:i/>
          <w:iCs/>
          <w:szCs w:val="24"/>
        </w:rPr>
        <w:t>s</w:t>
      </w:r>
      <w:r w:rsidR="009A4BF4" w:rsidRPr="00552DE3">
        <w:rPr>
          <w:bCs/>
          <w:i/>
          <w:iCs/>
          <w:szCs w:val="24"/>
        </w:rPr>
        <w:t>. Žurnālist</w:t>
      </w:r>
      <w:r w:rsidR="003C1870">
        <w:rPr>
          <w:bCs/>
          <w:i/>
          <w:iCs/>
          <w:szCs w:val="24"/>
        </w:rPr>
        <w:t xml:space="preserve">s tika sodīts </w:t>
      </w:r>
      <w:r w:rsidR="009A4BF4" w:rsidRPr="00552DE3">
        <w:rPr>
          <w:bCs/>
          <w:i/>
          <w:iCs/>
          <w:szCs w:val="24"/>
        </w:rPr>
        <w:t>par kriminālizmeklēšanas konfidencialitātes pārkāpšanu</w:t>
      </w:r>
      <w:r w:rsidR="003C1870">
        <w:rPr>
          <w:bCs/>
          <w:i/>
          <w:iCs/>
          <w:szCs w:val="24"/>
        </w:rPr>
        <w:t xml:space="preserve">. Soda </w:t>
      </w:r>
      <w:r w:rsidR="009A4BF4" w:rsidRPr="00552DE3">
        <w:rPr>
          <w:bCs/>
          <w:i/>
          <w:iCs/>
          <w:szCs w:val="24"/>
        </w:rPr>
        <w:t>mērķis šajā lietā bija aizsargāt pienācīgu tieslietu sistēmas darbību un apsūdzētā tiesības uz taisnīgu tiesu un privātās dzīves neaizskaramību.</w:t>
      </w:r>
      <w:r w:rsidR="00493190" w:rsidRPr="00552DE3">
        <w:rPr>
          <w:i/>
        </w:rPr>
        <w:t xml:space="preserve"> </w:t>
      </w:r>
      <w:r w:rsidR="003C1870">
        <w:rPr>
          <w:i/>
        </w:rPr>
        <w:t xml:space="preserve">Eiropas Cilvēktiesību tiesa atzina, ka </w:t>
      </w:r>
      <w:r w:rsidR="00493190" w:rsidRPr="00552DE3">
        <w:rPr>
          <w:bCs/>
          <w:i/>
          <w:iCs/>
          <w:szCs w:val="24"/>
        </w:rPr>
        <w:t>konkurējošu interešu izsvēršana Federālajā tiesā tika veikta pienācīgi.</w:t>
      </w:r>
    </w:p>
    <w:p w14:paraId="0F74B369" w14:textId="77777777" w:rsidR="009A4BF4" w:rsidRDefault="009A4BF4" w:rsidP="00305E24">
      <w:pPr>
        <w:jc w:val="both"/>
        <w:rPr>
          <w:bCs/>
          <w:iCs/>
          <w:szCs w:val="24"/>
        </w:rPr>
      </w:pPr>
    </w:p>
    <w:p w14:paraId="0B13865C" w14:textId="77777777" w:rsidR="00EF0174" w:rsidRDefault="00EF0174" w:rsidP="00305E24">
      <w:pPr>
        <w:jc w:val="both"/>
        <w:rPr>
          <w:bCs/>
          <w:iCs/>
          <w:szCs w:val="24"/>
        </w:rPr>
      </w:pPr>
    </w:p>
    <w:p w14:paraId="07162847" w14:textId="77777777" w:rsidR="00476188" w:rsidRPr="00476188" w:rsidRDefault="00476188" w:rsidP="00476188">
      <w:pPr>
        <w:jc w:val="both"/>
        <w:rPr>
          <w:b/>
          <w:bCs/>
          <w:iCs/>
          <w:szCs w:val="24"/>
        </w:rPr>
      </w:pPr>
      <w:r w:rsidRPr="00476188">
        <w:rPr>
          <w:b/>
          <w:bCs/>
          <w:iCs/>
          <w:szCs w:val="24"/>
        </w:rPr>
        <w:t xml:space="preserve">LIETAS </w:t>
      </w:r>
      <w:r>
        <w:rPr>
          <w:b/>
          <w:bCs/>
          <w:iCs/>
          <w:szCs w:val="24"/>
        </w:rPr>
        <w:t>FAKTI</w:t>
      </w:r>
    </w:p>
    <w:p w14:paraId="7813EFC0" w14:textId="6EE64886" w:rsidR="005E5E50" w:rsidRPr="00F81FD9" w:rsidRDefault="00EC186E" w:rsidP="00EF0174">
      <w:pPr>
        <w:jc w:val="both"/>
        <w:rPr>
          <w:bCs/>
          <w:iCs/>
          <w:szCs w:val="24"/>
        </w:rPr>
      </w:pPr>
      <w:r>
        <w:rPr>
          <w:bCs/>
          <w:iCs/>
          <w:szCs w:val="24"/>
        </w:rPr>
        <w:t xml:space="preserve">Pieteicējs </w:t>
      </w:r>
      <w:r w:rsidR="005E5E50" w:rsidRPr="00C11DC2">
        <w:rPr>
          <w:bCs/>
          <w:i/>
          <w:iCs/>
          <w:szCs w:val="24"/>
        </w:rPr>
        <w:t>Arnaud Bédat</w:t>
      </w:r>
      <w:r w:rsidR="005E5E50" w:rsidRPr="00476188">
        <w:rPr>
          <w:bCs/>
          <w:iCs/>
          <w:szCs w:val="24"/>
        </w:rPr>
        <w:t xml:space="preserve"> </w:t>
      </w:r>
      <w:r>
        <w:rPr>
          <w:bCs/>
          <w:iCs/>
          <w:szCs w:val="24"/>
        </w:rPr>
        <w:t>(</w:t>
      </w:r>
      <w:r w:rsidR="005E5E50" w:rsidRPr="00476188">
        <w:rPr>
          <w:bCs/>
          <w:iCs/>
          <w:szCs w:val="24"/>
        </w:rPr>
        <w:t xml:space="preserve">turpmāk A) pēc profesijas ir žurnālists Šveicē. </w:t>
      </w:r>
      <w:r w:rsidR="005E5E50" w:rsidRPr="00F81FD9">
        <w:rPr>
          <w:bCs/>
          <w:iCs/>
          <w:szCs w:val="24"/>
        </w:rPr>
        <w:t>2003. gada 15. oktobrī viņš publicēja rakstu iknedēļas žurnālā</w:t>
      </w:r>
      <w:r w:rsidR="005E5E50" w:rsidRPr="005E5E50">
        <w:t xml:space="preserve"> </w:t>
      </w:r>
      <w:r w:rsidR="005E5E50" w:rsidRPr="00F81FD9">
        <w:rPr>
          <w:bCs/>
          <w:i/>
          <w:iCs/>
          <w:szCs w:val="24"/>
        </w:rPr>
        <w:t>L’Illustré</w:t>
      </w:r>
      <w:r w:rsidR="005E5E50" w:rsidRPr="00F81FD9">
        <w:rPr>
          <w:bCs/>
          <w:iCs/>
          <w:szCs w:val="24"/>
        </w:rPr>
        <w:t xml:space="preserve"> ar nosaukumu “Tragedy on the Lausanne Bridge – the reckless driver’s version – Questioning of the mad driver” (“Traģēdija uz Lozannas tilta – </w:t>
      </w:r>
      <w:r w:rsidR="00101512">
        <w:rPr>
          <w:bCs/>
          <w:iCs/>
          <w:szCs w:val="24"/>
        </w:rPr>
        <w:t>„pārgalvīgā”</w:t>
      </w:r>
      <w:r w:rsidR="005E5E50" w:rsidRPr="00F81FD9">
        <w:rPr>
          <w:bCs/>
          <w:iCs/>
          <w:szCs w:val="24"/>
        </w:rPr>
        <w:t xml:space="preserve"> versija – </w:t>
      </w:r>
      <w:r w:rsidR="00101512">
        <w:rPr>
          <w:bCs/>
          <w:iCs/>
          <w:szCs w:val="24"/>
        </w:rPr>
        <w:t>dullā</w:t>
      </w:r>
      <w:r w:rsidR="005E5E50" w:rsidRPr="00F81FD9">
        <w:rPr>
          <w:bCs/>
          <w:iCs/>
          <w:szCs w:val="24"/>
        </w:rPr>
        <w:t xml:space="preserve"> </w:t>
      </w:r>
      <w:r w:rsidR="00101512">
        <w:rPr>
          <w:bCs/>
          <w:iCs/>
          <w:szCs w:val="24"/>
        </w:rPr>
        <w:t>auto</w:t>
      </w:r>
      <w:r w:rsidR="005E5E50" w:rsidRPr="00F81FD9">
        <w:rPr>
          <w:bCs/>
          <w:iCs/>
          <w:szCs w:val="24"/>
        </w:rPr>
        <w:t>vadītāja nopratināšana”</w:t>
      </w:r>
      <w:r w:rsidR="00101512">
        <w:rPr>
          <w:bCs/>
          <w:iCs/>
          <w:szCs w:val="24"/>
        </w:rPr>
        <w:t xml:space="preserve">, </w:t>
      </w:r>
      <w:r w:rsidR="00101512">
        <w:rPr>
          <w:noProof/>
          <w:lang w:val="en-GB"/>
        </w:rPr>
        <w:t>fr.</w:t>
      </w:r>
      <w:r w:rsidR="00101512" w:rsidRPr="000733BE">
        <w:rPr>
          <w:noProof/>
          <w:lang w:val="en-GB"/>
        </w:rPr>
        <w:t>“</w:t>
      </w:r>
      <w:r w:rsidR="00101512" w:rsidRPr="000733BE">
        <w:rPr>
          <w:i/>
          <w:noProof/>
          <w:lang w:val="en-GB"/>
        </w:rPr>
        <w:t>Drame du Grand-Pont à Lausanne – la version du chauffard – l’interrogatoire du conducteur fou</w:t>
      </w:r>
      <w:r w:rsidR="00101512" w:rsidRPr="000733BE">
        <w:rPr>
          <w:noProof/>
          <w:lang w:val="en-GB"/>
        </w:rPr>
        <w:t>”</w:t>
      </w:r>
      <w:r w:rsidR="005E5E50" w:rsidRPr="00F81FD9">
        <w:rPr>
          <w:bCs/>
          <w:iCs/>
          <w:szCs w:val="24"/>
        </w:rPr>
        <w:t>). R</w:t>
      </w:r>
      <w:r w:rsidR="00B52447" w:rsidRPr="00F81FD9">
        <w:rPr>
          <w:bCs/>
          <w:iCs/>
          <w:szCs w:val="24"/>
        </w:rPr>
        <w:t>aksts bija par autovadītāju MB, kurš 2003.</w:t>
      </w:r>
      <w:r w:rsidR="00101512">
        <w:rPr>
          <w:bCs/>
          <w:iCs/>
          <w:szCs w:val="24"/>
        </w:rPr>
        <w:t xml:space="preserve"> </w:t>
      </w:r>
      <w:r w:rsidR="00B52447" w:rsidRPr="00F81FD9">
        <w:rPr>
          <w:bCs/>
          <w:iCs/>
          <w:szCs w:val="24"/>
        </w:rPr>
        <w:t>gada 8.</w:t>
      </w:r>
      <w:r w:rsidR="00101512">
        <w:rPr>
          <w:bCs/>
          <w:iCs/>
          <w:szCs w:val="24"/>
        </w:rPr>
        <w:t xml:space="preserve"> </w:t>
      </w:r>
      <w:r w:rsidR="00B52447" w:rsidRPr="00F81FD9">
        <w:rPr>
          <w:bCs/>
          <w:iCs/>
          <w:szCs w:val="24"/>
        </w:rPr>
        <w:t xml:space="preserve">jūlijā uztriecās uz tilta gājējiem (3 mira, 8 ievainoti), pirms nolēkt (nobraukt) no Lozannas tilta. </w:t>
      </w:r>
    </w:p>
    <w:p w14:paraId="2FE18F4A" w14:textId="77777777" w:rsidR="00B52447" w:rsidRPr="00932C78" w:rsidRDefault="00B52447" w:rsidP="00EF0174">
      <w:pPr>
        <w:jc w:val="both"/>
        <w:rPr>
          <w:bCs/>
          <w:iCs/>
          <w:szCs w:val="24"/>
        </w:rPr>
      </w:pPr>
      <w:r w:rsidRPr="00932C78">
        <w:rPr>
          <w:bCs/>
          <w:iCs/>
          <w:szCs w:val="24"/>
        </w:rPr>
        <w:t>Spriedumā citēts raksts (tēlaini aprakstīta nopratināšanas atmosfēra, MB a</w:t>
      </w:r>
      <w:r w:rsidR="00552DE3">
        <w:rPr>
          <w:bCs/>
          <w:iCs/>
          <w:szCs w:val="24"/>
        </w:rPr>
        <w:t>pjukums, atbildes “Es nezinu”; r</w:t>
      </w:r>
      <w:r w:rsidRPr="00932C78">
        <w:rPr>
          <w:bCs/>
          <w:iCs/>
          <w:szCs w:val="24"/>
        </w:rPr>
        <w:t>akstam pievienotas MB</w:t>
      </w:r>
      <w:r w:rsidR="00101512" w:rsidRPr="00932C78">
        <w:rPr>
          <w:bCs/>
          <w:iCs/>
          <w:szCs w:val="24"/>
        </w:rPr>
        <w:t xml:space="preserve"> vēstu</w:t>
      </w:r>
      <w:r w:rsidR="000C42A2">
        <w:rPr>
          <w:bCs/>
          <w:iCs/>
          <w:szCs w:val="24"/>
        </w:rPr>
        <w:t>ļu</w:t>
      </w:r>
      <w:r w:rsidR="00101512" w:rsidRPr="00932C78">
        <w:rPr>
          <w:bCs/>
          <w:iCs/>
          <w:szCs w:val="24"/>
        </w:rPr>
        <w:t xml:space="preserve"> </w:t>
      </w:r>
      <w:r w:rsidR="000C42A2">
        <w:rPr>
          <w:bCs/>
          <w:iCs/>
          <w:szCs w:val="24"/>
        </w:rPr>
        <w:t xml:space="preserve">kopijas </w:t>
      </w:r>
      <w:r w:rsidR="00101512" w:rsidRPr="00932C78">
        <w:rPr>
          <w:bCs/>
          <w:iCs/>
          <w:szCs w:val="24"/>
        </w:rPr>
        <w:t>izmeklēšanas tiesnesi</w:t>
      </w:r>
      <w:r w:rsidRPr="00932C78">
        <w:rPr>
          <w:bCs/>
          <w:iCs/>
          <w:szCs w:val="24"/>
        </w:rPr>
        <w:t xml:space="preserve">m, detaļas par MB izteiktajiem lūgumiem, viņa </w:t>
      </w:r>
      <w:r w:rsidR="000C42A2">
        <w:rPr>
          <w:bCs/>
          <w:iCs/>
          <w:szCs w:val="24"/>
        </w:rPr>
        <w:t>sievas liecības</w:t>
      </w:r>
      <w:r w:rsidRPr="00932C78">
        <w:rPr>
          <w:bCs/>
          <w:iCs/>
          <w:szCs w:val="24"/>
        </w:rPr>
        <w:t xml:space="preserve"> un ārsta atzinumi).</w:t>
      </w:r>
    </w:p>
    <w:p w14:paraId="7B42CB24" w14:textId="7F6E7D23" w:rsidR="00272040" w:rsidRPr="00932C78" w:rsidRDefault="00B52447" w:rsidP="00EF0174">
      <w:pPr>
        <w:jc w:val="both"/>
        <w:rPr>
          <w:bCs/>
          <w:iCs/>
          <w:szCs w:val="24"/>
        </w:rPr>
      </w:pPr>
      <w:r w:rsidRPr="00932C78">
        <w:rPr>
          <w:bCs/>
          <w:iCs/>
          <w:szCs w:val="24"/>
        </w:rPr>
        <w:t>Pats MB nevērsās ar prasību pret A, taču krimināllietu uzsāka pēc prokuratūras iniciatīvas par slepenu dokumentu publicēšanu. Izmeklēšanā noskaidrojās, ka vien</w:t>
      </w:r>
      <w:r w:rsidR="000C42A2">
        <w:rPr>
          <w:bCs/>
          <w:iCs/>
          <w:szCs w:val="24"/>
        </w:rPr>
        <w:t>a no personām,</w:t>
      </w:r>
      <w:r w:rsidRPr="00932C78">
        <w:rPr>
          <w:bCs/>
          <w:iCs/>
          <w:szCs w:val="24"/>
        </w:rPr>
        <w:t xml:space="preserve"> kas prasīja zaudējumu atlīdzību no MB</w:t>
      </w:r>
      <w:r w:rsidR="00552DE3">
        <w:rPr>
          <w:bCs/>
          <w:iCs/>
          <w:szCs w:val="24"/>
        </w:rPr>
        <w:t>,</w:t>
      </w:r>
      <w:r w:rsidRPr="00932C78">
        <w:rPr>
          <w:bCs/>
          <w:iCs/>
          <w:szCs w:val="24"/>
        </w:rPr>
        <w:t xml:space="preserve"> bija nokopējusi lietas materiālus un </w:t>
      </w:r>
      <w:r w:rsidR="00166A27">
        <w:rPr>
          <w:bCs/>
          <w:iCs/>
          <w:szCs w:val="24"/>
        </w:rPr>
        <w:t>vienu</w:t>
      </w:r>
      <w:r w:rsidR="000C42A2">
        <w:rPr>
          <w:bCs/>
          <w:iCs/>
          <w:szCs w:val="24"/>
        </w:rPr>
        <w:t xml:space="preserve"> no kopijām </w:t>
      </w:r>
      <w:r w:rsidRPr="00932C78">
        <w:rPr>
          <w:bCs/>
          <w:iCs/>
          <w:szCs w:val="24"/>
        </w:rPr>
        <w:t xml:space="preserve">pazaudējusi lielveikalā. Nezināma persona tos bija aiznesusi </w:t>
      </w:r>
      <w:r w:rsidR="00272040" w:rsidRPr="00932C78">
        <w:rPr>
          <w:bCs/>
          <w:iCs/>
          <w:szCs w:val="24"/>
        </w:rPr>
        <w:t xml:space="preserve">uz žurnāla redakciju, kas publicēja rakstu. </w:t>
      </w:r>
    </w:p>
    <w:p w14:paraId="4C782C4C" w14:textId="704B5D45" w:rsidR="005E5E50" w:rsidRPr="00E738B5" w:rsidRDefault="00272040" w:rsidP="00EF0174">
      <w:pPr>
        <w:jc w:val="both"/>
        <w:rPr>
          <w:bCs/>
          <w:iCs/>
          <w:szCs w:val="24"/>
        </w:rPr>
      </w:pPr>
      <w:r w:rsidRPr="00E738B5">
        <w:rPr>
          <w:bCs/>
          <w:iCs/>
          <w:szCs w:val="24"/>
        </w:rPr>
        <w:t>Lozannas tiesa 2004. gadā piesprieda A vienu mēnesi cietumsoda, vēlā</w:t>
      </w:r>
      <w:r w:rsidR="005A4EFE">
        <w:rPr>
          <w:bCs/>
          <w:iCs/>
          <w:szCs w:val="24"/>
        </w:rPr>
        <w:t xml:space="preserve">k šo sodu aizstāja ar 4000 CHF </w:t>
      </w:r>
      <w:r w:rsidRPr="00E738B5">
        <w:rPr>
          <w:bCs/>
          <w:iCs/>
          <w:szCs w:val="24"/>
        </w:rPr>
        <w:t xml:space="preserve">(2600 eiro) sodu (to samaksājis A darba devējs). </w:t>
      </w:r>
    </w:p>
    <w:p w14:paraId="241E3373" w14:textId="13793218" w:rsidR="0046647B" w:rsidRPr="00E738B5" w:rsidRDefault="00272040" w:rsidP="00E738B5">
      <w:pPr>
        <w:jc w:val="both"/>
        <w:rPr>
          <w:bCs/>
          <w:iCs/>
          <w:szCs w:val="24"/>
        </w:rPr>
      </w:pPr>
      <w:r w:rsidRPr="00E738B5">
        <w:rPr>
          <w:bCs/>
          <w:iCs/>
          <w:szCs w:val="24"/>
        </w:rPr>
        <w:lastRenderedPageBreak/>
        <w:t>Vo</w:t>
      </w:r>
      <w:r w:rsidR="00DE47DB" w:rsidRPr="00E738B5">
        <w:rPr>
          <w:bCs/>
          <w:iCs/>
          <w:szCs w:val="24"/>
        </w:rPr>
        <w:t xml:space="preserve"> (</w:t>
      </w:r>
      <w:r w:rsidR="00DE47DB" w:rsidRPr="00E738B5">
        <w:rPr>
          <w:bCs/>
          <w:i/>
          <w:iCs/>
          <w:szCs w:val="24"/>
        </w:rPr>
        <w:t>Vaud</w:t>
      </w:r>
      <w:r w:rsidR="00DE47DB" w:rsidRPr="00E738B5">
        <w:rPr>
          <w:bCs/>
          <w:iCs/>
          <w:szCs w:val="24"/>
        </w:rPr>
        <w:t>)</w:t>
      </w:r>
      <w:r w:rsidRPr="00E738B5">
        <w:rPr>
          <w:bCs/>
          <w:iCs/>
          <w:szCs w:val="24"/>
        </w:rPr>
        <w:t xml:space="preserve"> kantona Apelācijas tiesa un Federālā tiesa 2006. un 2008. gadā noraidīja A sūdzības. </w:t>
      </w:r>
      <w:r w:rsidR="003C1870" w:rsidRPr="00E738B5">
        <w:rPr>
          <w:bCs/>
          <w:iCs/>
          <w:szCs w:val="24"/>
        </w:rPr>
        <w:t>Federālā tiesa nolēmumā, ar kuru noraidīja iesniegto pārsūdzību, analizēja piemērotā Krimināllikuma panta atbilstību</w:t>
      </w:r>
      <w:r w:rsidR="00EC186E">
        <w:rPr>
          <w:bCs/>
          <w:iCs/>
          <w:szCs w:val="24"/>
        </w:rPr>
        <w:t xml:space="preserve"> Eiropas Cilvēktiesību un pamatbrīvību aizsardzības konvencijas (turpmāk – </w:t>
      </w:r>
      <w:r w:rsidR="003C1870" w:rsidRPr="00E738B5">
        <w:rPr>
          <w:bCs/>
          <w:iCs/>
          <w:szCs w:val="24"/>
        </w:rPr>
        <w:t>Konvencijas</w:t>
      </w:r>
      <w:r w:rsidR="00EC186E">
        <w:rPr>
          <w:bCs/>
          <w:iCs/>
          <w:szCs w:val="24"/>
        </w:rPr>
        <w:t>)</w:t>
      </w:r>
      <w:r w:rsidR="003C1870" w:rsidRPr="00E738B5">
        <w:rPr>
          <w:bCs/>
          <w:iCs/>
          <w:szCs w:val="24"/>
        </w:rPr>
        <w:t xml:space="preserve"> 10.pantā nostiprinātajiem principiem un ECT judikatūrai agrākā lietā </w:t>
      </w:r>
      <w:r w:rsidR="003C1870" w:rsidRPr="00E738B5">
        <w:rPr>
          <w:bCs/>
          <w:i/>
          <w:iCs/>
          <w:szCs w:val="24"/>
        </w:rPr>
        <w:t>Stoll</w:t>
      </w:r>
      <w:r w:rsidR="003C1870" w:rsidRPr="00E738B5">
        <w:rPr>
          <w:bCs/>
          <w:iCs/>
          <w:szCs w:val="24"/>
        </w:rPr>
        <w:t xml:space="preserve"> pret Šveici. Federālā tiesa ņēma vērā, ka slepenības režīms krimināllietas materiāliem noteikts likum</w:t>
      </w:r>
      <w:r w:rsidR="0046647B" w:rsidRPr="00E738B5">
        <w:rPr>
          <w:bCs/>
          <w:iCs/>
          <w:szCs w:val="24"/>
        </w:rPr>
        <w:t>ā, nevis to piešķīrusi iestāde, papildus tā vērtēja sabiedrības objektīvo interesi par notikumu un stilu, kādā žurnālist</w:t>
      </w:r>
      <w:r w:rsidR="00166A27">
        <w:rPr>
          <w:bCs/>
          <w:iCs/>
          <w:szCs w:val="24"/>
        </w:rPr>
        <w:t>s</w:t>
      </w:r>
      <w:r w:rsidR="0046647B" w:rsidRPr="00E738B5">
        <w:rPr>
          <w:bCs/>
          <w:iCs/>
          <w:szCs w:val="24"/>
        </w:rPr>
        <w:t xml:space="preserve"> informāciju bija sniedzis. Šajā analīzē Federālā tiesa bija balstījusies uz ECT atziņām</w:t>
      </w:r>
      <w:r w:rsidR="003C1870" w:rsidRPr="00E738B5">
        <w:rPr>
          <w:bCs/>
          <w:iCs/>
          <w:szCs w:val="24"/>
        </w:rPr>
        <w:t>.</w:t>
      </w:r>
    </w:p>
    <w:p w14:paraId="35A88A7C" w14:textId="77C71AEB" w:rsidR="0046647B" w:rsidRPr="00E738B5" w:rsidRDefault="0046647B" w:rsidP="00E738B5">
      <w:pPr>
        <w:jc w:val="both"/>
        <w:rPr>
          <w:bCs/>
          <w:iCs/>
          <w:szCs w:val="24"/>
        </w:rPr>
      </w:pPr>
      <w:r w:rsidRPr="00E738B5">
        <w:rPr>
          <w:bCs/>
          <w:iCs/>
          <w:szCs w:val="24"/>
        </w:rPr>
        <w:t>ECT norāda, ka tās rīcībā ir 3</w:t>
      </w:r>
      <w:r w:rsidR="00E675C5" w:rsidRPr="00E738B5">
        <w:rPr>
          <w:bCs/>
          <w:iCs/>
          <w:szCs w:val="24"/>
        </w:rPr>
        <w:t>0</w:t>
      </w:r>
      <w:r w:rsidRPr="00E738B5">
        <w:rPr>
          <w:bCs/>
          <w:iCs/>
          <w:szCs w:val="24"/>
        </w:rPr>
        <w:t xml:space="preserve"> valstu </w:t>
      </w:r>
      <w:r w:rsidR="005C4572" w:rsidRPr="00E738B5">
        <w:rPr>
          <w:bCs/>
          <w:iCs/>
          <w:szCs w:val="24"/>
        </w:rPr>
        <w:t xml:space="preserve">(tai skaitā – Latvijas) </w:t>
      </w:r>
      <w:r w:rsidRPr="00E738B5">
        <w:rPr>
          <w:bCs/>
          <w:iCs/>
          <w:szCs w:val="24"/>
        </w:rPr>
        <w:t xml:space="preserve">tiesību salīdzinošs pētījums par atbildību (sodiem) par </w:t>
      </w:r>
      <w:r w:rsidR="00E675C5" w:rsidRPr="00E738B5">
        <w:rPr>
          <w:bCs/>
          <w:iCs/>
          <w:szCs w:val="24"/>
        </w:rPr>
        <w:t xml:space="preserve">ziņu izpaušanu, kurām kriminālprocesa ietvaros </w:t>
      </w:r>
      <w:r w:rsidR="005C4572" w:rsidRPr="00E738B5">
        <w:rPr>
          <w:bCs/>
          <w:iCs/>
          <w:szCs w:val="24"/>
        </w:rPr>
        <w:t>piemērots slepenības rež</w:t>
      </w:r>
      <w:r w:rsidR="00E675C5" w:rsidRPr="00E738B5">
        <w:rPr>
          <w:bCs/>
          <w:iCs/>
          <w:szCs w:val="24"/>
        </w:rPr>
        <w:t>īms</w:t>
      </w:r>
      <w:r w:rsidRPr="00E738B5">
        <w:rPr>
          <w:bCs/>
          <w:iCs/>
          <w:szCs w:val="24"/>
        </w:rPr>
        <w:t xml:space="preserve">; visas valstīs ir paredzēta atbildība. </w:t>
      </w:r>
      <w:r w:rsidR="00E675C5" w:rsidRPr="00E738B5">
        <w:rPr>
          <w:bCs/>
          <w:iCs/>
          <w:szCs w:val="24"/>
        </w:rPr>
        <w:t xml:space="preserve">23 valstīs </w:t>
      </w:r>
      <w:r w:rsidR="00A86545" w:rsidRPr="00E738B5">
        <w:rPr>
          <w:bCs/>
          <w:iCs/>
          <w:szCs w:val="24"/>
        </w:rPr>
        <w:t>subjek</w:t>
      </w:r>
      <w:r w:rsidR="00B03C1A" w:rsidRPr="00E738B5">
        <w:rPr>
          <w:bCs/>
          <w:iCs/>
          <w:szCs w:val="24"/>
        </w:rPr>
        <w:t>ts ir jebkura persona</w:t>
      </w:r>
      <w:r w:rsidR="00A86545" w:rsidRPr="00E738B5">
        <w:rPr>
          <w:bCs/>
          <w:iCs/>
          <w:szCs w:val="24"/>
        </w:rPr>
        <w:t xml:space="preserve"> (trijās valstīs gan noteikta tikai administratīvā atbildība)</w:t>
      </w:r>
      <w:r w:rsidR="00B03C1A" w:rsidRPr="00E738B5">
        <w:rPr>
          <w:bCs/>
          <w:iCs/>
          <w:szCs w:val="24"/>
        </w:rPr>
        <w:t>, bet 7 tikai tās</w:t>
      </w:r>
      <w:r w:rsidR="00A86545" w:rsidRPr="00E738B5">
        <w:rPr>
          <w:bCs/>
          <w:iCs/>
          <w:szCs w:val="24"/>
        </w:rPr>
        <w:t xml:space="preserve"> personas</w:t>
      </w:r>
      <w:r w:rsidR="00B03C1A" w:rsidRPr="00E738B5">
        <w:rPr>
          <w:bCs/>
          <w:iCs/>
          <w:szCs w:val="24"/>
        </w:rPr>
        <w:t>, kuras iesaistītas krim</w:t>
      </w:r>
      <w:r w:rsidR="009A0B25">
        <w:rPr>
          <w:bCs/>
          <w:iCs/>
          <w:szCs w:val="24"/>
        </w:rPr>
        <w:t>in</w:t>
      </w:r>
      <w:r w:rsidR="00B03C1A" w:rsidRPr="00E738B5">
        <w:rPr>
          <w:bCs/>
          <w:iCs/>
          <w:szCs w:val="24"/>
        </w:rPr>
        <w:t>āl</w:t>
      </w:r>
      <w:r w:rsidR="00A86545" w:rsidRPr="00E738B5">
        <w:rPr>
          <w:bCs/>
          <w:iCs/>
          <w:szCs w:val="24"/>
        </w:rPr>
        <w:t xml:space="preserve">izmeklēšanā. </w:t>
      </w:r>
    </w:p>
    <w:p w14:paraId="1DD58A5F" w14:textId="77777777" w:rsidR="00847671" w:rsidRDefault="00847671" w:rsidP="00847671">
      <w:pPr>
        <w:rPr>
          <w:b/>
          <w:iCs/>
        </w:rPr>
      </w:pPr>
    </w:p>
    <w:p w14:paraId="242A1164" w14:textId="77777777" w:rsidR="00C80600" w:rsidRPr="00C80600" w:rsidRDefault="00C80600" w:rsidP="00C80600">
      <w:pPr>
        <w:rPr>
          <w:b/>
          <w:iCs/>
        </w:rPr>
      </w:pPr>
      <w:r w:rsidRPr="00C80600">
        <w:rPr>
          <w:b/>
          <w:iCs/>
        </w:rPr>
        <w:t>JURIDISKAIS PAMATOJUMS</w:t>
      </w:r>
    </w:p>
    <w:p w14:paraId="7CE9E99D" w14:textId="77777777" w:rsidR="00D6629D" w:rsidRPr="00D6629D" w:rsidRDefault="00476188" w:rsidP="00493190">
      <w:pPr>
        <w:jc w:val="both"/>
        <w:rPr>
          <w:iCs/>
        </w:rPr>
      </w:pPr>
      <w:r>
        <w:rPr>
          <w:iCs/>
        </w:rPr>
        <w:t>A sūdzēj</w:t>
      </w:r>
      <w:r w:rsidR="00A86545">
        <w:rPr>
          <w:iCs/>
        </w:rPr>
        <w:t>ā</w:t>
      </w:r>
      <w:r>
        <w:rPr>
          <w:iCs/>
        </w:rPr>
        <w:t>s, ka</w:t>
      </w:r>
      <w:r w:rsidR="00A86545">
        <w:rPr>
          <w:iCs/>
        </w:rPr>
        <w:t>,</w:t>
      </w:r>
      <w:r>
        <w:rPr>
          <w:iCs/>
        </w:rPr>
        <w:t xml:space="preserve"> </w:t>
      </w:r>
      <w:r w:rsidR="00D6629D">
        <w:rPr>
          <w:iCs/>
        </w:rPr>
        <w:t>viņ</w:t>
      </w:r>
      <w:r w:rsidR="000C42A2">
        <w:rPr>
          <w:iCs/>
        </w:rPr>
        <w:t>u notiesājot</w:t>
      </w:r>
      <w:r w:rsidR="00A86545">
        <w:rPr>
          <w:iCs/>
        </w:rPr>
        <w:t>,</w:t>
      </w:r>
      <w:r w:rsidR="000C42A2">
        <w:rPr>
          <w:iCs/>
        </w:rPr>
        <w:t xml:space="preserve"> </w:t>
      </w:r>
      <w:r w:rsidR="00D6629D" w:rsidRPr="00D6629D">
        <w:rPr>
          <w:iCs/>
        </w:rPr>
        <w:t>ir pieļauts</w:t>
      </w:r>
      <w:r w:rsidR="00D6629D">
        <w:rPr>
          <w:iCs/>
        </w:rPr>
        <w:t xml:space="preserve"> Konvencijas 10.panta pārkāpums</w:t>
      </w:r>
      <w:r w:rsidR="000C42A2">
        <w:rPr>
          <w:iCs/>
        </w:rPr>
        <w:t xml:space="preserve">. Konvencijas 10.pants </w:t>
      </w:r>
      <w:r w:rsidR="00D6629D" w:rsidRPr="00D6629D">
        <w:rPr>
          <w:iCs/>
        </w:rPr>
        <w:t>noteic:</w:t>
      </w:r>
    </w:p>
    <w:p w14:paraId="34B42665" w14:textId="77777777" w:rsidR="00D6629D" w:rsidRPr="00D6629D" w:rsidRDefault="00D6629D" w:rsidP="00D6629D">
      <w:pPr>
        <w:jc w:val="both"/>
        <w:rPr>
          <w:iCs/>
        </w:rPr>
      </w:pPr>
      <w:r w:rsidRPr="00D6629D">
        <w:rPr>
          <w:iCs/>
        </w:rPr>
        <w:t>"1. Ikvienam ir tiesības brīvi paust savus uzskatus. Šīs tiesības ietver uzskatu brīvību un tiesības saņemt un izplatīt informāciju un idejas bez iejaukšanās no valsts institūciju puses un neatkarīgi no valstu robežām. Šis pants neierobežo valstu tiesības pieprasīt radioraidījumu, televīzijas raidījumu un kino demonstrēšanas licencēšanu.</w:t>
      </w:r>
    </w:p>
    <w:p w14:paraId="7E31BBFE" w14:textId="77777777" w:rsidR="00D6629D" w:rsidRPr="00D6629D" w:rsidRDefault="00D6629D" w:rsidP="00D6629D">
      <w:pPr>
        <w:jc w:val="both"/>
        <w:rPr>
          <w:iCs/>
        </w:rPr>
      </w:pPr>
      <w:r w:rsidRPr="00D6629D">
        <w:rPr>
          <w:iCs/>
        </w:rPr>
        <w:t>2. Tā kā šo brīvību īstenošana ir saistīta ar pienākumiem un atbildību, tā var tikt pakļauta tādām prasībām, nosacījumiem, ierobežojumiem vai sodiem, kas paredzēti likumā un nepieciešami demokrātiskā sabiedrībā, lai aizsargātu valsts drošības, teritoriālās vienotības vai sabiedriskās drošības intereses, nepieļautu nekārtības vai noziegumus, aizsargātu veselību vai tikumību, aizsargātu citu cilvēku cieņu vai tiesības, nepieļautu konfidenciālas informācijas izpaušanu vai lai nodrošinātu tiesas varu un objektivitāti."</w:t>
      </w:r>
    </w:p>
    <w:p w14:paraId="5505EE2B" w14:textId="77777777" w:rsidR="000C42A2" w:rsidRDefault="000C42A2" w:rsidP="00847671">
      <w:pPr>
        <w:rPr>
          <w:b/>
          <w:iCs/>
        </w:rPr>
      </w:pPr>
    </w:p>
    <w:p w14:paraId="5F8EBADD" w14:textId="77777777" w:rsidR="00847671" w:rsidRDefault="00C80600" w:rsidP="00847671">
      <w:pPr>
        <w:rPr>
          <w:b/>
          <w:iCs/>
        </w:rPr>
      </w:pPr>
      <w:r w:rsidRPr="00C80600">
        <w:rPr>
          <w:b/>
          <w:iCs/>
        </w:rPr>
        <w:t xml:space="preserve">A. </w:t>
      </w:r>
      <w:r w:rsidR="000C42A2">
        <w:rPr>
          <w:b/>
          <w:iCs/>
        </w:rPr>
        <w:t xml:space="preserve">ECT </w:t>
      </w:r>
      <w:r w:rsidRPr="00C80600">
        <w:rPr>
          <w:b/>
          <w:iCs/>
        </w:rPr>
        <w:t xml:space="preserve">PALĀTAS SPRIEDUMS </w:t>
      </w:r>
    </w:p>
    <w:p w14:paraId="01A3A8ED" w14:textId="2B838E79" w:rsidR="006B2478" w:rsidRDefault="006B2478" w:rsidP="00847671">
      <w:pPr>
        <w:rPr>
          <w:iCs/>
        </w:rPr>
      </w:pPr>
      <w:r w:rsidRPr="006B2478">
        <w:rPr>
          <w:iCs/>
        </w:rPr>
        <w:t xml:space="preserve">25. Savā </w:t>
      </w:r>
      <w:r>
        <w:rPr>
          <w:iCs/>
        </w:rPr>
        <w:t xml:space="preserve">2014. gada 1. jūlija </w:t>
      </w:r>
      <w:r w:rsidRPr="006B2478">
        <w:rPr>
          <w:iCs/>
        </w:rPr>
        <w:t xml:space="preserve">spriedumā </w:t>
      </w:r>
      <w:r>
        <w:rPr>
          <w:iCs/>
        </w:rPr>
        <w:t xml:space="preserve">Palāta secināja, </w:t>
      </w:r>
      <w:r w:rsidR="000C42A2">
        <w:rPr>
          <w:iCs/>
        </w:rPr>
        <w:t xml:space="preserve">ka </w:t>
      </w:r>
      <w:r>
        <w:rPr>
          <w:iCs/>
        </w:rPr>
        <w:t xml:space="preserve">ir noticis 10. panta pārkāpums. </w:t>
      </w:r>
    </w:p>
    <w:p w14:paraId="7E942A24" w14:textId="77777777" w:rsidR="006B2478" w:rsidRDefault="006B2478" w:rsidP="00552DE3">
      <w:pPr>
        <w:jc w:val="both"/>
        <w:rPr>
          <w:iCs/>
        </w:rPr>
      </w:pPr>
      <w:r>
        <w:rPr>
          <w:iCs/>
        </w:rPr>
        <w:t xml:space="preserve">26. Palāta ņēma vērā, ka negadījums bija noticis ārkārtējos apstākļos un pievērsa plašu mediju uzmanību. A savā rakstā esot apskatījis apsūdzētā raksturu un centies izprast viņa motīvus, uzsverot veidu, kādā policija un tiesu varas institūcijas </w:t>
      </w:r>
      <w:r w:rsidR="000C42A2">
        <w:rPr>
          <w:iCs/>
        </w:rPr>
        <w:t xml:space="preserve">apietas </w:t>
      </w:r>
      <w:r>
        <w:rPr>
          <w:iCs/>
        </w:rPr>
        <w:t>ar viņu</w:t>
      </w:r>
      <w:r w:rsidR="00A810DB">
        <w:rPr>
          <w:iCs/>
        </w:rPr>
        <w:t xml:space="preserve"> -</w:t>
      </w:r>
      <w:r>
        <w:rPr>
          <w:iCs/>
        </w:rPr>
        <w:t xml:space="preserve"> cilvēku, kurš, šķiet, cieta no psihiatriskām novirzēm. Tādējādi Palāta secinājusi, ka minēt</w:t>
      </w:r>
      <w:r w:rsidR="00A810DB">
        <w:rPr>
          <w:iCs/>
        </w:rPr>
        <w:t xml:space="preserve">ajā rakstā apskatīts sabiedrībai nozīmīgs temats. </w:t>
      </w:r>
    </w:p>
    <w:p w14:paraId="1521A111" w14:textId="77777777" w:rsidR="006B2478" w:rsidRDefault="006B2478" w:rsidP="00552DE3">
      <w:pPr>
        <w:jc w:val="both"/>
        <w:rPr>
          <w:iCs/>
        </w:rPr>
      </w:pPr>
      <w:r>
        <w:rPr>
          <w:iCs/>
        </w:rPr>
        <w:t>27. Tomēr Palāta atzīmēja, ka A</w:t>
      </w:r>
      <w:r w:rsidR="00A810DB">
        <w:rPr>
          <w:iCs/>
        </w:rPr>
        <w:t xml:space="preserve"> kā </w:t>
      </w:r>
      <w:r>
        <w:rPr>
          <w:iCs/>
        </w:rPr>
        <w:t xml:space="preserve">pieredzējušam žurnālistam, būtu bijis jāzina, ka dokumenti, kas nonāca viņa rīcībā, </w:t>
      </w:r>
      <w:r w:rsidR="00A810DB">
        <w:rPr>
          <w:iCs/>
        </w:rPr>
        <w:t>kriminālizmeklēšanas procesā ir pakļauti slepenības režīmam.</w:t>
      </w:r>
      <w:r>
        <w:rPr>
          <w:iCs/>
        </w:rPr>
        <w:t xml:space="preserve"> </w:t>
      </w:r>
    </w:p>
    <w:p w14:paraId="462CBD1A" w14:textId="53E11C59" w:rsidR="00E32BDF" w:rsidRDefault="00E32BDF" w:rsidP="00552DE3">
      <w:pPr>
        <w:jc w:val="both"/>
        <w:rPr>
          <w:iCs/>
        </w:rPr>
      </w:pPr>
      <w:r>
        <w:rPr>
          <w:iCs/>
        </w:rPr>
        <w:t>28. Izvērtējot konkurējošas intereses, Palāta secināja, ka nopratināšanas un vēstuļu atklāšana ir aizskāruš</w:t>
      </w:r>
      <w:r w:rsidR="00A810DB">
        <w:rPr>
          <w:iCs/>
        </w:rPr>
        <w:t>as</w:t>
      </w:r>
      <w:r>
        <w:rPr>
          <w:iCs/>
        </w:rPr>
        <w:t xml:space="preserve"> nevainības prezumpciju un plašāk – tiesības uz taisnīgu tiesu. Tomēr rakstā nav skatīt</w:t>
      </w:r>
      <w:r w:rsidR="000947DE">
        <w:rPr>
          <w:iCs/>
        </w:rPr>
        <w:t>s jautājums par MB vainu. Turklāt</w:t>
      </w:r>
      <w:r>
        <w:rPr>
          <w:iCs/>
        </w:rPr>
        <w:t xml:space="preserve"> apsūdzētā lietu skatījusi tiesa, kas sastāv no profesionāliem tiesnešiem, kas arī samazina risku, ka tādi raksti kā apskatāmais ietekmētu </w:t>
      </w:r>
      <w:r w:rsidR="00A810DB">
        <w:rPr>
          <w:iCs/>
        </w:rPr>
        <w:t>lietas</w:t>
      </w:r>
      <w:r>
        <w:rPr>
          <w:iCs/>
        </w:rPr>
        <w:t xml:space="preserve"> iznākumu. </w:t>
      </w:r>
    </w:p>
    <w:p w14:paraId="3D5F6390" w14:textId="77777777" w:rsidR="006B2478" w:rsidRPr="006B2478" w:rsidRDefault="006B2478" w:rsidP="00847671">
      <w:pPr>
        <w:rPr>
          <w:iCs/>
        </w:rPr>
      </w:pPr>
    </w:p>
    <w:p w14:paraId="0F7B7258" w14:textId="77777777" w:rsidR="00C80600" w:rsidRDefault="00C80600" w:rsidP="00847671">
      <w:pPr>
        <w:rPr>
          <w:b/>
          <w:iCs/>
        </w:rPr>
      </w:pPr>
      <w:r w:rsidRPr="00C80600">
        <w:rPr>
          <w:b/>
          <w:iCs/>
        </w:rPr>
        <w:lastRenderedPageBreak/>
        <w:t>B. PUŠU IESNIEGUMI LIELAJAI PALĀTAI</w:t>
      </w:r>
    </w:p>
    <w:p w14:paraId="0DDE4415" w14:textId="77777777" w:rsidR="00E32BDF" w:rsidRPr="00C80600" w:rsidRDefault="00E32BDF" w:rsidP="00847671">
      <w:pPr>
        <w:rPr>
          <w:b/>
          <w:iCs/>
        </w:rPr>
      </w:pPr>
      <w:r>
        <w:rPr>
          <w:b/>
          <w:iCs/>
        </w:rPr>
        <w:t>(..)</w:t>
      </w:r>
    </w:p>
    <w:p w14:paraId="22E69041" w14:textId="77777777" w:rsidR="00476188" w:rsidRPr="000947DE" w:rsidRDefault="00E32BDF" w:rsidP="00847671">
      <w:pPr>
        <w:rPr>
          <w:b/>
          <w:iCs/>
        </w:rPr>
      </w:pPr>
      <w:r w:rsidRPr="000947DE">
        <w:rPr>
          <w:b/>
          <w:iCs/>
        </w:rPr>
        <w:t>2. Valdība</w:t>
      </w:r>
    </w:p>
    <w:p w14:paraId="0238D10E" w14:textId="77777777" w:rsidR="00E32BDF" w:rsidRDefault="00E32BDF" w:rsidP="00992E5D">
      <w:pPr>
        <w:jc w:val="both"/>
        <w:rPr>
          <w:iCs/>
        </w:rPr>
      </w:pPr>
      <w:r>
        <w:rPr>
          <w:iCs/>
        </w:rPr>
        <w:t>3</w:t>
      </w:r>
      <w:r w:rsidR="00A86545">
        <w:rPr>
          <w:iCs/>
        </w:rPr>
        <w:t>7.-38</w:t>
      </w:r>
      <w:r>
        <w:rPr>
          <w:iCs/>
        </w:rPr>
        <w:t xml:space="preserve">. Valdības argumenti galvenokārt </w:t>
      </w:r>
      <w:r w:rsidR="00A86545">
        <w:rPr>
          <w:iCs/>
        </w:rPr>
        <w:t xml:space="preserve">vērsti </w:t>
      </w:r>
      <w:r>
        <w:rPr>
          <w:iCs/>
        </w:rPr>
        <w:t xml:space="preserve">uz </w:t>
      </w:r>
      <w:r w:rsidR="00A86545">
        <w:rPr>
          <w:iCs/>
        </w:rPr>
        <w:t xml:space="preserve">pamattiesības – vārda brīvības – ierobežojuma </w:t>
      </w:r>
      <w:r>
        <w:rPr>
          <w:iCs/>
        </w:rPr>
        <w:t xml:space="preserve">nepieciešamību demokrātiskā sabiedrībā. </w:t>
      </w:r>
    </w:p>
    <w:p w14:paraId="58B8A57B" w14:textId="1602728D" w:rsidR="00476188" w:rsidRDefault="000947DE" w:rsidP="00992E5D">
      <w:pPr>
        <w:jc w:val="both"/>
        <w:rPr>
          <w:iCs/>
        </w:rPr>
      </w:pPr>
      <w:r>
        <w:rPr>
          <w:iCs/>
        </w:rPr>
        <w:t>39</w:t>
      </w:r>
      <w:r w:rsidR="00DE47DB">
        <w:rPr>
          <w:iCs/>
        </w:rPr>
        <w:t>.-41</w:t>
      </w:r>
      <w:r>
        <w:rPr>
          <w:iCs/>
        </w:rPr>
        <w:t>. Valdība uzskata, ka šajā lietā nav biju</w:t>
      </w:r>
      <w:r w:rsidR="00A86545">
        <w:rPr>
          <w:iCs/>
        </w:rPr>
        <w:t xml:space="preserve">ši </w:t>
      </w:r>
      <w:r w:rsidR="00DE47DB">
        <w:rPr>
          <w:iCs/>
        </w:rPr>
        <w:t xml:space="preserve">tādi </w:t>
      </w:r>
      <w:r w:rsidR="00A86545">
        <w:rPr>
          <w:iCs/>
        </w:rPr>
        <w:t xml:space="preserve">īpaši </w:t>
      </w:r>
      <w:r>
        <w:rPr>
          <w:iCs/>
        </w:rPr>
        <w:t xml:space="preserve">iemesli informēt sabiedrību, kas būtu </w:t>
      </w:r>
      <w:r w:rsidR="00A86545">
        <w:rPr>
          <w:iCs/>
        </w:rPr>
        <w:t xml:space="preserve">ļāvuši </w:t>
      </w:r>
      <w:r>
        <w:rPr>
          <w:iCs/>
        </w:rPr>
        <w:t>A neievērot izmeklēšanas slepenības prasību. Valdība uzsvēra, ka fakts, ka publicētā informācija varētu apmierināt kādu sabiedrības ziņkāri, nerada pietiekamu pamatojumu.</w:t>
      </w:r>
      <w:r w:rsidR="00DE47DB">
        <w:rPr>
          <w:iCs/>
        </w:rPr>
        <w:t xml:space="preserve"> Uzsvērts, ka rakstam pievienota apsūdzētā fotogrāfija un virkne ļoti personīgas informācijas, kas pēc būtības attiecas uz personas privātās dzīves sfēru. Šajā jomā valstij no Konvencijas 8.</w:t>
      </w:r>
      <w:r w:rsidR="005A4EFE">
        <w:rPr>
          <w:iCs/>
        </w:rPr>
        <w:t xml:space="preserve"> </w:t>
      </w:r>
      <w:r w:rsidR="00DE47DB">
        <w:rPr>
          <w:iCs/>
        </w:rPr>
        <w:t>panta izriet pienākums nodrošināt personu aizskarto tiesību aizsardzību.</w:t>
      </w:r>
    </w:p>
    <w:p w14:paraId="3EB13DA5" w14:textId="77777777" w:rsidR="00EF0174" w:rsidRDefault="00DE47DB" w:rsidP="001D74DA">
      <w:pPr>
        <w:rPr>
          <w:iCs/>
        </w:rPr>
      </w:pPr>
      <w:r>
        <w:rPr>
          <w:iCs/>
        </w:rPr>
        <w:t>43. Valdība attiecībā uz piemērotā soda samērīgumu norāda, ka naudas sods nepārsniedz pusi no A mēneša ienākumiem un ir ticis noteikts, vērtējot virkni apstākļus, tai skaitā A līdzšinējo sodāmību.</w:t>
      </w:r>
    </w:p>
    <w:p w14:paraId="3096CB3E" w14:textId="77777777" w:rsidR="00DE47DB" w:rsidRDefault="00DE47DB" w:rsidP="001D74DA">
      <w:pPr>
        <w:rPr>
          <w:b/>
          <w:iCs/>
        </w:rPr>
      </w:pPr>
    </w:p>
    <w:p w14:paraId="23FFDD5F" w14:textId="77777777" w:rsidR="00FA7D74" w:rsidRDefault="000947DE" w:rsidP="001D74DA">
      <w:pPr>
        <w:rPr>
          <w:b/>
          <w:iCs/>
        </w:rPr>
      </w:pPr>
      <w:r>
        <w:rPr>
          <w:b/>
          <w:iCs/>
        </w:rPr>
        <w:t xml:space="preserve">C. </w:t>
      </w:r>
      <w:r w:rsidR="00847671">
        <w:rPr>
          <w:b/>
          <w:iCs/>
        </w:rPr>
        <w:t>TIESAS NOVĒRTĒJUMS</w:t>
      </w:r>
    </w:p>
    <w:p w14:paraId="29DC42CE" w14:textId="77777777" w:rsidR="000947DE" w:rsidRPr="006E48A2" w:rsidRDefault="00A81693" w:rsidP="000947DE">
      <w:pPr>
        <w:pStyle w:val="ListParagraph"/>
        <w:numPr>
          <w:ilvl w:val="0"/>
          <w:numId w:val="2"/>
        </w:numPr>
        <w:rPr>
          <w:b/>
          <w:iCs/>
        </w:rPr>
      </w:pPr>
      <w:r>
        <w:rPr>
          <w:b/>
          <w:iCs/>
        </w:rPr>
        <w:t xml:space="preserve">Tiesību aizskārums </w:t>
      </w:r>
      <w:r w:rsidR="00587E35" w:rsidRPr="006E48A2">
        <w:rPr>
          <w:b/>
          <w:iCs/>
        </w:rPr>
        <w:t>„paredzēt</w:t>
      </w:r>
      <w:r>
        <w:rPr>
          <w:b/>
          <w:iCs/>
        </w:rPr>
        <w:t>s</w:t>
      </w:r>
      <w:r w:rsidR="000947DE" w:rsidRPr="006E48A2">
        <w:rPr>
          <w:b/>
          <w:iCs/>
        </w:rPr>
        <w:t xml:space="preserve"> likumā” un </w:t>
      </w:r>
      <w:r>
        <w:rPr>
          <w:b/>
          <w:iCs/>
        </w:rPr>
        <w:t xml:space="preserve">tam ir </w:t>
      </w:r>
      <w:r w:rsidR="000947DE" w:rsidRPr="006E48A2">
        <w:rPr>
          <w:b/>
          <w:iCs/>
        </w:rPr>
        <w:t>„leģitīm</w:t>
      </w:r>
      <w:r>
        <w:rPr>
          <w:b/>
          <w:iCs/>
        </w:rPr>
        <w:t>s</w:t>
      </w:r>
      <w:r w:rsidR="000947DE" w:rsidRPr="006E48A2">
        <w:rPr>
          <w:b/>
          <w:iCs/>
        </w:rPr>
        <w:t xml:space="preserve"> mērķ</w:t>
      </w:r>
      <w:r>
        <w:rPr>
          <w:b/>
          <w:iCs/>
        </w:rPr>
        <w:t>is</w:t>
      </w:r>
      <w:r w:rsidR="00587E35" w:rsidRPr="006E48A2">
        <w:rPr>
          <w:b/>
          <w:iCs/>
        </w:rPr>
        <w:t xml:space="preserve">” </w:t>
      </w:r>
    </w:p>
    <w:p w14:paraId="01FBA2A5" w14:textId="166AB084" w:rsidR="000947DE" w:rsidRDefault="000947DE" w:rsidP="00E738B5">
      <w:pPr>
        <w:jc w:val="both"/>
        <w:rPr>
          <w:iCs/>
        </w:rPr>
      </w:pPr>
      <w:r>
        <w:rPr>
          <w:iCs/>
        </w:rPr>
        <w:t>44.</w:t>
      </w:r>
      <w:r w:rsidR="00587E35">
        <w:rPr>
          <w:iCs/>
        </w:rPr>
        <w:t xml:space="preserve">–47. </w:t>
      </w:r>
      <w:r w:rsidR="00A81693">
        <w:rPr>
          <w:iCs/>
        </w:rPr>
        <w:t>Palātas spriedumā secināts, ka pusēm nav domstarpību, ka A notiesāšana bija iejaukšanās viņa vārda brīvībā - pamattiesības, kas nostiprināta Konvencijas 10.</w:t>
      </w:r>
      <w:r w:rsidR="005A4EFE">
        <w:rPr>
          <w:iCs/>
        </w:rPr>
        <w:t xml:space="preserve"> </w:t>
      </w:r>
      <w:r w:rsidR="00A81693">
        <w:rPr>
          <w:iCs/>
        </w:rPr>
        <w:t xml:space="preserve">pantā, aizskārums. Nav strīda, ka šo ierobežojumu noteica likums, proti, Šveices Kriminālkodekss un </w:t>
      </w:r>
      <w:r w:rsidR="00587E35">
        <w:rPr>
          <w:iCs/>
        </w:rPr>
        <w:t xml:space="preserve">Vo kantona </w:t>
      </w:r>
      <w:r w:rsidR="00A81693">
        <w:rPr>
          <w:iCs/>
        </w:rPr>
        <w:t>K</w:t>
      </w:r>
      <w:r w:rsidR="00587E35">
        <w:rPr>
          <w:iCs/>
        </w:rPr>
        <w:t xml:space="preserve">riminālprocesa </w:t>
      </w:r>
      <w:r w:rsidR="00A81693">
        <w:rPr>
          <w:iCs/>
        </w:rPr>
        <w:t xml:space="preserve">kodekss. Palāta secināja, ka šim ierobežojumam bija leģitīms mērķis, proti, lai novērstu konfidenciāli saņemtas informācijas izpaušanu, </w:t>
      </w:r>
      <w:r w:rsidR="00A24254">
        <w:rPr>
          <w:iCs/>
        </w:rPr>
        <w:t xml:space="preserve">kā arī </w:t>
      </w:r>
      <w:r w:rsidR="00A81693">
        <w:rPr>
          <w:iCs/>
        </w:rPr>
        <w:t>tiesu varas autoritātes un neatkarības stiprināšana un citu personu reputācijas aizsardzība. Puses neapstrīd šos secinājumus</w:t>
      </w:r>
      <w:r w:rsidR="005A4EFE">
        <w:rPr>
          <w:iCs/>
        </w:rPr>
        <w:t>,</w:t>
      </w:r>
      <w:r w:rsidR="00A81693">
        <w:rPr>
          <w:iCs/>
        </w:rPr>
        <w:t xml:space="preserve"> un tiem pievienojas arī Lielā palāta. </w:t>
      </w:r>
    </w:p>
    <w:p w14:paraId="2D9B4432" w14:textId="77777777" w:rsidR="00552DE3" w:rsidRPr="000947DE" w:rsidRDefault="00552DE3" w:rsidP="000947DE">
      <w:pPr>
        <w:rPr>
          <w:iCs/>
        </w:rPr>
      </w:pPr>
    </w:p>
    <w:p w14:paraId="38940B1B" w14:textId="77777777" w:rsidR="000947DE" w:rsidRPr="006E48A2" w:rsidRDefault="00A81693" w:rsidP="000947DE">
      <w:pPr>
        <w:pStyle w:val="ListParagraph"/>
        <w:numPr>
          <w:ilvl w:val="0"/>
          <w:numId w:val="2"/>
        </w:numPr>
        <w:rPr>
          <w:b/>
          <w:iCs/>
        </w:rPr>
      </w:pPr>
      <w:r>
        <w:rPr>
          <w:b/>
          <w:iCs/>
        </w:rPr>
        <w:t xml:space="preserve">Tiesību aizskāruma </w:t>
      </w:r>
      <w:r w:rsidR="000947DE" w:rsidRPr="006E48A2">
        <w:rPr>
          <w:b/>
          <w:iCs/>
        </w:rPr>
        <w:t>nepieciešamība „demokrātiskā sabiedrībā”</w:t>
      </w:r>
    </w:p>
    <w:p w14:paraId="227AEC98" w14:textId="77777777" w:rsidR="00587E35" w:rsidRPr="006E48A2" w:rsidRDefault="00587E35" w:rsidP="00587E35">
      <w:pPr>
        <w:ind w:left="360"/>
        <w:rPr>
          <w:b/>
          <w:iCs/>
        </w:rPr>
      </w:pPr>
      <w:r w:rsidRPr="006E48A2">
        <w:rPr>
          <w:b/>
          <w:iCs/>
        </w:rPr>
        <w:t>(a) Vispārējie principi</w:t>
      </w:r>
    </w:p>
    <w:p w14:paraId="3CAD0ACE" w14:textId="0D8D08A6" w:rsidR="00B94DEC" w:rsidRPr="00C11DC2" w:rsidRDefault="00587E35" w:rsidP="00B94DEC">
      <w:pPr>
        <w:jc w:val="both"/>
        <w:rPr>
          <w:iCs/>
        </w:rPr>
      </w:pPr>
      <w:r w:rsidRPr="00FD4843">
        <w:rPr>
          <w:iCs/>
        </w:rPr>
        <w:t xml:space="preserve">48. </w:t>
      </w:r>
      <w:r w:rsidR="00A81693" w:rsidRPr="00C11DC2">
        <w:rPr>
          <w:iCs/>
        </w:rPr>
        <w:t xml:space="preserve">ECT regulāri apstiprina tās nolēmumā lietā </w:t>
      </w:r>
      <w:r w:rsidR="00A81693" w:rsidRPr="00C11DC2">
        <w:rPr>
          <w:i/>
          <w:iCs/>
        </w:rPr>
        <w:t>Handyside</w:t>
      </w:r>
      <w:r w:rsidR="00A81693" w:rsidRPr="00C11DC2">
        <w:rPr>
          <w:iCs/>
        </w:rPr>
        <w:t xml:space="preserve"> </w:t>
      </w:r>
      <w:r w:rsidR="00A81693" w:rsidRPr="00C11DC2">
        <w:rPr>
          <w:i/>
          <w:iCs/>
        </w:rPr>
        <w:t>pret Lielbritāniju</w:t>
      </w:r>
      <w:r w:rsidR="00A81693" w:rsidRPr="00C11DC2">
        <w:rPr>
          <w:iCs/>
        </w:rPr>
        <w:t xml:space="preserve"> nostiprinātos v</w:t>
      </w:r>
      <w:r w:rsidRPr="00C11DC2">
        <w:rPr>
          <w:iCs/>
        </w:rPr>
        <w:t>ispārēj</w:t>
      </w:r>
      <w:r w:rsidR="00A81693" w:rsidRPr="00C11DC2">
        <w:rPr>
          <w:iCs/>
        </w:rPr>
        <w:t>os</w:t>
      </w:r>
      <w:r w:rsidRPr="00C11DC2">
        <w:rPr>
          <w:iCs/>
        </w:rPr>
        <w:t xml:space="preserve"> princip</w:t>
      </w:r>
      <w:r w:rsidR="00A81693" w:rsidRPr="00C11DC2">
        <w:rPr>
          <w:iCs/>
        </w:rPr>
        <w:t>us</w:t>
      </w:r>
      <w:r w:rsidRPr="00C11DC2">
        <w:rPr>
          <w:iCs/>
        </w:rPr>
        <w:t xml:space="preserve">, lai izvērtētu </w:t>
      </w:r>
      <w:r w:rsidR="00A81693" w:rsidRPr="00C11DC2">
        <w:rPr>
          <w:iCs/>
        </w:rPr>
        <w:t xml:space="preserve">vārda brīvības ierobežojuma </w:t>
      </w:r>
      <w:r w:rsidRPr="00C11DC2">
        <w:rPr>
          <w:iCs/>
        </w:rPr>
        <w:t>nepieciešamību</w:t>
      </w:r>
      <w:r w:rsidR="00B94DEC" w:rsidRPr="00C11DC2">
        <w:rPr>
          <w:iCs/>
        </w:rPr>
        <w:t>:</w:t>
      </w:r>
    </w:p>
    <w:p w14:paraId="1698C3C8" w14:textId="22FB34C7" w:rsidR="00B94DEC" w:rsidRPr="00C11DC2" w:rsidRDefault="00B94DEC" w:rsidP="00B94DEC">
      <w:pPr>
        <w:pStyle w:val="ListParagraph"/>
        <w:numPr>
          <w:ilvl w:val="0"/>
          <w:numId w:val="4"/>
        </w:numPr>
        <w:jc w:val="both"/>
        <w:rPr>
          <w:iCs/>
          <w:sz w:val="20"/>
          <w:szCs w:val="20"/>
        </w:rPr>
      </w:pPr>
      <w:r w:rsidRPr="00C11DC2">
        <w:rPr>
          <w:iCs/>
          <w:sz w:val="20"/>
          <w:szCs w:val="20"/>
        </w:rPr>
        <w:t>Vārda brīvība ir viens no demokrātiskas sabiedrības būtiskiem pamatiem un pamatnosacījumiem ikvienas personas attīstībai un izaugsmei. 10. panta 2.punkta izpratnē šī brīvība ir attiecināma ne tikai uz „informāciju” vai „idejām”, kas tiek uztvertas labvēlīgi vai neitrāli, bet arī uz tām, kas apvaino, šokē vai uztrauc.</w:t>
      </w:r>
      <w:r w:rsidR="00DE0960" w:rsidRPr="00C11DC2">
        <w:rPr>
          <w:iCs/>
          <w:sz w:val="20"/>
          <w:szCs w:val="20"/>
        </w:rPr>
        <w:t xml:space="preserve"> </w:t>
      </w:r>
      <w:r w:rsidR="00EC186E" w:rsidRPr="00C11DC2">
        <w:rPr>
          <w:iCs/>
          <w:sz w:val="20"/>
          <w:szCs w:val="20"/>
        </w:rPr>
        <w:t>Tādas ir „demokrātiska</w:t>
      </w:r>
      <w:r w:rsidR="00C11DC2">
        <w:rPr>
          <w:iCs/>
          <w:sz w:val="20"/>
          <w:szCs w:val="20"/>
        </w:rPr>
        <w:t>s</w:t>
      </w:r>
      <w:r w:rsidR="00EC186E" w:rsidRPr="00C11DC2">
        <w:rPr>
          <w:iCs/>
          <w:sz w:val="20"/>
          <w:szCs w:val="20"/>
        </w:rPr>
        <w:t xml:space="preserve"> sabiedrība</w:t>
      </w:r>
      <w:r w:rsidR="00C11DC2">
        <w:rPr>
          <w:iCs/>
          <w:sz w:val="20"/>
          <w:szCs w:val="20"/>
        </w:rPr>
        <w:t>s</w:t>
      </w:r>
      <w:r w:rsidR="00EC186E" w:rsidRPr="00C11DC2">
        <w:rPr>
          <w:iCs/>
          <w:sz w:val="20"/>
          <w:szCs w:val="20"/>
        </w:rPr>
        <w:t xml:space="preserve">” prasības pēc plurālisma, tolerances un atvērtas domāšanas. </w:t>
      </w:r>
      <w:r w:rsidR="00DE0960" w:rsidRPr="00C11DC2">
        <w:rPr>
          <w:iCs/>
          <w:sz w:val="20"/>
          <w:szCs w:val="20"/>
        </w:rPr>
        <w:t>V</w:t>
      </w:r>
      <w:r w:rsidRPr="00C11DC2">
        <w:rPr>
          <w:iCs/>
          <w:sz w:val="20"/>
          <w:szCs w:val="20"/>
        </w:rPr>
        <w:t>ārda brīvībai var noteikt ierobežojumus</w:t>
      </w:r>
      <w:r w:rsidR="00DE0960" w:rsidRPr="00C11DC2">
        <w:rPr>
          <w:iCs/>
          <w:sz w:val="20"/>
          <w:szCs w:val="20"/>
        </w:rPr>
        <w:t xml:space="preserve">, tomēr </w:t>
      </w:r>
      <w:r w:rsidR="00EC186E" w:rsidRPr="00C11DC2">
        <w:rPr>
          <w:iCs/>
          <w:sz w:val="20"/>
          <w:szCs w:val="20"/>
        </w:rPr>
        <w:t xml:space="preserve">tiem jābūt izņēmuma rakstura un </w:t>
      </w:r>
      <w:r w:rsidR="00DE0960" w:rsidRPr="00C11DC2">
        <w:rPr>
          <w:iCs/>
          <w:sz w:val="20"/>
          <w:szCs w:val="20"/>
        </w:rPr>
        <w:t>to nepieciešamība ir pārliecinoši jāpamato</w:t>
      </w:r>
      <w:r w:rsidR="00EC186E" w:rsidRPr="00C11DC2">
        <w:rPr>
          <w:iCs/>
          <w:sz w:val="20"/>
          <w:szCs w:val="20"/>
        </w:rPr>
        <w:t>.</w:t>
      </w:r>
    </w:p>
    <w:p w14:paraId="5DF99142" w14:textId="1A246EDE" w:rsidR="00B94DEC" w:rsidRPr="00C11DC2" w:rsidRDefault="00EC186E" w:rsidP="00B94DEC">
      <w:pPr>
        <w:pStyle w:val="ListParagraph"/>
        <w:numPr>
          <w:ilvl w:val="0"/>
          <w:numId w:val="4"/>
        </w:numPr>
        <w:jc w:val="both"/>
        <w:rPr>
          <w:iCs/>
          <w:sz w:val="20"/>
          <w:szCs w:val="20"/>
        </w:rPr>
      </w:pPr>
      <w:r w:rsidRPr="00C11DC2">
        <w:rPr>
          <w:iCs/>
          <w:sz w:val="20"/>
          <w:szCs w:val="20"/>
        </w:rPr>
        <w:t xml:space="preserve">Īpašības vārds </w:t>
      </w:r>
      <w:r w:rsidR="00DE0960" w:rsidRPr="00C11DC2">
        <w:rPr>
          <w:iCs/>
          <w:sz w:val="20"/>
          <w:szCs w:val="20"/>
        </w:rPr>
        <w:t>„nepieciešams” nozīmē, ka jāpastāv „</w:t>
      </w:r>
      <w:r w:rsidRPr="00C11DC2">
        <w:rPr>
          <w:iCs/>
          <w:sz w:val="20"/>
          <w:szCs w:val="20"/>
        </w:rPr>
        <w:t>aktuālai</w:t>
      </w:r>
      <w:r w:rsidR="00DE0960" w:rsidRPr="00C11DC2">
        <w:rPr>
          <w:iCs/>
          <w:sz w:val="20"/>
          <w:szCs w:val="20"/>
        </w:rPr>
        <w:t xml:space="preserve"> sabiedrības vajadzībai”. Līgumslēdzējvalstīm ir zināma rīcības brīvība šīs vajadzības novērtēšanā</w:t>
      </w:r>
      <w:r w:rsidRPr="00C11DC2">
        <w:rPr>
          <w:iCs/>
          <w:sz w:val="20"/>
          <w:szCs w:val="20"/>
        </w:rPr>
        <w:t>, tomēr ECT piekrīt dot galīgo novērtējumu</w:t>
      </w:r>
      <w:r w:rsidR="00FD4843" w:rsidRPr="00C11DC2">
        <w:rPr>
          <w:iCs/>
          <w:sz w:val="20"/>
          <w:szCs w:val="20"/>
        </w:rPr>
        <w:t xml:space="preserve"> „ierobežojuma” atbilstībai Konvencijas 10.</w:t>
      </w:r>
      <w:r w:rsidR="00C11DC2">
        <w:rPr>
          <w:iCs/>
          <w:sz w:val="20"/>
          <w:szCs w:val="20"/>
        </w:rPr>
        <w:t xml:space="preserve"> </w:t>
      </w:r>
      <w:bookmarkStart w:id="0" w:name="_GoBack"/>
      <w:bookmarkEnd w:id="0"/>
      <w:r w:rsidR="00FD4843" w:rsidRPr="00C11DC2">
        <w:rPr>
          <w:iCs/>
          <w:sz w:val="20"/>
          <w:szCs w:val="20"/>
        </w:rPr>
        <w:t>pantam</w:t>
      </w:r>
      <w:r w:rsidR="00DE0960" w:rsidRPr="00C11DC2">
        <w:rPr>
          <w:iCs/>
          <w:sz w:val="20"/>
          <w:szCs w:val="20"/>
        </w:rPr>
        <w:t xml:space="preserve">. </w:t>
      </w:r>
    </w:p>
    <w:p w14:paraId="6C9B06F8" w14:textId="6913CD29" w:rsidR="00413FD0" w:rsidRPr="00C11DC2" w:rsidRDefault="00DE0960" w:rsidP="00B94DEC">
      <w:pPr>
        <w:pStyle w:val="ListParagraph"/>
        <w:numPr>
          <w:ilvl w:val="0"/>
          <w:numId w:val="4"/>
        </w:numPr>
        <w:jc w:val="both"/>
        <w:rPr>
          <w:iCs/>
          <w:sz w:val="20"/>
          <w:szCs w:val="20"/>
        </w:rPr>
      </w:pPr>
      <w:r w:rsidRPr="00C11DC2">
        <w:rPr>
          <w:iCs/>
          <w:sz w:val="20"/>
          <w:szCs w:val="20"/>
        </w:rPr>
        <w:t>ECT uzdevums, īstenojot pārraudzīb</w:t>
      </w:r>
      <w:r w:rsidR="00FD4843" w:rsidRPr="00C11DC2">
        <w:rPr>
          <w:iCs/>
          <w:sz w:val="20"/>
          <w:szCs w:val="20"/>
        </w:rPr>
        <w:t>u</w:t>
      </w:r>
      <w:r w:rsidRPr="00C11DC2">
        <w:rPr>
          <w:iCs/>
          <w:sz w:val="20"/>
          <w:szCs w:val="20"/>
        </w:rPr>
        <w:t xml:space="preserve">, ir nevis ieņemt kompetento nacionālo iestāžu vietu, bet gan pārraudzīt to </w:t>
      </w:r>
      <w:r w:rsidR="00FD4843" w:rsidRPr="00C11DC2">
        <w:rPr>
          <w:iCs/>
          <w:sz w:val="20"/>
          <w:szCs w:val="20"/>
        </w:rPr>
        <w:t>no</w:t>
      </w:r>
      <w:r w:rsidRPr="00C11DC2">
        <w:rPr>
          <w:iCs/>
          <w:sz w:val="20"/>
          <w:szCs w:val="20"/>
        </w:rPr>
        <w:t>lēmumus 10.</w:t>
      </w:r>
      <w:r w:rsidR="00413FD0" w:rsidRPr="00C11DC2">
        <w:rPr>
          <w:iCs/>
          <w:sz w:val="20"/>
          <w:szCs w:val="20"/>
        </w:rPr>
        <w:t xml:space="preserve"> </w:t>
      </w:r>
      <w:r w:rsidRPr="00C11DC2">
        <w:rPr>
          <w:iCs/>
          <w:sz w:val="20"/>
          <w:szCs w:val="20"/>
        </w:rPr>
        <w:t xml:space="preserve">panta </w:t>
      </w:r>
      <w:r w:rsidR="00413FD0" w:rsidRPr="00C11DC2">
        <w:rPr>
          <w:iCs/>
          <w:sz w:val="20"/>
          <w:szCs w:val="20"/>
        </w:rPr>
        <w:t>kontekstā. ECT jānosaka, vai apstrīdētais ierobežojums ir bijis „proporcionāls leģitīmā mērķa sasniegšan</w:t>
      </w:r>
      <w:r w:rsidR="00E74F5C" w:rsidRPr="00C11DC2">
        <w:rPr>
          <w:iCs/>
          <w:sz w:val="20"/>
          <w:szCs w:val="20"/>
        </w:rPr>
        <w:t>ai</w:t>
      </w:r>
      <w:r w:rsidR="00413FD0" w:rsidRPr="00C11DC2">
        <w:rPr>
          <w:iCs/>
          <w:sz w:val="20"/>
          <w:szCs w:val="20"/>
        </w:rPr>
        <w:t>”, kā arī vai nacionālo iestāžu pamatojums bijis „</w:t>
      </w:r>
      <w:r w:rsidR="00E74F5C" w:rsidRPr="00C11DC2">
        <w:rPr>
          <w:iCs/>
          <w:sz w:val="20"/>
          <w:szCs w:val="20"/>
        </w:rPr>
        <w:t>atbilstošs</w:t>
      </w:r>
      <w:r w:rsidR="00413FD0" w:rsidRPr="00C11DC2">
        <w:rPr>
          <w:iCs/>
          <w:sz w:val="20"/>
          <w:szCs w:val="20"/>
        </w:rPr>
        <w:t xml:space="preserve"> un pietiekams”. </w:t>
      </w:r>
    </w:p>
    <w:p w14:paraId="7C1B1E89" w14:textId="454C5662" w:rsidR="00DE0960" w:rsidRPr="007B01AE" w:rsidRDefault="00413FD0" w:rsidP="007B01AE">
      <w:pPr>
        <w:pStyle w:val="ListParagraph"/>
        <w:jc w:val="both"/>
        <w:rPr>
          <w:iCs/>
          <w:sz w:val="20"/>
          <w:szCs w:val="20"/>
        </w:rPr>
      </w:pPr>
      <w:r w:rsidRPr="00C11DC2">
        <w:rPr>
          <w:iCs/>
          <w:sz w:val="20"/>
          <w:szCs w:val="20"/>
        </w:rPr>
        <w:t>ECT jāgūst pārliecība, ka nacionālās iestādes piemēroja standartus, kas atbilst 10. panta pr</w:t>
      </w:r>
      <w:r w:rsidR="007B01AE" w:rsidRPr="00C11DC2">
        <w:rPr>
          <w:iCs/>
          <w:sz w:val="20"/>
          <w:szCs w:val="20"/>
        </w:rPr>
        <w:t>incipiem, turkl</w:t>
      </w:r>
      <w:r w:rsidR="00E74F5C" w:rsidRPr="00C11DC2">
        <w:rPr>
          <w:iCs/>
          <w:sz w:val="20"/>
          <w:szCs w:val="20"/>
        </w:rPr>
        <w:t>āt</w:t>
      </w:r>
      <w:r w:rsidR="007B01AE" w:rsidRPr="00C11DC2">
        <w:rPr>
          <w:iCs/>
          <w:sz w:val="20"/>
          <w:szCs w:val="20"/>
        </w:rPr>
        <w:t xml:space="preserve"> tās balstījās uz atbilstošu faktu novērtējumu.</w:t>
      </w:r>
      <w:r w:rsidR="007B01AE" w:rsidRPr="007B01AE">
        <w:rPr>
          <w:iCs/>
          <w:sz w:val="20"/>
          <w:szCs w:val="20"/>
        </w:rPr>
        <w:t xml:space="preserve"> </w:t>
      </w:r>
    </w:p>
    <w:p w14:paraId="4905C8F4" w14:textId="6FAF9315" w:rsidR="00B94DEC" w:rsidRDefault="00B94DEC" w:rsidP="007B01AE">
      <w:pPr>
        <w:pStyle w:val="ListParagraph"/>
        <w:jc w:val="both"/>
        <w:rPr>
          <w:iCs/>
        </w:rPr>
      </w:pPr>
    </w:p>
    <w:p w14:paraId="7DFB21E9" w14:textId="035F16CA" w:rsidR="00B94DEC" w:rsidRPr="007B01AE" w:rsidRDefault="00B94DEC" w:rsidP="007B01AE">
      <w:pPr>
        <w:ind w:left="360"/>
        <w:jc w:val="both"/>
        <w:rPr>
          <w:iCs/>
        </w:rPr>
      </w:pPr>
    </w:p>
    <w:p w14:paraId="39C155CF" w14:textId="77777777" w:rsidR="00B94DEC" w:rsidRPr="00B94DEC" w:rsidRDefault="00B94DEC" w:rsidP="00B94DEC">
      <w:pPr>
        <w:jc w:val="both"/>
        <w:rPr>
          <w:iCs/>
        </w:rPr>
      </w:pPr>
    </w:p>
    <w:p w14:paraId="2222799F" w14:textId="44478BCC" w:rsidR="000E36BD" w:rsidRDefault="00552DE3" w:rsidP="000E36BD">
      <w:pPr>
        <w:jc w:val="both"/>
      </w:pPr>
      <w:r>
        <w:rPr>
          <w:iCs/>
        </w:rPr>
        <w:t>49. Turklāt</w:t>
      </w:r>
      <w:r w:rsidR="006E7DAF">
        <w:rPr>
          <w:iCs/>
        </w:rPr>
        <w:t>,</w:t>
      </w:r>
      <w:r w:rsidR="000E36BD">
        <w:rPr>
          <w:iCs/>
        </w:rPr>
        <w:t xml:space="preserve"> kas attiecas uz aizsardzības līmeni, Konvencijas </w:t>
      </w:r>
      <w:r w:rsidR="000E36BD" w:rsidRPr="000E36BD">
        <w:t>10</w:t>
      </w:r>
      <w:r w:rsidR="000E36BD">
        <w:t>. panta</w:t>
      </w:r>
      <w:r w:rsidR="000E36BD" w:rsidRPr="000E36BD">
        <w:t xml:space="preserve"> </w:t>
      </w:r>
      <w:r w:rsidR="006E7DAF">
        <w:t>otr</w:t>
      </w:r>
      <w:r w:rsidR="00A24254">
        <w:t>aj</w:t>
      </w:r>
      <w:r w:rsidR="006E7DAF">
        <w:t>ā daļā</w:t>
      </w:r>
      <w:r w:rsidR="000E36BD">
        <w:t xml:space="preserve"> ir maz </w:t>
      </w:r>
      <w:r w:rsidR="006E7DAF">
        <w:t xml:space="preserve">iespēju </w:t>
      </w:r>
      <w:r w:rsidR="000E36BD">
        <w:t xml:space="preserve">vārda brīvības </w:t>
      </w:r>
      <w:r w:rsidR="006E7DAF">
        <w:t xml:space="preserve">ierobežojumiem </w:t>
      </w:r>
      <w:r w:rsidR="000E36BD">
        <w:t>divās jomās: politi</w:t>
      </w:r>
      <w:r w:rsidR="006E7DAF">
        <w:t>skajās runās</w:t>
      </w:r>
      <w:r w:rsidR="000E36BD">
        <w:t xml:space="preserve"> un sabiedrības interesi skarošos jautājumos. Līdz ar to augsts vārda brīvības aizsardzības līmenis, </w:t>
      </w:r>
      <w:r w:rsidR="006E7DAF">
        <w:t xml:space="preserve">un attiecīgi šaura rīcības brīvības iespēja </w:t>
      </w:r>
      <w:r w:rsidR="000E36BD">
        <w:t>vals</w:t>
      </w:r>
      <w:r w:rsidR="00573CF8">
        <w:t>ts iestādēm</w:t>
      </w:r>
      <w:r w:rsidR="00F81FD9">
        <w:t xml:space="preserve">, parasti tiks </w:t>
      </w:r>
      <w:r w:rsidR="00A24254">
        <w:t>noteikta</w:t>
      </w:r>
      <w:r w:rsidR="006E7DAF">
        <w:t xml:space="preserve"> </w:t>
      </w:r>
      <w:r w:rsidR="00F81FD9">
        <w:t xml:space="preserve">gadījumos, </w:t>
      </w:r>
      <w:r w:rsidR="006E7DAF">
        <w:t>kad</w:t>
      </w:r>
      <w:r w:rsidR="000E36BD">
        <w:t xml:space="preserve"> </w:t>
      </w:r>
      <w:r w:rsidR="00F81FD9">
        <w:t xml:space="preserve">komentāri </w:t>
      </w:r>
      <w:r w:rsidR="00F81FD9" w:rsidRPr="00573CF8">
        <w:rPr>
          <w:i/>
        </w:rPr>
        <w:t>(remarks)</w:t>
      </w:r>
      <w:r w:rsidR="000E36BD">
        <w:t xml:space="preserve"> </w:t>
      </w:r>
      <w:r w:rsidR="006E7DAF">
        <w:t>attieksies uz sabiedrībai būtisku jautājumu - k</w:t>
      </w:r>
      <w:r w:rsidR="000E36BD">
        <w:t>ā šajā gadījumā</w:t>
      </w:r>
      <w:r w:rsidR="006E7DAF">
        <w:t xml:space="preserve"> </w:t>
      </w:r>
      <w:r w:rsidR="00A8004E">
        <w:t xml:space="preserve">attiecībā uz </w:t>
      </w:r>
      <w:r w:rsidR="00F81FD9">
        <w:t>komentāri</w:t>
      </w:r>
      <w:r w:rsidR="00A8004E">
        <w:t>em</w:t>
      </w:r>
      <w:r w:rsidR="000E36BD">
        <w:t xml:space="preserve"> par tiesu varas darbību,</w:t>
      </w:r>
      <w:r w:rsidR="006E7DAF">
        <w:t xml:space="preserve"> pat </w:t>
      </w:r>
      <w:r w:rsidR="00A8004E">
        <w:t>arī attiecībā uz tiesvedību, kura vēl nav beigusies.</w:t>
      </w:r>
      <w:r w:rsidR="000E36BD">
        <w:t xml:space="preserve"> </w:t>
      </w:r>
      <w:r w:rsidR="00A8004E">
        <w:t>Pastāvot sabiedrības interesei par jautājumu, šādu komentāru n</w:t>
      </w:r>
      <w:r w:rsidR="00084CA1">
        <w:t xml:space="preserve">aidīguma pakāpe un potenciālā </w:t>
      </w:r>
      <w:r w:rsidR="00A8004E">
        <w:t xml:space="preserve">ietekme nemazina </w:t>
      </w:r>
      <w:r w:rsidR="00084CA1">
        <w:t>tiesības uz augsta līmeņa aizsardzību.</w:t>
      </w:r>
    </w:p>
    <w:p w14:paraId="1FA09856" w14:textId="6982CE6A" w:rsidR="00084CA1" w:rsidRDefault="00084CA1" w:rsidP="000E36BD">
      <w:pPr>
        <w:jc w:val="both"/>
      </w:pPr>
      <w:r>
        <w:t xml:space="preserve">50. Presei ir nozīmīga loma demokrātiskā sabiedrībā. Lai gan </w:t>
      </w:r>
      <w:r w:rsidR="00A8004E">
        <w:t>prese</w:t>
      </w:r>
      <w:r>
        <w:t xml:space="preserve"> nedrīkst pārkāpt noteiktas robežas, īpaši, kas attiecas uz apkārtējo reputāciju un tiesībām, tāpat kā </w:t>
      </w:r>
      <w:r w:rsidR="00A24254">
        <w:t>uz nepieciešamību</w:t>
      </w:r>
      <w:r>
        <w:t xml:space="preserve"> novērst konfidenciāli saņemtās informācijas </w:t>
      </w:r>
      <w:r w:rsidR="00A8004E">
        <w:t>izpaušanu</w:t>
      </w:r>
      <w:r>
        <w:t xml:space="preserve">, </w:t>
      </w:r>
      <w:r w:rsidR="00A8004E">
        <w:t>tās pienākums</w:t>
      </w:r>
      <w:r>
        <w:t xml:space="preserve"> ir veidā, kas saskan ar </w:t>
      </w:r>
      <w:r w:rsidR="00A8004E">
        <w:t>preses</w:t>
      </w:r>
      <w:r>
        <w:t xml:space="preserve"> pienākumiem un atbildību</w:t>
      </w:r>
      <w:r w:rsidR="00A8004E">
        <w:t>,</w:t>
      </w:r>
      <w:r>
        <w:t xml:space="preserve"> </w:t>
      </w:r>
      <w:r w:rsidR="00A8004E">
        <w:t xml:space="preserve">sniegt </w:t>
      </w:r>
      <w:r>
        <w:t xml:space="preserve">informāciju un </w:t>
      </w:r>
      <w:r w:rsidR="00A8004E">
        <w:t xml:space="preserve">viedokļus par </w:t>
      </w:r>
      <w:r>
        <w:t>vis</w:t>
      </w:r>
      <w:r w:rsidR="00A8004E">
        <w:t>iem sabiedrību interesējošiem jautājumiem.</w:t>
      </w:r>
    </w:p>
    <w:p w14:paraId="6F00F155" w14:textId="77777777" w:rsidR="00084CA1" w:rsidRDefault="00135BE1" w:rsidP="000E36BD">
      <w:pPr>
        <w:jc w:val="both"/>
      </w:pPr>
      <w:r>
        <w:t xml:space="preserve">Patiesībā aizsardzība, kas žurnālistiem </w:t>
      </w:r>
      <w:r w:rsidR="00F81FD9">
        <w:t>sniegta</w:t>
      </w:r>
      <w:r>
        <w:t xml:space="preserve"> Konvencijas 10. pantā, ir pamatota uz priekšstatu, ka viņi rīkojas labā ticībā, lai piedāvātu precīzu, uzticamu informāciju saskaņā ar atbildīgas žurnālistikas principiem. </w:t>
      </w:r>
      <w:r w:rsidR="00F81FD9">
        <w:t>Atbildīga</w:t>
      </w:r>
      <w:r w:rsidR="00AA2875">
        <w:t>s žurnālistikas koncepts</w:t>
      </w:r>
      <w:r w:rsidR="00F81FD9">
        <w:t xml:space="preserve"> kā profesionāla aktivitāte</w:t>
      </w:r>
      <w:r w:rsidR="00AA2875">
        <w:t xml:space="preserve">, kas bauda </w:t>
      </w:r>
      <w:r w:rsidR="00AA2875" w:rsidRPr="00AA2875">
        <w:rPr>
          <w:iCs/>
        </w:rPr>
        <w:t xml:space="preserve">Konvencijas </w:t>
      </w:r>
      <w:r w:rsidR="00AA2875" w:rsidRPr="00AA2875">
        <w:t>10. panta</w:t>
      </w:r>
      <w:r w:rsidR="00AA2875">
        <w:t xml:space="preserve"> aizsardzību, savā informācijas saturā, kas tiek iegūta un/vai izplatīta ar žurnālistikas līdzekļiem, netiek ierobežota. Savā </w:t>
      </w:r>
      <w:r w:rsidR="00AA2875" w:rsidRPr="000733BE">
        <w:rPr>
          <w:i/>
        </w:rPr>
        <w:t>Pentikäinen</w:t>
      </w:r>
      <w:r w:rsidR="00AA2875">
        <w:rPr>
          <w:i/>
        </w:rPr>
        <w:t xml:space="preserve"> </w:t>
      </w:r>
      <w:r w:rsidR="00AA2875" w:rsidRPr="00AA2875">
        <w:t xml:space="preserve">lietā </w:t>
      </w:r>
      <w:r w:rsidR="00A8004E">
        <w:t>ECT</w:t>
      </w:r>
      <w:r w:rsidR="00AA2875">
        <w:t xml:space="preserve"> uzsvēra, ka atbildīgas žurnālistikas koncepts arī ietver žurnālista darbības likumību</w:t>
      </w:r>
      <w:r w:rsidR="000D1506">
        <w:t>, un fakts, ka žurnālists ir pārkāpis likumu, ir attiecināms, lai gan ne noteicošs, apstāklis, kad nosakāms</w:t>
      </w:r>
      <w:r w:rsidR="00A8004E">
        <w:t>,</w:t>
      </w:r>
      <w:r w:rsidR="000D1506">
        <w:t xml:space="preserve"> vai viņš vai viņa ir rīkojies atbildīgi. </w:t>
      </w:r>
    </w:p>
    <w:p w14:paraId="4F6F8B0E" w14:textId="77777777" w:rsidR="00BA28E3" w:rsidRDefault="000D1506" w:rsidP="000D1506">
      <w:pPr>
        <w:jc w:val="both"/>
      </w:pPr>
      <w:r>
        <w:t xml:space="preserve">51. Jo īpaši, ir neiedomājami, ka nepastāvētu iepriekšēja vai pastāvīgi situācijai sekojoša līdzi </w:t>
      </w:r>
      <w:r w:rsidRPr="00573CF8">
        <w:rPr>
          <w:i/>
        </w:rPr>
        <w:t>(contemporaneous)</w:t>
      </w:r>
      <w:r>
        <w:t xml:space="preserve"> diskusija par tiesas procesu tematiem, vai tas būtu specializētajos žurnālos, vispārējā presē vai sabiedrībā vispār. </w:t>
      </w:r>
      <w:r w:rsidR="00A8004E">
        <w:t>Ž</w:t>
      </w:r>
      <w:r w:rsidR="009B679C">
        <w:t xml:space="preserve">urnālistiem </w:t>
      </w:r>
      <w:r w:rsidR="00A8004E">
        <w:t xml:space="preserve">ir ne tikai </w:t>
      </w:r>
      <w:r w:rsidR="009B679C">
        <w:t xml:space="preserve">pienākums šādu informāciju un </w:t>
      </w:r>
      <w:r w:rsidR="00A8004E">
        <w:t>viedokļus</w:t>
      </w:r>
      <w:r w:rsidR="009B679C">
        <w:t xml:space="preserve"> izplatīt; arī sabiedrībai ir tiesības to saņemt. Tomēr ir jāņem vērā ikviena</w:t>
      </w:r>
      <w:r w:rsidR="00BA28E3" w:rsidRPr="00BA28E3">
        <w:t xml:space="preserve"> Konvencijas 6. panta pirmajā daļā</w:t>
      </w:r>
      <w:r w:rsidR="009B679C">
        <w:t xml:space="preserve"> </w:t>
      </w:r>
      <w:r w:rsidR="00BA28E3">
        <w:t>nodrošinātās</w:t>
      </w:r>
      <w:r w:rsidR="00BA28E3" w:rsidRPr="00BA28E3">
        <w:t xml:space="preserve"> </w:t>
      </w:r>
      <w:r w:rsidR="009B679C">
        <w:t xml:space="preserve">tiesības uz taisnīgu </w:t>
      </w:r>
      <w:r w:rsidR="00A8004E">
        <w:t>tiesu</w:t>
      </w:r>
      <w:r w:rsidR="009B679C">
        <w:t>, k</w:t>
      </w:r>
      <w:r w:rsidR="00A8004E">
        <w:t>as</w:t>
      </w:r>
      <w:r w:rsidR="009B679C">
        <w:t xml:space="preserve"> </w:t>
      </w:r>
      <w:r w:rsidR="00CB4574">
        <w:t xml:space="preserve">krimināllietās ietver tiesības uz </w:t>
      </w:r>
      <w:r w:rsidR="00FD6F3F">
        <w:t xml:space="preserve">objektīvu lietas izskatīšanu </w:t>
      </w:r>
      <w:r w:rsidR="00CB4574">
        <w:t>un tiesības uz nevainības prezu</w:t>
      </w:r>
      <w:r w:rsidR="00992E5D">
        <w:t xml:space="preserve">mpciju. Kā </w:t>
      </w:r>
      <w:r w:rsidR="00FD6F3F">
        <w:t>ECT</w:t>
      </w:r>
      <w:r w:rsidR="00992E5D">
        <w:t xml:space="preserve"> jau </w:t>
      </w:r>
      <w:r w:rsidR="00FD6F3F">
        <w:t xml:space="preserve">vairākkārt </w:t>
      </w:r>
      <w:r w:rsidR="00992E5D">
        <w:t>norādījusi</w:t>
      </w:r>
      <w:r w:rsidR="00FD6F3F">
        <w:t xml:space="preserve">: </w:t>
      </w:r>
    </w:p>
    <w:p w14:paraId="12373EC5" w14:textId="4677CD26" w:rsidR="00CB4574" w:rsidRPr="00BA28E3" w:rsidRDefault="00BA28E3" w:rsidP="000D1506">
      <w:pPr>
        <w:jc w:val="both"/>
        <w:rPr>
          <w:iCs/>
          <w:sz w:val="20"/>
          <w:szCs w:val="20"/>
        </w:rPr>
      </w:pPr>
      <w:r w:rsidRPr="00BA28E3">
        <w:rPr>
          <w:iCs/>
          <w:sz w:val="20"/>
          <w:szCs w:val="20"/>
        </w:rPr>
        <w:t>ž</w:t>
      </w:r>
      <w:r w:rsidR="00CB4574" w:rsidRPr="00BA28E3">
        <w:rPr>
          <w:iCs/>
          <w:sz w:val="20"/>
          <w:szCs w:val="20"/>
        </w:rPr>
        <w:t xml:space="preserve">urnālistiem tas ir jāņem vērā, kad tiek komentētas neizskatītas lietas, tā kā pieļaujamo komentāru apjoms nevar paplašināties uz apgalvojumiem, kas </w:t>
      </w:r>
      <w:r w:rsidR="008F7629" w:rsidRPr="00BA28E3">
        <w:rPr>
          <w:iCs/>
          <w:sz w:val="20"/>
          <w:szCs w:val="20"/>
        </w:rPr>
        <w:t xml:space="preserve">visticamāk </w:t>
      </w:r>
      <w:r w:rsidRPr="00BA28E3">
        <w:rPr>
          <w:iCs/>
          <w:sz w:val="20"/>
          <w:szCs w:val="20"/>
        </w:rPr>
        <w:t>kaitētu, tīši vai netīši, iespējām</w:t>
      </w:r>
      <w:r w:rsidR="00CB4574" w:rsidRPr="00BA28E3">
        <w:rPr>
          <w:iCs/>
          <w:sz w:val="20"/>
          <w:szCs w:val="20"/>
        </w:rPr>
        <w:t xml:space="preserve"> personai saņemt taisnīgu tiesu vai </w:t>
      </w:r>
      <w:r w:rsidR="008F7629" w:rsidRPr="00BA28E3">
        <w:rPr>
          <w:iCs/>
          <w:sz w:val="20"/>
          <w:szCs w:val="20"/>
        </w:rPr>
        <w:t>iedragātu sabiedrības uzticību tie</w:t>
      </w:r>
      <w:r w:rsidR="00992E5D" w:rsidRPr="00BA28E3">
        <w:rPr>
          <w:iCs/>
          <w:sz w:val="20"/>
          <w:szCs w:val="20"/>
        </w:rPr>
        <w:t>sas lomai krimināltiesas vešanā.</w:t>
      </w:r>
    </w:p>
    <w:p w14:paraId="6C6FCCD4" w14:textId="71D69E54" w:rsidR="008F7629" w:rsidRDefault="008F7629" w:rsidP="000D1506">
      <w:pPr>
        <w:jc w:val="both"/>
        <w:rPr>
          <w:iCs/>
        </w:rPr>
      </w:pPr>
      <w:r>
        <w:rPr>
          <w:iCs/>
        </w:rPr>
        <w:t>52. Turklāt</w:t>
      </w:r>
      <w:r w:rsidR="00FD6F3F">
        <w:rPr>
          <w:iCs/>
        </w:rPr>
        <w:t>,</w:t>
      </w:r>
      <w:r>
        <w:rPr>
          <w:iCs/>
        </w:rPr>
        <w:t xml:space="preserve"> </w:t>
      </w:r>
      <w:r w:rsidR="00FD6F3F">
        <w:rPr>
          <w:iCs/>
        </w:rPr>
        <w:t xml:space="preserve">kad ECT jāizlemj </w:t>
      </w:r>
      <w:r>
        <w:rPr>
          <w:iCs/>
        </w:rPr>
        <w:t>div</w:t>
      </w:r>
      <w:r w:rsidR="00FD6F3F">
        <w:rPr>
          <w:iCs/>
        </w:rPr>
        <w:t>u</w:t>
      </w:r>
      <w:r>
        <w:rPr>
          <w:iCs/>
        </w:rPr>
        <w:t xml:space="preserve"> tiesīb</w:t>
      </w:r>
      <w:r w:rsidR="00FD6F3F">
        <w:rPr>
          <w:iCs/>
        </w:rPr>
        <w:t>u</w:t>
      </w:r>
      <w:r>
        <w:rPr>
          <w:iCs/>
        </w:rPr>
        <w:t>, kas bauda vienādu Konvencijas aizsardzību,</w:t>
      </w:r>
      <w:r w:rsidR="00FD6F3F">
        <w:rPr>
          <w:iCs/>
        </w:rPr>
        <w:t xml:space="preserve"> konflikts, tai jānodrošina </w:t>
      </w:r>
      <w:r>
        <w:rPr>
          <w:iCs/>
        </w:rPr>
        <w:t>konkurējoš</w:t>
      </w:r>
      <w:r w:rsidR="00FD6F3F">
        <w:rPr>
          <w:iCs/>
        </w:rPr>
        <w:t xml:space="preserve">o </w:t>
      </w:r>
      <w:r>
        <w:rPr>
          <w:iCs/>
        </w:rPr>
        <w:t>intere</w:t>
      </w:r>
      <w:r w:rsidR="00FD6F3F">
        <w:rPr>
          <w:iCs/>
        </w:rPr>
        <w:t>šu līdzsvars</w:t>
      </w:r>
      <w:r>
        <w:rPr>
          <w:iCs/>
        </w:rPr>
        <w:t>. Piemērošanas rezultātam</w:t>
      </w:r>
      <w:r w:rsidRPr="008F7629">
        <w:rPr>
          <w:iCs/>
        </w:rPr>
        <w:t xml:space="preserve"> principā</w:t>
      </w:r>
      <w:r>
        <w:rPr>
          <w:iCs/>
        </w:rPr>
        <w:t xml:space="preserve"> nevajadzētu atšķirties atkarībā no tā, vai </w:t>
      </w:r>
      <w:r w:rsidR="00FD6F3F">
        <w:rPr>
          <w:iCs/>
        </w:rPr>
        <w:t xml:space="preserve">ECT vērsusies </w:t>
      </w:r>
      <w:r w:rsidR="001C131F">
        <w:rPr>
          <w:iCs/>
        </w:rPr>
        <w:t>persona</w:t>
      </w:r>
      <w:r>
        <w:rPr>
          <w:iCs/>
        </w:rPr>
        <w:t>, kas bija aizskarošā raksta subjekts</w:t>
      </w:r>
      <w:r w:rsidR="00FD6F3F">
        <w:rPr>
          <w:iCs/>
        </w:rPr>
        <w:t xml:space="preserve"> (</w:t>
      </w:r>
      <w:r w:rsidR="00FD6F3F" w:rsidRPr="008F7629">
        <w:rPr>
          <w:iCs/>
        </w:rPr>
        <w:t xml:space="preserve">Konvencijas </w:t>
      </w:r>
      <w:r w:rsidR="00FD6F3F">
        <w:rPr>
          <w:iCs/>
        </w:rPr>
        <w:t>8</w:t>
      </w:r>
      <w:r w:rsidR="00FD6F3F" w:rsidRPr="008F7629">
        <w:rPr>
          <w:iCs/>
        </w:rPr>
        <w:t>.</w:t>
      </w:r>
      <w:r w:rsidR="00FD6F3F">
        <w:rPr>
          <w:iCs/>
        </w:rPr>
        <w:t> pants)</w:t>
      </w:r>
      <w:r>
        <w:rPr>
          <w:iCs/>
        </w:rPr>
        <w:t>, vai raksta autor</w:t>
      </w:r>
      <w:r w:rsidR="00FD6F3F">
        <w:rPr>
          <w:iCs/>
        </w:rPr>
        <w:t>s (</w:t>
      </w:r>
      <w:r w:rsidR="00FD6F3F" w:rsidRPr="008F7629">
        <w:rPr>
          <w:iCs/>
        </w:rPr>
        <w:t xml:space="preserve">Konvencijas </w:t>
      </w:r>
      <w:r w:rsidR="00FD6F3F">
        <w:rPr>
          <w:iCs/>
        </w:rPr>
        <w:t>10</w:t>
      </w:r>
      <w:r w:rsidR="00FD6F3F" w:rsidRPr="008F7629">
        <w:rPr>
          <w:iCs/>
        </w:rPr>
        <w:t>.</w:t>
      </w:r>
      <w:r w:rsidR="00FD6F3F">
        <w:rPr>
          <w:iCs/>
        </w:rPr>
        <w:t> pants)</w:t>
      </w:r>
      <w:r>
        <w:rPr>
          <w:iCs/>
        </w:rPr>
        <w:t xml:space="preserve">, jo abas tiesības pelna savā būtībā vienādu aizsardzību. </w:t>
      </w:r>
      <w:r w:rsidR="00FD6F3F">
        <w:rPr>
          <w:iCs/>
        </w:rPr>
        <w:t xml:space="preserve">Turklāt </w:t>
      </w:r>
      <w:r w:rsidR="001B6CA1">
        <w:rPr>
          <w:iCs/>
        </w:rPr>
        <w:t xml:space="preserve">rīcības brīvībai teorētiski būtu jābūt vienādai abos gadījumos. </w:t>
      </w:r>
    </w:p>
    <w:p w14:paraId="1811C2E0" w14:textId="77777777" w:rsidR="001B6CA1" w:rsidRDefault="001B6CA1" w:rsidP="000D1506">
      <w:pPr>
        <w:jc w:val="both"/>
        <w:rPr>
          <w:iCs/>
        </w:rPr>
      </w:pPr>
      <w:r>
        <w:rPr>
          <w:iCs/>
        </w:rPr>
        <w:t xml:space="preserve">53. </w:t>
      </w:r>
      <w:r w:rsidR="00FD6F3F">
        <w:rPr>
          <w:iCs/>
        </w:rPr>
        <w:t>ECT</w:t>
      </w:r>
      <w:r>
        <w:rPr>
          <w:iCs/>
        </w:rPr>
        <w:t xml:space="preserve"> uzskata, ka </w:t>
      </w:r>
      <w:r w:rsidR="002563B2">
        <w:rPr>
          <w:iCs/>
        </w:rPr>
        <w:t xml:space="preserve">jāpiemēro analogs pamatojums, izsverot tiesības, kas ir nodrošinātas </w:t>
      </w:r>
      <w:r w:rsidR="002563B2" w:rsidRPr="002563B2">
        <w:rPr>
          <w:iCs/>
        </w:rPr>
        <w:t xml:space="preserve">Konvencijas </w:t>
      </w:r>
      <w:r w:rsidR="002563B2">
        <w:rPr>
          <w:iCs/>
        </w:rPr>
        <w:t>10</w:t>
      </w:r>
      <w:r w:rsidR="002563B2" w:rsidRPr="002563B2">
        <w:rPr>
          <w:iCs/>
        </w:rPr>
        <w:t>.</w:t>
      </w:r>
      <w:r w:rsidR="002563B2">
        <w:rPr>
          <w:iCs/>
        </w:rPr>
        <w:t xml:space="preserve"> pantā un </w:t>
      </w:r>
      <w:r w:rsidR="002563B2" w:rsidRPr="002563B2">
        <w:rPr>
          <w:iCs/>
        </w:rPr>
        <w:t xml:space="preserve">6. panta </w:t>
      </w:r>
      <w:r w:rsidR="00FD6F3F">
        <w:rPr>
          <w:iCs/>
        </w:rPr>
        <w:t>pirmajā daļā.</w:t>
      </w:r>
    </w:p>
    <w:p w14:paraId="7C6DC78A" w14:textId="77777777" w:rsidR="002563B2" w:rsidRDefault="002563B2" w:rsidP="000D1506">
      <w:pPr>
        <w:jc w:val="both"/>
        <w:rPr>
          <w:iCs/>
        </w:rPr>
      </w:pPr>
      <w:r>
        <w:rPr>
          <w:iCs/>
        </w:rPr>
        <w:t xml:space="preserve">54. Visbeidzot, </w:t>
      </w:r>
      <w:r w:rsidR="00FD6F3F">
        <w:rPr>
          <w:iCs/>
        </w:rPr>
        <w:t>ECT</w:t>
      </w:r>
      <w:r>
        <w:rPr>
          <w:iCs/>
        </w:rPr>
        <w:t xml:space="preserve"> vairākkārt norādījusi, ka jāņem vērā nepieciešamība panākt pareizo balansu starp dažādām iesaistītajām interesēm. Valstu tiesas, ņemot vērā to tiešo, pastāvīgo kontaktu ar valsts realitāt</w:t>
      </w:r>
      <w:r w:rsidR="00FD6F3F">
        <w:rPr>
          <w:iCs/>
        </w:rPr>
        <w:t>i</w:t>
      </w:r>
      <w:r>
        <w:rPr>
          <w:iCs/>
        </w:rPr>
        <w:t xml:space="preserve">, ir labākā </w:t>
      </w:r>
      <w:r w:rsidR="00FD6F3F">
        <w:rPr>
          <w:iCs/>
        </w:rPr>
        <w:t xml:space="preserve">situācijā </w:t>
      </w:r>
      <w:r>
        <w:rPr>
          <w:iCs/>
        </w:rPr>
        <w:t xml:space="preserve">nekā starptautiskās tiesas, lai noteiktu, kā noteiktā laikā būtu panākams </w:t>
      </w:r>
      <w:r w:rsidR="006E48A2">
        <w:rPr>
          <w:iCs/>
        </w:rPr>
        <w:t xml:space="preserve">pareizais balanss. Tādēļ lietās, kas skar </w:t>
      </w:r>
      <w:r w:rsidR="006E48A2" w:rsidRPr="006E48A2">
        <w:rPr>
          <w:iCs/>
        </w:rPr>
        <w:t>Konvencijas 10.</w:t>
      </w:r>
      <w:r w:rsidR="006E48A2">
        <w:rPr>
          <w:iCs/>
        </w:rPr>
        <w:t xml:space="preserve"> pantu, Līgumslēdzēj</w:t>
      </w:r>
      <w:r w:rsidR="00FD6F3F">
        <w:rPr>
          <w:iCs/>
        </w:rPr>
        <w:t xml:space="preserve">ām </w:t>
      </w:r>
      <w:r w:rsidR="006E48A2">
        <w:rPr>
          <w:iCs/>
        </w:rPr>
        <w:t xml:space="preserve">valstīm ir zināma rīcības brīvība, lai novērtētu jebkādas iejaukšanās vārda brīvībā nepieciešamību un apmēru, īpaši, ja balanss jāmeklē starp konfliktējošām privātām interesēm. </w:t>
      </w:r>
    </w:p>
    <w:p w14:paraId="1A8CF3DE" w14:textId="77777777" w:rsidR="006E48A2" w:rsidRDefault="006E48A2" w:rsidP="000D1506">
      <w:pPr>
        <w:jc w:val="both"/>
        <w:rPr>
          <w:iCs/>
        </w:rPr>
      </w:pPr>
      <w:r>
        <w:rPr>
          <w:iCs/>
        </w:rPr>
        <w:lastRenderedPageBreak/>
        <w:t>Gadījumos, kad nacionālās institūcijas ir izsvērušas attiecīgās intereses saskaņā ar kritērijiem, kas nostiprināt</w:t>
      </w:r>
      <w:r w:rsidR="00FD6F3F">
        <w:rPr>
          <w:iCs/>
        </w:rPr>
        <w:t>i</w:t>
      </w:r>
      <w:r>
        <w:rPr>
          <w:iCs/>
        </w:rPr>
        <w:t xml:space="preserve"> </w:t>
      </w:r>
      <w:r w:rsidR="00FD6F3F">
        <w:rPr>
          <w:iCs/>
        </w:rPr>
        <w:t>ECT</w:t>
      </w:r>
      <w:r>
        <w:rPr>
          <w:iCs/>
        </w:rPr>
        <w:t xml:space="preserve"> praksē, ir nepieciešami </w:t>
      </w:r>
      <w:r w:rsidR="00FD6F3F">
        <w:rPr>
          <w:iCs/>
        </w:rPr>
        <w:t xml:space="preserve">nopietni </w:t>
      </w:r>
      <w:r>
        <w:rPr>
          <w:iCs/>
        </w:rPr>
        <w:t xml:space="preserve">iemesli, </w:t>
      </w:r>
      <w:r w:rsidR="00FD6F3F">
        <w:rPr>
          <w:iCs/>
        </w:rPr>
        <w:t>lai</w:t>
      </w:r>
      <w:r>
        <w:rPr>
          <w:iCs/>
        </w:rPr>
        <w:t xml:space="preserve"> tā mainīt</w:t>
      </w:r>
      <w:r w:rsidR="00FD6F3F">
        <w:rPr>
          <w:iCs/>
        </w:rPr>
        <w:t>u</w:t>
      </w:r>
      <w:r>
        <w:rPr>
          <w:iCs/>
        </w:rPr>
        <w:t xml:space="preserve"> viedokli, kas bijis nacionālajām tiesām. </w:t>
      </w:r>
    </w:p>
    <w:p w14:paraId="2C745382" w14:textId="77777777" w:rsidR="00552DE3" w:rsidRDefault="00552DE3" w:rsidP="000D1506">
      <w:pPr>
        <w:jc w:val="both"/>
        <w:rPr>
          <w:iCs/>
        </w:rPr>
      </w:pPr>
    </w:p>
    <w:p w14:paraId="05B45D20" w14:textId="77777777" w:rsidR="006E48A2" w:rsidRPr="00552DE3" w:rsidRDefault="006E48A2" w:rsidP="000D1506">
      <w:pPr>
        <w:jc w:val="both"/>
        <w:rPr>
          <w:b/>
          <w:iCs/>
        </w:rPr>
      </w:pPr>
      <w:r w:rsidRPr="006E48A2">
        <w:rPr>
          <w:b/>
          <w:iCs/>
        </w:rPr>
        <w:t>(b) Šo principu attiecināšana uz konkrēto lietu</w:t>
      </w:r>
    </w:p>
    <w:p w14:paraId="73653F42" w14:textId="37B2957B" w:rsidR="006E48A2" w:rsidRDefault="006E48A2" w:rsidP="000D1506">
      <w:pPr>
        <w:jc w:val="both"/>
        <w:rPr>
          <w:iCs/>
        </w:rPr>
      </w:pPr>
      <w:r>
        <w:rPr>
          <w:iCs/>
        </w:rPr>
        <w:t>55. Konkrētajā lietā A tiesības informēt sabiedrību un sabiedrības tiesības saņemt informāciju saduras ar vienlīdz svarīgām publiskām un privātām i</w:t>
      </w:r>
      <w:r w:rsidR="00CA0244">
        <w:rPr>
          <w:iCs/>
        </w:rPr>
        <w:t>nteresēm, kuras aizsargā aizlieg</w:t>
      </w:r>
      <w:r>
        <w:rPr>
          <w:iCs/>
        </w:rPr>
        <w:t xml:space="preserve">ums atklāt </w:t>
      </w:r>
      <w:r w:rsidR="00CA0244">
        <w:rPr>
          <w:iCs/>
        </w:rPr>
        <w:t>slepenu kriminālizmeklēšanas</w:t>
      </w:r>
      <w:r w:rsidR="00CA0244" w:rsidRPr="00CA0244">
        <w:rPr>
          <w:iCs/>
        </w:rPr>
        <w:t xml:space="preserve"> </w:t>
      </w:r>
      <w:r>
        <w:rPr>
          <w:iCs/>
        </w:rPr>
        <w:t>informāciju</w:t>
      </w:r>
      <w:r w:rsidR="00CA0244">
        <w:rPr>
          <w:iCs/>
        </w:rPr>
        <w:t xml:space="preserve">. Šīs intereses ir tiesas autoritāte un neitralitāte, kriminālizmeklēšanas efektivitāte un apsūdzētā tiesības uz nevainīguma prezumpciju un viņa privātās dzīves neaizskaramību. </w:t>
      </w:r>
      <w:r w:rsidR="003144E8">
        <w:rPr>
          <w:iCs/>
        </w:rPr>
        <w:t>ECT</w:t>
      </w:r>
      <w:r w:rsidR="00CA0244">
        <w:rPr>
          <w:iCs/>
        </w:rPr>
        <w:t xml:space="preserve"> uzskata, kā tā jau ir darījusi </w:t>
      </w:r>
      <w:r w:rsidR="00CA0244" w:rsidRPr="00382C71">
        <w:rPr>
          <w:i/>
          <w:iCs/>
        </w:rPr>
        <w:t>mutatis mutandis</w:t>
      </w:r>
      <w:r w:rsidR="00CA0244" w:rsidRPr="00382C71">
        <w:rPr>
          <w:iCs/>
        </w:rPr>
        <w:t xml:space="preserve">, lietās </w:t>
      </w:r>
      <w:r w:rsidR="00CA0244" w:rsidRPr="00382C71">
        <w:rPr>
          <w:i/>
          <w:iCs/>
        </w:rPr>
        <w:t>Axel Springer AG</w:t>
      </w:r>
      <w:r w:rsidR="00CA0244" w:rsidRPr="00382C71">
        <w:rPr>
          <w:iCs/>
        </w:rPr>
        <w:t xml:space="preserve"> un </w:t>
      </w:r>
      <w:r w:rsidR="00CA0244" w:rsidRPr="00382C71">
        <w:rPr>
          <w:i/>
          <w:iCs/>
        </w:rPr>
        <w:t xml:space="preserve">Stoll, </w:t>
      </w:r>
      <w:r w:rsidR="00CA0244" w:rsidRPr="00382C71">
        <w:rPr>
          <w:iCs/>
        </w:rPr>
        <w:t xml:space="preserve">ka ir nepieciešams </w:t>
      </w:r>
      <w:r w:rsidR="00382C71" w:rsidRPr="00382C71">
        <w:rPr>
          <w:iCs/>
        </w:rPr>
        <w:t>noteikt kritērijus, k</w:t>
      </w:r>
      <w:r w:rsidR="00F0741A">
        <w:rPr>
          <w:iCs/>
        </w:rPr>
        <w:t>uriem</w:t>
      </w:r>
      <w:r w:rsidR="00382C71" w:rsidRPr="00382C71">
        <w:rPr>
          <w:iCs/>
        </w:rPr>
        <w:t xml:space="preserve"> </w:t>
      </w:r>
      <w:r w:rsidR="00382C71">
        <w:rPr>
          <w:iCs/>
        </w:rPr>
        <w:t xml:space="preserve">valstu </w:t>
      </w:r>
      <w:r w:rsidR="00382C71" w:rsidRPr="00382C71">
        <w:rPr>
          <w:iCs/>
        </w:rPr>
        <w:t>nacion</w:t>
      </w:r>
      <w:r w:rsidR="00382C71">
        <w:rPr>
          <w:iCs/>
        </w:rPr>
        <w:t xml:space="preserve">ālām institūcijām būtu jāseko, lai izsvērtu šīs intereses un tādējādi novērtētu iejaukšanās „nepieciešamību” lietās, kurās žurnālists iejaucies lietu izspriešanas noslēpumā. </w:t>
      </w:r>
    </w:p>
    <w:p w14:paraId="0E38AE62" w14:textId="591D65A0" w:rsidR="00382C71" w:rsidRDefault="00382C71" w:rsidP="000D1506">
      <w:pPr>
        <w:jc w:val="both"/>
        <w:rPr>
          <w:iCs/>
        </w:rPr>
      </w:pPr>
      <w:r>
        <w:rPr>
          <w:iCs/>
        </w:rPr>
        <w:t xml:space="preserve">Šie kritēriji izriet no iepriekšminētiem vispārējiem principiem, un savā ziņā no trīsdesmit Eiropas Padomes dalībvalstu likumdošanas, ko </w:t>
      </w:r>
      <w:r w:rsidR="003144E8">
        <w:rPr>
          <w:iCs/>
        </w:rPr>
        <w:t>ECT</w:t>
      </w:r>
      <w:r>
        <w:rPr>
          <w:iCs/>
        </w:rPr>
        <w:t xml:space="preserve"> pētīja saistībā ar šo pieteikumu. </w:t>
      </w:r>
    </w:p>
    <w:p w14:paraId="2F868C31" w14:textId="77777777" w:rsidR="00382C71" w:rsidRPr="000F5B57" w:rsidRDefault="00382C71" w:rsidP="00382C71">
      <w:pPr>
        <w:pStyle w:val="ListParagraph"/>
        <w:numPr>
          <w:ilvl w:val="0"/>
          <w:numId w:val="3"/>
        </w:numPr>
        <w:jc w:val="both"/>
        <w:rPr>
          <w:b/>
          <w:iCs/>
        </w:rPr>
      </w:pPr>
      <w:r w:rsidRPr="000F5B57">
        <w:rPr>
          <w:b/>
          <w:iCs/>
        </w:rPr>
        <w:t>Kā A ieguva konkrēto informāciju</w:t>
      </w:r>
    </w:p>
    <w:p w14:paraId="57BCFC2E" w14:textId="57D09213" w:rsidR="00531146" w:rsidRDefault="00531146" w:rsidP="00531146">
      <w:pPr>
        <w:jc w:val="both"/>
        <w:rPr>
          <w:iCs/>
        </w:rPr>
      </w:pPr>
      <w:r>
        <w:rPr>
          <w:iCs/>
        </w:rPr>
        <w:t xml:space="preserve">56. </w:t>
      </w:r>
      <w:r w:rsidR="003144E8">
        <w:rPr>
          <w:iCs/>
        </w:rPr>
        <w:t>ECT</w:t>
      </w:r>
      <w:r>
        <w:rPr>
          <w:iCs/>
        </w:rPr>
        <w:t xml:space="preserve"> vairākkārt norādījusi, ka veidam, kā persona</w:t>
      </w:r>
      <w:r w:rsidR="005A4EFE">
        <w:rPr>
          <w:iCs/>
        </w:rPr>
        <w:t xml:space="preserve"> ir</w:t>
      </w:r>
      <w:r>
        <w:rPr>
          <w:iCs/>
        </w:rPr>
        <w:t xml:space="preserve"> ieguvusi informāciju, kas uzskatāma par konfidenciālu vai slepenu, var būt kāda nozīme interešu izsvēršanā</w:t>
      </w:r>
      <w:r w:rsidR="009034BC" w:rsidRPr="009034BC">
        <w:rPr>
          <w:iCs/>
        </w:rPr>
        <w:t xml:space="preserve"> Konvencijas 10. panta </w:t>
      </w:r>
      <w:r w:rsidR="005C4572">
        <w:rPr>
          <w:iCs/>
        </w:rPr>
        <w:t xml:space="preserve">otrās daļas </w:t>
      </w:r>
      <w:r w:rsidR="009034BC">
        <w:rPr>
          <w:iCs/>
        </w:rPr>
        <w:t>kontekstā.</w:t>
      </w:r>
    </w:p>
    <w:p w14:paraId="08235C63" w14:textId="77777777" w:rsidR="009034BC" w:rsidRDefault="009034BC" w:rsidP="00531146">
      <w:pPr>
        <w:jc w:val="both"/>
        <w:rPr>
          <w:iCs/>
        </w:rPr>
      </w:pPr>
      <w:r>
        <w:rPr>
          <w:iCs/>
        </w:rPr>
        <w:t xml:space="preserve">57. </w:t>
      </w:r>
      <w:r w:rsidR="00474F73">
        <w:rPr>
          <w:iCs/>
        </w:rPr>
        <w:t xml:space="preserve">Šajā lietā netika apgalvots, ka A konkrēto informāciju būtu ieguvis prettiesiski. Neskatoties uz to, tas nav noteicošais faktors, lai novērtētu, vai A ir rīkojies atbilstoši saviem pienākumiem un atbildībai, publicējot informāciju. Pēc būtības, kā no pareizi norādījusi Palāta, </w:t>
      </w:r>
      <w:r w:rsidR="00147464">
        <w:rPr>
          <w:iCs/>
        </w:rPr>
        <w:t>A kā profesionāls žurnālists nevarēja neapzināties plānojamās publicējamās informācijas konfidenciālo raksturu. Vēl jo vairāk, A ne nacionāl</w:t>
      </w:r>
      <w:r w:rsidR="000C0CF1">
        <w:rPr>
          <w:iCs/>
        </w:rPr>
        <w:t>aj</w:t>
      </w:r>
      <w:r w:rsidR="00147464">
        <w:rPr>
          <w:iCs/>
        </w:rPr>
        <w:t xml:space="preserve">ā tiesā, ne </w:t>
      </w:r>
      <w:r w:rsidR="008D529D">
        <w:rPr>
          <w:iCs/>
        </w:rPr>
        <w:t>ECT</w:t>
      </w:r>
      <w:r w:rsidR="00147464">
        <w:rPr>
          <w:iCs/>
        </w:rPr>
        <w:t xml:space="preserve"> </w:t>
      </w:r>
      <w:r w:rsidR="00147464" w:rsidRPr="00147464">
        <w:rPr>
          <w:iCs/>
        </w:rPr>
        <w:t>nav apstrīdējis</w:t>
      </w:r>
      <w:r w:rsidR="00CE7E14">
        <w:rPr>
          <w:iCs/>
        </w:rPr>
        <w:t xml:space="preserve"> faktu, ka </w:t>
      </w:r>
      <w:r w:rsidR="008D529D">
        <w:rPr>
          <w:iCs/>
        </w:rPr>
        <w:t xml:space="preserve">uz konkrēto </w:t>
      </w:r>
      <w:r w:rsidR="00CE7E14">
        <w:rPr>
          <w:iCs/>
        </w:rPr>
        <w:t>informācij</w:t>
      </w:r>
      <w:r w:rsidR="008D529D">
        <w:rPr>
          <w:iCs/>
        </w:rPr>
        <w:t>u</w:t>
      </w:r>
      <w:r w:rsidR="00CE7E14">
        <w:rPr>
          <w:iCs/>
        </w:rPr>
        <w:t xml:space="preserve"> varētu tikt attiecināt</w:t>
      </w:r>
      <w:r w:rsidR="008D529D">
        <w:rPr>
          <w:iCs/>
        </w:rPr>
        <w:t>s</w:t>
      </w:r>
      <w:r w:rsidR="00CE7E14">
        <w:rPr>
          <w:iCs/>
        </w:rPr>
        <w:t xml:space="preserve"> Šveices Kriminālkodeksa 293.pant</w:t>
      </w:r>
      <w:r w:rsidR="008D529D">
        <w:rPr>
          <w:iCs/>
        </w:rPr>
        <w:t>s</w:t>
      </w:r>
      <w:r w:rsidR="00CE7E14">
        <w:rPr>
          <w:iCs/>
        </w:rPr>
        <w:t>.</w:t>
      </w:r>
    </w:p>
    <w:p w14:paraId="2D3DA08F" w14:textId="77777777" w:rsidR="00382C71" w:rsidRPr="000F5B57" w:rsidRDefault="008D529D" w:rsidP="00382C71">
      <w:pPr>
        <w:pStyle w:val="ListParagraph"/>
        <w:numPr>
          <w:ilvl w:val="0"/>
          <w:numId w:val="3"/>
        </w:numPr>
        <w:jc w:val="both"/>
        <w:rPr>
          <w:b/>
          <w:iCs/>
        </w:rPr>
      </w:pPr>
      <w:r>
        <w:rPr>
          <w:b/>
          <w:iCs/>
        </w:rPr>
        <w:t xml:space="preserve">Strīdīgā </w:t>
      </w:r>
      <w:r w:rsidR="00382C71" w:rsidRPr="000F5B57">
        <w:rPr>
          <w:b/>
          <w:iCs/>
        </w:rPr>
        <w:t>raksta saturs</w:t>
      </w:r>
    </w:p>
    <w:p w14:paraId="3045689D" w14:textId="77777777" w:rsidR="00CE7E14" w:rsidRDefault="00CE7E14" w:rsidP="00CE7E14">
      <w:pPr>
        <w:jc w:val="both"/>
        <w:rPr>
          <w:iCs/>
        </w:rPr>
      </w:pPr>
      <w:r>
        <w:rPr>
          <w:iCs/>
        </w:rPr>
        <w:t>58.</w:t>
      </w:r>
      <w:r w:rsidRPr="00CE7E14">
        <w:rPr>
          <w:iCs/>
        </w:rPr>
        <w:t xml:space="preserve"> </w:t>
      </w:r>
      <w:r w:rsidR="008D529D">
        <w:rPr>
          <w:iCs/>
        </w:rPr>
        <w:t>ECT</w:t>
      </w:r>
      <w:r w:rsidRPr="00CE7E14">
        <w:rPr>
          <w:iCs/>
        </w:rPr>
        <w:t xml:space="preserve"> vairākkārt norādījusi</w:t>
      </w:r>
      <w:r>
        <w:rPr>
          <w:iCs/>
        </w:rPr>
        <w:t>, ka aizsardzība, ko žurnālistiem sniedz 10. pants attiecībā uz informēšanu par vispārējas intereses jautājumiem</w:t>
      </w:r>
      <w:r w:rsidR="008D529D">
        <w:rPr>
          <w:iCs/>
        </w:rPr>
        <w:t>,</w:t>
      </w:r>
      <w:r>
        <w:rPr>
          <w:iCs/>
        </w:rPr>
        <w:t xml:space="preserve"> ir saistāma ar </w:t>
      </w:r>
      <w:r w:rsidRPr="00CE7E14">
        <w:rPr>
          <w:iCs/>
        </w:rPr>
        <w:t xml:space="preserve">priekšstatu, ka </w:t>
      </w:r>
      <w:r w:rsidR="008D529D">
        <w:rPr>
          <w:iCs/>
        </w:rPr>
        <w:t xml:space="preserve">žurnālisti, </w:t>
      </w:r>
      <w:r w:rsidRPr="00CE7E14">
        <w:rPr>
          <w:iCs/>
        </w:rPr>
        <w:t>rīkoj</w:t>
      </w:r>
      <w:r w:rsidR="008D529D">
        <w:rPr>
          <w:iCs/>
        </w:rPr>
        <w:t>oties</w:t>
      </w:r>
      <w:r w:rsidRPr="00CE7E14">
        <w:rPr>
          <w:iCs/>
        </w:rPr>
        <w:t xml:space="preserve"> labā ticībā</w:t>
      </w:r>
      <w:r w:rsidR="008D529D">
        <w:rPr>
          <w:iCs/>
        </w:rPr>
        <w:t>,</w:t>
      </w:r>
      <w:r>
        <w:rPr>
          <w:iCs/>
        </w:rPr>
        <w:t xml:space="preserve"> balstoties uz pareiziem faktiskiem pamatiem, sniedz „uzticamu un precīzu” informāciju saskaņā ar žurnālistu ētiku. </w:t>
      </w:r>
    </w:p>
    <w:p w14:paraId="71CB20A1" w14:textId="203E67DB" w:rsidR="00CE7E14" w:rsidRDefault="00CE7E14" w:rsidP="00CE7E14">
      <w:pPr>
        <w:jc w:val="both"/>
        <w:rPr>
          <w:iCs/>
        </w:rPr>
      </w:pPr>
      <w:r>
        <w:rPr>
          <w:iCs/>
        </w:rPr>
        <w:t xml:space="preserve">Turklāt </w:t>
      </w:r>
      <w:r w:rsidR="00AC0EC5">
        <w:rPr>
          <w:iCs/>
        </w:rPr>
        <w:t>10.</w:t>
      </w:r>
      <w:r w:rsidR="005A4EFE">
        <w:rPr>
          <w:iCs/>
        </w:rPr>
        <w:t xml:space="preserve"> </w:t>
      </w:r>
      <w:r w:rsidR="00AC0EC5">
        <w:rPr>
          <w:iCs/>
        </w:rPr>
        <w:t xml:space="preserve">pants aizsargā ne tikai pausto ideju un informāciju saturu, bet arī formu. Līdz ar to, ne </w:t>
      </w:r>
      <w:r w:rsidR="008D529D">
        <w:rPr>
          <w:iCs/>
        </w:rPr>
        <w:t>ECT</w:t>
      </w:r>
      <w:r w:rsidR="00AC0EC5">
        <w:rPr>
          <w:iCs/>
        </w:rPr>
        <w:t xml:space="preserve">, ne nacionālās tiesas nevar aizvietot žurnālistiku tās ziņojumu metožu izvēlē. Žurnālistikas brīvība ietver arī </w:t>
      </w:r>
      <w:r w:rsidR="008D529D">
        <w:rPr>
          <w:iCs/>
        </w:rPr>
        <w:t>tiesības uz noteiktas pakāpes</w:t>
      </w:r>
      <w:r w:rsidR="00AC0EC5">
        <w:rPr>
          <w:iCs/>
        </w:rPr>
        <w:t xml:space="preserve"> pārspīlējumiem vai pat provokācijām. </w:t>
      </w:r>
    </w:p>
    <w:p w14:paraId="18AFB947" w14:textId="7780D2C4" w:rsidR="0025001C" w:rsidRDefault="0025001C" w:rsidP="00CE7E14">
      <w:pPr>
        <w:jc w:val="both"/>
        <w:rPr>
          <w:iCs/>
        </w:rPr>
      </w:pPr>
      <w:r>
        <w:rPr>
          <w:iCs/>
        </w:rPr>
        <w:t xml:space="preserve">59. Šajā lietā </w:t>
      </w:r>
      <w:r w:rsidR="008D529D">
        <w:rPr>
          <w:iCs/>
        </w:rPr>
        <w:t>ECT</w:t>
      </w:r>
      <w:r>
        <w:rPr>
          <w:iCs/>
        </w:rPr>
        <w:t xml:space="preserve"> atzīmē, ka Šveices tiesa savā spriedumā bija detalizēti analizējusi raksta izklāsta stilu: </w:t>
      </w:r>
      <w:r w:rsidR="008D529D">
        <w:rPr>
          <w:iCs/>
        </w:rPr>
        <w:t xml:space="preserve">Veids, kādā </w:t>
      </w:r>
      <w:r>
        <w:rPr>
          <w:iCs/>
        </w:rPr>
        <w:t xml:space="preserve">A </w:t>
      </w:r>
      <w:r w:rsidR="008D529D">
        <w:rPr>
          <w:iCs/>
        </w:rPr>
        <w:t>citēja nopratināšanas protokolus un atkārtoja vēstules, kuras aps</w:t>
      </w:r>
      <w:r w:rsidR="009F493D">
        <w:rPr>
          <w:iCs/>
        </w:rPr>
        <w:t>ūdzētais sūtīja tiesnesi</w:t>
      </w:r>
      <w:r w:rsidR="002B2E49">
        <w:rPr>
          <w:iCs/>
        </w:rPr>
        <w:t>m</w:t>
      </w:r>
      <w:r w:rsidR="009F493D">
        <w:rPr>
          <w:iCs/>
        </w:rPr>
        <w:t xml:space="preserve">, norāda uz raksta autora mērķi: viņš vēlējās </w:t>
      </w:r>
      <w:r>
        <w:rPr>
          <w:iCs/>
        </w:rPr>
        <w:t>sens</w:t>
      </w:r>
      <w:r w:rsidR="009F493D">
        <w:rPr>
          <w:iCs/>
        </w:rPr>
        <w:t>āciju</w:t>
      </w:r>
      <w:r>
        <w:rPr>
          <w:iCs/>
        </w:rPr>
        <w:t xml:space="preserve">, viņa </w:t>
      </w:r>
      <w:r w:rsidRPr="0025001C">
        <w:rPr>
          <w:i/>
          <w:iCs/>
        </w:rPr>
        <w:t xml:space="preserve">modus operandi </w:t>
      </w:r>
      <w:r w:rsidRPr="0025001C">
        <w:rPr>
          <w:iCs/>
        </w:rPr>
        <w:t xml:space="preserve">bija </w:t>
      </w:r>
      <w:r w:rsidR="009F493D">
        <w:rPr>
          <w:iCs/>
        </w:rPr>
        <w:t>tikai domāts</w:t>
      </w:r>
      <w:r w:rsidRPr="0025001C">
        <w:rPr>
          <w:iCs/>
        </w:rPr>
        <w:t>, lai apmierinātu relatīvi neveselīgu zi</w:t>
      </w:r>
      <w:r>
        <w:rPr>
          <w:iCs/>
        </w:rPr>
        <w:t xml:space="preserve">ņkāri </w:t>
      </w:r>
      <w:r w:rsidR="009F493D">
        <w:rPr>
          <w:iCs/>
        </w:rPr>
        <w:t>par šāda veida lietām</w:t>
      </w:r>
      <w:r>
        <w:rPr>
          <w:iCs/>
        </w:rPr>
        <w:t xml:space="preserve">. </w:t>
      </w:r>
      <w:r w:rsidR="009F493D">
        <w:rPr>
          <w:iCs/>
        </w:rPr>
        <w:t xml:space="preserve">Lasītājs no šīs īpaši </w:t>
      </w:r>
      <w:r>
        <w:rPr>
          <w:iCs/>
        </w:rPr>
        <w:t>tendenciozā</w:t>
      </w:r>
      <w:r w:rsidR="009F493D">
        <w:rPr>
          <w:iCs/>
        </w:rPr>
        <w:t>s</w:t>
      </w:r>
      <w:r>
        <w:rPr>
          <w:iCs/>
        </w:rPr>
        <w:t xml:space="preserve"> publikācija</w:t>
      </w:r>
      <w:r w:rsidR="009F493D">
        <w:rPr>
          <w:iCs/>
        </w:rPr>
        <w:t>s</w:t>
      </w:r>
      <w:r>
        <w:rPr>
          <w:iCs/>
        </w:rPr>
        <w:t xml:space="preserve"> veidotu viedokli un subjektīvi priekšlaicīgi sagaidītu tiesas rīcību nākotnē, bez </w:t>
      </w:r>
      <w:r w:rsidR="009F493D">
        <w:rPr>
          <w:iCs/>
        </w:rPr>
        <w:t xml:space="preserve">mazākās </w:t>
      </w:r>
      <w:r>
        <w:rPr>
          <w:iCs/>
        </w:rPr>
        <w:t>cieņas pret nevainības prezumpciju</w:t>
      </w:r>
      <w:r w:rsidR="00F0741A">
        <w:rPr>
          <w:iCs/>
        </w:rPr>
        <w:t>.</w:t>
      </w:r>
    </w:p>
    <w:p w14:paraId="286384C7" w14:textId="0FBD22D4" w:rsidR="0025001C" w:rsidRDefault="0025001C" w:rsidP="00CE7E14">
      <w:pPr>
        <w:jc w:val="both"/>
      </w:pPr>
      <w:r>
        <w:rPr>
          <w:iCs/>
        </w:rPr>
        <w:t xml:space="preserve">60. No </w:t>
      </w:r>
      <w:r w:rsidR="004F27CF">
        <w:rPr>
          <w:iCs/>
        </w:rPr>
        <w:t>savas</w:t>
      </w:r>
      <w:r>
        <w:rPr>
          <w:iCs/>
        </w:rPr>
        <w:t xml:space="preserve"> puses </w:t>
      </w:r>
      <w:r w:rsidR="009F493D">
        <w:rPr>
          <w:iCs/>
        </w:rPr>
        <w:t>ECT</w:t>
      </w:r>
      <w:r w:rsidR="004F27CF">
        <w:rPr>
          <w:iCs/>
        </w:rPr>
        <w:t xml:space="preserve"> atzīmē, ka, lai gan </w:t>
      </w:r>
      <w:r w:rsidR="009F493D">
        <w:rPr>
          <w:iCs/>
        </w:rPr>
        <w:t>strīd</w:t>
      </w:r>
      <w:r w:rsidR="00A634B4">
        <w:rPr>
          <w:iCs/>
        </w:rPr>
        <w:t>īgajā</w:t>
      </w:r>
      <w:r w:rsidR="009F493D">
        <w:rPr>
          <w:iCs/>
        </w:rPr>
        <w:t xml:space="preserve"> </w:t>
      </w:r>
      <w:r w:rsidR="004F27CF">
        <w:rPr>
          <w:iCs/>
        </w:rPr>
        <w:t>rakst</w:t>
      </w:r>
      <w:r w:rsidR="009F493D">
        <w:rPr>
          <w:iCs/>
        </w:rPr>
        <w:t>ā nebija īpaša</w:t>
      </w:r>
      <w:r w:rsidR="00A634B4">
        <w:rPr>
          <w:iCs/>
        </w:rPr>
        <w:t>s</w:t>
      </w:r>
      <w:r w:rsidR="009F493D">
        <w:rPr>
          <w:iCs/>
        </w:rPr>
        <w:t xml:space="preserve"> </w:t>
      </w:r>
      <w:r w:rsidR="00431161">
        <w:rPr>
          <w:iCs/>
        </w:rPr>
        <w:t>nostāj</w:t>
      </w:r>
      <w:r w:rsidR="00A634B4">
        <w:rPr>
          <w:iCs/>
        </w:rPr>
        <w:t>a</w:t>
      </w:r>
      <w:r w:rsidR="009F493D">
        <w:rPr>
          <w:iCs/>
        </w:rPr>
        <w:t>s</w:t>
      </w:r>
      <w:r w:rsidR="00431161">
        <w:rPr>
          <w:iCs/>
        </w:rPr>
        <w:t xml:space="preserve"> par M</w:t>
      </w:r>
      <w:r w:rsidR="004F27CF">
        <w:rPr>
          <w:iCs/>
        </w:rPr>
        <w:t>B nodomu izdarītajā, tas tomēr</w:t>
      </w:r>
      <w:r w:rsidR="009F493D">
        <w:rPr>
          <w:iCs/>
        </w:rPr>
        <w:t>, izmantojot izsmejošu toni,</w:t>
      </w:r>
      <w:r w:rsidR="004F27CF">
        <w:rPr>
          <w:iCs/>
        </w:rPr>
        <w:t xml:space="preserve"> radīja par viņu izteikti ne</w:t>
      </w:r>
      <w:r w:rsidR="00250EEC">
        <w:rPr>
          <w:iCs/>
        </w:rPr>
        <w:t>gatīvu priekšstatu</w:t>
      </w:r>
      <w:r w:rsidR="004F27CF">
        <w:rPr>
          <w:iCs/>
        </w:rPr>
        <w:t xml:space="preserve">. </w:t>
      </w:r>
      <w:r w:rsidR="00250EEC">
        <w:rPr>
          <w:iCs/>
        </w:rPr>
        <w:t>Virsraksti, ko A izmantoja</w:t>
      </w:r>
      <w:r w:rsidR="002B2E49">
        <w:rPr>
          <w:iCs/>
        </w:rPr>
        <w:t xml:space="preserve">, - </w:t>
      </w:r>
      <w:r w:rsidR="00250EEC">
        <w:rPr>
          <w:iCs/>
        </w:rPr>
        <w:t>„</w:t>
      </w:r>
      <w:r w:rsidR="00101512">
        <w:rPr>
          <w:bCs/>
          <w:iCs/>
        </w:rPr>
        <w:t>dullā</w:t>
      </w:r>
      <w:r w:rsidR="00101512" w:rsidRPr="00101512">
        <w:rPr>
          <w:bCs/>
          <w:iCs/>
        </w:rPr>
        <w:t xml:space="preserve"> autovadītāja nopratināšana”</w:t>
      </w:r>
      <w:r w:rsidR="00101512">
        <w:rPr>
          <w:bCs/>
          <w:iCs/>
        </w:rPr>
        <w:t xml:space="preserve">, </w:t>
      </w:r>
      <w:r w:rsidR="00573CF8">
        <w:rPr>
          <w:bCs/>
          <w:iCs/>
        </w:rPr>
        <w:t>„</w:t>
      </w:r>
      <w:r w:rsidR="00101512" w:rsidRPr="00101512">
        <w:rPr>
          <w:bCs/>
          <w:iCs/>
        </w:rPr>
        <w:t>„pārgalvīgā” versija”</w:t>
      </w:r>
      <w:r w:rsidR="00101512">
        <w:rPr>
          <w:bCs/>
          <w:iCs/>
        </w:rPr>
        <w:t xml:space="preserve"> un „viņš </w:t>
      </w:r>
      <w:r w:rsidR="00573CF8">
        <w:rPr>
          <w:bCs/>
          <w:iCs/>
        </w:rPr>
        <w:lastRenderedPageBreak/>
        <w:t>izkūkoja prāt</w:t>
      </w:r>
      <w:r w:rsidR="00101512">
        <w:rPr>
          <w:bCs/>
          <w:iCs/>
        </w:rPr>
        <w:t>u</w:t>
      </w:r>
      <w:r w:rsidR="009F493D">
        <w:rPr>
          <w:bCs/>
          <w:iCs/>
        </w:rPr>
        <w:t>...</w:t>
      </w:r>
      <w:r w:rsidR="00A634B4">
        <w:rPr>
          <w:bCs/>
          <w:iCs/>
        </w:rPr>
        <w:t>”</w:t>
      </w:r>
      <w:r w:rsidR="009F493D">
        <w:rPr>
          <w:bCs/>
          <w:iCs/>
        </w:rPr>
        <w:t xml:space="preserve"> </w:t>
      </w:r>
      <w:r w:rsidR="00101512">
        <w:rPr>
          <w:bCs/>
          <w:iCs/>
        </w:rPr>
        <w:t>(</w:t>
      </w:r>
      <w:r w:rsidR="00101512" w:rsidRPr="00A634B4">
        <w:rPr>
          <w:i/>
        </w:rPr>
        <w:t>He lost his marbles...</w:t>
      </w:r>
      <w:r w:rsidR="00101512">
        <w:t>)</w:t>
      </w:r>
      <w:r w:rsidR="002B2E49">
        <w:t xml:space="preserve"> -</w:t>
      </w:r>
      <w:r w:rsidR="00101512">
        <w:t xml:space="preserve">, kā arī liela </w:t>
      </w:r>
      <w:r w:rsidR="009F493D">
        <w:t xml:space="preserve">apsūdzētā </w:t>
      </w:r>
      <w:r w:rsidR="00101512">
        <w:t xml:space="preserve">tuvplāna fotogrāfija, neatstāja vietu šaubām, ka A gribēja, lai viņa raksts būtu sensacionāls. </w:t>
      </w:r>
      <w:r w:rsidR="00431161">
        <w:t xml:space="preserve">Vēl jo vairāk, raksts izcēla MB liecību tukšumu un pretrunīgumu, kas bieži tika aprakstītas kā „atkārtoti meli”, secinot ar jautājumu, vai ar „naivuma un augstprātības sajaukumu” MB „darīja visu, kas viņa spēkos, lai padarītu sevi par neiespējamu aizstāvēt”. </w:t>
      </w:r>
      <w:r w:rsidR="009F493D">
        <w:t xml:space="preserve">ECT </w:t>
      </w:r>
      <w:r w:rsidR="00431161">
        <w:t>uzsver, ka tieši šie bija jautājumi, uz kuriem tiesu iestādēm bija jāatbild izmeklēšanas un tiesas proces</w:t>
      </w:r>
      <w:r w:rsidR="009F493D">
        <w:t>a laikā</w:t>
      </w:r>
      <w:r w:rsidR="00431161">
        <w:t xml:space="preserve">. </w:t>
      </w:r>
    </w:p>
    <w:p w14:paraId="0CE991AD" w14:textId="77777777" w:rsidR="00431161" w:rsidRDefault="00431161" w:rsidP="00CE7E14">
      <w:pPr>
        <w:jc w:val="both"/>
      </w:pPr>
      <w:r>
        <w:t xml:space="preserve">61. </w:t>
      </w:r>
      <w:r w:rsidR="009F493D">
        <w:t>Arī š</w:t>
      </w:r>
      <w:r>
        <w:t xml:space="preserve">ajā jautājumā </w:t>
      </w:r>
      <w:r w:rsidR="009F493D">
        <w:t xml:space="preserve">ECT </w:t>
      </w:r>
      <w:r>
        <w:t xml:space="preserve">neredz </w:t>
      </w:r>
      <w:r w:rsidR="009F493D">
        <w:t xml:space="preserve">pamatotu </w:t>
      </w:r>
      <w:r>
        <w:t xml:space="preserve">iemeslu apšaubīt Federālās tiesas </w:t>
      </w:r>
      <w:r w:rsidR="009F493D">
        <w:t xml:space="preserve">pilnīgi argumentēto </w:t>
      </w:r>
      <w:r>
        <w:t xml:space="preserve">spriedumu. </w:t>
      </w:r>
    </w:p>
    <w:p w14:paraId="74C48CAB" w14:textId="77777777" w:rsidR="00382C71" w:rsidRPr="00E738B5" w:rsidRDefault="00E738B5" w:rsidP="00382C71">
      <w:pPr>
        <w:pStyle w:val="ListParagraph"/>
        <w:numPr>
          <w:ilvl w:val="0"/>
          <w:numId w:val="3"/>
        </w:numPr>
        <w:jc w:val="both"/>
        <w:rPr>
          <w:b/>
          <w:iCs/>
        </w:rPr>
      </w:pPr>
      <w:r>
        <w:rPr>
          <w:b/>
          <w:iCs/>
        </w:rPr>
        <w:t>Strīdīgā</w:t>
      </w:r>
      <w:r w:rsidR="00382C71" w:rsidRPr="00E738B5">
        <w:rPr>
          <w:b/>
          <w:iCs/>
        </w:rPr>
        <w:t xml:space="preserve"> raksta ieguldījums publisko interešu diskusijās</w:t>
      </w:r>
    </w:p>
    <w:p w14:paraId="33557522" w14:textId="77777777" w:rsidR="00431161" w:rsidRDefault="00431161" w:rsidP="00431161">
      <w:pPr>
        <w:jc w:val="both"/>
        <w:rPr>
          <w:iCs/>
        </w:rPr>
      </w:pPr>
      <w:r>
        <w:rPr>
          <w:iCs/>
        </w:rPr>
        <w:t xml:space="preserve">62. </w:t>
      </w:r>
      <w:r w:rsidR="007D4C42">
        <w:rPr>
          <w:iCs/>
        </w:rPr>
        <w:t xml:space="preserve"> Palāta savā spriedumā secināja, ka konkrētais negadījums piesaistīja plašu mediju uzmanību.</w:t>
      </w:r>
    </w:p>
    <w:p w14:paraId="707B5A50" w14:textId="2422B0AD" w:rsidR="007D4C42" w:rsidRDefault="007D4C42" w:rsidP="00431161">
      <w:pPr>
        <w:jc w:val="both"/>
        <w:rPr>
          <w:iCs/>
        </w:rPr>
      </w:pPr>
      <w:r>
        <w:rPr>
          <w:iCs/>
        </w:rPr>
        <w:t xml:space="preserve">63. </w:t>
      </w:r>
      <w:r w:rsidR="009F493D">
        <w:rPr>
          <w:iCs/>
        </w:rPr>
        <w:t>ECT</w:t>
      </w:r>
      <w:r>
        <w:rPr>
          <w:iCs/>
        </w:rPr>
        <w:t xml:space="preserve"> vairākkārt norādījusi, ka sabiedrībai ir leģitīma interese informācijas </w:t>
      </w:r>
      <w:r w:rsidR="009F493D">
        <w:rPr>
          <w:iCs/>
        </w:rPr>
        <w:t xml:space="preserve">saņemšanā </w:t>
      </w:r>
      <w:r>
        <w:rPr>
          <w:iCs/>
        </w:rPr>
        <w:t>un pieejamībā par krimināllietām un ka ziņojumi par tiesu varas funkcionēšanu attiecas uz sabiedr</w:t>
      </w:r>
      <w:r w:rsidR="00063769">
        <w:rPr>
          <w:iCs/>
        </w:rPr>
        <w:t xml:space="preserve">ības </w:t>
      </w:r>
      <w:r>
        <w:rPr>
          <w:iCs/>
        </w:rPr>
        <w:t xml:space="preserve">interesi. </w:t>
      </w:r>
    </w:p>
    <w:p w14:paraId="47449B69" w14:textId="77777777" w:rsidR="007D4C42" w:rsidRDefault="007D4C42" w:rsidP="00431161">
      <w:pPr>
        <w:jc w:val="both"/>
        <w:rPr>
          <w:iCs/>
        </w:rPr>
      </w:pPr>
      <w:r>
        <w:rPr>
          <w:iCs/>
        </w:rPr>
        <w:t xml:space="preserve">64. Konkrētajā </w:t>
      </w:r>
      <w:r w:rsidR="002704AA">
        <w:rPr>
          <w:iCs/>
        </w:rPr>
        <w:t xml:space="preserve">lietā </w:t>
      </w:r>
      <w:r w:rsidR="00063769">
        <w:rPr>
          <w:iCs/>
        </w:rPr>
        <w:t xml:space="preserve">ECT </w:t>
      </w:r>
      <w:r w:rsidR="002704AA">
        <w:rPr>
          <w:iCs/>
        </w:rPr>
        <w:t xml:space="preserve">pieņem, ka raksta </w:t>
      </w:r>
      <w:r w:rsidR="00063769">
        <w:rPr>
          <w:iCs/>
        </w:rPr>
        <w:t>tēma</w:t>
      </w:r>
      <w:r w:rsidR="002704AA">
        <w:rPr>
          <w:iCs/>
        </w:rPr>
        <w:t xml:space="preserve"> – izmeklēšanas process – bija sabiedr</w:t>
      </w:r>
      <w:r w:rsidR="00063769">
        <w:rPr>
          <w:iCs/>
        </w:rPr>
        <w:t>ības</w:t>
      </w:r>
      <w:r w:rsidR="002704AA">
        <w:rPr>
          <w:iCs/>
        </w:rPr>
        <w:t xml:space="preserve"> interešu lokā. Šis īpaši ārkārtējais negadījums uzjundīja lielas emocijas sabiedrībā, un pašas tiesu varas iestādes informēja presi par atsevišķiem izmeklēšanas aspektiem.</w:t>
      </w:r>
    </w:p>
    <w:p w14:paraId="2E0AD7CC" w14:textId="77777777" w:rsidR="002704AA" w:rsidRDefault="002704AA" w:rsidP="00431161">
      <w:pPr>
        <w:jc w:val="both"/>
        <w:rPr>
          <w:iCs/>
        </w:rPr>
      </w:pPr>
      <w:r>
        <w:rPr>
          <w:iCs/>
        </w:rPr>
        <w:t xml:space="preserve">Tomēr šajā gadījumā </w:t>
      </w:r>
      <w:r w:rsidR="005B308C">
        <w:rPr>
          <w:iCs/>
        </w:rPr>
        <w:t xml:space="preserve">ir jautājums, vai raksta saturs, konkrēti – informācija, kura bija konfidenciāla, bija spējīga sniegt ieguldījumu publiskajā diskusijā vai kalpoja tikai, lai apmierinātu ziņkāri par MB privāto dzīvi. </w:t>
      </w:r>
    </w:p>
    <w:p w14:paraId="71057FFA" w14:textId="77777777" w:rsidR="003C6A06" w:rsidRDefault="003C6A06" w:rsidP="00431161">
      <w:pPr>
        <w:jc w:val="both"/>
        <w:rPr>
          <w:iCs/>
        </w:rPr>
      </w:pPr>
      <w:r>
        <w:rPr>
          <w:iCs/>
        </w:rPr>
        <w:t xml:space="preserve">65. </w:t>
      </w:r>
      <w:r w:rsidR="00063769">
        <w:rPr>
          <w:iCs/>
        </w:rPr>
        <w:t>ECT</w:t>
      </w:r>
      <w:r>
        <w:rPr>
          <w:iCs/>
        </w:rPr>
        <w:t xml:space="preserve"> atzīmē, ka pēc padziļinātas raksta satura novērtēšanas, ko veica Federālā tiesa, secināms, ka ne nopratin</w:t>
      </w:r>
      <w:r w:rsidR="00F0741A">
        <w:rPr>
          <w:iCs/>
        </w:rPr>
        <w:t>āšanas pierakstu atklāšana, ne M</w:t>
      </w:r>
      <w:r>
        <w:rPr>
          <w:iCs/>
        </w:rPr>
        <w:t xml:space="preserve">B vēstules izmeklēšanas tiesnesim nedeva nekādu ieskatu, kas būtu attiecināms uz sabiedrisko diskusiju un ka šai sabiedrības interesei visatbilstošākā </w:t>
      </w:r>
      <w:r w:rsidR="00493190" w:rsidRPr="00493190">
        <w:rPr>
          <w:iCs/>
        </w:rPr>
        <w:t xml:space="preserve">bija </w:t>
      </w:r>
      <w:r>
        <w:rPr>
          <w:iCs/>
        </w:rPr>
        <w:t>„neveselīgas ziņkāres apmierināšana”.</w:t>
      </w:r>
    </w:p>
    <w:p w14:paraId="7B0B95F9" w14:textId="77777777" w:rsidR="001A5653" w:rsidRDefault="001A5653" w:rsidP="00431161">
      <w:pPr>
        <w:jc w:val="both"/>
        <w:rPr>
          <w:iCs/>
        </w:rPr>
      </w:pPr>
      <w:r>
        <w:rPr>
          <w:iCs/>
        </w:rPr>
        <w:t xml:space="preserve">66. No savas puses A nespēja parādīt, kā publicēto nopratināšanas ierakstu, MB sievas un ārsta liecības, vēstules izmeklēšanas tiesnesim, kurās bija banāli ikdienas dzīves aspekti, varētu dot ieguldījumu jebkādai sabiedrības diskusijai par izmeklēšanas gaitu. </w:t>
      </w:r>
    </w:p>
    <w:p w14:paraId="068570EA" w14:textId="77777777" w:rsidR="001A5653" w:rsidRDefault="001A5653" w:rsidP="00431161">
      <w:pPr>
        <w:jc w:val="both"/>
        <w:rPr>
          <w:iCs/>
        </w:rPr>
      </w:pPr>
      <w:r>
        <w:rPr>
          <w:iCs/>
        </w:rPr>
        <w:t xml:space="preserve">67. Tādējādi </w:t>
      </w:r>
      <w:r w:rsidR="00063769">
        <w:rPr>
          <w:iCs/>
        </w:rPr>
        <w:t xml:space="preserve">ECT nesaskata pamatotu </w:t>
      </w:r>
      <w:r w:rsidRPr="001A5653">
        <w:rPr>
          <w:iCs/>
        </w:rPr>
        <w:t>iemeslu apšaubīt Federālās tiesas</w:t>
      </w:r>
      <w:r w:rsidR="00063769">
        <w:rPr>
          <w:iCs/>
        </w:rPr>
        <w:t>, kurai šajā jautājumā bija zināma rīcības brīvība,</w:t>
      </w:r>
      <w:r w:rsidRPr="001A5653">
        <w:rPr>
          <w:iCs/>
        </w:rPr>
        <w:t xml:space="preserve"> spriedumu</w:t>
      </w:r>
      <w:r>
        <w:rPr>
          <w:iCs/>
        </w:rPr>
        <w:t xml:space="preserve">. </w:t>
      </w:r>
    </w:p>
    <w:p w14:paraId="44DE4C88" w14:textId="77777777" w:rsidR="00382C71" w:rsidRPr="000F5B57" w:rsidRDefault="00063769" w:rsidP="00382C71">
      <w:pPr>
        <w:pStyle w:val="ListParagraph"/>
        <w:numPr>
          <w:ilvl w:val="0"/>
          <w:numId w:val="3"/>
        </w:numPr>
        <w:jc w:val="both"/>
        <w:rPr>
          <w:b/>
          <w:iCs/>
        </w:rPr>
      </w:pPr>
      <w:r>
        <w:rPr>
          <w:b/>
          <w:iCs/>
        </w:rPr>
        <w:t>Strīd</w:t>
      </w:r>
      <w:r w:rsidR="00E738B5">
        <w:rPr>
          <w:b/>
          <w:iCs/>
        </w:rPr>
        <w:t>īgā</w:t>
      </w:r>
      <w:r>
        <w:rPr>
          <w:b/>
          <w:iCs/>
        </w:rPr>
        <w:t xml:space="preserve"> </w:t>
      </w:r>
      <w:r w:rsidR="00382C71" w:rsidRPr="000F5B57">
        <w:rPr>
          <w:b/>
          <w:iCs/>
        </w:rPr>
        <w:t>raksta ietekme uz kriminālprocesu</w:t>
      </w:r>
    </w:p>
    <w:p w14:paraId="1F2AC3C4" w14:textId="61E09FE8" w:rsidR="001A5653" w:rsidRDefault="001A5653" w:rsidP="001A5653">
      <w:pPr>
        <w:jc w:val="both"/>
        <w:rPr>
          <w:iCs/>
        </w:rPr>
      </w:pPr>
      <w:r>
        <w:rPr>
          <w:iCs/>
        </w:rPr>
        <w:t xml:space="preserve">68. Kaut arī uzsverot, ka vispārēji </w:t>
      </w:r>
      <w:r w:rsidRPr="001A5653">
        <w:rPr>
          <w:iCs/>
        </w:rPr>
        <w:t>Konvencijas 10.</w:t>
      </w:r>
      <w:r>
        <w:rPr>
          <w:iCs/>
        </w:rPr>
        <w:t xml:space="preserve"> pantā</w:t>
      </w:r>
      <w:r w:rsidRPr="001A5653">
        <w:rPr>
          <w:iCs/>
        </w:rPr>
        <w:t xml:space="preserve"> un 6.</w:t>
      </w:r>
      <w:r>
        <w:rPr>
          <w:iCs/>
        </w:rPr>
        <w:t xml:space="preserve"> panta</w:t>
      </w:r>
      <w:r w:rsidRPr="001A5653">
        <w:rPr>
          <w:iCs/>
        </w:rPr>
        <w:t xml:space="preserve"> </w:t>
      </w:r>
      <w:r w:rsidR="00063769">
        <w:rPr>
          <w:iCs/>
        </w:rPr>
        <w:t xml:space="preserve">pirmajā daļā </w:t>
      </w:r>
      <w:r w:rsidR="0097337D">
        <w:rPr>
          <w:iCs/>
        </w:rPr>
        <w:t xml:space="preserve">garantētās tiesības pelna vienādu </w:t>
      </w:r>
      <w:r w:rsidR="00063769">
        <w:rPr>
          <w:iCs/>
        </w:rPr>
        <w:t>aizsardzību</w:t>
      </w:r>
      <w:r w:rsidR="0097337D">
        <w:rPr>
          <w:iCs/>
        </w:rPr>
        <w:t xml:space="preserve">, </w:t>
      </w:r>
      <w:r w:rsidR="00063769">
        <w:rPr>
          <w:iCs/>
        </w:rPr>
        <w:t xml:space="preserve">ECT </w:t>
      </w:r>
      <w:r w:rsidR="0097337D">
        <w:rPr>
          <w:iCs/>
        </w:rPr>
        <w:t xml:space="preserve">atkārtoti norāda, ka ir leģitīmi piešķirt īpašu aizsardzību lietas izmeklēšanas konfidencialitātei. Šāda konfidencialitāte ir arī attaisnojama ar nepieciešamību aizsargāt viedokļu veidošanu un lēmumu pieņemšanu tiesas procesā. </w:t>
      </w:r>
    </w:p>
    <w:p w14:paraId="46A4FF2F" w14:textId="77777777" w:rsidR="00A023FB" w:rsidRDefault="0097337D" w:rsidP="001A5653">
      <w:pPr>
        <w:jc w:val="both"/>
        <w:rPr>
          <w:iCs/>
        </w:rPr>
      </w:pPr>
      <w:r>
        <w:rPr>
          <w:iCs/>
        </w:rPr>
        <w:t xml:space="preserve">69. </w:t>
      </w:r>
      <w:r w:rsidR="00A023FB">
        <w:rPr>
          <w:iCs/>
        </w:rPr>
        <w:t xml:space="preserve">Šajā gadījumā, lai gan raksts atklāti neatbalstīja viedokli, ka MB ir darbojies tīši, tas tika izteikts </w:t>
      </w:r>
      <w:r w:rsidR="00A10D0C">
        <w:rPr>
          <w:iCs/>
        </w:rPr>
        <w:t xml:space="preserve">tomēr </w:t>
      </w:r>
      <w:r w:rsidR="00A023FB">
        <w:rPr>
          <w:iCs/>
        </w:rPr>
        <w:t xml:space="preserve">tādējādi, lai sniegtu izteikti negatīvu skatījumu uz MB. </w:t>
      </w:r>
    </w:p>
    <w:p w14:paraId="42DE84C4" w14:textId="77777777" w:rsidR="00A023FB" w:rsidRDefault="00A023FB" w:rsidP="001A5653">
      <w:pPr>
        <w:jc w:val="both"/>
        <w:rPr>
          <w:iCs/>
        </w:rPr>
      </w:pPr>
      <w:r>
        <w:rPr>
          <w:iCs/>
        </w:rPr>
        <w:t>Ir nenoliedzami, ka raksta publicēšana radīja zināmu risku procesu ietekmēšanai, vai tas būtu izmeklēšanas tiesneša darbs, MB pārstāvju lēmumi, zaudējumu atlīdzības pieprasītāju pozīcijas, vai tiesas norises objektivitāt</w:t>
      </w:r>
      <w:r w:rsidR="00A10D0C">
        <w:rPr>
          <w:iCs/>
        </w:rPr>
        <w:t>e</w:t>
      </w:r>
      <w:r>
        <w:rPr>
          <w:iCs/>
        </w:rPr>
        <w:t>.</w:t>
      </w:r>
    </w:p>
    <w:p w14:paraId="6D98331C" w14:textId="74D54576" w:rsidR="00A023FB" w:rsidRPr="00C11DC2" w:rsidRDefault="00A023FB" w:rsidP="001A5653">
      <w:pPr>
        <w:jc w:val="both"/>
        <w:rPr>
          <w:iCs/>
        </w:rPr>
      </w:pPr>
      <w:r w:rsidRPr="003144E8">
        <w:rPr>
          <w:iCs/>
        </w:rPr>
        <w:lastRenderedPageBreak/>
        <w:t xml:space="preserve">70. Lielā Palāta uzskata, ka no </w:t>
      </w:r>
      <w:r w:rsidR="0049783A" w:rsidRPr="003144E8">
        <w:rPr>
          <w:iCs/>
        </w:rPr>
        <w:t xml:space="preserve">Valdības nav jāsagaida </w:t>
      </w:r>
      <w:r w:rsidR="0049783A" w:rsidRPr="003144E8">
        <w:rPr>
          <w:i/>
          <w:iCs/>
        </w:rPr>
        <w:t xml:space="preserve">ex post facto </w:t>
      </w:r>
      <w:r w:rsidR="0049783A" w:rsidRPr="003144E8">
        <w:rPr>
          <w:iCs/>
        </w:rPr>
        <w:t>pierādījumi, ka raksts tiešām ietekmēja procesu. Risks i</w:t>
      </w:r>
      <w:r w:rsidR="00352DB6" w:rsidRPr="003144E8">
        <w:rPr>
          <w:iCs/>
        </w:rPr>
        <w:t xml:space="preserve">etekmēt procesa norisi attaisno </w:t>
      </w:r>
      <w:r w:rsidR="0049783A" w:rsidRPr="00C11DC2">
        <w:rPr>
          <w:i/>
          <w:iCs/>
        </w:rPr>
        <w:t xml:space="preserve">per se </w:t>
      </w:r>
      <w:r w:rsidR="0049783A" w:rsidRPr="00C11DC2">
        <w:rPr>
          <w:iCs/>
        </w:rPr>
        <w:t>nacionālo valstu pieņemtos aizliegumus atklāt slepenu informāciju.</w:t>
      </w:r>
    </w:p>
    <w:p w14:paraId="02EDA632" w14:textId="67BB3A60" w:rsidR="00A10D0C" w:rsidRPr="00C11DC2" w:rsidRDefault="00A10D0C" w:rsidP="001A5653">
      <w:pPr>
        <w:jc w:val="both"/>
        <w:rPr>
          <w:iCs/>
        </w:rPr>
      </w:pPr>
      <w:r w:rsidRPr="00C11DC2">
        <w:rPr>
          <w:iCs/>
        </w:rPr>
        <w:t>Nacionālā regulējuma likumība un prasību atbilstība Konvencijai vērtējami</w:t>
      </w:r>
      <w:r w:rsidR="00352DB6" w:rsidRPr="00C11DC2">
        <w:rPr>
          <w:iCs/>
        </w:rPr>
        <w:t>,</w:t>
      </w:r>
      <w:r w:rsidRPr="00C11DC2">
        <w:rPr>
          <w:iCs/>
        </w:rPr>
        <w:t xml:space="preserve"> pieņemot šos ierobežojumus, bet nevis, kā to norāda A, vērtējot faktisko raksta ietekmi uz tiesvedību. </w:t>
      </w:r>
    </w:p>
    <w:p w14:paraId="720D8ABA" w14:textId="77777777" w:rsidR="00A10D0C" w:rsidRPr="003144E8" w:rsidRDefault="0049783A" w:rsidP="00E738B5">
      <w:pPr>
        <w:jc w:val="both"/>
        <w:rPr>
          <w:iCs/>
        </w:rPr>
      </w:pPr>
      <w:r w:rsidRPr="00C11DC2">
        <w:rPr>
          <w:iCs/>
        </w:rPr>
        <w:t>71. Federālā tiesa tādējādi pareizi norādīja, ka izmeklēšanas lie</w:t>
      </w:r>
      <w:r w:rsidR="004D4E22" w:rsidRPr="00C11DC2">
        <w:rPr>
          <w:iCs/>
        </w:rPr>
        <w:t xml:space="preserve">cības un MB korespondence tika </w:t>
      </w:r>
      <w:r w:rsidRPr="00C11DC2">
        <w:rPr>
          <w:iCs/>
        </w:rPr>
        <w:t xml:space="preserve">apspriesta sabiedrībā pirms izmeklēšanas nobeiguma </w:t>
      </w:r>
      <w:r w:rsidR="00A040CD" w:rsidRPr="00C11DC2">
        <w:rPr>
          <w:iCs/>
        </w:rPr>
        <w:t>tādā veidā, ka</w:t>
      </w:r>
      <w:r w:rsidRPr="00C11DC2">
        <w:rPr>
          <w:iCs/>
        </w:rPr>
        <w:t xml:space="preserve"> varēja ietekmēt </w:t>
      </w:r>
      <w:r w:rsidR="00A040CD" w:rsidRPr="00C11DC2">
        <w:rPr>
          <w:iCs/>
        </w:rPr>
        <w:t>izmeklēšanas tiesneša un tiesas no</w:t>
      </w:r>
      <w:r w:rsidRPr="00C11DC2">
        <w:rPr>
          <w:iCs/>
        </w:rPr>
        <w:t xml:space="preserve">lēmumus. </w:t>
      </w:r>
    </w:p>
    <w:p w14:paraId="09BB278A" w14:textId="77777777" w:rsidR="00382C71" w:rsidRPr="000F5B57" w:rsidRDefault="004D4E22">
      <w:pPr>
        <w:pStyle w:val="ListParagraph"/>
        <w:numPr>
          <w:ilvl w:val="0"/>
          <w:numId w:val="3"/>
        </w:numPr>
        <w:jc w:val="both"/>
        <w:rPr>
          <w:b/>
          <w:iCs/>
        </w:rPr>
      </w:pPr>
      <w:r>
        <w:rPr>
          <w:b/>
          <w:iCs/>
        </w:rPr>
        <w:t>M</w:t>
      </w:r>
      <w:r w:rsidR="00382C71" w:rsidRPr="000F5B57">
        <w:rPr>
          <w:b/>
          <w:iCs/>
        </w:rPr>
        <w:t>B privātās dzīves aizskārums</w:t>
      </w:r>
    </w:p>
    <w:p w14:paraId="6BE88FFA" w14:textId="77777777" w:rsidR="0049783A" w:rsidRDefault="0049783A" w:rsidP="0049783A">
      <w:pPr>
        <w:jc w:val="both"/>
        <w:rPr>
          <w:iCs/>
        </w:rPr>
      </w:pPr>
      <w:r>
        <w:rPr>
          <w:iCs/>
        </w:rPr>
        <w:t xml:space="preserve">72. </w:t>
      </w:r>
      <w:r w:rsidR="00A040CD">
        <w:rPr>
          <w:iCs/>
        </w:rPr>
        <w:t>ECT</w:t>
      </w:r>
      <w:r>
        <w:rPr>
          <w:iCs/>
        </w:rPr>
        <w:t xml:space="preserve"> vairākkārt norādījusi, ka tiesības uz </w:t>
      </w:r>
      <w:r w:rsidR="00A040CD">
        <w:rPr>
          <w:iCs/>
        </w:rPr>
        <w:t xml:space="preserve">reputācijas </w:t>
      </w:r>
      <w:r>
        <w:rPr>
          <w:iCs/>
        </w:rPr>
        <w:t xml:space="preserve">aizsardzību ir </w:t>
      </w:r>
      <w:r w:rsidR="00A040CD">
        <w:rPr>
          <w:iCs/>
        </w:rPr>
        <w:t xml:space="preserve">nostiprinātas </w:t>
      </w:r>
      <w:r>
        <w:rPr>
          <w:iCs/>
        </w:rPr>
        <w:t>Konvencijas 8.</w:t>
      </w:r>
      <w:r w:rsidR="00A040CD">
        <w:rPr>
          <w:iCs/>
        </w:rPr>
        <w:t> </w:t>
      </w:r>
      <w:r>
        <w:rPr>
          <w:iCs/>
        </w:rPr>
        <w:t>pantā kā daļa no tiesībām uz privātās dzīves neaizskaramību. Lai 8.</w:t>
      </w:r>
      <w:r w:rsidR="00A040CD">
        <w:rPr>
          <w:iCs/>
        </w:rPr>
        <w:t> </w:t>
      </w:r>
      <w:r>
        <w:rPr>
          <w:iCs/>
        </w:rPr>
        <w:t xml:space="preserve">pants tiktu piemērots, uzbrukumam personas reputācijai jāsasniedz zināms nopietnības līmenis un jāizpaužas veidā, kas radītu </w:t>
      </w:r>
      <w:r w:rsidR="00A040CD">
        <w:rPr>
          <w:iCs/>
        </w:rPr>
        <w:t xml:space="preserve">aizskārumu </w:t>
      </w:r>
      <w:r>
        <w:rPr>
          <w:iCs/>
        </w:rPr>
        <w:t>privātās dzīves neaizskaramīb</w:t>
      </w:r>
      <w:r w:rsidR="00A040CD">
        <w:rPr>
          <w:iCs/>
        </w:rPr>
        <w:t>ai</w:t>
      </w:r>
      <w:r>
        <w:rPr>
          <w:iCs/>
        </w:rPr>
        <w:t xml:space="preserve">. </w:t>
      </w:r>
    </w:p>
    <w:p w14:paraId="53E86886" w14:textId="62F06DBF" w:rsidR="00153FFD" w:rsidRDefault="00A040CD" w:rsidP="0049783A">
      <w:pPr>
        <w:jc w:val="both"/>
        <w:rPr>
          <w:iCs/>
        </w:rPr>
      </w:pPr>
      <w:r>
        <w:rPr>
          <w:iCs/>
        </w:rPr>
        <w:t>73.-</w:t>
      </w:r>
      <w:r w:rsidR="00153FFD">
        <w:rPr>
          <w:iCs/>
        </w:rPr>
        <w:t xml:space="preserve">74. </w:t>
      </w:r>
      <w:r w:rsidR="00352DB6">
        <w:rPr>
          <w:iCs/>
        </w:rPr>
        <w:t>Konvencijas 8. pants</w:t>
      </w:r>
      <w:r>
        <w:rPr>
          <w:iCs/>
        </w:rPr>
        <w:t xml:space="preserve"> primāri aizsargā indivīdu no valsts patvaļīgas rīcības, tomēr arī uzliek valstij pienākumu nodrošināt pienācīgu regulējumu šo tiesību aizsardzībai. ECT</w:t>
      </w:r>
      <w:r w:rsidR="00153FFD">
        <w:rPr>
          <w:iCs/>
        </w:rPr>
        <w:t xml:space="preserve"> atzīmē, ka, lai pildītu savu pozitīvo pienākumu nodrošināt vienas personas tiesības </w:t>
      </w:r>
      <w:r w:rsidR="00153FFD" w:rsidRPr="00153FFD">
        <w:rPr>
          <w:iCs/>
        </w:rPr>
        <w:t>Konvencijas 8.</w:t>
      </w:r>
      <w:r>
        <w:rPr>
          <w:iCs/>
        </w:rPr>
        <w:t> </w:t>
      </w:r>
      <w:r w:rsidR="00153FFD" w:rsidRPr="00153FFD">
        <w:rPr>
          <w:iCs/>
        </w:rPr>
        <w:t>pantā</w:t>
      </w:r>
      <w:r w:rsidR="00153FFD">
        <w:rPr>
          <w:iCs/>
        </w:rPr>
        <w:t xml:space="preserve">, </w:t>
      </w:r>
      <w:r>
        <w:rPr>
          <w:iCs/>
        </w:rPr>
        <w:t>v</w:t>
      </w:r>
      <w:r w:rsidR="00153FFD">
        <w:rPr>
          <w:iCs/>
        </w:rPr>
        <w:t>alsts var ierobežot citas personas tiesības, kas nodrošinātas Konvencijas 10</w:t>
      </w:r>
      <w:r w:rsidR="00153FFD" w:rsidRPr="00153FFD">
        <w:rPr>
          <w:iCs/>
        </w:rPr>
        <w:t>. pantā</w:t>
      </w:r>
      <w:r w:rsidR="00153FFD">
        <w:rPr>
          <w:iCs/>
        </w:rPr>
        <w:t xml:space="preserve">. Pārbaudot šāda ierobežojuma nepieciešamību demokrātiskā sabiedrībā, </w:t>
      </w:r>
      <w:r>
        <w:rPr>
          <w:iCs/>
        </w:rPr>
        <w:t xml:space="preserve">ECT </w:t>
      </w:r>
      <w:r w:rsidR="00153FFD">
        <w:rPr>
          <w:iCs/>
        </w:rPr>
        <w:t xml:space="preserve">var būt nepieciešams </w:t>
      </w:r>
      <w:r>
        <w:rPr>
          <w:iCs/>
        </w:rPr>
        <w:t>pārbaudīt</w:t>
      </w:r>
      <w:r w:rsidR="00153FFD">
        <w:rPr>
          <w:iCs/>
        </w:rPr>
        <w:t xml:space="preserve">, vai nacionālās institūcijas radušas pareizo balansu, aizsargājot abas Konvencijas vērtības. </w:t>
      </w:r>
    </w:p>
    <w:p w14:paraId="15FEBC84" w14:textId="3CAF2050" w:rsidR="00153FFD" w:rsidRPr="00460487" w:rsidRDefault="00153FFD" w:rsidP="0049783A">
      <w:pPr>
        <w:jc w:val="both"/>
        <w:rPr>
          <w:iCs/>
        </w:rPr>
      </w:pPr>
      <w:r w:rsidRPr="00460487">
        <w:rPr>
          <w:iCs/>
        </w:rPr>
        <w:t xml:space="preserve">75. </w:t>
      </w:r>
      <w:r w:rsidR="00460487" w:rsidRPr="00460487">
        <w:rPr>
          <w:iCs/>
        </w:rPr>
        <w:t>Valdība argumentēja, ka šajā gadījumā Šveices institūcijām bija gan negatīvs, gan pozit</w:t>
      </w:r>
      <w:r w:rsidR="00460487">
        <w:rPr>
          <w:iCs/>
        </w:rPr>
        <w:t>īvs pienākums aizsargāt MB privāto dzīvi. Valdība pareizi norādīja, ka līdzekļu izvēle, lai nodrošinātu atbilstību šim pozitīvajam pienākumam</w:t>
      </w:r>
      <w:r w:rsidR="00352DB6">
        <w:rPr>
          <w:iCs/>
        </w:rPr>
        <w:t>,</w:t>
      </w:r>
      <w:r w:rsidR="00460487">
        <w:rPr>
          <w:iCs/>
        </w:rPr>
        <w:t xml:space="preserve"> bija tās rīcības brīvības ietvaros (Kriminālkodeksa 293. pants). </w:t>
      </w:r>
    </w:p>
    <w:p w14:paraId="6892D3A4" w14:textId="15230804" w:rsidR="00153FFD" w:rsidRDefault="006D3A4E" w:rsidP="0049783A">
      <w:pPr>
        <w:jc w:val="both"/>
        <w:rPr>
          <w:iCs/>
        </w:rPr>
      </w:pPr>
      <w:r>
        <w:rPr>
          <w:iCs/>
        </w:rPr>
        <w:t xml:space="preserve">76. </w:t>
      </w:r>
      <w:r w:rsidR="00A040CD">
        <w:rPr>
          <w:iCs/>
        </w:rPr>
        <w:t>ECT</w:t>
      </w:r>
      <w:r w:rsidR="00352DB6">
        <w:rPr>
          <w:iCs/>
        </w:rPr>
        <w:t xml:space="preserve"> ie</w:t>
      </w:r>
      <w:r>
        <w:rPr>
          <w:iCs/>
        </w:rPr>
        <w:t>skat</w:t>
      </w:r>
      <w:r w:rsidR="00A040CD">
        <w:rPr>
          <w:iCs/>
        </w:rPr>
        <w:t>ā</w:t>
      </w:r>
      <w:r>
        <w:rPr>
          <w:iCs/>
        </w:rPr>
        <w:t xml:space="preserve"> krimināl</w:t>
      </w:r>
      <w:r w:rsidR="00A040CD">
        <w:rPr>
          <w:iCs/>
        </w:rPr>
        <w:t>process</w:t>
      </w:r>
      <w:r>
        <w:rPr>
          <w:iCs/>
        </w:rPr>
        <w:t xml:space="preserve"> pret A atbil</w:t>
      </w:r>
      <w:r w:rsidR="00A040CD">
        <w:rPr>
          <w:iCs/>
        </w:rPr>
        <w:t>da ar Konvencijas 8.</w:t>
      </w:r>
      <w:r w:rsidR="005A4EFE">
        <w:rPr>
          <w:iCs/>
        </w:rPr>
        <w:t xml:space="preserve"> </w:t>
      </w:r>
      <w:r w:rsidR="00A040CD">
        <w:rPr>
          <w:iCs/>
        </w:rPr>
        <w:t xml:space="preserve">pantu uzliktajam </w:t>
      </w:r>
      <w:r>
        <w:rPr>
          <w:iCs/>
        </w:rPr>
        <w:t>Šveice</w:t>
      </w:r>
      <w:r w:rsidR="00A040CD">
        <w:rPr>
          <w:iCs/>
        </w:rPr>
        <w:t xml:space="preserve">s pozitīvajam pienākumam – aizsargāt apsūdzētā MB tiesības uz korespondences neaizskaramību. </w:t>
      </w:r>
    </w:p>
    <w:p w14:paraId="63CE238D" w14:textId="016376EE" w:rsidR="00323A98" w:rsidRDefault="006D3A4E" w:rsidP="0049783A">
      <w:pPr>
        <w:jc w:val="both"/>
        <w:rPr>
          <w:iCs/>
        </w:rPr>
      </w:pPr>
      <w:r>
        <w:rPr>
          <w:iCs/>
        </w:rPr>
        <w:t>Turklāt informācija, ko A bija atklājis, bija ļoti personiska un</w:t>
      </w:r>
      <w:r w:rsidR="00A040CD">
        <w:rPr>
          <w:iCs/>
        </w:rPr>
        <w:t xml:space="preserve"> pat</w:t>
      </w:r>
      <w:r>
        <w:rPr>
          <w:iCs/>
        </w:rPr>
        <w:t xml:space="preserve"> medicīniska rakstura. </w:t>
      </w:r>
      <w:r w:rsidR="00A040CD">
        <w:rPr>
          <w:iCs/>
        </w:rPr>
        <w:t xml:space="preserve">ECT </w:t>
      </w:r>
      <w:r>
        <w:rPr>
          <w:iCs/>
        </w:rPr>
        <w:t xml:space="preserve">uzskata, ka šāda tipa informācija pieprasa visaugstāko aizsardzību </w:t>
      </w:r>
      <w:r w:rsidRPr="006D3A4E">
        <w:rPr>
          <w:iCs/>
        </w:rPr>
        <w:t>Konvencijas 8.</w:t>
      </w:r>
      <w:r w:rsidR="00A040CD">
        <w:rPr>
          <w:iCs/>
        </w:rPr>
        <w:t> </w:t>
      </w:r>
      <w:r w:rsidRPr="006D3A4E">
        <w:rPr>
          <w:iCs/>
        </w:rPr>
        <w:t>panta</w:t>
      </w:r>
      <w:r>
        <w:rPr>
          <w:iCs/>
        </w:rPr>
        <w:t xml:space="preserve"> izpratnē. Šis secinājums ir īpaši svarīgs, tā kā MB nebija sabiedrībai zināma persona, un fakts, ka viņš bija kriminālizmeklēšanas subjekts, lai gan par nopietnu nodarījumu, neattaisnoja izturēšanos pret viņu kā pret publisku personu, kas </w:t>
      </w:r>
      <w:r w:rsidR="003144E8">
        <w:rPr>
          <w:iCs/>
        </w:rPr>
        <w:t>pats</w:t>
      </w:r>
      <w:r>
        <w:rPr>
          <w:iCs/>
        </w:rPr>
        <w:t xml:space="preserve"> </w:t>
      </w:r>
      <w:r w:rsidR="00323A98">
        <w:rPr>
          <w:iCs/>
        </w:rPr>
        <w:t xml:space="preserve">atklāj sevi publicitātei. </w:t>
      </w:r>
    </w:p>
    <w:p w14:paraId="7636C46B" w14:textId="77777777" w:rsidR="00903EB8" w:rsidRDefault="00903EB8" w:rsidP="0049783A">
      <w:pPr>
        <w:jc w:val="both"/>
        <w:rPr>
          <w:iCs/>
        </w:rPr>
      </w:pPr>
      <w:r>
        <w:rPr>
          <w:iCs/>
        </w:rPr>
        <w:t>77. Lielā palāta, pretēji Palātas secinājumiem, uzskata, ka iespējamais civiltiesiskais strīda risināšanas mehānisms neatbrīvo Valsti no tās pozitīvā pienākuma Konvencijas 8. panta kontekstā.</w:t>
      </w:r>
    </w:p>
    <w:p w14:paraId="2E1A21CD" w14:textId="77777777" w:rsidR="00323A98" w:rsidRDefault="00323A98" w:rsidP="0049783A">
      <w:pPr>
        <w:jc w:val="both"/>
        <w:rPr>
          <w:iCs/>
        </w:rPr>
      </w:pPr>
      <w:r>
        <w:rPr>
          <w:iCs/>
        </w:rPr>
        <w:t xml:space="preserve">78. Ir jānorāda, ka laikā, kad tika publicēts raksts, MB atradās cietumā, tādējādi </w:t>
      </w:r>
      <w:r w:rsidR="00903EB8">
        <w:rPr>
          <w:iCs/>
        </w:rPr>
        <w:t xml:space="preserve">neaizsargātā </w:t>
      </w:r>
      <w:r>
        <w:rPr>
          <w:iCs/>
        </w:rPr>
        <w:t xml:space="preserve">situācijā. Turklāt nekas neliecina, ka MB bija informēts par publikācijām un to informācijas saturu. </w:t>
      </w:r>
    </w:p>
    <w:p w14:paraId="0B96D777" w14:textId="77777777" w:rsidR="00382C71" w:rsidRPr="000F5B57" w:rsidRDefault="00531146" w:rsidP="00382C71">
      <w:pPr>
        <w:pStyle w:val="ListParagraph"/>
        <w:numPr>
          <w:ilvl w:val="0"/>
          <w:numId w:val="3"/>
        </w:numPr>
        <w:jc w:val="both"/>
        <w:rPr>
          <w:b/>
          <w:iCs/>
        </w:rPr>
      </w:pPr>
      <w:r w:rsidRPr="000F5B57">
        <w:rPr>
          <w:b/>
          <w:iCs/>
        </w:rPr>
        <w:t xml:space="preserve">Piemērotā soda </w:t>
      </w:r>
      <w:r w:rsidR="00101512" w:rsidRPr="000F5B57">
        <w:rPr>
          <w:b/>
          <w:iCs/>
        </w:rPr>
        <w:t>propor</w:t>
      </w:r>
      <w:r w:rsidRPr="000F5B57">
        <w:rPr>
          <w:b/>
          <w:iCs/>
        </w:rPr>
        <w:t>cionalitāte</w:t>
      </w:r>
    </w:p>
    <w:p w14:paraId="34D4A50E" w14:textId="4DF5AF6C" w:rsidR="00323A98" w:rsidRPr="000F5B57" w:rsidRDefault="00323A98" w:rsidP="000F5B57">
      <w:pPr>
        <w:jc w:val="both"/>
      </w:pPr>
      <w:r>
        <w:t xml:space="preserve">79. </w:t>
      </w:r>
      <w:r w:rsidR="00903EB8">
        <w:t>ECT</w:t>
      </w:r>
      <w:r w:rsidR="00D25573" w:rsidRPr="00D25573">
        <w:t xml:space="preserve"> vairākkārt norādījusi, ka piemēroto sodu veids un smagums ir turpmākie faktori, kas jāņem vērā, novērtējot iejaukšanās proporcionalitāti. </w:t>
      </w:r>
      <w:r w:rsidR="00903EB8">
        <w:t>Turklāt</w:t>
      </w:r>
      <w:r w:rsidR="00D25573" w:rsidRPr="00D25573">
        <w:t xml:space="preserve"> </w:t>
      </w:r>
      <w:r w:rsidR="00903EB8">
        <w:t>ECT</w:t>
      </w:r>
      <w:r w:rsidR="00D25573" w:rsidRPr="00D25573">
        <w:t xml:space="preserve"> ir jāpārliecinās, ka sods nav tād</w:t>
      </w:r>
      <w:r w:rsidR="00903EB8">
        <w:t xml:space="preserve">s, kas </w:t>
      </w:r>
      <w:r w:rsidR="00D25573" w:rsidRPr="00D25573">
        <w:t>varētu presei atņemt drosmi izteikt kritiku. Sabiedr</w:t>
      </w:r>
      <w:r w:rsidR="00903EB8">
        <w:t>ības</w:t>
      </w:r>
      <w:r w:rsidR="00D25573" w:rsidRPr="00D25573">
        <w:t xml:space="preserve"> interesi skarošas diskusijas kontekstā šāda sankcija visticamāk atbaidītu žurnālistus no publiskām </w:t>
      </w:r>
      <w:r w:rsidR="00352DB6">
        <w:t xml:space="preserve">diskusijām </w:t>
      </w:r>
      <w:r w:rsidR="00D25573" w:rsidRPr="00D25573">
        <w:t>par jautājumiem, kas ietekmē sabiedrības dzīvi. Tāpat šāda sankcija visdrīzāk</w:t>
      </w:r>
      <w:r w:rsidR="00903EB8">
        <w:t xml:space="preserve"> </w:t>
      </w:r>
      <w:r w:rsidR="00D25573" w:rsidRPr="00D25573">
        <w:t>traucēs presei pildīt informācijas sniegšanas funkciju un būt par sabiedrības sargsuni. Šajā kontekstā personas apsūdzības fakts dažos gadījumos var būt svarīgāks nekā piemērot</w:t>
      </w:r>
      <w:r w:rsidR="00903EB8">
        <w:t>ais</w:t>
      </w:r>
      <w:r w:rsidR="00D25573" w:rsidRPr="00D25573">
        <w:t xml:space="preserve"> sod</w:t>
      </w:r>
      <w:r w:rsidR="00903EB8">
        <w:t>s</w:t>
      </w:r>
      <w:r w:rsidR="00D25573" w:rsidRPr="00D25573">
        <w:t>.</w:t>
      </w:r>
    </w:p>
    <w:p w14:paraId="5CCCE619" w14:textId="4FB5F999" w:rsidR="00932C78" w:rsidRPr="00573CF8" w:rsidRDefault="00932C78" w:rsidP="00932C78">
      <w:pPr>
        <w:jc w:val="both"/>
      </w:pPr>
      <w:r w:rsidRPr="00573CF8">
        <w:lastRenderedPageBreak/>
        <w:t xml:space="preserve">80. Turklāt </w:t>
      </w:r>
      <w:r w:rsidR="00903EB8">
        <w:t xml:space="preserve">ECT </w:t>
      </w:r>
      <w:r w:rsidRPr="00573CF8">
        <w:t>norāda, ka informācijas atklāšana, ko aizsargā tiesiskās izmeklēšanas k</w:t>
      </w:r>
      <w:r w:rsidR="00352DB6">
        <w:t>onfidencialitāte, ir sodāma visā</w:t>
      </w:r>
      <w:r w:rsidRPr="00573CF8">
        <w:t xml:space="preserve">s Eiropas Padomes valstīs, kuru likumdošana tika pētīta šajā lietā. </w:t>
      </w:r>
    </w:p>
    <w:p w14:paraId="3BA42905" w14:textId="77777777" w:rsidR="00D25573" w:rsidRPr="00D25573" w:rsidRDefault="00932C78" w:rsidP="00932C78">
      <w:pPr>
        <w:jc w:val="both"/>
      </w:pPr>
      <w:r w:rsidRPr="00573CF8">
        <w:t xml:space="preserve">81. </w:t>
      </w:r>
      <w:r w:rsidR="00D25573" w:rsidRPr="00D25573">
        <w:t xml:space="preserve">Ir </w:t>
      </w:r>
      <w:r w:rsidR="00903EB8">
        <w:t>taisnība</w:t>
      </w:r>
      <w:r w:rsidR="00D25573" w:rsidRPr="00D25573">
        <w:t>, ka valsts institūciju dominējošais stāvoklis uzliek iestādēm pienākumu pēc iespējas atturēties no kriminālprocesa uzsākšanas vārda brīvības lietās.</w:t>
      </w:r>
    </w:p>
    <w:p w14:paraId="23C679CA" w14:textId="77777777" w:rsidR="00932C78" w:rsidRPr="00573CF8" w:rsidRDefault="00EE546F" w:rsidP="00932C78">
      <w:pPr>
        <w:jc w:val="both"/>
      </w:pPr>
      <w:r w:rsidRPr="00573CF8">
        <w:t xml:space="preserve">Tomēr šajā lietā </w:t>
      </w:r>
      <w:r w:rsidR="00903EB8">
        <w:t>ECT</w:t>
      </w:r>
      <w:r w:rsidRPr="00573CF8">
        <w:t xml:space="preserve"> uzskata, ka krimināllietas ierosināšana un piemērotais sods nesasniedza neproporcionālus apmērus, kas traucētu A vārda brīvības izpausmēs. A sākotnēji tika noteikts viena mēneša cietumsods. Viņa sods tika aizstāts ar 4000 CHF naudas sodu, kas</w:t>
      </w:r>
      <w:r w:rsidR="000F5B57">
        <w:t xml:space="preserve"> </w:t>
      </w:r>
      <w:r w:rsidRPr="00573CF8">
        <w:t>tika noteikts, ņemot vērā A iepriekšējo raksturojumu</w:t>
      </w:r>
      <w:r w:rsidR="00903EB8">
        <w:t xml:space="preserve">. Sodu </w:t>
      </w:r>
      <w:r w:rsidRPr="00573CF8">
        <w:t xml:space="preserve">nemaksāja pats A, bet gan viņa darba devējs. Šis sods tika uzlikts par kriminālizmeklēšanas konfidencialitātes pārkāpšanu, un tās mērķis šajā lietā bija aizsargāt </w:t>
      </w:r>
      <w:r w:rsidR="00526D89" w:rsidRPr="00573CF8">
        <w:t>pienācīgu tieslietu sistēmas darbību un apsūdzētā tiesības uz taisnīgu tiesu un privātās dzīves nea</w:t>
      </w:r>
      <w:r w:rsidR="009A4BF4">
        <w:t>izska</w:t>
      </w:r>
      <w:r w:rsidR="00526D89" w:rsidRPr="00573CF8">
        <w:t xml:space="preserve">ramību. </w:t>
      </w:r>
    </w:p>
    <w:p w14:paraId="103AED1D" w14:textId="77777777" w:rsidR="00526D89" w:rsidRPr="00573CF8" w:rsidRDefault="00903EB8" w:rsidP="00932C78">
      <w:pPr>
        <w:jc w:val="both"/>
      </w:pPr>
      <w:r>
        <w:t>ECT</w:t>
      </w:r>
      <w:r w:rsidR="00526D89" w:rsidRPr="00573CF8">
        <w:t xml:space="preserve"> </w:t>
      </w:r>
      <w:r w:rsidR="00744FBD">
        <w:t xml:space="preserve">ieskatā šajos apstākļos nevar uzskatīt, ka </w:t>
      </w:r>
      <w:r w:rsidR="00526D89" w:rsidRPr="00573CF8">
        <w:t xml:space="preserve">minētais sods </w:t>
      </w:r>
      <w:r w:rsidR="00744FBD">
        <w:t xml:space="preserve">varētu </w:t>
      </w:r>
      <w:r w:rsidR="00526D89" w:rsidRPr="00573CF8">
        <w:t xml:space="preserve">radīt </w:t>
      </w:r>
      <w:r w:rsidR="00744FBD">
        <w:t xml:space="preserve">negatīvu </w:t>
      </w:r>
      <w:r w:rsidR="00526D89" w:rsidRPr="00573CF8">
        <w:t xml:space="preserve">efektu </w:t>
      </w:r>
      <w:r w:rsidR="00744FBD">
        <w:t xml:space="preserve">vārda brīvībai </w:t>
      </w:r>
      <w:r w:rsidR="00526D89" w:rsidRPr="00573CF8">
        <w:t>A vai ci</w:t>
      </w:r>
      <w:r w:rsidR="00744FBD">
        <w:t xml:space="preserve">tiem </w:t>
      </w:r>
      <w:r w:rsidR="00526D89" w:rsidRPr="00573CF8">
        <w:t>žurnālist</w:t>
      </w:r>
      <w:r w:rsidR="00744FBD">
        <w:t>iem</w:t>
      </w:r>
      <w:r w:rsidR="00526D89" w:rsidRPr="00573CF8">
        <w:t xml:space="preserve">, kas vēlētos informēt par krimināllietām. </w:t>
      </w:r>
    </w:p>
    <w:p w14:paraId="3FA723E3" w14:textId="77777777" w:rsidR="00744FBD" w:rsidRDefault="00744FBD" w:rsidP="00932C78">
      <w:pPr>
        <w:jc w:val="both"/>
      </w:pPr>
    </w:p>
    <w:p w14:paraId="0A1897B5" w14:textId="77777777" w:rsidR="00744FBD" w:rsidRDefault="00744FBD" w:rsidP="00E738B5">
      <w:pPr>
        <w:pStyle w:val="ListParagraph"/>
        <w:ind w:left="1080"/>
        <w:jc w:val="both"/>
      </w:pPr>
      <w:r w:rsidRPr="00E738B5">
        <w:rPr>
          <w:b/>
          <w:iCs/>
        </w:rPr>
        <w:t>Secinājums</w:t>
      </w:r>
    </w:p>
    <w:p w14:paraId="6C809EDE" w14:textId="7BF7318E" w:rsidR="00526D89" w:rsidRPr="00573CF8" w:rsidRDefault="00526D89" w:rsidP="00932C78">
      <w:pPr>
        <w:jc w:val="both"/>
      </w:pPr>
      <w:r w:rsidRPr="00573CF8">
        <w:t>Ņemot vērā iepriekšminēto, Valstu rīcības brīvīb</w:t>
      </w:r>
      <w:r w:rsidR="00744FBD">
        <w:t>as robežas</w:t>
      </w:r>
      <w:r w:rsidRPr="00573CF8">
        <w:t xml:space="preserve"> un to, ka dažādu konkurējošu </w:t>
      </w:r>
      <w:r w:rsidR="00744FBD">
        <w:t xml:space="preserve">aizsargāto tiesību </w:t>
      </w:r>
      <w:r w:rsidRPr="00573CF8">
        <w:t>izsvēršana tika pienācīgi veikt</w:t>
      </w:r>
      <w:r w:rsidR="009A4BF4">
        <w:t>a</w:t>
      </w:r>
      <w:r w:rsidRPr="00573CF8">
        <w:t xml:space="preserve"> Federālajā tiesā, </w:t>
      </w:r>
      <w:r w:rsidR="00744FBD">
        <w:t xml:space="preserve">ECT ar 15 balsīm par un divām pret </w:t>
      </w:r>
      <w:r w:rsidRPr="00573CF8">
        <w:t>secina, ka nav noticis Konvencijas 10.</w:t>
      </w:r>
      <w:r w:rsidR="005A4EFE">
        <w:t xml:space="preserve"> </w:t>
      </w:r>
      <w:r w:rsidRPr="00573CF8">
        <w:t xml:space="preserve">panta pārkāpums. </w:t>
      </w:r>
    </w:p>
    <w:p w14:paraId="1D5B999F" w14:textId="77777777" w:rsidR="00744FBD" w:rsidRPr="00E738B5" w:rsidRDefault="00744FBD" w:rsidP="00932C78">
      <w:pPr>
        <w:jc w:val="both"/>
      </w:pPr>
    </w:p>
    <w:sectPr w:rsidR="00744FBD" w:rsidRPr="00E738B5" w:rsidSect="004D4E22">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DC70A" w14:textId="77777777" w:rsidR="00815363" w:rsidRDefault="00815363" w:rsidP="00A810DB">
      <w:pPr>
        <w:spacing w:after="0" w:line="240" w:lineRule="auto"/>
      </w:pPr>
      <w:r>
        <w:separator/>
      </w:r>
    </w:p>
  </w:endnote>
  <w:endnote w:type="continuationSeparator" w:id="0">
    <w:p w14:paraId="05A700DA" w14:textId="77777777" w:rsidR="00815363" w:rsidRDefault="00815363" w:rsidP="00A8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772654"/>
      <w:docPartObj>
        <w:docPartGallery w:val="Page Numbers (Bottom of Page)"/>
        <w:docPartUnique/>
      </w:docPartObj>
    </w:sdtPr>
    <w:sdtEndPr>
      <w:rPr>
        <w:noProof/>
      </w:rPr>
    </w:sdtEndPr>
    <w:sdtContent>
      <w:p w14:paraId="084BB8F8" w14:textId="15EE9101" w:rsidR="009A0B25" w:rsidRDefault="009A0B25">
        <w:pPr>
          <w:pStyle w:val="Footer"/>
          <w:jc w:val="center"/>
        </w:pPr>
        <w:r>
          <w:fldChar w:fldCharType="begin"/>
        </w:r>
        <w:r>
          <w:instrText xml:space="preserve"> PAGE   \* MERGEFORMAT </w:instrText>
        </w:r>
        <w:r>
          <w:fldChar w:fldCharType="separate"/>
        </w:r>
        <w:r w:rsidR="00C11DC2">
          <w:rPr>
            <w:noProof/>
          </w:rPr>
          <w:t>2</w:t>
        </w:r>
        <w:r>
          <w:rPr>
            <w:noProof/>
          </w:rPr>
          <w:fldChar w:fldCharType="end"/>
        </w:r>
      </w:p>
    </w:sdtContent>
  </w:sdt>
  <w:p w14:paraId="7C898FC6" w14:textId="77777777" w:rsidR="009A0B25" w:rsidRDefault="009A0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37F11" w14:textId="77777777" w:rsidR="00815363" w:rsidRDefault="00815363" w:rsidP="00A810DB">
      <w:pPr>
        <w:spacing w:after="0" w:line="240" w:lineRule="auto"/>
      </w:pPr>
      <w:r>
        <w:separator/>
      </w:r>
    </w:p>
  </w:footnote>
  <w:footnote w:type="continuationSeparator" w:id="0">
    <w:p w14:paraId="37F11B61" w14:textId="77777777" w:rsidR="00815363" w:rsidRDefault="00815363" w:rsidP="00A81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2750F" w14:textId="5FD62E4C" w:rsidR="00A10D0C" w:rsidRPr="003C5CBA" w:rsidRDefault="00A10D0C" w:rsidP="00E738B5">
    <w:pPr>
      <w:jc w:val="right"/>
      <w:rPr>
        <w:bCs/>
        <w:szCs w:val="24"/>
      </w:rPr>
    </w:pPr>
    <w:r>
      <w:rPr>
        <w:bCs/>
        <w:i/>
        <w:szCs w:val="24"/>
        <w:lang w:val="en-GB"/>
      </w:rPr>
      <w:t xml:space="preserve">Kopsavilkums un neoficiāls, saīsināts </w:t>
    </w:r>
    <w:r w:rsidRPr="00EF0174">
      <w:rPr>
        <w:bCs/>
        <w:i/>
        <w:szCs w:val="24"/>
        <w:lang w:val="en-GB"/>
      </w:rPr>
      <w:t>tulkojums</w:t>
    </w:r>
    <w:r>
      <w:rPr>
        <w:bCs/>
        <w:i/>
        <w:szCs w:val="24"/>
        <w:lang w:val="en-GB"/>
      </w:rPr>
      <w:t xml:space="preserve">; </w:t>
    </w:r>
    <w:r w:rsidR="001B2CC4">
      <w:rPr>
        <w:bCs/>
        <w:szCs w:val="24"/>
      </w:rPr>
      <w:t>19</w:t>
    </w:r>
    <w:r w:rsidRPr="00EF0174">
      <w:rPr>
        <w:bCs/>
        <w:szCs w:val="24"/>
      </w:rPr>
      <w:t xml:space="preserve">.04.2016. </w:t>
    </w:r>
    <w:r w:rsidR="001C131F">
      <w:rPr>
        <w:bCs/>
        <w:szCs w:val="24"/>
      </w:rPr>
      <w:t xml:space="preserve">AT </w:t>
    </w:r>
    <w:r w:rsidR="00C11DC2">
      <w:rPr>
        <w:bCs/>
        <w:szCs w:val="24"/>
      </w:rPr>
      <w:t>JZA</w:t>
    </w:r>
    <w:r w:rsidR="00C11DC2">
      <w:rPr>
        <w:bCs/>
        <w:szCs w:val="24"/>
      </w:rPr>
      <w:t xml:space="preserve"> nodaļa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F5053"/>
    <w:multiLevelType w:val="hybridMultilevel"/>
    <w:tmpl w:val="5C8E3E98"/>
    <w:lvl w:ilvl="0" w:tplc="0004FD06">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ACE68AB"/>
    <w:multiLevelType w:val="hybridMultilevel"/>
    <w:tmpl w:val="051E88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6440CDD"/>
    <w:multiLevelType w:val="hybridMultilevel"/>
    <w:tmpl w:val="598600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5B73E3F"/>
    <w:multiLevelType w:val="hybridMultilevel"/>
    <w:tmpl w:val="497ECB4E"/>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560"/>
    <w:rsid w:val="000136B6"/>
    <w:rsid w:val="00042C93"/>
    <w:rsid w:val="00063769"/>
    <w:rsid w:val="000678D4"/>
    <w:rsid w:val="00084CA1"/>
    <w:rsid w:val="000947DE"/>
    <w:rsid w:val="000C0CF1"/>
    <w:rsid w:val="000C42A2"/>
    <w:rsid w:val="000D1506"/>
    <w:rsid w:val="000E36BD"/>
    <w:rsid w:val="000F5B57"/>
    <w:rsid w:val="00101512"/>
    <w:rsid w:val="001169A7"/>
    <w:rsid w:val="0013113A"/>
    <w:rsid w:val="00135BE1"/>
    <w:rsid w:val="00147464"/>
    <w:rsid w:val="00153FFD"/>
    <w:rsid w:val="00162831"/>
    <w:rsid w:val="00166A27"/>
    <w:rsid w:val="001A5653"/>
    <w:rsid w:val="001A738B"/>
    <w:rsid w:val="001B1A12"/>
    <w:rsid w:val="001B2CC4"/>
    <w:rsid w:val="001B6CA1"/>
    <w:rsid w:val="001C131F"/>
    <w:rsid w:val="001D74DA"/>
    <w:rsid w:val="00227274"/>
    <w:rsid w:val="0025001C"/>
    <w:rsid w:val="00250EEC"/>
    <w:rsid w:val="002563B2"/>
    <w:rsid w:val="002704AA"/>
    <w:rsid w:val="00272040"/>
    <w:rsid w:val="00275D82"/>
    <w:rsid w:val="002B2E49"/>
    <w:rsid w:val="002C2D99"/>
    <w:rsid w:val="00305E24"/>
    <w:rsid w:val="003144E8"/>
    <w:rsid w:val="00323A98"/>
    <w:rsid w:val="00352DB6"/>
    <w:rsid w:val="00382C71"/>
    <w:rsid w:val="003C1870"/>
    <w:rsid w:val="003C5CBA"/>
    <w:rsid w:val="003C6A06"/>
    <w:rsid w:val="00413FD0"/>
    <w:rsid w:val="00431161"/>
    <w:rsid w:val="004341E6"/>
    <w:rsid w:val="004353FD"/>
    <w:rsid w:val="00460487"/>
    <w:rsid w:val="0046647B"/>
    <w:rsid w:val="00474F73"/>
    <w:rsid w:val="00476188"/>
    <w:rsid w:val="00493190"/>
    <w:rsid w:val="0049783A"/>
    <w:rsid w:val="004D2A4C"/>
    <w:rsid w:val="004D4E22"/>
    <w:rsid w:val="004F27CF"/>
    <w:rsid w:val="00526D89"/>
    <w:rsid w:val="00531146"/>
    <w:rsid w:val="00552DE3"/>
    <w:rsid w:val="00573CF8"/>
    <w:rsid w:val="00587E35"/>
    <w:rsid w:val="005A4B05"/>
    <w:rsid w:val="005A4EFE"/>
    <w:rsid w:val="005B308C"/>
    <w:rsid w:val="005C4572"/>
    <w:rsid w:val="005E5E50"/>
    <w:rsid w:val="006630B1"/>
    <w:rsid w:val="006910F5"/>
    <w:rsid w:val="006B2478"/>
    <w:rsid w:val="006B3FFE"/>
    <w:rsid w:val="006C5BF4"/>
    <w:rsid w:val="006D3A4E"/>
    <w:rsid w:val="006E48A2"/>
    <w:rsid w:val="006E7DAF"/>
    <w:rsid w:val="00721560"/>
    <w:rsid w:val="007401B9"/>
    <w:rsid w:val="00744FBD"/>
    <w:rsid w:val="007A36BA"/>
    <w:rsid w:val="007B01AE"/>
    <w:rsid w:val="007B4E1C"/>
    <w:rsid w:val="007D4C42"/>
    <w:rsid w:val="00815363"/>
    <w:rsid w:val="00847671"/>
    <w:rsid w:val="00855DAF"/>
    <w:rsid w:val="00891E95"/>
    <w:rsid w:val="008D170C"/>
    <w:rsid w:val="008D529D"/>
    <w:rsid w:val="008F7629"/>
    <w:rsid w:val="009034BC"/>
    <w:rsid w:val="00903EB8"/>
    <w:rsid w:val="00932C78"/>
    <w:rsid w:val="0097337D"/>
    <w:rsid w:val="00992E5D"/>
    <w:rsid w:val="009A0B25"/>
    <w:rsid w:val="009A4BF4"/>
    <w:rsid w:val="009B679C"/>
    <w:rsid w:val="009F493D"/>
    <w:rsid w:val="00A023FB"/>
    <w:rsid w:val="00A040CD"/>
    <w:rsid w:val="00A10D0C"/>
    <w:rsid w:val="00A24254"/>
    <w:rsid w:val="00A625C9"/>
    <w:rsid w:val="00A634B4"/>
    <w:rsid w:val="00A8004E"/>
    <w:rsid w:val="00A810DB"/>
    <w:rsid w:val="00A81693"/>
    <w:rsid w:val="00A86545"/>
    <w:rsid w:val="00AA2875"/>
    <w:rsid w:val="00AC0EC5"/>
    <w:rsid w:val="00B03C1A"/>
    <w:rsid w:val="00B52447"/>
    <w:rsid w:val="00B94DEC"/>
    <w:rsid w:val="00BA28E3"/>
    <w:rsid w:val="00C11DC2"/>
    <w:rsid w:val="00C80600"/>
    <w:rsid w:val="00C92F00"/>
    <w:rsid w:val="00CA0244"/>
    <w:rsid w:val="00CB4574"/>
    <w:rsid w:val="00CC72D5"/>
    <w:rsid w:val="00CE7E14"/>
    <w:rsid w:val="00D25573"/>
    <w:rsid w:val="00D6629D"/>
    <w:rsid w:val="00DD650E"/>
    <w:rsid w:val="00DE0960"/>
    <w:rsid w:val="00DE47DB"/>
    <w:rsid w:val="00E32BDF"/>
    <w:rsid w:val="00E675C5"/>
    <w:rsid w:val="00E738B5"/>
    <w:rsid w:val="00E74F5C"/>
    <w:rsid w:val="00E92DDD"/>
    <w:rsid w:val="00EC186E"/>
    <w:rsid w:val="00EE546F"/>
    <w:rsid w:val="00EF0174"/>
    <w:rsid w:val="00F0741A"/>
    <w:rsid w:val="00F81FD9"/>
    <w:rsid w:val="00FA7D74"/>
    <w:rsid w:val="00FD1538"/>
    <w:rsid w:val="00FD4843"/>
    <w:rsid w:val="00FD6F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424F"/>
  <w15:chartTrackingRefBased/>
  <w15:docId w15:val="{3B76D071-9D2E-497D-93A6-83EE7327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560"/>
    <w:rPr>
      <w:color w:val="0563C1" w:themeColor="hyperlink"/>
      <w:u w:val="single"/>
    </w:rPr>
  </w:style>
  <w:style w:type="paragraph" w:styleId="ListParagraph">
    <w:name w:val="List Paragraph"/>
    <w:basedOn w:val="Normal"/>
    <w:uiPriority w:val="34"/>
    <w:qFormat/>
    <w:rsid w:val="000947DE"/>
    <w:pPr>
      <w:ind w:left="720"/>
      <w:contextualSpacing/>
    </w:pPr>
  </w:style>
  <w:style w:type="character" w:styleId="FollowedHyperlink">
    <w:name w:val="FollowedHyperlink"/>
    <w:basedOn w:val="DefaultParagraphFont"/>
    <w:uiPriority w:val="99"/>
    <w:semiHidden/>
    <w:unhideWhenUsed/>
    <w:rsid w:val="000C42A2"/>
    <w:rPr>
      <w:color w:val="954F72" w:themeColor="followedHyperlink"/>
      <w:u w:val="single"/>
    </w:rPr>
  </w:style>
  <w:style w:type="paragraph" w:styleId="Header">
    <w:name w:val="header"/>
    <w:basedOn w:val="Normal"/>
    <w:link w:val="HeaderChar"/>
    <w:uiPriority w:val="99"/>
    <w:unhideWhenUsed/>
    <w:rsid w:val="00A810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10DB"/>
  </w:style>
  <w:style w:type="paragraph" w:styleId="Footer">
    <w:name w:val="footer"/>
    <w:basedOn w:val="Normal"/>
    <w:link w:val="FooterChar"/>
    <w:uiPriority w:val="99"/>
    <w:unhideWhenUsed/>
    <w:rsid w:val="00A810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10DB"/>
  </w:style>
  <w:style w:type="character" w:styleId="CommentReference">
    <w:name w:val="annotation reference"/>
    <w:basedOn w:val="DefaultParagraphFont"/>
    <w:uiPriority w:val="99"/>
    <w:semiHidden/>
    <w:unhideWhenUsed/>
    <w:rsid w:val="006E7DAF"/>
    <w:rPr>
      <w:sz w:val="16"/>
      <w:szCs w:val="16"/>
    </w:rPr>
  </w:style>
  <w:style w:type="paragraph" w:styleId="CommentText">
    <w:name w:val="annotation text"/>
    <w:basedOn w:val="Normal"/>
    <w:link w:val="CommentTextChar"/>
    <w:uiPriority w:val="99"/>
    <w:semiHidden/>
    <w:unhideWhenUsed/>
    <w:rsid w:val="006E7DAF"/>
    <w:pPr>
      <w:spacing w:line="240" w:lineRule="auto"/>
    </w:pPr>
    <w:rPr>
      <w:sz w:val="20"/>
      <w:szCs w:val="20"/>
    </w:rPr>
  </w:style>
  <w:style w:type="character" w:customStyle="1" w:styleId="CommentTextChar">
    <w:name w:val="Comment Text Char"/>
    <w:basedOn w:val="DefaultParagraphFont"/>
    <w:link w:val="CommentText"/>
    <w:uiPriority w:val="99"/>
    <w:semiHidden/>
    <w:rsid w:val="006E7DAF"/>
    <w:rPr>
      <w:sz w:val="20"/>
      <w:szCs w:val="20"/>
    </w:rPr>
  </w:style>
  <w:style w:type="paragraph" w:styleId="CommentSubject">
    <w:name w:val="annotation subject"/>
    <w:basedOn w:val="CommentText"/>
    <w:next w:val="CommentText"/>
    <w:link w:val="CommentSubjectChar"/>
    <w:uiPriority w:val="99"/>
    <w:semiHidden/>
    <w:unhideWhenUsed/>
    <w:rsid w:val="006E7DAF"/>
    <w:rPr>
      <w:b/>
      <w:bCs/>
    </w:rPr>
  </w:style>
  <w:style w:type="character" w:customStyle="1" w:styleId="CommentSubjectChar">
    <w:name w:val="Comment Subject Char"/>
    <w:basedOn w:val="CommentTextChar"/>
    <w:link w:val="CommentSubject"/>
    <w:uiPriority w:val="99"/>
    <w:semiHidden/>
    <w:rsid w:val="006E7DAF"/>
    <w:rPr>
      <w:b/>
      <w:bCs/>
      <w:sz w:val="20"/>
      <w:szCs w:val="20"/>
    </w:rPr>
  </w:style>
  <w:style w:type="paragraph" w:styleId="BalloonText">
    <w:name w:val="Balloon Text"/>
    <w:basedOn w:val="Normal"/>
    <w:link w:val="BalloonTextChar"/>
    <w:uiPriority w:val="99"/>
    <w:semiHidden/>
    <w:unhideWhenUsed/>
    <w:rsid w:val="006E7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614">
      <w:bodyDiv w:val="1"/>
      <w:marLeft w:val="0"/>
      <w:marRight w:val="0"/>
      <w:marTop w:val="0"/>
      <w:marBottom w:val="0"/>
      <w:divBdr>
        <w:top w:val="none" w:sz="0" w:space="0" w:color="auto"/>
        <w:left w:val="none" w:sz="0" w:space="0" w:color="auto"/>
        <w:bottom w:val="none" w:sz="0" w:space="0" w:color="auto"/>
        <w:right w:val="none" w:sz="0" w:space="0" w:color="auto"/>
      </w:divBdr>
    </w:div>
    <w:div w:id="771557713">
      <w:bodyDiv w:val="1"/>
      <w:marLeft w:val="0"/>
      <w:marRight w:val="0"/>
      <w:marTop w:val="0"/>
      <w:marBottom w:val="0"/>
      <w:divBdr>
        <w:top w:val="none" w:sz="0" w:space="0" w:color="auto"/>
        <w:left w:val="none" w:sz="0" w:space="0" w:color="auto"/>
        <w:bottom w:val="none" w:sz="0" w:space="0" w:color="auto"/>
        <w:right w:val="none" w:sz="0" w:space="0" w:color="auto"/>
      </w:divBdr>
    </w:div>
    <w:div w:id="985936912">
      <w:bodyDiv w:val="1"/>
      <w:marLeft w:val="0"/>
      <w:marRight w:val="0"/>
      <w:marTop w:val="0"/>
      <w:marBottom w:val="0"/>
      <w:divBdr>
        <w:top w:val="none" w:sz="0" w:space="0" w:color="auto"/>
        <w:left w:val="none" w:sz="0" w:space="0" w:color="auto"/>
        <w:bottom w:val="none" w:sz="0" w:space="0" w:color="auto"/>
        <w:right w:val="none" w:sz="0" w:space="0" w:color="auto"/>
      </w:divBdr>
    </w:div>
    <w:div w:id="1096711529">
      <w:bodyDiv w:val="1"/>
      <w:marLeft w:val="0"/>
      <w:marRight w:val="0"/>
      <w:marTop w:val="0"/>
      <w:marBottom w:val="0"/>
      <w:divBdr>
        <w:top w:val="none" w:sz="0" w:space="0" w:color="auto"/>
        <w:left w:val="none" w:sz="0" w:space="0" w:color="auto"/>
        <w:bottom w:val="none" w:sz="0" w:space="0" w:color="auto"/>
        <w:right w:val="none" w:sz="0" w:space="0" w:color="auto"/>
      </w:divBdr>
    </w:div>
    <w:div w:id="1136025765">
      <w:bodyDiv w:val="1"/>
      <w:marLeft w:val="0"/>
      <w:marRight w:val="0"/>
      <w:marTop w:val="0"/>
      <w:marBottom w:val="0"/>
      <w:divBdr>
        <w:top w:val="none" w:sz="0" w:space="0" w:color="auto"/>
        <w:left w:val="none" w:sz="0" w:space="0" w:color="auto"/>
        <w:bottom w:val="none" w:sz="0" w:space="0" w:color="auto"/>
        <w:right w:val="none" w:sz="0" w:space="0" w:color="auto"/>
      </w:divBdr>
    </w:div>
    <w:div w:id="1144809855">
      <w:bodyDiv w:val="1"/>
      <w:marLeft w:val="0"/>
      <w:marRight w:val="0"/>
      <w:marTop w:val="0"/>
      <w:marBottom w:val="0"/>
      <w:divBdr>
        <w:top w:val="none" w:sz="0" w:space="0" w:color="auto"/>
        <w:left w:val="none" w:sz="0" w:space="0" w:color="auto"/>
        <w:bottom w:val="none" w:sz="0" w:space="0" w:color="auto"/>
        <w:right w:val="none" w:sz="0" w:space="0" w:color="auto"/>
      </w:divBdr>
    </w:div>
    <w:div w:id="1151098382">
      <w:bodyDiv w:val="1"/>
      <w:marLeft w:val="0"/>
      <w:marRight w:val="0"/>
      <w:marTop w:val="0"/>
      <w:marBottom w:val="0"/>
      <w:divBdr>
        <w:top w:val="none" w:sz="0" w:space="0" w:color="auto"/>
        <w:left w:val="none" w:sz="0" w:space="0" w:color="auto"/>
        <w:bottom w:val="none" w:sz="0" w:space="0" w:color="auto"/>
        <w:right w:val="none" w:sz="0" w:space="0" w:color="auto"/>
      </w:divBdr>
    </w:div>
    <w:div w:id="1312364928">
      <w:bodyDiv w:val="1"/>
      <w:marLeft w:val="0"/>
      <w:marRight w:val="0"/>
      <w:marTop w:val="0"/>
      <w:marBottom w:val="0"/>
      <w:divBdr>
        <w:top w:val="none" w:sz="0" w:space="0" w:color="auto"/>
        <w:left w:val="none" w:sz="0" w:space="0" w:color="auto"/>
        <w:bottom w:val="none" w:sz="0" w:space="0" w:color="auto"/>
        <w:right w:val="none" w:sz="0" w:space="0" w:color="auto"/>
      </w:divBdr>
    </w:div>
    <w:div w:id="1596089842">
      <w:bodyDiv w:val="1"/>
      <w:marLeft w:val="0"/>
      <w:marRight w:val="0"/>
      <w:marTop w:val="0"/>
      <w:marBottom w:val="0"/>
      <w:divBdr>
        <w:top w:val="none" w:sz="0" w:space="0" w:color="auto"/>
        <w:left w:val="none" w:sz="0" w:space="0" w:color="auto"/>
        <w:bottom w:val="none" w:sz="0" w:space="0" w:color="auto"/>
        <w:right w:val="none" w:sz="0" w:space="0" w:color="auto"/>
      </w:divBdr>
    </w:div>
    <w:div w:id="16643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doc.echr.coe.int/eng?i=001-1618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15175</Words>
  <Characters>8650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Sulmane</dc:creator>
  <cp:keywords/>
  <dc:description/>
  <cp:lastModifiedBy>Dace Sulmane</cp:lastModifiedBy>
  <cp:revision>2</cp:revision>
  <cp:lastPrinted>2016-04-25T07:08:00Z</cp:lastPrinted>
  <dcterms:created xsi:type="dcterms:W3CDTF">2016-04-25T13:33:00Z</dcterms:created>
  <dcterms:modified xsi:type="dcterms:W3CDTF">2016-04-25T13:33:00Z</dcterms:modified>
</cp:coreProperties>
</file>