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8C9" w:rsidRDefault="003E64C6" w:rsidP="00583503">
      <w:pPr>
        <w:jc w:val="center"/>
        <w:rPr>
          <w:lang w:val="lv-LV"/>
        </w:rPr>
      </w:pPr>
      <w:r>
        <w:rPr>
          <w:noProof/>
          <w:snapToGrid/>
          <w:sz w:val="20"/>
          <w:szCs w:val="20"/>
          <w:lang w:val="lv-LV"/>
        </w:rPr>
        <w:drawing>
          <wp:inline distT="0" distB="0" distL="0" distR="0">
            <wp:extent cx="3476625" cy="1775460"/>
            <wp:effectExtent l="19050" t="0" r="9525" b="0"/>
            <wp:docPr id="1" name="Picture 1" descr="Transp50DocHeaderBig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p50DocHeaderBigBlack"/>
                    <pic:cNvPicPr>
                      <a:picLocks noChangeAspect="1" noChangeArrowheads="1"/>
                    </pic:cNvPicPr>
                  </pic:nvPicPr>
                  <pic:blipFill>
                    <a:blip r:embed="rId8" cstate="print"/>
                    <a:srcRect/>
                    <a:stretch>
                      <a:fillRect/>
                    </a:stretch>
                  </pic:blipFill>
                  <pic:spPr bwMode="auto">
                    <a:xfrm>
                      <a:off x="0" y="0"/>
                      <a:ext cx="3476625" cy="1775460"/>
                    </a:xfrm>
                    <a:prstGeom prst="rect">
                      <a:avLst/>
                    </a:prstGeom>
                    <a:noFill/>
                    <a:ln w="9525">
                      <a:noFill/>
                      <a:miter lim="800000"/>
                      <a:headEnd/>
                      <a:tailEnd/>
                    </a:ln>
                  </pic:spPr>
                </pic:pic>
              </a:graphicData>
            </a:graphic>
          </wp:inline>
        </w:drawing>
      </w:r>
    </w:p>
    <w:p w:rsidR="00AC4BBB" w:rsidRDefault="00AC4BBB" w:rsidP="00583503">
      <w:pPr>
        <w:jc w:val="center"/>
        <w:rPr>
          <w:noProof/>
          <w:sz w:val="28"/>
          <w:szCs w:val="28"/>
          <w:lang w:val="lv-LV"/>
        </w:rPr>
      </w:pPr>
      <w:r w:rsidRPr="00844D27">
        <w:rPr>
          <w:noProof/>
          <w:sz w:val="28"/>
          <w:szCs w:val="28"/>
          <w:lang w:val="lv-LV"/>
        </w:rPr>
        <w:t>EIROPAS CILVĒKTIESĪBU TIESA</w:t>
      </w:r>
    </w:p>
    <w:p w:rsidR="00AC4BBB" w:rsidRDefault="00AC4BBB" w:rsidP="00583503">
      <w:pPr>
        <w:jc w:val="center"/>
        <w:rPr>
          <w:lang w:val="lv-LV"/>
        </w:rPr>
      </w:pPr>
    </w:p>
    <w:p w:rsidR="00AC4BBB" w:rsidRDefault="00AC4BBB" w:rsidP="00583503">
      <w:pPr>
        <w:jc w:val="center"/>
        <w:rPr>
          <w:lang w:val="lv-LV"/>
        </w:rPr>
      </w:pPr>
    </w:p>
    <w:p w:rsidR="00AC4BBB" w:rsidRPr="004D6021" w:rsidRDefault="00AC4BBB" w:rsidP="00583503">
      <w:pPr>
        <w:jc w:val="center"/>
        <w:rPr>
          <w:lang w:val="lv-LV"/>
        </w:rPr>
      </w:pPr>
    </w:p>
    <w:p w:rsidR="006078C9" w:rsidRPr="004D6021" w:rsidRDefault="006078C9" w:rsidP="00583503">
      <w:pPr>
        <w:jc w:val="center"/>
        <w:rPr>
          <w:lang w:val="lv-LV"/>
        </w:rPr>
      </w:pPr>
    </w:p>
    <w:p w:rsidR="006078C9" w:rsidRPr="004D6021" w:rsidRDefault="00F91CA8" w:rsidP="00583503">
      <w:pPr>
        <w:jc w:val="center"/>
        <w:rPr>
          <w:lang w:val="lv-LV"/>
        </w:rPr>
      </w:pPr>
      <w:r w:rsidRPr="004D6021">
        <w:rPr>
          <w:lang w:val="lv-LV"/>
        </w:rPr>
        <w:t>TREŠĀ NODAĻA</w:t>
      </w:r>
    </w:p>
    <w:p w:rsidR="006078C9" w:rsidRDefault="006078C9" w:rsidP="00583503">
      <w:pPr>
        <w:jc w:val="center"/>
        <w:rPr>
          <w:lang w:val="lv-LV"/>
        </w:rPr>
      </w:pPr>
    </w:p>
    <w:p w:rsidR="00AC4BBB" w:rsidRDefault="00AC4BBB" w:rsidP="00583503">
      <w:pPr>
        <w:jc w:val="center"/>
        <w:rPr>
          <w:lang w:val="lv-LV"/>
        </w:rPr>
      </w:pPr>
    </w:p>
    <w:p w:rsidR="00AC4BBB" w:rsidRDefault="00AC4BBB" w:rsidP="00583503">
      <w:pPr>
        <w:jc w:val="center"/>
        <w:rPr>
          <w:lang w:val="lv-LV"/>
        </w:rPr>
      </w:pPr>
    </w:p>
    <w:p w:rsidR="00AC4BBB" w:rsidRDefault="00AC4BBB" w:rsidP="00583503">
      <w:pPr>
        <w:jc w:val="center"/>
        <w:rPr>
          <w:lang w:val="lv-LV"/>
        </w:rPr>
      </w:pPr>
    </w:p>
    <w:p w:rsidR="00AC4BBB" w:rsidRDefault="00AC4BBB" w:rsidP="00583503">
      <w:pPr>
        <w:jc w:val="center"/>
        <w:rPr>
          <w:lang w:val="lv-LV"/>
        </w:rPr>
      </w:pPr>
    </w:p>
    <w:p w:rsidR="00AC4BBB" w:rsidRPr="004D6021" w:rsidRDefault="00AC4BBB" w:rsidP="00583503">
      <w:pPr>
        <w:jc w:val="center"/>
        <w:rPr>
          <w:lang w:val="lv-LV"/>
        </w:rPr>
      </w:pPr>
    </w:p>
    <w:p w:rsidR="00B44689" w:rsidRPr="004D6021" w:rsidRDefault="00B44689" w:rsidP="00B44689">
      <w:pPr>
        <w:jc w:val="center"/>
        <w:rPr>
          <w:b/>
          <w:lang w:val="lv-LV"/>
        </w:rPr>
      </w:pPr>
      <w:r w:rsidRPr="004D6021">
        <w:rPr>
          <w:b/>
          <w:lang w:val="lv-LV"/>
        </w:rPr>
        <w:t xml:space="preserve">LIETA </w:t>
      </w:r>
      <w:r w:rsidR="009971D3" w:rsidRPr="004D6021">
        <w:rPr>
          <w:b/>
          <w:lang w:val="lv-LV"/>
        </w:rPr>
        <w:t>“</w:t>
      </w:r>
      <w:r w:rsidRPr="004D6021">
        <w:rPr>
          <w:b/>
          <w:lang w:val="lv-LV"/>
        </w:rPr>
        <w:t>MARČEL</w:t>
      </w:r>
      <w:r w:rsidR="00D42804">
        <w:rPr>
          <w:b/>
          <w:lang w:val="lv-LV"/>
        </w:rPr>
        <w:t>L</w:t>
      </w:r>
      <w:r w:rsidRPr="004D6021">
        <w:rPr>
          <w:b/>
          <w:lang w:val="lv-LV"/>
        </w:rPr>
        <w:t>O VIOLA [</w:t>
      </w:r>
      <w:r w:rsidRPr="004D6021">
        <w:rPr>
          <w:b/>
          <w:i/>
          <w:lang w:val="lv-LV"/>
        </w:rPr>
        <w:t>MARCELLO VIOLA</w:t>
      </w:r>
      <w:r w:rsidRPr="004D6021">
        <w:rPr>
          <w:b/>
          <w:lang w:val="lv-LV"/>
        </w:rPr>
        <w:t>] pret ITĀLIJU”</w:t>
      </w:r>
    </w:p>
    <w:p w:rsidR="006078C9" w:rsidRPr="004D6021" w:rsidRDefault="006078C9" w:rsidP="00583503">
      <w:pPr>
        <w:jc w:val="center"/>
        <w:rPr>
          <w:b/>
          <w:bCs/>
          <w:lang w:val="lv-LV"/>
        </w:rPr>
      </w:pPr>
    </w:p>
    <w:p w:rsidR="006078C9" w:rsidRPr="004D6021" w:rsidRDefault="00F91CA8" w:rsidP="00583503">
      <w:pPr>
        <w:jc w:val="center"/>
        <w:rPr>
          <w:i/>
          <w:iCs/>
          <w:lang w:val="lv-LV"/>
        </w:rPr>
      </w:pPr>
      <w:r w:rsidRPr="004D6021">
        <w:rPr>
          <w:i/>
          <w:iCs/>
          <w:lang w:val="lv-LV"/>
        </w:rPr>
        <w:t>(Pieteikums Nr. 45106/</w:t>
      </w:r>
      <w:r w:rsidR="00B44689" w:rsidRPr="004D6021">
        <w:rPr>
          <w:i/>
          <w:iCs/>
          <w:lang w:val="lv-LV"/>
        </w:rPr>
        <w:t>04</w:t>
      </w:r>
      <w:r w:rsidRPr="004D6021">
        <w:rPr>
          <w:i/>
          <w:iCs/>
          <w:lang w:val="lv-LV"/>
        </w:rPr>
        <w:t>)</w:t>
      </w:r>
    </w:p>
    <w:p w:rsidR="006078C9" w:rsidRDefault="006078C9" w:rsidP="00583503">
      <w:pPr>
        <w:jc w:val="center"/>
        <w:rPr>
          <w:i/>
          <w:iCs/>
          <w:lang w:val="lv-LV"/>
        </w:rPr>
      </w:pPr>
    </w:p>
    <w:p w:rsidR="00AC4BBB" w:rsidRDefault="00AC4BBB" w:rsidP="00583503">
      <w:pPr>
        <w:jc w:val="center"/>
        <w:rPr>
          <w:i/>
          <w:iCs/>
          <w:lang w:val="lv-LV"/>
        </w:rPr>
      </w:pPr>
    </w:p>
    <w:p w:rsidR="00AC4BBB" w:rsidRDefault="00AC4BBB" w:rsidP="00583503">
      <w:pPr>
        <w:jc w:val="center"/>
        <w:rPr>
          <w:i/>
          <w:iCs/>
          <w:lang w:val="lv-LV"/>
        </w:rPr>
      </w:pPr>
    </w:p>
    <w:p w:rsidR="00AC4BBB" w:rsidRDefault="00AC4BBB" w:rsidP="00583503">
      <w:pPr>
        <w:jc w:val="center"/>
        <w:rPr>
          <w:i/>
          <w:iCs/>
          <w:lang w:val="lv-LV"/>
        </w:rPr>
      </w:pPr>
    </w:p>
    <w:p w:rsidR="00AC4BBB" w:rsidRDefault="00AC4BBB" w:rsidP="00583503">
      <w:pPr>
        <w:jc w:val="center"/>
        <w:rPr>
          <w:i/>
          <w:iCs/>
          <w:lang w:val="lv-LV"/>
        </w:rPr>
      </w:pPr>
      <w:bookmarkStart w:id="0" w:name="_GoBack"/>
      <w:bookmarkEnd w:id="0"/>
    </w:p>
    <w:p w:rsidR="00AC4BBB" w:rsidRDefault="00AC4BBB" w:rsidP="00583503">
      <w:pPr>
        <w:jc w:val="center"/>
        <w:rPr>
          <w:i/>
          <w:iCs/>
          <w:lang w:val="lv-LV"/>
        </w:rPr>
      </w:pPr>
    </w:p>
    <w:p w:rsidR="00AC4BBB" w:rsidRDefault="00AC4BBB" w:rsidP="00583503">
      <w:pPr>
        <w:jc w:val="center"/>
        <w:rPr>
          <w:i/>
          <w:iCs/>
          <w:lang w:val="lv-LV"/>
        </w:rPr>
      </w:pPr>
    </w:p>
    <w:p w:rsidR="00AC4BBB" w:rsidRPr="004D6021" w:rsidRDefault="00AC4BBB" w:rsidP="00583503">
      <w:pPr>
        <w:jc w:val="center"/>
        <w:rPr>
          <w:i/>
          <w:iCs/>
          <w:lang w:val="lv-LV"/>
        </w:rPr>
      </w:pPr>
    </w:p>
    <w:p w:rsidR="006078C9" w:rsidRPr="004D6021" w:rsidRDefault="00F91CA8" w:rsidP="00583503">
      <w:pPr>
        <w:jc w:val="center"/>
        <w:rPr>
          <w:lang w:val="lv-LV"/>
        </w:rPr>
      </w:pPr>
      <w:r w:rsidRPr="004D6021">
        <w:rPr>
          <w:lang w:val="lv-LV"/>
        </w:rPr>
        <w:t>SPRIEDUMS</w:t>
      </w:r>
    </w:p>
    <w:p w:rsidR="006078C9" w:rsidRDefault="006078C9" w:rsidP="00583503">
      <w:pPr>
        <w:jc w:val="center"/>
        <w:rPr>
          <w:lang w:val="lv-LV"/>
        </w:rPr>
      </w:pPr>
    </w:p>
    <w:p w:rsidR="00AC4BBB" w:rsidRDefault="00AC4BBB" w:rsidP="00583503">
      <w:pPr>
        <w:jc w:val="center"/>
        <w:rPr>
          <w:lang w:val="lv-LV"/>
        </w:rPr>
      </w:pPr>
    </w:p>
    <w:p w:rsidR="00AC4BBB" w:rsidRPr="004D6021" w:rsidRDefault="00AC4BBB" w:rsidP="00583503">
      <w:pPr>
        <w:jc w:val="center"/>
        <w:rPr>
          <w:lang w:val="lv-LV"/>
        </w:rPr>
      </w:pPr>
    </w:p>
    <w:p w:rsidR="006078C9" w:rsidRPr="004D6021" w:rsidRDefault="00F91CA8" w:rsidP="00583503">
      <w:pPr>
        <w:jc w:val="center"/>
        <w:rPr>
          <w:lang w:val="lv-LV"/>
        </w:rPr>
      </w:pPr>
      <w:r w:rsidRPr="004D6021">
        <w:rPr>
          <w:lang w:val="lv-LV"/>
        </w:rPr>
        <w:t>STRASBŪRA</w:t>
      </w:r>
    </w:p>
    <w:p w:rsidR="006078C9" w:rsidRPr="004D6021" w:rsidRDefault="006078C9" w:rsidP="00583503">
      <w:pPr>
        <w:jc w:val="center"/>
        <w:rPr>
          <w:lang w:val="lv-LV"/>
        </w:rPr>
      </w:pPr>
    </w:p>
    <w:p w:rsidR="006078C9" w:rsidRPr="004D6021" w:rsidRDefault="00F91CA8" w:rsidP="00583503">
      <w:pPr>
        <w:jc w:val="center"/>
        <w:rPr>
          <w:lang w:val="lv-LV"/>
        </w:rPr>
      </w:pPr>
      <w:r w:rsidRPr="004D6021">
        <w:rPr>
          <w:lang w:val="lv-LV"/>
        </w:rPr>
        <w:t>200</w:t>
      </w:r>
      <w:r w:rsidR="00B44689" w:rsidRPr="004D6021">
        <w:rPr>
          <w:lang w:val="lv-LV"/>
        </w:rPr>
        <w:t>6</w:t>
      </w:r>
      <w:r w:rsidRPr="004D6021">
        <w:rPr>
          <w:lang w:val="lv-LV"/>
        </w:rPr>
        <w:t xml:space="preserve">. gada </w:t>
      </w:r>
      <w:r w:rsidR="00B44689" w:rsidRPr="004D6021">
        <w:rPr>
          <w:lang w:val="lv-LV"/>
        </w:rPr>
        <w:t>5</w:t>
      </w:r>
      <w:r w:rsidRPr="004D6021">
        <w:rPr>
          <w:lang w:val="lv-LV"/>
        </w:rPr>
        <w:t>. oktobrī</w:t>
      </w:r>
    </w:p>
    <w:p w:rsidR="006078C9" w:rsidRDefault="006078C9" w:rsidP="00583503">
      <w:pPr>
        <w:jc w:val="center"/>
        <w:rPr>
          <w:lang w:val="lv-LV"/>
        </w:rPr>
      </w:pPr>
    </w:p>
    <w:p w:rsidR="00AC4BBB" w:rsidRPr="004D6021" w:rsidRDefault="00AC4BBB" w:rsidP="00583503">
      <w:pPr>
        <w:jc w:val="center"/>
        <w:rPr>
          <w:lang w:val="lv-LV"/>
        </w:rPr>
      </w:pPr>
    </w:p>
    <w:p w:rsidR="006078C9" w:rsidRPr="00AC4BBB" w:rsidRDefault="00B44689" w:rsidP="00583503">
      <w:pPr>
        <w:jc w:val="center"/>
        <w:rPr>
          <w:b/>
          <w:bCs/>
          <w:color w:val="FF0000"/>
          <w:u w:val="single"/>
          <w:lang w:val="lv-LV"/>
        </w:rPr>
      </w:pPr>
      <w:r w:rsidRPr="00AC4BBB">
        <w:rPr>
          <w:snapToGrid/>
          <w:color w:val="FF0000"/>
          <w:lang w:val="lv-LV"/>
        </w:rPr>
        <w:t>GALĪGĀ REDAKCIJA</w:t>
      </w:r>
    </w:p>
    <w:p w:rsidR="006078C9" w:rsidRPr="004D6021" w:rsidRDefault="006078C9" w:rsidP="00583503">
      <w:pPr>
        <w:jc w:val="center"/>
        <w:rPr>
          <w:b/>
          <w:bCs/>
          <w:color w:val="FF0000"/>
          <w:u w:val="single"/>
          <w:lang w:val="lv-LV"/>
        </w:rPr>
      </w:pPr>
    </w:p>
    <w:p w:rsidR="006078C9" w:rsidRPr="004D6021" w:rsidRDefault="00F91CA8" w:rsidP="00583503">
      <w:pPr>
        <w:jc w:val="center"/>
        <w:rPr>
          <w:i/>
          <w:iCs/>
          <w:color w:val="FF0000"/>
          <w:lang w:val="lv-LV"/>
        </w:rPr>
      </w:pPr>
      <w:r w:rsidRPr="004D6021">
        <w:rPr>
          <w:i/>
          <w:iCs/>
          <w:color w:val="FF0000"/>
          <w:lang w:val="lv-LV"/>
        </w:rPr>
        <w:t>05</w:t>
      </w:r>
      <w:r w:rsidR="000B5FDD" w:rsidRPr="004D6021">
        <w:rPr>
          <w:i/>
          <w:iCs/>
          <w:color w:val="FF0000"/>
          <w:lang w:val="lv-LV"/>
        </w:rPr>
        <w:t>.</w:t>
      </w:r>
      <w:r w:rsidRPr="004D6021">
        <w:rPr>
          <w:i/>
          <w:iCs/>
          <w:color w:val="FF0000"/>
          <w:lang w:val="lv-LV"/>
        </w:rPr>
        <w:t>01</w:t>
      </w:r>
      <w:r w:rsidR="000B5FDD" w:rsidRPr="004D6021">
        <w:rPr>
          <w:i/>
          <w:iCs/>
          <w:color w:val="FF0000"/>
          <w:lang w:val="lv-LV"/>
        </w:rPr>
        <w:t>.</w:t>
      </w:r>
      <w:r w:rsidRPr="004D6021">
        <w:rPr>
          <w:i/>
          <w:iCs/>
          <w:color w:val="FF0000"/>
          <w:lang w:val="lv-LV"/>
        </w:rPr>
        <w:t>2007</w:t>
      </w:r>
      <w:r w:rsidR="000B5FDD" w:rsidRPr="004D6021">
        <w:rPr>
          <w:i/>
          <w:iCs/>
          <w:color w:val="FF0000"/>
          <w:lang w:val="lv-LV"/>
        </w:rPr>
        <w:t>.</w:t>
      </w:r>
    </w:p>
    <w:p w:rsidR="006078C9" w:rsidRPr="004D6021" w:rsidRDefault="006078C9" w:rsidP="00583503">
      <w:pPr>
        <w:jc w:val="center"/>
        <w:rPr>
          <w:i/>
          <w:iCs/>
          <w:color w:val="FF0000"/>
          <w:lang w:val="lv-LV"/>
        </w:rPr>
      </w:pPr>
    </w:p>
    <w:p w:rsidR="006078C9" w:rsidRPr="004D6021" w:rsidRDefault="006078C9" w:rsidP="00583503">
      <w:pPr>
        <w:pStyle w:val="JuCase"/>
        <w:ind w:firstLine="0"/>
        <w:rPr>
          <w:lang w:val="lv-LV"/>
        </w:rPr>
      </w:pPr>
      <w:r w:rsidRPr="004D6021">
        <w:rPr>
          <w:lang w:val="lv-LV"/>
        </w:rPr>
        <w:br w:type="page"/>
      </w:r>
      <w:r w:rsidR="00F91CA8" w:rsidRPr="004D6021">
        <w:rPr>
          <w:lang w:val="lv-LV"/>
        </w:rPr>
        <w:lastRenderedPageBreak/>
        <w:t xml:space="preserve">Lietā </w:t>
      </w:r>
      <w:r w:rsidR="009971D3" w:rsidRPr="004D6021">
        <w:rPr>
          <w:lang w:val="lv-LV"/>
        </w:rPr>
        <w:t>“</w:t>
      </w:r>
      <w:r w:rsidR="00EB7CD5" w:rsidRPr="004D6021">
        <w:rPr>
          <w:lang w:val="lv-LV"/>
        </w:rPr>
        <w:t>Marčel</w:t>
      </w:r>
      <w:r w:rsidR="00D42804">
        <w:rPr>
          <w:lang w:val="lv-LV"/>
        </w:rPr>
        <w:t>l</w:t>
      </w:r>
      <w:r w:rsidR="00B44689" w:rsidRPr="004D6021">
        <w:rPr>
          <w:lang w:val="lv-LV"/>
        </w:rPr>
        <w:t xml:space="preserve">o Viola </w:t>
      </w:r>
      <w:r w:rsidR="00F91CA8" w:rsidRPr="004D6021">
        <w:rPr>
          <w:lang w:val="lv-LV"/>
        </w:rPr>
        <w:t>pret Itāliju</w:t>
      </w:r>
      <w:r w:rsidR="00B44689" w:rsidRPr="004D6021">
        <w:rPr>
          <w:lang w:val="lv-LV"/>
        </w:rPr>
        <w:t>”</w:t>
      </w:r>
    </w:p>
    <w:p w:rsidR="006078C9" w:rsidRPr="004D6021" w:rsidRDefault="006078C9" w:rsidP="00583503">
      <w:pPr>
        <w:pStyle w:val="JuCase"/>
        <w:ind w:firstLine="0"/>
        <w:rPr>
          <w:lang w:val="lv-LV"/>
        </w:rPr>
      </w:pPr>
    </w:p>
    <w:p w:rsidR="006078C9" w:rsidRPr="004D6021" w:rsidRDefault="00F91CA8" w:rsidP="00583503">
      <w:pPr>
        <w:pStyle w:val="JuPara"/>
        <w:ind w:firstLine="0"/>
        <w:rPr>
          <w:lang w:val="lv-LV"/>
        </w:rPr>
      </w:pPr>
      <w:r w:rsidRPr="004D6021">
        <w:rPr>
          <w:lang w:val="lv-LV"/>
        </w:rPr>
        <w:t>Eiropas Cilvēktiesību tiesa (Trešā nodaļa), sanākusi kā palāta šādā sastāvā:</w:t>
      </w:r>
    </w:p>
    <w:p w:rsidR="006078C9" w:rsidRPr="004D6021" w:rsidRDefault="006078C9" w:rsidP="00583503">
      <w:pPr>
        <w:pStyle w:val="JuPara"/>
        <w:ind w:firstLine="0"/>
        <w:rPr>
          <w:lang w:val="lv-LV"/>
        </w:rPr>
      </w:pPr>
    </w:p>
    <w:p w:rsidR="006078C9" w:rsidRPr="004D6021" w:rsidRDefault="007A4D4A" w:rsidP="00583503">
      <w:pPr>
        <w:rPr>
          <w:rStyle w:val="JuJudgesChar"/>
          <w:i/>
          <w:iCs/>
          <w:lang w:val="lv-LV"/>
        </w:rPr>
      </w:pPr>
      <w:r w:rsidRPr="004D6021">
        <w:rPr>
          <w:lang w:val="lv-LV"/>
        </w:rPr>
        <w:t>B</w:t>
      </w:r>
      <w:r w:rsidR="00EB7CD5" w:rsidRPr="004D6021">
        <w:rPr>
          <w:rStyle w:val="Emphasis"/>
          <w:i w:val="0"/>
          <w:lang w:val="lv-LV"/>
        </w:rPr>
        <w:t>oštjans M</w:t>
      </w:r>
      <w:r w:rsidR="00EB7CD5" w:rsidRPr="004D6021">
        <w:rPr>
          <w:rStyle w:val="st"/>
          <w:i/>
          <w:lang w:val="lv-LV"/>
        </w:rPr>
        <w:t xml:space="preserve">. </w:t>
      </w:r>
      <w:r w:rsidR="00EB7CD5" w:rsidRPr="004D6021">
        <w:rPr>
          <w:rStyle w:val="Emphasis"/>
          <w:i w:val="0"/>
          <w:lang w:val="lv-LV"/>
        </w:rPr>
        <w:t>Zupančičs</w:t>
      </w:r>
      <w:r w:rsidR="00EB7CD5" w:rsidRPr="004D6021">
        <w:rPr>
          <w:rStyle w:val="st"/>
          <w:lang w:val="lv-LV"/>
        </w:rPr>
        <w:t xml:space="preserve"> </w:t>
      </w:r>
      <w:r w:rsidR="00F91CA8" w:rsidRPr="004D6021">
        <w:rPr>
          <w:rStyle w:val="JuJudgesChar"/>
          <w:lang w:val="lv-LV"/>
        </w:rPr>
        <w:t>[</w:t>
      </w:r>
      <w:r w:rsidR="00F91CA8" w:rsidRPr="004D6021">
        <w:rPr>
          <w:rStyle w:val="JuJudgesChar"/>
          <w:i/>
          <w:iCs/>
          <w:lang w:val="lv-LV"/>
        </w:rPr>
        <w:t>Boštjan M. Zupančič</w:t>
      </w:r>
      <w:r w:rsidR="00F91CA8" w:rsidRPr="004D6021">
        <w:rPr>
          <w:rStyle w:val="JuJudgesChar"/>
          <w:lang w:val="lv-LV"/>
        </w:rPr>
        <w:t>],</w:t>
      </w:r>
      <w:r w:rsidR="00D42804">
        <w:rPr>
          <w:rStyle w:val="JuJudgesChar"/>
          <w:lang w:val="lv-LV"/>
        </w:rPr>
        <w:t xml:space="preserve"> </w:t>
      </w:r>
      <w:r w:rsidR="003C5DC9" w:rsidRPr="00D42804">
        <w:rPr>
          <w:rStyle w:val="JuJudgesChar"/>
          <w:i/>
          <w:lang w:val="lv-LV"/>
        </w:rPr>
        <w:t>priekšsēdētājs</w:t>
      </w:r>
      <w:r w:rsidR="003C5DC9">
        <w:rPr>
          <w:rStyle w:val="JuJudgesChar"/>
          <w:lang w:val="lv-LV"/>
        </w:rPr>
        <w:t>,</w:t>
      </w:r>
    </w:p>
    <w:p w:rsidR="00A30E6E" w:rsidRPr="004D6021" w:rsidRDefault="007A4D4A" w:rsidP="00A30E6E">
      <w:pPr>
        <w:rPr>
          <w:rStyle w:val="JuJudgesChar"/>
          <w:i/>
          <w:lang w:val="lv-LV"/>
        </w:rPr>
      </w:pPr>
      <w:r w:rsidRPr="004D6021">
        <w:rPr>
          <w:lang w:val="lv-LV"/>
        </w:rPr>
        <w:t>D</w:t>
      </w:r>
      <w:r w:rsidR="00A30E6E" w:rsidRPr="004D6021">
        <w:rPr>
          <w:lang w:val="lv-LV"/>
        </w:rPr>
        <w:t>žons Hedigans [</w:t>
      </w:r>
      <w:r w:rsidR="00A30E6E" w:rsidRPr="004D6021">
        <w:rPr>
          <w:rStyle w:val="JuJudgesChar"/>
          <w:i/>
          <w:lang w:val="lv-LV"/>
        </w:rPr>
        <w:t>John Hedigan</w:t>
      </w:r>
      <w:r w:rsidR="00A30E6E" w:rsidRPr="004D6021">
        <w:rPr>
          <w:lang w:val="lv-LV"/>
        </w:rPr>
        <w:t>],</w:t>
      </w:r>
    </w:p>
    <w:p w:rsidR="00A30E6E" w:rsidRPr="004D6021" w:rsidRDefault="00A30E6E" w:rsidP="00A30E6E">
      <w:pPr>
        <w:rPr>
          <w:rStyle w:val="JuJudgesChar"/>
          <w:i/>
          <w:lang w:val="lv-LV"/>
        </w:rPr>
      </w:pPr>
      <w:r w:rsidRPr="004D6021">
        <w:rPr>
          <w:rStyle w:val="st"/>
          <w:lang w:val="lv-LV"/>
        </w:rPr>
        <w:t>Korneliuss Birsans [</w:t>
      </w:r>
      <w:r w:rsidRPr="004D6021">
        <w:rPr>
          <w:rStyle w:val="Emphasis"/>
          <w:iCs w:val="0"/>
          <w:lang w:val="lv-LV"/>
        </w:rPr>
        <w:t>Corneliu B</w:t>
      </w:r>
      <w:r w:rsidRPr="004D6021">
        <w:rPr>
          <w:rStyle w:val="st"/>
          <w:lang w:val="lv-LV"/>
        </w:rPr>
        <w:t>î</w:t>
      </w:r>
      <w:r w:rsidRPr="004D6021">
        <w:rPr>
          <w:rStyle w:val="Emphasis"/>
          <w:iCs w:val="0"/>
          <w:lang w:val="lv-LV"/>
        </w:rPr>
        <w:t>rsan</w:t>
      </w:r>
      <w:r w:rsidRPr="004D6021">
        <w:rPr>
          <w:rStyle w:val="st"/>
          <w:lang w:val="lv-LV"/>
        </w:rPr>
        <w:t>],</w:t>
      </w:r>
    </w:p>
    <w:p w:rsidR="00A30E6E" w:rsidRPr="004D6021" w:rsidRDefault="00A30E6E" w:rsidP="00A30E6E">
      <w:pPr>
        <w:rPr>
          <w:rStyle w:val="JuJudgesChar"/>
          <w:i/>
          <w:lang w:val="lv-LV"/>
        </w:rPr>
      </w:pPr>
      <w:r w:rsidRPr="004D6021">
        <w:rPr>
          <w:rStyle w:val="st"/>
          <w:lang w:val="lv-LV"/>
        </w:rPr>
        <w:t>Vladimirs Zagrebeļskis [</w:t>
      </w:r>
      <w:r w:rsidRPr="004D6021">
        <w:rPr>
          <w:rStyle w:val="JuJudgesChar"/>
          <w:i/>
          <w:lang w:val="lv-LV"/>
        </w:rPr>
        <w:t>Vladimiro Zagrebelsky</w:t>
      </w:r>
      <w:r w:rsidRPr="004D6021">
        <w:rPr>
          <w:rStyle w:val="st"/>
          <w:lang w:val="lv-LV"/>
        </w:rPr>
        <w:t>],</w:t>
      </w:r>
    </w:p>
    <w:p w:rsidR="002D288A" w:rsidRPr="004D6021" w:rsidRDefault="002D288A" w:rsidP="002D288A">
      <w:pPr>
        <w:rPr>
          <w:rStyle w:val="JuJudgesChar"/>
          <w:i/>
          <w:lang w:val="lv-LV"/>
        </w:rPr>
      </w:pPr>
      <w:r w:rsidRPr="004D6021">
        <w:rPr>
          <w:rStyle w:val="st"/>
          <w:lang w:val="lv-LV"/>
        </w:rPr>
        <w:t>Alvina Gjulumjana [</w:t>
      </w:r>
      <w:r w:rsidRPr="004D6021">
        <w:rPr>
          <w:rStyle w:val="Emphasis"/>
          <w:iCs w:val="0"/>
          <w:lang w:val="lv-LV"/>
        </w:rPr>
        <w:t>Alvina Gyulumyan</w:t>
      </w:r>
      <w:r w:rsidRPr="004D6021">
        <w:rPr>
          <w:rStyle w:val="st"/>
          <w:lang w:val="lv-LV"/>
        </w:rPr>
        <w:t>],</w:t>
      </w:r>
    </w:p>
    <w:p w:rsidR="002D288A" w:rsidRPr="004D6021" w:rsidRDefault="002D288A" w:rsidP="002D288A">
      <w:pPr>
        <w:rPr>
          <w:rStyle w:val="JuJudgesChar"/>
          <w:i/>
          <w:lang w:val="lv-LV"/>
        </w:rPr>
      </w:pPr>
      <w:r w:rsidRPr="004D6021">
        <w:rPr>
          <w:rStyle w:val="st"/>
          <w:lang w:val="lv-LV"/>
        </w:rPr>
        <w:t>Dāvids Tūrs Bjergvinsons [</w:t>
      </w:r>
      <w:r w:rsidRPr="004D6021">
        <w:rPr>
          <w:rStyle w:val="Emphasis"/>
          <w:iCs w:val="0"/>
          <w:lang w:val="lv-LV"/>
        </w:rPr>
        <w:t>David Thór Björgvinsson</w:t>
      </w:r>
      <w:r w:rsidRPr="004D6021">
        <w:rPr>
          <w:rStyle w:val="st"/>
          <w:lang w:val="lv-LV"/>
        </w:rPr>
        <w:t>],</w:t>
      </w:r>
    </w:p>
    <w:p w:rsidR="002D288A" w:rsidRPr="004D6021" w:rsidRDefault="002D288A" w:rsidP="002D288A">
      <w:pPr>
        <w:rPr>
          <w:rStyle w:val="JuJudgesChar"/>
          <w:i/>
          <w:lang w:val="lv-LV"/>
        </w:rPr>
      </w:pPr>
      <w:r w:rsidRPr="004D6021">
        <w:rPr>
          <w:rStyle w:val="JuJudgesChar"/>
          <w:lang w:val="lv-LV"/>
        </w:rPr>
        <w:t>Ineta Ziemele</w:t>
      </w:r>
      <w:r w:rsidRPr="004D6021">
        <w:rPr>
          <w:rStyle w:val="JuJudgesChar"/>
          <w:i/>
          <w:lang w:val="lv-LV"/>
        </w:rPr>
        <w:t>,</w:t>
      </w:r>
      <w:r w:rsidR="003C5DC9" w:rsidRPr="00D42804">
        <w:rPr>
          <w:rStyle w:val="JuJudgesChar"/>
          <w:i/>
          <w:lang w:val="lv-LV"/>
        </w:rPr>
        <w:t>tiesneši</w:t>
      </w:r>
      <w:r w:rsidR="003C5DC9">
        <w:rPr>
          <w:rStyle w:val="JuJudgesChar"/>
          <w:i/>
          <w:lang w:val="lv-LV"/>
        </w:rPr>
        <w:t>,</w:t>
      </w:r>
    </w:p>
    <w:p w:rsidR="002D288A" w:rsidRPr="004D6021" w:rsidRDefault="002D288A" w:rsidP="002D288A">
      <w:pPr>
        <w:rPr>
          <w:lang w:val="lv-LV"/>
        </w:rPr>
      </w:pPr>
      <w:r w:rsidRPr="004D6021">
        <w:rPr>
          <w:lang w:val="lv-LV"/>
        </w:rPr>
        <w:t xml:space="preserve">un </w:t>
      </w:r>
      <w:r w:rsidRPr="004D6021">
        <w:rPr>
          <w:rStyle w:val="st"/>
          <w:lang w:val="lv-LV"/>
        </w:rPr>
        <w:t xml:space="preserve">Fatoša </w:t>
      </w:r>
      <w:r w:rsidRPr="004D6021">
        <w:rPr>
          <w:rStyle w:val="Emphasis"/>
          <w:i w:val="0"/>
          <w:iCs w:val="0"/>
          <w:lang w:val="lv-LV"/>
        </w:rPr>
        <w:t>Arači</w:t>
      </w:r>
      <w:r w:rsidRPr="004D6021">
        <w:rPr>
          <w:rStyle w:val="st"/>
          <w:lang w:val="lv-LV"/>
        </w:rPr>
        <w:t xml:space="preserve"> [</w:t>
      </w:r>
      <w:r w:rsidRPr="004D6021">
        <w:rPr>
          <w:i/>
          <w:lang w:val="lv-LV"/>
        </w:rPr>
        <w:t xml:space="preserve">Fatoş </w:t>
      </w:r>
      <w:r w:rsidRPr="004D6021">
        <w:rPr>
          <w:rStyle w:val="JuNames"/>
          <w:rFonts w:ascii="Times New (W1) Tur" w:hAnsi="Times New (W1) Tur"/>
          <w:i/>
          <w:smallCaps w:val="0"/>
          <w:lang w:val="lv-LV"/>
        </w:rPr>
        <w:t>Aracı</w:t>
      </w:r>
      <w:r w:rsidRPr="004D6021">
        <w:rPr>
          <w:rStyle w:val="st"/>
          <w:lang w:val="lv-LV"/>
        </w:rPr>
        <w:t>],</w:t>
      </w:r>
      <w:r w:rsidR="003C5DC9">
        <w:rPr>
          <w:rStyle w:val="st"/>
          <w:lang w:val="lv-LV"/>
        </w:rPr>
        <w:t xml:space="preserve"> </w:t>
      </w:r>
      <w:r w:rsidR="003C5DC9" w:rsidRPr="00D42804">
        <w:rPr>
          <w:rStyle w:val="st"/>
          <w:i/>
          <w:lang w:val="lv-LV"/>
        </w:rPr>
        <w:t>nodaļas sekretār</w:t>
      </w:r>
      <w:r w:rsidR="00D42804" w:rsidRPr="00D42804">
        <w:rPr>
          <w:rStyle w:val="st"/>
          <w:i/>
          <w:lang w:val="lv-LV"/>
        </w:rPr>
        <w:t>a palīdze</w:t>
      </w:r>
      <w:r w:rsidR="003C5DC9">
        <w:rPr>
          <w:rStyle w:val="st"/>
          <w:lang w:val="lv-LV"/>
        </w:rPr>
        <w:t>,</w:t>
      </w:r>
    </w:p>
    <w:p w:rsidR="006078C9" w:rsidRPr="004D6021" w:rsidRDefault="006078C9" w:rsidP="00583503">
      <w:pPr>
        <w:rPr>
          <w:lang w:val="lv-LV"/>
        </w:rPr>
      </w:pPr>
    </w:p>
    <w:p w:rsidR="00AC4BBB" w:rsidRDefault="003C5DC9" w:rsidP="00583503">
      <w:pPr>
        <w:pStyle w:val="JuPara"/>
        <w:ind w:firstLine="0"/>
        <w:rPr>
          <w:lang w:val="lv-LV"/>
        </w:rPr>
      </w:pPr>
      <w:r>
        <w:rPr>
          <w:lang w:val="lv-LV"/>
        </w:rPr>
        <w:t>pēc apspriešanās</w:t>
      </w:r>
      <w:r w:rsidR="005F7B56" w:rsidRPr="004D6021">
        <w:rPr>
          <w:lang w:val="lv-LV"/>
        </w:rPr>
        <w:t xml:space="preserve"> slēgtā sēdē </w:t>
      </w:r>
      <w:r w:rsidR="007A3EE4" w:rsidRPr="004D6021">
        <w:rPr>
          <w:lang w:val="lv-LV"/>
        </w:rPr>
        <w:t xml:space="preserve">2006. gada </w:t>
      </w:r>
      <w:r w:rsidR="00B44689" w:rsidRPr="004D6021">
        <w:rPr>
          <w:lang w:val="lv-LV"/>
        </w:rPr>
        <w:t>14</w:t>
      </w:r>
      <w:r w:rsidR="007A3EE4" w:rsidRPr="004D6021">
        <w:rPr>
          <w:lang w:val="lv-LV"/>
        </w:rPr>
        <w:t>. </w:t>
      </w:r>
      <w:r w:rsidR="00B44689" w:rsidRPr="004D6021">
        <w:rPr>
          <w:lang w:val="lv-LV"/>
        </w:rPr>
        <w:t>septembrī</w:t>
      </w:r>
      <w:r w:rsidR="004D6021">
        <w:rPr>
          <w:lang w:val="lv-LV"/>
        </w:rPr>
        <w:t>,</w:t>
      </w:r>
    </w:p>
    <w:p w:rsidR="006078C9" w:rsidRPr="004D6021" w:rsidRDefault="006078C9" w:rsidP="00583503">
      <w:pPr>
        <w:pStyle w:val="JuPara"/>
        <w:ind w:firstLine="0"/>
        <w:rPr>
          <w:lang w:val="lv-LV"/>
        </w:rPr>
      </w:pPr>
    </w:p>
    <w:p w:rsidR="006078C9" w:rsidRPr="004D6021" w:rsidRDefault="00F91CA8" w:rsidP="00583503">
      <w:pPr>
        <w:pStyle w:val="JuPara"/>
        <w:ind w:firstLine="0"/>
        <w:rPr>
          <w:lang w:val="lv-LV"/>
        </w:rPr>
      </w:pPr>
      <w:r w:rsidRPr="004D6021">
        <w:rPr>
          <w:lang w:val="lv-LV"/>
        </w:rPr>
        <w:t xml:space="preserve">pasludina šo spriedumu, kas pieņemts </w:t>
      </w:r>
      <w:r w:rsidR="005F7B56" w:rsidRPr="004D6021">
        <w:rPr>
          <w:lang w:val="lv-LV"/>
        </w:rPr>
        <w:t>minētajā</w:t>
      </w:r>
      <w:r w:rsidRPr="004D6021">
        <w:rPr>
          <w:lang w:val="lv-LV"/>
        </w:rPr>
        <w:t xml:space="preserve"> datumā.</w:t>
      </w:r>
    </w:p>
    <w:p w:rsidR="006078C9" w:rsidRPr="004D6021" w:rsidRDefault="006078C9" w:rsidP="00583503">
      <w:pPr>
        <w:pStyle w:val="JuPara"/>
        <w:ind w:firstLine="0"/>
        <w:rPr>
          <w:lang w:val="lv-LV"/>
        </w:rPr>
      </w:pPr>
    </w:p>
    <w:p w:rsidR="006078C9" w:rsidRPr="004D6021" w:rsidRDefault="003C5DC9" w:rsidP="00583503">
      <w:pPr>
        <w:pStyle w:val="JuHHead"/>
        <w:spacing w:before="0" w:after="0"/>
        <w:rPr>
          <w:lang w:val="lv-LV"/>
        </w:rPr>
      </w:pPr>
      <w:r>
        <w:rPr>
          <w:lang w:val="lv-LV"/>
        </w:rPr>
        <w:t>TIESVEDĪBA</w:t>
      </w:r>
    </w:p>
    <w:p w:rsidR="006078C9" w:rsidRPr="004D6021" w:rsidRDefault="006078C9" w:rsidP="00583503">
      <w:pPr>
        <w:pStyle w:val="JuHHead"/>
        <w:spacing w:before="0" w:after="0"/>
        <w:rPr>
          <w:lang w:val="lv-LV"/>
        </w:rPr>
      </w:pPr>
    </w:p>
    <w:p w:rsidR="009971D3" w:rsidRPr="004D6021" w:rsidRDefault="00D746C3" w:rsidP="009971D3">
      <w:pPr>
        <w:pStyle w:val="JuPara"/>
        <w:ind w:firstLine="0"/>
        <w:rPr>
          <w:lang w:val="lv-LV"/>
        </w:rPr>
      </w:pPr>
      <w:r w:rsidRPr="004D6021">
        <w:rPr>
          <w:lang w:val="lv-LV"/>
        </w:rPr>
        <w:fldChar w:fldCharType="begin"/>
      </w:r>
      <w:r w:rsidR="00F654C9" w:rsidRPr="004D6021">
        <w:rPr>
          <w:lang w:val="lv-LV"/>
        </w:rPr>
        <w:instrText xml:space="preserve"> SEQ level0 \*arabic </w:instrText>
      </w:r>
      <w:r w:rsidRPr="004D6021">
        <w:rPr>
          <w:lang w:val="lv-LV"/>
        </w:rPr>
        <w:fldChar w:fldCharType="separate"/>
      </w:r>
      <w:r w:rsidR="00B416E8" w:rsidRPr="004D6021">
        <w:rPr>
          <w:lang w:val="lv-LV"/>
        </w:rPr>
        <w:t>1</w:t>
      </w:r>
      <w:r w:rsidRPr="004D6021">
        <w:rPr>
          <w:lang w:val="lv-LV"/>
        </w:rPr>
        <w:fldChar w:fldCharType="end"/>
      </w:r>
      <w:r w:rsidR="009971D3" w:rsidRPr="004D6021">
        <w:rPr>
          <w:lang w:val="lv-LV"/>
        </w:rPr>
        <w:t xml:space="preserve">. Lieta </w:t>
      </w:r>
      <w:r w:rsidR="005F7B56" w:rsidRPr="004D6021">
        <w:rPr>
          <w:lang w:val="lv-LV"/>
        </w:rPr>
        <w:t>ierosināta, ņemot vērā</w:t>
      </w:r>
      <w:r w:rsidR="009971D3" w:rsidRPr="004D6021">
        <w:rPr>
          <w:lang w:val="lv-LV"/>
        </w:rPr>
        <w:t xml:space="preserve"> </w:t>
      </w:r>
      <w:r w:rsidR="005F7B56" w:rsidRPr="004D6021">
        <w:rPr>
          <w:lang w:val="lv-LV"/>
        </w:rPr>
        <w:t>pret Itālijas Republiku</w:t>
      </w:r>
      <w:r w:rsidR="005F7B56" w:rsidRPr="004D6021">
        <w:rPr>
          <w:b/>
          <w:lang w:val="lv-LV"/>
        </w:rPr>
        <w:t xml:space="preserve"> </w:t>
      </w:r>
      <w:r w:rsidR="005F7B56" w:rsidRPr="004D6021">
        <w:rPr>
          <w:lang w:val="lv-LV"/>
        </w:rPr>
        <w:t xml:space="preserve">vērstu pieteikumu (Nr. 45106/04), kuru saskaņā ar Cilvēktiesību un pamatbrīvību aizsardzības konvencijas (“Konvencijas”) 34. pantu </w:t>
      </w:r>
      <w:r w:rsidR="009971D3" w:rsidRPr="004D6021">
        <w:rPr>
          <w:lang w:val="lv-LV"/>
        </w:rPr>
        <w:t>2004. gada 30. no</w:t>
      </w:r>
      <w:r w:rsidR="000B5FDD" w:rsidRPr="004D6021">
        <w:rPr>
          <w:lang w:val="lv-LV"/>
        </w:rPr>
        <w:t xml:space="preserve">vembrī </w:t>
      </w:r>
      <w:r w:rsidR="005F7B56" w:rsidRPr="004D6021">
        <w:rPr>
          <w:lang w:val="lv-LV"/>
        </w:rPr>
        <w:t xml:space="preserve">Tiesai iesniedza </w:t>
      </w:r>
      <w:r w:rsidR="000B5FDD" w:rsidRPr="004D6021">
        <w:rPr>
          <w:lang w:val="lv-LV"/>
        </w:rPr>
        <w:t>Itālijas pilsonis Marčel</w:t>
      </w:r>
      <w:r w:rsidR="00D42804">
        <w:rPr>
          <w:lang w:val="lv-LV"/>
        </w:rPr>
        <w:t>l</w:t>
      </w:r>
      <w:r w:rsidR="009971D3" w:rsidRPr="004D6021">
        <w:rPr>
          <w:lang w:val="lv-LV"/>
        </w:rPr>
        <w:t>o Viola [</w:t>
      </w:r>
      <w:r w:rsidR="009971D3" w:rsidRPr="004D6021">
        <w:rPr>
          <w:i/>
          <w:lang w:val="lv-LV"/>
        </w:rPr>
        <w:t>Marcello Viola</w:t>
      </w:r>
      <w:r w:rsidR="005F7B56" w:rsidRPr="004D6021">
        <w:rPr>
          <w:lang w:val="lv-LV"/>
        </w:rPr>
        <w:t>] (“pieteikuma iesniedzējs”)</w:t>
      </w:r>
      <w:r w:rsidR="009971D3" w:rsidRPr="004D6021">
        <w:rPr>
          <w:lang w:val="lv-LV"/>
        </w:rPr>
        <w:t>.</w:t>
      </w:r>
    </w:p>
    <w:p w:rsidR="006078C9" w:rsidRPr="004D6021" w:rsidRDefault="006078C9" w:rsidP="00583503">
      <w:pPr>
        <w:pStyle w:val="JuPara"/>
        <w:ind w:firstLine="0"/>
        <w:rPr>
          <w:lang w:val="lv-LV"/>
        </w:rPr>
      </w:pPr>
    </w:p>
    <w:p w:rsidR="00444203" w:rsidRPr="004D6021" w:rsidRDefault="00D746C3" w:rsidP="00444203">
      <w:pPr>
        <w:pStyle w:val="JuPara"/>
        <w:ind w:firstLine="0"/>
        <w:rPr>
          <w:lang w:val="lv-LV"/>
        </w:rPr>
      </w:pPr>
      <w:r w:rsidRPr="004D6021">
        <w:rPr>
          <w:lang w:val="lv-LV"/>
        </w:rPr>
        <w:fldChar w:fldCharType="begin"/>
      </w:r>
      <w:r w:rsidR="00444203" w:rsidRPr="004D6021">
        <w:rPr>
          <w:lang w:val="lv-LV"/>
        </w:rPr>
        <w:instrText xml:space="preserve"> SEQ level0 \*arabic </w:instrText>
      </w:r>
      <w:r w:rsidRPr="004D6021">
        <w:rPr>
          <w:lang w:val="lv-LV"/>
        </w:rPr>
        <w:fldChar w:fldCharType="separate"/>
      </w:r>
      <w:r w:rsidR="00444203" w:rsidRPr="004D6021">
        <w:rPr>
          <w:lang w:val="lv-LV"/>
        </w:rPr>
        <w:t>2</w:t>
      </w:r>
      <w:r w:rsidRPr="004D6021">
        <w:rPr>
          <w:lang w:val="lv-LV"/>
        </w:rPr>
        <w:fldChar w:fldCharType="end"/>
      </w:r>
      <w:r w:rsidR="00444203" w:rsidRPr="004D6021">
        <w:rPr>
          <w:lang w:val="lv-LV"/>
        </w:rPr>
        <w:t>. Pieteikuma iesniedzēju pārstāvēja Taurianovā praktizējošs advokāts A. Romeo [</w:t>
      </w:r>
      <w:r w:rsidR="00444203" w:rsidRPr="004D6021">
        <w:rPr>
          <w:i/>
          <w:lang w:val="lv-LV"/>
        </w:rPr>
        <w:t>A. Romeo</w:t>
      </w:r>
      <w:r w:rsidR="00444203" w:rsidRPr="004D6021">
        <w:rPr>
          <w:lang w:val="lv-LV"/>
        </w:rPr>
        <w:t>]. Itālijas valdību (“</w:t>
      </w:r>
      <w:r w:rsidR="003C5DC9">
        <w:rPr>
          <w:lang w:val="lv-LV"/>
        </w:rPr>
        <w:t>V</w:t>
      </w:r>
      <w:r w:rsidR="003C5DC9" w:rsidRPr="004D6021">
        <w:rPr>
          <w:lang w:val="lv-LV"/>
        </w:rPr>
        <w:t>aldība</w:t>
      </w:r>
      <w:r w:rsidR="00444203" w:rsidRPr="004D6021">
        <w:rPr>
          <w:lang w:val="lv-LV"/>
        </w:rPr>
        <w:t>”) pārstāvēja tās pilnvarotais pārstāvis I. M. </w:t>
      </w:r>
      <w:r w:rsidR="00444203" w:rsidRPr="004D6021">
        <w:rPr>
          <w:rStyle w:val="st"/>
          <w:lang w:val="lv-LV"/>
        </w:rPr>
        <w:t xml:space="preserve">Bragulja </w:t>
      </w:r>
      <w:r w:rsidR="00444203" w:rsidRPr="004D6021">
        <w:rPr>
          <w:lang w:val="lv-LV"/>
        </w:rPr>
        <w:t>[</w:t>
      </w:r>
      <w:r w:rsidR="00444203" w:rsidRPr="004D6021">
        <w:rPr>
          <w:i/>
          <w:lang w:val="lv-LV"/>
        </w:rPr>
        <w:t>I. M. Braguglia</w:t>
      </w:r>
      <w:r w:rsidR="00444203" w:rsidRPr="004D6021">
        <w:rPr>
          <w:lang w:val="lv-LV"/>
        </w:rPr>
        <w:t>] un pilnvarotā pārstāvja vietnieks N. Letjēri [</w:t>
      </w:r>
      <w:r w:rsidR="00444203" w:rsidRPr="004D6021">
        <w:rPr>
          <w:i/>
          <w:lang w:val="lv-LV"/>
        </w:rPr>
        <w:t>N. Lettieri</w:t>
      </w:r>
      <w:r w:rsidR="00444203" w:rsidRPr="004D6021">
        <w:rPr>
          <w:lang w:val="lv-LV"/>
        </w:rPr>
        <w:t>].</w:t>
      </w:r>
    </w:p>
    <w:p w:rsidR="006078C9" w:rsidRPr="004D6021" w:rsidRDefault="006078C9" w:rsidP="00583503">
      <w:pPr>
        <w:pStyle w:val="JuPara"/>
        <w:ind w:firstLine="0"/>
        <w:rPr>
          <w:lang w:val="lv-LV"/>
        </w:rPr>
      </w:pPr>
    </w:p>
    <w:p w:rsidR="00673AA8" w:rsidRPr="004D6021" w:rsidRDefault="00D746C3" w:rsidP="00AC4BBB">
      <w:pPr>
        <w:pStyle w:val="JuPara"/>
        <w:ind w:firstLine="0"/>
        <w:rPr>
          <w:lang w:val="lv-LV"/>
        </w:rPr>
      </w:pPr>
      <w:r w:rsidRPr="004D6021">
        <w:rPr>
          <w:lang w:val="lv-LV"/>
        </w:rPr>
        <w:fldChar w:fldCharType="begin"/>
      </w:r>
      <w:r w:rsidR="00673AA8" w:rsidRPr="004D6021">
        <w:rPr>
          <w:lang w:val="lv-LV"/>
        </w:rPr>
        <w:instrText xml:space="preserve"> SEQ level0 \*arabic </w:instrText>
      </w:r>
      <w:r w:rsidRPr="004D6021">
        <w:rPr>
          <w:lang w:val="lv-LV"/>
        </w:rPr>
        <w:fldChar w:fldCharType="separate"/>
      </w:r>
      <w:r w:rsidR="00B416E8" w:rsidRPr="004D6021">
        <w:rPr>
          <w:lang w:val="lv-LV"/>
        </w:rPr>
        <w:t>3</w:t>
      </w:r>
      <w:r w:rsidRPr="004D6021">
        <w:rPr>
          <w:lang w:val="lv-LV"/>
        </w:rPr>
        <w:fldChar w:fldCharType="end"/>
      </w:r>
      <w:r w:rsidR="00673AA8" w:rsidRPr="004D6021">
        <w:rPr>
          <w:lang w:val="lv-LV"/>
        </w:rPr>
        <w:t xml:space="preserve">. 2005. gada 13. decembrī Tiesa pasludināja pieteikumu par daļēji nepieņemamu un nolēma paziņot </w:t>
      </w:r>
      <w:r w:rsidR="003C5DC9">
        <w:rPr>
          <w:lang w:val="lv-LV"/>
        </w:rPr>
        <w:t>V</w:t>
      </w:r>
      <w:r w:rsidR="003C5DC9" w:rsidRPr="004D6021">
        <w:rPr>
          <w:lang w:val="lv-LV"/>
        </w:rPr>
        <w:t xml:space="preserve">aldībai </w:t>
      </w:r>
      <w:r w:rsidR="00673AA8" w:rsidRPr="004D6021">
        <w:rPr>
          <w:lang w:val="lv-LV"/>
        </w:rPr>
        <w:t xml:space="preserve">par sūdzībām, </w:t>
      </w:r>
      <w:r w:rsidR="00807A88" w:rsidRPr="004D6021">
        <w:rPr>
          <w:lang w:val="lv-LV"/>
        </w:rPr>
        <w:t>kas pamatojās</w:t>
      </w:r>
      <w:r w:rsidR="00673AA8" w:rsidRPr="004D6021">
        <w:rPr>
          <w:lang w:val="lv-LV"/>
        </w:rPr>
        <w:t xml:space="preserve"> </w:t>
      </w:r>
      <w:r w:rsidR="00807A88" w:rsidRPr="004D6021">
        <w:rPr>
          <w:lang w:val="lv-LV"/>
        </w:rPr>
        <w:t xml:space="preserve">uz </w:t>
      </w:r>
      <w:r w:rsidR="00673AA8" w:rsidRPr="004D6021">
        <w:rPr>
          <w:lang w:val="lv-LV"/>
        </w:rPr>
        <w:t>pie</w:t>
      </w:r>
      <w:r w:rsidR="00807A88" w:rsidRPr="004D6021">
        <w:rPr>
          <w:lang w:val="lv-LV"/>
        </w:rPr>
        <w:t>teikuma iesniedzēja dalību</w:t>
      </w:r>
      <w:r w:rsidR="00673AA8" w:rsidRPr="004D6021">
        <w:rPr>
          <w:lang w:val="lv-LV"/>
        </w:rPr>
        <w:t xml:space="preserve"> </w:t>
      </w:r>
      <w:r w:rsidR="00807A88" w:rsidRPr="004D6021">
        <w:rPr>
          <w:lang w:val="lv-LV"/>
        </w:rPr>
        <w:t xml:space="preserve">apelācijas instances sēdēs otrajā kriminālprocesā </w:t>
      </w:r>
      <w:r w:rsidR="00673AA8" w:rsidRPr="004D6021">
        <w:rPr>
          <w:lang w:val="lv-LV"/>
        </w:rPr>
        <w:t>videokonferences veidā un Konvencijas 7. protokola 4. pant</w:t>
      </w:r>
      <w:r w:rsidR="00807A88" w:rsidRPr="004D6021">
        <w:rPr>
          <w:lang w:val="lv-LV"/>
        </w:rPr>
        <w:t>u</w:t>
      </w:r>
      <w:r w:rsidR="00673AA8" w:rsidRPr="004D6021">
        <w:rPr>
          <w:lang w:val="lv-LV"/>
        </w:rPr>
        <w:t>. Saskaņā ar Konvencijas 29. panta 3. punktu tika nolemts prasības pieņemamību un lietu pēc būtības skatīt vienlaicīgi.</w:t>
      </w:r>
    </w:p>
    <w:p w:rsidR="006078C9" w:rsidRPr="004D6021" w:rsidRDefault="006078C9" w:rsidP="00AC4BBB">
      <w:pPr>
        <w:pStyle w:val="JuPara"/>
        <w:ind w:firstLine="0"/>
        <w:rPr>
          <w:lang w:val="lv-LV"/>
        </w:rPr>
      </w:pPr>
    </w:p>
    <w:p w:rsidR="006078C9" w:rsidRPr="004D6021" w:rsidRDefault="00DE2718" w:rsidP="00AC4BBB">
      <w:pPr>
        <w:pStyle w:val="JuHHead"/>
        <w:keepNext w:val="0"/>
        <w:keepLines w:val="0"/>
        <w:spacing w:before="0" w:after="0"/>
        <w:rPr>
          <w:lang w:val="lv-LV"/>
        </w:rPr>
      </w:pPr>
      <w:r w:rsidRPr="004D6021">
        <w:rPr>
          <w:lang w:val="lv-LV"/>
        </w:rPr>
        <w:t>FAKTI</w:t>
      </w:r>
      <w:r w:rsidR="00692C78" w:rsidRPr="004D6021">
        <w:rPr>
          <w:lang w:val="lv-LV"/>
        </w:rPr>
        <w:t>SK</w:t>
      </w:r>
      <w:r w:rsidR="003C5DC9">
        <w:rPr>
          <w:lang w:val="lv-LV"/>
        </w:rPr>
        <w:t>U</w:t>
      </w:r>
      <w:r w:rsidR="00692C78" w:rsidRPr="004D6021">
        <w:rPr>
          <w:lang w:val="lv-LV"/>
        </w:rPr>
        <w:t xml:space="preserve"> </w:t>
      </w:r>
      <w:r w:rsidR="003C5DC9">
        <w:rPr>
          <w:lang w:val="lv-LV"/>
        </w:rPr>
        <w:t>IZKLĀSTS</w:t>
      </w:r>
    </w:p>
    <w:p w:rsidR="006078C9" w:rsidRPr="004D6021" w:rsidRDefault="006078C9" w:rsidP="00AC4BBB">
      <w:pPr>
        <w:pStyle w:val="JuHHead"/>
        <w:keepNext w:val="0"/>
        <w:keepLines w:val="0"/>
        <w:spacing w:before="0" w:after="0"/>
        <w:rPr>
          <w:lang w:val="lv-LV"/>
        </w:rPr>
      </w:pPr>
    </w:p>
    <w:p w:rsidR="006078C9" w:rsidRPr="004D6021" w:rsidRDefault="00CF48A1" w:rsidP="00AC4BBB">
      <w:pPr>
        <w:pStyle w:val="JuHIRoman"/>
        <w:keepNext w:val="0"/>
        <w:keepLines w:val="0"/>
        <w:spacing w:before="0" w:after="0"/>
        <w:ind w:left="0" w:firstLine="0"/>
        <w:rPr>
          <w:lang w:val="lv-LV"/>
        </w:rPr>
      </w:pPr>
      <w:r w:rsidRPr="004D6021">
        <w:rPr>
          <w:lang w:val="lv-LV"/>
        </w:rPr>
        <w:t>I. LIETAS APSTĀKĻI</w:t>
      </w:r>
    </w:p>
    <w:p w:rsidR="006078C9" w:rsidRPr="004D6021" w:rsidRDefault="006078C9" w:rsidP="00AC4BBB">
      <w:pPr>
        <w:pStyle w:val="JuHIRoman"/>
        <w:keepNext w:val="0"/>
        <w:keepLines w:val="0"/>
        <w:spacing w:before="0" w:after="0"/>
        <w:ind w:left="0" w:firstLine="0"/>
        <w:rPr>
          <w:lang w:val="lv-LV"/>
        </w:rPr>
      </w:pPr>
    </w:p>
    <w:p w:rsidR="00673AA8" w:rsidRPr="004D6021" w:rsidRDefault="00D746C3" w:rsidP="00AC4BBB">
      <w:pPr>
        <w:pStyle w:val="JuPara"/>
        <w:ind w:firstLine="0"/>
        <w:rPr>
          <w:lang w:val="lv-LV"/>
        </w:rPr>
      </w:pPr>
      <w:r w:rsidRPr="004D6021">
        <w:rPr>
          <w:lang w:val="lv-LV"/>
        </w:rPr>
        <w:fldChar w:fldCharType="begin"/>
      </w:r>
      <w:r w:rsidR="00F654C9" w:rsidRPr="004D6021">
        <w:rPr>
          <w:lang w:val="lv-LV"/>
        </w:rPr>
        <w:instrText xml:space="preserve"> SEQ level0 \*arabic </w:instrText>
      </w:r>
      <w:r w:rsidRPr="004D6021">
        <w:rPr>
          <w:lang w:val="lv-LV"/>
        </w:rPr>
        <w:fldChar w:fldCharType="separate"/>
      </w:r>
      <w:r w:rsidR="00B416E8" w:rsidRPr="004D6021">
        <w:rPr>
          <w:lang w:val="lv-LV"/>
        </w:rPr>
        <w:t>4</w:t>
      </w:r>
      <w:r w:rsidRPr="004D6021">
        <w:rPr>
          <w:lang w:val="lv-LV"/>
        </w:rPr>
        <w:fldChar w:fldCharType="end"/>
      </w:r>
      <w:r w:rsidR="00673AA8" w:rsidRPr="004D6021">
        <w:rPr>
          <w:lang w:val="lv-LV"/>
        </w:rPr>
        <w:t>. Pieteikuma iesniedzējs ir dzimis 1959. gadā un pašlaik atrodas Lakvilas [</w:t>
      </w:r>
      <w:r w:rsidR="00673AA8" w:rsidRPr="004D6021">
        <w:rPr>
          <w:i/>
          <w:lang w:val="lv-LV"/>
        </w:rPr>
        <w:t>L'Aquila</w:t>
      </w:r>
      <w:r w:rsidR="00673AA8" w:rsidRPr="004D6021">
        <w:rPr>
          <w:lang w:val="lv-LV"/>
        </w:rPr>
        <w:t>] cietumā.</w:t>
      </w:r>
    </w:p>
    <w:p w:rsidR="006078C9" w:rsidRPr="004D6021" w:rsidRDefault="006078C9" w:rsidP="00AC4BBB">
      <w:pPr>
        <w:pStyle w:val="JuPara"/>
        <w:ind w:firstLine="0"/>
        <w:rPr>
          <w:lang w:val="lv-LV"/>
        </w:rPr>
      </w:pPr>
    </w:p>
    <w:p w:rsidR="00673AA8" w:rsidRPr="004D6021" w:rsidRDefault="00673AA8" w:rsidP="00AC4BBB">
      <w:pPr>
        <w:pStyle w:val="JuHA"/>
        <w:keepNext w:val="0"/>
        <w:keepLines w:val="0"/>
        <w:spacing w:before="0" w:after="0"/>
        <w:ind w:left="0" w:firstLine="0"/>
        <w:rPr>
          <w:bCs w:val="0"/>
          <w:lang w:val="lv-LV"/>
        </w:rPr>
      </w:pPr>
      <w:r w:rsidRPr="004D6021">
        <w:rPr>
          <w:bCs w:val="0"/>
          <w:lang w:val="lv-LV"/>
        </w:rPr>
        <w:t>A. Pirmais kriminālprocess</w:t>
      </w:r>
    </w:p>
    <w:p w:rsidR="006078C9" w:rsidRPr="004D6021" w:rsidRDefault="006078C9" w:rsidP="00AC4BBB">
      <w:pPr>
        <w:pStyle w:val="JuHA"/>
        <w:keepNext w:val="0"/>
        <w:keepLines w:val="0"/>
        <w:spacing w:before="0" w:after="0"/>
        <w:ind w:left="0" w:firstLine="0"/>
        <w:rPr>
          <w:lang w:val="lv-LV"/>
        </w:rPr>
      </w:pPr>
    </w:p>
    <w:p w:rsidR="00D40F9F" w:rsidRPr="004D6021" w:rsidRDefault="00D746C3" w:rsidP="00AC4BBB">
      <w:pPr>
        <w:pStyle w:val="JuPara"/>
        <w:ind w:firstLine="0"/>
        <w:rPr>
          <w:lang w:val="lv-LV"/>
        </w:rPr>
      </w:pPr>
      <w:r w:rsidRPr="004D6021">
        <w:rPr>
          <w:lang w:val="lv-LV"/>
        </w:rPr>
        <w:fldChar w:fldCharType="begin"/>
      </w:r>
      <w:r w:rsidR="00F654C9" w:rsidRPr="004D6021">
        <w:rPr>
          <w:lang w:val="lv-LV"/>
        </w:rPr>
        <w:instrText xml:space="preserve"> SEQ level0 \*arabic </w:instrText>
      </w:r>
      <w:r w:rsidRPr="004D6021">
        <w:rPr>
          <w:lang w:val="lv-LV"/>
        </w:rPr>
        <w:fldChar w:fldCharType="separate"/>
      </w:r>
      <w:r w:rsidR="00B416E8" w:rsidRPr="004D6021">
        <w:rPr>
          <w:lang w:val="lv-LV"/>
        </w:rPr>
        <w:t>5</w:t>
      </w:r>
      <w:r w:rsidRPr="004D6021">
        <w:rPr>
          <w:lang w:val="lv-LV"/>
        </w:rPr>
        <w:fldChar w:fldCharType="end"/>
      </w:r>
      <w:r w:rsidR="00D40F9F" w:rsidRPr="004D6021">
        <w:rPr>
          <w:lang w:val="lv-LV"/>
        </w:rPr>
        <w:t xml:space="preserve">. 1992. gada 16. martā pieteikuma iesniedzēju arestēja un </w:t>
      </w:r>
      <w:r w:rsidR="00DE3443">
        <w:rPr>
          <w:lang w:val="lv-LV"/>
        </w:rPr>
        <w:t>ievietoja</w:t>
      </w:r>
      <w:r w:rsidR="00DE3443" w:rsidRPr="004D6021">
        <w:rPr>
          <w:lang w:val="lv-LV"/>
        </w:rPr>
        <w:t xml:space="preserve"> </w:t>
      </w:r>
      <w:r w:rsidR="00D40F9F" w:rsidRPr="004D6021">
        <w:rPr>
          <w:lang w:val="lv-LV"/>
        </w:rPr>
        <w:t xml:space="preserve">apcietinājumā, pamatojoties uz apsūdzību slepkavībā un dalību </w:t>
      </w:r>
      <w:r w:rsidR="00807A88" w:rsidRPr="004D6021">
        <w:rPr>
          <w:lang w:val="lv-LV"/>
        </w:rPr>
        <w:t>mafijas tipa organizācijā</w:t>
      </w:r>
      <w:r w:rsidR="00D40F9F" w:rsidRPr="004D6021">
        <w:rPr>
          <w:lang w:val="lv-LV"/>
        </w:rPr>
        <w:t xml:space="preserve">. Viņu apsūdzēja arī vairākkārtējā nelikumīgā ieroču nēsāšanā. Viņš, iespējams, </w:t>
      </w:r>
      <w:r w:rsidR="00807A88" w:rsidRPr="004D6021">
        <w:rPr>
          <w:lang w:val="lv-LV"/>
        </w:rPr>
        <w:t>bija piedalījies</w:t>
      </w:r>
      <w:r w:rsidR="00D40F9F" w:rsidRPr="004D6021">
        <w:rPr>
          <w:lang w:val="lv-LV"/>
        </w:rPr>
        <w:t xml:space="preserve"> </w:t>
      </w:r>
      <w:r w:rsidR="00DE3443">
        <w:rPr>
          <w:lang w:val="lv-LV"/>
        </w:rPr>
        <w:t xml:space="preserve">un veicinājis </w:t>
      </w:r>
      <w:r w:rsidR="00D40F9F" w:rsidRPr="004D6021">
        <w:rPr>
          <w:lang w:val="lv-LV"/>
        </w:rPr>
        <w:t>tāda ieroča ienešanā publiskā vietā, ar kuru bija izdarītas vairākas slepkavības, tostarp M. L. slepkavība.</w:t>
      </w:r>
    </w:p>
    <w:p w:rsidR="006078C9" w:rsidRPr="004D6021" w:rsidRDefault="006078C9" w:rsidP="00583503">
      <w:pPr>
        <w:pStyle w:val="JuPara"/>
        <w:ind w:firstLine="0"/>
        <w:rPr>
          <w:lang w:val="lv-LV"/>
        </w:rPr>
      </w:pPr>
    </w:p>
    <w:p w:rsidR="000A64E0" w:rsidRPr="004D6021" w:rsidRDefault="00D746C3" w:rsidP="000A64E0">
      <w:pPr>
        <w:pStyle w:val="JuPara"/>
        <w:ind w:firstLine="0"/>
        <w:rPr>
          <w:lang w:val="lv-LV"/>
        </w:rPr>
      </w:pPr>
      <w:r w:rsidRPr="004D6021">
        <w:rPr>
          <w:lang w:val="lv-LV"/>
        </w:rPr>
        <w:lastRenderedPageBreak/>
        <w:fldChar w:fldCharType="begin"/>
      </w:r>
      <w:r w:rsidR="000A64E0" w:rsidRPr="004D6021">
        <w:rPr>
          <w:lang w:val="lv-LV"/>
        </w:rPr>
        <w:instrText xml:space="preserve"> SEQ level0 \*arabic </w:instrText>
      </w:r>
      <w:r w:rsidRPr="004D6021">
        <w:rPr>
          <w:lang w:val="lv-LV"/>
        </w:rPr>
        <w:fldChar w:fldCharType="separate"/>
      </w:r>
      <w:r w:rsidR="000A64E0" w:rsidRPr="004D6021">
        <w:rPr>
          <w:lang w:val="lv-LV"/>
        </w:rPr>
        <w:t>6</w:t>
      </w:r>
      <w:r w:rsidRPr="004D6021">
        <w:rPr>
          <w:lang w:val="lv-LV"/>
        </w:rPr>
        <w:fldChar w:fldCharType="end"/>
      </w:r>
      <w:r w:rsidR="000A64E0" w:rsidRPr="004D6021">
        <w:rPr>
          <w:lang w:val="lv-LV"/>
        </w:rPr>
        <w:t xml:space="preserve">. 1995. gada 16. oktobra spriedumā Palmi </w:t>
      </w:r>
      <w:r w:rsidR="006E1A16">
        <w:rPr>
          <w:lang w:val="lv-LV"/>
        </w:rPr>
        <w:t xml:space="preserve">zvērināto </w:t>
      </w:r>
      <w:r w:rsidR="000A64E0" w:rsidRPr="004D6021">
        <w:rPr>
          <w:lang w:val="lv-LV"/>
        </w:rPr>
        <w:t>tiesa [</w:t>
      </w:r>
      <w:r w:rsidR="000A64E0" w:rsidRPr="004D6021">
        <w:rPr>
          <w:i/>
          <w:lang w:val="lv-LV"/>
        </w:rPr>
        <w:t>Assize Court</w:t>
      </w:r>
      <w:r w:rsidR="000A64E0" w:rsidRPr="004D6021">
        <w:rPr>
          <w:lang w:val="lv-LV"/>
        </w:rPr>
        <w:t xml:space="preserve">] piesprieda pieteikuma iesniedzējam sodu ar brīvības atņemšanu uz 15 gadiem par dalību mafijas tipa noziedzīgajā organizācijā. Citos apsūdzības punktos </w:t>
      </w:r>
      <w:r w:rsidR="00DE3443" w:rsidRPr="004D6021">
        <w:rPr>
          <w:lang w:val="lv-LV"/>
        </w:rPr>
        <w:t>viņ</w:t>
      </w:r>
      <w:r w:rsidR="00DE3443">
        <w:rPr>
          <w:lang w:val="lv-LV"/>
        </w:rPr>
        <w:t>š tika</w:t>
      </w:r>
      <w:r w:rsidR="00DE3443" w:rsidRPr="004D6021">
        <w:rPr>
          <w:lang w:val="lv-LV"/>
        </w:rPr>
        <w:t xml:space="preserve"> </w:t>
      </w:r>
      <w:r w:rsidR="000A64E0" w:rsidRPr="004D6021">
        <w:rPr>
          <w:lang w:val="lv-LV"/>
        </w:rPr>
        <w:t>attaisno</w:t>
      </w:r>
      <w:r w:rsidR="00DE3443">
        <w:rPr>
          <w:lang w:val="lv-LV"/>
        </w:rPr>
        <w:t>ts</w:t>
      </w:r>
      <w:r w:rsidR="000A64E0" w:rsidRPr="004D6021">
        <w:rPr>
          <w:lang w:val="lv-LV"/>
        </w:rPr>
        <w:t>.</w:t>
      </w:r>
    </w:p>
    <w:p w:rsidR="006078C9" w:rsidRPr="004D6021" w:rsidRDefault="006078C9" w:rsidP="00583503">
      <w:pPr>
        <w:pStyle w:val="JuPara"/>
        <w:ind w:firstLine="0"/>
        <w:rPr>
          <w:lang w:val="lv-LV"/>
        </w:rPr>
      </w:pPr>
    </w:p>
    <w:p w:rsidR="00D40F9F" w:rsidRPr="004D6021" w:rsidRDefault="00D746C3" w:rsidP="00D40F9F">
      <w:pPr>
        <w:pStyle w:val="JuPara"/>
        <w:ind w:firstLine="0"/>
        <w:rPr>
          <w:lang w:val="lv-LV"/>
        </w:rPr>
      </w:pPr>
      <w:r w:rsidRPr="004D6021">
        <w:rPr>
          <w:lang w:val="lv-LV"/>
        </w:rPr>
        <w:fldChar w:fldCharType="begin"/>
      </w:r>
      <w:r w:rsidR="00D40F9F" w:rsidRPr="004D6021">
        <w:rPr>
          <w:lang w:val="lv-LV"/>
        </w:rPr>
        <w:instrText xml:space="preserve"> SEQ level0 \*arabic </w:instrText>
      </w:r>
      <w:r w:rsidRPr="004D6021">
        <w:rPr>
          <w:lang w:val="lv-LV"/>
        </w:rPr>
        <w:fldChar w:fldCharType="separate"/>
      </w:r>
      <w:r w:rsidR="00B416E8" w:rsidRPr="004D6021">
        <w:rPr>
          <w:lang w:val="lv-LV"/>
        </w:rPr>
        <w:t>7</w:t>
      </w:r>
      <w:r w:rsidRPr="004D6021">
        <w:rPr>
          <w:lang w:val="lv-LV"/>
        </w:rPr>
        <w:fldChar w:fldCharType="end"/>
      </w:r>
      <w:r w:rsidR="00D40F9F" w:rsidRPr="004D6021">
        <w:rPr>
          <w:lang w:val="lv-LV"/>
        </w:rPr>
        <w:t>. Pieteikuma iesniedzējs spriedumu pārsūdzēja.</w:t>
      </w:r>
    </w:p>
    <w:p w:rsidR="006078C9" w:rsidRPr="004D6021" w:rsidRDefault="006078C9" w:rsidP="00583503">
      <w:pPr>
        <w:pStyle w:val="JuPara"/>
        <w:ind w:firstLine="0"/>
        <w:rPr>
          <w:lang w:val="lv-LV"/>
        </w:rPr>
      </w:pPr>
    </w:p>
    <w:p w:rsidR="000A64E0" w:rsidRPr="004D6021" w:rsidRDefault="00D746C3" w:rsidP="000A64E0">
      <w:pPr>
        <w:pStyle w:val="JuPara"/>
        <w:ind w:firstLine="0"/>
        <w:rPr>
          <w:lang w:val="lv-LV"/>
        </w:rPr>
      </w:pPr>
      <w:r w:rsidRPr="004D6021">
        <w:rPr>
          <w:lang w:val="lv-LV"/>
        </w:rPr>
        <w:fldChar w:fldCharType="begin"/>
      </w:r>
      <w:r w:rsidR="000A64E0" w:rsidRPr="004D6021">
        <w:rPr>
          <w:lang w:val="lv-LV"/>
        </w:rPr>
        <w:instrText xml:space="preserve"> SEQ level0 \*arabic </w:instrText>
      </w:r>
      <w:r w:rsidRPr="004D6021">
        <w:rPr>
          <w:lang w:val="lv-LV"/>
        </w:rPr>
        <w:fldChar w:fldCharType="separate"/>
      </w:r>
      <w:r w:rsidR="000A64E0" w:rsidRPr="004D6021">
        <w:rPr>
          <w:lang w:val="lv-LV"/>
        </w:rPr>
        <w:t>8</w:t>
      </w:r>
      <w:r w:rsidRPr="004D6021">
        <w:rPr>
          <w:lang w:val="lv-LV"/>
        </w:rPr>
        <w:fldChar w:fldCharType="end"/>
      </w:r>
      <w:r w:rsidR="000A64E0" w:rsidRPr="004D6021">
        <w:rPr>
          <w:lang w:val="lv-LV"/>
        </w:rPr>
        <w:t xml:space="preserve">. Savā 1999. gada 10. februāra spriedumā Redžo di Kalabrijas </w:t>
      </w:r>
      <w:r w:rsidR="00CB11C2">
        <w:rPr>
          <w:lang w:val="lv-LV"/>
        </w:rPr>
        <w:t xml:space="preserve">zvērināto </w:t>
      </w:r>
      <w:r w:rsidR="000A64E0" w:rsidRPr="004D6021">
        <w:rPr>
          <w:lang w:val="lv-LV"/>
        </w:rPr>
        <w:t>apelācijas tiesa [</w:t>
      </w:r>
      <w:r w:rsidR="000A64E0" w:rsidRPr="004D6021">
        <w:rPr>
          <w:i/>
          <w:lang w:val="lv-LV"/>
        </w:rPr>
        <w:t>Reggio di Calabria Assize Court of Appeal</w:t>
      </w:r>
      <w:r w:rsidR="000A64E0" w:rsidRPr="004D6021">
        <w:rPr>
          <w:lang w:val="lv-LV"/>
        </w:rPr>
        <w:t>] samazināja pieteikuma iesniedzējam piespriesto cietumsodu līdz divpadsmit gadiem.</w:t>
      </w:r>
    </w:p>
    <w:p w:rsidR="006078C9" w:rsidRPr="004D6021" w:rsidRDefault="006078C9" w:rsidP="00583503">
      <w:pPr>
        <w:pStyle w:val="JuPara"/>
        <w:ind w:firstLine="0"/>
        <w:rPr>
          <w:lang w:val="lv-LV"/>
        </w:rPr>
      </w:pPr>
    </w:p>
    <w:p w:rsidR="002500F8" w:rsidRPr="004D6021" w:rsidRDefault="00D746C3" w:rsidP="002500F8">
      <w:pPr>
        <w:pStyle w:val="JuPara"/>
        <w:ind w:firstLine="0"/>
        <w:rPr>
          <w:lang w:val="lv-LV"/>
        </w:rPr>
      </w:pPr>
      <w:r w:rsidRPr="004D6021">
        <w:rPr>
          <w:lang w:val="lv-LV"/>
        </w:rPr>
        <w:fldChar w:fldCharType="begin"/>
      </w:r>
      <w:r w:rsidR="002500F8" w:rsidRPr="004D6021">
        <w:rPr>
          <w:lang w:val="lv-LV"/>
        </w:rPr>
        <w:instrText xml:space="preserve"> SEQ level0 \*arabic </w:instrText>
      </w:r>
      <w:r w:rsidRPr="004D6021">
        <w:rPr>
          <w:lang w:val="lv-LV"/>
        </w:rPr>
        <w:fldChar w:fldCharType="separate"/>
      </w:r>
      <w:r w:rsidR="00B416E8" w:rsidRPr="004D6021">
        <w:rPr>
          <w:lang w:val="lv-LV"/>
        </w:rPr>
        <w:t>9</w:t>
      </w:r>
      <w:r w:rsidRPr="004D6021">
        <w:rPr>
          <w:lang w:val="lv-LV"/>
        </w:rPr>
        <w:fldChar w:fldCharType="end"/>
      </w:r>
      <w:r w:rsidR="002500F8" w:rsidRPr="004D6021">
        <w:rPr>
          <w:lang w:val="lv-LV"/>
        </w:rPr>
        <w:t xml:space="preserve">. Pieteikuma iesniedzējs </w:t>
      </w:r>
      <w:r w:rsidR="00D42804">
        <w:rPr>
          <w:lang w:val="lv-LV"/>
        </w:rPr>
        <w:t>iesniedza kasācijas sūdzību</w:t>
      </w:r>
      <w:r w:rsidR="002500F8" w:rsidRPr="004D6021">
        <w:rPr>
          <w:lang w:val="lv-LV"/>
        </w:rPr>
        <w:t>. 2000. gada 8. februāra spriedumā, kura tekstu deponēja Tiesas kancelejā 2000. gada 25. februārī, kasācijas tiesa noraidīja pieteikuma iesniedzēja pārsūdzību.</w:t>
      </w:r>
    </w:p>
    <w:p w:rsidR="006078C9" w:rsidRPr="004D6021" w:rsidRDefault="006078C9" w:rsidP="00583503">
      <w:pPr>
        <w:pStyle w:val="JuPara"/>
        <w:ind w:firstLine="0"/>
        <w:rPr>
          <w:lang w:val="lv-LV"/>
        </w:rPr>
      </w:pPr>
    </w:p>
    <w:p w:rsidR="002500F8" w:rsidRPr="004D6021" w:rsidRDefault="001F663C" w:rsidP="002500F8">
      <w:pPr>
        <w:pStyle w:val="JuHA"/>
        <w:spacing w:before="0" w:after="0"/>
        <w:ind w:left="0" w:firstLine="0"/>
        <w:rPr>
          <w:bCs w:val="0"/>
          <w:lang w:val="lv-LV"/>
        </w:rPr>
      </w:pPr>
      <w:r w:rsidRPr="004D6021">
        <w:rPr>
          <w:bCs w:val="0"/>
          <w:lang w:val="lv-LV"/>
        </w:rPr>
        <w:t>B</w:t>
      </w:r>
      <w:r w:rsidR="002500F8" w:rsidRPr="004D6021">
        <w:rPr>
          <w:bCs w:val="0"/>
          <w:lang w:val="lv-LV"/>
        </w:rPr>
        <w:t>. Otrais kriminālprocess</w:t>
      </w:r>
    </w:p>
    <w:p w:rsidR="006078C9" w:rsidRPr="004D6021" w:rsidRDefault="006078C9" w:rsidP="00583503">
      <w:pPr>
        <w:pStyle w:val="JuHA"/>
        <w:spacing w:before="0" w:after="0"/>
        <w:ind w:left="0" w:firstLine="0"/>
        <w:rPr>
          <w:lang w:val="lv-LV"/>
        </w:rPr>
      </w:pPr>
    </w:p>
    <w:p w:rsidR="002500F8" w:rsidRPr="004D6021" w:rsidRDefault="002500F8" w:rsidP="002500F8">
      <w:pPr>
        <w:pStyle w:val="JuH1"/>
        <w:spacing w:before="0" w:after="0"/>
        <w:ind w:left="0" w:firstLine="0"/>
        <w:rPr>
          <w:iCs w:val="0"/>
          <w:lang w:val="lv-LV"/>
        </w:rPr>
      </w:pPr>
      <w:r w:rsidRPr="004D6021">
        <w:rPr>
          <w:iCs w:val="0"/>
          <w:lang w:val="lv-LV"/>
        </w:rPr>
        <w:t xml:space="preserve">1. Pirmstiesas izmeklēšana un lietas </w:t>
      </w:r>
      <w:r w:rsidR="001F663C" w:rsidRPr="004D6021">
        <w:rPr>
          <w:iCs w:val="0"/>
          <w:lang w:val="lv-LV"/>
        </w:rPr>
        <w:t>iztiesāšana</w:t>
      </w:r>
      <w:r w:rsidRPr="004D6021">
        <w:rPr>
          <w:iCs w:val="0"/>
          <w:lang w:val="lv-LV"/>
        </w:rPr>
        <w:t xml:space="preserve"> pirmajā instancē</w:t>
      </w:r>
    </w:p>
    <w:p w:rsidR="006078C9" w:rsidRPr="004D6021" w:rsidRDefault="006078C9" w:rsidP="00583503">
      <w:pPr>
        <w:pStyle w:val="JuH1"/>
        <w:spacing w:before="0" w:after="0"/>
        <w:ind w:left="0" w:firstLine="0"/>
        <w:rPr>
          <w:lang w:val="lv-LV"/>
        </w:rPr>
      </w:pPr>
    </w:p>
    <w:p w:rsidR="0011166D" w:rsidRPr="004D6021" w:rsidRDefault="00D746C3" w:rsidP="0011166D">
      <w:pPr>
        <w:pStyle w:val="JuPara"/>
        <w:ind w:firstLine="0"/>
        <w:rPr>
          <w:lang w:val="lv-LV"/>
        </w:rPr>
      </w:pPr>
      <w:r w:rsidRPr="004D6021">
        <w:rPr>
          <w:lang w:val="lv-LV"/>
        </w:rPr>
        <w:fldChar w:fldCharType="begin"/>
      </w:r>
      <w:r w:rsidR="00F654C9" w:rsidRPr="004D6021">
        <w:rPr>
          <w:lang w:val="lv-LV"/>
        </w:rPr>
        <w:instrText xml:space="preserve"> SEQ level0 \*arabic </w:instrText>
      </w:r>
      <w:r w:rsidRPr="004D6021">
        <w:rPr>
          <w:lang w:val="lv-LV"/>
        </w:rPr>
        <w:fldChar w:fldCharType="separate"/>
      </w:r>
      <w:r w:rsidR="00B416E8" w:rsidRPr="004D6021">
        <w:rPr>
          <w:lang w:val="lv-LV"/>
        </w:rPr>
        <w:t>10</w:t>
      </w:r>
      <w:r w:rsidRPr="004D6021">
        <w:rPr>
          <w:lang w:val="lv-LV"/>
        </w:rPr>
        <w:fldChar w:fldCharType="end"/>
      </w:r>
      <w:r w:rsidR="0011166D" w:rsidRPr="004D6021">
        <w:rPr>
          <w:lang w:val="lv-LV"/>
        </w:rPr>
        <w:t xml:space="preserve">. Tikmēr 1996. gada 19. jūnijā Redžo di Kalabrijas izmeklēšanas tiesnesis bija izdevis jaunu orderi </w:t>
      </w:r>
      <w:r w:rsidR="001F663C" w:rsidRPr="004D6021">
        <w:rPr>
          <w:lang w:val="lv-LV"/>
        </w:rPr>
        <w:t xml:space="preserve">par </w:t>
      </w:r>
      <w:r w:rsidR="0011166D" w:rsidRPr="004D6021">
        <w:rPr>
          <w:lang w:val="lv-LV"/>
        </w:rPr>
        <w:t xml:space="preserve">pieteikuma iesniedzēja </w:t>
      </w:r>
      <w:r w:rsidR="00DE3443">
        <w:rPr>
          <w:lang w:val="lv-LV"/>
        </w:rPr>
        <w:t>pa</w:t>
      </w:r>
      <w:r w:rsidR="001F663C" w:rsidRPr="004D6021">
        <w:rPr>
          <w:lang w:val="lv-LV"/>
        </w:rPr>
        <w:t>turēšanu apcietinājumā</w:t>
      </w:r>
      <w:r w:rsidR="0011166D" w:rsidRPr="004D6021">
        <w:rPr>
          <w:lang w:val="lv-LV"/>
        </w:rPr>
        <w:t xml:space="preserve"> līdz lietas iztiesāšanai. 1996. gada 15. oktobrī viņš nosūtīja pieteikuma iesniedzēja lietu </w:t>
      </w:r>
      <w:r w:rsidR="001F663C" w:rsidRPr="004D6021">
        <w:rPr>
          <w:lang w:val="lv-LV"/>
        </w:rPr>
        <w:t>iztiesāšanai</w:t>
      </w:r>
      <w:r w:rsidR="0011166D" w:rsidRPr="004D6021">
        <w:rPr>
          <w:lang w:val="lv-LV"/>
        </w:rPr>
        <w:t xml:space="preserve"> Palmi </w:t>
      </w:r>
      <w:r w:rsidR="00A42086">
        <w:rPr>
          <w:lang w:val="lv-LV"/>
        </w:rPr>
        <w:t xml:space="preserve">zvērināto </w:t>
      </w:r>
      <w:r w:rsidR="0011166D" w:rsidRPr="004D6021">
        <w:rPr>
          <w:lang w:val="lv-LV"/>
        </w:rPr>
        <w:t>tiesā. Pieteikuma iesniedzēj</w:t>
      </w:r>
      <w:r w:rsidR="00D42804">
        <w:rPr>
          <w:lang w:val="lv-LV"/>
        </w:rPr>
        <w:t>s</w:t>
      </w:r>
      <w:r w:rsidR="0011166D" w:rsidRPr="004D6021">
        <w:rPr>
          <w:lang w:val="lv-LV"/>
        </w:rPr>
        <w:t xml:space="preserve"> </w:t>
      </w:r>
      <w:r w:rsidR="00D42804">
        <w:rPr>
          <w:lang w:val="lv-LV"/>
        </w:rPr>
        <w:t xml:space="preserve">tika </w:t>
      </w:r>
      <w:r w:rsidR="0011166D" w:rsidRPr="004D6021">
        <w:rPr>
          <w:lang w:val="lv-LV"/>
        </w:rPr>
        <w:t>apsūdzē</w:t>
      </w:r>
      <w:r w:rsidR="00D42804">
        <w:rPr>
          <w:lang w:val="lv-LV"/>
        </w:rPr>
        <w:t>ts</w:t>
      </w:r>
      <w:r w:rsidR="0011166D" w:rsidRPr="004D6021">
        <w:rPr>
          <w:lang w:val="lv-LV"/>
        </w:rPr>
        <w:t xml:space="preserve"> vairāku personu slepkavībā un slepkavīb</w:t>
      </w:r>
      <w:r w:rsidR="001F663C" w:rsidRPr="004D6021">
        <w:rPr>
          <w:lang w:val="lv-LV"/>
        </w:rPr>
        <w:t>u</w:t>
      </w:r>
      <w:r w:rsidR="0011166D" w:rsidRPr="004D6021">
        <w:rPr>
          <w:lang w:val="lv-LV"/>
        </w:rPr>
        <w:t xml:space="preserve"> mēģinājum</w:t>
      </w:r>
      <w:r w:rsidR="001F663C" w:rsidRPr="004D6021">
        <w:rPr>
          <w:lang w:val="lv-LV"/>
        </w:rPr>
        <w:t>os</w:t>
      </w:r>
      <w:r w:rsidR="0011166D" w:rsidRPr="004D6021">
        <w:rPr>
          <w:lang w:val="lv-LV"/>
        </w:rPr>
        <w:t xml:space="preserve">, dalībā </w:t>
      </w:r>
      <w:r w:rsidR="001F663C" w:rsidRPr="004D6021">
        <w:rPr>
          <w:lang w:val="lv-LV"/>
        </w:rPr>
        <w:t>mafijas tipa noziedzīgajā organizācijā</w:t>
      </w:r>
      <w:r w:rsidR="0011166D" w:rsidRPr="004D6021">
        <w:rPr>
          <w:lang w:val="lv-LV"/>
        </w:rPr>
        <w:t xml:space="preserve"> un </w:t>
      </w:r>
      <w:r w:rsidR="001F663C" w:rsidRPr="004D6021">
        <w:rPr>
          <w:lang w:val="lv-LV"/>
        </w:rPr>
        <w:t>nelikumīgā</w:t>
      </w:r>
      <w:r w:rsidR="0011166D" w:rsidRPr="004D6021">
        <w:rPr>
          <w:lang w:val="lv-LV"/>
        </w:rPr>
        <w:t xml:space="preserve"> ieroča nēsāšanā. Pieteikuma </w:t>
      </w:r>
      <w:r w:rsidR="00D42804" w:rsidRPr="004D6021">
        <w:rPr>
          <w:lang w:val="lv-LV"/>
        </w:rPr>
        <w:t>iesniedzēj</w:t>
      </w:r>
      <w:r w:rsidR="00D42804">
        <w:rPr>
          <w:lang w:val="lv-LV"/>
        </w:rPr>
        <w:t>s</w:t>
      </w:r>
      <w:r w:rsidR="00D42804" w:rsidRPr="004D6021">
        <w:rPr>
          <w:lang w:val="lv-LV"/>
        </w:rPr>
        <w:t xml:space="preserve"> </w:t>
      </w:r>
      <w:r w:rsidR="00D42804">
        <w:rPr>
          <w:lang w:val="lv-LV"/>
        </w:rPr>
        <w:t xml:space="preserve">tika </w:t>
      </w:r>
      <w:r w:rsidR="0011166D" w:rsidRPr="004D6021">
        <w:rPr>
          <w:lang w:val="lv-LV"/>
        </w:rPr>
        <w:t>apsūdzē</w:t>
      </w:r>
      <w:r w:rsidR="00D42804">
        <w:rPr>
          <w:lang w:val="lv-LV"/>
        </w:rPr>
        <w:t>ts</w:t>
      </w:r>
      <w:r w:rsidR="0011166D" w:rsidRPr="004D6021">
        <w:rPr>
          <w:lang w:val="lv-LV"/>
        </w:rPr>
        <w:t xml:space="preserve"> M. L. slepkavības pasūtīšanā. Viņ</w:t>
      </w:r>
      <w:r w:rsidR="00A42086">
        <w:rPr>
          <w:lang w:val="lv-LV"/>
        </w:rPr>
        <w:t>š</w:t>
      </w:r>
      <w:r w:rsidR="0011166D" w:rsidRPr="004D6021">
        <w:rPr>
          <w:lang w:val="lv-LV"/>
        </w:rPr>
        <w:t xml:space="preserve"> </w:t>
      </w:r>
      <w:r w:rsidR="00DE3443">
        <w:rPr>
          <w:lang w:val="lv-LV"/>
        </w:rPr>
        <w:t xml:space="preserve">tika </w:t>
      </w:r>
      <w:r w:rsidR="0011166D" w:rsidRPr="004D6021">
        <w:rPr>
          <w:lang w:val="lv-LV"/>
        </w:rPr>
        <w:t>apsūdzē</w:t>
      </w:r>
      <w:r w:rsidR="00DE3443">
        <w:rPr>
          <w:lang w:val="lv-LV"/>
        </w:rPr>
        <w:t>ts</w:t>
      </w:r>
      <w:r w:rsidR="0011166D" w:rsidRPr="004D6021">
        <w:rPr>
          <w:lang w:val="lv-LV"/>
        </w:rPr>
        <w:t xml:space="preserve"> </w:t>
      </w:r>
      <w:r w:rsidR="001F663C" w:rsidRPr="004D6021">
        <w:rPr>
          <w:lang w:val="lv-LV"/>
        </w:rPr>
        <w:t xml:space="preserve">arī </w:t>
      </w:r>
      <w:r w:rsidR="0011166D" w:rsidRPr="004D6021">
        <w:rPr>
          <w:lang w:val="lv-LV"/>
        </w:rPr>
        <w:t xml:space="preserve">līdzdalībā slepkavības ieroča nēsāšanā. Pieteikuma iesniedzējs apgalvoja, ka šis ierocis bija viens no tiem ieročiem, </w:t>
      </w:r>
      <w:r w:rsidR="00A42086">
        <w:rPr>
          <w:lang w:val="lv-LV"/>
        </w:rPr>
        <w:t xml:space="preserve">par </w:t>
      </w:r>
      <w:r w:rsidR="0011166D" w:rsidRPr="004D6021">
        <w:rPr>
          <w:lang w:val="lv-LV"/>
        </w:rPr>
        <w:t>kura nēsāšan</w:t>
      </w:r>
      <w:r w:rsidR="00A42086">
        <w:rPr>
          <w:lang w:val="lv-LV"/>
        </w:rPr>
        <w:t>u</w:t>
      </w:r>
      <w:r w:rsidR="0011166D" w:rsidRPr="004D6021">
        <w:rPr>
          <w:lang w:val="lv-LV"/>
        </w:rPr>
        <w:t xml:space="preserve"> viņš bija apsūdzēts </w:t>
      </w:r>
      <w:r w:rsidR="00A42086">
        <w:rPr>
          <w:lang w:val="lv-LV"/>
        </w:rPr>
        <w:t xml:space="preserve">arī </w:t>
      </w:r>
      <w:r w:rsidR="0011166D" w:rsidRPr="004D6021">
        <w:rPr>
          <w:lang w:val="lv-LV"/>
        </w:rPr>
        <w:t>pirmajā kriminālprocesā.</w:t>
      </w:r>
    </w:p>
    <w:p w:rsidR="006078C9" w:rsidRPr="004D6021" w:rsidRDefault="006078C9" w:rsidP="00583503">
      <w:pPr>
        <w:pStyle w:val="JuPara"/>
        <w:ind w:firstLine="0"/>
        <w:rPr>
          <w:lang w:val="lv-LV"/>
        </w:rPr>
      </w:pPr>
    </w:p>
    <w:p w:rsidR="00DD056E" w:rsidRPr="004D6021" w:rsidRDefault="00D746C3" w:rsidP="00DD056E">
      <w:pPr>
        <w:pStyle w:val="JuPara"/>
        <w:ind w:firstLine="0"/>
        <w:rPr>
          <w:lang w:val="lv-LV"/>
        </w:rPr>
      </w:pPr>
      <w:r w:rsidRPr="004D6021">
        <w:rPr>
          <w:lang w:val="lv-LV"/>
        </w:rPr>
        <w:fldChar w:fldCharType="begin"/>
      </w:r>
      <w:r w:rsidR="00DD056E" w:rsidRPr="004D6021">
        <w:rPr>
          <w:lang w:val="lv-LV"/>
        </w:rPr>
        <w:instrText xml:space="preserve"> SEQ level0 \*arabic </w:instrText>
      </w:r>
      <w:r w:rsidRPr="004D6021">
        <w:rPr>
          <w:lang w:val="lv-LV"/>
        </w:rPr>
        <w:fldChar w:fldCharType="separate"/>
      </w:r>
      <w:r w:rsidR="00B416E8" w:rsidRPr="004D6021">
        <w:rPr>
          <w:lang w:val="lv-LV"/>
        </w:rPr>
        <w:t>11</w:t>
      </w:r>
      <w:r w:rsidRPr="004D6021">
        <w:rPr>
          <w:lang w:val="lv-LV"/>
        </w:rPr>
        <w:fldChar w:fldCharType="end"/>
      </w:r>
      <w:r w:rsidR="00DD056E" w:rsidRPr="004D6021">
        <w:rPr>
          <w:lang w:val="lv-LV"/>
        </w:rPr>
        <w:t xml:space="preserve">. Tiesvedības laikā </w:t>
      </w:r>
      <w:r w:rsidR="00DE3443">
        <w:rPr>
          <w:lang w:val="lv-LV"/>
        </w:rPr>
        <w:t xml:space="preserve">tika </w:t>
      </w:r>
      <w:r w:rsidR="00DD056E" w:rsidRPr="004D6021">
        <w:rPr>
          <w:lang w:val="lv-LV"/>
        </w:rPr>
        <w:t>nopratinā</w:t>
      </w:r>
      <w:r w:rsidR="00DE3443">
        <w:rPr>
          <w:lang w:val="lv-LV"/>
        </w:rPr>
        <w:t>ti</w:t>
      </w:r>
      <w:r w:rsidR="00DD056E" w:rsidRPr="004D6021">
        <w:rPr>
          <w:lang w:val="lv-LV"/>
        </w:rPr>
        <w:t xml:space="preserve"> daudz</w:t>
      </w:r>
      <w:r w:rsidR="00DE3443">
        <w:rPr>
          <w:lang w:val="lv-LV"/>
        </w:rPr>
        <w:t>i</w:t>
      </w:r>
      <w:r w:rsidR="00DD056E" w:rsidRPr="004D6021">
        <w:rPr>
          <w:lang w:val="lv-LV"/>
        </w:rPr>
        <w:t xml:space="preserve"> lieciniek</w:t>
      </w:r>
      <w:r w:rsidR="00DE3443">
        <w:rPr>
          <w:lang w:val="lv-LV"/>
        </w:rPr>
        <w:t>i</w:t>
      </w:r>
      <w:r w:rsidR="00DD056E" w:rsidRPr="004D6021">
        <w:rPr>
          <w:lang w:val="lv-LV"/>
        </w:rPr>
        <w:t xml:space="preserve">, tostarp </w:t>
      </w:r>
      <w:r w:rsidR="00DD056E" w:rsidRPr="004D6021">
        <w:rPr>
          <w:i/>
          <w:lang w:val="lv-LV"/>
        </w:rPr>
        <w:t>pentiti</w:t>
      </w:r>
      <w:r w:rsidR="00DD056E" w:rsidRPr="004D6021">
        <w:rPr>
          <w:lang w:val="lv-LV"/>
        </w:rPr>
        <w:t xml:space="preserve"> (bijušie mafijas dalībnieki, kas izlēmuši sadarboties ar </w:t>
      </w:r>
      <w:r w:rsidR="001F663C" w:rsidRPr="004D6021">
        <w:rPr>
          <w:lang w:val="lv-LV"/>
        </w:rPr>
        <w:t xml:space="preserve">varas </w:t>
      </w:r>
      <w:r w:rsidR="00DD056E" w:rsidRPr="004D6021">
        <w:rPr>
          <w:lang w:val="lv-LV"/>
        </w:rPr>
        <w:t>iestādēm).</w:t>
      </w:r>
    </w:p>
    <w:p w:rsidR="006078C9" w:rsidRPr="004D6021" w:rsidRDefault="006078C9" w:rsidP="00583503">
      <w:pPr>
        <w:pStyle w:val="JuPara"/>
        <w:ind w:firstLine="0"/>
        <w:rPr>
          <w:lang w:val="lv-LV"/>
        </w:rPr>
      </w:pPr>
    </w:p>
    <w:p w:rsidR="00EA7178" w:rsidRPr="004D6021" w:rsidRDefault="00D746C3" w:rsidP="00EA7178">
      <w:pPr>
        <w:pStyle w:val="JuPara"/>
        <w:ind w:firstLine="0"/>
        <w:rPr>
          <w:lang w:val="lv-LV"/>
        </w:rPr>
      </w:pPr>
      <w:r w:rsidRPr="004D6021">
        <w:rPr>
          <w:lang w:val="lv-LV"/>
        </w:rPr>
        <w:fldChar w:fldCharType="begin"/>
      </w:r>
      <w:r w:rsidR="00EA7178" w:rsidRPr="004D6021">
        <w:rPr>
          <w:lang w:val="lv-LV"/>
        </w:rPr>
        <w:instrText xml:space="preserve"> SEQ level0 \*arabic </w:instrText>
      </w:r>
      <w:r w:rsidRPr="004D6021">
        <w:rPr>
          <w:lang w:val="lv-LV"/>
        </w:rPr>
        <w:fldChar w:fldCharType="separate"/>
      </w:r>
      <w:r w:rsidR="00B416E8" w:rsidRPr="004D6021">
        <w:rPr>
          <w:lang w:val="lv-LV"/>
        </w:rPr>
        <w:t>12</w:t>
      </w:r>
      <w:r w:rsidRPr="004D6021">
        <w:rPr>
          <w:lang w:val="lv-LV"/>
        </w:rPr>
        <w:fldChar w:fldCharType="end"/>
      </w:r>
      <w:r w:rsidR="00EA7178" w:rsidRPr="004D6021">
        <w:rPr>
          <w:lang w:val="lv-LV"/>
        </w:rPr>
        <w:t xml:space="preserve">. 1999. gada 22. septembrī Palmi </w:t>
      </w:r>
      <w:r w:rsidR="00A42086">
        <w:rPr>
          <w:lang w:val="lv-LV"/>
        </w:rPr>
        <w:t xml:space="preserve">zvērināto </w:t>
      </w:r>
      <w:r w:rsidR="00EA7178" w:rsidRPr="004D6021">
        <w:rPr>
          <w:lang w:val="lv-LV"/>
        </w:rPr>
        <w:t xml:space="preserve">tiesa pieteikuma iesniedzējam piesprieda piecus mūža ieslodzījumus un trīs gadu ilgu ieslodzījumu vieninieka kamerā. Papildus tā viņam </w:t>
      </w:r>
      <w:r w:rsidR="00661338" w:rsidRPr="004D6021">
        <w:rPr>
          <w:lang w:val="lv-LV"/>
        </w:rPr>
        <w:t xml:space="preserve">piesprieda kopā </w:t>
      </w:r>
      <w:r w:rsidR="00EA7178" w:rsidRPr="004D6021">
        <w:rPr>
          <w:lang w:val="lv-LV"/>
        </w:rPr>
        <w:t xml:space="preserve">vēl septiņdesmit gadu ilgu cietumsodu. Lēmuma pamatā bija </w:t>
      </w:r>
      <w:r w:rsidR="00EA7178" w:rsidRPr="004D6021">
        <w:rPr>
          <w:i/>
          <w:lang w:val="lv-LV"/>
        </w:rPr>
        <w:t>pentiti</w:t>
      </w:r>
      <w:r w:rsidR="00EA7178" w:rsidRPr="004D6021">
        <w:rPr>
          <w:lang w:val="lv-LV"/>
        </w:rPr>
        <w:t xml:space="preserve"> liecības, ko uzskatīja par precīzām un ticamām un ko apstiprināja citi pierādījumi.</w:t>
      </w:r>
    </w:p>
    <w:p w:rsidR="006078C9" w:rsidRPr="004D6021" w:rsidRDefault="006078C9" w:rsidP="00583503">
      <w:pPr>
        <w:pStyle w:val="JuPara"/>
        <w:ind w:firstLine="0"/>
        <w:rPr>
          <w:lang w:val="lv-LV"/>
        </w:rPr>
      </w:pPr>
    </w:p>
    <w:p w:rsidR="00661338" w:rsidRPr="004D6021" w:rsidRDefault="00661338" w:rsidP="00661338">
      <w:pPr>
        <w:pStyle w:val="JuH1"/>
        <w:spacing w:before="0" w:after="0"/>
        <w:ind w:left="0" w:firstLine="0"/>
        <w:rPr>
          <w:iCs w:val="0"/>
          <w:lang w:val="lv-LV"/>
        </w:rPr>
      </w:pPr>
      <w:r w:rsidRPr="004D6021">
        <w:rPr>
          <w:iCs w:val="0"/>
          <w:lang w:val="lv-LV"/>
        </w:rPr>
        <w:t>2. Apelācijas tiesvedība</w:t>
      </w:r>
    </w:p>
    <w:p w:rsidR="006078C9" w:rsidRPr="004D6021" w:rsidRDefault="006078C9" w:rsidP="00583503">
      <w:pPr>
        <w:pStyle w:val="JuH1"/>
        <w:spacing w:before="0" w:after="0"/>
        <w:ind w:left="0" w:firstLine="0"/>
        <w:rPr>
          <w:lang w:val="lv-LV"/>
        </w:rPr>
      </w:pPr>
    </w:p>
    <w:p w:rsidR="00EA7178" w:rsidRPr="004D6021" w:rsidRDefault="00D746C3" w:rsidP="00EA7178">
      <w:pPr>
        <w:pStyle w:val="JuPara"/>
        <w:ind w:firstLine="0"/>
        <w:rPr>
          <w:lang w:val="lv-LV"/>
        </w:rPr>
      </w:pPr>
      <w:r w:rsidRPr="004D6021">
        <w:rPr>
          <w:lang w:val="lv-LV"/>
        </w:rPr>
        <w:fldChar w:fldCharType="begin"/>
      </w:r>
      <w:r w:rsidR="00EA7178" w:rsidRPr="004D6021">
        <w:rPr>
          <w:lang w:val="lv-LV"/>
        </w:rPr>
        <w:instrText xml:space="preserve"> SEQ level0 \*arabic </w:instrText>
      </w:r>
      <w:r w:rsidRPr="004D6021">
        <w:rPr>
          <w:lang w:val="lv-LV"/>
        </w:rPr>
        <w:fldChar w:fldCharType="separate"/>
      </w:r>
      <w:r w:rsidR="00B416E8" w:rsidRPr="004D6021">
        <w:rPr>
          <w:lang w:val="lv-LV"/>
        </w:rPr>
        <w:t>13</w:t>
      </w:r>
      <w:r w:rsidRPr="004D6021">
        <w:rPr>
          <w:lang w:val="lv-LV"/>
        </w:rPr>
        <w:fldChar w:fldCharType="end"/>
      </w:r>
      <w:r w:rsidR="00EA7178" w:rsidRPr="004D6021">
        <w:rPr>
          <w:lang w:val="lv-LV"/>
        </w:rPr>
        <w:t>. Pieteikuma iesniedzējs spriedumu pārsūdzēja.</w:t>
      </w:r>
    </w:p>
    <w:p w:rsidR="006078C9" w:rsidRPr="004D6021" w:rsidRDefault="006078C9" w:rsidP="00583503">
      <w:pPr>
        <w:pStyle w:val="JuPara"/>
        <w:ind w:firstLine="0"/>
        <w:rPr>
          <w:lang w:val="lv-LV"/>
        </w:rPr>
      </w:pPr>
    </w:p>
    <w:p w:rsidR="006A74B5" w:rsidRPr="004D6021" w:rsidRDefault="00D746C3" w:rsidP="006A74B5">
      <w:pPr>
        <w:pStyle w:val="JuPara"/>
        <w:ind w:firstLine="0"/>
        <w:rPr>
          <w:lang w:val="lv-LV"/>
        </w:rPr>
      </w:pPr>
      <w:r w:rsidRPr="004D6021">
        <w:rPr>
          <w:lang w:val="lv-LV"/>
        </w:rPr>
        <w:fldChar w:fldCharType="begin"/>
      </w:r>
      <w:r w:rsidR="006A74B5" w:rsidRPr="004D6021">
        <w:rPr>
          <w:lang w:val="lv-LV"/>
        </w:rPr>
        <w:instrText xml:space="preserve"> SEQ level0 \*arabic </w:instrText>
      </w:r>
      <w:r w:rsidRPr="004D6021">
        <w:rPr>
          <w:lang w:val="lv-LV"/>
        </w:rPr>
        <w:fldChar w:fldCharType="separate"/>
      </w:r>
      <w:r w:rsidR="00B416E8" w:rsidRPr="004D6021">
        <w:rPr>
          <w:lang w:val="lv-LV"/>
        </w:rPr>
        <w:t>14</w:t>
      </w:r>
      <w:r w:rsidRPr="004D6021">
        <w:rPr>
          <w:lang w:val="lv-LV"/>
        </w:rPr>
        <w:fldChar w:fldCharType="end"/>
      </w:r>
      <w:r w:rsidR="006A74B5" w:rsidRPr="004D6021">
        <w:rPr>
          <w:lang w:val="lv-LV"/>
        </w:rPr>
        <w:t>. No 2000. gada pieteikuma iesniedzējs izcieta sodu stingrā režīma cietumā saskaņā ar 1975. gada 26. jūlija Likum</w:t>
      </w:r>
      <w:r w:rsidR="00C20057">
        <w:rPr>
          <w:lang w:val="lv-LV"/>
        </w:rPr>
        <w:t>a</w:t>
      </w:r>
      <w:r w:rsidR="006A74B5" w:rsidRPr="004D6021">
        <w:rPr>
          <w:lang w:val="lv-LV"/>
        </w:rPr>
        <w:t xml:space="preserve"> Nr. 354 (dēvēts par “Ieslodzījuma vietu likumu”)</w:t>
      </w:r>
      <w:r w:rsidR="00C20057">
        <w:rPr>
          <w:lang w:val="lv-LV"/>
        </w:rPr>
        <w:t xml:space="preserve"> </w:t>
      </w:r>
      <w:r w:rsidR="00C20057" w:rsidRPr="004D6021">
        <w:rPr>
          <w:lang w:val="lv-LV"/>
        </w:rPr>
        <w:t>41.</w:t>
      </w:r>
      <w:r w:rsidR="00C20057" w:rsidRPr="004D6021">
        <w:rPr>
          <w:i/>
          <w:lang w:val="lv-LV"/>
        </w:rPr>
        <w:t>bis</w:t>
      </w:r>
      <w:r w:rsidR="00C20057" w:rsidRPr="004D6021">
        <w:rPr>
          <w:lang w:val="lv-LV"/>
        </w:rPr>
        <w:t xml:space="preserve"> pantu</w:t>
      </w:r>
      <w:r w:rsidR="006A74B5" w:rsidRPr="004D6021">
        <w:rPr>
          <w:lang w:val="lv-LV"/>
        </w:rPr>
        <w:t xml:space="preserve">, </w:t>
      </w:r>
      <w:r w:rsidR="00661338" w:rsidRPr="004D6021">
        <w:rPr>
          <w:lang w:val="lv-LV"/>
        </w:rPr>
        <w:t xml:space="preserve">un </w:t>
      </w:r>
      <w:r w:rsidR="006A74B5" w:rsidRPr="004D6021">
        <w:rPr>
          <w:lang w:val="lv-LV"/>
        </w:rPr>
        <w:t xml:space="preserve">cita starpā </w:t>
      </w:r>
      <w:r w:rsidR="00661338" w:rsidRPr="004D6021">
        <w:rPr>
          <w:lang w:val="lv-LV"/>
        </w:rPr>
        <w:t>tika ierobežota viņa saskarsme</w:t>
      </w:r>
      <w:r w:rsidR="006A74B5" w:rsidRPr="004D6021">
        <w:rPr>
          <w:lang w:val="lv-LV"/>
        </w:rPr>
        <w:t xml:space="preserve"> ar ārējo pasauli. Attiecīgi pieteikuma iesniedzēj</w:t>
      </w:r>
      <w:r w:rsidR="00A42086">
        <w:rPr>
          <w:lang w:val="lv-LV"/>
        </w:rPr>
        <w:t>s</w:t>
      </w:r>
      <w:r w:rsidR="006A74B5" w:rsidRPr="004D6021">
        <w:rPr>
          <w:lang w:val="lv-LV"/>
        </w:rPr>
        <w:t xml:space="preserve"> vairs ne</w:t>
      </w:r>
      <w:r w:rsidR="00C20057">
        <w:rPr>
          <w:lang w:val="lv-LV"/>
        </w:rPr>
        <w:t xml:space="preserve">tika </w:t>
      </w:r>
      <w:r w:rsidR="006A74B5" w:rsidRPr="004D6021">
        <w:rPr>
          <w:lang w:val="lv-LV"/>
        </w:rPr>
        <w:t>ve</w:t>
      </w:r>
      <w:r w:rsidR="00C20057">
        <w:rPr>
          <w:lang w:val="lv-LV"/>
        </w:rPr>
        <w:t>sts</w:t>
      </w:r>
      <w:r w:rsidR="006A74B5" w:rsidRPr="004D6021">
        <w:rPr>
          <w:lang w:val="lv-LV"/>
        </w:rPr>
        <w:t xml:space="preserve"> no cietuma uz tiesas </w:t>
      </w:r>
      <w:r w:rsidR="00661338" w:rsidRPr="004D6021">
        <w:rPr>
          <w:lang w:val="lv-LV"/>
        </w:rPr>
        <w:t>sēžu zāli</w:t>
      </w:r>
      <w:r w:rsidR="006A74B5" w:rsidRPr="004D6021">
        <w:rPr>
          <w:lang w:val="lv-LV"/>
        </w:rPr>
        <w:t xml:space="preserve">. Tomēr </w:t>
      </w:r>
      <w:r w:rsidR="00661338" w:rsidRPr="004D6021">
        <w:rPr>
          <w:lang w:val="lv-LV"/>
        </w:rPr>
        <w:t xml:space="preserve">2001. gada 21. februārī un 15. jūnijā un 2002. gada 5. martā </w:t>
      </w:r>
      <w:r w:rsidR="006A74B5" w:rsidRPr="004D6021">
        <w:rPr>
          <w:lang w:val="lv-LV"/>
        </w:rPr>
        <w:t xml:space="preserve">viņš varēja piedalīties </w:t>
      </w:r>
      <w:r w:rsidR="00661338" w:rsidRPr="004D6021">
        <w:rPr>
          <w:lang w:val="lv-LV"/>
        </w:rPr>
        <w:t>tiesas sēdēs</w:t>
      </w:r>
      <w:r w:rsidR="006A74B5" w:rsidRPr="004D6021">
        <w:rPr>
          <w:lang w:val="lv-LV"/>
        </w:rPr>
        <w:t xml:space="preserve">, izmantojot audiovizuālo </w:t>
      </w:r>
      <w:r w:rsidR="00661338" w:rsidRPr="004D6021">
        <w:rPr>
          <w:lang w:val="lv-LV"/>
        </w:rPr>
        <w:t xml:space="preserve">datu pārraides </w:t>
      </w:r>
      <w:r w:rsidR="00E6621A">
        <w:rPr>
          <w:lang w:val="lv-LV"/>
        </w:rPr>
        <w:t>savienojumu</w:t>
      </w:r>
      <w:r w:rsidR="00E6621A" w:rsidRPr="004D6021">
        <w:rPr>
          <w:lang w:val="lv-LV"/>
        </w:rPr>
        <w:t xml:space="preserve"> </w:t>
      </w:r>
      <w:r w:rsidR="003F03EE" w:rsidRPr="004D6021">
        <w:rPr>
          <w:lang w:val="lv-LV"/>
        </w:rPr>
        <w:t xml:space="preserve">no </w:t>
      </w:r>
      <w:r w:rsidR="006A74B5" w:rsidRPr="004D6021">
        <w:rPr>
          <w:lang w:val="lv-LV"/>
        </w:rPr>
        <w:t xml:space="preserve">tiesas sēžu </w:t>
      </w:r>
      <w:r w:rsidR="003F03EE" w:rsidRPr="004D6021">
        <w:rPr>
          <w:lang w:val="lv-LV"/>
        </w:rPr>
        <w:t>zāles</w:t>
      </w:r>
      <w:r w:rsidR="006A74B5" w:rsidRPr="004D6021">
        <w:rPr>
          <w:lang w:val="lv-LV"/>
        </w:rPr>
        <w:t>.</w:t>
      </w:r>
    </w:p>
    <w:p w:rsidR="006078C9" w:rsidRPr="004D6021" w:rsidRDefault="006078C9" w:rsidP="00583503">
      <w:pPr>
        <w:pStyle w:val="JuPara"/>
        <w:ind w:firstLine="0"/>
        <w:rPr>
          <w:lang w:val="lv-LV"/>
        </w:rPr>
      </w:pPr>
    </w:p>
    <w:p w:rsidR="00CD26BD" w:rsidRPr="004D6021" w:rsidRDefault="00D746C3" w:rsidP="00CD26BD">
      <w:pPr>
        <w:pStyle w:val="JuPara"/>
        <w:ind w:firstLine="0"/>
        <w:rPr>
          <w:lang w:val="lv-LV"/>
        </w:rPr>
      </w:pPr>
      <w:r w:rsidRPr="004D6021">
        <w:rPr>
          <w:lang w:val="lv-LV"/>
        </w:rPr>
        <w:fldChar w:fldCharType="begin"/>
      </w:r>
      <w:r w:rsidR="00CD26BD" w:rsidRPr="004D6021">
        <w:rPr>
          <w:lang w:val="lv-LV"/>
        </w:rPr>
        <w:instrText xml:space="preserve"> SEQ level0 \*arabic </w:instrText>
      </w:r>
      <w:r w:rsidRPr="004D6021">
        <w:rPr>
          <w:lang w:val="lv-LV"/>
        </w:rPr>
        <w:fldChar w:fldCharType="separate"/>
      </w:r>
      <w:r w:rsidR="00B416E8" w:rsidRPr="004D6021">
        <w:rPr>
          <w:lang w:val="lv-LV"/>
        </w:rPr>
        <w:t>15</w:t>
      </w:r>
      <w:r w:rsidRPr="004D6021">
        <w:rPr>
          <w:lang w:val="lv-LV"/>
        </w:rPr>
        <w:fldChar w:fldCharType="end"/>
      </w:r>
      <w:r w:rsidR="00CD26BD" w:rsidRPr="004D6021">
        <w:rPr>
          <w:lang w:val="lv-LV"/>
        </w:rPr>
        <w:t xml:space="preserve">. </w:t>
      </w:r>
      <w:r w:rsidR="00A42086">
        <w:rPr>
          <w:lang w:val="lv-LV"/>
        </w:rPr>
        <w:t>S</w:t>
      </w:r>
      <w:r w:rsidR="00CD26BD" w:rsidRPr="004D6021">
        <w:rPr>
          <w:lang w:val="lv-LV"/>
        </w:rPr>
        <w:t>av</w:t>
      </w:r>
      <w:r w:rsidR="00A42086">
        <w:rPr>
          <w:lang w:val="lv-LV"/>
        </w:rPr>
        <w:t>ā</w:t>
      </w:r>
      <w:r w:rsidR="00CD26BD" w:rsidRPr="004D6021">
        <w:rPr>
          <w:lang w:val="lv-LV"/>
        </w:rPr>
        <w:t xml:space="preserve"> 2002. gada 5. marta </w:t>
      </w:r>
      <w:r w:rsidR="00A42086" w:rsidRPr="004D6021">
        <w:rPr>
          <w:lang w:val="lv-LV"/>
        </w:rPr>
        <w:t>spriedum</w:t>
      </w:r>
      <w:r w:rsidR="00A42086">
        <w:rPr>
          <w:lang w:val="lv-LV"/>
        </w:rPr>
        <w:t>ā</w:t>
      </w:r>
      <w:r w:rsidR="00A42086" w:rsidRPr="004D6021">
        <w:rPr>
          <w:lang w:val="lv-LV"/>
        </w:rPr>
        <w:t xml:space="preserve"> </w:t>
      </w:r>
      <w:r w:rsidR="00CD26BD" w:rsidRPr="004D6021">
        <w:rPr>
          <w:lang w:val="lv-LV"/>
        </w:rPr>
        <w:t>Redžo di Kalabrijas apelācijas tiesa atsauca vienu no apsūdzībām slepkavībā, kas bija izvirzīta pret pieteikuma iesniedzēju. Tā atzina, ka pieteikuma iesniedzēja izdarītie nodarījumi bija daļa no vienotas noziedzīgās darbības [</w:t>
      </w:r>
      <w:r w:rsidR="00CD26BD" w:rsidRPr="004D6021">
        <w:rPr>
          <w:i/>
          <w:lang w:val="lv-LV"/>
        </w:rPr>
        <w:t>unico disegno criminoso</w:t>
      </w:r>
      <w:r w:rsidR="00CD26BD" w:rsidRPr="004D6021">
        <w:rPr>
          <w:lang w:val="lv-LV"/>
        </w:rPr>
        <w:t>], un samazināja viņam piespriesto sodu līdz vienam mūža ieslodzījumam</w:t>
      </w:r>
      <w:r w:rsidR="003F03EE" w:rsidRPr="004D6021">
        <w:rPr>
          <w:lang w:val="lv-LV"/>
        </w:rPr>
        <w:t xml:space="preserve">, bet </w:t>
      </w:r>
      <w:r w:rsidR="00CD26BD" w:rsidRPr="004D6021">
        <w:rPr>
          <w:lang w:val="lv-LV"/>
        </w:rPr>
        <w:t>ieslodzījumu vieninieka kamerā – līdz diviem gadiem.</w:t>
      </w:r>
    </w:p>
    <w:p w:rsidR="006078C9" w:rsidRPr="004D6021" w:rsidRDefault="006078C9" w:rsidP="00583503">
      <w:pPr>
        <w:pStyle w:val="JuPara"/>
        <w:ind w:firstLine="0"/>
        <w:rPr>
          <w:lang w:val="lv-LV"/>
        </w:rPr>
      </w:pPr>
    </w:p>
    <w:p w:rsidR="00CD26BD" w:rsidRPr="004D6021" w:rsidRDefault="00CD26BD" w:rsidP="00CD26BD">
      <w:pPr>
        <w:pStyle w:val="JuH1"/>
        <w:spacing w:before="0" w:after="0"/>
        <w:ind w:left="0" w:firstLine="0"/>
        <w:rPr>
          <w:iCs w:val="0"/>
          <w:lang w:val="lv-LV"/>
        </w:rPr>
      </w:pPr>
      <w:r w:rsidRPr="004D6021">
        <w:rPr>
          <w:iCs w:val="0"/>
          <w:lang w:val="lv-LV"/>
        </w:rPr>
        <w:t xml:space="preserve">3. </w:t>
      </w:r>
      <w:r w:rsidR="00E6621A">
        <w:rPr>
          <w:iCs w:val="0"/>
          <w:lang w:val="lv-LV"/>
        </w:rPr>
        <w:t>Kasācijas sūdzība</w:t>
      </w:r>
    </w:p>
    <w:p w:rsidR="006078C9" w:rsidRPr="004D6021" w:rsidRDefault="006078C9" w:rsidP="00583503">
      <w:pPr>
        <w:pStyle w:val="JuH1"/>
        <w:spacing w:before="0" w:after="0"/>
        <w:ind w:left="0" w:firstLine="0"/>
        <w:rPr>
          <w:lang w:val="lv-LV"/>
        </w:rPr>
      </w:pPr>
    </w:p>
    <w:p w:rsidR="003D637E" w:rsidRPr="004D6021" w:rsidRDefault="00D746C3" w:rsidP="003D637E">
      <w:pPr>
        <w:pStyle w:val="JuPara"/>
        <w:ind w:firstLine="0"/>
        <w:rPr>
          <w:lang w:val="lv-LV"/>
        </w:rPr>
      </w:pPr>
      <w:r w:rsidRPr="004D6021">
        <w:rPr>
          <w:lang w:val="lv-LV"/>
        </w:rPr>
        <w:fldChar w:fldCharType="begin"/>
      </w:r>
      <w:r w:rsidR="00F654C9" w:rsidRPr="004D6021">
        <w:rPr>
          <w:lang w:val="lv-LV"/>
        </w:rPr>
        <w:instrText xml:space="preserve"> SEQ level0 \*arabic </w:instrText>
      </w:r>
      <w:r w:rsidRPr="004D6021">
        <w:rPr>
          <w:lang w:val="lv-LV"/>
        </w:rPr>
        <w:fldChar w:fldCharType="separate"/>
      </w:r>
      <w:r w:rsidR="00B416E8" w:rsidRPr="004D6021">
        <w:rPr>
          <w:lang w:val="lv-LV"/>
        </w:rPr>
        <w:t>16</w:t>
      </w:r>
      <w:r w:rsidRPr="004D6021">
        <w:rPr>
          <w:lang w:val="lv-LV"/>
        </w:rPr>
        <w:fldChar w:fldCharType="end"/>
      </w:r>
      <w:r w:rsidR="003D637E" w:rsidRPr="004D6021">
        <w:rPr>
          <w:lang w:val="lv-LV"/>
        </w:rPr>
        <w:t xml:space="preserve">. Pieteikuma iesniedzējs </w:t>
      </w:r>
      <w:r w:rsidR="00E6621A">
        <w:rPr>
          <w:lang w:val="lv-LV"/>
        </w:rPr>
        <w:t>iesniedza kasācijas sūdzību</w:t>
      </w:r>
      <w:r w:rsidR="003D637E" w:rsidRPr="004D6021">
        <w:rPr>
          <w:lang w:val="lv-LV"/>
        </w:rPr>
        <w:t xml:space="preserve">. Viņš cita starpā sūdzējās, ka apelācijas tiesa neizklāstīja pamatojumu savam </w:t>
      </w:r>
      <w:r w:rsidR="00A8353D">
        <w:rPr>
          <w:lang w:val="lv-LV"/>
        </w:rPr>
        <w:t>lēmumam atzīt prāvā nopratināto</w:t>
      </w:r>
      <w:r w:rsidR="003D637E" w:rsidRPr="004D6021">
        <w:rPr>
          <w:lang w:val="lv-LV"/>
        </w:rPr>
        <w:t xml:space="preserve"> liecinieku liecības </w:t>
      </w:r>
      <w:r w:rsidR="00A8353D">
        <w:rPr>
          <w:lang w:val="lv-LV"/>
        </w:rPr>
        <w:t>par ticamām</w:t>
      </w:r>
      <w:r w:rsidR="003D637E" w:rsidRPr="004D6021">
        <w:rPr>
          <w:lang w:val="lv-LV"/>
        </w:rPr>
        <w:t xml:space="preserve">, </w:t>
      </w:r>
      <w:r w:rsidR="00A8353D">
        <w:rPr>
          <w:lang w:val="lv-LV"/>
        </w:rPr>
        <w:t>neskatoties uz vairākām nepilnībām tajās</w:t>
      </w:r>
      <w:r w:rsidR="003D637E" w:rsidRPr="004D6021">
        <w:rPr>
          <w:lang w:val="lv-LV"/>
        </w:rPr>
        <w:t>. Attiecībā uz M. L. slepkavību pieteikuma iesniedzējs norādīja, ka</w:t>
      </w:r>
      <w:r w:rsidR="003F03EE" w:rsidRPr="004D6021">
        <w:rPr>
          <w:lang w:val="lv-LV"/>
        </w:rPr>
        <w:t xml:space="preserve"> viens no apsūdzības pierādījumiem bija</w:t>
      </w:r>
      <w:r w:rsidR="003D637E" w:rsidRPr="004D6021">
        <w:rPr>
          <w:lang w:val="lv-LV"/>
        </w:rPr>
        <w:t xml:space="preserve"> </w:t>
      </w:r>
      <w:r w:rsidR="003F03EE" w:rsidRPr="004D6021">
        <w:rPr>
          <w:lang w:val="lv-LV"/>
        </w:rPr>
        <w:t>fakts, ka policija atrada Valtera sistēmas pistoli P38 mašīnā, kas bija novietota pie viņam piederošā zemes gabala</w:t>
      </w:r>
      <w:r w:rsidR="003D637E" w:rsidRPr="004D6021">
        <w:rPr>
          <w:lang w:val="lv-LV"/>
        </w:rPr>
        <w:t>. Tomēr pirmajā kriminālprocesā pieteikuma iesniedzēj</w:t>
      </w:r>
      <w:r w:rsidR="00102129">
        <w:rPr>
          <w:lang w:val="lv-LV"/>
        </w:rPr>
        <w:t>s</w:t>
      </w:r>
      <w:r w:rsidR="003D637E" w:rsidRPr="004D6021">
        <w:rPr>
          <w:lang w:val="lv-LV"/>
        </w:rPr>
        <w:t xml:space="preserve"> </w:t>
      </w:r>
      <w:r w:rsidR="00102129">
        <w:rPr>
          <w:lang w:val="lv-LV"/>
        </w:rPr>
        <w:t xml:space="preserve">tika </w:t>
      </w:r>
      <w:r w:rsidR="003D637E" w:rsidRPr="004D6021">
        <w:rPr>
          <w:lang w:val="lv-LV"/>
        </w:rPr>
        <w:t>attaisno</w:t>
      </w:r>
      <w:r w:rsidR="00102129">
        <w:rPr>
          <w:lang w:val="lv-LV"/>
        </w:rPr>
        <w:t>ts</w:t>
      </w:r>
      <w:r w:rsidR="003D637E" w:rsidRPr="004D6021">
        <w:rPr>
          <w:lang w:val="lv-LV"/>
        </w:rPr>
        <w:t xml:space="preserve"> apsūdzībā saistībā ar šīs pistoles nēsāšanu. Turklāt šie netiešie pierādījumi nekādā veidā nepierāda, ka viņš </w:t>
      </w:r>
      <w:r w:rsidR="003F03EE" w:rsidRPr="004D6021">
        <w:rPr>
          <w:lang w:val="lv-LV"/>
        </w:rPr>
        <w:t>bija</w:t>
      </w:r>
      <w:r w:rsidR="003D637E" w:rsidRPr="004D6021">
        <w:rPr>
          <w:lang w:val="lv-LV"/>
        </w:rPr>
        <w:t xml:space="preserve"> pasūtījis M.</w:t>
      </w:r>
      <w:r w:rsidR="003F03EE" w:rsidRPr="004D6021">
        <w:rPr>
          <w:lang w:val="lv-LV"/>
        </w:rPr>
        <w:t> </w:t>
      </w:r>
      <w:r w:rsidR="003D637E" w:rsidRPr="004D6021">
        <w:rPr>
          <w:lang w:val="lv-LV"/>
        </w:rPr>
        <w:t>L. slepkavību.</w:t>
      </w:r>
    </w:p>
    <w:p w:rsidR="006078C9" w:rsidRPr="004D6021" w:rsidRDefault="006078C9" w:rsidP="00583503">
      <w:pPr>
        <w:pStyle w:val="JuPara"/>
        <w:ind w:firstLine="0"/>
        <w:rPr>
          <w:lang w:val="lv-LV"/>
        </w:rPr>
      </w:pPr>
    </w:p>
    <w:p w:rsidR="0086413F" w:rsidRPr="004D6021" w:rsidRDefault="00D746C3" w:rsidP="0086413F">
      <w:pPr>
        <w:pStyle w:val="JuPara"/>
        <w:ind w:firstLine="0"/>
        <w:rPr>
          <w:lang w:val="lv-LV"/>
        </w:rPr>
      </w:pPr>
      <w:r w:rsidRPr="004D6021">
        <w:rPr>
          <w:lang w:val="lv-LV"/>
        </w:rPr>
        <w:fldChar w:fldCharType="begin"/>
      </w:r>
      <w:r w:rsidR="0086413F" w:rsidRPr="004D6021">
        <w:rPr>
          <w:lang w:val="lv-LV"/>
        </w:rPr>
        <w:instrText xml:space="preserve"> SEQ level0 \*arabic </w:instrText>
      </w:r>
      <w:r w:rsidRPr="004D6021">
        <w:rPr>
          <w:lang w:val="lv-LV"/>
        </w:rPr>
        <w:fldChar w:fldCharType="separate"/>
      </w:r>
      <w:r w:rsidR="00B416E8" w:rsidRPr="004D6021">
        <w:rPr>
          <w:lang w:val="lv-LV"/>
        </w:rPr>
        <w:t>17</w:t>
      </w:r>
      <w:r w:rsidRPr="004D6021">
        <w:rPr>
          <w:lang w:val="lv-LV"/>
        </w:rPr>
        <w:fldChar w:fldCharType="end"/>
      </w:r>
      <w:r w:rsidR="0086413F" w:rsidRPr="004D6021">
        <w:rPr>
          <w:lang w:val="lv-LV"/>
        </w:rPr>
        <w:t xml:space="preserve">. Pieteikuma iesniedzējs neapgalvoja, ka veids, kādā viņš piedalījās </w:t>
      </w:r>
      <w:r w:rsidR="00D61A17" w:rsidRPr="004D6021">
        <w:rPr>
          <w:lang w:val="lv-LV"/>
        </w:rPr>
        <w:t>apelācijas tiesas</w:t>
      </w:r>
      <w:r w:rsidR="0086413F" w:rsidRPr="004D6021">
        <w:rPr>
          <w:lang w:val="lv-LV"/>
        </w:rPr>
        <w:t xml:space="preserve"> sēdēs, bija pretrunā viņa tiesībām uz taisnīgu </w:t>
      </w:r>
      <w:r w:rsidR="00D61A17" w:rsidRPr="004D6021">
        <w:rPr>
          <w:lang w:val="lv-LV"/>
        </w:rPr>
        <w:t>tiesu</w:t>
      </w:r>
      <w:r w:rsidR="0086413F" w:rsidRPr="004D6021">
        <w:rPr>
          <w:lang w:val="lv-LV"/>
        </w:rPr>
        <w:t>.</w:t>
      </w:r>
    </w:p>
    <w:p w:rsidR="006078C9" w:rsidRPr="004D6021" w:rsidRDefault="006078C9" w:rsidP="00583503">
      <w:pPr>
        <w:pStyle w:val="JuPara"/>
        <w:ind w:firstLine="0"/>
        <w:rPr>
          <w:lang w:val="lv-LV"/>
        </w:rPr>
      </w:pPr>
    </w:p>
    <w:p w:rsidR="000133F6" w:rsidRPr="004D6021" w:rsidRDefault="00D746C3" w:rsidP="000133F6">
      <w:pPr>
        <w:pStyle w:val="JuPara"/>
        <w:ind w:firstLine="0"/>
        <w:rPr>
          <w:lang w:val="lv-LV"/>
        </w:rPr>
      </w:pPr>
      <w:r w:rsidRPr="004D6021">
        <w:rPr>
          <w:lang w:val="lv-LV"/>
        </w:rPr>
        <w:fldChar w:fldCharType="begin"/>
      </w:r>
      <w:r w:rsidR="000133F6" w:rsidRPr="004D6021">
        <w:rPr>
          <w:lang w:val="lv-LV"/>
        </w:rPr>
        <w:instrText xml:space="preserve"> SEQ level0 \*arabic </w:instrText>
      </w:r>
      <w:r w:rsidRPr="004D6021">
        <w:rPr>
          <w:lang w:val="lv-LV"/>
        </w:rPr>
        <w:fldChar w:fldCharType="separate"/>
      </w:r>
      <w:r w:rsidR="00B416E8" w:rsidRPr="004D6021">
        <w:rPr>
          <w:lang w:val="lv-LV"/>
        </w:rPr>
        <w:t>18</w:t>
      </w:r>
      <w:r w:rsidRPr="004D6021">
        <w:rPr>
          <w:lang w:val="lv-LV"/>
        </w:rPr>
        <w:fldChar w:fldCharType="end"/>
      </w:r>
      <w:r w:rsidR="000133F6" w:rsidRPr="004D6021">
        <w:rPr>
          <w:lang w:val="lv-LV"/>
        </w:rPr>
        <w:t xml:space="preserve">. Savā 2004. gada 26. februāra spriedumā, kura tekstu deponēja Tiesas kancelejā 2004. gada 3. jūnijā, kasācijas tiesa noraidīja pieteikuma iesniedzēja pārsūdzību. Tā lēma, ka </w:t>
      </w:r>
      <w:r w:rsidR="00D61A17" w:rsidRPr="004D6021">
        <w:rPr>
          <w:lang w:val="lv-LV"/>
        </w:rPr>
        <w:t>apelācijas</w:t>
      </w:r>
      <w:r w:rsidR="000133F6" w:rsidRPr="004D6021">
        <w:rPr>
          <w:lang w:val="lv-LV"/>
        </w:rPr>
        <w:t xml:space="preserve"> tiesas sniegtais pamatojums </w:t>
      </w:r>
      <w:r w:rsidR="00D61A17" w:rsidRPr="004D6021">
        <w:rPr>
          <w:lang w:val="lv-LV"/>
        </w:rPr>
        <w:t>saviem</w:t>
      </w:r>
      <w:r w:rsidR="000133F6" w:rsidRPr="004D6021">
        <w:rPr>
          <w:lang w:val="lv-LV"/>
        </w:rPr>
        <w:t xml:space="preserve"> lēmumiem attiecībā uz visiem apstrīdētajiem jautājumiem </w:t>
      </w:r>
      <w:r w:rsidR="00D61A17" w:rsidRPr="004D6021">
        <w:rPr>
          <w:lang w:val="lv-LV"/>
        </w:rPr>
        <w:t>bija</w:t>
      </w:r>
      <w:r w:rsidR="000133F6" w:rsidRPr="004D6021">
        <w:rPr>
          <w:lang w:val="lv-LV"/>
        </w:rPr>
        <w:t xml:space="preserve"> loģisks un pareizs.</w:t>
      </w:r>
    </w:p>
    <w:p w:rsidR="006078C9" w:rsidRPr="004D6021" w:rsidRDefault="006078C9" w:rsidP="00583503">
      <w:pPr>
        <w:pStyle w:val="JuPara"/>
        <w:ind w:firstLine="0"/>
        <w:rPr>
          <w:lang w:val="lv-LV"/>
        </w:rPr>
      </w:pPr>
    </w:p>
    <w:p w:rsidR="000133F6" w:rsidRPr="004D6021" w:rsidRDefault="000133F6" w:rsidP="000133F6">
      <w:pPr>
        <w:pStyle w:val="JuHIRoman"/>
        <w:spacing w:before="0" w:after="0"/>
        <w:ind w:left="0" w:firstLine="0"/>
        <w:rPr>
          <w:lang w:val="lv-LV"/>
        </w:rPr>
      </w:pPr>
      <w:r w:rsidRPr="004D6021">
        <w:rPr>
          <w:lang w:val="lv-LV"/>
        </w:rPr>
        <w:t xml:space="preserve">II. </w:t>
      </w:r>
      <w:r w:rsidR="00E6621A">
        <w:rPr>
          <w:lang w:val="lv-LV"/>
        </w:rPr>
        <w:t>PIEMĒROJAMIE</w:t>
      </w:r>
      <w:r w:rsidR="00E6621A" w:rsidRPr="004D6021">
        <w:rPr>
          <w:lang w:val="lv-LV"/>
        </w:rPr>
        <w:t xml:space="preserve"> </w:t>
      </w:r>
      <w:r w:rsidRPr="004D6021">
        <w:rPr>
          <w:lang w:val="lv-LV"/>
        </w:rPr>
        <w:t>VALSTS TIESĪBU AKTI UN PRAKSE</w:t>
      </w:r>
    </w:p>
    <w:p w:rsidR="006078C9" w:rsidRPr="004D6021" w:rsidRDefault="006078C9" w:rsidP="00583503">
      <w:pPr>
        <w:pStyle w:val="JuHIRoman"/>
        <w:spacing w:before="0" w:after="0"/>
        <w:ind w:left="0" w:firstLine="0"/>
        <w:rPr>
          <w:lang w:val="lv-LV"/>
        </w:rPr>
      </w:pPr>
    </w:p>
    <w:p w:rsidR="00486F0A" w:rsidRPr="004D6021" w:rsidRDefault="00D746C3" w:rsidP="00486F0A">
      <w:pPr>
        <w:pStyle w:val="JuPara"/>
        <w:ind w:firstLine="0"/>
        <w:rPr>
          <w:lang w:val="lv-LV"/>
        </w:rPr>
      </w:pPr>
      <w:r w:rsidRPr="004D6021">
        <w:rPr>
          <w:lang w:val="lv-LV"/>
        </w:rPr>
        <w:fldChar w:fldCharType="begin"/>
      </w:r>
      <w:r w:rsidR="00F654C9" w:rsidRPr="004D6021">
        <w:rPr>
          <w:lang w:val="lv-LV"/>
        </w:rPr>
        <w:instrText xml:space="preserve"> SEQ level0 \*arabic </w:instrText>
      </w:r>
      <w:r w:rsidRPr="004D6021">
        <w:rPr>
          <w:lang w:val="lv-LV"/>
        </w:rPr>
        <w:fldChar w:fldCharType="separate"/>
      </w:r>
      <w:r w:rsidR="00B416E8" w:rsidRPr="004D6021">
        <w:rPr>
          <w:lang w:val="lv-LV"/>
        </w:rPr>
        <w:t>19</w:t>
      </w:r>
      <w:r w:rsidRPr="004D6021">
        <w:rPr>
          <w:lang w:val="lv-LV"/>
        </w:rPr>
        <w:fldChar w:fldCharType="end"/>
      </w:r>
      <w:r w:rsidR="00486F0A" w:rsidRPr="004D6021">
        <w:rPr>
          <w:lang w:val="lv-LV"/>
        </w:rPr>
        <w:t>. 1998. gada 7. janvāra Likumā Nr. 11, kas ietver Krimināl</w:t>
      </w:r>
      <w:r w:rsidR="00A02F03" w:rsidRPr="004D6021">
        <w:rPr>
          <w:lang w:val="lv-LV"/>
        </w:rPr>
        <w:t xml:space="preserve">procesa </w:t>
      </w:r>
      <w:r w:rsidR="00486F0A" w:rsidRPr="004D6021">
        <w:rPr>
          <w:lang w:val="lv-LV"/>
        </w:rPr>
        <w:t>kodeksa īstenošanas noteikumus, ir iekļauts jauns 146.</w:t>
      </w:r>
      <w:r w:rsidR="00486F0A" w:rsidRPr="004D6021">
        <w:rPr>
          <w:i/>
          <w:lang w:val="lv-LV"/>
        </w:rPr>
        <w:t>bis</w:t>
      </w:r>
      <w:r w:rsidR="00486F0A" w:rsidRPr="004D6021">
        <w:rPr>
          <w:lang w:val="lv-LV"/>
        </w:rPr>
        <w:t xml:space="preserve"> pants, kura attiecīgās daļas pēc grozījumiem, kas tika veikti ar 2001. gada 19. janvāra Likumu Nr. 4, ir formulētas šādi:</w:t>
      </w:r>
    </w:p>
    <w:p w:rsidR="006078C9" w:rsidRPr="004D6021" w:rsidRDefault="006078C9" w:rsidP="00583503">
      <w:pPr>
        <w:pStyle w:val="JuPara"/>
        <w:ind w:firstLine="0"/>
        <w:rPr>
          <w:lang w:val="lv-LV"/>
        </w:rPr>
      </w:pPr>
    </w:p>
    <w:p w:rsidR="00A51821" w:rsidRPr="004D6021" w:rsidRDefault="00A51821" w:rsidP="00A51821">
      <w:pPr>
        <w:pStyle w:val="JuQuot"/>
        <w:spacing w:before="0" w:after="0"/>
        <w:ind w:left="0" w:firstLine="0"/>
        <w:rPr>
          <w:szCs w:val="24"/>
          <w:lang w:val="lv-LV"/>
        </w:rPr>
      </w:pPr>
      <w:r w:rsidRPr="004D6021">
        <w:rPr>
          <w:szCs w:val="24"/>
          <w:lang w:val="lv-LV"/>
        </w:rPr>
        <w:t xml:space="preserve">“1. </w:t>
      </w:r>
      <w:r w:rsidR="00D61A17" w:rsidRPr="004D6021">
        <w:rPr>
          <w:szCs w:val="24"/>
          <w:lang w:val="lv-LV"/>
        </w:rPr>
        <w:t>Tiesvedībā</w:t>
      </w:r>
      <w:r w:rsidRPr="004D6021">
        <w:rPr>
          <w:szCs w:val="24"/>
          <w:lang w:val="lv-LV"/>
        </w:rPr>
        <w:t xml:space="preserve"> saistībā ar noziegumiem, kas minēti Kodeksa 51.</w:t>
      </w:r>
      <w:r w:rsidR="007401A4" w:rsidRPr="004D6021">
        <w:rPr>
          <w:szCs w:val="24"/>
          <w:lang w:val="lv-LV"/>
        </w:rPr>
        <w:t> </w:t>
      </w:r>
      <w:r w:rsidRPr="004D6021">
        <w:rPr>
          <w:szCs w:val="24"/>
          <w:lang w:val="lv-LV"/>
        </w:rPr>
        <w:t>panta 3.</w:t>
      </w:r>
      <w:r w:rsidRPr="004D6021">
        <w:rPr>
          <w:i/>
          <w:szCs w:val="24"/>
          <w:lang w:val="lv-LV"/>
        </w:rPr>
        <w:t>bis</w:t>
      </w:r>
      <w:r w:rsidRPr="004D6021">
        <w:rPr>
          <w:szCs w:val="24"/>
          <w:lang w:val="lv-LV"/>
        </w:rPr>
        <w:t xml:space="preserve"> punktā un 407. panta 2. punkta a) apakšpunkta 4. daļā [galvenokārt ar </w:t>
      </w:r>
      <w:r w:rsidR="007401A4" w:rsidRPr="004D6021">
        <w:rPr>
          <w:szCs w:val="24"/>
          <w:lang w:val="lv-LV"/>
        </w:rPr>
        <w:t>mafiju</w:t>
      </w:r>
      <w:r w:rsidRPr="004D6021">
        <w:rPr>
          <w:szCs w:val="24"/>
          <w:lang w:val="lv-LV"/>
        </w:rPr>
        <w:t xml:space="preserve"> saistīti noziegumi un citi smagie noziegumi] persona, kas jebkurā statusā ir aizturēta cietumā, piedalās tiesas sēdēs no attāluma [</w:t>
      </w:r>
      <w:r w:rsidRPr="004D6021">
        <w:rPr>
          <w:i/>
          <w:szCs w:val="24"/>
          <w:lang w:val="lv-LV"/>
        </w:rPr>
        <w:t>a distanza</w:t>
      </w:r>
      <w:r w:rsidRPr="004D6021">
        <w:rPr>
          <w:szCs w:val="24"/>
          <w:lang w:val="lv-LV"/>
        </w:rPr>
        <w:t>] šādos gadījumos:</w:t>
      </w:r>
    </w:p>
    <w:p w:rsidR="006078C9" w:rsidRPr="004D6021" w:rsidRDefault="006078C9" w:rsidP="00583503">
      <w:pPr>
        <w:pStyle w:val="JuQuot"/>
        <w:spacing w:before="0" w:after="0"/>
        <w:ind w:left="0" w:firstLine="0"/>
        <w:rPr>
          <w:lang w:val="lv-LV"/>
        </w:rPr>
      </w:pPr>
    </w:p>
    <w:p w:rsidR="00A51821" w:rsidRPr="004D6021" w:rsidRDefault="00A51821" w:rsidP="00A51821">
      <w:pPr>
        <w:pStyle w:val="JuQuot"/>
        <w:spacing w:before="0" w:after="0"/>
        <w:ind w:left="0" w:firstLine="0"/>
        <w:rPr>
          <w:szCs w:val="24"/>
          <w:lang w:val="lv-LV"/>
        </w:rPr>
      </w:pPr>
      <w:r w:rsidRPr="004D6021">
        <w:rPr>
          <w:szCs w:val="24"/>
          <w:lang w:val="lv-LV"/>
        </w:rPr>
        <w:t xml:space="preserve">a) ja tas ir katrā ziņā nepieciešams </w:t>
      </w:r>
      <w:r w:rsidR="007401A4" w:rsidRPr="004D6021">
        <w:rPr>
          <w:szCs w:val="24"/>
          <w:lang w:val="lv-LV"/>
        </w:rPr>
        <w:t>valsts</w:t>
      </w:r>
      <w:r w:rsidRPr="004D6021">
        <w:rPr>
          <w:szCs w:val="24"/>
          <w:lang w:val="lv-LV"/>
        </w:rPr>
        <w:t xml:space="preserve"> drošībai vai sabiedriskās kārtības uzturēšanai;</w:t>
      </w:r>
    </w:p>
    <w:p w:rsidR="006078C9" w:rsidRPr="004D6021" w:rsidRDefault="006078C9" w:rsidP="00583503">
      <w:pPr>
        <w:pStyle w:val="JuQuot"/>
        <w:spacing w:before="0" w:after="0"/>
        <w:ind w:left="0" w:firstLine="0"/>
        <w:rPr>
          <w:lang w:val="lv-LV"/>
        </w:rPr>
      </w:pPr>
    </w:p>
    <w:p w:rsidR="00A51821" w:rsidRPr="004D6021" w:rsidRDefault="00A51821" w:rsidP="00A51821">
      <w:pPr>
        <w:pStyle w:val="JuQuot"/>
        <w:spacing w:before="0" w:after="0"/>
        <w:ind w:left="0" w:firstLine="0"/>
        <w:rPr>
          <w:szCs w:val="24"/>
          <w:lang w:val="lv-LV"/>
        </w:rPr>
      </w:pPr>
      <w:r w:rsidRPr="004D6021">
        <w:rPr>
          <w:szCs w:val="24"/>
          <w:lang w:val="lv-LV"/>
        </w:rPr>
        <w:t xml:space="preserve">b) ja tiesvedība ir īpaši sarežģīta un </w:t>
      </w:r>
      <w:r w:rsidR="000E1254" w:rsidRPr="004D6021">
        <w:rPr>
          <w:szCs w:val="24"/>
          <w:lang w:val="lv-LV"/>
        </w:rPr>
        <w:t>dalīb</w:t>
      </w:r>
      <w:r w:rsidR="000E1254">
        <w:rPr>
          <w:szCs w:val="24"/>
          <w:lang w:val="lv-LV"/>
        </w:rPr>
        <w:t>a</w:t>
      </w:r>
      <w:r w:rsidR="000E1254" w:rsidRPr="004D6021">
        <w:rPr>
          <w:szCs w:val="24"/>
          <w:lang w:val="lv-LV"/>
        </w:rPr>
        <w:t xml:space="preserve"> </w:t>
      </w:r>
      <w:r w:rsidRPr="004D6021">
        <w:rPr>
          <w:szCs w:val="24"/>
          <w:lang w:val="lv-LV"/>
        </w:rPr>
        <w:t xml:space="preserve">no attāluma </w:t>
      </w:r>
      <w:r w:rsidR="000E1254">
        <w:rPr>
          <w:szCs w:val="24"/>
          <w:lang w:val="lv-LV"/>
        </w:rPr>
        <w:t xml:space="preserve">tiek </w:t>
      </w:r>
      <w:r w:rsidRPr="004D6021">
        <w:rPr>
          <w:szCs w:val="24"/>
          <w:lang w:val="lv-LV"/>
        </w:rPr>
        <w:t>uzskat</w:t>
      </w:r>
      <w:r w:rsidR="000E1254">
        <w:rPr>
          <w:szCs w:val="24"/>
          <w:lang w:val="lv-LV"/>
        </w:rPr>
        <w:t>īta</w:t>
      </w:r>
      <w:r w:rsidRPr="004D6021">
        <w:rPr>
          <w:szCs w:val="24"/>
          <w:lang w:val="lv-LV"/>
        </w:rPr>
        <w:t xml:space="preserve"> par nepieciešamu, lai novērstu kavēšanos. Apsverot, vai tiesvedībā ir nepieciešams novērst kavēšanos, atbilstošā gadījumā ņem vērā arī faktu,</w:t>
      </w:r>
      <w:r w:rsidR="00102129">
        <w:rPr>
          <w:szCs w:val="24"/>
          <w:lang w:val="lv-LV"/>
        </w:rPr>
        <w:t xml:space="preserve"> vai</w:t>
      </w:r>
      <w:r w:rsidRPr="004D6021">
        <w:rPr>
          <w:szCs w:val="24"/>
          <w:lang w:val="lv-LV"/>
        </w:rPr>
        <w:t xml:space="preserve"> tajā pašā laikā pret to pašu aizstāvamo lietas tiek </w:t>
      </w:r>
      <w:r w:rsidR="007401A4" w:rsidRPr="004D6021">
        <w:rPr>
          <w:szCs w:val="24"/>
          <w:lang w:val="lv-LV"/>
        </w:rPr>
        <w:t>iztiesātas</w:t>
      </w:r>
      <w:r w:rsidRPr="004D6021">
        <w:rPr>
          <w:szCs w:val="24"/>
          <w:lang w:val="lv-LV"/>
        </w:rPr>
        <w:t xml:space="preserve"> arī citās tiesās.</w:t>
      </w:r>
    </w:p>
    <w:p w:rsidR="006078C9" w:rsidRPr="004D6021" w:rsidRDefault="006078C9" w:rsidP="00583503">
      <w:pPr>
        <w:pStyle w:val="JuQuot"/>
        <w:spacing w:before="0" w:after="0"/>
        <w:ind w:left="0" w:firstLine="0"/>
        <w:rPr>
          <w:lang w:val="lv-LV"/>
        </w:rPr>
      </w:pPr>
    </w:p>
    <w:p w:rsidR="00A444EC" w:rsidRPr="004D6021" w:rsidRDefault="00A444EC" w:rsidP="00A444EC">
      <w:pPr>
        <w:pStyle w:val="JuQuot"/>
        <w:spacing w:before="0" w:after="0"/>
        <w:ind w:left="0" w:firstLine="0"/>
        <w:rPr>
          <w:szCs w:val="24"/>
          <w:lang w:val="lv-LV"/>
        </w:rPr>
      </w:pPr>
      <w:r w:rsidRPr="004D6021">
        <w:rPr>
          <w:szCs w:val="24"/>
          <w:lang w:val="lv-LV"/>
        </w:rPr>
        <w:t>1.</w:t>
      </w:r>
      <w:r w:rsidRPr="004D6021">
        <w:rPr>
          <w:i/>
          <w:szCs w:val="24"/>
          <w:lang w:val="lv-LV"/>
        </w:rPr>
        <w:t>bis</w:t>
      </w:r>
      <w:r w:rsidRPr="004D6021">
        <w:rPr>
          <w:szCs w:val="24"/>
          <w:lang w:val="lv-LV"/>
        </w:rPr>
        <w:t xml:space="preserve"> Papildus 1. punktā minētajiem gadījumiem dalību no attāluma organizē arī tādā</w:t>
      </w:r>
      <w:r w:rsidR="007401A4" w:rsidRPr="004D6021">
        <w:rPr>
          <w:szCs w:val="24"/>
          <w:lang w:val="lv-LV"/>
        </w:rPr>
        <w:t>s</w:t>
      </w:r>
      <w:r w:rsidRPr="004D6021">
        <w:rPr>
          <w:szCs w:val="24"/>
          <w:lang w:val="lv-LV"/>
        </w:rPr>
        <w:t xml:space="preserve"> tiesvedībā</w:t>
      </w:r>
      <w:r w:rsidR="007401A4" w:rsidRPr="004D6021">
        <w:rPr>
          <w:szCs w:val="24"/>
          <w:lang w:val="lv-LV"/>
        </w:rPr>
        <w:t>s</w:t>
      </w:r>
      <w:r w:rsidRPr="004D6021">
        <w:rPr>
          <w:szCs w:val="24"/>
          <w:lang w:val="lv-LV"/>
        </w:rPr>
        <w:t>, kurās aizturētajam ir bijuši piemēroti 1975. gada 26. jūlija Likuma Nr. 354 41.</w:t>
      </w:r>
      <w:r w:rsidRPr="004D6021">
        <w:rPr>
          <w:i/>
          <w:szCs w:val="24"/>
          <w:lang w:val="lv-LV"/>
        </w:rPr>
        <w:t>bis</w:t>
      </w:r>
      <w:r w:rsidRPr="004D6021">
        <w:rPr>
          <w:szCs w:val="24"/>
          <w:lang w:val="lv-LV"/>
        </w:rPr>
        <w:t> panta 2. punktā paredzētie līdzekļi [..].</w:t>
      </w:r>
    </w:p>
    <w:p w:rsidR="006078C9" w:rsidRPr="004D6021" w:rsidRDefault="006078C9" w:rsidP="00583503">
      <w:pPr>
        <w:pStyle w:val="JuQuot"/>
        <w:spacing w:before="0" w:after="0"/>
        <w:ind w:left="0" w:firstLine="0"/>
        <w:rPr>
          <w:lang w:val="lv-LV"/>
        </w:rPr>
      </w:pPr>
    </w:p>
    <w:p w:rsidR="00105924" w:rsidRPr="004D6021" w:rsidRDefault="00105924" w:rsidP="00105924">
      <w:pPr>
        <w:pStyle w:val="JuQuot"/>
        <w:spacing w:before="0" w:after="0"/>
        <w:ind w:left="0" w:firstLine="0"/>
        <w:rPr>
          <w:szCs w:val="24"/>
          <w:lang w:val="lv-LV"/>
        </w:rPr>
      </w:pPr>
      <w:r w:rsidRPr="004D6021">
        <w:rPr>
          <w:szCs w:val="24"/>
          <w:lang w:val="lv-LV"/>
        </w:rPr>
        <w:t>2. Lēmumu par dalību tiesas sēdē no attāluma, vajadzības gadījumā pēc savas iniciatīvas izdod vai nu pirmās instances vai citas instances tiesas priekšsēdētājs [..] stadijā, kad tiek lemts par piemērojamajiem pirmstiesas līdzekļiem, vai arī tiesnesis [..] tiesvedības laikā. Par šā</w:t>
      </w:r>
      <w:r w:rsidR="007401A4" w:rsidRPr="004D6021">
        <w:rPr>
          <w:szCs w:val="24"/>
          <w:lang w:val="lv-LV"/>
        </w:rPr>
        <w:t>du rīkojumu pusēm un aizstāvības advokātam</w:t>
      </w:r>
      <w:r w:rsidRPr="004D6021">
        <w:rPr>
          <w:szCs w:val="24"/>
          <w:lang w:val="lv-LV"/>
        </w:rPr>
        <w:t xml:space="preserve"> paziņo vismaz desmit dienas pirms </w:t>
      </w:r>
      <w:r w:rsidR="007401A4" w:rsidRPr="004D6021">
        <w:rPr>
          <w:szCs w:val="24"/>
          <w:lang w:val="lv-LV"/>
        </w:rPr>
        <w:t xml:space="preserve">attiecīgās </w:t>
      </w:r>
      <w:r w:rsidRPr="004D6021">
        <w:rPr>
          <w:szCs w:val="24"/>
          <w:lang w:val="lv-LV"/>
        </w:rPr>
        <w:t>tiesas sēdes.</w:t>
      </w:r>
    </w:p>
    <w:p w:rsidR="006078C9" w:rsidRPr="004D6021" w:rsidRDefault="006078C9" w:rsidP="00583503">
      <w:pPr>
        <w:pStyle w:val="JuQuot"/>
        <w:spacing w:before="0" w:after="0"/>
        <w:ind w:left="0" w:firstLine="0"/>
        <w:rPr>
          <w:lang w:val="lv-LV"/>
        </w:rPr>
      </w:pPr>
    </w:p>
    <w:p w:rsidR="00B0073E" w:rsidRPr="004D6021" w:rsidRDefault="00B0073E" w:rsidP="00B0073E">
      <w:pPr>
        <w:pStyle w:val="JuQuot"/>
        <w:spacing w:before="0" w:after="0"/>
        <w:ind w:left="0" w:firstLine="0"/>
        <w:rPr>
          <w:szCs w:val="24"/>
          <w:lang w:val="lv-LV"/>
        </w:rPr>
      </w:pPr>
      <w:r w:rsidRPr="004D6021">
        <w:rPr>
          <w:szCs w:val="24"/>
          <w:lang w:val="lv-LV"/>
        </w:rPr>
        <w:t xml:space="preserve">3. Ja ir izdots rīkojums par dalību no attāluma, audiovizuālo datu pārraidi starp tiesas sēžu zāli un </w:t>
      </w:r>
      <w:r w:rsidR="00126196">
        <w:rPr>
          <w:szCs w:val="24"/>
          <w:lang w:val="lv-LV"/>
        </w:rPr>
        <w:t>apcietinājuma</w:t>
      </w:r>
      <w:r w:rsidR="00126196" w:rsidRPr="004D6021">
        <w:rPr>
          <w:szCs w:val="24"/>
          <w:lang w:val="lv-LV"/>
        </w:rPr>
        <w:t xml:space="preserve"> </w:t>
      </w:r>
      <w:r w:rsidRPr="004D6021">
        <w:rPr>
          <w:szCs w:val="24"/>
          <w:lang w:val="lv-LV"/>
        </w:rPr>
        <w:t>vietu nodrošina tā, lai personas abās vietās varētu skaidri un vienlaicīgi redzēt cita citu un dzirdēt teikto. Ja ir izdots rīkojums par šāda līdzekļa piemērošanu vairākiem apsūdzētajiem</w:t>
      </w:r>
      <w:r w:rsidR="007401A4" w:rsidRPr="004D6021">
        <w:rPr>
          <w:szCs w:val="24"/>
          <w:lang w:val="lv-LV"/>
        </w:rPr>
        <w:t xml:space="preserve">, kuri jebkurā statusā ir aizturēti dažādās vietās, </w:t>
      </w:r>
      <w:r w:rsidRPr="004D6021">
        <w:rPr>
          <w:szCs w:val="24"/>
          <w:lang w:val="lv-LV"/>
        </w:rPr>
        <w:t>tad veic vienādus pasākumus, lai katrs [no viņiem] varētu redzēt un dzirdēt pārējās personas.</w:t>
      </w:r>
    </w:p>
    <w:p w:rsidR="006078C9" w:rsidRPr="004D6021" w:rsidRDefault="006078C9" w:rsidP="00583503">
      <w:pPr>
        <w:pStyle w:val="JuQuot"/>
        <w:spacing w:before="0" w:after="0"/>
        <w:ind w:left="0" w:firstLine="0"/>
        <w:rPr>
          <w:lang w:val="lv-LV"/>
        </w:rPr>
      </w:pPr>
    </w:p>
    <w:p w:rsidR="009A456A" w:rsidRPr="004D6021" w:rsidRDefault="009A456A" w:rsidP="009A456A">
      <w:pPr>
        <w:pStyle w:val="JuQuot"/>
        <w:spacing w:before="0" w:after="0"/>
        <w:ind w:left="0" w:firstLine="0"/>
        <w:rPr>
          <w:szCs w:val="24"/>
          <w:lang w:val="lv-LV"/>
        </w:rPr>
      </w:pPr>
      <w:r w:rsidRPr="004D6021">
        <w:rPr>
          <w:szCs w:val="24"/>
          <w:lang w:val="lv-LV"/>
        </w:rPr>
        <w:t xml:space="preserve">4. </w:t>
      </w:r>
      <w:r w:rsidR="00102129">
        <w:rPr>
          <w:szCs w:val="24"/>
          <w:lang w:val="lv-LV"/>
        </w:rPr>
        <w:t>J</w:t>
      </w:r>
      <w:r w:rsidRPr="004D6021">
        <w:rPr>
          <w:szCs w:val="24"/>
          <w:lang w:val="lv-LV"/>
        </w:rPr>
        <w:t xml:space="preserve">ānodrošina, lai </w:t>
      </w:r>
      <w:r w:rsidR="007401A4" w:rsidRPr="004D6021">
        <w:rPr>
          <w:szCs w:val="24"/>
          <w:lang w:val="lv-LV"/>
        </w:rPr>
        <w:t>aizstāvības</w:t>
      </w:r>
      <w:r w:rsidRPr="004D6021">
        <w:rPr>
          <w:szCs w:val="24"/>
          <w:lang w:val="lv-LV"/>
        </w:rPr>
        <w:t xml:space="preserve"> advokāts vai viņa vietnieks vienmēr varētu būt klāt vietā, kur atrodas apsūdzētais. Ja </w:t>
      </w:r>
      <w:r w:rsidR="007401A4" w:rsidRPr="004D6021">
        <w:rPr>
          <w:szCs w:val="24"/>
          <w:lang w:val="lv-LV"/>
        </w:rPr>
        <w:t xml:space="preserve">aizstāvības </w:t>
      </w:r>
      <w:r w:rsidRPr="004D6021">
        <w:rPr>
          <w:szCs w:val="24"/>
          <w:lang w:val="lv-LV"/>
        </w:rPr>
        <w:t>advokāts vai viņa vietnieks atrodas tiesas sēžu zālē, tad, izmantojot atbilstošu tehnisko aprīkojumu, jānodrošina, lai viņš varētu konfidenciāli sazināties ar apsūdzēto.</w:t>
      </w:r>
    </w:p>
    <w:p w:rsidR="006078C9" w:rsidRPr="004D6021" w:rsidRDefault="006078C9" w:rsidP="00583503">
      <w:pPr>
        <w:pStyle w:val="JuQuot"/>
        <w:spacing w:before="0" w:after="0"/>
        <w:ind w:left="0" w:firstLine="0"/>
        <w:rPr>
          <w:lang w:val="lv-LV"/>
        </w:rPr>
      </w:pPr>
    </w:p>
    <w:p w:rsidR="009A456A" w:rsidRPr="004D6021" w:rsidRDefault="009A456A" w:rsidP="009A456A">
      <w:pPr>
        <w:pStyle w:val="JuQuot"/>
        <w:spacing w:before="0" w:after="0"/>
        <w:ind w:left="0" w:firstLine="0"/>
        <w:rPr>
          <w:szCs w:val="24"/>
          <w:lang w:val="lv-LV"/>
        </w:rPr>
      </w:pPr>
      <w:r w:rsidRPr="004D6021">
        <w:rPr>
          <w:szCs w:val="24"/>
          <w:lang w:val="lv-LV"/>
        </w:rPr>
        <w:t>5. Vietu, no kuras apsūdzētais ar audiovizuālas datu pārraides palīdzību ir pieslēdzies tiesas sēžu zālei, uzskata par tiesas sēžu zāles paplašinājumu [</w:t>
      </w:r>
      <w:r w:rsidR="00AC4BBB" w:rsidRPr="0056022E">
        <w:rPr>
          <w:i/>
          <w:noProof/>
          <w:szCs w:val="24"/>
        </w:rPr>
        <w:t>è</w:t>
      </w:r>
      <w:r w:rsidRPr="004D6021">
        <w:rPr>
          <w:szCs w:val="24"/>
          <w:lang w:val="lv-LV"/>
        </w:rPr>
        <w:t xml:space="preserve"> </w:t>
      </w:r>
      <w:r w:rsidRPr="004D6021">
        <w:rPr>
          <w:i/>
          <w:szCs w:val="24"/>
          <w:lang w:val="lv-LV"/>
        </w:rPr>
        <w:t>equiparato all'aula d'udienza</w:t>
      </w:r>
      <w:r w:rsidRPr="004D6021">
        <w:rPr>
          <w:szCs w:val="24"/>
          <w:lang w:val="lv-LV"/>
        </w:rPr>
        <w:t>].</w:t>
      </w:r>
    </w:p>
    <w:p w:rsidR="006078C9" w:rsidRPr="004D6021" w:rsidRDefault="006078C9" w:rsidP="00583503">
      <w:pPr>
        <w:pStyle w:val="JuQuot"/>
        <w:spacing w:before="0" w:after="0"/>
        <w:ind w:left="0" w:firstLine="0"/>
        <w:rPr>
          <w:lang w:val="lv-LV"/>
        </w:rPr>
      </w:pPr>
    </w:p>
    <w:p w:rsidR="00AE2450" w:rsidRPr="004D6021" w:rsidRDefault="00AE2450" w:rsidP="00AE2450">
      <w:pPr>
        <w:pStyle w:val="JuQuot"/>
        <w:spacing w:before="0" w:after="0"/>
        <w:ind w:left="0" w:firstLine="0"/>
        <w:rPr>
          <w:szCs w:val="24"/>
          <w:lang w:val="lv-LV"/>
        </w:rPr>
      </w:pPr>
      <w:r w:rsidRPr="004D6021">
        <w:rPr>
          <w:szCs w:val="24"/>
          <w:lang w:val="lv-LV"/>
        </w:rPr>
        <w:t>6. Tiesas darbinieks, kas ir atbilstoši kvalificēts, lai varētu palīdzēt tiesnesim, [..] atrodas vietā, kur atrodas apsūdzētais,</w:t>
      </w:r>
      <w:r w:rsidR="00AC4BBB">
        <w:rPr>
          <w:szCs w:val="24"/>
          <w:lang w:val="lv-LV"/>
        </w:rPr>
        <w:t xml:space="preserve"> </w:t>
      </w:r>
      <w:r w:rsidRPr="004D6021">
        <w:rPr>
          <w:szCs w:val="24"/>
          <w:lang w:val="lv-LV"/>
        </w:rPr>
        <w:t>apliecina viņa identitāti un oficiāli apstiprina, ka neeksistē nekādi traucējumi vai ierobežojumi apsūdzētā tiesību īstenošanai. Viņš turklāt apstiprina, ka ir izpildīti 3. punkta un 4. punkta otrā teikuma noteikumi</w:t>
      </w:r>
      <w:r w:rsidR="006537BA" w:rsidRPr="004D6021">
        <w:rPr>
          <w:szCs w:val="24"/>
          <w:lang w:val="lv-LV"/>
        </w:rPr>
        <w:t>,</w:t>
      </w:r>
      <w:r w:rsidRPr="004D6021">
        <w:rPr>
          <w:szCs w:val="24"/>
          <w:lang w:val="lv-LV"/>
        </w:rPr>
        <w:t xml:space="preserve"> un gadījumā, ja notiek nopratināšana, </w:t>
      </w:r>
      <w:r w:rsidR="006537BA" w:rsidRPr="004D6021">
        <w:rPr>
          <w:szCs w:val="24"/>
          <w:lang w:val="lv-LV"/>
        </w:rPr>
        <w:t xml:space="preserve">arī to, </w:t>
      </w:r>
      <w:r w:rsidRPr="004D6021">
        <w:rPr>
          <w:szCs w:val="24"/>
          <w:lang w:val="lv-LV"/>
        </w:rPr>
        <w:t>ka ir veikti drošības pasākumi, lai nodrošinātu tās likumīgumu [..]. Tālab viņš vajadzības gadījumā konsultē apsūdzēto un viņa advokātu. ...</w:t>
      </w:r>
    </w:p>
    <w:p w:rsidR="006078C9" w:rsidRPr="004D6021" w:rsidRDefault="006078C9" w:rsidP="00583503">
      <w:pPr>
        <w:pStyle w:val="JuQuot"/>
        <w:spacing w:before="0" w:after="0"/>
        <w:ind w:left="0" w:firstLine="0"/>
        <w:rPr>
          <w:lang w:val="lv-LV"/>
        </w:rPr>
      </w:pPr>
    </w:p>
    <w:p w:rsidR="00CD63A6" w:rsidRPr="004D6021" w:rsidRDefault="00CD63A6" w:rsidP="00CD63A6">
      <w:pPr>
        <w:pStyle w:val="JuQuot"/>
        <w:spacing w:before="0" w:after="0"/>
        <w:ind w:left="0" w:firstLine="0"/>
        <w:rPr>
          <w:szCs w:val="24"/>
          <w:lang w:val="lv-LV"/>
        </w:rPr>
      </w:pPr>
      <w:r w:rsidRPr="004D6021">
        <w:rPr>
          <w:szCs w:val="24"/>
          <w:lang w:val="lv-LV"/>
        </w:rPr>
        <w:t xml:space="preserve">7. Ja tiesvedības laikā kļūst nepieciešama liecinieku konfrontācija, apsūdzētā identificēšana vai cits pasākums, kura dēļ viņu nepieciešams redzēt klātienē, tiesnesis, ja to uzskata par nepieciešamu, var pēc pušu </w:t>
      </w:r>
      <w:r w:rsidR="006537BA" w:rsidRPr="004D6021">
        <w:rPr>
          <w:szCs w:val="24"/>
          <w:lang w:val="lv-LV"/>
        </w:rPr>
        <w:t>liecību uzklausīšanas</w:t>
      </w:r>
      <w:r w:rsidRPr="004D6021">
        <w:rPr>
          <w:szCs w:val="24"/>
          <w:lang w:val="lv-LV"/>
        </w:rPr>
        <w:t xml:space="preserve"> izdot rīkojumu par to, ka apsūdzētajam ir jāierodas tiesas sēžu zālē uz tik ilgu laiku, cik tas ir nepieciešams šā pasākuma veikšanai.”</w:t>
      </w:r>
    </w:p>
    <w:p w:rsidR="006078C9" w:rsidRPr="004D6021" w:rsidRDefault="006078C9" w:rsidP="00583503">
      <w:pPr>
        <w:pStyle w:val="JuQuot"/>
        <w:spacing w:before="0" w:after="0"/>
        <w:ind w:left="0" w:firstLine="0"/>
        <w:rPr>
          <w:lang w:val="lv-LV"/>
        </w:rPr>
      </w:pPr>
    </w:p>
    <w:p w:rsidR="00613C81" w:rsidRPr="004D6021" w:rsidRDefault="00D746C3" w:rsidP="00613C81">
      <w:pPr>
        <w:pStyle w:val="JuPara"/>
        <w:ind w:firstLine="0"/>
        <w:rPr>
          <w:lang w:val="lv-LV"/>
        </w:rPr>
      </w:pPr>
      <w:r w:rsidRPr="004D6021">
        <w:rPr>
          <w:lang w:val="lv-LV"/>
        </w:rPr>
        <w:fldChar w:fldCharType="begin"/>
      </w:r>
      <w:r w:rsidR="00613C81" w:rsidRPr="004D6021">
        <w:rPr>
          <w:lang w:val="lv-LV"/>
        </w:rPr>
        <w:instrText xml:space="preserve"> SEQ level0 \*arabic </w:instrText>
      </w:r>
      <w:r w:rsidRPr="004D6021">
        <w:rPr>
          <w:lang w:val="lv-LV"/>
        </w:rPr>
        <w:fldChar w:fldCharType="separate"/>
      </w:r>
      <w:r w:rsidR="00B416E8" w:rsidRPr="004D6021">
        <w:rPr>
          <w:lang w:val="lv-LV"/>
        </w:rPr>
        <w:t>20</w:t>
      </w:r>
      <w:r w:rsidRPr="004D6021">
        <w:rPr>
          <w:lang w:val="lv-LV"/>
        </w:rPr>
        <w:fldChar w:fldCharType="end"/>
      </w:r>
      <w:r w:rsidR="00613C81" w:rsidRPr="004D6021">
        <w:rPr>
          <w:lang w:val="lv-LV"/>
        </w:rPr>
        <w:t xml:space="preserve">. Saskaņā ar Konstitucionālās tiesas praksi (2002. gada 26. novembra rīkojums Nr. 483) dalībai tiesas sēdē no attāluma ir šādi mērķi: a) nodrošināt sabiedrisko kārtību gadījumā, ja apsūdzētais var veikt darbības, lai iebaidītu citas puses prāvā; b) nepieļaut, lai, pārvedot apsūdzēto no cietuma uz tiesas sēžu zāli, viņam </w:t>
      </w:r>
      <w:r w:rsidR="00E6621A" w:rsidRPr="004D6021">
        <w:rPr>
          <w:lang w:val="lv-LV"/>
        </w:rPr>
        <w:t>r</w:t>
      </w:r>
      <w:r w:rsidR="00E6621A">
        <w:rPr>
          <w:lang w:val="lv-LV"/>
        </w:rPr>
        <w:t>asto</w:t>
      </w:r>
      <w:r w:rsidR="00E6621A" w:rsidRPr="004D6021">
        <w:rPr>
          <w:lang w:val="lv-LV"/>
        </w:rPr>
        <w:t xml:space="preserve">s </w:t>
      </w:r>
      <w:r w:rsidR="00613C81" w:rsidRPr="004D6021">
        <w:rPr>
          <w:lang w:val="lv-LV"/>
        </w:rPr>
        <w:t xml:space="preserve">iespēja atjaunot kontaktus ar </w:t>
      </w:r>
      <w:r w:rsidR="006537BA" w:rsidRPr="004D6021">
        <w:rPr>
          <w:lang w:val="lv-LV"/>
        </w:rPr>
        <w:t>noziedzīgajām</w:t>
      </w:r>
      <w:r w:rsidR="00613C81" w:rsidRPr="004D6021">
        <w:rPr>
          <w:lang w:val="lv-LV"/>
        </w:rPr>
        <w:t xml:space="preserve"> organizācijām, pie kurām viņš pieder; c) paātrināt tādu īpaši sarežģītu un ilgu lietu iztiesāšanu, kas bieži notiek dažādās tiesās. Konstitucionālā tiesa turklāt norādīja, ka sistēma, kas ieviesta ar 1998. gada 7. janvāra Likumu Nr. 11, garantē īpaši smagos noziegumos apsūdzētajām personām tiesības piedalīties savu prāvu iztiesāšanā, šo tiesību īstenošanā ņemot vērā pienākumu aizsargāt sabiedrību un nodrošināt pienācīgu lietas iztiesāšanu [</w:t>
      </w:r>
      <w:r w:rsidR="00613C81" w:rsidRPr="004D6021">
        <w:rPr>
          <w:i/>
          <w:lang w:val="lv-LV"/>
        </w:rPr>
        <w:t>ordinato svolgimento dei processi</w:t>
      </w:r>
      <w:r w:rsidR="00613C81" w:rsidRPr="004D6021">
        <w:rPr>
          <w:lang w:val="lv-LV"/>
        </w:rPr>
        <w:t>].</w:t>
      </w:r>
    </w:p>
    <w:p w:rsidR="006078C9" w:rsidRPr="004D6021" w:rsidRDefault="006078C9" w:rsidP="00583503">
      <w:pPr>
        <w:pStyle w:val="JuPara"/>
        <w:ind w:firstLine="0"/>
        <w:rPr>
          <w:lang w:val="lv-LV"/>
        </w:rPr>
      </w:pPr>
    </w:p>
    <w:p w:rsidR="005403DC" w:rsidRPr="004D6021" w:rsidRDefault="00D746C3" w:rsidP="005403DC">
      <w:pPr>
        <w:pStyle w:val="JuPara"/>
        <w:ind w:firstLine="0"/>
        <w:rPr>
          <w:lang w:val="lv-LV"/>
        </w:rPr>
      </w:pPr>
      <w:r w:rsidRPr="004D6021">
        <w:rPr>
          <w:lang w:val="lv-LV"/>
        </w:rPr>
        <w:fldChar w:fldCharType="begin"/>
      </w:r>
      <w:r w:rsidR="005403DC" w:rsidRPr="004D6021">
        <w:rPr>
          <w:lang w:val="lv-LV"/>
        </w:rPr>
        <w:instrText xml:space="preserve"> SEQ level0 \*arabic </w:instrText>
      </w:r>
      <w:r w:rsidRPr="004D6021">
        <w:rPr>
          <w:lang w:val="lv-LV"/>
        </w:rPr>
        <w:fldChar w:fldCharType="separate"/>
      </w:r>
      <w:r w:rsidR="00B416E8" w:rsidRPr="004D6021">
        <w:rPr>
          <w:lang w:val="lv-LV"/>
        </w:rPr>
        <w:t>21</w:t>
      </w:r>
      <w:r w:rsidRPr="004D6021">
        <w:rPr>
          <w:lang w:val="lv-LV"/>
        </w:rPr>
        <w:fldChar w:fldCharType="end"/>
      </w:r>
      <w:r w:rsidR="005403DC" w:rsidRPr="004D6021">
        <w:rPr>
          <w:lang w:val="lv-LV"/>
        </w:rPr>
        <w:t xml:space="preserve">. Savā 1999. gada 22. jūlija spriedumā Nr. 342 Konstitucionālā tiesa lēma, </w:t>
      </w:r>
      <w:r w:rsidR="006537BA" w:rsidRPr="004D6021">
        <w:rPr>
          <w:lang w:val="lv-LV"/>
        </w:rPr>
        <w:t>k</w:t>
      </w:r>
      <w:r w:rsidR="005403DC" w:rsidRPr="004D6021">
        <w:rPr>
          <w:lang w:val="lv-LV"/>
        </w:rPr>
        <w:t xml:space="preserve">a dalība no attāluma ir saderīga ar “tiesībām uz aizstāvību”, ko garantē Konstitūcijas 24. panta 2. punkts. Tā noteica, ka tā nevar piekrist izteikumam, ka tikai apsūdzētā fiziska klātbūtne tiesas sēžu zālē nodrošinātu šo tiesību </w:t>
      </w:r>
      <w:r w:rsidR="006537BA" w:rsidRPr="004D6021">
        <w:rPr>
          <w:lang w:val="lv-LV"/>
        </w:rPr>
        <w:t xml:space="preserve">efektīvu </w:t>
      </w:r>
      <w:r w:rsidR="005403DC" w:rsidRPr="004D6021">
        <w:rPr>
          <w:lang w:val="lv-LV"/>
        </w:rPr>
        <w:t>īstenošanu, jo Konstitūcija paredz tikai personīgu un apzinātu [</w:t>
      </w:r>
      <w:r w:rsidR="005403DC" w:rsidRPr="004D6021">
        <w:rPr>
          <w:i/>
          <w:lang w:val="lv-LV"/>
        </w:rPr>
        <w:t>consapevole</w:t>
      </w:r>
      <w:r w:rsidR="005403DC" w:rsidRPr="004D6021">
        <w:rPr>
          <w:lang w:val="lv-LV"/>
        </w:rPr>
        <w:t>] apsūdzētā dalību tiesvedībā. Kriminālprocesa kodeksa īstenošanas noteikumu 146.</w:t>
      </w:r>
      <w:r w:rsidR="005403DC" w:rsidRPr="004D6021">
        <w:rPr>
          <w:i/>
          <w:lang w:val="lv-LV"/>
        </w:rPr>
        <w:t>bis</w:t>
      </w:r>
      <w:r w:rsidR="005403DC" w:rsidRPr="004D6021">
        <w:rPr>
          <w:lang w:val="lv-LV"/>
        </w:rPr>
        <w:t xml:space="preserve"> pantā ir norādīti ne tikai tehniskie līdzekļi, kas jāizmanto, ierīkojot audiovizuālo datu pārraides </w:t>
      </w:r>
      <w:r w:rsidR="009669B3">
        <w:rPr>
          <w:lang w:val="lv-LV"/>
        </w:rPr>
        <w:t>savienojumu</w:t>
      </w:r>
      <w:r w:rsidR="009669B3" w:rsidRPr="004D6021">
        <w:rPr>
          <w:lang w:val="lv-LV"/>
        </w:rPr>
        <w:t xml:space="preserve"> </w:t>
      </w:r>
      <w:r w:rsidR="005403DC" w:rsidRPr="004D6021">
        <w:rPr>
          <w:lang w:val="lv-LV"/>
        </w:rPr>
        <w:t xml:space="preserve">starp </w:t>
      </w:r>
      <w:r w:rsidR="009669B3" w:rsidRPr="004D6021">
        <w:rPr>
          <w:lang w:val="lv-LV"/>
        </w:rPr>
        <w:t>ties</w:t>
      </w:r>
      <w:r w:rsidR="009669B3">
        <w:rPr>
          <w:lang w:val="lv-LV"/>
        </w:rPr>
        <w:t>as</w:t>
      </w:r>
      <w:r w:rsidR="009669B3" w:rsidRPr="004D6021">
        <w:rPr>
          <w:lang w:val="lv-LV"/>
        </w:rPr>
        <w:t xml:space="preserve"> </w:t>
      </w:r>
      <w:r w:rsidR="005403DC" w:rsidRPr="004D6021">
        <w:rPr>
          <w:lang w:val="lv-LV"/>
        </w:rPr>
        <w:t xml:space="preserve">sēžu zāli un </w:t>
      </w:r>
      <w:r w:rsidR="00126196">
        <w:rPr>
          <w:lang w:val="lv-LV"/>
        </w:rPr>
        <w:t>apcietinājuma</w:t>
      </w:r>
      <w:r w:rsidR="00126196" w:rsidRPr="004D6021">
        <w:rPr>
          <w:lang w:val="lv-LV"/>
        </w:rPr>
        <w:t xml:space="preserve"> </w:t>
      </w:r>
      <w:r w:rsidR="005403DC" w:rsidRPr="004D6021">
        <w:rPr>
          <w:lang w:val="lv-LV"/>
        </w:rPr>
        <w:t xml:space="preserve">vietu, bet arī noteikti sasniedzamie “rezultāti” un jo īpaši “efektīva” apsūdzētā dalība tiesvedībā, lai nodrošinātu viņa tiesību uz aizstāvību pienācīgu īstenošanu. Dažas tiesību normas garantē arī saskarsmi starp apsūdzētajiem, aizstāvības advokāta tiesības būt klāt vietā, kur atrodas apsūdzētais, un apsūdzētā un viņa advokāta spēju sazināties vienam ar otru. Tiesnesim ir tiesības un pienākums nodrošināt, lai uzstādītie tehniskie līdzekļi būtu atbilstoši sasniedzamajiem mērķiem, un vajadzības gadījumā viņš var izdot rīkojumu par apsūdzētā </w:t>
      </w:r>
      <w:r w:rsidR="006537BA" w:rsidRPr="004D6021">
        <w:rPr>
          <w:lang w:val="lv-LV"/>
        </w:rPr>
        <w:t>atvešanu uz tiesas sēžu zāli</w:t>
      </w:r>
      <w:r w:rsidR="005403DC" w:rsidRPr="004D6021">
        <w:rPr>
          <w:lang w:val="lv-LV"/>
        </w:rPr>
        <w:t>. Konstitucionālā tiesa uzskata, ka fakts, ka jaunie noteikumi atšķiras no “tradīcijas”, negrauj tiesas procesa līdzsvaru un dinamiku, kas, tieši pretēji, būtiski netiek mainīta.</w:t>
      </w:r>
    </w:p>
    <w:p w:rsidR="006078C9" w:rsidRPr="004D6021" w:rsidRDefault="006078C9" w:rsidP="00583503">
      <w:pPr>
        <w:pStyle w:val="JuPara"/>
        <w:ind w:firstLine="0"/>
        <w:rPr>
          <w:lang w:val="lv-LV"/>
        </w:rPr>
      </w:pPr>
    </w:p>
    <w:p w:rsidR="0054164F" w:rsidRPr="004D6021" w:rsidRDefault="00D746C3" w:rsidP="0054164F">
      <w:pPr>
        <w:pStyle w:val="JuPara"/>
        <w:ind w:firstLine="0"/>
        <w:rPr>
          <w:lang w:val="lv-LV"/>
        </w:rPr>
      </w:pPr>
      <w:r w:rsidRPr="004D6021">
        <w:rPr>
          <w:lang w:val="lv-LV"/>
        </w:rPr>
        <w:fldChar w:fldCharType="begin"/>
      </w:r>
      <w:r w:rsidR="0054164F" w:rsidRPr="004D6021">
        <w:rPr>
          <w:lang w:val="lv-LV"/>
        </w:rPr>
        <w:instrText xml:space="preserve"> SEQ level0 \*arabic </w:instrText>
      </w:r>
      <w:r w:rsidRPr="004D6021">
        <w:rPr>
          <w:lang w:val="lv-LV"/>
        </w:rPr>
        <w:fldChar w:fldCharType="separate"/>
      </w:r>
      <w:r w:rsidR="00B416E8" w:rsidRPr="004D6021">
        <w:rPr>
          <w:lang w:val="lv-LV"/>
        </w:rPr>
        <w:t>22</w:t>
      </w:r>
      <w:r w:rsidRPr="004D6021">
        <w:rPr>
          <w:lang w:val="lv-LV"/>
        </w:rPr>
        <w:fldChar w:fldCharType="end"/>
      </w:r>
      <w:r w:rsidR="0054164F" w:rsidRPr="004D6021">
        <w:rPr>
          <w:lang w:val="lv-LV"/>
        </w:rPr>
        <w:t>. Šo pašu iemeslu dēļ Konstitucionālā tiesa atzina, ka sistēmu, kas ieviest</w:t>
      </w:r>
      <w:r w:rsidR="00A7638A" w:rsidRPr="004D6021">
        <w:rPr>
          <w:lang w:val="lv-LV"/>
        </w:rPr>
        <w:t>a</w:t>
      </w:r>
      <w:r w:rsidR="0054164F" w:rsidRPr="004D6021">
        <w:rPr>
          <w:lang w:val="lv-LV"/>
        </w:rPr>
        <w:t xml:space="preserve"> ar 1998. gada 7. janvāra Likumu Nr. 11, nevar uzskatīt par esošu pretrunā Konvencijas 6. pantam, kas cita starpā paredz ievērot “saprātīga </w:t>
      </w:r>
      <w:r w:rsidR="00A7638A" w:rsidRPr="004D6021">
        <w:rPr>
          <w:lang w:val="lv-LV"/>
        </w:rPr>
        <w:t>termiņa</w:t>
      </w:r>
      <w:r w:rsidR="0054164F" w:rsidRPr="004D6021">
        <w:rPr>
          <w:lang w:val="lv-LV"/>
        </w:rPr>
        <w:t>” prasību, jo īpaši attiecībā uz apsūdzētajām personām</w:t>
      </w:r>
      <w:r w:rsidR="00102129">
        <w:rPr>
          <w:lang w:val="lv-LV"/>
        </w:rPr>
        <w:t>, kas atrodas apcietinājumā</w:t>
      </w:r>
      <w:r w:rsidR="0054164F" w:rsidRPr="004D6021">
        <w:rPr>
          <w:lang w:val="lv-LV"/>
        </w:rPr>
        <w:t>.</w:t>
      </w:r>
    </w:p>
    <w:p w:rsidR="006078C9" w:rsidRPr="004D6021" w:rsidRDefault="006078C9" w:rsidP="00583503">
      <w:pPr>
        <w:pStyle w:val="JuPara"/>
        <w:ind w:firstLine="0"/>
        <w:rPr>
          <w:lang w:val="lv-LV"/>
        </w:rPr>
      </w:pPr>
    </w:p>
    <w:p w:rsidR="0054164F" w:rsidRPr="004D6021" w:rsidRDefault="0054164F" w:rsidP="0054164F">
      <w:pPr>
        <w:pStyle w:val="JuHIRoman"/>
        <w:spacing w:before="0" w:after="0"/>
        <w:ind w:left="0" w:firstLine="0"/>
        <w:rPr>
          <w:lang w:val="lv-LV"/>
        </w:rPr>
      </w:pPr>
      <w:r w:rsidRPr="004D6021">
        <w:rPr>
          <w:lang w:val="lv-LV"/>
        </w:rPr>
        <w:t xml:space="preserve">III. </w:t>
      </w:r>
      <w:r w:rsidR="009669B3">
        <w:rPr>
          <w:lang w:val="lv-LV"/>
        </w:rPr>
        <w:t>PIEMĒROJAMĀS</w:t>
      </w:r>
      <w:r w:rsidR="009669B3" w:rsidRPr="004D6021">
        <w:rPr>
          <w:lang w:val="lv-LV"/>
        </w:rPr>
        <w:t xml:space="preserve"> </w:t>
      </w:r>
      <w:r w:rsidRPr="004D6021">
        <w:rPr>
          <w:lang w:val="lv-LV"/>
        </w:rPr>
        <w:t xml:space="preserve">STARPTAUTISKO TIESĪBU AKTU </w:t>
      </w:r>
      <w:r w:rsidR="00EA0406" w:rsidRPr="004D6021">
        <w:rPr>
          <w:lang w:val="lv-LV"/>
        </w:rPr>
        <w:t>NORMAS</w:t>
      </w:r>
    </w:p>
    <w:p w:rsidR="006078C9" w:rsidRPr="004D6021" w:rsidRDefault="006078C9" w:rsidP="00583503">
      <w:pPr>
        <w:pStyle w:val="JuHIRoman"/>
        <w:spacing w:before="0" w:after="0"/>
        <w:ind w:left="0" w:firstLine="0"/>
        <w:rPr>
          <w:lang w:val="lv-LV"/>
        </w:rPr>
      </w:pPr>
    </w:p>
    <w:p w:rsidR="00131279" w:rsidRPr="004D6021" w:rsidRDefault="00D746C3" w:rsidP="00131279">
      <w:pPr>
        <w:pStyle w:val="JuPara"/>
        <w:ind w:firstLine="0"/>
        <w:rPr>
          <w:lang w:val="lv-LV"/>
        </w:rPr>
      </w:pPr>
      <w:r w:rsidRPr="004D6021">
        <w:rPr>
          <w:lang w:val="lv-LV"/>
        </w:rPr>
        <w:fldChar w:fldCharType="begin"/>
      </w:r>
      <w:r w:rsidR="00131279" w:rsidRPr="004D6021">
        <w:rPr>
          <w:lang w:val="lv-LV"/>
        </w:rPr>
        <w:instrText xml:space="preserve"> SEQ level0 \*arabic </w:instrText>
      </w:r>
      <w:r w:rsidRPr="004D6021">
        <w:rPr>
          <w:lang w:val="lv-LV"/>
        </w:rPr>
        <w:fldChar w:fldCharType="separate"/>
      </w:r>
      <w:r w:rsidR="00B416E8" w:rsidRPr="004D6021">
        <w:rPr>
          <w:lang w:val="lv-LV"/>
        </w:rPr>
        <w:t>23</w:t>
      </w:r>
      <w:r w:rsidRPr="004D6021">
        <w:rPr>
          <w:lang w:val="lv-LV"/>
        </w:rPr>
        <w:fldChar w:fldCharType="end"/>
      </w:r>
      <w:r w:rsidR="00131279" w:rsidRPr="004D6021">
        <w:rPr>
          <w:lang w:val="lv-LV"/>
        </w:rPr>
        <w:t xml:space="preserve">. </w:t>
      </w:r>
      <w:r w:rsidR="00131279" w:rsidRPr="004D6021">
        <w:rPr>
          <w:rStyle w:val="Emphasis"/>
          <w:i w:val="0"/>
          <w:iCs w:val="0"/>
          <w:lang w:val="lv-LV"/>
        </w:rPr>
        <w:t>Eiropas Konvencijas par savstarpējo palīdzību krimināllietās</w:t>
      </w:r>
      <w:r w:rsidR="00131279" w:rsidRPr="004D6021">
        <w:rPr>
          <w:rStyle w:val="st"/>
          <w:i/>
          <w:lang w:val="lv-LV"/>
        </w:rPr>
        <w:t xml:space="preserve"> </w:t>
      </w:r>
      <w:r w:rsidR="00131279" w:rsidRPr="004D6021">
        <w:rPr>
          <w:lang w:val="lv-LV"/>
        </w:rPr>
        <w:t>Otrā papildu protokola 9. un 10. pants paredz:</w:t>
      </w:r>
    </w:p>
    <w:p w:rsidR="006078C9" w:rsidRPr="004D6021" w:rsidRDefault="006078C9" w:rsidP="00583503">
      <w:pPr>
        <w:pStyle w:val="JuPara"/>
        <w:ind w:firstLine="0"/>
        <w:rPr>
          <w:lang w:val="lv-LV"/>
        </w:rPr>
      </w:pPr>
    </w:p>
    <w:p w:rsidR="00F735ED" w:rsidRPr="004D6021" w:rsidRDefault="00F735ED" w:rsidP="00F735ED">
      <w:pPr>
        <w:pStyle w:val="JuHArticle"/>
        <w:spacing w:before="0" w:after="0"/>
        <w:rPr>
          <w:bCs w:val="0"/>
          <w:szCs w:val="24"/>
          <w:lang w:val="lv-LV"/>
        </w:rPr>
      </w:pPr>
      <w:r w:rsidRPr="004D6021">
        <w:rPr>
          <w:bCs w:val="0"/>
          <w:szCs w:val="24"/>
          <w:lang w:val="lv-LV"/>
        </w:rPr>
        <w:lastRenderedPageBreak/>
        <w:t xml:space="preserve">9. pants. </w:t>
      </w:r>
      <w:r w:rsidR="00243F5C">
        <w:rPr>
          <w:bCs w:val="0"/>
          <w:szCs w:val="24"/>
          <w:lang w:val="lv-LV"/>
        </w:rPr>
        <w:t>Nopratināšana video konferencē</w:t>
      </w:r>
    </w:p>
    <w:p w:rsidR="006078C9" w:rsidRPr="004D6021" w:rsidRDefault="006078C9" w:rsidP="00583503">
      <w:pPr>
        <w:pStyle w:val="JuHArticle"/>
        <w:spacing w:before="0" w:after="0"/>
        <w:rPr>
          <w:lang w:val="lv-LV"/>
        </w:rPr>
      </w:pPr>
    </w:p>
    <w:p w:rsidR="00C96133" w:rsidRPr="004D6021" w:rsidRDefault="00C96133" w:rsidP="00C96133">
      <w:pPr>
        <w:pStyle w:val="JuQuot"/>
        <w:spacing w:before="0" w:after="0"/>
        <w:ind w:left="0" w:firstLine="0"/>
        <w:rPr>
          <w:szCs w:val="24"/>
          <w:lang w:val="lv-LV"/>
        </w:rPr>
      </w:pPr>
      <w:r w:rsidRPr="004D6021">
        <w:rPr>
          <w:szCs w:val="24"/>
          <w:lang w:val="lv-LV"/>
        </w:rPr>
        <w:t>“1. Ja persona atrodas vienas Puses teritorijā un</w:t>
      </w:r>
      <w:r w:rsidR="00AC4BBB">
        <w:rPr>
          <w:szCs w:val="24"/>
          <w:lang w:val="lv-LV"/>
        </w:rPr>
        <w:t xml:space="preserve"> </w:t>
      </w:r>
      <w:r w:rsidR="00243F5C" w:rsidRPr="0010333C">
        <w:rPr>
          <w:szCs w:val="24"/>
          <w:lang w:val="lv-LV"/>
        </w:rPr>
        <w:t>to nepieciešams nopratināt kā liecinieku vai ekspertu citas Puses tiesu varas iestādēm</w:t>
      </w:r>
      <w:r w:rsidRPr="004D6021">
        <w:rPr>
          <w:szCs w:val="24"/>
          <w:lang w:val="lv-LV"/>
        </w:rPr>
        <w:t xml:space="preserve">, </w:t>
      </w:r>
      <w:r w:rsidR="00243F5C">
        <w:rPr>
          <w:szCs w:val="24"/>
          <w:lang w:val="lv-LV"/>
        </w:rPr>
        <w:t xml:space="preserve">šī cita Puse, </w:t>
      </w:r>
      <w:r w:rsidRPr="004D6021">
        <w:rPr>
          <w:szCs w:val="24"/>
          <w:lang w:val="lv-LV"/>
        </w:rPr>
        <w:t xml:space="preserve">ja </w:t>
      </w:r>
      <w:r w:rsidR="0094415D" w:rsidRPr="004D6021">
        <w:rPr>
          <w:lang w:val="lv-LV"/>
        </w:rPr>
        <w:t xml:space="preserve">nav vēlams vai iespējams </w:t>
      </w:r>
      <w:r w:rsidR="00243F5C">
        <w:rPr>
          <w:lang w:val="lv-LV"/>
        </w:rPr>
        <w:t xml:space="preserve">nopratināmo personu personīgi uzaicināt </w:t>
      </w:r>
      <w:r w:rsidR="0094415D" w:rsidRPr="004D6021">
        <w:rPr>
          <w:szCs w:val="24"/>
          <w:lang w:val="lv-LV"/>
        </w:rPr>
        <w:t>tās teritorijā</w:t>
      </w:r>
      <w:r w:rsidRPr="004D6021">
        <w:rPr>
          <w:szCs w:val="24"/>
          <w:lang w:val="lv-LV"/>
        </w:rPr>
        <w:t>, var lūgt</w:t>
      </w:r>
      <w:r w:rsidR="00EE593C">
        <w:rPr>
          <w:szCs w:val="24"/>
          <w:lang w:val="lv-LV"/>
        </w:rPr>
        <w:t xml:space="preserve">, lai nopratināšana notiek videokonferences formā, kā noteikts </w:t>
      </w:r>
      <w:r w:rsidRPr="004D6021">
        <w:rPr>
          <w:szCs w:val="24"/>
          <w:lang w:val="lv-LV"/>
        </w:rPr>
        <w:t>2.</w:t>
      </w:r>
      <w:r w:rsidR="00EE593C">
        <w:rPr>
          <w:szCs w:val="24"/>
          <w:lang w:val="lv-LV"/>
        </w:rPr>
        <w:t xml:space="preserve"> līdz </w:t>
      </w:r>
      <w:r w:rsidRPr="004D6021">
        <w:rPr>
          <w:szCs w:val="24"/>
          <w:lang w:val="lv-LV"/>
        </w:rPr>
        <w:t>7. </w:t>
      </w:r>
      <w:r w:rsidR="00EE593C" w:rsidRPr="004D6021">
        <w:rPr>
          <w:szCs w:val="24"/>
          <w:lang w:val="lv-LV"/>
        </w:rPr>
        <w:t>p</w:t>
      </w:r>
      <w:r w:rsidR="00EE593C">
        <w:rPr>
          <w:szCs w:val="24"/>
          <w:lang w:val="lv-LV"/>
        </w:rPr>
        <w:t>unktā</w:t>
      </w:r>
      <w:r w:rsidRPr="004D6021">
        <w:rPr>
          <w:szCs w:val="24"/>
          <w:lang w:val="lv-LV"/>
        </w:rPr>
        <w:t>.</w:t>
      </w:r>
    </w:p>
    <w:p w:rsidR="006078C9" w:rsidRPr="004D6021" w:rsidRDefault="006078C9" w:rsidP="00583503">
      <w:pPr>
        <w:pStyle w:val="JuQuot"/>
        <w:spacing w:before="0" w:after="0"/>
        <w:ind w:left="0" w:firstLine="0"/>
        <w:rPr>
          <w:lang w:val="lv-LV"/>
        </w:rPr>
      </w:pPr>
    </w:p>
    <w:p w:rsidR="006078C9" w:rsidRPr="004D6021" w:rsidRDefault="00F91CA8" w:rsidP="00C96133">
      <w:pPr>
        <w:pStyle w:val="JuQuot"/>
        <w:spacing w:before="0" w:after="0"/>
        <w:ind w:left="0" w:firstLine="0"/>
        <w:rPr>
          <w:lang w:val="lv-LV"/>
        </w:rPr>
      </w:pPr>
      <w:r w:rsidRPr="004D6021">
        <w:rPr>
          <w:lang w:val="lv-LV"/>
        </w:rPr>
        <w:t>[..]”</w:t>
      </w:r>
    </w:p>
    <w:p w:rsidR="006078C9" w:rsidRPr="004D6021" w:rsidRDefault="006078C9" w:rsidP="00583503">
      <w:pPr>
        <w:pStyle w:val="JuQuot"/>
        <w:spacing w:before="0" w:after="0"/>
        <w:ind w:left="0" w:firstLine="0"/>
        <w:rPr>
          <w:lang w:val="lv-LV"/>
        </w:rPr>
      </w:pPr>
    </w:p>
    <w:p w:rsidR="00C96133" w:rsidRPr="004D6021" w:rsidRDefault="00C96133" w:rsidP="00C96133">
      <w:pPr>
        <w:pStyle w:val="JuHArticle"/>
        <w:spacing w:before="0" w:after="0"/>
        <w:rPr>
          <w:bCs w:val="0"/>
          <w:szCs w:val="24"/>
          <w:lang w:val="lv-LV"/>
        </w:rPr>
      </w:pPr>
      <w:r w:rsidRPr="004D6021">
        <w:rPr>
          <w:bCs w:val="0"/>
          <w:szCs w:val="24"/>
          <w:lang w:val="lv-LV"/>
        </w:rPr>
        <w:t xml:space="preserve">10. pants. </w:t>
      </w:r>
      <w:r w:rsidR="002A19D7">
        <w:rPr>
          <w:bCs w:val="0"/>
          <w:szCs w:val="24"/>
          <w:lang w:val="lv-LV"/>
        </w:rPr>
        <w:t>Nopratināšana telefonkonferences formā</w:t>
      </w:r>
    </w:p>
    <w:p w:rsidR="006078C9" w:rsidRPr="004D6021" w:rsidRDefault="006078C9" w:rsidP="00583503">
      <w:pPr>
        <w:pStyle w:val="JuHArticle"/>
        <w:spacing w:before="0" w:after="0"/>
        <w:rPr>
          <w:lang w:val="lv-LV"/>
        </w:rPr>
      </w:pPr>
    </w:p>
    <w:p w:rsidR="00672E51" w:rsidRPr="004D6021" w:rsidRDefault="00672E51" w:rsidP="00672E51">
      <w:pPr>
        <w:pStyle w:val="JuQuot"/>
        <w:spacing w:before="0" w:after="0"/>
        <w:ind w:left="0" w:firstLine="0"/>
        <w:rPr>
          <w:szCs w:val="24"/>
          <w:lang w:val="lv-LV"/>
        </w:rPr>
      </w:pPr>
      <w:r w:rsidRPr="004D6021">
        <w:rPr>
          <w:szCs w:val="24"/>
          <w:lang w:val="lv-LV"/>
        </w:rPr>
        <w:t>“1. Ja persona atrodas vienas Puses teritorijā</w:t>
      </w:r>
      <w:r w:rsidR="002A19D7">
        <w:rPr>
          <w:szCs w:val="24"/>
          <w:lang w:val="lv-LV"/>
        </w:rPr>
        <w:t>,</w:t>
      </w:r>
      <w:r w:rsidRPr="004D6021">
        <w:rPr>
          <w:szCs w:val="24"/>
          <w:lang w:val="lv-LV"/>
        </w:rPr>
        <w:t xml:space="preserve"> un </w:t>
      </w:r>
      <w:r w:rsidR="0094415D" w:rsidRPr="004D6021">
        <w:rPr>
          <w:szCs w:val="24"/>
          <w:lang w:val="lv-LV"/>
        </w:rPr>
        <w:t>t</w:t>
      </w:r>
      <w:r w:rsidR="002A19D7">
        <w:rPr>
          <w:szCs w:val="24"/>
          <w:lang w:val="lv-LV"/>
        </w:rPr>
        <w:t>o</w:t>
      </w:r>
      <w:r w:rsidR="0094415D" w:rsidRPr="004D6021">
        <w:rPr>
          <w:szCs w:val="24"/>
          <w:lang w:val="lv-LV"/>
        </w:rPr>
        <w:t xml:space="preserve"> </w:t>
      </w:r>
      <w:r w:rsidR="002A19D7">
        <w:rPr>
          <w:szCs w:val="24"/>
          <w:lang w:val="lv-LV"/>
        </w:rPr>
        <w:t>nepieciešams nopratināt kā liecinieku vai ekspertu citas Puses tiesu varas iestādēm</w:t>
      </w:r>
      <w:r w:rsidRPr="004D6021">
        <w:rPr>
          <w:szCs w:val="24"/>
          <w:lang w:val="lv-LV"/>
        </w:rPr>
        <w:t xml:space="preserve">, </w:t>
      </w:r>
      <w:r w:rsidR="0010333C" w:rsidRPr="0010333C">
        <w:rPr>
          <w:szCs w:val="24"/>
          <w:lang w:val="lv-LV"/>
        </w:rPr>
        <w:t>šī cita Puse var, ja tās nacionālie likumi to paredz, lūgt pirmās puses palīdzību nopratināšanas noturēšanai telefonkon</w:t>
      </w:r>
      <w:r w:rsidR="0010333C">
        <w:rPr>
          <w:szCs w:val="24"/>
          <w:lang w:val="lv-LV"/>
        </w:rPr>
        <w:t>ferences formā, kā paredzēts 2. </w:t>
      </w:r>
      <w:r w:rsidR="0010333C" w:rsidRPr="0010333C">
        <w:rPr>
          <w:szCs w:val="24"/>
          <w:lang w:val="lv-LV"/>
        </w:rPr>
        <w:t>līdz 6.</w:t>
      </w:r>
      <w:r w:rsidR="0010333C">
        <w:rPr>
          <w:szCs w:val="24"/>
          <w:lang w:val="lv-LV"/>
        </w:rPr>
        <w:t> </w:t>
      </w:r>
      <w:r w:rsidR="0010333C" w:rsidRPr="0010333C">
        <w:rPr>
          <w:szCs w:val="24"/>
          <w:lang w:val="lv-LV"/>
        </w:rPr>
        <w:t>punktā</w:t>
      </w:r>
      <w:r w:rsidRPr="004D6021">
        <w:rPr>
          <w:szCs w:val="24"/>
          <w:lang w:val="lv-LV"/>
        </w:rPr>
        <w:t>.</w:t>
      </w:r>
    </w:p>
    <w:p w:rsidR="006078C9" w:rsidRPr="004D6021" w:rsidRDefault="006078C9" w:rsidP="00583503">
      <w:pPr>
        <w:pStyle w:val="JuQuot"/>
        <w:spacing w:before="0" w:after="0"/>
        <w:ind w:left="0" w:firstLine="0"/>
        <w:rPr>
          <w:lang w:val="lv-LV"/>
        </w:rPr>
      </w:pPr>
    </w:p>
    <w:p w:rsidR="006078C9" w:rsidRPr="004D6021" w:rsidRDefault="00F91CA8" w:rsidP="00583503">
      <w:pPr>
        <w:pStyle w:val="JuQuot"/>
        <w:spacing w:before="0" w:after="0"/>
        <w:ind w:left="0" w:firstLine="0"/>
        <w:rPr>
          <w:lang w:val="lv-LV"/>
        </w:rPr>
      </w:pPr>
      <w:r w:rsidRPr="004D6021">
        <w:rPr>
          <w:lang w:val="lv-LV"/>
        </w:rPr>
        <w:t>[..]”</w:t>
      </w:r>
    </w:p>
    <w:p w:rsidR="006078C9" w:rsidRPr="004D6021" w:rsidRDefault="006078C9" w:rsidP="00583503">
      <w:pPr>
        <w:pStyle w:val="JuQuot"/>
        <w:spacing w:before="0" w:after="0"/>
        <w:ind w:left="0" w:firstLine="0"/>
        <w:rPr>
          <w:lang w:val="lv-LV"/>
        </w:rPr>
      </w:pPr>
    </w:p>
    <w:p w:rsidR="00672E51" w:rsidRPr="004D6021" w:rsidRDefault="00D746C3" w:rsidP="00672E51">
      <w:pPr>
        <w:pStyle w:val="JuPara"/>
        <w:ind w:firstLine="0"/>
        <w:rPr>
          <w:lang w:val="lv-LV"/>
        </w:rPr>
      </w:pPr>
      <w:r w:rsidRPr="004D6021">
        <w:rPr>
          <w:lang w:val="lv-LV"/>
        </w:rPr>
        <w:fldChar w:fldCharType="begin"/>
      </w:r>
      <w:r w:rsidR="00672E51" w:rsidRPr="004D6021">
        <w:rPr>
          <w:lang w:val="lv-LV"/>
        </w:rPr>
        <w:instrText xml:space="preserve"> SEQ level0 \*arabic \r24</w:instrText>
      </w:r>
      <w:r w:rsidRPr="004D6021">
        <w:rPr>
          <w:lang w:val="lv-LV"/>
        </w:rPr>
        <w:fldChar w:fldCharType="separate"/>
      </w:r>
      <w:r w:rsidR="00B416E8" w:rsidRPr="004D6021">
        <w:rPr>
          <w:lang w:val="lv-LV"/>
        </w:rPr>
        <w:t>24</w:t>
      </w:r>
      <w:r w:rsidRPr="004D6021">
        <w:rPr>
          <w:lang w:val="lv-LV"/>
        </w:rPr>
        <w:fldChar w:fldCharType="end"/>
      </w:r>
      <w:r w:rsidR="00672E51" w:rsidRPr="004D6021">
        <w:rPr>
          <w:lang w:val="lv-LV"/>
        </w:rPr>
        <w:t xml:space="preserve">. </w:t>
      </w:r>
      <w:r w:rsidR="00672E51" w:rsidRPr="004D6021">
        <w:rPr>
          <w:rStyle w:val="Emphasis"/>
          <w:i w:val="0"/>
          <w:iCs w:val="0"/>
          <w:lang w:val="lv-LV"/>
        </w:rPr>
        <w:t>Konvencij</w:t>
      </w:r>
      <w:r w:rsidR="009669B3">
        <w:rPr>
          <w:rStyle w:val="Emphasis"/>
          <w:i w:val="0"/>
          <w:iCs w:val="0"/>
          <w:lang w:val="lv-LV"/>
        </w:rPr>
        <w:t>as</w:t>
      </w:r>
      <w:r w:rsidR="00672E51" w:rsidRPr="004D6021">
        <w:rPr>
          <w:rStyle w:val="st"/>
          <w:i/>
          <w:lang w:val="lv-LV"/>
        </w:rPr>
        <w:t xml:space="preserve"> </w:t>
      </w:r>
      <w:r w:rsidR="00672E51" w:rsidRPr="004D6021">
        <w:rPr>
          <w:rStyle w:val="st"/>
          <w:lang w:val="lv-LV"/>
        </w:rPr>
        <w:t>par Eiropas Savienības dalībvalstu</w:t>
      </w:r>
      <w:r w:rsidR="00672E51" w:rsidRPr="004D6021">
        <w:rPr>
          <w:rStyle w:val="st"/>
          <w:i/>
          <w:lang w:val="lv-LV"/>
        </w:rPr>
        <w:t xml:space="preserve"> </w:t>
      </w:r>
      <w:r w:rsidR="00672E51" w:rsidRPr="004D6021">
        <w:rPr>
          <w:rStyle w:val="Emphasis"/>
          <w:i w:val="0"/>
          <w:iCs w:val="0"/>
          <w:lang w:val="lv-LV"/>
        </w:rPr>
        <w:t xml:space="preserve">savstarpējo palīdzību krimināllietās, kas parakstīta 2000. gada 29. maijā Briselē, </w:t>
      </w:r>
      <w:r w:rsidR="009669B3">
        <w:rPr>
          <w:rStyle w:val="Emphasis"/>
          <w:i w:val="0"/>
          <w:iCs w:val="0"/>
          <w:lang w:val="lv-LV"/>
        </w:rPr>
        <w:t xml:space="preserve">10. un 11. pants </w:t>
      </w:r>
      <w:r w:rsidR="00672E51" w:rsidRPr="004D6021">
        <w:rPr>
          <w:rStyle w:val="Emphasis"/>
          <w:i w:val="0"/>
          <w:iCs w:val="0"/>
          <w:lang w:val="lv-LV"/>
        </w:rPr>
        <w:t>paredz</w:t>
      </w:r>
      <w:r w:rsidR="00672E51" w:rsidRPr="004D6021">
        <w:rPr>
          <w:rStyle w:val="Emphasis"/>
          <w:iCs w:val="0"/>
          <w:lang w:val="lv-LV"/>
        </w:rPr>
        <w:t>:</w:t>
      </w:r>
    </w:p>
    <w:p w:rsidR="006078C9" w:rsidRPr="004D6021" w:rsidRDefault="006078C9" w:rsidP="00583503">
      <w:pPr>
        <w:pStyle w:val="JuPara"/>
        <w:ind w:firstLine="0"/>
        <w:rPr>
          <w:lang w:val="lv-LV"/>
        </w:rPr>
      </w:pPr>
    </w:p>
    <w:p w:rsidR="00672E51" w:rsidRPr="004D6021" w:rsidRDefault="00672E51" w:rsidP="00672E51">
      <w:pPr>
        <w:pStyle w:val="JuHArticle"/>
        <w:spacing w:before="0" w:after="0"/>
        <w:rPr>
          <w:bCs w:val="0"/>
          <w:szCs w:val="24"/>
          <w:lang w:val="lv-LV"/>
        </w:rPr>
      </w:pPr>
      <w:r w:rsidRPr="004D6021">
        <w:rPr>
          <w:bCs w:val="0"/>
          <w:szCs w:val="24"/>
          <w:lang w:val="lv-LV"/>
        </w:rPr>
        <w:t>10. pants. Liecības sniegšana videokonferencē</w:t>
      </w:r>
    </w:p>
    <w:p w:rsidR="006078C9" w:rsidRPr="004D6021" w:rsidRDefault="006078C9" w:rsidP="00583503">
      <w:pPr>
        <w:pStyle w:val="JuHArticle"/>
        <w:spacing w:before="0" w:after="0"/>
        <w:rPr>
          <w:lang w:val="lv-LV"/>
        </w:rPr>
      </w:pPr>
    </w:p>
    <w:p w:rsidR="0094415D" w:rsidRPr="004D6021" w:rsidRDefault="0094415D" w:rsidP="0094415D">
      <w:pPr>
        <w:pStyle w:val="JuQuot"/>
        <w:spacing w:before="0" w:after="0"/>
        <w:ind w:left="0" w:firstLine="0"/>
        <w:rPr>
          <w:szCs w:val="24"/>
          <w:lang w:val="lv-LV"/>
        </w:rPr>
      </w:pPr>
      <w:r w:rsidRPr="004D6021">
        <w:rPr>
          <w:szCs w:val="24"/>
          <w:lang w:val="lv-LV"/>
        </w:rPr>
        <w:t xml:space="preserve">“1. Ja persona atrodas vienas dalībvalsts teritorijā un tai kā lieciniekam vai ekspertam jāliecina citas dalībvalsts tiesu varas iestādēs, un ja tai nav vēlams vai iespējams personiski ierasties citas dalībvalsts teritorijā, šī cita dalībvalsts var lūgt liecības sniegšanu, izmantojot videokonferenci, </w:t>
      </w:r>
      <w:r w:rsidRPr="004D6021">
        <w:rPr>
          <w:lang w:val="lv-LV"/>
        </w:rPr>
        <w:t>ievērojot otro līdz astoto daļu</w:t>
      </w:r>
      <w:r w:rsidRPr="004D6021">
        <w:rPr>
          <w:szCs w:val="24"/>
          <w:lang w:val="lv-LV"/>
        </w:rPr>
        <w:t>.</w:t>
      </w:r>
    </w:p>
    <w:p w:rsidR="006078C9" w:rsidRPr="004D6021" w:rsidRDefault="006078C9" w:rsidP="00583503">
      <w:pPr>
        <w:pStyle w:val="JuQuot"/>
        <w:spacing w:before="0" w:after="0"/>
        <w:ind w:left="0" w:firstLine="0"/>
        <w:rPr>
          <w:lang w:val="lv-LV"/>
        </w:rPr>
      </w:pPr>
    </w:p>
    <w:p w:rsidR="006078C9" w:rsidRPr="004D6021" w:rsidRDefault="0094415D" w:rsidP="00583503">
      <w:pPr>
        <w:pStyle w:val="JuQuot"/>
        <w:spacing w:before="0" w:after="0"/>
        <w:ind w:left="0" w:firstLine="0"/>
        <w:rPr>
          <w:lang w:val="lv-LV"/>
        </w:rPr>
      </w:pPr>
      <w:r w:rsidRPr="004D6021">
        <w:rPr>
          <w:lang w:val="lv-LV"/>
        </w:rPr>
        <w:t>[</w:t>
      </w:r>
      <w:r w:rsidR="00F91CA8" w:rsidRPr="004D6021">
        <w:rPr>
          <w:lang w:val="lv-LV"/>
        </w:rPr>
        <w:t>..]”</w:t>
      </w:r>
    </w:p>
    <w:p w:rsidR="006078C9" w:rsidRPr="004D6021" w:rsidRDefault="006078C9" w:rsidP="00583503">
      <w:pPr>
        <w:pStyle w:val="JuQuot"/>
        <w:spacing w:before="0" w:after="0"/>
        <w:ind w:left="0" w:firstLine="0"/>
        <w:rPr>
          <w:lang w:val="lv-LV"/>
        </w:rPr>
      </w:pPr>
    </w:p>
    <w:p w:rsidR="0094415D" w:rsidRPr="004D6021" w:rsidRDefault="0094415D" w:rsidP="0094415D">
      <w:pPr>
        <w:pStyle w:val="JuHArticle"/>
        <w:spacing w:before="0" w:after="0"/>
        <w:rPr>
          <w:bCs w:val="0"/>
          <w:szCs w:val="24"/>
          <w:lang w:val="lv-LV"/>
        </w:rPr>
      </w:pPr>
      <w:r w:rsidRPr="004D6021">
        <w:rPr>
          <w:bCs w:val="0"/>
          <w:szCs w:val="24"/>
          <w:lang w:val="lv-LV"/>
        </w:rPr>
        <w:t xml:space="preserve">11. pants. </w:t>
      </w:r>
      <w:r w:rsidRPr="004D6021">
        <w:rPr>
          <w:rStyle w:val="Strong"/>
          <w:b/>
          <w:szCs w:val="24"/>
          <w:lang w:val="lv-LV"/>
        </w:rPr>
        <w:t>Liecinieku un ekspertu liecību sniegšana telefonkonferencē</w:t>
      </w:r>
    </w:p>
    <w:p w:rsidR="006078C9" w:rsidRPr="004D6021" w:rsidRDefault="006078C9" w:rsidP="00583503">
      <w:pPr>
        <w:pStyle w:val="JuHArticle"/>
        <w:spacing w:before="0" w:after="0"/>
        <w:rPr>
          <w:lang w:val="lv-LV"/>
        </w:rPr>
      </w:pPr>
    </w:p>
    <w:p w:rsidR="0094415D" w:rsidRPr="004D6021" w:rsidRDefault="0094415D" w:rsidP="0094415D">
      <w:pPr>
        <w:pStyle w:val="JuQuot"/>
        <w:spacing w:before="0" w:after="0"/>
        <w:ind w:left="0" w:firstLine="0"/>
        <w:rPr>
          <w:szCs w:val="24"/>
          <w:lang w:val="lv-LV"/>
        </w:rPr>
      </w:pPr>
      <w:r w:rsidRPr="004D6021">
        <w:rPr>
          <w:szCs w:val="24"/>
          <w:lang w:val="lv-LV"/>
        </w:rPr>
        <w:t>“1. Ja persona atrodas vienas dalībvalsts teritorijā un tai kā lieciniekam vai ekspertam jāsniedz liecības citas dalībvalsts tiesu varas iestādēs, šī cita dalībvalsts – ja to paredz attiecīgās valsts tiesību akti – var lūgt iepriekšminētās dalībvalsts palīdzību telefonkonferences nodrošināšanā, kā paredzēts otrajā līdz piektajā daļā.</w:t>
      </w:r>
    </w:p>
    <w:p w:rsidR="006078C9" w:rsidRPr="004D6021" w:rsidRDefault="006078C9" w:rsidP="00583503">
      <w:pPr>
        <w:pStyle w:val="JuQuot"/>
        <w:spacing w:before="0" w:after="0"/>
        <w:ind w:left="0" w:firstLine="0"/>
        <w:rPr>
          <w:lang w:val="lv-LV"/>
        </w:rPr>
      </w:pPr>
    </w:p>
    <w:p w:rsidR="006078C9" w:rsidRPr="004D6021" w:rsidRDefault="00F91CA8" w:rsidP="00583503">
      <w:pPr>
        <w:pStyle w:val="JuQuot"/>
        <w:spacing w:before="0" w:after="0"/>
        <w:ind w:left="0" w:firstLine="0"/>
        <w:rPr>
          <w:lang w:val="lv-LV"/>
        </w:rPr>
      </w:pPr>
      <w:r w:rsidRPr="004D6021">
        <w:rPr>
          <w:lang w:val="lv-LV"/>
        </w:rPr>
        <w:t>[..]”</w:t>
      </w:r>
    </w:p>
    <w:p w:rsidR="006078C9" w:rsidRPr="004D6021" w:rsidRDefault="006078C9" w:rsidP="00583503">
      <w:pPr>
        <w:pStyle w:val="JuQuot"/>
        <w:spacing w:before="0" w:after="0"/>
        <w:ind w:left="0" w:firstLine="0"/>
        <w:rPr>
          <w:lang w:val="lv-LV"/>
        </w:rPr>
      </w:pPr>
    </w:p>
    <w:p w:rsidR="00B81A8F" w:rsidRPr="004D6021" w:rsidRDefault="00D746C3" w:rsidP="00B81A8F">
      <w:pPr>
        <w:pStyle w:val="JuPara"/>
        <w:ind w:firstLine="0"/>
        <w:rPr>
          <w:lang w:val="lv-LV"/>
        </w:rPr>
      </w:pPr>
      <w:r w:rsidRPr="004D6021">
        <w:rPr>
          <w:lang w:val="lv-LV"/>
        </w:rPr>
        <w:fldChar w:fldCharType="begin"/>
      </w:r>
      <w:r w:rsidR="00B81A8F" w:rsidRPr="004D6021">
        <w:rPr>
          <w:lang w:val="lv-LV"/>
        </w:rPr>
        <w:instrText xml:space="preserve"> SEQ level0 \*arabic </w:instrText>
      </w:r>
      <w:r w:rsidRPr="004D6021">
        <w:rPr>
          <w:lang w:val="lv-LV"/>
        </w:rPr>
        <w:fldChar w:fldCharType="separate"/>
      </w:r>
      <w:r w:rsidR="00B416E8" w:rsidRPr="004D6021">
        <w:rPr>
          <w:lang w:val="lv-LV"/>
        </w:rPr>
        <w:t>25</w:t>
      </w:r>
      <w:r w:rsidRPr="004D6021">
        <w:rPr>
          <w:lang w:val="lv-LV"/>
        </w:rPr>
        <w:fldChar w:fldCharType="end"/>
      </w:r>
      <w:r w:rsidR="00B81A8F" w:rsidRPr="004D6021">
        <w:rPr>
          <w:lang w:val="lv-LV"/>
        </w:rPr>
        <w:t xml:space="preserve">. Savā 1995. gada 23. novembra Rezolūcijā par liecinieku aizsardzību cīņā pret starptautisko organizēto noziedzību Eiropas Padome lūdza dalībvalstīm garantēt pienācīgu liecinieku aizsardzību. Tālab tā cita starpā norādīja, ka “viens no aizsardzības veidiem, kas jāparedz, ir iespēja sniegt liecību citā vietā, nevis tur, kur atrodas </w:t>
      </w:r>
      <w:r w:rsidR="00AE00FA" w:rsidRPr="004D6021">
        <w:rPr>
          <w:lang w:val="lv-LV"/>
        </w:rPr>
        <w:t>tiesājamā</w:t>
      </w:r>
      <w:r w:rsidR="00B81A8F" w:rsidRPr="004D6021">
        <w:rPr>
          <w:lang w:val="lv-LV"/>
        </w:rPr>
        <w:t xml:space="preserve"> persona, vajadzības gadījumā izmantojot audiovizuālās metodes un ievērojot sāncensības principu, kas interpretēts Eiropas Cilvēktiesību tiesas praksē”. Turpinājumā Eiropas Padome norādīja:</w:t>
      </w:r>
    </w:p>
    <w:p w:rsidR="006078C9" w:rsidRPr="004D6021" w:rsidRDefault="006078C9" w:rsidP="00583503">
      <w:pPr>
        <w:pStyle w:val="JuPara"/>
        <w:ind w:firstLine="0"/>
        <w:rPr>
          <w:lang w:val="lv-LV"/>
        </w:rPr>
      </w:pPr>
    </w:p>
    <w:p w:rsidR="00B81A8F" w:rsidRPr="004D6021" w:rsidRDefault="00B81A8F" w:rsidP="00B81A8F">
      <w:pPr>
        <w:pStyle w:val="JuQuot"/>
        <w:spacing w:before="0" w:after="0"/>
        <w:ind w:left="0" w:firstLine="0"/>
        <w:rPr>
          <w:szCs w:val="24"/>
          <w:lang w:val="lv-LV"/>
        </w:rPr>
      </w:pPr>
      <w:r w:rsidRPr="004D6021">
        <w:rPr>
          <w:szCs w:val="24"/>
          <w:lang w:val="lv-LV"/>
        </w:rPr>
        <w:t>“... Lai atvieglotu audiovizuālo metožu izmantošanu, jāņem vērā šādi aspekti:</w:t>
      </w:r>
    </w:p>
    <w:p w:rsidR="006078C9" w:rsidRPr="004D6021" w:rsidRDefault="006078C9" w:rsidP="00583503">
      <w:pPr>
        <w:pStyle w:val="JuQuot"/>
        <w:spacing w:before="0" w:after="0"/>
        <w:ind w:left="0" w:firstLine="0"/>
        <w:rPr>
          <w:lang w:val="lv-LV"/>
        </w:rPr>
      </w:pPr>
    </w:p>
    <w:p w:rsidR="00BB1DFA" w:rsidRPr="004D6021" w:rsidRDefault="00BB1DFA" w:rsidP="00BB1DFA">
      <w:pPr>
        <w:pStyle w:val="JuQuot"/>
        <w:spacing w:before="0" w:after="0"/>
        <w:ind w:left="0" w:firstLine="0"/>
        <w:rPr>
          <w:szCs w:val="24"/>
          <w:lang w:val="lv-LV"/>
        </w:rPr>
      </w:pPr>
      <w:r w:rsidRPr="004D6021">
        <w:rPr>
          <w:szCs w:val="24"/>
          <w:lang w:val="lv-LV"/>
        </w:rPr>
        <w:t xml:space="preserve">1. </w:t>
      </w:r>
      <w:r w:rsidR="009D75E0" w:rsidRPr="004D6021">
        <w:rPr>
          <w:szCs w:val="24"/>
          <w:lang w:val="lv-LV"/>
        </w:rPr>
        <w:t>p</w:t>
      </w:r>
      <w:r w:rsidRPr="004D6021">
        <w:rPr>
          <w:szCs w:val="24"/>
          <w:lang w:val="lv-LV"/>
        </w:rPr>
        <w:t>rincipā būtu jāparedz, ka liecības var tikt sniegtas tikai saskaņā ar pieprasītājas valsts tiesiskajiem un praktiskajiem nosacījumiem</w:t>
      </w:r>
      <w:r w:rsidR="009D75E0" w:rsidRPr="004D6021">
        <w:rPr>
          <w:szCs w:val="24"/>
          <w:lang w:val="lv-LV"/>
        </w:rPr>
        <w:t>;</w:t>
      </w:r>
    </w:p>
    <w:p w:rsidR="006078C9" w:rsidRPr="004D6021" w:rsidRDefault="006078C9" w:rsidP="00583503">
      <w:pPr>
        <w:pStyle w:val="JuQuot"/>
        <w:spacing w:before="0" w:after="0"/>
        <w:ind w:left="0" w:firstLine="0"/>
        <w:rPr>
          <w:lang w:val="lv-LV"/>
        </w:rPr>
      </w:pPr>
    </w:p>
    <w:p w:rsidR="009D75E0" w:rsidRPr="004D6021" w:rsidRDefault="009D75E0" w:rsidP="009D75E0">
      <w:pPr>
        <w:pStyle w:val="JuQuot"/>
        <w:spacing w:before="0" w:after="0"/>
        <w:ind w:left="0" w:firstLine="0"/>
        <w:rPr>
          <w:szCs w:val="24"/>
          <w:lang w:val="lv-LV"/>
        </w:rPr>
      </w:pPr>
      <w:r w:rsidRPr="004D6021">
        <w:rPr>
          <w:szCs w:val="24"/>
          <w:lang w:val="lv-LV"/>
        </w:rPr>
        <w:t xml:space="preserve">2. ja kādas valsts tiesību akti paredz, ka lieciniekam liecības sniegšanas laikā palīdz konsultants, tad jānodrošina, lai šāda palīdzība būtu iespējama arī tās valsts teritorijā, kurā atrodas </w:t>
      </w:r>
      <w:r w:rsidR="00EA0406" w:rsidRPr="004D6021">
        <w:rPr>
          <w:szCs w:val="24"/>
          <w:lang w:val="lv-LV"/>
        </w:rPr>
        <w:t xml:space="preserve">šis </w:t>
      </w:r>
      <w:r w:rsidRPr="004D6021">
        <w:rPr>
          <w:szCs w:val="24"/>
          <w:lang w:val="lv-LV"/>
        </w:rPr>
        <w:t>liecinieks;</w:t>
      </w:r>
    </w:p>
    <w:p w:rsidR="006078C9" w:rsidRPr="004D6021" w:rsidRDefault="006078C9" w:rsidP="00583503">
      <w:pPr>
        <w:pStyle w:val="JuQuot"/>
        <w:spacing w:before="0" w:after="0"/>
        <w:ind w:left="0" w:firstLine="0"/>
        <w:rPr>
          <w:lang w:val="lv-LV"/>
        </w:rPr>
      </w:pPr>
    </w:p>
    <w:p w:rsidR="009D75E0" w:rsidRPr="004D6021" w:rsidRDefault="009D75E0" w:rsidP="009D75E0">
      <w:pPr>
        <w:pStyle w:val="JuQuot"/>
        <w:spacing w:before="0" w:after="0"/>
        <w:ind w:left="0" w:firstLine="0"/>
        <w:rPr>
          <w:szCs w:val="24"/>
          <w:lang w:val="lv-LV"/>
        </w:rPr>
      </w:pPr>
      <w:r w:rsidRPr="004D6021">
        <w:rPr>
          <w:szCs w:val="24"/>
          <w:lang w:val="lv-LV"/>
        </w:rPr>
        <w:t>3. izmaksas, kas rodas saistībā ar tulkošanu un audiovizuālo metožu izmantošanu, sedz pieprasītāja valsts, ja vien tā citādi nevienojas ar valsti, kam tiek izdarīts pieprasījums”.</w:t>
      </w:r>
    </w:p>
    <w:p w:rsidR="006078C9" w:rsidRPr="004D6021" w:rsidRDefault="006078C9" w:rsidP="00583503">
      <w:pPr>
        <w:pStyle w:val="JuQuot"/>
        <w:spacing w:before="0" w:after="0"/>
        <w:ind w:left="0" w:firstLine="0"/>
        <w:rPr>
          <w:lang w:val="lv-LV"/>
        </w:rPr>
      </w:pPr>
    </w:p>
    <w:p w:rsidR="009D75E0" w:rsidRPr="004D6021" w:rsidRDefault="009D75E0" w:rsidP="009D75E0">
      <w:pPr>
        <w:pStyle w:val="JuHHead"/>
        <w:spacing w:before="0" w:after="0"/>
        <w:rPr>
          <w:szCs w:val="24"/>
          <w:lang w:val="lv-LV"/>
        </w:rPr>
      </w:pPr>
      <w:r w:rsidRPr="004D6021">
        <w:rPr>
          <w:szCs w:val="24"/>
          <w:lang w:val="lv-LV"/>
        </w:rPr>
        <w:lastRenderedPageBreak/>
        <w:t>JURIDISKAIS PAMATOJUMS</w:t>
      </w:r>
    </w:p>
    <w:p w:rsidR="006078C9" w:rsidRPr="004D6021" w:rsidRDefault="006078C9" w:rsidP="00583503">
      <w:pPr>
        <w:pStyle w:val="JuHHead"/>
        <w:spacing w:before="0" w:after="0"/>
        <w:rPr>
          <w:lang w:val="lv-LV"/>
        </w:rPr>
      </w:pPr>
    </w:p>
    <w:p w:rsidR="009D75E0" w:rsidRPr="004D6021" w:rsidRDefault="009D75E0" w:rsidP="009D75E0">
      <w:pPr>
        <w:pStyle w:val="JuHIRoman"/>
        <w:spacing w:before="0" w:after="0"/>
        <w:ind w:left="0" w:firstLine="0"/>
        <w:rPr>
          <w:lang w:val="lv-LV"/>
        </w:rPr>
      </w:pPr>
      <w:r w:rsidRPr="004D6021">
        <w:rPr>
          <w:lang w:val="lv-LV"/>
        </w:rPr>
        <w:t xml:space="preserve">I. KONVENCIJAS 6. PANTA </w:t>
      </w:r>
      <w:r w:rsidR="00EA0406" w:rsidRPr="004D6021">
        <w:rPr>
          <w:lang w:val="lv-LV"/>
        </w:rPr>
        <w:t xml:space="preserve">IESPĒJAMAIS </w:t>
      </w:r>
      <w:r w:rsidRPr="004D6021">
        <w:rPr>
          <w:lang w:val="lv-LV"/>
        </w:rPr>
        <w:t>PĀRKĀPUMS</w:t>
      </w:r>
    </w:p>
    <w:p w:rsidR="006078C9" w:rsidRPr="004D6021" w:rsidRDefault="006078C9" w:rsidP="00583503">
      <w:pPr>
        <w:pStyle w:val="JuHIRoman"/>
        <w:spacing w:before="0" w:after="0"/>
        <w:ind w:left="0" w:firstLine="0"/>
        <w:rPr>
          <w:lang w:val="lv-LV"/>
        </w:rPr>
      </w:pPr>
    </w:p>
    <w:p w:rsidR="009D75E0" w:rsidRPr="004D6021" w:rsidRDefault="00D746C3" w:rsidP="009D75E0">
      <w:pPr>
        <w:pStyle w:val="JuPara"/>
        <w:ind w:firstLine="0"/>
        <w:rPr>
          <w:lang w:val="lv-LV"/>
        </w:rPr>
      </w:pPr>
      <w:r w:rsidRPr="004D6021">
        <w:rPr>
          <w:lang w:val="lv-LV"/>
        </w:rPr>
        <w:fldChar w:fldCharType="begin"/>
      </w:r>
      <w:r w:rsidR="009D75E0" w:rsidRPr="004D6021">
        <w:rPr>
          <w:lang w:val="lv-LV"/>
        </w:rPr>
        <w:instrText xml:space="preserve"> SEQ level0 \*arabic </w:instrText>
      </w:r>
      <w:r w:rsidRPr="004D6021">
        <w:rPr>
          <w:lang w:val="lv-LV"/>
        </w:rPr>
        <w:fldChar w:fldCharType="separate"/>
      </w:r>
      <w:r w:rsidR="00B416E8" w:rsidRPr="004D6021">
        <w:rPr>
          <w:lang w:val="lv-LV"/>
        </w:rPr>
        <w:t>26</w:t>
      </w:r>
      <w:r w:rsidRPr="004D6021">
        <w:rPr>
          <w:lang w:val="lv-LV"/>
        </w:rPr>
        <w:fldChar w:fldCharType="end"/>
      </w:r>
      <w:r w:rsidR="009D75E0" w:rsidRPr="004D6021">
        <w:rPr>
          <w:lang w:val="lv-LV"/>
        </w:rPr>
        <w:t xml:space="preserve">. Pieteikuma iesniedzējs sūdzējās, ka </w:t>
      </w:r>
      <w:r w:rsidR="008F22EF">
        <w:rPr>
          <w:lang w:val="lv-LV"/>
        </w:rPr>
        <w:t xml:space="preserve">otrā kriminālprocesa laikā </w:t>
      </w:r>
      <w:r w:rsidR="009D75E0" w:rsidRPr="004D6021">
        <w:rPr>
          <w:lang w:val="lv-LV"/>
        </w:rPr>
        <w:t>viņ</w:t>
      </w:r>
      <w:r w:rsidR="00974A39">
        <w:rPr>
          <w:lang w:val="lv-LV"/>
        </w:rPr>
        <w:t>š tika</w:t>
      </w:r>
      <w:r w:rsidR="009D75E0" w:rsidRPr="004D6021">
        <w:rPr>
          <w:lang w:val="lv-LV"/>
        </w:rPr>
        <w:t xml:space="preserve"> piespie</w:t>
      </w:r>
      <w:r w:rsidR="00974A39">
        <w:rPr>
          <w:lang w:val="lv-LV"/>
        </w:rPr>
        <w:t>sts</w:t>
      </w:r>
      <w:r w:rsidR="009D75E0" w:rsidRPr="004D6021">
        <w:rPr>
          <w:lang w:val="lv-LV"/>
        </w:rPr>
        <w:t xml:space="preserve"> piedalīties </w:t>
      </w:r>
      <w:r w:rsidR="00EA0406" w:rsidRPr="004D6021">
        <w:rPr>
          <w:lang w:val="lv-LV"/>
        </w:rPr>
        <w:t>apelācijas</w:t>
      </w:r>
      <w:r w:rsidR="009D75E0" w:rsidRPr="004D6021">
        <w:rPr>
          <w:lang w:val="lv-LV"/>
        </w:rPr>
        <w:t xml:space="preserve"> tiesas sēdē</w:t>
      </w:r>
      <w:r w:rsidR="008F22EF">
        <w:rPr>
          <w:lang w:val="lv-LV"/>
        </w:rPr>
        <w:t xml:space="preserve"> videokonferences formā</w:t>
      </w:r>
      <w:r w:rsidR="009D75E0" w:rsidRPr="004D6021">
        <w:rPr>
          <w:lang w:val="lv-LV"/>
        </w:rPr>
        <w:t>. Viņš atsaucās uz Konvencijas 6. panta 1. un 3. punktu, kuru attiecīgās daļas ir formulētas šādi:</w:t>
      </w:r>
    </w:p>
    <w:p w:rsidR="006078C9" w:rsidRPr="004D6021" w:rsidRDefault="006078C9" w:rsidP="00583503">
      <w:pPr>
        <w:pStyle w:val="JuPara"/>
        <w:ind w:firstLine="0"/>
        <w:rPr>
          <w:lang w:val="lv-LV"/>
        </w:rPr>
      </w:pPr>
    </w:p>
    <w:p w:rsidR="006078C9" w:rsidRPr="004D6021" w:rsidRDefault="00F91CA8" w:rsidP="00583503">
      <w:pPr>
        <w:pStyle w:val="JuQuot"/>
        <w:spacing w:before="0" w:after="0"/>
        <w:ind w:left="0" w:firstLine="0"/>
        <w:rPr>
          <w:lang w:val="lv-LV"/>
        </w:rPr>
      </w:pPr>
      <w:r w:rsidRPr="004D6021">
        <w:rPr>
          <w:szCs w:val="24"/>
          <w:lang w:val="lv-LV"/>
        </w:rPr>
        <w:t>“</w:t>
      </w:r>
      <w:r w:rsidR="008441D0" w:rsidRPr="004D6021">
        <w:rPr>
          <w:lang w:val="lv-LV"/>
        </w:rPr>
        <w:t xml:space="preserve">Ikvienam ir tiesības, nosakot </w:t>
      </w:r>
      <w:r w:rsidR="006757D4">
        <w:rPr>
          <w:lang w:val="lv-LV"/>
        </w:rPr>
        <w:t xml:space="preserve">savu </w:t>
      </w:r>
      <w:r w:rsidR="008441D0" w:rsidRPr="004D6021">
        <w:rPr>
          <w:lang w:val="lv-LV"/>
        </w:rPr>
        <w:t xml:space="preserve">civilo tiesību un pienākumu </w:t>
      </w:r>
      <w:r w:rsidR="009D75E0" w:rsidRPr="004D6021">
        <w:rPr>
          <w:szCs w:val="24"/>
          <w:lang w:val="lv-LV"/>
        </w:rPr>
        <w:t>[..</w:t>
      </w:r>
      <w:r w:rsidR="008441D0" w:rsidRPr="004D6021">
        <w:rPr>
          <w:szCs w:val="24"/>
          <w:lang w:val="lv-LV"/>
        </w:rPr>
        <w:t xml:space="preserve"> pamatotību</w:t>
      </w:r>
      <w:r w:rsidR="009D75E0" w:rsidRPr="004D6021">
        <w:rPr>
          <w:szCs w:val="24"/>
          <w:lang w:val="lv-LV"/>
        </w:rPr>
        <w:t xml:space="preserve">] </w:t>
      </w:r>
      <w:r w:rsidRPr="004D6021">
        <w:rPr>
          <w:szCs w:val="24"/>
          <w:lang w:val="lv-LV"/>
        </w:rPr>
        <w:t>uz</w:t>
      </w:r>
      <w:r w:rsidR="006757D4">
        <w:rPr>
          <w:szCs w:val="24"/>
          <w:lang w:val="lv-LV"/>
        </w:rPr>
        <w:t xml:space="preserve"> taisnīgu</w:t>
      </w:r>
      <w:r w:rsidRPr="004D6021">
        <w:rPr>
          <w:szCs w:val="24"/>
          <w:lang w:val="lv-LV"/>
        </w:rPr>
        <w:t xml:space="preserve"> [..] lietas izskatīšanu [..] tiesā.”</w:t>
      </w:r>
    </w:p>
    <w:p w:rsidR="006078C9" w:rsidRPr="004D6021" w:rsidRDefault="006078C9" w:rsidP="00583503">
      <w:pPr>
        <w:pStyle w:val="JuQuot"/>
        <w:spacing w:before="0" w:after="0"/>
        <w:ind w:left="0" w:firstLine="0"/>
        <w:rPr>
          <w:lang w:val="lv-LV"/>
        </w:rPr>
      </w:pPr>
    </w:p>
    <w:p w:rsidR="006078C9" w:rsidRPr="004D6021" w:rsidRDefault="00EA0406" w:rsidP="00583503">
      <w:pPr>
        <w:pStyle w:val="JuQuot"/>
        <w:spacing w:before="0" w:after="0"/>
        <w:ind w:left="0" w:firstLine="0"/>
        <w:rPr>
          <w:lang w:val="lv-LV"/>
        </w:rPr>
      </w:pPr>
      <w:r w:rsidRPr="004D6021">
        <w:rPr>
          <w:lang w:val="lv-LV"/>
        </w:rPr>
        <w:t>[</w:t>
      </w:r>
      <w:r w:rsidR="00F91CA8" w:rsidRPr="004D6021">
        <w:rPr>
          <w:lang w:val="lv-LV"/>
        </w:rPr>
        <w:t>..</w:t>
      </w:r>
      <w:r w:rsidRPr="004D6021">
        <w:rPr>
          <w:lang w:val="lv-LV"/>
        </w:rPr>
        <w:t>]</w:t>
      </w:r>
    </w:p>
    <w:p w:rsidR="006078C9" w:rsidRPr="004D6021" w:rsidRDefault="006078C9" w:rsidP="00583503">
      <w:pPr>
        <w:pStyle w:val="JuQuot"/>
        <w:spacing w:before="0" w:after="0"/>
        <w:ind w:left="0" w:firstLine="0"/>
        <w:rPr>
          <w:lang w:val="lv-LV"/>
        </w:rPr>
      </w:pPr>
    </w:p>
    <w:p w:rsidR="008441D0" w:rsidRPr="004D6021" w:rsidRDefault="008441D0" w:rsidP="008441D0">
      <w:pPr>
        <w:pStyle w:val="JuQuot"/>
        <w:spacing w:before="0" w:after="0"/>
        <w:ind w:left="0" w:firstLine="0"/>
        <w:rPr>
          <w:szCs w:val="24"/>
          <w:lang w:val="lv-LV"/>
        </w:rPr>
      </w:pPr>
      <w:r w:rsidRPr="004D6021">
        <w:rPr>
          <w:szCs w:val="24"/>
          <w:lang w:val="lv-LV"/>
        </w:rPr>
        <w:t xml:space="preserve">3. “Ikvienam, kas tiek apsūdzēts </w:t>
      </w:r>
      <w:r w:rsidR="006757D4">
        <w:rPr>
          <w:szCs w:val="24"/>
          <w:lang w:val="lv-LV"/>
        </w:rPr>
        <w:t>noziedzīgā nodarījumā</w:t>
      </w:r>
      <w:r w:rsidRPr="004D6021">
        <w:rPr>
          <w:szCs w:val="24"/>
          <w:lang w:val="lv-LV"/>
        </w:rPr>
        <w:t xml:space="preserve">, ir </w:t>
      </w:r>
      <w:r w:rsidR="006757D4">
        <w:rPr>
          <w:szCs w:val="24"/>
          <w:lang w:val="lv-LV"/>
        </w:rPr>
        <w:t>tiesības vismaz</w:t>
      </w:r>
      <w:r w:rsidRPr="004D6021">
        <w:rPr>
          <w:szCs w:val="24"/>
          <w:lang w:val="lv-LV"/>
        </w:rPr>
        <w:t>:</w:t>
      </w:r>
    </w:p>
    <w:p w:rsidR="006078C9" w:rsidRPr="004D6021" w:rsidRDefault="006078C9" w:rsidP="00583503">
      <w:pPr>
        <w:pStyle w:val="JuQuot"/>
        <w:spacing w:before="0" w:after="0"/>
        <w:ind w:left="0" w:firstLine="0"/>
        <w:rPr>
          <w:lang w:val="lv-LV"/>
        </w:rPr>
      </w:pPr>
    </w:p>
    <w:p w:rsidR="008441D0" w:rsidRPr="004D6021" w:rsidRDefault="008441D0" w:rsidP="008441D0">
      <w:pPr>
        <w:pStyle w:val="JuQuot"/>
        <w:spacing w:before="0" w:after="0"/>
        <w:ind w:left="0" w:firstLine="0"/>
        <w:rPr>
          <w:szCs w:val="24"/>
          <w:lang w:val="lv-LV"/>
        </w:rPr>
      </w:pPr>
      <w:r w:rsidRPr="004D6021">
        <w:rPr>
          <w:szCs w:val="24"/>
          <w:lang w:val="lv-LV"/>
        </w:rPr>
        <w:t xml:space="preserve">a) tikt nekavējoties, viņam saprotamā valodā un detalizēti, </w:t>
      </w:r>
      <w:r w:rsidR="006757D4">
        <w:rPr>
          <w:szCs w:val="24"/>
          <w:lang w:val="lv-LV"/>
        </w:rPr>
        <w:t xml:space="preserve">informētam </w:t>
      </w:r>
      <w:r w:rsidRPr="004D6021">
        <w:rPr>
          <w:szCs w:val="24"/>
          <w:lang w:val="lv-LV"/>
        </w:rPr>
        <w:t>par viņam izvirzītās apsūdzības raksturu un iemeslu;</w:t>
      </w:r>
    </w:p>
    <w:p w:rsidR="006078C9" w:rsidRPr="004D6021" w:rsidRDefault="006078C9" w:rsidP="00583503">
      <w:pPr>
        <w:pStyle w:val="JuQuot"/>
        <w:spacing w:before="0" w:after="0"/>
        <w:ind w:left="0" w:firstLine="0"/>
        <w:rPr>
          <w:lang w:val="lv-LV"/>
        </w:rPr>
      </w:pPr>
    </w:p>
    <w:p w:rsidR="008441D0" w:rsidRPr="004D6021" w:rsidRDefault="008441D0" w:rsidP="008441D0">
      <w:pPr>
        <w:pStyle w:val="JuQuot"/>
        <w:spacing w:before="0" w:after="0"/>
        <w:ind w:left="0" w:firstLine="0"/>
        <w:rPr>
          <w:szCs w:val="24"/>
          <w:lang w:val="lv-LV"/>
        </w:rPr>
      </w:pPr>
      <w:r w:rsidRPr="004D6021">
        <w:rPr>
          <w:szCs w:val="24"/>
          <w:lang w:val="lv-LV"/>
        </w:rPr>
        <w:t>b) uz laiku un līdzekļiem, lai sagatavotu savu aizstāvību;</w:t>
      </w:r>
    </w:p>
    <w:p w:rsidR="006078C9" w:rsidRPr="004D6021" w:rsidRDefault="006078C9" w:rsidP="00583503">
      <w:pPr>
        <w:pStyle w:val="JuQuot"/>
        <w:spacing w:before="0" w:after="0"/>
        <w:ind w:left="0" w:firstLine="0"/>
        <w:rPr>
          <w:lang w:val="lv-LV"/>
        </w:rPr>
      </w:pPr>
    </w:p>
    <w:p w:rsidR="008441D0" w:rsidRPr="004D6021" w:rsidRDefault="008441D0" w:rsidP="008441D0">
      <w:pPr>
        <w:pStyle w:val="JuQuot"/>
        <w:spacing w:before="0" w:after="0"/>
        <w:ind w:left="0" w:firstLine="0"/>
        <w:rPr>
          <w:szCs w:val="24"/>
          <w:lang w:val="lv-LV"/>
        </w:rPr>
      </w:pPr>
      <w:r w:rsidRPr="004D6021">
        <w:rPr>
          <w:szCs w:val="24"/>
          <w:lang w:val="lv-LV"/>
        </w:rPr>
        <w:t xml:space="preserve">c) aizstāvēt sevi pašam vai </w:t>
      </w:r>
      <w:r w:rsidR="006757D4">
        <w:rPr>
          <w:szCs w:val="24"/>
          <w:lang w:val="lv-LV"/>
        </w:rPr>
        <w:t>saņemt paša izvēlēta aizstāvja</w:t>
      </w:r>
      <w:r w:rsidRPr="004D6021">
        <w:rPr>
          <w:szCs w:val="24"/>
          <w:lang w:val="lv-LV"/>
        </w:rPr>
        <w:t xml:space="preserve"> juridisku palīdzību, vai, ja </w:t>
      </w:r>
      <w:r w:rsidR="006757D4">
        <w:rPr>
          <w:szCs w:val="24"/>
          <w:lang w:val="lv-LV"/>
        </w:rPr>
        <w:t xml:space="preserve">viņam </w:t>
      </w:r>
      <w:r w:rsidRPr="004D6021">
        <w:rPr>
          <w:szCs w:val="24"/>
          <w:lang w:val="lv-LV"/>
        </w:rPr>
        <w:t xml:space="preserve">trūkst līdzekļu, lai algotu </w:t>
      </w:r>
      <w:r w:rsidR="006757D4">
        <w:rPr>
          <w:szCs w:val="24"/>
          <w:lang w:val="lv-LV"/>
        </w:rPr>
        <w:t>aizstāvi</w:t>
      </w:r>
      <w:r w:rsidRPr="004D6021">
        <w:rPr>
          <w:szCs w:val="24"/>
          <w:lang w:val="lv-LV"/>
        </w:rPr>
        <w:t xml:space="preserve">, saņemt </w:t>
      </w:r>
      <w:r w:rsidR="006757D4">
        <w:rPr>
          <w:szCs w:val="24"/>
          <w:lang w:val="lv-LV"/>
        </w:rPr>
        <w:t>nozīmēta aizstāvja palīdzību par velti</w:t>
      </w:r>
      <w:r w:rsidRPr="004D6021">
        <w:rPr>
          <w:szCs w:val="24"/>
          <w:lang w:val="lv-LV"/>
        </w:rPr>
        <w:t>, ja t</w:t>
      </w:r>
      <w:r w:rsidR="006757D4">
        <w:rPr>
          <w:szCs w:val="24"/>
          <w:lang w:val="lv-LV"/>
        </w:rPr>
        <w:t>as nepieciešams tiesvedības</w:t>
      </w:r>
      <w:r w:rsidRPr="004D6021">
        <w:rPr>
          <w:szCs w:val="24"/>
          <w:lang w:val="lv-LV"/>
        </w:rPr>
        <w:t xml:space="preserve"> interes</w:t>
      </w:r>
      <w:r w:rsidR="006757D4">
        <w:rPr>
          <w:szCs w:val="24"/>
          <w:lang w:val="lv-LV"/>
        </w:rPr>
        <w:t>ē</w:t>
      </w:r>
      <w:r w:rsidRPr="004D6021">
        <w:rPr>
          <w:szCs w:val="24"/>
          <w:lang w:val="lv-LV"/>
        </w:rPr>
        <w:t>s;</w:t>
      </w:r>
    </w:p>
    <w:p w:rsidR="006078C9" w:rsidRPr="004D6021" w:rsidRDefault="006078C9" w:rsidP="00583503">
      <w:pPr>
        <w:pStyle w:val="JuQuot"/>
        <w:spacing w:before="0" w:after="0"/>
        <w:ind w:left="0" w:firstLine="0"/>
        <w:rPr>
          <w:lang w:val="lv-LV"/>
        </w:rPr>
      </w:pPr>
    </w:p>
    <w:p w:rsidR="008441D0" w:rsidRPr="004D6021" w:rsidRDefault="008441D0" w:rsidP="008441D0">
      <w:pPr>
        <w:pStyle w:val="JuQuot"/>
        <w:spacing w:before="0" w:after="0"/>
        <w:ind w:left="0" w:firstLine="0"/>
        <w:rPr>
          <w:szCs w:val="24"/>
          <w:lang w:val="lv-LV"/>
        </w:rPr>
      </w:pPr>
      <w:r w:rsidRPr="004D6021">
        <w:rPr>
          <w:szCs w:val="24"/>
          <w:lang w:val="lv-LV"/>
        </w:rPr>
        <w:t xml:space="preserve">d) nopratināt vai </w:t>
      </w:r>
      <w:r w:rsidR="006757D4">
        <w:rPr>
          <w:szCs w:val="24"/>
          <w:lang w:val="lv-LV"/>
        </w:rPr>
        <w:t>panākt nopratināt</w:t>
      </w:r>
      <w:r w:rsidRPr="004D6021">
        <w:rPr>
          <w:szCs w:val="24"/>
          <w:lang w:val="lv-LV"/>
        </w:rPr>
        <w:t xml:space="preserve"> apsūdzības lieciniekus un pieprasīt aizstāvības liecinieku klātbūtni un nopratināšanu </w:t>
      </w:r>
      <w:r w:rsidR="006757D4">
        <w:rPr>
          <w:szCs w:val="24"/>
          <w:lang w:val="lv-LV"/>
        </w:rPr>
        <w:t>ar tādiem pašiem nosacījumiem</w:t>
      </w:r>
      <w:r w:rsidRPr="004D6021">
        <w:rPr>
          <w:szCs w:val="24"/>
          <w:lang w:val="lv-LV"/>
        </w:rPr>
        <w:t xml:space="preserve"> kā apsūdzības lieciniekus;</w:t>
      </w:r>
    </w:p>
    <w:p w:rsidR="006078C9" w:rsidRPr="004D6021" w:rsidRDefault="006078C9" w:rsidP="00583503">
      <w:pPr>
        <w:pStyle w:val="JuQuot"/>
        <w:spacing w:before="0" w:after="0"/>
        <w:ind w:left="0" w:firstLine="0"/>
        <w:rPr>
          <w:lang w:val="lv-LV"/>
        </w:rPr>
      </w:pPr>
    </w:p>
    <w:p w:rsidR="008441D0" w:rsidRPr="004D6021" w:rsidRDefault="008441D0" w:rsidP="008441D0">
      <w:pPr>
        <w:pStyle w:val="JuQuot"/>
        <w:spacing w:before="0" w:after="0"/>
        <w:ind w:left="0" w:firstLine="0"/>
        <w:rPr>
          <w:szCs w:val="24"/>
          <w:lang w:val="lv-LV"/>
        </w:rPr>
      </w:pPr>
      <w:r w:rsidRPr="004D6021">
        <w:rPr>
          <w:szCs w:val="24"/>
          <w:lang w:val="lv-LV"/>
        </w:rPr>
        <w:t>e) uz bezmaksas tulka pakalpojumiem, ja viņš nesaprot tiesā lietoto valodu vai nerunā tajā.”</w:t>
      </w:r>
    </w:p>
    <w:p w:rsidR="006078C9" w:rsidRPr="004D6021" w:rsidRDefault="006078C9" w:rsidP="00583503">
      <w:pPr>
        <w:pStyle w:val="JuQuot"/>
        <w:spacing w:before="0" w:after="0"/>
        <w:ind w:left="0" w:firstLine="0"/>
        <w:rPr>
          <w:lang w:val="lv-LV"/>
        </w:rPr>
      </w:pPr>
    </w:p>
    <w:p w:rsidR="008441D0" w:rsidRPr="004D6021" w:rsidRDefault="00D746C3" w:rsidP="008441D0">
      <w:pPr>
        <w:pStyle w:val="JuPara"/>
        <w:ind w:firstLine="0"/>
        <w:rPr>
          <w:lang w:val="lv-LV"/>
        </w:rPr>
      </w:pPr>
      <w:r w:rsidRPr="004D6021">
        <w:rPr>
          <w:lang w:val="lv-LV"/>
        </w:rPr>
        <w:fldChar w:fldCharType="begin"/>
      </w:r>
      <w:r w:rsidR="008441D0" w:rsidRPr="004D6021">
        <w:rPr>
          <w:lang w:val="lv-LV"/>
        </w:rPr>
        <w:instrText xml:space="preserve"> SEQ level0 \*arabic </w:instrText>
      </w:r>
      <w:r w:rsidRPr="004D6021">
        <w:rPr>
          <w:lang w:val="lv-LV"/>
        </w:rPr>
        <w:fldChar w:fldCharType="separate"/>
      </w:r>
      <w:r w:rsidR="00B416E8" w:rsidRPr="004D6021">
        <w:rPr>
          <w:lang w:val="lv-LV"/>
        </w:rPr>
        <w:t>27</w:t>
      </w:r>
      <w:r w:rsidRPr="004D6021">
        <w:rPr>
          <w:lang w:val="lv-LV"/>
        </w:rPr>
        <w:fldChar w:fldCharType="end"/>
      </w:r>
      <w:r w:rsidR="008441D0" w:rsidRPr="004D6021">
        <w:rPr>
          <w:lang w:val="lv-LV"/>
        </w:rPr>
        <w:t xml:space="preserve">. Valdība apstrīdēja </w:t>
      </w:r>
      <w:r w:rsidR="00EA0406" w:rsidRPr="004D6021">
        <w:rPr>
          <w:lang w:val="lv-LV"/>
        </w:rPr>
        <w:t xml:space="preserve">apgalvojumus, ko pieteikuma iesniedzējs bija izteicis </w:t>
      </w:r>
      <w:r w:rsidR="008441D0" w:rsidRPr="004D6021">
        <w:rPr>
          <w:lang w:val="lv-LV"/>
        </w:rPr>
        <w:t>šajā zi</w:t>
      </w:r>
      <w:r w:rsidR="002D47E0" w:rsidRPr="004D6021">
        <w:rPr>
          <w:lang w:val="lv-LV"/>
        </w:rPr>
        <w:t>ņ</w:t>
      </w:r>
      <w:r w:rsidR="00EA0406" w:rsidRPr="004D6021">
        <w:rPr>
          <w:lang w:val="lv-LV"/>
        </w:rPr>
        <w:t>ā</w:t>
      </w:r>
      <w:r w:rsidR="008441D0" w:rsidRPr="004D6021">
        <w:rPr>
          <w:lang w:val="lv-LV"/>
        </w:rPr>
        <w:t>.</w:t>
      </w:r>
    </w:p>
    <w:p w:rsidR="006078C9" w:rsidRPr="004D6021" w:rsidRDefault="006078C9" w:rsidP="00583503">
      <w:pPr>
        <w:pStyle w:val="JuPara"/>
        <w:ind w:firstLine="0"/>
        <w:rPr>
          <w:lang w:val="lv-LV"/>
        </w:rPr>
      </w:pPr>
    </w:p>
    <w:p w:rsidR="006078C9" w:rsidRPr="004D6021" w:rsidRDefault="00F91CA8" w:rsidP="00583503">
      <w:pPr>
        <w:pStyle w:val="JuPara"/>
        <w:ind w:firstLine="0"/>
        <w:rPr>
          <w:lang w:val="lv-LV"/>
        </w:rPr>
      </w:pPr>
      <w:r w:rsidRPr="004D6021">
        <w:rPr>
          <w:lang w:val="lv-LV"/>
        </w:rPr>
        <w:t>...</w:t>
      </w:r>
    </w:p>
    <w:p w:rsidR="006078C9" w:rsidRPr="004D6021" w:rsidRDefault="006078C9" w:rsidP="00583503">
      <w:pPr>
        <w:pStyle w:val="JuPara"/>
        <w:ind w:firstLine="0"/>
        <w:rPr>
          <w:lang w:val="lv-LV"/>
        </w:rPr>
      </w:pPr>
    </w:p>
    <w:p w:rsidR="008441D0" w:rsidRPr="004D6021" w:rsidRDefault="008441D0" w:rsidP="008441D0">
      <w:pPr>
        <w:pStyle w:val="JuHA"/>
        <w:tabs>
          <w:tab w:val="clear" w:pos="584"/>
          <w:tab w:val="left" w:pos="720"/>
        </w:tabs>
        <w:spacing w:before="0" w:after="0"/>
        <w:ind w:left="0" w:firstLine="0"/>
        <w:rPr>
          <w:bCs w:val="0"/>
          <w:lang w:val="lv-LV"/>
        </w:rPr>
      </w:pPr>
      <w:r w:rsidRPr="004D6021">
        <w:rPr>
          <w:bCs w:val="0"/>
          <w:lang w:val="lv-LV"/>
        </w:rPr>
        <w:t>B. Lietas būtība</w:t>
      </w:r>
    </w:p>
    <w:p w:rsidR="006078C9" w:rsidRPr="004D6021" w:rsidRDefault="006078C9" w:rsidP="00583503">
      <w:pPr>
        <w:pStyle w:val="JuHA"/>
        <w:tabs>
          <w:tab w:val="clear" w:pos="584"/>
          <w:tab w:val="left" w:pos="720"/>
        </w:tabs>
        <w:spacing w:before="0" w:after="0"/>
        <w:ind w:left="0" w:firstLine="0"/>
        <w:rPr>
          <w:lang w:val="lv-LV"/>
        </w:rPr>
      </w:pPr>
    </w:p>
    <w:p w:rsidR="008441D0" w:rsidRPr="004D6021" w:rsidRDefault="008441D0" w:rsidP="008441D0">
      <w:pPr>
        <w:pStyle w:val="JuH1"/>
        <w:spacing w:before="0" w:after="0"/>
        <w:ind w:left="0" w:firstLine="0"/>
        <w:rPr>
          <w:iCs w:val="0"/>
          <w:lang w:val="lv-LV"/>
        </w:rPr>
      </w:pPr>
      <w:r w:rsidRPr="004D6021">
        <w:rPr>
          <w:iCs w:val="0"/>
          <w:lang w:val="lv-LV"/>
        </w:rPr>
        <w:t xml:space="preserve">1. </w:t>
      </w:r>
      <w:r w:rsidR="00EA0406" w:rsidRPr="004D6021">
        <w:rPr>
          <w:iCs w:val="0"/>
          <w:lang w:val="lv-LV"/>
        </w:rPr>
        <w:t>Pušu</w:t>
      </w:r>
      <w:r w:rsidRPr="004D6021">
        <w:rPr>
          <w:iCs w:val="0"/>
          <w:lang w:val="lv-LV"/>
        </w:rPr>
        <w:t xml:space="preserve"> argumenti</w:t>
      </w:r>
    </w:p>
    <w:p w:rsidR="006078C9" w:rsidRPr="004D6021" w:rsidRDefault="006078C9" w:rsidP="00583503">
      <w:pPr>
        <w:pStyle w:val="JuH1"/>
        <w:spacing w:before="0" w:after="0"/>
        <w:ind w:left="0" w:firstLine="0"/>
        <w:rPr>
          <w:lang w:val="lv-LV"/>
        </w:rPr>
      </w:pPr>
    </w:p>
    <w:p w:rsidR="008441D0" w:rsidRPr="004D6021" w:rsidRDefault="008441D0" w:rsidP="008441D0">
      <w:pPr>
        <w:pStyle w:val="JuHa0"/>
        <w:spacing w:before="0" w:after="0"/>
        <w:ind w:left="0" w:firstLine="0"/>
        <w:rPr>
          <w:bCs w:val="0"/>
          <w:szCs w:val="24"/>
          <w:lang w:val="lv-LV"/>
        </w:rPr>
      </w:pPr>
      <w:r w:rsidRPr="004D6021">
        <w:rPr>
          <w:bCs w:val="0"/>
          <w:szCs w:val="24"/>
          <w:lang w:val="lv-LV"/>
        </w:rPr>
        <w:t>a) Valdība</w:t>
      </w:r>
      <w:r w:rsidR="009669B3">
        <w:rPr>
          <w:bCs w:val="0"/>
          <w:szCs w:val="24"/>
          <w:lang w:val="lv-LV"/>
        </w:rPr>
        <w:t>s apsvērumi</w:t>
      </w:r>
    </w:p>
    <w:p w:rsidR="006078C9" w:rsidRPr="004D6021" w:rsidRDefault="006078C9" w:rsidP="00583503">
      <w:pPr>
        <w:pStyle w:val="JuHa0"/>
        <w:spacing w:before="0" w:after="0"/>
        <w:ind w:left="0" w:firstLine="0"/>
        <w:rPr>
          <w:lang w:val="lv-LV"/>
        </w:rPr>
      </w:pPr>
    </w:p>
    <w:p w:rsidR="00962DD9" w:rsidRPr="004D6021" w:rsidRDefault="00962DD9" w:rsidP="00962DD9">
      <w:pPr>
        <w:pStyle w:val="JuPara"/>
        <w:ind w:firstLine="0"/>
        <w:rPr>
          <w:lang w:val="lv-LV"/>
        </w:rPr>
      </w:pPr>
      <w:r w:rsidRPr="004D6021">
        <w:rPr>
          <w:lang w:val="lv-LV"/>
        </w:rPr>
        <w:t>35. Valdība iesākumā norādīja, ka liecības sniegšana videokonferenc</w:t>
      </w:r>
      <w:r w:rsidR="003F5BDE">
        <w:rPr>
          <w:lang w:val="lv-LV"/>
        </w:rPr>
        <w:t>es formā</w:t>
      </w:r>
      <w:r w:rsidRPr="004D6021">
        <w:rPr>
          <w:lang w:val="lv-LV"/>
        </w:rPr>
        <w:t xml:space="preserve"> ir paredzēta un ieteikta vairākos starptautiskajos līgumos un konvencijās, piemēram, Eiropas Konvencijas par savstarpējo palīdzību krimināllietās Otrajā papildu protokolā, Eiropas Padomes 1995. gada 23. novembra Rezolūcijā, Eiropas Padomes 2000. gada 29. maija Aktā, Eiropas Savienības 2000. gada 29. maija Konvencijā, 1998. gada 10. septembra Nolīgumā starp Itāliju un Šveici un 2003. gada 25. jūnija Nolīgumā starp Eiropas Savienību un ASV par savstarpējo tiesisko palīdzību. Tas pierāda, ka videokonference tika uzskatīta par </w:t>
      </w:r>
      <w:r w:rsidR="00FC4D42" w:rsidRPr="004D6021">
        <w:rPr>
          <w:lang w:val="lv-LV"/>
        </w:rPr>
        <w:t xml:space="preserve">tehnisko līdzekli, kas ir atbilstošs </w:t>
      </w:r>
      <w:r w:rsidRPr="004D6021">
        <w:rPr>
          <w:lang w:val="lv-LV"/>
        </w:rPr>
        <w:t xml:space="preserve">Eiropas Padomes un citu starptautisko organizāciju, piemēram, </w:t>
      </w:r>
      <w:r w:rsidR="00FC4D42" w:rsidRPr="004D6021">
        <w:rPr>
          <w:lang w:val="lv-LV"/>
        </w:rPr>
        <w:t>Eiropas Savienības, konvencijām</w:t>
      </w:r>
      <w:r w:rsidRPr="004D6021">
        <w:rPr>
          <w:lang w:val="lv-LV"/>
        </w:rPr>
        <w:t>. Valdība apgalvoja, ka tāpēc būtu jāpieņem, ka valsts nav novirzījusies no Konvencijas prasībām, savā tiesiskajā sistēmā paredzot videokonferences iespēju.</w:t>
      </w:r>
    </w:p>
    <w:p w:rsidR="006078C9" w:rsidRPr="004D6021" w:rsidRDefault="006078C9" w:rsidP="00583503">
      <w:pPr>
        <w:pStyle w:val="JuPara"/>
        <w:ind w:firstLine="0"/>
        <w:rPr>
          <w:lang w:val="lv-LV"/>
        </w:rPr>
      </w:pPr>
    </w:p>
    <w:p w:rsidR="00880CC1" w:rsidRPr="004D6021" w:rsidRDefault="00880CC1" w:rsidP="00880CC1">
      <w:pPr>
        <w:pStyle w:val="JuPara"/>
        <w:ind w:firstLine="0"/>
        <w:rPr>
          <w:lang w:val="lv-LV"/>
        </w:rPr>
      </w:pPr>
      <w:r w:rsidRPr="004D6021">
        <w:rPr>
          <w:lang w:val="lv-LV"/>
        </w:rPr>
        <w:t>36. Turklāt saskaņā ar spriedumu lietā “Ripe [</w:t>
      </w:r>
      <w:r w:rsidRPr="004D6021">
        <w:rPr>
          <w:i/>
          <w:lang w:val="lv-LV"/>
        </w:rPr>
        <w:t>Rippe</w:t>
      </w:r>
      <w:r w:rsidRPr="004D6021">
        <w:rPr>
          <w:lang w:val="lv-LV"/>
        </w:rPr>
        <w:t xml:space="preserve">] pret Vāciju” ((lēm.), Nr. 5398/03, 2006. gada 2. februāris) valstīm ir ieteicams </w:t>
      </w:r>
      <w:r w:rsidR="00FC4D42" w:rsidRPr="004D6021">
        <w:rPr>
          <w:lang w:val="lv-LV"/>
        </w:rPr>
        <w:t xml:space="preserve">otrajā un trešajā tiesu instancē </w:t>
      </w:r>
      <w:r w:rsidRPr="004D6021">
        <w:rPr>
          <w:lang w:val="lv-LV"/>
        </w:rPr>
        <w:t>iz</w:t>
      </w:r>
      <w:r w:rsidR="00FC4D42" w:rsidRPr="004D6021">
        <w:rPr>
          <w:lang w:val="lv-LV"/>
        </w:rPr>
        <w:t>veidot procesuālos mehānismus</w:t>
      </w:r>
      <w:r w:rsidRPr="004D6021">
        <w:rPr>
          <w:lang w:val="lv-LV"/>
        </w:rPr>
        <w:t>, kuru mērķis būtu, nedaudz samazinot apsūdzēto aizsardzības pasākumus, nodrošināt atbilstību “saprātīgā termiņa” principam.</w:t>
      </w:r>
    </w:p>
    <w:p w:rsidR="006078C9" w:rsidRPr="004D6021" w:rsidRDefault="006078C9" w:rsidP="00583503">
      <w:pPr>
        <w:pStyle w:val="JuPara"/>
        <w:ind w:firstLine="0"/>
        <w:rPr>
          <w:lang w:val="lv-LV"/>
        </w:rPr>
      </w:pPr>
    </w:p>
    <w:p w:rsidR="007F2892" w:rsidRPr="004D6021" w:rsidRDefault="007F2892" w:rsidP="007F2892">
      <w:pPr>
        <w:pStyle w:val="JuPara"/>
        <w:ind w:firstLine="0"/>
        <w:rPr>
          <w:lang w:val="lv-LV"/>
        </w:rPr>
      </w:pPr>
      <w:r w:rsidRPr="004D6021">
        <w:rPr>
          <w:lang w:val="lv-LV"/>
        </w:rPr>
        <w:lastRenderedPageBreak/>
        <w:t xml:space="preserve">37. Valdība piebilda, ka iepriekšminētajā spriedumā Ripes lietā tika apstrīdēta diezgan svarīga aizsardzības pasākuma, proti, liecības sniegšanas, atcelšana, bet Tiesa tomēr atzina, ka šis pasākums bija samērīgs ar īstenoto mērķi. Tomēr šajā lietā bija izpildīti visi taisnīgas </w:t>
      </w:r>
      <w:r w:rsidR="003C6ED0" w:rsidRPr="004D6021">
        <w:rPr>
          <w:lang w:val="lv-LV"/>
        </w:rPr>
        <w:t>tiesas</w:t>
      </w:r>
      <w:r w:rsidRPr="004D6021">
        <w:rPr>
          <w:lang w:val="lv-LV"/>
        </w:rPr>
        <w:t xml:space="preserve"> nosacījumi, nodrošinot apsūdzētā efektīvu dalību procesā, </w:t>
      </w:r>
      <w:r w:rsidR="003C6ED0" w:rsidRPr="004D6021">
        <w:rPr>
          <w:lang w:val="lv-LV"/>
        </w:rPr>
        <w:t>organizējot</w:t>
      </w:r>
      <w:r w:rsidRPr="004D6021">
        <w:rPr>
          <w:lang w:val="lv-LV"/>
        </w:rPr>
        <w:t xml:space="preserve"> videokonferenci, kas bija sarežģīts tehnisks process, kurš nodrošināja aizturētajam iespēju palikt savā </w:t>
      </w:r>
      <w:r w:rsidR="00126196">
        <w:rPr>
          <w:lang w:val="lv-LV"/>
        </w:rPr>
        <w:t>apcietinājuma</w:t>
      </w:r>
      <w:r w:rsidR="00126196" w:rsidRPr="004D6021">
        <w:rPr>
          <w:lang w:val="lv-LV"/>
        </w:rPr>
        <w:t xml:space="preserve"> </w:t>
      </w:r>
      <w:r w:rsidRPr="004D6021">
        <w:rPr>
          <w:lang w:val="lv-LV"/>
        </w:rPr>
        <w:t xml:space="preserve">vietā un novērsa būtisku kavēšanos. Tikai izmantojot video datu pārraides posmu, bija iespējams nodrošināt, </w:t>
      </w:r>
      <w:r w:rsidR="003F5BDE">
        <w:rPr>
          <w:lang w:val="lv-LV"/>
        </w:rPr>
        <w:t>ka</w:t>
      </w:r>
      <w:r w:rsidR="003F5BDE" w:rsidRPr="004D6021">
        <w:rPr>
          <w:lang w:val="lv-LV"/>
        </w:rPr>
        <w:t xml:space="preserve"> </w:t>
      </w:r>
      <w:r w:rsidRPr="004D6021">
        <w:rPr>
          <w:lang w:val="lv-LV"/>
        </w:rPr>
        <w:t>pieteikuma iesniedzējs, kas tajā laikā izcieta sodu stingrā režīma cietumā tālu no tiesas sēžu zāles un tika tiesāts vienlaicīgi dažādās tiesās, var</w:t>
      </w:r>
      <w:r w:rsidR="00AD3B86" w:rsidRPr="004D6021">
        <w:rPr>
          <w:lang w:val="lv-LV"/>
        </w:rPr>
        <w:t xml:space="preserve">ētu piedalīties </w:t>
      </w:r>
      <w:r w:rsidR="003C6ED0" w:rsidRPr="004D6021">
        <w:rPr>
          <w:lang w:val="lv-LV"/>
        </w:rPr>
        <w:t>tiesvedībās</w:t>
      </w:r>
      <w:r w:rsidR="00AD3B86" w:rsidRPr="004D6021">
        <w:rPr>
          <w:lang w:val="lv-LV"/>
        </w:rPr>
        <w:t xml:space="preserve"> un lai tas neietekmētu</w:t>
      </w:r>
      <w:r w:rsidRPr="004D6021">
        <w:rPr>
          <w:lang w:val="lv-LV"/>
        </w:rPr>
        <w:t xml:space="preserve"> šo </w:t>
      </w:r>
      <w:r w:rsidR="003C6ED0" w:rsidRPr="004D6021">
        <w:rPr>
          <w:lang w:val="lv-LV"/>
        </w:rPr>
        <w:t xml:space="preserve">tiesvedību </w:t>
      </w:r>
      <w:r w:rsidRPr="004D6021">
        <w:rPr>
          <w:lang w:val="lv-LV"/>
        </w:rPr>
        <w:t>ilgumu.</w:t>
      </w:r>
    </w:p>
    <w:p w:rsidR="006078C9" w:rsidRPr="004D6021" w:rsidRDefault="006078C9" w:rsidP="00583503">
      <w:pPr>
        <w:pStyle w:val="JuPara"/>
        <w:ind w:firstLine="0"/>
        <w:rPr>
          <w:lang w:val="lv-LV"/>
        </w:rPr>
      </w:pPr>
    </w:p>
    <w:p w:rsidR="00AD3B86" w:rsidRPr="004D6021" w:rsidRDefault="00AD3B86" w:rsidP="00AD3B86">
      <w:pPr>
        <w:pStyle w:val="JuPara"/>
        <w:ind w:firstLine="0"/>
        <w:rPr>
          <w:lang w:val="lv-LV"/>
        </w:rPr>
      </w:pPr>
      <w:r w:rsidRPr="004D6021">
        <w:rPr>
          <w:lang w:val="lv-LV"/>
        </w:rPr>
        <w:t xml:space="preserve">38. Valdība turklāt norādīja, ka videokonference tika izmantota tikai </w:t>
      </w:r>
      <w:r w:rsidR="003C6ED0" w:rsidRPr="004D6021">
        <w:rPr>
          <w:lang w:val="lv-LV"/>
        </w:rPr>
        <w:t>apelācijas</w:t>
      </w:r>
      <w:r w:rsidRPr="004D6021">
        <w:rPr>
          <w:lang w:val="lv-LV"/>
        </w:rPr>
        <w:t xml:space="preserve"> instancē, kad teorētiski vairs nevar sniegt jaunus pierādījumus un </w:t>
      </w:r>
      <w:r w:rsidR="00076EFA" w:rsidRPr="004D6021">
        <w:rPr>
          <w:lang w:val="lv-LV"/>
        </w:rPr>
        <w:t>procesuālās garantijas ir mazākas</w:t>
      </w:r>
      <w:r w:rsidRPr="004D6021">
        <w:rPr>
          <w:lang w:val="lv-LV"/>
        </w:rPr>
        <w:t>.</w:t>
      </w:r>
    </w:p>
    <w:p w:rsidR="006078C9" w:rsidRPr="004D6021" w:rsidRDefault="006078C9" w:rsidP="00583503">
      <w:pPr>
        <w:pStyle w:val="JuPara"/>
        <w:ind w:firstLine="0"/>
        <w:rPr>
          <w:lang w:val="lv-LV"/>
        </w:rPr>
      </w:pPr>
    </w:p>
    <w:p w:rsidR="00314902" w:rsidRPr="004D6021" w:rsidRDefault="00314902" w:rsidP="00314902">
      <w:pPr>
        <w:pStyle w:val="JuPara"/>
        <w:ind w:firstLine="0"/>
        <w:rPr>
          <w:lang w:val="lv-LV"/>
        </w:rPr>
      </w:pPr>
      <w:r w:rsidRPr="004D6021">
        <w:rPr>
          <w:lang w:val="lv-LV"/>
        </w:rPr>
        <w:t xml:space="preserve">39. Turklāt ļoti bīstamu aizturēto </w:t>
      </w:r>
      <w:r w:rsidR="003C6ED0" w:rsidRPr="004D6021">
        <w:rPr>
          <w:lang w:val="lv-LV"/>
        </w:rPr>
        <w:t xml:space="preserve">personu </w:t>
      </w:r>
      <w:r w:rsidRPr="004D6021">
        <w:rPr>
          <w:lang w:val="lv-LV"/>
        </w:rPr>
        <w:t xml:space="preserve">pārvešana no vienas vietas uz citu </w:t>
      </w:r>
      <w:r w:rsidR="003C6ED0" w:rsidRPr="004D6021">
        <w:rPr>
          <w:lang w:val="lv-LV"/>
        </w:rPr>
        <w:t>rada nopietnus</w:t>
      </w:r>
      <w:r w:rsidRPr="004D6021">
        <w:rPr>
          <w:lang w:val="lv-LV"/>
        </w:rPr>
        <w:t xml:space="preserve"> </w:t>
      </w:r>
      <w:r w:rsidR="003C6ED0" w:rsidRPr="004D6021">
        <w:rPr>
          <w:lang w:val="lv-LV"/>
        </w:rPr>
        <w:t>riskus valsts drošībai un sabiedriskajai kārtībai</w:t>
      </w:r>
      <w:r w:rsidRPr="004D6021">
        <w:rPr>
          <w:lang w:val="lv-LV"/>
        </w:rPr>
        <w:t>. Tas palielina bēgšanas risku un iespējamību</w:t>
      </w:r>
      <w:r w:rsidR="00372BC6" w:rsidRPr="004D6021">
        <w:rPr>
          <w:lang w:val="lv-LV"/>
        </w:rPr>
        <w:t xml:space="preserve">, ka </w:t>
      </w:r>
      <w:r w:rsidRPr="004D6021">
        <w:rPr>
          <w:lang w:val="lv-LV"/>
        </w:rPr>
        <w:t>pret pašiem apsūdzētajiem</w:t>
      </w:r>
      <w:r w:rsidR="00372BC6" w:rsidRPr="004D6021">
        <w:rPr>
          <w:lang w:val="lv-LV"/>
        </w:rPr>
        <w:t xml:space="preserve"> varētu </w:t>
      </w:r>
      <w:r w:rsidR="003F5BDE">
        <w:rPr>
          <w:lang w:val="lv-LV"/>
        </w:rPr>
        <w:t>tikt veikta</w:t>
      </w:r>
      <w:r w:rsidR="003F5BDE" w:rsidRPr="004D6021">
        <w:rPr>
          <w:lang w:val="lv-LV"/>
        </w:rPr>
        <w:t xml:space="preserve"> </w:t>
      </w:r>
      <w:r w:rsidR="00372BC6" w:rsidRPr="004D6021">
        <w:rPr>
          <w:lang w:val="lv-LV"/>
        </w:rPr>
        <w:t>atriebība</w:t>
      </w:r>
      <w:r w:rsidRPr="004D6021">
        <w:rPr>
          <w:lang w:val="lv-LV"/>
        </w:rPr>
        <w:t xml:space="preserve">. Turklāt aizturēto fiziska klātbūtne tiesas sēžu zālē palielina </w:t>
      </w:r>
      <w:r w:rsidR="00372BC6" w:rsidRPr="004D6021">
        <w:rPr>
          <w:lang w:val="lv-LV"/>
        </w:rPr>
        <w:t>liecinieku un cietušo</w:t>
      </w:r>
      <w:r w:rsidRPr="004D6021">
        <w:rPr>
          <w:lang w:val="lv-LV"/>
        </w:rPr>
        <w:t xml:space="preserve"> </w:t>
      </w:r>
      <w:r w:rsidR="00372BC6" w:rsidRPr="004D6021">
        <w:rPr>
          <w:lang w:val="lv-LV"/>
        </w:rPr>
        <w:t>iebaidīšanas risku</w:t>
      </w:r>
      <w:r w:rsidRPr="004D6021">
        <w:rPr>
          <w:lang w:val="lv-LV"/>
        </w:rPr>
        <w:t>.</w:t>
      </w:r>
    </w:p>
    <w:p w:rsidR="006078C9" w:rsidRPr="004D6021" w:rsidRDefault="006078C9" w:rsidP="00583503">
      <w:pPr>
        <w:pStyle w:val="JuPara"/>
        <w:ind w:firstLine="0"/>
        <w:rPr>
          <w:lang w:val="lv-LV"/>
        </w:rPr>
      </w:pPr>
    </w:p>
    <w:p w:rsidR="000A3579" w:rsidRPr="004D6021" w:rsidRDefault="000A3579" w:rsidP="000A3579">
      <w:pPr>
        <w:pStyle w:val="JuPara"/>
        <w:ind w:firstLine="0"/>
        <w:rPr>
          <w:lang w:val="lv-LV"/>
        </w:rPr>
      </w:pPr>
      <w:r w:rsidRPr="004D6021">
        <w:rPr>
          <w:lang w:val="lv-LV"/>
        </w:rPr>
        <w:t>40. Valdība uzskatīja, ka nebija būtiskas atšķirības starp apsūdzētā fizisku klātbūtni un viņa dalību tiesas procesā videokonferences veidā. Izmantojot video</w:t>
      </w:r>
      <w:r w:rsidR="002B105B">
        <w:rPr>
          <w:lang w:val="lv-LV"/>
        </w:rPr>
        <w:t xml:space="preserve"> </w:t>
      </w:r>
      <w:r w:rsidRPr="004D6021">
        <w:rPr>
          <w:lang w:val="lv-LV"/>
        </w:rPr>
        <w:t>datu pārraidi, apsūdzētais varēja redzēt un dzirdēt, kas notika tiesas sēžu zālē, un viņu varēja redzēt un dzirdēt citas puses, tiesnesis un liecinieki. Tādējādi viņš varēja dzirdēt liecinieku sniegtās liecības un uztvert jebko, kā dēļ viņu liecības varētu būt bijušas nederīgas, lūgt atļauju vērsties pie tiesas un sniegt tādu liecību, kādu viņš uzskatīja par nepieciešamu savai aizstāvībai.</w:t>
      </w:r>
    </w:p>
    <w:p w:rsidR="006078C9" w:rsidRPr="004D6021" w:rsidRDefault="006078C9" w:rsidP="00583503">
      <w:pPr>
        <w:pStyle w:val="JuPara"/>
        <w:ind w:firstLine="0"/>
        <w:rPr>
          <w:lang w:val="lv-LV"/>
        </w:rPr>
      </w:pPr>
    </w:p>
    <w:p w:rsidR="004441A8" w:rsidRPr="004D6021" w:rsidRDefault="004441A8" w:rsidP="004441A8">
      <w:pPr>
        <w:pStyle w:val="JuPara"/>
        <w:ind w:firstLine="0"/>
        <w:rPr>
          <w:lang w:val="lv-LV"/>
        </w:rPr>
      </w:pPr>
      <w:r w:rsidRPr="004D6021">
        <w:rPr>
          <w:lang w:val="lv-LV"/>
        </w:rPr>
        <w:t xml:space="preserve">41. Apsūdzētais varēja arī privāti apspriesties ar savu advokātu, kas atradās tiesas sēžu </w:t>
      </w:r>
      <w:r w:rsidR="004E30ED" w:rsidRPr="004D6021">
        <w:rPr>
          <w:lang w:val="lv-LV"/>
        </w:rPr>
        <w:t>zālē, izmantojot telefona līniju</w:t>
      </w:r>
      <w:r w:rsidRPr="004D6021">
        <w:rPr>
          <w:lang w:val="lv-LV"/>
        </w:rPr>
        <w:t xml:space="preserve">, kas bija nodrošināta pret iespējamu </w:t>
      </w:r>
      <w:r w:rsidR="004E30ED" w:rsidRPr="004D6021">
        <w:rPr>
          <w:lang w:val="lv-LV"/>
        </w:rPr>
        <w:t xml:space="preserve">sakaru </w:t>
      </w:r>
      <w:r w:rsidRPr="004D6021">
        <w:rPr>
          <w:lang w:val="lv-LV"/>
        </w:rPr>
        <w:t>pārtveršanu. Apsūdzētā advokāts varēja arī nosūtīt uz videokonferences telpu savu vietnieku vai arī personīgi apmeklēt savu klientu un uzticēt advokātam, kas viņu aizvieto, veikt viņa klienta aizstāvību tiesā.</w:t>
      </w:r>
    </w:p>
    <w:p w:rsidR="006078C9" w:rsidRPr="004D6021" w:rsidRDefault="006078C9" w:rsidP="00583503">
      <w:pPr>
        <w:pStyle w:val="JuPara"/>
        <w:ind w:firstLine="0"/>
        <w:rPr>
          <w:lang w:val="lv-LV"/>
        </w:rPr>
      </w:pPr>
    </w:p>
    <w:p w:rsidR="00177DDA" w:rsidRPr="004D6021" w:rsidRDefault="00177DDA" w:rsidP="00177DDA">
      <w:pPr>
        <w:pStyle w:val="JuPara"/>
        <w:ind w:firstLine="0"/>
        <w:rPr>
          <w:lang w:val="lv-LV"/>
        </w:rPr>
      </w:pPr>
      <w:r w:rsidRPr="004D6021">
        <w:rPr>
          <w:lang w:val="lv-LV"/>
        </w:rPr>
        <w:t>42. Jebkurā gadījumā noteikums par apsūdzētā dalību tiesas procesā, izmantojot videokonferenci, attiecas tikai uz noteiktiem gadījumiem un tiek īstenots tiesas reglamentā noteiktajā kārtībā.</w:t>
      </w:r>
    </w:p>
    <w:p w:rsidR="006078C9" w:rsidRPr="004D6021" w:rsidRDefault="006078C9" w:rsidP="00583503">
      <w:pPr>
        <w:pStyle w:val="JuPara"/>
        <w:ind w:firstLine="0"/>
        <w:rPr>
          <w:lang w:val="lv-LV"/>
        </w:rPr>
      </w:pPr>
    </w:p>
    <w:p w:rsidR="00ED3095" w:rsidRPr="004D6021" w:rsidRDefault="00ED3095" w:rsidP="00ED3095">
      <w:pPr>
        <w:pStyle w:val="JuPara"/>
        <w:ind w:firstLine="0"/>
        <w:rPr>
          <w:lang w:val="lv-LV"/>
        </w:rPr>
      </w:pPr>
      <w:r w:rsidRPr="004D6021">
        <w:rPr>
          <w:lang w:val="lv-LV"/>
        </w:rPr>
        <w:t xml:space="preserve">43. Paturot prātā iepriekšteikto, </w:t>
      </w:r>
      <w:r w:rsidR="003F5BDE">
        <w:rPr>
          <w:lang w:val="lv-LV"/>
        </w:rPr>
        <w:t>V</w:t>
      </w:r>
      <w:r w:rsidR="003F5BDE" w:rsidRPr="004D6021">
        <w:rPr>
          <w:lang w:val="lv-LV"/>
        </w:rPr>
        <w:t xml:space="preserve">aldība </w:t>
      </w:r>
      <w:r w:rsidRPr="004D6021">
        <w:rPr>
          <w:lang w:val="lv-LV"/>
        </w:rPr>
        <w:t>apgalvoja, ka tiesas sēdes videokonferenču veidā nodrošina efektīvu un ātru tiesas spriešanu, neupurējot tiesības uz aizstāvību. T</w:t>
      </w:r>
      <w:r w:rsidR="004E30ED" w:rsidRPr="004D6021">
        <w:rPr>
          <w:lang w:val="lv-LV"/>
        </w:rPr>
        <w:t>urklāt</w:t>
      </w:r>
      <w:r w:rsidRPr="004D6021">
        <w:rPr>
          <w:lang w:val="lv-LV"/>
        </w:rPr>
        <w:t xml:space="preserve"> pieteikuma iesniedzējs nebija norādījis, kā viņš būtu mainījis savu aizstāvību, ja viņš personīgi atrastos tiesas sēžu zālē, nedz arī to, kādus šķēršļus viņam radīja videokonference. Tāpat viņš neapgalvoja, ka tā tika īstenota pretrunā attiecīgajiem valsts tiesību aktu noteikumiem.</w:t>
      </w:r>
    </w:p>
    <w:p w:rsidR="006078C9" w:rsidRPr="004D6021" w:rsidRDefault="006078C9" w:rsidP="00583503">
      <w:pPr>
        <w:pStyle w:val="JuPara"/>
        <w:ind w:firstLine="0"/>
        <w:rPr>
          <w:lang w:val="lv-LV"/>
        </w:rPr>
      </w:pPr>
    </w:p>
    <w:p w:rsidR="00ED3095" w:rsidRPr="004D6021" w:rsidRDefault="00ED3095" w:rsidP="00ED3095">
      <w:pPr>
        <w:pStyle w:val="JuHa0"/>
        <w:spacing w:before="0" w:after="0"/>
        <w:ind w:left="0" w:firstLine="0"/>
        <w:rPr>
          <w:bCs w:val="0"/>
          <w:szCs w:val="24"/>
          <w:lang w:val="lv-LV"/>
        </w:rPr>
      </w:pPr>
      <w:r w:rsidRPr="004D6021">
        <w:rPr>
          <w:bCs w:val="0"/>
          <w:szCs w:val="24"/>
          <w:lang w:val="lv-LV"/>
        </w:rPr>
        <w:t xml:space="preserve">b) Pieteikuma </w:t>
      </w:r>
      <w:r w:rsidR="009669B3" w:rsidRPr="004D6021">
        <w:rPr>
          <w:bCs w:val="0"/>
          <w:szCs w:val="24"/>
          <w:lang w:val="lv-LV"/>
        </w:rPr>
        <w:t>iesniedzēj</w:t>
      </w:r>
      <w:r w:rsidR="009669B3">
        <w:rPr>
          <w:bCs w:val="0"/>
          <w:szCs w:val="24"/>
          <w:lang w:val="lv-LV"/>
        </w:rPr>
        <w:t>a apsvērumi</w:t>
      </w:r>
    </w:p>
    <w:p w:rsidR="006078C9" w:rsidRPr="004D6021" w:rsidRDefault="006078C9" w:rsidP="00583503">
      <w:pPr>
        <w:pStyle w:val="JuHa0"/>
        <w:spacing w:before="0" w:after="0"/>
        <w:ind w:left="0" w:firstLine="0"/>
        <w:rPr>
          <w:lang w:val="lv-LV"/>
        </w:rPr>
      </w:pPr>
    </w:p>
    <w:p w:rsidR="00492E96" w:rsidRPr="004D6021" w:rsidRDefault="00492E96" w:rsidP="00492E96">
      <w:pPr>
        <w:pStyle w:val="JuPara"/>
        <w:ind w:firstLine="0"/>
        <w:rPr>
          <w:lang w:val="lv-LV"/>
        </w:rPr>
      </w:pPr>
      <w:r w:rsidRPr="004D6021">
        <w:rPr>
          <w:lang w:val="lv-LV"/>
        </w:rPr>
        <w:t xml:space="preserve">44. Pieteikuma iesniedzējs apstrīdēja </w:t>
      </w:r>
      <w:r w:rsidR="003F5BDE">
        <w:rPr>
          <w:lang w:val="lv-LV"/>
        </w:rPr>
        <w:t>V</w:t>
      </w:r>
      <w:r w:rsidR="003F5BDE" w:rsidRPr="004D6021">
        <w:rPr>
          <w:lang w:val="lv-LV"/>
        </w:rPr>
        <w:t xml:space="preserve">aldības </w:t>
      </w:r>
      <w:r w:rsidRPr="004D6021">
        <w:rPr>
          <w:lang w:val="lv-LV"/>
        </w:rPr>
        <w:t xml:space="preserve">argumentus. Viņš norādīja, ka </w:t>
      </w:r>
      <w:r w:rsidR="004E30ED" w:rsidRPr="004D6021">
        <w:rPr>
          <w:lang w:val="lv-LV"/>
        </w:rPr>
        <w:t>kopš</w:t>
      </w:r>
      <w:r w:rsidRPr="004D6021">
        <w:rPr>
          <w:lang w:val="lv-LV"/>
        </w:rPr>
        <w:t xml:space="preserve"> 2000. gada viņš izcieta sodu stingrā režīma cietumā saskaņā ar </w:t>
      </w:r>
      <w:r w:rsidR="00645889" w:rsidRPr="004D6021">
        <w:rPr>
          <w:lang w:val="lv-LV"/>
        </w:rPr>
        <w:t xml:space="preserve">Ieslodzījuma vietu </w:t>
      </w:r>
      <w:r w:rsidRPr="004D6021">
        <w:rPr>
          <w:lang w:val="lv-LV"/>
        </w:rPr>
        <w:t>likuma 41.</w:t>
      </w:r>
      <w:r w:rsidRPr="004D6021">
        <w:rPr>
          <w:i/>
          <w:lang w:val="lv-LV"/>
        </w:rPr>
        <w:t>bis</w:t>
      </w:r>
      <w:r w:rsidRPr="004D6021">
        <w:rPr>
          <w:lang w:val="lv-LV"/>
        </w:rPr>
        <w:t xml:space="preserve"> pantu un tāpēc nevarēja būt klāt </w:t>
      </w:r>
      <w:r w:rsidR="00645889" w:rsidRPr="004D6021">
        <w:rPr>
          <w:lang w:val="lv-LV"/>
        </w:rPr>
        <w:t xml:space="preserve">apelācijas </w:t>
      </w:r>
      <w:r w:rsidRPr="004D6021">
        <w:rPr>
          <w:lang w:val="lv-LV"/>
        </w:rPr>
        <w:t>tiesas sēdēs otrajā kriminālprocesā, k</w:t>
      </w:r>
      <w:r w:rsidR="00645889" w:rsidRPr="004D6021">
        <w:rPr>
          <w:lang w:val="lv-LV"/>
        </w:rPr>
        <w:t>am viņš sekoja videokonferencē</w:t>
      </w:r>
      <w:r w:rsidRPr="004D6021">
        <w:rPr>
          <w:lang w:val="lv-LV"/>
        </w:rPr>
        <w:t>. Attiecīgi tika pārkāptas viņa tiesības uz aizstāvību un viņš tika diskriminēts salīdzinājumā ar pārējiem aizturētajiem.</w:t>
      </w:r>
    </w:p>
    <w:p w:rsidR="006078C9" w:rsidRPr="004D6021" w:rsidRDefault="006078C9" w:rsidP="00583503">
      <w:pPr>
        <w:pStyle w:val="JuPara"/>
        <w:ind w:firstLine="0"/>
        <w:rPr>
          <w:lang w:val="lv-LV"/>
        </w:rPr>
      </w:pPr>
    </w:p>
    <w:p w:rsidR="00492E96" w:rsidRPr="004D6021" w:rsidRDefault="00492E96" w:rsidP="00492E96">
      <w:pPr>
        <w:pStyle w:val="JuPara"/>
        <w:ind w:firstLine="0"/>
        <w:rPr>
          <w:lang w:val="lv-LV"/>
        </w:rPr>
      </w:pPr>
      <w:r w:rsidRPr="004D6021">
        <w:rPr>
          <w:lang w:val="lv-LV"/>
        </w:rPr>
        <w:lastRenderedPageBreak/>
        <w:t>45. Pieteikuma iesniedzējs arī apgalvoja, ka viņa dalība, izmantojot video datu pārraides posmu, un viņa atrašanās stingrā režīma cietumā “noteikti ietekmēja” tiesu, vismaz novērtējot, vai viņš ir bīstams sabiedrībai.</w:t>
      </w:r>
    </w:p>
    <w:p w:rsidR="006078C9" w:rsidRPr="004D6021" w:rsidRDefault="006078C9" w:rsidP="00583503">
      <w:pPr>
        <w:pStyle w:val="JuPara"/>
        <w:ind w:firstLine="0"/>
        <w:rPr>
          <w:lang w:val="lv-LV"/>
        </w:rPr>
      </w:pPr>
    </w:p>
    <w:p w:rsidR="00393180" w:rsidRPr="004D6021" w:rsidRDefault="00393180" w:rsidP="00393180">
      <w:pPr>
        <w:pStyle w:val="JuPara"/>
        <w:ind w:firstLine="0"/>
        <w:rPr>
          <w:lang w:val="lv-LV"/>
        </w:rPr>
      </w:pPr>
      <w:r w:rsidRPr="004D6021">
        <w:rPr>
          <w:lang w:val="lv-LV"/>
        </w:rPr>
        <w:t xml:space="preserve">46. Pieteikuma iesniedzējs uzskatīja, ka viņa pārvešana uz tiesas sēžu zāli nebūtu radījusi nekādas briesmas. Šajā saistībā viņš norādīja, ka tiesas sēžu zāles, kurās izskatīja ar </w:t>
      </w:r>
      <w:r w:rsidR="00645889" w:rsidRPr="004D6021">
        <w:rPr>
          <w:lang w:val="lv-LV"/>
        </w:rPr>
        <w:t>mafiju</w:t>
      </w:r>
      <w:r w:rsidRPr="004D6021">
        <w:rPr>
          <w:lang w:val="lv-LV"/>
        </w:rPr>
        <w:t xml:space="preserve"> saistītus noziedzīgos nodarījumus, ļoti bieži atrodas ģeogrāfiski tuvu cietumiem un tajās var nokļūt, neizejot ārā. Viņš apgalvoja, ka šajā gadījumā tā vietā, lai viņš videokonferencē sekotu tiesas spriešanai Lakvilas cietumā, viņu varēja ieslodzīt Redžo di Kalabrijas cietumā.</w:t>
      </w:r>
    </w:p>
    <w:p w:rsidR="006078C9" w:rsidRPr="004D6021" w:rsidRDefault="006078C9" w:rsidP="00583503">
      <w:pPr>
        <w:pStyle w:val="JuPara"/>
        <w:ind w:firstLine="0"/>
        <w:rPr>
          <w:lang w:val="lv-LV"/>
        </w:rPr>
      </w:pPr>
    </w:p>
    <w:p w:rsidR="00C23334" w:rsidRPr="004D6021" w:rsidRDefault="00C23334" w:rsidP="00C23334">
      <w:pPr>
        <w:pStyle w:val="JuParaChar"/>
        <w:ind w:firstLine="0"/>
        <w:rPr>
          <w:rFonts w:eastAsia="Times New Roman"/>
          <w:lang w:val="lv-LV"/>
        </w:rPr>
      </w:pPr>
      <w:r w:rsidRPr="004D6021">
        <w:rPr>
          <w:lang w:val="lv-LV"/>
        </w:rPr>
        <w:t xml:space="preserve">47. Apsūdzētā klātbūtne tiesas sēžu zālē bija īpaši svarīga tāpēc, ka šajā lietā apelācijas tiesa izdeva rīkojumu par izmeklēšanas atsākšanu un papildu pierādījumu iesniegšanu tai. </w:t>
      </w:r>
      <w:r w:rsidRPr="004D6021">
        <w:rPr>
          <w:rFonts w:eastAsia="Times New Roman"/>
          <w:lang w:val="lv-LV"/>
        </w:rPr>
        <w:t xml:space="preserve">Šajā saistībā pieteikuma iesniedzējs norādīja, ka </w:t>
      </w:r>
      <w:r w:rsidR="00645889" w:rsidRPr="004D6021">
        <w:rPr>
          <w:rFonts w:eastAsia="Times New Roman"/>
          <w:lang w:val="lv-LV"/>
        </w:rPr>
        <w:t>apelācijas</w:t>
      </w:r>
      <w:r w:rsidRPr="004D6021">
        <w:rPr>
          <w:rFonts w:eastAsia="Times New Roman"/>
          <w:lang w:val="lv-LV"/>
        </w:rPr>
        <w:t xml:space="preserve"> tiesas sēžu laikā otrajā kriminālprocesā informators bija </w:t>
      </w:r>
      <w:r w:rsidR="00645889" w:rsidRPr="004D6021">
        <w:rPr>
          <w:rFonts w:eastAsia="Times New Roman"/>
          <w:lang w:val="lv-LV"/>
        </w:rPr>
        <w:t xml:space="preserve">bijis personīgi </w:t>
      </w:r>
      <w:r w:rsidRPr="004D6021">
        <w:rPr>
          <w:rFonts w:eastAsia="Times New Roman"/>
          <w:lang w:val="lv-LV"/>
        </w:rPr>
        <w:t>klāt Redžo di Kalabrijas apelācijas tiesā.</w:t>
      </w:r>
    </w:p>
    <w:p w:rsidR="006078C9" w:rsidRPr="004D6021" w:rsidRDefault="006078C9" w:rsidP="00583503">
      <w:pPr>
        <w:pStyle w:val="JuParaChar"/>
        <w:ind w:firstLine="0"/>
        <w:rPr>
          <w:rFonts w:eastAsia="Times New Roman"/>
          <w:lang w:val="lv-LV"/>
        </w:rPr>
      </w:pPr>
    </w:p>
    <w:p w:rsidR="00AB2E33" w:rsidRPr="004D6021" w:rsidRDefault="00AB2E33" w:rsidP="00AB2E33">
      <w:pPr>
        <w:pStyle w:val="JuPara"/>
        <w:ind w:firstLine="0"/>
        <w:rPr>
          <w:lang w:val="lv-LV"/>
        </w:rPr>
      </w:pPr>
      <w:r w:rsidRPr="004D6021">
        <w:rPr>
          <w:lang w:val="lv-LV"/>
        </w:rPr>
        <w:t>48. Visbeidzot videokonference radīja “paredzamas grūtības”, jo bija bojāti datu pārraides posmi un traucēta balss pārraide, kuras dēļ nebija iespējams ātri sazināties ar aizstāvības advokātu.</w:t>
      </w:r>
    </w:p>
    <w:p w:rsidR="006078C9" w:rsidRPr="004D6021" w:rsidRDefault="006078C9" w:rsidP="00583503">
      <w:pPr>
        <w:pStyle w:val="JuPara"/>
        <w:ind w:firstLine="0"/>
        <w:rPr>
          <w:lang w:val="lv-LV"/>
        </w:rPr>
      </w:pPr>
    </w:p>
    <w:p w:rsidR="006078C9" w:rsidRPr="004D6021" w:rsidRDefault="00F91CA8" w:rsidP="00583503">
      <w:pPr>
        <w:pStyle w:val="JuH1"/>
        <w:spacing w:before="0" w:after="0"/>
        <w:ind w:left="0" w:firstLine="0"/>
        <w:rPr>
          <w:lang w:val="lv-LV"/>
        </w:rPr>
      </w:pPr>
      <w:r w:rsidRPr="004D6021">
        <w:rPr>
          <w:lang w:val="lv-LV"/>
        </w:rPr>
        <w:t>2.</w:t>
      </w:r>
      <w:r w:rsidR="006078C9" w:rsidRPr="004D6021">
        <w:rPr>
          <w:lang w:val="lv-LV"/>
        </w:rPr>
        <w:t xml:space="preserve"> </w:t>
      </w:r>
      <w:r w:rsidRPr="004D6021">
        <w:rPr>
          <w:lang w:val="lv-LV"/>
        </w:rPr>
        <w:t xml:space="preserve">Tiesas </w:t>
      </w:r>
      <w:r w:rsidR="00AB2E33" w:rsidRPr="004D6021">
        <w:rPr>
          <w:lang w:val="lv-LV"/>
        </w:rPr>
        <w:t>vērtējums</w:t>
      </w:r>
    </w:p>
    <w:p w:rsidR="006078C9" w:rsidRPr="004D6021" w:rsidRDefault="006078C9" w:rsidP="00583503">
      <w:pPr>
        <w:pStyle w:val="JuH1"/>
        <w:spacing w:before="0" w:after="0"/>
        <w:ind w:left="0" w:firstLine="0"/>
        <w:rPr>
          <w:lang w:val="lv-LV"/>
        </w:rPr>
      </w:pPr>
    </w:p>
    <w:p w:rsidR="006078C9" w:rsidRPr="004D6021" w:rsidRDefault="00CF48A1" w:rsidP="00583503">
      <w:pPr>
        <w:pStyle w:val="JuHa0"/>
        <w:spacing w:before="0" w:after="0"/>
        <w:ind w:left="0" w:firstLine="0"/>
        <w:rPr>
          <w:lang w:val="lv-LV"/>
        </w:rPr>
      </w:pPr>
      <w:r w:rsidRPr="004D6021">
        <w:rPr>
          <w:lang w:val="lv-LV"/>
        </w:rPr>
        <w:t>a) Vispārējie principi</w:t>
      </w:r>
    </w:p>
    <w:p w:rsidR="006078C9" w:rsidRPr="004D6021" w:rsidRDefault="006078C9" w:rsidP="00583503">
      <w:pPr>
        <w:pStyle w:val="JuHa0"/>
        <w:spacing w:before="0" w:after="0"/>
        <w:ind w:left="0" w:firstLine="0"/>
        <w:rPr>
          <w:lang w:val="lv-LV"/>
        </w:rPr>
      </w:pPr>
    </w:p>
    <w:p w:rsidR="0052509C" w:rsidRPr="004D6021" w:rsidRDefault="0052509C" w:rsidP="0052509C">
      <w:pPr>
        <w:pStyle w:val="JuPara"/>
        <w:ind w:firstLine="0"/>
        <w:rPr>
          <w:lang w:val="lv-LV"/>
        </w:rPr>
      </w:pPr>
      <w:r w:rsidRPr="004D6021">
        <w:rPr>
          <w:lang w:val="lv-LV"/>
        </w:rPr>
        <w:t>49. Tiesa atkārtoti norāda, ka Konvencijas 6. panta 3. punktā paredzētās garantijas attiecas uz īpašiem aspektiem saistībā ar tiesībām un taisnīgu tiesu, kas noteiktas šā paša panta pirmajā punktā. Tātad pieteikuma iesniedzēja dažādās sūdzības tiks skatītas saskaņā ar šiem abiem punktiem kopā (citu avotu starpā sk. </w:t>
      </w:r>
      <w:r w:rsidR="00BC5E13" w:rsidRPr="004D6021">
        <w:rPr>
          <w:lang w:val="lv-LV"/>
        </w:rPr>
        <w:t>spriedum</w:t>
      </w:r>
      <w:r w:rsidR="00BC5E13">
        <w:rPr>
          <w:lang w:val="lv-LV"/>
        </w:rPr>
        <w:t>a</w:t>
      </w:r>
      <w:r w:rsidR="00BC5E13" w:rsidRPr="004D6021">
        <w:rPr>
          <w:lang w:val="lv-LV"/>
        </w:rPr>
        <w:t xml:space="preserve"> </w:t>
      </w:r>
      <w:r w:rsidRPr="004D6021">
        <w:rPr>
          <w:lang w:val="lv-LV"/>
        </w:rPr>
        <w:t>lietā “Van</w:t>
      </w:r>
      <w:r w:rsidR="00BC5E13">
        <w:rPr>
          <w:lang w:val="lv-LV"/>
        </w:rPr>
        <w:t> </w:t>
      </w:r>
      <w:r w:rsidR="009669B3">
        <w:rPr>
          <w:lang w:val="lv-LV"/>
        </w:rPr>
        <w:t>Hēshema</w:t>
      </w:r>
      <w:r w:rsidRPr="004D6021">
        <w:rPr>
          <w:lang w:val="lv-LV"/>
        </w:rPr>
        <w:t xml:space="preserve"> [</w:t>
      </w:r>
      <w:r w:rsidRPr="004D6021">
        <w:rPr>
          <w:i/>
          <w:lang w:val="lv-LV"/>
        </w:rPr>
        <w:t>Van Geyseghem</w:t>
      </w:r>
      <w:r w:rsidRPr="004D6021">
        <w:rPr>
          <w:lang w:val="lv-LV"/>
        </w:rPr>
        <w:t xml:space="preserve">] pret Beļģiju” [LP], </w:t>
      </w:r>
      <w:r w:rsidR="00645889" w:rsidRPr="004D6021">
        <w:rPr>
          <w:lang w:val="lv-LV"/>
        </w:rPr>
        <w:t>Nr. </w:t>
      </w:r>
      <w:r w:rsidRPr="004D6021">
        <w:rPr>
          <w:lang w:val="lv-LV"/>
        </w:rPr>
        <w:t>26103/95, 27. </w:t>
      </w:r>
      <w:r w:rsidR="00BC5E13" w:rsidRPr="004D6021">
        <w:rPr>
          <w:lang w:val="lv-LV"/>
        </w:rPr>
        <w:t>punkt</w:t>
      </w:r>
      <w:r w:rsidR="00BC5E13">
        <w:rPr>
          <w:lang w:val="lv-LV"/>
        </w:rPr>
        <w:t>u</w:t>
      </w:r>
      <w:r w:rsidRPr="004D6021">
        <w:rPr>
          <w:lang w:val="lv-LV"/>
        </w:rPr>
        <w:t xml:space="preserve">, </w:t>
      </w:r>
      <w:r w:rsidRPr="004D6021">
        <w:rPr>
          <w:i/>
          <w:lang w:val="lv-LV"/>
        </w:rPr>
        <w:t>ECHR</w:t>
      </w:r>
      <w:r w:rsidRPr="004D6021">
        <w:rPr>
          <w:lang w:val="lv-LV"/>
        </w:rPr>
        <w:t> 1999</w:t>
      </w:r>
      <w:r w:rsidRPr="004D6021">
        <w:rPr>
          <w:lang w:val="lv-LV"/>
        </w:rPr>
        <w:noBreakHyphen/>
        <w:t>I).</w:t>
      </w:r>
    </w:p>
    <w:p w:rsidR="006078C9" w:rsidRPr="004D6021" w:rsidRDefault="006078C9" w:rsidP="00583503">
      <w:pPr>
        <w:pStyle w:val="JuPara"/>
        <w:ind w:firstLine="0"/>
        <w:rPr>
          <w:lang w:val="lv-LV"/>
        </w:rPr>
      </w:pPr>
    </w:p>
    <w:p w:rsidR="00346432" w:rsidRPr="004D6021" w:rsidRDefault="00346432" w:rsidP="00346432">
      <w:pPr>
        <w:pStyle w:val="JuPara"/>
        <w:ind w:firstLine="0"/>
        <w:rPr>
          <w:lang w:val="lv-LV"/>
        </w:rPr>
      </w:pPr>
      <w:r w:rsidRPr="004D6021">
        <w:rPr>
          <w:lang w:val="lv-LV"/>
        </w:rPr>
        <w:t>50. Lai nodrošinātu taisnīgu un likumīgu kriminālprocesu, ir ārkārtīgi svarīgi, lai apsūdzētais ierastos savā tiesas prāvā (sk. </w:t>
      </w:r>
      <w:r w:rsidR="00BC5E13" w:rsidRPr="004D6021">
        <w:rPr>
          <w:lang w:val="lv-LV"/>
        </w:rPr>
        <w:t>1994. gada 22. septembr</w:t>
      </w:r>
      <w:r w:rsidR="00BC5E13">
        <w:rPr>
          <w:lang w:val="lv-LV"/>
        </w:rPr>
        <w:t>a</w:t>
      </w:r>
      <w:r w:rsidR="00BC5E13" w:rsidRPr="004D6021">
        <w:rPr>
          <w:lang w:val="lv-LV"/>
        </w:rPr>
        <w:t xml:space="preserve"> </w:t>
      </w:r>
      <w:r w:rsidRPr="004D6021">
        <w:rPr>
          <w:lang w:val="lv-LV"/>
        </w:rPr>
        <w:t>spriedum</w:t>
      </w:r>
      <w:r w:rsidR="00BC5E13">
        <w:rPr>
          <w:lang w:val="lv-LV"/>
        </w:rPr>
        <w:t>a</w:t>
      </w:r>
      <w:r w:rsidRPr="004D6021">
        <w:rPr>
          <w:lang w:val="lv-LV"/>
        </w:rPr>
        <w:t xml:space="preserve"> lietā “Lala [</w:t>
      </w:r>
      <w:r w:rsidRPr="004D6021">
        <w:rPr>
          <w:i/>
          <w:lang w:val="lv-LV"/>
        </w:rPr>
        <w:t>Lala</w:t>
      </w:r>
      <w:r w:rsidRPr="004D6021">
        <w:rPr>
          <w:lang w:val="lv-LV"/>
        </w:rPr>
        <w:t>] pret Nīderlandi”,</w:t>
      </w:r>
      <w:r w:rsidR="008627D6" w:rsidRPr="004D6021">
        <w:rPr>
          <w:lang w:val="lv-LV"/>
        </w:rPr>
        <w:t xml:space="preserve"> 33. punkt</w:t>
      </w:r>
      <w:r w:rsidR="00BC5E13">
        <w:rPr>
          <w:lang w:val="lv-LV"/>
        </w:rPr>
        <w:t>u</w:t>
      </w:r>
      <w:r w:rsidR="008627D6" w:rsidRPr="004D6021">
        <w:rPr>
          <w:lang w:val="lv-LV"/>
        </w:rPr>
        <w:t>, A sērija Nr. 297-A</w:t>
      </w:r>
      <w:r w:rsidRPr="004D6021">
        <w:rPr>
          <w:lang w:val="lv-LV"/>
        </w:rPr>
        <w:t>,</w:t>
      </w:r>
      <w:r w:rsidR="00BC5E13">
        <w:rPr>
          <w:lang w:val="lv-LV"/>
        </w:rPr>
        <w:t xml:space="preserve"> un 1993. gada 23. novembra</w:t>
      </w:r>
      <w:r w:rsidRPr="004D6021">
        <w:rPr>
          <w:lang w:val="lv-LV"/>
        </w:rPr>
        <w:t xml:space="preserve"> </w:t>
      </w:r>
      <w:r w:rsidR="00BC5E13">
        <w:rPr>
          <w:lang w:val="lv-LV"/>
        </w:rPr>
        <w:t xml:space="preserve">sprieduma lietā </w:t>
      </w:r>
      <w:r w:rsidRPr="004D6021">
        <w:rPr>
          <w:lang w:val="lv-LV"/>
        </w:rPr>
        <w:t>“Puatrimo [</w:t>
      </w:r>
      <w:r w:rsidRPr="004D6021">
        <w:rPr>
          <w:i/>
          <w:lang w:val="lv-LV"/>
        </w:rPr>
        <w:t>Poitrimol</w:t>
      </w:r>
      <w:r w:rsidR="008627D6" w:rsidRPr="004D6021">
        <w:rPr>
          <w:lang w:val="lv-LV"/>
        </w:rPr>
        <w:t>] pret Franciju” 35. punkt</w:t>
      </w:r>
      <w:r w:rsidR="00BC5E13">
        <w:rPr>
          <w:lang w:val="lv-LV"/>
        </w:rPr>
        <w:t>u</w:t>
      </w:r>
      <w:r w:rsidR="008627D6" w:rsidRPr="004D6021">
        <w:rPr>
          <w:lang w:val="lv-LV"/>
        </w:rPr>
        <w:t>, A sērija Nr. 277-A,</w:t>
      </w:r>
      <w:r w:rsidRPr="004D6021">
        <w:rPr>
          <w:lang w:val="lv-LV"/>
        </w:rPr>
        <w:t xml:space="preserve"> un </w:t>
      </w:r>
      <w:r w:rsidR="00BC5E13" w:rsidRPr="004D6021">
        <w:rPr>
          <w:lang w:val="lv-LV"/>
        </w:rPr>
        <w:t>2004. gada 12. </w:t>
      </w:r>
      <w:r w:rsidR="00013D72">
        <w:rPr>
          <w:lang w:val="lv-LV"/>
        </w:rPr>
        <w:t>f</w:t>
      </w:r>
      <w:r w:rsidR="00BC5E13" w:rsidRPr="004D6021">
        <w:rPr>
          <w:lang w:val="lv-LV"/>
        </w:rPr>
        <w:t>ebruār</w:t>
      </w:r>
      <w:r w:rsidR="00BC5E13">
        <w:rPr>
          <w:lang w:val="lv-LV"/>
        </w:rPr>
        <w:t xml:space="preserve">a spriedumu lietā </w:t>
      </w:r>
      <w:r w:rsidRPr="004D6021">
        <w:rPr>
          <w:lang w:val="lv-LV"/>
        </w:rPr>
        <w:t>“Delorenco [</w:t>
      </w:r>
      <w:r w:rsidRPr="004D6021">
        <w:rPr>
          <w:i/>
          <w:lang w:val="lv-LV"/>
        </w:rPr>
        <w:t>De Lorenzo</w:t>
      </w:r>
      <w:r w:rsidRPr="004D6021">
        <w:rPr>
          <w:lang w:val="lv-LV"/>
        </w:rPr>
        <w:t xml:space="preserve">] pret Itāliju”, Nr. 69264/01) gan tāpēc, ka viņam ir tiesības uz taisnīgu tiesu, gan arī tāpēc, ka ir jāpārliecinās par viņa liecību pareizību un jāsalīdzina tās ar liecībām, ko sniedzis </w:t>
      </w:r>
      <w:r w:rsidR="008627D6" w:rsidRPr="004D6021">
        <w:rPr>
          <w:lang w:val="lv-LV"/>
        </w:rPr>
        <w:t xml:space="preserve">gan </w:t>
      </w:r>
      <w:r w:rsidRPr="004D6021">
        <w:rPr>
          <w:lang w:val="lv-LV"/>
        </w:rPr>
        <w:t xml:space="preserve">upuris, kura intereses ir jāaizsargā, </w:t>
      </w:r>
      <w:r w:rsidR="008627D6" w:rsidRPr="004D6021">
        <w:rPr>
          <w:lang w:val="lv-LV"/>
        </w:rPr>
        <w:t>gan</w:t>
      </w:r>
      <w:r w:rsidRPr="004D6021">
        <w:rPr>
          <w:lang w:val="lv-LV"/>
        </w:rPr>
        <w:t xml:space="preserve"> liecinieki (sk. spriedum</w:t>
      </w:r>
      <w:r w:rsidR="00831299">
        <w:rPr>
          <w:lang w:val="lv-LV"/>
        </w:rPr>
        <w:t>a</w:t>
      </w:r>
      <w:r w:rsidRPr="004D6021">
        <w:rPr>
          <w:lang w:val="lv-LV"/>
        </w:rPr>
        <w:t xml:space="preserve"> lietā “Sejdovičs [</w:t>
      </w:r>
      <w:r w:rsidRPr="004D6021">
        <w:rPr>
          <w:i/>
          <w:lang w:val="lv-LV"/>
        </w:rPr>
        <w:t>Sejdovic</w:t>
      </w:r>
      <w:r w:rsidRPr="004D6021">
        <w:rPr>
          <w:lang w:val="lv-LV"/>
        </w:rPr>
        <w:t>] pret Itāliju” [LP], Nr. 56581/00, 92. </w:t>
      </w:r>
      <w:r w:rsidR="00831299" w:rsidRPr="004D6021">
        <w:rPr>
          <w:lang w:val="lv-LV"/>
        </w:rPr>
        <w:t>punkt</w:t>
      </w:r>
      <w:r w:rsidR="00831299">
        <w:rPr>
          <w:lang w:val="lv-LV"/>
        </w:rPr>
        <w:t>u</w:t>
      </w:r>
      <w:r w:rsidRPr="004D6021">
        <w:rPr>
          <w:lang w:val="lv-LV"/>
        </w:rPr>
        <w:t xml:space="preserve">, </w:t>
      </w:r>
      <w:r w:rsidRPr="004D6021">
        <w:rPr>
          <w:i/>
          <w:lang w:val="lv-LV"/>
        </w:rPr>
        <w:t>ECHR</w:t>
      </w:r>
      <w:r w:rsidRPr="004D6021">
        <w:rPr>
          <w:lang w:val="lv-LV"/>
        </w:rPr>
        <w:t> 2006-II).</w:t>
      </w:r>
    </w:p>
    <w:p w:rsidR="006078C9" w:rsidRPr="004D6021" w:rsidRDefault="006078C9" w:rsidP="00583503">
      <w:pPr>
        <w:pStyle w:val="JuPara"/>
        <w:ind w:firstLine="0"/>
        <w:rPr>
          <w:lang w:val="lv-LV"/>
        </w:rPr>
      </w:pPr>
    </w:p>
    <w:p w:rsidR="00914291" w:rsidRPr="004D6021" w:rsidRDefault="00914291" w:rsidP="00914291">
      <w:pPr>
        <w:pStyle w:val="JuPara"/>
        <w:ind w:firstLine="0"/>
        <w:rPr>
          <w:lang w:val="lv-LV"/>
        </w:rPr>
      </w:pPr>
      <w:r w:rsidRPr="004D6021">
        <w:rPr>
          <w:lang w:val="lv-LV"/>
        </w:rPr>
        <w:t xml:space="preserve">51. Patiešām 6. pants skaidri neparedz ņemt vērā to liecinieku intereses un jo īpaši upuru intereses, kas uzaicināti liecināt. Tomēr personas dzīvība, brīvība vai drošība, </w:t>
      </w:r>
      <w:r w:rsidR="009669B3">
        <w:rPr>
          <w:lang w:val="lv-LV"/>
        </w:rPr>
        <w:t xml:space="preserve">kā arī </w:t>
      </w:r>
      <w:r w:rsidRPr="004D6021">
        <w:rPr>
          <w:lang w:val="lv-LV"/>
        </w:rPr>
        <w:t>vispārīgi Konvencijas 8. panta piemērošanas jomā</w:t>
      </w:r>
      <w:r w:rsidR="009669B3">
        <w:rPr>
          <w:lang w:val="lv-LV"/>
        </w:rPr>
        <w:t xml:space="preserve"> ietilpstošās intereses var būt apdraudētas</w:t>
      </w:r>
      <w:r w:rsidRPr="004D6021">
        <w:rPr>
          <w:lang w:val="lv-LV"/>
        </w:rPr>
        <w:t>. Šīs liecinieku un upuru intereses principā aizsargā citas materiālās Konvencijas normas, kas nosaka, ka Līgumslēd</w:t>
      </w:r>
      <w:r w:rsidR="008627D6" w:rsidRPr="004D6021">
        <w:rPr>
          <w:lang w:val="lv-LV"/>
        </w:rPr>
        <w:t xml:space="preserve">zējām valstīm ir jāorganizē savas tiesvedības krimināllietās </w:t>
      </w:r>
      <w:r w:rsidRPr="004D6021">
        <w:rPr>
          <w:lang w:val="lv-LV"/>
        </w:rPr>
        <w:t>tā, lai nepamatoti nekaitētu šīm interesēm. Paturot to prātā, taisnīgas tiesas principi paredz, ka atbilstošos gadījumos aizstāvības intereses izvērtē, ņemot vērā to liecinieku un upuru intereses, kas uzaicināti liecināt (sk. </w:t>
      </w:r>
      <w:r w:rsidR="00401A2C">
        <w:rPr>
          <w:lang w:val="lv-LV"/>
        </w:rPr>
        <w:t xml:space="preserve">1996. gada 26. marta </w:t>
      </w:r>
      <w:r w:rsidRPr="004D6021">
        <w:rPr>
          <w:lang w:val="lv-LV"/>
        </w:rPr>
        <w:t>spriedum</w:t>
      </w:r>
      <w:r w:rsidR="00401A2C">
        <w:rPr>
          <w:lang w:val="lv-LV"/>
        </w:rPr>
        <w:t>a</w:t>
      </w:r>
      <w:r w:rsidRPr="004D6021">
        <w:rPr>
          <w:lang w:val="lv-LV"/>
        </w:rPr>
        <w:t xml:space="preserve"> lietā “Dorsons [</w:t>
      </w:r>
      <w:r w:rsidRPr="004D6021">
        <w:rPr>
          <w:i/>
          <w:lang w:val="lv-LV"/>
        </w:rPr>
        <w:t>Doorson</w:t>
      </w:r>
      <w:r w:rsidRPr="004D6021">
        <w:rPr>
          <w:lang w:val="lv-LV"/>
        </w:rPr>
        <w:t>] pret Nīderlandi” 70. punkt</w:t>
      </w:r>
      <w:r w:rsidR="00401A2C">
        <w:rPr>
          <w:lang w:val="lv-LV"/>
        </w:rPr>
        <w:t>u</w:t>
      </w:r>
      <w:r w:rsidRPr="004D6021">
        <w:rPr>
          <w:lang w:val="lv-LV"/>
        </w:rPr>
        <w:t xml:space="preserve">, Spriedumu un lēmumu krājums 1996-II, un </w:t>
      </w:r>
      <w:r w:rsidR="00401A2C">
        <w:rPr>
          <w:lang w:val="lv-LV"/>
        </w:rPr>
        <w:t xml:space="preserve">1997. gada 23. aprīļa sprieduma lietā </w:t>
      </w:r>
      <w:r w:rsidRPr="004D6021">
        <w:rPr>
          <w:lang w:val="lv-LV"/>
        </w:rPr>
        <w:t>“Van</w:t>
      </w:r>
      <w:r w:rsidR="00401A2C">
        <w:rPr>
          <w:lang w:val="lv-LV"/>
        </w:rPr>
        <w:t> M</w:t>
      </w:r>
      <w:r w:rsidR="00283531">
        <w:rPr>
          <w:lang w:val="lv-LV"/>
        </w:rPr>
        <w:t>ē</w:t>
      </w:r>
      <w:r w:rsidR="002B105B">
        <w:rPr>
          <w:lang w:val="lv-LV"/>
        </w:rPr>
        <w:t>h</w:t>
      </w:r>
      <w:r w:rsidRPr="004D6021">
        <w:rPr>
          <w:lang w:val="lv-LV"/>
        </w:rPr>
        <w:t>elens [</w:t>
      </w:r>
      <w:r w:rsidRPr="004D6021">
        <w:rPr>
          <w:i/>
          <w:lang w:val="lv-LV"/>
        </w:rPr>
        <w:t>Van Mechelen</w:t>
      </w:r>
      <w:r w:rsidRPr="004D6021">
        <w:rPr>
          <w:lang w:val="lv-LV"/>
        </w:rPr>
        <w:t>] un citi pret Nīderlandi”, 53. punkt</w:t>
      </w:r>
      <w:r w:rsidR="00401A2C">
        <w:rPr>
          <w:lang w:val="lv-LV"/>
        </w:rPr>
        <w:t>u</w:t>
      </w:r>
      <w:r w:rsidRPr="004D6021">
        <w:rPr>
          <w:lang w:val="lv-LV"/>
        </w:rPr>
        <w:t>, Spriedumu un lēmumu krājums 1997-III).</w:t>
      </w:r>
    </w:p>
    <w:p w:rsidR="006078C9" w:rsidRPr="004D6021" w:rsidRDefault="006078C9" w:rsidP="00583503">
      <w:pPr>
        <w:pStyle w:val="JuPara"/>
        <w:ind w:firstLine="0"/>
        <w:rPr>
          <w:lang w:val="lv-LV"/>
        </w:rPr>
      </w:pPr>
    </w:p>
    <w:p w:rsidR="006C3C7F" w:rsidRPr="004D6021" w:rsidRDefault="006C3C7F" w:rsidP="006C3C7F">
      <w:pPr>
        <w:pStyle w:val="JuPara"/>
        <w:ind w:firstLine="0"/>
        <w:rPr>
          <w:lang w:val="lv-LV"/>
        </w:rPr>
      </w:pPr>
      <w:r w:rsidRPr="004D6021">
        <w:rPr>
          <w:lang w:val="lv-LV"/>
        </w:rPr>
        <w:lastRenderedPageBreak/>
        <w:t xml:space="preserve">52. Lai gan 6. panta 1. punktā tas nav skaidri norādīts, šā panta kopējais mērķis un nolūks ir nodrošināt, </w:t>
      </w:r>
      <w:r w:rsidR="00401A2C">
        <w:rPr>
          <w:lang w:val="lv-LV"/>
        </w:rPr>
        <w:t>ka</w:t>
      </w:r>
      <w:r w:rsidR="00401A2C" w:rsidRPr="004D6021">
        <w:rPr>
          <w:lang w:val="lv-LV"/>
        </w:rPr>
        <w:t xml:space="preserve"> </w:t>
      </w:r>
      <w:r w:rsidRPr="004D6021">
        <w:rPr>
          <w:lang w:val="lv-LV"/>
        </w:rPr>
        <w:t xml:space="preserve">persona, kas “tiek apsūdzēta kriminālnoziegumā”, būtu tiesīga piedalīties lietas </w:t>
      </w:r>
      <w:r w:rsidR="008627D6" w:rsidRPr="004D6021">
        <w:rPr>
          <w:lang w:val="lv-LV"/>
        </w:rPr>
        <w:t>iztiesāšanā</w:t>
      </w:r>
      <w:r w:rsidRPr="004D6021">
        <w:rPr>
          <w:lang w:val="lv-LV"/>
        </w:rPr>
        <w:t>. Turklāt 3</w:t>
      </w:r>
      <w:r w:rsidR="008627D6" w:rsidRPr="004D6021">
        <w:rPr>
          <w:lang w:val="lv-LV"/>
        </w:rPr>
        <w:t>. panta c), d) un e) apakšpunkts</w:t>
      </w:r>
      <w:r w:rsidRPr="004D6021">
        <w:rPr>
          <w:lang w:val="lv-LV"/>
        </w:rPr>
        <w:t xml:space="preserve"> ikvienam, “kas tiek apsūdzēts kriminālnoziegumā”, garantē tiesības “aizstāvēt sevi pašam”, “nopratināt vai būt nopratinājušam lieciniekus” un tiesības “uz bezmaksas tulka pakalpojumiem, ja viņš nesaprot tiesā lietoto valodu vai nerunā tajā”, un ir grūti saprast, kā viņš varēja īstenot šīs tiesības, neesot klāt (sk. </w:t>
      </w:r>
      <w:r w:rsidR="00474A12">
        <w:rPr>
          <w:lang w:val="lv-LV"/>
        </w:rPr>
        <w:t xml:space="preserve">1985. gada 12. februāra </w:t>
      </w:r>
      <w:r w:rsidRPr="004D6021">
        <w:rPr>
          <w:lang w:val="lv-LV"/>
        </w:rPr>
        <w:t>spriedum</w:t>
      </w:r>
      <w:r w:rsidR="00474A12">
        <w:rPr>
          <w:lang w:val="lv-LV"/>
        </w:rPr>
        <w:t>a</w:t>
      </w:r>
      <w:r w:rsidRPr="004D6021">
        <w:rPr>
          <w:lang w:val="lv-LV"/>
        </w:rPr>
        <w:t xml:space="preserve"> lietā “Koloca [</w:t>
      </w:r>
      <w:r w:rsidRPr="004D6021">
        <w:rPr>
          <w:i/>
          <w:lang w:val="lv-LV"/>
        </w:rPr>
        <w:t>Colozza</w:t>
      </w:r>
      <w:r w:rsidRPr="004D6021">
        <w:rPr>
          <w:lang w:val="lv-LV"/>
        </w:rPr>
        <w:t>] pret Itāliju</w:t>
      </w:r>
      <w:r w:rsidR="008627D6" w:rsidRPr="004D6021">
        <w:rPr>
          <w:lang w:val="lv-LV"/>
        </w:rPr>
        <w:t>”</w:t>
      </w:r>
      <w:r w:rsidRPr="004D6021">
        <w:rPr>
          <w:lang w:val="lv-LV"/>
        </w:rPr>
        <w:t xml:space="preserve"> 27. punkt</w:t>
      </w:r>
      <w:r w:rsidR="00474A12">
        <w:rPr>
          <w:lang w:val="lv-LV"/>
        </w:rPr>
        <w:t>u</w:t>
      </w:r>
      <w:r w:rsidRPr="004D6021">
        <w:rPr>
          <w:lang w:val="lv-LV"/>
        </w:rPr>
        <w:t>, A sērija Nr. 89, un iepriekšminēt</w:t>
      </w:r>
      <w:r w:rsidR="00474A12">
        <w:rPr>
          <w:lang w:val="lv-LV"/>
        </w:rPr>
        <w:t>ā sprieduma</w:t>
      </w:r>
      <w:r w:rsidRPr="004D6021">
        <w:rPr>
          <w:lang w:val="lv-LV"/>
        </w:rPr>
        <w:t xml:space="preserve"> Sejdoviča lietā</w:t>
      </w:r>
      <w:r w:rsidR="008627D6" w:rsidRPr="004D6021">
        <w:rPr>
          <w:lang w:val="lv-LV"/>
        </w:rPr>
        <w:t xml:space="preserve"> </w:t>
      </w:r>
      <w:r w:rsidRPr="004D6021">
        <w:rPr>
          <w:lang w:val="lv-LV"/>
        </w:rPr>
        <w:t>81. punkt</w:t>
      </w:r>
      <w:r w:rsidR="00474A12">
        <w:rPr>
          <w:lang w:val="lv-LV"/>
        </w:rPr>
        <w:t>u</w:t>
      </w:r>
      <w:r w:rsidRPr="004D6021">
        <w:rPr>
          <w:lang w:val="lv-LV"/>
        </w:rPr>
        <w:t>).</w:t>
      </w:r>
    </w:p>
    <w:p w:rsidR="006078C9" w:rsidRPr="004D6021" w:rsidRDefault="006078C9" w:rsidP="00583503">
      <w:pPr>
        <w:pStyle w:val="JuPara"/>
        <w:ind w:firstLine="0"/>
        <w:rPr>
          <w:lang w:val="lv-LV"/>
        </w:rPr>
      </w:pPr>
    </w:p>
    <w:p w:rsidR="00DF06A5" w:rsidRPr="004D6021" w:rsidRDefault="00DF06A5" w:rsidP="00DF06A5">
      <w:pPr>
        <w:pStyle w:val="JuPara"/>
        <w:ind w:firstLine="0"/>
        <w:rPr>
          <w:lang w:val="lv-LV"/>
        </w:rPr>
      </w:pPr>
      <w:r w:rsidRPr="004D6021">
        <w:rPr>
          <w:lang w:val="lv-LV"/>
        </w:rPr>
        <w:t>53. Netiek apstrīdēts, ka 6. pants kopumā garantē apsūdzētā tiesības efektīvi piedalīties krimināllietas iztiesāšanā. Tas parasti cita starpā ietver ne tikai viņa tiesības būt klāt, bet arī tiesības dzirdēt tiesas sēdi un sekot tai līdzi (sk. </w:t>
      </w:r>
      <w:r w:rsidR="00474A12">
        <w:rPr>
          <w:lang w:val="lv-LV"/>
        </w:rPr>
        <w:t xml:space="preserve">1994. gada 23. februāra </w:t>
      </w:r>
      <w:r w:rsidRPr="004D6021">
        <w:rPr>
          <w:lang w:val="lv-LV"/>
        </w:rPr>
        <w:t>spriedum</w:t>
      </w:r>
      <w:r w:rsidR="00474A12">
        <w:rPr>
          <w:lang w:val="lv-LV"/>
        </w:rPr>
        <w:t>a</w:t>
      </w:r>
      <w:r w:rsidRPr="004D6021">
        <w:rPr>
          <w:lang w:val="lv-LV"/>
        </w:rPr>
        <w:t xml:space="preserve"> lietā “Stenfords [</w:t>
      </w:r>
      <w:r w:rsidRPr="004D6021">
        <w:rPr>
          <w:i/>
          <w:lang w:val="lv-LV"/>
        </w:rPr>
        <w:t>Stanford</w:t>
      </w:r>
      <w:r w:rsidRPr="004D6021">
        <w:rPr>
          <w:lang w:val="lv-LV"/>
        </w:rPr>
        <w:t>] pret Apvienoto Karalisti”</w:t>
      </w:r>
      <w:r w:rsidR="002B105B">
        <w:rPr>
          <w:lang w:val="lv-LV"/>
        </w:rPr>
        <w:t xml:space="preserve"> 26. punkt</w:t>
      </w:r>
      <w:r w:rsidR="00474A12">
        <w:rPr>
          <w:lang w:val="lv-LV"/>
        </w:rPr>
        <w:t>u</w:t>
      </w:r>
      <w:r w:rsidR="002B105B">
        <w:rPr>
          <w:lang w:val="lv-LV"/>
        </w:rPr>
        <w:t>, A sērija Nr. 282-A</w:t>
      </w:r>
      <w:r w:rsidRPr="004D6021">
        <w:rPr>
          <w:lang w:val="lv-LV"/>
        </w:rPr>
        <w:t>).</w:t>
      </w:r>
    </w:p>
    <w:p w:rsidR="006078C9" w:rsidRPr="004D6021" w:rsidRDefault="006078C9" w:rsidP="00583503">
      <w:pPr>
        <w:pStyle w:val="JuPara"/>
        <w:ind w:firstLine="0"/>
        <w:rPr>
          <w:lang w:val="lv-LV"/>
        </w:rPr>
      </w:pPr>
    </w:p>
    <w:p w:rsidR="00BB1723" w:rsidRPr="004D6021" w:rsidRDefault="00BB1723" w:rsidP="00BB1723">
      <w:pPr>
        <w:jc w:val="both"/>
        <w:rPr>
          <w:lang w:val="lv-LV"/>
        </w:rPr>
      </w:pPr>
      <w:r w:rsidRPr="004D6021">
        <w:rPr>
          <w:lang w:val="lv-LV"/>
        </w:rPr>
        <w:t xml:space="preserve">54. </w:t>
      </w:r>
      <w:r w:rsidR="008627D6" w:rsidRPr="004D6021">
        <w:rPr>
          <w:lang w:val="lv-LV"/>
        </w:rPr>
        <w:t>Aizstāvamā</w:t>
      </w:r>
      <w:r w:rsidRPr="004D6021">
        <w:rPr>
          <w:lang w:val="lv-LV"/>
        </w:rPr>
        <w:t xml:space="preserve"> personīga klātbūtne apelācijas tiesas sēdē nav tik būtiska kā pirmās instances tiesas sēdē (sk. </w:t>
      </w:r>
      <w:r w:rsidR="00474A12">
        <w:rPr>
          <w:lang w:val="lv-LV"/>
        </w:rPr>
        <w:t xml:space="preserve">1989. gada 19. decembra </w:t>
      </w:r>
      <w:r w:rsidRPr="004D6021">
        <w:rPr>
          <w:lang w:val="lv-LV"/>
        </w:rPr>
        <w:t>spriedum</w:t>
      </w:r>
      <w:r w:rsidR="00474A12">
        <w:rPr>
          <w:lang w:val="lv-LV"/>
        </w:rPr>
        <w:t>a</w:t>
      </w:r>
      <w:r w:rsidRPr="004D6021">
        <w:rPr>
          <w:lang w:val="lv-LV"/>
        </w:rPr>
        <w:t xml:space="preserve"> lietā “Kamasin</w:t>
      </w:r>
      <w:r w:rsidR="00474A12">
        <w:rPr>
          <w:lang w:val="lv-LV"/>
        </w:rPr>
        <w:t>s</w:t>
      </w:r>
      <w:r w:rsidRPr="004D6021">
        <w:rPr>
          <w:lang w:val="lv-LV"/>
        </w:rPr>
        <w:t>ki</w:t>
      </w:r>
      <w:r w:rsidR="00474A12">
        <w:rPr>
          <w:lang w:val="lv-LV"/>
        </w:rPr>
        <w:t>s</w:t>
      </w:r>
      <w:r w:rsidRPr="004D6021">
        <w:rPr>
          <w:lang w:val="lv-LV"/>
        </w:rPr>
        <w:t xml:space="preserve"> [</w:t>
      </w:r>
      <w:r w:rsidRPr="004D6021">
        <w:rPr>
          <w:i/>
          <w:lang w:val="lv-LV"/>
        </w:rPr>
        <w:t>Kamasinski</w:t>
      </w:r>
      <w:r w:rsidRPr="004D6021">
        <w:rPr>
          <w:lang w:val="lv-LV"/>
        </w:rPr>
        <w:t>] pret Austriju”</w:t>
      </w:r>
      <w:r w:rsidR="008627D6" w:rsidRPr="004D6021">
        <w:rPr>
          <w:lang w:val="lv-LV"/>
        </w:rPr>
        <w:t xml:space="preserve"> 106. punkt</w:t>
      </w:r>
      <w:r w:rsidR="00474A12">
        <w:rPr>
          <w:lang w:val="lv-LV"/>
        </w:rPr>
        <w:t>u</w:t>
      </w:r>
      <w:r w:rsidR="008627D6" w:rsidRPr="004D6021">
        <w:rPr>
          <w:lang w:val="lv-LV"/>
        </w:rPr>
        <w:t>, A sērija Nr. 168</w:t>
      </w:r>
      <w:r w:rsidRPr="004D6021">
        <w:rPr>
          <w:lang w:val="lv-LV"/>
        </w:rPr>
        <w:t>). Tomēr tas, kā 6. pants tiek piemērots tiesvedībai apelācijas tiesās, ir atkarīgs no attiecīgo tiesvedību īpatnībām; ir pilnībā jāņem vērā tiesvedību valsts tiesiskais regulējums un apelācijas tiesu loma tiesvedībā (sk. </w:t>
      </w:r>
      <w:r w:rsidR="00474A12">
        <w:rPr>
          <w:lang w:val="lv-LV"/>
        </w:rPr>
        <w:t xml:space="preserve">1988. gada 26. maija </w:t>
      </w:r>
      <w:r w:rsidRPr="004D6021">
        <w:rPr>
          <w:lang w:val="lv-LV"/>
        </w:rPr>
        <w:t>spriedum</w:t>
      </w:r>
      <w:r w:rsidR="00474A12">
        <w:rPr>
          <w:lang w:val="lv-LV"/>
        </w:rPr>
        <w:t>a</w:t>
      </w:r>
      <w:r w:rsidRPr="004D6021">
        <w:rPr>
          <w:lang w:val="lv-LV"/>
        </w:rPr>
        <w:t xml:space="preserve"> lietā “Ekbatani [</w:t>
      </w:r>
      <w:r w:rsidRPr="004D6021">
        <w:rPr>
          <w:i/>
          <w:lang w:val="lv-LV"/>
        </w:rPr>
        <w:t>Ekbatani</w:t>
      </w:r>
      <w:r w:rsidRPr="004D6021">
        <w:rPr>
          <w:lang w:val="lv-LV"/>
        </w:rPr>
        <w:t>] pret Zviedriju” 27. punkt</w:t>
      </w:r>
      <w:r w:rsidR="00474A12">
        <w:rPr>
          <w:lang w:val="lv-LV"/>
        </w:rPr>
        <w:t>u</w:t>
      </w:r>
      <w:r w:rsidRPr="004D6021">
        <w:rPr>
          <w:lang w:val="lv-LV"/>
        </w:rPr>
        <w:t>, A sērija Nr. 134</w:t>
      </w:r>
      <w:r w:rsidR="00A64E95" w:rsidRPr="004D6021">
        <w:rPr>
          <w:lang w:val="lv-LV"/>
        </w:rPr>
        <w:t>,</w:t>
      </w:r>
      <w:r w:rsidRPr="004D6021">
        <w:rPr>
          <w:lang w:val="lv-LV"/>
        </w:rPr>
        <w:t xml:space="preserve"> un </w:t>
      </w:r>
      <w:r w:rsidR="00474A12">
        <w:rPr>
          <w:lang w:val="lv-LV"/>
        </w:rPr>
        <w:t xml:space="preserve">1987. gada 2. marta sprieduma lietā </w:t>
      </w:r>
      <w:r w:rsidRPr="004D6021">
        <w:rPr>
          <w:lang w:val="lv-LV"/>
        </w:rPr>
        <w:t>“Monels [</w:t>
      </w:r>
      <w:r w:rsidRPr="004D6021">
        <w:rPr>
          <w:i/>
          <w:lang w:val="lv-LV"/>
        </w:rPr>
        <w:t>Monnell</w:t>
      </w:r>
      <w:r w:rsidRPr="004D6021">
        <w:rPr>
          <w:lang w:val="lv-LV"/>
        </w:rPr>
        <w:t>] un Moriss [</w:t>
      </w:r>
      <w:r w:rsidRPr="004D6021">
        <w:rPr>
          <w:i/>
          <w:lang w:val="lv-LV"/>
        </w:rPr>
        <w:t>Morris</w:t>
      </w:r>
      <w:r w:rsidRPr="004D6021">
        <w:rPr>
          <w:lang w:val="lv-LV"/>
        </w:rPr>
        <w:t>] pret Apvienoto Karalisti” 56. </w:t>
      </w:r>
      <w:r w:rsidR="00474A12" w:rsidRPr="004D6021">
        <w:rPr>
          <w:lang w:val="lv-LV"/>
        </w:rPr>
        <w:t>punkt</w:t>
      </w:r>
      <w:r w:rsidR="00474A12">
        <w:rPr>
          <w:lang w:val="lv-LV"/>
        </w:rPr>
        <w:t>u</w:t>
      </w:r>
      <w:r w:rsidRPr="004D6021">
        <w:rPr>
          <w:lang w:val="lv-LV"/>
        </w:rPr>
        <w:t>, A sērija Nr. 115).</w:t>
      </w:r>
    </w:p>
    <w:p w:rsidR="006078C9" w:rsidRPr="004D6021" w:rsidRDefault="006078C9" w:rsidP="00583503">
      <w:pPr>
        <w:jc w:val="both"/>
        <w:rPr>
          <w:lang w:val="lv-LV"/>
        </w:rPr>
      </w:pPr>
    </w:p>
    <w:p w:rsidR="002A35FD" w:rsidRPr="004D6021" w:rsidRDefault="002A35FD" w:rsidP="002A35FD">
      <w:pPr>
        <w:pStyle w:val="JuPara"/>
        <w:ind w:firstLine="0"/>
        <w:rPr>
          <w:lang w:val="lv-LV"/>
        </w:rPr>
      </w:pPr>
      <w:r w:rsidRPr="004D6021">
        <w:rPr>
          <w:lang w:val="lv-LV"/>
        </w:rPr>
        <w:t>55. Pārsūdzības atļaujas saņemšanas tiesvedības un tiesvedības, kurās tiek skatīti tikai juridiskie jautājumi, nevis faktiskie apstākļi, var atbilst 6. panta prasībām arī tad, ja pieteikuma iesniedzējam nav nodrošināta iespēja personiski liecināt apelācijas vai kasācijas tiesā, ar nosacījumu, ka pirmajā instancē ir bijusi atklāta tiesas sēde (cita starpā sk. </w:t>
      </w:r>
      <w:r w:rsidR="00474A12" w:rsidRPr="004D6021">
        <w:rPr>
          <w:lang w:val="lv-LV"/>
        </w:rPr>
        <w:t>spriedum</w:t>
      </w:r>
      <w:r w:rsidR="00474A12">
        <w:rPr>
          <w:lang w:val="lv-LV"/>
        </w:rPr>
        <w:t>a</w:t>
      </w:r>
      <w:r w:rsidR="00474A12" w:rsidRPr="004D6021">
        <w:rPr>
          <w:lang w:val="lv-LV"/>
        </w:rPr>
        <w:t xml:space="preserve"> </w:t>
      </w:r>
      <w:r w:rsidRPr="004D6021">
        <w:rPr>
          <w:lang w:val="lv-LV"/>
        </w:rPr>
        <w:t xml:space="preserve">iepriekšminētajā Monela un Morisa lietā 58. punktu (pārsūdzības atļauja) un </w:t>
      </w:r>
      <w:r w:rsidR="00474A12">
        <w:rPr>
          <w:lang w:val="lv-LV"/>
        </w:rPr>
        <w:t xml:space="preserve">1984. gada 22. februāra </w:t>
      </w:r>
      <w:r w:rsidRPr="004D6021">
        <w:rPr>
          <w:lang w:val="lv-LV"/>
        </w:rPr>
        <w:t>spriedum</w:t>
      </w:r>
      <w:r w:rsidR="00474A12">
        <w:rPr>
          <w:lang w:val="lv-LV"/>
        </w:rPr>
        <w:t>a</w:t>
      </w:r>
      <w:r w:rsidRPr="004D6021">
        <w:rPr>
          <w:lang w:val="lv-LV"/>
        </w:rPr>
        <w:t xml:space="preserve"> lietā “Suters [</w:t>
      </w:r>
      <w:r w:rsidRPr="004D6021">
        <w:rPr>
          <w:i/>
          <w:lang w:val="lv-LV"/>
        </w:rPr>
        <w:t>Sutter</w:t>
      </w:r>
      <w:r w:rsidRPr="004D6021">
        <w:rPr>
          <w:lang w:val="lv-LV"/>
        </w:rPr>
        <w:t>] pret Šveici” 30. punkt</w:t>
      </w:r>
      <w:r w:rsidR="00474A12">
        <w:rPr>
          <w:lang w:val="lv-LV"/>
        </w:rPr>
        <w:t>u</w:t>
      </w:r>
      <w:r w:rsidRPr="004D6021">
        <w:rPr>
          <w:lang w:val="lv-LV"/>
        </w:rPr>
        <w:t xml:space="preserve">, A sērija Nr. 74 (kasācijas tiesa)). Tomēr pēdējā minētajā lietā galvenais iemesls bija tas, ka attiecīgās tiesas uzdevums nebija noskaidrot lietas faktiskos apstākļus, bet tikai interpretēt attiecīgās tiesību normas (sk. </w:t>
      </w:r>
      <w:r w:rsidR="00474A12" w:rsidRPr="004D6021">
        <w:rPr>
          <w:lang w:val="lv-LV"/>
        </w:rPr>
        <w:t>iepriekšminēt</w:t>
      </w:r>
      <w:r w:rsidR="00474A12">
        <w:rPr>
          <w:lang w:val="lv-LV"/>
        </w:rPr>
        <w:t>ā</w:t>
      </w:r>
      <w:r w:rsidR="00474A12" w:rsidRPr="004D6021">
        <w:rPr>
          <w:lang w:val="lv-LV"/>
        </w:rPr>
        <w:t xml:space="preserve"> </w:t>
      </w:r>
      <w:r w:rsidRPr="004D6021">
        <w:rPr>
          <w:lang w:val="lv-LV"/>
        </w:rPr>
        <w:t>spriedum</w:t>
      </w:r>
      <w:r w:rsidR="00474A12">
        <w:rPr>
          <w:lang w:val="lv-LV"/>
        </w:rPr>
        <w:t>a</w:t>
      </w:r>
      <w:r w:rsidRPr="004D6021">
        <w:rPr>
          <w:lang w:val="lv-LV"/>
        </w:rPr>
        <w:t xml:space="preserve"> Ekbatani lietā 31. punktu).</w:t>
      </w:r>
    </w:p>
    <w:p w:rsidR="006078C9" w:rsidRPr="004D6021" w:rsidRDefault="006078C9" w:rsidP="00583503">
      <w:pPr>
        <w:pStyle w:val="JuPara"/>
        <w:ind w:firstLine="0"/>
        <w:rPr>
          <w:lang w:val="lv-LV"/>
        </w:rPr>
      </w:pPr>
    </w:p>
    <w:p w:rsidR="00AC295A" w:rsidRPr="004D6021" w:rsidRDefault="00AC295A" w:rsidP="00AC295A">
      <w:pPr>
        <w:pStyle w:val="JuPara"/>
        <w:ind w:firstLine="0"/>
        <w:rPr>
          <w:lang w:val="lv-LV"/>
        </w:rPr>
      </w:pPr>
      <w:r w:rsidRPr="004D6021">
        <w:rPr>
          <w:lang w:val="lv-LV"/>
        </w:rPr>
        <w:t xml:space="preserve">56. </w:t>
      </w:r>
      <w:r w:rsidR="00A64E95" w:rsidRPr="004D6021">
        <w:rPr>
          <w:lang w:val="lv-LV"/>
        </w:rPr>
        <w:t>P</w:t>
      </w:r>
      <w:r w:rsidRPr="004D6021">
        <w:rPr>
          <w:lang w:val="lv-LV"/>
        </w:rPr>
        <w:t xml:space="preserve">at ja apelācijas tiesai ir pilnīga jurisdikcija pārskatīt gan faktiskos, gan juridiskos lietas jautājumus, 6. pants ne vienmēr paredz tiesības uz atklātu tiesas sēdi un </w:t>
      </w:r>
      <w:r w:rsidRPr="004D6021">
        <w:rPr>
          <w:i/>
          <w:lang w:val="lv-LV"/>
        </w:rPr>
        <w:t>a fortiori</w:t>
      </w:r>
      <w:r w:rsidRPr="004D6021">
        <w:rPr>
          <w:lang w:val="lv-LV"/>
        </w:rPr>
        <w:t xml:space="preserve"> tiesības būt klāt personīgi (sk. </w:t>
      </w:r>
      <w:r w:rsidR="006506FE">
        <w:rPr>
          <w:lang w:val="lv-LV"/>
        </w:rPr>
        <w:t xml:space="preserve">1991. gada 29. oktobra </w:t>
      </w:r>
      <w:r w:rsidRPr="004D6021">
        <w:rPr>
          <w:lang w:val="lv-LV"/>
        </w:rPr>
        <w:t>spriedum</w:t>
      </w:r>
      <w:r w:rsidR="006506FE">
        <w:rPr>
          <w:lang w:val="lv-LV"/>
        </w:rPr>
        <w:t>a</w:t>
      </w:r>
      <w:r w:rsidRPr="004D6021">
        <w:rPr>
          <w:lang w:val="lv-LV"/>
        </w:rPr>
        <w:t xml:space="preserve"> lietā “Fejde [</w:t>
      </w:r>
      <w:r w:rsidRPr="004D6021">
        <w:rPr>
          <w:i/>
          <w:lang w:val="lv-LV"/>
        </w:rPr>
        <w:t>Fejde</w:t>
      </w:r>
      <w:r w:rsidRPr="004D6021">
        <w:rPr>
          <w:lang w:val="lv-LV"/>
        </w:rPr>
        <w:t>] pret Zviedrij</w:t>
      </w:r>
      <w:r w:rsidR="00657597" w:rsidRPr="004D6021">
        <w:rPr>
          <w:lang w:val="lv-LV"/>
        </w:rPr>
        <w:t>u” 31. punkt</w:t>
      </w:r>
      <w:r w:rsidR="006506FE">
        <w:rPr>
          <w:lang w:val="lv-LV"/>
        </w:rPr>
        <w:t>u</w:t>
      </w:r>
      <w:r w:rsidR="00657597" w:rsidRPr="004D6021">
        <w:rPr>
          <w:lang w:val="lv-LV"/>
        </w:rPr>
        <w:t>, A sērija Nr. 212-C</w:t>
      </w:r>
      <w:r w:rsidRPr="004D6021">
        <w:rPr>
          <w:lang w:val="lv-LV"/>
        </w:rPr>
        <w:t>). Izvērtējot šo jautājumu, ir cita starpā jāņem vērā attiecīgās tiesvedības īpatnības un veids, kādā apelācijas tiesā tiek izklāstītas un aizsargātas aizstāvības intereses, jo īpaši paturot prātā jautājumus, par kuriem tai jālemj (sk. </w:t>
      </w:r>
      <w:r w:rsidR="006506FE">
        <w:rPr>
          <w:lang w:val="lv-LV"/>
        </w:rPr>
        <w:t xml:space="preserve">1991. gada 29. oktobra </w:t>
      </w:r>
      <w:r w:rsidRPr="004D6021">
        <w:rPr>
          <w:lang w:val="lv-LV"/>
        </w:rPr>
        <w:t>spriedum</w:t>
      </w:r>
      <w:r w:rsidR="006506FE">
        <w:rPr>
          <w:lang w:val="lv-LV"/>
        </w:rPr>
        <w:t>a</w:t>
      </w:r>
      <w:r w:rsidRPr="004D6021">
        <w:rPr>
          <w:lang w:val="lv-LV"/>
        </w:rPr>
        <w:t xml:space="preserve"> lietā “Helmerss [</w:t>
      </w:r>
      <w:r w:rsidRPr="004D6021">
        <w:rPr>
          <w:i/>
          <w:lang w:val="lv-LV"/>
        </w:rPr>
        <w:t>Helmers</w:t>
      </w:r>
      <w:r w:rsidRPr="004D6021">
        <w:rPr>
          <w:lang w:val="lv-LV"/>
        </w:rPr>
        <w:t>] pret Zviedriju” 31.–32. punkt</w:t>
      </w:r>
      <w:r w:rsidR="006506FE">
        <w:rPr>
          <w:lang w:val="lv-LV"/>
        </w:rPr>
        <w:t>u</w:t>
      </w:r>
      <w:r w:rsidRPr="004D6021">
        <w:rPr>
          <w:lang w:val="lv-LV"/>
        </w:rPr>
        <w:t>, A sērija Nr. 212-A) un to nozīmīgumu apelācijas iesniedzējam (sk. </w:t>
      </w:r>
      <w:r w:rsidR="006506FE">
        <w:rPr>
          <w:lang w:val="lv-LV"/>
        </w:rPr>
        <w:t>1993. gada 21. </w:t>
      </w:r>
      <w:r w:rsidR="00380097">
        <w:rPr>
          <w:lang w:val="lv-LV"/>
        </w:rPr>
        <w:t>s</w:t>
      </w:r>
      <w:r w:rsidR="006506FE">
        <w:rPr>
          <w:lang w:val="lv-LV"/>
        </w:rPr>
        <w:t xml:space="preserve">eptembra </w:t>
      </w:r>
      <w:r w:rsidRPr="004D6021">
        <w:rPr>
          <w:lang w:val="lv-LV"/>
        </w:rPr>
        <w:t>spriedum</w:t>
      </w:r>
      <w:r w:rsidR="006506FE">
        <w:rPr>
          <w:lang w:val="lv-LV"/>
        </w:rPr>
        <w:t>a</w:t>
      </w:r>
      <w:r w:rsidRPr="004D6021">
        <w:rPr>
          <w:lang w:val="lv-LV"/>
        </w:rPr>
        <w:t xml:space="preserve"> lietā “Kremcovs [</w:t>
      </w:r>
      <w:r w:rsidRPr="004D6021">
        <w:rPr>
          <w:i/>
          <w:lang w:val="lv-LV"/>
        </w:rPr>
        <w:t>Kremzow</w:t>
      </w:r>
      <w:r w:rsidRPr="004D6021">
        <w:rPr>
          <w:lang w:val="lv-LV"/>
        </w:rPr>
        <w:t>] pret Austriju”</w:t>
      </w:r>
      <w:r w:rsidR="00A64E95" w:rsidRPr="004D6021">
        <w:rPr>
          <w:lang w:val="lv-LV"/>
        </w:rPr>
        <w:t xml:space="preserve"> 59. punkt</w:t>
      </w:r>
      <w:r w:rsidR="006506FE">
        <w:rPr>
          <w:lang w:val="lv-LV"/>
        </w:rPr>
        <w:t>u</w:t>
      </w:r>
      <w:r w:rsidR="00A64E95" w:rsidRPr="004D6021">
        <w:rPr>
          <w:lang w:val="lv-LV"/>
        </w:rPr>
        <w:t>, A sērija Nr. 268–B</w:t>
      </w:r>
      <w:r w:rsidRPr="004D6021">
        <w:rPr>
          <w:lang w:val="lv-LV"/>
        </w:rPr>
        <w:t>, iepriekšminēt</w:t>
      </w:r>
      <w:r w:rsidR="001F7311">
        <w:rPr>
          <w:lang w:val="lv-LV"/>
        </w:rPr>
        <w:t>ā</w:t>
      </w:r>
      <w:r w:rsidR="006506FE">
        <w:rPr>
          <w:lang w:val="lv-LV"/>
        </w:rPr>
        <w:t xml:space="preserve"> sprieduma</w:t>
      </w:r>
      <w:r w:rsidRPr="004D6021">
        <w:rPr>
          <w:lang w:val="lv-LV"/>
        </w:rPr>
        <w:t xml:space="preserve"> Kamasinsk</w:t>
      </w:r>
      <w:r w:rsidR="006506FE">
        <w:rPr>
          <w:lang w:val="lv-LV"/>
        </w:rPr>
        <w:t>a</w:t>
      </w:r>
      <w:r w:rsidRPr="004D6021">
        <w:rPr>
          <w:lang w:val="lv-LV"/>
        </w:rPr>
        <w:t xml:space="preserve"> lietā 106. punkt</w:t>
      </w:r>
      <w:r w:rsidR="006506FE">
        <w:rPr>
          <w:lang w:val="lv-LV"/>
        </w:rPr>
        <w:t>u</w:t>
      </w:r>
      <w:r w:rsidRPr="004D6021">
        <w:rPr>
          <w:lang w:val="lv-LV"/>
        </w:rPr>
        <w:t xml:space="preserve"> </w:t>
      </w:r>
      <w:r w:rsidRPr="004D6021">
        <w:rPr>
          <w:i/>
          <w:lang w:val="lv-LV"/>
        </w:rPr>
        <w:t>in fine</w:t>
      </w:r>
      <w:r w:rsidR="00A64E95" w:rsidRPr="004D6021">
        <w:rPr>
          <w:lang w:val="lv-LV"/>
        </w:rPr>
        <w:t>,</w:t>
      </w:r>
      <w:r w:rsidRPr="004D6021">
        <w:rPr>
          <w:lang w:val="lv-LV"/>
        </w:rPr>
        <w:t xml:space="preserve"> un </w:t>
      </w:r>
      <w:r w:rsidR="00B22BD7">
        <w:rPr>
          <w:lang w:val="lv-LV"/>
        </w:rPr>
        <w:t>sprieduma</w:t>
      </w:r>
      <w:r w:rsidRPr="004D6021">
        <w:rPr>
          <w:lang w:val="lv-LV"/>
        </w:rPr>
        <w:t xml:space="preserve"> Ekbatani lietā 27.–28. punkt</w:t>
      </w:r>
      <w:r w:rsidR="00B22BD7">
        <w:rPr>
          <w:lang w:val="lv-LV"/>
        </w:rPr>
        <w:t>u</w:t>
      </w:r>
      <w:r w:rsidRPr="004D6021">
        <w:rPr>
          <w:lang w:val="lv-LV"/>
        </w:rPr>
        <w:t>).</w:t>
      </w:r>
    </w:p>
    <w:p w:rsidR="006078C9" w:rsidRPr="004D6021" w:rsidRDefault="006078C9" w:rsidP="00583503">
      <w:pPr>
        <w:pStyle w:val="JuPara"/>
        <w:ind w:firstLine="0"/>
        <w:rPr>
          <w:lang w:val="lv-LV"/>
        </w:rPr>
      </w:pPr>
    </w:p>
    <w:p w:rsidR="00534472" w:rsidRPr="004D6021" w:rsidRDefault="00534472" w:rsidP="00534472">
      <w:pPr>
        <w:pStyle w:val="JuPara"/>
        <w:ind w:firstLine="0"/>
        <w:rPr>
          <w:lang w:val="lv-LV"/>
        </w:rPr>
      </w:pPr>
      <w:r w:rsidRPr="004D6021">
        <w:rPr>
          <w:lang w:val="lv-LV"/>
        </w:rPr>
        <w:t>57. Turklāt pretstatā brīvībā esošam apsūdzētajam vai “civilprasītājam” krimināllietā aizturētam apsūdzētajam būtībā nav iespējas apmeklēt apelācijas tiesas sēdi. Ja notiesātajai personai ir jāierodas apelācijas tiesā, ir jāveic īpaši tehniskie pasākumi, tostarp drošības pasākumi (sk. iepriekšminēt</w:t>
      </w:r>
      <w:r w:rsidR="00B22BD7">
        <w:rPr>
          <w:lang w:val="lv-LV"/>
        </w:rPr>
        <w:t>ā</w:t>
      </w:r>
      <w:r w:rsidRPr="004D6021">
        <w:rPr>
          <w:lang w:val="lv-LV"/>
        </w:rPr>
        <w:t xml:space="preserve"> </w:t>
      </w:r>
      <w:r w:rsidR="00B22BD7">
        <w:rPr>
          <w:lang w:val="lv-LV"/>
        </w:rPr>
        <w:t xml:space="preserve">sprieduma </w:t>
      </w:r>
      <w:r w:rsidRPr="004D6021">
        <w:rPr>
          <w:lang w:val="lv-LV"/>
        </w:rPr>
        <w:t>Kamasinsk</w:t>
      </w:r>
      <w:r w:rsidR="00B22BD7">
        <w:rPr>
          <w:lang w:val="lv-LV"/>
        </w:rPr>
        <w:t>a</w:t>
      </w:r>
      <w:r w:rsidRPr="004D6021">
        <w:rPr>
          <w:lang w:val="lv-LV"/>
        </w:rPr>
        <w:t xml:space="preserve"> lietā 107. punkt</w:t>
      </w:r>
      <w:r w:rsidR="00B22BD7">
        <w:rPr>
          <w:lang w:val="lv-LV"/>
        </w:rPr>
        <w:t>u</w:t>
      </w:r>
      <w:r w:rsidRPr="004D6021">
        <w:rPr>
          <w:lang w:val="lv-LV"/>
        </w:rPr>
        <w:t>).</w:t>
      </w:r>
    </w:p>
    <w:p w:rsidR="006078C9" w:rsidRPr="004D6021" w:rsidRDefault="006078C9" w:rsidP="00583503">
      <w:pPr>
        <w:pStyle w:val="JuPara"/>
        <w:ind w:firstLine="0"/>
        <w:rPr>
          <w:lang w:val="lv-LV"/>
        </w:rPr>
      </w:pPr>
    </w:p>
    <w:p w:rsidR="003939F4" w:rsidRPr="004D6021" w:rsidRDefault="003939F4" w:rsidP="003939F4">
      <w:pPr>
        <w:pStyle w:val="JuPara"/>
        <w:ind w:firstLine="0"/>
        <w:rPr>
          <w:lang w:val="lv-LV"/>
        </w:rPr>
      </w:pPr>
      <w:r w:rsidRPr="004D6021">
        <w:rPr>
          <w:lang w:val="lv-LV"/>
        </w:rPr>
        <w:t xml:space="preserve">58. Tomēr, ja apelācijas tiesai ir jāskata gan lietas faktiskie apstākļi, gan juridiskie jautājumi un pilnībā jāizvērtē apsūdzētā vaina vai nevainīgums, tā šo jautājumu nevar izlemt, tiešā veidā </w:t>
      </w:r>
      <w:r w:rsidRPr="004D6021">
        <w:rPr>
          <w:lang w:val="lv-LV"/>
        </w:rPr>
        <w:lastRenderedPageBreak/>
        <w:t>nevē</w:t>
      </w:r>
      <w:r w:rsidR="00657597" w:rsidRPr="004D6021">
        <w:rPr>
          <w:lang w:val="lv-LV"/>
        </w:rPr>
        <w:t>r</w:t>
      </w:r>
      <w:r w:rsidRPr="004D6021">
        <w:rPr>
          <w:lang w:val="lv-LV"/>
        </w:rPr>
        <w:t>tējot liecības, ko personiski sniedzis apsūdzētais, lai pierādītu, ka viņš nav veicis darbību, kas, iespējams, ir noziedzīgs nodarījums (sk. </w:t>
      </w:r>
      <w:r w:rsidR="00B22BD7">
        <w:rPr>
          <w:lang w:val="lv-LV"/>
        </w:rPr>
        <w:t xml:space="preserve">2004. gada 6. jūlija </w:t>
      </w:r>
      <w:r w:rsidRPr="004D6021">
        <w:rPr>
          <w:lang w:val="lv-LV"/>
        </w:rPr>
        <w:t>spriedum</w:t>
      </w:r>
      <w:r w:rsidR="00B22BD7">
        <w:rPr>
          <w:lang w:val="lv-LV"/>
        </w:rPr>
        <w:t>a</w:t>
      </w:r>
      <w:r w:rsidRPr="004D6021">
        <w:rPr>
          <w:lang w:val="lv-LV"/>
        </w:rPr>
        <w:t xml:space="preserve"> lietā “Dondarīni [</w:t>
      </w:r>
      <w:r w:rsidRPr="004D6021">
        <w:rPr>
          <w:i/>
          <w:lang w:val="lv-LV"/>
        </w:rPr>
        <w:t>Dondarini</w:t>
      </w:r>
      <w:r w:rsidRPr="004D6021">
        <w:rPr>
          <w:lang w:val="lv-LV"/>
        </w:rPr>
        <w:t>] pret Sanmarino”, Nr. 50545/99 27. punkt</w:t>
      </w:r>
      <w:r w:rsidR="00B22BD7">
        <w:rPr>
          <w:lang w:val="lv-LV"/>
        </w:rPr>
        <w:t>u</w:t>
      </w:r>
      <w:r w:rsidRPr="004D6021">
        <w:rPr>
          <w:lang w:val="lv-LV"/>
        </w:rPr>
        <w:t>).</w:t>
      </w:r>
    </w:p>
    <w:p w:rsidR="006078C9" w:rsidRPr="004D6021" w:rsidRDefault="006078C9" w:rsidP="00583503">
      <w:pPr>
        <w:pStyle w:val="JuPara"/>
        <w:ind w:firstLine="0"/>
        <w:rPr>
          <w:lang w:val="lv-LV"/>
        </w:rPr>
      </w:pPr>
    </w:p>
    <w:p w:rsidR="00525F37" w:rsidRPr="004D6021" w:rsidRDefault="00525F37" w:rsidP="00525F37">
      <w:pPr>
        <w:pStyle w:val="JuPara"/>
        <w:ind w:firstLine="0"/>
        <w:rPr>
          <w:lang w:val="lv-LV"/>
        </w:rPr>
      </w:pPr>
      <w:r w:rsidRPr="004D6021">
        <w:rPr>
          <w:lang w:val="lv-LV"/>
        </w:rPr>
        <w:t xml:space="preserve">59. Lai gan ikvienas </w:t>
      </w:r>
      <w:r w:rsidR="00657597" w:rsidRPr="004D6021">
        <w:rPr>
          <w:lang w:val="lv-LV"/>
        </w:rPr>
        <w:t>noziedzīgā nodarījumā</w:t>
      </w:r>
      <w:r w:rsidRPr="004D6021">
        <w:rPr>
          <w:lang w:val="lv-LV"/>
        </w:rPr>
        <w:t xml:space="preserve"> apsūdzētas personas tiesības uz to, lai </w:t>
      </w:r>
      <w:r w:rsidR="00657597" w:rsidRPr="004D6021">
        <w:rPr>
          <w:lang w:val="lv-LV"/>
        </w:rPr>
        <w:t>viņu</w:t>
      </w:r>
      <w:r w:rsidRPr="004D6021">
        <w:rPr>
          <w:lang w:val="lv-LV"/>
        </w:rPr>
        <w:t xml:space="preserve"> efektīvi aizstāvētu advokāts, ko vajadzības gadījumā ieceļ oficiāli, nav absolūtas, tās ir viens no taisnīgas tiesas pamatelementiem (sk. iepriekšminēt</w:t>
      </w:r>
      <w:r w:rsidR="00B22BD7">
        <w:rPr>
          <w:lang w:val="lv-LV"/>
        </w:rPr>
        <w:t>ā sprieduma</w:t>
      </w:r>
      <w:r w:rsidRPr="004D6021">
        <w:rPr>
          <w:lang w:val="lv-LV"/>
        </w:rPr>
        <w:t xml:space="preserve"> Puatrimo lietā 34. punkt</w:t>
      </w:r>
      <w:r w:rsidR="00B22BD7">
        <w:rPr>
          <w:lang w:val="lv-LV"/>
        </w:rPr>
        <w:t>u</w:t>
      </w:r>
      <w:r w:rsidRPr="004D6021">
        <w:rPr>
          <w:lang w:val="lv-LV"/>
        </w:rPr>
        <w:t>). Persona, kas apsūdzēta kriminālnoziegumā, nezaudē šīs tiesības tikai tāpēc, ka nav klāt lietas iztiesāšanā (sk. </w:t>
      </w:r>
      <w:r w:rsidR="00B22BD7">
        <w:rPr>
          <w:lang w:val="lv-LV"/>
        </w:rPr>
        <w:t xml:space="preserve">2005. gada 31. marta </w:t>
      </w:r>
      <w:r w:rsidRPr="004D6021">
        <w:rPr>
          <w:lang w:val="lv-LV"/>
        </w:rPr>
        <w:t>spriedum</w:t>
      </w:r>
      <w:r w:rsidR="00B22BD7">
        <w:rPr>
          <w:lang w:val="lv-LV"/>
        </w:rPr>
        <w:t>a</w:t>
      </w:r>
      <w:r w:rsidRPr="004D6021">
        <w:rPr>
          <w:lang w:val="lv-LV"/>
        </w:rPr>
        <w:t xml:space="preserve"> lietā “Mariani [</w:t>
      </w:r>
      <w:r w:rsidRPr="004D6021">
        <w:rPr>
          <w:i/>
          <w:lang w:val="lv-LV"/>
        </w:rPr>
        <w:t>Mariani</w:t>
      </w:r>
      <w:r w:rsidRPr="004D6021">
        <w:rPr>
          <w:lang w:val="lv-LV"/>
        </w:rPr>
        <w:t>] pret Franciju”</w:t>
      </w:r>
      <w:r w:rsidR="00657597" w:rsidRPr="004D6021">
        <w:rPr>
          <w:lang w:val="lv-LV"/>
        </w:rPr>
        <w:t>,</w:t>
      </w:r>
      <w:r w:rsidRPr="004D6021">
        <w:rPr>
          <w:lang w:val="lv-LV"/>
        </w:rPr>
        <w:t xml:space="preserve"> Nr. 43640/98, 4</w:t>
      </w:r>
      <w:r w:rsidR="00657597" w:rsidRPr="004D6021">
        <w:rPr>
          <w:lang w:val="lv-LV"/>
        </w:rPr>
        <w:t>0. punkt</w:t>
      </w:r>
      <w:r w:rsidR="00B22BD7">
        <w:rPr>
          <w:lang w:val="lv-LV"/>
        </w:rPr>
        <w:t>u</w:t>
      </w:r>
      <w:r w:rsidRPr="004D6021">
        <w:rPr>
          <w:lang w:val="lv-LV"/>
        </w:rPr>
        <w:t>). Lai nodrošinātu krimināltiesiskās sistēmas taisnīgumu, ir būtiski, lai apsūdzētie tiktu pienācīgi aizstāvēti gan pirmajā instancē, gan apelācijas instancē (sk.</w:t>
      </w:r>
      <w:r w:rsidR="00657597" w:rsidRPr="004D6021">
        <w:rPr>
          <w:lang w:val="lv-LV"/>
        </w:rPr>
        <w:t> </w:t>
      </w:r>
      <w:r w:rsidRPr="004D6021">
        <w:rPr>
          <w:lang w:val="lv-LV"/>
        </w:rPr>
        <w:t>iepriekšminēt</w:t>
      </w:r>
      <w:r w:rsidR="00B22BD7">
        <w:rPr>
          <w:lang w:val="lv-LV"/>
        </w:rPr>
        <w:t>ā sprieduma</w:t>
      </w:r>
      <w:r w:rsidRPr="004D6021">
        <w:rPr>
          <w:lang w:val="lv-LV"/>
        </w:rPr>
        <w:t xml:space="preserve"> Lala lietā 33. punktu un </w:t>
      </w:r>
      <w:r w:rsidR="00B22BD7">
        <w:rPr>
          <w:lang w:val="lv-LV"/>
        </w:rPr>
        <w:t xml:space="preserve">1994. gada 22. septembra </w:t>
      </w:r>
      <w:r w:rsidRPr="004D6021">
        <w:rPr>
          <w:lang w:val="lv-LV"/>
        </w:rPr>
        <w:t>spriedum</w:t>
      </w:r>
      <w:r w:rsidR="00B22BD7">
        <w:rPr>
          <w:lang w:val="lv-LV"/>
        </w:rPr>
        <w:t>a</w:t>
      </w:r>
      <w:r w:rsidRPr="004D6021">
        <w:rPr>
          <w:lang w:val="lv-LV"/>
        </w:rPr>
        <w:t xml:space="preserve"> lietā “Pel</w:t>
      </w:r>
      <w:r w:rsidR="001F7311">
        <w:rPr>
          <w:lang w:val="lv-LV"/>
        </w:rPr>
        <w:t>l</w:t>
      </w:r>
      <w:r w:rsidRPr="004D6021">
        <w:rPr>
          <w:lang w:val="lv-LV"/>
        </w:rPr>
        <w:t>adoa [</w:t>
      </w:r>
      <w:r w:rsidRPr="004D6021">
        <w:rPr>
          <w:i/>
          <w:lang w:val="lv-LV"/>
        </w:rPr>
        <w:t>Pelladoah</w:t>
      </w:r>
      <w:r w:rsidRPr="004D6021">
        <w:rPr>
          <w:lang w:val="lv-LV"/>
        </w:rPr>
        <w:t>] pret Nīderlandi” 40. punkt</w:t>
      </w:r>
      <w:r w:rsidR="00B22BD7">
        <w:rPr>
          <w:lang w:val="lv-LV"/>
        </w:rPr>
        <w:t>u</w:t>
      </w:r>
      <w:r w:rsidRPr="004D6021">
        <w:rPr>
          <w:lang w:val="lv-LV"/>
        </w:rPr>
        <w:t>, A sērija Nr. 297-B).</w:t>
      </w:r>
    </w:p>
    <w:p w:rsidR="006078C9" w:rsidRPr="004D6021" w:rsidRDefault="006078C9" w:rsidP="00583503">
      <w:pPr>
        <w:pStyle w:val="JuPara"/>
        <w:ind w:firstLine="0"/>
        <w:rPr>
          <w:lang w:val="lv-LV"/>
        </w:rPr>
      </w:pPr>
    </w:p>
    <w:p w:rsidR="006046B5" w:rsidRPr="004D6021" w:rsidRDefault="006046B5" w:rsidP="006046B5">
      <w:pPr>
        <w:pStyle w:val="JuPara"/>
        <w:ind w:firstLine="0"/>
        <w:rPr>
          <w:lang w:val="lv-LV"/>
        </w:rPr>
      </w:pPr>
      <w:r w:rsidRPr="004D6021">
        <w:rPr>
          <w:lang w:val="lv-LV"/>
        </w:rPr>
        <w:t xml:space="preserve">60. Lai gan 6. panta 3. punkta c) apakšpunkts ikvienam, kas apsūdzēts </w:t>
      </w:r>
      <w:r w:rsidR="00657597" w:rsidRPr="004D6021">
        <w:rPr>
          <w:lang w:val="lv-LV"/>
        </w:rPr>
        <w:t>noziedzīgā nodarījumā</w:t>
      </w:r>
      <w:r w:rsidRPr="004D6021">
        <w:rPr>
          <w:lang w:val="lv-LV"/>
        </w:rPr>
        <w:t xml:space="preserve">, </w:t>
      </w:r>
      <w:r w:rsidR="00657597" w:rsidRPr="004D6021">
        <w:rPr>
          <w:lang w:val="lv-LV"/>
        </w:rPr>
        <w:t xml:space="preserve">paredz </w:t>
      </w:r>
      <w:r w:rsidRPr="004D6021">
        <w:rPr>
          <w:lang w:val="lv-LV"/>
        </w:rPr>
        <w:t>tiesības “aizstāvēt sevi pašam vai ar paša izvēlētu juridisku palīdzību [..]”, tajā nav norādīts šo tiesību īstenošanas veids. Tādējādi Līgumslēdzējas valstis var pašas izvēlēties līdzekļus šo tiesību garantēšanai savās tiesiskajās sistēmās, un Tiesas uzdevums ir tikai pārliecināties, vai izvēlētā metode ir saderīga ar prasību nodrošināt taisnīgu tiesu (sk. </w:t>
      </w:r>
      <w:r w:rsidR="00B22BD7">
        <w:rPr>
          <w:lang w:val="lv-LV"/>
        </w:rPr>
        <w:t xml:space="preserve">1991. gada 24. maija </w:t>
      </w:r>
      <w:r w:rsidRPr="004D6021">
        <w:rPr>
          <w:lang w:val="lv-LV"/>
        </w:rPr>
        <w:t>spriedum</w:t>
      </w:r>
      <w:r w:rsidR="00B22BD7">
        <w:rPr>
          <w:lang w:val="lv-LV"/>
        </w:rPr>
        <w:t>a</w:t>
      </w:r>
      <w:r w:rsidRPr="004D6021">
        <w:rPr>
          <w:lang w:val="lv-LV"/>
        </w:rPr>
        <w:t xml:space="preserve"> liet</w:t>
      </w:r>
      <w:r w:rsidR="00657597" w:rsidRPr="004D6021">
        <w:rPr>
          <w:lang w:val="lv-LV"/>
        </w:rPr>
        <w:t>ā</w:t>
      </w:r>
      <w:r w:rsidRPr="004D6021">
        <w:rPr>
          <w:lang w:val="lv-LV"/>
        </w:rPr>
        <w:t xml:space="preserve"> </w:t>
      </w:r>
      <w:r w:rsidR="00657597" w:rsidRPr="004D6021">
        <w:rPr>
          <w:lang w:val="lv-LV"/>
        </w:rPr>
        <w:t>“</w:t>
      </w:r>
      <w:r w:rsidRPr="004D6021">
        <w:rPr>
          <w:lang w:val="lv-LV"/>
        </w:rPr>
        <w:t>Kvaranta [</w:t>
      </w:r>
      <w:r w:rsidRPr="004D6021">
        <w:rPr>
          <w:i/>
          <w:lang w:val="lv-LV"/>
        </w:rPr>
        <w:t>Quaranta</w:t>
      </w:r>
      <w:r w:rsidRPr="004D6021">
        <w:rPr>
          <w:lang w:val="lv-LV"/>
        </w:rPr>
        <w:t>] pret Šveici” 3. punkt</w:t>
      </w:r>
      <w:r w:rsidR="00B22BD7">
        <w:rPr>
          <w:lang w:val="lv-LV"/>
        </w:rPr>
        <w:t>u</w:t>
      </w:r>
      <w:r w:rsidRPr="004D6021">
        <w:rPr>
          <w:lang w:val="lv-LV"/>
        </w:rPr>
        <w:t>, A sērija Nr.</w:t>
      </w:r>
      <w:r w:rsidR="00657597" w:rsidRPr="004D6021">
        <w:rPr>
          <w:lang w:val="lv-LV"/>
        </w:rPr>
        <w:t> </w:t>
      </w:r>
      <w:r w:rsidRPr="004D6021">
        <w:rPr>
          <w:lang w:val="lv-LV"/>
        </w:rPr>
        <w:t>205). Šajā ziņā ir jāatceras, ka Konvencijas nolūks ir “garantēt nevis teorētiskas vai iluzoras, bet gan praktiskas un efektīvas tiesības” un ja advokāta iecelšana vien nenodrošina, ka palīdzība, ko viņš var sniegt apsūdzētajam, būs efektīva (sk. </w:t>
      </w:r>
      <w:r w:rsidR="00B22BD7">
        <w:rPr>
          <w:lang w:val="lv-LV"/>
        </w:rPr>
        <w:t xml:space="preserve">1993. gada 24. novembra </w:t>
      </w:r>
      <w:r w:rsidRPr="004D6021">
        <w:rPr>
          <w:lang w:val="lv-LV"/>
        </w:rPr>
        <w:t>spriedumu lietās “Imbriošija [</w:t>
      </w:r>
      <w:r w:rsidRPr="004D6021">
        <w:rPr>
          <w:i/>
          <w:lang w:val="lv-LV"/>
        </w:rPr>
        <w:t>Imbrioscia</w:t>
      </w:r>
      <w:r w:rsidRPr="004D6021">
        <w:rPr>
          <w:lang w:val="lv-LV"/>
        </w:rPr>
        <w:t>] pret Šveici” 38. punk</w:t>
      </w:r>
      <w:r w:rsidR="00F55F65" w:rsidRPr="004D6021">
        <w:rPr>
          <w:lang w:val="lv-LV"/>
        </w:rPr>
        <w:t>t</w:t>
      </w:r>
      <w:r w:rsidR="00B22BD7">
        <w:rPr>
          <w:lang w:val="lv-LV"/>
        </w:rPr>
        <w:t>u</w:t>
      </w:r>
      <w:r w:rsidR="00F55F65" w:rsidRPr="004D6021">
        <w:rPr>
          <w:lang w:val="lv-LV"/>
        </w:rPr>
        <w:t>, A sērija Nr. 275,</w:t>
      </w:r>
      <w:r w:rsidRPr="004D6021">
        <w:rPr>
          <w:lang w:val="lv-LV"/>
        </w:rPr>
        <w:t xml:space="preserve"> un </w:t>
      </w:r>
      <w:r w:rsidR="00B22BD7">
        <w:rPr>
          <w:lang w:val="lv-LV"/>
        </w:rPr>
        <w:t>1980. gada 13. </w:t>
      </w:r>
      <w:r w:rsidR="00380097">
        <w:rPr>
          <w:lang w:val="lv-LV"/>
        </w:rPr>
        <w:t>m</w:t>
      </w:r>
      <w:r w:rsidR="00B22BD7">
        <w:rPr>
          <w:lang w:val="lv-LV"/>
        </w:rPr>
        <w:t xml:space="preserve">aija sprieduma lietā </w:t>
      </w:r>
      <w:r w:rsidRPr="004D6021">
        <w:rPr>
          <w:lang w:val="lv-LV"/>
        </w:rPr>
        <w:t>“Artiko [</w:t>
      </w:r>
      <w:r w:rsidRPr="004D6021">
        <w:rPr>
          <w:i/>
          <w:lang w:val="lv-LV"/>
        </w:rPr>
        <w:t>Artico</w:t>
      </w:r>
      <w:r w:rsidRPr="004D6021">
        <w:rPr>
          <w:lang w:val="lv-LV"/>
        </w:rPr>
        <w:t>] pret Itāliju”</w:t>
      </w:r>
      <w:r w:rsidR="00F55F65" w:rsidRPr="004D6021">
        <w:rPr>
          <w:lang w:val="lv-LV"/>
        </w:rPr>
        <w:t xml:space="preserve"> 33. punkt</w:t>
      </w:r>
      <w:r w:rsidR="00B22BD7">
        <w:rPr>
          <w:lang w:val="lv-LV"/>
        </w:rPr>
        <w:t>u</w:t>
      </w:r>
      <w:r w:rsidR="00F55F65" w:rsidRPr="004D6021">
        <w:rPr>
          <w:lang w:val="lv-LV"/>
        </w:rPr>
        <w:t>, A sērija Nr.37)</w:t>
      </w:r>
      <w:r w:rsidRPr="004D6021">
        <w:rPr>
          <w:lang w:val="lv-LV"/>
        </w:rPr>
        <w:t>.</w:t>
      </w:r>
    </w:p>
    <w:p w:rsidR="006078C9" w:rsidRPr="004D6021" w:rsidRDefault="006078C9" w:rsidP="00583503">
      <w:pPr>
        <w:pStyle w:val="JuPara"/>
        <w:ind w:firstLine="0"/>
        <w:rPr>
          <w:lang w:val="lv-LV"/>
        </w:rPr>
      </w:pPr>
    </w:p>
    <w:p w:rsidR="00810B56" w:rsidRPr="004D6021" w:rsidRDefault="00810B56" w:rsidP="00810B56">
      <w:pPr>
        <w:pStyle w:val="JuPara"/>
        <w:ind w:firstLine="0"/>
        <w:rPr>
          <w:rStyle w:val="JuParaChar2"/>
          <w:lang w:val="lv-LV"/>
        </w:rPr>
      </w:pPr>
      <w:r w:rsidRPr="004D6021">
        <w:rPr>
          <w:lang w:val="lv-LV"/>
        </w:rPr>
        <w:t>61. Apsūdzētā tiesības sazināties ar savu advokātu, to nedzirdot trešajām personām, ir viena no pamata prasībām taisnīgas tiesas nodrošināšanai demokrātiskā sabiedrībā un izriet no Konvencijas 6. panta 3. punkta c) apakšpunkta.</w:t>
      </w:r>
      <w:r w:rsidRPr="004D6021">
        <w:rPr>
          <w:rStyle w:val="JuParaChar2"/>
          <w:lang w:val="lv-LV"/>
        </w:rPr>
        <w:t xml:space="preserve"> </w:t>
      </w:r>
      <w:r w:rsidRPr="004D6021">
        <w:rPr>
          <w:lang w:val="lv-LV"/>
        </w:rPr>
        <w:t>Ja advokāts nav varējis neuzraudzīti apspriesties ar savu klientu un saņemt no viņa konfidenciālus norādījumus, viņa palīdzība var būt daudz mazāk lietderīga (sk. </w:t>
      </w:r>
      <w:r w:rsidR="00B22BD7">
        <w:rPr>
          <w:lang w:val="lv-LV"/>
        </w:rPr>
        <w:t xml:space="preserve">1991. gada 28. novembra </w:t>
      </w:r>
      <w:r w:rsidRPr="004D6021">
        <w:rPr>
          <w:lang w:val="lv-LV"/>
        </w:rPr>
        <w:t>spriedum</w:t>
      </w:r>
      <w:r w:rsidR="00B22BD7">
        <w:rPr>
          <w:lang w:val="lv-LV"/>
        </w:rPr>
        <w:t>a</w:t>
      </w:r>
      <w:r w:rsidRPr="004D6021">
        <w:rPr>
          <w:lang w:val="lv-LV"/>
        </w:rPr>
        <w:t xml:space="preserve"> lietā “S. pret Šveici” 48. punkt</w:t>
      </w:r>
      <w:r w:rsidR="00B22BD7">
        <w:rPr>
          <w:lang w:val="lv-LV"/>
        </w:rPr>
        <w:t>u</w:t>
      </w:r>
      <w:r w:rsidRPr="004D6021">
        <w:rPr>
          <w:lang w:val="lv-LV"/>
        </w:rPr>
        <w:t>, A sērija Nr. 220).</w:t>
      </w:r>
      <w:r w:rsidRPr="004D6021">
        <w:rPr>
          <w:rStyle w:val="JuParaChar2"/>
          <w:lang w:val="lv-LV"/>
        </w:rPr>
        <w:t xml:space="preserve"> </w:t>
      </w:r>
      <w:r w:rsidRPr="004D6021">
        <w:rPr>
          <w:lang w:val="lv-LV"/>
        </w:rPr>
        <w:t>Tas, ka aizstāvības tiesību garantēšanai ir svarīgi nodrošināt apsūdzētā un viņa advokāta tikšanos konfidencialitāti, ir apstiprināts vairākos starptautiskos instrumentos, tostarp Eiropas instrumentos (sk. </w:t>
      </w:r>
      <w:r w:rsidR="00B22BD7" w:rsidRPr="004D6021">
        <w:rPr>
          <w:lang w:val="lv-LV"/>
        </w:rPr>
        <w:t>spriedum</w:t>
      </w:r>
      <w:r w:rsidR="00B22BD7">
        <w:rPr>
          <w:lang w:val="lv-LV"/>
        </w:rPr>
        <w:t>a</w:t>
      </w:r>
      <w:r w:rsidR="00B22BD7" w:rsidRPr="004D6021">
        <w:rPr>
          <w:lang w:val="lv-LV"/>
        </w:rPr>
        <w:t xml:space="preserve"> </w:t>
      </w:r>
      <w:r w:rsidRPr="004D6021">
        <w:rPr>
          <w:lang w:val="lv-LV"/>
        </w:rPr>
        <w:t>lietā “Brenens [</w:t>
      </w:r>
      <w:r w:rsidRPr="004D6021">
        <w:rPr>
          <w:rStyle w:val="JuParaChar2"/>
          <w:i/>
          <w:lang w:val="lv-LV"/>
        </w:rPr>
        <w:t>Brennan</w:t>
      </w:r>
      <w:r w:rsidRPr="004D6021">
        <w:rPr>
          <w:lang w:val="lv-LV"/>
        </w:rPr>
        <w:t>] pret Apvienoto Karalisti”</w:t>
      </w:r>
      <w:r w:rsidR="00F55F65" w:rsidRPr="004D6021">
        <w:rPr>
          <w:lang w:val="lv-LV"/>
        </w:rPr>
        <w:t>,</w:t>
      </w:r>
      <w:r w:rsidRPr="004D6021">
        <w:rPr>
          <w:lang w:val="lv-LV"/>
        </w:rPr>
        <w:t xml:space="preserve"> Nr. </w:t>
      </w:r>
      <w:r w:rsidRPr="004D6021">
        <w:rPr>
          <w:rStyle w:val="JuParaChar2"/>
          <w:lang w:val="lv-LV"/>
        </w:rPr>
        <w:t>39846/98, 38.–40. </w:t>
      </w:r>
      <w:r w:rsidR="00B22BD7" w:rsidRPr="004D6021">
        <w:rPr>
          <w:rStyle w:val="JuParaChar2"/>
          <w:lang w:val="lv-LV"/>
        </w:rPr>
        <w:t>punkt</w:t>
      </w:r>
      <w:r w:rsidR="00B22BD7">
        <w:rPr>
          <w:rStyle w:val="JuParaChar2"/>
          <w:lang w:val="lv-LV"/>
        </w:rPr>
        <w:t>u</w:t>
      </w:r>
      <w:r w:rsidRPr="004D6021">
        <w:rPr>
          <w:rStyle w:val="JuParaChar2"/>
          <w:lang w:val="lv-LV"/>
        </w:rPr>
        <w:t xml:space="preserve">, </w:t>
      </w:r>
      <w:r w:rsidRPr="004D6021">
        <w:rPr>
          <w:rStyle w:val="JuParaChar2"/>
          <w:i/>
          <w:lang w:val="lv-LV"/>
        </w:rPr>
        <w:t>ECHR</w:t>
      </w:r>
      <w:r w:rsidR="00F55F65" w:rsidRPr="004D6021">
        <w:rPr>
          <w:rStyle w:val="JuParaChar2"/>
          <w:lang w:val="lv-LV"/>
        </w:rPr>
        <w:t> 2001-X</w:t>
      </w:r>
      <w:r w:rsidR="00AC72A5" w:rsidRPr="004D6021">
        <w:rPr>
          <w:rStyle w:val="JuParaChar2"/>
          <w:lang w:val="lv-LV"/>
        </w:rPr>
        <w:t>)</w:t>
      </w:r>
      <w:r w:rsidRPr="004D6021">
        <w:rPr>
          <w:rStyle w:val="JuParaChar2"/>
          <w:lang w:val="lv-LV"/>
        </w:rPr>
        <w:t xml:space="preserve">. </w:t>
      </w:r>
      <w:r w:rsidRPr="004D6021">
        <w:rPr>
          <w:lang w:val="lv-LV"/>
        </w:rPr>
        <w:t>Tomēr, ja tam ir pamatots iemesls, var tikt ierobežotas apsūdzētā tiesības tikties ar savu advokātu. Katrā gadījumā ir jāizvērtē, vai noteiktie ierobežojumi apsūdzētajam liedz īstenot tiesības uz taisnīgu tiesu, paturot prātā visu tiesvedības procesu (sk. </w:t>
      </w:r>
      <w:r w:rsidR="00B22BD7" w:rsidRPr="004D6021">
        <w:rPr>
          <w:lang w:val="lv-LV"/>
        </w:rPr>
        <w:t>spriedum</w:t>
      </w:r>
      <w:r w:rsidR="00B22BD7">
        <w:rPr>
          <w:lang w:val="lv-LV"/>
        </w:rPr>
        <w:t>a</w:t>
      </w:r>
      <w:r w:rsidR="00B22BD7" w:rsidRPr="004D6021">
        <w:rPr>
          <w:lang w:val="lv-LV"/>
        </w:rPr>
        <w:t xml:space="preserve"> </w:t>
      </w:r>
      <w:r w:rsidRPr="004D6021">
        <w:rPr>
          <w:lang w:val="lv-LV"/>
        </w:rPr>
        <w:t xml:space="preserve">lietā </w:t>
      </w:r>
      <w:r w:rsidR="00A6309D" w:rsidRPr="004D6021">
        <w:rPr>
          <w:lang w:val="lv-LV"/>
        </w:rPr>
        <w:t>“</w:t>
      </w:r>
      <w:r w:rsidR="00283531" w:rsidRPr="004D6021">
        <w:rPr>
          <w:lang w:val="lv-LV"/>
        </w:rPr>
        <w:t>O</w:t>
      </w:r>
      <w:r w:rsidR="00283531">
        <w:rPr>
          <w:lang w:val="lv-LV"/>
        </w:rPr>
        <w:t>dž</w:t>
      </w:r>
      <w:r w:rsidR="00283531" w:rsidRPr="004D6021">
        <w:rPr>
          <w:lang w:val="lv-LV"/>
        </w:rPr>
        <w:t xml:space="preserve">alans </w:t>
      </w:r>
      <w:r w:rsidRPr="004D6021">
        <w:rPr>
          <w:lang w:val="lv-LV"/>
        </w:rPr>
        <w:t>[</w:t>
      </w:r>
      <w:r w:rsidRPr="004D6021">
        <w:rPr>
          <w:i/>
          <w:lang w:val="lv-LV"/>
        </w:rPr>
        <w:t>Öcalan</w:t>
      </w:r>
      <w:r w:rsidRPr="004D6021">
        <w:rPr>
          <w:lang w:val="lv-LV"/>
        </w:rPr>
        <w:t>] pret Turciju” [LP]</w:t>
      </w:r>
      <w:r w:rsidR="00AC72A5" w:rsidRPr="004D6021">
        <w:rPr>
          <w:lang w:val="lv-LV"/>
        </w:rPr>
        <w:t xml:space="preserve">, </w:t>
      </w:r>
      <w:r w:rsidRPr="004D6021">
        <w:rPr>
          <w:lang w:val="lv-LV"/>
        </w:rPr>
        <w:t>Nr. 46221/99, 133. </w:t>
      </w:r>
      <w:r w:rsidR="00B22BD7" w:rsidRPr="004D6021">
        <w:rPr>
          <w:lang w:val="lv-LV"/>
        </w:rPr>
        <w:t>punkt</w:t>
      </w:r>
      <w:r w:rsidR="00B22BD7">
        <w:rPr>
          <w:lang w:val="lv-LV"/>
        </w:rPr>
        <w:t>u</w:t>
      </w:r>
      <w:r w:rsidRPr="004D6021">
        <w:rPr>
          <w:lang w:val="lv-LV"/>
        </w:rPr>
        <w:t xml:space="preserve">, </w:t>
      </w:r>
      <w:r w:rsidRPr="004D6021">
        <w:rPr>
          <w:i/>
          <w:lang w:val="lv-LV"/>
        </w:rPr>
        <w:t>ECHR</w:t>
      </w:r>
      <w:r w:rsidR="00AC72A5" w:rsidRPr="004D6021">
        <w:rPr>
          <w:lang w:val="lv-LV"/>
        </w:rPr>
        <w:t> 2005</w:t>
      </w:r>
      <w:r w:rsidR="00AC72A5" w:rsidRPr="004D6021">
        <w:rPr>
          <w:lang w:val="lv-LV"/>
        </w:rPr>
        <w:noBreakHyphen/>
        <w:t>IV</w:t>
      </w:r>
      <w:r w:rsidRPr="004D6021">
        <w:rPr>
          <w:lang w:val="lv-LV"/>
        </w:rPr>
        <w:t>).</w:t>
      </w:r>
    </w:p>
    <w:p w:rsidR="006078C9" w:rsidRPr="004D6021" w:rsidRDefault="006078C9" w:rsidP="00583503">
      <w:pPr>
        <w:pStyle w:val="JuPara"/>
        <w:ind w:firstLine="0"/>
        <w:rPr>
          <w:rStyle w:val="JuParaChar2"/>
          <w:lang w:val="lv-LV"/>
        </w:rPr>
      </w:pPr>
    </w:p>
    <w:p w:rsidR="00905E68" w:rsidRPr="004D6021" w:rsidRDefault="00905E68" w:rsidP="00905E68">
      <w:pPr>
        <w:pStyle w:val="JuPara"/>
        <w:ind w:firstLine="0"/>
        <w:rPr>
          <w:lang w:val="lv-LV"/>
        </w:rPr>
      </w:pPr>
      <w:r w:rsidRPr="004D6021">
        <w:rPr>
          <w:lang w:val="lv-LV"/>
        </w:rPr>
        <w:t>62. Visbeidzot ir jānorāda, ka, ņemot vērā, cik nozīmīgas demokrātiskā sabiedrībā ir tiesības uz taisnīgu tiesu, tiesības uz aizstāvību</w:t>
      </w:r>
      <w:r w:rsidR="00AC72A5" w:rsidRPr="004D6021">
        <w:rPr>
          <w:lang w:val="lv-LV"/>
        </w:rPr>
        <w:t xml:space="preserve"> jāierobežo tikai tad, ja tas ir ļoti nepieciešams</w:t>
      </w:r>
      <w:r w:rsidRPr="004D6021">
        <w:rPr>
          <w:lang w:val="lv-LV"/>
        </w:rPr>
        <w:t>. Ja ir pietiekami piemērot mazāk ierobežojošu līdzekli, tad ir jāizvēlas šāds līdzeklis (sk. </w:t>
      </w:r>
      <w:r w:rsidR="00B22BD7" w:rsidRPr="004D6021">
        <w:rPr>
          <w:lang w:val="lv-LV"/>
        </w:rPr>
        <w:t>iepriekšminēt</w:t>
      </w:r>
      <w:r w:rsidR="00B22BD7">
        <w:rPr>
          <w:lang w:val="lv-LV"/>
        </w:rPr>
        <w:t>ā</w:t>
      </w:r>
      <w:r w:rsidR="00B22BD7" w:rsidRPr="004D6021">
        <w:rPr>
          <w:lang w:val="lv-LV"/>
        </w:rPr>
        <w:t xml:space="preserve"> </w:t>
      </w:r>
      <w:r w:rsidRPr="004D6021">
        <w:rPr>
          <w:lang w:val="lv-LV"/>
        </w:rPr>
        <w:t>spriedum</w:t>
      </w:r>
      <w:r w:rsidR="00B22BD7">
        <w:rPr>
          <w:lang w:val="lv-LV"/>
        </w:rPr>
        <w:t>a</w:t>
      </w:r>
      <w:r w:rsidRPr="004D6021">
        <w:rPr>
          <w:lang w:val="lv-LV"/>
        </w:rPr>
        <w:t xml:space="preserve"> Van</w:t>
      </w:r>
      <w:r w:rsidR="00B22BD7">
        <w:rPr>
          <w:lang w:val="lv-LV"/>
        </w:rPr>
        <w:t> M</w:t>
      </w:r>
      <w:r w:rsidR="00B1387E">
        <w:rPr>
          <w:lang w:val="lv-LV"/>
        </w:rPr>
        <w:t>ē</w:t>
      </w:r>
      <w:r w:rsidR="002B105B">
        <w:rPr>
          <w:lang w:val="lv-LV"/>
        </w:rPr>
        <w:t>h</w:t>
      </w:r>
      <w:r w:rsidR="00AC72A5" w:rsidRPr="004D6021">
        <w:rPr>
          <w:lang w:val="lv-LV"/>
        </w:rPr>
        <w:t>elena lietā 58. punkt</w:t>
      </w:r>
      <w:r w:rsidR="00B22BD7">
        <w:rPr>
          <w:lang w:val="lv-LV"/>
        </w:rPr>
        <w:t>u</w:t>
      </w:r>
      <w:r w:rsidRPr="004D6021">
        <w:rPr>
          <w:lang w:val="lv-LV"/>
        </w:rPr>
        <w:t>).</w:t>
      </w:r>
    </w:p>
    <w:p w:rsidR="006078C9" w:rsidRPr="004D6021" w:rsidRDefault="006078C9" w:rsidP="00583503">
      <w:pPr>
        <w:pStyle w:val="JuPara"/>
        <w:ind w:firstLine="0"/>
        <w:rPr>
          <w:lang w:val="lv-LV"/>
        </w:rPr>
      </w:pPr>
    </w:p>
    <w:p w:rsidR="00905E68" w:rsidRPr="004D6021" w:rsidRDefault="00905E68" w:rsidP="00905E68">
      <w:pPr>
        <w:pStyle w:val="JuHa0"/>
        <w:tabs>
          <w:tab w:val="clear" w:pos="975"/>
        </w:tabs>
        <w:spacing w:before="0" w:after="0"/>
        <w:ind w:left="0" w:firstLine="0"/>
        <w:rPr>
          <w:bCs w:val="0"/>
          <w:szCs w:val="24"/>
          <w:lang w:val="lv-LV"/>
        </w:rPr>
      </w:pPr>
      <w:r w:rsidRPr="004D6021">
        <w:rPr>
          <w:bCs w:val="0"/>
          <w:szCs w:val="24"/>
          <w:lang w:val="lv-LV"/>
        </w:rPr>
        <w:t>b) Iepriekšminēto principu piemērošana izskatāmajai lietai</w:t>
      </w:r>
    </w:p>
    <w:p w:rsidR="006078C9" w:rsidRPr="004D6021" w:rsidRDefault="006078C9" w:rsidP="00583503">
      <w:pPr>
        <w:pStyle w:val="JuHa0"/>
        <w:tabs>
          <w:tab w:val="clear" w:pos="975"/>
        </w:tabs>
        <w:spacing w:before="0" w:after="0"/>
        <w:ind w:left="0" w:firstLine="0"/>
        <w:rPr>
          <w:lang w:val="lv-LV"/>
        </w:rPr>
      </w:pPr>
    </w:p>
    <w:p w:rsidR="0075247B" w:rsidRPr="004D6021" w:rsidRDefault="0075247B" w:rsidP="0075247B">
      <w:pPr>
        <w:pStyle w:val="JuPara"/>
        <w:ind w:firstLine="0"/>
        <w:rPr>
          <w:lang w:val="lv-LV"/>
        </w:rPr>
      </w:pPr>
      <w:r w:rsidRPr="004D6021">
        <w:rPr>
          <w:lang w:val="lv-LV"/>
        </w:rPr>
        <w:t xml:space="preserve">63. Tiesa vispirms norāda, ka Redžo di Kalabrijas apelācijas tiesas uzdevums bija izskatīt gan lietas faktiskos, gan tiesiskos jautājumus un pilnībā izvērtēt pieteikuma iesniedzēja vainu vai </w:t>
      </w:r>
      <w:r w:rsidRPr="004D6021">
        <w:rPr>
          <w:lang w:val="lv-LV"/>
        </w:rPr>
        <w:lastRenderedPageBreak/>
        <w:t>nevainīgumu. Tāpēc saskaņā ar Konvencijas noteikumiem bija nepieciešama pieteikuma iesniedzēja dalība apelācijas tiesvedībā. Valdība šos apgalvojumus nav apstrīdējusi.</w:t>
      </w:r>
    </w:p>
    <w:p w:rsidR="006078C9" w:rsidRPr="004D6021" w:rsidRDefault="006078C9" w:rsidP="00583503">
      <w:pPr>
        <w:pStyle w:val="JuPara"/>
        <w:ind w:firstLine="0"/>
        <w:rPr>
          <w:lang w:val="lv-LV"/>
        </w:rPr>
      </w:pPr>
    </w:p>
    <w:p w:rsidR="0075247B" w:rsidRPr="004D6021" w:rsidRDefault="0075247B" w:rsidP="0075247B">
      <w:pPr>
        <w:pStyle w:val="JuPara"/>
        <w:ind w:firstLine="0"/>
        <w:rPr>
          <w:lang w:val="lv-LV"/>
        </w:rPr>
      </w:pPr>
      <w:r w:rsidRPr="004D6021">
        <w:rPr>
          <w:lang w:val="lv-LV"/>
        </w:rPr>
        <w:t xml:space="preserve">64. Pieteikuma iesniedzējs neapgalvoja, ka viņam tika liegta iespēja sekot līdzi tiesvedības gaitai. Viņš sūdzējās par veidu, kādā tika nodrošināta viņa dalība, proti, </w:t>
      </w:r>
      <w:r w:rsidR="001F7311" w:rsidRPr="004D6021">
        <w:rPr>
          <w:lang w:val="lv-LV"/>
        </w:rPr>
        <w:t>videokonferenc</w:t>
      </w:r>
      <w:r w:rsidR="001F7311">
        <w:rPr>
          <w:lang w:val="lv-LV"/>
        </w:rPr>
        <w:t>i</w:t>
      </w:r>
      <w:r w:rsidRPr="004D6021">
        <w:rPr>
          <w:lang w:val="lv-LV"/>
        </w:rPr>
        <w:t>. Viņš apgalvoja, ka šis veids apgrūtināja viņa aizstāvību.</w:t>
      </w:r>
    </w:p>
    <w:p w:rsidR="006078C9" w:rsidRPr="004D6021" w:rsidRDefault="006078C9" w:rsidP="00583503">
      <w:pPr>
        <w:pStyle w:val="JuPara"/>
        <w:ind w:firstLine="0"/>
        <w:rPr>
          <w:lang w:val="lv-LV"/>
        </w:rPr>
      </w:pPr>
    </w:p>
    <w:p w:rsidR="00B63D82" w:rsidRPr="004D6021" w:rsidRDefault="00B63D82" w:rsidP="00B63D82">
      <w:pPr>
        <w:pStyle w:val="JuPara"/>
        <w:ind w:firstLine="0"/>
        <w:rPr>
          <w:lang w:val="lv-LV"/>
        </w:rPr>
      </w:pPr>
      <w:r w:rsidRPr="004D6021">
        <w:rPr>
          <w:lang w:val="lv-LV"/>
        </w:rPr>
        <w:t>65. Tiesa norāda, ka dalība tiesvedībā videokonferences veidā ir skaidri paredzēta Itālijas tiesību aktos, proti Kriminālprocesa kodeksa īstenošanas noteikumu 146.</w:t>
      </w:r>
      <w:r w:rsidRPr="004D6021">
        <w:rPr>
          <w:i/>
          <w:lang w:val="lv-LV"/>
        </w:rPr>
        <w:t>bis</w:t>
      </w:r>
      <w:r w:rsidRPr="004D6021">
        <w:rPr>
          <w:lang w:val="lv-LV"/>
        </w:rPr>
        <w:t xml:space="preserve"> pantā (sk. iepriekš 19. punktu). Šajā normā ir noteikti gadījumi, kādos var izmantot videokonferenci, amatpersona, kas ir pilnvarota izdot rīkojumu par videokonferenci, un tehniskie līdzekļi audiovizuālo datu pārraides posma ierīkošanai. Konstitucionālā tiesa ir lēmusi, ka tas ir saderīgi ar Konstitūciju un Konvenciju (sk. 2002. gada </w:t>
      </w:r>
      <w:r w:rsidR="0030421F" w:rsidRPr="004D6021">
        <w:rPr>
          <w:lang w:val="lv-LV"/>
        </w:rPr>
        <w:t>R</w:t>
      </w:r>
      <w:r w:rsidRPr="004D6021">
        <w:rPr>
          <w:lang w:val="lv-LV"/>
        </w:rPr>
        <w:t>īkojumu Nr. 483 un 1999. gada spriedumu Nr. 342 — sk. iepriekš 20.–22. punktu).</w:t>
      </w:r>
    </w:p>
    <w:p w:rsidR="006078C9" w:rsidRPr="004D6021" w:rsidRDefault="006078C9" w:rsidP="00583503">
      <w:pPr>
        <w:pStyle w:val="JuPara"/>
        <w:ind w:firstLine="0"/>
        <w:rPr>
          <w:lang w:val="lv-LV"/>
        </w:rPr>
      </w:pPr>
    </w:p>
    <w:p w:rsidR="00AE00FA" w:rsidRPr="004D6021" w:rsidRDefault="00AE00FA" w:rsidP="00AE00FA">
      <w:pPr>
        <w:pStyle w:val="JuPara"/>
        <w:ind w:firstLine="0"/>
        <w:rPr>
          <w:lang w:val="lv-LV"/>
        </w:rPr>
      </w:pPr>
      <w:r w:rsidRPr="004D6021">
        <w:rPr>
          <w:lang w:val="lv-LV"/>
        </w:rPr>
        <w:t xml:space="preserve">66. </w:t>
      </w:r>
      <w:r w:rsidRPr="004D6021">
        <w:rPr>
          <w:color w:val="000000"/>
          <w:lang w:val="lv-LV"/>
        </w:rPr>
        <w:t xml:space="preserve">Tā kā šīs metodes izmantošana nav aizliegta attiecīgajos valsts tiesību aktos un starptautiskajos instrumentos, </w:t>
      </w:r>
      <w:r w:rsidR="0030421F" w:rsidRPr="004D6021">
        <w:rPr>
          <w:color w:val="000000"/>
          <w:lang w:val="lv-LV"/>
        </w:rPr>
        <w:t xml:space="preserve">to izmantot </w:t>
      </w:r>
      <w:r w:rsidRPr="004D6021">
        <w:rPr>
          <w:color w:val="000000"/>
          <w:lang w:val="lv-LV"/>
        </w:rPr>
        <w:t>liecinieku v</w:t>
      </w:r>
      <w:r w:rsidR="0030421F" w:rsidRPr="004D6021">
        <w:rPr>
          <w:color w:val="000000"/>
          <w:lang w:val="lv-LV"/>
        </w:rPr>
        <w:t>ai ekspertu liecību uzklausīšanai</w:t>
      </w:r>
      <w:r w:rsidRPr="004D6021">
        <w:rPr>
          <w:color w:val="000000"/>
          <w:lang w:val="lv-LV"/>
        </w:rPr>
        <w:t>, iespējams, ar tiesājamās personas līdzdalību, atļauj arī citi instrumenti, ne tikai Konvencija, proti, Eiropas Konvencijas par savstarpējo palīdzību krimināllietās Otrais papildu protokols un Konvencija par Eiropas Savienības dalībvalstu savstarpējo palīdzību krimināllietās (sk. iepriekš 23.–24. punktu). Turklāt savā 1995. gada 23. novembra Rezolūcijā par liecinieku aizsardzību cīņā pret starptautisko organizēto noziedzību Eiropas Padome norādīja: “viens no aizsardzības veidiem, kas jāparedz, ir iespēja sniegt liecību citā vietā, nevis tur, kur atrodas tiesājamā persona, vajadzības gadījumā izmantojot audiovizuālās metodes” (sk. iepriekš 25. punktu).</w:t>
      </w:r>
    </w:p>
    <w:p w:rsidR="006078C9" w:rsidRPr="004D6021" w:rsidRDefault="006078C9" w:rsidP="00583503">
      <w:pPr>
        <w:pStyle w:val="JuPara"/>
        <w:ind w:firstLine="0"/>
        <w:rPr>
          <w:lang w:val="lv-LV"/>
        </w:rPr>
      </w:pPr>
    </w:p>
    <w:p w:rsidR="007632EB" w:rsidRPr="004D6021" w:rsidRDefault="007632EB" w:rsidP="007632EB">
      <w:pPr>
        <w:pStyle w:val="JuPara"/>
        <w:ind w:firstLine="0"/>
        <w:rPr>
          <w:lang w:val="lv-LV"/>
        </w:rPr>
      </w:pPr>
      <w:r w:rsidRPr="004D6021">
        <w:rPr>
          <w:lang w:val="lv-LV"/>
        </w:rPr>
        <w:t>67. Lai gan apsūdzētā dalība tiesvedībā, izmantojot videokonferenci, nav pretrunā Konvencijai, Tiesai ir jāpārliecinās, ka šā līdzekļa izmantošanai konkrētajā gadījumā bija leģitīms mērķis un ka pasākumi, kas tika veikti liecības sniegšanai, bija saderīgi ar prasībām attiecībā uz pienācīgu procesa nodrošināšanu saskaņā ar Konvencijas 6. pantu.</w:t>
      </w:r>
    </w:p>
    <w:p w:rsidR="006078C9" w:rsidRPr="004D6021" w:rsidRDefault="006078C9" w:rsidP="00583503">
      <w:pPr>
        <w:pStyle w:val="JuPara"/>
        <w:ind w:firstLine="0"/>
        <w:rPr>
          <w:lang w:val="lv-LV"/>
        </w:rPr>
      </w:pPr>
    </w:p>
    <w:p w:rsidR="007701CB" w:rsidRPr="004D6021" w:rsidRDefault="007701CB" w:rsidP="007701CB">
      <w:pPr>
        <w:pStyle w:val="JuPara"/>
        <w:ind w:firstLine="0"/>
        <w:rPr>
          <w:lang w:val="lv-LV"/>
        </w:rPr>
      </w:pPr>
      <w:r w:rsidRPr="004D6021">
        <w:rPr>
          <w:lang w:val="lv-LV"/>
        </w:rPr>
        <w:t>68. Šajā saistībā Tiesa norāda, ka šajā gadījumā video</w:t>
      </w:r>
      <w:r w:rsidR="00D531C2" w:rsidRPr="004D6021">
        <w:rPr>
          <w:lang w:val="lv-LV"/>
        </w:rPr>
        <w:t>k</w:t>
      </w:r>
      <w:r w:rsidRPr="004D6021">
        <w:rPr>
          <w:lang w:val="lv-LV"/>
        </w:rPr>
        <w:t>onference tika izmantota saskaņā ar Kriminālprocesa kodeksa īstenošanas noteikumu 146.</w:t>
      </w:r>
      <w:r w:rsidRPr="004D6021">
        <w:rPr>
          <w:i/>
          <w:lang w:val="lv-LV"/>
        </w:rPr>
        <w:t>bis</w:t>
      </w:r>
      <w:r w:rsidR="00F84E14">
        <w:rPr>
          <w:lang w:val="lv-LV"/>
        </w:rPr>
        <w:t> </w:t>
      </w:r>
      <w:r w:rsidRPr="004D6021">
        <w:rPr>
          <w:lang w:val="lv-LV"/>
        </w:rPr>
        <w:t>panta 1.</w:t>
      </w:r>
      <w:r w:rsidRPr="004D6021">
        <w:rPr>
          <w:i/>
          <w:lang w:val="lv-LV"/>
        </w:rPr>
        <w:t>bis</w:t>
      </w:r>
      <w:r w:rsidRPr="004D6021">
        <w:rPr>
          <w:lang w:val="lv-LV"/>
        </w:rPr>
        <w:t> punktu, jo pieteikuma iesniedzējs izcieta sodu stingrā režīma cietumā. Pieteikuma iesniedzējs nav pierādījis, ka citām personām, kas atradās līdzīgā situācijā, būtu piemēroti atšķirīgi pasākumi.</w:t>
      </w:r>
    </w:p>
    <w:p w:rsidR="006078C9" w:rsidRPr="004D6021" w:rsidRDefault="006078C9" w:rsidP="00583503">
      <w:pPr>
        <w:pStyle w:val="JuPara"/>
        <w:ind w:firstLine="0"/>
        <w:rPr>
          <w:lang w:val="lv-LV"/>
        </w:rPr>
      </w:pPr>
    </w:p>
    <w:p w:rsidR="00D50581" w:rsidRPr="004D6021" w:rsidRDefault="00D50581" w:rsidP="00D50581">
      <w:pPr>
        <w:pStyle w:val="JuPara"/>
        <w:ind w:firstLine="0"/>
        <w:rPr>
          <w:lang w:val="lv-LV"/>
        </w:rPr>
      </w:pPr>
      <w:r w:rsidRPr="004D6021">
        <w:rPr>
          <w:lang w:val="lv-LV"/>
        </w:rPr>
        <w:t>69. Saskaņā ar Tiesas viedokli ir nenoliedzami, ka</w:t>
      </w:r>
      <w:r w:rsidR="0030421F" w:rsidRPr="004D6021">
        <w:rPr>
          <w:lang w:val="lv-LV"/>
        </w:rPr>
        <w:t xml:space="preserve">, lai pārvestu šādu ieslodzīto, </w:t>
      </w:r>
      <w:r w:rsidRPr="004D6021">
        <w:rPr>
          <w:lang w:val="lv-LV"/>
        </w:rPr>
        <w:t xml:space="preserve">būtu nepieciešami īpaši stingri drošības pasākumi un pastāvētu bēgšanas vai uzbrukumu risks. Tādējādi aizturētajam varētu arī rasties iespēja atjaunot sakarus ar </w:t>
      </w:r>
      <w:r w:rsidR="0030421F" w:rsidRPr="004D6021">
        <w:rPr>
          <w:lang w:val="lv-LV"/>
        </w:rPr>
        <w:t>noziedzīgajām</w:t>
      </w:r>
      <w:r w:rsidRPr="004D6021">
        <w:rPr>
          <w:lang w:val="lv-LV"/>
        </w:rPr>
        <w:t xml:space="preserve"> organizācijām, par kurām pastāvēja aizdomas, ka viņš pie tām piederēja.</w:t>
      </w:r>
    </w:p>
    <w:p w:rsidR="006078C9" w:rsidRPr="004D6021" w:rsidRDefault="006078C9" w:rsidP="00583503">
      <w:pPr>
        <w:pStyle w:val="JuPara"/>
        <w:ind w:firstLine="0"/>
        <w:rPr>
          <w:lang w:val="lv-LV"/>
        </w:rPr>
      </w:pPr>
    </w:p>
    <w:p w:rsidR="00570F66" w:rsidRPr="004D6021" w:rsidRDefault="00570F66" w:rsidP="00570F66">
      <w:pPr>
        <w:pStyle w:val="JuPara"/>
        <w:ind w:firstLine="0"/>
        <w:rPr>
          <w:lang w:val="lv-LV"/>
        </w:rPr>
      </w:pPr>
      <w:r w:rsidRPr="004D6021">
        <w:rPr>
          <w:lang w:val="lv-LV"/>
        </w:rPr>
        <w:t>70. Tiesa piekrīt, ka, nosakot, vai tiesvedības posmos pēc lietas iztiesāšanas pirmajā instancē ir nepieciešama atklāta tiesas sēde, ir jāņem vērā arī citi apsvērumi, tostarp tiesības uz lietas izskatīšanu saprātīgā termiņā un ar tām saistītā nepieciešamība paātrināt lietu izskatīšanu tiesās (piemēram, sk. </w:t>
      </w:r>
      <w:r w:rsidR="00F84E14" w:rsidRPr="004D6021">
        <w:rPr>
          <w:lang w:val="lv-LV"/>
        </w:rPr>
        <w:t>iepriekšminēt</w:t>
      </w:r>
      <w:r w:rsidR="00F84E14">
        <w:rPr>
          <w:lang w:val="lv-LV"/>
        </w:rPr>
        <w:t>ā</w:t>
      </w:r>
      <w:r w:rsidR="00F84E14" w:rsidRPr="004D6021">
        <w:rPr>
          <w:lang w:val="lv-LV"/>
        </w:rPr>
        <w:t xml:space="preserve"> </w:t>
      </w:r>
      <w:r w:rsidRPr="004D6021">
        <w:rPr>
          <w:lang w:val="lv-LV"/>
        </w:rPr>
        <w:t>spriedum</w:t>
      </w:r>
      <w:r w:rsidR="00F84E14">
        <w:rPr>
          <w:lang w:val="lv-LV"/>
        </w:rPr>
        <w:t>a</w:t>
      </w:r>
      <w:r w:rsidRPr="004D6021">
        <w:rPr>
          <w:lang w:val="lv-LV"/>
        </w:rPr>
        <w:t xml:space="preserve"> Helmersa lietā 36. punkt</w:t>
      </w:r>
      <w:r w:rsidR="00F84E14">
        <w:rPr>
          <w:lang w:val="lv-LV"/>
        </w:rPr>
        <w:t>u</w:t>
      </w:r>
      <w:r w:rsidRPr="004D6021">
        <w:rPr>
          <w:lang w:val="lv-LV"/>
        </w:rPr>
        <w:t xml:space="preserve">, </w:t>
      </w:r>
      <w:r w:rsidR="00F84E14">
        <w:rPr>
          <w:lang w:val="lv-LV"/>
        </w:rPr>
        <w:t xml:space="preserve">1991. gada 29. oktobra </w:t>
      </w:r>
      <w:r w:rsidRPr="004D6021">
        <w:rPr>
          <w:lang w:val="lv-LV"/>
        </w:rPr>
        <w:t>spriedumu lietā “</w:t>
      </w:r>
      <w:r w:rsidR="001F7311" w:rsidRPr="004D6021">
        <w:rPr>
          <w:lang w:val="lv-LV"/>
        </w:rPr>
        <w:t>J</w:t>
      </w:r>
      <w:r w:rsidR="001F7311">
        <w:rPr>
          <w:lang w:val="lv-LV"/>
        </w:rPr>
        <w:t>ā</w:t>
      </w:r>
      <w:r w:rsidR="001F7311" w:rsidRPr="004D6021">
        <w:rPr>
          <w:lang w:val="lv-LV"/>
        </w:rPr>
        <w:t xml:space="preserve">ns </w:t>
      </w:r>
      <w:r w:rsidR="001F7311">
        <w:rPr>
          <w:lang w:val="lv-LV"/>
        </w:rPr>
        <w:t>O</w:t>
      </w:r>
      <w:r w:rsidR="001F7311" w:rsidRPr="004D6021">
        <w:rPr>
          <w:lang w:val="lv-LV"/>
        </w:rPr>
        <w:t xml:space="preserve">ke </w:t>
      </w:r>
      <w:r w:rsidRPr="004D6021">
        <w:rPr>
          <w:lang w:val="lv-LV"/>
        </w:rPr>
        <w:t>Ande</w:t>
      </w:r>
      <w:r w:rsidR="001F7311">
        <w:rPr>
          <w:lang w:val="lv-LV"/>
        </w:rPr>
        <w:t>š</w:t>
      </w:r>
      <w:r w:rsidRPr="004D6021">
        <w:rPr>
          <w:lang w:val="lv-LV"/>
        </w:rPr>
        <w:t>ons [</w:t>
      </w:r>
      <w:r w:rsidRPr="004D6021">
        <w:rPr>
          <w:i/>
          <w:lang w:val="lv-LV"/>
        </w:rPr>
        <w:t>Jan-Åke Andersson</w:t>
      </w:r>
      <w:r w:rsidRPr="004D6021">
        <w:rPr>
          <w:lang w:val="lv-LV"/>
        </w:rPr>
        <w:t>] pret Zviedriju”</w:t>
      </w:r>
      <w:r w:rsidR="0030421F" w:rsidRPr="004D6021">
        <w:rPr>
          <w:lang w:val="lv-LV"/>
        </w:rPr>
        <w:t xml:space="preserve"> 27. punkt</w:t>
      </w:r>
      <w:r w:rsidR="00F84E14">
        <w:rPr>
          <w:lang w:val="lv-LV"/>
        </w:rPr>
        <w:t>u</w:t>
      </w:r>
      <w:r w:rsidR="0030421F" w:rsidRPr="004D6021">
        <w:rPr>
          <w:lang w:val="lv-LV"/>
        </w:rPr>
        <w:t>, A sērija Nr. 212-B</w:t>
      </w:r>
      <w:r w:rsidRPr="004D6021">
        <w:rPr>
          <w:lang w:val="lv-LV"/>
        </w:rPr>
        <w:t xml:space="preserve">, </w:t>
      </w:r>
      <w:r w:rsidR="00F84E14" w:rsidRPr="004D6021">
        <w:rPr>
          <w:lang w:val="lv-LV"/>
        </w:rPr>
        <w:t>iepriekšminēt</w:t>
      </w:r>
      <w:r w:rsidR="00F84E14">
        <w:rPr>
          <w:lang w:val="lv-LV"/>
        </w:rPr>
        <w:t>ā</w:t>
      </w:r>
      <w:r w:rsidR="00F84E14" w:rsidRPr="004D6021">
        <w:rPr>
          <w:lang w:val="lv-LV"/>
        </w:rPr>
        <w:t xml:space="preserve"> </w:t>
      </w:r>
      <w:r w:rsidRPr="004D6021">
        <w:rPr>
          <w:lang w:val="lv-LV"/>
        </w:rPr>
        <w:t>spriedum</w:t>
      </w:r>
      <w:r w:rsidR="00F84E14">
        <w:rPr>
          <w:lang w:val="lv-LV"/>
        </w:rPr>
        <w:t>a</w:t>
      </w:r>
      <w:r w:rsidRPr="004D6021">
        <w:rPr>
          <w:lang w:val="lv-LV"/>
        </w:rPr>
        <w:t xml:space="preserve"> Fejdes lietā 31. punkt</w:t>
      </w:r>
      <w:r w:rsidR="00F84E14">
        <w:rPr>
          <w:lang w:val="lv-LV"/>
        </w:rPr>
        <w:t>u</w:t>
      </w:r>
      <w:r w:rsidRPr="004D6021">
        <w:rPr>
          <w:lang w:val="lv-LV"/>
        </w:rPr>
        <w:t xml:space="preserve">, un </w:t>
      </w:r>
      <w:r w:rsidR="00F84E14">
        <w:rPr>
          <w:lang w:val="lv-LV"/>
        </w:rPr>
        <w:t xml:space="preserve">2002. gada 5. decembra </w:t>
      </w:r>
      <w:r w:rsidRPr="004D6021">
        <w:rPr>
          <w:lang w:val="lv-LV"/>
        </w:rPr>
        <w:t>spriedum</w:t>
      </w:r>
      <w:r w:rsidR="00F84E14">
        <w:rPr>
          <w:lang w:val="lv-LV"/>
        </w:rPr>
        <w:t>a</w:t>
      </w:r>
      <w:r w:rsidRPr="004D6021">
        <w:rPr>
          <w:lang w:val="lv-LV"/>
        </w:rPr>
        <w:t xml:space="preserve"> lietā </w:t>
      </w:r>
      <w:r w:rsidR="00E84336" w:rsidRPr="004D6021">
        <w:rPr>
          <w:lang w:val="lv-LV"/>
        </w:rPr>
        <w:t>“</w:t>
      </w:r>
      <w:r w:rsidRPr="004D6021">
        <w:rPr>
          <w:lang w:val="lv-LV"/>
        </w:rPr>
        <w:t>Hope [</w:t>
      </w:r>
      <w:r w:rsidRPr="004D6021">
        <w:rPr>
          <w:i/>
          <w:lang w:val="lv-LV"/>
        </w:rPr>
        <w:t>Hoppe</w:t>
      </w:r>
      <w:r w:rsidRPr="004D6021">
        <w:rPr>
          <w:lang w:val="lv-LV"/>
        </w:rPr>
        <w:t>] pret Vāciju”</w:t>
      </w:r>
      <w:r w:rsidRPr="004D6021">
        <w:rPr>
          <w:i/>
          <w:lang w:val="lv-LV"/>
        </w:rPr>
        <w:t xml:space="preserve">, </w:t>
      </w:r>
      <w:r w:rsidRPr="004D6021">
        <w:rPr>
          <w:lang w:val="lv-LV"/>
        </w:rPr>
        <w:t>Nr. 28422/95, 63. punkt</w:t>
      </w:r>
      <w:r w:rsidR="00F84E14">
        <w:rPr>
          <w:lang w:val="lv-LV"/>
        </w:rPr>
        <w:t>u</w:t>
      </w:r>
      <w:r w:rsidRPr="004D6021">
        <w:rPr>
          <w:lang w:val="lv-LV"/>
        </w:rPr>
        <w:t xml:space="preserve">). Itālijas tiesību aktos paredzētās </w:t>
      </w:r>
      <w:r w:rsidR="00EF3EE5">
        <w:rPr>
          <w:lang w:val="lv-LV"/>
        </w:rPr>
        <w:t xml:space="preserve">dalības </w:t>
      </w:r>
      <w:r w:rsidRPr="004D6021">
        <w:rPr>
          <w:lang w:val="lv-LV"/>
        </w:rPr>
        <w:t xml:space="preserve">videokonferences </w:t>
      </w:r>
      <w:r w:rsidR="00EF3EE5">
        <w:rPr>
          <w:lang w:val="lv-LV"/>
        </w:rPr>
        <w:t xml:space="preserve">formā </w:t>
      </w:r>
      <w:r w:rsidRPr="004D6021">
        <w:rPr>
          <w:lang w:val="lv-LV"/>
        </w:rPr>
        <w:t xml:space="preserve">mērķis cita starpā bija samazināt kavēšanos, kas rodas, pārvedot aizturētos, un tādējādi atvieglot un </w:t>
      </w:r>
      <w:r w:rsidRPr="004D6021">
        <w:rPr>
          <w:lang w:val="lv-LV"/>
        </w:rPr>
        <w:lastRenderedPageBreak/>
        <w:t>paātrināt tiesvedības kriminālprocesos (sk. </w:t>
      </w:r>
      <w:r w:rsidRPr="004D6021">
        <w:rPr>
          <w:i/>
          <w:lang w:val="lv-LV"/>
        </w:rPr>
        <w:t xml:space="preserve">mutatis mutandis </w:t>
      </w:r>
      <w:r w:rsidRPr="004D6021">
        <w:rPr>
          <w:lang w:val="lv-LV"/>
        </w:rPr>
        <w:t>iepriekšminēto spriedumu Ripes lietā).</w:t>
      </w:r>
    </w:p>
    <w:p w:rsidR="006078C9" w:rsidRPr="004D6021" w:rsidRDefault="006078C9" w:rsidP="00583503">
      <w:pPr>
        <w:pStyle w:val="JuPara"/>
        <w:ind w:firstLine="0"/>
        <w:rPr>
          <w:lang w:val="lv-LV"/>
        </w:rPr>
      </w:pPr>
    </w:p>
    <w:p w:rsidR="003A547A" w:rsidRPr="004D6021" w:rsidRDefault="003A547A" w:rsidP="003A547A">
      <w:pPr>
        <w:pStyle w:val="JuPara"/>
        <w:ind w:firstLine="0"/>
        <w:rPr>
          <w:lang w:val="lv-LV"/>
        </w:rPr>
      </w:pPr>
      <w:r w:rsidRPr="004D6021">
        <w:rPr>
          <w:lang w:val="lv-LV"/>
        </w:rPr>
        <w:t xml:space="preserve">71. Tajā pašā laikā jānorāda, ka pieteikuma iesniedzējs bija apsūdzēts </w:t>
      </w:r>
      <w:r w:rsidR="0030421F" w:rsidRPr="004D6021">
        <w:rPr>
          <w:lang w:val="lv-LV"/>
        </w:rPr>
        <w:t>smagos</w:t>
      </w:r>
      <w:r w:rsidRPr="004D6021">
        <w:rPr>
          <w:lang w:val="lv-LV"/>
        </w:rPr>
        <w:t xml:space="preserve"> noziegumos saistībā ar </w:t>
      </w:r>
      <w:r w:rsidR="0030421F" w:rsidRPr="004D6021">
        <w:rPr>
          <w:lang w:val="lv-LV"/>
        </w:rPr>
        <w:t>mafijas darbību</w:t>
      </w:r>
      <w:r w:rsidRPr="004D6021">
        <w:rPr>
          <w:lang w:val="lv-LV"/>
        </w:rPr>
        <w:t xml:space="preserve">. </w:t>
      </w:r>
      <w:r w:rsidR="00EF3EE5">
        <w:rPr>
          <w:lang w:val="lv-LV"/>
        </w:rPr>
        <w:t>D</w:t>
      </w:r>
      <w:r w:rsidRPr="004D6021">
        <w:rPr>
          <w:lang w:val="lv-LV"/>
        </w:rPr>
        <w:t>ažos gadījumos</w:t>
      </w:r>
      <w:r w:rsidR="00EF3EE5">
        <w:rPr>
          <w:lang w:val="lv-LV"/>
        </w:rPr>
        <w:t>, cīnoties pret šo ļaunumu,</w:t>
      </w:r>
      <w:r w:rsidRPr="004D6021">
        <w:rPr>
          <w:lang w:val="lv-LV"/>
        </w:rPr>
        <w:t xml:space="preserve"> var būt nepieciešams noteikt pasākumus, kuru nolūks ir aizsargāt valsts drošību un sabiedrisko kārtību un novērst citus kriminālnoziegumus (sk. </w:t>
      </w:r>
      <w:r w:rsidR="00EF3EE5">
        <w:rPr>
          <w:lang w:val="lv-LV"/>
        </w:rPr>
        <w:t xml:space="preserve">2003. gada 6. novembra </w:t>
      </w:r>
      <w:r w:rsidRPr="004D6021">
        <w:rPr>
          <w:lang w:val="lv-LV"/>
        </w:rPr>
        <w:t>spriedum</w:t>
      </w:r>
      <w:r w:rsidR="00EF3EE5">
        <w:rPr>
          <w:lang w:val="lv-LV"/>
        </w:rPr>
        <w:t>a</w:t>
      </w:r>
      <w:r w:rsidRPr="004D6021">
        <w:rPr>
          <w:lang w:val="lv-LV"/>
        </w:rPr>
        <w:t xml:space="preserve"> lietā “Pantano [</w:t>
      </w:r>
      <w:r w:rsidRPr="004D6021">
        <w:rPr>
          <w:i/>
          <w:lang w:val="lv-LV"/>
        </w:rPr>
        <w:t>Pantano</w:t>
      </w:r>
      <w:r w:rsidRPr="004D6021">
        <w:rPr>
          <w:lang w:val="lv-LV"/>
        </w:rPr>
        <w:t>] pret Itāliju”, Nr. 60851/00, 69. punkt</w:t>
      </w:r>
      <w:r w:rsidR="00EF3EE5">
        <w:rPr>
          <w:lang w:val="lv-LV"/>
        </w:rPr>
        <w:t>u</w:t>
      </w:r>
      <w:r w:rsidRPr="004D6021">
        <w:rPr>
          <w:lang w:val="lv-LV"/>
        </w:rPr>
        <w:t>). Ņemot vērā mafijas sting</w:t>
      </w:r>
      <w:r w:rsidR="00380097">
        <w:rPr>
          <w:lang w:val="lv-LV"/>
        </w:rPr>
        <w:t>r</w:t>
      </w:r>
      <w:r w:rsidRPr="004D6021">
        <w:rPr>
          <w:lang w:val="lv-LV"/>
        </w:rPr>
        <w:t>i hierarhisko organizāciju, ļoti stingros noteikumus un ievērojamās iespējas iebiedēt, pamatojoties uz klusēšanas likumu, kā arī to, cik grūti ir identificēt mafijas locekļus, tā savā ziņā ir krimināls opozīcijas spēks, kas tiešā vai netiešā veidā var ietekmēt valsts dzīvi un iefiltrēties tās iestādēs (sk. </w:t>
      </w:r>
      <w:r w:rsidR="00380097">
        <w:rPr>
          <w:lang w:val="lv-LV"/>
        </w:rPr>
        <w:t xml:space="preserve">1998. gada 24. augusta </w:t>
      </w:r>
      <w:r w:rsidRPr="004D6021">
        <w:rPr>
          <w:lang w:val="lv-LV"/>
        </w:rPr>
        <w:t>spriedum</w:t>
      </w:r>
      <w:r w:rsidR="00380097">
        <w:rPr>
          <w:lang w:val="lv-LV"/>
        </w:rPr>
        <w:t>a</w:t>
      </w:r>
      <w:r w:rsidRPr="004D6021">
        <w:rPr>
          <w:lang w:val="lv-LV"/>
        </w:rPr>
        <w:t xml:space="preserve"> lietā “Kontrada [</w:t>
      </w:r>
      <w:r w:rsidRPr="004D6021">
        <w:rPr>
          <w:i/>
          <w:lang w:val="lv-LV"/>
        </w:rPr>
        <w:t>Contrada</w:t>
      </w:r>
      <w:r w:rsidRPr="004D6021">
        <w:rPr>
          <w:lang w:val="lv-LV"/>
        </w:rPr>
        <w:t>] pret Itāliju”</w:t>
      </w:r>
      <w:r w:rsidR="00380097">
        <w:rPr>
          <w:lang w:val="lv-LV"/>
        </w:rPr>
        <w:t xml:space="preserve"> </w:t>
      </w:r>
      <w:r w:rsidRPr="004D6021">
        <w:rPr>
          <w:lang w:val="lv-LV"/>
        </w:rPr>
        <w:t>67. punkt</w:t>
      </w:r>
      <w:r w:rsidR="00380097">
        <w:rPr>
          <w:lang w:val="lv-LV"/>
        </w:rPr>
        <w:t>u</w:t>
      </w:r>
      <w:r w:rsidRPr="004D6021">
        <w:rPr>
          <w:lang w:val="lv-LV"/>
        </w:rPr>
        <w:t xml:space="preserve">, </w:t>
      </w:r>
      <w:r w:rsidR="00380097" w:rsidRPr="004D6021">
        <w:rPr>
          <w:lang w:val="lv-LV"/>
        </w:rPr>
        <w:t>Spriedumu un lēmumu krājums</w:t>
      </w:r>
      <w:r w:rsidRPr="004D6021">
        <w:rPr>
          <w:lang w:val="lv-LV"/>
        </w:rPr>
        <w:t xml:space="preserve"> 1998-V). Tāpēc nav nepamatoti uzskatīt, ka tās locekļi, tikai atrodoties tiesas zālē, var izdarīt nevajadzīgu spiedienu uz citām tiesvedībā</w:t>
      </w:r>
      <w:r w:rsidR="00380097">
        <w:rPr>
          <w:lang w:val="lv-LV"/>
        </w:rPr>
        <w:t xml:space="preserve"> iesaistītajām pusēm</w:t>
      </w:r>
      <w:r w:rsidRPr="004D6021">
        <w:rPr>
          <w:lang w:val="lv-LV"/>
        </w:rPr>
        <w:t xml:space="preserve">, jo īpaši upuriem un </w:t>
      </w:r>
      <w:r w:rsidRPr="004D6021">
        <w:rPr>
          <w:i/>
          <w:lang w:val="lv-LV"/>
        </w:rPr>
        <w:t>pentiti</w:t>
      </w:r>
      <w:r w:rsidRPr="004D6021">
        <w:rPr>
          <w:lang w:val="lv-LV"/>
        </w:rPr>
        <w:t>.</w:t>
      </w:r>
    </w:p>
    <w:p w:rsidR="006078C9" w:rsidRPr="004D6021" w:rsidRDefault="006078C9" w:rsidP="00583503">
      <w:pPr>
        <w:pStyle w:val="JuPara"/>
        <w:ind w:firstLine="0"/>
        <w:rPr>
          <w:lang w:val="lv-LV"/>
        </w:rPr>
      </w:pPr>
    </w:p>
    <w:p w:rsidR="004A385C" w:rsidRPr="004D6021" w:rsidRDefault="004A385C" w:rsidP="004A385C">
      <w:pPr>
        <w:pStyle w:val="JuPara"/>
        <w:ind w:firstLine="0"/>
        <w:rPr>
          <w:lang w:val="lv-LV"/>
        </w:rPr>
      </w:pPr>
      <w:r w:rsidRPr="004D6021">
        <w:rPr>
          <w:lang w:val="lv-LV"/>
        </w:rPr>
        <w:t xml:space="preserve">72. Ņemot vērā </w:t>
      </w:r>
      <w:r w:rsidR="00380097" w:rsidRPr="004D6021">
        <w:rPr>
          <w:lang w:val="lv-LV"/>
        </w:rPr>
        <w:t>iepriekš</w:t>
      </w:r>
      <w:r w:rsidR="00380097">
        <w:rPr>
          <w:lang w:val="lv-LV"/>
        </w:rPr>
        <w:t>minēto</w:t>
      </w:r>
      <w:r w:rsidR="0030421F" w:rsidRPr="004D6021">
        <w:rPr>
          <w:lang w:val="lv-LV"/>
        </w:rPr>
        <w:t>,</w:t>
      </w:r>
      <w:r w:rsidRPr="004D6021">
        <w:rPr>
          <w:lang w:val="lv-LV"/>
        </w:rPr>
        <w:t xml:space="preserve"> Tiesa uzskata, ka pieteikuma iesniedzēja dalībai apelācijas tiesvedībā videokonferences veidā bija leģitīms mērķis saskaņā ar Konvenciju, proti novērst kārtības traucējumus un </w:t>
      </w:r>
      <w:r w:rsidR="00380097" w:rsidRPr="004D6021">
        <w:rPr>
          <w:lang w:val="lv-LV"/>
        </w:rPr>
        <w:t>no</w:t>
      </w:r>
      <w:r w:rsidR="00380097">
        <w:rPr>
          <w:lang w:val="lv-LV"/>
        </w:rPr>
        <w:t>ziedzīgus nodarījumus</w:t>
      </w:r>
      <w:r w:rsidRPr="004D6021">
        <w:rPr>
          <w:lang w:val="lv-LV"/>
        </w:rPr>
        <w:t>, aizsargāt noziedzīgo nodarījumu liecinieku un upuru tiesības uz dzīvību, brīvību un drošību un ievērot “sapratīgā termiņa” prasību tiesas procesos. Atliek izvērtēt, vai, veicot pasākumus tiesvedības nodrošināšanai, bija ievērotas tiesības uz aizstāvību.</w:t>
      </w:r>
    </w:p>
    <w:p w:rsidR="006078C9" w:rsidRPr="004D6021" w:rsidRDefault="006078C9" w:rsidP="00583503">
      <w:pPr>
        <w:pStyle w:val="JuPara"/>
        <w:ind w:firstLine="0"/>
        <w:rPr>
          <w:lang w:val="lv-LV"/>
        </w:rPr>
      </w:pPr>
    </w:p>
    <w:p w:rsidR="00EB2059" w:rsidRPr="004D6021" w:rsidRDefault="00EB2059" w:rsidP="00EB2059">
      <w:pPr>
        <w:pStyle w:val="JuPara"/>
        <w:ind w:firstLine="0"/>
        <w:rPr>
          <w:lang w:val="lv-LV"/>
        </w:rPr>
      </w:pPr>
      <w:r w:rsidRPr="004D6021">
        <w:rPr>
          <w:lang w:val="lv-LV"/>
        </w:rPr>
        <w:t>73. Tiesa norāda, ka saskaņā ar Kriminālprocesa kodeksa īstenošanas noteikumu 146.</w:t>
      </w:r>
      <w:r w:rsidRPr="004D6021">
        <w:rPr>
          <w:i/>
          <w:lang w:val="lv-LV"/>
        </w:rPr>
        <w:t>bis</w:t>
      </w:r>
      <w:r w:rsidRPr="004D6021">
        <w:rPr>
          <w:lang w:val="lv-LV"/>
        </w:rPr>
        <w:t xml:space="preserve"> panta 3. punktu pieteikuma iesniedzējs varēja izmantot audiovizuālo datu pārraides </w:t>
      </w:r>
      <w:r w:rsidR="00380097">
        <w:rPr>
          <w:lang w:val="lv-LV"/>
        </w:rPr>
        <w:t>savienojumu</w:t>
      </w:r>
      <w:r w:rsidR="00380097" w:rsidRPr="004D6021">
        <w:rPr>
          <w:lang w:val="lv-LV"/>
        </w:rPr>
        <w:t xml:space="preserve"> </w:t>
      </w:r>
      <w:r w:rsidRPr="004D6021">
        <w:rPr>
          <w:lang w:val="lv-LV"/>
        </w:rPr>
        <w:t xml:space="preserve">ar tiesas sēžu zāli un tādējādi varēja redzēt klātesošās personas un dzirdēt tur teikto. Arī </w:t>
      </w:r>
      <w:r w:rsidR="003A41E4" w:rsidRPr="004D6021">
        <w:rPr>
          <w:lang w:val="lv-LV"/>
        </w:rPr>
        <w:t>pārējās puses, tiesnesis un liecinieki viņu varēja redzēt un dzirdēt</w:t>
      </w:r>
      <w:r w:rsidRPr="004D6021">
        <w:rPr>
          <w:lang w:val="lv-LV"/>
        </w:rPr>
        <w:t xml:space="preserve">, un viņam bija iespēja sniegt liecības tiesā no savas </w:t>
      </w:r>
      <w:r w:rsidR="006107E3">
        <w:rPr>
          <w:lang w:val="lv-LV"/>
        </w:rPr>
        <w:t>apcietinājuma vietas</w:t>
      </w:r>
      <w:r w:rsidRPr="004D6021">
        <w:rPr>
          <w:lang w:val="lv-LV"/>
        </w:rPr>
        <w:t>.</w:t>
      </w:r>
    </w:p>
    <w:p w:rsidR="006078C9" w:rsidRPr="004D6021" w:rsidRDefault="006078C9" w:rsidP="00583503">
      <w:pPr>
        <w:pStyle w:val="JuPara"/>
        <w:ind w:firstLine="0"/>
        <w:rPr>
          <w:lang w:val="lv-LV"/>
        </w:rPr>
      </w:pPr>
    </w:p>
    <w:p w:rsidR="00F066C2" w:rsidRPr="004D6021" w:rsidRDefault="00F066C2" w:rsidP="00F066C2">
      <w:pPr>
        <w:pStyle w:val="JuPara"/>
        <w:ind w:firstLine="0"/>
        <w:rPr>
          <w:lang w:val="lv-LV"/>
        </w:rPr>
      </w:pPr>
      <w:r w:rsidRPr="004D6021">
        <w:rPr>
          <w:lang w:val="lv-LV"/>
        </w:rPr>
        <w:t xml:space="preserve">74. Protams, </w:t>
      </w:r>
      <w:r w:rsidR="00364EE4">
        <w:rPr>
          <w:lang w:val="lv-LV"/>
        </w:rPr>
        <w:t>pastāv iespēja</w:t>
      </w:r>
      <w:r w:rsidRPr="004D6021">
        <w:rPr>
          <w:lang w:val="lv-LV"/>
        </w:rPr>
        <w:t xml:space="preserve">, ka tehnisku problēmu dēļ datu pārraide starp tiesas sēžu zāli un </w:t>
      </w:r>
      <w:r w:rsidR="006107E3">
        <w:rPr>
          <w:lang w:val="lv-LV"/>
        </w:rPr>
        <w:t>apcietinājuma</w:t>
      </w:r>
      <w:r w:rsidR="006107E3" w:rsidRPr="004D6021">
        <w:rPr>
          <w:lang w:val="lv-LV"/>
        </w:rPr>
        <w:t xml:space="preserve"> </w:t>
      </w:r>
      <w:r w:rsidRPr="004D6021">
        <w:rPr>
          <w:lang w:val="lv-LV"/>
        </w:rPr>
        <w:t>vietu nebija ideāl</w:t>
      </w:r>
      <w:r w:rsidR="00364EE4">
        <w:rPr>
          <w:lang w:val="lv-LV"/>
        </w:rPr>
        <w:t>a</w:t>
      </w:r>
      <w:r w:rsidRPr="004D6021">
        <w:rPr>
          <w:lang w:val="lv-LV"/>
        </w:rPr>
        <w:t xml:space="preserve"> un tādējādi radās grūtības pārraidīt balss ziņojumus vai attēlus. Tomēr šajā gadījumā tiesvedības laikā pieteikuma iesniedzējs vai viņa aizstāvības advokāts nereizi necentās pievērst tiesas uzmanību tam, ka </w:t>
      </w:r>
      <w:r w:rsidR="003A41E4" w:rsidRPr="004D6021">
        <w:rPr>
          <w:lang w:val="lv-LV"/>
        </w:rPr>
        <w:t>bija</w:t>
      </w:r>
      <w:r w:rsidRPr="004D6021">
        <w:rPr>
          <w:lang w:val="lv-LV"/>
        </w:rPr>
        <w:t xml:space="preserve"> radušās grūtības sadzirdēt teikto vai saredzēt notiekošo (sk. </w:t>
      </w:r>
      <w:r w:rsidRPr="004D6021">
        <w:rPr>
          <w:i/>
          <w:lang w:val="lv-LV"/>
        </w:rPr>
        <w:t xml:space="preserve">mutatis mutandis </w:t>
      </w:r>
      <w:r w:rsidR="00C3415A" w:rsidRPr="004D6021">
        <w:rPr>
          <w:lang w:val="lv-LV"/>
        </w:rPr>
        <w:t>iepriekšminēt</w:t>
      </w:r>
      <w:r w:rsidR="00C3415A">
        <w:rPr>
          <w:lang w:val="lv-LV"/>
        </w:rPr>
        <w:t>ā</w:t>
      </w:r>
      <w:r w:rsidR="00C3415A" w:rsidRPr="004D6021">
        <w:rPr>
          <w:lang w:val="lv-LV"/>
        </w:rPr>
        <w:t xml:space="preserve"> </w:t>
      </w:r>
      <w:r w:rsidRPr="004D6021">
        <w:rPr>
          <w:lang w:val="lv-LV"/>
        </w:rPr>
        <w:t>spriedum</w:t>
      </w:r>
      <w:r w:rsidR="00C3415A">
        <w:rPr>
          <w:lang w:val="lv-LV"/>
        </w:rPr>
        <w:t>a</w:t>
      </w:r>
      <w:r w:rsidRPr="004D6021">
        <w:rPr>
          <w:lang w:val="lv-LV"/>
        </w:rPr>
        <w:t xml:space="preserve"> Stenforda lietā 27. punkt</w:t>
      </w:r>
      <w:r w:rsidR="00C3415A">
        <w:rPr>
          <w:lang w:val="lv-LV"/>
        </w:rPr>
        <w:t>u</w:t>
      </w:r>
      <w:r w:rsidRPr="004D6021">
        <w:rPr>
          <w:lang w:val="lv-LV"/>
        </w:rPr>
        <w:t>).</w:t>
      </w:r>
    </w:p>
    <w:p w:rsidR="006078C9" w:rsidRPr="004D6021" w:rsidRDefault="006078C9" w:rsidP="00583503">
      <w:pPr>
        <w:pStyle w:val="JuPara"/>
        <w:ind w:firstLine="0"/>
        <w:rPr>
          <w:lang w:val="lv-LV"/>
        </w:rPr>
      </w:pPr>
    </w:p>
    <w:p w:rsidR="00B416E8" w:rsidRPr="004D6021" w:rsidRDefault="00B416E8" w:rsidP="00B416E8">
      <w:pPr>
        <w:pStyle w:val="JuPara"/>
        <w:ind w:firstLine="0"/>
        <w:rPr>
          <w:lang w:val="lv-LV"/>
        </w:rPr>
      </w:pPr>
      <w:r w:rsidRPr="004D6021">
        <w:rPr>
          <w:lang w:val="lv-LV"/>
        </w:rPr>
        <w:t xml:space="preserve">75. Visbeidzot Tiesa </w:t>
      </w:r>
      <w:r w:rsidR="00C3415A" w:rsidRPr="004D6021">
        <w:rPr>
          <w:lang w:val="lv-LV"/>
        </w:rPr>
        <w:t>nor</w:t>
      </w:r>
      <w:r w:rsidR="00C3415A">
        <w:rPr>
          <w:lang w:val="lv-LV"/>
        </w:rPr>
        <w:t>ā</w:t>
      </w:r>
      <w:r w:rsidR="00C3415A" w:rsidRPr="004D6021">
        <w:rPr>
          <w:lang w:val="lv-LV"/>
        </w:rPr>
        <w:t>da</w:t>
      </w:r>
      <w:r w:rsidRPr="004D6021">
        <w:rPr>
          <w:lang w:val="lv-LV"/>
        </w:rPr>
        <w:t>, ka pieteikuma iesniedzēja aizstāvības advokātam bija tiesības būt klāt vietā, kur atradās viņa klients</w:t>
      </w:r>
      <w:r w:rsidR="00C3415A">
        <w:rPr>
          <w:lang w:val="lv-LV"/>
        </w:rPr>
        <w:t>,</w:t>
      </w:r>
      <w:r w:rsidRPr="004D6021">
        <w:rPr>
          <w:lang w:val="lv-LV"/>
        </w:rPr>
        <w:t xml:space="preserve"> un konfidenciāli apspriesties ar viņu. Tā</w:t>
      </w:r>
      <w:r w:rsidR="00C3415A">
        <w:rPr>
          <w:lang w:val="lv-LV"/>
        </w:rPr>
        <w:t>das</w:t>
      </w:r>
      <w:r w:rsidRPr="004D6021">
        <w:rPr>
          <w:lang w:val="lv-LV"/>
        </w:rPr>
        <w:t xml:space="preserve"> </w:t>
      </w:r>
      <w:r w:rsidR="00C3415A">
        <w:rPr>
          <w:lang w:val="lv-LV"/>
        </w:rPr>
        <w:t xml:space="preserve">tiesības </w:t>
      </w:r>
      <w:r w:rsidRPr="004D6021">
        <w:rPr>
          <w:lang w:val="lv-LV"/>
        </w:rPr>
        <w:t>bija arī tiesas sēžu zālē esoš</w:t>
      </w:r>
      <w:r w:rsidR="00C3415A">
        <w:rPr>
          <w:lang w:val="lv-LV"/>
        </w:rPr>
        <w:t>ajam</w:t>
      </w:r>
      <w:r w:rsidRPr="004D6021">
        <w:rPr>
          <w:lang w:val="lv-LV"/>
        </w:rPr>
        <w:t xml:space="preserve"> aizstāvības advokāta</w:t>
      </w:r>
      <w:r w:rsidR="00C3415A">
        <w:rPr>
          <w:lang w:val="lv-LV"/>
        </w:rPr>
        <w:t>m</w:t>
      </w:r>
      <w:r w:rsidRPr="004D6021">
        <w:rPr>
          <w:lang w:val="lv-LV"/>
        </w:rPr>
        <w:t xml:space="preserve"> saskaņā ar likumu (sk. Kriminālprocesa kodeksa īstenošanas noteikumu 146.</w:t>
      </w:r>
      <w:r w:rsidRPr="004D6021">
        <w:rPr>
          <w:i/>
          <w:lang w:val="lv-LV"/>
        </w:rPr>
        <w:t>bis</w:t>
      </w:r>
      <w:r w:rsidRPr="004D6021">
        <w:rPr>
          <w:lang w:val="lv-LV"/>
        </w:rPr>
        <w:t xml:space="preserve"> panta 4. punktu). Nekas neliecina par to, ka šajā lietā būtu bijušas pārkāptas pieteikuma iesniedzēja tiesības sazināties ar savu advokātu</w:t>
      </w:r>
      <w:r w:rsidR="00C3415A">
        <w:rPr>
          <w:lang w:val="lv-LV"/>
        </w:rPr>
        <w:t>, trešajām pusēm nedzirdot</w:t>
      </w:r>
      <w:r w:rsidRPr="004D6021">
        <w:rPr>
          <w:lang w:val="lv-LV"/>
        </w:rPr>
        <w:t>.</w:t>
      </w:r>
    </w:p>
    <w:p w:rsidR="006078C9" w:rsidRPr="004D6021" w:rsidRDefault="006078C9" w:rsidP="00583503">
      <w:pPr>
        <w:pStyle w:val="JuPara"/>
        <w:ind w:firstLine="0"/>
        <w:rPr>
          <w:lang w:val="lv-LV"/>
        </w:rPr>
      </w:pPr>
    </w:p>
    <w:p w:rsidR="003235DE" w:rsidRPr="004D6021" w:rsidRDefault="003235DE" w:rsidP="003235DE">
      <w:pPr>
        <w:pStyle w:val="JuPara"/>
        <w:ind w:firstLine="0"/>
        <w:rPr>
          <w:lang w:val="lv-LV"/>
        </w:rPr>
      </w:pPr>
      <w:r w:rsidRPr="004D6021">
        <w:rPr>
          <w:lang w:val="lv-LV"/>
        </w:rPr>
        <w:t xml:space="preserve">76. Tāpēc Tiesa atzīst, ka pieteikuma iesniedzēja dalība </w:t>
      </w:r>
      <w:r w:rsidR="00C3415A">
        <w:rPr>
          <w:lang w:val="lv-LV"/>
        </w:rPr>
        <w:t xml:space="preserve">otrā kriminālprocesa </w:t>
      </w:r>
      <w:r w:rsidRPr="004D6021">
        <w:rPr>
          <w:lang w:val="lv-LV"/>
        </w:rPr>
        <w:t xml:space="preserve">apelācijas tiesas sēdē, izmantojot videokonferenci, būtiski neietekmēja viņa aizstāvību salīdzinājumā ar pārējo tiesvedības pušu aizstāvību un ka pieteikuma iesniedzējam bija </w:t>
      </w:r>
      <w:r w:rsidR="003A41E4" w:rsidRPr="004D6021">
        <w:rPr>
          <w:lang w:val="lv-LV"/>
        </w:rPr>
        <w:t>iespēja</w:t>
      </w:r>
      <w:r w:rsidRPr="004D6021">
        <w:rPr>
          <w:lang w:val="lv-LV"/>
        </w:rPr>
        <w:t xml:space="preserve"> īstenot savas tiesības saistībā ar taisnīgu tiesu, kas noteiktas 6. pantā.</w:t>
      </w:r>
    </w:p>
    <w:p w:rsidR="006078C9" w:rsidRPr="004D6021" w:rsidRDefault="006078C9" w:rsidP="00583503">
      <w:pPr>
        <w:pStyle w:val="JuPara"/>
        <w:ind w:firstLine="0"/>
        <w:rPr>
          <w:lang w:val="lv-LV"/>
        </w:rPr>
      </w:pPr>
    </w:p>
    <w:p w:rsidR="00661CCE" w:rsidRPr="004D6021" w:rsidRDefault="00661CCE" w:rsidP="00661CCE">
      <w:pPr>
        <w:pStyle w:val="JuPara"/>
        <w:ind w:firstLine="0"/>
        <w:rPr>
          <w:lang w:val="lv-LV"/>
        </w:rPr>
      </w:pPr>
      <w:r w:rsidRPr="004D6021">
        <w:rPr>
          <w:lang w:val="lv-LV"/>
        </w:rPr>
        <w:t>77. No tā izriet, ka nav noticis Konvencijas 6. panta pārkāpums.</w:t>
      </w:r>
    </w:p>
    <w:p w:rsidR="006078C9" w:rsidRPr="004D6021" w:rsidRDefault="006078C9" w:rsidP="00583503">
      <w:pPr>
        <w:pStyle w:val="JuPara"/>
        <w:ind w:firstLine="0"/>
        <w:rPr>
          <w:lang w:val="lv-LV"/>
        </w:rPr>
      </w:pPr>
    </w:p>
    <w:p w:rsidR="006078C9" w:rsidRPr="004D6021" w:rsidRDefault="00F91CA8" w:rsidP="00583503">
      <w:pPr>
        <w:pStyle w:val="JuPara"/>
        <w:ind w:firstLine="0"/>
        <w:rPr>
          <w:lang w:val="lv-LV"/>
        </w:rPr>
      </w:pPr>
      <w:r w:rsidRPr="004D6021">
        <w:rPr>
          <w:lang w:val="lv-LV"/>
        </w:rPr>
        <w:t>...</w:t>
      </w:r>
    </w:p>
    <w:p w:rsidR="006078C9" w:rsidRPr="004D6021" w:rsidRDefault="006078C9" w:rsidP="00583503">
      <w:pPr>
        <w:pStyle w:val="JuPara"/>
        <w:ind w:firstLine="0"/>
        <w:rPr>
          <w:lang w:val="lv-LV"/>
        </w:rPr>
      </w:pPr>
    </w:p>
    <w:p w:rsidR="00661CCE" w:rsidRPr="004D6021" w:rsidRDefault="00661CCE" w:rsidP="00661CCE">
      <w:pPr>
        <w:pStyle w:val="JuHHead"/>
        <w:spacing w:before="0" w:after="0"/>
        <w:rPr>
          <w:szCs w:val="24"/>
          <w:lang w:val="lv-LV"/>
        </w:rPr>
      </w:pPr>
      <w:r w:rsidRPr="004D6021">
        <w:rPr>
          <w:szCs w:val="24"/>
          <w:lang w:val="lv-LV"/>
        </w:rPr>
        <w:t>ŠO IEMESLU DĒĻ TIESA VIENPRĀTĪGI</w:t>
      </w:r>
    </w:p>
    <w:p w:rsidR="006078C9" w:rsidRPr="004D6021" w:rsidRDefault="006078C9" w:rsidP="00583503">
      <w:pPr>
        <w:pStyle w:val="JuHHead"/>
        <w:spacing w:before="0" w:after="0"/>
        <w:rPr>
          <w:lang w:val="lv-LV"/>
        </w:rPr>
      </w:pPr>
    </w:p>
    <w:p w:rsidR="006078C9" w:rsidRPr="004D6021" w:rsidRDefault="00F91CA8" w:rsidP="00583503">
      <w:pPr>
        <w:pStyle w:val="JuList"/>
        <w:ind w:left="0" w:firstLine="0"/>
        <w:rPr>
          <w:lang w:val="lv-LV"/>
        </w:rPr>
      </w:pPr>
      <w:r w:rsidRPr="004D6021">
        <w:rPr>
          <w:lang w:val="lv-LV"/>
        </w:rPr>
        <w:t>...</w:t>
      </w:r>
    </w:p>
    <w:p w:rsidR="006078C9" w:rsidRPr="004D6021" w:rsidRDefault="006078C9" w:rsidP="00583503">
      <w:pPr>
        <w:pStyle w:val="JuList"/>
        <w:ind w:left="0" w:firstLine="0"/>
        <w:rPr>
          <w:lang w:val="lv-LV"/>
        </w:rPr>
      </w:pPr>
    </w:p>
    <w:p w:rsidR="00661CCE" w:rsidRPr="004D6021" w:rsidRDefault="00661CCE" w:rsidP="00661CCE">
      <w:pPr>
        <w:pStyle w:val="JuList"/>
        <w:ind w:left="0" w:firstLine="0"/>
        <w:rPr>
          <w:lang w:val="lv-LV"/>
        </w:rPr>
      </w:pPr>
      <w:r w:rsidRPr="004D6021">
        <w:rPr>
          <w:lang w:val="lv-LV"/>
        </w:rPr>
        <w:t xml:space="preserve">2. </w:t>
      </w:r>
      <w:r w:rsidRPr="004D6021">
        <w:rPr>
          <w:i/>
          <w:lang w:val="lv-LV"/>
        </w:rPr>
        <w:t>nospriež,</w:t>
      </w:r>
      <w:r w:rsidRPr="004D6021">
        <w:rPr>
          <w:lang w:val="lv-LV"/>
        </w:rPr>
        <w:t xml:space="preserve"> ka Konvencijas 6. pants nav pārkāpts;</w:t>
      </w:r>
    </w:p>
    <w:p w:rsidR="006078C9" w:rsidRPr="004D6021" w:rsidRDefault="006078C9" w:rsidP="00583503">
      <w:pPr>
        <w:pStyle w:val="JuList"/>
        <w:ind w:left="0" w:firstLine="0"/>
        <w:rPr>
          <w:lang w:val="lv-LV"/>
        </w:rPr>
      </w:pPr>
    </w:p>
    <w:p w:rsidR="006078C9" w:rsidRPr="004D6021" w:rsidRDefault="00F91CA8" w:rsidP="00583503">
      <w:pPr>
        <w:pStyle w:val="JuList"/>
        <w:ind w:left="0" w:firstLine="0"/>
        <w:rPr>
          <w:lang w:val="lv-LV"/>
        </w:rPr>
      </w:pPr>
      <w:r w:rsidRPr="004D6021">
        <w:rPr>
          <w:lang w:val="lv-LV"/>
        </w:rPr>
        <w:t>...</w:t>
      </w:r>
    </w:p>
    <w:p w:rsidR="006078C9" w:rsidRPr="004D6021" w:rsidRDefault="006078C9" w:rsidP="00583503">
      <w:pPr>
        <w:pStyle w:val="JuList"/>
        <w:ind w:left="0" w:firstLine="0"/>
        <w:rPr>
          <w:lang w:val="lv-LV"/>
        </w:rPr>
      </w:pPr>
    </w:p>
    <w:p w:rsidR="00661CCE" w:rsidRPr="004D6021" w:rsidRDefault="00661CCE" w:rsidP="00661CCE">
      <w:pPr>
        <w:pStyle w:val="JuParaLast"/>
        <w:spacing w:before="0"/>
        <w:ind w:firstLine="0"/>
        <w:rPr>
          <w:lang w:val="lv-LV"/>
        </w:rPr>
      </w:pPr>
      <w:r w:rsidRPr="004D6021">
        <w:rPr>
          <w:lang w:val="lv-LV"/>
        </w:rPr>
        <w:t>Sagatavots franču valodā un paziņots rakstveidā 2006. gada 5. oktobrī saskaņā ar Tiesas reglamenta 77. panta 2. un 3. punktu.</w:t>
      </w:r>
    </w:p>
    <w:p w:rsidR="006078C9" w:rsidRDefault="006078C9" w:rsidP="00583503">
      <w:pPr>
        <w:pStyle w:val="JuParaLast"/>
        <w:spacing w:before="0"/>
        <w:ind w:firstLine="0"/>
        <w:rPr>
          <w:lang w:val="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5"/>
        <w:gridCol w:w="3096"/>
        <w:gridCol w:w="3096"/>
      </w:tblGrid>
      <w:tr w:rsidR="00D75EC0" w:rsidTr="00D75EC0">
        <w:tc>
          <w:tcPr>
            <w:tcW w:w="3095" w:type="dxa"/>
          </w:tcPr>
          <w:p w:rsidR="00D75EC0" w:rsidRDefault="00D75EC0" w:rsidP="00D75EC0">
            <w:pPr>
              <w:pStyle w:val="JuPara"/>
              <w:ind w:firstLine="0"/>
              <w:jc w:val="center"/>
              <w:rPr>
                <w:lang w:val="lv-LV"/>
              </w:rPr>
            </w:pPr>
            <w:r w:rsidRPr="004D6021">
              <w:rPr>
                <w:rStyle w:val="st"/>
                <w:lang w:val="lv-LV"/>
              </w:rPr>
              <w:t xml:space="preserve">Fatoša </w:t>
            </w:r>
            <w:r w:rsidRPr="004D6021">
              <w:rPr>
                <w:rStyle w:val="Emphasis"/>
                <w:i w:val="0"/>
                <w:lang w:val="lv-LV"/>
              </w:rPr>
              <w:t>Arači</w:t>
            </w:r>
          </w:p>
        </w:tc>
        <w:tc>
          <w:tcPr>
            <w:tcW w:w="3096" w:type="dxa"/>
          </w:tcPr>
          <w:p w:rsidR="00D75EC0" w:rsidRDefault="00D75EC0" w:rsidP="00D75EC0">
            <w:pPr>
              <w:pStyle w:val="JuPara"/>
              <w:ind w:firstLine="0"/>
              <w:jc w:val="center"/>
              <w:rPr>
                <w:lang w:val="lv-LV"/>
              </w:rPr>
            </w:pPr>
          </w:p>
        </w:tc>
        <w:tc>
          <w:tcPr>
            <w:tcW w:w="3096" w:type="dxa"/>
          </w:tcPr>
          <w:p w:rsidR="00D75EC0" w:rsidRDefault="00D75EC0" w:rsidP="00D75EC0">
            <w:pPr>
              <w:pStyle w:val="JuPara"/>
              <w:ind w:firstLine="0"/>
              <w:jc w:val="center"/>
              <w:rPr>
                <w:lang w:val="lv-LV"/>
              </w:rPr>
            </w:pPr>
            <w:r w:rsidRPr="004D6021">
              <w:rPr>
                <w:lang w:val="lv-LV"/>
              </w:rPr>
              <w:t>Boštjans M. </w:t>
            </w:r>
            <w:r w:rsidRPr="004D6021">
              <w:rPr>
                <w:rStyle w:val="JuNames"/>
                <w:smallCaps w:val="0"/>
                <w:lang w:val="lv-LV"/>
              </w:rPr>
              <w:t>Zupančičs</w:t>
            </w:r>
          </w:p>
        </w:tc>
      </w:tr>
      <w:tr w:rsidR="00D75EC0" w:rsidTr="00D75EC0">
        <w:tc>
          <w:tcPr>
            <w:tcW w:w="3095" w:type="dxa"/>
          </w:tcPr>
          <w:p w:rsidR="00D75EC0" w:rsidRDefault="00D75EC0" w:rsidP="00D75EC0">
            <w:pPr>
              <w:pStyle w:val="JuPara"/>
              <w:ind w:firstLine="0"/>
              <w:jc w:val="center"/>
              <w:rPr>
                <w:lang w:val="lv-LV"/>
              </w:rPr>
            </w:pPr>
            <w:r>
              <w:rPr>
                <w:lang w:val="lv-LV"/>
              </w:rPr>
              <w:t>n</w:t>
            </w:r>
            <w:r w:rsidRPr="004D6021">
              <w:rPr>
                <w:rStyle w:val="st"/>
                <w:lang w:val="lv-LV"/>
              </w:rPr>
              <w:t>odaļas sekretāra palīdze</w:t>
            </w:r>
          </w:p>
        </w:tc>
        <w:tc>
          <w:tcPr>
            <w:tcW w:w="3096" w:type="dxa"/>
          </w:tcPr>
          <w:p w:rsidR="00D75EC0" w:rsidRDefault="00D75EC0" w:rsidP="00D75EC0">
            <w:pPr>
              <w:pStyle w:val="JuPara"/>
              <w:ind w:firstLine="0"/>
              <w:jc w:val="center"/>
              <w:rPr>
                <w:lang w:val="lv-LV"/>
              </w:rPr>
            </w:pPr>
          </w:p>
        </w:tc>
        <w:tc>
          <w:tcPr>
            <w:tcW w:w="3096" w:type="dxa"/>
          </w:tcPr>
          <w:p w:rsidR="00D75EC0" w:rsidRDefault="00D75EC0" w:rsidP="00D75EC0">
            <w:pPr>
              <w:pStyle w:val="JuPara"/>
              <w:ind w:firstLine="0"/>
              <w:jc w:val="center"/>
              <w:rPr>
                <w:lang w:val="lv-LV"/>
              </w:rPr>
            </w:pPr>
            <w:r>
              <w:rPr>
                <w:lang w:val="lv-LV"/>
              </w:rPr>
              <w:t>p</w:t>
            </w:r>
            <w:r w:rsidRPr="004D6021">
              <w:rPr>
                <w:lang w:val="lv-LV"/>
              </w:rPr>
              <w:t>riekšsēdētājs</w:t>
            </w:r>
          </w:p>
        </w:tc>
      </w:tr>
    </w:tbl>
    <w:p w:rsidR="006078C9" w:rsidRPr="004D6021" w:rsidRDefault="006078C9" w:rsidP="00D75EC0">
      <w:pPr>
        <w:pStyle w:val="JuPara"/>
        <w:ind w:firstLine="0"/>
        <w:rPr>
          <w:lang w:val="lv-LV"/>
        </w:rPr>
      </w:pPr>
    </w:p>
    <w:sectPr w:rsidR="006078C9" w:rsidRPr="004D6021" w:rsidSect="006078C9">
      <w:headerReference w:type="default" r:id="rId9"/>
      <w:footerReference w:type="default" r:id="rId10"/>
      <w:headerReference w:type="first" r:id="rId11"/>
      <w:footerReference w:type="first" r:id="rId12"/>
      <w:footnotePr>
        <w:numRestart w:val="eachPage"/>
      </w:footnotePr>
      <w:pgSz w:w="11906" w:h="16838" w:code="9"/>
      <w:pgMar w:top="1134" w:right="1134" w:bottom="1134" w:left="1701" w:header="567" w:footer="567" w:gutter="0"/>
      <w:pgNumType w:start="1"/>
      <w:cols w:space="720"/>
      <w:titlePg/>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D73" w:rsidRDefault="00384D73">
      <w:r>
        <w:separator/>
      </w:r>
    </w:p>
  </w:endnote>
  <w:endnote w:type="continuationSeparator" w:id="0">
    <w:p w:rsidR="00384D73" w:rsidRDefault="00384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BA"/>
    <w:family w:val="modern"/>
    <w:pitch w:val="fixed"/>
    <w:sig w:usb0="E0002AFF" w:usb1="C0007843" w:usb2="00000009" w:usb3="00000000" w:csb0="000001FF" w:csb1="00000000"/>
  </w:font>
  <w:font w:name="Times New (W1) Tur">
    <w:altName w:val="Times New Roman"/>
    <w:panose1 w:val="00000000000000000000"/>
    <w:charset w:val="A2"/>
    <w:family w:val="roman"/>
    <w:notTrueType/>
    <w:pitch w:val="variable"/>
    <w:sig w:usb0="00000005" w:usb1="00000000" w:usb2="00000000" w:usb3="00000000" w:csb0="0000001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BBB" w:rsidRPr="00844D27" w:rsidRDefault="00AC4BBB" w:rsidP="00AC4BBB">
    <w:pPr>
      <w:pStyle w:val="Header"/>
      <w:tabs>
        <w:tab w:val="left" w:pos="9071"/>
      </w:tabs>
      <w:rPr>
        <w:rStyle w:val="PageNumber"/>
      </w:rPr>
    </w:pPr>
  </w:p>
  <w:p w:rsidR="00AC4BBB" w:rsidRPr="00844D27" w:rsidRDefault="00AC4BBB" w:rsidP="00AC4BBB">
    <w:pPr>
      <w:pStyle w:val="Header"/>
      <w:tabs>
        <w:tab w:val="clear" w:pos="3686"/>
        <w:tab w:val="clear" w:pos="7371"/>
        <w:tab w:val="right" w:leader="underscore" w:pos="9071"/>
      </w:tabs>
      <w:rPr>
        <w:rStyle w:val="PageNumber"/>
      </w:rPr>
    </w:pPr>
    <w:r w:rsidRPr="00844D27">
      <w:rPr>
        <w:rStyle w:val="PageNumber"/>
      </w:rPr>
      <w:tab/>
    </w:r>
  </w:p>
  <w:p w:rsidR="00AC4BBB" w:rsidRPr="00844D27" w:rsidRDefault="00AC4BBB" w:rsidP="00AC4BBB">
    <w:pPr>
      <w:pStyle w:val="Header"/>
      <w:tabs>
        <w:tab w:val="left" w:pos="9071"/>
      </w:tabs>
      <w:rPr>
        <w:rStyle w:val="PageNumber"/>
      </w:rPr>
    </w:pPr>
  </w:p>
  <w:p w:rsidR="00AC4BBB" w:rsidRPr="00844D27" w:rsidRDefault="00AC4BBB" w:rsidP="00AC4BBB">
    <w:pPr>
      <w:pStyle w:val="Footer"/>
      <w:tabs>
        <w:tab w:val="clear" w:pos="3686"/>
        <w:tab w:val="clear" w:pos="7371"/>
        <w:tab w:val="left" w:pos="9071"/>
      </w:tabs>
    </w:pPr>
    <w:r w:rsidRPr="00844D27">
      <w:rPr>
        <w:noProof/>
      </w:rPr>
      <w:t xml:space="preserve">Tulkojums </w:t>
    </w:r>
    <w:r w:rsidRPr="00844D27">
      <w:rPr>
        <w:noProof/>
      </w:rPr>
      <w:fldChar w:fldCharType="begin"/>
    </w:r>
    <w:r w:rsidRPr="00844D27">
      <w:rPr>
        <w:noProof/>
      </w:rPr>
      <w:instrText>symbol 211 \f "Symbol" \s 9</w:instrText>
    </w:r>
    <w:r w:rsidRPr="00844D27">
      <w:rPr>
        <w:noProof/>
      </w:rPr>
      <w:fldChar w:fldCharType="separate"/>
    </w:r>
    <w:r w:rsidRPr="00844D27">
      <w:rPr>
        <w:noProof/>
      </w:rPr>
      <w:t>Ó</w:t>
    </w:r>
    <w:r w:rsidRPr="00844D27">
      <w:rPr>
        <w:noProof/>
      </w:rPr>
      <w:fldChar w:fldCharType="end"/>
    </w:r>
    <w:r w:rsidRPr="00844D27">
      <w:rPr>
        <w:noProof/>
      </w:rPr>
      <w:t xml:space="preserve"> Valsts valodas centrs, 2015</w:t>
    </w:r>
    <w:r w:rsidRPr="00844D27">
      <w:tab/>
    </w:r>
    <w:r w:rsidRPr="00844D27">
      <w:rPr>
        <w:rStyle w:val="PageNumber"/>
      </w:rPr>
      <w:fldChar w:fldCharType="begin"/>
    </w:r>
    <w:r w:rsidRPr="00844D27">
      <w:rPr>
        <w:rStyle w:val="PageNumber"/>
      </w:rPr>
      <w:instrText xml:space="preserve">page </w:instrText>
    </w:r>
    <w:r w:rsidRPr="00844D27">
      <w:rPr>
        <w:rStyle w:val="PageNumber"/>
      </w:rPr>
      <w:fldChar w:fldCharType="separate"/>
    </w:r>
    <w:r w:rsidR="00D75EC0">
      <w:rPr>
        <w:rStyle w:val="PageNumber"/>
        <w:noProof/>
      </w:rPr>
      <w:t>2</w:t>
    </w:r>
    <w:r w:rsidRPr="00844D27">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BBB" w:rsidRPr="00844D27" w:rsidRDefault="00AC4BBB" w:rsidP="00AC4BBB">
    <w:pPr>
      <w:pStyle w:val="Header"/>
      <w:tabs>
        <w:tab w:val="left" w:pos="9072"/>
      </w:tabs>
      <w:rPr>
        <w:rStyle w:val="PageNumber"/>
      </w:rPr>
    </w:pPr>
  </w:p>
  <w:p w:rsidR="00AC4BBB" w:rsidRPr="00844D27" w:rsidRDefault="00AC4BBB" w:rsidP="00AC4BBB">
    <w:pPr>
      <w:pStyle w:val="Header"/>
      <w:tabs>
        <w:tab w:val="clear" w:pos="3686"/>
        <w:tab w:val="clear" w:pos="7371"/>
        <w:tab w:val="left" w:leader="underscore" w:pos="9071"/>
      </w:tabs>
      <w:rPr>
        <w:rStyle w:val="PageNumber"/>
      </w:rPr>
    </w:pPr>
    <w:r w:rsidRPr="00844D27">
      <w:rPr>
        <w:rStyle w:val="PageNumber"/>
      </w:rPr>
      <w:tab/>
    </w:r>
  </w:p>
  <w:p w:rsidR="00AC4BBB" w:rsidRPr="00844D27" w:rsidRDefault="00AC4BBB" w:rsidP="00AC4BBB">
    <w:pPr>
      <w:pStyle w:val="Header"/>
      <w:tabs>
        <w:tab w:val="left" w:pos="9072"/>
      </w:tabs>
      <w:rPr>
        <w:rStyle w:val="PageNumber"/>
      </w:rPr>
    </w:pPr>
  </w:p>
  <w:p w:rsidR="00AC4BBB" w:rsidRPr="00844D27" w:rsidRDefault="00AC4BBB" w:rsidP="00AC4BBB">
    <w:pPr>
      <w:pStyle w:val="Footer"/>
    </w:pPr>
    <w:r w:rsidRPr="00844D27">
      <w:rPr>
        <w:noProof/>
      </w:rPr>
      <w:t xml:space="preserve">Tulkojums </w:t>
    </w:r>
    <w:r w:rsidRPr="00844D27">
      <w:rPr>
        <w:noProof/>
      </w:rPr>
      <w:fldChar w:fldCharType="begin"/>
    </w:r>
    <w:r w:rsidRPr="00844D27">
      <w:rPr>
        <w:noProof/>
      </w:rPr>
      <w:instrText>symbol 211 \f "Symbol" \s 9</w:instrText>
    </w:r>
    <w:r w:rsidRPr="00844D27">
      <w:rPr>
        <w:noProof/>
      </w:rPr>
      <w:fldChar w:fldCharType="separate"/>
    </w:r>
    <w:r w:rsidRPr="00844D27">
      <w:rPr>
        <w:noProof/>
      </w:rPr>
      <w:t>Ó</w:t>
    </w:r>
    <w:r w:rsidRPr="00844D27">
      <w:rPr>
        <w:noProof/>
      </w:rPr>
      <w:fldChar w:fldCharType="end"/>
    </w:r>
    <w:r w:rsidRPr="00844D27">
      <w:rPr>
        <w:noProof/>
      </w:rPr>
      <w:t xml:space="preserve"> Valsts valodas centrs,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D73" w:rsidRDefault="00384D73">
      <w:r>
        <w:separator/>
      </w:r>
    </w:p>
  </w:footnote>
  <w:footnote w:type="continuationSeparator" w:id="0">
    <w:p w:rsidR="00384D73" w:rsidRDefault="00384D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BBB" w:rsidRPr="005D04BD" w:rsidRDefault="00AC4BBB" w:rsidP="00AC4BBB">
    <w:pPr>
      <w:pStyle w:val="Header"/>
      <w:rPr>
        <w:rStyle w:val="PageNumber"/>
      </w:rPr>
    </w:pPr>
  </w:p>
  <w:p w:rsidR="00AC4BBB" w:rsidRPr="005D04BD" w:rsidRDefault="00AC4BBB" w:rsidP="00AC4BBB">
    <w:pPr>
      <w:pStyle w:val="Header"/>
      <w:tabs>
        <w:tab w:val="clear" w:pos="3686"/>
        <w:tab w:val="clear" w:pos="7371"/>
        <w:tab w:val="right" w:leader="underscore" w:pos="9071"/>
      </w:tabs>
      <w:rPr>
        <w:rStyle w:val="PageNumber"/>
      </w:rPr>
    </w:pPr>
    <w:r w:rsidRPr="005D04BD">
      <w:rPr>
        <w:rStyle w:val="PageNumber"/>
      </w:rPr>
      <w:tab/>
    </w:r>
  </w:p>
  <w:p w:rsidR="00AC4BBB" w:rsidRPr="00844D27" w:rsidRDefault="00AC4BBB" w:rsidP="00AC4B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BBB" w:rsidRPr="005D04BD" w:rsidRDefault="00AC4BBB" w:rsidP="00AC4BBB">
    <w:pPr>
      <w:pBdr>
        <w:bottom w:val="single" w:sz="12" w:space="5" w:color="auto"/>
      </w:pBdr>
      <w:rPr>
        <w:spacing w:val="-2"/>
        <w:sz w:val="18"/>
        <w:szCs w:val="18"/>
      </w:rPr>
    </w:pPr>
  </w:p>
  <w:p w:rsidR="00AC4BBB" w:rsidRDefault="00AC4B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multilevel"/>
    <w:tmpl w:val="24AC65D0"/>
    <w:lvl w:ilvl="0">
      <w:start w:val="1"/>
      <w:numFmt w:val="bullet"/>
      <w:lvlText w:val=""/>
      <w:lvlJc w:val="left"/>
      <w:pPr>
        <w:tabs>
          <w:tab w:val="num" w:pos="1800"/>
        </w:tabs>
        <w:ind w:left="180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FFFFFF82"/>
    <w:multiLevelType w:val="multilevel"/>
    <w:tmpl w:val="00C25450"/>
    <w:lvl w:ilvl="0">
      <w:start w:val="1"/>
      <w:numFmt w:val="bullet"/>
      <w:lvlText w:val=""/>
      <w:lvlJc w:val="left"/>
      <w:pPr>
        <w:tabs>
          <w:tab w:val="num" w:pos="1080"/>
        </w:tabs>
        <w:ind w:left="108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FFFFFF83"/>
    <w:multiLevelType w:val="multilevel"/>
    <w:tmpl w:val="179E5246"/>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FFFFFF88"/>
    <w:multiLevelType w:val="multilevel"/>
    <w:tmpl w:val="54887B4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FFFFFF89"/>
    <w:multiLevelType w:val="multilevel"/>
    <w:tmpl w:val="F7C4BA64"/>
    <w:lvl w:ilvl="0">
      <w:start w:val="1"/>
      <w:numFmt w:val="bullet"/>
      <w:lvlText w:val=""/>
      <w:lvlJc w:val="left"/>
      <w:pPr>
        <w:tabs>
          <w:tab w:val="num" w:pos="360"/>
        </w:tabs>
        <w:ind w:left="36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5FF3BC0"/>
    <w:multiLevelType w:val="multilevel"/>
    <w:tmpl w:val="94D40CD0"/>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nsid w:val="066466DE"/>
    <w:multiLevelType w:val="hybridMultilevel"/>
    <w:tmpl w:val="CA861AA8"/>
    <w:lvl w:ilvl="0" w:tplc="974A63AA">
      <w:start w:val="2"/>
      <w:numFmt w:val="lowerLetter"/>
      <w:lvlText w:val="(%1)"/>
      <w:lvlJc w:val="left"/>
      <w:pPr>
        <w:tabs>
          <w:tab w:val="num" w:pos="995"/>
        </w:tabs>
        <w:ind w:left="995" w:hanging="360"/>
      </w:pPr>
      <w:rPr>
        <w:rFonts w:hint="default"/>
      </w:rPr>
    </w:lvl>
    <w:lvl w:ilvl="1" w:tplc="08090019">
      <w:start w:val="1"/>
      <w:numFmt w:val="lowerLetter"/>
      <w:lvlText w:val="%2."/>
      <w:lvlJc w:val="left"/>
      <w:pPr>
        <w:tabs>
          <w:tab w:val="num" w:pos="1715"/>
        </w:tabs>
        <w:ind w:left="1715" w:hanging="360"/>
      </w:pPr>
    </w:lvl>
    <w:lvl w:ilvl="2" w:tplc="0809001B">
      <w:start w:val="1"/>
      <w:numFmt w:val="lowerRoman"/>
      <w:lvlText w:val="%3."/>
      <w:lvlJc w:val="right"/>
      <w:pPr>
        <w:tabs>
          <w:tab w:val="num" w:pos="2435"/>
        </w:tabs>
        <w:ind w:left="2435" w:hanging="180"/>
      </w:pPr>
    </w:lvl>
    <w:lvl w:ilvl="3" w:tplc="0809000F">
      <w:start w:val="1"/>
      <w:numFmt w:val="decimal"/>
      <w:lvlText w:val="%4."/>
      <w:lvlJc w:val="left"/>
      <w:pPr>
        <w:tabs>
          <w:tab w:val="num" w:pos="3155"/>
        </w:tabs>
        <w:ind w:left="3155" w:hanging="360"/>
      </w:pPr>
    </w:lvl>
    <w:lvl w:ilvl="4" w:tplc="08090019">
      <w:start w:val="1"/>
      <w:numFmt w:val="lowerLetter"/>
      <w:lvlText w:val="%5."/>
      <w:lvlJc w:val="left"/>
      <w:pPr>
        <w:tabs>
          <w:tab w:val="num" w:pos="3875"/>
        </w:tabs>
        <w:ind w:left="3875" w:hanging="360"/>
      </w:pPr>
    </w:lvl>
    <w:lvl w:ilvl="5" w:tplc="0809001B">
      <w:start w:val="1"/>
      <w:numFmt w:val="lowerRoman"/>
      <w:lvlText w:val="%6."/>
      <w:lvlJc w:val="right"/>
      <w:pPr>
        <w:tabs>
          <w:tab w:val="num" w:pos="4595"/>
        </w:tabs>
        <w:ind w:left="4595" w:hanging="180"/>
      </w:pPr>
    </w:lvl>
    <w:lvl w:ilvl="6" w:tplc="0809000F">
      <w:start w:val="1"/>
      <w:numFmt w:val="decimal"/>
      <w:lvlText w:val="%7."/>
      <w:lvlJc w:val="left"/>
      <w:pPr>
        <w:tabs>
          <w:tab w:val="num" w:pos="5315"/>
        </w:tabs>
        <w:ind w:left="5315" w:hanging="360"/>
      </w:pPr>
    </w:lvl>
    <w:lvl w:ilvl="7" w:tplc="08090019">
      <w:start w:val="1"/>
      <w:numFmt w:val="lowerLetter"/>
      <w:lvlText w:val="%8."/>
      <w:lvlJc w:val="left"/>
      <w:pPr>
        <w:tabs>
          <w:tab w:val="num" w:pos="6035"/>
        </w:tabs>
        <w:ind w:left="6035" w:hanging="360"/>
      </w:pPr>
    </w:lvl>
    <w:lvl w:ilvl="8" w:tplc="0809001B">
      <w:start w:val="1"/>
      <w:numFmt w:val="lowerRoman"/>
      <w:lvlText w:val="%9."/>
      <w:lvlJc w:val="right"/>
      <w:pPr>
        <w:tabs>
          <w:tab w:val="num" w:pos="6755"/>
        </w:tabs>
        <w:ind w:left="6755" w:hanging="180"/>
      </w:pPr>
    </w:lvl>
  </w:abstractNum>
  <w:abstractNum w:abstractNumId="7">
    <w:nsid w:val="0A050944"/>
    <w:multiLevelType w:val="multilevel"/>
    <w:tmpl w:val="94D40CD0"/>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8">
    <w:nsid w:val="0B8104C5"/>
    <w:multiLevelType w:val="multilevel"/>
    <w:tmpl w:val="94D40CD0"/>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9">
    <w:nsid w:val="14861340"/>
    <w:multiLevelType w:val="multilevel"/>
    <w:tmpl w:val="94D40CD0"/>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0">
    <w:nsid w:val="1B0548AF"/>
    <w:multiLevelType w:val="hybridMultilevel"/>
    <w:tmpl w:val="0E7E6480"/>
    <w:lvl w:ilvl="0" w:tplc="E3F26A94">
      <w:start w:val="3"/>
      <w:numFmt w:val="decimal"/>
      <w:lvlText w:val="%1."/>
      <w:lvlJc w:val="left"/>
      <w:pPr>
        <w:tabs>
          <w:tab w:val="num" w:pos="791"/>
        </w:tabs>
        <w:ind w:left="791" w:hanging="360"/>
      </w:pPr>
      <w:rPr>
        <w:rFonts w:hint="default"/>
      </w:rPr>
    </w:lvl>
    <w:lvl w:ilvl="1" w:tplc="08090019">
      <w:start w:val="1"/>
      <w:numFmt w:val="lowerLetter"/>
      <w:lvlText w:val="%2."/>
      <w:lvlJc w:val="left"/>
      <w:pPr>
        <w:tabs>
          <w:tab w:val="num" w:pos="1511"/>
        </w:tabs>
        <w:ind w:left="1511" w:hanging="360"/>
      </w:pPr>
    </w:lvl>
    <w:lvl w:ilvl="2" w:tplc="0809001B">
      <w:start w:val="1"/>
      <w:numFmt w:val="lowerRoman"/>
      <w:lvlText w:val="%3."/>
      <w:lvlJc w:val="right"/>
      <w:pPr>
        <w:tabs>
          <w:tab w:val="num" w:pos="2231"/>
        </w:tabs>
        <w:ind w:left="2231" w:hanging="180"/>
      </w:pPr>
    </w:lvl>
    <w:lvl w:ilvl="3" w:tplc="0809000F">
      <w:start w:val="1"/>
      <w:numFmt w:val="decimal"/>
      <w:lvlText w:val="%4."/>
      <w:lvlJc w:val="left"/>
      <w:pPr>
        <w:tabs>
          <w:tab w:val="num" w:pos="2951"/>
        </w:tabs>
        <w:ind w:left="2951" w:hanging="360"/>
      </w:pPr>
    </w:lvl>
    <w:lvl w:ilvl="4" w:tplc="08090019">
      <w:start w:val="1"/>
      <w:numFmt w:val="lowerLetter"/>
      <w:lvlText w:val="%5."/>
      <w:lvlJc w:val="left"/>
      <w:pPr>
        <w:tabs>
          <w:tab w:val="num" w:pos="3671"/>
        </w:tabs>
        <w:ind w:left="3671" w:hanging="360"/>
      </w:pPr>
    </w:lvl>
    <w:lvl w:ilvl="5" w:tplc="0809001B">
      <w:start w:val="1"/>
      <w:numFmt w:val="lowerRoman"/>
      <w:lvlText w:val="%6."/>
      <w:lvlJc w:val="right"/>
      <w:pPr>
        <w:tabs>
          <w:tab w:val="num" w:pos="4391"/>
        </w:tabs>
        <w:ind w:left="4391" w:hanging="180"/>
      </w:pPr>
    </w:lvl>
    <w:lvl w:ilvl="6" w:tplc="0809000F">
      <w:start w:val="1"/>
      <w:numFmt w:val="decimal"/>
      <w:lvlText w:val="%7."/>
      <w:lvlJc w:val="left"/>
      <w:pPr>
        <w:tabs>
          <w:tab w:val="num" w:pos="5111"/>
        </w:tabs>
        <w:ind w:left="5111" w:hanging="360"/>
      </w:pPr>
    </w:lvl>
    <w:lvl w:ilvl="7" w:tplc="08090019">
      <w:start w:val="1"/>
      <w:numFmt w:val="lowerLetter"/>
      <w:lvlText w:val="%8."/>
      <w:lvlJc w:val="left"/>
      <w:pPr>
        <w:tabs>
          <w:tab w:val="num" w:pos="5831"/>
        </w:tabs>
        <w:ind w:left="5831" w:hanging="360"/>
      </w:pPr>
    </w:lvl>
    <w:lvl w:ilvl="8" w:tplc="0809001B">
      <w:start w:val="1"/>
      <w:numFmt w:val="lowerRoman"/>
      <w:lvlText w:val="%9."/>
      <w:lvlJc w:val="right"/>
      <w:pPr>
        <w:tabs>
          <w:tab w:val="num" w:pos="6551"/>
        </w:tabs>
        <w:ind w:left="6551" w:hanging="180"/>
      </w:pPr>
    </w:lvl>
  </w:abstractNum>
  <w:abstractNum w:abstractNumId="11">
    <w:nsid w:val="1CE35BA0"/>
    <w:multiLevelType w:val="multilevel"/>
    <w:tmpl w:val="94D40CD0"/>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nsid w:val="22EC6E04"/>
    <w:multiLevelType w:val="multilevel"/>
    <w:tmpl w:val="BAC48052"/>
    <w:lvl w:ilvl="0">
      <w:start w:val="1"/>
      <w:numFmt w:val="decimal"/>
      <w:lvlText w:val="%1."/>
      <w:lvlJc w:val="left"/>
      <w:pPr>
        <w:tabs>
          <w:tab w:val="num" w:pos="1412"/>
        </w:tabs>
        <w:ind w:left="1412" w:hanging="705"/>
      </w:pPr>
      <w:rPr>
        <w:rFonts w:hint="default"/>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399540C"/>
    <w:multiLevelType w:val="multilevel"/>
    <w:tmpl w:val="94D40CD0"/>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4">
    <w:nsid w:val="242C5CEC"/>
    <w:multiLevelType w:val="hybridMultilevel"/>
    <w:tmpl w:val="BCDCE136"/>
    <w:lvl w:ilvl="0" w:tplc="A242501C">
      <w:start w:val="7"/>
      <w:numFmt w:val="upperLetter"/>
      <w:lvlText w:val="%1."/>
      <w:lvlJc w:val="left"/>
      <w:pPr>
        <w:tabs>
          <w:tab w:val="num" w:pos="791"/>
        </w:tabs>
        <w:ind w:left="791" w:hanging="360"/>
      </w:pPr>
      <w:rPr>
        <w:rFonts w:hint="default"/>
      </w:rPr>
    </w:lvl>
    <w:lvl w:ilvl="1" w:tplc="08090019">
      <w:start w:val="1"/>
      <w:numFmt w:val="lowerLetter"/>
      <w:lvlText w:val="%2."/>
      <w:lvlJc w:val="left"/>
      <w:pPr>
        <w:tabs>
          <w:tab w:val="num" w:pos="1511"/>
        </w:tabs>
        <w:ind w:left="1511" w:hanging="360"/>
      </w:pPr>
    </w:lvl>
    <w:lvl w:ilvl="2" w:tplc="0809001B">
      <w:start w:val="1"/>
      <w:numFmt w:val="lowerRoman"/>
      <w:lvlText w:val="%3."/>
      <w:lvlJc w:val="right"/>
      <w:pPr>
        <w:tabs>
          <w:tab w:val="num" w:pos="2231"/>
        </w:tabs>
        <w:ind w:left="2231" w:hanging="180"/>
      </w:pPr>
    </w:lvl>
    <w:lvl w:ilvl="3" w:tplc="0809000F">
      <w:start w:val="1"/>
      <w:numFmt w:val="decimal"/>
      <w:lvlText w:val="%4."/>
      <w:lvlJc w:val="left"/>
      <w:pPr>
        <w:tabs>
          <w:tab w:val="num" w:pos="2951"/>
        </w:tabs>
        <w:ind w:left="2951" w:hanging="360"/>
      </w:pPr>
    </w:lvl>
    <w:lvl w:ilvl="4" w:tplc="08090019">
      <w:start w:val="1"/>
      <w:numFmt w:val="lowerLetter"/>
      <w:lvlText w:val="%5."/>
      <w:lvlJc w:val="left"/>
      <w:pPr>
        <w:tabs>
          <w:tab w:val="num" w:pos="3671"/>
        </w:tabs>
        <w:ind w:left="3671" w:hanging="360"/>
      </w:pPr>
    </w:lvl>
    <w:lvl w:ilvl="5" w:tplc="0809001B">
      <w:start w:val="1"/>
      <w:numFmt w:val="lowerRoman"/>
      <w:lvlText w:val="%6."/>
      <w:lvlJc w:val="right"/>
      <w:pPr>
        <w:tabs>
          <w:tab w:val="num" w:pos="4391"/>
        </w:tabs>
        <w:ind w:left="4391" w:hanging="180"/>
      </w:pPr>
    </w:lvl>
    <w:lvl w:ilvl="6" w:tplc="0809000F">
      <w:start w:val="1"/>
      <w:numFmt w:val="decimal"/>
      <w:lvlText w:val="%7."/>
      <w:lvlJc w:val="left"/>
      <w:pPr>
        <w:tabs>
          <w:tab w:val="num" w:pos="5111"/>
        </w:tabs>
        <w:ind w:left="5111" w:hanging="360"/>
      </w:pPr>
    </w:lvl>
    <w:lvl w:ilvl="7" w:tplc="08090019">
      <w:start w:val="1"/>
      <w:numFmt w:val="lowerLetter"/>
      <w:lvlText w:val="%8."/>
      <w:lvlJc w:val="left"/>
      <w:pPr>
        <w:tabs>
          <w:tab w:val="num" w:pos="5831"/>
        </w:tabs>
        <w:ind w:left="5831" w:hanging="360"/>
      </w:pPr>
    </w:lvl>
    <w:lvl w:ilvl="8" w:tplc="0809001B">
      <w:start w:val="1"/>
      <w:numFmt w:val="lowerRoman"/>
      <w:lvlText w:val="%9."/>
      <w:lvlJc w:val="right"/>
      <w:pPr>
        <w:tabs>
          <w:tab w:val="num" w:pos="6551"/>
        </w:tabs>
        <w:ind w:left="6551" w:hanging="180"/>
      </w:pPr>
    </w:lvl>
  </w:abstractNum>
  <w:abstractNum w:abstractNumId="15">
    <w:nsid w:val="255036A8"/>
    <w:multiLevelType w:val="hybridMultilevel"/>
    <w:tmpl w:val="5C4E9A44"/>
    <w:lvl w:ilvl="0" w:tplc="1758CD8E">
      <w:start w:val="3"/>
      <w:numFmt w:val="upperRoman"/>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6">
    <w:nsid w:val="2C4C22E6"/>
    <w:multiLevelType w:val="multilevel"/>
    <w:tmpl w:val="94D40CD0"/>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7">
    <w:nsid w:val="2D4157B2"/>
    <w:multiLevelType w:val="multilevel"/>
    <w:tmpl w:val="94D40CD0"/>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8">
    <w:nsid w:val="37E04B0A"/>
    <w:multiLevelType w:val="multilevel"/>
    <w:tmpl w:val="94D40CD0"/>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9">
    <w:nsid w:val="3A6A403A"/>
    <w:multiLevelType w:val="multilevel"/>
    <w:tmpl w:val="94D40CD0"/>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0">
    <w:nsid w:val="3C513E2F"/>
    <w:multiLevelType w:val="multilevel"/>
    <w:tmpl w:val="94D40CD0"/>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1">
    <w:nsid w:val="3C95542D"/>
    <w:multiLevelType w:val="multilevel"/>
    <w:tmpl w:val="94D40CD0"/>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2">
    <w:nsid w:val="50760D66"/>
    <w:multiLevelType w:val="multilevel"/>
    <w:tmpl w:val="94D40CD0"/>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3">
    <w:nsid w:val="52140A4E"/>
    <w:multiLevelType w:val="multilevel"/>
    <w:tmpl w:val="94D40CD0"/>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4">
    <w:nsid w:val="601A116F"/>
    <w:multiLevelType w:val="multilevel"/>
    <w:tmpl w:val="94D40CD0"/>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5">
    <w:nsid w:val="612339BC"/>
    <w:multiLevelType w:val="multilevel"/>
    <w:tmpl w:val="94D40CD0"/>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6">
    <w:nsid w:val="651B1C3D"/>
    <w:multiLevelType w:val="multilevel"/>
    <w:tmpl w:val="94D40CD0"/>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7">
    <w:nsid w:val="68ED0762"/>
    <w:multiLevelType w:val="multilevel"/>
    <w:tmpl w:val="94D40CD0"/>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8">
    <w:nsid w:val="6C2336F9"/>
    <w:multiLevelType w:val="multilevel"/>
    <w:tmpl w:val="94D40CD0"/>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9">
    <w:nsid w:val="740005CA"/>
    <w:multiLevelType w:val="multilevel"/>
    <w:tmpl w:val="94D40CD0"/>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0">
    <w:nsid w:val="74884767"/>
    <w:multiLevelType w:val="multilevel"/>
    <w:tmpl w:val="94D40CD0"/>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1">
    <w:nsid w:val="74A52A1A"/>
    <w:multiLevelType w:val="hybridMultilevel"/>
    <w:tmpl w:val="C7B4FC24"/>
    <w:lvl w:ilvl="0" w:tplc="80C6A7D2">
      <w:start w:val="3"/>
      <w:numFmt w:val="decimal"/>
      <w:lvlText w:val="%1"/>
      <w:lvlJc w:val="left"/>
      <w:pPr>
        <w:tabs>
          <w:tab w:val="num" w:pos="791"/>
        </w:tabs>
        <w:ind w:left="791" w:hanging="360"/>
      </w:pPr>
      <w:rPr>
        <w:rFonts w:hint="default"/>
      </w:rPr>
    </w:lvl>
    <w:lvl w:ilvl="1" w:tplc="04090019">
      <w:start w:val="1"/>
      <w:numFmt w:val="lowerLetter"/>
      <w:lvlText w:val="%2."/>
      <w:lvlJc w:val="left"/>
      <w:pPr>
        <w:tabs>
          <w:tab w:val="num" w:pos="1511"/>
        </w:tabs>
        <w:ind w:left="1511" w:hanging="360"/>
      </w:pPr>
    </w:lvl>
    <w:lvl w:ilvl="2" w:tplc="0409001B">
      <w:start w:val="1"/>
      <w:numFmt w:val="lowerRoman"/>
      <w:lvlText w:val="%3."/>
      <w:lvlJc w:val="right"/>
      <w:pPr>
        <w:tabs>
          <w:tab w:val="num" w:pos="2231"/>
        </w:tabs>
        <w:ind w:left="2231" w:hanging="180"/>
      </w:pPr>
    </w:lvl>
    <w:lvl w:ilvl="3" w:tplc="0409000F">
      <w:start w:val="1"/>
      <w:numFmt w:val="decimal"/>
      <w:lvlText w:val="%4."/>
      <w:lvlJc w:val="left"/>
      <w:pPr>
        <w:tabs>
          <w:tab w:val="num" w:pos="2951"/>
        </w:tabs>
        <w:ind w:left="2951" w:hanging="360"/>
      </w:pPr>
    </w:lvl>
    <w:lvl w:ilvl="4" w:tplc="04090019">
      <w:start w:val="1"/>
      <w:numFmt w:val="lowerLetter"/>
      <w:lvlText w:val="%5."/>
      <w:lvlJc w:val="left"/>
      <w:pPr>
        <w:tabs>
          <w:tab w:val="num" w:pos="3671"/>
        </w:tabs>
        <w:ind w:left="3671" w:hanging="360"/>
      </w:pPr>
    </w:lvl>
    <w:lvl w:ilvl="5" w:tplc="0409001B">
      <w:start w:val="1"/>
      <w:numFmt w:val="lowerRoman"/>
      <w:lvlText w:val="%6."/>
      <w:lvlJc w:val="right"/>
      <w:pPr>
        <w:tabs>
          <w:tab w:val="num" w:pos="4391"/>
        </w:tabs>
        <w:ind w:left="4391" w:hanging="180"/>
      </w:pPr>
    </w:lvl>
    <w:lvl w:ilvl="6" w:tplc="0409000F">
      <w:start w:val="1"/>
      <w:numFmt w:val="decimal"/>
      <w:lvlText w:val="%7."/>
      <w:lvlJc w:val="left"/>
      <w:pPr>
        <w:tabs>
          <w:tab w:val="num" w:pos="5111"/>
        </w:tabs>
        <w:ind w:left="5111" w:hanging="360"/>
      </w:pPr>
    </w:lvl>
    <w:lvl w:ilvl="7" w:tplc="04090019">
      <w:start w:val="1"/>
      <w:numFmt w:val="lowerLetter"/>
      <w:lvlText w:val="%8."/>
      <w:lvlJc w:val="left"/>
      <w:pPr>
        <w:tabs>
          <w:tab w:val="num" w:pos="5831"/>
        </w:tabs>
        <w:ind w:left="5831" w:hanging="360"/>
      </w:pPr>
    </w:lvl>
    <w:lvl w:ilvl="8" w:tplc="0409001B">
      <w:start w:val="1"/>
      <w:numFmt w:val="lowerRoman"/>
      <w:lvlText w:val="%9."/>
      <w:lvlJc w:val="right"/>
      <w:pPr>
        <w:tabs>
          <w:tab w:val="num" w:pos="6551"/>
        </w:tabs>
        <w:ind w:left="6551" w:hanging="180"/>
      </w:pPr>
    </w:lvl>
  </w:abstractNum>
  <w:abstractNum w:abstractNumId="32">
    <w:nsid w:val="785C3F08"/>
    <w:multiLevelType w:val="multilevel"/>
    <w:tmpl w:val="94D40CD0"/>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3">
    <w:nsid w:val="7A9048FF"/>
    <w:multiLevelType w:val="multilevel"/>
    <w:tmpl w:val="94D40CD0"/>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4">
    <w:nsid w:val="7BDE393F"/>
    <w:multiLevelType w:val="multilevel"/>
    <w:tmpl w:val="94D40CD0"/>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5">
    <w:nsid w:val="7D556EA3"/>
    <w:multiLevelType w:val="multilevel"/>
    <w:tmpl w:val="94D40CD0"/>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num w:numId="1">
    <w:abstractNumId w:val="11"/>
  </w:num>
  <w:num w:numId="2">
    <w:abstractNumId w:val="28"/>
  </w:num>
  <w:num w:numId="3">
    <w:abstractNumId w:val="16"/>
  </w:num>
  <w:num w:numId="4">
    <w:abstractNumId w:val="26"/>
  </w:num>
  <w:num w:numId="5">
    <w:abstractNumId w:val="35"/>
  </w:num>
  <w:num w:numId="6">
    <w:abstractNumId w:val="5"/>
  </w:num>
  <w:num w:numId="7">
    <w:abstractNumId w:val="32"/>
  </w:num>
  <w:num w:numId="8">
    <w:abstractNumId w:val="4"/>
  </w:num>
  <w:num w:numId="9">
    <w:abstractNumId w:val="2"/>
  </w:num>
  <w:num w:numId="10">
    <w:abstractNumId w:val="1"/>
  </w:num>
  <w:num w:numId="11">
    <w:abstractNumId w:val="0"/>
  </w:num>
  <w:num w:numId="12">
    <w:abstractNumId w:val="3"/>
  </w:num>
  <w:num w:numId="13">
    <w:abstractNumId w:val="12"/>
  </w:num>
  <w:num w:numId="14">
    <w:abstractNumId w:val="24"/>
  </w:num>
  <w:num w:numId="15">
    <w:abstractNumId w:val="29"/>
  </w:num>
  <w:num w:numId="16">
    <w:abstractNumId w:val="17"/>
  </w:num>
  <w:num w:numId="17">
    <w:abstractNumId w:val="25"/>
  </w:num>
  <w:num w:numId="18">
    <w:abstractNumId w:val="33"/>
  </w:num>
  <w:num w:numId="19">
    <w:abstractNumId w:val="30"/>
  </w:num>
  <w:num w:numId="20">
    <w:abstractNumId w:val="13"/>
  </w:num>
  <w:num w:numId="21">
    <w:abstractNumId w:val="27"/>
  </w:num>
  <w:num w:numId="22">
    <w:abstractNumId w:val="20"/>
  </w:num>
  <w:num w:numId="23">
    <w:abstractNumId w:val="22"/>
  </w:num>
  <w:num w:numId="24">
    <w:abstractNumId w:val="7"/>
  </w:num>
  <w:num w:numId="25">
    <w:abstractNumId w:val="9"/>
  </w:num>
  <w:num w:numId="26">
    <w:abstractNumId w:val="34"/>
  </w:num>
  <w:num w:numId="27">
    <w:abstractNumId w:val="19"/>
  </w:num>
  <w:num w:numId="28">
    <w:abstractNumId w:val="23"/>
  </w:num>
  <w:num w:numId="29">
    <w:abstractNumId w:val="21"/>
  </w:num>
  <w:num w:numId="30">
    <w:abstractNumId w:val="18"/>
  </w:num>
  <w:num w:numId="31">
    <w:abstractNumId w:val="8"/>
  </w:num>
  <w:num w:numId="32">
    <w:abstractNumId w:val="14"/>
  </w:num>
  <w:num w:numId="33">
    <w:abstractNumId w:val="15"/>
  </w:num>
  <w:num w:numId="34">
    <w:abstractNumId w:val="6"/>
  </w:num>
  <w:num w:numId="35">
    <w:abstractNumId w:val="31"/>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doNotHyphenateCaps/>
  <w:drawingGridHorizontalSpacing w:val="57"/>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2"/>
  </w:compat>
  <w:rsids>
    <w:rsidRoot w:val="00465400"/>
    <w:rsid w:val="00000881"/>
    <w:rsid w:val="000012DA"/>
    <w:rsid w:val="00001804"/>
    <w:rsid w:val="00001C36"/>
    <w:rsid w:val="0000381A"/>
    <w:rsid w:val="0001195B"/>
    <w:rsid w:val="000133F6"/>
    <w:rsid w:val="00013D72"/>
    <w:rsid w:val="00020361"/>
    <w:rsid w:val="000337AC"/>
    <w:rsid w:val="00033F67"/>
    <w:rsid w:val="00044C37"/>
    <w:rsid w:val="00072114"/>
    <w:rsid w:val="000759C2"/>
    <w:rsid w:val="00076EFA"/>
    <w:rsid w:val="00085109"/>
    <w:rsid w:val="00094DBF"/>
    <w:rsid w:val="00096825"/>
    <w:rsid w:val="000A3579"/>
    <w:rsid w:val="000A64E0"/>
    <w:rsid w:val="000B5FDD"/>
    <w:rsid w:val="000C5228"/>
    <w:rsid w:val="000C54CC"/>
    <w:rsid w:val="000D37A7"/>
    <w:rsid w:val="000E1254"/>
    <w:rsid w:val="000E4CBF"/>
    <w:rsid w:val="000F3F3D"/>
    <w:rsid w:val="000F5861"/>
    <w:rsid w:val="000F7F6F"/>
    <w:rsid w:val="00102129"/>
    <w:rsid w:val="0010333C"/>
    <w:rsid w:val="00105924"/>
    <w:rsid w:val="0011166D"/>
    <w:rsid w:val="00124DE8"/>
    <w:rsid w:val="00126196"/>
    <w:rsid w:val="00131279"/>
    <w:rsid w:val="00136071"/>
    <w:rsid w:val="00136C19"/>
    <w:rsid w:val="001535ED"/>
    <w:rsid w:val="00157C7F"/>
    <w:rsid w:val="00171243"/>
    <w:rsid w:val="00177DDA"/>
    <w:rsid w:val="0018148A"/>
    <w:rsid w:val="00182262"/>
    <w:rsid w:val="001B3BE9"/>
    <w:rsid w:val="001C31A2"/>
    <w:rsid w:val="001C3829"/>
    <w:rsid w:val="001E44AA"/>
    <w:rsid w:val="001E7DF6"/>
    <w:rsid w:val="001F1727"/>
    <w:rsid w:val="001F663C"/>
    <w:rsid w:val="001F702F"/>
    <w:rsid w:val="001F7311"/>
    <w:rsid w:val="00205B90"/>
    <w:rsid w:val="00205EB1"/>
    <w:rsid w:val="0021006A"/>
    <w:rsid w:val="002246DD"/>
    <w:rsid w:val="00227E1E"/>
    <w:rsid w:val="00230454"/>
    <w:rsid w:val="00237479"/>
    <w:rsid w:val="00243F5C"/>
    <w:rsid w:val="00247E7E"/>
    <w:rsid w:val="002500F8"/>
    <w:rsid w:val="0025045D"/>
    <w:rsid w:val="00250556"/>
    <w:rsid w:val="00256D9C"/>
    <w:rsid w:val="00262291"/>
    <w:rsid w:val="00262B73"/>
    <w:rsid w:val="00264DAE"/>
    <w:rsid w:val="00267BF8"/>
    <w:rsid w:val="0027328E"/>
    <w:rsid w:val="00275A01"/>
    <w:rsid w:val="0027774A"/>
    <w:rsid w:val="00277B47"/>
    <w:rsid w:val="002831FD"/>
    <w:rsid w:val="00283531"/>
    <w:rsid w:val="00283F8B"/>
    <w:rsid w:val="00293D1F"/>
    <w:rsid w:val="002A19D7"/>
    <w:rsid w:val="002A300A"/>
    <w:rsid w:val="002A35FD"/>
    <w:rsid w:val="002B105B"/>
    <w:rsid w:val="002B1659"/>
    <w:rsid w:val="002B61A9"/>
    <w:rsid w:val="002C1DE0"/>
    <w:rsid w:val="002C3E13"/>
    <w:rsid w:val="002C605E"/>
    <w:rsid w:val="002D0861"/>
    <w:rsid w:val="002D288A"/>
    <w:rsid w:val="002D47E0"/>
    <w:rsid w:val="002D5258"/>
    <w:rsid w:val="002D66EA"/>
    <w:rsid w:val="002D6A32"/>
    <w:rsid w:val="002E50B2"/>
    <w:rsid w:val="0030421F"/>
    <w:rsid w:val="00307F9A"/>
    <w:rsid w:val="00310A22"/>
    <w:rsid w:val="00313658"/>
    <w:rsid w:val="00314902"/>
    <w:rsid w:val="00316886"/>
    <w:rsid w:val="003217A4"/>
    <w:rsid w:val="003235DE"/>
    <w:rsid w:val="0032554A"/>
    <w:rsid w:val="00327DED"/>
    <w:rsid w:val="00331026"/>
    <w:rsid w:val="0033379A"/>
    <w:rsid w:val="00346432"/>
    <w:rsid w:val="00352356"/>
    <w:rsid w:val="003532A3"/>
    <w:rsid w:val="003536AC"/>
    <w:rsid w:val="00363D77"/>
    <w:rsid w:val="003646CD"/>
    <w:rsid w:val="00364EE4"/>
    <w:rsid w:val="00372BC6"/>
    <w:rsid w:val="00380097"/>
    <w:rsid w:val="00384D73"/>
    <w:rsid w:val="0039117A"/>
    <w:rsid w:val="00393180"/>
    <w:rsid w:val="003939F4"/>
    <w:rsid w:val="003A41E4"/>
    <w:rsid w:val="003A547A"/>
    <w:rsid w:val="003C1B0F"/>
    <w:rsid w:val="003C216D"/>
    <w:rsid w:val="003C2E3F"/>
    <w:rsid w:val="003C5DC9"/>
    <w:rsid w:val="003C6ED0"/>
    <w:rsid w:val="003C7F37"/>
    <w:rsid w:val="003D637E"/>
    <w:rsid w:val="003E551D"/>
    <w:rsid w:val="003E5B66"/>
    <w:rsid w:val="003E64C6"/>
    <w:rsid w:val="003F03EE"/>
    <w:rsid w:val="003F367B"/>
    <w:rsid w:val="003F5BDE"/>
    <w:rsid w:val="00401A2C"/>
    <w:rsid w:val="004176DC"/>
    <w:rsid w:val="00422526"/>
    <w:rsid w:val="00423C5E"/>
    <w:rsid w:val="00430FDF"/>
    <w:rsid w:val="004441A8"/>
    <w:rsid w:val="00444203"/>
    <w:rsid w:val="00460CE2"/>
    <w:rsid w:val="00465400"/>
    <w:rsid w:val="004676DE"/>
    <w:rsid w:val="00474A12"/>
    <w:rsid w:val="004821FC"/>
    <w:rsid w:val="0048573C"/>
    <w:rsid w:val="004857B3"/>
    <w:rsid w:val="00486F0A"/>
    <w:rsid w:val="004913EB"/>
    <w:rsid w:val="00492E96"/>
    <w:rsid w:val="00494F29"/>
    <w:rsid w:val="004A385C"/>
    <w:rsid w:val="004B5312"/>
    <w:rsid w:val="004B54D0"/>
    <w:rsid w:val="004B5977"/>
    <w:rsid w:val="004B74D2"/>
    <w:rsid w:val="004C0F59"/>
    <w:rsid w:val="004C1251"/>
    <w:rsid w:val="004D0C8D"/>
    <w:rsid w:val="004D0E8D"/>
    <w:rsid w:val="004D4F4E"/>
    <w:rsid w:val="004D6021"/>
    <w:rsid w:val="004D7ACC"/>
    <w:rsid w:val="004E30ED"/>
    <w:rsid w:val="004E6739"/>
    <w:rsid w:val="004E7655"/>
    <w:rsid w:val="004F1FB8"/>
    <w:rsid w:val="004F58B9"/>
    <w:rsid w:val="005053D8"/>
    <w:rsid w:val="005067E3"/>
    <w:rsid w:val="00523907"/>
    <w:rsid w:val="0052509C"/>
    <w:rsid w:val="00525F37"/>
    <w:rsid w:val="00534472"/>
    <w:rsid w:val="005403DC"/>
    <w:rsid w:val="0054164F"/>
    <w:rsid w:val="00542A46"/>
    <w:rsid w:val="00553DBB"/>
    <w:rsid w:val="0056022E"/>
    <w:rsid w:val="00567161"/>
    <w:rsid w:val="0056755F"/>
    <w:rsid w:val="00570128"/>
    <w:rsid w:val="00570F66"/>
    <w:rsid w:val="00571A84"/>
    <w:rsid w:val="005803E1"/>
    <w:rsid w:val="00580A33"/>
    <w:rsid w:val="00583503"/>
    <w:rsid w:val="00587536"/>
    <w:rsid w:val="005877BE"/>
    <w:rsid w:val="00590D71"/>
    <w:rsid w:val="0059158C"/>
    <w:rsid w:val="005945C7"/>
    <w:rsid w:val="0059639D"/>
    <w:rsid w:val="005C65CB"/>
    <w:rsid w:val="005D1294"/>
    <w:rsid w:val="005D4341"/>
    <w:rsid w:val="005E6E94"/>
    <w:rsid w:val="005E6EA9"/>
    <w:rsid w:val="005F0A59"/>
    <w:rsid w:val="005F1507"/>
    <w:rsid w:val="005F3E7F"/>
    <w:rsid w:val="005F7B56"/>
    <w:rsid w:val="0060220C"/>
    <w:rsid w:val="006046B5"/>
    <w:rsid w:val="006078C9"/>
    <w:rsid w:val="006107E3"/>
    <w:rsid w:val="00612563"/>
    <w:rsid w:val="00613C81"/>
    <w:rsid w:val="00616D48"/>
    <w:rsid w:val="006353A4"/>
    <w:rsid w:val="00640DFE"/>
    <w:rsid w:val="006436E6"/>
    <w:rsid w:val="00645889"/>
    <w:rsid w:val="006506FE"/>
    <w:rsid w:val="006537BA"/>
    <w:rsid w:val="006561F9"/>
    <w:rsid w:val="00657597"/>
    <w:rsid w:val="00661190"/>
    <w:rsid w:val="00661338"/>
    <w:rsid w:val="00661CCE"/>
    <w:rsid w:val="00672E51"/>
    <w:rsid w:val="00673AA8"/>
    <w:rsid w:val="006757D4"/>
    <w:rsid w:val="00677A66"/>
    <w:rsid w:val="00682202"/>
    <w:rsid w:val="00685350"/>
    <w:rsid w:val="00685954"/>
    <w:rsid w:val="00686C32"/>
    <w:rsid w:val="00692C78"/>
    <w:rsid w:val="00697C99"/>
    <w:rsid w:val="006A3A87"/>
    <w:rsid w:val="006A74B5"/>
    <w:rsid w:val="006B0745"/>
    <w:rsid w:val="006B0ADE"/>
    <w:rsid w:val="006B4FE9"/>
    <w:rsid w:val="006C3C7F"/>
    <w:rsid w:val="006E07D5"/>
    <w:rsid w:val="006E1A16"/>
    <w:rsid w:val="006E5350"/>
    <w:rsid w:val="006E5DAC"/>
    <w:rsid w:val="006E680F"/>
    <w:rsid w:val="006E764E"/>
    <w:rsid w:val="006F28F9"/>
    <w:rsid w:val="0070261D"/>
    <w:rsid w:val="00712419"/>
    <w:rsid w:val="007128DC"/>
    <w:rsid w:val="00712A53"/>
    <w:rsid w:val="00714851"/>
    <w:rsid w:val="00716079"/>
    <w:rsid w:val="00717E02"/>
    <w:rsid w:val="0072703B"/>
    <w:rsid w:val="007401A4"/>
    <w:rsid w:val="007439A3"/>
    <w:rsid w:val="00747600"/>
    <w:rsid w:val="0075247B"/>
    <w:rsid w:val="0075514F"/>
    <w:rsid w:val="00760790"/>
    <w:rsid w:val="007632EB"/>
    <w:rsid w:val="007663F7"/>
    <w:rsid w:val="007701CB"/>
    <w:rsid w:val="00771DC8"/>
    <w:rsid w:val="00775D70"/>
    <w:rsid w:val="007815D2"/>
    <w:rsid w:val="00783969"/>
    <w:rsid w:val="007845A0"/>
    <w:rsid w:val="007856AE"/>
    <w:rsid w:val="007950E2"/>
    <w:rsid w:val="0079559F"/>
    <w:rsid w:val="0079797A"/>
    <w:rsid w:val="007A3EE4"/>
    <w:rsid w:val="007A4D4A"/>
    <w:rsid w:val="007A6814"/>
    <w:rsid w:val="007B1A6F"/>
    <w:rsid w:val="007C4755"/>
    <w:rsid w:val="007C70C0"/>
    <w:rsid w:val="007D2983"/>
    <w:rsid w:val="007D3D2D"/>
    <w:rsid w:val="007E10F3"/>
    <w:rsid w:val="007E77F4"/>
    <w:rsid w:val="007F2892"/>
    <w:rsid w:val="008029CD"/>
    <w:rsid w:val="00804042"/>
    <w:rsid w:val="00804C95"/>
    <w:rsid w:val="00807A88"/>
    <w:rsid w:val="00810B56"/>
    <w:rsid w:val="00821C95"/>
    <w:rsid w:val="00822142"/>
    <w:rsid w:val="00823BFA"/>
    <w:rsid w:val="00831299"/>
    <w:rsid w:val="00834AB2"/>
    <w:rsid w:val="00834DCC"/>
    <w:rsid w:val="008379CA"/>
    <w:rsid w:val="008441D0"/>
    <w:rsid w:val="0085599D"/>
    <w:rsid w:val="0086121B"/>
    <w:rsid w:val="008627D6"/>
    <w:rsid w:val="0086413F"/>
    <w:rsid w:val="00870124"/>
    <w:rsid w:val="00870608"/>
    <w:rsid w:val="00877F3C"/>
    <w:rsid w:val="00880CC1"/>
    <w:rsid w:val="00880F59"/>
    <w:rsid w:val="008901C4"/>
    <w:rsid w:val="00897F06"/>
    <w:rsid w:val="008A4635"/>
    <w:rsid w:val="008A712F"/>
    <w:rsid w:val="008C4DC0"/>
    <w:rsid w:val="008D1F3D"/>
    <w:rsid w:val="008D5528"/>
    <w:rsid w:val="008E36F2"/>
    <w:rsid w:val="008E61FD"/>
    <w:rsid w:val="008F13C5"/>
    <w:rsid w:val="008F22EF"/>
    <w:rsid w:val="0090580B"/>
    <w:rsid w:val="00905E68"/>
    <w:rsid w:val="009112E0"/>
    <w:rsid w:val="00914291"/>
    <w:rsid w:val="00915563"/>
    <w:rsid w:val="00916140"/>
    <w:rsid w:val="00920BC2"/>
    <w:rsid w:val="009258D1"/>
    <w:rsid w:val="00934BCD"/>
    <w:rsid w:val="00940483"/>
    <w:rsid w:val="0094415D"/>
    <w:rsid w:val="0094557B"/>
    <w:rsid w:val="009607CB"/>
    <w:rsid w:val="00962DD9"/>
    <w:rsid w:val="009669B3"/>
    <w:rsid w:val="00974A39"/>
    <w:rsid w:val="00974FC3"/>
    <w:rsid w:val="00977925"/>
    <w:rsid w:val="009807B8"/>
    <w:rsid w:val="00986C30"/>
    <w:rsid w:val="009971D3"/>
    <w:rsid w:val="009A0233"/>
    <w:rsid w:val="009A456A"/>
    <w:rsid w:val="009B298D"/>
    <w:rsid w:val="009C77FB"/>
    <w:rsid w:val="009D53A3"/>
    <w:rsid w:val="009D6431"/>
    <w:rsid w:val="009D75E0"/>
    <w:rsid w:val="009E023E"/>
    <w:rsid w:val="009E2EA5"/>
    <w:rsid w:val="009E4777"/>
    <w:rsid w:val="009E7FCA"/>
    <w:rsid w:val="009F4C41"/>
    <w:rsid w:val="00A02F03"/>
    <w:rsid w:val="00A13306"/>
    <w:rsid w:val="00A16917"/>
    <w:rsid w:val="00A27D16"/>
    <w:rsid w:val="00A30E6E"/>
    <w:rsid w:val="00A4160E"/>
    <w:rsid w:val="00A42086"/>
    <w:rsid w:val="00A444EC"/>
    <w:rsid w:val="00A462E9"/>
    <w:rsid w:val="00A51821"/>
    <w:rsid w:val="00A518DF"/>
    <w:rsid w:val="00A53A1D"/>
    <w:rsid w:val="00A5569F"/>
    <w:rsid w:val="00A55BA8"/>
    <w:rsid w:val="00A62059"/>
    <w:rsid w:val="00A6309D"/>
    <w:rsid w:val="00A63E77"/>
    <w:rsid w:val="00A64375"/>
    <w:rsid w:val="00A64E95"/>
    <w:rsid w:val="00A7638A"/>
    <w:rsid w:val="00A76F5E"/>
    <w:rsid w:val="00A811CB"/>
    <w:rsid w:val="00A8353D"/>
    <w:rsid w:val="00A85CDA"/>
    <w:rsid w:val="00A869CB"/>
    <w:rsid w:val="00A909E6"/>
    <w:rsid w:val="00AA6EB2"/>
    <w:rsid w:val="00AB193C"/>
    <w:rsid w:val="00AB2E33"/>
    <w:rsid w:val="00AB67D4"/>
    <w:rsid w:val="00AC295A"/>
    <w:rsid w:val="00AC458A"/>
    <w:rsid w:val="00AC4618"/>
    <w:rsid w:val="00AC4BBB"/>
    <w:rsid w:val="00AC72A5"/>
    <w:rsid w:val="00AD3B86"/>
    <w:rsid w:val="00AD62FB"/>
    <w:rsid w:val="00AE00FA"/>
    <w:rsid w:val="00AE2450"/>
    <w:rsid w:val="00AF139E"/>
    <w:rsid w:val="00AF28D1"/>
    <w:rsid w:val="00B0073E"/>
    <w:rsid w:val="00B1367D"/>
    <w:rsid w:val="00B1387E"/>
    <w:rsid w:val="00B154A4"/>
    <w:rsid w:val="00B17EC7"/>
    <w:rsid w:val="00B201C8"/>
    <w:rsid w:val="00B21D90"/>
    <w:rsid w:val="00B22BD7"/>
    <w:rsid w:val="00B312B9"/>
    <w:rsid w:val="00B3166C"/>
    <w:rsid w:val="00B416E8"/>
    <w:rsid w:val="00B41CCF"/>
    <w:rsid w:val="00B430C0"/>
    <w:rsid w:val="00B44689"/>
    <w:rsid w:val="00B53F8F"/>
    <w:rsid w:val="00B63D82"/>
    <w:rsid w:val="00B71C55"/>
    <w:rsid w:val="00B81A8F"/>
    <w:rsid w:val="00B93C5D"/>
    <w:rsid w:val="00B9571C"/>
    <w:rsid w:val="00B97214"/>
    <w:rsid w:val="00BA062B"/>
    <w:rsid w:val="00BA30DB"/>
    <w:rsid w:val="00BB1723"/>
    <w:rsid w:val="00BB1DFA"/>
    <w:rsid w:val="00BB7223"/>
    <w:rsid w:val="00BC5E13"/>
    <w:rsid w:val="00BE2D27"/>
    <w:rsid w:val="00C00F0F"/>
    <w:rsid w:val="00C02C73"/>
    <w:rsid w:val="00C10EDE"/>
    <w:rsid w:val="00C20057"/>
    <w:rsid w:val="00C22D29"/>
    <w:rsid w:val="00C23334"/>
    <w:rsid w:val="00C23F76"/>
    <w:rsid w:val="00C24835"/>
    <w:rsid w:val="00C3415A"/>
    <w:rsid w:val="00C51932"/>
    <w:rsid w:val="00C5308D"/>
    <w:rsid w:val="00C66EF2"/>
    <w:rsid w:val="00C679BA"/>
    <w:rsid w:val="00C851F9"/>
    <w:rsid w:val="00C96133"/>
    <w:rsid w:val="00C96A0A"/>
    <w:rsid w:val="00CA0893"/>
    <w:rsid w:val="00CB11C2"/>
    <w:rsid w:val="00CD26BD"/>
    <w:rsid w:val="00CD42D3"/>
    <w:rsid w:val="00CD49A7"/>
    <w:rsid w:val="00CD63A6"/>
    <w:rsid w:val="00CD789B"/>
    <w:rsid w:val="00CE293A"/>
    <w:rsid w:val="00CE4E27"/>
    <w:rsid w:val="00CE5A0C"/>
    <w:rsid w:val="00CE6D81"/>
    <w:rsid w:val="00CF48A1"/>
    <w:rsid w:val="00D02611"/>
    <w:rsid w:val="00D303F2"/>
    <w:rsid w:val="00D35E1B"/>
    <w:rsid w:val="00D35F30"/>
    <w:rsid w:val="00D40F9F"/>
    <w:rsid w:val="00D42804"/>
    <w:rsid w:val="00D50581"/>
    <w:rsid w:val="00D50E6B"/>
    <w:rsid w:val="00D531C2"/>
    <w:rsid w:val="00D6105E"/>
    <w:rsid w:val="00D61A17"/>
    <w:rsid w:val="00D71E5E"/>
    <w:rsid w:val="00D71FB9"/>
    <w:rsid w:val="00D746C3"/>
    <w:rsid w:val="00D751F4"/>
    <w:rsid w:val="00D75EC0"/>
    <w:rsid w:val="00D84F68"/>
    <w:rsid w:val="00D87862"/>
    <w:rsid w:val="00D87CBD"/>
    <w:rsid w:val="00D90F55"/>
    <w:rsid w:val="00D94AE1"/>
    <w:rsid w:val="00D94E77"/>
    <w:rsid w:val="00DA1773"/>
    <w:rsid w:val="00DB15E5"/>
    <w:rsid w:val="00DB26CC"/>
    <w:rsid w:val="00DB282F"/>
    <w:rsid w:val="00DB395F"/>
    <w:rsid w:val="00DB78DE"/>
    <w:rsid w:val="00DC20FF"/>
    <w:rsid w:val="00DC6D31"/>
    <w:rsid w:val="00DD056E"/>
    <w:rsid w:val="00DD2FAA"/>
    <w:rsid w:val="00DD45AB"/>
    <w:rsid w:val="00DE2718"/>
    <w:rsid w:val="00DE2A62"/>
    <w:rsid w:val="00DE3443"/>
    <w:rsid w:val="00DE4436"/>
    <w:rsid w:val="00DE5D14"/>
    <w:rsid w:val="00DF06A5"/>
    <w:rsid w:val="00DF183B"/>
    <w:rsid w:val="00DF7D2B"/>
    <w:rsid w:val="00E0131C"/>
    <w:rsid w:val="00E201AC"/>
    <w:rsid w:val="00E2030B"/>
    <w:rsid w:val="00E21EFE"/>
    <w:rsid w:val="00E26575"/>
    <w:rsid w:val="00E351F4"/>
    <w:rsid w:val="00E6621A"/>
    <w:rsid w:val="00E77144"/>
    <w:rsid w:val="00E83C1B"/>
    <w:rsid w:val="00E84336"/>
    <w:rsid w:val="00E9311D"/>
    <w:rsid w:val="00E95550"/>
    <w:rsid w:val="00EA0406"/>
    <w:rsid w:val="00EA2E0F"/>
    <w:rsid w:val="00EA482B"/>
    <w:rsid w:val="00EA52E3"/>
    <w:rsid w:val="00EA6E27"/>
    <w:rsid w:val="00EA7178"/>
    <w:rsid w:val="00EB138F"/>
    <w:rsid w:val="00EB2059"/>
    <w:rsid w:val="00EB7CD5"/>
    <w:rsid w:val="00EC23E4"/>
    <w:rsid w:val="00ED2D2D"/>
    <w:rsid w:val="00ED3095"/>
    <w:rsid w:val="00ED53EC"/>
    <w:rsid w:val="00EE593C"/>
    <w:rsid w:val="00EE6EC5"/>
    <w:rsid w:val="00EF3EE5"/>
    <w:rsid w:val="00F066C2"/>
    <w:rsid w:val="00F15C92"/>
    <w:rsid w:val="00F206BA"/>
    <w:rsid w:val="00F22477"/>
    <w:rsid w:val="00F30F6B"/>
    <w:rsid w:val="00F3358E"/>
    <w:rsid w:val="00F345C2"/>
    <w:rsid w:val="00F35750"/>
    <w:rsid w:val="00F42695"/>
    <w:rsid w:val="00F43833"/>
    <w:rsid w:val="00F45399"/>
    <w:rsid w:val="00F47D0F"/>
    <w:rsid w:val="00F53D95"/>
    <w:rsid w:val="00F54F98"/>
    <w:rsid w:val="00F55F65"/>
    <w:rsid w:val="00F654C9"/>
    <w:rsid w:val="00F735ED"/>
    <w:rsid w:val="00F750E6"/>
    <w:rsid w:val="00F75CB2"/>
    <w:rsid w:val="00F843B7"/>
    <w:rsid w:val="00F84E14"/>
    <w:rsid w:val="00F87F77"/>
    <w:rsid w:val="00F91CA8"/>
    <w:rsid w:val="00F92A55"/>
    <w:rsid w:val="00F960C7"/>
    <w:rsid w:val="00FA439A"/>
    <w:rsid w:val="00FB4A91"/>
    <w:rsid w:val="00FC4D42"/>
    <w:rsid w:val="00FD24F7"/>
    <w:rsid w:val="00FE03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1C4"/>
    <w:pPr>
      <w:suppressAutoHyphens/>
    </w:pPr>
    <w:rPr>
      <w:snapToGrid w:val="0"/>
      <w:sz w:val="24"/>
      <w:szCs w:val="24"/>
      <w:lang w:val="en-GB"/>
    </w:rPr>
  </w:style>
  <w:style w:type="paragraph" w:styleId="Heading1">
    <w:name w:val="heading 1"/>
    <w:basedOn w:val="Normal"/>
    <w:next w:val="Normal"/>
    <w:qFormat/>
    <w:rsid w:val="008901C4"/>
    <w:pPr>
      <w:keepNext/>
      <w:spacing w:before="360" w:after="240"/>
      <w:jc w:val="center"/>
      <w:outlineLvl w:val="0"/>
    </w:pPr>
    <w:rPr>
      <w:b/>
      <w:bCs/>
      <w:sz w:val="28"/>
      <w:szCs w:val="28"/>
    </w:rPr>
  </w:style>
  <w:style w:type="paragraph" w:styleId="Heading2">
    <w:name w:val="heading 2"/>
    <w:basedOn w:val="Normal"/>
    <w:next w:val="Normal"/>
    <w:qFormat/>
    <w:rsid w:val="008901C4"/>
    <w:pPr>
      <w:keepNext/>
      <w:spacing w:before="240" w:after="120"/>
      <w:ind w:left="284" w:hanging="284"/>
      <w:outlineLvl w:val="1"/>
    </w:pPr>
    <w:rPr>
      <w:b/>
      <w:bCs/>
    </w:rPr>
  </w:style>
  <w:style w:type="paragraph" w:styleId="Heading3">
    <w:name w:val="heading 3"/>
    <w:basedOn w:val="Normal"/>
    <w:next w:val="Normal"/>
    <w:qFormat/>
    <w:rsid w:val="008901C4"/>
    <w:pPr>
      <w:keepNext/>
      <w:spacing w:before="120" w:after="60"/>
      <w:ind w:left="1418" w:hanging="851"/>
      <w:outlineLvl w:val="2"/>
    </w:pPr>
    <w:rPr>
      <w:i/>
      <w:iCs/>
    </w:rPr>
  </w:style>
  <w:style w:type="paragraph" w:styleId="Heading4">
    <w:name w:val="heading 4"/>
    <w:basedOn w:val="Normal"/>
    <w:next w:val="Normal"/>
    <w:qFormat/>
    <w:rsid w:val="008C4DC0"/>
    <w:pPr>
      <w:widowControl w:val="0"/>
      <w:outlineLvl w:val="3"/>
    </w:pPr>
    <w:rPr>
      <w:lang w:val="en-US"/>
    </w:rPr>
  </w:style>
  <w:style w:type="paragraph" w:styleId="Heading5">
    <w:name w:val="heading 5"/>
    <w:basedOn w:val="Normal"/>
    <w:next w:val="Normal"/>
    <w:qFormat/>
    <w:rsid w:val="008C4DC0"/>
    <w:pPr>
      <w:widowControl w:val="0"/>
      <w:outlineLvl w:val="4"/>
    </w:pPr>
    <w:rPr>
      <w:lang w:val="en-US"/>
    </w:rPr>
  </w:style>
  <w:style w:type="paragraph" w:styleId="Heading6">
    <w:name w:val="heading 6"/>
    <w:basedOn w:val="Normal"/>
    <w:next w:val="Normal"/>
    <w:qFormat/>
    <w:rsid w:val="008C4DC0"/>
    <w:pPr>
      <w:widowControl w:val="0"/>
      <w:outlineLvl w:val="5"/>
    </w:pPr>
    <w:rPr>
      <w:lang w:val="en-US"/>
    </w:rPr>
  </w:style>
  <w:style w:type="paragraph" w:styleId="Heading7">
    <w:name w:val="heading 7"/>
    <w:basedOn w:val="Normal"/>
    <w:next w:val="Normal"/>
    <w:qFormat/>
    <w:rsid w:val="008C4DC0"/>
    <w:pPr>
      <w:widowControl w:val="0"/>
      <w:outlineLvl w:val="6"/>
    </w:pPr>
    <w:rPr>
      <w:lang w:val="en-US"/>
    </w:rPr>
  </w:style>
  <w:style w:type="paragraph" w:styleId="Heading8">
    <w:name w:val="heading 8"/>
    <w:basedOn w:val="Normal"/>
    <w:next w:val="Normal"/>
    <w:qFormat/>
    <w:rsid w:val="008C4DC0"/>
    <w:pPr>
      <w:widowControl w:val="0"/>
      <w:outlineLvl w:val="7"/>
    </w:pPr>
    <w:rPr>
      <w:lang w:val="en-US"/>
    </w:rPr>
  </w:style>
  <w:style w:type="paragraph" w:styleId="Heading9">
    <w:name w:val="heading 9"/>
    <w:basedOn w:val="Normal"/>
    <w:next w:val="Normal"/>
    <w:qFormat/>
    <w:rsid w:val="008C4DC0"/>
    <w:pPr>
      <w:keepNext/>
      <w:tabs>
        <w:tab w:val="left" w:pos="-1440"/>
        <w:tab w:val="left" w:pos="-720"/>
        <w:tab w:val="left" w:pos="0"/>
        <w:tab w:val="left" w:pos="1056"/>
        <w:tab w:val="left" w:pos="1584"/>
        <w:tab w:val="left" w:pos="2112"/>
        <w:tab w:val="left" w:pos="2880"/>
      </w:tabs>
      <w:ind w:left="-306" w:right="-306"/>
      <w:jc w:val="both"/>
      <w:outlineLvl w:val="8"/>
    </w:pPr>
    <w:rPr>
      <w:i/>
      <w:iCs/>
      <w:spacing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Para">
    <w:name w:val="Ju_Para"/>
    <w:aliases w:val="Left,First line,0 cm"/>
    <w:basedOn w:val="Normal"/>
    <w:rsid w:val="008901C4"/>
    <w:pPr>
      <w:ind w:firstLine="284"/>
      <w:jc w:val="both"/>
    </w:pPr>
  </w:style>
  <w:style w:type="paragraph" w:customStyle="1" w:styleId="JuHIRoman">
    <w:name w:val="Ju_H_I_Roman"/>
    <w:basedOn w:val="JuHHead"/>
    <w:next w:val="JuPara"/>
    <w:rsid w:val="008901C4"/>
    <w:pPr>
      <w:tabs>
        <w:tab w:val="left" w:pos="357"/>
      </w:tabs>
      <w:spacing w:before="360"/>
      <w:ind w:left="357" w:hanging="357"/>
    </w:pPr>
    <w:rPr>
      <w:sz w:val="24"/>
      <w:szCs w:val="24"/>
    </w:rPr>
  </w:style>
  <w:style w:type="paragraph" w:customStyle="1" w:styleId="JuHHead">
    <w:name w:val="Ju_H_Head"/>
    <w:basedOn w:val="Normal"/>
    <w:next w:val="JuPara"/>
    <w:rsid w:val="008901C4"/>
    <w:pPr>
      <w:keepNext/>
      <w:keepLines/>
      <w:spacing w:before="720" w:after="240"/>
      <w:jc w:val="both"/>
    </w:pPr>
    <w:rPr>
      <w:sz w:val="28"/>
      <w:szCs w:val="28"/>
    </w:rPr>
  </w:style>
  <w:style w:type="paragraph" w:styleId="Footer">
    <w:name w:val="footer"/>
    <w:basedOn w:val="Normal"/>
    <w:rsid w:val="008901C4"/>
    <w:pPr>
      <w:tabs>
        <w:tab w:val="center" w:pos="3686"/>
        <w:tab w:val="right" w:pos="7371"/>
      </w:tabs>
    </w:pPr>
    <w:rPr>
      <w:sz w:val="18"/>
      <w:szCs w:val="18"/>
    </w:rPr>
  </w:style>
  <w:style w:type="paragraph" w:customStyle="1" w:styleId="JuJudges">
    <w:name w:val="Ju_Judges"/>
    <w:basedOn w:val="Normal"/>
    <w:rsid w:val="008901C4"/>
    <w:pPr>
      <w:tabs>
        <w:tab w:val="left" w:pos="567"/>
        <w:tab w:val="left" w:pos="1134"/>
      </w:tabs>
    </w:pPr>
  </w:style>
  <w:style w:type="character" w:customStyle="1" w:styleId="JuNames">
    <w:name w:val="Ju_Names"/>
    <w:basedOn w:val="DefaultParagraphFont"/>
    <w:rsid w:val="008901C4"/>
    <w:rPr>
      <w:smallCaps/>
    </w:rPr>
  </w:style>
  <w:style w:type="paragraph" w:customStyle="1" w:styleId="JuHA">
    <w:name w:val="Ju_H_A"/>
    <w:basedOn w:val="JuHIRoman"/>
    <w:next w:val="JuPara"/>
    <w:rsid w:val="008901C4"/>
    <w:pPr>
      <w:tabs>
        <w:tab w:val="clear" w:pos="357"/>
        <w:tab w:val="left" w:pos="584"/>
      </w:tabs>
      <w:ind w:left="584" w:hanging="352"/>
    </w:pPr>
    <w:rPr>
      <w:b/>
      <w:bCs/>
    </w:rPr>
  </w:style>
  <w:style w:type="paragraph" w:customStyle="1" w:styleId="JuQuot">
    <w:name w:val="Ju_Quot"/>
    <w:basedOn w:val="JuPara"/>
    <w:rsid w:val="008901C4"/>
    <w:pPr>
      <w:spacing w:before="120" w:after="120"/>
      <w:ind w:left="425" w:firstLine="142"/>
    </w:pPr>
    <w:rPr>
      <w:sz w:val="20"/>
      <w:szCs w:val="20"/>
    </w:rPr>
  </w:style>
  <w:style w:type="paragraph" w:customStyle="1" w:styleId="JuSigned">
    <w:name w:val="Ju_Signed"/>
    <w:basedOn w:val="Normal"/>
    <w:next w:val="JuParaLast"/>
    <w:rsid w:val="008901C4"/>
    <w:pPr>
      <w:tabs>
        <w:tab w:val="center" w:pos="851"/>
        <w:tab w:val="center" w:pos="6407"/>
      </w:tabs>
      <w:spacing w:before="720"/>
    </w:pPr>
  </w:style>
  <w:style w:type="paragraph" w:customStyle="1" w:styleId="JuParaLast">
    <w:name w:val="Ju_Para_Last"/>
    <w:basedOn w:val="JuPara"/>
    <w:next w:val="JuPara"/>
    <w:rsid w:val="008901C4"/>
    <w:pPr>
      <w:keepNext/>
      <w:keepLines/>
      <w:spacing w:before="240"/>
    </w:pPr>
  </w:style>
  <w:style w:type="paragraph" w:customStyle="1" w:styleId="JuCase">
    <w:name w:val="Ju_Case"/>
    <w:basedOn w:val="JuPara"/>
    <w:next w:val="JuPara"/>
    <w:rsid w:val="008901C4"/>
    <w:rPr>
      <w:b/>
      <w:bCs/>
    </w:rPr>
  </w:style>
  <w:style w:type="paragraph" w:customStyle="1" w:styleId="JuList">
    <w:name w:val="Ju_List"/>
    <w:basedOn w:val="JuPara"/>
    <w:rsid w:val="008901C4"/>
    <w:pPr>
      <w:ind w:left="340" w:hanging="340"/>
    </w:pPr>
  </w:style>
  <w:style w:type="paragraph" w:customStyle="1" w:styleId="JuHArticle">
    <w:name w:val="Ju_H_Article"/>
    <w:basedOn w:val="JuHa0"/>
    <w:next w:val="JuQuot"/>
    <w:rsid w:val="008901C4"/>
    <w:pPr>
      <w:ind w:left="0" w:firstLine="0"/>
      <w:jc w:val="center"/>
    </w:pPr>
  </w:style>
  <w:style w:type="paragraph" w:customStyle="1" w:styleId="JuHa0">
    <w:name w:val="Ju_H_a"/>
    <w:basedOn w:val="JuH1"/>
    <w:next w:val="JuPara"/>
    <w:rsid w:val="008901C4"/>
    <w:pPr>
      <w:tabs>
        <w:tab w:val="clear" w:pos="731"/>
        <w:tab w:val="left" w:pos="975"/>
      </w:tabs>
      <w:ind w:left="975" w:hanging="340"/>
    </w:pPr>
    <w:rPr>
      <w:b/>
      <w:bCs/>
      <w:i w:val="0"/>
      <w:iCs w:val="0"/>
      <w:sz w:val="20"/>
      <w:szCs w:val="20"/>
    </w:rPr>
  </w:style>
  <w:style w:type="paragraph" w:customStyle="1" w:styleId="JuH1">
    <w:name w:val="Ju_H_1."/>
    <w:basedOn w:val="JuHA"/>
    <w:next w:val="JuPara"/>
    <w:rsid w:val="008901C4"/>
    <w:pPr>
      <w:tabs>
        <w:tab w:val="clear" w:pos="584"/>
        <w:tab w:val="left" w:pos="731"/>
      </w:tabs>
      <w:spacing w:before="240" w:after="120"/>
      <w:ind w:left="732" w:hanging="301"/>
    </w:pPr>
    <w:rPr>
      <w:b w:val="0"/>
      <w:bCs w:val="0"/>
      <w:i/>
      <w:iCs/>
    </w:rPr>
  </w:style>
  <w:style w:type="paragraph" w:styleId="CommentText">
    <w:name w:val="annotation text"/>
    <w:basedOn w:val="Normal"/>
    <w:semiHidden/>
    <w:rsid w:val="008C4DC0"/>
    <w:rPr>
      <w:sz w:val="20"/>
      <w:szCs w:val="20"/>
    </w:rPr>
  </w:style>
  <w:style w:type="paragraph" w:styleId="CommentSubject">
    <w:name w:val="annotation subject"/>
    <w:basedOn w:val="CommentText"/>
    <w:next w:val="CommentText"/>
    <w:semiHidden/>
    <w:rsid w:val="00F43833"/>
    <w:rPr>
      <w:b/>
      <w:bCs/>
    </w:rPr>
  </w:style>
  <w:style w:type="paragraph" w:customStyle="1" w:styleId="JuCourt">
    <w:name w:val="Ju_Court"/>
    <w:basedOn w:val="JuJudges"/>
    <w:rsid w:val="008901C4"/>
    <w:pPr>
      <w:tabs>
        <w:tab w:val="clear" w:pos="567"/>
        <w:tab w:val="clear" w:pos="1134"/>
        <w:tab w:val="left" w:pos="907"/>
        <w:tab w:val="left" w:pos="1701"/>
        <w:tab w:val="right" w:pos="7371"/>
      </w:tabs>
      <w:spacing w:before="240"/>
      <w:ind w:left="397" w:hanging="397"/>
    </w:pPr>
  </w:style>
  <w:style w:type="paragraph" w:styleId="FootnoteText">
    <w:name w:val="footnote text"/>
    <w:basedOn w:val="Normal"/>
    <w:semiHidden/>
    <w:rsid w:val="008901C4"/>
    <w:pPr>
      <w:jc w:val="both"/>
    </w:pPr>
    <w:rPr>
      <w:sz w:val="20"/>
      <w:szCs w:val="20"/>
    </w:rPr>
  </w:style>
  <w:style w:type="character" w:styleId="FootnoteReference">
    <w:name w:val="footnote reference"/>
    <w:basedOn w:val="DefaultParagraphFont"/>
    <w:semiHidden/>
    <w:rsid w:val="008901C4"/>
    <w:rPr>
      <w:vertAlign w:val="superscript"/>
    </w:rPr>
  </w:style>
  <w:style w:type="paragraph" w:customStyle="1" w:styleId="JuHi">
    <w:name w:val="Ju_H_i"/>
    <w:basedOn w:val="JuHa0"/>
    <w:next w:val="JuPara"/>
    <w:rsid w:val="008901C4"/>
    <w:pPr>
      <w:tabs>
        <w:tab w:val="clear" w:pos="975"/>
        <w:tab w:val="left" w:pos="1191"/>
      </w:tabs>
      <w:ind w:left="1190" w:hanging="357"/>
    </w:pPr>
    <w:rPr>
      <w:b w:val="0"/>
      <w:bCs w:val="0"/>
      <w:i/>
      <w:iCs/>
    </w:rPr>
  </w:style>
  <w:style w:type="paragraph" w:styleId="Header">
    <w:name w:val="header"/>
    <w:basedOn w:val="Normal"/>
    <w:rsid w:val="008901C4"/>
    <w:pPr>
      <w:tabs>
        <w:tab w:val="center" w:pos="3686"/>
        <w:tab w:val="right" w:pos="7371"/>
      </w:tabs>
    </w:pPr>
    <w:rPr>
      <w:sz w:val="18"/>
      <w:szCs w:val="18"/>
    </w:rPr>
  </w:style>
  <w:style w:type="character" w:styleId="PageNumber">
    <w:name w:val="page number"/>
    <w:basedOn w:val="DefaultParagraphFont"/>
    <w:rsid w:val="008901C4"/>
    <w:rPr>
      <w:sz w:val="18"/>
      <w:szCs w:val="18"/>
    </w:rPr>
  </w:style>
  <w:style w:type="paragraph" w:customStyle="1" w:styleId="JuH">
    <w:name w:val="Ju_H_–"/>
    <w:basedOn w:val="JuHalpha"/>
    <w:next w:val="JuPara"/>
    <w:rsid w:val="008901C4"/>
    <w:pPr>
      <w:tabs>
        <w:tab w:val="clear" w:pos="1372"/>
      </w:tabs>
      <w:ind w:left="1236" w:firstLine="0"/>
    </w:pPr>
    <w:rPr>
      <w:i/>
      <w:iCs/>
    </w:rPr>
  </w:style>
  <w:style w:type="paragraph" w:customStyle="1" w:styleId="JuHalpha">
    <w:name w:val="Ju_H_alpha"/>
    <w:basedOn w:val="JuHi"/>
    <w:next w:val="JuPara"/>
    <w:rsid w:val="008901C4"/>
    <w:pPr>
      <w:tabs>
        <w:tab w:val="clear" w:pos="1191"/>
        <w:tab w:val="left" w:pos="1372"/>
      </w:tabs>
      <w:ind w:left="1373" w:hanging="335"/>
    </w:pPr>
    <w:rPr>
      <w:i w:val="0"/>
      <w:iCs w:val="0"/>
    </w:rPr>
  </w:style>
  <w:style w:type="paragraph" w:customStyle="1" w:styleId="JuLista">
    <w:name w:val="Ju_List_a"/>
    <w:basedOn w:val="JuList"/>
    <w:rsid w:val="008901C4"/>
    <w:pPr>
      <w:ind w:left="346" w:firstLine="0"/>
    </w:pPr>
  </w:style>
  <w:style w:type="paragraph" w:customStyle="1" w:styleId="JuListi">
    <w:name w:val="Ju_List_i"/>
    <w:basedOn w:val="JuLista"/>
    <w:rsid w:val="008901C4"/>
    <w:pPr>
      <w:ind w:left="794"/>
    </w:pPr>
  </w:style>
  <w:style w:type="character" w:styleId="CommentReference">
    <w:name w:val="annotation reference"/>
    <w:basedOn w:val="DefaultParagraphFont"/>
    <w:semiHidden/>
    <w:rsid w:val="008C4DC0"/>
    <w:rPr>
      <w:sz w:val="16"/>
      <w:szCs w:val="16"/>
    </w:rPr>
  </w:style>
  <w:style w:type="paragraph" w:customStyle="1" w:styleId="OpiHHead">
    <w:name w:val="Opi_H_Head"/>
    <w:basedOn w:val="JuHHead"/>
    <w:next w:val="OpiPara"/>
    <w:rsid w:val="008901C4"/>
    <w:pPr>
      <w:spacing w:before="0"/>
      <w:jc w:val="center"/>
    </w:pPr>
  </w:style>
  <w:style w:type="paragraph" w:customStyle="1" w:styleId="OpiPara">
    <w:name w:val="Opi_Para"/>
    <w:basedOn w:val="JuPara"/>
    <w:rsid w:val="008901C4"/>
  </w:style>
  <w:style w:type="paragraph" w:customStyle="1" w:styleId="OpiTranslation">
    <w:name w:val="Opi_Translation"/>
    <w:basedOn w:val="OpiHHead"/>
    <w:next w:val="OpiPara"/>
    <w:rsid w:val="008901C4"/>
    <w:rPr>
      <w:i/>
      <w:iCs/>
      <w:sz w:val="24"/>
      <w:szCs w:val="24"/>
    </w:rPr>
  </w:style>
  <w:style w:type="paragraph" w:customStyle="1" w:styleId="JuInitialled">
    <w:name w:val="Ju_Initialled"/>
    <w:basedOn w:val="JuSigned"/>
    <w:rsid w:val="008901C4"/>
    <w:pPr>
      <w:tabs>
        <w:tab w:val="clear" w:pos="851"/>
      </w:tabs>
      <w:jc w:val="right"/>
    </w:pPr>
  </w:style>
  <w:style w:type="paragraph" w:customStyle="1" w:styleId="JuHeader">
    <w:name w:val="Ju_Header"/>
    <w:basedOn w:val="Header"/>
    <w:rsid w:val="008901C4"/>
  </w:style>
  <w:style w:type="paragraph" w:customStyle="1" w:styleId="DecHTitle">
    <w:name w:val="Dec_H_Title"/>
    <w:basedOn w:val="Normal"/>
    <w:rsid w:val="008901C4"/>
    <w:pPr>
      <w:spacing w:after="240"/>
      <w:jc w:val="center"/>
    </w:pPr>
    <w:rPr>
      <w:sz w:val="28"/>
      <w:szCs w:val="28"/>
    </w:rPr>
  </w:style>
  <w:style w:type="paragraph" w:customStyle="1" w:styleId="DecHCase">
    <w:name w:val="Dec_H_Case"/>
    <w:basedOn w:val="DecHTitle"/>
    <w:next w:val="JuPara"/>
    <w:rsid w:val="008901C4"/>
    <w:rPr>
      <w:sz w:val="24"/>
      <w:szCs w:val="24"/>
    </w:rPr>
  </w:style>
  <w:style w:type="paragraph" w:customStyle="1" w:styleId="DecList">
    <w:name w:val="Dec_List"/>
    <w:basedOn w:val="Normal"/>
    <w:rsid w:val="008901C4"/>
    <w:pPr>
      <w:spacing w:before="240"/>
      <w:ind w:left="284"/>
      <w:jc w:val="both"/>
    </w:pPr>
  </w:style>
  <w:style w:type="paragraph" w:customStyle="1" w:styleId="JuParaSub">
    <w:name w:val="Ju_Para_Sub"/>
    <w:basedOn w:val="JuPara"/>
    <w:rsid w:val="008901C4"/>
    <w:pPr>
      <w:ind w:left="284"/>
    </w:pPr>
  </w:style>
  <w:style w:type="paragraph" w:customStyle="1" w:styleId="JuQuotSub">
    <w:name w:val="Ju_Quot_Sub"/>
    <w:basedOn w:val="JuQuot"/>
    <w:rsid w:val="008901C4"/>
    <w:pPr>
      <w:ind w:left="567"/>
    </w:pPr>
  </w:style>
  <w:style w:type="paragraph" w:styleId="BalloonText">
    <w:name w:val="Balloon Text"/>
    <w:basedOn w:val="Normal"/>
    <w:semiHidden/>
    <w:rsid w:val="00283F8B"/>
    <w:rPr>
      <w:sz w:val="16"/>
      <w:szCs w:val="16"/>
    </w:rPr>
  </w:style>
  <w:style w:type="paragraph" w:customStyle="1" w:styleId="PJuPara">
    <w:name w:val="P_Ju_Para"/>
    <w:basedOn w:val="Normal"/>
    <w:rsid w:val="008901C4"/>
    <w:pPr>
      <w:ind w:firstLine="284"/>
      <w:jc w:val="both"/>
    </w:pPr>
  </w:style>
  <w:style w:type="paragraph" w:customStyle="1" w:styleId="PJuQuot">
    <w:name w:val="P_Ju_Quot"/>
    <w:basedOn w:val="Normal"/>
    <w:rsid w:val="008901C4"/>
    <w:pPr>
      <w:spacing w:before="120" w:after="120"/>
      <w:ind w:left="403" w:firstLine="176"/>
      <w:jc w:val="both"/>
    </w:pPr>
    <w:rPr>
      <w:sz w:val="20"/>
      <w:szCs w:val="20"/>
    </w:rPr>
  </w:style>
  <w:style w:type="paragraph" w:customStyle="1" w:styleId="OpiHA">
    <w:name w:val="Opi_H_A"/>
    <w:basedOn w:val="JuHIRoman"/>
    <w:next w:val="OpiPara"/>
    <w:rsid w:val="008901C4"/>
    <w:pPr>
      <w:tabs>
        <w:tab w:val="clear" w:pos="357"/>
      </w:tabs>
    </w:pPr>
    <w:rPr>
      <w:b/>
      <w:bCs/>
    </w:rPr>
  </w:style>
  <w:style w:type="paragraph" w:customStyle="1" w:styleId="OpiH1">
    <w:name w:val="Opi_H_1."/>
    <w:basedOn w:val="OpiHA"/>
    <w:next w:val="OpiPara"/>
    <w:rsid w:val="008901C4"/>
    <w:pPr>
      <w:spacing w:before="240" w:after="120"/>
      <w:ind w:left="635"/>
    </w:pPr>
    <w:rPr>
      <w:b w:val="0"/>
      <w:bCs w:val="0"/>
      <w:i/>
      <w:iCs/>
    </w:rPr>
  </w:style>
  <w:style w:type="paragraph" w:customStyle="1" w:styleId="OpiHa0">
    <w:name w:val="Opi_H_a"/>
    <w:basedOn w:val="OpiH1"/>
    <w:next w:val="OpiPara"/>
    <w:rsid w:val="008901C4"/>
    <w:pPr>
      <w:ind w:left="834"/>
    </w:pPr>
    <w:rPr>
      <w:b/>
      <w:bCs/>
      <w:i w:val="0"/>
      <w:iCs w:val="0"/>
      <w:sz w:val="20"/>
      <w:szCs w:val="20"/>
    </w:rPr>
  </w:style>
  <w:style w:type="paragraph" w:customStyle="1" w:styleId="OpiHi">
    <w:name w:val="Opi_H_i"/>
    <w:basedOn w:val="OpiHa0"/>
    <w:next w:val="OpiPara"/>
    <w:rsid w:val="008901C4"/>
    <w:pPr>
      <w:ind w:left="1038"/>
    </w:pPr>
    <w:rPr>
      <w:b w:val="0"/>
      <w:bCs w:val="0"/>
      <w:i/>
      <w:iCs/>
    </w:rPr>
  </w:style>
  <w:style w:type="paragraph" w:customStyle="1" w:styleId="PListArticleSubject">
    <w:name w:val="P_List_ArticleSubject"/>
    <w:basedOn w:val="Normal"/>
    <w:rsid w:val="008901C4"/>
    <w:pPr>
      <w:tabs>
        <w:tab w:val="left" w:pos="2977"/>
      </w:tabs>
      <w:ind w:left="2977" w:hanging="2977"/>
    </w:pPr>
  </w:style>
  <w:style w:type="paragraph" w:customStyle="1" w:styleId="OpiQuot">
    <w:name w:val="Opi_Quot"/>
    <w:basedOn w:val="JuQuot"/>
    <w:rsid w:val="008901C4"/>
  </w:style>
  <w:style w:type="paragraph" w:customStyle="1" w:styleId="SuCoverTitle1">
    <w:name w:val="Su_Cover_Title1"/>
    <w:basedOn w:val="Normal"/>
    <w:next w:val="SuCoverTitle2"/>
    <w:rsid w:val="008901C4"/>
    <w:pPr>
      <w:spacing w:before="2500"/>
      <w:jc w:val="center"/>
    </w:pPr>
    <w:rPr>
      <w:sz w:val="22"/>
      <w:szCs w:val="22"/>
    </w:rPr>
  </w:style>
  <w:style w:type="paragraph" w:customStyle="1" w:styleId="SuCoverTitle2">
    <w:name w:val="Su_Cover_Title2"/>
    <w:basedOn w:val="SuCoverTitle1"/>
    <w:next w:val="Normal"/>
    <w:rsid w:val="008901C4"/>
    <w:pPr>
      <w:spacing w:before="240"/>
    </w:pPr>
    <w:rPr>
      <w:sz w:val="18"/>
      <w:szCs w:val="18"/>
    </w:rPr>
  </w:style>
  <w:style w:type="paragraph" w:customStyle="1" w:styleId="SuPara">
    <w:name w:val="Su_Para"/>
    <w:basedOn w:val="SuKeywords"/>
    <w:rsid w:val="008901C4"/>
    <w:pPr>
      <w:spacing w:before="0" w:after="0"/>
    </w:pPr>
    <w:rPr>
      <w:i w:val="0"/>
      <w:iCs w:val="0"/>
    </w:rPr>
  </w:style>
  <w:style w:type="paragraph" w:customStyle="1" w:styleId="SuKeywords">
    <w:name w:val="Su_Keywords"/>
    <w:basedOn w:val="SuHHead"/>
    <w:rsid w:val="008901C4"/>
    <w:pPr>
      <w:spacing w:before="120"/>
    </w:pPr>
    <w:rPr>
      <w:b w:val="0"/>
      <w:bCs w:val="0"/>
      <w:i/>
      <w:iCs/>
    </w:rPr>
  </w:style>
  <w:style w:type="paragraph" w:customStyle="1" w:styleId="SuHHead">
    <w:name w:val="Su_H_Head"/>
    <w:basedOn w:val="SuSubject"/>
    <w:rsid w:val="008901C4"/>
    <w:pPr>
      <w:spacing w:after="120"/>
    </w:pPr>
  </w:style>
  <w:style w:type="paragraph" w:customStyle="1" w:styleId="SuSubject">
    <w:name w:val="Su_Subject"/>
    <w:basedOn w:val="SuSummary"/>
    <w:rsid w:val="008901C4"/>
    <w:pPr>
      <w:spacing w:before="360"/>
      <w:jc w:val="both"/>
    </w:pPr>
    <w:rPr>
      <w:b/>
      <w:bCs/>
      <w:sz w:val="22"/>
      <w:szCs w:val="22"/>
    </w:rPr>
  </w:style>
  <w:style w:type="paragraph" w:customStyle="1" w:styleId="SuSummary">
    <w:name w:val="Su_Summary"/>
    <w:basedOn w:val="Normal"/>
    <w:next w:val="SuSubject"/>
    <w:rsid w:val="008901C4"/>
    <w:pPr>
      <w:spacing w:after="240"/>
      <w:jc w:val="center"/>
    </w:pPr>
  </w:style>
  <w:style w:type="paragraph" w:customStyle="1" w:styleId="PListCaseNo">
    <w:name w:val="P_List_CaseNo"/>
    <w:basedOn w:val="Normal"/>
    <w:rsid w:val="008901C4"/>
    <w:pPr>
      <w:tabs>
        <w:tab w:val="left" w:pos="1276"/>
      </w:tabs>
      <w:spacing w:line="288" w:lineRule="auto"/>
      <w:ind w:left="1276" w:hanging="1276"/>
    </w:pPr>
  </w:style>
  <w:style w:type="paragraph" w:customStyle="1" w:styleId="PListCases">
    <w:name w:val="P_List_Cases"/>
    <w:basedOn w:val="Normal"/>
    <w:rsid w:val="008901C4"/>
    <w:pPr>
      <w:spacing w:line="288" w:lineRule="auto"/>
    </w:pPr>
  </w:style>
  <w:style w:type="paragraph" w:customStyle="1" w:styleId="PTextIntro">
    <w:name w:val="P_Text_Intro"/>
    <w:basedOn w:val="Normal"/>
    <w:rsid w:val="008901C4"/>
    <w:pPr>
      <w:jc w:val="both"/>
    </w:pPr>
    <w:rPr>
      <w:i/>
      <w:iCs/>
      <w:sz w:val="20"/>
      <w:szCs w:val="20"/>
    </w:rPr>
  </w:style>
  <w:style w:type="paragraph" w:customStyle="1" w:styleId="PTitleCover">
    <w:name w:val="P_Title_Cover"/>
    <w:basedOn w:val="Normal"/>
    <w:rsid w:val="008901C4"/>
    <w:pPr>
      <w:spacing w:before="2500"/>
      <w:jc w:val="center"/>
    </w:pPr>
    <w:rPr>
      <w:b/>
      <w:bCs/>
      <w:smallCaps/>
      <w:sz w:val="30"/>
      <w:szCs w:val="30"/>
    </w:rPr>
  </w:style>
  <w:style w:type="paragraph" w:customStyle="1" w:styleId="PTitle1Alpha">
    <w:name w:val="P_Title1_Alpha"/>
    <w:basedOn w:val="Normal"/>
    <w:next w:val="Normal"/>
    <w:rsid w:val="008901C4"/>
    <w:pPr>
      <w:spacing w:after="120"/>
      <w:jc w:val="center"/>
    </w:pPr>
    <w:rPr>
      <w:b/>
      <w:bCs/>
      <w:smallCaps/>
      <w:sz w:val="30"/>
      <w:szCs w:val="30"/>
    </w:rPr>
  </w:style>
  <w:style w:type="paragraph" w:customStyle="1" w:styleId="PTitle1IndexArticle">
    <w:name w:val="P_Title1_IndexArticle"/>
    <w:basedOn w:val="Normal"/>
    <w:rsid w:val="008901C4"/>
    <w:pPr>
      <w:spacing w:after="120"/>
      <w:jc w:val="center"/>
    </w:pPr>
    <w:rPr>
      <w:b/>
      <w:bCs/>
      <w:smallCaps/>
      <w:sz w:val="30"/>
      <w:szCs w:val="30"/>
    </w:rPr>
  </w:style>
  <w:style w:type="paragraph" w:customStyle="1" w:styleId="PTitle1IndexKey">
    <w:name w:val="P_Title1_IndexKey"/>
    <w:basedOn w:val="Normal"/>
    <w:rsid w:val="008901C4"/>
    <w:pPr>
      <w:spacing w:after="600"/>
      <w:jc w:val="center"/>
    </w:pPr>
    <w:rPr>
      <w:b/>
      <w:bCs/>
      <w:smallCaps/>
      <w:sz w:val="30"/>
      <w:szCs w:val="30"/>
    </w:rPr>
  </w:style>
  <w:style w:type="paragraph" w:customStyle="1" w:styleId="PTitle1Num">
    <w:name w:val="P_Title1_Num"/>
    <w:basedOn w:val="Normal"/>
    <w:next w:val="PListCaseNo"/>
    <w:rsid w:val="008901C4"/>
    <w:pPr>
      <w:spacing w:after="720"/>
      <w:jc w:val="center"/>
    </w:pPr>
    <w:rPr>
      <w:b/>
      <w:bCs/>
      <w:smallCaps/>
      <w:sz w:val="30"/>
      <w:szCs w:val="30"/>
    </w:rPr>
  </w:style>
  <w:style w:type="paragraph" w:customStyle="1" w:styleId="PTitle2Country">
    <w:name w:val="P_Title2_Country"/>
    <w:basedOn w:val="Normal"/>
    <w:next w:val="PListCases"/>
    <w:rsid w:val="008901C4"/>
    <w:pPr>
      <w:keepNext/>
      <w:keepLines/>
      <w:spacing w:before="600" w:after="360"/>
    </w:pPr>
    <w:rPr>
      <w:b/>
      <w:bCs/>
    </w:rPr>
  </w:style>
  <w:style w:type="paragraph" w:customStyle="1" w:styleId="PTitle2Letters">
    <w:name w:val="P_Title2_Letters"/>
    <w:basedOn w:val="Normal"/>
    <w:next w:val="PListCases"/>
    <w:rsid w:val="008901C4"/>
    <w:pPr>
      <w:keepNext/>
      <w:keepLines/>
      <w:spacing w:before="600" w:after="360"/>
    </w:pPr>
    <w:rPr>
      <w:b/>
      <w:bCs/>
      <w:sz w:val="28"/>
      <w:szCs w:val="28"/>
    </w:rPr>
  </w:style>
  <w:style w:type="paragraph" w:customStyle="1" w:styleId="PTitle2Part">
    <w:name w:val="P_Title2_Part"/>
    <w:basedOn w:val="Normal"/>
    <w:rsid w:val="008901C4"/>
    <w:pPr>
      <w:keepNext/>
      <w:keepLines/>
      <w:spacing w:before="600" w:after="240"/>
      <w:jc w:val="center"/>
    </w:pPr>
    <w:rPr>
      <w:b/>
      <w:bCs/>
      <w:caps/>
    </w:rPr>
  </w:style>
  <w:style w:type="paragraph" w:customStyle="1" w:styleId="PTitle3Article">
    <w:name w:val="P_Title3_Article"/>
    <w:basedOn w:val="Normal"/>
    <w:rsid w:val="008901C4"/>
    <w:pPr>
      <w:keepNext/>
      <w:keepLines/>
      <w:spacing w:before="360" w:after="120"/>
      <w:jc w:val="center"/>
    </w:pPr>
    <w:rPr>
      <w:b/>
      <w:bCs/>
      <w:smallCaps/>
      <w:sz w:val="22"/>
      <w:szCs w:val="22"/>
    </w:rPr>
  </w:style>
  <w:style w:type="paragraph" w:customStyle="1" w:styleId="PTitle4ArticleSub">
    <w:name w:val="P_Title4_Article_Sub"/>
    <w:basedOn w:val="PTitle3Article"/>
    <w:rsid w:val="008901C4"/>
    <w:pPr>
      <w:spacing w:before="240"/>
    </w:pPr>
    <w:rPr>
      <w:smallCaps w:val="0"/>
      <w:sz w:val="20"/>
      <w:szCs w:val="20"/>
    </w:rPr>
  </w:style>
  <w:style w:type="paragraph" w:customStyle="1" w:styleId="PTitle5Subject">
    <w:name w:val="P_Title5_Subject"/>
    <w:basedOn w:val="Normal"/>
    <w:rsid w:val="008901C4"/>
    <w:pPr>
      <w:keepNext/>
      <w:keepLines/>
      <w:spacing w:before="240" w:after="120"/>
      <w:jc w:val="both"/>
    </w:pPr>
    <w:rPr>
      <w:b/>
      <w:bCs/>
      <w:i/>
      <w:iCs/>
    </w:rPr>
  </w:style>
  <w:style w:type="paragraph" w:customStyle="1" w:styleId="PTitle6SubjectSub">
    <w:name w:val="P_Title6_Subject_Sub"/>
    <w:basedOn w:val="Normal"/>
    <w:rsid w:val="008901C4"/>
    <w:pPr>
      <w:keepNext/>
      <w:keepLines/>
      <w:spacing w:before="240" w:after="120"/>
      <w:ind w:left="284"/>
      <w:jc w:val="both"/>
    </w:pPr>
    <w:rPr>
      <w:b/>
      <w:bCs/>
      <w:sz w:val="20"/>
      <w:szCs w:val="20"/>
    </w:rPr>
  </w:style>
  <w:style w:type="paragraph" w:customStyle="1" w:styleId="PTitle7CaseName">
    <w:name w:val="P_Title7_CaseName"/>
    <w:basedOn w:val="Normal"/>
    <w:rsid w:val="008901C4"/>
    <w:pPr>
      <w:keepLines/>
      <w:spacing w:after="240"/>
      <w:jc w:val="right"/>
    </w:pPr>
    <w:rPr>
      <w:sz w:val="22"/>
      <w:szCs w:val="22"/>
    </w:rPr>
  </w:style>
  <w:style w:type="paragraph" w:customStyle="1" w:styleId="OpiParaSub">
    <w:name w:val="Opi_Para_Sub"/>
    <w:basedOn w:val="JuParaSub"/>
    <w:rsid w:val="008901C4"/>
  </w:style>
  <w:style w:type="paragraph" w:customStyle="1" w:styleId="OpiQuotSub">
    <w:name w:val="Opi_Quot_Sub"/>
    <w:basedOn w:val="JuQuotSub"/>
    <w:rsid w:val="008901C4"/>
  </w:style>
  <w:style w:type="character" w:customStyle="1" w:styleId="JuSignedChar">
    <w:name w:val="Ju_Signed Char"/>
    <w:basedOn w:val="DefaultParagraphFont"/>
    <w:locked/>
    <w:rsid w:val="000E4CBF"/>
    <w:rPr>
      <w:sz w:val="24"/>
      <w:szCs w:val="24"/>
      <w:lang w:val="en-GB"/>
    </w:rPr>
  </w:style>
  <w:style w:type="paragraph" w:customStyle="1" w:styleId="NormalJustified">
    <w:name w:val="Normal_Justified"/>
    <w:basedOn w:val="Normal"/>
    <w:rsid w:val="008901C4"/>
    <w:pPr>
      <w:jc w:val="both"/>
    </w:pPr>
  </w:style>
  <w:style w:type="character" w:customStyle="1" w:styleId="JuJudgesChar">
    <w:name w:val="Ju_Judges Char"/>
    <w:basedOn w:val="DefaultParagraphFont"/>
    <w:locked/>
    <w:rsid w:val="00DB26CC"/>
    <w:rPr>
      <w:sz w:val="24"/>
      <w:szCs w:val="24"/>
      <w:lang w:val="en-GB"/>
    </w:rPr>
  </w:style>
  <w:style w:type="character" w:styleId="Hyperlink">
    <w:name w:val="Hyperlink"/>
    <w:basedOn w:val="DefaultParagraphFont"/>
    <w:rsid w:val="00465400"/>
    <w:rPr>
      <w:color w:val="0000FF"/>
      <w:u w:val="single"/>
    </w:rPr>
  </w:style>
  <w:style w:type="paragraph" w:customStyle="1" w:styleId="JuParaChar">
    <w:name w:val="Ju_Para Char"/>
    <w:basedOn w:val="Normal"/>
    <w:rsid w:val="00760790"/>
    <w:pPr>
      <w:ind w:firstLine="284"/>
      <w:jc w:val="both"/>
    </w:pPr>
    <w:rPr>
      <w:rFonts w:eastAsia="Batang"/>
      <w:lang w:val="fr-FR"/>
    </w:rPr>
  </w:style>
  <w:style w:type="character" w:customStyle="1" w:styleId="JuParaChar2">
    <w:name w:val="Ju_Para Char2"/>
    <w:basedOn w:val="DefaultParagraphFont"/>
    <w:locked/>
    <w:rsid w:val="00760790"/>
    <w:rPr>
      <w:sz w:val="24"/>
      <w:szCs w:val="24"/>
      <w:lang w:val="fr-FR"/>
    </w:rPr>
  </w:style>
  <w:style w:type="paragraph" w:customStyle="1" w:styleId="CharCharCarCharCarCharCarCharCarCharCarCharCarCharCharCharCharCarCharCarChar">
    <w:name w:val="Char Char Car Char Car Char Car Char Car Char Car Char Car Char Char Char Char Car Char Car Char"/>
    <w:basedOn w:val="Normal"/>
    <w:rsid w:val="006E680F"/>
    <w:pPr>
      <w:suppressAutoHyphens w:val="0"/>
      <w:spacing w:after="160" w:line="240" w:lineRule="exact"/>
    </w:pPr>
    <w:rPr>
      <w:sz w:val="20"/>
      <w:szCs w:val="20"/>
      <w:lang w:val="en-US"/>
    </w:rPr>
  </w:style>
  <w:style w:type="character" w:customStyle="1" w:styleId="JuParaCar">
    <w:name w:val="Ju_Para Car"/>
    <w:basedOn w:val="DefaultParagraphFont"/>
    <w:locked/>
    <w:rsid w:val="00275A01"/>
    <w:rPr>
      <w:sz w:val="24"/>
      <w:szCs w:val="24"/>
      <w:lang w:val="en-GB"/>
    </w:rPr>
  </w:style>
  <w:style w:type="character" w:customStyle="1" w:styleId="tw4winMark">
    <w:name w:val="tw4winMark"/>
    <w:uiPriority w:val="99"/>
    <w:rsid w:val="00D94E77"/>
    <w:rPr>
      <w:rFonts w:ascii="Courier New" w:hAnsi="Courier New" w:cs="Courier New"/>
      <w:vanish/>
      <w:color w:val="800080"/>
      <w:vertAlign w:val="subscript"/>
    </w:rPr>
  </w:style>
  <w:style w:type="character" w:customStyle="1" w:styleId="tw4winError">
    <w:name w:val="tw4winError"/>
    <w:rsid w:val="00D94E77"/>
    <w:rPr>
      <w:rFonts w:ascii="Courier New" w:hAnsi="Courier New" w:cs="Courier New"/>
      <w:color w:val="00FF00"/>
      <w:sz w:val="40"/>
      <w:szCs w:val="40"/>
    </w:rPr>
  </w:style>
  <w:style w:type="character" w:customStyle="1" w:styleId="tw4winTerm">
    <w:name w:val="tw4winTerm"/>
    <w:rsid w:val="00D94E77"/>
    <w:rPr>
      <w:color w:val="0000FF"/>
    </w:rPr>
  </w:style>
  <w:style w:type="character" w:customStyle="1" w:styleId="tw4winPopup">
    <w:name w:val="tw4winPopup"/>
    <w:rsid w:val="00D94E77"/>
    <w:rPr>
      <w:rFonts w:ascii="Courier New" w:hAnsi="Courier New" w:cs="Courier New"/>
      <w:noProof/>
      <w:color w:val="008000"/>
    </w:rPr>
  </w:style>
  <w:style w:type="character" w:customStyle="1" w:styleId="tw4winJump">
    <w:name w:val="tw4winJump"/>
    <w:rsid w:val="00D94E77"/>
    <w:rPr>
      <w:rFonts w:ascii="Courier New" w:hAnsi="Courier New" w:cs="Courier New"/>
      <w:noProof/>
      <w:color w:val="008080"/>
    </w:rPr>
  </w:style>
  <w:style w:type="character" w:customStyle="1" w:styleId="tw4winExternal">
    <w:name w:val="tw4winExternal"/>
    <w:rsid w:val="00D94E77"/>
    <w:rPr>
      <w:rFonts w:ascii="Courier New" w:hAnsi="Courier New" w:cs="Courier New"/>
      <w:noProof/>
      <w:color w:val="808080"/>
    </w:rPr>
  </w:style>
  <w:style w:type="character" w:customStyle="1" w:styleId="tw4winInternal">
    <w:name w:val="tw4winInternal"/>
    <w:rsid w:val="00D94E77"/>
    <w:rPr>
      <w:rFonts w:ascii="Courier New" w:hAnsi="Courier New" w:cs="Courier New"/>
      <w:noProof/>
      <w:color w:val="FF0000"/>
    </w:rPr>
  </w:style>
  <w:style w:type="character" w:customStyle="1" w:styleId="DONOTTRANSLATE">
    <w:name w:val="DO_NOT_TRANSLATE"/>
    <w:rsid w:val="00D94E77"/>
    <w:rPr>
      <w:rFonts w:ascii="Courier New" w:hAnsi="Courier New" w:cs="Courier New"/>
      <w:color w:val="800000"/>
      <w:sz w:val="20"/>
      <w:szCs w:val="20"/>
    </w:rPr>
  </w:style>
  <w:style w:type="character" w:customStyle="1" w:styleId="st">
    <w:name w:val="st"/>
    <w:basedOn w:val="DefaultParagraphFont"/>
    <w:rsid w:val="00131279"/>
  </w:style>
  <w:style w:type="character" w:styleId="Emphasis">
    <w:name w:val="Emphasis"/>
    <w:basedOn w:val="DefaultParagraphFont"/>
    <w:uiPriority w:val="20"/>
    <w:qFormat/>
    <w:locked/>
    <w:rsid w:val="00131279"/>
    <w:rPr>
      <w:i/>
      <w:iCs/>
    </w:rPr>
  </w:style>
  <w:style w:type="character" w:styleId="Strong">
    <w:name w:val="Strong"/>
    <w:basedOn w:val="DefaultParagraphFont"/>
    <w:uiPriority w:val="22"/>
    <w:qFormat/>
    <w:locked/>
    <w:rsid w:val="0094415D"/>
    <w:rPr>
      <w:b/>
      <w:bCs/>
    </w:rPr>
  </w:style>
  <w:style w:type="character" w:customStyle="1" w:styleId="apple-converted-space">
    <w:name w:val="apple-converted-space"/>
    <w:basedOn w:val="DefaultParagraphFont"/>
    <w:rsid w:val="00243F5C"/>
  </w:style>
  <w:style w:type="table" w:styleId="TableGrid">
    <w:name w:val="Table Grid"/>
    <w:basedOn w:val="TableNormal"/>
    <w:rsid w:val="00D75E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8219C-AA3C-4974-BCAD-D0D92F1B9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25971</Words>
  <Characters>14804</Characters>
  <Application>Microsoft Office Word</Application>
  <DocSecurity>0</DocSecurity>
  <Lines>123</Lines>
  <Paragraphs>81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2015-04-23T08:52:00Z</dcterms:created>
  <dcterms:modified xsi:type="dcterms:W3CDTF">2015-04-23T09:05:00Z</dcterms:modified>
  <cp:category/>
</cp:coreProperties>
</file>