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B5A" w:rsidRPr="00674C14" w:rsidRDefault="00E2734D" w:rsidP="008824B9">
      <w:pPr>
        <w:jc w:val="center"/>
        <w:rPr>
          <w:rFonts w:asciiTheme="majorHAnsi" w:hAnsiTheme="majorHAnsi" w:cstheme="majorHAnsi"/>
          <w:szCs w:val="24"/>
        </w:rPr>
      </w:pPr>
      <w:r w:rsidRPr="00674C14">
        <w:rPr>
          <w:rFonts w:asciiTheme="majorHAnsi" w:hAnsiTheme="majorHAnsi" w:cstheme="majorHAnsi"/>
          <w:noProof/>
          <w:lang w:bidi="ar-SA"/>
        </w:rPr>
        <w:drawing>
          <wp:inline distT="0" distB="0" distL="0" distR="0" wp14:anchorId="3E9E21F7" wp14:editId="5389E715">
            <wp:extent cx="2962275" cy="1219200"/>
            <wp:effectExtent l="0" t="0" r="9525" b="0"/>
            <wp:docPr id="9" name="Picture 9"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5A7B5A" w:rsidRPr="00674C14" w:rsidRDefault="005A7B5A" w:rsidP="008824B9">
      <w:pPr>
        <w:jc w:val="center"/>
        <w:rPr>
          <w:rFonts w:asciiTheme="majorHAnsi" w:hAnsiTheme="majorHAnsi" w:cstheme="majorHAnsi"/>
          <w:szCs w:val="24"/>
        </w:rPr>
      </w:pPr>
    </w:p>
    <w:p w:rsidR="00F71A6A" w:rsidRPr="00674C14" w:rsidRDefault="00F71A6A" w:rsidP="008824B9">
      <w:pPr>
        <w:jc w:val="center"/>
        <w:rPr>
          <w:rFonts w:asciiTheme="majorHAnsi" w:hAnsiTheme="majorHAnsi" w:cstheme="majorHAnsi"/>
        </w:rPr>
      </w:pPr>
    </w:p>
    <w:p w:rsidR="00F71A6A" w:rsidRPr="00674C14" w:rsidRDefault="00C5559A" w:rsidP="008824B9">
      <w:pPr>
        <w:jc w:val="center"/>
        <w:rPr>
          <w:rFonts w:asciiTheme="majorHAnsi" w:hAnsiTheme="majorHAnsi" w:cstheme="majorHAnsi"/>
        </w:rPr>
      </w:pPr>
      <w:r w:rsidRPr="00674C14">
        <w:rPr>
          <w:rFonts w:asciiTheme="majorHAnsi" w:hAnsiTheme="majorHAnsi" w:cstheme="majorHAnsi"/>
        </w:rPr>
        <w:t>CETURTĀ NODAĻA</w:t>
      </w:r>
    </w:p>
    <w:p w:rsidR="00F71A6A" w:rsidRPr="00674C14" w:rsidRDefault="00F71A6A" w:rsidP="008824B9">
      <w:pPr>
        <w:jc w:val="center"/>
        <w:rPr>
          <w:rFonts w:asciiTheme="majorHAnsi" w:hAnsiTheme="majorHAnsi" w:cstheme="majorHAnsi"/>
        </w:rPr>
      </w:pPr>
    </w:p>
    <w:p w:rsidR="005A7B5A" w:rsidRPr="00674C14" w:rsidRDefault="005A7B5A" w:rsidP="008824B9">
      <w:pPr>
        <w:jc w:val="center"/>
        <w:rPr>
          <w:rFonts w:asciiTheme="majorHAnsi" w:hAnsiTheme="majorHAnsi" w:cstheme="majorHAnsi"/>
        </w:rPr>
      </w:pPr>
    </w:p>
    <w:p w:rsidR="005A7B5A" w:rsidRPr="00674C14" w:rsidRDefault="005A7B5A" w:rsidP="008824B9">
      <w:pPr>
        <w:jc w:val="center"/>
        <w:rPr>
          <w:rFonts w:asciiTheme="majorHAnsi" w:hAnsiTheme="majorHAnsi" w:cstheme="majorHAnsi"/>
        </w:rPr>
      </w:pPr>
    </w:p>
    <w:p w:rsidR="005A7B5A" w:rsidRPr="00674C14" w:rsidRDefault="005A7B5A" w:rsidP="008824B9">
      <w:pPr>
        <w:jc w:val="center"/>
        <w:rPr>
          <w:rFonts w:asciiTheme="majorHAnsi" w:hAnsiTheme="majorHAnsi" w:cstheme="majorHAnsi"/>
        </w:rPr>
      </w:pPr>
    </w:p>
    <w:p w:rsidR="005A7B5A" w:rsidRPr="00674C14" w:rsidRDefault="005A7B5A" w:rsidP="004849BE">
      <w:pPr>
        <w:jc w:val="center"/>
        <w:rPr>
          <w:rFonts w:asciiTheme="majorHAnsi" w:hAnsiTheme="majorHAnsi" w:cstheme="majorHAnsi"/>
        </w:rPr>
      </w:pPr>
    </w:p>
    <w:p w:rsidR="00F71A6A" w:rsidRPr="00674C14" w:rsidRDefault="00F71A6A" w:rsidP="004849BE">
      <w:pPr>
        <w:jc w:val="center"/>
        <w:rPr>
          <w:rFonts w:asciiTheme="majorHAnsi" w:hAnsiTheme="majorHAnsi" w:cstheme="majorHAnsi"/>
        </w:rPr>
      </w:pPr>
    </w:p>
    <w:p w:rsidR="004849BE" w:rsidRPr="00674C14" w:rsidRDefault="004849BE" w:rsidP="004849BE">
      <w:pPr>
        <w:jc w:val="center"/>
        <w:rPr>
          <w:rFonts w:asciiTheme="majorHAnsi" w:hAnsiTheme="majorHAnsi" w:cstheme="majorHAnsi"/>
        </w:rPr>
      </w:pPr>
    </w:p>
    <w:p w:rsidR="00F71A6A" w:rsidRPr="00674C14" w:rsidRDefault="00F71A6A" w:rsidP="008824B9">
      <w:pPr>
        <w:jc w:val="center"/>
        <w:rPr>
          <w:rFonts w:asciiTheme="majorHAnsi" w:hAnsiTheme="majorHAnsi" w:cstheme="majorHAnsi"/>
          <w:b/>
        </w:rPr>
      </w:pPr>
      <w:bookmarkStart w:id="0" w:name="To"/>
      <w:r w:rsidRPr="00674C14">
        <w:rPr>
          <w:rFonts w:asciiTheme="majorHAnsi" w:hAnsiTheme="majorHAnsi" w:cstheme="majorHAnsi"/>
          <w:b/>
        </w:rPr>
        <w:t xml:space="preserve">LIETA </w:t>
      </w:r>
      <w:bookmarkEnd w:id="0"/>
      <w:r w:rsidRPr="00674C14">
        <w:rPr>
          <w:rFonts w:asciiTheme="majorHAnsi" w:hAnsiTheme="majorHAnsi" w:cstheme="majorHAnsi"/>
          <w:b/>
        </w:rPr>
        <w:t>“SALUMEKI pret SOMIJU”</w:t>
      </w:r>
    </w:p>
    <w:p w:rsidR="00F71A6A" w:rsidRPr="00674C14" w:rsidRDefault="00F71A6A" w:rsidP="008824B9">
      <w:pPr>
        <w:jc w:val="center"/>
        <w:rPr>
          <w:rFonts w:asciiTheme="majorHAnsi" w:hAnsiTheme="majorHAnsi" w:cstheme="majorHAnsi"/>
        </w:rPr>
      </w:pPr>
    </w:p>
    <w:p w:rsidR="00F71A6A" w:rsidRPr="00674C14" w:rsidRDefault="00F71A6A" w:rsidP="008824B9">
      <w:pPr>
        <w:jc w:val="center"/>
        <w:rPr>
          <w:rFonts w:asciiTheme="majorHAnsi" w:hAnsiTheme="majorHAnsi" w:cstheme="majorHAnsi"/>
          <w:i/>
        </w:rPr>
      </w:pPr>
      <w:r w:rsidRPr="00674C14">
        <w:rPr>
          <w:rFonts w:asciiTheme="majorHAnsi" w:hAnsiTheme="majorHAnsi" w:cstheme="majorHAnsi"/>
          <w:i/>
        </w:rPr>
        <w:t>(Pieteikums Nr. 23605/09)</w:t>
      </w:r>
    </w:p>
    <w:p w:rsidR="00F71A6A" w:rsidRPr="00674C14" w:rsidRDefault="00F71A6A" w:rsidP="008824B9">
      <w:pPr>
        <w:jc w:val="center"/>
        <w:rPr>
          <w:rFonts w:asciiTheme="majorHAnsi" w:hAnsiTheme="majorHAnsi" w:cstheme="majorHAnsi"/>
        </w:rPr>
      </w:pPr>
    </w:p>
    <w:p w:rsidR="00F71A6A" w:rsidRPr="00674C14" w:rsidRDefault="00F71A6A" w:rsidP="008824B9">
      <w:pPr>
        <w:jc w:val="center"/>
        <w:rPr>
          <w:rFonts w:asciiTheme="majorHAnsi" w:hAnsiTheme="majorHAnsi" w:cstheme="majorHAnsi"/>
        </w:rPr>
      </w:pPr>
    </w:p>
    <w:p w:rsidR="00F71A6A" w:rsidRPr="00674C14" w:rsidRDefault="00F71A6A" w:rsidP="008824B9">
      <w:pPr>
        <w:jc w:val="center"/>
        <w:rPr>
          <w:rFonts w:asciiTheme="majorHAnsi" w:hAnsiTheme="majorHAnsi" w:cstheme="majorHAnsi"/>
        </w:rPr>
      </w:pPr>
    </w:p>
    <w:p w:rsidR="00F71A6A" w:rsidRPr="00674C14" w:rsidRDefault="00F71A6A" w:rsidP="008824B9">
      <w:pPr>
        <w:jc w:val="center"/>
        <w:rPr>
          <w:rFonts w:asciiTheme="majorHAnsi" w:hAnsiTheme="majorHAnsi" w:cstheme="majorHAnsi"/>
        </w:rPr>
      </w:pPr>
    </w:p>
    <w:p w:rsidR="00F71A6A" w:rsidRPr="00674C14" w:rsidRDefault="00F71A6A" w:rsidP="008824B9">
      <w:pPr>
        <w:jc w:val="center"/>
        <w:rPr>
          <w:rFonts w:asciiTheme="majorHAnsi" w:hAnsiTheme="majorHAnsi" w:cstheme="majorHAnsi"/>
        </w:rPr>
      </w:pPr>
    </w:p>
    <w:p w:rsidR="00F71A6A" w:rsidRPr="00674C14" w:rsidRDefault="00F71A6A" w:rsidP="008824B9">
      <w:pPr>
        <w:jc w:val="center"/>
        <w:rPr>
          <w:rFonts w:asciiTheme="majorHAnsi" w:hAnsiTheme="majorHAnsi" w:cstheme="majorHAnsi"/>
        </w:rPr>
      </w:pPr>
    </w:p>
    <w:p w:rsidR="00F71A6A" w:rsidRPr="00674C14" w:rsidRDefault="005A7B5A" w:rsidP="005A7B5A">
      <w:pPr>
        <w:jc w:val="center"/>
        <w:rPr>
          <w:rFonts w:asciiTheme="majorHAnsi" w:hAnsiTheme="majorHAnsi" w:cstheme="majorHAnsi"/>
        </w:rPr>
      </w:pPr>
      <w:r w:rsidRPr="00674C14">
        <w:rPr>
          <w:rFonts w:asciiTheme="majorHAnsi" w:hAnsiTheme="majorHAnsi" w:cstheme="majorHAnsi"/>
        </w:rPr>
        <w:t>SPRIEDUMS</w:t>
      </w:r>
    </w:p>
    <w:p w:rsidR="00F71A6A" w:rsidRPr="00674C14" w:rsidRDefault="00F71A6A" w:rsidP="004849BE">
      <w:pPr>
        <w:jc w:val="center"/>
        <w:rPr>
          <w:rFonts w:asciiTheme="majorHAnsi" w:hAnsiTheme="majorHAnsi" w:cstheme="majorHAnsi"/>
          <w:szCs w:val="24"/>
        </w:rPr>
      </w:pPr>
    </w:p>
    <w:p w:rsidR="00B921A8" w:rsidRPr="00674C14" w:rsidRDefault="00B921A8" w:rsidP="004849BE">
      <w:pPr>
        <w:jc w:val="center"/>
        <w:rPr>
          <w:rFonts w:asciiTheme="majorHAnsi" w:hAnsiTheme="majorHAnsi" w:cstheme="majorHAnsi"/>
        </w:rPr>
      </w:pPr>
    </w:p>
    <w:p w:rsidR="005A7B5A" w:rsidRPr="00674C14" w:rsidRDefault="005A7B5A" w:rsidP="007264B4">
      <w:pPr>
        <w:pStyle w:val="JuCase"/>
        <w:ind w:firstLine="0"/>
        <w:jc w:val="center"/>
        <w:rPr>
          <w:rFonts w:asciiTheme="majorHAnsi" w:hAnsiTheme="majorHAnsi" w:cstheme="majorHAnsi"/>
          <w:b w:val="0"/>
        </w:rPr>
      </w:pPr>
    </w:p>
    <w:p w:rsidR="005A7B5A" w:rsidRPr="00674C14" w:rsidRDefault="005A7B5A" w:rsidP="005A7B5A">
      <w:pPr>
        <w:pStyle w:val="JuCase"/>
        <w:ind w:firstLine="0"/>
        <w:jc w:val="center"/>
        <w:rPr>
          <w:rFonts w:asciiTheme="majorHAnsi" w:hAnsiTheme="majorHAnsi" w:cstheme="majorHAnsi"/>
          <w:b w:val="0"/>
        </w:rPr>
      </w:pPr>
      <w:r w:rsidRPr="00674C14">
        <w:rPr>
          <w:rFonts w:asciiTheme="majorHAnsi" w:hAnsiTheme="majorHAnsi" w:cstheme="majorHAnsi"/>
          <w:b w:val="0"/>
        </w:rPr>
        <w:t>STRASBŪRA</w:t>
      </w:r>
    </w:p>
    <w:p w:rsidR="005A7B5A" w:rsidRPr="00674C14" w:rsidRDefault="005A7B5A" w:rsidP="005A7B5A">
      <w:pPr>
        <w:pStyle w:val="JuCase"/>
        <w:ind w:firstLine="0"/>
        <w:jc w:val="center"/>
        <w:rPr>
          <w:rFonts w:asciiTheme="majorHAnsi" w:hAnsiTheme="majorHAnsi" w:cstheme="majorHAnsi"/>
          <w:b w:val="0"/>
        </w:rPr>
      </w:pPr>
    </w:p>
    <w:p w:rsidR="005A7B5A" w:rsidRPr="00674C14" w:rsidRDefault="005A7B5A" w:rsidP="005A7B5A">
      <w:pPr>
        <w:pStyle w:val="JuCase"/>
        <w:ind w:firstLine="0"/>
        <w:jc w:val="center"/>
        <w:rPr>
          <w:rFonts w:asciiTheme="majorHAnsi" w:hAnsiTheme="majorHAnsi" w:cstheme="majorHAnsi"/>
          <w:b w:val="0"/>
        </w:rPr>
      </w:pPr>
      <w:r w:rsidRPr="00674C14">
        <w:rPr>
          <w:rFonts w:asciiTheme="majorHAnsi" w:hAnsiTheme="majorHAnsi" w:cstheme="majorHAnsi"/>
          <w:b w:val="0"/>
        </w:rPr>
        <w:t>2014. gada 29. aprīlī</w:t>
      </w:r>
    </w:p>
    <w:p w:rsidR="007264B4" w:rsidRPr="00674C14" w:rsidRDefault="007264B4" w:rsidP="007264B4">
      <w:pPr>
        <w:pStyle w:val="JuCase"/>
        <w:ind w:firstLine="0"/>
        <w:jc w:val="center"/>
        <w:rPr>
          <w:rFonts w:asciiTheme="majorHAnsi" w:hAnsiTheme="majorHAnsi" w:cstheme="majorHAnsi"/>
          <w:b w:val="0"/>
        </w:rPr>
      </w:pPr>
    </w:p>
    <w:p w:rsidR="007264B4" w:rsidRPr="00674C14" w:rsidRDefault="007264B4" w:rsidP="007264B4">
      <w:pPr>
        <w:pStyle w:val="JuCase"/>
        <w:ind w:firstLine="0"/>
        <w:jc w:val="center"/>
        <w:rPr>
          <w:rFonts w:asciiTheme="majorHAnsi" w:hAnsiTheme="majorHAnsi" w:cstheme="majorHAnsi"/>
          <w:b w:val="0"/>
        </w:rPr>
      </w:pPr>
    </w:p>
    <w:p w:rsidR="007264B4" w:rsidRPr="00674C14" w:rsidRDefault="007264B4" w:rsidP="007264B4">
      <w:pPr>
        <w:pStyle w:val="JuCase"/>
        <w:ind w:firstLine="0"/>
        <w:jc w:val="center"/>
        <w:rPr>
          <w:rFonts w:asciiTheme="majorHAnsi" w:hAnsiTheme="majorHAnsi" w:cstheme="majorHAnsi"/>
          <w:b w:val="0"/>
        </w:rPr>
      </w:pPr>
    </w:p>
    <w:p w:rsidR="005A7B5A" w:rsidRPr="00674C14" w:rsidRDefault="005A7B5A" w:rsidP="005A7B5A">
      <w:pPr>
        <w:pStyle w:val="JuCase"/>
        <w:ind w:firstLine="0"/>
        <w:jc w:val="center"/>
        <w:rPr>
          <w:rFonts w:asciiTheme="majorHAnsi" w:hAnsiTheme="majorHAnsi" w:cstheme="majorHAnsi"/>
          <w:b w:val="0"/>
        </w:rPr>
      </w:pPr>
    </w:p>
    <w:p w:rsidR="00663D43" w:rsidRPr="00674C14" w:rsidRDefault="00663D43" w:rsidP="00663D43">
      <w:pPr>
        <w:pStyle w:val="jucase0"/>
        <w:ind w:firstLine="0"/>
        <w:jc w:val="center"/>
        <w:rPr>
          <w:rFonts w:asciiTheme="majorHAnsi" w:hAnsiTheme="majorHAnsi" w:cstheme="majorHAnsi"/>
          <w:color w:val="FF0000"/>
          <w:sz w:val="28"/>
          <w:szCs w:val="28"/>
          <w:u w:val="single"/>
        </w:rPr>
      </w:pPr>
      <w:r w:rsidRPr="00674C14">
        <w:rPr>
          <w:rFonts w:asciiTheme="majorHAnsi" w:hAnsiTheme="majorHAnsi" w:cstheme="majorHAnsi"/>
          <w:color w:val="FF0000"/>
          <w:sz w:val="28"/>
          <w:u w:val="single"/>
        </w:rPr>
        <w:t>GALĪGĀ REDAKCIJA</w:t>
      </w:r>
    </w:p>
    <w:p w:rsidR="00663D43" w:rsidRPr="00674C14" w:rsidRDefault="00663D43" w:rsidP="00663D43">
      <w:pPr>
        <w:pStyle w:val="jupara"/>
        <w:ind w:firstLine="0"/>
        <w:rPr>
          <w:rFonts w:asciiTheme="majorHAnsi" w:hAnsiTheme="majorHAnsi" w:cstheme="majorHAnsi"/>
          <w:color w:val="FF0000"/>
          <w:sz w:val="28"/>
          <w:szCs w:val="28"/>
        </w:rPr>
      </w:pPr>
    </w:p>
    <w:p w:rsidR="00663D43" w:rsidRPr="00674C14" w:rsidRDefault="00663D43" w:rsidP="00663D43">
      <w:pPr>
        <w:pStyle w:val="jupara"/>
        <w:ind w:firstLine="0"/>
        <w:jc w:val="center"/>
        <w:rPr>
          <w:rFonts w:asciiTheme="majorHAnsi" w:hAnsiTheme="majorHAnsi" w:cstheme="majorHAnsi"/>
          <w:color w:val="FF0000"/>
          <w:sz w:val="28"/>
          <w:szCs w:val="28"/>
        </w:rPr>
      </w:pPr>
      <w:r w:rsidRPr="00674C14">
        <w:rPr>
          <w:rFonts w:asciiTheme="majorHAnsi" w:hAnsiTheme="majorHAnsi" w:cstheme="majorHAnsi"/>
          <w:color w:val="FF0000"/>
          <w:sz w:val="28"/>
        </w:rPr>
        <w:t>29.07.2014.</w:t>
      </w:r>
    </w:p>
    <w:p w:rsidR="00663D43" w:rsidRPr="00674C14" w:rsidRDefault="00663D43" w:rsidP="00663D43">
      <w:pPr>
        <w:pStyle w:val="jupara"/>
        <w:ind w:firstLine="0"/>
        <w:jc w:val="center"/>
        <w:rPr>
          <w:rFonts w:asciiTheme="majorHAnsi" w:hAnsiTheme="majorHAnsi" w:cstheme="majorHAnsi"/>
        </w:rPr>
      </w:pPr>
    </w:p>
    <w:p w:rsidR="00663D43" w:rsidRPr="00674C14" w:rsidRDefault="00663D43" w:rsidP="00663D43">
      <w:pPr>
        <w:rPr>
          <w:rFonts w:asciiTheme="majorHAnsi" w:hAnsiTheme="majorHAnsi" w:cstheme="majorHAnsi"/>
          <w:i/>
          <w:iCs/>
          <w:sz w:val="22"/>
          <w:szCs w:val="22"/>
        </w:rPr>
      </w:pPr>
      <w:r w:rsidRPr="00674C14">
        <w:rPr>
          <w:rFonts w:asciiTheme="majorHAnsi" w:hAnsiTheme="majorHAnsi" w:cstheme="majorHAnsi"/>
          <w:i/>
          <w:sz w:val="22"/>
        </w:rPr>
        <w:t>Šis spriedums ir kļuvis galīgs saskaņā ar Konvencijas 44. panta 2. punktu. Tajā var tikt veikti redakcionāli labojumi.</w:t>
      </w:r>
    </w:p>
    <w:p w:rsidR="004849BE" w:rsidRPr="00674C14" w:rsidRDefault="004849BE" w:rsidP="004849BE">
      <w:pPr>
        <w:pStyle w:val="JuCase"/>
        <w:ind w:firstLine="0"/>
        <w:rPr>
          <w:rFonts w:asciiTheme="majorHAnsi" w:hAnsiTheme="majorHAnsi" w:cstheme="majorHAnsi"/>
          <w:b w:val="0"/>
          <w:i/>
          <w:sz w:val="22"/>
        </w:rPr>
      </w:pPr>
    </w:p>
    <w:p w:rsidR="005A7B5A" w:rsidRPr="00674C14" w:rsidRDefault="005A7B5A" w:rsidP="005A7B5A">
      <w:pPr>
        <w:pStyle w:val="JuCase"/>
        <w:ind w:firstLine="0"/>
        <w:rPr>
          <w:rFonts w:asciiTheme="majorHAnsi" w:hAnsiTheme="majorHAnsi" w:cstheme="majorHAnsi"/>
          <w:b w:val="0"/>
        </w:rPr>
        <w:sectPr w:rsidR="005A7B5A" w:rsidRPr="00674C14" w:rsidSect="00E2734D">
          <w:headerReference w:type="default" r:id="rId9"/>
          <w:footerReference w:type="default" r:id="rId10"/>
          <w:headerReference w:type="first" r:id="rId11"/>
          <w:footerReference w:type="first" r:id="rId12"/>
          <w:footnotePr>
            <w:numRestart w:val="eachPage"/>
          </w:footnotePr>
          <w:pgSz w:w="11906" w:h="16838" w:code="9"/>
          <w:pgMar w:top="1134" w:right="1134" w:bottom="1134" w:left="1701" w:header="567" w:footer="567" w:gutter="0"/>
          <w:pgNumType w:start="1"/>
          <w:cols w:space="720"/>
          <w:titlePg/>
          <w:docGrid w:linePitch="326"/>
        </w:sectPr>
      </w:pPr>
    </w:p>
    <w:p w:rsidR="00F71A6A" w:rsidRPr="00674C14" w:rsidRDefault="00F71A6A" w:rsidP="008C149B">
      <w:pPr>
        <w:pStyle w:val="JuCase"/>
        <w:rPr>
          <w:rFonts w:asciiTheme="majorHAnsi" w:hAnsiTheme="majorHAnsi" w:cstheme="majorHAnsi"/>
        </w:rPr>
      </w:pPr>
      <w:r w:rsidRPr="00674C14">
        <w:rPr>
          <w:rFonts w:asciiTheme="majorHAnsi" w:hAnsiTheme="majorHAnsi" w:cstheme="majorHAnsi"/>
        </w:rPr>
        <w:lastRenderedPageBreak/>
        <w:t>Lietā “</w:t>
      </w:r>
      <w:proofErr w:type="spellStart"/>
      <w:r w:rsidRPr="00674C14">
        <w:rPr>
          <w:rFonts w:asciiTheme="majorHAnsi" w:hAnsiTheme="majorHAnsi" w:cstheme="majorHAnsi"/>
        </w:rPr>
        <w:t>Salumeki</w:t>
      </w:r>
      <w:proofErr w:type="spellEnd"/>
      <w:r w:rsidRPr="00674C14">
        <w:rPr>
          <w:rFonts w:asciiTheme="majorHAnsi" w:hAnsiTheme="majorHAnsi" w:cstheme="majorHAnsi"/>
        </w:rPr>
        <w:t xml:space="preserve"> pret Somiju”</w:t>
      </w:r>
    </w:p>
    <w:p w:rsidR="00730433" w:rsidRPr="00674C14" w:rsidRDefault="00F71A6A" w:rsidP="008824B9">
      <w:pPr>
        <w:pStyle w:val="ECHRPara"/>
        <w:rPr>
          <w:rFonts w:asciiTheme="majorHAnsi" w:hAnsiTheme="majorHAnsi" w:cstheme="majorHAnsi"/>
        </w:rPr>
      </w:pPr>
      <w:r w:rsidRPr="00674C14">
        <w:rPr>
          <w:rFonts w:asciiTheme="majorHAnsi" w:hAnsiTheme="majorHAnsi" w:cstheme="majorHAnsi"/>
        </w:rPr>
        <w:t>Eiropas Cilvēktiesību tiesa (Ceturtā nodaļa), sanākusi kā palāta šādā sastāvā:</w:t>
      </w:r>
    </w:p>
    <w:p w:rsidR="000459EE" w:rsidRPr="00674C14" w:rsidRDefault="00CA554B" w:rsidP="008824B9">
      <w:pPr>
        <w:pStyle w:val="JuJudges"/>
        <w:rPr>
          <w:rStyle w:val="JuJudgesChar"/>
          <w:rFonts w:asciiTheme="majorHAnsi" w:hAnsiTheme="majorHAnsi" w:cstheme="majorHAnsi"/>
          <w:i/>
        </w:rPr>
      </w:pPr>
      <w:r w:rsidRPr="00674C14">
        <w:rPr>
          <w:rFonts w:asciiTheme="majorHAnsi" w:hAnsiTheme="majorHAnsi" w:cstheme="majorHAnsi"/>
        </w:rPr>
        <w:tab/>
      </w:r>
      <w:r w:rsidRPr="00674C14">
        <w:rPr>
          <w:rStyle w:val="JuJudgesChar"/>
          <w:rFonts w:asciiTheme="majorHAnsi" w:hAnsiTheme="majorHAnsi" w:cstheme="majorHAnsi"/>
        </w:rPr>
        <w:t xml:space="preserve">Ineta Ziemele, </w:t>
      </w:r>
      <w:r w:rsidRPr="00674C14">
        <w:rPr>
          <w:rStyle w:val="JuJudgesChar"/>
          <w:rFonts w:asciiTheme="majorHAnsi" w:hAnsiTheme="majorHAnsi" w:cstheme="majorHAnsi"/>
          <w:i/>
        </w:rPr>
        <w:t>priekšsēdētāja</w:t>
      </w:r>
      <w:r w:rsidRPr="00674C14">
        <w:rPr>
          <w:rStyle w:val="JuJudgesChar"/>
          <w:rFonts w:asciiTheme="majorHAnsi" w:hAnsiTheme="majorHAnsi" w:cstheme="majorHAnsi"/>
        </w:rPr>
        <w:t>,</w:t>
      </w:r>
    </w:p>
    <w:p w:rsidR="000459EE" w:rsidRPr="00674C14" w:rsidRDefault="00CA554B" w:rsidP="008824B9">
      <w:pPr>
        <w:pStyle w:val="JuJudges"/>
        <w:rPr>
          <w:rStyle w:val="JuJudgesChar"/>
          <w:rFonts w:asciiTheme="majorHAnsi" w:hAnsiTheme="majorHAnsi" w:cstheme="majorHAnsi"/>
        </w:rPr>
      </w:pPr>
      <w:r w:rsidRPr="00674C14">
        <w:rPr>
          <w:rFonts w:asciiTheme="majorHAnsi" w:hAnsiTheme="majorHAnsi" w:cstheme="majorHAnsi"/>
        </w:rPr>
        <w:tab/>
      </w:r>
      <w:proofErr w:type="spellStart"/>
      <w:r w:rsidRPr="00674C14">
        <w:rPr>
          <w:rStyle w:val="JuJudgesChar"/>
          <w:rFonts w:asciiTheme="majorHAnsi" w:hAnsiTheme="majorHAnsi" w:cstheme="majorHAnsi"/>
        </w:rPr>
        <w:t>Peivi</w:t>
      </w:r>
      <w:proofErr w:type="spellEnd"/>
      <w:r w:rsidRPr="00674C14">
        <w:rPr>
          <w:rStyle w:val="JuJudgesChar"/>
          <w:rFonts w:asciiTheme="majorHAnsi" w:hAnsiTheme="majorHAnsi" w:cstheme="majorHAnsi"/>
        </w:rPr>
        <w:t xml:space="preserve"> </w:t>
      </w:r>
      <w:proofErr w:type="spellStart"/>
      <w:r w:rsidRPr="00674C14">
        <w:rPr>
          <w:rStyle w:val="JuJudgesChar"/>
          <w:rFonts w:asciiTheme="majorHAnsi" w:hAnsiTheme="majorHAnsi" w:cstheme="majorHAnsi"/>
        </w:rPr>
        <w:t>Hirvele</w:t>
      </w:r>
      <w:proofErr w:type="spellEnd"/>
      <w:r w:rsidRPr="00674C14">
        <w:rPr>
          <w:rStyle w:val="JuJudgesChar"/>
          <w:rFonts w:asciiTheme="majorHAnsi" w:hAnsiTheme="majorHAnsi" w:cstheme="majorHAnsi"/>
        </w:rPr>
        <w:t xml:space="preserve"> [</w:t>
      </w:r>
      <w:proofErr w:type="spellStart"/>
      <w:r w:rsidRPr="00674C14">
        <w:rPr>
          <w:rStyle w:val="JuJudgesChar"/>
          <w:rFonts w:asciiTheme="majorHAnsi" w:hAnsiTheme="majorHAnsi" w:cstheme="majorHAnsi"/>
          <w:i/>
        </w:rPr>
        <w:t>Päivi</w:t>
      </w:r>
      <w:proofErr w:type="spellEnd"/>
      <w:r w:rsidRPr="00674C14">
        <w:rPr>
          <w:rStyle w:val="JuJudgesChar"/>
          <w:rFonts w:asciiTheme="majorHAnsi" w:hAnsiTheme="majorHAnsi" w:cstheme="majorHAnsi"/>
          <w:i/>
        </w:rPr>
        <w:t xml:space="preserve"> </w:t>
      </w:r>
      <w:proofErr w:type="spellStart"/>
      <w:r w:rsidRPr="00674C14">
        <w:rPr>
          <w:rStyle w:val="JuJudgesChar"/>
          <w:rFonts w:asciiTheme="majorHAnsi" w:hAnsiTheme="majorHAnsi" w:cstheme="majorHAnsi"/>
          <w:i/>
        </w:rPr>
        <w:t>Hirvelä</w:t>
      </w:r>
      <w:proofErr w:type="spellEnd"/>
      <w:r w:rsidRPr="00674C14">
        <w:rPr>
          <w:rStyle w:val="JuJudgesChar"/>
          <w:rFonts w:asciiTheme="majorHAnsi" w:hAnsiTheme="majorHAnsi" w:cstheme="majorHAnsi"/>
        </w:rPr>
        <w:t>],</w:t>
      </w:r>
    </w:p>
    <w:p w:rsidR="000459EE" w:rsidRPr="00674C14" w:rsidRDefault="00CA554B" w:rsidP="008824B9">
      <w:pPr>
        <w:pStyle w:val="JuJudges"/>
        <w:rPr>
          <w:rStyle w:val="JuJudgesChar"/>
          <w:rFonts w:asciiTheme="majorHAnsi" w:hAnsiTheme="majorHAnsi" w:cstheme="majorHAnsi"/>
        </w:rPr>
      </w:pPr>
      <w:r w:rsidRPr="00674C14">
        <w:rPr>
          <w:rFonts w:asciiTheme="majorHAnsi" w:hAnsiTheme="majorHAnsi" w:cstheme="majorHAnsi"/>
        </w:rPr>
        <w:tab/>
      </w:r>
      <w:r w:rsidRPr="00674C14">
        <w:rPr>
          <w:rStyle w:val="JuJudgesChar"/>
          <w:rFonts w:asciiTheme="majorHAnsi" w:hAnsiTheme="majorHAnsi" w:cstheme="majorHAnsi"/>
        </w:rPr>
        <w:t xml:space="preserve">Georgijs </w:t>
      </w:r>
      <w:proofErr w:type="spellStart"/>
      <w:r w:rsidRPr="00674C14">
        <w:rPr>
          <w:rStyle w:val="JuJudgesChar"/>
          <w:rFonts w:asciiTheme="majorHAnsi" w:hAnsiTheme="majorHAnsi" w:cstheme="majorHAnsi"/>
        </w:rPr>
        <w:t>Nikolau</w:t>
      </w:r>
      <w:proofErr w:type="spellEnd"/>
      <w:r w:rsidRPr="00674C14">
        <w:rPr>
          <w:rStyle w:val="JuJudgesChar"/>
          <w:rFonts w:asciiTheme="majorHAnsi" w:hAnsiTheme="majorHAnsi" w:cstheme="majorHAnsi"/>
        </w:rPr>
        <w:t xml:space="preserve"> [</w:t>
      </w:r>
      <w:r w:rsidRPr="00674C14">
        <w:rPr>
          <w:rStyle w:val="JuJudgesChar"/>
          <w:rFonts w:asciiTheme="majorHAnsi" w:hAnsiTheme="majorHAnsi" w:cstheme="majorHAnsi"/>
          <w:i/>
        </w:rPr>
        <w:t xml:space="preserve">George </w:t>
      </w:r>
      <w:proofErr w:type="spellStart"/>
      <w:r w:rsidRPr="00674C14">
        <w:rPr>
          <w:rStyle w:val="JuJudgesChar"/>
          <w:rFonts w:asciiTheme="majorHAnsi" w:hAnsiTheme="majorHAnsi" w:cstheme="majorHAnsi"/>
          <w:i/>
        </w:rPr>
        <w:t>Nicolaou</w:t>
      </w:r>
      <w:proofErr w:type="spellEnd"/>
      <w:r w:rsidRPr="00674C14">
        <w:rPr>
          <w:rStyle w:val="JuJudgesChar"/>
          <w:rFonts w:asciiTheme="majorHAnsi" w:hAnsiTheme="majorHAnsi" w:cstheme="majorHAnsi"/>
        </w:rPr>
        <w:t>],</w:t>
      </w:r>
    </w:p>
    <w:p w:rsidR="000459EE" w:rsidRPr="00674C14" w:rsidRDefault="00CA554B" w:rsidP="008824B9">
      <w:pPr>
        <w:pStyle w:val="JuJudges"/>
        <w:rPr>
          <w:rStyle w:val="JuJudgesChar"/>
          <w:rFonts w:asciiTheme="majorHAnsi" w:hAnsiTheme="majorHAnsi" w:cstheme="majorHAnsi"/>
        </w:rPr>
      </w:pPr>
      <w:r w:rsidRPr="00674C14">
        <w:rPr>
          <w:rFonts w:asciiTheme="majorHAnsi" w:hAnsiTheme="majorHAnsi" w:cstheme="majorHAnsi"/>
        </w:rPr>
        <w:tab/>
      </w:r>
      <w:r w:rsidRPr="00674C14">
        <w:rPr>
          <w:rStyle w:val="JuJudgesChar"/>
          <w:rFonts w:asciiTheme="majorHAnsi" w:hAnsiTheme="majorHAnsi" w:cstheme="majorHAnsi"/>
        </w:rPr>
        <w:t xml:space="preserve">Ledi </w:t>
      </w:r>
      <w:proofErr w:type="spellStart"/>
      <w:r w:rsidRPr="00674C14">
        <w:rPr>
          <w:rStyle w:val="JuJudgesChar"/>
          <w:rFonts w:asciiTheme="majorHAnsi" w:hAnsiTheme="majorHAnsi" w:cstheme="majorHAnsi"/>
        </w:rPr>
        <w:t>Bjanku</w:t>
      </w:r>
      <w:proofErr w:type="spellEnd"/>
      <w:r w:rsidRPr="00674C14">
        <w:rPr>
          <w:rStyle w:val="JuJudgesChar"/>
          <w:rFonts w:asciiTheme="majorHAnsi" w:hAnsiTheme="majorHAnsi" w:cstheme="majorHAnsi"/>
        </w:rPr>
        <w:t xml:space="preserve"> [</w:t>
      </w:r>
      <w:r w:rsidRPr="00674C14">
        <w:rPr>
          <w:rStyle w:val="JuJudgesChar"/>
          <w:rFonts w:asciiTheme="majorHAnsi" w:hAnsiTheme="majorHAnsi" w:cstheme="majorHAnsi"/>
          <w:i/>
        </w:rPr>
        <w:t xml:space="preserve">Ledi </w:t>
      </w:r>
      <w:proofErr w:type="spellStart"/>
      <w:r w:rsidRPr="00674C14">
        <w:rPr>
          <w:rStyle w:val="JuJudgesChar"/>
          <w:rFonts w:asciiTheme="majorHAnsi" w:hAnsiTheme="majorHAnsi" w:cstheme="majorHAnsi"/>
          <w:i/>
        </w:rPr>
        <w:t>Bianku</w:t>
      </w:r>
      <w:proofErr w:type="spellEnd"/>
      <w:r w:rsidRPr="00674C14">
        <w:rPr>
          <w:rStyle w:val="JuJudgesChar"/>
          <w:rFonts w:asciiTheme="majorHAnsi" w:hAnsiTheme="majorHAnsi" w:cstheme="majorHAnsi"/>
        </w:rPr>
        <w:t>],</w:t>
      </w:r>
    </w:p>
    <w:p w:rsidR="000459EE" w:rsidRPr="00674C14" w:rsidRDefault="00CA554B" w:rsidP="008824B9">
      <w:pPr>
        <w:pStyle w:val="JuJudges"/>
        <w:rPr>
          <w:rStyle w:val="JuJudgesChar"/>
          <w:rFonts w:asciiTheme="majorHAnsi" w:hAnsiTheme="majorHAnsi" w:cstheme="majorHAnsi"/>
        </w:rPr>
      </w:pPr>
      <w:r w:rsidRPr="00674C14">
        <w:rPr>
          <w:rFonts w:asciiTheme="majorHAnsi" w:hAnsiTheme="majorHAnsi" w:cstheme="majorHAnsi"/>
        </w:rPr>
        <w:tab/>
      </w:r>
      <w:proofErr w:type="spellStart"/>
      <w:r w:rsidRPr="00674C14">
        <w:rPr>
          <w:rStyle w:val="JuJudgesChar"/>
          <w:rFonts w:asciiTheme="majorHAnsi" w:hAnsiTheme="majorHAnsi" w:cstheme="majorHAnsi"/>
        </w:rPr>
        <w:t>Zdravka</w:t>
      </w:r>
      <w:proofErr w:type="spellEnd"/>
      <w:r w:rsidRPr="00674C14">
        <w:rPr>
          <w:rStyle w:val="JuJudgesChar"/>
          <w:rFonts w:asciiTheme="majorHAnsi" w:hAnsiTheme="majorHAnsi" w:cstheme="majorHAnsi"/>
        </w:rPr>
        <w:t xml:space="preserve"> </w:t>
      </w:r>
      <w:proofErr w:type="spellStart"/>
      <w:r w:rsidRPr="00674C14">
        <w:rPr>
          <w:rStyle w:val="JuJudgesChar"/>
          <w:rFonts w:asciiTheme="majorHAnsi" w:hAnsiTheme="majorHAnsi" w:cstheme="majorHAnsi"/>
        </w:rPr>
        <w:t>Kalaidžijeva</w:t>
      </w:r>
      <w:proofErr w:type="spellEnd"/>
      <w:r w:rsidRPr="00674C14">
        <w:rPr>
          <w:rStyle w:val="JuJudgesChar"/>
          <w:rFonts w:asciiTheme="majorHAnsi" w:hAnsiTheme="majorHAnsi" w:cstheme="majorHAnsi"/>
        </w:rPr>
        <w:t xml:space="preserve"> [</w:t>
      </w:r>
      <w:proofErr w:type="spellStart"/>
      <w:r w:rsidRPr="00674C14">
        <w:rPr>
          <w:rStyle w:val="JuJudgesChar"/>
          <w:rFonts w:asciiTheme="majorHAnsi" w:hAnsiTheme="majorHAnsi" w:cstheme="majorHAnsi"/>
          <w:i/>
        </w:rPr>
        <w:t>Zdravka</w:t>
      </w:r>
      <w:proofErr w:type="spellEnd"/>
      <w:r w:rsidRPr="00674C14">
        <w:rPr>
          <w:rStyle w:val="JuJudgesChar"/>
          <w:rFonts w:asciiTheme="majorHAnsi" w:hAnsiTheme="majorHAnsi" w:cstheme="majorHAnsi"/>
          <w:i/>
        </w:rPr>
        <w:t xml:space="preserve"> </w:t>
      </w:r>
      <w:proofErr w:type="spellStart"/>
      <w:r w:rsidRPr="00674C14">
        <w:rPr>
          <w:rStyle w:val="JuJudgesChar"/>
          <w:rFonts w:asciiTheme="majorHAnsi" w:hAnsiTheme="majorHAnsi" w:cstheme="majorHAnsi"/>
          <w:i/>
        </w:rPr>
        <w:t>Kalaydjieva</w:t>
      </w:r>
      <w:proofErr w:type="spellEnd"/>
      <w:r w:rsidRPr="00674C14">
        <w:rPr>
          <w:rStyle w:val="JuJudgesChar"/>
          <w:rFonts w:asciiTheme="majorHAnsi" w:hAnsiTheme="majorHAnsi" w:cstheme="majorHAnsi"/>
        </w:rPr>
        <w:t>],</w:t>
      </w:r>
    </w:p>
    <w:p w:rsidR="000459EE" w:rsidRPr="00674C14" w:rsidRDefault="00CA554B" w:rsidP="008824B9">
      <w:pPr>
        <w:pStyle w:val="JuJudges"/>
        <w:rPr>
          <w:rStyle w:val="JuJudgesChar"/>
          <w:rFonts w:asciiTheme="majorHAnsi" w:hAnsiTheme="majorHAnsi" w:cstheme="majorHAnsi"/>
        </w:rPr>
      </w:pPr>
      <w:r w:rsidRPr="00674C14">
        <w:rPr>
          <w:rFonts w:asciiTheme="majorHAnsi" w:hAnsiTheme="majorHAnsi" w:cstheme="majorHAnsi"/>
        </w:rPr>
        <w:tab/>
      </w:r>
      <w:r w:rsidRPr="00674C14">
        <w:rPr>
          <w:rStyle w:val="JuJudgesChar"/>
          <w:rFonts w:asciiTheme="majorHAnsi" w:hAnsiTheme="majorHAnsi" w:cstheme="majorHAnsi"/>
        </w:rPr>
        <w:t xml:space="preserve">Vinsents E. </w:t>
      </w:r>
      <w:proofErr w:type="spellStart"/>
      <w:r w:rsidRPr="00674C14">
        <w:rPr>
          <w:rStyle w:val="JuJudgesChar"/>
          <w:rFonts w:asciiTheme="majorHAnsi" w:hAnsiTheme="majorHAnsi" w:cstheme="majorHAnsi"/>
        </w:rPr>
        <w:t>de</w:t>
      </w:r>
      <w:proofErr w:type="spellEnd"/>
      <w:r w:rsidRPr="00674C14">
        <w:rPr>
          <w:rStyle w:val="JuJudgesChar"/>
          <w:rFonts w:asciiTheme="majorHAnsi" w:hAnsiTheme="majorHAnsi" w:cstheme="majorHAnsi"/>
        </w:rPr>
        <w:t xml:space="preserve"> </w:t>
      </w:r>
      <w:proofErr w:type="spellStart"/>
      <w:r w:rsidRPr="00674C14">
        <w:rPr>
          <w:rStyle w:val="JuJudgesChar"/>
          <w:rFonts w:asciiTheme="majorHAnsi" w:hAnsiTheme="majorHAnsi" w:cstheme="majorHAnsi"/>
        </w:rPr>
        <w:t>Gaetāno</w:t>
      </w:r>
      <w:proofErr w:type="spellEnd"/>
      <w:r w:rsidRPr="00674C14">
        <w:rPr>
          <w:rStyle w:val="JuJudgesChar"/>
          <w:rFonts w:asciiTheme="majorHAnsi" w:hAnsiTheme="majorHAnsi" w:cstheme="majorHAnsi"/>
        </w:rPr>
        <w:t xml:space="preserve"> [</w:t>
      </w:r>
      <w:r w:rsidRPr="00674C14">
        <w:rPr>
          <w:rStyle w:val="JuJudgesChar"/>
          <w:rFonts w:asciiTheme="majorHAnsi" w:hAnsiTheme="majorHAnsi" w:cstheme="majorHAnsi"/>
          <w:i/>
        </w:rPr>
        <w:t xml:space="preserve">Vincent A. </w:t>
      </w:r>
      <w:proofErr w:type="spellStart"/>
      <w:r w:rsidRPr="00674C14">
        <w:rPr>
          <w:rStyle w:val="JuJudgesChar"/>
          <w:rFonts w:asciiTheme="majorHAnsi" w:hAnsiTheme="majorHAnsi" w:cstheme="majorHAnsi"/>
          <w:i/>
        </w:rPr>
        <w:t>De</w:t>
      </w:r>
      <w:proofErr w:type="spellEnd"/>
      <w:r w:rsidRPr="00674C14">
        <w:rPr>
          <w:rStyle w:val="JuJudgesChar"/>
          <w:rFonts w:asciiTheme="majorHAnsi" w:hAnsiTheme="majorHAnsi" w:cstheme="majorHAnsi"/>
          <w:i/>
        </w:rPr>
        <w:t xml:space="preserve"> </w:t>
      </w:r>
      <w:proofErr w:type="spellStart"/>
      <w:r w:rsidRPr="00674C14">
        <w:rPr>
          <w:rStyle w:val="JuJudgesChar"/>
          <w:rFonts w:asciiTheme="majorHAnsi" w:hAnsiTheme="majorHAnsi" w:cstheme="majorHAnsi"/>
          <w:i/>
        </w:rPr>
        <w:t>Gaetano</w:t>
      </w:r>
      <w:proofErr w:type="spellEnd"/>
      <w:r w:rsidRPr="00674C14">
        <w:rPr>
          <w:rStyle w:val="JuJudgesChar"/>
          <w:rFonts w:asciiTheme="majorHAnsi" w:hAnsiTheme="majorHAnsi" w:cstheme="majorHAnsi"/>
          <w:i/>
        </w:rPr>
        <w:t>]</w:t>
      </w:r>
      <w:r w:rsidRPr="00674C14">
        <w:rPr>
          <w:rStyle w:val="JuJudgesChar"/>
          <w:rFonts w:asciiTheme="majorHAnsi" w:hAnsiTheme="majorHAnsi" w:cstheme="majorHAnsi"/>
        </w:rPr>
        <w:t>,</w:t>
      </w:r>
    </w:p>
    <w:p w:rsidR="00EE5610" w:rsidRPr="00674C14" w:rsidRDefault="00CA554B" w:rsidP="008824B9">
      <w:pPr>
        <w:pStyle w:val="JuJudges"/>
        <w:rPr>
          <w:rStyle w:val="JuJudgesChar"/>
          <w:rFonts w:asciiTheme="majorHAnsi" w:hAnsiTheme="majorHAnsi" w:cstheme="majorHAnsi"/>
        </w:rPr>
      </w:pPr>
      <w:r w:rsidRPr="00674C14">
        <w:rPr>
          <w:rFonts w:asciiTheme="majorHAnsi" w:hAnsiTheme="majorHAnsi" w:cstheme="majorHAnsi"/>
        </w:rPr>
        <w:tab/>
      </w:r>
      <w:r w:rsidRPr="00674C14">
        <w:rPr>
          <w:rStyle w:val="JuJudgesChar"/>
          <w:rFonts w:asciiTheme="majorHAnsi" w:hAnsiTheme="majorHAnsi" w:cstheme="majorHAnsi"/>
        </w:rPr>
        <w:t xml:space="preserve">Kšištofs </w:t>
      </w:r>
      <w:proofErr w:type="spellStart"/>
      <w:r w:rsidRPr="00674C14">
        <w:rPr>
          <w:rStyle w:val="JuJudgesChar"/>
          <w:rFonts w:asciiTheme="majorHAnsi" w:hAnsiTheme="majorHAnsi" w:cstheme="majorHAnsi"/>
        </w:rPr>
        <w:t>Vojtičeks</w:t>
      </w:r>
      <w:proofErr w:type="spellEnd"/>
      <w:r w:rsidRPr="00674C14">
        <w:rPr>
          <w:rStyle w:val="JuJudgesChar"/>
          <w:rFonts w:asciiTheme="majorHAnsi" w:hAnsiTheme="majorHAnsi" w:cstheme="majorHAnsi"/>
        </w:rPr>
        <w:t xml:space="preserve"> [</w:t>
      </w:r>
      <w:proofErr w:type="spellStart"/>
      <w:r w:rsidRPr="00674C14">
        <w:rPr>
          <w:rStyle w:val="JuJudgesChar"/>
          <w:rFonts w:asciiTheme="majorHAnsi" w:hAnsiTheme="majorHAnsi" w:cstheme="majorHAnsi"/>
          <w:i/>
        </w:rPr>
        <w:t>Krzysztof</w:t>
      </w:r>
      <w:proofErr w:type="spellEnd"/>
      <w:r w:rsidRPr="00674C14">
        <w:rPr>
          <w:rStyle w:val="JuJudgesChar"/>
          <w:rFonts w:asciiTheme="majorHAnsi" w:hAnsiTheme="majorHAnsi" w:cstheme="majorHAnsi"/>
          <w:i/>
        </w:rPr>
        <w:t xml:space="preserve"> </w:t>
      </w:r>
      <w:proofErr w:type="spellStart"/>
      <w:r w:rsidRPr="00674C14">
        <w:rPr>
          <w:rStyle w:val="JuJudgesChar"/>
          <w:rFonts w:asciiTheme="majorHAnsi" w:hAnsiTheme="majorHAnsi" w:cstheme="majorHAnsi"/>
          <w:i/>
        </w:rPr>
        <w:t>Wojtyczek</w:t>
      </w:r>
      <w:proofErr w:type="spellEnd"/>
      <w:r w:rsidRPr="00674C14">
        <w:rPr>
          <w:rStyle w:val="JuJudgesChar"/>
          <w:rFonts w:asciiTheme="majorHAnsi" w:hAnsiTheme="majorHAnsi" w:cstheme="majorHAnsi"/>
        </w:rPr>
        <w:t xml:space="preserve">], </w:t>
      </w:r>
      <w:r w:rsidRPr="00674C14">
        <w:rPr>
          <w:rStyle w:val="JuJudgesChar"/>
          <w:rFonts w:asciiTheme="majorHAnsi" w:hAnsiTheme="majorHAnsi" w:cstheme="majorHAnsi"/>
          <w:i/>
        </w:rPr>
        <w:t>tiesneši</w:t>
      </w:r>
      <w:r w:rsidRPr="00674C14">
        <w:rPr>
          <w:rStyle w:val="JuJudgesChar"/>
          <w:rFonts w:asciiTheme="majorHAnsi" w:hAnsiTheme="majorHAnsi" w:cstheme="majorHAnsi"/>
        </w:rPr>
        <w:t>,</w:t>
      </w:r>
    </w:p>
    <w:p w:rsidR="00F71A6A" w:rsidRPr="00674C14" w:rsidRDefault="00F71A6A" w:rsidP="008824B9">
      <w:pPr>
        <w:pStyle w:val="JuJudges"/>
        <w:rPr>
          <w:rFonts w:asciiTheme="majorHAnsi" w:hAnsiTheme="majorHAnsi" w:cstheme="majorHAnsi"/>
        </w:rPr>
      </w:pPr>
      <w:r w:rsidRPr="00674C14">
        <w:rPr>
          <w:rFonts w:asciiTheme="majorHAnsi" w:hAnsiTheme="majorHAnsi" w:cstheme="majorHAnsi"/>
        </w:rPr>
        <w:t xml:space="preserve">un </w:t>
      </w:r>
      <w:proofErr w:type="spellStart"/>
      <w:r w:rsidRPr="00674C14">
        <w:rPr>
          <w:rFonts w:asciiTheme="majorHAnsi" w:hAnsiTheme="majorHAnsi" w:cstheme="majorHAnsi"/>
        </w:rPr>
        <w:t>Fatoša</w:t>
      </w:r>
      <w:proofErr w:type="spellEnd"/>
      <w:r w:rsidRPr="00674C14">
        <w:rPr>
          <w:rFonts w:asciiTheme="majorHAnsi" w:hAnsiTheme="majorHAnsi" w:cstheme="majorHAnsi"/>
        </w:rPr>
        <w:t xml:space="preserve"> </w:t>
      </w:r>
      <w:proofErr w:type="spellStart"/>
      <w:r w:rsidRPr="00674C14">
        <w:rPr>
          <w:rFonts w:asciiTheme="majorHAnsi" w:hAnsiTheme="majorHAnsi" w:cstheme="majorHAnsi"/>
        </w:rPr>
        <w:t>Arači</w:t>
      </w:r>
      <w:proofErr w:type="spellEnd"/>
      <w:r w:rsidRPr="00674C14">
        <w:rPr>
          <w:rFonts w:asciiTheme="majorHAnsi" w:hAnsiTheme="majorHAnsi" w:cstheme="majorHAnsi"/>
        </w:rPr>
        <w:t xml:space="preserve"> [</w:t>
      </w:r>
      <w:proofErr w:type="spellStart"/>
      <w:r w:rsidRPr="00674C14">
        <w:rPr>
          <w:rFonts w:asciiTheme="majorHAnsi" w:hAnsiTheme="majorHAnsi" w:cstheme="majorHAnsi"/>
          <w:i/>
        </w:rPr>
        <w:t>Fatoş</w:t>
      </w:r>
      <w:proofErr w:type="spellEnd"/>
      <w:r w:rsidRPr="00674C14">
        <w:rPr>
          <w:rFonts w:asciiTheme="majorHAnsi" w:hAnsiTheme="majorHAnsi" w:cstheme="majorHAnsi"/>
          <w:i/>
        </w:rPr>
        <w:t xml:space="preserve"> </w:t>
      </w:r>
      <w:proofErr w:type="spellStart"/>
      <w:r w:rsidRPr="00674C14">
        <w:rPr>
          <w:rFonts w:asciiTheme="majorHAnsi" w:hAnsiTheme="majorHAnsi" w:cstheme="majorHAnsi"/>
          <w:i/>
        </w:rPr>
        <w:t>Aracı</w:t>
      </w:r>
      <w:proofErr w:type="spellEnd"/>
      <w:r w:rsidRPr="00674C14">
        <w:rPr>
          <w:rFonts w:asciiTheme="majorHAnsi" w:hAnsiTheme="majorHAnsi" w:cstheme="majorHAnsi"/>
        </w:rPr>
        <w:t xml:space="preserve">], </w:t>
      </w:r>
      <w:r w:rsidRPr="00674C14">
        <w:rPr>
          <w:rFonts w:asciiTheme="majorHAnsi" w:hAnsiTheme="majorHAnsi" w:cstheme="majorHAnsi"/>
          <w:i/>
        </w:rPr>
        <w:t>nodaļas sekretāra vietniece,</w:t>
      </w:r>
    </w:p>
    <w:p w:rsidR="00F71A6A" w:rsidRPr="00674C14" w:rsidRDefault="00F71A6A" w:rsidP="008824B9">
      <w:pPr>
        <w:pStyle w:val="ECHRPara"/>
        <w:rPr>
          <w:rFonts w:asciiTheme="majorHAnsi" w:hAnsiTheme="majorHAnsi" w:cstheme="majorHAnsi"/>
        </w:rPr>
      </w:pPr>
      <w:r w:rsidRPr="00674C14">
        <w:rPr>
          <w:rFonts w:asciiTheme="majorHAnsi" w:hAnsiTheme="majorHAnsi" w:cstheme="majorHAnsi"/>
        </w:rPr>
        <w:t>pēc savstarpējas apspriešanās 2014. gada 1. aprīlī</w:t>
      </w:r>
    </w:p>
    <w:p w:rsidR="00F71A6A" w:rsidRPr="00674C14" w:rsidRDefault="00F71A6A" w:rsidP="008824B9">
      <w:pPr>
        <w:pStyle w:val="ECHRPara"/>
        <w:rPr>
          <w:rFonts w:asciiTheme="majorHAnsi" w:hAnsiTheme="majorHAnsi" w:cstheme="majorHAnsi"/>
        </w:rPr>
      </w:pPr>
      <w:r w:rsidRPr="00674C14">
        <w:rPr>
          <w:rFonts w:asciiTheme="majorHAnsi" w:hAnsiTheme="majorHAnsi" w:cstheme="majorHAnsi"/>
        </w:rPr>
        <w:t>pasludina šo spriedumu, kas pieņemts attiecīgajā datumā.</w:t>
      </w:r>
    </w:p>
    <w:p w:rsidR="00F71A6A" w:rsidRPr="00674C14" w:rsidRDefault="00F71A6A" w:rsidP="008824B9">
      <w:pPr>
        <w:pStyle w:val="JuHHead"/>
        <w:rPr>
          <w:rFonts w:asciiTheme="majorHAnsi" w:hAnsiTheme="majorHAnsi" w:cstheme="majorHAnsi"/>
        </w:rPr>
      </w:pPr>
      <w:r w:rsidRPr="00674C14">
        <w:rPr>
          <w:rFonts w:asciiTheme="majorHAnsi" w:hAnsiTheme="majorHAnsi" w:cstheme="majorHAnsi"/>
        </w:rPr>
        <w:t>TIESVEDĪBA</w:t>
      </w:r>
    </w:p>
    <w:p w:rsidR="00F71A6A" w:rsidRPr="00674C14" w:rsidRDefault="00A03369" w:rsidP="00AE2F4F">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1</w:t>
      </w:r>
      <w:r w:rsidRPr="00674C14">
        <w:rPr>
          <w:rFonts w:asciiTheme="majorHAnsi" w:hAnsiTheme="majorHAnsi" w:cstheme="majorHAnsi"/>
          <w:noProof/>
        </w:rPr>
        <w:fldChar w:fldCharType="end"/>
      </w:r>
      <w:r w:rsidRPr="00674C14">
        <w:rPr>
          <w:rFonts w:asciiTheme="majorHAnsi" w:hAnsiTheme="majorHAnsi" w:cstheme="majorHAnsi"/>
        </w:rPr>
        <w:t xml:space="preserve">. Lieta ierosināta, ņemot vērā pieteikumu (Nr. 23605/09) pret Somijas Republiku, ko saskaņā ar Cilvēktiesību un pamatbrīvību aizsardzības konvencijas (turpmāk tekstā – “Konvencija”) 34. pantu 2009. gada 30. aprīlī Tiesai iesniedza Somijas pilsone Tīna Johanna </w:t>
      </w:r>
      <w:proofErr w:type="spellStart"/>
      <w:r w:rsidRPr="00674C14">
        <w:rPr>
          <w:rFonts w:asciiTheme="majorHAnsi" w:hAnsiTheme="majorHAnsi" w:cstheme="majorHAnsi"/>
        </w:rPr>
        <w:t>Salumeki</w:t>
      </w:r>
      <w:proofErr w:type="spellEnd"/>
      <w:r w:rsidRPr="00674C14">
        <w:rPr>
          <w:rFonts w:asciiTheme="majorHAnsi" w:hAnsiTheme="majorHAnsi" w:cstheme="majorHAnsi"/>
        </w:rPr>
        <w:t xml:space="preserve"> [</w:t>
      </w:r>
      <w:proofErr w:type="spellStart"/>
      <w:r w:rsidRPr="00674C14">
        <w:rPr>
          <w:rFonts w:asciiTheme="majorHAnsi" w:hAnsiTheme="majorHAnsi" w:cstheme="majorHAnsi"/>
          <w:i/>
        </w:rPr>
        <w:t>Tiina</w:t>
      </w:r>
      <w:proofErr w:type="spellEnd"/>
      <w:r w:rsidRPr="00674C14">
        <w:rPr>
          <w:rFonts w:asciiTheme="majorHAnsi" w:hAnsiTheme="majorHAnsi" w:cstheme="majorHAnsi"/>
          <w:i/>
        </w:rPr>
        <w:t xml:space="preserve"> Johanna </w:t>
      </w:r>
      <w:proofErr w:type="spellStart"/>
      <w:r w:rsidRPr="00674C14">
        <w:rPr>
          <w:rFonts w:asciiTheme="majorHAnsi" w:hAnsiTheme="majorHAnsi" w:cstheme="majorHAnsi"/>
          <w:i/>
        </w:rPr>
        <w:t>Salumäki</w:t>
      </w:r>
      <w:proofErr w:type="spellEnd"/>
      <w:r w:rsidRPr="00674C14">
        <w:rPr>
          <w:rFonts w:asciiTheme="majorHAnsi" w:hAnsiTheme="majorHAnsi" w:cstheme="majorHAnsi"/>
        </w:rPr>
        <w:t>] (turpmāk tekstā – “pieteikuma iesniedzēja”).</w:t>
      </w:r>
    </w:p>
    <w:p w:rsidR="00A469F4" w:rsidRPr="00674C14" w:rsidRDefault="00A03369" w:rsidP="00A469F4">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2</w:t>
      </w:r>
      <w:r w:rsidRPr="00674C14">
        <w:rPr>
          <w:rFonts w:asciiTheme="majorHAnsi" w:hAnsiTheme="majorHAnsi" w:cstheme="majorHAnsi"/>
          <w:noProof/>
        </w:rPr>
        <w:fldChar w:fldCharType="end"/>
      </w:r>
      <w:r w:rsidRPr="00674C14">
        <w:rPr>
          <w:rFonts w:asciiTheme="majorHAnsi" w:hAnsiTheme="majorHAnsi" w:cstheme="majorHAnsi"/>
        </w:rPr>
        <w:t xml:space="preserve">. Pieteikuma iesniedzēju pārstāvēja Marku </w:t>
      </w:r>
      <w:proofErr w:type="spellStart"/>
      <w:r w:rsidRPr="00674C14">
        <w:rPr>
          <w:rFonts w:asciiTheme="majorHAnsi" w:hAnsiTheme="majorHAnsi" w:cstheme="majorHAnsi"/>
        </w:rPr>
        <w:t>Varhela</w:t>
      </w:r>
      <w:proofErr w:type="spellEnd"/>
      <w:r w:rsidRPr="00674C14">
        <w:rPr>
          <w:rFonts w:asciiTheme="majorHAnsi" w:hAnsiTheme="majorHAnsi" w:cstheme="majorHAnsi"/>
        </w:rPr>
        <w:t xml:space="preserve"> [</w:t>
      </w:r>
      <w:proofErr w:type="spellStart"/>
      <w:r w:rsidRPr="00674C14">
        <w:rPr>
          <w:rFonts w:asciiTheme="majorHAnsi" w:hAnsiTheme="majorHAnsi" w:cstheme="majorHAnsi"/>
          <w:i/>
        </w:rPr>
        <w:t>Markku</w:t>
      </w:r>
      <w:proofErr w:type="spellEnd"/>
      <w:r w:rsidRPr="00674C14">
        <w:rPr>
          <w:rFonts w:asciiTheme="majorHAnsi" w:hAnsiTheme="majorHAnsi" w:cstheme="majorHAnsi"/>
          <w:i/>
        </w:rPr>
        <w:t xml:space="preserve"> </w:t>
      </w:r>
      <w:proofErr w:type="spellStart"/>
      <w:r w:rsidRPr="00674C14">
        <w:rPr>
          <w:rFonts w:asciiTheme="majorHAnsi" w:hAnsiTheme="majorHAnsi" w:cstheme="majorHAnsi"/>
          <w:i/>
        </w:rPr>
        <w:t>Varhela</w:t>
      </w:r>
      <w:proofErr w:type="spellEnd"/>
      <w:r w:rsidRPr="00674C14">
        <w:rPr>
          <w:rFonts w:asciiTheme="majorHAnsi" w:hAnsiTheme="majorHAnsi" w:cstheme="majorHAnsi"/>
        </w:rPr>
        <w:t xml:space="preserve">], Helsinkos praktizējošs jurists. Somijas valdību (turpmāk tekstā – “Valdība”) pārstāvēja Ārlietu ministrijas pārstāvis Arto </w:t>
      </w:r>
      <w:proofErr w:type="spellStart"/>
      <w:r w:rsidRPr="00674C14">
        <w:rPr>
          <w:rFonts w:asciiTheme="majorHAnsi" w:hAnsiTheme="majorHAnsi" w:cstheme="majorHAnsi"/>
        </w:rPr>
        <w:t>Kosonens</w:t>
      </w:r>
      <w:proofErr w:type="spellEnd"/>
      <w:r w:rsidRPr="00674C14">
        <w:rPr>
          <w:rFonts w:asciiTheme="majorHAnsi" w:hAnsiTheme="majorHAnsi" w:cstheme="majorHAnsi"/>
        </w:rPr>
        <w:t xml:space="preserve"> [</w:t>
      </w:r>
      <w:r w:rsidRPr="00674C14">
        <w:rPr>
          <w:rFonts w:asciiTheme="majorHAnsi" w:hAnsiTheme="majorHAnsi" w:cstheme="majorHAnsi"/>
          <w:i/>
        </w:rPr>
        <w:t xml:space="preserve">Arto </w:t>
      </w:r>
      <w:proofErr w:type="spellStart"/>
      <w:r w:rsidRPr="00674C14">
        <w:rPr>
          <w:rFonts w:asciiTheme="majorHAnsi" w:hAnsiTheme="majorHAnsi" w:cstheme="majorHAnsi"/>
          <w:i/>
        </w:rPr>
        <w:t>Kosonen</w:t>
      </w:r>
      <w:proofErr w:type="spellEnd"/>
      <w:r w:rsidRPr="00674C14">
        <w:rPr>
          <w:rFonts w:asciiTheme="majorHAnsi" w:hAnsiTheme="majorHAnsi" w:cstheme="majorHAnsi"/>
        </w:rPr>
        <w:t>].</w:t>
      </w:r>
    </w:p>
    <w:p w:rsidR="00F71A6A" w:rsidRPr="00674C14" w:rsidRDefault="00A03369" w:rsidP="00B81192">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3</w:t>
      </w:r>
      <w:r w:rsidRPr="00674C14">
        <w:rPr>
          <w:rFonts w:asciiTheme="majorHAnsi" w:hAnsiTheme="majorHAnsi" w:cstheme="majorHAnsi"/>
          <w:noProof/>
        </w:rPr>
        <w:fldChar w:fldCharType="end"/>
      </w:r>
      <w:r w:rsidRPr="00674C14">
        <w:rPr>
          <w:rFonts w:asciiTheme="majorHAnsi" w:hAnsiTheme="majorHAnsi" w:cstheme="majorHAnsi"/>
        </w:rPr>
        <w:t>. Pieteikuma iesniedzēja apgalvoja, ka pārkāptas viņas tiesības uz vārda brīvību.</w:t>
      </w:r>
    </w:p>
    <w:p w:rsidR="00F71A6A" w:rsidRPr="00674C14" w:rsidRDefault="00A03369" w:rsidP="00A80135">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4</w:t>
      </w:r>
      <w:r w:rsidRPr="00674C14">
        <w:rPr>
          <w:rFonts w:asciiTheme="majorHAnsi" w:hAnsiTheme="majorHAnsi" w:cstheme="majorHAnsi"/>
          <w:noProof/>
        </w:rPr>
        <w:fldChar w:fldCharType="end"/>
      </w:r>
      <w:r w:rsidRPr="00674C14">
        <w:rPr>
          <w:rFonts w:asciiTheme="majorHAnsi" w:hAnsiTheme="majorHAnsi" w:cstheme="majorHAnsi"/>
        </w:rPr>
        <w:t>. 2010. gada 18. janvārī Ceturtās nodaļas priekšsēdētāja</w:t>
      </w:r>
      <w:r w:rsidR="00EE5610" w:rsidRPr="00674C14">
        <w:rPr>
          <w:rFonts w:asciiTheme="majorHAnsi" w:hAnsiTheme="majorHAnsi" w:cstheme="majorHAnsi"/>
        </w:rPr>
        <w:t xml:space="preserve"> </w:t>
      </w:r>
      <w:r w:rsidRPr="00674C14">
        <w:rPr>
          <w:rFonts w:asciiTheme="majorHAnsi" w:hAnsiTheme="majorHAnsi" w:cstheme="majorHAnsi"/>
        </w:rPr>
        <w:t xml:space="preserve">nolēma par pieteikumu paziņot Valdībai. Vienlaikus tika nolemts arī izvērtēt pieteikuma </w:t>
      </w:r>
      <w:proofErr w:type="spellStart"/>
      <w:r w:rsidRPr="00674C14">
        <w:rPr>
          <w:rFonts w:asciiTheme="majorHAnsi" w:hAnsiTheme="majorHAnsi" w:cstheme="majorHAnsi"/>
        </w:rPr>
        <w:t>pieņemamību</w:t>
      </w:r>
      <w:proofErr w:type="spellEnd"/>
      <w:r w:rsidRPr="00674C14">
        <w:rPr>
          <w:rFonts w:asciiTheme="majorHAnsi" w:hAnsiTheme="majorHAnsi" w:cstheme="majorHAnsi"/>
        </w:rPr>
        <w:t xml:space="preserve"> un izskatīšanu pēc būtības (Konvencijas 29. panta 1. punkts).</w:t>
      </w:r>
    </w:p>
    <w:p w:rsidR="00F71A6A" w:rsidRPr="00674C14" w:rsidRDefault="00F71A6A" w:rsidP="008824B9">
      <w:pPr>
        <w:pStyle w:val="JuHHead"/>
        <w:rPr>
          <w:rFonts w:asciiTheme="majorHAnsi" w:hAnsiTheme="majorHAnsi" w:cstheme="majorHAnsi"/>
        </w:rPr>
      </w:pPr>
      <w:r w:rsidRPr="00674C14">
        <w:rPr>
          <w:rFonts w:asciiTheme="majorHAnsi" w:hAnsiTheme="majorHAnsi" w:cstheme="majorHAnsi"/>
        </w:rPr>
        <w:t>FAKTISKIE APSTĀKĻI</w:t>
      </w:r>
    </w:p>
    <w:p w:rsidR="00D353F4" w:rsidRPr="00674C14" w:rsidRDefault="007352DD" w:rsidP="008824B9">
      <w:pPr>
        <w:pStyle w:val="JuHIRoman"/>
        <w:outlineLvl w:val="0"/>
        <w:rPr>
          <w:rFonts w:asciiTheme="majorHAnsi" w:hAnsiTheme="majorHAnsi" w:cstheme="majorHAnsi"/>
        </w:rPr>
      </w:pPr>
      <w:r w:rsidRPr="00674C14">
        <w:rPr>
          <w:rFonts w:asciiTheme="majorHAnsi" w:hAnsiTheme="majorHAnsi" w:cstheme="majorHAnsi"/>
        </w:rPr>
        <w:t>I. LIETAS APSTĀKĻI</w:t>
      </w:r>
    </w:p>
    <w:p w:rsidR="00F71A6A" w:rsidRPr="00674C14" w:rsidRDefault="00A03369">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5</w:t>
      </w:r>
      <w:r w:rsidRPr="00674C14">
        <w:rPr>
          <w:rFonts w:asciiTheme="majorHAnsi" w:hAnsiTheme="majorHAnsi" w:cstheme="majorHAnsi"/>
          <w:noProof/>
        </w:rPr>
        <w:fldChar w:fldCharType="end"/>
      </w:r>
      <w:r w:rsidRPr="00674C14">
        <w:rPr>
          <w:rFonts w:asciiTheme="majorHAnsi" w:hAnsiTheme="majorHAnsi" w:cstheme="majorHAnsi"/>
        </w:rPr>
        <w:t>. Pieteikuma iesniedzēja ir dzimusi 1978. gadā un dzīvo Helsinkos.</w:t>
      </w:r>
    </w:p>
    <w:p w:rsidR="00E2080A" w:rsidRPr="00674C14" w:rsidRDefault="00A03369" w:rsidP="00E2080A">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6</w:t>
      </w:r>
      <w:r w:rsidRPr="00674C14">
        <w:rPr>
          <w:rFonts w:asciiTheme="majorHAnsi" w:hAnsiTheme="majorHAnsi" w:cstheme="majorHAnsi"/>
          <w:noProof/>
        </w:rPr>
        <w:fldChar w:fldCharType="end"/>
      </w:r>
      <w:r w:rsidRPr="00674C14">
        <w:rPr>
          <w:rFonts w:asciiTheme="majorHAnsi" w:hAnsiTheme="majorHAnsi" w:cstheme="majorHAnsi"/>
        </w:rPr>
        <w:t>. Pieteikuma iesniedzēja ir žurnāliste valsts mēroga vakara laikrakstā “</w:t>
      </w:r>
      <w:proofErr w:type="spellStart"/>
      <w:r w:rsidRPr="00674C14">
        <w:rPr>
          <w:rFonts w:asciiTheme="majorHAnsi" w:hAnsiTheme="majorHAnsi" w:cstheme="majorHAnsi"/>
          <w:i/>
        </w:rPr>
        <w:t>Ilta</w:t>
      </w:r>
      <w:r w:rsidRPr="00674C14">
        <w:rPr>
          <w:rFonts w:asciiTheme="majorHAnsi" w:hAnsiTheme="majorHAnsi" w:cstheme="majorHAnsi"/>
        </w:rPr>
        <w:noBreakHyphen/>
      </w:r>
      <w:r w:rsidRPr="00674C14">
        <w:rPr>
          <w:rFonts w:asciiTheme="majorHAnsi" w:hAnsiTheme="majorHAnsi" w:cstheme="majorHAnsi"/>
          <w:i/>
        </w:rPr>
        <w:t>Sanomat</w:t>
      </w:r>
      <w:proofErr w:type="spellEnd"/>
      <w:r w:rsidRPr="00674C14">
        <w:rPr>
          <w:rFonts w:asciiTheme="majorHAnsi" w:hAnsiTheme="majorHAnsi" w:cstheme="majorHAnsi"/>
        </w:rPr>
        <w:t>”. 2004. gada 8. jūlijā “</w:t>
      </w:r>
      <w:proofErr w:type="spellStart"/>
      <w:r w:rsidRPr="00674C14">
        <w:rPr>
          <w:rFonts w:asciiTheme="majorHAnsi" w:hAnsiTheme="majorHAnsi" w:cstheme="majorHAnsi"/>
          <w:i/>
        </w:rPr>
        <w:t>Ilta-Sanomat</w:t>
      </w:r>
      <w:proofErr w:type="spellEnd"/>
      <w:r w:rsidRPr="00674C14">
        <w:rPr>
          <w:rFonts w:asciiTheme="majorHAnsi" w:hAnsiTheme="majorHAnsi" w:cstheme="majorHAnsi"/>
        </w:rPr>
        <w:t xml:space="preserve">” publicēja pieteikuma iesniedzējas rakstu par pirms dažām dienām izdarītas slepkavības izmeklēšanu. Rakstā bija pieminēts pazīstams Somijas uzņēmējs K. U. Virsrakstā izdevuma pirmajā lapā bija lasāms: </w:t>
      </w:r>
      <w:r w:rsidRPr="00674C14">
        <w:rPr>
          <w:rFonts w:asciiTheme="majorHAnsi" w:hAnsiTheme="majorHAnsi" w:cstheme="majorHAnsi"/>
          <w:i/>
        </w:rPr>
        <w:t>“Nežēlīga slepkavība Vantā: vai nogalinātais vīrietis bija saistīts ar K. U.?”</w:t>
      </w:r>
      <w:r w:rsidRPr="00674C14">
        <w:rPr>
          <w:rFonts w:asciiTheme="majorHAnsi" w:hAnsiTheme="majorHAnsi" w:cstheme="majorHAnsi"/>
        </w:rPr>
        <w:t xml:space="preserve"> Pirmajā lapā arī bija ievietota K. U. fotogrāfija. Raksta virsraksts bija </w:t>
      </w:r>
      <w:r w:rsidRPr="00674C14">
        <w:rPr>
          <w:rFonts w:asciiTheme="majorHAnsi" w:hAnsiTheme="majorHAnsi" w:cstheme="majorHAnsi"/>
          <w:i/>
        </w:rPr>
        <w:t>“Vai Vantā slepkavības upuris bija saistīts ar K. U.?”</w:t>
      </w:r>
      <w:r w:rsidRPr="00674C14">
        <w:rPr>
          <w:rFonts w:asciiTheme="majorHAnsi" w:hAnsiTheme="majorHAnsi" w:cstheme="majorHAnsi"/>
        </w:rPr>
        <w:t xml:space="preserve"> Zem mazāka virsraksta </w:t>
      </w:r>
      <w:r w:rsidRPr="00674C14">
        <w:rPr>
          <w:rFonts w:asciiTheme="majorHAnsi" w:hAnsiTheme="majorHAnsi" w:cstheme="majorHAnsi"/>
          <w:i/>
        </w:rPr>
        <w:t>“Nežēlīgajā slepkavībā aizdomās turētais ir bijušais [motociklistu bandas] loceklis”</w:t>
      </w:r>
      <w:r w:rsidRPr="00674C14">
        <w:rPr>
          <w:rFonts w:asciiTheme="majorHAnsi" w:hAnsiTheme="majorHAnsi" w:cstheme="majorHAnsi"/>
        </w:rPr>
        <w:t xml:space="preserve"> sekoja pats raksts:</w:t>
      </w:r>
    </w:p>
    <w:p w:rsidR="00E2080A" w:rsidRPr="00674C14" w:rsidRDefault="00E2080A" w:rsidP="00E2080A">
      <w:pPr>
        <w:pStyle w:val="JuQuot"/>
        <w:rPr>
          <w:rFonts w:asciiTheme="majorHAnsi" w:hAnsiTheme="majorHAnsi" w:cstheme="majorHAnsi"/>
        </w:rPr>
      </w:pPr>
      <w:r w:rsidRPr="00674C14">
        <w:rPr>
          <w:rFonts w:asciiTheme="majorHAnsi" w:hAnsiTheme="majorHAnsi" w:cstheme="majorHAnsi"/>
        </w:rPr>
        <w:t>“[P. O.], kas tika brutāli nogalināts Vantā, varētu būt bijis saistīts ar uzņēmēju [K. U.]. 2002. gadā [P. O.] tika notverts, cenšoties kontrabandas ceļā ievest maisus ar naudu no Igaunijas Somijā. Policijai ir aizdomas, ka šie maisi (un to saturs) piederēja [K. U.].</w:t>
      </w:r>
    </w:p>
    <w:p w:rsidR="00E2080A" w:rsidRPr="00674C14" w:rsidRDefault="00E2080A" w:rsidP="00E2080A">
      <w:pPr>
        <w:pStyle w:val="JuQuot"/>
        <w:rPr>
          <w:rFonts w:asciiTheme="majorHAnsi" w:hAnsiTheme="majorHAnsi" w:cstheme="majorHAnsi"/>
        </w:rPr>
      </w:pPr>
      <w:r w:rsidRPr="00674C14">
        <w:rPr>
          <w:rFonts w:asciiTheme="majorHAnsi" w:hAnsiTheme="majorHAnsi" w:cstheme="majorHAnsi"/>
        </w:rPr>
        <w:t>Šo gadījumu šobrīd izskata prokuratūra, kas izvērtē apsūdzības. [P. O.] tiek turēts aizdomās par smaga noziedzīga nodarījuma izdarīšanu saistībā ar līdzekļu saņemšanu, un [K. U.] – par smaga noziedzīga nodarījuma izdarīšanu saistībā ar parādnieka krāpšanu.</w:t>
      </w:r>
    </w:p>
    <w:p w:rsidR="00E2080A" w:rsidRPr="00674C14" w:rsidRDefault="00E2080A" w:rsidP="00E2080A">
      <w:pPr>
        <w:pStyle w:val="JuQuot"/>
        <w:rPr>
          <w:rFonts w:asciiTheme="majorHAnsi" w:hAnsiTheme="majorHAnsi" w:cstheme="majorHAnsi"/>
        </w:rPr>
      </w:pPr>
      <w:r w:rsidRPr="00674C14">
        <w:rPr>
          <w:rFonts w:asciiTheme="majorHAnsi" w:hAnsiTheme="majorHAnsi" w:cstheme="majorHAnsi"/>
        </w:rPr>
        <w:t>Šajā lietā atklāti ne vien [P. O.] un [K. U.], bet arī citi aizdomās turētie. Faktiski [P. O.] tiek uzskatīts par aizdomās turēto līdzekļu saņemšanā.</w:t>
      </w:r>
    </w:p>
    <w:p w:rsidR="00E2080A" w:rsidRPr="00674C14" w:rsidRDefault="00E2080A" w:rsidP="00E2080A">
      <w:pPr>
        <w:pStyle w:val="JuQuot"/>
        <w:rPr>
          <w:rFonts w:asciiTheme="majorHAnsi" w:hAnsiTheme="majorHAnsi" w:cstheme="majorHAnsi"/>
        </w:rPr>
      </w:pPr>
      <w:r w:rsidRPr="00674C14">
        <w:rPr>
          <w:rFonts w:asciiTheme="majorHAnsi" w:hAnsiTheme="majorHAnsi" w:cstheme="majorHAnsi"/>
        </w:rPr>
        <w:lastRenderedPageBreak/>
        <w:t>Izmeklēšanas vadītājs, Valsts izmeklēšanas biroja [(</w:t>
      </w:r>
      <w:bookmarkStart w:id="1" w:name="HIT1"/>
      <w:bookmarkEnd w:id="1"/>
      <w:proofErr w:type="spellStart"/>
      <w:r w:rsidRPr="00674C14">
        <w:rPr>
          <w:rFonts w:asciiTheme="majorHAnsi" w:hAnsiTheme="majorHAnsi" w:cstheme="majorHAnsi"/>
          <w:i/>
        </w:rPr>
        <w:t>keskusrikospoliisi</w:t>
      </w:r>
      <w:proofErr w:type="spellEnd"/>
      <w:r w:rsidRPr="00674C14">
        <w:rPr>
          <w:rStyle w:val="ju-005fpara--char"/>
          <w:rFonts w:asciiTheme="majorHAnsi" w:hAnsiTheme="majorHAnsi" w:cstheme="majorHAnsi"/>
          <w:i/>
        </w:rPr>
        <w:t xml:space="preserve">, </w:t>
      </w:r>
      <w:proofErr w:type="spellStart"/>
      <w:r w:rsidRPr="00674C14">
        <w:rPr>
          <w:rStyle w:val="ju-005fpara--char"/>
          <w:rFonts w:asciiTheme="majorHAnsi" w:hAnsiTheme="majorHAnsi" w:cstheme="majorHAnsi"/>
          <w:i/>
        </w:rPr>
        <w:t>centralkriminalpolisen</w:t>
      </w:r>
      <w:proofErr w:type="spellEnd"/>
      <w:r w:rsidRPr="00674C14">
        <w:rPr>
          <w:rFonts w:asciiTheme="majorHAnsi" w:hAnsiTheme="majorHAnsi" w:cstheme="majorHAnsi"/>
        </w:rPr>
        <w:t xml:space="preserve">)] </w:t>
      </w:r>
      <w:proofErr w:type="spellStart"/>
      <w:r w:rsidRPr="00674C14">
        <w:rPr>
          <w:rFonts w:asciiTheme="majorHAnsi" w:hAnsiTheme="majorHAnsi" w:cstheme="majorHAnsi"/>
        </w:rPr>
        <w:t>kriminālinspektors</w:t>
      </w:r>
      <w:proofErr w:type="spellEnd"/>
      <w:r w:rsidRPr="00674C14">
        <w:rPr>
          <w:rFonts w:asciiTheme="majorHAnsi" w:hAnsiTheme="majorHAnsi" w:cstheme="majorHAnsi"/>
        </w:rPr>
        <w:t xml:space="preserve"> [M. I.] pavēstīja, ka saistība ar [K. U.] attiecas uz Vantā slepkavības izmeklēšanu.”</w:t>
      </w:r>
    </w:p>
    <w:p w:rsidR="00E2080A" w:rsidRPr="00674C14" w:rsidRDefault="00A03369" w:rsidP="00E2080A">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7</w:t>
      </w:r>
      <w:r w:rsidRPr="00674C14">
        <w:rPr>
          <w:rFonts w:asciiTheme="majorHAnsi" w:hAnsiTheme="majorHAnsi" w:cstheme="majorHAnsi"/>
          <w:noProof/>
        </w:rPr>
        <w:fldChar w:fldCharType="end"/>
      </w:r>
      <w:r w:rsidRPr="00674C14">
        <w:rPr>
          <w:rFonts w:asciiTheme="majorHAnsi" w:hAnsiTheme="majorHAnsi" w:cstheme="majorHAnsi"/>
        </w:rPr>
        <w:t xml:space="preserve">. Zem apakšvirsraksta </w:t>
      </w:r>
      <w:r w:rsidRPr="00674C14">
        <w:rPr>
          <w:rFonts w:asciiTheme="majorHAnsi" w:hAnsiTheme="majorHAnsi" w:cstheme="majorHAnsi"/>
          <w:i/>
        </w:rPr>
        <w:t xml:space="preserve">“Aizdomās turētais atzinies, ka atradies nozieguma vietā” </w:t>
      </w:r>
      <w:r w:rsidRPr="00674C14">
        <w:rPr>
          <w:rFonts w:asciiTheme="majorHAnsi" w:hAnsiTheme="majorHAnsi" w:cstheme="majorHAnsi"/>
        </w:rPr>
        <w:t>raksts turpinājās šādi:</w:t>
      </w:r>
    </w:p>
    <w:p w:rsidR="00E2080A" w:rsidRPr="00674C14" w:rsidRDefault="00E2080A" w:rsidP="00E2080A">
      <w:pPr>
        <w:pStyle w:val="JuQuot"/>
        <w:rPr>
          <w:rFonts w:asciiTheme="majorHAnsi" w:hAnsiTheme="majorHAnsi" w:cstheme="majorHAnsi"/>
        </w:rPr>
      </w:pPr>
      <w:r w:rsidRPr="00674C14">
        <w:rPr>
          <w:rFonts w:asciiTheme="majorHAnsi" w:hAnsiTheme="majorHAnsi" w:cstheme="majorHAnsi"/>
        </w:rPr>
        <w:t>“Policija aizturējusi 39 gadus vecu vīrieti kā aizdomās turēto [P. O.] slepkavībā. Ņemot vērā esošos pierādījumus, aizturētā persona nav saistīta ar [K. U.], stāsta [inspektors].”</w:t>
      </w:r>
    </w:p>
    <w:p w:rsidR="00E2080A" w:rsidRPr="00674C14" w:rsidRDefault="00A03369" w:rsidP="00E2080A">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8</w:t>
      </w:r>
      <w:r w:rsidRPr="00674C14">
        <w:rPr>
          <w:rFonts w:asciiTheme="majorHAnsi" w:hAnsiTheme="majorHAnsi" w:cstheme="majorHAnsi"/>
          <w:noProof/>
        </w:rPr>
        <w:fldChar w:fldCharType="end"/>
      </w:r>
      <w:r w:rsidRPr="00674C14">
        <w:rPr>
          <w:rFonts w:asciiTheme="majorHAnsi" w:hAnsiTheme="majorHAnsi" w:cstheme="majorHAnsi"/>
        </w:rPr>
        <w:t>. Pēc tam rakstā sniegta informācija par aizturēto personu un notiekošo slepkavības izmeklēšanu. Tika citēts izmeklētājs, kurš atklāja, ka aizdomās turētais, iespējams, rīkojies pēc pasūtījuma, kas, pēc pieteikuma iesniedzējas domām, norādīja uz iespēju, ka tā bijusi pasūtījuma slepkavība.</w:t>
      </w:r>
    </w:p>
    <w:p w:rsidR="00E2080A" w:rsidRPr="00674C14" w:rsidRDefault="00A03369" w:rsidP="00E2080A">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9</w:t>
      </w:r>
      <w:r w:rsidRPr="00674C14">
        <w:rPr>
          <w:rFonts w:asciiTheme="majorHAnsi" w:hAnsiTheme="majorHAnsi" w:cstheme="majorHAnsi"/>
          <w:noProof/>
        </w:rPr>
        <w:fldChar w:fldCharType="end"/>
      </w:r>
      <w:r w:rsidRPr="00674C14">
        <w:rPr>
          <w:rFonts w:asciiTheme="majorHAnsi" w:hAnsiTheme="majorHAnsi" w:cstheme="majorHAnsi"/>
        </w:rPr>
        <w:t>. Rakstu papildināja fotogrāfija, kas acīmredzot bija uzņemta nozieguma vietas tuvumā.</w:t>
      </w:r>
    </w:p>
    <w:p w:rsidR="00E2080A" w:rsidRPr="00674C14" w:rsidRDefault="00A03369" w:rsidP="00E2080A">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10</w:t>
      </w:r>
      <w:r w:rsidRPr="00674C14">
        <w:rPr>
          <w:rFonts w:asciiTheme="majorHAnsi" w:hAnsiTheme="majorHAnsi" w:cstheme="majorHAnsi"/>
          <w:noProof/>
        </w:rPr>
        <w:fldChar w:fldCharType="end"/>
      </w:r>
      <w:r w:rsidRPr="00674C14">
        <w:rPr>
          <w:rFonts w:asciiTheme="majorHAnsi" w:hAnsiTheme="majorHAnsi" w:cstheme="majorHAnsi"/>
        </w:rPr>
        <w:t xml:space="preserve">. Blakus rakstam bija atsevišķa informatīva sleja, kurā aprakstīta K. U. iepriekšējā notiesāšana par ekonomiskajiem noziegumiem un akadēmiskie sasniegumi. Slejā zem virsraksta </w:t>
      </w:r>
      <w:r w:rsidRPr="00674C14">
        <w:rPr>
          <w:rFonts w:asciiTheme="majorHAnsi" w:hAnsiTheme="majorHAnsi" w:cstheme="majorHAnsi"/>
          <w:i/>
        </w:rPr>
        <w:t xml:space="preserve">“Kas?” </w:t>
      </w:r>
      <w:r w:rsidRPr="00674C14">
        <w:rPr>
          <w:rFonts w:asciiTheme="majorHAnsi" w:hAnsiTheme="majorHAnsi" w:cstheme="majorHAnsi"/>
        </w:rPr>
        <w:t>bija ievietota K. U. fotogrāfija, kas uzņemta promocijas darba publiskā aizstāvēšanā.</w:t>
      </w:r>
    </w:p>
    <w:p w:rsidR="00F23CDC" w:rsidRPr="00674C14" w:rsidRDefault="00A03369" w:rsidP="00E2080A">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11</w:t>
      </w:r>
      <w:r w:rsidRPr="00674C14">
        <w:rPr>
          <w:rFonts w:asciiTheme="majorHAnsi" w:hAnsiTheme="majorHAnsi" w:cstheme="majorHAnsi"/>
          <w:noProof/>
        </w:rPr>
        <w:fldChar w:fldCharType="end"/>
      </w:r>
      <w:r w:rsidRPr="00674C14">
        <w:rPr>
          <w:rFonts w:asciiTheme="majorHAnsi" w:hAnsiTheme="majorHAnsi" w:cstheme="majorHAnsi"/>
        </w:rPr>
        <w:t>. Tajā pašā datumā šī pati informācija tika publicēta citā vakara laikrakstā “</w:t>
      </w:r>
      <w:proofErr w:type="spellStart"/>
      <w:r w:rsidRPr="00674C14">
        <w:rPr>
          <w:rFonts w:asciiTheme="majorHAnsi" w:hAnsiTheme="majorHAnsi" w:cstheme="majorHAnsi"/>
          <w:i/>
        </w:rPr>
        <w:t>Iltalehti</w:t>
      </w:r>
      <w:proofErr w:type="spellEnd"/>
      <w:r w:rsidRPr="00674C14">
        <w:rPr>
          <w:rFonts w:asciiTheme="majorHAnsi" w:hAnsiTheme="majorHAnsi" w:cstheme="majorHAnsi"/>
        </w:rPr>
        <w:t>” kā K. U. sniegta intervija.</w:t>
      </w:r>
    </w:p>
    <w:p w:rsidR="00E2080A" w:rsidRPr="00674C14" w:rsidRDefault="00A03369" w:rsidP="00E2080A">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12</w:t>
      </w:r>
      <w:r w:rsidRPr="00674C14">
        <w:rPr>
          <w:rFonts w:asciiTheme="majorHAnsi" w:hAnsiTheme="majorHAnsi" w:cstheme="majorHAnsi"/>
          <w:noProof/>
        </w:rPr>
        <w:fldChar w:fldCharType="end"/>
      </w:r>
      <w:r w:rsidRPr="00674C14">
        <w:rPr>
          <w:rFonts w:asciiTheme="majorHAnsi" w:hAnsiTheme="majorHAnsi" w:cstheme="majorHAnsi"/>
        </w:rPr>
        <w:t xml:space="preserve">. 2006. gada 11. aprīlī prokurors cēla apsūdzību pret pieteikuma iesniedzēju un laikraksta toreizējo galveno redaktoru H. S. Savā apsūdzības rakstā prokurors vērsa uzmanību uz to, ka, uzrakstot un atļaujot publicēt iepriekšminēto rakstu, pieteikuma iesniedzēja un H. S. bija snieguši nepatiesu informāciju par K. U., veicinot ciešanas un kaitējumu un pakļaujot viņu nicinājumam, kā arī citādi viņu noniecinot. Prokurors neapgalvoja, ka rakstā sniegtā informācija ir nepatiesa kā tāda, bet </w:t>
      </w:r>
      <w:proofErr w:type="spellStart"/>
      <w:r w:rsidRPr="00674C14">
        <w:rPr>
          <w:rFonts w:asciiTheme="majorHAnsi" w:hAnsiTheme="majorHAnsi" w:cstheme="majorHAnsi"/>
          <w:i/>
        </w:rPr>
        <w:t>inter</w:t>
      </w:r>
      <w:proofErr w:type="spellEnd"/>
      <w:r w:rsidRPr="00674C14">
        <w:rPr>
          <w:rFonts w:asciiTheme="majorHAnsi" w:hAnsiTheme="majorHAnsi" w:cstheme="majorHAnsi"/>
          <w:i/>
        </w:rPr>
        <w:t xml:space="preserve"> </w:t>
      </w:r>
      <w:proofErr w:type="spellStart"/>
      <w:r w:rsidRPr="00674C14">
        <w:rPr>
          <w:rFonts w:asciiTheme="majorHAnsi" w:hAnsiTheme="majorHAnsi" w:cstheme="majorHAnsi"/>
          <w:i/>
        </w:rPr>
        <w:t>alia</w:t>
      </w:r>
      <w:r w:rsidRPr="00674C14">
        <w:rPr>
          <w:rFonts w:asciiTheme="majorHAnsi" w:hAnsiTheme="majorHAnsi" w:cstheme="majorHAnsi"/>
        </w:rPr>
        <w:t>norādīja</w:t>
      </w:r>
      <w:proofErr w:type="spellEnd"/>
      <w:r w:rsidRPr="00674C14">
        <w:rPr>
          <w:rFonts w:asciiTheme="majorHAnsi" w:hAnsiTheme="majorHAnsi" w:cstheme="majorHAnsi"/>
        </w:rPr>
        <w:t>, ka lielo virsrakstu un jautājuma zīmju, raksta teksta, K. U. fotogrāfijas un personīgās informācijas mērķis bija likt lasītājiem manīt, ka K. U. varētu būt bijis motīvs pasūtīt slepkavību.</w:t>
      </w:r>
    </w:p>
    <w:p w:rsidR="00E2080A" w:rsidRPr="00674C14" w:rsidRDefault="00A03369" w:rsidP="00E2080A">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13</w:t>
      </w:r>
      <w:r w:rsidRPr="00674C14">
        <w:rPr>
          <w:rFonts w:asciiTheme="majorHAnsi" w:hAnsiTheme="majorHAnsi" w:cstheme="majorHAnsi"/>
          <w:noProof/>
        </w:rPr>
        <w:fldChar w:fldCharType="end"/>
      </w:r>
      <w:r w:rsidRPr="00674C14">
        <w:rPr>
          <w:rFonts w:asciiTheme="majorHAnsi" w:hAnsiTheme="majorHAnsi" w:cstheme="majorHAnsi"/>
        </w:rPr>
        <w:t>. K. U. savukārt pieprasīja pieteikuma iesniedzējas un H. S. sodīšanu un atlīdzinājumu par ciešanām un tiesāšanās izdevumiem šajā tiesvedībā. Viņš apgalvoja, ka apsūdzētie Somijas lielākajā vakara laikrakstā viņu bija nelikumīgi saistījuši ar slepkavību. Izmantojot viņa fotogrāfiju, kas uzņemta promocijas darba publiskā aizstāvēšanā, viņa ciešanas tika pastiprinātas, jo tādējādi viņu apmeloja kā akadēmiķi, kas bija viņa paredzētā karjera nākotnē. Pēc K. U. teiktā, sliktākais šajā noziedzīgajā darbībā bija virsraksts kopā ar viņa fotogrāfiju un priekšstats, kas tādējādi radās to cilvēku prātā, kuri nebija izlasījuši pašu rakstu. Apsūdzētie no šīs darbības bija centušies gūt peļņu. K. U. apgalvoja, ka papildus radītajiem aizspriedumiem šis noziedzīgais nodarījums bija nesis kaunu un ciešanas viņa ģimenei.</w:t>
      </w:r>
    </w:p>
    <w:p w:rsidR="00E2080A" w:rsidRPr="00674C14" w:rsidRDefault="00A03369" w:rsidP="00E2080A">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14</w:t>
      </w:r>
      <w:r w:rsidRPr="00674C14">
        <w:rPr>
          <w:rFonts w:asciiTheme="majorHAnsi" w:hAnsiTheme="majorHAnsi" w:cstheme="majorHAnsi"/>
          <w:noProof/>
        </w:rPr>
        <w:fldChar w:fldCharType="end"/>
      </w:r>
      <w:r w:rsidRPr="00674C14">
        <w:rPr>
          <w:rFonts w:asciiTheme="majorHAnsi" w:hAnsiTheme="majorHAnsi" w:cstheme="majorHAnsi"/>
        </w:rPr>
        <w:t xml:space="preserve">. Pieteikuma iesniedzēja un H. S. apstrīdēja celto apsūdzību un civilprasības. Viņu galvenie argumenti bija šādi. Rakstā nebija norādīta nepatiesa informācija, tāpat tas nevarēja K. U. noniecināt vai radīt viņam ciešanas. Otro punktu pastiprināja tas, ka K. U. pats par šo lietu bija sniedzis interviju citam vakara laikrakstam, kas publicēts tajā pašā datumā. Raksts bija par vispārējas nozīmes </w:t>
      </w:r>
      <w:proofErr w:type="spellStart"/>
      <w:r w:rsidRPr="00674C14">
        <w:rPr>
          <w:rFonts w:asciiTheme="majorHAnsi" w:hAnsiTheme="majorHAnsi" w:cstheme="majorHAnsi"/>
        </w:rPr>
        <w:t>kriminālizmeklēšanu</w:t>
      </w:r>
      <w:proofErr w:type="spellEnd"/>
      <w:r w:rsidRPr="00674C14">
        <w:rPr>
          <w:rFonts w:asciiTheme="majorHAnsi" w:hAnsiTheme="majorHAnsi" w:cstheme="majorHAnsi"/>
        </w:rPr>
        <w:t xml:space="preserve"> un balstījās uz valsts iestāžu sniegto informāciju. K. U. bija amatpersona, un viņa saistība ar P. O. bija vispārējas nozīmes jautājums un būtiska pati par sevi. Ceļot apsūdzību, prokurors bija nevajadzīgi ierobežojis apsūdzēto vārda brīvību, kuru aizsargā Konstitūcija un Konvencijas 10. pants.</w:t>
      </w:r>
    </w:p>
    <w:p w:rsidR="00E2080A" w:rsidRPr="00674C14" w:rsidRDefault="00A03369" w:rsidP="00E2080A">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15</w:t>
      </w:r>
      <w:r w:rsidRPr="00674C14">
        <w:rPr>
          <w:rFonts w:asciiTheme="majorHAnsi" w:hAnsiTheme="majorHAnsi" w:cstheme="majorHAnsi"/>
          <w:noProof/>
        </w:rPr>
        <w:fldChar w:fldCharType="end"/>
      </w:r>
      <w:r w:rsidRPr="00674C14">
        <w:rPr>
          <w:rFonts w:asciiTheme="majorHAnsi" w:hAnsiTheme="majorHAnsi" w:cstheme="majorHAnsi"/>
        </w:rPr>
        <w:t xml:space="preserve">. Rajona tiesā, kas izskatīja lietu mutvārdu procesā, H. S. </w:t>
      </w:r>
      <w:proofErr w:type="spellStart"/>
      <w:r w:rsidRPr="00674C14">
        <w:rPr>
          <w:rFonts w:asciiTheme="majorHAnsi" w:hAnsiTheme="majorHAnsi" w:cstheme="majorHAnsi"/>
          <w:i/>
        </w:rPr>
        <w:t>inter</w:t>
      </w:r>
      <w:proofErr w:type="spellEnd"/>
      <w:r w:rsidRPr="00674C14">
        <w:rPr>
          <w:rFonts w:asciiTheme="majorHAnsi" w:hAnsiTheme="majorHAnsi" w:cstheme="majorHAnsi"/>
          <w:i/>
        </w:rPr>
        <w:t xml:space="preserve"> </w:t>
      </w:r>
      <w:proofErr w:type="spellStart"/>
      <w:r w:rsidRPr="00674C14">
        <w:rPr>
          <w:rFonts w:asciiTheme="majorHAnsi" w:hAnsiTheme="majorHAnsi" w:cstheme="majorHAnsi"/>
          <w:i/>
        </w:rPr>
        <w:t>alia</w:t>
      </w:r>
      <w:proofErr w:type="spellEnd"/>
      <w:r w:rsidRPr="00674C14">
        <w:rPr>
          <w:rFonts w:asciiTheme="majorHAnsi" w:hAnsiTheme="majorHAnsi" w:cstheme="majorHAnsi"/>
        </w:rPr>
        <w:t xml:space="preserve"> paskaidroja, ka pēc raksta publicēšanas K. U. bija ar viņu sazinājies. Viņš bijis ļoti aizvainots un sarūgtināts. Tad H. S. viņam piedāvājis iespēju situāciju labot. Saskaņā ar dokumentiem K. U. šo piedāvājumu noraidījis.</w:t>
      </w:r>
    </w:p>
    <w:p w:rsidR="00E2080A" w:rsidRPr="00674C14" w:rsidRDefault="00A03369" w:rsidP="00E2080A">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16</w:t>
      </w:r>
      <w:r w:rsidRPr="00674C14">
        <w:rPr>
          <w:rFonts w:asciiTheme="majorHAnsi" w:hAnsiTheme="majorHAnsi" w:cstheme="majorHAnsi"/>
          <w:noProof/>
        </w:rPr>
        <w:fldChar w:fldCharType="end"/>
      </w:r>
      <w:r w:rsidRPr="00674C14">
        <w:rPr>
          <w:rFonts w:asciiTheme="majorHAnsi" w:hAnsiTheme="majorHAnsi" w:cstheme="majorHAnsi"/>
        </w:rPr>
        <w:t>. 2006. gada 25. augustā Helsinku rajona tiesa (</w:t>
      </w:r>
      <w:proofErr w:type="spellStart"/>
      <w:r w:rsidRPr="00674C14">
        <w:rPr>
          <w:rStyle w:val="ju-005fpara-002cleft-002cfirst-0020line-003a-0020-00200-0020cm--char"/>
          <w:rFonts w:asciiTheme="majorHAnsi" w:hAnsiTheme="majorHAnsi" w:cstheme="majorHAnsi"/>
          <w:i/>
        </w:rPr>
        <w:t>käräjäoikeus</w:t>
      </w:r>
      <w:proofErr w:type="spellEnd"/>
      <w:r w:rsidRPr="00674C14">
        <w:rPr>
          <w:rStyle w:val="ju-005fpara-002cleft-002cfirst-0020line-003a-0020-00200-0020cm--char"/>
          <w:rFonts w:asciiTheme="majorHAnsi" w:hAnsiTheme="majorHAnsi" w:cstheme="majorHAnsi"/>
          <w:i/>
        </w:rPr>
        <w:t xml:space="preserve">, </w:t>
      </w:r>
      <w:proofErr w:type="spellStart"/>
      <w:r w:rsidRPr="00674C14">
        <w:rPr>
          <w:rStyle w:val="ju-005fpara-002cleft-002cfirst-0020line-003a-0020-00200-0020cm--char"/>
          <w:rFonts w:asciiTheme="majorHAnsi" w:hAnsiTheme="majorHAnsi" w:cstheme="majorHAnsi"/>
          <w:i/>
        </w:rPr>
        <w:t>tingsrätten</w:t>
      </w:r>
      <w:proofErr w:type="spellEnd"/>
      <w:r w:rsidRPr="00674C14">
        <w:rPr>
          <w:rFonts w:asciiTheme="majorHAnsi" w:hAnsiTheme="majorHAnsi" w:cstheme="majorHAnsi"/>
        </w:rPr>
        <w:t xml:space="preserve">) pasludināja spriedumu. Tiesa atzina pieteikuma iesniedzēju un H. S. par vainīgiem neslavas celšanā pēc Kriminālkodeksa 24. nodaļas 9. panta pirmās daļas 1. punkta. Pieteikuma iesniedzēju sodīja ar naudas sodu 30 dienu algas apmērā, kas kopā bija 720 </w:t>
      </w:r>
      <w:proofErr w:type="spellStart"/>
      <w:r w:rsidRPr="00674C14">
        <w:rPr>
          <w:rFonts w:asciiTheme="majorHAnsi" w:hAnsiTheme="majorHAnsi" w:cstheme="majorHAnsi"/>
          <w:i/>
        </w:rPr>
        <w:t>euro</w:t>
      </w:r>
      <w:proofErr w:type="spellEnd"/>
      <w:r w:rsidRPr="00674C14">
        <w:rPr>
          <w:rFonts w:asciiTheme="majorHAnsi" w:hAnsiTheme="majorHAnsi" w:cstheme="majorHAnsi"/>
        </w:rPr>
        <w:t xml:space="preserve"> (EUR). Tāpat tiesa lēma, ka viņai </w:t>
      </w:r>
      <w:r w:rsidRPr="00674C14">
        <w:rPr>
          <w:rFonts w:asciiTheme="majorHAnsi" w:hAnsiTheme="majorHAnsi" w:cstheme="majorHAnsi"/>
        </w:rPr>
        <w:lastRenderedPageBreak/>
        <w:t>solidāri ar H. S. jāsamaksā K. U. 2000 EUR par ciešanām un 1500 EUR par tiesāšanās izdevumiem.</w:t>
      </w:r>
    </w:p>
    <w:p w:rsidR="00E2080A" w:rsidRPr="00674C14" w:rsidRDefault="00A03369" w:rsidP="00E2080A">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17</w:t>
      </w:r>
      <w:r w:rsidRPr="00674C14">
        <w:rPr>
          <w:rFonts w:asciiTheme="majorHAnsi" w:hAnsiTheme="majorHAnsi" w:cstheme="majorHAnsi"/>
          <w:noProof/>
        </w:rPr>
        <w:fldChar w:fldCharType="end"/>
      </w:r>
      <w:r w:rsidRPr="00674C14">
        <w:rPr>
          <w:rFonts w:asciiTheme="majorHAnsi" w:hAnsiTheme="majorHAnsi" w:cstheme="majorHAnsi"/>
        </w:rPr>
        <w:t>. Pamatojumā tiesa norādīja, ka tai bija jāizskata pretējas intereses, proti, vārda brīvība un tiesības uz privāto dzīvi saskaņā ar Konstitūcijas 10. un 12. pantu un Konvencijas 10. pantu. Tiesa atsaucās arī uz Augstākās tiesas precedentu Nr. </w:t>
      </w:r>
      <w:r w:rsidRPr="00674C14">
        <w:rPr>
          <w:rFonts w:asciiTheme="majorHAnsi" w:hAnsiTheme="majorHAnsi" w:cstheme="majorHAnsi"/>
          <w:i/>
        </w:rPr>
        <w:t>KKO:2006:20</w:t>
      </w:r>
      <w:r w:rsidRPr="00674C14">
        <w:rPr>
          <w:rFonts w:asciiTheme="majorHAnsi" w:hAnsiTheme="majorHAnsi" w:cstheme="majorHAnsi"/>
        </w:rPr>
        <w:t>, kurā tiesa atzina, ka vārda brīvība neattaisno personas cieņas vai privātās dzīves aizskārumu. Izvērtējot pieteikuma iesniedzējas rakstu, tiesa konstatēja, ka:</w:t>
      </w:r>
    </w:p>
    <w:p w:rsidR="00E2080A" w:rsidRPr="00674C14" w:rsidRDefault="00E2080A" w:rsidP="00E2080A">
      <w:pPr>
        <w:pStyle w:val="JuQuot"/>
        <w:rPr>
          <w:rFonts w:asciiTheme="majorHAnsi" w:hAnsiTheme="majorHAnsi" w:cstheme="majorHAnsi"/>
        </w:rPr>
      </w:pPr>
      <w:r w:rsidRPr="00674C14">
        <w:rPr>
          <w:rFonts w:asciiTheme="majorHAnsi" w:hAnsiTheme="majorHAnsi" w:cstheme="majorHAnsi"/>
        </w:rPr>
        <w:t>“Nav apstrīdams, ka 2004. gada vasarā [K. U.] bija amatpersona. Tāpat nav apstrīdams, ka rakstā nebija faktu kļūdu. Līdz ar to visa rakstā norādītā informācija bija patiesa.</w:t>
      </w:r>
    </w:p>
    <w:p w:rsidR="00E2080A" w:rsidRPr="00674C14" w:rsidRDefault="00E2080A" w:rsidP="00E2080A">
      <w:pPr>
        <w:pStyle w:val="JuQuot"/>
        <w:rPr>
          <w:rFonts w:asciiTheme="majorHAnsi" w:hAnsiTheme="majorHAnsi" w:cstheme="majorHAnsi"/>
        </w:rPr>
      </w:pPr>
      <w:r w:rsidRPr="00674C14">
        <w:rPr>
          <w:rFonts w:asciiTheme="majorHAnsi" w:hAnsiTheme="majorHAnsi" w:cstheme="majorHAnsi"/>
        </w:rPr>
        <w:t>Rajona tiesai ir jāvērtē, vai rakstā bija tādi netieši mājieni, kas veicināja ciešanas vai nicinājumu, vai raksts kā citādi bija noniecinošs.</w:t>
      </w:r>
    </w:p>
    <w:p w:rsidR="00E2080A" w:rsidRPr="00674C14" w:rsidRDefault="00E2080A" w:rsidP="00E2080A">
      <w:pPr>
        <w:pStyle w:val="JuQuot"/>
        <w:rPr>
          <w:rFonts w:asciiTheme="majorHAnsi" w:hAnsiTheme="majorHAnsi" w:cstheme="majorHAnsi"/>
        </w:rPr>
      </w:pPr>
      <w:r w:rsidRPr="00674C14">
        <w:rPr>
          <w:rFonts w:asciiTheme="majorHAnsi" w:hAnsiTheme="majorHAnsi" w:cstheme="majorHAnsi"/>
        </w:rPr>
        <w:t xml:space="preserve">Raksts .. bija par pirms dažām dienām notikušas slepkavības </w:t>
      </w:r>
      <w:proofErr w:type="spellStart"/>
      <w:r w:rsidRPr="00674C14">
        <w:rPr>
          <w:rFonts w:asciiTheme="majorHAnsi" w:hAnsiTheme="majorHAnsi" w:cstheme="majorHAnsi"/>
        </w:rPr>
        <w:t>pirmstiesas</w:t>
      </w:r>
      <w:proofErr w:type="spellEnd"/>
      <w:r w:rsidRPr="00674C14">
        <w:rPr>
          <w:rFonts w:asciiTheme="majorHAnsi" w:hAnsiTheme="majorHAnsi" w:cstheme="majorHAnsi"/>
        </w:rPr>
        <w:t xml:space="preserve"> izmeklēšanu, kā arī vēl vienu liela mēroga lietu par ekonomisko noziegumu, kas jau tika izskatīta prokuratūrā. Viena un tā pati persona bija slepkavības upuris un viens no aizdomās turētajiem lietā par ekonomisko noziegumu izdarīšanu. [K. U.] bija pazinis slepkavības upuri un arī bija viens no aizdomās turētajiem ekonomisko noziegumu lietā.</w:t>
      </w:r>
    </w:p>
    <w:p w:rsidR="00E2080A" w:rsidRPr="00674C14" w:rsidRDefault="00E2080A" w:rsidP="00E2080A">
      <w:pPr>
        <w:pStyle w:val="JuQuot"/>
        <w:rPr>
          <w:rFonts w:asciiTheme="majorHAnsi" w:hAnsiTheme="majorHAnsi" w:cstheme="majorHAnsi"/>
        </w:rPr>
      </w:pPr>
      <w:r w:rsidRPr="00674C14">
        <w:rPr>
          <w:rFonts w:asciiTheme="majorHAnsi" w:hAnsiTheme="majorHAnsi" w:cstheme="majorHAnsi"/>
        </w:rPr>
        <w:t>Apsūdzētie cita starpā bija norādījuši, ka laikrakstam bija pienākums ziņot par noziegumu. Rakstā .. bija uzsvērts, ka [K. U.] ir saistīts ar slepkavības upuri. Rajona tiesa uzskata, ka šajā tiesvedībā nebija parādījušies tādi apstākļi, kas saistītu šo faktu, ka [K. U.] bija pazinis slepkavības upuri, ar viņa sabiedrisko darbību. Tāpat nav konstatēts, ka [K. U.] sakariem ar upuri .. būtu bijusi vispārēja nozīme vai ka šī informācija būtu bijusi tik būtiska sabiedrībai, ka bija svarīgi to publicēt.”</w:t>
      </w:r>
    </w:p>
    <w:p w:rsidR="00E2080A" w:rsidRPr="00674C14" w:rsidRDefault="00A03369" w:rsidP="00E2080A">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18</w:t>
      </w:r>
      <w:r w:rsidRPr="00674C14">
        <w:rPr>
          <w:rFonts w:asciiTheme="majorHAnsi" w:hAnsiTheme="majorHAnsi" w:cstheme="majorHAnsi"/>
          <w:noProof/>
        </w:rPr>
        <w:fldChar w:fldCharType="end"/>
      </w:r>
      <w:r w:rsidRPr="00674C14">
        <w:rPr>
          <w:rFonts w:asciiTheme="majorHAnsi" w:hAnsiTheme="majorHAnsi" w:cstheme="majorHAnsi"/>
        </w:rPr>
        <w:t>. Rajona tiesa secināja:</w:t>
      </w:r>
    </w:p>
    <w:p w:rsidR="00E2080A" w:rsidRPr="00674C14" w:rsidRDefault="00E2080A" w:rsidP="00E2080A">
      <w:pPr>
        <w:pStyle w:val="JuQuot"/>
        <w:rPr>
          <w:rFonts w:asciiTheme="majorHAnsi" w:hAnsiTheme="majorHAnsi" w:cstheme="majorHAnsi"/>
        </w:rPr>
      </w:pPr>
      <w:r w:rsidRPr="00674C14">
        <w:rPr>
          <w:rFonts w:asciiTheme="majorHAnsi" w:hAnsiTheme="majorHAnsi" w:cstheme="majorHAnsi"/>
        </w:rPr>
        <w:t xml:space="preserve">“Raksta galvenie temati .. bija [K. U.] saistība ar slepkavības upuri, aizdomas par ekonomiskajiem noziegumiem, organizētā noziedzība un iespējamā pasūtījuma slepkavība. Virsraksts “Vai Vantā slepkavības upuris bija saistīts ar [K. U.]?”, kā arī pamatinformācija par [K. U.] zem virsraksta “Kas?”, ko papildināja viņa fotogrāfija, visu rakstu sasaistīja ar [K. U.]. Lai gan raksta virsraksts beidzās ar jautājuma zīmi un pirmajā teksta rindkopā bija norādīts, ka upuris </w:t>
      </w:r>
      <w:r w:rsidRPr="00674C14">
        <w:rPr>
          <w:rFonts w:asciiTheme="majorHAnsi" w:hAnsiTheme="majorHAnsi" w:cstheme="majorHAnsi"/>
          <w:i/>
        </w:rPr>
        <w:t xml:space="preserve">varētu </w:t>
      </w:r>
      <w:r w:rsidRPr="00674C14">
        <w:rPr>
          <w:rFonts w:asciiTheme="majorHAnsi" w:hAnsiTheme="majorHAnsi" w:cstheme="majorHAnsi"/>
        </w:rPr>
        <w:t>(šeit rakstīts kursīvā) būt bijis saistīts ar [K. U.], teksts uz šo jautājumu nesniedz tūlītēju atbildi, kā arī skaidri nepasaka, ka upuris un [K. U.] bijuši pazīstami citos apstākļos. Rakstā šie jautājumi palika neatbildēti. Tā kā tekstā bija runa par saistību starp slepkavības upuri un [K. U.] un galu galā iespējamo pasūtījuma slepkavību, arī [K. U.] tika sasaistīts ar pasūtījuma slepkavību.</w:t>
      </w:r>
    </w:p>
    <w:p w:rsidR="00E2080A" w:rsidRPr="00674C14" w:rsidRDefault="00E2080A" w:rsidP="00E2080A">
      <w:pPr>
        <w:pStyle w:val="JuQuot"/>
        <w:rPr>
          <w:rFonts w:asciiTheme="majorHAnsi" w:hAnsiTheme="majorHAnsi" w:cstheme="majorHAnsi"/>
        </w:rPr>
      </w:pPr>
      <w:r w:rsidRPr="00674C14">
        <w:rPr>
          <w:rFonts w:asciiTheme="majorHAnsi" w:hAnsiTheme="majorHAnsi" w:cstheme="majorHAnsi"/>
        </w:rPr>
        <w:t>Nepamatota personas saistīšana ar pasūtījuma slepkavību aizskar šīs personas cieņu.</w:t>
      </w:r>
    </w:p>
    <w:p w:rsidR="00E2080A" w:rsidRPr="00674C14" w:rsidRDefault="00E2080A" w:rsidP="00E2080A">
      <w:pPr>
        <w:pStyle w:val="JuQuot"/>
        <w:rPr>
          <w:rFonts w:asciiTheme="majorHAnsi" w:hAnsiTheme="majorHAnsi" w:cstheme="majorHAnsi"/>
        </w:rPr>
      </w:pPr>
      <w:r w:rsidRPr="00674C14">
        <w:rPr>
          <w:rFonts w:asciiTheme="majorHAnsi" w:hAnsiTheme="majorHAnsi" w:cstheme="majorHAnsi"/>
        </w:rPr>
        <w:t xml:space="preserve">Apvienojot saņemto informāciju un izmeklēšanas vadītāja paziņojumus, kā arī divas atšķirīgas </w:t>
      </w:r>
      <w:proofErr w:type="spellStart"/>
      <w:r w:rsidRPr="00674C14">
        <w:rPr>
          <w:rFonts w:asciiTheme="majorHAnsi" w:hAnsiTheme="majorHAnsi" w:cstheme="majorHAnsi"/>
        </w:rPr>
        <w:t>kriminālizmeklēšanas</w:t>
      </w:r>
      <w:proofErr w:type="spellEnd"/>
      <w:r w:rsidRPr="00674C14">
        <w:rPr>
          <w:rFonts w:asciiTheme="majorHAnsi" w:hAnsiTheme="majorHAnsi" w:cstheme="majorHAnsi"/>
        </w:rPr>
        <w:t>, raksts radīja neskaidru priekšstatu par saistību starp šīm lietām. Virsraksti un informācija, kas koncentrējās uz [K. U.] personību, padarīja [K. U.] par noziegumu galveno kopīgo pazīmi.</w:t>
      </w:r>
    </w:p>
    <w:p w:rsidR="00E2080A" w:rsidRPr="00674C14" w:rsidRDefault="00E2080A" w:rsidP="00E2080A">
      <w:pPr>
        <w:pStyle w:val="JuQuot"/>
        <w:rPr>
          <w:rFonts w:asciiTheme="majorHAnsi" w:hAnsiTheme="majorHAnsi" w:cstheme="majorHAnsi"/>
        </w:rPr>
      </w:pPr>
      <w:r w:rsidRPr="00674C14">
        <w:rPr>
          <w:rFonts w:asciiTheme="majorHAnsi" w:hAnsiTheme="majorHAnsi" w:cstheme="majorHAnsi"/>
        </w:rPr>
        <w:t>Rajona tiesa konstatē, ka rakstā [K. U.] ticis saistīts ar slepkavību, netieši norādot uz saistību starp [K. U.] un slepkavības pasūtīšanu. Šāds mājiens aizskar [K. U.] cieņu un ir radījis viņam ciešanas.”</w:t>
      </w:r>
    </w:p>
    <w:p w:rsidR="00E2080A" w:rsidRPr="00674C14" w:rsidRDefault="00A03369" w:rsidP="00E2080A">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19</w:t>
      </w:r>
      <w:r w:rsidRPr="00674C14">
        <w:rPr>
          <w:rFonts w:asciiTheme="majorHAnsi" w:hAnsiTheme="majorHAnsi" w:cstheme="majorHAnsi"/>
          <w:noProof/>
        </w:rPr>
        <w:fldChar w:fldCharType="end"/>
      </w:r>
      <w:r w:rsidRPr="00674C14">
        <w:rPr>
          <w:rFonts w:asciiTheme="majorHAnsi" w:hAnsiTheme="majorHAnsi" w:cstheme="majorHAnsi"/>
        </w:rPr>
        <w:t>. Rajona tiesas sastāvā bija viens profesionāls tiesnesis un trīs tiesas piesēdētāji. Viens no tiesas piesēdētājiem lēma par labu attaisnošanai. Savā atšķirīgajā viedoklī viņš uzsvēra, ka visa rakstā norādītā informācija bija patiesa. Viņš uzskatīja: tikai tas vien, ka lietas dalībnieks, viņa ģimene vai draugi bija šokēti par ziņu atspoguļojumu vai ka laikraksta lasītāji nespēja pilnībā saprast tekstu, nav uzskatāms par neslavas celšanu.</w:t>
      </w:r>
    </w:p>
    <w:p w:rsidR="00E2080A" w:rsidRPr="00674C14" w:rsidRDefault="00A03369" w:rsidP="00E2080A">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20</w:t>
      </w:r>
      <w:r w:rsidRPr="00674C14">
        <w:rPr>
          <w:rFonts w:asciiTheme="majorHAnsi" w:hAnsiTheme="majorHAnsi" w:cstheme="majorHAnsi"/>
          <w:noProof/>
        </w:rPr>
        <w:fldChar w:fldCharType="end"/>
      </w:r>
      <w:r w:rsidRPr="00674C14">
        <w:rPr>
          <w:rFonts w:asciiTheme="majorHAnsi" w:hAnsiTheme="majorHAnsi" w:cstheme="majorHAnsi"/>
        </w:rPr>
        <w:t>. Pieteikuma iesniedzēja un H. S. spriedumu pārsūdzēja Helsinku apelācijas tiesā (</w:t>
      </w:r>
      <w:proofErr w:type="spellStart"/>
      <w:r w:rsidRPr="00674C14">
        <w:rPr>
          <w:rStyle w:val="ju-005fpara-002cleft-002cfirst-0020line-003a-0020-00200-0020cm--char"/>
          <w:rFonts w:asciiTheme="majorHAnsi" w:hAnsiTheme="majorHAnsi" w:cstheme="majorHAnsi"/>
          <w:i/>
        </w:rPr>
        <w:t>hovioikeus</w:t>
      </w:r>
      <w:proofErr w:type="spellEnd"/>
      <w:r w:rsidRPr="00674C14">
        <w:rPr>
          <w:rStyle w:val="ju-005fpara-002cleft-002cfirst-0020line-003a-0020-00200-0020cm--char"/>
          <w:rFonts w:asciiTheme="majorHAnsi" w:hAnsiTheme="majorHAnsi" w:cstheme="majorHAnsi"/>
          <w:i/>
        </w:rPr>
        <w:t xml:space="preserve">, </w:t>
      </w:r>
      <w:proofErr w:type="spellStart"/>
      <w:r w:rsidRPr="00674C14">
        <w:rPr>
          <w:rStyle w:val="ju-005fpara-002cleft-002cfirst-0020line-003a-0020-00200-0020cm--char"/>
          <w:rFonts w:asciiTheme="majorHAnsi" w:hAnsiTheme="majorHAnsi" w:cstheme="majorHAnsi"/>
          <w:i/>
        </w:rPr>
        <w:t>hovrätten</w:t>
      </w:r>
      <w:proofErr w:type="spellEnd"/>
      <w:r w:rsidRPr="00674C14">
        <w:rPr>
          <w:rFonts w:asciiTheme="majorHAnsi" w:hAnsiTheme="majorHAnsi" w:cstheme="majorHAnsi"/>
        </w:rPr>
        <w:t>), pamatā norādot iepriekšējos argumentus. Viņi arī apstrīdēja zemākas instances tiesas tiesību aktu interpretāciju.</w:t>
      </w:r>
    </w:p>
    <w:p w:rsidR="00E2080A" w:rsidRPr="00674C14" w:rsidRDefault="00A03369" w:rsidP="00E2080A">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21</w:t>
      </w:r>
      <w:r w:rsidRPr="00674C14">
        <w:rPr>
          <w:rFonts w:asciiTheme="majorHAnsi" w:hAnsiTheme="majorHAnsi" w:cstheme="majorHAnsi"/>
          <w:noProof/>
        </w:rPr>
        <w:fldChar w:fldCharType="end"/>
      </w:r>
      <w:r w:rsidRPr="00674C14">
        <w:rPr>
          <w:rFonts w:asciiTheme="majorHAnsi" w:hAnsiTheme="majorHAnsi" w:cstheme="majorHAnsi"/>
        </w:rPr>
        <w:t xml:space="preserve">. Apelācijas tiesa 2007. gada 14. novembrī atstāja spēkā rajona tiesas spriedumu. Savā argumentācijā apelācijas tiesa atkārtoti norādīja, ka nepatiesas informācijas sniegšana vai nepatiesu mājienu izteikšana par citu personu, kas rada zaudējumus vai ciešanas šai personai vai pakļauj šo personu nicinājumam, ir neslavas celšana pēc Krimināllikuma 24. nodaļas 9. panta pirmās daļas 1. punkta. Tā atsaucās uz attiecīgo valdības likumprojektu par šā noteikuma grozīšanu (HE 184/1999 </w:t>
      </w:r>
      <w:proofErr w:type="spellStart"/>
      <w:r w:rsidRPr="00674C14">
        <w:rPr>
          <w:rFonts w:asciiTheme="majorHAnsi" w:hAnsiTheme="majorHAnsi" w:cstheme="majorHAnsi"/>
        </w:rPr>
        <w:t>vp</w:t>
      </w:r>
      <w:proofErr w:type="spellEnd"/>
      <w:r w:rsidRPr="00674C14">
        <w:rPr>
          <w:rFonts w:asciiTheme="majorHAnsi" w:hAnsiTheme="majorHAnsi" w:cstheme="majorHAnsi"/>
        </w:rPr>
        <w:t xml:space="preserve">), norādot, ka šim noziedzīgajam nodarījumam raksturīga nepatiesa faktiskā informācija vai nepatiess mājiens, kas ļoti atgādina faktisko </w:t>
      </w:r>
      <w:r w:rsidRPr="00674C14">
        <w:rPr>
          <w:rFonts w:asciiTheme="majorHAnsi" w:hAnsiTheme="majorHAnsi" w:cstheme="majorHAnsi"/>
        </w:rPr>
        <w:lastRenderedPageBreak/>
        <w:t>informāciju. Principā argumenta ticamību var skatīt pēc tam. Ja arguments ir patiess vai ja mājiens attiecas uz faktu, darbība tomēr var būt sodāma kā neslavas celšana atbilstoši šā noteikuma 2. punktam, ja informācija tiek sniegta vai mājiens izteikts, lai tīši noniecinātu citu personu.</w:t>
      </w:r>
    </w:p>
    <w:p w:rsidR="00E2080A" w:rsidRPr="00674C14" w:rsidRDefault="00A03369" w:rsidP="00E2080A">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22</w:t>
      </w:r>
      <w:r w:rsidRPr="00674C14">
        <w:rPr>
          <w:rFonts w:asciiTheme="majorHAnsi" w:hAnsiTheme="majorHAnsi" w:cstheme="majorHAnsi"/>
          <w:noProof/>
        </w:rPr>
        <w:fldChar w:fldCharType="end"/>
      </w:r>
      <w:r w:rsidRPr="00674C14">
        <w:rPr>
          <w:rFonts w:asciiTheme="majorHAnsi" w:hAnsiTheme="majorHAnsi" w:cstheme="majorHAnsi"/>
        </w:rPr>
        <w:t>. Pēc tam tiesa konstatēja:</w:t>
      </w:r>
    </w:p>
    <w:p w:rsidR="00E2080A" w:rsidRPr="00674C14" w:rsidRDefault="00E2080A" w:rsidP="00E2080A">
      <w:pPr>
        <w:pStyle w:val="JuQuot"/>
        <w:rPr>
          <w:rFonts w:asciiTheme="majorHAnsi" w:hAnsiTheme="majorHAnsi" w:cstheme="majorHAnsi"/>
        </w:rPr>
      </w:pPr>
      <w:r w:rsidRPr="00674C14">
        <w:rPr>
          <w:rFonts w:asciiTheme="majorHAnsi" w:hAnsiTheme="majorHAnsi" w:cstheme="majorHAnsi"/>
        </w:rPr>
        <w:t>“Nav apstrīdams, ka informācija par divām dažādām krimināllietām, kas 2004. gada 8. jūlijā tika publicēta laikrakstā “</w:t>
      </w:r>
      <w:proofErr w:type="spellStart"/>
      <w:r w:rsidRPr="00674C14">
        <w:rPr>
          <w:rFonts w:asciiTheme="majorHAnsi" w:hAnsiTheme="majorHAnsi" w:cstheme="majorHAnsi"/>
          <w:i/>
        </w:rPr>
        <w:t>Ilta-Sanomat</w:t>
      </w:r>
      <w:proofErr w:type="spellEnd"/>
      <w:r w:rsidRPr="00674C14">
        <w:rPr>
          <w:rFonts w:asciiTheme="majorHAnsi" w:hAnsiTheme="majorHAnsi" w:cstheme="majorHAnsi"/>
        </w:rPr>
        <w:t>”, kā tāda bija patiesa. Šo lietu kopīgā iezīme bija tā, ka [K. U.] un slepkavības upuris bija aizdomās turētie vienā no rakstā minētajām krimināllietām. Raksta virsraksti, teksts un [K. U.] fotogrāfijas pirmajā lapā un rakstā tomēr radīja saistību, kas nepatiesi norādīja uz to, ka [K. U.] tā vai citādi ir iesaistīts slepkavībā. Raksta virsraksta un noskaņas dēļ tas, ka [K. U.], stingri ņemot, nebija slepkavības līdzzinātājs kļuva skaidrs tikai pēc rūpīgākas raksta izlasīšanas. No tā izrietēja, ka šajā lietā piemērojams Krimināllikuma 24. nodaļas 9. panta pirmās daļas 1. punkts, kā to norādījusi rajona tiesa.”</w:t>
      </w:r>
    </w:p>
    <w:p w:rsidR="00E2080A" w:rsidRPr="00674C14" w:rsidRDefault="00A03369" w:rsidP="00E2080A">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23</w:t>
      </w:r>
      <w:r w:rsidRPr="00674C14">
        <w:rPr>
          <w:rFonts w:asciiTheme="majorHAnsi" w:hAnsiTheme="majorHAnsi" w:cstheme="majorHAnsi"/>
          <w:noProof/>
        </w:rPr>
        <w:fldChar w:fldCharType="end"/>
      </w:r>
      <w:r w:rsidRPr="00674C14">
        <w:rPr>
          <w:rFonts w:asciiTheme="majorHAnsi" w:hAnsiTheme="majorHAnsi" w:cstheme="majorHAnsi"/>
        </w:rPr>
        <w:t>. Pēc tam apelācijas tiesa sīkāk izvērtēja, vai apsūdzēto rīcību varētu uzskatīt par tīšu. Tiesa konstatēja: pieteikuma iesniedzēja ir profesionāla žurnāliste, kurai vajadzēja pieļaut iespēju, ka rakstā izteikts nepatiess mājiens, un ka šis nepatiesais mājiens var radīt ciešanas. Tādējādi nonākot pie apstiprinoša secinājuma, tiesa nesaskatīja iemeslu atkāpties no zemākas instances tiesas sprieduma.</w:t>
      </w:r>
    </w:p>
    <w:p w:rsidR="00F71A6A" w:rsidRPr="00674C14" w:rsidRDefault="00A03369">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24</w:t>
      </w:r>
      <w:r w:rsidRPr="00674C14">
        <w:rPr>
          <w:rFonts w:asciiTheme="majorHAnsi" w:hAnsiTheme="majorHAnsi" w:cstheme="majorHAnsi"/>
          <w:noProof/>
        </w:rPr>
        <w:fldChar w:fldCharType="end"/>
      </w:r>
      <w:r w:rsidRPr="00674C14">
        <w:rPr>
          <w:rFonts w:asciiTheme="majorHAnsi" w:hAnsiTheme="majorHAnsi" w:cstheme="majorHAnsi"/>
        </w:rPr>
        <w:t>. 2008. gada 7. novembrī Augstākā tiesa [</w:t>
      </w:r>
      <w:proofErr w:type="spellStart"/>
      <w:r w:rsidRPr="00674C14">
        <w:rPr>
          <w:rStyle w:val="ju-005fpara-002cleft-002cfirst-0020line-003a-0020-00200-0020cm--char"/>
          <w:rFonts w:asciiTheme="majorHAnsi" w:hAnsiTheme="majorHAnsi" w:cstheme="majorHAnsi"/>
          <w:i/>
        </w:rPr>
        <w:t>korkein</w:t>
      </w:r>
      <w:proofErr w:type="spellEnd"/>
      <w:r w:rsidRPr="00674C14">
        <w:rPr>
          <w:rStyle w:val="ju-005fpara-002cleft-002cfirst-0020line-003a-0020-00200-0020cm--char"/>
          <w:rFonts w:asciiTheme="majorHAnsi" w:hAnsiTheme="majorHAnsi" w:cstheme="majorHAnsi"/>
          <w:i/>
        </w:rPr>
        <w:t xml:space="preserve"> </w:t>
      </w:r>
      <w:proofErr w:type="spellStart"/>
      <w:r w:rsidRPr="00674C14">
        <w:rPr>
          <w:rStyle w:val="ju-005fpara-002cleft-002cfirst-0020line-003a-0020-00200-0020cm--char"/>
          <w:rFonts w:asciiTheme="majorHAnsi" w:hAnsiTheme="majorHAnsi" w:cstheme="majorHAnsi"/>
          <w:i/>
        </w:rPr>
        <w:t>oikeus</w:t>
      </w:r>
      <w:proofErr w:type="spellEnd"/>
      <w:r w:rsidRPr="00674C14">
        <w:rPr>
          <w:rStyle w:val="ju-005fpara-002cleft-002cfirst-0020line-003a-0020-00200-0020cm--char"/>
          <w:rFonts w:asciiTheme="majorHAnsi" w:hAnsiTheme="majorHAnsi" w:cstheme="majorHAnsi"/>
          <w:i/>
        </w:rPr>
        <w:t xml:space="preserve">, </w:t>
      </w:r>
      <w:proofErr w:type="spellStart"/>
      <w:r w:rsidRPr="00674C14">
        <w:rPr>
          <w:rStyle w:val="ju-005fpara-002cleft-002cfirst-0020line-003a-0020-00200-0020cm--char"/>
          <w:rFonts w:asciiTheme="majorHAnsi" w:hAnsiTheme="majorHAnsi" w:cstheme="majorHAnsi"/>
          <w:i/>
        </w:rPr>
        <w:t>högsta</w:t>
      </w:r>
      <w:proofErr w:type="spellEnd"/>
      <w:r w:rsidRPr="00674C14">
        <w:rPr>
          <w:rStyle w:val="ju-005fpara-002cleft-002cfirst-0020line-003a-0020-00200-0020cm--char"/>
          <w:rFonts w:asciiTheme="majorHAnsi" w:hAnsiTheme="majorHAnsi" w:cstheme="majorHAnsi"/>
          <w:i/>
        </w:rPr>
        <w:t xml:space="preserve"> </w:t>
      </w:r>
      <w:proofErr w:type="spellStart"/>
      <w:r w:rsidRPr="00674C14">
        <w:rPr>
          <w:rStyle w:val="ju-005fpara-002cleft-002cfirst-0020line-003a-0020-00200-0020cm--char"/>
          <w:rFonts w:asciiTheme="majorHAnsi" w:hAnsiTheme="majorHAnsi" w:cstheme="majorHAnsi"/>
          <w:i/>
        </w:rPr>
        <w:t>domstolen</w:t>
      </w:r>
      <w:proofErr w:type="spellEnd"/>
      <w:r w:rsidRPr="00674C14">
        <w:rPr>
          <w:rFonts w:asciiTheme="majorHAnsi" w:hAnsiTheme="majorHAnsi" w:cstheme="majorHAnsi"/>
        </w:rPr>
        <w:t>] noraidīja prasību par pārsūdzības iesniegšanu.</w:t>
      </w:r>
    </w:p>
    <w:p w:rsidR="007352DD" w:rsidRPr="00674C14" w:rsidRDefault="007352DD" w:rsidP="008824B9">
      <w:pPr>
        <w:pStyle w:val="JuHIRoman"/>
        <w:outlineLvl w:val="0"/>
        <w:rPr>
          <w:rFonts w:asciiTheme="majorHAnsi" w:hAnsiTheme="majorHAnsi" w:cstheme="majorHAnsi"/>
        </w:rPr>
      </w:pPr>
      <w:r w:rsidRPr="00674C14">
        <w:rPr>
          <w:rFonts w:asciiTheme="majorHAnsi" w:hAnsiTheme="majorHAnsi" w:cstheme="majorHAnsi"/>
        </w:rPr>
        <w:t>II. PIEMĒROJAMIE VALSTS TIESĪBU AKTI</w:t>
      </w:r>
    </w:p>
    <w:p w:rsidR="00E2080A" w:rsidRPr="00674C14" w:rsidRDefault="00A03369" w:rsidP="00E2080A">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25</w:t>
      </w:r>
      <w:r w:rsidRPr="00674C14">
        <w:rPr>
          <w:rFonts w:asciiTheme="majorHAnsi" w:hAnsiTheme="majorHAnsi" w:cstheme="majorHAnsi"/>
          <w:noProof/>
        </w:rPr>
        <w:fldChar w:fldCharType="end"/>
      </w:r>
      <w:r w:rsidRPr="00674C14">
        <w:rPr>
          <w:rFonts w:asciiTheme="majorHAnsi" w:hAnsiTheme="majorHAnsi" w:cstheme="majorHAnsi"/>
        </w:rPr>
        <w:t>. Somijas Konstitūcijas (</w:t>
      </w:r>
      <w:proofErr w:type="spellStart"/>
      <w:r w:rsidRPr="00674C14">
        <w:rPr>
          <w:rFonts w:asciiTheme="majorHAnsi" w:hAnsiTheme="majorHAnsi" w:cstheme="majorHAnsi"/>
          <w:i/>
        </w:rPr>
        <w:t>Suomen</w:t>
      </w:r>
      <w:proofErr w:type="spellEnd"/>
      <w:r w:rsidRPr="00674C14">
        <w:rPr>
          <w:rFonts w:asciiTheme="majorHAnsi" w:hAnsiTheme="majorHAnsi" w:cstheme="majorHAnsi"/>
          <w:i/>
        </w:rPr>
        <w:t xml:space="preserve"> </w:t>
      </w:r>
      <w:proofErr w:type="spellStart"/>
      <w:r w:rsidRPr="00674C14">
        <w:rPr>
          <w:rFonts w:asciiTheme="majorHAnsi" w:hAnsiTheme="majorHAnsi" w:cstheme="majorHAnsi"/>
          <w:i/>
        </w:rPr>
        <w:t>perustuslaki</w:t>
      </w:r>
      <w:proofErr w:type="spellEnd"/>
      <w:r w:rsidRPr="00674C14">
        <w:rPr>
          <w:rFonts w:asciiTheme="majorHAnsi" w:hAnsiTheme="majorHAnsi" w:cstheme="majorHAnsi"/>
          <w:i/>
        </w:rPr>
        <w:t xml:space="preserve">, </w:t>
      </w:r>
      <w:proofErr w:type="spellStart"/>
      <w:r w:rsidRPr="00674C14">
        <w:rPr>
          <w:rFonts w:asciiTheme="majorHAnsi" w:hAnsiTheme="majorHAnsi" w:cstheme="majorHAnsi"/>
          <w:i/>
        </w:rPr>
        <w:t>Finlands</w:t>
      </w:r>
      <w:proofErr w:type="spellEnd"/>
      <w:r w:rsidRPr="00674C14">
        <w:rPr>
          <w:rFonts w:asciiTheme="majorHAnsi" w:hAnsiTheme="majorHAnsi" w:cstheme="majorHAnsi"/>
          <w:i/>
        </w:rPr>
        <w:t xml:space="preserve"> </w:t>
      </w:r>
      <w:proofErr w:type="spellStart"/>
      <w:r w:rsidRPr="00674C14">
        <w:rPr>
          <w:rFonts w:asciiTheme="majorHAnsi" w:hAnsiTheme="majorHAnsi" w:cstheme="majorHAnsi"/>
          <w:i/>
        </w:rPr>
        <w:t>grundlag</w:t>
      </w:r>
      <w:proofErr w:type="spellEnd"/>
      <w:r w:rsidRPr="00674C14">
        <w:rPr>
          <w:rFonts w:asciiTheme="majorHAnsi" w:hAnsiTheme="majorHAnsi" w:cstheme="majorHAnsi"/>
        </w:rPr>
        <w:t>; Likums Nr. 731/1999) attiecīgajās daļās noteikts:</w:t>
      </w:r>
    </w:p>
    <w:p w:rsidR="00E2080A" w:rsidRPr="00674C14" w:rsidRDefault="00E2080A" w:rsidP="00E2080A">
      <w:pPr>
        <w:pStyle w:val="JuQuot"/>
        <w:rPr>
          <w:rFonts w:asciiTheme="majorHAnsi" w:hAnsiTheme="majorHAnsi" w:cstheme="majorHAnsi"/>
        </w:rPr>
      </w:pPr>
      <w:r w:rsidRPr="00674C14">
        <w:rPr>
          <w:rFonts w:asciiTheme="majorHAnsi" w:hAnsiTheme="majorHAnsi" w:cstheme="majorHAnsi"/>
        </w:rPr>
        <w:t>10. pants. Tiesības uz privāto dzīvi</w:t>
      </w:r>
    </w:p>
    <w:p w:rsidR="00E2080A" w:rsidRPr="00674C14" w:rsidRDefault="00E2080A" w:rsidP="00E2080A">
      <w:pPr>
        <w:pStyle w:val="JuQuot"/>
        <w:rPr>
          <w:rFonts w:asciiTheme="majorHAnsi" w:hAnsiTheme="majorHAnsi" w:cstheme="majorHAnsi"/>
        </w:rPr>
      </w:pPr>
      <w:r w:rsidRPr="00674C14">
        <w:rPr>
          <w:rFonts w:asciiTheme="majorHAnsi" w:hAnsiTheme="majorHAnsi" w:cstheme="majorHAnsi"/>
        </w:rPr>
        <w:t>Ikvienam ir tiesības uz privāto dzīvi, godu un dzīvesvietas neaizskaramību. [..]</w:t>
      </w:r>
    </w:p>
    <w:p w:rsidR="00E2080A" w:rsidRPr="00674C14" w:rsidRDefault="005A7B5A" w:rsidP="00E2080A">
      <w:pPr>
        <w:pStyle w:val="JuQuot"/>
        <w:rPr>
          <w:rFonts w:asciiTheme="majorHAnsi" w:hAnsiTheme="majorHAnsi" w:cstheme="majorHAnsi"/>
        </w:rPr>
      </w:pPr>
      <w:r w:rsidRPr="00674C14">
        <w:rPr>
          <w:rFonts w:asciiTheme="majorHAnsi" w:hAnsiTheme="majorHAnsi" w:cstheme="majorHAnsi"/>
        </w:rPr>
        <w:t>[..]</w:t>
      </w:r>
    </w:p>
    <w:p w:rsidR="00E2080A" w:rsidRPr="00674C14" w:rsidRDefault="00E2080A" w:rsidP="00E2080A">
      <w:pPr>
        <w:pStyle w:val="JuQuot"/>
        <w:rPr>
          <w:rFonts w:asciiTheme="majorHAnsi" w:hAnsiTheme="majorHAnsi" w:cstheme="majorHAnsi"/>
        </w:rPr>
      </w:pPr>
      <w:r w:rsidRPr="00674C14">
        <w:rPr>
          <w:rFonts w:asciiTheme="majorHAnsi" w:hAnsiTheme="majorHAnsi" w:cstheme="majorHAnsi"/>
        </w:rPr>
        <w:t>12. pants. Vārda brīvība un tiesības iegūt informāciju</w:t>
      </w:r>
    </w:p>
    <w:p w:rsidR="00E2080A" w:rsidRPr="00674C14" w:rsidRDefault="00E2080A" w:rsidP="00E2080A">
      <w:pPr>
        <w:pStyle w:val="JuQuot"/>
        <w:rPr>
          <w:rFonts w:asciiTheme="majorHAnsi" w:hAnsiTheme="majorHAnsi" w:cstheme="majorHAnsi"/>
        </w:rPr>
      </w:pPr>
      <w:r w:rsidRPr="00674C14">
        <w:rPr>
          <w:rFonts w:asciiTheme="majorHAnsi" w:hAnsiTheme="majorHAnsi" w:cstheme="majorHAnsi"/>
        </w:rPr>
        <w:t>Ikvienam ir tiesības brīvi paust savus uzskatus. Vārda brīvība ietver tiesības paust, izplatīt un saņemt informāciju, viedokļus un citus paziņojumus bez iepriekšējas iejaukšanās. Sīkāk vārda brīvības izmantošanu regulē likums. [..]”</w:t>
      </w:r>
    </w:p>
    <w:p w:rsidR="00E2080A" w:rsidRPr="00674C14" w:rsidRDefault="00A03369" w:rsidP="00E2080A">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26</w:t>
      </w:r>
      <w:r w:rsidRPr="00674C14">
        <w:rPr>
          <w:rFonts w:asciiTheme="majorHAnsi" w:hAnsiTheme="majorHAnsi" w:cstheme="majorHAnsi"/>
          <w:noProof/>
        </w:rPr>
        <w:fldChar w:fldCharType="end"/>
      </w:r>
      <w:r w:rsidRPr="00674C14">
        <w:rPr>
          <w:rFonts w:asciiTheme="majorHAnsi" w:hAnsiTheme="majorHAnsi" w:cstheme="majorHAnsi"/>
        </w:rPr>
        <w:t>. Krimināllikuma 24. nodaļas 9. panta pirmajā un otrajā daļā (</w:t>
      </w:r>
      <w:proofErr w:type="spellStart"/>
      <w:r w:rsidRPr="00674C14">
        <w:rPr>
          <w:rStyle w:val="ju-005fpara-002cleft-002cfirst-0020line-003a-0020-00200-0020cm--char"/>
          <w:rFonts w:asciiTheme="majorHAnsi" w:hAnsiTheme="majorHAnsi" w:cstheme="majorHAnsi"/>
          <w:i/>
        </w:rPr>
        <w:t>rikoslaki</w:t>
      </w:r>
      <w:proofErr w:type="spellEnd"/>
      <w:r w:rsidRPr="00674C14">
        <w:rPr>
          <w:rStyle w:val="ju-005fpara-002cleft-002cfirst-0020line-003a-0020-00200-0020cm--char"/>
          <w:rFonts w:asciiTheme="majorHAnsi" w:hAnsiTheme="majorHAnsi" w:cstheme="majorHAnsi"/>
          <w:i/>
        </w:rPr>
        <w:t xml:space="preserve">, </w:t>
      </w:r>
      <w:proofErr w:type="spellStart"/>
      <w:r w:rsidRPr="00674C14">
        <w:rPr>
          <w:rStyle w:val="ju-005fpara-002cleft-002cfirst-0020line-003a-0020-00200-0020cm--char"/>
          <w:rFonts w:asciiTheme="majorHAnsi" w:hAnsiTheme="majorHAnsi" w:cstheme="majorHAnsi"/>
          <w:i/>
        </w:rPr>
        <w:t>strafflagen</w:t>
      </w:r>
      <w:proofErr w:type="spellEnd"/>
      <w:r w:rsidRPr="00674C14">
        <w:rPr>
          <w:rStyle w:val="ju-005fpara-002cleft-002cfirst-0020line-003a-0020-00200-0020cm--char"/>
          <w:rFonts w:asciiTheme="majorHAnsi" w:hAnsiTheme="majorHAnsi" w:cstheme="majorHAnsi"/>
        </w:rPr>
        <w:t xml:space="preserve">; </w:t>
      </w:r>
      <w:r w:rsidRPr="00674C14">
        <w:rPr>
          <w:rFonts w:asciiTheme="majorHAnsi" w:hAnsiTheme="majorHAnsi" w:cstheme="majorHAnsi"/>
        </w:rPr>
        <w:t>Likums Nr. 531/2000) noteikts:</w:t>
      </w:r>
    </w:p>
    <w:p w:rsidR="00E83834" w:rsidRPr="00674C14" w:rsidRDefault="00E2080A" w:rsidP="00E2080A">
      <w:pPr>
        <w:pStyle w:val="JuQuot"/>
        <w:rPr>
          <w:rFonts w:asciiTheme="majorHAnsi" w:hAnsiTheme="majorHAnsi" w:cstheme="majorHAnsi"/>
        </w:rPr>
      </w:pPr>
      <w:r w:rsidRPr="00674C14">
        <w:rPr>
          <w:rFonts w:asciiTheme="majorHAnsi" w:hAnsiTheme="majorHAnsi" w:cstheme="majorHAnsi"/>
        </w:rPr>
        <w:t>“Persona, kas:</w:t>
      </w:r>
    </w:p>
    <w:p w:rsidR="00E2080A" w:rsidRPr="00674C14" w:rsidRDefault="00E2080A" w:rsidP="00E2080A">
      <w:pPr>
        <w:pStyle w:val="JuQuot"/>
        <w:rPr>
          <w:rFonts w:asciiTheme="majorHAnsi" w:hAnsiTheme="majorHAnsi" w:cstheme="majorHAnsi"/>
        </w:rPr>
      </w:pPr>
      <w:r w:rsidRPr="00674C14">
        <w:rPr>
          <w:rFonts w:asciiTheme="majorHAnsi" w:hAnsiTheme="majorHAnsi" w:cstheme="majorHAnsi"/>
        </w:rPr>
        <w:t>1) sniedz nepatiesu informāciju vai izsaka nepatiesu mājienu par citu personu, ar šo darbību veicinot kaitējuma vai ciešanu radīšanu šai personai, vai pakļaujot šo personu nicinājumam; vai</w:t>
      </w:r>
    </w:p>
    <w:p w:rsidR="00E2080A" w:rsidRPr="00674C14" w:rsidRDefault="00E2080A" w:rsidP="00E2080A">
      <w:pPr>
        <w:pStyle w:val="JuQuot"/>
        <w:rPr>
          <w:rFonts w:asciiTheme="majorHAnsi" w:hAnsiTheme="majorHAnsi" w:cstheme="majorHAnsi"/>
        </w:rPr>
      </w:pPr>
      <w:r w:rsidRPr="00674C14">
        <w:rPr>
          <w:rFonts w:asciiTheme="majorHAnsi" w:hAnsiTheme="majorHAnsi" w:cstheme="majorHAnsi"/>
        </w:rPr>
        <w:t>2) noniecina citu personu kā citādi, nekā norādīts 1. punktā,</w:t>
      </w:r>
    </w:p>
    <w:p w:rsidR="00E2080A" w:rsidRPr="00674C14" w:rsidRDefault="00E2080A" w:rsidP="00E2080A">
      <w:pPr>
        <w:pStyle w:val="JuQuot"/>
        <w:rPr>
          <w:rFonts w:asciiTheme="majorHAnsi" w:hAnsiTheme="majorHAnsi" w:cstheme="majorHAnsi"/>
        </w:rPr>
      </w:pPr>
      <w:r w:rsidRPr="00674C14">
        <w:rPr>
          <w:rFonts w:asciiTheme="majorHAnsi" w:hAnsiTheme="majorHAnsi" w:cstheme="majorHAnsi"/>
        </w:rPr>
        <w:t>tiek notiesāta par neslavas celšanu un sodīta ar naudas sodu vai brīvības atņemšanu uz laiku līdz sešiem mēnešiem.</w:t>
      </w:r>
    </w:p>
    <w:p w:rsidR="00E2080A" w:rsidRPr="00674C14" w:rsidRDefault="00E2080A" w:rsidP="00E2080A">
      <w:pPr>
        <w:pStyle w:val="JuQuot"/>
        <w:rPr>
          <w:rFonts w:asciiTheme="majorHAnsi" w:hAnsiTheme="majorHAnsi" w:cstheme="majorHAnsi"/>
        </w:rPr>
      </w:pPr>
      <w:r w:rsidRPr="00674C14">
        <w:rPr>
          <w:rFonts w:asciiTheme="majorHAnsi" w:hAnsiTheme="majorHAnsi" w:cstheme="majorHAnsi"/>
        </w:rPr>
        <w:t xml:space="preserve">Kritika, kas vērsta pret personas darbību politikā, uzņēmējdarbībā, valsts vai publiskā amatā, zinātnē, mākslā vai līdzvērtīgā publiskā darbībā un kas skaidri nepārkāpj </w:t>
      </w:r>
      <w:proofErr w:type="spellStart"/>
      <w:r w:rsidRPr="00674C14">
        <w:rPr>
          <w:rFonts w:asciiTheme="majorHAnsi" w:hAnsiTheme="majorHAnsi" w:cstheme="majorHAnsi"/>
        </w:rPr>
        <w:t>pieņemamības</w:t>
      </w:r>
      <w:proofErr w:type="spellEnd"/>
      <w:r w:rsidRPr="00674C14">
        <w:rPr>
          <w:rFonts w:asciiTheme="majorHAnsi" w:hAnsiTheme="majorHAnsi" w:cstheme="majorHAnsi"/>
        </w:rPr>
        <w:t xml:space="preserve"> robežu, nav uzskatāma par neslavas celšanu atbilstoši pirmās daļas 2. punktam.</w:t>
      </w:r>
    </w:p>
    <w:p w:rsidR="007352DD" w:rsidRPr="00674C14" w:rsidRDefault="00A03369" w:rsidP="007352DD">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27</w:t>
      </w:r>
      <w:r w:rsidRPr="00674C14">
        <w:rPr>
          <w:rFonts w:asciiTheme="majorHAnsi" w:hAnsiTheme="majorHAnsi" w:cstheme="majorHAnsi"/>
          <w:noProof/>
        </w:rPr>
        <w:fldChar w:fldCharType="end"/>
      </w:r>
      <w:r w:rsidRPr="00674C14">
        <w:rPr>
          <w:rFonts w:asciiTheme="majorHAnsi" w:hAnsiTheme="majorHAnsi" w:cstheme="majorHAnsi"/>
        </w:rPr>
        <w:t>. Delikta atbildības likuma (</w:t>
      </w:r>
      <w:proofErr w:type="spellStart"/>
      <w:r w:rsidRPr="00674C14">
        <w:rPr>
          <w:rStyle w:val="ju-005fpara--char"/>
          <w:rFonts w:asciiTheme="majorHAnsi" w:hAnsiTheme="majorHAnsi" w:cstheme="majorHAnsi"/>
          <w:i/>
        </w:rPr>
        <w:t>vahingonkorvauslaki</w:t>
      </w:r>
      <w:proofErr w:type="spellEnd"/>
      <w:r w:rsidRPr="00674C14">
        <w:rPr>
          <w:rStyle w:val="ju-005fpara--char"/>
          <w:rFonts w:asciiTheme="majorHAnsi" w:hAnsiTheme="majorHAnsi" w:cstheme="majorHAnsi"/>
          <w:i/>
        </w:rPr>
        <w:t>,</w:t>
      </w:r>
      <w:r w:rsidRPr="00674C14">
        <w:rPr>
          <w:rFonts w:asciiTheme="majorHAnsi" w:hAnsiTheme="majorHAnsi" w:cstheme="majorHAnsi"/>
        </w:rPr>
        <w:t xml:space="preserve"> </w:t>
      </w:r>
      <w:proofErr w:type="spellStart"/>
      <w:r w:rsidRPr="00674C14">
        <w:rPr>
          <w:rStyle w:val="ju-005fpara--char"/>
          <w:rFonts w:asciiTheme="majorHAnsi" w:hAnsiTheme="majorHAnsi" w:cstheme="majorHAnsi"/>
          <w:i/>
        </w:rPr>
        <w:t>skadeståndslagen</w:t>
      </w:r>
      <w:proofErr w:type="spellEnd"/>
      <w:r w:rsidRPr="00674C14">
        <w:rPr>
          <w:rFonts w:asciiTheme="majorHAnsi" w:hAnsiTheme="majorHAnsi" w:cstheme="majorHAnsi"/>
        </w:rPr>
        <w:t xml:space="preserve">; Likums Nr. 412/1974, kas grozīts ar Likumu Nr. 509/2004) 5. nodaļas 6. pants paredz, ka persona var saņemt atlīdzinājumu par ciešanām, ja </w:t>
      </w:r>
      <w:proofErr w:type="spellStart"/>
      <w:r w:rsidRPr="00674C14">
        <w:rPr>
          <w:rFonts w:asciiTheme="majorHAnsi" w:hAnsiTheme="majorHAnsi" w:cstheme="majorHAnsi"/>
          <w:i/>
        </w:rPr>
        <w:t>inter</w:t>
      </w:r>
      <w:proofErr w:type="spellEnd"/>
      <w:r w:rsidRPr="00674C14">
        <w:rPr>
          <w:rFonts w:asciiTheme="majorHAnsi" w:hAnsiTheme="majorHAnsi" w:cstheme="majorHAnsi"/>
          <w:i/>
        </w:rPr>
        <w:t xml:space="preserve"> </w:t>
      </w:r>
      <w:proofErr w:type="spellStart"/>
      <w:r w:rsidRPr="00674C14">
        <w:rPr>
          <w:rFonts w:asciiTheme="majorHAnsi" w:hAnsiTheme="majorHAnsi" w:cstheme="majorHAnsi"/>
          <w:i/>
        </w:rPr>
        <w:t>alia</w:t>
      </w:r>
      <w:proofErr w:type="spellEnd"/>
      <w:r w:rsidRPr="00674C14">
        <w:rPr>
          <w:rFonts w:asciiTheme="majorHAnsi" w:hAnsiTheme="majorHAnsi" w:cstheme="majorHAnsi"/>
        </w:rPr>
        <w:t xml:space="preserve"> ar sodāmu rīcību aizskarta viņa brīvība, gods, cieņa vai privātā dzīve. Novērtējot šo ciešanu līmeni, jāņem vērā aizskāruma būtība, cietušās personas statuss, attiecības starp likumpārkāpēju un cietušo personu, kā arī iespējamā sabiedrības uzmanības piesaistīšana ar šo aizskārumu.</w:t>
      </w:r>
    </w:p>
    <w:p w:rsidR="00D62997" w:rsidRPr="00674C14" w:rsidRDefault="00A03369" w:rsidP="007352DD">
      <w:pPr>
        <w:pStyle w:val="ECHRPara"/>
        <w:rPr>
          <w:rFonts w:asciiTheme="majorHAnsi" w:hAnsiTheme="majorHAnsi" w:cstheme="majorHAnsi"/>
        </w:rPr>
      </w:pPr>
      <w:r w:rsidRPr="00674C14">
        <w:rPr>
          <w:rFonts w:asciiTheme="majorHAnsi" w:hAnsiTheme="majorHAnsi" w:cstheme="majorHAnsi"/>
        </w:rPr>
        <w:lastRenderedPageBreak/>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28</w:t>
      </w:r>
      <w:r w:rsidRPr="00674C14">
        <w:rPr>
          <w:rFonts w:asciiTheme="majorHAnsi" w:hAnsiTheme="majorHAnsi" w:cstheme="majorHAnsi"/>
          <w:noProof/>
        </w:rPr>
        <w:fldChar w:fldCharType="end"/>
      </w:r>
      <w:r w:rsidRPr="00674C14">
        <w:rPr>
          <w:rFonts w:asciiTheme="majorHAnsi" w:hAnsiTheme="majorHAnsi" w:cstheme="majorHAnsi"/>
        </w:rPr>
        <w:t xml:space="preserve">. Saskaņā ar valdības likumprojektu, ar kuru grozīja Delikta atbildības likumu (HE 116/1998), maksimālais atlīdzinājuma apmērs par sāpēm un ciešanām, kas </w:t>
      </w:r>
      <w:proofErr w:type="spellStart"/>
      <w:r w:rsidRPr="00674C14">
        <w:rPr>
          <w:rFonts w:asciiTheme="majorHAnsi" w:hAnsiTheme="majorHAnsi" w:cstheme="majorHAnsi"/>
          <w:i/>
        </w:rPr>
        <w:t>inter</w:t>
      </w:r>
      <w:proofErr w:type="spellEnd"/>
      <w:r w:rsidRPr="00674C14">
        <w:rPr>
          <w:rFonts w:asciiTheme="majorHAnsi" w:hAnsiTheme="majorHAnsi" w:cstheme="majorHAnsi"/>
          <w:i/>
        </w:rPr>
        <w:t xml:space="preserve"> </w:t>
      </w:r>
      <w:proofErr w:type="spellStart"/>
      <w:r w:rsidRPr="00674C14">
        <w:rPr>
          <w:rFonts w:asciiTheme="majorHAnsi" w:hAnsiTheme="majorHAnsi" w:cstheme="majorHAnsi"/>
          <w:i/>
        </w:rPr>
        <w:t>alia</w:t>
      </w:r>
      <w:proofErr w:type="spellEnd"/>
      <w:r w:rsidRPr="00674C14">
        <w:rPr>
          <w:rFonts w:asciiTheme="majorHAnsi" w:hAnsiTheme="majorHAnsi" w:cstheme="majorHAnsi"/>
        </w:rPr>
        <w:t xml:space="preserve"> radušās no miesas bojājumiem, nesenā pagātnē bija 100 000 FIM (16 819 EUR). Turpmākajā valdības likumprojektā, ar kuru grozīja Delikta atbildības likumu (HE 167/2003,</w:t>
      </w:r>
      <w:r w:rsidR="00EE5610" w:rsidRPr="00674C14">
        <w:rPr>
          <w:rStyle w:val="ju-005fpara--char"/>
          <w:rFonts w:asciiTheme="majorHAnsi" w:hAnsiTheme="majorHAnsi" w:cstheme="majorHAnsi"/>
          <w:i/>
        </w:rPr>
        <w:t xml:space="preserve"> </w:t>
      </w:r>
      <w:r w:rsidRPr="00674C14">
        <w:rPr>
          <w:rFonts w:asciiTheme="majorHAnsi" w:hAnsiTheme="majorHAnsi" w:cstheme="majorHAnsi"/>
        </w:rPr>
        <w:t>60. punkts), norādīts, ka nav ierosinātas nekādas izmaiņas attiecībā uz vispārējo atlīdzinājumu par ciešanām. Atbilstoši Personīgo aizskārumu konsultatīvās padomes (</w:t>
      </w:r>
      <w:proofErr w:type="spellStart"/>
      <w:r w:rsidRPr="00674C14">
        <w:rPr>
          <w:rFonts w:asciiTheme="majorHAnsi" w:hAnsiTheme="majorHAnsi" w:cstheme="majorHAnsi"/>
          <w:i/>
        </w:rPr>
        <w:t>Henkilövahinkoasiain</w:t>
      </w:r>
      <w:proofErr w:type="spellEnd"/>
      <w:r w:rsidRPr="00674C14">
        <w:rPr>
          <w:rFonts w:asciiTheme="majorHAnsi" w:hAnsiTheme="majorHAnsi" w:cstheme="majorHAnsi"/>
          <w:i/>
        </w:rPr>
        <w:t xml:space="preserve"> </w:t>
      </w:r>
      <w:proofErr w:type="spellStart"/>
      <w:r w:rsidRPr="00674C14">
        <w:rPr>
          <w:rFonts w:asciiTheme="majorHAnsi" w:hAnsiTheme="majorHAnsi" w:cstheme="majorHAnsi"/>
          <w:i/>
        </w:rPr>
        <w:t>neuvottelukunta</w:t>
      </w:r>
      <w:proofErr w:type="spellEnd"/>
      <w:r w:rsidRPr="00674C14">
        <w:rPr>
          <w:rFonts w:asciiTheme="majorHAnsi" w:hAnsiTheme="majorHAnsi" w:cstheme="majorHAnsi"/>
          <w:i/>
        </w:rPr>
        <w:t xml:space="preserve">, </w:t>
      </w:r>
      <w:proofErr w:type="spellStart"/>
      <w:r w:rsidRPr="00674C14">
        <w:rPr>
          <w:rFonts w:asciiTheme="majorHAnsi" w:hAnsiTheme="majorHAnsi" w:cstheme="majorHAnsi"/>
          <w:i/>
        </w:rPr>
        <w:t>Delegationen</w:t>
      </w:r>
      <w:proofErr w:type="spellEnd"/>
      <w:r w:rsidRPr="00674C14">
        <w:rPr>
          <w:rFonts w:asciiTheme="majorHAnsi" w:hAnsiTheme="majorHAnsi" w:cstheme="majorHAnsi"/>
          <w:i/>
        </w:rPr>
        <w:t xml:space="preserve"> </w:t>
      </w:r>
      <w:proofErr w:type="spellStart"/>
      <w:r w:rsidRPr="00674C14">
        <w:rPr>
          <w:rFonts w:asciiTheme="majorHAnsi" w:hAnsiTheme="majorHAnsi" w:cstheme="majorHAnsi"/>
          <w:i/>
        </w:rPr>
        <w:t>för</w:t>
      </w:r>
      <w:proofErr w:type="spellEnd"/>
      <w:r w:rsidRPr="00674C14">
        <w:rPr>
          <w:rFonts w:asciiTheme="majorHAnsi" w:hAnsiTheme="majorHAnsi" w:cstheme="majorHAnsi"/>
          <w:i/>
        </w:rPr>
        <w:t xml:space="preserve"> </w:t>
      </w:r>
      <w:proofErr w:type="spellStart"/>
      <w:r w:rsidRPr="00674C14">
        <w:rPr>
          <w:rFonts w:asciiTheme="majorHAnsi" w:hAnsiTheme="majorHAnsi" w:cstheme="majorHAnsi"/>
          <w:i/>
        </w:rPr>
        <w:t>personskade-ärenden</w:t>
      </w:r>
      <w:proofErr w:type="spellEnd"/>
      <w:r w:rsidRPr="00674C14">
        <w:rPr>
          <w:rFonts w:asciiTheme="majorHAnsi" w:hAnsiTheme="majorHAnsi" w:cstheme="majorHAnsi"/>
        </w:rPr>
        <w:t>) ieteikumam 2008. gadā atlīdzinājums par ciešanām neslavas celšanas gadījumā var sasniegt 10 000 EUR, bet gadījumos, kad informācijas izplatīšana pārkāpj personas privātumu – 5000 EUR. No otras puses, maksimālais atlīdzinājuma apmērs, piemēram, par nonāvēšanas aiz neuzmanību vai slepkavības mēģinājumu ir no 3000 EUR līdz 5000 EUR.</w:t>
      </w:r>
    </w:p>
    <w:p w:rsidR="00F71A6A" w:rsidRPr="00674C14" w:rsidRDefault="00F71A6A" w:rsidP="008824B9">
      <w:pPr>
        <w:pStyle w:val="JuHHead"/>
        <w:rPr>
          <w:rFonts w:asciiTheme="majorHAnsi" w:hAnsiTheme="majorHAnsi" w:cstheme="majorHAnsi"/>
        </w:rPr>
      </w:pPr>
      <w:r w:rsidRPr="00674C14">
        <w:rPr>
          <w:rFonts w:asciiTheme="majorHAnsi" w:hAnsiTheme="majorHAnsi" w:cstheme="majorHAnsi"/>
        </w:rPr>
        <w:t>JURIDISKAIS PAMATOJUMS</w:t>
      </w:r>
    </w:p>
    <w:p w:rsidR="00F71A6A" w:rsidRPr="00674C14" w:rsidRDefault="00F71A6A">
      <w:pPr>
        <w:pStyle w:val="JuHIRoman"/>
        <w:rPr>
          <w:rFonts w:asciiTheme="majorHAnsi" w:hAnsiTheme="majorHAnsi" w:cstheme="majorHAnsi"/>
        </w:rPr>
      </w:pPr>
      <w:r w:rsidRPr="00674C14">
        <w:rPr>
          <w:rFonts w:asciiTheme="majorHAnsi" w:hAnsiTheme="majorHAnsi" w:cstheme="majorHAnsi"/>
        </w:rPr>
        <w:t>I. KONVENCIJAS 10. PANTA IESPĒJAMAIS PĀRKĀPUMS</w:t>
      </w:r>
    </w:p>
    <w:p w:rsidR="00F71A6A" w:rsidRPr="00674C14" w:rsidRDefault="00A03369">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29</w:t>
      </w:r>
      <w:r w:rsidRPr="00674C14">
        <w:rPr>
          <w:rFonts w:asciiTheme="majorHAnsi" w:hAnsiTheme="majorHAnsi" w:cstheme="majorHAnsi"/>
          <w:noProof/>
        </w:rPr>
        <w:fldChar w:fldCharType="end"/>
      </w:r>
      <w:r w:rsidRPr="00674C14">
        <w:rPr>
          <w:rFonts w:asciiTheme="majorHAnsi" w:hAnsiTheme="majorHAnsi" w:cstheme="majorHAnsi"/>
        </w:rPr>
        <w:t>. Pieteikuma iesniedzēja sūdzējās, ka pārkāptas viņas tiesības uz vārda brīvību saskaņā ar Konvencijas 10. pantu, kurā noteikts:</w:t>
      </w:r>
    </w:p>
    <w:p w:rsidR="00D05DFD" w:rsidRPr="00674C14" w:rsidRDefault="00D05DFD">
      <w:pPr>
        <w:pStyle w:val="JuQuot"/>
        <w:rPr>
          <w:rFonts w:asciiTheme="majorHAnsi" w:hAnsiTheme="majorHAnsi" w:cstheme="majorHAnsi"/>
        </w:rPr>
      </w:pPr>
      <w:r w:rsidRPr="00674C14">
        <w:rPr>
          <w:rFonts w:asciiTheme="majorHAnsi" w:hAnsiTheme="majorHAnsi" w:cstheme="majorHAnsi"/>
        </w:rPr>
        <w:t>“1. Ikvienam ir tiesības brīvi paust savus uzskatus. Šīs tiesības ietver uzskatu brīvību un tiesības netraucēti saņemt un izplatīt informāciju un idejas bez iejaukšanās no sabiedrisko institūciju puses un neatkarīgi no valstu robežām. Šis pants neapstrīd valstu tiesības pieprasīt radioraidījumu, televīzijas raidījumu un kino demonstrēšanas licencēšanu.</w:t>
      </w:r>
    </w:p>
    <w:p w:rsidR="005B16A8" w:rsidRPr="00674C14" w:rsidRDefault="00D05DFD">
      <w:pPr>
        <w:pStyle w:val="JuQuot"/>
        <w:rPr>
          <w:rFonts w:asciiTheme="majorHAnsi" w:hAnsiTheme="majorHAnsi" w:cstheme="majorHAnsi"/>
        </w:rPr>
      </w:pPr>
      <w:r w:rsidRPr="00674C14">
        <w:rPr>
          <w:rFonts w:asciiTheme="majorHAnsi" w:hAnsiTheme="majorHAnsi" w:cstheme="majorHAnsi"/>
        </w:rPr>
        <w:t>2. Tā kā šo brīvību īstenošana ir saistīta ar pienākumiem un atbildību, tā var tikt pakļauta tādām formalitātēm, nosacījumiem, ierobežojumiem vai sodiem, kas paredzēti likumā un nepieciešami demokrātiskā sabiedrībā, lai aizsargātu valsts drošības, teritoriālās vienotības vai sabiedriskās drošības intereses, nepieļautu nekārtības vai noziegumus, aizsargātu veselību vai morāli, aizsargātu citu cilvēku reputāciju vai tiesības, nepieļautu konfidenciālas informācijas izpaušanu vai lai saglabātu tiesas autoritāti un objektivitāti.”</w:t>
      </w:r>
    </w:p>
    <w:p w:rsidR="00F71A6A" w:rsidRPr="00674C14" w:rsidRDefault="00A03369">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30</w:t>
      </w:r>
      <w:r w:rsidRPr="00674C14">
        <w:rPr>
          <w:rFonts w:asciiTheme="majorHAnsi" w:hAnsiTheme="majorHAnsi" w:cstheme="majorHAnsi"/>
          <w:noProof/>
        </w:rPr>
        <w:fldChar w:fldCharType="end"/>
      </w:r>
      <w:r w:rsidRPr="00674C14">
        <w:rPr>
          <w:rFonts w:asciiTheme="majorHAnsi" w:hAnsiTheme="majorHAnsi" w:cstheme="majorHAnsi"/>
        </w:rPr>
        <w:t>. Valdība šo argumentu apstrīdēja.</w:t>
      </w:r>
    </w:p>
    <w:p w:rsidR="00F71A6A" w:rsidRPr="00674C14" w:rsidRDefault="00F71A6A" w:rsidP="008824B9">
      <w:pPr>
        <w:pStyle w:val="JuHA"/>
        <w:outlineLvl w:val="0"/>
        <w:rPr>
          <w:rFonts w:asciiTheme="majorHAnsi" w:hAnsiTheme="majorHAnsi" w:cstheme="majorHAnsi"/>
        </w:rPr>
      </w:pPr>
      <w:r w:rsidRPr="00674C14">
        <w:rPr>
          <w:rFonts w:asciiTheme="majorHAnsi" w:hAnsiTheme="majorHAnsi" w:cstheme="majorHAnsi"/>
        </w:rPr>
        <w:t xml:space="preserve">A. </w:t>
      </w:r>
      <w:proofErr w:type="spellStart"/>
      <w:r w:rsidRPr="00674C14">
        <w:rPr>
          <w:rFonts w:asciiTheme="majorHAnsi" w:hAnsiTheme="majorHAnsi" w:cstheme="majorHAnsi"/>
        </w:rPr>
        <w:t>Pieņemamība</w:t>
      </w:r>
      <w:proofErr w:type="spellEnd"/>
    </w:p>
    <w:p w:rsidR="00F71A6A" w:rsidRPr="00674C14" w:rsidRDefault="00A03369" w:rsidP="00EB41E9">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31</w:t>
      </w:r>
      <w:r w:rsidRPr="00674C14">
        <w:rPr>
          <w:rFonts w:asciiTheme="majorHAnsi" w:hAnsiTheme="majorHAnsi" w:cstheme="majorHAnsi"/>
          <w:noProof/>
        </w:rPr>
        <w:fldChar w:fldCharType="end"/>
      </w:r>
      <w:r w:rsidRPr="00674C14">
        <w:rPr>
          <w:rFonts w:asciiTheme="majorHAnsi" w:hAnsiTheme="majorHAnsi" w:cstheme="majorHAnsi"/>
        </w:rPr>
        <w:t>. Tiesa norāda, ka šis pieteikums nepārprotami nav nepamatots Konvencijas 35. panta 3. punkta a) apakšpunkta izpratnē. Turklāt Tiesa norāda, ka nav cita pamatojuma šo pieteikumu nepieņemt. Tāpēc tas jāatzīst par pieņemamu.</w:t>
      </w:r>
    </w:p>
    <w:p w:rsidR="00D85B4B" w:rsidRPr="00674C14" w:rsidRDefault="00F71A6A" w:rsidP="00D85B4B">
      <w:pPr>
        <w:pStyle w:val="JuHA"/>
        <w:outlineLvl w:val="0"/>
        <w:rPr>
          <w:rFonts w:asciiTheme="majorHAnsi" w:hAnsiTheme="majorHAnsi" w:cstheme="majorHAnsi"/>
        </w:rPr>
      </w:pPr>
      <w:r w:rsidRPr="00674C14">
        <w:rPr>
          <w:rFonts w:asciiTheme="majorHAnsi" w:hAnsiTheme="majorHAnsi" w:cstheme="majorHAnsi"/>
        </w:rPr>
        <w:t>B. Lietas būtība</w:t>
      </w:r>
    </w:p>
    <w:p w:rsidR="001017F2" w:rsidRPr="00674C14" w:rsidRDefault="001017F2" w:rsidP="00D85B4B">
      <w:pPr>
        <w:pStyle w:val="JuH1"/>
        <w:rPr>
          <w:rFonts w:asciiTheme="majorHAnsi" w:hAnsiTheme="majorHAnsi" w:cstheme="majorHAnsi"/>
        </w:rPr>
      </w:pPr>
      <w:r w:rsidRPr="00674C14">
        <w:rPr>
          <w:rFonts w:asciiTheme="majorHAnsi" w:hAnsiTheme="majorHAnsi" w:cstheme="majorHAnsi"/>
        </w:rPr>
        <w:t>1. Pušu apsvērumi</w:t>
      </w:r>
    </w:p>
    <w:p w:rsidR="00264C0F" w:rsidRPr="00674C14" w:rsidRDefault="00264C0F" w:rsidP="00264C0F">
      <w:pPr>
        <w:pStyle w:val="JuHa0"/>
        <w:rPr>
          <w:rFonts w:asciiTheme="majorHAnsi" w:hAnsiTheme="majorHAnsi" w:cstheme="majorHAnsi"/>
        </w:rPr>
      </w:pPr>
      <w:r w:rsidRPr="00674C14">
        <w:rPr>
          <w:rFonts w:asciiTheme="majorHAnsi" w:hAnsiTheme="majorHAnsi" w:cstheme="majorHAnsi"/>
        </w:rPr>
        <w:t>a) Pieteikuma iesniedzējas apsvērumi</w:t>
      </w:r>
    </w:p>
    <w:p w:rsidR="00B1081F" w:rsidRPr="00674C14" w:rsidRDefault="00A03369" w:rsidP="00B1081F">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32</w:t>
      </w:r>
      <w:r w:rsidRPr="00674C14">
        <w:rPr>
          <w:rFonts w:asciiTheme="majorHAnsi" w:hAnsiTheme="majorHAnsi" w:cstheme="majorHAnsi"/>
          <w:noProof/>
        </w:rPr>
        <w:fldChar w:fldCharType="end"/>
      </w:r>
      <w:r w:rsidRPr="00674C14">
        <w:rPr>
          <w:rFonts w:asciiTheme="majorHAnsi" w:hAnsiTheme="majorHAnsi" w:cstheme="majorHAnsi"/>
        </w:rPr>
        <w:t>. Pieteikuma iesniedzēja uzsvēra, ka Žurnālistu vadlīnijas nav izmantojamas, lai sauktu pie kriminālatbildības vai atbildības par kaitējumu, jo tās sagatavotas tikai profesijas pašregulācijai.</w:t>
      </w:r>
    </w:p>
    <w:p w:rsidR="00372CAB" w:rsidRPr="00674C14" w:rsidRDefault="00A03369">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33</w:t>
      </w:r>
      <w:r w:rsidRPr="00674C14">
        <w:rPr>
          <w:rFonts w:asciiTheme="majorHAnsi" w:hAnsiTheme="majorHAnsi" w:cstheme="majorHAnsi"/>
          <w:noProof/>
        </w:rPr>
        <w:fldChar w:fldCharType="end"/>
      </w:r>
      <w:r w:rsidRPr="00674C14">
        <w:rPr>
          <w:rFonts w:asciiTheme="majorHAnsi" w:hAnsiTheme="majorHAnsi" w:cstheme="majorHAnsi"/>
        </w:rPr>
        <w:t xml:space="preserve">. Pieteikuma iesniedzēja norādīja, ka ne Valdība, ne K. U. nevienā tiesvedības posmā neapgalvoja, ka informācija, kuru pieteikuma iesniedzēja bija iekļāvusi attiecīgajā rakstā, varētu būt bijusi nepatiesa. Kriminālkodeksa teksts nepārprotami parāda, ka apelācijas tiesas spriedums šajā ziņā ir nepareizs. Pieteikuma iesniedzēja nebija uzrakstījusi, ka K. U. ir saistīts ar slepkavu; tā vietā viņa bija uzrakstījusi, ka K. U. ir saistība ar slepkavības upuri, kas bija </w:t>
      </w:r>
      <w:r w:rsidRPr="00674C14">
        <w:rPr>
          <w:rFonts w:asciiTheme="majorHAnsi" w:hAnsiTheme="majorHAnsi" w:cstheme="majorHAnsi"/>
        </w:rPr>
        <w:lastRenderedPageBreak/>
        <w:t>patiesība. No tā nevar secināt, ka K. U. bija saistīts ar slepkavību, kā to nepareizi norādījusi apelācijas tiesa.</w:t>
      </w:r>
    </w:p>
    <w:p w:rsidR="009B3797" w:rsidRPr="00674C14" w:rsidRDefault="00A03369">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34</w:t>
      </w:r>
      <w:r w:rsidRPr="00674C14">
        <w:rPr>
          <w:rFonts w:asciiTheme="majorHAnsi" w:hAnsiTheme="majorHAnsi" w:cstheme="majorHAnsi"/>
          <w:noProof/>
        </w:rPr>
        <w:fldChar w:fldCharType="end"/>
      </w:r>
      <w:r w:rsidRPr="00674C14">
        <w:rPr>
          <w:rFonts w:asciiTheme="majorHAnsi" w:hAnsiTheme="majorHAnsi" w:cstheme="majorHAnsi"/>
        </w:rPr>
        <w:t>. Pieteikuma iesniedzēja apgalvoja, ka apelācijas tiesa nebija ņēmusi vērā Tiesas praksi, kā arī nerada līdzsvaru starp pieteikuma iesniedzējas tiesībām uz vārda brīvību un K. U. tiesībām uz reputāciju. Netika norādīti iemesli, kāpēc bija pārliecinoša sabiedriska vajadzība ierobežot pieteikuma iesniedzējas vārda brīvību, kā arī, kāpēc šāds ierobežojums tika uzskatīts par samērīgu attiecībā uz norādīto likumīgo mērķi. Pieteikuma iesniedzēja apgalvoja, ka Valdība šķita sagaidām: nepieciešams pamatojums informācijas publicēšanai, savukārt Tiesas prakse pierāda pretējo, proti, nepieciešams īpašs pamatojums konkrētas informācijas nepublicēšanai. Pieteikuma iesniedzējas raksts nevarēja aizskart K. U. cieņu jau tāpēc vien, ka šī informācija kā K. U. intervija bija publicēta citā vakara laikrakstā tajā pašā datumā.</w:t>
      </w:r>
    </w:p>
    <w:p w:rsidR="00984A22" w:rsidRPr="00674C14" w:rsidRDefault="00984A22" w:rsidP="00984A22">
      <w:pPr>
        <w:pStyle w:val="JuHa0"/>
        <w:rPr>
          <w:rFonts w:asciiTheme="majorHAnsi" w:hAnsiTheme="majorHAnsi" w:cstheme="majorHAnsi"/>
        </w:rPr>
      </w:pPr>
      <w:r w:rsidRPr="00674C14">
        <w:rPr>
          <w:rFonts w:asciiTheme="majorHAnsi" w:hAnsiTheme="majorHAnsi" w:cstheme="majorHAnsi"/>
        </w:rPr>
        <w:t>b) Valdības apsvērumi</w:t>
      </w:r>
    </w:p>
    <w:p w:rsidR="00E13DD7" w:rsidRPr="00674C14" w:rsidRDefault="00A03369" w:rsidP="00E13DD7">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35</w:t>
      </w:r>
      <w:r w:rsidRPr="00674C14">
        <w:rPr>
          <w:rFonts w:asciiTheme="majorHAnsi" w:hAnsiTheme="majorHAnsi" w:cstheme="majorHAnsi"/>
          <w:noProof/>
        </w:rPr>
        <w:fldChar w:fldCharType="end"/>
      </w:r>
      <w:r w:rsidRPr="00674C14">
        <w:rPr>
          <w:rFonts w:asciiTheme="majorHAnsi" w:hAnsiTheme="majorHAnsi" w:cstheme="majorHAnsi"/>
        </w:rPr>
        <w:t>. Valdība piekrita, ka pret pieteikuma iesniedzēju izvirzītā apsūdzība un pienākums atlīdzināt kaitējumu un izdevumus ir uzskatāms par iejaukšanos viņas tiesībās uz vārda brīvību.</w:t>
      </w:r>
    </w:p>
    <w:p w:rsidR="001478DB" w:rsidRPr="00674C14" w:rsidRDefault="00A03369" w:rsidP="001478DB">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36</w:t>
      </w:r>
      <w:r w:rsidRPr="00674C14">
        <w:rPr>
          <w:rFonts w:asciiTheme="majorHAnsi" w:hAnsiTheme="majorHAnsi" w:cstheme="majorHAnsi"/>
          <w:noProof/>
        </w:rPr>
        <w:fldChar w:fldCharType="end"/>
      </w:r>
      <w:r w:rsidRPr="00674C14">
        <w:rPr>
          <w:rFonts w:asciiTheme="majorHAnsi" w:hAnsiTheme="majorHAnsi" w:cstheme="majorHAnsi"/>
        </w:rPr>
        <w:t xml:space="preserve">. Attiecībā uz prasību, lai līdzekļi būtu “paredzēti tiesību aktos”, Valdība norādīja, ka apstrīdēto līdzekļu juridiskais pamats ir Somijas tiesību akti, proti, </w:t>
      </w:r>
      <w:r w:rsidRPr="00674C14">
        <w:rPr>
          <w:rStyle w:val="JuParaChar"/>
          <w:rFonts w:asciiTheme="majorHAnsi" w:hAnsiTheme="majorHAnsi" w:cstheme="majorHAnsi"/>
        </w:rPr>
        <w:t>Kriminālkodeksa 24. nodaļas 9. pants. Turklāt arī Žurnālistu vadlīnijas</w:t>
      </w:r>
      <w:r w:rsidRPr="00674C14">
        <w:rPr>
          <w:rFonts w:asciiTheme="majorHAnsi" w:hAnsiTheme="majorHAnsi" w:cstheme="majorHAnsi"/>
        </w:rPr>
        <w:t>(</w:t>
      </w:r>
      <w:proofErr w:type="spellStart"/>
      <w:r w:rsidRPr="00674C14">
        <w:rPr>
          <w:rFonts w:asciiTheme="majorHAnsi" w:hAnsiTheme="majorHAnsi" w:cstheme="majorHAnsi"/>
          <w:i/>
        </w:rPr>
        <w:t>Journalistin</w:t>
      </w:r>
      <w:proofErr w:type="spellEnd"/>
      <w:r w:rsidRPr="00674C14">
        <w:rPr>
          <w:rFonts w:asciiTheme="majorHAnsi" w:hAnsiTheme="majorHAnsi" w:cstheme="majorHAnsi"/>
          <w:i/>
        </w:rPr>
        <w:t xml:space="preserve"> </w:t>
      </w:r>
      <w:proofErr w:type="spellStart"/>
      <w:r w:rsidRPr="00674C14">
        <w:rPr>
          <w:rFonts w:asciiTheme="majorHAnsi" w:hAnsiTheme="majorHAnsi" w:cstheme="majorHAnsi"/>
          <w:i/>
        </w:rPr>
        <w:t>ohjeet</w:t>
      </w:r>
      <w:proofErr w:type="spellEnd"/>
      <w:r w:rsidRPr="00674C14">
        <w:rPr>
          <w:rFonts w:asciiTheme="majorHAnsi" w:hAnsiTheme="majorHAnsi" w:cstheme="majorHAnsi"/>
          <w:i/>
        </w:rPr>
        <w:t xml:space="preserve">, </w:t>
      </w:r>
      <w:proofErr w:type="spellStart"/>
      <w:r w:rsidRPr="00674C14">
        <w:rPr>
          <w:rFonts w:asciiTheme="majorHAnsi" w:hAnsiTheme="majorHAnsi" w:cstheme="majorHAnsi"/>
          <w:i/>
          <w:color w:val="000000"/>
        </w:rPr>
        <w:t>Journalistreglerna</w:t>
      </w:r>
      <w:proofErr w:type="spellEnd"/>
      <w:r w:rsidRPr="00674C14">
        <w:rPr>
          <w:rFonts w:asciiTheme="majorHAnsi" w:hAnsiTheme="majorHAnsi" w:cstheme="majorHAnsi"/>
          <w:color w:val="000000"/>
        </w:rPr>
        <w:t xml:space="preserve">) </w:t>
      </w:r>
      <w:r w:rsidRPr="00674C14">
        <w:rPr>
          <w:rStyle w:val="JuParaChar"/>
          <w:rFonts w:asciiTheme="majorHAnsi" w:hAnsiTheme="majorHAnsi" w:cstheme="majorHAnsi"/>
        </w:rPr>
        <w:t xml:space="preserve">regulēja informācijas pareizību. Augstākā tiesa savā praksē pakāpeniski izskaidrojusi iespēju publicēt to personu vārdus, kas tiek turētas aizdomās par noziedzīga nodarījuma izdarīšanu, tomēr pieteikuma iesniedzēja nebija lūgusi juridisku konsultāciju saistībā ar K. U. vārda un fotogrāfijas publicēšanu. Tāpēc Valdība uzskata, ka attiecīgie valsts tiesību akti bija pietiekami precīzi, lai pieteikuma iesniedzēja visai droši šīs lietas apstākļos varētu paredzēt sekas, ko izraisītu viņas rīcība. </w:t>
      </w:r>
      <w:r w:rsidRPr="00674C14">
        <w:rPr>
          <w:rFonts w:asciiTheme="majorHAnsi" w:hAnsiTheme="majorHAnsi" w:cstheme="majorHAnsi"/>
        </w:rPr>
        <w:t>Turklāt likumīgais mērķis bija aizsargāt K. U. reputāciju.</w:t>
      </w:r>
    </w:p>
    <w:p w:rsidR="00394F66" w:rsidRPr="00674C14" w:rsidRDefault="00A03369" w:rsidP="00E13DD7">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37</w:t>
      </w:r>
      <w:r w:rsidRPr="00674C14">
        <w:rPr>
          <w:rFonts w:asciiTheme="majorHAnsi" w:hAnsiTheme="majorHAnsi" w:cstheme="majorHAnsi"/>
          <w:noProof/>
        </w:rPr>
        <w:fldChar w:fldCharType="end"/>
      </w:r>
      <w:r w:rsidRPr="00674C14">
        <w:rPr>
          <w:rFonts w:asciiTheme="majorHAnsi" w:hAnsiTheme="majorHAnsi" w:cstheme="majorHAnsi"/>
        </w:rPr>
        <w:t>. Valdība arī apgalvoja, ka šāda iejaukšanās bija “nepieciešama demokrātiskā sabiedrībā”. Konkrētā raksta virsraksts un teksts netieši saistīja K. U. ar slepkavību, un viņa vārds un fotogrāfija šajā sakarā tika publicēta valsts mērogā. Tādējādi par šo rakstu uzzināja liels skaits cilvēku. Lai gan K. U. par to pašu lietu bija piedāvāta intervija citā vakara laikrakstā, kas tika publicēts tajā pašā datumā, viņš nebija piekritis sava vārda un fotogrāfijas publicēšanai konkrētajā rakstā. Gan rajona tiesa, gan apelācijas tiesa konstatēja: raksts bija radījis kļūdainu iespaidu, ka K. U. bija saistīts ar attiecīgo slepkavību. Pat tas, ka viņš bija amatpersona, nebija attaisnojums, lai radītu iespaidu, ka K. U. ir saistīts ar slepkavību.</w:t>
      </w:r>
    </w:p>
    <w:p w:rsidR="00E13DD7" w:rsidRPr="00674C14" w:rsidRDefault="00A03369" w:rsidP="00E13DD7">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38</w:t>
      </w:r>
      <w:r w:rsidRPr="00674C14">
        <w:rPr>
          <w:rFonts w:asciiTheme="majorHAnsi" w:hAnsiTheme="majorHAnsi" w:cstheme="majorHAnsi"/>
          <w:noProof/>
        </w:rPr>
        <w:fldChar w:fldCharType="end"/>
      </w:r>
      <w:r w:rsidRPr="00674C14">
        <w:rPr>
          <w:rFonts w:asciiTheme="majorHAnsi" w:hAnsiTheme="majorHAnsi" w:cstheme="majorHAnsi"/>
        </w:rPr>
        <w:t>. Attiecībā uz piespriesto naudas sodu un atlīdzinājuma summu Valdība norādīja, ka tā ir ievērojami zemāka nekā dažās citās iepriekšējās Somijas lietās, uz kurām attiecas 10. pants. Paturot prātā izvēles brīvību, Valdība apgalvoja, ka šajā gadījumā iejaukšanās bijusi “nepieciešama demokrātiskā sabiedrībā”.</w:t>
      </w:r>
    </w:p>
    <w:p w:rsidR="001017F2" w:rsidRPr="00674C14" w:rsidRDefault="001017F2" w:rsidP="001017F2">
      <w:pPr>
        <w:pStyle w:val="JuH1"/>
        <w:rPr>
          <w:rFonts w:asciiTheme="majorHAnsi" w:hAnsiTheme="majorHAnsi" w:cstheme="majorHAnsi"/>
        </w:rPr>
      </w:pPr>
      <w:r w:rsidRPr="00674C14">
        <w:rPr>
          <w:rFonts w:asciiTheme="majorHAnsi" w:hAnsiTheme="majorHAnsi" w:cstheme="majorHAnsi"/>
        </w:rPr>
        <w:t>2. Tiesas vērtējums</w:t>
      </w:r>
    </w:p>
    <w:p w:rsidR="00984A22" w:rsidRPr="00674C14" w:rsidRDefault="00984A22" w:rsidP="00984A22">
      <w:pPr>
        <w:pStyle w:val="JuHa0"/>
        <w:rPr>
          <w:rFonts w:asciiTheme="majorHAnsi" w:hAnsiTheme="majorHAnsi" w:cstheme="majorHAnsi"/>
        </w:rPr>
      </w:pPr>
      <w:r w:rsidRPr="00674C14">
        <w:rPr>
          <w:rFonts w:asciiTheme="majorHAnsi" w:hAnsiTheme="majorHAnsi" w:cstheme="majorHAnsi"/>
        </w:rPr>
        <w:t>1. Vai ir notikusi iejaukšanās?</w:t>
      </w:r>
    </w:p>
    <w:p w:rsidR="00984A22" w:rsidRPr="00674C14" w:rsidRDefault="00A03369" w:rsidP="00984A22">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39</w:t>
      </w:r>
      <w:r w:rsidRPr="00674C14">
        <w:rPr>
          <w:rFonts w:asciiTheme="majorHAnsi" w:hAnsiTheme="majorHAnsi" w:cstheme="majorHAnsi"/>
          <w:noProof/>
        </w:rPr>
        <w:fldChar w:fldCharType="end"/>
      </w:r>
      <w:r w:rsidRPr="00674C14">
        <w:rPr>
          <w:rFonts w:asciiTheme="majorHAnsi" w:hAnsiTheme="majorHAnsi" w:cstheme="majorHAnsi"/>
        </w:rPr>
        <w:t xml:space="preserve">. Tiesa piekrīt, ka pieteikuma iesniedzējas notiesāšana un piespriestais atlīdzinājums un izdevumi bija iejaukšanās viņas tiesībās uz vārda brīvību, ko garantē Konvencijas </w:t>
      </w:r>
      <w:bookmarkStart w:id="2" w:name="HIT11"/>
      <w:bookmarkEnd w:id="2"/>
      <w:r w:rsidRPr="00674C14">
        <w:rPr>
          <w:rFonts w:asciiTheme="majorHAnsi" w:hAnsiTheme="majorHAnsi" w:cstheme="majorHAnsi"/>
        </w:rPr>
        <w:t>10. panta 1. punkts.</w:t>
      </w:r>
    </w:p>
    <w:p w:rsidR="00984A22" w:rsidRPr="00674C14" w:rsidRDefault="00984A22" w:rsidP="00B31FEB">
      <w:pPr>
        <w:pStyle w:val="JuHa0"/>
        <w:rPr>
          <w:rFonts w:asciiTheme="majorHAnsi" w:hAnsiTheme="majorHAnsi" w:cstheme="majorHAnsi"/>
        </w:rPr>
      </w:pPr>
      <w:r w:rsidRPr="00674C14">
        <w:rPr>
          <w:rFonts w:asciiTheme="majorHAnsi" w:hAnsiTheme="majorHAnsi" w:cstheme="majorHAnsi"/>
        </w:rPr>
        <w:t>2. Vai iejaukšanās bija paredzēta likumā un tai bija likumīgs mērķis?</w:t>
      </w:r>
    </w:p>
    <w:p w:rsidR="00290F01" w:rsidRPr="00674C14" w:rsidRDefault="00A03369" w:rsidP="00290F01">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40</w:t>
      </w:r>
      <w:r w:rsidRPr="00674C14">
        <w:rPr>
          <w:rFonts w:asciiTheme="majorHAnsi" w:hAnsiTheme="majorHAnsi" w:cstheme="majorHAnsi"/>
          <w:noProof/>
        </w:rPr>
        <w:fldChar w:fldCharType="end"/>
      </w:r>
      <w:r w:rsidRPr="00674C14">
        <w:rPr>
          <w:rFonts w:asciiTheme="majorHAnsi" w:hAnsiTheme="majorHAnsi" w:cstheme="majorHAnsi"/>
        </w:rPr>
        <w:t xml:space="preserve">. Tiesa norāda, ka pēc Valdības teiktā apstrīdēto līdzekļu juridiskais pamats ir Somijas tiesību akti, proti, </w:t>
      </w:r>
      <w:r w:rsidRPr="00674C14">
        <w:rPr>
          <w:rStyle w:val="ju-005fpara-0020char--char"/>
          <w:rFonts w:asciiTheme="majorHAnsi" w:hAnsiTheme="majorHAnsi" w:cstheme="majorHAnsi"/>
        </w:rPr>
        <w:t xml:space="preserve">Kriminālkodeksa 24. nodaļas 9. pants. Turklāt šī iejaukšanās, par kuru sūdzējās pieteikuma iesniedzēja, bija saistīta ar likumīgu mērķi, proti, aizsargāt citu personu reputāciju vai tiesības. </w:t>
      </w:r>
      <w:r w:rsidRPr="00674C14">
        <w:rPr>
          <w:rFonts w:asciiTheme="majorHAnsi" w:hAnsiTheme="majorHAnsi" w:cstheme="majorHAnsi"/>
        </w:rPr>
        <w:t>Pieteikuma iesniedzēja to neapstrīdēja.</w:t>
      </w:r>
    </w:p>
    <w:p w:rsidR="00984A22" w:rsidRPr="00674C14" w:rsidRDefault="00A03369" w:rsidP="00290F01">
      <w:pPr>
        <w:pStyle w:val="ECHRPara"/>
        <w:rPr>
          <w:rFonts w:asciiTheme="majorHAnsi" w:hAnsiTheme="majorHAnsi" w:cstheme="majorHAnsi"/>
        </w:rPr>
      </w:pPr>
      <w:r w:rsidRPr="00674C14">
        <w:rPr>
          <w:rFonts w:asciiTheme="majorHAnsi" w:hAnsiTheme="majorHAnsi" w:cstheme="majorHAnsi"/>
        </w:rPr>
        <w:lastRenderedPageBreak/>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41</w:t>
      </w:r>
      <w:r w:rsidRPr="00674C14">
        <w:rPr>
          <w:rFonts w:asciiTheme="majorHAnsi" w:hAnsiTheme="majorHAnsi" w:cstheme="majorHAnsi"/>
          <w:noProof/>
        </w:rPr>
        <w:fldChar w:fldCharType="end"/>
      </w:r>
      <w:r w:rsidRPr="00674C14">
        <w:rPr>
          <w:rFonts w:asciiTheme="majorHAnsi" w:hAnsiTheme="majorHAnsi" w:cstheme="majorHAnsi"/>
        </w:rPr>
        <w:t xml:space="preserve">. Tiesa norāda, ka uz vārda brīvību attiecas izņēmumi, kas izklāstīti Konvencijas </w:t>
      </w:r>
      <w:bookmarkStart w:id="3" w:name="HIT12"/>
      <w:bookmarkEnd w:id="3"/>
      <w:r w:rsidRPr="00674C14">
        <w:rPr>
          <w:rFonts w:asciiTheme="majorHAnsi" w:hAnsiTheme="majorHAnsi" w:cstheme="majorHAnsi"/>
        </w:rPr>
        <w:t>10. panta 2. punktā. Tiesa piekrīt, ka iejaukšanās juridiskais pamats bija Krimināllikuma 24. nodaļas 9. pants, kas bija spēkā konkrētajā laikposmā. Tādējādi tā bija “paredzēta tiesību aktos” (skat. lietas “</w:t>
      </w:r>
      <w:proofErr w:type="spellStart"/>
      <w:r w:rsidRPr="00674C14">
        <w:rPr>
          <w:rFonts w:asciiTheme="majorHAnsi" w:hAnsiTheme="majorHAnsi" w:cstheme="majorHAnsi"/>
        </w:rPr>
        <w:t>Nikula</w:t>
      </w:r>
      <w:proofErr w:type="spellEnd"/>
      <w:r w:rsidRPr="00674C14">
        <w:rPr>
          <w:rFonts w:asciiTheme="majorHAnsi" w:hAnsiTheme="majorHAnsi" w:cstheme="majorHAnsi"/>
        </w:rPr>
        <w:t xml:space="preserve"> [</w:t>
      </w:r>
      <w:proofErr w:type="spellStart"/>
      <w:r w:rsidRPr="00674C14">
        <w:rPr>
          <w:rFonts w:asciiTheme="majorHAnsi" w:hAnsiTheme="majorHAnsi" w:cstheme="majorHAnsi"/>
          <w:i/>
        </w:rPr>
        <w:t>Nikula</w:t>
      </w:r>
      <w:proofErr w:type="spellEnd"/>
      <w:r w:rsidRPr="00674C14">
        <w:rPr>
          <w:rFonts w:asciiTheme="majorHAnsi" w:hAnsiTheme="majorHAnsi" w:cstheme="majorHAnsi"/>
        </w:rPr>
        <w:t xml:space="preserve">] pret </w:t>
      </w:r>
      <w:bookmarkStart w:id="4" w:name="HIT13"/>
      <w:bookmarkEnd w:id="4"/>
      <w:r w:rsidRPr="00674C14">
        <w:rPr>
          <w:rFonts w:asciiTheme="majorHAnsi" w:hAnsiTheme="majorHAnsi" w:cstheme="majorHAnsi"/>
        </w:rPr>
        <w:t>Somiju”, Nr. 31611/96, 34. punktu, ECT 2002-II; lietas “</w:t>
      </w:r>
      <w:proofErr w:type="spellStart"/>
      <w:r w:rsidRPr="00674C14">
        <w:rPr>
          <w:rFonts w:asciiTheme="majorHAnsi" w:hAnsiTheme="majorHAnsi" w:cstheme="majorHAnsi"/>
        </w:rPr>
        <w:t>Seliste</w:t>
      </w:r>
      <w:proofErr w:type="spellEnd"/>
      <w:r w:rsidRPr="00674C14">
        <w:rPr>
          <w:rFonts w:asciiTheme="majorHAnsi" w:hAnsiTheme="majorHAnsi" w:cstheme="majorHAnsi"/>
        </w:rPr>
        <w:t xml:space="preserve"> [</w:t>
      </w:r>
      <w:proofErr w:type="spellStart"/>
      <w:r w:rsidRPr="00674C14">
        <w:rPr>
          <w:rFonts w:asciiTheme="majorHAnsi" w:hAnsiTheme="majorHAnsi" w:cstheme="majorHAnsi"/>
          <w:i/>
        </w:rPr>
        <w:t>Selistö</w:t>
      </w:r>
      <w:proofErr w:type="spellEnd"/>
      <w:r w:rsidRPr="00674C14">
        <w:rPr>
          <w:rFonts w:asciiTheme="majorHAnsi" w:hAnsiTheme="majorHAnsi" w:cstheme="majorHAnsi"/>
        </w:rPr>
        <w:t xml:space="preserve">] pret </w:t>
      </w:r>
      <w:bookmarkStart w:id="5" w:name="HIT14"/>
      <w:bookmarkEnd w:id="5"/>
      <w:r w:rsidRPr="00674C14">
        <w:rPr>
          <w:rFonts w:asciiTheme="majorHAnsi" w:hAnsiTheme="majorHAnsi" w:cstheme="majorHAnsi"/>
        </w:rPr>
        <w:t>Somiju”, Nr. 56767/00, 34. punktu, 2004. gada 16. novembris; lietas “</w:t>
      </w:r>
      <w:proofErr w:type="spellStart"/>
      <w:r w:rsidRPr="00674C14">
        <w:rPr>
          <w:rFonts w:asciiTheme="majorHAnsi" w:hAnsiTheme="majorHAnsi" w:cstheme="majorHAnsi"/>
        </w:rPr>
        <w:t>Karhuvāra</w:t>
      </w:r>
      <w:proofErr w:type="spellEnd"/>
      <w:r w:rsidRPr="00674C14">
        <w:rPr>
          <w:rFonts w:asciiTheme="majorHAnsi" w:hAnsiTheme="majorHAnsi" w:cstheme="majorHAnsi"/>
        </w:rPr>
        <w:t xml:space="preserve"> [</w:t>
      </w:r>
      <w:proofErr w:type="spellStart"/>
      <w:r w:rsidRPr="00674C14">
        <w:rPr>
          <w:rFonts w:asciiTheme="majorHAnsi" w:hAnsiTheme="majorHAnsi" w:cstheme="majorHAnsi"/>
          <w:i/>
        </w:rPr>
        <w:t>Karhuvaara</w:t>
      </w:r>
      <w:proofErr w:type="spellEnd"/>
      <w:r w:rsidRPr="00674C14">
        <w:rPr>
          <w:rFonts w:asciiTheme="majorHAnsi" w:hAnsiTheme="majorHAnsi" w:cstheme="majorHAnsi"/>
        </w:rPr>
        <w:t xml:space="preserve">] un </w:t>
      </w:r>
      <w:proofErr w:type="spellStart"/>
      <w:r w:rsidRPr="00674C14">
        <w:rPr>
          <w:rFonts w:asciiTheme="majorHAnsi" w:hAnsiTheme="majorHAnsi" w:cstheme="majorHAnsi"/>
        </w:rPr>
        <w:t>Iltalehti</w:t>
      </w:r>
      <w:proofErr w:type="spellEnd"/>
      <w:r w:rsidRPr="00674C14">
        <w:rPr>
          <w:rFonts w:asciiTheme="majorHAnsi" w:hAnsiTheme="majorHAnsi" w:cstheme="majorHAnsi"/>
        </w:rPr>
        <w:t xml:space="preserve"> [</w:t>
      </w:r>
      <w:proofErr w:type="spellStart"/>
      <w:r w:rsidRPr="00674C14">
        <w:rPr>
          <w:rFonts w:asciiTheme="majorHAnsi" w:hAnsiTheme="majorHAnsi" w:cstheme="majorHAnsi"/>
          <w:i/>
        </w:rPr>
        <w:t>Iltalehti</w:t>
      </w:r>
      <w:proofErr w:type="spellEnd"/>
      <w:r w:rsidRPr="00674C14">
        <w:rPr>
          <w:rFonts w:asciiTheme="majorHAnsi" w:hAnsiTheme="majorHAnsi" w:cstheme="majorHAnsi"/>
        </w:rPr>
        <w:t xml:space="preserve">] pret </w:t>
      </w:r>
      <w:bookmarkStart w:id="6" w:name="HIT15"/>
      <w:bookmarkEnd w:id="6"/>
      <w:r w:rsidRPr="00674C14">
        <w:rPr>
          <w:rFonts w:asciiTheme="majorHAnsi" w:hAnsiTheme="majorHAnsi" w:cstheme="majorHAnsi"/>
        </w:rPr>
        <w:t>Somiju”, Nr. 53678/00, 43. punktu, ECT 2004-X; un lietas “</w:t>
      </w:r>
      <w:proofErr w:type="spellStart"/>
      <w:r w:rsidRPr="00674C14">
        <w:rPr>
          <w:rFonts w:asciiTheme="majorHAnsi" w:hAnsiTheme="majorHAnsi" w:cstheme="majorHAnsi"/>
        </w:rPr>
        <w:t>Ērikeinins</w:t>
      </w:r>
      <w:proofErr w:type="spellEnd"/>
      <w:r w:rsidRPr="00674C14">
        <w:rPr>
          <w:rFonts w:asciiTheme="majorHAnsi" w:hAnsiTheme="majorHAnsi" w:cstheme="majorHAnsi"/>
        </w:rPr>
        <w:t xml:space="preserve"> [</w:t>
      </w:r>
      <w:proofErr w:type="spellStart"/>
      <w:r w:rsidRPr="00674C14">
        <w:rPr>
          <w:rFonts w:asciiTheme="majorHAnsi" w:hAnsiTheme="majorHAnsi" w:cstheme="majorHAnsi"/>
          <w:i/>
        </w:rPr>
        <w:t>Eerikäinen</w:t>
      </w:r>
      <w:proofErr w:type="spellEnd"/>
      <w:r w:rsidRPr="00674C14">
        <w:rPr>
          <w:rFonts w:asciiTheme="majorHAnsi" w:hAnsiTheme="majorHAnsi" w:cstheme="majorHAnsi"/>
        </w:rPr>
        <w:t xml:space="preserve">] un citi pret </w:t>
      </w:r>
      <w:bookmarkStart w:id="7" w:name="HIT16"/>
      <w:bookmarkEnd w:id="7"/>
      <w:r w:rsidRPr="00674C14">
        <w:rPr>
          <w:rFonts w:asciiTheme="majorHAnsi" w:hAnsiTheme="majorHAnsi" w:cstheme="majorHAnsi"/>
        </w:rPr>
        <w:t xml:space="preserve">Somiju”, Nr. 3514/02, 58. punktu, </w:t>
      </w:r>
      <w:bookmarkStart w:id="8" w:name="HIT17"/>
      <w:bookmarkEnd w:id="8"/>
      <w:r w:rsidRPr="00674C14">
        <w:rPr>
          <w:rFonts w:asciiTheme="majorHAnsi" w:hAnsiTheme="majorHAnsi" w:cstheme="majorHAnsi"/>
        </w:rPr>
        <w:t xml:space="preserve">2009. gada 10. februāris), un tai bija likumīgs mērķis aizsargāt citu personu reputāciju vai cieņu Konvencijas </w:t>
      </w:r>
      <w:bookmarkStart w:id="9" w:name="HIT18"/>
      <w:bookmarkEnd w:id="9"/>
      <w:r w:rsidRPr="00674C14">
        <w:rPr>
          <w:rFonts w:asciiTheme="majorHAnsi" w:hAnsiTheme="majorHAnsi" w:cstheme="majorHAnsi"/>
        </w:rPr>
        <w:t>10. panta 2. punkta izpratnē.</w:t>
      </w:r>
    </w:p>
    <w:p w:rsidR="00984A22" w:rsidRPr="00674C14" w:rsidRDefault="00984A22" w:rsidP="000A6212">
      <w:pPr>
        <w:pStyle w:val="JuHa0"/>
        <w:rPr>
          <w:rFonts w:asciiTheme="majorHAnsi" w:hAnsiTheme="majorHAnsi" w:cstheme="majorHAnsi"/>
        </w:rPr>
      </w:pPr>
      <w:r w:rsidRPr="00674C14">
        <w:rPr>
          <w:rFonts w:asciiTheme="majorHAnsi" w:hAnsiTheme="majorHAnsi" w:cstheme="majorHAnsi"/>
        </w:rPr>
        <w:t>3. Vai iejaukšanās bija nepieciešama demokrātiskā sabiedrībā?</w:t>
      </w:r>
    </w:p>
    <w:p w:rsidR="00A2594A" w:rsidRPr="00674C14" w:rsidRDefault="009E58E7" w:rsidP="00A2594A">
      <w:pPr>
        <w:pStyle w:val="ECHRPara"/>
        <w:rPr>
          <w:rFonts w:asciiTheme="majorHAnsi" w:hAnsiTheme="majorHAnsi" w:cstheme="majorHAnsi"/>
        </w:rPr>
      </w:pPr>
      <w:r w:rsidRPr="00674C14">
        <w:rPr>
          <w:rStyle w:val="JuParaChar"/>
          <w:rFonts w:asciiTheme="majorHAnsi" w:hAnsiTheme="majorHAnsi" w:cstheme="majorHAnsi"/>
        </w:rPr>
        <w:fldChar w:fldCharType="begin"/>
      </w:r>
      <w:r w:rsidRPr="00674C14">
        <w:rPr>
          <w:rStyle w:val="JuParaChar"/>
          <w:rFonts w:asciiTheme="majorHAnsi" w:hAnsiTheme="majorHAnsi" w:cstheme="majorHAnsi"/>
        </w:rPr>
        <w:instrText xml:space="preserve"> SEQ level0 \*arabic </w:instrText>
      </w:r>
      <w:r w:rsidRPr="00674C14">
        <w:rPr>
          <w:rStyle w:val="JuParaChar"/>
          <w:rFonts w:asciiTheme="majorHAnsi" w:hAnsiTheme="majorHAnsi" w:cstheme="majorHAnsi"/>
        </w:rPr>
        <w:fldChar w:fldCharType="separate"/>
      </w:r>
      <w:r w:rsidR="004B422D" w:rsidRPr="00674C14">
        <w:rPr>
          <w:rStyle w:val="JuParaChar"/>
          <w:rFonts w:asciiTheme="majorHAnsi" w:hAnsiTheme="majorHAnsi" w:cstheme="majorHAnsi"/>
          <w:noProof/>
        </w:rPr>
        <w:t>42</w:t>
      </w:r>
      <w:r w:rsidRPr="00674C14">
        <w:rPr>
          <w:rStyle w:val="JuParaChar"/>
          <w:rFonts w:asciiTheme="majorHAnsi" w:hAnsiTheme="majorHAnsi" w:cstheme="majorHAnsi"/>
        </w:rPr>
        <w:fldChar w:fldCharType="end"/>
      </w:r>
      <w:r w:rsidRPr="00674C14">
        <w:rPr>
          <w:rStyle w:val="JuParaChar"/>
          <w:rFonts w:asciiTheme="majorHAnsi" w:hAnsiTheme="majorHAnsi" w:cstheme="majorHAnsi"/>
        </w:rPr>
        <w:t xml:space="preserve">. Saskaņā ar Tiesas nostiprināto praksi vārda brīvība ir viens no būtiskākajiem demokrātiskas sabiedrības pamatiem, kā arī viens no tās attīstības un katra indivīda pašpiepildījuma pamatnosacījumiem. </w:t>
      </w:r>
      <w:r w:rsidRPr="00674C14">
        <w:rPr>
          <w:rFonts w:asciiTheme="majorHAnsi" w:hAnsiTheme="majorHAnsi" w:cstheme="majorHAnsi"/>
        </w:rPr>
        <w:t xml:space="preserve">Atbilstoši Konvencijas </w:t>
      </w:r>
      <w:bookmarkStart w:id="10" w:name="HIT19"/>
      <w:bookmarkEnd w:id="10"/>
      <w:r w:rsidRPr="00674C14">
        <w:rPr>
          <w:rFonts w:asciiTheme="majorHAnsi" w:hAnsiTheme="majorHAnsi" w:cstheme="majorHAnsi"/>
        </w:rPr>
        <w:t xml:space="preserve">10. panta 2. punktam tas attiecas ne tikai uz to “informāciju” vai “idejām”, kas tiek uzņemtas labvēlīgi vai uztvertas kā neaizskarošas vai vienaldzīgas, bet arī uz tām, kuras aizvaino, šokē vai traucē. To paredz tādi principi kā plurālisms, iecietība un liberālisms, bez kuriem nepastāv “demokrātiska sabiedrība”. Uz šo brīvību attiecas </w:t>
      </w:r>
      <w:bookmarkStart w:id="11" w:name="HIT20"/>
      <w:bookmarkEnd w:id="11"/>
      <w:r w:rsidRPr="00674C14">
        <w:rPr>
          <w:rFonts w:asciiTheme="majorHAnsi" w:hAnsiTheme="majorHAnsi" w:cstheme="majorHAnsi"/>
        </w:rPr>
        <w:t>10. panta 2. punktā noteiktie izņēmumi, kas tomēr jāinterpretē šaurā nozīmē. Ierobežojumu nepieciešamība ir jākonstatē pārliecinoši (skat., piemēram, lietas “</w:t>
      </w:r>
      <w:proofErr w:type="spellStart"/>
      <w:r w:rsidRPr="00674C14">
        <w:rPr>
          <w:rFonts w:asciiTheme="majorHAnsi" w:hAnsiTheme="majorHAnsi" w:cstheme="majorHAnsi"/>
        </w:rPr>
        <w:t>Lingenss</w:t>
      </w:r>
      <w:proofErr w:type="spellEnd"/>
      <w:r w:rsidRPr="00674C14">
        <w:rPr>
          <w:rFonts w:asciiTheme="majorHAnsi" w:hAnsiTheme="majorHAnsi" w:cstheme="majorHAnsi"/>
        </w:rPr>
        <w:t xml:space="preserve"> [</w:t>
      </w:r>
      <w:proofErr w:type="spellStart"/>
      <w:r w:rsidRPr="00674C14">
        <w:rPr>
          <w:rFonts w:asciiTheme="majorHAnsi" w:hAnsiTheme="majorHAnsi" w:cstheme="majorHAnsi"/>
          <w:i/>
        </w:rPr>
        <w:t>Lingens</w:t>
      </w:r>
      <w:proofErr w:type="spellEnd"/>
      <w:r w:rsidRPr="00674C14">
        <w:rPr>
          <w:rFonts w:asciiTheme="majorHAnsi" w:hAnsiTheme="majorHAnsi" w:cstheme="majorHAnsi"/>
        </w:rPr>
        <w:t>] pret Austriju”, 1986. gada 8. jūlijs, 41. punktu, A sērija Nr. 103; un lietas “Nīlsens [</w:t>
      </w:r>
      <w:proofErr w:type="spellStart"/>
      <w:r w:rsidRPr="00674C14">
        <w:rPr>
          <w:rFonts w:asciiTheme="majorHAnsi" w:hAnsiTheme="majorHAnsi" w:cstheme="majorHAnsi"/>
          <w:i/>
        </w:rPr>
        <w:t>Nilsen</w:t>
      </w:r>
      <w:proofErr w:type="spellEnd"/>
      <w:r w:rsidRPr="00674C14">
        <w:rPr>
          <w:rFonts w:asciiTheme="majorHAnsi" w:hAnsiTheme="majorHAnsi" w:cstheme="majorHAnsi"/>
        </w:rPr>
        <w:t xml:space="preserve">] un </w:t>
      </w:r>
      <w:proofErr w:type="spellStart"/>
      <w:r w:rsidRPr="00674C14">
        <w:rPr>
          <w:rFonts w:asciiTheme="majorHAnsi" w:hAnsiTheme="majorHAnsi" w:cstheme="majorHAnsi"/>
        </w:rPr>
        <w:t>Jonsens</w:t>
      </w:r>
      <w:proofErr w:type="spellEnd"/>
      <w:r w:rsidRPr="00674C14">
        <w:rPr>
          <w:rFonts w:asciiTheme="majorHAnsi" w:hAnsiTheme="majorHAnsi" w:cstheme="majorHAnsi"/>
        </w:rPr>
        <w:t xml:space="preserve"> [</w:t>
      </w:r>
      <w:proofErr w:type="spellStart"/>
      <w:r w:rsidRPr="00674C14">
        <w:rPr>
          <w:rFonts w:asciiTheme="majorHAnsi" w:hAnsiTheme="majorHAnsi" w:cstheme="majorHAnsi"/>
          <w:i/>
        </w:rPr>
        <w:t>Johnsen</w:t>
      </w:r>
      <w:proofErr w:type="spellEnd"/>
      <w:r w:rsidRPr="00674C14">
        <w:rPr>
          <w:rFonts w:asciiTheme="majorHAnsi" w:hAnsiTheme="majorHAnsi" w:cstheme="majorHAnsi"/>
        </w:rPr>
        <w:t>] pret Norvēģiju” [LP], Nr. 23118/93, 43. punktu, ECT 1999-VIII).</w:t>
      </w:r>
    </w:p>
    <w:p w:rsidR="00A2594A" w:rsidRPr="00674C14" w:rsidRDefault="00A03369" w:rsidP="00A2594A">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43</w:t>
      </w:r>
      <w:r w:rsidRPr="00674C14">
        <w:rPr>
          <w:rFonts w:asciiTheme="majorHAnsi" w:hAnsiTheme="majorHAnsi" w:cstheme="majorHAnsi"/>
          <w:noProof/>
        </w:rPr>
        <w:fldChar w:fldCharType="end"/>
      </w:r>
      <w:r w:rsidRPr="00674C14">
        <w:rPr>
          <w:rFonts w:asciiTheme="majorHAnsi" w:hAnsiTheme="majorHAnsi" w:cstheme="majorHAnsi"/>
        </w:rPr>
        <w:t xml:space="preserve">. Īpašības vārds “nepieciešams” </w:t>
      </w:r>
      <w:bookmarkStart w:id="12" w:name="HIT21"/>
      <w:bookmarkEnd w:id="12"/>
      <w:r w:rsidRPr="00674C14">
        <w:rPr>
          <w:rFonts w:asciiTheme="majorHAnsi" w:hAnsiTheme="majorHAnsi" w:cstheme="majorHAnsi"/>
        </w:rPr>
        <w:t xml:space="preserve">10. panta 2. punkta izpratnē norāda uz to, ka pastāv “neatliekama sabiedriska vajadzība”. Līgumslēdzējām valstīm ir zināma rīcības brīvība novērtēt, vai ir šāda vajadzība, tomēr tas jādara līdztekus pārraudzībai Eiropas līmenī gan attiecībā uz tiesību aktiem, gan lēmumiem, ar kuriem tos piemēro, tostarp lēmumiem, kurus izsludinājusi neatkarīga tiesa. Tāpēc Tiesa ir pilnvarota pieņemt galīgo lēmumu par to, vai “ierobežojums” atbilst vārda brīvības principam, ko aizsargā </w:t>
      </w:r>
      <w:bookmarkStart w:id="13" w:name="HIT22"/>
      <w:bookmarkEnd w:id="13"/>
      <w:r w:rsidRPr="00674C14">
        <w:rPr>
          <w:rFonts w:asciiTheme="majorHAnsi" w:hAnsiTheme="majorHAnsi" w:cstheme="majorHAnsi"/>
        </w:rPr>
        <w:t>10. pants (skat. lietas “</w:t>
      </w:r>
      <w:proofErr w:type="spellStart"/>
      <w:r w:rsidRPr="00674C14">
        <w:rPr>
          <w:rFonts w:asciiTheme="majorHAnsi" w:hAnsiTheme="majorHAnsi" w:cstheme="majorHAnsi"/>
        </w:rPr>
        <w:t>Janovskis</w:t>
      </w:r>
      <w:proofErr w:type="spellEnd"/>
      <w:r w:rsidRPr="00674C14">
        <w:rPr>
          <w:rFonts w:asciiTheme="majorHAnsi" w:hAnsiTheme="majorHAnsi" w:cstheme="majorHAnsi"/>
        </w:rPr>
        <w:t xml:space="preserve"> [</w:t>
      </w:r>
      <w:proofErr w:type="spellStart"/>
      <w:r w:rsidRPr="00674C14">
        <w:rPr>
          <w:rFonts w:asciiTheme="majorHAnsi" w:hAnsiTheme="majorHAnsi" w:cstheme="majorHAnsi"/>
          <w:i/>
        </w:rPr>
        <w:t>Janowski</w:t>
      </w:r>
      <w:proofErr w:type="spellEnd"/>
      <w:r w:rsidRPr="00674C14">
        <w:rPr>
          <w:rFonts w:asciiTheme="majorHAnsi" w:hAnsiTheme="majorHAnsi" w:cstheme="majorHAnsi"/>
        </w:rPr>
        <w:t>] pret Poliju” [LP], Nr. 25716/94, 30. punktu, ECT 1999-I).</w:t>
      </w:r>
    </w:p>
    <w:p w:rsidR="00D63A35" w:rsidRPr="00674C14" w:rsidRDefault="00A03369" w:rsidP="00A2594A">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44</w:t>
      </w:r>
      <w:r w:rsidRPr="00674C14">
        <w:rPr>
          <w:rFonts w:asciiTheme="majorHAnsi" w:hAnsiTheme="majorHAnsi" w:cstheme="majorHAnsi"/>
          <w:noProof/>
        </w:rPr>
        <w:fldChar w:fldCharType="end"/>
      </w:r>
      <w:r w:rsidRPr="00674C14">
        <w:rPr>
          <w:rFonts w:asciiTheme="majorHAnsi" w:hAnsiTheme="majorHAnsi" w:cstheme="majorHAnsi"/>
        </w:rPr>
        <w:t>. Īstenojot savu pārraudzību, Tiesai ir nevis jāpilda valsts iestāžu funkcijas, bet gan, paturot prātā visu lietu kopumā, saskaņā ar 10. pantu jāpārskata lēmumi, ko tās ir pieņēmušas atbilstoši savai rīcības brīvībai (skat. cita starpā lietas “</w:t>
      </w:r>
      <w:proofErr w:type="spellStart"/>
      <w:r w:rsidRPr="00674C14">
        <w:rPr>
          <w:rFonts w:asciiTheme="majorHAnsi" w:hAnsiTheme="majorHAnsi" w:cstheme="majorHAnsi"/>
        </w:rPr>
        <w:t>Fresozs</w:t>
      </w:r>
      <w:proofErr w:type="spellEnd"/>
      <w:r w:rsidRPr="00674C14">
        <w:rPr>
          <w:rFonts w:asciiTheme="majorHAnsi" w:hAnsiTheme="majorHAnsi" w:cstheme="majorHAnsi"/>
        </w:rPr>
        <w:t xml:space="preserve"> [</w:t>
      </w:r>
      <w:proofErr w:type="spellStart"/>
      <w:r w:rsidRPr="00674C14">
        <w:rPr>
          <w:rFonts w:asciiTheme="majorHAnsi" w:hAnsiTheme="majorHAnsi" w:cstheme="majorHAnsi"/>
          <w:i/>
        </w:rPr>
        <w:t>Fressoz</w:t>
      </w:r>
      <w:proofErr w:type="spellEnd"/>
      <w:r w:rsidRPr="00674C14">
        <w:rPr>
          <w:rFonts w:asciiTheme="majorHAnsi" w:hAnsiTheme="majorHAnsi" w:cstheme="majorHAnsi"/>
        </w:rPr>
        <w:t xml:space="preserve">] un </w:t>
      </w:r>
      <w:proofErr w:type="spellStart"/>
      <w:r w:rsidRPr="00674C14">
        <w:rPr>
          <w:rFonts w:asciiTheme="majorHAnsi" w:hAnsiTheme="majorHAnsi" w:cstheme="majorHAnsi"/>
        </w:rPr>
        <w:t>Ruārs</w:t>
      </w:r>
      <w:proofErr w:type="spellEnd"/>
      <w:r w:rsidRPr="00674C14">
        <w:rPr>
          <w:rFonts w:asciiTheme="majorHAnsi" w:hAnsiTheme="majorHAnsi" w:cstheme="majorHAnsi"/>
        </w:rPr>
        <w:t xml:space="preserve"> [</w:t>
      </w:r>
      <w:proofErr w:type="spellStart"/>
      <w:r w:rsidRPr="00674C14">
        <w:rPr>
          <w:rFonts w:asciiTheme="majorHAnsi" w:hAnsiTheme="majorHAnsi" w:cstheme="majorHAnsi"/>
          <w:i/>
        </w:rPr>
        <w:t>Roire</w:t>
      </w:r>
      <w:proofErr w:type="spellEnd"/>
      <w:r w:rsidRPr="00674C14">
        <w:rPr>
          <w:rFonts w:asciiTheme="majorHAnsi" w:hAnsiTheme="majorHAnsi" w:cstheme="majorHAnsi"/>
        </w:rPr>
        <w:t>] pret Franciju” [LP], Nr. 29183/95, 45. punktu, ECT 1999-I).</w:t>
      </w:r>
    </w:p>
    <w:p w:rsidR="00BD492C" w:rsidRPr="00674C14" w:rsidRDefault="00A03369" w:rsidP="00BD492C">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45</w:t>
      </w:r>
      <w:r w:rsidRPr="00674C14">
        <w:rPr>
          <w:rFonts w:asciiTheme="majorHAnsi" w:hAnsiTheme="majorHAnsi" w:cstheme="majorHAnsi"/>
          <w:noProof/>
        </w:rPr>
        <w:fldChar w:fldCharType="end"/>
      </w:r>
      <w:r w:rsidRPr="00674C14">
        <w:rPr>
          <w:rFonts w:asciiTheme="majorHAnsi" w:hAnsiTheme="majorHAnsi" w:cstheme="majorHAnsi"/>
        </w:rPr>
        <w:t>. Īstenojot savu pārraudzības jurisdikciju, Tiesai apstrīdētā iejaukšanās jāizvērtē, ņemot vērā visus lietas apstākļus kopumā, tostarp pieteikuma iesniedzējas izteikto piezīmju saturu un apstākļus, kādos šīs piezīmes izteiktas. Tai ir īpaši jānosaka, vai attiecīgā iejaukšanās bija “samērīga ar īstenotajiem likumīgajiem mērķiem ” un vai iemesli, ko valsts iestādes minēja, lai to pamatotu, bija “atbilstoši un pietiekami” (skat lietas “</w:t>
      </w:r>
      <w:proofErr w:type="spellStart"/>
      <w:r w:rsidRPr="00674C14">
        <w:rPr>
          <w:rFonts w:asciiTheme="majorHAnsi" w:hAnsiTheme="majorHAnsi" w:cstheme="majorHAnsi"/>
          <w:i/>
        </w:rPr>
        <w:t>Sunday</w:t>
      </w:r>
      <w:proofErr w:type="spellEnd"/>
      <w:r w:rsidRPr="00674C14">
        <w:rPr>
          <w:rFonts w:asciiTheme="majorHAnsi" w:hAnsiTheme="majorHAnsi" w:cstheme="majorHAnsi"/>
          <w:i/>
        </w:rPr>
        <w:t xml:space="preserve"> </w:t>
      </w:r>
      <w:proofErr w:type="spellStart"/>
      <w:r w:rsidRPr="00674C14">
        <w:rPr>
          <w:rFonts w:asciiTheme="majorHAnsi" w:hAnsiTheme="majorHAnsi" w:cstheme="majorHAnsi"/>
          <w:i/>
        </w:rPr>
        <w:t>Times</w:t>
      </w:r>
      <w:proofErr w:type="spellEnd"/>
      <w:r w:rsidRPr="00674C14">
        <w:rPr>
          <w:rStyle w:val="ju-005fpara-002cleft-002cfirst-0020line-003a-0020-00200-0020cm--char"/>
          <w:rFonts w:asciiTheme="majorHAnsi" w:hAnsiTheme="majorHAnsi" w:cstheme="majorHAnsi"/>
          <w:i/>
        </w:rPr>
        <w:t xml:space="preserve"> </w:t>
      </w:r>
      <w:r w:rsidRPr="00674C14">
        <w:rPr>
          <w:rFonts w:asciiTheme="majorHAnsi" w:hAnsiTheme="majorHAnsi" w:cstheme="majorHAnsi"/>
        </w:rPr>
        <w:t>pret Apvienoto Karalisti (Nr. 1)”, 1979. gada 26. aprīlis 62. punktu, A sērija Nr. 30; iepriekšminētās lietas “</w:t>
      </w:r>
      <w:proofErr w:type="spellStart"/>
      <w:r w:rsidRPr="00674C14">
        <w:rPr>
          <w:rFonts w:asciiTheme="majorHAnsi" w:hAnsiTheme="majorHAnsi" w:cstheme="majorHAnsi"/>
        </w:rPr>
        <w:t>Lingenss</w:t>
      </w:r>
      <w:proofErr w:type="spellEnd"/>
      <w:r w:rsidRPr="00674C14">
        <w:rPr>
          <w:rFonts w:asciiTheme="majorHAnsi" w:hAnsiTheme="majorHAnsi" w:cstheme="majorHAnsi"/>
        </w:rPr>
        <w:t xml:space="preserve"> pret Austriju” 40. punktu; lietas “</w:t>
      </w:r>
      <w:proofErr w:type="spellStart"/>
      <w:r w:rsidRPr="00674C14">
        <w:rPr>
          <w:rFonts w:asciiTheme="majorHAnsi" w:hAnsiTheme="majorHAnsi" w:cstheme="majorHAnsi"/>
        </w:rPr>
        <w:t>Bārfuds</w:t>
      </w:r>
      <w:proofErr w:type="spellEnd"/>
      <w:r w:rsidRPr="00674C14">
        <w:rPr>
          <w:rFonts w:asciiTheme="majorHAnsi" w:hAnsiTheme="majorHAnsi" w:cstheme="majorHAnsi"/>
        </w:rPr>
        <w:t xml:space="preserve"> [</w:t>
      </w:r>
      <w:proofErr w:type="spellStart"/>
      <w:r w:rsidRPr="00674C14">
        <w:rPr>
          <w:rFonts w:asciiTheme="majorHAnsi" w:hAnsiTheme="majorHAnsi" w:cstheme="majorHAnsi"/>
          <w:i/>
        </w:rPr>
        <w:t>Barfod</w:t>
      </w:r>
      <w:proofErr w:type="spellEnd"/>
      <w:r w:rsidRPr="00674C14">
        <w:rPr>
          <w:rFonts w:asciiTheme="majorHAnsi" w:hAnsiTheme="majorHAnsi" w:cstheme="majorHAnsi"/>
        </w:rPr>
        <w:t>] pret Dāniju”, 1989. gada 22. februāris, 28. punktu, A sērija Nr. 149;</w:t>
      </w:r>
      <w:r w:rsidRPr="00674C14">
        <w:rPr>
          <w:rStyle w:val="ju--005fpara----char--char"/>
          <w:rFonts w:asciiTheme="majorHAnsi" w:hAnsiTheme="majorHAnsi" w:cstheme="majorHAnsi"/>
          <w:i/>
        </w:rPr>
        <w:t xml:space="preserve"> </w:t>
      </w:r>
      <w:r w:rsidRPr="00674C14">
        <w:rPr>
          <w:rFonts w:asciiTheme="majorHAnsi" w:hAnsiTheme="majorHAnsi" w:cstheme="majorHAnsi"/>
        </w:rPr>
        <w:t>iepriekšminētās lietas “</w:t>
      </w:r>
      <w:proofErr w:type="spellStart"/>
      <w:r w:rsidRPr="00674C14">
        <w:rPr>
          <w:rFonts w:asciiTheme="majorHAnsi" w:hAnsiTheme="majorHAnsi" w:cstheme="majorHAnsi"/>
        </w:rPr>
        <w:t>Janovskis</w:t>
      </w:r>
      <w:proofErr w:type="spellEnd"/>
      <w:r w:rsidRPr="00674C14">
        <w:rPr>
          <w:rFonts w:asciiTheme="majorHAnsi" w:hAnsiTheme="majorHAnsi" w:cstheme="majorHAnsi"/>
        </w:rPr>
        <w:t xml:space="preserve"> pret Poliju” 30. punktu; un lietas “</w:t>
      </w:r>
      <w:proofErr w:type="spellStart"/>
      <w:r w:rsidRPr="00674C14">
        <w:rPr>
          <w:rStyle w:val="ju-005fpara-002cleft-002cfirst-0020line-003a-0020-00200-0020cm--char"/>
          <w:rFonts w:asciiTheme="majorHAnsi" w:hAnsiTheme="majorHAnsi" w:cstheme="majorHAnsi"/>
          <w:i/>
        </w:rPr>
        <w:t>News</w:t>
      </w:r>
      <w:proofErr w:type="spellEnd"/>
      <w:r w:rsidRPr="00674C14">
        <w:rPr>
          <w:rStyle w:val="ju-005fpara-002cleft-002cfirst-0020line-003a-0020-00200-0020cm--char"/>
          <w:rFonts w:asciiTheme="majorHAnsi" w:hAnsiTheme="majorHAnsi" w:cstheme="majorHAnsi"/>
          <w:i/>
        </w:rPr>
        <w:t xml:space="preserve"> </w:t>
      </w:r>
      <w:proofErr w:type="spellStart"/>
      <w:r w:rsidRPr="00674C14">
        <w:rPr>
          <w:rStyle w:val="ju-005fpara-002cleft-002cfirst-0020line-003a-0020-00200-0020cm--char"/>
          <w:rFonts w:asciiTheme="majorHAnsi" w:hAnsiTheme="majorHAnsi" w:cstheme="majorHAnsi"/>
          <w:i/>
        </w:rPr>
        <w:t>Verlags</w:t>
      </w:r>
      <w:proofErr w:type="spellEnd"/>
      <w:r w:rsidRPr="00674C14">
        <w:rPr>
          <w:rStyle w:val="ju-005fpara-002cleft-002cfirst-0020line-003a-0020-00200-0020cm--char"/>
          <w:rFonts w:asciiTheme="majorHAnsi" w:hAnsiTheme="majorHAnsi" w:cstheme="majorHAnsi"/>
          <w:i/>
        </w:rPr>
        <w:t xml:space="preserve"> </w:t>
      </w:r>
      <w:proofErr w:type="spellStart"/>
      <w:r w:rsidRPr="00674C14">
        <w:rPr>
          <w:rStyle w:val="ju-005fpara-002cleft-002cfirst-0020line-003a-0020-00200-0020cm--char"/>
          <w:rFonts w:asciiTheme="majorHAnsi" w:hAnsiTheme="majorHAnsi" w:cstheme="majorHAnsi"/>
          <w:i/>
        </w:rPr>
        <w:t>GmbH</w:t>
      </w:r>
      <w:proofErr w:type="spellEnd"/>
      <w:r w:rsidRPr="00674C14">
        <w:rPr>
          <w:rStyle w:val="ju-005fpara-002cleft-002cfirst-0020line-003a-0020-00200-0020cm--char"/>
          <w:rFonts w:asciiTheme="majorHAnsi" w:hAnsiTheme="majorHAnsi" w:cstheme="majorHAnsi"/>
          <w:i/>
        </w:rPr>
        <w:t xml:space="preserve"> &amp; </w:t>
      </w:r>
      <w:proofErr w:type="spellStart"/>
      <w:r w:rsidRPr="00674C14">
        <w:rPr>
          <w:rStyle w:val="ju-005fpara-002cleft-002cfirst-0020line-003a-0020-00200-0020cm--char"/>
          <w:rFonts w:asciiTheme="majorHAnsi" w:hAnsiTheme="majorHAnsi" w:cstheme="majorHAnsi"/>
          <w:i/>
        </w:rPr>
        <w:t>Co</w:t>
      </w:r>
      <w:proofErr w:type="spellEnd"/>
      <w:r w:rsidRPr="00674C14">
        <w:rPr>
          <w:rStyle w:val="ju-005fpara-002cleft-002cfirst-0020line-003a-0020-00200-0020cm--char"/>
          <w:rFonts w:asciiTheme="majorHAnsi" w:hAnsiTheme="majorHAnsi" w:cstheme="majorHAnsi"/>
          <w:i/>
        </w:rPr>
        <w:t xml:space="preserve">. KG </w:t>
      </w:r>
      <w:r w:rsidRPr="00674C14">
        <w:rPr>
          <w:rFonts w:asciiTheme="majorHAnsi" w:hAnsiTheme="majorHAnsi" w:cstheme="majorHAnsi"/>
        </w:rPr>
        <w:t xml:space="preserve">pret Austriju”, Nr. 31457/96, 52. punktu, ECT 2000-I). To darot, Tiesai ir jāpārliecinās, vai valsts iestādes ir piemērojušas </w:t>
      </w:r>
      <w:bookmarkStart w:id="14" w:name="HIT23"/>
      <w:bookmarkEnd w:id="14"/>
      <w:r w:rsidRPr="00674C14">
        <w:rPr>
          <w:rFonts w:asciiTheme="majorHAnsi" w:hAnsiTheme="majorHAnsi" w:cstheme="majorHAnsi"/>
        </w:rPr>
        <w:t>10. pantā ietvertajiem principiem atbilstošus standartus, kā arī, vai šīs iestādes ir atsaukušās uz pieņemamu attiecīgo faktu novērtējumu (skat. lietas “</w:t>
      </w:r>
      <w:proofErr w:type="spellStart"/>
      <w:r w:rsidRPr="00674C14">
        <w:rPr>
          <w:rFonts w:asciiTheme="majorHAnsi" w:hAnsiTheme="majorHAnsi" w:cstheme="majorHAnsi"/>
        </w:rPr>
        <w:t>Jersilds</w:t>
      </w:r>
      <w:proofErr w:type="spellEnd"/>
      <w:r w:rsidRPr="00674C14">
        <w:rPr>
          <w:rFonts w:asciiTheme="majorHAnsi" w:hAnsiTheme="majorHAnsi" w:cstheme="majorHAnsi"/>
        </w:rPr>
        <w:t xml:space="preserve"> [</w:t>
      </w:r>
      <w:proofErr w:type="spellStart"/>
      <w:r w:rsidRPr="00674C14">
        <w:rPr>
          <w:rFonts w:asciiTheme="majorHAnsi" w:hAnsiTheme="majorHAnsi" w:cstheme="majorHAnsi"/>
          <w:i/>
        </w:rPr>
        <w:t>Jersild</w:t>
      </w:r>
      <w:proofErr w:type="spellEnd"/>
      <w:r w:rsidRPr="00674C14">
        <w:rPr>
          <w:rFonts w:asciiTheme="majorHAnsi" w:hAnsiTheme="majorHAnsi" w:cstheme="majorHAnsi"/>
        </w:rPr>
        <w:t>] pret Dāniju”, 1994. gada 23. septembris, 31. punktu, A sērija Nr. 298).</w:t>
      </w:r>
    </w:p>
    <w:p w:rsidR="00D47121" w:rsidRPr="00674C14" w:rsidRDefault="00A03369" w:rsidP="006A3B1A">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46</w:t>
      </w:r>
      <w:r w:rsidRPr="00674C14">
        <w:rPr>
          <w:rFonts w:asciiTheme="majorHAnsi" w:hAnsiTheme="majorHAnsi" w:cstheme="majorHAnsi"/>
          <w:noProof/>
        </w:rPr>
        <w:fldChar w:fldCharType="end"/>
      </w:r>
      <w:r w:rsidRPr="00674C14">
        <w:rPr>
          <w:rFonts w:asciiTheme="majorHAnsi" w:hAnsiTheme="majorHAnsi" w:cstheme="majorHAnsi"/>
        </w:rPr>
        <w:t xml:space="preserve">. Turklāt Tiesa uzsver pamatfunkciju, kuru prese pilda demokrātiskā sabiedrībā. Lai gan prese nedrīkst pārkāpt konkrētas robežas, jo īpaši attiecībā uz citu personu reputāciju un tiesībām un nepieciešamību novērst konfidenciālas informācijas izpaušanu, tomēr tās pienākums ir sniegt informāciju un paust viedokli par visiem sabiedrību interesējošiem jautājumiem atbilstoši saviem pienākumiem un atbildībai (skat. iepriekšminētās lietas </w:t>
      </w:r>
      <w:r w:rsidRPr="00674C14">
        <w:rPr>
          <w:rFonts w:asciiTheme="majorHAnsi" w:hAnsiTheme="majorHAnsi" w:cstheme="majorHAnsi"/>
        </w:rPr>
        <w:lastRenderedPageBreak/>
        <w:t>“</w:t>
      </w:r>
      <w:proofErr w:type="spellStart"/>
      <w:r w:rsidRPr="00674C14">
        <w:rPr>
          <w:rFonts w:asciiTheme="majorHAnsi" w:hAnsiTheme="majorHAnsi" w:cstheme="majorHAnsi"/>
        </w:rPr>
        <w:t>Jersilds</w:t>
      </w:r>
      <w:proofErr w:type="spellEnd"/>
      <w:r w:rsidRPr="00674C14">
        <w:rPr>
          <w:rFonts w:asciiTheme="majorHAnsi" w:hAnsiTheme="majorHAnsi" w:cstheme="majorHAnsi"/>
        </w:rPr>
        <w:t xml:space="preserve"> pret Dāniju” 31. punktu; lietas “</w:t>
      </w:r>
      <w:proofErr w:type="spellStart"/>
      <w:r w:rsidRPr="00674C14">
        <w:rPr>
          <w:rFonts w:asciiTheme="majorHAnsi" w:hAnsiTheme="majorHAnsi" w:cstheme="majorHAnsi"/>
        </w:rPr>
        <w:t>De</w:t>
      </w:r>
      <w:proofErr w:type="spellEnd"/>
      <w:r w:rsidRPr="00674C14">
        <w:rPr>
          <w:rFonts w:asciiTheme="majorHAnsi" w:hAnsiTheme="majorHAnsi" w:cstheme="majorHAnsi"/>
        </w:rPr>
        <w:t xml:space="preserve"> Hāss [</w:t>
      </w:r>
      <w:proofErr w:type="spellStart"/>
      <w:r w:rsidRPr="00674C14">
        <w:rPr>
          <w:rFonts w:asciiTheme="majorHAnsi" w:hAnsiTheme="majorHAnsi" w:cstheme="majorHAnsi"/>
          <w:i/>
        </w:rPr>
        <w:t>De</w:t>
      </w:r>
      <w:proofErr w:type="spellEnd"/>
      <w:r w:rsidRPr="00674C14">
        <w:rPr>
          <w:rFonts w:asciiTheme="majorHAnsi" w:hAnsiTheme="majorHAnsi" w:cstheme="majorHAnsi"/>
          <w:i/>
        </w:rPr>
        <w:t xml:space="preserve"> </w:t>
      </w:r>
      <w:proofErr w:type="spellStart"/>
      <w:r w:rsidRPr="00674C14">
        <w:rPr>
          <w:rFonts w:asciiTheme="majorHAnsi" w:hAnsiTheme="majorHAnsi" w:cstheme="majorHAnsi"/>
          <w:i/>
        </w:rPr>
        <w:t>Haes</w:t>
      </w:r>
      <w:proofErr w:type="spellEnd"/>
      <w:r w:rsidRPr="00674C14">
        <w:rPr>
          <w:rFonts w:asciiTheme="majorHAnsi" w:hAnsiTheme="majorHAnsi" w:cstheme="majorHAnsi"/>
        </w:rPr>
        <w:t xml:space="preserve">] un </w:t>
      </w:r>
      <w:proofErr w:type="spellStart"/>
      <w:r w:rsidRPr="00674C14">
        <w:rPr>
          <w:rFonts w:asciiTheme="majorHAnsi" w:hAnsiTheme="majorHAnsi" w:cstheme="majorHAnsi"/>
        </w:rPr>
        <w:t>Geisels</w:t>
      </w:r>
      <w:proofErr w:type="spellEnd"/>
      <w:r w:rsidRPr="00674C14">
        <w:rPr>
          <w:rFonts w:asciiTheme="majorHAnsi" w:hAnsiTheme="majorHAnsi" w:cstheme="majorHAnsi"/>
        </w:rPr>
        <w:t xml:space="preserve"> [</w:t>
      </w:r>
      <w:proofErr w:type="spellStart"/>
      <w:r w:rsidRPr="00674C14">
        <w:rPr>
          <w:rFonts w:asciiTheme="majorHAnsi" w:hAnsiTheme="majorHAnsi" w:cstheme="majorHAnsi"/>
          <w:i/>
        </w:rPr>
        <w:t>Gijsels</w:t>
      </w:r>
      <w:proofErr w:type="spellEnd"/>
      <w:r w:rsidRPr="00674C14">
        <w:rPr>
          <w:rFonts w:asciiTheme="majorHAnsi" w:hAnsiTheme="majorHAnsi" w:cstheme="majorHAnsi"/>
        </w:rPr>
        <w:t xml:space="preserve">] pret Beļģiju”, 1997. gada 24. februāris, 37. punktu, </w:t>
      </w:r>
      <w:r w:rsidRPr="00674C14">
        <w:rPr>
          <w:rFonts w:asciiTheme="majorHAnsi" w:hAnsiTheme="majorHAnsi" w:cstheme="majorHAnsi"/>
          <w:i/>
        </w:rPr>
        <w:t>Spriedumu un lēmumu ziņojumi</w:t>
      </w:r>
      <w:r w:rsidRPr="00674C14">
        <w:rPr>
          <w:rFonts w:asciiTheme="majorHAnsi" w:hAnsiTheme="majorHAnsi" w:cstheme="majorHAnsi"/>
        </w:rPr>
        <w:t xml:space="preserve"> 1997</w:t>
      </w:r>
      <w:r w:rsidRPr="00674C14">
        <w:rPr>
          <w:rFonts w:asciiTheme="majorHAnsi" w:hAnsiTheme="majorHAnsi" w:cstheme="majorHAnsi"/>
        </w:rPr>
        <w:noBreakHyphen/>
        <w:t>I; un lietas “</w:t>
      </w:r>
      <w:proofErr w:type="spellStart"/>
      <w:r w:rsidRPr="00674C14">
        <w:rPr>
          <w:rFonts w:asciiTheme="majorHAnsi" w:hAnsiTheme="majorHAnsi" w:cstheme="majorHAnsi"/>
          <w:i/>
        </w:rPr>
        <w:t>Bladet</w:t>
      </w:r>
      <w:proofErr w:type="spellEnd"/>
      <w:r w:rsidRPr="00674C14">
        <w:rPr>
          <w:rFonts w:asciiTheme="majorHAnsi" w:hAnsiTheme="majorHAnsi" w:cstheme="majorHAnsi"/>
          <w:i/>
        </w:rPr>
        <w:t xml:space="preserve"> </w:t>
      </w:r>
      <w:proofErr w:type="spellStart"/>
      <w:r w:rsidRPr="00674C14">
        <w:rPr>
          <w:rFonts w:asciiTheme="majorHAnsi" w:hAnsiTheme="majorHAnsi" w:cstheme="majorHAnsi"/>
          <w:i/>
        </w:rPr>
        <w:t>Tromsø</w:t>
      </w:r>
      <w:proofErr w:type="spellEnd"/>
      <w:r w:rsidRPr="00674C14">
        <w:rPr>
          <w:rFonts w:asciiTheme="majorHAnsi" w:hAnsiTheme="majorHAnsi" w:cstheme="majorHAnsi"/>
        </w:rPr>
        <w:t xml:space="preserve"> un </w:t>
      </w:r>
      <w:proofErr w:type="spellStart"/>
      <w:r w:rsidRPr="00674C14">
        <w:rPr>
          <w:rFonts w:asciiTheme="majorHAnsi" w:hAnsiTheme="majorHAnsi" w:cstheme="majorHAnsi"/>
        </w:rPr>
        <w:t>Stensoss</w:t>
      </w:r>
      <w:proofErr w:type="spellEnd"/>
      <w:r w:rsidRPr="00674C14">
        <w:rPr>
          <w:rStyle w:val="ju-005fpara--char"/>
          <w:rFonts w:asciiTheme="majorHAnsi" w:hAnsiTheme="majorHAnsi" w:cstheme="majorHAnsi"/>
          <w:i/>
        </w:rPr>
        <w:t xml:space="preserve"> </w:t>
      </w:r>
      <w:r w:rsidRPr="00674C14">
        <w:rPr>
          <w:rFonts w:asciiTheme="majorHAnsi" w:hAnsiTheme="majorHAnsi" w:cstheme="majorHAnsi"/>
        </w:rPr>
        <w:t>[</w:t>
      </w:r>
      <w:proofErr w:type="spellStart"/>
      <w:r w:rsidRPr="00674C14">
        <w:rPr>
          <w:rStyle w:val="ju-005fpara--char"/>
          <w:rFonts w:asciiTheme="majorHAnsi" w:hAnsiTheme="majorHAnsi" w:cstheme="majorHAnsi"/>
          <w:i/>
        </w:rPr>
        <w:t>Stensaas</w:t>
      </w:r>
      <w:proofErr w:type="spellEnd"/>
      <w:r w:rsidRPr="00674C14">
        <w:rPr>
          <w:rFonts w:asciiTheme="majorHAnsi" w:hAnsiTheme="majorHAnsi" w:cstheme="majorHAnsi"/>
        </w:rPr>
        <w:t>] pret Norvēģiju”, [LP], Nr. 21980/93, 58. punktu, ECT 1999-III). Plašsaziņas līdzekļiem ir uzdevums sniegt šādu informāciju un idejas, turklāt sabiedrībai arī ir tiesības tās saņemt (skat. iepriekšminētās lietas “</w:t>
      </w:r>
      <w:proofErr w:type="spellStart"/>
      <w:r w:rsidRPr="00674C14">
        <w:rPr>
          <w:rFonts w:asciiTheme="majorHAnsi" w:hAnsiTheme="majorHAnsi" w:cstheme="majorHAnsi"/>
          <w:i/>
        </w:rPr>
        <w:t>Sunday</w:t>
      </w:r>
      <w:proofErr w:type="spellEnd"/>
      <w:r w:rsidRPr="00674C14">
        <w:rPr>
          <w:rFonts w:asciiTheme="majorHAnsi" w:hAnsiTheme="majorHAnsi" w:cstheme="majorHAnsi"/>
          <w:i/>
        </w:rPr>
        <w:t xml:space="preserve"> </w:t>
      </w:r>
      <w:proofErr w:type="spellStart"/>
      <w:r w:rsidRPr="00674C14">
        <w:rPr>
          <w:rFonts w:asciiTheme="majorHAnsi" w:hAnsiTheme="majorHAnsi" w:cstheme="majorHAnsi"/>
          <w:i/>
        </w:rPr>
        <w:t>Times</w:t>
      </w:r>
      <w:proofErr w:type="spellEnd"/>
      <w:r w:rsidRPr="00674C14">
        <w:rPr>
          <w:rFonts w:asciiTheme="majorHAnsi" w:hAnsiTheme="majorHAnsi" w:cstheme="majorHAnsi"/>
          <w:i/>
        </w:rPr>
        <w:t xml:space="preserve"> </w:t>
      </w:r>
      <w:r w:rsidRPr="00674C14">
        <w:rPr>
          <w:rFonts w:asciiTheme="majorHAnsi" w:hAnsiTheme="majorHAnsi" w:cstheme="majorHAnsi"/>
        </w:rPr>
        <w:t>pret</w:t>
      </w:r>
      <w:r w:rsidRPr="00674C14">
        <w:rPr>
          <w:rFonts w:asciiTheme="majorHAnsi" w:hAnsiTheme="majorHAnsi" w:cstheme="majorHAnsi"/>
          <w:i/>
        </w:rPr>
        <w:t xml:space="preserve"> </w:t>
      </w:r>
      <w:r w:rsidRPr="00674C14">
        <w:rPr>
          <w:rFonts w:asciiTheme="majorHAnsi" w:hAnsiTheme="majorHAnsi" w:cstheme="majorHAnsi"/>
        </w:rPr>
        <w:t>Apvienoto Karalisti (Nr. 1)”,</w:t>
      </w:r>
      <w:r w:rsidRPr="00674C14">
        <w:rPr>
          <w:rFonts w:asciiTheme="majorHAnsi" w:hAnsiTheme="majorHAnsi" w:cstheme="majorHAnsi"/>
          <w:i/>
        </w:rPr>
        <w:t xml:space="preserve"> </w:t>
      </w:r>
      <w:r w:rsidRPr="00674C14">
        <w:rPr>
          <w:rFonts w:asciiTheme="majorHAnsi" w:hAnsiTheme="majorHAnsi" w:cstheme="majorHAnsi"/>
        </w:rPr>
        <w:t>65. punktu).</w:t>
      </w:r>
    </w:p>
    <w:p w:rsidR="006A3B1A" w:rsidRPr="00674C14" w:rsidRDefault="00A03369" w:rsidP="006A3B1A">
      <w:pPr>
        <w:pStyle w:val="ECHRPara"/>
        <w:rPr>
          <w:rFonts w:asciiTheme="majorHAnsi" w:hAnsiTheme="majorHAnsi" w:cstheme="majorHAnsi"/>
          <w: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47</w:t>
      </w:r>
      <w:r w:rsidRPr="00674C14">
        <w:rPr>
          <w:rFonts w:asciiTheme="majorHAnsi" w:hAnsiTheme="majorHAnsi" w:cstheme="majorHAnsi"/>
          <w:noProof/>
        </w:rPr>
        <w:fldChar w:fldCharType="end"/>
      </w:r>
      <w:r w:rsidRPr="00674C14">
        <w:rPr>
          <w:rFonts w:asciiTheme="majorHAnsi" w:hAnsiTheme="majorHAnsi" w:cstheme="majorHAnsi"/>
        </w:rPr>
        <w:t>. Uz 10. pantā sniegto drošības pasākumu žurnālistiem, kas saistīts ar ziņošanu par vispārējas nozīmes jautājumiem, attiecas nosacījums, ka tie rīkojas labticībā, lai sniegtu patiesu un uzticamu informāciju atbilstoši žurnālistu ētikai (skat. iepriekšminētās lietas “</w:t>
      </w:r>
      <w:proofErr w:type="spellStart"/>
      <w:r w:rsidRPr="00674C14">
        <w:rPr>
          <w:rFonts w:asciiTheme="majorHAnsi" w:hAnsiTheme="majorHAnsi" w:cstheme="majorHAnsi"/>
          <w:i/>
        </w:rPr>
        <w:t>Bladet</w:t>
      </w:r>
      <w:proofErr w:type="spellEnd"/>
      <w:r w:rsidRPr="00674C14">
        <w:rPr>
          <w:rFonts w:asciiTheme="majorHAnsi" w:hAnsiTheme="majorHAnsi" w:cstheme="majorHAnsi"/>
          <w:i/>
        </w:rPr>
        <w:t xml:space="preserve"> </w:t>
      </w:r>
      <w:proofErr w:type="spellStart"/>
      <w:r w:rsidRPr="00674C14">
        <w:rPr>
          <w:rFonts w:asciiTheme="majorHAnsi" w:hAnsiTheme="majorHAnsi" w:cstheme="majorHAnsi"/>
          <w:i/>
        </w:rPr>
        <w:t>Tromsø</w:t>
      </w:r>
      <w:proofErr w:type="spellEnd"/>
      <w:r w:rsidRPr="00674C14">
        <w:rPr>
          <w:rFonts w:asciiTheme="majorHAnsi" w:hAnsiTheme="majorHAnsi" w:cstheme="majorHAnsi"/>
        </w:rPr>
        <w:t xml:space="preserve"> un </w:t>
      </w:r>
      <w:proofErr w:type="spellStart"/>
      <w:r w:rsidRPr="00674C14">
        <w:rPr>
          <w:rFonts w:asciiTheme="majorHAnsi" w:hAnsiTheme="majorHAnsi" w:cstheme="majorHAnsi"/>
        </w:rPr>
        <w:t>Stensoss</w:t>
      </w:r>
      <w:proofErr w:type="spellEnd"/>
      <w:r w:rsidRPr="00674C14">
        <w:rPr>
          <w:rFonts w:asciiTheme="majorHAnsi" w:hAnsiTheme="majorHAnsi" w:cstheme="majorHAnsi"/>
        </w:rPr>
        <w:t xml:space="preserve"> pret Norvēģiju” 65. punktu). Turklāt Tiesa ņem vērā to, ka žurnālistikas brīvība paredz arī iespēju izmantot zināmus pārspīlējumus vai pat provokatīvus līdzekļus (skat. lietas “</w:t>
      </w:r>
      <w:proofErr w:type="spellStart"/>
      <w:r w:rsidRPr="00674C14">
        <w:rPr>
          <w:rFonts w:asciiTheme="majorHAnsi" w:hAnsiTheme="majorHAnsi" w:cstheme="majorHAnsi"/>
        </w:rPr>
        <w:t>Prāgers</w:t>
      </w:r>
      <w:proofErr w:type="spellEnd"/>
      <w:r w:rsidRPr="00674C14">
        <w:rPr>
          <w:rFonts w:asciiTheme="majorHAnsi" w:hAnsiTheme="majorHAnsi" w:cstheme="majorHAnsi"/>
        </w:rPr>
        <w:t xml:space="preserve"> [</w:t>
      </w:r>
      <w:proofErr w:type="spellStart"/>
      <w:r w:rsidRPr="00674C14">
        <w:rPr>
          <w:rFonts w:asciiTheme="majorHAnsi" w:hAnsiTheme="majorHAnsi" w:cstheme="majorHAnsi"/>
          <w:i/>
        </w:rPr>
        <w:t>Prager</w:t>
      </w:r>
      <w:proofErr w:type="spellEnd"/>
      <w:r w:rsidRPr="00674C14">
        <w:rPr>
          <w:rFonts w:asciiTheme="majorHAnsi" w:hAnsiTheme="majorHAnsi" w:cstheme="majorHAnsi"/>
        </w:rPr>
        <w:t xml:space="preserve">] un </w:t>
      </w:r>
      <w:proofErr w:type="spellStart"/>
      <w:r w:rsidRPr="00674C14">
        <w:rPr>
          <w:rFonts w:asciiTheme="majorHAnsi" w:hAnsiTheme="majorHAnsi" w:cstheme="majorHAnsi"/>
        </w:rPr>
        <w:t>Oberšliks</w:t>
      </w:r>
      <w:proofErr w:type="spellEnd"/>
      <w:r w:rsidRPr="00674C14">
        <w:rPr>
          <w:rFonts w:asciiTheme="majorHAnsi" w:hAnsiTheme="majorHAnsi" w:cstheme="majorHAnsi"/>
        </w:rPr>
        <w:t xml:space="preserve"> [</w:t>
      </w:r>
      <w:proofErr w:type="spellStart"/>
      <w:r w:rsidRPr="00674C14">
        <w:rPr>
          <w:rFonts w:asciiTheme="majorHAnsi" w:hAnsiTheme="majorHAnsi" w:cstheme="majorHAnsi"/>
          <w:i/>
        </w:rPr>
        <w:t>Oberschlick</w:t>
      </w:r>
      <w:proofErr w:type="spellEnd"/>
      <w:r w:rsidRPr="00674C14">
        <w:rPr>
          <w:rFonts w:asciiTheme="majorHAnsi" w:hAnsiTheme="majorHAnsi" w:cstheme="majorHAnsi"/>
        </w:rPr>
        <w:t xml:space="preserve">] pret Austriju”, 1995. gada 26. aprīlis, 38. punktu, A sērija Nr. 313; un </w:t>
      </w:r>
      <w:proofErr w:type="spellStart"/>
      <w:r w:rsidRPr="00674C14">
        <w:rPr>
          <w:rFonts w:asciiTheme="majorHAnsi" w:hAnsiTheme="majorHAnsi" w:cstheme="majorHAnsi"/>
          <w:i/>
        </w:rPr>
        <w:t>Bladet</w:t>
      </w:r>
      <w:proofErr w:type="spellEnd"/>
      <w:r w:rsidRPr="00674C14">
        <w:rPr>
          <w:rFonts w:asciiTheme="majorHAnsi" w:hAnsiTheme="majorHAnsi" w:cstheme="majorHAnsi"/>
          <w:i/>
        </w:rPr>
        <w:t xml:space="preserve"> </w:t>
      </w:r>
      <w:proofErr w:type="spellStart"/>
      <w:r w:rsidRPr="00674C14">
        <w:rPr>
          <w:rFonts w:asciiTheme="majorHAnsi" w:hAnsiTheme="majorHAnsi" w:cstheme="majorHAnsi"/>
          <w:i/>
        </w:rPr>
        <w:t>Tromsø</w:t>
      </w:r>
      <w:proofErr w:type="spellEnd"/>
      <w:r w:rsidRPr="00674C14">
        <w:rPr>
          <w:rFonts w:asciiTheme="majorHAnsi" w:hAnsiTheme="majorHAnsi" w:cstheme="majorHAnsi"/>
        </w:rPr>
        <w:t xml:space="preserve"> un </w:t>
      </w:r>
      <w:proofErr w:type="spellStart"/>
      <w:r w:rsidRPr="00674C14">
        <w:rPr>
          <w:rFonts w:asciiTheme="majorHAnsi" w:hAnsiTheme="majorHAnsi" w:cstheme="majorHAnsi"/>
        </w:rPr>
        <w:t>Stensosa</w:t>
      </w:r>
      <w:proofErr w:type="spellEnd"/>
      <w:r w:rsidRPr="00674C14">
        <w:rPr>
          <w:rFonts w:asciiTheme="majorHAnsi" w:hAnsiTheme="majorHAnsi" w:cstheme="majorHAnsi"/>
        </w:rPr>
        <w:t xml:space="preserve"> lietu, </w:t>
      </w:r>
      <w:r w:rsidRPr="00674C14">
        <w:rPr>
          <w:rFonts w:asciiTheme="majorHAnsi" w:hAnsiTheme="majorHAnsi" w:cstheme="majorHAnsi"/>
          <w:i/>
        </w:rPr>
        <w:t xml:space="preserve">loc. </w:t>
      </w:r>
      <w:proofErr w:type="spellStart"/>
      <w:r w:rsidRPr="00674C14">
        <w:rPr>
          <w:rFonts w:asciiTheme="majorHAnsi" w:hAnsiTheme="majorHAnsi" w:cstheme="majorHAnsi"/>
          <w:i/>
        </w:rPr>
        <w:t>cit</w:t>
      </w:r>
      <w:proofErr w:type="spellEnd"/>
      <w:r w:rsidRPr="00674C14">
        <w:rPr>
          <w:rFonts w:asciiTheme="majorHAnsi" w:hAnsiTheme="majorHAnsi" w:cstheme="majorHAnsi"/>
          <w:i/>
        </w:rPr>
        <w:t>.</w:t>
      </w:r>
      <w:r w:rsidRPr="00674C14">
        <w:rPr>
          <w:rFonts w:asciiTheme="majorHAnsi" w:hAnsiTheme="majorHAnsi" w:cstheme="majorHAnsi"/>
        </w:rPr>
        <w:t>).</w:t>
      </w:r>
    </w:p>
    <w:p w:rsidR="009B6BDB" w:rsidRPr="00674C14" w:rsidRDefault="00A03369" w:rsidP="009B6BDB">
      <w:pPr>
        <w:pStyle w:val="ECHRPara"/>
        <w:rPr>
          <w:rStyle w:val="sb8d990e2"/>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48</w:t>
      </w:r>
      <w:r w:rsidRPr="00674C14">
        <w:rPr>
          <w:rFonts w:asciiTheme="majorHAnsi" w:hAnsiTheme="majorHAnsi" w:cstheme="majorHAnsi"/>
          <w:noProof/>
        </w:rPr>
        <w:fldChar w:fldCharType="end"/>
      </w:r>
      <w:r w:rsidRPr="00674C14">
        <w:rPr>
          <w:rFonts w:asciiTheme="majorHAnsi" w:hAnsiTheme="majorHAnsi" w:cstheme="majorHAnsi"/>
        </w:rPr>
        <w:t>. Attiecībā uz politiķi pieļaujamais kritikas līmenis ir augstāks nekā attiecībā uz privātpersonu. Atšķirībā no privātpersonām politiķi nenovēršami un apzināti ieņem statusu, kurā žurnālisti un sabiedrība kopumā rūpīgi pārbauda viņu vārdus un darbus, tāpēc viņiem ir jāizrāda lielāka iecietība (skat, piemēram, iepriekšminētās lietas “</w:t>
      </w:r>
      <w:proofErr w:type="spellStart"/>
      <w:r w:rsidRPr="00674C14">
        <w:rPr>
          <w:rFonts w:asciiTheme="majorHAnsi" w:hAnsiTheme="majorHAnsi" w:cstheme="majorHAnsi"/>
        </w:rPr>
        <w:t>Lingenss</w:t>
      </w:r>
      <w:proofErr w:type="spellEnd"/>
      <w:r w:rsidRPr="00674C14">
        <w:rPr>
          <w:rFonts w:asciiTheme="majorHAnsi" w:hAnsiTheme="majorHAnsi" w:cstheme="majorHAnsi"/>
        </w:rPr>
        <w:t xml:space="preserve"> pret Austriju”, 42. punktu; lietas “</w:t>
      </w:r>
      <w:proofErr w:type="spellStart"/>
      <w:r w:rsidRPr="00674C14">
        <w:rPr>
          <w:rFonts w:asciiTheme="majorHAnsi" w:hAnsiTheme="majorHAnsi" w:cstheme="majorHAnsi"/>
        </w:rPr>
        <w:t>Indžals</w:t>
      </w:r>
      <w:proofErr w:type="spellEnd"/>
      <w:r w:rsidRPr="00674C14">
        <w:rPr>
          <w:rFonts w:asciiTheme="majorHAnsi" w:hAnsiTheme="majorHAnsi" w:cstheme="majorHAnsi"/>
        </w:rPr>
        <w:t xml:space="preserve"> [</w:t>
      </w:r>
      <w:proofErr w:type="spellStart"/>
      <w:r w:rsidRPr="00674C14">
        <w:rPr>
          <w:rFonts w:asciiTheme="majorHAnsi" w:hAnsiTheme="majorHAnsi" w:cstheme="majorHAnsi"/>
          <w:i/>
        </w:rPr>
        <w:t>Incal</w:t>
      </w:r>
      <w:proofErr w:type="spellEnd"/>
      <w:r w:rsidRPr="00674C14">
        <w:rPr>
          <w:rFonts w:asciiTheme="majorHAnsi" w:hAnsiTheme="majorHAnsi" w:cstheme="majorHAnsi"/>
        </w:rPr>
        <w:t>] pret Turciju”, 1998. gada 9. jūnijs, 54. punktu,</w:t>
      </w:r>
      <w:r w:rsidRPr="00674C14">
        <w:rPr>
          <w:rFonts w:asciiTheme="majorHAnsi" w:hAnsiTheme="majorHAnsi" w:cstheme="majorHAnsi"/>
          <w:i/>
        </w:rPr>
        <w:t xml:space="preserve"> Spriedumu un lēmumu ziņojumi </w:t>
      </w:r>
      <w:r w:rsidRPr="00674C14">
        <w:rPr>
          <w:rFonts w:asciiTheme="majorHAnsi" w:hAnsiTheme="majorHAnsi" w:cstheme="majorHAnsi"/>
        </w:rPr>
        <w:t>1998</w:t>
      </w:r>
      <w:r w:rsidRPr="00674C14">
        <w:rPr>
          <w:rFonts w:asciiTheme="majorHAnsi" w:hAnsiTheme="majorHAnsi" w:cstheme="majorHAnsi"/>
        </w:rPr>
        <w:noBreakHyphen/>
        <w:t>IV; un lietas “</w:t>
      </w:r>
      <w:proofErr w:type="spellStart"/>
      <w:r w:rsidRPr="00674C14">
        <w:rPr>
          <w:rFonts w:asciiTheme="majorHAnsi" w:hAnsiTheme="majorHAnsi" w:cstheme="majorHAnsi"/>
        </w:rPr>
        <w:t>Kasteijs</w:t>
      </w:r>
      <w:proofErr w:type="spellEnd"/>
      <w:r w:rsidRPr="00674C14">
        <w:rPr>
          <w:rFonts w:asciiTheme="majorHAnsi" w:hAnsiTheme="majorHAnsi" w:cstheme="majorHAnsi"/>
        </w:rPr>
        <w:t xml:space="preserve"> [</w:t>
      </w:r>
      <w:proofErr w:type="spellStart"/>
      <w:r w:rsidRPr="00674C14">
        <w:rPr>
          <w:rFonts w:asciiTheme="majorHAnsi" w:hAnsiTheme="majorHAnsi" w:cstheme="majorHAnsi"/>
          <w:i/>
        </w:rPr>
        <w:t>Castells</w:t>
      </w:r>
      <w:proofErr w:type="spellEnd"/>
      <w:r w:rsidRPr="00674C14">
        <w:rPr>
          <w:rFonts w:asciiTheme="majorHAnsi" w:hAnsiTheme="majorHAnsi" w:cstheme="majorHAnsi"/>
        </w:rPr>
        <w:t>] pret Spāniju”, 1992. gada 23. aprīlis, 46. punktu, A sērija Nr. 236). Līdzīgi apsvērumi attiecas arī uz personām, kuras atrodas sabiedrības uzmanības lokā (skat. lietas “</w:t>
      </w:r>
      <w:proofErr w:type="spellStart"/>
      <w:r w:rsidRPr="00674C14">
        <w:rPr>
          <w:rFonts w:asciiTheme="majorHAnsi" w:hAnsiTheme="majorHAnsi" w:cstheme="majorHAnsi"/>
        </w:rPr>
        <w:t>Fajeds</w:t>
      </w:r>
      <w:proofErr w:type="spellEnd"/>
      <w:r w:rsidRPr="00674C14">
        <w:rPr>
          <w:rFonts w:asciiTheme="majorHAnsi" w:hAnsiTheme="majorHAnsi" w:cstheme="majorHAnsi"/>
        </w:rPr>
        <w:t xml:space="preserve"> [</w:t>
      </w:r>
      <w:proofErr w:type="spellStart"/>
      <w:r w:rsidRPr="00674C14">
        <w:rPr>
          <w:rFonts w:asciiTheme="majorHAnsi" w:hAnsiTheme="majorHAnsi" w:cstheme="majorHAnsi"/>
          <w:i/>
        </w:rPr>
        <w:t>Fayed</w:t>
      </w:r>
      <w:proofErr w:type="spellEnd"/>
      <w:r w:rsidRPr="00674C14">
        <w:rPr>
          <w:rFonts w:asciiTheme="majorHAnsi" w:hAnsiTheme="majorHAnsi" w:cstheme="majorHAnsi"/>
        </w:rPr>
        <w:t>] pret Apvienoto Karalisti”, 1994. gada 21. septembris, 75. punktu, A sērija Nr. 294</w:t>
      </w:r>
      <w:r w:rsidRPr="00674C14">
        <w:rPr>
          <w:rFonts w:asciiTheme="majorHAnsi" w:hAnsiTheme="majorHAnsi" w:cstheme="majorHAnsi"/>
        </w:rPr>
        <w:noBreakHyphen/>
        <w:t>B; lietas “</w:t>
      </w:r>
      <w:proofErr w:type="spellStart"/>
      <w:r w:rsidRPr="00674C14">
        <w:rPr>
          <w:rFonts w:asciiTheme="majorHAnsi" w:hAnsiTheme="majorHAnsi" w:cstheme="majorHAnsi"/>
        </w:rPr>
        <w:t>Stīls</w:t>
      </w:r>
      <w:proofErr w:type="spellEnd"/>
      <w:r w:rsidRPr="00674C14">
        <w:rPr>
          <w:rFonts w:asciiTheme="majorHAnsi" w:hAnsiTheme="majorHAnsi" w:cstheme="majorHAnsi"/>
        </w:rPr>
        <w:t xml:space="preserve"> [</w:t>
      </w:r>
      <w:r w:rsidRPr="00674C14">
        <w:rPr>
          <w:rFonts w:asciiTheme="majorHAnsi" w:hAnsiTheme="majorHAnsi" w:cstheme="majorHAnsi"/>
          <w:i/>
        </w:rPr>
        <w:t>Steel</w:t>
      </w:r>
      <w:r w:rsidRPr="00674C14">
        <w:rPr>
          <w:rFonts w:asciiTheme="majorHAnsi" w:hAnsiTheme="majorHAnsi" w:cstheme="majorHAnsi"/>
        </w:rPr>
        <w:t>] un Moriss [</w:t>
      </w:r>
      <w:r w:rsidRPr="00674C14">
        <w:rPr>
          <w:rFonts w:asciiTheme="majorHAnsi" w:hAnsiTheme="majorHAnsi" w:cstheme="majorHAnsi"/>
          <w:i/>
        </w:rPr>
        <w:t>Morris</w:t>
      </w:r>
      <w:r w:rsidRPr="00674C14">
        <w:rPr>
          <w:rFonts w:asciiTheme="majorHAnsi" w:hAnsiTheme="majorHAnsi" w:cstheme="majorHAnsi"/>
        </w:rPr>
        <w:t>] pret Apvienoto Karalisti”, Nr. 68416/01, 94. punktu, ECT 2005</w:t>
      </w:r>
      <w:r w:rsidRPr="00674C14">
        <w:rPr>
          <w:rFonts w:asciiTheme="majorHAnsi" w:hAnsiTheme="majorHAnsi" w:cstheme="majorHAnsi"/>
        </w:rPr>
        <w:noBreakHyphen/>
        <w:t xml:space="preserve">II; un pretstatīt ar lietas “fon </w:t>
      </w:r>
      <w:proofErr w:type="spellStart"/>
      <w:r w:rsidRPr="00674C14">
        <w:rPr>
          <w:rFonts w:asciiTheme="majorHAnsi" w:hAnsiTheme="majorHAnsi" w:cstheme="majorHAnsi"/>
        </w:rPr>
        <w:t>Hanovera</w:t>
      </w:r>
      <w:proofErr w:type="spellEnd"/>
      <w:r w:rsidRPr="00674C14">
        <w:rPr>
          <w:rFonts w:asciiTheme="majorHAnsi" w:hAnsiTheme="majorHAnsi" w:cstheme="majorHAnsi"/>
        </w:rPr>
        <w:t xml:space="preserve"> [</w:t>
      </w:r>
      <w:r w:rsidRPr="00674C14">
        <w:rPr>
          <w:rFonts w:asciiTheme="majorHAnsi" w:hAnsiTheme="majorHAnsi" w:cstheme="majorHAnsi"/>
          <w:i/>
        </w:rPr>
        <w:t xml:space="preserve">Von </w:t>
      </w:r>
      <w:proofErr w:type="spellStart"/>
      <w:r w:rsidRPr="00674C14">
        <w:rPr>
          <w:rFonts w:asciiTheme="majorHAnsi" w:hAnsiTheme="majorHAnsi" w:cstheme="majorHAnsi"/>
          <w:i/>
        </w:rPr>
        <w:t>Hannover</w:t>
      </w:r>
      <w:proofErr w:type="spellEnd"/>
      <w:r w:rsidRPr="00674C14">
        <w:rPr>
          <w:rFonts w:asciiTheme="majorHAnsi" w:hAnsiTheme="majorHAnsi" w:cstheme="majorHAnsi"/>
        </w:rPr>
        <w:t>] pret Vāciju”, Nr. 59320/00, 65. punktu, ECT 2004</w:t>
      </w:r>
      <w:r w:rsidRPr="00674C14">
        <w:rPr>
          <w:rFonts w:asciiTheme="majorHAnsi" w:hAnsiTheme="majorHAnsi" w:cstheme="majorHAnsi"/>
        </w:rPr>
        <w:noBreakHyphen/>
        <w:t>VI; un lietas “</w:t>
      </w:r>
      <w:r w:rsidRPr="00674C14">
        <w:rPr>
          <w:rFonts w:asciiTheme="majorHAnsi" w:hAnsiTheme="majorHAnsi" w:cstheme="majorHAnsi"/>
          <w:i/>
        </w:rPr>
        <w:t xml:space="preserve">MGN Limited </w:t>
      </w:r>
      <w:r w:rsidRPr="00674C14">
        <w:rPr>
          <w:rFonts w:asciiTheme="majorHAnsi" w:hAnsiTheme="majorHAnsi" w:cstheme="majorHAnsi"/>
        </w:rPr>
        <w:t>pret Apvienoto Karalisti”, Nr. 39401/04, 143. punktu, 2011. gada 18. janvāris).</w:t>
      </w:r>
      <w:r w:rsidRPr="00674C14">
        <w:rPr>
          <w:rStyle w:val="Strong"/>
          <w:rFonts w:asciiTheme="majorHAnsi" w:hAnsiTheme="majorHAnsi" w:cstheme="majorHAnsi"/>
        </w:rPr>
        <w:t xml:space="preserve"> </w:t>
      </w:r>
      <w:r w:rsidRPr="00674C14">
        <w:rPr>
          <w:rStyle w:val="sb8d990e2"/>
          <w:rFonts w:asciiTheme="majorHAnsi" w:hAnsiTheme="majorHAnsi" w:cstheme="majorHAnsi"/>
        </w:rPr>
        <w:t xml:space="preserve">Pat tad, ja persona ir pazīstama plašākai sabiedrībai, noteiktos apstākļos tā var paļauties uz “tiesiskās paļāvības principu”, ka tās privātā dzīve tiks aizsargāta un cienīta (skat. lietas </w:t>
      </w:r>
      <w:r w:rsidRPr="00674C14">
        <w:rPr>
          <w:rFonts w:asciiTheme="majorHAnsi" w:hAnsiTheme="majorHAnsi" w:cstheme="majorHAnsi"/>
        </w:rPr>
        <w:t xml:space="preserve">“fon </w:t>
      </w:r>
      <w:proofErr w:type="spellStart"/>
      <w:r w:rsidRPr="00674C14">
        <w:rPr>
          <w:rFonts w:asciiTheme="majorHAnsi" w:hAnsiTheme="majorHAnsi" w:cstheme="majorHAnsi"/>
        </w:rPr>
        <w:t>Hanovera</w:t>
      </w:r>
      <w:proofErr w:type="spellEnd"/>
      <w:r w:rsidRPr="00674C14">
        <w:rPr>
          <w:rFonts w:asciiTheme="majorHAnsi" w:hAnsiTheme="majorHAnsi" w:cstheme="majorHAnsi"/>
        </w:rPr>
        <w:t xml:space="preserve"> pret Vāciju (Nr. 2)” [LP], Nr. 40660/08 un 60641/08, 97. punktu, ECT 2012</w:t>
      </w:r>
      <w:r w:rsidRPr="00674C14">
        <w:rPr>
          <w:rStyle w:val="sb8d990e2"/>
          <w:rFonts w:asciiTheme="majorHAnsi" w:hAnsiTheme="majorHAnsi" w:cstheme="majorHAnsi"/>
        </w:rPr>
        <w:t>).</w:t>
      </w:r>
    </w:p>
    <w:p w:rsidR="00EE5610" w:rsidRPr="00674C14" w:rsidRDefault="009B6BDB" w:rsidP="009B6BDB">
      <w:pPr>
        <w:pStyle w:val="ECHRPara"/>
        <w:rPr>
          <w:rFonts w:asciiTheme="majorHAnsi" w:hAnsiTheme="majorHAnsi" w:cstheme="majorHAnsi"/>
        </w:rPr>
      </w:pPr>
      <w:r w:rsidRPr="00674C14">
        <w:rPr>
          <w:rStyle w:val="sb8d990e2"/>
          <w:rFonts w:asciiTheme="majorHAnsi" w:hAnsiTheme="majorHAnsi" w:cstheme="majorHAnsi"/>
        </w:rPr>
        <w:fldChar w:fldCharType="begin"/>
      </w:r>
      <w:r w:rsidRPr="00674C14">
        <w:rPr>
          <w:rStyle w:val="sb8d990e2"/>
          <w:rFonts w:asciiTheme="majorHAnsi" w:hAnsiTheme="majorHAnsi" w:cstheme="majorHAnsi"/>
        </w:rPr>
        <w:instrText xml:space="preserve"> SEQ level0 \*arabic </w:instrText>
      </w:r>
      <w:r w:rsidRPr="00674C14">
        <w:rPr>
          <w:rStyle w:val="sb8d990e2"/>
          <w:rFonts w:asciiTheme="majorHAnsi" w:hAnsiTheme="majorHAnsi" w:cstheme="majorHAnsi"/>
        </w:rPr>
        <w:fldChar w:fldCharType="separate"/>
      </w:r>
      <w:r w:rsidR="004B422D" w:rsidRPr="00674C14">
        <w:rPr>
          <w:rStyle w:val="sb8d990e2"/>
          <w:rFonts w:asciiTheme="majorHAnsi" w:hAnsiTheme="majorHAnsi" w:cstheme="majorHAnsi"/>
          <w:noProof/>
        </w:rPr>
        <w:t>49</w:t>
      </w:r>
      <w:r w:rsidRPr="00674C14">
        <w:rPr>
          <w:rStyle w:val="sb8d990e2"/>
          <w:rFonts w:asciiTheme="majorHAnsi" w:hAnsiTheme="majorHAnsi" w:cstheme="majorHAnsi"/>
        </w:rPr>
        <w:fldChar w:fldCharType="end"/>
      </w:r>
      <w:r w:rsidRPr="00674C14">
        <w:rPr>
          <w:rStyle w:val="sb8d990e2"/>
          <w:rFonts w:asciiTheme="majorHAnsi" w:hAnsiTheme="majorHAnsi" w:cstheme="majorHAnsi"/>
        </w:rPr>
        <w:t xml:space="preserve">. Turklāt Tiesa nesen ir izklāstījusi attiecīgos principus, kas jāievēro, izskatot nepieciešamību iestādei iejaukties tiesībās uz vārda brīvību, lai “aizsargātu citu personu reputāciju vai tiesības”. Tā norādīja, ka šādos gadījumos Tiesai var būt nepieciešams pārbaudīt, vai valsts iestādes radīja godīgu līdzsvaru, aizsargājot divas Konvencijā garantētās vērtības, kas noteiktos gadījumos viena ar otru var nonākt konfliktā, proti, no vienas puses, vārda brīvība, kuru aizsargā 10. pants, un, no otras puses, tiesības uz cieņu pret privāto dzīvi, ko nodrošina 8. pants (skat. lietas </w:t>
      </w:r>
      <w:r w:rsidRPr="00674C14">
        <w:rPr>
          <w:rFonts w:asciiTheme="majorHAnsi" w:hAnsiTheme="majorHAnsi" w:cstheme="majorHAnsi"/>
        </w:rPr>
        <w:t>“</w:t>
      </w:r>
      <w:proofErr w:type="spellStart"/>
      <w:r w:rsidRPr="00674C14">
        <w:rPr>
          <w:rFonts w:asciiTheme="majorHAnsi" w:hAnsiTheme="majorHAnsi" w:cstheme="majorHAnsi"/>
          <w:i/>
        </w:rPr>
        <w:t>Axel</w:t>
      </w:r>
      <w:proofErr w:type="spellEnd"/>
      <w:r w:rsidRPr="00674C14">
        <w:rPr>
          <w:rFonts w:asciiTheme="majorHAnsi" w:hAnsiTheme="majorHAnsi" w:cstheme="majorHAnsi"/>
          <w:i/>
        </w:rPr>
        <w:t xml:space="preserve"> </w:t>
      </w:r>
      <w:proofErr w:type="spellStart"/>
      <w:r w:rsidRPr="00674C14">
        <w:rPr>
          <w:rFonts w:asciiTheme="majorHAnsi" w:hAnsiTheme="majorHAnsi" w:cstheme="majorHAnsi"/>
          <w:i/>
        </w:rPr>
        <w:t>Springer</w:t>
      </w:r>
      <w:proofErr w:type="spellEnd"/>
      <w:r w:rsidRPr="00674C14">
        <w:rPr>
          <w:rFonts w:asciiTheme="majorHAnsi" w:hAnsiTheme="majorHAnsi" w:cstheme="majorHAnsi"/>
          <w:i/>
        </w:rPr>
        <w:t xml:space="preserve"> AG</w:t>
      </w:r>
      <w:r w:rsidRPr="00674C14">
        <w:rPr>
          <w:rFonts w:asciiTheme="majorHAnsi" w:hAnsiTheme="majorHAnsi" w:cstheme="majorHAnsi"/>
        </w:rPr>
        <w:t xml:space="preserve"> pret Vāciju” [LP], Nr. 39954/08, 84. punktu, 2012. gada 7. februāris;</w:t>
      </w:r>
      <w:r w:rsidRPr="00674C14">
        <w:rPr>
          <w:rStyle w:val="sb8d990e2"/>
          <w:rFonts w:asciiTheme="majorHAnsi" w:hAnsiTheme="majorHAnsi" w:cstheme="majorHAnsi"/>
        </w:rPr>
        <w:t xml:space="preserve"> un iepriekšminētās lietas “</w:t>
      </w:r>
      <w:r w:rsidRPr="00674C14">
        <w:rPr>
          <w:rStyle w:val="sb8d990e2"/>
          <w:rFonts w:asciiTheme="majorHAnsi" w:hAnsiTheme="majorHAnsi" w:cstheme="majorHAnsi"/>
          <w:i/>
        </w:rPr>
        <w:t>MGN Limited</w:t>
      </w:r>
      <w:r w:rsidRPr="00674C14">
        <w:rPr>
          <w:rStyle w:val="sb8d990e2"/>
          <w:rFonts w:asciiTheme="majorHAnsi" w:hAnsiTheme="majorHAnsi" w:cstheme="majorHAnsi"/>
        </w:rPr>
        <w:t xml:space="preserve"> pret Apvienoto Karalisti” 142. punktu).</w:t>
      </w:r>
    </w:p>
    <w:p w:rsidR="009B6BDB" w:rsidRPr="00674C14" w:rsidRDefault="009B6BDB" w:rsidP="00C50CFE">
      <w:pPr>
        <w:pStyle w:val="ECHRPara"/>
        <w:rPr>
          <w:rFonts w:asciiTheme="majorHAnsi" w:hAnsiTheme="majorHAnsi" w:cstheme="majorHAnsi"/>
        </w:rPr>
      </w:pPr>
      <w:r w:rsidRPr="00674C14">
        <w:rPr>
          <w:rStyle w:val="sb8d990e2"/>
          <w:rFonts w:asciiTheme="majorHAnsi" w:hAnsiTheme="majorHAnsi" w:cstheme="majorHAnsi"/>
        </w:rPr>
        <w:fldChar w:fldCharType="begin"/>
      </w:r>
      <w:r w:rsidRPr="00674C14">
        <w:rPr>
          <w:rStyle w:val="sb8d990e2"/>
          <w:rFonts w:asciiTheme="majorHAnsi" w:hAnsiTheme="majorHAnsi" w:cstheme="majorHAnsi"/>
        </w:rPr>
        <w:instrText xml:space="preserve"> SEQ level0 \*arabic </w:instrText>
      </w:r>
      <w:r w:rsidRPr="00674C14">
        <w:rPr>
          <w:rStyle w:val="sb8d990e2"/>
          <w:rFonts w:asciiTheme="majorHAnsi" w:hAnsiTheme="majorHAnsi" w:cstheme="majorHAnsi"/>
        </w:rPr>
        <w:fldChar w:fldCharType="separate"/>
      </w:r>
      <w:r w:rsidR="004B422D" w:rsidRPr="00674C14">
        <w:rPr>
          <w:rStyle w:val="sb8d990e2"/>
          <w:rFonts w:asciiTheme="majorHAnsi" w:hAnsiTheme="majorHAnsi" w:cstheme="majorHAnsi"/>
          <w:noProof/>
        </w:rPr>
        <w:t>50</w:t>
      </w:r>
      <w:r w:rsidRPr="00674C14">
        <w:rPr>
          <w:rStyle w:val="sb8d990e2"/>
          <w:rFonts w:asciiTheme="majorHAnsi" w:hAnsiTheme="majorHAnsi" w:cstheme="majorHAnsi"/>
        </w:rPr>
        <w:fldChar w:fldCharType="end"/>
      </w:r>
      <w:r w:rsidRPr="00674C14">
        <w:rPr>
          <w:rStyle w:val="sb8d990e2"/>
          <w:rFonts w:asciiTheme="majorHAnsi" w:hAnsiTheme="majorHAnsi" w:cstheme="majorHAnsi"/>
        </w:rPr>
        <w:t xml:space="preserve">. Iepriekšminētajā lietā “fon </w:t>
      </w:r>
      <w:proofErr w:type="spellStart"/>
      <w:r w:rsidRPr="00674C14">
        <w:rPr>
          <w:rStyle w:val="sb8d990e2"/>
          <w:rFonts w:asciiTheme="majorHAnsi" w:hAnsiTheme="majorHAnsi" w:cstheme="majorHAnsi"/>
        </w:rPr>
        <w:t>Hanovera</w:t>
      </w:r>
      <w:proofErr w:type="spellEnd"/>
      <w:r w:rsidRPr="00674C14">
        <w:rPr>
          <w:rStyle w:val="sb8d990e2"/>
          <w:rFonts w:asciiTheme="majorHAnsi" w:hAnsiTheme="majorHAnsi" w:cstheme="majorHAnsi"/>
        </w:rPr>
        <w:t xml:space="preserve"> pret Vāciju (Nr. 2)” [LP] (104.–107. punkts) un lietā “</w:t>
      </w:r>
      <w:proofErr w:type="spellStart"/>
      <w:r w:rsidRPr="00674C14">
        <w:rPr>
          <w:rStyle w:val="sb8d990e2"/>
          <w:rFonts w:asciiTheme="majorHAnsi" w:hAnsiTheme="majorHAnsi" w:cstheme="majorHAnsi"/>
          <w:i/>
        </w:rPr>
        <w:t>Axel</w:t>
      </w:r>
      <w:proofErr w:type="spellEnd"/>
      <w:r w:rsidRPr="00674C14">
        <w:rPr>
          <w:rStyle w:val="sb8d990e2"/>
          <w:rFonts w:asciiTheme="majorHAnsi" w:hAnsiTheme="majorHAnsi" w:cstheme="majorHAnsi"/>
          <w:i/>
        </w:rPr>
        <w:t xml:space="preserve"> </w:t>
      </w:r>
      <w:proofErr w:type="spellStart"/>
      <w:r w:rsidRPr="00674C14">
        <w:rPr>
          <w:rStyle w:val="sb8d990e2"/>
          <w:rFonts w:asciiTheme="majorHAnsi" w:hAnsiTheme="majorHAnsi" w:cstheme="majorHAnsi"/>
          <w:i/>
        </w:rPr>
        <w:t>Springer</w:t>
      </w:r>
      <w:proofErr w:type="spellEnd"/>
      <w:r w:rsidRPr="00674C14">
        <w:rPr>
          <w:rStyle w:val="sb8d990e2"/>
          <w:rFonts w:asciiTheme="majorHAnsi" w:hAnsiTheme="majorHAnsi" w:cstheme="majorHAnsi"/>
          <w:i/>
        </w:rPr>
        <w:t xml:space="preserve"> AG</w:t>
      </w:r>
      <w:r w:rsidRPr="00674C14">
        <w:rPr>
          <w:rStyle w:val="sb8d990e2"/>
          <w:rFonts w:asciiTheme="majorHAnsi" w:hAnsiTheme="majorHAnsi" w:cstheme="majorHAnsi"/>
        </w:rPr>
        <w:t xml:space="preserve"> pret Vāciju” [LP] (85.–88. punkts) Tiesa definēja līgumslēdzēju valstu rīcības brīvību un savu uzdevumu, līdzsvarojot šīs divas pretējās intereses. </w:t>
      </w:r>
      <w:bookmarkStart w:id="15" w:name="para57"/>
      <w:bookmarkEnd w:id="15"/>
      <w:r w:rsidRPr="00674C14">
        <w:rPr>
          <w:rFonts w:asciiTheme="majorHAnsi" w:hAnsiTheme="majorHAnsi" w:cstheme="majorHAnsi"/>
        </w:rPr>
        <w:t xml:space="preserve">Pēc tam Tiesa noteica vairākus kritērijus, kas uzskatāmi par būtiskiem, panākot līdzsvaru starp tiesībām uz vārda brīvību un tiesībām uz cieņu pret privāto dzīvi (skat. iepriekšminētās lietas “fon </w:t>
      </w:r>
      <w:proofErr w:type="spellStart"/>
      <w:r w:rsidRPr="00674C14">
        <w:rPr>
          <w:rFonts w:asciiTheme="majorHAnsi" w:hAnsiTheme="majorHAnsi" w:cstheme="majorHAnsi"/>
        </w:rPr>
        <w:t>Hanovera</w:t>
      </w:r>
      <w:proofErr w:type="spellEnd"/>
      <w:r w:rsidRPr="00674C14">
        <w:rPr>
          <w:rFonts w:asciiTheme="majorHAnsi" w:hAnsiTheme="majorHAnsi" w:cstheme="majorHAnsi"/>
        </w:rPr>
        <w:t xml:space="preserve"> pret Vāciju (Nr. 2)”</w:t>
      </w:r>
      <w:r w:rsidR="00EE5610" w:rsidRPr="00674C14">
        <w:rPr>
          <w:rFonts w:asciiTheme="majorHAnsi" w:hAnsiTheme="majorHAnsi" w:cstheme="majorHAnsi"/>
        </w:rPr>
        <w:t xml:space="preserve"> </w:t>
      </w:r>
      <w:r w:rsidRPr="00674C14">
        <w:rPr>
          <w:rFonts w:asciiTheme="majorHAnsi" w:hAnsiTheme="majorHAnsi" w:cstheme="majorHAnsi"/>
        </w:rPr>
        <w:t>[LP]</w:t>
      </w:r>
      <w:r w:rsidRPr="00674C14">
        <w:rPr>
          <w:rStyle w:val="sb8d990e2"/>
          <w:rFonts w:asciiTheme="majorHAnsi" w:hAnsiTheme="majorHAnsi" w:cstheme="majorHAnsi"/>
        </w:rPr>
        <w:t>109.–113. punktu; un lietas “</w:t>
      </w:r>
      <w:proofErr w:type="spellStart"/>
      <w:r w:rsidRPr="00674C14">
        <w:rPr>
          <w:rStyle w:val="sb8d990e2"/>
          <w:rFonts w:asciiTheme="majorHAnsi" w:hAnsiTheme="majorHAnsi" w:cstheme="majorHAnsi"/>
          <w:i/>
        </w:rPr>
        <w:t>Axel</w:t>
      </w:r>
      <w:proofErr w:type="spellEnd"/>
      <w:r w:rsidRPr="00674C14">
        <w:rPr>
          <w:rStyle w:val="sb8d990e2"/>
          <w:rFonts w:asciiTheme="majorHAnsi" w:hAnsiTheme="majorHAnsi" w:cstheme="majorHAnsi"/>
          <w:i/>
        </w:rPr>
        <w:t xml:space="preserve"> </w:t>
      </w:r>
      <w:proofErr w:type="spellStart"/>
      <w:r w:rsidRPr="00674C14">
        <w:rPr>
          <w:rStyle w:val="sb8d990e2"/>
          <w:rFonts w:asciiTheme="majorHAnsi" w:hAnsiTheme="majorHAnsi" w:cstheme="majorHAnsi"/>
          <w:i/>
        </w:rPr>
        <w:t>Springer</w:t>
      </w:r>
      <w:proofErr w:type="spellEnd"/>
      <w:r w:rsidRPr="00674C14">
        <w:rPr>
          <w:rStyle w:val="sb8d990e2"/>
          <w:rFonts w:asciiTheme="majorHAnsi" w:hAnsiTheme="majorHAnsi" w:cstheme="majorHAnsi"/>
          <w:i/>
        </w:rPr>
        <w:t xml:space="preserve"> AG</w:t>
      </w:r>
      <w:r w:rsidRPr="00674C14">
        <w:rPr>
          <w:rStyle w:val="sb8d990e2"/>
          <w:rFonts w:asciiTheme="majorHAnsi" w:hAnsiTheme="majorHAnsi" w:cstheme="majorHAnsi"/>
        </w:rPr>
        <w:t xml:space="preserve"> pret</w:t>
      </w:r>
      <w:r w:rsidR="00EE5610" w:rsidRPr="00674C14">
        <w:rPr>
          <w:rStyle w:val="sb8d990e2"/>
          <w:rFonts w:asciiTheme="majorHAnsi" w:hAnsiTheme="majorHAnsi" w:cstheme="majorHAnsi"/>
        </w:rPr>
        <w:t xml:space="preserve"> </w:t>
      </w:r>
      <w:r w:rsidRPr="00674C14">
        <w:rPr>
          <w:rFonts w:asciiTheme="majorHAnsi" w:hAnsiTheme="majorHAnsi" w:cstheme="majorHAnsi"/>
        </w:rPr>
        <w:t>Vāciju”</w:t>
      </w:r>
      <w:r w:rsidRPr="00674C14">
        <w:rPr>
          <w:rStyle w:val="sb8d990e2"/>
          <w:rFonts w:asciiTheme="majorHAnsi" w:hAnsiTheme="majorHAnsi" w:cstheme="majorHAnsi"/>
        </w:rPr>
        <w:t xml:space="preserve"> </w:t>
      </w:r>
      <w:r w:rsidRPr="00674C14">
        <w:rPr>
          <w:rFonts w:asciiTheme="majorHAnsi" w:hAnsiTheme="majorHAnsi" w:cstheme="majorHAnsi"/>
        </w:rPr>
        <w:t>[LP]</w:t>
      </w:r>
      <w:r w:rsidRPr="00674C14">
        <w:rPr>
          <w:rStyle w:val="sb8d990e2"/>
          <w:rFonts w:asciiTheme="majorHAnsi" w:hAnsiTheme="majorHAnsi" w:cstheme="majorHAnsi"/>
        </w:rPr>
        <w:t xml:space="preserve"> 89.–95. punktu), proti:</w:t>
      </w:r>
    </w:p>
    <w:p w:rsidR="009B6BDB" w:rsidRPr="00674C14" w:rsidRDefault="009B6BDB" w:rsidP="009B6BDB">
      <w:pPr>
        <w:pStyle w:val="JuQuot"/>
        <w:rPr>
          <w:rFonts w:asciiTheme="majorHAnsi" w:hAnsiTheme="majorHAnsi" w:cstheme="majorHAnsi"/>
        </w:rPr>
      </w:pPr>
      <w:r w:rsidRPr="00674C14">
        <w:rPr>
          <w:rStyle w:val="sb8d990e2"/>
          <w:rFonts w:asciiTheme="majorHAnsi" w:hAnsiTheme="majorHAnsi" w:cstheme="majorHAnsi"/>
        </w:rPr>
        <w:t>i) vispārējas nozīmes debašu veicināšana;</w:t>
      </w:r>
    </w:p>
    <w:p w:rsidR="009B6BDB" w:rsidRPr="00674C14" w:rsidRDefault="009B6BDB" w:rsidP="009B6BDB">
      <w:pPr>
        <w:pStyle w:val="JuQuot"/>
        <w:rPr>
          <w:rFonts w:asciiTheme="majorHAnsi" w:hAnsiTheme="majorHAnsi" w:cstheme="majorHAnsi"/>
        </w:rPr>
      </w:pPr>
      <w:r w:rsidRPr="00674C14">
        <w:rPr>
          <w:rStyle w:val="sb8d990e2"/>
          <w:rFonts w:asciiTheme="majorHAnsi" w:hAnsiTheme="majorHAnsi" w:cstheme="majorHAnsi"/>
        </w:rPr>
        <w:t>ii) cik pazīstama ir attiecīgā persona, un kāds ir ziņojuma temats;</w:t>
      </w:r>
    </w:p>
    <w:p w:rsidR="009B6BDB" w:rsidRPr="00674C14" w:rsidRDefault="009B6BDB" w:rsidP="009B6BDB">
      <w:pPr>
        <w:pStyle w:val="JuQuot"/>
        <w:rPr>
          <w:rFonts w:asciiTheme="majorHAnsi" w:hAnsiTheme="majorHAnsi" w:cstheme="majorHAnsi"/>
        </w:rPr>
      </w:pPr>
      <w:r w:rsidRPr="00674C14">
        <w:rPr>
          <w:rStyle w:val="sb8d990e2"/>
          <w:rFonts w:asciiTheme="majorHAnsi" w:hAnsiTheme="majorHAnsi" w:cstheme="majorHAnsi"/>
        </w:rPr>
        <w:t>iii) attiecīgās personas iepriekšējā izturēšanās;</w:t>
      </w:r>
    </w:p>
    <w:p w:rsidR="009B6BDB" w:rsidRPr="00674C14" w:rsidRDefault="009B6BDB" w:rsidP="009B6BDB">
      <w:pPr>
        <w:pStyle w:val="JuQuot"/>
        <w:rPr>
          <w:rFonts w:asciiTheme="majorHAnsi" w:hAnsiTheme="majorHAnsi" w:cstheme="majorHAnsi"/>
        </w:rPr>
      </w:pPr>
      <w:r w:rsidRPr="00674C14">
        <w:rPr>
          <w:rStyle w:val="sb8d990e2"/>
          <w:rFonts w:asciiTheme="majorHAnsi" w:hAnsiTheme="majorHAnsi" w:cstheme="majorHAnsi"/>
        </w:rPr>
        <w:t>iv) informācijas iegūšanas veids un ticamība/apstākļi, kuros uzņemtas fotogrāfijas;</w:t>
      </w:r>
    </w:p>
    <w:p w:rsidR="009B6BDB" w:rsidRPr="00674C14" w:rsidRDefault="009B6BDB" w:rsidP="009B6BDB">
      <w:pPr>
        <w:pStyle w:val="JuQuot"/>
        <w:rPr>
          <w:rFonts w:asciiTheme="majorHAnsi" w:hAnsiTheme="majorHAnsi" w:cstheme="majorHAnsi"/>
        </w:rPr>
      </w:pPr>
      <w:r w:rsidRPr="00674C14">
        <w:rPr>
          <w:rStyle w:val="sb8d990e2"/>
          <w:rFonts w:asciiTheme="majorHAnsi" w:hAnsiTheme="majorHAnsi" w:cstheme="majorHAnsi"/>
        </w:rPr>
        <w:t>v) publikācijas saturs, forma un sekas; un</w:t>
      </w:r>
    </w:p>
    <w:p w:rsidR="009B6BDB" w:rsidRPr="00674C14" w:rsidRDefault="009B6BDB" w:rsidP="009B6BDB">
      <w:pPr>
        <w:pStyle w:val="JuQuot"/>
        <w:rPr>
          <w:rFonts w:asciiTheme="majorHAnsi" w:hAnsiTheme="majorHAnsi" w:cstheme="majorHAnsi"/>
        </w:rPr>
      </w:pPr>
      <w:r w:rsidRPr="00674C14">
        <w:rPr>
          <w:rStyle w:val="sb8d990e2"/>
          <w:rFonts w:asciiTheme="majorHAnsi" w:hAnsiTheme="majorHAnsi" w:cstheme="majorHAnsi"/>
        </w:rPr>
        <w:lastRenderedPageBreak/>
        <w:t>vi) noteiktu sankciju smagums.</w:t>
      </w:r>
    </w:p>
    <w:p w:rsidR="00CC54EB" w:rsidRPr="00674C14" w:rsidRDefault="00A03369" w:rsidP="00CC54EB">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51</w:t>
      </w:r>
      <w:r w:rsidRPr="00674C14">
        <w:rPr>
          <w:rFonts w:asciiTheme="majorHAnsi" w:hAnsiTheme="majorHAnsi" w:cstheme="majorHAnsi"/>
          <w:noProof/>
        </w:rPr>
        <w:fldChar w:fldCharType="end"/>
      </w:r>
      <w:r w:rsidRPr="00674C14">
        <w:rPr>
          <w:rFonts w:asciiTheme="majorHAnsi" w:hAnsiTheme="majorHAnsi" w:cstheme="majorHAnsi"/>
        </w:rPr>
        <w:t>. Attiecībā uz šīs lietas apstākļiem Tiesa norāda, ka pieteikuma iesniedzēja tika apsūdzēta, saukta pie atbildības un notiesāta par neslavas celšanu kā žurnāliste un viņai piesprieda samaksāt K. U. atlīdzinājumu par kaitējumu, kā arī tiesāšanās izdevumus.</w:t>
      </w:r>
    </w:p>
    <w:p w:rsidR="0032023D" w:rsidRPr="00674C14" w:rsidRDefault="00A03369" w:rsidP="00484FC4">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52</w:t>
      </w:r>
      <w:r w:rsidRPr="00674C14">
        <w:rPr>
          <w:rFonts w:asciiTheme="majorHAnsi" w:hAnsiTheme="majorHAnsi" w:cstheme="majorHAnsi"/>
          <w:noProof/>
        </w:rPr>
        <w:fldChar w:fldCharType="end"/>
      </w:r>
      <w:r w:rsidRPr="00674C14">
        <w:rPr>
          <w:rFonts w:asciiTheme="majorHAnsi" w:hAnsiTheme="majorHAnsi" w:cstheme="majorHAnsi"/>
        </w:rPr>
        <w:t>. Tiesa vispirms ņem vērā, ka 2004. gada 8. jūlijā publicētajā rakstā norādīts: Vantā brutāli nogalinātais P. O. varētu būt bijis saistīts ar uzņēmēju K. U. 2002. gadā P. O. tika notverts, cenšoties kontrabandas ceļā ievest maisus ar naudu no Igaunijas Somijā, un policijai bija aizdomas, ka šie maisi un to saturs piederēja K. U. Šajā lietā, kuru izskata prokuratūra, izvērtējot apsūdzības, P. O. tika turēts aizdomās par smaga noziedzīga nodarījuma izdarīšanu saistībā ar līdzekļu saņemšanu, un K. U. – par smaga noziedzīga nodarījuma izdarīšanu saistībā ar parādnieka krāpšanu. K. U. saistība ar slepkavības upuri attiecās uz slepkavības izmeklēšanu. Rakstā bija norādīts K. U. pilnais vārds, ko papildināja viņa fotogrāfija.</w:t>
      </w:r>
    </w:p>
    <w:p w:rsidR="00C054BA" w:rsidRPr="00674C14" w:rsidRDefault="00A03369" w:rsidP="00C054BA">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53</w:t>
      </w:r>
      <w:r w:rsidRPr="00674C14">
        <w:rPr>
          <w:rFonts w:asciiTheme="majorHAnsi" w:hAnsiTheme="majorHAnsi" w:cstheme="majorHAnsi"/>
          <w:noProof/>
        </w:rPr>
        <w:fldChar w:fldCharType="end"/>
      </w:r>
      <w:r w:rsidRPr="00674C14">
        <w:rPr>
          <w:rFonts w:asciiTheme="majorHAnsi" w:hAnsiTheme="majorHAnsi" w:cstheme="majorHAnsi"/>
        </w:rPr>
        <w:t xml:space="preserve">. Lai novērtētu, vai pārliecinoši konstatēta “nepieciešamība” ierobežot vārda brīvību, Tiesai jāizvērtē, vai </w:t>
      </w:r>
      <w:r w:rsidRPr="00674C14">
        <w:rPr>
          <w:rStyle w:val="sfbbfee58"/>
          <w:rFonts w:asciiTheme="majorHAnsi" w:hAnsiTheme="majorHAnsi" w:cstheme="majorHAnsi"/>
        </w:rPr>
        <w:t>valsts iestāžu rastais līdzsvars starp vārda brīvību un tiesībām uz cieņu pret privāto dzīvi atbilst Tiesas praksē izvirzītajiem kritērijiem.</w:t>
      </w:r>
    </w:p>
    <w:p w:rsidR="00CC54EB" w:rsidRPr="00674C14" w:rsidRDefault="00A03369" w:rsidP="00CC54EB">
      <w:pPr>
        <w:pStyle w:val="ECHRPara"/>
        <w:rPr>
          <w:rFonts w:asciiTheme="majorHAnsi" w:hAnsiTheme="majorHAnsi" w:cstheme="majorHAnsi"/>
          <w:szCs w:val="24"/>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54</w:t>
      </w:r>
      <w:r w:rsidRPr="00674C14">
        <w:rPr>
          <w:rFonts w:asciiTheme="majorHAnsi" w:hAnsiTheme="majorHAnsi" w:cstheme="majorHAnsi"/>
          <w:noProof/>
        </w:rPr>
        <w:fldChar w:fldCharType="end"/>
      </w:r>
      <w:r w:rsidRPr="00674C14">
        <w:rPr>
          <w:rFonts w:asciiTheme="majorHAnsi" w:hAnsiTheme="majorHAnsi" w:cstheme="majorHAnsi"/>
        </w:rPr>
        <w:t xml:space="preserve">. Tiesa uzskata, ka vispārējais temats, kas bija attiecīgā raksta pamatā, proti, slepkavības </w:t>
      </w:r>
      <w:proofErr w:type="spellStart"/>
      <w:r w:rsidRPr="00674C14">
        <w:rPr>
          <w:rFonts w:asciiTheme="majorHAnsi" w:hAnsiTheme="majorHAnsi" w:cstheme="majorHAnsi"/>
        </w:rPr>
        <w:t>kriminālizmeklēšana</w:t>
      </w:r>
      <w:proofErr w:type="spellEnd"/>
      <w:r w:rsidRPr="00674C14">
        <w:rPr>
          <w:rFonts w:asciiTheme="majorHAnsi" w:hAnsiTheme="majorHAnsi" w:cstheme="majorHAnsi"/>
        </w:rPr>
        <w:t>, nepārprotami bija jautājums, kas skar sabiedrības likumīgās intereses, jo īpaši ņemot vērā noziedzīgā nodarījuma smago raksturu. Ievērojot sabiedrības tiesības saņemt informāciju par vispārējas nozīmes jautājumiem, tātad raugoties no preses viedokļa, bija pamatots iemesls informēt sabiedrību par šo lietu.</w:t>
      </w:r>
    </w:p>
    <w:p w:rsidR="00CC54EB" w:rsidRPr="00674C14" w:rsidRDefault="00A03369" w:rsidP="00CC54EB">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55</w:t>
      </w:r>
      <w:r w:rsidRPr="00674C14">
        <w:rPr>
          <w:rFonts w:asciiTheme="majorHAnsi" w:hAnsiTheme="majorHAnsi" w:cstheme="majorHAnsi"/>
          <w:noProof/>
        </w:rPr>
        <w:fldChar w:fldCharType="end"/>
      </w:r>
      <w:r w:rsidRPr="00674C14">
        <w:rPr>
          <w:rFonts w:asciiTheme="majorHAnsi" w:hAnsiTheme="majorHAnsi" w:cstheme="majorHAnsi"/>
        </w:rPr>
        <w:t xml:space="preserve">. Tiesa norāda: pēc valsts tiesu konstatētā tikpat skaidrs bija tas, ka raksta publicēšanas brīdī K. U. jau atradās uzmanības centrā. Tāpat netiek apgalvots, ka rakstā norādītā informācija vai K. U. fotogrāfija bija iegūta ar viltu vai citiem nelikumīgiem līdzekļiem (salīdzināt ar iepriekšminētās lietas “fon </w:t>
      </w:r>
      <w:proofErr w:type="spellStart"/>
      <w:r w:rsidRPr="00674C14">
        <w:rPr>
          <w:rFonts w:asciiTheme="majorHAnsi" w:hAnsiTheme="majorHAnsi" w:cstheme="majorHAnsi"/>
        </w:rPr>
        <w:t>Hanovera</w:t>
      </w:r>
      <w:proofErr w:type="spellEnd"/>
      <w:r w:rsidRPr="00674C14">
        <w:rPr>
          <w:rFonts w:asciiTheme="majorHAnsi" w:hAnsiTheme="majorHAnsi" w:cstheme="majorHAnsi"/>
        </w:rPr>
        <w:t xml:space="preserve"> pret Vāciju” 68. punktu). Gluži otrādi – raksta pamatā bija valsts iestāžu sniegtā informācija, un K. U. fotogrāfija bija uzņemta publiskā pasākumā.</w:t>
      </w:r>
    </w:p>
    <w:p w:rsidR="00CC54EB" w:rsidRPr="00674C14" w:rsidRDefault="00A03369" w:rsidP="00CC54EB">
      <w:pPr>
        <w:pStyle w:val="ECHRPara"/>
        <w:rPr>
          <w:rFonts w:asciiTheme="majorHAnsi" w:hAnsiTheme="majorHAnsi" w:cstheme="majorHAnsi"/>
          <w: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56</w:t>
      </w:r>
      <w:r w:rsidRPr="00674C14">
        <w:rPr>
          <w:rFonts w:asciiTheme="majorHAnsi" w:hAnsiTheme="majorHAnsi" w:cstheme="majorHAnsi"/>
          <w:noProof/>
        </w:rPr>
        <w:fldChar w:fldCharType="end"/>
      </w:r>
      <w:r w:rsidRPr="00674C14">
        <w:rPr>
          <w:rFonts w:asciiTheme="majorHAnsi" w:hAnsiTheme="majorHAnsi" w:cstheme="majorHAnsi"/>
        </w:rPr>
        <w:t>. Turklāt Tiesa ņem vērā, ka attiecīgajā rakstā izklāstītie fakti netika apstrīdēti pat valsts tiesās. Nav pierādījumu vai kaut vai apgalvojumu par faktu kļūdām, nepareizu izklāstījumu vai ļaunticību no pieteikuma iesniedzējas puses (šajā sakarā skat. lietas “</w:t>
      </w:r>
      <w:proofErr w:type="spellStart"/>
      <w:r w:rsidRPr="00674C14">
        <w:rPr>
          <w:rFonts w:asciiTheme="majorHAnsi" w:hAnsiTheme="majorHAnsi" w:cstheme="majorHAnsi"/>
        </w:rPr>
        <w:t>Flinkile</w:t>
      </w:r>
      <w:proofErr w:type="spellEnd"/>
      <w:r w:rsidRPr="00674C14">
        <w:rPr>
          <w:rFonts w:asciiTheme="majorHAnsi" w:hAnsiTheme="majorHAnsi" w:cstheme="majorHAnsi"/>
        </w:rPr>
        <w:t xml:space="preserve"> [</w:t>
      </w:r>
      <w:proofErr w:type="spellStart"/>
      <w:r w:rsidRPr="00674C14">
        <w:rPr>
          <w:rFonts w:asciiTheme="majorHAnsi" w:hAnsiTheme="majorHAnsi" w:cstheme="majorHAnsi"/>
          <w:i/>
        </w:rPr>
        <w:t>Flinkkilä</w:t>
      </w:r>
      <w:proofErr w:type="spellEnd"/>
      <w:r w:rsidRPr="00674C14">
        <w:rPr>
          <w:rFonts w:asciiTheme="majorHAnsi" w:hAnsiTheme="majorHAnsi" w:cstheme="majorHAnsi"/>
        </w:rPr>
        <w:t>] un citi pret Somiju”, Nr. 25576/04, 81. punktu, 2010. gada 6. aprīlis).</w:t>
      </w:r>
    </w:p>
    <w:p w:rsidR="00317940" w:rsidRPr="00674C14" w:rsidRDefault="00A03369" w:rsidP="00450B5E">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57</w:t>
      </w:r>
      <w:r w:rsidRPr="00674C14">
        <w:rPr>
          <w:rFonts w:asciiTheme="majorHAnsi" w:hAnsiTheme="majorHAnsi" w:cstheme="majorHAnsi"/>
          <w:noProof/>
        </w:rPr>
        <w:fldChar w:fldCharType="end"/>
      </w:r>
      <w:r w:rsidRPr="00674C14">
        <w:rPr>
          <w:rFonts w:asciiTheme="majorHAnsi" w:hAnsiTheme="majorHAnsi" w:cstheme="majorHAnsi"/>
        </w:rPr>
        <w:t xml:space="preserve">. Tomēr Tiesa norāda, ka apstrīdētā raksta virsraksts bija </w:t>
      </w:r>
      <w:r w:rsidRPr="00674C14">
        <w:rPr>
          <w:rFonts w:asciiTheme="majorHAnsi" w:hAnsiTheme="majorHAnsi" w:cstheme="majorHAnsi"/>
          <w:i/>
        </w:rPr>
        <w:t xml:space="preserve">“Vai Vantā slepkavības upuris bija saistīts ar K. U.?” </w:t>
      </w:r>
      <w:r w:rsidRPr="00674C14">
        <w:rPr>
          <w:rFonts w:asciiTheme="majorHAnsi" w:hAnsiTheme="majorHAnsi" w:cstheme="majorHAnsi"/>
        </w:rPr>
        <w:t>Lai gan tas bija noformulēts kā jautājums, valsts tiesas uzskatīja, ka virsraksts radīja saistību starp K. U. un slepkavību, netieši norādot, ka viņš tajā iesaistīts. Raksta tekstā šo apgalvojumu mazināja paziņojums, ka šāda saistība varētu būt ar slepkavības upuri. Tomēr valsts tiesas uzsvēra, ka lasītājam šī informācija parādījās tikai raksta tekstā. Turklāt valsts tiesas vērsa uzmanību uz to, ka virsrakstā bija netieši apgalvots: K. U. ir saistīts ar nozieguma upuri. Lai gan raksta tekstā konkrēti bija norādīts, ka persona, kas tiek turēta aizdomās par slepkavību, nebija saistīta ar K. U., šī informācija parādījās tikai teksta beigās.</w:t>
      </w:r>
    </w:p>
    <w:p w:rsidR="00A170C7" w:rsidRPr="00674C14" w:rsidRDefault="00A03369" w:rsidP="00981AAF">
      <w:pPr>
        <w:pStyle w:val="ECHRPara"/>
        <w:rPr>
          <w:rFonts w:asciiTheme="majorHAnsi" w:hAnsiTheme="majorHAnsi" w:cstheme="majorHAnsi"/>
          <w:snapToGrid w:val="0"/>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58</w:t>
      </w:r>
      <w:r w:rsidRPr="00674C14">
        <w:rPr>
          <w:rFonts w:asciiTheme="majorHAnsi" w:hAnsiTheme="majorHAnsi" w:cstheme="majorHAnsi"/>
          <w:noProof/>
        </w:rPr>
        <w:fldChar w:fldCharType="end"/>
      </w:r>
      <w:r w:rsidRPr="00674C14">
        <w:rPr>
          <w:rFonts w:asciiTheme="majorHAnsi" w:hAnsiTheme="majorHAnsi" w:cstheme="majorHAnsi"/>
        </w:rPr>
        <w:t xml:space="preserve">. Tiesa norāda, ka apelācijas tiesa savā spriedumā konstatēja: pieteikuma iesniedzējai vajadzēja pieļaut iespēju, ka rakstā izteikts nepatiess mājiens un šis nepatiesais mājiens var radīt ciešanas K. U. Tiesa šajā sakarā atsaucas uz nevainīguma prezumpcijas principu saskaņā ar Konvencijas </w:t>
      </w:r>
      <w:r w:rsidRPr="00674C14">
        <w:rPr>
          <w:rStyle w:val="sb8d990e2"/>
          <w:rFonts w:asciiTheme="majorHAnsi" w:hAnsiTheme="majorHAnsi" w:cstheme="majorHAnsi"/>
        </w:rPr>
        <w:t>6. panta 2. punktu un uzsver, ka šis princips var būt būtisks arī 10. panta kontekstā situācijās, kurās nekas nav skaidri pateikts, bet tikai netieši norādīts (salīdzināt un pretstatīt ar lietas “</w:t>
      </w:r>
      <w:proofErr w:type="spellStart"/>
      <w:r w:rsidRPr="00674C14">
        <w:rPr>
          <w:rStyle w:val="sb8d990e2"/>
          <w:rFonts w:asciiTheme="majorHAnsi" w:hAnsiTheme="majorHAnsi" w:cstheme="majorHAnsi"/>
        </w:rPr>
        <w:t>Rokanens</w:t>
      </w:r>
      <w:proofErr w:type="spellEnd"/>
      <w:r w:rsidRPr="00674C14">
        <w:rPr>
          <w:rStyle w:val="sb8d990e2"/>
          <w:rFonts w:asciiTheme="majorHAnsi" w:hAnsiTheme="majorHAnsi" w:cstheme="majorHAnsi"/>
        </w:rPr>
        <w:t xml:space="preserve"> [</w:t>
      </w:r>
      <w:proofErr w:type="spellStart"/>
      <w:r w:rsidRPr="00674C14">
        <w:rPr>
          <w:rStyle w:val="sb8d990e2"/>
          <w:rFonts w:asciiTheme="majorHAnsi" w:hAnsiTheme="majorHAnsi" w:cstheme="majorHAnsi"/>
          <w:i/>
        </w:rPr>
        <w:t>Ruokanen</w:t>
      </w:r>
      <w:proofErr w:type="spellEnd"/>
      <w:r w:rsidRPr="00674C14">
        <w:rPr>
          <w:rStyle w:val="sb8d990e2"/>
          <w:rFonts w:asciiTheme="majorHAnsi" w:hAnsiTheme="majorHAnsi" w:cstheme="majorHAnsi"/>
        </w:rPr>
        <w:t>] un citi pret Somiju”, Nr. 45130/06, 48. punktu, 2010. gada 6. aprīlis).</w:t>
      </w:r>
    </w:p>
    <w:p w:rsidR="00CC54EB" w:rsidRPr="00674C14" w:rsidRDefault="00A170C7" w:rsidP="00981AAF">
      <w:pPr>
        <w:pStyle w:val="ECHRPara"/>
        <w:rPr>
          <w:rFonts w:asciiTheme="majorHAnsi" w:hAnsiTheme="majorHAnsi" w:cstheme="majorHAnsi"/>
        </w:rPr>
      </w:pPr>
      <w:r w:rsidRPr="00674C14">
        <w:rPr>
          <w:rFonts w:asciiTheme="majorHAnsi" w:hAnsiTheme="majorHAnsi" w:cstheme="majorHAnsi"/>
          <w:snapToGrid w:val="0"/>
        </w:rPr>
        <w:fldChar w:fldCharType="begin"/>
      </w:r>
      <w:r w:rsidRPr="00674C14">
        <w:rPr>
          <w:rFonts w:asciiTheme="majorHAnsi" w:hAnsiTheme="majorHAnsi" w:cstheme="majorHAnsi"/>
          <w:snapToGrid w:val="0"/>
        </w:rPr>
        <w:instrText xml:space="preserve"> SEQ level0 \*arabic </w:instrText>
      </w:r>
      <w:r w:rsidRPr="00674C14">
        <w:rPr>
          <w:rFonts w:asciiTheme="majorHAnsi" w:hAnsiTheme="majorHAnsi" w:cstheme="majorHAnsi"/>
          <w:snapToGrid w:val="0"/>
        </w:rPr>
        <w:fldChar w:fldCharType="separate"/>
      </w:r>
      <w:r w:rsidR="004B422D" w:rsidRPr="00674C14">
        <w:rPr>
          <w:rFonts w:asciiTheme="majorHAnsi" w:hAnsiTheme="majorHAnsi" w:cstheme="majorHAnsi"/>
          <w:noProof/>
          <w:snapToGrid w:val="0"/>
        </w:rPr>
        <w:t>59</w:t>
      </w:r>
      <w:r w:rsidRPr="00674C14">
        <w:rPr>
          <w:rFonts w:asciiTheme="majorHAnsi" w:hAnsiTheme="majorHAnsi" w:cstheme="majorHAnsi"/>
          <w:snapToGrid w:val="0"/>
        </w:rPr>
        <w:fldChar w:fldCharType="end"/>
      </w:r>
      <w:r w:rsidRPr="00674C14">
        <w:rPr>
          <w:rFonts w:asciiTheme="majorHAnsi" w:hAnsiTheme="majorHAnsi" w:cstheme="majorHAnsi"/>
        </w:rPr>
        <w:t xml:space="preserve">. Kopumā divu nesaistītu </w:t>
      </w:r>
      <w:proofErr w:type="spellStart"/>
      <w:r w:rsidRPr="00674C14">
        <w:rPr>
          <w:rFonts w:asciiTheme="majorHAnsi" w:hAnsiTheme="majorHAnsi" w:cstheme="majorHAnsi"/>
        </w:rPr>
        <w:t>kriminālizmeklēšanu</w:t>
      </w:r>
      <w:proofErr w:type="spellEnd"/>
      <w:r w:rsidRPr="00674C14">
        <w:rPr>
          <w:rFonts w:asciiTheme="majorHAnsi" w:hAnsiTheme="majorHAnsi" w:cstheme="majorHAnsi"/>
        </w:rPr>
        <w:t xml:space="preserve"> salīdzināšana, kā arī virsraksti, kas parastam lasītājam skaidri lika noprast, ka par P. O. slepkavību zināms vairāk, nekā faktiski norādīts rakstu tekstā, cēla neslavu K. U., dodot mājienu, ka viņš tā vai citādi bija atbildīgs par P. O. slepkavību. Tādējādi netieši tika norādīts uz faktu, kas ļoti kaitēja K. U. reputācijai. Pieteikuma iesniedzēja nevienā brīdī necentās pierādīt patiesību par netieši norādīto faktu, kā arī neuzstāja, ka mājiens bija godīgs komentārs, kas balstījās uz attiecīgiem faktiem.</w:t>
      </w:r>
    </w:p>
    <w:p w:rsidR="001E3889" w:rsidRPr="00674C14" w:rsidRDefault="00A03369" w:rsidP="007E5A7C">
      <w:pPr>
        <w:pStyle w:val="ECHRPara"/>
        <w:rPr>
          <w:rFonts w:asciiTheme="majorHAnsi" w:hAnsiTheme="majorHAnsi" w:cstheme="majorHAnsi"/>
        </w:rPr>
      </w:pPr>
      <w:r w:rsidRPr="00674C14">
        <w:rPr>
          <w:rFonts w:asciiTheme="majorHAnsi" w:hAnsiTheme="majorHAnsi" w:cstheme="majorHAnsi"/>
        </w:rPr>
        <w:lastRenderedPageBreak/>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60</w:t>
      </w:r>
      <w:r w:rsidRPr="00674C14">
        <w:rPr>
          <w:rFonts w:asciiTheme="majorHAnsi" w:hAnsiTheme="majorHAnsi" w:cstheme="majorHAnsi"/>
          <w:noProof/>
        </w:rPr>
        <w:fldChar w:fldCharType="end"/>
      </w:r>
      <w:r w:rsidRPr="00674C14">
        <w:rPr>
          <w:rFonts w:asciiTheme="majorHAnsi" w:hAnsiTheme="majorHAnsi" w:cstheme="majorHAnsi"/>
        </w:rPr>
        <w:t>. Turklāt Tiesa vērš uzmanību uz to, ka rajona tiesa savā spriedumā izvērtēja tādas pretējas intereses kā vārda brīvība un tiesības uz privātumu, atsaucoties uz Konstitūciju, kā arī Konvencijas 10. pantu. Rajona tiesa arī norādīja uz Augstākās tiesas precedentu, kurā tiesa, atsaucoties uz Tiesas attiecīgo praksi, bija konstatējusi, ka vārda brīvība neattaisno personas cieņas vai privātās dzīves aizskārumu. Atstājot spēkā rajona tiesas spriedumu, arī apelācijas tiesa piekrita šim pamatojumam. Tāpēc Tiesa uzskata, ka valsts tiesas savā analīzē piešķīra pietiekamu nozīmi pieteikuma iesniedzējas tiesībām uz vārda brīvību un nodrošināja atbilstošu līdzsvaru starp šīm tiesībām un K. U. tiesībām uz reputāciju.</w:t>
      </w:r>
    </w:p>
    <w:p w:rsidR="00A170C7" w:rsidRPr="00674C14" w:rsidRDefault="00A03369" w:rsidP="007E5A7C">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61</w:t>
      </w:r>
      <w:r w:rsidRPr="00674C14">
        <w:rPr>
          <w:rFonts w:asciiTheme="majorHAnsi" w:hAnsiTheme="majorHAnsi" w:cstheme="majorHAnsi"/>
          <w:noProof/>
        </w:rPr>
        <w:fldChar w:fldCharType="end"/>
      </w:r>
      <w:r w:rsidRPr="00674C14">
        <w:rPr>
          <w:rFonts w:asciiTheme="majorHAnsi" w:hAnsiTheme="majorHAnsi" w:cstheme="majorHAnsi"/>
        </w:rPr>
        <w:t>. Visbeidzot Tiesa ņem vērā pieteikuma iesniedzējai piemēroto sankciju smagumu.</w:t>
      </w:r>
      <w:r w:rsidRPr="00674C14">
        <w:rPr>
          <w:rStyle w:val="sb8d990e2"/>
          <w:rFonts w:asciiTheme="majorHAnsi" w:hAnsiTheme="majorHAnsi" w:cstheme="majorHAnsi"/>
        </w:rPr>
        <w:t xml:space="preserve"> Pieteikuma iesniedzēja tika notiesāta pēc krimināllikuma un sodīta ar naudas sodu 30 dienu algas apmērā, kas kopā bija </w:t>
      </w:r>
      <w:r w:rsidRPr="00674C14">
        <w:rPr>
          <w:rFonts w:asciiTheme="majorHAnsi" w:hAnsiTheme="majorHAnsi" w:cstheme="majorHAnsi"/>
        </w:rPr>
        <w:t>720 EUR</w:t>
      </w:r>
      <w:r w:rsidRPr="00674C14">
        <w:rPr>
          <w:rStyle w:val="sb8d990e2"/>
          <w:rFonts w:asciiTheme="majorHAnsi" w:hAnsiTheme="majorHAnsi" w:cstheme="majorHAnsi"/>
        </w:rPr>
        <w:t xml:space="preserve">. </w:t>
      </w:r>
      <w:r w:rsidRPr="00674C14">
        <w:rPr>
          <w:rFonts w:asciiTheme="majorHAnsi" w:hAnsiTheme="majorHAnsi" w:cstheme="majorHAnsi"/>
        </w:rPr>
        <w:t xml:space="preserve">Tāpat viņai solidāri ar </w:t>
      </w:r>
      <w:proofErr w:type="spellStart"/>
      <w:r w:rsidRPr="00674C14">
        <w:rPr>
          <w:rFonts w:asciiTheme="majorHAnsi" w:hAnsiTheme="majorHAnsi" w:cstheme="majorHAnsi"/>
        </w:rPr>
        <w:t>līdzapsūdzēto</w:t>
      </w:r>
      <w:proofErr w:type="spellEnd"/>
      <w:r w:rsidRPr="00674C14">
        <w:rPr>
          <w:rFonts w:asciiTheme="majorHAnsi" w:hAnsiTheme="majorHAnsi" w:cstheme="majorHAnsi"/>
        </w:rPr>
        <w:t xml:space="preserve"> bija jāsamaksā K. U. 2000 EUR par ciešanām un 1500 EUR par tiesāšanās izdevumiem. </w:t>
      </w:r>
      <w:r w:rsidRPr="00674C14">
        <w:rPr>
          <w:rStyle w:val="sb8d990e2"/>
          <w:rFonts w:asciiTheme="majorHAnsi" w:hAnsiTheme="majorHAnsi" w:cstheme="majorHAnsi"/>
        </w:rPr>
        <w:t>Citas sankcijas vai finansiālas sekas netika noteiktas. Turklāt Tiesa norāda, ka saskaņā ar valsts tiesību aktiem saistībā ar notiesāšanu netika veikts ieraksts par pieteikuma iesniedzējas sodāmību, jo noteiktā sankcija attiecās tikai uz naudas sodu. Tiesa uzskata</w:t>
      </w:r>
      <w:bookmarkStart w:id="16" w:name="_GoBack"/>
      <w:bookmarkEnd w:id="16"/>
      <w:r w:rsidRPr="00674C14">
        <w:rPr>
          <w:rStyle w:val="sb8d990e2"/>
          <w:rFonts w:asciiTheme="majorHAnsi" w:hAnsiTheme="majorHAnsi" w:cstheme="majorHAnsi"/>
        </w:rPr>
        <w:t>, ka noteiktā sankcija bija pamatota (salīdzināt un pretstatīt ar iepriekšminētās lietas “</w:t>
      </w:r>
      <w:proofErr w:type="spellStart"/>
      <w:r w:rsidRPr="00674C14">
        <w:rPr>
          <w:rStyle w:val="sb8d990e2"/>
          <w:rFonts w:asciiTheme="majorHAnsi" w:hAnsiTheme="majorHAnsi" w:cstheme="majorHAnsi"/>
        </w:rPr>
        <w:t>Flinkile</w:t>
      </w:r>
      <w:proofErr w:type="spellEnd"/>
      <w:r w:rsidRPr="00674C14">
        <w:rPr>
          <w:rStyle w:val="sb8d990e2"/>
          <w:rFonts w:asciiTheme="majorHAnsi" w:hAnsiTheme="majorHAnsi" w:cstheme="majorHAnsi"/>
        </w:rPr>
        <w:t xml:space="preserve"> un citi pret Somiju” 89.–91. punktu; un lietas “</w:t>
      </w:r>
      <w:proofErr w:type="spellStart"/>
      <w:r w:rsidRPr="00674C14">
        <w:rPr>
          <w:rStyle w:val="sb8d990e2"/>
          <w:rFonts w:asciiTheme="majorHAnsi" w:hAnsiTheme="majorHAnsi" w:cstheme="majorHAnsi"/>
        </w:rPr>
        <w:t>Lahtonens</w:t>
      </w:r>
      <w:proofErr w:type="spellEnd"/>
      <w:r w:rsidRPr="00674C14">
        <w:rPr>
          <w:rStyle w:val="sb8d990e2"/>
          <w:rFonts w:asciiTheme="majorHAnsi" w:hAnsiTheme="majorHAnsi" w:cstheme="majorHAnsi"/>
        </w:rPr>
        <w:t xml:space="preserve"> [</w:t>
      </w:r>
      <w:proofErr w:type="spellStart"/>
      <w:r w:rsidRPr="00674C14">
        <w:rPr>
          <w:rStyle w:val="sb8d990e2"/>
          <w:rFonts w:asciiTheme="majorHAnsi" w:hAnsiTheme="majorHAnsi" w:cstheme="majorHAnsi"/>
          <w:i/>
        </w:rPr>
        <w:t>Lahtonen</w:t>
      </w:r>
      <w:proofErr w:type="spellEnd"/>
      <w:r w:rsidRPr="00674C14">
        <w:rPr>
          <w:rStyle w:val="sb8d990e2"/>
          <w:rFonts w:asciiTheme="majorHAnsi" w:hAnsiTheme="majorHAnsi" w:cstheme="majorHAnsi"/>
        </w:rPr>
        <w:t>] pret Somiju”, Nr. 29576/09, 78. punktu, 2012. gada 17. janvāris).</w:t>
      </w:r>
    </w:p>
    <w:p w:rsidR="007976EC" w:rsidRPr="00674C14" w:rsidRDefault="00A03369" w:rsidP="007976EC">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62</w:t>
      </w:r>
      <w:r w:rsidRPr="00674C14">
        <w:rPr>
          <w:rFonts w:asciiTheme="majorHAnsi" w:hAnsiTheme="majorHAnsi" w:cstheme="majorHAnsi"/>
          <w:noProof/>
        </w:rPr>
        <w:fldChar w:fldCharType="end"/>
      </w:r>
      <w:r w:rsidRPr="00674C14">
        <w:rPr>
          <w:rFonts w:asciiTheme="majorHAnsi" w:hAnsiTheme="majorHAnsi" w:cstheme="majorHAnsi"/>
        </w:rPr>
        <w:t>. Tāpēc Tiesa secina, ka valsts tiesu argumentācija bija atbilstoša un pietiekama, lai pierādītu, ka apstrīdētā iejaukšanās bija “nepieciešama demokrātiskā sabiedrībā”. Ņemot vērā visus iepriekš izklāstītos faktorus, tostarp valstīm piešķirto rīcības brīvību šajā jomā, Tiesa uzskata, ka valsts tiesas nodrošināja godīgu līdzsvaru starp attiecīgajām pretrunīgajām interesēm.</w:t>
      </w:r>
    </w:p>
    <w:p w:rsidR="007976EC" w:rsidRPr="00674C14" w:rsidRDefault="00A03369" w:rsidP="007976EC">
      <w:pPr>
        <w:pStyle w:val="ECHRPara"/>
        <w:rPr>
          <w:rFonts w:asciiTheme="majorHAnsi" w:hAnsiTheme="majorHAnsi" w:cstheme="majorHAnsi"/>
        </w:rPr>
      </w:pPr>
      <w:r w:rsidRPr="00674C14">
        <w:rPr>
          <w:rFonts w:asciiTheme="majorHAnsi" w:hAnsiTheme="majorHAnsi" w:cstheme="majorHAnsi"/>
        </w:rPr>
        <w:fldChar w:fldCharType="begin"/>
      </w:r>
      <w:r w:rsidRPr="00674C14">
        <w:rPr>
          <w:rFonts w:asciiTheme="majorHAnsi" w:hAnsiTheme="majorHAnsi" w:cstheme="majorHAnsi"/>
        </w:rPr>
        <w:instrText xml:space="preserve"> SEQ level0 \*arabic </w:instrText>
      </w:r>
      <w:r w:rsidRPr="00674C14">
        <w:rPr>
          <w:rFonts w:asciiTheme="majorHAnsi" w:hAnsiTheme="majorHAnsi" w:cstheme="majorHAnsi"/>
        </w:rPr>
        <w:fldChar w:fldCharType="separate"/>
      </w:r>
      <w:r w:rsidR="004B422D" w:rsidRPr="00674C14">
        <w:rPr>
          <w:rFonts w:asciiTheme="majorHAnsi" w:hAnsiTheme="majorHAnsi" w:cstheme="majorHAnsi"/>
          <w:noProof/>
        </w:rPr>
        <w:t>63</w:t>
      </w:r>
      <w:r w:rsidRPr="00674C14">
        <w:rPr>
          <w:rFonts w:asciiTheme="majorHAnsi" w:hAnsiTheme="majorHAnsi" w:cstheme="majorHAnsi"/>
          <w:noProof/>
        </w:rPr>
        <w:fldChar w:fldCharType="end"/>
      </w:r>
      <w:r w:rsidRPr="00674C14">
        <w:rPr>
          <w:rFonts w:asciiTheme="majorHAnsi" w:hAnsiTheme="majorHAnsi" w:cstheme="majorHAnsi"/>
        </w:rPr>
        <w:t>. Tātad Konvencijas 10. pants nav pārkāpts.</w:t>
      </w:r>
    </w:p>
    <w:p w:rsidR="00F71A6A" w:rsidRPr="00674C14" w:rsidRDefault="00F71A6A" w:rsidP="008824B9">
      <w:pPr>
        <w:pStyle w:val="JuHHead"/>
        <w:rPr>
          <w:rFonts w:asciiTheme="majorHAnsi" w:hAnsiTheme="majorHAnsi" w:cstheme="majorHAnsi"/>
        </w:rPr>
      </w:pPr>
      <w:r w:rsidRPr="00674C14">
        <w:rPr>
          <w:rFonts w:asciiTheme="majorHAnsi" w:hAnsiTheme="majorHAnsi" w:cstheme="majorHAnsi"/>
        </w:rPr>
        <w:t>ŠO IEMESLU DĒĻ TIESA VIENPRĀTĪGI</w:t>
      </w:r>
    </w:p>
    <w:p w:rsidR="00F71A6A" w:rsidRPr="00674C14" w:rsidRDefault="00F71A6A">
      <w:pPr>
        <w:pStyle w:val="JuList"/>
        <w:rPr>
          <w:rFonts w:asciiTheme="majorHAnsi" w:hAnsiTheme="majorHAnsi" w:cstheme="majorHAnsi"/>
        </w:rPr>
      </w:pPr>
      <w:r w:rsidRPr="00674C14">
        <w:rPr>
          <w:rFonts w:asciiTheme="majorHAnsi" w:hAnsiTheme="majorHAnsi" w:cstheme="majorHAnsi"/>
        </w:rPr>
        <w:t xml:space="preserve">1. </w:t>
      </w:r>
      <w:r w:rsidRPr="00674C14">
        <w:rPr>
          <w:rFonts w:asciiTheme="majorHAnsi" w:hAnsiTheme="majorHAnsi" w:cstheme="majorHAnsi"/>
          <w:i/>
        </w:rPr>
        <w:t>pasludina</w:t>
      </w:r>
      <w:r w:rsidRPr="00674C14">
        <w:rPr>
          <w:rFonts w:asciiTheme="majorHAnsi" w:hAnsiTheme="majorHAnsi" w:cstheme="majorHAnsi"/>
        </w:rPr>
        <w:t xml:space="preserve"> pieteikumu par pieņemamu;</w:t>
      </w:r>
    </w:p>
    <w:p w:rsidR="00F71A6A" w:rsidRPr="00674C14" w:rsidRDefault="00F71A6A">
      <w:pPr>
        <w:pStyle w:val="JuList"/>
        <w:rPr>
          <w:rFonts w:asciiTheme="majorHAnsi" w:hAnsiTheme="majorHAnsi" w:cstheme="majorHAnsi"/>
        </w:rPr>
      </w:pPr>
    </w:p>
    <w:p w:rsidR="00F71A6A" w:rsidRPr="00674C14" w:rsidRDefault="002C5B38" w:rsidP="00C23CC3">
      <w:pPr>
        <w:pStyle w:val="JuList"/>
        <w:rPr>
          <w:rFonts w:asciiTheme="majorHAnsi" w:hAnsiTheme="majorHAnsi" w:cstheme="majorHAnsi"/>
        </w:rPr>
      </w:pPr>
      <w:r w:rsidRPr="00674C14">
        <w:rPr>
          <w:rFonts w:asciiTheme="majorHAnsi" w:hAnsiTheme="majorHAnsi" w:cstheme="majorHAnsi"/>
        </w:rPr>
        <w:t xml:space="preserve">2. </w:t>
      </w:r>
      <w:r w:rsidRPr="00674C14">
        <w:rPr>
          <w:rFonts w:asciiTheme="majorHAnsi" w:hAnsiTheme="majorHAnsi" w:cstheme="majorHAnsi"/>
          <w:i/>
        </w:rPr>
        <w:t>nospriež</w:t>
      </w:r>
      <w:r w:rsidRPr="00674C14">
        <w:rPr>
          <w:rFonts w:asciiTheme="majorHAnsi" w:hAnsiTheme="majorHAnsi" w:cstheme="majorHAnsi"/>
        </w:rPr>
        <w:t>, ka Konvencijas 10. pants nav pārkāpts.</w:t>
      </w:r>
    </w:p>
    <w:p w:rsidR="00325C2B" w:rsidRPr="00674C14" w:rsidRDefault="00F71A6A" w:rsidP="00325C2B">
      <w:pPr>
        <w:pStyle w:val="JuParaLast"/>
        <w:rPr>
          <w:rFonts w:asciiTheme="majorHAnsi" w:hAnsiTheme="majorHAnsi" w:cstheme="majorHAnsi"/>
        </w:rPr>
      </w:pPr>
      <w:r w:rsidRPr="00674C14">
        <w:rPr>
          <w:rFonts w:asciiTheme="majorHAnsi" w:hAnsiTheme="majorHAnsi" w:cstheme="majorHAnsi"/>
        </w:rPr>
        <w:t xml:space="preserve">Sagatavots angļu valodā un paziņots </w:t>
      </w:r>
      <w:proofErr w:type="spellStart"/>
      <w:r w:rsidRPr="00674C14">
        <w:rPr>
          <w:rFonts w:asciiTheme="majorHAnsi" w:hAnsiTheme="majorHAnsi" w:cstheme="majorHAnsi"/>
        </w:rPr>
        <w:t>rakstveidā</w:t>
      </w:r>
      <w:proofErr w:type="spellEnd"/>
      <w:r w:rsidRPr="00674C14">
        <w:rPr>
          <w:rFonts w:asciiTheme="majorHAnsi" w:hAnsiTheme="majorHAnsi" w:cstheme="majorHAnsi"/>
        </w:rPr>
        <w:t xml:space="preserve"> 2014. gada 29. aprīlī saskaņā ar Tiesas reglamenta 77. panta 2. un 3. punktu.</w:t>
      </w:r>
    </w:p>
    <w:p w:rsidR="00A03369" w:rsidRDefault="00A03369" w:rsidP="00A03369">
      <w:pPr>
        <w:pStyle w:val="ECHRPara"/>
        <w:rPr>
          <w:rFonts w:asciiTheme="majorHAnsi" w:hAnsiTheme="majorHAnsi" w:cstheme="majorHAnsi"/>
        </w:rPr>
      </w:pPr>
    </w:p>
    <w:p w:rsidR="00C707E8" w:rsidRDefault="00C707E8" w:rsidP="00A03369">
      <w:pPr>
        <w:pStyle w:val="ECHRPara"/>
        <w:rPr>
          <w:rFonts w:asciiTheme="majorHAnsi" w:hAnsiTheme="majorHAnsi" w:cstheme="majorHAn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C707E8" w:rsidTr="00C707E8">
        <w:trPr>
          <w:jc w:val="center"/>
        </w:trPr>
        <w:tc>
          <w:tcPr>
            <w:tcW w:w="4643" w:type="dxa"/>
          </w:tcPr>
          <w:p w:rsidR="00C707E8" w:rsidRPr="00674C14" w:rsidRDefault="00C707E8" w:rsidP="00C707E8">
            <w:pPr>
              <w:pStyle w:val="JuSigned"/>
              <w:keepNext/>
              <w:keepLines/>
              <w:spacing w:before="0"/>
              <w:jc w:val="center"/>
              <w:rPr>
                <w:rStyle w:val="JuJudgesChar"/>
                <w:rFonts w:asciiTheme="majorHAnsi" w:hAnsiTheme="majorHAnsi" w:cstheme="majorHAnsi"/>
                <w:szCs w:val="24"/>
              </w:rPr>
            </w:pPr>
            <w:proofErr w:type="spellStart"/>
            <w:r w:rsidRPr="00674C14">
              <w:rPr>
                <w:rStyle w:val="JuJudgesChar"/>
                <w:rFonts w:asciiTheme="majorHAnsi" w:hAnsiTheme="majorHAnsi" w:cstheme="majorHAnsi"/>
              </w:rPr>
              <w:t>Fatoša</w:t>
            </w:r>
            <w:proofErr w:type="spellEnd"/>
            <w:r w:rsidRPr="00674C14">
              <w:rPr>
                <w:rStyle w:val="JuJudgesChar"/>
                <w:rFonts w:asciiTheme="majorHAnsi" w:hAnsiTheme="majorHAnsi" w:cstheme="majorHAnsi"/>
              </w:rPr>
              <w:t xml:space="preserve"> </w:t>
            </w:r>
            <w:proofErr w:type="spellStart"/>
            <w:r w:rsidRPr="00674C14">
              <w:rPr>
                <w:rStyle w:val="JuJudgesChar"/>
                <w:rFonts w:asciiTheme="majorHAnsi" w:hAnsiTheme="majorHAnsi" w:cstheme="majorHAnsi"/>
              </w:rPr>
              <w:t>Arači</w:t>
            </w:r>
            <w:proofErr w:type="spellEnd"/>
            <w:r w:rsidRPr="00674C14">
              <w:rPr>
                <w:rStyle w:val="JuJudgesChar"/>
                <w:rFonts w:asciiTheme="majorHAnsi" w:hAnsiTheme="majorHAnsi" w:cstheme="majorHAnsi"/>
              </w:rPr>
              <w:t xml:space="preserve"> [</w:t>
            </w:r>
            <w:proofErr w:type="spellStart"/>
            <w:r w:rsidRPr="00674C14">
              <w:rPr>
                <w:rStyle w:val="JuJudgesChar"/>
                <w:rFonts w:asciiTheme="majorHAnsi" w:hAnsiTheme="majorHAnsi" w:cstheme="majorHAnsi"/>
                <w:i/>
              </w:rPr>
              <w:t>Fatoş</w:t>
            </w:r>
            <w:proofErr w:type="spellEnd"/>
            <w:r w:rsidRPr="00674C14">
              <w:rPr>
                <w:rStyle w:val="JuJudgesChar"/>
                <w:rFonts w:asciiTheme="majorHAnsi" w:hAnsiTheme="majorHAnsi" w:cstheme="majorHAnsi"/>
                <w:i/>
              </w:rPr>
              <w:t xml:space="preserve"> </w:t>
            </w:r>
            <w:proofErr w:type="spellStart"/>
            <w:r w:rsidRPr="00674C14">
              <w:rPr>
                <w:rStyle w:val="JuJudgesChar"/>
                <w:rFonts w:asciiTheme="majorHAnsi" w:hAnsiTheme="majorHAnsi" w:cstheme="majorHAnsi"/>
                <w:i/>
              </w:rPr>
              <w:t>Aracı</w:t>
            </w:r>
            <w:proofErr w:type="spellEnd"/>
            <w:r w:rsidRPr="00674C14">
              <w:rPr>
                <w:rStyle w:val="JuJudgesChar"/>
                <w:rFonts w:asciiTheme="majorHAnsi" w:hAnsiTheme="majorHAnsi" w:cstheme="majorHAnsi"/>
              </w:rPr>
              <w:t>]</w:t>
            </w:r>
          </w:p>
          <w:p w:rsidR="00C707E8" w:rsidRDefault="00C707E8" w:rsidP="00C707E8">
            <w:pPr>
              <w:pStyle w:val="ECHRPara"/>
              <w:ind w:firstLine="0"/>
              <w:jc w:val="center"/>
              <w:rPr>
                <w:rFonts w:asciiTheme="majorHAnsi" w:hAnsiTheme="majorHAnsi" w:cstheme="majorHAnsi"/>
              </w:rPr>
            </w:pPr>
          </w:p>
        </w:tc>
        <w:tc>
          <w:tcPr>
            <w:tcW w:w="4644" w:type="dxa"/>
          </w:tcPr>
          <w:p w:rsidR="00C707E8" w:rsidRPr="00674C14" w:rsidRDefault="00C707E8" w:rsidP="00C707E8">
            <w:pPr>
              <w:pStyle w:val="JuSigned"/>
              <w:keepNext/>
              <w:keepLines/>
              <w:spacing w:before="0"/>
              <w:jc w:val="center"/>
              <w:rPr>
                <w:rFonts w:asciiTheme="majorHAnsi" w:hAnsiTheme="majorHAnsi" w:cstheme="majorHAnsi"/>
              </w:rPr>
            </w:pPr>
            <w:r w:rsidRPr="00674C14">
              <w:rPr>
                <w:rFonts w:asciiTheme="majorHAnsi" w:hAnsiTheme="majorHAnsi" w:cstheme="majorHAnsi"/>
              </w:rPr>
              <w:t>Ineta Ziemele</w:t>
            </w:r>
          </w:p>
          <w:p w:rsidR="00C707E8" w:rsidRDefault="00C707E8" w:rsidP="00C707E8">
            <w:pPr>
              <w:pStyle w:val="ECHRPara"/>
              <w:ind w:firstLine="0"/>
              <w:jc w:val="center"/>
              <w:rPr>
                <w:rFonts w:asciiTheme="majorHAnsi" w:hAnsiTheme="majorHAnsi" w:cstheme="majorHAnsi"/>
              </w:rPr>
            </w:pPr>
          </w:p>
        </w:tc>
      </w:tr>
      <w:tr w:rsidR="00C707E8" w:rsidTr="00C707E8">
        <w:trPr>
          <w:jc w:val="center"/>
        </w:trPr>
        <w:tc>
          <w:tcPr>
            <w:tcW w:w="4643" w:type="dxa"/>
          </w:tcPr>
          <w:p w:rsidR="00C707E8" w:rsidRDefault="00C707E8" w:rsidP="00C707E8">
            <w:pPr>
              <w:pStyle w:val="ECHRPara"/>
              <w:ind w:firstLine="0"/>
              <w:jc w:val="center"/>
              <w:rPr>
                <w:rFonts w:asciiTheme="majorHAnsi" w:hAnsiTheme="majorHAnsi" w:cstheme="majorHAnsi"/>
              </w:rPr>
            </w:pPr>
            <w:r w:rsidRPr="00674C14">
              <w:rPr>
                <w:rFonts w:asciiTheme="majorHAnsi" w:hAnsiTheme="majorHAnsi" w:cstheme="majorHAnsi"/>
              </w:rPr>
              <w:t>nodaļas sekretāra vietniece</w:t>
            </w:r>
          </w:p>
        </w:tc>
        <w:tc>
          <w:tcPr>
            <w:tcW w:w="4644" w:type="dxa"/>
          </w:tcPr>
          <w:p w:rsidR="00C707E8" w:rsidRPr="00674C14" w:rsidRDefault="00C707E8" w:rsidP="00C707E8">
            <w:pPr>
              <w:pStyle w:val="JuSigned"/>
              <w:keepNext/>
              <w:keepLines/>
              <w:spacing w:before="0"/>
              <w:jc w:val="center"/>
              <w:rPr>
                <w:rFonts w:asciiTheme="majorHAnsi" w:hAnsiTheme="majorHAnsi" w:cstheme="majorHAnsi"/>
              </w:rPr>
            </w:pPr>
            <w:r w:rsidRPr="00674C14">
              <w:rPr>
                <w:rFonts w:asciiTheme="majorHAnsi" w:hAnsiTheme="majorHAnsi" w:cstheme="majorHAnsi"/>
              </w:rPr>
              <w:t>priekšsēdētāja</w:t>
            </w:r>
          </w:p>
          <w:p w:rsidR="00C707E8" w:rsidRDefault="00C707E8" w:rsidP="00C707E8">
            <w:pPr>
              <w:pStyle w:val="ECHRPara"/>
              <w:ind w:firstLine="0"/>
              <w:jc w:val="center"/>
              <w:rPr>
                <w:rFonts w:asciiTheme="majorHAnsi" w:hAnsiTheme="majorHAnsi" w:cstheme="majorHAnsi"/>
              </w:rPr>
            </w:pPr>
          </w:p>
        </w:tc>
      </w:tr>
    </w:tbl>
    <w:p w:rsidR="00C707E8" w:rsidRDefault="00C707E8" w:rsidP="00A03369">
      <w:pPr>
        <w:pStyle w:val="ECHRPara"/>
        <w:rPr>
          <w:rFonts w:asciiTheme="majorHAnsi" w:hAnsiTheme="majorHAnsi" w:cstheme="majorHAnsi"/>
        </w:rPr>
      </w:pPr>
    </w:p>
    <w:p w:rsidR="00C707E8" w:rsidRPr="00674C14" w:rsidRDefault="00C707E8" w:rsidP="00A03369">
      <w:pPr>
        <w:pStyle w:val="ECHRPara"/>
        <w:rPr>
          <w:rFonts w:asciiTheme="majorHAnsi" w:hAnsiTheme="majorHAnsi" w:cstheme="majorHAnsi"/>
        </w:rPr>
      </w:pPr>
    </w:p>
    <w:sectPr w:rsidR="00C707E8" w:rsidRPr="00674C14" w:rsidSect="00A03369">
      <w:headerReference w:type="even" r:id="rId13"/>
      <w:headerReference w:type="default" r:id="rId14"/>
      <w:headerReference w:type="first" r:id="rId15"/>
      <w:footerReference w:type="first" r:id="rId16"/>
      <w:footnotePr>
        <w:numRestart w:val="eachPage"/>
      </w:footnotePr>
      <w:pgSz w:w="11906" w:h="16838" w:code="9"/>
      <w:pgMar w:top="1134" w:right="1134"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EBD" w:rsidRDefault="00AB3EBD">
      <w:r>
        <w:separator/>
      </w:r>
    </w:p>
  </w:endnote>
  <w:endnote w:type="continuationSeparator" w:id="0">
    <w:p w:rsidR="00AB3EBD" w:rsidRDefault="00AB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D6F" w:rsidRPr="005D04BD" w:rsidRDefault="00244D6F" w:rsidP="00244D6F">
    <w:pPr>
      <w:pStyle w:val="Header"/>
      <w:tabs>
        <w:tab w:val="left" w:pos="9072"/>
      </w:tabs>
      <w:rPr>
        <w:rStyle w:val="PageNumber"/>
        <w:szCs w:val="18"/>
      </w:rPr>
    </w:pPr>
  </w:p>
  <w:p w:rsidR="00244D6F" w:rsidRPr="005D04BD" w:rsidRDefault="00244D6F" w:rsidP="00244D6F">
    <w:pPr>
      <w:pStyle w:val="Header"/>
      <w:tabs>
        <w:tab w:val="clear" w:pos="3686"/>
        <w:tab w:val="clear" w:pos="7371"/>
        <w:tab w:val="right" w:leader="underscore" w:pos="9072"/>
      </w:tabs>
      <w:rPr>
        <w:rStyle w:val="PageNumber"/>
        <w:szCs w:val="18"/>
      </w:rPr>
    </w:pPr>
    <w:r w:rsidRPr="005D04BD">
      <w:rPr>
        <w:rStyle w:val="PageNumber"/>
        <w:szCs w:val="18"/>
      </w:rPr>
      <w:tab/>
    </w:r>
  </w:p>
  <w:p w:rsidR="00244D6F" w:rsidRPr="005D04BD" w:rsidRDefault="00244D6F" w:rsidP="00244D6F">
    <w:pPr>
      <w:pStyle w:val="Header"/>
      <w:tabs>
        <w:tab w:val="right" w:pos="9072"/>
      </w:tabs>
      <w:rPr>
        <w:rStyle w:val="PageNumber"/>
        <w:szCs w:val="18"/>
      </w:rPr>
    </w:pPr>
  </w:p>
  <w:p w:rsidR="00244D6F" w:rsidRPr="00244D6F" w:rsidRDefault="00244D6F" w:rsidP="00244D6F">
    <w:pPr>
      <w:pStyle w:val="Footer"/>
      <w:tabs>
        <w:tab w:val="clear" w:pos="3686"/>
        <w:tab w:val="clear" w:pos="7371"/>
        <w:tab w:val="right" w:pos="9072"/>
      </w:tabs>
      <w:rPr>
        <w:szCs w:val="18"/>
      </w:rPr>
    </w:pPr>
    <w:r w:rsidRPr="005D04BD">
      <w:rPr>
        <w:noProof/>
        <w:szCs w:val="18"/>
      </w:rPr>
      <w:t xml:space="preserve">Tulkojums </w:t>
    </w:r>
    <w:r w:rsidRPr="005D04BD">
      <w:rPr>
        <w:noProof/>
        <w:szCs w:val="18"/>
      </w:rPr>
      <w:fldChar w:fldCharType="begin"/>
    </w:r>
    <w:r w:rsidRPr="005D04BD">
      <w:rPr>
        <w:noProof/>
        <w:szCs w:val="18"/>
      </w:rPr>
      <w:instrText>symbol 211 \f "Symbol" \s 9</w:instrText>
    </w:r>
    <w:r w:rsidRPr="005D04BD">
      <w:rPr>
        <w:noProof/>
        <w:szCs w:val="18"/>
      </w:rPr>
      <w:fldChar w:fldCharType="separate"/>
    </w:r>
    <w:r w:rsidRPr="005D04BD">
      <w:rPr>
        <w:noProof/>
        <w:szCs w:val="18"/>
      </w:rPr>
      <w:t>Ó</w:t>
    </w:r>
    <w:r w:rsidRPr="005D04BD">
      <w:rPr>
        <w:noProof/>
        <w:szCs w:val="18"/>
      </w:rPr>
      <w:fldChar w:fldCharType="end"/>
    </w:r>
    <w:r>
      <w:rPr>
        <w:noProof/>
        <w:szCs w:val="18"/>
      </w:rPr>
      <w:t xml:space="preserve"> Valsts valodas centrs, 2015</w:t>
    </w:r>
    <w:r w:rsidRPr="005D04BD">
      <w:rPr>
        <w:szCs w:val="18"/>
      </w:rPr>
      <w:tab/>
    </w:r>
    <w:r w:rsidRPr="005D04BD">
      <w:rPr>
        <w:rStyle w:val="PageNumber"/>
        <w:szCs w:val="18"/>
      </w:rPr>
      <w:fldChar w:fldCharType="begin"/>
    </w:r>
    <w:r w:rsidRPr="005D04BD">
      <w:rPr>
        <w:rStyle w:val="PageNumber"/>
        <w:szCs w:val="18"/>
      </w:rPr>
      <w:instrText xml:space="preserve">page </w:instrText>
    </w:r>
    <w:r w:rsidRPr="005D04BD">
      <w:rPr>
        <w:rStyle w:val="PageNumber"/>
        <w:szCs w:val="18"/>
      </w:rPr>
      <w:fldChar w:fldCharType="separate"/>
    </w:r>
    <w:r w:rsidR="00C707E8">
      <w:rPr>
        <w:rStyle w:val="PageNumber"/>
        <w:noProof/>
        <w:szCs w:val="18"/>
      </w:rPr>
      <w:t>10</w:t>
    </w:r>
    <w:r w:rsidRPr="005D04BD">
      <w:rPr>
        <w:rStyle w:val="PageNumber"/>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D6F" w:rsidRPr="005D04BD" w:rsidRDefault="00244D6F" w:rsidP="00244D6F">
    <w:pPr>
      <w:pStyle w:val="Header"/>
      <w:tabs>
        <w:tab w:val="left" w:pos="9072"/>
      </w:tabs>
      <w:rPr>
        <w:rStyle w:val="PageNumber"/>
        <w:szCs w:val="18"/>
      </w:rPr>
    </w:pPr>
  </w:p>
  <w:p w:rsidR="00244D6F" w:rsidRPr="005D04BD" w:rsidRDefault="00244D6F" w:rsidP="00244D6F">
    <w:pPr>
      <w:pStyle w:val="Header"/>
      <w:tabs>
        <w:tab w:val="clear" w:pos="3686"/>
        <w:tab w:val="clear" w:pos="7371"/>
        <w:tab w:val="left" w:leader="underscore" w:pos="9072"/>
      </w:tabs>
      <w:rPr>
        <w:rStyle w:val="PageNumber"/>
        <w:szCs w:val="18"/>
      </w:rPr>
    </w:pPr>
    <w:r w:rsidRPr="005D04BD">
      <w:rPr>
        <w:rStyle w:val="PageNumber"/>
        <w:szCs w:val="18"/>
      </w:rPr>
      <w:tab/>
    </w:r>
  </w:p>
  <w:p w:rsidR="00244D6F" w:rsidRPr="005D04BD" w:rsidRDefault="00244D6F" w:rsidP="00244D6F">
    <w:pPr>
      <w:pStyle w:val="Header"/>
      <w:tabs>
        <w:tab w:val="left" w:pos="9072"/>
      </w:tabs>
      <w:rPr>
        <w:rStyle w:val="PageNumber"/>
        <w:szCs w:val="18"/>
      </w:rPr>
    </w:pPr>
  </w:p>
  <w:p w:rsidR="00244D6F" w:rsidRPr="00244D6F" w:rsidRDefault="00244D6F">
    <w:pPr>
      <w:pStyle w:val="Footer"/>
      <w:rPr>
        <w:szCs w:val="18"/>
      </w:rPr>
    </w:pPr>
    <w:r w:rsidRPr="005D04BD">
      <w:rPr>
        <w:noProof/>
        <w:szCs w:val="18"/>
      </w:rPr>
      <w:t xml:space="preserve">Tulkojums </w:t>
    </w:r>
    <w:r w:rsidRPr="005D04BD">
      <w:rPr>
        <w:noProof/>
        <w:szCs w:val="18"/>
      </w:rPr>
      <w:fldChar w:fldCharType="begin"/>
    </w:r>
    <w:r w:rsidRPr="005D04BD">
      <w:rPr>
        <w:noProof/>
        <w:szCs w:val="18"/>
      </w:rPr>
      <w:instrText>symbol 211 \f "Symbol" \s 9</w:instrText>
    </w:r>
    <w:r w:rsidRPr="005D04BD">
      <w:rPr>
        <w:noProof/>
        <w:szCs w:val="18"/>
      </w:rPr>
      <w:fldChar w:fldCharType="separate"/>
    </w:r>
    <w:r w:rsidRPr="005D04BD">
      <w:rPr>
        <w:noProof/>
        <w:szCs w:val="18"/>
      </w:rPr>
      <w:t>Ó</w:t>
    </w:r>
    <w:r w:rsidRPr="005D04BD">
      <w:rPr>
        <w:noProof/>
        <w:szCs w:val="18"/>
      </w:rPr>
      <w:fldChar w:fldCharType="end"/>
    </w:r>
    <w:r>
      <w:rPr>
        <w:noProof/>
        <w:szCs w:val="18"/>
      </w:rPr>
      <w:t xml:space="preserve"> Valsts valodas centrs,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D6F" w:rsidRPr="005D04BD" w:rsidRDefault="00244D6F" w:rsidP="00244D6F">
    <w:pPr>
      <w:pStyle w:val="Header"/>
      <w:tabs>
        <w:tab w:val="left" w:pos="9072"/>
      </w:tabs>
      <w:rPr>
        <w:rStyle w:val="PageNumber"/>
        <w:szCs w:val="18"/>
      </w:rPr>
    </w:pPr>
  </w:p>
  <w:p w:rsidR="00244D6F" w:rsidRPr="005D04BD" w:rsidRDefault="00244D6F" w:rsidP="00244D6F">
    <w:pPr>
      <w:pStyle w:val="Header"/>
      <w:tabs>
        <w:tab w:val="clear" w:pos="3686"/>
        <w:tab w:val="clear" w:pos="7371"/>
        <w:tab w:val="right" w:leader="underscore" w:pos="9072"/>
      </w:tabs>
      <w:rPr>
        <w:rStyle w:val="PageNumber"/>
        <w:szCs w:val="18"/>
      </w:rPr>
    </w:pPr>
    <w:r w:rsidRPr="005D04BD">
      <w:rPr>
        <w:rStyle w:val="PageNumber"/>
        <w:szCs w:val="18"/>
      </w:rPr>
      <w:tab/>
    </w:r>
  </w:p>
  <w:p w:rsidR="00244D6F" w:rsidRPr="005D04BD" w:rsidRDefault="00244D6F" w:rsidP="00244D6F">
    <w:pPr>
      <w:pStyle w:val="Header"/>
      <w:tabs>
        <w:tab w:val="right" w:pos="9072"/>
      </w:tabs>
      <w:rPr>
        <w:rStyle w:val="PageNumber"/>
        <w:szCs w:val="18"/>
      </w:rPr>
    </w:pPr>
  </w:p>
  <w:p w:rsidR="00244D6F" w:rsidRPr="00244D6F" w:rsidRDefault="00244D6F" w:rsidP="00244D6F">
    <w:pPr>
      <w:pStyle w:val="Footer"/>
      <w:tabs>
        <w:tab w:val="clear" w:pos="3686"/>
        <w:tab w:val="clear" w:pos="7371"/>
        <w:tab w:val="right" w:pos="9072"/>
      </w:tabs>
      <w:rPr>
        <w:szCs w:val="18"/>
      </w:rPr>
    </w:pPr>
    <w:r w:rsidRPr="005D04BD">
      <w:rPr>
        <w:noProof/>
        <w:szCs w:val="18"/>
      </w:rPr>
      <w:t xml:space="preserve">Tulkojums </w:t>
    </w:r>
    <w:r w:rsidRPr="005D04BD">
      <w:rPr>
        <w:noProof/>
        <w:szCs w:val="18"/>
      </w:rPr>
      <w:fldChar w:fldCharType="begin"/>
    </w:r>
    <w:r w:rsidRPr="005D04BD">
      <w:rPr>
        <w:noProof/>
        <w:szCs w:val="18"/>
      </w:rPr>
      <w:instrText>symbol 211 \f "Symbol" \s 9</w:instrText>
    </w:r>
    <w:r w:rsidRPr="005D04BD">
      <w:rPr>
        <w:noProof/>
        <w:szCs w:val="18"/>
      </w:rPr>
      <w:fldChar w:fldCharType="separate"/>
    </w:r>
    <w:r w:rsidRPr="005D04BD">
      <w:rPr>
        <w:noProof/>
        <w:szCs w:val="18"/>
      </w:rPr>
      <w:t>Ó</w:t>
    </w:r>
    <w:r w:rsidRPr="005D04BD">
      <w:rPr>
        <w:noProof/>
        <w:szCs w:val="18"/>
      </w:rPr>
      <w:fldChar w:fldCharType="end"/>
    </w:r>
    <w:r>
      <w:rPr>
        <w:noProof/>
        <w:szCs w:val="18"/>
      </w:rPr>
      <w:t xml:space="preserve"> Valsts valodas centrs, 2015</w:t>
    </w:r>
    <w:r w:rsidRPr="005D04BD">
      <w:rPr>
        <w:szCs w:val="18"/>
      </w:rPr>
      <w:tab/>
    </w:r>
    <w:r w:rsidRPr="005D04BD">
      <w:rPr>
        <w:rStyle w:val="PageNumber"/>
        <w:szCs w:val="18"/>
      </w:rPr>
      <w:fldChar w:fldCharType="begin"/>
    </w:r>
    <w:r w:rsidRPr="005D04BD">
      <w:rPr>
        <w:rStyle w:val="PageNumber"/>
        <w:szCs w:val="18"/>
      </w:rPr>
      <w:instrText xml:space="preserve">page </w:instrText>
    </w:r>
    <w:r w:rsidRPr="005D04BD">
      <w:rPr>
        <w:rStyle w:val="PageNumber"/>
        <w:szCs w:val="18"/>
      </w:rPr>
      <w:fldChar w:fldCharType="separate"/>
    </w:r>
    <w:r w:rsidR="00C707E8">
      <w:rPr>
        <w:rStyle w:val="PageNumber"/>
        <w:noProof/>
        <w:szCs w:val="18"/>
      </w:rPr>
      <w:t>1</w:t>
    </w:r>
    <w:r w:rsidRPr="005D04BD">
      <w:rPr>
        <w:rStyle w:val="PageNumber"/>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EBD" w:rsidRDefault="00AB3EBD">
      <w:r>
        <w:separator/>
      </w:r>
    </w:p>
  </w:footnote>
  <w:footnote w:type="continuationSeparator" w:id="0">
    <w:p w:rsidR="00AB3EBD" w:rsidRDefault="00AB3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65A" w:rsidRDefault="0029165A" w:rsidP="005A7B5A">
    <w:pPr>
      <w:pStyle w:val="Ju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D6F" w:rsidRPr="005D04BD" w:rsidRDefault="00244D6F" w:rsidP="00244D6F">
    <w:pPr>
      <w:pBdr>
        <w:bottom w:val="single" w:sz="12" w:space="5" w:color="auto"/>
      </w:pBdr>
      <w:rPr>
        <w:spacing w:val="-2"/>
        <w:sz w:val="18"/>
        <w:szCs w:val="18"/>
      </w:rPr>
    </w:pPr>
  </w:p>
  <w:p w:rsidR="00244D6F" w:rsidRDefault="00244D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B5A" w:rsidRPr="000459EE" w:rsidRDefault="005A7B5A" w:rsidP="000459E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D6F" w:rsidRPr="005D04BD" w:rsidRDefault="00244D6F" w:rsidP="00244D6F">
    <w:pPr>
      <w:pStyle w:val="Header"/>
      <w:rPr>
        <w:rStyle w:val="PageNumber"/>
        <w:szCs w:val="18"/>
      </w:rPr>
    </w:pPr>
  </w:p>
  <w:p w:rsidR="00244D6F" w:rsidRPr="005D04BD" w:rsidRDefault="00244D6F" w:rsidP="00244D6F">
    <w:pPr>
      <w:pStyle w:val="Header"/>
      <w:tabs>
        <w:tab w:val="clear" w:pos="3686"/>
        <w:tab w:val="clear" w:pos="7371"/>
        <w:tab w:val="right" w:leader="underscore" w:pos="9072"/>
      </w:tabs>
      <w:rPr>
        <w:rStyle w:val="PageNumber"/>
        <w:szCs w:val="18"/>
      </w:rPr>
    </w:pPr>
    <w:r w:rsidRPr="005D04BD">
      <w:rPr>
        <w:rStyle w:val="PageNumber"/>
        <w:szCs w:val="18"/>
      </w:rPr>
      <w:tab/>
    </w:r>
  </w:p>
  <w:p w:rsidR="005A7B5A" w:rsidRPr="00A03369" w:rsidRDefault="005A7B5A" w:rsidP="00A0336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D6F" w:rsidRPr="005D04BD" w:rsidRDefault="00244D6F" w:rsidP="00244D6F">
    <w:pPr>
      <w:pBdr>
        <w:bottom w:val="single" w:sz="12" w:space="5" w:color="auto"/>
      </w:pBdr>
      <w:rPr>
        <w:spacing w:val="-2"/>
        <w:sz w:val="18"/>
        <w:szCs w:val="18"/>
      </w:rPr>
    </w:pPr>
  </w:p>
  <w:p w:rsidR="00244D6F" w:rsidRDefault="00244D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8EE627A"/>
    <w:lvl w:ilvl="0">
      <w:start w:val="1"/>
      <w:numFmt w:val="decimal"/>
      <w:lvlText w:val="%1."/>
      <w:lvlJc w:val="left"/>
      <w:pPr>
        <w:tabs>
          <w:tab w:val="num" w:pos="1492"/>
        </w:tabs>
        <w:ind w:left="1492" w:hanging="360"/>
      </w:pPr>
    </w:lvl>
  </w:abstractNum>
  <w:abstractNum w:abstractNumId="1">
    <w:nsid w:val="FFFFFF7D"/>
    <w:multiLevelType w:val="singleLevel"/>
    <w:tmpl w:val="BBDC7DE2"/>
    <w:lvl w:ilvl="0">
      <w:start w:val="1"/>
      <w:numFmt w:val="decimal"/>
      <w:lvlText w:val="%1."/>
      <w:lvlJc w:val="left"/>
      <w:pPr>
        <w:tabs>
          <w:tab w:val="num" w:pos="1209"/>
        </w:tabs>
        <w:ind w:left="1209" w:hanging="360"/>
      </w:pPr>
    </w:lvl>
  </w:abstractNum>
  <w:abstractNum w:abstractNumId="2">
    <w:nsid w:val="FFFFFF7E"/>
    <w:multiLevelType w:val="singleLevel"/>
    <w:tmpl w:val="1C4AAA9C"/>
    <w:lvl w:ilvl="0">
      <w:start w:val="1"/>
      <w:numFmt w:val="decimal"/>
      <w:lvlText w:val="%1."/>
      <w:lvlJc w:val="left"/>
      <w:pPr>
        <w:tabs>
          <w:tab w:val="num" w:pos="926"/>
        </w:tabs>
        <w:ind w:left="926" w:hanging="360"/>
      </w:pPr>
    </w:lvl>
  </w:abstractNum>
  <w:abstractNum w:abstractNumId="3">
    <w:nsid w:val="FFFFFF7F"/>
    <w:multiLevelType w:val="singleLevel"/>
    <w:tmpl w:val="AA12165A"/>
    <w:lvl w:ilvl="0">
      <w:start w:val="1"/>
      <w:numFmt w:val="decimal"/>
      <w:lvlText w:val="%1."/>
      <w:lvlJc w:val="left"/>
      <w:pPr>
        <w:tabs>
          <w:tab w:val="num" w:pos="643"/>
        </w:tabs>
        <w:ind w:left="643" w:hanging="360"/>
      </w:pPr>
    </w:lvl>
  </w:abstractNum>
  <w:abstractNum w:abstractNumId="4">
    <w:nsid w:val="FFFFFF80"/>
    <w:multiLevelType w:val="singleLevel"/>
    <w:tmpl w:val="CE8A31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A6845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0251E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1E88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49464C8"/>
    <w:lvl w:ilvl="0">
      <w:start w:val="1"/>
      <w:numFmt w:val="decimal"/>
      <w:lvlText w:val="%1."/>
      <w:lvlJc w:val="left"/>
      <w:pPr>
        <w:tabs>
          <w:tab w:val="num" w:pos="360"/>
        </w:tabs>
        <w:ind w:left="360" w:hanging="360"/>
      </w:pPr>
    </w:lvl>
  </w:abstractNum>
  <w:abstractNum w:abstractNumId="9">
    <w:nsid w:val="FFFFFF89"/>
    <w:multiLevelType w:val="singleLevel"/>
    <w:tmpl w:val="AEE8A85E"/>
    <w:lvl w:ilvl="0">
      <w:start w:val="1"/>
      <w:numFmt w:val="bullet"/>
      <w:lvlText w:val=""/>
      <w:lvlJc w:val="left"/>
      <w:pPr>
        <w:tabs>
          <w:tab w:val="num" w:pos="360"/>
        </w:tabs>
        <w:ind w:left="360" w:hanging="360"/>
      </w:pPr>
      <w:rPr>
        <w:rFonts w:ascii="Symbol" w:hAnsi="Symbol" w:hint="default"/>
      </w:rPr>
    </w:lvl>
  </w:abstractNum>
  <w:abstractNum w:abstractNumId="1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1">
    <w:nsid w:val="7BBE6CBD"/>
    <w:multiLevelType w:val="hybridMultilevel"/>
    <w:tmpl w:val="5B122094"/>
    <w:lvl w:ilvl="0" w:tplc="4FDAD2AA">
      <w:start w:val="1"/>
      <w:numFmt w:val="decimal"/>
      <w:pStyle w:val="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11"/>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EMM" w:val="0"/>
    <w:docVar w:name="ETRANSMISSION" w:val=" "/>
    <w:docVar w:name="L4_1Annex" w:val="0"/>
    <w:docVar w:name="L4_1Anonymity" w:val="0"/>
    <w:docVar w:name="SignForeName" w:val="0"/>
  </w:docVars>
  <w:rsids>
    <w:rsidRoot w:val="00C5559A"/>
    <w:rsid w:val="000073A0"/>
    <w:rsid w:val="0000747A"/>
    <w:rsid w:val="00016E7C"/>
    <w:rsid w:val="00021D28"/>
    <w:rsid w:val="000305ED"/>
    <w:rsid w:val="00032782"/>
    <w:rsid w:val="00033FD2"/>
    <w:rsid w:val="00034B46"/>
    <w:rsid w:val="0003679E"/>
    <w:rsid w:val="00040446"/>
    <w:rsid w:val="00040F13"/>
    <w:rsid w:val="000416E4"/>
    <w:rsid w:val="00041D27"/>
    <w:rsid w:val="00042FD1"/>
    <w:rsid w:val="00045466"/>
    <w:rsid w:val="000459EE"/>
    <w:rsid w:val="00047E4A"/>
    <w:rsid w:val="00055AC1"/>
    <w:rsid w:val="000575EA"/>
    <w:rsid w:val="000726F6"/>
    <w:rsid w:val="00076A67"/>
    <w:rsid w:val="000815EE"/>
    <w:rsid w:val="00084C5C"/>
    <w:rsid w:val="00085837"/>
    <w:rsid w:val="00085B3A"/>
    <w:rsid w:val="00085CC9"/>
    <w:rsid w:val="00090C82"/>
    <w:rsid w:val="00093082"/>
    <w:rsid w:val="000A1E21"/>
    <w:rsid w:val="000A2429"/>
    <w:rsid w:val="000A6212"/>
    <w:rsid w:val="000B6BBA"/>
    <w:rsid w:val="000D5372"/>
    <w:rsid w:val="000D5F58"/>
    <w:rsid w:val="000D6108"/>
    <w:rsid w:val="000E1449"/>
    <w:rsid w:val="000E5B85"/>
    <w:rsid w:val="000F58BB"/>
    <w:rsid w:val="000F699D"/>
    <w:rsid w:val="001017F2"/>
    <w:rsid w:val="00104AD1"/>
    <w:rsid w:val="001077A6"/>
    <w:rsid w:val="00111D99"/>
    <w:rsid w:val="00111EE6"/>
    <w:rsid w:val="0011665B"/>
    <w:rsid w:val="00116898"/>
    <w:rsid w:val="0012545D"/>
    <w:rsid w:val="00126213"/>
    <w:rsid w:val="00130474"/>
    <w:rsid w:val="00134648"/>
    <w:rsid w:val="0014119C"/>
    <w:rsid w:val="001451FF"/>
    <w:rsid w:val="001478DB"/>
    <w:rsid w:val="00163A84"/>
    <w:rsid w:val="0016700D"/>
    <w:rsid w:val="00172EC8"/>
    <w:rsid w:val="001730E5"/>
    <w:rsid w:val="00175C2B"/>
    <w:rsid w:val="001812B2"/>
    <w:rsid w:val="001812CA"/>
    <w:rsid w:val="001869F9"/>
    <w:rsid w:val="00192500"/>
    <w:rsid w:val="00197C29"/>
    <w:rsid w:val="001A0EBE"/>
    <w:rsid w:val="001A785D"/>
    <w:rsid w:val="001A7C18"/>
    <w:rsid w:val="001B62B1"/>
    <w:rsid w:val="001B74F7"/>
    <w:rsid w:val="001C07F5"/>
    <w:rsid w:val="001C477A"/>
    <w:rsid w:val="001C69D4"/>
    <w:rsid w:val="001D001C"/>
    <w:rsid w:val="001D2D9A"/>
    <w:rsid w:val="001D52F3"/>
    <w:rsid w:val="001E219A"/>
    <w:rsid w:val="001E3889"/>
    <w:rsid w:val="001E4001"/>
    <w:rsid w:val="001F5586"/>
    <w:rsid w:val="00202524"/>
    <w:rsid w:val="00211898"/>
    <w:rsid w:val="002146C2"/>
    <w:rsid w:val="00216278"/>
    <w:rsid w:val="00216F46"/>
    <w:rsid w:val="00225BE5"/>
    <w:rsid w:val="002266CD"/>
    <w:rsid w:val="00232290"/>
    <w:rsid w:val="0023484A"/>
    <w:rsid w:val="002428BC"/>
    <w:rsid w:val="00244D6F"/>
    <w:rsid w:val="00245FA9"/>
    <w:rsid w:val="00246933"/>
    <w:rsid w:val="00252B31"/>
    <w:rsid w:val="002600EA"/>
    <w:rsid w:val="00264C0F"/>
    <w:rsid w:val="0026789F"/>
    <w:rsid w:val="00272B63"/>
    <w:rsid w:val="00275AD0"/>
    <w:rsid w:val="00276CAC"/>
    <w:rsid w:val="00276D25"/>
    <w:rsid w:val="00277262"/>
    <w:rsid w:val="00283658"/>
    <w:rsid w:val="00283926"/>
    <w:rsid w:val="002870AA"/>
    <w:rsid w:val="00290F01"/>
    <w:rsid w:val="0029165A"/>
    <w:rsid w:val="00293A7C"/>
    <w:rsid w:val="00297942"/>
    <w:rsid w:val="002A72AE"/>
    <w:rsid w:val="002B0905"/>
    <w:rsid w:val="002B2D54"/>
    <w:rsid w:val="002B3DF4"/>
    <w:rsid w:val="002C2342"/>
    <w:rsid w:val="002C31DE"/>
    <w:rsid w:val="002C43E2"/>
    <w:rsid w:val="002C5B38"/>
    <w:rsid w:val="002E2206"/>
    <w:rsid w:val="002E385F"/>
    <w:rsid w:val="002F2B81"/>
    <w:rsid w:val="002F6FE9"/>
    <w:rsid w:val="003026E1"/>
    <w:rsid w:val="00307A33"/>
    <w:rsid w:val="0031573C"/>
    <w:rsid w:val="00316B9B"/>
    <w:rsid w:val="00317940"/>
    <w:rsid w:val="0032023D"/>
    <w:rsid w:val="0032093A"/>
    <w:rsid w:val="003225E8"/>
    <w:rsid w:val="00325C2B"/>
    <w:rsid w:val="00332547"/>
    <w:rsid w:val="00336887"/>
    <w:rsid w:val="0033713B"/>
    <w:rsid w:val="00337600"/>
    <w:rsid w:val="00341132"/>
    <w:rsid w:val="0035205F"/>
    <w:rsid w:val="003563CA"/>
    <w:rsid w:val="00371277"/>
    <w:rsid w:val="00372CAB"/>
    <w:rsid w:val="00373BF4"/>
    <w:rsid w:val="00374FDF"/>
    <w:rsid w:val="00380DF2"/>
    <w:rsid w:val="003828FF"/>
    <w:rsid w:val="00382F77"/>
    <w:rsid w:val="0038432C"/>
    <w:rsid w:val="0038524D"/>
    <w:rsid w:val="00394F66"/>
    <w:rsid w:val="00395F43"/>
    <w:rsid w:val="003A39B1"/>
    <w:rsid w:val="003B50D7"/>
    <w:rsid w:val="003B7E26"/>
    <w:rsid w:val="003C3CAD"/>
    <w:rsid w:val="003C60F6"/>
    <w:rsid w:val="003D19CE"/>
    <w:rsid w:val="003D720A"/>
    <w:rsid w:val="003E2006"/>
    <w:rsid w:val="003E319C"/>
    <w:rsid w:val="003E46FD"/>
    <w:rsid w:val="003F3BFD"/>
    <w:rsid w:val="00401C5B"/>
    <w:rsid w:val="00411BC2"/>
    <w:rsid w:val="00413EFC"/>
    <w:rsid w:val="004221BA"/>
    <w:rsid w:val="00423347"/>
    <w:rsid w:val="00427BE0"/>
    <w:rsid w:val="004406AA"/>
    <w:rsid w:val="00450B5E"/>
    <w:rsid w:val="0045563C"/>
    <w:rsid w:val="00455980"/>
    <w:rsid w:val="004573EC"/>
    <w:rsid w:val="00457A18"/>
    <w:rsid w:val="00460FAD"/>
    <w:rsid w:val="004618A1"/>
    <w:rsid w:val="004826E7"/>
    <w:rsid w:val="0048326D"/>
    <w:rsid w:val="004849BE"/>
    <w:rsid w:val="00484A47"/>
    <w:rsid w:val="00484FC4"/>
    <w:rsid w:val="00485A6F"/>
    <w:rsid w:val="004920B1"/>
    <w:rsid w:val="004A0015"/>
    <w:rsid w:val="004A6ACA"/>
    <w:rsid w:val="004B3307"/>
    <w:rsid w:val="004B422D"/>
    <w:rsid w:val="004C39E0"/>
    <w:rsid w:val="004D2364"/>
    <w:rsid w:val="004E4EA7"/>
    <w:rsid w:val="004E5DFC"/>
    <w:rsid w:val="004E7EFB"/>
    <w:rsid w:val="004F07A9"/>
    <w:rsid w:val="004F091E"/>
    <w:rsid w:val="004F2BC4"/>
    <w:rsid w:val="004F4CBE"/>
    <w:rsid w:val="0050096C"/>
    <w:rsid w:val="00502AE6"/>
    <w:rsid w:val="005034F6"/>
    <w:rsid w:val="00511F45"/>
    <w:rsid w:val="00513CC8"/>
    <w:rsid w:val="00513E50"/>
    <w:rsid w:val="00513FEC"/>
    <w:rsid w:val="00516EBF"/>
    <w:rsid w:val="00522362"/>
    <w:rsid w:val="00525A12"/>
    <w:rsid w:val="0053030B"/>
    <w:rsid w:val="005328E9"/>
    <w:rsid w:val="00533658"/>
    <w:rsid w:val="00540507"/>
    <w:rsid w:val="005419B6"/>
    <w:rsid w:val="00541FA8"/>
    <w:rsid w:val="00546F49"/>
    <w:rsid w:val="00546F89"/>
    <w:rsid w:val="00563D7D"/>
    <w:rsid w:val="00564FB5"/>
    <w:rsid w:val="0056771C"/>
    <w:rsid w:val="005677C1"/>
    <w:rsid w:val="005704E0"/>
    <w:rsid w:val="005706CC"/>
    <w:rsid w:val="00573A5B"/>
    <w:rsid w:val="005777BA"/>
    <w:rsid w:val="00577E6A"/>
    <w:rsid w:val="00583576"/>
    <w:rsid w:val="005918FD"/>
    <w:rsid w:val="00591C50"/>
    <w:rsid w:val="005926D3"/>
    <w:rsid w:val="005957E4"/>
    <w:rsid w:val="005964F7"/>
    <w:rsid w:val="005A7805"/>
    <w:rsid w:val="005A7B5A"/>
    <w:rsid w:val="005B16A8"/>
    <w:rsid w:val="005B2597"/>
    <w:rsid w:val="005B4233"/>
    <w:rsid w:val="005C1929"/>
    <w:rsid w:val="005C1956"/>
    <w:rsid w:val="005C2C88"/>
    <w:rsid w:val="005C41CB"/>
    <w:rsid w:val="005C5A23"/>
    <w:rsid w:val="005C6943"/>
    <w:rsid w:val="005D217A"/>
    <w:rsid w:val="005D225D"/>
    <w:rsid w:val="005D2666"/>
    <w:rsid w:val="005D663E"/>
    <w:rsid w:val="005E0472"/>
    <w:rsid w:val="005E1017"/>
    <w:rsid w:val="005E1FD9"/>
    <w:rsid w:val="005E384F"/>
    <w:rsid w:val="005E40D6"/>
    <w:rsid w:val="005E4C80"/>
    <w:rsid w:val="005F7A10"/>
    <w:rsid w:val="006111FF"/>
    <w:rsid w:val="00613A35"/>
    <w:rsid w:val="0062787C"/>
    <w:rsid w:val="0063079A"/>
    <w:rsid w:val="0063274F"/>
    <w:rsid w:val="00634B8B"/>
    <w:rsid w:val="00635DBA"/>
    <w:rsid w:val="00640B82"/>
    <w:rsid w:val="00643B86"/>
    <w:rsid w:val="00655126"/>
    <w:rsid w:val="00656688"/>
    <w:rsid w:val="006571E9"/>
    <w:rsid w:val="0065779C"/>
    <w:rsid w:val="00663482"/>
    <w:rsid w:val="006639B6"/>
    <w:rsid w:val="00663D43"/>
    <w:rsid w:val="00665C50"/>
    <w:rsid w:val="00666E28"/>
    <w:rsid w:val="00674C14"/>
    <w:rsid w:val="006808E9"/>
    <w:rsid w:val="00686D9C"/>
    <w:rsid w:val="00697F14"/>
    <w:rsid w:val="006A3B1A"/>
    <w:rsid w:val="006A3D9D"/>
    <w:rsid w:val="006A7C48"/>
    <w:rsid w:val="006C201F"/>
    <w:rsid w:val="006C2B52"/>
    <w:rsid w:val="006C35C5"/>
    <w:rsid w:val="006D45E8"/>
    <w:rsid w:val="006E2A1C"/>
    <w:rsid w:val="006E51CE"/>
    <w:rsid w:val="006E6D33"/>
    <w:rsid w:val="006F33C1"/>
    <w:rsid w:val="006F5A8E"/>
    <w:rsid w:val="007002C3"/>
    <w:rsid w:val="0070216F"/>
    <w:rsid w:val="0070688D"/>
    <w:rsid w:val="007156E0"/>
    <w:rsid w:val="00720DC2"/>
    <w:rsid w:val="00726173"/>
    <w:rsid w:val="007264B4"/>
    <w:rsid w:val="00727A6F"/>
    <w:rsid w:val="00730053"/>
    <w:rsid w:val="00730433"/>
    <w:rsid w:val="007312F9"/>
    <w:rsid w:val="007313FE"/>
    <w:rsid w:val="007352DD"/>
    <w:rsid w:val="00735A07"/>
    <w:rsid w:val="00735D6B"/>
    <w:rsid w:val="007375FE"/>
    <w:rsid w:val="00746B48"/>
    <w:rsid w:val="00750E5E"/>
    <w:rsid w:val="00751714"/>
    <w:rsid w:val="00756D5B"/>
    <w:rsid w:val="00760D62"/>
    <w:rsid w:val="00763C17"/>
    <w:rsid w:val="0076623A"/>
    <w:rsid w:val="0077789B"/>
    <w:rsid w:val="0078062F"/>
    <w:rsid w:val="00780CB6"/>
    <w:rsid w:val="007827E7"/>
    <w:rsid w:val="00783444"/>
    <w:rsid w:val="0079064F"/>
    <w:rsid w:val="00790BEA"/>
    <w:rsid w:val="0079187F"/>
    <w:rsid w:val="007965B5"/>
    <w:rsid w:val="007972AB"/>
    <w:rsid w:val="007976EC"/>
    <w:rsid w:val="0079771E"/>
    <w:rsid w:val="007A1153"/>
    <w:rsid w:val="007A1FFE"/>
    <w:rsid w:val="007A357A"/>
    <w:rsid w:val="007A5A7A"/>
    <w:rsid w:val="007A6DBA"/>
    <w:rsid w:val="007A776D"/>
    <w:rsid w:val="007B15F2"/>
    <w:rsid w:val="007B77B3"/>
    <w:rsid w:val="007C1CE3"/>
    <w:rsid w:val="007C22DE"/>
    <w:rsid w:val="007D055A"/>
    <w:rsid w:val="007D0D75"/>
    <w:rsid w:val="007D5937"/>
    <w:rsid w:val="007D5B87"/>
    <w:rsid w:val="007E5A7C"/>
    <w:rsid w:val="007F5359"/>
    <w:rsid w:val="007F5E0B"/>
    <w:rsid w:val="008041F1"/>
    <w:rsid w:val="0080581D"/>
    <w:rsid w:val="008066D9"/>
    <w:rsid w:val="00806E5F"/>
    <w:rsid w:val="008134C3"/>
    <w:rsid w:val="008266CD"/>
    <w:rsid w:val="00827BB4"/>
    <w:rsid w:val="0083193A"/>
    <w:rsid w:val="00833C61"/>
    <w:rsid w:val="00834D22"/>
    <w:rsid w:val="00840987"/>
    <w:rsid w:val="00843516"/>
    <w:rsid w:val="008446D5"/>
    <w:rsid w:val="00846856"/>
    <w:rsid w:val="00853345"/>
    <w:rsid w:val="00855FC9"/>
    <w:rsid w:val="00863ACF"/>
    <w:rsid w:val="00877027"/>
    <w:rsid w:val="0087717D"/>
    <w:rsid w:val="00877F24"/>
    <w:rsid w:val="00881097"/>
    <w:rsid w:val="0088164F"/>
    <w:rsid w:val="008824B9"/>
    <w:rsid w:val="00882D46"/>
    <w:rsid w:val="0088315D"/>
    <w:rsid w:val="00886BB5"/>
    <w:rsid w:val="00893601"/>
    <w:rsid w:val="008938DA"/>
    <w:rsid w:val="008A1718"/>
    <w:rsid w:val="008A70AA"/>
    <w:rsid w:val="008B4443"/>
    <w:rsid w:val="008C149B"/>
    <w:rsid w:val="008C6F68"/>
    <w:rsid w:val="008D1DCF"/>
    <w:rsid w:val="008E05A3"/>
    <w:rsid w:val="008F6BDC"/>
    <w:rsid w:val="00923F8B"/>
    <w:rsid w:val="009260B7"/>
    <w:rsid w:val="00930CD7"/>
    <w:rsid w:val="00932C7B"/>
    <w:rsid w:val="00935F88"/>
    <w:rsid w:val="0094239F"/>
    <w:rsid w:val="009431D1"/>
    <w:rsid w:val="00952A08"/>
    <w:rsid w:val="00954565"/>
    <w:rsid w:val="00956501"/>
    <w:rsid w:val="009629AF"/>
    <w:rsid w:val="00964B00"/>
    <w:rsid w:val="00965BD4"/>
    <w:rsid w:val="00970BC9"/>
    <w:rsid w:val="00974BB3"/>
    <w:rsid w:val="00981AAF"/>
    <w:rsid w:val="0098350A"/>
    <w:rsid w:val="00984823"/>
    <w:rsid w:val="00984A22"/>
    <w:rsid w:val="0098535B"/>
    <w:rsid w:val="00985E8A"/>
    <w:rsid w:val="00991379"/>
    <w:rsid w:val="00995F44"/>
    <w:rsid w:val="009A1F32"/>
    <w:rsid w:val="009A35B1"/>
    <w:rsid w:val="009A3D99"/>
    <w:rsid w:val="009B039E"/>
    <w:rsid w:val="009B15A1"/>
    <w:rsid w:val="009B3797"/>
    <w:rsid w:val="009B6BDB"/>
    <w:rsid w:val="009C7F3D"/>
    <w:rsid w:val="009D2028"/>
    <w:rsid w:val="009D4B87"/>
    <w:rsid w:val="009E0704"/>
    <w:rsid w:val="009E2079"/>
    <w:rsid w:val="009E3898"/>
    <w:rsid w:val="009E58E7"/>
    <w:rsid w:val="009E6103"/>
    <w:rsid w:val="009E707D"/>
    <w:rsid w:val="009E7702"/>
    <w:rsid w:val="009F07CC"/>
    <w:rsid w:val="009F18CE"/>
    <w:rsid w:val="009F5625"/>
    <w:rsid w:val="00A012A5"/>
    <w:rsid w:val="00A01C42"/>
    <w:rsid w:val="00A03369"/>
    <w:rsid w:val="00A05933"/>
    <w:rsid w:val="00A101D3"/>
    <w:rsid w:val="00A135BE"/>
    <w:rsid w:val="00A170C7"/>
    <w:rsid w:val="00A17E5B"/>
    <w:rsid w:val="00A20C91"/>
    <w:rsid w:val="00A219C0"/>
    <w:rsid w:val="00A2594A"/>
    <w:rsid w:val="00A32B81"/>
    <w:rsid w:val="00A37CD1"/>
    <w:rsid w:val="00A457EB"/>
    <w:rsid w:val="00A469F4"/>
    <w:rsid w:val="00A50124"/>
    <w:rsid w:val="00A5331A"/>
    <w:rsid w:val="00A55AED"/>
    <w:rsid w:val="00A628D8"/>
    <w:rsid w:val="00A668E9"/>
    <w:rsid w:val="00A66EE8"/>
    <w:rsid w:val="00A76731"/>
    <w:rsid w:val="00A80135"/>
    <w:rsid w:val="00A8381C"/>
    <w:rsid w:val="00A9700C"/>
    <w:rsid w:val="00AA0A20"/>
    <w:rsid w:val="00AA2F55"/>
    <w:rsid w:val="00AA373E"/>
    <w:rsid w:val="00AA7CA2"/>
    <w:rsid w:val="00AB18D4"/>
    <w:rsid w:val="00AB1A6A"/>
    <w:rsid w:val="00AB2166"/>
    <w:rsid w:val="00AB3EBD"/>
    <w:rsid w:val="00AC134B"/>
    <w:rsid w:val="00AC722E"/>
    <w:rsid w:val="00AD40A7"/>
    <w:rsid w:val="00AD57B2"/>
    <w:rsid w:val="00AD5853"/>
    <w:rsid w:val="00AE2F4F"/>
    <w:rsid w:val="00AE3083"/>
    <w:rsid w:val="00AE3FA1"/>
    <w:rsid w:val="00AE4C21"/>
    <w:rsid w:val="00AE56F6"/>
    <w:rsid w:val="00AF0CFE"/>
    <w:rsid w:val="00AF2F86"/>
    <w:rsid w:val="00B01324"/>
    <w:rsid w:val="00B03ADC"/>
    <w:rsid w:val="00B04A7F"/>
    <w:rsid w:val="00B0594B"/>
    <w:rsid w:val="00B0599D"/>
    <w:rsid w:val="00B05BDB"/>
    <w:rsid w:val="00B107F1"/>
    <w:rsid w:val="00B1081F"/>
    <w:rsid w:val="00B25408"/>
    <w:rsid w:val="00B31FEB"/>
    <w:rsid w:val="00B32248"/>
    <w:rsid w:val="00B3608A"/>
    <w:rsid w:val="00B410FF"/>
    <w:rsid w:val="00B460AF"/>
    <w:rsid w:val="00B64488"/>
    <w:rsid w:val="00B662B2"/>
    <w:rsid w:val="00B6763B"/>
    <w:rsid w:val="00B67DD1"/>
    <w:rsid w:val="00B70D47"/>
    <w:rsid w:val="00B72E45"/>
    <w:rsid w:val="00B7513D"/>
    <w:rsid w:val="00B80D96"/>
    <w:rsid w:val="00B81192"/>
    <w:rsid w:val="00B82FF2"/>
    <w:rsid w:val="00B868FE"/>
    <w:rsid w:val="00B90F30"/>
    <w:rsid w:val="00B921A8"/>
    <w:rsid w:val="00B9620A"/>
    <w:rsid w:val="00BA50D3"/>
    <w:rsid w:val="00BA738F"/>
    <w:rsid w:val="00BC12E6"/>
    <w:rsid w:val="00BC1C1C"/>
    <w:rsid w:val="00BC2710"/>
    <w:rsid w:val="00BC6E54"/>
    <w:rsid w:val="00BD19AE"/>
    <w:rsid w:val="00BD492C"/>
    <w:rsid w:val="00BE50FE"/>
    <w:rsid w:val="00BE5958"/>
    <w:rsid w:val="00BF0082"/>
    <w:rsid w:val="00BF168C"/>
    <w:rsid w:val="00BF33E5"/>
    <w:rsid w:val="00BF387D"/>
    <w:rsid w:val="00BF5776"/>
    <w:rsid w:val="00C01E1C"/>
    <w:rsid w:val="00C02E48"/>
    <w:rsid w:val="00C054BA"/>
    <w:rsid w:val="00C1509D"/>
    <w:rsid w:val="00C161D5"/>
    <w:rsid w:val="00C2130E"/>
    <w:rsid w:val="00C22DD8"/>
    <w:rsid w:val="00C23CC3"/>
    <w:rsid w:val="00C241D5"/>
    <w:rsid w:val="00C27EF9"/>
    <w:rsid w:val="00C30671"/>
    <w:rsid w:val="00C45C57"/>
    <w:rsid w:val="00C50CFE"/>
    <w:rsid w:val="00C5559A"/>
    <w:rsid w:val="00C63066"/>
    <w:rsid w:val="00C707E8"/>
    <w:rsid w:val="00C71F3D"/>
    <w:rsid w:val="00C8433D"/>
    <w:rsid w:val="00C8532B"/>
    <w:rsid w:val="00C926B0"/>
    <w:rsid w:val="00C96EBF"/>
    <w:rsid w:val="00CA43CA"/>
    <w:rsid w:val="00CA554B"/>
    <w:rsid w:val="00CB0FB9"/>
    <w:rsid w:val="00CC45D6"/>
    <w:rsid w:val="00CC54EB"/>
    <w:rsid w:val="00CC6935"/>
    <w:rsid w:val="00CD5D90"/>
    <w:rsid w:val="00CE04B2"/>
    <w:rsid w:val="00CE1C9D"/>
    <w:rsid w:val="00CE2F19"/>
    <w:rsid w:val="00CE4DF4"/>
    <w:rsid w:val="00CE666D"/>
    <w:rsid w:val="00CF166A"/>
    <w:rsid w:val="00CF2A63"/>
    <w:rsid w:val="00CF3181"/>
    <w:rsid w:val="00CF4B75"/>
    <w:rsid w:val="00D00569"/>
    <w:rsid w:val="00D05DFD"/>
    <w:rsid w:val="00D102A7"/>
    <w:rsid w:val="00D15473"/>
    <w:rsid w:val="00D30645"/>
    <w:rsid w:val="00D32DCE"/>
    <w:rsid w:val="00D33031"/>
    <w:rsid w:val="00D33169"/>
    <w:rsid w:val="00D353F4"/>
    <w:rsid w:val="00D357B5"/>
    <w:rsid w:val="00D47121"/>
    <w:rsid w:val="00D53FF8"/>
    <w:rsid w:val="00D62997"/>
    <w:rsid w:val="00D63793"/>
    <w:rsid w:val="00D63A35"/>
    <w:rsid w:val="00D65F3C"/>
    <w:rsid w:val="00D702C1"/>
    <w:rsid w:val="00D715C1"/>
    <w:rsid w:val="00D75B4B"/>
    <w:rsid w:val="00D843CD"/>
    <w:rsid w:val="00D8563E"/>
    <w:rsid w:val="00D85B4B"/>
    <w:rsid w:val="00D87B5A"/>
    <w:rsid w:val="00D90810"/>
    <w:rsid w:val="00DB15B9"/>
    <w:rsid w:val="00DB5498"/>
    <w:rsid w:val="00DB6085"/>
    <w:rsid w:val="00DB68CC"/>
    <w:rsid w:val="00DB6D67"/>
    <w:rsid w:val="00DC2093"/>
    <w:rsid w:val="00DC556F"/>
    <w:rsid w:val="00DC5C22"/>
    <w:rsid w:val="00DD56BD"/>
    <w:rsid w:val="00DE0BDE"/>
    <w:rsid w:val="00DE283E"/>
    <w:rsid w:val="00DE28FC"/>
    <w:rsid w:val="00DE5E8F"/>
    <w:rsid w:val="00DF0AC4"/>
    <w:rsid w:val="00DF1D0D"/>
    <w:rsid w:val="00DF40ED"/>
    <w:rsid w:val="00DF68AA"/>
    <w:rsid w:val="00DF6945"/>
    <w:rsid w:val="00E07E56"/>
    <w:rsid w:val="00E07F37"/>
    <w:rsid w:val="00E10154"/>
    <w:rsid w:val="00E13DD7"/>
    <w:rsid w:val="00E153B0"/>
    <w:rsid w:val="00E2080A"/>
    <w:rsid w:val="00E221BF"/>
    <w:rsid w:val="00E2734D"/>
    <w:rsid w:val="00E31DB8"/>
    <w:rsid w:val="00E3235B"/>
    <w:rsid w:val="00E32971"/>
    <w:rsid w:val="00E4054C"/>
    <w:rsid w:val="00E41994"/>
    <w:rsid w:val="00E46164"/>
    <w:rsid w:val="00E4639D"/>
    <w:rsid w:val="00E526A4"/>
    <w:rsid w:val="00E544A2"/>
    <w:rsid w:val="00E558B8"/>
    <w:rsid w:val="00E81663"/>
    <w:rsid w:val="00E8191B"/>
    <w:rsid w:val="00E83834"/>
    <w:rsid w:val="00E86C69"/>
    <w:rsid w:val="00E9155E"/>
    <w:rsid w:val="00E9686E"/>
    <w:rsid w:val="00E96DA6"/>
    <w:rsid w:val="00E97396"/>
    <w:rsid w:val="00EA0DA6"/>
    <w:rsid w:val="00EA15EE"/>
    <w:rsid w:val="00EA1D70"/>
    <w:rsid w:val="00EA3B48"/>
    <w:rsid w:val="00EB41E9"/>
    <w:rsid w:val="00EB544B"/>
    <w:rsid w:val="00EB5EBC"/>
    <w:rsid w:val="00EB6E09"/>
    <w:rsid w:val="00EC2DE2"/>
    <w:rsid w:val="00EC41DD"/>
    <w:rsid w:val="00ED12C3"/>
    <w:rsid w:val="00ED257F"/>
    <w:rsid w:val="00ED316B"/>
    <w:rsid w:val="00ED3AC7"/>
    <w:rsid w:val="00EE1252"/>
    <w:rsid w:val="00EE47FF"/>
    <w:rsid w:val="00EE5610"/>
    <w:rsid w:val="00EE7911"/>
    <w:rsid w:val="00EF2384"/>
    <w:rsid w:val="00EF2664"/>
    <w:rsid w:val="00EF6420"/>
    <w:rsid w:val="00EF65BD"/>
    <w:rsid w:val="00F020C4"/>
    <w:rsid w:val="00F22E8B"/>
    <w:rsid w:val="00F23CDC"/>
    <w:rsid w:val="00F30646"/>
    <w:rsid w:val="00F319B7"/>
    <w:rsid w:val="00F3271A"/>
    <w:rsid w:val="00F332CA"/>
    <w:rsid w:val="00F3419F"/>
    <w:rsid w:val="00F43FF3"/>
    <w:rsid w:val="00F5124B"/>
    <w:rsid w:val="00F54F2E"/>
    <w:rsid w:val="00F637FD"/>
    <w:rsid w:val="00F64304"/>
    <w:rsid w:val="00F65C4B"/>
    <w:rsid w:val="00F71131"/>
    <w:rsid w:val="00F71A6A"/>
    <w:rsid w:val="00F73D18"/>
    <w:rsid w:val="00F74AF0"/>
    <w:rsid w:val="00F75848"/>
    <w:rsid w:val="00F825A8"/>
    <w:rsid w:val="00F826DC"/>
    <w:rsid w:val="00F92AE9"/>
    <w:rsid w:val="00F94742"/>
    <w:rsid w:val="00FA0BD6"/>
    <w:rsid w:val="00FA7901"/>
    <w:rsid w:val="00FB54D0"/>
    <w:rsid w:val="00FC2732"/>
    <w:rsid w:val="00FC484F"/>
    <w:rsid w:val="00FD3E2F"/>
    <w:rsid w:val="00FE524C"/>
    <w:rsid w:val="00FE5816"/>
    <w:rsid w:val="00FE6E31"/>
    <w:rsid w:val="00FF199E"/>
    <w:rsid w:val="00FF78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lv-LV"/>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49B"/>
    <w:pPr>
      <w:suppressAutoHyphens/>
    </w:pPr>
    <w:rPr>
      <w:sz w:val="24"/>
    </w:rPr>
  </w:style>
  <w:style w:type="paragraph" w:styleId="Heading1">
    <w:name w:val="heading 1"/>
    <w:basedOn w:val="Normal"/>
    <w:next w:val="Normal"/>
    <w:qFormat/>
    <w:rsid w:val="008824B9"/>
    <w:pPr>
      <w:keepNext/>
      <w:spacing w:before="360" w:after="240"/>
      <w:jc w:val="center"/>
      <w:outlineLvl w:val="0"/>
    </w:pPr>
    <w:rPr>
      <w:b/>
      <w:sz w:val="28"/>
    </w:rPr>
  </w:style>
  <w:style w:type="paragraph" w:styleId="Heading2">
    <w:name w:val="heading 2"/>
    <w:basedOn w:val="Normal"/>
    <w:next w:val="Normal"/>
    <w:qFormat/>
    <w:rsid w:val="008824B9"/>
    <w:pPr>
      <w:keepNext/>
      <w:spacing w:before="240" w:after="120"/>
      <w:ind w:left="284" w:hanging="284"/>
      <w:outlineLvl w:val="1"/>
    </w:pPr>
    <w:rPr>
      <w:b/>
    </w:rPr>
  </w:style>
  <w:style w:type="paragraph" w:styleId="Heading3">
    <w:name w:val="heading 3"/>
    <w:basedOn w:val="Normal"/>
    <w:next w:val="Normal"/>
    <w:qFormat/>
    <w:rsid w:val="008824B9"/>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rPr>
  </w:style>
  <w:style w:type="paragraph" w:styleId="Heading5">
    <w:name w:val="heading 5"/>
    <w:basedOn w:val="Normal"/>
    <w:next w:val="Normal"/>
    <w:qFormat/>
    <w:pPr>
      <w:widowControl w:val="0"/>
      <w:outlineLvl w:val="4"/>
    </w:pPr>
    <w:rPr>
      <w:rFonts w:ascii="Courier" w:hAnsi="Courier"/>
      <w:snapToGrid w:val="0"/>
    </w:rPr>
  </w:style>
  <w:style w:type="paragraph" w:styleId="Heading6">
    <w:name w:val="heading 6"/>
    <w:basedOn w:val="Normal"/>
    <w:next w:val="Normal"/>
    <w:qFormat/>
    <w:pPr>
      <w:widowControl w:val="0"/>
      <w:outlineLvl w:val="5"/>
    </w:pPr>
    <w:rPr>
      <w:rFonts w:ascii="Courier" w:hAnsi="Courier"/>
      <w:snapToGrid w:val="0"/>
    </w:rPr>
  </w:style>
  <w:style w:type="paragraph" w:styleId="Heading7">
    <w:name w:val="heading 7"/>
    <w:basedOn w:val="Normal"/>
    <w:next w:val="Normal"/>
    <w:qFormat/>
    <w:pPr>
      <w:widowControl w:val="0"/>
      <w:outlineLvl w:val="6"/>
    </w:pPr>
    <w:rPr>
      <w:rFonts w:ascii="Courier" w:hAnsi="Courier"/>
      <w:snapToGrid w:val="0"/>
    </w:rPr>
  </w:style>
  <w:style w:type="paragraph" w:styleId="Heading8">
    <w:name w:val="heading 8"/>
    <w:basedOn w:val="Normal"/>
    <w:next w:val="Normal"/>
    <w:qFormat/>
    <w:pPr>
      <w:widowControl w:val="0"/>
      <w:outlineLvl w:val="7"/>
    </w:pPr>
    <w:rPr>
      <w:rFonts w:ascii="Courier" w:hAnsi="Courier"/>
      <w:snapToGrid w:val="0"/>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iHA">
    <w:name w:val="Opi_H_A"/>
    <w:basedOn w:val="JuHIRoman"/>
    <w:next w:val="OpiPara"/>
    <w:rsid w:val="008824B9"/>
    <w:pPr>
      <w:tabs>
        <w:tab w:val="clear" w:pos="357"/>
      </w:tabs>
    </w:pPr>
    <w:rPr>
      <w:b/>
    </w:rPr>
  </w:style>
  <w:style w:type="paragraph" w:customStyle="1" w:styleId="JuHIRoman">
    <w:name w:val="Ju_H_I_Roman"/>
    <w:basedOn w:val="JuHHead"/>
    <w:next w:val="ECHRPara"/>
    <w:rsid w:val="008824B9"/>
    <w:pPr>
      <w:tabs>
        <w:tab w:val="left" w:pos="357"/>
      </w:tabs>
      <w:spacing w:before="360"/>
      <w:ind w:left="357" w:hanging="357"/>
      <w:outlineLvl w:val="1"/>
    </w:pPr>
    <w:rPr>
      <w:sz w:val="24"/>
    </w:rPr>
  </w:style>
  <w:style w:type="paragraph" w:customStyle="1" w:styleId="JuHHead">
    <w:name w:val="Ju_H_Head"/>
    <w:basedOn w:val="Normal"/>
    <w:next w:val="ECHRPara"/>
    <w:rsid w:val="008824B9"/>
    <w:pPr>
      <w:keepNext/>
      <w:keepLines/>
      <w:spacing w:before="720" w:after="240"/>
      <w:jc w:val="both"/>
      <w:outlineLvl w:val="0"/>
    </w:pPr>
    <w:rPr>
      <w:sz w:val="28"/>
    </w:rPr>
  </w:style>
  <w:style w:type="paragraph" w:customStyle="1" w:styleId="ECHRPara">
    <w:name w:val="ECHR_Para"/>
    <w:aliases w:val="Ju_Para"/>
    <w:basedOn w:val="Normal"/>
    <w:link w:val="JuParaChar"/>
    <w:uiPriority w:val="12"/>
    <w:qFormat/>
    <w:rsid w:val="008C149B"/>
    <w:pPr>
      <w:suppressAutoHyphens w:val="0"/>
      <w:ind w:firstLine="284"/>
      <w:jc w:val="both"/>
    </w:pPr>
    <w:rPr>
      <w:rFonts w:asciiTheme="minorHAnsi" w:eastAsiaTheme="minorEastAsia" w:hAnsiTheme="minorHAnsi" w:cstheme="minorBidi"/>
      <w:szCs w:val="22"/>
    </w:rPr>
  </w:style>
  <w:style w:type="paragraph" w:customStyle="1" w:styleId="OpiPara">
    <w:name w:val="Opi_Para"/>
    <w:basedOn w:val="ECHRPara"/>
    <w:rsid w:val="008824B9"/>
  </w:style>
  <w:style w:type="paragraph" w:customStyle="1" w:styleId="OpiH1">
    <w:name w:val="Opi_H_1."/>
    <w:basedOn w:val="OpiHA"/>
    <w:next w:val="OpiPara"/>
    <w:rsid w:val="008824B9"/>
    <w:pPr>
      <w:spacing w:before="240" w:after="120"/>
      <w:ind w:left="635"/>
    </w:pPr>
    <w:rPr>
      <w:b w:val="0"/>
      <w:i/>
    </w:rPr>
  </w:style>
  <w:style w:type="paragraph" w:customStyle="1" w:styleId="OpiHa0">
    <w:name w:val="Opi_H_a"/>
    <w:basedOn w:val="OpiH1"/>
    <w:next w:val="OpiPara"/>
    <w:rsid w:val="008824B9"/>
    <w:pPr>
      <w:ind w:left="834"/>
    </w:pPr>
    <w:rPr>
      <w:b/>
      <w:i w:val="0"/>
      <w:sz w:val="20"/>
    </w:rPr>
  </w:style>
  <w:style w:type="paragraph" w:customStyle="1" w:styleId="OpiHHead">
    <w:name w:val="Opi_H_Head"/>
    <w:basedOn w:val="JuHHead"/>
    <w:next w:val="OpiPara"/>
    <w:rsid w:val="008824B9"/>
    <w:pPr>
      <w:spacing w:before="0"/>
      <w:jc w:val="center"/>
    </w:pPr>
  </w:style>
  <w:style w:type="paragraph" w:customStyle="1" w:styleId="OpiHi">
    <w:name w:val="Opi_H_i"/>
    <w:basedOn w:val="OpiHa0"/>
    <w:next w:val="OpiPara"/>
    <w:rsid w:val="008824B9"/>
    <w:pPr>
      <w:ind w:left="1038"/>
    </w:pPr>
    <w:rPr>
      <w:b w:val="0"/>
      <w:i/>
    </w:rPr>
  </w:style>
  <w:style w:type="paragraph" w:styleId="Footer">
    <w:name w:val="footer"/>
    <w:basedOn w:val="Normal"/>
    <w:rsid w:val="008824B9"/>
    <w:pPr>
      <w:tabs>
        <w:tab w:val="center" w:pos="3686"/>
        <w:tab w:val="right" w:pos="7371"/>
      </w:tabs>
    </w:pPr>
    <w:rPr>
      <w:sz w:val="18"/>
    </w:rPr>
  </w:style>
  <w:style w:type="paragraph" w:customStyle="1" w:styleId="JuJudges">
    <w:name w:val="Ju_Judges"/>
    <w:aliases w:val="ECHR_Decision_Body"/>
    <w:basedOn w:val="Normal"/>
    <w:link w:val="JuJudgesChar"/>
    <w:uiPriority w:val="11"/>
    <w:qFormat/>
    <w:rsid w:val="008824B9"/>
    <w:pPr>
      <w:tabs>
        <w:tab w:val="left" w:pos="567"/>
        <w:tab w:val="left" w:pos="1134"/>
      </w:tabs>
    </w:pPr>
  </w:style>
  <w:style w:type="character" w:customStyle="1" w:styleId="JuParaChar">
    <w:name w:val="Ju_Para Char"/>
    <w:link w:val="ECHRPara"/>
    <w:uiPriority w:val="12"/>
    <w:rsid w:val="00B921A8"/>
    <w:rPr>
      <w:rFonts w:asciiTheme="minorHAnsi" w:eastAsiaTheme="minorEastAsia" w:hAnsiTheme="minorHAnsi" w:cstheme="minorBidi"/>
      <w:sz w:val="24"/>
      <w:szCs w:val="22"/>
    </w:rPr>
  </w:style>
  <w:style w:type="paragraph" w:customStyle="1" w:styleId="JuHA">
    <w:name w:val="Ju_H_A"/>
    <w:basedOn w:val="JuHIRoman"/>
    <w:next w:val="ECHRPara"/>
    <w:rsid w:val="008824B9"/>
    <w:pPr>
      <w:tabs>
        <w:tab w:val="clear" w:pos="357"/>
        <w:tab w:val="left" w:pos="584"/>
      </w:tabs>
      <w:ind w:left="584" w:hanging="352"/>
      <w:outlineLvl w:val="2"/>
    </w:pPr>
    <w:rPr>
      <w:b/>
    </w:rPr>
  </w:style>
  <w:style w:type="paragraph" w:customStyle="1" w:styleId="JuQuot">
    <w:name w:val="Ju_Quot"/>
    <w:basedOn w:val="ECHRPara"/>
    <w:rsid w:val="008824B9"/>
    <w:pPr>
      <w:spacing w:before="120" w:after="120"/>
      <w:ind w:left="425" w:firstLine="142"/>
    </w:pPr>
    <w:rPr>
      <w:sz w:val="20"/>
    </w:rPr>
  </w:style>
  <w:style w:type="paragraph" w:customStyle="1" w:styleId="JuSigned">
    <w:name w:val="Ju_Signed"/>
    <w:basedOn w:val="Normal"/>
    <w:next w:val="JuParaLast"/>
    <w:link w:val="JuSignedChar"/>
    <w:rsid w:val="008824B9"/>
    <w:pPr>
      <w:tabs>
        <w:tab w:val="center" w:pos="851"/>
        <w:tab w:val="center" w:pos="6407"/>
      </w:tabs>
      <w:spacing w:before="720"/>
    </w:pPr>
  </w:style>
  <w:style w:type="paragraph" w:customStyle="1" w:styleId="JuParaLast">
    <w:name w:val="Ju_Para_Last"/>
    <w:basedOn w:val="ECHRPara"/>
    <w:next w:val="ECHRPara"/>
    <w:rsid w:val="008824B9"/>
    <w:pPr>
      <w:keepNext/>
      <w:keepLines/>
      <w:spacing w:before="240"/>
    </w:pPr>
  </w:style>
  <w:style w:type="paragraph" w:customStyle="1" w:styleId="JuCase">
    <w:name w:val="Ju_Case"/>
    <w:basedOn w:val="ECHRPara"/>
    <w:next w:val="ECHRPara"/>
    <w:link w:val="JuCaseChar"/>
    <w:uiPriority w:val="10"/>
    <w:rsid w:val="008824B9"/>
    <w:rPr>
      <w:b/>
    </w:rPr>
  </w:style>
  <w:style w:type="paragraph" w:customStyle="1" w:styleId="JuList">
    <w:name w:val="Ju_List"/>
    <w:basedOn w:val="ECHRPara"/>
    <w:link w:val="JuListChar"/>
    <w:rsid w:val="008824B9"/>
    <w:pPr>
      <w:ind w:left="340" w:hanging="340"/>
    </w:pPr>
  </w:style>
  <w:style w:type="paragraph" w:customStyle="1" w:styleId="JuHArticle">
    <w:name w:val="Ju_H_Article"/>
    <w:basedOn w:val="JuHa0"/>
    <w:next w:val="JuQuot"/>
    <w:rsid w:val="008824B9"/>
    <w:pPr>
      <w:ind w:left="0" w:firstLine="0"/>
      <w:jc w:val="center"/>
    </w:pPr>
  </w:style>
  <w:style w:type="paragraph" w:customStyle="1" w:styleId="JuHa0">
    <w:name w:val="Ju_H_a"/>
    <w:basedOn w:val="JuH1"/>
    <w:next w:val="ECHRPara"/>
    <w:rsid w:val="008824B9"/>
    <w:pPr>
      <w:tabs>
        <w:tab w:val="clear" w:pos="731"/>
        <w:tab w:val="left" w:pos="975"/>
      </w:tabs>
      <w:ind w:left="975" w:hanging="340"/>
    </w:pPr>
    <w:rPr>
      <w:b/>
      <w:i w:val="0"/>
      <w:sz w:val="20"/>
    </w:rPr>
  </w:style>
  <w:style w:type="paragraph" w:customStyle="1" w:styleId="JuH1">
    <w:name w:val="Ju_H_1."/>
    <w:basedOn w:val="JuHA"/>
    <w:next w:val="ECHRPara"/>
    <w:rsid w:val="008824B9"/>
    <w:pPr>
      <w:tabs>
        <w:tab w:val="clear" w:pos="584"/>
        <w:tab w:val="left" w:pos="731"/>
      </w:tabs>
      <w:spacing w:before="240" w:after="120"/>
      <w:ind w:left="732" w:hanging="301"/>
      <w:outlineLvl w:val="9"/>
    </w:pPr>
    <w:rPr>
      <w:b w:val="0"/>
      <w:i/>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rsid w:val="008824B9"/>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8824B9"/>
  </w:style>
  <w:style w:type="paragraph" w:customStyle="1" w:styleId="OpiTranslation">
    <w:name w:val="Opi_Translation"/>
    <w:basedOn w:val="OpiHHead"/>
    <w:next w:val="OpiPara"/>
    <w:rsid w:val="008824B9"/>
    <w:rPr>
      <w:i/>
      <w:sz w:val="24"/>
    </w:rPr>
  </w:style>
  <w:style w:type="paragraph" w:styleId="FootnoteText">
    <w:name w:val="footnote text"/>
    <w:basedOn w:val="Normal"/>
    <w:semiHidden/>
    <w:rsid w:val="008824B9"/>
    <w:pPr>
      <w:jc w:val="both"/>
    </w:pPr>
    <w:rPr>
      <w:sz w:val="20"/>
    </w:rPr>
  </w:style>
  <w:style w:type="character" w:styleId="FootnoteReference">
    <w:name w:val="footnote reference"/>
    <w:semiHidden/>
    <w:rsid w:val="008824B9"/>
    <w:rPr>
      <w:vertAlign w:val="superscript"/>
    </w:rPr>
  </w:style>
  <w:style w:type="paragraph" w:customStyle="1" w:styleId="JuHi">
    <w:name w:val="Ju_H_i"/>
    <w:basedOn w:val="JuHa0"/>
    <w:next w:val="ECHRPara"/>
    <w:rsid w:val="008824B9"/>
    <w:pPr>
      <w:tabs>
        <w:tab w:val="clear" w:pos="975"/>
        <w:tab w:val="left" w:pos="1191"/>
      </w:tabs>
      <w:ind w:left="1190" w:hanging="357"/>
    </w:pPr>
    <w:rPr>
      <w:b w:val="0"/>
      <w:i/>
    </w:rPr>
  </w:style>
  <w:style w:type="paragraph" w:styleId="Header">
    <w:name w:val="header"/>
    <w:basedOn w:val="Normal"/>
    <w:rsid w:val="008824B9"/>
    <w:pPr>
      <w:tabs>
        <w:tab w:val="center" w:pos="3686"/>
        <w:tab w:val="right" w:pos="7371"/>
      </w:tabs>
    </w:pPr>
    <w:rPr>
      <w:sz w:val="18"/>
    </w:rPr>
  </w:style>
  <w:style w:type="character" w:styleId="PageNumber">
    <w:name w:val="page number"/>
    <w:rsid w:val="008824B9"/>
    <w:rPr>
      <w:sz w:val="18"/>
    </w:rPr>
  </w:style>
  <w:style w:type="paragraph" w:customStyle="1" w:styleId="JuH">
    <w:name w:val="Ju_H_–"/>
    <w:basedOn w:val="JuHalpha"/>
    <w:next w:val="ECHRPara"/>
    <w:rsid w:val="008824B9"/>
    <w:pPr>
      <w:tabs>
        <w:tab w:val="clear" w:pos="1372"/>
      </w:tabs>
      <w:ind w:left="1236" w:firstLine="0"/>
    </w:pPr>
    <w:rPr>
      <w:i/>
    </w:rPr>
  </w:style>
  <w:style w:type="paragraph" w:customStyle="1" w:styleId="JuHalpha">
    <w:name w:val="Ju_H_alpha"/>
    <w:basedOn w:val="JuHi"/>
    <w:next w:val="ECHRPara"/>
    <w:rsid w:val="008824B9"/>
    <w:pPr>
      <w:tabs>
        <w:tab w:val="clear" w:pos="1191"/>
        <w:tab w:val="left" w:pos="1372"/>
      </w:tabs>
      <w:ind w:left="1373" w:hanging="335"/>
    </w:pPr>
    <w:rPr>
      <w:i w:val="0"/>
    </w:rPr>
  </w:style>
  <w:style w:type="paragraph" w:customStyle="1" w:styleId="JuLista">
    <w:name w:val="Ju_List_a"/>
    <w:basedOn w:val="JuList"/>
    <w:rsid w:val="008824B9"/>
    <w:pPr>
      <w:ind w:left="346" w:firstLine="0"/>
    </w:pPr>
  </w:style>
  <w:style w:type="paragraph" w:customStyle="1" w:styleId="JuListi">
    <w:name w:val="Ju_List_i"/>
    <w:basedOn w:val="JuLista"/>
    <w:rsid w:val="008824B9"/>
    <w:pPr>
      <w:ind w:left="794"/>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JuInitialled">
    <w:name w:val="Ju_Initialled"/>
    <w:basedOn w:val="JuSigned"/>
    <w:rsid w:val="008824B9"/>
    <w:pPr>
      <w:tabs>
        <w:tab w:val="clear" w:pos="851"/>
      </w:tabs>
      <w:jc w:val="right"/>
    </w:pPr>
  </w:style>
  <w:style w:type="paragraph" w:customStyle="1" w:styleId="JuHeader">
    <w:name w:val="Ju_Header"/>
    <w:basedOn w:val="Header"/>
    <w:rsid w:val="008824B9"/>
  </w:style>
  <w:style w:type="paragraph" w:customStyle="1" w:styleId="DecHTitle">
    <w:name w:val="Dec_H_Title"/>
    <w:basedOn w:val="Normal"/>
    <w:rsid w:val="008824B9"/>
    <w:pPr>
      <w:spacing w:after="240"/>
      <w:jc w:val="center"/>
    </w:pPr>
    <w:rPr>
      <w:sz w:val="28"/>
    </w:rPr>
  </w:style>
  <w:style w:type="paragraph" w:customStyle="1" w:styleId="DecHCase">
    <w:name w:val="Dec_H_Case"/>
    <w:basedOn w:val="DecHTitle"/>
    <w:next w:val="ECHRPara"/>
    <w:rsid w:val="008824B9"/>
    <w:rPr>
      <w:sz w:val="24"/>
    </w:rPr>
  </w:style>
  <w:style w:type="paragraph" w:customStyle="1" w:styleId="DecList">
    <w:name w:val="Dec_List"/>
    <w:basedOn w:val="Normal"/>
    <w:rsid w:val="008824B9"/>
    <w:pPr>
      <w:spacing w:before="240"/>
      <w:ind w:left="284"/>
      <w:jc w:val="both"/>
    </w:pPr>
  </w:style>
  <w:style w:type="paragraph" w:customStyle="1" w:styleId="JuParaSub">
    <w:name w:val="Ju_Para_Sub"/>
    <w:basedOn w:val="ECHRPara"/>
    <w:rsid w:val="008824B9"/>
    <w:pPr>
      <w:ind w:left="284"/>
    </w:pPr>
    <w:rPr>
      <w:szCs w:val="24"/>
    </w:rPr>
  </w:style>
  <w:style w:type="paragraph" w:customStyle="1" w:styleId="JuQuotSub">
    <w:name w:val="Ju_Quot_Sub"/>
    <w:basedOn w:val="JuQuot"/>
    <w:rsid w:val="008824B9"/>
    <w:pPr>
      <w:ind w:left="567"/>
    </w:pPr>
  </w:style>
  <w:style w:type="paragraph" w:styleId="BalloonText">
    <w:name w:val="Balloon Text"/>
    <w:basedOn w:val="Normal"/>
    <w:semiHidden/>
    <w:rsid w:val="00457A18"/>
    <w:rPr>
      <w:rFonts w:ascii="Tahoma" w:hAnsi="Tahoma" w:cs="Tahoma"/>
      <w:sz w:val="16"/>
      <w:szCs w:val="16"/>
    </w:rPr>
  </w:style>
  <w:style w:type="paragraph" w:styleId="CommentSubject">
    <w:name w:val="annotation subject"/>
    <w:basedOn w:val="CommentText"/>
    <w:next w:val="CommentText"/>
    <w:semiHidden/>
    <w:rsid w:val="00D353F4"/>
    <w:rPr>
      <w:b/>
      <w:bCs/>
    </w:rPr>
  </w:style>
  <w:style w:type="paragraph" w:customStyle="1" w:styleId="PJuPara">
    <w:name w:val="P_Ju_Para"/>
    <w:basedOn w:val="Normal"/>
    <w:rsid w:val="008824B9"/>
    <w:pPr>
      <w:ind w:firstLine="284"/>
      <w:jc w:val="both"/>
    </w:pPr>
  </w:style>
  <w:style w:type="paragraph" w:customStyle="1" w:styleId="PJuQuot">
    <w:name w:val="P_Ju_Quot"/>
    <w:basedOn w:val="Normal"/>
    <w:rsid w:val="008824B9"/>
    <w:pPr>
      <w:spacing w:before="120" w:after="120"/>
      <w:ind w:left="403" w:firstLine="176"/>
      <w:jc w:val="both"/>
    </w:pPr>
    <w:rPr>
      <w:sz w:val="20"/>
    </w:rPr>
  </w:style>
  <w:style w:type="paragraph" w:customStyle="1" w:styleId="PListArticleSubject">
    <w:name w:val="P_List_ArticleSubject"/>
    <w:basedOn w:val="Normal"/>
    <w:rsid w:val="008824B9"/>
    <w:pPr>
      <w:tabs>
        <w:tab w:val="left" w:pos="2977"/>
      </w:tabs>
      <w:ind w:left="2977" w:hanging="2977"/>
    </w:pPr>
  </w:style>
  <w:style w:type="paragraph" w:customStyle="1" w:styleId="SuCoverTitle1">
    <w:name w:val="Su_Cover_Title1"/>
    <w:basedOn w:val="Normal"/>
    <w:next w:val="SuCoverTitle2"/>
    <w:rsid w:val="008824B9"/>
    <w:pPr>
      <w:spacing w:before="2500"/>
      <w:jc w:val="center"/>
    </w:pPr>
    <w:rPr>
      <w:sz w:val="22"/>
    </w:rPr>
  </w:style>
  <w:style w:type="paragraph" w:customStyle="1" w:styleId="SuCoverTitle2">
    <w:name w:val="Su_Cover_Title2"/>
    <w:basedOn w:val="SuCoverTitle1"/>
    <w:next w:val="Normal"/>
    <w:rsid w:val="008824B9"/>
    <w:pPr>
      <w:spacing w:before="240"/>
    </w:pPr>
    <w:rPr>
      <w:sz w:val="18"/>
    </w:rPr>
  </w:style>
  <w:style w:type="paragraph" w:customStyle="1" w:styleId="SuPara">
    <w:name w:val="Su_Para"/>
    <w:basedOn w:val="SuKeywords"/>
    <w:rsid w:val="008824B9"/>
    <w:pPr>
      <w:spacing w:before="0" w:after="0"/>
    </w:pPr>
    <w:rPr>
      <w:i w:val="0"/>
    </w:rPr>
  </w:style>
  <w:style w:type="paragraph" w:customStyle="1" w:styleId="SuKeywords">
    <w:name w:val="Su_Keywords"/>
    <w:basedOn w:val="SuHHead"/>
    <w:rsid w:val="008824B9"/>
    <w:pPr>
      <w:spacing w:before="120"/>
    </w:pPr>
    <w:rPr>
      <w:b w:val="0"/>
      <w:i/>
    </w:rPr>
  </w:style>
  <w:style w:type="paragraph" w:customStyle="1" w:styleId="SuHHead">
    <w:name w:val="Su_H_Head"/>
    <w:basedOn w:val="SuSubject"/>
    <w:rsid w:val="008824B9"/>
    <w:pPr>
      <w:spacing w:after="120"/>
    </w:pPr>
  </w:style>
  <w:style w:type="paragraph" w:customStyle="1" w:styleId="SuSubject">
    <w:name w:val="Su_Subject"/>
    <w:basedOn w:val="SuSummary"/>
    <w:rsid w:val="008824B9"/>
    <w:pPr>
      <w:spacing w:before="360"/>
      <w:jc w:val="both"/>
    </w:pPr>
    <w:rPr>
      <w:b/>
      <w:sz w:val="22"/>
    </w:rPr>
  </w:style>
  <w:style w:type="paragraph" w:customStyle="1" w:styleId="SuSummary">
    <w:name w:val="Su_Summary"/>
    <w:basedOn w:val="Normal"/>
    <w:next w:val="SuSubject"/>
    <w:rsid w:val="008824B9"/>
    <w:pPr>
      <w:spacing w:after="240"/>
      <w:jc w:val="center"/>
    </w:pPr>
  </w:style>
  <w:style w:type="paragraph" w:customStyle="1" w:styleId="PListCaseNo">
    <w:name w:val="P_List_CaseNo"/>
    <w:basedOn w:val="Normal"/>
    <w:rsid w:val="008824B9"/>
    <w:pPr>
      <w:tabs>
        <w:tab w:val="left" w:pos="1276"/>
      </w:tabs>
      <w:spacing w:line="288" w:lineRule="auto"/>
      <w:ind w:left="1276" w:hanging="1276"/>
    </w:pPr>
  </w:style>
  <w:style w:type="paragraph" w:customStyle="1" w:styleId="PListCases">
    <w:name w:val="P_List_Cases"/>
    <w:basedOn w:val="Normal"/>
    <w:rsid w:val="008824B9"/>
    <w:pPr>
      <w:spacing w:line="288" w:lineRule="auto"/>
    </w:pPr>
  </w:style>
  <w:style w:type="paragraph" w:customStyle="1" w:styleId="PTextIntro">
    <w:name w:val="P_Text_Intro"/>
    <w:basedOn w:val="Normal"/>
    <w:rsid w:val="008824B9"/>
    <w:pPr>
      <w:jc w:val="both"/>
    </w:pPr>
    <w:rPr>
      <w:i/>
      <w:sz w:val="20"/>
    </w:rPr>
  </w:style>
  <w:style w:type="paragraph" w:customStyle="1" w:styleId="PTitleCover">
    <w:name w:val="P_Title_Cover"/>
    <w:basedOn w:val="Normal"/>
    <w:rsid w:val="008824B9"/>
    <w:pPr>
      <w:spacing w:before="2500"/>
      <w:jc w:val="center"/>
    </w:pPr>
    <w:rPr>
      <w:b/>
      <w:smallCaps/>
      <w:sz w:val="30"/>
    </w:rPr>
  </w:style>
  <w:style w:type="paragraph" w:customStyle="1" w:styleId="PTitle1Alpha">
    <w:name w:val="P_Title1_Alpha"/>
    <w:basedOn w:val="Normal"/>
    <w:next w:val="Normal"/>
    <w:rsid w:val="008824B9"/>
    <w:pPr>
      <w:spacing w:after="120"/>
      <w:jc w:val="center"/>
    </w:pPr>
    <w:rPr>
      <w:b/>
      <w:smallCaps/>
      <w:sz w:val="30"/>
    </w:rPr>
  </w:style>
  <w:style w:type="paragraph" w:customStyle="1" w:styleId="PTitle1IndexArticle">
    <w:name w:val="P_Title1_IndexArticle"/>
    <w:basedOn w:val="Normal"/>
    <w:rsid w:val="008824B9"/>
    <w:pPr>
      <w:spacing w:after="120"/>
      <w:jc w:val="center"/>
    </w:pPr>
    <w:rPr>
      <w:b/>
      <w:smallCaps/>
      <w:sz w:val="30"/>
    </w:rPr>
  </w:style>
  <w:style w:type="paragraph" w:customStyle="1" w:styleId="PTitle1IndexKey">
    <w:name w:val="P_Title1_IndexKey"/>
    <w:basedOn w:val="Normal"/>
    <w:rsid w:val="008824B9"/>
    <w:pPr>
      <w:spacing w:after="600"/>
      <w:jc w:val="center"/>
    </w:pPr>
    <w:rPr>
      <w:b/>
      <w:smallCaps/>
      <w:sz w:val="30"/>
    </w:rPr>
  </w:style>
  <w:style w:type="paragraph" w:customStyle="1" w:styleId="PTitle1Num">
    <w:name w:val="P_Title1_Num"/>
    <w:basedOn w:val="Normal"/>
    <w:next w:val="PListCaseNo"/>
    <w:rsid w:val="008824B9"/>
    <w:pPr>
      <w:spacing w:after="720"/>
      <w:jc w:val="center"/>
    </w:pPr>
    <w:rPr>
      <w:b/>
      <w:smallCaps/>
      <w:sz w:val="30"/>
    </w:rPr>
  </w:style>
  <w:style w:type="paragraph" w:customStyle="1" w:styleId="PTitle2Country">
    <w:name w:val="P_Title2_Country"/>
    <w:basedOn w:val="Normal"/>
    <w:next w:val="PListCases"/>
    <w:rsid w:val="008824B9"/>
    <w:pPr>
      <w:keepNext/>
      <w:keepLines/>
      <w:spacing w:before="600" w:after="360"/>
    </w:pPr>
    <w:rPr>
      <w:b/>
    </w:rPr>
  </w:style>
  <w:style w:type="paragraph" w:customStyle="1" w:styleId="PTitle2Letters">
    <w:name w:val="P_Title2_Letters"/>
    <w:basedOn w:val="Normal"/>
    <w:next w:val="PListCases"/>
    <w:rsid w:val="008824B9"/>
    <w:pPr>
      <w:keepNext/>
      <w:keepLines/>
      <w:spacing w:before="600" w:after="360"/>
    </w:pPr>
    <w:rPr>
      <w:b/>
      <w:sz w:val="28"/>
    </w:rPr>
  </w:style>
  <w:style w:type="paragraph" w:customStyle="1" w:styleId="PTitle2Part">
    <w:name w:val="P_Title2_Part"/>
    <w:basedOn w:val="Normal"/>
    <w:rsid w:val="008824B9"/>
    <w:pPr>
      <w:keepNext/>
      <w:keepLines/>
      <w:spacing w:before="600" w:after="240"/>
      <w:jc w:val="center"/>
    </w:pPr>
    <w:rPr>
      <w:b/>
      <w:caps/>
    </w:rPr>
  </w:style>
  <w:style w:type="paragraph" w:customStyle="1" w:styleId="PTitle3Article">
    <w:name w:val="P_Title3_Article"/>
    <w:basedOn w:val="Normal"/>
    <w:rsid w:val="008824B9"/>
    <w:pPr>
      <w:keepNext/>
      <w:keepLines/>
      <w:spacing w:before="360" w:after="120"/>
      <w:jc w:val="center"/>
    </w:pPr>
    <w:rPr>
      <w:b/>
      <w:smallCaps/>
      <w:sz w:val="22"/>
    </w:rPr>
  </w:style>
  <w:style w:type="paragraph" w:customStyle="1" w:styleId="PTitle4ArticleSub">
    <w:name w:val="P_Title4_Article_Sub"/>
    <w:basedOn w:val="PTitle3Article"/>
    <w:rsid w:val="008824B9"/>
    <w:pPr>
      <w:spacing w:before="240"/>
    </w:pPr>
    <w:rPr>
      <w:smallCaps w:val="0"/>
      <w:sz w:val="20"/>
    </w:rPr>
  </w:style>
  <w:style w:type="paragraph" w:customStyle="1" w:styleId="PTitle5Subject">
    <w:name w:val="P_Title5_Subject"/>
    <w:basedOn w:val="Normal"/>
    <w:rsid w:val="008824B9"/>
    <w:pPr>
      <w:keepNext/>
      <w:keepLines/>
      <w:spacing w:before="240" w:after="120"/>
      <w:jc w:val="both"/>
    </w:pPr>
    <w:rPr>
      <w:b/>
      <w:i/>
    </w:rPr>
  </w:style>
  <w:style w:type="paragraph" w:customStyle="1" w:styleId="PTitle6SubjectSub">
    <w:name w:val="P_Title6_Subject_Sub"/>
    <w:basedOn w:val="Normal"/>
    <w:rsid w:val="008824B9"/>
    <w:pPr>
      <w:keepNext/>
      <w:keepLines/>
      <w:spacing w:before="240" w:after="120"/>
      <w:ind w:left="284"/>
      <w:jc w:val="both"/>
    </w:pPr>
    <w:rPr>
      <w:b/>
      <w:sz w:val="20"/>
    </w:rPr>
  </w:style>
  <w:style w:type="paragraph" w:customStyle="1" w:styleId="PTitle7CaseName">
    <w:name w:val="P_Title7_CaseName"/>
    <w:basedOn w:val="Normal"/>
    <w:rsid w:val="008824B9"/>
    <w:pPr>
      <w:keepLines/>
      <w:spacing w:after="240"/>
      <w:jc w:val="right"/>
    </w:pPr>
    <w:rPr>
      <w:sz w:val="22"/>
    </w:rPr>
  </w:style>
  <w:style w:type="paragraph" w:customStyle="1" w:styleId="OpiParaSub">
    <w:name w:val="Opi_Para_Sub"/>
    <w:basedOn w:val="JuParaSub"/>
    <w:rsid w:val="008824B9"/>
  </w:style>
  <w:style w:type="paragraph" w:customStyle="1" w:styleId="OpiQuotSub">
    <w:name w:val="Opi_Quot_Sub"/>
    <w:basedOn w:val="JuQuotSub"/>
    <w:rsid w:val="008824B9"/>
  </w:style>
  <w:style w:type="character" w:customStyle="1" w:styleId="JuSignedChar">
    <w:name w:val="Ju_Signed Char"/>
    <w:link w:val="JuSigned"/>
    <w:rsid w:val="000726F6"/>
    <w:rPr>
      <w:sz w:val="24"/>
      <w:lang w:val="lv-LV" w:eastAsia="lv-LV" w:bidi="lv-LV"/>
    </w:rPr>
  </w:style>
  <w:style w:type="character" w:customStyle="1" w:styleId="JuJudgesChar">
    <w:name w:val="Ju_Judges Char"/>
    <w:link w:val="JuJudges"/>
    <w:uiPriority w:val="11"/>
    <w:locked/>
    <w:rsid w:val="00D15473"/>
    <w:rPr>
      <w:sz w:val="24"/>
      <w:lang w:val="lv-LV" w:eastAsia="lv-LV" w:bidi="lv-LV"/>
    </w:rPr>
  </w:style>
  <w:style w:type="character" w:customStyle="1" w:styleId="JuCaseChar">
    <w:name w:val="Ju_Case Char"/>
    <w:link w:val="JuCase"/>
    <w:uiPriority w:val="10"/>
    <w:rsid w:val="00B921A8"/>
    <w:rPr>
      <w:b/>
      <w:sz w:val="24"/>
      <w:lang w:val="lv-LV" w:eastAsia="lv-LV" w:bidi="lv-LV"/>
    </w:rPr>
  </w:style>
  <w:style w:type="character" w:customStyle="1" w:styleId="JuParaCar">
    <w:name w:val="Ju_Para Car"/>
    <w:uiPriority w:val="12"/>
    <w:rsid w:val="00B460AF"/>
    <w:rPr>
      <w:sz w:val="24"/>
      <w:lang w:val="lv-LV" w:eastAsia="lv-LV" w:bidi="lv-LV"/>
    </w:rPr>
  </w:style>
  <w:style w:type="character" w:customStyle="1" w:styleId="JuListChar">
    <w:name w:val="Ju_List Char"/>
    <w:link w:val="JuList"/>
    <w:rsid w:val="00930CD7"/>
    <w:rPr>
      <w:sz w:val="24"/>
      <w:lang w:val="lv-LV" w:eastAsia="lv-LV" w:bidi="lv-LV"/>
    </w:rPr>
  </w:style>
  <w:style w:type="character" w:styleId="Strong">
    <w:name w:val="Strong"/>
    <w:qFormat/>
    <w:rsid w:val="00AA7CA2"/>
    <w:rPr>
      <w:b/>
      <w:bCs/>
    </w:rPr>
  </w:style>
  <w:style w:type="paragraph" w:styleId="DocumentMap">
    <w:name w:val="Document Map"/>
    <w:basedOn w:val="Normal"/>
    <w:semiHidden/>
    <w:rsid w:val="008824B9"/>
    <w:pPr>
      <w:shd w:val="clear" w:color="auto" w:fill="000080"/>
    </w:pPr>
    <w:rPr>
      <w:rFonts w:ascii="Tahoma" w:hAnsi="Tahoma" w:cs="Tahoma"/>
      <w:sz w:val="20"/>
    </w:rPr>
  </w:style>
  <w:style w:type="character" w:customStyle="1" w:styleId="JuNames">
    <w:name w:val="Ju_Names"/>
    <w:rsid w:val="008824B9"/>
    <w:rPr>
      <w:smallCaps/>
    </w:rPr>
  </w:style>
  <w:style w:type="paragraph" w:customStyle="1" w:styleId="NormalJustified">
    <w:name w:val="Normal_Justified"/>
    <w:basedOn w:val="Normal"/>
    <w:rsid w:val="008824B9"/>
    <w:pPr>
      <w:jc w:val="both"/>
    </w:pPr>
  </w:style>
  <w:style w:type="paragraph" w:customStyle="1" w:styleId="AppQuestion">
    <w:name w:val="App_Question"/>
    <w:basedOn w:val="ListBullet"/>
    <w:rsid w:val="008824B9"/>
    <w:pPr>
      <w:numPr>
        <w:numId w:val="3"/>
      </w:numPr>
    </w:pPr>
    <w:rPr>
      <w:b/>
      <w:color w:val="333333"/>
    </w:rPr>
  </w:style>
  <w:style w:type="paragraph" w:styleId="ListBullet">
    <w:name w:val="List Bullet"/>
    <w:basedOn w:val="Normal"/>
    <w:rsid w:val="008824B9"/>
    <w:pPr>
      <w:numPr>
        <w:numId w:val="2"/>
      </w:numPr>
    </w:pPr>
  </w:style>
  <w:style w:type="character" w:styleId="Hyperlink">
    <w:name w:val="Hyperlink"/>
    <w:rsid w:val="00C5559A"/>
    <w:rPr>
      <w:color w:val="0000FF"/>
      <w:u w:val="single"/>
    </w:rPr>
  </w:style>
  <w:style w:type="character" w:customStyle="1" w:styleId="ju-005fpara--char">
    <w:name w:val="ju-005fpara--char"/>
    <w:basedOn w:val="DefaultParagraphFont"/>
    <w:rsid w:val="00E2080A"/>
  </w:style>
  <w:style w:type="character" w:customStyle="1" w:styleId="ju-005fpara-002cleft-002cfirst-0020line-003a-0020-00200-0020cm--char">
    <w:name w:val="ju-005fpara-002cleft-002cfirst-0020line-003a-0020-00200-0020cm--char"/>
    <w:basedOn w:val="DefaultParagraphFont"/>
    <w:rsid w:val="00E2080A"/>
  </w:style>
  <w:style w:type="paragraph" w:customStyle="1" w:styleId="ju-005fh-005fa">
    <w:name w:val="ju-005fh-005fa"/>
    <w:basedOn w:val="Normal"/>
    <w:rsid w:val="00264C0F"/>
    <w:pPr>
      <w:suppressAutoHyphens w:val="0"/>
      <w:spacing w:before="100" w:beforeAutospacing="1" w:after="100" w:afterAutospacing="1"/>
    </w:pPr>
    <w:rPr>
      <w:szCs w:val="24"/>
    </w:rPr>
  </w:style>
  <w:style w:type="paragraph" w:customStyle="1" w:styleId="ju-005fpara-002cleft-002cfirst-0020line-003a-0020-00200-0020cm">
    <w:name w:val="ju-005fpara-002cleft-002cfirst-0020line-003a-0020-00200-0020cm"/>
    <w:basedOn w:val="Normal"/>
    <w:rsid w:val="00984A22"/>
    <w:pPr>
      <w:suppressAutoHyphens w:val="0"/>
      <w:spacing w:before="100" w:beforeAutospacing="1" w:after="100" w:afterAutospacing="1"/>
    </w:pPr>
    <w:rPr>
      <w:szCs w:val="24"/>
    </w:rPr>
  </w:style>
  <w:style w:type="character" w:customStyle="1" w:styleId="ju-005fpara-0020char--char">
    <w:name w:val="ju-005fpara-0020char--char"/>
    <w:basedOn w:val="DefaultParagraphFont"/>
    <w:rsid w:val="00984A22"/>
  </w:style>
  <w:style w:type="character" w:customStyle="1" w:styleId="ju--005fpara----char--char">
    <w:name w:val="ju--005fpara----char--char"/>
    <w:basedOn w:val="DefaultParagraphFont"/>
    <w:rsid w:val="00984A22"/>
  </w:style>
  <w:style w:type="character" w:customStyle="1" w:styleId="emphasis--char">
    <w:name w:val="emphasis--char"/>
    <w:basedOn w:val="DefaultParagraphFont"/>
    <w:rsid w:val="007976EC"/>
  </w:style>
  <w:style w:type="character" w:customStyle="1" w:styleId="sb8d990e2">
    <w:name w:val="sb8d990e2"/>
    <w:rsid w:val="009B6BDB"/>
  </w:style>
  <w:style w:type="character" w:customStyle="1" w:styleId="s6b621b36">
    <w:name w:val="s6b621b36"/>
    <w:rsid w:val="009B6BDB"/>
  </w:style>
  <w:style w:type="character" w:customStyle="1" w:styleId="sfbbfee58">
    <w:name w:val="sfbbfee58"/>
    <w:rsid w:val="009B6BDB"/>
  </w:style>
  <w:style w:type="character" w:customStyle="1" w:styleId="s1a844bc0">
    <w:name w:val="s1a844bc0"/>
    <w:rsid w:val="009B6BDB"/>
  </w:style>
  <w:style w:type="paragraph" w:customStyle="1" w:styleId="jupara">
    <w:name w:val="jupara"/>
    <w:basedOn w:val="Normal"/>
    <w:rsid w:val="00663D43"/>
    <w:pPr>
      <w:suppressAutoHyphens w:val="0"/>
      <w:ind w:firstLine="284"/>
      <w:jc w:val="both"/>
    </w:pPr>
    <w:rPr>
      <w:szCs w:val="24"/>
    </w:rPr>
  </w:style>
  <w:style w:type="paragraph" w:customStyle="1" w:styleId="jucase0">
    <w:name w:val="jucase"/>
    <w:basedOn w:val="Normal"/>
    <w:rsid w:val="00663D43"/>
    <w:pPr>
      <w:suppressAutoHyphens w:val="0"/>
      <w:ind w:firstLine="284"/>
      <w:jc w:val="both"/>
    </w:pPr>
    <w:rPr>
      <w:b/>
      <w:bCs/>
      <w:szCs w:val="24"/>
    </w:rPr>
  </w:style>
  <w:style w:type="table" w:styleId="TableGrid">
    <w:name w:val="Table Grid"/>
    <w:basedOn w:val="TableNormal"/>
    <w:rsid w:val="00C707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1768">
      <w:bodyDiv w:val="1"/>
      <w:marLeft w:val="0"/>
      <w:marRight w:val="0"/>
      <w:marTop w:val="0"/>
      <w:marBottom w:val="0"/>
      <w:divBdr>
        <w:top w:val="none" w:sz="0" w:space="0" w:color="auto"/>
        <w:left w:val="none" w:sz="0" w:space="0" w:color="auto"/>
        <w:bottom w:val="none" w:sz="0" w:space="0" w:color="auto"/>
        <w:right w:val="none" w:sz="0" w:space="0" w:color="auto"/>
      </w:divBdr>
    </w:div>
    <w:div w:id="427851601">
      <w:bodyDiv w:val="1"/>
      <w:marLeft w:val="0"/>
      <w:marRight w:val="0"/>
      <w:marTop w:val="0"/>
      <w:marBottom w:val="0"/>
      <w:divBdr>
        <w:top w:val="none" w:sz="0" w:space="0" w:color="auto"/>
        <w:left w:val="none" w:sz="0" w:space="0" w:color="auto"/>
        <w:bottom w:val="none" w:sz="0" w:space="0" w:color="auto"/>
        <w:right w:val="none" w:sz="0" w:space="0" w:color="auto"/>
      </w:divBdr>
    </w:div>
    <w:div w:id="680623883">
      <w:bodyDiv w:val="1"/>
      <w:marLeft w:val="0"/>
      <w:marRight w:val="0"/>
      <w:marTop w:val="0"/>
      <w:marBottom w:val="0"/>
      <w:divBdr>
        <w:top w:val="none" w:sz="0" w:space="0" w:color="auto"/>
        <w:left w:val="none" w:sz="0" w:space="0" w:color="auto"/>
        <w:bottom w:val="none" w:sz="0" w:space="0" w:color="auto"/>
        <w:right w:val="none" w:sz="0" w:space="0" w:color="auto"/>
      </w:divBdr>
    </w:div>
    <w:div w:id="1400134872">
      <w:bodyDiv w:val="1"/>
      <w:marLeft w:val="0"/>
      <w:marRight w:val="0"/>
      <w:marTop w:val="0"/>
      <w:marBottom w:val="0"/>
      <w:divBdr>
        <w:top w:val="none" w:sz="0" w:space="0" w:color="auto"/>
        <w:left w:val="none" w:sz="0" w:space="0" w:color="auto"/>
        <w:bottom w:val="none" w:sz="0" w:space="0" w:color="auto"/>
        <w:right w:val="none" w:sz="0" w:space="0" w:color="auto"/>
      </w:divBdr>
    </w:div>
    <w:div w:id="148407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519CB-6FBA-4784-974A-EAF1F931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24607</Words>
  <Characters>14027</Characters>
  <Application>Microsoft Office Word</Application>
  <DocSecurity>0</DocSecurity>
  <Lines>116</Lines>
  <Paragraphs>77</Paragraphs>
  <ScaleCrop>false</ScaleCrop>
  <Manager/>
  <Company/>
  <LinksUpToDate>false</LinksUpToDate>
  <CharactersWithSpaces>38557</CharactersWithSpaces>
  <SharedDoc>false</SharedDoc>
  <HLinks>
    <vt:vector size="6" baseType="variant">
      <vt:variant>
        <vt:i4>5963857</vt:i4>
      </vt:variant>
      <vt:variant>
        <vt:i4>187</vt:i4>
      </vt:variant>
      <vt:variant>
        <vt:i4>0</vt:i4>
      </vt:variant>
      <vt:variant>
        <vt:i4>5</vt:i4>
      </vt:variant>
      <vt:variant>
        <vt:lpwstr>http://hudoc.echr.coe.int/sites/eng/Pages/search.aspx</vt:lpwstr>
      </vt:variant>
      <vt:variant>
        <vt:lpwstr>{"appno":["29576/09"]}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2015-07-03T11:23:00Z</dcterms:created>
  <dcterms:modified xsi:type="dcterms:W3CDTF">2015-08-17T12:10:00Z</dcterms:modified>
  <cp:category/>
</cp:coreProperties>
</file>