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C2" w:rsidRDefault="005537C2" w:rsidP="005537C2">
      <w:pPr>
        <w:jc w:val="center"/>
      </w:pPr>
    </w:p>
    <w:p w:rsidR="005537C2" w:rsidRDefault="005537C2" w:rsidP="005537C2">
      <w:pPr>
        <w:jc w:val="center"/>
      </w:pPr>
    </w:p>
    <w:p w:rsidR="005537C2" w:rsidRPr="00A337E7" w:rsidRDefault="005537C2" w:rsidP="005537C2">
      <w:pPr>
        <w:jc w:val="center"/>
      </w:pPr>
    </w:p>
    <w:p w:rsidR="005537C2" w:rsidRPr="00A337E7" w:rsidRDefault="005537C2" w:rsidP="005537C2">
      <w:pPr>
        <w:jc w:val="center"/>
      </w:pPr>
      <w:r w:rsidRPr="00A337E7">
        <w:t>THIRD SECTION</w:t>
      </w: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Pr="00A337E7" w:rsidRDefault="005537C2" w:rsidP="005537C2">
      <w:pPr>
        <w:jc w:val="center"/>
      </w:pPr>
    </w:p>
    <w:p w:rsidR="005537C2" w:rsidRPr="00A337E7" w:rsidRDefault="005537C2" w:rsidP="005537C2">
      <w:pPr>
        <w:jc w:val="center"/>
        <w:rPr>
          <w:b/>
        </w:rPr>
      </w:pPr>
      <w:bookmarkStart w:id="0" w:name="To"/>
      <w:r w:rsidRPr="00A337E7">
        <w:rPr>
          <w:b/>
        </w:rPr>
        <w:t xml:space="preserve">CASE OF </w:t>
      </w:r>
      <w:bookmarkEnd w:id="0"/>
      <w:r w:rsidRPr="00A337E7">
        <w:rPr>
          <w:b/>
        </w:rPr>
        <w:t xml:space="preserve">ČERŅIKOVS v. </w:t>
      </w:r>
      <w:smartTag w:uri="urn:schemas-microsoft-com:office:smarttags" w:element="place">
        <w:smartTag w:uri="urn:schemas-microsoft-com:office:smarttags" w:element="country-region">
          <w:r w:rsidRPr="00A337E7">
            <w:rPr>
              <w:b/>
            </w:rPr>
            <w:t>LATVIA</w:t>
          </w:r>
        </w:smartTag>
      </w:smartTag>
    </w:p>
    <w:p w:rsidR="005537C2" w:rsidRPr="00A337E7" w:rsidRDefault="005537C2" w:rsidP="005537C2">
      <w:pPr>
        <w:jc w:val="center"/>
      </w:pPr>
    </w:p>
    <w:p w:rsidR="005537C2" w:rsidRPr="00A337E7" w:rsidRDefault="005537C2" w:rsidP="005537C2">
      <w:pPr>
        <w:jc w:val="center"/>
        <w:rPr>
          <w:i/>
        </w:rPr>
      </w:pPr>
      <w:r w:rsidRPr="00A337E7">
        <w:rPr>
          <w:i/>
        </w:rPr>
        <w:t>(Application no. 71071/01)</w:t>
      </w: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p>
    <w:p w:rsidR="005537C2" w:rsidRDefault="005537C2" w:rsidP="005537C2">
      <w:pPr>
        <w:jc w:val="center"/>
      </w:pPr>
      <w:r>
        <w:t>JUDGMENT</w:t>
      </w:r>
    </w:p>
    <w:p w:rsidR="005537C2" w:rsidRPr="000B38B3" w:rsidRDefault="005537C2" w:rsidP="005537C2">
      <w:pPr>
        <w:jc w:val="center"/>
        <w:rPr>
          <w:i/>
          <w:sz w:val="22"/>
          <w:szCs w:val="22"/>
        </w:rPr>
      </w:pPr>
      <w:r w:rsidRPr="000B38B3">
        <w:rPr>
          <w:i/>
          <w:sz w:val="22"/>
          <w:szCs w:val="22"/>
        </w:rPr>
        <w:t>This version was rectified on 6 July 2011</w:t>
      </w:r>
    </w:p>
    <w:p w:rsidR="005537C2" w:rsidRPr="000B38B3" w:rsidRDefault="005537C2" w:rsidP="005537C2">
      <w:pPr>
        <w:jc w:val="center"/>
        <w:rPr>
          <w:sz w:val="22"/>
          <w:szCs w:val="22"/>
        </w:rPr>
      </w:pPr>
      <w:r w:rsidRPr="000B38B3">
        <w:rPr>
          <w:i/>
          <w:sz w:val="22"/>
          <w:szCs w:val="22"/>
        </w:rPr>
        <w:t>under Rule 81 of the Rules of Court</w:t>
      </w:r>
    </w:p>
    <w:p w:rsidR="005537C2" w:rsidRDefault="005537C2" w:rsidP="005537C2">
      <w:pPr>
        <w:jc w:val="center"/>
      </w:pPr>
    </w:p>
    <w:p w:rsidR="005537C2" w:rsidRDefault="005537C2" w:rsidP="005537C2">
      <w:pPr>
        <w:jc w:val="center"/>
      </w:pPr>
    </w:p>
    <w:p w:rsidR="005537C2" w:rsidRDefault="005537C2" w:rsidP="005537C2">
      <w:pPr>
        <w:jc w:val="center"/>
      </w:pPr>
      <w:smartTag w:uri="urn:schemas-microsoft-com:office:smarttags" w:element="place">
        <w:smartTag w:uri="urn:schemas-microsoft-com:office:smarttags" w:element="City">
          <w:r>
            <w:t>STRASBOURG</w:t>
          </w:r>
        </w:smartTag>
      </w:smartTag>
    </w:p>
    <w:p w:rsidR="005537C2" w:rsidRDefault="005537C2" w:rsidP="005537C2">
      <w:pPr>
        <w:jc w:val="center"/>
      </w:pPr>
    </w:p>
    <w:p w:rsidR="005537C2" w:rsidRDefault="005537C2" w:rsidP="005537C2">
      <w:pPr>
        <w:jc w:val="center"/>
      </w:pPr>
      <w:r>
        <w:t>31 May 2011</w:t>
      </w:r>
    </w:p>
    <w:p w:rsidR="005537C2" w:rsidRDefault="005537C2" w:rsidP="005537C2">
      <w:pPr>
        <w:jc w:val="center"/>
      </w:pPr>
    </w:p>
    <w:p w:rsidR="005537C2" w:rsidRDefault="005537C2" w:rsidP="005537C2">
      <w:pPr>
        <w:jc w:val="center"/>
      </w:pPr>
    </w:p>
    <w:p w:rsidR="005537C2" w:rsidRPr="003B3DFB" w:rsidRDefault="005537C2" w:rsidP="005537C2">
      <w:pPr>
        <w:jc w:val="both"/>
      </w:pPr>
      <w:r>
        <w:rPr>
          <w:i/>
          <w:sz w:val="22"/>
        </w:rPr>
        <w:t>This judgment is final but it may be subject to editorial revision</w:t>
      </w:r>
    </w:p>
    <w:p w:rsidR="005537C2" w:rsidRDefault="005537C2" w:rsidP="005537C2">
      <w:pPr>
        <w:pStyle w:val="JuCase"/>
        <w:sectPr w:rsidR="005537C2" w:rsidSect="005537C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254"/>
        </w:sectPr>
      </w:pPr>
    </w:p>
    <w:p w:rsidR="005537C2" w:rsidRPr="00A337E7" w:rsidRDefault="005537C2" w:rsidP="005537C2">
      <w:pPr>
        <w:pStyle w:val="JuCase"/>
      </w:pPr>
      <w:r w:rsidRPr="00A337E7">
        <w:t xml:space="preserve">In the case of </w:t>
      </w:r>
      <w:r w:rsidRPr="00A337E7">
        <w:rPr>
          <w:rStyle w:val="JuCaseChar"/>
        </w:rPr>
        <w:t xml:space="preserve">Čerņikovs v. </w:t>
      </w:r>
      <w:smartTag w:uri="urn:schemas-microsoft-com:office:smarttags" w:element="place">
        <w:smartTag w:uri="urn:schemas-microsoft-com:office:smarttags" w:element="country-region">
          <w:r w:rsidRPr="00A337E7">
            <w:rPr>
              <w:rStyle w:val="JuCaseChar"/>
            </w:rPr>
            <w:t>Latvia</w:t>
          </w:r>
        </w:smartTag>
      </w:smartTag>
      <w:r w:rsidRPr="00A337E7">
        <w:t>,</w:t>
      </w:r>
    </w:p>
    <w:p w:rsidR="005537C2" w:rsidRPr="00A337E7" w:rsidRDefault="005537C2" w:rsidP="005537C2">
      <w:pPr>
        <w:pStyle w:val="JuPara"/>
      </w:pPr>
      <w:r w:rsidRPr="00A337E7">
        <w:t>The European Court of Human Rights (Third Section), sitting as a committee composed of:</w:t>
      </w:r>
    </w:p>
    <w:p w:rsidR="005537C2" w:rsidRPr="00A337E7" w:rsidRDefault="005537C2" w:rsidP="005537C2">
      <w:pPr>
        <w:pStyle w:val="JuJudges"/>
      </w:pPr>
      <w:r w:rsidRPr="003B3DFB">
        <w:tab/>
        <w:t>Ján</w:t>
      </w:r>
      <w:r>
        <w:t xml:space="preserve"> </w:t>
      </w:r>
      <w:r w:rsidRPr="003B3DFB">
        <w:t>Šikuta</w:t>
      </w:r>
      <w:r>
        <w:t>,</w:t>
      </w:r>
      <w:r w:rsidRPr="003B3DFB">
        <w:rPr>
          <w:i/>
        </w:rPr>
        <w:t xml:space="preserve"> President,</w:t>
      </w:r>
      <w:r>
        <w:rPr>
          <w:i/>
        </w:rPr>
        <w:br/>
      </w:r>
      <w:r w:rsidRPr="003B3DFB">
        <w:tab/>
        <w:t>Ineta</w:t>
      </w:r>
      <w:r>
        <w:t xml:space="preserve"> </w:t>
      </w:r>
      <w:r w:rsidRPr="003B3DFB">
        <w:t>Ziemele</w:t>
      </w:r>
      <w:r>
        <w:t>,</w:t>
      </w:r>
      <w:r>
        <w:rPr>
          <w:i/>
        </w:rPr>
        <w:br/>
      </w:r>
      <w:r w:rsidRPr="003B3DFB">
        <w:tab/>
        <w:t>Kristina</w:t>
      </w:r>
      <w:r>
        <w:t xml:space="preserve"> </w:t>
      </w:r>
      <w:r w:rsidRPr="003B3DFB">
        <w:t>Pardalos</w:t>
      </w:r>
      <w:r>
        <w:t>,</w:t>
      </w:r>
      <w:r w:rsidRPr="003B3DFB">
        <w:rPr>
          <w:i/>
        </w:rPr>
        <w:t xml:space="preserve"> judges,</w:t>
      </w:r>
      <w:r w:rsidRPr="00A337E7">
        <w:br/>
        <w:t>and Marialena Tsirli</w:t>
      </w:r>
      <w:r w:rsidRPr="00A337E7">
        <w:rPr>
          <w:rStyle w:val="JuJudgesChar"/>
        </w:rPr>
        <w:t xml:space="preserve">, </w:t>
      </w:r>
      <w:r w:rsidRPr="00A337E7">
        <w:rPr>
          <w:i/>
        </w:rPr>
        <w:t xml:space="preserve">Deputy Section </w:t>
      </w:r>
      <w:r w:rsidRPr="00A337E7">
        <w:rPr>
          <w:i/>
          <w:iCs/>
        </w:rPr>
        <w:t>Registrar</w:t>
      </w:r>
      <w:r w:rsidRPr="00A337E7">
        <w:rPr>
          <w:i/>
        </w:rPr>
        <w:t>,</w:t>
      </w:r>
    </w:p>
    <w:p w:rsidR="005537C2" w:rsidRPr="00A337E7" w:rsidRDefault="005537C2" w:rsidP="005537C2">
      <w:pPr>
        <w:pStyle w:val="JuPara"/>
      </w:pPr>
      <w:r w:rsidRPr="00A337E7">
        <w:t xml:space="preserve">Having deliberated in private on </w:t>
      </w:r>
      <w:r>
        <w:t>10 May 2011</w:t>
      </w:r>
      <w:r w:rsidRPr="00A337E7">
        <w:t>,</w:t>
      </w:r>
    </w:p>
    <w:p w:rsidR="005537C2" w:rsidRPr="00A337E7" w:rsidRDefault="005537C2" w:rsidP="005537C2">
      <w:pPr>
        <w:pStyle w:val="JuPara"/>
      </w:pPr>
      <w:r w:rsidRPr="00A337E7">
        <w:t>Delivers the following judgment, which was adopted on that date:</w:t>
      </w:r>
    </w:p>
    <w:p w:rsidR="005537C2" w:rsidRPr="00A337E7" w:rsidRDefault="005537C2" w:rsidP="005537C2">
      <w:pPr>
        <w:pStyle w:val="JuHHead"/>
      </w:pPr>
      <w:r w:rsidRPr="00A337E7">
        <w:t>PROCEDURE</w:t>
      </w:r>
    </w:p>
    <w:p w:rsidR="005537C2" w:rsidRPr="00A337E7" w:rsidRDefault="005537C2" w:rsidP="005537C2">
      <w:pPr>
        <w:pStyle w:val="JuPara"/>
      </w:pPr>
      <w:r>
        <w:fldChar w:fldCharType="begin"/>
      </w:r>
      <w:r>
        <w:instrText xml:space="preserve"> SEQ level0 \*arabic \r1</w:instrText>
      </w:r>
      <w:r w:rsidRPr="00A337E7">
        <w:fldChar w:fldCharType="begin"/>
      </w:r>
      <w:r w:rsidRPr="00A337E7">
        <w:instrText xml:space="preserve"> </w:instrText>
      </w:r>
      <w:r>
        <w:instrText>.  </w:instrText>
      </w:r>
      <w:r w:rsidRPr="00A337E7">
        <w:instrText xml:space="preserve">SEQ level0 \*arabic </w:instrText>
      </w:r>
      <w:r w:rsidRPr="00A337E7">
        <w:fldChar w:fldCharType="separate"/>
      </w:r>
      <w:r>
        <w:rPr>
          <w:noProof/>
        </w:rPr>
        <w:instrText>11</w:instrText>
      </w:r>
      <w:r w:rsidRPr="00A337E7">
        <w:fldChar w:fldCharType="end"/>
      </w:r>
      <w:r>
        <w:instrText xml:space="preserve"> </w:instrText>
      </w:r>
      <w:r>
        <w:fldChar w:fldCharType="separate"/>
      </w:r>
      <w:r w:rsidR="00B70C7D">
        <w:rPr>
          <w:noProof/>
        </w:rPr>
        <w:t>1</w:t>
      </w:r>
      <w:r>
        <w:fldChar w:fldCharType="end"/>
      </w:r>
      <w:r w:rsidRPr="00A337E7">
        <w:t xml:space="preserve">.  The case originated in an application (no. 71071/01) against the </w:t>
      </w:r>
      <w:smartTag w:uri="urn:schemas-microsoft-com:office:smarttags" w:element="PlaceType">
        <w:r w:rsidRPr="00A337E7">
          <w:t>Republic</w:t>
        </w:r>
      </w:smartTag>
      <w:r w:rsidRPr="00A337E7">
        <w:t xml:space="preserve"> of </w:t>
      </w:r>
      <w:smartTag w:uri="urn:schemas-microsoft-com:office:smarttags" w:element="PlaceName">
        <w:r w:rsidRPr="00A337E7">
          <w:t>Latvia</w:t>
        </w:r>
      </w:smartTag>
      <w:r w:rsidRPr="00A337E7">
        <w:t xml:space="preserve"> lodged with the Court under Article 34 of the Convention for the Protection of Human Rights and Fundamental Freedoms (“the Convention”) by </w:t>
      </w:r>
      <w:r>
        <w:t>a</w:t>
      </w:r>
      <w:r w:rsidRPr="00A337E7">
        <w:t xml:space="preserve"> </w:t>
      </w:r>
      <w:r>
        <w:t xml:space="preserve">permanently resident non-citizen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r w:rsidRPr="00A337E7">
        <w:t>, Sergejs Čerņikovs (“the applicant”), on 6 June 2001.</w:t>
      </w:r>
    </w:p>
    <w:p w:rsidR="005537C2" w:rsidRPr="00A337E7" w:rsidRDefault="005537C2" w:rsidP="005537C2">
      <w:pPr>
        <w:pStyle w:val="JuPara"/>
      </w:pPr>
      <w:r w:rsidRPr="00A337E7">
        <w:fldChar w:fldCharType="begin"/>
      </w:r>
      <w:r w:rsidRPr="00A337E7">
        <w:instrText xml:space="preserve"> SEQ level0 \*arabic </w:instrText>
      </w:r>
      <w:r w:rsidRPr="00A337E7">
        <w:fldChar w:fldCharType="separate"/>
      </w:r>
      <w:r w:rsidR="00B70C7D">
        <w:rPr>
          <w:noProof/>
        </w:rPr>
        <w:t>2</w:t>
      </w:r>
      <w:r w:rsidRPr="00A337E7">
        <w:fldChar w:fldCharType="end"/>
      </w:r>
      <w:r w:rsidRPr="00A337E7">
        <w:t>.  The Latvian Government (“the Government”) were r</w:t>
      </w:r>
      <w:r>
        <w:t>epresented by their Agent, Ms</w:t>
      </w:r>
      <w:r w:rsidRPr="00A337E7">
        <w:t xml:space="preserve"> </w:t>
      </w:r>
      <w:r>
        <w:t>Inga Reine</w:t>
      </w:r>
      <w:r w:rsidRPr="00A337E7">
        <w:t>.</w:t>
      </w:r>
    </w:p>
    <w:p w:rsidR="005537C2" w:rsidRPr="00A57305" w:rsidRDefault="005537C2" w:rsidP="005537C2">
      <w:pPr>
        <w:pStyle w:val="JuPara"/>
      </w:pPr>
      <w:r w:rsidRPr="00A337E7">
        <w:fldChar w:fldCharType="begin"/>
      </w:r>
      <w:r w:rsidRPr="00A337E7">
        <w:instrText xml:space="preserve"> SEQ level0 \*arabic </w:instrText>
      </w:r>
      <w:r w:rsidRPr="00A337E7">
        <w:fldChar w:fldCharType="separate"/>
      </w:r>
      <w:r w:rsidR="00B70C7D">
        <w:rPr>
          <w:noProof/>
        </w:rPr>
        <w:t>3</w:t>
      </w:r>
      <w:r w:rsidRPr="00A337E7">
        <w:fldChar w:fldCharType="end"/>
      </w:r>
      <w:r w:rsidRPr="00A337E7">
        <w:t xml:space="preserve">.  On </w:t>
      </w:r>
      <w:r>
        <w:t>26 January 2005</w:t>
      </w:r>
      <w:r w:rsidRPr="00A337E7">
        <w:t xml:space="preserve"> the President of the Third Section decided to give notice of the application to the Government.</w:t>
      </w:r>
      <w:r>
        <w:t xml:space="preserve"> </w:t>
      </w:r>
      <w:r w:rsidRPr="00A57305">
        <w:t>It was also decided to examine the merits of the application at the same time as its admissibility (</w:t>
      </w:r>
      <w:r>
        <w:t>former Article 29 § 3</w:t>
      </w:r>
      <w:r w:rsidRPr="00A57305">
        <w:t>).</w:t>
      </w:r>
      <w:r w:rsidRPr="00EF3C83">
        <w:t xml:space="preserve"> </w:t>
      </w:r>
      <w:r>
        <w:t xml:space="preserve">In accordance with Protocol No. 14, the application was subsequently allocated to a </w:t>
      </w:r>
      <w:bookmarkStart w:id="1" w:name="HIT1"/>
      <w:bookmarkEnd w:id="1"/>
      <w:r w:rsidRPr="00EF3C83">
        <w:rPr>
          <w:bCs/>
        </w:rPr>
        <w:t>Committee</w:t>
      </w:r>
      <w:r>
        <w:t xml:space="preserve"> of </w:t>
      </w:r>
      <w:bookmarkStart w:id="2" w:name="HIT2"/>
      <w:bookmarkEnd w:id="2"/>
      <w:r w:rsidRPr="00EF3C83">
        <w:rPr>
          <w:bCs/>
        </w:rPr>
        <w:t>three</w:t>
      </w:r>
      <w:r>
        <w:t xml:space="preserve"> Judges.</w:t>
      </w:r>
    </w:p>
    <w:p w:rsidR="005537C2" w:rsidRPr="00A337E7" w:rsidRDefault="005537C2" w:rsidP="005537C2">
      <w:pPr>
        <w:pStyle w:val="JuHHead"/>
      </w:pPr>
      <w:r w:rsidRPr="00A337E7">
        <w:t>THE FACTS</w:t>
      </w:r>
    </w:p>
    <w:p w:rsidR="005537C2" w:rsidRPr="00A337E7" w:rsidRDefault="005537C2" w:rsidP="005537C2">
      <w:pPr>
        <w:pStyle w:val="JuHIRoman"/>
        <w:outlineLvl w:val="0"/>
      </w:pPr>
      <w:r w:rsidRPr="00A337E7">
        <w:t>I.  THE CIRCUMSTANCES OF THE CASE</w:t>
      </w:r>
    </w:p>
    <w:p w:rsidR="005537C2" w:rsidRPr="00A337E7" w:rsidRDefault="005537C2" w:rsidP="005537C2">
      <w:pPr>
        <w:pStyle w:val="JuPara"/>
      </w:pPr>
      <w:r>
        <w:fldChar w:fldCharType="begin"/>
      </w:r>
      <w:r>
        <w:instrText xml:space="preserve"> SEQ level0 \*arabic </w:instrText>
      </w:r>
      <w:r>
        <w:fldChar w:fldCharType="separate"/>
      </w:r>
      <w:r w:rsidR="00B70C7D">
        <w:rPr>
          <w:noProof/>
        </w:rPr>
        <w:t>4</w:t>
      </w:r>
      <w:r>
        <w:fldChar w:fldCharType="end"/>
      </w:r>
      <w:r>
        <w:t>.  </w:t>
      </w:r>
      <w:r w:rsidRPr="00A337E7">
        <w:t xml:space="preserve">The applicant was born in 1970 and lives in </w:t>
      </w:r>
      <w:smartTag w:uri="urn:schemas-microsoft-com:office:smarttags" w:element="place">
        <w:smartTag w:uri="urn:schemas-microsoft-com:office:smarttags" w:element="City">
          <w:r>
            <w:t>Rī</w:t>
          </w:r>
          <w:r w:rsidRPr="00A337E7">
            <w:t>ga</w:t>
          </w:r>
        </w:smartTag>
      </w:smartTag>
      <w:r w:rsidRPr="00A337E7">
        <w:t>.</w:t>
      </w:r>
    </w:p>
    <w:p w:rsidR="005537C2" w:rsidRPr="001E03B4" w:rsidRDefault="005537C2" w:rsidP="005537C2">
      <w:pPr>
        <w:pStyle w:val="JuHA"/>
      </w:pPr>
      <w:r>
        <w:t>A.  Pre-trial proceedings</w:t>
      </w:r>
    </w:p>
    <w:p w:rsidR="0042512C" w:rsidRDefault="005537C2" w:rsidP="005537C2">
      <w:pPr>
        <w:pStyle w:val="JuParaCharChar"/>
      </w:pPr>
      <w:r>
        <w:fldChar w:fldCharType="begin"/>
      </w:r>
      <w:r>
        <w:instrText xml:space="preserve"> SEQ level0 \*arabic </w:instrText>
      </w:r>
      <w:r>
        <w:fldChar w:fldCharType="separate"/>
      </w:r>
      <w:r w:rsidR="00B70C7D">
        <w:rPr>
          <w:noProof/>
        </w:rPr>
        <w:t>5</w:t>
      </w:r>
      <w:r>
        <w:fldChar w:fldCharType="end"/>
      </w:r>
      <w:r>
        <w:t xml:space="preserve">.  On </w:t>
      </w:r>
      <w:r w:rsidRPr="00833717">
        <w:t>30</w:t>
      </w:r>
      <w:r>
        <w:t> </w:t>
      </w:r>
      <w:r w:rsidRPr="00833717">
        <w:t>August</w:t>
      </w:r>
      <w:r>
        <w:t> </w:t>
      </w:r>
      <w:r w:rsidRPr="00896702">
        <w:t xml:space="preserve">1998 the applicant was taken into custody on suspicion of </w:t>
      </w:r>
      <w:r>
        <w:t>murders and robbery.</w:t>
      </w:r>
    </w:p>
    <w:p w:rsidR="0042512C" w:rsidRDefault="005537C2" w:rsidP="005537C2">
      <w:pPr>
        <w:pStyle w:val="JuParaCharChar"/>
      </w:pPr>
      <w:r>
        <w:fldChar w:fldCharType="begin"/>
      </w:r>
      <w:r>
        <w:instrText xml:space="preserve"> SEQ level0 \*arabic </w:instrText>
      </w:r>
      <w:r>
        <w:fldChar w:fldCharType="separate"/>
      </w:r>
      <w:r w:rsidR="00B70C7D">
        <w:rPr>
          <w:noProof/>
        </w:rPr>
        <w:t>6</w:t>
      </w:r>
      <w:r>
        <w:fldChar w:fldCharType="end"/>
      </w:r>
      <w:r>
        <w:t>.  On 2 September </w:t>
      </w:r>
      <w:r w:rsidRPr="00896702">
        <w:t xml:space="preserve">1998 </w:t>
      </w:r>
      <w:r>
        <w:t>a judge of the Ogre District Court ordered the applicant</w:t>
      </w:r>
      <w:r w:rsidR="0042512C">
        <w:t>’</w:t>
      </w:r>
      <w:r>
        <w:t>s detention on remand.</w:t>
      </w:r>
    </w:p>
    <w:p w:rsidR="005537C2" w:rsidRDefault="005537C2" w:rsidP="005537C2">
      <w:pPr>
        <w:pStyle w:val="JuParaCharChar"/>
      </w:pPr>
      <w:r>
        <w:fldChar w:fldCharType="begin"/>
      </w:r>
      <w:r>
        <w:instrText xml:space="preserve"> SEQ level0 \*arabic </w:instrText>
      </w:r>
      <w:r>
        <w:fldChar w:fldCharType="separate"/>
      </w:r>
      <w:r w:rsidR="00B70C7D">
        <w:rPr>
          <w:noProof/>
        </w:rPr>
        <w:t>7</w:t>
      </w:r>
      <w:r>
        <w:fldChar w:fldCharType="end"/>
      </w:r>
      <w:r>
        <w:t>.  On 21 October 1998</w:t>
      </w:r>
      <w:r w:rsidRPr="00896702">
        <w:t xml:space="preserve"> </w:t>
      </w:r>
      <w:r>
        <w:t xml:space="preserve">the Ogre District Court </w:t>
      </w:r>
      <w:r w:rsidRPr="00896702">
        <w:t>extended</w:t>
      </w:r>
      <w:r>
        <w:t xml:space="preserve"> the applicant</w:t>
      </w:r>
      <w:r w:rsidR="0042512C">
        <w:t>’</w:t>
      </w:r>
      <w:r>
        <w:t xml:space="preserve">s detention until 30 November 1998. An appeal lodged by the applicant was dismissed on 13 November 1998 by the </w:t>
      </w:r>
      <w:smartTag w:uri="urn:schemas-microsoft-com:office:smarttags" w:element="Street">
        <w:smartTag w:uri="urn:schemas-microsoft-com:office:smarttags" w:element="address">
          <w:r>
            <w:t>Rī</w:t>
          </w:r>
          <w:r w:rsidRPr="00896702">
            <w:t>ga Regional Court</w:t>
          </w:r>
        </w:smartTag>
      </w:smartTag>
      <w:r>
        <w:t>.</w:t>
      </w:r>
    </w:p>
    <w:p w:rsidR="005537C2" w:rsidRDefault="005537C2" w:rsidP="005537C2">
      <w:pPr>
        <w:pStyle w:val="JuParaCharChar"/>
      </w:pPr>
      <w:r>
        <w:fldChar w:fldCharType="begin"/>
      </w:r>
      <w:r>
        <w:instrText xml:space="preserve"> SEQ level0 \*arabic </w:instrText>
      </w:r>
      <w:r>
        <w:fldChar w:fldCharType="separate"/>
      </w:r>
      <w:r w:rsidR="00B70C7D">
        <w:rPr>
          <w:noProof/>
        </w:rPr>
        <w:t>8</w:t>
      </w:r>
      <w:r>
        <w:fldChar w:fldCharType="end"/>
      </w:r>
      <w:r>
        <w:t>.  The Ogre District Court further extended the term of the applicant</w:t>
      </w:r>
      <w:r w:rsidR="0042512C">
        <w:t>’</w:t>
      </w:r>
      <w:r>
        <w:t>s detention on the following dates: on 24 November 1998 until 30 January 1999; on 21 January 1999 until 30 March 1999; on 22 March 1999 until 30 May 1999; on 24 May 1999 until 30 July 1999; on 22 July 1999 until 30 September 1999; on 24 September 1999 until 30 October 1999; on 26 October 1999 until 30 December 1999. All the decisions contained an identical phrase which stated that the judge had taken into account</w:t>
      </w:r>
      <w:r>
        <w:rPr>
          <w:rStyle w:val="ju-005fpara-0020char-0020char--char"/>
          <w:i/>
          <w:iCs/>
        </w:rPr>
        <w:t xml:space="preserve"> </w:t>
      </w:r>
      <w:r>
        <w:t xml:space="preserve">the severity of the crime the applicant was suspected of, the danger of his possible absconding and the possibility that he could impede the investigation. The applicant did not appeal to the </w:t>
      </w:r>
      <w:smartTag w:uri="urn:schemas-microsoft-com:office:smarttags" w:element="Street">
        <w:smartTag w:uri="urn:schemas-microsoft-com:office:smarttags" w:element="address">
          <w:r>
            <w:t>Rīga Regional Court</w:t>
          </w:r>
        </w:smartTag>
      </w:smartTag>
      <w:r>
        <w:t xml:space="preserve"> against the aforementioned decisions.</w:t>
      </w:r>
    </w:p>
    <w:p w:rsidR="005537C2" w:rsidRDefault="005537C2" w:rsidP="005537C2">
      <w:pPr>
        <w:pStyle w:val="JuPara"/>
      </w:pPr>
      <w:r>
        <w:fldChar w:fldCharType="begin"/>
      </w:r>
      <w:r>
        <w:instrText xml:space="preserve"> SEQ level0 \*arabic </w:instrText>
      </w:r>
      <w:r>
        <w:fldChar w:fldCharType="separate"/>
      </w:r>
      <w:r w:rsidR="00B70C7D">
        <w:rPr>
          <w:noProof/>
        </w:rPr>
        <w:t>9</w:t>
      </w:r>
      <w:r>
        <w:fldChar w:fldCharType="end"/>
      </w:r>
      <w:r>
        <w:t xml:space="preserve">.  Meanwhile, on 8 October 1999 the </w:t>
      </w:r>
      <w:smartTag w:uri="urn:schemas-microsoft-com:office:smarttags" w:element="Street">
        <w:smartTag w:uri="urn:schemas-microsoft-com:office:smarttags" w:element="address">
          <w:r>
            <w:t>Latgale Regional Court</w:t>
          </w:r>
        </w:smartTag>
      </w:smartTag>
      <w:r>
        <w:t xml:space="preserve"> sentenced the applicant to one year and one month imprisonment for an unauthorised acquisition and storage of weapons. The period of detention on remand from 30 September 1998 to 8 October 1999 was included in the term of the sentence, which the applicant served until 30 October 1999.</w:t>
      </w:r>
    </w:p>
    <w:p w:rsidR="0042512C" w:rsidRDefault="005537C2" w:rsidP="005537C2">
      <w:pPr>
        <w:pStyle w:val="JuPara"/>
      </w:pPr>
      <w:r>
        <w:fldChar w:fldCharType="begin"/>
      </w:r>
      <w:r>
        <w:instrText xml:space="preserve"> SEQ level0 \*arabic </w:instrText>
      </w:r>
      <w:r>
        <w:fldChar w:fldCharType="separate"/>
      </w:r>
      <w:r w:rsidR="00B70C7D">
        <w:rPr>
          <w:noProof/>
        </w:rPr>
        <w:t>10</w:t>
      </w:r>
      <w:r>
        <w:fldChar w:fldCharType="end"/>
      </w:r>
      <w:r>
        <w:t>.  On 26 May 2000 the final indictment was presented to the applicant, and on 30 May </w:t>
      </w:r>
      <w:r w:rsidRPr="00896702">
        <w:t>2000</w:t>
      </w:r>
      <w:r>
        <w:t xml:space="preserve"> the judge of the </w:t>
      </w:r>
      <w:smartTag w:uri="urn:schemas-microsoft-com:office:smarttags" w:element="Street">
        <w:smartTag w:uri="urn:schemas-microsoft-com:office:smarttags" w:element="address">
          <w:r>
            <w:t>Rīga Regional Court</w:t>
          </w:r>
        </w:smartTag>
      </w:smartTag>
      <w:r>
        <w:t xml:space="preserve"> remitted the criminal case for trial. The latter was scheduled to take place on 3 January 2002. By the same decision the preventive measure</w:t>
      </w:r>
      <w:r w:rsidRPr="00896702">
        <w:t xml:space="preserve"> </w:t>
      </w:r>
      <w:r>
        <w:t xml:space="preserve">was left </w:t>
      </w:r>
      <w:r w:rsidRPr="00896702">
        <w:t>unchanged</w:t>
      </w:r>
      <w:r>
        <w:t xml:space="preserve"> without giving reasons or setting a time-limit.</w:t>
      </w:r>
    </w:p>
    <w:p w:rsidR="005537C2" w:rsidRDefault="005537C2" w:rsidP="005537C2">
      <w:pPr>
        <w:pStyle w:val="JuHA"/>
      </w:pPr>
      <w:r>
        <w:t>B.  Criminal proceedings</w:t>
      </w:r>
    </w:p>
    <w:p w:rsidR="0042512C" w:rsidRDefault="005537C2" w:rsidP="005537C2">
      <w:pPr>
        <w:pStyle w:val="JuParaCharChar"/>
      </w:pPr>
      <w:r>
        <w:fldChar w:fldCharType="begin"/>
      </w:r>
      <w:r>
        <w:instrText xml:space="preserve"> SEQ level0 \*arabic </w:instrText>
      </w:r>
      <w:r>
        <w:fldChar w:fldCharType="separate"/>
      </w:r>
      <w:r w:rsidR="00B70C7D">
        <w:rPr>
          <w:noProof/>
        </w:rPr>
        <w:t>11</w:t>
      </w:r>
      <w:r>
        <w:fldChar w:fldCharType="end"/>
      </w:r>
      <w:r>
        <w:t xml:space="preserve">.  In </w:t>
      </w:r>
      <w:r w:rsidRPr="00896702">
        <w:t>November 2001 the applicant</w:t>
      </w:r>
      <w:r w:rsidR="0042512C">
        <w:t>’</w:t>
      </w:r>
      <w:r w:rsidRPr="00896702">
        <w:t xml:space="preserve">s lawyer </w:t>
      </w:r>
      <w:r>
        <w:t xml:space="preserve">asked the </w:t>
      </w:r>
      <w:smartTag w:uri="urn:schemas-microsoft-com:office:smarttags" w:element="Street">
        <w:smartTag w:uri="urn:schemas-microsoft-com:office:smarttags" w:element="address">
          <w:r>
            <w:t>Rīga Regional Court</w:t>
          </w:r>
        </w:smartTag>
      </w:smartTag>
      <w:r>
        <w:t xml:space="preserve"> to adjourn the proceedings. On 3 January 2002 the proceedings were adjourned for an unlimited period</w:t>
      </w:r>
      <w:r w:rsidRPr="00896702">
        <w:t>.</w:t>
      </w:r>
    </w:p>
    <w:p w:rsidR="0042512C" w:rsidRDefault="005537C2" w:rsidP="005537C2">
      <w:pPr>
        <w:pStyle w:val="JuParaCharChar"/>
      </w:pPr>
      <w:r>
        <w:fldChar w:fldCharType="begin"/>
      </w:r>
      <w:r>
        <w:instrText xml:space="preserve"> SEQ level0 \*arabic </w:instrText>
      </w:r>
      <w:r>
        <w:fldChar w:fldCharType="separate"/>
      </w:r>
      <w:r w:rsidR="00B70C7D">
        <w:rPr>
          <w:noProof/>
        </w:rPr>
        <w:t>12</w:t>
      </w:r>
      <w:r>
        <w:fldChar w:fldCharType="end"/>
      </w:r>
      <w:r>
        <w:t xml:space="preserve">.  On 6 March 2002 the court </w:t>
      </w:r>
      <w:r w:rsidRPr="00896702">
        <w:t xml:space="preserve">informed the applicant that the </w:t>
      </w:r>
      <w:r>
        <w:t xml:space="preserve">trial </w:t>
      </w:r>
      <w:r w:rsidRPr="00896702">
        <w:t>was</w:t>
      </w:r>
      <w:r>
        <w:t xml:space="preserve"> scheduled to take place on 25 September </w:t>
      </w:r>
      <w:r w:rsidRPr="00896702">
        <w:t>2002.</w:t>
      </w:r>
    </w:p>
    <w:p w:rsidR="0042512C" w:rsidRDefault="005537C2" w:rsidP="005537C2">
      <w:pPr>
        <w:pStyle w:val="JuParaCharChar"/>
      </w:pPr>
      <w:r>
        <w:fldChar w:fldCharType="begin"/>
      </w:r>
      <w:r>
        <w:instrText xml:space="preserve"> SEQ level0 \*arabic </w:instrText>
      </w:r>
      <w:r>
        <w:fldChar w:fldCharType="separate"/>
      </w:r>
      <w:r w:rsidR="00B70C7D">
        <w:rPr>
          <w:noProof/>
        </w:rPr>
        <w:t>13</w:t>
      </w:r>
      <w:r>
        <w:fldChar w:fldCharType="end"/>
      </w:r>
      <w:r>
        <w:t>.  </w:t>
      </w:r>
      <w:r w:rsidRPr="00896702">
        <w:t>On 1 October 2002</w:t>
      </w:r>
      <w:r>
        <w:t>, the court granted the request of a co-accused to undergo a psychiatric examination, and stayed the criminal proceedings.</w:t>
      </w:r>
    </w:p>
    <w:p w:rsidR="0042512C" w:rsidRDefault="005537C2" w:rsidP="005537C2">
      <w:pPr>
        <w:pStyle w:val="JuParaCharChar"/>
      </w:pPr>
      <w:r>
        <w:fldChar w:fldCharType="begin"/>
      </w:r>
      <w:r>
        <w:instrText xml:space="preserve"> SEQ level0 \*arabic </w:instrText>
      </w:r>
      <w:r>
        <w:fldChar w:fldCharType="separate"/>
      </w:r>
      <w:r w:rsidR="00B70C7D">
        <w:rPr>
          <w:noProof/>
        </w:rPr>
        <w:t>14</w:t>
      </w:r>
      <w:r>
        <w:fldChar w:fldCharType="end"/>
      </w:r>
      <w:r>
        <w:t>.  At the lower court</w:t>
      </w:r>
      <w:r w:rsidR="0042512C">
        <w:t>’</w:t>
      </w:r>
      <w:r>
        <w:t>s request, on 1 November </w:t>
      </w:r>
      <w:r w:rsidRPr="00896702">
        <w:t>2002 the Senate</w:t>
      </w:r>
      <w:r>
        <w:t>, in absence of the applicant or his lawyer, extended the applicant</w:t>
      </w:r>
      <w:r w:rsidR="0042512C">
        <w:t>’</w:t>
      </w:r>
      <w:r>
        <w:t xml:space="preserve">s detention until </w:t>
      </w:r>
      <w:r w:rsidRPr="00896702">
        <w:t>1 May 2003</w:t>
      </w:r>
      <w:r>
        <w:t>. The Senate relied on</w:t>
      </w:r>
      <w:r w:rsidRPr="00896702">
        <w:t xml:space="preserve"> the serious nature of the charges</w:t>
      </w:r>
      <w:r>
        <w:t>,</w:t>
      </w:r>
      <w:r w:rsidRPr="00896702">
        <w:t xml:space="preserve"> and </w:t>
      </w:r>
      <w:r>
        <w:t>on the necessity to</w:t>
      </w:r>
      <w:r w:rsidRPr="00297554">
        <w:rPr>
          <w:szCs w:val="24"/>
        </w:rPr>
        <w:t xml:space="preserve"> ensure proper conduct of </w:t>
      </w:r>
      <w:r>
        <w:rPr>
          <w:szCs w:val="24"/>
        </w:rPr>
        <w:t xml:space="preserve">the court </w:t>
      </w:r>
      <w:r w:rsidRPr="00297554">
        <w:rPr>
          <w:szCs w:val="24"/>
        </w:rPr>
        <w:t>proceedings</w:t>
      </w:r>
      <w:r w:rsidRPr="00896702">
        <w:t>. Th</w:t>
      </w:r>
      <w:r>
        <w:t>e</w:t>
      </w:r>
      <w:r w:rsidRPr="00896702">
        <w:t xml:space="preserve"> decision was not subject to </w:t>
      </w:r>
      <w:r>
        <w:t xml:space="preserve">an </w:t>
      </w:r>
      <w:r w:rsidRPr="00896702">
        <w:t>appeal.</w:t>
      </w:r>
    </w:p>
    <w:p w:rsidR="005537C2" w:rsidRDefault="005537C2" w:rsidP="005537C2">
      <w:pPr>
        <w:pStyle w:val="JuParaCharChar"/>
      </w:pPr>
      <w:r>
        <w:fldChar w:fldCharType="begin"/>
      </w:r>
      <w:r>
        <w:instrText xml:space="preserve"> SEQ level0 \*arabic </w:instrText>
      </w:r>
      <w:r>
        <w:fldChar w:fldCharType="separate"/>
      </w:r>
      <w:r w:rsidR="00B70C7D">
        <w:rPr>
          <w:noProof/>
        </w:rPr>
        <w:t>15</w:t>
      </w:r>
      <w:r>
        <w:fldChar w:fldCharType="end"/>
      </w:r>
      <w:r>
        <w:t>.  On 28 December 2002 the forensic experts asked for an extension of fifteen days in order to complete their report.</w:t>
      </w:r>
    </w:p>
    <w:p w:rsidR="005537C2" w:rsidRDefault="005537C2" w:rsidP="005537C2">
      <w:pPr>
        <w:pStyle w:val="JuParaCharChar"/>
      </w:pPr>
      <w:r>
        <w:fldChar w:fldCharType="begin"/>
      </w:r>
      <w:r>
        <w:instrText xml:space="preserve"> SEQ level0 \*arabic </w:instrText>
      </w:r>
      <w:r>
        <w:fldChar w:fldCharType="separate"/>
      </w:r>
      <w:r w:rsidR="00B70C7D">
        <w:rPr>
          <w:noProof/>
        </w:rPr>
        <w:t>16</w:t>
      </w:r>
      <w:r>
        <w:fldChar w:fldCharType="end"/>
      </w:r>
      <w:r>
        <w:t xml:space="preserve">.  On 27 January 2003 the </w:t>
      </w:r>
      <w:smartTag w:uri="urn:schemas-microsoft-com:office:smarttags" w:element="Street">
        <w:smartTag w:uri="urn:schemas-microsoft-com:office:smarttags" w:element="address">
          <w:r>
            <w:t>Rīga Regional Court</w:t>
          </w:r>
        </w:smartTag>
      </w:smartTag>
      <w:r>
        <w:t xml:space="preserve"> repeatedly</w:t>
      </w:r>
      <w:r w:rsidRPr="00896702">
        <w:t xml:space="preserve"> requested the Senate</w:t>
      </w:r>
      <w:r>
        <w:t xml:space="preserve"> to extend</w:t>
      </w:r>
      <w:r w:rsidRPr="00896702">
        <w:t xml:space="preserve"> the </w:t>
      </w:r>
      <w:r>
        <w:t>applicant</w:t>
      </w:r>
      <w:r w:rsidR="0042512C">
        <w:t>’</w:t>
      </w:r>
      <w:r>
        <w:t xml:space="preserve">s detention on remand. It relied on the </w:t>
      </w:r>
      <w:r w:rsidRPr="00896702">
        <w:t>fact that the case was particularly complex</w:t>
      </w:r>
      <w:r>
        <w:t xml:space="preserve"> </w:t>
      </w:r>
      <w:r w:rsidRPr="00896702">
        <w:t xml:space="preserve">and </w:t>
      </w:r>
      <w:r>
        <w:t xml:space="preserve">that </w:t>
      </w:r>
      <w:r w:rsidRPr="00896702">
        <w:t xml:space="preserve">the </w:t>
      </w:r>
      <w:r>
        <w:t>hearing had been scheduled to take place on 4 </w:t>
      </w:r>
      <w:r w:rsidRPr="00896702">
        <w:t xml:space="preserve">June 2003. </w:t>
      </w:r>
      <w:r>
        <w:t>T</w:t>
      </w:r>
      <w:r w:rsidRPr="00896702">
        <w:t>he Senate</w:t>
      </w:r>
      <w:r>
        <w:t>,</w:t>
      </w:r>
      <w:r w:rsidRPr="00896702">
        <w:t xml:space="preserve"> </w:t>
      </w:r>
      <w:r>
        <w:t xml:space="preserve">in absence of the applicant or his lawyer, extended </w:t>
      </w:r>
      <w:r w:rsidRPr="00896702">
        <w:t>the applicant</w:t>
      </w:r>
      <w:r w:rsidR="0042512C">
        <w:t>’</w:t>
      </w:r>
      <w:r w:rsidRPr="00896702">
        <w:t>s detention until 1 July 2003</w:t>
      </w:r>
      <w:r>
        <w:t>.</w:t>
      </w:r>
    </w:p>
    <w:p w:rsidR="0042512C" w:rsidRDefault="005537C2" w:rsidP="005537C2">
      <w:pPr>
        <w:pStyle w:val="JuParaCharChar"/>
      </w:pPr>
      <w:r>
        <w:fldChar w:fldCharType="begin"/>
      </w:r>
      <w:r>
        <w:instrText xml:space="preserve"> SEQ level0 \*arabic </w:instrText>
      </w:r>
      <w:r>
        <w:fldChar w:fldCharType="separate"/>
      </w:r>
      <w:r w:rsidR="00B70C7D">
        <w:rPr>
          <w:noProof/>
        </w:rPr>
        <w:t>17</w:t>
      </w:r>
      <w:r>
        <w:fldChar w:fldCharType="end"/>
      </w:r>
      <w:r>
        <w:t>.  From 4 to 11 June 2003 the hearings were repeatedly postponed due to the absence of witnesses.</w:t>
      </w:r>
    </w:p>
    <w:p w:rsidR="0042512C" w:rsidRDefault="005537C2" w:rsidP="005537C2">
      <w:pPr>
        <w:pStyle w:val="JuParaCharChar"/>
      </w:pPr>
      <w:r>
        <w:fldChar w:fldCharType="begin"/>
      </w:r>
      <w:r>
        <w:instrText xml:space="preserve"> SEQ level0 \*arabic </w:instrText>
      </w:r>
      <w:r>
        <w:fldChar w:fldCharType="separate"/>
      </w:r>
      <w:r w:rsidR="00B70C7D">
        <w:rPr>
          <w:noProof/>
        </w:rPr>
        <w:t>18</w:t>
      </w:r>
      <w:r>
        <w:fldChar w:fldCharType="end"/>
      </w:r>
      <w:r>
        <w:t>.  </w:t>
      </w:r>
      <w:r w:rsidRPr="00DB4581">
        <w:t xml:space="preserve">On 25 June 2003 the applicant was found guilty of two murders and sentenced to </w:t>
      </w:r>
      <w:r>
        <w:t>sixteen</w:t>
      </w:r>
      <w:r w:rsidRPr="00DB4581">
        <w:t xml:space="preserve"> years</w:t>
      </w:r>
      <w:r w:rsidR="0042512C">
        <w:t>’</w:t>
      </w:r>
      <w:r w:rsidRPr="00DB4581">
        <w:t xml:space="preserve"> imprisonment. On 2 December 2003 the </w:t>
      </w:r>
      <w:smartTag w:uri="urn:schemas-microsoft-com:office:smarttags" w:element="Street">
        <w:smartTag w:uri="urn:schemas-microsoft-com:office:smarttags" w:element="address">
          <w:r w:rsidRPr="00DB4581">
            <w:t>Rīga Regional Court</w:t>
          </w:r>
        </w:smartTag>
      </w:smartTag>
      <w:r w:rsidRPr="00DB4581">
        <w:t xml:space="preserve"> dismissed the applicant</w:t>
      </w:r>
      <w:r w:rsidR="0042512C">
        <w:t>’</w:t>
      </w:r>
      <w:r w:rsidRPr="00DB4581">
        <w:t>s appeal, and on 20 August 2004 the Senate of the Supreme Court dis</w:t>
      </w:r>
      <w:r>
        <w:t>missed the applicant</w:t>
      </w:r>
      <w:r w:rsidR="0042512C">
        <w:t>’</w:t>
      </w:r>
      <w:r>
        <w:t>s appeal on</w:t>
      </w:r>
      <w:r w:rsidRPr="00DB4581">
        <w:t xml:space="preserve"> points</w:t>
      </w:r>
      <w:r>
        <w:t xml:space="preserve"> of law.</w:t>
      </w:r>
    </w:p>
    <w:p w:rsidR="005537C2" w:rsidRDefault="005537C2" w:rsidP="005537C2">
      <w:pPr>
        <w:pStyle w:val="JuHA"/>
      </w:pPr>
      <w:r>
        <w:t>C.  Civil proceedings brought by the applicant</w:t>
      </w:r>
    </w:p>
    <w:p w:rsidR="005537C2" w:rsidRDefault="005537C2" w:rsidP="005537C2">
      <w:pPr>
        <w:pStyle w:val="JuPara"/>
      </w:pPr>
      <w:r>
        <w:fldChar w:fldCharType="begin"/>
      </w:r>
      <w:r>
        <w:instrText xml:space="preserve"> SEQ level0 \*arabic </w:instrText>
      </w:r>
      <w:r>
        <w:fldChar w:fldCharType="separate"/>
      </w:r>
      <w:r w:rsidR="00B70C7D">
        <w:rPr>
          <w:noProof/>
        </w:rPr>
        <w:t>19</w:t>
      </w:r>
      <w:r>
        <w:fldChar w:fldCharType="end"/>
      </w:r>
      <w:r>
        <w:t xml:space="preserve">.  During the municipal election campaign, between 27 February and 11 March 2001, two private TV channels broadcasted an advertisement </w:t>
      </w:r>
      <w:r w:rsidRPr="00D23A67">
        <w:t>sponsored by a political party</w:t>
      </w:r>
      <w:r>
        <w:t xml:space="preserve"> in which B., t</w:t>
      </w:r>
      <w:r w:rsidRPr="00D23A67">
        <w:t xml:space="preserve">he Prime Minister </w:t>
      </w:r>
      <w:r>
        <w:t xml:space="preserve">at the material time, </w:t>
      </w:r>
      <w:r w:rsidRPr="00D23A67">
        <w:t xml:space="preserve">made </w:t>
      </w:r>
      <w:r>
        <w:t>statements that a candidate promoted by the political party had been credited with tracking down</w:t>
      </w:r>
      <w:r w:rsidRPr="00D23A67">
        <w:rPr>
          <w:color w:val="333333"/>
        </w:rPr>
        <w:t xml:space="preserve"> </w:t>
      </w:r>
      <w:r w:rsidRPr="00144840">
        <w:t xml:space="preserve">the </w:t>
      </w:r>
      <w:r>
        <w:t>applicant</w:t>
      </w:r>
      <w:r w:rsidR="0042512C">
        <w:t>’</w:t>
      </w:r>
      <w:r>
        <w:t>s</w:t>
      </w:r>
      <w:r w:rsidRPr="000C5DA0">
        <w:t xml:space="preserve"> </w:t>
      </w:r>
      <w:r>
        <w:t>activities.</w:t>
      </w:r>
    </w:p>
    <w:p w:rsidR="0042512C" w:rsidRDefault="005537C2" w:rsidP="005537C2">
      <w:pPr>
        <w:pStyle w:val="JuPara"/>
      </w:pPr>
      <w:r>
        <w:fldChar w:fldCharType="begin"/>
      </w:r>
      <w:r>
        <w:instrText xml:space="preserve"> SEQ level0 \*arabic </w:instrText>
      </w:r>
      <w:r>
        <w:fldChar w:fldCharType="separate"/>
      </w:r>
      <w:r w:rsidR="00B70C7D">
        <w:rPr>
          <w:noProof/>
        </w:rPr>
        <w:t>20</w:t>
      </w:r>
      <w:r>
        <w:fldChar w:fldCharType="end"/>
      </w:r>
      <w:r>
        <w:t>.  </w:t>
      </w:r>
      <w:r w:rsidRPr="0058032D">
        <w:t xml:space="preserve">On 23 May 2001 the applicant </w:t>
      </w:r>
      <w:r>
        <w:t>brought a civil defamation claim against B.</w:t>
      </w:r>
      <w:r w:rsidRPr="0058032D">
        <w:t xml:space="preserve">, the political party and </w:t>
      </w:r>
      <w:bookmarkStart w:id="3" w:name="HIT7"/>
      <w:bookmarkEnd w:id="3"/>
      <w:r>
        <w:t>owners of the TV channels.</w:t>
      </w:r>
    </w:p>
    <w:p w:rsidR="0042512C" w:rsidRDefault="005537C2" w:rsidP="005537C2">
      <w:pPr>
        <w:pStyle w:val="JuPara"/>
        <w:rPr>
          <w:snapToGrid w:val="0"/>
        </w:rPr>
      </w:pPr>
      <w:r>
        <w:fldChar w:fldCharType="begin"/>
      </w:r>
      <w:r>
        <w:instrText xml:space="preserve"> SEQ level0 \*arabic </w:instrText>
      </w:r>
      <w:r>
        <w:fldChar w:fldCharType="separate"/>
      </w:r>
      <w:r w:rsidR="00B70C7D">
        <w:rPr>
          <w:noProof/>
        </w:rPr>
        <w:t>21</w:t>
      </w:r>
      <w:r>
        <w:fldChar w:fldCharType="end"/>
      </w:r>
      <w:r>
        <w:t>.  </w:t>
      </w:r>
      <w:r w:rsidRPr="0058032D">
        <w:t>On 10 August 2001 the R</w:t>
      </w:r>
      <w:r>
        <w:t>ī</w:t>
      </w:r>
      <w:r w:rsidRPr="0058032D">
        <w:t xml:space="preserve">ga City Central District </w:t>
      </w:r>
      <w:r>
        <w:t>Court decided that the case felt</w:t>
      </w:r>
      <w:r w:rsidRPr="0058032D">
        <w:t xml:space="preserve"> within the jurisdiction of the Ogre District Court</w:t>
      </w:r>
      <w:r>
        <w:t xml:space="preserve">, which </w:t>
      </w:r>
      <w:r>
        <w:rPr>
          <w:snapToGrid w:val="0"/>
        </w:rPr>
        <w:t xml:space="preserve">on 30 November 2001, </w:t>
      </w:r>
      <w:r>
        <w:t>following the defendants</w:t>
      </w:r>
      <w:r w:rsidR="0042512C">
        <w:t>’</w:t>
      </w:r>
      <w:r>
        <w:t xml:space="preserve"> request, </w:t>
      </w:r>
      <w:r>
        <w:rPr>
          <w:snapToGrid w:val="0"/>
        </w:rPr>
        <w:t>stayed t</w:t>
      </w:r>
      <w:r>
        <w:t>he proceedings</w:t>
      </w:r>
      <w:r w:rsidRPr="0058032D">
        <w:t xml:space="preserve"> pending the outcome of the</w:t>
      </w:r>
      <w:r w:rsidRPr="0058032D">
        <w:rPr>
          <w:snapToGrid w:val="0"/>
        </w:rPr>
        <w:t xml:space="preserve"> criminal proceedings against the applicant</w:t>
      </w:r>
      <w:r>
        <w:rPr>
          <w:snapToGrid w:val="0"/>
        </w:rPr>
        <w:t>.</w:t>
      </w:r>
    </w:p>
    <w:p w:rsidR="005537C2" w:rsidRDefault="005537C2" w:rsidP="005537C2">
      <w:pPr>
        <w:pStyle w:val="JuPara"/>
      </w:pPr>
      <w:r>
        <w:fldChar w:fldCharType="begin"/>
      </w:r>
      <w:r>
        <w:instrText xml:space="preserve"> SEQ level0 \*arabic </w:instrText>
      </w:r>
      <w:r>
        <w:fldChar w:fldCharType="separate"/>
      </w:r>
      <w:r w:rsidR="00B70C7D">
        <w:rPr>
          <w:noProof/>
        </w:rPr>
        <w:t>22</w:t>
      </w:r>
      <w:r>
        <w:fldChar w:fldCharType="end"/>
      </w:r>
      <w:r>
        <w:t>.  According to the information submitted by the Government</w:t>
      </w:r>
      <w:r>
        <w:rPr>
          <w:snapToGrid w:val="0"/>
        </w:rPr>
        <w:t>, the next hearing had been scheduled to take place on 11 May 2005, but had been adjourned at the applicant</w:t>
      </w:r>
      <w:r w:rsidR="0042512C">
        <w:rPr>
          <w:snapToGrid w:val="0"/>
        </w:rPr>
        <w:t>’</w:t>
      </w:r>
      <w:r>
        <w:rPr>
          <w:snapToGrid w:val="0"/>
        </w:rPr>
        <w:t>s request; the next one had been scheduled to take place on 30</w:t>
      </w:r>
      <w:r>
        <w:t> August 2005.</w:t>
      </w:r>
    </w:p>
    <w:p w:rsidR="005537C2" w:rsidRDefault="005537C2" w:rsidP="005537C2">
      <w:pPr>
        <w:pStyle w:val="JuPara"/>
      </w:pPr>
      <w:r>
        <w:fldChar w:fldCharType="begin"/>
      </w:r>
      <w:r>
        <w:instrText xml:space="preserve"> SEQ level0 \*arabic </w:instrText>
      </w:r>
      <w:r>
        <w:fldChar w:fldCharType="separate"/>
      </w:r>
      <w:r w:rsidR="00B70C7D">
        <w:rPr>
          <w:noProof/>
        </w:rPr>
        <w:t>23</w:t>
      </w:r>
      <w:r>
        <w:fldChar w:fldCharType="end"/>
      </w:r>
      <w:r>
        <w:t>.  No</w:t>
      </w:r>
      <w:r w:rsidRPr="00896702">
        <w:t xml:space="preserve"> further information</w:t>
      </w:r>
      <w:r>
        <w:t xml:space="preserve"> has been submitted by the parties in respect of the above proceedings.</w:t>
      </w:r>
    </w:p>
    <w:p w:rsidR="005537C2" w:rsidRPr="000D55C9" w:rsidRDefault="005537C2" w:rsidP="005537C2">
      <w:pPr>
        <w:pStyle w:val="JuHA"/>
      </w:pPr>
      <w:r>
        <w:t>D.  </w:t>
      </w:r>
      <w:r w:rsidRPr="000D55C9">
        <w:t>Alleged interference with the applicant</w:t>
      </w:r>
      <w:r w:rsidR="0042512C">
        <w:t>’</w:t>
      </w:r>
      <w:r w:rsidRPr="000D55C9">
        <w:t>s</w:t>
      </w:r>
      <w:r>
        <w:t xml:space="preserve"> right to respect for his family life</w:t>
      </w:r>
    </w:p>
    <w:p w:rsidR="005537C2" w:rsidRDefault="005537C2" w:rsidP="005537C2">
      <w:pPr>
        <w:pStyle w:val="JuPara"/>
      </w:pPr>
      <w:r>
        <w:fldChar w:fldCharType="begin"/>
      </w:r>
      <w:r>
        <w:instrText xml:space="preserve"> SEQ level0 \*arabic </w:instrText>
      </w:r>
      <w:r>
        <w:fldChar w:fldCharType="separate"/>
      </w:r>
      <w:r w:rsidR="00B70C7D">
        <w:rPr>
          <w:noProof/>
        </w:rPr>
        <w:t>24</w:t>
      </w:r>
      <w:r>
        <w:fldChar w:fldCharType="end"/>
      </w:r>
      <w:r>
        <w:t>.  On 17 December 1998 the applicant applied to the prosecutor for permission to receive letters from his relatives. On 30 December 1998 the prosecutor dismissed the applicant</w:t>
      </w:r>
      <w:r w:rsidR="0042512C">
        <w:t>’</w:t>
      </w:r>
      <w:r>
        <w:t>s request, and the latter did not appeal. The applicant was allowed to receive short-term visits with his relatives as from May 2000, whereas o</w:t>
      </w:r>
      <w:r w:rsidRPr="00BB524D">
        <w:t xml:space="preserve">n 31 August 2000 the </w:t>
      </w:r>
      <w:smartTag w:uri="urn:schemas-microsoft-com:office:smarttags" w:element="Street">
        <w:smartTag w:uri="urn:schemas-microsoft-com:office:smarttags" w:element="address">
          <w:r w:rsidRPr="00BB524D">
            <w:t>Rīga Regional Court</w:t>
          </w:r>
        </w:smartTag>
      </w:smartTag>
      <w:r w:rsidRPr="00BB524D">
        <w:t xml:space="preserve"> granted the applicant a permission</w:t>
      </w:r>
      <w:r>
        <w:t xml:space="preserve"> to exchange corr</w:t>
      </w:r>
      <w:r w:rsidRPr="00BB524D">
        <w:t>esp</w:t>
      </w:r>
      <w:r>
        <w:t>onde</w:t>
      </w:r>
      <w:r w:rsidRPr="00BB524D">
        <w:t>nce with his relatives.</w:t>
      </w:r>
    </w:p>
    <w:p w:rsidR="0042512C" w:rsidRDefault="005537C2" w:rsidP="005537C2">
      <w:pPr>
        <w:pStyle w:val="JuHIRoman"/>
        <w:outlineLvl w:val="0"/>
      </w:pPr>
      <w:r>
        <w:t>II. RELEVANT DOMESTIC LAW</w:t>
      </w:r>
    </w:p>
    <w:p w:rsidR="005537C2" w:rsidRPr="00A337E7" w:rsidRDefault="005537C2" w:rsidP="005537C2">
      <w:pPr>
        <w:pStyle w:val="JuPara"/>
      </w:pPr>
      <w:r>
        <w:fldChar w:fldCharType="begin"/>
      </w:r>
      <w:r>
        <w:instrText xml:space="preserve"> SEQ level0 \*arabic </w:instrText>
      </w:r>
      <w:r>
        <w:fldChar w:fldCharType="separate"/>
      </w:r>
      <w:r w:rsidR="00B70C7D">
        <w:rPr>
          <w:noProof/>
        </w:rPr>
        <w:t>25</w:t>
      </w:r>
      <w:r>
        <w:fldChar w:fldCharType="end"/>
      </w:r>
      <w:r>
        <w:t>.  </w:t>
      </w:r>
      <w:r w:rsidRPr="00D855F5">
        <w:t xml:space="preserve">The relevant provisions of the </w:t>
      </w:r>
      <w:r w:rsidRPr="00D855F5">
        <w:rPr>
          <w:i/>
        </w:rPr>
        <w:t>Code of</w:t>
      </w:r>
      <w:r w:rsidRPr="00D855F5">
        <w:t xml:space="preserve"> </w:t>
      </w:r>
      <w:r w:rsidRPr="00D855F5">
        <w:rPr>
          <w:i/>
        </w:rPr>
        <w:t xml:space="preserve">Criminal Procedure </w:t>
      </w:r>
      <w:r w:rsidRPr="00D855F5">
        <w:t>(La</w:t>
      </w:r>
      <w:r>
        <w:t xml:space="preserve">tvijas Kriminālprocesa Kodekss) </w:t>
      </w:r>
      <w:r w:rsidRPr="00D855F5">
        <w:t>applicable at the material time (in force until 1 October 2005),</w:t>
      </w:r>
      <w:r>
        <w:t xml:space="preserve"> and other relevant practice</w:t>
      </w:r>
      <w:r w:rsidRPr="00D855F5">
        <w:t xml:space="preserve"> are found in</w:t>
      </w:r>
      <w:r>
        <w:t xml:space="preserve"> </w:t>
      </w:r>
      <w:r w:rsidRPr="00284E6E">
        <w:rPr>
          <w:i/>
          <w:szCs w:val="24"/>
          <w:lang w:eastAsia="en-US"/>
        </w:rPr>
        <w:t>Estrikh v. Latvia</w:t>
      </w:r>
      <w:r>
        <w:rPr>
          <w:szCs w:val="24"/>
          <w:lang w:eastAsia="en-US"/>
        </w:rPr>
        <w:t xml:space="preserve"> (</w:t>
      </w:r>
      <w:r w:rsidRPr="00284E6E">
        <w:rPr>
          <w:szCs w:val="24"/>
          <w:lang w:eastAsia="en-US"/>
        </w:rPr>
        <w:t xml:space="preserve">no. 73819/01, </w:t>
      </w:r>
      <w:r>
        <w:rPr>
          <w:szCs w:val="24"/>
          <w:lang w:eastAsia="en-US"/>
        </w:rPr>
        <w:t>§</w:t>
      </w:r>
      <w:r w:rsidRPr="00284E6E">
        <w:rPr>
          <w:szCs w:val="24"/>
          <w:lang w:eastAsia="en-US"/>
        </w:rPr>
        <w:t xml:space="preserve">§ </w:t>
      </w:r>
      <w:r>
        <w:rPr>
          <w:szCs w:val="24"/>
          <w:lang w:eastAsia="en-US"/>
        </w:rPr>
        <w:t>54-65; 81-82</w:t>
      </w:r>
      <w:r w:rsidRPr="00284E6E">
        <w:rPr>
          <w:szCs w:val="24"/>
          <w:lang w:eastAsia="en-US"/>
        </w:rPr>
        <w:t>, 18 January 2007</w:t>
      </w:r>
      <w:r>
        <w:rPr>
          <w:szCs w:val="24"/>
          <w:lang w:eastAsia="en-US"/>
        </w:rPr>
        <w:t>)</w:t>
      </w:r>
      <w:r w:rsidRPr="00D855F5">
        <w:rPr>
          <w:lang w:eastAsia="en-US"/>
        </w:rPr>
        <w:t>.</w:t>
      </w:r>
    </w:p>
    <w:p w:rsidR="005537C2" w:rsidRPr="00A337E7" w:rsidRDefault="005537C2" w:rsidP="005537C2">
      <w:pPr>
        <w:pStyle w:val="JuHHead"/>
      </w:pPr>
      <w:r w:rsidRPr="00A337E7">
        <w:t>THE LAW</w:t>
      </w:r>
    </w:p>
    <w:p w:rsidR="005537C2" w:rsidRPr="00A337E7" w:rsidRDefault="005537C2" w:rsidP="005537C2">
      <w:pPr>
        <w:pStyle w:val="JuHIRoman"/>
      </w:pPr>
      <w:r w:rsidRPr="00A337E7">
        <w:t xml:space="preserve">I.  ALLEGED VIOLATION OF ARTICLE </w:t>
      </w:r>
      <w:r>
        <w:t>5 § 3</w:t>
      </w:r>
      <w:r w:rsidRPr="00A337E7">
        <w:t xml:space="preserve"> OF THE CONVENTION</w:t>
      </w:r>
    </w:p>
    <w:p w:rsidR="005537C2" w:rsidRPr="00A337E7" w:rsidRDefault="005537C2" w:rsidP="005537C2">
      <w:pPr>
        <w:pStyle w:val="JuPara"/>
      </w:pPr>
      <w:r w:rsidRPr="00A337E7">
        <w:fldChar w:fldCharType="begin"/>
      </w:r>
      <w:r w:rsidRPr="00A337E7">
        <w:instrText xml:space="preserve"> SEQ level0 \*arabic </w:instrText>
      </w:r>
      <w:r w:rsidRPr="00A337E7">
        <w:fldChar w:fldCharType="separate"/>
      </w:r>
      <w:r w:rsidR="00B70C7D">
        <w:rPr>
          <w:noProof/>
        </w:rPr>
        <w:t>26</w:t>
      </w:r>
      <w:r w:rsidRPr="00A337E7">
        <w:fldChar w:fldCharType="end"/>
      </w:r>
      <w:r w:rsidRPr="00A337E7">
        <w:t>.  The applicant complained t</w:t>
      </w:r>
      <w:r>
        <w:t>hat his detention on remand from 30 August 1998 to 25 June 2003 was excessive and in breach of Article 5 § 3</w:t>
      </w:r>
      <w:r w:rsidRPr="00A337E7">
        <w:t xml:space="preserve"> of the Convention, which reads as follows:</w:t>
      </w:r>
    </w:p>
    <w:p w:rsidR="005537C2" w:rsidRPr="00A337E7" w:rsidRDefault="005537C2" w:rsidP="005537C2">
      <w:pPr>
        <w:pStyle w:val="JuQuot"/>
      </w:pPr>
      <w:r>
        <w:t>“Everyone arrested or detained in accordance with the provisions of paragraph 1 (c) of this Article shall be ... entitled to trial within a reasonable time or to release pending trial. Release may be conditioned by guarantees to appear for trial.”</w:t>
      </w:r>
    </w:p>
    <w:p w:rsidR="005537C2" w:rsidRPr="00643115" w:rsidRDefault="005537C2" w:rsidP="005537C2">
      <w:pPr>
        <w:pStyle w:val="JuPara"/>
      </w:pPr>
      <w:r w:rsidRPr="00643115">
        <w:fldChar w:fldCharType="begin"/>
      </w:r>
      <w:r w:rsidRPr="00643115">
        <w:instrText xml:space="preserve"> SEQ level0 \*arabic </w:instrText>
      </w:r>
      <w:r w:rsidRPr="00643115">
        <w:fldChar w:fldCharType="separate"/>
      </w:r>
      <w:r w:rsidR="00B70C7D">
        <w:rPr>
          <w:noProof/>
        </w:rPr>
        <w:t>27</w:t>
      </w:r>
      <w:r w:rsidRPr="00643115">
        <w:fldChar w:fldCharType="end"/>
      </w:r>
      <w:r w:rsidRPr="00643115">
        <w:t>.  The Government contested that argument.</w:t>
      </w:r>
    </w:p>
    <w:p w:rsidR="005537C2" w:rsidRPr="00643115" w:rsidRDefault="005537C2" w:rsidP="005537C2">
      <w:pPr>
        <w:pStyle w:val="JuPara"/>
      </w:pPr>
      <w:r w:rsidRPr="00643115">
        <w:fldChar w:fldCharType="begin"/>
      </w:r>
      <w:r w:rsidRPr="00643115">
        <w:instrText xml:space="preserve"> SEQ level0 \*arabic </w:instrText>
      </w:r>
      <w:r w:rsidRPr="00643115">
        <w:fldChar w:fldCharType="separate"/>
      </w:r>
      <w:r w:rsidR="00B70C7D">
        <w:rPr>
          <w:noProof/>
        </w:rPr>
        <w:t>28</w:t>
      </w:r>
      <w:r w:rsidRPr="00643115">
        <w:fldChar w:fldCharType="end"/>
      </w:r>
      <w:r w:rsidRPr="00643115">
        <w:t xml:space="preserve">.  The applicant did not </w:t>
      </w:r>
      <w:r>
        <w:t>submit</w:t>
      </w:r>
      <w:r w:rsidRPr="00643115">
        <w:t xml:space="preserve"> any comments </w:t>
      </w:r>
      <w:r>
        <w:t xml:space="preserve">on </w:t>
      </w:r>
      <w:r w:rsidRPr="00643115">
        <w:t>the Government</w:t>
      </w:r>
      <w:r w:rsidR="0042512C">
        <w:t>’</w:t>
      </w:r>
      <w:r w:rsidRPr="00643115">
        <w:t>s observations.</w:t>
      </w:r>
    </w:p>
    <w:p w:rsidR="005537C2" w:rsidRPr="00A337E7" w:rsidRDefault="005537C2" w:rsidP="005537C2">
      <w:pPr>
        <w:pStyle w:val="JuHA"/>
        <w:outlineLvl w:val="0"/>
      </w:pPr>
      <w:r w:rsidRPr="00643115">
        <w:t>A.  Admissibility</w:t>
      </w:r>
    </w:p>
    <w:p w:rsidR="005537C2" w:rsidRPr="007F36AD" w:rsidRDefault="005537C2" w:rsidP="005537C2">
      <w:pPr>
        <w:pStyle w:val="JuPara"/>
        <w:rPr>
          <w:szCs w:val="24"/>
          <w:lang w:eastAsia="en-US"/>
        </w:rPr>
      </w:pPr>
      <w:r w:rsidRPr="00A337E7">
        <w:fldChar w:fldCharType="begin"/>
      </w:r>
      <w:r w:rsidRPr="00A337E7">
        <w:instrText xml:space="preserve"> SEQ level0 \*arabic </w:instrText>
      </w:r>
      <w:r w:rsidRPr="00A337E7">
        <w:fldChar w:fldCharType="separate"/>
      </w:r>
      <w:r w:rsidR="00B70C7D">
        <w:rPr>
          <w:noProof/>
        </w:rPr>
        <w:t>29</w:t>
      </w:r>
      <w:r w:rsidRPr="00A337E7">
        <w:fldChar w:fldCharType="end"/>
      </w:r>
      <w:r w:rsidRPr="00A337E7">
        <w:t>. </w:t>
      </w:r>
      <w:r>
        <w:t>The Government submitted that the applicant failed to exhaust domestic remedies.</w:t>
      </w:r>
      <w:r w:rsidRPr="00A337E7">
        <w:t> </w:t>
      </w:r>
      <w:r>
        <w:t xml:space="preserve">The Court refers to its earlier case law, where it has dismissed identical preliminary objections raised by the Government, and established that at the time when the present complaint was invoked the applicant did not have effective remedies with respect to excessive length of pre-trial detention (see, amongst, other, </w:t>
      </w:r>
      <w:r w:rsidRPr="007F36AD">
        <w:rPr>
          <w:i/>
          <w:szCs w:val="24"/>
          <w:lang w:eastAsia="en-US"/>
        </w:rPr>
        <w:t>Estrikh</w:t>
      </w:r>
      <w:r>
        <w:rPr>
          <w:i/>
          <w:szCs w:val="24"/>
          <w:lang w:eastAsia="en-US"/>
        </w:rPr>
        <w:t>,</w:t>
      </w:r>
      <w:r>
        <w:rPr>
          <w:szCs w:val="24"/>
          <w:lang w:eastAsia="en-US"/>
        </w:rPr>
        <w:t xml:space="preserve"> cited above,</w:t>
      </w:r>
      <w:r>
        <w:rPr>
          <w:i/>
          <w:szCs w:val="24"/>
          <w:lang w:eastAsia="en-US"/>
        </w:rPr>
        <w:t xml:space="preserve"> </w:t>
      </w:r>
      <w:r w:rsidRPr="007F36AD">
        <w:rPr>
          <w:szCs w:val="24"/>
          <w:lang w:eastAsia="en-US"/>
        </w:rPr>
        <w:t>§</w:t>
      </w:r>
      <w:r>
        <w:rPr>
          <w:szCs w:val="24"/>
          <w:lang w:eastAsia="en-US"/>
        </w:rPr>
        <w:t xml:space="preserve">§ 95-104; </w:t>
      </w:r>
      <w:r>
        <w:rPr>
          <w:i/>
          <w:szCs w:val="24"/>
          <w:lang w:eastAsia="en-US"/>
        </w:rPr>
        <w:t>Vogins v. </w:t>
      </w:r>
      <w:r w:rsidRPr="007F36AD">
        <w:rPr>
          <w:i/>
          <w:szCs w:val="24"/>
          <w:lang w:eastAsia="en-US"/>
        </w:rPr>
        <w:t>Latvia</w:t>
      </w:r>
      <w:r w:rsidRPr="007F36AD">
        <w:rPr>
          <w:szCs w:val="24"/>
          <w:lang w:eastAsia="en-US"/>
        </w:rPr>
        <w:t>, no. 3992/02, §</w:t>
      </w:r>
      <w:r>
        <w:rPr>
          <w:szCs w:val="24"/>
          <w:lang w:eastAsia="en-US"/>
        </w:rPr>
        <w:t>§ 25-35</w:t>
      </w:r>
      <w:r w:rsidRPr="007F36AD">
        <w:rPr>
          <w:szCs w:val="24"/>
          <w:lang w:eastAsia="en-US"/>
        </w:rPr>
        <w:t xml:space="preserve">, 1 </w:t>
      </w:r>
      <w:r>
        <w:rPr>
          <w:szCs w:val="24"/>
          <w:lang w:eastAsia="en-US"/>
        </w:rPr>
        <w:t xml:space="preserve">February 2007). Therefore the </w:t>
      </w:r>
      <w:r>
        <w:t>Government</w:t>
      </w:r>
      <w:r w:rsidR="0042512C">
        <w:t>’</w:t>
      </w:r>
      <w:r>
        <w:t>s objection as to non-exhaustion of domestic remedies must be dismissed.</w:t>
      </w:r>
    </w:p>
    <w:p w:rsidR="005537C2" w:rsidRPr="00A337E7" w:rsidRDefault="005537C2" w:rsidP="005537C2">
      <w:pPr>
        <w:pStyle w:val="JuPara"/>
      </w:pPr>
      <w:r>
        <w:fldChar w:fldCharType="begin"/>
      </w:r>
      <w:r>
        <w:instrText xml:space="preserve"> SEQ level0 \*arabic </w:instrText>
      </w:r>
      <w:r>
        <w:fldChar w:fldCharType="separate"/>
      </w:r>
      <w:r w:rsidR="00B70C7D">
        <w:rPr>
          <w:noProof/>
        </w:rPr>
        <w:t>30</w:t>
      </w:r>
      <w:r>
        <w:fldChar w:fldCharType="end"/>
      </w:r>
      <w:r>
        <w:t xml:space="preserve">.  The Court notes that </w:t>
      </w:r>
      <w:r w:rsidRPr="00A337E7">
        <w:t>this complaint is not manifestly ill-founded within the meaning of Article 35 § 3 of the Convention. It further notes that it is not inadmissible on any other grounds. It must</w:t>
      </w:r>
      <w:r>
        <w:t>,</w:t>
      </w:r>
      <w:r w:rsidRPr="00A337E7">
        <w:t xml:space="preserve"> therefore</w:t>
      </w:r>
      <w:r>
        <w:t>,</w:t>
      </w:r>
      <w:r w:rsidRPr="00A337E7">
        <w:t xml:space="preserve"> be declared admissible.</w:t>
      </w:r>
    </w:p>
    <w:p w:rsidR="0042512C" w:rsidRDefault="005537C2" w:rsidP="005537C2">
      <w:pPr>
        <w:pStyle w:val="JuHA"/>
        <w:outlineLvl w:val="0"/>
      </w:pPr>
      <w:r w:rsidRPr="00A337E7">
        <w:t>B.  Merits</w:t>
      </w:r>
    </w:p>
    <w:p w:rsidR="005537C2" w:rsidRPr="00A337E7" w:rsidRDefault="005537C2" w:rsidP="005537C2">
      <w:pPr>
        <w:pStyle w:val="JuPara"/>
      </w:pPr>
      <w:r>
        <w:fldChar w:fldCharType="begin"/>
      </w:r>
      <w:r>
        <w:instrText xml:space="preserve"> SEQ level0 \*arabic </w:instrText>
      </w:r>
      <w:r>
        <w:fldChar w:fldCharType="separate"/>
      </w:r>
      <w:r w:rsidR="00B70C7D">
        <w:rPr>
          <w:noProof/>
        </w:rPr>
        <w:t>31</w:t>
      </w:r>
      <w:r>
        <w:fldChar w:fldCharType="end"/>
      </w:r>
      <w:r>
        <w:t>.  </w:t>
      </w:r>
      <w:r w:rsidRPr="00A337E7">
        <w:t>The Government</w:t>
      </w:r>
      <w:r>
        <w:t xml:space="preserve"> argued that the period of the applicant</w:t>
      </w:r>
      <w:r w:rsidR="0042512C">
        <w:t>’</w:t>
      </w:r>
      <w:r>
        <w:t xml:space="preserve">s detention from 30 September 1998 to 30 October 1999 </w:t>
      </w:r>
      <w:r w:rsidRPr="00460096">
        <w:t xml:space="preserve">(see paragraph </w:t>
      </w:r>
      <w:r>
        <w:t>9</w:t>
      </w:r>
      <w:r w:rsidRPr="00460096">
        <w:t xml:space="preserve"> above)</w:t>
      </w:r>
      <w:r>
        <w:t xml:space="preserve"> falls outside the scope of examination under Article 5 § 3 of the Convention. In addition, the Government relied on the complexity of the criminal case and the particularly grave accusations brought against the applicant, which rendered necessary his continued detention on remand.</w:t>
      </w:r>
    </w:p>
    <w:p w:rsidR="005537C2" w:rsidRDefault="005537C2" w:rsidP="005537C2">
      <w:pPr>
        <w:pStyle w:val="JuPara"/>
      </w:pPr>
      <w:r w:rsidRPr="00A337E7">
        <w:fldChar w:fldCharType="begin"/>
      </w:r>
      <w:r w:rsidRPr="00A337E7">
        <w:instrText xml:space="preserve"> SEQ level0 \*arabic </w:instrText>
      </w:r>
      <w:r w:rsidRPr="00A337E7">
        <w:fldChar w:fldCharType="separate"/>
      </w:r>
      <w:r w:rsidR="00B70C7D">
        <w:rPr>
          <w:noProof/>
        </w:rPr>
        <w:t>32</w:t>
      </w:r>
      <w:r w:rsidRPr="00A337E7">
        <w:fldChar w:fldCharType="end"/>
      </w:r>
      <w:r w:rsidRPr="00A337E7">
        <w:t>.  </w:t>
      </w:r>
      <w:r>
        <w:t xml:space="preserve">The Court agrees with the Government as to the period of detention which falls within the scope of examination under Article 5 § 3 of the Convention, and establishes that the detention under consideration lasted in total </w:t>
      </w:r>
      <w:r w:rsidRPr="00460096">
        <w:t>three years and nine months.</w:t>
      </w:r>
    </w:p>
    <w:p w:rsidR="0042512C" w:rsidRDefault="005537C2" w:rsidP="005537C2">
      <w:pPr>
        <w:pStyle w:val="JuPara"/>
      </w:pPr>
      <w:r>
        <w:fldChar w:fldCharType="begin"/>
      </w:r>
      <w:r>
        <w:instrText xml:space="preserve"> SEQ level0 \*arabic </w:instrText>
      </w:r>
      <w:r>
        <w:fldChar w:fldCharType="separate"/>
      </w:r>
      <w:r w:rsidR="00B70C7D">
        <w:rPr>
          <w:noProof/>
        </w:rPr>
        <w:t>33</w:t>
      </w:r>
      <w:r>
        <w:fldChar w:fldCharType="end"/>
      </w:r>
      <w:r>
        <w:t xml:space="preserve">.  The Court reiterates that </w:t>
      </w:r>
      <w:r w:rsidRPr="003C1C94">
        <w:rPr>
          <w:lang w:eastAsia="en-US"/>
        </w:rPr>
        <w:t xml:space="preserve">there is a considerable case-law </w:t>
      </w:r>
      <w:r>
        <w:rPr>
          <w:lang w:eastAsia="en-US"/>
        </w:rPr>
        <w:t>in</w:t>
      </w:r>
      <w:r w:rsidRPr="003C1C94">
        <w:rPr>
          <w:lang w:eastAsia="en-US"/>
        </w:rPr>
        <w:t xml:space="preserve"> respect </w:t>
      </w:r>
      <w:r>
        <w:rPr>
          <w:lang w:eastAsia="en-US"/>
        </w:rPr>
        <w:t>of</w:t>
      </w:r>
      <w:r w:rsidRPr="003C1C94">
        <w:rPr>
          <w:lang w:eastAsia="en-US"/>
        </w:rPr>
        <w:t xml:space="preserve"> </w:t>
      </w:r>
      <w:r>
        <w:rPr>
          <w:lang w:eastAsia="en-US"/>
        </w:rPr>
        <w:t>Latvia</w:t>
      </w:r>
      <w:r w:rsidRPr="003C1C94">
        <w:rPr>
          <w:lang w:eastAsia="en-US"/>
        </w:rPr>
        <w:t xml:space="preserve"> as concerns t</w:t>
      </w:r>
      <w:r>
        <w:rPr>
          <w:lang w:eastAsia="en-US"/>
        </w:rPr>
        <w:t>he scope and the nature of the</w:t>
      </w:r>
      <w:r w:rsidRPr="003C1C94">
        <w:rPr>
          <w:lang w:eastAsia="en-US"/>
        </w:rPr>
        <w:t xml:space="preserve"> obligation</w:t>
      </w:r>
      <w:r>
        <w:rPr>
          <w:lang w:eastAsia="en-US"/>
        </w:rPr>
        <w:t>s arising under Article 5 § 3 concerning length of detention, where</w:t>
      </w:r>
      <w:r>
        <w:t xml:space="preserve"> the Court has found a violation of Article 5 § 3 of the Convention on the grounds of insufficient motivation and inadequate proceedings in deciding on continued </w:t>
      </w:r>
      <w:r w:rsidRPr="00643115">
        <w:t xml:space="preserve">detention </w:t>
      </w:r>
      <w:r w:rsidRPr="00643115">
        <w:rPr>
          <w:lang w:eastAsia="en-US"/>
        </w:rPr>
        <w:t xml:space="preserve">(see, in particular, </w:t>
      </w:r>
      <w:r w:rsidRPr="00643115">
        <w:rPr>
          <w:i/>
          <w:lang w:eastAsia="en-US"/>
        </w:rPr>
        <w:t>Svipsta v. Latvia</w:t>
      </w:r>
      <w:r w:rsidRPr="00643115">
        <w:rPr>
          <w:lang w:eastAsia="en-US"/>
        </w:rPr>
        <w:t>, no. 66820/01, §§ 106-113, ECHR 2006</w:t>
      </w:r>
      <w:r w:rsidRPr="00643115">
        <w:rPr>
          <w:lang w:eastAsia="en-US"/>
        </w:rPr>
        <w:noBreakHyphen/>
        <w:t xml:space="preserve">III (extracts); </w:t>
      </w:r>
      <w:r w:rsidRPr="00643115">
        <w:rPr>
          <w:i/>
          <w:lang w:eastAsia="en-US"/>
        </w:rPr>
        <w:t>Moisejevs v. Latvia</w:t>
      </w:r>
      <w:r w:rsidRPr="00643115">
        <w:rPr>
          <w:lang w:eastAsia="en-US"/>
        </w:rPr>
        <w:t xml:space="preserve">, no. 64846/01, §§ 112-119, 15 June 2006; 72-76; </w:t>
      </w:r>
      <w:r w:rsidRPr="00643115">
        <w:rPr>
          <w:i/>
          <w:lang w:eastAsia="en-US"/>
        </w:rPr>
        <w:t>Čistiakov v. Latvia</w:t>
      </w:r>
      <w:r>
        <w:rPr>
          <w:lang w:eastAsia="en-US"/>
        </w:rPr>
        <w:t>, no. 67275/01, §§ 63-68, 8 </w:t>
      </w:r>
      <w:r w:rsidRPr="00643115">
        <w:rPr>
          <w:lang w:eastAsia="en-US"/>
        </w:rPr>
        <w:t>February 2007).</w:t>
      </w:r>
      <w:r>
        <w:rPr>
          <w:lang w:eastAsia="en-US"/>
        </w:rPr>
        <w:t xml:space="preserve"> Besides,</w:t>
      </w:r>
      <w:r>
        <w:rPr>
          <w:i/>
        </w:rPr>
        <w:t xml:space="preserve"> </w:t>
      </w:r>
      <w:r>
        <w:t xml:space="preserve">the Court recognized a systemic problem in relation to the apparently indiscriminate application of detention as a preventive measure in </w:t>
      </w:r>
      <w:smartTag w:uri="urn:schemas-microsoft-com:office:smarttags" w:element="place">
        <w:smartTag w:uri="urn:schemas-microsoft-com:office:smarttags" w:element="country-region">
          <w:r>
            <w:t>Latvia</w:t>
          </w:r>
        </w:smartTag>
      </w:smartTag>
      <w:r>
        <w:t xml:space="preserve"> in the material time (</w:t>
      </w:r>
      <w:r w:rsidRPr="009E4783">
        <w:rPr>
          <w:i/>
        </w:rPr>
        <w:t>Estrikh</w:t>
      </w:r>
      <w:r>
        <w:t>, § 127).</w:t>
      </w:r>
    </w:p>
    <w:p w:rsidR="005537C2" w:rsidRPr="00460096" w:rsidRDefault="005537C2" w:rsidP="005537C2">
      <w:pPr>
        <w:pStyle w:val="JuPara"/>
      </w:pPr>
      <w:r w:rsidRPr="00A337E7">
        <w:fldChar w:fldCharType="begin"/>
      </w:r>
      <w:r w:rsidRPr="00A337E7">
        <w:instrText xml:space="preserve"> SEQ level0 \*arabic </w:instrText>
      </w:r>
      <w:r w:rsidRPr="00A337E7">
        <w:fldChar w:fldCharType="separate"/>
      </w:r>
      <w:r w:rsidR="00B70C7D">
        <w:rPr>
          <w:noProof/>
        </w:rPr>
        <w:t>34</w:t>
      </w:r>
      <w:r w:rsidRPr="00A337E7">
        <w:fldChar w:fldCharType="end"/>
      </w:r>
      <w:r>
        <w:t xml:space="preserve">.  The Court notes that the existing case-law against </w:t>
      </w:r>
      <w:smartTag w:uri="urn:schemas-microsoft-com:office:smarttags" w:element="place">
        <w:smartTag w:uri="urn:schemas-microsoft-com:office:smarttags" w:element="country-region">
          <w:r>
            <w:t>Latvia</w:t>
          </w:r>
        </w:smartTag>
      </w:smartTag>
      <w:r>
        <w:t xml:space="preserve"> concerns the same period of time and circumstances complained about in the present case. In particular, the applicant</w:t>
      </w:r>
      <w:r w:rsidR="0042512C">
        <w:t>’</w:t>
      </w:r>
      <w:r>
        <w:t xml:space="preserve">s detention from 30 August 1998 until 30 May 2000 was continuously extended by a decision repeating the same motivation provided in order to justify the initial </w:t>
      </w:r>
      <w:r w:rsidRPr="00460096">
        <w:t>detention (see paragraph </w:t>
      </w:r>
      <w:r>
        <w:t>8</w:t>
      </w:r>
      <w:r w:rsidRPr="00460096">
        <w:t xml:space="preserve"> above), whereas as from 30 May 2000 until </w:t>
      </w:r>
      <w:r>
        <w:t xml:space="preserve">the </w:t>
      </w:r>
      <w:r w:rsidRPr="00460096">
        <w:t xml:space="preserve">adoption of the first-instance judgement the applicant was detained </w:t>
      </w:r>
      <w:r>
        <w:t>on the basis</w:t>
      </w:r>
      <w:r w:rsidRPr="00460096">
        <w:t xml:space="preserve"> o</w:t>
      </w:r>
      <w:r>
        <w:t>f</w:t>
      </w:r>
      <w:r w:rsidRPr="00460096">
        <w:t xml:space="preserve"> a decision which failed to set a time-limit as well as to provide any motivation as to </w:t>
      </w:r>
      <w:r>
        <w:t xml:space="preserve">the </w:t>
      </w:r>
      <w:r w:rsidRPr="00460096">
        <w:t xml:space="preserve">necessity of </w:t>
      </w:r>
      <w:r>
        <w:t xml:space="preserve">the </w:t>
      </w:r>
      <w:r w:rsidRPr="00460096">
        <w:t>continued detention (see paragraph 1</w:t>
      </w:r>
      <w:r>
        <w:t>0</w:t>
      </w:r>
      <w:r w:rsidRPr="00460096">
        <w:t xml:space="preserve"> above).</w:t>
      </w:r>
    </w:p>
    <w:p w:rsidR="005537C2" w:rsidRDefault="005537C2" w:rsidP="005537C2">
      <w:pPr>
        <w:pStyle w:val="JuPara"/>
      </w:pPr>
      <w:r w:rsidRPr="00460096">
        <w:fldChar w:fldCharType="begin"/>
      </w:r>
      <w:r w:rsidRPr="00460096">
        <w:instrText xml:space="preserve"> SEQ level0 \*arabic </w:instrText>
      </w:r>
      <w:r w:rsidRPr="00460096">
        <w:fldChar w:fldCharType="separate"/>
      </w:r>
      <w:r w:rsidR="00B70C7D">
        <w:rPr>
          <w:noProof/>
        </w:rPr>
        <w:t>35</w:t>
      </w:r>
      <w:r w:rsidRPr="00460096">
        <w:fldChar w:fldCharType="end"/>
      </w:r>
      <w:r w:rsidRPr="00460096">
        <w:t>.  The foregoing considerations are sufficient to enable</w:t>
      </w:r>
      <w:r w:rsidRPr="00A337E7">
        <w:t xml:space="preserve"> the Court to conclude that</w:t>
      </w:r>
      <w:r>
        <w:t xml:space="preserve"> the applicant</w:t>
      </w:r>
      <w:r w:rsidR="0042512C">
        <w:t>’</w:t>
      </w:r>
      <w:r>
        <w:t>s continued detention was not ordered in compliance with the safeguards enshrined by the Convention.</w:t>
      </w:r>
    </w:p>
    <w:p w:rsidR="005537C2" w:rsidRPr="00A337E7" w:rsidRDefault="005537C2" w:rsidP="005537C2">
      <w:pPr>
        <w:pStyle w:val="JuPara"/>
      </w:pPr>
      <w:r>
        <w:fldChar w:fldCharType="begin"/>
      </w:r>
      <w:r>
        <w:instrText xml:space="preserve"> SEQ level0 \*arabic </w:instrText>
      </w:r>
      <w:r>
        <w:fldChar w:fldCharType="separate"/>
      </w:r>
      <w:r w:rsidR="00B70C7D">
        <w:rPr>
          <w:noProof/>
        </w:rPr>
        <w:t>36</w:t>
      </w:r>
      <w:r>
        <w:fldChar w:fldCharType="end"/>
      </w:r>
      <w:r>
        <w:t>.  </w:t>
      </w:r>
      <w:r w:rsidRPr="00A337E7">
        <w:t xml:space="preserve">There has accordingly been a violation of Article </w:t>
      </w:r>
      <w:r>
        <w:t>5 § 3</w:t>
      </w:r>
      <w:r w:rsidRPr="00A337E7">
        <w:t xml:space="preserve"> of the Convention.</w:t>
      </w:r>
    </w:p>
    <w:p w:rsidR="005537C2" w:rsidRPr="00A337E7" w:rsidRDefault="005537C2" w:rsidP="005537C2">
      <w:pPr>
        <w:pStyle w:val="JuHIRoman"/>
      </w:pPr>
      <w:r>
        <w:t>II</w:t>
      </w:r>
      <w:r w:rsidRPr="00A337E7">
        <w:t>. </w:t>
      </w:r>
      <w:r>
        <w:tab/>
      </w:r>
      <w:r w:rsidRPr="00A337E7">
        <w:t>ALLEGED VIOLATION</w:t>
      </w:r>
      <w:r>
        <w:t>S</w:t>
      </w:r>
      <w:r w:rsidRPr="00A337E7">
        <w:t xml:space="preserve"> OF ARTICLE </w:t>
      </w:r>
      <w:r>
        <w:t>6 § 1</w:t>
      </w:r>
      <w:r w:rsidRPr="00A337E7">
        <w:t xml:space="preserve"> OF THE CONVENTION</w:t>
      </w:r>
    </w:p>
    <w:p w:rsidR="005537C2" w:rsidRDefault="005537C2" w:rsidP="005537C2">
      <w:pPr>
        <w:pStyle w:val="JuPara"/>
      </w:pPr>
      <w:r w:rsidRPr="00A337E7">
        <w:fldChar w:fldCharType="begin"/>
      </w:r>
      <w:r w:rsidRPr="00A337E7">
        <w:instrText xml:space="preserve"> SEQ level0 \*arabic </w:instrText>
      </w:r>
      <w:r w:rsidRPr="00A337E7">
        <w:fldChar w:fldCharType="separate"/>
      </w:r>
      <w:r w:rsidR="00B70C7D">
        <w:rPr>
          <w:noProof/>
        </w:rPr>
        <w:t>37</w:t>
      </w:r>
      <w:r w:rsidRPr="00A337E7">
        <w:fldChar w:fldCharType="end"/>
      </w:r>
      <w:r w:rsidRPr="00A337E7">
        <w:t>.  </w:t>
      </w:r>
      <w:r w:rsidRPr="00283946">
        <w:t>The applicant complained that the length of the</w:t>
      </w:r>
      <w:r>
        <w:t xml:space="preserve"> civil and criminal </w:t>
      </w:r>
      <w:r w:rsidRPr="00283946">
        <w:t>proceedings had been incompatible with the “reasonable time” requirement, laid down in Article 6 § 1 of the Convention, which reads as follows:</w:t>
      </w:r>
    </w:p>
    <w:p w:rsidR="005537C2" w:rsidRPr="00283946" w:rsidRDefault="005537C2" w:rsidP="005537C2">
      <w:pPr>
        <w:pStyle w:val="JuQuot"/>
      </w:pPr>
      <w:r w:rsidRPr="00283946">
        <w:t>“In the determination of</w:t>
      </w:r>
      <w:r>
        <w:t xml:space="preserve"> ...civil rights and obligations or of </w:t>
      </w:r>
      <w:r w:rsidRPr="00283946">
        <w:t>any criminal charge against him</w:t>
      </w:r>
      <w:r>
        <w:t>,</w:t>
      </w:r>
      <w:r w:rsidRPr="00283946">
        <w:t xml:space="preserve"> everyone is entitled to a ... hearing within a reasonable time by [a] ... tribunal...”</w:t>
      </w:r>
    </w:p>
    <w:p w:rsidR="005537C2" w:rsidRDefault="005537C2" w:rsidP="005537C2">
      <w:pPr>
        <w:pStyle w:val="JuHA"/>
        <w:numPr>
          <w:ilvl w:val="0"/>
          <w:numId w:val="4"/>
        </w:numPr>
        <w:outlineLvl w:val="0"/>
      </w:pPr>
      <w:r w:rsidRPr="00283946">
        <w:t>Admissibility</w:t>
      </w:r>
    </w:p>
    <w:p w:rsidR="005537C2" w:rsidRDefault="005537C2" w:rsidP="005537C2">
      <w:pPr>
        <w:pStyle w:val="JuH1"/>
      </w:pPr>
      <w:r>
        <w:t>1.  Length of civil proceedings</w:t>
      </w:r>
    </w:p>
    <w:p w:rsidR="005537C2" w:rsidRDefault="005537C2" w:rsidP="005537C2">
      <w:pPr>
        <w:pStyle w:val="JuPara"/>
      </w:pPr>
      <w:r>
        <w:fldChar w:fldCharType="begin"/>
      </w:r>
      <w:r>
        <w:instrText xml:space="preserve"> SEQ level0 \*arabic </w:instrText>
      </w:r>
      <w:r>
        <w:fldChar w:fldCharType="separate"/>
      </w:r>
      <w:r w:rsidR="00B70C7D">
        <w:rPr>
          <w:noProof/>
        </w:rPr>
        <w:t>38</w:t>
      </w:r>
      <w:r>
        <w:fldChar w:fldCharType="end"/>
      </w:r>
      <w:r>
        <w:t>.  </w:t>
      </w:r>
      <w:r w:rsidRPr="00283946">
        <w:t>The</w:t>
      </w:r>
      <w:r>
        <w:t xml:space="preserve"> Court notes that the</w:t>
      </w:r>
      <w:r w:rsidRPr="00283946">
        <w:t xml:space="preserve"> period to be taken into consideration</w:t>
      </w:r>
      <w:r>
        <w:t xml:space="preserve"> with respect to civil proceedings</w:t>
      </w:r>
      <w:r w:rsidRPr="00283946">
        <w:t xml:space="preserve"> began </w:t>
      </w:r>
      <w:r w:rsidRPr="00A9368D">
        <w:t>on 23 May 2001</w:t>
      </w:r>
      <w:r>
        <w:t xml:space="preserve"> when the applicant lodged a claim aiming to institute defamation proceedings. At the time of communication of the complaint to the Government the civil proceedings had lasted </w:t>
      </w:r>
      <w:r w:rsidRPr="00460096">
        <w:t xml:space="preserve">four years before the first-instance court </w:t>
      </w:r>
      <w:r>
        <w:t>due</w:t>
      </w:r>
      <w:r w:rsidRPr="00460096">
        <w:t xml:space="preserve"> to the fact that the defamation proceedings were stayed pending the criminal proceedings (</w:t>
      </w:r>
      <w:r>
        <w:t>see paragraph 21</w:t>
      </w:r>
      <w:r w:rsidRPr="00460096">
        <w:t xml:space="preserve"> above).</w:t>
      </w:r>
    </w:p>
    <w:p w:rsidR="005537C2" w:rsidRDefault="005537C2" w:rsidP="005537C2">
      <w:pPr>
        <w:pStyle w:val="JuPara"/>
      </w:pPr>
      <w:r>
        <w:fldChar w:fldCharType="begin"/>
      </w:r>
      <w:r>
        <w:instrText xml:space="preserve"> SEQ level0 \*arabic </w:instrText>
      </w:r>
      <w:r>
        <w:fldChar w:fldCharType="separate"/>
      </w:r>
      <w:r w:rsidR="00B70C7D">
        <w:rPr>
          <w:noProof/>
        </w:rPr>
        <w:t>39</w:t>
      </w:r>
      <w:r>
        <w:fldChar w:fldCharType="end"/>
      </w:r>
      <w:r>
        <w:t>.  </w:t>
      </w:r>
      <w:r w:rsidRPr="00A337E7">
        <w:t>The Gove</w:t>
      </w:r>
      <w:r>
        <w:t>rnment contended that the civil proceedings had been so far adjudicated within reasonable time.</w:t>
      </w:r>
    </w:p>
    <w:p w:rsidR="005537C2" w:rsidRDefault="005537C2" w:rsidP="005537C2">
      <w:pPr>
        <w:pStyle w:val="JuPara"/>
      </w:pPr>
      <w:r>
        <w:fldChar w:fldCharType="begin"/>
      </w:r>
      <w:r>
        <w:instrText xml:space="preserve"> SEQ level0 \*arabic </w:instrText>
      </w:r>
      <w:r>
        <w:fldChar w:fldCharType="separate"/>
      </w:r>
      <w:r w:rsidR="00B70C7D">
        <w:rPr>
          <w:noProof/>
        </w:rPr>
        <w:t>40</w:t>
      </w:r>
      <w:r>
        <w:fldChar w:fldCharType="end"/>
      </w:r>
      <w:r>
        <w:t>.  </w:t>
      </w:r>
      <w:r w:rsidRPr="00643115">
        <w:t xml:space="preserve">The applicant </w:t>
      </w:r>
      <w:r>
        <w:t xml:space="preserve">did not submit </w:t>
      </w:r>
      <w:r w:rsidRPr="00643115">
        <w:t>any comments to the Government</w:t>
      </w:r>
      <w:r w:rsidR="0042512C">
        <w:t>’</w:t>
      </w:r>
      <w:r w:rsidRPr="00643115">
        <w:t>s observations</w:t>
      </w:r>
      <w:r>
        <w:t>, nor has provided further information concerning the outcome of the aforementioned proceedings.</w:t>
      </w:r>
    </w:p>
    <w:p w:rsidR="005537C2" w:rsidRDefault="005537C2" w:rsidP="005537C2">
      <w:pPr>
        <w:pStyle w:val="JuPara"/>
      </w:pPr>
      <w:r>
        <w:fldChar w:fldCharType="begin"/>
      </w:r>
      <w:r>
        <w:instrText xml:space="preserve"> SEQ level0 \*arabic </w:instrText>
      </w:r>
      <w:r>
        <w:fldChar w:fldCharType="separate"/>
      </w:r>
      <w:r w:rsidR="00B70C7D">
        <w:rPr>
          <w:noProof/>
        </w:rPr>
        <w:t>41</w:t>
      </w:r>
      <w:r>
        <w:fldChar w:fldCharType="end"/>
      </w:r>
      <w:r>
        <w:t>.  The Court concludes that the applicant has not shown reasonable diligence and has failed to provide the Court with the necessary information needed to examine this part of the complaint under Article 6 of the Convention. It follows that the complaint is manifestly ill-founded and must be rejected in accordance with Article 35 §§ 3 and 4 of the Convention.</w:t>
      </w:r>
    </w:p>
    <w:p w:rsidR="005537C2" w:rsidRPr="00A337E7" w:rsidRDefault="005537C2" w:rsidP="005537C2">
      <w:pPr>
        <w:pStyle w:val="JuH1"/>
      </w:pPr>
      <w:r>
        <w:t>2.  Length of criminal proceedings</w:t>
      </w:r>
    </w:p>
    <w:p w:rsidR="005537C2" w:rsidRPr="00A337E7" w:rsidRDefault="005537C2" w:rsidP="005537C2">
      <w:pPr>
        <w:pStyle w:val="JuPara"/>
      </w:pPr>
      <w:r>
        <w:fldChar w:fldCharType="begin"/>
      </w:r>
      <w:r>
        <w:instrText xml:space="preserve"> SEQ level0 \*arabic </w:instrText>
      </w:r>
      <w:r>
        <w:fldChar w:fldCharType="separate"/>
      </w:r>
      <w:r w:rsidR="00B70C7D">
        <w:rPr>
          <w:noProof/>
        </w:rPr>
        <w:t>42</w:t>
      </w:r>
      <w:r>
        <w:fldChar w:fldCharType="end"/>
      </w:r>
      <w:r>
        <w:t>.  </w:t>
      </w:r>
      <w:r w:rsidRPr="00EB2A42">
        <w:t>The Court notes that this complaint is not manifestly ill-founded within the meaning of Article 35 § 3 of the Convention. It further notes that it is not inadmissible on any other grounds. It must therefore be declared admissible.</w:t>
      </w:r>
    </w:p>
    <w:p w:rsidR="005537C2" w:rsidRDefault="005537C2" w:rsidP="005537C2">
      <w:pPr>
        <w:pStyle w:val="JuHA"/>
        <w:numPr>
          <w:ilvl w:val="0"/>
          <w:numId w:val="4"/>
        </w:numPr>
      </w:pPr>
      <w:r w:rsidRPr="00283946">
        <w:t>Merits</w:t>
      </w:r>
    </w:p>
    <w:p w:rsidR="005537C2" w:rsidRDefault="005537C2" w:rsidP="005537C2">
      <w:pPr>
        <w:pStyle w:val="JuPara"/>
      </w:pPr>
      <w:r>
        <w:fldChar w:fldCharType="begin"/>
      </w:r>
      <w:r>
        <w:instrText xml:space="preserve"> SEQ level0 \*arabic </w:instrText>
      </w:r>
      <w:r>
        <w:fldChar w:fldCharType="separate"/>
      </w:r>
      <w:r w:rsidR="00B70C7D">
        <w:rPr>
          <w:noProof/>
        </w:rPr>
        <w:t>43</w:t>
      </w:r>
      <w:r>
        <w:fldChar w:fldCharType="end"/>
      </w:r>
      <w:r>
        <w:t>.  </w:t>
      </w:r>
      <w:r w:rsidRPr="00283946">
        <w:t>The period to be taken into consideration</w:t>
      </w:r>
      <w:r>
        <w:t xml:space="preserve"> with respect to criminal </w:t>
      </w:r>
      <w:r w:rsidRPr="00460096">
        <w:t>proceedings began on 30 August 1998 and ended on 20 August 2004. It thus lasted five years and eleven months for three levels of jurisdiction.</w:t>
      </w:r>
    </w:p>
    <w:p w:rsidR="0042512C" w:rsidRDefault="005537C2" w:rsidP="005537C2">
      <w:pPr>
        <w:pStyle w:val="JuPara"/>
      </w:pPr>
      <w:r>
        <w:fldChar w:fldCharType="begin"/>
      </w:r>
      <w:r>
        <w:instrText xml:space="preserve"> SEQ level0 \*arabic </w:instrText>
      </w:r>
      <w:r>
        <w:fldChar w:fldCharType="separate"/>
      </w:r>
      <w:r w:rsidR="00B70C7D">
        <w:rPr>
          <w:noProof/>
        </w:rPr>
        <w:t>44</w:t>
      </w:r>
      <w:r>
        <w:fldChar w:fldCharType="end"/>
      </w:r>
      <w:r>
        <w:t>.  The Government considered that the length of the criminal proceedings was not excessive and that even if it has taken the trial court two years and four months to commence the adjudication of the criminal case, this delay could not be attributed solely to the national authorities.</w:t>
      </w:r>
    </w:p>
    <w:p w:rsidR="005537C2" w:rsidRDefault="005537C2" w:rsidP="005537C2">
      <w:pPr>
        <w:pStyle w:val="JuPara"/>
      </w:pPr>
      <w:r>
        <w:fldChar w:fldCharType="begin"/>
      </w:r>
      <w:r>
        <w:instrText xml:space="preserve"> SEQ level0 \*arabic </w:instrText>
      </w:r>
      <w:r>
        <w:fldChar w:fldCharType="separate"/>
      </w:r>
      <w:r w:rsidR="00B70C7D">
        <w:rPr>
          <w:noProof/>
        </w:rPr>
        <w:t>45</w:t>
      </w:r>
      <w:r>
        <w:fldChar w:fldCharType="end"/>
      </w:r>
      <w:r>
        <w:t xml:space="preserve">.  The Court </w:t>
      </w:r>
      <w:r w:rsidRPr="00283946">
        <w:t xml:space="preserve">reiterates that the reasonableness of the length of proceedings must be assessed in the light of the circumstances of the case and with reference to the following criteria: the complexity of the case, the conduct of the applicant and the relevant authorities (see, among many other authorities, </w:t>
      </w:r>
      <w:r w:rsidRPr="00283946">
        <w:rPr>
          <w:i/>
        </w:rPr>
        <w:t>Pélissier and Sassi v. France</w:t>
      </w:r>
      <w:r w:rsidRPr="00283946">
        <w:t xml:space="preserve"> [GC], no. 25444/94, § 67, ECHR 1999-II)</w:t>
      </w:r>
      <w:r>
        <w:t>.</w:t>
      </w:r>
    </w:p>
    <w:p w:rsidR="0042512C" w:rsidRDefault="005537C2" w:rsidP="005537C2">
      <w:pPr>
        <w:pStyle w:val="JuPara"/>
        <w:rPr>
          <w:snapToGrid w:val="0"/>
          <w:lang w:eastAsia="en-US"/>
        </w:rPr>
      </w:pPr>
      <w:r>
        <w:fldChar w:fldCharType="begin"/>
      </w:r>
      <w:r>
        <w:instrText xml:space="preserve"> SEQ level0 \*arabic </w:instrText>
      </w:r>
      <w:r>
        <w:fldChar w:fldCharType="separate"/>
      </w:r>
      <w:r w:rsidR="00B70C7D">
        <w:rPr>
          <w:noProof/>
        </w:rPr>
        <w:t>46</w:t>
      </w:r>
      <w:r>
        <w:fldChar w:fldCharType="end"/>
      </w:r>
      <w:r>
        <w:t>.  In addition to the fact that the particular criminal case was of certain complexity, the Court also notes that on at least two occasions the delays in the proceedings could be to some extent attributable to the applicant or his co-</w:t>
      </w:r>
      <w:r w:rsidRPr="00D17890">
        <w:t>accused (see paragraphs 1</w:t>
      </w:r>
      <w:r>
        <w:t>1</w:t>
      </w:r>
      <w:r w:rsidRPr="00D17890">
        <w:t xml:space="preserve"> and 1</w:t>
      </w:r>
      <w:r>
        <w:t>3</w:t>
      </w:r>
      <w:r w:rsidRPr="00D17890">
        <w:t xml:space="preserve"> above). It</w:t>
      </w:r>
      <w:r>
        <w:t xml:space="preserve"> must nevertheless be noted that after the applicant</w:t>
      </w:r>
      <w:r w:rsidR="0042512C">
        <w:t>’</w:t>
      </w:r>
      <w:r>
        <w:t>s lawyer had requested the postponement of the first hearing, the next hearing was scheduled to take place ten months later. The Court also notes that the applicant</w:t>
      </w:r>
      <w:r w:rsidR="0042512C">
        <w:t>’</w:t>
      </w:r>
      <w:r>
        <w:t xml:space="preserve">s co-accused cannot be blamed for exercising his defence rights (see, amongst others, </w:t>
      </w:r>
      <w:r>
        <w:rPr>
          <w:i/>
          <w:lang w:eastAsia="en-US"/>
        </w:rPr>
        <w:t>Svetlana Orlova v. </w:t>
      </w:r>
      <w:r w:rsidRPr="00ED5F44">
        <w:rPr>
          <w:i/>
          <w:lang w:eastAsia="en-US"/>
        </w:rPr>
        <w:t>Russia</w:t>
      </w:r>
      <w:r w:rsidRPr="00ED5F44">
        <w:rPr>
          <w:lang w:eastAsia="en-US"/>
        </w:rPr>
        <w:t>, no. 4487/04</w:t>
      </w:r>
      <w:r>
        <w:rPr>
          <w:snapToGrid w:val="0"/>
          <w:lang w:eastAsia="en-US"/>
        </w:rPr>
        <w:t>, § 46</w:t>
      </w:r>
      <w:r w:rsidRPr="00ED5F44">
        <w:rPr>
          <w:snapToGrid w:val="0"/>
          <w:lang w:eastAsia="en-US"/>
        </w:rPr>
        <w:t>, 30 July 2009</w:t>
      </w:r>
      <w:r>
        <w:rPr>
          <w:snapToGrid w:val="0"/>
          <w:lang w:eastAsia="en-US"/>
        </w:rPr>
        <w:t>). Besides, the delay of four months resulting from the above stay of the proceedings is not significant.</w:t>
      </w:r>
    </w:p>
    <w:p w:rsidR="005537C2" w:rsidRDefault="005537C2" w:rsidP="005537C2">
      <w:pPr>
        <w:pStyle w:val="JuPara"/>
      </w:pPr>
      <w:r>
        <w:rPr>
          <w:snapToGrid w:val="0"/>
          <w:lang w:eastAsia="en-US"/>
        </w:rPr>
        <w:fldChar w:fldCharType="begin"/>
      </w:r>
      <w:r>
        <w:rPr>
          <w:snapToGrid w:val="0"/>
          <w:lang w:eastAsia="en-US"/>
        </w:rPr>
        <w:instrText xml:space="preserve"> SEQ level0 \*arabic </w:instrText>
      </w:r>
      <w:r>
        <w:rPr>
          <w:snapToGrid w:val="0"/>
          <w:lang w:eastAsia="en-US"/>
        </w:rPr>
        <w:fldChar w:fldCharType="separate"/>
      </w:r>
      <w:r w:rsidR="00B70C7D">
        <w:rPr>
          <w:noProof/>
          <w:snapToGrid w:val="0"/>
          <w:lang w:eastAsia="en-US"/>
        </w:rPr>
        <w:t>47</w:t>
      </w:r>
      <w:r>
        <w:rPr>
          <w:snapToGrid w:val="0"/>
          <w:lang w:eastAsia="en-US"/>
        </w:rPr>
        <w:fldChar w:fldCharType="end"/>
      </w:r>
      <w:r>
        <w:rPr>
          <w:snapToGrid w:val="0"/>
          <w:lang w:eastAsia="en-US"/>
        </w:rPr>
        <w:t xml:space="preserve">.  Even assuming that the aforementioned two periods of inactivity of fourteen months were not attributable to the State but only to the accused, </w:t>
      </w:r>
      <w:r>
        <w:t xml:space="preserve">the Court is of the opinion that the most significant delays were caused by the fact that the hearings were not fixed at regular intervals. In particular, even though the case was sent to trial within a reasonable time, the first hearing was scheduled to take place on 3 January 2002, namely one year and seven months later, without this delay having been </w:t>
      </w:r>
      <w:r w:rsidRPr="00DA1788">
        <w:rPr>
          <w:bCs/>
        </w:rPr>
        <w:t>commented</w:t>
      </w:r>
      <w:r w:rsidRPr="00DA1788">
        <w:t xml:space="preserve"> </w:t>
      </w:r>
      <w:r w:rsidRPr="00DA1788">
        <w:rPr>
          <w:bCs/>
        </w:rPr>
        <w:t>on</w:t>
      </w:r>
      <w:r>
        <w:t xml:space="preserve"> by the Government.</w:t>
      </w:r>
    </w:p>
    <w:p w:rsidR="005537C2" w:rsidRDefault="005537C2" w:rsidP="005537C2">
      <w:pPr>
        <w:pStyle w:val="JuPara"/>
      </w:pPr>
      <w:r>
        <w:fldChar w:fldCharType="begin"/>
      </w:r>
      <w:r>
        <w:instrText xml:space="preserve"> SEQ level0 \*arabic </w:instrText>
      </w:r>
      <w:r>
        <w:fldChar w:fldCharType="separate"/>
      </w:r>
      <w:r w:rsidR="00B70C7D">
        <w:rPr>
          <w:noProof/>
        </w:rPr>
        <w:t>48</w:t>
      </w:r>
      <w:r>
        <w:fldChar w:fldCharType="end"/>
      </w:r>
      <w:r>
        <w:t xml:space="preserve">.  Moreover, even if the Government invited the Court to take into consideration that a judge was allowed to hear only one criminal case at a time, this argument has been already dismissed in examining identical complaints (see, amongst other, </w:t>
      </w:r>
      <w:r>
        <w:rPr>
          <w:rStyle w:val="ju-005fpara--char"/>
          <w:i/>
          <w:iCs/>
        </w:rPr>
        <w:t>Estrikh v. Latvia</w:t>
      </w:r>
      <w:r>
        <w:t xml:space="preserve">, cited above, </w:t>
      </w:r>
      <w:r w:rsidRPr="00D17890">
        <w:t>§ 138,).</w:t>
      </w:r>
    </w:p>
    <w:p w:rsidR="005537C2" w:rsidRDefault="005537C2" w:rsidP="005537C2">
      <w:pPr>
        <w:pStyle w:val="JuPara"/>
      </w:pPr>
      <w:r w:rsidRPr="00283946">
        <w:fldChar w:fldCharType="begin"/>
      </w:r>
      <w:r w:rsidRPr="00283946">
        <w:instrText xml:space="preserve"> SEQ level0 \*arabic </w:instrText>
      </w:r>
      <w:r w:rsidRPr="00283946">
        <w:fldChar w:fldCharType="separate"/>
      </w:r>
      <w:r w:rsidR="00B70C7D">
        <w:rPr>
          <w:noProof/>
        </w:rPr>
        <w:t>49</w:t>
      </w:r>
      <w:r w:rsidRPr="00283946">
        <w:fldChar w:fldCharType="end"/>
      </w:r>
      <w:r w:rsidRPr="00283946">
        <w:t>.  </w:t>
      </w:r>
      <w:r>
        <w:t>Making an overall assessment of the complexity of the case, the conduct of the parties, the fact that throughout the criminal proceedings the applicant was detained on remand, as well as the total length of the proceedings, the Court considers that the latter could not be considered reasonable. There has, therefore, been a violation of Article 6 § 1 of the Convention.</w:t>
      </w:r>
    </w:p>
    <w:p w:rsidR="005537C2" w:rsidRPr="00A337E7" w:rsidRDefault="005537C2" w:rsidP="005537C2">
      <w:pPr>
        <w:pStyle w:val="JuHIRoman"/>
      </w:pPr>
      <w:r>
        <w:t>III</w:t>
      </w:r>
      <w:r w:rsidRPr="00A337E7">
        <w:t xml:space="preserve">. ALLEGED VIOLATION OF ARTICLE </w:t>
      </w:r>
      <w:r>
        <w:t>8</w:t>
      </w:r>
      <w:r w:rsidRPr="00A337E7">
        <w:t xml:space="preserve"> OF THE CONVENTION</w:t>
      </w:r>
    </w:p>
    <w:p w:rsidR="005537C2" w:rsidRDefault="005537C2" w:rsidP="005537C2">
      <w:pPr>
        <w:pStyle w:val="JuPara"/>
        <w:outlineLvl w:val="0"/>
      </w:pPr>
      <w:r w:rsidRPr="00A337E7">
        <w:fldChar w:fldCharType="begin"/>
      </w:r>
      <w:r w:rsidRPr="00A337E7">
        <w:instrText xml:space="preserve"> SEQ level0 \*arabic </w:instrText>
      </w:r>
      <w:r w:rsidRPr="00A337E7">
        <w:fldChar w:fldCharType="separate"/>
      </w:r>
      <w:r w:rsidR="00B70C7D">
        <w:rPr>
          <w:noProof/>
        </w:rPr>
        <w:t>50</w:t>
      </w:r>
      <w:r w:rsidRPr="00A337E7">
        <w:fldChar w:fldCharType="end"/>
      </w:r>
      <w:r w:rsidRPr="00A337E7">
        <w:t xml:space="preserve">.  The applicant further complained </w:t>
      </w:r>
      <w:r w:rsidRPr="00284EF2">
        <w:t>of a violation of his right</w:t>
      </w:r>
      <w:r>
        <w:t xml:space="preserve"> to respect for his family life in that during his detention on remand he was denied the right to correspondence with his family members. </w:t>
      </w:r>
      <w:r w:rsidRPr="00284EF2">
        <w:t>He relied on Article 8 of the Convention.</w:t>
      </w:r>
    </w:p>
    <w:p w:rsidR="005537C2" w:rsidRDefault="005537C2" w:rsidP="005537C2">
      <w:pPr>
        <w:pStyle w:val="JuQuot"/>
      </w:pPr>
      <w:r>
        <w:t>“1. Everyone has the right to respect for his private and family life, his home and his correspondence.</w:t>
      </w:r>
    </w:p>
    <w:p w:rsidR="005537C2" w:rsidRDefault="005537C2" w:rsidP="005537C2">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5537C2" w:rsidRDefault="005537C2" w:rsidP="005537C2">
      <w:pPr>
        <w:pStyle w:val="JuPara"/>
      </w:pPr>
      <w:r w:rsidRPr="00284EF2">
        <w:fldChar w:fldCharType="begin"/>
      </w:r>
      <w:r w:rsidRPr="00284EF2">
        <w:instrText xml:space="preserve"> SEQ level0 \*arabic </w:instrText>
      </w:r>
      <w:r w:rsidRPr="00284EF2">
        <w:fldChar w:fldCharType="separate"/>
      </w:r>
      <w:r w:rsidR="00B70C7D">
        <w:rPr>
          <w:noProof/>
        </w:rPr>
        <w:t>51</w:t>
      </w:r>
      <w:r w:rsidRPr="00284EF2">
        <w:fldChar w:fldCharType="end"/>
      </w:r>
      <w:r w:rsidRPr="00284EF2">
        <w:t xml:space="preserve">.  The Government </w:t>
      </w:r>
      <w:r>
        <w:t>argued that that this part of the application was out of time.</w:t>
      </w:r>
    </w:p>
    <w:p w:rsidR="0042512C" w:rsidRDefault="005537C2" w:rsidP="005537C2">
      <w:pPr>
        <w:pStyle w:val="JuPara"/>
      </w:pPr>
      <w:r>
        <w:fldChar w:fldCharType="begin"/>
      </w:r>
      <w:r>
        <w:instrText xml:space="preserve"> SEQ level0 \*arabic </w:instrText>
      </w:r>
      <w:r>
        <w:fldChar w:fldCharType="separate"/>
      </w:r>
      <w:r w:rsidR="00B70C7D">
        <w:rPr>
          <w:noProof/>
        </w:rPr>
        <w:t>52</w:t>
      </w:r>
      <w:r>
        <w:fldChar w:fldCharType="end"/>
      </w:r>
      <w:r>
        <w:t xml:space="preserve">.  The Court agrees that since May 2000 the applicant had been granted family visits and that since 31 August 2000 he was authorized to exchange correspondence with his family </w:t>
      </w:r>
      <w:r w:rsidRPr="00D17890">
        <w:t>members (see paragraph 2</w:t>
      </w:r>
      <w:r>
        <w:t>4</w:t>
      </w:r>
      <w:r w:rsidRPr="00D17890">
        <w:t xml:space="preserve"> a</w:t>
      </w:r>
      <w:r>
        <w:t xml:space="preserve">bove). Moreover it is not aware of any </w:t>
      </w:r>
      <w:r w:rsidRPr="00D17890">
        <w:t>circumstances which</w:t>
      </w:r>
      <w:r>
        <w:t xml:space="preserve"> could have interrupted the running of the six-month period, which has thus expired in February 2001 (contrast </w:t>
      </w:r>
      <w:r>
        <w:rPr>
          <w:i/>
        </w:rPr>
        <w:t>Hilton v. United Kingdom</w:t>
      </w:r>
      <w:r>
        <w:t>, no. 12015/86, Commission decision of 6 July 1988).</w:t>
      </w:r>
    </w:p>
    <w:p w:rsidR="005537C2" w:rsidRDefault="005537C2" w:rsidP="005537C2">
      <w:pPr>
        <w:pStyle w:val="JuPara"/>
      </w:pPr>
      <w:r>
        <w:fldChar w:fldCharType="begin"/>
      </w:r>
      <w:r>
        <w:instrText xml:space="preserve"> SEQ level0 \*arabic </w:instrText>
      </w:r>
      <w:r>
        <w:fldChar w:fldCharType="separate"/>
      </w:r>
      <w:r w:rsidR="00B70C7D">
        <w:rPr>
          <w:noProof/>
        </w:rPr>
        <w:t>53</w:t>
      </w:r>
      <w:r>
        <w:fldChar w:fldCharType="end"/>
      </w:r>
      <w:r>
        <w:t>.  Since the applicant submitted the above complaint only in June 2001, it follows that it is inadmissible under Article 35 § 1 as submitted out of time.</w:t>
      </w:r>
    </w:p>
    <w:p w:rsidR="005537C2" w:rsidRPr="00A337E7" w:rsidRDefault="005537C2" w:rsidP="005537C2">
      <w:pPr>
        <w:pStyle w:val="JuHIRoman"/>
      </w:pPr>
      <w:r>
        <w:t>IV</w:t>
      </w:r>
      <w:r w:rsidRPr="00A337E7">
        <w:t>. OTHER ALLEGED VIOLATIONS OF THE CONVENTION</w:t>
      </w:r>
    </w:p>
    <w:p w:rsidR="0042512C" w:rsidRDefault="005537C2" w:rsidP="005537C2">
      <w:pPr>
        <w:pStyle w:val="JuPara"/>
      </w:pPr>
      <w:r w:rsidRPr="00F07B9F">
        <w:fldChar w:fldCharType="begin"/>
      </w:r>
      <w:r w:rsidRPr="00F07B9F">
        <w:instrText xml:space="preserve"> SEQ level0 \*arabic </w:instrText>
      </w:r>
      <w:r w:rsidRPr="00F07B9F">
        <w:fldChar w:fldCharType="separate"/>
      </w:r>
      <w:r w:rsidR="00B70C7D">
        <w:rPr>
          <w:noProof/>
        </w:rPr>
        <w:t>54</w:t>
      </w:r>
      <w:r w:rsidRPr="00F07B9F">
        <w:fldChar w:fldCharType="end"/>
      </w:r>
      <w:r>
        <w:t>. </w:t>
      </w:r>
      <w:r w:rsidRPr="00F07B9F">
        <w:t> </w:t>
      </w:r>
      <w:r>
        <w:t>Lastly, t</w:t>
      </w:r>
      <w:r w:rsidRPr="00F07B9F">
        <w:t>he applicant also alleged violations under various other articles of the Convention.</w:t>
      </w:r>
    </w:p>
    <w:p w:rsidR="005537C2" w:rsidRPr="00F07B9F" w:rsidRDefault="005537C2" w:rsidP="005537C2">
      <w:pPr>
        <w:pStyle w:val="JuPara"/>
      </w:pPr>
      <w:r w:rsidRPr="00F07B9F">
        <w:fldChar w:fldCharType="begin"/>
      </w:r>
      <w:r w:rsidRPr="00F07B9F">
        <w:instrText xml:space="preserve"> SEQ level0 \*arabic </w:instrText>
      </w:r>
      <w:r w:rsidRPr="00F07B9F">
        <w:fldChar w:fldCharType="separate"/>
      </w:r>
      <w:r w:rsidR="00B70C7D">
        <w:rPr>
          <w:noProof/>
        </w:rPr>
        <w:t>55</w:t>
      </w:r>
      <w:r w:rsidRPr="00F07B9F">
        <w:fldChar w:fldCharType="end"/>
      </w:r>
      <w:r w:rsidRPr="00F07B9F">
        <w:t>.  In the light of all the material in its possession, and in so far as the matters complained of are within its competence, the Court considers that the remainder of the application does not disclose any appearance of a violation of any of the above Articles of the Convention. It follows that these complaints are inadmissible under Article 35 § 3 as manifestly ill-founded and must be rejected pursuant to Article 35 § 4 of the Convention</w:t>
      </w:r>
    </w:p>
    <w:p w:rsidR="005537C2" w:rsidRPr="00A337E7" w:rsidRDefault="005537C2" w:rsidP="005537C2">
      <w:pPr>
        <w:pStyle w:val="JuHIRoman"/>
      </w:pPr>
      <w:r>
        <w:t>V</w:t>
      </w:r>
      <w:r w:rsidRPr="00A337E7">
        <w:t>.  APPLICATION OF ARTICLE 41 OF THE CONVENTION</w:t>
      </w:r>
    </w:p>
    <w:p w:rsidR="005537C2" w:rsidRPr="00A337E7" w:rsidRDefault="005537C2" w:rsidP="005537C2">
      <w:pPr>
        <w:pStyle w:val="JuPara"/>
        <w:keepNext/>
        <w:keepLines/>
      </w:pPr>
      <w:r w:rsidRPr="00A337E7">
        <w:fldChar w:fldCharType="begin"/>
      </w:r>
      <w:r w:rsidRPr="00A337E7">
        <w:instrText xml:space="preserve"> SEQ level0 \*arabic </w:instrText>
      </w:r>
      <w:r w:rsidRPr="00A337E7">
        <w:fldChar w:fldCharType="separate"/>
      </w:r>
      <w:r w:rsidR="00B70C7D">
        <w:rPr>
          <w:noProof/>
        </w:rPr>
        <w:t>56</w:t>
      </w:r>
      <w:r w:rsidRPr="00A337E7">
        <w:fldChar w:fldCharType="end"/>
      </w:r>
      <w:r w:rsidRPr="00A337E7">
        <w:t>.  Article 41 of the Convention provides:</w:t>
      </w:r>
    </w:p>
    <w:p w:rsidR="005537C2" w:rsidRPr="00A337E7" w:rsidRDefault="005537C2" w:rsidP="005537C2">
      <w:pPr>
        <w:pStyle w:val="JuQuot"/>
        <w:keepNext/>
        <w:keepLines/>
      </w:pPr>
      <w:r w:rsidRPr="00A337E7">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5537C2" w:rsidRDefault="005537C2" w:rsidP="005537C2">
      <w:pPr>
        <w:pStyle w:val="JuPara"/>
        <w:rPr>
          <w:rStyle w:val="Strong"/>
          <w:b w:val="0"/>
        </w:rPr>
      </w:pPr>
      <w:r w:rsidRPr="00A337E7">
        <w:fldChar w:fldCharType="begin"/>
      </w:r>
      <w:r w:rsidRPr="00A337E7">
        <w:instrText xml:space="preserve"> SEQ level0 \*arabic </w:instrText>
      </w:r>
      <w:r w:rsidRPr="00A337E7">
        <w:fldChar w:fldCharType="separate"/>
      </w:r>
      <w:r w:rsidR="00B70C7D">
        <w:rPr>
          <w:noProof/>
        </w:rPr>
        <w:t>57</w:t>
      </w:r>
      <w:r w:rsidRPr="00A337E7">
        <w:fldChar w:fldCharType="end"/>
      </w:r>
      <w:r w:rsidRPr="00A337E7">
        <w:t>.  </w:t>
      </w:r>
      <w:r w:rsidRPr="00482067">
        <w:rPr>
          <w:rStyle w:val="Strong"/>
          <w:b w:val="0"/>
        </w:rPr>
        <w:t>On his application form the applicant stated that he</w:t>
      </w:r>
      <w:r>
        <w:rPr>
          <w:rStyle w:val="Strong"/>
          <w:b w:val="0"/>
        </w:rPr>
        <w:t xml:space="preserve"> estimated his pecuniary damage </w:t>
      </w:r>
      <w:r w:rsidRPr="00482067">
        <w:rPr>
          <w:rStyle w:val="Strong"/>
          <w:b w:val="0"/>
        </w:rPr>
        <w:t xml:space="preserve">and costs and expenses at 10,000 </w:t>
      </w:r>
      <w:smartTag w:uri="urn:schemas-microsoft-com:office:smarttags" w:element="place">
        <w:smartTag w:uri="urn:schemas-microsoft-com:office:smarttags" w:element="country-region">
          <w:r w:rsidRPr="00482067">
            <w:rPr>
              <w:rStyle w:val="Strong"/>
              <w:b w:val="0"/>
            </w:rPr>
            <w:t>United States</w:t>
          </w:r>
        </w:smartTag>
      </w:smartTag>
      <w:r>
        <w:rPr>
          <w:rStyle w:val="Strong"/>
          <w:b w:val="0"/>
        </w:rPr>
        <w:t xml:space="preserve"> dollars </w:t>
      </w:r>
      <w:r w:rsidRPr="00482067">
        <w:rPr>
          <w:rStyle w:val="Strong"/>
          <w:b w:val="0"/>
        </w:rPr>
        <w:t xml:space="preserve">(USD). However, after </w:t>
      </w:r>
      <w:r>
        <w:rPr>
          <w:rStyle w:val="Strong"/>
          <w:b w:val="0"/>
        </w:rPr>
        <w:t xml:space="preserve">the </w:t>
      </w:r>
      <w:r w:rsidRPr="00482067">
        <w:rPr>
          <w:rStyle w:val="Strong"/>
          <w:b w:val="0"/>
        </w:rPr>
        <w:t>communication of the application he failed to submit a claim, within the time allowed to him for that purpose, under any head of damage or in respect of costs and expenses.</w:t>
      </w:r>
    </w:p>
    <w:p w:rsidR="005537C2" w:rsidRDefault="005537C2" w:rsidP="005537C2">
      <w:pPr>
        <w:pStyle w:val="JuPara"/>
        <w:rPr>
          <w:rStyle w:val="Strong"/>
          <w:b w:val="0"/>
        </w:rPr>
      </w:pPr>
      <w:r>
        <w:rPr>
          <w:rStyle w:val="Strong"/>
          <w:b w:val="0"/>
        </w:rPr>
        <w:fldChar w:fldCharType="begin"/>
      </w:r>
      <w:r>
        <w:rPr>
          <w:rStyle w:val="Strong"/>
          <w:b w:val="0"/>
        </w:rPr>
        <w:instrText xml:space="preserve"> SEQ level0 \*arabic </w:instrText>
      </w:r>
      <w:r>
        <w:rPr>
          <w:rStyle w:val="Strong"/>
          <w:b w:val="0"/>
        </w:rPr>
        <w:fldChar w:fldCharType="separate"/>
      </w:r>
      <w:r w:rsidR="00B70C7D">
        <w:rPr>
          <w:rStyle w:val="Strong"/>
          <w:b w:val="0"/>
          <w:noProof/>
        </w:rPr>
        <w:t>58</w:t>
      </w:r>
      <w:r>
        <w:rPr>
          <w:rStyle w:val="Strong"/>
          <w:b w:val="0"/>
        </w:rPr>
        <w:fldChar w:fldCharType="end"/>
      </w:r>
      <w:r>
        <w:rPr>
          <w:rStyle w:val="Strong"/>
          <w:b w:val="0"/>
        </w:rPr>
        <w:t>.  </w:t>
      </w:r>
      <w:r w:rsidRPr="00482067">
        <w:rPr>
          <w:rStyle w:val="Strong"/>
          <w:b w:val="0"/>
        </w:rPr>
        <w:t xml:space="preserve">The Court reiterates that it does not make any award by way of just satisfaction where quantified claims and the relevant documentation have not been submitted within the time-limit fixed for that purpose </w:t>
      </w:r>
      <w:bookmarkStart w:id="4" w:name="01000001"/>
      <w:bookmarkEnd w:id="4"/>
      <w:r w:rsidRPr="00482067">
        <w:rPr>
          <w:rStyle w:val="Strong"/>
          <w:b w:val="0"/>
        </w:rPr>
        <w:t xml:space="preserve">by </w:t>
      </w:r>
      <w:bookmarkStart w:id="5" w:name="HIT3"/>
      <w:bookmarkEnd w:id="5"/>
      <w:r w:rsidRPr="00482067">
        <w:rPr>
          <w:rStyle w:val="Strong"/>
          <w:b w:val="0"/>
        </w:rPr>
        <w:t>Rule </w:t>
      </w:r>
      <w:bookmarkStart w:id="6" w:name="01000002"/>
      <w:bookmarkStart w:id="7" w:name="HIT4"/>
      <w:bookmarkEnd w:id="6"/>
      <w:bookmarkEnd w:id="7"/>
      <w:r w:rsidRPr="00482067">
        <w:rPr>
          <w:rStyle w:val="Strong"/>
          <w:b w:val="0"/>
        </w:rPr>
        <w:t xml:space="preserve">60 § 1 of the Rules of Court, even if the applicant had indicated his claims at an earlier stage of the proceedings (see </w:t>
      </w:r>
      <w:r w:rsidRPr="00482067">
        <w:rPr>
          <w:rStyle w:val="ju-005fpara-002cleft-002cfirst-0020line-003a-0020-00200-0020cm--char"/>
          <w:bCs/>
          <w:i/>
          <w:iCs/>
        </w:rPr>
        <w:t>Fadıl Yılmaz v. Turkey</w:t>
      </w:r>
      <w:r w:rsidRPr="00482067">
        <w:rPr>
          <w:rStyle w:val="Strong"/>
          <w:b w:val="0"/>
        </w:rPr>
        <w:t>, no. 28171/02, § 26, 21 July 2005).</w:t>
      </w:r>
    </w:p>
    <w:p w:rsidR="005537C2" w:rsidRPr="00482067" w:rsidRDefault="005537C2" w:rsidP="005537C2">
      <w:pPr>
        <w:pStyle w:val="JuPara"/>
        <w:rPr>
          <w:rStyle w:val="Strong"/>
          <w:b w:val="0"/>
        </w:rPr>
      </w:pPr>
      <w:r>
        <w:rPr>
          <w:rStyle w:val="Strong"/>
          <w:b w:val="0"/>
        </w:rPr>
        <w:fldChar w:fldCharType="begin"/>
      </w:r>
      <w:r>
        <w:rPr>
          <w:rStyle w:val="Strong"/>
          <w:b w:val="0"/>
        </w:rPr>
        <w:instrText xml:space="preserve"> SEQ level0 \*arabic </w:instrText>
      </w:r>
      <w:r>
        <w:rPr>
          <w:rStyle w:val="Strong"/>
          <w:b w:val="0"/>
        </w:rPr>
        <w:fldChar w:fldCharType="separate"/>
      </w:r>
      <w:r w:rsidR="00B70C7D">
        <w:rPr>
          <w:rStyle w:val="Strong"/>
          <w:b w:val="0"/>
          <w:noProof/>
        </w:rPr>
        <w:t>59</w:t>
      </w:r>
      <w:r>
        <w:rPr>
          <w:rStyle w:val="Strong"/>
          <w:b w:val="0"/>
        </w:rPr>
        <w:fldChar w:fldCharType="end"/>
      </w:r>
      <w:r>
        <w:rPr>
          <w:rStyle w:val="Strong"/>
          <w:b w:val="0"/>
        </w:rPr>
        <w:t>.  </w:t>
      </w:r>
      <w:r w:rsidRPr="00482067">
        <w:rPr>
          <w:rStyle w:val="Strong"/>
          <w:b w:val="0"/>
        </w:rPr>
        <w:t>In accordance with these principles, the Court finds that there is no reason to make any award by way of just satisfaction in the present case</w:t>
      </w:r>
      <w:r>
        <w:rPr>
          <w:rStyle w:val="Strong"/>
          <w:b w:val="0"/>
        </w:rPr>
        <w:t>.</w:t>
      </w:r>
    </w:p>
    <w:p w:rsidR="005537C2" w:rsidRPr="00A337E7" w:rsidRDefault="005537C2" w:rsidP="005537C2">
      <w:pPr>
        <w:pStyle w:val="JuHHead"/>
      </w:pPr>
      <w:r w:rsidRPr="00F71150">
        <w:t>FOR THESE REASONS, THE COURT UNANIMOUSLY</w:t>
      </w:r>
    </w:p>
    <w:p w:rsidR="005537C2" w:rsidRPr="00A337E7" w:rsidRDefault="005537C2" w:rsidP="005537C2">
      <w:pPr>
        <w:pStyle w:val="JuList"/>
      </w:pPr>
      <w:r w:rsidRPr="00A337E7">
        <w:t>1.  </w:t>
      </w:r>
      <w:r w:rsidRPr="00A337E7">
        <w:rPr>
          <w:i/>
        </w:rPr>
        <w:t>Declares</w:t>
      </w:r>
      <w:r w:rsidRPr="00A337E7">
        <w:t xml:space="preserve"> </w:t>
      </w:r>
      <w:r>
        <w:t>admissible:</w:t>
      </w:r>
    </w:p>
    <w:p w:rsidR="005537C2" w:rsidRDefault="005537C2" w:rsidP="005537C2">
      <w:pPr>
        <w:pStyle w:val="JuLista"/>
      </w:pPr>
      <w:r>
        <w:t>(a) </w:t>
      </w:r>
      <w:r w:rsidRPr="00A337E7">
        <w:t>the complaint</w:t>
      </w:r>
      <w:r>
        <w:t xml:space="preserve"> under Article 5 § 3</w:t>
      </w:r>
      <w:r w:rsidRPr="00A337E7">
        <w:t xml:space="preserve"> concerning </w:t>
      </w:r>
      <w:r>
        <w:t>the excessive length of the applicant</w:t>
      </w:r>
      <w:r w:rsidR="0042512C">
        <w:t>’</w:t>
      </w:r>
      <w:r>
        <w:t>s detention on remand;</w:t>
      </w:r>
    </w:p>
    <w:p w:rsidR="005537C2" w:rsidRDefault="005537C2" w:rsidP="005537C2">
      <w:pPr>
        <w:pStyle w:val="JuLista"/>
      </w:pPr>
      <w:r>
        <w:t>(b) the complaint under Article 6 § 1 concerning the unreasonable length of criminal proceedings;</w:t>
      </w:r>
    </w:p>
    <w:p w:rsidR="005537C2" w:rsidRDefault="005537C2" w:rsidP="005537C2">
      <w:pPr>
        <w:pStyle w:val="JuLista"/>
        <w:rPr>
          <w:rStyle w:val="JuHaChar0"/>
        </w:rPr>
      </w:pPr>
    </w:p>
    <w:p w:rsidR="005537C2" w:rsidRPr="00A337E7" w:rsidRDefault="005537C2" w:rsidP="005537C2">
      <w:pPr>
        <w:pStyle w:val="JuList"/>
      </w:pPr>
      <w:r>
        <w:t>2.  </w:t>
      </w:r>
      <w:r w:rsidRPr="00A337E7">
        <w:rPr>
          <w:i/>
        </w:rPr>
        <w:t>Declares</w:t>
      </w:r>
      <w:r>
        <w:rPr>
          <w:i/>
        </w:rPr>
        <w:t xml:space="preserve"> </w:t>
      </w:r>
      <w:r w:rsidRPr="00A337E7">
        <w:t>the remainder of the application inadmissible</w:t>
      </w:r>
      <w:r>
        <w:t>;</w:t>
      </w:r>
    </w:p>
    <w:p w:rsidR="005537C2" w:rsidRPr="00A337E7" w:rsidRDefault="005537C2" w:rsidP="005537C2">
      <w:pPr>
        <w:pStyle w:val="JuList"/>
      </w:pPr>
    </w:p>
    <w:p w:rsidR="005537C2" w:rsidRPr="00A337E7" w:rsidRDefault="005537C2" w:rsidP="005537C2">
      <w:pPr>
        <w:pStyle w:val="JuList"/>
      </w:pPr>
      <w:r>
        <w:t>3</w:t>
      </w:r>
      <w:r w:rsidRPr="00A337E7">
        <w:t>.  </w:t>
      </w:r>
      <w:r w:rsidRPr="00A337E7">
        <w:rPr>
          <w:i/>
        </w:rPr>
        <w:t>Holds</w:t>
      </w:r>
      <w:r>
        <w:t xml:space="preserve"> </w:t>
      </w:r>
      <w:r w:rsidRPr="00A337E7">
        <w:t>that there has been a violation of Article</w:t>
      </w:r>
      <w:r>
        <w:t xml:space="preserve"> 5 § 3 of the Convention;</w:t>
      </w:r>
    </w:p>
    <w:p w:rsidR="005537C2" w:rsidRPr="00A337E7" w:rsidRDefault="005537C2" w:rsidP="005537C2">
      <w:pPr>
        <w:pStyle w:val="JuList"/>
      </w:pPr>
    </w:p>
    <w:p w:rsidR="005537C2" w:rsidRPr="00A337E7" w:rsidRDefault="005537C2" w:rsidP="005537C2">
      <w:pPr>
        <w:pStyle w:val="JuList"/>
      </w:pPr>
      <w:r>
        <w:t>4</w:t>
      </w:r>
      <w:r w:rsidRPr="00A337E7">
        <w:t>.  </w:t>
      </w:r>
      <w:r w:rsidRPr="00A337E7">
        <w:rPr>
          <w:i/>
        </w:rPr>
        <w:t>Holds</w:t>
      </w:r>
      <w:r w:rsidRPr="00A337E7">
        <w:t xml:space="preserve"> that there has been a violation of Article</w:t>
      </w:r>
      <w:r>
        <w:t xml:space="preserve"> 6 § 1 of the Convention;</w:t>
      </w:r>
    </w:p>
    <w:p w:rsidR="005537C2" w:rsidRPr="00A337E7" w:rsidRDefault="005537C2" w:rsidP="005537C2">
      <w:pPr>
        <w:pStyle w:val="JuList"/>
      </w:pPr>
    </w:p>
    <w:p w:rsidR="005537C2" w:rsidRPr="00482067" w:rsidRDefault="005537C2" w:rsidP="005537C2">
      <w:pPr>
        <w:pStyle w:val="ju-005fpara-002cleft-002cfirst-0020line-003a-0020-00200-0020cm"/>
        <w:jc w:val="both"/>
        <w:rPr>
          <w:rStyle w:val="Strong"/>
          <w:b w:val="0"/>
        </w:rPr>
      </w:pPr>
      <w:r>
        <w:t>5</w:t>
      </w:r>
      <w:r w:rsidRPr="00A337E7">
        <w:t>.  </w:t>
      </w:r>
      <w:r w:rsidRPr="00A337E7">
        <w:rPr>
          <w:i/>
        </w:rPr>
        <w:t>Holds</w:t>
      </w:r>
      <w:r>
        <w:rPr>
          <w:i/>
        </w:rPr>
        <w:t xml:space="preserve"> </w:t>
      </w:r>
      <w:r>
        <w:t>that</w:t>
      </w:r>
      <w:r w:rsidRPr="00482067">
        <w:rPr>
          <w:rStyle w:val="Strong"/>
          <w:b w:val="0"/>
        </w:rPr>
        <w:t xml:space="preserve"> there is no reason to make an award by way of just satisfaction in the present case.</w:t>
      </w:r>
    </w:p>
    <w:p w:rsidR="005537C2" w:rsidRDefault="005537C2" w:rsidP="005537C2">
      <w:pPr>
        <w:pStyle w:val="JuList"/>
      </w:pPr>
    </w:p>
    <w:p w:rsidR="005537C2" w:rsidRPr="00A337E7" w:rsidRDefault="005537C2" w:rsidP="005537C2">
      <w:pPr>
        <w:pStyle w:val="JuPara"/>
      </w:pPr>
      <w:r w:rsidRPr="00A337E7">
        <w:t xml:space="preserve">Done in English, and notified in writing on </w:t>
      </w:r>
      <w:r>
        <w:t>31 May 2011</w:t>
      </w:r>
      <w:r w:rsidRPr="00A337E7">
        <w:t>, pursuant to Rule 77 §§ 2 and 3 of the Rules of Court.</w:t>
      </w:r>
    </w:p>
    <w:p w:rsidR="005537C2" w:rsidRPr="00A337E7" w:rsidRDefault="005537C2" w:rsidP="005537C2">
      <w:pPr>
        <w:pStyle w:val="JuSigned"/>
        <w:keepNext/>
        <w:keepLines/>
      </w:pPr>
      <w:r w:rsidRPr="00A337E7">
        <w:tab/>
        <w:t>Marialena Tsirli</w:t>
      </w:r>
      <w:r w:rsidRPr="00A337E7">
        <w:tab/>
      </w:r>
      <w:r w:rsidRPr="008571AF">
        <w:t>Ján Šikuta</w:t>
      </w:r>
      <w:r w:rsidRPr="00A337E7">
        <w:tab/>
        <w:t xml:space="preserve">Deputy </w:t>
      </w:r>
      <w:r w:rsidRPr="00A337E7">
        <w:rPr>
          <w:iCs/>
        </w:rPr>
        <w:t>Registrar</w:t>
      </w:r>
      <w:r w:rsidRPr="00A337E7">
        <w:tab/>
        <w:t>President</w:t>
      </w:r>
    </w:p>
    <w:p w:rsidR="0079187F" w:rsidRPr="005537C2" w:rsidRDefault="0079187F" w:rsidP="005537C2"/>
    <w:sectPr w:rsidR="0079187F" w:rsidRPr="005537C2" w:rsidSect="00E62D1C">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C2" w:rsidRDefault="005537C2">
      <w:r>
        <w:separator/>
      </w:r>
    </w:p>
  </w:endnote>
  <w:endnote w:type="continuationSeparator" w:id="0">
    <w:p w:rsidR="005537C2" w:rsidRDefault="0055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Default="00553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Default="00553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Pr="00150BFA" w:rsidRDefault="005537C2" w:rsidP="005537C2">
    <w:pPr>
      <w:jc w:val="center"/>
      <w:rPr>
        <w:sz w:val="4"/>
        <w:szCs w:val="4"/>
      </w:rPr>
    </w:pPr>
    <w:r w:rsidRPr="00150BF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5pt;height:32.9pt">
          <v:imagedata r:id="rId1" o:title="DocFooter-03"/>
        </v:shape>
      </w:pict>
    </w:r>
  </w:p>
  <w:p w:rsidR="005537C2" w:rsidRDefault="00553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C2" w:rsidRDefault="005537C2">
      <w:r>
        <w:separator/>
      </w:r>
    </w:p>
  </w:footnote>
  <w:footnote w:type="continuationSeparator" w:id="0">
    <w:p w:rsidR="005537C2" w:rsidRDefault="00553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Default="00553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Pr="003B3DFB" w:rsidRDefault="005537C2" w:rsidP="005537C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Pr="00C00F0F" w:rsidRDefault="005537C2">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5537C2" w:rsidRDefault="005537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Default="005537C2">
    <w:pPr>
      <w:pStyle w:val="JuHeader"/>
    </w:pPr>
    <w:r>
      <w:rPr>
        <w:rStyle w:val="PageNumber"/>
      </w:rPr>
      <w:fldChar w:fldCharType="begin"/>
    </w:r>
    <w:r>
      <w:rPr>
        <w:rStyle w:val="PageNumber"/>
      </w:rPr>
      <w:instrText xml:space="preserve"> PAGE </w:instrText>
    </w:r>
    <w:r>
      <w:rPr>
        <w:rStyle w:val="PageNumber"/>
      </w:rPr>
      <w:fldChar w:fldCharType="separate"/>
    </w:r>
    <w:r w:rsidR="00B70C7D">
      <w:rPr>
        <w:rStyle w:val="PageNumber"/>
        <w:noProof/>
      </w:rPr>
      <w:t>18</w:t>
    </w:r>
    <w:r>
      <w:rPr>
        <w:rStyle w:val="PageNumber"/>
      </w:rPr>
      <w:fldChar w:fldCharType="end"/>
    </w:r>
    <w:r>
      <w:tab/>
      <w:t xml:space="preserve">ČERŅIKOVS v. </w:t>
    </w:r>
    <w:smartTag w:uri="urn:schemas-microsoft-com:office:smarttags" w:element="place">
      <w:smartTag w:uri="urn:schemas-microsoft-com:office:smarttags" w:element="country-region">
        <w:r>
          <w:t>LATVIA</w:t>
        </w:r>
      </w:smartTag>
    </w:smartTag>
    <w: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C2" w:rsidRDefault="005537C2">
    <w:pPr>
      <w:pStyle w:val="JuHeader"/>
    </w:pPr>
    <w:r>
      <w:tab/>
      <w:t xml:space="preserve">ČERŅIKOVS v. </w:t>
    </w:r>
    <w:smartTag w:uri="urn:schemas-microsoft-com:office:smarttags" w:element="place">
      <w:smartTag w:uri="urn:schemas-microsoft-com:office:smarttags" w:element="country-region">
        <w:r>
          <w:t>LATVIA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B70C7D">
      <w:rPr>
        <w:rStyle w:val="PageNumber"/>
        <w:noProof/>
      </w:rPr>
      <w:t>18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nsid w:val="0F7D6561"/>
    <w:multiLevelType w:val="hybridMultilevel"/>
    <w:tmpl w:val="0170892C"/>
    <w:lvl w:ilvl="0" w:tplc="925EB10E">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
    <w:nsid w:val="2E01058F"/>
    <w:multiLevelType w:val="hybridMultilevel"/>
    <w:tmpl w:val="D00636E2"/>
    <w:lvl w:ilvl="0" w:tplc="670A4BD6">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3">
    <w:nsid w:val="61C17082"/>
    <w:multiLevelType w:val="hybridMultilevel"/>
    <w:tmpl w:val="50AE72E2"/>
    <w:lvl w:ilvl="0" w:tplc="3E92D5B6">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7BBE6CBD"/>
    <w:multiLevelType w:val="hybridMultilevel"/>
    <w:tmpl w:val="5B122094"/>
    <w:lvl w:ilvl="0" w:tplc="4FDAD2AA">
      <w:start w:val="1"/>
      <w:numFmt w:val="decimal"/>
      <w:pStyle w:val="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8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EMM" w:val="0"/>
    <w:docVar w:name="ETRANSMISSION" w:val="BY E-TRANSMISSION ONLY"/>
    <w:docVar w:name="L4_1Annex" w:val="0"/>
    <w:docVar w:name="L4_1Anonymity" w:val="0"/>
    <w:docVar w:name="SignForeName" w:val="0"/>
  </w:docVars>
  <w:rsids>
    <w:rsidRoot w:val="00A337E7"/>
    <w:rsid w:val="000068C7"/>
    <w:rsid w:val="000118E8"/>
    <w:rsid w:val="00020A58"/>
    <w:rsid w:val="0002416E"/>
    <w:rsid w:val="00030A1F"/>
    <w:rsid w:val="00030BD1"/>
    <w:rsid w:val="00033FD2"/>
    <w:rsid w:val="0003679E"/>
    <w:rsid w:val="00042767"/>
    <w:rsid w:val="00054A47"/>
    <w:rsid w:val="00055AC1"/>
    <w:rsid w:val="0006247B"/>
    <w:rsid w:val="0006341E"/>
    <w:rsid w:val="00063D6C"/>
    <w:rsid w:val="000726F6"/>
    <w:rsid w:val="00076A67"/>
    <w:rsid w:val="00085837"/>
    <w:rsid w:val="00085B3A"/>
    <w:rsid w:val="00090C82"/>
    <w:rsid w:val="00095C6C"/>
    <w:rsid w:val="000A4F37"/>
    <w:rsid w:val="000A6876"/>
    <w:rsid w:val="000B2F28"/>
    <w:rsid w:val="000B3221"/>
    <w:rsid w:val="000C0396"/>
    <w:rsid w:val="000D6108"/>
    <w:rsid w:val="000D69C7"/>
    <w:rsid w:val="000E1449"/>
    <w:rsid w:val="000E31A8"/>
    <w:rsid w:val="000F1033"/>
    <w:rsid w:val="000F699D"/>
    <w:rsid w:val="00104AD1"/>
    <w:rsid w:val="001051A4"/>
    <w:rsid w:val="00110351"/>
    <w:rsid w:val="00111D99"/>
    <w:rsid w:val="0011364C"/>
    <w:rsid w:val="0011665B"/>
    <w:rsid w:val="00126213"/>
    <w:rsid w:val="00151D40"/>
    <w:rsid w:val="00151DCB"/>
    <w:rsid w:val="00152105"/>
    <w:rsid w:val="0015260A"/>
    <w:rsid w:val="001812B2"/>
    <w:rsid w:val="00184544"/>
    <w:rsid w:val="00190243"/>
    <w:rsid w:val="00191701"/>
    <w:rsid w:val="00193C4C"/>
    <w:rsid w:val="00197C29"/>
    <w:rsid w:val="001A0EBE"/>
    <w:rsid w:val="001A2726"/>
    <w:rsid w:val="001A2C19"/>
    <w:rsid w:val="001B2752"/>
    <w:rsid w:val="001B62B1"/>
    <w:rsid w:val="001B74F7"/>
    <w:rsid w:val="001B7AF8"/>
    <w:rsid w:val="001C3A6D"/>
    <w:rsid w:val="001D008F"/>
    <w:rsid w:val="001F1F02"/>
    <w:rsid w:val="001F5586"/>
    <w:rsid w:val="00210BCD"/>
    <w:rsid w:val="00211DD5"/>
    <w:rsid w:val="00213988"/>
    <w:rsid w:val="00225BE5"/>
    <w:rsid w:val="002266CD"/>
    <w:rsid w:val="00233DCE"/>
    <w:rsid w:val="00252B31"/>
    <w:rsid w:val="0026789F"/>
    <w:rsid w:val="0027176C"/>
    <w:rsid w:val="00271DBE"/>
    <w:rsid w:val="002972E2"/>
    <w:rsid w:val="00297942"/>
    <w:rsid w:val="002A2DF4"/>
    <w:rsid w:val="002A31AF"/>
    <w:rsid w:val="002A4FCB"/>
    <w:rsid w:val="002E5CAE"/>
    <w:rsid w:val="002F5EB7"/>
    <w:rsid w:val="002F6FE9"/>
    <w:rsid w:val="00310DE1"/>
    <w:rsid w:val="0031454B"/>
    <w:rsid w:val="0031573C"/>
    <w:rsid w:val="0032093A"/>
    <w:rsid w:val="003230B2"/>
    <w:rsid w:val="00325C2B"/>
    <w:rsid w:val="00332547"/>
    <w:rsid w:val="00336887"/>
    <w:rsid w:val="00337600"/>
    <w:rsid w:val="003416FE"/>
    <w:rsid w:val="00344275"/>
    <w:rsid w:val="00345696"/>
    <w:rsid w:val="00356DB1"/>
    <w:rsid w:val="003613AE"/>
    <w:rsid w:val="003620AD"/>
    <w:rsid w:val="00367A67"/>
    <w:rsid w:val="00371277"/>
    <w:rsid w:val="00376109"/>
    <w:rsid w:val="003911B2"/>
    <w:rsid w:val="003A0F6E"/>
    <w:rsid w:val="003A219F"/>
    <w:rsid w:val="003B4287"/>
    <w:rsid w:val="003B50D7"/>
    <w:rsid w:val="003C2EE7"/>
    <w:rsid w:val="003C37EB"/>
    <w:rsid w:val="003E1281"/>
    <w:rsid w:val="003E2006"/>
    <w:rsid w:val="003E2031"/>
    <w:rsid w:val="003E319C"/>
    <w:rsid w:val="003F3BFD"/>
    <w:rsid w:val="003F5F38"/>
    <w:rsid w:val="00401C5B"/>
    <w:rsid w:val="00413EFC"/>
    <w:rsid w:val="004221C5"/>
    <w:rsid w:val="0042512C"/>
    <w:rsid w:val="00425570"/>
    <w:rsid w:val="00426A00"/>
    <w:rsid w:val="004406AA"/>
    <w:rsid w:val="00440FEB"/>
    <w:rsid w:val="0044665D"/>
    <w:rsid w:val="0044782B"/>
    <w:rsid w:val="0045736E"/>
    <w:rsid w:val="00457A18"/>
    <w:rsid w:val="00460096"/>
    <w:rsid w:val="00460FAD"/>
    <w:rsid w:val="004640C8"/>
    <w:rsid w:val="00471305"/>
    <w:rsid w:val="00473734"/>
    <w:rsid w:val="00474981"/>
    <w:rsid w:val="0048301F"/>
    <w:rsid w:val="00483606"/>
    <w:rsid w:val="00485A6F"/>
    <w:rsid w:val="004920B1"/>
    <w:rsid w:val="004A692D"/>
    <w:rsid w:val="004C7A74"/>
    <w:rsid w:val="004D0BA3"/>
    <w:rsid w:val="004D4D65"/>
    <w:rsid w:val="004E5AB1"/>
    <w:rsid w:val="004E5DFC"/>
    <w:rsid w:val="004F63DB"/>
    <w:rsid w:val="004F6CE5"/>
    <w:rsid w:val="0050096C"/>
    <w:rsid w:val="00510375"/>
    <w:rsid w:val="00516EBF"/>
    <w:rsid w:val="00522362"/>
    <w:rsid w:val="005419B6"/>
    <w:rsid w:val="00546F49"/>
    <w:rsid w:val="005537C2"/>
    <w:rsid w:val="00557FD3"/>
    <w:rsid w:val="00561F9A"/>
    <w:rsid w:val="005623E6"/>
    <w:rsid w:val="00563262"/>
    <w:rsid w:val="005655C7"/>
    <w:rsid w:val="0056771C"/>
    <w:rsid w:val="00572CEC"/>
    <w:rsid w:val="00576C9D"/>
    <w:rsid w:val="005777BA"/>
    <w:rsid w:val="00577E6A"/>
    <w:rsid w:val="00586955"/>
    <w:rsid w:val="005A43CB"/>
    <w:rsid w:val="005A4443"/>
    <w:rsid w:val="005B16A8"/>
    <w:rsid w:val="005B4233"/>
    <w:rsid w:val="005C1929"/>
    <w:rsid w:val="005C1956"/>
    <w:rsid w:val="005C2C88"/>
    <w:rsid w:val="005C41CB"/>
    <w:rsid w:val="005C737D"/>
    <w:rsid w:val="005C758B"/>
    <w:rsid w:val="005D08E8"/>
    <w:rsid w:val="005D11B4"/>
    <w:rsid w:val="005E384F"/>
    <w:rsid w:val="005E635B"/>
    <w:rsid w:val="005F4715"/>
    <w:rsid w:val="005F5529"/>
    <w:rsid w:val="005F5806"/>
    <w:rsid w:val="005F7A10"/>
    <w:rsid w:val="006038CF"/>
    <w:rsid w:val="00604C51"/>
    <w:rsid w:val="006057BC"/>
    <w:rsid w:val="0060785B"/>
    <w:rsid w:val="006111FF"/>
    <w:rsid w:val="0061393D"/>
    <w:rsid w:val="0062787C"/>
    <w:rsid w:val="00631B80"/>
    <w:rsid w:val="00640690"/>
    <w:rsid w:val="00640B82"/>
    <w:rsid w:val="00643115"/>
    <w:rsid w:val="00655126"/>
    <w:rsid w:val="006639B6"/>
    <w:rsid w:val="006711DE"/>
    <w:rsid w:val="0067202E"/>
    <w:rsid w:val="006768AA"/>
    <w:rsid w:val="006874F0"/>
    <w:rsid w:val="00697F14"/>
    <w:rsid w:val="006A3D9D"/>
    <w:rsid w:val="006A731C"/>
    <w:rsid w:val="006A7C48"/>
    <w:rsid w:val="006B2549"/>
    <w:rsid w:val="006C2B52"/>
    <w:rsid w:val="006C35C5"/>
    <w:rsid w:val="006E6D33"/>
    <w:rsid w:val="006F0141"/>
    <w:rsid w:val="006F220C"/>
    <w:rsid w:val="0071166C"/>
    <w:rsid w:val="007156E0"/>
    <w:rsid w:val="0072628B"/>
    <w:rsid w:val="00730053"/>
    <w:rsid w:val="00730433"/>
    <w:rsid w:val="007309E1"/>
    <w:rsid w:val="0073148C"/>
    <w:rsid w:val="00734D8F"/>
    <w:rsid w:val="007352DD"/>
    <w:rsid w:val="007368A3"/>
    <w:rsid w:val="00750E5E"/>
    <w:rsid w:val="00751F7E"/>
    <w:rsid w:val="00756AC6"/>
    <w:rsid w:val="00756D5B"/>
    <w:rsid w:val="007637BB"/>
    <w:rsid w:val="00763D01"/>
    <w:rsid w:val="00765329"/>
    <w:rsid w:val="0077013B"/>
    <w:rsid w:val="0077789B"/>
    <w:rsid w:val="0078062F"/>
    <w:rsid w:val="00780CA8"/>
    <w:rsid w:val="007827E7"/>
    <w:rsid w:val="007906AB"/>
    <w:rsid w:val="0079187F"/>
    <w:rsid w:val="00791DCD"/>
    <w:rsid w:val="007A1FFE"/>
    <w:rsid w:val="007A357A"/>
    <w:rsid w:val="007A6DBA"/>
    <w:rsid w:val="007A7264"/>
    <w:rsid w:val="007B51DC"/>
    <w:rsid w:val="007B71E2"/>
    <w:rsid w:val="007C1CE3"/>
    <w:rsid w:val="007D0787"/>
    <w:rsid w:val="007D0D75"/>
    <w:rsid w:val="007F0D83"/>
    <w:rsid w:val="007F2D7A"/>
    <w:rsid w:val="007F36AD"/>
    <w:rsid w:val="0080348E"/>
    <w:rsid w:val="008057FE"/>
    <w:rsid w:val="00806E5F"/>
    <w:rsid w:val="00823C84"/>
    <w:rsid w:val="00833717"/>
    <w:rsid w:val="0083506D"/>
    <w:rsid w:val="00846856"/>
    <w:rsid w:val="0084722B"/>
    <w:rsid w:val="00853345"/>
    <w:rsid w:val="008561ED"/>
    <w:rsid w:val="00856DD3"/>
    <w:rsid w:val="008571AF"/>
    <w:rsid w:val="00871999"/>
    <w:rsid w:val="008824B9"/>
    <w:rsid w:val="008828B4"/>
    <w:rsid w:val="0088315D"/>
    <w:rsid w:val="00886BB5"/>
    <w:rsid w:val="008908E8"/>
    <w:rsid w:val="00890E72"/>
    <w:rsid w:val="008A76C3"/>
    <w:rsid w:val="008C260F"/>
    <w:rsid w:val="008C6F68"/>
    <w:rsid w:val="008C7552"/>
    <w:rsid w:val="008D1463"/>
    <w:rsid w:val="008E05A3"/>
    <w:rsid w:val="0090517B"/>
    <w:rsid w:val="009115B1"/>
    <w:rsid w:val="009133A8"/>
    <w:rsid w:val="00915322"/>
    <w:rsid w:val="00930CD7"/>
    <w:rsid w:val="00931008"/>
    <w:rsid w:val="00932C7B"/>
    <w:rsid w:val="00933953"/>
    <w:rsid w:val="00934B59"/>
    <w:rsid w:val="00935C48"/>
    <w:rsid w:val="0094239F"/>
    <w:rsid w:val="00956501"/>
    <w:rsid w:val="00965BD4"/>
    <w:rsid w:val="0098535B"/>
    <w:rsid w:val="009935D8"/>
    <w:rsid w:val="00993C6D"/>
    <w:rsid w:val="00995F44"/>
    <w:rsid w:val="009A3780"/>
    <w:rsid w:val="009B039E"/>
    <w:rsid w:val="009B039F"/>
    <w:rsid w:val="009B0F5B"/>
    <w:rsid w:val="009B15A1"/>
    <w:rsid w:val="009B7D46"/>
    <w:rsid w:val="009C3EA7"/>
    <w:rsid w:val="009D4B87"/>
    <w:rsid w:val="009D6C21"/>
    <w:rsid w:val="009E2F5A"/>
    <w:rsid w:val="009E4783"/>
    <w:rsid w:val="009F07CC"/>
    <w:rsid w:val="009F18CE"/>
    <w:rsid w:val="009F5625"/>
    <w:rsid w:val="00A001E9"/>
    <w:rsid w:val="00A012A5"/>
    <w:rsid w:val="00A0552C"/>
    <w:rsid w:val="00A135BE"/>
    <w:rsid w:val="00A268C9"/>
    <w:rsid w:val="00A32B81"/>
    <w:rsid w:val="00A3329D"/>
    <w:rsid w:val="00A337E7"/>
    <w:rsid w:val="00A51777"/>
    <w:rsid w:val="00A51FD0"/>
    <w:rsid w:val="00A5331A"/>
    <w:rsid w:val="00A64E64"/>
    <w:rsid w:val="00A80135"/>
    <w:rsid w:val="00A812C9"/>
    <w:rsid w:val="00A82914"/>
    <w:rsid w:val="00A8381C"/>
    <w:rsid w:val="00A9368D"/>
    <w:rsid w:val="00A972AE"/>
    <w:rsid w:val="00AA0A20"/>
    <w:rsid w:val="00AA373E"/>
    <w:rsid w:val="00AA7CA2"/>
    <w:rsid w:val="00AB1AFF"/>
    <w:rsid w:val="00AB2166"/>
    <w:rsid w:val="00AC134B"/>
    <w:rsid w:val="00AD25D9"/>
    <w:rsid w:val="00AD57B2"/>
    <w:rsid w:val="00AE2F4F"/>
    <w:rsid w:val="00B0594B"/>
    <w:rsid w:val="00B13F26"/>
    <w:rsid w:val="00B25E37"/>
    <w:rsid w:val="00B32F5B"/>
    <w:rsid w:val="00B3608A"/>
    <w:rsid w:val="00B362F1"/>
    <w:rsid w:val="00B40173"/>
    <w:rsid w:val="00B40518"/>
    <w:rsid w:val="00B41E71"/>
    <w:rsid w:val="00B460AF"/>
    <w:rsid w:val="00B472EE"/>
    <w:rsid w:val="00B5165E"/>
    <w:rsid w:val="00B52F9F"/>
    <w:rsid w:val="00B57B40"/>
    <w:rsid w:val="00B64488"/>
    <w:rsid w:val="00B662B2"/>
    <w:rsid w:val="00B6763B"/>
    <w:rsid w:val="00B70C7D"/>
    <w:rsid w:val="00B81192"/>
    <w:rsid w:val="00B921A8"/>
    <w:rsid w:val="00BA51D5"/>
    <w:rsid w:val="00BA56B5"/>
    <w:rsid w:val="00BB08A3"/>
    <w:rsid w:val="00BB524D"/>
    <w:rsid w:val="00BD19AE"/>
    <w:rsid w:val="00BE50FE"/>
    <w:rsid w:val="00BE5958"/>
    <w:rsid w:val="00C01E1C"/>
    <w:rsid w:val="00C02E48"/>
    <w:rsid w:val="00C031BA"/>
    <w:rsid w:val="00C07BCB"/>
    <w:rsid w:val="00C1475F"/>
    <w:rsid w:val="00C15E0B"/>
    <w:rsid w:val="00C22512"/>
    <w:rsid w:val="00C27EF9"/>
    <w:rsid w:val="00C30671"/>
    <w:rsid w:val="00C36232"/>
    <w:rsid w:val="00C50DA4"/>
    <w:rsid w:val="00C51782"/>
    <w:rsid w:val="00C61EAD"/>
    <w:rsid w:val="00C62A6E"/>
    <w:rsid w:val="00C66A22"/>
    <w:rsid w:val="00C73161"/>
    <w:rsid w:val="00C80B43"/>
    <w:rsid w:val="00C81774"/>
    <w:rsid w:val="00C84321"/>
    <w:rsid w:val="00C96EBF"/>
    <w:rsid w:val="00CC3B3E"/>
    <w:rsid w:val="00CC7451"/>
    <w:rsid w:val="00CD38D1"/>
    <w:rsid w:val="00CD4A62"/>
    <w:rsid w:val="00CD4C0C"/>
    <w:rsid w:val="00CD5D90"/>
    <w:rsid w:val="00CE1C9D"/>
    <w:rsid w:val="00CF0EBA"/>
    <w:rsid w:val="00CF166A"/>
    <w:rsid w:val="00D00569"/>
    <w:rsid w:val="00D102A7"/>
    <w:rsid w:val="00D15473"/>
    <w:rsid w:val="00D17890"/>
    <w:rsid w:val="00D26728"/>
    <w:rsid w:val="00D33169"/>
    <w:rsid w:val="00D353F4"/>
    <w:rsid w:val="00D357B5"/>
    <w:rsid w:val="00D409B6"/>
    <w:rsid w:val="00D579AE"/>
    <w:rsid w:val="00D63793"/>
    <w:rsid w:val="00D73C86"/>
    <w:rsid w:val="00D90810"/>
    <w:rsid w:val="00D97878"/>
    <w:rsid w:val="00DA1788"/>
    <w:rsid w:val="00DA2A78"/>
    <w:rsid w:val="00DA4228"/>
    <w:rsid w:val="00DA4C28"/>
    <w:rsid w:val="00DA6A31"/>
    <w:rsid w:val="00DB4581"/>
    <w:rsid w:val="00DB6D67"/>
    <w:rsid w:val="00DC028C"/>
    <w:rsid w:val="00DC2093"/>
    <w:rsid w:val="00DC41A3"/>
    <w:rsid w:val="00DC59E5"/>
    <w:rsid w:val="00DC5C22"/>
    <w:rsid w:val="00DC7794"/>
    <w:rsid w:val="00DD1A58"/>
    <w:rsid w:val="00DD67A7"/>
    <w:rsid w:val="00DE05C3"/>
    <w:rsid w:val="00DE5E8F"/>
    <w:rsid w:val="00DE7960"/>
    <w:rsid w:val="00DF7484"/>
    <w:rsid w:val="00E042A6"/>
    <w:rsid w:val="00E057BE"/>
    <w:rsid w:val="00E30D71"/>
    <w:rsid w:val="00E32971"/>
    <w:rsid w:val="00E33FEF"/>
    <w:rsid w:val="00E358E6"/>
    <w:rsid w:val="00E40041"/>
    <w:rsid w:val="00E520CC"/>
    <w:rsid w:val="00E526A4"/>
    <w:rsid w:val="00E62D1C"/>
    <w:rsid w:val="00E67A76"/>
    <w:rsid w:val="00E80485"/>
    <w:rsid w:val="00E81663"/>
    <w:rsid w:val="00E9155E"/>
    <w:rsid w:val="00E92B0C"/>
    <w:rsid w:val="00E95DC2"/>
    <w:rsid w:val="00EB03F5"/>
    <w:rsid w:val="00EB2A42"/>
    <w:rsid w:val="00EB38E0"/>
    <w:rsid w:val="00EB41E9"/>
    <w:rsid w:val="00EB5EBC"/>
    <w:rsid w:val="00ED12C3"/>
    <w:rsid w:val="00ED3802"/>
    <w:rsid w:val="00ED3AC7"/>
    <w:rsid w:val="00ED5F44"/>
    <w:rsid w:val="00EE1252"/>
    <w:rsid w:val="00EE47FF"/>
    <w:rsid w:val="00EE58F4"/>
    <w:rsid w:val="00EE7911"/>
    <w:rsid w:val="00EF2384"/>
    <w:rsid w:val="00EF398D"/>
    <w:rsid w:val="00EF3C83"/>
    <w:rsid w:val="00EF4CA9"/>
    <w:rsid w:val="00EF5740"/>
    <w:rsid w:val="00EF7349"/>
    <w:rsid w:val="00F000B3"/>
    <w:rsid w:val="00F03727"/>
    <w:rsid w:val="00F22E8B"/>
    <w:rsid w:val="00F23F9C"/>
    <w:rsid w:val="00F26642"/>
    <w:rsid w:val="00F26C6D"/>
    <w:rsid w:val="00F3223E"/>
    <w:rsid w:val="00F32DB8"/>
    <w:rsid w:val="00F43FF3"/>
    <w:rsid w:val="00F5124B"/>
    <w:rsid w:val="00F52F0A"/>
    <w:rsid w:val="00F63643"/>
    <w:rsid w:val="00F71150"/>
    <w:rsid w:val="00F71A6A"/>
    <w:rsid w:val="00F73D18"/>
    <w:rsid w:val="00F76447"/>
    <w:rsid w:val="00F845C7"/>
    <w:rsid w:val="00F9430E"/>
    <w:rsid w:val="00F94742"/>
    <w:rsid w:val="00FB284B"/>
    <w:rsid w:val="00FB482E"/>
    <w:rsid w:val="00FD2A0F"/>
    <w:rsid w:val="00FD3E2F"/>
    <w:rsid w:val="00FE6E31"/>
    <w:rsid w:val="00FF3BBE"/>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8824B9"/>
    <w:pPr>
      <w:tabs>
        <w:tab w:val="clear" w:pos="357"/>
      </w:tabs>
    </w:pPr>
    <w:rPr>
      <w:b/>
    </w:rPr>
  </w:style>
  <w:style w:type="paragraph" w:customStyle="1" w:styleId="JuHIRoman">
    <w:name w:val="Ju_H_I_Roman"/>
    <w:basedOn w:val="JuHHead"/>
    <w:next w:val="JuPara"/>
    <w:rsid w:val="008824B9"/>
    <w:pPr>
      <w:tabs>
        <w:tab w:val="left" w:pos="357"/>
      </w:tabs>
      <w:spacing w:before="360"/>
      <w:ind w:left="357" w:hanging="357"/>
      <w:outlineLvl w:val="1"/>
    </w:pPr>
    <w:rPr>
      <w:sz w:val="24"/>
    </w:rPr>
  </w:style>
  <w:style w:type="paragraph" w:customStyle="1" w:styleId="JuHHead">
    <w:name w:val="Ju_H_Head"/>
    <w:basedOn w:val="Normal"/>
    <w:next w:val="JuPara"/>
    <w:rsid w:val="008824B9"/>
    <w:pPr>
      <w:keepNext/>
      <w:keepLines/>
      <w:spacing w:before="720" w:after="240"/>
      <w:jc w:val="both"/>
      <w:outlineLvl w:val="0"/>
    </w:pPr>
    <w:rPr>
      <w:sz w:val="28"/>
    </w:rPr>
  </w:style>
  <w:style w:type="paragraph" w:customStyle="1" w:styleId="JuPara">
    <w:name w:val="Ju_Para"/>
    <w:aliases w:val="Left,First line:  0 cm"/>
    <w:basedOn w:val="Normal"/>
    <w:link w:val="JuParaChar"/>
    <w:rsid w:val="008824B9"/>
    <w:pPr>
      <w:ind w:firstLine="284"/>
      <w:jc w:val="both"/>
    </w:pPr>
  </w:style>
  <w:style w:type="paragraph" w:customStyle="1" w:styleId="OpiPara">
    <w:name w:val="Opi_Para"/>
    <w:basedOn w:val="JuPara"/>
    <w:rsid w:val="008824B9"/>
  </w:style>
  <w:style w:type="paragraph" w:customStyle="1" w:styleId="OpiH1">
    <w:name w:val="Opi_H_1."/>
    <w:basedOn w:val="OpiHA"/>
    <w:next w:val="OpiPara"/>
    <w:rsid w:val="008824B9"/>
    <w:pPr>
      <w:spacing w:before="240" w:after="120"/>
      <w:ind w:left="635"/>
    </w:pPr>
    <w:rPr>
      <w:b w:val="0"/>
      <w:i/>
    </w:rPr>
  </w:style>
  <w:style w:type="paragraph" w:customStyle="1" w:styleId="OpiHa0">
    <w:name w:val="Opi_H_a"/>
    <w:basedOn w:val="OpiH1"/>
    <w:next w:val="OpiPara"/>
    <w:rsid w:val="008824B9"/>
    <w:pPr>
      <w:ind w:left="834"/>
    </w:pPr>
    <w:rPr>
      <w:b/>
      <w:i w:val="0"/>
      <w:sz w:val="20"/>
    </w:rPr>
  </w:style>
  <w:style w:type="paragraph" w:customStyle="1" w:styleId="OpiHHead">
    <w:name w:val="Opi_H_Head"/>
    <w:basedOn w:val="JuHHead"/>
    <w:next w:val="OpiPara"/>
    <w:rsid w:val="008824B9"/>
    <w:pPr>
      <w:spacing w:before="0"/>
      <w:jc w:val="center"/>
    </w:pPr>
  </w:style>
  <w:style w:type="paragraph" w:customStyle="1" w:styleId="OpiHi">
    <w:name w:val="Opi_H_i"/>
    <w:basedOn w:val="OpiHa0"/>
    <w:next w:val="OpiPara"/>
    <w:rsid w:val="008824B9"/>
    <w:pPr>
      <w:ind w:left="1038"/>
    </w:pPr>
    <w:rPr>
      <w:b w:val="0"/>
      <w:i/>
    </w:rPr>
  </w:style>
  <w:style w:type="paragraph" w:styleId="Footer">
    <w:name w:val="footer"/>
    <w:basedOn w:val="Normal"/>
    <w:rsid w:val="008824B9"/>
    <w:pPr>
      <w:tabs>
        <w:tab w:val="center" w:pos="3686"/>
        <w:tab w:val="right" w:pos="7371"/>
      </w:tabs>
    </w:pPr>
    <w:rPr>
      <w:sz w:val="18"/>
    </w:rPr>
  </w:style>
  <w:style w:type="paragraph" w:customStyle="1" w:styleId="JuJudges">
    <w:name w:val="Ju_Judges"/>
    <w:basedOn w:val="Normal"/>
    <w:link w:val="JuJudgesChar"/>
    <w:rsid w:val="008824B9"/>
    <w:pPr>
      <w:tabs>
        <w:tab w:val="left" w:pos="567"/>
        <w:tab w:val="left" w:pos="1134"/>
      </w:tabs>
    </w:pPr>
  </w:style>
  <w:style w:type="character" w:customStyle="1" w:styleId="JuParaChar">
    <w:name w:val="Ju_Para Char"/>
    <w:basedOn w:val="DefaultParagraphFont"/>
    <w:link w:val="JuPara"/>
    <w:rsid w:val="00B921A8"/>
    <w:rPr>
      <w:sz w:val="24"/>
      <w:lang w:val="en-GB" w:eastAsia="fr-FR" w:bidi="ar-SA"/>
    </w:rPr>
  </w:style>
  <w:style w:type="paragraph" w:customStyle="1" w:styleId="JuHA">
    <w:name w:val="Ju_H_A"/>
    <w:basedOn w:val="JuHIRoman"/>
    <w:next w:val="JuPara"/>
    <w:link w:val="JuHAChar"/>
    <w:rsid w:val="008824B9"/>
    <w:pPr>
      <w:tabs>
        <w:tab w:val="clear" w:pos="357"/>
        <w:tab w:val="left" w:pos="584"/>
      </w:tabs>
      <w:ind w:left="584" w:hanging="352"/>
      <w:outlineLvl w:val="2"/>
    </w:pPr>
    <w:rPr>
      <w:b/>
    </w:rPr>
  </w:style>
  <w:style w:type="paragraph" w:customStyle="1" w:styleId="JuQuot">
    <w:name w:val="Ju_Quot"/>
    <w:basedOn w:val="JuPara"/>
    <w:rsid w:val="008824B9"/>
    <w:pPr>
      <w:spacing w:before="120" w:after="120"/>
      <w:ind w:left="425" w:firstLine="142"/>
    </w:pPr>
    <w:rPr>
      <w:sz w:val="20"/>
    </w:rPr>
  </w:style>
  <w:style w:type="paragraph" w:customStyle="1" w:styleId="JuSigned">
    <w:name w:val="Ju_Signed"/>
    <w:basedOn w:val="Normal"/>
    <w:next w:val="JuParaLast"/>
    <w:link w:val="JuSignedChar"/>
    <w:rsid w:val="008824B9"/>
    <w:pPr>
      <w:tabs>
        <w:tab w:val="center" w:pos="851"/>
        <w:tab w:val="center" w:pos="6407"/>
      </w:tabs>
      <w:spacing w:before="720"/>
    </w:pPr>
  </w:style>
  <w:style w:type="paragraph" w:customStyle="1" w:styleId="JuParaLast">
    <w:name w:val="Ju_Para_Last"/>
    <w:basedOn w:val="JuPara"/>
    <w:next w:val="JuPara"/>
    <w:rsid w:val="008824B9"/>
    <w:pPr>
      <w:keepNext/>
      <w:keepLines/>
      <w:spacing w:before="240"/>
    </w:pPr>
  </w:style>
  <w:style w:type="paragraph" w:customStyle="1" w:styleId="JuCase">
    <w:name w:val="Ju_Case"/>
    <w:basedOn w:val="JuPara"/>
    <w:next w:val="JuPara"/>
    <w:link w:val="JuCaseChar"/>
    <w:rsid w:val="008824B9"/>
    <w:rPr>
      <w:b/>
    </w:rPr>
  </w:style>
  <w:style w:type="paragraph" w:customStyle="1" w:styleId="JuList">
    <w:name w:val="Ju_List"/>
    <w:basedOn w:val="JuPara"/>
    <w:link w:val="JuListChar"/>
    <w:rsid w:val="008824B9"/>
    <w:pPr>
      <w:ind w:left="340" w:hanging="340"/>
    </w:pPr>
  </w:style>
  <w:style w:type="paragraph" w:customStyle="1" w:styleId="JuHArticle">
    <w:name w:val="Ju_H_Article"/>
    <w:basedOn w:val="JuHa0"/>
    <w:next w:val="JuQuot"/>
    <w:rsid w:val="008824B9"/>
    <w:pPr>
      <w:ind w:left="0" w:firstLine="0"/>
      <w:jc w:val="center"/>
    </w:pPr>
  </w:style>
  <w:style w:type="paragraph" w:customStyle="1" w:styleId="JuHa0">
    <w:name w:val="Ju_H_a"/>
    <w:basedOn w:val="JuH1"/>
    <w:next w:val="JuPara"/>
    <w:link w:val="JuHaChar0"/>
    <w:rsid w:val="008824B9"/>
    <w:pPr>
      <w:tabs>
        <w:tab w:val="clear" w:pos="731"/>
        <w:tab w:val="left" w:pos="975"/>
      </w:tabs>
      <w:ind w:left="975" w:hanging="340"/>
    </w:pPr>
    <w:rPr>
      <w:b/>
      <w:i w:val="0"/>
      <w:sz w:val="20"/>
    </w:rPr>
  </w:style>
  <w:style w:type="paragraph" w:customStyle="1" w:styleId="JuH1">
    <w:name w:val="Ju_H_1."/>
    <w:basedOn w:val="JuHA"/>
    <w:next w:val="JuPara"/>
    <w:link w:val="JuH1Char1"/>
    <w:rsid w:val="008824B9"/>
    <w:pPr>
      <w:tabs>
        <w:tab w:val="clear" w:pos="584"/>
        <w:tab w:val="left" w:pos="731"/>
      </w:tabs>
      <w:spacing w:before="240" w:after="120"/>
      <w:ind w:left="732" w:hanging="301"/>
      <w:outlineLvl w:val="9"/>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8824B9"/>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8824B9"/>
  </w:style>
  <w:style w:type="paragraph" w:customStyle="1" w:styleId="OpiTranslation">
    <w:name w:val="Opi_Translation"/>
    <w:basedOn w:val="OpiHHead"/>
    <w:next w:val="OpiPara"/>
    <w:rsid w:val="008824B9"/>
    <w:rPr>
      <w:i/>
      <w:sz w:val="24"/>
    </w:rPr>
  </w:style>
  <w:style w:type="paragraph" w:styleId="FootnoteText">
    <w:name w:val="footnote text"/>
    <w:basedOn w:val="Normal"/>
    <w:semiHidden/>
    <w:rsid w:val="008824B9"/>
    <w:pPr>
      <w:jc w:val="both"/>
    </w:pPr>
    <w:rPr>
      <w:sz w:val="20"/>
    </w:rPr>
  </w:style>
  <w:style w:type="character" w:styleId="FootnoteReference">
    <w:name w:val="footnote reference"/>
    <w:basedOn w:val="DefaultParagraphFont"/>
    <w:semiHidden/>
    <w:rsid w:val="008824B9"/>
    <w:rPr>
      <w:vertAlign w:val="superscript"/>
    </w:rPr>
  </w:style>
  <w:style w:type="paragraph" w:customStyle="1" w:styleId="JuHi">
    <w:name w:val="Ju_H_i"/>
    <w:basedOn w:val="JuHa0"/>
    <w:next w:val="JuPara"/>
    <w:rsid w:val="008824B9"/>
    <w:pPr>
      <w:tabs>
        <w:tab w:val="clear" w:pos="975"/>
        <w:tab w:val="left" w:pos="1191"/>
      </w:tabs>
      <w:ind w:left="1190" w:hanging="357"/>
    </w:pPr>
    <w:rPr>
      <w:b w:val="0"/>
      <w:i/>
    </w:rPr>
  </w:style>
  <w:style w:type="paragraph" w:styleId="Header">
    <w:name w:val="header"/>
    <w:basedOn w:val="Normal"/>
    <w:rsid w:val="008824B9"/>
    <w:pPr>
      <w:tabs>
        <w:tab w:val="center" w:pos="3686"/>
        <w:tab w:val="right" w:pos="7371"/>
      </w:tabs>
    </w:pPr>
    <w:rPr>
      <w:sz w:val="18"/>
    </w:rPr>
  </w:style>
  <w:style w:type="character" w:styleId="PageNumber">
    <w:name w:val="page number"/>
    <w:basedOn w:val="DefaultParagraphFont"/>
    <w:rsid w:val="008824B9"/>
    <w:rPr>
      <w:sz w:val="18"/>
    </w:rPr>
  </w:style>
  <w:style w:type="paragraph" w:customStyle="1" w:styleId="JuH">
    <w:name w:val="Ju_H_–"/>
    <w:basedOn w:val="JuHalpha"/>
    <w:next w:val="JuPara"/>
    <w:rsid w:val="008824B9"/>
    <w:pPr>
      <w:tabs>
        <w:tab w:val="clear" w:pos="1372"/>
      </w:tabs>
      <w:ind w:left="1236" w:firstLine="0"/>
    </w:pPr>
    <w:rPr>
      <w:i/>
    </w:rPr>
  </w:style>
  <w:style w:type="paragraph" w:customStyle="1" w:styleId="JuHalpha">
    <w:name w:val="Ju_H_alpha"/>
    <w:basedOn w:val="JuHi"/>
    <w:next w:val="JuPara"/>
    <w:rsid w:val="008824B9"/>
    <w:pPr>
      <w:tabs>
        <w:tab w:val="clear" w:pos="1191"/>
        <w:tab w:val="left" w:pos="1372"/>
      </w:tabs>
      <w:ind w:left="1373" w:hanging="335"/>
    </w:pPr>
    <w:rPr>
      <w:i w:val="0"/>
    </w:rPr>
  </w:style>
  <w:style w:type="paragraph" w:customStyle="1" w:styleId="JuLista">
    <w:name w:val="Ju_List_a"/>
    <w:basedOn w:val="JuList"/>
    <w:rsid w:val="008824B9"/>
    <w:pPr>
      <w:ind w:left="346" w:firstLine="0"/>
    </w:pPr>
  </w:style>
  <w:style w:type="paragraph" w:customStyle="1" w:styleId="JuListi">
    <w:name w:val="Ju_List_i"/>
    <w:basedOn w:val="JuLista"/>
    <w:rsid w:val="008824B9"/>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8824B9"/>
    <w:pPr>
      <w:tabs>
        <w:tab w:val="clear" w:pos="851"/>
      </w:tabs>
      <w:jc w:val="right"/>
    </w:pPr>
  </w:style>
  <w:style w:type="paragraph" w:customStyle="1" w:styleId="JuHeader">
    <w:name w:val="Ju_Header"/>
    <w:basedOn w:val="Header"/>
    <w:rsid w:val="008824B9"/>
  </w:style>
  <w:style w:type="paragraph" w:customStyle="1" w:styleId="DecHTitle">
    <w:name w:val="Dec_H_Title"/>
    <w:basedOn w:val="Normal"/>
    <w:rsid w:val="008824B9"/>
    <w:pPr>
      <w:spacing w:after="240"/>
      <w:jc w:val="center"/>
    </w:pPr>
    <w:rPr>
      <w:sz w:val="28"/>
    </w:rPr>
  </w:style>
  <w:style w:type="paragraph" w:customStyle="1" w:styleId="DecHCase">
    <w:name w:val="Dec_H_Case"/>
    <w:basedOn w:val="DecHTitle"/>
    <w:next w:val="JuPara"/>
    <w:rsid w:val="008824B9"/>
    <w:rPr>
      <w:sz w:val="24"/>
    </w:rPr>
  </w:style>
  <w:style w:type="paragraph" w:customStyle="1" w:styleId="DecList">
    <w:name w:val="Dec_List"/>
    <w:basedOn w:val="Normal"/>
    <w:rsid w:val="008824B9"/>
    <w:pPr>
      <w:spacing w:before="240"/>
      <w:ind w:left="284"/>
      <w:jc w:val="both"/>
    </w:pPr>
  </w:style>
  <w:style w:type="paragraph" w:customStyle="1" w:styleId="JuParaSub">
    <w:name w:val="Ju_Para_Sub"/>
    <w:basedOn w:val="JuPara"/>
    <w:rsid w:val="008824B9"/>
    <w:pPr>
      <w:ind w:left="284"/>
    </w:pPr>
    <w:rPr>
      <w:szCs w:val="24"/>
    </w:rPr>
  </w:style>
  <w:style w:type="paragraph" w:customStyle="1" w:styleId="JuQuotSub">
    <w:name w:val="Ju_Quot_Sub"/>
    <w:basedOn w:val="JuQuot"/>
    <w:rsid w:val="008824B9"/>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8824B9"/>
    <w:pPr>
      <w:ind w:firstLine="284"/>
      <w:jc w:val="both"/>
    </w:pPr>
  </w:style>
  <w:style w:type="paragraph" w:customStyle="1" w:styleId="PJuQuot">
    <w:name w:val="P_Ju_Quot"/>
    <w:basedOn w:val="Normal"/>
    <w:rsid w:val="008824B9"/>
    <w:pPr>
      <w:spacing w:before="120" w:after="120"/>
      <w:ind w:left="403" w:firstLine="176"/>
      <w:jc w:val="both"/>
    </w:pPr>
    <w:rPr>
      <w:sz w:val="20"/>
    </w:rPr>
  </w:style>
  <w:style w:type="paragraph" w:customStyle="1" w:styleId="PListArticleSubject">
    <w:name w:val="P_List_ArticleSubject"/>
    <w:basedOn w:val="Normal"/>
    <w:rsid w:val="008824B9"/>
    <w:pPr>
      <w:tabs>
        <w:tab w:val="left" w:pos="2977"/>
      </w:tabs>
      <w:ind w:left="2977" w:hanging="2977"/>
    </w:pPr>
  </w:style>
  <w:style w:type="paragraph" w:customStyle="1" w:styleId="SuCoverTitle1">
    <w:name w:val="Su_Cover_Title1"/>
    <w:basedOn w:val="Normal"/>
    <w:next w:val="SuCoverTitle2"/>
    <w:rsid w:val="008824B9"/>
    <w:pPr>
      <w:spacing w:before="2500"/>
      <w:jc w:val="center"/>
    </w:pPr>
    <w:rPr>
      <w:sz w:val="22"/>
    </w:rPr>
  </w:style>
  <w:style w:type="paragraph" w:customStyle="1" w:styleId="SuCoverTitle2">
    <w:name w:val="Su_Cover_Title2"/>
    <w:basedOn w:val="SuCoverTitle1"/>
    <w:next w:val="Normal"/>
    <w:rsid w:val="008824B9"/>
    <w:pPr>
      <w:spacing w:before="240"/>
    </w:pPr>
    <w:rPr>
      <w:sz w:val="18"/>
    </w:rPr>
  </w:style>
  <w:style w:type="paragraph" w:customStyle="1" w:styleId="SuPara">
    <w:name w:val="Su_Para"/>
    <w:basedOn w:val="SuKeywords"/>
    <w:rsid w:val="008824B9"/>
    <w:pPr>
      <w:spacing w:before="0" w:after="0"/>
    </w:pPr>
    <w:rPr>
      <w:i w:val="0"/>
    </w:rPr>
  </w:style>
  <w:style w:type="paragraph" w:customStyle="1" w:styleId="SuKeywords">
    <w:name w:val="Su_Keywords"/>
    <w:basedOn w:val="SuHHead"/>
    <w:rsid w:val="008824B9"/>
    <w:pPr>
      <w:spacing w:before="120"/>
    </w:pPr>
    <w:rPr>
      <w:b w:val="0"/>
      <w:i/>
    </w:rPr>
  </w:style>
  <w:style w:type="paragraph" w:customStyle="1" w:styleId="SuHHead">
    <w:name w:val="Su_H_Head"/>
    <w:basedOn w:val="SuSubject"/>
    <w:rsid w:val="008824B9"/>
    <w:pPr>
      <w:spacing w:after="120"/>
    </w:pPr>
  </w:style>
  <w:style w:type="paragraph" w:customStyle="1" w:styleId="SuSubject">
    <w:name w:val="Su_Subject"/>
    <w:basedOn w:val="SuSummary"/>
    <w:rsid w:val="008824B9"/>
    <w:pPr>
      <w:spacing w:before="360"/>
      <w:jc w:val="both"/>
    </w:pPr>
    <w:rPr>
      <w:b/>
      <w:sz w:val="22"/>
    </w:rPr>
  </w:style>
  <w:style w:type="paragraph" w:customStyle="1" w:styleId="SuSummary">
    <w:name w:val="Su_Summary"/>
    <w:basedOn w:val="Normal"/>
    <w:next w:val="SuSubject"/>
    <w:rsid w:val="008824B9"/>
    <w:pPr>
      <w:spacing w:after="240"/>
      <w:jc w:val="center"/>
    </w:pPr>
  </w:style>
  <w:style w:type="paragraph" w:customStyle="1" w:styleId="PListCaseNo">
    <w:name w:val="P_List_CaseNo"/>
    <w:basedOn w:val="Normal"/>
    <w:rsid w:val="008824B9"/>
    <w:pPr>
      <w:tabs>
        <w:tab w:val="left" w:pos="1276"/>
      </w:tabs>
      <w:spacing w:line="288" w:lineRule="auto"/>
      <w:ind w:left="1276" w:hanging="1276"/>
    </w:pPr>
  </w:style>
  <w:style w:type="paragraph" w:customStyle="1" w:styleId="PListCases">
    <w:name w:val="P_List_Cases"/>
    <w:basedOn w:val="Normal"/>
    <w:rsid w:val="008824B9"/>
    <w:pPr>
      <w:spacing w:line="288" w:lineRule="auto"/>
    </w:pPr>
  </w:style>
  <w:style w:type="paragraph" w:customStyle="1" w:styleId="PTextIntro">
    <w:name w:val="P_Text_Intro"/>
    <w:basedOn w:val="Normal"/>
    <w:rsid w:val="008824B9"/>
    <w:pPr>
      <w:jc w:val="both"/>
    </w:pPr>
    <w:rPr>
      <w:i/>
      <w:sz w:val="20"/>
    </w:rPr>
  </w:style>
  <w:style w:type="paragraph" w:customStyle="1" w:styleId="PTitleCover">
    <w:name w:val="P_Title_Cover"/>
    <w:basedOn w:val="Normal"/>
    <w:rsid w:val="008824B9"/>
    <w:pPr>
      <w:spacing w:before="2500"/>
      <w:jc w:val="center"/>
    </w:pPr>
    <w:rPr>
      <w:b/>
      <w:smallCaps/>
      <w:sz w:val="30"/>
    </w:rPr>
  </w:style>
  <w:style w:type="paragraph" w:customStyle="1" w:styleId="PTitle1Alpha">
    <w:name w:val="P_Title1_Alpha"/>
    <w:basedOn w:val="Normal"/>
    <w:next w:val="Normal"/>
    <w:rsid w:val="008824B9"/>
    <w:pPr>
      <w:spacing w:after="120"/>
      <w:jc w:val="center"/>
    </w:pPr>
    <w:rPr>
      <w:b/>
      <w:smallCaps/>
      <w:sz w:val="30"/>
    </w:rPr>
  </w:style>
  <w:style w:type="paragraph" w:customStyle="1" w:styleId="PTitle1IndexArticle">
    <w:name w:val="P_Title1_IndexArticle"/>
    <w:basedOn w:val="Normal"/>
    <w:rsid w:val="008824B9"/>
    <w:pPr>
      <w:spacing w:after="120"/>
      <w:jc w:val="center"/>
    </w:pPr>
    <w:rPr>
      <w:b/>
      <w:smallCaps/>
      <w:sz w:val="30"/>
    </w:rPr>
  </w:style>
  <w:style w:type="paragraph" w:customStyle="1" w:styleId="PTitle1IndexKey">
    <w:name w:val="P_Title1_IndexKey"/>
    <w:basedOn w:val="Normal"/>
    <w:rsid w:val="008824B9"/>
    <w:pPr>
      <w:spacing w:after="600"/>
      <w:jc w:val="center"/>
    </w:pPr>
    <w:rPr>
      <w:b/>
      <w:smallCaps/>
      <w:sz w:val="30"/>
    </w:rPr>
  </w:style>
  <w:style w:type="paragraph" w:customStyle="1" w:styleId="PTitle1Num">
    <w:name w:val="P_Title1_Num"/>
    <w:basedOn w:val="Normal"/>
    <w:next w:val="PListCaseNo"/>
    <w:rsid w:val="008824B9"/>
    <w:pPr>
      <w:spacing w:after="720"/>
      <w:jc w:val="center"/>
    </w:pPr>
    <w:rPr>
      <w:b/>
      <w:smallCaps/>
      <w:sz w:val="30"/>
    </w:rPr>
  </w:style>
  <w:style w:type="paragraph" w:customStyle="1" w:styleId="PTitle2Country">
    <w:name w:val="P_Title2_Country"/>
    <w:basedOn w:val="Normal"/>
    <w:next w:val="PListCases"/>
    <w:rsid w:val="008824B9"/>
    <w:pPr>
      <w:keepNext/>
      <w:keepLines/>
      <w:spacing w:before="600" w:after="360"/>
    </w:pPr>
    <w:rPr>
      <w:b/>
    </w:rPr>
  </w:style>
  <w:style w:type="paragraph" w:customStyle="1" w:styleId="PTitle2Letters">
    <w:name w:val="P_Title2_Letters"/>
    <w:basedOn w:val="Normal"/>
    <w:next w:val="PListCases"/>
    <w:rsid w:val="008824B9"/>
    <w:pPr>
      <w:keepNext/>
      <w:keepLines/>
      <w:spacing w:before="600" w:after="360"/>
    </w:pPr>
    <w:rPr>
      <w:b/>
      <w:sz w:val="28"/>
    </w:rPr>
  </w:style>
  <w:style w:type="paragraph" w:customStyle="1" w:styleId="PTitle2Part">
    <w:name w:val="P_Title2_Part"/>
    <w:basedOn w:val="Normal"/>
    <w:rsid w:val="008824B9"/>
    <w:pPr>
      <w:keepNext/>
      <w:keepLines/>
      <w:spacing w:before="600" w:after="240"/>
      <w:jc w:val="center"/>
    </w:pPr>
    <w:rPr>
      <w:b/>
      <w:caps/>
    </w:rPr>
  </w:style>
  <w:style w:type="paragraph" w:customStyle="1" w:styleId="PTitle3Article">
    <w:name w:val="P_Title3_Article"/>
    <w:basedOn w:val="Normal"/>
    <w:rsid w:val="008824B9"/>
    <w:pPr>
      <w:keepNext/>
      <w:keepLines/>
      <w:spacing w:before="360" w:after="120"/>
      <w:jc w:val="center"/>
    </w:pPr>
    <w:rPr>
      <w:b/>
      <w:smallCaps/>
      <w:sz w:val="22"/>
    </w:rPr>
  </w:style>
  <w:style w:type="paragraph" w:customStyle="1" w:styleId="PTitle4ArticleSub">
    <w:name w:val="P_Title4_Article_Sub"/>
    <w:basedOn w:val="PTitle3Article"/>
    <w:rsid w:val="008824B9"/>
    <w:pPr>
      <w:spacing w:before="240"/>
    </w:pPr>
    <w:rPr>
      <w:smallCaps w:val="0"/>
      <w:sz w:val="20"/>
    </w:rPr>
  </w:style>
  <w:style w:type="paragraph" w:customStyle="1" w:styleId="PTitle5Subject">
    <w:name w:val="P_Title5_Subject"/>
    <w:basedOn w:val="Normal"/>
    <w:rsid w:val="008824B9"/>
    <w:pPr>
      <w:keepNext/>
      <w:keepLines/>
      <w:spacing w:before="240" w:after="120"/>
      <w:jc w:val="both"/>
    </w:pPr>
    <w:rPr>
      <w:b/>
      <w:i/>
    </w:rPr>
  </w:style>
  <w:style w:type="paragraph" w:customStyle="1" w:styleId="PTitle6SubjectSub">
    <w:name w:val="P_Title6_Subject_Sub"/>
    <w:basedOn w:val="Normal"/>
    <w:rsid w:val="008824B9"/>
    <w:pPr>
      <w:keepNext/>
      <w:keepLines/>
      <w:spacing w:before="240" w:after="120"/>
      <w:ind w:left="284"/>
      <w:jc w:val="both"/>
    </w:pPr>
    <w:rPr>
      <w:b/>
      <w:sz w:val="20"/>
    </w:rPr>
  </w:style>
  <w:style w:type="paragraph" w:customStyle="1" w:styleId="PTitle7CaseName">
    <w:name w:val="P_Title7_CaseName"/>
    <w:basedOn w:val="Normal"/>
    <w:rsid w:val="008824B9"/>
    <w:pPr>
      <w:keepLines/>
      <w:spacing w:after="240"/>
      <w:jc w:val="right"/>
    </w:pPr>
    <w:rPr>
      <w:sz w:val="22"/>
    </w:rPr>
  </w:style>
  <w:style w:type="paragraph" w:customStyle="1" w:styleId="OpiParaSub">
    <w:name w:val="Opi_Para_Sub"/>
    <w:basedOn w:val="JuParaSub"/>
    <w:rsid w:val="008824B9"/>
  </w:style>
  <w:style w:type="paragraph" w:customStyle="1" w:styleId="OpiQuotSub">
    <w:name w:val="Opi_Quot_Sub"/>
    <w:basedOn w:val="JuQuotSub"/>
    <w:rsid w:val="008824B9"/>
  </w:style>
  <w:style w:type="character" w:customStyle="1" w:styleId="JuSignedChar">
    <w:name w:val="Ju_Signed Char"/>
    <w:basedOn w:val="DefaultParagraphFont"/>
    <w:link w:val="JuSigned"/>
    <w:rsid w:val="000726F6"/>
    <w:rPr>
      <w:sz w:val="24"/>
      <w:lang w:val="en-GB" w:eastAsia="fr-FR" w:bidi="ar-SA"/>
    </w:rPr>
  </w:style>
  <w:style w:type="character" w:customStyle="1" w:styleId="JuJudgesChar">
    <w:name w:val="Ju_Judges Char"/>
    <w:basedOn w:val="DefaultParagraphFont"/>
    <w:link w:val="JuJudges"/>
    <w:locked/>
    <w:rsid w:val="00D15473"/>
    <w:rPr>
      <w:sz w:val="24"/>
      <w:lang w:val="en-GB" w:eastAsia="fr-FR" w:bidi="ar-SA"/>
    </w:rPr>
  </w:style>
  <w:style w:type="character" w:customStyle="1" w:styleId="JuCaseChar">
    <w:name w:val="Ju_Case Char"/>
    <w:basedOn w:val="JuParaChar"/>
    <w:link w:val="JuCase"/>
    <w:rsid w:val="00B921A8"/>
    <w:rPr>
      <w:b/>
      <w:sz w:val="24"/>
      <w:lang w:val="en-GB" w:eastAsia="fr-FR" w:bidi="ar-SA"/>
    </w:rPr>
  </w:style>
  <w:style w:type="character" w:customStyle="1" w:styleId="JuParaCar">
    <w:name w:val="Ju_Para Car"/>
    <w:basedOn w:val="DefaultParagraphFont"/>
    <w:rsid w:val="00B460AF"/>
    <w:rPr>
      <w:sz w:val="24"/>
      <w:lang w:val="en-GB" w:eastAsia="fr-FR" w:bidi="ar-SA"/>
    </w:rPr>
  </w:style>
  <w:style w:type="character" w:customStyle="1" w:styleId="JuListChar">
    <w:name w:val="Ju_List Char"/>
    <w:basedOn w:val="DefaultParagraphFont"/>
    <w:link w:val="JuList"/>
    <w:rsid w:val="00930CD7"/>
    <w:rPr>
      <w:sz w:val="24"/>
      <w:lang w:val="en-GB" w:eastAsia="fr-FR" w:bidi="ar-SA"/>
    </w:rPr>
  </w:style>
  <w:style w:type="character" w:styleId="Strong">
    <w:name w:val="Strong"/>
    <w:basedOn w:val="DefaultParagraphFont"/>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basedOn w:val="DefaultParagraphFont"/>
    <w:rsid w:val="008824B9"/>
    <w:rPr>
      <w:smallCaps/>
    </w:rPr>
  </w:style>
  <w:style w:type="paragraph" w:customStyle="1" w:styleId="NormalJustified">
    <w:name w:val="Normal_Justified"/>
    <w:basedOn w:val="Normal"/>
    <w:rsid w:val="008824B9"/>
    <w:pPr>
      <w:jc w:val="both"/>
    </w:pPr>
  </w:style>
  <w:style w:type="paragraph" w:customStyle="1" w:styleId="AppQuestion">
    <w:name w:val="App_Question"/>
    <w:basedOn w:val="ListBullet"/>
    <w:rsid w:val="008824B9"/>
    <w:pPr>
      <w:numPr>
        <w:numId w:val="3"/>
      </w:numPr>
    </w:pPr>
    <w:rPr>
      <w:b/>
      <w:color w:val="333333"/>
    </w:rPr>
  </w:style>
  <w:style w:type="paragraph" w:styleId="ListBullet">
    <w:name w:val="List Bullet"/>
    <w:basedOn w:val="Normal"/>
    <w:rsid w:val="008824B9"/>
    <w:pPr>
      <w:numPr>
        <w:numId w:val="2"/>
      </w:numPr>
    </w:pPr>
  </w:style>
  <w:style w:type="character" w:styleId="Hyperlink">
    <w:name w:val="Hyperlink"/>
    <w:basedOn w:val="DefaultParagraphFont"/>
    <w:rsid w:val="00A337E7"/>
    <w:rPr>
      <w:color w:val="0000FF"/>
      <w:u w:val="single"/>
    </w:rPr>
  </w:style>
  <w:style w:type="paragraph" w:customStyle="1" w:styleId="JuParaCharChar">
    <w:name w:val="Ju_Para Char Char"/>
    <w:basedOn w:val="Normal"/>
    <w:link w:val="JuParaCharCharChar"/>
    <w:rsid w:val="00604C51"/>
    <w:pPr>
      <w:ind w:firstLine="284"/>
      <w:jc w:val="both"/>
    </w:pPr>
  </w:style>
  <w:style w:type="paragraph" w:customStyle="1" w:styleId="JuH1Char">
    <w:name w:val="Ju_H_1. Char"/>
    <w:basedOn w:val="JuHA"/>
    <w:next w:val="JuParaCharChar"/>
    <w:link w:val="JuH1CharChar"/>
    <w:rsid w:val="00604C51"/>
    <w:pPr>
      <w:keepNext w:val="0"/>
      <w:keepLines w:val="0"/>
      <w:tabs>
        <w:tab w:val="left" w:pos="357"/>
        <w:tab w:val="left" w:pos="731"/>
      </w:tabs>
      <w:spacing w:before="240" w:after="120"/>
      <w:ind w:left="732" w:hanging="301"/>
      <w:outlineLvl w:val="9"/>
    </w:pPr>
    <w:rPr>
      <w:b w:val="0"/>
      <w:i/>
    </w:rPr>
  </w:style>
  <w:style w:type="character" w:customStyle="1" w:styleId="JuParaCharCharChar">
    <w:name w:val="Ju_Para Char Char Char"/>
    <w:basedOn w:val="DefaultParagraphFont"/>
    <w:link w:val="JuParaCharChar"/>
    <w:rsid w:val="00604C51"/>
    <w:rPr>
      <w:sz w:val="24"/>
      <w:lang w:val="en-GB" w:eastAsia="fr-FR" w:bidi="ar-SA"/>
    </w:rPr>
  </w:style>
  <w:style w:type="character" w:customStyle="1" w:styleId="JuH1CharChar">
    <w:name w:val="Ju_H_1. Char Char"/>
    <w:basedOn w:val="DefaultParagraphFont"/>
    <w:link w:val="JuH1Char"/>
    <w:rsid w:val="00604C51"/>
    <w:rPr>
      <w:i/>
      <w:sz w:val="24"/>
      <w:lang w:val="en-GB" w:eastAsia="fr-FR" w:bidi="ar-SA"/>
    </w:rPr>
  </w:style>
  <w:style w:type="character" w:customStyle="1" w:styleId="ju-005fpara--char">
    <w:name w:val="ju-005fpara--char"/>
    <w:basedOn w:val="DefaultParagraphFont"/>
    <w:rsid w:val="009E4783"/>
  </w:style>
  <w:style w:type="character" w:customStyle="1" w:styleId="ju-005fpara-0020char-0020char--char">
    <w:name w:val="ju-005fpara-0020char-0020char--char"/>
    <w:basedOn w:val="DefaultParagraphFont"/>
    <w:rsid w:val="00F52F0A"/>
  </w:style>
  <w:style w:type="paragraph" w:customStyle="1" w:styleId="ju-005fpara">
    <w:name w:val="ju-005fpara"/>
    <w:basedOn w:val="Normal"/>
    <w:rsid w:val="00CD38D1"/>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CD38D1"/>
    <w:pPr>
      <w:suppressAutoHyphens w:val="0"/>
      <w:spacing w:before="100" w:beforeAutospacing="1" w:after="100" w:afterAutospacing="1"/>
    </w:pPr>
    <w:rPr>
      <w:szCs w:val="24"/>
      <w:lang w:eastAsia="en-GB"/>
    </w:rPr>
  </w:style>
  <w:style w:type="character" w:customStyle="1" w:styleId="ju--005fpara----char--char">
    <w:name w:val="ju--005fpara----char--char"/>
    <w:basedOn w:val="DefaultParagraphFont"/>
    <w:rsid w:val="005F5806"/>
  </w:style>
  <w:style w:type="paragraph" w:customStyle="1" w:styleId="ju-005fpara-0020char">
    <w:name w:val="ju-005fpara-0020char"/>
    <w:basedOn w:val="Normal"/>
    <w:rsid w:val="003911B2"/>
    <w:pPr>
      <w:suppressAutoHyphens w:val="0"/>
      <w:spacing w:before="100" w:beforeAutospacing="1" w:after="100" w:afterAutospacing="1"/>
    </w:pPr>
    <w:rPr>
      <w:szCs w:val="24"/>
      <w:lang w:eastAsia="en-GB"/>
    </w:rPr>
  </w:style>
  <w:style w:type="character" w:customStyle="1" w:styleId="JuHAChar">
    <w:name w:val="Ju_H_A Char"/>
    <w:basedOn w:val="DefaultParagraphFont"/>
    <w:link w:val="JuHA"/>
    <w:rsid w:val="006F0141"/>
    <w:rPr>
      <w:b/>
      <w:sz w:val="24"/>
      <w:lang w:val="en-GB" w:eastAsia="fr-FR" w:bidi="ar-SA"/>
    </w:rPr>
  </w:style>
  <w:style w:type="character" w:customStyle="1" w:styleId="JuH1Char1">
    <w:name w:val="Ju_H_1. Char1"/>
    <w:basedOn w:val="JuHAChar"/>
    <w:link w:val="JuH1"/>
    <w:rsid w:val="00151D40"/>
    <w:rPr>
      <w:b/>
      <w:i/>
      <w:sz w:val="24"/>
      <w:lang w:val="en-GB" w:eastAsia="fr-FR" w:bidi="ar-SA"/>
    </w:rPr>
  </w:style>
  <w:style w:type="character" w:customStyle="1" w:styleId="JuHaChar0">
    <w:name w:val="Ju_H_a Char"/>
    <w:basedOn w:val="JuH1Char1"/>
    <w:link w:val="JuHa0"/>
    <w:rsid w:val="00151D40"/>
    <w:rPr>
      <w:b/>
      <w:i/>
      <w:sz w:val="24"/>
      <w:lang w:val="en-GB" w:eastAsia="fr-FR" w:bidi="ar-SA"/>
    </w:rPr>
  </w:style>
  <w:style w:type="character" w:customStyle="1" w:styleId="ju-005fpara-002cleft-002cfirst-0020line-003a-0020-00200-0020cm--char">
    <w:name w:val="ju-005fpara-002cleft-002cfirst-0020line-003a-0020-00200-0020cm--char"/>
    <w:basedOn w:val="DefaultParagraphFont"/>
    <w:rsid w:val="0055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445395640">
      <w:bodyDiv w:val="1"/>
      <w:marLeft w:val="0"/>
      <w:marRight w:val="0"/>
      <w:marTop w:val="0"/>
      <w:marBottom w:val="0"/>
      <w:divBdr>
        <w:top w:val="none" w:sz="0" w:space="0" w:color="auto"/>
        <w:left w:val="none" w:sz="0" w:space="0" w:color="auto"/>
        <w:bottom w:val="none" w:sz="0" w:space="0" w:color="auto"/>
        <w:right w:val="none" w:sz="0" w:space="0" w:color="auto"/>
      </w:divBdr>
    </w:div>
    <w:div w:id="1053041726">
      <w:bodyDiv w:val="1"/>
      <w:marLeft w:val="0"/>
      <w:marRight w:val="0"/>
      <w:marTop w:val="0"/>
      <w:marBottom w:val="0"/>
      <w:divBdr>
        <w:top w:val="none" w:sz="0" w:space="0" w:color="auto"/>
        <w:left w:val="none" w:sz="0" w:space="0" w:color="auto"/>
        <w:bottom w:val="none" w:sz="0" w:space="0" w:color="auto"/>
        <w:right w:val="none" w:sz="0" w:space="0" w:color="auto"/>
      </w:divBdr>
    </w:div>
    <w:div w:id="1204712433">
      <w:bodyDiv w:val="1"/>
      <w:marLeft w:val="0"/>
      <w:marRight w:val="0"/>
      <w:marTop w:val="0"/>
      <w:marBottom w:val="0"/>
      <w:divBdr>
        <w:top w:val="none" w:sz="0" w:space="0" w:color="auto"/>
        <w:left w:val="none" w:sz="0" w:space="0" w:color="auto"/>
        <w:bottom w:val="none" w:sz="0" w:space="0" w:color="auto"/>
        <w:right w:val="none" w:sz="0" w:space="0" w:color="auto"/>
      </w:divBdr>
    </w:div>
    <w:div w:id="1217861819">
      <w:bodyDiv w:val="1"/>
      <w:marLeft w:val="0"/>
      <w:marRight w:val="0"/>
      <w:marTop w:val="0"/>
      <w:marBottom w:val="0"/>
      <w:divBdr>
        <w:top w:val="none" w:sz="0" w:space="0" w:color="auto"/>
        <w:left w:val="none" w:sz="0" w:space="0" w:color="auto"/>
        <w:bottom w:val="none" w:sz="0" w:space="0" w:color="auto"/>
        <w:right w:val="none" w:sz="0" w:space="0" w:color="auto"/>
      </w:divBdr>
    </w:div>
    <w:div w:id="186274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4A40F-C48D-40A3-BE7A-C625DB43D1A2}">
  <ds:schemaRefs>
    <ds:schemaRef ds:uri="http://schemas.microsoft.com/sharepoint/v3/contenttype/forms"/>
  </ds:schemaRefs>
</ds:datastoreItem>
</file>

<file path=customXml/itemProps2.xml><?xml version="1.0" encoding="utf-8"?>
<ds:datastoreItem xmlns:ds="http://schemas.openxmlformats.org/officeDocument/2006/customXml" ds:itemID="{C0C85941-7707-4EC2-850C-F494F64F6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4</cp:revision>
  <cp:lastPrinted>2011-05-19T09:56:00Z</cp:lastPrinted>
  <dcterms:created xsi:type="dcterms:W3CDTF">2012-06-21T15:20:00Z</dcterms:created>
  <dcterms:modified xsi:type="dcterms:W3CDTF">2012-06-21T15:20:00Z</dcterms:modified>
  <cp:category>ECHR Template</cp:category>
</cp:coreProperties>
</file>