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6A" w:rsidRDefault="00F71A6A" w:rsidP="00042867">
      <w:pPr>
        <w:jc w:val="center"/>
      </w:pPr>
    </w:p>
    <w:p w:rsidR="00683DCB" w:rsidRDefault="00683DCB" w:rsidP="00042867">
      <w:pPr>
        <w:jc w:val="center"/>
      </w:pPr>
    </w:p>
    <w:p w:rsidR="00683DCB" w:rsidRPr="00832702" w:rsidRDefault="00683DCB" w:rsidP="00042867">
      <w:pPr>
        <w:jc w:val="center"/>
      </w:pPr>
    </w:p>
    <w:p w:rsidR="00F71A6A" w:rsidRPr="00832702" w:rsidRDefault="00832702" w:rsidP="00042867">
      <w:pPr>
        <w:jc w:val="center"/>
      </w:pPr>
      <w:r w:rsidRPr="00832702">
        <w:t>FOURTH SECTION</w:t>
      </w:r>
    </w:p>
    <w:p w:rsidR="00F71A6A" w:rsidRDefault="00F71A6A" w:rsidP="00042867">
      <w:pPr>
        <w:jc w:val="center"/>
      </w:pPr>
    </w:p>
    <w:p w:rsidR="00683DCB" w:rsidRDefault="00683DCB" w:rsidP="00042867">
      <w:pPr>
        <w:jc w:val="center"/>
      </w:pPr>
    </w:p>
    <w:p w:rsidR="00683DCB" w:rsidRDefault="00683DCB" w:rsidP="00042867">
      <w:pPr>
        <w:jc w:val="center"/>
      </w:pPr>
    </w:p>
    <w:p w:rsidR="00683DCB" w:rsidRDefault="00683DCB" w:rsidP="00042867">
      <w:pPr>
        <w:jc w:val="center"/>
      </w:pPr>
    </w:p>
    <w:p w:rsidR="00683DCB" w:rsidRDefault="00683DCB" w:rsidP="00042867">
      <w:pPr>
        <w:jc w:val="center"/>
      </w:pPr>
    </w:p>
    <w:p w:rsidR="00683DCB" w:rsidRPr="00832702" w:rsidRDefault="00683DCB" w:rsidP="00042867">
      <w:pPr>
        <w:jc w:val="center"/>
      </w:pPr>
    </w:p>
    <w:p w:rsidR="00F71A6A" w:rsidRPr="00832702" w:rsidRDefault="00F71A6A" w:rsidP="00042867">
      <w:pPr>
        <w:jc w:val="center"/>
        <w:rPr>
          <w:b/>
        </w:rPr>
      </w:pPr>
      <w:bookmarkStart w:id="0" w:name="To"/>
      <w:r w:rsidRPr="00832702">
        <w:rPr>
          <w:b/>
        </w:rPr>
        <w:t xml:space="preserve">CASE OF </w:t>
      </w:r>
      <w:bookmarkEnd w:id="0"/>
      <w:r w:rsidR="00366A6D">
        <w:rPr>
          <w:b/>
        </w:rPr>
        <w:t>D.</w:t>
      </w:r>
      <w:r w:rsidR="00366A6D" w:rsidRPr="00832702">
        <w:rPr>
          <w:b/>
        </w:rPr>
        <w:t>F</w:t>
      </w:r>
      <w:r w:rsidR="00366A6D">
        <w:rPr>
          <w:b/>
        </w:rPr>
        <w:t>.</w:t>
      </w:r>
      <w:r w:rsidR="00366A6D" w:rsidRPr="00832702">
        <w:rPr>
          <w:b/>
        </w:rPr>
        <w:t xml:space="preserve"> </w:t>
      </w:r>
      <w:r w:rsidR="00832702" w:rsidRPr="00832702">
        <w:rPr>
          <w:b/>
        </w:rPr>
        <w:t>v. LATVIA</w:t>
      </w:r>
    </w:p>
    <w:p w:rsidR="00F71A6A" w:rsidRPr="00832702" w:rsidRDefault="00F71A6A" w:rsidP="00042867">
      <w:pPr>
        <w:jc w:val="center"/>
      </w:pPr>
    </w:p>
    <w:p w:rsidR="00F71A6A" w:rsidRPr="00832702" w:rsidRDefault="00F71A6A" w:rsidP="00042867">
      <w:pPr>
        <w:jc w:val="center"/>
        <w:rPr>
          <w:i/>
        </w:rPr>
      </w:pPr>
      <w:r w:rsidRPr="00832702">
        <w:rPr>
          <w:i/>
        </w:rPr>
        <w:t>(</w:t>
      </w:r>
      <w:r w:rsidR="00832702" w:rsidRPr="00832702">
        <w:rPr>
          <w:i/>
        </w:rPr>
        <w:t>Application no. 11160/07</w:t>
      </w:r>
      <w:r w:rsidRPr="00832702">
        <w:rPr>
          <w:i/>
        </w:rPr>
        <w:t>)</w:t>
      </w:r>
    </w:p>
    <w:p w:rsidR="00F71A6A" w:rsidRPr="00832702" w:rsidRDefault="00F71A6A" w:rsidP="00042867">
      <w:pPr>
        <w:jc w:val="center"/>
      </w:pPr>
    </w:p>
    <w:p w:rsidR="00F71A6A" w:rsidRPr="00832702" w:rsidRDefault="00F71A6A" w:rsidP="00042867">
      <w:pPr>
        <w:jc w:val="center"/>
      </w:pPr>
    </w:p>
    <w:p w:rsidR="00F71A6A" w:rsidRPr="00832702" w:rsidRDefault="00F71A6A" w:rsidP="00042867">
      <w:pPr>
        <w:jc w:val="center"/>
      </w:pPr>
    </w:p>
    <w:p w:rsidR="00F71A6A" w:rsidRDefault="00F71A6A" w:rsidP="00042867">
      <w:pPr>
        <w:jc w:val="center"/>
      </w:pPr>
    </w:p>
    <w:p w:rsidR="00D870DC" w:rsidRPr="00832702" w:rsidRDefault="00D870DC" w:rsidP="00042867">
      <w:pPr>
        <w:jc w:val="center"/>
      </w:pPr>
    </w:p>
    <w:p w:rsidR="00F71A6A" w:rsidRPr="00832702" w:rsidRDefault="00F71A6A" w:rsidP="00042867">
      <w:pPr>
        <w:jc w:val="center"/>
      </w:pPr>
    </w:p>
    <w:p w:rsidR="00F71A6A" w:rsidRPr="00832702" w:rsidRDefault="00F71A6A" w:rsidP="00042867">
      <w:pPr>
        <w:jc w:val="center"/>
      </w:pPr>
    </w:p>
    <w:p w:rsidR="00683DCB" w:rsidRDefault="00683DCB" w:rsidP="00683DCB">
      <w:pPr>
        <w:pStyle w:val="JuPara"/>
        <w:ind w:firstLine="0"/>
        <w:jc w:val="center"/>
      </w:pPr>
      <w:r>
        <w:t>JUDGMENT</w:t>
      </w:r>
    </w:p>
    <w:p w:rsidR="00683DCB" w:rsidRDefault="00683DCB" w:rsidP="00683DCB">
      <w:pPr>
        <w:pStyle w:val="JuPara"/>
        <w:ind w:firstLine="0"/>
        <w:jc w:val="center"/>
      </w:pPr>
    </w:p>
    <w:p w:rsidR="00B44801" w:rsidRDefault="00B44801" w:rsidP="00683DCB">
      <w:pPr>
        <w:pStyle w:val="JuPara"/>
        <w:ind w:firstLine="0"/>
        <w:jc w:val="center"/>
      </w:pPr>
    </w:p>
    <w:p w:rsidR="00B44801" w:rsidRDefault="00B44801" w:rsidP="00683DCB">
      <w:pPr>
        <w:pStyle w:val="JuPara"/>
        <w:ind w:firstLine="0"/>
        <w:jc w:val="center"/>
      </w:pPr>
    </w:p>
    <w:p w:rsidR="00B44801" w:rsidRDefault="00B44801" w:rsidP="00683DCB">
      <w:pPr>
        <w:pStyle w:val="JuPara"/>
        <w:ind w:firstLine="0"/>
        <w:jc w:val="center"/>
      </w:pPr>
    </w:p>
    <w:p w:rsidR="00683DCB" w:rsidRDefault="00683DCB" w:rsidP="00683DCB">
      <w:pPr>
        <w:pStyle w:val="JuPara"/>
        <w:ind w:firstLine="0"/>
        <w:jc w:val="center"/>
      </w:pPr>
      <w:r>
        <w:t>STRASBOURG</w:t>
      </w:r>
    </w:p>
    <w:p w:rsidR="00683DCB" w:rsidRDefault="00683DCB" w:rsidP="00683DCB">
      <w:pPr>
        <w:pStyle w:val="JuPara"/>
        <w:ind w:firstLine="0"/>
        <w:jc w:val="center"/>
      </w:pPr>
    </w:p>
    <w:p w:rsidR="00683DCB" w:rsidRDefault="00683DCB" w:rsidP="00683DCB">
      <w:pPr>
        <w:pStyle w:val="JuPara"/>
        <w:ind w:firstLine="0"/>
        <w:jc w:val="center"/>
      </w:pPr>
      <w:r>
        <w:t>29 October 2013</w:t>
      </w:r>
    </w:p>
    <w:p w:rsidR="00683DCB" w:rsidRDefault="00683DCB" w:rsidP="00683DCB">
      <w:pPr>
        <w:pStyle w:val="JuPara"/>
        <w:ind w:firstLine="0"/>
        <w:jc w:val="center"/>
      </w:pPr>
    </w:p>
    <w:p w:rsidR="00B44801" w:rsidRDefault="00B44801" w:rsidP="00683DCB">
      <w:pPr>
        <w:pStyle w:val="JuPara"/>
        <w:ind w:firstLine="0"/>
        <w:jc w:val="center"/>
      </w:pPr>
    </w:p>
    <w:p w:rsidR="00683DCB" w:rsidRDefault="00683DCB" w:rsidP="00683DCB">
      <w:pPr>
        <w:pStyle w:val="JuPara"/>
        <w:ind w:firstLine="0"/>
        <w:jc w:val="center"/>
      </w:pPr>
    </w:p>
    <w:p w:rsidR="00D870DC" w:rsidRDefault="00D870DC" w:rsidP="00683DCB">
      <w:pPr>
        <w:pStyle w:val="JuPara"/>
        <w:ind w:firstLine="0"/>
        <w:jc w:val="center"/>
      </w:pPr>
    </w:p>
    <w:p w:rsidR="00D870DC" w:rsidRDefault="00683DCB" w:rsidP="00B44801">
      <w:pPr>
        <w:pStyle w:val="JuPara"/>
        <w:ind w:firstLine="0"/>
        <w:jc w:val="left"/>
        <w:rPr>
          <w:i/>
          <w:sz w:val="22"/>
        </w:rPr>
      </w:pPr>
      <w:r>
        <w:rPr>
          <w:i/>
          <w:sz w:val="22"/>
        </w:rPr>
        <w:t>This judgment will become final in the circumstances set out in Article 44 § 2 of the Convention. It may be subject to editorial revision.</w:t>
      </w:r>
    </w:p>
    <w:p w:rsidR="00683DCB" w:rsidRDefault="00683DCB" w:rsidP="00B44801">
      <w:pPr>
        <w:pStyle w:val="JuPara"/>
        <w:ind w:firstLine="0"/>
        <w:jc w:val="left"/>
        <w:sectPr w:rsidR="00683DCB" w:rsidSect="00683DCB">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code="9"/>
          <w:pgMar w:top="2274" w:right="2274" w:bottom="2274" w:left="2274" w:header="1701" w:footer="720" w:gutter="0"/>
          <w:pgNumType w:start="1"/>
          <w:cols w:space="720"/>
          <w:titlePg/>
          <w:docGrid w:linePitch="326"/>
        </w:sectPr>
      </w:pPr>
      <w:r>
        <w:t xml:space="preserve"> </w:t>
      </w:r>
    </w:p>
    <w:p w:rsidR="00B030BE" w:rsidRPr="00832702" w:rsidRDefault="00F71A6A" w:rsidP="00B030BE">
      <w:pPr>
        <w:pStyle w:val="JuCase"/>
        <w:rPr>
          <w:b w:val="0"/>
          <w:bCs/>
        </w:rPr>
      </w:pPr>
      <w:r w:rsidRPr="00832702">
        <w:t>In the case of</w:t>
      </w:r>
      <w:r w:rsidR="00B030BE" w:rsidRPr="00832702">
        <w:t xml:space="preserve"> </w:t>
      </w:r>
      <w:r w:rsidR="00366A6D">
        <w:t>D.</w:t>
      </w:r>
      <w:r w:rsidR="00366A6D" w:rsidRPr="00832702">
        <w:t>F</w:t>
      </w:r>
      <w:r w:rsidR="00366A6D">
        <w:t>.</w:t>
      </w:r>
      <w:r w:rsidR="00366A6D" w:rsidRPr="00832702">
        <w:t xml:space="preserve"> </w:t>
      </w:r>
      <w:r w:rsidR="00832702" w:rsidRPr="00832702">
        <w:t>v. Latvia</w:t>
      </w:r>
      <w:r w:rsidR="00B030BE" w:rsidRPr="00832702">
        <w:t>,</w:t>
      </w:r>
    </w:p>
    <w:p w:rsidR="00730433" w:rsidRPr="00832702" w:rsidRDefault="00F71A6A" w:rsidP="00B030BE">
      <w:pPr>
        <w:pStyle w:val="JuCase"/>
        <w:rPr>
          <w:b w:val="0"/>
          <w:bCs/>
          <w:szCs w:val="24"/>
        </w:rPr>
      </w:pPr>
      <w:r w:rsidRPr="00832702">
        <w:rPr>
          <w:b w:val="0"/>
          <w:bCs/>
          <w:szCs w:val="24"/>
        </w:rPr>
        <w:t>The European Court of Human Rights (</w:t>
      </w:r>
      <w:r w:rsidR="00832702" w:rsidRPr="00832702">
        <w:rPr>
          <w:b w:val="0"/>
          <w:bCs/>
          <w:szCs w:val="24"/>
        </w:rPr>
        <w:t>Fourth Section</w:t>
      </w:r>
      <w:r w:rsidRPr="00832702">
        <w:rPr>
          <w:b w:val="0"/>
          <w:bCs/>
          <w:szCs w:val="24"/>
        </w:rPr>
        <w:t xml:space="preserve">), sitting as a </w:t>
      </w:r>
      <w:r w:rsidR="00832702" w:rsidRPr="00832702">
        <w:rPr>
          <w:b w:val="0"/>
          <w:bCs/>
          <w:szCs w:val="24"/>
        </w:rPr>
        <w:t>Chamber</w:t>
      </w:r>
      <w:r w:rsidR="00730433" w:rsidRPr="00832702">
        <w:rPr>
          <w:b w:val="0"/>
          <w:bCs/>
          <w:szCs w:val="24"/>
        </w:rPr>
        <w:t xml:space="preserve"> composed of:</w:t>
      </w:r>
    </w:p>
    <w:p w:rsidR="00F71A6A" w:rsidRPr="00832702" w:rsidRDefault="00433E7F" w:rsidP="008824B9">
      <w:pPr>
        <w:pStyle w:val="JuJudges"/>
      </w:pPr>
      <w:r w:rsidRPr="00634EF8">
        <w:rPr>
          <w:rStyle w:val="JuJudgesChar"/>
        </w:rPr>
        <w:tab/>
        <w:t>David Thór Björgvinsson,</w:t>
      </w:r>
      <w:r w:rsidRPr="00634EF8">
        <w:rPr>
          <w:rStyle w:val="JuJudgesChar"/>
          <w:i/>
        </w:rPr>
        <w:t xml:space="preserve"> President,</w:t>
      </w:r>
      <w:r w:rsidRPr="00634EF8">
        <w:rPr>
          <w:rStyle w:val="JuJudgesChar"/>
          <w:i/>
        </w:rPr>
        <w:br/>
      </w:r>
      <w:r w:rsidRPr="00634EF8">
        <w:rPr>
          <w:rStyle w:val="JuJudgesChar"/>
        </w:rPr>
        <w:tab/>
        <w:t>Ineta Ziemele,</w:t>
      </w:r>
      <w:r w:rsidRPr="00634EF8">
        <w:rPr>
          <w:rStyle w:val="JuJudgesChar"/>
          <w:i/>
        </w:rPr>
        <w:br/>
      </w:r>
      <w:r w:rsidRPr="00634EF8">
        <w:rPr>
          <w:rStyle w:val="JuJudgesChar"/>
        </w:rPr>
        <w:tab/>
        <w:t>Päivi Hirvelä,</w:t>
      </w:r>
      <w:r w:rsidRPr="00634EF8">
        <w:rPr>
          <w:rStyle w:val="JuJudgesChar"/>
          <w:i/>
        </w:rPr>
        <w:br/>
      </w:r>
      <w:r w:rsidRPr="00634EF8">
        <w:rPr>
          <w:rStyle w:val="JuJudgesChar"/>
        </w:rPr>
        <w:tab/>
        <w:t>George Nicolaou,</w:t>
      </w:r>
      <w:r w:rsidRPr="00634EF8">
        <w:rPr>
          <w:rStyle w:val="JuJudgesChar"/>
          <w:i/>
        </w:rPr>
        <w:br/>
      </w:r>
      <w:r w:rsidRPr="00634EF8">
        <w:rPr>
          <w:rStyle w:val="JuJudgesChar"/>
        </w:rPr>
        <w:tab/>
        <w:t>Ledi Bianku,</w:t>
      </w:r>
      <w:r w:rsidRPr="00634EF8">
        <w:rPr>
          <w:rStyle w:val="JuJudgesChar"/>
          <w:i/>
        </w:rPr>
        <w:br/>
      </w:r>
      <w:r w:rsidRPr="00634EF8">
        <w:rPr>
          <w:rStyle w:val="JuJudgesChar"/>
        </w:rPr>
        <w:tab/>
        <w:t>Zdravka Kalaydjieva,</w:t>
      </w:r>
      <w:r w:rsidRPr="00634EF8">
        <w:rPr>
          <w:rStyle w:val="JuJudgesChar"/>
          <w:i/>
        </w:rPr>
        <w:br/>
      </w:r>
      <w:r>
        <w:rPr>
          <w:rStyle w:val="JuJudgesChar"/>
        </w:rPr>
        <w:tab/>
        <w:t>Vincent A. D</w:t>
      </w:r>
      <w:r w:rsidRPr="00634EF8">
        <w:rPr>
          <w:rStyle w:val="JuJudgesChar"/>
        </w:rPr>
        <w:t>e Gaetano,</w:t>
      </w:r>
      <w:r w:rsidRPr="00634EF8">
        <w:rPr>
          <w:rStyle w:val="JuJudgesChar"/>
          <w:i/>
        </w:rPr>
        <w:t xml:space="preserve"> judges,</w:t>
      </w:r>
      <w:r w:rsidRPr="00634EF8">
        <w:rPr>
          <w:rStyle w:val="JuJudgesChar"/>
          <w:i/>
        </w:rPr>
        <w:br/>
      </w:r>
      <w:r w:rsidR="00F71A6A" w:rsidRPr="00832702">
        <w:t>and</w:t>
      </w:r>
      <w:r w:rsidR="000726F6" w:rsidRPr="00832702">
        <w:t xml:space="preserve"> </w:t>
      </w:r>
      <w:r w:rsidR="00C14E5C">
        <w:t>Françoise Elens-Passos</w:t>
      </w:r>
      <w:r w:rsidR="009D4B87" w:rsidRPr="00832702">
        <w:rPr>
          <w:rStyle w:val="JuJudgesChar"/>
        </w:rPr>
        <w:t xml:space="preserve">, </w:t>
      </w:r>
      <w:r w:rsidR="00832702" w:rsidRPr="00832702">
        <w:rPr>
          <w:i/>
        </w:rPr>
        <w:t xml:space="preserve">Section </w:t>
      </w:r>
      <w:r w:rsidR="00832702" w:rsidRPr="00832702">
        <w:rPr>
          <w:i/>
          <w:iCs/>
        </w:rPr>
        <w:t>Registrar</w:t>
      </w:r>
      <w:r w:rsidR="00F71A6A" w:rsidRPr="00832702">
        <w:rPr>
          <w:i/>
        </w:rPr>
        <w:t>,</w:t>
      </w:r>
    </w:p>
    <w:p w:rsidR="00F71A6A" w:rsidRPr="00832702" w:rsidRDefault="00F71A6A" w:rsidP="002F4BCF">
      <w:pPr>
        <w:pStyle w:val="JuPara"/>
      </w:pPr>
      <w:r w:rsidRPr="00832702">
        <w:t xml:space="preserve">Having deliberated in private on </w:t>
      </w:r>
      <w:r w:rsidR="00433E7F">
        <w:t>8 October 2013</w:t>
      </w:r>
      <w:r w:rsidRPr="00832702">
        <w:t>,</w:t>
      </w:r>
    </w:p>
    <w:p w:rsidR="00F71A6A" w:rsidRPr="00832702" w:rsidRDefault="00F71A6A" w:rsidP="002F4BCF">
      <w:pPr>
        <w:pStyle w:val="JuPara"/>
      </w:pPr>
      <w:r w:rsidRPr="00832702">
        <w:t>Delivers the following judgment, which was adopted on that date:</w:t>
      </w:r>
    </w:p>
    <w:p w:rsidR="00F71A6A" w:rsidRPr="00832702" w:rsidRDefault="00F71A6A" w:rsidP="008824B9">
      <w:pPr>
        <w:pStyle w:val="JuHHead"/>
      </w:pPr>
      <w:r w:rsidRPr="00832702">
        <w:t>PROCEDURE</w:t>
      </w:r>
    </w:p>
    <w:p w:rsidR="00832702" w:rsidRPr="00AD3249" w:rsidRDefault="00832702" w:rsidP="00893782">
      <w:pPr>
        <w:pStyle w:val="JuPara"/>
      </w:pPr>
      <w:r w:rsidRPr="00832702">
        <w:fldChar w:fldCharType="begin"/>
      </w:r>
      <w:r w:rsidRPr="00832702">
        <w:instrText xml:space="preserve"> SEQ level0 \*arabic </w:instrText>
      </w:r>
      <w:r w:rsidRPr="00832702">
        <w:fldChar w:fldCharType="separate"/>
      </w:r>
      <w:r w:rsidR="00740F03">
        <w:rPr>
          <w:noProof/>
        </w:rPr>
        <w:t>1</w:t>
      </w:r>
      <w:r w:rsidRPr="00832702">
        <w:fldChar w:fldCharType="end"/>
      </w:r>
      <w:r w:rsidR="00F71A6A" w:rsidRPr="00832702">
        <w:t xml:space="preserve">.  The </w:t>
      </w:r>
      <w:r w:rsidR="00F71A6A" w:rsidRPr="00AD3249">
        <w:t xml:space="preserve">case originated in </w:t>
      </w:r>
      <w:r w:rsidRPr="00AD3249">
        <w:t>an application (no.</w:t>
      </w:r>
      <w:r w:rsidR="00AD3249">
        <w:t> </w:t>
      </w:r>
      <w:r w:rsidRPr="00AD3249">
        <w:t>11160/07)</w:t>
      </w:r>
      <w:r w:rsidR="00F71A6A" w:rsidRPr="00AD3249">
        <w:t xml:space="preserve"> against </w:t>
      </w:r>
      <w:r w:rsidRPr="00AD3249">
        <w:t>the Republic of Latvia</w:t>
      </w:r>
      <w:r w:rsidR="00F71A6A" w:rsidRPr="00AD3249">
        <w:t xml:space="preserve"> lodged with the </w:t>
      </w:r>
      <w:r w:rsidRPr="00AD3249">
        <w:t>Court under Article</w:t>
      </w:r>
      <w:r w:rsidR="00B368F9" w:rsidRPr="00AD3249">
        <w:t> </w:t>
      </w:r>
      <w:r w:rsidRPr="00AD3249">
        <w:t>34</w:t>
      </w:r>
      <w:r w:rsidR="004920B1" w:rsidRPr="00AD3249">
        <w:t xml:space="preserve"> of the Convention for the Protection of Human Rights and Fundamental Freedoms (“the Convention”)</w:t>
      </w:r>
      <w:r w:rsidR="00F71A6A" w:rsidRPr="00AD3249">
        <w:t xml:space="preserve"> by </w:t>
      </w:r>
      <w:r w:rsidRPr="00AD3249">
        <w:t xml:space="preserve">a Latvian national, Mr </w:t>
      </w:r>
      <w:r w:rsidR="00366A6D" w:rsidRPr="00AD3249">
        <w:t xml:space="preserve">D.F. </w:t>
      </w:r>
      <w:r w:rsidRPr="00AD3249">
        <w:t>(“the applicant”), on 20</w:t>
      </w:r>
      <w:r w:rsidR="00C14E5C" w:rsidRPr="00AD3249">
        <w:t> </w:t>
      </w:r>
      <w:r w:rsidRPr="00AD3249">
        <w:t>February 2007</w:t>
      </w:r>
      <w:r w:rsidR="00F71A6A" w:rsidRPr="00AD3249">
        <w:t>.</w:t>
      </w:r>
      <w:r w:rsidR="00366A6D" w:rsidRPr="00AD3249">
        <w:t xml:space="preserve"> </w:t>
      </w:r>
      <w:r w:rsidR="00366A6D" w:rsidRPr="00AD3249">
        <w:rPr>
          <w:rStyle w:val="sb8d990e2"/>
        </w:rPr>
        <w:t xml:space="preserve">The President of the Chamber decided of his </w:t>
      </w:r>
      <w:bookmarkStart w:id="2" w:name="HIT1"/>
      <w:bookmarkEnd w:id="2"/>
      <w:r w:rsidR="00366A6D" w:rsidRPr="00AD3249">
        <w:rPr>
          <w:rStyle w:val="sb8d990e2"/>
        </w:rPr>
        <w:t xml:space="preserve">own </w:t>
      </w:r>
      <w:bookmarkStart w:id="3" w:name="HIT2"/>
      <w:bookmarkEnd w:id="3"/>
      <w:r w:rsidR="00366A6D" w:rsidRPr="00AD3249">
        <w:rPr>
          <w:rStyle w:val="sb8d990e2"/>
        </w:rPr>
        <w:t>motion to grant the applicant anonymity pursuant Rule 47 § 3 of the Rules of Court.</w:t>
      </w:r>
    </w:p>
    <w:p w:rsidR="00832702" w:rsidRPr="00AD3249" w:rsidRDefault="00832702" w:rsidP="002F4BCF">
      <w:pPr>
        <w:pStyle w:val="JuPara"/>
      </w:pPr>
      <w:r w:rsidRPr="00AD3249">
        <w:fldChar w:fldCharType="begin"/>
      </w:r>
      <w:r w:rsidRPr="00AD3249">
        <w:instrText xml:space="preserve"> SEQ level0 \*arabic </w:instrText>
      </w:r>
      <w:r w:rsidRPr="00AD3249">
        <w:fldChar w:fldCharType="separate"/>
      </w:r>
      <w:r w:rsidR="00740F03">
        <w:rPr>
          <w:noProof/>
        </w:rPr>
        <w:t>2</w:t>
      </w:r>
      <w:r w:rsidRPr="00AD3249">
        <w:fldChar w:fldCharType="end"/>
      </w:r>
      <w:r w:rsidR="00F71A6A" w:rsidRPr="00AD3249">
        <w:t>.  </w:t>
      </w:r>
      <w:r w:rsidRPr="00AD3249">
        <w:t>The applicant, who had been granted legal aid, was represented by Ms</w:t>
      </w:r>
      <w:r w:rsidR="00EA1E8A" w:rsidRPr="00AD3249">
        <w:t> </w:t>
      </w:r>
      <w:r w:rsidRPr="00AD3249">
        <w:t>B.</w:t>
      </w:r>
      <w:r w:rsidR="00EA1E8A" w:rsidRPr="00AD3249">
        <w:t> </w:t>
      </w:r>
      <w:r w:rsidRPr="00AD3249">
        <w:t>Didrihsone, a lawyer practising in R</w:t>
      </w:r>
      <w:r w:rsidR="00EA1E8A" w:rsidRPr="00AD3249">
        <w:t>ī</w:t>
      </w:r>
      <w:r w:rsidRPr="00AD3249">
        <w:t xml:space="preserve">ga. </w:t>
      </w:r>
      <w:r w:rsidR="00F71A6A" w:rsidRPr="00AD3249">
        <w:t xml:space="preserve">The </w:t>
      </w:r>
      <w:r w:rsidRPr="00AD3249">
        <w:t>Latvian</w:t>
      </w:r>
      <w:r w:rsidR="00F71A6A" w:rsidRPr="00AD3249">
        <w:t xml:space="preserve"> Government (“the Government”) </w:t>
      </w:r>
      <w:r w:rsidR="00EA1E8A" w:rsidRPr="00AD3249">
        <w:rPr>
          <w:color w:val="000000"/>
        </w:rPr>
        <w:t xml:space="preserve">were represented </w:t>
      </w:r>
      <w:r w:rsidR="00EA1E8A" w:rsidRPr="00AD3249">
        <w:t>by their Agents, Mrs I. Reine and subsequently by Mrs K. Līce</w:t>
      </w:r>
      <w:r w:rsidR="00F71A6A" w:rsidRPr="00AD3249">
        <w:t>.</w:t>
      </w:r>
    </w:p>
    <w:p w:rsidR="00F71A6A" w:rsidRPr="00AD3249" w:rsidRDefault="00832702" w:rsidP="00865450">
      <w:pPr>
        <w:pStyle w:val="JuPara"/>
      </w:pPr>
      <w:r w:rsidRPr="00AD3249">
        <w:fldChar w:fldCharType="begin"/>
      </w:r>
      <w:r w:rsidRPr="00AD3249">
        <w:instrText xml:space="preserve"> SEQ level0 \*arabic </w:instrText>
      </w:r>
      <w:r w:rsidRPr="00AD3249">
        <w:fldChar w:fldCharType="separate"/>
      </w:r>
      <w:r w:rsidR="00740F03">
        <w:rPr>
          <w:noProof/>
        </w:rPr>
        <w:t>3</w:t>
      </w:r>
      <w:r w:rsidRPr="00AD3249">
        <w:fldChar w:fldCharType="end"/>
      </w:r>
      <w:r w:rsidRPr="00AD3249">
        <w:t>.  The applicant alleged in particular</w:t>
      </w:r>
      <w:r w:rsidR="00EA1E8A" w:rsidRPr="00AD3249">
        <w:t xml:space="preserve"> that by delaying his transfer to Matīsa Prison the domestic authorities had failed to ensure his safety and well-being</w:t>
      </w:r>
      <w:r w:rsidR="000A34F1" w:rsidRPr="00AD3249">
        <w:t>,</w:t>
      </w:r>
      <w:r w:rsidR="00EA1E8A" w:rsidRPr="00AD3249">
        <w:t xml:space="preserve"> and that he had had no effective remedy before a national authority in that respect</w:t>
      </w:r>
      <w:r w:rsidRPr="00AD3249">
        <w:t>.</w:t>
      </w:r>
    </w:p>
    <w:p w:rsidR="003A64D3" w:rsidRPr="00AD3249" w:rsidRDefault="00832702" w:rsidP="00EA1E8A">
      <w:pPr>
        <w:pStyle w:val="JuPara"/>
        <w:rPr>
          <w:szCs w:val="22"/>
        </w:rPr>
      </w:pPr>
      <w:r w:rsidRPr="00AD3249">
        <w:fldChar w:fldCharType="begin"/>
      </w:r>
      <w:r w:rsidRPr="00AD3249">
        <w:instrText xml:space="preserve"> SEQ level0 \*arabic </w:instrText>
      </w:r>
      <w:r w:rsidRPr="00AD3249">
        <w:fldChar w:fldCharType="separate"/>
      </w:r>
      <w:r w:rsidR="00740F03">
        <w:rPr>
          <w:noProof/>
        </w:rPr>
        <w:t>4</w:t>
      </w:r>
      <w:r w:rsidRPr="00AD3249">
        <w:fldChar w:fldCharType="end"/>
      </w:r>
      <w:r w:rsidR="00F71A6A" w:rsidRPr="00AD3249">
        <w:t xml:space="preserve">.  On </w:t>
      </w:r>
      <w:r w:rsidRPr="00AD3249">
        <w:rPr>
          <w:szCs w:val="24"/>
        </w:rPr>
        <w:t>24</w:t>
      </w:r>
      <w:r w:rsidR="00B368F9" w:rsidRPr="00AD3249">
        <w:rPr>
          <w:szCs w:val="24"/>
        </w:rPr>
        <w:t> </w:t>
      </w:r>
      <w:r w:rsidRPr="00AD3249">
        <w:rPr>
          <w:szCs w:val="24"/>
        </w:rPr>
        <w:t>November 2010</w:t>
      </w:r>
      <w:r w:rsidR="00F71A6A" w:rsidRPr="00AD3249">
        <w:t xml:space="preserve"> </w:t>
      </w:r>
      <w:r w:rsidR="0009409F" w:rsidRPr="00AD3249">
        <w:t xml:space="preserve">the </w:t>
      </w:r>
      <w:r w:rsidRPr="00AD3249">
        <w:t>application was</w:t>
      </w:r>
      <w:r w:rsidR="0009409F" w:rsidRPr="00AD3249">
        <w:t xml:space="preserve"> communicated </w:t>
      </w:r>
      <w:r w:rsidR="00F71A6A" w:rsidRPr="00AD3249">
        <w:t>to the Gove</w:t>
      </w:r>
      <w:r w:rsidR="00485A6F" w:rsidRPr="00AD3249">
        <w:t>rnment.</w:t>
      </w:r>
    </w:p>
    <w:p w:rsidR="00F71A6A" w:rsidRPr="00AD3249" w:rsidRDefault="00F71A6A" w:rsidP="008824B9">
      <w:pPr>
        <w:pStyle w:val="JuHHead"/>
      </w:pPr>
      <w:r w:rsidRPr="00AD3249">
        <w:t>THE FACTS</w:t>
      </w:r>
    </w:p>
    <w:p w:rsidR="00D353F4" w:rsidRPr="00AD3249" w:rsidRDefault="007352DD" w:rsidP="008824B9">
      <w:pPr>
        <w:pStyle w:val="JuHIRoman"/>
        <w:outlineLvl w:val="0"/>
      </w:pPr>
      <w:r w:rsidRPr="00AD3249">
        <w:t xml:space="preserve">I.  THE CIRCUMSTANCES OF THE </w:t>
      </w:r>
      <w:r w:rsidR="00D353F4" w:rsidRPr="00AD3249">
        <w:t>CASE</w:t>
      </w:r>
    </w:p>
    <w:p w:rsidR="00F71A6A" w:rsidRPr="00AD3249" w:rsidRDefault="00832702" w:rsidP="002F4BCF">
      <w:pPr>
        <w:pStyle w:val="JuPara"/>
      </w:pPr>
      <w:r w:rsidRPr="00AD3249">
        <w:fldChar w:fldCharType="begin"/>
      </w:r>
      <w:r w:rsidRPr="00AD3249">
        <w:instrText xml:space="preserve"> SEQ level0 \*arabic </w:instrText>
      </w:r>
      <w:r w:rsidRPr="00AD3249">
        <w:fldChar w:fldCharType="separate"/>
      </w:r>
      <w:r w:rsidR="00740F03">
        <w:rPr>
          <w:noProof/>
        </w:rPr>
        <w:t>5</w:t>
      </w:r>
      <w:r w:rsidRPr="00AD3249">
        <w:fldChar w:fldCharType="end"/>
      </w:r>
      <w:r w:rsidR="00F71A6A" w:rsidRPr="00AD3249">
        <w:t xml:space="preserve">.  The </w:t>
      </w:r>
      <w:r w:rsidRPr="00AD3249">
        <w:t xml:space="preserve">applicant was born in 1963 and </w:t>
      </w:r>
      <w:r w:rsidR="00EA1E8A" w:rsidRPr="00AD3249">
        <w:t>is currently serving a prison sentence</w:t>
      </w:r>
      <w:r w:rsidR="00F71A6A" w:rsidRPr="00AD3249">
        <w:t xml:space="preserve"> in </w:t>
      </w:r>
      <w:r w:rsidRPr="00AD3249">
        <w:t>R</w:t>
      </w:r>
      <w:r w:rsidR="00051746" w:rsidRPr="00AD3249">
        <w:t>i</w:t>
      </w:r>
      <w:r w:rsidRPr="00AD3249">
        <w:t>ga</w:t>
      </w:r>
      <w:r w:rsidR="00F71A6A" w:rsidRPr="00AD3249">
        <w:t>.</w:t>
      </w:r>
    </w:p>
    <w:p w:rsidR="00A00C13" w:rsidRPr="00AD3249" w:rsidRDefault="00A00C13" w:rsidP="00A00C13">
      <w:pPr>
        <w:pStyle w:val="JuHA"/>
      </w:pPr>
      <w:r w:rsidRPr="00AD3249">
        <w:t>A.  The applicant</w:t>
      </w:r>
      <w:r w:rsidR="00D870DC">
        <w:t>’</w:t>
      </w:r>
      <w:r w:rsidRPr="00AD3249">
        <w:t xml:space="preserve">s detention and requests </w:t>
      </w:r>
      <w:r w:rsidR="00051746" w:rsidRPr="00AD3249">
        <w:t xml:space="preserve">for his </w:t>
      </w:r>
      <w:r w:rsidRPr="00AD3249">
        <w:t>safety</w:t>
      </w:r>
      <w:r w:rsidR="00051746" w:rsidRPr="00AD3249">
        <w:t xml:space="preserve"> to be ensured</w:t>
      </w:r>
    </w:p>
    <w:p w:rsidR="00910131" w:rsidRPr="00AD3249" w:rsidRDefault="00910131" w:rsidP="00910131">
      <w:pPr>
        <w:pStyle w:val="JuPara"/>
      </w:pPr>
      <w:r w:rsidRPr="00AD3249">
        <w:fldChar w:fldCharType="begin"/>
      </w:r>
      <w:r w:rsidRPr="00AD3249">
        <w:instrText xml:space="preserve"> SEQ level0 \*arabic </w:instrText>
      </w:r>
      <w:r w:rsidRPr="00AD3249">
        <w:fldChar w:fldCharType="separate"/>
      </w:r>
      <w:r w:rsidR="00740F03">
        <w:rPr>
          <w:noProof/>
        </w:rPr>
        <w:t>6</w:t>
      </w:r>
      <w:r w:rsidRPr="00AD3249">
        <w:fldChar w:fldCharType="end"/>
      </w:r>
      <w:r w:rsidRPr="00AD3249">
        <w:t xml:space="preserve">.  The applicant alleges that for an extended period of time in the 1990s he was a police informant on criminal matters in Balvi. </w:t>
      </w:r>
      <w:r w:rsidR="00E7027C" w:rsidRPr="00AD3249">
        <w:t>It appears that that</w:t>
      </w:r>
      <w:r w:rsidRPr="00AD3249">
        <w:t xml:space="preserve"> collaboration was officially documented by the police a</w:t>
      </w:r>
      <w:r w:rsidR="00357624" w:rsidRPr="00AD3249">
        <w:t>nd the applicant was paid for his services</w:t>
      </w:r>
      <w:r w:rsidRPr="00AD3249">
        <w:t xml:space="preserve">. Over time, the criminal </w:t>
      </w:r>
      <w:r w:rsidR="00510AEA" w:rsidRPr="00AD3249">
        <w:t xml:space="preserve">community </w:t>
      </w:r>
      <w:r w:rsidRPr="00AD3249">
        <w:t>in Balvi became aware of his role as an informant</w:t>
      </w:r>
      <w:r w:rsidR="00051746" w:rsidRPr="00AD3249">
        <w:t>,</w:t>
      </w:r>
      <w:r w:rsidRPr="00AD3249">
        <w:t xml:space="preserve"> and as a result he was assaulted and threatened with murder on several occasions. The applicant then moved to Rēzekne.</w:t>
      </w:r>
    </w:p>
    <w:p w:rsidR="00910131" w:rsidRPr="00AD3249" w:rsidRDefault="00910131" w:rsidP="00910131">
      <w:pPr>
        <w:pStyle w:val="JuPara"/>
      </w:pPr>
      <w:r w:rsidRPr="00AD3249">
        <w:fldChar w:fldCharType="begin"/>
      </w:r>
      <w:r w:rsidRPr="00AD3249">
        <w:instrText xml:space="preserve"> SEQ level0 \*arabic </w:instrText>
      </w:r>
      <w:r w:rsidRPr="00AD3249">
        <w:fldChar w:fldCharType="separate"/>
      </w:r>
      <w:r w:rsidR="00740F03">
        <w:rPr>
          <w:noProof/>
        </w:rPr>
        <w:t>7</w:t>
      </w:r>
      <w:r w:rsidRPr="00AD3249">
        <w:fldChar w:fldCharType="end"/>
      </w:r>
      <w:r w:rsidRPr="00AD3249">
        <w:t>.  On 6</w:t>
      </w:r>
      <w:r w:rsidR="00B368F9" w:rsidRPr="00AD3249">
        <w:t> </w:t>
      </w:r>
      <w:r w:rsidRPr="00AD3249">
        <w:t>October 2005 the applicant was arrested on charges of rape of his partner</w:t>
      </w:r>
      <w:r w:rsidR="00D870DC">
        <w:t>’</w:t>
      </w:r>
      <w:r w:rsidRPr="00AD3249">
        <w:t xml:space="preserve">s minor daughter and of indecent assault on </w:t>
      </w:r>
      <w:r w:rsidR="00357624" w:rsidRPr="00AD3249">
        <w:t>the partner</w:t>
      </w:r>
      <w:r w:rsidR="00D870DC">
        <w:t>’</w:t>
      </w:r>
      <w:r w:rsidR="00357624" w:rsidRPr="00AD3249">
        <w:t>s</w:t>
      </w:r>
      <w:r w:rsidRPr="00AD3249">
        <w:t xml:space="preserve"> minor son.</w:t>
      </w:r>
    </w:p>
    <w:p w:rsidR="007A36A4" w:rsidRPr="00AD3249" w:rsidRDefault="007A36A4" w:rsidP="007A36A4">
      <w:pPr>
        <w:pStyle w:val="JuPara"/>
      </w:pPr>
      <w:r w:rsidRPr="00AD3249">
        <w:fldChar w:fldCharType="begin"/>
      </w:r>
      <w:r w:rsidRPr="00AD3249">
        <w:instrText xml:space="preserve"> SEQ level0 \*arabic </w:instrText>
      </w:r>
      <w:r w:rsidRPr="00AD3249">
        <w:fldChar w:fldCharType="separate"/>
      </w:r>
      <w:r w:rsidR="00740F03">
        <w:rPr>
          <w:noProof/>
        </w:rPr>
        <w:t>8</w:t>
      </w:r>
      <w:r w:rsidRPr="00AD3249">
        <w:fldChar w:fldCharType="end"/>
      </w:r>
      <w:r w:rsidRPr="00AD3249">
        <w:t>.  The applicant was transferred to Daugavpils Prison on 25 October 2005</w:t>
      </w:r>
      <w:r w:rsidR="00AC70F6" w:rsidRPr="00AD3249">
        <w:t>,</w:t>
      </w:r>
      <w:r w:rsidRPr="00AD3249">
        <w:t xml:space="preserve"> and stayed there until 26 October 2006, when he was transferred </w:t>
      </w:r>
      <w:r w:rsidR="00C60BF1" w:rsidRPr="00AD3249">
        <w:t>elsewhere</w:t>
      </w:r>
      <w:r w:rsidRPr="00AD3249">
        <w:t xml:space="preserve"> (see paragraph </w:t>
      </w:r>
      <w:r w:rsidR="00C60BF1" w:rsidRPr="00AD3249">
        <w:t>20</w:t>
      </w:r>
      <w:r w:rsidRPr="00AD3249">
        <w:t xml:space="preserve"> below). </w:t>
      </w:r>
      <w:r w:rsidR="00C60BF1" w:rsidRPr="00AD3249">
        <w:t>During this period</w:t>
      </w:r>
      <w:r w:rsidRPr="00AD3249">
        <w:t xml:space="preserve"> he was </w:t>
      </w:r>
      <w:r w:rsidR="00AC70F6" w:rsidRPr="00AD3249">
        <w:t>taken</w:t>
      </w:r>
      <w:r w:rsidRPr="00AD3249">
        <w:t xml:space="preserve"> to R</w:t>
      </w:r>
      <w:r w:rsidR="00051746" w:rsidRPr="00AD3249">
        <w:t>i</w:t>
      </w:r>
      <w:r w:rsidRPr="00AD3249">
        <w:t>ga Central Prison on four occasions. He spent a total of approximately fifty-five days in R</w:t>
      </w:r>
      <w:r w:rsidR="00051746" w:rsidRPr="00AD3249">
        <w:t>i</w:t>
      </w:r>
      <w:r w:rsidRPr="00AD3249">
        <w:t>ga</w:t>
      </w:r>
      <w:r w:rsidR="005E04FA" w:rsidRPr="00AD3249">
        <w:t xml:space="preserve"> and more than </w:t>
      </w:r>
      <w:r w:rsidR="00AC70F6" w:rsidRPr="00AD3249">
        <w:t>300</w:t>
      </w:r>
      <w:r w:rsidR="005E04FA" w:rsidRPr="00AD3249">
        <w:t xml:space="preserve"> days in Daugavpils</w:t>
      </w:r>
      <w:r w:rsidRPr="00AD3249">
        <w:t>.</w:t>
      </w:r>
    </w:p>
    <w:p w:rsidR="007A36A4" w:rsidRPr="00AD3249" w:rsidRDefault="007A36A4" w:rsidP="007A36A4">
      <w:pPr>
        <w:pStyle w:val="JuPara"/>
      </w:pPr>
      <w:r w:rsidRPr="00AD3249">
        <w:fldChar w:fldCharType="begin"/>
      </w:r>
      <w:r w:rsidRPr="00AD3249">
        <w:instrText xml:space="preserve"> SEQ level0 \*arabic </w:instrText>
      </w:r>
      <w:r w:rsidRPr="00AD3249">
        <w:fldChar w:fldCharType="separate"/>
      </w:r>
      <w:r w:rsidR="00740F03">
        <w:rPr>
          <w:noProof/>
        </w:rPr>
        <w:t>9</w:t>
      </w:r>
      <w:r w:rsidRPr="00AD3249">
        <w:fldChar w:fldCharType="end"/>
      </w:r>
      <w:r w:rsidRPr="00AD3249">
        <w:t xml:space="preserve">.  The Government submitted, and the applicant did not deny, that </w:t>
      </w:r>
      <w:r w:rsidR="00051746" w:rsidRPr="00AD3249">
        <w:t xml:space="preserve">when he </w:t>
      </w:r>
      <w:r w:rsidR="000A34F1" w:rsidRPr="00AD3249">
        <w:t xml:space="preserve">had </w:t>
      </w:r>
      <w:r w:rsidR="00051746" w:rsidRPr="00AD3249">
        <w:t>arrived at</w:t>
      </w:r>
      <w:r w:rsidRPr="00AD3249">
        <w:t xml:space="preserve"> Daugavpils </w:t>
      </w:r>
      <w:r w:rsidR="00051746" w:rsidRPr="00AD3249">
        <w:t xml:space="preserve">Prison </w:t>
      </w:r>
      <w:r w:rsidRPr="00AD3249">
        <w:t xml:space="preserve">he </w:t>
      </w:r>
      <w:r w:rsidR="000A34F1" w:rsidRPr="00AD3249">
        <w:t xml:space="preserve">had </w:t>
      </w:r>
      <w:r w:rsidRPr="00AD3249">
        <w:t>had the standard entr</w:t>
      </w:r>
      <w:r w:rsidR="00051746" w:rsidRPr="00AD3249">
        <w:t>y</w:t>
      </w:r>
      <w:r w:rsidRPr="00AD3249">
        <w:t xml:space="preserve"> interview with a </w:t>
      </w:r>
      <w:r w:rsidR="00051746" w:rsidRPr="00AD3249">
        <w:t>member</w:t>
      </w:r>
      <w:r w:rsidRPr="00AD3249">
        <w:t xml:space="preserve"> of the security staff of the prison. </w:t>
      </w:r>
      <w:r w:rsidR="00E7027C" w:rsidRPr="00AD3249">
        <w:t xml:space="preserve">It appears that </w:t>
      </w:r>
      <w:r w:rsidRPr="00AD3249">
        <w:t>during the interview the applicant gave the names of several in</w:t>
      </w:r>
      <w:r w:rsidR="005E04FA" w:rsidRPr="00AD3249">
        <w:t>mate</w:t>
      </w:r>
      <w:r w:rsidRPr="00AD3249">
        <w:t>s</w:t>
      </w:r>
      <w:r w:rsidR="005E04FA" w:rsidRPr="00AD3249">
        <w:t xml:space="preserve"> of the prison</w:t>
      </w:r>
      <w:r w:rsidRPr="00AD3249">
        <w:t xml:space="preserve"> with whom he had had conflicts in the past</w:t>
      </w:r>
      <w:r w:rsidR="00051746" w:rsidRPr="00AD3249">
        <w:t>,</w:t>
      </w:r>
      <w:r w:rsidRPr="00AD3249">
        <w:t xml:space="preserve"> and the administration of the prison </w:t>
      </w:r>
      <w:r w:rsidR="00051746" w:rsidRPr="00AD3249">
        <w:t xml:space="preserve">undertook to keep him </w:t>
      </w:r>
      <w:r w:rsidRPr="00AD3249">
        <w:t>isolat</w:t>
      </w:r>
      <w:r w:rsidR="00051746" w:rsidRPr="00AD3249">
        <w:t>ed</w:t>
      </w:r>
      <w:r w:rsidRPr="00AD3249">
        <w:t xml:space="preserve"> from those individuals throughout </w:t>
      </w:r>
      <w:r w:rsidR="00357624" w:rsidRPr="00AD3249">
        <w:t>hi</w:t>
      </w:r>
      <w:r w:rsidRPr="00AD3249">
        <w:t xml:space="preserve">s stay in Daugavpils. On the other hand, according to the Government, the applicant did not inform the administration of the prison </w:t>
      </w:r>
      <w:r w:rsidR="00051746" w:rsidRPr="00AD3249">
        <w:t>about</w:t>
      </w:r>
      <w:r w:rsidRPr="00AD3249">
        <w:t xml:space="preserve"> his </w:t>
      </w:r>
      <w:r w:rsidR="00051746" w:rsidRPr="00AD3249">
        <w:t>previous</w:t>
      </w:r>
      <w:r w:rsidRPr="00AD3249">
        <w:t xml:space="preserve"> collaboration with the police</w:t>
      </w:r>
      <w:r w:rsidR="00051746" w:rsidRPr="00AD3249">
        <w:t>,</w:t>
      </w:r>
      <w:r w:rsidRPr="00AD3249">
        <w:t xml:space="preserve"> and did not </w:t>
      </w:r>
      <w:r w:rsidR="00C60BF1" w:rsidRPr="00AD3249">
        <w:t xml:space="preserve">ask to be </w:t>
      </w:r>
      <w:r w:rsidR="00051746" w:rsidRPr="00AD3249">
        <w:t xml:space="preserve">kept </w:t>
      </w:r>
      <w:r w:rsidR="00C60BF1" w:rsidRPr="00AD3249">
        <w:t>isolated</w:t>
      </w:r>
      <w:r w:rsidRPr="00AD3249">
        <w:t xml:space="preserve"> from </w:t>
      </w:r>
      <w:r w:rsidR="00357624" w:rsidRPr="00AD3249">
        <w:t xml:space="preserve">any </w:t>
      </w:r>
      <w:r w:rsidRPr="00AD3249">
        <w:t>other prisoners.</w:t>
      </w:r>
      <w:r w:rsidR="00CF7475" w:rsidRPr="00AD3249">
        <w:t xml:space="preserve"> The Government submitted that on 21</w:t>
      </w:r>
      <w:r w:rsidR="005E04FA" w:rsidRPr="00AD3249">
        <w:t> </w:t>
      </w:r>
      <w:r w:rsidR="00CF7475" w:rsidRPr="00AD3249">
        <w:t>February 20</w:t>
      </w:r>
      <w:r w:rsidR="00C60BF1" w:rsidRPr="00AD3249">
        <w:t>06 the applicant requested the govern</w:t>
      </w:r>
      <w:r w:rsidR="00CF7475" w:rsidRPr="00AD3249">
        <w:t xml:space="preserve">or of Daugavpils Prison to transfer him to a unit in which prisoners </w:t>
      </w:r>
      <w:r w:rsidR="00051746" w:rsidRPr="00AD3249">
        <w:t>were</w:t>
      </w:r>
      <w:r w:rsidR="00CF7475" w:rsidRPr="00AD3249">
        <w:t xml:space="preserve"> involved in housekeeping activities (kitchen duties</w:t>
      </w:r>
      <w:r w:rsidR="00E7027C" w:rsidRPr="00AD3249">
        <w:t xml:space="preserve"> and</w:t>
      </w:r>
      <w:r w:rsidR="00CF7475" w:rsidRPr="00AD3249">
        <w:t xml:space="preserve"> laundry </w:t>
      </w:r>
      <w:r w:rsidR="00E7027C" w:rsidRPr="00AD3249">
        <w:t>work</w:t>
      </w:r>
      <w:r w:rsidR="00CF7475" w:rsidRPr="00AD3249">
        <w:t>) and hence often c</w:t>
      </w:r>
      <w:r w:rsidR="00051746" w:rsidRPr="00AD3249">
        <w:t>a</w:t>
      </w:r>
      <w:r w:rsidR="00CF7475" w:rsidRPr="00AD3249">
        <w:t>me in</w:t>
      </w:r>
      <w:r w:rsidR="00051746" w:rsidRPr="00AD3249">
        <w:t>to</w:t>
      </w:r>
      <w:r w:rsidR="00CF7475" w:rsidRPr="00AD3249">
        <w:t xml:space="preserve"> contact with other prisoners.</w:t>
      </w:r>
    </w:p>
    <w:p w:rsidR="00CF143C" w:rsidRPr="00AD3249" w:rsidRDefault="00CF143C" w:rsidP="00CF143C">
      <w:pPr>
        <w:pStyle w:val="JuPara"/>
      </w:pPr>
      <w:r w:rsidRPr="00AD3249">
        <w:fldChar w:fldCharType="begin"/>
      </w:r>
      <w:r w:rsidRPr="00AD3249">
        <w:instrText xml:space="preserve"> SEQ level0 \*arabic </w:instrText>
      </w:r>
      <w:r w:rsidRPr="00AD3249">
        <w:fldChar w:fldCharType="separate"/>
      </w:r>
      <w:r w:rsidR="00740F03">
        <w:rPr>
          <w:noProof/>
        </w:rPr>
        <w:t>10</w:t>
      </w:r>
      <w:r w:rsidRPr="00AD3249">
        <w:fldChar w:fldCharType="end"/>
      </w:r>
      <w:r w:rsidRPr="00AD3249">
        <w:t xml:space="preserve">.  On 17 January 2006 the prosecutor charged with investigating the criminal charges against the applicant invited the applicant to submit </w:t>
      </w:r>
      <w:r w:rsidR="00051746" w:rsidRPr="00AD3249">
        <w:t>his</w:t>
      </w:r>
      <w:r w:rsidRPr="00AD3249">
        <w:t xml:space="preserve"> final motions concerning the criminal case. According to the applicant, on that day he requested the prosecutor to arrange for his transfer to Matīsa Prison, which has a section designated for holding detainees who have worked for law-enforcement institutions or collaborated with those institutions (see </w:t>
      </w:r>
      <w:r w:rsidR="00C60BF1" w:rsidRPr="00AD3249">
        <w:t>paragraph 3</w:t>
      </w:r>
      <w:r w:rsidR="00055A5C" w:rsidRPr="00AD3249">
        <w:t>7</w:t>
      </w:r>
      <w:r w:rsidRPr="00AD3249">
        <w:rPr>
          <w:b/>
        </w:rPr>
        <w:t xml:space="preserve"> </w:t>
      </w:r>
      <w:r w:rsidRPr="00AD3249">
        <w:t>below). The applicant allege</w:t>
      </w:r>
      <w:r w:rsidR="00051746" w:rsidRPr="00AD3249">
        <w:t>d</w:t>
      </w:r>
      <w:r w:rsidRPr="00AD3249">
        <w:t xml:space="preserve"> that the prosecutor agreed to order </w:t>
      </w:r>
      <w:r w:rsidR="005E04FA" w:rsidRPr="00AD3249">
        <w:t>hi</w:t>
      </w:r>
      <w:r w:rsidRPr="00AD3249">
        <w:t>s transfer to Matīsa Prison in exchange for a plea bargain. The applicant submit</w:t>
      </w:r>
      <w:r w:rsidR="00051746" w:rsidRPr="00AD3249">
        <w:t>ted</w:t>
      </w:r>
      <w:r w:rsidRPr="00AD3249">
        <w:t xml:space="preserve"> that he felt pressured to accept that arrangement</w:t>
      </w:r>
      <w:r w:rsidR="00051746" w:rsidRPr="00AD3249">
        <w:t>,</w:t>
      </w:r>
      <w:r w:rsidRPr="00AD3249">
        <w:t xml:space="preserve"> and the plea bargain was signed on 20 January</w:t>
      </w:r>
      <w:r w:rsidR="005E04FA" w:rsidRPr="00AD3249">
        <w:t xml:space="preserve"> 2006</w:t>
      </w:r>
      <w:r w:rsidRPr="00AD3249">
        <w:t>. The applicant</w:t>
      </w:r>
      <w:r w:rsidR="00D870DC">
        <w:t>’</w:t>
      </w:r>
      <w:r w:rsidRPr="00AD3249">
        <w:t>s defence counsel was present</w:t>
      </w:r>
      <w:r w:rsidR="00035637" w:rsidRPr="00AD3249">
        <w:t xml:space="preserve"> when the plea bargain was signed</w:t>
      </w:r>
      <w:r w:rsidRPr="00AD3249">
        <w:t xml:space="preserve">. </w:t>
      </w:r>
      <w:r w:rsidR="00035637" w:rsidRPr="00AD3249">
        <w:t>The Government questioned the reliability of the applicant</w:t>
      </w:r>
      <w:r w:rsidR="00D870DC">
        <w:t>’</w:t>
      </w:r>
      <w:r w:rsidR="00035637" w:rsidRPr="00AD3249">
        <w:t>s version of the events, underlining that under national law the prosecutor did not have any authority to order the applicant</w:t>
      </w:r>
      <w:r w:rsidR="00D870DC">
        <w:t>’</w:t>
      </w:r>
      <w:r w:rsidR="00035637" w:rsidRPr="00AD3249">
        <w:t xml:space="preserve">s placement in a </w:t>
      </w:r>
      <w:r w:rsidR="007D18DE" w:rsidRPr="00AD3249">
        <w:t>particular</w:t>
      </w:r>
      <w:r w:rsidR="00035637" w:rsidRPr="00AD3249">
        <w:t xml:space="preserve"> prison; the institution competent to do so was the Prisons Administration (</w:t>
      </w:r>
      <w:r w:rsidR="00035637" w:rsidRPr="00AD3249">
        <w:rPr>
          <w:i/>
        </w:rPr>
        <w:t>Ieslodzījuma vietu pārvalde</w:t>
      </w:r>
      <w:r w:rsidR="00035637" w:rsidRPr="00AD3249">
        <w:t>).</w:t>
      </w:r>
    </w:p>
    <w:p w:rsidR="00D870DC" w:rsidRDefault="00CF143C" w:rsidP="00CF143C">
      <w:pPr>
        <w:pStyle w:val="JuPara"/>
      </w:pPr>
      <w:r w:rsidRPr="00AD3249">
        <w:fldChar w:fldCharType="begin"/>
      </w:r>
      <w:r w:rsidRPr="00AD3249">
        <w:instrText xml:space="preserve"> SEQ level0 \*arabic </w:instrText>
      </w:r>
      <w:r w:rsidRPr="00AD3249">
        <w:fldChar w:fldCharType="separate"/>
      </w:r>
      <w:r w:rsidR="00740F03">
        <w:rPr>
          <w:noProof/>
        </w:rPr>
        <w:t>11</w:t>
      </w:r>
      <w:r w:rsidRPr="00AD3249">
        <w:fldChar w:fldCharType="end"/>
      </w:r>
      <w:r w:rsidRPr="00AD3249">
        <w:t>.  </w:t>
      </w:r>
      <w:r w:rsidR="00011B05" w:rsidRPr="00AD3249">
        <w:t>The applicant alleged</w:t>
      </w:r>
      <w:r w:rsidR="00051746" w:rsidRPr="00AD3249">
        <w:t>,</w:t>
      </w:r>
      <w:r w:rsidR="00011B05" w:rsidRPr="00AD3249">
        <w:t xml:space="preserve"> and the Government did not in substance dispute</w:t>
      </w:r>
      <w:r w:rsidR="00051746" w:rsidRPr="00AD3249">
        <w:t>,</w:t>
      </w:r>
      <w:r w:rsidR="00011B05" w:rsidRPr="00AD3249">
        <w:t xml:space="preserve"> that o</w:t>
      </w:r>
      <w:r w:rsidRPr="00AD3249">
        <w:t xml:space="preserve">n 24 March 2006 </w:t>
      </w:r>
      <w:r w:rsidR="003C74C7" w:rsidRPr="00AD3249">
        <w:t xml:space="preserve">a note was added to his </w:t>
      </w:r>
      <w:r w:rsidRPr="00AD3249">
        <w:t xml:space="preserve">case file that he was to be held in isolation from other detainees. </w:t>
      </w:r>
      <w:r w:rsidR="00011B05" w:rsidRPr="00AD3249">
        <w:t xml:space="preserve">The parties differ as to the </w:t>
      </w:r>
      <w:r w:rsidR="00AC70F6" w:rsidRPr="00AD3249">
        <w:t xml:space="preserve">precise nature </w:t>
      </w:r>
      <w:r w:rsidR="00011B05" w:rsidRPr="00AD3249">
        <w:t xml:space="preserve">and effects of such </w:t>
      </w:r>
      <w:r w:rsidR="00F046E5" w:rsidRPr="00AD3249">
        <w:t>a</w:t>
      </w:r>
      <w:r w:rsidR="00E7027C" w:rsidRPr="00AD3249">
        <w:t xml:space="preserve"> </w:t>
      </w:r>
      <w:r w:rsidR="00011B05" w:rsidRPr="00AD3249">
        <w:t>requirement – according to the Government the applicant</w:t>
      </w:r>
      <w:r w:rsidR="00D870DC">
        <w:t>’</w:t>
      </w:r>
      <w:r w:rsidR="00011B05" w:rsidRPr="00AD3249">
        <w:t>s case file did not contain any</w:t>
      </w:r>
      <w:r w:rsidR="003C74C7" w:rsidRPr="00AD3249">
        <w:t xml:space="preserve">thing in writing to the effect that he should be held </w:t>
      </w:r>
      <w:r w:rsidR="005E04FA" w:rsidRPr="00AD3249">
        <w:t>in isolation</w:t>
      </w:r>
      <w:r w:rsidR="00011B05" w:rsidRPr="00AD3249">
        <w:t xml:space="preserve"> prior to 1 November 2008</w:t>
      </w:r>
      <w:r w:rsidR="0050130D" w:rsidRPr="00AD3249">
        <w:t xml:space="preserve">, thus, for example, the administration of Daugavpils Prison could not </w:t>
      </w:r>
      <w:r w:rsidR="005E04FA" w:rsidRPr="00AD3249">
        <w:t xml:space="preserve">have </w:t>
      </w:r>
      <w:r w:rsidR="0050130D" w:rsidRPr="00AD3249">
        <w:t>know</w:t>
      </w:r>
      <w:r w:rsidR="005E04FA" w:rsidRPr="00AD3249">
        <w:t>n</w:t>
      </w:r>
      <w:r w:rsidR="0050130D" w:rsidRPr="00AD3249">
        <w:t xml:space="preserve"> about it</w:t>
      </w:r>
      <w:r w:rsidR="00011B05" w:rsidRPr="00AD3249">
        <w:t xml:space="preserve">. </w:t>
      </w:r>
      <w:r w:rsidR="003C74C7" w:rsidRPr="00AD3249">
        <w:t>T</w:t>
      </w:r>
      <w:r w:rsidR="00011B05" w:rsidRPr="00AD3249">
        <w:t xml:space="preserve">he Government submitted </w:t>
      </w:r>
      <w:r w:rsidR="00C60BF1" w:rsidRPr="00AD3249">
        <w:t xml:space="preserve">to the Court a copy of </w:t>
      </w:r>
      <w:r w:rsidR="00011B05" w:rsidRPr="00AD3249">
        <w:t xml:space="preserve">a document from 11 April 2006, signed by the Rēzekne </w:t>
      </w:r>
      <w:r w:rsidR="003C74C7" w:rsidRPr="00AD3249">
        <w:t xml:space="preserve">chief of </w:t>
      </w:r>
      <w:r w:rsidR="00011B05" w:rsidRPr="00AD3249">
        <w:t xml:space="preserve">police, concerning the transportation of three detainees from Rēzekne to Daugavpils, </w:t>
      </w:r>
      <w:r w:rsidR="003C74C7" w:rsidRPr="00AD3249">
        <w:t>on which</w:t>
      </w:r>
      <w:r w:rsidR="00011B05" w:rsidRPr="00AD3249">
        <w:t xml:space="preserve"> </w:t>
      </w:r>
      <w:r w:rsidR="009D3C79" w:rsidRPr="00AD3249">
        <w:t xml:space="preserve">the word “isolation” appears </w:t>
      </w:r>
      <w:r w:rsidR="00011B05" w:rsidRPr="00AD3249">
        <w:t>next to the applicant</w:t>
      </w:r>
      <w:r w:rsidR="00D870DC">
        <w:t>’</w:t>
      </w:r>
      <w:r w:rsidR="00011B05" w:rsidRPr="00AD3249">
        <w:t>s name.</w:t>
      </w:r>
    </w:p>
    <w:p w:rsidR="00CF143C" w:rsidRPr="00AD3249" w:rsidRDefault="00CF143C" w:rsidP="00CF143C">
      <w:pPr>
        <w:pStyle w:val="JuPara"/>
      </w:pPr>
      <w:r w:rsidRPr="00AD3249">
        <w:fldChar w:fldCharType="begin"/>
      </w:r>
      <w:r w:rsidRPr="00AD3249">
        <w:instrText xml:space="preserve"> SEQ level0 \*arabic </w:instrText>
      </w:r>
      <w:r w:rsidRPr="00AD3249">
        <w:fldChar w:fldCharType="separate"/>
      </w:r>
      <w:r w:rsidR="00740F03">
        <w:rPr>
          <w:noProof/>
        </w:rPr>
        <w:t>12</w:t>
      </w:r>
      <w:r w:rsidRPr="00AD3249">
        <w:fldChar w:fldCharType="end"/>
      </w:r>
      <w:r w:rsidRPr="00AD3249">
        <w:t xml:space="preserve">.  On </w:t>
      </w:r>
      <w:r w:rsidR="00980282" w:rsidRPr="00AD3249">
        <w:t xml:space="preserve">13 April </w:t>
      </w:r>
      <w:r w:rsidRPr="00AD3249">
        <w:t>2006 the Prisons Administration refused to order the applicant</w:t>
      </w:r>
      <w:r w:rsidR="00D870DC">
        <w:t>’</w:t>
      </w:r>
      <w:r w:rsidRPr="00AD3249">
        <w:t xml:space="preserve">s transfer to Matīsa Prison. It firstly </w:t>
      </w:r>
      <w:r w:rsidR="00301F9C" w:rsidRPr="00AD3249">
        <w:t>noted that according to the applicable domestic rules (see paragraph </w:t>
      </w:r>
      <w:r w:rsidR="00C60BF1" w:rsidRPr="00AD3249">
        <w:t>3</w:t>
      </w:r>
      <w:r w:rsidR="00055A5C" w:rsidRPr="00AD3249">
        <w:t>7</w:t>
      </w:r>
      <w:r w:rsidR="00301F9C" w:rsidRPr="00AD3249">
        <w:t xml:space="preserve"> below) only</w:t>
      </w:r>
      <w:r w:rsidRPr="00AD3249">
        <w:t xml:space="preserve"> “a certain category of prisoners” serve</w:t>
      </w:r>
      <w:r w:rsidR="009D3C79" w:rsidRPr="00AD3249">
        <w:t>d</w:t>
      </w:r>
      <w:r w:rsidRPr="00AD3249">
        <w:t xml:space="preserve"> their sentences in Matīsa Prison. The applicant was informed that the Prisons Administration had no information concerning his </w:t>
      </w:r>
      <w:r w:rsidR="007D18DE" w:rsidRPr="00AD3249">
        <w:t xml:space="preserve">alleged </w:t>
      </w:r>
      <w:r w:rsidR="003C74C7" w:rsidRPr="00AD3249">
        <w:t>links</w:t>
      </w:r>
      <w:r w:rsidRPr="00AD3249">
        <w:t xml:space="preserve"> with law-enforcement institutions. The Prisons</w:t>
      </w:r>
      <w:r w:rsidR="00E127CD" w:rsidRPr="00AD3249">
        <w:t xml:space="preserve"> </w:t>
      </w:r>
      <w:r w:rsidRPr="00AD3249">
        <w:t xml:space="preserve">Administration further indicated that a decision </w:t>
      </w:r>
      <w:r w:rsidR="003C74C7" w:rsidRPr="00AD3249">
        <w:t xml:space="preserve">to transfer </w:t>
      </w:r>
      <w:r w:rsidRPr="00AD3249">
        <w:t>the applicant could only be made after his conviction had become final</w:t>
      </w:r>
      <w:r w:rsidR="00C60BF1" w:rsidRPr="00AD3249">
        <w:t xml:space="preserve"> (it became final on 1 February 2007</w:t>
      </w:r>
      <w:r w:rsidR="003C74C7" w:rsidRPr="00AD3249">
        <w:t>:</w:t>
      </w:r>
      <w:r w:rsidR="00C60BF1" w:rsidRPr="00AD3249">
        <w:t xml:space="preserve"> see paragraph 2</w:t>
      </w:r>
      <w:r w:rsidR="007D18DE" w:rsidRPr="00AD3249">
        <w:t>7</w:t>
      </w:r>
      <w:r w:rsidR="00C60BF1" w:rsidRPr="00AD3249">
        <w:t xml:space="preserve"> below)</w:t>
      </w:r>
      <w:r w:rsidRPr="00AD3249">
        <w:t>.</w:t>
      </w:r>
    </w:p>
    <w:p w:rsidR="00910131" w:rsidRPr="00AD3249" w:rsidRDefault="000C5333" w:rsidP="00910131">
      <w:pPr>
        <w:pStyle w:val="JuPara"/>
      </w:pPr>
      <w:r w:rsidRPr="00AD3249">
        <w:fldChar w:fldCharType="begin"/>
      </w:r>
      <w:r w:rsidRPr="00AD3249">
        <w:instrText xml:space="preserve"> SEQ level0 \*arabic </w:instrText>
      </w:r>
      <w:r w:rsidRPr="00AD3249">
        <w:fldChar w:fldCharType="separate"/>
      </w:r>
      <w:r w:rsidR="00740F03">
        <w:rPr>
          <w:noProof/>
        </w:rPr>
        <w:t>13</w:t>
      </w:r>
      <w:r w:rsidRPr="00AD3249">
        <w:fldChar w:fldCharType="end"/>
      </w:r>
      <w:r w:rsidRPr="00AD3249">
        <w:t>.  The app</w:t>
      </w:r>
      <w:r w:rsidR="00980282" w:rsidRPr="00AD3249">
        <w:t>licant alleged</w:t>
      </w:r>
      <w:r w:rsidRPr="00AD3249">
        <w:t xml:space="preserve"> that </w:t>
      </w:r>
      <w:r w:rsidR="003C74C7" w:rsidRPr="00AD3249">
        <w:t xml:space="preserve">while </w:t>
      </w:r>
      <w:r w:rsidRPr="00AD3249">
        <w:t xml:space="preserve">in Daugavpils </w:t>
      </w:r>
      <w:r w:rsidR="003C74C7" w:rsidRPr="00AD3249">
        <w:t xml:space="preserve">Prison </w:t>
      </w:r>
      <w:r w:rsidRPr="00AD3249">
        <w:t>he</w:t>
      </w:r>
      <w:r w:rsidR="00910131" w:rsidRPr="00AD3249">
        <w:t xml:space="preserve"> </w:t>
      </w:r>
      <w:r w:rsidR="00980282" w:rsidRPr="00AD3249">
        <w:t>had been</w:t>
      </w:r>
      <w:r w:rsidR="00910131" w:rsidRPr="00AD3249">
        <w:t xml:space="preserve"> subjected to </w:t>
      </w:r>
      <w:r w:rsidR="000A34F1" w:rsidRPr="00AD3249">
        <w:t>repeated</w:t>
      </w:r>
      <w:r w:rsidR="00910131" w:rsidRPr="00AD3249">
        <w:t xml:space="preserve"> physical violence by other prisoners.</w:t>
      </w:r>
      <w:r w:rsidR="00980282" w:rsidRPr="00AD3249">
        <w:t xml:space="preserve"> </w:t>
      </w:r>
      <w:r w:rsidR="00C044A1" w:rsidRPr="00AD3249">
        <w:t>T</w:t>
      </w:r>
      <w:r w:rsidR="00980282" w:rsidRPr="00AD3249">
        <w:t>he applicant indicated</w:t>
      </w:r>
      <w:r w:rsidR="00910131" w:rsidRPr="00AD3249">
        <w:t xml:space="preserve"> that he </w:t>
      </w:r>
      <w:r w:rsidR="00980282" w:rsidRPr="00AD3249">
        <w:t xml:space="preserve">had </w:t>
      </w:r>
      <w:r w:rsidR="00910131" w:rsidRPr="00AD3249">
        <w:t xml:space="preserve">lost several teeth as a result of beatings </w:t>
      </w:r>
      <w:r w:rsidR="003C74C7" w:rsidRPr="00AD3249">
        <w:t xml:space="preserve">he had </w:t>
      </w:r>
      <w:r w:rsidR="00910131" w:rsidRPr="00AD3249">
        <w:t xml:space="preserve">received. In his submission, the violence against him was a direct consequence of his earlier collaboration with the police, which had become known in the prison, which held numerous inmates from Balvi. The applicant indicated that the </w:t>
      </w:r>
      <w:r w:rsidR="00980282" w:rsidRPr="00AD3249">
        <w:t>fact that he had been charged with sexual offences against minors</w:t>
      </w:r>
      <w:r w:rsidR="00910131" w:rsidRPr="00AD3249">
        <w:t xml:space="preserve"> </w:t>
      </w:r>
      <w:r w:rsidR="00E7027C" w:rsidRPr="00AD3249">
        <w:t xml:space="preserve">also </w:t>
      </w:r>
      <w:r w:rsidR="00910131" w:rsidRPr="00AD3249">
        <w:t>made him the target of abuse by other prisoners.</w:t>
      </w:r>
    </w:p>
    <w:p w:rsidR="00910131" w:rsidRPr="00AD3249" w:rsidRDefault="00910131" w:rsidP="00910131">
      <w:pPr>
        <w:pStyle w:val="JuPara"/>
      </w:pPr>
      <w:r w:rsidRPr="00AD3249">
        <w:fldChar w:fldCharType="begin"/>
      </w:r>
      <w:r w:rsidRPr="00AD3249">
        <w:instrText xml:space="preserve"> SEQ level0 \*arabic </w:instrText>
      </w:r>
      <w:r w:rsidRPr="00AD3249">
        <w:fldChar w:fldCharType="separate"/>
      </w:r>
      <w:r w:rsidR="00740F03">
        <w:rPr>
          <w:noProof/>
        </w:rPr>
        <w:t>14</w:t>
      </w:r>
      <w:r w:rsidRPr="00AD3249">
        <w:fldChar w:fldCharType="end"/>
      </w:r>
      <w:r w:rsidRPr="00AD3249">
        <w:t xml:space="preserve">.  The applicant furthermore noted that the administration of Daugavpils </w:t>
      </w:r>
      <w:r w:rsidR="00B368F9" w:rsidRPr="00AD3249">
        <w:t>Prison</w:t>
      </w:r>
      <w:r w:rsidRPr="00AD3249">
        <w:t xml:space="preserve"> </w:t>
      </w:r>
      <w:r w:rsidR="009D3C79" w:rsidRPr="00AD3249">
        <w:t xml:space="preserve">had frequently </w:t>
      </w:r>
      <w:r w:rsidRPr="00AD3249">
        <w:t xml:space="preserve">moved him from one cell to another, thus exposing him to an even </w:t>
      </w:r>
      <w:r w:rsidR="003C74C7" w:rsidRPr="00AD3249">
        <w:t xml:space="preserve">larger </w:t>
      </w:r>
      <w:r w:rsidRPr="00AD3249">
        <w:t xml:space="preserve">number of other prisoners. </w:t>
      </w:r>
      <w:r w:rsidR="003C74C7" w:rsidRPr="00AD3249">
        <w:t xml:space="preserve">When he complained about this </w:t>
      </w:r>
      <w:r w:rsidRPr="00AD3249">
        <w:t xml:space="preserve">the applicant received a response from the </w:t>
      </w:r>
      <w:r w:rsidR="00043D47" w:rsidRPr="00AD3249">
        <w:t>Prison</w:t>
      </w:r>
      <w:r w:rsidR="00017115" w:rsidRPr="00AD3249">
        <w:t>s</w:t>
      </w:r>
      <w:r w:rsidR="00043D47" w:rsidRPr="00AD3249">
        <w:t xml:space="preserve"> Administration</w:t>
      </w:r>
      <w:r w:rsidRPr="00AD3249">
        <w:t xml:space="preserve"> on 19 June 2007, in which it was indicated that the placement of detainees in cells was at the discretion of </w:t>
      </w:r>
      <w:r w:rsidR="00C60BF1" w:rsidRPr="00AD3249">
        <w:t xml:space="preserve">the </w:t>
      </w:r>
      <w:r w:rsidR="003C74C7" w:rsidRPr="00AD3249">
        <w:t xml:space="preserve">authorities </w:t>
      </w:r>
      <w:r w:rsidR="00C60BF1" w:rsidRPr="00AD3249">
        <w:t xml:space="preserve">of </w:t>
      </w:r>
      <w:r w:rsidRPr="00AD3249">
        <w:t>each individual prison and that in the applicant</w:t>
      </w:r>
      <w:r w:rsidR="00D870DC">
        <w:t>’</w:t>
      </w:r>
      <w:r w:rsidRPr="00AD3249">
        <w:t xml:space="preserve">s case the administration of Daugavpils </w:t>
      </w:r>
      <w:r w:rsidR="00B368F9" w:rsidRPr="00AD3249">
        <w:t>Prison</w:t>
      </w:r>
      <w:r w:rsidRPr="00AD3249">
        <w:t xml:space="preserve"> had made its decisions “taking into account the available space in cells, psychological factors, </w:t>
      </w:r>
      <w:r w:rsidR="003C74C7" w:rsidRPr="00AD3249">
        <w:t xml:space="preserve">and the </w:t>
      </w:r>
      <w:r w:rsidRPr="00AD3249">
        <w:t>level of education and state of health</w:t>
      </w:r>
      <w:r w:rsidR="009D3C79" w:rsidRPr="00AD3249">
        <w:t xml:space="preserve"> of prisoners</w:t>
      </w:r>
      <w:r w:rsidRPr="00AD3249">
        <w:t>”.</w:t>
      </w:r>
    </w:p>
    <w:p w:rsidR="00D870DC" w:rsidRDefault="005831B7" w:rsidP="00910131">
      <w:pPr>
        <w:pStyle w:val="JuPara"/>
      </w:pPr>
      <w:r w:rsidRPr="00AD3249">
        <w:fldChar w:fldCharType="begin"/>
      </w:r>
      <w:r w:rsidRPr="00AD3249">
        <w:instrText xml:space="preserve"> SEQ level0 \*arabic </w:instrText>
      </w:r>
      <w:r w:rsidRPr="00AD3249">
        <w:fldChar w:fldCharType="separate"/>
      </w:r>
      <w:r w:rsidR="00740F03">
        <w:rPr>
          <w:noProof/>
        </w:rPr>
        <w:t>15</w:t>
      </w:r>
      <w:r w:rsidRPr="00AD3249">
        <w:fldChar w:fldCharType="end"/>
      </w:r>
      <w:r w:rsidRPr="00AD3249">
        <w:t xml:space="preserve">.  On 12 June 2006 the applicant wrote to the Prosecutor General and submitted rather detailed information about his collaboration with the criminal police in Balvi, such as the </w:t>
      </w:r>
      <w:r w:rsidR="009D3C79" w:rsidRPr="00AD3249">
        <w:t>alias</w:t>
      </w:r>
      <w:r w:rsidRPr="00AD3249">
        <w:t xml:space="preserve"> given to him by the police and the fact that he had been paid for his services. He underlined that because of the nature of the charges against him and because of his former collaboration </w:t>
      </w:r>
      <w:r w:rsidR="00C60BF1" w:rsidRPr="00AD3249">
        <w:t xml:space="preserve">with the police </w:t>
      </w:r>
      <w:r w:rsidRPr="00AD3249">
        <w:t>he was constantly in danger of retribution by other prisoners. The applicant</w:t>
      </w:r>
      <w:r w:rsidR="00D870DC">
        <w:t>’</w:t>
      </w:r>
      <w:r w:rsidRPr="00AD3249">
        <w:t>s letter was forwarded to the Prisons Administration, which dismissed his request to be transferred to Matīsa Prison on 27 June 2006.</w:t>
      </w:r>
    </w:p>
    <w:p w:rsidR="006C2346" w:rsidRPr="00AD3249" w:rsidRDefault="006C2346" w:rsidP="00910131">
      <w:pPr>
        <w:pStyle w:val="JuPara"/>
      </w:pPr>
      <w:r w:rsidRPr="00AD3249">
        <w:fldChar w:fldCharType="begin"/>
      </w:r>
      <w:r w:rsidRPr="00AD3249">
        <w:instrText xml:space="preserve"> SEQ level0 \*arabic </w:instrText>
      </w:r>
      <w:r w:rsidRPr="00AD3249">
        <w:fldChar w:fldCharType="separate"/>
      </w:r>
      <w:r w:rsidR="00740F03">
        <w:rPr>
          <w:noProof/>
        </w:rPr>
        <w:t>16</w:t>
      </w:r>
      <w:r w:rsidRPr="00AD3249">
        <w:fldChar w:fldCharType="end"/>
      </w:r>
      <w:r w:rsidRPr="00AD3249">
        <w:t>.  </w:t>
      </w:r>
      <w:r w:rsidR="00C60BF1" w:rsidRPr="00AD3249">
        <w:t>O</w:t>
      </w:r>
      <w:r w:rsidRPr="00AD3249">
        <w:t>n 21 July 2006 the applicant once again wrote to the Prosecutor General. In his letter he essentially repeated the claims made in his previous letter</w:t>
      </w:r>
      <w:r w:rsidR="000A34F1" w:rsidRPr="00AD3249">
        <w:t>,</w:t>
      </w:r>
      <w:r w:rsidRPr="00AD3249">
        <w:t xml:space="preserve"> but also explicitly referred to t</w:t>
      </w:r>
      <w:r w:rsidR="009D3C79" w:rsidRPr="00AD3249">
        <w:t xml:space="preserve">he “isolation request” </w:t>
      </w:r>
      <w:r w:rsidR="00E417E3" w:rsidRPr="00AD3249">
        <w:t xml:space="preserve">in his case file, </w:t>
      </w:r>
      <w:r w:rsidR="009D3C79" w:rsidRPr="00AD3249">
        <w:t>which</w:t>
      </w:r>
      <w:r w:rsidRPr="00AD3249">
        <w:t xml:space="preserve"> </w:t>
      </w:r>
      <w:r w:rsidR="00E7027C" w:rsidRPr="00AD3249">
        <w:t>he stated</w:t>
      </w:r>
      <w:r w:rsidR="009D3C79" w:rsidRPr="00AD3249">
        <w:t xml:space="preserve"> had been</w:t>
      </w:r>
      <w:r w:rsidRPr="00AD3249">
        <w:t xml:space="preserve"> respected when</w:t>
      </w:r>
      <w:r w:rsidR="009D3C79" w:rsidRPr="00AD3249">
        <w:t>ever</w:t>
      </w:r>
      <w:r w:rsidRPr="00AD3249">
        <w:t xml:space="preserve"> he </w:t>
      </w:r>
      <w:r w:rsidR="009D3C79" w:rsidRPr="00AD3249">
        <w:t>had been</w:t>
      </w:r>
      <w:r w:rsidRPr="00AD3249">
        <w:t xml:space="preserve"> transported outside Daugavpils. </w:t>
      </w:r>
      <w:r w:rsidR="0009426C" w:rsidRPr="00AD3249">
        <w:t xml:space="preserve">He also gave details </w:t>
      </w:r>
      <w:r w:rsidR="00AC70F6" w:rsidRPr="00AD3249">
        <w:t>of</w:t>
      </w:r>
      <w:r w:rsidR="0009426C" w:rsidRPr="00AD3249">
        <w:t xml:space="preserve"> several </w:t>
      </w:r>
      <w:r w:rsidR="00C60BF1" w:rsidRPr="00AD3249">
        <w:t>instance</w:t>
      </w:r>
      <w:r w:rsidR="0009426C" w:rsidRPr="00AD3249">
        <w:t>s of ill-treatment of other inmates of Daugavpils Prison. The applicant</w:t>
      </w:r>
      <w:r w:rsidR="00D870DC">
        <w:t>’</w:t>
      </w:r>
      <w:r w:rsidR="0009426C" w:rsidRPr="00AD3249">
        <w:t>s letter was forwarded</w:t>
      </w:r>
      <w:r w:rsidR="000F1F48" w:rsidRPr="00AD3249">
        <w:t xml:space="preserve"> to the Prisons Administration, which requested additional information from Daugavpils Prison. The </w:t>
      </w:r>
      <w:r w:rsidR="003C74C7" w:rsidRPr="00AD3249">
        <w:t xml:space="preserve">head </w:t>
      </w:r>
      <w:r w:rsidR="000F1F48" w:rsidRPr="00AD3249">
        <w:t>of security of Daugavpils Prison denied the existence of any threats to the applicant and submitted statements from two of the inmates named by the applicant</w:t>
      </w:r>
      <w:r w:rsidR="003C74C7" w:rsidRPr="00AD3249">
        <w:t>,</w:t>
      </w:r>
      <w:r w:rsidR="000F1F48" w:rsidRPr="00AD3249">
        <w:t xml:space="preserve"> denying that the incidents recounted by the applicant had ever taken place. </w:t>
      </w:r>
      <w:r w:rsidR="00A62F51" w:rsidRPr="00AD3249">
        <w:t>In the light of this information, on 25 August 2006 the Prisons Administration rejected the applicant</w:t>
      </w:r>
      <w:r w:rsidR="00D870DC">
        <w:t>’</w:t>
      </w:r>
      <w:r w:rsidR="00A62F51" w:rsidRPr="00AD3249">
        <w:t>s request for transfer to Matīsa Prison.</w:t>
      </w:r>
    </w:p>
    <w:p w:rsidR="00A62F51" w:rsidRPr="00AD3249" w:rsidRDefault="00A62F51" w:rsidP="00910131">
      <w:pPr>
        <w:pStyle w:val="JuPara"/>
      </w:pPr>
      <w:r w:rsidRPr="00AD3249">
        <w:fldChar w:fldCharType="begin"/>
      </w:r>
      <w:r w:rsidRPr="00AD3249">
        <w:instrText xml:space="preserve"> SEQ level0 \*arabic </w:instrText>
      </w:r>
      <w:r w:rsidRPr="00AD3249">
        <w:fldChar w:fldCharType="separate"/>
      </w:r>
      <w:r w:rsidR="00740F03">
        <w:rPr>
          <w:noProof/>
        </w:rPr>
        <w:t>17</w:t>
      </w:r>
      <w:r w:rsidRPr="00AD3249">
        <w:fldChar w:fldCharType="end"/>
      </w:r>
      <w:r w:rsidRPr="00AD3249">
        <w:t>.  </w:t>
      </w:r>
      <w:r w:rsidR="00C33556" w:rsidRPr="00AD3249">
        <w:t>A similar request of 24 July 2006, addressed to the Prisons Administration, was rejected on 7 August 2006.</w:t>
      </w:r>
    </w:p>
    <w:p w:rsidR="00B10CFC" w:rsidRPr="00AD3249" w:rsidRDefault="00B10CFC" w:rsidP="00910131">
      <w:pPr>
        <w:pStyle w:val="JuPara"/>
      </w:pPr>
      <w:r w:rsidRPr="00AD3249">
        <w:fldChar w:fldCharType="begin"/>
      </w:r>
      <w:r w:rsidRPr="00AD3249">
        <w:instrText xml:space="preserve"> SEQ level0 \*arabic </w:instrText>
      </w:r>
      <w:r w:rsidRPr="00AD3249">
        <w:fldChar w:fldCharType="separate"/>
      </w:r>
      <w:r w:rsidR="00740F03">
        <w:rPr>
          <w:noProof/>
        </w:rPr>
        <w:t>18</w:t>
      </w:r>
      <w:r w:rsidRPr="00AD3249">
        <w:fldChar w:fldCharType="end"/>
      </w:r>
      <w:r w:rsidRPr="00AD3249">
        <w:t>.  On 14 August 2006 the applicant wrote to the Supreme Court (where his criminal case was pending at that time</w:t>
      </w:r>
      <w:r w:rsidR="003C74C7" w:rsidRPr="00AD3249">
        <w:t>:</w:t>
      </w:r>
      <w:r w:rsidRPr="00AD3249">
        <w:t xml:space="preserve"> see paragraph</w:t>
      </w:r>
      <w:r w:rsidR="00C60BF1" w:rsidRPr="00AD3249">
        <w:t> </w:t>
      </w:r>
      <w:r w:rsidRPr="00AD3249">
        <w:t>2</w:t>
      </w:r>
      <w:r w:rsidR="00E417E3" w:rsidRPr="00AD3249">
        <w:t>6</w:t>
      </w:r>
      <w:r w:rsidRPr="00AD3249">
        <w:t xml:space="preserve"> below) and </w:t>
      </w:r>
      <w:r w:rsidR="00187281" w:rsidRPr="00AD3249">
        <w:t>ex</w:t>
      </w:r>
      <w:r w:rsidRPr="00AD3249">
        <w:t xml:space="preserve">plained that that court was the only avenue through which he could still hope to obtain </w:t>
      </w:r>
      <w:r w:rsidR="003C74C7" w:rsidRPr="00AD3249">
        <w:t>a</w:t>
      </w:r>
      <w:r w:rsidRPr="00AD3249">
        <w:t xml:space="preserve"> transfer to Matīsa Prison. On 17 August 2006 he received a reply from </w:t>
      </w:r>
      <w:r w:rsidR="00187281" w:rsidRPr="00AD3249">
        <w:t xml:space="preserve">a judge of </w:t>
      </w:r>
      <w:r w:rsidRPr="00AD3249">
        <w:t xml:space="preserve">the Supreme Court </w:t>
      </w:r>
      <w:r w:rsidR="00187281" w:rsidRPr="00AD3249">
        <w:t>informing him</w:t>
      </w:r>
      <w:r w:rsidRPr="00AD3249">
        <w:t xml:space="preserve"> that the Prisons Administration was the </w:t>
      </w:r>
      <w:r w:rsidR="003C74C7" w:rsidRPr="00AD3249">
        <w:t xml:space="preserve">body which was </w:t>
      </w:r>
      <w:r w:rsidRPr="00AD3249">
        <w:t xml:space="preserve">competent to decide questions of </w:t>
      </w:r>
      <w:r w:rsidR="003C74C7" w:rsidRPr="00AD3249">
        <w:t xml:space="preserve">transfer of </w:t>
      </w:r>
      <w:r w:rsidRPr="00AD3249">
        <w:t>prisoners.</w:t>
      </w:r>
    </w:p>
    <w:p w:rsidR="00A00C13" w:rsidRPr="00AD3249" w:rsidRDefault="00A00C13" w:rsidP="00910131">
      <w:pPr>
        <w:pStyle w:val="JuPara"/>
      </w:pPr>
      <w:r w:rsidRPr="00AD3249">
        <w:fldChar w:fldCharType="begin"/>
      </w:r>
      <w:r w:rsidRPr="00AD3249">
        <w:instrText xml:space="preserve"> SEQ level0 \*arabic </w:instrText>
      </w:r>
      <w:r w:rsidRPr="00AD3249">
        <w:fldChar w:fldCharType="separate"/>
      </w:r>
      <w:r w:rsidR="00740F03">
        <w:rPr>
          <w:noProof/>
        </w:rPr>
        <w:t>19</w:t>
      </w:r>
      <w:r w:rsidRPr="00AD3249">
        <w:fldChar w:fldCharType="end"/>
      </w:r>
      <w:r w:rsidRPr="00AD3249">
        <w:t>.  On 27 August 2006 the applicant asked the Prosecutor General to initiate criminal proceedings against Balvi Criminal Police for their failure to acknowledge his collaboration with the police. On 22 September 2006 the Specialised Prosecutor</w:t>
      </w:r>
      <w:r w:rsidR="00D870DC">
        <w:t>’</w:t>
      </w:r>
      <w:r w:rsidRPr="00AD3249">
        <w:t>s Office (</w:t>
      </w:r>
      <w:r w:rsidRPr="00AD3249">
        <w:rPr>
          <w:i/>
          <w:lang w:val="lv-LV"/>
        </w:rPr>
        <w:t>Specializētā vairāku nozaru prokuratūra</w:t>
      </w:r>
      <w:r w:rsidRPr="00AD3249">
        <w:t>) requested information from the Security Police about the progress made with regard to the applicant</w:t>
      </w:r>
      <w:r w:rsidR="00D870DC">
        <w:t>’</w:t>
      </w:r>
      <w:r w:rsidRPr="00AD3249">
        <w:t xml:space="preserve">s request from May 2006 in which he had asked </w:t>
      </w:r>
      <w:r w:rsidR="00C60BF1" w:rsidRPr="00AD3249">
        <w:t xml:space="preserve">the police </w:t>
      </w:r>
      <w:r w:rsidRPr="00AD3249">
        <w:t>to confirm his collaboration.</w:t>
      </w:r>
    </w:p>
    <w:p w:rsidR="003873E2" w:rsidRPr="00AD3249" w:rsidRDefault="003873E2" w:rsidP="003873E2">
      <w:pPr>
        <w:pStyle w:val="JuPara"/>
      </w:pPr>
      <w:r w:rsidRPr="00AD3249">
        <w:fldChar w:fldCharType="begin"/>
      </w:r>
      <w:r w:rsidRPr="00AD3249">
        <w:instrText xml:space="preserve"> SEQ level0 \*arabic </w:instrText>
      </w:r>
      <w:r w:rsidRPr="00AD3249">
        <w:fldChar w:fldCharType="separate"/>
      </w:r>
      <w:r w:rsidR="00740F03">
        <w:rPr>
          <w:noProof/>
        </w:rPr>
        <w:t>20</w:t>
      </w:r>
      <w:r w:rsidRPr="00AD3249">
        <w:fldChar w:fldCharType="end"/>
      </w:r>
      <w:r w:rsidRPr="00AD3249">
        <w:t xml:space="preserve">.  On 5 October 2006 the applicant received a response from the criminal police, informing him that his collaboration had been confirmed and that the State Police on 5 October 2006 had requested the Prisons Administration to transfer him to Matīsa Prison. The </w:t>
      </w:r>
      <w:r w:rsidR="007E6129" w:rsidRPr="00AD3249">
        <w:t>director of the Prisons Administration ordered the transfer on</w:t>
      </w:r>
      <w:r w:rsidRPr="00AD3249">
        <w:t xml:space="preserve"> 13 October 2006</w:t>
      </w:r>
      <w:r w:rsidR="007E6129" w:rsidRPr="00AD3249">
        <w:t xml:space="preserve"> and on 26 October 2006 the applicant was transferred to R</w:t>
      </w:r>
      <w:r w:rsidR="00CD4B43" w:rsidRPr="00AD3249">
        <w:t>i</w:t>
      </w:r>
      <w:r w:rsidR="007E6129" w:rsidRPr="00AD3249">
        <w:t>ga</w:t>
      </w:r>
      <w:r w:rsidRPr="00AD3249">
        <w:t>.</w:t>
      </w:r>
    </w:p>
    <w:p w:rsidR="00AA6B55" w:rsidRPr="00AD3249" w:rsidRDefault="00AA6B55" w:rsidP="003873E2">
      <w:pPr>
        <w:pStyle w:val="JuPara"/>
      </w:pPr>
      <w:r w:rsidRPr="00AD3249">
        <w:fldChar w:fldCharType="begin"/>
      </w:r>
      <w:r w:rsidRPr="00AD3249">
        <w:instrText xml:space="preserve"> SEQ level0 \*arabic </w:instrText>
      </w:r>
      <w:r w:rsidRPr="00AD3249">
        <w:fldChar w:fldCharType="separate"/>
      </w:r>
      <w:r w:rsidR="00740F03">
        <w:rPr>
          <w:noProof/>
        </w:rPr>
        <w:t>21</w:t>
      </w:r>
      <w:r w:rsidRPr="00AD3249">
        <w:fldChar w:fldCharType="end"/>
      </w:r>
      <w:r w:rsidRPr="00AD3249">
        <w:t>.  Upon a request from the Government</w:t>
      </w:r>
      <w:r w:rsidR="00CD4B43" w:rsidRPr="00AD3249">
        <w:t xml:space="preserve"> Agent</w:t>
      </w:r>
      <w:r w:rsidRPr="00AD3249">
        <w:t xml:space="preserve">, on 11 March 2011 the Ministry of Justice provided information concerning, </w:t>
      </w:r>
      <w:r w:rsidRPr="00AD3249">
        <w:rPr>
          <w:i/>
        </w:rPr>
        <w:t>inter alia</w:t>
      </w:r>
      <w:r w:rsidRPr="00AD3249">
        <w:t>, the applicant</w:t>
      </w:r>
      <w:r w:rsidR="00D870DC">
        <w:t>’</w:t>
      </w:r>
      <w:r w:rsidRPr="00AD3249">
        <w:t xml:space="preserve">s complaints submitted to the ministry. The ministry reported </w:t>
      </w:r>
      <w:r w:rsidR="00CD4B43" w:rsidRPr="00AD3249">
        <w:t xml:space="preserve">that it had </w:t>
      </w:r>
      <w:r w:rsidRPr="00AD3249">
        <w:t xml:space="preserve">received, either directly from the applicant himself or via prosecutors, numerous complaints which had principally </w:t>
      </w:r>
      <w:r w:rsidR="00CD4B43" w:rsidRPr="00AD3249">
        <w:t xml:space="preserve">related to </w:t>
      </w:r>
      <w:r w:rsidRPr="00AD3249">
        <w:t>unfair conviction, employment issues in prisons</w:t>
      </w:r>
      <w:r w:rsidR="007E11C0" w:rsidRPr="00AD3249">
        <w:t>,</w:t>
      </w:r>
      <w:r w:rsidRPr="00AD3249">
        <w:t xml:space="preserve"> and similar</w:t>
      </w:r>
      <w:r w:rsidR="00CD4B43" w:rsidRPr="00AD3249">
        <w:t xml:space="preserve"> matters</w:t>
      </w:r>
      <w:r w:rsidRPr="00AD3249">
        <w:t xml:space="preserve">. The applicant had on one occasion </w:t>
      </w:r>
      <w:r w:rsidR="00617474" w:rsidRPr="00AD3249">
        <w:t>(on 13 August 2007) complained about “the actions of the Prisons Administration in transferring him between cells</w:t>
      </w:r>
      <w:r w:rsidR="00E417E3" w:rsidRPr="00AD3249">
        <w:t>”</w:t>
      </w:r>
      <w:r w:rsidR="00617474" w:rsidRPr="00AD3249">
        <w:t xml:space="preserve">. The Ministry of Justice </w:t>
      </w:r>
      <w:r w:rsidR="00E417E3" w:rsidRPr="00AD3249">
        <w:t xml:space="preserve">had </w:t>
      </w:r>
      <w:r w:rsidR="00617474" w:rsidRPr="00AD3249">
        <w:t xml:space="preserve">provided the applicant with a response, </w:t>
      </w:r>
      <w:r w:rsidR="00CD4B43" w:rsidRPr="00AD3249">
        <w:t>a</w:t>
      </w:r>
      <w:r w:rsidR="00617474" w:rsidRPr="00AD3249">
        <w:t xml:space="preserve"> copy of which has not been made available to the Court.</w:t>
      </w:r>
    </w:p>
    <w:p w:rsidR="003873E2" w:rsidRPr="00D870DC" w:rsidRDefault="00D870DC" w:rsidP="00D870DC">
      <w:pPr>
        <w:pStyle w:val="JuHA"/>
      </w:pPr>
      <w:r w:rsidRPr="00D870DC">
        <w:t>B.  </w:t>
      </w:r>
      <w:r w:rsidR="00A00C13" w:rsidRPr="00D870DC">
        <w:t>Medical records</w:t>
      </w:r>
    </w:p>
    <w:p w:rsidR="00D870DC" w:rsidRDefault="00A00C13" w:rsidP="00A00C13">
      <w:pPr>
        <w:pStyle w:val="JuPara"/>
      </w:pPr>
      <w:r w:rsidRPr="00AD3249">
        <w:fldChar w:fldCharType="begin"/>
      </w:r>
      <w:r w:rsidRPr="00AD3249">
        <w:instrText xml:space="preserve"> SEQ level0 \*arabic </w:instrText>
      </w:r>
      <w:r w:rsidRPr="00AD3249">
        <w:fldChar w:fldCharType="separate"/>
      </w:r>
      <w:r w:rsidR="00740F03">
        <w:rPr>
          <w:noProof/>
        </w:rPr>
        <w:t>22</w:t>
      </w:r>
      <w:r w:rsidRPr="00AD3249">
        <w:fldChar w:fldCharType="end"/>
      </w:r>
      <w:r w:rsidRPr="00AD3249">
        <w:t>.  </w:t>
      </w:r>
      <w:r w:rsidR="00697D56" w:rsidRPr="00AD3249">
        <w:t xml:space="preserve">According to </w:t>
      </w:r>
      <w:r w:rsidR="00CD4B43" w:rsidRPr="00AD3249">
        <w:t>a</w:t>
      </w:r>
      <w:r w:rsidR="00697D56" w:rsidRPr="00AD3249">
        <w:t xml:space="preserve"> summary of the applicant</w:t>
      </w:r>
      <w:r w:rsidR="00D870DC">
        <w:t>’</w:t>
      </w:r>
      <w:r w:rsidR="00697D56" w:rsidRPr="00AD3249">
        <w:t xml:space="preserve">s medical records submitted by the Government, in November and December 2006 and in January 2007 the roots of five of his teeth were extracted in Daugavpils Prison. On two occasions (on 31 January 2006 and 9 December 2010) the applicant </w:t>
      </w:r>
      <w:r w:rsidR="00CD4B43" w:rsidRPr="00AD3249">
        <w:t>was</w:t>
      </w:r>
      <w:r w:rsidR="00697D56" w:rsidRPr="00AD3249">
        <w:t xml:space="preserve"> diagnosed with chronic periodontitis.</w:t>
      </w:r>
    </w:p>
    <w:p w:rsidR="00A00C13" w:rsidRPr="00AD3249" w:rsidRDefault="00A00C13" w:rsidP="00A00C13">
      <w:pPr>
        <w:pStyle w:val="JuPara"/>
      </w:pPr>
      <w:r w:rsidRPr="00AD3249">
        <w:fldChar w:fldCharType="begin"/>
      </w:r>
      <w:r w:rsidRPr="00AD3249">
        <w:instrText xml:space="preserve"> SEQ level0 \*arabic </w:instrText>
      </w:r>
      <w:r w:rsidRPr="00AD3249">
        <w:fldChar w:fldCharType="separate"/>
      </w:r>
      <w:r w:rsidR="00740F03">
        <w:rPr>
          <w:noProof/>
        </w:rPr>
        <w:t>23</w:t>
      </w:r>
      <w:r w:rsidRPr="00AD3249">
        <w:fldChar w:fldCharType="end"/>
      </w:r>
      <w:r w:rsidRPr="00AD3249">
        <w:t>.  In a response given to the applicant on 28 August 2007 the Prisons Administration noted that there was nothing in the applicant</w:t>
      </w:r>
      <w:r w:rsidR="00D870DC">
        <w:t>’</w:t>
      </w:r>
      <w:r w:rsidRPr="00AD3249">
        <w:t xml:space="preserve">s case file that would indicate that the applicant had lost his teeth </w:t>
      </w:r>
      <w:r w:rsidR="00B53B96" w:rsidRPr="00AD3249">
        <w:t>during altercations</w:t>
      </w:r>
      <w:r w:rsidRPr="00AD3249">
        <w:t xml:space="preserve"> with other </w:t>
      </w:r>
      <w:r w:rsidR="00B53B96" w:rsidRPr="00AD3249">
        <w:t xml:space="preserve">inmates of </w:t>
      </w:r>
      <w:r w:rsidRPr="00AD3249">
        <w:t>Daugavpils Prison</w:t>
      </w:r>
      <w:r w:rsidR="00697D56" w:rsidRPr="00AD3249">
        <w:t>.</w:t>
      </w:r>
    </w:p>
    <w:p w:rsidR="00A00C13" w:rsidRPr="00AD3249" w:rsidRDefault="00A00C13" w:rsidP="00A00C13">
      <w:pPr>
        <w:pStyle w:val="JuPara"/>
      </w:pPr>
      <w:r w:rsidRPr="00AD3249">
        <w:fldChar w:fldCharType="begin"/>
      </w:r>
      <w:r w:rsidRPr="00AD3249">
        <w:instrText xml:space="preserve"> SEQ level0 \*arabic </w:instrText>
      </w:r>
      <w:r w:rsidRPr="00AD3249">
        <w:fldChar w:fldCharType="separate"/>
      </w:r>
      <w:r w:rsidR="00740F03">
        <w:rPr>
          <w:noProof/>
        </w:rPr>
        <w:t>24</w:t>
      </w:r>
      <w:r w:rsidRPr="00AD3249">
        <w:fldChar w:fldCharType="end"/>
      </w:r>
      <w:r w:rsidRPr="00AD3249">
        <w:t>.  According to information obtained by the applicant from the medical department of Matīsa Prison, in 2007 he had visited the dentist there on no fewer than seven occasions.</w:t>
      </w:r>
      <w:r w:rsidR="00697D56" w:rsidRPr="00AD3249">
        <w:t xml:space="preserve"> The reason for </w:t>
      </w:r>
      <w:r w:rsidR="00643048" w:rsidRPr="00AD3249">
        <w:t xml:space="preserve">and the nature of </w:t>
      </w:r>
      <w:r w:rsidR="00697D56" w:rsidRPr="00AD3249">
        <w:t xml:space="preserve">these visits was not </w:t>
      </w:r>
      <w:r w:rsidR="00E417E3" w:rsidRPr="00AD3249">
        <w:t>given</w:t>
      </w:r>
      <w:r w:rsidR="00697D56" w:rsidRPr="00AD3249">
        <w:t>.</w:t>
      </w:r>
    </w:p>
    <w:p w:rsidR="00A00C13" w:rsidRPr="00AD3249" w:rsidRDefault="00A00C13" w:rsidP="00A00C13">
      <w:pPr>
        <w:pStyle w:val="JuHA"/>
      </w:pPr>
      <w:r w:rsidRPr="00AD3249">
        <w:t>C.  Criminal proceedings</w:t>
      </w:r>
    </w:p>
    <w:p w:rsidR="003873E2" w:rsidRPr="00AD3249" w:rsidRDefault="00A00C13" w:rsidP="00910131">
      <w:pPr>
        <w:pStyle w:val="JuPara"/>
      </w:pPr>
      <w:r w:rsidRPr="00AD3249">
        <w:fldChar w:fldCharType="begin"/>
      </w:r>
      <w:r w:rsidRPr="00AD3249">
        <w:instrText xml:space="preserve"> SEQ level0 \*arabic </w:instrText>
      </w:r>
      <w:r w:rsidRPr="00AD3249">
        <w:fldChar w:fldCharType="separate"/>
      </w:r>
      <w:r w:rsidR="00740F03">
        <w:rPr>
          <w:noProof/>
        </w:rPr>
        <w:t>25</w:t>
      </w:r>
      <w:r w:rsidRPr="00AD3249">
        <w:fldChar w:fldCharType="end"/>
      </w:r>
      <w:r w:rsidRPr="00AD3249">
        <w:t xml:space="preserve">.  By a judgment of 22 March 2006 </w:t>
      </w:r>
      <w:r w:rsidR="00055A5C" w:rsidRPr="00AD3249">
        <w:t xml:space="preserve">the </w:t>
      </w:r>
      <w:r w:rsidRPr="00AD3249">
        <w:t xml:space="preserve">Latgale Regional Court convicted the applicant of the offences </w:t>
      </w:r>
      <w:r w:rsidR="00B53B96" w:rsidRPr="00AD3249">
        <w:t xml:space="preserve">with which he was </w:t>
      </w:r>
      <w:r w:rsidRPr="00AD3249">
        <w:t xml:space="preserve">charged and sentenced him to a prison term of thirteen years and one month. In deciding to convict the applicant, the first-instance court relied on </w:t>
      </w:r>
      <w:r w:rsidR="00C60BF1" w:rsidRPr="00AD3249">
        <w:t xml:space="preserve">statements </w:t>
      </w:r>
      <w:r w:rsidR="00E7027C" w:rsidRPr="00AD3249">
        <w:t>from</w:t>
      </w:r>
      <w:r w:rsidR="00C60BF1" w:rsidRPr="00AD3249">
        <w:t xml:space="preserve"> the two victims</w:t>
      </w:r>
      <w:r w:rsidRPr="00AD3249">
        <w:t>. The court als</w:t>
      </w:r>
      <w:r w:rsidR="00643048" w:rsidRPr="00AD3249">
        <w:t>o heard statements from two other</w:t>
      </w:r>
      <w:r w:rsidRPr="00AD3249">
        <w:t xml:space="preserve"> witnesses and took into account statements </w:t>
      </w:r>
      <w:r w:rsidR="00AC70F6" w:rsidRPr="00AD3249">
        <w:t>from</w:t>
      </w:r>
      <w:r w:rsidRPr="00AD3249">
        <w:t xml:space="preserve"> the applicant</w:t>
      </w:r>
      <w:r w:rsidR="00D870DC">
        <w:t>’</w:t>
      </w:r>
      <w:r w:rsidRPr="00AD3249">
        <w:t>s partner and her mother. It also relied on two reports from expert psychologists. The applicant</w:t>
      </w:r>
      <w:r w:rsidR="00D870DC">
        <w:t>’</w:t>
      </w:r>
      <w:r w:rsidRPr="00AD3249">
        <w:t xml:space="preserve">s </w:t>
      </w:r>
      <w:r w:rsidR="00510AEA" w:rsidRPr="00AD3249">
        <w:t>statements</w:t>
      </w:r>
      <w:r w:rsidRPr="00AD3249">
        <w:t xml:space="preserve"> </w:t>
      </w:r>
      <w:r w:rsidR="00664EA3">
        <w:t>were</w:t>
      </w:r>
      <w:r w:rsidRPr="00AD3249">
        <w:t xml:space="preserve"> summarised in the judgment and </w:t>
      </w:r>
      <w:r w:rsidR="00664EA3">
        <w:t>were</w:t>
      </w:r>
      <w:r w:rsidRPr="00AD3249">
        <w:t xml:space="preserve"> followed by a note that he had retracted </w:t>
      </w:r>
      <w:r w:rsidR="00510AEA" w:rsidRPr="00AD3249">
        <w:t xml:space="preserve">his </w:t>
      </w:r>
      <w:r w:rsidRPr="00AD3249">
        <w:t>confession before the hearing. The applicant allege</w:t>
      </w:r>
      <w:r w:rsidR="00B53B96" w:rsidRPr="00AD3249">
        <w:t>d</w:t>
      </w:r>
      <w:r w:rsidRPr="00AD3249">
        <w:t xml:space="preserve"> that he </w:t>
      </w:r>
      <w:r w:rsidR="00E7027C" w:rsidRPr="00AD3249">
        <w:t xml:space="preserve">had </w:t>
      </w:r>
      <w:r w:rsidRPr="00AD3249">
        <w:t xml:space="preserve">tried to submit to the court a written statement of his reasons for confessing (namely, that he </w:t>
      </w:r>
      <w:r w:rsidR="00643048" w:rsidRPr="00AD3249">
        <w:t xml:space="preserve">had </w:t>
      </w:r>
      <w:r w:rsidRPr="00AD3249">
        <w:t xml:space="preserve">wished to be transferred to Matīsa Prison). However, given the choice of either having his statement read out at the hearing and admitted in evidence or not having it admitted in evidence, he </w:t>
      </w:r>
      <w:r w:rsidR="00C60BF1" w:rsidRPr="00AD3249">
        <w:t xml:space="preserve">had </w:t>
      </w:r>
      <w:r w:rsidRPr="00AD3249">
        <w:t>chose</w:t>
      </w:r>
      <w:r w:rsidR="00C60BF1" w:rsidRPr="00AD3249">
        <w:t>n</w:t>
      </w:r>
      <w:r w:rsidRPr="00AD3249">
        <w:t xml:space="preserve"> the latter, since he </w:t>
      </w:r>
      <w:r w:rsidR="00C60BF1" w:rsidRPr="00AD3249">
        <w:t xml:space="preserve">had not </w:t>
      </w:r>
      <w:r w:rsidRPr="00AD3249">
        <w:t>want</w:t>
      </w:r>
      <w:r w:rsidR="00C60BF1" w:rsidRPr="00AD3249">
        <w:t>ed</w:t>
      </w:r>
      <w:r w:rsidRPr="00AD3249">
        <w:t xml:space="preserve"> to disclose his </w:t>
      </w:r>
      <w:r w:rsidR="00AC70F6" w:rsidRPr="00AD3249">
        <w:t>previous</w:t>
      </w:r>
      <w:r w:rsidRPr="00AD3249">
        <w:t xml:space="preserve"> collaboration with the police in a public forum.</w:t>
      </w:r>
    </w:p>
    <w:p w:rsidR="00A00C13" w:rsidRPr="00AD3249" w:rsidRDefault="00A00C13" w:rsidP="00A00C13">
      <w:pPr>
        <w:pStyle w:val="JuPara"/>
      </w:pPr>
      <w:r w:rsidRPr="00AD3249">
        <w:fldChar w:fldCharType="begin"/>
      </w:r>
      <w:r w:rsidRPr="00AD3249">
        <w:instrText xml:space="preserve"> SEQ level0 \*arabic </w:instrText>
      </w:r>
      <w:r w:rsidRPr="00AD3249">
        <w:fldChar w:fldCharType="separate"/>
      </w:r>
      <w:r w:rsidR="00740F03">
        <w:rPr>
          <w:noProof/>
        </w:rPr>
        <w:t>26</w:t>
      </w:r>
      <w:r w:rsidRPr="00AD3249">
        <w:fldChar w:fldCharType="end"/>
      </w:r>
      <w:r w:rsidRPr="00AD3249">
        <w:t>.  On 5 December 2006 the Supreme Court rejected the applicant</w:t>
      </w:r>
      <w:r w:rsidR="00D870DC">
        <w:t>’</w:t>
      </w:r>
      <w:r w:rsidRPr="00AD3249">
        <w:t xml:space="preserve">s appeal against the judgment of the first-instance court by </w:t>
      </w:r>
      <w:r w:rsidR="00B53B96" w:rsidRPr="00AD3249">
        <w:t xml:space="preserve">agreeing with </w:t>
      </w:r>
      <w:r w:rsidRPr="00AD3249">
        <w:t>the lower court</w:t>
      </w:r>
      <w:r w:rsidR="00D870DC">
        <w:t>’</w:t>
      </w:r>
      <w:r w:rsidRPr="00AD3249">
        <w:t>s reasoning. With regard to the applicant</w:t>
      </w:r>
      <w:r w:rsidR="00D870DC">
        <w:t>’</w:t>
      </w:r>
      <w:r w:rsidRPr="00AD3249">
        <w:t xml:space="preserve">s confession, the appeal court noted that he had given conflicting accounts as to why it had been written. Specifically, on one occasion he </w:t>
      </w:r>
      <w:r w:rsidR="00C60BF1" w:rsidRPr="00AD3249">
        <w:t xml:space="preserve">had </w:t>
      </w:r>
      <w:r w:rsidRPr="00AD3249">
        <w:t xml:space="preserve">explained that it had been done to ensure his transfer to another prison, while in a letter to the president of the first-instance court he had explained that he had confessed because </w:t>
      </w:r>
      <w:r w:rsidR="00B53B96" w:rsidRPr="00AD3249">
        <w:t xml:space="preserve">his </w:t>
      </w:r>
      <w:r w:rsidRPr="00AD3249">
        <w:t xml:space="preserve">psychological state </w:t>
      </w:r>
      <w:r w:rsidR="00B53B96" w:rsidRPr="00AD3249">
        <w:t xml:space="preserve">had been such </w:t>
      </w:r>
      <w:r w:rsidRPr="00AD3249">
        <w:t>that he did not care what happen</w:t>
      </w:r>
      <w:r w:rsidR="00B53B96" w:rsidRPr="00AD3249">
        <w:t>ed</w:t>
      </w:r>
      <w:r w:rsidRPr="00AD3249">
        <w:t>. Taking into account the differing explanations, the appeal court chose not to believe them.</w:t>
      </w:r>
    </w:p>
    <w:p w:rsidR="00A00C13" w:rsidRPr="00AD3249" w:rsidRDefault="00A00C13" w:rsidP="00A00C13">
      <w:pPr>
        <w:pStyle w:val="JuPara"/>
      </w:pPr>
      <w:r w:rsidRPr="00AD3249">
        <w:fldChar w:fldCharType="begin"/>
      </w:r>
      <w:r w:rsidRPr="00AD3249">
        <w:instrText xml:space="preserve"> SEQ level0 \*arabic </w:instrText>
      </w:r>
      <w:r w:rsidRPr="00AD3249">
        <w:fldChar w:fldCharType="separate"/>
      </w:r>
      <w:r w:rsidR="00740F03">
        <w:rPr>
          <w:noProof/>
        </w:rPr>
        <w:t>27</w:t>
      </w:r>
      <w:r w:rsidRPr="00AD3249">
        <w:fldChar w:fldCharType="end"/>
      </w:r>
      <w:r w:rsidRPr="00AD3249">
        <w:t xml:space="preserve">.  The Senate of the Supreme Court on 1 February 2007 refused to accept </w:t>
      </w:r>
      <w:r w:rsidR="00B53B96" w:rsidRPr="00AD3249">
        <w:t xml:space="preserve">an </w:t>
      </w:r>
      <w:r w:rsidRPr="00AD3249">
        <w:t xml:space="preserve">appeal </w:t>
      </w:r>
      <w:r w:rsidR="00B53B96" w:rsidRPr="00AD3249">
        <w:t xml:space="preserve">by the applicant </w:t>
      </w:r>
      <w:r w:rsidRPr="00AD3249">
        <w:t xml:space="preserve">on points of law, since it was held that he had failed to substantiate </w:t>
      </w:r>
      <w:r w:rsidR="00AC70F6" w:rsidRPr="00AD3249">
        <w:t>his</w:t>
      </w:r>
      <w:r w:rsidR="00B53B96" w:rsidRPr="00AD3249">
        <w:t xml:space="preserve"> </w:t>
      </w:r>
      <w:r w:rsidRPr="00AD3249">
        <w:t xml:space="preserve">appeal with any </w:t>
      </w:r>
      <w:r w:rsidR="00B53B96" w:rsidRPr="00AD3249">
        <w:t xml:space="preserve">indication of </w:t>
      </w:r>
      <w:r w:rsidRPr="00AD3249">
        <w:t>significant violation of substantive or procedural law.</w:t>
      </w:r>
    </w:p>
    <w:p w:rsidR="00A00C13" w:rsidRPr="00AD3249" w:rsidRDefault="00A00C13" w:rsidP="00A00C13">
      <w:pPr>
        <w:pStyle w:val="JuPara"/>
      </w:pPr>
      <w:r w:rsidRPr="00AD3249">
        <w:fldChar w:fldCharType="begin"/>
      </w:r>
      <w:r w:rsidRPr="00AD3249">
        <w:instrText xml:space="preserve"> SEQ level0 \*arabic </w:instrText>
      </w:r>
      <w:r w:rsidRPr="00AD3249">
        <w:fldChar w:fldCharType="separate"/>
      </w:r>
      <w:r w:rsidR="00740F03">
        <w:rPr>
          <w:noProof/>
        </w:rPr>
        <w:t>28</w:t>
      </w:r>
      <w:r w:rsidRPr="00AD3249">
        <w:fldChar w:fldCharType="end"/>
      </w:r>
      <w:r w:rsidRPr="00AD3249">
        <w:t xml:space="preserve">.  On 16 July 2007 the applicant </w:t>
      </w:r>
      <w:r w:rsidR="00643048" w:rsidRPr="00AD3249">
        <w:t>ask</w:t>
      </w:r>
      <w:r w:rsidRPr="00AD3249">
        <w:t xml:space="preserve">ed the Senate of the Supreme Court to reopen the proceedings in his case </w:t>
      </w:r>
      <w:r w:rsidR="00B53B96" w:rsidRPr="00AD3249">
        <w:t xml:space="preserve">because of </w:t>
      </w:r>
      <w:r w:rsidRPr="00AD3249">
        <w:t xml:space="preserve">violations of procedural law and the Convention which had allegedly been committed during the original proceedings. That request was </w:t>
      </w:r>
      <w:r w:rsidR="00B53B96" w:rsidRPr="00AD3249">
        <w:t>refused</w:t>
      </w:r>
      <w:r w:rsidRPr="00AD3249">
        <w:t xml:space="preserve"> on 10 August 2007, since requests for reopening </w:t>
      </w:r>
      <w:r w:rsidR="00B53B96" w:rsidRPr="00AD3249">
        <w:t xml:space="preserve">of proceedings </w:t>
      </w:r>
      <w:r w:rsidRPr="00AD3249">
        <w:t xml:space="preserve">could only be submitted by a prosecutor or by an attorney acting on behalf of </w:t>
      </w:r>
      <w:r w:rsidR="00B53B96" w:rsidRPr="00AD3249">
        <w:t>a</w:t>
      </w:r>
      <w:r w:rsidRPr="00AD3249">
        <w:t xml:space="preserve"> convicted person. No </w:t>
      </w:r>
      <w:r w:rsidR="00E7027C" w:rsidRPr="00AD3249">
        <w:t>S</w:t>
      </w:r>
      <w:r w:rsidRPr="00AD3249">
        <w:t xml:space="preserve">tate-provided legal aid was available for </w:t>
      </w:r>
      <w:r w:rsidR="00B53B96" w:rsidRPr="00AD3249">
        <w:t xml:space="preserve">applications for </w:t>
      </w:r>
      <w:r w:rsidRPr="00AD3249">
        <w:t xml:space="preserve">reopening </w:t>
      </w:r>
      <w:r w:rsidR="00B53B96" w:rsidRPr="00AD3249">
        <w:t xml:space="preserve">of </w:t>
      </w:r>
      <w:r w:rsidRPr="00AD3249">
        <w:t>proceedings.</w:t>
      </w:r>
    </w:p>
    <w:p w:rsidR="00910131" w:rsidRPr="00AD3249" w:rsidRDefault="00A00C13" w:rsidP="00A00C13">
      <w:pPr>
        <w:pStyle w:val="JuPara"/>
      </w:pPr>
      <w:r w:rsidRPr="00AD3249">
        <w:fldChar w:fldCharType="begin"/>
      </w:r>
      <w:r w:rsidRPr="00AD3249">
        <w:instrText xml:space="preserve"> SEQ level0 \*arabic </w:instrText>
      </w:r>
      <w:r w:rsidRPr="00AD3249">
        <w:fldChar w:fldCharType="separate"/>
      </w:r>
      <w:r w:rsidR="00740F03">
        <w:rPr>
          <w:noProof/>
        </w:rPr>
        <w:t>29</w:t>
      </w:r>
      <w:r w:rsidRPr="00AD3249">
        <w:fldChar w:fldCharType="end"/>
      </w:r>
      <w:r w:rsidRPr="00AD3249">
        <w:t xml:space="preserve">.  The applicant eventually </w:t>
      </w:r>
      <w:r w:rsidR="000560FE" w:rsidRPr="00AD3249">
        <w:t>secur</w:t>
      </w:r>
      <w:r w:rsidRPr="00AD3249">
        <w:t>ed legal representation</w:t>
      </w:r>
      <w:r w:rsidR="007E11C0" w:rsidRPr="00AD3249">
        <w:t>,</w:t>
      </w:r>
      <w:r w:rsidRPr="00AD3249">
        <w:t xml:space="preserve"> and on 14 March 2008 the Senate consider</w:t>
      </w:r>
      <w:r w:rsidR="00B53B96" w:rsidRPr="00AD3249">
        <w:t>ed</w:t>
      </w:r>
      <w:r w:rsidRPr="00AD3249">
        <w:t xml:space="preserve"> his request for reopening of the proceedings, and rejected it on the merits.</w:t>
      </w:r>
    </w:p>
    <w:p w:rsidR="007352DD" w:rsidRPr="00AD3249" w:rsidRDefault="007352DD" w:rsidP="008824B9">
      <w:pPr>
        <w:pStyle w:val="JuHIRoman"/>
        <w:outlineLvl w:val="0"/>
      </w:pPr>
      <w:r w:rsidRPr="00AD3249">
        <w:t>II.  RELEVANT DOMESTIC LAW AND PRACTICE</w:t>
      </w:r>
      <w:r w:rsidR="00910131" w:rsidRPr="00AD3249">
        <w:t xml:space="preserve"> AND COUNCIL OF EUROPE MATERIALS</w:t>
      </w:r>
    </w:p>
    <w:p w:rsidR="00910131" w:rsidRPr="00AD3249" w:rsidRDefault="00910131" w:rsidP="00910131">
      <w:pPr>
        <w:pStyle w:val="JuHA"/>
      </w:pPr>
      <w:r w:rsidRPr="00AD3249">
        <w:t>A.  The relevant documents of the Council of Europe</w:t>
      </w:r>
    </w:p>
    <w:p w:rsidR="00910131" w:rsidRPr="00AD3249" w:rsidRDefault="00910131" w:rsidP="00910131">
      <w:pPr>
        <w:pStyle w:val="JuPara"/>
      </w:pPr>
      <w:r w:rsidRPr="00AD3249">
        <w:fldChar w:fldCharType="begin"/>
      </w:r>
      <w:r w:rsidRPr="00AD3249">
        <w:instrText xml:space="preserve"> SEQ level0 \*arabic </w:instrText>
      </w:r>
      <w:r w:rsidRPr="00AD3249">
        <w:fldChar w:fldCharType="separate"/>
      </w:r>
      <w:r w:rsidR="00740F03">
        <w:rPr>
          <w:noProof/>
        </w:rPr>
        <w:t>30</w:t>
      </w:r>
      <w:r w:rsidRPr="00AD3249">
        <w:fldChar w:fldCharType="end"/>
      </w:r>
      <w:r w:rsidRPr="00AD3249">
        <w:t>.  The European Committee for the Prevention of Torture and Inhuman or Degrading Treatment or Punishment (hereinafter “the CPT”) has developed standards relating to the treatment of persons deprived of their liberty. The following are its standards concerning violence between prisoners (document no. CPT/Inf/E (2002) 1, Rev. 2009, paragraph 27):</w:t>
      </w:r>
    </w:p>
    <w:p w:rsidR="00910131" w:rsidRPr="00AD3249" w:rsidRDefault="00910131" w:rsidP="00910131">
      <w:pPr>
        <w:pStyle w:val="JuQuot"/>
      </w:pPr>
      <w:r w:rsidRPr="00AD3249">
        <w:t>“The duty of care which is owed by custodial staff to those in their charge includes the responsibility to protect them from other inmates who wish to cause them harm. In fact, violent incidents among prisoners are a regular occurrence in all prison systems; they involve a wide range of phenomena, from subtle forms of harassment to unconcealed intimidation and serious physical attacks.</w:t>
      </w:r>
    </w:p>
    <w:p w:rsidR="00910131" w:rsidRPr="00AD3249" w:rsidRDefault="00910131" w:rsidP="00910131">
      <w:pPr>
        <w:pStyle w:val="JuQuot"/>
      </w:pPr>
      <w:r w:rsidRPr="00AD3249">
        <w:t>Tackling the phenomenon of inter-prisoner violence requires that prison staff be placed in a position, including in terms of staffing levels, to exercise their authority and their supervisory tasks in an appropriate manner. Prison staff must be alert to signs of trouble and be both resolved and properly trained to intervene when necessary. The existence of positive relations between staff and prisoners, based on the notions of secure custody and care, is a decisive factor in this context; this will depend in large measure on staff possessing appropriate interpersonal communication skills. Further, management must be prepared fully to support staff in the exercise of their authority. Specific security measures adapted to the particular characteristics of the situation encountered (including effective search procedures) may well be required; however, such measures can never be more than an adjunct to the above-mentioned basic imperatives. In addition, the prison system needs to address the issue of the appropriate classification and distribution of prisoners.</w:t>
      </w:r>
    </w:p>
    <w:p w:rsidR="00910131" w:rsidRPr="00AD3249" w:rsidRDefault="00910131" w:rsidP="00910131">
      <w:pPr>
        <w:pStyle w:val="JuQuot"/>
      </w:pPr>
      <w:r w:rsidRPr="00AD3249">
        <w:t>Prisoners suspected or convicted of sexual offences are at a particularly high risk of being assaulted by other prisoners. Preventing such acts will always pose a difficult challenge. The solution that is often adopted is to separate such prisoners from the rest of the prison population. However, the prisoners concerned may pay a heavy price for their – relative – security, in terms of much more limited activities programmes than those available under the normal prison regime. Another approach is to disperse prisoners suspected or convicted of sexual offences throughout the prison concerned. If such an approach is to succeed, the necessary environment for the proper integration of such prisoners into ordinary cell blocks must be guaranteed; in particular, the prison staff must be sincerely committed to dealing firmly with any signs of hostility or persecution. A third approach can consist of transferring prisoners to another establishment, accompanied by measures aimed at concealing the nature of their offence. Each of these policies has its advantages and disadvantages, and the CPT does not seek to promote a given approach as opposed to another. Indeed, the decision on which policy to apply will mainly depend on the particular circumstances of each case.”</w:t>
      </w:r>
    </w:p>
    <w:p w:rsidR="00910131" w:rsidRPr="00AD3249" w:rsidRDefault="00910131" w:rsidP="00910131">
      <w:pPr>
        <w:pStyle w:val="JuPara"/>
      </w:pPr>
      <w:r w:rsidRPr="00AD3249">
        <w:fldChar w:fldCharType="begin"/>
      </w:r>
      <w:r w:rsidRPr="00AD3249">
        <w:instrText xml:space="preserve"> SEQ level0 \*arabic </w:instrText>
      </w:r>
      <w:r w:rsidRPr="00AD3249">
        <w:fldChar w:fldCharType="separate"/>
      </w:r>
      <w:r w:rsidR="00740F03">
        <w:rPr>
          <w:noProof/>
        </w:rPr>
        <w:t>31</w:t>
      </w:r>
      <w:r w:rsidRPr="00AD3249">
        <w:fldChar w:fldCharType="end"/>
      </w:r>
      <w:r w:rsidRPr="00AD3249">
        <w:t xml:space="preserve">.  In its report on </w:t>
      </w:r>
      <w:r w:rsidR="00B53B96" w:rsidRPr="00AD3249">
        <w:t xml:space="preserve">its </w:t>
      </w:r>
      <w:r w:rsidRPr="00AD3249">
        <w:t xml:space="preserve">visit to Latvia in 2002, the CPT expressed serious concern about the frequent occurrence of violence between prisoners in Daugavpils </w:t>
      </w:r>
      <w:r w:rsidR="00B368F9" w:rsidRPr="00AD3249">
        <w:t>Prison</w:t>
      </w:r>
      <w:r w:rsidRPr="00AD3249">
        <w:t xml:space="preserve"> (paragraph 69). In this regard, it reiterated that the prison authorities had a duty to take proactive measures to prevent such violence (paragraph 71).</w:t>
      </w:r>
    </w:p>
    <w:p w:rsidR="00910131" w:rsidRPr="00AD3249" w:rsidRDefault="00910131" w:rsidP="00910131">
      <w:pPr>
        <w:pStyle w:val="JuPara"/>
      </w:pPr>
      <w:r w:rsidRPr="00AD3249">
        <w:fldChar w:fldCharType="begin"/>
      </w:r>
      <w:r w:rsidRPr="00AD3249">
        <w:instrText xml:space="preserve"> SEQ level0 \*arabic </w:instrText>
      </w:r>
      <w:r w:rsidRPr="00AD3249">
        <w:fldChar w:fldCharType="separate"/>
      </w:r>
      <w:r w:rsidR="00740F03">
        <w:rPr>
          <w:noProof/>
        </w:rPr>
        <w:t>32</w:t>
      </w:r>
      <w:r w:rsidRPr="00AD3249">
        <w:fldChar w:fldCharType="end"/>
      </w:r>
      <w:r w:rsidRPr="00AD3249">
        <w:t>.  Similar concerns were expressed in the wake of the CPT</w:t>
      </w:r>
      <w:r w:rsidR="00D870DC">
        <w:t>’</w:t>
      </w:r>
      <w:r w:rsidRPr="00AD3249">
        <w:t xml:space="preserve">s 2004 </w:t>
      </w:r>
      <w:r w:rsidR="00740E80" w:rsidRPr="00AD3249">
        <w:t>visit to Latvia</w:t>
      </w:r>
      <w:r w:rsidRPr="00AD3249">
        <w:t xml:space="preserve">. The report once again expressed concern about the frequency and severity of allegations of violence between prisoners in Daugavpils </w:t>
      </w:r>
      <w:r w:rsidR="00B368F9" w:rsidRPr="00AD3249">
        <w:t>Prison</w:t>
      </w:r>
      <w:r w:rsidRPr="00AD3249">
        <w:t xml:space="preserve"> (paragraph 43). The Latvian authorities were repeatedly called upon “to take special precautions to protect ... vulnerable prisoners from all forms of abuse” and “to develop strategies with a view to addressing the problem of inter-prisoner violence”.</w:t>
      </w:r>
    </w:p>
    <w:p w:rsidR="00262446" w:rsidRPr="00AD3249" w:rsidRDefault="00366B92" w:rsidP="00910131">
      <w:pPr>
        <w:pStyle w:val="JuPara"/>
        <w:rPr>
          <w:bCs/>
        </w:rPr>
      </w:pPr>
      <w:r w:rsidRPr="00AD3249">
        <w:fldChar w:fldCharType="begin"/>
      </w:r>
      <w:r w:rsidRPr="00AD3249">
        <w:instrText xml:space="preserve"> SEQ level0 \*arabic </w:instrText>
      </w:r>
      <w:r w:rsidRPr="00AD3249">
        <w:fldChar w:fldCharType="separate"/>
      </w:r>
      <w:r w:rsidR="00740F03">
        <w:rPr>
          <w:noProof/>
        </w:rPr>
        <w:t>33</w:t>
      </w:r>
      <w:r w:rsidRPr="00AD3249">
        <w:fldChar w:fldCharType="end"/>
      </w:r>
      <w:r w:rsidRPr="00AD3249">
        <w:t>.  </w:t>
      </w:r>
      <w:r w:rsidR="00262446" w:rsidRPr="00AD3249">
        <w:t>While the CPT did not visit Daugavgrīva Prison during its 2011 visit to Latvia, its report on this visit called the Latvian authorities</w:t>
      </w:r>
      <w:r w:rsidR="00262446" w:rsidRPr="00AD3249">
        <w:rPr>
          <w:bCs/>
        </w:rPr>
        <w:t xml:space="preserve"> “to develop a comprehensive strategy with a view to addressing the problem of inter-prisoner violence” (paragraph 55).</w:t>
      </w:r>
    </w:p>
    <w:p w:rsidR="00AE537E" w:rsidRPr="00AD3249" w:rsidRDefault="00AE537E" w:rsidP="00910131">
      <w:pPr>
        <w:pStyle w:val="JuPara"/>
        <w:rPr>
          <w:bCs/>
        </w:rPr>
      </w:pPr>
      <w:r w:rsidRPr="00AD3249">
        <w:rPr>
          <w:bCs/>
        </w:rPr>
        <w:fldChar w:fldCharType="begin"/>
      </w:r>
      <w:r w:rsidRPr="00AD3249">
        <w:rPr>
          <w:bCs/>
        </w:rPr>
        <w:instrText xml:space="preserve"> SEQ level0 \*arabic </w:instrText>
      </w:r>
      <w:r w:rsidRPr="00AD3249">
        <w:rPr>
          <w:bCs/>
        </w:rPr>
        <w:fldChar w:fldCharType="separate"/>
      </w:r>
      <w:r w:rsidR="00740F03">
        <w:rPr>
          <w:bCs/>
          <w:noProof/>
        </w:rPr>
        <w:t>34</w:t>
      </w:r>
      <w:r w:rsidRPr="00AD3249">
        <w:rPr>
          <w:bCs/>
        </w:rPr>
        <w:fldChar w:fldCharType="end"/>
      </w:r>
      <w:r w:rsidRPr="00AD3249">
        <w:rPr>
          <w:bCs/>
        </w:rPr>
        <w:t>.  In their response to the CPT</w:t>
      </w:r>
      <w:r w:rsidR="00D870DC">
        <w:rPr>
          <w:bCs/>
        </w:rPr>
        <w:t>’</w:t>
      </w:r>
      <w:r w:rsidRPr="00AD3249">
        <w:rPr>
          <w:bCs/>
        </w:rPr>
        <w:t>s report on the 2011 visit the Government outlined several safeguards for preventing inter-prisoner violence, indicating that the security departments of prisons “</w:t>
      </w:r>
      <w:r w:rsidRPr="00AD3249">
        <w:rPr>
          <w:szCs w:val="24"/>
          <w:lang w:val="en-US" w:eastAsia="en-US"/>
        </w:rPr>
        <w:t>in some cases request the [Prisons Administration] to displace the prisoner to another prison due to security reasons</w:t>
      </w:r>
      <w:r w:rsidRPr="00AD3249">
        <w:rPr>
          <w:bCs/>
        </w:rPr>
        <w:t>”. In deciding on the placement of prisoners in particular prisons, the responsible authorities take into account, among other things, the nature of criminal offences committed by him and “the psychological compatibility of prisoners”.</w:t>
      </w:r>
    </w:p>
    <w:p w:rsidR="00D50EB3" w:rsidRPr="00AD3249" w:rsidRDefault="00D50EB3" w:rsidP="00D50EB3">
      <w:pPr>
        <w:pStyle w:val="JuPara"/>
      </w:pPr>
      <w:r w:rsidRPr="00AD3249">
        <w:fldChar w:fldCharType="begin"/>
      </w:r>
      <w:r w:rsidRPr="00AD3249">
        <w:instrText xml:space="preserve"> SEQ level0 \*arabic </w:instrText>
      </w:r>
      <w:r w:rsidRPr="00AD3249">
        <w:fldChar w:fldCharType="separate"/>
      </w:r>
      <w:r w:rsidR="00740F03">
        <w:rPr>
          <w:noProof/>
        </w:rPr>
        <w:t>35</w:t>
      </w:r>
      <w:r w:rsidRPr="00AD3249">
        <w:fldChar w:fldCharType="end"/>
      </w:r>
      <w:r w:rsidRPr="00AD3249">
        <w:t>.  </w:t>
      </w:r>
      <w:r w:rsidR="001420AC" w:rsidRPr="00AD3249">
        <w:t xml:space="preserve">The relevant part of </w:t>
      </w:r>
      <w:r w:rsidRPr="00AD3249">
        <w:rPr>
          <w:rStyle w:val="sb8d990e2"/>
        </w:rPr>
        <w:t>Recommendation Rec (2005)9 of the Committee of Ministers of the Council of Europe to member states on the protection of witnesses and collaborators with justice provides</w:t>
      </w:r>
      <w:r w:rsidR="001420AC" w:rsidRPr="00AD3249">
        <w:rPr>
          <w:rStyle w:val="sb8d990e2"/>
        </w:rPr>
        <w:t xml:space="preserve"> </w:t>
      </w:r>
      <w:r w:rsidRPr="00AD3249">
        <w:rPr>
          <w:rStyle w:val="sb8d990e2"/>
        </w:rPr>
        <w:t>as follows.</w:t>
      </w:r>
    </w:p>
    <w:p w:rsidR="00D50EB3" w:rsidRPr="00AD3249" w:rsidRDefault="00D50EB3" w:rsidP="00D50EB3">
      <w:pPr>
        <w:pStyle w:val="JuQuot"/>
      </w:pPr>
      <w:r w:rsidRPr="00AD3249">
        <w:rPr>
          <w:rStyle w:val="sfbbfee58"/>
        </w:rPr>
        <w:t xml:space="preserve"> “II. General Principles</w:t>
      </w:r>
    </w:p>
    <w:p w:rsidR="00D50EB3" w:rsidRPr="00AD3249" w:rsidRDefault="00683DCB" w:rsidP="00D50EB3">
      <w:pPr>
        <w:pStyle w:val="JuQuot"/>
      </w:pPr>
      <w:r>
        <w:rPr>
          <w:rStyle w:val="sfbbfee58"/>
        </w:rPr>
        <w:t>...</w:t>
      </w:r>
      <w:r w:rsidR="001420AC" w:rsidRPr="00AD3249">
        <w:rPr>
          <w:rStyle w:val="sfbbfee58"/>
        </w:rPr>
        <w:t xml:space="preserve"> </w:t>
      </w:r>
      <w:r w:rsidR="00D50EB3" w:rsidRPr="00AD3249">
        <w:rPr>
          <w:rStyle w:val="sfbbfee58"/>
        </w:rPr>
        <w:t>2. While respecting the rights of the defence, the protection of witnesses, collaborators of justice and people close to them should be organised, where necessary, before, during and after the trial.</w:t>
      </w:r>
    </w:p>
    <w:p w:rsidR="00D50EB3" w:rsidRPr="00AD3249" w:rsidRDefault="00D50EB3" w:rsidP="00D50EB3">
      <w:pPr>
        <w:pStyle w:val="JuQuot"/>
      </w:pPr>
      <w:r w:rsidRPr="00AD3249">
        <w:rPr>
          <w:rStyle w:val="sfbbfee58"/>
        </w:rPr>
        <w:t>3. Acts of intimidation of witnesses, collaborators of justice and people close to them should, where necessary, be made punishable either as separate criminal offences or as part of the offence of using illegal threats”.</w:t>
      </w:r>
    </w:p>
    <w:p w:rsidR="00910131" w:rsidRPr="00AD3249" w:rsidRDefault="00910131" w:rsidP="00910131">
      <w:pPr>
        <w:pStyle w:val="JuHA"/>
      </w:pPr>
      <w:r w:rsidRPr="00AD3249">
        <w:t>B.  Relevant domestic law</w:t>
      </w:r>
    </w:p>
    <w:p w:rsidR="00E32A32" w:rsidRPr="00AD3249" w:rsidRDefault="00E32A32" w:rsidP="00E32A32">
      <w:pPr>
        <w:pStyle w:val="JuH1"/>
      </w:pPr>
      <w:r w:rsidRPr="00AD3249">
        <w:t>1</w:t>
      </w:r>
      <w:r w:rsidR="00580E6F">
        <w:t>.</w:t>
      </w:r>
      <w:r w:rsidRPr="00AD3249">
        <w:t>  Placement of detainees</w:t>
      </w:r>
    </w:p>
    <w:p w:rsidR="00910131" w:rsidRPr="00AD3249" w:rsidRDefault="00910131" w:rsidP="00910131">
      <w:pPr>
        <w:pStyle w:val="JuPara"/>
      </w:pPr>
      <w:r w:rsidRPr="00AD3249">
        <w:fldChar w:fldCharType="begin"/>
      </w:r>
      <w:r w:rsidRPr="00AD3249">
        <w:instrText xml:space="preserve"> SEQ level0 \*arabic </w:instrText>
      </w:r>
      <w:r w:rsidRPr="00AD3249">
        <w:fldChar w:fldCharType="separate"/>
      </w:r>
      <w:r w:rsidR="00740F03">
        <w:rPr>
          <w:noProof/>
        </w:rPr>
        <w:t>36</w:t>
      </w:r>
      <w:r w:rsidRPr="00AD3249">
        <w:fldChar w:fldCharType="end"/>
      </w:r>
      <w:r w:rsidRPr="00AD3249">
        <w:t xml:space="preserve">.  At the </w:t>
      </w:r>
      <w:r w:rsidR="001420AC" w:rsidRPr="00AD3249">
        <w:t xml:space="preserve">time </w:t>
      </w:r>
      <w:r w:rsidRPr="00AD3249">
        <w:t>of the applicant</w:t>
      </w:r>
      <w:r w:rsidR="00D870DC">
        <w:t>’</w:t>
      </w:r>
      <w:r w:rsidRPr="00AD3249">
        <w:t xml:space="preserve">s arrest the placement of </w:t>
      </w:r>
      <w:r w:rsidR="000F2F8F" w:rsidRPr="00AD3249">
        <w:t>individuals</w:t>
      </w:r>
      <w:r w:rsidRPr="00AD3249">
        <w:t xml:space="preserve"> who had been detained but not convicted was governed by </w:t>
      </w:r>
      <w:r w:rsidR="00E32A32" w:rsidRPr="00AD3249">
        <w:t xml:space="preserve">Regulation of the </w:t>
      </w:r>
      <w:r w:rsidRPr="00AD3249">
        <w:t xml:space="preserve">Cabinet </w:t>
      </w:r>
      <w:r w:rsidR="00E32A32" w:rsidRPr="00AD3249">
        <w:t>of Ministers</w:t>
      </w:r>
      <w:r w:rsidRPr="00AD3249">
        <w:t xml:space="preserve"> </w:t>
      </w:r>
      <w:r w:rsidR="00E32A32" w:rsidRPr="00AD3249">
        <w:t>n</w:t>
      </w:r>
      <w:r w:rsidRPr="00AD3249">
        <w:t>o. 211 (2003)</w:t>
      </w:r>
      <w:r w:rsidR="001420AC" w:rsidRPr="00AD3249">
        <w:t>,</w:t>
      </w:r>
      <w:r w:rsidRPr="00AD3249">
        <w:t xml:space="preserve"> entitled “The rules of internal order in </w:t>
      </w:r>
      <w:r w:rsidR="001420AC" w:rsidRPr="00AD3249">
        <w:t>remand</w:t>
      </w:r>
      <w:r w:rsidRPr="00AD3249">
        <w:t xml:space="preserve"> prisons” (</w:t>
      </w:r>
      <w:r w:rsidRPr="00AD3249">
        <w:rPr>
          <w:i/>
        </w:rPr>
        <w:t>Ministru kabineta noteikumi Nr. 211 “Izmeklēšanas cietumu iekšējās kārtības noteikumi”</w:t>
      </w:r>
      <w:r w:rsidRPr="00AD3249">
        <w:t>), which remained in force until 1 April 2006. Paragraph 19 provided that detained persons were to be placed in cells</w:t>
      </w:r>
      <w:r w:rsidR="00E7027C" w:rsidRPr="00AD3249">
        <w:t>,</w:t>
      </w:r>
      <w:r w:rsidRPr="00AD3249">
        <w:t xml:space="preserve"> and decisions on when and whether to move them were to be based on internal security, the </w:t>
      </w:r>
      <w:r w:rsidR="001420AC" w:rsidRPr="00AD3249">
        <w:t>offence</w:t>
      </w:r>
      <w:r w:rsidRPr="00AD3249">
        <w:t xml:space="preserve"> on which the detention was based, personal characteristics and psychological factors.</w:t>
      </w:r>
    </w:p>
    <w:p w:rsidR="00910131" w:rsidRPr="00AD3249" w:rsidRDefault="00910131" w:rsidP="00910131">
      <w:pPr>
        <w:pStyle w:val="JuPara"/>
      </w:pPr>
      <w:r w:rsidRPr="00AD3249">
        <w:fldChar w:fldCharType="begin"/>
      </w:r>
      <w:r w:rsidRPr="00AD3249">
        <w:instrText xml:space="preserve"> SEQ level0 \*arabic </w:instrText>
      </w:r>
      <w:r w:rsidRPr="00AD3249">
        <w:fldChar w:fldCharType="separate"/>
      </w:r>
      <w:r w:rsidR="00740F03">
        <w:rPr>
          <w:noProof/>
        </w:rPr>
        <w:t>37</w:t>
      </w:r>
      <w:r w:rsidRPr="00AD3249">
        <w:fldChar w:fldCharType="end"/>
      </w:r>
      <w:r w:rsidRPr="00AD3249">
        <w:t>.  From 20 April 2006 the placement of detainees was governed by the Law on Detention Procedure (</w:t>
      </w:r>
      <w:r w:rsidRPr="00AD3249">
        <w:rPr>
          <w:i/>
        </w:rPr>
        <w:t>Apcietinājumā turēšanas kārtības likums</w:t>
      </w:r>
      <w:r w:rsidRPr="00AD3249">
        <w:t>), section 11(4) and (5)</w:t>
      </w:r>
      <w:r w:rsidR="001420AC" w:rsidRPr="00AD3249">
        <w:t xml:space="preserve">, </w:t>
      </w:r>
      <w:r w:rsidRPr="00AD3249">
        <w:t>which provided that detained persons were to be held separately from those who had been convicted</w:t>
      </w:r>
      <w:r w:rsidR="001420AC" w:rsidRPr="00AD3249">
        <w:t>,</w:t>
      </w:r>
      <w:r w:rsidRPr="00AD3249">
        <w:t xml:space="preserve"> and that employees and former employees of certain institutions</w:t>
      </w:r>
      <w:r w:rsidR="001420AC" w:rsidRPr="00AD3249">
        <w:t>, of which an exhaustive list was provided</w:t>
      </w:r>
      <w:r w:rsidRPr="00AD3249">
        <w:t xml:space="preserve"> (the </w:t>
      </w:r>
      <w:r w:rsidR="00043D47" w:rsidRPr="00AD3249">
        <w:t>Prisons Administration</w:t>
      </w:r>
      <w:r w:rsidRPr="00AD3249">
        <w:t xml:space="preserve"> and </w:t>
      </w:r>
      <w:r w:rsidR="001420AC" w:rsidRPr="00AD3249">
        <w:t>others</w:t>
      </w:r>
      <w:r w:rsidRPr="00AD3249">
        <w:t>)</w:t>
      </w:r>
      <w:r w:rsidR="00420868" w:rsidRPr="00AD3249">
        <w:t>,</w:t>
      </w:r>
      <w:r w:rsidRPr="00AD3249">
        <w:t xml:space="preserve"> as well as their spouses and immediate family, were to be placed separately from other detainees.</w:t>
      </w:r>
    </w:p>
    <w:p w:rsidR="007352DD" w:rsidRPr="00AD3249" w:rsidRDefault="00910131" w:rsidP="00910131">
      <w:pPr>
        <w:pStyle w:val="JuPara"/>
      </w:pPr>
      <w:r w:rsidRPr="00AD3249">
        <w:fldChar w:fldCharType="begin"/>
      </w:r>
      <w:r w:rsidRPr="00AD3249">
        <w:instrText xml:space="preserve"> SEQ level0 \*arabic </w:instrText>
      </w:r>
      <w:r w:rsidRPr="00AD3249">
        <w:fldChar w:fldCharType="separate"/>
      </w:r>
      <w:r w:rsidR="00740F03">
        <w:rPr>
          <w:noProof/>
        </w:rPr>
        <w:t>38</w:t>
      </w:r>
      <w:r w:rsidRPr="00AD3249">
        <w:fldChar w:fldCharType="end"/>
      </w:r>
      <w:r w:rsidRPr="00AD3249">
        <w:t xml:space="preserve">.  On 18 July 2006 the Law on Detention Procedure was amended. In the version in force until </w:t>
      </w:r>
      <w:r w:rsidR="00E32A32" w:rsidRPr="00AD3249">
        <w:t>26 </w:t>
      </w:r>
      <w:r w:rsidRPr="00AD3249">
        <w:t xml:space="preserve">October 2006 (when the applicant was moved to Matīsa </w:t>
      </w:r>
      <w:r w:rsidR="00B368F9" w:rsidRPr="00AD3249">
        <w:t>Prison</w:t>
      </w:r>
      <w:r w:rsidRPr="00AD3249">
        <w:t>) a new section</w:t>
      </w:r>
      <w:r w:rsidR="001420AC" w:rsidRPr="00AD3249">
        <w:t>,</w:t>
      </w:r>
      <w:r w:rsidRPr="00AD3249">
        <w:t xml:space="preserve"> 11(6)</w:t>
      </w:r>
      <w:r w:rsidR="001420AC" w:rsidRPr="00AD3249">
        <w:t>,</w:t>
      </w:r>
      <w:r w:rsidRPr="00AD3249">
        <w:t xml:space="preserve"> was added, which provided that first-time detainees were to be held separately from others. The same paragraph also provided that “detainees are placed in cells taking into account internal security as well as (as far as possible) [their] personal characteristics and psychological factors”.</w:t>
      </w:r>
    </w:p>
    <w:p w:rsidR="00E32A32" w:rsidRPr="00AD3249" w:rsidRDefault="00E32A32" w:rsidP="00910131">
      <w:pPr>
        <w:pStyle w:val="JuPara"/>
      </w:pPr>
      <w:r w:rsidRPr="00AD3249">
        <w:fldChar w:fldCharType="begin"/>
      </w:r>
      <w:r w:rsidRPr="00AD3249">
        <w:instrText xml:space="preserve"> SEQ level0 \*arabic </w:instrText>
      </w:r>
      <w:r w:rsidRPr="00AD3249">
        <w:fldChar w:fldCharType="separate"/>
      </w:r>
      <w:r w:rsidR="00740F03">
        <w:rPr>
          <w:noProof/>
        </w:rPr>
        <w:t>39</w:t>
      </w:r>
      <w:r w:rsidRPr="00AD3249">
        <w:fldChar w:fldCharType="end"/>
      </w:r>
      <w:r w:rsidRPr="00AD3249">
        <w:t>.  The</w:t>
      </w:r>
      <w:r w:rsidR="00301F9C" w:rsidRPr="00AD3249">
        <w:t xml:space="preserve"> Prisons Administration Order no. 114 of 6 August 2004 “On placement of convicted persons in institutions of deprivation of liberty” (</w:t>
      </w:r>
      <w:r w:rsidR="00301F9C" w:rsidRPr="00AD3249">
        <w:rPr>
          <w:i/>
        </w:rPr>
        <w:t>Ieslodzījuma vietu pārvaldes 2004. gada 6. augusta rīkojums Nr. 114 “Par notiesāto izvietošanas kārtību brīvības atņemšanas iestādēs”</w:t>
      </w:r>
      <w:r w:rsidR="00301F9C" w:rsidRPr="00AD3249">
        <w:t>)</w:t>
      </w:r>
      <w:r w:rsidRPr="00AD3249">
        <w:t xml:space="preserve"> provided that among the categories of convicted persons </w:t>
      </w:r>
      <w:r w:rsidR="00740A51" w:rsidRPr="00AD3249">
        <w:t xml:space="preserve">who </w:t>
      </w:r>
      <w:r w:rsidR="00AC70F6" w:rsidRPr="00AD3249">
        <w:t>could</w:t>
      </w:r>
      <w:r w:rsidRPr="00AD3249">
        <w:t xml:space="preserve"> be placed in Matīsa Priso</w:t>
      </w:r>
      <w:r w:rsidR="00740A51" w:rsidRPr="00AD3249">
        <w:t xml:space="preserve">n after their conviction </w:t>
      </w:r>
      <w:r w:rsidR="00AC70F6" w:rsidRPr="00AD3249">
        <w:t>had become</w:t>
      </w:r>
      <w:r w:rsidRPr="00AD3249">
        <w:t xml:space="preserve"> final were the following: convicted persons in need of special isolation pursuant to the Law on Operational </w:t>
      </w:r>
      <w:r w:rsidR="00157D01" w:rsidRPr="00AD3249">
        <w:t xml:space="preserve">Activities </w:t>
      </w:r>
      <w:r w:rsidRPr="00AD3249">
        <w:t>(paragraph 3.7) and,</w:t>
      </w:r>
      <w:r w:rsidR="00740A51" w:rsidRPr="00AD3249">
        <w:t xml:space="preserve"> in particular cases, </w:t>
      </w:r>
      <w:r w:rsidR="00740E80" w:rsidRPr="00AD3249">
        <w:t>pursuant to</w:t>
      </w:r>
      <w:r w:rsidRPr="00AD3249">
        <w:t xml:space="preserve"> a decision of the </w:t>
      </w:r>
      <w:r w:rsidR="001420AC" w:rsidRPr="00AD3249">
        <w:t>s</w:t>
      </w:r>
      <w:r w:rsidRPr="00AD3249">
        <w:t xml:space="preserve">ecurity division of the Prisons Administration, first-time convicts whose crimes </w:t>
      </w:r>
      <w:r w:rsidR="00420868" w:rsidRPr="00AD3249">
        <w:t>were not related to</w:t>
      </w:r>
      <w:r w:rsidRPr="00AD3249">
        <w:t xml:space="preserve"> physical violence or distribution of narcotic substances.</w:t>
      </w:r>
    </w:p>
    <w:p w:rsidR="00D870DC" w:rsidRDefault="00E32A32" w:rsidP="00E32A32">
      <w:pPr>
        <w:pStyle w:val="JuH1"/>
      </w:pPr>
      <w:r w:rsidRPr="00AD3249">
        <w:t>2</w:t>
      </w:r>
      <w:r w:rsidR="00580E6F">
        <w:t>.</w:t>
      </w:r>
      <w:r w:rsidRPr="00AD3249">
        <w:t>  Administrative Procedure</w:t>
      </w:r>
      <w:r w:rsidR="001420AC" w:rsidRPr="00AD3249">
        <w:t xml:space="preserve"> </w:t>
      </w:r>
      <w:r w:rsidR="00157D01" w:rsidRPr="00AD3249">
        <w:t>Law</w:t>
      </w:r>
    </w:p>
    <w:p w:rsidR="00624FB8" w:rsidRPr="00AD3249" w:rsidRDefault="00624FB8" w:rsidP="007C2CE8">
      <w:pPr>
        <w:pStyle w:val="JuPara"/>
        <w:rPr>
          <w:rStyle w:val="sb8d990e2"/>
          <w:color w:val="000000"/>
        </w:rPr>
      </w:pPr>
      <w:r w:rsidRPr="00AD3249">
        <w:rPr>
          <w:color w:val="000000"/>
        </w:rPr>
        <w:fldChar w:fldCharType="begin"/>
      </w:r>
      <w:r w:rsidRPr="00AD3249">
        <w:rPr>
          <w:color w:val="000000"/>
        </w:rPr>
        <w:instrText xml:space="preserve"> SEQ level0 \*arabic </w:instrText>
      </w:r>
      <w:r w:rsidRPr="00AD3249">
        <w:rPr>
          <w:color w:val="000000"/>
        </w:rPr>
        <w:fldChar w:fldCharType="separate"/>
      </w:r>
      <w:r w:rsidR="00740F03">
        <w:rPr>
          <w:noProof/>
          <w:color w:val="000000"/>
        </w:rPr>
        <w:t>40</w:t>
      </w:r>
      <w:r w:rsidRPr="00AD3249">
        <w:rPr>
          <w:color w:val="000000"/>
        </w:rPr>
        <w:fldChar w:fldCharType="end"/>
      </w:r>
      <w:r w:rsidRPr="00AD3249">
        <w:rPr>
          <w:color w:val="000000"/>
        </w:rPr>
        <w:t>.  </w:t>
      </w:r>
      <w:r w:rsidRPr="00AD3249">
        <w:rPr>
          <w:rStyle w:val="sb8d990e2"/>
          <w:color w:val="000000"/>
        </w:rPr>
        <w:t xml:space="preserve">The Administrative Procedure </w:t>
      </w:r>
      <w:r w:rsidR="00157D01" w:rsidRPr="00AD3249">
        <w:rPr>
          <w:rStyle w:val="sb8d990e2"/>
          <w:color w:val="000000"/>
        </w:rPr>
        <w:t>Law</w:t>
      </w:r>
      <w:r w:rsidR="001420AC" w:rsidRPr="00AD3249">
        <w:rPr>
          <w:rStyle w:val="sb8d990e2"/>
          <w:color w:val="000000"/>
        </w:rPr>
        <w:t xml:space="preserve"> </w:t>
      </w:r>
      <w:r w:rsidRPr="00AD3249">
        <w:rPr>
          <w:rStyle w:val="sb8d990e2"/>
          <w:color w:val="000000"/>
        </w:rPr>
        <w:t>(</w:t>
      </w:r>
      <w:r w:rsidRPr="00AD3249">
        <w:rPr>
          <w:rStyle w:val="s6b621b36"/>
          <w:color w:val="000000"/>
        </w:rPr>
        <w:t>Administratīvā procesa likums</w:t>
      </w:r>
      <w:r w:rsidRPr="00AD3249">
        <w:rPr>
          <w:rStyle w:val="sb8d990e2"/>
          <w:color w:val="000000"/>
        </w:rPr>
        <w:t>) took effect on 1 February 2004. It provides, among other things, for the right to challenge administrative acts (</w:t>
      </w:r>
      <w:r w:rsidRPr="00AD3249">
        <w:rPr>
          <w:rStyle w:val="s6b621b36"/>
          <w:color w:val="000000"/>
        </w:rPr>
        <w:t>administratīvais akts</w:t>
      </w:r>
      <w:r w:rsidRPr="00AD3249">
        <w:rPr>
          <w:rStyle w:val="sb8d990e2"/>
          <w:color w:val="000000"/>
        </w:rPr>
        <w:t xml:space="preserve">) </w:t>
      </w:r>
      <w:r w:rsidR="0048299D" w:rsidRPr="00AD3249">
        <w:rPr>
          <w:rStyle w:val="sb8d990e2"/>
          <w:color w:val="000000"/>
        </w:rPr>
        <w:t xml:space="preserve">and actions of public authorities (faktiskā rīcība) </w:t>
      </w:r>
      <w:r w:rsidRPr="00AD3249">
        <w:rPr>
          <w:rStyle w:val="sb8d990e2"/>
          <w:color w:val="000000"/>
        </w:rPr>
        <w:t>before the administrative courts.</w:t>
      </w:r>
    </w:p>
    <w:p w:rsidR="00D870DC" w:rsidRDefault="000B32D6" w:rsidP="007C2CE8">
      <w:pPr>
        <w:pStyle w:val="JuPara"/>
        <w:rPr>
          <w:rStyle w:val="sb8d990e2"/>
          <w:color w:val="000000"/>
        </w:rPr>
      </w:pPr>
      <w:r w:rsidRPr="00AD3249">
        <w:rPr>
          <w:rStyle w:val="sb8d990e2"/>
          <w:color w:val="000000"/>
        </w:rPr>
        <w:fldChar w:fldCharType="begin"/>
      </w:r>
      <w:r w:rsidRPr="00AD3249">
        <w:rPr>
          <w:rStyle w:val="sb8d990e2"/>
          <w:color w:val="000000"/>
        </w:rPr>
        <w:instrText xml:space="preserve"> SEQ level0 \*arabic </w:instrText>
      </w:r>
      <w:r w:rsidRPr="00AD3249">
        <w:rPr>
          <w:rStyle w:val="sb8d990e2"/>
          <w:color w:val="000000"/>
        </w:rPr>
        <w:fldChar w:fldCharType="separate"/>
      </w:r>
      <w:r w:rsidR="00740F03">
        <w:rPr>
          <w:rStyle w:val="sb8d990e2"/>
          <w:noProof/>
          <w:color w:val="000000"/>
        </w:rPr>
        <w:t>41</w:t>
      </w:r>
      <w:r w:rsidRPr="00AD3249">
        <w:rPr>
          <w:rStyle w:val="sb8d990e2"/>
          <w:color w:val="000000"/>
        </w:rPr>
        <w:fldChar w:fldCharType="end"/>
      </w:r>
      <w:r w:rsidRPr="00AD3249">
        <w:rPr>
          <w:rStyle w:val="sb8d990e2"/>
          <w:color w:val="000000"/>
        </w:rPr>
        <w:t>.  </w:t>
      </w:r>
      <w:r w:rsidR="00E54E29" w:rsidRPr="00AD3249">
        <w:rPr>
          <w:rStyle w:val="sb8d990e2"/>
          <w:color w:val="000000"/>
        </w:rPr>
        <w:t>At the relevant time s</w:t>
      </w:r>
      <w:r w:rsidRPr="00AD3249">
        <w:rPr>
          <w:rStyle w:val="sb8d990e2"/>
          <w:color w:val="000000"/>
        </w:rPr>
        <w:t xml:space="preserve">ection 1(3) of the </w:t>
      </w:r>
      <w:r w:rsidR="00E54E29" w:rsidRPr="00AD3249">
        <w:rPr>
          <w:rStyle w:val="sb8d990e2"/>
          <w:color w:val="000000"/>
        </w:rPr>
        <w:t xml:space="preserve">Administrative Procedure </w:t>
      </w:r>
      <w:r w:rsidR="00157D01" w:rsidRPr="00AD3249">
        <w:rPr>
          <w:rStyle w:val="sb8d990e2"/>
          <w:color w:val="000000"/>
        </w:rPr>
        <w:t>Law</w:t>
      </w:r>
      <w:r w:rsidR="001420AC" w:rsidRPr="00AD3249">
        <w:rPr>
          <w:rStyle w:val="sb8d990e2"/>
          <w:color w:val="000000"/>
        </w:rPr>
        <w:t xml:space="preserve"> </w:t>
      </w:r>
      <w:r w:rsidR="00E54E29" w:rsidRPr="00AD3249">
        <w:rPr>
          <w:rStyle w:val="sb8d990e2"/>
          <w:color w:val="000000"/>
        </w:rPr>
        <w:t>defined</w:t>
      </w:r>
      <w:r w:rsidRPr="00AD3249">
        <w:rPr>
          <w:rStyle w:val="sb8d990e2"/>
          <w:color w:val="000000"/>
        </w:rPr>
        <w:t xml:space="preserve"> an administrative act </w:t>
      </w:r>
      <w:r w:rsidR="00020080" w:rsidRPr="00AD3249">
        <w:rPr>
          <w:rStyle w:val="sb8d990e2"/>
          <w:color w:val="000000"/>
        </w:rPr>
        <w:t>as</w:t>
      </w:r>
    </w:p>
    <w:p w:rsidR="000B32D6" w:rsidRPr="00AD3249" w:rsidRDefault="000B32D6" w:rsidP="007C2CE8">
      <w:pPr>
        <w:pStyle w:val="JuQuot"/>
        <w:rPr>
          <w:rStyle w:val="sb8d990e2"/>
        </w:rPr>
      </w:pPr>
      <w:r w:rsidRPr="00AD3249">
        <w:rPr>
          <w:rStyle w:val="sb8d990e2"/>
        </w:rPr>
        <w:t>“</w:t>
      </w:r>
      <w:r w:rsidR="00020080" w:rsidRPr="00AD3249">
        <w:rPr>
          <w:rStyle w:val="sb8d990e2"/>
        </w:rPr>
        <w:t xml:space="preserve">a </w:t>
      </w:r>
      <w:r w:rsidRPr="00AD3249">
        <w:rPr>
          <w:rStyle w:val="sb8d990e2"/>
        </w:rPr>
        <w:t xml:space="preserve">decision </w:t>
      </w:r>
      <w:r w:rsidR="00683DCB">
        <w:rPr>
          <w:rStyle w:val="sb8d990e2"/>
        </w:rPr>
        <w:t>...</w:t>
      </w:r>
      <w:r w:rsidRPr="00AD3249">
        <w:rPr>
          <w:rStyle w:val="sb8d990e2"/>
        </w:rPr>
        <w:t xml:space="preserve"> [that] significantly interferes with the human rights of a person specially subordinated [īpaši pakļauta] to a public authority. [A]n internal decision of a public authority that only concerns that authority itself [or] a specially subordinated person is not an administrative act. Neither are criminal procedural decisions administrative acts”.</w:t>
      </w:r>
    </w:p>
    <w:bookmarkStart w:id="4" w:name="p67"/>
    <w:bookmarkStart w:id="5" w:name="domlaw_compensation"/>
    <w:bookmarkEnd w:id="4"/>
    <w:bookmarkEnd w:id="5"/>
    <w:p w:rsidR="005F1C45" w:rsidRPr="00AD3249" w:rsidRDefault="00420868" w:rsidP="007C2CE8">
      <w:pPr>
        <w:pStyle w:val="JuPara"/>
        <w:rPr>
          <w:color w:val="000000"/>
        </w:rPr>
      </w:pPr>
      <w:r w:rsidRPr="00AD3249">
        <w:rPr>
          <w:rStyle w:val="sb8d990e2"/>
          <w:color w:val="000000"/>
        </w:rPr>
        <w:fldChar w:fldCharType="begin"/>
      </w:r>
      <w:r w:rsidRPr="00AD3249">
        <w:rPr>
          <w:rStyle w:val="sb8d990e2"/>
          <w:color w:val="000000"/>
        </w:rPr>
        <w:instrText xml:space="preserve"> SEQ level0 \*arabic </w:instrText>
      </w:r>
      <w:r w:rsidRPr="00AD3249">
        <w:rPr>
          <w:rStyle w:val="sb8d990e2"/>
          <w:color w:val="000000"/>
        </w:rPr>
        <w:fldChar w:fldCharType="separate"/>
      </w:r>
      <w:r w:rsidR="00740F03">
        <w:rPr>
          <w:rStyle w:val="sb8d990e2"/>
          <w:noProof/>
          <w:color w:val="000000"/>
        </w:rPr>
        <w:t>42</w:t>
      </w:r>
      <w:r w:rsidRPr="00AD3249">
        <w:rPr>
          <w:rStyle w:val="sb8d990e2"/>
          <w:color w:val="000000"/>
        </w:rPr>
        <w:fldChar w:fldCharType="end"/>
      </w:r>
      <w:r w:rsidRPr="00AD3249">
        <w:rPr>
          <w:rStyle w:val="sb8d990e2"/>
          <w:color w:val="000000"/>
        </w:rPr>
        <w:t>.  </w:t>
      </w:r>
      <w:r w:rsidR="005F1C45" w:rsidRPr="00AD3249">
        <w:rPr>
          <w:rStyle w:val="sb8d990e2"/>
          <w:color w:val="000000"/>
        </w:rPr>
        <w:t>Under section</w:t>
      </w:r>
      <w:r w:rsidR="002F4F2D" w:rsidRPr="00AD3249">
        <w:rPr>
          <w:rStyle w:val="sb8d990e2"/>
          <w:color w:val="000000"/>
        </w:rPr>
        <w:t> </w:t>
      </w:r>
      <w:r w:rsidR="005F1C45" w:rsidRPr="00AD3249">
        <w:rPr>
          <w:rStyle w:val="sb8d990e2"/>
          <w:color w:val="000000"/>
        </w:rPr>
        <w:t xml:space="preserve">92 of the Administrative Procedure </w:t>
      </w:r>
      <w:r w:rsidR="00157D01" w:rsidRPr="00AD3249">
        <w:rPr>
          <w:rStyle w:val="sb8d990e2"/>
          <w:color w:val="000000"/>
        </w:rPr>
        <w:t>Law</w:t>
      </w:r>
      <w:r w:rsidR="001420AC" w:rsidRPr="00AD3249">
        <w:rPr>
          <w:rStyle w:val="sb8d990e2"/>
          <w:color w:val="000000"/>
        </w:rPr>
        <w:t xml:space="preserve"> </w:t>
      </w:r>
      <w:r w:rsidR="005F1C45" w:rsidRPr="00AD3249">
        <w:rPr>
          <w:rStyle w:val="sb8d990e2"/>
          <w:color w:val="000000"/>
        </w:rPr>
        <w:t>everyone has the right to receive appropriate compensation for pecuniary and non-pecuniary damage caused by an administrative act. Under section</w:t>
      </w:r>
      <w:r w:rsidR="002F4F2D" w:rsidRPr="00AD3249">
        <w:rPr>
          <w:rStyle w:val="sb8d990e2"/>
          <w:color w:val="000000"/>
        </w:rPr>
        <w:t> </w:t>
      </w:r>
      <w:r w:rsidR="005F1C45" w:rsidRPr="00AD3249">
        <w:rPr>
          <w:rStyle w:val="sb8d990e2"/>
          <w:color w:val="000000"/>
        </w:rPr>
        <w:t xml:space="preserve">93 of the same </w:t>
      </w:r>
      <w:r w:rsidR="00157D01" w:rsidRPr="00AD3249">
        <w:rPr>
          <w:rStyle w:val="sb8d990e2"/>
          <w:color w:val="000000"/>
        </w:rPr>
        <w:t>Law</w:t>
      </w:r>
      <w:r w:rsidR="005F1C45" w:rsidRPr="00AD3249">
        <w:rPr>
          <w:rStyle w:val="sb8d990e2"/>
          <w:color w:val="000000"/>
        </w:rPr>
        <w:t>, a claim for compensation can be submitted either together with an application to the administrative courts to have an administrative act declared unlawful</w:t>
      </w:r>
      <w:r w:rsidR="00AC70F6" w:rsidRPr="00AD3249">
        <w:rPr>
          <w:rStyle w:val="sb8d990e2"/>
          <w:color w:val="000000"/>
        </w:rPr>
        <w:t>,</w:t>
      </w:r>
      <w:r w:rsidR="005F1C45" w:rsidRPr="00AD3249">
        <w:rPr>
          <w:rStyle w:val="sb8d990e2"/>
          <w:color w:val="000000"/>
        </w:rPr>
        <w:t xml:space="preserve"> or to the public authority concerned following a judgment adopted in such proceedings.</w:t>
      </w:r>
    </w:p>
    <w:p w:rsidR="00FC02B4" w:rsidRPr="00AD3249" w:rsidRDefault="00B24177" w:rsidP="007C2CE8">
      <w:pPr>
        <w:pStyle w:val="JuPara"/>
        <w:rPr>
          <w:snapToGrid w:val="0"/>
          <w:color w:val="000000"/>
          <w:szCs w:val="24"/>
          <w:lang w:eastAsia="en-US"/>
        </w:rPr>
      </w:pPr>
      <w:r w:rsidRPr="00AD3249">
        <w:rPr>
          <w:snapToGrid w:val="0"/>
          <w:color w:val="000000"/>
          <w:szCs w:val="24"/>
          <w:lang w:eastAsia="en-US"/>
        </w:rPr>
        <w:fldChar w:fldCharType="begin"/>
      </w:r>
      <w:r w:rsidRPr="00AD3249">
        <w:rPr>
          <w:snapToGrid w:val="0"/>
          <w:color w:val="000000"/>
          <w:szCs w:val="24"/>
          <w:lang w:eastAsia="en-US"/>
        </w:rPr>
        <w:instrText xml:space="preserve"> SEQ level0 \*arabic </w:instrText>
      </w:r>
      <w:r w:rsidRPr="00AD3249">
        <w:rPr>
          <w:snapToGrid w:val="0"/>
          <w:color w:val="000000"/>
          <w:szCs w:val="24"/>
          <w:lang w:eastAsia="en-US"/>
        </w:rPr>
        <w:fldChar w:fldCharType="separate"/>
      </w:r>
      <w:r w:rsidR="00740F03">
        <w:rPr>
          <w:noProof/>
          <w:snapToGrid w:val="0"/>
          <w:color w:val="000000"/>
          <w:szCs w:val="24"/>
          <w:lang w:eastAsia="en-US"/>
        </w:rPr>
        <w:t>43</w:t>
      </w:r>
      <w:r w:rsidRPr="00AD3249">
        <w:rPr>
          <w:snapToGrid w:val="0"/>
          <w:color w:val="000000"/>
          <w:szCs w:val="24"/>
          <w:lang w:eastAsia="en-US"/>
        </w:rPr>
        <w:fldChar w:fldCharType="end"/>
      </w:r>
      <w:r w:rsidRPr="00AD3249">
        <w:rPr>
          <w:snapToGrid w:val="0"/>
          <w:color w:val="000000"/>
          <w:szCs w:val="24"/>
          <w:lang w:eastAsia="en-US"/>
        </w:rPr>
        <w:t xml:space="preserve">.  In addition, </w:t>
      </w:r>
      <w:r w:rsidR="001420AC" w:rsidRPr="00AD3249">
        <w:rPr>
          <w:snapToGrid w:val="0"/>
          <w:color w:val="000000"/>
          <w:szCs w:val="24"/>
          <w:lang w:eastAsia="en-US"/>
        </w:rPr>
        <w:t>c</w:t>
      </w:r>
      <w:r w:rsidRPr="00AD3249">
        <w:rPr>
          <w:snapToGrid w:val="0"/>
          <w:color w:val="000000"/>
          <w:szCs w:val="24"/>
          <w:lang w:eastAsia="en-US"/>
        </w:rPr>
        <w:t xml:space="preserve">hapter 22 of the Administrative Procedure </w:t>
      </w:r>
      <w:r w:rsidR="00157D01" w:rsidRPr="00AD3249">
        <w:rPr>
          <w:snapToGrid w:val="0"/>
          <w:color w:val="000000"/>
          <w:szCs w:val="24"/>
          <w:lang w:eastAsia="en-US"/>
        </w:rPr>
        <w:t>Law</w:t>
      </w:r>
      <w:r w:rsidR="001420AC" w:rsidRPr="00AD3249">
        <w:rPr>
          <w:snapToGrid w:val="0"/>
          <w:color w:val="000000"/>
          <w:szCs w:val="24"/>
          <w:lang w:eastAsia="en-US"/>
        </w:rPr>
        <w:t xml:space="preserve"> </w:t>
      </w:r>
      <w:r w:rsidRPr="00AD3249">
        <w:rPr>
          <w:snapToGrid w:val="0"/>
          <w:color w:val="000000"/>
          <w:szCs w:val="24"/>
          <w:lang w:eastAsia="en-US"/>
        </w:rPr>
        <w:t>provides for the possibility of interim measures</w:t>
      </w:r>
      <w:r w:rsidR="00E7027C" w:rsidRPr="00AD3249">
        <w:rPr>
          <w:snapToGrid w:val="0"/>
          <w:color w:val="000000"/>
          <w:szCs w:val="24"/>
          <w:lang w:eastAsia="en-US"/>
        </w:rPr>
        <w:t xml:space="preserve"> being applied</w:t>
      </w:r>
      <w:r w:rsidRPr="00AD3249">
        <w:rPr>
          <w:snapToGrid w:val="0"/>
          <w:color w:val="000000"/>
          <w:szCs w:val="24"/>
          <w:lang w:eastAsia="en-US"/>
        </w:rPr>
        <w:t xml:space="preserve">. As in force at the time relevant for the present case, section 195 of that </w:t>
      </w:r>
      <w:r w:rsidR="00157D01" w:rsidRPr="00AD3249">
        <w:rPr>
          <w:snapToGrid w:val="0"/>
          <w:color w:val="000000"/>
          <w:szCs w:val="24"/>
          <w:lang w:eastAsia="en-US"/>
        </w:rPr>
        <w:t>Law</w:t>
      </w:r>
      <w:r w:rsidRPr="00AD3249">
        <w:rPr>
          <w:snapToGrid w:val="0"/>
          <w:color w:val="000000"/>
          <w:szCs w:val="24"/>
          <w:lang w:eastAsia="en-US"/>
        </w:rPr>
        <w:t xml:space="preserve"> provided for </w:t>
      </w:r>
      <w:r w:rsidR="009D0DD5" w:rsidRPr="00AD3249">
        <w:rPr>
          <w:snapToGrid w:val="0"/>
          <w:color w:val="000000"/>
          <w:szCs w:val="24"/>
          <w:lang w:eastAsia="en-US"/>
        </w:rPr>
        <w:t xml:space="preserve">the </w:t>
      </w:r>
      <w:r w:rsidRPr="00AD3249">
        <w:rPr>
          <w:snapToGrid w:val="0"/>
          <w:color w:val="000000"/>
          <w:szCs w:val="24"/>
          <w:lang w:eastAsia="en-US"/>
        </w:rPr>
        <w:t xml:space="preserve">possibility </w:t>
      </w:r>
      <w:r w:rsidR="009D0DD5" w:rsidRPr="00AD3249">
        <w:rPr>
          <w:snapToGrid w:val="0"/>
          <w:color w:val="000000"/>
          <w:szCs w:val="24"/>
          <w:lang w:eastAsia="en-US"/>
        </w:rPr>
        <w:t xml:space="preserve">of </w:t>
      </w:r>
      <w:r w:rsidRPr="00AD3249">
        <w:rPr>
          <w:snapToGrid w:val="0"/>
          <w:color w:val="000000"/>
          <w:szCs w:val="24"/>
          <w:lang w:eastAsia="en-US"/>
        </w:rPr>
        <w:t xml:space="preserve">interim measures </w:t>
      </w:r>
      <w:r w:rsidR="009D0DD5" w:rsidRPr="00AD3249">
        <w:rPr>
          <w:snapToGrid w:val="0"/>
          <w:color w:val="000000"/>
          <w:szCs w:val="24"/>
          <w:lang w:eastAsia="en-US"/>
        </w:rPr>
        <w:t xml:space="preserve">being applied </w:t>
      </w:r>
      <w:r w:rsidRPr="00AD3249">
        <w:rPr>
          <w:snapToGrid w:val="0"/>
          <w:color w:val="000000"/>
          <w:szCs w:val="24"/>
          <w:lang w:eastAsia="en-US"/>
        </w:rPr>
        <w:t>if there was “a reason to consider that the implementation of the court decision might become difficult or impossible”. At th</w:t>
      </w:r>
      <w:r w:rsidR="00420868" w:rsidRPr="00AD3249">
        <w:rPr>
          <w:snapToGrid w:val="0"/>
          <w:color w:val="000000"/>
          <w:szCs w:val="24"/>
          <w:lang w:eastAsia="en-US"/>
        </w:rPr>
        <w:t>e</w:t>
      </w:r>
      <w:r w:rsidRPr="00AD3249">
        <w:rPr>
          <w:snapToGrid w:val="0"/>
          <w:color w:val="000000"/>
          <w:szCs w:val="24"/>
          <w:lang w:eastAsia="en-US"/>
        </w:rPr>
        <w:t xml:space="preserve"> time section 197 did not set down a time-limit for examining requests for </w:t>
      </w:r>
      <w:r w:rsidR="009D0DD5" w:rsidRPr="00AD3249">
        <w:rPr>
          <w:snapToGrid w:val="0"/>
          <w:color w:val="000000"/>
          <w:szCs w:val="24"/>
          <w:lang w:eastAsia="en-US"/>
        </w:rPr>
        <w:t xml:space="preserve">the application of </w:t>
      </w:r>
      <w:r w:rsidRPr="00AD3249">
        <w:rPr>
          <w:snapToGrid w:val="0"/>
          <w:color w:val="000000"/>
          <w:szCs w:val="24"/>
          <w:lang w:eastAsia="en-US"/>
        </w:rPr>
        <w:t>interim measures.</w:t>
      </w:r>
    </w:p>
    <w:p w:rsidR="002F4F2D" w:rsidRPr="00AD3249" w:rsidRDefault="002F4F2D" w:rsidP="002F4F2D">
      <w:pPr>
        <w:pStyle w:val="JuH1"/>
        <w:rPr>
          <w:snapToGrid w:val="0"/>
          <w:lang w:eastAsia="en-US"/>
        </w:rPr>
      </w:pPr>
      <w:r w:rsidRPr="00AD3249">
        <w:rPr>
          <w:snapToGrid w:val="0"/>
          <w:lang w:eastAsia="en-US"/>
        </w:rPr>
        <w:t>3</w:t>
      </w:r>
      <w:r w:rsidR="00580E6F">
        <w:rPr>
          <w:snapToGrid w:val="0"/>
          <w:lang w:eastAsia="en-US"/>
        </w:rPr>
        <w:t>.</w:t>
      </w:r>
      <w:r w:rsidRPr="00AD3249">
        <w:rPr>
          <w:snapToGrid w:val="0"/>
          <w:lang w:eastAsia="en-US"/>
        </w:rPr>
        <w:t>  Case-law of the administrative courts</w:t>
      </w:r>
    </w:p>
    <w:p w:rsidR="00D870DC" w:rsidRDefault="00FC02B4" w:rsidP="00E32A32">
      <w:pPr>
        <w:pStyle w:val="JuPara"/>
      </w:pPr>
      <w:r w:rsidRPr="00AD3249">
        <w:fldChar w:fldCharType="begin"/>
      </w:r>
      <w:r w:rsidRPr="00AD3249">
        <w:instrText xml:space="preserve"> SEQ level0 \*arabic </w:instrText>
      </w:r>
      <w:r w:rsidRPr="00AD3249">
        <w:fldChar w:fldCharType="separate"/>
      </w:r>
      <w:r w:rsidR="00740F03">
        <w:rPr>
          <w:noProof/>
        </w:rPr>
        <w:t>44</w:t>
      </w:r>
      <w:r w:rsidRPr="00AD3249">
        <w:fldChar w:fldCharType="end"/>
      </w:r>
      <w:r w:rsidRPr="00AD3249">
        <w:t>.  </w:t>
      </w:r>
      <w:r w:rsidR="005F1C45" w:rsidRPr="00AD3249">
        <w:t>On 7 November 2007 the Senate of the Supreme Court adopted a decision (no. SKA</w:t>
      </w:r>
      <w:r w:rsidR="005F1C45" w:rsidRPr="00AD3249">
        <w:noBreakHyphen/>
        <w:t xml:space="preserve">576/2007), in paragraph 19 of which it </w:t>
      </w:r>
      <w:r w:rsidR="009D0DD5" w:rsidRPr="00AD3249">
        <w:t xml:space="preserve">was </w:t>
      </w:r>
      <w:r w:rsidR="005F1C45" w:rsidRPr="00AD3249">
        <w:t>explicitly stated that</w:t>
      </w:r>
    </w:p>
    <w:p w:rsidR="00B24177" w:rsidRPr="00AD3249" w:rsidRDefault="005F1C45" w:rsidP="007C2CE8">
      <w:pPr>
        <w:pStyle w:val="JuQuot"/>
      </w:pPr>
      <w:r w:rsidRPr="00AD3249">
        <w:t xml:space="preserve">“a refusal </w:t>
      </w:r>
      <w:r w:rsidR="009D0DD5" w:rsidRPr="00AD3249">
        <w:t>by</w:t>
      </w:r>
      <w:r w:rsidRPr="00AD3249">
        <w:t xml:space="preserve"> the Prisons Administration to transfer the petitioner to [another] prison </w:t>
      </w:r>
      <w:r w:rsidR="00683DCB">
        <w:t>...</w:t>
      </w:r>
      <w:r w:rsidRPr="00AD3249">
        <w:t xml:space="preserve"> is not </w:t>
      </w:r>
      <w:r w:rsidR="00683DCB">
        <w:t>...</w:t>
      </w:r>
      <w:r w:rsidRPr="00AD3249">
        <w:t xml:space="preserve"> an administrative act. It is an internal decision of </w:t>
      </w:r>
      <w:r w:rsidR="002F4F2D" w:rsidRPr="00AD3249">
        <w:t xml:space="preserve">a public authority </w:t>
      </w:r>
      <w:r w:rsidR="00683DCB">
        <w:t>...</w:t>
      </w:r>
      <w:r w:rsidR="002F4F2D" w:rsidRPr="00AD3249">
        <w:t xml:space="preserve"> As an internal decision it is</w:t>
      </w:r>
      <w:r w:rsidR="00E33A26" w:rsidRPr="00AD3249">
        <w:t xml:space="preserve"> not</w:t>
      </w:r>
      <w:r w:rsidR="002F4F2D" w:rsidRPr="00AD3249">
        <w:t xml:space="preserve"> amenable to a review in administrative proceedings, </w:t>
      </w:r>
      <w:r w:rsidR="00AC70F6" w:rsidRPr="00AD3249">
        <w:t>unless</w:t>
      </w:r>
      <w:r w:rsidR="002F4F2D" w:rsidRPr="00AD3249">
        <w:t xml:space="preserve"> it significantly </w:t>
      </w:r>
      <w:r w:rsidR="002F4F2D" w:rsidRPr="00AD3249">
        <w:rPr>
          <w:rStyle w:val="sb8d990e2"/>
        </w:rPr>
        <w:t>interferes with the human rights of a person specially subordinated to a public authority</w:t>
      </w:r>
      <w:r w:rsidRPr="00AD3249">
        <w:t>”</w:t>
      </w:r>
      <w:r w:rsidR="002F4F2D" w:rsidRPr="00AD3249">
        <w:t>.</w:t>
      </w:r>
    </w:p>
    <w:p w:rsidR="002F4F2D" w:rsidRPr="00AD3249" w:rsidRDefault="002F4F2D" w:rsidP="00E32A32">
      <w:pPr>
        <w:pStyle w:val="JuPara"/>
      </w:pPr>
      <w:r w:rsidRPr="00AD3249">
        <w:fldChar w:fldCharType="begin"/>
      </w:r>
      <w:r w:rsidRPr="00AD3249">
        <w:instrText xml:space="preserve"> SEQ level0 \*arabic </w:instrText>
      </w:r>
      <w:r w:rsidRPr="00AD3249">
        <w:fldChar w:fldCharType="separate"/>
      </w:r>
      <w:r w:rsidR="00740F03">
        <w:rPr>
          <w:noProof/>
        </w:rPr>
        <w:t>45</w:t>
      </w:r>
      <w:r w:rsidRPr="00AD3249">
        <w:fldChar w:fldCharType="end"/>
      </w:r>
      <w:r w:rsidRPr="00AD3249">
        <w:t>.  </w:t>
      </w:r>
      <w:r w:rsidR="005B7831" w:rsidRPr="00AD3249">
        <w:t xml:space="preserve">On 19 December 2010 the Senate was once again called to examine whether a decision </w:t>
      </w:r>
      <w:r w:rsidR="00E33A26" w:rsidRPr="00AD3249">
        <w:t xml:space="preserve">of the Prisons Administration </w:t>
      </w:r>
      <w:r w:rsidR="005B7831" w:rsidRPr="00AD3249">
        <w:t xml:space="preserve">to refuse </w:t>
      </w:r>
      <w:r w:rsidR="0065410B" w:rsidRPr="00AD3249">
        <w:t xml:space="preserve">to </w:t>
      </w:r>
      <w:r w:rsidR="005B7831" w:rsidRPr="00AD3249">
        <w:t xml:space="preserve">transfer a prisoner to a different prison could be reviewed in </w:t>
      </w:r>
      <w:r w:rsidR="00AC70F6" w:rsidRPr="00AD3249">
        <w:t xml:space="preserve">the </w:t>
      </w:r>
      <w:r w:rsidR="005B7831" w:rsidRPr="00AD3249">
        <w:t>administrative courts (decision no. SKA</w:t>
      </w:r>
      <w:r w:rsidR="005B7831" w:rsidRPr="00AD3249">
        <w:noBreakHyphen/>
        <w:t>267/2010). The Senate, in paragraph 7 of that decision</w:t>
      </w:r>
      <w:r w:rsidR="00E33A26" w:rsidRPr="00AD3249">
        <w:t>,</w:t>
      </w:r>
      <w:r w:rsidR="005B7831" w:rsidRPr="00AD3249">
        <w:t xml:space="preserve"> </w:t>
      </w:r>
      <w:r w:rsidR="00020080" w:rsidRPr="00AD3249">
        <w:t>held that if a refusal to transfer a prisoner significantly interfered with his human rights it would be an administrative act.</w:t>
      </w:r>
    </w:p>
    <w:p w:rsidR="00F71A6A" w:rsidRPr="00AD3249" w:rsidRDefault="00F71A6A" w:rsidP="008824B9">
      <w:pPr>
        <w:pStyle w:val="JuHHead"/>
      </w:pPr>
      <w:r w:rsidRPr="00AD3249">
        <w:t>THE LAW</w:t>
      </w:r>
    </w:p>
    <w:p w:rsidR="00F71A6A" w:rsidRPr="00AD3249" w:rsidRDefault="00F71A6A">
      <w:pPr>
        <w:pStyle w:val="JuHIRoman"/>
      </w:pPr>
      <w:r w:rsidRPr="00AD3249">
        <w:t>I.  ALLEGED VIOLATION</w:t>
      </w:r>
      <w:r w:rsidR="00910131" w:rsidRPr="00AD3249">
        <w:t>S</w:t>
      </w:r>
      <w:r w:rsidRPr="00AD3249">
        <w:t xml:space="preserve"> OF ARTICLE </w:t>
      </w:r>
      <w:r w:rsidR="00910131" w:rsidRPr="00AD3249">
        <w:t>3</w:t>
      </w:r>
      <w:r w:rsidRPr="00AD3249">
        <w:t xml:space="preserve"> OF THE CONVENTION</w:t>
      </w:r>
    </w:p>
    <w:p w:rsidR="00F71A6A" w:rsidRPr="00AD3249" w:rsidRDefault="00832702" w:rsidP="002F4BCF">
      <w:pPr>
        <w:pStyle w:val="JuPara"/>
      </w:pPr>
      <w:r w:rsidRPr="00AD3249">
        <w:fldChar w:fldCharType="begin"/>
      </w:r>
      <w:r w:rsidRPr="00AD3249">
        <w:instrText xml:space="preserve"> SEQ level0 \*arabic </w:instrText>
      </w:r>
      <w:r w:rsidRPr="00AD3249">
        <w:fldChar w:fldCharType="separate"/>
      </w:r>
      <w:r w:rsidR="00740F03">
        <w:rPr>
          <w:noProof/>
        </w:rPr>
        <w:t>46</w:t>
      </w:r>
      <w:r w:rsidRPr="00AD3249">
        <w:fldChar w:fldCharType="end"/>
      </w:r>
      <w:r w:rsidR="00F71A6A" w:rsidRPr="00AD3249">
        <w:t xml:space="preserve">.  The </w:t>
      </w:r>
      <w:r w:rsidR="005F4753" w:rsidRPr="00AD3249">
        <w:t>applicant</w:t>
      </w:r>
      <w:r w:rsidR="00F71A6A" w:rsidRPr="00AD3249">
        <w:t xml:space="preserve"> complained that </w:t>
      </w:r>
      <w:r w:rsidR="00B24177" w:rsidRPr="00AD3249">
        <w:t xml:space="preserve">he had been unable to obtain a transfer to Matīsa Prison, </w:t>
      </w:r>
      <w:r w:rsidR="00157D01" w:rsidRPr="00AD3249">
        <w:t xml:space="preserve">to </w:t>
      </w:r>
      <w:r w:rsidR="00B24177" w:rsidRPr="00AD3249">
        <w:t xml:space="preserve">which </w:t>
      </w:r>
      <w:r w:rsidR="00157D01" w:rsidRPr="00AD3249">
        <w:t>he had been entitled</w:t>
      </w:r>
      <w:r w:rsidR="0065410B" w:rsidRPr="00AD3249">
        <w:t xml:space="preserve"> </w:t>
      </w:r>
      <w:r w:rsidR="00B24177" w:rsidRPr="00AD3249">
        <w:t>by law</w:t>
      </w:r>
      <w:r w:rsidR="0065410B" w:rsidRPr="00AD3249">
        <w:t>,</w:t>
      </w:r>
      <w:r w:rsidR="00B24177" w:rsidRPr="00AD3249">
        <w:t xml:space="preserve"> and that as a result he had been subjected to violence, humiliation and physical and mental suffering</w:t>
      </w:r>
      <w:r w:rsidR="00AB6A61" w:rsidRPr="00AD3249">
        <w:t xml:space="preserve"> in Daugavpils Prison</w:t>
      </w:r>
      <w:r w:rsidR="00B24177" w:rsidRPr="00AD3249">
        <w:t xml:space="preserve">. </w:t>
      </w:r>
      <w:r w:rsidR="00182E38" w:rsidRPr="00AD3249">
        <w:t>He also complained that he had had no effective remedy before a national authority in that respect. He relied upon Articles 3 and 13 of the Convention. The Court, however, finds it appropriate to examine these complaints under Article 3 alone. This Article</w:t>
      </w:r>
      <w:r w:rsidR="00F71A6A" w:rsidRPr="00AD3249">
        <w:t xml:space="preserve"> reads as follows:</w:t>
      </w:r>
    </w:p>
    <w:p w:rsidR="005B16A8" w:rsidRPr="00AD3249" w:rsidRDefault="00B24177">
      <w:pPr>
        <w:pStyle w:val="JuQuot"/>
      </w:pPr>
      <w:r w:rsidRPr="00AD3249">
        <w:t>“No one shall be subjected to torture or to inhuman or degrading treatment or punishment.”</w:t>
      </w:r>
    </w:p>
    <w:p w:rsidR="00832702" w:rsidRPr="00AD3249" w:rsidRDefault="00832702" w:rsidP="002F4BCF">
      <w:pPr>
        <w:pStyle w:val="JuPara"/>
      </w:pPr>
      <w:r w:rsidRPr="00AD3249">
        <w:fldChar w:fldCharType="begin"/>
      </w:r>
      <w:r w:rsidRPr="00AD3249">
        <w:instrText xml:space="preserve"> SEQ level0 \*arabic </w:instrText>
      </w:r>
      <w:r w:rsidRPr="00AD3249">
        <w:fldChar w:fldCharType="separate"/>
      </w:r>
      <w:r w:rsidR="00740F03">
        <w:rPr>
          <w:noProof/>
        </w:rPr>
        <w:t>47</w:t>
      </w:r>
      <w:r w:rsidRPr="00AD3249">
        <w:fldChar w:fldCharType="end"/>
      </w:r>
      <w:r w:rsidR="00F71A6A" w:rsidRPr="00AD3249">
        <w:t>.  </w:t>
      </w:r>
      <w:r w:rsidR="00AF6434" w:rsidRPr="00AD3249">
        <w:t>The Court will examine two aspects of the applicant</w:t>
      </w:r>
      <w:r w:rsidR="00D870DC">
        <w:t>’</w:t>
      </w:r>
      <w:r w:rsidR="00AF6434" w:rsidRPr="00AD3249">
        <w:t xml:space="preserve">s complaints. First, his allegation that he </w:t>
      </w:r>
      <w:r w:rsidR="00AC70F6" w:rsidRPr="00AD3249">
        <w:t>was</w:t>
      </w:r>
      <w:r w:rsidR="00AF6434" w:rsidRPr="00AD3249">
        <w:t xml:space="preserve"> ill-treated by other prisoners in Daugavpils Prison</w:t>
      </w:r>
      <w:r w:rsidR="00AC70F6" w:rsidRPr="00AD3249">
        <w:t>,</w:t>
      </w:r>
      <w:r w:rsidR="00AF6434" w:rsidRPr="00AD3249">
        <w:t xml:space="preserve"> and second the alleged violation of Article 3</w:t>
      </w:r>
      <w:r w:rsidR="00AC70F6" w:rsidRPr="00AD3249">
        <w:t>, which was</w:t>
      </w:r>
      <w:r w:rsidR="00AF6434" w:rsidRPr="00AD3249">
        <w:t xml:space="preserve"> due to the delay in ordering his transfer to Matīsa Prison</w:t>
      </w:r>
      <w:r w:rsidR="00182E38" w:rsidRPr="00AD3249">
        <w:t xml:space="preserve"> and the alleged </w:t>
      </w:r>
      <w:r w:rsidR="00AA6087" w:rsidRPr="00AD3249">
        <w:t>unavaila</w:t>
      </w:r>
      <w:r w:rsidR="00182E38" w:rsidRPr="00AD3249">
        <w:t>bility of an effective remedy in that regard</w:t>
      </w:r>
      <w:r w:rsidR="00AF6434" w:rsidRPr="00AD3249">
        <w:t>.</w:t>
      </w:r>
    </w:p>
    <w:p w:rsidR="00F71A6A" w:rsidRPr="00AD3249" w:rsidRDefault="00F71A6A" w:rsidP="008824B9">
      <w:pPr>
        <w:pStyle w:val="JuHA"/>
        <w:outlineLvl w:val="0"/>
      </w:pPr>
      <w:r w:rsidRPr="00AD3249">
        <w:t>A.  </w:t>
      </w:r>
      <w:r w:rsidR="00AF6434" w:rsidRPr="00AD3249">
        <w:t>Ill-treatment in Daugavpils</w:t>
      </w:r>
    </w:p>
    <w:p w:rsidR="00AF6434" w:rsidRPr="00AD3249" w:rsidRDefault="00AF6434" w:rsidP="00AF6434">
      <w:pPr>
        <w:pStyle w:val="JuH1"/>
      </w:pPr>
      <w:r w:rsidRPr="00AD3249">
        <w:t>Admissibility</w:t>
      </w:r>
    </w:p>
    <w:p w:rsidR="00AF056F" w:rsidRPr="00AD3249" w:rsidRDefault="00832702" w:rsidP="002F4BCF">
      <w:pPr>
        <w:pStyle w:val="JuPara"/>
      </w:pPr>
      <w:r w:rsidRPr="00AD3249">
        <w:fldChar w:fldCharType="begin"/>
      </w:r>
      <w:r w:rsidRPr="00AD3249">
        <w:instrText xml:space="preserve"> SEQ level0 \*arabic </w:instrText>
      </w:r>
      <w:r w:rsidRPr="00AD3249">
        <w:fldChar w:fldCharType="separate"/>
      </w:r>
      <w:r w:rsidR="00740F03">
        <w:rPr>
          <w:noProof/>
        </w:rPr>
        <w:t>48</w:t>
      </w:r>
      <w:r w:rsidRPr="00AD3249">
        <w:fldChar w:fldCharType="end"/>
      </w:r>
      <w:r w:rsidR="00F71A6A" w:rsidRPr="00AD3249">
        <w:t>.  </w:t>
      </w:r>
      <w:r w:rsidR="00AF6434" w:rsidRPr="00AD3249">
        <w:t>The Government argued that the applicant</w:t>
      </w:r>
      <w:r w:rsidR="00D870DC">
        <w:t>’</w:t>
      </w:r>
      <w:r w:rsidR="00AF6434" w:rsidRPr="00AD3249">
        <w:t xml:space="preserve">s claim was inadmissible because he had not exhausted the domestic remedies; </w:t>
      </w:r>
      <w:r w:rsidR="00E7027C" w:rsidRPr="00AD3249">
        <w:t>specifically</w:t>
      </w:r>
      <w:r w:rsidR="00AF6434" w:rsidRPr="00AD3249">
        <w:t>, he had not complained about the alleged ill-treatment to prosecutors. Alternatively, the Government submitted that the applicant</w:t>
      </w:r>
      <w:r w:rsidR="00D870DC">
        <w:t>’</w:t>
      </w:r>
      <w:r w:rsidR="00AF6434" w:rsidRPr="00AD3249">
        <w:t xml:space="preserve">s complaint was manifestly ill-founded, in that he </w:t>
      </w:r>
      <w:r w:rsidR="00E718DF" w:rsidRPr="00AD3249">
        <w:t>had failed to submit coherent and detailed proof of his ill-treatment to any domestic authorities or to the Court.</w:t>
      </w:r>
    </w:p>
    <w:p w:rsidR="00E718DF" w:rsidRPr="00AD3249" w:rsidRDefault="00E718DF" w:rsidP="002F4BCF">
      <w:pPr>
        <w:pStyle w:val="JuPara"/>
      </w:pPr>
      <w:r w:rsidRPr="00AD3249">
        <w:fldChar w:fldCharType="begin"/>
      </w:r>
      <w:r w:rsidRPr="00AD3249">
        <w:instrText xml:space="preserve"> SEQ level0 \*arabic </w:instrText>
      </w:r>
      <w:r w:rsidRPr="00AD3249">
        <w:fldChar w:fldCharType="separate"/>
      </w:r>
      <w:r w:rsidR="00740F03">
        <w:rPr>
          <w:noProof/>
        </w:rPr>
        <w:t>49</w:t>
      </w:r>
      <w:r w:rsidRPr="00AD3249">
        <w:fldChar w:fldCharType="end"/>
      </w:r>
      <w:r w:rsidRPr="00AD3249">
        <w:t>.  The applicant maintained that he had been assaulted by other prisoners.</w:t>
      </w:r>
    </w:p>
    <w:p w:rsidR="00F71A6A" w:rsidRPr="00AD3249" w:rsidRDefault="00376B13" w:rsidP="002F4BCF">
      <w:pPr>
        <w:pStyle w:val="JuPara"/>
      </w:pPr>
      <w:r w:rsidRPr="00AD3249">
        <w:fldChar w:fldCharType="begin"/>
      </w:r>
      <w:r w:rsidRPr="00AD3249">
        <w:instrText xml:space="preserve"> SEQ level0 \*arabic </w:instrText>
      </w:r>
      <w:r w:rsidRPr="00AD3249">
        <w:fldChar w:fldCharType="separate"/>
      </w:r>
      <w:r w:rsidR="00740F03">
        <w:rPr>
          <w:noProof/>
        </w:rPr>
        <w:t>50</w:t>
      </w:r>
      <w:r w:rsidRPr="00AD3249">
        <w:fldChar w:fldCharType="end"/>
      </w:r>
      <w:r w:rsidRPr="00AD3249">
        <w:t xml:space="preserve">.  The Court does </w:t>
      </w:r>
      <w:r w:rsidR="00212F95" w:rsidRPr="00AD3249">
        <w:t xml:space="preserve">not </w:t>
      </w:r>
      <w:r w:rsidRPr="00AD3249">
        <w:t>need to examine whether the applicant has complained about his alleged ill-treatment to any domestic authorities or whe</w:t>
      </w:r>
      <w:r w:rsidR="00431764" w:rsidRPr="00AD3249">
        <w:t xml:space="preserve">ther </w:t>
      </w:r>
      <w:r w:rsidR="000E255E" w:rsidRPr="00AD3249">
        <w:t>a complaint</w:t>
      </w:r>
      <w:r w:rsidR="00431764" w:rsidRPr="00AD3249">
        <w:t xml:space="preserve"> to prosecutors could</w:t>
      </w:r>
      <w:r w:rsidRPr="00AD3249">
        <w:t xml:space="preserve"> indeed be considered an effective domestic remedy, since this complaint is in any case manifestly ill-founded.</w:t>
      </w:r>
    </w:p>
    <w:p w:rsidR="00D870DC" w:rsidRDefault="00376B13" w:rsidP="00424DA5">
      <w:pPr>
        <w:pStyle w:val="JuPara"/>
        <w:outlineLvl w:val="0"/>
      </w:pPr>
      <w:r w:rsidRPr="00AD3249">
        <w:fldChar w:fldCharType="begin"/>
      </w:r>
      <w:r w:rsidRPr="00AD3249">
        <w:instrText xml:space="preserve"> SEQ level0 \*arabic </w:instrText>
      </w:r>
      <w:r w:rsidRPr="00AD3249">
        <w:fldChar w:fldCharType="separate"/>
      </w:r>
      <w:r w:rsidR="00740F03">
        <w:rPr>
          <w:noProof/>
        </w:rPr>
        <w:t>51</w:t>
      </w:r>
      <w:r w:rsidRPr="00AD3249">
        <w:fldChar w:fldCharType="end"/>
      </w:r>
      <w:r w:rsidRPr="00AD3249">
        <w:t>.  Referring to the case-law in the area of burden and standard of proof in Article 3 cases (summarised in, for example</w:t>
      </w:r>
      <w:r w:rsidR="00431764" w:rsidRPr="00AD3249">
        <w:t>,</w:t>
      </w:r>
      <w:r w:rsidRPr="00AD3249">
        <w:t xml:space="preserve"> </w:t>
      </w:r>
      <w:r w:rsidRPr="00AD3249">
        <w:rPr>
          <w:i/>
        </w:rPr>
        <w:t>Igars v. Latvia</w:t>
      </w:r>
      <w:r w:rsidRPr="00AD3249">
        <w:t xml:space="preserve"> (dec.), no. 11682/03,</w:t>
      </w:r>
      <w:r w:rsidR="004F7408" w:rsidRPr="00AD3249">
        <w:t xml:space="preserve"> §§ 64-67,</w:t>
      </w:r>
      <w:r w:rsidRPr="00AD3249">
        <w:t xml:space="preserve"> 5 February 2013), the</w:t>
      </w:r>
      <w:r w:rsidR="00150529" w:rsidRPr="00AD3249">
        <w:t xml:space="preserve"> </w:t>
      </w:r>
      <w:r w:rsidRPr="00AD3249">
        <w:t xml:space="preserve">Court notes that the applicant has failed to submit any </w:t>
      </w:r>
      <w:r w:rsidR="005C3F79" w:rsidRPr="00AD3249">
        <w:t>particular</w:t>
      </w:r>
      <w:r w:rsidRPr="00AD3249">
        <w:t xml:space="preserve">s of his alleged ill-treatment (such as when, where, </w:t>
      </w:r>
      <w:r w:rsidR="0065410B" w:rsidRPr="00AD3249">
        <w:t xml:space="preserve">by </w:t>
      </w:r>
      <w:r w:rsidRPr="00AD3249">
        <w:t>who</w:t>
      </w:r>
      <w:r w:rsidR="0065410B" w:rsidRPr="00AD3249">
        <w:t>m</w:t>
      </w:r>
      <w:r w:rsidRPr="00AD3249">
        <w:t xml:space="preserve"> and how </w:t>
      </w:r>
      <w:r w:rsidR="0065410B" w:rsidRPr="00AD3249">
        <w:t xml:space="preserve">he was </w:t>
      </w:r>
      <w:r w:rsidRPr="00AD3249">
        <w:t>ill-treated) as well as fail</w:t>
      </w:r>
      <w:r w:rsidR="00E7027C" w:rsidRPr="00AD3249">
        <w:t>ing</w:t>
      </w:r>
      <w:r w:rsidRPr="00AD3249">
        <w:t xml:space="preserve"> to submit any proof that he had suffered any injuries</w:t>
      </w:r>
      <w:r w:rsidR="00424DA5" w:rsidRPr="00AD3249">
        <w:t xml:space="preserve"> (see, in contrast, </w:t>
      </w:r>
      <w:r w:rsidR="00580E6F">
        <w:rPr>
          <w:i/>
          <w:szCs w:val="22"/>
          <w:lang w:eastAsia="en-US"/>
        </w:rPr>
        <w:t>J.L. v. </w:t>
      </w:r>
      <w:r w:rsidR="00424DA5" w:rsidRPr="00AD3249">
        <w:rPr>
          <w:i/>
          <w:szCs w:val="22"/>
          <w:lang w:eastAsia="en-US"/>
        </w:rPr>
        <w:t>Latvia</w:t>
      </w:r>
      <w:r w:rsidR="00424DA5" w:rsidRPr="00AD3249">
        <w:rPr>
          <w:szCs w:val="22"/>
          <w:lang w:eastAsia="en-US"/>
        </w:rPr>
        <w:t>, no. 23893/06</w:t>
      </w:r>
      <w:r w:rsidR="00424DA5" w:rsidRPr="00AD3249">
        <w:rPr>
          <w:snapToGrid w:val="0"/>
          <w:szCs w:val="24"/>
          <w:lang w:eastAsia="en-US"/>
        </w:rPr>
        <w:t>, §§ 71-75, 1</w:t>
      </w:r>
      <w:r w:rsidR="00424DA5" w:rsidRPr="00AD3249">
        <w:rPr>
          <w:szCs w:val="24"/>
          <w:lang w:eastAsia="en-US"/>
        </w:rPr>
        <w:t>7</w:t>
      </w:r>
      <w:r w:rsidR="00424DA5" w:rsidRPr="00AD3249">
        <w:rPr>
          <w:snapToGrid w:val="0"/>
          <w:szCs w:val="24"/>
          <w:lang w:eastAsia="en-US"/>
        </w:rPr>
        <w:t> April 2012</w:t>
      </w:r>
      <w:r w:rsidR="00424DA5" w:rsidRPr="00AD3249">
        <w:t>)</w:t>
      </w:r>
      <w:r w:rsidRPr="00AD3249">
        <w:t xml:space="preserve">. </w:t>
      </w:r>
      <w:r w:rsidR="006C2BD3" w:rsidRPr="00AD3249">
        <w:t>This is in stark contrast with</w:t>
      </w:r>
      <w:r w:rsidR="00AA6087" w:rsidRPr="00AD3249">
        <w:t>, for example,</w:t>
      </w:r>
      <w:r w:rsidR="006C2BD3" w:rsidRPr="00AD3249">
        <w:t xml:space="preserve"> the detailed accounts of ill-treatment of other inmates of Daugavpils Prison that the applicant presented to the Prosecutor General (see paragraph 16 above).</w:t>
      </w:r>
      <w:r w:rsidR="005B1907" w:rsidRPr="00AD3249">
        <w:t xml:space="preserve"> The Court takes into account that the applicant would have had an opportunity to complain about the alleged ill-treatment</w:t>
      </w:r>
      <w:r w:rsidR="000E255E" w:rsidRPr="00AD3249">
        <w:t>. For example, he could have done so</w:t>
      </w:r>
      <w:r w:rsidR="005B1907" w:rsidRPr="00AD3249">
        <w:t xml:space="preserve"> during his inter</w:t>
      </w:r>
      <w:r w:rsidR="00AC70F6" w:rsidRPr="00AD3249">
        <w:t>view</w:t>
      </w:r>
      <w:r w:rsidR="005B1907" w:rsidRPr="00AD3249">
        <w:t xml:space="preserve"> with </w:t>
      </w:r>
      <w:r w:rsidR="001E45D9" w:rsidRPr="00AD3249">
        <w:t>a</w:t>
      </w:r>
      <w:r w:rsidR="005B1907" w:rsidRPr="00AD3249">
        <w:t xml:space="preserve"> prosecutor on 17 January 2006 (see paragraph 10 above).</w:t>
      </w:r>
      <w:r w:rsidR="00516C7B" w:rsidRPr="00AD3249">
        <w:t xml:space="preserve"> The applicant did not allege that he had submitted any such complaints</w:t>
      </w:r>
      <w:r w:rsidR="00E7027C" w:rsidRPr="00AD3249">
        <w:t>,</w:t>
      </w:r>
      <w:r w:rsidR="00516C7B" w:rsidRPr="00AD3249">
        <w:t xml:space="preserve"> and it does not </w:t>
      </w:r>
      <w:r w:rsidR="0065410B" w:rsidRPr="00AD3249">
        <w:t>appear</w:t>
      </w:r>
      <w:r w:rsidR="00516C7B" w:rsidRPr="00AD3249">
        <w:t xml:space="preserve"> from the materials in the case file that he had. Accordingly, and in contrast with the above-mentioned case </w:t>
      </w:r>
      <w:r w:rsidR="0065410B" w:rsidRPr="00AD3249">
        <w:t xml:space="preserve">of </w:t>
      </w:r>
      <w:r w:rsidR="00516C7B" w:rsidRPr="00AD3249">
        <w:rPr>
          <w:i/>
        </w:rPr>
        <w:t>J.L</w:t>
      </w:r>
      <w:r w:rsidR="00435D95">
        <w:rPr>
          <w:i/>
        </w:rPr>
        <w:t xml:space="preserve"> v</w:t>
      </w:r>
      <w:r w:rsidR="00516C7B" w:rsidRPr="00AD3249">
        <w:rPr>
          <w:i/>
        </w:rPr>
        <w:t>.</w:t>
      </w:r>
      <w:r w:rsidR="00435D95">
        <w:rPr>
          <w:i/>
        </w:rPr>
        <w:t xml:space="preserve"> Latvia</w:t>
      </w:r>
      <w:r w:rsidR="00516C7B" w:rsidRPr="00AD3249">
        <w:t xml:space="preserve">, the Court does not have in its possession any direct information about any injuries allegedly sustained by the applicant, nor </w:t>
      </w:r>
      <w:r w:rsidR="0065410B" w:rsidRPr="00AD3249">
        <w:t>is</w:t>
      </w:r>
      <w:r w:rsidR="00516C7B" w:rsidRPr="00AD3249">
        <w:t xml:space="preserve"> it </w:t>
      </w:r>
      <w:r w:rsidR="0065410B" w:rsidRPr="00AD3249">
        <w:t xml:space="preserve">aware of </w:t>
      </w:r>
      <w:r w:rsidR="00516C7B" w:rsidRPr="00AD3249">
        <w:t xml:space="preserve">any facts from which </w:t>
      </w:r>
      <w:r w:rsidR="00AC70F6" w:rsidRPr="00AD3249">
        <w:t xml:space="preserve">such </w:t>
      </w:r>
      <w:r w:rsidR="00516C7B" w:rsidRPr="00AD3249">
        <w:t>inferences could be drawn.</w:t>
      </w:r>
    </w:p>
    <w:p w:rsidR="00376B13" w:rsidRPr="00AD3249" w:rsidRDefault="006C2BD3" w:rsidP="002F4BCF">
      <w:pPr>
        <w:pStyle w:val="JuPara"/>
      </w:pPr>
      <w:r w:rsidRPr="00AD3249">
        <w:fldChar w:fldCharType="begin"/>
      </w:r>
      <w:r w:rsidRPr="00AD3249">
        <w:instrText xml:space="preserve"> SEQ level0 \*arabic </w:instrText>
      </w:r>
      <w:r w:rsidRPr="00AD3249">
        <w:fldChar w:fldCharType="separate"/>
      </w:r>
      <w:r w:rsidR="00740F03">
        <w:rPr>
          <w:noProof/>
        </w:rPr>
        <w:t>52</w:t>
      </w:r>
      <w:r w:rsidRPr="00AD3249">
        <w:fldChar w:fldCharType="end"/>
      </w:r>
      <w:r w:rsidRPr="00AD3249">
        <w:t>.  </w:t>
      </w:r>
      <w:r w:rsidR="00376B13" w:rsidRPr="00AD3249">
        <w:t xml:space="preserve">As </w:t>
      </w:r>
      <w:r w:rsidR="0065410B" w:rsidRPr="00AD3249">
        <w:t>regards</w:t>
      </w:r>
      <w:r w:rsidR="00376B13" w:rsidRPr="00AD3249">
        <w:t xml:space="preserve"> the dental treatment received by the applicant</w:t>
      </w:r>
      <w:r w:rsidR="004F7408" w:rsidRPr="00AD3249">
        <w:t xml:space="preserve"> (see paragraph 2</w:t>
      </w:r>
      <w:r w:rsidR="000E255E" w:rsidRPr="00AD3249">
        <w:t>2</w:t>
      </w:r>
      <w:r w:rsidR="004F7408" w:rsidRPr="00AD3249">
        <w:t xml:space="preserve"> above), the Court finds that nothing in the case file (including the applicant</w:t>
      </w:r>
      <w:r w:rsidR="00D870DC">
        <w:t>’</w:t>
      </w:r>
      <w:r w:rsidR="004F7408" w:rsidRPr="00AD3249">
        <w:t>s submissions) casts any reasonable doubt on the Prisons Administration</w:t>
      </w:r>
      <w:r w:rsidR="00D870DC">
        <w:t>’</w:t>
      </w:r>
      <w:r w:rsidR="004F7408" w:rsidRPr="00AD3249">
        <w:t>s conclusion (see paragraph 2</w:t>
      </w:r>
      <w:r w:rsidR="000E255E" w:rsidRPr="00AD3249">
        <w:t>3</w:t>
      </w:r>
      <w:r w:rsidR="004F7408" w:rsidRPr="00AD3249">
        <w:t xml:space="preserve"> above)</w:t>
      </w:r>
      <w:r w:rsidR="00376B13" w:rsidRPr="00AD3249">
        <w:t xml:space="preserve"> </w:t>
      </w:r>
      <w:r w:rsidR="004F7408" w:rsidRPr="00AD3249">
        <w:t>that it was the applicant</w:t>
      </w:r>
      <w:r w:rsidR="00D870DC">
        <w:t>’</w:t>
      </w:r>
      <w:r w:rsidR="004F7408" w:rsidRPr="00AD3249">
        <w:t>s chronic periodontitis, and</w:t>
      </w:r>
      <w:r w:rsidR="005C3F79" w:rsidRPr="00AD3249">
        <w:t xml:space="preserve"> not any </w:t>
      </w:r>
      <w:r w:rsidR="0065410B" w:rsidRPr="00AD3249">
        <w:t xml:space="preserve">acts of </w:t>
      </w:r>
      <w:r w:rsidR="005C3F79" w:rsidRPr="00AD3249">
        <w:t>violen</w:t>
      </w:r>
      <w:r w:rsidR="0065410B" w:rsidRPr="00AD3249">
        <w:t>ce</w:t>
      </w:r>
      <w:r w:rsidR="004F7408" w:rsidRPr="00AD3249">
        <w:t>, that was t</w:t>
      </w:r>
      <w:r w:rsidR="00AA6087" w:rsidRPr="00AD3249">
        <w:t>he cause</w:t>
      </w:r>
      <w:r w:rsidR="004F7408" w:rsidRPr="00AD3249">
        <w:t xml:space="preserve"> </w:t>
      </w:r>
      <w:r w:rsidR="00AA6087" w:rsidRPr="00AD3249">
        <w:t>of</w:t>
      </w:r>
      <w:r w:rsidR="004F7408" w:rsidRPr="00AD3249">
        <w:t xml:space="preserve"> the loss of the applicant</w:t>
      </w:r>
      <w:r w:rsidR="00D870DC">
        <w:t>’</w:t>
      </w:r>
      <w:r w:rsidR="004F7408" w:rsidRPr="00AD3249">
        <w:t>s teeth.</w:t>
      </w:r>
    </w:p>
    <w:p w:rsidR="004F7408" w:rsidRPr="00AD3249" w:rsidRDefault="004F7408" w:rsidP="002F4BCF">
      <w:pPr>
        <w:pStyle w:val="JuPara"/>
      </w:pPr>
      <w:r w:rsidRPr="00AD3249">
        <w:fldChar w:fldCharType="begin"/>
      </w:r>
      <w:r w:rsidRPr="00AD3249">
        <w:instrText xml:space="preserve"> SEQ level0 \*arabic </w:instrText>
      </w:r>
      <w:r w:rsidRPr="00AD3249">
        <w:fldChar w:fldCharType="separate"/>
      </w:r>
      <w:r w:rsidR="00740F03">
        <w:rPr>
          <w:noProof/>
        </w:rPr>
        <w:t>53</w:t>
      </w:r>
      <w:r w:rsidRPr="00AD3249">
        <w:fldChar w:fldCharType="end"/>
      </w:r>
      <w:r w:rsidRPr="00AD3249">
        <w:t>.  It follows that this complaint is manifestly ill-founded and must be rejected in accordance with Article 35 §§ 3 (a) and 4 of the Convention.</w:t>
      </w:r>
    </w:p>
    <w:p w:rsidR="00F71A6A" w:rsidRPr="00AD3249" w:rsidRDefault="00F71A6A" w:rsidP="008824B9">
      <w:pPr>
        <w:pStyle w:val="JuHA"/>
        <w:outlineLvl w:val="0"/>
      </w:pPr>
      <w:r w:rsidRPr="00AD3249">
        <w:t>B.  </w:t>
      </w:r>
      <w:r w:rsidR="00E718DF" w:rsidRPr="00AD3249">
        <w:t>Failure to ensure the applicant</w:t>
      </w:r>
      <w:r w:rsidR="00D870DC">
        <w:t>’</w:t>
      </w:r>
      <w:r w:rsidR="00E718DF" w:rsidRPr="00AD3249">
        <w:t>s safety</w:t>
      </w:r>
    </w:p>
    <w:p w:rsidR="00C37663" w:rsidRPr="00AD3249" w:rsidRDefault="00580E6F" w:rsidP="00C37663">
      <w:pPr>
        <w:pStyle w:val="JuH1"/>
      </w:pPr>
      <w:r>
        <w:t>1.</w:t>
      </w:r>
      <w:r w:rsidR="00C37663" w:rsidRPr="00AD3249">
        <w:t>  Application of Articles 34 and 37 § 1 (b) of the Convention</w:t>
      </w:r>
    </w:p>
    <w:p w:rsidR="00D870DC" w:rsidRDefault="00832702" w:rsidP="00C37663">
      <w:pPr>
        <w:pStyle w:val="JuPara"/>
      </w:pPr>
      <w:r w:rsidRPr="00AD3249">
        <w:fldChar w:fldCharType="begin"/>
      </w:r>
      <w:r w:rsidRPr="00AD3249">
        <w:instrText xml:space="preserve"> SEQ level0 \*arabic </w:instrText>
      </w:r>
      <w:r w:rsidRPr="00AD3249">
        <w:fldChar w:fldCharType="separate"/>
      </w:r>
      <w:r w:rsidR="00740F03">
        <w:rPr>
          <w:noProof/>
        </w:rPr>
        <w:t>54</w:t>
      </w:r>
      <w:r w:rsidRPr="00AD3249">
        <w:fldChar w:fldCharType="end"/>
      </w:r>
      <w:r w:rsidR="00F71A6A" w:rsidRPr="00AD3249">
        <w:t xml:space="preserve">.  The </w:t>
      </w:r>
      <w:r w:rsidR="00C37663" w:rsidRPr="00AD3249">
        <w:t>Government argued that the applicant could not or could no longer claim to be a victim of a violation of Article 3 of the Convention, or, alternatively, that the matter had been successfully resolved at the national level.</w:t>
      </w:r>
    </w:p>
    <w:p w:rsidR="00F71A6A" w:rsidRPr="00AD3249" w:rsidRDefault="003E33BD" w:rsidP="00C37663">
      <w:pPr>
        <w:pStyle w:val="JuPara"/>
      </w:pPr>
      <w:r w:rsidRPr="00AD3249">
        <w:fldChar w:fldCharType="begin"/>
      </w:r>
      <w:r w:rsidRPr="00AD3249">
        <w:instrText xml:space="preserve"> SEQ level0 \*arabic </w:instrText>
      </w:r>
      <w:r w:rsidRPr="00AD3249">
        <w:fldChar w:fldCharType="separate"/>
      </w:r>
      <w:r w:rsidR="00740F03">
        <w:rPr>
          <w:noProof/>
        </w:rPr>
        <w:t>55</w:t>
      </w:r>
      <w:r w:rsidRPr="00AD3249">
        <w:fldChar w:fldCharType="end"/>
      </w:r>
      <w:r w:rsidRPr="00AD3249">
        <w:t>.  </w:t>
      </w:r>
      <w:r w:rsidR="00C37663" w:rsidRPr="00AD3249">
        <w:t>With regard to the alleged loss of victim status the Government stressed that the present application had been lodged with the Court only on 20 February 2007, which was almost four months after the applicant</w:t>
      </w:r>
      <w:r w:rsidR="00D870DC">
        <w:t>’</w:t>
      </w:r>
      <w:r w:rsidR="00C37663" w:rsidRPr="00AD3249">
        <w:t xml:space="preserve">s transfer to Matīsa Prison. </w:t>
      </w:r>
      <w:r w:rsidRPr="00AD3249">
        <w:t>The Government referred to the Court</w:t>
      </w:r>
      <w:r w:rsidR="00D870DC">
        <w:t>’</w:t>
      </w:r>
      <w:r w:rsidRPr="00AD3249">
        <w:t xml:space="preserve">s decision </w:t>
      </w:r>
      <w:r w:rsidR="0065410B" w:rsidRPr="00AD3249">
        <w:t xml:space="preserve">in </w:t>
      </w:r>
      <w:r w:rsidRPr="00AD3249">
        <w:rPr>
          <w:i/>
        </w:rPr>
        <w:t>Pančenko v. Latvia</w:t>
      </w:r>
      <w:r w:rsidRPr="00AD3249">
        <w:t xml:space="preserve"> (</w:t>
      </w:r>
      <w:r w:rsidRPr="00AD3249">
        <w:rPr>
          <w:rStyle w:val="sb8d990e2"/>
        </w:rPr>
        <w:t>(dec.), no. 40772/98, 28 October 1999</w:t>
      </w:r>
      <w:r w:rsidRPr="00AD3249">
        <w:t>).</w:t>
      </w:r>
    </w:p>
    <w:p w:rsidR="003E33BD" w:rsidRPr="00AD3249" w:rsidRDefault="003E33BD" w:rsidP="00C37663">
      <w:pPr>
        <w:pStyle w:val="JuPara"/>
      </w:pPr>
      <w:r w:rsidRPr="00AD3249">
        <w:fldChar w:fldCharType="begin"/>
      </w:r>
      <w:r w:rsidRPr="00AD3249">
        <w:instrText xml:space="preserve"> SEQ level0 \*arabic </w:instrText>
      </w:r>
      <w:r w:rsidRPr="00AD3249">
        <w:fldChar w:fldCharType="separate"/>
      </w:r>
      <w:r w:rsidR="00740F03">
        <w:rPr>
          <w:noProof/>
        </w:rPr>
        <w:t>56</w:t>
      </w:r>
      <w:r w:rsidRPr="00AD3249">
        <w:fldChar w:fldCharType="end"/>
      </w:r>
      <w:r w:rsidRPr="00AD3249">
        <w:t>.  The applicant did not submit any observations in this respect.</w:t>
      </w:r>
    </w:p>
    <w:p w:rsidR="003E33BD" w:rsidRPr="00AD3249" w:rsidRDefault="003E33BD" w:rsidP="00C37663">
      <w:pPr>
        <w:pStyle w:val="JuPara"/>
        <w:rPr>
          <w:rStyle w:val="sb8d990e2"/>
        </w:rPr>
      </w:pPr>
      <w:r w:rsidRPr="00AD3249">
        <w:fldChar w:fldCharType="begin"/>
      </w:r>
      <w:r w:rsidRPr="00AD3249">
        <w:instrText xml:space="preserve"> SEQ level0 \*arabic </w:instrText>
      </w:r>
      <w:r w:rsidRPr="00AD3249">
        <w:fldChar w:fldCharType="separate"/>
      </w:r>
      <w:r w:rsidR="00740F03">
        <w:rPr>
          <w:noProof/>
        </w:rPr>
        <w:t>57</w:t>
      </w:r>
      <w:r w:rsidRPr="00AD3249">
        <w:fldChar w:fldCharType="end"/>
      </w:r>
      <w:r w:rsidRPr="00AD3249">
        <w:t xml:space="preserve">.  The Court notes that it has had </w:t>
      </w:r>
      <w:r w:rsidR="00E8187B" w:rsidRPr="00AD3249">
        <w:t>occasion</w:t>
      </w:r>
      <w:r w:rsidRPr="00AD3249">
        <w:t xml:space="preserve"> to clarify the scope of the ruling in the above-cited </w:t>
      </w:r>
      <w:r w:rsidRPr="00AD3249">
        <w:rPr>
          <w:i/>
        </w:rPr>
        <w:t>Pančenko</w:t>
      </w:r>
      <w:r w:rsidRPr="00AD3249">
        <w:t xml:space="preserve"> case</w:t>
      </w:r>
      <w:r w:rsidR="00AC70F6" w:rsidRPr="00AD3249">
        <w:t>,</w:t>
      </w:r>
      <w:r w:rsidR="00E8187B" w:rsidRPr="00AD3249">
        <w:t xml:space="preserve"> and has explained that the regularisation of a person</w:t>
      </w:r>
      <w:r w:rsidR="00D870DC">
        <w:t>’</w:t>
      </w:r>
      <w:r w:rsidR="00E8187B" w:rsidRPr="00AD3249">
        <w:t xml:space="preserve">s situation </w:t>
      </w:r>
      <w:r w:rsidR="0065410B" w:rsidRPr="00AD3249">
        <w:t xml:space="preserve">is of </w:t>
      </w:r>
      <w:r w:rsidR="00E8187B" w:rsidRPr="00AD3249">
        <w:t xml:space="preserve">itself a sufficient remedy only in exceptional cases, such as those relating to </w:t>
      </w:r>
      <w:r w:rsidR="00E8187B" w:rsidRPr="00AD3249">
        <w:rPr>
          <w:rStyle w:val="sb8d990e2"/>
        </w:rPr>
        <w:t xml:space="preserve">the deportation or extradition of non-nationals (see, for example, </w:t>
      </w:r>
      <w:r w:rsidR="00E8187B" w:rsidRPr="00AD3249">
        <w:rPr>
          <w:i/>
          <w:lang w:eastAsia="en-US"/>
        </w:rPr>
        <w:t xml:space="preserve">Kurić and Others v. Slovenia </w:t>
      </w:r>
      <w:r w:rsidR="00E8187B" w:rsidRPr="00AD3249">
        <w:rPr>
          <w:lang w:eastAsia="en-US"/>
        </w:rPr>
        <w:t xml:space="preserve">[GC], </w:t>
      </w:r>
      <w:r w:rsidR="00E8187B" w:rsidRPr="00AD3249">
        <w:rPr>
          <w:snapToGrid w:val="0"/>
          <w:szCs w:val="22"/>
          <w:lang w:eastAsia="en-US"/>
        </w:rPr>
        <w:t>no.</w:t>
      </w:r>
      <w:r w:rsidR="00E8187B" w:rsidRPr="00AD3249">
        <w:rPr>
          <w:szCs w:val="22"/>
          <w:lang w:eastAsia="en-US"/>
        </w:rPr>
        <w:t> 26828/06</w:t>
      </w:r>
      <w:r w:rsidR="00E8187B" w:rsidRPr="00AD3249">
        <w:rPr>
          <w:snapToGrid w:val="0"/>
          <w:szCs w:val="24"/>
          <w:lang w:val="pt-BR" w:eastAsia="en-US"/>
        </w:rPr>
        <w:t xml:space="preserve">, § 261, </w:t>
      </w:r>
      <w:r w:rsidR="00E8187B" w:rsidRPr="00AD3249">
        <w:rPr>
          <w:snapToGrid w:val="0"/>
          <w:szCs w:val="22"/>
          <w:lang w:eastAsia="en-US"/>
        </w:rPr>
        <w:t>ECHR 2012 (extracts)</w:t>
      </w:r>
      <w:r w:rsidR="0065410B" w:rsidRPr="00AD3249">
        <w:rPr>
          <w:snapToGrid w:val="0"/>
          <w:szCs w:val="22"/>
          <w:lang w:eastAsia="en-US"/>
        </w:rPr>
        <w:t>,</w:t>
      </w:r>
      <w:r w:rsidR="00E8187B" w:rsidRPr="00AD3249">
        <w:rPr>
          <w:snapToGrid w:val="0"/>
          <w:szCs w:val="22"/>
          <w:lang w:eastAsia="en-US"/>
        </w:rPr>
        <w:t xml:space="preserve"> and </w:t>
      </w:r>
      <w:r w:rsidR="00E8187B" w:rsidRPr="00AD3249">
        <w:rPr>
          <w:i/>
          <w:szCs w:val="24"/>
          <w:lang w:eastAsia="en-US"/>
        </w:rPr>
        <w:t>Gebremedhin [Gaberamadhien] v. France</w:t>
      </w:r>
      <w:r w:rsidR="00E8187B" w:rsidRPr="00AD3249">
        <w:rPr>
          <w:szCs w:val="24"/>
          <w:lang w:eastAsia="en-US"/>
        </w:rPr>
        <w:t xml:space="preserve"> (dec.), no. 25389/05, § 36, </w:t>
      </w:r>
      <w:r w:rsidR="00E8187B" w:rsidRPr="00AD3249">
        <w:rPr>
          <w:lang w:eastAsia="en-US"/>
        </w:rPr>
        <w:t>10 October 2006</w:t>
      </w:r>
      <w:r w:rsidR="00E8187B" w:rsidRPr="00AD3249">
        <w:rPr>
          <w:rStyle w:val="sb8d990e2"/>
        </w:rPr>
        <w:t>). In the context of almost all other cases the Court has held the traditional view that an applicant</w:t>
      </w:r>
      <w:r w:rsidR="00D870DC">
        <w:rPr>
          <w:rStyle w:val="sb8d990e2"/>
        </w:rPr>
        <w:t>’</w:t>
      </w:r>
      <w:r w:rsidR="00E8187B" w:rsidRPr="00AD3249">
        <w:rPr>
          <w:rStyle w:val="sb8d990e2"/>
        </w:rPr>
        <w:t xml:space="preserve">s “victim” status may also depend on the level of compensation awarded at </w:t>
      </w:r>
      <w:r w:rsidR="0065410B" w:rsidRPr="00AD3249">
        <w:rPr>
          <w:rStyle w:val="sb8d990e2"/>
        </w:rPr>
        <w:t>the</w:t>
      </w:r>
      <w:r w:rsidR="003B1F35" w:rsidRPr="00AD3249">
        <w:rPr>
          <w:rStyle w:val="sb8d990e2"/>
        </w:rPr>
        <w:t xml:space="preserve"> </w:t>
      </w:r>
      <w:r w:rsidR="00E8187B" w:rsidRPr="00AD3249">
        <w:rPr>
          <w:rStyle w:val="sb8d990e2"/>
        </w:rPr>
        <w:t xml:space="preserve">domestic level, where appropriate, or at least on the possibility of seeking and obtaining compensation for the damage sustained, having regard to the facts about which he or she complains before the Court (see </w:t>
      </w:r>
      <w:r w:rsidR="00E8187B" w:rsidRPr="00AD3249">
        <w:rPr>
          <w:i/>
          <w:lang w:eastAsia="en-US"/>
        </w:rPr>
        <w:t>Kurić</w:t>
      </w:r>
      <w:r w:rsidR="00E8187B" w:rsidRPr="00AD3249">
        <w:rPr>
          <w:rStyle w:val="sb8d990e2"/>
        </w:rPr>
        <w:t xml:space="preserve">, cited above, </w:t>
      </w:r>
      <w:r w:rsidR="00E8187B" w:rsidRPr="00AD3249">
        <w:rPr>
          <w:snapToGrid w:val="0"/>
          <w:szCs w:val="24"/>
          <w:lang w:val="pt-BR" w:eastAsia="en-US"/>
        </w:rPr>
        <w:t>§ 262, with further references</w:t>
      </w:r>
      <w:r w:rsidR="00E8187B" w:rsidRPr="00AD3249">
        <w:rPr>
          <w:rStyle w:val="sb8d990e2"/>
        </w:rPr>
        <w:t>).</w:t>
      </w:r>
    </w:p>
    <w:p w:rsidR="00E8187B" w:rsidRPr="00AD3249" w:rsidRDefault="00E8187B" w:rsidP="00C37663">
      <w:pPr>
        <w:pStyle w:val="JuPara"/>
        <w:rPr>
          <w:rStyle w:val="sb8d990e2"/>
        </w:rPr>
      </w:pPr>
      <w:r w:rsidRPr="00AD3249">
        <w:rPr>
          <w:rStyle w:val="sb8d990e2"/>
        </w:rPr>
        <w:fldChar w:fldCharType="begin"/>
      </w:r>
      <w:r w:rsidRPr="00AD3249">
        <w:rPr>
          <w:rStyle w:val="sb8d990e2"/>
        </w:rPr>
        <w:instrText xml:space="preserve"> SEQ level0 \*arabic </w:instrText>
      </w:r>
      <w:r w:rsidRPr="00AD3249">
        <w:rPr>
          <w:rStyle w:val="sb8d990e2"/>
        </w:rPr>
        <w:fldChar w:fldCharType="separate"/>
      </w:r>
      <w:r w:rsidR="00740F03">
        <w:rPr>
          <w:rStyle w:val="sb8d990e2"/>
          <w:noProof/>
        </w:rPr>
        <w:t>58</w:t>
      </w:r>
      <w:r w:rsidRPr="00AD3249">
        <w:rPr>
          <w:rStyle w:val="sb8d990e2"/>
        </w:rPr>
        <w:fldChar w:fldCharType="end"/>
      </w:r>
      <w:r w:rsidRPr="00AD3249">
        <w:rPr>
          <w:rStyle w:val="sb8d990e2"/>
        </w:rPr>
        <w:t>.  </w:t>
      </w:r>
      <w:r w:rsidR="00A26A55" w:rsidRPr="00AD3249">
        <w:rPr>
          <w:rStyle w:val="sb8d990e2"/>
        </w:rPr>
        <w:t>In the circumstances of the case and even assuming that the applicant</w:t>
      </w:r>
      <w:r w:rsidR="00D870DC">
        <w:rPr>
          <w:rStyle w:val="sb8d990e2"/>
        </w:rPr>
        <w:t>’</w:t>
      </w:r>
      <w:r w:rsidR="00A26A55" w:rsidRPr="00AD3249">
        <w:rPr>
          <w:rStyle w:val="sb8d990e2"/>
        </w:rPr>
        <w:t>s transfer to Matīsa Prison is an implicit admission of the need to change the applicant</w:t>
      </w:r>
      <w:r w:rsidR="00D870DC">
        <w:rPr>
          <w:rStyle w:val="sb8d990e2"/>
        </w:rPr>
        <w:t>’</w:t>
      </w:r>
      <w:r w:rsidR="00A26A55" w:rsidRPr="00AD3249">
        <w:rPr>
          <w:rStyle w:val="sb8d990e2"/>
        </w:rPr>
        <w:t xml:space="preserve">s situation, the Government have not submitted any explanation as concerns the compensation for the suffering that the applicant claims to have experienced during the period during which his safety had not (yet) been guaranteed. </w:t>
      </w:r>
      <w:r w:rsidRPr="00AD3249">
        <w:rPr>
          <w:rStyle w:val="sb8d990e2"/>
        </w:rPr>
        <w:t>Therefore the Government</w:t>
      </w:r>
      <w:r w:rsidR="00D870DC">
        <w:rPr>
          <w:rStyle w:val="sb8d990e2"/>
        </w:rPr>
        <w:t>’</w:t>
      </w:r>
      <w:r w:rsidRPr="00AD3249">
        <w:rPr>
          <w:rStyle w:val="sb8d990e2"/>
        </w:rPr>
        <w:t>s argument about the loss of victim status cannot be upheld</w:t>
      </w:r>
      <w:r w:rsidR="00CA70B8" w:rsidRPr="00AD3249">
        <w:rPr>
          <w:rStyle w:val="sb8d990e2"/>
        </w:rPr>
        <w:t xml:space="preserve"> in the present case</w:t>
      </w:r>
      <w:r w:rsidRPr="00AD3249">
        <w:rPr>
          <w:rStyle w:val="sb8d990e2"/>
        </w:rPr>
        <w:t>.</w:t>
      </w:r>
    </w:p>
    <w:p w:rsidR="009F7EF4" w:rsidRPr="00AD3249" w:rsidRDefault="009F7EF4" w:rsidP="00C37663">
      <w:pPr>
        <w:pStyle w:val="JuPara"/>
        <w:rPr>
          <w:rStyle w:val="sb8d990e2"/>
        </w:rPr>
      </w:pPr>
      <w:r w:rsidRPr="00AD3249">
        <w:rPr>
          <w:rStyle w:val="sb8d990e2"/>
        </w:rPr>
        <w:fldChar w:fldCharType="begin"/>
      </w:r>
      <w:r w:rsidRPr="00AD3249">
        <w:rPr>
          <w:rStyle w:val="sb8d990e2"/>
        </w:rPr>
        <w:instrText xml:space="preserve"> SEQ level0 \*arabic </w:instrText>
      </w:r>
      <w:r w:rsidRPr="00AD3249">
        <w:rPr>
          <w:rStyle w:val="sb8d990e2"/>
        </w:rPr>
        <w:fldChar w:fldCharType="separate"/>
      </w:r>
      <w:r w:rsidR="00740F03">
        <w:rPr>
          <w:rStyle w:val="sb8d990e2"/>
          <w:noProof/>
        </w:rPr>
        <w:t>59</w:t>
      </w:r>
      <w:r w:rsidRPr="00AD3249">
        <w:rPr>
          <w:rStyle w:val="sb8d990e2"/>
        </w:rPr>
        <w:fldChar w:fldCharType="end"/>
      </w:r>
      <w:r w:rsidRPr="00AD3249">
        <w:rPr>
          <w:rStyle w:val="sb8d990e2"/>
        </w:rPr>
        <w:t>.  In the alternative, the</w:t>
      </w:r>
      <w:r w:rsidR="009F4730" w:rsidRPr="00AD3249">
        <w:rPr>
          <w:rStyle w:val="sb8d990e2"/>
        </w:rPr>
        <w:t xml:space="preserve"> Government invited the Court to strike the case out of its list of cases in accordance with Article 37 § 1 (b) of the Convention. The Government relied in this connection on the fact that on 26 October 2006, that is before the applicant lodged his application with the Court, he had been transferred to Matīsa Prison</w:t>
      </w:r>
      <w:r w:rsidR="0065410B" w:rsidRPr="00AD3249">
        <w:rPr>
          <w:rStyle w:val="sb8d990e2"/>
        </w:rPr>
        <w:t>,</w:t>
      </w:r>
      <w:r w:rsidR="009F4730" w:rsidRPr="00AD3249">
        <w:rPr>
          <w:rStyle w:val="sb8d990e2"/>
        </w:rPr>
        <w:t xml:space="preserve"> and therefore the situation complained of had ceased to exist and the matter giving rise to the applicant</w:t>
      </w:r>
      <w:r w:rsidR="00D870DC">
        <w:rPr>
          <w:rStyle w:val="sb8d990e2"/>
        </w:rPr>
        <w:t>’</w:t>
      </w:r>
      <w:r w:rsidR="009F4730" w:rsidRPr="00AD3249">
        <w:rPr>
          <w:rStyle w:val="sb8d990e2"/>
        </w:rPr>
        <w:t>s Article 3 complaint had thereby been resolved.</w:t>
      </w:r>
    </w:p>
    <w:p w:rsidR="009F4730" w:rsidRPr="00AD3249" w:rsidRDefault="009F4730" w:rsidP="00C37663">
      <w:pPr>
        <w:pStyle w:val="JuPara"/>
        <w:rPr>
          <w:rStyle w:val="sb8d990e2"/>
        </w:rPr>
      </w:pPr>
      <w:r w:rsidRPr="00AD3249">
        <w:rPr>
          <w:rStyle w:val="sb8d990e2"/>
        </w:rPr>
        <w:fldChar w:fldCharType="begin"/>
      </w:r>
      <w:r w:rsidRPr="00AD3249">
        <w:rPr>
          <w:rStyle w:val="sb8d990e2"/>
        </w:rPr>
        <w:instrText xml:space="preserve"> SEQ level0 \*arabic </w:instrText>
      </w:r>
      <w:r w:rsidRPr="00AD3249">
        <w:rPr>
          <w:rStyle w:val="sb8d990e2"/>
        </w:rPr>
        <w:fldChar w:fldCharType="separate"/>
      </w:r>
      <w:r w:rsidR="00740F03">
        <w:rPr>
          <w:rStyle w:val="sb8d990e2"/>
          <w:noProof/>
        </w:rPr>
        <w:t>60</w:t>
      </w:r>
      <w:r w:rsidRPr="00AD3249">
        <w:rPr>
          <w:rStyle w:val="sb8d990e2"/>
        </w:rPr>
        <w:fldChar w:fldCharType="end"/>
      </w:r>
      <w:r w:rsidRPr="00AD3249">
        <w:rPr>
          <w:rStyle w:val="sb8d990e2"/>
        </w:rPr>
        <w:t>.  The applicant did not submit any observations in this regard.</w:t>
      </w:r>
    </w:p>
    <w:p w:rsidR="009F4730" w:rsidRPr="00AD3249" w:rsidRDefault="009F4730" w:rsidP="00C37663">
      <w:pPr>
        <w:pStyle w:val="JuPara"/>
        <w:rPr>
          <w:rStyle w:val="sb8d990e2"/>
          <w:i/>
          <w:lang w:eastAsia="en-US"/>
        </w:rPr>
      </w:pPr>
      <w:r w:rsidRPr="00AD3249">
        <w:rPr>
          <w:rStyle w:val="sb8d990e2"/>
        </w:rPr>
        <w:fldChar w:fldCharType="begin"/>
      </w:r>
      <w:r w:rsidRPr="00AD3249">
        <w:rPr>
          <w:rStyle w:val="sb8d990e2"/>
        </w:rPr>
        <w:instrText xml:space="preserve"> SEQ level0 \*arabic </w:instrText>
      </w:r>
      <w:r w:rsidRPr="00AD3249">
        <w:rPr>
          <w:rStyle w:val="sb8d990e2"/>
        </w:rPr>
        <w:fldChar w:fldCharType="separate"/>
      </w:r>
      <w:r w:rsidR="00740F03">
        <w:rPr>
          <w:rStyle w:val="sb8d990e2"/>
          <w:noProof/>
        </w:rPr>
        <w:t>61</w:t>
      </w:r>
      <w:r w:rsidRPr="00AD3249">
        <w:rPr>
          <w:rStyle w:val="sb8d990e2"/>
        </w:rPr>
        <w:fldChar w:fldCharType="end"/>
      </w:r>
      <w:r w:rsidRPr="00AD3249">
        <w:rPr>
          <w:rStyle w:val="sb8d990e2"/>
        </w:rPr>
        <w:t>.  The Court notes that it has already examine</w:t>
      </w:r>
      <w:r w:rsidR="003902A5" w:rsidRPr="00AD3249">
        <w:rPr>
          <w:rStyle w:val="sb8d990e2"/>
        </w:rPr>
        <w:t>d</w:t>
      </w:r>
      <w:r w:rsidRPr="00AD3249">
        <w:rPr>
          <w:rStyle w:val="sb8d990e2"/>
        </w:rPr>
        <w:t xml:space="preserve"> a </w:t>
      </w:r>
      <w:r w:rsidR="00431764" w:rsidRPr="00AD3249">
        <w:rPr>
          <w:rStyle w:val="sb8d990e2"/>
        </w:rPr>
        <w:t>similar</w:t>
      </w:r>
      <w:r w:rsidRPr="00AD3249">
        <w:rPr>
          <w:rStyle w:val="sb8d990e2"/>
        </w:rPr>
        <w:t xml:space="preserve"> argument raised by the Government </w:t>
      </w:r>
      <w:r w:rsidR="003902A5" w:rsidRPr="00AD3249">
        <w:rPr>
          <w:rStyle w:val="sb8d990e2"/>
        </w:rPr>
        <w:t xml:space="preserve">in another case </w:t>
      </w:r>
      <w:r w:rsidR="00B806C7" w:rsidRPr="00AD3249">
        <w:rPr>
          <w:rStyle w:val="sb8d990e2"/>
        </w:rPr>
        <w:t>(</w:t>
      </w:r>
      <w:r w:rsidR="00B806C7" w:rsidRPr="00AD3249">
        <w:rPr>
          <w:i/>
          <w:szCs w:val="22"/>
          <w:lang w:eastAsia="en-US"/>
        </w:rPr>
        <w:t>Melnītis v. Latvia</w:t>
      </w:r>
      <w:r w:rsidR="00B806C7" w:rsidRPr="00AD3249">
        <w:rPr>
          <w:szCs w:val="22"/>
          <w:lang w:eastAsia="en-US"/>
        </w:rPr>
        <w:t>, no. 30779/05</w:t>
      </w:r>
      <w:r w:rsidR="00B806C7" w:rsidRPr="00AD3249">
        <w:rPr>
          <w:snapToGrid w:val="0"/>
          <w:szCs w:val="24"/>
          <w:lang w:val="pt-BR" w:eastAsia="en-US"/>
        </w:rPr>
        <w:t>, §§ 31-38, 28 February 2012</w:t>
      </w:r>
      <w:r w:rsidRPr="00AD3249">
        <w:rPr>
          <w:rStyle w:val="sb8d990e2"/>
        </w:rPr>
        <w:t xml:space="preserve">). As in </w:t>
      </w:r>
      <w:r w:rsidRPr="00AD3249">
        <w:rPr>
          <w:rStyle w:val="sb8d990e2"/>
          <w:i/>
        </w:rPr>
        <w:t>Melnītis</w:t>
      </w:r>
      <w:r w:rsidRPr="00AD3249">
        <w:rPr>
          <w:rStyle w:val="sb8d990e2"/>
        </w:rPr>
        <w:t xml:space="preserve">, the Court agrees with the Government that the situation that the applicant complained about no longer pertains. However, </w:t>
      </w:r>
      <w:r w:rsidR="00A26A55" w:rsidRPr="00AD3249">
        <w:rPr>
          <w:rStyle w:val="sb8d990e2"/>
        </w:rPr>
        <w:t>taking into account its conclusion concerning the applicant</w:t>
      </w:r>
      <w:r w:rsidR="00D870DC">
        <w:rPr>
          <w:rStyle w:val="sb8d990e2"/>
        </w:rPr>
        <w:t>’</w:t>
      </w:r>
      <w:r w:rsidR="00A26A55" w:rsidRPr="00AD3249">
        <w:rPr>
          <w:rStyle w:val="sb8d990e2"/>
        </w:rPr>
        <w:t>s victim status (see paragraph 58 above)</w:t>
      </w:r>
      <w:r w:rsidRPr="00AD3249">
        <w:rPr>
          <w:rStyle w:val="sb8d990e2"/>
        </w:rPr>
        <w:t>, the Court is unable to agree with the Government that the applicant</w:t>
      </w:r>
      <w:r w:rsidR="00D870DC">
        <w:rPr>
          <w:rStyle w:val="sb8d990e2"/>
        </w:rPr>
        <w:t>’</w:t>
      </w:r>
      <w:r w:rsidRPr="00AD3249">
        <w:rPr>
          <w:rStyle w:val="sb8d990e2"/>
        </w:rPr>
        <w:t>s situation has been resolved.</w:t>
      </w:r>
    </w:p>
    <w:p w:rsidR="009F4730" w:rsidRPr="00AD3249" w:rsidRDefault="009F4730" w:rsidP="00C37663">
      <w:pPr>
        <w:pStyle w:val="JuPara"/>
        <w:rPr>
          <w:rStyle w:val="sb8d990e2"/>
        </w:rPr>
      </w:pPr>
      <w:r w:rsidRPr="00AD3249">
        <w:rPr>
          <w:rStyle w:val="sb8d990e2"/>
        </w:rPr>
        <w:fldChar w:fldCharType="begin"/>
      </w:r>
      <w:r w:rsidRPr="00AD3249">
        <w:rPr>
          <w:rStyle w:val="sb8d990e2"/>
        </w:rPr>
        <w:instrText xml:space="preserve"> SEQ level0 \*arabic </w:instrText>
      </w:r>
      <w:r w:rsidRPr="00AD3249">
        <w:rPr>
          <w:rStyle w:val="sb8d990e2"/>
        </w:rPr>
        <w:fldChar w:fldCharType="separate"/>
      </w:r>
      <w:r w:rsidR="00740F03">
        <w:rPr>
          <w:rStyle w:val="sb8d990e2"/>
          <w:noProof/>
        </w:rPr>
        <w:t>62</w:t>
      </w:r>
      <w:r w:rsidRPr="00AD3249">
        <w:rPr>
          <w:rStyle w:val="sb8d990e2"/>
        </w:rPr>
        <w:fldChar w:fldCharType="end"/>
      </w:r>
      <w:r w:rsidRPr="00AD3249">
        <w:rPr>
          <w:rStyle w:val="sb8d990e2"/>
        </w:rPr>
        <w:t>.  The Court therefore rejects the Government</w:t>
      </w:r>
      <w:r w:rsidR="00D870DC">
        <w:rPr>
          <w:rStyle w:val="sb8d990e2"/>
        </w:rPr>
        <w:t>’</w:t>
      </w:r>
      <w:r w:rsidRPr="00AD3249">
        <w:rPr>
          <w:rStyle w:val="sb8d990e2"/>
        </w:rPr>
        <w:t xml:space="preserve">s request </w:t>
      </w:r>
      <w:r w:rsidR="00AC70F6" w:rsidRPr="00AD3249">
        <w:rPr>
          <w:rStyle w:val="sb8d990e2"/>
        </w:rPr>
        <w:t xml:space="preserve">that it </w:t>
      </w:r>
      <w:r w:rsidRPr="00AD3249">
        <w:rPr>
          <w:rStyle w:val="sb8d990e2"/>
        </w:rPr>
        <w:t>strike the application out of its list of case in application of Article 37 § 1 (b) of the Convention.</w:t>
      </w:r>
    </w:p>
    <w:p w:rsidR="003E33BD" w:rsidRPr="00AD3249" w:rsidRDefault="00580E6F" w:rsidP="009F4730">
      <w:pPr>
        <w:pStyle w:val="JuH1"/>
      </w:pPr>
      <w:r>
        <w:t>2.</w:t>
      </w:r>
      <w:r w:rsidR="009F4730" w:rsidRPr="00AD3249">
        <w:t> Admissibility</w:t>
      </w:r>
    </w:p>
    <w:p w:rsidR="00D870DC" w:rsidRDefault="00B806C7" w:rsidP="00B806C7">
      <w:pPr>
        <w:pStyle w:val="JuHa0"/>
      </w:pPr>
      <w:r w:rsidRPr="00AD3249">
        <w:t>a.  </w:t>
      </w:r>
      <w:r w:rsidR="008B3527" w:rsidRPr="00AD3249">
        <w:t>The parties</w:t>
      </w:r>
      <w:r w:rsidR="00D870DC">
        <w:t>’</w:t>
      </w:r>
      <w:r w:rsidR="008B3527" w:rsidRPr="00AD3249">
        <w:t xml:space="preserve"> s</w:t>
      </w:r>
      <w:r w:rsidRPr="00AD3249">
        <w:t>ubmissions</w:t>
      </w:r>
    </w:p>
    <w:p w:rsidR="009F4730" w:rsidRPr="00AD3249" w:rsidRDefault="009F4730" w:rsidP="00C37663">
      <w:pPr>
        <w:pStyle w:val="JuPara"/>
      </w:pPr>
      <w:r w:rsidRPr="00AD3249">
        <w:fldChar w:fldCharType="begin"/>
      </w:r>
      <w:r w:rsidRPr="00AD3249">
        <w:instrText xml:space="preserve"> SEQ level0 \*arabic </w:instrText>
      </w:r>
      <w:r w:rsidRPr="00AD3249">
        <w:fldChar w:fldCharType="separate"/>
      </w:r>
      <w:r w:rsidR="00740F03">
        <w:rPr>
          <w:noProof/>
        </w:rPr>
        <w:t>63</w:t>
      </w:r>
      <w:r w:rsidRPr="00AD3249">
        <w:fldChar w:fldCharType="end"/>
      </w:r>
      <w:r w:rsidRPr="00AD3249">
        <w:t>.  </w:t>
      </w:r>
      <w:r w:rsidR="00752E30" w:rsidRPr="00AD3249">
        <w:t xml:space="preserve">The Government claimed that the applicant had failed to exhaust </w:t>
      </w:r>
      <w:r w:rsidR="000C5C91" w:rsidRPr="00AD3249">
        <w:t xml:space="preserve">domestic remedies. In particular, he could have complained about the </w:t>
      </w:r>
      <w:r w:rsidR="006B469C" w:rsidRPr="00AD3249">
        <w:t xml:space="preserve">refusal </w:t>
      </w:r>
      <w:r w:rsidR="000C5C91" w:rsidRPr="00AD3249">
        <w:t>of the Prison</w:t>
      </w:r>
      <w:r w:rsidR="00345B33" w:rsidRPr="00AD3249">
        <w:t>s</w:t>
      </w:r>
      <w:r w:rsidR="000C5C91" w:rsidRPr="00AD3249">
        <w:t xml:space="preserve"> A</w:t>
      </w:r>
      <w:r w:rsidR="00AA6087" w:rsidRPr="00AD3249">
        <w:t>dministration</w:t>
      </w:r>
      <w:r w:rsidR="000C5C91" w:rsidRPr="00AD3249">
        <w:t xml:space="preserve"> to transfer him to Matīsa Prison</w:t>
      </w:r>
      <w:r w:rsidR="008B3527" w:rsidRPr="00AD3249">
        <w:t>,</w:t>
      </w:r>
      <w:r w:rsidR="000C5C91" w:rsidRPr="00AD3249">
        <w:t xml:space="preserve"> either to the Ministry of Justice or to the administrative courts.</w:t>
      </w:r>
    </w:p>
    <w:p w:rsidR="000C5C91" w:rsidRPr="00AD3249" w:rsidRDefault="000C5C91" w:rsidP="00C37663">
      <w:pPr>
        <w:pStyle w:val="JuPara"/>
      </w:pPr>
      <w:r w:rsidRPr="00AD3249">
        <w:fldChar w:fldCharType="begin"/>
      </w:r>
      <w:r w:rsidRPr="00AD3249">
        <w:instrText xml:space="preserve"> SEQ level0 \*arabic </w:instrText>
      </w:r>
      <w:r w:rsidRPr="00AD3249">
        <w:fldChar w:fldCharType="separate"/>
      </w:r>
      <w:r w:rsidR="00740F03">
        <w:rPr>
          <w:noProof/>
        </w:rPr>
        <w:t>64</w:t>
      </w:r>
      <w:r w:rsidRPr="00AD3249">
        <w:fldChar w:fldCharType="end"/>
      </w:r>
      <w:r w:rsidRPr="00AD3249">
        <w:t>.  </w:t>
      </w:r>
      <w:r w:rsidR="00345B33" w:rsidRPr="00AD3249">
        <w:t xml:space="preserve">As </w:t>
      </w:r>
      <w:r w:rsidR="008B3527" w:rsidRPr="00AD3249">
        <w:t>regards</w:t>
      </w:r>
      <w:r w:rsidR="00345B33" w:rsidRPr="00AD3249">
        <w:t xml:space="preserve"> the former alternative the Government explained that the Prisons A</w:t>
      </w:r>
      <w:r w:rsidR="00AA6087" w:rsidRPr="00AD3249">
        <w:t>dministration</w:t>
      </w:r>
      <w:r w:rsidR="00345B33" w:rsidRPr="00AD3249">
        <w:t xml:space="preserve"> is subordinate to the Ministry of Justice and that </w:t>
      </w:r>
      <w:r w:rsidR="00AA6087" w:rsidRPr="00AD3249">
        <w:t xml:space="preserve">that </w:t>
      </w:r>
      <w:r w:rsidR="00345B33" w:rsidRPr="00AD3249">
        <w:t>ministry has a right to review decisions taken by the Prisons A</w:t>
      </w:r>
      <w:r w:rsidR="00AA6087" w:rsidRPr="00AD3249">
        <w:t>dministration</w:t>
      </w:r>
      <w:r w:rsidR="00345B33" w:rsidRPr="00AD3249">
        <w:t xml:space="preserve"> or to order that a decision be issued in </w:t>
      </w:r>
      <w:r w:rsidR="008B3527" w:rsidRPr="00AD3249">
        <w:t xml:space="preserve">the event of </w:t>
      </w:r>
      <w:r w:rsidR="00345B33" w:rsidRPr="00AD3249">
        <w:t>an unjustified failure to act.</w:t>
      </w:r>
    </w:p>
    <w:p w:rsidR="00D870DC" w:rsidRDefault="00345B33" w:rsidP="00C37663">
      <w:pPr>
        <w:pStyle w:val="JuPara"/>
      </w:pPr>
      <w:r w:rsidRPr="00AD3249">
        <w:fldChar w:fldCharType="begin"/>
      </w:r>
      <w:r w:rsidRPr="00AD3249">
        <w:instrText xml:space="preserve"> SEQ level0 \*arabic </w:instrText>
      </w:r>
      <w:r w:rsidRPr="00AD3249">
        <w:fldChar w:fldCharType="separate"/>
      </w:r>
      <w:r w:rsidR="00740F03">
        <w:rPr>
          <w:noProof/>
        </w:rPr>
        <w:t>65</w:t>
      </w:r>
      <w:r w:rsidRPr="00AD3249">
        <w:fldChar w:fldCharType="end"/>
      </w:r>
      <w:r w:rsidRPr="00AD3249">
        <w:t>.  </w:t>
      </w:r>
      <w:r w:rsidR="00E42C84" w:rsidRPr="00AD3249">
        <w:t xml:space="preserve">In order to substantiate the </w:t>
      </w:r>
      <w:r w:rsidR="006B469C" w:rsidRPr="00AD3249">
        <w:t xml:space="preserve">alternative </w:t>
      </w:r>
      <w:r w:rsidR="00E42C84" w:rsidRPr="00AD3249">
        <w:t>argument that the administrative courts would have been capable of adequately remedying the shortcomings complained of by the applicant, the Government referred to several rulings of the Senate of the Supreme Court.</w:t>
      </w:r>
    </w:p>
    <w:p w:rsidR="009B0A6E" w:rsidRPr="00AD3249" w:rsidRDefault="00E42C84" w:rsidP="00C37663">
      <w:pPr>
        <w:pStyle w:val="JuPara"/>
        <w:rPr>
          <w:rStyle w:val="sb8d990e2"/>
        </w:rPr>
      </w:pPr>
      <w:r w:rsidRPr="00AD3249">
        <w:fldChar w:fldCharType="begin"/>
      </w:r>
      <w:r w:rsidRPr="00AD3249">
        <w:instrText xml:space="preserve"> SEQ level0 \*arabic </w:instrText>
      </w:r>
      <w:r w:rsidRPr="00AD3249">
        <w:fldChar w:fldCharType="separate"/>
      </w:r>
      <w:r w:rsidR="00740F03">
        <w:rPr>
          <w:noProof/>
        </w:rPr>
        <w:t>66</w:t>
      </w:r>
      <w:r w:rsidRPr="00AD3249">
        <w:fldChar w:fldCharType="end"/>
      </w:r>
      <w:r w:rsidRPr="00AD3249">
        <w:t>.  </w:t>
      </w:r>
      <w:r w:rsidR="00392242" w:rsidRPr="00AD3249">
        <w:t>T</w:t>
      </w:r>
      <w:r w:rsidRPr="00AD3249">
        <w:t xml:space="preserve">hey </w:t>
      </w:r>
      <w:r w:rsidR="008B3527" w:rsidRPr="00AD3249">
        <w:t>cited</w:t>
      </w:r>
      <w:r w:rsidRPr="00AD3249">
        <w:t xml:space="preserve"> a decision of 7 March 2008 (no. SKA</w:t>
      </w:r>
      <w:r w:rsidRPr="00AD3249">
        <w:noBreakHyphen/>
        <w:t xml:space="preserve">310/2008), in which the Senate </w:t>
      </w:r>
      <w:r w:rsidR="00392242" w:rsidRPr="00AD3249">
        <w:t xml:space="preserve">disagreed with the </w:t>
      </w:r>
      <w:r w:rsidR="008B3527" w:rsidRPr="00AD3249">
        <w:t xml:space="preserve">reasons given by </w:t>
      </w:r>
      <w:r w:rsidRPr="00AD3249">
        <w:t>the Administrative Regional Court</w:t>
      </w:r>
      <w:r w:rsidR="008B3527" w:rsidRPr="00AD3249">
        <w:t xml:space="preserve"> for its </w:t>
      </w:r>
      <w:r w:rsidR="006B469C" w:rsidRPr="00AD3249">
        <w:t>refusal</w:t>
      </w:r>
      <w:r w:rsidR="005154AE" w:rsidRPr="00AD3249">
        <w:t xml:space="preserve"> to accept </w:t>
      </w:r>
      <w:r w:rsidR="008B3527" w:rsidRPr="00AD3249">
        <w:t xml:space="preserve">a complaint </w:t>
      </w:r>
      <w:r w:rsidR="005154AE" w:rsidRPr="00AD3249">
        <w:t xml:space="preserve">for adjudication </w:t>
      </w:r>
      <w:r w:rsidR="008B3527" w:rsidRPr="00AD3249">
        <w:t xml:space="preserve">which had been </w:t>
      </w:r>
      <w:r w:rsidR="005154AE" w:rsidRPr="00AD3249">
        <w:t xml:space="preserve">submitted to the first-instance court on 11 July 2007, about a decision of the Prisons Administration to transfer the petitioner </w:t>
      </w:r>
      <w:r w:rsidR="008B3527" w:rsidRPr="00AD3249">
        <w:t xml:space="preserve">to </w:t>
      </w:r>
      <w:r w:rsidR="005154AE" w:rsidRPr="00AD3249">
        <w:t xml:space="preserve">another prison in which he </w:t>
      </w:r>
      <w:r w:rsidR="008B3527" w:rsidRPr="00AD3249">
        <w:t xml:space="preserve">would </w:t>
      </w:r>
      <w:r w:rsidR="005154AE" w:rsidRPr="00AD3249">
        <w:t xml:space="preserve">fear for his safety. In its decision the Senate held that in principle such decisions were amenable to review in </w:t>
      </w:r>
      <w:r w:rsidR="003B1F35" w:rsidRPr="00AD3249">
        <w:t xml:space="preserve">the </w:t>
      </w:r>
      <w:r w:rsidR="005154AE" w:rsidRPr="00AD3249">
        <w:t xml:space="preserve">administrative courts </w:t>
      </w:r>
      <w:r w:rsidR="00A47B9D" w:rsidRPr="00AD3249">
        <w:t xml:space="preserve">as administrative acts </w:t>
      </w:r>
      <w:r w:rsidR="005154AE" w:rsidRPr="00AD3249">
        <w:t xml:space="preserve">if the petitioners were able to prove that the decisions in question had </w:t>
      </w:r>
      <w:r w:rsidR="005154AE" w:rsidRPr="00AD3249">
        <w:rPr>
          <w:rStyle w:val="sb8d990e2"/>
        </w:rPr>
        <w:t xml:space="preserve">significantly interfered with their fundamental rights, which would be the case if a petitioner were able to prove that </w:t>
      </w:r>
      <w:r w:rsidR="003B1F35" w:rsidRPr="00AD3249">
        <w:rPr>
          <w:rStyle w:val="sb8d990e2"/>
        </w:rPr>
        <w:t>a</w:t>
      </w:r>
      <w:r w:rsidR="00A47B9D" w:rsidRPr="00AD3249">
        <w:rPr>
          <w:rStyle w:val="sb8d990e2"/>
        </w:rPr>
        <w:t xml:space="preserve"> decision </w:t>
      </w:r>
      <w:r w:rsidR="00600341" w:rsidRPr="00AD3249">
        <w:rPr>
          <w:rStyle w:val="sb8d990e2"/>
        </w:rPr>
        <w:t xml:space="preserve">on transfer </w:t>
      </w:r>
      <w:r w:rsidR="00A47B9D" w:rsidRPr="00AD3249">
        <w:rPr>
          <w:rStyle w:val="sb8d990e2"/>
        </w:rPr>
        <w:t>co</w:t>
      </w:r>
      <w:r w:rsidR="00AA6087" w:rsidRPr="00AD3249">
        <w:rPr>
          <w:rStyle w:val="sb8d990e2"/>
        </w:rPr>
        <w:t>uld affect or had affected his</w:t>
      </w:r>
      <w:r w:rsidR="00A47B9D" w:rsidRPr="00AD3249">
        <w:rPr>
          <w:rStyle w:val="sb8d990e2"/>
        </w:rPr>
        <w:t xml:space="preserve"> life or health.</w:t>
      </w:r>
      <w:r w:rsidR="009B0A6E" w:rsidRPr="00AD3249">
        <w:rPr>
          <w:rStyle w:val="sb8d990e2"/>
        </w:rPr>
        <w:t xml:space="preserve"> The Senate then refused to accept the complaint for examination because it found that the facts of the specific case did not disclose a possibility of an interference with the petitioner</w:t>
      </w:r>
      <w:r w:rsidR="00D870DC">
        <w:rPr>
          <w:rStyle w:val="sb8d990e2"/>
        </w:rPr>
        <w:t>’</w:t>
      </w:r>
      <w:r w:rsidR="009B0A6E" w:rsidRPr="00AD3249">
        <w:rPr>
          <w:rStyle w:val="sb8d990e2"/>
        </w:rPr>
        <w:t>s life or health.</w:t>
      </w:r>
    </w:p>
    <w:p w:rsidR="00345B33" w:rsidRPr="00AD3249" w:rsidRDefault="009B0A6E" w:rsidP="00C37663">
      <w:pPr>
        <w:pStyle w:val="JuPara"/>
      </w:pPr>
      <w:r w:rsidRPr="00AD3249">
        <w:fldChar w:fldCharType="begin"/>
      </w:r>
      <w:r w:rsidRPr="00AD3249">
        <w:instrText xml:space="preserve"> SEQ level0 \*arabic </w:instrText>
      </w:r>
      <w:r w:rsidRPr="00AD3249">
        <w:fldChar w:fldCharType="separate"/>
      </w:r>
      <w:r w:rsidR="00740F03">
        <w:rPr>
          <w:noProof/>
        </w:rPr>
        <w:t>67</w:t>
      </w:r>
      <w:r w:rsidRPr="00AD3249">
        <w:fldChar w:fldCharType="end"/>
      </w:r>
      <w:r w:rsidRPr="00AD3249">
        <w:t>.  </w:t>
      </w:r>
      <w:r w:rsidR="00392242" w:rsidRPr="00AD3249">
        <w:t>The Government further relied on a decision of the Senate, adopted on</w:t>
      </w:r>
      <w:r w:rsidR="00020080" w:rsidRPr="00AD3249">
        <w:t xml:space="preserve"> 23 May 2006 (no. SKA</w:t>
      </w:r>
      <w:r w:rsidR="00020080" w:rsidRPr="00AD3249">
        <w:noBreakHyphen/>
        <w:t>300/2006), in which t</w:t>
      </w:r>
      <w:r w:rsidR="003A7633" w:rsidRPr="00AD3249">
        <w:t xml:space="preserve">he Senate </w:t>
      </w:r>
      <w:r w:rsidR="00020080" w:rsidRPr="00AD3249">
        <w:t>had held</w:t>
      </w:r>
      <w:r w:rsidR="003A7633" w:rsidRPr="00AD3249">
        <w:t xml:space="preserve"> </w:t>
      </w:r>
      <w:r w:rsidR="00AA6087" w:rsidRPr="00AD3249">
        <w:t xml:space="preserve">that </w:t>
      </w:r>
      <w:r w:rsidR="003A7633" w:rsidRPr="00AD3249">
        <w:t>actions (</w:t>
      </w:r>
      <w:r w:rsidR="003A7633" w:rsidRPr="00AD3249">
        <w:rPr>
          <w:i/>
        </w:rPr>
        <w:t>faktiskā rīcība</w:t>
      </w:r>
      <w:r w:rsidR="00AA6087" w:rsidRPr="00AD3249">
        <w:t>) of prison authorities which</w:t>
      </w:r>
      <w:r w:rsidR="003A7633" w:rsidRPr="00AD3249">
        <w:t xml:space="preserve"> significantly interfered with prisoners</w:t>
      </w:r>
      <w:r w:rsidR="00D870DC">
        <w:t>’</w:t>
      </w:r>
      <w:r w:rsidR="003A7633" w:rsidRPr="00AD3249">
        <w:t xml:space="preserve"> fundamental rights were </w:t>
      </w:r>
      <w:r w:rsidR="00020080" w:rsidRPr="00AD3249">
        <w:t xml:space="preserve">in principle </w:t>
      </w:r>
      <w:r w:rsidR="003A7633" w:rsidRPr="00AD3249">
        <w:t xml:space="preserve">amenable for review in </w:t>
      </w:r>
      <w:r w:rsidR="003B1F35" w:rsidRPr="00AD3249">
        <w:t xml:space="preserve">the </w:t>
      </w:r>
      <w:r w:rsidR="003A7633" w:rsidRPr="00AD3249">
        <w:t>administrative courts.</w:t>
      </w:r>
    </w:p>
    <w:p w:rsidR="00EA6607" w:rsidRPr="00AD3249" w:rsidRDefault="00EA6607" w:rsidP="00C37663">
      <w:pPr>
        <w:pStyle w:val="JuPara"/>
      </w:pPr>
      <w:r w:rsidRPr="00AD3249">
        <w:fldChar w:fldCharType="begin"/>
      </w:r>
      <w:r w:rsidRPr="00AD3249">
        <w:instrText xml:space="preserve"> SEQ level0 \*arabic </w:instrText>
      </w:r>
      <w:r w:rsidRPr="00AD3249">
        <w:fldChar w:fldCharType="separate"/>
      </w:r>
      <w:r w:rsidR="00740F03">
        <w:rPr>
          <w:noProof/>
        </w:rPr>
        <w:t>68</w:t>
      </w:r>
      <w:r w:rsidRPr="00AD3249">
        <w:fldChar w:fldCharType="end"/>
      </w:r>
      <w:r w:rsidRPr="00AD3249">
        <w:t>.  In the light of these decisions</w:t>
      </w:r>
      <w:r w:rsidR="00AC70F6" w:rsidRPr="00AD3249">
        <w:t>,</w:t>
      </w:r>
      <w:r w:rsidRPr="00AD3249">
        <w:t xml:space="preserve"> and taking into account that the Administrative Procedure </w:t>
      </w:r>
      <w:r w:rsidR="00C7359D" w:rsidRPr="00AD3249">
        <w:t>Law</w:t>
      </w:r>
      <w:r w:rsidR="008B3527" w:rsidRPr="00AD3249">
        <w:t xml:space="preserve"> </w:t>
      </w:r>
      <w:r w:rsidRPr="00AD3249">
        <w:t xml:space="preserve">provided for </w:t>
      </w:r>
      <w:r w:rsidR="008B3527" w:rsidRPr="00AD3249">
        <w:t xml:space="preserve">the </w:t>
      </w:r>
      <w:r w:rsidRPr="00AD3249">
        <w:t xml:space="preserve">possibility </w:t>
      </w:r>
      <w:r w:rsidR="008B3527" w:rsidRPr="00AD3249">
        <w:t>of</w:t>
      </w:r>
      <w:r w:rsidRPr="00AD3249">
        <w:t xml:space="preserve"> claim</w:t>
      </w:r>
      <w:r w:rsidR="008B3527" w:rsidRPr="00AD3249">
        <w:t>ing</w:t>
      </w:r>
      <w:r w:rsidRPr="00AD3249">
        <w:t xml:space="preserve"> compensation for pecuniary and non-pecuniary damage (see paragraph </w:t>
      </w:r>
      <w:r w:rsidR="00AA6087" w:rsidRPr="00AD3249">
        <w:t>4</w:t>
      </w:r>
      <w:r w:rsidR="004262E9" w:rsidRPr="00AD3249">
        <w:t>2</w:t>
      </w:r>
      <w:r w:rsidRPr="00AD3249">
        <w:t xml:space="preserve"> above), that </w:t>
      </w:r>
      <w:r w:rsidR="00AC70F6" w:rsidRPr="00AD3249">
        <w:t xml:space="preserve">the </w:t>
      </w:r>
      <w:r w:rsidRPr="00AD3249">
        <w:t xml:space="preserve">administrative courts </w:t>
      </w:r>
      <w:r w:rsidR="006B469C" w:rsidRPr="00AD3249">
        <w:t xml:space="preserve">have a duty to </w:t>
      </w:r>
      <w:r w:rsidRPr="00AD3249">
        <w:t xml:space="preserve">carry out an objective investigation, </w:t>
      </w:r>
      <w:r w:rsidR="006B469C" w:rsidRPr="00AD3249">
        <w:t xml:space="preserve">and </w:t>
      </w:r>
      <w:r w:rsidRPr="00AD3249">
        <w:t xml:space="preserve">that they can rely on reports drawn </w:t>
      </w:r>
      <w:r w:rsidR="008B3527" w:rsidRPr="00AD3249">
        <w:t xml:space="preserve">up </w:t>
      </w:r>
      <w:r w:rsidRPr="00AD3249">
        <w:t xml:space="preserve">by national and international human rights organisations, the Government argued that a recourse to </w:t>
      </w:r>
      <w:r w:rsidR="003B1F35" w:rsidRPr="00AD3249">
        <w:t xml:space="preserve">the </w:t>
      </w:r>
      <w:r w:rsidRPr="00AD3249">
        <w:t xml:space="preserve">administrative </w:t>
      </w:r>
      <w:r w:rsidR="009F65C4" w:rsidRPr="00AD3249">
        <w:t>courts was an effective remedy.</w:t>
      </w:r>
    </w:p>
    <w:p w:rsidR="00B10CFC" w:rsidRPr="00AD3249" w:rsidRDefault="009F65C4" w:rsidP="00C37663">
      <w:pPr>
        <w:pStyle w:val="JuPara"/>
      </w:pPr>
      <w:r w:rsidRPr="00AD3249">
        <w:fldChar w:fldCharType="begin"/>
      </w:r>
      <w:r w:rsidRPr="00AD3249">
        <w:instrText xml:space="preserve"> SEQ level0 \*arabic </w:instrText>
      </w:r>
      <w:r w:rsidRPr="00AD3249">
        <w:fldChar w:fldCharType="separate"/>
      </w:r>
      <w:r w:rsidR="00740F03">
        <w:rPr>
          <w:noProof/>
        </w:rPr>
        <w:t>69</w:t>
      </w:r>
      <w:r w:rsidRPr="00AD3249">
        <w:fldChar w:fldCharType="end"/>
      </w:r>
      <w:r w:rsidRPr="00AD3249">
        <w:t xml:space="preserve">.  The applicant argued that he had duly addressed his grievances to the Ministry of Justice. In this regard he referred to a letter sent by the said ministry to the Government </w:t>
      </w:r>
      <w:r w:rsidR="003B1F35" w:rsidRPr="00AD3249">
        <w:t xml:space="preserve">Agent </w:t>
      </w:r>
      <w:r w:rsidRPr="00AD3249">
        <w:t>on 11 March 2011, which stated that the proper avenue for appealing against a refusal to transfer a prisoner to another prison, which was an internal decision of a public authority and which furthermore did not significantly interfere with a subordinated person</w:t>
      </w:r>
      <w:r w:rsidR="00D870DC">
        <w:t>’</w:t>
      </w:r>
      <w:r w:rsidRPr="00AD3249">
        <w:t>s human rights, was a complaint to the Ministry of Justice. The same letter also noted that the Ministry of Justice had examined two complaints from the applicant (of 13 and 16 August 2007</w:t>
      </w:r>
      <w:r w:rsidR="00600341" w:rsidRPr="00AD3249">
        <w:t>; see also paragraph 21 above</w:t>
      </w:r>
      <w:r w:rsidRPr="00AD3249">
        <w:t>).</w:t>
      </w:r>
    </w:p>
    <w:p w:rsidR="00D870DC" w:rsidRDefault="00B10CFC" w:rsidP="00C37663">
      <w:pPr>
        <w:pStyle w:val="JuPara"/>
      </w:pPr>
      <w:r w:rsidRPr="00AD3249">
        <w:fldChar w:fldCharType="begin"/>
      </w:r>
      <w:r w:rsidRPr="00AD3249">
        <w:instrText xml:space="preserve"> SEQ level0 \*arabic </w:instrText>
      </w:r>
      <w:r w:rsidRPr="00AD3249">
        <w:fldChar w:fldCharType="separate"/>
      </w:r>
      <w:r w:rsidR="00740F03">
        <w:rPr>
          <w:noProof/>
        </w:rPr>
        <w:t>70</w:t>
      </w:r>
      <w:r w:rsidRPr="00AD3249">
        <w:fldChar w:fldCharType="end"/>
      </w:r>
      <w:r w:rsidRPr="00AD3249">
        <w:t xml:space="preserve">.  In addition, the applicant referred to a letter he had received from </w:t>
      </w:r>
      <w:r w:rsidR="003B1F35" w:rsidRPr="00AD3249">
        <w:t>a</w:t>
      </w:r>
      <w:r w:rsidR="00D659FE" w:rsidRPr="00AD3249">
        <w:t xml:space="preserve"> </w:t>
      </w:r>
      <w:r w:rsidRPr="00AD3249">
        <w:t xml:space="preserve">Supreme Court </w:t>
      </w:r>
      <w:r w:rsidR="003B1F35" w:rsidRPr="00AD3249">
        <w:t xml:space="preserve">judge </w:t>
      </w:r>
      <w:r w:rsidRPr="00AD3249">
        <w:t xml:space="preserve">on 17 August 2006, in which he had been informed that the proper authority for deciding </w:t>
      </w:r>
      <w:r w:rsidR="00F47343" w:rsidRPr="00AD3249">
        <w:t>on issues connected with</w:t>
      </w:r>
      <w:r w:rsidR="008B3527" w:rsidRPr="00AD3249">
        <w:t xml:space="preserve"> </w:t>
      </w:r>
      <w:r w:rsidRPr="00AD3249">
        <w:t>the placement of prisoners was the Prisons Administration (see paragraph </w:t>
      </w:r>
      <w:r w:rsidR="00AA6087" w:rsidRPr="00AD3249">
        <w:t>18</w:t>
      </w:r>
      <w:r w:rsidRPr="00AD3249">
        <w:t xml:space="preserve"> above). Thus</w:t>
      </w:r>
      <w:r w:rsidR="008B3527" w:rsidRPr="00AD3249">
        <w:t>,</w:t>
      </w:r>
      <w:r w:rsidRPr="00AD3249">
        <w:t xml:space="preserve"> the applicant considered that he had not been given any information about the possibility </w:t>
      </w:r>
      <w:r w:rsidR="008B3527" w:rsidRPr="00AD3249">
        <w:t xml:space="preserve">of making a </w:t>
      </w:r>
      <w:r w:rsidRPr="00AD3249">
        <w:t>complain</w:t>
      </w:r>
      <w:r w:rsidR="008B3527" w:rsidRPr="00AD3249">
        <w:t>t</w:t>
      </w:r>
      <w:r w:rsidRPr="00AD3249">
        <w:t xml:space="preserve"> to </w:t>
      </w:r>
      <w:r w:rsidR="008B3527" w:rsidRPr="00AD3249">
        <w:t xml:space="preserve">the </w:t>
      </w:r>
      <w:r w:rsidRPr="00AD3249">
        <w:t>administrative courts.</w:t>
      </w:r>
    </w:p>
    <w:p w:rsidR="00B806C7" w:rsidRPr="00AD3249" w:rsidRDefault="00B806C7" w:rsidP="00B806C7">
      <w:pPr>
        <w:pStyle w:val="JuHa0"/>
      </w:pPr>
      <w:r w:rsidRPr="00AD3249">
        <w:t>b.  </w:t>
      </w:r>
      <w:r w:rsidR="008B3527" w:rsidRPr="00AD3249">
        <w:t>The Court</w:t>
      </w:r>
      <w:r w:rsidR="00D870DC">
        <w:t>’</w:t>
      </w:r>
      <w:r w:rsidR="008B3527" w:rsidRPr="00AD3249">
        <w:t>s assessment</w:t>
      </w:r>
    </w:p>
    <w:p w:rsidR="00B806C7" w:rsidRPr="00AD3249" w:rsidRDefault="00B806C7" w:rsidP="00B806C7">
      <w:pPr>
        <w:pStyle w:val="JuPara"/>
        <w:rPr>
          <w:rStyle w:val="sb8d990e2"/>
        </w:rPr>
      </w:pPr>
      <w:r w:rsidRPr="00AD3249">
        <w:fldChar w:fldCharType="begin"/>
      </w:r>
      <w:r w:rsidRPr="00AD3249">
        <w:instrText xml:space="preserve"> SEQ level0 \*arabic </w:instrText>
      </w:r>
      <w:r w:rsidRPr="00AD3249">
        <w:fldChar w:fldCharType="separate"/>
      </w:r>
      <w:r w:rsidR="00740F03">
        <w:rPr>
          <w:noProof/>
        </w:rPr>
        <w:t>71</w:t>
      </w:r>
      <w:r w:rsidRPr="00AD3249">
        <w:fldChar w:fldCharType="end"/>
      </w:r>
      <w:r w:rsidRPr="00AD3249">
        <w:t>.  </w:t>
      </w:r>
      <w:bookmarkStart w:id="6" w:name="law_ef_rem"/>
      <w:bookmarkEnd w:id="6"/>
      <w:r w:rsidRPr="00AD3249">
        <w:rPr>
          <w:rStyle w:val="sb8d990e2"/>
        </w:rPr>
        <w:t xml:space="preserve">The Court has </w:t>
      </w:r>
      <w:r w:rsidR="002165B7" w:rsidRPr="00AD3249">
        <w:rPr>
          <w:rStyle w:val="sb8d990e2"/>
        </w:rPr>
        <w:t xml:space="preserve">often </w:t>
      </w:r>
      <w:r w:rsidRPr="00AD3249">
        <w:rPr>
          <w:rStyle w:val="sb8d990e2"/>
        </w:rPr>
        <w:t xml:space="preserve">held that in the area of the exhaustion of domestic remedies there is a distribution of the burden of proof. It is incumbent on the Government claiming non-exhaustion to satisfy the Court that the remedy </w:t>
      </w:r>
      <w:r w:rsidR="00F47343" w:rsidRPr="00AD3249">
        <w:rPr>
          <w:rStyle w:val="sb8d990e2"/>
        </w:rPr>
        <w:t>is</w:t>
      </w:r>
      <w:r w:rsidRPr="00AD3249">
        <w:rPr>
          <w:rStyle w:val="sb8d990e2"/>
        </w:rPr>
        <w:t xml:space="preserve"> an effective one available in theory and practice at th</w:t>
      </w:r>
      <w:r w:rsidR="00397D51" w:rsidRPr="00AD3249">
        <w:rPr>
          <w:rStyle w:val="sb8d990e2"/>
        </w:rPr>
        <w:t>e relevant time, that is to say</w:t>
      </w:r>
      <w:r w:rsidRPr="00AD3249">
        <w:rPr>
          <w:rStyle w:val="sb8d990e2"/>
        </w:rPr>
        <w:t xml:space="preserve"> that it </w:t>
      </w:r>
      <w:r w:rsidR="00F47343" w:rsidRPr="00AD3249">
        <w:rPr>
          <w:rStyle w:val="sb8d990e2"/>
        </w:rPr>
        <w:t>is</w:t>
      </w:r>
      <w:r w:rsidRPr="00AD3249">
        <w:rPr>
          <w:rStyle w:val="sb8d990e2"/>
        </w:rPr>
        <w:t xml:space="preserve"> accessible, capable of providing redress in respect of the applicant</w:t>
      </w:r>
      <w:r w:rsidR="00D870DC">
        <w:rPr>
          <w:rStyle w:val="sb8d990e2"/>
        </w:rPr>
        <w:t>’</w:t>
      </w:r>
      <w:r w:rsidRPr="00AD3249">
        <w:rPr>
          <w:rStyle w:val="sb8d990e2"/>
        </w:rPr>
        <w:t>s complaints</w:t>
      </w:r>
      <w:r w:rsidR="008B3527" w:rsidRPr="00AD3249">
        <w:rPr>
          <w:rStyle w:val="sb8d990e2"/>
        </w:rPr>
        <w:t>,</w:t>
      </w:r>
      <w:r w:rsidRPr="00AD3249">
        <w:rPr>
          <w:rStyle w:val="sb8d990e2"/>
        </w:rPr>
        <w:t xml:space="preserve"> and offer</w:t>
      </w:r>
      <w:r w:rsidR="00F47343" w:rsidRPr="00AD3249">
        <w:rPr>
          <w:rStyle w:val="sb8d990e2"/>
        </w:rPr>
        <w:t>s</w:t>
      </w:r>
      <w:r w:rsidRPr="00AD3249">
        <w:rPr>
          <w:rStyle w:val="sb8d990e2"/>
        </w:rPr>
        <w:t xml:space="preserve"> reasonable prospects of success. However, once this </w:t>
      </w:r>
      <w:r w:rsidR="003B1F35" w:rsidRPr="00AD3249">
        <w:rPr>
          <w:rStyle w:val="sb8d990e2"/>
        </w:rPr>
        <w:t>requirement</w:t>
      </w:r>
      <w:r w:rsidRPr="00AD3249">
        <w:rPr>
          <w:rStyle w:val="sb8d990e2"/>
        </w:rPr>
        <w:t xml:space="preserve"> has been </w:t>
      </w:r>
      <w:r w:rsidR="003B1F35" w:rsidRPr="00AD3249">
        <w:rPr>
          <w:rStyle w:val="sb8d990e2"/>
        </w:rPr>
        <w:t>met</w:t>
      </w:r>
      <w:r w:rsidRPr="00AD3249">
        <w:rPr>
          <w:rStyle w:val="sb8d990e2"/>
        </w:rPr>
        <w:t xml:space="preserve"> it falls to the applicant to establish that the remedy advanced by the Government </w:t>
      </w:r>
      <w:r w:rsidR="003B1F35" w:rsidRPr="00AD3249">
        <w:rPr>
          <w:rStyle w:val="sb8d990e2"/>
        </w:rPr>
        <w:t>ha</w:t>
      </w:r>
      <w:r w:rsidR="00F47343" w:rsidRPr="00AD3249">
        <w:rPr>
          <w:rStyle w:val="sb8d990e2"/>
        </w:rPr>
        <w:t>s</w:t>
      </w:r>
      <w:r w:rsidRPr="00AD3249">
        <w:rPr>
          <w:rStyle w:val="sb8d990e2"/>
        </w:rPr>
        <w:t xml:space="preserve"> in fact </w:t>
      </w:r>
      <w:r w:rsidR="003B1F35" w:rsidRPr="00AD3249">
        <w:rPr>
          <w:rStyle w:val="sb8d990e2"/>
        </w:rPr>
        <w:t>been used</w:t>
      </w:r>
      <w:r w:rsidR="008B3527" w:rsidRPr="00AD3249">
        <w:rPr>
          <w:rStyle w:val="sb8d990e2"/>
        </w:rPr>
        <w:t>,</w:t>
      </w:r>
      <w:r w:rsidRPr="00AD3249">
        <w:rPr>
          <w:rStyle w:val="sb8d990e2"/>
        </w:rPr>
        <w:t xml:space="preserve"> or </w:t>
      </w:r>
      <w:r w:rsidR="00F47343" w:rsidRPr="00AD3249">
        <w:rPr>
          <w:rStyle w:val="sb8d990e2"/>
        </w:rPr>
        <w:t>is</w:t>
      </w:r>
      <w:r w:rsidRPr="00AD3249">
        <w:rPr>
          <w:rStyle w:val="sb8d990e2"/>
        </w:rPr>
        <w:t xml:space="preserve"> for some reason inadequate and ineffective in the particular circumstances of the case</w:t>
      </w:r>
      <w:r w:rsidR="008B3527" w:rsidRPr="00AD3249">
        <w:rPr>
          <w:rStyle w:val="sb8d990e2"/>
        </w:rPr>
        <w:t>,</w:t>
      </w:r>
      <w:r w:rsidRPr="00AD3249">
        <w:rPr>
          <w:rStyle w:val="sb8d990e2"/>
        </w:rPr>
        <w:t xml:space="preserve"> or that there exist special circumstances absolving him or her from the requirement (see </w:t>
      </w:r>
      <w:r w:rsidRPr="00AD3249">
        <w:rPr>
          <w:rStyle w:val="sb8d990e2"/>
          <w:i/>
        </w:rPr>
        <w:t>Melnītis</w:t>
      </w:r>
      <w:r w:rsidRPr="00AD3249">
        <w:rPr>
          <w:rStyle w:val="sb8d990e2"/>
        </w:rPr>
        <w:t>, cited above, § 46, with further references).</w:t>
      </w:r>
    </w:p>
    <w:p w:rsidR="002165B7" w:rsidRPr="00AD3249" w:rsidRDefault="002165B7" w:rsidP="00B806C7">
      <w:pPr>
        <w:pStyle w:val="JuPara"/>
        <w:rPr>
          <w:rStyle w:val="sb8d990e2"/>
        </w:rPr>
      </w:pPr>
      <w:r w:rsidRPr="00AD3249">
        <w:rPr>
          <w:rStyle w:val="sb8d990e2"/>
        </w:rPr>
        <w:fldChar w:fldCharType="begin"/>
      </w:r>
      <w:r w:rsidRPr="00AD3249">
        <w:rPr>
          <w:rStyle w:val="sb8d990e2"/>
        </w:rPr>
        <w:instrText xml:space="preserve"> SEQ level0 \*arabic </w:instrText>
      </w:r>
      <w:r w:rsidRPr="00AD3249">
        <w:rPr>
          <w:rStyle w:val="sb8d990e2"/>
        </w:rPr>
        <w:fldChar w:fldCharType="separate"/>
      </w:r>
      <w:r w:rsidR="00740F03">
        <w:rPr>
          <w:rStyle w:val="sb8d990e2"/>
          <w:noProof/>
        </w:rPr>
        <w:t>72</w:t>
      </w:r>
      <w:r w:rsidRPr="00AD3249">
        <w:rPr>
          <w:rStyle w:val="sb8d990e2"/>
        </w:rPr>
        <w:fldChar w:fldCharType="end"/>
      </w:r>
      <w:r w:rsidRPr="00AD3249">
        <w:rPr>
          <w:rStyle w:val="sb8d990e2"/>
        </w:rPr>
        <w:t>.  </w:t>
      </w:r>
      <w:r w:rsidR="00397D51" w:rsidRPr="00AD3249">
        <w:rPr>
          <w:rStyle w:val="sb8d990e2"/>
        </w:rPr>
        <w:t>The Court notes the applicant</w:t>
      </w:r>
      <w:r w:rsidR="00D870DC">
        <w:rPr>
          <w:rStyle w:val="sb8d990e2"/>
        </w:rPr>
        <w:t>’</w:t>
      </w:r>
      <w:r w:rsidR="00397D51" w:rsidRPr="00AD3249">
        <w:rPr>
          <w:rStyle w:val="sb8d990e2"/>
        </w:rPr>
        <w:t xml:space="preserve">s argument that he had never been informed of the possibility </w:t>
      </w:r>
      <w:r w:rsidR="008B3527" w:rsidRPr="00AD3249">
        <w:rPr>
          <w:rStyle w:val="sb8d990e2"/>
        </w:rPr>
        <w:t xml:space="preserve">of an </w:t>
      </w:r>
      <w:r w:rsidR="00397D51" w:rsidRPr="00AD3249">
        <w:rPr>
          <w:rStyle w:val="sb8d990e2"/>
        </w:rPr>
        <w:t xml:space="preserve">appeal </w:t>
      </w:r>
      <w:r w:rsidR="00E30DA4" w:rsidRPr="00AD3249">
        <w:rPr>
          <w:rStyle w:val="sb8d990e2"/>
        </w:rPr>
        <w:t xml:space="preserve">to the administrative courts </w:t>
      </w:r>
      <w:r w:rsidR="00397D51" w:rsidRPr="00AD3249">
        <w:rPr>
          <w:rStyle w:val="sb8d990e2"/>
        </w:rPr>
        <w:t>against the Prisons Administration</w:t>
      </w:r>
      <w:r w:rsidR="00D870DC">
        <w:rPr>
          <w:rStyle w:val="sb8d990e2"/>
        </w:rPr>
        <w:t>’</w:t>
      </w:r>
      <w:r w:rsidR="003B1F35" w:rsidRPr="00AD3249">
        <w:rPr>
          <w:rStyle w:val="sb8d990e2"/>
        </w:rPr>
        <w:t>s</w:t>
      </w:r>
      <w:r w:rsidR="00397D51" w:rsidRPr="00AD3249">
        <w:rPr>
          <w:rStyle w:val="sb8d990e2"/>
        </w:rPr>
        <w:t xml:space="preserve"> refusal </w:t>
      </w:r>
      <w:r w:rsidR="00E30DA4" w:rsidRPr="00AD3249">
        <w:rPr>
          <w:rStyle w:val="sb8d990e2"/>
        </w:rPr>
        <w:t>to have him transferred</w:t>
      </w:r>
      <w:r w:rsidR="00397D51" w:rsidRPr="00AD3249">
        <w:rPr>
          <w:rStyle w:val="sb8d990e2"/>
        </w:rPr>
        <w:t xml:space="preserve">. It does indeed appear that a Supreme Court </w:t>
      </w:r>
      <w:r w:rsidR="00E30DA4" w:rsidRPr="00AD3249">
        <w:rPr>
          <w:rStyle w:val="sb8d990e2"/>
        </w:rPr>
        <w:t xml:space="preserve">judge </w:t>
      </w:r>
      <w:r w:rsidR="00F47343" w:rsidRPr="00AD3249">
        <w:rPr>
          <w:rStyle w:val="sb8d990e2"/>
        </w:rPr>
        <w:t xml:space="preserve">indicated </w:t>
      </w:r>
      <w:r w:rsidR="00397D51" w:rsidRPr="00AD3249">
        <w:rPr>
          <w:rStyle w:val="sb8d990e2"/>
        </w:rPr>
        <w:t xml:space="preserve">in a letter to the applicant that it was the Prisons Administration which retained the ultimate authority in questions of </w:t>
      </w:r>
      <w:r w:rsidR="00E30DA4" w:rsidRPr="00AD3249">
        <w:rPr>
          <w:rStyle w:val="sb8d990e2"/>
        </w:rPr>
        <w:t xml:space="preserve">transfer of </w:t>
      </w:r>
      <w:r w:rsidR="00397D51" w:rsidRPr="00AD3249">
        <w:rPr>
          <w:rStyle w:val="sb8d990e2"/>
        </w:rPr>
        <w:t>prisoners.</w:t>
      </w:r>
      <w:r w:rsidR="00D659FE" w:rsidRPr="00AD3249">
        <w:rPr>
          <w:rStyle w:val="sb8d990e2"/>
        </w:rPr>
        <w:t xml:space="preserve"> In addition, it appears that even as late as 2011 the Ministry of Justice (</w:t>
      </w:r>
      <w:r w:rsidR="003B1F35" w:rsidRPr="00AD3249">
        <w:rPr>
          <w:rStyle w:val="sb8d990e2"/>
        </w:rPr>
        <w:t>the</w:t>
      </w:r>
      <w:r w:rsidR="00D659FE" w:rsidRPr="00AD3249">
        <w:rPr>
          <w:rStyle w:val="sb8d990e2"/>
        </w:rPr>
        <w:t xml:space="preserve"> institution which in Latvia is responsible for, among other things, ensuring the functioning of the court system) was of the opinion that complaints </w:t>
      </w:r>
      <w:r w:rsidR="00E30DA4" w:rsidRPr="00AD3249">
        <w:rPr>
          <w:rStyle w:val="sb8d990e2"/>
        </w:rPr>
        <w:t>about refusal</w:t>
      </w:r>
      <w:r w:rsidR="00D659FE" w:rsidRPr="00AD3249">
        <w:rPr>
          <w:rStyle w:val="sb8d990e2"/>
        </w:rPr>
        <w:t xml:space="preserve"> of prison transfers fell outside the scope of administrative court</w:t>
      </w:r>
      <w:r w:rsidR="003B1F35" w:rsidRPr="00AD3249">
        <w:rPr>
          <w:rStyle w:val="sb8d990e2"/>
        </w:rPr>
        <w:t xml:space="preserve"> review</w:t>
      </w:r>
      <w:r w:rsidR="00D659FE" w:rsidRPr="00AD3249">
        <w:rPr>
          <w:rStyle w:val="sb8d990e2"/>
        </w:rPr>
        <w:t xml:space="preserve"> (see paragraph 6</w:t>
      </w:r>
      <w:r w:rsidR="004262E9" w:rsidRPr="00AD3249">
        <w:rPr>
          <w:rStyle w:val="sb8d990e2"/>
        </w:rPr>
        <w:t>9</w:t>
      </w:r>
      <w:r w:rsidR="00D659FE" w:rsidRPr="00AD3249">
        <w:rPr>
          <w:rStyle w:val="sb8d990e2"/>
        </w:rPr>
        <w:t xml:space="preserve"> above).</w:t>
      </w:r>
    </w:p>
    <w:p w:rsidR="00ED6239" w:rsidRPr="00AD3249" w:rsidRDefault="00397D51" w:rsidP="00B806C7">
      <w:pPr>
        <w:pStyle w:val="JuPara"/>
        <w:rPr>
          <w:rStyle w:val="sb8d990e2"/>
        </w:rPr>
      </w:pPr>
      <w:r w:rsidRPr="00AD3249">
        <w:rPr>
          <w:rStyle w:val="sb8d990e2"/>
        </w:rPr>
        <w:fldChar w:fldCharType="begin"/>
      </w:r>
      <w:r w:rsidRPr="00AD3249">
        <w:rPr>
          <w:rStyle w:val="sb8d990e2"/>
        </w:rPr>
        <w:instrText xml:space="preserve"> SEQ level0 \*arabic </w:instrText>
      </w:r>
      <w:r w:rsidRPr="00AD3249">
        <w:rPr>
          <w:rStyle w:val="sb8d990e2"/>
        </w:rPr>
        <w:fldChar w:fldCharType="separate"/>
      </w:r>
      <w:r w:rsidR="00740F03">
        <w:rPr>
          <w:rStyle w:val="sb8d990e2"/>
          <w:noProof/>
        </w:rPr>
        <w:t>73</w:t>
      </w:r>
      <w:r w:rsidRPr="00AD3249">
        <w:rPr>
          <w:rStyle w:val="sb8d990e2"/>
        </w:rPr>
        <w:fldChar w:fldCharType="end"/>
      </w:r>
      <w:r w:rsidR="00BF3A56" w:rsidRPr="00AD3249">
        <w:rPr>
          <w:rStyle w:val="sb8d990e2"/>
        </w:rPr>
        <w:t>.  However, e</w:t>
      </w:r>
      <w:r w:rsidRPr="00AD3249">
        <w:rPr>
          <w:rStyle w:val="sb8d990e2"/>
        </w:rPr>
        <w:t xml:space="preserve">ven assuming that in theory the administrative courts were accessible to the applicant, the Court notes that the case-law of those courts discloses the existence of </w:t>
      </w:r>
      <w:r w:rsidR="00AC70F6" w:rsidRPr="00AD3249">
        <w:rPr>
          <w:rStyle w:val="sb8d990e2"/>
        </w:rPr>
        <w:t>significant</w:t>
      </w:r>
      <w:r w:rsidRPr="00AD3249">
        <w:rPr>
          <w:rStyle w:val="sb8d990e2"/>
        </w:rPr>
        <w:t xml:space="preserve"> uncertainty as to the approach to be taken in examining questions of prison transfers. </w:t>
      </w:r>
      <w:r w:rsidR="00ED6239" w:rsidRPr="00AD3249">
        <w:rPr>
          <w:rStyle w:val="sb8d990e2"/>
        </w:rPr>
        <w:t xml:space="preserve">At the outset it does not appear that the Government has argued or that the domestic courts have ever held that decisions concerning prison transfers are actions of public authorities. Therefore the Senate decision in case </w:t>
      </w:r>
      <w:r w:rsidR="00ED6239" w:rsidRPr="00AD3249">
        <w:t>no.</w:t>
      </w:r>
      <w:r w:rsidR="00BF3A56" w:rsidRPr="00AD3249">
        <w:t> </w:t>
      </w:r>
      <w:r w:rsidR="00ED6239" w:rsidRPr="00AD3249">
        <w:t>SKA</w:t>
      </w:r>
      <w:r w:rsidR="00ED6239" w:rsidRPr="00AD3249">
        <w:noBreakHyphen/>
        <w:t>300/2006 is of no obvious relevance to the examination of the present case. On the other hand, i</w:t>
      </w:r>
      <w:r w:rsidRPr="00AD3249">
        <w:rPr>
          <w:rStyle w:val="sb8d990e2"/>
        </w:rPr>
        <w:t>t appears that the opinion of the administrative courts</w:t>
      </w:r>
      <w:r w:rsidR="00ED6239" w:rsidRPr="00AD3249">
        <w:rPr>
          <w:rStyle w:val="sb8d990e2"/>
        </w:rPr>
        <w:t>, at least at the relevant time,</w:t>
      </w:r>
      <w:r w:rsidRPr="00AD3249">
        <w:rPr>
          <w:rStyle w:val="sb8d990e2"/>
        </w:rPr>
        <w:t xml:space="preserve"> has been inconsistent as to whether an order to transfer a prisoner to another prison (or a refusal to order such a transfer) constitutes an administrative act, an internal decision of a public authority or</w:t>
      </w:r>
      <w:r w:rsidR="00BF3A56" w:rsidRPr="00AD3249">
        <w:rPr>
          <w:rStyle w:val="sb8d990e2"/>
        </w:rPr>
        <w:t xml:space="preserve"> even</w:t>
      </w:r>
      <w:r w:rsidRPr="00AD3249">
        <w:rPr>
          <w:rStyle w:val="sb8d990e2"/>
        </w:rPr>
        <w:t xml:space="preserve"> a criminal procedural decision. </w:t>
      </w:r>
      <w:r w:rsidR="00ED6239" w:rsidRPr="00AD3249">
        <w:rPr>
          <w:rStyle w:val="sb8d990e2"/>
        </w:rPr>
        <w:t xml:space="preserve">The second uncertainty relates to the question of whether an internal decision of a public authority or a criminal procedural decision, should they be found to </w:t>
      </w:r>
      <w:r w:rsidR="0036516D" w:rsidRPr="00AD3249">
        <w:rPr>
          <w:rStyle w:val="sb8d990e2"/>
        </w:rPr>
        <w:t xml:space="preserve">interfere </w:t>
      </w:r>
      <w:r w:rsidR="00ED6239" w:rsidRPr="00AD3249">
        <w:rPr>
          <w:rStyle w:val="sb8d990e2"/>
        </w:rPr>
        <w:t xml:space="preserve">significantly with </w:t>
      </w:r>
      <w:r w:rsidR="00863773" w:rsidRPr="00AD3249">
        <w:rPr>
          <w:rStyle w:val="sb8d990e2"/>
        </w:rPr>
        <w:t>an individual</w:t>
      </w:r>
      <w:r w:rsidR="00D870DC">
        <w:rPr>
          <w:rStyle w:val="sb8d990e2"/>
        </w:rPr>
        <w:t>’</w:t>
      </w:r>
      <w:r w:rsidR="00863773" w:rsidRPr="00AD3249">
        <w:rPr>
          <w:rStyle w:val="sb8d990e2"/>
        </w:rPr>
        <w:t>s</w:t>
      </w:r>
      <w:r w:rsidR="00ED6239" w:rsidRPr="00AD3249">
        <w:rPr>
          <w:rStyle w:val="sb8d990e2"/>
        </w:rPr>
        <w:t xml:space="preserve"> human rights, would be amenable to a review in </w:t>
      </w:r>
      <w:r w:rsidR="0036516D" w:rsidRPr="00AD3249">
        <w:rPr>
          <w:rStyle w:val="sb8d990e2"/>
        </w:rPr>
        <w:t xml:space="preserve">the </w:t>
      </w:r>
      <w:r w:rsidR="00ED6239" w:rsidRPr="00AD3249">
        <w:rPr>
          <w:rStyle w:val="sb8d990e2"/>
        </w:rPr>
        <w:t xml:space="preserve">administrative courts. Lastly, as the Court </w:t>
      </w:r>
      <w:r w:rsidR="00AC70F6" w:rsidRPr="00AD3249">
        <w:rPr>
          <w:rStyle w:val="sb8d990e2"/>
        </w:rPr>
        <w:t xml:space="preserve">has </w:t>
      </w:r>
      <w:r w:rsidR="00ED6239" w:rsidRPr="00AD3249">
        <w:rPr>
          <w:rStyle w:val="sb8d990e2"/>
        </w:rPr>
        <w:t xml:space="preserve">already held in the above-cited </w:t>
      </w:r>
      <w:r w:rsidR="00ED6239" w:rsidRPr="00AD3249">
        <w:rPr>
          <w:rStyle w:val="sb8d990e2"/>
          <w:i/>
        </w:rPr>
        <w:t>Melnītis</w:t>
      </w:r>
      <w:r w:rsidR="00ED6239" w:rsidRPr="00AD3249">
        <w:rPr>
          <w:rStyle w:val="sb8d990e2"/>
        </w:rPr>
        <w:t xml:space="preserve"> case</w:t>
      </w:r>
      <w:r w:rsidR="002C141C" w:rsidRPr="00AD3249">
        <w:rPr>
          <w:rStyle w:val="sb8d990e2"/>
        </w:rPr>
        <w:t xml:space="preserve"> (§ 51)</w:t>
      </w:r>
      <w:r w:rsidR="00ED6239" w:rsidRPr="00AD3249">
        <w:rPr>
          <w:rStyle w:val="sb8d990e2"/>
        </w:rPr>
        <w:t xml:space="preserve">, it remains uncertain which complaints would satisfy the </w:t>
      </w:r>
      <w:r w:rsidR="0036516D" w:rsidRPr="00AD3249">
        <w:rPr>
          <w:rStyle w:val="sb8d990e2"/>
        </w:rPr>
        <w:t>“</w:t>
      </w:r>
      <w:r w:rsidR="00ED6239" w:rsidRPr="00AD3249">
        <w:rPr>
          <w:rStyle w:val="sb8d990e2"/>
        </w:rPr>
        <w:t>significant interference” test as developed by the administrative courts to be accepted for review</w:t>
      </w:r>
      <w:r w:rsidR="00A26A55" w:rsidRPr="00AD3249">
        <w:rPr>
          <w:rStyle w:val="sb8d990e2"/>
        </w:rPr>
        <w:t xml:space="preserve"> (also see paragraphs 44 and 45 above)</w:t>
      </w:r>
      <w:r w:rsidR="0036516D" w:rsidRPr="00AD3249">
        <w:rPr>
          <w:rStyle w:val="sb8d990e2"/>
        </w:rPr>
        <w:t>,</w:t>
      </w:r>
      <w:r w:rsidR="00ED6239" w:rsidRPr="00AD3249">
        <w:rPr>
          <w:rStyle w:val="sb8d990e2"/>
        </w:rPr>
        <w:t xml:space="preserve"> and whether that test is similar or equal to that of the “minimum level of severity” as developed by the Court in relation to Article 3 of the Convention.</w:t>
      </w:r>
    </w:p>
    <w:p w:rsidR="002C141C" w:rsidRPr="00AD3249" w:rsidRDefault="002C141C" w:rsidP="00D66C93">
      <w:pPr>
        <w:pStyle w:val="JuPara"/>
        <w:rPr>
          <w:rStyle w:val="sb8d990e2"/>
        </w:rPr>
      </w:pPr>
      <w:r w:rsidRPr="00AD3249">
        <w:rPr>
          <w:rStyle w:val="sb8d990e2"/>
        </w:rPr>
        <w:fldChar w:fldCharType="begin"/>
      </w:r>
      <w:r w:rsidRPr="00AD3249">
        <w:rPr>
          <w:rStyle w:val="sb8d990e2"/>
        </w:rPr>
        <w:instrText xml:space="preserve"> SEQ level0 \*arabic </w:instrText>
      </w:r>
      <w:r w:rsidRPr="00AD3249">
        <w:rPr>
          <w:rStyle w:val="sb8d990e2"/>
        </w:rPr>
        <w:fldChar w:fldCharType="separate"/>
      </w:r>
      <w:r w:rsidR="00740F03">
        <w:rPr>
          <w:rStyle w:val="sb8d990e2"/>
          <w:noProof/>
        </w:rPr>
        <w:t>74</w:t>
      </w:r>
      <w:r w:rsidRPr="00AD3249">
        <w:rPr>
          <w:rStyle w:val="sb8d990e2"/>
        </w:rPr>
        <w:fldChar w:fldCharType="end"/>
      </w:r>
      <w:r w:rsidRPr="00AD3249">
        <w:rPr>
          <w:rStyle w:val="sb8d990e2"/>
        </w:rPr>
        <w:t>.  The Court is of the opinion that, at least at the material time, the case-law of the administrative court</w:t>
      </w:r>
      <w:r w:rsidR="003B1F35" w:rsidRPr="00AD3249">
        <w:rPr>
          <w:rStyle w:val="sb8d990e2"/>
        </w:rPr>
        <w:t>s</w:t>
      </w:r>
      <w:r w:rsidRPr="00AD3249">
        <w:rPr>
          <w:rStyle w:val="sb8d990e2"/>
        </w:rPr>
        <w:t xml:space="preserve"> concerning prison transfers was so unclear that the applicant, even if </w:t>
      </w:r>
      <w:r w:rsidR="00AA08E4" w:rsidRPr="00AD3249">
        <w:rPr>
          <w:rStyle w:val="sb8d990e2"/>
        </w:rPr>
        <w:t>he had been given</w:t>
      </w:r>
      <w:r w:rsidRPr="00AD3249">
        <w:rPr>
          <w:rStyle w:val="sb8d990e2"/>
        </w:rPr>
        <w:t xml:space="preserve"> full and unrestricted access to all the relevant rulings of the administrative courts, could not </w:t>
      </w:r>
      <w:r w:rsidR="003B1F35" w:rsidRPr="00AD3249">
        <w:rPr>
          <w:rStyle w:val="sb8d990e2"/>
        </w:rPr>
        <w:t xml:space="preserve">reasonably </w:t>
      </w:r>
      <w:r w:rsidRPr="00AD3249">
        <w:rPr>
          <w:rStyle w:val="sb8d990e2"/>
        </w:rPr>
        <w:t xml:space="preserve">have been expected to </w:t>
      </w:r>
      <w:r w:rsidR="00725E3D" w:rsidRPr="00AD3249">
        <w:rPr>
          <w:rStyle w:val="sb8d990e2"/>
        </w:rPr>
        <w:t>predict that a complaint against the Prisons Administration</w:t>
      </w:r>
      <w:r w:rsidR="00D870DC">
        <w:rPr>
          <w:rStyle w:val="sb8d990e2"/>
        </w:rPr>
        <w:t>’</w:t>
      </w:r>
      <w:r w:rsidR="00725E3D" w:rsidRPr="00AD3249">
        <w:rPr>
          <w:rStyle w:val="sb8d990e2"/>
        </w:rPr>
        <w:t xml:space="preserve">s refusal to order his transfer to Matīsa Prison might be accepted for </w:t>
      </w:r>
      <w:r w:rsidR="00815CD6" w:rsidRPr="00AD3249">
        <w:rPr>
          <w:rStyle w:val="sb8d990e2"/>
        </w:rPr>
        <w:t>examin</w:t>
      </w:r>
      <w:r w:rsidR="00725E3D" w:rsidRPr="00AD3249">
        <w:rPr>
          <w:rStyle w:val="sb8d990e2"/>
        </w:rPr>
        <w:t xml:space="preserve">ation and might eventually lead to an award of compensation. The Court therefore concludes that an appeal to </w:t>
      </w:r>
      <w:r w:rsidR="00A0545F" w:rsidRPr="00AD3249">
        <w:rPr>
          <w:rStyle w:val="sb8d990e2"/>
        </w:rPr>
        <w:t xml:space="preserve">the </w:t>
      </w:r>
      <w:r w:rsidR="00725E3D" w:rsidRPr="00AD3249">
        <w:rPr>
          <w:rStyle w:val="sb8d990e2"/>
        </w:rPr>
        <w:t>administrative courts at the material time and in the specific situation of the applicant was not a remedy that was accessible</w:t>
      </w:r>
      <w:r w:rsidR="00AA08E4" w:rsidRPr="00AD3249">
        <w:rPr>
          <w:rStyle w:val="sb8d990e2"/>
        </w:rPr>
        <w:t xml:space="preserve"> to him</w:t>
      </w:r>
      <w:r w:rsidR="00725E3D" w:rsidRPr="00AD3249">
        <w:rPr>
          <w:rStyle w:val="sb8d990e2"/>
        </w:rPr>
        <w:t>.</w:t>
      </w:r>
    </w:p>
    <w:p w:rsidR="002165B7" w:rsidRPr="00AD3249" w:rsidRDefault="00725E3D" w:rsidP="0030193C">
      <w:pPr>
        <w:pStyle w:val="JuPara"/>
        <w:rPr>
          <w:rStyle w:val="sb8d990e2"/>
        </w:rPr>
      </w:pPr>
      <w:r w:rsidRPr="00AD3249">
        <w:rPr>
          <w:rStyle w:val="sb8d990e2"/>
        </w:rPr>
        <w:fldChar w:fldCharType="begin"/>
      </w:r>
      <w:r w:rsidRPr="00AD3249">
        <w:rPr>
          <w:rStyle w:val="sb8d990e2"/>
        </w:rPr>
        <w:instrText xml:space="preserve"> SEQ level0 \*arabic </w:instrText>
      </w:r>
      <w:r w:rsidRPr="00AD3249">
        <w:rPr>
          <w:rStyle w:val="sb8d990e2"/>
        </w:rPr>
        <w:fldChar w:fldCharType="separate"/>
      </w:r>
      <w:r w:rsidR="00740F03">
        <w:rPr>
          <w:rStyle w:val="sb8d990e2"/>
          <w:noProof/>
        </w:rPr>
        <w:t>75</w:t>
      </w:r>
      <w:r w:rsidRPr="00AD3249">
        <w:rPr>
          <w:rStyle w:val="sb8d990e2"/>
        </w:rPr>
        <w:fldChar w:fldCharType="end"/>
      </w:r>
      <w:r w:rsidRPr="00AD3249">
        <w:rPr>
          <w:rStyle w:val="sb8d990e2"/>
        </w:rPr>
        <w:t xml:space="preserve">.  As </w:t>
      </w:r>
      <w:r w:rsidR="00A0545F" w:rsidRPr="00AD3249">
        <w:rPr>
          <w:rStyle w:val="sb8d990e2"/>
        </w:rPr>
        <w:t>regards</w:t>
      </w:r>
      <w:r w:rsidRPr="00AD3249">
        <w:rPr>
          <w:rStyle w:val="sb8d990e2"/>
        </w:rPr>
        <w:t xml:space="preserve"> the Government</w:t>
      </w:r>
      <w:r w:rsidR="00D870DC">
        <w:rPr>
          <w:rStyle w:val="sb8d990e2"/>
        </w:rPr>
        <w:t>’</w:t>
      </w:r>
      <w:r w:rsidRPr="00AD3249">
        <w:rPr>
          <w:rStyle w:val="sb8d990e2"/>
        </w:rPr>
        <w:t xml:space="preserve">s </w:t>
      </w:r>
      <w:r w:rsidR="00A0545F" w:rsidRPr="00AD3249">
        <w:rPr>
          <w:rStyle w:val="sb8d990e2"/>
        </w:rPr>
        <w:t>assertion</w:t>
      </w:r>
      <w:r w:rsidRPr="00AD3249">
        <w:rPr>
          <w:rStyle w:val="sb8d990e2"/>
        </w:rPr>
        <w:t xml:space="preserve"> that the applicant ought to have complained to the Ministry of Justice, </w:t>
      </w:r>
      <w:r w:rsidR="009F3F48" w:rsidRPr="00AD3249">
        <w:rPr>
          <w:rStyle w:val="sb8d990e2"/>
        </w:rPr>
        <w:t>the Court notes that the applicant did submit several complaints</w:t>
      </w:r>
      <w:r w:rsidR="00A0545F" w:rsidRPr="00AD3249">
        <w:rPr>
          <w:rStyle w:val="sb8d990e2"/>
        </w:rPr>
        <w:t xml:space="preserve"> to the Ministry of Justice</w:t>
      </w:r>
      <w:r w:rsidR="00AC70F6" w:rsidRPr="00AD3249">
        <w:rPr>
          <w:rStyle w:val="sb8d990e2"/>
        </w:rPr>
        <w:t>,</w:t>
      </w:r>
      <w:r w:rsidR="00A0545F" w:rsidRPr="00AD3249">
        <w:rPr>
          <w:rStyle w:val="sb8d990e2"/>
        </w:rPr>
        <w:t xml:space="preserve"> </w:t>
      </w:r>
      <w:r w:rsidR="009F3F48" w:rsidRPr="00AD3249">
        <w:rPr>
          <w:rStyle w:val="sb8d990e2"/>
        </w:rPr>
        <w:t xml:space="preserve">including one that apparently concerned his transfer between cells in an unspecified prison (see paragraph 21 above). Since the Court has not been provided with a copy of the response apparently given by that ministry, it cannot but hold that the Government have failed to shed any more light on the effectiveness </w:t>
      </w:r>
      <w:r w:rsidR="00A0545F" w:rsidRPr="00AD3249">
        <w:rPr>
          <w:rStyle w:val="sb8d990e2"/>
        </w:rPr>
        <w:t xml:space="preserve">or otherwise </w:t>
      </w:r>
      <w:r w:rsidR="009F3F48" w:rsidRPr="00AD3249">
        <w:rPr>
          <w:rStyle w:val="sb8d990e2"/>
        </w:rPr>
        <w:t>of a complaint to the Ministry of Justice.</w:t>
      </w:r>
    </w:p>
    <w:p w:rsidR="00BA6702" w:rsidRPr="00AD3249" w:rsidRDefault="00725E3D" w:rsidP="0030193C">
      <w:pPr>
        <w:pStyle w:val="JuPara"/>
      </w:pPr>
      <w:r w:rsidRPr="00AD3249">
        <w:fldChar w:fldCharType="begin"/>
      </w:r>
      <w:r w:rsidRPr="00AD3249">
        <w:instrText xml:space="preserve"> SEQ level0 \*arabic </w:instrText>
      </w:r>
      <w:r w:rsidRPr="00AD3249">
        <w:fldChar w:fldCharType="separate"/>
      </w:r>
      <w:r w:rsidR="00740F03">
        <w:rPr>
          <w:noProof/>
        </w:rPr>
        <w:t>76</w:t>
      </w:r>
      <w:r w:rsidRPr="00AD3249">
        <w:fldChar w:fldCharType="end"/>
      </w:r>
      <w:r w:rsidRPr="00AD3249">
        <w:t xml:space="preserve">.  The Court </w:t>
      </w:r>
      <w:r w:rsidR="003B1F35" w:rsidRPr="00AD3249">
        <w:t>therefore</w:t>
      </w:r>
      <w:r w:rsidRPr="00AD3249">
        <w:t xml:space="preserve"> concludes that the Government</w:t>
      </w:r>
      <w:r w:rsidR="00D870DC">
        <w:t>’</w:t>
      </w:r>
      <w:r w:rsidRPr="00AD3249">
        <w:t>s objection of non-exhaustion of domestic remedies is to be dismissed. It furthermore considers, in the light of the parties</w:t>
      </w:r>
      <w:r w:rsidR="00D870DC">
        <w:t>’</w:t>
      </w:r>
      <w:r w:rsidRPr="00AD3249">
        <w:t xml:space="preserve"> submissions, that the </w:t>
      </w:r>
      <w:r w:rsidR="00AA6087" w:rsidRPr="00AD3249">
        <w:t>applicant</w:t>
      </w:r>
      <w:r w:rsidR="00D870DC">
        <w:t>’</w:t>
      </w:r>
      <w:r w:rsidR="00AA6087" w:rsidRPr="00AD3249">
        <w:t xml:space="preserve">s </w:t>
      </w:r>
      <w:r w:rsidRPr="00AD3249">
        <w:t>complaint raises serious issues of fact and law under the Convention, the determination of which requires an examination of the merits. The Court concludes therefore that this complaint is not manifestly ill-founded within the meaning of Article 35 § 3 (a) of the Convention. No other ground for declaring it inadmissible has been established.</w:t>
      </w:r>
    </w:p>
    <w:p w:rsidR="00BA6401" w:rsidRPr="00AD3249" w:rsidRDefault="00580E6F" w:rsidP="00580E6F">
      <w:pPr>
        <w:pStyle w:val="JuH1"/>
        <w:rPr>
          <w:lang w:eastAsia="en-GB"/>
        </w:rPr>
      </w:pPr>
      <w:r>
        <w:rPr>
          <w:lang w:eastAsia="en-GB"/>
        </w:rPr>
        <w:t>3.</w:t>
      </w:r>
      <w:r w:rsidR="00D870DC">
        <w:rPr>
          <w:lang w:eastAsia="en-GB"/>
        </w:rPr>
        <w:t>  </w:t>
      </w:r>
      <w:r w:rsidR="00BA6401" w:rsidRPr="00580E6F">
        <w:t>Merits</w:t>
      </w:r>
    </w:p>
    <w:p w:rsidR="00D870DC" w:rsidRDefault="00A036A3" w:rsidP="00A036A3">
      <w:pPr>
        <w:pStyle w:val="JuHa0"/>
      </w:pPr>
      <w:r w:rsidRPr="00AD3249">
        <w:t>a.  </w:t>
      </w:r>
      <w:r w:rsidR="00A0545F" w:rsidRPr="00AD3249">
        <w:t>The parties</w:t>
      </w:r>
      <w:r w:rsidR="00D870DC">
        <w:t>’</w:t>
      </w:r>
      <w:r w:rsidR="00A0545F" w:rsidRPr="00AD3249">
        <w:t xml:space="preserve"> s</w:t>
      </w:r>
      <w:r w:rsidRPr="00AD3249">
        <w:t>ubmissions</w:t>
      </w:r>
    </w:p>
    <w:p w:rsidR="00BA6401" w:rsidRPr="00AD3249" w:rsidRDefault="00BA6401" w:rsidP="00BA6401">
      <w:pPr>
        <w:pStyle w:val="JuPara"/>
        <w:rPr>
          <w:lang w:eastAsia="en-GB"/>
        </w:rPr>
      </w:pPr>
      <w:r w:rsidRPr="00AD3249">
        <w:rPr>
          <w:lang w:eastAsia="en-GB"/>
        </w:rPr>
        <w:fldChar w:fldCharType="begin"/>
      </w:r>
      <w:r w:rsidRPr="00AD3249">
        <w:rPr>
          <w:lang w:eastAsia="en-GB"/>
        </w:rPr>
        <w:instrText xml:space="preserve"> SEQ level0 \*arabic </w:instrText>
      </w:r>
      <w:r w:rsidRPr="00AD3249">
        <w:rPr>
          <w:lang w:eastAsia="en-GB"/>
        </w:rPr>
        <w:fldChar w:fldCharType="separate"/>
      </w:r>
      <w:r w:rsidR="00740F03">
        <w:rPr>
          <w:noProof/>
          <w:lang w:eastAsia="en-GB"/>
        </w:rPr>
        <w:t>77</w:t>
      </w:r>
      <w:r w:rsidRPr="00AD3249">
        <w:rPr>
          <w:lang w:eastAsia="en-GB"/>
        </w:rPr>
        <w:fldChar w:fldCharType="end"/>
      </w:r>
      <w:r w:rsidRPr="00AD3249">
        <w:rPr>
          <w:lang w:eastAsia="en-GB"/>
        </w:rPr>
        <w:t>.  </w:t>
      </w:r>
      <w:r w:rsidR="00673FA4" w:rsidRPr="00AD3249">
        <w:rPr>
          <w:lang w:eastAsia="en-GB"/>
        </w:rPr>
        <w:t xml:space="preserve">At the outset the Government conceded that individuals suspected or convicted of sexual offences and individuals with a history of </w:t>
      </w:r>
      <w:r w:rsidR="003B1F35" w:rsidRPr="00AD3249">
        <w:rPr>
          <w:lang w:eastAsia="en-GB"/>
        </w:rPr>
        <w:t>collaboration</w:t>
      </w:r>
      <w:r w:rsidR="00673FA4" w:rsidRPr="00AD3249">
        <w:rPr>
          <w:lang w:eastAsia="en-GB"/>
        </w:rPr>
        <w:t xml:space="preserve"> with law-enforcement authorities were at </w:t>
      </w:r>
      <w:r w:rsidR="001432ED" w:rsidRPr="00AD3249">
        <w:rPr>
          <w:lang w:eastAsia="en-GB"/>
        </w:rPr>
        <w:t>a h</w:t>
      </w:r>
      <w:r w:rsidR="00AA08E4" w:rsidRPr="00AD3249">
        <w:rPr>
          <w:lang w:eastAsia="en-GB"/>
        </w:rPr>
        <w:t>eightened</w:t>
      </w:r>
      <w:r w:rsidR="001432ED" w:rsidRPr="00AD3249">
        <w:rPr>
          <w:lang w:eastAsia="en-GB"/>
        </w:rPr>
        <w:t xml:space="preserve"> </w:t>
      </w:r>
      <w:r w:rsidR="00673FA4" w:rsidRPr="00AD3249">
        <w:rPr>
          <w:lang w:eastAsia="en-GB"/>
        </w:rPr>
        <w:t>risk of inter-prisoner violence. For that reason in most cases prisoners belonging to one of those categories were detained separately from the general prison population</w:t>
      </w:r>
      <w:r w:rsidR="00723C15" w:rsidRPr="00AD3249">
        <w:rPr>
          <w:lang w:eastAsia="en-GB"/>
        </w:rPr>
        <w:t>, although on occasion efforts were made to integrate them with regular prisoners</w:t>
      </w:r>
      <w:r w:rsidR="00673FA4" w:rsidRPr="00AD3249">
        <w:rPr>
          <w:lang w:eastAsia="en-GB"/>
        </w:rPr>
        <w:t>. It was only in some cases</w:t>
      </w:r>
      <w:r w:rsidR="00A0545F" w:rsidRPr="00AD3249">
        <w:rPr>
          <w:lang w:eastAsia="en-GB"/>
        </w:rPr>
        <w:t>,</w:t>
      </w:r>
      <w:r w:rsidR="00673FA4" w:rsidRPr="00AD3249">
        <w:rPr>
          <w:lang w:eastAsia="en-GB"/>
        </w:rPr>
        <w:t xml:space="preserve"> where the circumstances of the specific case </w:t>
      </w:r>
      <w:r w:rsidR="00A0545F" w:rsidRPr="00AD3249">
        <w:rPr>
          <w:lang w:eastAsia="en-GB"/>
        </w:rPr>
        <w:t xml:space="preserve">required it, </w:t>
      </w:r>
      <w:r w:rsidR="00673FA4" w:rsidRPr="00AD3249">
        <w:rPr>
          <w:lang w:eastAsia="en-GB"/>
        </w:rPr>
        <w:t xml:space="preserve">that it was necessary to transfer such prisoners to another prison in order to conceal their </w:t>
      </w:r>
      <w:r w:rsidR="003B1F35" w:rsidRPr="00AD3249">
        <w:rPr>
          <w:lang w:eastAsia="en-GB"/>
        </w:rPr>
        <w:t>previous collaboration</w:t>
      </w:r>
      <w:r w:rsidR="00673FA4" w:rsidRPr="00AD3249">
        <w:rPr>
          <w:lang w:eastAsia="en-GB"/>
        </w:rPr>
        <w:t xml:space="preserve"> with the police or the nature of the offences they were suspected or convicted of.</w:t>
      </w:r>
    </w:p>
    <w:p w:rsidR="00673FA4" w:rsidRPr="00AD3249" w:rsidRDefault="00673FA4" w:rsidP="00BA6401">
      <w:pPr>
        <w:pStyle w:val="JuPara"/>
        <w:rPr>
          <w:lang w:eastAsia="en-GB"/>
        </w:rPr>
      </w:pPr>
      <w:r w:rsidRPr="00AD3249">
        <w:rPr>
          <w:lang w:eastAsia="en-GB"/>
        </w:rPr>
        <w:fldChar w:fldCharType="begin"/>
      </w:r>
      <w:r w:rsidRPr="00AD3249">
        <w:rPr>
          <w:lang w:eastAsia="en-GB"/>
        </w:rPr>
        <w:instrText xml:space="preserve"> SEQ level0 \*arabic </w:instrText>
      </w:r>
      <w:r w:rsidRPr="00AD3249">
        <w:rPr>
          <w:lang w:eastAsia="en-GB"/>
        </w:rPr>
        <w:fldChar w:fldCharType="separate"/>
      </w:r>
      <w:r w:rsidR="00740F03">
        <w:rPr>
          <w:noProof/>
          <w:lang w:eastAsia="en-GB"/>
        </w:rPr>
        <w:t>78</w:t>
      </w:r>
      <w:r w:rsidRPr="00AD3249">
        <w:rPr>
          <w:lang w:eastAsia="en-GB"/>
        </w:rPr>
        <w:fldChar w:fldCharType="end"/>
      </w:r>
      <w:r w:rsidRPr="00AD3249">
        <w:rPr>
          <w:lang w:eastAsia="en-GB"/>
        </w:rPr>
        <w:t>.  </w:t>
      </w:r>
      <w:r w:rsidR="00AF54CB" w:rsidRPr="00AD3249">
        <w:rPr>
          <w:lang w:eastAsia="en-GB"/>
        </w:rPr>
        <w:t>The Government considered the applicant</w:t>
      </w:r>
      <w:r w:rsidR="00D870DC">
        <w:rPr>
          <w:lang w:eastAsia="en-GB"/>
        </w:rPr>
        <w:t>’</w:t>
      </w:r>
      <w:r w:rsidR="00AF54CB" w:rsidRPr="00AD3249">
        <w:rPr>
          <w:lang w:eastAsia="en-GB"/>
        </w:rPr>
        <w:t xml:space="preserve">s “insistent request” to be transferred to Matīsa Prison unjustified. The Government argued that a transfer to Matīsa Prison was not the only means </w:t>
      </w:r>
      <w:r w:rsidR="00A0545F" w:rsidRPr="00AD3249">
        <w:rPr>
          <w:lang w:eastAsia="en-GB"/>
        </w:rPr>
        <w:t>of</w:t>
      </w:r>
      <w:r w:rsidR="00AF54CB" w:rsidRPr="00AD3249">
        <w:rPr>
          <w:lang w:eastAsia="en-GB"/>
        </w:rPr>
        <w:t xml:space="preserve"> securing a potentially vulnerable prisoner</w:t>
      </w:r>
      <w:r w:rsidR="00D870DC">
        <w:rPr>
          <w:lang w:eastAsia="en-GB"/>
        </w:rPr>
        <w:t>’</w:t>
      </w:r>
      <w:r w:rsidR="00AF54CB" w:rsidRPr="00AD3249">
        <w:rPr>
          <w:lang w:eastAsia="en-GB"/>
        </w:rPr>
        <w:t>s safety</w:t>
      </w:r>
      <w:r w:rsidR="00863773" w:rsidRPr="00AD3249">
        <w:rPr>
          <w:lang w:eastAsia="en-GB"/>
        </w:rPr>
        <w:t>,</w:t>
      </w:r>
      <w:r w:rsidR="00AF54CB" w:rsidRPr="00AD3249">
        <w:rPr>
          <w:lang w:eastAsia="en-GB"/>
        </w:rPr>
        <w:t xml:space="preserve"> and that a transfer to Matīsa Prison in any case would not be an absolute guarantee of safety. </w:t>
      </w:r>
      <w:r w:rsidR="006D1D78" w:rsidRPr="00AD3249">
        <w:rPr>
          <w:lang w:eastAsia="en-GB"/>
        </w:rPr>
        <w:t>In the specific case of the applicant the Government suggested that his isolation from the inmates of Daugavpils Prison who were aware of his former collaboration with the Balvi police could have been ensured by transferring him to any prison located “sufficiently far away” from Balvi and Daugavpils.</w:t>
      </w:r>
    </w:p>
    <w:p w:rsidR="00DB4EEA" w:rsidRPr="00AD3249" w:rsidRDefault="00DB4EEA" w:rsidP="00BA6401">
      <w:pPr>
        <w:pStyle w:val="JuPara"/>
        <w:rPr>
          <w:lang w:eastAsia="en-GB"/>
        </w:rPr>
      </w:pPr>
      <w:r w:rsidRPr="00AD3249">
        <w:rPr>
          <w:lang w:eastAsia="en-GB"/>
        </w:rPr>
        <w:fldChar w:fldCharType="begin"/>
      </w:r>
      <w:r w:rsidRPr="00AD3249">
        <w:rPr>
          <w:lang w:eastAsia="en-GB"/>
        </w:rPr>
        <w:instrText xml:space="preserve"> SEQ level0 \*arabic </w:instrText>
      </w:r>
      <w:r w:rsidRPr="00AD3249">
        <w:rPr>
          <w:lang w:eastAsia="en-GB"/>
        </w:rPr>
        <w:fldChar w:fldCharType="separate"/>
      </w:r>
      <w:r w:rsidR="00740F03">
        <w:rPr>
          <w:noProof/>
          <w:lang w:eastAsia="en-GB"/>
        </w:rPr>
        <w:t>79</w:t>
      </w:r>
      <w:r w:rsidRPr="00AD3249">
        <w:rPr>
          <w:lang w:eastAsia="en-GB"/>
        </w:rPr>
        <w:fldChar w:fldCharType="end"/>
      </w:r>
      <w:r w:rsidRPr="00AD3249">
        <w:rPr>
          <w:lang w:eastAsia="en-GB"/>
        </w:rPr>
        <w:t>.  </w:t>
      </w:r>
      <w:r w:rsidR="006B66C6" w:rsidRPr="00AD3249">
        <w:rPr>
          <w:lang w:eastAsia="en-GB"/>
        </w:rPr>
        <w:t>In any case, there had been no “objective reasons” for the applicant</w:t>
      </w:r>
      <w:r w:rsidR="00D870DC">
        <w:rPr>
          <w:lang w:eastAsia="en-GB"/>
        </w:rPr>
        <w:t>’</w:t>
      </w:r>
      <w:r w:rsidR="006B66C6" w:rsidRPr="00AD3249">
        <w:rPr>
          <w:lang w:eastAsia="en-GB"/>
        </w:rPr>
        <w:t xml:space="preserve">s transfer to Matīsa Prison, since the administration of Daugavpils Prison </w:t>
      </w:r>
      <w:r w:rsidR="00AF43BD" w:rsidRPr="00AD3249">
        <w:rPr>
          <w:lang w:eastAsia="en-GB"/>
        </w:rPr>
        <w:t>had not been informed</w:t>
      </w:r>
      <w:r w:rsidR="006B66C6" w:rsidRPr="00AD3249">
        <w:rPr>
          <w:lang w:eastAsia="en-GB"/>
        </w:rPr>
        <w:t xml:space="preserve"> either of the applicant</w:t>
      </w:r>
      <w:r w:rsidR="00D870DC">
        <w:rPr>
          <w:lang w:eastAsia="en-GB"/>
        </w:rPr>
        <w:t>’</w:t>
      </w:r>
      <w:r w:rsidR="006B66C6" w:rsidRPr="00AD3249">
        <w:rPr>
          <w:lang w:eastAsia="en-GB"/>
        </w:rPr>
        <w:t xml:space="preserve">s </w:t>
      </w:r>
      <w:r w:rsidR="003B1F35" w:rsidRPr="00AD3249">
        <w:rPr>
          <w:lang w:eastAsia="en-GB"/>
        </w:rPr>
        <w:t>previous collaboration</w:t>
      </w:r>
      <w:r w:rsidR="006B66C6" w:rsidRPr="00AD3249">
        <w:rPr>
          <w:lang w:eastAsia="en-GB"/>
        </w:rPr>
        <w:t xml:space="preserve"> with the police or of the danger of inter-prisoner violence</w:t>
      </w:r>
      <w:r w:rsidR="001432ED" w:rsidRPr="00AD3249">
        <w:rPr>
          <w:lang w:eastAsia="en-GB"/>
        </w:rPr>
        <w:t xml:space="preserve"> with respect to him</w:t>
      </w:r>
      <w:r w:rsidR="006B66C6" w:rsidRPr="00AD3249">
        <w:rPr>
          <w:lang w:eastAsia="en-GB"/>
        </w:rPr>
        <w:t>.</w:t>
      </w:r>
      <w:r w:rsidR="00F046E5" w:rsidRPr="00AD3249">
        <w:rPr>
          <w:lang w:eastAsia="en-GB"/>
        </w:rPr>
        <w:t xml:space="preserve"> The Government furthermore considered that</w:t>
      </w:r>
      <w:r w:rsidR="00CF7475" w:rsidRPr="00AD3249">
        <w:rPr>
          <w:lang w:eastAsia="en-GB"/>
        </w:rPr>
        <w:t xml:space="preserve"> the applicant</w:t>
      </w:r>
      <w:r w:rsidR="00D870DC">
        <w:rPr>
          <w:lang w:eastAsia="en-GB"/>
        </w:rPr>
        <w:t>’</w:t>
      </w:r>
      <w:r w:rsidR="00CF7475" w:rsidRPr="00AD3249">
        <w:rPr>
          <w:lang w:eastAsia="en-GB"/>
        </w:rPr>
        <w:t>s request to be transferred to a unit involved in housekeeping activities (see paragraph 9 above) attested to the fact that he did not fear being in contact with other prisoners.</w:t>
      </w:r>
    </w:p>
    <w:p w:rsidR="00CF7475" w:rsidRPr="00AD3249" w:rsidRDefault="00CF7475" w:rsidP="00BA6401">
      <w:pPr>
        <w:pStyle w:val="JuPara"/>
        <w:rPr>
          <w:lang w:eastAsia="en-GB"/>
        </w:rPr>
      </w:pPr>
      <w:r w:rsidRPr="00AD3249">
        <w:rPr>
          <w:lang w:eastAsia="en-GB"/>
        </w:rPr>
        <w:fldChar w:fldCharType="begin"/>
      </w:r>
      <w:r w:rsidRPr="00AD3249">
        <w:rPr>
          <w:lang w:eastAsia="en-GB"/>
        </w:rPr>
        <w:instrText xml:space="preserve"> SEQ level0 \*arabic </w:instrText>
      </w:r>
      <w:r w:rsidRPr="00AD3249">
        <w:rPr>
          <w:lang w:eastAsia="en-GB"/>
        </w:rPr>
        <w:fldChar w:fldCharType="separate"/>
      </w:r>
      <w:r w:rsidR="00740F03">
        <w:rPr>
          <w:noProof/>
          <w:lang w:eastAsia="en-GB"/>
        </w:rPr>
        <w:t>80</w:t>
      </w:r>
      <w:r w:rsidRPr="00AD3249">
        <w:rPr>
          <w:lang w:eastAsia="en-GB"/>
        </w:rPr>
        <w:fldChar w:fldCharType="end"/>
      </w:r>
      <w:r w:rsidRPr="00AD3249">
        <w:rPr>
          <w:lang w:eastAsia="en-GB"/>
        </w:rPr>
        <w:t xml:space="preserve">.  The applicant argued that his safety had not been guaranteed in Daugavpils Prison. He pointed out that in order to minimise the risk of being subjected to violence he </w:t>
      </w:r>
      <w:r w:rsidR="00AA6087" w:rsidRPr="00AD3249">
        <w:rPr>
          <w:lang w:eastAsia="en-GB"/>
        </w:rPr>
        <w:t xml:space="preserve">had </w:t>
      </w:r>
      <w:r w:rsidRPr="00AD3249">
        <w:rPr>
          <w:lang w:eastAsia="en-GB"/>
        </w:rPr>
        <w:t>refused to take out</w:t>
      </w:r>
      <w:r w:rsidR="00906142" w:rsidRPr="00AD3249">
        <w:rPr>
          <w:lang w:eastAsia="en-GB"/>
        </w:rPr>
        <w:t>door exercise</w:t>
      </w:r>
      <w:r w:rsidRPr="00AD3249">
        <w:rPr>
          <w:lang w:eastAsia="en-GB"/>
        </w:rPr>
        <w:t xml:space="preserve"> for more than seven months.</w:t>
      </w:r>
    </w:p>
    <w:p w:rsidR="00CF7475" w:rsidRPr="00AD3249" w:rsidRDefault="00CF7475" w:rsidP="00CF7475">
      <w:pPr>
        <w:pStyle w:val="JuHa0"/>
      </w:pPr>
      <w:r w:rsidRPr="00AD3249">
        <w:t>b.  </w:t>
      </w:r>
      <w:r w:rsidR="00906142" w:rsidRPr="00AD3249">
        <w:t>The Court</w:t>
      </w:r>
      <w:r w:rsidR="00D870DC">
        <w:t>’</w:t>
      </w:r>
      <w:r w:rsidR="00906142" w:rsidRPr="00AD3249">
        <w:t>s assessment</w:t>
      </w:r>
    </w:p>
    <w:p w:rsidR="00BA54D7" w:rsidRPr="00AD3249" w:rsidRDefault="00CF7475" w:rsidP="00715151">
      <w:pPr>
        <w:pStyle w:val="JuPara"/>
        <w:rPr>
          <w:lang w:eastAsia="en-US"/>
        </w:rPr>
      </w:pPr>
      <w:r w:rsidRPr="00AD3249">
        <w:rPr>
          <w:lang w:eastAsia="en-GB"/>
        </w:rPr>
        <w:fldChar w:fldCharType="begin"/>
      </w:r>
      <w:r w:rsidRPr="00AD3249">
        <w:rPr>
          <w:lang w:eastAsia="en-GB"/>
        </w:rPr>
        <w:instrText xml:space="preserve"> SEQ level0 \*arabic </w:instrText>
      </w:r>
      <w:r w:rsidRPr="00AD3249">
        <w:rPr>
          <w:lang w:eastAsia="en-GB"/>
        </w:rPr>
        <w:fldChar w:fldCharType="separate"/>
      </w:r>
      <w:r w:rsidR="00740F03">
        <w:rPr>
          <w:noProof/>
          <w:lang w:eastAsia="en-GB"/>
        </w:rPr>
        <w:t>81</w:t>
      </w:r>
      <w:r w:rsidRPr="00AD3249">
        <w:rPr>
          <w:lang w:eastAsia="en-GB"/>
        </w:rPr>
        <w:fldChar w:fldCharType="end"/>
      </w:r>
      <w:r w:rsidRPr="00AD3249">
        <w:rPr>
          <w:lang w:eastAsia="en-GB"/>
        </w:rPr>
        <w:t>.  </w:t>
      </w:r>
      <w:r w:rsidR="00715151" w:rsidRPr="00AD3249">
        <w:rPr>
          <w:lang w:eastAsia="en-GB"/>
        </w:rPr>
        <w:t xml:space="preserve">At the outset the Court notes that the parties are in agreement that prisoners suspected or convicted of sexual </w:t>
      </w:r>
      <w:r w:rsidR="001432ED" w:rsidRPr="00AD3249">
        <w:rPr>
          <w:lang w:eastAsia="en-GB"/>
        </w:rPr>
        <w:t>offences</w:t>
      </w:r>
      <w:r w:rsidR="00715151" w:rsidRPr="00AD3249">
        <w:rPr>
          <w:lang w:eastAsia="en-GB"/>
        </w:rPr>
        <w:t xml:space="preserve"> and prisoners who have previously collaborated with law-enforcement authorities </w:t>
      </w:r>
      <w:r w:rsidR="00715151" w:rsidRPr="00AD3249">
        <w:rPr>
          <w:lang w:eastAsia="en-US"/>
        </w:rPr>
        <w:t xml:space="preserve">are at a particular risk of inter-prisoner violence in Latvian prisons. The link between charges of sexual </w:t>
      </w:r>
      <w:r w:rsidR="00906142" w:rsidRPr="00AD3249">
        <w:rPr>
          <w:lang w:eastAsia="en-US"/>
        </w:rPr>
        <w:t>offences</w:t>
      </w:r>
      <w:r w:rsidR="00715151" w:rsidRPr="00AD3249">
        <w:rPr>
          <w:lang w:eastAsia="en-US"/>
        </w:rPr>
        <w:t xml:space="preserve"> and the risk of inter-prisoner violence has also been confirmed by the CPT (see paragraph </w:t>
      </w:r>
      <w:r w:rsidR="00AA08E4" w:rsidRPr="00AD3249">
        <w:rPr>
          <w:lang w:eastAsia="en-US"/>
        </w:rPr>
        <w:t>30</w:t>
      </w:r>
      <w:r w:rsidR="00715151" w:rsidRPr="00AD3249">
        <w:rPr>
          <w:lang w:eastAsia="en-US"/>
        </w:rPr>
        <w:t xml:space="preserve"> above). In such circumstances it is clear that every day the applicant had to spend with the general prison population </w:t>
      </w:r>
      <w:r w:rsidR="00983540" w:rsidRPr="00AD3249">
        <w:rPr>
          <w:lang w:eastAsia="en-US"/>
        </w:rPr>
        <w:t xml:space="preserve">only </w:t>
      </w:r>
      <w:r w:rsidR="00715151" w:rsidRPr="00AD3249">
        <w:rPr>
          <w:lang w:eastAsia="en-US"/>
        </w:rPr>
        <w:t xml:space="preserve">served to increase the risk of violence against him, </w:t>
      </w:r>
      <w:r w:rsidR="00906142" w:rsidRPr="00AD3249">
        <w:rPr>
          <w:lang w:eastAsia="en-US"/>
        </w:rPr>
        <w:t xml:space="preserve">as knowledge of </w:t>
      </w:r>
      <w:r w:rsidR="00715151" w:rsidRPr="00AD3249">
        <w:rPr>
          <w:lang w:eastAsia="en-US"/>
        </w:rPr>
        <w:t xml:space="preserve">the nature of the charges against him and his past ties with the police spread to more and more prisoners. The Court also cannot disregard the fact that the CPT has </w:t>
      </w:r>
      <w:r w:rsidR="001432ED" w:rsidRPr="00AD3249">
        <w:rPr>
          <w:lang w:eastAsia="en-US"/>
        </w:rPr>
        <w:t xml:space="preserve">repeatedly </w:t>
      </w:r>
      <w:r w:rsidR="00715151" w:rsidRPr="00AD3249">
        <w:rPr>
          <w:lang w:eastAsia="en-US"/>
        </w:rPr>
        <w:t>expressed particular concern about inter-prisoner violence in Daugavpils Prison (see paragraphs 3</w:t>
      </w:r>
      <w:r w:rsidR="00AA08E4" w:rsidRPr="00AD3249">
        <w:rPr>
          <w:lang w:eastAsia="en-US"/>
        </w:rPr>
        <w:t xml:space="preserve">1 and </w:t>
      </w:r>
      <w:r w:rsidR="00715151" w:rsidRPr="00AD3249">
        <w:rPr>
          <w:lang w:eastAsia="en-US"/>
        </w:rPr>
        <w:t>3</w:t>
      </w:r>
      <w:r w:rsidR="00AA08E4" w:rsidRPr="00AD3249">
        <w:rPr>
          <w:lang w:eastAsia="en-US"/>
        </w:rPr>
        <w:t>2</w:t>
      </w:r>
      <w:r w:rsidR="00DC12EF" w:rsidRPr="00AD3249">
        <w:rPr>
          <w:lang w:eastAsia="en-US"/>
        </w:rPr>
        <w:t xml:space="preserve"> above)</w:t>
      </w:r>
      <w:r w:rsidR="004262E9" w:rsidRPr="00AD3249">
        <w:rPr>
          <w:lang w:eastAsia="en-US"/>
        </w:rPr>
        <w:t xml:space="preserve"> and in Latvian prisons more generally (see paragraph 33 above)</w:t>
      </w:r>
      <w:r w:rsidR="00DC12EF" w:rsidRPr="00AD3249">
        <w:rPr>
          <w:lang w:eastAsia="en-US"/>
        </w:rPr>
        <w:t>. Therefore the Court is of the opinion that there</w:t>
      </w:r>
      <w:r w:rsidR="00715151" w:rsidRPr="00AD3249">
        <w:rPr>
          <w:lang w:eastAsia="en-US"/>
        </w:rPr>
        <w:t xml:space="preserve"> might be some merit to the Government</w:t>
      </w:r>
      <w:r w:rsidR="00D870DC">
        <w:rPr>
          <w:lang w:eastAsia="en-US"/>
        </w:rPr>
        <w:t>’</w:t>
      </w:r>
      <w:r w:rsidR="00715151" w:rsidRPr="00AD3249">
        <w:rPr>
          <w:lang w:eastAsia="en-US"/>
        </w:rPr>
        <w:t>s suggestion that transferring the applicant to Matīsa Prison was not the only possible way to deal with his situation</w:t>
      </w:r>
      <w:r w:rsidR="00BA54D7" w:rsidRPr="00AD3249">
        <w:rPr>
          <w:lang w:eastAsia="en-US"/>
        </w:rPr>
        <w:t xml:space="preserve"> in so far as the threat of violence caused by the nature of the criminal charges against him </w:t>
      </w:r>
      <w:r w:rsidR="00AC70F6" w:rsidRPr="00AD3249">
        <w:rPr>
          <w:lang w:eastAsia="en-US"/>
        </w:rPr>
        <w:t>is</w:t>
      </w:r>
      <w:r w:rsidR="00BA54D7" w:rsidRPr="00AD3249">
        <w:rPr>
          <w:lang w:eastAsia="en-US"/>
        </w:rPr>
        <w:t xml:space="preserve"> concerned</w:t>
      </w:r>
      <w:r w:rsidR="00715151" w:rsidRPr="00AD3249">
        <w:rPr>
          <w:lang w:eastAsia="en-US"/>
        </w:rPr>
        <w:t>.</w:t>
      </w:r>
      <w:r w:rsidR="00BA54D7" w:rsidRPr="00AD3249">
        <w:rPr>
          <w:lang w:eastAsia="en-US"/>
        </w:rPr>
        <w:t xml:space="preserve"> The Court has more difficulty in accepting the Government</w:t>
      </w:r>
      <w:r w:rsidR="00D870DC">
        <w:rPr>
          <w:lang w:eastAsia="en-US"/>
        </w:rPr>
        <w:t>’</w:t>
      </w:r>
      <w:r w:rsidR="00BA54D7" w:rsidRPr="00AD3249">
        <w:rPr>
          <w:lang w:eastAsia="en-US"/>
        </w:rPr>
        <w:t xml:space="preserve">s </w:t>
      </w:r>
      <w:r w:rsidR="00906142" w:rsidRPr="00AD3249">
        <w:rPr>
          <w:lang w:eastAsia="en-US"/>
        </w:rPr>
        <w:t>assertion</w:t>
      </w:r>
      <w:r w:rsidR="00BA54D7" w:rsidRPr="00AD3249">
        <w:rPr>
          <w:lang w:eastAsia="en-US"/>
        </w:rPr>
        <w:t xml:space="preserve"> that transferring the applicant to any other prison </w:t>
      </w:r>
      <w:r w:rsidR="00906142" w:rsidRPr="00AD3249">
        <w:rPr>
          <w:lang w:eastAsia="en-US"/>
        </w:rPr>
        <w:t xml:space="preserve">than </w:t>
      </w:r>
      <w:r w:rsidR="00BA54D7" w:rsidRPr="00AD3249">
        <w:rPr>
          <w:lang w:eastAsia="en-US"/>
        </w:rPr>
        <w:t xml:space="preserve">Matīsa would have been an effective way to eliminate threats arising from his </w:t>
      </w:r>
      <w:r w:rsidR="003B1F35" w:rsidRPr="00AD3249">
        <w:rPr>
          <w:lang w:eastAsia="en-US"/>
        </w:rPr>
        <w:t>previous</w:t>
      </w:r>
      <w:r w:rsidR="00BA54D7" w:rsidRPr="00AD3249">
        <w:rPr>
          <w:lang w:eastAsia="en-US"/>
        </w:rPr>
        <w:t xml:space="preserve"> collaboration with the police. The Latvian Government is clearly aware of problems faced by detainees who have worked for law-enforcement authorities</w:t>
      </w:r>
      <w:r w:rsidR="00906142" w:rsidRPr="00AD3249">
        <w:rPr>
          <w:lang w:eastAsia="en-US"/>
        </w:rPr>
        <w:t xml:space="preserve">, and by </w:t>
      </w:r>
      <w:r w:rsidR="00BA54D7" w:rsidRPr="00AD3249">
        <w:rPr>
          <w:lang w:eastAsia="en-US"/>
        </w:rPr>
        <w:t>their relatives. The solution chosen by the Government has been to place such prisoners in a special wing of Matīsa Prison (see paragraphs 3</w:t>
      </w:r>
      <w:r w:rsidR="004262E9" w:rsidRPr="00AD3249">
        <w:rPr>
          <w:lang w:eastAsia="en-US"/>
        </w:rPr>
        <w:t>7</w:t>
      </w:r>
      <w:r w:rsidR="00BA54D7" w:rsidRPr="00AD3249">
        <w:rPr>
          <w:lang w:eastAsia="en-US"/>
        </w:rPr>
        <w:t xml:space="preserve"> and 3</w:t>
      </w:r>
      <w:r w:rsidR="004262E9" w:rsidRPr="00AD3249">
        <w:rPr>
          <w:lang w:eastAsia="en-US"/>
        </w:rPr>
        <w:t>9</w:t>
      </w:r>
      <w:r w:rsidR="00BA54D7" w:rsidRPr="00AD3249">
        <w:rPr>
          <w:lang w:eastAsia="en-US"/>
        </w:rPr>
        <w:t xml:space="preserve"> above).</w:t>
      </w:r>
    </w:p>
    <w:p w:rsidR="00715151" w:rsidRPr="00AD3249" w:rsidRDefault="00BA54D7" w:rsidP="00715151">
      <w:pPr>
        <w:pStyle w:val="JuPara"/>
        <w:rPr>
          <w:lang w:eastAsia="en-US"/>
        </w:rPr>
      </w:pPr>
      <w:r w:rsidRPr="00AD3249">
        <w:rPr>
          <w:lang w:eastAsia="en-US"/>
        </w:rPr>
        <w:fldChar w:fldCharType="begin"/>
      </w:r>
      <w:r w:rsidRPr="00AD3249">
        <w:rPr>
          <w:lang w:eastAsia="en-US"/>
        </w:rPr>
        <w:instrText xml:space="preserve"> SEQ level0 \*arabic </w:instrText>
      </w:r>
      <w:r w:rsidRPr="00AD3249">
        <w:rPr>
          <w:lang w:eastAsia="en-US"/>
        </w:rPr>
        <w:fldChar w:fldCharType="separate"/>
      </w:r>
      <w:r w:rsidR="00740F03">
        <w:rPr>
          <w:noProof/>
          <w:lang w:eastAsia="en-US"/>
        </w:rPr>
        <w:t>82</w:t>
      </w:r>
      <w:r w:rsidRPr="00AD3249">
        <w:rPr>
          <w:lang w:eastAsia="en-US"/>
        </w:rPr>
        <w:fldChar w:fldCharType="end"/>
      </w:r>
      <w:r w:rsidRPr="00AD3249">
        <w:rPr>
          <w:lang w:eastAsia="en-US"/>
        </w:rPr>
        <w:t>.  </w:t>
      </w:r>
      <w:r w:rsidR="00DF5AFE" w:rsidRPr="00AD3249">
        <w:rPr>
          <w:lang w:eastAsia="en-US"/>
        </w:rPr>
        <w:t xml:space="preserve">However, the Court cannot but observe that the domestic authorities </w:t>
      </w:r>
      <w:r w:rsidR="0061251A" w:rsidRPr="00AD3249">
        <w:rPr>
          <w:lang w:eastAsia="en-US"/>
        </w:rPr>
        <w:t>not only</w:t>
      </w:r>
      <w:r w:rsidR="00DC12EF" w:rsidRPr="00AD3249">
        <w:rPr>
          <w:lang w:eastAsia="en-US"/>
        </w:rPr>
        <w:t xml:space="preserve"> refused what the Government have</w:t>
      </w:r>
      <w:r w:rsidR="0061251A" w:rsidRPr="00AD3249">
        <w:rPr>
          <w:lang w:eastAsia="en-US"/>
        </w:rPr>
        <w:t xml:space="preserve"> characterised as the applicant</w:t>
      </w:r>
      <w:r w:rsidR="00D870DC">
        <w:rPr>
          <w:lang w:eastAsia="en-US"/>
        </w:rPr>
        <w:t>’</w:t>
      </w:r>
      <w:r w:rsidR="0061251A" w:rsidRPr="00AD3249">
        <w:rPr>
          <w:lang w:eastAsia="en-US"/>
        </w:rPr>
        <w:t>s “insistent request</w:t>
      </w:r>
      <w:r w:rsidR="00DC12EF" w:rsidRPr="00AD3249">
        <w:rPr>
          <w:lang w:eastAsia="en-US"/>
        </w:rPr>
        <w:t>[s]</w:t>
      </w:r>
      <w:r w:rsidR="0061251A" w:rsidRPr="00AD3249">
        <w:rPr>
          <w:lang w:eastAsia="en-US"/>
        </w:rPr>
        <w:t xml:space="preserve">” to be transferred to Matīsa Prison, </w:t>
      </w:r>
      <w:r w:rsidR="00906142" w:rsidRPr="00AD3249">
        <w:rPr>
          <w:lang w:eastAsia="en-US"/>
        </w:rPr>
        <w:t xml:space="preserve">but </w:t>
      </w:r>
      <w:r w:rsidR="0061251A" w:rsidRPr="00AD3249">
        <w:rPr>
          <w:lang w:eastAsia="en-US"/>
        </w:rPr>
        <w:t>they appear to have considered that the applicant</w:t>
      </w:r>
      <w:r w:rsidR="00D870DC">
        <w:rPr>
          <w:lang w:eastAsia="en-US"/>
        </w:rPr>
        <w:t>’</w:t>
      </w:r>
      <w:r w:rsidR="0061251A" w:rsidRPr="00AD3249">
        <w:rPr>
          <w:lang w:eastAsia="en-US"/>
        </w:rPr>
        <w:t>s grievances did not require any kind of re</w:t>
      </w:r>
      <w:r w:rsidR="00906142" w:rsidRPr="00AD3249">
        <w:rPr>
          <w:lang w:eastAsia="en-US"/>
        </w:rPr>
        <w:t>sponse</w:t>
      </w:r>
      <w:r w:rsidR="001432ED" w:rsidRPr="00AD3249">
        <w:rPr>
          <w:lang w:eastAsia="en-US"/>
        </w:rPr>
        <w:t>, including, as has been suggested by the Government, transferring him to another prison</w:t>
      </w:r>
      <w:r w:rsidR="0061251A" w:rsidRPr="00AD3249">
        <w:rPr>
          <w:lang w:eastAsia="en-US"/>
        </w:rPr>
        <w:t>.</w:t>
      </w:r>
      <w:r w:rsidR="00DF5AFE" w:rsidRPr="00AD3249">
        <w:rPr>
          <w:lang w:eastAsia="en-US"/>
        </w:rPr>
        <w:t xml:space="preserve"> </w:t>
      </w:r>
      <w:r w:rsidR="0061251A" w:rsidRPr="00AD3249">
        <w:rPr>
          <w:lang w:eastAsia="en-US"/>
        </w:rPr>
        <w:t xml:space="preserve">The Court will now examine whether the authorities were </w:t>
      </w:r>
      <w:r w:rsidR="00983540" w:rsidRPr="00AD3249">
        <w:rPr>
          <w:lang w:eastAsia="en-US"/>
        </w:rPr>
        <w:t>right</w:t>
      </w:r>
      <w:r w:rsidR="0061251A" w:rsidRPr="00AD3249">
        <w:rPr>
          <w:lang w:eastAsia="en-US"/>
        </w:rPr>
        <w:t xml:space="preserve"> to come to </w:t>
      </w:r>
      <w:r w:rsidR="00906142" w:rsidRPr="00AD3249">
        <w:rPr>
          <w:lang w:eastAsia="en-US"/>
        </w:rPr>
        <w:t>that</w:t>
      </w:r>
      <w:r w:rsidR="0061251A" w:rsidRPr="00AD3249">
        <w:rPr>
          <w:lang w:eastAsia="en-US"/>
        </w:rPr>
        <w:t xml:space="preserve"> conclusion.</w:t>
      </w:r>
    </w:p>
    <w:p w:rsidR="0061251A" w:rsidRPr="00AD3249" w:rsidRDefault="0061251A" w:rsidP="0061251A">
      <w:pPr>
        <w:pStyle w:val="JuPara"/>
      </w:pPr>
      <w:r w:rsidRPr="00AD3249">
        <w:rPr>
          <w:lang w:eastAsia="en-GB"/>
        </w:rPr>
        <w:fldChar w:fldCharType="begin"/>
      </w:r>
      <w:r w:rsidRPr="00AD3249">
        <w:rPr>
          <w:lang w:eastAsia="en-GB"/>
        </w:rPr>
        <w:instrText xml:space="preserve"> SEQ level0 \*arabic </w:instrText>
      </w:r>
      <w:r w:rsidRPr="00AD3249">
        <w:rPr>
          <w:lang w:eastAsia="en-GB"/>
        </w:rPr>
        <w:fldChar w:fldCharType="separate"/>
      </w:r>
      <w:r w:rsidR="00740F03">
        <w:rPr>
          <w:noProof/>
          <w:lang w:eastAsia="en-GB"/>
        </w:rPr>
        <w:t>83</w:t>
      </w:r>
      <w:r w:rsidRPr="00AD3249">
        <w:rPr>
          <w:lang w:eastAsia="en-GB"/>
        </w:rPr>
        <w:fldChar w:fldCharType="end"/>
      </w:r>
      <w:r w:rsidRPr="00AD3249">
        <w:rPr>
          <w:lang w:eastAsia="en-GB"/>
        </w:rPr>
        <w:t>.  </w:t>
      </w:r>
      <w:r w:rsidRPr="00AD3249">
        <w:t xml:space="preserve">In its case-law the Court has consistently held that the obligation on the High Contracting Parties under Article 1 of the Convention to secure to everyone within their jurisdiction the rights and freedoms defined in the Convention, taken together with Article 3, requires States to take measures designed to ensure that individuals within their jurisdiction are not subjected to torture or </w:t>
      </w:r>
      <w:r w:rsidR="00AC70F6" w:rsidRPr="00AD3249">
        <w:t xml:space="preserve">to </w:t>
      </w:r>
      <w:r w:rsidRPr="00AD3249">
        <w:t xml:space="preserve">inhuman or degrading treatment or punishment, including such ill-treatment administered by private individuals (see </w:t>
      </w:r>
      <w:r w:rsidR="00580E6F">
        <w:rPr>
          <w:i/>
          <w:snapToGrid w:val="0"/>
          <w:szCs w:val="24"/>
          <w:lang w:val="pt-BR" w:eastAsia="en-US"/>
        </w:rPr>
        <w:t>Kovaļkovs v. </w:t>
      </w:r>
      <w:r w:rsidRPr="00AD3249">
        <w:rPr>
          <w:i/>
          <w:snapToGrid w:val="0"/>
          <w:szCs w:val="24"/>
          <w:lang w:val="pt-BR" w:eastAsia="en-US"/>
        </w:rPr>
        <w:t>Latvia</w:t>
      </w:r>
      <w:r w:rsidRPr="00AD3249">
        <w:rPr>
          <w:snapToGrid w:val="0"/>
          <w:szCs w:val="24"/>
          <w:lang w:val="pt-BR" w:eastAsia="en-US"/>
        </w:rPr>
        <w:t xml:space="preserve"> (dec.), no. 35021/05, § 47, </w:t>
      </w:r>
      <w:r w:rsidRPr="00AD3249">
        <w:rPr>
          <w:snapToGrid w:val="0"/>
          <w:szCs w:val="24"/>
          <w:lang w:eastAsia="en-US"/>
        </w:rPr>
        <w:t>31 January 2012</w:t>
      </w:r>
      <w:r w:rsidR="00B64EDE" w:rsidRPr="00AD3249">
        <w:rPr>
          <w:snapToGrid w:val="0"/>
          <w:szCs w:val="24"/>
          <w:lang w:eastAsia="en-US"/>
        </w:rPr>
        <w:t>, with further references</w:t>
      </w:r>
      <w:r w:rsidRPr="00AD3249">
        <w:t>). These measures should provide effective protection, in particular, of vulnerable persons</w:t>
      </w:r>
      <w:r w:rsidR="00510AEA" w:rsidRPr="00AD3249">
        <w:t xml:space="preserve"> in custody under </w:t>
      </w:r>
      <w:r w:rsidR="004C693A" w:rsidRPr="00AD3249">
        <w:t xml:space="preserve">the </w:t>
      </w:r>
      <w:r w:rsidR="00510AEA" w:rsidRPr="00AD3249">
        <w:t>exclusive control of the authorities</w:t>
      </w:r>
      <w:r w:rsidRPr="00AD3249">
        <w:t xml:space="preserve">, and </w:t>
      </w:r>
      <w:r w:rsidR="003B1F35" w:rsidRPr="00AD3249">
        <w:t xml:space="preserve">should also </w:t>
      </w:r>
      <w:r w:rsidRPr="00AD3249">
        <w:t>include reasonable steps to prevent ill-treatment of which the authorities had or ought to have had knowledge (</w:t>
      </w:r>
      <w:r w:rsidRPr="00AD3249">
        <w:rPr>
          <w:rStyle w:val="ju-005fpara--char"/>
          <w:iCs/>
        </w:rPr>
        <w:t xml:space="preserve">see </w:t>
      </w:r>
      <w:r w:rsidRPr="00AD3249">
        <w:rPr>
          <w:i/>
          <w:szCs w:val="22"/>
          <w:lang w:eastAsia="en-US"/>
        </w:rPr>
        <w:t xml:space="preserve">Đurđević </w:t>
      </w:r>
      <w:r w:rsidRPr="00AD3249">
        <w:rPr>
          <w:i/>
          <w:lang w:eastAsia="en-US"/>
        </w:rPr>
        <w:t>v. Croatia</w:t>
      </w:r>
      <w:r w:rsidRPr="00AD3249">
        <w:rPr>
          <w:lang w:eastAsia="en-US"/>
        </w:rPr>
        <w:t>, no. 52442/09</w:t>
      </w:r>
      <w:r w:rsidRPr="00AD3249">
        <w:rPr>
          <w:snapToGrid w:val="0"/>
          <w:szCs w:val="24"/>
          <w:lang w:val="pt-BR" w:eastAsia="en-US"/>
        </w:rPr>
        <w:t>, § 102, 19 July 2011, with further references</w:t>
      </w:r>
      <w:r w:rsidRPr="00AD3249">
        <w:t>).</w:t>
      </w:r>
    </w:p>
    <w:p w:rsidR="0061251A" w:rsidRPr="00AD3249" w:rsidRDefault="0061251A" w:rsidP="0061251A">
      <w:pPr>
        <w:pStyle w:val="JuPara"/>
      </w:pPr>
      <w:r w:rsidRPr="00AD3249">
        <w:fldChar w:fldCharType="begin"/>
      </w:r>
      <w:r w:rsidRPr="00AD3249">
        <w:instrText xml:space="preserve"> SEQ level0 \*arabic </w:instrText>
      </w:r>
      <w:r w:rsidRPr="00AD3249">
        <w:fldChar w:fldCharType="separate"/>
      </w:r>
      <w:r w:rsidR="00740F03">
        <w:rPr>
          <w:noProof/>
        </w:rPr>
        <w:t>84</w:t>
      </w:r>
      <w:r w:rsidRPr="00AD3249">
        <w:fldChar w:fldCharType="end"/>
      </w:r>
      <w:r w:rsidRPr="00AD3249">
        <w:t>.  The extent of this obligation of protection depends on the particular circumstances of each case (</w:t>
      </w:r>
      <w:r w:rsidR="00906142" w:rsidRPr="00AD3249">
        <w:t xml:space="preserve">see </w:t>
      </w:r>
      <w:r w:rsidR="00906142" w:rsidRPr="00AD3249">
        <w:rPr>
          <w:i/>
          <w:lang w:eastAsia="en-US"/>
        </w:rPr>
        <w:t>S</w:t>
      </w:r>
      <w:r w:rsidRPr="00AD3249">
        <w:rPr>
          <w:i/>
          <w:lang w:eastAsia="en-US"/>
        </w:rPr>
        <w:t>tasi v. France</w:t>
      </w:r>
      <w:r w:rsidRPr="00AD3249">
        <w:rPr>
          <w:lang w:eastAsia="en-US"/>
        </w:rPr>
        <w:t>, no. 25001/07</w:t>
      </w:r>
      <w:r w:rsidRPr="00AD3249">
        <w:rPr>
          <w:snapToGrid w:val="0"/>
          <w:szCs w:val="24"/>
          <w:lang w:val="pt-BR" w:eastAsia="en-US"/>
        </w:rPr>
        <w:t>, § 79, 20 October 2011</w:t>
      </w:r>
      <w:r w:rsidRPr="00AD3249">
        <w:t>). The Court</w:t>
      </w:r>
      <w:r w:rsidR="00113C21" w:rsidRPr="00AD3249">
        <w:t>,</w:t>
      </w:r>
      <w:r w:rsidRPr="00AD3249">
        <w:t xml:space="preserve"> in its case-law with regard to the protection of vulnerable prisoners</w:t>
      </w:r>
      <w:r w:rsidR="003B1F35" w:rsidRPr="00AD3249">
        <w:t>,</w:t>
      </w:r>
      <w:r w:rsidRPr="00AD3249">
        <w:t xml:space="preserve"> has clarified that the national authorities have an obligation to take all steps reasonably expected to prevent real and immediate risks to prisoners</w:t>
      </w:r>
      <w:r w:rsidR="00D870DC">
        <w:t>’</w:t>
      </w:r>
      <w:r w:rsidRPr="00AD3249">
        <w:t xml:space="preserve"> physical integrity, of which the authorities had or ought to have had knowledge (see, among many other examples, </w:t>
      </w:r>
      <w:r w:rsidRPr="00AD3249">
        <w:rPr>
          <w:i/>
          <w:lang w:eastAsia="en-US"/>
        </w:rPr>
        <w:t>Pantea v. Romania</w:t>
      </w:r>
      <w:r w:rsidRPr="00AD3249">
        <w:rPr>
          <w:lang w:eastAsia="en-US"/>
        </w:rPr>
        <w:t>,</w:t>
      </w:r>
      <w:r w:rsidRPr="00AD3249">
        <w:rPr>
          <w:i/>
          <w:lang w:eastAsia="en-US"/>
        </w:rPr>
        <w:t xml:space="preserve"> </w:t>
      </w:r>
      <w:r w:rsidRPr="00AD3249">
        <w:rPr>
          <w:lang w:eastAsia="en-US"/>
        </w:rPr>
        <w:t>no. 33343/96, § 190, ECHR 2003</w:t>
      </w:r>
      <w:r w:rsidRPr="00AD3249">
        <w:rPr>
          <w:lang w:eastAsia="en-US"/>
        </w:rPr>
        <w:noBreakHyphen/>
        <w:t xml:space="preserve">VI (extracts), and </w:t>
      </w:r>
      <w:r w:rsidRPr="00AD3249">
        <w:rPr>
          <w:i/>
          <w:lang w:eastAsia="en-US"/>
        </w:rPr>
        <w:t>Premininy v. Russia</w:t>
      </w:r>
      <w:r w:rsidRPr="00AD3249">
        <w:rPr>
          <w:lang w:eastAsia="en-US"/>
        </w:rPr>
        <w:t>, no. 44973/04</w:t>
      </w:r>
      <w:r w:rsidRPr="00AD3249">
        <w:rPr>
          <w:snapToGrid w:val="0"/>
          <w:lang w:val="pt-BR" w:eastAsia="en-US"/>
        </w:rPr>
        <w:t>, § 84, 10 February 2011</w:t>
      </w:r>
      <w:r w:rsidRPr="00AD3249">
        <w:t>).</w:t>
      </w:r>
      <w:r w:rsidR="004C1E06" w:rsidRPr="00AD3249">
        <w:t xml:space="preserve"> The CPT has already indicated (see paragraph 30 above) that prison authorities ought to take specific security measures to deal with the phenomenon of inter-prisoner violence. This obligation is all the more true in cases when prisoners run a particularly heightened risk of ill-treatment by their fellow inmates, such as is the case with sexual offenders and police collaborators.</w:t>
      </w:r>
    </w:p>
    <w:p w:rsidR="0061251A" w:rsidRPr="00AD3249" w:rsidRDefault="0061251A" w:rsidP="0061251A">
      <w:pPr>
        <w:pStyle w:val="JuPara"/>
        <w:rPr>
          <w:rStyle w:val="JuParaChar"/>
        </w:rPr>
      </w:pPr>
      <w:r w:rsidRPr="00AD3249">
        <w:fldChar w:fldCharType="begin"/>
      </w:r>
      <w:r w:rsidRPr="00AD3249">
        <w:instrText xml:space="preserve"> SEQ level0 \*arabic </w:instrText>
      </w:r>
      <w:r w:rsidRPr="00AD3249">
        <w:fldChar w:fldCharType="separate"/>
      </w:r>
      <w:r w:rsidR="00740F03">
        <w:rPr>
          <w:noProof/>
        </w:rPr>
        <w:t>85</w:t>
      </w:r>
      <w:r w:rsidRPr="00AD3249">
        <w:fldChar w:fldCharType="end"/>
      </w:r>
      <w:r w:rsidRPr="00AD3249">
        <w:t>.  With regard to the minimum severity of treatment required to trigger the authorities</w:t>
      </w:r>
      <w:r w:rsidR="00D870DC">
        <w:t>’</w:t>
      </w:r>
      <w:r w:rsidRPr="00AD3249">
        <w:t xml:space="preserve"> responsibility to protect an individual, the Court</w:t>
      </w:r>
      <w:r w:rsidR="00D870DC">
        <w:t>’</w:t>
      </w:r>
      <w:r w:rsidRPr="00AD3249">
        <w:t>s approach has evolved. Initially, the Court held that “the mere feeling of stress of a detained person” (</w:t>
      </w:r>
      <w:r w:rsidR="00906142" w:rsidRPr="00AD3249">
        <w:t xml:space="preserve">see </w:t>
      </w:r>
      <w:r w:rsidRPr="00AD3249">
        <w:rPr>
          <w:i/>
        </w:rPr>
        <w:t>I</w:t>
      </w:r>
      <w:r w:rsidRPr="00AD3249">
        <w:rPr>
          <w:i/>
          <w:iCs/>
        </w:rPr>
        <w:t xml:space="preserve">.T. v. Romania </w:t>
      </w:r>
      <w:r w:rsidRPr="00AD3249">
        <w:t>(dec.), no. 40155/02, 24 November 2005) and “the mere fear of reprisals from the [applicant</w:t>
      </w:r>
      <w:r w:rsidR="00D870DC">
        <w:t>’</w:t>
      </w:r>
      <w:r w:rsidRPr="00AD3249">
        <w:t>s] cellmates” (</w:t>
      </w:r>
      <w:r w:rsidR="00906142" w:rsidRPr="00AD3249">
        <w:t xml:space="preserve">see </w:t>
      </w:r>
      <w:r w:rsidRPr="00AD3249">
        <w:rPr>
          <w:i/>
        </w:rPr>
        <w:t>Golubev v. Russia</w:t>
      </w:r>
      <w:r w:rsidRPr="00AD3249">
        <w:t xml:space="preserve"> (dec.), no. 26260/02, 9 November 2006) were not</w:t>
      </w:r>
      <w:r w:rsidR="00CE6841" w:rsidRPr="00AD3249">
        <w:t xml:space="preserve"> of </w:t>
      </w:r>
      <w:r w:rsidRPr="00AD3249">
        <w:t xml:space="preserve">themselves sufficient to bring the situation within the scope of Article 3. </w:t>
      </w:r>
      <w:r w:rsidR="002C09AF" w:rsidRPr="00AD3249">
        <w:t>When the fear of reprisals was combined with additional elements,</w:t>
      </w:r>
      <w:r w:rsidRPr="00AD3249">
        <w:t xml:space="preserve"> the Court </w:t>
      </w:r>
      <w:r w:rsidR="003B1F35" w:rsidRPr="00AD3249">
        <w:t xml:space="preserve">has </w:t>
      </w:r>
      <w:r w:rsidRPr="00AD3249">
        <w:t>found</w:t>
      </w:r>
      <w:r w:rsidR="00B64EDE" w:rsidRPr="00AD3249">
        <w:t>, for example,</w:t>
      </w:r>
      <w:r w:rsidRPr="00AD3249">
        <w:t xml:space="preserve"> that </w:t>
      </w:r>
      <w:r w:rsidRPr="00AD3249">
        <w:rPr>
          <w:lang w:eastAsia="en-US"/>
        </w:rPr>
        <w:t>“</w:t>
      </w:r>
      <w:r w:rsidRPr="00AD3249">
        <w:t>the cumulative effect of overcrowding and the intentional placement of a person in a cell with persons who may present a danger to him may in principle raise an issue under Article 3 of the Convention” (</w:t>
      </w:r>
      <w:r w:rsidR="00CE6841" w:rsidRPr="00AD3249">
        <w:t xml:space="preserve">see </w:t>
      </w:r>
      <w:r w:rsidRPr="00AD3249">
        <w:rPr>
          <w:i/>
          <w:lang w:eastAsia="en-US"/>
        </w:rPr>
        <w:t>Gorea v. Moldova</w:t>
      </w:r>
      <w:r w:rsidRPr="00AD3249">
        <w:rPr>
          <w:lang w:eastAsia="en-US"/>
        </w:rPr>
        <w:t xml:space="preserve"> no. 21984/05, § 47, 17 July 2007</w:t>
      </w:r>
      <w:r w:rsidRPr="00AD3249">
        <w:t>). In two more recent cases (</w:t>
      </w:r>
      <w:r w:rsidRPr="00AD3249">
        <w:rPr>
          <w:rStyle w:val="JuParaChar"/>
          <w:i/>
        </w:rPr>
        <w:t>Rodić and Others v. Bosnia and Herzegovina</w:t>
      </w:r>
      <w:r w:rsidRPr="00AD3249">
        <w:rPr>
          <w:rStyle w:val="JuParaChar"/>
        </w:rPr>
        <w:t>, no. 22893/05, 27 May 2008</w:t>
      </w:r>
      <w:r w:rsidRPr="00AD3249">
        <w:t xml:space="preserve">, and </w:t>
      </w:r>
      <w:r w:rsidRPr="00AD3249">
        <w:rPr>
          <w:i/>
          <w:lang w:eastAsia="en-US"/>
        </w:rPr>
        <w:t>Alexandru Marius Radu v. Romania</w:t>
      </w:r>
      <w:r w:rsidR="00664EA3">
        <w:rPr>
          <w:lang w:eastAsia="en-US"/>
        </w:rPr>
        <w:t>, no. </w:t>
      </w:r>
      <w:r w:rsidRPr="00AD3249">
        <w:rPr>
          <w:lang w:eastAsia="en-US"/>
        </w:rPr>
        <w:t>34022/05</w:t>
      </w:r>
      <w:r w:rsidRPr="00AD3249">
        <w:rPr>
          <w:snapToGrid w:val="0"/>
          <w:lang w:eastAsia="en-US"/>
        </w:rPr>
        <w:t>, 21 July 2009</w:t>
      </w:r>
      <w:r w:rsidRPr="00AD3249">
        <w:t>) the Court has held that</w:t>
      </w:r>
      <w:r w:rsidRPr="00AD3249">
        <w:rPr>
          <w:rStyle w:val="JuParaChar"/>
        </w:rPr>
        <w:t xml:space="preserve"> “the hardship the applicants endured, in particular the constant mental anxiety caused by the threat of physical violence and the anticipation of such ... must have exceeded the unavoidable level inherent in detention”. Therefore, a breach of Article 3 of the Convention was found.</w:t>
      </w:r>
    </w:p>
    <w:p w:rsidR="0061251A" w:rsidRPr="00AD3249" w:rsidRDefault="008670BB" w:rsidP="0072564E">
      <w:pPr>
        <w:pStyle w:val="JuPara"/>
        <w:rPr>
          <w:rStyle w:val="JuParaChar"/>
          <w:lang w:eastAsia="en-US"/>
        </w:rPr>
      </w:pPr>
      <w:r w:rsidRPr="00AD3249">
        <w:rPr>
          <w:rStyle w:val="JuParaChar"/>
        </w:rPr>
        <w:fldChar w:fldCharType="begin"/>
      </w:r>
      <w:r w:rsidRPr="00AD3249">
        <w:rPr>
          <w:rStyle w:val="JuParaChar"/>
        </w:rPr>
        <w:instrText xml:space="preserve"> SEQ level0 \*arabic </w:instrText>
      </w:r>
      <w:r w:rsidRPr="00AD3249">
        <w:rPr>
          <w:rStyle w:val="JuParaChar"/>
        </w:rPr>
        <w:fldChar w:fldCharType="separate"/>
      </w:r>
      <w:r w:rsidR="00740F03">
        <w:rPr>
          <w:rStyle w:val="JuParaChar"/>
          <w:noProof/>
        </w:rPr>
        <w:t>86</w:t>
      </w:r>
      <w:r w:rsidRPr="00AD3249">
        <w:rPr>
          <w:rStyle w:val="JuParaChar"/>
        </w:rPr>
        <w:fldChar w:fldCharType="end"/>
      </w:r>
      <w:r w:rsidRPr="00AD3249">
        <w:rPr>
          <w:rStyle w:val="JuParaChar"/>
        </w:rPr>
        <w:t>.  </w:t>
      </w:r>
      <w:r w:rsidR="0061251A" w:rsidRPr="00AD3249">
        <w:rPr>
          <w:rStyle w:val="JuParaChar"/>
        </w:rPr>
        <w:t xml:space="preserve">Turning to the present case, the Court </w:t>
      </w:r>
      <w:r w:rsidR="007C2CE8" w:rsidRPr="00AD3249">
        <w:rPr>
          <w:rStyle w:val="JuParaChar"/>
        </w:rPr>
        <w:t>no</w:t>
      </w:r>
      <w:r w:rsidR="0061251A" w:rsidRPr="00AD3249">
        <w:rPr>
          <w:rStyle w:val="JuParaChar"/>
        </w:rPr>
        <w:t xml:space="preserve">tes that the State authorities were aware that the applicant belonged to a category of prisoners at </w:t>
      </w:r>
      <w:r w:rsidR="00655E23" w:rsidRPr="00AD3249">
        <w:rPr>
          <w:rStyle w:val="JuParaChar"/>
        </w:rPr>
        <w:t xml:space="preserve">a heightened </w:t>
      </w:r>
      <w:r w:rsidR="0061251A" w:rsidRPr="00AD3249">
        <w:rPr>
          <w:rStyle w:val="JuParaChar"/>
        </w:rPr>
        <w:t xml:space="preserve">risk of inter-prisoner violence. </w:t>
      </w:r>
      <w:r w:rsidR="007C2CE8" w:rsidRPr="00AD3249">
        <w:rPr>
          <w:rStyle w:val="JuParaChar"/>
        </w:rPr>
        <w:t>T</w:t>
      </w:r>
      <w:r w:rsidR="00195AE2" w:rsidRPr="00AD3249">
        <w:rPr>
          <w:rStyle w:val="JuParaChar"/>
        </w:rPr>
        <w:t xml:space="preserve">he prison authorities were </w:t>
      </w:r>
      <w:r w:rsidR="00742C5D" w:rsidRPr="00AD3249">
        <w:rPr>
          <w:rStyle w:val="JuParaChar"/>
        </w:rPr>
        <w:t xml:space="preserve">clearly aware of the nature of the charges against the applicant and the risk associated with such charges. </w:t>
      </w:r>
      <w:r w:rsidR="007C2CE8" w:rsidRPr="00AD3249">
        <w:rPr>
          <w:rStyle w:val="JuParaChar"/>
        </w:rPr>
        <w:t>In addition, there was information within the State apparatus about the applicant</w:t>
      </w:r>
      <w:r w:rsidR="00D870DC">
        <w:rPr>
          <w:rStyle w:val="JuParaChar"/>
        </w:rPr>
        <w:t>’</w:t>
      </w:r>
      <w:r w:rsidR="007C2CE8" w:rsidRPr="00AD3249">
        <w:rPr>
          <w:rStyle w:val="JuParaChar"/>
        </w:rPr>
        <w:t xml:space="preserve">s past collaboration with the police (see paragraphs 6 and 20 above) but such information was not systematically passed on between the relevant authorities. </w:t>
      </w:r>
      <w:r w:rsidR="0072564E" w:rsidRPr="00AD3249">
        <w:rPr>
          <w:rStyle w:val="JuParaChar"/>
        </w:rPr>
        <w:t>Furthermore, and unlike in another recent case against Latvia where the Court had occasion to apply the principles outlined above (</w:t>
      </w:r>
      <w:r w:rsidR="00CE6841" w:rsidRPr="00AD3249">
        <w:rPr>
          <w:rStyle w:val="JuParaChar"/>
        </w:rPr>
        <w:t xml:space="preserve">see </w:t>
      </w:r>
      <w:r w:rsidR="0072564E" w:rsidRPr="00AD3249">
        <w:rPr>
          <w:i/>
          <w:szCs w:val="22"/>
          <w:lang w:eastAsia="en-US"/>
        </w:rPr>
        <w:t>Aleksejeva v. Latvia</w:t>
      </w:r>
      <w:r w:rsidR="0072564E" w:rsidRPr="00AD3249">
        <w:rPr>
          <w:szCs w:val="22"/>
          <w:lang w:eastAsia="en-US"/>
        </w:rPr>
        <w:t>, no. 21780/07</w:t>
      </w:r>
      <w:r w:rsidR="0072564E" w:rsidRPr="00AD3249">
        <w:rPr>
          <w:snapToGrid w:val="0"/>
          <w:lang w:val="pt-BR" w:eastAsia="en-US"/>
        </w:rPr>
        <w:t>, §§ 38-39, 3 July 2012</w:t>
      </w:r>
      <w:r w:rsidR="0072564E" w:rsidRPr="00AD3249">
        <w:rPr>
          <w:rStyle w:val="JuParaChar"/>
        </w:rPr>
        <w:t xml:space="preserve">), the Government themselves have admitted that the applicant had </w:t>
      </w:r>
      <w:r w:rsidR="00AC70F6" w:rsidRPr="00AD3249">
        <w:rPr>
          <w:rStyle w:val="JuParaChar"/>
        </w:rPr>
        <w:t>repeatedly</w:t>
      </w:r>
      <w:r w:rsidR="0072564E" w:rsidRPr="00AD3249">
        <w:rPr>
          <w:rStyle w:val="JuParaChar"/>
        </w:rPr>
        <w:t xml:space="preserve"> requested to be transferred elsewhere </w:t>
      </w:r>
      <w:r w:rsidR="00CE6841" w:rsidRPr="00AD3249">
        <w:rPr>
          <w:rStyle w:val="JuParaChar"/>
        </w:rPr>
        <w:t xml:space="preserve">because of </w:t>
      </w:r>
      <w:r w:rsidR="0072564E" w:rsidRPr="00AD3249">
        <w:rPr>
          <w:rStyle w:val="JuParaChar"/>
        </w:rPr>
        <w:t xml:space="preserve">threats to his life and </w:t>
      </w:r>
      <w:r w:rsidR="005E5843" w:rsidRPr="00AD3249">
        <w:rPr>
          <w:rStyle w:val="JuParaChar"/>
        </w:rPr>
        <w:t>health</w:t>
      </w:r>
      <w:r w:rsidR="0072564E" w:rsidRPr="00AD3249">
        <w:rPr>
          <w:rStyle w:val="JuParaChar"/>
        </w:rPr>
        <w:t xml:space="preserve"> in Daugavpils Prison.</w:t>
      </w:r>
    </w:p>
    <w:p w:rsidR="00723C15" w:rsidRPr="00AD3249" w:rsidRDefault="0061251A" w:rsidP="00E8108B">
      <w:pPr>
        <w:ind w:firstLine="284"/>
        <w:jc w:val="both"/>
        <w:rPr>
          <w:rStyle w:val="JuParaChar"/>
        </w:rPr>
      </w:pPr>
      <w:r w:rsidRPr="00AD3249">
        <w:rPr>
          <w:rStyle w:val="JuParaChar"/>
        </w:rPr>
        <w:fldChar w:fldCharType="begin"/>
      </w:r>
      <w:r w:rsidRPr="00AD3249">
        <w:rPr>
          <w:rStyle w:val="JuParaChar"/>
        </w:rPr>
        <w:instrText xml:space="preserve"> SEQ level0 \*arabic </w:instrText>
      </w:r>
      <w:r w:rsidRPr="00AD3249">
        <w:rPr>
          <w:rStyle w:val="JuParaChar"/>
        </w:rPr>
        <w:fldChar w:fldCharType="separate"/>
      </w:r>
      <w:r w:rsidR="00740F03">
        <w:rPr>
          <w:rStyle w:val="JuParaChar"/>
          <w:noProof/>
        </w:rPr>
        <w:t>87</w:t>
      </w:r>
      <w:r w:rsidRPr="00AD3249">
        <w:rPr>
          <w:rStyle w:val="JuParaChar"/>
        </w:rPr>
        <w:fldChar w:fldCharType="end"/>
      </w:r>
      <w:r w:rsidRPr="00AD3249">
        <w:rPr>
          <w:rStyle w:val="JuParaChar"/>
        </w:rPr>
        <w:t>.  </w:t>
      </w:r>
      <w:r w:rsidR="00723C15" w:rsidRPr="00AD3249">
        <w:rPr>
          <w:rStyle w:val="JuParaChar"/>
        </w:rPr>
        <w:t xml:space="preserve">While the Government have submitted general information concerning how prisoners in situations comparable to that of the applicant are treated in Latvian prisons, the Court lacks information on any specific steps taken by the administration of Daugavpils Prison to </w:t>
      </w:r>
      <w:r w:rsidR="00983540" w:rsidRPr="00AD3249">
        <w:rPr>
          <w:rStyle w:val="JuParaChar"/>
        </w:rPr>
        <w:t>address</w:t>
      </w:r>
      <w:r w:rsidR="00723C15" w:rsidRPr="00AD3249">
        <w:rPr>
          <w:rStyle w:val="JuParaChar"/>
        </w:rPr>
        <w:t xml:space="preserve"> the applicant</w:t>
      </w:r>
      <w:r w:rsidR="00D870DC">
        <w:rPr>
          <w:rStyle w:val="JuParaChar"/>
        </w:rPr>
        <w:t>’</w:t>
      </w:r>
      <w:r w:rsidR="00723C15" w:rsidRPr="00AD3249">
        <w:rPr>
          <w:rStyle w:val="JuParaChar"/>
        </w:rPr>
        <w:t xml:space="preserve">s vulnerability. </w:t>
      </w:r>
      <w:r w:rsidR="00526342" w:rsidRPr="00AD3249">
        <w:rPr>
          <w:rStyle w:val="JuParaChar"/>
        </w:rPr>
        <w:t xml:space="preserve">The applicant asserted, and the Government did not dispute, that he had frequently </w:t>
      </w:r>
      <w:r w:rsidR="00CE6841" w:rsidRPr="00AD3249">
        <w:rPr>
          <w:rStyle w:val="JuParaChar"/>
        </w:rPr>
        <w:t xml:space="preserve">been </w:t>
      </w:r>
      <w:r w:rsidR="00526342" w:rsidRPr="00AD3249">
        <w:rPr>
          <w:rStyle w:val="JuParaChar"/>
        </w:rPr>
        <w:t>moved between different cells</w:t>
      </w:r>
      <w:r w:rsidR="00B64EDE" w:rsidRPr="00AD3249">
        <w:rPr>
          <w:rStyle w:val="JuParaChar"/>
        </w:rPr>
        <w:t xml:space="preserve"> (see paragraph 14 above)</w:t>
      </w:r>
      <w:r w:rsidR="00E8108B" w:rsidRPr="00AD3249">
        <w:rPr>
          <w:rStyle w:val="JuParaChar"/>
        </w:rPr>
        <w:t xml:space="preserve">. The Government have not submitted any convincing </w:t>
      </w:r>
      <w:r w:rsidR="00B64EDE" w:rsidRPr="00AD3249">
        <w:rPr>
          <w:rStyle w:val="JuParaChar"/>
        </w:rPr>
        <w:t xml:space="preserve">justification </w:t>
      </w:r>
      <w:r w:rsidR="00E8108B" w:rsidRPr="00AD3249">
        <w:rPr>
          <w:rStyle w:val="JuParaChar"/>
        </w:rPr>
        <w:t>for the</w:t>
      </w:r>
      <w:r w:rsidR="00B64EDE" w:rsidRPr="00AD3249">
        <w:rPr>
          <w:rStyle w:val="JuParaChar"/>
        </w:rPr>
        <w:t>se</w:t>
      </w:r>
      <w:r w:rsidR="00E8108B" w:rsidRPr="00AD3249">
        <w:rPr>
          <w:rStyle w:val="JuParaChar"/>
        </w:rPr>
        <w:t xml:space="preserve"> frequent transfers. Moving a prisoner away from a cell in which he has been exposed to threats would certainly be an appropriate and, at least in </w:t>
      </w:r>
      <w:r w:rsidR="00CE6841" w:rsidRPr="00AD3249">
        <w:rPr>
          <w:rStyle w:val="JuParaChar"/>
        </w:rPr>
        <w:t xml:space="preserve">the </w:t>
      </w:r>
      <w:r w:rsidR="00E8108B" w:rsidRPr="00AD3249">
        <w:rPr>
          <w:rStyle w:val="JuParaChar"/>
        </w:rPr>
        <w:t xml:space="preserve">short term, adequate measure. On the other hand, the Court finds that if such transfers take place frequently and on a regular basis without any clearly identified purpose, that appears to be </w:t>
      </w:r>
      <w:r w:rsidR="00526342" w:rsidRPr="00AD3249">
        <w:rPr>
          <w:rStyle w:val="JuParaChar"/>
        </w:rPr>
        <w:t xml:space="preserve">an approach that is at odds with </w:t>
      </w:r>
      <w:r w:rsidR="005E5843" w:rsidRPr="00AD3249">
        <w:rPr>
          <w:rStyle w:val="JuParaChar"/>
        </w:rPr>
        <w:t xml:space="preserve">the policy outlined by the Government of </w:t>
      </w:r>
      <w:r w:rsidR="00742C5D" w:rsidRPr="00AD3249">
        <w:rPr>
          <w:rStyle w:val="JuParaChar"/>
        </w:rPr>
        <w:t>protect</w:t>
      </w:r>
      <w:r w:rsidR="005E5843" w:rsidRPr="00AD3249">
        <w:rPr>
          <w:rStyle w:val="JuParaChar"/>
        </w:rPr>
        <w:t>ing vulnerable prisoners from the general prison population.</w:t>
      </w:r>
      <w:r w:rsidR="007C2CE8" w:rsidRPr="00AD3249">
        <w:rPr>
          <w:rStyle w:val="JuParaChar"/>
        </w:rPr>
        <w:t xml:space="preserve"> In any case, any transfers of vulnerable prisoners should form part of a carefully designed strategy for dealing with inter-prisoner violence (see the recommendations of the CPT in paragraph 30 above), the existence and the details of which the Government have not explained.</w:t>
      </w:r>
    </w:p>
    <w:p w:rsidR="00D870DC" w:rsidRDefault="00742C5D" w:rsidP="00BA6401">
      <w:pPr>
        <w:pStyle w:val="JuPara"/>
        <w:rPr>
          <w:lang w:eastAsia="en-US"/>
        </w:rPr>
      </w:pPr>
      <w:r w:rsidRPr="00AD3249">
        <w:rPr>
          <w:lang w:eastAsia="en-GB"/>
        </w:rPr>
        <w:fldChar w:fldCharType="begin"/>
      </w:r>
      <w:r w:rsidRPr="00AD3249">
        <w:rPr>
          <w:lang w:eastAsia="en-GB"/>
        </w:rPr>
        <w:instrText xml:space="preserve"> SEQ level0 \*arabic </w:instrText>
      </w:r>
      <w:r w:rsidRPr="00AD3249">
        <w:rPr>
          <w:lang w:eastAsia="en-GB"/>
        </w:rPr>
        <w:fldChar w:fldCharType="separate"/>
      </w:r>
      <w:r w:rsidR="00740F03">
        <w:rPr>
          <w:noProof/>
          <w:lang w:eastAsia="en-GB"/>
        </w:rPr>
        <w:t>88</w:t>
      </w:r>
      <w:r w:rsidRPr="00AD3249">
        <w:rPr>
          <w:lang w:eastAsia="en-GB"/>
        </w:rPr>
        <w:fldChar w:fldCharType="end"/>
      </w:r>
      <w:r w:rsidRPr="00AD3249">
        <w:rPr>
          <w:lang w:eastAsia="en-GB"/>
        </w:rPr>
        <w:t>.  T</w:t>
      </w:r>
      <w:r w:rsidR="007479B8" w:rsidRPr="00AD3249">
        <w:rPr>
          <w:lang w:eastAsia="en-GB"/>
        </w:rPr>
        <w:t xml:space="preserve">he Court </w:t>
      </w:r>
      <w:r w:rsidRPr="00AD3249">
        <w:rPr>
          <w:lang w:eastAsia="en-GB"/>
        </w:rPr>
        <w:t>will now</w:t>
      </w:r>
      <w:r w:rsidR="007479B8" w:rsidRPr="00AD3249">
        <w:rPr>
          <w:lang w:eastAsia="en-GB"/>
        </w:rPr>
        <w:t xml:space="preserve"> turn to the applicant</w:t>
      </w:r>
      <w:r w:rsidR="00D870DC">
        <w:rPr>
          <w:lang w:eastAsia="en-GB"/>
        </w:rPr>
        <w:t>’</w:t>
      </w:r>
      <w:r w:rsidR="007479B8" w:rsidRPr="00AD3249">
        <w:rPr>
          <w:lang w:eastAsia="en-GB"/>
        </w:rPr>
        <w:t xml:space="preserve">s complaint about the absence of </w:t>
      </w:r>
      <w:r w:rsidR="004C1E06" w:rsidRPr="00AD3249">
        <w:rPr>
          <w:lang w:eastAsia="en-GB"/>
        </w:rPr>
        <w:t>specific safety measures</w:t>
      </w:r>
      <w:r w:rsidR="007479B8" w:rsidRPr="00AD3249">
        <w:rPr>
          <w:lang w:eastAsia="en-GB"/>
        </w:rPr>
        <w:t xml:space="preserve"> </w:t>
      </w:r>
      <w:r w:rsidR="004C1E06" w:rsidRPr="00AD3249">
        <w:rPr>
          <w:lang w:eastAsia="en-GB"/>
        </w:rPr>
        <w:t xml:space="preserve">(see paragraph 84 above) </w:t>
      </w:r>
      <w:r w:rsidR="007479B8" w:rsidRPr="00AD3249">
        <w:rPr>
          <w:lang w:eastAsia="en-GB"/>
        </w:rPr>
        <w:t xml:space="preserve">that would have allowed him to </w:t>
      </w:r>
      <w:r w:rsidR="007479B8" w:rsidRPr="00AD3249">
        <w:t>obtain a transfer to Matīsa Prison.</w:t>
      </w:r>
      <w:r w:rsidR="00AE0241" w:rsidRPr="00AD3249">
        <w:t xml:space="preserve"> </w:t>
      </w:r>
      <w:r w:rsidR="00AE0241" w:rsidRPr="00AD3249">
        <w:rPr>
          <w:lang w:eastAsia="en-US"/>
        </w:rPr>
        <w:t xml:space="preserve">The applicant in particular criticised the length of time it had taken for his </w:t>
      </w:r>
      <w:r w:rsidR="00CE6841" w:rsidRPr="00AD3249">
        <w:rPr>
          <w:lang w:eastAsia="en-US"/>
        </w:rPr>
        <w:t>previous</w:t>
      </w:r>
      <w:r w:rsidR="00AE0241" w:rsidRPr="00AD3249">
        <w:rPr>
          <w:lang w:eastAsia="en-US"/>
        </w:rPr>
        <w:t xml:space="preserve"> collaboration with the police to be officially </w:t>
      </w:r>
      <w:r w:rsidR="00105FFE" w:rsidRPr="00AD3249">
        <w:rPr>
          <w:lang w:eastAsia="en-US"/>
        </w:rPr>
        <w:t>acknowledg</w:t>
      </w:r>
      <w:r w:rsidR="00AE0241" w:rsidRPr="00AD3249">
        <w:rPr>
          <w:lang w:eastAsia="en-US"/>
        </w:rPr>
        <w:t>ed and for his transfer to Matīsa Prison to be ordered.</w:t>
      </w:r>
    </w:p>
    <w:p w:rsidR="00AE0241" w:rsidRPr="00AD3249" w:rsidRDefault="00AE0241" w:rsidP="00AE0241">
      <w:pPr>
        <w:pStyle w:val="JuPara"/>
        <w:rPr>
          <w:lang w:eastAsia="en-US"/>
        </w:rPr>
      </w:pPr>
      <w:r w:rsidRPr="00AD3249">
        <w:rPr>
          <w:lang w:eastAsia="en-US"/>
        </w:rPr>
        <w:fldChar w:fldCharType="begin"/>
      </w:r>
      <w:r w:rsidRPr="00AD3249">
        <w:rPr>
          <w:lang w:eastAsia="en-US"/>
        </w:rPr>
        <w:instrText xml:space="preserve"> SEQ level0 \*arabic </w:instrText>
      </w:r>
      <w:r w:rsidRPr="00AD3249">
        <w:rPr>
          <w:lang w:eastAsia="en-US"/>
        </w:rPr>
        <w:fldChar w:fldCharType="separate"/>
      </w:r>
      <w:r w:rsidR="00740F03">
        <w:rPr>
          <w:noProof/>
          <w:lang w:eastAsia="en-US"/>
        </w:rPr>
        <w:t>89</w:t>
      </w:r>
      <w:r w:rsidRPr="00AD3249">
        <w:rPr>
          <w:lang w:eastAsia="en-US"/>
        </w:rPr>
        <w:fldChar w:fldCharType="end"/>
      </w:r>
      <w:r w:rsidRPr="00AD3249">
        <w:rPr>
          <w:lang w:eastAsia="en-US"/>
        </w:rPr>
        <w:t xml:space="preserve">.  The Government submitted that the existing system for ensuring police </w:t>
      </w:r>
      <w:r w:rsidR="00AC70F6" w:rsidRPr="00AD3249">
        <w:rPr>
          <w:lang w:eastAsia="en-US"/>
        </w:rPr>
        <w:t>informers</w:t>
      </w:r>
      <w:r w:rsidR="00D870DC">
        <w:rPr>
          <w:lang w:eastAsia="en-US"/>
        </w:rPr>
        <w:t>’</w:t>
      </w:r>
      <w:r w:rsidRPr="00AD3249">
        <w:rPr>
          <w:lang w:eastAsia="en-US"/>
        </w:rPr>
        <w:t xml:space="preserve"> safety was sufficient to correspond to the requirements of the Convention. According to the Government, </w:t>
      </w:r>
      <w:r w:rsidR="0083265A" w:rsidRPr="00AD3249">
        <w:rPr>
          <w:lang w:eastAsia="en-US"/>
        </w:rPr>
        <w:t xml:space="preserve">individuals </w:t>
      </w:r>
      <w:r w:rsidRPr="00AD3249">
        <w:rPr>
          <w:lang w:eastAsia="en-US"/>
        </w:rPr>
        <w:t xml:space="preserve">who felt that their safety was </w:t>
      </w:r>
      <w:r w:rsidR="0083265A" w:rsidRPr="00AD3249">
        <w:rPr>
          <w:lang w:eastAsia="en-US"/>
        </w:rPr>
        <w:t xml:space="preserve">compromised </w:t>
      </w:r>
      <w:r w:rsidRPr="00AD3249">
        <w:rPr>
          <w:lang w:eastAsia="en-US"/>
        </w:rPr>
        <w:t xml:space="preserve">in prison </w:t>
      </w:r>
      <w:r w:rsidR="0083265A" w:rsidRPr="00AD3249">
        <w:rPr>
          <w:lang w:eastAsia="en-US"/>
        </w:rPr>
        <w:t xml:space="preserve">because of </w:t>
      </w:r>
      <w:r w:rsidRPr="00AD3249">
        <w:rPr>
          <w:lang w:eastAsia="en-US"/>
        </w:rPr>
        <w:t xml:space="preserve">their </w:t>
      </w:r>
      <w:r w:rsidR="0083265A" w:rsidRPr="00AD3249">
        <w:rPr>
          <w:lang w:eastAsia="en-US"/>
        </w:rPr>
        <w:t>previous</w:t>
      </w:r>
      <w:r w:rsidRPr="00AD3249">
        <w:rPr>
          <w:lang w:eastAsia="en-US"/>
        </w:rPr>
        <w:t xml:space="preserve"> co</w:t>
      </w:r>
      <w:r w:rsidR="0083265A" w:rsidRPr="00AD3249">
        <w:rPr>
          <w:lang w:eastAsia="en-US"/>
        </w:rPr>
        <w:t>llaboration</w:t>
      </w:r>
      <w:r w:rsidRPr="00AD3249">
        <w:rPr>
          <w:lang w:eastAsia="en-US"/>
        </w:rPr>
        <w:t xml:space="preserve"> with law-enforcement authorities could request the police or the Prosecutor General to confirm </w:t>
      </w:r>
      <w:r w:rsidR="0083265A" w:rsidRPr="00AD3249">
        <w:rPr>
          <w:lang w:eastAsia="en-US"/>
        </w:rPr>
        <w:t xml:space="preserve">that this </w:t>
      </w:r>
      <w:r w:rsidRPr="00AD3249">
        <w:rPr>
          <w:lang w:eastAsia="en-US"/>
        </w:rPr>
        <w:t>collaboration</w:t>
      </w:r>
      <w:r w:rsidR="0083265A" w:rsidRPr="00AD3249">
        <w:rPr>
          <w:lang w:eastAsia="en-US"/>
        </w:rPr>
        <w:t xml:space="preserve"> had taken place</w:t>
      </w:r>
      <w:r w:rsidRPr="00AD3249">
        <w:rPr>
          <w:lang w:eastAsia="en-US"/>
        </w:rPr>
        <w:t xml:space="preserve">, after which the </w:t>
      </w:r>
      <w:r w:rsidR="0083265A" w:rsidRPr="00AD3249">
        <w:rPr>
          <w:lang w:eastAsia="en-US"/>
        </w:rPr>
        <w:t xml:space="preserve">appropriate </w:t>
      </w:r>
      <w:r w:rsidRPr="00AD3249">
        <w:rPr>
          <w:lang w:eastAsia="en-US"/>
        </w:rPr>
        <w:t xml:space="preserve">authorities </w:t>
      </w:r>
      <w:r w:rsidR="0083265A" w:rsidRPr="00AD3249">
        <w:rPr>
          <w:lang w:eastAsia="en-US"/>
        </w:rPr>
        <w:t xml:space="preserve">would </w:t>
      </w:r>
      <w:r w:rsidRPr="00AD3249">
        <w:rPr>
          <w:lang w:eastAsia="en-US"/>
        </w:rPr>
        <w:t>ensure the prisoner</w:t>
      </w:r>
      <w:r w:rsidR="00D870DC">
        <w:rPr>
          <w:lang w:eastAsia="en-US"/>
        </w:rPr>
        <w:t>’</w:t>
      </w:r>
      <w:r w:rsidRPr="00AD3249">
        <w:rPr>
          <w:lang w:eastAsia="en-US"/>
        </w:rPr>
        <w:t>s isolation by, for example, transferring them to Matīsa Prison.</w:t>
      </w:r>
    </w:p>
    <w:p w:rsidR="00AE0241" w:rsidRPr="00AD3249" w:rsidRDefault="00AE0241" w:rsidP="00AE0241">
      <w:pPr>
        <w:pStyle w:val="JuPara"/>
        <w:rPr>
          <w:lang w:eastAsia="en-US"/>
        </w:rPr>
      </w:pPr>
      <w:r w:rsidRPr="00AD3249">
        <w:rPr>
          <w:lang w:eastAsia="en-US"/>
        </w:rPr>
        <w:fldChar w:fldCharType="begin"/>
      </w:r>
      <w:r w:rsidRPr="00AD3249">
        <w:rPr>
          <w:lang w:eastAsia="en-US"/>
        </w:rPr>
        <w:instrText xml:space="preserve"> SEQ level0 \*arabic </w:instrText>
      </w:r>
      <w:r w:rsidRPr="00AD3249">
        <w:rPr>
          <w:lang w:eastAsia="en-US"/>
        </w:rPr>
        <w:fldChar w:fldCharType="separate"/>
      </w:r>
      <w:r w:rsidR="00740F03">
        <w:rPr>
          <w:noProof/>
          <w:lang w:eastAsia="en-US"/>
        </w:rPr>
        <w:t>90</w:t>
      </w:r>
      <w:r w:rsidRPr="00AD3249">
        <w:rPr>
          <w:lang w:eastAsia="en-US"/>
        </w:rPr>
        <w:fldChar w:fldCharType="end"/>
      </w:r>
      <w:r w:rsidRPr="00AD3249">
        <w:rPr>
          <w:lang w:eastAsia="en-US"/>
        </w:rPr>
        <w:t xml:space="preserve">.  The Government argued that despite a certain delay </w:t>
      </w:r>
      <w:r w:rsidR="0083265A" w:rsidRPr="00AD3249">
        <w:rPr>
          <w:lang w:eastAsia="en-US"/>
        </w:rPr>
        <w:t xml:space="preserve">by the police </w:t>
      </w:r>
      <w:r w:rsidRPr="00AD3249">
        <w:rPr>
          <w:lang w:eastAsia="en-US"/>
        </w:rPr>
        <w:t>in processing the applicant</w:t>
      </w:r>
      <w:r w:rsidR="00D870DC">
        <w:rPr>
          <w:lang w:eastAsia="en-US"/>
        </w:rPr>
        <w:t>’</w:t>
      </w:r>
      <w:r w:rsidRPr="00AD3249">
        <w:rPr>
          <w:lang w:eastAsia="en-US"/>
        </w:rPr>
        <w:t xml:space="preserve">s request of May 2006, the system had worked in his case </w:t>
      </w:r>
      <w:r w:rsidR="0083265A" w:rsidRPr="00AD3249">
        <w:rPr>
          <w:lang w:eastAsia="en-US"/>
        </w:rPr>
        <w:t>too,</w:t>
      </w:r>
      <w:r w:rsidRPr="00AD3249">
        <w:rPr>
          <w:lang w:eastAsia="en-US"/>
        </w:rPr>
        <w:t xml:space="preserve"> and his transfer had been requested on 5 October 2006 (see paragraphs 19 and 20 above).</w:t>
      </w:r>
    </w:p>
    <w:p w:rsidR="00AE0241" w:rsidRPr="00AD3249" w:rsidRDefault="00AE0241" w:rsidP="00AE0241">
      <w:pPr>
        <w:pStyle w:val="JuPara"/>
        <w:rPr>
          <w:lang w:eastAsia="en-US"/>
        </w:rPr>
      </w:pPr>
      <w:r w:rsidRPr="00AD3249">
        <w:rPr>
          <w:lang w:eastAsia="en-US"/>
        </w:rPr>
        <w:fldChar w:fldCharType="begin"/>
      </w:r>
      <w:r w:rsidRPr="00AD3249">
        <w:rPr>
          <w:lang w:eastAsia="en-US"/>
        </w:rPr>
        <w:instrText xml:space="preserve"> SEQ level0 \*arabic </w:instrText>
      </w:r>
      <w:r w:rsidRPr="00AD3249">
        <w:rPr>
          <w:lang w:eastAsia="en-US"/>
        </w:rPr>
        <w:fldChar w:fldCharType="separate"/>
      </w:r>
      <w:r w:rsidR="00740F03">
        <w:rPr>
          <w:noProof/>
          <w:lang w:eastAsia="en-US"/>
        </w:rPr>
        <w:t>91</w:t>
      </w:r>
      <w:r w:rsidRPr="00AD3249">
        <w:rPr>
          <w:lang w:eastAsia="en-US"/>
        </w:rPr>
        <w:fldChar w:fldCharType="end"/>
      </w:r>
      <w:r w:rsidRPr="00AD3249">
        <w:rPr>
          <w:lang w:eastAsia="en-US"/>
        </w:rPr>
        <w:t>.  </w:t>
      </w:r>
      <w:r w:rsidR="008B78DB" w:rsidRPr="00AD3249">
        <w:rPr>
          <w:lang w:eastAsia="en-US"/>
        </w:rPr>
        <w:t>The Court considers that</w:t>
      </w:r>
      <w:r w:rsidRPr="00AD3249">
        <w:rPr>
          <w:lang w:eastAsia="en-US"/>
        </w:rPr>
        <w:t xml:space="preserve">, </w:t>
      </w:r>
      <w:r w:rsidR="008B78DB" w:rsidRPr="00AD3249">
        <w:rPr>
          <w:lang w:eastAsia="en-US"/>
        </w:rPr>
        <w:t xml:space="preserve">in order </w:t>
      </w:r>
      <w:r w:rsidRPr="00AD3249">
        <w:rPr>
          <w:lang w:eastAsia="en-US"/>
        </w:rPr>
        <w:t xml:space="preserve">for a domestic </w:t>
      </w:r>
      <w:r w:rsidR="008B78DB" w:rsidRPr="00AD3249">
        <w:rPr>
          <w:lang w:eastAsia="en-US"/>
        </w:rPr>
        <w:t xml:space="preserve">preventive </w:t>
      </w:r>
      <w:r w:rsidR="00510AEA" w:rsidRPr="00AD3249">
        <w:rPr>
          <w:lang w:eastAsia="en-US"/>
        </w:rPr>
        <w:t xml:space="preserve">mechanism </w:t>
      </w:r>
      <w:r w:rsidRPr="00AD3249">
        <w:rPr>
          <w:lang w:eastAsia="en-US"/>
        </w:rPr>
        <w:t>to be effective</w:t>
      </w:r>
      <w:r w:rsidR="00510AEA" w:rsidRPr="00AD3249">
        <w:rPr>
          <w:lang w:eastAsia="en-US"/>
        </w:rPr>
        <w:t>, it should</w:t>
      </w:r>
      <w:r w:rsidRPr="00AD3249">
        <w:rPr>
          <w:lang w:eastAsia="en-US"/>
        </w:rPr>
        <w:t xml:space="preserve"> allow the authorities concerned to </w:t>
      </w:r>
      <w:r w:rsidR="0083265A" w:rsidRPr="00AD3249">
        <w:rPr>
          <w:lang w:eastAsia="en-US"/>
        </w:rPr>
        <w:t xml:space="preserve">respond as a matter of </w:t>
      </w:r>
      <w:r w:rsidRPr="00AD3249">
        <w:rPr>
          <w:lang w:eastAsia="en-US"/>
        </w:rPr>
        <w:t xml:space="preserve">particular urgency, </w:t>
      </w:r>
      <w:r w:rsidR="0083265A" w:rsidRPr="00AD3249">
        <w:rPr>
          <w:lang w:eastAsia="en-US"/>
        </w:rPr>
        <w:t xml:space="preserve">in a manner </w:t>
      </w:r>
      <w:r w:rsidRPr="00AD3249">
        <w:rPr>
          <w:lang w:eastAsia="en-US"/>
        </w:rPr>
        <w:t xml:space="preserve">proportionate to the </w:t>
      </w:r>
      <w:r w:rsidR="0083265A" w:rsidRPr="00AD3249">
        <w:rPr>
          <w:lang w:eastAsia="en-US"/>
        </w:rPr>
        <w:t>perceived</w:t>
      </w:r>
      <w:r w:rsidR="008B78DB" w:rsidRPr="00AD3249">
        <w:rPr>
          <w:lang w:eastAsia="en-US"/>
        </w:rPr>
        <w:t xml:space="preserve"> </w:t>
      </w:r>
      <w:r w:rsidRPr="00AD3249">
        <w:rPr>
          <w:lang w:eastAsia="en-US"/>
        </w:rPr>
        <w:t>risk faced by the person concerned.</w:t>
      </w:r>
    </w:p>
    <w:p w:rsidR="00E8108B" w:rsidRPr="00AD3249" w:rsidRDefault="00AE0241" w:rsidP="00AE0241">
      <w:pPr>
        <w:pStyle w:val="JuPara"/>
        <w:rPr>
          <w:rStyle w:val="sb8d990e2"/>
        </w:rPr>
      </w:pPr>
      <w:r w:rsidRPr="00AD3249">
        <w:rPr>
          <w:lang w:eastAsia="en-US"/>
        </w:rPr>
        <w:fldChar w:fldCharType="begin"/>
      </w:r>
      <w:r w:rsidRPr="00AD3249">
        <w:rPr>
          <w:lang w:eastAsia="en-US"/>
        </w:rPr>
        <w:instrText xml:space="preserve"> SEQ level0 \*arabic </w:instrText>
      </w:r>
      <w:r w:rsidRPr="00AD3249">
        <w:rPr>
          <w:lang w:eastAsia="en-US"/>
        </w:rPr>
        <w:fldChar w:fldCharType="separate"/>
      </w:r>
      <w:r w:rsidR="00740F03">
        <w:rPr>
          <w:noProof/>
          <w:lang w:eastAsia="en-US"/>
        </w:rPr>
        <w:t>92</w:t>
      </w:r>
      <w:r w:rsidRPr="00AD3249">
        <w:rPr>
          <w:lang w:eastAsia="en-US"/>
        </w:rPr>
        <w:fldChar w:fldCharType="end"/>
      </w:r>
      <w:r w:rsidR="006C1ADC" w:rsidRPr="00AD3249">
        <w:rPr>
          <w:lang w:eastAsia="en-US"/>
        </w:rPr>
        <w:t xml:space="preserve">.  As </w:t>
      </w:r>
      <w:r w:rsidR="0083265A" w:rsidRPr="00AD3249">
        <w:rPr>
          <w:lang w:eastAsia="en-US"/>
        </w:rPr>
        <w:t xml:space="preserve">has been made </w:t>
      </w:r>
      <w:r w:rsidRPr="00AD3249">
        <w:rPr>
          <w:lang w:eastAsia="en-US"/>
        </w:rPr>
        <w:t xml:space="preserve">clear </w:t>
      </w:r>
      <w:r w:rsidR="00122D7F" w:rsidRPr="00AD3249">
        <w:rPr>
          <w:lang w:eastAsia="en-US"/>
        </w:rPr>
        <w:t xml:space="preserve">by </w:t>
      </w:r>
      <w:r w:rsidRPr="00AD3249">
        <w:rPr>
          <w:lang w:eastAsia="en-US"/>
        </w:rPr>
        <w:t>the applicant</w:t>
      </w:r>
      <w:r w:rsidR="00D870DC">
        <w:rPr>
          <w:lang w:eastAsia="en-US"/>
        </w:rPr>
        <w:t>’</w:t>
      </w:r>
      <w:r w:rsidRPr="00AD3249">
        <w:rPr>
          <w:lang w:eastAsia="en-US"/>
        </w:rPr>
        <w:t xml:space="preserve">s example, a request to the law-enforcement agencies to confirm </w:t>
      </w:r>
      <w:r w:rsidR="0083265A" w:rsidRPr="00AD3249">
        <w:rPr>
          <w:lang w:eastAsia="en-US"/>
        </w:rPr>
        <w:t>that there had been previous</w:t>
      </w:r>
      <w:r w:rsidRPr="00AD3249">
        <w:rPr>
          <w:lang w:eastAsia="en-US"/>
        </w:rPr>
        <w:t xml:space="preserve"> collaboration</w:t>
      </w:r>
      <w:r w:rsidR="008B78DB" w:rsidRPr="00AD3249">
        <w:rPr>
          <w:lang w:eastAsia="en-US"/>
        </w:rPr>
        <w:t xml:space="preserve"> with the police</w:t>
      </w:r>
      <w:r w:rsidRPr="00AD3249">
        <w:rPr>
          <w:lang w:eastAsia="en-US"/>
        </w:rPr>
        <w:t xml:space="preserve"> can turn into a lengthy and heavily bureaucratic procedure. </w:t>
      </w:r>
      <w:r w:rsidR="00510AEA" w:rsidRPr="00AD3249">
        <w:rPr>
          <w:lang w:eastAsia="en-US"/>
        </w:rPr>
        <w:t>T</w:t>
      </w:r>
      <w:r w:rsidR="00E8108B" w:rsidRPr="00AD3249">
        <w:rPr>
          <w:rStyle w:val="sb8d990e2"/>
        </w:rPr>
        <w:t>he lack of sufficient coordination among investigators, prosecut</w:t>
      </w:r>
      <w:r w:rsidR="0083265A" w:rsidRPr="00AD3249">
        <w:rPr>
          <w:rStyle w:val="sb8d990e2"/>
        </w:rPr>
        <w:t>ors</w:t>
      </w:r>
      <w:r w:rsidR="00E8108B" w:rsidRPr="00AD3249">
        <w:rPr>
          <w:rStyle w:val="sb8d990e2"/>
        </w:rPr>
        <w:t xml:space="preserve"> and </w:t>
      </w:r>
      <w:r w:rsidR="0083265A" w:rsidRPr="00AD3249">
        <w:rPr>
          <w:rStyle w:val="sb8d990e2"/>
        </w:rPr>
        <w:t xml:space="preserve">penal </w:t>
      </w:r>
      <w:r w:rsidR="00E8108B" w:rsidRPr="00AD3249">
        <w:rPr>
          <w:rStyle w:val="sb8d990e2"/>
        </w:rPr>
        <w:t xml:space="preserve">institutions to prevent possible ill-treatment of detainees who, owing to </w:t>
      </w:r>
      <w:r w:rsidR="0083265A" w:rsidRPr="00AD3249">
        <w:rPr>
          <w:rStyle w:val="sb8d990e2"/>
        </w:rPr>
        <w:t xml:space="preserve">a record of informing in respect </w:t>
      </w:r>
      <w:r w:rsidR="00E8108B" w:rsidRPr="00AD3249">
        <w:rPr>
          <w:rStyle w:val="sb8d990e2"/>
        </w:rPr>
        <w:t xml:space="preserve">of criminal offences, have become particularly vulnerable and </w:t>
      </w:r>
      <w:r w:rsidR="000A34F1" w:rsidRPr="00AD3249">
        <w:rPr>
          <w:rStyle w:val="sb8d990e2"/>
        </w:rPr>
        <w:t>liable</w:t>
      </w:r>
      <w:r w:rsidR="00E8108B" w:rsidRPr="00AD3249">
        <w:rPr>
          <w:rStyle w:val="sb8d990e2"/>
        </w:rPr>
        <w:t xml:space="preserve"> to </w:t>
      </w:r>
      <w:r w:rsidR="0083265A" w:rsidRPr="00AD3249">
        <w:rPr>
          <w:rStyle w:val="sb8d990e2"/>
        </w:rPr>
        <w:t xml:space="preserve">be attacked </w:t>
      </w:r>
      <w:r w:rsidR="00E8108B" w:rsidRPr="00AD3249">
        <w:rPr>
          <w:rStyle w:val="sb8d990e2"/>
        </w:rPr>
        <w:t>violen</w:t>
      </w:r>
      <w:r w:rsidR="0083265A" w:rsidRPr="00AD3249">
        <w:rPr>
          <w:rStyle w:val="sb8d990e2"/>
        </w:rPr>
        <w:t>tly</w:t>
      </w:r>
      <w:r w:rsidR="00E8108B" w:rsidRPr="00AD3249">
        <w:rPr>
          <w:rStyle w:val="sb8d990e2"/>
        </w:rPr>
        <w:t xml:space="preserve"> in prison</w:t>
      </w:r>
      <w:r w:rsidR="00510AEA" w:rsidRPr="00AD3249">
        <w:rPr>
          <w:rStyle w:val="sb8d990e2"/>
        </w:rPr>
        <w:t>, contributed to that to a significant extent</w:t>
      </w:r>
      <w:r w:rsidR="00E8108B" w:rsidRPr="00AD3249">
        <w:rPr>
          <w:rStyle w:val="sb8d990e2"/>
        </w:rPr>
        <w:t xml:space="preserve">. The Court has previously identified and criticised the absence of a systematic </w:t>
      </w:r>
      <w:r w:rsidR="00105FFE" w:rsidRPr="00AD3249">
        <w:rPr>
          <w:rStyle w:val="sb8d990e2"/>
        </w:rPr>
        <w:t>approach to</w:t>
      </w:r>
      <w:r w:rsidR="00E8108B" w:rsidRPr="00AD3249">
        <w:rPr>
          <w:rStyle w:val="sb8d990e2"/>
        </w:rPr>
        <w:t xml:space="preserve"> dealing with </w:t>
      </w:r>
      <w:r w:rsidR="0083265A" w:rsidRPr="00AD3249">
        <w:rPr>
          <w:rStyle w:val="sb8d990e2"/>
        </w:rPr>
        <w:t xml:space="preserve">the difficulties </w:t>
      </w:r>
      <w:r w:rsidR="00E8108B" w:rsidRPr="00AD3249">
        <w:rPr>
          <w:rStyle w:val="sb8d990e2"/>
        </w:rPr>
        <w:t xml:space="preserve">faced by police informers in Latvian prisons (see </w:t>
      </w:r>
      <w:r w:rsidR="00E8108B" w:rsidRPr="00AD3249">
        <w:rPr>
          <w:rStyle w:val="sb8d990e2"/>
          <w:i/>
        </w:rPr>
        <w:t>J.L.</w:t>
      </w:r>
      <w:r w:rsidR="00435D95">
        <w:rPr>
          <w:rStyle w:val="sb8d990e2"/>
          <w:i/>
        </w:rPr>
        <w:t xml:space="preserve"> v. Latvia</w:t>
      </w:r>
      <w:r w:rsidR="003B1F35" w:rsidRPr="00AD3249">
        <w:rPr>
          <w:rStyle w:val="sb8d990e2"/>
        </w:rPr>
        <w:t>,</w:t>
      </w:r>
      <w:r w:rsidR="00E8108B" w:rsidRPr="00AD3249">
        <w:rPr>
          <w:rStyle w:val="sb8d990e2"/>
        </w:rPr>
        <w:t xml:space="preserve"> cited above, </w:t>
      </w:r>
      <w:r w:rsidR="00E8108B" w:rsidRPr="00AD3249">
        <w:rPr>
          <w:snapToGrid w:val="0"/>
          <w:szCs w:val="24"/>
          <w:lang w:eastAsia="en-US"/>
        </w:rPr>
        <w:t>§ 87</w:t>
      </w:r>
      <w:r w:rsidR="00E8108B" w:rsidRPr="00AD3249">
        <w:rPr>
          <w:rStyle w:val="sb8d990e2"/>
        </w:rPr>
        <w:t>).</w:t>
      </w:r>
    </w:p>
    <w:p w:rsidR="00AE0241" w:rsidRPr="00AD3249" w:rsidRDefault="006C1ADC" w:rsidP="00AE0241">
      <w:pPr>
        <w:pStyle w:val="JuPara"/>
        <w:rPr>
          <w:lang w:eastAsia="en-US"/>
        </w:rPr>
      </w:pPr>
      <w:r w:rsidRPr="00AD3249">
        <w:rPr>
          <w:lang w:eastAsia="en-US"/>
        </w:rPr>
        <w:fldChar w:fldCharType="begin"/>
      </w:r>
      <w:r w:rsidRPr="00AD3249">
        <w:rPr>
          <w:lang w:eastAsia="en-US"/>
        </w:rPr>
        <w:instrText xml:space="preserve"> SEQ level0 \*arabic </w:instrText>
      </w:r>
      <w:r w:rsidRPr="00AD3249">
        <w:rPr>
          <w:lang w:eastAsia="en-US"/>
        </w:rPr>
        <w:fldChar w:fldCharType="separate"/>
      </w:r>
      <w:r w:rsidR="00740F03">
        <w:rPr>
          <w:noProof/>
          <w:lang w:eastAsia="en-US"/>
        </w:rPr>
        <w:t>93</w:t>
      </w:r>
      <w:r w:rsidRPr="00AD3249">
        <w:rPr>
          <w:lang w:eastAsia="en-US"/>
        </w:rPr>
        <w:fldChar w:fldCharType="end"/>
      </w:r>
      <w:r w:rsidRPr="00AD3249">
        <w:rPr>
          <w:lang w:eastAsia="en-US"/>
        </w:rPr>
        <w:t>.  </w:t>
      </w:r>
      <w:r w:rsidR="00AE0241" w:rsidRPr="00AD3249">
        <w:rPr>
          <w:lang w:eastAsia="en-US"/>
        </w:rPr>
        <w:t xml:space="preserve">The Court has examined the possibility </w:t>
      </w:r>
      <w:r w:rsidR="0083265A" w:rsidRPr="00AD3249">
        <w:rPr>
          <w:lang w:eastAsia="en-US"/>
        </w:rPr>
        <w:t>of</w:t>
      </w:r>
      <w:r w:rsidR="00AE0241" w:rsidRPr="00AD3249">
        <w:rPr>
          <w:lang w:eastAsia="en-US"/>
        </w:rPr>
        <w:t xml:space="preserve"> request</w:t>
      </w:r>
      <w:r w:rsidR="0083265A" w:rsidRPr="00AD3249">
        <w:rPr>
          <w:lang w:eastAsia="en-US"/>
        </w:rPr>
        <w:t>ing the</w:t>
      </w:r>
      <w:r w:rsidR="00AE0241" w:rsidRPr="00AD3249">
        <w:rPr>
          <w:lang w:eastAsia="en-US"/>
        </w:rPr>
        <w:t xml:space="preserve"> administrative courts to order interim measures. </w:t>
      </w:r>
      <w:r w:rsidR="00105FFE" w:rsidRPr="00AD3249">
        <w:rPr>
          <w:lang w:eastAsia="en-US"/>
        </w:rPr>
        <w:t xml:space="preserve">In addition </w:t>
      </w:r>
      <w:r w:rsidR="00FD586A" w:rsidRPr="00AD3249">
        <w:rPr>
          <w:lang w:eastAsia="en-US"/>
        </w:rPr>
        <w:t>to the problems identified above (see paragraphs 72 to 74)</w:t>
      </w:r>
      <w:r w:rsidR="00AE0241" w:rsidRPr="00AD3249">
        <w:rPr>
          <w:lang w:eastAsia="en-US"/>
        </w:rPr>
        <w:t xml:space="preserve">, it notes that at the relevant time </w:t>
      </w:r>
      <w:r w:rsidR="000A34F1" w:rsidRPr="00AD3249">
        <w:rPr>
          <w:lang w:eastAsia="en-US"/>
        </w:rPr>
        <w:t>c</w:t>
      </w:r>
      <w:r w:rsidR="00AE0241" w:rsidRPr="00AD3249">
        <w:rPr>
          <w:lang w:eastAsia="en-US"/>
        </w:rPr>
        <w:t xml:space="preserve">hapter 22 of the Administrative Procedure </w:t>
      </w:r>
      <w:r w:rsidR="00122D7F" w:rsidRPr="00AD3249">
        <w:rPr>
          <w:lang w:eastAsia="en-US"/>
        </w:rPr>
        <w:t>Law</w:t>
      </w:r>
      <w:r w:rsidR="000A34F1" w:rsidRPr="00AD3249">
        <w:rPr>
          <w:lang w:eastAsia="en-US"/>
        </w:rPr>
        <w:t xml:space="preserve"> </w:t>
      </w:r>
      <w:r w:rsidR="00AE0241" w:rsidRPr="00AD3249">
        <w:rPr>
          <w:lang w:eastAsia="en-US"/>
        </w:rPr>
        <w:t xml:space="preserve">did not impose any time-limits </w:t>
      </w:r>
      <w:r w:rsidR="00E137AF" w:rsidRPr="00AD3249">
        <w:rPr>
          <w:lang w:eastAsia="en-US"/>
        </w:rPr>
        <w:t>on</w:t>
      </w:r>
      <w:r w:rsidR="00983540" w:rsidRPr="00AD3249">
        <w:rPr>
          <w:lang w:eastAsia="en-US"/>
        </w:rPr>
        <w:t xml:space="preserve"> the courts</w:t>
      </w:r>
      <w:r w:rsidR="00AE0241" w:rsidRPr="00AD3249">
        <w:rPr>
          <w:lang w:eastAsia="en-US"/>
        </w:rPr>
        <w:t xml:space="preserve"> dealing with requests for interim measures</w:t>
      </w:r>
      <w:r w:rsidRPr="00AD3249">
        <w:rPr>
          <w:lang w:eastAsia="en-US"/>
        </w:rPr>
        <w:t xml:space="preserve"> (see paragraph 4</w:t>
      </w:r>
      <w:r w:rsidR="004262E9" w:rsidRPr="00AD3249">
        <w:rPr>
          <w:lang w:eastAsia="en-US"/>
        </w:rPr>
        <w:t>3</w:t>
      </w:r>
      <w:r w:rsidRPr="00AD3249">
        <w:rPr>
          <w:lang w:eastAsia="en-US"/>
        </w:rPr>
        <w:t xml:space="preserve"> above)</w:t>
      </w:r>
      <w:r w:rsidR="00AE0241" w:rsidRPr="00AD3249">
        <w:rPr>
          <w:lang w:eastAsia="en-US"/>
        </w:rPr>
        <w:t xml:space="preserve">. Thus, even assuming that such a request </w:t>
      </w:r>
      <w:r w:rsidRPr="00AD3249">
        <w:rPr>
          <w:lang w:eastAsia="en-US"/>
        </w:rPr>
        <w:t>might have been</w:t>
      </w:r>
      <w:r w:rsidR="00AE0241" w:rsidRPr="00AD3249">
        <w:rPr>
          <w:lang w:eastAsia="en-US"/>
        </w:rPr>
        <w:t xml:space="preserve"> declared admissible, t</w:t>
      </w:r>
      <w:r w:rsidRPr="00AD3249">
        <w:rPr>
          <w:lang w:eastAsia="en-US"/>
        </w:rPr>
        <w:t>he timing of its examination would have been left</w:t>
      </w:r>
      <w:r w:rsidR="00AE0241" w:rsidRPr="00AD3249">
        <w:rPr>
          <w:lang w:eastAsia="en-US"/>
        </w:rPr>
        <w:t xml:space="preserve"> entirely </w:t>
      </w:r>
      <w:r w:rsidR="0083265A" w:rsidRPr="00AD3249">
        <w:rPr>
          <w:lang w:eastAsia="en-US"/>
        </w:rPr>
        <w:t>to</w:t>
      </w:r>
      <w:r w:rsidR="00AE0241" w:rsidRPr="00AD3249">
        <w:rPr>
          <w:lang w:eastAsia="en-US"/>
        </w:rPr>
        <w:t xml:space="preserve"> the courts</w:t>
      </w:r>
      <w:r w:rsidR="00D870DC">
        <w:rPr>
          <w:lang w:eastAsia="en-US"/>
        </w:rPr>
        <w:t>’</w:t>
      </w:r>
      <w:r w:rsidR="00AE0241" w:rsidRPr="00AD3249">
        <w:rPr>
          <w:lang w:eastAsia="en-US"/>
        </w:rPr>
        <w:t xml:space="preserve"> discretion.</w:t>
      </w:r>
    </w:p>
    <w:p w:rsidR="00AE0241" w:rsidRDefault="00AE0241" w:rsidP="00AE0241">
      <w:pPr>
        <w:pStyle w:val="JuPara"/>
        <w:rPr>
          <w:lang w:eastAsia="en-US"/>
        </w:rPr>
      </w:pPr>
      <w:r w:rsidRPr="00AD3249">
        <w:rPr>
          <w:lang w:eastAsia="en-US"/>
        </w:rPr>
        <w:fldChar w:fldCharType="begin"/>
      </w:r>
      <w:r w:rsidRPr="00AD3249">
        <w:rPr>
          <w:lang w:eastAsia="en-US"/>
        </w:rPr>
        <w:instrText xml:space="preserve"> SEQ level0 \*arabic </w:instrText>
      </w:r>
      <w:r w:rsidRPr="00AD3249">
        <w:rPr>
          <w:lang w:eastAsia="en-US"/>
        </w:rPr>
        <w:fldChar w:fldCharType="separate"/>
      </w:r>
      <w:r w:rsidR="00740F03">
        <w:rPr>
          <w:noProof/>
          <w:lang w:eastAsia="en-US"/>
        </w:rPr>
        <w:t>94</w:t>
      </w:r>
      <w:r w:rsidRPr="00AD3249">
        <w:rPr>
          <w:lang w:eastAsia="en-US"/>
        </w:rPr>
        <w:fldChar w:fldCharType="end"/>
      </w:r>
      <w:r w:rsidRPr="00AD3249">
        <w:rPr>
          <w:lang w:eastAsia="en-US"/>
        </w:rPr>
        <w:t>.  </w:t>
      </w:r>
      <w:r w:rsidR="006C1ADC" w:rsidRPr="00AD3249">
        <w:rPr>
          <w:lang w:eastAsia="en-US"/>
        </w:rPr>
        <w:t>Hence</w:t>
      </w:r>
      <w:r w:rsidR="000A34F1" w:rsidRPr="00AD3249">
        <w:rPr>
          <w:lang w:eastAsia="en-US"/>
        </w:rPr>
        <w:t>,</w:t>
      </w:r>
      <w:r w:rsidR="006C1ADC" w:rsidRPr="00AD3249">
        <w:rPr>
          <w:lang w:eastAsia="en-US"/>
        </w:rPr>
        <w:t xml:space="preserve"> t</w:t>
      </w:r>
      <w:r w:rsidRPr="00AD3249">
        <w:rPr>
          <w:lang w:eastAsia="en-US"/>
        </w:rPr>
        <w:t>he Court</w:t>
      </w:r>
      <w:r>
        <w:rPr>
          <w:lang w:eastAsia="en-US"/>
        </w:rPr>
        <w:t xml:space="preserve"> is unable to conclude that the legal regulation that was in force at the time when the applicant was seeking </w:t>
      </w:r>
      <w:r w:rsidR="0083265A">
        <w:rPr>
          <w:lang w:eastAsia="en-US"/>
        </w:rPr>
        <w:t xml:space="preserve">to be </w:t>
      </w:r>
      <w:r>
        <w:rPr>
          <w:lang w:eastAsia="en-US"/>
        </w:rPr>
        <w:t>transfer</w:t>
      </w:r>
      <w:r w:rsidR="0083265A">
        <w:rPr>
          <w:lang w:eastAsia="en-US"/>
        </w:rPr>
        <w:t>red</w:t>
      </w:r>
      <w:r>
        <w:rPr>
          <w:lang w:eastAsia="en-US"/>
        </w:rPr>
        <w:t xml:space="preserve"> to Matīsa Prison was effective, either in law or in practice.</w:t>
      </w:r>
    </w:p>
    <w:p w:rsidR="003C715F" w:rsidRPr="00BA6401" w:rsidRDefault="003C715F" w:rsidP="00AE0241">
      <w:pPr>
        <w:pStyle w:val="JuPara"/>
        <w:rPr>
          <w:lang w:eastAsia="en-US"/>
        </w:rPr>
      </w:pPr>
      <w:r>
        <w:rPr>
          <w:lang w:eastAsia="en-US"/>
        </w:rPr>
        <w:fldChar w:fldCharType="begin"/>
      </w:r>
      <w:r>
        <w:rPr>
          <w:lang w:eastAsia="en-US"/>
        </w:rPr>
        <w:instrText xml:space="preserve"> SEQ level0 \*arabic </w:instrText>
      </w:r>
      <w:r>
        <w:rPr>
          <w:lang w:eastAsia="en-US"/>
        </w:rPr>
        <w:fldChar w:fldCharType="separate"/>
      </w:r>
      <w:r w:rsidR="00740F03">
        <w:rPr>
          <w:noProof/>
          <w:lang w:eastAsia="en-US"/>
        </w:rPr>
        <w:t>95</w:t>
      </w:r>
      <w:r>
        <w:rPr>
          <w:lang w:eastAsia="en-US"/>
        </w:rPr>
        <w:fldChar w:fldCharType="end"/>
      </w:r>
      <w:r>
        <w:rPr>
          <w:lang w:eastAsia="en-US"/>
        </w:rPr>
        <w:t xml:space="preserve">.  Taking into account the </w:t>
      </w:r>
      <w:r w:rsidR="00042B9B">
        <w:rPr>
          <w:lang w:eastAsia="en-US"/>
        </w:rPr>
        <w:t>protracted fear and anguish of the imminent risk of ill-treatment</w:t>
      </w:r>
      <w:r>
        <w:rPr>
          <w:lang w:eastAsia="en-US"/>
        </w:rPr>
        <w:t xml:space="preserve"> experienced by the applicant during the period of more than one year </w:t>
      </w:r>
      <w:r w:rsidR="0083265A">
        <w:rPr>
          <w:lang w:eastAsia="en-US"/>
        </w:rPr>
        <w:t xml:space="preserve">he spent </w:t>
      </w:r>
      <w:r>
        <w:rPr>
          <w:lang w:eastAsia="en-US"/>
        </w:rPr>
        <w:t>in Daugavpils Prison</w:t>
      </w:r>
      <w:r w:rsidR="000A34F1">
        <w:rPr>
          <w:lang w:eastAsia="en-US"/>
        </w:rPr>
        <w:t>,</w:t>
      </w:r>
      <w:r>
        <w:rPr>
          <w:lang w:eastAsia="en-US"/>
        </w:rPr>
        <w:t xml:space="preserve"> and the unavailability of a domestic remedy that would have enabled that situation to be resolved, the Court comes to the conclusion that there has been a violation of Article 3 of the Convention.</w:t>
      </w:r>
    </w:p>
    <w:p w:rsidR="00F71A6A" w:rsidRPr="00832702" w:rsidRDefault="007479B8">
      <w:pPr>
        <w:pStyle w:val="JuHIRoman"/>
      </w:pPr>
      <w:r>
        <w:t>II</w:t>
      </w:r>
      <w:r w:rsidR="00F71A6A" w:rsidRPr="00832702">
        <w:t>.  OTHER ALLEGED VIOLATIONS OF THE CONVENTION</w:t>
      </w:r>
    </w:p>
    <w:p w:rsidR="00F71A6A" w:rsidRPr="00832702" w:rsidRDefault="00832702" w:rsidP="002F4BCF">
      <w:pPr>
        <w:pStyle w:val="JuPara"/>
      </w:pPr>
      <w:r w:rsidRPr="00832702">
        <w:fldChar w:fldCharType="begin"/>
      </w:r>
      <w:r w:rsidRPr="00832702">
        <w:instrText xml:space="preserve"> SEQ level0 \*arabic </w:instrText>
      </w:r>
      <w:r w:rsidRPr="00832702">
        <w:fldChar w:fldCharType="separate"/>
      </w:r>
      <w:r w:rsidR="00740F03">
        <w:rPr>
          <w:noProof/>
        </w:rPr>
        <w:t>96</w:t>
      </w:r>
      <w:r w:rsidRPr="00832702">
        <w:fldChar w:fldCharType="end"/>
      </w:r>
      <w:r w:rsidR="00F71A6A" w:rsidRPr="00832702">
        <w:t xml:space="preserve">.  Lastly, the </w:t>
      </w:r>
      <w:r w:rsidR="0005522C" w:rsidRPr="00832702">
        <w:t>applicant</w:t>
      </w:r>
      <w:r w:rsidR="00BC2C06">
        <w:t xml:space="preserve"> submitted various other complaints under Articles 6</w:t>
      </w:r>
      <w:r w:rsidR="00AB647F">
        <w:t>, 13</w:t>
      </w:r>
      <w:r w:rsidR="00BC2C06">
        <w:t xml:space="preserve"> and 14 of the Convention. </w:t>
      </w:r>
      <w:r w:rsidR="00BC2C06" w:rsidRPr="00406DD3">
        <w:t>However, in the light of all the material in its possession, and in so far as the matters complained of are within its competence, the Court finds that they do not disclose any appearance of a violation of the rights and freedoms set out in the Convention or its Protocols.</w:t>
      </w:r>
      <w:r w:rsidR="00BC2C06">
        <w:t xml:space="preserve"> </w:t>
      </w:r>
      <w:r w:rsidR="00BC2C06" w:rsidRPr="00406DD3">
        <w:t>It follows that this part of the application is manifestly ill-founded and must be rejected in accordance with Article</w:t>
      </w:r>
      <w:r w:rsidR="00BC2C06">
        <w:t> </w:t>
      </w:r>
      <w:r w:rsidR="00BC2C06" w:rsidRPr="00406DD3">
        <w:t>35</w:t>
      </w:r>
      <w:r w:rsidR="00BC2C06">
        <w:t> </w:t>
      </w:r>
      <w:r w:rsidR="00BC2C06" w:rsidRPr="00406DD3">
        <w:t>§§</w:t>
      </w:r>
      <w:r w:rsidR="00BC2C06">
        <w:t> </w:t>
      </w:r>
      <w:r w:rsidR="00BC2C06" w:rsidRPr="00406DD3">
        <w:t>3</w:t>
      </w:r>
      <w:r w:rsidR="00BC2C06">
        <w:t> </w:t>
      </w:r>
      <w:r w:rsidR="00BC2C06" w:rsidRPr="00406DD3">
        <w:t>(a) and 4 of the Convention.</w:t>
      </w:r>
    </w:p>
    <w:p w:rsidR="00F71A6A" w:rsidRPr="00832702" w:rsidRDefault="007479B8" w:rsidP="00435D95">
      <w:pPr>
        <w:pStyle w:val="JuHIRoman"/>
        <w:keepNext w:val="0"/>
        <w:keepLines w:val="0"/>
      </w:pPr>
      <w:r>
        <w:t>III</w:t>
      </w:r>
      <w:r w:rsidR="00F71A6A" w:rsidRPr="00832702">
        <w:t>.  APPLICATION OF ARTICLE 41 OF THE CONVENTION</w:t>
      </w:r>
    </w:p>
    <w:p w:rsidR="00F71A6A" w:rsidRPr="00832702" w:rsidRDefault="00832702" w:rsidP="00435D95">
      <w:pPr>
        <w:pStyle w:val="JuPara"/>
      </w:pPr>
      <w:r w:rsidRPr="00832702">
        <w:fldChar w:fldCharType="begin"/>
      </w:r>
      <w:r w:rsidRPr="00832702">
        <w:instrText xml:space="preserve"> SEQ level0 \*arabic </w:instrText>
      </w:r>
      <w:r w:rsidRPr="00832702">
        <w:fldChar w:fldCharType="separate"/>
      </w:r>
      <w:r w:rsidR="00740F03">
        <w:rPr>
          <w:noProof/>
        </w:rPr>
        <w:t>97</w:t>
      </w:r>
      <w:r w:rsidRPr="00832702">
        <w:fldChar w:fldCharType="end"/>
      </w:r>
      <w:r w:rsidR="00F71A6A" w:rsidRPr="00832702">
        <w:t>.  Article 41 of the Convention provides:</w:t>
      </w:r>
    </w:p>
    <w:p w:rsidR="00F71A6A" w:rsidRPr="00832702" w:rsidRDefault="00F71A6A" w:rsidP="00435D95">
      <w:pPr>
        <w:pStyle w:val="JuQuot"/>
      </w:pPr>
      <w:r w:rsidRPr="00832702">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00F71A6A" w:rsidRPr="00832702" w:rsidRDefault="00F71A6A" w:rsidP="008824B9">
      <w:pPr>
        <w:pStyle w:val="JuHA"/>
        <w:keepLines w:val="0"/>
        <w:outlineLvl w:val="0"/>
      </w:pPr>
      <w:r w:rsidRPr="00832702">
        <w:t>A.  Damage</w:t>
      </w:r>
    </w:p>
    <w:p w:rsidR="00F71A6A" w:rsidRPr="00832702" w:rsidRDefault="00832702" w:rsidP="002F4BCF">
      <w:pPr>
        <w:pStyle w:val="JuPara"/>
      </w:pPr>
      <w:r w:rsidRPr="00832702">
        <w:fldChar w:fldCharType="begin"/>
      </w:r>
      <w:r w:rsidRPr="00832702">
        <w:instrText xml:space="preserve"> SEQ level0 \*arabic </w:instrText>
      </w:r>
      <w:r w:rsidRPr="00832702">
        <w:fldChar w:fldCharType="separate"/>
      </w:r>
      <w:r w:rsidR="00740F03">
        <w:rPr>
          <w:noProof/>
        </w:rPr>
        <w:t>98</w:t>
      </w:r>
      <w:r w:rsidRPr="00832702">
        <w:fldChar w:fldCharType="end"/>
      </w:r>
      <w:r w:rsidR="00F71A6A" w:rsidRPr="00832702">
        <w:t xml:space="preserve">.  The </w:t>
      </w:r>
      <w:r w:rsidR="0005522C" w:rsidRPr="00832702">
        <w:t>applicant</w:t>
      </w:r>
      <w:r w:rsidR="00F71A6A" w:rsidRPr="00832702">
        <w:t xml:space="preserve"> claimed </w:t>
      </w:r>
      <w:r w:rsidR="00BC2C06">
        <w:t>50,000 Latvian lati (approximately 71,360 </w:t>
      </w:r>
      <w:r w:rsidR="00F71A6A" w:rsidRPr="00832702">
        <w:t>euros (EUR)</w:t>
      </w:r>
      <w:r w:rsidR="003C715F">
        <w:t>)</w:t>
      </w:r>
      <w:r w:rsidR="00F71A6A" w:rsidRPr="00832702">
        <w:t xml:space="preserve"> in </w:t>
      </w:r>
      <w:r w:rsidR="0083265A">
        <w:t xml:space="preserve">compensation for </w:t>
      </w:r>
      <w:r w:rsidR="00F71A6A" w:rsidRPr="00832702">
        <w:t>non-pecuniary damage.</w:t>
      </w:r>
    </w:p>
    <w:p w:rsidR="00F71A6A" w:rsidRPr="00832702" w:rsidRDefault="00832702" w:rsidP="002F4BCF">
      <w:pPr>
        <w:pStyle w:val="JuPara"/>
      </w:pPr>
      <w:r w:rsidRPr="00832702">
        <w:fldChar w:fldCharType="begin"/>
      </w:r>
      <w:r w:rsidRPr="00832702">
        <w:instrText xml:space="preserve"> SEQ level0 \*arabic </w:instrText>
      </w:r>
      <w:r w:rsidRPr="00832702">
        <w:fldChar w:fldCharType="separate"/>
      </w:r>
      <w:r w:rsidR="00740F03">
        <w:rPr>
          <w:noProof/>
        </w:rPr>
        <w:t>99</w:t>
      </w:r>
      <w:r w:rsidRPr="00832702">
        <w:fldChar w:fldCharType="end"/>
      </w:r>
      <w:r w:rsidR="00F71A6A" w:rsidRPr="00832702">
        <w:t xml:space="preserve">.  The Government </w:t>
      </w:r>
      <w:r w:rsidR="00BC2C06">
        <w:t>considered the applicant</w:t>
      </w:r>
      <w:r w:rsidR="00D870DC">
        <w:t>’</w:t>
      </w:r>
      <w:r w:rsidR="00BC2C06">
        <w:t>s claim excessive</w:t>
      </w:r>
      <w:r w:rsidR="00042B9B">
        <w:t>.</w:t>
      </w:r>
    </w:p>
    <w:p w:rsidR="00F71A6A" w:rsidRPr="00832702" w:rsidRDefault="00832702" w:rsidP="002F4BCF">
      <w:pPr>
        <w:pStyle w:val="JuPara"/>
      </w:pPr>
      <w:r w:rsidRPr="00832702">
        <w:fldChar w:fldCharType="begin"/>
      </w:r>
      <w:r w:rsidRPr="00832702">
        <w:instrText xml:space="preserve"> SEQ level0 \*arabic </w:instrText>
      </w:r>
      <w:r w:rsidRPr="00832702">
        <w:fldChar w:fldCharType="separate"/>
      </w:r>
      <w:r w:rsidR="00740F03">
        <w:rPr>
          <w:noProof/>
        </w:rPr>
        <w:t>100</w:t>
      </w:r>
      <w:r w:rsidRPr="00832702">
        <w:fldChar w:fldCharType="end"/>
      </w:r>
      <w:r w:rsidR="00F71A6A" w:rsidRPr="00832702">
        <w:t>.  The Court</w:t>
      </w:r>
      <w:r w:rsidR="00343B72">
        <w:t xml:space="preserve">, ruling on an </w:t>
      </w:r>
      <w:r w:rsidR="0032604F">
        <w:t>equitable basis,</w:t>
      </w:r>
      <w:r w:rsidR="00F71A6A" w:rsidRPr="00832702">
        <w:t xml:space="preserve"> awards the </w:t>
      </w:r>
      <w:r w:rsidR="0005522C" w:rsidRPr="00832702">
        <w:t>applicant</w:t>
      </w:r>
      <w:r w:rsidR="00F71A6A" w:rsidRPr="00832702">
        <w:t xml:space="preserve"> EUR</w:t>
      </w:r>
      <w:r w:rsidR="0032604F">
        <w:t> </w:t>
      </w:r>
      <w:r w:rsidR="00042B9B">
        <w:t>8</w:t>
      </w:r>
      <w:r w:rsidR="0032604F">
        <w:t>,000</w:t>
      </w:r>
      <w:r w:rsidR="00F71A6A" w:rsidRPr="00832702">
        <w:t xml:space="preserve"> in respect of non-pecuniary damage.</w:t>
      </w:r>
    </w:p>
    <w:p w:rsidR="00F71A6A" w:rsidRPr="00832702" w:rsidRDefault="00F71A6A" w:rsidP="008824B9">
      <w:pPr>
        <w:pStyle w:val="JuHA"/>
        <w:outlineLvl w:val="0"/>
      </w:pPr>
      <w:r w:rsidRPr="00832702">
        <w:t>B.  Costs and expenses</w:t>
      </w:r>
    </w:p>
    <w:p w:rsidR="00F71A6A" w:rsidRPr="00832702" w:rsidRDefault="00832702" w:rsidP="002F4BCF">
      <w:pPr>
        <w:pStyle w:val="JuPara"/>
      </w:pPr>
      <w:r w:rsidRPr="00832702">
        <w:fldChar w:fldCharType="begin"/>
      </w:r>
      <w:r w:rsidRPr="00832702">
        <w:instrText xml:space="preserve"> SEQ level0 \*arabic </w:instrText>
      </w:r>
      <w:r w:rsidRPr="00832702">
        <w:fldChar w:fldCharType="separate"/>
      </w:r>
      <w:r w:rsidR="00740F03">
        <w:rPr>
          <w:noProof/>
        </w:rPr>
        <w:t>101</w:t>
      </w:r>
      <w:r w:rsidRPr="00832702">
        <w:fldChar w:fldCharType="end"/>
      </w:r>
      <w:r w:rsidR="00F71A6A" w:rsidRPr="00832702">
        <w:t>.  </w:t>
      </w:r>
      <w:r w:rsidR="00AB647F" w:rsidRPr="004C504F">
        <w:t xml:space="preserve">The applicant </w:t>
      </w:r>
      <w:r w:rsidR="00AB647F">
        <w:t>did not submit any claims in respect of</w:t>
      </w:r>
      <w:r w:rsidR="00AB647F" w:rsidRPr="004C504F">
        <w:t xml:space="preserve"> costs and expenses.</w:t>
      </w:r>
    </w:p>
    <w:p w:rsidR="00F71A6A" w:rsidRPr="00832702" w:rsidRDefault="00F71A6A" w:rsidP="008824B9">
      <w:pPr>
        <w:pStyle w:val="JuHA"/>
        <w:outlineLvl w:val="0"/>
      </w:pPr>
      <w:r w:rsidRPr="00832702">
        <w:t>C.  Default interest</w:t>
      </w:r>
    </w:p>
    <w:p w:rsidR="00F71A6A" w:rsidRPr="00832702" w:rsidRDefault="00832702" w:rsidP="00151CCA">
      <w:pPr>
        <w:pStyle w:val="JuPara"/>
      </w:pPr>
      <w:r w:rsidRPr="00832702">
        <w:fldChar w:fldCharType="begin"/>
      </w:r>
      <w:r w:rsidRPr="00832702">
        <w:instrText xml:space="preserve"> SEQ level0 \*arabic </w:instrText>
      </w:r>
      <w:r w:rsidRPr="00832702">
        <w:fldChar w:fldCharType="separate"/>
      </w:r>
      <w:r w:rsidR="00740F03">
        <w:rPr>
          <w:noProof/>
        </w:rPr>
        <w:t>102</w:t>
      </w:r>
      <w:r w:rsidRPr="00832702">
        <w:fldChar w:fldCharType="end"/>
      </w:r>
      <w:r w:rsidR="00F71A6A" w:rsidRPr="00832702">
        <w:t xml:space="preserve">.  The Court considers it appropriate that the default interest </w:t>
      </w:r>
      <w:r w:rsidR="0034580F" w:rsidRPr="00832702">
        <w:t xml:space="preserve">rate </w:t>
      </w:r>
      <w:r w:rsidR="00F71A6A" w:rsidRPr="00832702">
        <w:t>should be based on the marginal lending rate of the European Central Bank, to which should be added three percentage points.</w:t>
      </w:r>
    </w:p>
    <w:p w:rsidR="00F71A6A" w:rsidRPr="00832702" w:rsidRDefault="00F71A6A" w:rsidP="008824B9">
      <w:pPr>
        <w:pStyle w:val="JuHHead"/>
      </w:pPr>
      <w:r w:rsidRPr="00832702">
        <w:t xml:space="preserve">FOR THESE REASONS, THE COURT </w:t>
      </w:r>
      <w:r w:rsidR="00832702" w:rsidRPr="00832702">
        <w:t>UNANIMOUSLY</w:t>
      </w:r>
    </w:p>
    <w:p w:rsidR="00F71A6A" w:rsidRPr="00832702" w:rsidRDefault="00910131">
      <w:pPr>
        <w:pStyle w:val="JuList"/>
      </w:pPr>
      <w:r>
        <w:t>1</w:t>
      </w:r>
      <w:r w:rsidR="009F07CC" w:rsidRPr="00832702">
        <w:t>.  </w:t>
      </w:r>
      <w:r w:rsidR="00F71A6A" w:rsidRPr="00832702">
        <w:rPr>
          <w:i/>
        </w:rPr>
        <w:t>Declares</w:t>
      </w:r>
      <w:r w:rsidR="00F71A6A" w:rsidRPr="00832702">
        <w:t xml:space="preserve"> the complaint concerning </w:t>
      </w:r>
      <w:r w:rsidR="00983540">
        <w:t>the delay in ordering the applicant</w:t>
      </w:r>
      <w:r w:rsidR="00D870DC">
        <w:t>’</w:t>
      </w:r>
      <w:r w:rsidR="00983540">
        <w:t xml:space="preserve">s transfer to Matīsa Prison and the alleged unavailability of an effective remedy in that regard </w:t>
      </w:r>
      <w:r w:rsidR="00F71A6A" w:rsidRPr="00832702">
        <w:t xml:space="preserve">admissible and the remainder of the </w:t>
      </w:r>
      <w:r w:rsidR="00832702" w:rsidRPr="00832702">
        <w:t>application</w:t>
      </w:r>
      <w:r w:rsidR="0011665B" w:rsidRPr="00832702">
        <w:t xml:space="preserve"> inadmissible;</w:t>
      </w:r>
    </w:p>
    <w:p w:rsidR="00F71A6A" w:rsidRPr="00832702" w:rsidRDefault="00F71A6A">
      <w:pPr>
        <w:pStyle w:val="JuList"/>
      </w:pPr>
    </w:p>
    <w:p w:rsidR="009F07CC" w:rsidRPr="00832702" w:rsidRDefault="00910131" w:rsidP="009F07CC">
      <w:pPr>
        <w:pStyle w:val="JuList"/>
      </w:pPr>
      <w:r>
        <w:t>2</w:t>
      </w:r>
      <w:r w:rsidR="009F07CC" w:rsidRPr="00832702">
        <w:t>.</w:t>
      </w:r>
      <w:r w:rsidR="00F71A6A" w:rsidRPr="00832702">
        <w:t>  </w:t>
      </w:r>
      <w:r w:rsidR="00F71A6A" w:rsidRPr="00832702">
        <w:rPr>
          <w:i/>
        </w:rPr>
        <w:t>Holds</w:t>
      </w:r>
      <w:r w:rsidR="00F71A6A" w:rsidRPr="00832702">
        <w:t xml:space="preserve"> that there has been a violation of Article</w:t>
      </w:r>
      <w:r w:rsidR="00983540">
        <w:t> </w:t>
      </w:r>
      <w:r w:rsidR="00AB647F">
        <w:t>3</w:t>
      </w:r>
      <w:r w:rsidR="00F71A6A" w:rsidRPr="00832702">
        <w:t xml:space="preserve"> of the Convention;</w:t>
      </w:r>
    </w:p>
    <w:p w:rsidR="00F71A6A" w:rsidRPr="00832702" w:rsidRDefault="00F71A6A">
      <w:pPr>
        <w:pStyle w:val="JuList"/>
      </w:pPr>
    </w:p>
    <w:p w:rsidR="00D870DC" w:rsidRDefault="00AB647F" w:rsidP="00901475">
      <w:pPr>
        <w:pStyle w:val="JuList"/>
      </w:pPr>
      <w:r>
        <w:t>3</w:t>
      </w:r>
      <w:r w:rsidR="00F71A6A" w:rsidRPr="00832702">
        <w:t>.  </w:t>
      </w:r>
      <w:r w:rsidR="00F71A6A" w:rsidRPr="00832702">
        <w:rPr>
          <w:i/>
        </w:rPr>
        <w:t>Holds</w:t>
      </w:r>
    </w:p>
    <w:p w:rsidR="00AB647F" w:rsidRPr="004C504F" w:rsidRDefault="00AB647F" w:rsidP="00AB647F">
      <w:pPr>
        <w:pStyle w:val="JuLista"/>
      </w:pPr>
      <w:r w:rsidRPr="004C504F">
        <w:t>(a)  that the respondent State is to pay the applicant, within three months</w:t>
      </w:r>
      <w:r>
        <w:t xml:space="preserve"> </w:t>
      </w:r>
      <w:r w:rsidRPr="004C504F">
        <w:t>from the date on which the judgment becomes final in accordance with Article 44 § 2 of the Convention, EUR</w:t>
      </w:r>
      <w:r w:rsidR="0032604F">
        <w:t> </w:t>
      </w:r>
      <w:r w:rsidR="00042B9B">
        <w:t>8</w:t>
      </w:r>
      <w:r w:rsidR="0032604F">
        <w:t>,000</w:t>
      </w:r>
      <w:r w:rsidRPr="004C504F">
        <w:t xml:space="preserve"> (</w:t>
      </w:r>
      <w:r w:rsidR="00042B9B">
        <w:t xml:space="preserve">eight </w:t>
      </w:r>
      <w:r w:rsidR="0032604F">
        <w:t xml:space="preserve">thousand </w:t>
      </w:r>
      <w:r w:rsidRPr="004C504F">
        <w:t>euros), plus any tax that may be chargeable, in respect of non-pecuniary damage</w:t>
      </w:r>
      <w:r w:rsidR="00AD3249">
        <w:t>;</w:t>
      </w:r>
    </w:p>
    <w:p w:rsidR="003104E9" w:rsidRPr="00832702" w:rsidRDefault="00AB647F" w:rsidP="00AB647F">
      <w:pPr>
        <w:pStyle w:val="JuLista"/>
      </w:pPr>
      <w:r w:rsidRPr="004C504F">
        <w:t>(b)  that from the expiry of the above-mentioned three months until settlement simple interest shall be payable on the above amount at a rate equal to the marginal lending rate of the European Central Bank during the default period plus three percentage points;</w:t>
      </w:r>
    </w:p>
    <w:p w:rsidR="00F71A6A" w:rsidRPr="00832702" w:rsidRDefault="00F71A6A">
      <w:pPr>
        <w:pStyle w:val="JuList"/>
      </w:pPr>
    </w:p>
    <w:p w:rsidR="00F71A6A" w:rsidRPr="00832702" w:rsidRDefault="00435D95" w:rsidP="00435D95">
      <w:pPr>
        <w:pStyle w:val="JuList"/>
        <w:keepNext/>
        <w:keepLines/>
      </w:pPr>
      <w:r>
        <w:t>4</w:t>
      </w:r>
      <w:r w:rsidR="00F71A6A" w:rsidRPr="00832702">
        <w:t>.  </w:t>
      </w:r>
      <w:r w:rsidR="00F71A6A" w:rsidRPr="00832702">
        <w:rPr>
          <w:i/>
        </w:rPr>
        <w:t>Dismisses</w:t>
      </w:r>
      <w:r w:rsidR="00F71A6A" w:rsidRPr="00832702">
        <w:t xml:space="preserve"> the remainder of the </w:t>
      </w:r>
      <w:r w:rsidR="005F4753" w:rsidRPr="00832702">
        <w:t>applicant</w:t>
      </w:r>
      <w:r w:rsidR="00D870DC">
        <w:t>’</w:t>
      </w:r>
      <w:r w:rsidR="00832702" w:rsidRPr="00832702">
        <w:t>s</w:t>
      </w:r>
      <w:r w:rsidR="00F71A6A" w:rsidRPr="00832702">
        <w:t xml:space="preserve"> claim for just satisfaction.</w:t>
      </w:r>
    </w:p>
    <w:p w:rsidR="00325C2B" w:rsidRPr="00832702" w:rsidRDefault="00F71A6A" w:rsidP="00435D95">
      <w:pPr>
        <w:pStyle w:val="JuParaLast"/>
      </w:pPr>
      <w:r w:rsidRPr="00832702">
        <w:t xml:space="preserve">Done in English, and notified in writing on </w:t>
      </w:r>
      <w:r w:rsidR="00EE2C31">
        <w:t>29 October 2013</w:t>
      </w:r>
      <w:r w:rsidRPr="00832702">
        <w:t>, pursuant to Rule</w:t>
      </w:r>
      <w:r w:rsidR="0011665B" w:rsidRPr="00832702">
        <w:t xml:space="preserve"> </w:t>
      </w:r>
      <w:r w:rsidRPr="00832702">
        <w:t>77</w:t>
      </w:r>
      <w:r w:rsidR="0011665B" w:rsidRPr="00832702">
        <w:t xml:space="preserve"> </w:t>
      </w:r>
      <w:r w:rsidRPr="00832702">
        <w:t>§§</w:t>
      </w:r>
      <w:r w:rsidR="0011665B" w:rsidRPr="00832702">
        <w:t xml:space="preserve"> </w:t>
      </w:r>
      <w:r w:rsidRPr="00832702">
        <w:t>2 and</w:t>
      </w:r>
      <w:r w:rsidR="0011665B" w:rsidRPr="00832702">
        <w:t xml:space="preserve"> </w:t>
      </w:r>
      <w:r w:rsidRPr="00832702">
        <w:t>3 of the Rules of Court.</w:t>
      </w:r>
    </w:p>
    <w:p w:rsidR="0079187F" w:rsidRDefault="00325C2B" w:rsidP="00C01E1C">
      <w:pPr>
        <w:pStyle w:val="JuSigned"/>
        <w:keepNext/>
        <w:keepLines/>
        <w:rPr>
          <w:lang w:val="fr-FR"/>
        </w:rPr>
      </w:pPr>
      <w:r w:rsidRPr="00832702">
        <w:tab/>
      </w:r>
      <w:r w:rsidR="00983540" w:rsidRPr="00580E6F">
        <w:rPr>
          <w:lang w:val="fr-FR"/>
        </w:rPr>
        <w:t>Françoise Elens-Passos</w:t>
      </w:r>
      <w:r w:rsidR="00A8381C" w:rsidRPr="00580E6F">
        <w:rPr>
          <w:lang w:val="fr-FR"/>
        </w:rPr>
        <w:tab/>
      </w:r>
      <w:r w:rsidR="00832702" w:rsidRPr="00580E6F">
        <w:rPr>
          <w:szCs w:val="24"/>
          <w:lang w:val="fr-FR"/>
        </w:rPr>
        <w:t>David Thór Björgvinsson</w:t>
      </w:r>
      <w:r w:rsidR="00D870DC">
        <w:rPr>
          <w:szCs w:val="24"/>
          <w:lang w:val="fr-FR"/>
        </w:rPr>
        <w:br/>
      </w:r>
      <w:r w:rsidR="00A8381C" w:rsidRPr="00580E6F">
        <w:rPr>
          <w:lang w:val="fr-FR"/>
        </w:rPr>
        <w:tab/>
      </w:r>
      <w:r w:rsidR="00832702" w:rsidRPr="00580E6F">
        <w:rPr>
          <w:iCs/>
          <w:lang w:val="fr-FR"/>
        </w:rPr>
        <w:t>Registrar</w:t>
      </w:r>
      <w:r w:rsidR="00A8381C" w:rsidRPr="00580E6F">
        <w:rPr>
          <w:lang w:val="fr-FR"/>
        </w:rPr>
        <w:tab/>
        <w:t>President</w:t>
      </w:r>
    </w:p>
    <w:p w:rsidR="00D870DC" w:rsidRPr="00D870DC" w:rsidRDefault="00D870DC" w:rsidP="00D870DC">
      <w:pPr>
        <w:pStyle w:val="JuParaLast"/>
        <w:rPr>
          <w:lang w:val="fr-FR"/>
        </w:rPr>
      </w:pPr>
    </w:p>
    <w:sectPr w:rsidR="00D870DC" w:rsidRPr="00D870DC" w:rsidSect="00683DCB">
      <w:headerReference w:type="even" r:id="rId17"/>
      <w:headerReference w:type="default" r:id="rId18"/>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709" w:rsidRDefault="008F5709">
      <w:r>
        <w:separator/>
      </w:r>
    </w:p>
  </w:endnote>
  <w:endnote w:type="continuationSeparator" w:id="0">
    <w:p w:rsidR="008F5709" w:rsidRDefault="008F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DCB" w:rsidRDefault="00683D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DCB" w:rsidRDefault="00683D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DCB" w:rsidRPr="00150BFA" w:rsidRDefault="00740F03" w:rsidP="00943058">
    <w:pPr>
      <w:jc w:val="center"/>
    </w:pPr>
    <w:r>
      <w:rPr>
        <w:noProof/>
        <w:lang w:val="en-US" w:eastAsia="ja-JP"/>
      </w:rPr>
      <w:drawing>
        <wp:inline distT="0" distB="0" distL="0" distR="0">
          <wp:extent cx="762000" cy="609600"/>
          <wp:effectExtent l="0" t="0" r="0" b="0"/>
          <wp:docPr id="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09600"/>
                  </a:xfrm>
                  <a:prstGeom prst="rect">
                    <a:avLst/>
                  </a:prstGeom>
                  <a:noFill/>
                  <a:ln>
                    <a:noFill/>
                  </a:ln>
                </pic:spPr>
              </pic:pic>
            </a:graphicData>
          </a:graphic>
        </wp:inline>
      </w:drawing>
    </w:r>
  </w:p>
  <w:p w:rsidR="00683DCB" w:rsidRDefault="00683D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709" w:rsidRDefault="008F5709">
      <w:r>
        <w:separator/>
      </w:r>
    </w:p>
  </w:footnote>
  <w:footnote w:type="continuationSeparator" w:id="0">
    <w:p w:rsidR="008F5709" w:rsidRDefault="008F5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DCB" w:rsidRDefault="00683D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65A" w:rsidRPr="00683DCB" w:rsidRDefault="0083265A" w:rsidP="00683DCB">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DCB" w:rsidRPr="00A45145" w:rsidRDefault="00740F03" w:rsidP="00943058">
    <w:pPr>
      <w:jc w:val="center"/>
    </w:pPr>
    <w:bookmarkStart w:id="1" w:name="_GoBack"/>
    <w:r>
      <w:rPr>
        <w:noProof/>
        <w:lang w:val="en-US" w:eastAsia="ja-JP"/>
      </w:rPr>
      <w:drawing>
        <wp:inline distT="0" distB="0" distL="0" distR="0">
          <wp:extent cx="2944495" cy="1219200"/>
          <wp:effectExtent l="0" t="0" r="8255" b="0"/>
          <wp:docPr id="1" name="Picture 14" descr="R:\1_Graphics&amp;Web\Court_Graphic_Charter\2013\ECHR_Stationery\Documents\Cover_Page\ECHR_CoverpageCS6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1_Graphics&amp;Web\Court_Graphic_Charter\2013\ECHR_Stationery\Documents\Cover_Page\ECHR_CoverpageCS6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4495" cy="1219200"/>
                  </a:xfrm>
                  <a:prstGeom prst="rect">
                    <a:avLst/>
                  </a:prstGeom>
                  <a:noFill/>
                  <a:ln>
                    <a:noFill/>
                  </a:ln>
                </pic:spPr>
              </pic:pic>
            </a:graphicData>
          </a:graphic>
        </wp:inline>
      </w:drawing>
    </w:r>
    <w:bookmarkEnd w:id="1"/>
  </w:p>
  <w:p w:rsidR="00CB10EA" w:rsidRDefault="00CB10E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DCB" w:rsidRDefault="00683DCB">
    <w:pPr>
      <w:pStyle w:val="JuHeader"/>
    </w:pPr>
    <w:r>
      <w:rPr>
        <w:rStyle w:val="PageNumber"/>
      </w:rPr>
      <w:fldChar w:fldCharType="begin"/>
    </w:r>
    <w:r>
      <w:rPr>
        <w:rStyle w:val="PageNumber"/>
      </w:rPr>
      <w:instrText xml:space="preserve"> PAGE </w:instrText>
    </w:r>
    <w:r>
      <w:rPr>
        <w:rStyle w:val="PageNumber"/>
      </w:rPr>
      <w:fldChar w:fldCharType="separate"/>
    </w:r>
    <w:r w:rsidR="00740F03">
      <w:rPr>
        <w:rStyle w:val="PageNumber"/>
        <w:noProof/>
      </w:rPr>
      <w:t>26</w:t>
    </w:r>
    <w:r>
      <w:rPr>
        <w:rStyle w:val="PageNumber"/>
      </w:rPr>
      <w:fldChar w:fldCharType="end"/>
    </w:r>
    <w:r>
      <w:tab/>
      <w:t>D.F. v. LATVIA JUDGMENT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DCB" w:rsidRDefault="00683DCB">
    <w:pPr>
      <w:pStyle w:val="JuHeader"/>
    </w:pPr>
    <w:r>
      <w:tab/>
      <w:t>D.F. v. LATVIA JUDGMENT</w:t>
    </w:r>
    <w:r>
      <w:tab/>
    </w:r>
    <w:r>
      <w:rPr>
        <w:rStyle w:val="PageNumber"/>
      </w:rPr>
      <w:fldChar w:fldCharType="begin"/>
    </w:r>
    <w:r>
      <w:rPr>
        <w:rStyle w:val="PageNumber"/>
      </w:rPr>
      <w:instrText xml:space="preserve"> PAGE </w:instrText>
    </w:r>
    <w:r>
      <w:rPr>
        <w:rStyle w:val="PageNumber"/>
      </w:rPr>
      <w:fldChar w:fldCharType="separate"/>
    </w:r>
    <w:r w:rsidR="00740F03">
      <w:rPr>
        <w:rStyle w:val="PageNumber"/>
        <w:noProof/>
      </w:rPr>
      <w:t>26</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6C2734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EDCD3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1B44A14"/>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6CC6A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7B26C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49265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E98D21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76A49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E8C5388"/>
    <w:lvl w:ilvl="0">
      <w:start w:val="1"/>
      <w:numFmt w:val="decimal"/>
      <w:pStyle w:val="ListNumber"/>
      <w:lvlText w:val="%1."/>
      <w:lvlJc w:val="left"/>
      <w:pPr>
        <w:tabs>
          <w:tab w:val="num" w:pos="360"/>
        </w:tabs>
        <w:ind w:left="360" w:hanging="360"/>
      </w:pPr>
    </w:lvl>
  </w:abstractNum>
  <w:abstractNum w:abstractNumId="9">
    <w:nsid w:val="FFFFFF89"/>
    <w:multiLevelType w:val="singleLevel"/>
    <w:tmpl w:val="AEE8A85E"/>
    <w:lvl w:ilvl="0">
      <w:start w:val="1"/>
      <w:numFmt w:val="bullet"/>
      <w:lvlText w:val=""/>
      <w:lvlJc w:val="left"/>
      <w:pPr>
        <w:tabs>
          <w:tab w:val="num" w:pos="360"/>
        </w:tabs>
        <w:ind w:left="360" w:hanging="360"/>
      </w:pPr>
      <w:rPr>
        <w:rFonts w:ascii="Symbol" w:hAnsi="Symbol" w:hint="default"/>
      </w:rPr>
    </w:lvl>
  </w:abstractNum>
  <w:abstractNum w:abstractNumId="10">
    <w:nsid w:val="2974745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7D768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A870607"/>
    <w:multiLevelType w:val="hybridMultilevel"/>
    <w:tmpl w:val="885CB958"/>
    <w:lvl w:ilvl="0" w:tplc="4942C1F6">
      <w:start w:val="2"/>
      <w:numFmt w:val="upperLetter"/>
      <w:lvlText w:val="%1."/>
      <w:lvlJc w:val="left"/>
      <w:pPr>
        <w:tabs>
          <w:tab w:val="num" w:pos="592"/>
        </w:tabs>
        <w:ind w:left="592" w:hanging="360"/>
      </w:pPr>
      <w:rPr>
        <w:rFonts w:hint="default"/>
      </w:rPr>
    </w:lvl>
    <w:lvl w:ilvl="1" w:tplc="08090019" w:tentative="1">
      <w:start w:val="1"/>
      <w:numFmt w:val="lowerLetter"/>
      <w:lvlText w:val="%2."/>
      <w:lvlJc w:val="left"/>
      <w:pPr>
        <w:tabs>
          <w:tab w:val="num" w:pos="1312"/>
        </w:tabs>
        <w:ind w:left="1312" w:hanging="360"/>
      </w:pPr>
    </w:lvl>
    <w:lvl w:ilvl="2" w:tplc="0809001B" w:tentative="1">
      <w:start w:val="1"/>
      <w:numFmt w:val="lowerRoman"/>
      <w:lvlText w:val="%3."/>
      <w:lvlJc w:val="right"/>
      <w:pPr>
        <w:tabs>
          <w:tab w:val="num" w:pos="2032"/>
        </w:tabs>
        <w:ind w:left="2032" w:hanging="180"/>
      </w:pPr>
    </w:lvl>
    <w:lvl w:ilvl="3" w:tplc="0809000F" w:tentative="1">
      <w:start w:val="1"/>
      <w:numFmt w:val="decimal"/>
      <w:lvlText w:val="%4."/>
      <w:lvlJc w:val="left"/>
      <w:pPr>
        <w:tabs>
          <w:tab w:val="num" w:pos="2752"/>
        </w:tabs>
        <w:ind w:left="2752" w:hanging="360"/>
      </w:pPr>
    </w:lvl>
    <w:lvl w:ilvl="4" w:tplc="08090019" w:tentative="1">
      <w:start w:val="1"/>
      <w:numFmt w:val="lowerLetter"/>
      <w:lvlText w:val="%5."/>
      <w:lvlJc w:val="left"/>
      <w:pPr>
        <w:tabs>
          <w:tab w:val="num" w:pos="3472"/>
        </w:tabs>
        <w:ind w:left="3472" w:hanging="360"/>
      </w:pPr>
    </w:lvl>
    <w:lvl w:ilvl="5" w:tplc="0809001B" w:tentative="1">
      <w:start w:val="1"/>
      <w:numFmt w:val="lowerRoman"/>
      <w:lvlText w:val="%6."/>
      <w:lvlJc w:val="right"/>
      <w:pPr>
        <w:tabs>
          <w:tab w:val="num" w:pos="4192"/>
        </w:tabs>
        <w:ind w:left="4192" w:hanging="180"/>
      </w:pPr>
    </w:lvl>
    <w:lvl w:ilvl="6" w:tplc="0809000F" w:tentative="1">
      <w:start w:val="1"/>
      <w:numFmt w:val="decimal"/>
      <w:lvlText w:val="%7."/>
      <w:lvlJc w:val="left"/>
      <w:pPr>
        <w:tabs>
          <w:tab w:val="num" w:pos="4912"/>
        </w:tabs>
        <w:ind w:left="4912" w:hanging="360"/>
      </w:pPr>
    </w:lvl>
    <w:lvl w:ilvl="7" w:tplc="08090019" w:tentative="1">
      <w:start w:val="1"/>
      <w:numFmt w:val="lowerLetter"/>
      <w:lvlText w:val="%8."/>
      <w:lvlJc w:val="left"/>
      <w:pPr>
        <w:tabs>
          <w:tab w:val="num" w:pos="5632"/>
        </w:tabs>
        <w:ind w:left="5632" w:hanging="360"/>
      </w:pPr>
    </w:lvl>
    <w:lvl w:ilvl="8" w:tplc="0809001B" w:tentative="1">
      <w:start w:val="1"/>
      <w:numFmt w:val="lowerRoman"/>
      <w:lvlText w:val="%9."/>
      <w:lvlJc w:val="right"/>
      <w:pPr>
        <w:tabs>
          <w:tab w:val="num" w:pos="6352"/>
        </w:tabs>
        <w:ind w:left="6352" w:hanging="180"/>
      </w:pPr>
    </w:lvl>
  </w:abstractNum>
  <w:abstractNum w:abstractNumId="13">
    <w:nsid w:val="48AB1607"/>
    <w:multiLevelType w:val="hybridMultilevel"/>
    <w:tmpl w:val="399C7DB2"/>
    <w:lvl w:ilvl="0" w:tplc="E3723D12">
      <w:start w:val="3"/>
      <w:numFmt w:val="decimal"/>
      <w:lvlText w:val="%1)"/>
      <w:lvlJc w:val="left"/>
      <w:pPr>
        <w:tabs>
          <w:tab w:val="num" w:pos="791"/>
        </w:tabs>
        <w:ind w:left="791" w:hanging="360"/>
      </w:pPr>
      <w:rPr>
        <w:rFonts w:hint="default"/>
      </w:rPr>
    </w:lvl>
    <w:lvl w:ilvl="1" w:tplc="08090019" w:tentative="1">
      <w:start w:val="1"/>
      <w:numFmt w:val="lowerLetter"/>
      <w:lvlText w:val="%2."/>
      <w:lvlJc w:val="left"/>
      <w:pPr>
        <w:tabs>
          <w:tab w:val="num" w:pos="1511"/>
        </w:tabs>
        <w:ind w:left="1511" w:hanging="360"/>
      </w:pPr>
    </w:lvl>
    <w:lvl w:ilvl="2" w:tplc="0809001B" w:tentative="1">
      <w:start w:val="1"/>
      <w:numFmt w:val="lowerRoman"/>
      <w:lvlText w:val="%3."/>
      <w:lvlJc w:val="right"/>
      <w:pPr>
        <w:tabs>
          <w:tab w:val="num" w:pos="2231"/>
        </w:tabs>
        <w:ind w:left="2231" w:hanging="180"/>
      </w:pPr>
    </w:lvl>
    <w:lvl w:ilvl="3" w:tplc="0809000F" w:tentative="1">
      <w:start w:val="1"/>
      <w:numFmt w:val="decimal"/>
      <w:lvlText w:val="%4."/>
      <w:lvlJc w:val="left"/>
      <w:pPr>
        <w:tabs>
          <w:tab w:val="num" w:pos="2951"/>
        </w:tabs>
        <w:ind w:left="2951" w:hanging="360"/>
      </w:pPr>
    </w:lvl>
    <w:lvl w:ilvl="4" w:tplc="08090019" w:tentative="1">
      <w:start w:val="1"/>
      <w:numFmt w:val="lowerLetter"/>
      <w:lvlText w:val="%5."/>
      <w:lvlJc w:val="left"/>
      <w:pPr>
        <w:tabs>
          <w:tab w:val="num" w:pos="3671"/>
        </w:tabs>
        <w:ind w:left="3671" w:hanging="360"/>
      </w:pPr>
    </w:lvl>
    <w:lvl w:ilvl="5" w:tplc="0809001B" w:tentative="1">
      <w:start w:val="1"/>
      <w:numFmt w:val="lowerRoman"/>
      <w:lvlText w:val="%6."/>
      <w:lvlJc w:val="right"/>
      <w:pPr>
        <w:tabs>
          <w:tab w:val="num" w:pos="4391"/>
        </w:tabs>
        <w:ind w:left="4391" w:hanging="180"/>
      </w:pPr>
    </w:lvl>
    <w:lvl w:ilvl="6" w:tplc="0809000F" w:tentative="1">
      <w:start w:val="1"/>
      <w:numFmt w:val="decimal"/>
      <w:lvlText w:val="%7."/>
      <w:lvlJc w:val="left"/>
      <w:pPr>
        <w:tabs>
          <w:tab w:val="num" w:pos="5111"/>
        </w:tabs>
        <w:ind w:left="5111" w:hanging="360"/>
      </w:pPr>
    </w:lvl>
    <w:lvl w:ilvl="7" w:tplc="08090019" w:tentative="1">
      <w:start w:val="1"/>
      <w:numFmt w:val="lowerLetter"/>
      <w:lvlText w:val="%8."/>
      <w:lvlJc w:val="left"/>
      <w:pPr>
        <w:tabs>
          <w:tab w:val="num" w:pos="5831"/>
        </w:tabs>
        <w:ind w:left="5831" w:hanging="360"/>
      </w:pPr>
    </w:lvl>
    <w:lvl w:ilvl="8" w:tplc="0809001B" w:tentative="1">
      <w:start w:val="1"/>
      <w:numFmt w:val="lowerRoman"/>
      <w:lvlText w:val="%9."/>
      <w:lvlJc w:val="right"/>
      <w:pPr>
        <w:tabs>
          <w:tab w:val="num" w:pos="6551"/>
        </w:tabs>
        <w:ind w:left="6551" w:hanging="180"/>
      </w:pPr>
    </w:lvl>
  </w:abstractNum>
  <w:abstractNum w:abstractNumId="14">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nsid w:val="6F4445CA"/>
    <w:multiLevelType w:val="multilevel"/>
    <w:tmpl w:val="08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nsid w:val="77B366C7"/>
    <w:multiLevelType w:val="hybridMultilevel"/>
    <w:tmpl w:val="A7285E46"/>
    <w:lvl w:ilvl="0" w:tplc="5582EF72">
      <w:start w:val="2"/>
      <w:numFmt w:val="upperLetter"/>
      <w:lvlText w:val="%1."/>
      <w:lvlJc w:val="left"/>
      <w:pPr>
        <w:tabs>
          <w:tab w:val="num" w:pos="592"/>
        </w:tabs>
        <w:ind w:left="592" w:hanging="360"/>
      </w:pPr>
      <w:rPr>
        <w:rFonts w:hint="default"/>
      </w:rPr>
    </w:lvl>
    <w:lvl w:ilvl="1" w:tplc="08090019" w:tentative="1">
      <w:start w:val="1"/>
      <w:numFmt w:val="lowerLetter"/>
      <w:lvlText w:val="%2."/>
      <w:lvlJc w:val="left"/>
      <w:pPr>
        <w:tabs>
          <w:tab w:val="num" w:pos="1312"/>
        </w:tabs>
        <w:ind w:left="1312" w:hanging="360"/>
      </w:pPr>
    </w:lvl>
    <w:lvl w:ilvl="2" w:tplc="0809001B" w:tentative="1">
      <w:start w:val="1"/>
      <w:numFmt w:val="lowerRoman"/>
      <w:lvlText w:val="%3."/>
      <w:lvlJc w:val="right"/>
      <w:pPr>
        <w:tabs>
          <w:tab w:val="num" w:pos="2032"/>
        </w:tabs>
        <w:ind w:left="2032" w:hanging="180"/>
      </w:pPr>
    </w:lvl>
    <w:lvl w:ilvl="3" w:tplc="0809000F" w:tentative="1">
      <w:start w:val="1"/>
      <w:numFmt w:val="decimal"/>
      <w:lvlText w:val="%4."/>
      <w:lvlJc w:val="left"/>
      <w:pPr>
        <w:tabs>
          <w:tab w:val="num" w:pos="2752"/>
        </w:tabs>
        <w:ind w:left="2752" w:hanging="360"/>
      </w:pPr>
    </w:lvl>
    <w:lvl w:ilvl="4" w:tplc="08090019" w:tentative="1">
      <w:start w:val="1"/>
      <w:numFmt w:val="lowerLetter"/>
      <w:lvlText w:val="%5."/>
      <w:lvlJc w:val="left"/>
      <w:pPr>
        <w:tabs>
          <w:tab w:val="num" w:pos="3472"/>
        </w:tabs>
        <w:ind w:left="3472" w:hanging="360"/>
      </w:pPr>
    </w:lvl>
    <w:lvl w:ilvl="5" w:tplc="0809001B" w:tentative="1">
      <w:start w:val="1"/>
      <w:numFmt w:val="lowerRoman"/>
      <w:lvlText w:val="%6."/>
      <w:lvlJc w:val="right"/>
      <w:pPr>
        <w:tabs>
          <w:tab w:val="num" w:pos="4192"/>
        </w:tabs>
        <w:ind w:left="4192" w:hanging="180"/>
      </w:pPr>
    </w:lvl>
    <w:lvl w:ilvl="6" w:tplc="0809000F" w:tentative="1">
      <w:start w:val="1"/>
      <w:numFmt w:val="decimal"/>
      <w:lvlText w:val="%7."/>
      <w:lvlJc w:val="left"/>
      <w:pPr>
        <w:tabs>
          <w:tab w:val="num" w:pos="4912"/>
        </w:tabs>
        <w:ind w:left="4912" w:hanging="360"/>
      </w:pPr>
    </w:lvl>
    <w:lvl w:ilvl="7" w:tplc="08090019" w:tentative="1">
      <w:start w:val="1"/>
      <w:numFmt w:val="lowerLetter"/>
      <w:lvlText w:val="%8."/>
      <w:lvlJc w:val="left"/>
      <w:pPr>
        <w:tabs>
          <w:tab w:val="num" w:pos="5632"/>
        </w:tabs>
        <w:ind w:left="5632" w:hanging="360"/>
      </w:pPr>
    </w:lvl>
    <w:lvl w:ilvl="8" w:tplc="0809001B" w:tentative="1">
      <w:start w:val="1"/>
      <w:numFmt w:val="lowerRoman"/>
      <w:lvlText w:val="%9."/>
      <w:lvlJc w:val="right"/>
      <w:pPr>
        <w:tabs>
          <w:tab w:val="num" w:pos="6352"/>
        </w:tabs>
        <w:ind w:left="6352" w:hanging="180"/>
      </w:pPr>
    </w:lvl>
  </w:abstractNum>
  <w:abstractNum w:abstractNumId="17">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14"/>
  </w:num>
  <w:num w:numId="3">
    <w:abstractNumId w:val="17"/>
  </w:num>
  <w:num w:numId="4">
    <w:abstractNumId w:val="17"/>
  </w:num>
  <w:num w:numId="5">
    <w:abstractNumId w:val="17"/>
  </w:num>
  <w:num w:numId="6">
    <w:abstractNumId w:val="17"/>
  </w:num>
  <w:num w:numId="7">
    <w:abstractNumId w:val="16"/>
  </w:num>
  <w:num w:numId="8">
    <w:abstractNumId w:val="12"/>
  </w:num>
  <w:num w:numId="9">
    <w:abstractNumId w:val="13"/>
  </w:num>
  <w:num w:numId="10">
    <w:abstractNumId w:val="11"/>
  </w:num>
  <w:num w:numId="11">
    <w:abstractNumId w:val="10"/>
  </w:num>
  <w:num w:numId="12">
    <w:abstractNumId w:val="15"/>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832702"/>
    <w:rsid w:val="00001CC5"/>
    <w:rsid w:val="00002DD1"/>
    <w:rsid w:val="000042D1"/>
    <w:rsid w:val="00007B38"/>
    <w:rsid w:val="00010728"/>
    <w:rsid w:val="00011B05"/>
    <w:rsid w:val="00013894"/>
    <w:rsid w:val="00017115"/>
    <w:rsid w:val="00020080"/>
    <w:rsid w:val="00033160"/>
    <w:rsid w:val="00033FD2"/>
    <w:rsid w:val="00035637"/>
    <w:rsid w:val="0003679E"/>
    <w:rsid w:val="00042867"/>
    <w:rsid w:val="00042B9B"/>
    <w:rsid w:val="00043D47"/>
    <w:rsid w:val="000462CE"/>
    <w:rsid w:val="00046713"/>
    <w:rsid w:val="000479C2"/>
    <w:rsid w:val="00051746"/>
    <w:rsid w:val="0005522C"/>
    <w:rsid w:val="00055A5C"/>
    <w:rsid w:val="00055AC1"/>
    <w:rsid w:val="000560FE"/>
    <w:rsid w:val="00062B61"/>
    <w:rsid w:val="00064615"/>
    <w:rsid w:val="000726F6"/>
    <w:rsid w:val="00076A67"/>
    <w:rsid w:val="00085837"/>
    <w:rsid w:val="00085B3A"/>
    <w:rsid w:val="00090C82"/>
    <w:rsid w:val="0009409F"/>
    <w:rsid w:val="0009426C"/>
    <w:rsid w:val="000A1AA3"/>
    <w:rsid w:val="000A34F1"/>
    <w:rsid w:val="000B32D6"/>
    <w:rsid w:val="000C5333"/>
    <w:rsid w:val="000C5C91"/>
    <w:rsid w:val="000D39BA"/>
    <w:rsid w:val="000D6108"/>
    <w:rsid w:val="000E1449"/>
    <w:rsid w:val="000E255E"/>
    <w:rsid w:val="000E687D"/>
    <w:rsid w:val="000F1F48"/>
    <w:rsid w:val="000F2F8F"/>
    <w:rsid w:val="000F699D"/>
    <w:rsid w:val="00104AD1"/>
    <w:rsid w:val="00105FFE"/>
    <w:rsid w:val="00111D99"/>
    <w:rsid w:val="00113C21"/>
    <w:rsid w:val="0011665B"/>
    <w:rsid w:val="00122D7F"/>
    <w:rsid w:val="00126213"/>
    <w:rsid w:val="0013290F"/>
    <w:rsid w:val="001420AC"/>
    <w:rsid w:val="0014263A"/>
    <w:rsid w:val="001432ED"/>
    <w:rsid w:val="00150529"/>
    <w:rsid w:val="00151CCA"/>
    <w:rsid w:val="00157BD8"/>
    <w:rsid w:val="00157D01"/>
    <w:rsid w:val="001636D0"/>
    <w:rsid w:val="00174A6F"/>
    <w:rsid w:val="0017710F"/>
    <w:rsid w:val="001812B2"/>
    <w:rsid w:val="00182E38"/>
    <w:rsid w:val="00187281"/>
    <w:rsid w:val="0019388B"/>
    <w:rsid w:val="00195378"/>
    <w:rsid w:val="00195AE2"/>
    <w:rsid w:val="00197C29"/>
    <w:rsid w:val="001A0EBE"/>
    <w:rsid w:val="001A2CB2"/>
    <w:rsid w:val="001B2EFC"/>
    <w:rsid w:val="001B62B1"/>
    <w:rsid w:val="001B74F7"/>
    <w:rsid w:val="001C6CF7"/>
    <w:rsid w:val="001E45D9"/>
    <w:rsid w:val="001F5586"/>
    <w:rsid w:val="00202A7C"/>
    <w:rsid w:val="002041E3"/>
    <w:rsid w:val="00212F95"/>
    <w:rsid w:val="002165B7"/>
    <w:rsid w:val="002215FD"/>
    <w:rsid w:val="00225BE5"/>
    <w:rsid w:val="002266CD"/>
    <w:rsid w:val="00230A84"/>
    <w:rsid w:val="002320C6"/>
    <w:rsid w:val="00252B31"/>
    <w:rsid w:val="002563F5"/>
    <w:rsid w:val="00262446"/>
    <w:rsid w:val="00265471"/>
    <w:rsid w:val="00265737"/>
    <w:rsid w:val="0026789F"/>
    <w:rsid w:val="00267E01"/>
    <w:rsid w:val="00271A81"/>
    <w:rsid w:val="0027730F"/>
    <w:rsid w:val="00296B76"/>
    <w:rsid w:val="00297942"/>
    <w:rsid w:val="002A4296"/>
    <w:rsid w:val="002A6EA5"/>
    <w:rsid w:val="002B18B7"/>
    <w:rsid w:val="002C09AF"/>
    <w:rsid w:val="002C141C"/>
    <w:rsid w:val="002C7D3E"/>
    <w:rsid w:val="002E2EAF"/>
    <w:rsid w:val="002E6A74"/>
    <w:rsid w:val="002F4BCF"/>
    <w:rsid w:val="002F4F2D"/>
    <w:rsid w:val="002F6FE9"/>
    <w:rsid w:val="0030193C"/>
    <w:rsid w:val="00301F9C"/>
    <w:rsid w:val="00302008"/>
    <w:rsid w:val="00303067"/>
    <w:rsid w:val="003104E9"/>
    <w:rsid w:val="003155B6"/>
    <w:rsid w:val="0031573C"/>
    <w:rsid w:val="0032093A"/>
    <w:rsid w:val="00325C2B"/>
    <w:rsid w:val="00325FAC"/>
    <w:rsid w:val="0032604F"/>
    <w:rsid w:val="00326BB9"/>
    <w:rsid w:val="00332547"/>
    <w:rsid w:val="00336887"/>
    <w:rsid w:val="00337600"/>
    <w:rsid w:val="003403BB"/>
    <w:rsid w:val="00343B72"/>
    <w:rsid w:val="0034580F"/>
    <w:rsid w:val="00345B33"/>
    <w:rsid w:val="00347AC2"/>
    <w:rsid w:val="003506C9"/>
    <w:rsid w:val="00355F8F"/>
    <w:rsid w:val="00357624"/>
    <w:rsid w:val="0036516D"/>
    <w:rsid w:val="00366A6D"/>
    <w:rsid w:val="00366B92"/>
    <w:rsid w:val="00371277"/>
    <w:rsid w:val="0037228D"/>
    <w:rsid w:val="00376B13"/>
    <w:rsid w:val="0038535A"/>
    <w:rsid w:val="003873E2"/>
    <w:rsid w:val="003902A5"/>
    <w:rsid w:val="00392242"/>
    <w:rsid w:val="00392D4E"/>
    <w:rsid w:val="00397D51"/>
    <w:rsid w:val="003A64D3"/>
    <w:rsid w:val="003A7633"/>
    <w:rsid w:val="003B1F35"/>
    <w:rsid w:val="003B41C7"/>
    <w:rsid w:val="003B50D7"/>
    <w:rsid w:val="003C715F"/>
    <w:rsid w:val="003C74C7"/>
    <w:rsid w:val="003E2006"/>
    <w:rsid w:val="003E319C"/>
    <w:rsid w:val="003E33BD"/>
    <w:rsid w:val="003F3BFD"/>
    <w:rsid w:val="003F417F"/>
    <w:rsid w:val="004000F6"/>
    <w:rsid w:val="00400C97"/>
    <w:rsid w:val="00401C5B"/>
    <w:rsid w:val="00412F5F"/>
    <w:rsid w:val="00413EFC"/>
    <w:rsid w:val="00420868"/>
    <w:rsid w:val="00424C76"/>
    <w:rsid w:val="00424DA5"/>
    <w:rsid w:val="004262E9"/>
    <w:rsid w:val="00431764"/>
    <w:rsid w:val="00433E7F"/>
    <w:rsid w:val="004341B4"/>
    <w:rsid w:val="00435D95"/>
    <w:rsid w:val="004406AA"/>
    <w:rsid w:val="00444081"/>
    <w:rsid w:val="00452CF1"/>
    <w:rsid w:val="004573EF"/>
    <w:rsid w:val="00457A18"/>
    <w:rsid w:val="00460FAD"/>
    <w:rsid w:val="00465A25"/>
    <w:rsid w:val="00465AD7"/>
    <w:rsid w:val="00471505"/>
    <w:rsid w:val="0048299D"/>
    <w:rsid w:val="00485A6F"/>
    <w:rsid w:val="00491786"/>
    <w:rsid w:val="004920B1"/>
    <w:rsid w:val="004C1E06"/>
    <w:rsid w:val="004C693A"/>
    <w:rsid w:val="004E3216"/>
    <w:rsid w:val="004E5DFC"/>
    <w:rsid w:val="004F7408"/>
    <w:rsid w:val="0050096C"/>
    <w:rsid w:val="0050130D"/>
    <w:rsid w:val="00510AEA"/>
    <w:rsid w:val="00513446"/>
    <w:rsid w:val="005154AE"/>
    <w:rsid w:val="00516C7B"/>
    <w:rsid w:val="00516EBF"/>
    <w:rsid w:val="00522362"/>
    <w:rsid w:val="00524FFC"/>
    <w:rsid w:val="00526342"/>
    <w:rsid w:val="0053535B"/>
    <w:rsid w:val="005419B6"/>
    <w:rsid w:val="00546F49"/>
    <w:rsid w:val="0056771C"/>
    <w:rsid w:val="005777BA"/>
    <w:rsid w:val="00577E6A"/>
    <w:rsid w:val="00580E6F"/>
    <w:rsid w:val="00582D1B"/>
    <w:rsid w:val="005831B7"/>
    <w:rsid w:val="00584A11"/>
    <w:rsid w:val="005874FF"/>
    <w:rsid w:val="005944D6"/>
    <w:rsid w:val="00595C5D"/>
    <w:rsid w:val="005A10E0"/>
    <w:rsid w:val="005A3D27"/>
    <w:rsid w:val="005B16A8"/>
    <w:rsid w:val="005B1907"/>
    <w:rsid w:val="005B4233"/>
    <w:rsid w:val="005B7831"/>
    <w:rsid w:val="005C1929"/>
    <w:rsid w:val="005C1956"/>
    <w:rsid w:val="005C2C88"/>
    <w:rsid w:val="005C3F79"/>
    <w:rsid w:val="005C41CB"/>
    <w:rsid w:val="005E04FA"/>
    <w:rsid w:val="005E384F"/>
    <w:rsid w:val="005E5843"/>
    <w:rsid w:val="005F1C45"/>
    <w:rsid w:val="005F4753"/>
    <w:rsid w:val="005F7A10"/>
    <w:rsid w:val="00600341"/>
    <w:rsid w:val="006053AC"/>
    <w:rsid w:val="006111FF"/>
    <w:rsid w:val="0061251A"/>
    <w:rsid w:val="006138EA"/>
    <w:rsid w:val="00617474"/>
    <w:rsid w:val="00624FB8"/>
    <w:rsid w:val="00625699"/>
    <w:rsid w:val="0062787C"/>
    <w:rsid w:val="00633478"/>
    <w:rsid w:val="0063427B"/>
    <w:rsid w:val="00634F5A"/>
    <w:rsid w:val="00640B82"/>
    <w:rsid w:val="00643048"/>
    <w:rsid w:val="00653AAB"/>
    <w:rsid w:val="0065410B"/>
    <w:rsid w:val="00655126"/>
    <w:rsid w:val="00655E23"/>
    <w:rsid w:val="006639B6"/>
    <w:rsid w:val="00664EA3"/>
    <w:rsid w:val="00673FA4"/>
    <w:rsid w:val="00683DCB"/>
    <w:rsid w:val="00697D56"/>
    <w:rsid w:val="00697F14"/>
    <w:rsid w:val="006A23DA"/>
    <w:rsid w:val="006A3D9D"/>
    <w:rsid w:val="006A7C48"/>
    <w:rsid w:val="006B469C"/>
    <w:rsid w:val="006B66C6"/>
    <w:rsid w:val="006C1ADC"/>
    <w:rsid w:val="006C2346"/>
    <w:rsid w:val="006C2B52"/>
    <w:rsid w:val="006C2BD3"/>
    <w:rsid w:val="006C35C5"/>
    <w:rsid w:val="006D07E9"/>
    <w:rsid w:val="006D1D78"/>
    <w:rsid w:val="006D71BC"/>
    <w:rsid w:val="006E6D33"/>
    <w:rsid w:val="006F106C"/>
    <w:rsid w:val="006F4751"/>
    <w:rsid w:val="00715151"/>
    <w:rsid w:val="007156E0"/>
    <w:rsid w:val="00723C15"/>
    <w:rsid w:val="0072564E"/>
    <w:rsid w:val="00725E3D"/>
    <w:rsid w:val="00730053"/>
    <w:rsid w:val="00730433"/>
    <w:rsid w:val="007352DD"/>
    <w:rsid w:val="00740A51"/>
    <w:rsid w:val="00740E80"/>
    <w:rsid w:val="00740F03"/>
    <w:rsid w:val="00742C5D"/>
    <w:rsid w:val="007479B8"/>
    <w:rsid w:val="00750E5E"/>
    <w:rsid w:val="00752E30"/>
    <w:rsid w:val="00754ABE"/>
    <w:rsid w:val="00754AE3"/>
    <w:rsid w:val="00756D5B"/>
    <w:rsid w:val="007603BB"/>
    <w:rsid w:val="00766F2D"/>
    <w:rsid w:val="00776807"/>
    <w:rsid w:val="0077789B"/>
    <w:rsid w:val="0078062F"/>
    <w:rsid w:val="007827E7"/>
    <w:rsid w:val="0079163D"/>
    <w:rsid w:val="0079187F"/>
    <w:rsid w:val="007A1FFE"/>
    <w:rsid w:val="007A357A"/>
    <w:rsid w:val="007A36A4"/>
    <w:rsid w:val="007A6DBA"/>
    <w:rsid w:val="007A7750"/>
    <w:rsid w:val="007B0896"/>
    <w:rsid w:val="007B2958"/>
    <w:rsid w:val="007C090B"/>
    <w:rsid w:val="007C1CE3"/>
    <w:rsid w:val="007C2CE8"/>
    <w:rsid w:val="007C76A5"/>
    <w:rsid w:val="007D0D75"/>
    <w:rsid w:val="007D18DE"/>
    <w:rsid w:val="007D78B7"/>
    <w:rsid w:val="007E11C0"/>
    <w:rsid w:val="007E58A5"/>
    <w:rsid w:val="007E603C"/>
    <w:rsid w:val="007E6129"/>
    <w:rsid w:val="007F735A"/>
    <w:rsid w:val="00806E5F"/>
    <w:rsid w:val="00815CD6"/>
    <w:rsid w:val="008275DD"/>
    <w:rsid w:val="0083265A"/>
    <w:rsid w:val="00832702"/>
    <w:rsid w:val="00846856"/>
    <w:rsid w:val="00847DEE"/>
    <w:rsid w:val="00853345"/>
    <w:rsid w:val="008601F7"/>
    <w:rsid w:val="00861046"/>
    <w:rsid w:val="00863773"/>
    <w:rsid w:val="00864209"/>
    <w:rsid w:val="00865450"/>
    <w:rsid w:val="008670BB"/>
    <w:rsid w:val="008824B9"/>
    <w:rsid w:val="0088315D"/>
    <w:rsid w:val="00884205"/>
    <w:rsid w:val="00886BB5"/>
    <w:rsid w:val="00893782"/>
    <w:rsid w:val="00894BB3"/>
    <w:rsid w:val="008A0AA9"/>
    <w:rsid w:val="008B3527"/>
    <w:rsid w:val="008B5BFB"/>
    <w:rsid w:val="008B78DB"/>
    <w:rsid w:val="008C39B5"/>
    <w:rsid w:val="008C60EE"/>
    <w:rsid w:val="008C6F68"/>
    <w:rsid w:val="008D7BF2"/>
    <w:rsid w:val="008E05A3"/>
    <w:rsid w:val="008F5709"/>
    <w:rsid w:val="00900F2B"/>
    <w:rsid w:val="00901475"/>
    <w:rsid w:val="00906142"/>
    <w:rsid w:val="00910131"/>
    <w:rsid w:val="009169BC"/>
    <w:rsid w:val="00927277"/>
    <w:rsid w:val="00930CD7"/>
    <w:rsid w:val="00932C7B"/>
    <w:rsid w:val="0094239F"/>
    <w:rsid w:val="00943058"/>
    <w:rsid w:val="00956501"/>
    <w:rsid w:val="00965BD4"/>
    <w:rsid w:val="00980282"/>
    <w:rsid w:val="00983540"/>
    <w:rsid w:val="0098535B"/>
    <w:rsid w:val="0099561C"/>
    <w:rsid w:val="00995F44"/>
    <w:rsid w:val="009A4106"/>
    <w:rsid w:val="009A6925"/>
    <w:rsid w:val="009B039E"/>
    <w:rsid w:val="009B0A6E"/>
    <w:rsid w:val="009B15A1"/>
    <w:rsid w:val="009C5183"/>
    <w:rsid w:val="009D0DD5"/>
    <w:rsid w:val="009D3C79"/>
    <w:rsid w:val="009D46D7"/>
    <w:rsid w:val="009D4B87"/>
    <w:rsid w:val="009F0055"/>
    <w:rsid w:val="009F07CC"/>
    <w:rsid w:val="009F18CE"/>
    <w:rsid w:val="009F1D27"/>
    <w:rsid w:val="009F3F48"/>
    <w:rsid w:val="009F4730"/>
    <w:rsid w:val="009F5625"/>
    <w:rsid w:val="009F65C4"/>
    <w:rsid w:val="009F7EF4"/>
    <w:rsid w:val="00A00C13"/>
    <w:rsid w:val="00A012A5"/>
    <w:rsid w:val="00A036A3"/>
    <w:rsid w:val="00A04E02"/>
    <w:rsid w:val="00A0545F"/>
    <w:rsid w:val="00A06A89"/>
    <w:rsid w:val="00A135BE"/>
    <w:rsid w:val="00A26A55"/>
    <w:rsid w:val="00A32B81"/>
    <w:rsid w:val="00A34AD2"/>
    <w:rsid w:val="00A35C98"/>
    <w:rsid w:val="00A36290"/>
    <w:rsid w:val="00A47B9D"/>
    <w:rsid w:val="00A5331A"/>
    <w:rsid w:val="00A554DE"/>
    <w:rsid w:val="00A603CD"/>
    <w:rsid w:val="00A62F51"/>
    <w:rsid w:val="00A7049C"/>
    <w:rsid w:val="00A80135"/>
    <w:rsid w:val="00A81637"/>
    <w:rsid w:val="00A8381C"/>
    <w:rsid w:val="00A950E0"/>
    <w:rsid w:val="00AA08E4"/>
    <w:rsid w:val="00AA0A20"/>
    <w:rsid w:val="00AA288B"/>
    <w:rsid w:val="00AA2B6A"/>
    <w:rsid w:val="00AA373E"/>
    <w:rsid w:val="00AA6087"/>
    <w:rsid w:val="00AA6B55"/>
    <w:rsid w:val="00AA6CAF"/>
    <w:rsid w:val="00AA7CA2"/>
    <w:rsid w:val="00AB0594"/>
    <w:rsid w:val="00AB2166"/>
    <w:rsid w:val="00AB43D9"/>
    <w:rsid w:val="00AB647F"/>
    <w:rsid w:val="00AB6A61"/>
    <w:rsid w:val="00AC134B"/>
    <w:rsid w:val="00AC1382"/>
    <w:rsid w:val="00AC4995"/>
    <w:rsid w:val="00AC70F6"/>
    <w:rsid w:val="00AD3249"/>
    <w:rsid w:val="00AD3385"/>
    <w:rsid w:val="00AD57B2"/>
    <w:rsid w:val="00AE0241"/>
    <w:rsid w:val="00AE2F4F"/>
    <w:rsid w:val="00AE537E"/>
    <w:rsid w:val="00AF056F"/>
    <w:rsid w:val="00AF43BD"/>
    <w:rsid w:val="00AF54CB"/>
    <w:rsid w:val="00AF6434"/>
    <w:rsid w:val="00B02FA8"/>
    <w:rsid w:val="00B030BE"/>
    <w:rsid w:val="00B0594B"/>
    <w:rsid w:val="00B10CFC"/>
    <w:rsid w:val="00B122EA"/>
    <w:rsid w:val="00B17E4C"/>
    <w:rsid w:val="00B24177"/>
    <w:rsid w:val="00B324A5"/>
    <w:rsid w:val="00B3608A"/>
    <w:rsid w:val="00B368F9"/>
    <w:rsid w:val="00B44801"/>
    <w:rsid w:val="00B4551C"/>
    <w:rsid w:val="00B460AF"/>
    <w:rsid w:val="00B52010"/>
    <w:rsid w:val="00B53B96"/>
    <w:rsid w:val="00B574E7"/>
    <w:rsid w:val="00B6097C"/>
    <w:rsid w:val="00B6108B"/>
    <w:rsid w:val="00B64488"/>
    <w:rsid w:val="00B64EDE"/>
    <w:rsid w:val="00B662B2"/>
    <w:rsid w:val="00B6763B"/>
    <w:rsid w:val="00B67CBD"/>
    <w:rsid w:val="00B743BC"/>
    <w:rsid w:val="00B806C7"/>
    <w:rsid w:val="00B81192"/>
    <w:rsid w:val="00B87FA1"/>
    <w:rsid w:val="00B921A8"/>
    <w:rsid w:val="00BA54D7"/>
    <w:rsid w:val="00BA6401"/>
    <w:rsid w:val="00BA6702"/>
    <w:rsid w:val="00BB13BC"/>
    <w:rsid w:val="00BB54FD"/>
    <w:rsid w:val="00BC2C06"/>
    <w:rsid w:val="00BC7EEE"/>
    <w:rsid w:val="00BD19AE"/>
    <w:rsid w:val="00BE50FE"/>
    <w:rsid w:val="00BE5958"/>
    <w:rsid w:val="00BF071D"/>
    <w:rsid w:val="00BF3A56"/>
    <w:rsid w:val="00C00832"/>
    <w:rsid w:val="00C01A79"/>
    <w:rsid w:val="00C01E1C"/>
    <w:rsid w:val="00C02E48"/>
    <w:rsid w:val="00C044A1"/>
    <w:rsid w:val="00C04A4D"/>
    <w:rsid w:val="00C14E5C"/>
    <w:rsid w:val="00C2376E"/>
    <w:rsid w:val="00C27EF9"/>
    <w:rsid w:val="00C3018F"/>
    <w:rsid w:val="00C30671"/>
    <w:rsid w:val="00C33556"/>
    <w:rsid w:val="00C33E86"/>
    <w:rsid w:val="00C37663"/>
    <w:rsid w:val="00C41FA7"/>
    <w:rsid w:val="00C43075"/>
    <w:rsid w:val="00C432E3"/>
    <w:rsid w:val="00C47696"/>
    <w:rsid w:val="00C53BED"/>
    <w:rsid w:val="00C56888"/>
    <w:rsid w:val="00C577C8"/>
    <w:rsid w:val="00C60BF1"/>
    <w:rsid w:val="00C63E30"/>
    <w:rsid w:val="00C7359D"/>
    <w:rsid w:val="00C73967"/>
    <w:rsid w:val="00C82F3E"/>
    <w:rsid w:val="00C84877"/>
    <w:rsid w:val="00C94023"/>
    <w:rsid w:val="00C96EBF"/>
    <w:rsid w:val="00CA16E7"/>
    <w:rsid w:val="00CA70B8"/>
    <w:rsid w:val="00CB10EA"/>
    <w:rsid w:val="00CB63F5"/>
    <w:rsid w:val="00CC2713"/>
    <w:rsid w:val="00CC6623"/>
    <w:rsid w:val="00CD31A0"/>
    <w:rsid w:val="00CD4B43"/>
    <w:rsid w:val="00CD5D90"/>
    <w:rsid w:val="00CE1C9D"/>
    <w:rsid w:val="00CE5750"/>
    <w:rsid w:val="00CE6841"/>
    <w:rsid w:val="00CF143C"/>
    <w:rsid w:val="00CF166A"/>
    <w:rsid w:val="00CF7475"/>
    <w:rsid w:val="00D00569"/>
    <w:rsid w:val="00D05799"/>
    <w:rsid w:val="00D102A7"/>
    <w:rsid w:val="00D1288A"/>
    <w:rsid w:val="00D15473"/>
    <w:rsid w:val="00D30F97"/>
    <w:rsid w:val="00D33169"/>
    <w:rsid w:val="00D333B8"/>
    <w:rsid w:val="00D353F4"/>
    <w:rsid w:val="00D357B5"/>
    <w:rsid w:val="00D44EA3"/>
    <w:rsid w:val="00D46CA9"/>
    <w:rsid w:val="00D50EB3"/>
    <w:rsid w:val="00D56B5D"/>
    <w:rsid w:val="00D63793"/>
    <w:rsid w:val="00D659FE"/>
    <w:rsid w:val="00D66C93"/>
    <w:rsid w:val="00D73611"/>
    <w:rsid w:val="00D76B5D"/>
    <w:rsid w:val="00D810DE"/>
    <w:rsid w:val="00D8657E"/>
    <w:rsid w:val="00D870DC"/>
    <w:rsid w:val="00D90810"/>
    <w:rsid w:val="00D9090D"/>
    <w:rsid w:val="00D97FD1"/>
    <w:rsid w:val="00DB4EEA"/>
    <w:rsid w:val="00DB5B90"/>
    <w:rsid w:val="00DB6D67"/>
    <w:rsid w:val="00DC12EF"/>
    <w:rsid w:val="00DC2093"/>
    <w:rsid w:val="00DC2671"/>
    <w:rsid w:val="00DC5C22"/>
    <w:rsid w:val="00DD1ECE"/>
    <w:rsid w:val="00DE5E8F"/>
    <w:rsid w:val="00DF06A0"/>
    <w:rsid w:val="00DF5AFE"/>
    <w:rsid w:val="00E127CD"/>
    <w:rsid w:val="00E137AF"/>
    <w:rsid w:val="00E26D79"/>
    <w:rsid w:val="00E30DA4"/>
    <w:rsid w:val="00E32625"/>
    <w:rsid w:val="00E32971"/>
    <w:rsid w:val="00E32A32"/>
    <w:rsid w:val="00E33A26"/>
    <w:rsid w:val="00E417E3"/>
    <w:rsid w:val="00E422D1"/>
    <w:rsid w:val="00E42C84"/>
    <w:rsid w:val="00E50968"/>
    <w:rsid w:val="00E526A4"/>
    <w:rsid w:val="00E54E29"/>
    <w:rsid w:val="00E7027C"/>
    <w:rsid w:val="00E718DF"/>
    <w:rsid w:val="00E8108B"/>
    <w:rsid w:val="00E81663"/>
    <w:rsid w:val="00E8187B"/>
    <w:rsid w:val="00E904B2"/>
    <w:rsid w:val="00E9155E"/>
    <w:rsid w:val="00E973F5"/>
    <w:rsid w:val="00EA1E8A"/>
    <w:rsid w:val="00EA4C31"/>
    <w:rsid w:val="00EA6607"/>
    <w:rsid w:val="00EB0CCC"/>
    <w:rsid w:val="00EB191F"/>
    <w:rsid w:val="00EB2A33"/>
    <w:rsid w:val="00EB41E9"/>
    <w:rsid w:val="00EB5EBC"/>
    <w:rsid w:val="00EC1A59"/>
    <w:rsid w:val="00EC2C0C"/>
    <w:rsid w:val="00ED12C3"/>
    <w:rsid w:val="00ED3AC7"/>
    <w:rsid w:val="00ED6239"/>
    <w:rsid w:val="00EE1252"/>
    <w:rsid w:val="00EE2C31"/>
    <w:rsid w:val="00EE47FF"/>
    <w:rsid w:val="00EE7911"/>
    <w:rsid w:val="00EF06C9"/>
    <w:rsid w:val="00EF2384"/>
    <w:rsid w:val="00F02D7A"/>
    <w:rsid w:val="00F046E5"/>
    <w:rsid w:val="00F048D4"/>
    <w:rsid w:val="00F166A7"/>
    <w:rsid w:val="00F22E8B"/>
    <w:rsid w:val="00F324E0"/>
    <w:rsid w:val="00F42F98"/>
    <w:rsid w:val="00F43FF3"/>
    <w:rsid w:val="00F47343"/>
    <w:rsid w:val="00F5124B"/>
    <w:rsid w:val="00F62FA4"/>
    <w:rsid w:val="00F71040"/>
    <w:rsid w:val="00F71A6A"/>
    <w:rsid w:val="00F73D18"/>
    <w:rsid w:val="00F81A6E"/>
    <w:rsid w:val="00F8204F"/>
    <w:rsid w:val="00F94742"/>
    <w:rsid w:val="00FB271D"/>
    <w:rsid w:val="00FB6259"/>
    <w:rsid w:val="00FC02B4"/>
    <w:rsid w:val="00FD2A5B"/>
    <w:rsid w:val="00FD3E2F"/>
    <w:rsid w:val="00FD586A"/>
    <w:rsid w:val="00FE4996"/>
    <w:rsid w:val="00FE6E31"/>
    <w:rsid w:val="00FE7B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6C93"/>
    <w:pPr>
      <w:suppressAutoHyphens/>
    </w:pPr>
    <w:rPr>
      <w:sz w:val="24"/>
      <w:lang w:val="en-GB" w:eastAsia="fr-FR"/>
    </w:rPr>
  </w:style>
  <w:style w:type="paragraph" w:styleId="Heading1">
    <w:name w:val="heading 1"/>
    <w:basedOn w:val="Normal"/>
    <w:next w:val="Normal"/>
    <w:qFormat/>
    <w:rsid w:val="00D66C93"/>
    <w:pPr>
      <w:keepNext/>
      <w:numPr>
        <w:numId w:val="12"/>
      </w:numPr>
      <w:spacing w:before="360" w:after="240"/>
      <w:jc w:val="center"/>
      <w:outlineLvl w:val="0"/>
    </w:pPr>
    <w:rPr>
      <w:b/>
      <w:sz w:val="28"/>
    </w:rPr>
  </w:style>
  <w:style w:type="paragraph" w:styleId="Heading2">
    <w:name w:val="heading 2"/>
    <w:basedOn w:val="Normal"/>
    <w:next w:val="Normal"/>
    <w:qFormat/>
    <w:rsid w:val="00D66C93"/>
    <w:pPr>
      <w:keepNext/>
      <w:numPr>
        <w:ilvl w:val="1"/>
        <w:numId w:val="12"/>
      </w:numPr>
      <w:spacing w:before="240" w:after="120"/>
      <w:outlineLvl w:val="1"/>
    </w:pPr>
    <w:rPr>
      <w:b/>
    </w:rPr>
  </w:style>
  <w:style w:type="paragraph" w:styleId="Heading3">
    <w:name w:val="heading 3"/>
    <w:basedOn w:val="Normal"/>
    <w:next w:val="Normal"/>
    <w:qFormat/>
    <w:rsid w:val="00D66C93"/>
    <w:pPr>
      <w:keepNext/>
      <w:numPr>
        <w:ilvl w:val="2"/>
        <w:numId w:val="12"/>
      </w:numPr>
      <w:spacing w:before="120" w:after="60"/>
      <w:outlineLvl w:val="2"/>
    </w:pPr>
    <w:rPr>
      <w:i/>
    </w:rPr>
  </w:style>
  <w:style w:type="paragraph" w:styleId="Heading4">
    <w:name w:val="heading 4"/>
    <w:basedOn w:val="Normal"/>
    <w:next w:val="Normal"/>
    <w:qFormat/>
    <w:rsid w:val="00D66C93"/>
    <w:pPr>
      <w:keepNext/>
      <w:numPr>
        <w:ilvl w:val="3"/>
        <w:numId w:val="12"/>
      </w:numPr>
      <w:spacing w:before="240" w:after="60"/>
      <w:outlineLvl w:val="3"/>
    </w:pPr>
    <w:rPr>
      <w:b/>
      <w:bCs/>
      <w:sz w:val="28"/>
      <w:szCs w:val="28"/>
    </w:rPr>
  </w:style>
  <w:style w:type="paragraph" w:styleId="Heading5">
    <w:name w:val="heading 5"/>
    <w:basedOn w:val="Normal"/>
    <w:next w:val="Normal"/>
    <w:qFormat/>
    <w:rsid w:val="00D66C93"/>
    <w:pPr>
      <w:numPr>
        <w:ilvl w:val="4"/>
        <w:numId w:val="12"/>
      </w:numPr>
      <w:spacing w:before="240" w:after="60"/>
      <w:outlineLvl w:val="4"/>
    </w:pPr>
    <w:rPr>
      <w:b/>
      <w:bCs/>
      <w:i/>
      <w:iCs/>
      <w:sz w:val="26"/>
      <w:szCs w:val="26"/>
    </w:rPr>
  </w:style>
  <w:style w:type="paragraph" w:styleId="Heading6">
    <w:name w:val="heading 6"/>
    <w:basedOn w:val="Normal"/>
    <w:next w:val="Normal"/>
    <w:qFormat/>
    <w:rsid w:val="00D66C93"/>
    <w:pPr>
      <w:numPr>
        <w:ilvl w:val="5"/>
        <w:numId w:val="12"/>
      </w:numPr>
      <w:spacing w:before="240" w:after="60"/>
      <w:outlineLvl w:val="5"/>
    </w:pPr>
    <w:rPr>
      <w:b/>
      <w:bCs/>
      <w:sz w:val="22"/>
      <w:szCs w:val="22"/>
    </w:rPr>
  </w:style>
  <w:style w:type="paragraph" w:styleId="Heading7">
    <w:name w:val="heading 7"/>
    <w:basedOn w:val="Normal"/>
    <w:next w:val="Normal"/>
    <w:qFormat/>
    <w:rsid w:val="00D66C93"/>
    <w:pPr>
      <w:numPr>
        <w:ilvl w:val="6"/>
        <w:numId w:val="12"/>
      </w:numPr>
      <w:spacing w:before="240" w:after="60"/>
      <w:outlineLvl w:val="6"/>
    </w:pPr>
    <w:rPr>
      <w:szCs w:val="24"/>
    </w:rPr>
  </w:style>
  <w:style w:type="paragraph" w:styleId="Heading8">
    <w:name w:val="heading 8"/>
    <w:basedOn w:val="Normal"/>
    <w:next w:val="Normal"/>
    <w:qFormat/>
    <w:rsid w:val="00D66C93"/>
    <w:pPr>
      <w:numPr>
        <w:ilvl w:val="7"/>
        <w:numId w:val="12"/>
      </w:numPr>
      <w:spacing w:before="240" w:after="60"/>
      <w:outlineLvl w:val="7"/>
    </w:pPr>
    <w:rPr>
      <w:i/>
      <w:iCs/>
      <w:szCs w:val="24"/>
    </w:rPr>
  </w:style>
  <w:style w:type="paragraph" w:styleId="Heading9">
    <w:name w:val="heading 9"/>
    <w:basedOn w:val="Normal"/>
    <w:next w:val="Normal"/>
    <w:qFormat/>
    <w:rsid w:val="00D66C93"/>
    <w:pPr>
      <w:numPr>
        <w:ilvl w:val="8"/>
        <w:numId w:val="12"/>
      </w:numPr>
      <w:spacing w:before="240" w:after="60"/>
      <w:outlineLvl w:val="8"/>
    </w:pPr>
    <w:rPr>
      <w:rFonts w:ascii="Arial" w:hAnsi="Arial" w:cs="Arial"/>
      <w:sz w:val="22"/>
      <w:szCs w:val="22"/>
    </w:rPr>
  </w:style>
  <w:style w:type="character" w:default="1" w:styleId="DefaultParagraphFont">
    <w:name w:val="Default Paragraph Font"/>
    <w:rsid w:val="00D66C93"/>
  </w:style>
  <w:style w:type="table" w:default="1" w:styleId="TableNormal">
    <w:name w:val="Normal Table"/>
    <w:semiHidden/>
    <w:rsid w:val="009B039E"/>
    <w:tblPr>
      <w:tblInd w:w="0" w:type="dxa"/>
      <w:tblCellMar>
        <w:top w:w="0" w:type="dxa"/>
        <w:left w:w="108" w:type="dxa"/>
        <w:bottom w:w="0" w:type="dxa"/>
        <w:right w:w="108" w:type="dxa"/>
      </w:tblCellMar>
    </w:tblPr>
  </w:style>
  <w:style w:type="numbering" w:default="1" w:styleId="NoList">
    <w:name w:val="No List"/>
    <w:semiHidden/>
    <w:rsid w:val="00D66C93"/>
  </w:style>
  <w:style w:type="paragraph" w:customStyle="1" w:styleId="OpiHA">
    <w:name w:val="Opi_H_A"/>
    <w:basedOn w:val="JuHIRoman"/>
    <w:next w:val="OpiPara"/>
    <w:rsid w:val="00D66C93"/>
    <w:pPr>
      <w:tabs>
        <w:tab w:val="clear" w:pos="357"/>
      </w:tabs>
    </w:pPr>
    <w:rPr>
      <w:b/>
    </w:rPr>
  </w:style>
  <w:style w:type="paragraph" w:customStyle="1" w:styleId="JuHIRoman">
    <w:name w:val="Ju_H_I_Roman"/>
    <w:basedOn w:val="JuHHead"/>
    <w:next w:val="JuPara"/>
    <w:rsid w:val="00D66C93"/>
    <w:pPr>
      <w:tabs>
        <w:tab w:val="left" w:pos="357"/>
      </w:tabs>
      <w:spacing w:before="360"/>
      <w:ind w:left="357" w:hanging="357"/>
      <w:outlineLvl w:val="1"/>
    </w:pPr>
    <w:rPr>
      <w:sz w:val="24"/>
    </w:rPr>
  </w:style>
  <w:style w:type="paragraph" w:customStyle="1" w:styleId="JuHHead">
    <w:name w:val="Ju_H_Head"/>
    <w:basedOn w:val="NormalTimesNewRoman"/>
    <w:next w:val="JuPara"/>
    <w:rsid w:val="00D66C93"/>
    <w:pPr>
      <w:keepNext/>
      <w:keepLines/>
      <w:spacing w:before="720" w:after="240"/>
      <w:jc w:val="both"/>
      <w:outlineLvl w:val="0"/>
    </w:pPr>
    <w:rPr>
      <w:sz w:val="28"/>
    </w:rPr>
  </w:style>
  <w:style w:type="character" w:customStyle="1" w:styleId="DefaultTimesNewRoman">
    <w:name w:val="Default_TimesNewRoman"/>
    <w:rsid w:val="00D66C93"/>
    <w:rPr>
      <w:rFonts w:ascii="Times New Roman" w:hAnsi="Times New Roman"/>
    </w:rPr>
  </w:style>
  <w:style w:type="paragraph" w:customStyle="1" w:styleId="JuPara">
    <w:name w:val="Ju_Para"/>
    <w:aliases w:val="Left,First line:  0 cm"/>
    <w:basedOn w:val="NormalTimesNewRoman"/>
    <w:link w:val="JuParaChar"/>
    <w:rsid w:val="00D66C93"/>
    <w:pPr>
      <w:ind w:firstLine="284"/>
      <w:jc w:val="both"/>
    </w:pPr>
  </w:style>
  <w:style w:type="character" w:customStyle="1" w:styleId="JuParaChar">
    <w:name w:val="Ju_Para Char"/>
    <w:link w:val="JuPara"/>
    <w:rsid w:val="00B921A8"/>
    <w:rPr>
      <w:sz w:val="24"/>
      <w:lang w:val="en-GB" w:eastAsia="fr-FR" w:bidi="ar-SA"/>
    </w:rPr>
  </w:style>
  <w:style w:type="paragraph" w:customStyle="1" w:styleId="OpiPara">
    <w:name w:val="Opi_Para"/>
    <w:basedOn w:val="JuPara"/>
    <w:rsid w:val="00D66C93"/>
  </w:style>
  <w:style w:type="paragraph" w:customStyle="1" w:styleId="OpiH1">
    <w:name w:val="Opi_H_1."/>
    <w:basedOn w:val="OpiHA"/>
    <w:next w:val="OpiPara"/>
    <w:rsid w:val="00D66C93"/>
    <w:pPr>
      <w:spacing w:before="240" w:after="120"/>
      <w:ind w:left="635"/>
      <w:outlineLvl w:val="2"/>
    </w:pPr>
    <w:rPr>
      <w:b w:val="0"/>
      <w:i/>
    </w:rPr>
  </w:style>
  <w:style w:type="paragraph" w:customStyle="1" w:styleId="OpiHa0">
    <w:name w:val="Opi_H_a"/>
    <w:basedOn w:val="OpiH1"/>
    <w:next w:val="OpiPara"/>
    <w:rsid w:val="00D66C93"/>
    <w:pPr>
      <w:ind w:left="833"/>
      <w:outlineLvl w:val="3"/>
    </w:pPr>
    <w:rPr>
      <w:b/>
      <w:i w:val="0"/>
      <w:sz w:val="20"/>
    </w:rPr>
  </w:style>
  <w:style w:type="paragraph" w:customStyle="1" w:styleId="OpiHHead">
    <w:name w:val="Opi_H_Head"/>
    <w:basedOn w:val="JuHHead"/>
    <w:next w:val="OpiPara"/>
    <w:rsid w:val="00D66C93"/>
    <w:pPr>
      <w:spacing w:before="0"/>
      <w:jc w:val="center"/>
    </w:pPr>
  </w:style>
  <w:style w:type="paragraph" w:customStyle="1" w:styleId="OpiHi">
    <w:name w:val="Opi_H_i"/>
    <w:basedOn w:val="OpiHa0"/>
    <w:next w:val="OpiPara"/>
    <w:rsid w:val="00D66C93"/>
    <w:pPr>
      <w:ind w:left="1037"/>
      <w:outlineLvl w:val="4"/>
    </w:pPr>
    <w:rPr>
      <w:b w:val="0"/>
      <w:i/>
    </w:rPr>
  </w:style>
  <w:style w:type="paragraph" w:styleId="Footer">
    <w:name w:val="footer"/>
    <w:basedOn w:val="NormalTimesNewRoman"/>
    <w:rsid w:val="00D66C93"/>
    <w:pPr>
      <w:tabs>
        <w:tab w:val="center" w:pos="3686"/>
        <w:tab w:val="right" w:pos="7371"/>
      </w:tabs>
    </w:pPr>
    <w:rPr>
      <w:sz w:val="18"/>
    </w:rPr>
  </w:style>
  <w:style w:type="paragraph" w:customStyle="1" w:styleId="JuJudges">
    <w:name w:val="Ju_Judges"/>
    <w:aliases w:val="ECHR_Decision_Body"/>
    <w:basedOn w:val="NormalTimesNewRoman"/>
    <w:link w:val="JuJudgesChar"/>
    <w:uiPriority w:val="11"/>
    <w:qFormat/>
    <w:rsid w:val="00D66C93"/>
    <w:pPr>
      <w:tabs>
        <w:tab w:val="left" w:pos="567"/>
        <w:tab w:val="left" w:pos="1134"/>
      </w:tabs>
    </w:pPr>
  </w:style>
  <w:style w:type="character" w:customStyle="1" w:styleId="JuJudgesChar">
    <w:name w:val="Ju_Judges Char"/>
    <w:link w:val="JuJudges"/>
    <w:uiPriority w:val="11"/>
    <w:locked/>
    <w:rsid w:val="00D15473"/>
    <w:rPr>
      <w:sz w:val="24"/>
      <w:lang w:val="en-GB" w:eastAsia="fr-FR" w:bidi="ar-SA"/>
    </w:rPr>
  </w:style>
  <w:style w:type="paragraph" w:customStyle="1" w:styleId="JuHA">
    <w:name w:val="Ju_H_A"/>
    <w:basedOn w:val="JuHIRoman"/>
    <w:next w:val="JuPara"/>
    <w:rsid w:val="00D66C93"/>
    <w:pPr>
      <w:tabs>
        <w:tab w:val="clear" w:pos="357"/>
        <w:tab w:val="left" w:pos="584"/>
      </w:tabs>
      <w:ind w:left="584" w:hanging="352"/>
      <w:outlineLvl w:val="2"/>
    </w:pPr>
    <w:rPr>
      <w:b/>
    </w:rPr>
  </w:style>
  <w:style w:type="paragraph" w:customStyle="1" w:styleId="JuQuot">
    <w:name w:val="Ju_Quot"/>
    <w:basedOn w:val="JuPara"/>
    <w:rsid w:val="00D66C93"/>
    <w:pPr>
      <w:spacing w:before="120" w:after="120"/>
      <w:ind w:left="425" w:firstLine="142"/>
    </w:pPr>
    <w:rPr>
      <w:sz w:val="20"/>
    </w:rPr>
  </w:style>
  <w:style w:type="paragraph" w:customStyle="1" w:styleId="JuSigned">
    <w:name w:val="Ju_Signed"/>
    <w:basedOn w:val="NormalTimesNewRoman"/>
    <w:next w:val="JuParaLast"/>
    <w:link w:val="JuSignedChar"/>
    <w:rsid w:val="00D66C93"/>
    <w:pPr>
      <w:tabs>
        <w:tab w:val="center" w:pos="851"/>
        <w:tab w:val="center" w:pos="6407"/>
      </w:tabs>
      <w:spacing w:before="720"/>
    </w:pPr>
  </w:style>
  <w:style w:type="paragraph" w:customStyle="1" w:styleId="JuParaLast">
    <w:name w:val="Ju_Para_Last"/>
    <w:basedOn w:val="JuPara"/>
    <w:next w:val="JuPara"/>
    <w:rsid w:val="00D66C93"/>
    <w:pPr>
      <w:keepNext/>
      <w:keepLines/>
      <w:spacing w:before="240"/>
    </w:pPr>
  </w:style>
  <w:style w:type="character" w:customStyle="1" w:styleId="JuSignedChar">
    <w:name w:val="Ju_Signed Char"/>
    <w:link w:val="JuSigned"/>
    <w:rsid w:val="000726F6"/>
    <w:rPr>
      <w:sz w:val="24"/>
      <w:lang w:val="en-GB" w:eastAsia="fr-FR" w:bidi="ar-SA"/>
    </w:rPr>
  </w:style>
  <w:style w:type="paragraph" w:customStyle="1" w:styleId="JuCase">
    <w:name w:val="Ju_Case"/>
    <w:basedOn w:val="JuPara"/>
    <w:next w:val="JuPara"/>
    <w:link w:val="JuCaseChar"/>
    <w:rsid w:val="00D66C93"/>
    <w:rPr>
      <w:b/>
    </w:rPr>
  </w:style>
  <w:style w:type="character" w:customStyle="1" w:styleId="JuCaseChar">
    <w:name w:val="Ju_Case Char"/>
    <w:link w:val="JuCase"/>
    <w:rsid w:val="00B921A8"/>
    <w:rPr>
      <w:b/>
      <w:sz w:val="24"/>
      <w:lang w:val="en-GB" w:eastAsia="fr-FR" w:bidi="ar-SA"/>
    </w:rPr>
  </w:style>
  <w:style w:type="paragraph" w:customStyle="1" w:styleId="JuList">
    <w:name w:val="Ju_List"/>
    <w:basedOn w:val="JuPara"/>
    <w:link w:val="JuListChar"/>
    <w:rsid w:val="00D66C93"/>
    <w:pPr>
      <w:ind w:left="340" w:hanging="340"/>
    </w:pPr>
  </w:style>
  <w:style w:type="character" w:customStyle="1" w:styleId="JuListChar">
    <w:name w:val="Ju_List Char"/>
    <w:link w:val="JuList"/>
    <w:rsid w:val="00930CD7"/>
    <w:rPr>
      <w:sz w:val="24"/>
      <w:lang w:val="en-GB" w:eastAsia="fr-FR" w:bidi="ar-SA"/>
    </w:rPr>
  </w:style>
  <w:style w:type="paragraph" w:customStyle="1" w:styleId="JuHArticle">
    <w:name w:val="Ju_H_Article"/>
    <w:basedOn w:val="JuHa0"/>
    <w:next w:val="JuQuot"/>
    <w:rsid w:val="00D66C93"/>
    <w:pPr>
      <w:ind w:left="0" w:firstLine="0"/>
      <w:jc w:val="center"/>
    </w:pPr>
  </w:style>
  <w:style w:type="paragraph" w:customStyle="1" w:styleId="JuHa0">
    <w:name w:val="Ju_H_a"/>
    <w:basedOn w:val="JuH1"/>
    <w:next w:val="JuPara"/>
    <w:rsid w:val="00D66C93"/>
    <w:pPr>
      <w:tabs>
        <w:tab w:val="clear" w:pos="731"/>
        <w:tab w:val="left" w:pos="975"/>
      </w:tabs>
      <w:ind w:left="975" w:hanging="340"/>
      <w:outlineLvl w:val="4"/>
    </w:pPr>
    <w:rPr>
      <w:b/>
      <w:i w:val="0"/>
      <w:sz w:val="20"/>
    </w:rPr>
  </w:style>
  <w:style w:type="paragraph" w:customStyle="1" w:styleId="JuH1">
    <w:name w:val="Ju_H_1."/>
    <w:basedOn w:val="JuHA"/>
    <w:next w:val="JuPara"/>
    <w:rsid w:val="00D66C93"/>
    <w:pPr>
      <w:tabs>
        <w:tab w:val="clear" w:pos="584"/>
        <w:tab w:val="left" w:pos="731"/>
      </w:tabs>
      <w:spacing w:before="240" w:after="120"/>
      <w:ind w:left="732" w:hanging="301"/>
      <w:outlineLvl w:val="3"/>
    </w:pPr>
    <w:rPr>
      <w:b w:val="0"/>
      <w:i/>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rsid w:val="00D66C93"/>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D66C93"/>
  </w:style>
  <w:style w:type="paragraph" w:customStyle="1" w:styleId="OpiTranslation">
    <w:name w:val="Opi_Translation"/>
    <w:basedOn w:val="OpiHHead"/>
    <w:next w:val="OpiPara"/>
    <w:rsid w:val="00D66C93"/>
    <w:rPr>
      <w:i/>
      <w:sz w:val="24"/>
    </w:rPr>
  </w:style>
  <w:style w:type="paragraph" w:styleId="FootnoteText">
    <w:name w:val="footnote text"/>
    <w:basedOn w:val="Normal"/>
    <w:semiHidden/>
    <w:rsid w:val="00D66C93"/>
    <w:pPr>
      <w:jc w:val="both"/>
    </w:pPr>
    <w:rPr>
      <w:sz w:val="20"/>
    </w:rPr>
  </w:style>
  <w:style w:type="character" w:styleId="FootnoteReference">
    <w:name w:val="footnote reference"/>
    <w:semiHidden/>
    <w:rsid w:val="00D66C93"/>
    <w:rPr>
      <w:vertAlign w:val="superscript"/>
    </w:rPr>
  </w:style>
  <w:style w:type="paragraph" w:customStyle="1" w:styleId="JuHi">
    <w:name w:val="Ju_H_i"/>
    <w:basedOn w:val="JuHa0"/>
    <w:next w:val="JuPara"/>
    <w:rsid w:val="00D66C93"/>
    <w:pPr>
      <w:tabs>
        <w:tab w:val="clear" w:pos="975"/>
        <w:tab w:val="left" w:pos="1191"/>
      </w:tabs>
      <w:ind w:left="1190" w:hanging="357"/>
      <w:outlineLvl w:val="5"/>
    </w:pPr>
    <w:rPr>
      <w:b w:val="0"/>
      <w:i/>
    </w:rPr>
  </w:style>
  <w:style w:type="paragraph" w:styleId="Header">
    <w:name w:val="header"/>
    <w:basedOn w:val="NormalTimesNewRoman"/>
    <w:rsid w:val="00D66C93"/>
    <w:pPr>
      <w:tabs>
        <w:tab w:val="center" w:pos="3686"/>
        <w:tab w:val="right" w:pos="7371"/>
      </w:tabs>
    </w:pPr>
    <w:rPr>
      <w:sz w:val="18"/>
    </w:rPr>
  </w:style>
  <w:style w:type="character" w:styleId="PageNumber">
    <w:name w:val="page number"/>
    <w:rsid w:val="00D66C93"/>
    <w:rPr>
      <w:sz w:val="18"/>
    </w:rPr>
  </w:style>
  <w:style w:type="paragraph" w:customStyle="1" w:styleId="JuH">
    <w:name w:val="Ju_H_–"/>
    <w:basedOn w:val="JuHalpha"/>
    <w:next w:val="JuPara"/>
    <w:rsid w:val="00D66C93"/>
    <w:pPr>
      <w:tabs>
        <w:tab w:val="clear" w:pos="1372"/>
      </w:tabs>
      <w:ind w:left="1236" w:firstLine="0"/>
    </w:pPr>
    <w:rPr>
      <w:i/>
    </w:rPr>
  </w:style>
  <w:style w:type="paragraph" w:customStyle="1" w:styleId="JuHalpha">
    <w:name w:val="Ju_H_alpha"/>
    <w:basedOn w:val="JuHi"/>
    <w:next w:val="JuPara"/>
    <w:rsid w:val="00D66C93"/>
    <w:pPr>
      <w:tabs>
        <w:tab w:val="clear" w:pos="1191"/>
        <w:tab w:val="left" w:pos="1372"/>
      </w:tabs>
      <w:ind w:left="1373" w:hanging="335"/>
    </w:pPr>
    <w:rPr>
      <w:i w:val="0"/>
    </w:rPr>
  </w:style>
  <w:style w:type="paragraph" w:customStyle="1" w:styleId="JuLista">
    <w:name w:val="Ju_List_a"/>
    <w:basedOn w:val="JuList"/>
    <w:rsid w:val="00D66C93"/>
    <w:pPr>
      <w:ind w:left="346" w:firstLine="0"/>
    </w:pPr>
  </w:style>
  <w:style w:type="paragraph" w:customStyle="1" w:styleId="JuListi">
    <w:name w:val="Ju_List_i"/>
    <w:basedOn w:val="JuLista"/>
    <w:rsid w:val="00D66C93"/>
    <w:pPr>
      <w:ind w:left="794"/>
    </w:pPr>
  </w:style>
  <w:style w:type="character" w:styleId="CommentReference">
    <w:name w:val="annotation reference"/>
    <w:semiHidden/>
    <w:rsid w:val="00D66C93"/>
    <w:rPr>
      <w:sz w:val="16"/>
      <w:szCs w:val="16"/>
    </w:rPr>
  </w:style>
  <w:style w:type="paragraph" w:styleId="CommentText">
    <w:name w:val="annotation text"/>
    <w:basedOn w:val="Normal"/>
    <w:semiHidden/>
    <w:rsid w:val="00D66C93"/>
    <w:rPr>
      <w:sz w:val="20"/>
    </w:rPr>
  </w:style>
  <w:style w:type="paragraph" w:customStyle="1" w:styleId="JuInitialled">
    <w:name w:val="Ju_Initialled"/>
    <w:basedOn w:val="JuSigned"/>
    <w:rsid w:val="00D66C93"/>
    <w:pPr>
      <w:tabs>
        <w:tab w:val="clear" w:pos="851"/>
      </w:tabs>
      <w:jc w:val="right"/>
    </w:pPr>
  </w:style>
  <w:style w:type="paragraph" w:customStyle="1" w:styleId="JuHeader">
    <w:name w:val="Ju_Header"/>
    <w:basedOn w:val="Header"/>
    <w:rsid w:val="00D66C93"/>
  </w:style>
  <w:style w:type="paragraph" w:customStyle="1" w:styleId="DecHTitle">
    <w:name w:val="Dec_H_Title"/>
    <w:basedOn w:val="NormalTimesNewRoman"/>
    <w:rsid w:val="00D66C93"/>
    <w:pPr>
      <w:spacing w:after="240"/>
      <w:jc w:val="center"/>
      <w:outlineLvl w:val="0"/>
    </w:pPr>
    <w:rPr>
      <w:sz w:val="28"/>
    </w:rPr>
  </w:style>
  <w:style w:type="paragraph" w:customStyle="1" w:styleId="DecHCase">
    <w:name w:val="Dec_H_Case"/>
    <w:basedOn w:val="DecHTitle"/>
    <w:next w:val="JuPara"/>
    <w:rsid w:val="00D66C93"/>
    <w:rPr>
      <w:sz w:val="24"/>
    </w:rPr>
  </w:style>
  <w:style w:type="paragraph" w:customStyle="1" w:styleId="DecList">
    <w:name w:val="Dec_List"/>
    <w:basedOn w:val="NormalTimesNewRoman"/>
    <w:rsid w:val="00D66C93"/>
    <w:pPr>
      <w:spacing w:before="240"/>
      <w:ind w:left="284"/>
      <w:jc w:val="both"/>
    </w:pPr>
  </w:style>
  <w:style w:type="paragraph" w:customStyle="1" w:styleId="JuParaSub">
    <w:name w:val="Ju_Para_Sub"/>
    <w:basedOn w:val="JuPara"/>
    <w:rsid w:val="00D66C93"/>
    <w:pPr>
      <w:ind w:left="284"/>
    </w:pPr>
    <w:rPr>
      <w:szCs w:val="24"/>
    </w:rPr>
  </w:style>
  <w:style w:type="paragraph" w:customStyle="1" w:styleId="JuQuotSub">
    <w:name w:val="Ju_Quot_Sub"/>
    <w:basedOn w:val="JuQuot"/>
    <w:rsid w:val="00D66C93"/>
    <w:pPr>
      <w:ind w:left="567"/>
    </w:pPr>
  </w:style>
  <w:style w:type="paragraph" w:styleId="BalloonText">
    <w:name w:val="Balloon Text"/>
    <w:basedOn w:val="Normal"/>
    <w:semiHidden/>
    <w:rsid w:val="00D66C93"/>
    <w:rPr>
      <w:rFonts w:ascii="Tahoma" w:hAnsi="Tahoma" w:cs="Tahoma"/>
      <w:sz w:val="16"/>
      <w:szCs w:val="16"/>
    </w:rPr>
  </w:style>
  <w:style w:type="paragraph" w:styleId="CommentSubject">
    <w:name w:val="annotation subject"/>
    <w:basedOn w:val="CommentText"/>
    <w:next w:val="CommentText"/>
    <w:semiHidden/>
    <w:rsid w:val="00D66C93"/>
    <w:rPr>
      <w:b/>
      <w:bCs/>
    </w:rPr>
  </w:style>
  <w:style w:type="character" w:styleId="EndnoteReference">
    <w:name w:val="endnote reference"/>
    <w:semiHidden/>
    <w:rsid w:val="00D66C93"/>
    <w:rPr>
      <w:vertAlign w:val="superscript"/>
    </w:rPr>
  </w:style>
  <w:style w:type="paragraph" w:styleId="EndnoteText">
    <w:name w:val="endnote text"/>
    <w:basedOn w:val="Normal"/>
    <w:semiHidden/>
    <w:rsid w:val="00D66C93"/>
    <w:rPr>
      <w:sz w:val="20"/>
    </w:rPr>
  </w:style>
  <w:style w:type="character" w:styleId="FollowedHyperlink">
    <w:name w:val="FollowedHyperlink"/>
    <w:rsid w:val="00D66C93"/>
    <w:rPr>
      <w:color w:val="800080"/>
      <w:u w:val="single"/>
    </w:rPr>
  </w:style>
  <w:style w:type="paragraph" w:customStyle="1" w:styleId="SuCoverTitle1">
    <w:name w:val="Su_Cover_Title1"/>
    <w:basedOn w:val="NormalTimesNewRoman"/>
    <w:next w:val="SuCoverTitle2"/>
    <w:rsid w:val="00D66C93"/>
    <w:pPr>
      <w:spacing w:before="2500"/>
      <w:jc w:val="center"/>
    </w:pPr>
    <w:rPr>
      <w:sz w:val="22"/>
    </w:rPr>
  </w:style>
  <w:style w:type="paragraph" w:customStyle="1" w:styleId="SuCoverTitle2">
    <w:name w:val="Su_Cover_Title2"/>
    <w:basedOn w:val="SuCoverTitle1"/>
    <w:next w:val="Normal"/>
    <w:rsid w:val="00D66C93"/>
    <w:pPr>
      <w:spacing w:before="240"/>
    </w:pPr>
    <w:rPr>
      <w:sz w:val="18"/>
    </w:rPr>
  </w:style>
  <w:style w:type="paragraph" w:customStyle="1" w:styleId="SuPara">
    <w:name w:val="Su_Para"/>
    <w:basedOn w:val="SuKeywords"/>
    <w:rsid w:val="00D66C93"/>
    <w:pPr>
      <w:spacing w:before="0" w:after="0"/>
    </w:pPr>
    <w:rPr>
      <w:i w:val="0"/>
    </w:rPr>
  </w:style>
  <w:style w:type="paragraph" w:customStyle="1" w:styleId="SuKeywords">
    <w:name w:val="Su_Keywords"/>
    <w:basedOn w:val="SuHHead"/>
    <w:rsid w:val="00D66C93"/>
    <w:pPr>
      <w:spacing w:before="120"/>
    </w:pPr>
    <w:rPr>
      <w:b w:val="0"/>
      <w:i/>
    </w:rPr>
  </w:style>
  <w:style w:type="paragraph" w:customStyle="1" w:styleId="SuHHead">
    <w:name w:val="Su_H_Head"/>
    <w:basedOn w:val="SuSubject"/>
    <w:rsid w:val="00D66C93"/>
    <w:pPr>
      <w:spacing w:after="120"/>
    </w:pPr>
  </w:style>
  <w:style w:type="paragraph" w:customStyle="1" w:styleId="SuSubject">
    <w:name w:val="Su_Subject"/>
    <w:basedOn w:val="SuSummary"/>
    <w:rsid w:val="00D66C93"/>
    <w:pPr>
      <w:spacing w:before="360"/>
      <w:jc w:val="both"/>
    </w:pPr>
    <w:rPr>
      <w:b/>
      <w:sz w:val="22"/>
    </w:rPr>
  </w:style>
  <w:style w:type="paragraph" w:customStyle="1" w:styleId="SuSummary">
    <w:name w:val="Su_Summary"/>
    <w:basedOn w:val="NormalTimesNewRoman"/>
    <w:next w:val="SuSubject"/>
    <w:rsid w:val="00D66C93"/>
    <w:pPr>
      <w:spacing w:after="240"/>
      <w:jc w:val="center"/>
    </w:pPr>
  </w:style>
  <w:style w:type="paragraph" w:customStyle="1" w:styleId="OpiParaSub">
    <w:name w:val="Opi_Para_Sub"/>
    <w:basedOn w:val="JuParaSub"/>
    <w:rsid w:val="00D66C93"/>
  </w:style>
  <w:style w:type="paragraph" w:customStyle="1" w:styleId="OpiQuotSub">
    <w:name w:val="Opi_Quot_Sub"/>
    <w:basedOn w:val="JuQuotSub"/>
    <w:rsid w:val="00D66C93"/>
  </w:style>
  <w:style w:type="character" w:styleId="Hyperlink">
    <w:name w:val="Hyperlink"/>
    <w:rsid w:val="00D66C93"/>
    <w:rPr>
      <w:color w:val="0000FF"/>
      <w:u w:val="single"/>
    </w:rPr>
  </w:style>
  <w:style w:type="character" w:styleId="Strong">
    <w:name w:val="Strong"/>
    <w:qFormat/>
    <w:rsid w:val="00D66C93"/>
    <w:rPr>
      <w:b/>
      <w:bCs/>
    </w:rPr>
  </w:style>
  <w:style w:type="paragraph" w:styleId="DocumentMap">
    <w:name w:val="Document Map"/>
    <w:basedOn w:val="Normal"/>
    <w:semiHidden/>
    <w:rsid w:val="00D66C93"/>
    <w:pPr>
      <w:shd w:val="clear" w:color="auto" w:fill="000080"/>
    </w:pPr>
    <w:rPr>
      <w:rFonts w:ascii="Tahoma" w:hAnsi="Tahoma" w:cs="Tahoma"/>
      <w:sz w:val="20"/>
    </w:rPr>
  </w:style>
  <w:style w:type="character" w:customStyle="1" w:styleId="JuNames">
    <w:name w:val="Ju_Names"/>
    <w:rsid w:val="00D66C93"/>
    <w:rPr>
      <w:smallCaps/>
    </w:rPr>
  </w:style>
  <w:style w:type="paragraph" w:customStyle="1" w:styleId="NormalJustified">
    <w:name w:val="Normal_Justified"/>
    <w:basedOn w:val="NormalTimesNewRoman"/>
    <w:rsid w:val="00D66C93"/>
    <w:pPr>
      <w:jc w:val="both"/>
    </w:pPr>
  </w:style>
  <w:style w:type="paragraph" w:customStyle="1" w:styleId="JuAppQuestion">
    <w:name w:val="Ju_App_Question"/>
    <w:basedOn w:val="ListBullet"/>
    <w:rsid w:val="00D66C93"/>
    <w:pPr>
      <w:numPr>
        <w:numId w:val="3"/>
      </w:numPr>
    </w:pPr>
    <w:rPr>
      <w:b/>
      <w:color w:val="333333"/>
    </w:rPr>
  </w:style>
  <w:style w:type="paragraph" w:styleId="ListBullet">
    <w:name w:val="List Bullet"/>
    <w:basedOn w:val="NormalTimesNewRoman"/>
    <w:rsid w:val="00D66C93"/>
    <w:pPr>
      <w:numPr>
        <w:numId w:val="2"/>
      </w:numPr>
    </w:pPr>
  </w:style>
  <w:style w:type="paragraph" w:customStyle="1" w:styleId="NormalTimesNewRoman">
    <w:name w:val="Normal_TimesNewRoman"/>
    <w:rsid w:val="00D66C93"/>
    <w:rPr>
      <w:sz w:val="24"/>
      <w:lang w:val="en-GB" w:eastAsia="fr-FR"/>
    </w:rPr>
  </w:style>
  <w:style w:type="character" w:customStyle="1" w:styleId="JuITMark">
    <w:name w:val="Ju_ITMark"/>
    <w:rsid w:val="00D66C93"/>
    <w:rPr>
      <w:rFonts w:ascii="Times New Roman" w:hAnsi="Times New Roman"/>
      <w:b w:val="0"/>
      <w:i w:val="0"/>
      <w:caps w:val="0"/>
      <w:smallCaps w:val="0"/>
      <w:strike w:val="0"/>
      <w:dstrike w:val="0"/>
      <w:vanish/>
      <w:color w:val="339966"/>
      <w:sz w:val="16"/>
      <w:szCs w:val="16"/>
      <w:u w:val="none"/>
      <w:vertAlign w:val="baseline"/>
      <w:lang w:val="en-GB"/>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JuTitle">
    <w:name w:val="Ju_Title"/>
    <w:basedOn w:val="JuHHead"/>
    <w:next w:val="JuPara"/>
    <w:rsid w:val="00D1288A"/>
    <w:pPr>
      <w:jc w:val="center"/>
    </w:pPr>
    <w:rPr>
      <w:b/>
      <w:caps/>
      <w:sz w:val="24"/>
      <w:szCs w:val="24"/>
      <w:u w:val="single"/>
    </w:rPr>
  </w:style>
  <w:style w:type="character" w:customStyle="1" w:styleId="JuParaCar">
    <w:name w:val="Ju_Para Car"/>
    <w:rsid w:val="00A36290"/>
    <w:rPr>
      <w:sz w:val="24"/>
      <w:lang w:val="en-GB" w:eastAsia="fr-FR" w:bidi="ar-SA"/>
    </w:rPr>
  </w:style>
  <w:style w:type="paragraph" w:customStyle="1" w:styleId="naisc">
    <w:name w:val="naisc"/>
    <w:basedOn w:val="Normal"/>
    <w:rsid w:val="00424C76"/>
    <w:pPr>
      <w:suppressAutoHyphens w:val="0"/>
      <w:spacing w:before="100" w:beforeAutospacing="1" w:after="100" w:afterAutospacing="1"/>
    </w:pPr>
    <w:rPr>
      <w:szCs w:val="24"/>
      <w:lang w:eastAsia="en-GB"/>
    </w:rPr>
  </w:style>
  <w:style w:type="paragraph" w:customStyle="1" w:styleId="naispant">
    <w:name w:val="naispant"/>
    <w:basedOn w:val="Normal"/>
    <w:rsid w:val="00424C76"/>
    <w:pPr>
      <w:suppressAutoHyphens w:val="0"/>
      <w:spacing w:before="100" w:beforeAutospacing="1" w:after="100" w:afterAutospacing="1"/>
    </w:pPr>
    <w:rPr>
      <w:szCs w:val="24"/>
      <w:lang w:eastAsia="en-GB"/>
    </w:rPr>
  </w:style>
  <w:style w:type="paragraph" w:customStyle="1" w:styleId="naisf">
    <w:name w:val="naisf"/>
    <w:basedOn w:val="Normal"/>
    <w:rsid w:val="00424C76"/>
    <w:pPr>
      <w:suppressAutoHyphens w:val="0"/>
      <w:spacing w:before="100" w:beforeAutospacing="1" w:after="100" w:afterAutospacing="1"/>
    </w:pPr>
    <w:rPr>
      <w:szCs w:val="24"/>
      <w:lang w:eastAsia="en-GB"/>
    </w:rPr>
  </w:style>
  <w:style w:type="table" w:styleId="TableGrid">
    <w:name w:val="Table Grid"/>
    <w:basedOn w:val="TableNormal"/>
    <w:rsid w:val="00D66C9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6b621b36">
    <w:name w:val="s6b621b36"/>
    <w:basedOn w:val="DefaultParagraphFont"/>
    <w:rsid w:val="00C37663"/>
  </w:style>
  <w:style w:type="character" w:customStyle="1" w:styleId="wordhighlightedcurrentterm">
    <w:name w:val="wordhighlighted currentterm"/>
    <w:basedOn w:val="DefaultParagraphFont"/>
    <w:rsid w:val="00C37663"/>
  </w:style>
  <w:style w:type="character" w:customStyle="1" w:styleId="sb8d990e2">
    <w:name w:val="sb8d990e2"/>
    <w:basedOn w:val="DefaultParagraphFont"/>
    <w:rsid w:val="00C37663"/>
  </w:style>
  <w:style w:type="paragraph" w:customStyle="1" w:styleId="s30eec3f8">
    <w:name w:val="s30eec3f8"/>
    <w:basedOn w:val="Normal"/>
    <w:rsid w:val="003E33BD"/>
    <w:pPr>
      <w:suppressAutoHyphens w:val="0"/>
      <w:spacing w:before="100" w:beforeAutospacing="1" w:after="100" w:afterAutospacing="1"/>
    </w:pPr>
    <w:rPr>
      <w:szCs w:val="24"/>
      <w:lang w:eastAsia="en-GB"/>
    </w:rPr>
  </w:style>
  <w:style w:type="paragraph" w:customStyle="1" w:styleId="s70227c73">
    <w:name w:val="s70227c73"/>
    <w:basedOn w:val="Normal"/>
    <w:rsid w:val="009F7EF4"/>
    <w:pPr>
      <w:suppressAutoHyphens w:val="0"/>
      <w:spacing w:before="100" w:beforeAutospacing="1" w:after="100" w:afterAutospacing="1"/>
    </w:pPr>
    <w:rPr>
      <w:szCs w:val="24"/>
      <w:lang w:eastAsia="en-GB"/>
    </w:rPr>
  </w:style>
  <w:style w:type="paragraph" w:customStyle="1" w:styleId="CharCharCharChar">
    <w:name w:val=" Char Char Char Char"/>
    <w:basedOn w:val="Normal"/>
    <w:rsid w:val="00FC02B4"/>
    <w:pPr>
      <w:suppressAutoHyphens w:val="0"/>
      <w:spacing w:after="160" w:line="240" w:lineRule="exact"/>
    </w:pPr>
    <w:rPr>
      <w:rFonts w:ascii="Tahoma" w:hAnsi="Tahoma"/>
      <w:sz w:val="20"/>
      <w:lang w:val="en-US" w:eastAsia="en-US"/>
    </w:rPr>
  </w:style>
  <w:style w:type="paragraph" w:customStyle="1" w:styleId="s1adbd37c">
    <w:name w:val="s1adbd37c"/>
    <w:basedOn w:val="Normal"/>
    <w:rsid w:val="00303067"/>
    <w:pPr>
      <w:suppressAutoHyphens w:val="0"/>
      <w:spacing w:before="100" w:beforeAutospacing="1" w:after="100" w:afterAutospacing="1"/>
    </w:pPr>
    <w:rPr>
      <w:szCs w:val="24"/>
      <w:lang w:eastAsia="en-GB"/>
    </w:rPr>
  </w:style>
  <w:style w:type="paragraph" w:customStyle="1" w:styleId="PubJuPara">
    <w:name w:val="Pub_Ju_Para"/>
    <w:basedOn w:val="NormalTimesNewRoman"/>
    <w:rsid w:val="00D66C93"/>
    <w:pPr>
      <w:ind w:firstLine="284"/>
      <w:jc w:val="both"/>
    </w:pPr>
  </w:style>
  <w:style w:type="paragraph" w:customStyle="1" w:styleId="PubJuQuot">
    <w:name w:val="Pub_Ju_Quot"/>
    <w:basedOn w:val="NormalTimesNewRoman"/>
    <w:rsid w:val="00D66C93"/>
    <w:pPr>
      <w:spacing w:before="120" w:after="120"/>
      <w:ind w:left="403" w:firstLine="176"/>
      <w:jc w:val="both"/>
    </w:pPr>
    <w:rPr>
      <w:sz w:val="20"/>
    </w:rPr>
  </w:style>
  <w:style w:type="paragraph" w:customStyle="1" w:styleId="PubListArticleSubject">
    <w:name w:val="Pub_List_ArticleSubject"/>
    <w:basedOn w:val="NormalTimesNewRoman"/>
    <w:rsid w:val="00D66C93"/>
    <w:pPr>
      <w:tabs>
        <w:tab w:val="left" w:pos="2977"/>
      </w:tabs>
      <w:ind w:left="2977" w:hanging="2977"/>
    </w:pPr>
  </w:style>
  <w:style w:type="paragraph" w:customStyle="1" w:styleId="PubListCaseNo">
    <w:name w:val="Pub_List_CaseNo"/>
    <w:basedOn w:val="NormalTimesNewRoman"/>
    <w:rsid w:val="00D66C93"/>
    <w:pPr>
      <w:tabs>
        <w:tab w:val="left" w:pos="1276"/>
      </w:tabs>
      <w:spacing w:line="288" w:lineRule="auto"/>
      <w:ind w:left="1276" w:hanging="1276"/>
    </w:pPr>
  </w:style>
  <w:style w:type="paragraph" w:customStyle="1" w:styleId="PubListCases">
    <w:name w:val="Pub_List_Cases"/>
    <w:basedOn w:val="NormalTimesNewRoman"/>
    <w:rsid w:val="00D66C93"/>
    <w:pPr>
      <w:spacing w:line="288" w:lineRule="auto"/>
    </w:pPr>
  </w:style>
  <w:style w:type="paragraph" w:customStyle="1" w:styleId="PubTextIntro">
    <w:name w:val="Pub_Text_Intro"/>
    <w:basedOn w:val="NormalTimesNewRoman"/>
    <w:rsid w:val="00D66C93"/>
    <w:pPr>
      <w:jc w:val="both"/>
    </w:pPr>
    <w:rPr>
      <w:i/>
      <w:sz w:val="20"/>
    </w:rPr>
  </w:style>
  <w:style w:type="paragraph" w:customStyle="1" w:styleId="PubTitleCover">
    <w:name w:val="Pub_Title_Cover"/>
    <w:basedOn w:val="NormalTimesNewRoman"/>
    <w:rsid w:val="00D66C93"/>
    <w:pPr>
      <w:spacing w:before="2500"/>
      <w:jc w:val="center"/>
    </w:pPr>
    <w:rPr>
      <w:b/>
      <w:smallCaps/>
      <w:sz w:val="30"/>
    </w:rPr>
  </w:style>
  <w:style w:type="paragraph" w:customStyle="1" w:styleId="PubTitle1Alpha">
    <w:name w:val="Pub_Title1_Alpha"/>
    <w:basedOn w:val="NormalTimesNewRoman"/>
    <w:next w:val="Normal"/>
    <w:rsid w:val="00D66C93"/>
    <w:pPr>
      <w:spacing w:after="120"/>
      <w:jc w:val="center"/>
    </w:pPr>
    <w:rPr>
      <w:b/>
      <w:smallCaps/>
      <w:sz w:val="30"/>
    </w:rPr>
  </w:style>
  <w:style w:type="paragraph" w:customStyle="1" w:styleId="PubTitle1IndexArticle">
    <w:name w:val="Pub_Title1_IndexArticle"/>
    <w:basedOn w:val="NormalTimesNewRoman"/>
    <w:rsid w:val="00D66C93"/>
    <w:pPr>
      <w:spacing w:after="120"/>
      <w:jc w:val="center"/>
    </w:pPr>
    <w:rPr>
      <w:b/>
      <w:smallCaps/>
      <w:sz w:val="30"/>
    </w:rPr>
  </w:style>
  <w:style w:type="paragraph" w:customStyle="1" w:styleId="PubTitle1IndexKey">
    <w:name w:val="Pub_Title1_IndexKey"/>
    <w:basedOn w:val="NormalTimesNewRoman"/>
    <w:rsid w:val="00D66C93"/>
    <w:pPr>
      <w:spacing w:after="600"/>
      <w:jc w:val="center"/>
    </w:pPr>
    <w:rPr>
      <w:b/>
      <w:smallCaps/>
      <w:sz w:val="30"/>
    </w:rPr>
  </w:style>
  <w:style w:type="paragraph" w:customStyle="1" w:styleId="PubTitle1Num">
    <w:name w:val="Pub_Title1_Num"/>
    <w:basedOn w:val="NormalTimesNewRoman"/>
    <w:next w:val="PubListCaseNo"/>
    <w:rsid w:val="00D66C93"/>
    <w:pPr>
      <w:spacing w:after="720"/>
      <w:jc w:val="center"/>
    </w:pPr>
    <w:rPr>
      <w:b/>
      <w:smallCaps/>
      <w:sz w:val="30"/>
    </w:rPr>
  </w:style>
  <w:style w:type="paragraph" w:customStyle="1" w:styleId="PubTitle2Country">
    <w:name w:val="Pub_Title2_Country"/>
    <w:basedOn w:val="NormalTimesNewRoman"/>
    <w:next w:val="PubListCases"/>
    <w:rsid w:val="00D66C93"/>
    <w:pPr>
      <w:keepNext/>
      <w:keepLines/>
      <w:spacing w:before="600" w:after="360"/>
    </w:pPr>
    <w:rPr>
      <w:b/>
    </w:rPr>
  </w:style>
  <w:style w:type="paragraph" w:customStyle="1" w:styleId="PubTitle2Letters">
    <w:name w:val="Pub_Title2_Letters"/>
    <w:basedOn w:val="NormalTimesNewRoman"/>
    <w:next w:val="PubListCases"/>
    <w:rsid w:val="00D66C93"/>
    <w:pPr>
      <w:keepNext/>
      <w:keepLines/>
      <w:spacing w:before="600" w:after="360"/>
    </w:pPr>
    <w:rPr>
      <w:b/>
      <w:sz w:val="28"/>
    </w:rPr>
  </w:style>
  <w:style w:type="paragraph" w:customStyle="1" w:styleId="PubTitle2Part">
    <w:name w:val="Pub_Title2_Part"/>
    <w:basedOn w:val="NormalTimesNewRoman"/>
    <w:rsid w:val="00D66C93"/>
    <w:pPr>
      <w:keepNext/>
      <w:keepLines/>
      <w:spacing w:before="600" w:after="240"/>
      <w:jc w:val="center"/>
    </w:pPr>
    <w:rPr>
      <w:b/>
      <w:caps/>
    </w:rPr>
  </w:style>
  <w:style w:type="paragraph" w:customStyle="1" w:styleId="PubTitle3Article">
    <w:name w:val="Pub_Title3_Article"/>
    <w:basedOn w:val="NormalTimesNewRoman"/>
    <w:rsid w:val="00D66C93"/>
    <w:pPr>
      <w:keepNext/>
      <w:keepLines/>
      <w:spacing w:before="360" w:after="120"/>
      <w:jc w:val="center"/>
    </w:pPr>
    <w:rPr>
      <w:b/>
      <w:smallCaps/>
      <w:sz w:val="22"/>
    </w:rPr>
  </w:style>
  <w:style w:type="paragraph" w:customStyle="1" w:styleId="PubTitle4ArticleSub">
    <w:name w:val="Pub_Title4_Article_Sub"/>
    <w:basedOn w:val="PubTitle3Article"/>
    <w:rsid w:val="00D66C93"/>
    <w:pPr>
      <w:spacing w:before="240"/>
    </w:pPr>
    <w:rPr>
      <w:smallCaps w:val="0"/>
      <w:sz w:val="20"/>
    </w:rPr>
  </w:style>
  <w:style w:type="paragraph" w:customStyle="1" w:styleId="PubTitle5Subject">
    <w:name w:val="Pub_Title5_Subject"/>
    <w:basedOn w:val="NormalTimesNewRoman"/>
    <w:rsid w:val="00D66C93"/>
    <w:pPr>
      <w:keepNext/>
      <w:keepLines/>
      <w:spacing w:before="240" w:after="120"/>
      <w:jc w:val="both"/>
    </w:pPr>
    <w:rPr>
      <w:b/>
      <w:i/>
    </w:rPr>
  </w:style>
  <w:style w:type="paragraph" w:customStyle="1" w:styleId="PubTitle6SubjectSub">
    <w:name w:val="Pub_Title6_Subject_Sub"/>
    <w:basedOn w:val="NormalTimesNewRoman"/>
    <w:rsid w:val="00D66C93"/>
    <w:pPr>
      <w:keepNext/>
      <w:keepLines/>
      <w:spacing w:before="240" w:after="120"/>
      <w:ind w:left="284"/>
      <w:jc w:val="both"/>
    </w:pPr>
    <w:rPr>
      <w:b/>
      <w:sz w:val="20"/>
    </w:rPr>
  </w:style>
  <w:style w:type="paragraph" w:customStyle="1" w:styleId="PubTitle7CaseName">
    <w:name w:val="Pub_Title7_CaseName"/>
    <w:basedOn w:val="NormalTimesNewRoman"/>
    <w:rsid w:val="00D66C93"/>
    <w:pPr>
      <w:keepLines/>
      <w:spacing w:after="240"/>
      <w:jc w:val="right"/>
    </w:pPr>
    <w:rPr>
      <w:sz w:val="22"/>
    </w:rPr>
  </w:style>
  <w:style w:type="numbering" w:styleId="111111">
    <w:name w:val="Outline List 2"/>
    <w:basedOn w:val="NoList"/>
    <w:rsid w:val="00D66C93"/>
    <w:pPr>
      <w:numPr>
        <w:numId w:val="10"/>
      </w:numPr>
    </w:pPr>
  </w:style>
  <w:style w:type="numbering" w:styleId="1ai">
    <w:name w:val="Outline List 1"/>
    <w:basedOn w:val="NoList"/>
    <w:rsid w:val="00D66C93"/>
    <w:pPr>
      <w:numPr>
        <w:numId w:val="11"/>
      </w:numPr>
    </w:pPr>
  </w:style>
  <w:style w:type="numbering" w:styleId="ArticleSection">
    <w:name w:val="Outline List 3"/>
    <w:basedOn w:val="NoList"/>
    <w:rsid w:val="00D66C93"/>
    <w:pPr>
      <w:numPr>
        <w:numId w:val="12"/>
      </w:numPr>
    </w:pPr>
  </w:style>
  <w:style w:type="paragraph" w:styleId="BlockText">
    <w:name w:val="Block Text"/>
    <w:basedOn w:val="Normal"/>
    <w:rsid w:val="00D66C93"/>
    <w:pPr>
      <w:spacing w:after="120"/>
      <w:ind w:left="1440" w:right="1440"/>
    </w:pPr>
  </w:style>
  <w:style w:type="paragraph" w:styleId="BodyText">
    <w:name w:val="Body Text"/>
    <w:basedOn w:val="Normal"/>
    <w:rsid w:val="00D66C93"/>
    <w:pPr>
      <w:spacing w:after="120"/>
    </w:pPr>
  </w:style>
  <w:style w:type="paragraph" w:styleId="BodyText2">
    <w:name w:val="Body Text 2"/>
    <w:basedOn w:val="Normal"/>
    <w:rsid w:val="00D66C93"/>
    <w:pPr>
      <w:spacing w:after="120" w:line="480" w:lineRule="auto"/>
    </w:pPr>
  </w:style>
  <w:style w:type="paragraph" w:styleId="BodyText3">
    <w:name w:val="Body Text 3"/>
    <w:basedOn w:val="Normal"/>
    <w:rsid w:val="00D66C93"/>
    <w:pPr>
      <w:spacing w:after="120"/>
    </w:pPr>
    <w:rPr>
      <w:sz w:val="16"/>
      <w:szCs w:val="16"/>
    </w:rPr>
  </w:style>
  <w:style w:type="paragraph" w:styleId="BodyTextFirstIndent">
    <w:name w:val="Body Text First Indent"/>
    <w:basedOn w:val="BodyText"/>
    <w:rsid w:val="00D66C93"/>
    <w:pPr>
      <w:ind w:firstLine="210"/>
    </w:pPr>
  </w:style>
  <w:style w:type="paragraph" w:styleId="BodyTextIndent">
    <w:name w:val="Body Text Indent"/>
    <w:basedOn w:val="Normal"/>
    <w:rsid w:val="00D66C93"/>
    <w:pPr>
      <w:spacing w:after="120"/>
      <w:ind w:left="283"/>
    </w:pPr>
  </w:style>
  <w:style w:type="paragraph" w:styleId="BodyTextFirstIndent2">
    <w:name w:val="Body Text First Indent 2"/>
    <w:basedOn w:val="BodyTextIndent"/>
    <w:rsid w:val="00D66C93"/>
    <w:pPr>
      <w:ind w:firstLine="210"/>
    </w:pPr>
  </w:style>
  <w:style w:type="paragraph" w:styleId="BodyTextIndent2">
    <w:name w:val="Body Text Indent 2"/>
    <w:basedOn w:val="Normal"/>
    <w:rsid w:val="00D66C93"/>
    <w:pPr>
      <w:spacing w:after="120" w:line="480" w:lineRule="auto"/>
      <w:ind w:left="283"/>
    </w:pPr>
  </w:style>
  <w:style w:type="paragraph" w:styleId="BodyTextIndent3">
    <w:name w:val="Body Text Indent 3"/>
    <w:basedOn w:val="Normal"/>
    <w:rsid w:val="00D66C93"/>
    <w:pPr>
      <w:spacing w:after="120"/>
      <w:ind w:left="283"/>
    </w:pPr>
    <w:rPr>
      <w:sz w:val="16"/>
      <w:szCs w:val="16"/>
    </w:rPr>
  </w:style>
  <w:style w:type="paragraph" w:styleId="Caption">
    <w:name w:val="caption"/>
    <w:basedOn w:val="Normal"/>
    <w:next w:val="Normal"/>
    <w:qFormat/>
    <w:rsid w:val="00D66C93"/>
    <w:rPr>
      <w:b/>
      <w:bCs/>
      <w:sz w:val="20"/>
    </w:rPr>
  </w:style>
  <w:style w:type="paragraph" w:styleId="Closing">
    <w:name w:val="Closing"/>
    <w:basedOn w:val="Normal"/>
    <w:rsid w:val="00D66C93"/>
    <w:pPr>
      <w:ind w:left="4252"/>
    </w:pPr>
  </w:style>
  <w:style w:type="paragraph" w:styleId="Date">
    <w:name w:val="Date"/>
    <w:basedOn w:val="Normal"/>
    <w:next w:val="Normal"/>
    <w:rsid w:val="00D66C93"/>
  </w:style>
  <w:style w:type="paragraph" w:styleId="E-mailSignature">
    <w:name w:val="E-mail Signature"/>
    <w:basedOn w:val="Normal"/>
    <w:rsid w:val="00D66C93"/>
  </w:style>
  <w:style w:type="character" w:styleId="Emphasis">
    <w:name w:val="Emphasis"/>
    <w:qFormat/>
    <w:rsid w:val="00D66C93"/>
    <w:rPr>
      <w:i/>
      <w:iCs/>
    </w:rPr>
  </w:style>
  <w:style w:type="paragraph" w:styleId="EnvelopeAddress">
    <w:name w:val="envelope address"/>
    <w:basedOn w:val="Normal"/>
    <w:rsid w:val="00D66C93"/>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D66C93"/>
    <w:rPr>
      <w:rFonts w:ascii="Arial" w:hAnsi="Arial" w:cs="Arial"/>
      <w:sz w:val="20"/>
    </w:rPr>
  </w:style>
  <w:style w:type="character" w:styleId="HTMLAcronym">
    <w:name w:val="HTML Acronym"/>
    <w:basedOn w:val="DefaultParagraphFont"/>
    <w:rsid w:val="00D66C93"/>
  </w:style>
  <w:style w:type="paragraph" w:styleId="HTMLAddress">
    <w:name w:val="HTML Address"/>
    <w:basedOn w:val="Normal"/>
    <w:rsid w:val="00D66C93"/>
    <w:rPr>
      <w:i/>
      <w:iCs/>
    </w:rPr>
  </w:style>
  <w:style w:type="character" w:styleId="HTMLCite">
    <w:name w:val="HTML Cite"/>
    <w:rsid w:val="00D66C93"/>
    <w:rPr>
      <w:i/>
      <w:iCs/>
    </w:rPr>
  </w:style>
  <w:style w:type="character" w:styleId="HTMLCode">
    <w:name w:val="HTML Code"/>
    <w:rsid w:val="00D66C93"/>
    <w:rPr>
      <w:rFonts w:ascii="Courier New" w:hAnsi="Courier New" w:cs="Courier New"/>
      <w:sz w:val="20"/>
      <w:szCs w:val="20"/>
    </w:rPr>
  </w:style>
  <w:style w:type="character" w:styleId="HTMLDefinition">
    <w:name w:val="HTML Definition"/>
    <w:rsid w:val="00D66C93"/>
    <w:rPr>
      <w:i/>
      <w:iCs/>
    </w:rPr>
  </w:style>
  <w:style w:type="character" w:styleId="HTMLKeyboard">
    <w:name w:val="HTML Keyboard"/>
    <w:rsid w:val="00D66C93"/>
    <w:rPr>
      <w:rFonts w:ascii="Courier New" w:hAnsi="Courier New" w:cs="Courier New"/>
      <w:sz w:val="20"/>
      <w:szCs w:val="20"/>
    </w:rPr>
  </w:style>
  <w:style w:type="paragraph" w:styleId="HTMLPreformatted">
    <w:name w:val="HTML Preformatted"/>
    <w:basedOn w:val="Normal"/>
    <w:rsid w:val="00D66C93"/>
    <w:rPr>
      <w:rFonts w:ascii="Courier New" w:hAnsi="Courier New" w:cs="Courier New"/>
      <w:sz w:val="20"/>
    </w:rPr>
  </w:style>
  <w:style w:type="character" w:styleId="HTMLSample">
    <w:name w:val="HTML Sample"/>
    <w:rsid w:val="00D66C93"/>
    <w:rPr>
      <w:rFonts w:ascii="Courier New" w:hAnsi="Courier New" w:cs="Courier New"/>
    </w:rPr>
  </w:style>
  <w:style w:type="character" w:styleId="HTMLTypewriter">
    <w:name w:val="HTML Typewriter"/>
    <w:rsid w:val="00D66C93"/>
    <w:rPr>
      <w:rFonts w:ascii="Courier New" w:hAnsi="Courier New" w:cs="Courier New"/>
      <w:sz w:val="20"/>
      <w:szCs w:val="20"/>
    </w:rPr>
  </w:style>
  <w:style w:type="character" w:styleId="HTMLVariable">
    <w:name w:val="HTML Variable"/>
    <w:rsid w:val="00D66C93"/>
    <w:rPr>
      <w:i/>
      <w:iCs/>
    </w:rPr>
  </w:style>
  <w:style w:type="paragraph" w:styleId="Index1">
    <w:name w:val="index 1"/>
    <w:basedOn w:val="Normal"/>
    <w:next w:val="Normal"/>
    <w:autoRedefine/>
    <w:semiHidden/>
    <w:rsid w:val="00D66C93"/>
    <w:pPr>
      <w:ind w:left="240" w:hanging="240"/>
    </w:pPr>
  </w:style>
  <w:style w:type="paragraph" w:styleId="Index2">
    <w:name w:val="index 2"/>
    <w:basedOn w:val="Normal"/>
    <w:next w:val="Normal"/>
    <w:autoRedefine/>
    <w:semiHidden/>
    <w:rsid w:val="00D66C93"/>
    <w:pPr>
      <w:ind w:left="480" w:hanging="240"/>
    </w:pPr>
  </w:style>
  <w:style w:type="paragraph" w:styleId="Index3">
    <w:name w:val="index 3"/>
    <w:basedOn w:val="Normal"/>
    <w:next w:val="Normal"/>
    <w:autoRedefine/>
    <w:semiHidden/>
    <w:rsid w:val="00D66C93"/>
    <w:pPr>
      <w:ind w:left="720" w:hanging="240"/>
    </w:pPr>
  </w:style>
  <w:style w:type="paragraph" w:styleId="Index4">
    <w:name w:val="index 4"/>
    <w:basedOn w:val="Normal"/>
    <w:next w:val="Normal"/>
    <w:autoRedefine/>
    <w:semiHidden/>
    <w:rsid w:val="00D66C93"/>
    <w:pPr>
      <w:ind w:left="960" w:hanging="240"/>
    </w:pPr>
  </w:style>
  <w:style w:type="paragraph" w:styleId="Index5">
    <w:name w:val="index 5"/>
    <w:basedOn w:val="Normal"/>
    <w:next w:val="Normal"/>
    <w:autoRedefine/>
    <w:semiHidden/>
    <w:rsid w:val="00D66C93"/>
    <w:pPr>
      <w:ind w:left="1200" w:hanging="240"/>
    </w:pPr>
  </w:style>
  <w:style w:type="paragraph" w:styleId="Index6">
    <w:name w:val="index 6"/>
    <w:basedOn w:val="Normal"/>
    <w:next w:val="Normal"/>
    <w:autoRedefine/>
    <w:semiHidden/>
    <w:rsid w:val="00D66C93"/>
    <w:pPr>
      <w:ind w:left="1440" w:hanging="240"/>
    </w:pPr>
  </w:style>
  <w:style w:type="paragraph" w:styleId="Index7">
    <w:name w:val="index 7"/>
    <w:basedOn w:val="Normal"/>
    <w:next w:val="Normal"/>
    <w:autoRedefine/>
    <w:semiHidden/>
    <w:rsid w:val="00D66C93"/>
    <w:pPr>
      <w:ind w:left="1680" w:hanging="240"/>
    </w:pPr>
  </w:style>
  <w:style w:type="paragraph" w:styleId="Index8">
    <w:name w:val="index 8"/>
    <w:basedOn w:val="Normal"/>
    <w:next w:val="Normal"/>
    <w:autoRedefine/>
    <w:semiHidden/>
    <w:rsid w:val="00D66C93"/>
    <w:pPr>
      <w:ind w:left="1920" w:hanging="240"/>
    </w:pPr>
  </w:style>
  <w:style w:type="paragraph" w:styleId="Index9">
    <w:name w:val="index 9"/>
    <w:basedOn w:val="Normal"/>
    <w:next w:val="Normal"/>
    <w:autoRedefine/>
    <w:semiHidden/>
    <w:rsid w:val="00D66C93"/>
    <w:pPr>
      <w:ind w:left="2160" w:hanging="240"/>
    </w:pPr>
  </w:style>
  <w:style w:type="paragraph" w:styleId="IndexHeading">
    <w:name w:val="index heading"/>
    <w:basedOn w:val="Normal"/>
    <w:next w:val="Index1"/>
    <w:semiHidden/>
    <w:rsid w:val="00D66C93"/>
    <w:rPr>
      <w:rFonts w:ascii="Arial" w:hAnsi="Arial" w:cs="Arial"/>
      <w:b/>
      <w:bCs/>
    </w:rPr>
  </w:style>
  <w:style w:type="character" w:styleId="LineNumber">
    <w:name w:val="line number"/>
    <w:basedOn w:val="DefaultParagraphFont"/>
    <w:rsid w:val="00D66C93"/>
  </w:style>
  <w:style w:type="paragraph" w:styleId="List">
    <w:name w:val="List"/>
    <w:basedOn w:val="Normal"/>
    <w:rsid w:val="00D66C93"/>
    <w:pPr>
      <w:ind w:left="283" w:hanging="283"/>
    </w:pPr>
  </w:style>
  <w:style w:type="paragraph" w:styleId="List2">
    <w:name w:val="List 2"/>
    <w:basedOn w:val="Normal"/>
    <w:rsid w:val="00D66C93"/>
    <w:pPr>
      <w:ind w:left="566" w:hanging="283"/>
    </w:pPr>
  </w:style>
  <w:style w:type="paragraph" w:styleId="List3">
    <w:name w:val="List 3"/>
    <w:basedOn w:val="Normal"/>
    <w:rsid w:val="00D66C93"/>
    <w:pPr>
      <w:ind w:left="849" w:hanging="283"/>
    </w:pPr>
  </w:style>
  <w:style w:type="paragraph" w:styleId="List4">
    <w:name w:val="List 4"/>
    <w:basedOn w:val="Normal"/>
    <w:rsid w:val="00D66C93"/>
    <w:pPr>
      <w:ind w:left="1132" w:hanging="283"/>
    </w:pPr>
  </w:style>
  <w:style w:type="paragraph" w:styleId="List5">
    <w:name w:val="List 5"/>
    <w:basedOn w:val="Normal"/>
    <w:rsid w:val="00D66C93"/>
    <w:pPr>
      <w:ind w:left="1415" w:hanging="283"/>
    </w:pPr>
  </w:style>
  <w:style w:type="paragraph" w:styleId="ListBullet2">
    <w:name w:val="List Bullet 2"/>
    <w:basedOn w:val="Normal"/>
    <w:rsid w:val="00D66C93"/>
    <w:pPr>
      <w:numPr>
        <w:numId w:val="13"/>
      </w:numPr>
    </w:pPr>
  </w:style>
  <w:style w:type="paragraph" w:styleId="ListBullet3">
    <w:name w:val="List Bullet 3"/>
    <w:basedOn w:val="Normal"/>
    <w:rsid w:val="00D66C93"/>
    <w:pPr>
      <w:numPr>
        <w:numId w:val="14"/>
      </w:numPr>
    </w:pPr>
  </w:style>
  <w:style w:type="paragraph" w:styleId="ListBullet4">
    <w:name w:val="List Bullet 4"/>
    <w:basedOn w:val="Normal"/>
    <w:rsid w:val="00D66C93"/>
    <w:pPr>
      <w:numPr>
        <w:numId w:val="15"/>
      </w:numPr>
    </w:pPr>
  </w:style>
  <w:style w:type="paragraph" w:styleId="ListBullet5">
    <w:name w:val="List Bullet 5"/>
    <w:basedOn w:val="Normal"/>
    <w:rsid w:val="00D66C93"/>
    <w:pPr>
      <w:numPr>
        <w:numId w:val="16"/>
      </w:numPr>
    </w:pPr>
  </w:style>
  <w:style w:type="paragraph" w:styleId="ListContinue">
    <w:name w:val="List Continue"/>
    <w:basedOn w:val="Normal"/>
    <w:rsid w:val="00D66C93"/>
    <w:pPr>
      <w:spacing w:after="120"/>
      <w:ind w:left="283"/>
    </w:pPr>
  </w:style>
  <w:style w:type="paragraph" w:styleId="ListContinue2">
    <w:name w:val="List Continue 2"/>
    <w:basedOn w:val="Normal"/>
    <w:rsid w:val="00D66C93"/>
    <w:pPr>
      <w:spacing w:after="120"/>
      <w:ind w:left="566"/>
    </w:pPr>
  </w:style>
  <w:style w:type="paragraph" w:styleId="ListContinue3">
    <w:name w:val="List Continue 3"/>
    <w:basedOn w:val="Normal"/>
    <w:rsid w:val="00D66C93"/>
    <w:pPr>
      <w:spacing w:after="120"/>
      <w:ind w:left="849"/>
    </w:pPr>
  </w:style>
  <w:style w:type="paragraph" w:styleId="ListContinue4">
    <w:name w:val="List Continue 4"/>
    <w:basedOn w:val="Normal"/>
    <w:rsid w:val="00D66C93"/>
    <w:pPr>
      <w:spacing w:after="120"/>
      <w:ind w:left="1132"/>
    </w:pPr>
  </w:style>
  <w:style w:type="paragraph" w:styleId="ListContinue5">
    <w:name w:val="List Continue 5"/>
    <w:basedOn w:val="Normal"/>
    <w:rsid w:val="00D66C93"/>
    <w:pPr>
      <w:spacing w:after="120"/>
      <w:ind w:left="1415"/>
    </w:pPr>
  </w:style>
  <w:style w:type="paragraph" w:styleId="ListNumber">
    <w:name w:val="List Number"/>
    <w:basedOn w:val="Normal"/>
    <w:rsid w:val="00D66C93"/>
    <w:pPr>
      <w:numPr>
        <w:numId w:val="17"/>
      </w:numPr>
    </w:pPr>
  </w:style>
  <w:style w:type="paragraph" w:styleId="ListNumber2">
    <w:name w:val="List Number 2"/>
    <w:basedOn w:val="Normal"/>
    <w:rsid w:val="00D66C93"/>
    <w:pPr>
      <w:numPr>
        <w:numId w:val="18"/>
      </w:numPr>
    </w:pPr>
  </w:style>
  <w:style w:type="paragraph" w:styleId="ListNumber3">
    <w:name w:val="List Number 3"/>
    <w:basedOn w:val="Normal"/>
    <w:rsid w:val="00D66C93"/>
    <w:pPr>
      <w:numPr>
        <w:numId w:val="19"/>
      </w:numPr>
    </w:pPr>
  </w:style>
  <w:style w:type="paragraph" w:styleId="ListNumber4">
    <w:name w:val="List Number 4"/>
    <w:basedOn w:val="Normal"/>
    <w:rsid w:val="00D66C93"/>
    <w:pPr>
      <w:numPr>
        <w:numId w:val="20"/>
      </w:numPr>
    </w:pPr>
  </w:style>
  <w:style w:type="paragraph" w:styleId="ListNumber5">
    <w:name w:val="List Number 5"/>
    <w:basedOn w:val="Normal"/>
    <w:rsid w:val="00D66C93"/>
    <w:pPr>
      <w:numPr>
        <w:numId w:val="21"/>
      </w:numPr>
    </w:pPr>
  </w:style>
  <w:style w:type="paragraph" w:styleId="MacroText">
    <w:name w:val="macro"/>
    <w:semiHidden/>
    <w:rsid w:val="00D66C93"/>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en-GB" w:eastAsia="fr-FR"/>
    </w:rPr>
  </w:style>
  <w:style w:type="paragraph" w:styleId="MessageHeader">
    <w:name w:val="Message Header"/>
    <w:basedOn w:val="Normal"/>
    <w:rsid w:val="00D66C9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rsid w:val="00D66C93"/>
    <w:rPr>
      <w:szCs w:val="24"/>
    </w:rPr>
  </w:style>
  <w:style w:type="paragraph" w:styleId="NormalIndent">
    <w:name w:val="Normal Indent"/>
    <w:basedOn w:val="Normal"/>
    <w:rsid w:val="00D66C93"/>
    <w:pPr>
      <w:ind w:left="720"/>
    </w:pPr>
  </w:style>
  <w:style w:type="paragraph" w:styleId="NoteHeading">
    <w:name w:val="Note Heading"/>
    <w:basedOn w:val="Normal"/>
    <w:next w:val="Normal"/>
    <w:rsid w:val="00D66C93"/>
  </w:style>
  <w:style w:type="paragraph" w:styleId="PlainText">
    <w:name w:val="Plain Text"/>
    <w:basedOn w:val="Normal"/>
    <w:rsid w:val="00D66C93"/>
    <w:rPr>
      <w:rFonts w:ascii="Courier New" w:hAnsi="Courier New" w:cs="Courier New"/>
      <w:sz w:val="20"/>
    </w:rPr>
  </w:style>
  <w:style w:type="paragraph" w:styleId="Salutation">
    <w:name w:val="Salutation"/>
    <w:basedOn w:val="Normal"/>
    <w:next w:val="Normal"/>
    <w:rsid w:val="00D66C93"/>
  </w:style>
  <w:style w:type="paragraph" w:styleId="Signature">
    <w:name w:val="Signature"/>
    <w:basedOn w:val="Normal"/>
    <w:rsid w:val="00D66C93"/>
    <w:pPr>
      <w:ind w:left="4252"/>
    </w:pPr>
  </w:style>
  <w:style w:type="paragraph" w:styleId="Subtitle">
    <w:name w:val="Subtitle"/>
    <w:basedOn w:val="Normal"/>
    <w:qFormat/>
    <w:rsid w:val="00D66C93"/>
    <w:pPr>
      <w:spacing w:after="60"/>
      <w:jc w:val="center"/>
      <w:outlineLvl w:val="1"/>
    </w:pPr>
    <w:rPr>
      <w:rFonts w:ascii="Arial" w:hAnsi="Arial" w:cs="Arial"/>
      <w:szCs w:val="24"/>
    </w:rPr>
  </w:style>
  <w:style w:type="table" w:styleId="Table3Deffects1">
    <w:name w:val="Table 3D effects 1"/>
    <w:basedOn w:val="TableNormal"/>
    <w:rsid w:val="00D66C93"/>
    <w:pPr>
      <w:suppressAutoHyphens/>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66C93"/>
    <w:pPr>
      <w:suppressAutoHyphens/>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66C93"/>
    <w:pPr>
      <w:suppressAutoHyphens/>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66C93"/>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66C93"/>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66C93"/>
    <w:pPr>
      <w:suppressAutoHyphens/>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66C93"/>
    <w:pPr>
      <w:suppressAutoHyphens/>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66C93"/>
    <w:pPr>
      <w:suppressAutoHyphens/>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66C93"/>
    <w:pPr>
      <w:suppressAutoHyphens/>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66C93"/>
    <w:pPr>
      <w:suppressAutoHyphens/>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66C93"/>
    <w:pPr>
      <w:suppressAutoHyphens/>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66C93"/>
    <w:pPr>
      <w:suppressAutoHyphens/>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66C93"/>
    <w:pPr>
      <w:suppressAutoHyphens/>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66C93"/>
    <w:pPr>
      <w:suppressAutoHyphens/>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66C93"/>
    <w:pPr>
      <w:suppressAutoHyphens/>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66C93"/>
    <w:pPr>
      <w:suppressAutoHyphens/>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66C93"/>
    <w:pPr>
      <w:suppressAutoHyphen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66C93"/>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66C93"/>
    <w:pPr>
      <w:suppressAutoHyphens/>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66C93"/>
    <w:pPr>
      <w:suppressAutoHyphens/>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66C93"/>
    <w:pPr>
      <w:suppressAutoHyphens/>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66C93"/>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66C93"/>
    <w:pPr>
      <w:suppressAutoHyphens/>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66C93"/>
    <w:pPr>
      <w:suppressAutoHyphens/>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66C93"/>
    <w:pPr>
      <w:suppressAutoHyphens/>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66C93"/>
    <w:pPr>
      <w:suppressAutoHyphens/>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66C93"/>
    <w:pPr>
      <w:suppressAutoHyphens/>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66C93"/>
    <w:pPr>
      <w:suppressAutoHyphens/>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66C93"/>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66C93"/>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66C93"/>
    <w:pPr>
      <w:suppressAutoHyphens/>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66C93"/>
    <w:pPr>
      <w:suppressAutoHyphens/>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66C93"/>
    <w:pPr>
      <w:suppressAutoHyphens/>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D66C93"/>
    <w:pPr>
      <w:ind w:left="240" w:hanging="240"/>
    </w:pPr>
  </w:style>
  <w:style w:type="paragraph" w:styleId="TableofFigures">
    <w:name w:val="table of figures"/>
    <w:basedOn w:val="Normal"/>
    <w:next w:val="Normal"/>
    <w:semiHidden/>
    <w:rsid w:val="00D66C93"/>
  </w:style>
  <w:style w:type="table" w:styleId="TableProfessional">
    <w:name w:val="Table Professional"/>
    <w:basedOn w:val="TableNormal"/>
    <w:rsid w:val="00D66C93"/>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66C93"/>
    <w:pPr>
      <w:suppressAutoHyphens/>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66C93"/>
    <w:pPr>
      <w:suppressAutoHyphens/>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66C93"/>
    <w:pPr>
      <w:suppressAutoHyphens/>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66C93"/>
    <w:pPr>
      <w:suppressAutoHyphens/>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66C93"/>
    <w:pPr>
      <w:suppressAutoHyphens/>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66C9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66C93"/>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66C93"/>
    <w:pPr>
      <w:suppressAutoHyphens/>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66C93"/>
    <w:pPr>
      <w:suppressAutoHyphens/>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D66C93"/>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D66C93"/>
    <w:pPr>
      <w:spacing w:before="120"/>
    </w:pPr>
    <w:rPr>
      <w:rFonts w:ascii="Arial" w:hAnsi="Arial" w:cs="Arial"/>
      <w:b/>
      <w:bCs/>
      <w:szCs w:val="24"/>
    </w:rPr>
  </w:style>
  <w:style w:type="paragraph" w:styleId="TOC1">
    <w:name w:val="toc 1"/>
    <w:basedOn w:val="Normal"/>
    <w:next w:val="Normal"/>
    <w:autoRedefine/>
    <w:semiHidden/>
    <w:rsid w:val="00D66C93"/>
  </w:style>
  <w:style w:type="paragraph" w:styleId="TOC2">
    <w:name w:val="toc 2"/>
    <w:basedOn w:val="Normal"/>
    <w:next w:val="Normal"/>
    <w:autoRedefine/>
    <w:semiHidden/>
    <w:rsid w:val="00D66C93"/>
    <w:pPr>
      <w:ind w:left="240"/>
    </w:pPr>
  </w:style>
  <w:style w:type="paragraph" w:styleId="TOC3">
    <w:name w:val="toc 3"/>
    <w:basedOn w:val="Normal"/>
    <w:next w:val="Normal"/>
    <w:autoRedefine/>
    <w:semiHidden/>
    <w:rsid w:val="00D66C93"/>
    <w:pPr>
      <w:ind w:left="480"/>
    </w:pPr>
  </w:style>
  <w:style w:type="paragraph" w:styleId="TOC4">
    <w:name w:val="toc 4"/>
    <w:basedOn w:val="Normal"/>
    <w:next w:val="Normal"/>
    <w:autoRedefine/>
    <w:semiHidden/>
    <w:rsid w:val="00D66C93"/>
    <w:pPr>
      <w:ind w:left="720"/>
    </w:pPr>
  </w:style>
  <w:style w:type="paragraph" w:styleId="TOC5">
    <w:name w:val="toc 5"/>
    <w:basedOn w:val="Normal"/>
    <w:next w:val="Normal"/>
    <w:autoRedefine/>
    <w:semiHidden/>
    <w:rsid w:val="00D66C93"/>
    <w:pPr>
      <w:ind w:left="960"/>
    </w:pPr>
  </w:style>
  <w:style w:type="paragraph" w:styleId="TOC6">
    <w:name w:val="toc 6"/>
    <w:basedOn w:val="Normal"/>
    <w:next w:val="Normal"/>
    <w:autoRedefine/>
    <w:semiHidden/>
    <w:rsid w:val="00D66C93"/>
    <w:pPr>
      <w:ind w:left="1200"/>
    </w:pPr>
  </w:style>
  <w:style w:type="paragraph" w:styleId="TOC7">
    <w:name w:val="toc 7"/>
    <w:basedOn w:val="Normal"/>
    <w:next w:val="Normal"/>
    <w:autoRedefine/>
    <w:semiHidden/>
    <w:rsid w:val="00D66C93"/>
    <w:pPr>
      <w:ind w:left="1440"/>
    </w:pPr>
  </w:style>
  <w:style w:type="paragraph" w:styleId="TOC8">
    <w:name w:val="toc 8"/>
    <w:basedOn w:val="Normal"/>
    <w:next w:val="Normal"/>
    <w:autoRedefine/>
    <w:semiHidden/>
    <w:rsid w:val="00D66C93"/>
    <w:pPr>
      <w:ind w:left="1680"/>
    </w:pPr>
  </w:style>
  <w:style w:type="paragraph" w:styleId="TOC9">
    <w:name w:val="toc 9"/>
    <w:basedOn w:val="Normal"/>
    <w:next w:val="Normal"/>
    <w:autoRedefine/>
    <w:semiHidden/>
    <w:rsid w:val="00D66C93"/>
    <w:pPr>
      <w:ind w:left="1920"/>
    </w:pPr>
  </w:style>
  <w:style w:type="table" w:customStyle="1" w:styleId="ECHRHeaderTable">
    <w:name w:val="ECHR_Header_Table"/>
    <w:basedOn w:val="TableGrid"/>
    <w:rsid w:val="00D66C93"/>
    <w:pPr>
      <w:suppressAutoHyphens w:val="0"/>
    </w:pPr>
    <w:rPr>
      <w:rFonts w:ascii="Verdana" w:hAnsi="Verdana"/>
    </w:rPr>
    <w:tblPr>
      <w:tblInd w:w="-624" w:type="dxa"/>
      <w:tblBorders>
        <w:top w:val="single" w:sz="8" w:space="0" w:color="FFFFFF"/>
        <w:left w:val="single" w:sz="8" w:space="0" w:color="FFFFFF"/>
        <w:bottom w:val="single" w:sz="8" w:space="0" w:color="808080"/>
        <w:right w:val="single" w:sz="8" w:space="0" w:color="FFFFFF"/>
        <w:insideH w:val="single" w:sz="8" w:space="0" w:color="FFFFFF"/>
        <w:insideV w:val="single" w:sz="8" w:space="0" w:color="FFFFFF"/>
      </w:tblBorders>
      <w:tblCellMar>
        <w:top w:w="0" w:type="dxa"/>
        <w:left w:w="0" w:type="dxa"/>
        <w:bottom w:w="28" w:type="dxa"/>
        <w:right w:w="0" w:type="dxa"/>
      </w:tblCellMar>
    </w:tblPr>
    <w:tcPr>
      <w:noWrap/>
      <w:vAlign w:val="bottom"/>
    </w:tcPr>
  </w:style>
  <w:style w:type="character" w:customStyle="1" w:styleId="ju-005fpara--char">
    <w:name w:val="ju-005fpara--char"/>
    <w:basedOn w:val="DefaultParagraphFont"/>
    <w:rsid w:val="0061251A"/>
  </w:style>
  <w:style w:type="paragraph" w:customStyle="1" w:styleId="s647bbbdb">
    <w:name w:val="s647bbbdb"/>
    <w:basedOn w:val="Normal"/>
    <w:rsid w:val="00D50EB3"/>
    <w:pPr>
      <w:suppressAutoHyphens w:val="0"/>
      <w:spacing w:before="100" w:beforeAutospacing="1" w:after="100" w:afterAutospacing="1"/>
    </w:pPr>
    <w:rPr>
      <w:szCs w:val="24"/>
      <w:lang w:val="en-US" w:eastAsia="en-US"/>
    </w:rPr>
  </w:style>
  <w:style w:type="paragraph" w:customStyle="1" w:styleId="s9e9b0cd7">
    <w:name w:val="s9e9b0cd7"/>
    <w:basedOn w:val="Normal"/>
    <w:rsid w:val="00D50EB3"/>
    <w:pPr>
      <w:suppressAutoHyphens w:val="0"/>
      <w:spacing w:before="100" w:beforeAutospacing="1" w:after="100" w:afterAutospacing="1"/>
    </w:pPr>
    <w:rPr>
      <w:szCs w:val="24"/>
      <w:lang w:val="en-US" w:eastAsia="en-US"/>
    </w:rPr>
  </w:style>
  <w:style w:type="character" w:customStyle="1" w:styleId="sfbbfee58">
    <w:name w:val="sfbbfee58"/>
    <w:rsid w:val="00D50EB3"/>
  </w:style>
  <w:style w:type="paragraph" w:customStyle="1" w:styleId="s8653dbd7">
    <w:name w:val="s8653dbd7"/>
    <w:basedOn w:val="Normal"/>
    <w:rsid w:val="00D50EB3"/>
    <w:pPr>
      <w:suppressAutoHyphens w:val="0"/>
      <w:spacing w:before="100" w:beforeAutospacing="1" w:after="100" w:afterAutospacing="1"/>
    </w:pPr>
    <w:rPr>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6C93"/>
    <w:pPr>
      <w:suppressAutoHyphens/>
    </w:pPr>
    <w:rPr>
      <w:sz w:val="24"/>
      <w:lang w:val="en-GB" w:eastAsia="fr-FR"/>
    </w:rPr>
  </w:style>
  <w:style w:type="paragraph" w:styleId="Heading1">
    <w:name w:val="heading 1"/>
    <w:basedOn w:val="Normal"/>
    <w:next w:val="Normal"/>
    <w:qFormat/>
    <w:rsid w:val="00D66C93"/>
    <w:pPr>
      <w:keepNext/>
      <w:numPr>
        <w:numId w:val="12"/>
      </w:numPr>
      <w:spacing w:before="360" w:after="240"/>
      <w:jc w:val="center"/>
      <w:outlineLvl w:val="0"/>
    </w:pPr>
    <w:rPr>
      <w:b/>
      <w:sz w:val="28"/>
    </w:rPr>
  </w:style>
  <w:style w:type="paragraph" w:styleId="Heading2">
    <w:name w:val="heading 2"/>
    <w:basedOn w:val="Normal"/>
    <w:next w:val="Normal"/>
    <w:qFormat/>
    <w:rsid w:val="00D66C93"/>
    <w:pPr>
      <w:keepNext/>
      <w:numPr>
        <w:ilvl w:val="1"/>
        <w:numId w:val="12"/>
      </w:numPr>
      <w:spacing w:before="240" w:after="120"/>
      <w:outlineLvl w:val="1"/>
    </w:pPr>
    <w:rPr>
      <w:b/>
    </w:rPr>
  </w:style>
  <w:style w:type="paragraph" w:styleId="Heading3">
    <w:name w:val="heading 3"/>
    <w:basedOn w:val="Normal"/>
    <w:next w:val="Normal"/>
    <w:qFormat/>
    <w:rsid w:val="00D66C93"/>
    <w:pPr>
      <w:keepNext/>
      <w:numPr>
        <w:ilvl w:val="2"/>
        <w:numId w:val="12"/>
      </w:numPr>
      <w:spacing w:before="120" w:after="60"/>
      <w:outlineLvl w:val="2"/>
    </w:pPr>
    <w:rPr>
      <w:i/>
    </w:rPr>
  </w:style>
  <w:style w:type="paragraph" w:styleId="Heading4">
    <w:name w:val="heading 4"/>
    <w:basedOn w:val="Normal"/>
    <w:next w:val="Normal"/>
    <w:qFormat/>
    <w:rsid w:val="00D66C93"/>
    <w:pPr>
      <w:keepNext/>
      <w:numPr>
        <w:ilvl w:val="3"/>
        <w:numId w:val="12"/>
      </w:numPr>
      <w:spacing w:before="240" w:after="60"/>
      <w:outlineLvl w:val="3"/>
    </w:pPr>
    <w:rPr>
      <w:b/>
      <w:bCs/>
      <w:sz w:val="28"/>
      <w:szCs w:val="28"/>
    </w:rPr>
  </w:style>
  <w:style w:type="paragraph" w:styleId="Heading5">
    <w:name w:val="heading 5"/>
    <w:basedOn w:val="Normal"/>
    <w:next w:val="Normal"/>
    <w:qFormat/>
    <w:rsid w:val="00D66C93"/>
    <w:pPr>
      <w:numPr>
        <w:ilvl w:val="4"/>
        <w:numId w:val="12"/>
      </w:numPr>
      <w:spacing w:before="240" w:after="60"/>
      <w:outlineLvl w:val="4"/>
    </w:pPr>
    <w:rPr>
      <w:b/>
      <w:bCs/>
      <w:i/>
      <w:iCs/>
      <w:sz w:val="26"/>
      <w:szCs w:val="26"/>
    </w:rPr>
  </w:style>
  <w:style w:type="paragraph" w:styleId="Heading6">
    <w:name w:val="heading 6"/>
    <w:basedOn w:val="Normal"/>
    <w:next w:val="Normal"/>
    <w:qFormat/>
    <w:rsid w:val="00D66C93"/>
    <w:pPr>
      <w:numPr>
        <w:ilvl w:val="5"/>
        <w:numId w:val="12"/>
      </w:numPr>
      <w:spacing w:before="240" w:after="60"/>
      <w:outlineLvl w:val="5"/>
    </w:pPr>
    <w:rPr>
      <w:b/>
      <w:bCs/>
      <w:sz w:val="22"/>
      <w:szCs w:val="22"/>
    </w:rPr>
  </w:style>
  <w:style w:type="paragraph" w:styleId="Heading7">
    <w:name w:val="heading 7"/>
    <w:basedOn w:val="Normal"/>
    <w:next w:val="Normal"/>
    <w:qFormat/>
    <w:rsid w:val="00D66C93"/>
    <w:pPr>
      <w:numPr>
        <w:ilvl w:val="6"/>
        <w:numId w:val="12"/>
      </w:numPr>
      <w:spacing w:before="240" w:after="60"/>
      <w:outlineLvl w:val="6"/>
    </w:pPr>
    <w:rPr>
      <w:szCs w:val="24"/>
    </w:rPr>
  </w:style>
  <w:style w:type="paragraph" w:styleId="Heading8">
    <w:name w:val="heading 8"/>
    <w:basedOn w:val="Normal"/>
    <w:next w:val="Normal"/>
    <w:qFormat/>
    <w:rsid w:val="00D66C93"/>
    <w:pPr>
      <w:numPr>
        <w:ilvl w:val="7"/>
        <w:numId w:val="12"/>
      </w:numPr>
      <w:spacing w:before="240" w:after="60"/>
      <w:outlineLvl w:val="7"/>
    </w:pPr>
    <w:rPr>
      <w:i/>
      <w:iCs/>
      <w:szCs w:val="24"/>
    </w:rPr>
  </w:style>
  <w:style w:type="paragraph" w:styleId="Heading9">
    <w:name w:val="heading 9"/>
    <w:basedOn w:val="Normal"/>
    <w:next w:val="Normal"/>
    <w:qFormat/>
    <w:rsid w:val="00D66C93"/>
    <w:pPr>
      <w:numPr>
        <w:ilvl w:val="8"/>
        <w:numId w:val="12"/>
      </w:numPr>
      <w:spacing w:before="240" w:after="60"/>
      <w:outlineLvl w:val="8"/>
    </w:pPr>
    <w:rPr>
      <w:rFonts w:ascii="Arial" w:hAnsi="Arial" w:cs="Arial"/>
      <w:sz w:val="22"/>
      <w:szCs w:val="22"/>
    </w:rPr>
  </w:style>
  <w:style w:type="character" w:default="1" w:styleId="DefaultParagraphFont">
    <w:name w:val="Default Paragraph Font"/>
    <w:rsid w:val="00D66C93"/>
  </w:style>
  <w:style w:type="table" w:default="1" w:styleId="TableNormal">
    <w:name w:val="Normal Table"/>
    <w:semiHidden/>
    <w:rsid w:val="009B039E"/>
    <w:tblPr>
      <w:tblInd w:w="0" w:type="dxa"/>
      <w:tblCellMar>
        <w:top w:w="0" w:type="dxa"/>
        <w:left w:w="108" w:type="dxa"/>
        <w:bottom w:w="0" w:type="dxa"/>
        <w:right w:w="108" w:type="dxa"/>
      </w:tblCellMar>
    </w:tblPr>
  </w:style>
  <w:style w:type="numbering" w:default="1" w:styleId="NoList">
    <w:name w:val="No List"/>
    <w:semiHidden/>
    <w:rsid w:val="00D66C93"/>
  </w:style>
  <w:style w:type="paragraph" w:customStyle="1" w:styleId="OpiHA">
    <w:name w:val="Opi_H_A"/>
    <w:basedOn w:val="JuHIRoman"/>
    <w:next w:val="OpiPara"/>
    <w:rsid w:val="00D66C93"/>
    <w:pPr>
      <w:tabs>
        <w:tab w:val="clear" w:pos="357"/>
      </w:tabs>
    </w:pPr>
    <w:rPr>
      <w:b/>
    </w:rPr>
  </w:style>
  <w:style w:type="paragraph" w:customStyle="1" w:styleId="JuHIRoman">
    <w:name w:val="Ju_H_I_Roman"/>
    <w:basedOn w:val="JuHHead"/>
    <w:next w:val="JuPara"/>
    <w:rsid w:val="00D66C93"/>
    <w:pPr>
      <w:tabs>
        <w:tab w:val="left" w:pos="357"/>
      </w:tabs>
      <w:spacing w:before="360"/>
      <w:ind w:left="357" w:hanging="357"/>
      <w:outlineLvl w:val="1"/>
    </w:pPr>
    <w:rPr>
      <w:sz w:val="24"/>
    </w:rPr>
  </w:style>
  <w:style w:type="paragraph" w:customStyle="1" w:styleId="JuHHead">
    <w:name w:val="Ju_H_Head"/>
    <w:basedOn w:val="NormalTimesNewRoman"/>
    <w:next w:val="JuPara"/>
    <w:rsid w:val="00D66C93"/>
    <w:pPr>
      <w:keepNext/>
      <w:keepLines/>
      <w:spacing w:before="720" w:after="240"/>
      <w:jc w:val="both"/>
      <w:outlineLvl w:val="0"/>
    </w:pPr>
    <w:rPr>
      <w:sz w:val="28"/>
    </w:rPr>
  </w:style>
  <w:style w:type="character" w:customStyle="1" w:styleId="DefaultTimesNewRoman">
    <w:name w:val="Default_TimesNewRoman"/>
    <w:rsid w:val="00D66C93"/>
    <w:rPr>
      <w:rFonts w:ascii="Times New Roman" w:hAnsi="Times New Roman"/>
    </w:rPr>
  </w:style>
  <w:style w:type="paragraph" w:customStyle="1" w:styleId="JuPara">
    <w:name w:val="Ju_Para"/>
    <w:aliases w:val="Left,First line:  0 cm"/>
    <w:basedOn w:val="NormalTimesNewRoman"/>
    <w:link w:val="JuParaChar"/>
    <w:rsid w:val="00D66C93"/>
    <w:pPr>
      <w:ind w:firstLine="284"/>
      <w:jc w:val="both"/>
    </w:pPr>
  </w:style>
  <w:style w:type="character" w:customStyle="1" w:styleId="JuParaChar">
    <w:name w:val="Ju_Para Char"/>
    <w:link w:val="JuPara"/>
    <w:rsid w:val="00B921A8"/>
    <w:rPr>
      <w:sz w:val="24"/>
      <w:lang w:val="en-GB" w:eastAsia="fr-FR" w:bidi="ar-SA"/>
    </w:rPr>
  </w:style>
  <w:style w:type="paragraph" w:customStyle="1" w:styleId="OpiPara">
    <w:name w:val="Opi_Para"/>
    <w:basedOn w:val="JuPara"/>
    <w:rsid w:val="00D66C93"/>
  </w:style>
  <w:style w:type="paragraph" w:customStyle="1" w:styleId="OpiH1">
    <w:name w:val="Opi_H_1."/>
    <w:basedOn w:val="OpiHA"/>
    <w:next w:val="OpiPara"/>
    <w:rsid w:val="00D66C93"/>
    <w:pPr>
      <w:spacing w:before="240" w:after="120"/>
      <w:ind w:left="635"/>
      <w:outlineLvl w:val="2"/>
    </w:pPr>
    <w:rPr>
      <w:b w:val="0"/>
      <w:i/>
    </w:rPr>
  </w:style>
  <w:style w:type="paragraph" w:customStyle="1" w:styleId="OpiHa0">
    <w:name w:val="Opi_H_a"/>
    <w:basedOn w:val="OpiH1"/>
    <w:next w:val="OpiPara"/>
    <w:rsid w:val="00D66C93"/>
    <w:pPr>
      <w:ind w:left="833"/>
      <w:outlineLvl w:val="3"/>
    </w:pPr>
    <w:rPr>
      <w:b/>
      <w:i w:val="0"/>
      <w:sz w:val="20"/>
    </w:rPr>
  </w:style>
  <w:style w:type="paragraph" w:customStyle="1" w:styleId="OpiHHead">
    <w:name w:val="Opi_H_Head"/>
    <w:basedOn w:val="JuHHead"/>
    <w:next w:val="OpiPara"/>
    <w:rsid w:val="00D66C93"/>
    <w:pPr>
      <w:spacing w:before="0"/>
      <w:jc w:val="center"/>
    </w:pPr>
  </w:style>
  <w:style w:type="paragraph" w:customStyle="1" w:styleId="OpiHi">
    <w:name w:val="Opi_H_i"/>
    <w:basedOn w:val="OpiHa0"/>
    <w:next w:val="OpiPara"/>
    <w:rsid w:val="00D66C93"/>
    <w:pPr>
      <w:ind w:left="1037"/>
      <w:outlineLvl w:val="4"/>
    </w:pPr>
    <w:rPr>
      <w:b w:val="0"/>
      <w:i/>
    </w:rPr>
  </w:style>
  <w:style w:type="paragraph" w:styleId="Footer">
    <w:name w:val="footer"/>
    <w:basedOn w:val="NormalTimesNewRoman"/>
    <w:rsid w:val="00D66C93"/>
    <w:pPr>
      <w:tabs>
        <w:tab w:val="center" w:pos="3686"/>
        <w:tab w:val="right" w:pos="7371"/>
      </w:tabs>
    </w:pPr>
    <w:rPr>
      <w:sz w:val="18"/>
    </w:rPr>
  </w:style>
  <w:style w:type="paragraph" w:customStyle="1" w:styleId="JuJudges">
    <w:name w:val="Ju_Judges"/>
    <w:aliases w:val="ECHR_Decision_Body"/>
    <w:basedOn w:val="NormalTimesNewRoman"/>
    <w:link w:val="JuJudgesChar"/>
    <w:uiPriority w:val="11"/>
    <w:qFormat/>
    <w:rsid w:val="00D66C93"/>
    <w:pPr>
      <w:tabs>
        <w:tab w:val="left" w:pos="567"/>
        <w:tab w:val="left" w:pos="1134"/>
      </w:tabs>
    </w:pPr>
  </w:style>
  <w:style w:type="character" w:customStyle="1" w:styleId="JuJudgesChar">
    <w:name w:val="Ju_Judges Char"/>
    <w:link w:val="JuJudges"/>
    <w:uiPriority w:val="11"/>
    <w:locked/>
    <w:rsid w:val="00D15473"/>
    <w:rPr>
      <w:sz w:val="24"/>
      <w:lang w:val="en-GB" w:eastAsia="fr-FR" w:bidi="ar-SA"/>
    </w:rPr>
  </w:style>
  <w:style w:type="paragraph" w:customStyle="1" w:styleId="JuHA">
    <w:name w:val="Ju_H_A"/>
    <w:basedOn w:val="JuHIRoman"/>
    <w:next w:val="JuPara"/>
    <w:rsid w:val="00D66C93"/>
    <w:pPr>
      <w:tabs>
        <w:tab w:val="clear" w:pos="357"/>
        <w:tab w:val="left" w:pos="584"/>
      </w:tabs>
      <w:ind w:left="584" w:hanging="352"/>
      <w:outlineLvl w:val="2"/>
    </w:pPr>
    <w:rPr>
      <w:b/>
    </w:rPr>
  </w:style>
  <w:style w:type="paragraph" w:customStyle="1" w:styleId="JuQuot">
    <w:name w:val="Ju_Quot"/>
    <w:basedOn w:val="JuPara"/>
    <w:rsid w:val="00D66C93"/>
    <w:pPr>
      <w:spacing w:before="120" w:after="120"/>
      <w:ind w:left="425" w:firstLine="142"/>
    </w:pPr>
    <w:rPr>
      <w:sz w:val="20"/>
    </w:rPr>
  </w:style>
  <w:style w:type="paragraph" w:customStyle="1" w:styleId="JuSigned">
    <w:name w:val="Ju_Signed"/>
    <w:basedOn w:val="NormalTimesNewRoman"/>
    <w:next w:val="JuParaLast"/>
    <w:link w:val="JuSignedChar"/>
    <w:rsid w:val="00D66C93"/>
    <w:pPr>
      <w:tabs>
        <w:tab w:val="center" w:pos="851"/>
        <w:tab w:val="center" w:pos="6407"/>
      </w:tabs>
      <w:spacing w:before="720"/>
    </w:pPr>
  </w:style>
  <w:style w:type="paragraph" w:customStyle="1" w:styleId="JuParaLast">
    <w:name w:val="Ju_Para_Last"/>
    <w:basedOn w:val="JuPara"/>
    <w:next w:val="JuPara"/>
    <w:rsid w:val="00D66C93"/>
    <w:pPr>
      <w:keepNext/>
      <w:keepLines/>
      <w:spacing w:before="240"/>
    </w:pPr>
  </w:style>
  <w:style w:type="character" w:customStyle="1" w:styleId="JuSignedChar">
    <w:name w:val="Ju_Signed Char"/>
    <w:link w:val="JuSigned"/>
    <w:rsid w:val="000726F6"/>
    <w:rPr>
      <w:sz w:val="24"/>
      <w:lang w:val="en-GB" w:eastAsia="fr-FR" w:bidi="ar-SA"/>
    </w:rPr>
  </w:style>
  <w:style w:type="paragraph" w:customStyle="1" w:styleId="JuCase">
    <w:name w:val="Ju_Case"/>
    <w:basedOn w:val="JuPara"/>
    <w:next w:val="JuPara"/>
    <w:link w:val="JuCaseChar"/>
    <w:rsid w:val="00D66C93"/>
    <w:rPr>
      <w:b/>
    </w:rPr>
  </w:style>
  <w:style w:type="character" w:customStyle="1" w:styleId="JuCaseChar">
    <w:name w:val="Ju_Case Char"/>
    <w:link w:val="JuCase"/>
    <w:rsid w:val="00B921A8"/>
    <w:rPr>
      <w:b/>
      <w:sz w:val="24"/>
      <w:lang w:val="en-GB" w:eastAsia="fr-FR" w:bidi="ar-SA"/>
    </w:rPr>
  </w:style>
  <w:style w:type="paragraph" w:customStyle="1" w:styleId="JuList">
    <w:name w:val="Ju_List"/>
    <w:basedOn w:val="JuPara"/>
    <w:link w:val="JuListChar"/>
    <w:rsid w:val="00D66C93"/>
    <w:pPr>
      <w:ind w:left="340" w:hanging="340"/>
    </w:pPr>
  </w:style>
  <w:style w:type="character" w:customStyle="1" w:styleId="JuListChar">
    <w:name w:val="Ju_List Char"/>
    <w:link w:val="JuList"/>
    <w:rsid w:val="00930CD7"/>
    <w:rPr>
      <w:sz w:val="24"/>
      <w:lang w:val="en-GB" w:eastAsia="fr-FR" w:bidi="ar-SA"/>
    </w:rPr>
  </w:style>
  <w:style w:type="paragraph" w:customStyle="1" w:styleId="JuHArticle">
    <w:name w:val="Ju_H_Article"/>
    <w:basedOn w:val="JuHa0"/>
    <w:next w:val="JuQuot"/>
    <w:rsid w:val="00D66C93"/>
    <w:pPr>
      <w:ind w:left="0" w:firstLine="0"/>
      <w:jc w:val="center"/>
    </w:pPr>
  </w:style>
  <w:style w:type="paragraph" w:customStyle="1" w:styleId="JuHa0">
    <w:name w:val="Ju_H_a"/>
    <w:basedOn w:val="JuH1"/>
    <w:next w:val="JuPara"/>
    <w:rsid w:val="00D66C93"/>
    <w:pPr>
      <w:tabs>
        <w:tab w:val="clear" w:pos="731"/>
        <w:tab w:val="left" w:pos="975"/>
      </w:tabs>
      <w:ind w:left="975" w:hanging="340"/>
      <w:outlineLvl w:val="4"/>
    </w:pPr>
    <w:rPr>
      <w:b/>
      <w:i w:val="0"/>
      <w:sz w:val="20"/>
    </w:rPr>
  </w:style>
  <w:style w:type="paragraph" w:customStyle="1" w:styleId="JuH1">
    <w:name w:val="Ju_H_1."/>
    <w:basedOn w:val="JuHA"/>
    <w:next w:val="JuPara"/>
    <w:rsid w:val="00D66C93"/>
    <w:pPr>
      <w:tabs>
        <w:tab w:val="clear" w:pos="584"/>
        <w:tab w:val="left" w:pos="731"/>
      </w:tabs>
      <w:spacing w:before="240" w:after="120"/>
      <w:ind w:left="732" w:hanging="301"/>
      <w:outlineLvl w:val="3"/>
    </w:pPr>
    <w:rPr>
      <w:b w:val="0"/>
      <w:i/>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rsid w:val="00D66C93"/>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D66C93"/>
  </w:style>
  <w:style w:type="paragraph" w:customStyle="1" w:styleId="OpiTranslation">
    <w:name w:val="Opi_Translation"/>
    <w:basedOn w:val="OpiHHead"/>
    <w:next w:val="OpiPara"/>
    <w:rsid w:val="00D66C93"/>
    <w:rPr>
      <w:i/>
      <w:sz w:val="24"/>
    </w:rPr>
  </w:style>
  <w:style w:type="paragraph" w:styleId="FootnoteText">
    <w:name w:val="footnote text"/>
    <w:basedOn w:val="Normal"/>
    <w:semiHidden/>
    <w:rsid w:val="00D66C93"/>
    <w:pPr>
      <w:jc w:val="both"/>
    </w:pPr>
    <w:rPr>
      <w:sz w:val="20"/>
    </w:rPr>
  </w:style>
  <w:style w:type="character" w:styleId="FootnoteReference">
    <w:name w:val="footnote reference"/>
    <w:semiHidden/>
    <w:rsid w:val="00D66C93"/>
    <w:rPr>
      <w:vertAlign w:val="superscript"/>
    </w:rPr>
  </w:style>
  <w:style w:type="paragraph" w:customStyle="1" w:styleId="JuHi">
    <w:name w:val="Ju_H_i"/>
    <w:basedOn w:val="JuHa0"/>
    <w:next w:val="JuPara"/>
    <w:rsid w:val="00D66C93"/>
    <w:pPr>
      <w:tabs>
        <w:tab w:val="clear" w:pos="975"/>
        <w:tab w:val="left" w:pos="1191"/>
      </w:tabs>
      <w:ind w:left="1190" w:hanging="357"/>
      <w:outlineLvl w:val="5"/>
    </w:pPr>
    <w:rPr>
      <w:b w:val="0"/>
      <w:i/>
    </w:rPr>
  </w:style>
  <w:style w:type="paragraph" w:styleId="Header">
    <w:name w:val="header"/>
    <w:basedOn w:val="NormalTimesNewRoman"/>
    <w:rsid w:val="00D66C93"/>
    <w:pPr>
      <w:tabs>
        <w:tab w:val="center" w:pos="3686"/>
        <w:tab w:val="right" w:pos="7371"/>
      </w:tabs>
    </w:pPr>
    <w:rPr>
      <w:sz w:val="18"/>
    </w:rPr>
  </w:style>
  <w:style w:type="character" w:styleId="PageNumber">
    <w:name w:val="page number"/>
    <w:rsid w:val="00D66C93"/>
    <w:rPr>
      <w:sz w:val="18"/>
    </w:rPr>
  </w:style>
  <w:style w:type="paragraph" w:customStyle="1" w:styleId="JuH">
    <w:name w:val="Ju_H_–"/>
    <w:basedOn w:val="JuHalpha"/>
    <w:next w:val="JuPara"/>
    <w:rsid w:val="00D66C93"/>
    <w:pPr>
      <w:tabs>
        <w:tab w:val="clear" w:pos="1372"/>
      </w:tabs>
      <w:ind w:left="1236" w:firstLine="0"/>
    </w:pPr>
    <w:rPr>
      <w:i/>
    </w:rPr>
  </w:style>
  <w:style w:type="paragraph" w:customStyle="1" w:styleId="JuHalpha">
    <w:name w:val="Ju_H_alpha"/>
    <w:basedOn w:val="JuHi"/>
    <w:next w:val="JuPara"/>
    <w:rsid w:val="00D66C93"/>
    <w:pPr>
      <w:tabs>
        <w:tab w:val="clear" w:pos="1191"/>
        <w:tab w:val="left" w:pos="1372"/>
      </w:tabs>
      <w:ind w:left="1373" w:hanging="335"/>
    </w:pPr>
    <w:rPr>
      <w:i w:val="0"/>
    </w:rPr>
  </w:style>
  <w:style w:type="paragraph" w:customStyle="1" w:styleId="JuLista">
    <w:name w:val="Ju_List_a"/>
    <w:basedOn w:val="JuList"/>
    <w:rsid w:val="00D66C93"/>
    <w:pPr>
      <w:ind w:left="346" w:firstLine="0"/>
    </w:pPr>
  </w:style>
  <w:style w:type="paragraph" w:customStyle="1" w:styleId="JuListi">
    <w:name w:val="Ju_List_i"/>
    <w:basedOn w:val="JuLista"/>
    <w:rsid w:val="00D66C93"/>
    <w:pPr>
      <w:ind w:left="794"/>
    </w:pPr>
  </w:style>
  <w:style w:type="character" w:styleId="CommentReference">
    <w:name w:val="annotation reference"/>
    <w:semiHidden/>
    <w:rsid w:val="00D66C93"/>
    <w:rPr>
      <w:sz w:val="16"/>
      <w:szCs w:val="16"/>
    </w:rPr>
  </w:style>
  <w:style w:type="paragraph" w:styleId="CommentText">
    <w:name w:val="annotation text"/>
    <w:basedOn w:val="Normal"/>
    <w:semiHidden/>
    <w:rsid w:val="00D66C93"/>
    <w:rPr>
      <w:sz w:val="20"/>
    </w:rPr>
  </w:style>
  <w:style w:type="paragraph" w:customStyle="1" w:styleId="JuInitialled">
    <w:name w:val="Ju_Initialled"/>
    <w:basedOn w:val="JuSigned"/>
    <w:rsid w:val="00D66C93"/>
    <w:pPr>
      <w:tabs>
        <w:tab w:val="clear" w:pos="851"/>
      </w:tabs>
      <w:jc w:val="right"/>
    </w:pPr>
  </w:style>
  <w:style w:type="paragraph" w:customStyle="1" w:styleId="JuHeader">
    <w:name w:val="Ju_Header"/>
    <w:basedOn w:val="Header"/>
    <w:rsid w:val="00D66C93"/>
  </w:style>
  <w:style w:type="paragraph" w:customStyle="1" w:styleId="DecHTitle">
    <w:name w:val="Dec_H_Title"/>
    <w:basedOn w:val="NormalTimesNewRoman"/>
    <w:rsid w:val="00D66C93"/>
    <w:pPr>
      <w:spacing w:after="240"/>
      <w:jc w:val="center"/>
      <w:outlineLvl w:val="0"/>
    </w:pPr>
    <w:rPr>
      <w:sz w:val="28"/>
    </w:rPr>
  </w:style>
  <w:style w:type="paragraph" w:customStyle="1" w:styleId="DecHCase">
    <w:name w:val="Dec_H_Case"/>
    <w:basedOn w:val="DecHTitle"/>
    <w:next w:val="JuPara"/>
    <w:rsid w:val="00D66C93"/>
    <w:rPr>
      <w:sz w:val="24"/>
    </w:rPr>
  </w:style>
  <w:style w:type="paragraph" w:customStyle="1" w:styleId="DecList">
    <w:name w:val="Dec_List"/>
    <w:basedOn w:val="NormalTimesNewRoman"/>
    <w:rsid w:val="00D66C93"/>
    <w:pPr>
      <w:spacing w:before="240"/>
      <w:ind w:left="284"/>
      <w:jc w:val="both"/>
    </w:pPr>
  </w:style>
  <w:style w:type="paragraph" w:customStyle="1" w:styleId="JuParaSub">
    <w:name w:val="Ju_Para_Sub"/>
    <w:basedOn w:val="JuPara"/>
    <w:rsid w:val="00D66C93"/>
    <w:pPr>
      <w:ind w:left="284"/>
    </w:pPr>
    <w:rPr>
      <w:szCs w:val="24"/>
    </w:rPr>
  </w:style>
  <w:style w:type="paragraph" w:customStyle="1" w:styleId="JuQuotSub">
    <w:name w:val="Ju_Quot_Sub"/>
    <w:basedOn w:val="JuQuot"/>
    <w:rsid w:val="00D66C93"/>
    <w:pPr>
      <w:ind w:left="567"/>
    </w:pPr>
  </w:style>
  <w:style w:type="paragraph" w:styleId="BalloonText">
    <w:name w:val="Balloon Text"/>
    <w:basedOn w:val="Normal"/>
    <w:semiHidden/>
    <w:rsid w:val="00D66C93"/>
    <w:rPr>
      <w:rFonts w:ascii="Tahoma" w:hAnsi="Tahoma" w:cs="Tahoma"/>
      <w:sz w:val="16"/>
      <w:szCs w:val="16"/>
    </w:rPr>
  </w:style>
  <w:style w:type="paragraph" w:styleId="CommentSubject">
    <w:name w:val="annotation subject"/>
    <w:basedOn w:val="CommentText"/>
    <w:next w:val="CommentText"/>
    <w:semiHidden/>
    <w:rsid w:val="00D66C93"/>
    <w:rPr>
      <w:b/>
      <w:bCs/>
    </w:rPr>
  </w:style>
  <w:style w:type="character" w:styleId="EndnoteReference">
    <w:name w:val="endnote reference"/>
    <w:semiHidden/>
    <w:rsid w:val="00D66C93"/>
    <w:rPr>
      <w:vertAlign w:val="superscript"/>
    </w:rPr>
  </w:style>
  <w:style w:type="paragraph" w:styleId="EndnoteText">
    <w:name w:val="endnote text"/>
    <w:basedOn w:val="Normal"/>
    <w:semiHidden/>
    <w:rsid w:val="00D66C93"/>
    <w:rPr>
      <w:sz w:val="20"/>
    </w:rPr>
  </w:style>
  <w:style w:type="character" w:styleId="FollowedHyperlink">
    <w:name w:val="FollowedHyperlink"/>
    <w:rsid w:val="00D66C93"/>
    <w:rPr>
      <w:color w:val="800080"/>
      <w:u w:val="single"/>
    </w:rPr>
  </w:style>
  <w:style w:type="paragraph" w:customStyle="1" w:styleId="SuCoverTitle1">
    <w:name w:val="Su_Cover_Title1"/>
    <w:basedOn w:val="NormalTimesNewRoman"/>
    <w:next w:val="SuCoverTitle2"/>
    <w:rsid w:val="00D66C93"/>
    <w:pPr>
      <w:spacing w:before="2500"/>
      <w:jc w:val="center"/>
    </w:pPr>
    <w:rPr>
      <w:sz w:val="22"/>
    </w:rPr>
  </w:style>
  <w:style w:type="paragraph" w:customStyle="1" w:styleId="SuCoverTitle2">
    <w:name w:val="Su_Cover_Title2"/>
    <w:basedOn w:val="SuCoverTitle1"/>
    <w:next w:val="Normal"/>
    <w:rsid w:val="00D66C93"/>
    <w:pPr>
      <w:spacing w:before="240"/>
    </w:pPr>
    <w:rPr>
      <w:sz w:val="18"/>
    </w:rPr>
  </w:style>
  <w:style w:type="paragraph" w:customStyle="1" w:styleId="SuPara">
    <w:name w:val="Su_Para"/>
    <w:basedOn w:val="SuKeywords"/>
    <w:rsid w:val="00D66C93"/>
    <w:pPr>
      <w:spacing w:before="0" w:after="0"/>
    </w:pPr>
    <w:rPr>
      <w:i w:val="0"/>
    </w:rPr>
  </w:style>
  <w:style w:type="paragraph" w:customStyle="1" w:styleId="SuKeywords">
    <w:name w:val="Su_Keywords"/>
    <w:basedOn w:val="SuHHead"/>
    <w:rsid w:val="00D66C93"/>
    <w:pPr>
      <w:spacing w:before="120"/>
    </w:pPr>
    <w:rPr>
      <w:b w:val="0"/>
      <w:i/>
    </w:rPr>
  </w:style>
  <w:style w:type="paragraph" w:customStyle="1" w:styleId="SuHHead">
    <w:name w:val="Su_H_Head"/>
    <w:basedOn w:val="SuSubject"/>
    <w:rsid w:val="00D66C93"/>
    <w:pPr>
      <w:spacing w:after="120"/>
    </w:pPr>
  </w:style>
  <w:style w:type="paragraph" w:customStyle="1" w:styleId="SuSubject">
    <w:name w:val="Su_Subject"/>
    <w:basedOn w:val="SuSummary"/>
    <w:rsid w:val="00D66C93"/>
    <w:pPr>
      <w:spacing w:before="360"/>
      <w:jc w:val="both"/>
    </w:pPr>
    <w:rPr>
      <w:b/>
      <w:sz w:val="22"/>
    </w:rPr>
  </w:style>
  <w:style w:type="paragraph" w:customStyle="1" w:styleId="SuSummary">
    <w:name w:val="Su_Summary"/>
    <w:basedOn w:val="NormalTimesNewRoman"/>
    <w:next w:val="SuSubject"/>
    <w:rsid w:val="00D66C93"/>
    <w:pPr>
      <w:spacing w:after="240"/>
      <w:jc w:val="center"/>
    </w:pPr>
  </w:style>
  <w:style w:type="paragraph" w:customStyle="1" w:styleId="OpiParaSub">
    <w:name w:val="Opi_Para_Sub"/>
    <w:basedOn w:val="JuParaSub"/>
    <w:rsid w:val="00D66C93"/>
  </w:style>
  <w:style w:type="paragraph" w:customStyle="1" w:styleId="OpiQuotSub">
    <w:name w:val="Opi_Quot_Sub"/>
    <w:basedOn w:val="JuQuotSub"/>
    <w:rsid w:val="00D66C93"/>
  </w:style>
  <w:style w:type="character" w:styleId="Hyperlink">
    <w:name w:val="Hyperlink"/>
    <w:rsid w:val="00D66C93"/>
    <w:rPr>
      <w:color w:val="0000FF"/>
      <w:u w:val="single"/>
    </w:rPr>
  </w:style>
  <w:style w:type="character" w:styleId="Strong">
    <w:name w:val="Strong"/>
    <w:qFormat/>
    <w:rsid w:val="00D66C93"/>
    <w:rPr>
      <w:b/>
      <w:bCs/>
    </w:rPr>
  </w:style>
  <w:style w:type="paragraph" w:styleId="DocumentMap">
    <w:name w:val="Document Map"/>
    <w:basedOn w:val="Normal"/>
    <w:semiHidden/>
    <w:rsid w:val="00D66C93"/>
    <w:pPr>
      <w:shd w:val="clear" w:color="auto" w:fill="000080"/>
    </w:pPr>
    <w:rPr>
      <w:rFonts w:ascii="Tahoma" w:hAnsi="Tahoma" w:cs="Tahoma"/>
      <w:sz w:val="20"/>
    </w:rPr>
  </w:style>
  <w:style w:type="character" w:customStyle="1" w:styleId="JuNames">
    <w:name w:val="Ju_Names"/>
    <w:rsid w:val="00D66C93"/>
    <w:rPr>
      <w:smallCaps/>
    </w:rPr>
  </w:style>
  <w:style w:type="paragraph" w:customStyle="1" w:styleId="NormalJustified">
    <w:name w:val="Normal_Justified"/>
    <w:basedOn w:val="NormalTimesNewRoman"/>
    <w:rsid w:val="00D66C93"/>
    <w:pPr>
      <w:jc w:val="both"/>
    </w:pPr>
  </w:style>
  <w:style w:type="paragraph" w:customStyle="1" w:styleId="JuAppQuestion">
    <w:name w:val="Ju_App_Question"/>
    <w:basedOn w:val="ListBullet"/>
    <w:rsid w:val="00D66C93"/>
    <w:pPr>
      <w:numPr>
        <w:numId w:val="3"/>
      </w:numPr>
    </w:pPr>
    <w:rPr>
      <w:b/>
      <w:color w:val="333333"/>
    </w:rPr>
  </w:style>
  <w:style w:type="paragraph" w:styleId="ListBullet">
    <w:name w:val="List Bullet"/>
    <w:basedOn w:val="NormalTimesNewRoman"/>
    <w:rsid w:val="00D66C93"/>
    <w:pPr>
      <w:numPr>
        <w:numId w:val="2"/>
      </w:numPr>
    </w:pPr>
  </w:style>
  <w:style w:type="paragraph" w:customStyle="1" w:styleId="NormalTimesNewRoman">
    <w:name w:val="Normal_TimesNewRoman"/>
    <w:rsid w:val="00D66C93"/>
    <w:rPr>
      <w:sz w:val="24"/>
      <w:lang w:val="en-GB" w:eastAsia="fr-FR"/>
    </w:rPr>
  </w:style>
  <w:style w:type="character" w:customStyle="1" w:styleId="JuITMark">
    <w:name w:val="Ju_ITMark"/>
    <w:rsid w:val="00D66C93"/>
    <w:rPr>
      <w:rFonts w:ascii="Times New Roman" w:hAnsi="Times New Roman"/>
      <w:b w:val="0"/>
      <w:i w:val="0"/>
      <w:caps w:val="0"/>
      <w:smallCaps w:val="0"/>
      <w:strike w:val="0"/>
      <w:dstrike w:val="0"/>
      <w:vanish/>
      <w:color w:val="339966"/>
      <w:sz w:val="16"/>
      <w:szCs w:val="16"/>
      <w:u w:val="none"/>
      <w:vertAlign w:val="baseline"/>
      <w:lang w:val="en-GB"/>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JuTitle">
    <w:name w:val="Ju_Title"/>
    <w:basedOn w:val="JuHHead"/>
    <w:next w:val="JuPara"/>
    <w:rsid w:val="00D1288A"/>
    <w:pPr>
      <w:jc w:val="center"/>
    </w:pPr>
    <w:rPr>
      <w:b/>
      <w:caps/>
      <w:sz w:val="24"/>
      <w:szCs w:val="24"/>
      <w:u w:val="single"/>
    </w:rPr>
  </w:style>
  <w:style w:type="character" w:customStyle="1" w:styleId="JuParaCar">
    <w:name w:val="Ju_Para Car"/>
    <w:rsid w:val="00A36290"/>
    <w:rPr>
      <w:sz w:val="24"/>
      <w:lang w:val="en-GB" w:eastAsia="fr-FR" w:bidi="ar-SA"/>
    </w:rPr>
  </w:style>
  <w:style w:type="paragraph" w:customStyle="1" w:styleId="naisc">
    <w:name w:val="naisc"/>
    <w:basedOn w:val="Normal"/>
    <w:rsid w:val="00424C76"/>
    <w:pPr>
      <w:suppressAutoHyphens w:val="0"/>
      <w:spacing w:before="100" w:beforeAutospacing="1" w:after="100" w:afterAutospacing="1"/>
    </w:pPr>
    <w:rPr>
      <w:szCs w:val="24"/>
      <w:lang w:eastAsia="en-GB"/>
    </w:rPr>
  </w:style>
  <w:style w:type="paragraph" w:customStyle="1" w:styleId="naispant">
    <w:name w:val="naispant"/>
    <w:basedOn w:val="Normal"/>
    <w:rsid w:val="00424C76"/>
    <w:pPr>
      <w:suppressAutoHyphens w:val="0"/>
      <w:spacing w:before="100" w:beforeAutospacing="1" w:after="100" w:afterAutospacing="1"/>
    </w:pPr>
    <w:rPr>
      <w:szCs w:val="24"/>
      <w:lang w:eastAsia="en-GB"/>
    </w:rPr>
  </w:style>
  <w:style w:type="paragraph" w:customStyle="1" w:styleId="naisf">
    <w:name w:val="naisf"/>
    <w:basedOn w:val="Normal"/>
    <w:rsid w:val="00424C76"/>
    <w:pPr>
      <w:suppressAutoHyphens w:val="0"/>
      <w:spacing w:before="100" w:beforeAutospacing="1" w:after="100" w:afterAutospacing="1"/>
    </w:pPr>
    <w:rPr>
      <w:szCs w:val="24"/>
      <w:lang w:eastAsia="en-GB"/>
    </w:rPr>
  </w:style>
  <w:style w:type="table" w:styleId="TableGrid">
    <w:name w:val="Table Grid"/>
    <w:basedOn w:val="TableNormal"/>
    <w:rsid w:val="00D66C9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6b621b36">
    <w:name w:val="s6b621b36"/>
    <w:basedOn w:val="DefaultParagraphFont"/>
    <w:rsid w:val="00C37663"/>
  </w:style>
  <w:style w:type="character" w:customStyle="1" w:styleId="wordhighlightedcurrentterm">
    <w:name w:val="wordhighlighted currentterm"/>
    <w:basedOn w:val="DefaultParagraphFont"/>
    <w:rsid w:val="00C37663"/>
  </w:style>
  <w:style w:type="character" w:customStyle="1" w:styleId="sb8d990e2">
    <w:name w:val="sb8d990e2"/>
    <w:basedOn w:val="DefaultParagraphFont"/>
    <w:rsid w:val="00C37663"/>
  </w:style>
  <w:style w:type="paragraph" w:customStyle="1" w:styleId="s30eec3f8">
    <w:name w:val="s30eec3f8"/>
    <w:basedOn w:val="Normal"/>
    <w:rsid w:val="003E33BD"/>
    <w:pPr>
      <w:suppressAutoHyphens w:val="0"/>
      <w:spacing w:before="100" w:beforeAutospacing="1" w:after="100" w:afterAutospacing="1"/>
    </w:pPr>
    <w:rPr>
      <w:szCs w:val="24"/>
      <w:lang w:eastAsia="en-GB"/>
    </w:rPr>
  </w:style>
  <w:style w:type="paragraph" w:customStyle="1" w:styleId="s70227c73">
    <w:name w:val="s70227c73"/>
    <w:basedOn w:val="Normal"/>
    <w:rsid w:val="009F7EF4"/>
    <w:pPr>
      <w:suppressAutoHyphens w:val="0"/>
      <w:spacing w:before="100" w:beforeAutospacing="1" w:after="100" w:afterAutospacing="1"/>
    </w:pPr>
    <w:rPr>
      <w:szCs w:val="24"/>
      <w:lang w:eastAsia="en-GB"/>
    </w:rPr>
  </w:style>
  <w:style w:type="paragraph" w:customStyle="1" w:styleId="CharCharCharChar">
    <w:name w:val=" Char Char Char Char"/>
    <w:basedOn w:val="Normal"/>
    <w:rsid w:val="00FC02B4"/>
    <w:pPr>
      <w:suppressAutoHyphens w:val="0"/>
      <w:spacing w:after="160" w:line="240" w:lineRule="exact"/>
    </w:pPr>
    <w:rPr>
      <w:rFonts w:ascii="Tahoma" w:hAnsi="Tahoma"/>
      <w:sz w:val="20"/>
      <w:lang w:val="en-US" w:eastAsia="en-US"/>
    </w:rPr>
  </w:style>
  <w:style w:type="paragraph" w:customStyle="1" w:styleId="s1adbd37c">
    <w:name w:val="s1adbd37c"/>
    <w:basedOn w:val="Normal"/>
    <w:rsid w:val="00303067"/>
    <w:pPr>
      <w:suppressAutoHyphens w:val="0"/>
      <w:spacing w:before="100" w:beforeAutospacing="1" w:after="100" w:afterAutospacing="1"/>
    </w:pPr>
    <w:rPr>
      <w:szCs w:val="24"/>
      <w:lang w:eastAsia="en-GB"/>
    </w:rPr>
  </w:style>
  <w:style w:type="paragraph" w:customStyle="1" w:styleId="PubJuPara">
    <w:name w:val="Pub_Ju_Para"/>
    <w:basedOn w:val="NormalTimesNewRoman"/>
    <w:rsid w:val="00D66C93"/>
    <w:pPr>
      <w:ind w:firstLine="284"/>
      <w:jc w:val="both"/>
    </w:pPr>
  </w:style>
  <w:style w:type="paragraph" w:customStyle="1" w:styleId="PubJuQuot">
    <w:name w:val="Pub_Ju_Quot"/>
    <w:basedOn w:val="NormalTimesNewRoman"/>
    <w:rsid w:val="00D66C93"/>
    <w:pPr>
      <w:spacing w:before="120" w:after="120"/>
      <w:ind w:left="403" w:firstLine="176"/>
      <w:jc w:val="both"/>
    </w:pPr>
    <w:rPr>
      <w:sz w:val="20"/>
    </w:rPr>
  </w:style>
  <w:style w:type="paragraph" w:customStyle="1" w:styleId="PubListArticleSubject">
    <w:name w:val="Pub_List_ArticleSubject"/>
    <w:basedOn w:val="NormalTimesNewRoman"/>
    <w:rsid w:val="00D66C93"/>
    <w:pPr>
      <w:tabs>
        <w:tab w:val="left" w:pos="2977"/>
      </w:tabs>
      <w:ind w:left="2977" w:hanging="2977"/>
    </w:pPr>
  </w:style>
  <w:style w:type="paragraph" w:customStyle="1" w:styleId="PubListCaseNo">
    <w:name w:val="Pub_List_CaseNo"/>
    <w:basedOn w:val="NormalTimesNewRoman"/>
    <w:rsid w:val="00D66C93"/>
    <w:pPr>
      <w:tabs>
        <w:tab w:val="left" w:pos="1276"/>
      </w:tabs>
      <w:spacing w:line="288" w:lineRule="auto"/>
      <w:ind w:left="1276" w:hanging="1276"/>
    </w:pPr>
  </w:style>
  <w:style w:type="paragraph" w:customStyle="1" w:styleId="PubListCases">
    <w:name w:val="Pub_List_Cases"/>
    <w:basedOn w:val="NormalTimesNewRoman"/>
    <w:rsid w:val="00D66C93"/>
    <w:pPr>
      <w:spacing w:line="288" w:lineRule="auto"/>
    </w:pPr>
  </w:style>
  <w:style w:type="paragraph" w:customStyle="1" w:styleId="PubTextIntro">
    <w:name w:val="Pub_Text_Intro"/>
    <w:basedOn w:val="NormalTimesNewRoman"/>
    <w:rsid w:val="00D66C93"/>
    <w:pPr>
      <w:jc w:val="both"/>
    </w:pPr>
    <w:rPr>
      <w:i/>
      <w:sz w:val="20"/>
    </w:rPr>
  </w:style>
  <w:style w:type="paragraph" w:customStyle="1" w:styleId="PubTitleCover">
    <w:name w:val="Pub_Title_Cover"/>
    <w:basedOn w:val="NormalTimesNewRoman"/>
    <w:rsid w:val="00D66C93"/>
    <w:pPr>
      <w:spacing w:before="2500"/>
      <w:jc w:val="center"/>
    </w:pPr>
    <w:rPr>
      <w:b/>
      <w:smallCaps/>
      <w:sz w:val="30"/>
    </w:rPr>
  </w:style>
  <w:style w:type="paragraph" w:customStyle="1" w:styleId="PubTitle1Alpha">
    <w:name w:val="Pub_Title1_Alpha"/>
    <w:basedOn w:val="NormalTimesNewRoman"/>
    <w:next w:val="Normal"/>
    <w:rsid w:val="00D66C93"/>
    <w:pPr>
      <w:spacing w:after="120"/>
      <w:jc w:val="center"/>
    </w:pPr>
    <w:rPr>
      <w:b/>
      <w:smallCaps/>
      <w:sz w:val="30"/>
    </w:rPr>
  </w:style>
  <w:style w:type="paragraph" w:customStyle="1" w:styleId="PubTitle1IndexArticle">
    <w:name w:val="Pub_Title1_IndexArticle"/>
    <w:basedOn w:val="NormalTimesNewRoman"/>
    <w:rsid w:val="00D66C93"/>
    <w:pPr>
      <w:spacing w:after="120"/>
      <w:jc w:val="center"/>
    </w:pPr>
    <w:rPr>
      <w:b/>
      <w:smallCaps/>
      <w:sz w:val="30"/>
    </w:rPr>
  </w:style>
  <w:style w:type="paragraph" w:customStyle="1" w:styleId="PubTitle1IndexKey">
    <w:name w:val="Pub_Title1_IndexKey"/>
    <w:basedOn w:val="NormalTimesNewRoman"/>
    <w:rsid w:val="00D66C93"/>
    <w:pPr>
      <w:spacing w:after="600"/>
      <w:jc w:val="center"/>
    </w:pPr>
    <w:rPr>
      <w:b/>
      <w:smallCaps/>
      <w:sz w:val="30"/>
    </w:rPr>
  </w:style>
  <w:style w:type="paragraph" w:customStyle="1" w:styleId="PubTitle1Num">
    <w:name w:val="Pub_Title1_Num"/>
    <w:basedOn w:val="NormalTimesNewRoman"/>
    <w:next w:val="PubListCaseNo"/>
    <w:rsid w:val="00D66C93"/>
    <w:pPr>
      <w:spacing w:after="720"/>
      <w:jc w:val="center"/>
    </w:pPr>
    <w:rPr>
      <w:b/>
      <w:smallCaps/>
      <w:sz w:val="30"/>
    </w:rPr>
  </w:style>
  <w:style w:type="paragraph" w:customStyle="1" w:styleId="PubTitle2Country">
    <w:name w:val="Pub_Title2_Country"/>
    <w:basedOn w:val="NormalTimesNewRoman"/>
    <w:next w:val="PubListCases"/>
    <w:rsid w:val="00D66C93"/>
    <w:pPr>
      <w:keepNext/>
      <w:keepLines/>
      <w:spacing w:before="600" w:after="360"/>
    </w:pPr>
    <w:rPr>
      <w:b/>
    </w:rPr>
  </w:style>
  <w:style w:type="paragraph" w:customStyle="1" w:styleId="PubTitle2Letters">
    <w:name w:val="Pub_Title2_Letters"/>
    <w:basedOn w:val="NormalTimesNewRoman"/>
    <w:next w:val="PubListCases"/>
    <w:rsid w:val="00D66C93"/>
    <w:pPr>
      <w:keepNext/>
      <w:keepLines/>
      <w:spacing w:before="600" w:after="360"/>
    </w:pPr>
    <w:rPr>
      <w:b/>
      <w:sz w:val="28"/>
    </w:rPr>
  </w:style>
  <w:style w:type="paragraph" w:customStyle="1" w:styleId="PubTitle2Part">
    <w:name w:val="Pub_Title2_Part"/>
    <w:basedOn w:val="NormalTimesNewRoman"/>
    <w:rsid w:val="00D66C93"/>
    <w:pPr>
      <w:keepNext/>
      <w:keepLines/>
      <w:spacing w:before="600" w:after="240"/>
      <w:jc w:val="center"/>
    </w:pPr>
    <w:rPr>
      <w:b/>
      <w:caps/>
    </w:rPr>
  </w:style>
  <w:style w:type="paragraph" w:customStyle="1" w:styleId="PubTitle3Article">
    <w:name w:val="Pub_Title3_Article"/>
    <w:basedOn w:val="NormalTimesNewRoman"/>
    <w:rsid w:val="00D66C93"/>
    <w:pPr>
      <w:keepNext/>
      <w:keepLines/>
      <w:spacing w:before="360" w:after="120"/>
      <w:jc w:val="center"/>
    </w:pPr>
    <w:rPr>
      <w:b/>
      <w:smallCaps/>
      <w:sz w:val="22"/>
    </w:rPr>
  </w:style>
  <w:style w:type="paragraph" w:customStyle="1" w:styleId="PubTitle4ArticleSub">
    <w:name w:val="Pub_Title4_Article_Sub"/>
    <w:basedOn w:val="PubTitle3Article"/>
    <w:rsid w:val="00D66C93"/>
    <w:pPr>
      <w:spacing w:before="240"/>
    </w:pPr>
    <w:rPr>
      <w:smallCaps w:val="0"/>
      <w:sz w:val="20"/>
    </w:rPr>
  </w:style>
  <w:style w:type="paragraph" w:customStyle="1" w:styleId="PubTitle5Subject">
    <w:name w:val="Pub_Title5_Subject"/>
    <w:basedOn w:val="NormalTimesNewRoman"/>
    <w:rsid w:val="00D66C93"/>
    <w:pPr>
      <w:keepNext/>
      <w:keepLines/>
      <w:spacing w:before="240" w:after="120"/>
      <w:jc w:val="both"/>
    </w:pPr>
    <w:rPr>
      <w:b/>
      <w:i/>
    </w:rPr>
  </w:style>
  <w:style w:type="paragraph" w:customStyle="1" w:styleId="PubTitle6SubjectSub">
    <w:name w:val="Pub_Title6_Subject_Sub"/>
    <w:basedOn w:val="NormalTimesNewRoman"/>
    <w:rsid w:val="00D66C93"/>
    <w:pPr>
      <w:keepNext/>
      <w:keepLines/>
      <w:spacing w:before="240" w:after="120"/>
      <w:ind w:left="284"/>
      <w:jc w:val="both"/>
    </w:pPr>
    <w:rPr>
      <w:b/>
      <w:sz w:val="20"/>
    </w:rPr>
  </w:style>
  <w:style w:type="paragraph" w:customStyle="1" w:styleId="PubTitle7CaseName">
    <w:name w:val="Pub_Title7_CaseName"/>
    <w:basedOn w:val="NormalTimesNewRoman"/>
    <w:rsid w:val="00D66C93"/>
    <w:pPr>
      <w:keepLines/>
      <w:spacing w:after="240"/>
      <w:jc w:val="right"/>
    </w:pPr>
    <w:rPr>
      <w:sz w:val="22"/>
    </w:rPr>
  </w:style>
  <w:style w:type="numbering" w:styleId="111111">
    <w:name w:val="Outline List 2"/>
    <w:basedOn w:val="NoList"/>
    <w:rsid w:val="00D66C93"/>
    <w:pPr>
      <w:numPr>
        <w:numId w:val="10"/>
      </w:numPr>
    </w:pPr>
  </w:style>
  <w:style w:type="numbering" w:styleId="1ai">
    <w:name w:val="Outline List 1"/>
    <w:basedOn w:val="NoList"/>
    <w:rsid w:val="00D66C93"/>
    <w:pPr>
      <w:numPr>
        <w:numId w:val="11"/>
      </w:numPr>
    </w:pPr>
  </w:style>
  <w:style w:type="numbering" w:styleId="ArticleSection">
    <w:name w:val="Outline List 3"/>
    <w:basedOn w:val="NoList"/>
    <w:rsid w:val="00D66C93"/>
    <w:pPr>
      <w:numPr>
        <w:numId w:val="12"/>
      </w:numPr>
    </w:pPr>
  </w:style>
  <w:style w:type="paragraph" w:styleId="BlockText">
    <w:name w:val="Block Text"/>
    <w:basedOn w:val="Normal"/>
    <w:rsid w:val="00D66C93"/>
    <w:pPr>
      <w:spacing w:after="120"/>
      <w:ind w:left="1440" w:right="1440"/>
    </w:pPr>
  </w:style>
  <w:style w:type="paragraph" w:styleId="BodyText">
    <w:name w:val="Body Text"/>
    <w:basedOn w:val="Normal"/>
    <w:rsid w:val="00D66C93"/>
    <w:pPr>
      <w:spacing w:after="120"/>
    </w:pPr>
  </w:style>
  <w:style w:type="paragraph" w:styleId="BodyText2">
    <w:name w:val="Body Text 2"/>
    <w:basedOn w:val="Normal"/>
    <w:rsid w:val="00D66C93"/>
    <w:pPr>
      <w:spacing w:after="120" w:line="480" w:lineRule="auto"/>
    </w:pPr>
  </w:style>
  <w:style w:type="paragraph" w:styleId="BodyText3">
    <w:name w:val="Body Text 3"/>
    <w:basedOn w:val="Normal"/>
    <w:rsid w:val="00D66C93"/>
    <w:pPr>
      <w:spacing w:after="120"/>
    </w:pPr>
    <w:rPr>
      <w:sz w:val="16"/>
      <w:szCs w:val="16"/>
    </w:rPr>
  </w:style>
  <w:style w:type="paragraph" w:styleId="BodyTextFirstIndent">
    <w:name w:val="Body Text First Indent"/>
    <w:basedOn w:val="BodyText"/>
    <w:rsid w:val="00D66C93"/>
    <w:pPr>
      <w:ind w:firstLine="210"/>
    </w:pPr>
  </w:style>
  <w:style w:type="paragraph" w:styleId="BodyTextIndent">
    <w:name w:val="Body Text Indent"/>
    <w:basedOn w:val="Normal"/>
    <w:rsid w:val="00D66C93"/>
    <w:pPr>
      <w:spacing w:after="120"/>
      <w:ind w:left="283"/>
    </w:pPr>
  </w:style>
  <w:style w:type="paragraph" w:styleId="BodyTextFirstIndent2">
    <w:name w:val="Body Text First Indent 2"/>
    <w:basedOn w:val="BodyTextIndent"/>
    <w:rsid w:val="00D66C93"/>
    <w:pPr>
      <w:ind w:firstLine="210"/>
    </w:pPr>
  </w:style>
  <w:style w:type="paragraph" w:styleId="BodyTextIndent2">
    <w:name w:val="Body Text Indent 2"/>
    <w:basedOn w:val="Normal"/>
    <w:rsid w:val="00D66C93"/>
    <w:pPr>
      <w:spacing w:after="120" w:line="480" w:lineRule="auto"/>
      <w:ind w:left="283"/>
    </w:pPr>
  </w:style>
  <w:style w:type="paragraph" w:styleId="BodyTextIndent3">
    <w:name w:val="Body Text Indent 3"/>
    <w:basedOn w:val="Normal"/>
    <w:rsid w:val="00D66C93"/>
    <w:pPr>
      <w:spacing w:after="120"/>
      <w:ind w:left="283"/>
    </w:pPr>
    <w:rPr>
      <w:sz w:val="16"/>
      <w:szCs w:val="16"/>
    </w:rPr>
  </w:style>
  <w:style w:type="paragraph" w:styleId="Caption">
    <w:name w:val="caption"/>
    <w:basedOn w:val="Normal"/>
    <w:next w:val="Normal"/>
    <w:qFormat/>
    <w:rsid w:val="00D66C93"/>
    <w:rPr>
      <w:b/>
      <w:bCs/>
      <w:sz w:val="20"/>
    </w:rPr>
  </w:style>
  <w:style w:type="paragraph" w:styleId="Closing">
    <w:name w:val="Closing"/>
    <w:basedOn w:val="Normal"/>
    <w:rsid w:val="00D66C93"/>
    <w:pPr>
      <w:ind w:left="4252"/>
    </w:pPr>
  </w:style>
  <w:style w:type="paragraph" w:styleId="Date">
    <w:name w:val="Date"/>
    <w:basedOn w:val="Normal"/>
    <w:next w:val="Normal"/>
    <w:rsid w:val="00D66C93"/>
  </w:style>
  <w:style w:type="paragraph" w:styleId="E-mailSignature">
    <w:name w:val="E-mail Signature"/>
    <w:basedOn w:val="Normal"/>
    <w:rsid w:val="00D66C93"/>
  </w:style>
  <w:style w:type="character" w:styleId="Emphasis">
    <w:name w:val="Emphasis"/>
    <w:qFormat/>
    <w:rsid w:val="00D66C93"/>
    <w:rPr>
      <w:i/>
      <w:iCs/>
    </w:rPr>
  </w:style>
  <w:style w:type="paragraph" w:styleId="EnvelopeAddress">
    <w:name w:val="envelope address"/>
    <w:basedOn w:val="Normal"/>
    <w:rsid w:val="00D66C93"/>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D66C93"/>
    <w:rPr>
      <w:rFonts w:ascii="Arial" w:hAnsi="Arial" w:cs="Arial"/>
      <w:sz w:val="20"/>
    </w:rPr>
  </w:style>
  <w:style w:type="character" w:styleId="HTMLAcronym">
    <w:name w:val="HTML Acronym"/>
    <w:basedOn w:val="DefaultParagraphFont"/>
    <w:rsid w:val="00D66C93"/>
  </w:style>
  <w:style w:type="paragraph" w:styleId="HTMLAddress">
    <w:name w:val="HTML Address"/>
    <w:basedOn w:val="Normal"/>
    <w:rsid w:val="00D66C93"/>
    <w:rPr>
      <w:i/>
      <w:iCs/>
    </w:rPr>
  </w:style>
  <w:style w:type="character" w:styleId="HTMLCite">
    <w:name w:val="HTML Cite"/>
    <w:rsid w:val="00D66C93"/>
    <w:rPr>
      <w:i/>
      <w:iCs/>
    </w:rPr>
  </w:style>
  <w:style w:type="character" w:styleId="HTMLCode">
    <w:name w:val="HTML Code"/>
    <w:rsid w:val="00D66C93"/>
    <w:rPr>
      <w:rFonts w:ascii="Courier New" w:hAnsi="Courier New" w:cs="Courier New"/>
      <w:sz w:val="20"/>
      <w:szCs w:val="20"/>
    </w:rPr>
  </w:style>
  <w:style w:type="character" w:styleId="HTMLDefinition">
    <w:name w:val="HTML Definition"/>
    <w:rsid w:val="00D66C93"/>
    <w:rPr>
      <w:i/>
      <w:iCs/>
    </w:rPr>
  </w:style>
  <w:style w:type="character" w:styleId="HTMLKeyboard">
    <w:name w:val="HTML Keyboard"/>
    <w:rsid w:val="00D66C93"/>
    <w:rPr>
      <w:rFonts w:ascii="Courier New" w:hAnsi="Courier New" w:cs="Courier New"/>
      <w:sz w:val="20"/>
      <w:szCs w:val="20"/>
    </w:rPr>
  </w:style>
  <w:style w:type="paragraph" w:styleId="HTMLPreformatted">
    <w:name w:val="HTML Preformatted"/>
    <w:basedOn w:val="Normal"/>
    <w:rsid w:val="00D66C93"/>
    <w:rPr>
      <w:rFonts w:ascii="Courier New" w:hAnsi="Courier New" w:cs="Courier New"/>
      <w:sz w:val="20"/>
    </w:rPr>
  </w:style>
  <w:style w:type="character" w:styleId="HTMLSample">
    <w:name w:val="HTML Sample"/>
    <w:rsid w:val="00D66C93"/>
    <w:rPr>
      <w:rFonts w:ascii="Courier New" w:hAnsi="Courier New" w:cs="Courier New"/>
    </w:rPr>
  </w:style>
  <w:style w:type="character" w:styleId="HTMLTypewriter">
    <w:name w:val="HTML Typewriter"/>
    <w:rsid w:val="00D66C93"/>
    <w:rPr>
      <w:rFonts w:ascii="Courier New" w:hAnsi="Courier New" w:cs="Courier New"/>
      <w:sz w:val="20"/>
      <w:szCs w:val="20"/>
    </w:rPr>
  </w:style>
  <w:style w:type="character" w:styleId="HTMLVariable">
    <w:name w:val="HTML Variable"/>
    <w:rsid w:val="00D66C93"/>
    <w:rPr>
      <w:i/>
      <w:iCs/>
    </w:rPr>
  </w:style>
  <w:style w:type="paragraph" w:styleId="Index1">
    <w:name w:val="index 1"/>
    <w:basedOn w:val="Normal"/>
    <w:next w:val="Normal"/>
    <w:autoRedefine/>
    <w:semiHidden/>
    <w:rsid w:val="00D66C93"/>
    <w:pPr>
      <w:ind w:left="240" w:hanging="240"/>
    </w:pPr>
  </w:style>
  <w:style w:type="paragraph" w:styleId="Index2">
    <w:name w:val="index 2"/>
    <w:basedOn w:val="Normal"/>
    <w:next w:val="Normal"/>
    <w:autoRedefine/>
    <w:semiHidden/>
    <w:rsid w:val="00D66C93"/>
    <w:pPr>
      <w:ind w:left="480" w:hanging="240"/>
    </w:pPr>
  </w:style>
  <w:style w:type="paragraph" w:styleId="Index3">
    <w:name w:val="index 3"/>
    <w:basedOn w:val="Normal"/>
    <w:next w:val="Normal"/>
    <w:autoRedefine/>
    <w:semiHidden/>
    <w:rsid w:val="00D66C93"/>
    <w:pPr>
      <w:ind w:left="720" w:hanging="240"/>
    </w:pPr>
  </w:style>
  <w:style w:type="paragraph" w:styleId="Index4">
    <w:name w:val="index 4"/>
    <w:basedOn w:val="Normal"/>
    <w:next w:val="Normal"/>
    <w:autoRedefine/>
    <w:semiHidden/>
    <w:rsid w:val="00D66C93"/>
    <w:pPr>
      <w:ind w:left="960" w:hanging="240"/>
    </w:pPr>
  </w:style>
  <w:style w:type="paragraph" w:styleId="Index5">
    <w:name w:val="index 5"/>
    <w:basedOn w:val="Normal"/>
    <w:next w:val="Normal"/>
    <w:autoRedefine/>
    <w:semiHidden/>
    <w:rsid w:val="00D66C93"/>
    <w:pPr>
      <w:ind w:left="1200" w:hanging="240"/>
    </w:pPr>
  </w:style>
  <w:style w:type="paragraph" w:styleId="Index6">
    <w:name w:val="index 6"/>
    <w:basedOn w:val="Normal"/>
    <w:next w:val="Normal"/>
    <w:autoRedefine/>
    <w:semiHidden/>
    <w:rsid w:val="00D66C93"/>
    <w:pPr>
      <w:ind w:left="1440" w:hanging="240"/>
    </w:pPr>
  </w:style>
  <w:style w:type="paragraph" w:styleId="Index7">
    <w:name w:val="index 7"/>
    <w:basedOn w:val="Normal"/>
    <w:next w:val="Normal"/>
    <w:autoRedefine/>
    <w:semiHidden/>
    <w:rsid w:val="00D66C93"/>
    <w:pPr>
      <w:ind w:left="1680" w:hanging="240"/>
    </w:pPr>
  </w:style>
  <w:style w:type="paragraph" w:styleId="Index8">
    <w:name w:val="index 8"/>
    <w:basedOn w:val="Normal"/>
    <w:next w:val="Normal"/>
    <w:autoRedefine/>
    <w:semiHidden/>
    <w:rsid w:val="00D66C93"/>
    <w:pPr>
      <w:ind w:left="1920" w:hanging="240"/>
    </w:pPr>
  </w:style>
  <w:style w:type="paragraph" w:styleId="Index9">
    <w:name w:val="index 9"/>
    <w:basedOn w:val="Normal"/>
    <w:next w:val="Normal"/>
    <w:autoRedefine/>
    <w:semiHidden/>
    <w:rsid w:val="00D66C93"/>
    <w:pPr>
      <w:ind w:left="2160" w:hanging="240"/>
    </w:pPr>
  </w:style>
  <w:style w:type="paragraph" w:styleId="IndexHeading">
    <w:name w:val="index heading"/>
    <w:basedOn w:val="Normal"/>
    <w:next w:val="Index1"/>
    <w:semiHidden/>
    <w:rsid w:val="00D66C93"/>
    <w:rPr>
      <w:rFonts w:ascii="Arial" w:hAnsi="Arial" w:cs="Arial"/>
      <w:b/>
      <w:bCs/>
    </w:rPr>
  </w:style>
  <w:style w:type="character" w:styleId="LineNumber">
    <w:name w:val="line number"/>
    <w:basedOn w:val="DefaultParagraphFont"/>
    <w:rsid w:val="00D66C93"/>
  </w:style>
  <w:style w:type="paragraph" w:styleId="List">
    <w:name w:val="List"/>
    <w:basedOn w:val="Normal"/>
    <w:rsid w:val="00D66C93"/>
    <w:pPr>
      <w:ind w:left="283" w:hanging="283"/>
    </w:pPr>
  </w:style>
  <w:style w:type="paragraph" w:styleId="List2">
    <w:name w:val="List 2"/>
    <w:basedOn w:val="Normal"/>
    <w:rsid w:val="00D66C93"/>
    <w:pPr>
      <w:ind w:left="566" w:hanging="283"/>
    </w:pPr>
  </w:style>
  <w:style w:type="paragraph" w:styleId="List3">
    <w:name w:val="List 3"/>
    <w:basedOn w:val="Normal"/>
    <w:rsid w:val="00D66C93"/>
    <w:pPr>
      <w:ind w:left="849" w:hanging="283"/>
    </w:pPr>
  </w:style>
  <w:style w:type="paragraph" w:styleId="List4">
    <w:name w:val="List 4"/>
    <w:basedOn w:val="Normal"/>
    <w:rsid w:val="00D66C93"/>
    <w:pPr>
      <w:ind w:left="1132" w:hanging="283"/>
    </w:pPr>
  </w:style>
  <w:style w:type="paragraph" w:styleId="List5">
    <w:name w:val="List 5"/>
    <w:basedOn w:val="Normal"/>
    <w:rsid w:val="00D66C93"/>
    <w:pPr>
      <w:ind w:left="1415" w:hanging="283"/>
    </w:pPr>
  </w:style>
  <w:style w:type="paragraph" w:styleId="ListBullet2">
    <w:name w:val="List Bullet 2"/>
    <w:basedOn w:val="Normal"/>
    <w:rsid w:val="00D66C93"/>
    <w:pPr>
      <w:numPr>
        <w:numId w:val="13"/>
      </w:numPr>
    </w:pPr>
  </w:style>
  <w:style w:type="paragraph" w:styleId="ListBullet3">
    <w:name w:val="List Bullet 3"/>
    <w:basedOn w:val="Normal"/>
    <w:rsid w:val="00D66C93"/>
    <w:pPr>
      <w:numPr>
        <w:numId w:val="14"/>
      </w:numPr>
    </w:pPr>
  </w:style>
  <w:style w:type="paragraph" w:styleId="ListBullet4">
    <w:name w:val="List Bullet 4"/>
    <w:basedOn w:val="Normal"/>
    <w:rsid w:val="00D66C93"/>
    <w:pPr>
      <w:numPr>
        <w:numId w:val="15"/>
      </w:numPr>
    </w:pPr>
  </w:style>
  <w:style w:type="paragraph" w:styleId="ListBullet5">
    <w:name w:val="List Bullet 5"/>
    <w:basedOn w:val="Normal"/>
    <w:rsid w:val="00D66C93"/>
    <w:pPr>
      <w:numPr>
        <w:numId w:val="16"/>
      </w:numPr>
    </w:pPr>
  </w:style>
  <w:style w:type="paragraph" w:styleId="ListContinue">
    <w:name w:val="List Continue"/>
    <w:basedOn w:val="Normal"/>
    <w:rsid w:val="00D66C93"/>
    <w:pPr>
      <w:spacing w:after="120"/>
      <w:ind w:left="283"/>
    </w:pPr>
  </w:style>
  <w:style w:type="paragraph" w:styleId="ListContinue2">
    <w:name w:val="List Continue 2"/>
    <w:basedOn w:val="Normal"/>
    <w:rsid w:val="00D66C93"/>
    <w:pPr>
      <w:spacing w:after="120"/>
      <w:ind w:left="566"/>
    </w:pPr>
  </w:style>
  <w:style w:type="paragraph" w:styleId="ListContinue3">
    <w:name w:val="List Continue 3"/>
    <w:basedOn w:val="Normal"/>
    <w:rsid w:val="00D66C93"/>
    <w:pPr>
      <w:spacing w:after="120"/>
      <w:ind w:left="849"/>
    </w:pPr>
  </w:style>
  <w:style w:type="paragraph" w:styleId="ListContinue4">
    <w:name w:val="List Continue 4"/>
    <w:basedOn w:val="Normal"/>
    <w:rsid w:val="00D66C93"/>
    <w:pPr>
      <w:spacing w:after="120"/>
      <w:ind w:left="1132"/>
    </w:pPr>
  </w:style>
  <w:style w:type="paragraph" w:styleId="ListContinue5">
    <w:name w:val="List Continue 5"/>
    <w:basedOn w:val="Normal"/>
    <w:rsid w:val="00D66C93"/>
    <w:pPr>
      <w:spacing w:after="120"/>
      <w:ind w:left="1415"/>
    </w:pPr>
  </w:style>
  <w:style w:type="paragraph" w:styleId="ListNumber">
    <w:name w:val="List Number"/>
    <w:basedOn w:val="Normal"/>
    <w:rsid w:val="00D66C93"/>
    <w:pPr>
      <w:numPr>
        <w:numId w:val="17"/>
      </w:numPr>
    </w:pPr>
  </w:style>
  <w:style w:type="paragraph" w:styleId="ListNumber2">
    <w:name w:val="List Number 2"/>
    <w:basedOn w:val="Normal"/>
    <w:rsid w:val="00D66C93"/>
    <w:pPr>
      <w:numPr>
        <w:numId w:val="18"/>
      </w:numPr>
    </w:pPr>
  </w:style>
  <w:style w:type="paragraph" w:styleId="ListNumber3">
    <w:name w:val="List Number 3"/>
    <w:basedOn w:val="Normal"/>
    <w:rsid w:val="00D66C93"/>
    <w:pPr>
      <w:numPr>
        <w:numId w:val="19"/>
      </w:numPr>
    </w:pPr>
  </w:style>
  <w:style w:type="paragraph" w:styleId="ListNumber4">
    <w:name w:val="List Number 4"/>
    <w:basedOn w:val="Normal"/>
    <w:rsid w:val="00D66C93"/>
    <w:pPr>
      <w:numPr>
        <w:numId w:val="20"/>
      </w:numPr>
    </w:pPr>
  </w:style>
  <w:style w:type="paragraph" w:styleId="ListNumber5">
    <w:name w:val="List Number 5"/>
    <w:basedOn w:val="Normal"/>
    <w:rsid w:val="00D66C93"/>
    <w:pPr>
      <w:numPr>
        <w:numId w:val="21"/>
      </w:numPr>
    </w:pPr>
  </w:style>
  <w:style w:type="paragraph" w:styleId="MacroText">
    <w:name w:val="macro"/>
    <w:semiHidden/>
    <w:rsid w:val="00D66C93"/>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en-GB" w:eastAsia="fr-FR"/>
    </w:rPr>
  </w:style>
  <w:style w:type="paragraph" w:styleId="MessageHeader">
    <w:name w:val="Message Header"/>
    <w:basedOn w:val="Normal"/>
    <w:rsid w:val="00D66C9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rsid w:val="00D66C93"/>
    <w:rPr>
      <w:szCs w:val="24"/>
    </w:rPr>
  </w:style>
  <w:style w:type="paragraph" w:styleId="NormalIndent">
    <w:name w:val="Normal Indent"/>
    <w:basedOn w:val="Normal"/>
    <w:rsid w:val="00D66C93"/>
    <w:pPr>
      <w:ind w:left="720"/>
    </w:pPr>
  </w:style>
  <w:style w:type="paragraph" w:styleId="NoteHeading">
    <w:name w:val="Note Heading"/>
    <w:basedOn w:val="Normal"/>
    <w:next w:val="Normal"/>
    <w:rsid w:val="00D66C93"/>
  </w:style>
  <w:style w:type="paragraph" w:styleId="PlainText">
    <w:name w:val="Plain Text"/>
    <w:basedOn w:val="Normal"/>
    <w:rsid w:val="00D66C93"/>
    <w:rPr>
      <w:rFonts w:ascii="Courier New" w:hAnsi="Courier New" w:cs="Courier New"/>
      <w:sz w:val="20"/>
    </w:rPr>
  </w:style>
  <w:style w:type="paragraph" w:styleId="Salutation">
    <w:name w:val="Salutation"/>
    <w:basedOn w:val="Normal"/>
    <w:next w:val="Normal"/>
    <w:rsid w:val="00D66C93"/>
  </w:style>
  <w:style w:type="paragraph" w:styleId="Signature">
    <w:name w:val="Signature"/>
    <w:basedOn w:val="Normal"/>
    <w:rsid w:val="00D66C93"/>
    <w:pPr>
      <w:ind w:left="4252"/>
    </w:pPr>
  </w:style>
  <w:style w:type="paragraph" w:styleId="Subtitle">
    <w:name w:val="Subtitle"/>
    <w:basedOn w:val="Normal"/>
    <w:qFormat/>
    <w:rsid w:val="00D66C93"/>
    <w:pPr>
      <w:spacing w:after="60"/>
      <w:jc w:val="center"/>
      <w:outlineLvl w:val="1"/>
    </w:pPr>
    <w:rPr>
      <w:rFonts w:ascii="Arial" w:hAnsi="Arial" w:cs="Arial"/>
      <w:szCs w:val="24"/>
    </w:rPr>
  </w:style>
  <w:style w:type="table" w:styleId="Table3Deffects1">
    <w:name w:val="Table 3D effects 1"/>
    <w:basedOn w:val="TableNormal"/>
    <w:rsid w:val="00D66C93"/>
    <w:pPr>
      <w:suppressAutoHyphens/>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66C93"/>
    <w:pPr>
      <w:suppressAutoHyphens/>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66C93"/>
    <w:pPr>
      <w:suppressAutoHyphens/>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66C93"/>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66C93"/>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66C93"/>
    <w:pPr>
      <w:suppressAutoHyphens/>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66C93"/>
    <w:pPr>
      <w:suppressAutoHyphens/>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66C93"/>
    <w:pPr>
      <w:suppressAutoHyphens/>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66C93"/>
    <w:pPr>
      <w:suppressAutoHyphens/>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66C93"/>
    <w:pPr>
      <w:suppressAutoHyphens/>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66C93"/>
    <w:pPr>
      <w:suppressAutoHyphens/>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66C93"/>
    <w:pPr>
      <w:suppressAutoHyphens/>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66C93"/>
    <w:pPr>
      <w:suppressAutoHyphens/>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66C93"/>
    <w:pPr>
      <w:suppressAutoHyphens/>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66C93"/>
    <w:pPr>
      <w:suppressAutoHyphens/>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66C93"/>
    <w:pPr>
      <w:suppressAutoHyphens/>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66C93"/>
    <w:pPr>
      <w:suppressAutoHyphen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66C93"/>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66C93"/>
    <w:pPr>
      <w:suppressAutoHyphens/>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66C93"/>
    <w:pPr>
      <w:suppressAutoHyphens/>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66C93"/>
    <w:pPr>
      <w:suppressAutoHyphens/>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66C93"/>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66C93"/>
    <w:pPr>
      <w:suppressAutoHyphens/>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66C93"/>
    <w:pPr>
      <w:suppressAutoHyphens/>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66C93"/>
    <w:pPr>
      <w:suppressAutoHyphens/>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66C93"/>
    <w:pPr>
      <w:suppressAutoHyphens/>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66C93"/>
    <w:pPr>
      <w:suppressAutoHyphens/>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66C93"/>
    <w:pPr>
      <w:suppressAutoHyphens/>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66C93"/>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66C93"/>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66C93"/>
    <w:pPr>
      <w:suppressAutoHyphens/>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66C93"/>
    <w:pPr>
      <w:suppressAutoHyphens/>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66C93"/>
    <w:pPr>
      <w:suppressAutoHyphens/>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D66C93"/>
    <w:pPr>
      <w:ind w:left="240" w:hanging="240"/>
    </w:pPr>
  </w:style>
  <w:style w:type="paragraph" w:styleId="TableofFigures">
    <w:name w:val="table of figures"/>
    <w:basedOn w:val="Normal"/>
    <w:next w:val="Normal"/>
    <w:semiHidden/>
    <w:rsid w:val="00D66C93"/>
  </w:style>
  <w:style w:type="table" w:styleId="TableProfessional">
    <w:name w:val="Table Professional"/>
    <w:basedOn w:val="TableNormal"/>
    <w:rsid w:val="00D66C93"/>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66C93"/>
    <w:pPr>
      <w:suppressAutoHyphens/>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66C93"/>
    <w:pPr>
      <w:suppressAutoHyphens/>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66C93"/>
    <w:pPr>
      <w:suppressAutoHyphens/>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66C93"/>
    <w:pPr>
      <w:suppressAutoHyphens/>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66C93"/>
    <w:pPr>
      <w:suppressAutoHyphens/>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66C9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66C93"/>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66C93"/>
    <w:pPr>
      <w:suppressAutoHyphens/>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66C93"/>
    <w:pPr>
      <w:suppressAutoHyphens/>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D66C93"/>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D66C93"/>
    <w:pPr>
      <w:spacing w:before="120"/>
    </w:pPr>
    <w:rPr>
      <w:rFonts w:ascii="Arial" w:hAnsi="Arial" w:cs="Arial"/>
      <w:b/>
      <w:bCs/>
      <w:szCs w:val="24"/>
    </w:rPr>
  </w:style>
  <w:style w:type="paragraph" w:styleId="TOC1">
    <w:name w:val="toc 1"/>
    <w:basedOn w:val="Normal"/>
    <w:next w:val="Normal"/>
    <w:autoRedefine/>
    <w:semiHidden/>
    <w:rsid w:val="00D66C93"/>
  </w:style>
  <w:style w:type="paragraph" w:styleId="TOC2">
    <w:name w:val="toc 2"/>
    <w:basedOn w:val="Normal"/>
    <w:next w:val="Normal"/>
    <w:autoRedefine/>
    <w:semiHidden/>
    <w:rsid w:val="00D66C93"/>
    <w:pPr>
      <w:ind w:left="240"/>
    </w:pPr>
  </w:style>
  <w:style w:type="paragraph" w:styleId="TOC3">
    <w:name w:val="toc 3"/>
    <w:basedOn w:val="Normal"/>
    <w:next w:val="Normal"/>
    <w:autoRedefine/>
    <w:semiHidden/>
    <w:rsid w:val="00D66C93"/>
    <w:pPr>
      <w:ind w:left="480"/>
    </w:pPr>
  </w:style>
  <w:style w:type="paragraph" w:styleId="TOC4">
    <w:name w:val="toc 4"/>
    <w:basedOn w:val="Normal"/>
    <w:next w:val="Normal"/>
    <w:autoRedefine/>
    <w:semiHidden/>
    <w:rsid w:val="00D66C93"/>
    <w:pPr>
      <w:ind w:left="720"/>
    </w:pPr>
  </w:style>
  <w:style w:type="paragraph" w:styleId="TOC5">
    <w:name w:val="toc 5"/>
    <w:basedOn w:val="Normal"/>
    <w:next w:val="Normal"/>
    <w:autoRedefine/>
    <w:semiHidden/>
    <w:rsid w:val="00D66C93"/>
    <w:pPr>
      <w:ind w:left="960"/>
    </w:pPr>
  </w:style>
  <w:style w:type="paragraph" w:styleId="TOC6">
    <w:name w:val="toc 6"/>
    <w:basedOn w:val="Normal"/>
    <w:next w:val="Normal"/>
    <w:autoRedefine/>
    <w:semiHidden/>
    <w:rsid w:val="00D66C93"/>
    <w:pPr>
      <w:ind w:left="1200"/>
    </w:pPr>
  </w:style>
  <w:style w:type="paragraph" w:styleId="TOC7">
    <w:name w:val="toc 7"/>
    <w:basedOn w:val="Normal"/>
    <w:next w:val="Normal"/>
    <w:autoRedefine/>
    <w:semiHidden/>
    <w:rsid w:val="00D66C93"/>
    <w:pPr>
      <w:ind w:left="1440"/>
    </w:pPr>
  </w:style>
  <w:style w:type="paragraph" w:styleId="TOC8">
    <w:name w:val="toc 8"/>
    <w:basedOn w:val="Normal"/>
    <w:next w:val="Normal"/>
    <w:autoRedefine/>
    <w:semiHidden/>
    <w:rsid w:val="00D66C93"/>
    <w:pPr>
      <w:ind w:left="1680"/>
    </w:pPr>
  </w:style>
  <w:style w:type="paragraph" w:styleId="TOC9">
    <w:name w:val="toc 9"/>
    <w:basedOn w:val="Normal"/>
    <w:next w:val="Normal"/>
    <w:autoRedefine/>
    <w:semiHidden/>
    <w:rsid w:val="00D66C93"/>
    <w:pPr>
      <w:ind w:left="1920"/>
    </w:pPr>
  </w:style>
  <w:style w:type="table" w:customStyle="1" w:styleId="ECHRHeaderTable">
    <w:name w:val="ECHR_Header_Table"/>
    <w:basedOn w:val="TableGrid"/>
    <w:rsid w:val="00D66C93"/>
    <w:pPr>
      <w:suppressAutoHyphens w:val="0"/>
    </w:pPr>
    <w:rPr>
      <w:rFonts w:ascii="Verdana" w:hAnsi="Verdana"/>
    </w:rPr>
    <w:tblPr>
      <w:tblInd w:w="-624" w:type="dxa"/>
      <w:tblBorders>
        <w:top w:val="single" w:sz="8" w:space="0" w:color="FFFFFF"/>
        <w:left w:val="single" w:sz="8" w:space="0" w:color="FFFFFF"/>
        <w:bottom w:val="single" w:sz="8" w:space="0" w:color="808080"/>
        <w:right w:val="single" w:sz="8" w:space="0" w:color="FFFFFF"/>
        <w:insideH w:val="single" w:sz="8" w:space="0" w:color="FFFFFF"/>
        <w:insideV w:val="single" w:sz="8" w:space="0" w:color="FFFFFF"/>
      </w:tblBorders>
      <w:tblCellMar>
        <w:top w:w="0" w:type="dxa"/>
        <w:left w:w="0" w:type="dxa"/>
        <w:bottom w:w="28" w:type="dxa"/>
        <w:right w:w="0" w:type="dxa"/>
      </w:tblCellMar>
    </w:tblPr>
    <w:tcPr>
      <w:noWrap/>
      <w:vAlign w:val="bottom"/>
    </w:tcPr>
  </w:style>
  <w:style w:type="character" w:customStyle="1" w:styleId="ju-005fpara--char">
    <w:name w:val="ju-005fpara--char"/>
    <w:basedOn w:val="DefaultParagraphFont"/>
    <w:rsid w:val="0061251A"/>
  </w:style>
  <w:style w:type="paragraph" w:customStyle="1" w:styleId="s647bbbdb">
    <w:name w:val="s647bbbdb"/>
    <w:basedOn w:val="Normal"/>
    <w:rsid w:val="00D50EB3"/>
    <w:pPr>
      <w:suppressAutoHyphens w:val="0"/>
      <w:spacing w:before="100" w:beforeAutospacing="1" w:after="100" w:afterAutospacing="1"/>
    </w:pPr>
    <w:rPr>
      <w:szCs w:val="24"/>
      <w:lang w:val="en-US" w:eastAsia="en-US"/>
    </w:rPr>
  </w:style>
  <w:style w:type="paragraph" w:customStyle="1" w:styleId="s9e9b0cd7">
    <w:name w:val="s9e9b0cd7"/>
    <w:basedOn w:val="Normal"/>
    <w:rsid w:val="00D50EB3"/>
    <w:pPr>
      <w:suppressAutoHyphens w:val="0"/>
      <w:spacing w:before="100" w:beforeAutospacing="1" w:after="100" w:afterAutospacing="1"/>
    </w:pPr>
    <w:rPr>
      <w:szCs w:val="24"/>
      <w:lang w:val="en-US" w:eastAsia="en-US"/>
    </w:rPr>
  </w:style>
  <w:style w:type="character" w:customStyle="1" w:styleId="sfbbfee58">
    <w:name w:val="sfbbfee58"/>
    <w:rsid w:val="00D50EB3"/>
  </w:style>
  <w:style w:type="paragraph" w:customStyle="1" w:styleId="s8653dbd7">
    <w:name w:val="s8653dbd7"/>
    <w:basedOn w:val="Normal"/>
    <w:rsid w:val="00D50EB3"/>
    <w:pPr>
      <w:suppressAutoHyphens w:val="0"/>
      <w:spacing w:before="100" w:beforeAutospacing="1" w:after="100" w:afterAutospacing="1"/>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1886">
      <w:bodyDiv w:val="1"/>
      <w:marLeft w:val="0"/>
      <w:marRight w:val="0"/>
      <w:marTop w:val="0"/>
      <w:marBottom w:val="0"/>
      <w:divBdr>
        <w:top w:val="none" w:sz="0" w:space="0" w:color="auto"/>
        <w:left w:val="none" w:sz="0" w:space="0" w:color="auto"/>
        <w:bottom w:val="none" w:sz="0" w:space="0" w:color="auto"/>
        <w:right w:val="none" w:sz="0" w:space="0" w:color="auto"/>
      </w:divBdr>
      <w:divsChild>
        <w:div w:id="1372076913">
          <w:marLeft w:val="0"/>
          <w:marRight w:val="0"/>
          <w:marTop w:val="0"/>
          <w:marBottom w:val="0"/>
          <w:divBdr>
            <w:top w:val="none" w:sz="0" w:space="0" w:color="auto"/>
            <w:left w:val="none" w:sz="0" w:space="0" w:color="auto"/>
            <w:bottom w:val="none" w:sz="0" w:space="0" w:color="auto"/>
            <w:right w:val="none" w:sz="0" w:space="0" w:color="auto"/>
          </w:divBdr>
          <w:divsChild>
            <w:div w:id="1498884578">
              <w:marLeft w:val="0"/>
              <w:marRight w:val="0"/>
              <w:marTop w:val="0"/>
              <w:marBottom w:val="0"/>
              <w:divBdr>
                <w:top w:val="none" w:sz="0" w:space="0" w:color="auto"/>
                <w:left w:val="none" w:sz="0" w:space="0" w:color="auto"/>
                <w:bottom w:val="none" w:sz="0" w:space="0" w:color="auto"/>
                <w:right w:val="none" w:sz="0" w:space="0" w:color="auto"/>
              </w:divBdr>
              <w:divsChild>
                <w:div w:id="1648435425">
                  <w:marLeft w:val="0"/>
                  <w:marRight w:val="0"/>
                  <w:marTop w:val="0"/>
                  <w:marBottom w:val="0"/>
                  <w:divBdr>
                    <w:top w:val="none" w:sz="0" w:space="0" w:color="auto"/>
                    <w:left w:val="none" w:sz="0" w:space="0" w:color="auto"/>
                    <w:bottom w:val="none" w:sz="0" w:space="0" w:color="auto"/>
                    <w:right w:val="none" w:sz="0" w:space="0" w:color="auto"/>
                  </w:divBdr>
                  <w:divsChild>
                    <w:div w:id="400637558">
                      <w:marLeft w:val="0"/>
                      <w:marRight w:val="0"/>
                      <w:marTop w:val="0"/>
                      <w:marBottom w:val="0"/>
                      <w:divBdr>
                        <w:top w:val="none" w:sz="0" w:space="0" w:color="auto"/>
                        <w:left w:val="none" w:sz="0" w:space="0" w:color="auto"/>
                        <w:bottom w:val="none" w:sz="0" w:space="0" w:color="auto"/>
                        <w:right w:val="none" w:sz="0" w:space="0" w:color="auto"/>
                      </w:divBdr>
                      <w:divsChild>
                        <w:div w:id="1156645679">
                          <w:marLeft w:val="0"/>
                          <w:marRight w:val="0"/>
                          <w:marTop w:val="0"/>
                          <w:marBottom w:val="0"/>
                          <w:divBdr>
                            <w:top w:val="none" w:sz="0" w:space="0" w:color="auto"/>
                            <w:left w:val="none" w:sz="0" w:space="0" w:color="auto"/>
                            <w:bottom w:val="none" w:sz="0" w:space="0" w:color="auto"/>
                            <w:right w:val="none" w:sz="0" w:space="0" w:color="auto"/>
                          </w:divBdr>
                          <w:divsChild>
                            <w:div w:id="186182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851601">
      <w:bodyDiv w:val="1"/>
      <w:marLeft w:val="0"/>
      <w:marRight w:val="0"/>
      <w:marTop w:val="0"/>
      <w:marBottom w:val="0"/>
      <w:divBdr>
        <w:top w:val="none" w:sz="0" w:space="0" w:color="auto"/>
        <w:left w:val="none" w:sz="0" w:space="0" w:color="auto"/>
        <w:bottom w:val="none" w:sz="0" w:space="0" w:color="auto"/>
        <w:right w:val="none" w:sz="0" w:space="0" w:color="auto"/>
      </w:divBdr>
    </w:div>
    <w:div w:id="587151149">
      <w:bodyDiv w:val="1"/>
      <w:marLeft w:val="0"/>
      <w:marRight w:val="0"/>
      <w:marTop w:val="0"/>
      <w:marBottom w:val="0"/>
      <w:divBdr>
        <w:top w:val="none" w:sz="0" w:space="0" w:color="auto"/>
        <w:left w:val="none" w:sz="0" w:space="0" w:color="auto"/>
        <w:bottom w:val="none" w:sz="0" w:space="0" w:color="auto"/>
        <w:right w:val="none" w:sz="0" w:space="0" w:color="auto"/>
      </w:divBdr>
    </w:div>
    <w:div w:id="629936700">
      <w:bodyDiv w:val="1"/>
      <w:marLeft w:val="0"/>
      <w:marRight w:val="0"/>
      <w:marTop w:val="0"/>
      <w:marBottom w:val="0"/>
      <w:divBdr>
        <w:top w:val="none" w:sz="0" w:space="0" w:color="auto"/>
        <w:left w:val="none" w:sz="0" w:space="0" w:color="auto"/>
        <w:bottom w:val="none" w:sz="0" w:space="0" w:color="auto"/>
        <w:right w:val="none" w:sz="0" w:space="0" w:color="auto"/>
      </w:divBdr>
      <w:divsChild>
        <w:div w:id="381641612">
          <w:marLeft w:val="0"/>
          <w:marRight w:val="0"/>
          <w:marTop w:val="0"/>
          <w:marBottom w:val="0"/>
          <w:divBdr>
            <w:top w:val="none" w:sz="0" w:space="0" w:color="auto"/>
            <w:left w:val="none" w:sz="0" w:space="0" w:color="auto"/>
            <w:bottom w:val="none" w:sz="0" w:space="0" w:color="auto"/>
            <w:right w:val="none" w:sz="0" w:space="0" w:color="auto"/>
          </w:divBdr>
          <w:divsChild>
            <w:div w:id="2057504542">
              <w:marLeft w:val="0"/>
              <w:marRight w:val="0"/>
              <w:marTop w:val="0"/>
              <w:marBottom w:val="0"/>
              <w:divBdr>
                <w:top w:val="none" w:sz="0" w:space="0" w:color="auto"/>
                <w:left w:val="none" w:sz="0" w:space="0" w:color="auto"/>
                <w:bottom w:val="none" w:sz="0" w:space="0" w:color="auto"/>
                <w:right w:val="none" w:sz="0" w:space="0" w:color="auto"/>
              </w:divBdr>
              <w:divsChild>
                <w:div w:id="1479809382">
                  <w:marLeft w:val="0"/>
                  <w:marRight w:val="0"/>
                  <w:marTop w:val="0"/>
                  <w:marBottom w:val="0"/>
                  <w:divBdr>
                    <w:top w:val="none" w:sz="0" w:space="0" w:color="auto"/>
                    <w:left w:val="none" w:sz="0" w:space="0" w:color="auto"/>
                    <w:bottom w:val="none" w:sz="0" w:space="0" w:color="auto"/>
                    <w:right w:val="none" w:sz="0" w:space="0" w:color="auto"/>
                  </w:divBdr>
                  <w:divsChild>
                    <w:div w:id="1361933562">
                      <w:marLeft w:val="0"/>
                      <w:marRight w:val="0"/>
                      <w:marTop w:val="0"/>
                      <w:marBottom w:val="0"/>
                      <w:divBdr>
                        <w:top w:val="none" w:sz="0" w:space="0" w:color="auto"/>
                        <w:left w:val="none" w:sz="0" w:space="0" w:color="auto"/>
                        <w:bottom w:val="none" w:sz="0" w:space="0" w:color="auto"/>
                        <w:right w:val="none" w:sz="0" w:space="0" w:color="auto"/>
                      </w:divBdr>
                      <w:divsChild>
                        <w:div w:id="579295077">
                          <w:marLeft w:val="0"/>
                          <w:marRight w:val="0"/>
                          <w:marTop w:val="0"/>
                          <w:marBottom w:val="0"/>
                          <w:divBdr>
                            <w:top w:val="none" w:sz="0" w:space="0" w:color="auto"/>
                            <w:left w:val="none" w:sz="0" w:space="0" w:color="auto"/>
                            <w:bottom w:val="none" w:sz="0" w:space="0" w:color="auto"/>
                            <w:right w:val="none" w:sz="0" w:space="0" w:color="auto"/>
                          </w:divBdr>
                          <w:divsChild>
                            <w:div w:id="129305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142954">
      <w:bodyDiv w:val="1"/>
      <w:marLeft w:val="0"/>
      <w:marRight w:val="0"/>
      <w:marTop w:val="0"/>
      <w:marBottom w:val="0"/>
      <w:divBdr>
        <w:top w:val="none" w:sz="0" w:space="0" w:color="auto"/>
        <w:left w:val="none" w:sz="0" w:space="0" w:color="auto"/>
        <w:bottom w:val="none" w:sz="0" w:space="0" w:color="auto"/>
        <w:right w:val="none" w:sz="0" w:space="0" w:color="auto"/>
      </w:divBdr>
    </w:div>
    <w:div w:id="1063143712">
      <w:bodyDiv w:val="1"/>
      <w:marLeft w:val="0"/>
      <w:marRight w:val="0"/>
      <w:marTop w:val="0"/>
      <w:marBottom w:val="0"/>
      <w:divBdr>
        <w:top w:val="none" w:sz="0" w:space="0" w:color="auto"/>
        <w:left w:val="none" w:sz="0" w:space="0" w:color="auto"/>
        <w:bottom w:val="none" w:sz="0" w:space="0" w:color="auto"/>
        <w:right w:val="none" w:sz="0" w:space="0" w:color="auto"/>
      </w:divBdr>
      <w:divsChild>
        <w:div w:id="54547420">
          <w:marLeft w:val="0"/>
          <w:marRight w:val="0"/>
          <w:marTop w:val="0"/>
          <w:marBottom w:val="0"/>
          <w:divBdr>
            <w:top w:val="none" w:sz="0" w:space="0" w:color="auto"/>
            <w:left w:val="none" w:sz="0" w:space="0" w:color="auto"/>
            <w:bottom w:val="none" w:sz="0" w:space="0" w:color="auto"/>
            <w:right w:val="none" w:sz="0" w:space="0" w:color="auto"/>
          </w:divBdr>
          <w:divsChild>
            <w:div w:id="566769077">
              <w:marLeft w:val="0"/>
              <w:marRight w:val="0"/>
              <w:marTop w:val="0"/>
              <w:marBottom w:val="0"/>
              <w:divBdr>
                <w:top w:val="none" w:sz="0" w:space="0" w:color="auto"/>
                <w:left w:val="none" w:sz="0" w:space="0" w:color="auto"/>
                <w:bottom w:val="none" w:sz="0" w:space="0" w:color="auto"/>
                <w:right w:val="none" w:sz="0" w:space="0" w:color="auto"/>
              </w:divBdr>
              <w:divsChild>
                <w:div w:id="392697104">
                  <w:marLeft w:val="0"/>
                  <w:marRight w:val="0"/>
                  <w:marTop w:val="0"/>
                  <w:marBottom w:val="0"/>
                  <w:divBdr>
                    <w:top w:val="none" w:sz="0" w:space="0" w:color="auto"/>
                    <w:left w:val="none" w:sz="0" w:space="0" w:color="auto"/>
                    <w:bottom w:val="none" w:sz="0" w:space="0" w:color="auto"/>
                    <w:right w:val="none" w:sz="0" w:space="0" w:color="auto"/>
                  </w:divBdr>
                  <w:divsChild>
                    <w:div w:id="1374884065">
                      <w:marLeft w:val="0"/>
                      <w:marRight w:val="0"/>
                      <w:marTop w:val="0"/>
                      <w:marBottom w:val="0"/>
                      <w:divBdr>
                        <w:top w:val="none" w:sz="0" w:space="0" w:color="auto"/>
                        <w:left w:val="none" w:sz="0" w:space="0" w:color="auto"/>
                        <w:bottom w:val="none" w:sz="0" w:space="0" w:color="auto"/>
                        <w:right w:val="none" w:sz="0" w:space="0" w:color="auto"/>
                      </w:divBdr>
                      <w:divsChild>
                        <w:div w:id="1708943966">
                          <w:marLeft w:val="0"/>
                          <w:marRight w:val="0"/>
                          <w:marTop w:val="0"/>
                          <w:marBottom w:val="0"/>
                          <w:divBdr>
                            <w:top w:val="none" w:sz="0" w:space="0" w:color="auto"/>
                            <w:left w:val="none" w:sz="0" w:space="0" w:color="auto"/>
                            <w:bottom w:val="none" w:sz="0" w:space="0" w:color="auto"/>
                            <w:right w:val="none" w:sz="0" w:space="0" w:color="auto"/>
                          </w:divBdr>
                          <w:divsChild>
                            <w:div w:id="53524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744173">
      <w:bodyDiv w:val="1"/>
      <w:marLeft w:val="0"/>
      <w:marRight w:val="0"/>
      <w:marTop w:val="0"/>
      <w:marBottom w:val="0"/>
      <w:divBdr>
        <w:top w:val="none" w:sz="0" w:space="0" w:color="auto"/>
        <w:left w:val="none" w:sz="0" w:space="0" w:color="auto"/>
        <w:bottom w:val="none" w:sz="0" w:space="0" w:color="auto"/>
        <w:right w:val="none" w:sz="0" w:space="0" w:color="auto"/>
      </w:divBdr>
    </w:div>
    <w:div w:id="1154105371">
      <w:bodyDiv w:val="1"/>
      <w:marLeft w:val="0"/>
      <w:marRight w:val="0"/>
      <w:marTop w:val="0"/>
      <w:marBottom w:val="0"/>
      <w:divBdr>
        <w:top w:val="none" w:sz="0" w:space="0" w:color="auto"/>
        <w:left w:val="none" w:sz="0" w:space="0" w:color="auto"/>
        <w:bottom w:val="none" w:sz="0" w:space="0" w:color="auto"/>
        <w:right w:val="none" w:sz="0" w:space="0" w:color="auto"/>
      </w:divBdr>
      <w:divsChild>
        <w:div w:id="1807116707">
          <w:marLeft w:val="0"/>
          <w:marRight w:val="0"/>
          <w:marTop w:val="0"/>
          <w:marBottom w:val="0"/>
          <w:divBdr>
            <w:top w:val="none" w:sz="0" w:space="0" w:color="auto"/>
            <w:left w:val="none" w:sz="0" w:space="0" w:color="auto"/>
            <w:bottom w:val="none" w:sz="0" w:space="0" w:color="auto"/>
            <w:right w:val="none" w:sz="0" w:space="0" w:color="auto"/>
          </w:divBdr>
          <w:divsChild>
            <w:div w:id="128281323">
              <w:marLeft w:val="0"/>
              <w:marRight w:val="0"/>
              <w:marTop w:val="0"/>
              <w:marBottom w:val="0"/>
              <w:divBdr>
                <w:top w:val="none" w:sz="0" w:space="0" w:color="auto"/>
                <w:left w:val="none" w:sz="0" w:space="0" w:color="auto"/>
                <w:bottom w:val="none" w:sz="0" w:space="0" w:color="auto"/>
                <w:right w:val="none" w:sz="0" w:space="0" w:color="auto"/>
              </w:divBdr>
              <w:divsChild>
                <w:div w:id="1228418815">
                  <w:marLeft w:val="0"/>
                  <w:marRight w:val="0"/>
                  <w:marTop w:val="0"/>
                  <w:marBottom w:val="0"/>
                  <w:divBdr>
                    <w:top w:val="none" w:sz="0" w:space="0" w:color="auto"/>
                    <w:left w:val="none" w:sz="0" w:space="0" w:color="auto"/>
                    <w:bottom w:val="none" w:sz="0" w:space="0" w:color="auto"/>
                    <w:right w:val="none" w:sz="0" w:space="0" w:color="auto"/>
                  </w:divBdr>
                  <w:divsChild>
                    <w:div w:id="2015258176">
                      <w:marLeft w:val="0"/>
                      <w:marRight w:val="0"/>
                      <w:marTop w:val="0"/>
                      <w:marBottom w:val="0"/>
                      <w:divBdr>
                        <w:top w:val="none" w:sz="0" w:space="0" w:color="auto"/>
                        <w:left w:val="none" w:sz="0" w:space="0" w:color="auto"/>
                        <w:bottom w:val="none" w:sz="0" w:space="0" w:color="auto"/>
                        <w:right w:val="none" w:sz="0" w:space="0" w:color="auto"/>
                      </w:divBdr>
                      <w:divsChild>
                        <w:div w:id="491260091">
                          <w:marLeft w:val="0"/>
                          <w:marRight w:val="0"/>
                          <w:marTop w:val="0"/>
                          <w:marBottom w:val="0"/>
                          <w:divBdr>
                            <w:top w:val="none" w:sz="0" w:space="0" w:color="auto"/>
                            <w:left w:val="none" w:sz="0" w:space="0" w:color="auto"/>
                            <w:bottom w:val="none" w:sz="0" w:space="0" w:color="auto"/>
                            <w:right w:val="none" w:sz="0" w:space="0" w:color="auto"/>
                          </w:divBdr>
                          <w:divsChild>
                            <w:div w:id="740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663399">
      <w:bodyDiv w:val="1"/>
      <w:marLeft w:val="0"/>
      <w:marRight w:val="0"/>
      <w:marTop w:val="0"/>
      <w:marBottom w:val="0"/>
      <w:divBdr>
        <w:top w:val="none" w:sz="0" w:space="0" w:color="auto"/>
        <w:left w:val="none" w:sz="0" w:space="0" w:color="auto"/>
        <w:bottom w:val="none" w:sz="0" w:space="0" w:color="auto"/>
        <w:right w:val="none" w:sz="0" w:space="0" w:color="auto"/>
      </w:divBdr>
      <w:divsChild>
        <w:div w:id="954754407">
          <w:marLeft w:val="0"/>
          <w:marRight w:val="0"/>
          <w:marTop w:val="0"/>
          <w:marBottom w:val="0"/>
          <w:divBdr>
            <w:top w:val="none" w:sz="0" w:space="0" w:color="auto"/>
            <w:left w:val="none" w:sz="0" w:space="0" w:color="auto"/>
            <w:bottom w:val="none" w:sz="0" w:space="0" w:color="auto"/>
            <w:right w:val="none" w:sz="0" w:space="0" w:color="auto"/>
          </w:divBdr>
          <w:divsChild>
            <w:div w:id="610208547">
              <w:marLeft w:val="0"/>
              <w:marRight w:val="0"/>
              <w:marTop w:val="0"/>
              <w:marBottom w:val="0"/>
              <w:divBdr>
                <w:top w:val="none" w:sz="0" w:space="0" w:color="auto"/>
                <w:left w:val="none" w:sz="0" w:space="0" w:color="auto"/>
                <w:bottom w:val="none" w:sz="0" w:space="0" w:color="auto"/>
                <w:right w:val="none" w:sz="0" w:space="0" w:color="auto"/>
              </w:divBdr>
              <w:divsChild>
                <w:div w:id="1025058216">
                  <w:marLeft w:val="0"/>
                  <w:marRight w:val="0"/>
                  <w:marTop w:val="0"/>
                  <w:marBottom w:val="0"/>
                  <w:divBdr>
                    <w:top w:val="none" w:sz="0" w:space="0" w:color="auto"/>
                    <w:left w:val="none" w:sz="0" w:space="0" w:color="auto"/>
                    <w:bottom w:val="none" w:sz="0" w:space="0" w:color="auto"/>
                    <w:right w:val="none" w:sz="0" w:space="0" w:color="auto"/>
                  </w:divBdr>
                  <w:divsChild>
                    <w:div w:id="687219189">
                      <w:marLeft w:val="0"/>
                      <w:marRight w:val="0"/>
                      <w:marTop w:val="0"/>
                      <w:marBottom w:val="0"/>
                      <w:divBdr>
                        <w:top w:val="none" w:sz="0" w:space="0" w:color="auto"/>
                        <w:left w:val="none" w:sz="0" w:space="0" w:color="auto"/>
                        <w:bottom w:val="none" w:sz="0" w:space="0" w:color="auto"/>
                        <w:right w:val="none" w:sz="0" w:space="0" w:color="auto"/>
                      </w:divBdr>
                      <w:divsChild>
                        <w:div w:id="787891843">
                          <w:marLeft w:val="0"/>
                          <w:marRight w:val="0"/>
                          <w:marTop w:val="0"/>
                          <w:marBottom w:val="0"/>
                          <w:divBdr>
                            <w:top w:val="none" w:sz="0" w:space="0" w:color="auto"/>
                            <w:left w:val="none" w:sz="0" w:space="0" w:color="auto"/>
                            <w:bottom w:val="none" w:sz="0" w:space="0" w:color="auto"/>
                            <w:right w:val="none" w:sz="0" w:space="0" w:color="auto"/>
                          </w:divBdr>
                          <w:divsChild>
                            <w:div w:id="2117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900126">
      <w:bodyDiv w:val="1"/>
      <w:marLeft w:val="0"/>
      <w:marRight w:val="0"/>
      <w:marTop w:val="0"/>
      <w:marBottom w:val="0"/>
      <w:divBdr>
        <w:top w:val="none" w:sz="0" w:space="0" w:color="auto"/>
        <w:left w:val="none" w:sz="0" w:space="0" w:color="auto"/>
        <w:bottom w:val="none" w:sz="0" w:space="0" w:color="auto"/>
        <w:right w:val="none" w:sz="0" w:space="0" w:color="auto"/>
      </w:divBdr>
      <w:divsChild>
        <w:div w:id="1278565892">
          <w:marLeft w:val="0"/>
          <w:marRight w:val="0"/>
          <w:marTop w:val="0"/>
          <w:marBottom w:val="0"/>
          <w:divBdr>
            <w:top w:val="none" w:sz="0" w:space="0" w:color="auto"/>
            <w:left w:val="none" w:sz="0" w:space="0" w:color="auto"/>
            <w:bottom w:val="none" w:sz="0" w:space="0" w:color="auto"/>
            <w:right w:val="none" w:sz="0" w:space="0" w:color="auto"/>
          </w:divBdr>
          <w:divsChild>
            <w:div w:id="1756438866">
              <w:marLeft w:val="0"/>
              <w:marRight w:val="0"/>
              <w:marTop w:val="0"/>
              <w:marBottom w:val="0"/>
              <w:divBdr>
                <w:top w:val="none" w:sz="0" w:space="0" w:color="auto"/>
                <w:left w:val="none" w:sz="0" w:space="0" w:color="auto"/>
                <w:bottom w:val="none" w:sz="0" w:space="0" w:color="auto"/>
                <w:right w:val="none" w:sz="0" w:space="0" w:color="auto"/>
              </w:divBdr>
              <w:divsChild>
                <w:div w:id="605160811">
                  <w:marLeft w:val="0"/>
                  <w:marRight w:val="0"/>
                  <w:marTop w:val="0"/>
                  <w:marBottom w:val="0"/>
                  <w:divBdr>
                    <w:top w:val="none" w:sz="0" w:space="0" w:color="auto"/>
                    <w:left w:val="none" w:sz="0" w:space="0" w:color="auto"/>
                    <w:bottom w:val="none" w:sz="0" w:space="0" w:color="auto"/>
                    <w:right w:val="none" w:sz="0" w:space="0" w:color="auto"/>
                  </w:divBdr>
                  <w:divsChild>
                    <w:div w:id="463474613">
                      <w:marLeft w:val="0"/>
                      <w:marRight w:val="0"/>
                      <w:marTop w:val="0"/>
                      <w:marBottom w:val="0"/>
                      <w:divBdr>
                        <w:top w:val="none" w:sz="0" w:space="0" w:color="auto"/>
                        <w:left w:val="none" w:sz="0" w:space="0" w:color="auto"/>
                        <w:bottom w:val="none" w:sz="0" w:space="0" w:color="auto"/>
                        <w:right w:val="none" w:sz="0" w:space="0" w:color="auto"/>
                      </w:divBdr>
                      <w:divsChild>
                        <w:div w:id="1456169738">
                          <w:marLeft w:val="0"/>
                          <w:marRight w:val="0"/>
                          <w:marTop w:val="0"/>
                          <w:marBottom w:val="0"/>
                          <w:divBdr>
                            <w:top w:val="none" w:sz="0" w:space="0" w:color="auto"/>
                            <w:left w:val="none" w:sz="0" w:space="0" w:color="auto"/>
                            <w:bottom w:val="none" w:sz="0" w:space="0" w:color="auto"/>
                            <w:right w:val="none" w:sz="0" w:space="0" w:color="auto"/>
                          </w:divBdr>
                          <w:divsChild>
                            <w:div w:id="18288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128369">
      <w:bodyDiv w:val="1"/>
      <w:marLeft w:val="0"/>
      <w:marRight w:val="0"/>
      <w:marTop w:val="0"/>
      <w:marBottom w:val="0"/>
      <w:divBdr>
        <w:top w:val="none" w:sz="0" w:space="0" w:color="auto"/>
        <w:left w:val="none" w:sz="0" w:space="0" w:color="auto"/>
        <w:bottom w:val="none" w:sz="0" w:space="0" w:color="auto"/>
        <w:right w:val="none" w:sz="0" w:space="0" w:color="auto"/>
      </w:divBdr>
      <w:divsChild>
        <w:div w:id="747192707">
          <w:marLeft w:val="0"/>
          <w:marRight w:val="0"/>
          <w:marTop w:val="0"/>
          <w:marBottom w:val="0"/>
          <w:divBdr>
            <w:top w:val="none" w:sz="0" w:space="0" w:color="auto"/>
            <w:left w:val="none" w:sz="0" w:space="0" w:color="auto"/>
            <w:bottom w:val="none" w:sz="0" w:space="0" w:color="auto"/>
            <w:right w:val="none" w:sz="0" w:space="0" w:color="auto"/>
          </w:divBdr>
          <w:divsChild>
            <w:div w:id="1899591966">
              <w:marLeft w:val="0"/>
              <w:marRight w:val="0"/>
              <w:marTop w:val="0"/>
              <w:marBottom w:val="0"/>
              <w:divBdr>
                <w:top w:val="none" w:sz="0" w:space="0" w:color="auto"/>
                <w:left w:val="none" w:sz="0" w:space="0" w:color="auto"/>
                <w:bottom w:val="none" w:sz="0" w:space="0" w:color="auto"/>
                <w:right w:val="none" w:sz="0" w:space="0" w:color="auto"/>
              </w:divBdr>
              <w:divsChild>
                <w:div w:id="1636518610">
                  <w:marLeft w:val="0"/>
                  <w:marRight w:val="0"/>
                  <w:marTop w:val="0"/>
                  <w:marBottom w:val="0"/>
                  <w:divBdr>
                    <w:top w:val="none" w:sz="0" w:space="0" w:color="auto"/>
                    <w:left w:val="none" w:sz="0" w:space="0" w:color="auto"/>
                    <w:bottom w:val="none" w:sz="0" w:space="0" w:color="auto"/>
                    <w:right w:val="none" w:sz="0" w:space="0" w:color="auto"/>
                  </w:divBdr>
                  <w:divsChild>
                    <w:div w:id="1530608039">
                      <w:marLeft w:val="0"/>
                      <w:marRight w:val="0"/>
                      <w:marTop w:val="0"/>
                      <w:marBottom w:val="0"/>
                      <w:divBdr>
                        <w:top w:val="none" w:sz="0" w:space="0" w:color="auto"/>
                        <w:left w:val="none" w:sz="0" w:space="0" w:color="auto"/>
                        <w:bottom w:val="none" w:sz="0" w:space="0" w:color="auto"/>
                        <w:right w:val="none" w:sz="0" w:space="0" w:color="auto"/>
                      </w:divBdr>
                      <w:divsChild>
                        <w:div w:id="1747612195">
                          <w:marLeft w:val="0"/>
                          <w:marRight w:val="0"/>
                          <w:marTop w:val="0"/>
                          <w:marBottom w:val="0"/>
                          <w:divBdr>
                            <w:top w:val="none" w:sz="0" w:space="0" w:color="auto"/>
                            <w:left w:val="none" w:sz="0" w:space="0" w:color="auto"/>
                            <w:bottom w:val="none" w:sz="0" w:space="0" w:color="auto"/>
                            <w:right w:val="none" w:sz="0" w:space="0" w:color="auto"/>
                          </w:divBdr>
                          <w:divsChild>
                            <w:div w:id="11395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705549">
      <w:bodyDiv w:val="1"/>
      <w:marLeft w:val="0"/>
      <w:marRight w:val="0"/>
      <w:marTop w:val="0"/>
      <w:marBottom w:val="0"/>
      <w:divBdr>
        <w:top w:val="none" w:sz="0" w:space="0" w:color="auto"/>
        <w:left w:val="none" w:sz="0" w:space="0" w:color="auto"/>
        <w:bottom w:val="none" w:sz="0" w:space="0" w:color="auto"/>
        <w:right w:val="none" w:sz="0" w:space="0" w:color="auto"/>
      </w:divBdr>
      <w:divsChild>
        <w:div w:id="380331595">
          <w:marLeft w:val="0"/>
          <w:marRight w:val="0"/>
          <w:marTop w:val="0"/>
          <w:marBottom w:val="0"/>
          <w:divBdr>
            <w:top w:val="none" w:sz="0" w:space="0" w:color="auto"/>
            <w:left w:val="none" w:sz="0" w:space="0" w:color="auto"/>
            <w:bottom w:val="none" w:sz="0" w:space="0" w:color="auto"/>
            <w:right w:val="none" w:sz="0" w:space="0" w:color="auto"/>
          </w:divBdr>
          <w:divsChild>
            <w:div w:id="305017313">
              <w:marLeft w:val="0"/>
              <w:marRight w:val="0"/>
              <w:marTop w:val="0"/>
              <w:marBottom w:val="0"/>
              <w:divBdr>
                <w:top w:val="none" w:sz="0" w:space="0" w:color="auto"/>
                <w:left w:val="none" w:sz="0" w:space="0" w:color="auto"/>
                <w:bottom w:val="none" w:sz="0" w:space="0" w:color="auto"/>
                <w:right w:val="none" w:sz="0" w:space="0" w:color="auto"/>
              </w:divBdr>
              <w:divsChild>
                <w:div w:id="2030133232">
                  <w:marLeft w:val="0"/>
                  <w:marRight w:val="0"/>
                  <w:marTop w:val="0"/>
                  <w:marBottom w:val="0"/>
                  <w:divBdr>
                    <w:top w:val="none" w:sz="0" w:space="0" w:color="auto"/>
                    <w:left w:val="none" w:sz="0" w:space="0" w:color="auto"/>
                    <w:bottom w:val="none" w:sz="0" w:space="0" w:color="auto"/>
                    <w:right w:val="none" w:sz="0" w:space="0" w:color="auto"/>
                  </w:divBdr>
                  <w:divsChild>
                    <w:div w:id="1959332227">
                      <w:marLeft w:val="0"/>
                      <w:marRight w:val="0"/>
                      <w:marTop w:val="0"/>
                      <w:marBottom w:val="0"/>
                      <w:divBdr>
                        <w:top w:val="none" w:sz="0" w:space="0" w:color="auto"/>
                        <w:left w:val="none" w:sz="0" w:space="0" w:color="auto"/>
                        <w:bottom w:val="none" w:sz="0" w:space="0" w:color="auto"/>
                        <w:right w:val="none" w:sz="0" w:space="0" w:color="auto"/>
                      </w:divBdr>
                      <w:divsChild>
                        <w:div w:id="780609035">
                          <w:marLeft w:val="0"/>
                          <w:marRight w:val="0"/>
                          <w:marTop w:val="0"/>
                          <w:marBottom w:val="0"/>
                          <w:divBdr>
                            <w:top w:val="none" w:sz="0" w:space="0" w:color="auto"/>
                            <w:left w:val="none" w:sz="0" w:space="0" w:color="auto"/>
                            <w:bottom w:val="none" w:sz="0" w:space="0" w:color="auto"/>
                            <w:right w:val="none" w:sz="0" w:space="0" w:color="auto"/>
                          </w:divBdr>
                          <w:divsChild>
                            <w:div w:id="11533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291305">
      <w:bodyDiv w:val="1"/>
      <w:marLeft w:val="0"/>
      <w:marRight w:val="0"/>
      <w:marTop w:val="0"/>
      <w:marBottom w:val="0"/>
      <w:divBdr>
        <w:top w:val="none" w:sz="0" w:space="0" w:color="auto"/>
        <w:left w:val="none" w:sz="0" w:space="0" w:color="auto"/>
        <w:bottom w:val="none" w:sz="0" w:space="0" w:color="auto"/>
        <w:right w:val="none" w:sz="0" w:space="0" w:color="auto"/>
      </w:divBdr>
    </w:div>
    <w:div w:id="205149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
</file>

<file path=customXml/itemProps2.xml>
</file>

<file path=customXml/itemProps3.xml>
</file>

<file path=docProps/app.xml><?xml version="1.0" encoding="utf-8"?>
<Properties xmlns="http://schemas.openxmlformats.org/officeDocument/2006/extended-properties" xmlns:vt="http://schemas.openxmlformats.org/officeDocument/2006/docPropsVTypes">
  <Template>Normal</Template>
  <TotalTime>0</TotalTime>
  <Pages>1</Pages>
  <Words>9022</Words>
  <Characters>51430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60332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dc:description/>
  <cp:lastModifiedBy/>
  <cp:revision>1</cp:revision>
  <cp:lastPrinted>2008-01-17T10:46:00Z</cp:lastPrinted>
  <dcterms:created xsi:type="dcterms:W3CDTF">2013-10-29T08:51:00Z</dcterms:created>
  <dcterms:modified xsi:type="dcterms:W3CDTF">2013-10-29T08:51:00Z</dcterms:modified>
  <cp:category>ECHR Template</cp:category>
</cp:coreProperties>
</file>