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header4.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A6A" w:rsidRDefault="00F71A6A" w:rsidP="00042867">
      <w:pPr>
        <w:jc w:val="center"/>
        <w:rPr>
          <w:lang w:val="en-GB"/>
        </w:rPr>
      </w:pPr>
    </w:p>
    <w:p w:rsidR="006B02D7" w:rsidRDefault="006B02D7" w:rsidP="00042867">
      <w:pPr>
        <w:jc w:val="center"/>
        <w:rPr>
          <w:lang w:val="en-GB"/>
        </w:rPr>
      </w:pPr>
    </w:p>
    <w:p w:rsidR="006B02D7" w:rsidRPr="009476E8" w:rsidRDefault="006B02D7" w:rsidP="00042867">
      <w:pPr>
        <w:jc w:val="center"/>
        <w:rPr>
          <w:lang w:val="en-GB"/>
        </w:rPr>
      </w:pPr>
    </w:p>
    <w:p w:rsidR="00F71A6A" w:rsidRPr="009476E8" w:rsidRDefault="00FA09DC" w:rsidP="00042867">
      <w:pPr>
        <w:jc w:val="center"/>
        <w:rPr>
          <w:lang w:val="en-GB"/>
        </w:rPr>
      </w:pPr>
      <w:r w:rsidRPr="009476E8">
        <w:rPr>
          <w:lang w:val="en-GB"/>
        </w:rPr>
        <w:t>FOURTH SECTION</w:t>
      </w:r>
    </w:p>
    <w:p w:rsidR="00F71A6A" w:rsidRDefault="00F71A6A" w:rsidP="00042867">
      <w:pPr>
        <w:jc w:val="center"/>
        <w:rPr>
          <w:lang w:val="en-GB"/>
        </w:rPr>
      </w:pPr>
    </w:p>
    <w:p w:rsidR="006B02D7" w:rsidRDefault="006B02D7" w:rsidP="00042867">
      <w:pPr>
        <w:jc w:val="center"/>
        <w:rPr>
          <w:lang w:val="en-GB"/>
        </w:rPr>
      </w:pPr>
    </w:p>
    <w:p w:rsidR="006B02D7" w:rsidRDefault="006B02D7" w:rsidP="00042867">
      <w:pPr>
        <w:jc w:val="center"/>
        <w:rPr>
          <w:lang w:val="en-GB"/>
        </w:rPr>
      </w:pPr>
    </w:p>
    <w:p w:rsidR="006B02D7" w:rsidRDefault="006B02D7" w:rsidP="00042867">
      <w:pPr>
        <w:jc w:val="center"/>
        <w:rPr>
          <w:lang w:val="en-GB"/>
        </w:rPr>
      </w:pPr>
    </w:p>
    <w:p w:rsidR="00961B49" w:rsidRDefault="00961B49" w:rsidP="00042867">
      <w:pPr>
        <w:jc w:val="center"/>
        <w:rPr>
          <w:lang w:val="en-GB"/>
        </w:rPr>
      </w:pPr>
    </w:p>
    <w:p w:rsidR="006B02D7" w:rsidRDefault="006B02D7" w:rsidP="00042867">
      <w:pPr>
        <w:jc w:val="center"/>
        <w:rPr>
          <w:lang w:val="en-GB"/>
        </w:rPr>
      </w:pPr>
    </w:p>
    <w:p w:rsidR="006B02D7" w:rsidRPr="009476E8" w:rsidRDefault="006B02D7" w:rsidP="00042867">
      <w:pPr>
        <w:jc w:val="center"/>
        <w:rPr>
          <w:lang w:val="en-GB"/>
        </w:rPr>
      </w:pPr>
    </w:p>
    <w:p w:rsidR="00F71A6A" w:rsidRPr="009476E8" w:rsidRDefault="00F71A6A" w:rsidP="00042867">
      <w:pPr>
        <w:jc w:val="center"/>
        <w:rPr>
          <w:b/>
          <w:lang w:val="en-GB"/>
        </w:rPr>
      </w:pPr>
      <w:bookmarkStart w:id="0" w:name="To"/>
      <w:r w:rsidRPr="009476E8">
        <w:rPr>
          <w:b/>
          <w:lang w:val="en-GB"/>
        </w:rPr>
        <w:t xml:space="preserve">CASE OF </w:t>
      </w:r>
      <w:bookmarkEnd w:id="0"/>
      <w:r w:rsidR="00FA09DC" w:rsidRPr="009476E8">
        <w:rPr>
          <w:b/>
          <w:lang w:val="en-GB"/>
        </w:rPr>
        <w:t>VEISS v. LATVIA</w:t>
      </w:r>
    </w:p>
    <w:p w:rsidR="00F71A6A" w:rsidRPr="009476E8" w:rsidRDefault="00F71A6A" w:rsidP="00042867">
      <w:pPr>
        <w:jc w:val="center"/>
        <w:rPr>
          <w:lang w:val="en-GB"/>
        </w:rPr>
      </w:pPr>
    </w:p>
    <w:p w:rsidR="00F71A6A" w:rsidRPr="009476E8" w:rsidRDefault="00F71A6A" w:rsidP="00042867">
      <w:pPr>
        <w:jc w:val="center"/>
        <w:rPr>
          <w:i/>
          <w:lang w:val="en-GB"/>
        </w:rPr>
      </w:pPr>
      <w:r w:rsidRPr="009476E8">
        <w:rPr>
          <w:i/>
          <w:lang w:val="en-GB"/>
        </w:rPr>
        <w:t>(</w:t>
      </w:r>
      <w:r w:rsidR="00FA09DC" w:rsidRPr="009476E8">
        <w:rPr>
          <w:i/>
          <w:noProof/>
          <w:lang w:val="en-GB"/>
        </w:rPr>
        <w:t>Application no. 15152/12</w:t>
      </w:r>
      <w:r w:rsidRPr="009476E8">
        <w:rPr>
          <w:i/>
          <w:lang w:val="en-GB"/>
        </w:rPr>
        <w:t>)</w:t>
      </w:r>
    </w:p>
    <w:p w:rsidR="00F71A6A" w:rsidRPr="009476E8" w:rsidRDefault="00F71A6A" w:rsidP="00042867">
      <w:pPr>
        <w:jc w:val="center"/>
        <w:rPr>
          <w:lang w:val="en-GB"/>
        </w:rPr>
      </w:pPr>
    </w:p>
    <w:p w:rsidR="00F71A6A" w:rsidRPr="009476E8" w:rsidRDefault="00F71A6A" w:rsidP="00042867">
      <w:pPr>
        <w:jc w:val="center"/>
        <w:rPr>
          <w:lang w:val="en-GB"/>
        </w:rPr>
      </w:pPr>
    </w:p>
    <w:p w:rsidR="00F71A6A" w:rsidRDefault="00F71A6A" w:rsidP="00042867">
      <w:pPr>
        <w:jc w:val="center"/>
        <w:rPr>
          <w:lang w:val="en-GB"/>
        </w:rPr>
      </w:pPr>
    </w:p>
    <w:p w:rsidR="00961B49" w:rsidRPr="009476E8" w:rsidRDefault="00961B49" w:rsidP="00042867">
      <w:pPr>
        <w:jc w:val="center"/>
        <w:rPr>
          <w:lang w:val="en-GB"/>
        </w:rPr>
      </w:pPr>
    </w:p>
    <w:p w:rsidR="00F71A6A" w:rsidRPr="009476E8" w:rsidRDefault="00F71A6A" w:rsidP="00042867">
      <w:pPr>
        <w:jc w:val="center"/>
        <w:rPr>
          <w:lang w:val="en-GB"/>
        </w:rPr>
      </w:pPr>
    </w:p>
    <w:p w:rsidR="00F71A6A" w:rsidRPr="009476E8" w:rsidRDefault="00F71A6A" w:rsidP="00042867">
      <w:pPr>
        <w:jc w:val="center"/>
        <w:rPr>
          <w:lang w:val="en-GB"/>
        </w:rPr>
      </w:pPr>
    </w:p>
    <w:p w:rsidR="00F71A6A" w:rsidRPr="009476E8" w:rsidRDefault="00F71A6A" w:rsidP="00042867">
      <w:pPr>
        <w:jc w:val="center"/>
        <w:rPr>
          <w:lang w:val="en-GB"/>
        </w:rPr>
      </w:pPr>
    </w:p>
    <w:p w:rsidR="00AA2B6A" w:rsidRPr="006B02D7" w:rsidRDefault="006B02D7" w:rsidP="006B02D7">
      <w:pPr>
        <w:jc w:val="center"/>
        <w:rPr>
          <w:szCs w:val="24"/>
          <w:lang w:val="en-GB"/>
        </w:rPr>
      </w:pPr>
      <w:r>
        <w:rPr>
          <w:noProof/>
          <w:szCs w:val="24"/>
          <w:lang w:val="en-GB"/>
        </w:rPr>
        <w:t>JUDGMENT</w:t>
      </w:r>
    </w:p>
    <w:p w:rsidR="006B02D7" w:rsidRDefault="006B02D7" w:rsidP="006B02D7">
      <w:pPr>
        <w:pStyle w:val="JuCase"/>
        <w:ind w:firstLine="0"/>
        <w:jc w:val="center"/>
        <w:rPr>
          <w:b w:val="0"/>
          <w:lang w:val="en-GB"/>
        </w:rPr>
      </w:pPr>
    </w:p>
    <w:p w:rsidR="00961B49" w:rsidRPr="00961B49" w:rsidRDefault="00961B49" w:rsidP="00961B49">
      <w:pPr>
        <w:pStyle w:val="ECHRPara"/>
        <w:rPr>
          <w:lang w:val="en-GB" w:eastAsia="en-US"/>
        </w:rPr>
      </w:pPr>
    </w:p>
    <w:p w:rsidR="006B02D7" w:rsidRDefault="006B02D7" w:rsidP="006B02D7">
      <w:pPr>
        <w:pStyle w:val="JuCase"/>
        <w:ind w:firstLine="0"/>
        <w:jc w:val="center"/>
        <w:rPr>
          <w:b w:val="0"/>
          <w:lang w:val="en-GB"/>
        </w:rPr>
      </w:pPr>
    </w:p>
    <w:p w:rsidR="006B02D7" w:rsidRDefault="006B02D7" w:rsidP="006B02D7">
      <w:pPr>
        <w:pStyle w:val="JuCase"/>
        <w:ind w:firstLine="0"/>
        <w:jc w:val="center"/>
        <w:rPr>
          <w:b w:val="0"/>
          <w:lang w:val="en-GB"/>
        </w:rPr>
      </w:pPr>
      <w:r>
        <w:rPr>
          <w:b w:val="0"/>
          <w:lang w:val="en-GB"/>
        </w:rPr>
        <w:t>STRASBOURG</w:t>
      </w:r>
    </w:p>
    <w:p w:rsidR="006B02D7" w:rsidRDefault="006B02D7" w:rsidP="006B02D7">
      <w:pPr>
        <w:pStyle w:val="JuCase"/>
        <w:ind w:firstLine="0"/>
        <w:jc w:val="center"/>
        <w:rPr>
          <w:b w:val="0"/>
          <w:lang w:val="en-GB"/>
        </w:rPr>
      </w:pPr>
    </w:p>
    <w:p w:rsidR="006B02D7" w:rsidRDefault="006B02D7" w:rsidP="006B02D7">
      <w:pPr>
        <w:pStyle w:val="JuCase"/>
        <w:ind w:firstLine="0"/>
        <w:jc w:val="center"/>
        <w:rPr>
          <w:b w:val="0"/>
          <w:lang w:val="en-GB"/>
        </w:rPr>
      </w:pPr>
      <w:r>
        <w:rPr>
          <w:b w:val="0"/>
          <w:lang w:val="en-GB"/>
        </w:rPr>
        <w:t>28 January 2014</w:t>
      </w:r>
    </w:p>
    <w:p w:rsidR="006B02D7" w:rsidRDefault="006B02D7" w:rsidP="006B02D7">
      <w:pPr>
        <w:pStyle w:val="JuCase"/>
        <w:ind w:firstLine="0"/>
        <w:jc w:val="center"/>
        <w:rPr>
          <w:b w:val="0"/>
          <w:lang w:val="en-GB"/>
        </w:rPr>
      </w:pPr>
    </w:p>
    <w:p w:rsidR="006B02D7" w:rsidRDefault="006B02D7" w:rsidP="006B02D7">
      <w:pPr>
        <w:pStyle w:val="JuCase"/>
        <w:ind w:firstLine="0"/>
        <w:jc w:val="center"/>
        <w:rPr>
          <w:b w:val="0"/>
          <w:lang w:val="en-GB"/>
        </w:rPr>
      </w:pPr>
    </w:p>
    <w:p w:rsidR="00961B49" w:rsidRDefault="00961B49" w:rsidP="00961B49">
      <w:pPr>
        <w:pStyle w:val="ECHRPara"/>
        <w:rPr>
          <w:lang w:val="en-GB" w:eastAsia="en-US"/>
        </w:rPr>
      </w:pPr>
    </w:p>
    <w:p w:rsidR="00961B49" w:rsidRPr="00961B49" w:rsidRDefault="00961B49" w:rsidP="00961B49">
      <w:pPr>
        <w:pStyle w:val="ECHRPara"/>
        <w:rPr>
          <w:lang w:val="en-GB" w:eastAsia="en-US"/>
        </w:rPr>
      </w:pPr>
    </w:p>
    <w:p w:rsidR="006B02D7" w:rsidRDefault="006B02D7" w:rsidP="006B02D7">
      <w:pPr>
        <w:pStyle w:val="JuCase"/>
        <w:ind w:firstLine="0"/>
        <w:jc w:val="left"/>
        <w:rPr>
          <w:b w:val="0"/>
          <w:i/>
          <w:sz w:val="22"/>
          <w:lang w:val="en-GB"/>
        </w:rPr>
      </w:pPr>
      <w:r>
        <w:rPr>
          <w:b w:val="0"/>
          <w:i/>
          <w:sz w:val="22"/>
          <w:lang w:val="en-GB"/>
        </w:rPr>
        <w:t>This judgment will become final in the circumstances set out in Article 44 § 2 of the Convention. It may be subject to editorial revision.</w:t>
      </w:r>
    </w:p>
    <w:p w:rsidR="00961B49" w:rsidRDefault="00961B49" w:rsidP="00961B49">
      <w:pPr>
        <w:pStyle w:val="ECHRPara"/>
        <w:rPr>
          <w:lang w:val="en-GB" w:eastAsia="en-US"/>
        </w:rPr>
      </w:pPr>
    </w:p>
    <w:p w:rsidR="00961B49" w:rsidRPr="00961B49" w:rsidRDefault="00961B49" w:rsidP="00961B49">
      <w:pPr>
        <w:pStyle w:val="ECHRPara"/>
        <w:rPr>
          <w:lang w:val="en-GB" w:eastAsia="en-US"/>
        </w:rPr>
        <w:sectPr w:rsidR="00961B49" w:rsidRPr="00961B49" w:rsidSect="006B02D7">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code="9"/>
          <w:pgMar w:top="2274" w:right="2274" w:bottom="2274" w:left="2274" w:header="1701" w:footer="720" w:gutter="0"/>
          <w:pgNumType w:start="1"/>
          <w:cols w:space="720"/>
          <w:titlePg/>
          <w:docGrid w:linePitch="326"/>
        </w:sectPr>
      </w:pPr>
    </w:p>
    <w:p w:rsidR="00B030BE" w:rsidRPr="009476E8" w:rsidRDefault="00F71A6A" w:rsidP="00B030BE">
      <w:pPr>
        <w:pStyle w:val="JuCase"/>
        <w:rPr>
          <w:b w:val="0"/>
          <w:bCs/>
          <w:lang w:val="en-GB"/>
        </w:rPr>
      </w:pPr>
      <w:r w:rsidRPr="009476E8">
        <w:rPr>
          <w:lang w:val="en-GB"/>
        </w:rPr>
        <w:t>In the case of</w:t>
      </w:r>
      <w:r w:rsidR="00B030BE" w:rsidRPr="009476E8">
        <w:rPr>
          <w:lang w:val="en-GB"/>
        </w:rPr>
        <w:t xml:space="preserve"> </w:t>
      </w:r>
      <w:r w:rsidR="00FA09DC" w:rsidRPr="009476E8">
        <w:rPr>
          <w:lang w:val="en-GB"/>
        </w:rPr>
        <w:t>Veiss v. Latvia</w:t>
      </w:r>
      <w:r w:rsidR="00B030BE" w:rsidRPr="009476E8">
        <w:rPr>
          <w:lang w:val="en-GB"/>
        </w:rPr>
        <w:t>,</w:t>
      </w:r>
    </w:p>
    <w:p w:rsidR="00730433" w:rsidRPr="009476E8" w:rsidRDefault="00F71A6A" w:rsidP="00B030BE">
      <w:pPr>
        <w:pStyle w:val="JuCase"/>
        <w:rPr>
          <w:b w:val="0"/>
          <w:bCs/>
          <w:szCs w:val="24"/>
          <w:lang w:val="en-GB"/>
        </w:rPr>
      </w:pPr>
      <w:r w:rsidRPr="009476E8">
        <w:rPr>
          <w:b w:val="0"/>
          <w:bCs/>
          <w:szCs w:val="24"/>
          <w:lang w:val="en-GB"/>
        </w:rPr>
        <w:t>The European Court of Human Rights (</w:t>
      </w:r>
      <w:r w:rsidR="00FA09DC" w:rsidRPr="009476E8">
        <w:rPr>
          <w:b w:val="0"/>
          <w:bCs/>
          <w:szCs w:val="24"/>
          <w:lang w:val="en-GB"/>
        </w:rPr>
        <w:t>Fourth Section</w:t>
      </w:r>
      <w:r w:rsidRPr="009476E8">
        <w:rPr>
          <w:b w:val="0"/>
          <w:bCs/>
          <w:szCs w:val="24"/>
          <w:lang w:val="en-GB"/>
        </w:rPr>
        <w:t xml:space="preserve">), sitting as a </w:t>
      </w:r>
      <w:r w:rsidR="00FA09DC" w:rsidRPr="009476E8">
        <w:rPr>
          <w:b w:val="0"/>
          <w:bCs/>
          <w:noProof/>
          <w:szCs w:val="24"/>
          <w:lang w:val="en-GB"/>
        </w:rPr>
        <w:t>Chamber</w:t>
      </w:r>
      <w:r w:rsidR="00730433" w:rsidRPr="009476E8">
        <w:rPr>
          <w:b w:val="0"/>
          <w:bCs/>
          <w:szCs w:val="24"/>
          <w:lang w:val="en-GB"/>
        </w:rPr>
        <w:t xml:space="preserve"> composed of:</w:t>
      </w:r>
    </w:p>
    <w:p w:rsidR="00F71A6A" w:rsidRPr="006B02D7" w:rsidRDefault="006B02D7" w:rsidP="008824B9">
      <w:pPr>
        <w:pStyle w:val="ECHRDecisionBody"/>
        <w:rPr>
          <w:lang w:val="en-US"/>
        </w:rPr>
      </w:pPr>
      <w:r w:rsidRPr="006B02D7">
        <w:rPr>
          <w:lang w:val="en-US"/>
        </w:rPr>
        <w:tab/>
        <w:t>Päivi Hirvelä,</w:t>
      </w:r>
      <w:r w:rsidRPr="006B02D7">
        <w:rPr>
          <w:i/>
          <w:lang w:val="en-US"/>
        </w:rPr>
        <w:t xml:space="preserve"> President,</w:t>
      </w:r>
      <w:r w:rsidRPr="006B02D7">
        <w:rPr>
          <w:i/>
          <w:lang w:val="en-US"/>
        </w:rPr>
        <w:br/>
      </w:r>
      <w:r w:rsidRPr="006B02D7">
        <w:rPr>
          <w:lang w:val="en-US"/>
        </w:rPr>
        <w:tab/>
        <w:t>Ineta Ziemele,</w:t>
      </w:r>
      <w:r w:rsidRPr="006B02D7">
        <w:rPr>
          <w:i/>
          <w:lang w:val="en-US"/>
        </w:rPr>
        <w:br/>
      </w:r>
      <w:r w:rsidRPr="006B02D7">
        <w:rPr>
          <w:lang w:val="en-US"/>
        </w:rPr>
        <w:tab/>
        <w:t>George Nicolaou,</w:t>
      </w:r>
      <w:r w:rsidRPr="006B02D7">
        <w:rPr>
          <w:i/>
          <w:lang w:val="en-US"/>
        </w:rPr>
        <w:br/>
      </w:r>
      <w:r w:rsidRPr="006B02D7">
        <w:rPr>
          <w:lang w:val="en-US"/>
        </w:rPr>
        <w:tab/>
        <w:t>Ledi Bianku,</w:t>
      </w:r>
      <w:r w:rsidRPr="006B02D7">
        <w:rPr>
          <w:i/>
          <w:lang w:val="en-US"/>
        </w:rPr>
        <w:br/>
      </w:r>
      <w:r w:rsidRPr="006B02D7">
        <w:rPr>
          <w:lang w:val="en-US"/>
        </w:rPr>
        <w:tab/>
        <w:t>Zdravka Kalaydjieva,</w:t>
      </w:r>
      <w:r w:rsidRPr="006B02D7">
        <w:rPr>
          <w:i/>
          <w:lang w:val="en-US"/>
        </w:rPr>
        <w:br/>
      </w:r>
      <w:r w:rsidRPr="006B02D7">
        <w:rPr>
          <w:lang w:val="en-US"/>
        </w:rPr>
        <w:tab/>
        <w:t>Krzysztof Wojtyczek,</w:t>
      </w:r>
      <w:r w:rsidRPr="006B02D7">
        <w:rPr>
          <w:i/>
          <w:lang w:val="en-US"/>
        </w:rPr>
        <w:br/>
      </w:r>
      <w:r w:rsidRPr="006B02D7">
        <w:rPr>
          <w:lang w:val="en-US"/>
        </w:rPr>
        <w:tab/>
        <w:t>Faris Vehabović,</w:t>
      </w:r>
      <w:r w:rsidRPr="006B02D7">
        <w:rPr>
          <w:i/>
          <w:lang w:val="en-US"/>
        </w:rPr>
        <w:t xml:space="preserve"> judges,</w:t>
      </w:r>
      <w:r w:rsidR="00337600" w:rsidRPr="006B02D7">
        <w:rPr>
          <w:szCs w:val="24"/>
          <w:lang w:val="en-US"/>
        </w:rPr>
        <w:br/>
      </w:r>
      <w:r w:rsidR="00F71A6A" w:rsidRPr="006B02D7">
        <w:rPr>
          <w:lang w:val="en-US"/>
        </w:rPr>
        <w:t>and</w:t>
      </w:r>
      <w:r w:rsidR="000726F6" w:rsidRPr="006B02D7">
        <w:rPr>
          <w:lang w:val="en-US"/>
        </w:rPr>
        <w:t xml:space="preserve"> </w:t>
      </w:r>
      <w:r w:rsidR="001D2955" w:rsidRPr="006B02D7">
        <w:rPr>
          <w:noProof/>
          <w:lang w:val="en-US"/>
        </w:rPr>
        <w:t xml:space="preserve">Fatoş Aracı, </w:t>
      </w:r>
      <w:r w:rsidR="001D2955" w:rsidRPr="006B02D7">
        <w:rPr>
          <w:i/>
          <w:noProof/>
          <w:lang w:val="en-US"/>
        </w:rPr>
        <w:t>Deputy Section Registrar</w:t>
      </w:r>
      <w:r w:rsidR="00F71A6A" w:rsidRPr="006B02D7">
        <w:rPr>
          <w:i/>
          <w:lang w:val="en-US"/>
        </w:rPr>
        <w:t>,</w:t>
      </w:r>
    </w:p>
    <w:p w:rsidR="00F71A6A" w:rsidRPr="009476E8" w:rsidRDefault="00F71A6A" w:rsidP="002F4BCF">
      <w:pPr>
        <w:pStyle w:val="ECHRPara"/>
        <w:rPr>
          <w:lang w:val="en-GB"/>
        </w:rPr>
      </w:pPr>
      <w:r w:rsidRPr="009476E8">
        <w:rPr>
          <w:lang w:val="en-GB"/>
        </w:rPr>
        <w:t xml:space="preserve">Having deliberated in private on </w:t>
      </w:r>
      <w:r w:rsidR="001D2955">
        <w:rPr>
          <w:lang w:val="en-GB"/>
        </w:rPr>
        <w:t>7 January 2014</w:t>
      </w:r>
      <w:r w:rsidRPr="009476E8">
        <w:rPr>
          <w:lang w:val="en-GB"/>
        </w:rPr>
        <w:t>,</w:t>
      </w:r>
    </w:p>
    <w:p w:rsidR="00F71A6A" w:rsidRPr="009476E8" w:rsidRDefault="00F71A6A" w:rsidP="002F4BCF">
      <w:pPr>
        <w:pStyle w:val="ECHRPara"/>
        <w:rPr>
          <w:lang w:val="en-GB"/>
        </w:rPr>
      </w:pPr>
      <w:r w:rsidRPr="009476E8">
        <w:rPr>
          <w:lang w:val="en-GB"/>
        </w:rPr>
        <w:t>Delivers the following judgment, which was adopted on that date:</w:t>
      </w:r>
    </w:p>
    <w:p w:rsidR="00F71A6A" w:rsidRPr="006B02D7" w:rsidRDefault="00F71A6A" w:rsidP="008824B9">
      <w:pPr>
        <w:pStyle w:val="ECHRTitle1"/>
        <w:rPr>
          <w:lang w:val="en-GB"/>
        </w:rPr>
      </w:pPr>
      <w:r w:rsidRPr="006B02D7">
        <w:rPr>
          <w:lang w:val="en-GB"/>
        </w:rPr>
        <w:t>PROCEDURE</w:t>
      </w:r>
    </w:p>
    <w:p w:rsidR="00FA09DC" w:rsidRPr="006B02D7" w:rsidRDefault="00FA09DC" w:rsidP="00893782">
      <w:pPr>
        <w:pStyle w:val="ECHRPara"/>
        <w:rPr>
          <w:lang w:val="en-GB"/>
        </w:rPr>
      </w:pPr>
      <w:r w:rsidRPr="006B02D7">
        <w:rPr>
          <w:lang w:val="en-GB"/>
        </w:rPr>
        <w:fldChar w:fldCharType="begin"/>
      </w:r>
      <w:r w:rsidRPr="006B02D7">
        <w:rPr>
          <w:lang w:val="en-GB"/>
        </w:rPr>
        <w:instrText xml:space="preserve"> SEQ level0 \*arabic </w:instrText>
      </w:r>
      <w:r w:rsidRPr="006B02D7">
        <w:rPr>
          <w:lang w:val="en-GB"/>
        </w:rPr>
        <w:fldChar w:fldCharType="separate"/>
      </w:r>
      <w:r w:rsidR="009675D9">
        <w:rPr>
          <w:noProof/>
          <w:lang w:val="en-GB"/>
        </w:rPr>
        <w:t>1</w:t>
      </w:r>
      <w:r w:rsidRPr="006B02D7">
        <w:rPr>
          <w:lang w:val="en-GB"/>
        </w:rPr>
        <w:fldChar w:fldCharType="end"/>
      </w:r>
      <w:r w:rsidR="00F71A6A" w:rsidRPr="006B02D7">
        <w:rPr>
          <w:lang w:val="en-GB"/>
        </w:rPr>
        <w:t xml:space="preserve">.  The case originated in </w:t>
      </w:r>
      <w:r w:rsidRPr="006B02D7">
        <w:rPr>
          <w:noProof/>
          <w:lang w:val="en-GB"/>
        </w:rPr>
        <w:t>an application (no.</w:t>
      </w:r>
      <w:r w:rsidR="0040238B" w:rsidRPr="006B02D7">
        <w:rPr>
          <w:noProof/>
          <w:lang w:val="en-GB"/>
        </w:rPr>
        <w:t> </w:t>
      </w:r>
      <w:r w:rsidRPr="006B02D7">
        <w:rPr>
          <w:noProof/>
          <w:lang w:val="en-GB"/>
        </w:rPr>
        <w:t>15152/12)</w:t>
      </w:r>
      <w:r w:rsidR="00F71A6A" w:rsidRPr="006B02D7">
        <w:rPr>
          <w:lang w:val="en-GB"/>
        </w:rPr>
        <w:t xml:space="preserve"> against </w:t>
      </w:r>
      <w:r w:rsidRPr="006B02D7">
        <w:rPr>
          <w:lang w:val="en-GB"/>
        </w:rPr>
        <w:t>the Republic of Latvia</w:t>
      </w:r>
      <w:r w:rsidR="00F71A6A" w:rsidRPr="006B02D7">
        <w:rPr>
          <w:lang w:val="en-GB"/>
        </w:rPr>
        <w:t xml:space="preserve"> lodged with the </w:t>
      </w:r>
      <w:r w:rsidRPr="006B02D7">
        <w:rPr>
          <w:noProof/>
          <w:lang w:val="en-GB"/>
        </w:rPr>
        <w:t>Court under Article</w:t>
      </w:r>
      <w:r w:rsidR="00181A0C" w:rsidRPr="006B02D7">
        <w:rPr>
          <w:noProof/>
          <w:lang w:val="en-GB"/>
        </w:rPr>
        <w:t> </w:t>
      </w:r>
      <w:r w:rsidRPr="006B02D7">
        <w:rPr>
          <w:noProof/>
          <w:lang w:val="en-GB"/>
        </w:rPr>
        <w:t>34</w:t>
      </w:r>
      <w:r w:rsidR="004920B1" w:rsidRPr="006B02D7">
        <w:rPr>
          <w:lang w:val="en-GB"/>
        </w:rPr>
        <w:t xml:space="preserve"> of the Convention for the Protection of Human Rights and Fundamental Freedoms (“the Convention”)</w:t>
      </w:r>
      <w:r w:rsidR="00F71A6A" w:rsidRPr="006B02D7">
        <w:rPr>
          <w:lang w:val="en-GB"/>
        </w:rPr>
        <w:t xml:space="preserve"> by </w:t>
      </w:r>
      <w:r w:rsidRPr="006B02D7">
        <w:rPr>
          <w:noProof/>
          <w:lang w:val="en-GB"/>
        </w:rPr>
        <w:t>a Latvian national, Mr Ints Veiss (“the applicant”), on 2 October 2012</w:t>
      </w:r>
      <w:r w:rsidR="00F71A6A" w:rsidRPr="006B02D7">
        <w:rPr>
          <w:lang w:val="en-GB"/>
        </w:rPr>
        <w:t>.</w:t>
      </w:r>
    </w:p>
    <w:p w:rsidR="00FA09DC" w:rsidRPr="006B02D7" w:rsidRDefault="00FA09DC" w:rsidP="002F4BCF">
      <w:pPr>
        <w:pStyle w:val="ECHRPara"/>
        <w:rPr>
          <w:noProof/>
          <w:lang w:val="en-GB"/>
        </w:rPr>
      </w:pPr>
      <w:r w:rsidRPr="006B02D7">
        <w:rPr>
          <w:lang w:val="en-GB"/>
        </w:rPr>
        <w:fldChar w:fldCharType="begin"/>
      </w:r>
      <w:r w:rsidRPr="006B02D7">
        <w:rPr>
          <w:lang w:val="en-GB"/>
        </w:rPr>
        <w:instrText xml:space="preserve"> SEQ level0 \*arabic </w:instrText>
      </w:r>
      <w:r w:rsidRPr="006B02D7">
        <w:rPr>
          <w:lang w:val="en-GB"/>
        </w:rPr>
        <w:fldChar w:fldCharType="separate"/>
      </w:r>
      <w:r w:rsidR="009675D9">
        <w:rPr>
          <w:noProof/>
          <w:lang w:val="en-GB"/>
        </w:rPr>
        <w:t>2</w:t>
      </w:r>
      <w:r w:rsidRPr="006B02D7">
        <w:rPr>
          <w:lang w:val="en-GB"/>
        </w:rPr>
        <w:fldChar w:fldCharType="end"/>
      </w:r>
      <w:r w:rsidR="00F71A6A" w:rsidRPr="006B02D7">
        <w:rPr>
          <w:lang w:val="en-GB"/>
        </w:rPr>
        <w:t>.  </w:t>
      </w:r>
      <w:r w:rsidRPr="006B02D7">
        <w:rPr>
          <w:noProof/>
          <w:lang w:val="en-GB"/>
        </w:rPr>
        <w:t xml:space="preserve">The applicant was represented by Ms S. Finka, a lawyer practising in Riga. </w:t>
      </w:r>
      <w:r w:rsidR="00F71A6A" w:rsidRPr="006B02D7">
        <w:rPr>
          <w:lang w:val="en-GB"/>
        </w:rPr>
        <w:t xml:space="preserve">The </w:t>
      </w:r>
      <w:r w:rsidRPr="006B02D7">
        <w:rPr>
          <w:lang w:val="en-GB"/>
        </w:rPr>
        <w:t>Latvian</w:t>
      </w:r>
      <w:r w:rsidR="00F71A6A" w:rsidRPr="006B02D7">
        <w:rPr>
          <w:lang w:val="en-GB"/>
        </w:rPr>
        <w:t xml:space="preserve"> Government (“the Government”) were represented by their Agent, Mrs </w:t>
      </w:r>
      <w:r w:rsidR="009503A8" w:rsidRPr="006B02D7">
        <w:rPr>
          <w:lang w:val="en-GB"/>
        </w:rPr>
        <w:t>K. Līce</w:t>
      </w:r>
      <w:r w:rsidR="00F71A6A" w:rsidRPr="006B02D7">
        <w:rPr>
          <w:lang w:val="en-GB"/>
        </w:rPr>
        <w:t>.</w:t>
      </w:r>
    </w:p>
    <w:p w:rsidR="00F71A6A" w:rsidRPr="006B02D7" w:rsidRDefault="00FA09DC" w:rsidP="00865450">
      <w:pPr>
        <w:pStyle w:val="ECHRPara"/>
        <w:rPr>
          <w:lang w:val="en-GB"/>
        </w:rPr>
      </w:pPr>
      <w:r w:rsidRPr="006B02D7">
        <w:rPr>
          <w:noProof/>
          <w:lang w:val="en-GB"/>
        </w:rPr>
        <w:fldChar w:fldCharType="begin"/>
      </w:r>
      <w:r w:rsidRPr="006B02D7">
        <w:rPr>
          <w:noProof/>
          <w:lang w:val="en-GB"/>
        </w:rPr>
        <w:instrText xml:space="preserve"> SEQ level0 \*arabic </w:instrText>
      </w:r>
      <w:r w:rsidRPr="006B02D7">
        <w:rPr>
          <w:noProof/>
          <w:lang w:val="en-GB"/>
        </w:rPr>
        <w:fldChar w:fldCharType="separate"/>
      </w:r>
      <w:r w:rsidR="009675D9">
        <w:rPr>
          <w:noProof/>
          <w:lang w:val="en-GB"/>
        </w:rPr>
        <w:t>3</w:t>
      </w:r>
      <w:r w:rsidRPr="006B02D7">
        <w:rPr>
          <w:noProof/>
          <w:lang w:val="en-GB"/>
        </w:rPr>
        <w:fldChar w:fldCharType="end"/>
      </w:r>
      <w:r w:rsidRPr="006B02D7">
        <w:rPr>
          <w:noProof/>
          <w:lang w:val="en-GB"/>
        </w:rPr>
        <w:t>.  The applicant alleged, in particular,</w:t>
      </w:r>
      <w:r w:rsidR="0013556D" w:rsidRPr="006B02D7">
        <w:rPr>
          <w:noProof/>
          <w:lang w:val="en-GB"/>
        </w:rPr>
        <w:t xml:space="preserve"> that </w:t>
      </w:r>
      <w:r w:rsidR="00527D86" w:rsidRPr="006B02D7">
        <w:rPr>
          <w:noProof/>
          <w:lang w:val="en-GB"/>
        </w:rPr>
        <w:t xml:space="preserve">his right to a hearing within a reasonable time had been breached in </w:t>
      </w:r>
      <w:r w:rsidR="0013556D" w:rsidRPr="006B02D7">
        <w:rPr>
          <w:noProof/>
          <w:lang w:val="en-GB"/>
        </w:rPr>
        <w:t xml:space="preserve">the civil proceedings in which he </w:t>
      </w:r>
      <w:r w:rsidR="00527D86" w:rsidRPr="006B02D7">
        <w:rPr>
          <w:noProof/>
          <w:lang w:val="en-GB"/>
        </w:rPr>
        <w:t xml:space="preserve">had </w:t>
      </w:r>
      <w:r w:rsidR="0013556D" w:rsidRPr="006B02D7">
        <w:rPr>
          <w:noProof/>
          <w:lang w:val="en-GB"/>
        </w:rPr>
        <w:t xml:space="preserve">sought to be officially recorded as </w:t>
      </w:r>
      <w:r w:rsidR="002830A0" w:rsidRPr="006B02D7">
        <w:rPr>
          <w:noProof/>
          <w:lang w:val="en-GB"/>
        </w:rPr>
        <w:t xml:space="preserve">the </w:t>
      </w:r>
      <w:r w:rsidR="0013556D" w:rsidRPr="006B02D7">
        <w:rPr>
          <w:noProof/>
          <w:lang w:val="en-GB"/>
        </w:rPr>
        <w:t>father of a child</w:t>
      </w:r>
      <w:r w:rsidR="00527D86" w:rsidRPr="006B02D7">
        <w:rPr>
          <w:noProof/>
          <w:lang w:val="en-GB"/>
        </w:rPr>
        <w:t>,</w:t>
      </w:r>
      <w:r w:rsidR="00961B49">
        <w:rPr>
          <w:noProof/>
          <w:lang w:val="en-GB"/>
        </w:rPr>
        <w:t xml:space="preserve"> </w:t>
      </w:r>
      <w:r w:rsidR="00456F94" w:rsidRPr="006B02D7">
        <w:rPr>
          <w:noProof/>
          <w:lang w:val="en-GB"/>
        </w:rPr>
        <w:t>and that his right to respect for his private and family life had been infringed</w:t>
      </w:r>
      <w:r w:rsidRPr="006B02D7">
        <w:rPr>
          <w:noProof/>
          <w:lang w:val="en-GB"/>
        </w:rPr>
        <w:t>.</w:t>
      </w:r>
    </w:p>
    <w:p w:rsidR="003A64D3" w:rsidRPr="006B02D7" w:rsidRDefault="00FA09DC" w:rsidP="0021254C">
      <w:pPr>
        <w:pStyle w:val="ECHRPara"/>
        <w:rPr>
          <w:lang w:val="en-GB"/>
        </w:rPr>
      </w:pPr>
      <w:r w:rsidRPr="006B02D7">
        <w:rPr>
          <w:lang w:val="en-GB"/>
        </w:rPr>
        <w:fldChar w:fldCharType="begin"/>
      </w:r>
      <w:r w:rsidRPr="006B02D7">
        <w:rPr>
          <w:lang w:val="en-GB"/>
        </w:rPr>
        <w:instrText xml:space="preserve"> SEQ level0 \*arabic </w:instrText>
      </w:r>
      <w:r w:rsidRPr="006B02D7">
        <w:rPr>
          <w:lang w:val="en-GB"/>
        </w:rPr>
        <w:fldChar w:fldCharType="separate"/>
      </w:r>
      <w:r w:rsidR="009675D9">
        <w:rPr>
          <w:noProof/>
          <w:lang w:val="en-GB"/>
        </w:rPr>
        <w:t>4</w:t>
      </w:r>
      <w:r w:rsidRPr="006B02D7">
        <w:rPr>
          <w:lang w:val="en-GB"/>
        </w:rPr>
        <w:fldChar w:fldCharType="end"/>
      </w:r>
      <w:r w:rsidR="00F71A6A" w:rsidRPr="006B02D7">
        <w:rPr>
          <w:lang w:val="en-GB"/>
        </w:rPr>
        <w:t xml:space="preserve">.  On </w:t>
      </w:r>
      <w:r w:rsidRPr="006B02D7">
        <w:rPr>
          <w:noProof/>
          <w:szCs w:val="24"/>
          <w:lang w:val="en-GB"/>
        </w:rPr>
        <w:t>14</w:t>
      </w:r>
      <w:r w:rsidR="0040238B" w:rsidRPr="006B02D7">
        <w:rPr>
          <w:noProof/>
          <w:szCs w:val="24"/>
          <w:lang w:val="en-GB"/>
        </w:rPr>
        <w:t> </w:t>
      </w:r>
      <w:r w:rsidRPr="006B02D7">
        <w:rPr>
          <w:noProof/>
          <w:szCs w:val="24"/>
          <w:lang w:val="en-GB"/>
        </w:rPr>
        <w:t>January 2013</w:t>
      </w:r>
      <w:r w:rsidR="00F71A6A" w:rsidRPr="006B02D7">
        <w:rPr>
          <w:lang w:val="en-GB"/>
        </w:rPr>
        <w:t xml:space="preserve"> </w:t>
      </w:r>
      <w:r w:rsidR="0009409F" w:rsidRPr="006B02D7">
        <w:rPr>
          <w:lang w:val="en-GB"/>
        </w:rPr>
        <w:t xml:space="preserve">the </w:t>
      </w:r>
      <w:r w:rsidRPr="006B02D7">
        <w:rPr>
          <w:noProof/>
          <w:lang w:val="en-GB"/>
        </w:rPr>
        <w:t>application was</w:t>
      </w:r>
      <w:r w:rsidR="0009409F" w:rsidRPr="006B02D7">
        <w:rPr>
          <w:lang w:val="en-GB"/>
        </w:rPr>
        <w:t xml:space="preserve"> communicated </w:t>
      </w:r>
      <w:r w:rsidR="00F71A6A" w:rsidRPr="006B02D7">
        <w:rPr>
          <w:lang w:val="en-GB"/>
        </w:rPr>
        <w:t>to the Gove</w:t>
      </w:r>
      <w:r w:rsidR="00485A6F" w:rsidRPr="006B02D7">
        <w:rPr>
          <w:lang w:val="en-GB"/>
        </w:rPr>
        <w:t>rnment.</w:t>
      </w:r>
    </w:p>
    <w:p w:rsidR="00F71A6A" w:rsidRPr="006B02D7" w:rsidRDefault="00F71A6A" w:rsidP="008824B9">
      <w:pPr>
        <w:pStyle w:val="ECHRTitle1"/>
        <w:rPr>
          <w:lang w:val="en-GB"/>
        </w:rPr>
      </w:pPr>
      <w:r w:rsidRPr="006B02D7">
        <w:rPr>
          <w:lang w:val="en-GB"/>
        </w:rPr>
        <w:t>THE FACTS</w:t>
      </w:r>
    </w:p>
    <w:p w:rsidR="00D353F4" w:rsidRPr="006B02D7" w:rsidRDefault="007352DD" w:rsidP="007D0F5D">
      <w:pPr>
        <w:pStyle w:val="ECHRHeading1"/>
        <w:rPr>
          <w:lang w:val="en-GB"/>
        </w:rPr>
      </w:pPr>
      <w:r w:rsidRPr="006B02D7">
        <w:rPr>
          <w:lang w:val="en-GB"/>
        </w:rPr>
        <w:t xml:space="preserve">I.  THE CIRCUMSTANCES OF THE </w:t>
      </w:r>
      <w:r w:rsidR="00D353F4" w:rsidRPr="006B02D7">
        <w:rPr>
          <w:lang w:val="en-GB"/>
        </w:rPr>
        <w:t>CASE</w:t>
      </w:r>
    </w:p>
    <w:p w:rsidR="00F71A6A" w:rsidRPr="006B02D7" w:rsidRDefault="00FA09DC" w:rsidP="002F4BCF">
      <w:pPr>
        <w:pStyle w:val="ECHRPara"/>
        <w:rPr>
          <w:lang w:val="en-GB"/>
        </w:rPr>
      </w:pPr>
      <w:r w:rsidRPr="006B02D7">
        <w:rPr>
          <w:lang w:val="en-GB"/>
        </w:rPr>
        <w:fldChar w:fldCharType="begin"/>
      </w:r>
      <w:r w:rsidRPr="006B02D7">
        <w:rPr>
          <w:lang w:val="en-GB"/>
        </w:rPr>
        <w:instrText xml:space="preserve"> SEQ level0 \*arabic </w:instrText>
      </w:r>
      <w:r w:rsidRPr="006B02D7">
        <w:rPr>
          <w:lang w:val="en-GB"/>
        </w:rPr>
        <w:fldChar w:fldCharType="separate"/>
      </w:r>
      <w:r w:rsidR="009675D9">
        <w:rPr>
          <w:noProof/>
          <w:lang w:val="en-GB"/>
        </w:rPr>
        <w:t>5</w:t>
      </w:r>
      <w:r w:rsidRPr="006B02D7">
        <w:rPr>
          <w:lang w:val="en-GB"/>
        </w:rPr>
        <w:fldChar w:fldCharType="end"/>
      </w:r>
      <w:r w:rsidR="00F71A6A" w:rsidRPr="006B02D7">
        <w:rPr>
          <w:lang w:val="en-GB"/>
        </w:rPr>
        <w:t xml:space="preserve">.  The </w:t>
      </w:r>
      <w:r w:rsidRPr="006B02D7">
        <w:rPr>
          <w:noProof/>
          <w:lang w:val="en-GB"/>
        </w:rPr>
        <w:t>applicant was born in 1965 and lives</w:t>
      </w:r>
      <w:r w:rsidR="00F71A6A" w:rsidRPr="006B02D7">
        <w:rPr>
          <w:lang w:val="en-GB"/>
        </w:rPr>
        <w:t xml:space="preserve"> in </w:t>
      </w:r>
      <w:r w:rsidRPr="006B02D7">
        <w:rPr>
          <w:noProof/>
          <w:lang w:val="en-GB"/>
        </w:rPr>
        <w:t>Riga</w:t>
      </w:r>
      <w:r w:rsidR="00F71A6A" w:rsidRPr="006B02D7">
        <w:rPr>
          <w:lang w:val="en-GB"/>
        </w:rPr>
        <w:t>.</w:t>
      </w:r>
    </w:p>
    <w:p w:rsidR="009476E8" w:rsidRPr="006B02D7" w:rsidRDefault="00FA09DC" w:rsidP="009476E8">
      <w:pPr>
        <w:pStyle w:val="ECHRPara"/>
        <w:rPr>
          <w:lang w:val="en-GB"/>
        </w:rPr>
      </w:pPr>
      <w:r w:rsidRPr="006B02D7">
        <w:rPr>
          <w:lang w:val="en-GB"/>
        </w:rPr>
        <w:fldChar w:fldCharType="begin"/>
      </w:r>
      <w:r w:rsidRPr="006B02D7">
        <w:rPr>
          <w:lang w:val="en-GB"/>
        </w:rPr>
        <w:instrText xml:space="preserve"> SEQ level0 \*arabic </w:instrText>
      </w:r>
      <w:r w:rsidRPr="006B02D7">
        <w:rPr>
          <w:lang w:val="en-GB"/>
        </w:rPr>
        <w:fldChar w:fldCharType="separate"/>
      </w:r>
      <w:r w:rsidR="009675D9">
        <w:rPr>
          <w:noProof/>
          <w:lang w:val="en-GB"/>
        </w:rPr>
        <w:t>6</w:t>
      </w:r>
      <w:r w:rsidRPr="006B02D7">
        <w:rPr>
          <w:lang w:val="en-GB"/>
        </w:rPr>
        <w:fldChar w:fldCharType="end"/>
      </w:r>
      <w:r w:rsidR="00F71A6A" w:rsidRPr="006B02D7">
        <w:rPr>
          <w:lang w:val="en-GB"/>
        </w:rPr>
        <w:t>.  </w:t>
      </w:r>
      <w:r w:rsidR="002830A0" w:rsidRPr="006B02D7">
        <w:rPr>
          <w:lang w:val="en-GB"/>
        </w:rPr>
        <w:t>T</w:t>
      </w:r>
      <w:r w:rsidR="009476E8" w:rsidRPr="006B02D7">
        <w:rPr>
          <w:lang w:val="en-GB"/>
        </w:rPr>
        <w:t xml:space="preserve">he applicant </w:t>
      </w:r>
      <w:r w:rsidR="002830A0" w:rsidRPr="006B02D7">
        <w:rPr>
          <w:lang w:val="en-GB"/>
        </w:rPr>
        <w:t xml:space="preserve">had been living </w:t>
      </w:r>
      <w:r w:rsidR="009476E8" w:rsidRPr="006B02D7">
        <w:rPr>
          <w:lang w:val="en-GB"/>
        </w:rPr>
        <w:t>with A.Z.</w:t>
      </w:r>
      <w:r w:rsidR="002830A0" w:rsidRPr="006B02D7">
        <w:rPr>
          <w:lang w:val="en-GB"/>
        </w:rPr>
        <w:t xml:space="preserve"> since the summer of 2005.</w:t>
      </w:r>
      <w:r w:rsidR="00961B49">
        <w:rPr>
          <w:lang w:val="en-GB"/>
        </w:rPr>
        <w:t xml:space="preserve"> </w:t>
      </w:r>
      <w:r w:rsidR="009476E8" w:rsidRPr="006B02D7">
        <w:rPr>
          <w:lang w:val="en-GB"/>
        </w:rPr>
        <w:t>They were not married. In the course of that year</w:t>
      </w:r>
      <w:r w:rsidR="002830A0" w:rsidRPr="006B02D7">
        <w:rPr>
          <w:lang w:val="en-GB"/>
        </w:rPr>
        <w:t>,</w:t>
      </w:r>
      <w:r w:rsidR="009476E8" w:rsidRPr="006B02D7">
        <w:rPr>
          <w:lang w:val="en-GB"/>
        </w:rPr>
        <w:t xml:space="preserve"> A.Z. became pregnant. </w:t>
      </w:r>
      <w:r w:rsidR="00DF7C15" w:rsidRPr="006B02D7">
        <w:rPr>
          <w:lang w:val="en-GB"/>
        </w:rPr>
        <w:t>After the birth of A.E.Z. o</w:t>
      </w:r>
      <w:r w:rsidR="009476E8" w:rsidRPr="006B02D7">
        <w:rPr>
          <w:lang w:val="en-GB"/>
        </w:rPr>
        <w:t>n 24 May 2006</w:t>
      </w:r>
      <w:r w:rsidR="00DF7C15" w:rsidRPr="006B02D7">
        <w:rPr>
          <w:lang w:val="en-GB"/>
        </w:rPr>
        <w:t>,</w:t>
      </w:r>
      <w:r w:rsidR="009476E8" w:rsidRPr="006B02D7">
        <w:rPr>
          <w:lang w:val="en-GB"/>
        </w:rPr>
        <w:t xml:space="preserve"> the applicant continued to care for the child and to support A.Z. and the child financially, including paying the rent and utility </w:t>
      </w:r>
      <w:r w:rsidR="002830A0" w:rsidRPr="006B02D7">
        <w:rPr>
          <w:lang w:val="en-GB"/>
        </w:rPr>
        <w:t xml:space="preserve">bills </w:t>
      </w:r>
      <w:r w:rsidR="009476E8" w:rsidRPr="006B02D7">
        <w:rPr>
          <w:lang w:val="en-GB"/>
        </w:rPr>
        <w:t xml:space="preserve">for the apartment </w:t>
      </w:r>
      <w:r w:rsidR="002830A0" w:rsidRPr="006B02D7">
        <w:rPr>
          <w:lang w:val="en-GB"/>
        </w:rPr>
        <w:t xml:space="preserve">in which </w:t>
      </w:r>
      <w:r w:rsidR="009476E8" w:rsidRPr="006B02D7">
        <w:rPr>
          <w:lang w:val="en-GB"/>
        </w:rPr>
        <w:t>they were residing.</w:t>
      </w:r>
    </w:p>
    <w:p w:rsidR="009476E8" w:rsidRPr="006B02D7" w:rsidRDefault="009476E8" w:rsidP="009476E8">
      <w:pPr>
        <w:pStyle w:val="ECHRPara"/>
        <w:rPr>
          <w:lang w:val="en-GB"/>
        </w:rPr>
      </w:pPr>
      <w:r w:rsidRPr="006B02D7">
        <w:rPr>
          <w:lang w:val="en-GB"/>
        </w:rPr>
        <w:fldChar w:fldCharType="begin"/>
      </w:r>
      <w:r w:rsidRPr="006B02D7">
        <w:rPr>
          <w:lang w:val="en-GB"/>
        </w:rPr>
        <w:instrText xml:space="preserve"> SEQ level0 \*arabic </w:instrText>
      </w:r>
      <w:r w:rsidRPr="006B02D7">
        <w:rPr>
          <w:lang w:val="en-GB"/>
        </w:rPr>
        <w:fldChar w:fldCharType="separate"/>
      </w:r>
      <w:r w:rsidR="009675D9">
        <w:rPr>
          <w:noProof/>
          <w:lang w:val="en-GB"/>
        </w:rPr>
        <w:t>7</w:t>
      </w:r>
      <w:r w:rsidRPr="006B02D7">
        <w:rPr>
          <w:lang w:val="en-GB"/>
        </w:rPr>
        <w:fldChar w:fldCharType="end"/>
      </w:r>
      <w:r w:rsidRPr="006B02D7">
        <w:rPr>
          <w:lang w:val="en-GB"/>
        </w:rPr>
        <w:t>.  On an unspecified date the applicant suggested to A.Z. that they officially register the birth of A.E.Z. and record the applicant</w:t>
      </w:r>
      <w:r w:rsidR="00961B49">
        <w:rPr>
          <w:lang w:val="en-GB"/>
        </w:rPr>
        <w:t>’</w:t>
      </w:r>
      <w:r w:rsidRPr="006B02D7">
        <w:rPr>
          <w:lang w:val="en-GB"/>
        </w:rPr>
        <w:t xml:space="preserve">s paternity in the </w:t>
      </w:r>
      <w:r w:rsidR="00DF7C15" w:rsidRPr="006B02D7">
        <w:rPr>
          <w:lang w:val="en-GB"/>
        </w:rPr>
        <w:t xml:space="preserve">register </w:t>
      </w:r>
      <w:r w:rsidRPr="006B02D7">
        <w:rPr>
          <w:lang w:val="en-GB"/>
        </w:rPr>
        <w:t>of births. A.Z. refused.</w:t>
      </w:r>
    </w:p>
    <w:p w:rsidR="009476E8" w:rsidRPr="006B02D7" w:rsidRDefault="009476E8" w:rsidP="009476E8">
      <w:pPr>
        <w:pStyle w:val="ECHRPara"/>
        <w:rPr>
          <w:lang w:val="en-GB"/>
        </w:rPr>
      </w:pPr>
      <w:r w:rsidRPr="006B02D7">
        <w:rPr>
          <w:lang w:val="en-GB"/>
        </w:rPr>
        <w:fldChar w:fldCharType="begin"/>
      </w:r>
      <w:r w:rsidRPr="006B02D7">
        <w:rPr>
          <w:lang w:val="en-GB"/>
        </w:rPr>
        <w:instrText xml:space="preserve"> SEQ level0 \*arabic </w:instrText>
      </w:r>
      <w:r w:rsidRPr="006B02D7">
        <w:rPr>
          <w:lang w:val="en-GB"/>
        </w:rPr>
        <w:fldChar w:fldCharType="separate"/>
      </w:r>
      <w:r w:rsidR="009675D9">
        <w:rPr>
          <w:noProof/>
          <w:lang w:val="en-GB"/>
        </w:rPr>
        <w:t>8</w:t>
      </w:r>
      <w:r w:rsidRPr="006B02D7">
        <w:rPr>
          <w:lang w:val="en-GB"/>
        </w:rPr>
        <w:fldChar w:fldCharType="end"/>
      </w:r>
      <w:r w:rsidRPr="006B02D7">
        <w:rPr>
          <w:lang w:val="en-GB"/>
        </w:rPr>
        <w:t xml:space="preserve">.  The applicant informed A.Z. that he would try to have his paternity established by </w:t>
      </w:r>
      <w:r w:rsidR="002830A0" w:rsidRPr="006B02D7">
        <w:rPr>
          <w:lang w:val="en-GB"/>
        </w:rPr>
        <w:t xml:space="preserve">the </w:t>
      </w:r>
      <w:r w:rsidRPr="006B02D7">
        <w:rPr>
          <w:lang w:val="en-GB"/>
        </w:rPr>
        <w:t>court</w:t>
      </w:r>
      <w:r w:rsidR="0021254C" w:rsidRPr="006B02D7">
        <w:rPr>
          <w:lang w:val="en-GB"/>
        </w:rPr>
        <w:t>s</w:t>
      </w:r>
      <w:r w:rsidRPr="006B02D7">
        <w:rPr>
          <w:lang w:val="en-GB"/>
        </w:rPr>
        <w:t>.</w:t>
      </w:r>
    </w:p>
    <w:p w:rsidR="009476E8" w:rsidRPr="006B02D7" w:rsidRDefault="009476E8" w:rsidP="009476E8">
      <w:pPr>
        <w:pStyle w:val="ECHRPara"/>
        <w:rPr>
          <w:lang w:val="en-GB"/>
        </w:rPr>
      </w:pPr>
      <w:r w:rsidRPr="006B02D7">
        <w:rPr>
          <w:lang w:val="en-GB"/>
        </w:rPr>
        <w:fldChar w:fldCharType="begin"/>
      </w:r>
      <w:r w:rsidRPr="006B02D7">
        <w:rPr>
          <w:lang w:val="en-GB"/>
        </w:rPr>
        <w:instrText xml:space="preserve"> SEQ level0 \*arabic </w:instrText>
      </w:r>
      <w:r w:rsidRPr="006B02D7">
        <w:rPr>
          <w:lang w:val="en-GB"/>
        </w:rPr>
        <w:fldChar w:fldCharType="separate"/>
      </w:r>
      <w:r w:rsidR="009675D9">
        <w:rPr>
          <w:noProof/>
          <w:lang w:val="en-GB"/>
        </w:rPr>
        <w:t>9</w:t>
      </w:r>
      <w:r w:rsidRPr="006B02D7">
        <w:rPr>
          <w:lang w:val="en-GB"/>
        </w:rPr>
        <w:fldChar w:fldCharType="end"/>
      </w:r>
      <w:r w:rsidRPr="006B02D7">
        <w:rPr>
          <w:lang w:val="en-GB"/>
        </w:rPr>
        <w:t>.  Starting from 13 January 2007 A.Z. no longer permitted the applicant to meet the child.</w:t>
      </w:r>
    </w:p>
    <w:p w:rsidR="009476E8" w:rsidRPr="006B02D7" w:rsidRDefault="009476E8" w:rsidP="009476E8">
      <w:pPr>
        <w:pStyle w:val="ECHRPara"/>
        <w:rPr>
          <w:rStyle w:val="sb8d990e2"/>
          <w:lang w:val="en-GB"/>
        </w:rPr>
      </w:pPr>
      <w:r w:rsidRPr="006B02D7">
        <w:rPr>
          <w:lang w:val="en-GB"/>
        </w:rPr>
        <w:fldChar w:fldCharType="begin"/>
      </w:r>
      <w:r w:rsidRPr="006B02D7">
        <w:rPr>
          <w:lang w:val="en-GB"/>
        </w:rPr>
        <w:instrText xml:space="preserve"> SEQ level0 \*arabic </w:instrText>
      </w:r>
      <w:r w:rsidRPr="006B02D7">
        <w:rPr>
          <w:lang w:val="en-GB"/>
        </w:rPr>
        <w:fldChar w:fldCharType="separate"/>
      </w:r>
      <w:r w:rsidR="009675D9">
        <w:rPr>
          <w:noProof/>
          <w:lang w:val="en-GB"/>
        </w:rPr>
        <w:t>10</w:t>
      </w:r>
      <w:r w:rsidRPr="006B02D7">
        <w:rPr>
          <w:lang w:val="en-GB"/>
        </w:rPr>
        <w:fldChar w:fldCharType="end"/>
      </w:r>
      <w:r w:rsidRPr="006B02D7">
        <w:rPr>
          <w:lang w:val="en-GB"/>
        </w:rPr>
        <w:t>.  On 15 January 2007 the applicant consulted a lawyer and on the same day requested a copy of a report of the registration of the child</w:t>
      </w:r>
      <w:r w:rsidR="00961B49">
        <w:rPr>
          <w:lang w:val="en-GB"/>
        </w:rPr>
        <w:t>’</w:t>
      </w:r>
      <w:r w:rsidRPr="006B02D7">
        <w:rPr>
          <w:lang w:val="en-GB"/>
        </w:rPr>
        <w:t>s birth (</w:t>
      </w:r>
      <w:r w:rsidRPr="006B02D7">
        <w:rPr>
          <w:i/>
          <w:lang w:val="en-GB"/>
        </w:rPr>
        <w:t>izziņa par bērna dzimšanas reģistrāciju</w:t>
      </w:r>
      <w:r w:rsidRPr="006B02D7">
        <w:rPr>
          <w:lang w:val="en-GB"/>
        </w:rPr>
        <w:t xml:space="preserve">) from a </w:t>
      </w:r>
      <w:r w:rsidRPr="006B02D7">
        <w:rPr>
          <w:rStyle w:val="sb8d990e2"/>
          <w:lang w:val="en-GB"/>
        </w:rPr>
        <w:t>civil registry office (</w:t>
      </w:r>
      <w:r w:rsidRPr="006B02D7">
        <w:rPr>
          <w:rStyle w:val="sb8d990e2"/>
          <w:i/>
          <w:lang w:val="en-GB"/>
        </w:rPr>
        <w:t>dzimtsarakstu nodaļa</w:t>
      </w:r>
      <w:r w:rsidRPr="006B02D7">
        <w:rPr>
          <w:rStyle w:val="sb8d990e2"/>
          <w:lang w:val="en-GB"/>
        </w:rPr>
        <w:t>). He received the requested report on 18 January 2007</w:t>
      </w:r>
      <w:r w:rsidR="00527D86" w:rsidRPr="006B02D7">
        <w:rPr>
          <w:rStyle w:val="sb8d990e2"/>
          <w:lang w:val="en-GB"/>
        </w:rPr>
        <w:t xml:space="preserve"> </w:t>
      </w:r>
      <w:r w:rsidRPr="006B02D7">
        <w:rPr>
          <w:rStyle w:val="sb8d990e2"/>
          <w:lang w:val="en-GB"/>
        </w:rPr>
        <w:t xml:space="preserve">and found out that </w:t>
      </w:r>
      <w:r w:rsidR="005C498E" w:rsidRPr="006B02D7">
        <w:rPr>
          <w:rStyle w:val="sb8d990e2"/>
          <w:lang w:val="en-GB"/>
        </w:rPr>
        <w:t xml:space="preserve">the previous </w:t>
      </w:r>
      <w:r w:rsidRPr="006B02D7">
        <w:rPr>
          <w:rStyle w:val="sb8d990e2"/>
          <w:lang w:val="en-GB"/>
        </w:rPr>
        <w:t xml:space="preserve">day, on 17 January 2007, a certain A.L. had </w:t>
      </w:r>
      <w:r w:rsidR="0021254C" w:rsidRPr="006B02D7">
        <w:rPr>
          <w:rStyle w:val="sb8d990e2"/>
          <w:lang w:val="en-GB"/>
        </w:rPr>
        <w:t xml:space="preserve">voluntarily </w:t>
      </w:r>
      <w:r w:rsidRPr="006B02D7">
        <w:rPr>
          <w:rStyle w:val="sb8d990e2"/>
          <w:lang w:val="en-GB"/>
        </w:rPr>
        <w:t>acknowledged his paternity and had been registered as the child</w:t>
      </w:r>
      <w:r w:rsidR="00961B49">
        <w:rPr>
          <w:rStyle w:val="sb8d990e2"/>
          <w:lang w:val="en-GB"/>
        </w:rPr>
        <w:t>’</w:t>
      </w:r>
      <w:r w:rsidRPr="006B02D7">
        <w:rPr>
          <w:rStyle w:val="sb8d990e2"/>
          <w:lang w:val="en-GB"/>
        </w:rPr>
        <w:t>s father. According to the applicant, he did not know who A.L. was.</w:t>
      </w:r>
    </w:p>
    <w:p w:rsidR="009476E8" w:rsidRPr="006B02D7" w:rsidRDefault="009476E8" w:rsidP="009476E8">
      <w:pPr>
        <w:pStyle w:val="ECHRPara"/>
        <w:rPr>
          <w:rStyle w:val="sb8d990e2"/>
          <w:lang w:val="en-GB"/>
        </w:rPr>
      </w:pPr>
      <w:r w:rsidRPr="006B02D7">
        <w:rPr>
          <w:rStyle w:val="sb8d990e2"/>
          <w:lang w:val="en-GB"/>
        </w:rPr>
        <w:fldChar w:fldCharType="begin"/>
      </w:r>
      <w:r w:rsidRPr="006B02D7">
        <w:rPr>
          <w:rStyle w:val="sb8d990e2"/>
          <w:lang w:val="en-GB"/>
        </w:rPr>
        <w:instrText xml:space="preserve"> SEQ level0 \*arabic </w:instrText>
      </w:r>
      <w:r w:rsidRPr="006B02D7">
        <w:rPr>
          <w:rStyle w:val="sb8d990e2"/>
          <w:lang w:val="en-GB"/>
        </w:rPr>
        <w:fldChar w:fldCharType="separate"/>
      </w:r>
      <w:r w:rsidR="009675D9">
        <w:rPr>
          <w:rStyle w:val="sb8d990e2"/>
          <w:noProof/>
          <w:lang w:val="en-GB"/>
        </w:rPr>
        <w:t>11</w:t>
      </w:r>
      <w:r w:rsidRPr="006B02D7">
        <w:rPr>
          <w:rStyle w:val="sb8d990e2"/>
          <w:lang w:val="en-GB"/>
        </w:rPr>
        <w:fldChar w:fldCharType="end"/>
      </w:r>
      <w:r w:rsidRPr="006B02D7">
        <w:rPr>
          <w:rStyle w:val="sb8d990e2"/>
          <w:lang w:val="en-GB"/>
        </w:rPr>
        <w:t xml:space="preserve">.  On 8 February 2007 the applicant </w:t>
      </w:r>
      <w:r w:rsidR="00483AB1" w:rsidRPr="006B02D7">
        <w:rPr>
          <w:rStyle w:val="sb8d990e2"/>
          <w:lang w:val="en-GB"/>
        </w:rPr>
        <w:t xml:space="preserve">lodged </w:t>
      </w:r>
      <w:r w:rsidRPr="006B02D7">
        <w:rPr>
          <w:rStyle w:val="sb8d990e2"/>
          <w:lang w:val="en-GB"/>
        </w:rPr>
        <w:t xml:space="preserve">a claim </w:t>
      </w:r>
      <w:r w:rsidR="00483AB1" w:rsidRPr="006B02D7">
        <w:rPr>
          <w:rStyle w:val="sb8d990e2"/>
          <w:lang w:val="en-GB"/>
        </w:rPr>
        <w:t xml:space="preserve">with </w:t>
      </w:r>
      <w:r w:rsidRPr="006B02D7">
        <w:rPr>
          <w:rStyle w:val="sb8d990e2"/>
          <w:lang w:val="en-GB"/>
        </w:rPr>
        <w:t>the R</w:t>
      </w:r>
      <w:r w:rsidR="0021254C" w:rsidRPr="006B02D7">
        <w:rPr>
          <w:rStyle w:val="sb8d990e2"/>
          <w:lang w:val="en-GB"/>
        </w:rPr>
        <w:t>i</w:t>
      </w:r>
      <w:r w:rsidRPr="006B02D7">
        <w:rPr>
          <w:rStyle w:val="sb8d990e2"/>
          <w:lang w:val="en-GB"/>
        </w:rPr>
        <w:t xml:space="preserve">ga City Zemgale District Court. </w:t>
      </w:r>
      <w:r w:rsidR="00483AB1" w:rsidRPr="006B02D7">
        <w:rPr>
          <w:rStyle w:val="sb8d990e2"/>
          <w:lang w:val="en-GB"/>
        </w:rPr>
        <w:t xml:space="preserve">He </w:t>
      </w:r>
      <w:r w:rsidRPr="006B02D7">
        <w:rPr>
          <w:rStyle w:val="sb8d990e2"/>
          <w:lang w:val="en-GB"/>
        </w:rPr>
        <w:t>asked the court to order forensic biological testing in order to establish the child</w:t>
      </w:r>
      <w:r w:rsidR="00961B49">
        <w:rPr>
          <w:rStyle w:val="sb8d990e2"/>
          <w:lang w:val="en-GB"/>
        </w:rPr>
        <w:t>’</w:t>
      </w:r>
      <w:r w:rsidRPr="006B02D7">
        <w:rPr>
          <w:rStyle w:val="sb8d990e2"/>
          <w:lang w:val="en-GB"/>
        </w:rPr>
        <w:t>s descent, to strike the record of A.L.as the father of the child and to record him</w:t>
      </w:r>
      <w:r w:rsidR="00483AB1" w:rsidRPr="006B02D7">
        <w:rPr>
          <w:rStyle w:val="sb8d990e2"/>
          <w:lang w:val="en-GB"/>
        </w:rPr>
        <w:t>self</w:t>
      </w:r>
      <w:r w:rsidRPr="006B02D7">
        <w:rPr>
          <w:rStyle w:val="sb8d990e2"/>
          <w:lang w:val="en-GB"/>
        </w:rPr>
        <w:t>, the applicant, as the child</w:t>
      </w:r>
      <w:r w:rsidR="00961B49">
        <w:rPr>
          <w:rStyle w:val="sb8d990e2"/>
          <w:lang w:val="en-GB"/>
        </w:rPr>
        <w:t>’</w:t>
      </w:r>
      <w:r w:rsidRPr="006B02D7">
        <w:rPr>
          <w:rStyle w:val="sb8d990e2"/>
          <w:lang w:val="en-GB"/>
        </w:rPr>
        <w:t>s father</w:t>
      </w:r>
      <w:r w:rsidR="00483AB1" w:rsidRPr="006B02D7">
        <w:rPr>
          <w:rStyle w:val="sb8d990e2"/>
          <w:lang w:val="en-GB"/>
        </w:rPr>
        <w:t xml:space="preserve"> instead</w:t>
      </w:r>
      <w:r w:rsidRPr="006B02D7">
        <w:rPr>
          <w:rStyle w:val="sb8d990e2"/>
          <w:lang w:val="en-GB"/>
        </w:rPr>
        <w:t>.</w:t>
      </w:r>
    </w:p>
    <w:p w:rsidR="009476E8" w:rsidRPr="006B02D7" w:rsidRDefault="009476E8" w:rsidP="009476E8">
      <w:pPr>
        <w:pStyle w:val="ECHRPara"/>
        <w:rPr>
          <w:rStyle w:val="sb8d990e2"/>
          <w:lang w:val="en-GB"/>
        </w:rPr>
      </w:pPr>
      <w:r w:rsidRPr="006B02D7">
        <w:rPr>
          <w:rStyle w:val="sb8d990e2"/>
          <w:lang w:val="en-GB"/>
        </w:rPr>
        <w:fldChar w:fldCharType="begin"/>
      </w:r>
      <w:r w:rsidRPr="006B02D7">
        <w:rPr>
          <w:rStyle w:val="sb8d990e2"/>
          <w:lang w:val="en-GB"/>
        </w:rPr>
        <w:instrText xml:space="preserve"> SEQ level0 \*arabic </w:instrText>
      </w:r>
      <w:r w:rsidRPr="006B02D7">
        <w:rPr>
          <w:rStyle w:val="sb8d990e2"/>
          <w:lang w:val="en-GB"/>
        </w:rPr>
        <w:fldChar w:fldCharType="separate"/>
      </w:r>
      <w:r w:rsidR="009675D9">
        <w:rPr>
          <w:rStyle w:val="sb8d990e2"/>
          <w:noProof/>
          <w:lang w:val="en-GB"/>
        </w:rPr>
        <w:t>12</w:t>
      </w:r>
      <w:r w:rsidRPr="006B02D7">
        <w:rPr>
          <w:rStyle w:val="sb8d990e2"/>
          <w:lang w:val="en-GB"/>
        </w:rPr>
        <w:fldChar w:fldCharType="end"/>
      </w:r>
      <w:r w:rsidRPr="006B02D7">
        <w:rPr>
          <w:rStyle w:val="sb8d990e2"/>
          <w:lang w:val="en-GB"/>
        </w:rPr>
        <w:t xml:space="preserve">.  On 4 April 2007 A.Z. and A.L. submitted a response, arguing that the fact that civil proceedings had been instituted had infringed their rights guaranteed by, </w:t>
      </w:r>
      <w:r w:rsidRPr="006B02D7">
        <w:rPr>
          <w:rStyle w:val="sb8d990e2"/>
          <w:i/>
          <w:lang w:val="en-GB"/>
        </w:rPr>
        <w:t>inter alia</w:t>
      </w:r>
      <w:r w:rsidRPr="006B02D7">
        <w:rPr>
          <w:rStyle w:val="sb8d990e2"/>
          <w:lang w:val="en-GB"/>
        </w:rPr>
        <w:t>, Article 8 of the Convention. The respondents also argued that the applicant lacked standing to contest paternity and denied that he had ever co-habited with A.Z.</w:t>
      </w:r>
    </w:p>
    <w:p w:rsidR="009476E8" w:rsidRPr="006B02D7" w:rsidRDefault="009476E8" w:rsidP="009476E8">
      <w:pPr>
        <w:pStyle w:val="ECHRPara"/>
        <w:rPr>
          <w:rStyle w:val="sb8d990e2"/>
          <w:lang w:val="en-GB"/>
        </w:rPr>
      </w:pPr>
      <w:r w:rsidRPr="006B02D7">
        <w:rPr>
          <w:rStyle w:val="sb8d990e2"/>
          <w:lang w:val="en-GB"/>
        </w:rPr>
        <w:fldChar w:fldCharType="begin"/>
      </w:r>
      <w:r w:rsidRPr="006B02D7">
        <w:rPr>
          <w:rStyle w:val="sb8d990e2"/>
          <w:lang w:val="en-GB"/>
        </w:rPr>
        <w:instrText xml:space="preserve"> SEQ level0 \*arabic </w:instrText>
      </w:r>
      <w:r w:rsidRPr="006B02D7">
        <w:rPr>
          <w:rStyle w:val="sb8d990e2"/>
          <w:lang w:val="en-GB"/>
        </w:rPr>
        <w:fldChar w:fldCharType="separate"/>
      </w:r>
      <w:r w:rsidR="009675D9">
        <w:rPr>
          <w:rStyle w:val="sb8d990e2"/>
          <w:noProof/>
          <w:lang w:val="en-GB"/>
        </w:rPr>
        <w:t>13</w:t>
      </w:r>
      <w:r w:rsidRPr="006B02D7">
        <w:rPr>
          <w:rStyle w:val="sb8d990e2"/>
          <w:lang w:val="en-GB"/>
        </w:rPr>
        <w:fldChar w:fldCharType="end"/>
      </w:r>
      <w:r w:rsidRPr="006B02D7">
        <w:rPr>
          <w:rStyle w:val="sb8d990e2"/>
          <w:lang w:val="en-GB"/>
        </w:rPr>
        <w:t xml:space="preserve">.  The Zemgale District Court held hearings on 28 June, 31 August and 12 September 2007. On 13 September 2007 it decided to discontinue the proceedings. The court agreed with the respondents that the applicant lacked standing to contest a voluntary acknowledgement of paternity. </w:t>
      </w:r>
      <w:r w:rsidR="00DF7C15" w:rsidRPr="006B02D7">
        <w:rPr>
          <w:rStyle w:val="sb8d990e2"/>
          <w:lang w:val="en-GB"/>
        </w:rPr>
        <w:t xml:space="preserve">It </w:t>
      </w:r>
      <w:r w:rsidRPr="006B02D7">
        <w:rPr>
          <w:rStyle w:val="sb8d990e2"/>
          <w:lang w:val="en-GB"/>
        </w:rPr>
        <w:t>reach</w:t>
      </w:r>
      <w:r w:rsidR="00DF7C15" w:rsidRPr="006B02D7">
        <w:rPr>
          <w:rStyle w:val="sb8d990e2"/>
          <w:lang w:val="en-GB"/>
        </w:rPr>
        <w:t>ed</w:t>
      </w:r>
      <w:r w:rsidRPr="006B02D7">
        <w:rPr>
          <w:rStyle w:val="sb8d990e2"/>
          <w:lang w:val="en-GB"/>
        </w:rPr>
        <w:t xml:space="preserve"> that conclusion </w:t>
      </w:r>
      <w:r w:rsidR="00DF7C15" w:rsidRPr="006B02D7">
        <w:rPr>
          <w:rStyle w:val="sb8d990e2"/>
          <w:lang w:val="en-GB"/>
        </w:rPr>
        <w:t xml:space="preserve">by interpreting </w:t>
      </w:r>
      <w:r w:rsidRPr="006B02D7">
        <w:rPr>
          <w:rStyle w:val="sb8d990e2"/>
          <w:lang w:val="en-GB"/>
        </w:rPr>
        <w:t xml:space="preserve">the Civil Law in conjunction with the Convention on the Legal Status of Children Born out of Wedlock (“the Legal Status Convention”) and the 11 October 2004 judgment of the Latvian Constitutional </w:t>
      </w:r>
      <w:r w:rsidR="00706FC2" w:rsidRPr="006B02D7">
        <w:rPr>
          <w:rStyle w:val="sb8d990e2"/>
          <w:lang w:val="en-GB"/>
        </w:rPr>
        <w:t>Court</w:t>
      </w:r>
      <w:r w:rsidR="00483AB1" w:rsidRPr="006B02D7">
        <w:rPr>
          <w:rStyle w:val="sb8d990e2"/>
          <w:lang w:val="en-GB"/>
        </w:rPr>
        <w:t>,</w:t>
      </w:r>
      <w:r w:rsidRPr="006B02D7">
        <w:rPr>
          <w:rStyle w:val="sb8d990e2"/>
          <w:lang w:val="en-GB"/>
        </w:rPr>
        <w:t xml:space="preserve"> and found that the restrictions in section 156 of the Civil Law (see </w:t>
      </w:r>
      <w:r w:rsidR="00481ADC" w:rsidRPr="006B02D7">
        <w:rPr>
          <w:rStyle w:val="sb8d990e2"/>
          <w:lang w:val="en-GB"/>
        </w:rPr>
        <w:t>paragraph </w:t>
      </w:r>
      <w:r w:rsidR="0020228A" w:rsidRPr="006B02D7">
        <w:rPr>
          <w:rStyle w:val="sb8d990e2"/>
          <w:lang w:val="en-GB"/>
        </w:rPr>
        <w:t>53</w:t>
      </w:r>
      <w:r w:rsidR="00481ADC" w:rsidRPr="006B02D7">
        <w:rPr>
          <w:rStyle w:val="sb8d990e2"/>
          <w:lang w:val="en-GB"/>
        </w:rPr>
        <w:t xml:space="preserve"> </w:t>
      </w:r>
      <w:r w:rsidRPr="006B02D7">
        <w:rPr>
          <w:rStyle w:val="sb8d990e2"/>
          <w:lang w:val="en-GB"/>
        </w:rPr>
        <w:t>below) were not contrary to the Legal Status Convention.</w:t>
      </w:r>
    </w:p>
    <w:p w:rsidR="009476E8" w:rsidRPr="006B02D7" w:rsidRDefault="009476E8" w:rsidP="009476E8">
      <w:pPr>
        <w:pStyle w:val="ECHRPara"/>
        <w:rPr>
          <w:rStyle w:val="sb8d990e2"/>
          <w:lang w:val="en-GB"/>
        </w:rPr>
      </w:pPr>
      <w:r w:rsidRPr="006B02D7">
        <w:rPr>
          <w:rStyle w:val="sb8d990e2"/>
          <w:lang w:val="en-GB"/>
        </w:rPr>
        <w:fldChar w:fldCharType="begin"/>
      </w:r>
      <w:r w:rsidRPr="006B02D7">
        <w:rPr>
          <w:rStyle w:val="sb8d990e2"/>
          <w:lang w:val="en-GB"/>
        </w:rPr>
        <w:instrText xml:space="preserve"> SEQ level0 \*arabic </w:instrText>
      </w:r>
      <w:r w:rsidRPr="006B02D7">
        <w:rPr>
          <w:rStyle w:val="sb8d990e2"/>
          <w:lang w:val="en-GB"/>
        </w:rPr>
        <w:fldChar w:fldCharType="separate"/>
      </w:r>
      <w:r w:rsidR="009675D9">
        <w:rPr>
          <w:rStyle w:val="sb8d990e2"/>
          <w:noProof/>
          <w:lang w:val="en-GB"/>
        </w:rPr>
        <w:t>14</w:t>
      </w:r>
      <w:r w:rsidRPr="006B02D7">
        <w:rPr>
          <w:rStyle w:val="sb8d990e2"/>
          <w:lang w:val="en-GB"/>
        </w:rPr>
        <w:fldChar w:fldCharType="end"/>
      </w:r>
      <w:r w:rsidRPr="006B02D7">
        <w:rPr>
          <w:rStyle w:val="sb8d990e2"/>
          <w:lang w:val="en-GB"/>
        </w:rPr>
        <w:t>.  </w:t>
      </w:r>
      <w:r w:rsidR="002164E9" w:rsidRPr="006B02D7">
        <w:rPr>
          <w:rStyle w:val="sb8d990e2"/>
          <w:lang w:val="en-GB"/>
        </w:rPr>
        <w:t>The applicant appealed on 24 September 2007. On 27 September 2007 the case was forwarded to the Ri</w:t>
      </w:r>
      <w:r w:rsidRPr="006B02D7">
        <w:rPr>
          <w:rStyle w:val="sb8d990e2"/>
          <w:lang w:val="en-GB"/>
        </w:rPr>
        <w:t>ga Regional Court</w:t>
      </w:r>
      <w:r w:rsidR="002164E9" w:rsidRPr="006B02D7">
        <w:rPr>
          <w:rStyle w:val="sb8d990e2"/>
          <w:lang w:val="en-GB"/>
        </w:rPr>
        <w:t>, which</w:t>
      </w:r>
      <w:r w:rsidRPr="006B02D7">
        <w:rPr>
          <w:rStyle w:val="sb8d990e2"/>
          <w:lang w:val="en-GB"/>
        </w:rPr>
        <w:t xml:space="preserve"> held hearings on 17 January and 22 September 2008</w:t>
      </w:r>
      <w:r w:rsidR="00DF7C15" w:rsidRPr="006B02D7">
        <w:rPr>
          <w:rStyle w:val="sb8d990e2"/>
          <w:lang w:val="en-GB"/>
        </w:rPr>
        <w:t>,</w:t>
      </w:r>
      <w:r w:rsidRPr="006B02D7">
        <w:rPr>
          <w:rStyle w:val="sb8d990e2"/>
          <w:lang w:val="en-GB"/>
        </w:rPr>
        <w:t xml:space="preserve"> and quashed the lower court</w:t>
      </w:r>
      <w:r w:rsidR="00961B49">
        <w:rPr>
          <w:rStyle w:val="sb8d990e2"/>
          <w:lang w:val="en-GB"/>
        </w:rPr>
        <w:t>’</w:t>
      </w:r>
      <w:r w:rsidRPr="006B02D7">
        <w:rPr>
          <w:rStyle w:val="sb8d990e2"/>
          <w:lang w:val="en-GB"/>
        </w:rPr>
        <w:t>s decision by a decision adopted on the latter date. It was found that the lower court had erred in not ordering forensic biological testing. The case was remitted to the Zemgale District Court.</w:t>
      </w:r>
    </w:p>
    <w:p w:rsidR="009476E8" w:rsidRPr="006B02D7" w:rsidRDefault="009476E8" w:rsidP="009476E8">
      <w:pPr>
        <w:pStyle w:val="ECHRPara"/>
        <w:rPr>
          <w:rStyle w:val="sb8d990e2"/>
          <w:lang w:val="en-GB"/>
        </w:rPr>
      </w:pPr>
      <w:r w:rsidRPr="006B02D7">
        <w:rPr>
          <w:rStyle w:val="sb8d990e2"/>
          <w:lang w:val="en-GB"/>
        </w:rPr>
        <w:fldChar w:fldCharType="begin"/>
      </w:r>
      <w:r w:rsidRPr="006B02D7">
        <w:rPr>
          <w:rStyle w:val="sb8d990e2"/>
          <w:lang w:val="en-GB"/>
        </w:rPr>
        <w:instrText xml:space="preserve"> SEQ level0 \*arabic </w:instrText>
      </w:r>
      <w:r w:rsidRPr="006B02D7">
        <w:rPr>
          <w:rStyle w:val="sb8d990e2"/>
          <w:lang w:val="en-GB"/>
        </w:rPr>
        <w:fldChar w:fldCharType="separate"/>
      </w:r>
      <w:r w:rsidR="009675D9">
        <w:rPr>
          <w:rStyle w:val="sb8d990e2"/>
          <w:noProof/>
          <w:lang w:val="en-GB"/>
        </w:rPr>
        <w:t>15</w:t>
      </w:r>
      <w:r w:rsidRPr="006B02D7">
        <w:rPr>
          <w:rStyle w:val="sb8d990e2"/>
          <w:lang w:val="en-GB"/>
        </w:rPr>
        <w:fldChar w:fldCharType="end"/>
      </w:r>
      <w:r w:rsidRPr="006B02D7">
        <w:rPr>
          <w:rStyle w:val="sb8d990e2"/>
          <w:lang w:val="en-GB"/>
        </w:rPr>
        <w:t>.  The first hearing in the Zemgale District Court was held on 12 November 2008 and was attended only by the applicant</w:t>
      </w:r>
      <w:r w:rsidR="00961B49">
        <w:rPr>
          <w:rStyle w:val="sb8d990e2"/>
          <w:lang w:val="en-GB"/>
        </w:rPr>
        <w:t>’</w:t>
      </w:r>
      <w:r w:rsidRPr="006B02D7">
        <w:rPr>
          <w:rStyle w:val="sb8d990e2"/>
          <w:lang w:val="en-GB"/>
        </w:rPr>
        <w:t xml:space="preserve">s lawyer. The hearing was adjourned. The verbatim record of the hearing </w:t>
      </w:r>
      <w:r w:rsidR="00483AB1" w:rsidRPr="006B02D7">
        <w:rPr>
          <w:rStyle w:val="sb8d990e2"/>
          <w:lang w:val="en-GB"/>
        </w:rPr>
        <w:t xml:space="preserve">shows </w:t>
      </w:r>
      <w:r w:rsidRPr="006B02D7">
        <w:rPr>
          <w:rStyle w:val="sb8d990e2"/>
          <w:lang w:val="en-GB"/>
        </w:rPr>
        <w:t xml:space="preserve">that the court decided to invite a representative of the </w:t>
      </w:r>
      <w:r w:rsidR="003F056F" w:rsidRPr="006B02D7">
        <w:rPr>
          <w:rStyle w:val="sb8d990e2"/>
          <w:lang w:val="en-GB"/>
        </w:rPr>
        <w:t>Guardianship Tribunal</w:t>
      </w:r>
      <w:r w:rsidRPr="006B02D7">
        <w:rPr>
          <w:rStyle w:val="sb8d990e2"/>
          <w:lang w:val="en-GB"/>
        </w:rPr>
        <w:t xml:space="preserve"> (</w:t>
      </w:r>
      <w:r w:rsidRPr="006B02D7">
        <w:rPr>
          <w:rStyle w:val="sb8d990e2"/>
          <w:i/>
          <w:lang w:val="en-GB"/>
        </w:rPr>
        <w:t>bāriņtiesa</w:t>
      </w:r>
      <w:r w:rsidRPr="006B02D7">
        <w:rPr>
          <w:rStyle w:val="sb8d990e2"/>
          <w:lang w:val="en-GB"/>
        </w:rPr>
        <w:t xml:space="preserve">) to </w:t>
      </w:r>
      <w:r w:rsidR="00104FD7" w:rsidRPr="006B02D7">
        <w:rPr>
          <w:rStyle w:val="sb8d990e2"/>
          <w:lang w:val="en-GB"/>
        </w:rPr>
        <w:t xml:space="preserve">attend </w:t>
      </w:r>
      <w:r w:rsidRPr="006B02D7">
        <w:rPr>
          <w:rStyle w:val="sb8d990e2"/>
          <w:lang w:val="en-GB"/>
        </w:rPr>
        <w:t xml:space="preserve">the </w:t>
      </w:r>
      <w:r w:rsidR="00104FD7" w:rsidRPr="006B02D7">
        <w:rPr>
          <w:rStyle w:val="sb8d990e2"/>
          <w:lang w:val="en-GB"/>
        </w:rPr>
        <w:t>following</w:t>
      </w:r>
      <w:r w:rsidRPr="006B02D7">
        <w:rPr>
          <w:rStyle w:val="sb8d990e2"/>
          <w:lang w:val="en-GB"/>
        </w:rPr>
        <w:t xml:space="preserve"> hearing.</w:t>
      </w:r>
    </w:p>
    <w:p w:rsidR="009476E8" w:rsidRPr="006B02D7" w:rsidRDefault="009476E8" w:rsidP="009476E8">
      <w:pPr>
        <w:pStyle w:val="ECHRPara"/>
        <w:rPr>
          <w:rStyle w:val="sb8d990e2"/>
          <w:lang w:val="en-GB"/>
        </w:rPr>
      </w:pPr>
      <w:r w:rsidRPr="006B02D7">
        <w:rPr>
          <w:rStyle w:val="sb8d990e2"/>
          <w:lang w:val="en-GB"/>
        </w:rPr>
        <w:fldChar w:fldCharType="begin"/>
      </w:r>
      <w:r w:rsidRPr="006B02D7">
        <w:rPr>
          <w:rStyle w:val="sb8d990e2"/>
          <w:lang w:val="en-GB"/>
        </w:rPr>
        <w:instrText xml:space="preserve"> SEQ level0 \*arabic </w:instrText>
      </w:r>
      <w:r w:rsidRPr="006B02D7">
        <w:rPr>
          <w:rStyle w:val="sb8d990e2"/>
          <w:lang w:val="en-GB"/>
        </w:rPr>
        <w:fldChar w:fldCharType="separate"/>
      </w:r>
      <w:r w:rsidR="009675D9">
        <w:rPr>
          <w:rStyle w:val="sb8d990e2"/>
          <w:noProof/>
          <w:lang w:val="en-GB"/>
        </w:rPr>
        <w:t>16</w:t>
      </w:r>
      <w:r w:rsidRPr="006B02D7">
        <w:rPr>
          <w:rStyle w:val="sb8d990e2"/>
          <w:lang w:val="en-GB"/>
        </w:rPr>
        <w:fldChar w:fldCharType="end"/>
      </w:r>
      <w:r w:rsidRPr="006B02D7">
        <w:rPr>
          <w:rStyle w:val="sb8d990e2"/>
          <w:lang w:val="en-GB"/>
        </w:rPr>
        <w:t>.  According to the applicant</w:t>
      </w:r>
      <w:r w:rsidR="00961B49">
        <w:rPr>
          <w:rStyle w:val="sb8d990e2"/>
          <w:lang w:val="en-GB"/>
        </w:rPr>
        <w:t>’</w:t>
      </w:r>
      <w:r w:rsidRPr="006B02D7">
        <w:rPr>
          <w:rStyle w:val="sb8d990e2"/>
          <w:lang w:val="en-GB"/>
        </w:rPr>
        <w:t>s lawyer</w:t>
      </w:r>
      <w:r w:rsidR="00483AB1" w:rsidRPr="006B02D7">
        <w:rPr>
          <w:rStyle w:val="sb8d990e2"/>
          <w:lang w:val="en-GB"/>
        </w:rPr>
        <w:t>,</w:t>
      </w:r>
      <w:r w:rsidRPr="006B02D7">
        <w:rPr>
          <w:rStyle w:val="sb8d990e2"/>
          <w:lang w:val="en-GB"/>
        </w:rPr>
        <w:t xml:space="preserve"> the question of involving the </w:t>
      </w:r>
      <w:r w:rsidR="003F056F" w:rsidRPr="006B02D7">
        <w:rPr>
          <w:rStyle w:val="sb8d990e2"/>
          <w:lang w:val="en-GB"/>
        </w:rPr>
        <w:t>Guardianship Tribunal</w:t>
      </w:r>
      <w:r w:rsidRPr="006B02D7">
        <w:rPr>
          <w:rStyle w:val="sb8d990e2"/>
          <w:lang w:val="en-GB"/>
        </w:rPr>
        <w:t xml:space="preserve"> had not in fact been discussed in court and therefore she requested the removal of the judge in charge of the case.</w:t>
      </w:r>
    </w:p>
    <w:p w:rsidR="009476E8" w:rsidRPr="006B02D7" w:rsidRDefault="009476E8" w:rsidP="009476E8">
      <w:pPr>
        <w:pStyle w:val="ECHRPara"/>
        <w:rPr>
          <w:rStyle w:val="sb8d990e2"/>
          <w:lang w:val="en-GB"/>
        </w:rPr>
      </w:pPr>
      <w:r w:rsidRPr="006B02D7">
        <w:rPr>
          <w:rStyle w:val="sb8d990e2"/>
          <w:lang w:val="en-GB"/>
        </w:rPr>
        <w:fldChar w:fldCharType="begin"/>
      </w:r>
      <w:r w:rsidRPr="006B02D7">
        <w:rPr>
          <w:rStyle w:val="sb8d990e2"/>
          <w:lang w:val="en-GB"/>
        </w:rPr>
        <w:instrText xml:space="preserve"> SEQ level0 \*arabic </w:instrText>
      </w:r>
      <w:r w:rsidRPr="006B02D7">
        <w:rPr>
          <w:rStyle w:val="sb8d990e2"/>
          <w:lang w:val="en-GB"/>
        </w:rPr>
        <w:fldChar w:fldCharType="separate"/>
      </w:r>
      <w:r w:rsidR="009675D9">
        <w:rPr>
          <w:rStyle w:val="sb8d990e2"/>
          <w:noProof/>
          <w:lang w:val="en-GB"/>
        </w:rPr>
        <w:t>17</w:t>
      </w:r>
      <w:r w:rsidRPr="006B02D7">
        <w:rPr>
          <w:rStyle w:val="sb8d990e2"/>
          <w:lang w:val="en-GB"/>
        </w:rPr>
        <w:fldChar w:fldCharType="end"/>
      </w:r>
      <w:r w:rsidRPr="006B02D7">
        <w:rPr>
          <w:rStyle w:val="sb8d990e2"/>
          <w:lang w:val="en-GB"/>
        </w:rPr>
        <w:t>.  </w:t>
      </w:r>
      <w:r w:rsidR="00104FD7" w:rsidRPr="006B02D7">
        <w:rPr>
          <w:rStyle w:val="sb8d990e2"/>
          <w:lang w:val="en-GB"/>
        </w:rPr>
        <w:t>On</w:t>
      </w:r>
      <w:r w:rsidRPr="006B02D7">
        <w:rPr>
          <w:rStyle w:val="sb8d990e2"/>
          <w:lang w:val="en-GB"/>
        </w:rPr>
        <w:t xml:space="preserve"> 26 November 2008 the judge withdrew from the case. The proceedings were accordingly adjourned.</w:t>
      </w:r>
    </w:p>
    <w:p w:rsidR="009476E8" w:rsidRPr="006B02D7" w:rsidRDefault="009476E8" w:rsidP="009476E8">
      <w:pPr>
        <w:pStyle w:val="ECHRPara"/>
        <w:rPr>
          <w:rStyle w:val="sb8d990e2"/>
          <w:lang w:val="en-GB"/>
        </w:rPr>
      </w:pPr>
      <w:r w:rsidRPr="006B02D7">
        <w:rPr>
          <w:rStyle w:val="sb8d990e2"/>
          <w:lang w:val="en-GB"/>
        </w:rPr>
        <w:fldChar w:fldCharType="begin"/>
      </w:r>
      <w:r w:rsidRPr="006B02D7">
        <w:rPr>
          <w:rStyle w:val="sb8d990e2"/>
          <w:lang w:val="en-GB"/>
        </w:rPr>
        <w:instrText xml:space="preserve"> SEQ level0 \*arabic </w:instrText>
      </w:r>
      <w:r w:rsidRPr="006B02D7">
        <w:rPr>
          <w:rStyle w:val="sb8d990e2"/>
          <w:lang w:val="en-GB"/>
        </w:rPr>
        <w:fldChar w:fldCharType="separate"/>
      </w:r>
      <w:r w:rsidR="009675D9">
        <w:rPr>
          <w:rStyle w:val="sb8d990e2"/>
          <w:noProof/>
          <w:lang w:val="en-GB"/>
        </w:rPr>
        <w:t>18</w:t>
      </w:r>
      <w:r w:rsidRPr="006B02D7">
        <w:rPr>
          <w:rStyle w:val="sb8d990e2"/>
          <w:lang w:val="en-GB"/>
        </w:rPr>
        <w:fldChar w:fldCharType="end"/>
      </w:r>
      <w:r w:rsidRPr="006B02D7">
        <w:rPr>
          <w:rStyle w:val="sb8d990e2"/>
          <w:lang w:val="en-GB"/>
        </w:rPr>
        <w:t>.  The next hearing was held on 26 January 2009 and was attended by the applicant</w:t>
      </w:r>
      <w:r w:rsidR="00961B49">
        <w:rPr>
          <w:rStyle w:val="sb8d990e2"/>
          <w:lang w:val="en-GB"/>
        </w:rPr>
        <w:t>’</w:t>
      </w:r>
      <w:r w:rsidRPr="006B02D7">
        <w:rPr>
          <w:rStyle w:val="sb8d990e2"/>
          <w:lang w:val="en-GB"/>
        </w:rPr>
        <w:t>s lawyer, the two respondents and their lawyer</w:t>
      </w:r>
      <w:r w:rsidR="00483AB1" w:rsidRPr="006B02D7">
        <w:rPr>
          <w:rStyle w:val="sb8d990e2"/>
          <w:lang w:val="en-GB"/>
        </w:rPr>
        <w:t>,</w:t>
      </w:r>
      <w:r w:rsidRPr="006B02D7">
        <w:rPr>
          <w:rStyle w:val="sb8d990e2"/>
          <w:lang w:val="en-GB"/>
        </w:rPr>
        <w:t xml:space="preserve"> as well as by a representative of the </w:t>
      </w:r>
      <w:r w:rsidR="003F056F" w:rsidRPr="006B02D7">
        <w:rPr>
          <w:rStyle w:val="sb8d990e2"/>
          <w:lang w:val="en-GB"/>
        </w:rPr>
        <w:t>Guardianship Tribunal</w:t>
      </w:r>
      <w:r w:rsidR="00104FD7" w:rsidRPr="006B02D7">
        <w:rPr>
          <w:rStyle w:val="sb8d990e2"/>
          <w:lang w:val="en-GB"/>
        </w:rPr>
        <w:t>.</w:t>
      </w:r>
    </w:p>
    <w:p w:rsidR="009476E8" w:rsidRPr="006B02D7" w:rsidRDefault="009476E8" w:rsidP="009476E8">
      <w:pPr>
        <w:pStyle w:val="ECHRPara"/>
        <w:rPr>
          <w:rStyle w:val="sb8d990e2"/>
          <w:lang w:val="en-GB"/>
        </w:rPr>
      </w:pPr>
      <w:r w:rsidRPr="006B02D7">
        <w:rPr>
          <w:rStyle w:val="sb8d990e2"/>
          <w:lang w:val="en-GB"/>
        </w:rPr>
        <w:fldChar w:fldCharType="begin"/>
      </w:r>
      <w:r w:rsidRPr="006B02D7">
        <w:rPr>
          <w:rStyle w:val="sb8d990e2"/>
          <w:lang w:val="en-GB"/>
        </w:rPr>
        <w:instrText xml:space="preserve"> SEQ level0 \*arabic </w:instrText>
      </w:r>
      <w:r w:rsidRPr="006B02D7">
        <w:rPr>
          <w:rStyle w:val="sb8d990e2"/>
          <w:lang w:val="en-GB"/>
        </w:rPr>
        <w:fldChar w:fldCharType="separate"/>
      </w:r>
      <w:r w:rsidR="009675D9">
        <w:rPr>
          <w:rStyle w:val="sb8d990e2"/>
          <w:noProof/>
          <w:lang w:val="en-GB"/>
        </w:rPr>
        <w:t>19</w:t>
      </w:r>
      <w:r w:rsidRPr="006B02D7">
        <w:rPr>
          <w:rStyle w:val="sb8d990e2"/>
          <w:lang w:val="en-GB"/>
        </w:rPr>
        <w:fldChar w:fldCharType="end"/>
      </w:r>
      <w:r w:rsidRPr="006B02D7">
        <w:rPr>
          <w:rStyle w:val="sb8d990e2"/>
          <w:lang w:val="en-GB"/>
        </w:rPr>
        <w:t>.  On 4 February 2009 the Zemgale District Court ordered forensic genetic testing and ordered the applicant, A.Z., A.L. and the child to submit the necessary samples of genetic material before 31 March 2009.</w:t>
      </w:r>
    </w:p>
    <w:p w:rsidR="009476E8" w:rsidRPr="006B02D7" w:rsidRDefault="009476E8" w:rsidP="009476E8">
      <w:pPr>
        <w:pStyle w:val="ECHRPara"/>
        <w:rPr>
          <w:rStyle w:val="sb8d990e2"/>
          <w:lang w:val="en-GB"/>
        </w:rPr>
      </w:pPr>
      <w:r w:rsidRPr="006B02D7">
        <w:rPr>
          <w:rStyle w:val="sb8d990e2"/>
          <w:lang w:val="en-GB"/>
        </w:rPr>
        <w:fldChar w:fldCharType="begin"/>
      </w:r>
      <w:r w:rsidRPr="006B02D7">
        <w:rPr>
          <w:rStyle w:val="sb8d990e2"/>
          <w:lang w:val="en-GB"/>
        </w:rPr>
        <w:instrText xml:space="preserve"> SEQ level0 \*arabic </w:instrText>
      </w:r>
      <w:r w:rsidRPr="006B02D7">
        <w:rPr>
          <w:rStyle w:val="sb8d990e2"/>
          <w:lang w:val="en-GB"/>
        </w:rPr>
        <w:fldChar w:fldCharType="separate"/>
      </w:r>
      <w:r w:rsidR="009675D9">
        <w:rPr>
          <w:rStyle w:val="sb8d990e2"/>
          <w:noProof/>
          <w:lang w:val="en-GB"/>
        </w:rPr>
        <w:t>20</w:t>
      </w:r>
      <w:r w:rsidRPr="006B02D7">
        <w:rPr>
          <w:rStyle w:val="sb8d990e2"/>
          <w:lang w:val="en-GB"/>
        </w:rPr>
        <w:fldChar w:fldCharType="end"/>
      </w:r>
      <w:r w:rsidRPr="006B02D7">
        <w:rPr>
          <w:rStyle w:val="sb8d990e2"/>
          <w:lang w:val="en-GB"/>
        </w:rPr>
        <w:t>.  On 1 April 2009 the court was informed that the applicant had submitted a tissue sample on 6 February 2009, while A.Z., A.L. and the child had not appeared at the testing laboratory.</w:t>
      </w:r>
    </w:p>
    <w:p w:rsidR="00961B49" w:rsidRDefault="009476E8" w:rsidP="009476E8">
      <w:pPr>
        <w:pStyle w:val="ECHRPara"/>
        <w:rPr>
          <w:rStyle w:val="sb8d990e2"/>
          <w:lang w:val="en-GB"/>
        </w:rPr>
      </w:pPr>
      <w:r w:rsidRPr="006B02D7">
        <w:rPr>
          <w:rStyle w:val="sb8d990e2"/>
          <w:lang w:val="en-GB"/>
        </w:rPr>
        <w:fldChar w:fldCharType="begin"/>
      </w:r>
      <w:r w:rsidRPr="006B02D7">
        <w:rPr>
          <w:rStyle w:val="sb8d990e2"/>
          <w:lang w:val="en-GB"/>
        </w:rPr>
        <w:instrText xml:space="preserve"> SEQ level0 \*arabic </w:instrText>
      </w:r>
      <w:r w:rsidRPr="006B02D7">
        <w:rPr>
          <w:rStyle w:val="sb8d990e2"/>
          <w:lang w:val="en-GB"/>
        </w:rPr>
        <w:fldChar w:fldCharType="separate"/>
      </w:r>
      <w:r w:rsidR="009675D9">
        <w:rPr>
          <w:rStyle w:val="sb8d990e2"/>
          <w:noProof/>
          <w:lang w:val="en-GB"/>
        </w:rPr>
        <w:t>21</w:t>
      </w:r>
      <w:r w:rsidRPr="006B02D7">
        <w:rPr>
          <w:rStyle w:val="sb8d990e2"/>
          <w:lang w:val="en-GB"/>
        </w:rPr>
        <w:fldChar w:fldCharType="end"/>
      </w:r>
      <w:r w:rsidRPr="006B02D7">
        <w:rPr>
          <w:rStyle w:val="sb8d990e2"/>
          <w:lang w:val="en-GB"/>
        </w:rPr>
        <w:t xml:space="preserve">.  On 8 April 2009 the applicant </w:t>
      </w:r>
      <w:r w:rsidR="00483AB1" w:rsidRPr="006B02D7">
        <w:rPr>
          <w:rStyle w:val="sb8d990e2"/>
          <w:lang w:val="en-GB"/>
        </w:rPr>
        <w:t xml:space="preserve">asked </w:t>
      </w:r>
      <w:r w:rsidRPr="006B02D7">
        <w:rPr>
          <w:rStyle w:val="sb8d990e2"/>
          <w:lang w:val="en-GB"/>
        </w:rPr>
        <w:t>the court to order that the respondents and the child be delivered for genetic testing under constraint. The hearing organised on 26 May 2009 to decide that question was adjourned because the respondents and their lawyer had not appeared in court.</w:t>
      </w:r>
    </w:p>
    <w:p w:rsidR="009476E8" w:rsidRPr="006B02D7" w:rsidRDefault="00080A9F" w:rsidP="009476E8">
      <w:pPr>
        <w:pStyle w:val="ECHRPara"/>
        <w:rPr>
          <w:rStyle w:val="sb8d990e2"/>
          <w:lang w:val="en-GB"/>
        </w:rPr>
      </w:pPr>
      <w:r w:rsidRPr="006B02D7">
        <w:rPr>
          <w:rStyle w:val="sb8d990e2"/>
          <w:lang w:val="en-GB"/>
        </w:rPr>
        <w:fldChar w:fldCharType="begin"/>
      </w:r>
      <w:r w:rsidRPr="006B02D7">
        <w:rPr>
          <w:rStyle w:val="sb8d990e2"/>
          <w:lang w:val="en-GB"/>
        </w:rPr>
        <w:instrText xml:space="preserve"> SEQ level0 \*arabic </w:instrText>
      </w:r>
      <w:r w:rsidRPr="006B02D7">
        <w:rPr>
          <w:rStyle w:val="sb8d990e2"/>
          <w:lang w:val="en-GB"/>
        </w:rPr>
        <w:fldChar w:fldCharType="separate"/>
      </w:r>
      <w:r w:rsidR="009675D9">
        <w:rPr>
          <w:rStyle w:val="sb8d990e2"/>
          <w:noProof/>
          <w:lang w:val="en-GB"/>
        </w:rPr>
        <w:t>22</w:t>
      </w:r>
      <w:r w:rsidRPr="006B02D7">
        <w:rPr>
          <w:rStyle w:val="sb8d990e2"/>
          <w:lang w:val="en-GB"/>
        </w:rPr>
        <w:fldChar w:fldCharType="end"/>
      </w:r>
      <w:r w:rsidRPr="006B02D7">
        <w:rPr>
          <w:rStyle w:val="sb8d990e2"/>
          <w:lang w:val="en-GB"/>
        </w:rPr>
        <w:t>.  In the course of</w:t>
      </w:r>
      <w:r w:rsidR="009476E8" w:rsidRPr="006B02D7">
        <w:rPr>
          <w:rStyle w:val="sb8d990e2"/>
          <w:lang w:val="en-GB"/>
        </w:rPr>
        <w:t xml:space="preserve"> the hearing of 15 June 2009 the court rejected the applicant</w:t>
      </w:r>
      <w:r w:rsidR="00961B49">
        <w:rPr>
          <w:rStyle w:val="sb8d990e2"/>
          <w:lang w:val="en-GB"/>
        </w:rPr>
        <w:t>’</w:t>
      </w:r>
      <w:r w:rsidR="009476E8" w:rsidRPr="006B02D7">
        <w:rPr>
          <w:rStyle w:val="sb8d990e2"/>
          <w:lang w:val="en-GB"/>
        </w:rPr>
        <w:t>s request on the grounds that the child was not a party to the case and therefore his delivery under constraint could not be ordered. No</w:t>
      </w:r>
      <w:r w:rsidR="00104FD7" w:rsidRPr="006B02D7">
        <w:rPr>
          <w:rStyle w:val="sb8d990e2"/>
          <w:lang w:val="en-GB"/>
        </w:rPr>
        <w:t xml:space="preserve"> ordinary</w:t>
      </w:r>
      <w:r w:rsidR="009476E8" w:rsidRPr="006B02D7">
        <w:rPr>
          <w:rStyle w:val="sb8d990e2"/>
          <w:lang w:val="en-GB"/>
        </w:rPr>
        <w:t xml:space="preserve"> appeal lay against that decision.</w:t>
      </w:r>
      <w:r w:rsidRPr="006B02D7">
        <w:rPr>
          <w:rStyle w:val="sb8d990e2"/>
          <w:lang w:val="en-GB"/>
        </w:rPr>
        <w:t xml:space="preserve"> The applicant</w:t>
      </w:r>
      <w:r w:rsidR="00961B49">
        <w:rPr>
          <w:rStyle w:val="sb8d990e2"/>
          <w:lang w:val="en-GB"/>
        </w:rPr>
        <w:t>’</w:t>
      </w:r>
      <w:r w:rsidRPr="006B02D7">
        <w:rPr>
          <w:rStyle w:val="sb8d990e2"/>
          <w:lang w:val="en-GB"/>
        </w:rPr>
        <w:t>s representative requested that the proceedings be adjourned so that a</w:t>
      </w:r>
      <w:r w:rsidR="00104FD7" w:rsidRPr="006B02D7">
        <w:rPr>
          <w:rStyle w:val="sb8d990e2"/>
          <w:lang w:val="en-GB"/>
        </w:rPr>
        <w:t>n extraordinary</w:t>
      </w:r>
      <w:r w:rsidRPr="006B02D7">
        <w:rPr>
          <w:rStyle w:val="sb8d990e2"/>
          <w:lang w:val="en-GB"/>
        </w:rPr>
        <w:t xml:space="preserve"> complaint could be lodged</w:t>
      </w:r>
      <w:r w:rsidR="00104FD7" w:rsidRPr="006B02D7">
        <w:rPr>
          <w:rStyle w:val="sb8d990e2"/>
          <w:lang w:val="en-GB"/>
        </w:rPr>
        <w:t xml:space="preserve"> with the Prosecutor General</w:t>
      </w:r>
      <w:r w:rsidRPr="006B02D7">
        <w:rPr>
          <w:rStyle w:val="sb8d990e2"/>
          <w:lang w:val="en-GB"/>
        </w:rPr>
        <w:t>.</w:t>
      </w:r>
    </w:p>
    <w:p w:rsidR="009476E8" w:rsidRPr="006B02D7" w:rsidRDefault="009476E8" w:rsidP="009476E8">
      <w:pPr>
        <w:pStyle w:val="ECHRPara"/>
        <w:rPr>
          <w:rStyle w:val="sb8d990e2"/>
          <w:lang w:val="en-GB"/>
        </w:rPr>
      </w:pPr>
      <w:r w:rsidRPr="006B02D7">
        <w:rPr>
          <w:rStyle w:val="sb8d990e2"/>
          <w:lang w:val="en-GB"/>
        </w:rPr>
        <w:fldChar w:fldCharType="begin"/>
      </w:r>
      <w:r w:rsidRPr="006B02D7">
        <w:rPr>
          <w:rStyle w:val="sb8d990e2"/>
          <w:lang w:val="en-GB"/>
        </w:rPr>
        <w:instrText xml:space="preserve"> SEQ level0 \*arabic </w:instrText>
      </w:r>
      <w:r w:rsidRPr="006B02D7">
        <w:rPr>
          <w:rStyle w:val="sb8d990e2"/>
          <w:lang w:val="en-GB"/>
        </w:rPr>
        <w:fldChar w:fldCharType="separate"/>
      </w:r>
      <w:r w:rsidR="009675D9">
        <w:rPr>
          <w:rStyle w:val="sb8d990e2"/>
          <w:noProof/>
          <w:lang w:val="en-GB"/>
        </w:rPr>
        <w:t>23</w:t>
      </w:r>
      <w:r w:rsidRPr="006B02D7">
        <w:rPr>
          <w:rStyle w:val="sb8d990e2"/>
          <w:lang w:val="en-GB"/>
        </w:rPr>
        <w:fldChar w:fldCharType="end"/>
      </w:r>
      <w:r w:rsidRPr="006B02D7">
        <w:rPr>
          <w:rStyle w:val="sb8d990e2"/>
          <w:lang w:val="en-GB"/>
        </w:rPr>
        <w:t>.  On 26 June 2009 the applicant asked the Prosecutor General to lodge an extraordinary complaint (</w:t>
      </w:r>
      <w:r w:rsidRPr="006B02D7">
        <w:rPr>
          <w:rStyle w:val="sb8d990e2"/>
          <w:i/>
          <w:lang w:val="en-GB"/>
        </w:rPr>
        <w:t>protests</w:t>
      </w:r>
      <w:r w:rsidRPr="006B02D7">
        <w:rPr>
          <w:rStyle w:val="sb8d990e2"/>
          <w:lang w:val="en-GB"/>
        </w:rPr>
        <w:t>) about the decision of the Zemgale District Court. On 16 July 2009 the Prosecutor General granted the applicant</w:t>
      </w:r>
      <w:r w:rsidR="00961B49">
        <w:rPr>
          <w:rStyle w:val="sb8d990e2"/>
          <w:lang w:val="en-GB"/>
        </w:rPr>
        <w:t>’</w:t>
      </w:r>
      <w:r w:rsidRPr="006B02D7">
        <w:rPr>
          <w:rStyle w:val="sb8d990e2"/>
          <w:lang w:val="en-GB"/>
        </w:rPr>
        <w:t>s request and asked the Senate of the Supreme Court to quash the 15 June 2009 decision.</w:t>
      </w:r>
      <w:r w:rsidR="002164E9" w:rsidRPr="006B02D7">
        <w:rPr>
          <w:rStyle w:val="sb8d990e2"/>
          <w:lang w:val="en-GB"/>
        </w:rPr>
        <w:t xml:space="preserve"> On 28 August 2009 the Senate accepted the Prosecutor General</w:t>
      </w:r>
      <w:r w:rsidR="00961B49">
        <w:rPr>
          <w:rStyle w:val="sb8d990e2"/>
          <w:lang w:val="en-GB"/>
        </w:rPr>
        <w:t>’</w:t>
      </w:r>
      <w:r w:rsidR="002164E9" w:rsidRPr="006B02D7">
        <w:rPr>
          <w:rStyle w:val="sb8d990e2"/>
          <w:lang w:val="en-GB"/>
        </w:rPr>
        <w:t>s complaint for examination.</w:t>
      </w:r>
    </w:p>
    <w:p w:rsidR="009476E8" w:rsidRPr="006B02D7" w:rsidRDefault="009476E8" w:rsidP="009476E8">
      <w:pPr>
        <w:pStyle w:val="ECHRPara"/>
        <w:rPr>
          <w:rStyle w:val="sb8d990e2"/>
          <w:lang w:val="en-GB"/>
        </w:rPr>
      </w:pPr>
      <w:r w:rsidRPr="006B02D7">
        <w:rPr>
          <w:rStyle w:val="sb8d990e2"/>
          <w:lang w:val="en-GB"/>
        </w:rPr>
        <w:fldChar w:fldCharType="begin"/>
      </w:r>
      <w:r w:rsidRPr="006B02D7">
        <w:rPr>
          <w:rStyle w:val="sb8d990e2"/>
          <w:lang w:val="en-GB"/>
        </w:rPr>
        <w:instrText xml:space="preserve"> SEQ level0 \*arabic </w:instrText>
      </w:r>
      <w:r w:rsidRPr="006B02D7">
        <w:rPr>
          <w:rStyle w:val="sb8d990e2"/>
          <w:lang w:val="en-GB"/>
        </w:rPr>
        <w:fldChar w:fldCharType="separate"/>
      </w:r>
      <w:r w:rsidR="009675D9">
        <w:rPr>
          <w:rStyle w:val="sb8d990e2"/>
          <w:noProof/>
          <w:lang w:val="en-GB"/>
        </w:rPr>
        <w:t>24</w:t>
      </w:r>
      <w:r w:rsidRPr="006B02D7">
        <w:rPr>
          <w:rStyle w:val="sb8d990e2"/>
          <w:lang w:val="en-GB"/>
        </w:rPr>
        <w:fldChar w:fldCharType="end"/>
      </w:r>
      <w:r w:rsidRPr="006B02D7">
        <w:rPr>
          <w:rStyle w:val="sb8d990e2"/>
          <w:lang w:val="en-GB"/>
        </w:rPr>
        <w:t>.  On 13 January 2010 the Senate decided to uphold the Prosecutor General</w:t>
      </w:r>
      <w:r w:rsidR="00961B49">
        <w:rPr>
          <w:rStyle w:val="sb8d990e2"/>
          <w:lang w:val="en-GB"/>
        </w:rPr>
        <w:t>’</w:t>
      </w:r>
      <w:r w:rsidRPr="006B02D7">
        <w:rPr>
          <w:rStyle w:val="sb8d990e2"/>
          <w:lang w:val="en-GB"/>
        </w:rPr>
        <w:t>s complaint, to quash the Zemgale District Court</w:t>
      </w:r>
      <w:r w:rsidR="00961B49">
        <w:rPr>
          <w:rStyle w:val="sb8d990e2"/>
          <w:lang w:val="en-GB"/>
        </w:rPr>
        <w:t>’</w:t>
      </w:r>
      <w:r w:rsidRPr="006B02D7">
        <w:rPr>
          <w:rStyle w:val="sb8d990e2"/>
          <w:lang w:val="en-GB"/>
        </w:rPr>
        <w:t>s decision and to remit t</w:t>
      </w:r>
      <w:r w:rsidR="00104FD7" w:rsidRPr="006B02D7">
        <w:rPr>
          <w:rStyle w:val="sb8d990e2"/>
          <w:lang w:val="en-GB"/>
        </w:rPr>
        <w:t>he case to another judge of the same</w:t>
      </w:r>
      <w:r w:rsidRPr="006B02D7">
        <w:rPr>
          <w:rStyle w:val="sb8d990e2"/>
          <w:lang w:val="en-GB"/>
        </w:rPr>
        <w:t xml:space="preserve"> court.</w:t>
      </w:r>
    </w:p>
    <w:p w:rsidR="009476E8" w:rsidRPr="006B02D7" w:rsidRDefault="009476E8" w:rsidP="009476E8">
      <w:pPr>
        <w:pStyle w:val="ECHRPara"/>
        <w:rPr>
          <w:rStyle w:val="sb8d990e2"/>
          <w:lang w:val="en-GB"/>
        </w:rPr>
      </w:pPr>
      <w:r w:rsidRPr="006B02D7">
        <w:rPr>
          <w:rStyle w:val="sb8d990e2"/>
          <w:lang w:val="en-GB"/>
        </w:rPr>
        <w:fldChar w:fldCharType="begin"/>
      </w:r>
      <w:r w:rsidRPr="006B02D7">
        <w:rPr>
          <w:rStyle w:val="sb8d990e2"/>
          <w:lang w:val="en-GB"/>
        </w:rPr>
        <w:instrText xml:space="preserve"> SEQ level0 \*arabic </w:instrText>
      </w:r>
      <w:r w:rsidRPr="006B02D7">
        <w:rPr>
          <w:rStyle w:val="sb8d990e2"/>
          <w:lang w:val="en-GB"/>
        </w:rPr>
        <w:fldChar w:fldCharType="separate"/>
      </w:r>
      <w:r w:rsidR="009675D9">
        <w:rPr>
          <w:rStyle w:val="sb8d990e2"/>
          <w:noProof/>
          <w:lang w:val="en-GB"/>
        </w:rPr>
        <w:t>25</w:t>
      </w:r>
      <w:r w:rsidRPr="006B02D7">
        <w:rPr>
          <w:rStyle w:val="sb8d990e2"/>
          <w:lang w:val="en-GB"/>
        </w:rPr>
        <w:fldChar w:fldCharType="end"/>
      </w:r>
      <w:r w:rsidRPr="006B02D7">
        <w:rPr>
          <w:rStyle w:val="sb8d990e2"/>
          <w:lang w:val="en-GB"/>
        </w:rPr>
        <w:t xml:space="preserve">.  After adjourning the hearing of 15 March 2010 </w:t>
      </w:r>
      <w:r w:rsidR="00480FC2" w:rsidRPr="006B02D7">
        <w:rPr>
          <w:rStyle w:val="sb8d990e2"/>
          <w:lang w:val="en-GB"/>
        </w:rPr>
        <w:t xml:space="preserve">owing </w:t>
      </w:r>
      <w:r w:rsidRPr="006B02D7">
        <w:rPr>
          <w:rStyle w:val="sb8d990e2"/>
          <w:lang w:val="en-GB"/>
        </w:rPr>
        <w:t>to the respondents</w:t>
      </w:r>
      <w:r w:rsidR="00961B49">
        <w:rPr>
          <w:rStyle w:val="sb8d990e2"/>
          <w:lang w:val="en-GB"/>
        </w:rPr>
        <w:t>’</w:t>
      </w:r>
      <w:r w:rsidRPr="006B02D7">
        <w:rPr>
          <w:rStyle w:val="sb8d990e2"/>
          <w:lang w:val="en-GB"/>
        </w:rPr>
        <w:t xml:space="preserve"> failure to appear </w:t>
      </w:r>
      <w:r w:rsidR="00480FC2" w:rsidRPr="006B02D7">
        <w:rPr>
          <w:rStyle w:val="sb8d990e2"/>
          <w:lang w:val="en-GB"/>
        </w:rPr>
        <w:t xml:space="preserve">in </w:t>
      </w:r>
      <w:r w:rsidRPr="006B02D7">
        <w:rPr>
          <w:rStyle w:val="sb8d990e2"/>
          <w:lang w:val="en-GB"/>
        </w:rPr>
        <w:t>court, on 16 March 2010 the Zemgale District Court decided to grant the applic</w:t>
      </w:r>
      <w:r w:rsidR="00104FD7" w:rsidRPr="006B02D7">
        <w:rPr>
          <w:rStyle w:val="sb8d990e2"/>
          <w:lang w:val="en-GB"/>
        </w:rPr>
        <w:t>ant</w:t>
      </w:r>
      <w:r w:rsidR="00961B49">
        <w:rPr>
          <w:rStyle w:val="sb8d990e2"/>
          <w:lang w:val="en-GB"/>
        </w:rPr>
        <w:t>’</w:t>
      </w:r>
      <w:r w:rsidR="00104FD7" w:rsidRPr="006B02D7">
        <w:rPr>
          <w:rStyle w:val="sb8d990e2"/>
          <w:lang w:val="en-GB"/>
        </w:rPr>
        <w:t>s request and to order the m</w:t>
      </w:r>
      <w:r w:rsidRPr="006B02D7">
        <w:rPr>
          <w:rStyle w:val="sb8d990e2"/>
          <w:lang w:val="en-GB"/>
        </w:rPr>
        <w:t>unicipal police to deliver the respondents and the child for genetic testing under constraint.</w:t>
      </w:r>
      <w:r w:rsidR="002164E9" w:rsidRPr="006B02D7">
        <w:rPr>
          <w:rStyle w:val="sb8d990e2"/>
          <w:lang w:val="en-GB"/>
        </w:rPr>
        <w:t xml:space="preserve"> The court also fined A.L. and A.Z. 50 Latvian lati </w:t>
      </w:r>
      <w:r w:rsidR="00480FC2" w:rsidRPr="006B02D7">
        <w:rPr>
          <w:rStyle w:val="sb8d990e2"/>
          <w:lang w:val="en-GB"/>
        </w:rPr>
        <w:t xml:space="preserve">(LVL) </w:t>
      </w:r>
      <w:r w:rsidR="002164E9" w:rsidRPr="006B02D7">
        <w:rPr>
          <w:rStyle w:val="sb8d990e2"/>
          <w:lang w:val="en-GB"/>
        </w:rPr>
        <w:t>each for failing to appear at the hearing without a justified reason.</w:t>
      </w:r>
    </w:p>
    <w:p w:rsidR="009476E8" w:rsidRPr="006B02D7" w:rsidRDefault="009476E8" w:rsidP="009476E8">
      <w:pPr>
        <w:pStyle w:val="ECHRPara"/>
        <w:rPr>
          <w:rStyle w:val="sb8d990e2"/>
          <w:lang w:val="en-GB"/>
        </w:rPr>
      </w:pPr>
      <w:r w:rsidRPr="006B02D7">
        <w:rPr>
          <w:rStyle w:val="sb8d990e2"/>
          <w:lang w:val="en-GB"/>
        </w:rPr>
        <w:fldChar w:fldCharType="begin"/>
      </w:r>
      <w:r w:rsidRPr="006B02D7">
        <w:rPr>
          <w:rStyle w:val="sb8d990e2"/>
          <w:lang w:val="en-GB"/>
        </w:rPr>
        <w:instrText xml:space="preserve"> SEQ level0 \*arabic </w:instrText>
      </w:r>
      <w:r w:rsidRPr="006B02D7">
        <w:rPr>
          <w:rStyle w:val="sb8d990e2"/>
          <w:lang w:val="en-GB"/>
        </w:rPr>
        <w:fldChar w:fldCharType="separate"/>
      </w:r>
      <w:r w:rsidR="009675D9">
        <w:rPr>
          <w:rStyle w:val="sb8d990e2"/>
          <w:noProof/>
          <w:lang w:val="en-GB"/>
        </w:rPr>
        <w:t>26</w:t>
      </w:r>
      <w:r w:rsidRPr="006B02D7">
        <w:rPr>
          <w:rStyle w:val="sb8d990e2"/>
          <w:lang w:val="en-GB"/>
        </w:rPr>
        <w:fldChar w:fldCharType="end"/>
      </w:r>
      <w:r w:rsidRPr="006B02D7">
        <w:rPr>
          <w:rStyle w:val="sb8d990e2"/>
          <w:lang w:val="en-GB"/>
        </w:rPr>
        <w:t>.  On 10 May 2010 the applicant informed the court that the decision of 16 </w:t>
      </w:r>
      <w:r w:rsidR="00104FD7" w:rsidRPr="006B02D7">
        <w:rPr>
          <w:rStyle w:val="sb8d990e2"/>
          <w:lang w:val="en-GB"/>
        </w:rPr>
        <w:t xml:space="preserve">March </w:t>
      </w:r>
      <w:r w:rsidR="00480FC2" w:rsidRPr="006B02D7">
        <w:rPr>
          <w:rStyle w:val="sb8d990e2"/>
          <w:lang w:val="en-GB"/>
        </w:rPr>
        <w:t xml:space="preserve">did not appear to have </w:t>
      </w:r>
      <w:r w:rsidR="00104FD7" w:rsidRPr="006B02D7">
        <w:rPr>
          <w:rStyle w:val="sb8d990e2"/>
          <w:lang w:val="en-GB"/>
        </w:rPr>
        <w:t>been sent to the m</w:t>
      </w:r>
      <w:r w:rsidRPr="006B02D7">
        <w:rPr>
          <w:rStyle w:val="sb8d990e2"/>
          <w:lang w:val="en-GB"/>
        </w:rPr>
        <w:t>unicipal police.</w:t>
      </w:r>
    </w:p>
    <w:p w:rsidR="009476E8" w:rsidRPr="006B02D7" w:rsidRDefault="009476E8" w:rsidP="009476E8">
      <w:pPr>
        <w:pStyle w:val="ECHRPara"/>
        <w:rPr>
          <w:rStyle w:val="sb8d990e2"/>
          <w:lang w:val="en-GB"/>
        </w:rPr>
      </w:pPr>
      <w:r w:rsidRPr="006B02D7">
        <w:rPr>
          <w:rStyle w:val="sb8d990e2"/>
          <w:lang w:val="en-GB"/>
        </w:rPr>
        <w:fldChar w:fldCharType="begin"/>
      </w:r>
      <w:r w:rsidRPr="006B02D7">
        <w:rPr>
          <w:rStyle w:val="sb8d990e2"/>
          <w:lang w:val="en-GB"/>
        </w:rPr>
        <w:instrText xml:space="preserve"> SEQ level0 \*arabic </w:instrText>
      </w:r>
      <w:r w:rsidRPr="006B02D7">
        <w:rPr>
          <w:rStyle w:val="sb8d990e2"/>
          <w:lang w:val="en-GB"/>
        </w:rPr>
        <w:fldChar w:fldCharType="separate"/>
      </w:r>
      <w:r w:rsidR="009675D9">
        <w:rPr>
          <w:rStyle w:val="sb8d990e2"/>
          <w:noProof/>
          <w:lang w:val="en-GB"/>
        </w:rPr>
        <w:t>27</w:t>
      </w:r>
      <w:r w:rsidRPr="006B02D7">
        <w:rPr>
          <w:rStyle w:val="sb8d990e2"/>
          <w:lang w:val="en-GB"/>
        </w:rPr>
        <w:fldChar w:fldCharType="end"/>
      </w:r>
      <w:r w:rsidRPr="006B02D7">
        <w:rPr>
          <w:rStyle w:val="sb8d990e2"/>
          <w:lang w:val="en-GB"/>
        </w:rPr>
        <w:t>.  That omission was admitted by the court in a decision of 14 May 2010, by which the court decided to order the State police to deliver the respondents and the child for testing under constraint.</w:t>
      </w:r>
    </w:p>
    <w:p w:rsidR="009476E8" w:rsidRPr="006B02D7" w:rsidRDefault="009476E8" w:rsidP="009476E8">
      <w:pPr>
        <w:pStyle w:val="ECHRPara"/>
        <w:rPr>
          <w:rStyle w:val="sb8d990e2"/>
          <w:lang w:val="en-GB"/>
        </w:rPr>
      </w:pPr>
      <w:r w:rsidRPr="006B02D7">
        <w:rPr>
          <w:rStyle w:val="sb8d990e2"/>
          <w:lang w:val="en-GB"/>
        </w:rPr>
        <w:fldChar w:fldCharType="begin"/>
      </w:r>
      <w:r w:rsidRPr="006B02D7">
        <w:rPr>
          <w:rStyle w:val="sb8d990e2"/>
          <w:lang w:val="en-GB"/>
        </w:rPr>
        <w:instrText xml:space="preserve"> SEQ level0 \*arabic </w:instrText>
      </w:r>
      <w:r w:rsidRPr="006B02D7">
        <w:rPr>
          <w:rStyle w:val="sb8d990e2"/>
          <w:lang w:val="en-GB"/>
        </w:rPr>
        <w:fldChar w:fldCharType="separate"/>
      </w:r>
      <w:r w:rsidR="009675D9">
        <w:rPr>
          <w:rStyle w:val="sb8d990e2"/>
          <w:noProof/>
          <w:lang w:val="en-GB"/>
        </w:rPr>
        <w:t>28</w:t>
      </w:r>
      <w:r w:rsidRPr="006B02D7">
        <w:rPr>
          <w:rStyle w:val="sb8d990e2"/>
          <w:lang w:val="en-GB"/>
        </w:rPr>
        <w:fldChar w:fldCharType="end"/>
      </w:r>
      <w:r w:rsidRPr="006B02D7">
        <w:rPr>
          <w:rStyle w:val="sb8d990e2"/>
          <w:lang w:val="en-GB"/>
        </w:rPr>
        <w:t>.  On 22 June 2010 the director of the testing laboratory informed the Zemgale District Court that a tissue sample had been taken from A.L. on 18 June 2010 but that A.Z. and the child had not appeared at the laboratory for testing.</w:t>
      </w:r>
    </w:p>
    <w:p w:rsidR="009476E8" w:rsidRPr="006B02D7" w:rsidRDefault="009476E8" w:rsidP="009476E8">
      <w:pPr>
        <w:pStyle w:val="ECHRPara"/>
        <w:rPr>
          <w:rStyle w:val="sb8d990e2"/>
          <w:lang w:val="en-GB"/>
        </w:rPr>
      </w:pPr>
      <w:r w:rsidRPr="006B02D7">
        <w:rPr>
          <w:rStyle w:val="sb8d990e2"/>
          <w:lang w:val="en-GB"/>
        </w:rPr>
        <w:fldChar w:fldCharType="begin"/>
      </w:r>
      <w:r w:rsidRPr="006B02D7">
        <w:rPr>
          <w:rStyle w:val="sb8d990e2"/>
          <w:lang w:val="en-GB"/>
        </w:rPr>
        <w:instrText xml:space="preserve"> SEQ level0 \*arabic </w:instrText>
      </w:r>
      <w:r w:rsidRPr="006B02D7">
        <w:rPr>
          <w:rStyle w:val="sb8d990e2"/>
          <w:lang w:val="en-GB"/>
        </w:rPr>
        <w:fldChar w:fldCharType="separate"/>
      </w:r>
      <w:r w:rsidR="009675D9">
        <w:rPr>
          <w:rStyle w:val="sb8d990e2"/>
          <w:noProof/>
          <w:lang w:val="en-GB"/>
        </w:rPr>
        <w:t>29</w:t>
      </w:r>
      <w:r w:rsidRPr="006B02D7">
        <w:rPr>
          <w:rStyle w:val="sb8d990e2"/>
          <w:lang w:val="en-GB"/>
        </w:rPr>
        <w:fldChar w:fldCharType="end"/>
      </w:r>
      <w:r w:rsidRPr="006B02D7">
        <w:rPr>
          <w:rStyle w:val="sb8d990e2"/>
          <w:lang w:val="en-GB"/>
        </w:rPr>
        <w:t>.  According to a letter sent by the police to the court on 17 June 2010, on several occasions police officers had not found A.Z. and the child at their stated address and a neighbour had informed the police that a woman with a small child was not residing there.</w:t>
      </w:r>
    </w:p>
    <w:p w:rsidR="009476E8" w:rsidRPr="006B02D7" w:rsidRDefault="009476E8" w:rsidP="009476E8">
      <w:pPr>
        <w:pStyle w:val="ECHRPara"/>
        <w:rPr>
          <w:rStyle w:val="sb8d990e2"/>
          <w:lang w:val="en-GB"/>
        </w:rPr>
      </w:pPr>
      <w:r w:rsidRPr="006B02D7">
        <w:rPr>
          <w:rStyle w:val="sb8d990e2"/>
          <w:lang w:val="en-GB"/>
        </w:rPr>
        <w:fldChar w:fldCharType="begin"/>
      </w:r>
      <w:r w:rsidRPr="006B02D7">
        <w:rPr>
          <w:rStyle w:val="sb8d990e2"/>
          <w:lang w:val="en-GB"/>
        </w:rPr>
        <w:instrText xml:space="preserve"> SEQ level0 \*arabic </w:instrText>
      </w:r>
      <w:r w:rsidRPr="006B02D7">
        <w:rPr>
          <w:rStyle w:val="sb8d990e2"/>
          <w:lang w:val="en-GB"/>
        </w:rPr>
        <w:fldChar w:fldCharType="separate"/>
      </w:r>
      <w:r w:rsidR="009675D9">
        <w:rPr>
          <w:rStyle w:val="sb8d990e2"/>
          <w:noProof/>
          <w:lang w:val="en-GB"/>
        </w:rPr>
        <w:t>30</w:t>
      </w:r>
      <w:r w:rsidRPr="006B02D7">
        <w:rPr>
          <w:rStyle w:val="sb8d990e2"/>
          <w:lang w:val="en-GB"/>
        </w:rPr>
        <w:fldChar w:fldCharType="end"/>
      </w:r>
      <w:r w:rsidRPr="006B02D7">
        <w:rPr>
          <w:rStyle w:val="sb8d990e2"/>
          <w:lang w:val="en-GB"/>
        </w:rPr>
        <w:t xml:space="preserve">.  On 5 July 2010 the applicant </w:t>
      </w:r>
      <w:r w:rsidR="00480FC2" w:rsidRPr="006B02D7">
        <w:rPr>
          <w:rStyle w:val="sb8d990e2"/>
          <w:lang w:val="en-GB"/>
        </w:rPr>
        <w:t xml:space="preserve">asked </w:t>
      </w:r>
      <w:r w:rsidRPr="006B02D7">
        <w:rPr>
          <w:rStyle w:val="sb8d990e2"/>
          <w:lang w:val="en-GB"/>
        </w:rPr>
        <w:t>the Zemgale District Court to order a search (</w:t>
      </w:r>
      <w:r w:rsidRPr="006B02D7">
        <w:rPr>
          <w:rStyle w:val="sb8d990e2"/>
          <w:i/>
          <w:lang w:val="en-GB"/>
        </w:rPr>
        <w:t>izsludināt meklēšanā</w:t>
      </w:r>
      <w:r w:rsidRPr="006B02D7">
        <w:rPr>
          <w:rStyle w:val="sb8d990e2"/>
          <w:lang w:val="en-GB"/>
        </w:rPr>
        <w:t>) for A.Z. and the child.</w:t>
      </w:r>
    </w:p>
    <w:p w:rsidR="00196B59" w:rsidRPr="006B02D7" w:rsidRDefault="00196B59" w:rsidP="009476E8">
      <w:pPr>
        <w:pStyle w:val="ECHRPara"/>
        <w:rPr>
          <w:rStyle w:val="sb8d990e2"/>
          <w:lang w:val="en-GB"/>
        </w:rPr>
      </w:pPr>
      <w:r w:rsidRPr="006B02D7">
        <w:rPr>
          <w:rStyle w:val="sb8d990e2"/>
          <w:lang w:val="en-GB"/>
        </w:rPr>
        <w:fldChar w:fldCharType="begin"/>
      </w:r>
      <w:r w:rsidRPr="006B02D7">
        <w:rPr>
          <w:rStyle w:val="sb8d990e2"/>
          <w:lang w:val="en-GB"/>
        </w:rPr>
        <w:instrText xml:space="preserve"> SEQ level0 \*arabic </w:instrText>
      </w:r>
      <w:r w:rsidRPr="006B02D7">
        <w:rPr>
          <w:rStyle w:val="sb8d990e2"/>
          <w:lang w:val="en-GB"/>
        </w:rPr>
        <w:fldChar w:fldCharType="separate"/>
      </w:r>
      <w:r w:rsidR="009675D9">
        <w:rPr>
          <w:rStyle w:val="sb8d990e2"/>
          <w:noProof/>
          <w:lang w:val="en-GB"/>
        </w:rPr>
        <w:t>31</w:t>
      </w:r>
      <w:r w:rsidRPr="006B02D7">
        <w:rPr>
          <w:rStyle w:val="sb8d990e2"/>
          <w:lang w:val="en-GB"/>
        </w:rPr>
        <w:fldChar w:fldCharType="end"/>
      </w:r>
      <w:r w:rsidRPr="006B02D7">
        <w:rPr>
          <w:rStyle w:val="sb8d990e2"/>
          <w:lang w:val="en-GB"/>
        </w:rPr>
        <w:t>.  On 15 July 2010 the Zemgale District Court examined the applicant</w:t>
      </w:r>
      <w:r w:rsidR="00961B49">
        <w:rPr>
          <w:rStyle w:val="sb8d990e2"/>
          <w:lang w:val="en-GB"/>
        </w:rPr>
        <w:t>’</w:t>
      </w:r>
      <w:r w:rsidRPr="006B02D7">
        <w:rPr>
          <w:rStyle w:val="sb8d990e2"/>
          <w:lang w:val="en-GB"/>
        </w:rPr>
        <w:t xml:space="preserve">s request on the merits. The respondents were absent. The court fined A.L. and A.Z. </w:t>
      </w:r>
      <w:r w:rsidR="00480FC2" w:rsidRPr="006B02D7">
        <w:rPr>
          <w:rStyle w:val="sb8d990e2"/>
          <w:lang w:val="en-GB"/>
        </w:rPr>
        <w:t xml:space="preserve">LVL </w:t>
      </w:r>
      <w:r w:rsidRPr="006B02D7">
        <w:rPr>
          <w:rStyle w:val="sb8d990e2"/>
          <w:lang w:val="en-GB"/>
        </w:rPr>
        <w:t>50 each for failing to appear at the hearing without a justified reason</w:t>
      </w:r>
      <w:r w:rsidR="008257B0" w:rsidRPr="006B02D7">
        <w:rPr>
          <w:rStyle w:val="sb8d990e2"/>
          <w:lang w:val="en-GB"/>
        </w:rPr>
        <w:t>.</w:t>
      </w:r>
    </w:p>
    <w:p w:rsidR="009476E8" w:rsidRPr="006B02D7" w:rsidRDefault="009476E8" w:rsidP="009476E8">
      <w:pPr>
        <w:pStyle w:val="ECHRPara"/>
        <w:rPr>
          <w:rStyle w:val="sb8d990e2"/>
          <w:lang w:val="en-GB"/>
        </w:rPr>
      </w:pPr>
      <w:r w:rsidRPr="006B02D7">
        <w:rPr>
          <w:rStyle w:val="sb8d990e2"/>
          <w:lang w:val="en-GB"/>
        </w:rPr>
        <w:fldChar w:fldCharType="begin"/>
      </w:r>
      <w:r w:rsidRPr="006B02D7">
        <w:rPr>
          <w:rStyle w:val="sb8d990e2"/>
          <w:lang w:val="en-GB"/>
        </w:rPr>
        <w:instrText xml:space="preserve"> SEQ level0 \*arabic </w:instrText>
      </w:r>
      <w:r w:rsidRPr="006B02D7">
        <w:rPr>
          <w:rStyle w:val="sb8d990e2"/>
          <w:lang w:val="en-GB"/>
        </w:rPr>
        <w:fldChar w:fldCharType="separate"/>
      </w:r>
      <w:r w:rsidR="009675D9">
        <w:rPr>
          <w:rStyle w:val="sb8d990e2"/>
          <w:noProof/>
          <w:lang w:val="en-GB"/>
        </w:rPr>
        <w:t>32</w:t>
      </w:r>
      <w:r w:rsidRPr="006B02D7">
        <w:rPr>
          <w:rStyle w:val="sb8d990e2"/>
          <w:lang w:val="en-GB"/>
        </w:rPr>
        <w:fldChar w:fldCharType="end"/>
      </w:r>
      <w:r w:rsidRPr="006B02D7">
        <w:rPr>
          <w:rStyle w:val="sb8d990e2"/>
          <w:lang w:val="en-GB"/>
        </w:rPr>
        <w:t>.  By a decision of 20 July 2010 the court granted the applicant</w:t>
      </w:r>
      <w:r w:rsidR="00961B49">
        <w:rPr>
          <w:rStyle w:val="sb8d990e2"/>
          <w:lang w:val="en-GB"/>
        </w:rPr>
        <w:t>’</w:t>
      </w:r>
      <w:r w:rsidRPr="006B02D7">
        <w:rPr>
          <w:rStyle w:val="sb8d990e2"/>
          <w:lang w:val="en-GB"/>
        </w:rPr>
        <w:t>s request.</w:t>
      </w:r>
    </w:p>
    <w:p w:rsidR="009476E8" w:rsidRPr="006B02D7" w:rsidRDefault="009476E8" w:rsidP="009476E8">
      <w:pPr>
        <w:pStyle w:val="ECHRPara"/>
        <w:rPr>
          <w:rStyle w:val="sb8d990e2"/>
          <w:lang w:val="en-GB"/>
        </w:rPr>
      </w:pPr>
      <w:r w:rsidRPr="006B02D7">
        <w:rPr>
          <w:rStyle w:val="sb8d990e2"/>
          <w:lang w:val="en-GB"/>
        </w:rPr>
        <w:fldChar w:fldCharType="begin"/>
      </w:r>
      <w:r w:rsidRPr="006B02D7">
        <w:rPr>
          <w:rStyle w:val="sb8d990e2"/>
          <w:lang w:val="en-GB"/>
        </w:rPr>
        <w:instrText xml:space="preserve"> SEQ level0 \*arabic </w:instrText>
      </w:r>
      <w:r w:rsidRPr="006B02D7">
        <w:rPr>
          <w:rStyle w:val="sb8d990e2"/>
          <w:lang w:val="en-GB"/>
        </w:rPr>
        <w:fldChar w:fldCharType="separate"/>
      </w:r>
      <w:r w:rsidR="009675D9">
        <w:rPr>
          <w:rStyle w:val="sb8d990e2"/>
          <w:noProof/>
          <w:lang w:val="en-GB"/>
        </w:rPr>
        <w:t>33</w:t>
      </w:r>
      <w:r w:rsidRPr="006B02D7">
        <w:rPr>
          <w:rStyle w:val="sb8d990e2"/>
          <w:lang w:val="en-GB"/>
        </w:rPr>
        <w:fldChar w:fldCharType="end"/>
      </w:r>
      <w:r w:rsidRPr="006B02D7">
        <w:rPr>
          <w:rStyle w:val="sb8d990e2"/>
          <w:lang w:val="en-GB"/>
        </w:rPr>
        <w:t xml:space="preserve">.  On 8 October 2010 </w:t>
      </w:r>
      <w:r w:rsidR="00527D86" w:rsidRPr="006B02D7">
        <w:rPr>
          <w:rStyle w:val="sb8d990e2"/>
          <w:lang w:val="en-GB"/>
        </w:rPr>
        <w:t xml:space="preserve">a </w:t>
      </w:r>
      <w:r w:rsidRPr="006B02D7">
        <w:rPr>
          <w:rStyle w:val="sb8d990e2"/>
          <w:lang w:val="en-GB"/>
        </w:rPr>
        <w:t xml:space="preserve">genetic sample </w:t>
      </w:r>
      <w:r w:rsidR="00281D75" w:rsidRPr="006B02D7">
        <w:rPr>
          <w:rStyle w:val="sb8d990e2"/>
          <w:lang w:val="en-GB"/>
        </w:rPr>
        <w:t>was</w:t>
      </w:r>
      <w:r w:rsidRPr="006B02D7">
        <w:rPr>
          <w:rStyle w:val="sb8d990e2"/>
          <w:lang w:val="en-GB"/>
        </w:rPr>
        <w:t xml:space="preserve"> taken </w:t>
      </w:r>
      <w:r w:rsidR="00480FC2" w:rsidRPr="006B02D7">
        <w:rPr>
          <w:rStyle w:val="sb8d990e2"/>
          <w:lang w:val="en-GB"/>
        </w:rPr>
        <w:t xml:space="preserve">from the child </w:t>
      </w:r>
      <w:r w:rsidRPr="006B02D7">
        <w:rPr>
          <w:rStyle w:val="sb8d990e2"/>
          <w:lang w:val="en-GB"/>
        </w:rPr>
        <w:t>at the testing laboratory.</w:t>
      </w:r>
    </w:p>
    <w:p w:rsidR="009476E8" w:rsidRPr="006B02D7" w:rsidRDefault="009476E8" w:rsidP="009476E8">
      <w:pPr>
        <w:pStyle w:val="ECHRPara"/>
        <w:rPr>
          <w:rStyle w:val="sb8d990e2"/>
          <w:lang w:val="en-GB"/>
        </w:rPr>
      </w:pPr>
      <w:r w:rsidRPr="006B02D7">
        <w:rPr>
          <w:rStyle w:val="sb8d990e2"/>
          <w:lang w:val="en-GB"/>
        </w:rPr>
        <w:fldChar w:fldCharType="begin"/>
      </w:r>
      <w:r w:rsidRPr="006B02D7">
        <w:rPr>
          <w:rStyle w:val="sb8d990e2"/>
          <w:lang w:val="en-GB"/>
        </w:rPr>
        <w:instrText xml:space="preserve"> SEQ level0 \*arabic </w:instrText>
      </w:r>
      <w:r w:rsidRPr="006B02D7">
        <w:rPr>
          <w:rStyle w:val="sb8d990e2"/>
          <w:lang w:val="en-GB"/>
        </w:rPr>
        <w:fldChar w:fldCharType="separate"/>
      </w:r>
      <w:r w:rsidR="009675D9">
        <w:rPr>
          <w:rStyle w:val="sb8d990e2"/>
          <w:noProof/>
          <w:lang w:val="en-GB"/>
        </w:rPr>
        <w:t>34</w:t>
      </w:r>
      <w:r w:rsidRPr="006B02D7">
        <w:rPr>
          <w:rStyle w:val="sb8d990e2"/>
          <w:lang w:val="en-GB"/>
        </w:rPr>
        <w:fldChar w:fldCharType="end"/>
      </w:r>
      <w:r w:rsidRPr="006B02D7">
        <w:rPr>
          <w:rStyle w:val="sb8d990e2"/>
          <w:lang w:val="en-GB"/>
        </w:rPr>
        <w:t>.  On 13 October 2010 the testing laboratory issued a report, finding that the probability that the applicant was the father of A.E.Z. was 99.9999141 % and that it was impossible that A.L.</w:t>
      </w:r>
      <w:r w:rsidR="00480FC2" w:rsidRPr="006B02D7">
        <w:rPr>
          <w:rStyle w:val="sb8d990e2"/>
          <w:lang w:val="en-GB"/>
        </w:rPr>
        <w:t xml:space="preserve"> was the father.</w:t>
      </w:r>
    </w:p>
    <w:p w:rsidR="009476E8" w:rsidRPr="006B02D7" w:rsidRDefault="009476E8" w:rsidP="009476E8">
      <w:pPr>
        <w:pStyle w:val="ECHRPara"/>
        <w:rPr>
          <w:rStyle w:val="sb8d990e2"/>
          <w:lang w:val="en-GB"/>
        </w:rPr>
      </w:pPr>
      <w:r w:rsidRPr="006B02D7">
        <w:rPr>
          <w:rStyle w:val="sb8d990e2"/>
          <w:lang w:val="en-GB"/>
        </w:rPr>
        <w:fldChar w:fldCharType="begin"/>
      </w:r>
      <w:r w:rsidRPr="006B02D7">
        <w:rPr>
          <w:rStyle w:val="sb8d990e2"/>
          <w:lang w:val="en-GB"/>
        </w:rPr>
        <w:instrText xml:space="preserve"> SEQ level0 \*arabic </w:instrText>
      </w:r>
      <w:r w:rsidRPr="006B02D7">
        <w:rPr>
          <w:rStyle w:val="sb8d990e2"/>
          <w:lang w:val="en-GB"/>
        </w:rPr>
        <w:fldChar w:fldCharType="separate"/>
      </w:r>
      <w:r w:rsidR="009675D9">
        <w:rPr>
          <w:rStyle w:val="sb8d990e2"/>
          <w:noProof/>
          <w:lang w:val="en-GB"/>
        </w:rPr>
        <w:t>35</w:t>
      </w:r>
      <w:r w:rsidRPr="006B02D7">
        <w:rPr>
          <w:rStyle w:val="sb8d990e2"/>
          <w:lang w:val="en-GB"/>
        </w:rPr>
        <w:fldChar w:fldCharType="end"/>
      </w:r>
      <w:r w:rsidRPr="006B02D7">
        <w:rPr>
          <w:rStyle w:val="sb8d990e2"/>
          <w:lang w:val="en-GB"/>
        </w:rPr>
        <w:t>.  The next hearing of the Zemgale District Court was held on 11 November 2010.</w:t>
      </w:r>
    </w:p>
    <w:p w:rsidR="009476E8" w:rsidRPr="006B02D7" w:rsidRDefault="009476E8" w:rsidP="009476E8">
      <w:pPr>
        <w:pStyle w:val="ECHRPara"/>
        <w:rPr>
          <w:rStyle w:val="sb8d990e2"/>
          <w:lang w:val="en-GB"/>
        </w:rPr>
      </w:pPr>
      <w:r w:rsidRPr="006B02D7">
        <w:rPr>
          <w:rStyle w:val="sb8d990e2"/>
          <w:lang w:val="en-GB"/>
        </w:rPr>
        <w:fldChar w:fldCharType="begin"/>
      </w:r>
      <w:r w:rsidRPr="006B02D7">
        <w:rPr>
          <w:rStyle w:val="sb8d990e2"/>
          <w:lang w:val="en-GB"/>
        </w:rPr>
        <w:instrText xml:space="preserve"> SEQ level0 \*arabic </w:instrText>
      </w:r>
      <w:r w:rsidRPr="006B02D7">
        <w:rPr>
          <w:rStyle w:val="sb8d990e2"/>
          <w:lang w:val="en-GB"/>
        </w:rPr>
        <w:fldChar w:fldCharType="separate"/>
      </w:r>
      <w:r w:rsidR="009675D9">
        <w:rPr>
          <w:rStyle w:val="sb8d990e2"/>
          <w:noProof/>
          <w:lang w:val="en-GB"/>
        </w:rPr>
        <w:t>36</w:t>
      </w:r>
      <w:r w:rsidRPr="006B02D7">
        <w:rPr>
          <w:rStyle w:val="sb8d990e2"/>
          <w:lang w:val="en-GB"/>
        </w:rPr>
        <w:fldChar w:fldCharType="end"/>
      </w:r>
      <w:r w:rsidRPr="006B02D7">
        <w:rPr>
          <w:rStyle w:val="sb8d990e2"/>
          <w:lang w:val="en-GB"/>
        </w:rPr>
        <w:t>.  On 25 November 2010 the Zemgale District Court adopted a judgment by which it rejected the applicant</w:t>
      </w:r>
      <w:r w:rsidR="00961B49">
        <w:rPr>
          <w:rStyle w:val="sb8d990e2"/>
          <w:lang w:val="en-GB"/>
        </w:rPr>
        <w:t>’</w:t>
      </w:r>
      <w:r w:rsidRPr="006B02D7">
        <w:rPr>
          <w:rStyle w:val="sb8d990e2"/>
          <w:lang w:val="en-GB"/>
        </w:rPr>
        <w:t>s claim. The court held that, even though the applicant was the child</w:t>
      </w:r>
      <w:r w:rsidR="00961B49">
        <w:rPr>
          <w:rStyle w:val="sb8d990e2"/>
          <w:lang w:val="en-GB"/>
        </w:rPr>
        <w:t>’</w:t>
      </w:r>
      <w:r w:rsidRPr="006B02D7">
        <w:rPr>
          <w:rStyle w:val="sb8d990e2"/>
          <w:lang w:val="en-GB"/>
        </w:rPr>
        <w:t>s biological father, the Civil Law did not give him the right to contest a voluntary acknowledgement of paternity.</w:t>
      </w:r>
    </w:p>
    <w:p w:rsidR="009476E8" w:rsidRPr="006B02D7" w:rsidRDefault="009476E8" w:rsidP="009476E8">
      <w:pPr>
        <w:pStyle w:val="ECHRPara"/>
        <w:rPr>
          <w:rStyle w:val="sb8d990e2"/>
          <w:lang w:val="en-GB"/>
        </w:rPr>
      </w:pPr>
      <w:r w:rsidRPr="006B02D7">
        <w:rPr>
          <w:rStyle w:val="sb8d990e2"/>
          <w:lang w:val="en-GB"/>
        </w:rPr>
        <w:fldChar w:fldCharType="begin"/>
      </w:r>
      <w:r w:rsidRPr="006B02D7">
        <w:rPr>
          <w:rStyle w:val="sb8d990e2"/>
          <w:lang w:val="en-GB"/>
        </w:rPr>
        <w:instrText xml:space="preserve"> SEQ level0 \*arabic </w:instrText>
      </w:r>
      <w:r w:rsidRPr="006B02D7">
        <w:rPr>
          <w:rStyle w:val="sb8d990e2"/>
          <w:lang w:val="en-GB"/>
        </w:rPr>
        <w:fldChar w:fldCharType="separate"/>
      </w:r>
      <w:r w:rsidR="009675D9">
        <w:rPr>
          <w:rStyle w:val="sb8d990e2"/>
          <w:noProof/>
          <w:lang w:val="en-GB"/>
        </w:rPr>
        <w:t>37</w:t>
      </w:r>
      <w:r w:rsidRPr="006B02D7">
        <w:rPr>
          <w:rStyle w:val="sb8d990e2"/>
          <w:lang w:val="en-GB"/>
        </w:rPr>
        <w:fldChar w:fldCharType="end"/>
      </w:r>
      <w:r w:rsidRPr="006B02D7">
        <w:rPr>
          <w:rStyle w:val="sb8d990e2"/>
          <w:lang w:val="en-GB"/>
        </w:rPr>
        <w:t>.  The applicant appealed on 15 December 2010</w:t>
      </w:r>
      <w:r w:rsidR="006D04F3" w:rsidRPr="006B02D7">
        <w:rPr>
          <w:rStyle w:val="sb8d990e2"/>
          <w:lang w:val="en-GB"/>
        </w:rPr>
        <w:t xml:space="preserve">. On 17 January 2011 the Riga Regional Court instituted appeal proceedings. The </w:t>
      </w:r>
      <w:r w:rsidRPr="006B02D7">
        <w:rPr>
          <w:rStyle w:val="sb8d990e2"/>
          <w:lang w:val="en-GB"/>
        </w:rPr>
        <w:t>Regional Court</w:t>
      </w:r>
      <w:r w:rsidR="00281D75" w:rsidRPr="006B02D7">
        <w:rPr>
          <w:rStyle w:val="sb8d990e2"/>
          <w:lang w:val="en-GB"/>
        </w:rPr>
        <w:t xml:space="preserve"> held a hearing on 16 May 2011.</w:t>
      </w:r>
    </w:p>
    <w:p w:rsidR="009476E8" w:rsidRPr="006B02D7" w:rsidRDefault="009476E8" w:rsidP="009476E8">
      <w:pPr>
        <w:pStyle w:val="ECHRPara"/>
        <w:rPr>
          <w:rStyle w:val="sb8d990e2"/>
          <w:lang w:val="en-GB"/>
        </w:rPr>
      </w:pPr>
      <w:r w:rsidRPr="006B02D7">
        <w:rPr>
          <w:rStyle w:val="sb8d990e2"/>
          <w:lang w:val="en-GB"/>
        </w:rPr>
        <w:fldChar w:fldCharType="begin"/>
      </w:r>
      <w:r w:rsidRPr="006B02D7">
        <w:rPr>
          <w:rStyle w:val="sb8d990e2"/>
          <w:lang w:val="en-GB"/>
        </w:rPr>
        <w:instrText xml:space="preserve"> SEQ level0 \*arabic </w:instrText>
      </w:r>
      <w:r w:rsidRPr="006B02D7">
        <w:rPr>
          <w:rStyle w:val="sb8d990e2"/>
          <w:lang w:val="en-GB"/>
        </w:rPr>
        <w:fldChar w:fldCharType="separate"/>
      </w:r>
      <w:r w:rsidR="009675D9">
        <w:rPr>
          <w:rStyle w:val="sb8d990e2"/>
          <w:noProof/>
          <w:lang w:val="en-GB"/>
        </w:rPr>
        <w:t>38</w:t>
      </w:r>
      <w:r w:rsidRPr="006B02D7">
        <w:rPr>
          <w:rStyle w:val="sb8d990e2"/>
          <w:lang w:val="en-GB"/>
        </w:rPr>
        <w:fldChar w:fldCharType="end"/>
      </w:r>
      <w:r w:rsidRPr="006B02D7">
        <w:rPr>
          <w:rStyle w:val="sb8d990e2"/>
          <w:lang w:val="en-GB"/>
        </w:rPr>
        <w:t xml:space="preserve">.  On 26 May 2011 the Regional Court </w:t>
      </w:r>
      <w:r w:rsidR="00792562" w:rsidRPr="006B02D7">
        <w:rPr>
          <w:rStyle w:val="sb8d990e2"/>
          <w:lang w:val="en-GB"/>
        </w:rPr>
        <w:t xml:space="preserve">decided to uphold </w:t>
      </w:r>
      <w:r w:rsidRPr="006B02D7">
        <w:rPr>
          <w:rStyle w:val="sb8d990e2"/>
          <w:lang w:val="en-GB"/>
        </w:rPr>
        <w:t>the</w:t>
      </w:r>
      <w:r w:rsidR="00281D75" w:rsidRPr="006B02D7">
        <w:rPr>
          <w:rStyle w:val="sb8d990e2"/>
          <w:lang w:val="en-GB"/>
        </w:rPr>
        <w:t xml:space="preserve"> impugned</w:t>
      </w:r>
      <w:r w:rsidRPr="006B02D7">
        <w:rPr>
          <w:rStyle w:val="sb8d990e2"/>
          <w:lang w:val="en-GB"/>
        </w:rPr>
        <w:t xml:space="preserve"> judgment. In response to the applicant</w:t>
      </w:r>
      <w:r w:rsidR="00961B49">
        <w:rPr>
          <w:rStyle w:val="sb8d990e2"/>
          <w:lang w:val="en-GB"/>
        </w:rPr>
        <w:t>’</w:t>
      </w:r>
      <w:r w:rsidRPr="006B02D7">
        <w:rPr>
          <w:rStyle w:val="sb8d990e2"/>
          <w:lang w:val="en-GB"/>
        </w:rPr>
        <w:t>s complaint that the overall length of the proceedings was excessive within the meaning of Article 6 § 1 of the Convention</w:t>
      </w:r>
      <w:r w:rsidR="00792562" w:rsidRPr="006B02D7">
        <w:rPr>
          <w:rStyle w:val="sb8d990e2"/>
          <w:lang w:val="en-GB"/>
        </w:rPr>
        <w:t>,</w:t>
      </w:r>
      <w:r w:rsidRPr="006B02D7">
        <w:rPr>
          <w:rStyle w:val="sb8d990e2"/>
          <w:lang w:val="en-GB"/>
        </w:rPr>
        <w:t xml:space="preserve"> the appeal court </w:t>
      </w:r>
      <w:r w:rsidR="00281D75" w:rsidRPr="006B02D7">
        <w:rPr>
          <w:rStyle w:val="sb8d990e2"/>
          <w:lang w:val="en-GB"/>
        </w:rPr>
        <w:t>note</w:t>
      </w:r>
      <w:r w:rsidRPr="006B02D7">
        <w:rPr>
          <w:rStyle w:val="sb8d990e2"/>
          <w:lang w:val="en-GB"/>
        </w:rPr>
        <w:t>d that such questions were outside its competence.</w:t>
      </w:r>
    </w:p>
    <w:p w:rsidR="009476E8" w:rsidRPr="006B02D7" w:rsidRDefault="009476E8" w:rsidP="009476E8">
      <w:pPr>
        <w:pStyle w:val="ECHRPara"/>
        <w:rPr>
          <w:rStyle w:val="sb8d990e2"/>
          <w:lang w:val="en-GB"/>
        </w:rPr>
      </w:pPr>
      <w:r w:rsidRPr="006B02D7">
        <w:rPr>
          <w:rStyle w:val="sb8d990e2"/>
          <w:lang w:val="en-GB"/>
        </w:rPr>
        <w:fldChar w:fldCharType="begin"/>
      </w:r>
      <w:r w:rsidRPr="006B02D7">
        <w:rPr>
          <w:rStyle w:val="sb8d990e2"/>
          <w:lang w:val="en-GB"/>
        </w:rPr>
        <w:instrText xml:space="preserve"> SEQ level0 \*arabic </w:instrText>
      </w:r>
      <w:r w:rsidRPr="006B02D7">
        <w:rPr>
          <w:rStyle w:val="sb8d990e2"/>
          <w:lang w:val="en-GB"/>
        </w:rPr>
        <w:fldChar w:fldCharType="separate"/>
      </w:r>
      <w:r w:rsidR="009675D9">
        <w:rPr>
          <w:rStyle w:val="sb8d990e2"/>
          <w:noProof/>
          <w:lang w:val="en-GB"/>
        </w:rPr>
        <w:t>39</w:t>
      </w:r>
      <w:r w:rsidRPr="006B02D7">
        <w:rPr>
          <w:rStyle w:val="sb8d990e2"/>
          <w:lang w:val="en-GB"/>
        </w:rPr>
        <w:fldChar w:fldCharType="end"/>
      </w:r>
      <w:r w:rsidRPr="006B02D7">
        <w:rPr>
          <w:rStyle w:val="sb8d990e2"/>
          <w:lang w:val="en-GB"/>
        </w:rPr>
        <w:t>.  On 11 July 2011 the applicant submitted an appeal on points of law</w:t>
      </w:r>
      <w:r w:rsidR="00F0275B" w:rsidRPr="006B02D7">
        <w:rPr>
          <w:rStyle w:val="sb8d990e2"/>
          <w:lang w:val="en-GB"/>
        </w:rPr>
        <w:t>,</w:t>
      </w:r>
      <w:r w:rsidRPr="006B02D7">
        <w:rPr>
          <w:rStyle w:val="sb8d990e2"/>
          <w:lang w:val="en-GB"/>
        </w:rPr>
        <w:t xml:space="preserve"> </w:t>
      </w:r>
      <w:r w:rsidR="00F0275B" w:rsidRPr="006B02D7">
        <w:rPr>
          <w:rStyle w:val="sb8d990e2"/>
          <w:lang w:val="en-GB"/>
        </w:rPr>
        <w:t xml:space="preserve">complaining, </w:t>
      </w:r>
      <w:r w:rsidRPr="006B02D7">
        <w:rPr>
          <w:rStyle w:val="sb8d990e2"/>
          <w:i/>
          <w:lang w:val="en-GB"/>
        </w:rPr>
        <w:t>inter alia</w:t>
      </w:r>
      <w:r w:rsidR="00F0275B" w:rsidRPr="006B02D7">
        <w:rPr>
          <w:rStyle w:val="sb8d990e2"/>
          <w:i/>
          <w:lang w:val="en-GB"/>
        </w:rPr>
        <w:t>,</w:t>
      </w:r>
      <w:r w:rsidRPr="006B02D7">
        <w:rPr>
          <w:rStyle w:val="sb8d990e2"/>
          <w:lang w:val="en-GB"/>
        </w:rPr>
        <w:t xml:space="preserve"> that the time taken </w:t>
      </w:r>
      <w:r w:rsidR="00F0275B" w:rsidRPr="006B02D7">
        <w:rPr>
          <w:rStyle w:val="sb8d990e2"/>
          <w:lang w:val="en-GB"/>
        </w:rPr>
        <w:t xml:space="preserve">by the first-instance court </w:t>
      </w:r>
      <w:r w:rsidRPr="006B02D7">
        <w:rPr>
          <w:rStyle w:val="sb8d990e2"/>
          <w:lang w:val="en-GB"/>
        </w:rPr>
        <w:t>to examine his claim had been excessive.</w:t>
      </w:r>
    </w:p>
    <w:p w:rsidR="009476E8" w:rsidRPr="006B02D7" w:rsidRDefault="009476E8" w:rsidP="009476E8">
      <w:pPr>
        <w:ind w:firstLine="284"/>
        <w:rPr>
          <w:rStyle w:val="sb8d990e2"/>
          <w:lang w:val="en-GB"/>
        </w:rPr>
      </w:pPr>
      <w:r w:rsidRPr="006B02D7">
        <w:rPr>
          <w:rStyle w:val="sb8d990e2"/>
          <w:lang w:val="en-GB"/>
        </w:rPr>
        <w:fldChar w:fldCharType="begin"/>
      </w:r>
      <w:r w:rsidRPr="006B02D7">
        <w:rPr>
          <w:rStyle w:val="sb8d990e2"/>
          <w:lang w:val="en-GB"/>
        </w:rPr>
        <w:instrText xml:space="preserve"> SEQ level0 \*arabic </w:instrText>
      </w:r>
      <w:r w:rsidRPr="006B02D7">
        <w:rPr>
          <w:rStyle w:val="sb8d990e2"/>
          <w:lang w:val="en-GB"/>
        </w:rPr>
        <w:fldChar w:fldCharType="separate"/>
      </w:r>
      <w:r w:rsidR="009675D9">
        <w:rPr>
          <w:rStyle w:val="sb8d990e2"/>
          <w:noProof/>
          <w:lang w:val="en-GB"/>
        </w:rPr>
        <w:t>40</w:t>
      </w:r>
      <w:r w:rsidRPr="006B02D7">
        <w:rPr>
          <w:rStyle w:val="sb8d990e2"/>
          <w:lang w:val="en-GB"/>
        </w:rPr>
        <w:fldChar w:fldCharType="end"/>
      </w:r>
      <w:r w:rsidRPr="006B02D7">
        <w:rPr>
          <w:rStyle w:val="sb8d990e2"/>
          <w:lang w:val="en-GB"/>
        </w:rPr>
        <w:t>.  On 26 October 2011 the applicant asked the Senate</w:t>
      </w:r>
      <w:r w:rsidR="0033257D" w:rsidRPr="006B02D7">
        <w:rPr>
          <w:rStyle w:val="sb8d990e2"/>
          <w:lang w:val="en-GB"/>
        </w:rPr>
        <w:t xml:space="preserve"> of the Supreme Court</w:t>
      </w:r>
      <w:r w:rsidRPr="006B02D7">
        <w:rPr>
          <w:rStyle w:val="sb8d990e2"/>
          <w:lang w:val="en-GB"/>
        </w:rPr>
        <w:t xml:space="preserve"> to expedite the examination of the case, referring to Article 6 § 1 of the Convention and the urgent nature of cases relating to the interests of children.</w:t>
      </w:r>
      <w:r w:rsidR="006D04F3" w:rsidRPr="006B02D7">
        <w:rPr>
          <w:rStyle w:val="sb8d990e2"/>
          <w:lang w:val="en-GB"/>
        </w:rPr>
        <w:t xml:space="preserve"> The Senate instituted cassation proceedings on 29 December 2011.</w:t>
      </w:r>
    </w:p>
    <w:p w:rsidR="00961B49" w:rsidRDefault="009476E8" w:rsidP="009476E8">
      <w:pPr>
        <w:pStyle w:val="ECHRPara"/>
        <w:rPr>
          <w:rStyle w:val="sb8d990e2"/>
          <w:lang w:val="en-GB"/>
        </w:rPr>
      </w:pPr>
      <w:r w:rsidRPr="006B02D7">
        <w:rPr>
          <w:rStyle w:val="sb8d990e2"/>
          <w:lang w:val="en-GB"/>
        </w:rPr>
        <w:fldChar w:fldCharType="begin"/>
      </w:r>
      <w:r w:rsidRPr="006B02D7">
        <w:rPr>
          <w:rStyle w:val="sb8d990e2"/>
          <w:lang w:val="en-GB"/>
        </w:rPr>
        <w:instrText xml:space="preserve"> SEQ level0 \*arabic </w:instrText>
      </w:r>
      <w:r w:rsidRPr="006B02D7">
        <w:rPr>
          <w:rStyle w:val="sb8d990e2"/>
          <w:lang w:val="en-GB"/>
        </w:rPr>
        <w:fldChar w:fldCharType="separate"/>
      </w:r>
      <w:r w:rsidR="009675D9">
        <w:rPr>
          <w:rStyle w:val="sb8d990e2"/>
          <w:noProof/>
          <w:lang w:val="en-GB"/>
        </w:rPr>
        <w:t>41</w:t>
      </w:r>
      <w:r w:rsidRPr="006B02D7">
        <w:rPr>
          <w:rStyle w:val="sb8d990e2"/>
          <w:lang w:val="en-GB"/>
        </w:rPr>
        <w:fldChar w:fldCharType="end"/>
      </w:r>
      <w:r w:rsidRPr="006B02D7">
        <w:rPr>
          <w:rStyle w:val="sb8d990e2"/>
          <w:lang w:val="en-GB"/>
        </w:rPr>
        <w:t>.  The Senate held the first hearing on 7 March 2012. On 21 March 2012 the Senate decided to examine the case in an extended composition (</w:t>
      </w:r>
      <w:r w:rsidRPr="006B02D7">
        <w:rPr>
          <w:rStyle w:val="sb8d990e2"/>
          <w:i/>
          <w:lang w:val="en-GB"/>
        </w:rPr>
        <w:t>paplašinātā tiesas sastāvā</w:t>
      </w:r>
      <w:r w:rsidRPr="006B02D7">
        <w:rPr>
          <w:rStyle w:val="sb8d990e2"/>
          <w:lang w:val="en-GB"/>
        </w:rPr>
        <w:t xml:space="preserve">) of seven judges instead of the usual three-judge composition. </w:t>
      </w:r>
      <w:r w:rsidR="00F0275B" w:rsidRPr="006B02D7">
        <w:rPr>
          <w:rStyle w:val="sb8d990e2"/>
          <w:lang w:val="en-GB"/>
        </w:rPr>
        <w:t xml:space="preserve">A </w:t>
      </w:r>
      <w:r w:rsidRPr="006B02D7">
        <w:rPr>
          <w:rStyle w:val="sb8d990e2"/>
          <w:lang w:val="en-GB"/>
        </w:rPr>
        <w:t>final decision was adopted by the Senate on 16 May 2012.</w:t>
      </w:r>
    </w:p>
    <w:p w:rsidR="009476E8" w:rsidRPr="006B02D7" w:rsidRDefault="009476E8" w:rsidP="009476E8">
      <w:pPr>
        <w:pStyle w:val="ECHRPara"/>
        <w:rPr>
          <w:rStyle w:val="sb8d990e2"/>
          <w:lang w:val="en-GB"/>
        </w:rPr>
      </w:pPr>
      <w:r w:rsidRPr="006B02D7">
        <w:rPr>
          <w:rStyle w:val="sb8d990e2"/>
          <w:lang w:val="en-GB"/>
        </w:rPr>
        <w:fldChar w:fldCharType="begin"/>
      </w:r>
      <w:r w:rsidRPr="006B02D7">
        <w:rPr>
          <w:rStyle w:val="sb8d990e2"/>
          <w:lang w:val="en-GB"/>
        </w:rPr>
        <w:instrText xml:space="preserve"> SEQ level0 \*arabic </w:instrText>
      </w:r>
      <w:r w:rsidRPr="006B02D7">
        <w:rPr>
          <w:rStyle w:val="sb8d990e2"/>
          <w:lang w:val="en-GB"/>
        </w:rPr>
        <w:fldChar w:fldCharType="separate"/>
      </w:r>
      <w:r w:rsidR="009675D9">
        <w:rPr>
          <w:rStyle w:val="sb8d990e2"/>
          <w:noProof/>
          <w:lang w:val="en-GB"/>
        </w:rPr>
        <w:t>42</w:t>
      </w:r>
      <w:r w:rsidRPr="006B02D7">
        <w:rPr>
          <w:rStyle w:val="sb8d990e2"/>
          <w:lang w:val="en-GB"/>
        </w:rPr>
        <w:fldChar w:fldCharType="end"/>
      </w:r>
      <w:r w:rsidRPr="006B02D7">
        <w:rPr>
          <w:rStyle w:val="sb8d990e2"/>
          <w:lang w:val="en-GB"/>
        </w:rPr>
        <w:t>.  The Senate disagreed with the lower</w:t>
      </w:r>
      <w:r w:rsidR="00F0275B" w:rsidRPr="006B02D7">
        <w:rPr>
          <w:rStyle w:val="sb8d990e2"/>
          <w:lang w:val="en-GB"/>
        </w:rPr>
        <w:t>-</w:t>
      </w:r>
      <w:r w:rsidRPr="006B02D7">
        <w:rPr>
          <w:rStyle w:val="sb8d990e2"/>
          <w:lang w:val="en-GB"/>
        </w:rPr>
        <w:t>level courts</w:t>
      </w:r>
      <w:r w:rsidR="00961B49">
        <w:rPr>
          <w:rStyle w:val="sb8d990e2"/>
          <w:lang w:val="en-GB"/>
        </w:rPr>
        <w:t>’</w:t>
      </w:r>
      <w:r w:rsidRPr="006B02D7">
        <w:rPr>
          <w:rStyle w:val="sb8d990e2"/>
          <w:lang w:val="en-GB"/>
        </w:rPr>
        <w:t xml:space="preserve"> interpretation of section 156 of the Civil </w:t>
      </w:r>
      <w:r w:rsidR="00706FC2" w:rsidRPr="006B02D7">
        <w:rPr>
          <w:rStyle w:val="sb8d990e2"/>
          <w:lang w:val="en-GB"/>
        </w:rPr>
        <w:t>Law</w:t>
      </w:r>
      <w:r w:rsidR="00835D59" w:rsidRPr="006B02D7">
        <w:rPr>
          <w:rStyle w:val="sb8d990e2"/>
          <w:lang w:val="en-GB"/>
        </w:rPr>
        <w:t>.</w:t>
      </w:r>
      <w:r w:rsidRPr="006B02D7">
        <w:rPr>
          <w:rStyle w:val="sb8d990e2"/>
          <w:lang w:val="en-GB"/>
        </w:rPr>
        <w:t xml:space="preserve"> </w:t>
      </w:r>
      <w:r w:rsidR="00835D59" w:rsidRPr="006B02D7">
        <w:rPr>
          <w:rStyle w:val="sb8d990e2"/>
          <w:lang w:val="en-GB"/>
        </w:rPr>
        <w:t>I</w:t>
      </w:r>
      <w:r w:rsidRPr="006B02D7">
        <w:rPr>
          <w:rStyle w:val="sb8d990e2"/>
          <w:lang w:val="en-GB"/>
        </w:rPr>
        <w:t xml:space="preserve">t held that that section could not be interpreted so as to deny a biological father </w:t>
      </w:r>
      <w:r w:rsidR="00835D59" w:rsidRPr="006B02D7">
        <w:rPr>
          <w:rStyle w:val="sb8d990e2"/>
          <w:lang w:val="en-GB"/>
        </w:rPr>
        <w:t xml:space="preserve">the right </w:t>
      </w:r>
      <w:r w:rsidRPr="006B02D7">
        <w:rPr>
          <w:rStyle w:val="sb8d990e2"/>
          <w:lang w:val="en-GB"/>
        </w:rPr>
        <w:t xml:space="preserve">to contest a voluntary acknowledgement of paternity if the legal father </w:t>
      </w:r>
      <w:r w:rsidR="008257B0" w:rsidRPr="006B02D7">
        <w:rPr>
          <w:rStyle w:val="sb8d990e2"/>
          <w:lang w:val="en-GB"/>
        </w:rPr>
        <w:t xml:space="preserve">had </w:t>
      </w:r>
      <w:r w:rsidRPr="006B02D7">
        <w:rPr>
          <w:rStyle w:val="sb8d990e2"/>
          <w:lang w:val="en-GB"/>
        </w:rPr>
        <w:t xml:space="preserve">acknowledged paternity </w:t>
      </w:r>
      <w:r w:rsidR="00835D59" w:rsidRPr="006B02D7">
        <w:rPr>
          <w:rStyle w:val="sb8d990e2"/>
          <w:lang w:val="en-GB"/>
        </w:rPr>
        <w:t xml:space="preserve">in </w:t>
      </w:r>
      <w:r w:rsidRPr="006B02D7">
        <w:rPr>
          <w:rStyle w:val="sb8d990e2"/>
          <w:lang w:val="en-GB"/>
        </w:rPr>
        <w:t xml:space="preserve">the knowledge that he was not in fact the father of </w:t>
      </w:r>
      <w:r w:rsidR="00835D59" w:rsidRPr="006B02D7">
        <w:rPr>
          <w:rStyle w:val="sb8d990e2"/>
          <w:lang w:val="en-GB"/>
        </w:rPr>
        <w:t xml:space="preserve">the </w:t>
      </w:r>
      <w:r w:rsidRPr="006B02D7">
        <w:rPr>
          <w:rStyle w:val="sb8d990e2"/>
          <w:lang w:val="en-GB"/>
        </w:rPr>
        <w:t xml:space="preserve">child. On the other hand, having the standing to contest a voluntary acknowledgement of paternity did not mean that the claim should be automatically upheld, since </w:t>
      </w:r>
      <w:r w:rsidR="00835D59" w:rsidRPr="006B02D7">
        <w:rPr>
          <w:rStyle w:val="sb8d990e2"/>
          <w:lang w:val="en-GB"/>
        </w:rPr>
        <w:t xml:space="preserve">the </w:t>
      </w:r>
      <w:r w:rsidRPr="006B02D7">
        <w:rPr>
          <w:rStyle w:val="sb8d990e2"/>
          <w:lang w:val="en-GB"/>
        </w:rPr>
        <w:t xml:space="preserve">courts </w:t>
      </w:r>
      <w:r w:rsidR="00835D59" w:rsidRPr="006B02D7">
        <w:rPr>
          <w:rStyle w:val="sb8d990e2"/>
          <w:lang w:val="en-GB"/>
        </w:rPr>
        <w:t xml:space="preserve">were obligated </w:t>
      </w:r>
      <w:r w:rsidRPr="006B02D7">
        <w:rPr>
          <w:rStyle w:val="sb8d990e2"/>
          <w:lang w:val="en-GB"/>
        </w:rPr>
        <w:t>to balance the rights of the child and the rights of the biological father.</w:t>
      </w:r>
    </w:p>
    <w:p w:rsidR="009476E8" w:rsidRPr="006B02D7" w:rsidRDefault="009476E8" w:rsidP="009476E8">
      <w:pPr>
        <w:pStyle w:val="ECHRPara"/>
        <w:rPr>
          <w:rStyle w:val="sb8d990e2"/>
          <w:lang w:val="en-GB"/>
        </w:rPr>
      </w:pPr>
      <w:r w:rsidRPr="006B02D7">
        <w:rPr>
          <w:rStyle w:val="sb8d990e2"/>
          <w:lang w:val="en-GB"/>
        </w:rPr>
        <w:fldChar w:fldCharType="begin"/>
      </w:r>
      <w:r w:rsidRPr="006B02D7">
        <w:rPr>
          <w:rStyle w:val="sb8d990e2"/>
          <w:lang w:val="en-GB"/>
        </w:rPr>
        <w:instrText xml:space="preserve"> SEQ level0 \*arabic </w:instrText>
      </w:r>
      <w:r w:rsidRPr="006B02D7">
        <w:rPr>
          <w:rStyle w:val="sb8d990e2"/>
          <w:lang w:val="en-GB"/>
        </w:rPr>
        <w:fldChar w:fldCharType="separate"/>
      </w:r>
      <w:r w:rsidR="009675D9">
        <w:rPr>
          <w:rStyle w:val="sb8d990e2"/>
          <w:noProof/>
          <w:lang w:val="en-GB"/>
        </w:rPr>
        <w:t>43</w:t>
      </w:r>
      <w:r w:rsidRPr="006B02D7">
        <w:rPr>
          <w:rStyle w:val="sb8d990e2"/>
          <w:lang w:val="en-GB"/>
        </w:rPr>
        <w:fldChar w:fldCharType="end"/>
      </w:r>
      <w:r w:rsidRPr="006B02D7">
        <w:rPr>
          <w:rStyle w:val="sb8d990e2"/>
          <w:lang w:val="en-GB"/>
        </w:rPr>
        <w:t>.  Turning to the facts of the specific case, the Senate noted that during the 16 May 2011 hearing of the appeal court</w:t>
      </w:r>
      <w:r w:rsidR="00835D59" w:rsidRPr="006B02D7">
        <w:rPr>
          <w:rStyle w:val="sb8d990e2"/>
          <w:lang w:val="en-GB"/>
        </w:rPr>
        <w:t>,</w:t>
      </w:r>
      <w:r w:rsidRPr="006B02D7">
        <w:rPr>
          <w:rStyle w:val="sb8d990e2"/>
          <w:lang w:val="en-GB"/>
        </w:rPr>
        <w:t xml:space="preserve"> the representative of the </w:t>
      </w:r>
      <w:r w:rsidR="003F056F" w:rsidRPr="006B02D7">
        <w:rPr>
          <w:rStyle w:val="sb8d990e2"/>
          <w:lang w:val="en-GB"/>
        </w:rPr>
        <w:t>Guardianship Tribunal</w:t>
      </w:r>
      <w:r w:rsidRPr="006B02D7">
        <w:rPr>
          <w:rStyle w:val="sb8d990e2"/>
          <w:lang w:val="en-GB"/>
        </w:rPr>
        <w:t xml:space="preserve"> had explained that the child was living in a “united family” (</w:t>
      </w:r>
      <w:r w:rsidRPr="006B02D7">
        <w:rPr>
          <w:rStyle w:val="sb8d990e2"/>
          <w:i/>
          <w:lang w:val="en-GB"/>
        </w:rPr>
        <w:t>apvienotā ģimenē</w:t>
      </w:r>
      <w:r w:rsidRPr="006B02D7">
        <w:rPr>
          <w:rStyle w:val="sb8d990e2"/>
          <w:lang w:val="en-GB"/>
        </w:rPr>
        <w:t>) and that upholding the applicant</w:t>
      </w:r>
      <w:r w:rsidR="00961B49">
        <w:rPr>
          <w:rStyle w:val="sb8d990e2"/>
          <w:lang w:val="en-GB"/>
        </w:rPr>
        <w:t>’</w:t>
      </w:r>
      <w:r w:rsidRPr="006B02D7">
        <w:rPr>
          <w:rStyle w:val="sb8d990e2"/>
          <w:lang w:val="en-GB"/>
        </w:rPr>
        <w:t xml:space="preserve">s claim would be contrary to the </w:t>
      </w:r>
      <w:r w:rsidR="00835D59" w:rsidRPr="006B02D7">
        <w:rPr>
          <w:rStyle w:val="sb8d990e2"/>
          <w:lang w:val="en-GB"/>
        </w:rPr>
        <w:t>child</w:t>
      </w:r>
      <w:r w:rsidR="00961B49">
        <w:rPr>
          <w:rStyle w:val="sb8d990e2"/>
          <w:lang w:val="en-GB"/>
        </w:rPr>
        <w:t>’</w:t>
      </w:r>
      <w:r w:rsidR="00835D59" w:rsidRPr="006B02D7">
        <w:rPr>
          <w:rStyle w:val="sb8d990e2"/>
          <w:lang w:val="en-GB"/>
        </w:rPr>
        <w:t xml:space="preserve">s </w:t>
      </w:r>
      <w:r w:rsidRPr="006B02D7">
        <w:rPr>
          <w:rStyle w:val="sb8d990e2"/>
          <w:lang w:val="en-GB"/>
        </w:rPr>
        <w:t xml:space="preserve">interests. The Senate found no reason to doubt the professional competence of the staff of the </w:t>
      </w:r>
      <w:r w:rsidR="003F056F" w:rsidRPr="006B02D7">
        <w:rPr>
          <w:rStyle w:val="sb8d990e2"/>
          <w:lang w:val="en-GB"/>
        </w:rPr>
        <w:t>Guardianship Tribunal</w:t>
      </w:r>
      <w:r w:rsidRPr="006B02D7">
        <w:rPr>
          <w:rStyle w:val="sb8d990e2"/>
          <w:lang w:val="en-GB"/>
        </w:rPr>
        <w:t xml:space="preserve"> and agreed with its assessment of the interests of the child.</w:t>
      </w:r>
    </w:p>
    <w:p w:rsidR="009476E8" w:rsidRPr="006B02D7" w:rsidRDefault="009476E8" w:rsidP="009476E8">
      <w:pPr>
        <w:pStyle w:val="ECHRPara"/>
        <w:rPr>
          <w:rStyle w:val="sb8d990e2"/>
          <w:lang w:val="en-GB"/>
        </w:rPr>
      </w:pPr>
      <w:r w:rsidRPr="006B02D7">
        <w:rPr>
          <w:rStyle w:val="sb8d990e2"/>
          <w:lang w:val="en-GB"/>
        </w:rPr>
        <w:fldChar w:fldCharType="begin"/>
      </w:r>
      <w:r w:rsidRPr="006B02D7">
        <w:rPr>
          <w:rStyle w:val="sb8d990e2"/>
          <w:lang w:val="en-GB"/>
        </w:rPr>
        <w:instrText xml:space="preserve"> SEQ level0 \*arabic </w:instrText>
      </w:r>
      <w:r w:rsidRPr="006B02D7">
        <w:rPr>
          <w:rStyle w:val="sb8d990e2"/>
          <w:lang w:val="en-GB"/>
        </w:rPr>
        <w:fldChar w:fldCharType="separate"/>
      </w:r>
      <w:r w:rsidR="009675D9">
        <w:rPr>
          <w:rStyle w:val="sb8d990e2"/>
          <w:noProof/>
          <w:lang w:val="en-GB"/>
        </w:rPr>
        <w:t>44</w:t>
      </w:r>
      <w:r w:rsidRPr="006B02D7">
        <w:rPr>
          <w:rStyle w:val="sb8d990e2"/>
          <w:lang w:val="en-GB"/>
        </w:rPr>
        <w:fldChar w:fldCharType="end"/>
      </w:r>
      <w:r w:rsidRPr="006B02D7">
        <w:rPr>
          <w:rStyle w:val="sb8d990e2"/>
          <w:lang w:val="en-GB"/>
        </w:rPr>
        <w:t>.  In conclusion, the Senate held that the appeal court had erred in deciding that the applicant lacked standing to contest the acknowledgment of paternity</w:t>
      </w:r>
      <w:r w:rsidR="00EA0896" w:rsidRPr="006B02D7">
        <w:rPr>
          <w:rStyle w:val="sb8d990e2"/>
          <w:lang w:val="en-GB"/>
        </w:rPr>
        <w:t>.</w:t>
      </w:r>
      <w:r w:rsidR="00961B49">
        <w:rPr>
          <w:rStyle w:val="sb8d990e2"/>
          <w:lang w:val="en-GB"/>
        </w:rPr>
        <w:t xml:space="preserve"> </w:t>
      </w:r>
      <w:r w:rsidR="00EA0896" w:rsidRPr="006B02D7">
        <w:rPr>
          <w:rStyle w:val="sb8d990e2"/>
          <w:lang w:val="en-GB"/>
        </w:rPr>
        <w:t>However,</w:t>
      </w:r>
      <w:r w:rsidRPr="006B02D7">
        <w:rPr>
          <w:rStyle w:val="sb8d990e2"/>
          <w:lang w:val="en-GB"/>
        </w:rPr>
        <w:t xml:space="preserve"> “taking into account the unreasonable length of the proceedings”, </w:t>
      </w:r>
      <w:r w:rsidR="00EA0896" w:rsidRPr="006B02D7">
        <w:rPr>
          <w:rStyle w:val="sb8d990e2"/>
          <w:lang w:val="en-GB"/>
        </w:rPr>
        <w:t xml:space="preserve">the Senate, decided </w:t>
      </w:r>
      <w:r w:rsidRPr="006B02D7">
        <w:rPr>
          <w:rStyle w:val="sb8d990e2"/>
          <w:lang w:val="en-GB"/>
        </w:rPr>
        <w:t>not to remit the case to the appeal court. The judgment of the appeal court was thus upheld.</w:t>
      </w:r>
    </w:p>
    <w:p w:rsidR="009476E8" w:rsidRPr="006B02D7" w:rsidRDefault="009476E8" w:rsidP="009476E8">
      <w:pPr>
        <w:pStyle w:val="ECHRPara"/>
        <w:rPr>
          <w:rStyle w:val="sb8d990e2"/>
          <w:lang w:val="en-GB"/>
        </w:rPr>
      </w:pPr>
      <w:r w:rsidRPr="006B02D7">
        <w:rPr>
          <w:rStyle w:val="sb8d990e2"/>
          <w:lang w:val="en-GB"/>
        </w:rPr>
        <w:fldChar w:fldCharType="begin"/>
      </w:r>
      <w:r w:rsidRPr="006B02D7">
        <w:rPr>
          <w:rStyle w:val="sb8d990e2"/>
          <w:lang w:val="en-GB"/>
        </w:rPr>
        <w:instrText xml:space="preserve"> SEQ level0 \*arabic </w:instrText>
      </w:r>
      <w:r w:rsidRPr="006B02D7">
        <w:rPr>
          <w:rStyle w:val="sb8d990e2"/>
          <w:lang w:val="en-GB"/>
        </w:rPr>
        <w:fldChar w:fldCharType="separate"/>
      </w:r>
      <w:r w:rsidR="009675D9">
        <w:rPr>
          <w:rStyle w:val="sb8d990e2"/>
          <w:noProof/>
          <w:lang w:val="en-GB"/>
        </w:rPr>
        <w:t>45</w:t>
      </w:r>
      <w:r w:rsidRPr="006B02D7">
        <w:rPr>
          <w:rStyle w:val="sb8d990e2"/>
          <w:lang w:val="en-GB"/>
        </w:rPr>
        <w:fldChar w:fldCharType="end"/>
      </w:r>
      <w:r w:rsidRPr="006B02D7">
        <w:rPr>
          <w:rStyle w:val="sb8d990e2"/>
          <w:lang w:val="en-GB"/>
        </w:rPr>
        <w:t xml:space="preserve">.  The applicant </w:t>
      </w:r>
      <w:r w:rsidR="00EA0896" w:rsidRPr="006B02D7">
        <w:rPr>
          <w:rStyle w:val="sb8d990e2"/>
          <w:lang w:val="en-GB"/>
        </w:rPr>
        <w:t xml:space="preserve">submitted </w:t>
      </w:r>
      <w:r w:rsidRPr="006B02D7">
        <w:rPr>
          <w:rStyle w:val="sb8d990e2"/>
          <w:lang w:val="en-GB"/>
        </w:rPr>
        <w:t>that after the decision became final</w:t>
      </w:r>
      <w:r w:rsidR="00EA0896" w:rsidRPr="006B02D7">
        <w:rPr>
          <w:rStyle w:val="sb8d990e2"/>
          <w:lang w:val="en-GB"/>
        </w:rPr>
        <w:t>,</w:t>
      </w:r>
      <w:r w:rsidRPr="006B02D7">
        <w:rPr>
          <w:rStyle w:val="sb8d990e2"/>
          <w:lang w:val="en-GB"/>
        </w:rPr>
        <w:t xml:space="preserve"> he learned of certain facts previously unknown to him. In particular, he found out that when the child was born and throughout the proceedings A.L. had been married to J.Z. and had five children in that marriage. In addition, from 2003 until March of 2012 A.L. had been living with yet another woman (D.B.) and several of his children from his marriage to J.Z. The applicant submitted to the Court a written statement from D.B. to that effect.</w:t>
      </w:r>
    </w:p>
    <w:p w:rsidR="009476E8" w:rsidRPr="006B02D7" w:rsidRDefault="009476E8" w:rsidP="009476E8">
      <w:pPr>
        <w:pStyle w:val="ECHRPara"/>
        <w:rPr>
          <w:rStyle w:val="sb8d990e2"/>
          <w:lang w:val="en-GB"/>
        </w:rPr>
      </w:pPr>
      <w:r w:rsidRPr="006B02D7">
        <w:rPr>
          <w:rStyle w:val="sb8d990e2"/>
          <w:lang w:val="en-GB"/>
        </w:rPr>
        <w:fldChar w:fldCharType="begin"/>
      </w:r>
      <w:r w:rsidRPr="006B02D7">
        <w:rPr>
          <w:rStyle w:val="sb8d990e2"/>
          <w:lang w:val="en-GB"/>
        </w:rPr>
        <w:instrText xml:space="preserve"> SEQ level0 \*arabic </w:instrText>
      </w:r>
      <w:r w:rsidRPr="006B02D7">
        <w:rPr>
          <w:rStyle w:val="sb8d990e2"/>
          <w:lang w:val="en-GB"/>
        </w:rPr>
        <w:fldChar w:fldCharType="separate"/>
      </w:r>
      <w:r w:rsidR="009675D9">
        <w:rPr>
          <w:rStyle w:val="sb8d990e2"/>
          <w:noProof/>
          <w:lang w:val="en-GB"/>
        </w:rPr>
        <w:t>46</w:t>
      </w:r>
      <w:r w:rsidRPr="006B02D7">
        <w:rPr>
          <w:rStyle w:val="sb8d990e2"/>
          <w:lang w:val="en-GB"/>
        </w:rPr>
        <w:fldChar w:fldCharType="end"/>
      </w:r>
      <w:r w:rsidRPr="006B02D7">
        <w:rPr>
          <w:rStyle w:val="sb8d990e2"/>
          <w:lang w:val="en-GB"/>
        </w:rPr>
        <w:t xml:space="preserve">.  On 27 June 2012 the applicant submitted a complaint about the actions of representatives of the </w:t>
      </w:r>
      <w:r w:rsidR="003F056F" w:rsidRPr="006B02D7">
        <w:rPr>
          <w:rStyle w:val="sb8d990e2"/>
          <w:lang w:val="en-GB"/>
        </w:rPr>
        <w:t>Guardianship Tribunal</w:t>
      </w:r>
      <w:r w:rsidRPr="006B02D7">
        <w:rPr>
          <w:rStyle w:val="sb8d990e2"/>
          <w:lang w:val="en-GB"/>
        </w:rPr>
        <w:t xml:space="preserve"> to the Children</w:t>
      </w:r>
      <w:r w:rsidR="00961B49">
        <w:rPr>
          <w:rStyle w:val="sb8d990e2"/>
          <w:lang w:val="en-GB"/>
        </w:rPr>
        <w:t>’</w:t>
      </w:r>
      <w:r w:rsidRPr="006B02D7">
        <w:rPr>
          <w:rStyle w:val="sb8d990e2"/>
          <w:lang w:val="en-GB"/>
        </w:rPr>
        <w:t>s Rights Inspectorate (</w:t>
      </w:r>
      <w:r w:rsidRPr="006B02D7">
        <w:rPr>
          <w:rStyle w:val="sb8d990e2"/>
          <w:i/>
          <w:lang w:val="en-GB"/>
        </w:rPr>
        <w:t>Valsts bērnu tiesību aizsardzības inspekcija</w:t>
      </w:r>
      <w:r w:rsidRPr="006B02D7">
        <w:rPr>
          <w:rStyle w:val="sb8d990e2"/>
          <w:lang w:val="en-GB"/>
        </w:rPr>
        <w:t>). Among other things</w:t>
      </w:r>
      <w:r w:rsidR="00EA0896" w:rsidRPr="006B02D7">
        <w:rPr>
          <w:rStyle w:val="sb8d990e2"/>
          <w:lang w:val="en-GB"/>
        </w:rPr>
        <w:t>,</w:t>
      </w:r>
      <w:r w:rsidRPr="006B02D7">
        <w:rPr>
          <w:rStyle w:val="sb8d990e2"/>
          <w:lang w:val="en-GB"/>
        </w:rPr>
        <w:t xml:space="preserve"> he complained that the </w:t>
      </w:r>
      <w:r w:rsidR="003F056F" w:rsidRPr="006B02D7">
        <w:rPr>
          <w:rStyle w:val="sb8d990e2"/>
          <w:lang w:val="en-GB"/>
        </w:rPr>
        <w:t>Guardianship Tribunal</w:t>
      </w:r>
      <w:r w:rsidRPr="006B02D7">
        <w:rPr>
          <w:rStyle w:val="sb8d990e2"/>
          <w:lang w:val="en-GB"/>
        </w:rPr>
        <w:t xml:space="preserve"> had come to the unsubstantiated conclusion that A.L. was living with A.Z. and the child, </w:t>
      </w:r>
      <w:r w:rsidR="00EA0896" w:rsidRPr="006B02D7">
        <w:rPr>
          <w:rStyle w:val="sb8d990e2"/>
          <w:lang w:val="en-GB"/>
        </w:rPr>
        <w:t xml:space="preserve">whereas </w:t>
      </w:r>
      <w:r w:rsidRPr="006B02D7">
        <w:rPr>
          <w:rStyle w:val="sb8d990e2"/>
          <w:lang w:val="en-GB"/>
        </w:rPr>
        <w:t>in fact he had been living with another woman in a different town.</w:t>
      </w:r>
    </w:p>
    <w:p w:rsidR="00F71A6A" w:rsidRPr="006B02D7" w:rsidRDefault="009476E8" w:rsidP="009476E8">
      <w:pPr>
        <w:pStyle w:val="ECHRPara"/>
        <w:rPr>
          <w:rStyle w:val="sb8d990e2"/>
          <w:lang w:val="en-GB"/>
        </w:rPr>
      </w:pPr>
      <w:r w:rsidRPr="006B02D7">
        <w:rPr>
          <w:rStyle w:val="sb8d990e2"/>
          <w:lang w:val="en-GB"/>
        </w:rPr>
        <w:fldChar w:fldCharType="begin"/>
      </w:r>
      <w:r w:rsidRPr="006B02D7">
        <w:rPr>
          <w:rStyle w:val="sb8d990e2"/>
          <w:lang w:val="en-GB"/>
        </w:rPr>
        <w:instrText xml:space="preserve"> SEQ level0 \*arabic </w:instrText>
      </w:r>
      <w:r w:rsidRPr="006B02D7">
        <w:rPr>
          <w:rStyle w:val="sb8d990e2"/>
          <w:lang w:val="en-GB"/>
        </w:rPr>
        <w:fldChar w:fldCharType="separate"/>
      </w:r>
      <w:r w:rsidR="009675D9">
        <w:rPr>
          <w:rStyle w:val="sb8d990e2"/>
          <w:noProof/>
          <w:lang w:val="en-GB"/>
        </w:rPr>
        <w:t>47</w:t>
      </w:r>
      <w:r w:rsidRPr="006B02D7">
        <w:rPr>
          <w:rStyle w:val="sb8d990e2"/>
          <w:lang w:val="en-GB"/>
        </w:rPr>
        <w:fldChar w:fldCharType="end"/>
      </w:r>
      <w:r w:rsidRPr="006B02D7">
        <w:rPr>
          <w:rStyle w:val="sb8d990e2"/>
          <w:lang w:val="en-GB"/>
        </w:rPr>
        <w:t xml:space="preserve">.  On 23 July 2012 the Inspectorate replied to the applicant, informing him that the </w:t>
      </w:r>
      <w:r w:rsidR="003F056F" w:rsidRPr="006B02D7">
        <w:rPr>
          <w:rStyle w:val="sb8d990e2"/>
          <w:lang w:val="en-GB"/>
        </w:rPr>
        <w:t>Guardianship Tribunal</w:t>
      </w:r>
      <w:r w:rsidRPr="006B02D7">
        <w:rPr>
          <w:rStyle w:val="sb8d990e2"/>
          <w:lang w:val="en-GB"/>
        </w:rPr>
        <w:t xml:space="preserve"> was responsible for omissions (</w:t>
      </w:r>
      <w:r w:rsidRPr="006B02D7">
        <w:rPr>
          <w:rStyle w:val="sb8d990e2"/>
          <w:i/>
          <w:lang w:val="en-GB"/>
        </w:rPr>
        <w:t>pieļāvusi trūkumus</w:t>
      </w:r>
      <w:r w:rsidRPr="006B02D7">
        <w:rPr>
          <w:rStyle w:val="sb8d990e2"/>
          <w:lang w:val="en-GB"/>
        </w:rPr>
        <w:t>), which could have had a negative effect on the performance of its duty to protect the rights and legal interests of children.</w:t>
      </w:r>
    </w:p>
    <w:p w:rsidR="00281D75" w:rsidRPr="006B02D7" w:rsidRDefault="00281D75" w:rsidP="009476E8">
      <w:pPr>
        <w:pStyle w:val="ECHRPara"/>
        <w:rPr>
          <w:rStyle w:val="sb8d990e2"/>
          <w:lang w:val="en-GB"/>
        </w:rPr>
      </w:pPr>
      <w:r w:rsidRPr="006B02D7">
        <w:rPr>
          <w:rStyle w:val="sb8d990e2"/>
          <w:lang w:val="en-GB"/>
        </w:rPr>
        <w:fldChar w:fldCharType="begin"/>
      </w:r>
      <w:r w:rsidRPr="006B02D7">
        <w:rPr>
          <w:rStyle w:val="sb8d990e2"/>
          <w:lang w:val="en-GB"/>
        </w:rPr>
        <w:instrText xml:space="preserve"> SEQ level0 \*arabic </w:instrText>
      </w:r>
      <w:r w:rsidRPr="006B02D7">
        <w:rPr>
          <w:rStyle w:val="sb8d990e2"/>
          <w:lang w:val="en-GB"/>
        </w:rPr>
        <w:fldChar w:fldCharType="separate"/>
      </w:r>
      <w:r w:rsidR="009675D9">
        <w:rPr>
          <w:rStyle w:val="sb8d990e2"/>
          <w:noProof/>
          <w:lang w:val="en-GB"/>
        </w:rPr>
        <w:t>48</w:t>
      </w:r>
      <w:r w:rsidRPr="006B02D7">
        <w:rPr>
          <w:rStyle w:val="sb8d990e2"/>
          <w:lang w:val="en-GB"/>
        </w:rPr>
        <w:fldChar w:fldCharType="end"/>
      </w:r>
      <w:r w:rsidRPr="006B02D7">
        <w:rPr>
          <w:rStyle w:val="sb8d990e2"/>
          <w:lang w:val="en-GB"/>
        </w:rPr>
        <w:t>.  On 2 October 2012 the applicant submitted the present application to the Court.</w:t>
      </w:r>
    </w:p>
    <w:p w:rsidR="00B17EF0" w:rsidRPr="006B02D7" w:rsidRDefault="00B17EF0" w:rsidP="009476E8">
      <w:pPr>
        <w:pStyle w:val="ECHRPara"/>
        <w:rPr>
          <w:rStyle w:val="sb8d990e2"/>
          <w:lang w:val="en-GB"/>
        </w:rPr>
      </w:pPr>
      <w:r w:rsidRPr="006B02D7">
        <w:rPr>
          <w:rStyle w:val="sb8d990e2"/>
          <w:lang w:val="en-GB"/>
        </w:rPr>
        <w:fldChar w:fldCharType="begin"/>
      </w:r>
      <w:r w:rsidRPr="006B02D7">
        <w:rPr>
          <w:rStyle w:val="sb8d990e2"/>
          <w:lang w:val="en-GB"/>
        </w:rPr>
        <w:instrText xml:space="preserve"> SEQ level0 \*arabic </w:instrText>
      </w:r>
      <w:r w:rsidRPr="006B02D7">
        <w:rPr>
          <w:rStyle w:val="sb8d990e2"/>
          <w:lang w:val="en-GB"/>
        </w:rPr>
        <w:fldChar w:fldCharType="separate"/>
      </w:r>
      <w:r w:rsidR="009675D9">
        <w:rPr>
          <w:rStyle w:val="sb8d990e2"/>
          <w:noProof/>
          <w:lang w:val="en-GB"/>
        </w:rPr>
        <w:t>49</w:t>
      </w:r>
      <w:r w:rsidRPr="006B02D7">
        <w:rPr>
          <w:rStyle w:val="sb8d990e2"/>
          <w:lang w:val="en-GB"/>
        </w:rPr>
        <w:fldChar w:fldCharType="end"/>
      </w:r>
      <w:r w:rsidRPr="006B02D7">
        <w:rPr>
          <w:rStyle w:val="sb8d990e2"/>
          <w:lang w:val="en-GB"/>
        </w:rPr>
        <w:t>.  </w:t>
      </w:r>
      <w:r w:rsidR="002A4552" w:rsidRPr="006B02D7">
        <w:rPr>
          <w:rStyle w:val="sb8d990e2"/>
          <w:lang w:val="en-GB"/>
        </w:rPr>
        <w:t xml:space="preserve">On 23 November 2012 the applicant requested </w:t>
      </w:r>
      <w:r w:rsidR="00EA0896" w:rsidRPr="006B02D7">
        <w:rPr>
          <w:rStyle w:val="sb8d990e2"/>
          <w:lang w:val="en-GB"/>
        </w:rPr>
        <w:t xml:space="preserve">that </w:t>
      </w:r>
      <w:r w:rsidR="002A4552" w:rsidRPr="006B02D7">
        <w:rPr>
          <w:rStyle w:val="sb8d990e2"/>
          <w:lang w:val="en-GB"/>
        </w:rPr>
        <w:t xml:space="preserve">the Supreme Court reopen the proceedings </w:t>
      </w:r>
      <w:r w:rsidR="008257B0" w:rsidRPr="006B02D7">
        <w:rPr>
          <w:rStyle w:val="sb8d990e2"/>
          <w:lang w:val="en-GB"/>
        </w:rPr>
        <w:t xml:space="preserve">in the light of the </w:t>
      </w:r>
      <w:r w:rsidR="002A4552" w:rsidRPr="006B02D7">
        <w:rPr>
          <w:rStyle w:val="sb8d990e2"/>
          <w:lang w:val="en-GB"/>
        </w:rPr>
        <w:t>newly discovered circumstances, namely, the information set out in paragraph 4</w:t>
      </w:r>
      <w:r w:rsidR="00281D75" w:rsidRPr="006B02D7">
        <w:rPr>
          <w:rStyle w:val="sb8d990e2"/>
          <w:lang w:val="en-GB"/>
        </w:rPr>
        <w:t>5</w:t>
      </w:r>
      <w:r w:rsidR="002A4552" w:rsidRPr="006B02D7">
        <w:rPr>
          <w:rStyle w:val="sb8d990e2"/>
          <w:lang w:val="en-GB"/>
        </w:rPr>
        <w:t xml:space="preserve"> above.</w:t>
      </w:r>
    </w:p>
    <w:p w:rsidR="00281D75" w:rsidRPr="006B02D7" w:rsidRDefault="00281D75" w:rsidP="009476E8">
      <w:pPr>
        <w:pStyle w:val="ECHRPara"/>
        <w:rPr>
          <w:rStyle w:val="sb8d990e2"/>
          <w:lang w:val="en-GB"/>
        </w:rPr>
      </w:pPr>
      <w:r w:rsidRPr="006B02D7">
        <w:rPr>
          <w:rStyle w:val="sb8d990e2"/>
          <w:lang w:val="en-GB"/>
        </w:rPr>
        <w:fldChar w:fldCharType="begin"/>
      </w:r>
      <w:r w:rsidRPr="006B02D7">
        <w:rPr>
          <w:rStyle w:val="sb8d990e2"/>
          <w:lang w:val="en-GB"/>
        </w:rPr>
        <w:instrText xml:space="preserve"> SEQ level0 \*arabic </w:instrText>
      </w:r>
      <w:r w:rsidRPr="006B02D7">
        <w:rPr>
          <w:rStyle w:val="sb8d990e2"/>
          <w:lang w:val="en-GB"/>
        </w:rPr>
        <w:fldChar w:fldCharType="separate"/>
      </w:r>
      <w:r w:rsidR="009675D9">
        <w:rPr>
          <w:rStyle w:val="sb8d990e2"/>
          <w:noProof/>
          <w:lang w:val="en-GB"/>
        </w:rPr>
        <w:t>50</w:t>
      </w:r>
      <w:r w:rsidRPr="006B02D7">
        <w:rPr>
          <w:rStyle w:val="sb8d990e2"/>
          <w:lang w:val="en-GB"/>
        </w:rPr>
        <w:fldChar w:fldCharType="end"/>
      </w:r>
      <w:r w:rsidRPr="006B02D7">
        <w:rPr>
          <w:rStyle w:val="sb8d990e2"/>
          <w:lang w:val="en-GB"/>
        </w:rPr>
        <w:t>.  On 14 January 2013 the present application was communicated to the respondent Government.</w:t>
      </w:r>
    </w:p>
    <w:p w:rsidR="002A4552" w:rsidRPr="006B02D7" w:rsidRDefault="002A4552" w:rsidP="009476E8">
      <w:pPr>
        <w:pStyle w:val="ECHRPara"/>
        <w:rPr>
          <w:rStyle w:val="sb8d990e2"/>
          <w:lang w:val="en-GB"/>
        </w:rPr>
      </w:pPr>
      <w:r w:rsidRPr="006B02D7">
        <w:rPr>
          <w:rStyle w:val="sb8d990e2"/>
          <w:lang w:val="en-GB"/>
        </w:rPr>
        <w:fldChar w:fldCharType="begin"/>
      </w:r>
      <w:r w:rsidRPr="006B02D7">
        <w:rPr>
          <w:rStyle w:val="sb8d990e2"/>
          <w:lang w:val="en-GB"/>
        </w:rPr>
        <w:instrText xml:space="preserve"> SEQ level0 \*arabic </w:instrText>
      </w:r>
      <w:r w:rsidRPr="006B02D7">
        <w:rPr>
          <w:rStyle w:val="sb8d990e2"/>
          <w:lang w:val="en-GB"/>
        </w:rPr>
        <w:fldChar w:fldCharType="separate"/>
      </w:r>
      <w:r w:rsidR="009675D9">
        <w:rPr>
          <w:rStyle w:val="sb8d990e2"/>
          <w:noProof/>
          <w:lang w:val="en-GB"/>
        </w:rPr>
        <w:t>51</w:t>
      </w:r>
      <w:r w:rsidRPr="006B02D7">
        <w:rPr>
          <w:rStyle w:val="sb8d990e2"/>
          <w:lang w:val="en-GB"/>
        </w:rPr>
        <w:fldChar w:fldCharType="end"/>
      </w:r>
      <w:r w:rsidRPr="006B02D7">
        <w:rPr>
          <w:rStyle w:val="sb8d990e2"/>
          <w:lang w:val="en-GB"/>
        </w:rPr>
        <w:t>.  </w:t>
      </w:r>
      <w:r w:rsidR="00747BF4" w:rsidRPr="006B02D7">
        <w:rPr>
          <w:rStyle w:val="sb8d990e2"/>
          <w:lang w:val="en-GB"/>
        </w:rPr>
        <w:t>On 5 March 2013 the Supreme Court examined the applicant</w:t>
      </w:r>
      <w:r w:rsidR="00961B49">
        <w:rPr>
          <w:rStyle w:val="sb8d990e2"/>
          <w:lang w:val="en-GB"/>
        </w:rPr>
        <w:t>’</w:t>
      </w:r>
      <w:r w:rsidR="00747BF4" w:rsidRPr="006B02D7">
        <w:rPr>
          <w:rStyle w:val="sb8d990e2"/>
          <w:lang w:val="en-GB"/>
        </w:rPr>
        <w:t xml:space="preserve">s </w:t>
      </w:r>
      <w:r w:rsidR="00EA0896" w:rsidRPr="006B02D7">
        <w:rPr>
          <w:rStyle w:val="sb8d990e2"/>
          <w:lang w:val="en-GB"/>
        </w:rPr>
        <w:t xml:space="preserve">request to </w:t>
      </w:r>
      <w:r w:rsidR="00747BF4" w:rsidRPr="006B02D7">
        <w:rPr>
          <w:rStyle w:val="sb8d990e2"/>
          <w:lang w:val="en-GB"/>
        </w:rPr>
        <w:t xml:space="preserve">reopen </w:t>
      </w:r>
      <w:r w:rsidR="00EA0896" w:rsidRPr="006B02D7">
        <w:rPr>
          <w:rStyle w:val="sb8d990e2"/>
          <w:lang w:val="en-GB"/>
        </w:rPr>
        <w:t xml:space="preserve">the proceedings </w:t>
      </w:r>
      <w:r w:rsidR="00747BF4" w:rsidRPr="006B02D7">
        <w:rPr>
          <w:rStyle w:val="sb8d990e2"/>
          <w:lang w:val="en-GB"/>
        </w:rPr>
        <w:t xml:space="preserve">and rejected it, finding that the circumstances invoked by the applicant </w:t>
      </w:r>
      <w:r w:rsidR="00527D86" w:rsidRPr="006B02D7">
        <w:rPr>
          <w:rStyle w:val="sb8d990e2"/>
          <w:lang w:val="en-GB"/>
        </w:rPr>
        <w:t xml:space="preserve">could </w:t>
      </w:r>
      <w:r w:rsidR="00747BF4" w:rsidRPr="006B02D7">
        <w:rPr>
          <w:rStyle w:val="sb8d990e2"/>
          <w:lang w:val="en-GB"/>
        </w:rPr>
        <w:t xml:space="preserve">not be considered </w:t>
      </w:r>
      <w:r w:rsidR="00EA0896" w:rsidRPr="006B02D7">
        <w:rPr>
          <w:rStyle w:val="sb8d990e2"/>
          <w:lang w:val="en-GB"/>
        </w:rPr>
        <w:t xml:space="preserve">as </w:t>
      </w:r>
      <w:r w:rsidR="00747BF4" w:rsidRPr="006B02D7">
        <w:rPr>
          <w:rStyle w:val="sb8d990e2"/>
          <w:lang w:val="en-GB"/>
        </w:rPr>
        <w:t>“newly discovered” within the meaning of the Civil Procedure Law.</w:t>
      </w:r>
    </w:p>
    <w:p w:rsidR="00747BF4" w:rsidRPr="006B02D7" w:rsidRDefault="00747BF4" w:rsidP="0040238B">
      <w:pPr>
        <w:pStyle w:val="ECHRPara"/>
        <w:rPr>
          <w:rStyle w:val="sb8d990e2"/>
          <w:lang w:val="en-GB"/>
        </w:rPr>
      </w:pPr>
      <w:r w:rsidRPr="006B02D7">
        <w:rPr>
          <w:rStyle w:val="sb8d990e2"/>
          <w:lang w:val="en-GB"/>
        </w:rPr>
        <w:fldChar w:fldCharType="begin"/>
      </w:r>
      <w:r w:rsidRPr="006B02D7">
        <w:rPr>
          <w:rStyle w:val="sb8d990e2"/>
          <w:lang w:val="en-GB"/>
        </w:rPr>
        <w:instrText xml:space="preserve"> SEQ level0 \*arabic </w:instrText>
      </w:r>
      <w:r w:rsidRPr="006B02D7">
        <w:rPr>
          <w:rStyle w:val="sb8d990e2"/>
          <w:lang w:val="en-GB"/>
        </w:rPr>
        <w:fldChar w:fldCharType="separate"/>
      </w:r>
      <w:r w:rsidR="009675D9">
        <w:rPr>
          <w:rStyle w:val="sb8d990e2"/>
          <w:noProof/>
          <w:lang w:val="en-GB"/>
        </w:rPr>
        <w:t>52</w:t>
      </w:r>
      <w:r w:rsidRPr="006B02D7">
        <w:rPr>
          <w:rStyle w:val="sb8d990e2"/>
          <w:lang w:val="en-GB"/>
        </w:rPr>
        <w:fldChar w:fldCharType="end"/>
      </w:r>
      <w:r w:rsidRPr="006B02D7">
        <w:rPr>
          <w:rStyle w:val="sb8d990e2"/>
          <w:lang w:val="en-GB"/>
        </w:rPr>
        <w:t xml:space="preserve">.  The applicant submitted an ancillary complaint and on 12 June 2013 the Senate of the Supreme Court quashed the decision of </w:t>
      </w:r>
      <w:r w:rsidR="00E11A4D" w:rsidRPr="006B02D7">
        <w:rPr>
          <w:rStyle w:val="sb8d990e2"/>
          <w:lang w:val="en-GB"/>
        </w:rPr>
        <w:t>the Supreme Court</w:t>
      </w:r>
      <w:r w:rsidR="009264AE" w:rsidRPr="006B02D7">
        <w:rPr>
          <w:rStyle w:val="sb8d990e2"/>
          <w:lang w:val="en-GB"/>
        </w:rPr>
        <w:t>,</w:t>
      </w:r>
      <w:r w:rsidR="00E11A4D" w:rsidRPr="006B02D7">
        <w:rPr>
          <w:rStyle w:val="sb8d990e2"/>
          <w:lang w:val="en-GB"/>
        </w:rPr>
        <w:t xml:space="preserve"> examined</w:t>
      </w:r>
      <w:r w:rsidRPr="006B02D7">
        <w:rPr>
          <w:rStyle w:val="sb8d990e2"/>
          <w:lang w:val="en-GB"/>
        </w:rPr>
        <w:t xml:space="preserve"> the applica</w:t>
      </w:r>
      <w:r w:rsidR="00E11A4D" w:rsidRPr="006B02D7">
        <w:rPr>
          <w:rStyle w:val="sb8d990e2"/>
          <w:lang w:val="en-GB"/>
        </w:rPr>
        <w:t>nt</w:t>
      </w:r>
      <w:r w:rsidR="00961B49">
        <w:rPr>
          <w:rStyle w:val="sb8d990e2"/>
          <w:lang w:val="en-GB"/>
        </w:rPr>
        <w:t>’</w:t>
      </w:r>
      <w:r w:rsidR="00E11A4D" w:rsidRPr="006B02D7">
        <w:rPr>
          <w:rStyle w:val="sb8d990e2"/>
          <w:lang w:val="en-GB"/>
        </w:rPr>
        <w:t>s request on the merits and upheld it, quashing the decision of the Riga Regional Court of 26 May 2011 (see paragraph 3</w:t>
      </w:r>
      <w:r w:rsidR="0020228A" w:rsidRPr="006B02D7">
        <w:rPr>
          <w:rStyle w:val="sb8d990e2"/>
          <w:lang w:val="en-GB"/>
        </w:rPr>
        <w:t>8</w:t>
      </w:r>
      <w:r w:rsidR="00E11A4D" w:rsidRPr="006B02D7">
        <w:rPr>
          <w:rStyle w:val="sb8d990e2"/>
          <w:lang w:val="en-GB"/>
        </w:rPr>
        <w:t xml:space="preserve"> above). The case was sent for fresh examination to the Riga City Zemgale District Court, wh</w:t>
      </w:r>
      <w:r w:rsidR="0040238B" w:rsidRPr="006B02D7">
        <w:rPr>
          <w:rStyle w:val="sb8d990e2"/>
          <w:lang w:val="en-GB"/>
        </w:rPr>
        <w:t xml:space="preserve">ich held the first hearing on 3 October 2013. The court decided to invite the Guardianship Tribunal to submit a report concerning the family situation of the child. The proceedings </w:t>
      </w:r>
      <w:r w:rsidR="009264AE" w:rsidRPr="006B02D7">
        <w:rPr>
          <w:rStyle w:val="sb8d990e2"/>
          <w:lang w:val="en-GB"/>
        </w:rPr>
        <w:t xml:space="preserve">have </w:t>
      </w:r>
      <w:r w:rsidR="0040238B" w:rsidRPr="006B02D7">
        <w:rPr>
          <w:rStyle w:val="sb8d990e2"/>
          <w:lang w:val="en-GB"/>
        </w:rPr>
        <w:t>been adjourned until 13 February 2014.</w:t>
      </w:r>
    </w:p>
    <w:p w:rsidR="007352DD" w:rsidRPr="006B02D7" w:rsidRDefault="007352DD" w:rsidP="008824B9">
      <w:pPr>
        <w:pStyle w:val="ECHRHeading1"/>
        <w:rPr>
          <w:lang w:val="en-GB"/>
        </w:rPr>
      </w:pPr>
      <w:r w:rsidRPr="006B02D7">
        <w:rPr>
          <w:lang w:val="en-GB"/>
        </w:rPr>
        <w:t>II.  RELEVANT DOMESTIC LAW</w:t>
      </w:r>
    </w:p>
    <w:p w:rsidR="007352DD" w:rsidRPr="006B02D7" w:rsidRDefault="00FA09DC" w:rsidP="002F4BCF">
      <w:pPr>
        <w:pStyle w:val="ECHRPara"/>
        <w:rPr>
          <w:szCs w:val="24"/>
          <w:lang w:val="en-US" w:eastAsia="en-GB"/>
        </w:rPr>
      </w:pPr>
      <w:r w:rsidRPr="006B02D7">
        <w:rPr>
          <w:lang w:val="en-GB"/>
        </w:rPr>
        <w:fldChar w:fldCharType="begin"/>
      </w:r>
      <w:r w:rsidRPr="006B02D7">
        <w:rPr>
          <w:lang w:val="en-GB"/>
        </w:rPr>
        <w:instrText xml:space="preserve"> SEQ level0 \*arabic </w:instrText>
      </w:r>
      <w:r w:rsidRPr="006B02D7">
        <w:rPr>
          <w:lang w:val="en-GB"/>
        </w:rPr>
        <w:fldChar w:fldCharType="separate"/>
      </w:r>
      <w:r w:rsidR="009675D9">
        <w:rPr>
          <w:noProof/>
          <w:lang w:val="en-GB"/>
        </w:rPr>
        <w:t>53</w:t>
      </w:r>
      <w:r w:rsidRPr="006B02D7">
        <w:rPr>
          <w:lang w:val="en-GB"/>
        </w:rPr>
        <w:fldChar w:fldCharType="end"/>
      </w:r>
      <w:r w:rsidR="007352DD" w:rsidRPr="006B02D7">
        <w:rPr>
          <w:lang w:val="en-GB"/>
        </w:rPr>
        <w:t>.  </w:t>
      </w:r>
      <w:r w:rsidR="00B94494" w:rsidRPr="006B02D7">
        <w:rPr>
          <w:lang w:val="en-US"/>
        </w:rPr>
        <w:t xml:space="preserve">If a child is born out of wedlock, the paternity can be established by a voluntary acknowledgment of paternity by the father or by a decision of a court (section 154 of the Civil Law). The paternity can be acknowledged before or after the birth by submitting a joint request </w:t>
      </w:r>
      <w:r w:rsidR="009264AE" w:rsidRPr="006B02D7">
        <w:rPr>
          <w:lang w:val="en-US"/>
        </w:rPr>
        <w:t>from</w:t>
      </w:r>
      <w:r w:rsidR="00B94494" w:rsidRPr="006B02D7">
        <w:rPr>
          <w:lang w:val="en-US"/>
        </w:rPr>
        <w:t xml:space="preserve"> both parents of the child (section 155). </w:t>
      </w:r>
      <w:r w:rsidR="00B94494" w:rsidRPr="006B02D7">
        <w:rPr>
          <w:szCs w:val="24"/>
          <w:lang w:val="en-US" w:eastAsia="en-GB"/>
        </w:rPr>
        <w:t>Legal paternity established by acknowledgment may only be contested in court if the legal father could not objectively be the child</w:t>
      </w:r>
      <w:r w:rsidR="00961B49">
        <w:rPr>
          <w:szCs w:val="24"/>
          <w:lang w:val="en-US" w:eastAsia="en-GB"/>
        </w:rPr>
        <w:t>’</w:t>
      </w:r>
      <w:r w:rsidR="00B94494" w:rsidRPr="006B02D7">
        <w:rPr>
          <w:szCs w:val="24"/>
          <w:lang w:val="en-US" w:eastAsia="en-GB"/>
        </w:rPr>
        <w:t xml:space="preserve">s father and if the acknowledgment has been made as a result of </w:t>
      </w:r>
      <w:r w:rsidR="00527D86" w:rsidRPr="006B02D7">
        <w:rPr>
          <w:szCs w:val="24"/>
          <w:lang w:val="en-US" w:eastAsia="en-GB"/>
        </w:rPr>
        <w:t xml:space="preserve">a </w:t>
      </w:r>
      <w:r w:rsidR="00B94494" w:rsidRPr="006B02D7">
        <w:rPr>
          <w:szCs w:val="24"/>
          <w:lang w:val="en-US" w:eastAsia="en-GB"/>
        </w:rPr>
        <w:t>mistake, deception or coercion. The standing to contest paternity established by a voluntary acknowledgement is granted, with certain restrictions which are not relevant to the present case, to the child, the mother of the child and the legal father (section 156).</w:t>
      </w:r>
    </w:p>
    <w:p w:rsidR="00961B49" w:rsidRDefault="00B94494" w:rsidP="002F4BCF">
      <w:pPr>
        <w:pStyle w:val="ECHRPara"/>
        <w:rPr>
          <w:szCs w:val="24"/>
          <w:lang w:val="en-US" w:eastAsia="en-GB"/>
        </w:rPr>
      </w:pPr>
      <w:r w:rsidRPr="006B02D7">
        <w:rPr>
          <w:szCs w:val="24"/>
          <w:lang w:val="en-US" w:eastAsia="en-GB"/>
        </w:rPr>
        <w:fldChar w:fldCharType="begin"/>
      </w:r>
      <w:r w:rsidRPr="006B02D7">
        <w:rPr>
          <w:szCs w:val="24"/>
          <w:lang w:val="en-US" w:eastAsia="en-GB"/>
        </w:rPr>
        <w:instrText xml:space="preserve"> SEQ level0 \*arabic </w:instrText>
      </w:r>
      <w:r w:rsidRPr="006B02D7">
        <w:rPr>
          <w:szCs w:val="24"/>
          <w:lang w:val="en-US" w:eastAsia="en-GB"/>
        </w:rPr>
        <w:fldChar w:fldCharType="separate"/>
      </w:r>
      <w:r w:rsidR="009675D9">
        <w:rPr>
          <w:noProof/>
          <w:szCs w:val="24"/>
          <w:lang w:val="en-US" w:eastAsia="en-GB"/>
        </w:rPr>
        <w:t>54</w:t>
      </w:r>
      <w:r w:rsidRPr="006B02D7">
        <w:rPr>
          <w:szCs w:val="24"/>
          <w:lang w:val="en-US" w:eastAsia="en-GB"/>
        </w:rPr>
        <w:fldChar w:fldCharType="end"/>
      </w:r>
      <w:r w:rsidRPr="006B02D7">
        <w:rPr>
          <w:szCs w:val="24"/>
          <w:lang w:val="en-US" w:eastAsia="en-GB"/>
        </w:rPr>
        <w:t>.  </w:t>
      </w:r>
      <w:r w:rsidR="005565D3" w:rsidRPr="006B02D7">
        <w:rPr>
          <w:szCs w:val="24"/>
          <w:lang w:val="en-US" w:eastAsia="en-GB"/>
        </w:rPr>
        <w:t>Section 162 of the Civil Procedure Law provides as follows:</w:t>
      </w:r>
    </w:p>
    <w:p w:rsidR="00B94494" w:rsidRPr="006B02D7" w:rsidRDefault="005565D3" w:rsidP="00961B49">
      <w:pPr>
        <w:pStyle w:val="ECHRPara"/>
        <w:keepNext/>
        <w:keepLines/>
        <w:ind w:left="284" w:firstLine="0"/>
        <w:rPr>
          <w:sz w:val="20"/>
          <w:szCs w:val="20"/>
          <w:lang w:val="en-US" w:eastAsia="en-GB"/>
        </w:rPr>
      </w:pPr>
      <w:r w:rsidRPr="006B02D7">
        <w:rPr>
          <w:sz w:val="20"/>
          <w:szCs w:val="20"/>
          <w:lang w:val="en-US" w:eastAsia="en-GB"/>
        </w:rPr>
        <w:t>“the court shall inquire whether parties to the proceedings have any requests related to the examination of the case and shall decide on such requests after hearing the opinion of the other parties”.</w:t>
      </w:r>
    </w:p>
    <w:p w:rsidR="00527D86" w:rsidRPr="006B02D7" w:rsidRDefault="00527D86" w:rsidP="00961B49">
      <w:pPr>
        <w:pStyle w:val="ECHRPara"/>
        <w:keepNext/>
        <w:keepLines/>
        <w:ind w:left="284" w:firstLine="0"/>
        <w:rPr>
          <w:sz w:val="20"/>
          <w:szCs w:val="20"/>
          <w:lang w:val="en-US" w:eastAsia="en-GB"/>
        </w:rPr>
      </w:pPr>
    </w:p>
    <w:p w:rsidR="005565D3" w:rsidRPr="006B02D7" w:rsidRDefault="005565D3" w:rsidP="00961B49">
      <w:pPr>
        <w:pStyle w:val="ECHRPara"/>
        <w:keepNext/>
        <w:keepLines/>
        <w:rPr>
          <w:lang w:val="en-US"/>
        </w:rPr>
      </w:pPr>
      <w:r w:rsidRPr="006B02D7">
        <w:rPr>
          <w:szCs w:val="24"/>
          <w:lang w:val="en-US" w:eastAsia="en-GB"/>
        </w:rPr>
        <w:fldChar w:fldCharType="begin"/>
      </w:r>
      <w:r w:rsidRPr="006B02D7">
        <w:rPr>
          <w:szCs w:val="24"/>
          <w:lang w:val="en-US" w:eastAsia="en-GB"/>
        </w:rPr>
        <w:instrText xml:space="preserve"> SEQ level0 \*arabic </w:instrText>
      </w:r>
      <w:r w:rsidRPr="006B02D7">
        <w:rPr>
          <w:szCs w:val="24"/>
          <w:lang w:val="en-US" w:eastAsia="en-GB"/>
        </w:rPr>
        <w:fldChar w:fldCharType="separate"/>
      </w:r>
      <w:r w:rsidR="009675D9">
        <w:rPr>
          <w:noProof/>
          <w:szCs w:val="24"/>
          <w:lang w:val="en-US" w:eastAsia="en-GB"/>
        </w:rPr>
        <w:t>55</w:t>
      </w:r>
      <w:r w:rsidRPr="006B02D7">
        <w:rPr>
          <w:szCs w:val="24"/>
          <w:lang w:val="en-US" w:eastAsia="en-GB"/>
        </w:rPr>
        <w:fldChar w:fldCharType="end"/>
      </w:r>
      <w:r w:rsidRPr="006B02D7">
        <w:rPr>
          <w:szCs w:val="24"/>
          <w:lang w:val="en-US" w:eastAsia="en-GB"/>
        </w:rPr>
        <w:t>.  </w:t>
      </w:r>
      <w:r w:rsidRPr="006B02D7">
        <w:rPr>
          <w:rStyle w:val="wordhighlighted"/>
          <w:lang w:val="en-US"/>
        </w:rPr>
        <w:t>Article 92</w:t>
      </w:r>
      <w:r w:rsidRPr="006B02D7">
        <w:rPr>
          <w:rStyle w:val="sb8d990e2"/>
          <w:lang w:val="en-US"/>
        </w:rPr>
        <w:t xml:space="preserve"> of the Constitution of Latvia provides, </w:t>
      </w:r>
      <w:r w:rsidRPr="006B02D7">
        <w:rPr>
          <w:rStyle w:val="s6b621b36"/>
          <w:i/>
          <w:lang w:val="en-US"/>
        </w:rPr>
        <w:t>inter alia</w:t>
      </w:r>
      <w:r w:rsidRPr="006B02D7">
        <w:rPr>
          <w:rStyle w:val="sb8d990e2"/>
          <w:lang w:val="en-US"/>
        </w:rPr>
        <w:t>,</w:t>
      </w:r>
      <w:r w:rsidRPr="006B02D7">
        <w:rPr>
          <w:rStyle w:val="s6b621b36"/>
          <w:lang w:val="en-US"/>
        </w:rPr>
        <w:t xml:space="preserve"> </w:t>
      </w:r>
      <w:r w:rsidRPr="006B02D7">
        <w:rPr>
          <w:rStyle w:val="sb8d990e2"/>
          <w:lang w:val="en-US"/>
        </w:rPr>
        <w:t>that “any person whose rights are violated without justification shall have a right to commensurate compensation”.</w:t>
      </w:r>
    </w:p>
    <w:p w:rsidR="00F71A6A" w:rsidRPr="006B02D7" w:rsidRDefault="00F71A6A" w:rsidP="008824B9">
      <w:pPr>
        <w:pStyle w:val="ECHRTitle1"/>
        <w:rPr>
          <w:lang w:val="en-GB"/>
        </w:rPr>
      </w:pPr>
      <w:r w:rsidRPr="006B02D7">
        <w:rPr>
          <w:lang w:val="en-GB"/>
        </w:rPr>
        <w:t>THE LAW</w:t>
      </w:r>
    </w:p>
    <w:p w:rsidR="00586237" w:rsidRPr="006B02D7" w:rsidRDefault="00586237" w:rsidP="007D0F5D">
      <w:pPr>
        <w:pStyle w:val="ECHRHeading1"/>
        <w:rPr>
          <w:lang w:val="en-GB"/>
        </w:rPr>
      </w:pPr>
      <w:r w:rsidRPr="006B02D7">
        <w:rPr>
          <w:lang w:val="en-GB"/>
        </w:rPr>
        <w:t>I.  A</w:t>
      </w:r>
      <w:r w:rsidR="001471D7" w:rsidRPr="006B02D7">
        <w:rPr>
          <w:lang w:val="en-GB"/>
        </w:rPr>
        <w:t>BUSE OF THE RIGHT OF INDIVIDUAL APPLICATION</w:t>
      </w:r>
    </w:p>
    <w:p w:rsidR="00FC5472" w:rsidRPr="006B02D7" w:rsidRDefault="00586237" w:rsidP="00FC5472">
      <w:pPr>
        <w:pStyle w:val="ECHRPara"/>
        <w:rPr>
          <w:rStyle w:val="sb8d990e2"/>
          <w:lang w:val="en-GB"/>
        </w:rPr>
      </w:pPr>
      <w:r w:rsidRPr="006B02D7">
        <w:rPr>
          <w:lang w:val="en-GB"/>
        </w:rPr>
        <w:fldChar w:fldCharType="begin"/>
      </w:r>
      <w:r w:rsidRPr="006B02D7">
        <w:rPr>
          <w:lang w:val="en-GB"/>
        </w:rPr>
        <w:instrText xml:space="preserve"> SEQ level0 \*arabic </w:instrText>
      </w:r>
      <w:r w:rsidRPr="006B02D7">
        <w:rPr>
          <w:lang w:val="en-GB"/>
        </w:rPr>
        <w:fldChar w:fldCharType="separate"/>
      </w:r>
      <w:r w:rsidR="009675D9">
        <w:rPr>
          <w:noProof/>
          <w:lang w:val="en-GB"/>
        </w:rPr>
        <w:t>56</w:t>
      </w:r>
      <w:r w:rsidRPr="006B02D7">
        <w:rPr>
          <w:lang w:val="en-GB"/>
        </w:rPr>
        <w:fldChar w:fldCharType="end"/>
      </w:r>
      <w:r w:rsidRPr="006B02D7">
        <w:rPr>
          <w:lang w:val="en-GB"/>
        </w:rPr>
        <w:t>.  </w:t>
      </w:r>
      <w:r w:rsidR="00FC5472" w:rsidRPr="006B02D7">
        <w:rPr>
          <w:lang w:val="en-GB"/>
        </w:rPr>
        <w:t>The Government submitted that the applicant had abused the right of individual application within the meaning of Article 35 </w:t>
      </w:r>
      <w:r w:rsidR="00FC5472" w:rsidRPr="006B02D7">
        <w:rPr>
          <w:rStyle w:val="sb8d990e2"/>
          <w:lang w:val="en-GB"/>
        </w:rPr>
        <w:t>§ 3 (a) of the Convention</w:t>
      </w:r>
      <w:r w:rsidR="009264AE" w:rsidRPr="006B02D7">
        <w:rPr>
          <w:rStyle w:val="sb8d990e2"/>
          <w:lang w:val="en-GB"/>
        </w:rPr>
        <w:t>.</w:t>
      </w:r>
      <w:r w:rsidR="00FC5472" w:rsidRPr="006B02D7">
        <w:rPr>
          <w:rStyle w:val="sb8d990e2"/>
          <w:lang w:val="en-GB"/>
        </w:rPr>
        <w:t xml:space="preserve"> </w:t>
      </w:r>
      <w:r w:rsidR="009264AE" w:rsidRPr="006B02D7">
        <w:rPr>
          <w:rStyle w:val="sb8d990e2"/>
          <w:lang w:val="en-GB"/>
        </w:rPr>
        <w:t xml:space="preserve">They </w:t>
      </w:r>
      <w:r w:rsidR="00FC5472" w:rsidRPr="006B02D7">
        <w:rPr>
          <w:rStyle w:val="sb8d990e2"/>
          <w:lang w:val="en-GB"/>
        </w:rPr>
        <w:t>invited the Court to reject the application in accordance with paragraph 4 of that Article. The Government pointed out that according to Rule 47 § 6 of the Rules of Court</w:t>
      </w:r>
      <w:r w:rsidR="009264AE" w:rsidRPr="006B02D7">
        <w:rPr>
          <w:rStyle w:val="sb8d990e2"/>
          <w:lang w:val="en-GB"/>
        </w:rPr>
        <w:t>,</w:t>
      </w:r>
      <w:r w:rsidR="00FC5472" w:rsidRPr="006B02D7">
        <w:rPr>
          <w:rStyle w:val="sb8d990e2"/>
          <w:lang w:val="en-GB"/>
        </w:rPr>
        <w:t xml:space="preserve"> applicants </w:t>
      </w:r>
      <w:r w:rsidR="009264AE" w:rsidRPr="006B02D7">
        <w:rPr>
          <w:rStyle w:val="sb8d990e2"/>
          <w:lang w:val="en-GB"/>
        </w:rPr>
        <w:t xml:space="preserve">must </w:t>
      </w:r>
      <w:r w:rsidR="00FC5472" w:rsidRPr="006B02D7">
        <w:rPr>
          <w:rStyle w:val="sb8d990e2"/>
          <w:lang w:val="en-GB"/>
        </w:rPr>
        <w:t>keep the Court informed of all circumstances relevant to the application</w:t>
      </w:r>
      <w:r w:rsidR="009264AE" w:rsidRPr="006B02D7">
        <w:rPr>
          <w:rStyle w:val="sb8d990e2"/>
          <w:lang w:val="en-GB"/>
        </w:rPr>
        <w:t>.</w:t>
      </w:r>
      <w:r w:rsidR="00FC5472" w:rsidRPr="006B02D7">
        <w:rPr>
          <w:rStyle w:val="sb8d990e2"/>
          <w:lang w:val="en-GB"/>
        </w:rPr>
        <w:t xml:space="preserve"> </w:t>
      </w:r>
      <w:r w:rsidR="009264AE" w:rsidRPr="006B02D7">
        <w:rPr>
          <w:rStyle w:val="sb8d990e2"/>
          <w:lang w:val="en-GB"/>
        </w:rPr>
        <w:t>T</w:t>
      </w:r>
      <w:r w:rsidR="00FC5472" w:rsidRPr="006B02D7">
        <w:rPr>
          <w:rStyle w:val="sb8d990e2"/>
          <w:lang w:val="en-GB"/>
        </w:rPr>
        <w:t xml:space="preserve">he applicant failed to do </w:t>
      </w:r>
      <w:r w:rsidR="009264AE" w:rsidRPr="006B02D7">
        <w:rPr>
          <w:rStyle w:val="sb8d990e2"/>
          <w:lang w:val="en-GB"/>
        </w:rPr>
        <w:t xml:space="preserve">so </w:t>
      </w:r>
      <w:r w:rsidR="00FC5472" w:rsidRPr="006B02D7">
        <w:rPr>
          <w:rStyle w:val="sb8d990e2"/>
          <w:lang w:val="en-GB"/>
        </w:rPr>
        <w:t>when he did not inform the Court that after lodging the present application</w:t>
      </w:r>
      <w:r w:rsidR="009264AE" w:rsidRPr="006B02D7">
        <w:rPr>
          <w:rStyle w:val="sb8d990e2"/>
          <w:lang w:val="en-GB"/>
        </w:rPr>
        <w:t>,</w:t>
      </w:r>
      <w:r w:rsidR="00FC5472" w:rsidRPr="006B02D7">
        <w:rPr>
          <w:rStyle w:val="sb8d990e2"/>
          <w:lang w:val="en-GB"/>
        </w:rPr>
        <w:t xml:space="preserve"> he had petitioned the Supreme Court to reopen the domestic proceedings </w:t>
      </w:r>
      <w:r w:rsidR="008257B0" w:rsidRPr="006B02D7">
        <w:rPr>
          <w:rStyle w:val="sb8d990e2"/>
          <w:lang w:val="en-GB"/>
        </w:rPr>
        <w:t>in the light of</w:t>
      </w:r>
      <w:r w:rsidR="00FC5472" w:rsidRPr="006B02D7">
        <w:rPr>
          <w:rStyle w:val="sb8d990e2"/>
          <w:lang w:val="en-GB"/>
        </w:rPr>
        <w:t xml:space="preserve"> newly discovered circumstances.</w:t>
      </w:r>
    </w:p>
    <w:p w:rsidR="00FC5472" w:rsidRPr="006B02D7" w:rsidRDefault="00FC5472" w:rsidP="00FC5472">
      <w:pPr>
        <w:pStyle w:val="ECHRPara"/>
        <w:rPr>
          <w:rStyle w:val="sb8d990e2"/>
          <w:lang w:val="en-GB"/>
        </w:rPr>
      </w:pPr>
      <w:r w:rsidRPr="006B02D7">
        <w:rPr>
          <w:rStyle w:val="sb8d990e2"/>
          <w:lang w:val="en-GB"/>
        </w:rPr>
        <w:fldChar w:fldCharType="begin"/>
      </w:r>
      <w:r w:rsidRPr="006B02D7">
        <w:rPr>
          <w:rStyle w:val="sb8d990e2"/>
          <w:lang w:val="en-GB"/>
        </w:rPr>
        <w:instrText xml:space="preserve"> SEQ level0 \*arabic </w:instrText>
      </w:r>
      <w:r w:rsidRPr="006B02D7">
        <w:rPr>
          <w:rStyle w:val="sb8d990e2"/>
          <w:lang w:val="en-GB"/>
        </w:rPr>
        <w:fldChar w:fldCharType="separate"/>
      </w:r>
      <w:r w:rsidR="009675D9">
        <w:rPr>
          <w:rStyle w:val="sb8d990e2"/>
          <w:noProof/>
          <w:lang w:val="en-GB"/>
        </w:rPr>
        <w:t>57</w:t>
      </w:r>
      <w:r w:rsidRPr="006B02D7">
        <w:rPr>
          <w:rStyle w:val="sb8d990e2"/>
          <w:lang w:val="en-GB"/>
        </w:rPr>
        <w:fldChar w:fldCharType="end"/>
      </w:r>
      <w:r w:rsidRPr="006B02D7">
        <w:rPr>
          <w:rStyle w:val="sb8d990e2"/>
          <w:lang w:val="en-GB"/>
        </w:rPr>
        <w:t>.  The applicant responded by arguing that he had sought the reopening of the domestic proceedings in order to gain legal recognition as the child</w:t>
      </w:r>
      <w:r w:rsidR="00961B49">
        <w:rPr>
          <w:rStyle w:val="sb8d990e2"/>
          <w:lang w:val="en-GB"/>
        </w:rPr>
        <w:t>’</w:t>
      </w:r>
      <w:r w:rsidRPr="006B02D7">
        <w:rPr>
          <w:rStyle w:val="sb8d990e2"/>
          <w:lang w:val="en-GB"/>
        </w:rPr>
        <w:t xml:space="preserve">s father, which was something that a judgment in his favour by the </w:t>
      </w:r>
      <w:r w:rsidR="005565D3" w:rsidRPr="006B02D7">
        <w:rPr>
          <w:rStyle w:val="sb8d990e2"/>
          <w:lang w:val="en-GB"/>
        </w:rPr>
        <w:t>Strasbourg</w:t>
      </w:r>
      <w:r w:rsidRPr="006B02D7">
        <w:rPr>
          <w:rStyle w:val="sb8d990e2"/>
          <w:lang w:val="en-GB"/>
        </w:rPr>
        <w:t xml:space="preserve"> Court would not bring him. In any case, according to the applicant, the domestic authorities had been violating his rights guaranteed by Articles 6 and 8 of the Convention for seven years while the domestic proceedings </w:t>
      </w:r>
      <w:r w:rsidR="008257B0" w:rsidRPr="006B02D7">
        <w:rPr>
          <w:rStyle w:val="sb8d990e2"/>
          <w:lang w:val="en-GB"/>
        </w:rPr>
        <w:t xml:space="preserve">had </w:t>
      </w:r>
      <w:r w:rsidRPr="006B02D7">
        <w:rPr>
          <w:rStyle w:val="sb8d990e2"/>
          <w:lang w:val="en-GB"/>
        </w:rPr>
        <w:t xml:space="preserve">been </w:t>
      </w:r>
      <w:r w:rsidR="005565D3" w:rsidRPr="006B02D7">
        <w:rPr>
          <w:rStyle w:val="sb8d990e2"/>
          <w:lang w:val="en-GB"/>
        </w:rPr>
        <w:t>pend</w:t>
      </w:r>
      <w:r w:rsidRPr="006B02D7">
        <w:rPr>
          <w:rStyle w:val="sb8d990e2"/>
          <w:lang w:val="en-GB"/>
        </w:rPr>
        <w:t>ing.</w:t>
      </w:r>
    </w:p>
    <w:p w:rsidR="00FC5472" w:rsidRPr="006B02D7" w:rsidRDefault="00FC5472" w:rsidP="00586237">
      <w:pPr>
        <w:pStyle w:val="ECHRPara"/>
        <w:rPr>
          <w:rStyle w:val="sb8d990e2"/>
          <w:lang w:val="en-GB"/>
        </w:rPr>
      </w:pPr>
      <w:r w:rsidRPr="006B02D7">
        <w:rPr>
          <w:rStyle w:val="sb8d990e2"/>
          <w:lang w:val="en-GB"/>
        </w:rPr>
        <w:fldChar w:fldCharType="begin"/>
      </w:r>
      <w:r w:rsidRPr="006B02D7">
        <w:rPr>
          <w:rStyle w:val="sb8d990e2"/>
          <w:lang w:val="en-GB"/>
        </w:rPr>
        <w:instrText xml:space="preserve"> SEQ level0 \*arabic </w:instrText>
      </w:r>
      <w:r w:rsidRPr="006B02D7">
        <w:rPr>
          <w:rStyle w:val="sb8d990e2"/>
          <w:lang w:val="en-GB"/>
        </w:rPr>
        <w:fldChar w:fldCharType="separate"/>
      </w:r>
      <w:r w:rsidR="009675D9">
        <w:rPr>
          <w:rStyle w:val="sb8d990e2"/>
          <w:noProof/>
          <w:lang w:val="en-GB"/>
        </w:rPr>
        <w:t>58</w:t>
      </w:r>
      <w:r w:rsidRPr="006B02D7">
        <w:rPr>
          <w:rStyle w:val="sb8d990e2"/>
          <w:lang w:val="en-GB"/>
        </w:rPr>
        <w:fldChar w:fldCharType="end"/>
      </w:r>
      <w:r w:rsidRPr="006B02D7">
        <w:rPr>
          <w:rStyle w:val="sb8d990e2"/>
          <w:lang w:val="en-GB"/>
        </w:rPr>
        <w:t xml:space="preserve">.  The Court has previously held that incomplete and therefore misleading information may amount to abuse of the right of individual application, especially if the information concerns the very core of the case and no sufficient explanation is given for the failure to disclose that information (see, for example, </w:t>
      </w:r>
      <w:r w:rsidRPr="006B02D7">
        <w:rPr>
          <w:rStyle w:val="sb8d990e2"/>
          <w:i/>
          <w:lang w:val="en-GB"/>
        </w:rPr>
        <w:t>Hadrabov</w:t>
      </w:r>
      <w:r w:rsidRPr="006B02D7">
        <w:rPr>
          <w:rStyle w:val="sb8d990e2"/>
          <w:rFonts w:cstheme="minorHAnsi"/>
          <w:i/>
          <w:lang w:val="en-GB"/>
        </w:rPr>
        <w:t>á</w:t>
      </w:r>
      <w:r w:rsidRPr="006B02D7">
        <w:rPr>
          <w:rStyle w:val="sb8d990e2"/>
          <w:i/>
          <w:lang w:val="en-GB"/>
        </w:rPr>
        <w:t xml:space="preserve"> v. the Czech Republic</w:t>
      </w:r>
      <w:r w:rsidRPr="006B02D7">
        <w:rPr>
          <w:rStyle w:val="sb8d990e2"/>
          <w:lang w:val="en-GB"/>
        </w:rPr>
        <w:t xml:space="preserve"> (dec.), nos. 42165/02 and 466/03, 25 September 2007).</w:t>
      </w:r>
      <w:r w:rsidR="00586237" w:rsidRPr="006B02D7">
        <w:rPr>
          <w:rStyle w:val="sb8d990e2"/>
          <w:lang w:val="en-GB"/>
        </w:rPr>
        <w:t xml:space="preserve"> However, it also derives</w:t>
      </w:r>
      <w:r w:rsidRPr="006B02D7">
        <w:rPr>
          <w:rStyle w:val="sb8d990e2"/>
          <w:lang w:val="en-GB"/>
        </w:rPr>
        <w:t xml:space="preserve"> </w:t>
      </w:r>
      <w:r w:rsidR="00586237" w:rsidRPr="006B02D7">
        <w:rPr>
          <w:rStyle w:val="sb8d990e2"/>
          <w:lang w:val="en-GB"/>
        </w:rPr>
        <w:t>from the Court</w:t>
      </w:r>
      <w:r w:rsidR="00961B49">
        <w:rPr>
          <w:rStyle w:val="sb8d990e2"/>
          <w:lang w:val="en-GB"/>
        </w:rPr>
        <w:t>’</w:t>
      </w:r>
      <w:r w:rsidR="00586237" w:rsidRPr="006B02D7">
        <w:rPr>
          <w:rStyle w:val="sb8d990e2"/>
          <w:lang w:val="en-GB"/>
        </w:rPr>
        <w:t xml:space="preserve">s case-law that an application may only be rejected for abuse of the right of individual application if the Court has established with sufficient certainty that the applicant has intended to mislead the Court (see </w:t>
      </w:r>
      <w:r w:rsidR="00586237" w:rsidRPr="006B02D7">
        <w:rPr>
          <w:rStyle w:val="sb8d990e2"/>
          <w:i/>
          <w:lang w:val="en-GB"/>
        </w:rPr>
        <w:t>Vasilevskiy v. Latvia</w:t>
      </w:r>
      <w:r w:rsidR="00586237" w:rsidRPr="006B02D7">
        <w:rPr>
          <w:rStyle w:val="sb8d990e2"/>
          <w:lang w:val="en-GB"/>
        </w:rPr>
        <w:t xml:space="preserve"> (dec.), no. 73485/01, 10 January 2012, with further references).</w:t>
      </w:r>
    </w:p>
    <w:p w:rsidR="00FC5472" w:rsidRPr="006B02D7" w:rsidRDefault="00586237" w:rsidP="00586237">
      <w:pPr>
        <w:pStyle w:val="ECHRPara"/>
        <w:rPr>
          <w:lang w:val="en-GB"/>
        </w:rPr>
      </w:pPr>
      <w:r w:rsidRPr="006B02D7">
        <w:rPr>
          <w:rStyle w:val="sb8d990e2"/>
          <w:lang w:val="en-GB"/>
        </w:rPr>
        <w:fldChar w:fldCharType="begin"/>
      </w:r>
      <w:r w:rsidRPr="006B02D7">
        <w:rPr>
          <w:rStyle w:val="sb8d990e2"/>
          <w:lang w:val="en-GB"/>
        </w:rPr>
        <w:instrText xml:space="preserve"> SEQ level0 \*arabic </w:instrText>
      </w:r>
      <w:r w:rsidRPr="006B02D7">
        <w:rPr>
          <w:rStyle w:val="sb8d990e2"/>
          <w:lang w:val="en-GB"/>
        </w:rPr>
        <w:fldChar w:fldCharType="separate"/>
      </w:r>
      <w:r w:rsidR="009675D9">
        <w:rPr>
          <w:rStyle w:val="sb8d990e2"/>
          <w:noProof/>
          <w:lang w:val="en-GB"/>
        </w:rPr>
        <w:t>59</w:t>
      </w:r>
      <w:r w:rsidRPr="006B02D7">
        <w:rPr>
          <w:rStyle w:val="sb8d990e2"/>
          <w:lang w:val="en-GB"/>
        </w:rPr>
        <w:fldChar w:fldCharType="end"/>
      </w:r>
      <w:r w:rsidRPr="006B02D7">
        <w:rPr>
          <w:rStyle w:val="sb8d990e2"/>
          <w:lang w:val="en-GB"/>
        </w:rPr>
        <w:t>.  In the circumstances of the present case the Court is satisfied that the reasons advanced by the applicant</w:t>
      </w:r>
      <w:r w:rsidR="00527D86" w:rsidRPr="006B02D7">
        <w:rPr>
          <w:rStyle w:val="sb8d990e2"/>
          <w:lang w:val="en-GB"/>
        </w:rPr>
        <w:t xml:space="preserve"> –</w:t>
      </w:r>
      <w:r w:rsidRPr="006B02D7">
        <w:rPr>
          <w:rStyle w:val="sb8d990e2"/>
          <w:lang w:val="en-GB"/>
        </w:rPr>
        <w:t xml:space="preserve"> namely, that the </w:t>
      </w:r>
      <w:r w:rsidR="005565D3" w:rsidRPr="006B02D7">
        <w:rPr>
          <w:rStyle w:val="sb8d990e2"/>
          <w:lang w:val="en-GB"/>
        </w:rPr>
        <w:t>purpose</w:t>
      </w:r>
      <w:r w:rsidRPr="006B02D7">
        <w:rPr>
          <w:rStyle w:val="sb8d990e2"/>
          <w:lang w:val="en-GB"/>
        </w:rPr>
        <w:t xml:space="preserve"> of his application for </w:t>
      </w:r>
      <w:r w:rsidR="009264AE" w:rsidRPr="006B02D7">
        <w:rPr>
          <w:rStyle w:val="sb8d990e2"/>
          <w:lang w:val="en-GB"/>
        </w:rPr>
        <w:t xml:space="preserve">the </w:t>
      </w:r>
      <w:r w:rsidRPr="006B02D7">
        <w:rPr>
          <w:rStyle w:val="sb8d990e2"/>
          <w:lang w:val="en-GB"/>
        </w:rPr>
        <w:t>reopening of the domestic proceedings and the subject-matter of his application to the Court were distinct in that the former could eventually lead to his recognition as the child</w:t>
      </w:r>
      <w:r w:rsidR="00961B49">
        <w:rPr>
          <w:rStyle w:val="sb8d990e2"/>
          <w:lang w:val="en-GB"/>
        </w:rPr>
        <w:t>’</w:t>
      </w:r>
      <w:r w:rsidRPr="006B02D7">
        <w:rPr>
          <w:rStyle w:val="sb8d990e2"/>
          <w:lang w:val="en-GB"/>
        </w:rPr>
        <w:t>s legal father</w:t>
      </w:r>
      <w:r w:rsidR="00527D86" w:rsidRPr="006B02D7">
        <w:rPr>
          <w:rStyle w:val="sb8d990e2"/>
          <w:lang w:val="en-GB"/>
        </w:rPr>
        <w:t xml:space="preserve"> –</w:t>
      </w:r>
      <w:r w:rsidRPr="006B02D7">
        <w:rPr>
          <w:rStyle w:val="sb8d990e2"/>
          <w:lang w:val="en-GB"/>
        </w:rPr>
        <w:t xml:space="preserve"> are sufficient to </w:t>
      </w:r>
      <w:r w:rsidR="005565D3" w:rsidRPr="006B02D7">
        <w:rPr>
          <w:rStyle w:val="sb8d990e2"/>
          <w:lang w:val="en-GB"/>
        </w:rPr>
        <w:t xml:space="preserve">cast </w:t>
      </w:r>
      <w:r w:rsidRPr="006B02D7">
        <w:rPr>
          <w:rStyle w:val="sb8d990e2"/>
          <w:lang w:val="en-GB"/>
        </w:rPr>
        <w:t xml:space="preserve">doubt </w:t>
      </w:r>
      <w:r w:rsidR="005565D3" w:rsidRPr="006B02D7">
        <w:rPr>
          <w:rStyle w:val="sb8d990e2"/>
          <w:lang w:val="en-GB"/>
        </w:rPr>
        <w:t>on the argument that by</w:t>
      </w:r>
      <w:r w:rsidRPr="006B02D7">
        <w:rPr>
          <w:rStyle w:val="sb8d990e2"/>
          <w:lang w:val="en-GB"/>
        </w:rPr>
        <w:t xml:space="preserve"> </w:t>
      </w:r>
      <w:r w:rsidR="005565D3" w:rsidRPr="006B02D7">
        <w:rPr>
          <w:rStyle w:val="sb8d990e2"/>
          <w:lang w:val="en-GB"/>
        </w:rPr>
        <w:t>failing to provide</w:t>
      </w:r>
      <w:r w:rsidRPr="006B02D7">
        <w:rPr>
          <w:rStyle w:val="sb8d990e2"/>
          <w:lang w:val="en-GB"/>
        </w:rPr>
        <w:t xml:space="preserve"> information about his request </w:t>
      </w:r>
      <w:r w:rsidR="009264AE" w:rsidRPr="006B02D7">
        <w:rPr>
          <w:rStyle w:val="sb8d990e2"/>
          <w:lang w:val="en-GB"/>
        </w:rPr>
        <w:t xml:space="preserve">to </w:t>
      </w:r>
      <w:r w:rsidRPr="006B02D7">
        <w:rPr>
          <w:rStyle w:val="sb8d990e2"/>
          <w:lang w:val="en-GB"/>
        </w:rPr>
        <w:t>reopen</w:t>
      </w:r>
      <w:r w:rsidR="009264AE" w:rsidRPr="006B02D7">
        <w:rPr>
          <w:rStyle w:val="sb8d990e2"/>
          <w:lang w:val="en-GB"/>
        </w:rPr>
        <w:t xml:space="preserve"> the proceedings,</w:t>
      </w:r>
      <w:r w:rsidRPr="006B02D7">
        <w:rPr>
          <w:rStyle w:val="sb8d990e2"/>
          <w:lang w:val="en-GB"/>
        </w:rPr>
        <w:t xml:space="preserve"> the applicant intended to mislead the Court. Therefore</w:t>
      </w:r>
      <w:r w:rsidR="009264AE" w:rsidRPr="006B02D7">
        <w:rPr>
          <w:rStyle w:val="sb8d990e2"/>
          <w:lang w:val="en-GB"/>
        </w:rPr>
        <w:t>,</w:t>
      </w:r>
      <w:r w:rsidRPr="006B02D7">
        <w:rPr>
          <w:rStyle w:val="sb8d990e2"/>
          <w:lang w:val="en-GB"/>
        </w:rPr>
        <w:t xml:space="preserve"> the Government</w:t>
      </w:r>
      <w:r w:rsidR="00961B49">
        <w:rPr>
          <w:rStyle w:val="sb8d990e2"/>
          <w:lang w:val="en-GB"/>
        </w:rPr>
        <w:t>’</w:t>
      </w:r>
      <w:r w:rsidRPr="006B02D7">
        <w:rPr>
          <w:rStyle w:val="sb8d990e2"/>
          <w:lang w:val="en-GB"/>
        </w:rPr>
        <w:t>s request to reject the present application for abuse is</w:t>
      </w:r>
      <w:r w:rsidR="008257B0" w:rsidRPr="006B02D7">
        <w:rPr>
          <w:rStyle w:val="sb8d990e2"/>
          <w:lang w:val="en-GB"/>
        </w:rPr>
        <w:t xml:space="preserve"> refused</w:t>
      </w:r>
      <w:r w:rsidRPr="006B02D7">
        <w:rPr>
          <w:rStyle w:val="sb8d990e2"/>
          <w:lang w:val="en-GB"/>
        </w:rPr>
        <w:t>.</w:t>
      </w:r>
    </w:p>
    <w:p w:rsidR="00F71A6A" w:rsidRPr="006B02D7" w:rsidRDefault="001471D7">
      <w:pPr>
        <w:pStyle w:val="ECHRHeading1"/>
        <w:rPr>
          <w:lang w:val="en-GB"/>
        </w:rPr>
      </w:pPr>
      <w:r w:rsidRPr="006B02D7">
        <w:rPr>
          <w:lang w:val="en-GB"/>
        </w:rPr>
        <w:t>I</w:t>
      </w:r>
      <w:r w:rsidR="00F71A6A" w:rsidRPr="006B02D7">
        <w:rPr>
          <w:lang w:val="en-GB"/>
        </w:rPr>
        <w:t>I</w:t>
      </w:r>
      <w:r w:rsidR="002B5CAD" w:rsidRPr="006B02D7">
        <w:rPr>
          <w:lang w:val="en-GB"/>
        </w:rPr>
        <w:t>.  ALLEGED VIOLATION OF ARTICLE 6 </w:t>
      </w:r>
      <w:r w:rsidR="002B5CAD" w:rsidRPr="006B02D7">
        <w:rPr>
          <w:rFonts w:cstheme="majorHAnsi"/>
          <w:lang w:val="en-GB"/>
        </w:rPr>
        <w:t>§</w:t>
      </w:r>
      <w:r w:rsidR="000C4DE4" w:rsidRPr="006B02D7">
        <w:rPr>
          <w:lang w:val="en-GB"/>
        </w:rPr>
        <w:t> </w:t>
      </w:r>
      <w:r w:rsidR="002B5CAD" w:rsidRPr="006B02D7">
        <w:rPr>
          <w:lang w:val="en-GB"/>
        </w:rPr>
        <w:t>1</w:t>
      </w:r>
      <w:r w:rsidR="00F71A6A" w:rsidRPr="006B02D7">
        <w:rPr>
          <w:lang w:val="en-GB"/>
        </w:rPr>
        <w:t xml:space="preserve"> OF THE CONVENTION</w:t>
      </w:r>
    </w:p>
    <w:p w:rsidR="00F71A6A" w:rsidRPr="006B02D7" w:rsidRDefault="00FA09DC" w:rsidP="002F4BCF">
      <w:pPr>
        <w:pStyle w:val="ECHRPara"/>
        <w:rPr>
          <w:lang w:val="en-GB"/>
        </w:rPr>
      </w:pPr>
      <w:r w:rsidRPr="006B02D7">
        <w:rPr>
          <w:lang w:val="en-GB"/>
        </w:rPr>
        <w:fldChar w:fldCharType="begin"/>
      </w:r>
      <w:r w:rsidRPr="006B02D7">
        <w:rPr>
          <w:lang w:val="en-GB"/>
        </w:rPr>
        <w:instrText xml:space="preserve"> SEQ level0 \*arabic </w:instrText>
      </w:r>
      <w:r w:rsidRPr="006B02D7">
        <w:rPr>
          <w:lang w:val="en-GB"/>
        </w:rPr>
        <w:fldChar w:fldCharType="separate"/>
      </w:r>
      <w:r w:rsidR="009675D9">
        <w:rPr>
          <w:noProof/>
          <w:lang w:val="en-GB"/>
        </w:rPr>
        <w:t>60</w:t>
      </w:r>
      <w:r w:rsidRPr="006B02D7">
        <w:rPr>
          <w:lang w:val="en-GB"/>
        </w:rPr>
        <w:fldChar w:fldCharType="end"/>
      </w:r>
      <w:r w:rsidR="00F71A6A" w:rsidRPr="006B02D7">
        <w:rPr>
          <w:lang w:val="en-GB"/>
        </w:rPr>
        <w:t xml:space="preserve">.  The </w:t>
      </w:r>
      <w:r w:rsidR="005F4753" w:rsidRPr="006B02D7">
        <w:rPr>
          <w:lang w:val="en-GB"/>
        </w:rPr>
        <w:t>applicant</w:t>
      </w:r>
      <w:r w:rsidR="000C4DE4" w:rsidRPr="006B02D7">
        <w:rPr>
          <w:lang w:val="en-GB"/>
        </w:rPr>
        <w:t xml:space="preserve"> complained of a violation of</w:t>
      </w:r>
      <w:r w:rsidR="00F71A6A" w:rsidRPr="006B02D7">
        <w:rPr>
          <w:lang w:val="en-GB"/>
        </w:rPr>
        <w:t xml:space="preserve"> </w:t>
      </w:r>
      <w:r w:rsidR="000C4DE4" w:rsidRPr="006B02D7">
        <w:rPr>
          <w:lang w:val="en-GB"/>
        </w:rPr>
        <w:t>his right to a hearing within a reasonable time</w:t>
      </w:r>
      <w:r w:rsidR="009264AE" w:rsidRPr="006B02D7">
        <w:rPr>
          <w:lang w:val="en-GB"/>
        </w:rPr>
        <w:t>,</w:t>
      </w:r>
      <w:r w:rsidR="00F71A6A" w:rsidRPr="006B02D7">
        <w:rPr>
          <w:lang w:val="en-GB"/>
        </w:rPr>
        <w:t xml:space="preserve"> as provided </w:t>
      </w:r>
      <w:r w:rsidR="009264AE" w:rsidRPr="006B02D7">
        <w:rPr>
          <w:lang w:val="en-GB"/>
        </w:rPr>
        <w:t xml:space="preserve">for </w:t>
      </w:r>
      <w:r w:rsidR="00F71A6A" w:rsidRPr="006B02D7">
        <w:rPr>
          <w:lang w:val="en-GB"/>
        </w:rPr>
        <w:t>in Article</w:t>
      </w:r>
      <w:r w:rsidR="000C4DE4" w:rsidRPr="006B02D7">
        <w:rPr>
          <w:lang w:val="en-GB"/>
        </w:rPr>
        <w:t> 6 </w:t>
      </w:r>
      <w:r w:rsidR="000C4DE4" w:rsidRPr="006B02D7">
        <w:rPr>
          <w:rFonts w:cstheme="majorHAnsi"/>
          <w:lang w:val="en-GB"/>
        </w:rPr>
        <w:t>§</w:t>
      </w:r>
      <w:r w:rsidR="000C4DE4" w:rsidRPr="006B02D7">
        <w:rPr>
          <w:lang w:val="en-GB"/>
        </w:rPr>
        <w:t xml:space="preserve"> 1 </w:t>
      </w:r>
      <w:r w:rsidR="00F71A6A" w:rsidRPr="006B02D7">
        <w:rPr>
          <w:lang w:val="en-GB"/>
        </w:rPr>
        <w:t>of the Convention, which reads as follows:</w:t>
      </w:r>
    </w:p>
    <w:p w:rsidR="005B16A8" w:rsidRPr="006B02D7" w:rsidRDefault="000C4DE4">
      <w:pPr>
        <w:pStyle w:val="ECHRParaQuote"/>
        <w:rPr>
          <w:lang w:val="en-US"/>
        </w:rPr>
      </w:pPr>
      <w:r w:rsidRPr="006B02D7">
        <w:rPr>
          <w:lang w:val="en-US"/>
        </w:rPr>
        <w:t>“In the determination of his civil rights and obligations ... everyone is entitled to a ... hearing within a reasonable time by [a] ... tribunal ...”</w:t>
      </w:r>
    </w:p>
    <w:p w:rsidR="00F71A6A" w:rsidRPr="006B02D7" w:rsidRDefault="00F71A6A" w:rsidP="007D0F5D">
      <w:pPr>
        <w:pStyle w:val="ECHRHeading2"/>
        <w:rPr>
          <w:lang w:val="en-GB"/>
        </w:rPr>
      </w:pPr>
      <w:r w:rsidRPr="006B02D7">
        <w:rPr>
          <w:lang w:val="en-GB"/>
        </w:rPr>
        <w:t>A.  </w:t>
      </w:r>
      <w:r w:rsidR="00464886" w:rsidRPr="006B02D7">
        <w:rPr>
          <w:lang w:val="en-GB"/>
        </w:rPr>
        <w:t>The applicant</w:t>
      </w:r>
      <w:r w:rsidR="00961B49">
        <w:rPr>
          <w:lang w:val="en-GB"/>
        </w:rPr>
        <w:t>’</w:t>
      </w:r>
      <w:r w:rsidR="00464886" w:rsidRPr="006B02D7">
        <w:rPr>
          <w:lang w:val="en-GB"/>
        </w:rPr>
        <w:t>s victim status</w:t>
      </w:r>
    </w:p>
    <w:p w:rsidR="00F71A6A" w:rsidRPr="006B02D7" w:rsidRDefault="00FA09DC" w:rsidP="00470812">
      <w:pPr>
        <w:pStyle w:val="ECHRPara"/>
        <w:rPr>
          <w:lang w:val="en-GB"/>
        </w:rPr>
      </w:pPr>
      <w:r w:rsidRPr="006B02D7">
        <w:rPr>
          <w:lang w:val="en-GB"/>
        </w:rPr>
        <w:fldChar w:fldCharType="begin"/>
      </w:r>
      <w:r w:rsidRPr="006B02D7">
        <w:rPr>
          <w:lang w:val="en-GB"/>
        </w:rPr>
        <w:instrText xml:space="preserve"> SEQ level0 \*arabic </w:instrText>
      </w:r>
      <w:r w:rsidRPr="006B02D7">
        <w:rPr>
          <w:lang w:val="en-GB"/>
        </w:rPr>
        <w:fldChar w:fldCharType="separate"/>
      </w:r>
      <w:r w:rsidR="009675D9">
        <w:rPr>
          <w:noProof/>
          <w:lang w:val="en-GB"/>
        </w:rPr>
        <w:t>61</w:t>
      </w:r>
      <w:r w:rsidRPr="006B02D7">
        <w:rPr>
          <w:lang w:val="en-GB"/>
        </w:rPr>
        <w:fldChar w:fldCharType="end"/>
      </w:r>
      <w:r w:rsidR="00F71A6A" w:rsidRPr="006B02D7">
        <w:rPr>
          <w:lang w:val="en-GB"/>
        </w:rPr>
        <w:t>.  </w:t>
      </w:r>
      <w:r w:rsidR="00464886" w:rsidRPr="006B02D7">
        <w:rPr>
          <w:lang w:val="en-GB"/>
        </w:rPr>
        <w:t>The Government submitted that the applicant could not</w:t>
      </w:r>
      <w:r w:rsidR="00511D46" w:rsidRPr="006B02D7">
        <w:rPr>
          <w:lang w:val="en-GB"/>
        </w:rPr>
        <w:t>,</w:t>
      </w:r>
      <w:r w:rsidR="00464886" w:rsidRPr="006B02D7">
        <w:rPr>
          <w:lang w:val="en-GB"/>
        </w:rPr>
        <w:t xml:space="preserve"> or could no longer</w:t>
      </w:r>
      <w:r w:rsidR="00511D46" w:rsidRPr="006B02D7">
        <w:rPr>
          <w:lang w:val="en-GB"/>
        </w:rPr>
        <w:t>,</w:t>
      </w:r>
      <w:r w:rsidR="00464886" w:rsidRPr="006B02D7">
        <w:rPr>
          <w:lang w:val="en-GB"/>
        </w:rPr>
        <w:t xml:space="preserve"> claim to be a victim of a violation of Article 6 </w:t>
      </w:r>
      <w:r w:rsidR="00464886" w:rsidRPr="006B02D7">
        <w:rPr>
          <w:rFonts w:cstheme="majorHAnsi"/>
          <w:lang w:val="en-GB"/>
        </w:rPr>
        <w:t>§</w:t>
      </w:r>
      <w:r w:rsidR="00464886" w:rsidRPr="006B02D7">
        <w:rPr>
          <w:lang w:val="en-GB"/>
        </w:rPr>
        <w:t> 1. The</w:t>
      </w:r>
      <w:r w:rsidR="00511D46" w:rsidRPr="006B02D7">
        <w:rPr>
          <w:lang w:val="en-GB"/>
        </w:rPr>
        <w:t>y</w:t>
      </w:r>
      <w:r w:rsidR="00464886" w:rsidRPr="006B02D7">
        <w:rPr>
          <w:lang w:val="en-GB"/>
        </w:rPr>
        <w:t xml:space="preserve"> </w:t>
      </w:r>
      <w:r w:rsidR="00511D46" w:rsidRPr="006B02D7">
        <w:rPr>
          <w:lang w:val="en-GB"/>
        </w:rPr>
        <w:t xml:space="preserve">emphasised </w:t>
      </w:r>
      <w:r w:rsidR="00464886" w:rsidRPr="006B02D7">
        <w:rPr>
          <w:lang w:val="en-GB"/>
        </w:rPr>
        <w:t>that in its decision of 16 May 2012 (see paragraphs 4</w:t>
      </w:r>
      <w:r w:rsidR="005565D3" w:rsidRPr="006B02D7">
        <w:rPr>
          <w:lang w:val="en-GB"/>
        </w:rPr>
        <w:t>2</w:t>
      </w:r>
      <w:r w:rsidR="00464886" w:rsidRPr="006B02D7">
        <w:rPr>
          <w:lang w:val="en-GB"/>
        </w:rPr>
        <w:t xml:space="preserve"> to 4</w:t>
      </w:r>
      <w:r w:rsidR="005565D3" w:rsidRPr="006B02D7">
        <w:rPr>
          <w:lang w:val="en-GB"/>
        </w:rPr>
        <w:t>4</w:t>
      </w:r>
      <w:r w:rsidR="00464886" w:rsidRPr="006B02D7">
        <w:rPr>
          <w:lang w:val="en-GB"/>
        </w:rPr>
        <w:t xml:space="preserve"> above)</w:t>
      </w:r>
      <w:r w:rsidR="00511D46" w:rsidRPr="006B02D7">
        <w:rPr>
          <w:lang w:val="en-GB"/>
        </w:rPr>
        <w:t>,</w:t>
      </w:r>
      <w:r w:rsidR="00464886" w:rsidRPr="006B02D7">
        <w:rPr>
          <w:lang w:val="en-GB"/>
        </w:rPr>
        <w:t xml:space="preserve"> </w:t>
      </w:r>
      <w:r w:rsidR="0080290B" w:rsidRPr="006B02D7">
        <w:rPr>
          <w:lang w:val="en-GB"/>
        </w:rPr>
        <w:t xml:space="preserve">the Senate of the Supreme Court had expressly acknowledged </w:t>
      </w:r>
      <w:r w:rsidR="00511D46" w:rsidRPr="006B02D7">
        <w:rPr>
          <w:lang w:val="en-GB"/>
        </w:rPr>
        <w:t xml:space="preserve">that </w:t>
      </w:r>
      <w:r w:rsidR="0080290B" w:rsidRPr="006B02D7">
        <w:rPr>
          <w:lang w:val="en-GB"/>
        </w:rPr>
        <w:t>the applicant</w:t>
      </w:r>
      <w:r w:rsidR="00961B49">
        <w:rPr>
          <w:lang w:val="en-GB"/>
        </w:rPr>
        <w:t>’</w:t>
      </w:r>
      <w:r w:rsidR="0080290B" w:rsidRPr="006B02D7">
        <w:rPr>
          <w:lang w:val="en-GB"/>
        </w:rPr>
        <w:t>s right to a hearing within a reasonable time</w:t>
      </w:r>
      <w:r w:rsidR="00511D46" w:rsidRPr="006B02D7">
        <w:rPr>
          <w:lang w:val="en-GB"/>
        </w:rPr>
        <w:t xml:space="preserve"> had been breached</w:t>
      </w:r>
      <w:r w:rsidR="0080290B" w:rsidRPr="006B02D7">
        <w:rPr>
          <w:lang w:val="en-GB"/>
        </w:rPr>
        <w:t>. The Senate had furthermore redressed the breach of the Convention by immediately adopting a decision on the merits instead of quashing the appeal court</w:t>
      </w:r>
      <w:r w:rsidR="00961B49">
        <w:rPr>
          <w:lang w:val="en-GB"/>
        </w:rPr>
        <w:t>’</w:t>
      </w:r>
      <w:r w:rsidR="0080290B" w:rsidRPr="006B02D7">
        <w:rPr>
          <w:lang w:val="en-GB"/>
        </w:rPr>
        <w:t xml:space="preserve">s decision and </w:t>
      </w:r>
      <w:r w:rsidR="005565D3" w:rsidRPr="006B02D7">
        <w:rPr>
          <w:lang w:val="en-GB"/>
        </w:rPr>
        <w:t>remitting</w:t>
      </w:r>
      <w:r w:rsidR="0080290B" w:rsidRPr="006B02D7">
        <w:rPr>
          <w:lang w:val="en-GB"/>
        </w:rPr>
        <w:t xml:space="preserve"> the case to that court. The Government argued that this expedition of the proceedings was sufficient redress</w:t>
      </w:r>
      <w:r w:rsidR="00470812" w:rsidRPr="006B02D7">
        <w:rPr>
          <w:lang w:val="en-GB"/>
        </w:rPr>
        <w:t>. The</w:t>
      </w:r>
      <w:r w:rsidR="00511D46" w:rsidRPr="006B02D7">
        <w:rPr>
          <w:lang w:val="en-GB"/>
        </w:rPr>
        <w:t>y</w:t>
      </w:r>
      <w:r w:rsidR="00470812" w:rsidRPr="006B02D7">
        <w:rPr>
          <w:lang w:val="en-GB"/>
        </w:rPr>
        <w:t xml:space="preserve"> </w:t>
      </w:r>
      <w:r w:rsidR="00511D46" w:rsidRPr="006B02D7">
        <w:rPr>
          <w:lang w:val="en-GB"/>
        </w:rPr>
        <w:t xml:space="preserve">also </w:t>
      </w:r>
      <w:r w:rsidR="00470812" w:rsidRPr="006B02D7">
        <w:rPr>
          <w:lang w:val="en-GB"/>
        </w:rPr>
        <w:t>noted that the Convention, as interpreted by the Court, did not require that the final decisions in such cases be in the applicant</w:t>
      </w:r>
      <w:r w:rsidR="00961B49">
        <w:rPr>
          <w:lang w:val="en-GB"/>
        </w:rPr>
        <w:t>’</w:t>
      </w:r>
      <w:r w:rsidR="00470812" w:rsidRPr="006B02D7">
        <w:rPr>
          <w:lang w:val="en-GB"/>
        </w:rPr>
        <w:t>s favour</w:t>
      </w:r>
      <w:r w:rsidR="00EC7C77" w:rsidRPr="006B02D7">
        <w:rPr>
          <w:lang w:val="en-GB"/>
        </w:rPr>
        <w:t>.</w:t>
      </w:r>
    </w:p>
    <w:p w:rsidR="00EC7C77" w:rsidRPr="006B02D7" w:rsidRDefault="00EC7C77" w:rsidP="002F4BCF">
      <w:pPr>
        <w:pStyle w:val="ECHRPara"/>
        <w:rPr>
          <w:lang w:val="en-GB"/>
        </w:rPr>
      </w:pPr>
      <w:r w:rsidRPr="006B02D7">
        <w:rPr>
          <w:lang w:val="en-GB"/>
        </w:rPr>
        <w:fldChar w:fldCharType="begin"/>
      </w:r>
      <w:r w:rsidRPr="006B02D7">
        <w:rPr>
          <w:lang w:val="en-GB"/>
        </w:rPr>
        <w:instrText xml:space="preserve"> SEQ level0 \*arabic </w:instrText>
      </w:r>
      <w:r w:rsidRPr="006B02D7">
        <w:rPr>
          <w:lang w:val="en-GB"/>
        </w:rPr>
        <w:fldChar w:fldCharType="separate"/>
      </w:r>
      <w:r w:rsidR="009675D9">
        <w:rPr>
          <w:noProof/>
          <w:lang w:val="en-GB"/>
        </w:rPr>
        <w:t>62</w:t>
      </w:r>
      <w:r w:rsidRPr="006B02D7">
        <w:rPr>
          <w:lang w:val="en-GB"/>
        </w:rPr>
        <w:fldChar w:fldCharType="end"/>
      </w:r>
      <w:r w:rsidRPr="006B02D7">
        <w:rPr>
          <w:lang w:val="en-GB"/>
        </w:rPr>
        <w:t>.  The applicant admitted that the Senate had acknowledged that the length of the proceedings had been excessive</w:t>
      </w:r>
      <w:r w:rsidR="004950F6" w:rsidRPr="006B02D7">
        <w:rPr>
          <w:lang w:val="en-GB"/>
        </w:rPr>
        <w:t>.</w:t>
      </w:r>
      <w:r w:rsidRPr="006B02D7">
        <w:rPr>
          <w:lang w:val="en-GB"/>
        </w:rPr>
        <w:t xml:space="preserve"> </w:t>
      </w:r>
      <w:r w:rsidR="004950F6" w:rsidRPr="006B02D7">
        <w:rPr>
          <w:lang w:val="en-GB"/>
        </w:rPr>
        <w:t>The applicant</w:t>
      </w:r>
      <w:r w:rsidRPr="006B02D7">
        <w:rPr>
          <w:lang w:val="en-GB"/>
        </w:rPr>
        <w:t xml:space="preserve"> did not submit any observations concerning the redress for the acknowledged breach of the Convention.</w:t>
      </w:r>
    </w:p>
    <w:p w:rsidR="001354AE" w:rsidRPr="006B02D7" w:rsidRDefault="001354AE" w:rsidP="00F322EF">
      <w:pPr>
        <w:pStyle w:val="ECHRPara"/>
        <w:rPr>
          <w:lang w:val="en-GB"/>
        </w:rPr>
      </w:pPr>
      <w:r w:rsidRPr="006B02D7">
        <w:rPr>
          <w:lang w:val="en-GB"/>
        </w:rPr>
        <w:fldChar w:fldCharType="begin"/>
      </w:r>
      <w:r w:rsidRPr="006B02D7">
        <w:rPr>
          <w:lang w:val="en-GB"/>
        </w:rPr>
        <w:instrText xml:space="preserve"> SEQ level0 \*arabic </w:instrText>
      </w:r>
      <w:r w:rsidRPr="006B02D7">
        <w:rPr>
          <w:lang w:val="en-GB"/>
        </w:rPr>
        <w:fldChar w:fldCharType="separate"/>
      </w:r>
      <w:r w:rsidR="009675D9">
        <w:rPr>
          <w:noProof/>
          <w:lang w:val="en-GB"/>
        </w:rPr>
        <w:t>63</w:t>
      </w:r>
      <w:r w:rsidRPr="006B02D7">
        <w:rPr>
          <w:lang w:val="en-GB"/>
        </w:rPr>
        <w:fldChar w:fldCharType="end"/>
      </w:r>
      <w:r w:rsidRPr="006B02D7">
        <w:rPr>
          <w:lang w:val="en-GB"/>
        </w:rPr>
        <w:t>.  The Court considers the Government</w:t>
      </w:r>
      <w:r w:rsidR="00961B49">
        <w:rPr>
          <w:lang w:val="en-GB"/>
        </w:rPr>
        <w:t>’</w:t>
      </w:r>
      <w:r w:rsidRPr="006B02D7">
        <w:rPr>
          <w:lang w:val="en-GB"/>
        </w:rPr>
        <w:t>s objection misguided. Two possibilities exist</w:t>
      </w:r>
      <w:r w:rsidR="00511D46" w:rsidRPr="006B02D7">
        <w:rPr>
          <w:lang w:val="en-GB"/>
        </w:rPr>
        <w:t>:</w:t>
      </w:r>
      <w:r w:rsidRPr="006B02D7">
        <w:rPr>
          <w:lang w:val="en-GB"/>
        </w:rPr>
        <w:t xml:space="preserve"> on 16 May 2012 the length of the proceedings either </w:t>
      </w:r>
      <w:r w:rsidR="00470812" w:rsidRPr="006B02D7">
        <w:rPr>
          <w:lang w:val="en-GB"/>
        </w:rPr>
        <w:t>already had or had not been</w:t>
      </w:r>
      <w:r w:rsidRPr="006B02D7">
        <w:rPr>
          <w:lang w:val="en-GB"/>
        </w:rPr>
        <w:t xml:space="preserve"> excessive, in the light of the criteria developed </w:t>
      </w:r>
      <w:r w:rsidR="0080290B" w:rsidRPr="006B02D7">
        <w:rPr>
          <w:lang w:val="en-GB"/>
        </w:rPr>
        <w:t>in</w:t>
      </w:r>
      <w:r w:rsidRPr="006B02D7">
        <w:rPr>
          <w:lang w:val="en-GB"/>
        </w:rPr>
        <w:t xml:space="preserve"> the Court</w:t>
      </w:r>
      <w:r w:rsidR="00961B49">
        <w:rPr>
          <w:lang w:val="en-GB"/>
        </w:rPr>
        <w:t>’</w:t>
      </w:r>
      <w:r w:rsidRPr="006B02D7">
        <w:rPr>
          <w:lang w:val="en-GB"/>
        </w:rPr>
        <w:t>s case-law. If the proceedings</w:t>
      </w:r>
      <w:r w:rsidR="00470812" w:rsidRPr="006B02D7">
        <w:rPr>
          <w:lang w:val="en-GB"/>
        </w:rPr>
        <w:t>, which concerned the determination of the applicant</w:t>
      </w:r>
      <w:r w:rsidR="00961B49">
        <w:rPr>
          <w:lang w:val="en-GB"/>
        </w:rPr>
        <w:t>’</w:t>
      </w:r>
      <w:r w:rsidR="00470812" w:rsidRPr="006B02D7">
        <w:rPr>
          <w:lang w:val="en-GB"/>
        </w:rPr>
        <w:t>s civil rights and obligations,</w:t>
      </w:r>
      <w:r w:rsidRPr="006B02D7">
        <w:rPr>
          <w:lang w:val="en-GB"/>
        </w:rPr>
        <w:t xml:space="preserve"> had already been </w:t>
      </w:r>
      <w:r w:rsidR="00511D46" w:rsidRPr="006B02D7">
        <w:rPr>
          <w:lang w:val="en-GB"/>
        </w:rPr>
        <w:t xml:space="preserve">excessively </w:t>
      </w:r>
      <w:r w:rsidRPr="006B02D7">
        <w:rPr>
          <w:lang w:val="en-GB"/>
        </w:rPr>
        <w:t xml:space="preserve">long, an expedited completion of </w:t>
      </w:r>
      <w:r w:rsidR="00511D46" w:rsidRPr="006B02D7">
        <w:rPr>
          <w:lang w:val="en-GB"/>
        </w:rPr>
        <w:t xml:space="preserve">the </w:t>
      </w:r>
      <w:r w:rsidRPr="006B02D7">
        <w:rPr>
          <w:lang w:val="en-GB"/>
        </w:rPr>
        <w:t>proceedings</w:t>
      </w:r>
      <w:r w:rsidR="005D7668" w:rsidRPr="006B02D7">
        <w:rPr>
          <w:lang w:val="en-GB"/>
        </w:rPr>
        <w:t>, in the absence of any monetary compensation,</w:t>
      </w:r>
      <w:r w:rsidRPr="006B02D7">
        <w:rPr>
          <w:lang w:val="en-GB"/>
        </w:rPr>
        <w:t xml:space="preserve"> c</w:t>
      </w:r>
      <w:r w:rsidR="00470812" w:rsidRPr="006B02D7">
        <w:rPr>
          <w:lang w:val="en-GB"/>
        </w:rPr>
        <w:t>ould n</w:t>
      </w:r>
      <w:r w:rsidRPr="006B02D7">
        <w:rPr>
          <w:lang w:val="en-GB"/>
        </w:rPr>
        <w:t xml:space="preserve">ot be considered to offer sufficient redress (see also </w:t>
      </w:r>
      <w:r w:rsidRPr="006B02D7">
        <w:rPr>
          <w:i/>
          <w:szCs w:val="24"/>
          <w:lang w:val="it-IT"/>
        </w:rPr>
        <w:t xml:space="preserve">Scordino v. </w:t>
      </w:r>
      <w:r w:rsidRPr="006B02D7">
        <w:rPr>
          <w:i/>
          <w:iCs/>
          <w:lang w:val="it-IT"/>
        </w:rPr>
        <w:t xml:space="preserve">Italy (no. 1) </w:t>
      </w:r>
      <w:r w:rsidRPr="006B02D7">
        <w:rPr>
          <w:szCs w:val="24"/>
          <w:lang w:val="it-IT"/>
        </w:rPr>
        <w:t>[GC], no. 36813/97, § 185, ECHR 2006</w:t>
      </w:r>
      <w:r w:rsidRPr="006B02D7">
        <w:rPr>
          <w:szCs w:val="24"/>
          <w:lang w:val="it-IT"/>
        </w:rPr>
        <w:noBreakHyphen/>
        <w:t>V</w:t>
      </w:r>
      <w:r w:rsidRPr="006B02D7">
        <w:rPr>
          <w:lang w:val="en-GB"/>
        </w:rPr>
        <w:t xml:space="preserve">). </w:t>
      </w:r>
      <w:r w:rsidR="006C127A" w:rsidRPr="006B02D7">
        <w:rPr>
          <w:lang w:val="en-GB"/>
        </w:rPr>
        <w:t>It is true that</w:t>
      </w:r>
      <w:r w:rsidR="00470812" w:rsidRPr="006B02D7">
        <w:rPr>
          <w:lang w:val="en-GB"/>
        </w:rPr>
        <w:t xml:space="preserve"> the Court has accepted that in criminal cases a reduction of the final sentence imposed on the applicant may sometimes amount to such compensation (see, for example, </w:t>
      </w:r>
      <w:r w:rsidR="007D0F5D" w:rsidRPr="006B02D7">
        <w:rPr>
          <w:rFonts w:ascii="Times New Roman" w:hAnsi="Times New Roman" w:cs="Times New Roman"/>
          <w:i/>
          <w:iCs/>
          <w:lang w:val="en-US"/>
        </w:rPr>
        <w:t>Trūps v. </w:t>
      </w:r>
      <w:r w:rsidR="00F322EF" w:rsidRPr="006B02D7">
        <w:rPr>
          <w:rFonts w:ascii="Times New Roman" w:hAnsi="Times New Roman" w:cs="Times New Roman"/>
          <w:i/>
          <w:iCs/>
          <w:lang w:val="en-US"/>
        </w:rPr>
        <w:t>Latvia</w:t>
      </w:r>
      <w:r w:rsidR="00F322EF" w:rsidRPr="006B02D7">
        <w:rPr>
          <w:rFonts w:ascii="Times New Roman" w:hAnsi="Times New Roman" w:cs="Times New Roman"/>
          <w:lang w:val="en-US"/>
        </w:rPr>
        <w:t xml:space="preserve"> (dec.), no. 58497/08, 20 November 2012). However, the complaint in the present case </w:t>
      </w:r>
      <w:r w:rsidR="006C127A" w:rsidRPr="006B02D7">
        <w:rPr>
          <w:rFonts w:ascii="Times New Roman" w:hAnsi="Times New Roman" w:cs="Times New Roman"/>
          <w:lang w:val="en-US"/>
        </w:rPr>
        <w:t>concerns</w:t>
      </w:r>
      <w:r w:rsidR="00F322EF" w:rsidRPr="006B02D7">
        <w:rPr>
          <w:rFonts w:ascii="Times New Roman" w:hAnsi="Times New Roman" w:cs="Times New Roman"/>
          <w:lang w:val="en-US"/>
        </w:rPr>
        <w:t xml:space="preserve"> the length of civil proceedings and it has not been shown to the Court in what manner the applicant has been compensated for the allegedly excessive length of the proceedings. </w:t>
      </w:r>
      <w:r w:rsidRPr="006B02D7">
        <w:rPr>
          <w:lang w:val="en-GB"/>
        </w:rPr>
        <w:t>On the other hand, if on the date when the Senate adopted its final decision the proceedings had not been excessively lengthy, the correct conclusion to reach would not be that the applicant could not claim to be a victim of a violation of Article 6 </w:t>
      </w:r>
      <w:r w:rsidRPr="006B02D7">
        <w:rPr>
          <w:rFonts w:cstheme="majorHAnsi"/>
          <w:lang w:val="en-GB"/>
        </w:rPr>
        <w:t>§</w:t>
      </w:r>
      <w:r w:rsidRPr="006B02D7">
        <w:rPr>
          <w:lang w:val="en-GB"/>
        </w:rPr>
        <w:t> 1</w:t>
      </w:r>
      <w:r w:rsidR="009012D6" w:rsidRPr="006B02D7">
        <w:rPr>
          <w:lang w:val="en-GB"/>
        </w:rPr>
        <w:t>,</w:t>
      </w:r>
      <w:r w:rsidRPr="006B02D7">
        <w:rPr>
          <w:lang w:val="en-GB"/>
        </w:rPr>
        <w:t xml:space="preserve"> but instead that the proceedings in question had complied with the requirements of </w:t>
      </w:r>
      <w:r w:rsidR="005D7668" w:rsidRPr="006B02D7">
        <w:rPr>
          <w:lang w:val="en-GB"/>
        </w:rPr>
        <w:t>Article 6 </w:t>
      </w:r>
      <w:r w:rsidR="005D7668" w:rsidRPr="006B02D7">
        <w:rPr>
          <w:rFonts w:cstheme="majorHAnsi"/>
          <w:lang w:val="en-GB"/>
        </w:rPr>
        <w:t>§</w:t>
      </w:r>
      <w:r w:rsidR="005D7668" w:rsidRPr="006B02D7">
        <w:rPr>
          <w:lang w:val="en-GB"/>
        </w:rPr>
        <w:t> 1</w:t>
      </w:r>
      <w:r w:rsidRPr="006B02D7">
        <w:rPr>
          <w:lang w:val="en-GB"/>
        </w:rPr>
        <w:t>.</w:t>
      </w:r>
    </w:p>
    <w:p w:rsidR="001354AE" w:rsidRPr="006B02D7" w:rsidRDefault="001354AE" w:rsidP="002F4BCF">
      <w:pPr>
        <w:pStyle w:val="ECHRPara"/>
        <w:rPr>
          <w:szCs w:val="24"/>
          <w:lang w:val="it-IT"/>
        </w:rPr>
      </w:pPr>
      <w:r w:rsidRPr="006B02D7">
        <w:rPr>
          <w:lang w:val="en-GB"/>
        </w:rPr>
        <w:fldChar w:fldCharType="begin"/>
      </w:r>
      <w:r w:rsidRPr="006B02D7">
        <w:rPr>
          <w:lang w:val="en-GB"/>
        </w:rPr>
        <w:instrText xml:space="preserve"> SEQ level0 \*arabic </w:instrText>
      </w:r>
      <w:r w:rsidRPr="006B02D7">
        <w:rPr>
          <w:lang w:val="en-GB"/>
        </w:rPr>
        <w:fldChar w:fldCharType="separate"/>
      </w:r>
      <w:r w:rsidR="009675D9">
        <w:rPr>
          <w:noProof/>
          <w:lang w:val="en-GB"/>
        </w:rPr>
        <w:t>64</w:t>
      </w:r>
      <w:r w:rsidRPr="006B02D7">
        <w:rPr>
          <w:lang w:val="en-GB"/>
        </w:rPr>
        <w:fldChar w:fldCharType="end"/>
      </w:r>
      <w:r w:rsidRPr="006B02D7">
        <w:rPr>
          <w:lang w:val="en-GB"/>
        </w:rPr>
        <w:t>.  The Government</w:t>
      </w:r>
      <w:r w:rsidR="00961B49">
        <w:rPr>
          <w:lang w:val="en-GB"/>
        </w:rPr>
        <w:t>’</w:t>
      </w:r>
      <w:r w:rsidRPr="006B02D7">
        <w:rPr>
          <w:lang w:val="en-GB"/>
        </w:rPr>
        <w:t>s objection is therefore rejected.</w:t>
      </w:r>
    </w:p>
    <w:p w:rsidR="00464886" w:rsidRPr="006B02D7" w:rsidRDefault="00464886" w:rsidP="007D0F5D">
      <w:pPr>
        <w:pStyle w:val="ECHRHeading2"/>
        <w:rPr>
          <w:lang w:val="en-US"/>
        </w:rPr>
      </w:pPr>
      <w:r w:rsidRPr="006B02D7">
        <w:rPr>
          <w:lang w:val="en-US"/>
        </w:rPr>
        <w:t>B.  Admissibility</w:t>
      </w:r>
    </w:p>
    <w:p w:rsidR="007B5FCE" w:rsidRPr="006B02D7" w:rsidRDefault="00464886" w:rsidP="00464886">
      <w:pPr>
        <w:pStyle w:val="ECHRPara"/>
        <w:rPr>
          <w:lang w:val="en-GB"/>
        </w:rPr>
      </w:pPr>
      <w:r w:rsidRPr="006B02D7">
        <w:rPr>
          <w:lang w:val="en-GB"/>
        </w:rPr>
        <w:fldChar w:fldCharType="begin"/>
      </w:r>
      <w:r w:rsidRPr="006B02D7">
        <w:rPr>
          <w:lang w:val="en-GB"/>
        </w:rPr>
        <w:instrText xml:space="preserve"> SEQ level0 \*arabic </w:instrText>
      </w:r>
      <w:r w:rsidRPr="006B02D7">
        <w:rPr>
          <w:lang w:val="en-GB"/>
        </w:rPr>
        <w:fldChar w:fldCharType="separate"/>
      </w:r>
      <w:r w:rsidR="009675D9">
        <w:rPr>
          <w:noProof/>
          <w:lang w:val="en-GB"/>
        </w:rPr>
        <w:t>65</w:t>
      </w:r>
      <w:r w:rsidRPr="006B02D7">
        <w:rPr>
          <w:lang w:val="en-GB"/>
        </w:rPr>
        <w:fldChar w:fldCharType="end"/>
      </w:r>
      <w:r w:rsidRPr="006B02D7">
        <w:rPr>
          <w:lang w:val="en-GB"/>
        </w:rPr>
        <w:t>.  </w:t>
      </w:r>
      <w:r w:rsidR="00706FC2" w:rsidRPr="006B02D7">
        <w:rPr>
          <w:lang w:val="en-GB"/>
        </w:rPr>
        <w:t>The Government maintained that the applicant</w:t>
      </w:r>
      <w:r w:rsidR="00961B49">
        <w:rPr>
          <w:lang w:val="en-GB"/>
        </w:rPr>
        <w:t>’</w:t>
      </w:r>
      <w:r w:rsidR="00706FC2" w:rsidRPr="006B02D7">
        <w:rPr>
          <w:lang w:val="en-GB"/>
        </w:rPr>
        <w:t xml:space="preserve">s complaint was inadmissible </w:t>
      </w:r>
      <w:r w:rsidR="009012D6" w:rsidRPr="006B02D7">
        <w:rPr>
          <w:lang w:val="en-GB"/>
        </w:rPr>
        <w:t xml:space="preserve">because he had failed </w:t>
      </w:r>
      <w:r w:rsidR="00706FC2" w:rsidRPr="006B02D7">
        <w:rPr>
          <w:lang w:val="en-GB"/>
        </w:rPr>
        <w:t>to exhaust domestic remedies. In this regard their argument was twofold. First, the</w:t>
      </w:r>
      <w:r w:rsidR="008257B0" w:rsidRPr="006B02D7">
        <w:rPr>
          <w:lang w:val="en-GB"/>
        </w:rPr>
        <w:t>y</w:t>
      </w:r>
      <w:r w:rsidR="00706FC2" w:rsidRPr="006B02D7">
        <w:rPr>
          <w:lang w:val="en-GB"/>
        </w:rPr>
        <w:t xml:space="preserve"> </w:t>
      </w:r>
      <w:r w:rsidR="003F056F" w:rsidRPr="006B02D7">
        <w:rPr>
          <w:lang w:val="en-GB"/>
        </w:rPr>
        <w:t xml:space="preserve">argued that, should the applicant have chosen to submit a substantiated motion to expedite </w:t>
      </w:r>
      <w:r w:rsidR="00A70B23" w:rsidRPr="006B02D7">
        <w:rPr>
          <w:lang w:val="en-GB"/>
        </w:rPr>
        <w:t xml:space="preserve">the </w:t>
      </w:r>
      <w:r w:rsidR="003F056F" w:rsidRPr="006B02D7">
        <w:rPr>
          <w:lang w:val="en-GB"/>
        </w:rPr>
        <w:t xml:space="preserve">proceedings to the first-instance court, there was no reason to believe that his request would not have been granted. The Government </w:t>
      </w:r>
      <w:r w:rsidR="00E832E9" w:rsidRPr="006B02D7">
        <w:rPr>
          <w:lang w:val="en-GB"/>
        </w:rPr>
        <w:t>referred to</w:t>
      </w:r>
      <w:r w:rsidR="003F056F" w:rsidRPr="006B02D7">
        <w:rPr>
          <w:lang w:val="en-GB"/>
        </w:rPr>
        <w:t xml:space="preserve"> the general right of parties to submit motions that is enshrined in section 74(2)(6) of the Civil Procedure Law. </w:t>
      </w:r>
      <w:r w:rsidR="00E832E9" w:rsidRPr="006B02D7">
        <w:rPr>
          <w:lang w:val="en-GB"/>
        </w:rPr>
        <w:t>In the alternative</w:t>
      </w:r>
      <w:r w:rsidR="008257B0" w:rsidRPr="006B02D7">
        <w:rPr>
          <w:lang w:val="en-GB"/>
        </w:rPr>
        <w:t>,</w:t>
      </w:r>
      <w:r w:rsidR="00E832E9" w:rsidRPr="006B02D7">
        <w:rPr>
          <w:lang w:val="en-GB"/>
        </w:rPr>
        <w:t xml:space="preserve"> the Government submitted that </w:t>
      </w:r>
      <w:r w:rsidR="001E35EE" w:rsidRPr="006B02D7">
        <w:rPr>
          <w:lang w:val="en-GB"/>
        </w:rPr>
        <w:t>section 28</w:t>
      </w:r>
      <w:r w:rsidR="001E35EE" w:rsidRPr="006B02D7">
        <w:rPr>
          <w:vertAlign w:val="superscript"/>
          <w:lang w:val="en-GB"/>
        </w:rPr>
        <w:t>1</w:t>
      </w:r>
      <w:r w:rsidR="001E35EE" w:rsidRPr="006B02D7">
        <w:rPr>
          <w:lang w:val="en-GB"/>
        </w:rPr>
        <w:t xml:space="preserve"> of </w:t>
      </w:r>
      <w:r w:rsidR="00E832E9" w:rsidRPr="006B02D7">
        <w:rPr>
          <w:lang w:val="en-GB"/>
        </w:rPr>
        <w:t xml:space="preserve">the Law on </w:t>
      </w:r>
      <w:r w:rsidR="00A70B23" w:rsidRPr="006B02D7">
        <w:rPr>
          <w:lang w:val="en-GB"/>
        </w:rPr>
        <w:t xml:space="preserve">the </w:t>
      </w:r>
      <w:r w:rsidR="00E832E9" w:rsidRPr="006B02D7">
        <w:rPr>
          <w:lang w:val="en-GB"/>
        </w:rPr>
        <w:t>Judiciary (</w:t>
      </w:r>
      <w:r w:rsidR="00E832E9" w:rsidRPr="006B02D7">
        <w:rPr>
          <w:i/>
          <w:lang w:val="en-GB"/>
        </w:rPr>
        <w:t>Par tiesu varu</w:t>
      </w:r>
      <w:r w:rsidR="00E832E9" w:rsidRPr="006B02D7">
        <w:rPr>
          <w:lang w:val="en-GB"/>
        </w:rPr>
        <w:t>) authorised the president (</w:t>
      </w:r>
      <w:r w:rsidR="00E832E9" w:rsidRPr="006B02D7">
        <w:rPr>
          <w:i/>
          <w:lang w:val="en-GB"/>
        </w:rPr>
        <w:t>priekšsēdētājs</w:t>
      </w:r>
      <w:r w:rsidR="00E832E9" w:rsidRPr="006B02D7">
        <w:rPr>
          <w:lang w:val="en-GB"/>
        </w:rPr>
        <w:t xml:space="preserve">) of </w:t>
      </w:r>
      <w:r w:rsidR="00A70B23" w:rsidRPr="006B02D7">
        <w:rPr>
          <w:lang w:val="en-GB"/>
        </w:rPr>
        <w:t xml:space="preserve">the relevant </w:t>
      </w:r>
      <w:r w:rsidR="00E832E9" w:rsidRPr="006B02D7">
        <w:rPr>
          <w:lang w:val="en-GB"/>
        </w:rPr>
        <w:t xml:space="preserve">district or regional court to </w:t>
      </w:r>
      <w:r w:rsidR="006C127A" w:rsidRPr="006B02D7">
        <w:rPr>
          <w:lang w:val="en-GB"/>
        </w:rPr>
        <w:t>re</w:t>
      </w:r>
      <w:r w:rsidR="00E832E9" w:rsidRPr="006B02D7">
        <w:rPr>
          <w:lang w:val="en-GB"/>
        </w:rPr>
        <w:t>distribut</w:t>
      </w:r>
      <w:r w:rsidR="006C127A" w:rsidRPr="006B02D7">
        <w:rPr>
          <w:lang w:val="en-GB"/>
        </w:rPr>
        <w:t>e the case assignment</w:t>
      </w:r>
      <w:r w:rsidR="00E832E9" w:rsidRPr="006B02D7">
        <w:rPr>
          <w:lang w:val="en-GB"/>
        </w:rPr>
        <w:t xml:space="preserve"> within the respective court. Had the applicant submitted a corresponding petition to the </w:t>
      </w:r>
      <w:r w:rsidR="00230DE1" w:rsidRPr="006B02D7">
        <w:rPr>
          <w:lang w:val="en-GB"/>
        </w:rPr>
        <w:t>president of the court where his case was pending at the time, it would have expedited the proceedings.</w:t>
      </w:r>
    </w:p>
    <w:p w:rsidR="00230DE1" w:rsidRPr="006B02D7" w:rsidRDefault="00230DE1" w:rsidP="00464886">
      <w:pPr>
        <w:pStyle w:val="ECHRPara"/>
        <w:rPr>
          <w:lang w:val="en-GB"/>
        </w:rPr>
      </w:pPr>
      <w:r w:rsidRPr="006B02D7">
        <w:rPr>
          <w:lang w:val="en-GB"/>
        </w:rPr>
        <w:fldChar w:fldCharType="begin"/>
      </w:r>
      <w:r w:rsidRPr="006B02D7">
        <w:rPr>
          <w:lang w:val="en-GB"/>
        </w:rPr>
        <w:instrText xml:space="preserve"> SEQ level0 \*arabic </w:instrText>
      </w:r>
      <w:r w:rsidRPr="006B02D7">
        <w:rPr>
          <w:lang w:val="en-GB"/>
        </w:rPr>
        <w:fldChar w:fldCharType="separate"/>
      </w:r>
      <w:r w:rsidR="009675D9">
        <w:rPr>
          <w:noProof/>
          <w:lang w:val="en-GB"/>
        </w:rPr>
        <w:t>66</w:t>
      </w:r>
      <w:r w:rsidRPr="006B02D7">
        <w:rPr>
          <w:lang w:val="en-GB"/>
        </w:rPr>
        <w:fldChar w:fldCharType="end"/>
      </w:r>
      <w:r w:rsidRPr="006B02D7">
        <w:rPr>
          <w:lang w:val="en-GB"/>
        </w:rPr>
        <w:t>.  Second</w:t>
      </w:r>
      <w:r w:rsidR="00A70B23" w:rsidRPr="006B02D7">
        <w:rPr>
          <w:lang w:val="en-GB"/>
        </w:rPr>
        <w:t>ly</w:t>
      </w:r>
      <w:r w:rsidRPr="006B02D7">
        <w:rPr>
          <w:lang w:val="en-GB"/>
        </w:rPr>
        <w:t xml:space="preserve">, the Government stated that </w:t>
      </w:r>
      <w:r w:rsidR="00B146FC" w:rsidRPr="006B02D7">
        <w:rPr>
          <w:lang w:val="en-GB"/>
        </w:rPr>
        <w:t>the applicant could have submitted a claim to a court of general jurisdiction, requesting compensation for the alleged violation of his right to a hearing within a reasonable time on the basis of Article 92 of the Constitution</w:t>
      </w:r>
      <w:r w:rsidR="00144B64" w:rsidRPr="006B02D7">
        <w:rPr>
          <w:lang w:val="en-GB"/>
        </w:rPr>
        <w:t xml:space="preserve"> (see paragraph </w:t>
      </w:r>
      <w:r w:rsidR="005565D3" w:rsidRPr="006B02D7">
        <w:rPr>
          <w:lang w:val="en-GB"/>
        </w:rPr>
        <w:t>55</w:t>
      </w:r>
      <w:r w:rsidR="00144B64" w:rsidRPr="006B02D7">
        <w:rPr>
          <w:lang w:val="en-GB"/>
        </w:rPr>
        <w:t xml:space="preserve"> above)</w:t>
      </w:r>
      <w:r w:rsidR="00B146FC" w:rsidRPr="006B02D7">
        <w:rPr>
          <w:lang w:val="en-GB"/>
        </w:rPr>
        <w:t>.</w:t>
      </w:r>
      <w:r w:rsidR="00144B64" w:rsidRPr="006B02D7">
        <w:rPr>
          <w:lang w:val="en-GB"/>
        </w:rPr>
        <w:t xml:space="preserve"> The Government also submitted </w:t>
      </w:r>
      <w:r w:rsidR="00B44036" w:rsidRPr="006B02D7">
        <w:rPr>
          <w:lang w:val="en-GB"/>
        </w:rPr>
        <w:t xml:space="preserve">three </w:t>
      </w:r>
      <w:r w:rsidR="00144B64" w:rsidRPr="006B02D7">
        <w:rPr>
          <w:lang w:val="en-GB"/>
        </w:rPr>
        <w:t xml:space="preserve">examples of </w:t>
      </w:r>
      <w:r w:rsidR="00B44036" w:rsidRPr="006B02D7">
        <w:rPr>
          <w:lang w:val="en-GB"/>
        </w:rPr>
        <w:t>decisions</w:t>
      </w:r>
      <w:r w:rsidR="00144B64" w:rsidRPr="006B02D7">
        <w:rPr>
          <w:lang w:val="en-GB"/>
        </w:rPr>
        <w:t xml:space="preserve"> of Latvian courts, from which it appears that in certain situations (the specific cases submitted pertained to complaints about a court</w:t>
      </w:r>
      <w:r w:rsidR="00961B49">
        <w:rPr>
          <w:lang w:val="en-GB"/>
        </w:rPr>
        <w:t>’</w:t>
      </w:r>
      <w:r w:rsidR="00144B64" w:rsidRPr="006B02D7">
        <w:rPr>
          <w:lang w:val="en-GB"/>
        </w:rPr>
        <w:t>s alleged failure to make available a translation of its decision, about the Senate of the Supreme Court</w:t>
      </w:r>
      <w:r w:rsidR="00961B49">
        <w:rPr>
          <w:lang w:val="en-GB"/>
        </w:rPr>
        <w:t>’</w:t>
      </w:r>
      <w:r w:rsidR="00144B64" w:rsidRPr="006B02D7">
        <w:rPr>
          <w:lang w:val="en-GB"/>
        </w:rPr>
        <w:t>s alleged failure to correctly apply EU legislation and about damages caused by medical negligence) the civil courts are in principle prepared to</w:t>
      </w:r>
      <w:r w:rsidR="00B146FC" w:rsidRPr="006B02D7">
        <w:rPr>
          <w:lang w:val="en-GB"/>
        </w:rPr>
        <w:t xml:space="preserve"> </w:t>
      </w:r>
      <w:r w:rsidR="00144B64" w:rsidRPr="006B02D7">
        <w:rPr>
          <w:lang w:val="en-GB"/>
        </w:rPr>
        <w:t>examine cases brought on the basis of Article 92 of the Constitution, even in the absence of any more specific legislation.</w:t>
      </w:r>
    </w:p>
    <w:p w:rsidR="00075374" w:rsidRPr="006B02D7" w:rsidRDefault="00075374" w:rsidP="00464886">
      <w:pPr>
        <w:pStyle w:val="ECHRPara"/>
        <w:rPr>
          <w:lang w:val="en-GB"/>
        </w:rPr>
      </w:pPr>
      <w:r w:rsidRPr="006B02D7">
        <w:rPr>
          <w:lang w:val="en-GB"/>
        </w:rPr>
        <w:fldChar w:fldCharType="begin"/>
      </w:r>
      <w:r w:rsidRPr="006B02D7">
        <w:rPr>
          <w:lang w:val="en-GB"/>
        </w:rPr>
        <w:instrText xml:space="preserve"> SEQ level0 \*arabic </w:instrText>
      </w:r>
      <w:r w:rsidRPr="006B02D7">
        <w:rPr>
          <w:lang w:val="en-GB"/>
        </w:rPr>
        <w:fldChar w:fldCharType="separate"/>
      </w:r>
      <w:r w:rsidR="009675D9">
        <w:rPr>
          <w:noProof/>
          <w:lang w:val="en-GB"/>
        </w:rPr>
        <w:t>67</w:t>
      </w:r>
      <w:r w:rsidRPr="006B02D7">
        <w:rPr>
          <w:lang w:val="en-GB"/>
        </w:rPr>
        <w:fldChar w:fldCharType="end"/>
      </w:r>
      <w:r w:rsidRPr="006B02D7">
        <w:rPr>
          <w:lang w:val="en-GB"/>
        </w:rPr>
        <w:t>.  The applicant did not submit any observations in this regard.</w:t>
      </w:r>
    </w:p>
    <w:p w:rsidR="00B44036" w:rsidRPr="006B02D7" w:rsidRDefault="00075374" w:rsidP="00B44036">
      <w:pPr>
        <w:pStyle w:val="ECHRPara"/>
        <w:rPr>
          <w:lang w:val="en-GB"/>
        </w:rPr>
      </w:pPr>
      <w:r w:rsidRPr="006B02D7">
        <w:rPr>
          <w:lang w:val="en-GB"/>
        </w:rPr>
        <w:fldChar w:fldCharType="begin"/>
      </w:r>
      <w:r w:rsidRPr="006B02D7">
        <w:rPr>
          <w:lang w:val="en-GB"/>
        </w:rPr>
        <w:instrText xml:space="preserve"> SEQ level0 \*arabic </w:instrText>
      </w:r>
      <w:r w:rsidRPr="006B02D7">
        <w:rPr>
          <w:lang w:val="en-GB"/>
        </w:rPr>
        <w:fldChar w:fldCharType="separate"/>
      </w:r>
      <w:r w:rsidR="009675D9">
        <w:rPr>
          <w:noProof/>
          <w:lang w:val="en-GB"/>
        </w:rPr>
        <w:t>68</w:t>
      </w:r>
      <w:r w:rsidRPr="006B02D7">
        <w:rPr>
          <w:lang w:val="en-GB"/>
        </w:rPr>
        <w:fldChar w:fldCharType="end"/>
      </w:r>
      <w:r w:rsidRPr="006B02D7">
        <w:rPr>
          <w:lang w:val="en-GB"/>
        </w:rPr>
        <w:t>.  </w:t>
      </w:r>
      <w:r w:rsidR="00FA5BFD" w:rsidRPr="006B02D7">
        <w:rPr>
          <w:lang w:val="en-GB"/>
        </w:rPr>
        <w:t>Turning first to the Government</w:t>
      </w:r>
      <w:r w:rsidR="00961B49">
        <w:rPr>
          <w:lang w:val="en-GB"/>
        </w:rPr>
        <w:t>’</w:t>
      </w:r>
      <w:r w:rsidR="00FA5BFD" w:rsidRPr="006B02D7">
        <w:rPr>
          <w:lang w:val="en-GB"/>
        </w:rPr>
        <w:t xml:space="preserve">s argument that the applicant could have asked the respective court or its president to expedite the proceedings, the Court </w:t>
      </w:r>
      <w:r w:rsidR="001E35EE" w:rsidRPr="006B02D7">
        <w:rPr>
          <w:lang w:val="en-GB"/>
        </w:rPr>
        <w:t xml:space="preserve">notes that the Civil Procedure Law does not require courts to </w:t>
      </w:r>
      <w:r w:rsidR="00F37358" w:rsidRPr="006B02D7">
        <w:rPr>
          <w:lang w:val="en-GB"/>
        </w:rPr>
        <w:t xml:space="preserve">give reasons for </w:t>
      </w:r>
      <w:r w:rsidR="001E35EE" w:rsidRPr="006B02D7">
        <w:rPr>
          <w:lang w:val="en-GB"/>
        </w:rPr>
        <w:t>their decisions to decline parties</w:t>
      </w:r>
      <w:r w:rsidR="00961B49">
        <w:rPr>
          <w:lang w:val="en-GB"/>
        </w:rPr>
        <w:t>’</w:t>
      </w:r>
      <w:r w:rsidR="001E35EE" w:rsidRPr="006B02D7">
        <w:rPr>
          <w:lang w:val="en-GB"/>
        </w:rPr>
        <w:t xml:space="preserve"> motions, including motions to accelerate the proceedings</w:t>
      </w:r>
      <w:r w:rsidR="005565D3" w:rsidRPr="006B02D7">
        <w:rPr>
          <w:lang w:val="en-GB"/>
        </w:rPr>
        <w:t xml:space="preserve"> (see paragraph 54 above)</w:t>
      </w:r>
      <w:r w:rsidR="001E35EE" w:rsidRPr="006B02D7">
        <w:rPr>
          <w:lang w:val="en-GB"/>
        </w:rPr>
        <w:t>. Furthermore, the Civil Procedure Law</w:t>
      </w:r>
      <w:r w:rsidR="00C47544" w:rsidRPr="006B02D7">
        <w:rPr>
          <w:lang w:val="en-GB"/>
        </w:rPr>
        <w:t xml:space="preserve"> (unlike the Criminal Procedure Law, see </w:t>
      </w:r>
      <w:r w:rsidR="00C47544" w:rsidRPr="006B02D7">
        <w:rPr>
          <w:i/>
          <w:iCs/>
          <w:lang w:val="en-US"/>
        </w:rPr>
        <w:t>Trūps v. Latvia</w:t>
      </w:r>
      <w:r w:rsidR="00C47544" w:rsidRPr="006B02D7">
        <w:rPr>
          <w:lang w:val="en-US"/>
        </w:rPr>
        <w:t xml:space="preserve">, cited above, </w:t>
      </w:r>
      <w:r w:rsidR="00C47544" w:rsidRPr="006B02D7">
        <w:rPr>
          <w:rFonts w:cstheme="minorHAnsi"/>
          <w:lang w:val="en-US"/>
        </w:rPr>
        <w:t>§</w:t>
      </w:r>
      <w:r w:rsidR="00C47544" w:rsidRPr="006B02D7">
        <w:rPr>
          <w:lang w:val="en-US"/>
        </w:rPr>
        <w:t> 17</w:t>
      </w:r>
      <w:r w:rsidR="00C47544" w:rsidRPr="006B02D7">
        <w:rPr>
          <w:lang w:val="en-GB"/>
        </w:rPr>
        <w:t>)</w:t>
      </w:r>
      <w:r w:rsidR="001E35EE" w:rsidRPr="006B02D7">
        <w:rPr>
          <w:lang w:val="en-GB"/>
        </w:rPr>
        <w:t xml:space="preserve"> does not contain any criteria on which the courts could rely in order to determine whether proceedings have been excessively lengthy. Any decisions taken by courts in response to motions to accelerate proceedings are hence left entirely </w:t>
      </w:r>
      <w:r w:rsidR="008257B0" w:rsidRPr="006B02D7">
        <w:rPr>
          <w:lang w:val="en-GB"/>
        </w:rPr>
        <w:t>to</w:t>
      </w:r>
      <w:r w:rsidR="00D9636B" w:rsidRPr="006B02D7">
        <w:rPr>
          <w:lang w:val="en-GB"/>
        </w:rPr>
        <w:t xml:space="preserve"> the discretion of such courts. No further appeal against a refusal to accelerate is available (see, in contrast, </w:t>
      </w:r>
      <w:r w:rsidR="00D9636B" w:rsidRPr="006B02D7">
        <w:rPr>
          <w:i/>
          <w:lang w:val="en-GB"/>
        </w:rPr>
        <w:t>Gonzalez Marin v. Spain</w:t>
      </w:r>
      <w:r w:rsidR="00D9636B" w:rsidRPr="006B02D7">
        <w:rPr>
          <w:lang w:val="en-GB"/>
        </w:rPr>
        <w:t xml:space="preserve"> (dec.), no.</w:t>
      </w:r>
      <w:r w:rsidR="00C57728" w:rsidRPr="006B02D7">
        <w:rPr>
          <w:lang w:val="en-GB"/>
        </w:rPr>
        <w:t> </w:t>
      </w:r>
      <w:r w:rsidR="00D9636B" w:rsidRPr="006B02D7">
        <w:rPr>
          <w:lang w:val="en-GB"/>
        </w:rPr>
        <w:t>39521/98</w:t>
      </w:r>
      <w:r w:rsidR="00D9636B" w:rsidRPr="006B02D7">
        <w:rPr>
          <w:szCs w:val="24"/>
          <w:lang w:val="en-GB"/>
        </w:rPr>
        <w:t xml:space="preserve">, </w:t>
      </w:r>
      <w:r w:rsidR="00D9636B" w:rsidRPr="006B02D7">
        <w:rPr>
          <w:lang w:val="en-GB"/>
        </w:rPr>
        <w:t>ECHR</w:t>
      </w:r>
      <w:r w:rsidR="00C57728" w:rsidRPr="006B02D7">
        <w:rPr>
          <w:lang w:val="en-GB"/>
        </w:rPr>
        <w:t> </w:t>
      </w:r>
      <w:r w:rsidR="00D9636B" w:rsidRPr="006B02D7">
        <w:rPr>
          <w:lang w:val="en-GB"/>
        </w:rPr>
        <w:t>1999</w:t>
      </w:r>
      <w:r w:rsidR="00D9636B" w:rsidRPr="006B02D7">
        <w:rPr>
          <w:lang w:val="en-GB"/>
        </w:rPr>
        <w:noBreakHyphen/>
        <w:t xml:space="preserve">VII). In brief, the Court is </w:t>
      </w:r>
      <w:r w:rsidR="006C127A" w:rsidRPr="006B02D7">
        <w:rPr>
          <w:lang w:val="en-GB"/>
        </w:rPr>
        <w:t>not convinced</w:t>
      </w:r>
      <w:r w:rsidR="00D9636B" w:rsidRPr="006B02D7">
        <w:rPr>
          <w:lang w:val="en-GB"/>
        </w:rPr>
        <w:t xml:space="preserve"> that a motion to accelerate </w:t>
      </w:r>
      <w:r w:rsidR="00527D86" w:rsidRPr="006B02D7">
        <w:rPr>
          <w:lang w:val="en-GB"/>
        </w:rPr>
        <w:t xml:space="preserve">the </w:t>
      </w:r>
      <w:r w:rsidR="00D9636B" w:rsidRPr="006B02D7">
        <w:rPr>
          <w:lang w:val="en-GB"/>
        </w:rPr>
        <w:t>proceedings</w:t>
      </w:r>
      <w:r w:rsidR="00F37358" w:rsidRPr="006B02D7">
        <w:rPr>
          <w:lang w:val="en-GB"/>
        </w:rPr>
        <w:t xml:space="preserve"> could</w:t>
      </w:r>
      <w:r w:rsidR="00D9636B" w:rsidRPr="006B02D7">
        <w:rPr>
          <w:lang w:val="en-GB"/>
        </w:rPr>
        <w:t xml:space="preserve">, on the basis of predetermined criteria, </w:t>
      </w:r>
      <w:r w:rsidR="00527D86" w:rsidRPr="006B02D7">
        <w:rPr>
          <w:lang w:val="en-GB"/>
        </w:rPr>
        <w:t xml:space="preserve">have brought </w:t>
      </w:r>
      <w:r w:rsidR="00D9636B" w:rsidRPr="006B02D7">
        <w:rPr>
          <w:lang w:val="en-GB"/>
        </w:rPr>
        <w:t>relief to the applicant. The Government have not submitted any examples from domestic practice attesting to the contrary.</w:t>
      </w:r>
      <w:r w:rsidR="00C47544" w:rsidRPr="006B02D7">
        <w:rPr>
          <w:lang w:val="en-GB"/>
        </w:rPr>
        <w:t xml:space="preserve"> The Court finds that the Riga Regional Court</w:t>
      </w:r>
      <w:r w:rsidR="00961B49">
        <w:rPr>
          <w:lang w:val="en-GB"/>
        </w:rPr>
        <w:t>’</w:t>
      </w:r>
      <w:r w:rsidR="00C47544" w:rsidRPr="006B02D7">
        <w:rPr>
          <w:lang w:val="en-GB"/>
        </w:rPr>
        <w:t xml:space="preserve">s reply to the applicant that questions concerning an excessive length of proceedings fell outside </w:t>
      </w:r>
      <w:r w:rsidR="00EA4052" w:rsidRPr="006B02D7">
        <w:rPr>
          <w:lang w:val="en-GB"/>
        </w:rPr>
        <w:t>its competence (see paragraph 38 above) serves as a proof that a request to accelerate the proceedings was not practically accessible to him.</w:t>
      </w:r>
    </w:p>
    <w:p w:rsidR="00761FE6" w:rsidRPr="006B02D7" w:rsidRDefault="00D9636B" w:rsidP="00B44036">
      <w:pPr>
        <w:pStyle w:val="ECHRPara"/>
        <w:rPr>
          <w:lang w:val="en-GB"/>
        </w:rPr>
      </w:pPr>
      <w:r w:rsidRPr="006B02D7">
        <w:rPr>
          <w:lang w:val="en-GB"/>
        </w:rPr>
        <w:fldChar w:fldCharType="begin"/>
      </w:r>
      <w:r w:rsidRPr="006B02D7">
        <w:rPr>
          <w:lang w:val="en-GB"/>
        </w:rPr>
        <w:instrText xml:space="preserve"> SEQ level0 \*arabic </w:instrText>
      </w:r>
      <w:r w:rsidRPr="006B02D7">
        <w:rPr>
          <w:lang w:val="en-GB"/>
        </w:rPr>
        <w:fldChar w:fldCharType="separate"/>
      </w:r>
      <w:r w:rsidR="009675D9">
        <w:rPr>
          <w:noProof/>
          <w:lang w:val="en-GB"/>
        </w:rPr>
        <w:t>69</w:t>
      </w:r>
      <w:r w:rsidRPr="006B02D7">
        <w:rPr>
          <w:lang w:val="en-GB"/>
        </w:rPr>
        <w:fldChar w:fldCharType="end"/>
      </w:r>
      <w:r w:rsidRPr="006B02D7">
        <w:rPr>
          <w:lang w:val="en-GB"/>
        </w:rPr>
        <w:t>.  With respect to the possibility to petition the president of the respective court, the Court notes that the legal provision invoked by the Government empowers the respective president only to reassign the case to a different judge of the same court. Considering that pursuant to section 14(3) of the Civil Procedure Law</w:t>
      </w:r>
      <w:r w:rsidR="00527D86" w:rsidRPr="006B02D7">
        <w:rPr>
          <w:lang w:val="en-GB"/>
        </w:rPr>
        <w:t>,</w:t>
      </w:r>
      <w:r w:rsidRPr="006B02D7">
        <w:rPr>
          <w:lang w:val="en-GB"/>
        </w:rPr>
        <w:t xml:space="preserve"> a change of judge automatically leads to the examin</w:t>
      </w:r>
      <w:r w:rsidR="00C57728" w:rsidRPr="006B02D7">
        <w:rPr>
          <w:lang w:val="en-GB"/>
        </w:rPr>
        <w:t>ation of the case</w:t>
      </w:r>
      <w:r w:rsidR="00F37358" w:rsidRPr="006B02D7">
        <w:rPr>
          <w:lang w:val="en-GB"/>
        </w:rPr>
        <w:t xml:space="preserve"> being restarted</w:t>
      </w:r>
      <w:r w:rsidR="00C57728" w:rsidRPr="006B02D7">
        <w:rPr>
          <w:lang w:val="en-GB"/>
        </w:rPr>
        <w:t xml:space="preserve">, the Court </w:t>
      </w:r>
      <w:r w:rsidR="00CC3B52" w:rsidRPr="006B02D7">
        <w:rPr>
          <w:lang w:val="en-GB"/>
        </w:rPr>
        <w:t xml:space="preserve">does not see </w:t>
      </w:r>
      <w:r w:rsidR="00C57728" w:rsidRPr="006B02D7">
        <w:rPr>
          <w:lang w:val="en-GB"/>
        </w:rPr>
        <w:t xml:space="preserve">how such a reassignment could </w:t>
      </w:r>
      <w:r w:rsidR="00527D86" w:rsidRPr="006B02D7">
        <w:rPr>
          <w:lang w:val="en-GB"/>
        </w:rPr>
        <w:t xml:space="preserve">have </w:t>
      </w:r>
      <w:r w:rsidR="00C57728" w:rsidRPr="006B02D7">
        <w:rPr>
          <w:lang w:val="en-GB"/>
        </w:rPr>
        <w:t>expedite</w:t>
      </w:r>
      <w:r w:rsidR="00527D86" w:rsidRPr="006B02D7">
        <w:rPr>
          <w:lang w:val="en-GB"/>
        </w:rPr>
        <w:t>d</w:t>
      </w:r>
      <w:r w:rsidR="00C57728" w:rsidRPr="006B02D7">
        <w:rPr>
          <w:lang w:val="en-GB"/>
        </w:rPr>
        <w:t xml:space="preserve"> the proceedings.</w:t>
      </w:r>
    </w:p>
    <w:p w:rsidR="004F61F9" w:rsidRPr="006B02D7" w:rsidRDefault="00C57728" w:rsidP="00276C20">
      <w:pPr>
        <w:pStyle w:val="ECHRPara"/>
        <w:rPr>
          <w:i/>
          <w:lang w:val="en-GB"/>
        </w:rPr>
      </w:pPr>
      <w:r w:rsidRPr="006B02D7">
        <w:rPr>
          <w:lang w:val="en-GB"/>
        </w:rPr>
        <w:fldChar w:fldCharType="begin"/>
      </w:r>
      <w:r w:rsidRPr="006B02D7">
        <w:rPr>
          <w:lang w:val="en-GB"/>
        </w:rPr>
        <w:instrText xml:space="preserve"> SEQ level0 \*arabic </w:instrText>
      </w:r>
      <w:r w:rsidRPr="006B02D7">
        <w:rPr>
          <w:lang w:val="en-GB"/>
        </w:rPr>
        <w:fldChar w:fldCharType="separate"/>
      </w:r>
      <w:r w:rsidR="009675D9">
        <w:rPr>
          <w:noProof/>
          <w:lang w:val="en-GB"/>
        </w:rPr>
        <w:t>70</w:t>
      </w:r>
      <w:r w:rsidRPr="006B02D7">
        <w:rPr>
          <w:lang w:val="en-GB"/>
        </w:rPr>
        <w:fldChar w:fldCharType="end"/>
      </w:r>
      <w:r w:rsidRPr="006B02D7">
        <w:rPr>
          <w:lang w:val="en-GB"/>
        </w:rPr>
        <w:t xml:space="preserve">.  In any case, </w:t>
      </w:r>
      <w:r w:rsidR="00F322EF" w:rsidRPr="006B02D7">
        <w:rPr>
          <w:lang w:val="en-GB"/>
        </w:rPr>
        <w:t xml:space="preserve">traditionally the Court has examined </w:t>
      </w:r>
      <w:r w:rsidR="00761FE6" w:rsidRPr="006B02D7">
        <w:rPr>
          <w:lang w:val="en-GB"/>
        </w:rPr>
        <w:t xml:space="preserve">the question of whether </w:t>
      </w:r>
      <w:r w:rsidR="008257B0" w:rsidRPr="006B02D7">
        <w:rPr>
          <w:lang w:val="en-GB"/>
        </w:rPr>
        <w:t xml:space="preserve">an </w:t>
      </w:r>
      <w:r w:rsidR="00761FE6" w:rsidRPr="006B02D7">
        <w:rPr>
          <w:lang w:val="en-GB"/>
        </w:rPr>
        <w:t xml:space="preserve">applicant has </w:t>
      </w:r>
      <w:r w:rsidR="008257B0" w:rsidRPr="006B02D7">
        <w:rPr>
          <w:lang w:val="en-GB"/>
        </w:rPr>
        <w:t xml:space="preserve">applied for the expedition of </w:t>
      </w:r>
      <w:r w:rsidR="00276C20" w:rsidRPr="006B02D7">
        <w:rPr>
          <w:lang w:val="en-GB"/>
        </w:rPr>
        <w:t xml:space="preserve">the proceedings </w:t>
      </w:r>
      <w:r w:rsidR="00F322EF" w:rsidRPr="006B02D7">
        <w:rPr>
          <w:lang w:val="en-GB"/>
        </w:rPr>
        <w:t>not in the context of the</w:t>
      </w:r>
      <w:r w:rsidR="00276C20" w:rsidRPr="006B02D7">
        <w:rPr>
          <w:lang w:val="en-GB"/>
        </w:rPr>
        <w:t xml:space="preserve"> exhaustion </w:t>
      </w:r>
      <w:r w:rsidR="00276C20" w:rsidRPr="006B02D7">
        <w:rPr>
          <w:szCs w:val="24"/>
          <w:lang w:val="en-GB"/>
        </w:rPr>
        <w:t xml:space="preserve">of domestic remedies but rather </w:t>
      </w:r>
      <w:r w:rsidR="00F322EF" w:rsidRPr="006B02D7">
        <w:rPr>
          <w:szCs w:val="24"/>
          <w:lang w:val="en-GB"/>
        </w:rPr>
        <w:t xml:space="preserve">as pertaining </w:t>
      </w:r>
      <w:r w:rsidR="00276C20" w:rsidRPr="006B02D7">
        <w:rPr>
          <w:szCs w:val="24"/>
          <w:lang w:val="en-GB"/>
        </w:rPr>
        <w:t xml:space="preserve">to the diligence of the applicant in conducting the proceedings, which is an issue to be examined at the merits stage (see, for example, </w:t>
      </w:r>
      <w:r w:rsidR="004F61F9" w:rsidRPr="006B02D7">
        <w:rPr>
          <w:i/>
          <w:szCs w:val="24"/>
          <w:lang w:val="en-US"/>
        </w:rPr>
        <w:t>Moreira de Azevedo v. Portugal</w:t>
      </w:r>
      <w:r w:rsidR="004F61F9" w:rsidRPr="006B02D7">
        <w:rPr>
          <w:szCs w:val="24"/>
          <w:lang w:val="en-US"/>
        </w:rPr>
        <w:t>, no. 11296/84, Commission decision of 14 April 1988, Decisions and Reports 56, p. 115</w:t>
      </w:r>
      <w:r w:rsidR="00C47544" w:rsidRPr="006B02D7">
        <w:rPr>
          <w:szCs w:val="24"/>
          <w:lang w:val="en-US"/>
        </w:rPr>
        <w:t xml:space="preserve">, and, more recently, </w:t>
      </w:r>
      <w:r w:rsidR="00C47544" w:rsidRPr="006B02D7">
        <w:rPr>
          <w:i/>
          <w:szCs w:val="24"/>
          <w:lang w:val="en-GB"/>
        </w:rPr>
        <w:t>Beggs v. the United Kingdom</w:t>
      </w:r>
      <w:r w:rsidR="00C47544" w:rsidRPr="006B02D7">
        <w:rPr>
          <w:szCs w:val="24"/>
          <w:lang w:val="en-GB"/>
        </w:rPr>
        <w:t>, no. 25133/06</w:t>
      </w:r>
      <w:r w:rsidR="00C47544" w:rsidRPr="006B02D7">
        <w:rPr>
          <w:snapToGrid w:val="0"/>
          <w:szCs w:val="24"/>
          <w:lang w:val="en-GB"/>
        </w:rPr>
        <w:t>, § 212, 6 November 2012</w:t>
      </w:r>
      <w:r w:rsidR="004F61F9" w:rsidRPr="006B02D7">
        <w:rPr>
          <w:szCs w:val="24"/>
          <w:lang w:val="en-US"/>
        </w:rPr>
        <w:t>)</w:t>
      </w:r>
      <w:r w:rsidR="004F61F9" w:rsidRPr="006B02D7">
        <w:rPr>
          <w:sz w:val="22"/>
          <w:lang w:val="en-US"/>
        </w:rPr>
        <w:t>.</w:t>
      </w:r>
    </w:p>
    <w:p w:rsidR="00DD51C6" w:rsidRPr="006B02D7" w:rsidRDefault="00B44036" w:rsidP="00B44036">
      <w:pPr>
        <w:pStyle w:val="ECHRPara"/>
        <w:rPr>
          <w:rStyle w:val="sb8d990e2"/>
          <w:lang w:val="en-US"/>
        </w:rPr>
      </w:pPr>
      <w:r w:rsidRPr="006B02D7">
        <w:rPr>
          <w:lang w:val="en-GB"/>
        </w:rPr>
        <w:fldChar w:fldCharType="begin"/>
      </w:r>
      <w:r w:rsidRPr="006B02D7">
        <w:rPr>
          <w:lang w:val="en-GB"/>
        </w:rPr>
        <w:instrText xml:space="preserve"> SEQ level0 \*arabic </w:instrText>
      </w:r>
      <w:r w:rsidRPr="006B02D7">
        <w:rPr>
          <w:lang w:val="en-GB"/>
        </w:rPr>
        <w:fldChar w:fldCharType="separate"/>
      </w:r>
      <w:r w:rsidR="009675D9">
        <w:rPr>
          <w:noProof/>
          <w:lang w:val="en-GB"/>
        </w:rPr>
        <w:t>71</w:t>
      </w:r>
      <w:r w:rsidRPr="006B02D7">
        <w:rPr>
          <w:lang w:val="en-GB"/>
        </w:rPr>
        <w:fldChar w:fldCharType="end"/>
      </w:r>
      <w:r w:rsidRPr="006B02D7">
        <w:rPr>
          <w:lang w:val="en-GB"/>
        </w:rPr>
        <w:t>.  As concerns the compensatory remedy proposed by the Government, the Court notes that it has previously examined a similar objection in the context of prisoners</w:t>
      </w:r>
      <w:r w:rsidR="00961B49">
        <w:rPr>
          <w:lang w:val="en-GB"/>
        </w:rPr>
        <w:t>’</w:t>
      </w:r>
      <w:r w:rsidRPr="006B02D7">
        <w:rPr>
          <w:lang w:val="en-GB"/>
        </w:rPr>
        <w:t xml:space="preserve"> conditions of detention (see </w:t>
      </w:r>
      <w:r w:rsidRPr="006B02D7">
        <w:rPr>
          <w:i/>
          <w:lang w:val="en-GB"/>
        </w:rPr>
        <w:t>Bazjaks v. Latvia</w:t>
      </w:r>
      <w:r w:rsidRPr="006B02D7">
        <w:rPr>
          <w:lang w:val="en-GB"/>
        </w:rPr>
        <w:t>, no. 71572/01</w:t>
      </w:r>
      <w:r w:rsidRPr="006B02D7">
        <w:rPr>
          <w:snapToGrid w:val="0"/>
          <w:szCs w:val="24"/>
          <w:lang w:val="en-GB"/>
        </w:rPr>
        <w:t>, § 133, 19 October 2010</w:t>
      </w:r>
      <w:r w:rsidRPr="006B02D7">
        <w:rPr>
          <w:lang w:val="en-GB"/>
        </w:rPr>
        <w:t>). While in the present case the Government have been able to demonstrate that in certain situations a claim in courts of general jurisdiction on the basis of Article 92 of the Constitution might</w:t>
      </w:r>
      <w:r w:rsidR="0060437E" w:rsidRPr="006B02D7">
        <w:rPr>
          <w:lang w:val="en-GB"/>
        </w:rPr>
        <w:t xml:space="preserve"> bring about an outcome favourable to petitioners</w:t>
      </w:r>
      <w:r w:rsidRPr="006B02D7">
        <w:rPr>
          <w:lang w:val="en-GB"/>
        </w:rPr>
        <w:t xml:space="preserve">, they </w:t>
      </w:r>
      <w:r w:rsidR="009D2999" w:rsidRPr="006B02D7">
        <w:rPr>
          <w:lang w:val="en-GB"/>
        </w:rPr>
        <w:t xml:space="preserve">did </w:t>
      </w:r>
      <w:r w:rsidRPr="006B02D7">
        <w:rPr>
          <w:lang w:val="en-GB"/>
        </w:rPr>
        <w:t>not submit</w:t>
      </w:r>
      <w:r w:rsidR="00DD51C6" w:rsidRPr="006B02D7">
        <w:rPr>
          <w:rStyle w:val="sb8d990e2"/>
          <w:lang w:val="en-US"/>
        </w:rPr>
        <w:t xml:space="preserve"> any examples of cases </w:t>
      </w:r>
      <w:r w:rsidR="009D2999" w:rsidRPr="006B02D7">
        <w:rPr>
          <w:rStyle w:val="sb8d990e2"/>
          <w:lang w:val="en-US"/>
        </w:rPr>
        <w:t xml:space="preserve">in which the </w:t>
      </w:r>
      <w:r w:rsidR="00DD51C6" w:rsidRPr="006B02D7">
        <w:rPr>
          <w:rStyle w:val="sb8d990e2"/>
          <w:lang w:val="en-US"/>
        </w:rPr>
        <w:t xml:space="preserve">domestic courts had admitted and examined similar claims concerning </w:t>
      </w:r>
      <w:r w:rsidRPr="006B02D7">
        <w:rPr>
          <w:rStyle w:val="sb8d990e2"/>
          <w:lang w:val="en-US"/>
        </w:rPr>
        <w:t>length of proceedings.</w:t>
      </w:r>
      <w:r w:rsidR="00DD51C6" w:rsidRPr="006B02D7">
        <w:rPr>
          <w:rStyle w:val="sb8d990e2"/>
          <w:lang w:val="en-US"/>
        </w:rPr>
        <w:t xml:space="preserve"> The Court reiterates that it is not for the Convention bodies to </w:t>
      </w:r>
      <w:r w:rsidR="009D2999" w:rsidRPr="006B02D7">
        <w:rPr>
          <w:rStyle w:val="sb8d990e2"/>
          <w:lang w:val="en-US"/>
        </w:rPr>
        <w:t xml:space="preserve">put right </w:t>
      </w:r>
      <w:r w:rsidR="00DD51C6" w:rsidRPr="006B02D7">
        <w:rPr>
          <w:rStyle w:val="sb8d990e2"/>
          <w:lang w:val="en-US"/>
        </w:rPr>
        <w:t>of their own motion any shortcomings or lack of precision in the respondent Government</w:t>
      </w:r>
      <w:r w:rsidR="00961B49">
        <w:rPr>
          <w:rStyle w:val="sb8d990e2"/>
          <w:lang w:val="en-US"/>
        </w:rPr>
        <w:t>’</w:t>
      </w:r>
      <w:r w:rsidR="00DD51C6" w:rsidRPr="006B02D7">
        <w:rPr>
          <w:rStyle w:val="sb8d990e2"/>
          <w:lang w:val="en-US"/>
        </w:rPr>
        <w:t xml:space="preserve">s arguments (see </w:t>
      </w:r>
      <w:r w:rsidRPr="006B02D7">
        <w:rPr>
          <w:i/>
          <w:lang w:val="en-GB"/>
        </w:rPr>
        <w:t>Stran Greek Refineries and Stratis Andreadis v. Greece</w:t>
      </w:r>
      <w:r w:rsidRPr="006B02D7">
        <w:rPr>
          <w:lang w:val="en-GB"/>
        </w:rPr>
        <w:t>, 9 December 1994, § 35, Series A no. 301</w:t>
      </w:r>
      <w:r w:rsidRPr="006B02D7">
        <w:rPr>
          <w:lang w:val="en-GB"/>
        </w:rPr>
        <w:noBreakHyphen/>
        <w:t>B)</w:t>
      </w:r>
      <w:r w:rsidR="00DD51C6" w:rsidRPr="006B02D7">
        <w:rPr>
          <w:rStyle w:val="sb8d990e2"/>
          <w:lang w:val="en-US"/>
        </w:rPr>
        <w:t xml:space="preserve">. Accordingly, the Court is not satisfied that such a remedy was effective in practice for the purposes </w:t>
      </w:r>
      <w:r w:rsidR="009D2999" w:rsidRPr="006B02D7">
        <w:rPr>
          <w:rStyle w:val="sb8d990e2"/>
          <w:lang w:val="en-US"/>
        </w:rPr>
        <w:t xml:space="preserve">of the present case </w:t>
      </w:r>
      <w:r w:rsidR="00DD51C6" w:rsidRPr="006B02D7">
        <w:rPr>
          <w:rStyle w:val="sb8d990e2"/>
          <w:lang w:val="en-US"/>
        </w:rPr>
        <w:t>and could have afforded compensatory redress to the applicant.</w:t>
      </w:r>
    </w:p>
    <w:p w:rsidR="00464886" w:rsidRPr="006B02D7" w:rsidRDefault="004F61F9" w:rsidP="00464886">
      <w:pPr>
        <w:pStyle w:val="ECHRPara"/>
        <w:rPr>
          <w:lang w:val="en-GB"/>
        </w:rPr>
      </w:pPr>
      <w:r w:rsidRPr="006B02D7">
        <w:rPr>
          <w:rStyle w:val="sb8d990e2"/>
          <w:lang w:val="en-US"/>
        </w:rPr>
        <w:fldChar w:fldCharType="begin"/>
      </w:r>
      <w:r w:rsidRPr="006B02D7">
        <w:rPr>
          <w:rStyle w:val="sb8d990e2"/>
          <w:lang w:val="en-US"/>
        </w:rPr>
        <w:instrText xml:space="preserve"> SEQ level0 \*arabic </w:instrText>
      </w:r>
      <w:r w:rsidRPr="006B02D7">
        <w:rPr>
          <w:rStyle w:val="sb8d990e2"/>
          <w:lang w:val="en-US"/>
        </w:rPr>
        <w:fldChar w:fldCharType="separate"/>
      </w:r>
      <w:r w:rsidR="009675D9">
        <w:rPr>
          <w:rStyle w:val="sb8d990e2"/>
          <w:noProof/>
          <w:lang w:val="en-US"/>
        </w:rPr>
        <w:t>72</w:t>
      </w:r>
      <w:r w:rsidRPr="006B02D7">
        <w:rPr>
          <w:rStyle w:val="sb8d990e2"/>
          <w:lang w:val="en-US"/>
        </w:rPr>
        <w:fldChar w:fldCharType="end"/>
      </w:r>
      <w:r w:rsidRPr="006B02D7">
        <w:rPr>
          <w:rStyle w:val="sb8d990e2"/>
          <w:lang w:val="en-US"/>
        </w:rPr>
        <w:t>.  Accordingly</w:t>
      </w:r>
      <w:r w:rsidR="009D2999" w:rsidRPr="006B02D7">
        <w:rPr>
          <w:rStyle w:val="sb8d990e2"/>
          <w:lang w:val="en-US"/>
        </w:rPr>
        <w:t>,</w:t>
      </w:r>
      <w:r w:rsidRPr="006B02D7">
        <w:rPr>
          <w:rStyle w:val="sb8d990e2"/>
          <w:lang w:val="en-US"/>
        </w:rPr>
        <w:t xml:space="preserve"> the Court dismisses the Government</w:t>
      </w:r>
      <w:r w:rsidR="00961B49">
        <w:rPr>
          <w:rStyle w:val="sb8d990e2"/>
          <w:lang w:val="en-US"/>
        </w:rPr>
        <w:t>’</w:t>
      </w:r>
      <w:r w:rsidRPr="006B02D7">
        <w:rPr>
          <w:rStyle w:val="sb8d990e2"/>
          <w:lang w:val="en-US"/>
        </w:rPr>
        <w:t xml:space="preserve">s objection concerning the non-exhaustion of domestic remedies. It further </w:t>
      </w:r>
      <w:r w:rsidR="00464886" w:rsidRPr="006B02D7">
        <w:rPr>
          <w:lang w:val="en-GB"/>
        </w:rPr>
        <w:t>notes that this complaint is not manifestly ill-founded within the meaning of Article</w:t>
      </w:r>
      <w:r w:rsidRPr="006B02D7">
        <w:rPr>
          <w:lang w:val="en-GB"/>
        </w:rPr>
        <w:t> </w:t>
      </w:r>
      <w:r w:rsidR="00464886" w:rsidRPr="006B02D7">
        <w:rPr>
          <w:lang w:val="en-GB"/>
        </w:rPr>
        <w:t>35</w:t>
      </w:r>
      <w:r w:rsidRPr="006B02D7">
        <w:rPr>
          <w:lang w:val="en-GB"/>
        </w:rPr>
        <w:t> </w:t>
      </w:r>
      <w:r w:rsidR="00464886" w:rsidRPr="006B02D7">
        <w:rPr>
          <w:lang w:val="en-GB"/>
        </w:rPr>
        <w:t>§</w:t>
      </w:r>
      <w:r w:rsidRPr="006B02D7">
        <w:rPr>
          <w:lang w:val="en-GB"/>
        </w:rPr>
        <w:t> </w:t>
      </w:r>
      <w:r w:rsidR="00464886" w:rsidRPr="006B02D7">
        <w:rPr>
          <w:lang w:val="en-GB"/>
        </w:rPr>
        <w:t>3</w:t>
      </w:r>
      <w:r w:rsidRPr="006B02D7">
        <w:rPr>
          <w:lang w:val="en-GB"/>
        </w:rPr>
        <w:t> </w:t>
      </w:r>
      <w:r w:rsidR="00464886" w:rsidRPr="006B02D7">
        <w:rPr>
          <w:lang w:val="en-GB"/>
        </w:rPr>
        <w:t xml:space="preserve">(a) of the Convention. It </w:t>
      </w:r>
      <w:r w:rsidRPr="006B02D7">
        <w:rPr>
          <w:lang w:val="en-GB"/>
        </w:rPr>
        <w:t>also</w:t>
      </w:r>
      <w:r w:rsidR="00464886" w:rsidRPr="006B02D7">
        <w:rPr>
          <w:lang w:val="en-GB"/>
        </w:rPr>
        <w:t xml:space="preserve"> notes that it is not inadmissible on any other grounds. It must therefore be declared admissible.</w:t>
      </w:r>
    </w:p>
    <w:p w:rsidR="00F71A6A" w:rsidRPr="006B02D7" w:rsidRDefault="00464886" w:rsidP="007D0F5D">
      <w:pPr>
        <w:pStyle w:val="ECHRHeading2"/>
        <w:rPr>
          <w:lang w:val="en-US"/>
        </w:rPr>
      </w:pPr>
      <w:r w:rsidRPr="006B02D7">
        <w:rPr>
          <w:lang w:val="en-US"/>
        </w:rPr>
        <w:t>C</w:t>
      </w:r>
      <w:r w:rsidR="00F71A6A" w:rsidRPr="006B02D7">
        <w:rPr>
          <w:lang w:val="en-US"/>
        </w:rPr>
        <w:t>.  Merits</w:t>
      </w:r>
    </w:p>
    <w:p w:rsidR="00F71A6A" w:rsidRPr="006B02D7" w:rsidRDefault="00FA09DC" w:rsidP="002F4BCF">
      <w:pPr>
        <w:pStyle w:val="ECHRPara"/>
        <w:rPr>
          <w:lang w:val="en-GB"/>
        </w:rPr>
      </w:pPr>
      <w:r w:rsidRPr="006B02D7">
        <w:rPr>
          <w:lang w:val="en-GB"/>
        </w:rPr>
        <w:fldChar w:fldCharType="begin"/>
      </w:r>
      <w:r w:rsidRPr="006B02D7">
        <w:rPr>
          <w:lang w:val="en-GB"/>
        </w:rPr>
        <w:instrText xml:space="preserve"> SEQ level0 \*arabic </w:instrText>
      </w:r>
      <w:r w:rsidRPr="006B02D7">
        <w:rPr>
          <w:lang w:val="en-GB"/>
        </w:rPr>
        <w:fldChar w:fldCharType="separate"/>
      </w:r>
      <w:r w:rsidR="009675D9">
        <w:rPr>
          <w:noProof/>
          <w:lang w:val="en-GB"/>
        </w:rPr>
        <w:t>73</w:t>
      </w:r>
      <w:r w:rsidRPr="006B02D7">
        <w:rPr>
          <w:lang w:val="en-GB"/>
        </w:rPr>
        <w:fldChar w:fldCharType="end"/>
      </w:r>
      <w:r w:rsidR="00F71A6A" w:rsidRPr="006B02D7">
        <w:rPr>
          <w:lang w:val="en-GB"/>
        </w:rPr>
        <w:t xml:space="preserve">.  The </w:t>
      </w:r>
      <w:r w:rsidR="005F4753" w:rsidRPr="006B02D7">
        <w:rPr>
          <w:lang w:val="en-GB"/>
        </w:rPr>
        <w:t>applicant</w:t>
      </w:r>
      <w:r w:rsidR="00F71A6A" w:rsidRPr="006B02D7">
        <w:rPr>
          <w:lang w:val="en-GB"/>
        </w:rPr>
        <w:t xml:space="preserve"> </w:t>
      </w:r>
      <w:r w:rsidR="00B24C9B" w:rsidRPr="006B02D7">
        <w:rPr>
          <w:lang w:val="en-GB"/>
        </w:rPr>
        <w:t xml:space="preserve">maintained his original complaint that his rights had been violated for </w:t>
      </w:r>
      <w:r w:rsidR="009D2999" w:rsidRPr="006B02D7">
        <w:rPr>
          <w:lang w:val="en-GB"/>
        </w:rPr>
        <w:t xml:space="preserve">the </w:t>
      </w:r>
      <w:r w:rsidR="00B24C9B" w:rsidRPr="006B02D7">
        <w:rPr>
          <w:lang w:val="en-GB"/>
        </w:rPr>
        <w:t>seven years that the proceedings had been pending before the domestic courts.</w:t>
      </w:r>
    </w:p>
    <w:p w:rsidR="008E05A3" w:rsidRPr="006B02D7" w:rsidRDefault="00FA09DC" w:rsidP="002F4BCF">
      <w:pPr>
        <w:pStyle w:val="ECHRPara"/>
        <w:rPr>
          <w:lang w:val="en-GB"/>
        </w:rPr>
      </w:pPr>
      <w:r w:rsidRPr="006B02D7">
        <w:rPr>
          <w:lang w:val="en-GB"/>
        </w:rPr>
        <w:fldChar w:fldCharType="begin"/>
      </w:r>
      <w:r w:rsidRPr="006B02D7">
        <w:rPr>
          <w:lang w:val="en-GB"/>
        </w:rPr>
        <w:instrText xml:space="preserve"> SEQ level0 \*arabic </w:instrText>
      </w:r>
      <w:r w:rsidRPr="006B02D7">
        <w:rPr>
          <w:lang w:val="en-GB"/>
        </w:rPr>
        <w:fldChar w:fldCharType="separate"/>
      </w:r>
      <w:r w:rsidR="009675D9">
        <w:rPr>
          <w:noProof/>
          <w:lang w:val="en-GB"/>
        </w:rPr>
        <w:t>74</w:t>
      </w:r>
      <w:r w:rsidRPr="006B02D7">
        <w:rPr>
          <w:lang w:val="en-GB"/>
        </w:rPr>
        <w:fldChar w:fldCharType="end"/>
      </w:r>
      <w:r w:rsidR="008E05A3" w:rsidRPr="006B02D7">
        <w:rPr>
          <w:lang w:val="en-GB"/>
        </w:rPr>
        <w:t>.  The Government</w:t>
      </w:r>
      <w:r w:rsidR="00BA492B" w:rsidRPr="006B02D7">
        <w:rPr>
          <w:lang w:val="en-GB"/>
        </w:rPr>
        <w:t xml:space="preserve"> stated at the outset that the period to be taken into account when assessing the overall length of the proceedings was five years, three months and eight days, from 8 February 2007 when the applicant brought his claim to the Riga City Zemgale District Court (see paragraph 11 above) to 16 May 2012 when the Senate of the Supreme Court dismissed the applicant</w:t>
      </w:r>
      <w:r w:rsidR="00961B49">
        <w:rPr>
          <w:lang w:val="en-GB"/>
        </w:rPr>
        <w:t>’</w:t>
      </w:r>
      <w:r w:rsidR="00BA492B" w:rsidRPr="006B02D7">
        <w:rPr>
          <w:lang w:val="en-GB"/>
        </w:rPr>
        <w:t>s appeal on points of law (see paragraph 4</w:t>
      </w:r>
      <w:r w:rsidR="00181A0C" w:rsidRPr="006B02D7">
        <w:rPr>
          <w:lang w:val="en-GB"/>
        </w:rPr>
        <w:t>1</w:t>
      </w:r>
      <w:r w:rsidR="00BA492B" w:rsidRPr="006B02D7">
        <w:rPr>
          <w:lang w:val="en-GB"/>
        </w:rPr>
        <w:t xml:space="preserve"> above). The Government, referring to </w:t>
      </w:r>
      <w:r w:rsidR="00BA492B" w:rsidRPr="006B02D7">
        <w:rPr>
          <w:i/>
          <w:lang w:val="en-GB"/>
        </w:rPr>
        <w:t>Mikulić v. Croatia</w:t>
      </w:r>
      <w:r w:rsidR="00BA492B" w:rsidRPr="006B02D7">
        <w:rPr>
          <w:lang w:val="en-GB"/>
        </w:rPr>
        <w:t xml:space="preserve"> (no. 53176/99, § 44, ECHR 2002</w:t>
      </w:r>
      <w:r w:rsidR="00BA492B" w:rsidRPr="006B02D7">
        <w:rPr>
          <w:lang w:val="en-GB"/>
        </w:rPr>
        <w:noBreakHyphen/>
        <w:t xml:space="preserve">I), also noted that cases concerning civil status required the national authorities to act with particular diligence in ensuring </w:t>
      </w:r>
      <w:r w:rsidR="009D2999" w:rsidRPr="006B02D7">
        <w:rPr>
          <w:lang w:val="en-GB"/>
        </w:rPr>
        <w:t xml:space="preserve">that </w:t>
      </w:r>
      <w:r w:rsidR="00BA492B" w:rsidRPr="006B02D7">
        <w:rPr>
          <w:lang w:val="en-GB"/>
        </w:rPr>
        <w:t>proceedings</w:t>
      </w:r>
      <w:r w:rsidR="009D2999" w:rsidRPr="006B02D7">
        <w:rPr>
          <w:lang w:val="en-GB"/>
        </w:rPr>
        <w:t xml:space="preserve"> made progress</w:t>
      </w:r>
      <w:r w:rsidR="00BA492B" w:rsidRPr="006B02D7">
        <w:rPr>
          <w:lang w:val="en-GB"/>
        </w:rPr>
        <w:t>. Nevertheless, the Government argued that such particular diligence was on display in the present case. Save for several occasions when</w:t>
      </w:r>
      <w:r w:rsidR="00F679D8" w:rsidRPr="006B02D7">
        <w:rPr>
          <w:lang w:val="en-GB"/>
        </w:rPr>
        <w:t>, for good reason,</w:t>
      </w:r>
      <w:r w:rsidR="00BA492B" w:rsidRPr="006B02D7">
        <w:rPr>
          <w:lang w:val="en-GB"/>
        </w:rPr>
        <w:t xml:space="preserve"> no hearings had been scheduled for periods exceeding six months, </w:t>
      </w:r>
      <w:r w:rsidR="00F679D8" w:rsidRPr="006B02D7">
        <w:rPr>
          <w:lang w:val="en-GB"/>
        </w:rPr>
        <w:t xml:space="preserve">this </w:t>
      </w:r>
      <w:r w:rsidR="00E075C8" w:rsidRPr="006B02D7">
        <w:rPr>
          <w:lang w:val="en-GB"/>
        </w:rPr>
        <w:t xml:space="preserve">legally </w:t>
      </w:r>
      <w:r w:rsidR="00E278C2" w:rsidRPr="006B02D7">
        <w:rPr>
          <w:lang w:val="en-GB"/>
        </w:rPr>
        <w:t>complex case had been examined as rapidly as possible.</w:t>
      </w:r>
    </w:p>
    <w:p w:rsidR="00EF60DE" w:rsidRPr="006B02D7" w:rsidRDefault="00FA09DC" w:rsidP="002F4BCF">
      <w:pPr>
        <w:pStyle w:val="ECHRPara"/>
        <w:rPr>
          <w:rStyle w:val="sb8d990e2"/>
          <w:lang w:val="en-US"/>
        </w:rPr>
      </w:pPr>
      <w:r w:rsidRPr="006B02D7">
        <w:rPr>
          <w:lang w:val="en-GB"/>
        </w:rPr>
        <w:fldChar w:fldCharType="begin"/>
      </w:r>
      <w:r w:rsidRPr="006B02D7">
        <w:rPr>
          <w:lang w:val="en-GB"/>
        </w:rPr>
        <w:instrText xml:space="preserve"> SEQ level0 \*arabic </w:instrText>
      </w:r>
      <w:r w:rsidRPr="006B02D7">
        <w:rPr>
          <w:lang w:val="en-GB"/>
        </w:rPr>
        <w:fldChar w:fldCharType="separate"/>
      </w:r>
      <w:r w:rsidR="009675D9">
        <w:rPr>
          <w:noProof/>
          <w:lang w:val="en-GB"/>
        </w:rPr>
        <w:t>75</w:t>
      </w:r>
      <w:r w:rsidRPr="006B02D7">
        <w:rPr>
          <w:lang w:val="en-GB"/>
        </w:rPr>
        <w:fldChar w:fldCharType="end"/>
      </w:r>
      <w:r w:rsidR="00F71A6A" w:rsidRPr="006B02D7">
        <w:rPr>
          <w:lang w:val="en-GB"/>
        </w:rPr>
        <w:t xml:space="preserve">.  The Court </w:t>
      </w:r>
      <w:r w:rsidR="00EF60DE" w:rsidRPr="006B02D7">
        <w:rPr>
          <w:lang w:val="en-GB"/>
        </w:rPr>
        <w:t xml:space="preserve">will first examine the question of the period to be taken into account. It notes that the proceedings commenced on 8 February 2007 when the applicant brought his claim to the first-instance court. The proceedings are still pending. However, </w:t>
      </w:r>
      <w:r w:rsidR="008257B0" w:rsidRPr="006B02D7">
        <w:rPr>
          <w:lang w:val="en-GB"/>
        </w:rPr>
        <w:t xml:space="preserve">according to </w:t>
      </w:r>
      <w:r w:rsidR="00EF60DE" w:rsidRPr="006B02D7">
        <w:rPr>
          <w:lang w:val="en-GB"/>
        </w:rPr>
        <w:t>the Court</w:t>
      </w:r>
      <w:r w:rsidR="00961B49">
        <w:rPr>
          <w:lang w:val="en-GB"/>
        </w:rPr>
        <w:t>’</w:t>
      </w:r>
      <w:r w:rsidR="00EF60DE" w:rsidRPr="006B02D7">
        <w:rPr>
          <w:lang w:val="en-GB"/>
        </w:rPr>
        <w:t>s consistent case-law</w:t>
      </w:r>
      <w:r w:rsidR="002C4BCA" w:rsidRPr="006B02D7">
        <w:rPr>
          <w:lang w:val="en-GB"/>
        </w:rPr>
        <w:t>,</w:t>
      </w:r>
      <w:r w:rsidR="00EF60DE" w:rsidRPr="006B02D7">
        <w:rPr>
          <w:lang w:val="en-GB"/>
        </w:rPr>
        <w:t xml:space="preserve"> </w:t>
      </w:r>
      <w:r w:rsidR="00EF60DE" w:rsidRPr="006B02D7">
        <w:rPr>
          <w:rStyle w:val="sb8d990e2"/>
          <w:lang w:val="en-US"/>
        </w:rPr>
        <w:t>only the periods when the case was actually pending before the courts</w:t>
      </w:r>
      <w:r w:rsidR="002C4BCA" w:rsidRPr="006B02D7">
        <w:rPr>
          <w:rStyle w:val="sb8d990e2"/>
          <w:lang w:val="en-US"/>
        </w:rPr>
        <w:t xml:space="preserve"> are to be taken into account.</w:t>
      </w:r>
      <w:r w:rsidR="00961B49">
        <w:rPr>
          <w:rStyle w:val="sb8d990e2"/>
          <w:lang w:val="en-US"/>
        </w:rPr>
        <w:t xml:space="preserve"> </w:t>
      </w:r>
      <w:r w:rsidR="002C4BCA" w:rsidRPr="006B02D7">
        <w:rPr>
          <w:rStyle w:val="sb8d990e2"/>
          <w:lang w:val="en-US"/>
        </w:rPr>
        <w:t>T</w:t>
      </w:r>
      <w:r w:rsidR="00EF60DE" w:rsidRPr="006B02D7">
        <w:rPr>
          <w:rStyle w:val="sb8d990e2"/>
          <w:lang w:val="en-US"/>
        </w:rPr>
        <w:t xml:space="preserve">hat </w:t>
      </w:r>
      <w:r w:rsidR="002C4BCA" w:rsidRPr="006B02D7">
        <w:rPr>
          <w:rStyle w:val="sb8d990e2"/>
          <w:lang w:val="en-US"/>
        </w:rPr>
        <w:t xml:space="preserve">means </w:t>
      </w:r>
      <w:r w:rsidR="00EF60DE" w:rsidRPr="006B02D7">
        <w:rPr>
          <w:rStyle w:val="sb8d990e2"/>
          <w:lang w:val="en-US"/>
        </w:rPr>
        <w:t>the periods when there was no effective judgment in the determination of the merits of the applicant</w:t>
      </w:r>
      <w:r w:rsidR="00961B49">
        <w:rPr>
          <w:rStyle w:val="sb8d990e2"/>
          <w:lang w:val="en-US"/>
        </w:rPr>
        <w:t>’</w:t>
      </w:r>
      <w:r w:rsidR="00EF60DE" w:rsidRPr="006B02D7">
        <w:rPr>
          <w:rStyle w:val="sb8d990e2"/>
          <w:lang w:val="en-US"/>
        </w:rPr>
        <w:t xml:space="preserve">s dispute and when the authorities were under an obligation to pass such a judgment. The periods during which the domestic courts </w:t>
      </w:r>
      <w:r w:rsidR="00F679D8" w:rsidRPr="006B02D7">
        <w:rPr>
          <w:rStyle w:val="sb8d990e2"/>
          <w:lang w:val="en-US"/>
        </w:rPr>
        <w:t xml:space="preserve">were deciding </w:t>
      </w:r>
      <w:r w:rsidR="00EF60DE" w:rsidRPr="006B02D7">
        <w:rPr>
          <w:rStyle w:val="sb8d990e2"/>
          <w:lang w:val="en-US"/>
        </w:rPr>
        <w:t xml:space="preserve">whether or not to reopen the case should be excluded (see, for example, </w:t>
      </w:r>
      <w:r w:rsidR="00EF60DE" w:rsidRPr="006B02D7">
        <w:rPr>
          <w:rFonts w:ascii="Times New Roman" w:eastAsia="Times New Roman" w:hAnsi="Times New Roman" w:cs="Times New Roman"/>
          <w:i/>
          <w:szCs w:val="20"/>
          <w:lang w:val="en-GB"/>
        </w:rPr>
        <w:t>Irina Fedotova v. Russia</w:t>
      </w:r>
      <w:r w:rsidR="00EF60DE" w:rsidRPr="006B02D7">
        <w:rPr>
          <w:rFonts w:ascii="Times New Roman" w:eastAsia="Times New Roman" w:hAnsi="Times New Roman" w:cs="Times New Roman"/>
          <w:szCs w:val="20"/>
          <w:lang w:val="en-GB"/>
        </w:rPr>
        <w:t>, no. 1752/02, § 30, 19 October 2006</w:t>
      </w:r>
      <w:r w:rsidR="00EF60DE" w:rsidRPr="006B02D7">
        <w:rPr>
          <w:rStyle w:val="sb8d990e2"/>
          <w:lang w:val="en-US"/>
        </w:rPr>
        <w:t>).</w:t>
      </w:r>
    </w:p>
    <w:p w:rsidR="00EF60DE" w:rsidRPr="006B02D7" w:rsidRDefault="00EF60DE" w:rsidP="002F4BCF">
      <w:pPr>
        <w:pStyle w:val="ECHRPara"/>
        <w:rPr>
          <w:rStyle w:val="sb8d990e2"/>
          <w:lang w:val="en-US"/>
        </w:rPr>
      </w:pPr>
      <w:r w:rsidRPr="006B02D7">
        <w:rPr>
          <w:rStyle w:val="sb8d990e2"/>
          <w:lang w:val="en-US"/>
        </w:rPr>
        <w:fldChar w:fldCharType="begin"/>
      </w:r>
      <w:r w:rsidRPr="006B02D7">
        <w:rPr>
          <w:rStyle w:val="sb8d990e2"/>
          <w:lang w:val="en-US"/>
        </w:rPr>
        <w:instrText xml:space="preserve"> SEQ level0 \*arabic </w:instrText>
      </w:r>
      <w:r w:rsidRPr="006B02D7">
        <w:rPr>
          <w:rStyle w:val="sb8d990e2"/>
          <w:lang w:val="en-US"/>
        </w:rPr>
        <w:fldChar w:fldCharType="separate"/>
      </w:r>
      <w:r w:rsidR="009675D9">
        <w:rPr>
          <w:rStyle w:val="sb8d990e2"/>
          <w:noProof/>
          <w:lang w:val="en-US"/>
        </w:rPr>
        <w:t>76</w:t>
      </w:r>
      <w:r w:rsidRPr="006B02D7">
        <w:rPr>
          <w:rStyle w:val="sb8d990e2"/>
          <w:lang w:val="en-US"/>
        </w:rPr>
        <w:fldChar w:fldCharType="end"/>
      </w:r>
      <w:r w:rsidRPr="006B02D7">
        <w:rPr>
          <w:rStyle w:val="sb8d990e2"/>
          <w:lang w:val="en-US"/>
        </w:rPr>
        <w:t xml:space="preserve">.  Hence the period to be taken into account consists of the five years, three months and eight days that elapsed until the Senate of the Supreme Court adopted its final decision and the </w:t>
      </w:r>
      <w:r w:rsidR="00603422" w:rsidRPr="006B02D7">
        <w:rPr>
          <w:rStyle w:val="sb8d990e2"/>
          <w:lang w:val="en-US"/>
        </w:rPr>
        <w:t xml:space="preserve">time </w:t>
      </w:r>
      <w:r w:rsidRPr="006B02D7">
        <w:rPr>
          <w:rStyle w:val="sb8d990e2"/>
          <w:lang w:val="en-US"/>
        </w:rPr>
        <w:t xml:space="preserve">after the Senate decided to reopen </w:t>
      </w:r>
      <w:r w:rsidR="006C127A" w:rsidRPr="006B02D7">
        <w:rPr>
          <w:rStyle w:val="sb8d990e2"/>
          <w:lang w:val="en-US"/>
        </w:rPr>
        <w:t>the proceedings on 12 June 2013, the total length being</w:t>
      </w:r>
      <w:r w:rsidR="00EA4052" w:rsidRPr="006B02D7">
        <w:rPr>
          <w:rStyle w:val="sb8d990e2"/>
          <w:lang w:val="en-US"/>
        </w:rPr>
        <w:t xml:space="preserve"> almost six years</w:t>
      </w:r>
      <w:r w:rsidR="006C127A" w:rsidRPr="006B02D7">
        <w:rPr>
          <w:rStyle w:val="sb8d990e2"/>
          <w:lang w:val="en-US"/>
        </w:rPr>
        <w:t xml:space="preserve"> </w:t>
      </w:r>
      <w:r w:rsidR="002266BD" w:rsidRPr="006B02D7">
        <w:rPr>
          <w:lang w:val="en-US"/>
        </w:rPr>
        <w:t>at the date on which the Court adopted the present judgment</w:t>
      </w:r>
      <w:r w:rsidR="006C127A" w:rsidRPr="006B02D7">
        <w:rPr>
          <w:rStyle w:val="sb8d990e2"/>
          <w:lang w:val="en-US"/>
        </w:rPr>
        <w:t>.</w:t>
      </w:r>
    </w:p>
    <w:p w:rsidR="00CC0145" w:rsidRPr="006B02D7" w:rsidRDefault="00AD2EBE" w:rsidP="00242990">
      <w:pPr>
        <w:pStyle w:val="ECHRPara"/>
        <w:rPr>
          <w:rStyle w:val="sb8d990e2"/>
          <w:lang w:val="en-US"/>
        </w:rPr>
      </w:pPr>
      <w:r w:rsidRPr="006B02D7">
        <w:rPr>
          <w:rStyle w:val="sb8d990e2"/>
          <w:lang w:val="en-US"/>
        </w:rPr>
        <w:fldChar w:fldCharType="begin"/>
      </w:r>
      <w:r w:rsidRPr="006B02D7">
        <w:rPr>
          <w:rStyle w:val="sb8d990e2"/>
          <w:lang w:val="en-US"/>
        </w:rPr>
        <w:instrText xml:space="preserve"> SEQ level0 \*arabic </w:instrText>
      </w:r>
      <w:r w:rsidRPr="006B02D7">
        <w:rPr>
          <w:rStyle w:val="sb8d990e2"/>
          <w:lang w:val="en-US"/>
        </w:rPr>
        <w:fldChar w:fldCharType="separate"/>
      </w:r>
      <w:r w:rsidR="009675D9">
        <w:rPr>
          <w:rStyle w:val="sb8d990e2"/>
          <w:noProof/>
          <w:lang w:val="en-US"/>
        </w:rPr>
        <w:t>77</w:t>
      </w:r>
      <w:r w:rsidRPr="006B02D7">
        <w:rPr>
          <w:rStyle w:val="sb8d990e2"/>
          <w:lang w:val="en-US"/>
        </w:rPr>
        <w:fldChar w:fldCharType="end"/>
      </w:r>
      <w:r w:rsidR="00242990" w:rsidRPr="006B02D7">
        <w:rPr>
          <w:rStyle w:val="sb8d990e2"/>
          <w:lang w:val="en-US"/>
        </w:rPr>
        <w:t>.  </w:t>
      </w:r>
      <w:r w:rsidR="00CC0145" w:rsidRPr="006B02D7">
        <w:rPr>
          <w:rStyle w:val="sb8d990e2"/>
          <w:lang w:val="en-US"/>
        </w:rPr>
        <w:t>The Court reiterates that the reasonableness of the length of the proceedings must be assessed in the light of the circumstances of the case and with reference to the following criteria: the complexity of the case, the conduct of the applicant and the relevant authorities</w:t>
      </w:r>
      <w:r w:rsidR="00F679D8" w:rsidRPr="006B02D7">
        <w:rPr>
          <w:rStyle w:val="sb8d990e2"/>
          <w:lang w:val="en-US"/>
        </w:rPr>
        <w:t>,</w:t>
      </w:r>
      <w:r w:rsidR="00CC0145" w:rsidRPr="006B02D7">
        <w:rPr>
          <w:rStyle w:val="sb8d990e2"/>
          <w:lang w:val="en-US"/>
        </w:rPr>
        <w:t xml:space="preserve"> and what was at stake for the applicant in the dispute (see, among many other authorities, </w:t>
      </w:r>
      <w:r w:rsidR="00242990" w:rsidRPr="006B02D7">
        <w:rPr>
          <w:i/>
          <w:lang w:val="it-IT"/>
        </w:rPr>
        <w:t>Pélissier and Sassi v. France</w:t>
      </w:r>
      <w:r w:rsidR="00242990" w:rsidRPr="006B02D7">
        <w:rPr>
          <w:lang w:val="it-IT"/>
        </w:rPr>
        <w:t xml:space="preserve"> [GC], no. 25444/94, § 67, ECHR 1999</w:t>
      </w:r>
      <w:r w:rsidR="00242990" w:rsidRPr="006B02D7">
        <w:rPr>
          <w:lang w:val="it-IT"/>
        </w:rPr>
        <w:noBreakHyphen/>
        <w:t>II</w:t>
      </w:r>
      <w:r w:rsidR="00CC0145" w:rsidRPr="006B02D7">
        <w:rPr>
          <w:rStyle w:val="sb8d990e2"/>
          <w:lang w:val="en-US"/>
        </w:rPr>
        <w:t xml:space="preserve">). In addition, only delays attributable to the State may justify a finding of a failure to comply with the “reasonable time” requirement (see </w:t>
      </w:r>
      <w:r w:rsidR="00242990" w:rsidRPr="006B02D7">
        <w:rPr>
          <w:i/>
          <w:lang w:val="en-GB"/>
        </w:rPr>
        <w:t xml:space="preserve">Pedersen and Baadsgaard v. Denmark </w:t>
      </w:r>
      <w:r w:rsidR="00242990" w:rsidRPr="006B02D7">
        <w:rPr>
          <w:lang w:val="en-GB"/>
        </w:rPr>
        <w:t>[GC], no. 49017/99, § 49, ECHR 2004</w:t>
      </w:r>
      <w:r w:rsidR="00242990" w:rsidRPr="006B02D7">
        <w:rPr>
          <w:lang w:val="en-GB"/>
        </w:rPr>
        <w:noBreakHyphen/>
        <w:t>XI</w:t>
      </w:r>
      <w:r w:rsidR="00CC0145" w:rsidRPr="006B02D7">
        <w:rPr>
          <w:rStyle w:val="sb8d990e2"/>
          <w:lang w:val="en-US"/>
        </w:rPr>
        <w:t>).</w:t>
      </w:r>
    </w:p>
    <w:p w:rsidR="00DB1451" w:rsidRPr="006B02D7" w:rsidRDefault="00DB1451" w:rsidP="00242990">
      <w:pPr>
        <w:pStyle w:val="ECHRPara"/>
        <w:rPr>
          <w:snapToGrid w:val="0"/>
          <w:szCs w:val="24"/>
          <w:lang w:val="en-GB"/>
        </w:rPr>
      </w:pPr>
      <w:r w:rsidRPr="006B02D7">
        <w:rPr>
          <w:rStyle w:val="sb8d990e2"/>
          <w:lang w:val="en-US"/>
        </w:rPr>
        <w:fldChar w:fldCharType="begin"/>
      </w:r>
      <w:r w:rsidRPr="006B02D7">
        <w:rPr>
          <w:rStyle w:val="sb8d990e2"/>
          <w:lang w:val="en-US"/>
        </w:rPr>
        <w:instrText xml:space="preserve"> SEQ level0 \*arabic </w:instrText>
      </w:r>
      <w:r w:rsidRPr="006B02D7">
        <w:rPr>
          <w:rStyle w:val="sb8d990e2"/>
          <w:lang w:val="en-US"/>
        </w:rPr>
        <w:fldChar w:fldCharType="separate"/>
      </w:r>
      <w:r w:rsidR="009675D9">
        <w:rPr>
          <w:rStyle w:val="sb8d990e2"/>
          <w:noProof/>
          <w:lang w:val="en-US"/>
        </w:rPr>
        <w:t>78</w:t>
      </w:r>
      <w:r w:rsidRPr="006B02D7">
        <w:rPr>
          <w:rStyle w:val="sb8d990e2"/>
          <w:lang w:val="en-US"/>
        </w:rPr>
        <w:fldChar w:fldCharType="end"/>
      </w:r>
      <w:r w:rsidRPr="006B02D7">
        <w:rPr>
          <w:rStyle w:val="sb8d990e2"/>
          <w:lang w:val="en-US"/>
        </w:rPr>
        <w:t>.  The Court considers that there is merit to the Government</w:t>
      </w:r>
      <w:r w:rsidR="00961B49">
        <w:rPr>
          <w:rStyle w:val="sb8d990e2"/>
          <w:lang w:val="en-US"/>
        </w:rPr>
        <w:t>’</w:t>
      </w:r>
      <w:r w:rsidRPr="006B02D7">
        <w:rPr>
          <w:rStyle w:val="sb8d990e2"/>
          <w:lang w:val="en-US"/>
        </w:rPr>
        <w:t xml:space="preserve">s argument that the case was legally complex. On the other </w:t>
      </w:r>
      <w:r w:rsidR="00A9370C" w:rsidRPr="006B02D7">
        <w:rPr>
          <w:rStyle w:val="sb8d990e2"/>
          <w:lang w:val="en-US"/>
        </w:rPr>
        <w:t xml:space="preserve">hand, the Court is not persuaded </w:t>
      </w:r>
      <w:r w:rsidR="00F679D8" w:rsidRPr="006B02D7">
        <w:rPr>
          <w:rStyle w:val="sb8d990e2"/>
          <w:lang w:val="en-US"/>
        </w:rPr>
        <w:t xml:space="preserve">by </w:t>
      </w:r>
      <w:r w:rsidR="00A9370C" w:rsidRPr="006B02D7">
        <w:rPr>
          <w:rStyle w:val="sb8d990e2"/>
          <w:lang w:val="en-US"/>
        </w:rPr>
        <w:t>the Government</w:t>
      </w:r>
      <w:r w:rsidR="00961B49">
        <w:rPr>
          <w:rStyle w:val="sb8d990e2"/>
          <w:lang w:val="en-US"/>
        </w:rPr>
        <w:t>’</w:t>
      </w:r>
      <w:r w:rsidR="00A9370C" w:rsidRPr="006B02D7">
        <w:rPr>
          <w:rStyle w:val="sb8d990e2"/>
          <w:lang w:val="en-US"/>
        </w:rPr>
        <w:t>s arguments concerning the applicant</w:t>
      </w:r>
      <w:r w:rsidR="00961B49">
        <w:rPr>
          <w:rStyle w:val="sb8d990e2"/>
          <w:lang w:val="en-US"/>
        </w:rPr>
        <w:t>’</w:t>
      </w:r>
      <w:r w:rsidR="00A9370C" w:rsidRPr="006B02D7">
        <w:rPr>
          <w:rStyle w:val="sb8d990e2"/>
          <w:lang w:val="en-US"/>
        </w:rPr>
        <w:t>s role in prolonging the proceedings. According to the Government, the applicant was</w:t>
      </w:r>
      <w:r w:rsidR="006915F2" w:rsidRPr="006B02D7">
        <w:rPr>
          <w:rStyle w:val="sb8d990e2"/>
          <w:lang w:val="en-US"/>
        </w:rPr>
        <w:t xml:space="preserve"> </w:t>
      </w:r>
      <w:r w:rsidR="00080A9F" w:rsidRPr="006B02D7">
        <w:rPr>
          <w:rStyle w:val="sb8d990e2"/>
          <w:lang w:val="en-US"/>
        </w:rPr>
        <w:t>responsible for the adjournment of the proceedings on 15 June 2009</w:t>
      </w:r>
      <w:r w:rsidR="002679CD" w:rsidRPr="006B02D7">
        <w:rPr>
          <w:rStyle w:val="sb8d990e2"/>
          <w:lang w:val="en-US"/>
        </w:rPr>
        <w:t xml:space="preserve"> (see paragraph 22 above). The Court is unable to agree that the applicant can be held responsible for a delay caused by his wish to rectify an erroneous court decision by way of a complaint to the Prosecutor General (which furthermore was eventually upheld – see paragraphs 23 and 24 above). In this regard, the Government</w:t>
      </w:r>
      <w:r w:rsidR="00961B49">
        <w:rPr>
          <w:rStyle w:val="sb8d990e2"/>
          <w:lang w:val="en-US"/>
        </w:rPr>
        <w:t>’</w:t>
      </w:r>
      <w:r w:rsidR="002679CD" w:rsidRPr="006B02D7">
        <w:rPr>
          <w:rStyle w:val="sb8d990e2"/>
          <w:lang w:val="en-US"/>
        </w:rPr>
        <w:t xml:space="preserve">s reliance on the case of </w:t>
      </w:r>
      <w:r w:rsidR="002679CD" w:rsidRPr="006B02D7">
        <w:rPr>
          <w:i/>
          <w:lang w:val="en-GB"/>
        </w:rPr>
        <w:t>Liģeres v. Latvia</w:t>
      </w:r>
      <w:r w:rsidR="002679CD" w:rsidRPr="006B02D7">
        <w:rPr>
          <w:lang w:val="en-GB"/>
        </w:rPr>
        <w:t xml:space="preserve"> (no. 17/02</w:t>
      </w:r>
      <w:r w:rsidR="002679CD" w:rsidRPr="006B02D7">
        <w:rPr>
          <w:snapToGrid w:val="0"/>
          <w:szCs w:val="24"/>
          <w:lang w:val="en-GB"/>
        </w:rPr>
        <w:t>, § 70, 28 June 2011) is entirely misguided.</w:t>
      </w:r>
    </w:p>
    <w:p w:rsidR="002679CD" w:rsidRPr="006B02D7" w:rsidRDefault="002679CD" w:rsidP="00242990">
      <w:pPr>
        <w:pStyle w:val="ECHRPara"/>
        <w:rPr>
          <w:snapToGrid w:val="0"/>
          <w:szCs w:val="24"/>
          <w:lang w:val="en-GB"/>
        </w:rPr>
      </w:pPr>
      <w:r w:rsidRPr="006B02D7">
        <w:rPr>
          <w:snapToGrid w:val="0"/>
          <w:szCs w:val="24"/>
          <w:lang w:val="en-GB"/>
        </w:rPr>
        <w:fldChar w:fldCharType="begin"/>
      </w:r>
      <w:r w:rsidRPr="006B02D7">
        <w:rPr>
          <w:snapToGrid w:val="0"/>
          <w:szCs w:val="24"/>
          <w:lang w:val="en-GB"/>
        </w:rPr>
        <w:instrText xml:space="preserve"> SEQ level0 \*arabic </w:instrText>
      </w:r>
      <w:r w:rsidRPr="006B02D7">
        <w:rPr>
          <w:snapToGrid w:val="0"/>
          <w:szCs w:val="24"/>
          <w:lang w:val="en-GB"/>
        </w:rPr>
        <w:fldChar w:fldCharType="separate"/>
      </w:r>
      <w:r w:rsidR="009675D9">
        <w:rPr>
          <w:noProof/>
          <w:snapToGrid w:val="0"/>
          <w:szCs w:val="24"/>
          <w:lang w:val="en-GB"/>
        </w:rPr>
        <w:t>79</w:t>
      </w:r>
      <w:r w:rsidRPr="006B02D7">
        <w:rPr>
          <w:snapToGrid w:val="0"/>
          <w:szCs w:val="24"/>
          <w:lang w:val="en-GB"/>
        </w:rPr>
        <w:fldChar w:fldCharType="end"/>
      </w:r>
      <w:r w:rsidRPr="006B02D7">
        <w:rPr>
          <w:snapToGrid w:val="0"/>
          <w:szCs w:val="24"/>
          <w:lang w:val="en-GB"/>
        </w:rPr>
        <w:t xml:space="preserve">.  The Government </w:t>
      </w:r>
      <w:r w:rsidR="00F679D8" w:rsidRPr="006B02D7">
        <w:rPr>
          <w:snapToGrid w:val="0"/>
          <w:szCs w:val="24"/>
          <w:lang w:val="en-GB"/>
        </w:rPr>
        <w:t xml:space="preserve">did </w:t>
      </w:r>
      <w:r w:rsidRPr="006B02D7">
        <w:rPr>
          <w:snapToGrid w:val="0"/>
          <w:szCs w:val="24"/>
          <w:lang w:val="en-GB"/>
        </w:rPr>
        <w:t>not submit any other arguments that could serve to persuade the Court that any delays in the examination of the case by the domestic courts were attributable to the applicant.</w:t>
      </w:r>
      <w:r w:rsidR="00E352AA" w:rsidRPr="006B02D7">
        <w:rPr>
          <w:snapToGrid w:val="0"/>
          <w:szCs w:val="24"/>
          <w:lang w:val="en-GB"/>
        </w:rPr>
        <w:t xml:space="preserve"> The Court also notes that the applicant has brought the attention of the appeal court and the Senate of the Supreme Court to the excessive length of the proceedings (see paragraphs 38 and 39 above).</w:t>
      </w:r>
    </w:p>
    <w:p w:rsidR="00592871" w:rsidRPr="006B02D7" w:rsidRDefault="002679CD" w:rsidP="00475E90">
      <w:pPr>
        <w:pStyle w:val="ECHRPara"/>
        <w:rPr>
          <w:rStyle w:val="sb8d990e2"/>
          <w:lang w:val="it-IT"/>
        </w:rPr>
      </w:pPr>
      <w:r w:rsidRPr="006B02D7">
        <w:rPr>
          <w:rStyle w:val="sb8d990e2"/>
          <w:lang w:val="en-GB"/>
        </w:rPr>
        <w:fldChar w:fldCharType="begin"/>
      </w:r>
      <w:r w:rsidRPr="006B02D7">
        <w:rPr>
          <w:rStyle w:val="sb8d990e2"/>
          <w:lang w:val="en-GB"/>
        </w:rPr>
        <w:instrText xml:space="preserve"> SEQ level0 \*arabic </w:instrText>
      </w:r>
      <w:r w:rsidRPr="006B02D7">
        <w:rPr>
          <w:rStyle w:val="sb8d990e2"/>
          <w:lang w:val="en-GB"/>
        </w:rPr>
        <w:fldChar w:fldCharType="separate"/>
      </w:r>
      <w:r w:rsidR="009675D9">
        <w:rPr>
          <w:rStyle w:val="sb8d990e2"/>
          <w:noProof/>
          <w:lang w:val="en-GB"/>
        </w:rPr>
        <w:t>80</w:t>
      </w:r>
      <w:r w:rsidRPr="006B02D7">
        <w:rPr>
          <w:rStyle w:val="sb8d990e2"/>
          <w:lang w:val="en-GB"/>
        </w:rPr>
        <w:fldChar w:fldCharType="end"/>
      </w:r>
      <w:r w:rsidRPr="006B02D7">
        <w:rPr>
          <w:rStyle w:val="sb8d990e2"/>
          <w:lang w:val="en-GB"/>
        </w:rPr>
        <w:t xml:space="preserve">.  The Court agrees with the Government that </w:t>
      </w:r>
      <w:r w:rsidR="00475E90" w:rsidRPr="006B02D7">
        <w:rPr>
          <w:rStyle w:val="sb8d990e2"/>
          <w:lang w:val="en-GB"/>
        </w:rPr>
        <w:t>what was (and continues to be) at stake for the applicant, namely, his official recognition as the child</w:t>
      </w:r>
      <w:r w:rsidR="00961B49">
        <w:rPr>
          <w:rStyle w:val="sb8d990e2"/>
          <w:lang w:val="en-GB"/>
        </w:rPr>
        <w:t>’</w:t>
      </w:r>
      <w:r w:rsidR="00475E90" w:rsidRPr="006B02D7">
        <w:rPr>
          <w:rStyle w:val="sb8d990e2"/>
          <w:lang w:val="en-GB"/>
        </w:rPr>
        <w:t xml:space="preserve">s father, </w:t>
      </w:r>
      <w:r w:rsidR="00F679D8" w:rsidRPr="006B02D7">
        <w:rPr>
          <w:rStyle w:val="sb8d990e2"/>
          <w:lang w:val="en-GB"/>
        </w:rPr>
        <w:t xml:space="preserve">required </w:t>
      </w:r>
      <w:r w:rsidR="00475E90" w:rsidRPr="006B02D7">
        <w:rPr>
          <w:rStyle w:val="sb8d990e2"/>
          <w:lang w:val="en-GB"/>
        </w:rPr>
        <w:t>particular diligence and urgency in organising the proceedings in such a manner as to minimise the time the applicant</w:t>
      </w:r>
      <w:r w:rsidR="00961B49">
        <w:rPr>
          <w:rStyle w:val="sb8d990e2"/>
          <w:lang w:val="en-GB"/>
        </w:rPr>
        <w:t>’</w:t>
      </w:r>
      <w:r w:rsidR="00475E90" w:rsidRPr="006B02D7">
        <w:rPr>
          <w:rStyle w:val="sb8d990e2"/>
          <w:lang w:val="en-GB"/>
        </w:rPr>
        <w:t xml:space="preserve">s </w:t>
      </w:r>
      <w:r w:rsidR="00527D86" w:rsidRPr="006B02D7">
        <w:rPr>
          <w:rStyle w:val="sb8d990e2"/>
          <w:lang w:val="en-GB"/>
        </w:rPr>
        <w:t xml:space="preserve">family </w:t>
      </w:r>
      <w:r w:rsidR="00475E90" w:rsidRPr="006B02D7">
        <w:rPr>
          <w:rStyle w:val="sb8d990e2"/>
          <w:lang w:val="en-GB"/>
        </w:rPr>
        <w:t>situation remained in limbo</w:t>
      </w:r>
      <w:r w:rsidR="00B34FF2" w:rsidRPr="006B02D7">
        <w:rPr>
          <w:rStyle w:val="sb8d990e2"/>
          <w:lang w:val="en-GB"/>
        </w:rPr>
        <w:t xml:space="preserve"> (among many other examples</w:t>
      </w:r>
      <w:r w:rsidR="00EA4052" w:rsidRPr="006B02D7">
        <w:rPr>
          <w:rStyle w:val="sb8d990e2"/>
          <w:lang w:val="en-GB"/>
        </w:rPr>
        <w:t>,</w:t>
      </w:r>
      <w:r w:rsidR="00B34FF2" w:rsidRPr="006B02D7">
        <w:rPr>
          <w:rStyle w:val="sb8d990e2"/>
          <w:lang w:val="en-GB"/>
        </w:rPr>
        <w:t xml:space="preserve"> see </w:t>
      </w:r>
      <w:r w:rsidR="00B34FF2" w:rsidRPr="006B02D7">
        <w:rPr>
          <w:i/>
          <w:lang w:val="it-IT"/>
        </w:rPr>
        <w:t>Mikulić v. Croatia</w:t>
      </w:r>
      <w:r w:rsidR="00B34FF2" w:rsidRPr="006B02D7">
        <w:rPr>
          <w:lang w:val="it-IT"/>
        </w:rPr>
        <w:t xml:space="preserve">, </w:t>
      </w:r>
      <w:r w:rsidR="00EA4052" w:rsidRPr="006B02D7">
        <w:rPr>
          <w:lang w:val="it-IT"/>
        </w:rPr>
        <w:t>cited above</w:t>
      </w:r>
      <w:r w:rsidR="00B34FF2" w:rsidRPr="006B02D7">
        <w:rPr>
          <w:lang w:val="it-IT"/>
        </w:rPr>
        <w:t>, § 44</w:t>
      </w:r>
      <w:r w:rsidR="00B34FF2" w:rsidRPr="006B02D7">
        <w:rPr>
          <w:rStyle w:val="sb8d990e2"/>
          <w:lang w:val="en-GB"/>
        </w:rPr>
        <w:t>)</w:t>
      </w:r>
      <w:r w:rsidR="00475E90" w:rsidRPr="006B02D7">
        <w:rPr>
          <w:rStyle w:val="sb8d990e2"/>
          <w:lang w:val="en-GB"/>
        </w:rPr>
        <w:t>. Taking into account the overall length of the proceedings and the fact that no delays in the examination of the case are attributable to the applicant</w:t>
      </w:r>
      <w:r w:rsidR="00961B49">
        <w:rPr>
          <w:rStyle w:val="sb8d990e2"/>
          <w:lang w:val="en-GB"/>
        </w:rPr>
        <w:t>’</w:t>
      </w:r>
      <w:r w:rsidR="00475E90" w:rsidRPr="006B02D7">
        <w:rPr>
          <w:rStyle w:val="sb8d990e2"/>
          <w:lang w:val="en-GB"/>
        </w:rPr>
        <w:t>s conduct, the Court is of the opinion that the applicant</w:t>
      </w:r>
      <w:r w:rsidR="00961B49">
        <w:rPr>
          <w:rStyle w:val="sb8d990e2"/>
          <w:lang w:val="en-GB"/>
        </w:rPr>
        <w:t>’</w:t>
      </w:r>
      <w:r w:rsidR="00475E90" w:rsidRPr="006B02D7">
        <w:rPr>
          <w:rStyle w:val="sb8d990e2"/>
          <w:lang w:val="en-GB"/>
        </w:rPr>
        <w:t xml:space="preserve">s right to a hearing within </w:t>
      </w:r>
      <w:r w:rsidR="00527D86" w:rsidRPr="006B02D7">
        <w:rPr>
          <w:rStyle w:val="sb8d990e2"/>
          <w:lang w:val="en-GB"/>
        </w:rPr>
        <w:t xml:space="preserve">a </w:t>
      </w:r>
      <w:r w:rsidR="00475E90" w:rsidRPr="006B02D7">
        <w:rPr>
          <w:rStyle w:val="sb8d990e2"/>
          <w:lang w:val="en-GB"/>
        </w:rPr>
        <w:t>reasonable time has been violated.</w:t>
      </w:r>
    </w:p>
    <w:p w:rsidR="00475E90" w:rsidRPr="006B02D7" w:rsidRDefault="00475E90" w:rsidP="00475E90">
      <w:pPr>
        <w:pStyle w:val="ECHRPara"/>
        <w:rPr>
          <w:lang w:val="en-GB"/>
        </w:rPr>
      </w:pPr>
      <w:r w:rsidRPr="006B02D7">
        <w:rPr>
          <w:rStyle w:val="sb8d990e2"/>
          <w:lang w:val="en-GB"/>
        </w:rPr>
        <w:fldChar w:fldCharType="begin"/>
      </w:r>
      <w:r w:rsidRPr="006B02D7">
        <w:rPr>
          <w:rStyle w:val="sb8d990e2"/>
          <w:lang w:val="en-GB"/>
        </w:rPr>
        <w:instrText xml:space="preserve"> SEQ level0 \*arabic </w:instrText>
      </w:r>
      <w:r w:rsidRPr="006B02D7">
        <w:rPr>
          <w:rStyle w:val="sb8d990e2"/>
          <w:lang w:val="en-GB"/>
        </w:rPr>
        <w:fldChar w:fldCharType="separate"/>
      </w:r>
      <w:r w:rsidR="009675D9">
        <w:rPr>
          <w:rStyle w:val="sb8d990e2"/>
          <w:noProof/>
          <w:lang w:val="en-GB"/>
        </w:rPr>
        <w:t>81</w:t>
      </w:r>
      <w:r w:rsidRPr="006B02D7">
        <w:rPr>
          <w:rStyle w:val="sb8d990e2"/>
          <w:lang w:val="en-GB"/>
        </w:rPr>
        <w:fldChar w:fldCharType="end"/>
      </w:r>
      <w:r w:rsidRPr="006B02D7">
        <w:rPr>
          <w:rStyle w:val="sb8d990e2"/>
          <w:lang w:val="en-GB"/>
        </w:rPr>
        <w:t>.  Accordingly</w:t>
      </w:r>
      <w:r w:rsidR="00F679D8" w:rsidRPr="006B02D7">
        <w:rPr>
          <w:rStyle w:val="sb8d990e2"/>
          <w:lang w:val="en-GB"/>
        </w:rPr>
        <w:t>,</w:t>
      </w:r>
      <w:r w:rsidRPr="006B02D7">
        <w:rPr>
          <w:rStyle w:val="sb8d990e2"/>
          <w:lang w:val="en-GB"/>
        </w:rPr>
        <w:t xml:space="preserve"> there has been a violation of Article 6 </w:t>
      </w:r>
      <w:r w:rsidRPr="006B02D7">
        <w:rPr>
          <w:rStyle w:val="sb8d990e2"/>
          <w:rFonts w:cstheme="minorHAnsi"/>
          <w:lang w:val="en-GB"/>
        </w:rPr>
        <w:t>§</w:t>
      </w:r>
      <w:r w:rsidRPr="006B02D7">
        <w:rPr>
          <w:rStyle w:val="sb8d990e2"/>
          <w:lang w:val="en-GB"/>
        </w:rPr>
        <w:t> 1 of the Convention.</w:t>
      </w:r>
    </w:p>
    <w:p w:rsidR="00F71A6A" w:rsidRPr="006B02D7" w:rsidRDefault="002B5CAD">
      <w:pPr>
        <w:pStyle w:val="ECHRHeading1"/>
        <w:rPr>
          <w:lang w:val="en-GB"/>
        </w:rPr>
      </w:pPr>
      <w:r w:rsidRPr="006B02D7">
        <w:rPr>
          <w:lang w:val="en-GB"/>
        </w:rPr>
        <w:t>III</w:t>
      </w:r>
      <w:r w:rsidR="00F71A6A" w:rsidRPr="006B02D7">
        <w:rPr>
          <w:lang w:val="en-GB"/>
        </w:rPr>
        <w:t>.</w:t>
      </w:r>
      <w:r w:rsidR="00337600" w:rsidRPr="006B02D7">
        <w:rPr>
          <w:lang w:val="en-GB"/>
        </w:rPr>
        <w:t>  ALLEGED VIOLATION OF ARTICLE</w:t>
      </w:r>
      <w:r w:rsidRPr="006B02D7">
        <w:rPr>
          <w:lang w:val="en-GB"/>
        </w:rPr>
        <w:t> 8</w:t>
      </w:r>
      <w:r w:rsidR="00F71A6A" w:rsidRPr="006B02D7">
        <w:rPr>
          <w:lang w:val="en-GB"/>
        </w:rPr>
        <w:t xml:space="preserve"> OF THE CONVENTION</w:t>
      </w:r>
    </w:p>
    <w:p w:rsidR="00F71A6A" w:rsidRPr="006B02D7" w:rsidRDefault="00FA09DC" w:rsidP="002F4BCF">
      <w:pPr>
        <w:pStyle w:val="ECHRPara"/>
        <w:rPr>
          <w:lang w:val="en-GB"/>
        </w:rPr>
      </w:pPr>
      <w:r w:rsidRPr="006B02D7">
        <w:rPr>
          <w:lang w:val="en-GB"/>
        </w:rPr>
        <w:fldChar w:fldCharType="begin"/>
      </w:r>
      <w:r w:rsidRPr="006B02D7">
        <w:rPr>
          <w:lang w:val="en-GB"/>
        </w:rPr>
        <w:instrText xml:space="preserve"> SEQ level0 \*arabic </w:instrText>
      </w:r>
      <w:r w:rsidRPr="006B02D7">
        <w:rPr>
          <w:lang w:val="en-GB"/>
        </w:rPr>
        <w:fldChar w:fldCharType="separate"/>
      </w:r>
      <w:r w:rsidR="009675D9">
        <w:rPr>
          <w:noProof/>
          <w:lang w:val="en-GB"/>
        </w:rPr>
        <w:t>82</w:t>
      </w:r>
      <w:r w:rsidRPr="006B02D7">
        <w:rPr>
          <w:lang w:val="en-GB"/>
        </w:rPr>
        <w:fldChar w:fldCharType="end"/>
      </w:r>
      <w:r w:rsidR="00F71A6A" w:rsidRPr="006B02D7">
        <w:rPr>
          <w:lang w:val="en-GB"/>
        </w:rPr>
        <w:t xml:space="preserve">.  The </w:t>
      </w:r>
      <w:r w:rsidR="005F4753" w:rsidRPr="006B02D7">
        <w:rPr>
          <w:lang w:val="en-GB"/>
        </w:rPr>
        <w:t>applicant</w:t>
      </w:r>
      <w:r w:rsidR="00F71A6A" w:rsidRPr="006B02D7">
        <w:rPr>
          <w:lang w:val="en-GB"/>
        </w:rPr>
        <w:t xml:space="preserve"> </w:t>
      </w:r>
      <w:r w:rsidR="00292EC4" w:rsidRPr="006B02D7">
        <w:rPr>
          <w:lang w:val="en-GB"/>
        </w:rPr>
        <w:t xml:space="preserve">further </w:t>
      </w:r>
      <w:r w:rsidR="00F71A6A" w:rsidRPr="006B02D7">
        <w:rPr>
          <w:lang w:val="en-GB"/>
        </w:rPr>
        <w:t xml:space="preserve">complained </w:t>
      </w:r>
      <w:r w:rsidR="00292EC4" w:rsidRPr="006B02D7">
        <w:rPr>
          <w:lang w:val="en-GB"/>
        </w:rPr>
        <w:t xml:space="preserve">that as a result of defects </w:t>
      </w:r>
      <w:r w:rsidR="00F679D8" w:rsidRPr="006B02D7">
        <w:rPr>
          <w:lang w:val="en-GB"/>
        </w:rPr>
        <w:t xml:space="preserve">in </w:t>
      </w:r>
      <w:r w:rsidR="00292EC4" w:rsidRPr="006B02D7">
        <w:rPr>
          <w:lang w:val="en-GB"/>
        </w:rPr>
        <w:t xml:space="preserve">the </w:t>
      </w:r>
      <w:r w:rsidR="00AB14A0" w:rsidRPr="006B02D7">
        <w:rPr>
          <w:lang w:val="en-GB"/>
        </w:rPr>
        <w:t xml:space="preserve">court </w:t>
      </w:r>
      <w:r w:rsidR="00292EC4" w:rsidRPr="006B02D7">
        <w:rPr>
          <w:lang w:val="en-GB"/>
        </w:rPr>
        <w:t xml:space="preserve">procedure and </w:t>
      </w:r>
      <w:r w:rsidR="00AB14A0" w:rsidRPr="006B02D7">
        <w:rPr>
          <w:lang w:val="en-GB"/>
        </w:rPr>
        <w:t>because of the outcome of the court proceedings</w:t>
      </w:r>
      <w:r w:rsidR="00F679D8" w:rsidRPr="006B02D7">
        <w:rPr>
          <w:lang w:val="en-GB"/>
        </w:rPr>
        <w:t>,</w:t>
      </w:r>
      <w:r w:rsidR="00292EC4" w:rsidRPr="006B02D7">
        <w:rPr>
          <w:lang w:val="en-GB"/>
        </w:rPr>
        <w:t xml:space="preserve"> his right to respect for his private and family life</w:t>
      </w:r>
      <w:r w:rsidR="00F679D8" w:rsidRPr="006B02D7">
        <w:rPr>
          <w:lang w:val="en-GB"/>
        </w:rPr>
        <w:t xml:space="preserve"> had been breached</w:t>
      </w:r>
      <w:r w:rsidR="00F71A6A" w:rsidRPr="006B02D7">
        <w:rPr>
          <w:lang w:val="en-GB"/>
        </w:rPr>
        <w:t xml:space="preserve">. </w:t>
      </w:r>
      <w:r w:rsidRPr="006B02D7">
        <w:rPr>
          <w:noProof/>
          <w:lang w:val="en-GB"/>
        </w:rPr>
        <w:t>He</w:t>
      </w:r>
      <w:r w:rsidR="00F71A6A" w:rsidRPr="006B02D7">
        <w:rPr>
          <w:lang w:val="en-GB"/>
        </w:rPr>
        <w:t xml:space="preserve"> relied on Article</w:t>
      </w:r>
      <w:r w:rsidR="00292EC4" w:rsidRPr="006B02D7">
        <w:rPr>
          <w:lang w:val="en-GB"/>
        </w:rPr>
        <w:t>s 6 </w:t>
      </w:r>
      <w:r w:rsidR="00292EC4" w:rsidRPr="006B02D7">
        <w:rPr>
          <w:rStyle w:val="sb8d990e2"/>
          <w:rFonts w:cstheme="minorHAnsi"/>
          <w:lang w:val="en-GB"/>
        </w:rPr>
        <w:t>§</w:t>
      </w:r>
      <w:r w:rsidR="00292EC4" w:rsidRPr="006B02D7">
        <w:rPr>
          <w:rStyle w:val="sb8d990e2"/>
          <w:lang w:val="en-GB"/>
        </w:rPr>
        <w:t> 1 and 8 of the Convention</w:t>
      </w:r>
      <w:r w:rsidR="00F71A6A" w:rsidRPr="006B02D7">
        <w:rPr>
          <w:lang w:val="en-GB"/>
        </w:rPr>
        <w:t>.</w:t>
      </w:r>
      <w:r w:rsidR="00292EC4" w:rsidRPr="006B02D7">
        <w:rPr>
          <w:lang w:val="en-GB"/>
        </w:rPr>
        <w:t xml:space="preserve"> These complaints were communicated to the respondent Government</w:t>
      </w:r>
      <w:r w:rsidR="00AB14A0" w:rsidRPr="006B02D7">
        <w:rPr>
          <w:lang w:val="en-GB"/>
        </w:rPr>
        <w:t xml:space="preserve"> only</w:t>
      </w:r>
      <w:r w:rsidR="00292EC4" w:rsidRPr="006B02D7">
        <w:rPr>
          <w:lang w:val="en-GB"/>
        </w:rPr>
        <w:t xml:space="preserve"> </w:t>
      </w:r>
      <w:r w:rsidR="00AB14A0" w:rsidRPr="006B02D7">
        <w:rPr>
          <w:lang w:val="en-GB"/>
        </w:rPr>
        <w:t>under Article 8 of the Convention.</w:t>
      </w:r>
    </w:p>
    <w:p w:rsidR="00AB14A0" w:rsidRPr="006B02D7" w:rsidRDefault="00FA09DC" w:rsidP="00AB14A0">
      <w:pPr>
        <w:pStyle w:val="ECHRPara"/>
        <w:rPr>
          <w:lang w:val="en-GB"/>
        </w:rPr>
      </w:pPr>
      <w:r w:rsidRPr="006B02D7">
        <w:rPr>
          <w:lang w:val="en-GB"/>
        </w:rPr>
        <w:fldChar w:fldCharType="begin"/>
      </w:r>
      <w:r w:rsidRPr="006B02D7">
        <w:rPr>
          <w:lang w:val="en-GB"/>
        </w:rPr>
        <w:instrText xml:space="preserve"> SEQ level0 \*arabic </w:instrText>
      </w:r>
      <w:r w:rsidRPr="006B02D7">
        <w:rPr>
          <w:lang w:val="en-GB"/>
        </w:rPr>
        <w:fldChar w:fldCharType="separate"/>
      </w:r>
      <w:r w:rsidR="009675D9">
        <w:rPr>
          <w:noProof/>
          <w:lang w:val="en-GB"/>
        </w:rPr>
        <w:t>83</w:t>
      </w:r>
      <w:r w:rsidRPr="006B02D7">
        <w:rPr>
          <w:lang w:val="en-GB"/>
        </w:rPr>
        <w:fldChar w:fldCharType="end"/>
      </w:r>
      <w:r w:rsidR="00F71A6A" w:rsidRPr="006B02D7">
        <w:rPr>
          <w:lang w:val="en-GB"/>
        </w:rPr>
        <w:t xml:space="preserve">.  The Court notes that </w:t>
      </w:r>
      <w:r w:rsidR="00AB14A0" w:rsidRPr="006B02D7">
        <w:rPr>
          <w:lang w:val="en-GB"/>
        </w:rPr>
        <w:t xml:space="preserve">domestic proceedings with </w:t>
      </w:r>
      <w:r w:rsidR="00F679D8" w:rsidRPr="006B02D7">
        <w:rPr>
          <w:lang w:val="en-GB"/>
        </w:rPr>
        <w:t xml:space="preserve">a </w:t>
      </w:r>
      <w:r w:rsidR="00AB14A0" w:rsidRPr="006B02D7">
        <w:rPr>
          <w:lang w:val="en-GB"/>
        </w:rPr>
        <w:t>potentially decisive meaning for the applicant</w:t>
      </w:r>
      <w:r w:rsidR="00961B49">
        <w:rPr>
          <w:lang w:val="en-GB"/>
        </w:rPr>
        <w:t>’</w:t>
      </w:r>
      <w:r w:rsidR="00AB14A0" w:rsidRPr="006B02D7">
        <w:rPr>
          <w:lang w:val="en-GB"/>
        </w:rPr>
        <w:t>s complaints are currently pending before the Riga City Zemgale District Court (see paragraph 52 above).</w:t>
      </w:r>
    </w:p>
    <w:p w:rsidR="0028770C" w:rsidRPr="006B02D7" w:rsidRDefault="0028770C" w:rsidP="0028770C">
      <w:pPr>
        <w:pStyle w:val="ECHRPara"/>
        <w:rPr>
          <w:rStyle w:val="sb8d990e2"/>
          <w:lang w:val="en-GB"/>
        </w:rPr>
      </w:pPr>
      <w:r w:rsidRPr="006B02D7">
        <w:rPr>
          <w:lang w:val="en-GB"/>
        </w:rPr>
        <w:fldChar w:fldCharType="begin"/>
      </w:r>
      <w:r w:rsidRPr="006B02D7">
        <w:rPr>
          <w:lang w:val="en-GB"/>
        </w:rPr>
        <w:instrText xml:space="preserve"> SEQ level0 \*arabic </w:instrText>
      </w:r>
      <w:r w:rsidRPr="006B02D7">
        <w:rPr>
          <w:lang w:val="en-GB"/>
        </w:rPr>
        <w:fldChar w:fldCharType="separate"/>
      </w:r>
      <w:r w:rsidR="009675D9">
        <w:rPr>
          <w:noProof/>
          <w:lang w:val="en-GB"/>
        </w:rPr>
        <w:t>84</w:t>
      </w:r>
      <w:r w:rsidRPr="006B02D7">
        <w:rPr>
          <w:lang w:val="en-GB"/>
        </w:rPr>
        <w:fldChar w:fldCharType="end"/>
      </w:r>
      <w:r w:rsidRPr="006B02D7">
        <w:rPr>
          <w:lang w:val="en-GB"/>
        </w:rPr>
        <w:t>.  </w:t>
      </w:r>
      <w:r w:rsidRPr="006B02D7">
        <w:rPr>
          <w:rStyle w:val="sb8d990e2"/>
          <w:lang w:val="en-GB"/>
        </w:rPr>
        <w:t xml:space="preserve">The Court reiterates that the purpose of Article 35 § 1 of the Convention is to afford Contracting States the opportunity to prevent or put right the violations alleged against them before those allegations are submitted to the Court. Consequently, States are dispensed from answering for their acts before an international body before they have had the opportunity to put matters right through their own legal systems (see, for example, </w:t>
      </w:r>
      <w:r w:rsidRPr="006B02D7">
        <w:rPr>
          <w:i/>
          <w:lang w:val="en-GB"/>
        </w:rPr>
        <w:t>Remli v. France</w:t>
      </w:r>
      <w:r w:rsidRPr="006B02D7">
        <w:rPr>
          <w:lang w:val="en-GB"/>
        </w:rPr>
        <w:t xml:space="preserve">, 23 April 1996, § 33, </w:t>
      </w:r>
      <w:r w:rsidRPr="006B02D7">
        <w:rPr>
          <w:i/>
          <w:lang w:val="en-GB"/>
        </w:rPr>
        <w:t>Reports of Judgments and Decisions</w:t>
      </w:r>
      <w:r w:rsidRPr="006B02D7">
        <w:rPr>
          <w:lang w:val="en-GB"/>
        </w:rPr>
        <w:t xml:space="preserve"> 1996</w:t>
      </w:r>
      <w:r w:rsidRPr="006B02D7">
        <w:rPr>
          <w:lang w:val="en-GB"/>
        </w:rPr>
        <w:noBreakHyphen/>
        <w:t xml:space="preserve">II, </w:t>
      </w:r>
      <w:r w:rsidRPr="006B02D7">
        <w:rPr>
          <w:i/>
          <w:lang w:val="it-IT"/>
        </w:rPr>
        <w:t xml:space="preserve">Selmouni v. France </w:t>
      </w:r>
      <w:r w:rsidRPr="006B02D7">
        <w:rPr>
          <w:lang w:val="it-IT"/>
        </w:rPr>
        <w:t>[GC], no. 25803/94, § 74, ECHR 1999</w:t>
      </w:r>
      <w:r w:rsidRPr="006B02D7">
        <w:rPr>
          <w:lang w:val="it-IT"/>
        </w:rPr>
        <w:noBreakHyphen/>
        <w:t>V)</w:t>
      </w:r>
      <w:r w:rsidRPr="006B02D7">
        <w:rPr>
          <w:rStyle w:val="sb8d990e2"/>
          <w:lang w:val="en-GB"/>
        </w:rPr>
        <w:t>.</w:t>
      </w:r>
    </w:p>
    <w:p w:rsidR="00F71A6A" w:rsidRPr="006B02D7" w:rsidRDefault="0028770C" w:rsidP="00D9522A">
      <w:pPr>
        <w:pStyle w:val="ECHRPara"/>
        <w:rPr>
          <w:lang w:val="en-US"/>
        </w:rPr>
      </w:pPr>
      <w:r w:rsidRPr="006B02D7">
        <w:rPr>
          <w:rStyle w:val="sb8d990e2"/>
          <w:lang w:val="en-GB"/>
        </w:rPr>
        <w:fldChar w:fldCharType="begin"/>
      </w:r>
      <w:r w:rsidRPr="006B02D7">
        <w:rPr>
          <w:rStyle w:val="sb8d990e2"/>
          <w:lang w:val="en-GB"/>
        </w:rPr>
        <w:instrText xml:space="preserve"> SEQ level0 \*arabic </w:instrText>
      </w:r>
      <w:r w:rsidRPr="006B02D7">
        <w:rPr>
          <w:rStyle w:val="sb8d990e2"/>
          <w:lang w:val="en-GB"/>
        </w:rPr>
        <w:fldChar w:fldCharType="separate"/>
      </w:r>
      <w:r w:rsidR="009675D9">
        <w:rPr>
          <w:rStyle w:val="sb8d990e2"/>
          <w:noProof/>
          <w:lang w:val="en-GB"/>
        </w:rPr>
        <w:t>85</w:t>
      </w:r>
      <w:r w:rsidRPr="006B02D7">
        <w:rPr>
          <w:rStyle w:val="sb8d990e2"/>
          <w:lang w:val="en-GB"/>
        </w:rPr>
        <w:fldChar w:fldCharType="end"/>
      </w:r>
      <w:r w:rsidRPr="006B02D7">
        <w:rPr>
          <w:rStyle w:val="sb8d990e2"/>
          <w:lang w:val="en-GB"/>
        </w:rPr>
        <w:t>.  </w:t>
      </w:r>
      <w:r w:rsidR="00F679D8" w:rsidRPr="006B02D7">
        <w:rPr>
          <w:rStyle w:val="sb8d990e2"/>
          <w:lang w:val="en-GB"/>
        </w:rPr>
        <w:t>Given</w:t>
      </w:r>
      <w:r w:rsidR="00D9522A" w:rsidRPr="006B02D7">
        <w:rPr>
          <w:rStyle w:val="sb8d990e2"/>
          <w:lang w:val="en-GB"/>
        </w:rPr>
        <w:t xml:space="preserve"> that the reopened domestic proceedings concern the complaints that were communicated to the respondent Government under Article 8 of the Convention</w:t>
      </w:r>
      <w:r w:rsidR="002465E8" w:rsidRPr="006B02D7">
        <w:rPr>
          <w:rStyle w:val="sb8d990e2"/>
          <w:lang w:val="en-GB"/>
        </w:rPr>
        <w:t xml:space="preserve"> and taking into account the principle of subsidiarity enshrined in the Convention (see </w:t>
      </w:r>
      <w:r w:rsidR="002465E8" w:rsidRPr="006B02D7">
        <w:rPr>
          <w:rStyle w:val="sb8d990e2"/>
          <w:i/>
          <w:lang w:val="en-GB"/>
        </w:rPr>
        <w:t>Nadolska and Lopez Nadolska v. Poland</w:t>
      </w:r>
      <w:r w:rsidR="002465E8" w:rsidRPr="006B02D7">
        <w:rPr>
          <w:rStyle w:val="sb8d990e2"/>
          <w:lang w:val="en-GB"/>
        </w:rPr>
        <w:t xml:space="preserve"> (dec.), no. </w:t>
      </w:r>
      <w:r w:rsidR="002465E8" w:rsidRPr="006B02D7">
        <w:rPr>
          <w:lang w:val="en-US"/>
        </w:rPr>
        <w:t>78296/11</w:t>
      </w:r>
      <w:r w:rsidR="002465E8" w:rsidRPr="006B02D7">
        <w:rPr>
          <w:rStyle w:val="sb8d990e2"/>
          <w:lang w:val="en-GB"/>
        </w:rPr>
        <w:t xml:space="preserve">, </w:t>
      </w:r>
      <w:r w:rsidR="002465E8" w:rsidRPr="006B02D7">
        <w:rPr>
          <w:lang w:val="en-US"/>
        </w:rPr>
        <w:t xml:space="preserve">§§ 108-110, </w:t>
      </w:r>
      <w:r w:rsidR="002465E8" w:rsidRPr="006B02D7">
        <w:rPr>
          <w:rStyle w:val="sb8d990e2"/>
          <w:lang w:val="en-GB"/>
        </w:rPr>
        <w:t>15 October 2013)</w:t>
      </w:r>
      <w:r w:rsidR="00D9522A" w:rsidRPr="006B02D7">
        <w:rPr>
          <w:rStyle w:val="sb8d990e2"/>
          <w:lang w:val="en-GB"/>
        </w:rPr>
        <w:t>, this part of the application is premature and</w:t>
      </w:r>
      <w:r w:rsidR="00087BA0" w:rsidRPr="006B02D7">
        <w:rPr>
          <w:lang w:val="en-US"/>
        </w:rPr>
        <w:t xml:space="preserve"> must be rejected under Article</w:t>
      </w:r>
      <w:r w:rsidR="002465E8" w:rsidRPr="006B02D7">
        <w:rPr>
          <w:lang w:val="en-US"/>
        </w:rPr>
        <w:t> </w:t>
      </w:r>
      <w:r w:rsidR="00087BA0" w:rsidRPr="006B02D7">
        <w:rPr>
          <w:lang w:val="en-US"/>
        </w:rPr>
        <w:t>35</w:t>
      </w:r>
      <w:r w:rsidR="002465E8" w:rsidRPr="006B02D7">
        <w:rPr>
          <w:lang w:val="en-US"/>
        </w:rPr>
        <w:t> </w:t>
      </w:r>
      <w:r w:rsidR="00087BA0" w:rsidRPr="006B02D7">
        <w:rPr>
          <w:lang w:val="en-US"/>
        </w:rPr>
        <w:t>§§</w:t>
      </w:r>
      <w:r w:rsidR="002465E8" w:rsidRPr="006B02D7">
        <w:rPr>
          <w:lang w:val="en-US"/>
        </w:rPr>
        <w:t> </w:t>
      </w:r>
      <w:r w:rsidR="00087BA0" w:rsidRPr="006B02D7">
        <w:rPr>
          <w:lang w:val="en-US"/>
        </w:rPr>
        <w:t>1 and 4 of the Convention for non-exhaustion of domestic remedies.</w:t>
      </w:r>
    </w:p>
    <w:p w:rsidR="00F71A6A" w:rsidRPr="006B02D7" w:rsidRDefault="00E352AA">
      <w:pPr>
        <w:pStyle w:val="ECHRHeading1"/>
        <w:rPr>
          <w:lang w:val="en-GB"/>
        </w:rPr>
      </w:pPr>
      <w:r w:rsidRPr="006B02D7">
        <w:rPr>
          <w:lang w:val="en-GB"/>
        </w:rPr>
        <w:t>IV</w:t>
      </w:r>
      <w:r w:rsidR="00F71A6A" w:rsidRPr="006B02D7">
        <w:rPr>
          <w:lang w:val="en-GB"/>
        </w:rPr>
        <w:t>.  APPLICATION OF ARTICLE 41 OF THE CONVENTION</w:t>
      </w:r>
    </w:p>
    <w:p w:rsidR="00F71A6A" w:rsidRPr="006B02D7" w:rsidRDefault="00FA09DC" w:rsidP="002F4BCF">
      <w:pPr>
        <w:pStyle w:val="ECHRPara"/>
        <w:keepNext/>
        <w:keepLines/>
        <w:rPr>
          <w:lang w:val="en-GB"/>
        </w:rPr>
      </w:pPr>
      <w:r w:rsidRPr="006B02D7">
        <w:rPr>
          <w:lang w:val="en-GB"/>
        </w:rPr>
        <w:fldChar w:fldCharType="begin"/>
      </w:r>
      <w:r w:rsidRPr="006B02D7">
        <w:rPr>
          <w:lang w:val="en-GB"/>
        </w:rPr>
        <w:instrText xml:space="preserve"> SEQ level0 \*arabic </w:instrText>
      </w:r>
      <w:r w:rsidRPr="006B02D7">
        <w:rPr>
          <w:lang w:val="en-GB"/>
        </w:rPr>
        <w:fldChar w:fldCharType="separate"/>
      </w:r>
      <w:r w:rsidR="009675D9">
        <w:rPr>
          <w:noProof/>
          <w:lang w:val="en-GB"/>
        </w:rPr>
        <w:t>86</w:t>
      </w:r>
      <w:r w:rsidRPr="006B02D7">
        <w:rPr>
          <w:lang w:val="en-GB"/>
        </w:rPr>
        <w:fldChar w:fldCharType="end"/>
      </w:r>
      <w:r w:rsidR="00F71A6A" w:rsidRPr="006B02D7">
        <w:rPr>
          <w:lang w:val="en-GB"/>
        </w:rPr>
        <w:t>.  Article 41 of the Convention provides:</w:t>
      </w:r>
    </w:p>
    <w:p w:rsidR="00F71A6A" w:rsidRPr="006B02D7" w:rsidRDefault="00F71A6A">
      <w:pPr>
        <w:pStyle w:val="ECHRParaQuote"/>
        <w:keepNext/>
        <w:keepLines/>
        <w:rPr>
          <w:lang w:val="en-GB"/>
        </w:rPr>
      </w:pPr>
      <w:r w:rsidRPr="006B02D7">
        <w:rPr>
          <w:lang w:val="en-GB"/>
        </w:rPr>
        <w:t>“If the Court finds that there has been a violation of the Convention or the Protocols thereto, and if the internal law of the High Contracting Party concerned allows only partial reparation to be made, the Court shall, if necessary, afford just satisfaction to the injured party.”</w:t>
      </w:r>
    </w:p>
    <w:p w:rsidR="00F71A6A" w:rsidRPr="006B02D7" w:rsidRDefault="00F71A6A" w:rsidP="007D0F5D">
      <w:pPr>
        <w:pStyle w:val="ECHRHeading2"/>
        <w:rPr>
          <w:lang w:val="en-US"/>
        </w:rPr>
      </w:pPr>
      <w:r w:rsidRPr="006B02D7">
        <w:rPr>
          <w:lang w:val="en-US"/>
        </w:rPr>
        <w:t>A.  Damage</w:t>
      </w:r>
    </w:p>
    <w:p w:rsidR="00F71A6A" w:rsidRPr="006B02D7" w:rsidRDefault="00FA09DC" w:rsidP="002F4BCF">
      <w:pPr>
        <w:pStyle w:val="ECHRPara"/>
        <w:rPr>
          <w:lang w:val="en-GB"/>
        </w:rPr>
      </w:pPr>
      <w:r w:rsidRPr="006B02D7">
        <w:rPr>
          <w:lang w:val="en-GB"/>
        </w:rPr>
        <w:fldChar w:fldCharType="begin"/>
      </w:r>
      <w:r w:rsidRPr="006B02D7">
        <w:rPr>
          <w:lang w:val="en-GB"/>
        </w:rPr>
        <w:instrText xml:space="preserve"> SEQ level0 \*arabic </w:instrText>
      </w:r>
      <w:r w:rsidRPr="006B02D7">
        <w:rPr>
          <w:lang w:val="en-GB"/>
        </w:rPr>
        <w:fldChar w:fldCharType="separate"/>
      </w:r>
      <w:r w:rsidR="009675D9">
        <w:rPr>
          <w:noProof/>
          <w:lang w:val="en-GB"/>
        </w:rPr>
        <w:t>87</w:t>
      </w:r>
      <w:r w:rsidRPr="006B02D7">
        <w:rPr>
          <w:lang w:val="en-GB"/>
        </w:rPr>
        <w:fldChar w:fldCharType="end"/>
      </w:r>
      <w:r w:rsidR="00F71A6A" w:rsidRPr="006B02D7">
        <w:rPr>
          <w:lang w:val="en-GB"/>
        </w:rPr>
        <w:t xml:space="preserve">.  The </w:t>
      </w:r>
      <w:r w:rsidR="0005522C" w:rsidRPr="006B02D7">
        <w:rPr>
          <w:lang w:val="en-GB"/>
        </w:rPr>
        <w:t>applicant</w:t>
      </w:r>
      <w:r w:rsidR="00F71A6A" w:rsidRPr="006B02D7">
        <w:rPr>
          <w:lang w:val="en-GB"/>
        </w:rPr>
        <w:t xml:space="preserve"> claimed </w:t>
      </w:r>
      <w:r w:rsidR="0088462C" w:rsidRPr="006B02D7">
        <w:rPr>
          <w:lang w:val="en-GB"/>
        </w:rPr>
        <w:t>compensation in respect of</w:t>
      </w:r>
      <w:r w:rsidR="00F71A6A" w:rsidRPr="006B02D7">
        <w:rPr>
          <w:lang w:val="en-GB"/>
        </w:rPr>
        <w:t xml:space="preserve"> non-pecuniary damage</w:t>
      </w:r>
      <w:r w:rsidR="0088462C" w:rsidRPr="006B02D7">
        <w:rPr>
          <w:lang w:val="en-GB"/>
        </w:rPr>
        <w:t xml:space="preserve">, arguing that the protracted court proceedings had caused </w:t>
      </w:r>
      <w:r w:rsidR="00527D86" w:rsidRPr="006B02D7">
        <w:rPr>
          <w:lang w:val="en-GB"/>
        </w:rPr>
        <w:t xml:space="preserve">him </w:t>
      </w:r>
      <w:r w:rsidR="0088462C" w:rsidRPr="006B02D7">
        <w:rPr>
          <w:lang w:val="en-GB"/>
        </w:rPr>
        <w:t>constant stress and anxiety</w:t>
      </w:r>
      <w:r w:rsidR="00F71A6A" w:rsidRPr="006B02D7">
        <w:rPr>
          <w:lang w:val="en-GB"/>
        </w:rPr>
        <w:t>.</w:t>
      </w:r>
    </w:p>
    <w:p w:rsidR="00F71A6A" w:rsidRPr="006B02D7" w:rsidRDefault="00FA09DC" w:rsidP="002F4BCF">
      <w:pPr>
        <w:pStyle w:val="ECHRPara"/>
        <w:rPr>
          <w:lang w:val="en-GB"/>
        </w:rPr>
      </w:pPr>
      <w:r w:rsidRPr="006B02D7">
        <w:rPr>
          <w:lang w:val="en-GB"/>
        </w:rPr>
        <w:fldChar w:fldCharType="begin"/>
      </w:r>
      <w:r w:rsidRPr="006B02D7">
        <w:rPr>
          <w:lang w:val="en-GB"/>
        </w:rPr>
        <w:instrText xml:space="preserve"> SEQ level0 \*arabic </w:instrText>
      </w:r>
      <w:r w:rsidRPr="006B02D7">
        <w:rPr>
          <w:lang w:val="en-GB"/>
        </w:rPr>
        <w:fldChar w:fldCharType="separate"/>
      </w:r>
      <w:r w:rsidR="009675D9">
        <w:rPr>
          <w:noProof/>
          <w:lang w:val="en-GB"/>
        </w:rPr>
        <w:t>88</w:t>
      </w:r>
      <w:r w:rsidRPr="006B02D7">
        <w:rPr>
          <w:lang w:val="en-GB"/>
        </w:rPr>
        <w:fldChar w:fldCharType="end"/>
      </w:r>
      <w:r w:rsidR="00F71A6A" w:rsidRPr="006B02D7">
        <w:rPr>
          <w:lang w:val="en-GB"/>
        </w:rPr>
        <w:t xml:space="preserve">.  The Government </w:t>
      </w:r>
      <w:r w:rsidR="0088462C" w:rsidRPr="006B02D7">
        <w:rPr>
          <w:lang w:val="en-GB"/>
        </w:rPr>
        <w:t>considered that the finding of a violation ought to be considered as adequate compensation for any non-pecuniary damage sustained by the applicant.</w:t>
      </w:r>
    </w:p>
    <w:p w:rsidR="00F71A6A" w:rsidRPr="006B02D7" w:rsidRDefault="00FA09DC" w:rsidP="002F4BCF">
      <w:pPr>
        <w:pStyle w:val="ECHRPara"/>
        <w:rPr>
          <w:lang w:val="en-GB"/>
        </w:rPr>
      </w:pPr>
      <w:r w:rsidRPr="006B02D7">
        <w:rPr>
          <w:lang w:val="en-GB"/>
        </w:rPr>
        <w:fldChar w:fldCharType="begin"/>
      </w:r>
      <w:r w:rsidRPr="006B02D7">
        <w:rPr>
          <w:lang w:val="en-GB"/>
        </w:rPr>
        <w:instrText xml:space="preserve"> SEQ level0 \*arabic </w:instrText>
      </w:r>
      <w:r w:rsidRPr="006B02D7">
        <w:rPr>
          <w:lang w:val="en-GB"/>
        </w:rPr>
        <w:fldChar w:fldCharType="separate"/>
      </w:r>
      <w:r w:rsidR="009675D9">
        <w:rPr>
          <w:noProof/>
          <w:lang w:val="en-GB"/>
        </w:rPr>
        <w:t>89</w:t>
      </w:r>
      <w:r w:rsidRPr="006B02D7">
        <w:rPr>
          <w:lang w:val="en-GB"/>
        </w:rPr>
        <w:fldChar w:fldCharType="end"/>
      </w:r>
      <w:r w:rsidR="0088462C" w:rsidRPr="006B02D7">
        <w:rPr>
          <w:lang w:val="en-GB"/>
        </w:rPr>
        <w:t xml:space="preserve">.  The Court, ruling on an equitable basis, </w:t>
      </w:r>
      <w:r w:rsidR="00F71A6A" w:rsidRPr="006B02D7">
        <w:rPr>
          <w:lang w:val="en-GB"/>
        </w:rPr>
        <w:t xml:space="preserve">awards the </w:t>
      </w:r>
      <w:r w:rsidR="0005522C" w:rsidRPr="006B02D7">
        <w:rPr>
          <w:lang w:val="en-GB"/>
        </w:rPr>
        <w:t>applicant</w:t>
      </w:r>
      <w:r w:rsidR="00F71A6A" w:rsidRPr="006B02D7">
        <w:rPr>
          <w:lang w:val="en-GB"/>
        </w:rPr>
        <w:t xml:space="preserve"> </w:t>
      </w:r>
      <w:r w:rsidR="00603422" w:rsidRPr="006B02D7">
        <w:rPr>
          <w:lang w:val="en-GB"/>
        </w:rPr>
        <w:t>1</w:t>
      </w:r>
      <w:r w:rsidR="00456F94" w:rsidRPr="006B02D7">
        <w:rPr>
          <w:lang w:val="en-GB"/>
        </w:rPr>
        <w:t>,</w:t>
      </w:r>
      <w:r w:rsidR="00603422" w:rsidRPr="006B02D7">
        <w:rPr>
          <w:lang w:val="en-GB"/>
        </w:rPr>
        <w:t>000</w:t>
      </w:r>
      <w:r w:rsidR="006E3307">
        <w:rPr>
          <w:lang w:val="en-GB"/>
        </w:rPr>
        <w:t> </w:t>
      </w:r>
      <w:r w:rsidR="00F679D8" w:rsidRPr="006B02D7">
        <w:rPr>
          <w:lang w:val="en-GB"/>
        </w:rPr>
        <w:t xml:space="preserve">euros (EUR) </w:t>
      </w:r>
      <w:r w:rsidR="00F71A6A" w:rsidRPr="006B02D7">
        <w:rPr>
          <w:lang w:val="en-GB"/>
        </w:rPr>
        <w:t>in respect of non-pecuniary damage.</w:t>
      </w:r>
    </w:p>
    <w:p w:rsidR="00F71A6A" w:rsidRPr="006B02D7" w:rsidRDefault="00F71A6A" w:rsidP="007D0F5D">
      <w:pPr>
        <w:pStyle w:val="ECHRHeading2"/>
        <w:rPr>
          <w:lang w:val="en-US"/>
        </w:rPr>
      </w:pPr>
      <w:r w:rsidRPr="006B02D7">
        <w:rPr>
          <w:lang w:val="en-US"/>
        </w:rPr>
        <w:t>B.  Costs and expenses</w:t>
      </w:r>
    </w:p>
    <w:p w:rsidR="00F71A6A" w:rsidRPr="006B02D7" w:rsidRDefault="00FA09DC" w:rsidP="002F4BCF">
      <w:pPr>
        <w:pStyle w:val="ECHRPara"/>
        <w:rPr>
          <w:lang w:val="en-GB"/>
        </w:rPr>
      </w:pPr>
      <w:r w:rsidRPr="006B02D7">
        <w:rPr>
          <w:lang w:val="en-GB"/>
        </w:rPr>
        <w:fldChar w:fldCharType="begin"/>
      </w:r>
      <w:r w:rsidRPr="006B02D7">
        <w:rPr>
          <w:lang w:val="en-GB"/>
        </w:rPr>
        <w:instrText xml:space="preserve"> SEQ level0 \*arabic </w:instrText>
      </w:r>
      <w:r w:rsidRPr="006B02D7">
        <w:rPr>
          <w:lang w:val="en-GB"/>
        </w:rPr>
        <w:fldChar w:fldCharType="separate"/>
      </w:r>
      <w:r w:rsidR="009675D9">
        <w:rPr>
          <w:noProof/>
          <w:lang w:val="en-GB"/>
        </w:rPr>
        <w:t>90</w:t>
      </w:r>
      <w:r w:rsidRPr="006B02D7">
        <w:rPr>
          <w:lang w:val="en-GB"/>
        </w:rPr>
        <w:fldChar w:fldCharType="end"/>
      </w:r>
      <w:r w:rsidR="00F71A6A" w:rsidRPr="006B02D7">
        <w:rPr>
          <w:lang w:val="en-GB"/>
        </w:rPr>
        <w:t xml:space="preserve">.  The </w:t>
      </w:r>
      <w:r w:rsidR="0005522C" w:rsidRPr="006B02D7">
        <w:rPr>
          <w:lang w:val="en-GB"/>
        </w:rPr>
        <w:t>applicant</w:t>
      </w:r>
      <w:r w:rsidR="00F71A6A" w:rsidRPr="006B02D7">
        <w:rPr>
          <w:lang w:val="en-GB"/>
        </w:rPr>
        <w:t xml:space="preserve"> also claimed </w:t>
      </w:r>
      <w:r w:rsidR="00D84849" w:rsidRPr="006B02D7">
        <w:rPr>
          <w:lang w:val="en-GB"/>
        </w:rPr>
        <w:t>LVL </w:t>
      </w:r>
      <w:r w:rsidR="00730EC4" w:rsidRPr="006B02D7">
        <w:rPr>
          <w:lang w:val="en-GB"/>
        </w:rPr>
        <w:t xml:space="preserve">55,259.82 (approximately </w:t>
      </w:r>
      <w:r w:rsidR="00F71A6A" w:rsidRPr="006B02D7">
        <w:rPr>
          <w:lang w:val="en-GB"/>
        </w:rPr>
        <w:t>EUR</w:t>
      </w:r>
      <w:r w:rsidR="00730EC4" w:rsidRPr="006B02D7">
        <w:rPr>
          <w:lang w:val="en-GB"/>
        </w:rPr>
        <w:t> 78,627)</w:t>
      </w:r>
      <w:r w:rsidR="00F71A6A" w:rsidRPr="006B02D7">
        <w:rPr>
          <w:lang w:val="en-GB"/>
        </w:rPr>
        <w:t xml:space="preserve"> for the costs and expenses incurred before the domestic courts and the Court.</w:t>
      </w:r>
    </w:p>
    <w:p w:rsidR="00F71A6A" w:rsidRPr="006B02D7" w:rsidRDefault="00FA09DC" w:rsidP="002F4BCF">
      <w:pPr>
        <w:pStyle w:val="ECHRPara"/>
        <w:rPr>
          <w:i/>
          <w:lang w:val="en-GB"/>
        </w:rPr>
      </w:pPr>
      <w:r w:rsidRPr="006B02D7">
        <w:rPr>
          <w:lang w:val="en-GB"/>
        </w:rPr>
        <w:fldChar w:fldCharType="begin"/>
      </w:r>
      <w:r w:rsidRPr="006B02D7">
        <w:rPr>
          <w:lang w:val="en-GB"/>
        </w:rPr>
        <w:instrText xml:space="preserve"> SEQ level0 \*arabic </w:instrText>
      </w:r>
      <w:r w:rsidRPr="006B02D7">
        <w:rPr>
          <w:lang w:val="en-GB"/>
        </w:rPr>
        <w:fldChar w:fldCharType="separate"/>
      </w:r>
      <w:r w:rsidR="009675D9">
        <w:rPr>
          <w:noProof/>
          <w:lang w:val="en-GB"/>
        </w:rPr>
        <w:t>91</w:t>
      </w:r>
      <w:r w:rsidRPr="006B02D7">
        <w:rPr>
          <w:lang w:val="en-GB"/>
        </w:rPr>
        <w:fldChar w:fldCharType="end"/>
      </w:r>
      <w:r w:rsidR="00E406F2" w:rsidRPr="006B02D7">
        <w:rPr>
          <w:lang w:val="en-GB"/>
        </w:rPr>
        <w:t xml:space="preserve">.  The Government considered the amount claimed by the applicant unfounded and exorbitant. </w:t>
      </w:r>
      <w:r w:rsidR="00ED2187" w:rsidRPr="006B02D7">
        <w:rPr>
          <w:lang w:val="en-GB"/>
        </w:rPr>
        <w:t>They also noted that the claimed costs, in so far as they relate to the domestic proceedings, must be related to the prevention or redress of the violation alleged before the Strasbourg Court (</w:t>
      </w:r>
      <w:r w:rsidR="00ED2187" w:rsidRPr="006B02D7">
        <w:rPr>
          <w:i/>
          <w:lang w:val="en-GB"/>
        </w:rPr>
        <w:t>A, B and C v. Ireland</w:t>
      </w:r>
      <w:r w:rsidR="00ED2187" w:rsidRPr="006B02D7">
        <w:rPr>
          <w:lang w:val="en-GB"/>
        </w:rPr>
        <w:t xml:space="preserve"> [GC], no. 25579/05, § 281, ECHR 2010)</w:t>
      </w:r>
    </w:p>
    <w:p w:rsidR="00F71A6A" w:rsidRPr="006B02D7" w:rsidRDefault="00FA09DC" w:rsidP="002F4BCF">
      <w:pPr>
        <w:pStyle w:val="ECHRPara"/>
        <w:rPr>
          <w:lang w:val="en-GB"/>
        </w:rPr>
      </w:pPr>
      <w:r w:rsidRPr="006B02D7">
        <w:rPr>
          <w:lang w:val="en-GB"/>
        </w:rPr>
        <w:fldChar w:fldCharType="begin"/>
      </w:r>
      <w:r w:rsidRPr="006B02D7">
        <w:rPr>
          <w:lang w:val="en-GB"/>
        </w:rPr>
        <w:instrText xml:space="preserve"> SEQ level0 \*arabic </w:instrText>
      </w:r>
      <w:r w:rsidRPr="006B02D7">
        <w:rPr>
          <w:lang w:val="en-GB"/>
        </w:rPr>
        <w:fldChar w:fldCharType="separate"/>
      </w:r>
      <w:r w:rsidR="009675D9">
        <w:rPr>
          <w:noProof/>
          <w:lang w:val="en-GB"/>
        </w:rPr>
        <w:t>92</w:t>
      </w:r>
      <w:r w:rsidRPr="006B02D7">
        <w:rPr>
          <w:lang w:val="en-GB"/>
        </w:rPr>
        <w:fldChar w:fldCharType="end"/>
      </w:r>
      <w:r w:rsidR="00F71A6A" w:rsidRPr="006B02D7">
        <w:rPr>
          <w:lang w:val="en-GB"/>
        </w:rPr>
        <w:t>.  </w:t>
      </w:r>
      <w:r w:rsidRPr="006B02D7">
        <w:rPr>
          <w:noProof/>
          <w:lang w:val="en-GB"/>
        </w:rPr>
        <w:t>According to the Court</w:t>
      </w:r>
      <w:r w:rsidR="00961B49">
        <w:rPr>
          <w:noProof/>
          <w:lang w:val="en-GB"/>
        </w:rPr>
        <w:t>’</w:t>
      </w:r>
      <w:r w:rsidRPr="006B02D7">
        <w:rPr>
          <w:noProof/>
          <w:lang w:val="en-GB"/>
        </w:rPr>
        <w:t>s case-law, an applicant is entitled to the reimbursement of costs and expenses only in so far as it has been shown that these have been actually and necessarily incurred and are reasonable as to quantum. In the present case, regard</w:t>
      </w:r>
      <w:r w:rsidR="00F73D18" w:rsidRPr="006B02D7">
        <w:rPr>
          <w:lang w:val="en-GB"/>
        </w:rPr>
        <w:t xml:space="preserve"> </w:t>
      </w:r>
      <w:r w:rsidR="005F7A10" w:rsidRPr="006B02D7">
        <w:rPr>
          <w:lang w:val="en-GB"/>
        </w:rPr>
        <w:t xml:space="preserve">being had to the documents in its possession and </w:t>
      </w:r>
      <w:r w:rsidRPr="006B02D7">
        <w:rPr>
          <w:noProof/>
          <w:lang w:val="en-GB"/>
        </w:rPr>
        <w:t>the above criteria</w:t>
      </w:r>
      <w:r w:rsidR="00F73D18" w:rsidRPr="006B02D7">
        <w:rPr>
          <w:lang w:val="en-GB"/>
        </w:rPr>
        <w:t xml:space="preserve">, </w:t>
      </w:r>
      <w:r w:rsidR="00F71A6A" w:rsidRPr="006B02D7">
        <w:rPr>
          <w:lang w:val="en-GB"/>
        </w:rPr>
        <w:t>the Court considers it reasonable to award the sum of EUR</w:t>
      </w:r>
      <w:r w:rsidR="00181A0C" w:rsidRPr="006B02D7">
        <w:rPr>
          <w:lang w:val="en-GB"/>
        </w:rPr>
        <w:t> 2,000</w:t>
      </w:r>
      <w:r w:rsidR="002128F7" w:rsidRPr="006B02D7">
        <w:rPr>
          <w:lang w:val="en-GB"/>
        </w:rPr>
        <w:t>,</w:t>
      </w:r>
      <w:r w:rsidR="00F71A6A" w:rsidRPr="006B02D7">
        <w:rPr>
          <w:lang w:val="en-GB"/>
        </w:rPr>
        <w:t xml:space="preserve"> covering costs </w:t>
      </w:r>
      <w:r w:rsidR="00181A0C" w:rsidRPr="006B02D7">
        <w:rPr>
          <w:lang w:val="en-GB"/>
        </w:rPr>
        <w:t xml:space="preserve">and expenses </w:t>
      </w:r>
      <w:r w:rsidR="00F71A6A" w:rsidRPr="006B02D7">
        <w:rPr>
          <w:lang w:val="en-GB"/>
        </w:rPr>
        <w:t>under all heads.</w:t>
      </w:r>
    </w:p>
    <w:p w:rsidR="00F71A6A" w:rsidRPr="006B02D7" w:rsidRDefault="00F71A6A" w:rsidP="007D0F5D">
      <w:pPr>
        <w:pStyle w:val="ECHRHeading2"/>
        <w:rPr>
          <w:lang w:val="en-US"/>
        </w:rPr>
      </w:pPr>
      <w:r w:rsidRPr="006B02D7">
        <w:rPr>
          <w:lang w:val="en-US"/>
        </w:rPr>
        <w:t>C.  Default interest</w:t>
      </w:r>
    </w:p>
    <w:p w:rsidR="00F71A6A" w:rsidRPr="006B02D7" w:rsidRDefault="00FA09DC" w:rsidP="00151CCA">
      <w:pPr>
        <w:pStyle w:val="ECHRPara"/>
        <w:rPr>
          <w:lang w:val="en-GB"/>
        </w:rPr>
      </w:pPr>
      <w:r w:rsidRPr="006B02D7">
        <w:rPr>
          <w:lang w:val="en-GB"/>
        </w:rPr>
        <w:fldChar w:fldCharType="begin"/>
      </w:r>
      <w:r w:rsidRPr="006B02D7">
        <w:rPr>
          <w:lang w:val="en-GB"/>
        </w:rPr>
        <w:instrText xml:space="preserve"> SEQ level0 \*arabic </w:instrText>
      </w:r>
      <w:r w:rsidRPr="006B02D7">
        <w:rPr>
          <w:lang w:val="en-GB"/>
        </w:rPr>
        <w:fldChar w:fldCharType="separate"/>
      </w:r>
      <w:r w:rsidR="009675D9">
        <w:rPr>
          <w:noProof/>
          <w:lang w:val="en-GB"/>
        </w:rPr>
        <w:t>93</w:t>
      </w:r>
      <w:r w:rsidRPr="006B02D7">
        <w:rPr>
          <w:lang w:val="en-GB"/>
        </w:rPr>
        <w:fldChar w:fldCharType="end"/>
      </w:r>
      <w:r w:rsidR="00F71A6A" w:rsidRPr="006B02D7">
        <w:rPr>
          <w:lang w:val="en-GB"/>
        </w:rPr>
        <w:t xml:space="preserve">.  The Court considers it appropriate that the default interest </w:t>
      </w:r>
      <w:r w:rsidR="0034580F" w:rsidRPr="006B02D7">
        <w:rPr>
          <w:lang w:val="en-GB"/>
        </w:rPr>
        <w:t xml:space="preserve">rate </w:t>
      </w:r>
      <w:r w:rsidR="00F71A6A" w:rsidRPr="006B02D7">
        <w:rPr>
          <w:lang w:val="en-GB"/>
        </w:rPr>
        <w:t>should be based on the marginal lending rate of the European Central Bank, to which should be added three percentage points.</w:t>
      </w:r>
    </w:p>
    <w:p w:rsidR="00F71A6A" w:rsidRPr="006B02D7" w:rsidRDefault="00F71A6A" w:rsidP="008824B9">
      <w:pPr>
        <w:pStyle w:val="ECHRTitle1"/>
        <w:rPr>
          <w:lang w:val="en-GB"/>
        </w:rPr>
      </w:pPr>
      <w:r w:rsidRPr="006B02D7">
        <w:rPr>
          <w:lang w:val="en-GB"/>
        </w:rPr>
        <w:t>FOR THESE REASONS, THE COURT</w:t>
      </w:r>
      <w:r w:rsidR="00FA09DC" w:rsidRPr="006B02D7">
        <w:rPr>
          <w:noProof/>
          <w:lang w:val="en-GB"/>
        </w:rPr>
        <w:t>,</w:t>
      </w:r>
      <w:r w:rsidR="00EA4052" w:rsidRPr="006B02D7">
        <w:rPr>
          <w:noProof/>
          <w:lang w:val="en-GB"/>
        </w:rPr>
        <w:t xml:space="preserve"> </w:t>
      </w:r>
      <w:r w:rsidR="00FA09DC" w:rsidRPr="006B02D7">
        <w:rPr>
          <w:noProof/>
          <w:lang w:val="en-GB"/>
        </w:rPr>
        <w:t>UNANIMOUSLY,</w:t>
      </w:r>
    </w:p>
    <w:p w:rsidR="00F71A6A" w:rsidRPr="006B02D7" w:rsidRDefault="00181A0C">
      <w:pPr>
        <w:pStyle w:val="JuList"/>
        <w:rPr>
          <w:lang w:val="en-GB"/>
        </w:rPr>
      </w:pPr>
      <w:r w:rsidRPr="006B02D7">
        <w:rPr>
          <w:lang w:val="en-GB"/>
        </w:rPr>
        <w:t>1</w:t>
      </w:r>
      <w:r w:rsidR="009F07CC" w:rsidRPr="006B02D7">
        <w:rPr>
          <w:lang w:val="en-GB"/>
        </w:rPr>
        <w:t>.  </w:t>
      </w:r>
      <w:r w:rsidR="00F71A6A" w:rsidRPr="006B02D7">
        <w:rPr>
          <w:i/>
          <w:lang w:val="en-GB"/>
        </w:rPr>
        <w:t>Declares</w:t>
      </w:r>
      <w:r w:rsidR="00FA09DC" w:rsidRPr="006B02D7">
        <w:rPr>
          <w:noProof/>
          <w:lang w:val="en-GB"/>
        </w:rPr>
        <w:t xml:space="preserve"> </w:t>
      </w:r>
      <w:r w:rsidR="00F71A6A" w:rsidRPr="006B02D7">
        <w:rPr>
          <w:lang w:val="en-GB"/>
        </w:rPr>
        <w:t xml:space="preserve">the complaint concerning </w:t>
      </w:r>
      <w:r w:rsidRPr="006B02D7">
        <w:rPr>
          <w:lang w:val="en-GB"/>
        </w:rPr>
        <w:t>the length of proceedings</w:t>
      </w:r>
      <w:r w:rsidR="00F71A6A" w:rsidRPr="006B02D7">
        <w:rPr>
          <w:lang w:val="en-GB"/>
        </w:rPr>
        <w:t xml:space="preserve"> admissible and the remainder of the </w:t>
      </w:r>
      <w:r w:rsidR="00FA09DC" w:rsidRPr="006B02D7">
        <w:rPr>
          <w:noProof/>
          <w:lang w:val="en-GB"/>
        </w:rPr>
        <w:t>application</w:t>
      </w:r>
      <w:r w:rsidR="0011665B" w:rsidRPr="006B02D7">
        <w:rPr>
          <w:lang w:val="en-GB"/>
        </w:rPr>
        <w:t xml:space="preserve"> inadmissible;</w:t>
      </w:r>
    </w:p>
    <w:p w:rsidR="00F71A6A" w:rsidRPr="006B02D7" w:rsidRDefault="00F71A6A">
      <w:pPr>
        <w:pStyle w:val="JuList"/>
        <w:rPr>
          <w:lang w:val="en-GB"/>
        </w:rPr>
      </w:pPr>
    </w:p>
    <w:p w:rsidR="009F07CC" w:rsidRPr="006B02D7" w:rsidRDefault="00181A0C" w:rsidP="009F07CC">
      <w:pPr>
        <w:pStyle w:val="JuList"/>
        <w:rPr>
          <w:lang w:val="en-GB"/>
        </w:rPr>
      </w:pPr>
      <w:r w:rsidRPr="006B02D7">
        <w:rPr>
          <w:lang w:val="en-GB"/>
        </w:rPr>
        <w:t>2</w:t>
      </w:r>
      <w:r w:rsidR="009F07CC" w:rsidRPr="006B02D7">
        <w:rPr>
          <w:lang w:val="en-GB"/>
        </w:rPr>
        <w:t>.</w:t>
      </w:r>
      <w:r w:rsidR="00F71A6A" w:rsidRPr="006B02D7">
        <w:rPr>
          <w:lang w:val="en-GB"/>
        </w:rPr>
        <w:t>  </w:t>
      </w:r>
      <w:r w:rsidR="00F71A6A" w:rsidRPr="006B02D7">
        <w:rPr>
          <w:i/>
          <w:lang w:val="en-GB"/>
        </w:rPr>
        <w:t>Holds</w:t>
      </w:r>
      <w:r w:rsidR="00FA09DC" w:rsidRPr="006B02D7">
        <w:rPr>
          <w:noProof/>
          <w:lang w:val="en-GB"/>
        </w:rPr>
        <w:t xml:space="preserve"> </w:t>
      </w:r>
      <w:r w:rsidR="00F71A6A" w:rsidRPr="006B02D7">
        <w:rPr>
          <w:lang w:val="en-GB"/>
        </w:rPr>
        <w:t>that there has been a violation of Article</w:t>
      </w:r>
      <w:r w:rsidRPr="006B02D7">
        <w:rPr>
          <w:lang w:val="en-GB"/>
        </w:rPr>
        <w:t> 6 </w:t>
      </w:r>
      <w:r w:rsidRPr="006B02D7">
        <w:rPr>
          <w:rFonts w:cstheme="minorHAnsi"/>
          <w:lang w:val="en-GB"/>
        </w:rPr>
        <w:t>§</w:t>
      </w:r>
      <w:r w:rsidRPr="006B02D7">
        <w:rPr>
          <w:lang w:val="en-GB"/>
        </w:rPr>
        <w:t> 1</w:t>
      </w:r>
      <w:r w:rsidR="00F71A6A" w:rsidRPr="006B02D7">
        <w:rPr>
          <w:lang w:val="en-GB"/>
        </w:rPr>
        <w:t xml:space="preserve"> of the Convention;</w:t>
      </w:r>
    </w:p>
    <w:p w:rsidR="00F71A6A" w:rsidRPr="006B02D7" w:rsidRDefault="00F71A6A">
      <w:pPr>
        <w:pStyle w:val="JuList"/>
        <w:rPr>
          <w:lang w:val="en-GB"/>
        </w:rPr>
      </w:pPr>
    </w:p>
    <w:p w:rsidR="003104E9" w:rsidRPr="006B02D7" w:rsidRDefault="00181A0C" w:rsidP="00901475">
      <w:pPr>
        <w:pStyle w:val="JuList"/>
        <w:rPr>
          <w:lang w:val="en-GB"/>
        </w:rPr>
      </w:pPr>
      <w:r w:rsidRPr="006B02D7">
        <w:rPr>
          <w:lang w:val="en-GB"/>
        </w:rPr>
        <w:t>3</w:t>
      </w:r>
      <w:r w:rsidR="00F71A6A" w:rsidRPr="006B02D7">
        <w:rPr>
          <w:lang w:val="en-GB"/>
        </w:rPr>
        <w:t>.  </w:t>
      </w:r>
      <w:r w:rsidR="00F71A6A" w:rsidRPr="006B02D7">
        <w:rPr>
          <w:i/>
          <w:lang w:val="en-GB"/>
        </w:rPr>
        <w:t>Holds</w:t>
      </w:r>
    </w:p>
    <w:p w:rsidR="003104E9" w:rsidRPr="006B02D7" w:rsidRDefault="003104E9" w:rsidP="006138EA">
      <w:pPr>
        <w:pStyle w:val="JuLista"/>
        <w:rPr>
          <w:lang w:val="en-GB"/>
        </w:rPr>
      </w:pPr>
      <w:r w:rsidRPr="006B02D7">
        <w:rPr>
          <w:lang w:val="en-GB"/>
        </w:rPr>
        <w:t xml:space="preserve">(a)  that the respondent State is to </w:t>
      </w:r>
      <w:r w:rsidR="00901475" w:rsidRPr="006B02D7">
        <w:rPr>
          <w:lang w:val="en-GB"/>
        </w:rPr>
        <w:t xml:space="preserve">pay </w:t>
      </w:r>
      <w:r w:rsidRPr="006B02D7">
        <w:rPr>
          <w:lang w:val="en-GB"/>
        </w:rPr>
        <w:t xml:space="preserve">the </w:t>
      </w:r>
      <w:r w:rsidR="0005522C" w:rsidRPr="006B02D7">
        <w:rPr>
          <w:lang w:val="en-GB"/>
        </w:rPr>
        <w:t>applicant</w:t>
      </w:r>
      <w:r w:rsidRPr="006B02D7">
        <w:rPr>
          <w:lang w:val="en-GB"/>
        </w:rPr>
        <w:t>, within three months</w:t>
      </w:r>
      <w:r w:rsidR="00FA09DC" w:rsidRPr="006B02D7">
        <w:rPr>
          <w:lang w:val="en-GB"/>
        </w:rPr>
        <w:t xml:space="preserve"> </w:t>
      </w:r>
      <w:r w:rsidR="00FA09DC" w:rsidRPr="006B02D7">
        <w:rPr>
          <w:noProof/>
          <w:lang w:val="en-GB"/>
        </w:rPr>
        <w:t>from the date on which the judgment becomes final in accordance with Article 44 § 2 of the Convention,</w:t>
      </w:r>
      <w:r w:rsidRPr="006B02D7">
        <w:rPr>
          <w:lang w:val="en-GB"/>
        </w:rPr>
        <w:t xml:space="preserve"> the following amounts:</w:t>
      </w:r>
    </w:p>
    <w:p w:rsidR="003104E9" w:rsidRPr="006B02D7" w:rsidRDefault="003104E9" w:rsidP="003104E9">
      <w:pPr>
        <w:pStyle w:val="JuListi"/>
        <w:rPr>
          <w:lang w:val="en-GB"/>
        </w:rPr>
      </w:pPr>
      <w:r w:rsidRPr="006B02D7">
        <w:rPr>
          <w:lang w:val="en-GB"/>
        </w:rPr>
        <w:t xml:space="preserve">(i)  EUR </w:t>
      </w:r>
      <w:r w:rsidR="00456F94" w:rsidRPr="006B02D7">
        <w:rPr>
          <w:lang w:val="en-GB"/>
        </w:rPr>
        <w:t>1,000</w:t>
      </w:r>
      <w:r w:rsidRPr="006B02D7">
        <w:rPr>
          <w:lang w:val="en-GB"/>
        </w:rPr>
        <w:t xml:space="preserve"> (</w:t>
      </w:r>
      <w:r w:rsidR="00456F94" w:rsidRPr="006B02D7">
        <w:rPr>
          <w:lang w:val="en-GB"/>
        </w:rPr>
        <w:t>one thousand</w:t>
      </w:r>
      <w:r w:rsidRPr="006B02D7">
        <w:rPr>
          <w:lang w:val="en-GB"/>
        </w:rPr>
        <w:t xml:space="preserve"> euros), plus any tax that may be chargeable, in respect of non-pecuniary damage;</w:t>
      </w:r>
    </w:p>
    <w:p w:rsidR="003104E9" w:rsidRPr="006B02D7" w:rsidRDefault="003104E9" w:rsidP="003104E9">
      <w:pPr>
        <w:pStyle w:val="JuListi"/>
        <w:rPr>
          <w:lang w:val="en-GB"/>
        </w:rPr>
      </w:pPr>
      <w:r w:rsidRPr="006B02D7">
        <w:rPr>
          <w:lang w:val="en-GB"/>
        </w:rPr>
        <w:t xml:space="preserve">(ii)  EUR </w:t>
      </w:r>
      <w:r w:rsidR="00181A0C" w:rsidRPr="006B02D7">
        <w:rPr>
          <w:lang w:val="en-GB"/>
        </w:rPr>
        <w:t>2,000</w:t>
      </w:r>
      <w:r w:rsidRPr="006B02D7">
        <w:rPr>
          <w:lang w:val="en-GB"/>
        </w:rPr>
        <w:t xml:space="preserve"> (</w:t>
      </w:r>
      <w:r w:rsidR="00181A0C" w:rsidRPr="006B02D7">
        <w:rPr>
          <w:lang w:val="en-GB"/>
        </w:rPr>
        <w:t>two thousand</w:t>
      </w:r>
      <w:r w:rsidRPr="006B02D7">
        <w:rPr>
          <w:lang w:val="en-GB"/>
        </w:rPr>
        <w:t xml:space="preserve"> euros), plus any tax that may be chargeable to the </w:t>
      </w:r>
      <w:r w:rsidR="0005522C" w:rsidRPr="006B02D7">
        <w:rPr>
          <w:lang w:val="en-GB"/>
        </w:rPr>
        <w:t>applicant</w:t>
      </w:r>
      <w:r w:rsidRPr="006B02D7">
        <w:rPr>
          <w:lang w:val="en-GB"/>
        </w:rPr>
        <w:t>, in respect of costs and expenses;</w:t>
      </w:r>
    </w:p>
    <w:p w:rsidR="003104E9" w:rsidRPr="006B02D7" w:rsidRDefault="003104E9">
      <w:pPr>
        <w:pStyle w:val="JuLista"/>
        <w:rPr>
          <w:lang w:val="en-GB"/>
        </w:rPr>
      </w:pPr>
      <w:r w:rsidRPr="006B02D7">
        <w:rPr>
          <w:lang w:val="en-GB"/>
        </w:rPr>
        <w:t>(b)  that from the expiry of the above-mentioned three months until settlement simple interest shall be payable on the above amounts at a rate equal to the marginal lending rate of the European Central Bank during the default period plus three percentage points;</w:t>
      </w:r>
    </w:p>
    <w:p w:rsidR="00F71A6A" w:rsidRPr="006B02D7" w:rsidRDefault="00F71A6A">
      <w:pPr>
        <w:pStyle w:val="JuList"/>
        <w:rPr>
          <w:lang w:val="en-GB"/>
        </w:rPr>
      </w:pPr>
    </w:p>
    <w:p w:rsidR="00F71A6A" w:rsidRPr="006B02D7" w:rsidRDefault="00181A0C" w:rsidP="00401A2F">
      <w:pPr>
        <w:pStyle w:val="JuList"/>
        <w:rPr>
          <w:noProof/>
          <w:lang w:val="en-GB"/>
        </w:rPr>
      </w:pPr>
      <w:r w:rsidRPr="006B02D7">
        <w:rPr>
          <w:lang w:val="en-GB"/>
        </w:rPr>
        <w:t>4</w:t>
      </w:r>
      <w:r w:rsidR="00F71A6A" w:rsidRPr="006B02D7">
        <w:rPr>
          <w:lang w:val="en-GB"/>
        </w:rPr>
        <w:t>.  </w:t>
      </w:r>
      <w:r w:rsidR="00F71A6A" w:rsidRPr="006B02D7">
        <w:rPr>
          <w:i/>
          <w:lang w:val="en-GB"/>
        </w:rPr>
        <w:t>Dismisses</w:t>
      </w:r>
      <w:r w:rsidR="00FA09DC" w:rsidRPr="006B02D7">
        <w:rPr>
          <w:noProof/>
          <w:lang w:val="en-GB"/>
        </w:rPr>
        <w:t xml:space="preserve"> </w:t>
      </w:r>
      <w:r w:rsidR="00F71A6A" w:rsidRPr="006B02D7">
        <w:rPr>
          <w:lang w:val="en-GB"/>
        </w:rPr>
        <w:t xml:space="preserve">the remainder of the </w:t>
      </w:r>
      <w:r w:rsidR="005F4753" w:rsidRPr="006B02D7">
        <w:rPr>
          <w:lang w:val="en-GB"/>
        </w:rPr>
        <w:t>applicant</w:t>
      </w:r>
      <w:r w:rsidR="00961B49">
        <w:rPr>
          <w:noProof/>
          <w:lang w:val="en-GB"/>
        </w:rPr>
        <w:t>’</w:t>
      </w:r>
      <w:r w:rsidR="00FA09DC" w:rsidRPr="006B02D7">
        <w:rPr>
          <w:noProof/>
          <w:lang w:val="en-GB"/>
        </w:rPr>
        <w:t>s</w:t>
      </w:r>
      <w:r w:rsidR="00F71A6A" w:rsidRPr="006B02D7">
        <w:rPr>
          <w:lang w:val="en-GB"/>
        </w:rPr>
        <w:t xml:space="preserve"> claim for just satisfaction.</w:t>
      </w:r>
    </w:p>
    <w:p w:rsidR="00325C2B" w:rsidRPr="006B02D7" w:rsidRDefault="00F71A6A" w:rsidP="00325C2B">
      <w:pPr>
        <w:pStyle w:val="JuParaLast"/>
        <w:rPr>
          <w:lang w:val="en-GB"/>
        </w:rPr>
      </w:pPr>
      <w:r w:rsidRPr="006B02D7">
        <w:rPr>
          <w:lang w:val="en-GB"/>
        </w:rPr>
        <w:t xml:space="preserve">Done in English, and notified in writing on </w:t>
      </w:r>
      <w:r w:rsidR="006B02D7" w:rsidRPr="006B02D7">
        <w:rPr>
          <w:lang w:val="en-GB"/>
        </w:rPr>
        <w:t>28 January 2014</w:t>
      </w:r>
      <w:r w:rsidRPr="006B02D7">
        <w:rPr>
          <w:lang w:val="en-GB"/>
        </w:rPr>
        <w:t>, pursuant to Rule</w:t>
      </w:r>
      <w:r w:rsidR="0011665B" w:rsidRPr="006B02D7">
        <w:rPr>
          <w:lang w:val="en-GB"/>
        </w:rPr>
        <w:t xml:space="preserve"> </w:t>
      </w:r>
      <w:r w:rsidRPr="006B02D7">
        <w:rPr>
          <w:lang w:val="en-GB"/>
        </w:rPr>
        <w:t>77</w:t>
      </w:r>
      <w:r w:rsidR="0011665B" w:rsidRPr="006B02D7">
        <w:rPr>
          <w:lang w:val="en-GB"/>
        </w:rPr>
        <w:t xml:space="preserve"> </w:t>
      </w:r>
      <w:r w:rsidRPr="006B02D7">
        <w:rPr>
          <w:lang w:val="en-GB"/>
        </w:rPr>
        <w:t>§§</w:t>
      </w:r>
      <w:r w:rsidR="0011665B" w:rsidRPr="006B02D7">
        <w:rPr>
          <w:lang w:val="en-GB"/>
        </w:rPr>
        <w:t xml:space="preserve"> </w:t>
      </w:r>
      <w:r w:rsidRPr="006B02D7">
        <w:rPr>
          <w:lang w:val="en-GB"/>
        </w:rPr>
        <w:t>2 and</w:t>
      </w:r>
      <w:r w:rsidR="0011665B" w:rsidRPr="006B02D7">
        <w:rPr>
          <w:lang w:val="en-GB"/>
        </w:rPr>
        <w:t xml:space="preserve"> </w:t>
      </w:r>
      <w:r w:rsidRPr="006B02D7">
        <w:rPr>
          <w:lang w:val="en-GB"/>
        </w:rPr>
        <w:t>3 of the Rules of Court.</w:t>
      </w:r>
    </w:p>
    <w:p w:rsidR="0079187F" w:rsidRPr="00961B49" w:rsidRDefault="00325C2B" w:rsidP="00C01E1C">
      <w:pPr>
        <w:pStyle w:val="JuSigned"/>
        <w:keepNext/>
        <w:keepLines/>
        <w:rPr>
          <w:lang w:val="en-US"/>
        </w:rPr>
      </w:pPr>
      <w:r w:rsidRPr="006B02D7">
        <w:rPr>
          <w:lang w:val="en-GB"/>
        </w:rPr>
        <w:tab/>
      </w:r>
      <w:r w:rsidR="0099545C" w:rsidRPr="0099545C">
        <w:rPr>
          <w:noProof/>
          <w:lang w:val="en-GB"/>
        </w:rPr>
        <w:t>Fatoş Aracı</w:t>
      </w:r>
      <w:r w:rsidR="00A8381C" w:rsidRPr="00961B49">
        <w:rPr>
          <w:lang w:val="en-US"/>
        </w:rPr>
        <w:tab/>
      </w:r>
      <w:r w:rsidR="00181A0C" w:rsidRPr="00961B49">
        <w:rPr>
          <w:noProof/>
          <w:szCs w:val="24"/>
          <w:lang w:val="en-US"/>
        </w:rPr>
        <w:t>P</w:t>
      </w:r>
      <w:r w:rsidR="00181A0C" w:rsidRPr="00961B49">
        <w:rPr>
          <w:rFonts w:cstheme="minorHAnsi"/>
          <w:noProof/>
          <w:szCs w:val="24"/>
          <w:lang w:val="en-US"/>
        </w:rPr>
        <w:t>ä</w:t>
      </w:r>
      <w:r w:rsidR="00181A0C" w:rsidRPr="00961B49">
        <w:rPr>
          <w:noProof/>
          <w:szCs w:val="24"/>
          <w:lang w:val="en-US"/>
        </w:rPr>
        <w:t>ivi Hirvel</w:t>
      </w:r>
      <w:r w:rsidR="00181A0C" w:rsidRPr="00961B49">
        <w:rPr>
          <w:rFonts w:cstheme="minorHAnsi"/>
          <w:noProof/>
          <w:szCs w:val="24"/>
          <w:lang w:val="en-US"/>
        </w:rPr>
        <w:t>ä</w:t>
      </w:r>
      <w:r w:rsidR="00961B49">
        <w:rPr>
          <w:rFonts w:cstheme="minorHAnsi"/>
          <w:noProof/>
          <w:szCs w:val="24"/>
          <w:lang w:val="en-US"/>
        </w:rPr>
        <w:br/>
      </w:r>
      <w:r w:rsidR="00A8381C" w:rsidRPr="00961B49">
        <w:rPr>
          <w:lang w:val="en-US"/>
        </w:rPr>
        <w:tab/>
      </w:r>
      <w:r w:rsidR="0099545C" w:rsidRPr="00961B49">
        <w:rPr>
          <w:lang w:val="en-US"/>
        </w:rPr>
        <w:t xml:space="preserve">Deputy </w:t>
      </w:r>
      <w:r w:rsidR="00FA09DC" w:rsidRPr="00961B49">
        <w:rPr>
          <w:iCs/>
          <w:noProof/>
          <w:lang w:val="en-US"/>
        </w:rPr>
        <w:t>Registrar</w:t>
      </w:r>
      <w:r w:rsidR="00A8381C" w:rsidRPr="00961B49">
        <w:rPr>
          <w:lang w:val="en-US"/>
        </w:rPr>
        <w:tab/>
        <w:t>President</w:t>
      </w:r>
    </w:p>
    <w:sectPr w:rsidR="0079187F" w:rsidRPr="00961B49" w:rsidSect="006B02D7">
      <w:headerReference w:type="even" r:id="rId15"/>
      <w:headerReference w:type="default" r:id="rId16"/>
      <w:footnotePr>
        <w:numRestart w:val="eachPage"/>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896" w:rsidRDefault="00EA0896">
      <w:r>
        <w:separator/>
      </w:r>
    </w:p>
    <w:p w:rsidR="00E77324" w:rsidRDefault="00E77324"/>
  </w:endnote>
  <w:endnote w:type="continuationSeparator" w:id="0">
    <w:p w:rsidR="00EA0896" w:rsidRDefault="00EA0896">
      <w:r>
        <w:continuationSeparator/>
      </w:r>
    </w:p>
    <w:p w:rsidR="00E77324" w:rsidRDefault="00E773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2D7" w:rsidRDefault="006B02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2D7" w:rsidRDefault="006B02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2D7" w:rsidRPr="00150BFA" w:rsidRDefault="006B02D7" w:rsidP="0020718E">
    <w:pPr>
      <w:jc w:val="center"/>
    </w:pPr>
    <w:r>
      <w:rPr>
        <w:noProof/>
        <w:lang w:eastAsia="ja-JP"/>
      </w:rPr>
      <w:drawing>
        <wp:inline distT="0" distB="0" distL="0" distR="0" wp14:anchorId="15299501" wp14:editId="7745F418">
          <wp:extent cx="762002" cy="609601"/>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nal_CS6_COE_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002" cy="609601"/>
                  </a:xfrm>
                  <a:prstGeom prst="rect">
                    <a:avLst/>
                  </a:prstGeom>
                </pic:spPr>
              </pic:pic>
            </a:graphicData>
          </a:graphic>
        </wp:inline>
      </w:drawing>
    </w:r>
  </w:p>
  <w:p w:rsidR="006B02D7" w:rsidRDefault="006B02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896" w:rsidRDefault="00EA0896">
      <w:r>
        <w:separator/>
      </w:r>
    </w:p>
    <w:p w:rsidR="00E77324" w:rsidRDefault="00E77324"/>
  </w:footnote>
  <w:footnote w:type="continuationSeparator" w:id="0">
    <w:p w:rsidR="00EA0896" w:rsidRDefault="00EA0896">
      <w:r>
        <w:continuationSeparator/>
      </w:r>
    </w:p>
    <w:p w:rsidR="00E77324" w:rsidRDefault="00E7732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2D7" w:rsidRDefault="006B02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324" w:rsidRPr="006B02D7" w:rsidRDefault="00E77324" w:rsidP="006B02D7">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2D7" w:rsidRPr="00A45145" w:rsidRDefault="006B02D7" w:rsidP="00A45145">
    <w:pPr>
      <w:jc w:val="center"/>
    </w:pPr>
    <w:r w:rsidRPr="00A45145">
      <w:rPr>
        <w:noProof/>
        <w:lang w:eastAsia="ja-JP"/>
      </w:rPr>
      <w:drawing>
        <wp:inline distT="0" distB="0" distL="0" distR="0" wp14:anchorId="7BA7C3BF" wp14:editId="6E0D740A">
          <wp:extent cx="2943225" cy="1219200"/>
          <wp:effectExtent l="0" t="0" r="9525" b="0"/>
          <wp:docPr id="10" name="Picture 10" descr="R:\1_Graphics&amp;Web\Court_Graphic_Charter\2013\ECHR_Stationery\Documents\Cover_Page\ECHR_CoverpageCS6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Cover_Page\ECHR_CoverpageCS6_ECHR_Coverpage_Header_Blac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43225" cy="1219200"/>
                  </a:xfrm>
                  <a:prstGeom prst="rect">
                    <a:avLst/>
                  </a:prstGeom>
                  <a:noFill/>
                  <a:ln>
                    <a:noFill/>
                  </a:ln>
                </pic:spPr>
              </pic:pic>
            </a:graphicData>
          </a:graphic>
        </wp:inline>
      </w:drawing>
    </w:r>
  </w:p>
  <w:p w:rsidR="00EA0896" w:rsidRDefault="00EA089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2D7" w:rsidRPr="0001136E" w:rsidRDefault="006B02D7" w:rsidP="00044ABA">
    <w:pPr>
      <w:pStyle w:val="ECHRHeader"/>
    </w:pPr>
    <w:r>
      <w:rPr>
        <w:rStyle w:val="PageNumber"/>
        <w:szCs w:val="18"/>
      </w:rPr>
      <w:fldChar w:fldCharType="begin"/>
    </w:r>
    <w:r>
      <w:rPr>
        <w:rStyle w:val="PageNumber"/>
        <w:szCs w:val="18"/>
      </w:rPr>
      <w:instrText xml:space="preserve"> PAGE </w:instrText>
    </w:r>
    <w:r>
      <w:rPr>
        <w:rStyle w:val="PageNumber"/>
        <w:szCs w:val="18"/>
      </w:rPr>
      <w:fldChar w:fldCharType="separate"/>
    </w:r>
    <w:r w:rsidR="009675D9">
      <w:rPr>
        <w:rStyle w:val="PageNumber"/>
        <w:noProof/>
        <w:szCs w:val="18"/>
      </w:rPr>
      <w:t>0</w:t>
    </w:r>
    <w:r>
      <w:rPr>
        <w:rStyle w:val="PageNumber"/>
        <w:szCs w:val="18"/>
      </w:rPr>
      <w:fldChar w:fldCharType="end"/>
    </w:r>
    <w:r w:rsidRPr="0001136E">
      <w:tab/>
    </w:r>
    <w:r>
      <w:t>VEISS v. LATVIA</w:t>
    </w:r>
    <w:r w:rsidRPr="0001136E">
      <w:t xml:space="preserve"> </w:t>
    </w:r>
    <w:r>
      <w:t>JUDGMENT</w:t>
    </w:r>
  </w:p>
  <w:p w:rsidR="006B02D7" w:rsidRDefault="006B02D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2D7" w:rsidRPr="0001136E" w:rsidRDefault="006B02D7" w:rsidP="00044ABA">
    <w:pPr>
      <w:pStyle w:val="ECHRHeader"/>
    </w:pPr>
    <w:r w:rsidRPr="0001136E">
      <w:tab/>
    </w:r>
    <w:r>
      <w:t>VEISS v. LATVIA</w:t>
    </w:r>
    <w:r w:rsidRPr="0001136E">
      <w:t xml:space="preserve"> </w:t>
    </w:r>
    <w:r>
      <w:t>JUDGMENT</w:t>
    </w:r>
    <w:r w:rsidRPr="0001136E">
      <w:tab/>
    </w:r>
    <w:r>
      <w:rPr>
        <w:rStyle w:val="PageNumber"/>
        <w:szCs w:val="18"/>
      </w:rPr>
      <w:fldChar w:fldCharType="begin"/>
    </w:r>
    <w:r>
      <w:rPr>
        <w:rStyle w:val="PageNumber"/>
        <w:szCs w:val="18"/>
      </w:rPr>
      <w:instrText xml:space="preserve"> PAGE </w:instrText>
    </w:r>
    <w:r>
      <w:rPr>
        <w:rStyle w:val="PageNumber"/>
        <w:szCs w:val="18"/>
      </w:rPr>
      <w:fldChar w:fldCharType="separate"/>
    </w:r>
    <w:r w:rsidR="009675D9">
      <w:rPr>
        <w:rStyle w:val="PageNumber"/>
        <w:noProof/>
        <w:szCs w:val="18"/>
      </w:rPr>
      <w:t>0</w:t>
    </w:r>
    <w:r>
      <w:rPr>
        <w:rStyle w:val="PageNumber"/>
        <w:szCs w:val="18"/>
      </w:rPr>
      <w:fldChar w:fldCharType="end"/>
    </w:r>
  </w:p>
  <w:p w:rsidR="006B02D7" w:rsidRDefault="006B02D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0180FE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90ECFB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5B8BEFC"/>
    <w:lvl w:ilvl="0">
      <w:start w:val="1"/>
      <w:numFmt w:val="decimal"/>
      <w:pStyle w:val="ListNumber3"/>
      <w:lvlText w:val="%1."/>
      <w:lvlJc w:val="left"/>
      <w:pPr>
        <w:tabs>
          <w:tab w:val="num" w:pos="926"/>
        </w:tabs>
        <w:ind w:left="926" w:hanging="360"/>
      </w:pPr>
    </w:lvl>
  </w:abstractNum>
  <w:abstractNum w:abstractNumId="3">
    <w:nsid w:val="FFFFFF7F"/>
    <w:multiLevelType w:val="singleLevel"/>
    <w:tmpl w:val="6F1CF73A"/>
    <w:lvl w:ilvl="0">
      <w:start w:val="1"/>
      <w:numFmt w:val="decimal"/>
      <w:pStyle w:val="ListNumber2"/>
      <w:lvlText w:val="%1."/>
      <w:lvlJc w:val="left"/>
      <w:pPr>
        <w:tabs>
          <w:tab w:val="num" w:pos="643"/>
        </w:tabs>
        <w:ind w:left="643" w:hanging="360"/>
      </w:pPr>
    </w:lvl>
  </w:abstractNum>
  <w:abstractNum w:abstractNumId="4">
    <w:nsid w:val="FFFFFF80"/>
    <w:multiLevelType w:val="singleLevel"/>
    <w:tmpl w:val="2380266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0C2C34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482EC3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666B2C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2760110"/>
    <w:lvl w:ilvl="0">
      <w:start w:val="1"/>
      <w:numFmt w:val="decimal"/>
      <w:pStyle w:val="ListNumber"/>
      <w:lvlText w:val="%1."/>
      <w:lvlJc w:val="left"/>
      <w:pPr>
        <w:tabs>
          <w:tab w:val="num" w:pos="360"/>
        </w:tabs>
        <w:ind w:left="360" w:hanging="360"/>
      </w:pPr>
    </w:lvl>
  </w:abstractNum>
  <w:abstractNum w:abstractNumId="9">
    <w:nsid w:val="0066004F"/>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A4A6C79"/>
    <w:multiLevelType w:val="multilevel"/>
    <w:tmpl w:val="2FC04DAE"/>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bullet"/>
      <w:lvlText w:val=""/>
      <w:lvlJc w:val="left"/>
      <w:pPr>
        <w:ind w:left="2520" w:hanging="360"/>
      </w:pPr>
      <w:rPr>
        <w:rFonts w:ascii="Symbol" w:hAnsi="Symbol" w:hint="default"/>
        <w:color w:val="0072BC" w:themeColor="background1"/>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B3A5857"/>
    <w:multiLevelType w:val="multilevel"/>
    <w:tmpl w:val="8BD6362E"/>
    <w:lvl w:ilvl="0">
      <w:start w:val="1"/>
      <w:numFmt w:val="upperRoman"/>
      <w:suff w:val="nothing"/>
      <w:lvlText w:val="%1.  "/>
      <w:lvlJc w:val="left"/>
      <w:pPr>
        <w:ind w:left="0" w:firstLine="0"/>
      </w:pPr>
      <w:rPr>
        <w:rFonts w:hint="default"/>
      </w:rPr>
    </w:lvl>
    <w:lvl w:ilvl="1">
      <w:start w:val="1"/>
      <w:numFmt w:val="upperLetter"/>
      <w:lvlText w:val="%2."/>
      <w:lvlJc w:val="left"/>
      <w:pPr>
        <w:ind w:left="454" w:hanging="227"/>
      </w:pPr>
      <w:rPr>
        <w:rFonts w:hint="default"/>
      </w:rPr>
    </w:lvl>
    <w:lvl w:ilvl="2">
      <w:start w:val="1"/>
      <w:numFmt w:val="decimal"/>
      <w:lvlText w:val="%3."/>
      <w:lvlJc w:val="left"/>
      <w:pPr>
        <w:ind w:left="680" w:hanging="226"/>
      </w:pPr>
      <w:rPr>
        <w:rFonts w:hint="default"/>
      </w:rPr>
    </w:lvl>
    <w:lvl w:ilvl="3">
      <w:start w:val="1"/>
      <w:numFmt w:val="lowerLetter"/>
      <w:lvlText w:val="(%4)"/>
      <w:lvlJc w:val="left"/>
      <w:pPr>
        <w:ind w:left="1361" w:hanging="681"/>
      </w:pPr>
      <w:rPr>
        <w:rFonts w:hint="default"/>
      </w:rPr>
    </w:lvl>
    <w:lvl w:ilvl="4">
      <w:start w:val="1"/>
      <w:numFmt w:val="lowerRoman"/>
      <w:suff w:val="nothing"/>
      <w:lvlText w:val="(%5)  "/>
      <w:lvlJc w:val="left"/>
      <w:pPr>
        <w:ind w:left="1361" w:firstLine="0"/>
      </w:pPr>
      <w:rPr>
        <w:rFonts w:hint="default"/>
      </w:rPr>
    </w:lvl>
    <w:lvl w:ilvl="5">
      <w:start w:val="1"/>
      <w:numFmt w:val="lowerLetter"/>
      <w:lvlText w:val="(%6)"/>
      <w:lvlJc w:val="left"/>
      <w:pPr>
        <w:ind w:left="2160" w:hanging="360"/>
      </w:pPr>
      <w:rPr>
        <w:rFonts w:ascii="Symbol" w:hAnsi="Symbol"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0DB92CFA"/>
    <w:multiLevelType w:val="hybridMultilevel"/>
    <w:tmpl w:val="513A807C"/>
    <w:lvl w:ilvl="0" w:tplc="EAA8F0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0B35A03"/>
    <w:multiLevelType w:val="multilevel"/>
    <w:tmpl w:val="BC84849E"/>
    <w:lvl w:ilvl="0">
      <w:start w:val="1"/>
      <w:numFmt w:val="lowerLetter"/>
      <w:suff w:val="nothing"/>
      <w:lvlText w:val="(%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15053EB"/>
    <w:multiLevelType w:val="multilevel"/>
    <w:tmpl w:val="941CA410"/>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suff w:val="nothing"/>
      <w:lvlText w:val="(%5)  "/>
      <w:lvlJc w:val="left"/>
      <w:pPr>
        <w:ind w:left="1191"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63F153D"/>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9ED3C69"/>
    <w:multiLevelType w:val="multilevel"/>
    <w:tmpl w:val="FF7A8054"/>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Letter"/>
      <w:lvlText w:val="%7."/>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1B3D29CF"/>
    <w:multiLevelType w:val="multilevel"/>
    <w:tmpl w:val="10F4A786"/>
    <w:lvl w:ilvl="0">
      <w:start w:val="1"/>
      <w:numFmt w:val="decimal"/>
      <w:suff w:val="nothing"/>
      <w:lvlText w:val="%1.  "/>
      <w:lvlJc w:val="left"/>
      <w:pPr>
        <w:ind w:left="284" w:hanging="284"/>
      </w:pPr>
      <w:rPr>
        <w:rFonts w:hint="default"/>
      </w:rPr>
    </w:lvl>
    <w:lvl w:ilvl="1">
      <w:start w:val="1"/>
      <w:numFmt w:val="lowerLetter"/>
      <w:suff w:val="nothing"/>
      <w:lvlText w:val="(%2)  "/>
      <w:lvlJc w:val="left"/>
      <w:pPr>
        <w:ind w:left="284" w:firstLine="0"/>
      </w:pPr>
      <w:rPr>
        <w:rFonts w:hint="default"/>
      </w:rPr>
    </w:lvl>
    <w:lvl w:ilvl="2">
      <w:start w:val="1"/>
      <w:numFmt w:val="lowerRoman"/>
      <w:suff w:val="nothing"/>
      <w:lvlText w:val="(%3)  "/>
      <w:lvlJc w:val="left"/>
      <w:pPr>
        <w:ind w:left="680" w:firstLine="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20324D93"/>
    <w:multiLevelType w:val="hybridMultilevel"/>
    <w:tmpl w:val="F7D68528"/>
    <w:lvl w:ilvl="0" w:tplc="569ADEC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2777587"/>
    <w:multiLevelType w:val="multilevel"/>
    <w:tmpl w:val="49549606"/>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Letter"/>
      <w:lvlText w:val="%7."/>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258756B5"/>
    <w:multiLevelType w:val="multilevel"/>
    <w:tmpl w:val="F8A68542"/>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29AB3FB9"/>
    <w:multiLevelType w:val="multilevel"/>
    <w:tmpl w:val="7A6AC2C8"/>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ascii="Symbol" w:hAnsi="Symbol" w:hint="default"/>
      </w:rPr>
    </w:lvl>
    <w:lvl w:ilvl="6">
      <w:start w:val="1"/>
      <w:numFmt w:val="upperRoman"/>
      <w:lvlText w:val="%7"/>
      <w:lvlJc w:val="left"/>
      <w:pPr>
        <w:tabs>
          <w:tab w:val="num" w:pos="1985"/>
        </w:tabs>
        <w:ind w:left="1985" w:hanging="227"/>
      </w:pPr>
      <w:rPr>
        <w:rFonts w:ascii="Symbol" w:hAnsi="Symbol" w:hint="default"/>
        <w:strike w:val="0"/>
        <w:dstrike w:val="0"/>
        <w:color w:val="auto"/>
        <w:sz w:val="28"/>
        <w:vertAlign w:val="baselin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2B9959AD"/>
    <w:multiLevelType w:val="multilevel"/>
    <w:tmpl w:val="E102B54A"/>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Roman"/>
      <w:lvlText w:val="%7"/>
      <w:lvlJc w:val="left"/>
      <w:pPr>
        <w:ind w:left="2520" w:hanging="360"/>
      </w:pPr>
      <w:rPr>
        <w:rFonts w:hint="default"/>
        <w:color w:val="0072BC" w:themeColor="background1"/>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0B42C89"/>
    <w:multiLevelType w:val="hybridMultilevel"/>
    <w:tmpl w:val="CFB02226"/>
    <w:lvl w:ilvl="0" w:tplc="52584FF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134506C"/>
    <w:multiLevelType w:val="multilevel"/>
    <w:tmpl w:val="F288E2FE"/>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tabs>
          <w:tab w:val="num" w:pos="1191"/>
        </w:tabs>
        <w:ind w:left="119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374D47F6"/>
    <w:multiLevelType w:val="multilevel"/>
    <w:tmpl w:val="29C02C80"/>
    <w:lvl w:ilvl="0">
      <w:start w:val="1"/>
      <w:numFmt w:val="decimal"/>
      <w:lvlText w:val="%1."/>
      <w:lvlJc w:val="left"/>
      <w:pPr>
        <w:ind w:left="346" w:hanging="346"/>
      </w:pPr>
      <w:rPr>
        <w:rFonts w:hint="default"/>
      </w:rPr>
    </w:lvl>
    <w:lvl w:ilvl="1">
      <w:start w:val="1"/>
      <w:numFmt w:val="lowerLetter"/>
      <w:lvlText w:val="(%2)"/>
      <w:lvlJc w:val="left"/>
      <w:pPr>
        <w:tabs>
          <w:tab w:val="num" w:pos="851"/>
        </w:tabs>
        <w:ind w:left="346" w:firstLine="0"/>
      </w:pPr>
      <w:rPr>
        <w:rFonts w:hint="default"/>
      </w:rPr>
    </w:lvl>
    <w:lvl w:ilvl="2">
      <w:start w:val="1"/>
      <w:numFmt w:val="lowerRoman"/>
      <w:lvlText w:val="(%3)"/>
      <w:lvlJc w:val="left"/>
      <w:pPr>
        <w:tabs>
          <w:tab w:val="num" w:pos="1361"/>
        </w:tabs>
        <w:ind w:left="851"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388D47DE"/>
    <w:multiLevelType w:val="multilevel"/>
    <w:tmpl w:val="F7F2C62E"/>
    <w:lvl w:ilvl="0">
      <w:start w:val="1"/>
      <w:numFmt w:val="decimal"/>
      <w:lvlText w:val="%1."/>
      <w:lvlJc w:val="left"/>
      <w:pPr>
        <w:ind w:left="1021" w:hanging="45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3E85438D"/>
    <w:multiLevelType w:val="multilevel"/>
    <w:tmpl w:val="73BC578A"/>
    <w:lvl w:ilvl="0">
      <w:start w:val="1"/>
      <w:numFmt w:val="upperRoman"/>
      <w:suff w:val="nothing"/>
      <w:lvlText w:val="%1.  "/>
      <w:lvlJc w:val="left"/>
      <w:pPr>
        <w:ind w:left="227" w:hanging="227"/>
      </w:pPr>
      <w:rPr>
        <w:rFonts w:hint="default"/>
      </w:rPr>
    </w:lvl>
    <w:lvl w:ilvl="1">
      <w:start w:val="1"/>
      <w:numFmt w:val="upperLetter"/>
      <w:suff w:val="nothing"/>
      <w:lvlText w:val="%2.  "/>
      <w:lvlJc w:val="left"/>
      <w:pPr>
        <w:ind w:left="510" w:hanging="283"/>
      </w:pPr>
      <w:rPr>
        <w:rFonts w:hint="default"/>
      </w:rPr>
    </w:lvl>
    <w:lvl w:ilvl="2">
      <w:start w:val="1"/>
      <w:numFmt w:val="decimal"/>
      <w:suff w:val="nothing"/>
      <w:lvlText w:val="%3.  "/>
      <w:lvlJc w:val="left"/>
      <w:pPr>
        <w:ind w:left="794" w:hanging="284"/>
      </w:pPr>
      <w:rPr>
        <w:rFonts w:hint="default"/>
      </w:rPr>
    </w:lvl>
    <w:lvl w:ilvl="3">
      <w:start w:val="1"/>
      <w:numFmt w:val="lowerLetter"/>
      <w:suff w:val="nothing"/>
      <w:lvlText w:val="(%4)  "/>
      <w:lvlJc w:val="left"/>
      <w:pPr>
        <w:ind w:left="1077" w:hanging="283"/>
      </w:pPr>
      <w:rPr>
        <w:rFonts w:hint="default"/>
      </w:rPr>
    </w:lvl>
    <w:lvl w:ilvl="4">
      <w:start w:val="1"/>
      <w:numFmt w:val="lowerRoman"/>
      <w:lvlText w:val="(%5)  "/>
      <w:lvlJc w:val="left"/>
      <w:pPr>
        <w:ind w:left="1304" w:hanging="227"/>
      </w:pPr>
      <w:rPr>
        <w:rFonts w:hint="default"/>
      </w:rPr>
    </w:lvl>
    <w:lvl w:ilvl="5">
      <w:start w:val="1"/>
      <w:numFmt w:val="lowerLetter"/>
      <w:suff w:val="nothing"/>
      <w:lvlText w:val="(%6  "/>
      <w:lvlJc w:val="left"/>
      <w:pPr>
        <w:ind w:left="1644" w:hanging="340"/>
      </w:pPr>
      <w:rPr>
        <w:rFonts w:ascii="Symbol" w:hAnsi="Symbol" w:hint="default"/>
      </w:rPr>
    </w:lvl>
    <w:lvl w:ilvl="6">
      <w:start w:val="1"/>
      <w:numFmt w:val="bullet"/>
      <w:suff w:val="space"/>
      <w:lvlText w:val=""/>
      <w:lvlJc w:val="left"/>
      <w:pPr>
        <w:ind w:left="1814" w:hanging="17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13377FF"/>
    <w:multiLevelType w:val="multilevel"/>
    <w:tmpl w:val="EDC8B6AA"/>
    <w:lvl w:ilvl="0">
      <w:start w:val="1"/>
      <w:numFmt w:val="decimal"/>
      <w:lvlText w:val="%1."/>
      <w:lvlJc w:val="left"/>
      <w:pPr>
        <w:tabs>
          <w:tab w:val="num" w:pos="680"/>
        </w:tabs>
        <w:ind w:left="680"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44E25784"/>
    <w:multiLevelType w:val="multilevel"/>
    <w:tmpl w:val="165083BE"/>
    <w:lvl w:ilvl="0">
      <w:start w:val="1"/>
      <w:numFmt w:val="decimal"/>
      <w:suff w:val="nothing"/>
      <w:lvlText w:val="%1.  "/>
      <w:lvlJc w:val="left"/>
      <w:pPr>
        <w:ind w:left="284" w:hanging="284"/>
      </w:pPr>
      <w:rPr>
        <w:rFonts w:hint="default"/>
      </w:rPr>
    </w:lvl>
    <w:lvl w:ilvl="1">
      <w:start w:val="1"/>
      <w:numFmt w:val="lowerLetter"/>
      <w:suff w:val="nothing"/>
      <w:lvlText w:val="(%2)  "/>
      <w:lvlJc w:val="left"/>
      <w:pPr>
        <w:ind w:left="284" w:firstLine="0"/>
      </w:pPr>
      <w:rPr>
        <w:rFonts w:hint="default"/>
      </w:rPr>
    </w:lvl>
    <w:lvl w:ilvl="2">
      <w:start w:val="1"/>
      <w:numFmt w:val="lowerRoman"/>
      <w:suff w:val="nothing"/>
      <w:lvlText w:val="(%3)  "/>
      <w:lvlJc w:val="left"/>
      <w:pPr>
        <w:ind w:left="68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460B61A5"/>
    <w:multiLevelType w:val="multilevel"/>
    <w:tmpl w:val="11FA262C"/>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Roman"/>
      <w:lvlText w:val="%7"/>
      <w:lvlJc w:val="left"/>
      <w:pPr>
        <w:ind w:left="2520" w:hanging="360"/>
      </w:pPr>
      <w:rPr>
        <w:rFonts w:ascii="Wingdings 3" w:hAnsi="Wingdings 3"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462F4708"/>
    <w:multiLevelType w:val="multilevel"/>
    <w:tmpl w:val="8BD6362E"/>
    <w:lvl w:ilvl="0">
      <w:start w:val="1"/>
      <w:numFmt w:val="upperRoman"/>
      <w:suff w:val="nothing"/>
      <w:lvlText w:val="%1.  "/>
      <w:lvlJc w:val="left"/>
      <w:pPr>
        <w:ind w:left="0" w:firstLine="0"/>
      </w:pPr>
      <w:rPr>
        <w:rFonts w:hint="default"/>
      </w:rPr>
    </w:lvl>
    <w:lvl w:ilvl="1">
      <w:start w:val="1"/>
      <w:numFmt w:val="upperLetter"/>
      <w:lvlText w:val="%2."/>
      <w:lvlJc w:val="left"/>
      <w:pPr>
        <w:ind w:left="454" w:hanging="227"/>
      </w:pPr>
      <w:rPr>
        <w:rFonts w:hint="default"/>
      </w:rPr>
    </w:lvl>
    <w:lvl w:ilvl="2">
      <w:start w:val="1"/>
      <w:numFmt w:val="decimal"/>
      <w:lvlText w:val="%3."/>
      <w:lvlJc w:val="left"/>
      <w:pPr>
        <w:ind w:left="680" w:hanging="226"/>
      </w:pPr>
      <w:rPr>
        <w:rFonts w:hint="default"/>
      </w:rPr>
    </w:lvl>
    <w:lvl w:ilvl="3">
      <w:start w:val="1"/>
      <w:numFmt w:val="lowerLetter"/>
      <w:lvlText w:val="(%4)"/>
      <w:lvlJc w:val="left"/>
      <w:pPr>
        <w:ind w:left="1361" w:hanging="681"/>
      </w:pPr>
      <w:rPr>
        <w:rFonts w:hint="default"/>
      </w:rPr>
    </w:lvl>
    <w:lvl w:ilvl="4">
      <w:start w:val="1"/>
      <w:numFmt w:val="lowerRoman"/>
      <w:suff w:val="nothing"/>
      <w:lvlText w:val="(%5)  "/>
      <w:lvlJc w:val="left"/>
      <w:pPr>
        <w:ind w:left="1361" w:firstLine="0"/>
      </w:pPr>
      <w:rPr>
        <w:rFonts w:hint="default"/>
      </w:rPr>
    </w:lvl>
    <w:lvl w:ilvl="5">
      <w:start w:val="1"/>
      <w:numFmt w:val="lowerLetter"/>
      <w:lvlText w:val="(%6)"/>
      <w:lvlJc w:val="left"/>
      <w:pPr>
        <w:ind w:left="2160" w:hanging="360"/>
      </w:pPr>
      <w:rPr>
        <w:rFonts w:ascii="Symbol" w:hAnsi="Symbol"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4D1F59D2"/>
    <w:multiLevelType w:val="hybridMultilevel"/>
    <w:tmpl w:val="4582FBFC"/>
    <w:lvl w:ilvl="0" w:tplc="0D90B7D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4DA02EFE"/>
    <w:multiLevelType w:val="multilevel"/>
    <w:tmpl w:val="F42CEE52"/>
    <w:lvl w:ilvl="0">
      <w:start w:val="1"/>
      <w:numFmt w:val="decimal"/>
      <w:lvlText w:val="%1."/>
      <w:lvlJc w:val="left"/>
      <w:pPr>
        <w:ind w:left="284" w:hanging="284"/>
      </w:pPr>
      <w:rPr>
        <w:rFonts w:hint="default"/>
      </w:rPr>
    </w:lvl>
    <w:lvl w:ilvl="1">
      <w:start w:val="1"/>
      <w:numFmt w:val="lowerLetter"/>
      <w:lvlText w:val="(%2)"/>
      <w:lvlJc w:val="left"/>
      <w:pPr>
        <w:tabs>
          <w:tab w:val="num" w:pos="680"/>
        </w:tabs>
        <w:ind w:left="284" w:firstLine="0"/>
      </w:pPr>
      <w:rPr>
        <w:rFonts w:hint="default"/>
      </w:rPr>
    </w:lvl>
    <w:lvl w:ilvl="2">
      <w:start w:val="1"/>
      <w:numFmt w:val="lowerRoman"/>
      <w:suff w:val="nothing"/>
      <w:lvlText w:val="(%3)  "/>
      <w:lvlJc w:val="left"/>
      <w:pPr>
        <w:ind w:left="680" w:firstLine="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4E8C0CF9"/>
    <w:multiLevelType w:val="multilevel"/>
    <w:tmpl w:val="090EC1BE"/>
    <w:lvl w:ilvl="0">
      <w:start w:val="1"/>
      <w:numFmt w:val="upperRoman"/>
      <w:lvlText w:val="%1."/>
      <w:lvlJc w:val="left"/>
      <w:pPr>
        <w:ind w:left="346" w:hanging="346"/>
      </w:pPr>
      <w:rPr>
        <w:rFonts w:hint="default"/>
      </w:rPr>
    </w:lvl>
    <w:lvl w:ilvl="1">
      <w:start w:val="1"/>
      <w:numFmt w:val="upperLetter"/>
      <w:lvlText w:val="%2."/>
      <w:lvlJc w:val="left"/>
      <w:pPr>
        <w:ind w:left="567"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506B6FCB"/>
    <w:multiLevelType w:val="multilevel"/>
    <w:tmpl w:val="067E4BA6"/>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52FB1EA6"/>
    <w:multiLevelType w:val="multilevel"/>
    <w:tmpl w:val="B1545D7A"/>
    <w:lvl w:ilvl="0">
      <w:start w:val="1"/>
      <w:numFmt w:val="decimal"/>
      <w:lvlText w:val="%1."/>
      <w:lvlJc w:val="left"/>
      <w:pPr>
        <w:ind w:left="340" w:hanging="340"/>
      </w:pPr>
      <w:rPr>
        <w:rFonts w:hint="default"/>
      </w:rPr>
    </w:lvl>
    <w:lvl w:ilvl="1">
      <w:start w:val="1"/>
      <w:numFmt w:val="lowerLetter"/>
      <w:lvlText w:val="(%2)"/>
      <w:lvlJc w:val="left"/>
      <w:pPr>
        <w:tabs>
          <w:tab w:val="num" w:pos="680"/>
        </w:tabs>
        <w:ind w:left="34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54812F33"/>
    <w:multiLevelType w:val="multilevel"/>
    <w:tmpl w:val="CD6E7908"/>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ascii="Symbol" w:hAnsi="Symbol" w:hint="default"/>
      </w:rPr>
    </w:lvl>
    <w:lvl w:ilvl="6">
      <w:start w:val="1"/>
      <w:numFmt w:val="none"/>
      <w:lvlText w:val="%7–"/>
      <w:lvlJc w:val="left"/>
      <w:pPr>
        <w:tabs>
          <w:tab w:val="num" w:pos="1985"/>
        </w:tabs>
        <w:ind w:left="1985" w:hanging="227"/>
      </w:pPr>
      <w:rPr>
        <w:rFonts w:asciiTheme="majorHAnsi" w:hAnsiTheme="majorHAnsi" w:hint="default"/>
        <w:color w:val="000000" w:themeColor="text1"/>
        <w:sz w:val="28"/>
      </w:rPr>
    </w:lvl>
    <w:lvl w:ilvl="7">
      <w:start w:val="1"/>
      <w:numFmt w:val="none"/>
      <w:lvlText w:val="%8."/>
      <w:lvlJc w:val="left"/>
      <w:pPr>
        <w:ind w:left="2880" w:hanging="360"/>
      </w:pPr>
      <w:rPr>
        <w:rFonts w:asciiTheme="majorHAnsi" w:hAnsiTheme="majorHAnsi" w:hint="default"/>
        <w:strike w:val="0"/>
        <w:dstrike w:val="0"/>
        <w:color w:val="000000" w:themeColor="text1"/>
        <w:sz w:val="28"/>
        <w:vertAlign w:val="baseline"/>
      </w:rPr>
    </w:lvl>
    <w:lvl w:ilvl="8">
      <w:start w:val="1"/>
      <w:numFmt w:val="lowerRoman"/>
      <w:lvlText w:val="%9."/>
      <w:lvlJc w:val="left"/>
      <w:pPr>
        <w:ind w:left="3240" w:hanging="360"/>
      </w:pPr>
      <w:rPr>
        <w:rFonts w:hint="default"/>
      </w:rPr>
    </w:lvl>
  </w:abstractNum>
  <w:abstractNum w:abstractNumId="38">
    <w:nsid w:val="5A7B5D2C"/>
    <w:multiLevelType w:val="multilevel"/>
    <w:tmpl w:val="0A7CB2D0"/>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Letter"/>
      <w:lvlText w:val="%7."/>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61FE1C04"/>
    <w:multiLevelType w:val="multilevel"/>
    <w:tmpl w:val="BEDA27C0"/>
    <w:lvl w:ilvl="0">
      <w:start w:val="1"/>
      <w:numFmt w:val="upperRoman"/>
      <w:suff w:val="nothing"/>
      <w:lvlText w:val="%1.  "/>
      <w:lvlJc w:val="left"/>
      <w:pPr>
        <w:ind w:left="227" w:hanging="227"/>
      </w:pPr>
      <w:rPr>
        <w:rFonts w:hint="default"/>
      </w:rPr>
    </w:lvl>
    <w:lvl w:ilvl="1">
      <w:start w:val="1"/>
      <w:numFmt w:val="upperLetter"/>
      <w:suff w:val="nothing"/>
      <w:lvlText w:val="%2.  "/>
      <w:lvlJc w:val="left"/>
      <w:pPr>
        <w:ind w:left="510" w:hanging="283"/>
      </w:pPr>
      <w:rPr>
        <w:rFonts w:hint="default"/>
      </w:rPr>
    </w:lvl>
    <w:lvl w:ilvl="2">
      <w:start w:val="1"/>
      <w:numFmt w:val="decimal"/>
      <w:suff w:val="nothing"/>
      <w:lvlText w:val="%3.  "/>
      <w:lvlJc w:val="left"/>
      <w:pPr>
        <w:ind w:left="794" w:hanging="284"/>
      </w:pPr>
      <w:rPr>
        <w:rFonts w:hint="default"/>
      </w:rPr>
    </w:lvl>
    <w:lvl w:ilvl="3">
      <w:start w:val="1"/>
      <w:numFmt w:val="lowerLetter"/>
      <w:suff w:val="nothing"/>
      <w:lvlText w:val="(%4)  "/>
      <w:lvlJc w:val="left"/>
      <w:pPr>
        <w:ind w:left="1077" w:hanging="283"/>
      </w:pPr>
      <w:rPr>
        <w:rFonts w:hint="default"/>
      </w:rPr>
    </w:lvl>
    <w:lvl w:ilvl="4">
      <w:start w:val="1"/>
      <w:numFmt w:val="lowerRoman"/>
      <w:suff w:val="nothing"/>
      <w:lvlText w:val="(%5)  "/>
      <w:lvlJc w:val="left"/>
      <w:pPr>
        <w:ind w:left="1304" w:hanging="227"/>
      </w:pPr>
      <w:rPr>
        <w:rFonts w:hint="default"/>
      </w:rPr>
    </w:lvl>
    <w:lvl w:ilvl="5">
      <w:start w:val="1"/>
      <w:numFmt w:val="lowerLetter"/>
      <w:suff w:val="nothing"/>
      <w:lvlText w:val="(%6)  "/>
      <w:lvlJc w:val="left"/>
      <w:pPr>
        <w:ind w:left="1644" w:hanging="340"/>
      </w:pPr>
      <w:rPr>
        <w:rFonts w:ascii="Symbol" w:hAnsi="Symbol" w:hint="default"/>
      </w:rPr>
    </w:lvl>
    <w:lvl w:ilvl="6">
      <w:start w:val="1"/>
      <w:numFmt w:val="bullet"/>
      <w:lvlText w:val=""/>
      <w:lvlJc w:val="left"/>
      <w:pPr>
        <w:ind w:left="1814" w:hanging="170"/>
      </w:pPr>
      <w:rPr>
        <w:rFonts w:ascii="Symbol" w:hAnsi="Symbol" w:hint="default"/>
        <w:color w:val="000000" w:themeColor="text1"/>
      </w:rPr>
    </w:lvl>
    <w:lvl w:ilvl="7">
      <w:start w:val="1"/>
      <w:numFmt w:val="bullet"/>
      <w:lvlText w:val=""/>
      <w:lvlJc w:val="left"/>
      <w:pPr>
        <w:ind w:left="1985" w:hanging="171"/>
      </w:pPr>
      <w:rPr>
        <w:rFonts w:ascii="Wingdings" w:hAnsi="Wingdings" w:hint="default"/>
        <w:color w:val="000000" w:themeColor="text1"/>
      </w:rPr>
    </w:lvl>
    <w:lvl w:ilvl="8">
      <w:start w:val="1"/>
      <w:numFmt w:val="lowerRoman"/>
      <w:lvlText w:val="%9."/>
      <w:lvlJc w:val="left"/>
      <w:pPr>
        <w:ind w:left="3240" w:hanging="360"/>
      </w:pPr>
      <w:rPr>
        <w:rFonts w:hint="default"/>
      </w:rPr>
    </w:lvl>
  </w:abstractNum>
  <w:abstractNum w:abstractNumId="40">
    <w:nsid w:val="66FD4624"/>
    <w:multiLevelType w:val="hybridMultilevel"/>
    <w:tmpl w:val="F8A68542"/>
    <w:lvl w:ilvl="0" w:tplc="7CD2FB64">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42">
    <w:nsid w:val="6D797CA4"/>
    <w:multiLevelType w:val="multilevel"/>
    <w:tmpl w:val="A1CE0A34"/>
    <w:lvl w:ilvl="0">
      <w:start w:val="1"/>
      <w:numFmt w:val="decimal"/>
      <w:lvlText w:val="%1."/>
      <w:lvlJc w:val="left"/>
      <w:pPr>
        <w:ind w:left="340" w:hanging="340"/>
      </w:pPr>
      <w:rPr>
        <w:rFonts w:hint="default"/>
      </w:rPr>
    </w:lvl>
    <w:lvl w:ilvl="1">
      <w:start w:val="1"/>
      <w:numFmt w:val="lowerLetter"/>
      <w:lvlText w:val="(%2)"/>
      <w:lvlJc w:val="left"/>
      <w:pPr>
        <w:tabs>
          <w:tab w:val="num" w:pos="680"/>
        </w:tabs>
        <w:ind w:left="340" w:firstLine="0"/>
      </w:pPr>
      <w:rPr>
        <w:rFonts w:hint="default"/>
      </w:rPr>
    </w:lvl>
    <w:lvl w:ilvl="2">
      <w:start w:val="1"/>
      <w:numFmt w:val="lowerRoman"/>
      <w:suff w:val="nothing"/>
      <w:lvlText w:val="(%3)  "/>
      <w:lvlJc w:val="left"/>
      <w:pPr>
        <w:ind w:left="68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74DD17BC"/>
    <w:multiLevelType w:val="multilevel"/>
    <w:tmpl w:val="EC58AD9E"/>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ascii="Symbol" w:hAnsi="Symbol" w:hint="default"/>
      </w:rPr>
    </w:lvl>
    <w:lvl w:ilvl="6">
      <w:start w:val="1"/>
      <w:numFmt w:val="lowerRoman"/>
      <w:lvlText w:val="%7"/>
      <w:lvlJc w:val="left"/>
      <w:pPr>
        <w:tabs>
          <w:tab w:val="num" w:pos="1985"/>
        </w:tabs>
        <w:ind w:left="1985" w:hanging="227"/>
      </w:pPr>
      <w:rPr>
        <w:rFonts w:asciiTheme="minorHAnsi" w:hAnsiTheme="minorHAnsi" w:hint="default"/>
        <w:strike w:val="0"/>
        <w:dstrike w:val="0"/>
        <w:color w:val="auto"/>
        <w:sz w:val="20"/>
        <w:vertAlign w:val="baselin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nsid w:val="7737461D"/>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41"/>
  </w:num>
  <w:num w:numId="2">
    <w:abstractNumId w:val="15"/>
  </w:num>
  <w:num w:numId="3">
    <w:abstractNumId w:val="9"/>
  </w:num>
  <w:num w:numId="4">
    <w:abstractNumId w:val="45"/>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44"/>
  </w:num>
  <w:num w:numId="15">
    <w:abstractNumId w:val="21"/>
  </w:num>
  <w:num w:numId="16">
    <w:abstractNumId w:val="25"/>
  </w:num>
  <w:num w:numId="17">
    <w:abstractNumId w:val="39"/>
  </w:num>
  <w:num w:numId="18">
    <w:abstractNumId w:val="34"/>
  </w:num>
  <w:num w:numId="19">
    <w:abstractNumId w:val="35"/>
  </w:num>
  <w:num w:numId="20">
    <w:abstractNumId w:val="24"/>
  </w:num>
  <w:num w:numId="21">
    <w:abstractNumId w:val="14"/>
  </w:num>
  <w:num w:numId="22">
    <w:abstractNumId w:val="19"/>
  </w:num>
  <w:num w:numId="23">
    <w:abstractNumId w:val="37"/>
  </w:num>
  <w:num w:numId="24">
    <w:abstractNumId w:val="33"/>
  </w:num>
  <w:num w:numId="25">
    <w:abstractNumId w:val="36"/>
  </w:num>
  <w:num w:numId="26">
    <w:abstractNumId w:val="42"/>
  </w:num>
  <w:num w:numId="27">
    <w:abstractNumId w:val="22"/>
  </w:num>
  <w:num w:numId="28">
    <w:abstractNumId w:val="10"/>
  </w:num>
  <w:num w:numId="29">
    <w:abstractNumId w:val="30"/>
  </w:num>
  <w:num w:numId="30">
    <w:abstractNumId w:val="16"/>
  </w:num>
  <w:num w:numId="31">
    <w:abstractNumId w:val="38"/>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num>
  <w:num w:numId="34">
    <w:abstractNumId w:val="11"/>
  </w:num>
  <w:num w:numId="35">
    <w:abstractNumId w:val="31"/>
  </w:num>
  <w:num w:numId="36">
    <w:abstractNumId w:val="27"/>
  </w:num>
  <w:num w:numId="37">
    <w:abstractNumId w:val="28"/>
  </w:num>
  <w:num w:numId="38">
    <w:abstractNumId w:val="13"/>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12"/>
  </w:num>
  <w:num w:numId="42">
    <w:abstractNumId w:val="23"/>
  </w:num>
  <w:num w:numId="43">
    <w:abstractNumId w:val="32"/>
  </w:num>
  <w:num w:numId="44">
    <w:abstractNumId w:val="29"/>
  </w:num>
  <w:num w:numId="45">
    <w:abstractNumId w:val="26"/>
  </w:num>
  <w:num w:numId="46">
    <w:abstractNumId w:val="40"/>
  </w:num>
  <w:num w:numId="47">
    <w:abstractNumId w:val="20"/>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SystemFonts/>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709"/>
  <w:hyphenationZone w:val="425"/>
  <w:evenAndOddHeaders/>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NatAutre" w:val="0"/>
    <w:docVar w:name="DocVarPREMATURE" w:val="0"/>
    <w:docVar w:name="EMM" w:val="0"/>
    <w:docVar w:name="ETRANSMISSION" w:val="BY E-TRANSMISSION ONLY"/>
    <w:docVar w:name="L4_1Annex" w:val="0"/>
    <w:docVar w:name="L4_1Anonymity" w:val="0"/>
    <w:docVar w:name="NBEMMDOC" w:val="0"/>
    <w:docVar w:name="SignForeName" w:val="0"/>
  </w:docVars>
  <w:rsids>
    <w:rsidRoot w:val="00FA09DC"/>
    <w:rsid w:val="00001CC5"/>
    <w:rsid w:val="00002DD1"/>
    <w:rsid w:val="000042D1"/>
    <w:rsid w:val="00007B38"/>
    <w:rsid w:val="0001136E"/>
    <w:rsid w:val="000119A7"/>
    <w:rsid w:val="00013894"/>
    <w:rsid w:val="000241A0"/>
    <w:rsid w:val="00033160"/>
    <w:rsid w:val="00033FD2"/>
    <w:rsid w:val="0003679E"/>
    <w:rsid w:val="00042867"/>
    <w:rsid w:val="00044ABA"/>
    <w:rsid w:val="0005522C"/>
    <w:rsid w:val="00055AC1"/>
    <w:rsid w:val="000726F6"/>
    <w:rsid w:val="00075374"/>
    <w:rsid w:val="00076A67"/>
    <w:rsid w:val="00080A9F"/>
    <w:rsid w:val="00085837"/>
    <w:rsid w:val="00085B3A"/>
    <w:rsid w:val="00087BA0"/>
    <w:rsid w:val="00090C82"/>
    <w:rsid w:val="0009409F"/>
    <w:rsid w:val="000A1AA3"/>
    <w:rsid w:val="000C4DE4"/>
    <w:rsid w:val="000D6108"/>
    <w:rsid w:val="000E1449"/>
    <w:rsid w:val="000F699D"/>
    <w:rsid w:val="001047FD"/>
    <w:rsid w:val="00104AD1"/>
    <w:rsid w:val="00104FD7"/>
    <w:rsid w:val="00111D99"/>
    <w:rsid w:val="0011665B"/>
    <w:rsid w:val="00125168"/>
    <w:rsid w:val="00126213"/>
    <w:rsid w:val="0013290F"/>
    <w:rsid w:val="001354AE"/>
    <w:rsid w:val="0013556D"/>
    <w:rsid w:val="00136B5C"/>
    <w:rsid w:val="00136B62"/>
    <w:rsid w:val="00144B64"/>
    <w:rsid w:val="001471D7"/>
    <w:rsid w:val="00150B32"/>
    <w:rsid w:val="00151CCA"/>
    <w:rsid w:val="00153F70"/>
    <w:rsid w:val="00157BD8"/>
    <w:rsid w:val="001702A1"/>
    <w:rsid w:val="00171962"/>
    <w:rsid w:val="00174A6F"/>
    <w:rsid w:val="001812B2"/>
    <w:rsid w:val="00181A0C"/>
    <w:rsid w:val="0019388B"/>
    <w:rsid w:val="00195378"/>
    <w:rsid w:val="00196B59"/>
    <w:rsid w:val="00197C29"/>
    <w:rsid w:val="001A0EBE"/>
    <w:rsid w:val="001A2CB2"/>
    <w:rsid w:val="001B2EFC"/>
    <w:rsid w:val="001B62B1"/>
    <w:rsid w:val="001B74F7"/>
    <w:rsid w:val="001C77A7"/>
    <w:rsid w:val="001D2955"/>
    <w:rsid w:val="001E35EE"/>
    <w:rsid w:val="001F5586"/>
    <w:rsid w:val="0020228A"/>
    <w:rsid w:val="002041E3"/>
    <w:rsid w:val="0021254C"/>
    <w:rsid w:val="002128F7"/>
    <w:rsid w:val="002164E9"/>
    <w:rsid w:val="00225BE5"/>
    <w:rsid w:val="002266BD"/>
    <w:rsid w:val="002266CD"/>
    <w:rsid w:val="00230DE1"/>
    <w:rsid w:val="002320C6"/>
    <w:rsid w:val="00242990"/>
    <w:rsid w:val="002465E8"/>
    <w:rsid w:val="00252B31"/>
    <w:rsid w:val="002563F5"/>
    <w:rsid w:val="00265471"/>
    <w:rsid w:val="0026789F"/>
    <w:rsid w:val="002679CD"/>
    <w:rsid w:val="00267E01"/>
    <w:rsid w:val="00271A81"/>
    <w:rsid w:val="00276C20"/>
    <w:rsid w:val="00281D75"/>
    <w:rsid w:val="002830A0"/>
    <w:rsid w:val="0028770C"/>
    <w:rsid w:val="00292EC4"/>
    <w:rsid w:val="00296B76"/>
    <w:rsid w:val="00297942"/>
    <w:rsid w:val="002A3A18"/>
    <w:rsid w:val="002A4296"/>
    <w:rsid w:val="002A4552"/>
    <w:rsid w:val="002B18B7"/>
    <w:rsid w:val="002B5CAD"/>
    <w:rsid w:val="002C0BFC"/>
    <w:rsid w:val="002C4BCA"/>
    <w:rsid w:val="002C7D3E"/>
    <w:rsid w:val="002E2EAF"/>
    <w:rsid w:val="002E6A74"/>
    <w:rsid w:val="002F4BCF"/>
    <w:rsid w:val="002F6FE9"/>
    <w:rsid w:val="00301D95"/>
    <w:rsid w:val="00302008"/>
    <w:rsid w:val="003037CB"/>
    <w:rsid w:val="003104E9"/>
    <w:rsid w:val="0031573C"/>
    <w:rsid w:val="0032093A"/>
    <w:rsid w:val="00321DE6"/>
    <w:rsid w:val="00325C2B"/>
    <w:rsid w:val="00332547"/>
    <w:rsid w:val="0033257D"/>
    <w:rsid w:val="003348EB"/>
    <w:rsid w:val="00336887"/>
    <w:rsid w:val="00337600"/>
    <w:rsid w:val="003403BB"/>
    <w:rsid w:val="0034580F"/>
    <w:rsid w:val="00347459"/>
    <w:rsid w:val="003506C9"/>
    <w:rsid w:val="00355F8F"/>
    <w:rsid w:val="00371277"/>
    <w:rsid w:val="0037228D"/>
    <w:rsid w:val="003810BF"/>
    <w:rsid w:val="003A64D3"/>
    <w:rsid w:val="003B41C7"/>
    <w:rsid w:val="003B50D7"/>
    <w:rsid w:val="003D57C9"/>
    <w:rsid w:val="003E2006"/>
    <w:rsid w:val="003E319C"/>
    <w:rsid w:val="003F056F"/>
    <w:rsid w:val="003F3BFD"/>
    <w:rsid w:val="00401A2F"/>
    <w:rsid w:val="00401C5B"/>
    <w:rsid w:val="0040238B"/>
    <w:rsid w:val="00412F5F"/>
    <w:rsid w:val="00413EFC"/>
    <w:rsid w:val="004214B5"/>
    <w:rsid w:val="00421812"/>
    <w:rsid w:val="004218BE"/>
    <w:rsid w:val="004406AA"/>
    <w:rsid w:val="00452CF1"/>
    <w:rsid w:val="00456F94"/>
    <w:rsid w:val="00457A18"/>
    <w:rsid w:val="00460FAD"/>
    <w:rsid w:val="00464886"/>
    <w:rsid w:val="00465AD7"/>
    <w:rsid w:val="00470812"/>
    <w:rsid w:val="00471505"/>
    <w:rsid w:val="00475E90"/>
    <w:rsid w:val="00480FC2"/>
    <w:rsid w:val="00481ADC"/>
    <w:rsid w:val="00483AB1"/>
    <w:rsid w:val="00485A6F"/>
    <w:rsid w:val="004920B1"/>
    <w:rsid w:val="004934A6"/>
    <w:rsid w:val="004950F6"/>
    <w:rsid w:val="004E5DFC"/>
    <w:rsid w:val="004F61F9"/>
    <w:rsid w:val="0050096C"/>
    <w:rsid w:val="00511D46"/>
    <w:rsid w:val="00513446"/>
    <w:rsid w:val="00516EBF"/>
    <w:rsid w:val="00522362"/>
    <w:rsid w:val="00524FFC"/>
    <w:rsid w:val="00527D86"/>
    <w:rsid w:val="005419B6"/>
    <w:rsid w:val="00546F49"/>
    <w:rsid w:val="005565D3"/>
    <w:rsid w:val="00560798"/>
    <w:rsid w:val="0056771C"/>
    <w:rsid w:val="005777BA"/>
    <w:rsid w:val="00577A75"/>
    <w:rsid w:val="00577E6A"/>
    <w:rsid w:val="00582D1B"/>
    <w:rsid w:val="00584A11"/>
    <w:rsid w:val="00586237"/>
    <w:rsid w:val="005874FF"/>
    <w:rsid w:val="00592871"/>
    <w:rsid w:val="005944D6"/>
    <w:rsid w:val="00595C5D"/>
    <w:rsid w:val="005A3D27"/>
    <w:rsid w:val="005B16A8"/>
    <w:rsid w:val="005B4233"/>
    <w:rsid w:val="005C1929"/>
    <w:rsid w:val="005C1956"/>
    <w:rsid w:val="005C2C88"/>
    <w:rsid w:val="005C41CB"/>
    <w:rsid w:val="005C498E"/>
    <w:rsid w:val="005D1B72"/>
    <w:rsid w:val="005D7668"/>
    <w:rsid w:val="005E384F"/>
    <w:rsid w:val="005F4753"/>
    <w:rsid w:val="005F7A10"/>
    <w:rsid w:val="00603422"/>
    <w:rsid w:val="0060437E"/>
    <w:rsid w:val="006053AC"/>
    <w:rsid w:val="006111FF"/>
    <w:rsid w:val="006138EA"/>
    <w:rsid w:val="00625699"/>
    <w:rsid w:val="0062787C"/>
    <w:rsid w:val="00627EDC"/>
    <w:rsid w:val="00633478"/>
    <w:rsid w:val="00640B82"/>
    <w:rsid w:val="00655126"/>
    <w:rsid w:val="006639B6"/>
    <w:rsid w:val="00677E4E"/>
    <w:rsid w:val="00680CFA"/>
    <w:rsid w:val="00683826"/>
    <w:rsid w:val="006915F2"/>
    <w:rsid w:val="00692128"/>
    <w:rsid w:val="00697F14"/>
    <w:rsid w:val="006A3D9D"/>
    <w:rsid w:val="006A7C48"/>
    <w:rsid w:val="006B02D7"/>
    <w:rsid w:val="006C127A"/>
    <w:rsid w:val="006C2B52"/>
    <w:rsid w:val="006C35C5"/>
    <w:rsid w:val="006D04F3"/>
    <w:rsid w:val="006D71BC"/>
    <w:rsid w:val="006E3307"/>
    <w:rsid w:val="006E6D33"/>
    <w:rsid w:val="006F4751"/>
    <w:rsid w:val="00706FC2"/>
    <w:rsid w:val="007156E0"/>
    <w:rsid w:val="00730053"/>
    <w:rsid w:val="00730433"/>
    <w:rsid w:val="00730EC4"/>
    <w:rsid w:val="00733037"/>
    <w:rsid w:val="007352DD"/>
    <w:rsid w:val="00747BF4"/>
    <w:rsid w:val="00750E5E"/>
    <w:rsid w:val="00751C24"/>
    <w:rsid w:val="00754ABE"/>
    <w:rsid w:val="00756D5B"/>
    <w:rsid w:val="007603BB"/>
    <w:rsid w:val="00761FE6"/>
    <w:rsid w:val="00772607"/>
    <w:rsid w:val="00776807"/>
    <w:rsid w:val="0077789B"/>
    <w:rsid w:val="0078062F"/>
    <w:rsid w:val="007827E7"/>
    <w:rsid w:val="0079163D"/>
    <w:rsid w:val="0079187F"/>
    <w:rsid w:val="00792562"/>
    <w:rsid w:val="007A1FFE"/>
    <w:rsid w:val="007A357A"/>
    <w:rsid w:val="007A6DBA"/>
    <w:rsid w:val="007B03C9"/>
    <w:rsid w:val="007B2958"/>
    <w:rsid w:val="007B5FCE"/>
    <w:rsid w:val="007C090B"/>
    <w:rsid w:val="007C1CE3"/>
    <w:rsid w:val="007D0D75"/>
    <w:rsid w:val="007D0F5D"/>
    <w:rsid w:val="007E603C"/>
    <w:rsid w:val="007F735A"/>
    <w:rsid w:val="0080290B"/>
    <w:rsid w:val="00806E5F"/>
    <w:rsid w:val="008257B0"/>
    <w:rsid w:val="00835D59"/>
    <w:rsid w:val="00846856"/>
    <w:rsid w:val="00853345"/>
    <w:rsid w:val="008601F7"/>
    <w:rsid w:val="00864209"/>
    <w:rsid w:val="00865450"/>
    <w:rsid w:val="008824B9"/>
    <w:rsid w:val="0088315D"/>
    <w:rsid w:val="00884205"/>
    <w:rsid w:val="0088462C"/>
    <w:rsid w:val="00886BB5"/>
    <w:rsid w:val="00893782"/>
    <w:rsid w:val="008B5BFB"/>
    <w:rsid w:val="008C39B5"/>
    <w:rsid w:val="008C60EE"/>
    <w:rsid w:val="008C6F68"/>
    <w:rsid w:val="008D7BF2"/>
    <w:rsid w:val="008E05A3"/>
    <w:rsid w:val="00900F2B"/>
    <w:rsid w:val="009012D6"/>
    <w:rsid w:val="00901475"/>
    <w:rsid w:val="009169BC"/>
    <w:rsid w:val="009264AE"/>
    <w:rsid w:val="00927277"/>
    <w:rsid w:val="00930CD7"/>
    <w:rsid w:val="00932C7B"/>
    <w:rsid w:val="00940A6D"/>
    <w:rsid w:val="0094239F"/>
    <w:rsid w:val="00944B6E"/>
    <w:rsid w:val="009476E8"/>
    <w:rsid w:val="009503A8"/>
    <w:rsid w:val="00956501"/>
    <w:rsid w:val="00961B49"/>
    <w:rsid w:val="009621FB"/>
    <w:rsid w:val="00965BD4"/>
    <w:rsid w:val="009675D9"/>
    <w:rsid w:val="0098535B"/>
    <w:rsid w:val="0099545C"/>
    <w:rsid w:val="0099561C"/>
    <w:rsid w:val="00995F44"/>
    <w:rsid w:val="009A6925"/>
    <w:rsid w:val="009B039E"/>
    <w:rsid w:val="009B15A1"/>
    <w:rsid w:val="009C3FBB"/>
    <w:rsid w:val="009C5183"/>
    <w:rsid w:val="009D2999"/>
    <w:rsid w:val="009D46D7"/>
    <w:rsid w:val="009D4B87"/>
    <w:rsid w:val="009F0055"/>
    <w:rsid w:val="009F07CC"/>
    <w:rsid w:val="009F18CE"/>
    <w:rsid w:val="009F1D27"/>
    <w:rsid w:val="009F5625"/>
    <w:rsid w:val="00A000A9"/>
    <w:rsid w:val="00A00133"/>
    <w:rsid w:val="00A012A5"/>
    <w:rsid w:val="00A04E02"/>
    <w:rsid w:val="00A06A89"/>
    <w:rsid w:val="00A135BE"/>
    <w:rsid w:val="00A32B81"/>
    <w:rsid w:val="00A35C98"/>
    <w:rsid w:val="00A36290"/>
    <w:rsid w:val="00A5331A"/>
    <w:rsid w:val="00A54978"/>
    <w:rsid w:val="00A7049C"/>
    <w:rsid w:val="00A70B23"/>
    <w:rsid w:val="00A80135"/>
    <w:rsid w:val="00A8381C"/>
    <w:rsid w:val="00A9370C"/>
    <w:rsid w:val="00AA0A20"/>
    <w:rsid w:val="00AA2B6A"/>
    <w:rsid w:val="00AA373E"/>
    <w:rsid w:val="00AA6CAF"/>
    <w:rsid w:val="00AA7657"/>
    <w:rsid w:val="00AA7CA2"/>
    <w:rsid w:val="00AB0594"/>
    <w:rsid w:val="00AB14A0"/>
    <w:rsid w:val="00AB2166"/>
    <w:rsid w:val="00AB43D9"/>
    <w:rsid w:val="00AC134B"/>
    <w:rsid w:val="00AC4995"/>
    <w:rsid w:val="00AC4B9B"/>
    <w:rsid w:val="00AD2EBE"/>
    <w:rsid w:val="00AD57B2"/>
    <w:rsid w:val="00AE2F4F"/>
    <w:rsid w:val="00AF7C99"/>
    <w:rsid w:val="00B030BE"/>
    <w:rsid w:val="00B0594B"/>
    <w:rsid w:val="00B122EA"/>
    <w:rsid w:val="00B146FC"/>
    <w:rsid w:val="00B17EF0"/>
    <w:rsid w:val="00B24C9B"/>
    <w:rsid w:val="00B324A5"/>
    <w:rsid w:val="00B34FF2"/>
    <w:rsid w:val="00B3608A"/>
    <w:rsid w:val="00B44036"/>
    <w:rsid w:val="00B4551C"/>
    <w:rsid w:val="00B460AF"/>
    <w:rsid w:val="00B52010"/>
    <w:rsid w:val="00B574E7"/>
    <w:rsid w:val="00B6108B"/>
    <w:rsid w:val="00B64488"/>
    <w:rsid w:val="00B662B2"/>
    <w:rsid w:val="00B6763B"/>
    <w:rsid w:val="00B67CBD"/>
    <w:rsid w:val="00B743BC"/>
    <w:rsid w:val="00B77AB8"/>
    <w:rsid w:val="00B81192"/>
    <w:rsid w:val="00B878FC"/>
    <w:rsid w:val="00B921A8"/>
    <w:rsid w:val="00B94494"/>
    <w:rsid w:val="00BA492B"/>
    <w:rsid w:val="00BA4F3C"/>
    <w:rsid w:val="00BC7EEE"/>
    <w:rsid w:val="00BD19AE"/>
    <w:rsid w:val="00BD1FAB"/>
    <w:rsid w:val="00BE50FE"/>
    <w:rsid w:val="00BE5958"/>
    <w:rsid w:val="00BF071D"/>
    <w:rsid w:val="00BF624C"/>
    <w:rsid w:val="00C01E1C"/>
    <w:rsid w:val="00C02E48"/>
    <w:rsid w:val="00C26466"/>
    <w:rsid w:val="00C27EF9"/>
    <w:rsid w:val="00C3018F"/>
    <w:rsid w:val="00C30671"/>
    <w:rsid w:val="00C3076B"/>
    <w:rsid w:val="00C47544"/>
    <w:rsid w:val="00C47696"/>
    <w:rsid w:val="00C53BED"/>
    <w:rsid w:val="00C5569E"/>
    <w:rsid w:val="00C57728"/>
    <w:rsid w:val="00C577C8"/>
    <w:rsid w:val="00C63E30"/>
    <w:rsid w:val="00C73967"/>
    <w:rsid w:val="00C73CB0"/>
    <w:rsid w:val="00C84877"/>
    <w:rsid w:val="00C94023"/>
    <w:rsid w:val="00C96EBF"/>
    <w:rsid w:val="00C97EB1"/>
    <w:rsid w:val="00CC0145"/>
    <w:rsid w:val="00CC3B52"/>
    <w:rsid w:val="00CC6623"/>
    <w:rsid w:val="00CD31A0"/>
    <w:rsid w:val="00CD556B"/>
    <w:rsid w:val="00CD5D90"/>
    <w:rsid w:val="00CE1C9D"/>
    <w:rsid w:val="00CE5750"/>
    <w:rsid w:val="00CF166A"/>
    <w:rsid w:val="00CF3BFB"/>
    <w:rsid w:val="00D00569"/>
    <w:rsid w:val="00D102A7"/>
    <w:rsid w:val="00D1288A"/>
    <w:rsid w:val="00D15473"/>
    <w:rsid w:val="00D2724E"/>
    <w:rsid w:val="00D30F97"/>
    <w:rsid w:val="00D33169"/>
    <w:rsid w:val="00D333B8"/>
    <w:rsid w:val="00D353F4"/>
    <w:rsid w:val="00D357B5"/>
    <w:rsid w:val="00D44EA3"/>
    <w:rsid w:val="00D56B5D"/>
    <w:rsid w:val="00D63793"/>
    <w:rsid w:val="00D73611"/>
    <w:rsid w:val="00D76B5D"/>
    <w:rsid w:val="00D84849"/>
    <w:rsid w:val="00D85EF2"/>
    <w:rsid w:val="00D90810"/>
    <w:rsid w:val="00D9522A"/>
    <w:rsid w:val="00D9636B"/>
    <w:rsid w:val="00DB1451"/>
    <w:rsid w:val="00DB5B90"/>
    <w:rsid w:val="00DB6D67"/>
    <w:rsid w:val="00DC2093"/>
    <w:rsid w:val="00DC5C22"/>
    <w:rsid w:val="00DC694B"/>
    <w:rsid w:val="00DD51C6"/>
    <w:rsid w:val="00DE5E8F"/>
    <w:rsid w:val="00DF06A0"/>
    <w:rsid w:val="00DF7C15"/>
    <w:rsid w:val="00E075C8"/>
    <w:rsid w:val="00E11A4D"/>
    <w:rsid w:val="00E15B75"/>
    <w:rsid w:val="00E23202"/>
    <w:rsid w:val="00E278C2"/>
    <w:rsid w:val="00E32625"/>
    <w:rsid w:val="00E32917"/>
    <w:rsid w:val="00E32971"/>
    <w:rsid w:val="00E352AA"/>
    <w:rsid w:val="00E406F2"/>
    <w:rsid w:val="00E422D1"/>
    <w:rsid w:val="00E4313B"/>
    <w:rsid w:val="00E45F0A"/>
    <w:rsid w:val="00E50968"/>
    <w:rsid w:val="00E526A4"/>
    <w:rsid w:val="00E77324"/>
    <w:rsid w:val="00E81663"/>
    <w:rsid w:val="00E832E9"/>
    <w:rsid w:val="00E86F7E"/>
    <w:rsid w:val="00E904B2"/>
    <w:rsid w:val="00E9155E"/>
    <w:rsid w:val="00E973F5"/>
    <w:rsid w:val="00EA0896"/>
    <w:rsid w:val="00EA4052"/>
    <w:rsid w:val="00EA4C31"/>
    <w:rsid w:val="00EB0CCC"/>
    <w:rsid w:val="00EB2A33"/>
    <w:rsid w:val="00EB41E9"/>
    <w:rsid w:val="00EB5EBC"/>
    <w:rsid w:val="00EC7C77"/>
    <w:rsid w:val="00ED12C3"/>
    <w:rsid w:val="00ED2187"/>
    <w:rsid w:val="00ED3AC7"/>
    <w:rsid w:val="00EE1252"/>
    <w:rsid w:val="00EE47FF"/>
    <w:rsid w:val="00EE7911"/>
    <w:rsid w:val="00EF2384"/>
    <w:rsid w:val="00EF60DE"/>
    <w:rsid w:val="00F01659"/>
    <w:rsid w:val="00F0275B"/>
    <w:rsid w:val="00F040B8"/>
    <w:rsid w:val="00F22E8B"/>
    <w:rsid w:val="00F322EF"/>
    <w:rsid w:val="00F324E0"/>
    <w:rsid w:val="00F37358"/>
    <w:rsid w:val="00F43FF3"/>
    <w:rsid w:val="00F5124B"/>
    <w:rsid w:val="00F62FA4"/>
    <w:rsid w:val="00F679D8"/>
    <w:rsid w:val="00F71040"/>
    <w:rsid w:val="00F71A6A"/>
    <w:rsid w:val="00F73D18"/>
    <w:rsid w:val="00F94742"/>
    <w:rsid w:val="00FA09DC"/>
    <w:rsid w:val="00FA5BFD"/>
    <w:rsid w:val="00FB1DD9"/>
    <w:rsid w:val="00FC5472"/>
    <w:rsid w:val="00FD3E2F"/>
    <w:rsid w:val="00FE6E31"/>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ar-SA"/>
      </w:rPr>
    </w:rPrDefault>
    <w:pPrDefault/>
  </w:docDefaults>
  <w:latentStyles w:defLockedState="0" w:defUIPriority="99" w:defSemiHidden="0" w:defUnhideWhenUsed="0" w:defQFormat="0" w:count="267">
    <w:lsdException w:name="heading 5" w:qFormat="1"/>
    <w:lsdException w:name="heading 7" w:qFormat="1"/>
    <w:lsdException w:name="heading 8" w:qFormat="1"/>
    <w:lsdException w:name="heading 9" w:qFormat="1"/>
    <w:lsdException w:name="footnote text" w:uiPriority="0"/>
    <w:lsdException w:name="caption" w:semiHidden="1" w:qFormat="1"/>
    <w:lsdException w:name="footnote reference" w:uiPriority="0"/>
    <w:lsdException w:name="Title" w:qFormat="1"/>
    <w:lsdException w:name="Subtitle" w:qFormat="1"/>
    <w:lsdException w:name="Strong" w:qFormat="1"/>
    <w:lsdException w:name="Emphasis" w:qFormat="1"/>
    <w:lsdException w:name="HTML Top of Form" w:uiPriority="0"/>
    <w:lsdException w:name="HTML Bottom of Form" w:uiPriority="0"/>
    <w:lsdException w:name="Placeholder Text" w:semiHidden="1"/>
    <w:lsdException w:name="No Spacing" w:qFormat="1"/>
    <w:lsdException w:name="Revision" w:semiHidden="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Normal">
    <w:name w:val="Normal"/>
    <w:uiPriority w:val="99"/>
    <w:semiHidden/>
    <w:rsid w:val="004214B5"/>
    <w:pPr>
      <w:jc w:val="both"/>
    </w:pPr>
    <w:rPr>
      <w:rFonts w:eastAsiaTheme="minorEastAsia"/>
      <w:sz w:val="24"/>
      <w:lang w:val="en-US" w:eastAsia="en-US"/>
    </w:rPr>
  </w:style>
  <w:style w:type="paragraph" w:styleId="Heading1">
    <w:name w:val="heading 1"/>
    <w:basedOn w:val="Normal"/>
    <w:next w:val="Normal"/>
    <w:link w:val="Heading1Char"/>
    <w:uiPriority w:val="99"/>
    <w:semiHidden/>
    <w:rsid w:val="004214B5"/>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4214B5"/>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4214B5"/>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4214B5"/>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4214B5"/>
    <w:pPr>
      <w:spacing w:before="200"/>
      <w:outlineLvl w:val="4"/>
    </w:pPr>
    <w:rPr>
      <w:rFonts w:asciiTheme="majorHAnsi" w:eastAsiaTheme="majorEastAsia" w:hAnsiTheme="majorHAnsi" w:cstheme="majorBidi"/>
      <w:b/>
      <w:bCs/>
      <w:color w:val="808080"/>
      <w:sz w:val="22"/>
      <w:lang w:val="fr-FR" w:eastAsia="fr-FR"/>
    </w:rPr>
  </w:style>
  <w:style w:type="paragraph" w:styleId="Heading6">
    <w:name w:val="heading 6"/>
    <w:basedOn w:val="Normal"/>
    <w:next w:val="Normal"/>
    <w:link w:val="Heading6Char"/>
    <w:uiPriority w:val="99"/>
    <w:semiHidden/>
    <w:rsid w:val="004214B5"/>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4214B5"/>
    <w:pPr>
      <w:outlineLvl w:val="6"/>
    </w:pPr>
    <w:rPr>
      <w:rFonts w:asciiTheme="majorHAnsi" w:eastAsiaTheme="majorEastAsia" w:hAnsiTheme="majorHAnsi" w:cstheme="majorBidi"/>
      <w:i/>
      <w:iCs/>
      <w:sz w:val="22"/>
      <w:lang w:val="fr-FR" w:eastAsia="fr-FR" w:bidi="en-US"/>
    </w:rPr>
  </w:style>
  <w:style w:type="paragraph" w:styleId="Heading8">
    <w:name w:val="heading 8"/>
    <w:basedOn w:val="Normal"/>
    <w:next w:val="Normal"/>
    <w:link w:val="Heading8Char"/>
    <w:uiPriority w:val="99"/>
    <w:semiHidden/>
    <w:qFormat/>
    <w:rsid w:val="004214B5"/>
    <w:pPr>
      <w:outlineLvl w:val="7"/>
    </w:pPr>
    <w:rPr>
      <w:rFonts w:asciiTheme="majorHAnsi" w:eastAsiaTheme="majorEastAsia" w:hAnsiTheme="majorHAnsi" w:cstheme="majorBidi"/>
      <w:sz w:val="20"/>
      <w:szCs w:val="20"/>
      <w:lang w:val="fr-FR" w:eastAsia="fr-FR" w:bidi="en-US"/>
    </w:rPr>
  </w:style>
  <w:style w:type="paragraph" w:styleId="Heading9">
    <w:name w:val="heading 9"/>
    <w:basedOn w:val="Normal"/>
    <w:next w:val="Normal"/>
    <w:link w:val="Heading9Char"/>
    <w:uiPriority w:val="99"/>
    <w:semiHidden/>
    <w:qFormat/>
    <w:rsid w:val="004214B5"/>
    <w:pPr>
      <w:outlineLvl w:val="8"/>
    </w:pPr>
    <w:rPr>
      <w:rFonts w:asciiTheme="majorHAnsi" w:eastAsiaTheme="majorEastAsia" w:hAnsiTheme="majorHAnsi" w:cstheme="majorBidi"/>
      <w:i/>
      <w:iCs/>
      <w:spacing w:val="5"/>
      <w:sz w:val="20"/>
      <w:szCs w:val="20"/>
      <w:lang w:val="fr-FR" w:eastAsia="fr-FR"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HRHeading1">
    <w:name w:val="ECHR_Heading_1"/>
    <w:aliases w:val="Ju_H_I_Roman"/>
    <w:basedOn w:val="Heading1"/>
    <w:next w:val="ECHRPara"/>
    <w:uiPriority w:val="19"/>
    <w:qFormat/>
    <w:rsid w:val="004214B5"/>
    <w:pPr>
      <w:keepNext/>
      <w:keepLines/>
      <w:tabs>
        <w:tab w:val="left" w:pos="357"/>
      </w:tabs>
      <w:spacing w:before="360" w:after="240"/>
      <w:ind w:left="357" w:hanging="357"/>
      <w:contextualSpacing w:val="0"/>
    </w:pPr>
    <w:rPr>
      <w:b w:val="0"/>
      <w:color w:val="auto"/>
      <w:sz w:val="24"/>
      <w:lang w:val="fr-FR" w:eastAsia="fr-FR"/>
    </w:rPr>
  </w:style>
  <w:style w:type="paragraph" w:customStyle="1" w:styleId="ECHRTitle1">
    <w:name w:val="ECHR_Title_1"/>
    <w:aliases w:val="Ju_H_Head"/>
    <w:basedOn w:val="Normal"/>
    <w:next w:val="ECHRPara"/>
    <w:uiPriority w:val="18"/>
    <w:qFormat/>
    <w:rsid w:val="004214B5"/>
    <w:pPr>
      <w:keepNext/>
      <w:keepLines/>
      <w:spacing w:before="720" w:after="240"/>
      <w:outlineLvl w:val="0"/>
    </w:pPr>
    <w:rPr>
      <w:rFonts w:asciiTheme="majorHAnsi" w:hAnsiTheme="majorHAnsi"/>
      <w:sz w:val="28"/>
      <w:lang w:val="fr-FR" w:eastAsia="fr-FR"/>
    </w:rPr>
  </w:style>
  <w:style w:type="paragraph" w:customStyle="1" w:styleId="ECHRPara">
    <w:name w:val="ECHR_Para"/>
    <w:aliases w:val="Ju_Para,Left,First line:  0 cm"/>
    <w:basedOn w:val="Normal"/>
    <w:link w:val="JuParaChar"/>
    <w:uiPriority w:val="12"/>
    <w:qFormat/>
    <w:rsid w:val="004214B5"/>
    <w:pPr>
      <w:ind w:firstLine="284"/>
    </w:pPr>
    <w:rPr>
      <w:lang w:val="fr-FR" w:eastAsia="fr-FR"/>
    </w:rPr>
  </w:style>
  <w:style w:type="character" w:customStyle="1" w:styleId="JuParaChar">
    <w:name w:val="Ju_Para Char"/>
    <w:link w:val="ECHRPara"/>
    <w:rsid w:val="00B921A8"/>
    <w:rPr>
      <w:rFonts w:eastAsiaTheme="minorEastAsia"/>
      <w:sz w:val="24"/>
    </w:rPr>
  </w:style>
  <w:style w:type="paragraph" w:styleId="Footer">
    <w:name w:val="footer"/>
    <w:basedOn w:val="Normal"/>
    <w:link w:val="FooterChar"/>
    <w:uiPriority w:val="99"/>
    <w:semiHidden/>
    <w:rsid w:val="004214B5"/>
    <w:pPr>
      <w:tabs>
        <w:tab w:val="center" w:pos="4536"/>
        <w:tab w:val="right" w:pos="9696"/>
      </w:tabs>
      <w:ind w:left="-680" w:right="-680"/>
    </w:pPr>
    <w:rPr>
      <w:rFonts w:eastAsiaTheme="minorHAnsi"/>
    </w:rPr>
  </w:style>
  <w:style w:type="paragraph" w:customStyle="1" w:styleId="ECHRDecisionBody">
    <w:name w:val="ECHR_Decision_Body"/>
    <w:aliases w:val="Ju_Judges"/>
    <w:basedOn w:val="Normal"/>
    <w:link w:val="JuJudgesChar"/>
    <w:uiPriority w:val="11"/>
    <w:qFormat/>
    <w:rsid w:val="004214B5"/>
    <w:pPr>
      <w:tabs>
        <w:tab w:val="left" w:pos="567"/>
        <w:tab w:val="left" w:pos="1134"/>
      </w:tabs>
      <w:jc w:val="left"/>
    </w:pPr>
    <w:rPr>
      <w:lang w:val="fr-FR" w:eastAsia="fr-FR"/>
    </w:rPr>
  </w:style>
  <w:style w:type="character" w:customStyle="1" w:styleId="JuJudgesChar">
    <w:name w:val="Ju_Judges Char"/>
    <w:link w:val="ECHRDecisionBody"/>
    <w:uiPriority w:val="11"/>
    <w:locked/>
    <w:rsid w:val="00D15473"/>
    <w:rPr>
      <w:rFonts w:eastAsiaTheme="minorEastAsia"/>
      <w:sz w:val="24"/>
    </w:rPr>
  </w:style>
  <w:style w:type="paragraph" w:customStyle="1" w:styleId="ECHRHeading2">
    <w:name w:val="ECHR_Heading_2"/>
    <w:aliases w:val="Ju_H_A"/>
    <w:basedOn w:val="Heading2"/>
    <w:next w:val="ECHRPara"/>
    <w:uiPriority w:val="20"/>
    <w:qFormat/>
    <w:rsid w:val="004214B5"/>
    <w:pPr>
      <w:keepNext/>
      <w:keepLines/>
      <w:tabs>
        <w:tab w:val="left" w:pos="584"/>
      </w:tabs>
      <w:spacing w:before="360" w:after="240"/>
      <w:ind w:left="584" w:hanging="352"/>
    </w:pPr>
    <w:rPr>
      <w:color w:val="auto"/>
      <w:sz w:val="24"/>
      <w:lang w:val="fr-FR" w:eastAsia="fr-FR"/>
    </w:rPr>
  </w:style>
  <w:style w:type="paragraph" w:customStyle="1" w:styleId="ECHRParaQuote">
    <w:name w:val="ECHR_Para_Quote"/>
    <w:aliases w:val="Ju_Quot"/>
    <w:basedOn w:val="Normal"/>
    <w:qFormat/>
    <w:rsid w:val="004214B5"/>
    <w:pPr>
      <w:spacing w:before="120" w:after="120"/>
      <w:ind w:left="425" w:firstLine="142"/>
    </w:pPr>
    <w:rPr>
      <w:sz w:val="20"/>
      <w:lang w:val="fr-FR" w:eastAsia="fr-FR"/>
    </w:rPr>
  </w:style>
  <w:style w:type="paragraph" w:customStyle="1" w:styleId="JuSigned">
    <w:name w:val="Ju_Signed"/>
    <w:basedOn w:val="Normal"/>
    <w:next w:val="JuParaLast"/>
    <w:link w:val="JuSignedChar"/>
    <w:uiPriority w:val="32"/>
    <w:qFormat/>
    <w:rsid w:val="004214B5"/>
    <w:pPr>
      <w:tabs>
        <w:tab w:val="center" w:pos="851"/>
        <w:tab w:val="center" w:pos="6407"/>
      </w:tabs>
      <w:spacing w:before="720"/>
      <w:jc w:val="left"/>
    </w:pPr>
    <w:rPr>
      <w:lang w:val="fr-FR" w:eastAsia="fr-FR"/>
    </w:rPr>
  </w:style>
  <w:style w:type="paragraph" w:customStyle="1" w:styleId="JuParaLast">
    <w:name w:val="Ju_Para_Last"/>
    <w:basedOn w:val="Normal"/>
    <w:next w:val="ECHRPara"/>
    <w:uiPriority w:val="30"/>
    <w:qFormat/>
    <w:rsid w:val="004214B5"/>
    <w:pPr>
      <w:keepNext/>
      <w:keepLines/>
      <w:spacing w:before="240"/>
      <w:ind w:firstLine="284"/>
    </w:pPr>
    <w:rPr>
      <w:lang w:val="fr-FR" w:eastAsia="fr-FR"/>
    </w:rPr>
  </w:style>
  <w:style w:type="character" w:customStyle="1" w:styleId="JuSignedChar">
    <w:name w:val="Ju_Signed Char"/>
    <w:link w:val="JuSigned"/>
    <w:uiPriority w:val="32"/>
    <w:rsid w:val="000726F6"/>
    <w:rPr>
      <w:rFonts w:eastAsiaTheme="minorEastAsia"/>
      <w:sz w:val="24"/>
    </w:rPr>
  </w:style>
  <w:style w:type="paragraph" w:customStyle="1" w:styleId="JuCase">
    <w:name w:val="Ju_Case"/>
    <w:basedOn w:val="Normal"/>
    <w:next w:val="ECHRPara"/>
    <w:link w:val="JuCaseChar"/>
    <w:uiPriority w:val="10"/>
    <w:rsid w:val="004214B5"/>
    <w:pPr>
      <w:ind w:firstLine="284"/>
    </w:pPr>
    <w:rPr>
      <w:b/>
    </w:rPr>
  </w:style>
  <w:style w:type="character" w:customStyle="1" w:styleId="JuCaseChar">
    <w:name w:val="Ju_Case Char"/>
    <w:link w:val="JuCase"/>
    <w:uiPriority w:val="10"/>
    <w:rsid w:val="00B921A8"/>
    <w:rPr>
      <w:rFonts w:eastAsiaTheme="minorEastAsia"/>
      <w:b/>
      <w:sz w:val="24"/>
      <w:lang w:val="en-US" w:eastAsia="en-US"/>
    </w:rPr>
  </w:style>
  <w:style w:type="paragraph" w:customStyle="1" w:styleId="JuList">
    <w:name w:val="Ju_List"/>
    <w:basedOn w:val="Normal"/>
    <w:link w:val="JuListChar"/>
    <w:uiPriority w:val="28"/>
    <w:qFormat/>
    <w:rsid w:val="004214B5"/>
    <w:pPr>
      <w:ind w:left="340" w:hanging="340"/>
    </w:pPr>
    <w:rPr>
      <w:lang w:val="fr-FR" w:eastAsia="fr-FR"/>
    </w:rPr>
  </w:style>
  <w:style w:type="character" w:customStyle="1" w:styleId="JuListChar">
    <w:name w:val="Ju_List Char"/>
    <w:link w:val="JuList"/>
    <w:uiPriority w:val="28"/>
    <w:rsid w:val="00930CD7"/>
    <w:rPr>
      <w:rFonts w:eastAsiaTheme="minorEastAsia"/>
      <w:sz w:val="24"/>
    </w:rPr>
  </w:style>
  <w:style w:type="paragraph" w:customStyle="1" w:styleId="JuCourt">
    <w:name w:val="Ju_Court"/>
    <w:basedOn w:val="Normal"/>
    <w:next w:val="Normal"/>
    <w:uiPriority w:val="16"/>
    <w:qFormat/>
    <w:rsid w:val="004214B5"/>
    <w:pPr>
      <w:tabs>
        <w:tab w:val="left" w:pos="907"/>
        <w:tab w:val="left" w:pos="1701"/>
        <w:tab w:val="right" w:pos="7371"/>
      </w:tabs>
      <w:spacing w:before="240"/>
      <w:ind w:left="397" w:hanging="397"/>
      <w:jc w:val="left"/>
    </w:pPr>
    <w:rPr>
      <w:lang w:val="fr-FR" w:eastAsia="fr-FR" w:bidi="en-US"/>
    </w:rPr>
  </w:style>
  <w:style w:type="paragraph" w:styleId="FootnoteText">
    <w:name w:val="footnote text"/>
    <w:basedOn w:val="Normal"/>
    <w:link w:val="FootnoteTextChar"/>
    <w:semiHidden/>
    <w:rsid w:val="004214B5"/>
    <w:rPr>
      <w:sz w:val="20"/>
      <w:szCs w:val="20"/>
    </w:rPr>
  </w:style>
  <w:style w:type="character" w:styleId="FootnoteReference">
    <w:name w:val="footnote reference"/>
    <w:basedOn w:val="DefaultParagraphFont"/>
    <w:semiHidden/>
    <w:rsid w:val="004214B5"/>
    <w:rPr>
      <w:vertAlign w:val="superscript"/>
    </w:rPr>
  </w:style>
  <w:style w:type="paragraph" w:styleId="Header">
    <w:name w:val="header"/>
    <w:basedOn w:val="Normal"/>
    <w:link w:val="HeaderChar"/>
    <w:uiPriority w:val="99"/>
    <w:semiHidden/>
    <w:rsid w:val="004214B5"/>
    <w:pPr>
      <w:tabs>
        <w:tab w:val="center" w:pos="4536"/>
        <w:tab w:val="right" w:pos="9072"/>
      </w:tabs>
    </w:pPr>
    <w:rPr>
      <w:rFonts w:eastAsiaTheme="minorHAnsi"/>
    </w:rPr>
  </w:style>
  <w:style w:type="character" w:styleId="PageNumber">
    <w:name w:val="page number"/>
    <w:uiPriority w:val="99"/>
    <w:semiHidden/>
    <w:rsid w:val="00D1288A"/>
    <w:rPr>
      <w:sz w:val="18"/>
    </w:rPr>
  </w:style>
  <w:style w:type="paragraph" w:customStyle="1" w:styleId="JuLista">
    <w:name w:val="Ju_List_a"/>
    <w:basedOn w:val="JuList"/>
    <w:uiPriority w:val="28"/>
    <w:qFormat/>
    <w:rsid w:val="004214B5"/>
    <w:pPr>
      <w:ind w:left="346" w:firstLine="0"/>
    </w:pPr>
  </w:style>
  <w:style w:type="paragraph" w:customStyle="1" w:styleId="JuListi">
    <w:name w:val="Ju_List_i"/>
    <w:basedOn w:val="Normal"/>
    <w:next w:val="JuLista"/>
    <w:uiPriority w:val="28"/>
    <w:qFormat/>
    <w:rsid w:val="004214B5"/>
    <w:pPr>
      <w:ind w:left="794"/>
    </w:pPr>
    <w:rPr>
      <w:lang w:val="fr-FR" w:eastAsia="fr-FR"/>
    </w:rPr>
  </w:style>
  <w:style w:type="character" w:styleId="CommentReference">
    <w:name w:val="annotation reference"/>
    <w:uiPriority w:val="99"/>
    <w:semiHidden/>
    <w:rPr>
      <w:sz w:val="16"/>
    </w:rPr>
  </w:style>
  <w:style w:type="paragraph" w:styleId="CommentText">
    <w:name w:val="annotation text"/>
    <w:basedOn w:val="Normal"/>
    <w:uiPriority w:val="99"/>
    <w:semiHidden/>
    <w:rPr>
      <w:sz w:val="20"/>
    </w:rPr>
  </w:style>
  <w:style w:type="paragraph" w:styleId="BalloonText">
    <w:name w:val="Balloon Text"/>
    <w:basedOn w:val="Normal"/>
    <w:link w:val="BalloonTextChar"/>
    <w:uiPriority w:val="99"/>
    <w:semiHidden/>
    <w:rsid w:val="004214B5"/>
    <w:rPr>
      <w:rFonts w:ascii="Tahoma" w:hAnsi="Tahoma" w:cs="Tahoma"/>
      <w:sz w:val="16"/>
      <w:szCs w:val="16"/>
    </w:rPr>
  </w:style>
  <w:style w:type="paragraph" w:styleId="CommentSubject">
    <w:name w:val="annotation subject"/>
    <w:basedOn w:val="CommentText"/>
    <w:next w:val="CommentText"/>
    <w:uiPriority w:val="99"/>
    <w:semiHidden/>
    <w:rsid w:val="00D353F4"/>
    <w:rPr>
      <w:b/>
      <w:bCs/>
    </w:rPr>
  </w:style>
  <w:style w:type="character" w:styleId="EndnoteReference">
    <w:name w:val="endnote reference"/>
    <w:uiPriority w:val="99"/>
    <w:semiHidden/>
    <w:rsid w:val="00D1288A"/>
    <w:rPr>
      <w:vertAlign w:val="superscript"/>
    </w:rPr>
  </w:style>
  <w:style w:type="paragraph" w:styleId="EndnoteText">
    <w:name w:val="endnote text"/>
    <w:basedOn w:val="Normal"/>
    <w:uiPriority w:val="99"/>
    <w:semiHidden/>
    <w:rsid w:val="00D1288A"/>
    <w:rPr>
      <w:sz w:val="20"/>
    </w:rPr>
  </w:style>
  <w:style w:type="character" w:styleId="FollowedHyperlink">
    <w:name w:val="FollowedHyperlink"/>
    <w:uiPriority w:val="99"/>
    <w:semiHidden/>
    <w:rsid w:val="00D1288A"/>
    <w:rPr>
      <w:color w:val="800080"/>
      <w:u w:val="single"/>
    </w:rPr>
  </w:style>
  <w:style w:type="character" w:styleId="Hyperlink">
    <w:name w:val="Hyperlink"/>
    <w:basedOn w:val="DefaultParagraphFont"/>
    <w:uiPriority w:val="99"/>
    <w:semiHidden/>
    <w:rsid w:val="004214B5"/>
    <w:rPr>
      <w:color w:val="0072BC" w:themeColor="hyperlink"/>
      <w:u w:val="single"/>
    </w:rPr>
  </w:style>
  <w:style w:type="character" w:styleId="Strong">
    <w:name w:val="Strong"/>
    <w:uiPriority w:val="99"/>
    <w:semiHidden/>
    <w:qFormat/>
    <w:rsid w:val="004214B5"/>
    <w:rPr>
      <w:b/>
      <w:bCs/>
    </w:rPr>
  </w:style>
  <w:style w:type="paragraph" w:styleId="DocumentMap">
    <w:name w:val="Document Map"/>
    <w:basedOn w:val="Normal"/>
    <w:uiPriority w:val="99"/>
    <w:semiHidden/>
    <w:rsid w:val="008824B9"/>
    <w:pPr>
      <w:shd w:val="clear" w:color="auto" w:fill="000080"/>
    </w:pPr>
    <w:rPr>
      <w:rFonts w:ascii="Tahoma" w:hAnsi="Tahoma" w:cs="Tahoma"/>
      <w:sz w:val="20"/>
    </w:rPr>
  </w:style>
  <w:style w:type="character" w:customStyle="1" w:styleId="JuNames">
    <w:name w:val="Ju_Names"/>
    <w:rsid w:val="00D1288A"/>
    <w:rPr>
      <w:smallCaps/>
    </w:rPr>
  </w:style>
  <w:style w:type="paragraph" w:styleId="ListBullet">
    <w:name w:val="List Bullet"/>
    <w:basedOn w:val="Normal"/>
    <w:uiPriority w:val="99"/>
    <w:semiHidden/>
    <w:rsid w:val="008824B9"/>
    <w:pPr>
      <w:numPr>
        <w:numId w:val="1"/>
      </w:numPr>
    </w:pPr>
  </w:style>
  <w:style w:type="character" w:customStyle="1" w:styleId="JuITMark">
    <w:name w:val="Ju_ITMark"/>
    <w:basedOn w:val="DefaultParagraphFont"/>
    <w:uiPriority w:val="38"/>
    <w:qFormat/>
    <w:rsid w:val="004214B5"/>
    <w:rPr>
      <w:vanish/>
      <w:color w:val="339966"/>
      <w:sz w:val="14"/>
    </w:rPr>
  </w:style>
  <w:style w:type="character" w:customStyle="1" w:styleId="Heading1Char">
    <w:name w:val="Heading 1 Char"/>
    <w:basedOn w:val="DefaultParagraphFont"/>
    <w:link w:val="Heading1"/>
    <w:uiPriority w:val="99"/>
    <w:semiHidden/>
    <w:rsid w:val="004214B5"/>
    <w:rPr>
      <w:rFonts w:asciiTheme="majorHAnsi" w:eastAsiaTheme="majorEastAsia" w:hAnsiTheme="majorHAnsi" w:cstheme="majorBidi"/>
      <w:b/>
      <w:bCs/>
      <w:color w:val="333333"/>
      <w:sz w:val="28"/>
      <w:szCs w:val="28"/>
      <w:lang w:val="en-US" w:eastAsia="en-US"/>
    </w:rPr>
  </w:style>
  <w:style w:type="character" w:customStyle="1" w:styleId="Heading2Char">
    <w:name w:val="Heading 2 Char"/>
    <w:basedOn w:val="DefaultParagraphFont"/>
    <w:link w:val="Heading2"/>
    <w:uiPriority w:val="99"/>
    <w:semiHidden/>
    <w:rsid w:val="004214B5"/>
    <w:rPr>
      <w:rFonts w:asciiTheme="majorHAnsi" w:eastAsiaTheme="majorEastAsia" w:hAnsiTheme="majorHAnsi" w:cstheme="majorBidi"/>
      <w:b/>
      <w:bCs/>
      <w:color w:val="4D4D4D"/>
      <w:sz w:val="26"/>
      <w:szCs w:val="26"/>
      <w:lang w:val="en-US" w:eastAsia="en-US"/>
    </w:rPr>
  </w:style>
  <w:style w:type="character" w:customStyle="1" w:styleId="Heading3Char">
    <w:name w:val="Heading 3 Char"/>
    <w:basedOn w:val="DefaultParagraphFont"/>
    <w:link w:val="Heading3"/>
    <w:uiPriority w:val="99"/>
    <w:semiHidden/>
    <w:rsid w:val="004214B5"/>
    <w:rPr>
      <w:rFonts w:asciiTheme="majorHAnsi" w:eastAsiaTheme="majorEastAsia" w:hAnsiTheme="majorHAnsi" w:cstheme="majorBidi"/>
      <w:b/>
      <w:bCs/>
      <w:color w:val="5F5F5F"/>
      <w:sz w:val="24"/>
      <w:lang w:val="en-US" w:eastAsia="en-US"/>
    </w:rPr>
  </w:style>
  <w:style w:type="character" w:customStyle="1" w:styleId="Heading4Char">
    <w:name w:val="Heading 4 Char"/>
    <w:basedOn w:val="DefaultParagraphFont"/>
    <w:link w:val="Heading4"/>
    <w:uiPriority w:val="99"/>
    <w:semiHidden/>
    <w:rsid w:val="004214B5"/>
    <w:rPr>
      <w:rFonts w:asciiTheme="majorHAnsi" w:eastAsiaTheme="majorEastAsia" w:hAnsiTheme="majorHAnsi" w:cstheme="majorBidi"/>
      <w:b/>
      <w:bCs/>
      <w:i/>
      <w:iCs/>
      <w:color w:val="777777"/>
      <w:sz w:val="24"/>
      <w:lang w:val="en-US" w:eastAsia="en-US"/>
    </w:rPr>
  </w:style>
  <w:style w:type="character" w:customStyle="1" w:styleId="Heading6Char">
    <w:name w:val="Heading 6 Char"/>
    <w:basedOn w:val="DefaultParagraphFont"/>
    <w:link w:val="Heading6"/>
    <w:uiPriority w:val="99"/>
    <w:semiHidden/>
    <w:rsid w:val="004214B5"/>
    <w:rPr>
      <w:rFonts w:asciiTheme="majorHAnsi" w:eastAsiaTheme="majorEastAsia" w:hAnsiTheme="majorHAnsi" w:cstheme="majorBidi"/>
      <w:b/>
      <w:bCs/>
      <w:i/>
      <w:iCs/>
      <w:color w:val="7F7F7F" w:themeColor="text1" w:themeTint="80"/>
      <w:sz w:val="24"/>
      <w:lang w:val="en-US" w:eastAsia="en-US" w:bidi="en-US"/>
    </w:rPr>
  </w:style>
  <w:style w:type="character" w:customStyle="1" w:styleId="BalloonTextChar">
    <w:name w:val="Balloon Text Char"/>
    <w:basedOn w:val="DefaultParagraphFont"/>
    <w:link w:val="BalloonText"/>
    <w:uiPriority w:val="99"/>
    <w:semiHidden/>
    <w:rsid w:val="004214B5"/>
    <w:rPr>
      <w:rFonts w:ascii="Tahoma" w:eastAsiaTheme="minorEastAsia" w:hAnsi="Tahoma" w:cs="Tahoma"/>
      <w:sz w:val="16"/>
      <w:szCs w:val="16"/>
      <w:lang w:val="en-US" w:eastAsia="en-US"/>
    </w:rPr>
  </w:style>
  <w:style w:type="paragraph" w:customStyle="1" w:styleId="ECHRFooter">
    <w:name w:val="ECHR_Footer"/>
    <w:aliases w:val="Footer_ECHR"/>
    <w:basedOn w:val="Footer"/>
    <w:uiPriority w:val="57"/>
    <w:semiHidden/>
    <w:rsid w:val="004214B5"/>
    <w:pPr>
      <w:jc w:val="left"/>
    </w:pPr>
    <w:rPr>
      <w:sz w:val="8"/>
    </w:rPr>
  </w:style>
  <w:style w:type="paragraph" w:customStyle="1" w:styleId="ECHRFooterLine">
    <w:name w:val="ECHR_Footer_Line"/>
    <w:aliases w:val="Footer_Line"/>
    <w:basedOn w:val="Normal"/>
    <w:next w:val="ECHRFooter"/>
    <w:uiPriority w:val="57"/>
    <w:semiHidden/>
    <w:rsid w:val="004214B5"/>
    <w:pPr>
      <w:pBdr>
        <w:top w:val="single" w:sz="6" w:space="1" w:color="5F5F5F"/>
      </w:pBdr>
      <w:tabs>
        <w:tab w:val="center" w:pos="4536"/>
        <w:tab w:val="right" w:pos="9696"/>
      </w:tabs>
      <w:ind w:left="-680" w:right="-680"/>
      <w:jc w:val="left"/>
    </w:pPr>
    <w:rPr>
      <w:color w:val="5F5F5F"/>
    </w:rPr>
  </w:style>
  <w:style w:type="character" w:customStyle="1" w:styleId="HeaderChar">
    <w:name w:val="Header Char"/>
    <w:basedOn w:val="DefaultParagraphFont"/>
    <w:link w:val="Header"/>
    <w:uiPriority w:val="57"/>
    <w:semiHidden/>
    <w:rsid w:val="004214B5"/>
    <w:rPr>
      <w:sz w:val="24"/>
      <w:lang w:val="en-US" w:eastAsia="en-US"/>
    </w:rPr>
  </w:style>
  <w:style w:type="paragraph" w:customStyle="1" w:styleId="ECHRHeader">
    <w:name w:val="ECHR_Header"/>
    <w:aliases w:val="Ju_Header"/>
    <w:basedOn w:val="Header"/>
    <w:uiPriority w:val="4"/>
    <w:qFormat/>
    <w:rsid w:val="004214B5"/>
    <w:pPr>
      <w:tabs>
        <w:tab w:val="clear" w:pos="4536"/>
        <w:tab w:val="clear" w:pos="9072"/>
        <w:tab w:val="center" w:pos="3686"/>
        <w:tab w:val="right" w:pos="7371"/>
      </w:tabs>
      <w:jc w:val="left"/>
    </w:pPr>
    <w:rPr>
      <w:sz w:val="18"/>
      <w:lang w:val="fr-FR" w:eastAsia="fr-FR"/>
    </w:rPr>
  </w:style>
  <w:style w:type="character" w:customStyle="1" w:styleId="FooterChar">
    <w:name w:val="Footer Char"/>
    <w:basedOn w:val="DefaultParagraphFont"/>
    <w:link w:val="Footer"/>
    <w:uiPriority w:val="57"/>
    <w:semiHidden/>
    <w:rsid w:val="004214B5"/>
    <w:rPr>
      <w:sz w:val="24"/>
      <w:lang w:val="en-US" w:eastAsia="en-US"/>
    </w:rPr>
  </w:style>
  <w:style w:type="character" w:customStyle="1" w:styleId="FootnoteTextChar">
    <w:name w:val="Footnote Text Char"/>
    <w:basedOn w:val="DefaultParagraphFont"/>
    <w:link w:val="FootnoteText"/>
    <w:uiPriority w:val="99"/>
    <w:semiHidden/>
    <w:rsid w:val="004214B5"/>
    <w:rPr>
      <w:rFonts w:eastAsiaTheme="minorEastAsia"/>
      <w:sz w:val="20"/>
      <w:szCs w:val="20"/>
      <w:lang w:val="en-US" w:eastAsia="en-US"/>
    </w:rPr>
  </w:style>
  <w:style w:type="paragraph" w:customStyle="1" w:styleId="JuAppQuestion">
    <w:name w:val="Ju_App_Question"/>
    <w:basedOn w:val="Normal"/>
    <w:uiPriority w:val="5"/>
    <w:semiHidden/>
    <w:rsid w:val="004214B5"/>
    <w:pPr>
      <w:numPr>
        <w:numId w:val="14"/>
      </w:numPr>
      <w:jc w:val="left"/>
    </w:pPr>
    <w:rPr>
      <w:b/>
    </w:rPr>
  </w:style>
  <w:style w:type="paragraph" w:customStyle="1" w:styleId="OpiPara">
    <w:name w:val="Opi_Para"/>
    <w:basedOn w:val="ECHRPara"/>
    <w:uiPriority w:val="46"/>
    <w:qFormat/>
    <w:rsid w:val="004214B5"/>
  </w:style>
  <w:style w:type="paragraph" w:customStyle="1" w:styleId="JuParaSub">
    <w:name w:val="Ju_Para_Sub"/>
    <w:basedOn w:val="ECHRPara"/>
    <w:uiPriority w:val="13"/>
    <w:qFormat/>
    <w:rsid w:val="004214B5"/>
    <w:pPr>
      <w:ind w:left="284"/>
    </w:pPr>
  </w:style>
  <w:style w:type="paragraph" w:customStyle="1" w:styleId="OpiParaSub">
    <w:name w:val="Opi_Para_Sub"/>
    <w:basedOn w:val="JuParaSub"/>
    <w:uiPriority w:val="47"/>
    <w:qFormat/>
    <w:rsid w:val="004214B5"/>
  </w:style>
  <w:style w:type="paragraph" w:customStyle="1" w:styleId="OpiQuot">
    <w:name w:val="Opi_Quot"/>
    <w:basedOn w:val="ECHRParaQuote"/>
    <w:uiPriority w:val="48"/>
    <w:qFormat/>
    <w:rsid w:val="004214B5"/>
  </w:style>
  <w:style w:type="paragraph" w:customStyle="1" w:styleId="OpiQuotSub">
    <w:name w:val="Opi_Quot_Sub"/>
    <w:basedOn w:val="JuQuotSub"/>
    <w:uiPriority w:val="49"/>
    <w:qFormat/>
    <w:rsid w:val="004214B5"/>
  </w:style>
  <w:style w:type="paragraph" w:customStyle="1" w:styleId="ECHRTitleCentre3">
    <w:name w:val="ECHR_Title_Centre_3"/>
    <w:aliases w:val="Ju_H_Article"/>
    <w:basedOn w:val="Normal"/>
    <w:next w:val="ECHRParaQuote"/>
    <w:uiPriority w:val="27"/>
    <w:qFormat/>
    <w:rsid w:val="004214B5"/>
    <w:pPr>
      <w:keepNext/>
      <w:keepLines/>
      <w:spacing w:before="240" w:after="120"/>
      <w:jc w:val="center"/>
      <w:outlineLvl w:val="3"/>
    </w:pPr>
    <w:rPr>
      <w:rFonts w:asciiTheme="majorHAnsi" w:hAnsiTheme="majorHAnsi"/>
      <w:b/>
      <w:sz w:val="20"/>
      <w:lang w:val="fr-FR" w:eastAsia="fr-FR" w:bidi="en-US"/>
    </w:rPr>
  </w:style>
  <w:style w:type="paragraph" w:customStyle="1" w:styleId="ECHRTitleCentre2">
    <w:name w:val="ECHR_Title_Centre_2"/>
    <w:aliases w:val="Dec_H_Case"/>
    <w:basedOn w:val="Normal"/>
    <w:next w:val="ECHRPara"/>
    <w:uiPriority w:val="8"/>
    <w:semiHidden/>
    <w:rsid w:val="004214B5"/>
    <w:pPr>
      <w:spacing w:after="240"/>
      <w:jc w:val="center"/>
      <w:outlineLvl w:val="0"/>
    </w:pPr>
    <w:rPr>
      <w:rFonts w:asciiTheme="majorHAnsi" w:hAnsiTheme="majorHAnsi"/>
      <w:i/>
    </w:rPr>
  </w:style>
  <w:style w:type="paragraph" w:customStyle="1" w:styleId="JuTitle">
    <w:name w:val="Ju_Title"/>
    <w:basedOn w:val="Normal"/>
    <w:next w:val="ECHRPara"/>
    <w:uiPriority w:val="3"/>
    <w:semiHidden/>
    <w:rsid w:val="004214B5"/>
    <w:pPr>
      <w:spacing w:before="720" w:after="240"/>
      <w:jc w:val="center"/>
      <w:outlineLvl w:val="0"/>
    </w:pPr>
    <w:rPr>
      <w:rFonts w:asciiTheme="majorHAnsi" w:hAnsiTheme="majorHAnsi"/>
      <w:b/>
      <w:caps/>
    </w:rPr>
  </w:style>
  <w:style w:type="character" w:customStyle="1" w:styleId="Heading5Char">
    <w:name w:val="Heading 5 Char"/>
    <w:basedOn w:val="DefaultParagraphFont"/>
    <w:link w:val="Heading5"/>
    <w:uiPriority w:val="99"/>
    <w:semiHidden/>
    <w:rsid w:val="004214B5"/>
    <w:rPr>
      <w:rFonts w:asciiTheme="majorHAnsi" w:eastAsiaTheme="majorEastAsia" w:hAnsiTheme="majorHAnsi" w:cstheme="majorBidi"/>
      <w:b/>
      <w:bCs/>
      <w:color w:val="808080"/>
    </w:rPr>
  </w:style>
  <w:style w:type="character" w:customStyle="1" w:styleId="Heading7Char">
    <w:name w:val="Heading 7 Char"/>
    <w:basedOn w:val="DefaultParagraphFont"/>
    <w:link w:val="Heading7"/>
    <w:uiPriority w:val="99"/>
    <w:semiHidden/>
    <w:rsid w:val="004214B5"/>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9"/>
    <w:semiHidden/>
    <w:rsid w:val="004214B5"/>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semiHidden/>
    <w:rsid w:val="004214B5"/>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99"/>
    <w:semiHidden/>
    <w:qFormat/>
    <w:rsid w:val="004214B5"/>
    <w:pPr>
      <w:pBdr>
        <w:bottom w:val="single" w:sz="4" w:space="1" w:color="auto"/>
      </w:pBdr>
      <w:contextualSpacing/>
    </w:pPr>
    <w:rPr>
      <w:rFonts w:asciiTheme="majorHAnsi" w:eastAsiaTheme="majorEastAsia" w:hAnsiTheme="majorHAnsi" w:cstheme="majorBidi"/>
      <w:spacing w:val="5"/>
      <w:sz w:val="52"/>
      <w:szCs w:val="52"/>
      <w:lang w:val="fr-FR" w:eastAsia="fr-FR" w:bidi="en-US"/>
    </w:rPr>
  </w:style>
  <w:style w:type="character" w:customStyle="1" w:styleId="TitleChar">
    <w:name w:val="Title Char"/>
    <w:basedOn w:val="DefaultParagraphFont"/>
    <w:link w:val="Title"/>
    <w:uiPriority w:val="99"/>
    <w:semiHidden/>
    <w:rsid w:val="004214B5"/>
    <w:rPr>
      <w:rFonts w:asciiTheme="majorHAnsi" w:eastAsiaTheme="majorEastAsia" w:hAnsiTheme="majorHAnsi" w:cstheme="majorBidi"/>
      <w:spacing w:val="5"/>
      <w:sz w:val="52"/>
      <w:szCs w:val="52"/>
      <w:lang w:bidi="en-US"/>
    </w:rPr>
  </w:style>
  <w:style w:type="paragraph" w:styleId="Subtitle">
    <w:name w:val="Subtitle"/>
    <w:basedOn w:val="Normal"/>
    <w:next w:val="Normal"/>
    <w:link w:val="SubtitleChar"/>
    <w:uiPriority w:val="99"/>
    <w:semiHidden/>
    <w:qFormat/>
    <w:rsid w:val="004214B5"/>
    <w:pPr>
      <w:spacing w:after="600"/>
    </w:pPr>
    <w:rPr>
      <w:rFonts w:asciiTheme="majorHAnsi" w:eastAsiaTheme="majorEastAsia" w:hAnsiTheme="majorHAnsi" w:cstheme="majorBidi"/>
      <w:i/>
      <w:iCs/>
      <w:spacing w:val="13"/>
      <w:szCs w:val="24"/>
      <w:lang w:val="fr-FR" w:eastAsia="fr-FR" w:bidi="en-US"/>
    </w:rPr>
  </w:style>
  <w:style w:type="character" w:customStyle="1" w:styleId="SubtitleChar">
    <w:name w:val="Subtitle Char"/>
    <w:basedOn w:val="DefaultParagraphFont"/>
    <w:link w:val="Subtitle"/>
    <w:uiPriority w:val="99"/>
    <w:semiHidden/>
    <w:rsid w:val="004214B5"/>
    <w:rPr>
      <w:rFonts w:asciiTheme="majorHAnsi" w:eastAsiaTheme="majorEastAsia" w:hAnsiTheme="majorHAnsi" w:cstheme="majorBidi"/>
      <w:i/>
      <w:iCs/>
      <w:spacing w:val="13"/>
      <w:sz w:val="24"/>
      <w:szCs w:val="24"/>
      <w:lang w:bidi="en-US"/>
    </w:rPr>
  </w:style>
  <w:style w:type="character" w:styleId="Emphasis">
    <w:name w:val="Emphasis"/>
    <w:uiPriority w:val="99"/>
    <w:semiHidden/>
    <w:qFormat/>
    <w:rsid w:val="004214B5"/>
    <w:rPr>
      <w:b/>
      <w:bCs/>
      <w:i/>
      <w:iCs/>
      <w:spacing w:val="10"/>
      <w:bdr w:val="none" w:sz="0" w:space="0" w:color="auto"/>
      <w:shd w:val="clear" w:color="auto" w:fill="auto"/>
    </w:rPr>
  </w:style>
  <w:style w:type="paragraph" w:styleId="NoSpacing">
    <w:name w:val="No Spacing"/>
    <w:basedOn w:val="Normal"/>
    <w:link w:val="NoSpacingChar"/>
    <w:uiPriority w:val="99"/>
    <w:semiHidden/>
    <w:qFormat/>
    <w:rsid w:val="004214B5"/>
    <w:rPr>
      <w:sz w:val="22"/>
      <w:lang w:val="fr-FR" w:eastAsia="fr-FR"/>
    </w:rPr>
  </w:style>
  <w:style w:type="character" w:customStyle="1" w:styleId="NoSpacingChar">
    <w:name w:val="No Spacing Char"/>
    <w:basedOn w:val="DefaultParagraphFont"/>
    <w:link w:val="NoSpacing"/>
    <w:semiHidden/>
    <w:rsid w:val="004214B5"/>
    <w:rPr>
      <w:rFonts w:eastAsiaTheme="minorEastAsia"/>
    </w:rPr>
  </w:style>
  <w:style w:type="paragraph" w:styleId="ListParagraph">
    <w:name w:val="List Paragraph"/>
    <w:basedOn w:val="Normal"/>
    <w:uiPriority w:val="99"/>
    <w:semiHidden/>
    <w:qFormat/>
    <w:rsid w:val="004214B5"/>
    <w:pPr>
      <w:ind w:left="720"/>
      <w:contextualSpacing/>
    </w:pPr>
    <w:rPr>
      <w:lang w:val="fr-FR" w:eastAsia="fr-FR"/>
    </w:rPr>
  </w:style>
  <w:style w:type="paragraph" w:styleId="Quote">
    <w:name w:val="Quote"/>
    <w:basedOn w:val="Normal"/>
    <w:next w:val="Normal"/>
    <w:link w:val="QuoteChar"/>
    <w:uiPriority w:val="99"/>
    <w:semiHidden/>
    <w:qFormat/>
    <w:rsid w:val="004214B5"/>
    <w:pPr>
      <w:spacing w:before="200"/>
      <w:ind w:left="360" w:right="360"/>
    </w:pPr>
    <w:rPr>
      <w:i/>
      <w:iCs/>
      <w:sz w:val="22"/>
      <w:lang w:val="fr-FR" w:eastAsia="fr-FR" w:bidi="en-US"/>
    </w:rPr>
  </w:style>
  <w:style w:type="character" w:customStyle="1" w:styleId="QuoteChar">
    <w:name w:val="Quote Char"/>
    <w:basedOn w:val="DefaultParagraphFont"/>
    <w:link w:val="Quote"/>
    <w:uiPriority w:val="99"/>
    <w:semiHidden/>
    <w:rsid w:val="004214B5"/>
    <w:rPr>
      <w:rFonts w:eastAsiaTheme="minorEastAsia"/>
      <w:i/>
      <w:iCs/>
      <w:lang w:bidi="en-US"/>
    </w:rPr>
  </w:style>
  <w:style w:type="paragraph" w:styleId="IntenseQuote">
    <w:name w:val="Intense Quote"/>
    <w:basedOn w:val="Normal"/>
    <w:next w:val="Normal"/>
    <w:link w:val="IntenseQuoteChar"/>
    <w:uiPriority w:val="99"/>
    <w:semiHidden/>
    <w:qFormat/>
    <w:rsid w:val="004214B5"/>
    <w:pPr>
      <w:pBdr>
        <w:bottom w:val="single" w:sz="4" w:space="1" w:color="auto"/>
      </w:pBdr>
      <w:spacing w:before="200" w:after="280"/>
      <w:ind w:left="1008" w:right="1152"/>
    </w:pPr>
    <w:rPr>
      <w:b/>
      <w:bCs/>
      <w:i/>
      <w:iCs/>
      <w:sz w:val="22"/>
      <w:lang w:val="fr-FR" w:eastAsia="fr-FR" w:bidi="en-US"/>
    </w:rPr>
  </w:style>
  <w:style w:type="character" w:customStyle="1" w:styleId="IntenseQuoteChar">
    <w:name w:val="Intense Quote Char"/>
    <w:basedOn w:val="DefaultParagraphFont"/>
    <w:link w:val="IntenseQuote"/>
    <w:uiPriority w:val="99"/>
    <w:semiHidden/>
    <w:rsid w:val="004214B5"/>
    <w:rPr>
      <w:rFonts w:eastAsiaTheme="minorEastAsia"/>
      <w:b/>
      <w:bCs/>
      <w:i/>
      <w:iCs/>
      <w:lang w:bidi="en-US"/>
    </w:rPr>
  </w:style>
  <w:style w:type="character" w:styleId="SubtleEmphasis">
    <w:name w:val="Subtle Emphasis"/>
    <w:uiPriority w:val="99"/>
    <w:semiHidden/>
    <w:qFormat/>
    <w:rsid w:val="004214B5"/>
    <w:rPr>
      <w:i/>
      <w:iCs/>
    </w:rPr>
  </w:style>
  <w:style w:type="character" w:styleId="IntenseEmphasis">
    <w:name w:val="Intense Emphasis"/>
    <w:uiPriority w:val="99"/>
    <w:semiHidden/>
    <w:qFormat/>
    <w:rsid w:val="004214B5"/>
    <w:rPr>
      <w:b/>
      <w:bCs/>
    </w:rPr>
  </w:style>
  <w:style w:type="character" w:styleId="SubtleReference">
    <w:name w:val="Subtle Reference"/>
    <w:uiPriority w:val="99"/>
    <w:semiHidden/>
    <w:qFormat/>
    <w:rsid w:val="004214B5"/>
    <w:rPr>
      <w:smallCaps/>
    </w:rPr>
  </w:style>
  <w:style w:type="character" w:styleId="IntenseReference">
    <w:name w:val="Intense Reference"/>
    <w:uiPriority w:val="99"/>
    <w:semiHidden/>
    <w:qFormat/>
    <w:rsid w:val="004214B5"/>
    <w:rPr>
      <w:smallCaps/>
      <w:spacing w:val="5"/>
      <w:u w:val="single"/>
    </w:rPr>
  </w:style>
  <w:style w:type="character" w:styleId="BookTitle">
    <w:name w:val="Book Title"/>
    <w:uiPriority w:val="99"/>
    <w:semiHidden/>
    <w:qFormat/>
    <w:rsid w:val="004214B5"/>
    <w:rPr>
      <w:i/>
      <w:iCs/>
      <w:smallCaps/>
      <w:spacing w:val="5"/>
    </w:rPr>
  </w:style>
  <w:style w:type="paragraph" w:styleId="TOCHeading">
    <w:name w:val="TOC Heading"/>
    <w:basedOn w:val="Heading1"/>
    <w:next w:val="Normal"/>
    <w:uiPriority w:val="99"/>
    <w:semiHidden/>
    <w:qFormat/>
    <w:rsid w:val="004214B5"/>
    <w:pPr>
      <w:outlineLvl w:val="9"/>
    </w:pPr>
    <w:rPr>
      <w:color w:val="474747" w:themeColor="accent3" w:themeShade="BF"/>
      <w:lang w:val="fr-FR" w:eastAsia="fr-FR"/>
    </w:rPr>
  </w:style>
  <w:style w:type="numbering" w:styleId="111111">
    <w:name w:val="Outline List 2"/>
    <w:basedOn w:val="NoList"/>
    <w:uiPriority w:val="99"/>
    <w:semiHidden/>
    <w:rsid w:val="00171962"/>
    <w:pPr>
      <w:numPr>
        <w:numId w:val="2"/>
      </w:numPr>
    </w:pPr>
  </w:style>
  <w:style w:type="numbering" w:styleId="1ai">
    <w:name w:val="Outline List 1"/>
    <w:basedOn w:val="NoList"/>
    <w:uiPriority w:val="99"/>
    <w:semiHidden/>
    <w:rsid w:val="00171962"/>
    <w:pPr>
      <w:numPr>
        <w:numId w:val="3"/>
      </w:numPr>
    </w:pPr>
  </w:style>
  <w:style w:type="numbering" w:styleId="ArticleSection">
    <w:name w:val="Outline List 3"/>
    <w:basedOn w:val="NoList"/>
    <w:uiPriority w:val="99"/>
    <w:semiHidden/>
    <w:rsid w:val="00171962"/>
    <w:pPr>
      <w:numPr>
        <w:numId w:val="4"/>
      </w:numPr>
    </w:pPr>
  </w:style>
  <w:style w:type="paragraph" w:styleId="Bibliography">
    <w:name w:val="Bibliography"/>
    <w:basedOn w:val="Normal"/>
    <w:next w:val="Normal"/>
    <w:uiPriority w:val="99"/>
    <w:semiHidden/>
    <w:unhideWhenUsed/>
    <w:rsid w:val="00171962"/>
  </w:style>
  <w:style w:type="paragraph" w:styleId="BlockText">
    <w:name w:val="Block Text"/>
    <w:basedOn w:val="Normal"/>
    <w:uiPriority w:val="99"/>
    <w:semiHidden/>
    <w:rsid w:val="00171962"/>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BodyText">
    <w:name w:val="Body Text"/>
    <w:basedOn w:val="Normal"/>
    <w:link w:val="BodyTextChar"/>
    <w:uiPriority w:val="99"/>
    <w:semiHidden/>
    <w:rsid w:val="00171962"/>
    <w:pPr>
      <w:spacing w:after="120"/>
    </w:pPr>
  </w:style>
  <w:style w:type="character" w:customStyle="1" w:styleId="BodyTextChar">
    <w:name w:val="Body Text Char"/>
    <w:basedOn w:val="DefaultParagraphFont"/>
    <w:link w:val="BodyText"/>
    <w:rsid w:val="00171962"/>
    <w:rPr>
      <w:sz w:val="24"/>
      <w:lang w:val="en-GB"/>
    </w:rPr>
  </w:style>
  <w:style w:type="paragraph" w:styleId="BodyText2">
    <w:name w:val="Body Text 2"/>
    <w:basedOn w:val="Normal"/>
    <w:link w:val="BodyText2Char"/>
    <w:uiPriority w:val="99"/>
    <w:semiHidden/>
    <w:rsid w:val="00171962"/>
    <w:pPr>
      <w:spacing w:after="120" w:line="480" w:lineRule="auto"/>
    </w:pPr>
  </w:style>
  <w:style w:type="character" w:customStyle="1" w:styleId="BodyText2Char">
    <w:name w:val="Body Text 2 Char"/>
    <w:basedOn w:val="DefaultParagraphFont"/>
    <w:link w:val="BodyText2"/>
    <w:rsid w:val="00171962"/>
    <w:rPr>
      <w:sz w:val="24"/>
      <w:lang w:val="en-GB"/>
    </w:rPr>
  </w:style>
  <w:style w:type="paragraph" w:styleId="BodyText3">
    <w:name w:val="Body Text 3"/>
    <w:basedOn w:val="Normal"/>
    <w:link w:val="BodyText3Char"/>
    <w:uiPriority w:val="99"/>
    <w:semiHidden/>
    <w:rsid w:val="00171962"/>
    <w:pPr>
      <w:spacing w:after="120"/>
    </w:pPr>
    <w:rPr>
      <w:sz w:val="16"/>
      <w:szCs w:val="16"/>
    </w:rPr>
  </w:style>
  <w:style w:type="character" w:customStyle="1" w:styleId="BodyText3Char">
    <w:name w:val="Body Text 3 Char"/>
    <w:basedOn w:val="DefaultParagraphFont"/>
    <w:link w:val="BodyText3"/>
    <w:rsid w:val="00171962"/>
    <w:rPr>
      <w:sz w:val="16"/>
      <w:szCs w:val="16"/>
      <w:lang w:val="en-GB"/>
    </w:rPr>
  </w:style>
  <w:style w:type="paragraph" w:styleId="BodyTextFirstIndent">
    <w:name w:val="Body Text First Indent"/>
    <w:basedOn w:val="BodyText"/>
    <w:link w:val="BodyTextFirstIndentChar"/>
    <w:uiPriority w:val="99"/>
    <w:semiHidden/>
    <w:rsid w:val="00171962"/>
    <w:pPr>
      <w:spacing w:after="0"/>
      <w:ind w:firstLine="360"/>
    </w:pPr>
  </w:style>
  <w:style w:type="character" w:customStyle="1" w:styleId="BodyTextFirstIndentChar">
    <w:name w:val="Body Text First Indent Char"/>
    <w:basedOn w:val="BodyTextChar"/>
    <w:link w:val="BodyTextFirstIndent"/>
    <w:rsid w:val="00171962"/>
    <w:rPr>
      <w:sz w:val="24"/>
      <w:lang w:val="en-GB"/>
    </w:rPr>
  </w:style>
  <w:style w:type="paragraph" w:styleId="BodyTextIndent">
    <w:name w:val="Body Text Indent"/>
    <w:basedOn w:val="Normal"/>
    <w:link w:val="BodyTextIndentChar"/>
    <w:uiPriority w:val="99"/>
    <w:semiHidden/>
    <w:rsid w:val="00171962"/>
    <w:pPr>
      <w:spacing w:after="120"/>
      <w:ind w:left="283"/>
    </w:pPr>
  </w:style>
  <w:style w:type="character" w:customStyle="1" w:styleId="BodyTextIndentChar">
    <w:name w:val="Body Text Indent Char"/>
    <w:basedOn w:val="DefaultParagraphFont"/>
    <w:link w:val="BodyTextIndent"/>
    <w:rsid w:val="00171962"/>
    <w:rPr>
      <w:sz w:val="24"/>
      <w:lang w:val="en-GB"/>
    </w:rPr>
  </w:style>
  <w:style w:type="paragraph" w:styleId="BodyTextFirstIndent2">
    <w:name w:val="Body Text First Indent 2"/>
    <w:basedOn w:val="BodyTextIndent"/>
    <w:link w:val="BodyTextFirstIndent2Char"/>
    <w:uiPriority w:val="99"/>
    <w:semiHidden/>
    <w:rsid w:val="00171962"/>
    <w:pPr>
      <w:spacing w:after="0"/>
      <w:ind w:left="360" w:firstLine="360"/>
    </w:pPr>
  </w:style>
  <w:style w:type="character" w:customStyle="1" w:styleId="BodyTextFirstIndent2Char">
    <w:name w:val="Body Text First Indent 2 Char"/>
    <w:basedOn w:val="BodyTextIndentChar"/>
    <w:link w:val="BodyTextFirstIndent2"/>
    <w:rsid w:val="00171962"/>
    <w:rPr>
      <w:sz w:val="24"/>
      <w:lang w:val="en-GB"/>
    </w:rPr>
  </w:style>
  <w:style w:type="paragraph" w:styleId="BodyTextIndent2">
    <w:name w:val="Body Text Indent 2"/>
    <w:basedOn w:val="Normal"/>
    <w:link w:val="BodyTextIndent2Char"/>
    <w:uiPriority w:val="99"/>
    <w:semiHidden/>
    <w:rsid w:val="00171962"/>
    <w:pPr>
      <w:spacing w:after="120" w:line="480" w:lineRule="auto"/>
      <w:ind w:left="283"/>
    </w:pPr>
  </w:style>
  <w:style w:type="character" w:customStyle="1" w:styleId="BodyTextIndent2Char">
    <w:name w:val="Body Text Indent 2 Char"/>
    <w:basedOn w:val="DefaultParagraphFont"/>
    <w:link w:val="BodyTextIndent2"/>
    <w:rsid w:val="00171962"/>
    <w:rPr>
      <w:sz w:val="24"/>
      <w:lang w:val="en-GB"/>
    </w:rPr>
  </w:style>
  <w:style w:type="paragraph" w:styleId="BodyTextIndent3">
    <w:name w:val="Body Text Indent 3"/>
    <w:basedOn w:val="Normal"/>
    <w:link w:val="BodyTextIndent3Char"/>
    <w:uiPriority w:val="99"/>
    <w:semiHidden/>
    <w:rsid w:val="00171962"/>
    <w:pPr>
      <w:spacing w:after="120"/>
      <w:ind w:left="283"/>
    </w:pPr>
    <w:rPr>
      <w:sz w:val="16"/>
      <w:szCs w:val="16"/>
    </w:rPr>
  </w:style>
  <w:style w:type="character" w:customStyle="1" w:styleId="BodyTextIndent3Char">
    <w:name w:val="Body Text Indent 3 Char"/>
    <w:basedOn w:val="DefaultParagraphFont"/>
    <w:link w:val="BodyTextIndent3"/>
    <w:rsid w:val="00171962"/>
    <w:rPr>
      <w:sz w:val="16"/>
      <w:szCs w:val="16"/>
      <w:lang w:val="en-GB"/>
    </w:rPr>
  </w:style>
  <w:style w:type="paragraph" w:styleId="Caption">
    <w:name w:val="caption"/>
    <w:basedOn w:val="Normal"/>
    <w:next w:val="Normal"/>
    <w:uiPriority w:val="99"/>
    <w:semiHidden/>
    <w:qFormat/>
    <w:rsid w:val="00171962"/>
    <w:pPr>
      <w:spacing w:after="200"/>
    </w:pPr>
    <w:rPr>
      <w:b/>
      <w:bCs/>
      <w:color w:val="0072BC" w:themeColor="accent1"/>
      <w:sz w:val="18"/>
      <w:szCs w:val="18"/>
      <w:lang w:val="fr-FR" w:eastAsia="fr-FR"/>
    </w:rPr>
  </w:style>
  <w:style w:type="paragraph" w:styleId="Closing">
    <w:name w:val="Closing"/>
    <w:basedOn w:val="Normal"/>
    <w:link w:val="ClosingChar"/>
    <w:uiPriority w:val="99"/>
    <w:semiHidden/>
    <w:rsid w:val="00171962"/>
    <w:pPr>
      <w:ind w:left="4252"/>
    </w:pPr>
  </w:style>
  <w:style w:type="character" w:customStyle="1" w:styleId="ClosingChar">
    <w:name w:val="Closing Char"/>
    <w:basedOn w:val="DefaultParagraphFont"/>
    <w:link w:val="Closing"/>
    <w:rsid w:val="00171962"/>
    <w:rPr>
      <w:sz w:val="24"/>
      <w:lang w:val="en-GB"/>
    </w:rPr>
  </w:style>
  <w:style w:type="table" w:styleId="ColorfulGrid">
    <w:name w:val="Colorful Grid"/>
    <w:basedOn w:val="TableNormal"/>
    <w:uiPriority w:val="99"/>
    <w:semiHidden/>
    <w:rsid w:val="0017196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17196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17196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17196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17196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17196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17196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17196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171962"/>
    <w:rPr>
      <w:color w:val="000000" w:themeColor="text1"/>
    </w:rPr>
    <w:tblPr>
      <w:tblStyleRowBandSize w:val="1"/>
      <w:tblStyleColBandSize w:val="1"/>
      <w:tblInd w:w="0" w:type="dxa"/>
      <w:tblCellMar>
        <w:top w:w="0" w:type="dxa"/>
        <w:left w:w="108" w:type="dxa"/>
        <w:bottom w:w="0" w:type="dxa"/>
        <w:right w:w="108" w:type="dxa"/>
      </w:tblCellMar>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17196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17196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17196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17196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17196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171962"/>
    <w:rPr>
      <w:color w:val="000000" w:themeColor="text1"/>
    </w:rPr>
    <w:tblPr>
      <w:tblStyleRowBandSize w:val="1"/>
      <w:tblStyleColBandSize w:val="1"/>
      <w:tblInd w:w="0" w:type="dxa"/>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171962"/>
    <w:rPr>
      <w:color w:val="000000" w:themeColor="text1"/>
    </w:rPr>
    <w:tblPr>
      <w:tblStyleRowBandSize w:val="1"/>
      <w:tblStyleColBandSize w:val="1"/>
      <w:tblInd w:w="0" w:type="dxa"/>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171962"/>
    <w:rPr>
      <w:color w:val="000000" w:themeColor="text1"/>
    </w:rPr>
    <w:tblPr>
      <w:tblStyleRowBandSize w:val="1"/>
      <w:tblStyleColBandSize w:val="1"/>
      <w:tblInd w:w="0" w:type="dxa"/>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171962"/>
    <w:rPr>
      <w:color w:val="000000" w:themeColor="text1"/>
    </w:rPr>
    <w:tblPr>
      <w:tblStyleRowBandSize w:val="1"/>
      <w:tblStyleColBandSize w:val="1"/>
      <w:tblInd w:w="0" w:type="dxa"/>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171962"/>
    <w:rPr>
      <w:color w:val="000000" w:themeColor="text1"/>
    </w:rPr>
    <w:tblPr>
      <w:tblStyleRowBandSize w:val="1"/>
      <w:tblStyleColBandSize w:val="1"/>
      <w:tblInd w:w="0" w:type="dxa"/>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171962"/>
    <w:rPr>
      <w:color w:val="000000" w:themeColor="text1"/>
    </w:rPr>
    <w:tblPr>
      <w:tblStyleRowBandSize w:val="1"/>
      <w:tblStyleColBandSize w:val="1"/>
      <w:tblInd w:w="0" w:type="dxa"/>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171962"/>
    <w:rPr>
      <w:color w:val="000000" w:themeColor="text1"/>
    </w:rPr>
    <w:tblPr>
      <w:tblStyleRowBandSize w:val="1"/>
      <w:tblStyleColBandSize w:val="1"/>
      <w:tblInd w:w="0" w:type="dxa"/>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17196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17196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17196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17196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17196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17196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17196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171962"/>
  </w:style>
  <w:style w:type="character" w:customStyle="1" w:styleId="DateChar">
    <w:name w:val="Date Char"/>
    <w:basedOn w:val="DefaultParagraphFont"/>
    <w:link w:val="Date"/>
    <w:rsid w:val="00171962"/>
    <w:rPr>
      <w:sz w:val="24"/>
      <w:lang w:val="en-GB"/>
    </w:rPr>
  </w:style>
  <w:style w:type="paragraph" w:styleId="E-mailSignature">
    <w:name w:val="E-mail Signature"/>
    <w:basedOn w:val="Normal"/>
    <w:link w:val="E-mailSignatureChar"/>
    <w:uiPriority w:val="99"/>
    <w:semiHidden/>
    <w:rsid w:val="00171962"/>
  </w:style>
  <w:style w:type="character" w:customStyle="1" w:styleId="E-mailSignatureChar">
    <w:name w:val="E-mail Signature Char"/>
    <w:basedOn w:val="DefaultParagraphFont"/>
    <w:link w:val="E-mailSignature"/>
    <w:rsid w:val="00171962"/>
    <w:rPr>
      <w:sz w:val="24"/>
      <w:lang w:val="en-GB"/>
    </w:rPr>
  </w:style>
  <w:style w:type="paragraph" w:styleId="EnvelopeAddress">
    <w:name w:val="envelope address"/>
    <w:basedOn w:val="Normal"/>
    <w:uiPriority w:val="99"/>
    <w:semiHidden/>
    <w:rsid w:val="00171962"/>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171962"/>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171962"/>
  </w:style>
  <w:style w:type="paragraph" w:styleId="HTMLAddress">
    <w:name w:val="HTML Address"/>
    <w:basedOn w:val="Normal"/>
    <w:link w:val="HTMLAddressChar"/>
    <w:uiPriority w:val="99"/>
    <w:semiHidden/>
    <w:rsid w:val="00171962"/>
    <w:rPr>
      <w:i/>
      <w:iCs/>
    </w:rPr>
  </w:style>
  <w:style w:type="character" w:customStyle="1" w:styleId="HTMLAddressChar">
    <w:name w:val="HTML Address Char"/>
    <w:basedOn w:val="DefaultParagraphFont"/>
    <w:link w:val="HTMLAddress"/>
    <w:rsid w:val="00171962"/>
    <w:rPr>
      <w:i/>
      <w:iCs/>
      <w:sz w:val="24"/>
      <w:lang w:val="en-GB"/>
    </w:rPr>
  </w:style>
  <w:style w:type="character" w:styleId="HTMLCite">
    <w:name w:val="HTML Cite"/>
    <w:basedOn w:val="DefaultParagraphFont"/>
    <w:uiPriority w:val="99"/>
    <w:semiHidden/>
    <w:rsid w:val="00171962"/>
    <w:rPr>
      <w:i/>
      <w:iCs/>
    </w:rPr>
  </w:style>
  <w:style w:type="character" w:styleId="HTMLCode">
    <w:name w:val="HTML Code"/>
    <w:basedOn w:val="DefaultParagraphFont"/>
    <w:uiPriority w:val="99"/>
    <w:semiHidden/>
    <w:rsid w:val="00171962"/>
    <w:rPr>
      <w:rFonts w:ascii="Consolas" w:hAnsi="Consolas" w:cs="Consolas"/>
      <w:sz w:val="20"/>
      <w:szCs w:val="20"/>
    </w:rPr>
  </w:style>
  <w:style w:type="character" w:styleId="HTMLDefinition">
    <w:name w:val="HTML Definition"/>
    <w:basedOn w:val="DefaultParagraphFont"/>
    <w:uiPriority w:val="99"/>
    <w:semiHidden/>
    <w:rsid w:val="00171962"/>
    <w:rPr>
      <w:i/>
      <w:iCs/>
    </w:rPr>
  </w:style>
  <w:style w:type="character" w:styleId="HTMLKeyboard">
    <w:name w:val="HTML Keyboard"/>
    <w:basedOn w:val="DefaultParagraphFont"/>
    <w:uiPriority w:val="99"/>
    <w:semiHidden/>
    <w:rsid w:val="00171962"/>
    <w:rPr>
      <w:rFonts w:ascii="Consolas" w:hAnsi="Consolas" w:cs="Consolas"/>
      <w:sz w:val="20"/>
      <w:szCs w:val="20"/>
    </w:rPr>
  </w:style>
  <w:style w:type="paragraph" w:styleId="HTMLPreformatted">
    <w:name w:val="HTML Preformatted"/>
    <w:basedOn w:val="Normal"/>
    <w:link w:val="HTMLPreformattedChar"/>
    <w:uiPriority w:val="99"/>
    <w:semiHidden/>
    <w:rsid w:val="00171962"/>
    <w:rPr>
      <w:rFonts w:ascii="Consolas" w:hAnsi="Consolas" w:cs="Consolas"/>
      <w:sz w:val="20"/>
      <w:szCs w:val="20"/>
    </w:rPr>
  </w:style>
  <w:style w:type="character" w:customStyle="1" w:styleId="HTMLPreformattedChar">
    <w:name w:val="HTML Preformatted Char"/>
    <w:basedOn w:val="DefaultParagraphFont"/>
    <w:link w:val="HTMLPreformatted"/>
    <w:rsid w:val="00171962"/>
    <w:rPr>
      <w:rFonts w:ascii="Consolas" w:hAnsi="Consolas" w:cs="Consolas"/>
      <w:sz w:val="20"/>
      <w:szCs w:val="20"/>
      <w:lang w:val="en-GB"/>
    </w:rPr>
  </w:style>
  <w:style w:type="character" w:styleId="HTMLSample">
    <w:name w:val="HTML Sample"/>
    <w:basedOn w:val="DefaultParagraphFont"/>
    <w:uiPriority w:val="99"/>
    <w:semiHidden/>
    <w:rsid w:val="00171962"/>
    <w:rPr>
      <w:rFonts w:ascii="Consolas" w:hAnsi="Consolas" w:cs="Consolas"/>
      <w:sz w:val="24"/>
      <w:szCs w:val="24"/>
    </w:rPr>
  </w:style>
  <w:style w:type="character" w:styleId="HTMLTypewriter">
    <w:name w:val="HTML Typewriter"/>
    <w:basedOn w:val="DefaultParagraphFont"/>
    <w:uiPriority w:val="99"/>
    <w:semiHidden/>
    <w:rsid w:val="00171962"/>
    <w:rPr>
      <w:rFonts w:ascii="Consolas" w:hAnsi="Consolas" w:cs="Consolas"/>
      <w:sz w:val="20"/>
      <w:szCs w:val="20"/>
    </w:rPr>
  </w:style>
  <w:style w:type="character" w:styleId="HTMLVariable">
    <w:name w:val="HTML Variable"/>
    <w:basedOn w:val="DefaultParagraphFont"/>
    <w:uiPriority w:val="99"/>
    <w:semiHidden/>
    <w:rsid w:val="00171962"/>
    <w:rPr>
      <w:i/>
      <w:iCs/>
    </w:rPr>
  </w:style>
  <w:style w:type="paragraph" w:styleId="Index1">
    <w:name w:val="index 1"/>
    <w:basedOn w:val="Normal"/>
    <w:next w:val="Normal"/>
    <w:autoRedefine/>
    <w:uiPriority w:val="99"/>
    <w:semiHidden/>
    <w:rsid w:val="00171962"/>
    <w:pPr>
      <w:ind w:left="240" w:hanging="240"/>
    </w:pPr>
  </w:style>
  <w:style w:type="paragraph" w:styleId="Index2">
    <w:name w:val="index 2"/>
    <w:basedOn w:val="Normal"/>
    <w:next w:val="Normal"/>
    <w:autoRedefine/>
    <w:uiPriority w:val="99"/>
    <w:semiHidden/>
    <w:rsid w:val="00171962"/>
    <w:pPr>
      <w:ind w:left="480" w:hanging="240"/>
    </w:pPr>
  </w:style>
  <w:style w:type="paragraph" w:styleId="Index3">
    <w:name w:val="index 3"/>
    <w:basedOn w:val="Normal"/>
    <w:next w:val="Normal"/>
    <w:autoRedefine/>
    <w:uiPriority w:val="99"/>
    <w:semiHidden/>
    <w:rsid w:val="00171962"/>
    <w:pPr>
      <w:ind w:left="720" w:hanging="240"/>
    </w:pPr>
  </w:style>
  <w:style w:type="paragraph" w:styleId="Index4">
    <w:name w:val="index 4"/>
    <w:basedOn w:val="Normal"/>
    <w:next w:val="Normal"/>
    <w:autoRedefine/>
    <w:uiPriority w:val="99"/>
    <w:semiHidden/>
    <w:rsid w:val="00171962"/>
    <w:pPr>
      <w:ind w:left="960" w:hanging="240"/>
    </w:pPr>
  </w:style>
  <w:style w:type="paragraph" w:styleId="Index5">
    <w:name w:val="index 5"/>
    <w:basedOn w:val="Normal"/>
    <w:next w:val="Normal"/>
    <w:autoRedefine/>
    <w:uiPriority w:val="99"/>
    <w:semiHidden/>
    <w:rsid w:val="00171962"/>
    <w:pPr>
      <w:ind w:left="1200" w:hanging="240"/>
    </w:pPr>
  </w:style>
  <w:style w:type="paragraph" w:styleId="Index6">
    <w:name w:val="index 6"/>
    <w:basedOn w:val="Normal"/>
    <w:next w:val="Normal"/>
    <w:autoRedefine/>
    <w:uiPriority w:val="99"/>
    <w:semiHidden/>
    <w:rsid w:val="00171962"/>
    <w:pPr>
      <w:ind w:left="1440" w:hanging="240"/>
    </w:pPr>
  </w:style>
  <w:style w:type="paragraph" w:styleId="Index7">
    <w:name w:val="index 7"/>
    <w:basedOn w:val="Normal"/>
    <w:next w:val="Normal"/>
    <w:autoRedefine/>
    <w:uiPriority w:val="99"/>
    <w:semiHidden/>
    <w:rsid w:val="00171962"/>
    <w:pPr>
      <w:ind w:left="1680" w:hanging="240"/>
    </w:pPr>
  </w:style>
  <w:style w:type="paragraph" w:styleId="Index8">
    <w:name w:val="index 8"/>
    <w:basedOn w:val="Normal"/>
    <w:next w:val="Normal"/>
    <w:autoRedefine/>
    <w:uiPriority w:val="99"/>
    <w:semiHidden/>
    <w:rsid w:val="00171962"/>
    <w:pPr>
      <w:ind w:left="1920" w:hanging="240"/>
    </w:pPr>
  </w:style>
  <w:style w:type="paragraph" w:styleId="Index9">
    <w:name w:val="index 9"/>
    <w:basedOn w:val="Normal"/>
    <w:next w:val="Normal"/>
    <w:autoRedefine/>
    <w:uiPriority w:val="99"/>
    <w:semiHidden/>
    <w:rsid w:val="00171962"/>
    <w:pPr>
      <w:ind w:left="2160" w:hanging="240"/>
    </w:pPr>
  </w:style>
  <w:style w:type="paragraph" w:styleId="IndexHeading">
    <w:name w:val="index heading"/>
    <w:basedOn w:val="Normal"/>
    <w:next w:val="Index1"/>
    <w:uiPriority w:val="99"/>
    <w:semiHidden/>
    <w:rsid w:val="00171962"/>
    <w:rPr>
      <w:rFonts w:asciiTheme="majorHAnsi" w:eastAsiaTheme="majorEastAsia" w:hAnsiTheme="majorHAnsi" w:cstheme="majorBidi"/>
      <w:b/>
      <w:bCs/>
    </w:rPr>
  </w:style>
  <w:style w:type="table" w:styleId="LightGrid">
    <w:name w:val="Light Grid"/>
    <w:basedOn w:val="TableNormal"/>
    <w:uiPriority w:val="99"/>
    <w:semiHidden/>
    <w:rsid w:val="0017196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171962"/>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171962"/>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171962"/>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171962"/>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171962"/>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171962"/>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17196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171962"/>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171962"/>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171962"/>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171962"/>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171962"/>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171962"/>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171962"/>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171962"/>
    <w:rPr>
      <w:color w:val="00548C" w:themeColor="accent1" w:themeShade="BF"/>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171962"/>
    <w:rPr>
      <w:color w:val="8F0000" w:themeColor="accent2" w:themeShade="BF"/>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171962"/>
    <w:rPr>
      <w:color w:val="474747" w:themeColor="accent3" w:themeShade="BF"/>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171962"/>
    <w:rPr>
      <w:color w:val="707070" w:themeColor="accent4" w:themeShade="BF"/>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171962"/>
    <w:rPr>
      <w:color w:val="474747" w:themeColor="accent5" w:themeShade="BF"/>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171962"/>
    <w:rPr>
      <w:color w:val="393939" w:themeColor="accent6" w:themeShade="BF"/>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171962"/>
  </w:style>
  <w:style w:type="paragraph" w:styleId="List">
    <w:name w:val="List"/>
    <w:basedOn w:val="Normal"/>
    <w:uiPriority w:val="99"/>
    <w:semiHidden/>
    <w:rsid w:val="00171962"/>
    <w:pPr>
      <w:ind w:left="283" w:hanging="283"/>
      <w:contextualSpacing/>
    </w:pPr>
  </w:style>
  <w:style w:type="paragraph" w:styleId="List2">
    <w:name w:val="List 2"/>
    <w:basedOn w:val="Normal"/>
    <w:uiPriority w:val="99"/>
    <w:semiHidden/>
    <w:rsid w:val="00171962"/>
    <w:pPr>
      <w:ind w:left="566" w:hanging="283"/>
      <w:contextualSpacing/>
    </w:pPr>
  </w:style>
  <w:style w:type="paragraph" w:styleId="List3">
    <w:name w:val="List 3"/>
    <w:basedOn w:val="Normal"/>
    <w:uiPriority w:val="99"/>
    <w:semiHidden/>
    <w:rsid w:val="00171962"/>
    <w:pPr>
      <w:ind w:left="849" w:hanging="283"/>
      <w:contextualSpacing/>
    </w:pPr>
  </w:style>
  <w:style w:type="paragraph" w:styleId="List4">
    <w:name w:val="List 4"/>
    <w:basedOn w:val="Normal"/>
    <w:uiPriority w:val="99"/>
    <w:semiHidden/>
    <w:rsid w:val="00171962"/>
    <w:pPr>
      <w:ind w:left="1132" w:hanging="283"/>
      <w:contextualSpacing/>
    </w:pPr>
  </w:style>
  <w:style w:type="paragraph" w:styleId="List5">
    <w:name w:val="List 5"/>
    <w:basedOn w:val="Normal"/>
    <w:uiPriority w:val="99"/>
    <w:semiHidden/>
    <w:rsid w:val="00171962"/>
    <w:pPr>
      <w:ind w:left="1415" w:hanging="283"/>
      <w:contextualSpacing/>
    </w:pPr>
  </w:style>
  <w:style w:type="paragraph" w:styleId="ListBullet2">
    <w:name w:val="List Bullet 2"/>
    <w:basedOn w:val="Normal"/>
    <w:uiPriority w:val="99"/>
    <w:semiHidden/>
    <w:rsid w:val="00171962"/>
    <w:pPr>
      <w:numPr>
        <w:numId w:val="5"/>
      </w:numPr>
      <w:contextualSpacing/>
    </w:pPr>
  </w:style>
  <w:style w:type="paragraph" w:styleId="ListBullet3">
    <w:name w:val="List Bullet 3"/>
    <w:basedOn w:val="Normal"/>
    <w:uiPriority w:val="99"/>
    <w:semiHidden/>
    <w:rsid w:val="00171962"/>
    <w:pPr>
      <w:numPr>
        <w:numId w:val="6"/>
      </w:numPr>
      <w:contextualSpacing/>
    </w:pPr>
  </w:style>
  <w:style w:type="paragraph" w:styleId="ListBullet4">
    <w:name w:val="List Bullet 4"/>
    <w:basedOn w:val="Normal"/>
    <w:uiPriority w:val="99"/>
    <w:semiHidden/>
    <w:rsid w:val="00171962"/>
    <w:pPr>
      <w:numPr>
        <w:numId w:val="7"/>
      </w:numPr>
      <w:contextualSpacing/>
    </w:pPr>
  </w:style>
  <w:style w:type="paragraph" w:styleId="ListBullet5">
    <w:name w:val="List Bullet 5"/>
    <w:basedOn w:val="Normal"/>
    <w:uiPriority w:val="99"/>
    <w:semiHidden/>
    <w:rsid w:val="00171962"/>
    <w:pPr>
      <w:numPr>
        <w:numId w:val="8"/>
      </w:numPr>
      <w:contextualSpacing/>
    </w:pPr>
  </w:style>
  <w:style w:type="paragraph" w:styleId="ListContinue">
    <w:name w:val="List Continue"/>
    <w:basedOn w:val="Normal"/>
    <w:uiPriority w:val="99"/>
    <w:semiHidden/>
    <w:rsid w:val="00171962"/>
    <w:pPr>
      <w:spacing w:after="120"/>
      <w:ind w:left="283"/>
      <w:contextualSpacing/>
    </w:pPr>
  </w:style>
  <w:style w:type="paragraph" w:styleId="ListContinue2">
    <w:name w:val="List Continue 2"/>
    <w:basedOn w:val="Normal"/>
    <w:uiPriority w:val="99"/>
    <w:semiHidden/>
    <w:rsid w:val="00171962"/>
    <w:pPr>
      <w:spacing w:after="120"/>
      <w:ind w:left="566"/>
      <w:contextualSpacing/>
    </w:pPr>
  </w:style>
  <w:style w:type="paragraph" w:styleId="ListContinue3">
    <w:name w:val="List Continue 3"/>
    <w:basedOn w:val="Normal"/>
    <w:uiPriority w:val="99"/>
    <w:semiHidden/>
    <w:rsid w:val="00171962"/>
    <w:pPr>
      <w:spacing w:after="120"/>
      <w:ind w:left="849"/>
      <w:contextualSpacing/>
    </w:pPr>
  </w:style>
  <w:style w:type="paragraph" w:styleId="ListContinue4">
    <w:name w:val="List Continue 4"/>
    <w:basedOn w:val="Normal"/>
    <w:uiPriority w:val="99"/>
    <w:semiHidden/>
    <w:rsid w:val="00171962"/>
    <w:pPr>
      <w:spacing w:after="120"/>
      <w:ind w:left="1132"/>
      <w:contextualSpacing/>
    </w:pPr>
  </w:style>
  <w:style w:type="paragraph" w:styleId="ListContinue5">
    <w:name w:val="List Continue 5"/>
    <w:basedOn w:val="Normal"/>
    <w:uiPriority w:val="99"/>
    <w:semiHidden/>
    <w:rsid w:val="00171962"/>
    <w:pPr>
      <w:spacing w:after="120"/>
      <w:ind w:left="1415"/>
      <w:contextualSpacing/>
    </w:pPr>
  </w:style>
  <w:style w:type="paragraph" w:styleId="ListNumber">
    <w:name w:val="List Number"/>
    <w:basedOn w:val="Normal"/>
    <w:uiPriority w:val="99"/>
    <w:semiHidden/>
    <w:rsid w:val="00171962"/>
    <w:pPr>
      <w:numPr>
        <w:numId w:val="9"/>
      </w:numPr>
      <w:contextualSpacing/>
    </w:pPr>
  </w:style>
  <w:style w:type="paragraph" w:styleId="ListNumber2">
    <w:name w:val="List Number 2"/>
    <w:basedOn w:val="Normal"/>
    <w:uiPriority w:val="99"/>
    <w:semiHidden/>
    <w:rsid w:val="00171962"/>
    <w:pPr>
      <w:numPr>
        <w:numId w:val="10"/>
      </w:numPr>
      <w:contextualSpacing/>
    </w:pPr>
  </w:style>
  <w:style w:type="paragraph" w:styleId="ListNumber3">
    <w:name w:val="List Number 3"/>
    <w:basedOn w:val="Normal"/>
    <w:uiPriority w:val="99"/>
    <w:semiHidden/>
    <w:rsid w:val="00171962"/>
    <w:pPr>
      <w:numPr>
        <w:numId w:val="11"/>
      </w:numPr>
      <w:contextualSpacing/>
    </w:pPr>
  </w:style>
  <w:style w:type="paragraph" w:styleId="ListNumber4">
    <w:name w:val="List Number 4"/>
    <w:basedOn w:val="Normal"/>
    <w:uiPriority w:val="99"/>
    <w:semiHidden/>
    <w:rsid w:val="00171962"/>
    <w:pPr>
      <w:numPr>
        <w:numId w:val="12"/>
      </w:numPr>
      <w:contextualSpacing/>
    </w:pPr>
  </w:style>
  <w:style w:type="paragraph" w:styleId="ListNumber5">
    <w:name w:val="List Number 5"/>
    <w:basedOn w:val="Normal"/>
    <w:uiPriority w:val="99"/>
    <w:semiHidden/>
    <w:rsid w:val="00171962"/>
    <w:pPr>
      <w:numPr>
        <w:numId w:val="13"/>
      </w:numPr>
      <w:contextualSpacing/>
    </w:pPr>
  </w:style>
  <w:style w:type="paragraph" w:styleId="MacroText">
    <w:name w:val="macro"/>
    <w:link w:val="MacroTextChar"/>
    <w:uiPriority w:val="99"/>
    <w:semiHidden/>
    <w:rsid w:val="00171962"/>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lang w:val="en-GB"/>
    </w:rPr>
  </w:style>
  <w:style w:type="character" w:customStyle="1" w:styleId="MacroTextChar">
    <w:name w:val="Macro Text Char"/>
    <w:basedOn w:val="DefaultParagraphFont"/>
    <w:link w:val="MacroText"/>
    <w:rsid w:val="00171962"/>
    <w:rPr>
      <w:rFonts w:ascii="Consolas" w:hAnsi="Consolas" w:cs="Consolas"/>
      <w:sz w:val="20"/>
      <w:szCs w:val="20"/>
      <w:lang w:val="en-GB"/>
    </w:rPr>
  </w:style>
  <w:style w:type="table" w:styleId="MediumGrid1">
    <w:name w:val="Medium Grid 1"/>
    <w:basedOn w:val="TableNormal"/>
    <w:uiPriority w:val="99"/>
    <w:semiHidden/>
    <w:rsid w:val="00171962"/>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171962"/>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CellMar>
        <w:top w:w="0" w:type="dxa"/>
        <w:left w:w="108" w:type="dxa"/>
        <w:bottom w:w="0" w:type="dxa"/>
        <w:right w:w="108" w:type="dxa"/>
      </w:tblCellMar>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171962"/>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CellMar>
        <w:top w:w="0" w:type="dxa"/>
        <w:left w:w="108" w:type="dxa"/>
        <w:bottom w:w="0" w:type="dxa"/>
        <w:right w:w="108" w:type="dxa"/>
      </w:tblCellMar>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171962"/>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CellMar>
        <w:top w:w="0" w:type="dxa"/>
        <w:left w:w="108" w:type="dxa"/>
        <w:bottom w:w="0" w:type="dxa"/>
        <w:right w:w="108" w:type="dxa"/>
      </w:tblCellMar>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171962"/>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CellMar>
        <w:top w:w="0" w:type="dxa"/>
        <w:left w:w="108" w:type="dxa"/>
        <w:bottom w:w="0" w:type="dxa"/>
        <w:right w:w="108" w:type="dxa"/>
      </w:tblCellMar>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171962"/>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CellMar>
        <w:top w:w="0" w:type="dxa"/>
        <w:left w:w="108" w:type="dxa"/>
        <w:bottom w:w="0" w:type="dxa"/>
        <w:right w:w="108" w:type="dxa"/>
      </w:tblCellMar>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171962"/>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CellMar>
        <w:top w:w="0" w:type="dxa"/>
        <w:left w:w="108" w:type="dxa"/>
        <w:bottom w:w="0" w:type="dxa"/>
        <w:right w:w="108" w:type="dxa"/>
      </w:tblCellMar>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17196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17196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17196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17196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17196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17196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17196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171962"/>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171962"/>
    <w:rPr>
      <w:color w:val="000000" w:themeColor="text1"/>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171962"/>
    <w:rPr>
      <w:color w:val="000000" w:themeColor="text1"/>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171962"/>
    <w:rPr>
      <w:color w:val="000000" w:themeColor="text1"/>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171962"/>
    <w:rPr>
      <w:color w:val="000000" w:themeColor="text1"/>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171962"/>
    <w:rPr>
      <w:color w:val="000000" w:themeColor="text1"/>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171962"/>
    <w:rPr>
      <w:color w:val="000000" w:themeColor="text1"/>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171962"/>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171962"/>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171962"/>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171962"/>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171962"/>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171962"/>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171962"/>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17196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17196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17196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17196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17196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17196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17196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17196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171962"/>
    <w:rPr>
      <w:rFonts w:asciiTheme="majorHAnsi" w:eastAsiaTheme="majorEastAsia" w:hAnsiTheme="majorHAnsi" w:cstheme="majorBidi"/>
      <w:sz w:val="24"/>
      <w:szCs w:val="24"/>
      <w:shd w:val="pct20" w:color="auto" w:fill="auto"/>
      <w:lang w:val="en-GB"/>
    </w:rPr>
  </w:style>
  <w:style w:type="paragraph" w:styleId="NormalWeb">
    <w:name w:val="Normal (Web)"/>
    <w:basedOn w:val="Normal"/>
    <w:uiPriority w:val="99"/>
    <w:semiHidden/>
    <w:rsid w:val="00171962"/>
    <w:rPr>
      <w:rFonts w:ascii="Times New Roman" w:hAnsi="Times New Roman" w:cs="Times New Roman"/>
      <w:szCs w:val="24"/>
    </w:rPr>
  </w:style>
  <w:style w:type="paragraph" w:styleId="NormalIndent">
    <w:name w:val="Normal Indent"/>
    <w:basedOn w:val="Normal"/>
    <w:uiPriority w:val="99"/>
    <w:semiHidden/>
    <w:rsid w:val="00171962"/>
    <w:pPr>
      <w:ind w:left="720"/>
    </w:pPr>
  </w:style>
  <w:style w:type="paragraph" w:styleId="NoteHeading">
    <w:name w:val="Note Heading"/>
    <w:basedOn w:val="Normal"/>
    <w:next w:val="Normal"/>
    <w:link w:val="NoteHeadingChar"/>
    <w:uiPriority w:val="99"/>
    <w:semiHidden/>
    <w:rsid w:val="00171962"/>
  </w:style>
  <w:style w:type="character" w:customStyle="1" w:styleId="NoteHeadingChar">
    <w:name w:val="Note Heading Char"/>
    <w:basedOn w:val="DefaultParagraphFont"/>
    <w:link w:val="NoteHeading"/>
    <w:rsid w:val="00171962"/>
    <w:rPr>
      <w:sz w:val="24"/>
      <w:lang w:val="en-GB"/>
    </w:rPr>
  </w:style>
  <w:style w:type="character" w:styleId="PlaceholderText">
    <w:name w:val="Placeholder Text"/>
    <w:basedOn w:val="DefaultParagraphFont"/>
    <w:uiPriority w:val="99"/>
    <w:semiHidden/>
    <w:rsid w:val="00171962"/>
    <w:rPr>
      <w:color w:val="808080"/>
    </w:rPr>
  </w:style>
  <w:style w:type="paragraph" w:styleId="PlainText">
    <w:name w:val="Plain Text"/>
    <w:basedOn w:val="Normal"/>
    <w:link w:val="PlainTextChar"/>
    <w:uiPriority w:val="99"/>
    <w:semiHidden/>
    <w:rsid w:val="00171962"/>
    <w:rPr>
      <w:rFonts w:ascii="Consolas" w:hAnsi="Consolas" w:cs="Consolas"/>
      <w:sz w:val="21"/>
      <w:szCs w:val="21"/>
    </w:rPr>
  </w:style>
  <w:style w:type="character" w:customStyle="1" w:styleId="PlainTextChar">
    <w:name w:val="Plain Text Char"/>
    <w:basedOn w:val="DefaultParagraphFont"/>
    <w:link w:val="PlainText"/>
    <w:rsid w:val="00171962"/>
    <w:rPr>
      <w:rFonts w:ascii="Consolas" w:hAnsi="Consolas" w:cs="Consolas"/>
      <w:sz w:val="21"/>
      <w:szCs w:val="21"/>
      <w:lang w:val="en-GB"/>
    </w:rPr>
  </w:style>
  <w:style w:type="paragraph" w:styleId="Salutation">
    <w:name w:val="Salutation"/>
    <w:basedOn w:val="Normal"/>
    <w:next w:val="Normal"/>
    <w:link w:val="SalutationChar"/>
    <w:uiPriority w:val="99"/>
    <w:semiHidden/>
    <w:rsid w:val="00171962"/>
  </w:style>
  <w:style w:type="character" w:customStyle="1" w:styleId="SalutationChar">
    <w:name w:val="Salutation Char"/>
    <w:basedOn w:val="DefaultParagraphFont"/>
    <w:link w:val="Salutation"/>
    <w:rsid w:val="00171962"/>
    <w:rPr>
      <w:sz w:val="24"/>
      <w:lang w:val="en-GB"/>
    </w:rPr>
  </w:style>
  <w:style w:type="paragraph" w:styleId="Signature">
    <w:name w:val="Signature"/>
    <w:basedOn w:val="Normal"/>
    <w:link w:val="SignatureChar"/>
    <w:uiPriority w:val="99"/>
    <w:semiHidden/>
    <w:rsid w:val="00171962"/>
    <w:pPr>
      <w:ind w:left="4252"/>
    </w:pPr>
  </w:style>
  <w:style w:type="character" w:customStyle="1" w:styleId="SignatureChar">
    <w:name w:val="Signature Char"/>
    <w:basedOn w:val="DefaultParagraphFont"/>
    <w:link w:val="Signature"/>
    <w:rsid w:val="00171962"/>
    <w:rPr>
      <w:sz w:val="24"/>
      <w:lang w:val="en-GB"/>
    </w:rPr>
  </w:style>
  <w:style w:type="table" w:styleId="Table3Deffects1">
    <w:name w:val="Table 3D effects 1"/>
    <w:basedOn w:val="TableNormal"/>
    <w:uiPriority w:val="99"/>
    <w:semiHidden/>
    <w:rsid w:val="00171962"/>
    <w:pPr>
      <w:suppressAutoHyphens/>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171962"/>
    <w:pPr>
      <w:suppressAutoHyphens/>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171962"/>
    <w:pPr>
      <w:suppressAutoHyphens/>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171962"/>
    <w:pPr>
      <w:suppressAutoHyphens/>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171962"/>
    <w:pPr>
      <w:suppressAutoHyphens/>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171962"/>
    <w:pPr>
      <w:suppressAutoHyphens/>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171962"/>
    <w:pPr>
      <w:suppressAutoHyphens/>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171962"/>
    <w:pPr>
      <w:suppressAutoHyphens/>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171962"/>
    <w:pPr>
      <w:suppressAutoHyphens/>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171962"/>
    <w:pPr>
      <w:suppressAutoHyphens/>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171962"/>
    <w:pPr>
      <w:suppressAutoHyphens/>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171962"/>
    <w:pPr>
      <w:suppressAutoHyphens/>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171962"/>
    <w:pPr>
      <w:suppressAutoHyphens/>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171962"/>
    <w:pPr>
      <w:suppressAutoHyphens/>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171962"/>
    <w:pPr>
      <w:suppressAutoHyphens/>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171962"/>
    <w:pPr>
      <w:suppressAutoHyphens/>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171962"/>
    <w:pPr>
      <w:suppressAutoHyphens/>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9"/>
    <w:semiHidden/>
    <w:rsid w:val="004214B5"/>
    <w:rPr>
      <w:rFonts w:eastAsiaTheme="minorEastAsia"/>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semiHidden/>
    <w:rsid w:val="00171962"/>
    <w:pPr>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171962"/>
    <w:pPr>
      <w:suppressAutoHyphens/>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171962"/>
    <w:pPr>
      <w:suppressAutoHyphens/>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171962"/>
    <w:pPr>
      <w:suppressAutoHyphens/>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171962"/>
    <w:pPr>
      <w:suppressAutoHyphens/>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171962"/>
    <w:pPr>
      <w:suppressAutoHyphens/>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171962"/>
    <w:pPr>
      <w:suppressAutoHyphens/>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171962"/>
    <w:pPr>
      <w:suppressAutoHyphens/>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171962"/>
    <w:pPr>
      <w:suppressAutoHyphens/>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171962"/>
    <w:pPr>
      <w:suppressAutoHyphens/>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171962"/>
    <w:pPr>
      <w:suppressAutoHyphens/>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171962"/>
    <w:pPr>
      <w:suppressAutoHyphens/>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171962"/>
    <w:pPr>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171962"/>
    <w:pPr>
      <w:suppressAutoHyphens/>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171962"/>
    <w:pPr>
      <w:suppressAutoHyphens/>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171962"/>
    <w:pPr>
      <w:suppressAutoHyphens/>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171962"/>
    <w:pPr>
      <w:ind w:left="240" w:hanging="240"/>
    </w:pPr>
  </w:style>
  <w:style w:type="paragraph" w:styleId="TableofFigures">
    <w:name w:val="table of figures"/>
    <w:basedOn w:val="Normal"/>
    <w:next w:val="Normal"/>
    <w:uiPriority w:val="99"/>
    <w:semiHidden/>
    <w:rsid w:val="00171962"/>
  </w:style>
  <w:style w:type="table" w:styleId="TableProfessional">
    <w:name w:val="Table Professional"/>
    <w:basedOn w:val="TableNormal"/>
    <w:uiPriority w:val="99"/>
    <w:semiHidden/>
    <w:rsid w:val="00171962"/>
    <w:pPr>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171962"/>
    <w:pPr>
      <w:suppressAutoHyphens/>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171962"/>
    <w:pPr>
      <w:suppressAutoHyphens/>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171962"/>
    <w:pPr>
      <w:suppressAutoHyphens/>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171962"/>
    <w:pPr>
      <w:suppressAutoHyphens/>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171962"/>
    <w:pPr>
      <w:suppressAutoHyphens/>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171962"/>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171962"/>
    <w:pPr>
      <w:suppressAutoHyphens/>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171962"/>
    <w:pPr>
      <w:suppressAutoHyphens/>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171962"/>
    <w:pPr>
      <w:suppressAutoHyphens/>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4214B5"/>
    <w:pPr>
      <w:spacing w:before="120"/>
    </w:pPr>
    <w:rPr>
      <w:rFonts w:asciiTheme="majorHAnsi" w:eastAsiaTheme="majorEastAsia" w:hAnsiTheme="majorHAnsi" w:cstheme="majorBidi"/>
      <w:b/>
      <w:bCs/>
      <w:color w:val="474747" w:themeColor="accent3" w:themeShade="BF"/>
      <w:szCs w:val="24"/>
    </w:rPr>
  </w:style>
  <w:style w:type="paragraph" w:styleId="TOC1">
    <w:name w:val="toc 1"/>
    <w:basedOn w:val="Normal"/>
    <w:next w:val="Normal"/>
    <w:autoRedefine/>
    <w:uiPriority w:val="99"/>
    <w:semiHidden/>
    <w:rsid w:val="004214B5"/>
    <w:pPr>
      <w:spacing w:before="120" w:after="60"/>
      <w:ind w:left="340" w:right="340" w:hanging="340"/>
    </w:pPr>
    <w:rPr>
      <w:color w:val="0D0D0D" w:themeColor="text1" w:themeTint="F2"/>
    </w:rPr>
  </w:style>
  <w:style w:type="paragraph" w:styleId="TOC2">
    <w:name w:val="toc 2"/>
    <w:basedOn w:val="Normal"/>
    <w:next w:val="Normal"/>
    <w:autoRedefine/>
    <w:uiPriority w:val="99"/>
    <w:semiHidden/>
    <w:rsid w:val="004214B5"/>
    <w:pPr>
      <w:spacing w:after="60"/>
      <w:ind w:left="680" w:right="340" w:hanging="340"/>
    </w:pPr>
  </w:style>
  <w:style w:type="paragraph" w:styleId="TOC3">
    <w:name w:val="toc 3"/>
    <w:basedOn w:val="Normal"/>
    <w:next w:val="Normal"/>
    <w:autoRedefine/>
    <w:uiPriority w:val="99"/>
    <w:semiHidden/>
    <w:rsid w:val="004214B5"/>
    <w:pPr>
      <w:spacing w:after="60"/>
      <w:ind w:left="1020" w:right="340" w:hanging="340"/>
    </w:pPr>
  </w:style>
  <w:style w:type="paragraph" w:styleId="TOC4">
    <w:name w:val="toc 4"/>
    <w:basedOn w:val="Normal"/>
    <w:next w:val="Normal"/>
    <w:autoRedefine/>
    <w:uiPriority w:val="99"/>
    <w:semiHidden/>
    <w:rsid w:val="004214B5"/>
    <w:pPr>
      <w:tabs>
        <w:tab w:val="right" w:leader="dot" w:pos="9017"/>
      </w:tabs>
      <w:spacing w:after="60"/>
      <w:ind w:left="1361" w:right="340" w:hanging="340"/>
    </w:pPr>
  </w:style>
  <w:style w:type="paragraph" w:styleId="TOC5">
    <w:name w:val="toc 5"/>
    <w:basedOn w:val="Normal"/>
    <w:next w:val="Normal"/>
    <w:autoRedefine/>
    <w:uiPriority w:val="99"/>
    <w:semiHidden/>
    <w:rsid w:val="004214B5"/>
    <w:pPr>
      <w:spacing w:after="60"/>
      <w:ind w:left="1701" w:right="340" w:hanging="340"/>
    </w:pPr>
  </w:style>
  <w:style w:type="paragraph" w:styleId="TOC6">
    <w:name w:val="toc 6"/>
    <w:basedOn w:val="Normal"/>
    <w:next w:val="Normal"/>
    <w:autoRedefine/>
    <w:uiPriority w:val="99"/>
    <w:semiHidden/>
    <w:rsid w:val="00171962"/>
    <w:pPr>
      <w:spacing w:after="100"/>
      <w:ind w:left="1200"/>
    </w:pPr>
  </w:style>
  <w:style w:type="paragraph" w:styleId="TOC7">
    <w:name w:val="toc 7"/>
    <w:basedOn w:val="Normal"/>
    <w:next w:val="Normal"/>
    <w:autoRedefine/>
    <w:uiPriority w:val="99"/>
    <w:semiHidden/>
    <w:rsid w:val="00171962"/>
    <w:pPr>
      <w:spacing w:after="100"/>
      <w:ind w:left="1440"/>
    </w:pPr>
  </w:style>
  <w:style w:type="paragraph" w:styleId="TOC8">
    <w:name w:val="toc 8"/>
    <w:basedOn w:val="Normal"/>
    <w:next w:val="Normal"/>
    <w:autoRedefine/>
    <w:uiPriority w:val="99"/>
    <w:semiHidden/>
    <w:rsid w:val="00171962"/>
    <w:pPr>
      <w:spacing w:after="100"/>
      <w:ind w:left="1680"/>
    </w:pPr>
  </w:style>
  <w:style w:type="paragraph" w:styleId="TOC9">
    <w:name w:val="toc 9"/>
    <w:basedOn w:val="Normal"/>
    <w:next w:val="Normal"/>
    <w:autoRedefine/>
    <w:uiPriority w:val="99"/>
    <w:semiHidden/>
    <w:rsid w:val="00171962"/>
    <w:pPr>
      <w:spacing w:after="100"/>
      <w:ind w:left="1920"/>
    </w:pPr>
  </w:style>
  <w:style w:type="paragraph" w:customStyle="1" w:styleId="ECHRTitleCentre1">
    <w:name w:val="ECHR_Title_Centre_1"/>
    <w:aliases w:val="Opi_H_Head"/>
    <w:basedOn w:val="Normal"/>
    <w:next w:val="OpiPara"/>
    <w:uiPriority w:val="39"/>
    <w:qFormat/>
    <w:rsid w:val="004214B5"/>
    <w:pPr>
      <w:keepNext/>
      <w:keepLines/>
      <w:spacing w:after="240"/>
      <w:jc w:val="center"/>
      <w:outlineLvl w:val="0"/>
    </w:pPr>
    <w:rPr>
      <w:rFonts w:asciiTheme="majorHAnsi" w:hAnsiTheme="majorHAnsi"/>
      <w:sz w:val="28"/>
      <w:lang w:val="fr-FR" w:eastAsia="fr-FR"/>
    </w:rPr>
  </w:style>
  <w:style w:type="paragraph" w:customStyle="1" w:styleId="JuQuotSub">
    <w:name w:val="Ju_Quot_Sub"/>
    <w:basedOn w:val="ECHRParaQuote"/>
    <w:uiPriority w:val="15"/>
    <w:qFormat/>
    <w:rsid w:val="004214B5"/>
    <w:pPr>
      <w:ind w:left="567"/>
    </w:pPr>
  </w:style>
  <w:style w:type="paragraph" w:customStyle="1" w:styleId="JuInitialled">
    <w:name w:val="Ju_Initialled"/>
    <w:basedOn w:val="Normal"/>
    <w:uiPriority w:val="31"/>
    <w:qFormat/>
    <w:rsid w:val="004214B5"/>
    <w:pPr>
      <w:tabs>
        <w:tab w:val="center" w:pos="6407"/>
      </w:tabs>
      <w:spacing w:before="720"/>
      <w:jc w:val="right"/>
    </w:pPr>
    <w:rPr>
      <w:lang w:val="fr-FR" w:eastAsia="fr-FR"/>
    </w:rPr>
  </w:style>
  <w:style w:type="paragraph" w:customStyle="1" w:styleId="OpiHA">
    <w:name w:val="Opi_H_A"/>
    <w:basedOn w:val="ECHRHeading1"/>
    <w:next w:val="OpiPara"/>
    <w:uiPriority w:val="41"/>
    <w:qFormat/>
    <w:rsid w:val="004214B5"/>
    <w:pPr>
      <w:tabs>
        <w:tab w:val="clear" w:pos="357"/>
      </w:tabs>
      <w:outlineLvl w:val="1"/>
    </w:pPr>
    <w:rPr>
      <w:b/>
    </w:rPr>
  </w:style>
  <w:style w:type="character" w:customStyle="1" w:styleId="JUNAMES0">
    <w:name w:val="JU_NAMES"/>
    <w:uiPriority w:val="17"/>
    <w:qFormat/>
    <w:rsid w:val="004214B5"/>
    <w:rPr>
      <w:caps w:val="0"/>
      <w:smallCaps/>
    </w:rPr>
  </w:style>
  <w:style w:type="paragraph" w:customStyle="1" w:styleId="OpiTranslation">
    <w:name w:val="Opi_Translation"/>
    <w:basedOn w:val="Normal"/>
    <w:next w:val="OpiPara"/>
    <w:uiPriority w:val="40"/>
    <w:qFormat/>
    <w:rsid w:val="004214B5"/>
    <w:pPr>
      <w:jc w:val="center"/>
      <w:outlineLvl w:val="0"/>
    </w:pPr>
    <w:rPr>
      <w:i/>
      <w:lang w:val="fr-FR" w:eastAsia="fr-FR"/>
    </w:rPr>
  </w:style>
  <w:style w:type="paragraph" w:customStyle="1" w:styleId="DecHTitle">
    <w:name w:val="Dec_H_Title"/>
    <w:basedOn w:val="ECHRTitleCentre1"/>
    <w:uiPriority w:val="7"/>
    <w:semiHidden/>
    <w:rsid w:val="004214B5"/>
  </w:style>
  <w:style w:type="paragraph" w:customStyle="1" w:styleId="ECHRHeading3">
    <w:name w:val="ECHR_Heading_3"/>
    <w:aliases w:val="Ju_H_1."/>
    <w:basedOn w:val="Heading3"/>
    <w:next w:val="ECHRPara"/>
    <w:uiPriority w:val="21"/>
    <w:qFormat/>
    <w:rsid w:val="004214B5"/>
    <w:pPr>
      <w:keepNext/>
      <w:keepLines/>
      <w:tabs>
        <w:tab w:val="left" w:pos="731"/>
      </w:tabs>
      <w:spacing w:before="240" w:after="120" w:line="240" w:lineRule="auto"/>
      <w:ind w:left="732" w:hanging="301"/>
    </w:pPr>
    <w:rPr>
      <w:b w:val="0"/>
      <w:i/>
      <w:color w:val="auto"/>
      <w:lang w:val="fr-FR" w:eastAsia="fr-FR"/>
    </w:rPr>
  </w:style>
  <w:style w:type="paragraph" w:customStyle="1" w:styleId="ECHRHeading4">
    <w:name w:val="ECHR_Heading_4"/>
    <w:aliases w:val="Ju_H_a"/>
    <w:basedOn w:val="Heading4"/>
    <w:next w:val="ECHRPara"/>
    <w:uiPriority w:val="22"/>
    <w:qFormat/>
    <w:rsid w:val="004214B5"/>
    <w:pPr>
      <w:keepNext/>
      <w:keepLines/>
      <w:tabs>
        <w:tab w:val="left" w:pos="975"/>
      </w:tabs>
      <w:spacing w:before="240" w:after="120"/>
      <w:ind w:left="975" w:hanging="340"/>
    </w:pPr>
    <w:rPr>
      <w:i w:val="0"/>
      <w:color w:val="auto"/>
      <w:sz w:val="20"/>
      <w:lang w:val="fr-FR" w:eastAsia="fr-FR"/>
    </w:rPr>
  </w:style>
  <w:style w:type="paragraph" w:customStyle="1" w:styleId="ECHRHeading5">
    <w:name w:val="ECHR_Heading_5"/>
    <w:aliases w:val="Ju_H_i"/>
    <w:basedOn w:val="Heading5"/>
    <w:next w:val="ECHRPara"/>
    <w:uiPriority w:val="23"/>
    <w:qFormat/>
    <w:rsid w:val="004214B5"/>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4214B5"/>
    <w:pPr>
      <w:keepNext/>
      <w:keepLines/>
      <w:tabs>
        <w:tab w:val="left" w:pos="1372"/>
      </w:tabs>
      <w:spacing w:before="240" w:after="120" w:line="240" w:lineRule="auto"/>
      <w:ind w:left="1373" w:hanging="335"/>
    </w:pPr>
    <w:rPr>
      <w:b w:val="0"/>
      <w:color w:val="auto"/>
      <w:sz w:val="20"/>
      <w:lang w:val="fr-FR" w:eastAsia="fr-FR"/>
    </w:rPr>
  </w:style>
  <w:style w:type="paragraph" w:customStyle="1" w:styleId="ECHRHeading7">
    <w:name w:val="ECHR_Heading_7"/>
    <w:aliases w:val="Ju_H_–"/>
    <w:basedOn w:val="Heading7"/>
    <w:next w:val="ECHRPara"/>
    <w:uiPriority w:val="25"/>
    <w:qFormat/>
    <w:rsid w:val="004214B5"/>
    <w:pPr>
      <w:keepNext/>
      <w:keepLines/>
      <w:spacing w:before="240" w:after="120"/>
      <w:ind w:left="1236"/>
    </w:pPr>
    <w:rPr>
      <w:sz w:val="20"/>
    </w:rPr>
  </w:style>
  <w:style w:type="paragraph" w:customStyle="1" w:styleId="DecList">
    <w:name w:val="Dec_List"/>
    <w:basedOn w:val="Normal"/>
    <w:uiPriority w:val="9"/>
    <w:semiHidden/>
    <w:rsid w:val="004214B5"/>
    <w:pPr>
      <w:spacing w:before="240"/>
      <w:ind w:left="284"/>
    </w:pPr>
  </w:style>
  <w:style w:type="paragraph" w:customStyle="1" w:styleId="OpiH1">
    <w:name w:val="Opi_H_1"/>
    <w:basedOn w:val="ECHRHeading2"/>
    <w:uiPriority w:val="42"/>
    <w:qFormat/>
    <w:rsid w:val="004214B5"/>
    <w:pPr>
      <w:ind w:left="635" w:hanging="357"/>
      <w:outlineLvl w:val="2"/>
    </w:pPr>
  </w:style>
  <w:style w:type="paragraph" w:customStyle="1" w:styleId="OpiHa0">
    <w:name w:val="Opi_H_a"/>
    <w:basedOn w:val="ECHRHeading3"/>
    <w:uiPriority w:val="43"/>
    <w:qFormat/>
    <w:rsid w:val="004214B5"/>
    <w:pPr>
      <w:ind w:left="833" w:hanging="357"/>
      <w:outlineLvl w:val="3"/>
    </w:pPr>
    <w:rPr>
      <w:b/>
      <w:i w:val="0"/>
      <w:sz w:val="20"/>
    </w:rPr>
  </w:style>
  <w:style w:type="paragraph" w:customStyle="1" w:styleId="OpiHi">
    <w:name w:val="Opi_H_i"/>
    <w:basedOn w:val="ECHRHeading4"/>
    <w:uiPriority w:val="44"/>
    <w:qFormat/>
    <w:rsid w:val="004214B5"/>
    <w:pPr>
      <w:ind w:left="1037" w:hanging="357"/>
      <w:outlineLvl w:val="4"/>
    </w:pPr>
    <w:rPr>
      <w:b w:val="0"/>
      <w:i/>
    </w:rPr>
  </w:style>
  <w:style w:type="table" w:customStyle="1" w:styleId="ECHRListTable">
    <w:name w:val="ECHR_List_Table"/>
    <w:basedOn w:val="TableNormal"/>
    <w:uiPriority w:val="99"/>
    <w:rsid w:val="004214B5"/>
    <w:rPr>
      <w:lang w:val="en-US" w:eastAsia="en-US"/>
    </w:rPr>
    <w:tblPr>
      <w:tblInd w:w="0" w:type="dxa"/>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left w:w="108" w:type="dxa"/>
        <w:bottom w:w="28" w:type="dxa"/>
        <w:right w:w="10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character" w:customStyle="1" w:styleId="sb8d990e2">
    <w:name w:val="sb8d990e2"/>
    <w:basedOn w:val="DefaultParagraphFont"/>
    <w:rsid w:val="009476E8"/>
  </w:style>
  <w:style w:type="paragraph" w:customStyle="1" w:styleId="s30eec3f8">
    <w:name w:val="s30eec3f8"/>
    <w:basedOn w:val="Normal"/>
    <w:rsid w:val="00AA7657"/>
    <w:pPr>
      <w:spacing w:before="100" w:beforeAutospacing="1" w:after="100" w:afterAutospacing="1"/>
      <w:jc w:val="left"/>
    </w:pPr>
    <w:rPr>
      <w:rFonts w:ascii="Times New Roman" w:eastAsia="Times New Roman" w:hAnsi="Times New Roman" w:cs="Times New Roman"/>
      <w:szCs w:val="24"/>
    </w:rPr>
  </w:style>
  <w:style w:type="character" w:customStyle="1" w:styleId="wordhighlighted">
    <w:name w:val="wordhighlighted"/>
    <w:basedOn w:val="DefaultParagraphFont"/>
    <w:rsid w:val="00AA7657"/>
  </w:style>
  <w:style w:type="character" w:customStyle="1" w:styleId="s6b621b36">
    <w:name w:val="s6b621b36"/>
    <w:basedOn w:val="DefaultParagraphFont"/>
    <w:rsid w:val="00AA7657"/>
  </w:style>
  <w:style w:type="character" w:customStyle="1" w:styleId="sea881cdf">
    <w:name w:val="sea881cdf"/>
    <w:basedOn w:val="DefaultParagraphFont"/>
    <w:rsid w:val="00FC5472"/>
  </w:style>
  <w:style w:type="character" w:customStyle="1" w:styleId="JuParaCar">
    <w:name w:val="Ju_Para Car"/>
    <w:uiPriority w:val="12"/>
    <w:rsid w:val="001354AE"/>
    <w:rPr>
      <w:rFonts w:eastAsiaTheme="minorEastAsia"/>
      <w:sz w:val="24"/>
    </w:rPr>
  </w:style>
  <w:style w:type="paragraph" w:customStyle="1" w:styleId="naispant">
    <w:name w:val="naispant"/>
    <w:basedOn w:val="Normal"/>
    <w:rsid w:val="009C3FBB"/>
    <w:pPr>
      <w:spacing w:before="100" w:beforeAutospacing="1" w:after="100" w:afterAutospacing="1"/>
      <w:jc w:val="left"/>
    </w:pPr>
    <w:rPr>
      <w:rFonts w:ascii="Times New Roman" w:eastAsia="Times New Roman" w:hAnsi="Times New Roman" w:cs="Times New Roman"/>
      <w:szCs w:val="24"/>
    </w:rPr>
  </w:style>
  <w:style w:type="paragraph" w:customStyle="1" w:styleId="naisf">
    <w:name w:val="naisf"/>
    <w:basedOn w:val="Normal"/>
    <w:rsid w:val="009C3FBB"/>
    <w:pPr>
      <w:spacing w:before="100" w:beforeAutospacing="1" w:after="100" w:afterAutospacing="1"/>
      <w:jc w:val="left"/>
    </w:pPr>
    <w:rPr>
      <w:rFonts w:ascii="Times New Roman" w:eastAsia="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ar-SA"/>
      </w:rPr>
    </w:rPrDefault>
    <w:pPrDefault/>
  </w:docDefaults>
  <w:latentStyles w:defLockedState="0" w:defUIPriority="99" w:defSemiHidden="0" w:defUnhideWhenUsed="0" w:defQFormat="0" w:count="267">
    <w:lsdException w:name="heading 5" w:qFormat="1"/>
    <w:lsdException w:name="heading 7" w:qFormat="1"/>
    <w:lsdException w:name="heading 8" w:qFormat="1"/>
    <w:lsdException w:name="heading 9" w:qFormat="1"/>
    <w:lsdException w:name="footnote text" w:uiPriority="0"/>
    <w:lsdException w:name="caption" w:semiHidden="1" w:qFormat="1"/>
    <w:lsdException w:name="footnote reference" w:uiPriority="0"/>
    <w:lsdException w:name="Title" w:qFormat="1"/>
    <w:lsdException w:name="Subtitle" w:qFormat="1"/>
    <w:lsdException w:name="Strong" w:qFormat="1"/>
    <w:lsdException w:name="Emphasis" w:qFormat="1"/>
    <w:lsdException w:name="HTML Top of Form" w:uiPriority="0"/>
    <w:lsdException w:name="HTML Bottom of Form" w:uiPriority="0"/>
    <w:lsdException w:name="Placeholder Text" w:semiHidden="1"/>
    <w:lsdException w:name="No Spacing" w:qFormat="1"/>
    <w:lsdException w:name="Revision" w:semiHidden="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Normal">
    <w:name w:val="Normal"/>
    <w:uiPriority w:val="99"/>
    <w:semiHidden/>
    <w:rsid w:val="004214B5"/>
    <w:pPr>
      <w:jc w:val="both"/>
    </w:pPr>
    <w:rPr>
      <w:rFonts w:eastAsiaTheme="minorEastAsia"/>
      <w:sz w:val="24"/>
      <w:lang w:val="en-US" w:eastAsia="en-US"/>
    </w:rPr>
  </w:style>
  <w:style w:type="paragraph" w:styleId="Heading1">
    <w:name w:val="heading 1"/>
    <w:basedOn w:val="Normal"/>
    <w:next w:val="Normal"/>
    <w:link w:val="Heading1Char"/>
    <w:uiPriority w:val="99"/>
    <w:semiHidden/>
    <w:rsid w:val="004214B5"/>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4214B5"/>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4214B5"/>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4214B5"/>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4214B5"/>
    <w:pPr>
      <w:spacing w:before="200"/>
      <w:outlineLvl w:val="4"/>
    </w:pPr>
    <w:rPr>
      <w:rFonts w:asciiTheme="majorHAnsi" w:eastAsiaTheme="majorEastAsia" w:hAnsiTheme="majorHAnsi" w:cstheme="majorBidi"/>
      <w:b/>
      <w:bCs/>
      <w:color w:val="808080"/>
      <w:sz w:val="22"/>
      <w:lang w:val="fr-FR" w:eastAsia="fr-FR"/>
    </w:rPr>
  </w:style>
  <w:style w:type="paragraph" w:styleId="Heading6">
    <w:name w:val="heading 6"/>
    <w:basedOn w:val="Normal"/>
    <w:next w:val="Normal"/>
    <w:link w:val="Heading6Char"/>
    <w:uiPriority w:val="99"/>
    <w:semiHidden/>
    <w:rsid w:val="004214B5"/>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4214B5"/>
    <w:pPr>
      <w:outlineLvl w:val="6"/>
    </w:pPr>
    <w:rPr>
      <w:rFonts w:asciiTheme="majorHAnsi" w:eastAsiaTheme="majorEastAsia" w:hAnsiTheme="majorHAnsi" w:cstheme="majorBidi"/>
      <w:i/>
      <w:iCs/>
      <w:sz w:val="22"/>
      <w:lang w:val="fr-FR" w:eastAsia="fr-FR" w:bidi="en-US"/>
    </w:rPr>
  </w:style>
  <w:style w:type="paragraph" w:styleId="Heading8">
    <w:name w:val="heading 8"/>
    <w:basedOn w:val="Normal"/>
    <w:next w:val="Normal"/>
    <w:link w:val="Heading8Char"/>
    <w:uiPriority w:val="99"/>
    <w:semiHidden/>
    <w:qFormat/>
    <w:rsid w:val="004214B5"/>
    <w:pPr>
      <w:outlineLvl w:val="7"/>
    </w:pPr>
    <w:rPr>
      <w:rFonts w:asciiTheme="majorHAnsi" w:eastAsiaTheme="majorEastAsia" w:hAnsiTheme="majorHAnsi" w:cstheme="majorBidi"/>
      <w:sz w:val="20"/>
      <w:szCs w:val="20"/>
      <w:lang w:val="fr-FR" w:eastAsia="fr-FR" w:bidi="en-US"/>
    </w:rPr>
  </w:style>
  <w:style w:type="paragraph" w:styleId="Heading9">
    <w:name w:val="heading 9"/>
    <w:basedOn w:val="Normal"/>
    <w:next w:val="Normal"/>
    <w:link w:val="Heading9Char"/>
    <w:uiPriority w:val="99"/>
    <w:semiHidden/>
    <w:qFormat/>
    <w:rsid w:val="004214B5"/>
    <w:pPr>
      <w:outlineLvl w:val="8"/>
    </w:pPr>
    <w:rPr>
      <w:rFonts w:asciiTheme="majorHAnsi" w:eastAsiaTheme="majorEastAsia" w:hAnsiTheme="majorHAnsi" w:cstheme="majorBidi"/>
      <w:i/>
      <w:iCs/>
      <w:spacing w:val="5"/>
      <w:sz w:val="20"/>
      <w:szCs w:val="20"/>
      <w:lang w:val="fr-FR" w:eastAsia="fr-FR"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HRHeading1">
    <w:name w:val="ECHR_Heading_1"/>
    <w:aliases w:val="Ju_H_I_Roman"/>
    <w:basedOn w:val="Heading1"/>
    <w:next w:val="ECHRPara"/>
    <w:uiPriority w:val="19"/>
    <w:qFormat/>
    <w:rsid w:val="004214B5"/>
    <w:pPr>
      <w:keepNext/>
      <w:keepLines/>
      <w:tabs>
        <w:tab w:val="left" w:pos="357"/>
      </w:tabs>
      <w:spacing w:before="360" w:after="240"/>
      <w:ind w:left="357" w:hanging="357"/>
      <w:contextualSpacing w:val="0"/>
    </w:pPr>
    <w:rPr>
      <w:b w:val="0"/>
      <w:color w:val="auto"/>
      <w:sz w:val="24"/>
      <w:lang w:val="fr-FR" w:eastAsia="fr-FR"/>
    </w:rPr>
  </w:style>
  <w:style w:type="paragraph" w:customStyle="1" w:styleId="ECHRTitle1">
    <w:name w:val="ECHR_Title_1"/>
    <w:aliases w:val="Ju_H_Head"/>
    <w:basedOn w:val="Normal"/>
    <w:next w:val="ECHRPara"/>
    <w:uiPriority w:val="18"/>
    <w:qFormat/>
    <w:rsid w:val="004214B5"/>
    <w:pPr>
      <w:keepNext/>
      <w:keepLines/>
      <w:spacing w:before="720" w:after="240"/>
      <w:outlineLvl w:val="0"/>
    </w:pPr>
    <w:rPr>
      <w:rFonts w:asciiTheme="majorHAnsi" w:hAnsiTheme="majorHAnsi"/>
      <w:sz w:val="28"/>
      <w:lang w:val="fr-FR" w:eastAsia="fr-FR"/>
    </w:rPr>
  </w:style>
  <w:style w:type="paragraph" w:customStyle="1" w:styleId="ECHRPara">
    <w:name w:val="ECHR_Para"/>
    <w:aliases w:val="Ju_Para,Left,First line:  0 cm"/>
    <w:basedOn w:val="Normal"/>
    <w:link w:val="JuParaChar"/>
    <w:uiPriority w:val="12"/>
    <w:qFormat/>
    <w:rsid w:val="004214B5"/>
    <w:pPr>
      <w:ind w:firstLine="284"/>
    </w:pPr>
    <w:rPr>
      <w:lang w:val="fr-FR" w:eastAsia="fr-FR"/>
    </w:rPr>
  </w:style>
  <w:style w:type="character" w:customStyle="1" w:styleId="JuParaChar">
    <w:name w:val="Ju_Para Char"/>
    <w:link w:val="ECHRPara"/>
    <w:rsid w:val="00B921A8"/>
    <w:rPr>
      <w:rFonts w:eastAsiaTheme="minorEastAsia"/>
      <w:sz w:val="24"/>
    </w:rPr>
  </w:style>
  <w:style w:type="paragraph" w:styleId="Footer">
    <w:name w:val="footer"/>
    <w:basedOn w:val="Normal"/>
    <w:link w:val="FooterChar"/>
    <w:uiPriority w:val="99"/>
    <w:semiHidden/>
    <w:rsid w:val="004214B5"/>
    <w:pPr>
      <w:tabs>
        <w:tab w:val="center" w:pos="4536"/>
        <w:tab w:val="right" w:pos="9696"/>
      </w:tabs>
      <w:ind w:left="-680" w:right="-680"/>
    </w:pPr>
    <w:rPr>
      <w:rFonts w:eastAsiaTheme="minorHAnsi"/>
    </w:rPr>
  </w:style>
  <w:style w:type="paragraph" w:customStyle="1" w:styleId="ECHRDecisionBody">
    <w:name w:val="ECHR_Decision_Body"/>
    <w:aliases w:val="Ju_Judges"/>
    <w:basedOn w:val="Normal"/>
    <w:link w:val="JuJudgesChar"/>
    <w:uiPriority w:val="11"/>
    <w:qFormat/>
    <w:rsid w:val="004214B5"/>
    <w:pPr>
      <w:tabs>
        <w:tab w:val="left" w:pos="567"/>
        <w:tab w:val="left" w:pos="1134"/>
      </w:tabs>
      <w:jc w:val="left"/>
    </w:pPr>
    <w:rPr>
      <w:lang w:val="fr-FR" w:eastAsia="fr-FR"/>
    </w:rPr>
  </w:style>
  <w:style w:type="character" w:customStyle="1" w:styleId="JuJudgesChar">
    <w:name w:val="Ju_Judges Char"/>
    <w:link w:val="ECHRDecisionBody"/>
    <w:uiPriority w:val="11"/>
    <w:locked/>
    <w:rsid w:val="00D15473"/>
    <w:rPr>
      <w:rFonts w:eastAsiaTheme="minorEastAsia"/>
      <w:sz w:val="24"/>
    </w:rPr>
  </w:style>
  <w:style w:type="paragraph" w:customStyle="1" w:styleId="ECHRHeading2">
    <w:name w:val="ECHR_Heading_2"/>
    <w:aliases w:val="Ju_H_A"/>
    <w:basedOn w:val="Heading2"/>
    <w:next w:val="ECHRPara"/>
    <w:uiPriority w:val="20"/>
    <w:qFormat/>
    <w:rsid w:val="004214B5"/>
    <w:pPr>
      <w:keepNext/>
      <w:keepLines/>
      <w:tabs>
        <w:tab w:val="left" w:pos="584"/>
      </w:tabs>
      <w:spacing w:before="360" w:after="240"/>
      <w:ind w:left="584" w:hanging="352"/>
    </w:pPr>
    <w:rPr>
      <w:color w:val="auto"/>
      <w:sz w:val="24"/>
      <w:lang w:val="fr-FR" w:eastAsia="fr-FR"/>
    </w:rPr>
  </w:style>
  <w:style w:type="paragraph" w:customStyle="1" w:styleId="ECHRParaQuote">
    <w:name w:val="ECHR_Para_Quote"/>
    <w:aliases w:val="Ju_Quot"/>
    <w:basedOn w:val="Normal"/>
    <w:qFormat/>
    <w:rsid w:val="004214B5"/>
    <w:pPr>
      <w:spacing w:before="120" w:after="120"/>
      <w:ind w:left="425" w:firstLine="142"/>
    </w:pPr>
    <w:rPr>
      <w:sz w:val="20"/>
      <w:lang w:val="fr-FR" w:eastAsia="fr-FR"/>
    </w:rPr>
  </w:style>
  <w:style w:type="paragraph" w:customStyle="1" w:styleId="JuSigned">
    <w:name w:val="Ju_Signed"/>
    <w:basedOn w:val="Normal"/>
    <w:next w:val="JuParaLast"/>
    <w:link w:val="JuSignedChar"/>
    <w:uiPriority w:val="32"/>
    <w:qFormat/>
    <w:rsid w:val="004214B5"/>
    <w:pPr>
      <w:tabs>
        <w:tab w:val="center" w:pos="851"/>
        <w:tab w:val="center" w:pos="6407"/>
      </w:tabs>
      <w:spacing w:before="720"/>
      <w:jc w:val="left"/>
    </w:pPr>
    <w:rPr>
      <w:lang w:val="fr-FR" w:eastAsia="fr-FR"/>
    </w:rPr>
  </w:style>
  <w:style w:type="paragraph" w:customStyle="1" w:styleId="JuParaLast">
    <w:name w:val="Ju_Para_Last"/>
    <w:basedOn w:val="Normal"/>
    <w:next w:val="ECHRPara"/>
    <w:uiPriority w:val="30"/>
    <w:qFormat/>
    <w:rsid w:val="004214B5"/>
    <w:pPr>
      <w:keepNext/>
      <w:keepLines/>
      <w:spacing w:before="240"/>
      <w:ind w:firstLine="284"/>
    </w:pPr>
    <w:rPr>
      <w:lang w:val="fr-FR" w:eastAsia="fr-FR"/>
    </w:rPr>
  </w:style>
  <w:style w:type="character" w:customStyle="1" w:styleId="JuSignedChar">
    <w:name w:val="Ju_Signed Char"/>
    <w:link w:val="JuSigned"/>
    <w:uiPriority w:val="32"/>
    <w:rsid w:val="000726F6"/>
    <w:rPr>
      <w:rFonts w:eastAsiaTheme="minorEastAsia"/>
      <w:sz w:val="24"/>
    </w:rPr>
  </w:style>
  <w:style w:type="paragraph" w:customStyle="1" w:styleId="JuCase">
    <w:name w:val="Ju_Case"/>
    <w:basedOn w:val="Normal"/>
    <w:next w:val="ECHRPara"/>
    <w:link w:val="JuCaseChar"/>
    <w:uiPriority w:val="10"/>
    <w:rsid w:val="004214B5"/>
    <w:pPr>
      <w:ind w:firstLine="284"/>
    </w:pPr>
    <w:rPr>
      <w:b/>
    </w:rPr>
  </w:style>
  <w:style w:type="character" w:customStyle="1" w:styleId="JuCaseChar">
    <w:name w:val="Ju_Case Char"/>
    <w:link w:val="JuCase"/>
    <w:uiPriority w:val="10"/>
    <w:rsid w:val="00B921A8"/>
    <w:rPr>
      <w:rFonts w:eastAsiaTheme="minorEastAsia"/>
      <w:b/>
      <w:sz w:val="24"/>
      <w:lang w:val="en-US" w:eastAsia="en-US"/>
    </w:rPr>
  </w:style>
  <w:style w:type="paragraph" w:customStyle="1" w:styleId="JuList">
    <w:name w:val="Ju_List"/>
    <w:basedOn w:val="Normal"/>
    <w:link w:val="JuListChar"/>
    <w:uiPriority w:val="28"/>
    <w:qFormat/>
    <w:rsid w:val="004214B5"/>
    <w:pPr>
      <w:ind w:left="340" w:hanging="340"/>
    </w:pPr>
    <w:rPr>
      <w:lang w:val="fr-FR" w:eastAsia="fr-FR"/>
    </w:rPr>
  </w:style>
  <w:style w:type="character" w:customStyle="1" w:styleId="JuListChar">
    <w:name w:val="Ju_List Char"/>
    <w:link w:val="JuList"/>
    <w:uiPriority w:val="28"/>
    <w:rsid w:val="00930CD7"/>
    <w:rPr>
      <w:rFonts w:eastAsiaTheme="minorEastAsia"/>
      <w:sz w:val="24"/>
    </w:rPr>
  </w:style>
  <w:style w:type="paragraph" w:customStyle="1" w:styleId="JuCourt">
    <w:name w:val="Ju_Court"/>
    <w:basedOn w:val="Normal"/>
    <w:next w:val="Normal"/>
    <w:uiPriority w:val="16"/>
    <w:qFormat/>
    <w:rsid w:val="004214B5"/>
    <w:pPr>
      <w:tabs>
        <w:tab w:val="left" w:pos="907"/>
        <w:tab w:val="left" w:pos="1701"/>
        <w:tab w:val="right" w:pos="7371"/>
      </w:tabs>
      <w:spacing w:before="240"/>
      <w:ind w:left="397" w:hanging="397"/>
      <w:jc w:val="left"/>
    </w:pPr>
    <w:rPr>
      <w:lang w:val="fr-FR" w:eastAsia="fr-FR" w:bidi="en-US"/>
    </w:rPr>
  </w:style>
  <w:style w:type="paragraph" w:styleId="FootnoteText">
    <w:name w:val="footnote text"/>
    <w:basedOn w:val="Normal"/>
    <w:link w:val="FootnoteTextChar"/>
    <w:semiHidden/>
    <w:rsid w:val="004214B5"/>
    <w:rPr>
      <w:sz w:val="20"/>
      <w:szCs w:val="20"/>
    </w:rPr>
  </w:style>
  <w:style w:type="character" w:styleId="FootnoteReference">
    <w:name w:val="footnote reference"/>
    <w:basedOn w:val="DefaultParagraphFont"/>
    <w:semiHidden/>
    <w:rsid w:val="004214B5"/>
    <w:rPr>
      <w:vertAlign w:val="superscript"/>
    </w:rPr>
  </w:style>
  <w:style w:type="paragraph" w:styleId="Header">
    <w:name w:val="header"/>
    <w:basedOn w:val="Normal"/>
    <w:link w:val="HeaderChar"/>
    <w:uiPriority w:val="99"/>
    <w:semiHidden/>
    <w:rsid w:val="004214B5"/>
    <w:pPr>
      <w:tabs>
        <w:tab w:val="center" w:pos="4536"/>
        <w:tab w:val="right" w:pos="9072"/>
      </w:tabs>
    </w:pPr>
    <w:rPr>
      <w:rFonts w:eastAsiaTheme="minorHAnsi"/>
    </w:rPr>
  </w:style>
  <w:style w:type="character" w:styleId="PageNumber">
    <w:name w:val="page number"/>
    <w:uiPriority w:val="99"/>
    <w:semiHidden/>
    <w:rsid w:val="00D1288A"/>
    <w:rPr>
      <w:sz w:val="18"/>
    </w:rPr>
  </w:style>
  <w:style w:type="paragraph" w:customStyle="1" w:styleId="JuLista">
    <w:name w:val="Ju_List_a"/>
    <w:basedOn w:val="JuList"/>
    <w:uiPriority w:val="28"/>
    <w:qFormat/>
    <w:rsid w:val="004214B5"/>
    <w:pPr>
      <w:ind w:left="346" w:firstLine="0"/>
    </w:pPr>
  </w:style>
  <w:style w:type="paragraph" w:customStyle="1" w:styleId="JuListi">
    <w:name w:val="Ju_List_i"/>
    <w:basedOn w:val="Normal"/>
    <w:next w:val="JuLista"/>
    <w:uiPriority w:val="28"/>
    <w:qFormat/>
    <w:rsid w:val="004214B5"/>
    <w:pPr>
      <w:ind w:left="794"/>
    </w:pPr>
    <w:rPr>
      <w:lang w:val="fr-FR" w:eastAsia="fr-FR"/>
    </w:rPr>
  </w:style>
  <w:style w:type="character" w:styleId="CommentReference">
    <w:name w:val="annotation reference"/>
    <w:uiPriority w:val="99"/>
    <w:semiHidden/>
    <w:rPr>
      <w:sz w:val="16"/>
    </w:rPr>
  </w:style>
  <w:style w:type="paragraph" w:styleId="CommentText">
    <w:name w:val="annotation text"/>
    <w:basedOn w:val="Normal"/>
    <w:uiPriority w:val="99"/>
    <w:semiHidden/>
    <w:rPr>
      <w:sz w:val="20"/>
    </w:rPr>
  </w:style>
  <w:style w:type="paragraph" w:styleId="BalloonText">
    <w:name w:val="Balloon Text"/>
    <w:basedOn w:val="Normal"/>
    <w:link w:val="BalloonTextChar"/>
    <w:uiPriority w:val="99"/>
    <w:semiHidden/>
    <w:rsid w:val="004214B5"/>
    <w:rPr>
      <w:rFonts w:ascii="Tahoma" w:hAnsi="Tahoma" w:cs="Tahoma"/>
      <w:sz w:val="16"/>
      <w:szCs w:val="16"/>
    </w:rPr>
  </w:style>
  <w:style w:type="paragraph" w:styleId="CommentSubject">
    <w:name w:val="annotation subject"/>
    <w:basedOn w:val="CommentText"/>
    <w:next w:val="CommentText"/>
    <w:uiPriority w:val="99"/>
    <w:semiHidden/>
    <w:rsid w:val="00D353F4"/>
    <w:rPr>
      <w:b/>
      <w:bCs/>
    </w:rPr>
  </w:style>
  <w:style w:type="character" w:styleId="EndnoteReference">
    <w:name w:val="endnote reference"/>
    <w:uiPriority w:val="99"/>
    <w:semiHidden/>
    <w:rsid w:val="00D1288A"/>
    <w:rPr>
      <w:vertAlign w:val="superscript"/>
    </w:rPr>
  </w:style>
  <w:style w:type="paragraph" w:styleId="EndnoteText">
    <w:name w:val="endnote text"/>
    <w:basedOn w:val="Normal"/>
    <w:uiPriority w:val="99"/>
    <w:semiHidden/>
    <w:rsid w:val="00D1288A"/>
    <w:rPr>
      <w:sz w:val="20"/>
    </w:rPr>
  </w:style>
  <w:style w:type="character" w:styleId="FollowedHyperlink">
    <w:name w:val="FollowedHyperlink"/>
    <w:uiPriority w:val="99"/>
    <w:semiHidden/>
    <w:rsid w:val="00D1288A"/>
    <w:rPr>
      <w:color w:val="800080"/>
      <w:u w:val="single"/>
    </w:rPr>
  </w:style>
  <w:style w:type="character" w:styleId="Hyperlink">
    <w:name w:val="Hyperlink"/>
    <w:basedOn w:val="DefaultParagraphFont"/>
    <w:uiPriority w:val="99"/>
    <w:semiHidden/>
    <w:rsid w:val="004214B5"/>
    <w:rPr>
      <w:color w:val="0072BC" w:themeColor="hyperlink"/>
      <w:u w:val="single"/>
    </w:rPr>
  </w:style>
  <w:style w:type="character" w:styleId="Strong">
    <w:name w:val="Strong"/>
    <w:uiPriority w:val="99"/>
    <w:semiHidden/>
    <w:qFormat/>
    <w:rsid w:val="004214B5"/>
    <w:rPr>
      <w:b/>
      <w:bCs/>
    </w:rPr>
  </w:style>
  <w:style w:type="paragraph" w:styleId="DocumentMap">
    <w:name w:val="Document Map"/>
    <w:basedOn w:val="Normal"/>
    <w:uiPriority w:val="99"/>
    <w:semiHidden/>
    <w:rsid w:val="008824B9"/>
    <w:pPr>
      <w:shd w:val="clear" w:color="auto" w:fill="000080"/>
    </w:pPr>
    <w:rPr>
      <w:rFonts w:ascii="Tahoma" w:hAnsi="Tahoma" w:cs="Tahoma"/>
      <w:sz w:val="20"/>
    </w:rPr>
  </w:style>
  <w:style w:type="character" w:customStyle="1" w:styleId="JuNames">
    <w:name w:val="Ju_Names"/>
    <w:rsid w:val="00D1288A"/>
    <w:rPr>
      <w:smallCaps/>
    </w:rPr>
  </w:style>
  <w:style w:type="paragraph" w:styleId="ListBullet">
    <w:name w:val="List Bullet"/>
    <w:basedOn w:val="Normal"/>
    <w:uiPriority w:val="99"/>
    <w:semiHidden/>
    <w:rsid w:val="008824B9"/>
    <w:pPr>
      <w:numPr>
        <w:numId w:val="1"/>
      </w:numPr>
    </w:pPr>
  </w:style>
  <w:style w:type="character" w:customStyle="1" w:styleId="JuITMark">
    <w:name w:val="Ju_ITMark"/>
    <w:basedOn w:val="DefaultParagraphFont"/>
    <w:uiPriority w:val="38"/>
    <w:qFormat/>
    <w:rsid w:val="004214B5"/>
    <w:rPr>
      <w:vanish/>
      <w:color w:val="339966"/>
      <w:sz w:val="14"/>
    </w:rPr>
  </w:style>
  <w:style w:type="character" w:customStyle="1" w:styleId="Heading1Char">
    <w:name w:val="Heading 1 Char"/>
    <w:basedOn w:val="DefaultParagraphFont"/>
    <w:link w:val="Heading1"/>
    <w:uiPriority w:val="99"/>
    <w:semiHidden/>
    <w:rsid w:val="004214B5"/>
    <w:rPr>
      <w:rFonts w:asciiTheme="majorHAnsi" w:eastAsiaTheme="majorEastAsia" w:hAnsiTheme="majorHAnsi" w:cstheme="majorBidi"/>
      <w:b/>
      <w:bCs/>
      <w:color w:val="333333"/>
      <w:sz w:val="28"/>
      <w:szCs w:val="28"/>
      <w:lang w:val="en-US" w:eastAsia="en-US"/>
    </w:rPr>
  </w:style>
  <w:style w:type="character" w:customStyle="1" w:styleId="Heading2Char">
    <w:name w:val="Heading 2 Char"/>
    <w:basedOn w:val="DefaultParagraphFont"/>
    <w:link w:val="Heading2"/>
    <w:uiPriority w:val="99"/>
    <w:semiHidden/>
    <w:rsid w:val="004214B5"/>
    <w:rPr>
      <w:rFonts w:asciiTheme="majorHAnsi" w:eastAsiaTheme="majorEastAsia" w:hAnsiTheme="majorHAnsi" w:cstheme="majorBidi"/>
      <w:b/>
      <w:bCs/>
      <w:color w:val="4D4D4D"/>
      <w:sz w:val="26"/>
      <w:szCs w:val="26"/>
      <w:lang w:val="en-US" w:eastAsia="en-US"/>
    </w:rPr>
  </w:style>
  <w:style w:type="character" w:customStyle="1" w:styleId="Heading3Char">
    <w:name w:val="Heading 3 Char"/>
    <w:basedOn w:val="DefaultParagraphFont"/>
    <w:link w:val="Heading3"/>
    <w:uiPriority w:val="99"/>
    <w:semiHidden/>
    <w:rsid w:val="004214B5"/>
    <w:rPr>
      <w:rFonts w:asciiTheme="majorHAnsi" w:eastAsiaTheme="majorEastAsia" w:hAnsiTheme="majorHAnsi" w:cstheme="majorBidi"/>
      <w:b/>
      <w:bCs/>
      <w:color w:val="5F5F5F"/>
      <w:sz w:val="24"/>
      <w:lang w:val="en-US" w:eastAsia="en-US"/>
    </w:rPr>
  </w:style>
  <w:style w:type="character" w:customStyle="1" w:styleId="Heading4Char">
    <w:name w:val="Heading 4 Char"/>
    <w:basedOn w:val="DefaultParagraphFont"/>
    <w:link w:val="Heading4"/>
    <w:uiPriority w:val="99"/>
    <w:semiHidden/>
    <w:rsid w:val="004214B5"/>
    <w:rPr>
      <w:rFonts w:asciiTheme="majorHAnsi" w:eastAsiaTheme="majorEastAsia" w:hAnsiTheme="majorHAnsi" w:cstheme="majorBidi"/>
      <w:b/>
      <w:bCs/>
      <w:i/>
      <w:iCs/>
      <w:color w:val="777777"/>
      <w:sz w:val="24"/>
      <w:lang w:val="en-US" w:eastAsia="en-US"/>
    </w:rPr>
  </w:style>
  <w:style w:type="character" w:customStyle="1" w:styleId="Heading6Char">
    <w:name w:val="Heading 6 Char"/>
    <w:basedOn w:val="DefaultParagraphFont"/>
    <w:link w:val="Heading6"/>
    <w:uiPriority w:val="99"/>
    <w:semiHidden/>
    <w:rsid w:val="004214B5"/>
    <w:rPr>
      <w:rFonts w:asciiTheme="majorHAnsi" w:eastAsiaTheme="majorEastAsia" w:hAnsiTheme="majorHAnsi" w:cstheme="majorBidi"/>
      <w:b/>
      <w:bCs/>
      <w:i/>
      <w:iCs/>
      <w:color w:val="7F7F7F" w:themeColor="text1" w:themeTint="80"/>
      <w:sz w:val="24"/>
      <w:lang w:val="en-US" w:eastAsia="en-US" w:bidi="en-US"/>
    </w:rPr>
  </w:style>
  <w:style w:type="character" w:customStyle="1" w:styleId="BalloonTextChar">
    <w:name w:val="Balloon Text Char"/>
    <w:basedOn w:val="DefaultParagraphFont"/>
    <w:link w:val="BalloonText"/>
    <w:uiPriority w:val="99"/>
    <w:semiHidden/>
    <w:rsid w:val="004214B5"/>
    <w:rPr>
      <w:rFonts w:ascii="Tahoma" w:eastAsiaTheme="minorEastAsia" w:hAnsi="Tahoma" w:cs="Tahoma"/>
      <w:sz w:val="16"/>
      <w:szCs w:val="16"/>
      <w:lang w:val="en-US" w:eastAsia="en-US"/>
    </w:rPr>
  </w:style>
  <w:style w:type="paragraph" w:customStyle="1" w:styleId="ECHRFooter">
    <w:name w:val="ECHR_Footer"/>
    <w:aliases w:val="Footer_ECHR"/>
    <w:basedOn w:val="Footer"/>
    <w:uiPriority w:val="57"/>
    <w:semiHidden/>
    <w:rsid w:val="004214B5"/>
    <w:pPr>
      <w:jc w:val="left"/>
    </w:pPr>
    <w:rPr>
      <w:sz w:val="8"/>
    </w:rPr>
  </w:style>
  <w:style w:type="paragraph" w:customStyle="1" w:styleId="ECHRFooterLine">
    <w:name w:val="ECHR_Footer_Line"/>
    <w:aliases w:val="Footer_Line"/>
    <w:basedOn w:val="Normal"/>
    <w:next w:val="ECHRFooter"/>
    <w:uiPriority w:val="57"/>
    <w:semiHidden/>
    <w:rsid w:val="004214B5"/>
    <w:pPr>
      <w:pBdr>
        <w:top w:val="single" w:sz="6" w:space="1" w:color="5F5F5F"/>
      </w:pBdr>
      <w:tabs>
        <w:tab w:val="center" w:pos="4536"/>
        <w:tab w:val="right" w:pos="9696"/>
      </w:tabs>
      <w:ind w:left="-680" w:right="-680"/>
      <w:jc w:val="left"/>
    </w:pPr>
    <w:rPr>
      <w:color w:val="5F5F5F"/>
    </w:rPr>
  </w:style>
  <w:style w:type="character" w:customStyle="1" w:styleId="HeaderChar">
    <w:name w:val="Header Char"/>
    <w:basedOn w:val="DefaultParagraphFont"/>
    <w:link w:val="Header"/>
    <w:uiPriority w:val="57"/>
    <w:semiHidden/>
    <w:rsid w:val="004214B5"/>
    <w:rPr>
      <w:sz w:val="24"/>
      <w:lang w:val="en-US" w:eastAsia="en-US"/>
    </w:rPr>
  </w:style>
  <w:style w:type="paragraph" w:customStyle="1" w:styleId="ECHRHeader">
    <w:name w:val="ECHR_Header"/>
    <w:aliases w:val="Ju_Header"/>
    <w:basedOn w:val="Header"/>
    <w:uiPriority w:val="4"/>
    <w:qFormat/>
    <w:rsid w:val="004214B5"/>
    <w:pPr>
      <w:tabs>
        <w:tab w:val="clear" w:pos="4536"/>
        <w:tab w:val="clear" w:pos="9072"/>
        <w:tab w:val="center" w:pos="3686"/>
        <w:tab w:val="right" w:pos="7371"/>
      </w:tabs>
      <w:jc w:val="left"/>
    </w:pPr>
    <w:rPr>
      <w:sz w:val="18"/>
      <w:lang w:val="fr-FR" w:eastAsia="fr-FR"/>
    </w:rPr>
  </w:style>
  <w:style w:type="character" w:customStyle="1" w:styleId="FooterChar">
    <w:name w:val="Footer Char"/>
    <w:basedOn w:val="DefaultParagraphFont"/>
    <w:link w:val="Footer"/>
    <w:uiPriority w:val="57"/>
    <w:semiHidden/>
    <w:rsid w:val="004214B5"/>
    <w:rPr>
      <w:sz w:val="24"/>
      <w:lang w:val="en-US" w:eastAsia="en-US"/>
    </w:rPr>
  </w:style>
  <w:style w:type="character" w:customStyle="1" w:styleId="FootnoteTextChar">
    <w:name w:val="Footnote Text Char"/>
    <w:basedOn w:val="DefaultParagraphFont"/>
    <w:link w:val="FootnoteText"/>
    <w:uiPriority w:val="99"/>
    <w:semiHidden/>
    <w:rsid w:val="004214B5"/>
    <w:rPr>
      <w:rFonts w:eastAsiaTheme="minorEastAsia"/>
      <w:sz w:val="20"/>
      <w:szCs w:val="20"/>
      <w:lang w:val="en-US" w:eastAsia="en-US"/>
    </w:rPr>
  </w:style>
  <w:style w:type="paragraph" w:customStyle="1" w:styleId="JuAppQuestion">
    <w:name w:val="Ju_App_Question"/>
    <w:basedOn w:val="Normal"/>
    <w:uiPriority w:val="5"/>
    <w:semiHidden/>
    <w:rsid w:val="004214B5"/>
    <w:pPr>
      <w:numPr>
        <w:numId w:val="14"/>
      </w:numPr>
      <w:jc w:val="left"/>
    </w:pPr>
    <w:rPr>
      <w:b/>
    </w:rPr>
  </w:style>
  <w:style w:type="paragraph" w:customStyle="1" w:styleId="OpiPara">
    <w:name w:val="Opi_Para"/>
    <w:basedOn w:val="ECHRPara"/>
    <w:uiPriority w:val="46"/>
    <w:qFormat/>
    <w:rsid w:val="004214B5"/>
  </w:style>
  <w:style w:type="paragraph" w:customStyle="1" w:styleId="JuParaSub">
    <w:name w:val="Ju_Para_Sub"/>
    <w:basedOn w:val="ECHRPara"/>
    <w:uiPriority w:val="13"/>
    <w:qFormat/>
    <w:rsid w:val="004214B5"/>
    <w:pPr>
      <w:ind w:left="284"/>
    </w:pPr>
  </w:style>
  <w:style w:type="paragraph" w:customStyle="1" w:styleId="OpiParaSub">
    <w:name w:val="Opi_Para_Sub"/>
    <w:basedOn w:val="JuParaSub"/>
    <w:uiPriority w:val="47"/>
    <w:qFormat/>
    <w:rsid w:val="004214B5"/>
  </w:style>
  <w:style w:type="paragraph" w:customStyle="1" w:styleId="OpiQuot">
    <w:name w:val="Opi_Quot"/>
    <w:basedOn w:val="ECHRParaQuote"/>
    <w:uiPriority w:val="48"/>
    <w:qFormat/>
    <w:rsid w:val="004214B5"/>
  </w:style>
  <w:style w:type="paragraph" w:customStyle="1" w:styleId="OpiQuotSub">
    <w:name w:val="Opi_Quot_Sub"/>
    <w:basedOn w:val="JuQuotSub"/>
    <w:uiPriority w:val="49"/>
    <w:qFormat/>
    <w:rsid w:val="004214B5"/>
  </w:style>
  <w:style w:type="paragraph" w:customStyle="1" w:styleId="ECHRTitleCentre3">
    <w:name w:val="ECHR_Title_Centre_3"/>
    <w:aliases w:val="Ju_H_Article"/>
    <w:basedOn w:val="Normal"/>
    <w:next w:val="ECHRParaQuote"/>
    <w:uiPriority w:val="27"/>
    <w:qFormat/>
    <w:rsid w:val="004214B5"/>
    <w:pPr>
      <w:keepNext/>
      <w:keepLines/>
      <w:spacing w:before="240" w:after="120"/>
      <w:jc w:val="center"/>
      <w:outlineLvl w:val="3"/>
    </w:pPr>
    <w:rPr>
      <w:rFonts w:asciiTheme="majorHAnsi" w:hAnsiTheme="majorHAnsi"/>
      <w:b/>
      <w:sz w:val="20"/>
      <w:lang w:val="fr-FR" w:eastAsia="fr-FR" w:bidi="en-US"/>
    </w:rPr>
  </w:style>
  <w:style w:type="paragraph" w:customStyle="1" w:styleId="ECHRTitleCentre2">
    <w:name w:val="ECHR_Title_Centre_2"/>
    <w:aliases w:val="Dec_H_Case"/>
    <w:basedOn w:val="Normal"/>
    <w:next w:val="ECHRPara"/>
    <w:uiPriority w:val="8"/>
    <w:semiHidden/>
    <w:rsid w:val="004214B5"/>
    <w:pPr>
      <w:spacing w:after="240"/>
      <w:jc w:val="center"/>
      <w:outlineLvl w:val="0"/>
    </w:pPr>
    <w:rPr>
      <w:rFonts w:asciiTheme="majorHAnsi" w:hAnsiTheme="majorHAnsi"/>
      <w:i/>
    </w:rPr>
  </w:style>
  <w:style w:type="paragraph" w:customStyle="1" w:styleId="JuTitle">
    <w:name w:val="Ju_Title"/>
    <w:basedOn w:val="Normal"/>
    <w:next w:val="ECHRPara"/>
    <w:uiPriority w:val="3"/>
    <w:semiHidden/>
    <w:rsid w:val="004214B5"/>
    <w:pPr>
      <w:spacing w:before="720" w:after="240"/>
      <w:jc w:val="center"/>
      <w:outlineLvl w:val="0"/>
    </w:pPr>
    <w:rPr>
      <w:rFonts w:asciiTheme="majorHAnsi" w:hAnsiTheme="majorHAnsi"/>
      <w:b/>
      <w:caps/>
    </w:rPr>
  </w:style>
  <w:style w:type="character" w:customStyle="1" w:styleId="Heading5Char">
    <w:name w:val="Heading 5 Char"/>
    <w:basedOn w:val="DefaultParagraphFont"/>
    <w:link w:val="Heading5"/>
    <w:uiPriority w:val="99"/>
    <w:semiHidden/>
    <w:rsid w:val="004214B5"/>
    <w:rPr>
      <w:rFonts w:asciiTheme="majorHAnsi" w:eastAsiaTheme="majorEastAsia" w:hAnsiTheme="majorHAnsi" w:cstheme="majorBidi"/>
      <w:b/>
      <w:bCs/>
      <w:color w:val="808080"/>
    </w:rPr>
  </w:style>
  <w:style w:type="character" w:customStyle="1" w:styleId="Heading7Char">
    <w:name w:val="Heading 7 Char"/>
    <w:basedOn w:val="DefaultParagraphFont"/>
    <w:link w:val="Heading7"/>
    <w:uiPriority w:val="99"/>
    <w:semiHidden/>
    <w:rsid w:val="004214B5"/>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9"/>
    <w:semiHidden/>
    <w:rsid w:val="004214B5"/>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semiHidden/>
    <w:rsid w:val="004214B5"/>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99"/>
    <w:semiHidden/>
    <w:qFormat/>
    <w:rsid w:val="004214B5"/>
    <w:pPr>
      <w:pBdr>
        <w:bottom w:val="single" w:sz="4" w:space="1" w:color="auto"/>
      </w:pBdr>
      <w:contextualSpacing/>
    </w:pPr>
    <w:rPr>
      <w:rFonts w:asciiTheme="majorHAnsi" w:eastAsiaTheme="majorEastAsia" w:hAnsiTheme="majorHAnsi" w:cstheme="majorBidi"/>
      <w:spacing w:val="5"/>
      <w:sz w:val="52"/>
      <w:szCs w:val="52"/>
      <w:lang w:val="fr-FR" w:eastAsia="fr-FR" w:bidi="en-US"/>
    </w:rPr>
  </w:style>
  <w:style w:type="character" w:customStyle="1" w:styleId="TitleChar">
    <w:name w:val="Title Char"/>
    <w:basedOn w:val="DefaultParagraphFont"/>
    <w:link w:val="Title"/>
    <w:uiPriority w:val="99"/>
    <w:semiHidden/>
    <w:rsid w:val="004214B5"/>
    <w:rPr>
      <w:rFonts w:asciiTheme="majorHAnsi" w:eastAsiaTheme="majorEastAsia" w:hAnsiTheme="majorHAnsi" w:cstheme="majorBidi"/>
      <w:spacing w:val="5"/>
      <w:sz w:val="52"/>
      <w:szCs w:val="52"/>
      <w:lang w:bidi="en-US"/>
    </w:rPr>
  </w:style>
  <w:style w:type="paragraph" w:styleId="Subtitle">
    <w:name w:val="Subtitle"/>
    <w:basedOn w:val="Normal"/>
    <w:next w:val="Normal"/>
    <w:link w:val="SubtitleChar"/>
    <w:uiPriority w:val="99"/>
    <w:semiHidden/>
    <w:qFormat/>
    <w:rsid w:val="004214B5"/>
    <w:pPr>
      <w:spacing w:after="600"/>
    </w:pPr>
    <w:rPr>
      <w:rFonts w:asciiTheme="majorHAnsi" w:eastAsiaTheme="majorEastAsia" w:hAnsiTheme="majorHAnsi" w:cstheme="majorBidi"/>
      <w:i/>
      <w:iCs/>
      <w:spacing w:val="13"/>
      <w:szCs w:val="24"/>
      <w:lang w:val="fr-FR" w:eastAsia="fr-FR" w:bidi="en-US"/>
    </w:rPr>
  </w:style>
  <w:style w:type="character" w:customStyle="1" w:styleId="SubtitleChar">
    <w:name w:val="Subtitle Char"/>
    <w:basedOn w:val="DefaultParagraphFont"/>
    <w:link w:val="Subtitle"/>
    <w:uiPriority w:val="99"/>
    <w:semiHidden/>
    <w:rsid w:val="004214B5"/>
    <w:rPr>
      <w:rFonts w:asciiTheme="majorHAnsi" w:eastAsiaTheme="majorEastAsia" w:hAnsiTheme="majorHAnsi" w:cstheme="majorBidi"/>
      <w:i/>
      <w:iCs/>
      <w:spacing w:val="13"/>
      <w:sz w:val="24"/>
      <w:szCs w:val="24"/>
      <w:lang w:bidi="en-US"/>
    </w:rPr>
  </w:style>
  <w:style w:type="character" w:styleId="Emphasis">
    <w:name w:val="Emphasis"/>
    <w:uiPriority w:val="99"/>
    <w:semiHidden/>
    <w:qFormat/>
    <w:rsid w:val="004214B5"/>
    <w:rPr>
      <w:b/>
      <w:bCs/>
      <w:i/>
      <w:iCs/>
      <w:spacing w:val="10"/>
      <w:bdr w:val="none" w:sz="0" w:space="0" w:color="auto"/>
      <w:shd w:val="clear" w:color="auto" w:fill="auto"/>
    </w:rPr>
  </w:style>
  <w:style w:type="paragraph" w:styleId="NoSpacing">
    <w:name w:val="No Spacing"/>
    <w:basedOn w:val="Normal"/>
    <w:link w:val="NoSpacingChar"/>
    <w:uiPriority w:val="99"/>
    <w:semiHidden/>
    <w:qFormat/>
    <w:rsid w:val="004214B5"/>
    <w:rPr>
      <w:sz w:val="22"/>
      <w:lang w:val="fr-FR" w:eastAsia="fr-FR"/>
    </w:rPr>
  </w:style>
  <w:style w:type="character" w:customStyle="1" w:styleId="NoSpacingChar">
    <w:name w:val="No Spacing Char"/>
    <w:basedOn w:val="DefaultParagraphFont"/>
    <w:link w:val="NoSpacing"/>
    <w:semiHidden/>
    <w:rsid w:val="004214B5"/>
    <w:rPr>
      <w:rFonts w:eastAsiaTheme="minorEastAsia"/>
    </w:rPr>
  </w:style>
  <w:style w:type="paragraph" w:styleId="ListParagraph">
    <w:name w:val="List Paragraph"/>
    <w:basedOn w:val="Normal"/>
    <w:uiPriority w:val="99"/>
    <w:semiHidden/>
    <w:qFormat/>
    <w:rsid w:val="004214B5"/>
    <w:pPr>
      <w:ind w:left="720"/>
      <w:contextualSpacing/>
    </w:pPr>
    <w:rPr>
      <w:lang w:val="fr-FR" w:eastAsia="fr-FR"/>
    </w:rPr>
  </w:style>
  <w:style w:type="paragraph" w:styleId="Quote">
    <w:name w:val="Quote"/>
    <w:basedOn w:val="Normal"/>
    <w:next w:val="Normal"/>
    <w:link w:val="QuoteChar"/>
    <w:uiPriority w:val="99"/>
    <w:semiHidden/>
    <w:qFormat/>
    <w:rsid w:val="004214B5"/>
    <w:pPr>
      <w:spacing w:before="200"/>
      <w:ind w:left="360" w:right="360"/>
    </w:pPr>
    <w:rPr>
      <w:i/>
      <w:iCs/>
      <w:sz w:val="22"/>
      <w:lang w:val="fr-FR" w:eastAsia="fr-FR" w:bidi="en-US"/>
    </w:rPr>
  </w:style>
  <w:style w:type="character" w:customStyle="1" w:styleId="QuoteChar">
    <w:name w:val="Quote Char"/>
    <w:basedOn w:val="DefaultParagraphFont"/>
    <w:link w:val="Quote"/>
    <w:uiPriority w:val="99"/>
    <w:semiHidden/>
    <w:rsid w:val="004214B5"/>
    <w:rPr>
      <w:rFonts w:eastAsiaTheme="minorEastAsia"/>
      <w:i/>
      <w:iCs/>
      <w:lang w:bidi="en-US"/>
    </w:rPr>
  </w:style>
  <w:style w:type="paragraph" w:styleId="IntenseQuote">
    <w:name w:val="Intense Quote"/>
    <w:basedOn w:val="Normal"/>
    <w:next w:val="Normal"/>
    <w:link w:val="IntenseQuoteChar"/>
    <w:uiPriority w:val="99"/>
    <w:semiHidden/>
    <w:qFormat/>
    <w:rsid w:val="004214B5"/>
    <w:pPr>
      <w:pBdr>
        <w:bottom w:val="single" w:sz="4" w:space="1" w:color="auto"/>
      </w:pBdr>
      <w:spacing w:before="200" w:after="280"/>
      <w:ind w:left="1008" w:right="1152"/>
    </w:pPr>
    <w:rPr>
      <w:b/>
      <w:bCs/>
      <w:i/>
      <w:iCs/>
      <w:sz w:val="22"/>
      <w:lang w:val="fr-FR" w:eastAsia="fr-FR" w:bidi="en-US"/>
    </w:rPr>
  </w:style>
  <w:style w:type="character" w:customStyle="1" w:styleId="IntenseQuoteChar">
    <w:name w:val="Intense Quote Char"/>
    <w:basedOn w:val="DefaultParagraphFont"/>
    <w:link w:val="IntenseQuote"/>
    <w:uiPriority w:val="99"/>
    <w:semiHidden/>
    <w:rsid w:val="004214B5"/>
    <w:rPr>
      <w:rFonts w:eastAsiaTheme="minorEastAsia"/>
      <w:b/>
      <w:bCs/>
      <w:i/>
      <w:iCs/>
      <w:lang w:bidi="en-US"/>
    </w:rPr>
  </w:style>
  <w:style w:type="character" w:styleId="SubtleEmphasis">
    <w:name w:val="Subtle Emphasis"/>
    <w:uiPriority w:val="99"/>
    <w:semiHidden/>
    <w:qFormat/>
    <w:rsid w:val="004214B5"/>
    <w:rPr>
      <w:i/>
      <w:iCs/>
    </w:rPr>
  </w:style>
  <w:style w:type="character" w:styleId="IntenseEmphasis">
    <w:name w:val="Intense Emphasis"/>
    <w:uiPriority w:val="99"/>
    <w:semiHidden/>
    <w:qFormat/>
    <w:rsid w:val="004214B5"/>
    <w:rPr>
      <w:b/>
      <w:bCs/>
    </w:rPr>
  </w:style>
  <w:style w:type="character" w:styleId="SubtleReference">
    <w:name w:val="Subtle Reference"/>
    <w:uiPriority w:val="99"/>
    <w:semiHidden/>
    <w:qFormat/>
    <w:rsid w:val="004214B5"/>
    <w:rPr>
      <w:smallCaps/>
    </w:rPr>
  </w:style>
  <w:style w:type="character" w:styleId="IntenseReference">
    <w:name w:val="Intense Reference"/>
    <w:uiPriority w:val="99"/>
    <w:semiHidden/>
    <w:qFormat/>
    <w:rsid w:val="004214B5"/>
    <w:rPr>
      <w:smallCaps/>
      <w:spacing w:val="5"/>
      <w:u w:val="single"/>
    </w:rPr>
  </w:style>
  <w:style w:type="character" w:styleId="BookTitle">
    <w:name w:val="Book Title"/>
    <w:uiPriority w:val="99"/>
    <w:semiHidden/>
    <w:qFormat/>
    <w:rsid w:val="004214B5"/>
    <w:rPr>
      <w:i/>
      <w:iCs/>
      <w:smallCaps/>
      <w:spacing w:val="5"/>
    </w:rPr>
  </w:style>
  <w:style w:type="paragraph" w:styleId="TOCHeading">
    <w:name w:val="TOC Heading"/>
    <w:basedOn w:val="Heading1"/>
    <w:next w:val="Normal"/>
    <w:uiPriority w:val="99"/>
    <w:semiHidden/>
    <w:qFormat/>
    <w:rsid w:val="004214B5"/>
    <w:pPr>
      <w:outlineLvl w:val="9"/>
    </w:pPr>
    <w:rPr>
      <w:color w:val="474747" w:themeColor="accent3" w:themeShade="BF"/>
      <w:lang w:val="fr-FR" w:eastAsia="fr-FR"/>
    </w:rPr>
  </w:style>
  <w:style w:type="numbering" w:styleId="111111">
    <w:name w:val="Outline List 2"/>
    <w:basedOn w:val="NoList"/>
    <w:uiPriority w:val="99"/>
    <w:semiHidden/>
    <w:rsid w:val="00171962"/>
    <w:pPr>
      <w:numPr>
        <w:numId w:val="2"/>
      </w:numPr>
    </w:pPr>
  </w:style>
  <w:style w:type="numbering" w:styleId="1ai">
    <w:name w:val="Outline List 1"/>
    <w:basedOn w:val="NoList"/>
    <w:uiPriority w:val="99"/>
    <w:semiHidden/>
    <w:rsid w:val="00171962"/>
    <w:pPr>
      <w:numPr>
        <w:numId w:val="3"/>
      </w:numPr>
    </w:pPr>
  </w:style>
  <w:style w:type="numbering" w:styleId="ArticleSection">
    <w:name w:val="Outline List 3"/>
    <w:basedOn w:val="NoList"/>
    <w:uiPriority w:val="99"/>
    <w:semiHidden/>
    <w:rsid w:val="00171962"/>
    <w:pPr>
      <w:numPr>
        <w:numId w:val="4"/>
      </w:numPr>
    </w:pPr>
  </w:style>
  <w:style w:type="paragraph" w:styleId="Bibliography">
    <w:name w:val="Bibliography"/>
    <w:basedOn w:val="Normal"/>
    <w:next w:val="Normal"/>
    <w:uiPriority w:val="99"/>
    <w:semiHidden/>
    <w:unhideWhenUsed/>
    <w:rsid w:val="00171962"/>
  </w:style>
  <w:style w:type="paragraph" w:styleId="BlockText">
    <w:name w:val="Block Text"/>
    <w:basedOn w:val="Normal"/>
    <w:uiPriority w:val="99"/>
    <w:semiHidden/>
    <w:rsid w:val="00171962"/>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BodyText">
    <w:name w:val="Body Text"/>
    <w:basedOn w:val="Normal"/>
    <w:link w:val="BodyTextChar"/>
    <w:uiPriority w:val="99"/>
    <w:semiHidden/>
    <w:rsid w:val="00171962"/>
    <w:pPr>
      <w:spacing w:after="120"/>
    </w:pPr>
  </w:style>
  <w:style w:type="character" w:customStyle="1" w:styleId="BodyTextChar">
    <w:name w:val="Body Text Char"/>
    <w:basedOn w:val="DefaultParagraphFont"/>
    <w:link w:val="BodyText"/>
    <w:rsid w:val="00171962"/>
    <w:rPr>
      <w:sz w:val="24"/>
      <w:lang w:val="en-GB"/>
    </w:rPr>
  </w:style>
  <w:style w:type="paragraph" w:styleId="BodyText2">
    <w:name w:val="Body Text 2"/>
    <w:basedOn w:val="Normal"/>
    <w:link w:val="BodyText2Char"/>
    <w:uiPriority w:val="99"/>
    <w:semiHidden/>
    <w:rsid w:val="00171962"/>
    <w:pPr>
      <w:spacing w:after="120" w:line="480" w:lineRule="auto"/>
    </w:pPr>
  </w:style>
  <w:style w:type="character" w:customStyle="1" w:styleId="BodyText2Char">
    <w:name w:val="Body Text 2 Char"/>
    <w:basedOn w:val="DefaultParagraphFont"/>
    <w:link w:val="BodyText2"/>
    <w:rsid w:val="00171962"/>
    <w:rPr>
      <w:sz w:val="24"/>
      <w:lang w:val="en-GB"/>
    </w:rPr>
  </w:style>
  <w:style w:type="paragraph" w:styleId="BodyText3">
    <w:name w:val="Body Text 3"/>
    <w:basedOn w:val="Normal"/>
    <w:link w:val="BodyText3Char"/>
    <w:uiPriority w:val="99"/>
    <w:semiHidden/>
    <w:rsid w:val="00171962"/>
    <w:pPr>
      <w:spacing w:after="120"/>
    </w:pPr>
    <w:rPr>
      <w:sz w:val="16"/>
      <w:szCs w:val="16"/>
    </w:rPr>
  </w:style>
  <w:style w:type="character" w:customStyle="1" w:styleId="BodyText3Char">
    <w:name w:val="Body Text 3 Char"/>
    <w:basedOn w:val="DefaultParagraphFont"/>
    <w:link w:val="BodyText3"/>
    <w:rsid w:val="00171962"/>
    <w:rPr>
      <w:sz w:val="16"/>
      <w:szCs w:val="16"/>
      <w:lang w:val="en-GB"/>
    </w:rPr>
  </w:style>
  <w:style w:type="paragraph" w:styleId="BodyTextFirstIndent">
    <w:name w:val="Body Text First Indent"/>
    <w:basedOn w:val="BodyText"/>
    <w:link w:val="BodyTextFirstIndentChar"/>
    <w:uiPriority w:val="99"/>
    <w:semiHidden/>
    <w:rsid w:val="00171962"/>
    <w:pPr>
      <w:spacing w:after="0"/>
      <w:ind w:firstLine="360"/>
    </w:pPr>
  </w:style>
  <w:style w:type="character" w:customStyle="1" w:styleId="BodyTextFirstIndentChar">
    <w:name w:val="Body Text First Indent Char"/>
    <w:basedOn w:val="BodyTextChar"/>
    <w:link w:val="BodyTextFirstIndent"/>
    <w:rsid w:val="00171962"/>
    <w:rPr>
      <w:sz w:val="24"/>
      <w:lang w:val="en-GB"/>
    </w:rPr>
  </w:style>
  <w:style w:type="paragraph" w:styleId="BodyTextIndent">
    <w:name w:val="Body Text Indent"/>
    <w:basedOn w:val="Normal"/>
    <w:link w:val="BodyTextIndentChar"/>
    <w:uiPriority w:val="99"/>
    <w:semiHidden/>
    <w:rsid w:val="00171962"/>
    <w:pPr>
      <w:spacing w:after="120"/>
      <w:ind w:left="283"/>
    </w:pPr>
  </w:style>
  <w:style w:type="character" w:customStyle="1" w:styleId="BodyTextIndentChar">
    <w:name w:val="Body Text Indent Char"/>
    <w:basedOn w:val="DefaultParagraphFont"/>
    <w:link w:val="BodyTextIndent"/>
    <w:rsid w:val="00171962"/>
    <w:rPr>
      <w:sz w:val="24"/>
      <w:lang w:val="en-GB"/>
    </w:rPr>
  </w:style>
  <w:style w:type="paragraph" w:styleId="BodyTextFirstIndent2">
    <w:name w:val="Body Text First Indent 2"/>
    <w:basedOn w:val="BodyTextIndent"/>
    <w:link w:val="BodyTextFirstIndent2Char"/>
    <w:uiPriority w:val="99"/>
    <w:semiHidden/>
    <w:rsid w:val="00171962"/>
    <w:pPr>
      <w:spacing w:after="0"/>
      <w:ind w:left="360" w:firstLine="360"/>
    </w:pPr>
  </w:style>
  <w:style w:type="character" w:customStyle="1" w:styleId="BodyTextFirstIndent2Char">
    <w:name w:val="Body Text First Indent 2 Char"/>
    <w:basedOn w:val="BodyTextIndentChar"/>
    <w:link w:val="BodyTextFirstIndent2"/>
    <w:rsid w:val="00171962"/>
    <w:rPr>
      <w:sz w:val="24"/>
      <w:lang w:val="en-GB"/>
    </w:rPr>
  </w:style>
  <w:style w:type="paragraph" w:styleId="BodyTextIndent2">
    <w:name w:val="Body Text Indent 2"/>
    <w:basedOn w:val="Normal"/>
    <w:link w:val="BodyTextIndent2Char"/>
    <w:uiPriority w:val="99"/>
    <w:semiHidden/>
    <w:rsid w:val="00171962"/>
    <w:pPr>
      <w:spacing w:after="120" w:line="480" w:lineRule="auto"/>
      <w:ind w:left="283"/>
    </w:pPr>
  </w:style>
  <w:style w:type="character" w:customStyle="1" w:styleId="BodyTextIndent2Char">
    <w:name w:val="Body Text Indent 2 Char"/>
    <w:basedOn w:val="DefaultParagraphFont"/>
    <w:link w:val="BodyTextIndent2"/>
    <w:rsid w:val="00171962"/>
    <w:rPr>
      <w:sz w:val="24"/>
      <w:lang w:val="en-GB"/>
    </w:rPr>
  </w:style>
  <w:style w:type="paragraph" w:styleId="BodyTextIndent3">
    <w:name w:val="Body Text Indent 3"/>
    <w:basedOn w:val="Normal"/>
    <w:link w:val="BodyTextIndent3Char"/>
    <w:uiPriority w:val="99"/>
    <w:semiHidden/>
    <w:rsid w:val="00171962"/>
    <w:pPr>
      <w:spacing w:after="120"/>
      <w:ind w:left="283"/>
    </w:pPr>
    <w:rPr>
      <w:sz w:val="16"/>
      <w:szCs w:val="16"/>
    </w:rPr>
  </w:style>
  <w:style w:type="character" w:customStyle="1" w:styleId="BodyTextIndent3Char">
    <w:name w:val="Body Text Indent 3 Char"/>
    <w:basedOn w:val="DefaultParagraphFont"/>
    <w:link w:val="BodyTextIndent3"/>
    <w:rsid w:val="00171962"/>
    <w:rPr>
      <w:sz w:val="16"/>
      <w:szCs w:val="16"/>
      <w:lang w:val="en-GB"/>
    </w:rPr>
  </w:style>
  <w:style w:type="paragraph" w:styleId="Caption">
    <w:name w:val="caption"/>
    <w:basedOn w:val="Normal"/>
    <w:next w:val="Normal"/>
    <w:uiPriority w:val="99"/>
    <w:semiHidden/>
    <w:qFormat/>
    <w:rsid w:val="00171962"/>
    <w:pPr>
      <w:spacing w:after="200"/>
    </w:pPr>
    <w:rPr>
      <w:b/>
      <w:bCs/>
      <w:color w:val="0072BC" w:themeColor="accent1"/>
      <w:sz w:val="18"/>
      <w:szCs w:val="18"/>
      <w:lang w:val="fr-FR" w:eastAsia="fr-FR"/>
    </w:rPr>
  </w:style>
  <w:style w:type="paragraph" w:styleId="Closing">
    <w:name w:val="Closing"/>
    <w:basedOn w:val="Normal"/>
    <w:link w:val="ClosingChar"/>
    <w:uiPriority w:val="99"/>
    <w:semiHidden/>
    <w:rsid w:val="00171962"/>
    <w:pPr>
      <w:ind w:left="4252"/>
    </w:pPr>
  </w:style>
  <w:style w:type="character" w:customStyle="1" w:styleId="ClosingChar">
    <w:name w:val="Closing Char"/>
    <w:basedOn w:val="DefaultParagraphFont"/>
    <w:link w:val="Closing"/>
    <w:rsid w:val="00171962"/>
    <w:rPr>
      <w:sz w:val="24"/>
      <w:lang w:val="en-GB"/>
    </w:rPr>
  </w:style>
  <w:style w:type="table" w:styleId="ColorfulGrid">
    <w:name w:val="Colorful Grid"/>
    <w:basedOn w:val="TableNormal"/>
    <w:uiPriority w:val="99"/>
    <w:semiHidden/>
    <w:rsid w:val="0017196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17196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17196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17196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17196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17196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17196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17196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171962"/>
    <w:rPr>
      <w:color w:val="000000" w:themeColor="text1"/>
    </w:rPr>
    <w:tblPr>
      <w:tblStyleRowBandSize w:val="1"/>
      <w:tblStyleColBandSize w:val="1"/>
      <w:tblInd w:w="0" w:type="dxa"/>
      <w:tblCellMar>
        <w:top w:w="0" w:type="dxa"/>
        <w:left w:w="108" w:type="dxa"/>
        <w:bottom w:w="0" w:type="dxa"/>
        <w:right w:w="108" w:type="dxa"/>
      </w:tblCellMar>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17196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17196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17196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17196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17196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171962"/>
    <w:rPr>
      <w:color w:val="000000" w:themeColor="text1"/>
    </w:rPr>
    <w:tblPr>
      <w:tblStyleRowBandSize w:val="1"/>
      <w:tblStyleColBandSize w:val="1"/>
      <w:tblInd w:w="0" w:type="dxa"/>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171962"/>
    <w:rPr>
      <w:color w:val="000000" w:themeColor="text1"/>
    </w:rPr>
    <w:tblPr>
      <w:tblStyleRowBandSize w:val="1"/>
      <w:tblStyleColBandSize w:val="1"/>
      <w:tblInd w:w="0" w:type="dxa"/>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171962"/>
    <w:rPr>
      <w:color w:val="000000" w:themeColor="text1"/>
    </w:rPr>
    <w:tblPr>
      <w:tblStyleRowBandSize w:val="1"/>
      <w:tblStyleColBandSize w:val="1"/>
      <w:tblInd w:w="0" w:type="dxa"/>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171962"/>
    <w:rPr>
      <w:color w:val="000000" w:themeColor="text1"/>
    </w:rPr>
    <w:tblPr>
      <w:tblStyleRowBandSize w:val="1"/>
      <w:tblStyleColBandSize w:val="1"/>
      <w:tblInd w:w="0" w:type="dxa"/>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171962"/>
    <w:rPr>
      <w:color w:val="000000" w:themeColor="text1"/>
    </w:rPr>
    <w:tblPr>
      <w:tblStyleRowBandSize w:val="1"/>
      <w:tblStyleColBandSize w:val="1"/>
      <w:tblInd w:w="0" w:type="dxa"/>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171962"/>
    <w:rPr>
      <w:color w:val="000000" w:themeColor="text1"/>
    </w:rPr>
    <w:tblPr>
      <w:tblStyleRowBandSize w:val="1"/>
      <w:tblStyleColBandSize w:val="1"/>
      <w:tblInd w:w="0" w:type="dxa"/>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171962"/>
    <w:rPr>
      <w:color w:val="000000" w:themeColor="text1"/>
    </w:rPr>
    <w:tblPr>
      <w:tblStyleRowBandSize w:val="1"/>
      <w:tblStyleColBandSize w:val="1"/>
      <w:tblInd w:w="0" w:type="dxa"/>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17196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17196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17196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17196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17196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17196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17196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171962"/>
  </w:style>
  <w:style w:type="character" w:customStyle="1" w:styleId="DateChar">
    <w:name w:val="Date Char"/>
    <w:basedOn w:val="DefaultParagraphFont"/>
    <w:link w:val="Date"/>
    <w:rsid w:val="00171962"/>
    <w:rPr>
      <w:sz w:val="24"/>
      <w:lang w:val="en-GB"/>
    </w:rPr>
  </w:style>
  <w:style w:type="paragraph" w:styleId="E-mailSignature">
    <w:name w:val="E-mail Signature"/>
    <w:basedOn w:val="Normal"/>
    <w:link w:val="E-mailSignatureChar"/>
    <w:uiPriority w:val="99"/>
    <w:semiHidden/>
    <w:rsid w:val="00171962"/>
  </w:style>
  <w:style w:type="character" w:customStyle="1" w:styleId="E-mailSignatureChar">
    <w:name w:val="E-mail Signature Char"/>
    <w:basedOn w:val="DefaultParagraphFont"/>
    <w:link w:val="E-mailSignature"/>
    <w:rsid w:val="00171962"/>
    <w:rPr>
      <w:sz w:val="24"/>
      <w:lang w:val="en-GB"/>
    </w:rPr>
  </w:style>
  <w:style w:type="paragraph" w:styleId="EnvelopeAddress">
    <w:name w:val="envelope address"/>
    <w:basedOn w:val="Normal"/>
    <w:uiPriority w:val="99"/>
    <w:semiHidden/>
    <w:rsid w:val="00171962"/>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171962"/>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171962"/>
  </w:style>
  <w:style w:type="paragraph" w:styleId="HTMLAddress">
    <w:name w:val="HTML Address"/>
    <w:basedOn w:val="Normal"/>
    <w:link w:val="HTMLAddressChar"/>
    <w:uiPriority w:val="99"/>
    <w:semiHidden/>
    <w:rsid w:val="00171962"/>
    <w:rPr>
      <w:i/>
      <w:iCs/>
    </w:rPr>
  </w:style>
  <w:style w:type="character" w:customStyle="1" w:styleId="HTMLAddressChar">
    <w:name w:val="HTML Address Char"/>
    <w:basedOn w:val="DefaultParagraphFont"/>
    <w:link w:val="HTMLAddress"/>
    <w:rsid w:val="00171962"/>
    <w:rPr>
      <w:i/>
      <w:iCs/>
      <w:sz w:val="24"/>
      <w:lang w:val="en-GB"/>
    </w:rPr>
  </w:style>
  <w:style w:type="character" w:styleId="HTMLCite">
    <w:name w:val="HTML Cite"/>
    <w:basedOn w:val="DefaultParagraphFont"/>
    <w:uiPriority w:val="99"/>
    <w:semiHidden/>
    <w:rsid w:val="00171962"/>
    <w:rPr>
      <w:i/>
      <w:iCs/>
    </w:rPr>
  </w:style>
  <w:style w:type="character" w:styleId="HTMLCode">
    <w:name w:val="HTML Code"/>
    <w:basedOn w:val="DefaultParagraphFont"/>
    <w:uiPriority w:val="99"/>
    <w:semiHidden/>
    <w:rsid w:val="00171962"/>
    <w:rPr>
      <w:rFonts w:ascii="Consolas" w:hAnsi="Consolas" w:cs="Consolas"/>
      <w:sz w:val="20"/>
      <w:szCs w:val="20"/>
    </w:rPr>
  </w:style>
  <w:style w:type="character" w:styleId="HTMLDefinition">
    <w:name w:val="HTML Definition"/>
    <w:basedOn w:val="DefaultParagraphFont"/>
    <w:uiPriority w:val="99"/>
    <w:semiHidden/>
    <w:rsid w:val="00171962"/>
    <w:rPr>
      <w:i/>
      <w:iCs/>
    </w:rPr>
  </w:style>
  <w:style w:type="character" w:styleId="HTMLKeyboard">
    <w:name w:val="HTML Keyboard"/>
    <w:basedOn w:val="DefaultParagraphFont"/>
    <w:uiPriority w:val="99"/>
    <w:semiHidden/>
    <w:rsid w:val="00171962"/>
    <w:rPr>
      <w:rFonts w:ascii="Consolas" w:hAnsi="Consolas" w:cs="Consolas"/>
      <w:sz w:val="20"/>
      <w:szCs w:val="20"/>
    </w:rPr>
  </w:style>
  <w:style w:type="paragraph" w:styleId="HTMLPreformatted">
    <w:name w:val="HTML Preformatted"/>
    <w:basedOn w:val="Normal"/>
    <w:link w:val="HTMLPreformattedChar"/>
    <w:uiPriority w:val="99"/>
    <w:semiHidden/>
    <w:rsid w:val="00171962"/>
    <w:rPr>
      <w:rFonts w:ascii="Consolas" w:hAnsi="Consolas" w:cs="Consolas"/>
      <w:sz w:val="20"/>
      <w:szCs w:val="20"/>
    </w:rPr>
  </w:style>
  <w:style w:type="character" w:customStyle="1" w:styleId="HTMLPreformattedChar">
    <w:name w:val="HTML Preformatted Char"/>
    <w:basedOn w:val="DefaultParagraphFont"/>
    <w:link w:val="HTMLPreformatted"/>
    <w:rsid w:val="00171962"/>
    <w:rPr>
      <w:rFonts w:ascii="Consolas" w:hAnsi="Consolas" w:cs="Consolas"/>
      <w:sz w:val="20"/>
      <w:szCs w:val="20"/>
      <w:lang w:val="en-GB"/>
    </w:rPr>
  </w:style>
  <w:style w:type="character" w:styleId="HTMLSample">
    <w:name w:val="HTML Sample"/>
    <w:basedOn w:val="DefaultParagraphFont"/>
    <w:uiPriority w:val="99"/>
    <w:semiHidden/>
    <w:rsid w:val="00171962"/>
    <w:rPr>
      <w:rFonts w:ascii="Consolas" w:hAnsi="Consolas" w:cs="Consolas"/>
      <w:sz w:val="24"/>
      <w:szCs w:val="24"/>
    </w:rPr>
  </w:style>
  <w:style w:type="character" w:styleId="HTMLTypewriter">
    <w:name w:val="HTML Typewriter"/>
    <w:basedOn w:val="DefaultParagraphFont"/>
    <w:uiPriority w:val="99"/>
    <w:semiHidden/>
    <w:rsid w:val="00171962"/>
    <w:rPr>
      <w:rFonts w:ascii="Consolas" w:hAnsi="Consolas" w:cs="Consolas"/>
      <w:sz w:val="20"/>
      <w:szCs w:val="20"/>
    </w:rPr>
  </w:style>
  <w:style w:type="character" w:styleId="HTMLVariable">
    <w:name w:val="HTML Variable"/>
    <w:basedOn w:val="DefaultParagraphFont"/>
    <w:uiPriority w:val="99"/>
    <w:semiHidden/>
    <w:rsid w:val="00171962"/>
    <w:rPr>
      <w:i/>
      <w:iCs/>
    </w:rPr>
  </w:style>
  <w:style w:type="paragraph" w:styleId="Index1">
    <w:name w:val="index 1"/>
    <w:basedOn w:val="Normal"/>
    <w:next w:val="Normal"/>
    <w:autoRedefine/>
    <w:uiPriority w:val="99"/>
    <w:semiHidden/>
    <w:rsid w:val="00171962"/>
    <w:pPr>
      <w:ind w:left="240" w:hanging="240"/>
    </w:pPr>
  </w:style>
  <w:style w:type="paragraph" w:styleId="Index2">
    <w:name w:val="index 2"/>
    <w:basedOn w:val="Normal"/>
    <w:next w:val="Normal"/>
    <w:autoRedefine/>
    <w:uiPriority w:val="99"/>
    <w:semiHidden/>
    <w:rsid w:val="00171962"/>
    <w:pPr>
      <w:ind w:left="480" w:hanging="240"/>
    </w:pPr>
  </w:style>
  <w:style w:type="paragraph" w:styleId="Index3">
    <w:name w:val="index 3"/>
    <w:basedOn w:val="Normal"/>
    <w:next w:val="Normal"/>
    <w:autoRedefine/>
    <w:uiPriority w:val="99"/>
    <w:semiHidden/>
    <w:rsid w:val="00171962"/>
    <w:pPr>
      <w:ind w:left="720" w:hanging="240"/>
    </w:pPr>
  </w:style>
  <w:style w:type="paragraph" w:styleId="Index4">
    <w:name w:val="index 4"/>
    <w:basedOn w:val="Normal"/>
    <w:next w:val="Normal"/>
    <w:autoRedefine/>
    <w:uiPriority w:val="99"/>
    <w:semiHidden/>
    <w:rsid w:val="00171962"/>
    <w:pPr>
      <w:ind w:left="960" w:hanging="240"/>
    </w:pPr>
  </w:style>
  <w:style w:type="paragraph" w:styleId="Index5">
    <w:name w:val="index 5"/>
    <w:basedOn w:val="Normal"/>
    <w:next w:val="Normal"/>
    <w:autoRedefine/>
    <w:uiPriority w:val="99"/>
    <w:semiHidden/>
    <w:rsid w:val="00171962"/>
    <w:pPr>
      <w:ind w:left="1200" w:hanging="240"/>
    </w:pPr>
  </w:style>
  <w:style w:type="paragraph" w:styleId="Index6">
    <w:name w:val="index 6"/>
    <w:basedOn w:val="Normal"/>
    <w:next w:val="Normal"/>
    <w:autoRedefine/>
    <w:uiPriority w:val="99"/>
    <w:semiHidden/>
    <w:rsid w:val="00171962"/>
    <w:pPr>
      <w:ind w:left="1440" w:hanging="240"/>
    </w:pPr>
  </w:style>
  <w:style w:type="paragraph" w:styleId="Index7">
    <w:name w:val="index 7"/>
    <w:basedOn w:val="Normal"/>
    <w:next w:val="Normal"/>
    <w:autoRedefine/>
    <w:uiPriority w:val="99"/>
    <w:semiHidden/>
    <w:rsid w:val="00171962"/>
    <w:pPr>
      <w:ind w:left="1680" w:hanging="240"/>
    </w:pPr>
  </w:style>
  <w:style w:type="paragraph" w:styleId="Index8">
    <w:name w:val="index 8"/>
    <w:basedOn w:val="Normal"/>
    <w:next w:val="Normal"/>
    <w:autoRedefine/>
    <w:uiPriority w:val="99"/>
    <w:semiHidden/>
    <w:rsid w:val="00171962"/>
    <w:pPr>
      <w:ind w:left="1920" w:hanging="240"/>
    </w:pPr>
  </w:style>
  <w:style w:type="paragraph" w:styleId="Index9">
    <w:name w:val="index 9"/>
    <w:basedOn w:val="Normal"/>
    <w:next w:val="Normal"/>
    <w:autoRedefine/>
    <w:uiPriority w:val="99"/>
    <w:semiHidden/>
    <w:rsid w:val="00171962"/>
    <w:pPr>
      <w:ind w:left="2160" w:hanging="240"/>
    </w:pPr>
  </w:style>
  <w:style w:type="paragraph" w:styleId="IndexHeading">
    <w:name w:val="index heading"/>
    <w:basedOn w:val="Normal"/>
    <w:next w:val="Index1"/>
    <w:uiPriority w:val="99"/>
    <w:semiHidden/>
    <w:rsid w:val="00171962"/>
    <w:rPr>
      <w:rFonts w:asciiTheme="majorHAnsi" w:eastAsiaTheme="majorEastAsia" w:hAnsiTheme="majorHAnsi" w:cstheme="majorBidi"/>
      <w:b/>
      <w:bCs/>
    </w:rPr>
  </w:style>
  <w:style w:type="table" w:styleId="LightGrid">
    <w:name w:val="Light Grid"/>
    <w:basedOn w:val="TableNormal"/>
    <w:uiPriority w:val="99"/>
    <w:semiHidden/>
    <w:rsid w:val="0017196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171962"/>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171962"/>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171962"/>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171962"/>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171962"/>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171962"/>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17196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171962"/>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171962"/>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171962"/>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171962"/>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171962"/>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171962"/>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171962"/>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171962"/>
    <w:rPr>
      <w:color w:val="00548C" w:themeColor="accent1" w:themeShade="BF"/>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171962"/>
    <w:rPr>
      <w:color w:val="8F0000" w:themeColor="accent2" w:themeShade="BF"/>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171962"/>
    <w:rPr>
      <w:color w:val="474747" w:themeColor="accent3" w:themeShade="BF"/>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171962"/>
    <w:rPr>
      <w:color w:val="707070" w:themeColor="accent4" w:themeShade="BF"/>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171962"/>
    <w:rPr>
      <w:color w:val="474747" w:themeColor="accent5" w:themeShade="BF"/>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171962"/>
    <w:rPr>
      <w:color w:val="393939" w:themeColor="accent6" w:themeShade="BF"/>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171962"/>
  </w:style>
  <w:style w:type="paragraph" w:styleId="List">
    <w:name w:val="List"/>
    <w:basedOn w:val="Normal"/>
    <w:uiPriority w:val="99"/>
    <w:semiHidden/>
    <w:rsid w:val="00171962"/>
    <w:pPr>
      <w:ind w:left="283" w:hanging="283"/>
      <w:contextualSpacing/>
    </w:pPr>
  </w:style>
  <w:style w:type="paragraph" w:styleId="List2">
    <w:name w:val="List 2"/>
    <w:basedOn w:val="Normal"/>
    <w:uiPriority w:val="99"/>
    <w:semiHidden/>
    <w:rsid w:val="00171962"/>
    <w:pPr>
      <w:ind w:left="566" w:hanging="283"/>
      <w:contextualSpacing/>
    </w:pPr>
  </w:style>
  <w:style w:type="paragraph" w:styleId="List3">
    <w:name w:val="List 3"/>
    <w:basedOn w:val="Normal"/>
    <w:uiPriority w:val="99"/>
    <w:semiHidden/>
    <w:rsid w:val="00171962"/>
    <w:pPr>
      <w:ind w:left="849" w:hanging="283"/>
      <w:contextualSpacing/>
    </w:pPr>
  </w:style>
  <w:style w:type="paragraph" w:styleId="List4">
    <w:name w:val="List 4"/>
    <w:basedOn w:val="Normal"/>
    <w:uiPriority w:val="99"/>
    <w:semiHidden/>
    <w:rsid w:val="00171962"/>
    <w:pPr>
      <w:ind w:left="1132" w:hanging="283"/>
      <w:contextualSpacing/>
    </w:pPr>
  </w:style>
  <w:style w:type="paragraph" w:styleId="List5">
    <w:name w:val="List 5"/>
    <w:basedOn w:val="Normal"/>
    <w:uiPriority w:val="99"/>
    <w:semiHidden/>
    <w:rsid w:val="00171962"/>
    <w:pPr>
      <w:ind w:left="1415" w:hanging="283"/>
      <w:contextualSpacing/>
    </w:pPr>
  </w:style>
  <w:style w:type="paragraph" w:styleId="ListBullet2">
    <w:name w:val="List Bullet 2"/>
    <w:basedOn w:val="Normal"/>
    <w:uiPriority w:val="99"/>
    <w:semiHidden/>
    <w:rsid w:val="00171962"/>
    <w:pPr>
      <w:numPr>
        <w:numId w:val="5"/>
      </w:numPr>
      <w:contextualSpacing/>
    </w:pPr>
  </w:style>
  <w:style w:type="paragraph" w:styleId="ListBullet3">
    <w:name w:val="List Bullet 3"/>
    <w:basedOn w:val="Normal"/>
    <w:uiPriority w:val="99"/>
    <w:semiHidden/>
    <w:rsid w:val="00171962"/>
    <w:pPr>
      <w:numPr>
        <w:numId w:val="6"/>
      </w:numPr>
      <w:contextualSpacing/>
    </w:pPr>
  </w:style>
  <w:style w:type="paragraph" w:styleId="ListBullet4">
    <w:name w:val="List Bullet 4"/>
    <w:basedOn w:val="Normal"/>
    <w:uiPriority w:val="99"/>
    <w:semiHidden/>
    <w:rsid w:val="00171962"/>
    <w:pPr>
      <w:numPr>
        <w:numId w:val="7"/>
      </w:numPr>
      <w:contextualSpacing/>
    </w:pPr>
  </w:style>
  <w:style w:type="paragraph" w:styleId="ListBullet5">
    <w:name w:val="List Bullet 5"/>
    <w:basedOn w:val="Normal"/>
    <w:uiPriority w:val="99"/>
    <w:semiHidden/>
    <w:rsid w:val="00171962"/>
    <w:pPr>
      <w:numPr>
        <w:numId w:val="8"/>
      </w:numPr>
      <w:contextualSpacing/>
    </w:pPr>
  </w:style>
  <w:style w:type="paragraph" w:styleId="ListContinue">
    <w:name w:val="List Continue"/>
    <w:basedOn w:val="Normal"/>
    <w:uiPriority w:val="99"/>
    <w:semiHidden/>
    <w:rsid w:val="00171962"/>
    <w:pPr>
      <w:spacing w:after="120"/>
      <w:ind w:left="283"/>
      <w:contextualSpacing/>
    </w:pPr>
  </w:style>
  <w:style w:type="paragraph" w:styleId="ListContinue2">
    <w:name w:val="List Continue 2"/>
    <w:basedOn w:val="Normal"/>
    <w:uiPriority w:val="99"/>
    <w:semiHidden/>
    <w:rsid w:val="00171962"/>
    <w:pPr>
      <w:spacing w:after="120"/>
      <w:ind w:left="566"/>
      <w:contextualSpacing/>
    </w:pPr>
  </w:style>
  <w:style w:type="paragraph" w:styleId="ListContinue3">
    <w:name w:val="List Continue 3"/>
    <w:basedOn w:val="Normal"/>
    <w:uiPriority w:val="99"/>
    <w:semiHidden/>
    <w:rsid w:val="00171962"/>
    <w:pPr>
      <w:spacing w:after="120"/>
      <w:ind w:left="849"/>
      <w:contextualSpacing/>
    </w:pPr>
  </w:style>
  <w:style w:type="paragraph" w:styleId="ListContinue4">
    <w:name w:val="List Continue 4"/>
    <w:basedOn w:val="Normal"/>
    <w:uiPriority w:val="99"/>
    <w:semiHidden/>
    <w:rsid w:val="00171962"/>
    <w:pPr>
      <w:spacing w:after="120"/>
      <w:ind w:left="1132"/>
      <w:contextualSpacing/>
    </w:pPr>
  </w:style>
  <w:style w:type="paragraph" w:styleId="ListContinue5">
    <w:name w:val="List Continue 5"/>
    <w:basedOn w:val="Normal"/>
    <w:uiPriority w:val="99"/>
    <w:semiHidden/>
    <w:rsid w:val="00171962"/>
    <w:pPr>
      <w:spacing w:after="120"/>
      <w:ind w:left="1415"/>
      <w:contextualSpacing/>
    </w:pPr>
  </w:style>
  <w:style w:type="paragraph" w:styleId="ListNumber">
    <w:name w:val="List Number"/>
    <w:basedOn w:val="Normal"/>
    <w:uiPriority w:val="99"/>
    <w:semiHidden/>
    <w:rsid w:val="00171962"/>
    <w:pPr>
      <w:numPr>
        <w:numId w:val="9"/>
      </w:numPr>
      <w:contextualSpacing/>
    </w:pPr>
  </w:style>
  <w:style w:type="paragraph" w:styleId="ListNumber2">
    <w:name w:val="List Number 2"/>
    <w:basedOn w:val="Normal"/>
    <w:uiPriority w:val="99"/>
    <w:semiHidden/>
    <w:rsid w:val="00171962"/>
    <w:pPr>
      <w:numPr>
        <w:numId w:val="10"/>
      </w:numPr>
      <w:contextualSpacing/>
    </w:pPr>
  </w:style>
  <w:style w:type="paragraph" w:styleId="ListNumber3">
    <w:name w:val="List Number 3"/>
    <w:basedOn w:val="Normal"/>
    <w:uiPriority w:val="99"/>
    <w:semiHidden/>
    <w:rsid w:val="00171962"/>
    <w:pPr>
      <w:numPr>
        <w:numId w:val="11"/>
      </w:numPr>
      <w:contextualSpacing/>
    </w:pPr>
  </w:style>
  <w:style w:type="paragraph" w:styleId="ListNumber4">
    <w:name w:val="List Number 4"/>
    <w:basedOn w:val="Normal"/>
    <w:uiPriority w:val="99"/>
    <w:semiHidden/>
    <w:rsid w:val="00171962"/>
    <w:pPr>
      <w:numPr>
        <w:numId w:val="12"/>
      </w:numPr>
      <w:contextualSpacing/>
    </w:pPr>
  </w:style>
  <w:style w:type="paragraph" w:styleId="ListNumber5">
    <w:name w:val="List Number 5"/>
    <w:basedOn w:val="Normal"/>
    <w:uiPriority w:val="99"/>
    <w:semiHidden/>
    <w:rsid w:val="00171962"/>
    <w:pPr>
      <w:numPr>
        <w:numId w:val="13"/>
      </w:numPr>
      <w:contextualSpacing/>
    </w:pPr>
  </w:style>
  <w:style w:type="paragraph" w:styleId="MacroText">
    <w:name w:val="macro"/>
    <w:link w:val="MacroTextChar"/>
    <w:uiPriority w:val="99"/>
    <w:semiHidden/>
    <w:rsid w:val="00171962"/>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lang w:val="en-GB"/>
    </w:rPr>
  </w:style>
  <w:style w:type="character" w:customStyle="1" w:styleId="MacroTextChar">
    <w:name w:val="Macro Text Char"/>
    <w:basedOn w:val="DefaultParagraphFont"/>
    <w:link w:val="MacroText"/>
    <w:rsid w:val="00171962"/>
    <w:rPr>
      <w:rFonts w:ascii="Consolas" w:hAnsi="Consolas" w:cs="Consolas"/>
      <w:sz w:val="20"/>
      <w:szCs w:val="20"/>
      <w:lang w:val="en-GB"/>
    </w:rPr>
  </w:style>
  <w:style w:type="table" w:styleId="MediumGrid1">
    <w:name w:val="Medium Grid 1"/>
    <w:basedOn w:val="TableNormal"/>
    <w:uiPriority w:val="99"/>
    <w:semiHidden/>
    <w:rsid w:val="00171962"/>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171962"/>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CellMar>
        <w:top w:w="0" w:type="dxa"/>
        <w:left w:w="108" w:type="dxa"/>
        <w:bottom w:w="0" w:type="dxa"/>
        <w:right w:w="108" w:type="dxa"/>
      </w:tblCellMar>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171962"/>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CellMar>
        <w:top w:w="0" w:type="dxa"/>
        <w:left w:w="108" w:type="dxa"/>
        <w:bottom w:w="0" w:type="dxa"/>
        <w:right w:w="108" w:type="dxa"/>
      </w:tblCellMar>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171962"/>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CellMar>
        <w:top w:w="0" w:type="dxa"/>
        <w:left w:w="108" w:type="dxa"/>
        <w:bottom w:w="0" w:type="dxa"/>
        <w:right w:w="108" w:type="dxa"/>
      </w:tblCellMar>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171962"/>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CellMar>
        <w:top w:w="0" w:type="dxa"/>
        <w:left w:w="108" w:type="dxa"/>
        <w:bottom w:w="0" w:type="dxa"/>
        <w:right w:w="108" w:type="dxa"/>
      </w:tblCellMar>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171962"/>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CellMar>
        <w:top w:w="0" w:type="dxa"/>
        <w:left w:w="108" w:type="dxa"/>
        <w:bottom w:w="0" w:type="dxa"/>
        <w:right w:w="108" w:type="dxa"/>
      </w:tblCellMar>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171962"/>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CellMar>
        <w:top w:w="0" w:type="dxa"/>
        <w:left w:w="108" w:type="dxa"/>
        <w:bottom w:w="0" w:type="dxa"/>
        <w:right w:w="108" w:type="dxa"/>
      </w:tblCellMar>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17196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17196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17196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17196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17196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17196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17196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171962"/>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171962"/>
    <w:rPr>
      <w:color w:val="000000" w:themeColor="text1"/>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171962"/>
    <w:rPr>
      <w:color w:val="000000" w:themeColor="text1"/>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171962"/>
    <w:rPr>
      <w:color w:val="000000" w:themeColor="text1"/>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171962"/>
    <w:rPr>
      <w:color w:val="000000" w:themeColor="text1"/>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171962"/>
    <w:rPr>
      <w:color w:val="000000" w:themeColor="text1"/>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171962"/>
    <w:rPr>
      <w:color w:val="000000" w:themeColor="text1"/>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171962"/>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171962"/>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171962"/>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171962"/>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171962"/>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171962"/>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171962"/>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17196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17196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17196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17196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17196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17196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17196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17196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171962"/>
    <w:rPr>
      <w:rFonts w:asciiTheme="majorHAnsi" w:eastAsiaTheme="majorEastAsia" w:hAnsiTheme="majorHAnsi" w:cstheme="majorBidi"/>
      <w:sz w:val="24"/>
      <w:szCs w:val="24"/>
      <w:shd w:val="pct20" w:color="auto" w:fill="auto"/>
      <w:lang w:val="en-GB"/>
    </w:rPr>
  </w:style>
  <w:style w:type="paragraph" w:styleId="NormalWeb">
    <w:name w:val="Normal (Web)"/>
    <w:basedOn w:val="Normal"/>
    <w:uiPriority w:val="99"/>
    <w:semiHidden/>
    <w:rsid w:val="00171962"/>
    <w:rPr>
      <w:rFonts w:ascii="Times New Roman" w:hAnsi="Times New Roman" w:cs="Times New Roman"/>
      <w:szCs w:val="24"/>
    </w:rPr>
  </w:style>
  <w:style w:type="paragraph" w:styleId="NormalIndent">
    <w:name w:val="Normal Indent"/>
    <w:basedOn w:val="Normal"/>
    <w:uiPriority w:val="99"/>
    <w:semiHidden/>
    <w:rsid w:val="00171962"/>
    <w:pPr>
      <w:ind w:left="720"/>
    </w:pPr>
  </w:style>
  <w:style w:type="paragraph" w:styleId="NoteHeading">
    <w:name w:val="Note Heading"/>
    <w:basedOn w:val="Normal"/>
    <w:next w:val="Normal"/>
    <w:link w:val="NoteHeadingChar"/>
    <w:uiPriority w:val="99"/>
    <w:semiHidden/>
    <w:rsid w:val="00171962"/>
  </w:style>
  <w:style w:type="character" w:customStyle="1" w:styleId="NoteHeadingChar">
    <w:name w:val="Note Heading Char"/>
    <w:basedOn w:val="DefaultParagraphFont"/>
    <w:link w:val="NoteHeading"/>
    <w:rsid w:val="00171962"/>
    <w:rPr>
      <w:sz w:val="24"/>
      <w:lang w:val="en-GB"/>
    </w:rPr>
  </w:style>
  <w:style w:type="character" w:styleId="PlaceholderText">
    <w:name w:val="Placeholder Text"/>
    <w:basedOn w:val="DefaultParagraphFont"/>
    <w:uiPriority w:val="99"/>
    <w:semiHidden/>
    <w:rsid w:val="00171962"/>
    <w:rPr>
      <w:color w:val="808080"/>
    </w:rPr>
  </w:style>
  <w:style w:type="paragraph" w:styleId="PlainText">
    <w:name w:val="Plain Text"/>
    <w:basedOn w:val="Normal"/>
    <w:link w:val="PlainTextChar"/>
    <w:uiPriority w:val="99"/>
    <w:semiHidden/>
    <w:rsid w:val="00171962"/>
    <w:rPr>
      <w:rFonts w:ascii="Consolas" w:hAnsi="Consolas" w:cs="Consolas"/>
      <w:sz w:val="21"/>
      <w:szCs w:val="21"/>
    </w:rPr>
  </w:style>
  <w:style w:type="character" w:customStyle="1" w:styleId="PlainTextChar">
    <w:name w:val="Plain Text Char"/>
    <w:basedOn w:val="DefaultParagraphFont"/>
    <w:link w:val="PlainText"/>
    <w:rsid w:val="00171962"/>
    <w:rPr>
      <w:rFonts w:ascii="Consolas" w:hAnsi="Consolas" w:cs="Consolas"/>
      <w:sz w:val="21"/>
      <w:szCs w:val="21"/>
      <w:lang w:val="en-GB"/>
    </w:rPr>
  </w:style>
  <w:style w:type="paragraph" w:styleId="Salutation">
    <w:name w:val="Salutation"/>
    <w:basedOn w:val="Normal"/>
    <w:next w:val="Normal"/>
    <w:link w:val="SalutationChar"/>
    <w:uiPriority w:val="99"/>
    <w:semiHidden/>
    <w:rsid w:val="00171962"/>
  </w:style>
  <w:style w:type="character" w:customStyle="1" w:styleId="SalutationChar">
    <w:name w:val="Salutation Char"/>
    <w:basedOn w:val="DefaultParagraphFont"/>
    <w:link w:val="Salutation"/>
    <w:rsid w:val="00171962"/>
    <w:rPr>
      <w:sz w:val="24"/>
      <w:lang w:val="en-GB"/>
    </w:rPr>
  </w:style>
  <w:style w:type="paragraph" w:styleId="Signature">
    <w:name w:val="Signature"/>
    <w:basedOn w:val="Normal"/>
    <w:link w:val="SignatureChar"/>
    <w:uiPriority w:val="99"/>
    <w:semiHidden/>
    <w:rsid w:val="00171962"/>
    <w:pPr>
      <w:ind w:left="4252"/>
    </w:pPr>
  </w:style>
  <w:style w:type="character" w:customStyle="1" w:styleId="SignatureChar">
    <w:name w:val="Signature Char"/>
    <w:basedOn w:val="DefaultParagraphFont"/>
    <w:link w:val="Signature"/>
    <w:rsid w:val="00171962"/>
    <w:rPr>
      <w:sz w:val="24"/>
      <w:lang w:val="en-GB"/>
    </w:rPr>
  </w:style>
  <w:style w:type="table" w:styleId="Table3Deffects1">
    <w:name w:val="Table 3D effects 1"/>
    <w:basedOn w:val="TableNormal"/>
    <w:uiPriority w:val="99"/>
    <w:semiHidden/>
    <w:rsid w:val="00171962"/>
    <w:pPr>
      <w:suppressAutoHyphens/>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171962"/>
    <w:pPr>
      <w:suppressAutoHyphens/>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171962"/>
    <w:pPr>
      <w:suppressAutoHyphens/>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171962"/>
    <w:pPr>
      <w:suppressAutoHyphens/>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171962"/>
    <w:pPr>
      <w:suppressAutoHyphens/>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171962"/>
    <w:pPr>
      <w:suppressAutoHyphens/>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171962"/>
    <w:pPr>
      <w:suppressAutoHyphens/>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171962"/>
    <w:pPr>
      <w:suppressAutoHyphens/>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171962"/>
    <w:pPr>
      <w:suppressAutoHyphens/>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171962"/>
    <w:pPr>
      <w:suppressAutoHyphens/>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171962"/>
    <w:pPr>
      <w:suppressAutoHyphens/>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171962"/>
    <w:pPr>
      <w:suppressAutoHyphens/>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171962"/>
    <w:pPr>
      <w:suppressAutoHyphens/>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171962"/>
    <w:pPr>
      <w:suppressAutoHyphens/>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171962"/>
    <w:pPr>
      <w:suppressAutoHyphens/>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171962"/>
    <w:pPr>
      <w:suppressAutoHyphens/>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171962"/>
    <w:pPr>
      <w:suppressAutoHyphens/>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9"/>
    <w:semiHidden/>
    <w:rsid w:val="004214B5"/>
    <w:rPr>
      <w:rFonts w:eastAsiaTheme="minorEastAsia"/>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semiHidden/>
    <w:rsid w:val="00171962"/>
    <w:pPr>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171962"/>
    <w:pPr>
      <w:suppressAutoHyphens/>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171962"/>
    <w:pPr>
      <w:suppressAutoHyphens/>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171962"/>
    <w:pPr>
      <w:suppressAutoHyphens/>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171962"/>
    <w:pPr>
      <w:suppressAutoHyphens/>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171962"/>
    <w:pPr>
      <w:suppressAutoHyphens/>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171962"/>
    <w:pPr>
      <w:suppressAutoHyphens/>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171962"/>
    <w:pPr>
      <w:suppressAutoHyphens/>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171962"/>
    <w:pPr>
      <w:suppressAutoHyphens/>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171962"/>
    <w:pPr>
      <w:suppressAutoHyphens/>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171962"/>
    <w:pPr>
      <w:suppressAutoHyphens/>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171962"/>
    <w:pPr>
      <w:suppressAutoHyphens/>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171962"/>
    <w:pPr>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171962"/>
    <w:pPr>
      <w:suppressAutoHyphens/>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171962"/>
    <w:pPr>
      <w:suppressAutoHyphens/>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171962"/>
    <w:pPr>
      <w:suppressAutoHyphens/>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171962"/>
    <w:pPr>
      <w:ind w:left="240" w:hanging="240"/>
    </w:pPr>
  </w:style>
  <w:style w:type="paragraph" w:styleId="TableofFigures">
    <w:name w:val="table of figures"/>
    <w:basedOn w:val="Normal"/>
    <w:next w:val="Normal"/>
    <w:uiPriority w:val="99"/>
    <w:semiHidden/>
    <w:rsid w:val="00171962"/>
  </w:style>
  <w:style w:type="table" w:styleId="TableProfessional">
    <w:name w:val="Table Professional"/>
    <w:basedOn w:val="TableNormal"/>
    <w:uiPriority w:val="99"/>
    <w:semiHidden/>
    <w:rsid w:val="00171962"/>
    <w:pPr>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171962"/>
    <w:pPr>
      <w:suppressAutoHyphens/>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171962"/>
    <w:pPr>
      <w:suppressAutoHyphens/>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171962"/>
    <w:pPr>
      <w:suppressAutoHyphens/>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171962"/>
    <w:pPr>
      <w:suppressAutoHyphens/>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171962"/>
    <w:pPr>
      <w:suppressAutoHyphens/>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171962"/>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171962"/>
    <w:pPr>
      <w:suppressAutoHyphens/>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171962"/>
    <w:pPr>
      <w:suppressAutoHyphens/>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171962"/>
    <w:pPr>
      <w:suppressAutoHyphens/>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4214B5"/>
    <w:pPr>
      <w:spacing w:before="120"/>
    </w:pPr>
    <w:rPr>
      <w:rFonts w:asciiTheme="majorHAnsi" w:eastAsiaTheme="majorEastAsia" w:hAnsiTheme="majorHAnsi" w:cstheme="majorBidi"/>
      <w:b/>
      <w:bCs/>
      <w:color w:val="474747" w:themeColor="accent3" w:themeShade="BF"/>
      <w:szCs w:val="24"/>
    </w:rPr>
  </w:style>
  <w:style w:type="paragraph" w:styleId="TOC1">
    <w:name w:val="toc 1"/>
    <w:basedOn w:val="Normal"/>
    <w:next w:val="Normal"/>
    <w:autoRedefine/>
    <w:uiPriority w:val="99"/>
    <w:semiHidden/>
    <w:rsid w:val="004214B5"/>
    <w:pPr>
      <w:spacing w:before="120" w:after="60"/>
      <w:ind w:left="340" w:right="340" w:hanging="340"/>
    </w:pPr>
    <w:rPr>
      <w:color w:val="0D0D0D" w:themeColor="text1" w:themeTint="F2"/>
    </w:rPr>
  </w:style>
  <w:style w:type="paragraph" w:styleId="TOC2">
    <w:name w:val="toc 2"/>
    <w:basedOn w:val="Normal"/>
    <w:next w:val="Normal"/>
    <w:autoRedefine/>
    <w:uiPriority w:val="99"/>
    <w:semiHidden/>
    <w:rsid w:val="004214B5"/>
    <w:pPr>
      <w:spacing w:after="60"/>
      <w:ind w:left="680" w:right="340" w:hanging="340"/>
    </w:pPr>
  </w:style>
  <w:style w:type="paragraph" w:styleId="TOC3">
    <w:name w:val="toc 3"/>
    <w:basedOn w:val="Normal"/>
    <w:next w:val="Normal"/>
    <w:autoRedefine/>
    <w:uiPriority w:val="99"/>
    <w:semiHidden/>
    <w:rsid w:val="004214B5"/>
    <w:pPr>
      <w:spacing w:after="60"/>
      <w:ind w:left="1020" w:right="340" w:hanging="340"/>
    </w:pPr>
  </w:style>
  <w:style w:type="paragraph" w:styleId="TOC4">
    <w:name w:val="toc 4"/>
    <w:basedOn w:val="Normal"/>
    <w:next w:val="Normal"/>
    <w:autoRedefine/>
    <w:uiPriority w:val="99"/>
    <w:semiHidden/>
    <w:rsid w:val="004214B5"/>
    <w:pPr>
      <w:tabs>
        <w:tab w:val="right" w:leader="dot" w:pos="9017"/>
      </w:tabs>
      <w:spacing w:after="60"/>
      <w:ind w:left="1361" w:right="340" w:hanging="340"/>
    </w:pPr>
  </w:style>
  <w:style w:type="paragraph" w:styleId="TOC5">
    <w:name w:val="toc 5"/>
    <w:basedOn w:val="Normal"/>
    <w:next w:val="Normal"/>
    <w:autoRedefine/>
    <w:uiPriority w:val="99"/>
    <w:semiHidden/>
    <w:rsid w:val="004214B5"/>
    <w:pPr>
      <w:spacing w:after="60"/>
      <w:ind w:left="1701" w:right="340" w:hanging="340"/>
    </w:pPr>
  </w:style>
  <w:style w:type="paragraph" w:styleId="TOC6">
    <w:name w:val="toc 6"/>
    <w:basedOn w:val="Normal"/>
    <w:next w:val="Normal"/>
    <w:autoRedefine/>
    <w:uiPriority w:val="99"/>
    <w:semiHidden/>
    <w:rsid w:val="00171962"/>
    <w:pPr>
      <w:spacing w:after="100"/>
      <w:ind w:left="1200"/>
    </w:pPr>
  </w:style>
  <w:style w:type="paragraph" w:styleId="TOC7">
    <w:name w:val="toc 7"/>
    <w:basedOn w:val="Normal"/>
    <w:next w:val="Normal"/>
    <w:autoRedefine/>
    <w:uiPriority w:val="99"/>
    <w:semiHidden/>
    <w:rsid w:val="00171962"/>
    <w:pPr>
      <w:spacing w:after="100"/>
      <w:ind w:left="1440"/>
    </w:pPr>
  </w:style>
  <w:style w:type="paragraph" w:styleId="TOC8">
    <w:name w:val="toc 8"/>
    <w:basedOn w:val="Normal"/>
    <w:next w:val="Normal"/>
    <w:autoRedefine/>
    <w:uiPriority w:val="99"/>
    <w:semiHidden/>
    <w:rsid w:val="00171962"/>
    <w:pPr>
      <w:spacing w:after="100"/>
      <w:ind w:left="1680"/>
    </w:pPr>
  </w:style>
  <w:style w:type="paragraph" w:styleId="TOC9">
    <w:name w:val="toc 9"/>
    <w:basedOn w:val="Normal"/>
    <w:next w:val="Normal"/>
    <w:autoRedefine/>
    <w:uiPriority w:val="99"/>
    <w:semiHidden/>
    <w:rsid w:val="00171962"/>
    <w:pPr>
      <w:spacing w:after="100"/>
      <w:ind w:left="1920"/>
    </w:pPr>
  </w:style>
  <w:style w:type="paragraph" w:customStyle="1" w:styleId="ECHRTitleCentre1">
    <w:name w:val="ECHR_Title_Centre_1"/>
    <w:aliases w:val="Opi_H_Head"/>
    <w:basedOn w:val="Normal"/>
    <w:next w:val="OpiPara"/>
    <w:uiPriority w:val="39"/>
    <w:qFormat/>
    <w:rsid w:val="004214B5"/>
    <w:pPr>
      <w:keepNext/>
      <w:keepLines/>
      <w:spacing w:after="240"/>
      <w:jc w:val="center"/>
      <w:outlineLvl w:val="0"/>
    </w:pPr>
    <w:rPr>
      <w:rFonts w:asciiTheme="majorHAnsi" w:hAnsiTheme="majorHAnsi"/>
      <w:sz w:val="28"/>
      <w:lang w:val="fr-FR" w:eastAsia="fr-FR"/>
    </w:rPr>
  </w:style>
  <w:style w:type="paragraph" w:customStyle="1" w:styleId="JuQuotSub">
    <w:name w:val="Ju_Quot_Sub"/>
    <w:basedOn w:val="ECHRParaQuote"/>
    <w:uiPriority w:val="15"/>
    <w:qFormat/>
    <w:rsid w:val="004214B5"/>
    <w:pPr>
      <w:ind w:left="567"/>
    </w:pPr>
  </w:style>
  <w:style w:type="paragraph" w:customStyle="1" w:styleId="JuInitialled">
    <w:name w:val="Ju_Initialled"/>
    <w:basedOn w:val="Normal"/>
    <w:uiPriority w:val="31"/>
    <w:qFormat/>
    <w:rsid w:val="004214B5"/>
    <w:pPr>
      <w:tabs>
        <w:tab w:val="center" w:pos="6407"/>
      </w:tabs>
      <w:spacing w:before="720"/>
      <w:jc w:val="right"/>
    </w:pPr>
    <w:rPr>
      <w:lang w:val="fr-FR" w:eastAsia="fr-FR"/>
    </w:rPr>
  </w:style>
  <w:style w:type="paragraph" w:customStyle="1" w:styleId="OpiHA">
    <w:name w:val="Opi_H_A"/>
    <w:basedOn w:val="ECHRHeading1"/>
    <w:next w:val="OpiPara"/>
    <w:uiPriority w:val="41"/>
    <w:qFormat/>
    <w:rsid w:val="004214B5"/>
    <w:pPr>
      <w:tabs>
        <w:tab w:val="clear" w:pos="357"/>
      </w:tabs>
      <w:outlineLvl w:val="1"/>
    </w:pPr>
    <w:rPr>
      <w:b/>
    </w:rPr>
  </w:style>
  <w:style w:type="character" w:customStyle="1" w:styleId="JUNAMES0">
    <w:name w:val="JU_NAMES"/>
    <w:uiPriority w:val="17"/>
    <w:qFormat/>
    <w:rsid w:val="004214B5"/>
    <w:rPr>
      <w:caps w:val="0"/>
      <w:smallCaps/>
    </w:rPr>
  </w:style>
  <w:style w:type="paragraph" w:customStyle="1" w:styleId="OpiTranslation">
    <w:name w:val="Opi_Translation"/>
    <w:basedOn w:val="Normal"/>
    <w:next w:val="OpiPara"/>
    <w:uiPriority w:val="40"/>
    <w:qFormat/>
    <w:rsid w:val="004214B5"/>
    <w:pPr>
      <w:jc w:val="center"/>
      <w:outlineLvl w:val="0"/>
    </w:pPr>
    <w:rPr>
      <w:i/>
      <w:lang w:val="fr-FR" w:eastAsia="fr-FR"/>
    </w:rPr>
  </w:style>
  <w:style w:type="paragraph" w:customStyle="1" w:styleId="DecHTitle">
    <w:name w:val="Dec_H_Title"/>
    <w:basedOn w:val="ECHRTitleCentre1"/>
    <w:uiPriority w:val="7"/>
    <w:semiHidden/>
    <w:rsid w:val="004214B5"/>
  </w:style>
  <w:style w:type="paragraph" w:customStyle="1" w:styleId="ECHRHeading3">
    <w:name w:val="ECHR_Heading_3"/>
    <w:aliases w:val="Ju_H_1."/>
    <w:basedOn w:val="Heading3"/>
    <w:next w:val="ECHRPara"/>
    <w:uiPriority w:val="21"/>
    <w:qFormat/>
    <w:rsid w:val="004214B5"/>
    <w:pPr>
      <w:keepNext/>
      <w:keepLines/>
      <w:tabs>
        <w:tab w:val="left" w:pos="731"/>
      </w:tabs>
      <w:spacing w:before="240" w:after="120" w:line="240" w:lineRule="auto"/>
      <w:ind w:left="732" w:hanging="301"/>
    </w:pPr>
    <w:rPr>
      <w:b w:val="0"/>
      <w:i/>
      <w:color w:val="auto"/>
      <w:lang w:val="fr-FR" w:eastAsia="fr-FR"/>
    </w:rPr>
  </w:style>
  <w:style w:type="paragraph" w:customStyle="1" w:styleId="ECHRHeading4">
    <w:name w:val="ECHR_Heading_4"/>
    <w:aliases w:val="Ju_H_a"/>
    <w:basedOn w:val="Heading4"/>
    <w:next w:val="ECHRPara"/>
    <w:uiPriority w:val="22"/>
    <w:qFormat/>
    <w:rsid w:val="004214B5"/>
    <w:pPr>
      <w:keepNext/>
      <w:keepLines/>
      <w:tabs>
        <w:tab w:val="left" w:pos="975"/>
      </w:tabs>
      <w:spacing w:before="240" w:after="120"/>
      <w:ind w:left="975" w:hanging="340"/>
    </w:pPr>
    <w:rPr>
      <w:i w:val="0"/>
      <w:color w:val="auto"/>
      <w:sz w:val="20"/>
      <w:lang w:val="fr-FR" w:eastAsia="fr-FR"/>
    </w:rPr>
  </w:style>
  <w:style w:type="paragraph" w:customStyle="1" w:styleId="ECHRHeading5">
    <w:name w:val="ECHR_Heading_5"/>
    <w:aliases w:val="Ju_H_i"/>
    <w:basedOn w:val="Heading5"/>
    <w:next w:val="ECHRPara"/>
    <w:uiPriority w:val="23"/>
    <w:qFormat/>
    <w:rsid w:val="004214B5"/>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4214B5"/>
    <w:pPr>
      <w:keepNext/>
      <w:keepLines/>
      <w:tabs>
        <w:tab w:val="left" w:pos="1372"/>
      </w:tabs>
      <w:spacing w:before="240" w:after="120" w:line="240" w:lineRule="auto"/>
      <w:ind w:left="1373" w:hanging="335"/>
    </w:pPr>
    <w:rPr>
      <w:b w:val="0"/>
      <w:color w:val="auto"/>
      <w:sz w:val="20"/>
      <w:lang w:val="fr-FR" w:eastAsia="fr-FR"/>
    </w:rPr>
  </w:style>
  <w:style w:type="paragraph" w:customStyle="1" w:styleId="ECHRHeading7">
    <w:name w:val="ECHR_Heading_7"/>
    <w:aliases w:val="Ju_H_–"/>
    <w:basedOn w:val="Heading7"/>
    <w:next w:val="ECHRPara"/>
    <w:uiPriority w:val="25"/>
    <w:qFormat/>
    <w:rsid w:val="004214B5"/>
    <w:pPr>
      <w:keepNext/>
      <w:keepLines/>
      <w:spacing w:before="240" w:after="120"/>
      <w:ind w:left="1236"/>
    </w:pPr>
    <w:rPr>
      <w:sz w:val="20"/>
    </w:rPr>
  </w:style>
  <w:style w:type="paragraph" w:customStyle="1" w:styleId="DecList">
    <w:name w:val="Dec_List"/>
    <w:basedOn w:val="Normal"/>
    <w:uiPriority w:val="9"/>
    <w:semiHidden/>
    <w:rsid w:val="004214B5"/>
    <w:pPr>
      <w:spacing w:before="240"/>
      <w:ind w:left="284"/>
    </w:pPr>
  </w:style>
  <w:style w:type="paragraph" w:customStyle="1" w:styleId="OpiH1">
    <w:name w:val="Opi_H_1"/>
    <w:basedOn w:val="ECHRHeading2"/>
    <w:uiPriority w:val="42"/>
    <w:qFormat/>
    <w:rsid w:val="004214B5"/>
    <w:pPr>
      <w:ind w:left="635" w:hanging="357"/>
      <w:outlineLvl w:val="2"/>
    </w:pPr>
  </w:style>
  <w:style w:type="paragraph" w:customStyle="1" w:styleId="OpiHa0">
    <w:name w:val="Opi_H_a"/>
    <w:basedOn w:val="ECHRHeading3"/>
    <w:uiPriority w:val="43"/>
    <w:qFormat/>
    <w:rsid w:val="004214B5"/>
    <w:pPr>
      <w:ind w:left="833" w:hanging="357"/>
      <w:outlineLvl w:val="3"/>
    </w:pPr>
    <w:rPr>
      <w:b/>
      <w:i w:val="0"/>
      <w:sz w:val="20"/>
    </w:rPr>
  </w:style>
  <w:style w:type="paragraph" w:customStyle="1" w:styleId="OpiHi">
    <w:name w:val="Opi_H_i"/>
    <w:basedOn w:val="ECHRHeading4"/>
    <w:uiPriority w:val="44"/>
    <w:qFormat/>
    <w:rsid w:val="004214B5"/>
    <w:pPr>
      <w:ind w:left="1037" w:hanging="357"/>
      <w:outlineLvl w:val="4"/>
    </w:pPr>
    <w:rPr>
      <w:b w:val="0"/>
      <w:i/>
    </w:rPr>
  </w:style>
  <w:style w:type="table" w:customStyle="1" w:styleId="ECHRListTable">
    <w:name w:val="ECHR_List_Table"/>
    <w:basedOn w:val="TableNormal"/>
    <w:uiPriority w:val="99"/>
    <w:rsid w:val="004214B5"/>
    <w:rPr>
      <w:lang w:val="en-US" w:eastAsia="en-US"/>
    </w:rPr>
    <w:tblPr>
      <w:tblInd w:w="0" w:type="dxa"/>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left w:w="108" w:type="dxa"/>
        <w:bottom w:w="28" w:type="dxa"/>
        <w:right w:w="10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character" w:customStyle="1" w:styleId="sb8d990e2">
    <w:name w:val="sb8d990e2"/>
    <w:basedOn w:val="DefaultParagraphFont"/>
    <w:rsid w:val="009476E8"/>
  </w:style>
  <w:style w:type="paragraph" w:customStyle="1" w:styleId="s30eec3f8">
    <w:name w:val="s30eec3f8"/>
    <w:basedOn w:val="Normal"/>
    <w:rsid w:val="00AA7657"/>
    <w:pPr>
      <w:spacing w:before="100" w:beforeAutospacing="1" w:after="100" w:afterAutospacing="1"/>
      <w:jc w:val="left"/>
    </w:pPr>
    <w:rPr>
      <w:rFonts w:ascii="Times New Roman" w:eastAsia="Times New Roman" w:hAnsi="Times New Roman" w:cs="Times New Roman"/>
      <w:szCs w:val="24"/>
    </w:rPr>
  </w:style>
  <w:style w:type="character" w:customStyle="1" w:styleId="wordhighlighted">
    <w:name w:val="wordhighlighted"/>
    <w:basedOn w:val="DefaultParagraphFont"/>
    <w:rsid w:val="00AA7657"/>
  </w:style>
  <w:style w:type="character" w:customStyle="1" w:styleId="s6b621b36">
    <w:name w:val="s6b621b36"/>
    <w:basedOn w:val="DefaultParagraphFont"/>
    <w:rsid w:val="00AA7657"/>
  </w:style>
  <w:style w:type="character" w:customStyle="1" w:styleId="sea881cdf">
    <w:name w:val="sea881cdf"/>
    <w:basedOn w:val="DefaultParagraphFont"/>
    <w:rsid w:val="00FC5472"/>
  </w:style>
  <w:style w:type="character" w:customStyle="1" w:styleId="JuParaCar">
    <w:name w:val="Ju_Para Car"/>
    <w:uiPriority w:val="12"/>
    <w:rsid w:val="001354AE"/>
    <w:rPr>
      <w:rFonts w:eastAsiaTheme="minorEastAsia"/>
      <w:sz w:val="24"/>
    </w:rPr>
  </w:style>
  <w:style w:type="paragraph" w:customStyle="1" w:styleId="naispant">
    <w:name w:val="naispant"/>
    <w:basedOn w:val="Normal"/>
    <w:rsid w:val="009C3FBB"/>
    <w:pPr>
      <w:spacing w:before="100" w:beforeAutospacing="1" w:after="100" w:afterAutospacing="1"/>
      <w:jc w:val="left"/>
    </w:pPr>
    <w:rPr>
      <w:rFonts w:ascii="Times New Roman" w:eastAsia="Times New Roman" w:hAnsi="Times New Roman" w:cs="Times New Roman"/>
      <w:szCs w:val="24"/>
    </w:rPr>
  </w:style>
  <w:style w:type="paragraph" w:customStyle="1" w:styleId="naisf">
    <w:name w:val="naisf"/>
    <w:basedOn w:val="Normal"/>
    <w:rsid w:val="009C3FBB"/>
    <w:pPr>
      <w:spacing w:before="100" w:beforeAutospacing="1" w:after="100" w:afterAutospacing="1"/>
      <w:jc w:val="left"/>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193913">
      <w:bodyDiv w:val="1"/>
      <w:marLeft w:val="0"/>
      <w:marRight w:val="0"/>
      <w:marTop w:val="0"/>
      <w:marBottom w:val="0"/>
      <w:divBdr>
        <w:top w:val="none" w:sz="0" w:space="0" w:color="auto"/>
        <w:left w:val="none" w:sz="0" w:space="0" w:color="auto"/>
        <w:bottom w:val="none" w:sz="0" w:space="0" w:color="auto"/>
        <w:right w:val="none" w:sz="0" w:space="0" w:color="auto"/>
      </w:divBdr>
      <w:divsChild>
        <w:div w:id="509760735">
          <w:marLeft w:val="0"/>
          <w:marRight w:val="0"/>
          <w:marTop w:val="0"/>
          <w:marBottom w:val="0"/>
          <w:divBdr>
            <w:top w:val="none" w:sz="0" w:space="0" w:color="auto"/>
            <w:left w:val="none" w:sz="0" w:space="0" w:color="auto"/>
            <w:bottom w:val="none" w:sz="0" w:space="0" w:color="auto"/>
            <w:right w:val="none" w:sz="0" w:space="0" w:color="auto"/>
          </w:divBdr>
          <w:divsChild>
            <w:div w:id="2013408907">
              <w:marLeft w:val="0"/>
              <w:marRight w:val="0"/>
              <w:marTop w:val="0"/>
              <w:marBottom w:val="0"/>
              <w:divBdr>
                <w:top w:val="none" w:sz="0" w:space="0" w:color="auto"/>
                <w:left w:val="none" w:sz="0" w:space="0" w:color="auto"/>
                <w:bottom w:val="none" w:sz="0" w:space="0" w:color="auto"/>
                <w:right w:val="none" w:sz="0" w:space="0" w:color="auto"/>
              </w:divBdr>
              <w:divsChild>
                <w:div w:id="312418246">
                  <w:marLeft w:val="0"/>
                  <w:marRight w:val="0"/>
                  <w:marTop w:val="0"/>
                  <w:marBottom w:val="0"/>
                  <w:divBdr>
                    <w:top w:val="none" w:sz="0" w:space="0" w:color="auto"/>
                    <w:left w:val="none" w:sz="0" w:space="0" w:color="auto"/>
                    <w:bottom w:val="none" w:sz="0" w:space="0" w:color="auto"/>
                    <w:right w:val="none" w:sz="0" w:space="0" w:color="auto"/>
                  </w:divBdr>
                  <w:divsChild>
                    <w:div w:id="558059463">
                      <w:marLeft w:val="0"/>
                      <w:marRight w:val="0"/>
                      <w:marTop w:val="0"/>
                      <w:marBottom w:val="0"/>
                      <w:divBdr>
                        <w:top w:val="none" w:sz="0" w:space="0" w:color="auto"/>
                        <w:left w:val="none" w:sz="0" w:space="0" w:color="auto"/>
                        <w:bottom w:val="none" w:sz="0" w:space="0" w:color="auto"/>
                        <w:right w:val="none" w:sz="0" w:space="0" w:color="auto"/>
                      </w:divBdr>
                      <w:divsChild>
                        <w:div w:id="702948442">
                          <w:marLeft w:val="0"/>
                          <w:marRight w:val="0"/>
                          <w:marTop w:val="0"/>
                          <w:marBottom w:val="0"/>
                          <w:divBdr>
                            <w:top w:val="none" w:sz="0" w:space="0" w:color="auto"/>
                            <w:left w:val="none" w:sz="0" w:space="0" w:color="auto"/>
                            <w:bottom w:val="none" w:sz="0" w:space="0" w:color="auto"/>
                            <w:right w:val="none" w:sz="0" w:space="0" w:color="auto"/>
                          </w:divBdr>
                          <w:divsChild>
                            <w:div w:id="44361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851601">
      <w:bodyDiv w:val="1"/>
      <w:marLeft w:val="0"/>
      <w:marRight w:val="0"/>
      <w:marTop w:val="0"/>
      <w:marBottom w:val="0"/>
      <w:divBdr>
        <w:top w:val="none" w:sz="0" w:space="0" w:color="auto"/>
        <w:left w:val="none" w:sz="0" w:space="0" w:color="auto"/>
        <w:bottom w:val="none" w:sz="0" w:space="0" w:color="auto"/>
        <w:right w:val="none" w:sz="0" w:space="0" w:color="auto"/>
      </w:divBdr>
    </w:div>
    <w:div w:id="675225997">
      <w:bodyDiv w:val="1"/>
      <w:marLeft w:val="0"/>
      <w:marRight w:val="0"/>
      <w:marTop w:val="0"/>
      <w:marBottom w:val="0"/>
      <w:divBdr>
        <w:top w:val="none" w:sz="0" w:space="0" w:color="auto"/>
        <w:left w:val="none" w:sz="0" w:space="0" w:color="auto"/>
        <w:bottom w:val="none" w:sz="0" w:space="0" w:color="auto"/>
        <w:right w:val="none" w:sz="0" w:space="0" w:color="auto"/>
      </w:divBdr>
      <w:divsChild>
        <w:div w:id="707225018">
          <w:marLeft w:val="0"/>
          <w:marRight w:val="0"/>
          <w:marTop w:val="0"/>
          <w:marBottom w:val="0"/>
          <w:divBdr>
            <w:top w:val="none" w:sz="0" w:space="0" w:color="auto"/>
            <w:left w:val="none" w:sz="0" w:space="0" w:color="auto"/>
            <w:bottom w:val="none" w:sz="0" w:space="0" w:color="auto"/>
            <w:right w:val="none" w:sz="0" w:space="0" w:color="auto"/>
          </w:divBdr>
          <w:divsChild>
            <w:div w:id="1099594241">
              <w:marLeft w:val="0"/>
              <w:marRight w:val="0"/>
              <w:marTop w:val="0"/>
              <w:marBottom w:val="0"/>
              <w:divBdr>
                <w:top w:val="none" w:sz="0" w:space="0" w:color="auto"/>
                <w:left w:val="none" w:sz="0" w:space="0" w:color="auto"/>
                <w:bottom w:val="none" w:sz="0" w:space="0" w:color="auto"/>
                <w:right w:val="none" w:sz="0" w:space="0" w:color="auto"/>
              </w:divBdr>
              <w:divsChild>
                <w:div w:id="2039894550">
                  <w:marLeft w:val="0"/>
                  <w:marRight w:val="0"/>
                  <w:marTop w:val="0"/>
                  <w:marBottom w:val="0"/>
                  <w:divBdr>
                    <w:top w:val="none" w:sz="0" w:space="0" w:color="auto"/>
                    <w:left w:val="none" w:sz="0" w:space="0" w:color="auto"/>
                    <w:bottom w:val="none" w:sz="0" w:space="0" w:color="auto"/>
                    <w:right w:val="none" w:sz="0" w:space="0" w:color="auto"/>
                  </w:divBdr>
                  <w:divsChild>
                    <w:div w:id="1568688697">
                      <w:marLeft w:val="0"/>
                      <w:marRight w:val="0"/>
                      <w:marTop w:val="0"/>
                      <w:marBottom w:val="0"/>
                      <w:divBdr>
                        <w:top w:val="none" w:sz="0" w:space="0" w:color="auto"/>
                        <w:left w:val="none" w:sz="0" w:space="0" w:color="auto"/>
                        <w:bottom w:val="none" w:sz="0" w:space="0" w:color="auto"/>
                        <w:right w:val="none" w:sz="0" w:space="0" w:color="auto"/>
                      </w:divBdr>
                      <w:divsChild>
                        <w:div w:id="1205601119">
                          <w:marLeft w:val="0"/>
                          <w:marRight w:val="0"/>
                          <w:marTop w:val="0"/>
                          <w:marBottom w:val="0"/>
                          <w:divBdr>
                            <w:top w:val="none" w:sz="0" w:space="0" w:color="auto"/>
                            <w:left w:val="none" w:sz="0" w:space="0" w:color="auto"/>
                            <w:bottom w:val="none" w:sz="0" w:space="0" w:color="auto"/>
                            <w:right w:val="none" w:sz="0" w:space="0" w:color="auto"/>
                          </w:divBdr>
                          <w:divsChild>
                            <w:div w:id="6534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103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BF0F12-B370-48D4-96FD-FE98F1C9CF67}"/>
</file>

<file path=customXml/itemProps2.xml><?xml version="1.0" encoding="utf-8"?>
<ds:datastoreItem xmlns:ds="http://schemas.openxmlformats.org/officeDocument/2006/customXml" ds:itemID="{1C3762BB-D504-493F-9E1A-27623D1C7B26}"/>
</file>

<file path=customXml/itemProps3.xml><?xml version="1.0" encoding="utf-8"?>
<ds:datastoreItem xmlns:ds="http://schemas.openxmlformats.org/officeDocument/2006/customXml" ds:itemID="{0E778D5A-88AD-425B-AD02-F1CF8396025C}"/>
</file>

<file path=customXml/itemProps4.xml><?xml version="1.0" encoding="utf-8"?>
<ds:datastoreItem xmlns:ds="http://schemas.openxmlformats.org/officeDocument/2006/customXml" ds:itemID="{F23528EC-CFE0-4357-B991-A40B80463E49}"/>
</file>

<file path=docProps/app.xml><?xml version="1.0" encoding="utf-8"?>
<Properties xmlns="http://schemas.openxmlformats.org/officeDocument/2006/extended-properties" xmlns:vt="http://schemas.openxmlformats.org/officeDocument/2006/docPropsVTypes">
  <Template>Normal.dotm</Template>
  <TotalTime>0</TotalTime>
  <Pages>1</Pages>
  <Words>5878</Words>
  <Characters>33509</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39309</CharactersWithSpaces>
  <SharedDoc>false</SharedDoc>
  <HLinks>
    <vt:vector size="6" baseType="variant">
      <vt:variant>
        <vt:i4>4587612</vt:i4>
      </vt:variant>
      <vt:variant>
        <vt:i4>0</vt:i4>
      </vt:variant>
      <vt:variant>
        <vt:i4>0</vt:i4>
      </vt:variant>
      <vt:variant>
        <vt:i4>5</vt:i4>
      </vt:variant>
      <vt:variant>
        <vt:lpwstr>http://insite.dhcour.coe.int/link/tikitlink.asp?doc=2309498&amp;lib=court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DJ</dc:subject>
  <dc:creator/>
  <cp:keywords/>
  <dc:description/>
  <cp:lastModifiedBy/>
  <cp:revision>1</cp:revision>
  <cp:lastPrinted>2008-01-17T10:46:00Z</cp:lastPrinted>
  <dcterms:created xsi:type="dcterms:W3CDTF">2014-01-28T08:51:00Z</dcterms:created>
  <dcterms:modified xsi:type="dcterms:W3CDTF">2014-01-28T08:51:00Z</dcterms:modified>
  <cp:category>ECHR Template</cp:category>
</cp:coreProperties>
</file>